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345E8" w14:textId="77777777" w:rsidR="00B70E76" w:rsidRPr="00813D19" w:rsidRDefault="00B70E76" w:rsidP="006F161B">
      <w:pPr>
        <w:tabs>
          <w:tab w:val="left" w:pos="709"/>
          <w:tab w:val="left" w:pos="1418"/>
          <w:tab w:val="left" w:pos="2126"/>
          <w:tab w:val="left" w:pos="2835"/>
        </w:tabs>
        <w:spacing w:before="1440"/>
        <w:jc w:val="center"/>
        <w:rPr>
          <w:rFonts w:ascii="Arial" w:hAnsi="Arial" w:cs="Arial"/>
          <w:b/>
          <w:color w:val="000000" w:themeColor="text1"/>
          <w:sz w:val="22"/>
          <w:szCs w:val="22"/>
          <w:lang w:val="en-US"/>
        </w:rPr>
      </w:pPr>
      <w:r w:rsidRPr="00813D19">
        <w:rPr>
          <w:rFonts w:ascii="Arial" w:hAnsi="Arial" w:cs="Arial"/>
          <w:b/>
          <w:color w:val="000000" w:themeColor="text1"/>
          <w:sz w:val="22"/>
          <w:szCs w:val="22"/>
          <w:lang w:val="en-US"/>
        </w:rPr>
        <w:t xml:space="preserve">CONVENTION FOR THE SAFEGUARDING OF THE </w:t>
      </w:r>
      <w:r w:rsidRPr="00813D19">
        <w:rPr>
          <w:rFonts w:ascii="Arial" w:hAnsi="Arial" w:cs="Arial"/>
          <w:b/>
          <w:color w:val="000000" w:themeColor="text1"/>
          <w:sz w:val="22"/>
          <w:szCs w:val="22"/>
          <w:lang w:val="en-US"/>
        </w:rPr>
        <w:br/>
        <w:t>INTANGIBLE CULTURAL HERITAGE</w:t>
      </w:r>
    </w:p>
    <w:p w14:paraId="3A5D8B28" w14:textId="77777777" w:rsidR="00B70E76" w:rsidRPr="00813D19" w:rsidRDefault="00B70E76" w:rsidP="006F161B">
      <w:pPr>
        <w:tabs>
          <w:tab w:val="left" w:pos="709"/>
          <w:tab w:val="left" w:pos="1418"/>
          <w:tab w:val="left" w:pos="2126"/>
          <w:tab w:val="left" w:pos="2835"/>
        </w:tabs>
        <w:spacing w:before="1200"/>
        <w:jc w:val="center"/>
        <w:rPr>
          <w:rFonts w:ascii="Arial" w:hAnsi="Arial" w:cs="Arial"/>
          <w:b/>
          <w:color w:val="000000" w:themeColor="text1"/>
          <w:sz w:val="22"/>
          <w:szCs w:val="22"/>
          <w:lang w:val="en-US"/>
        </w:rPr>
      </w:pPr>
      <w:r w:rsidRPr="00813D19">
        <w:rPr>
          <w:rFonts w:ascii="Arial" w:hAnsi="Arial" w:cs="Arial"/>
          <w:b/>
          <w:color w:val="000000" w:themeColor="text1"/>
          <w:sz w:val="22"/>
          <w:szCs w:val="22"/>
          <w:lang w:val="en-US"/>
        </w:rPr>
        <w:t>INTERGOVERNMENTAL COMMITTEE FOR THE</w:t>
      </w:r>
      <w:r w:rsidRPr="00813D19">
        <w:rPr>
          <w:rFonts w:ascii="Arial" w:hAnsi="Arial" w:cs="Arial"/>
          <w:b/>
          <w:color w:val="000000" w:themeColor="text1"/>
          <w:sz w:val="22"/>
          <w:szCs w:val="22"/>
          <w:lang w:val="en-US"/>
        </w:rPr>
        <w:br/>
        <w:t>SAFEGUARDING OF THE INTANGIBLE CULTURAL HERITAGE</w:t>
      </w:r>
    </w:p>
    <w:p w14:paraId="52C763B2" w14:textId="6471AA91" w:rsidR="00B70E76" w:rsidRPr="00813D19" w:rsidRDefault="006F161B" w:rsidP="006F161B">
      <w:pPr>
        <w:tabs>
          <w:tab w:val="left" w:pos="709"/>
          <w:tab w:val="left" w:pos="1418"/>
          <w:tab w:val="left" w:pos="2126"/>
          <w:tab w:val="left" w:pos="2835"/>
        </w:tabs>
        <w:spacing w:before="840"/>
        <w:jc w:val="center"/>
        <w:rPr>
          <w:rFonts w:ascii="Arial" w:hAnsi="Arial" w:cs="Arial"/>
          <w:b/>
          <w:color w:val="000000" w:themeColor="text1"/>
          <w:sz w:val="22"/>
          <w:szCs w:val="22"/>
          <w:lang w:val="en-US"/>
        </w:rPr>
      </w:pPr>
      <w:r>
        <w:rPr>
          <w:rFonts w:ascii="Arial" w:eastAsia="Malgun Gothic" w:hAnsi="Arial" w:cs="Arial"/>
          <w:b/>
          <w:color w:val="000000" w:themeColor="text1"/>
          <w:sz w:val="22"/>
          <w:szCs w:val="22"/>
          <w:lang w:val="en-US" w:eastAsia="ko-KR"/>
        </w:rPr>
        <w:t>Fou</w:t>
      </w:r>
      <w:r w:rsidR="009D3138" w:rsidRPr="00813D19">
        <w:rPr>
          <w:rFonts w:ascii="Arial" w:eastAsia="Malgun Gothic" w:hAnsi="Arial" w:cs="Arial"/>
          <w:b/>
          <w:color w:val="000000" w:themeColor="text1"/>
          <w:sz w:val="22"/>
          <w:szCs w:val="22"/>
          <w:lang w:val="en-US" w:eastAsia="ko-KR"/>
        </w:rPr>
        <w:t>rteenth</w:t>
      </w:r>
      <w:r w:rsidR="00B70E76" w:rsidRPr="00813D19">
        <w:rPr>
          <w:rFonts w:ascii="Arial" w:hAnsi="Arial" w:cs="Arial"/>
          <w:b/>
          <w:color w:val="000000" w:themeColor="text1"/>
          <w:sz w:val="22"/>
          <w:szCs w:val="22"/>
          <w:lang w:val="en-US"/>
        </w:rPr>
        <w:t xml:space="preserve"> session</w:t>
      </w:r>
    </w:p>
    <w:p w14:paraId="46487DE1" w14:textId="3E972E50" w:rsidR="00B70E76" w:rsidRPr="00813D19" w:rsidRDefault="006F161B" w:rsidP="006F161B">
      <w:pPr>
        <w:tabs>
          <w:tab w:val="left" w:pos="709"/>
          <w:tab w:val="left" w:pos="1418"/>
          <w:tab w:val="left" w:pos="2126"/>
          <w:tab w:val="left" w:pos="2835"/>
        </w:tabs>
        <w:jc w:val="center"/>
        <w:rPr>
          <w:rFonts w:ascii="Arial" w:eastAsia="Malgun Gothic" w:hAnsi="Arial" w:cs="Arial"/>
          <w:b/>
          <w:color w:val="000000" w:themeColor="text1"/>
          <w:sz w:val="22"/>
          <w:szCs w:val="22"/>
          <w:lang w:val="en-US" w:eastAsia="ko-KR"/>
        </w:rPr>
      </w:pPr>
      <w:r>
        <w:rPr>
          <w:rFonts w:ascii="Arial" w:eastAsia="Malgun Gothic" w:hAnsi="Arial" w:cs="Arial"/>
          <w:b/>
          <w:color w:val="000000" w:themeColor="text1"/>
          <w:sz w:val="22"/>
          <w:szCs w:val="22"/>
          <w:lang w:val="en-US" w:eastAsia="ko-KR"/>
        </w:rPr>
        <w:t>Bogot</w:t>
      </w:r>
      <w:r w:rsidRPr="006F161B">
        <w:rPr>
          <w:rFonts w:ascii="Arial" w:eastAsia="Malgun Gothic" w:hAnsi="Arial" w:cs="Arial"/>
          <w:b/>
          <w:color w:val="000000" w:themeColor="text1"/>
          <w:sz w:val="22"/>
          <w:szCs w:val="22"/>
          <w:lang w:val="en-US" w:eastAsia="ko-KR"/>
        </w:rPr>
        <w:t>á</w:t>
      </w:r>
      <w:r w:rsidR="00B70E76" w:rsidRPr="00813D19">
        <w:rPr>
          <w:rFonts w:ascii="Arial" w:hAnsi="Arial" w:cs="Arial"/>
          <w:b/>
          <w:color w:val="000000" w:themeColor="text1"/>
          <w:sz w:val="22"/>
          <w:szCs w:val="22"/>
          <w:lang w:val="en-US"/>
        </w:rPr>
        <w:t xml:space="preserve">, </w:t>
      </w:r>
      <w:r w:rsidR="00B70E76" w:rsidRPr="00813D19">
        <w:rPr>
          <w:rFonts w:ascii="Arial" w:eastAsia="Malgun Gothic" w:hAnsi="Arial" w:cs="Arial"/>
          <w:b/>
          <w:color w:val="000000" w:themeColor="text1"/>
          <w:sz w:val="22"/>
          <w:szCs w:val="22"/>
          <w:lang w:val="en-US" w:eastAsia="ko-KR"/>
        </w:rPr>
        <w:t xml:space="preserve">Republic of </w:t>
      </w:r>
      <w:r>
        <w:rPr>
          <w:rFonts w:ascii="Arial" w:eastAsia="Malgun Gothic" w:hAnsi="Arial" w:cs="Arial"/>
          <w:b/>
          <w:color w:val="000000" w:themeColor="text1"/>
          <w:sz w:val="22"/>
          <w:szCs w:val="22"/>
          <w:lang w:val="en-US" w:eastAsia="ko-KR"/>
        </w:rPr>
        <w:t>Colombia</w:t>
      </w:r>
    </w:p>
    <w:p w14:paraId="16FC9002" w14:textId="092B5137" w:rsidR="00C86DE0" w:rsidRDefault="006F161B" w:rsidP="006F161B">
      <w:pPr>
        <w:tabs>
          <w:tab w:val="left" w:pos="709"/>
          <w:tab w:val="left" w:pos="1418"/>
          <w:tab w:val="left" w:pos="2126"/>
          <w:tab w:val="left" w:pos="2835"/>
        </w:tabs>
        <w:jc w:val="center"/>
        <w:rPr>
          <w:rFonts w:ascii="Arial" w:eastAsia="Malgun Gothic" w:hAnsi="Arial" w:cs="Arial"/>
          <w:b/>
          <w:color w:val="000000" w:themeColor="text1"/>
          <w:sz w:val="22"/>
          <w:szCs w:val="22"/>
          <w:lang w:val="en-US" w:eastAsia="ko-KR"/>
        </w:rPr>
      </w:pPr>
      <w:r>
        <w:rPr>
          <w:rFonts w:ascii="Arial" w:eastAsia="Malgun Gothic" w:hAnsi="Arial" w:cs="Arial"/>
          <w:b/>
          <w:color w:val="000000" w:themeColor="text1"/>
          <w:sz w:val="22"/>
          <w:szCs w:val="22"/>
          <w:lang w:val="en-US" w:eastAsia="ko-KR"/>
        </w:rPr>
        <w:t xml:space="preserve">9 </w:t>
      </w:r>
      <w:r w:rsidR="00C86DE0" w:rsidRPr="00813D19">
        <w:rPr>
          <w:rFonts w:ascii="Arial" w:eastAsia="Malgun Gothic" w:hAnsi="Arial" w:cs="Arial"/>
          <w:b/>
          <w:color w:val="000000" w:themeColor="text1"/>
          <w:sz w:val="22"/>
          <w:szCs w:val="22"/>
          <w:lang w:val="en-US" w:eastAsia="ko-KR"/>
        </w:rPr>
        <w:t>to</w:t>
      </w:r>
      <w:r w:rsidR="00B70E76" w:rsidRPr="00813D19">
        <w:rPr>
          <w:rFonts w:ascii="Arial" w:hAnsi="Arial" w:cs="Arial"/>
          <w:b/>
          <w:color w:val="000000" w:themeColor="text1"/>
          <w:sz w:val="22"/>
          <w:szCs w:val="22"/>
          <w:lang w:val="en-US"/>
        </w:rPr>
        <w:t xml:space="preserve"> </w:t>
      </w:r>
      <w:r w:rsidR="00C86DE0" w:rsidRPr="00813D19">
        <w:rPr>
          <w:rFonts w:ascii="Arial" w:hAnsi="Arial" w:cs="Arial"/>
          <w:b/>
          <w:color w:val="000000" w:themeColor="text1"/>
          <w:sz w:val="22"/>
          <w:szCs w:val="22"/>
          <w:lang w:val="en-US"/>
        </w:rPr>
        <w:t>1</w:t>
      </w:r>
      <w:r>
        <w:rPr>
          <w:rFonts w:ascii="Arial" w:hAnsi="Arial" w:cs="Arial"/>
          <w:b/>
          <w:color w:val="000000" w:themeColor="text1"/>
          <w:sz w:val="22"/>
          <w:szCs w:val="22"/>
          <w:lang w:val="en-US"/>
        </w:rPr>
        <w:t>4</w:t>
      </w:r>
      <w:r w:rsidR="00B70E76" w:rsidRPr="00813D19">
        <w:rPr>
          <w:rFonts w:ascii="Arial" w:hAnsi="Arial" w:cs="Arial"/>
          <w:b/>
          <w:color w:val="000000" w:themeColor="text1"/>
          <w:sz w:val="22"/>
          <w:szCs w:val="22"/>
          <w:lang w:val="en-US"/>
        </w:rPr>
        <w:t xml:space="preserve"> December 201</w:t>
      </w:r>
      <w:r>
        <w:rPr>
          <w:rFonts w:ascii="Arial" w:eastAsia="Malgun Gothic" w:hAnsi="Arial" w:cs="Arial"/>
          <w:b/>
          <w:color w:val="000000" w:themeColor="text1"/>
          <w:sz w:val="22"/>
          <w:szCs w:val="22"/>
          <w:lang w:val="en-US" w:eastAsia="ko-KR"/>
        </w:rPr>
        <w:t>9</w:t>
      </w:r>
    </w:p>
    <w:p w14:paraId="52795926" w14:textId="3008D997" w:rsidR="006F161B" w:rsidRPr="00293C60" w:rsidRDefault="006F161B" w:rsidP="006F161B">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Pr>
          <w:rFonts w:ascii="Arial" w:hAnsi="Arial" w:cs="Arial"/>
          <w:b/>
          <w:sz w:val="22"/>
          <w:szCs w:val="22"/>
          <w:u w:val="single"/>
          <w:lang w:val="en-GB"/>
        </w:rPr>
        <w:t>4</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145DF361" w14:textId="39F61129" w:rsidR="006F161B" w:rsidRPr="00293C60" w:rsidRDefault="006F161B" w:rsidP="006F161B">
      <w:pPr>
        <w:pStyle w:val="Sansinterligne2"/>
        <w:spacing w:after="1200"/>
        <w:jc w:val="center"/>
        <w:rPr>
          <w:rFonts w:ascii="Arial" w:hAnsi="Arial" w:cs="Arial"/>
          <w:b/>
          <w:sz w:val="22"/>
          <w:szCs w:val="22"/>
          <w:lang w:val="en-GB"/>
        </w:rPr>
      </w:pPr>
      <w:r w:rsidRPr="003526B3">
        <w:rPr>
          <w:rFonts w:ascii="Arial" w:hAnsi="Arial" w:cs="Arial"/>
          <w:b/>
          <w:sz w:val="22"/>
          <w:szCs w:val="22"/>
          <w:lang w:val="en-GB"/>
        </w:rPr>
        <w:t xml:space="preserve">Adoption of the </w:t>
      </w:r>
      <w:r>
        <w:rPr>
          <w:rFonts w:ascii="Arial" w:hAnsi="Arial" w:cs="Arial"/>
          <w:b/>
          <w:sz w:val="22"/>
          <w:szCs w:val="22"/>
          <w:lang w:val="en-GB"/>
        </w:rPr>
        <w:t xml:space="preserve">summary records </w:t>
      </w:r>
      <w:r w:rsidR="00987BC1">
        <w:rPr>
          <w:rFonts w:ascii="Arial" w:hAnsi="Arial" w:cs="Arial"/>
          <w:b/>
          <w:sz w:val="22"/>
          <w:szCs w:val="22"/>
          <w:lang w:val="en-GB"/>
        </w:rPr>
        <w:br/>
      </w:r>
      <w:r>
        <w:rPr>
          <w:rFonts w:ascii="Arial" w:hAnsi="Arial" w:cs="Arial"/>
          <w:b/>
          <w:sz w:val="22"/>
          <w:szCs w:val="22"/>
          <w:lang w:val="en-GB"/>
        </w:rPr>
        <w:t>of the thirteenth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F161B" w:rsidRPr="00E22E8D" w14:paraId="2627AB54" w14:textId="77777777" w:rsidTr="006F161B">
        <w:trPr>
          <w:jc w:val="center"/>
        </w:trPr>
        <w:tc>
          <w:tcPr>
            <w:tcW w:w="5670" w:type="dxa"/>
            <w:vAlign w:val="center"/>
          </w:tcPr>
          <w:p w14:paraId="09DAB392" w14:textId="1C247FF7" w:rsidR="006F161B" w:rsidRPr="006F161B" w:rsidRDefault="006F161B" w:rsidP="006F161B">
            <w:pPr>
              <w:pStyle w:val="Sansinterligne2"/>
              <w:spacing w:before="200" w:after="200"/>
              <w:jc w:val="both"/>
              <w:rPr>
                <w:rFonts w:ascii="Arial" w:hAnsi="Arial" w:cs="Arial"/>
                <w:bCs/>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Pr>
                <w:rFonts w:ascii="Arial" w:hAnsi="Arial" w:cs="Arial"/>
                <w:bCs/>
                <w:sz w:val="22"/>
                <w:szCs w:val="22"/>
                <w:lang w:val="en-GB"/>
              </w:rPr>
              <w:t>7</w:t>
            </w:r>
          </w:p>
        </w:tc>
      </w:tr>
    </w:tbl>
    <w:p w14:paraId="65750822" w14:textId="76F720F3" w:rsidR="00B70E76" w:rsidRPr="00813D19" w:rsidRDefault="00B70E76" w:rsidP="00B70E76">
      <w:pPr>
        <w:rPr>
          <w:rFonts w:ascii="Arial" w:hAnsi="Arial" w:cs="Arial"/>
          <w:color w:val="000000" w:themeColor="text1"/>
          <w:lang w:val="en-US"/>
        </w:rPr>
      </w:pPr>
      <w:r w:rsidRPr="00813D19">
        <w:rPr>
          <w:rFonts w:ascii="Arial" w:hAnsi="Arial" w:cs="Arial"/>
          <w:color w:val="000000" w:themeColor="text1"/>
          <w:lang w:val="en-US"/>
        </w:rPr>
        <w:br w:type="page"/>
      </w:r>
    </w:p>
    <w:p w14:paraId="55C5E0DC" w14:textId="2A2C54B8" w:rsidR="00B70E76" w:rsidRPr="00813D19" w:rsidRDefault="00B70E76" w:rsidP="00B70E76">
      <w:pPr>
        <w:pStyle w:val="Orateurengris"/>
        <w:spacing w:before="240"/>
        <w:ind w:left="709" w:hanging="709"/>
        <w:rPr>
          <w:color w:val="000000" w:themeColor="text1"/>
          <w:lang w:val="en-US"/>
        </w:rPr>
      </w:pPr>
      <w:r w:rsidRPr="00813D19">
        <w:rPr>
          <w:rFonts w:eastAsia="Malgun Gothic"/>
          <w:color w:val="000000" w:themeColor="text1"/>
          <w:lang w:val="en-US" w:eastAsia="ko-KR"/>
        </w:rPr>
        <w:lastRenderedPageBreak/>
        <w:t xml:space="preserve">This document contains the summary records of the </w:t>
      </w:r>
      <w:r w:rsidR="00813D19" w:rsidRPr="00813D19">
        <w:rPr>
          <w:color w:val="000000" w:themeColor="text1"/>
          <w:lang w:val="en-US"/>
        </w:rPr>
        <w:t>thirteenth</w:t>
      </w:r>
      <w:r w:rsidRPr="00813D19">
        <w:rPr>
          <w:color w:val="000000" w:themeColor="text1"/>
          <w:lang w:val="en-US"/>
        </w:rPr>
        <w:t xml:space="preserve"> session of the Intergovernmental Committee for the Safeguarding of the Intangible Cultural Heritage held in </w:t>
      </w:r>
      <w:r w:rsidR="0044180C" w:rsidRPr="00813D19">
        <w:rPr>
          <w:color w:val="000000" w:themeColor="text1"/>
          <w:lang w:val="en-US"/>
        </w:rPr>
        <w:t>Port Louis</w:t>
      </w:r>
      <w:r w:rsidRPr="00813D19">
        <w:rPr>
          <w:color w:val="000000" w:themeColor="text1"/>
          <w:lang w:val="en-US"/>
        </w:rPr>
        <w:t xml:space="preserve">, </w:t>
      </w:r>
      <w:r w:rsidR="0044180C" w:rsidRPr="00813D19">
        <w:rPr>
          <w:color w:val="000000" w:themeColor="text1"/>
          <w:lang w:val="en-US"/>
        </w:rPr>
        <w:t>Republic of Mauritius</w:t>
      </w:r>
      <w:r w:rsidR="000E2234" w:rsidRPr="00813D19">
        <w:rPr>
          <w:color w:val="000000" w:themeColor="text1"/>
          <w:lang w:val="en-US"/>
        </w:rPr>
        <w:t>,</w:t>
      </w:r>
      <w:r w:rsidR="0044180C" w:rsidRPr="00813D19">
        <w:rPr>
          <w:color w:val="000000" w:themeColor="text1"/>
          <w:lang w:val="en-US"/>
        </w:rPr>
        <w:t xml:space="preserve"> from 26</w:t>
      </w:r>
      <w:r w:rsidRPr="00813D19">
        <w:rPr>
          <w:color w:val="000000" w:themeColor="text1"/>
          <w:lang w:val="en-US"/>
        </w:rPr>
        <w:t xml:space="preserve"> </w:t>
      </w:r>
      <w:r w:rsidR="0044180C" w:rsidRPr="00813D19">
        <w:rPr>
          <w:color w:val="000000" w:themeColor="text1"/>
          <w:lang w:val="en-US"/>
        </w:rPr>
        <w:t xml:space="preserve">November </w:t>
      </w:r>
      <w:r w:rsidRPr="00813D19">
        <w:rPr>
          <w:color w:val="000000" w:themeColor="text1"/>
          <w:lang w:val="en-US"/>
        </w:rPr>
        <w:t xml:space="preserve">to </w:t>
      </w:r>
      <w:r w:rsidR="0044180C" w:rsidRPr="00813D19">
        <w:rPr>
          <w:color w:val="000000" w:themeColor="text1"/>
          <w:lang w:val="en-US"/>
        </w:rPr>
        <w:t>1 December 2018</w:t>
      </w:r>
      <w:r w:rsidRPr="00813D19">
        <w:rPr>
          <w:color w:val="000000" w:themeColor="text1"/>
          <w:lang w:val="en-US"/>
        </w:rPr>
        <w:t>.</w:t>
      </w:r>
    </w:p>
    <w:p w14:paraId="23502FF7" w14:textId="77C3D67A" w:rsidR="00B70E76" w:rsidRPr="00813D19" w:rsidRDefault="00D24DA4" w:rsidP="00B870DF">
      <w:pPr>
        <w:pStyle w:val="Orateurengris"/>
        <w:spacing w:before="240"/>
        <w:ind w:left="709" w:hanging="709"/>
        <w:rPr>
          <w:color w:val="000000" w:themeColor="text1"/>
          <w:lang w:val="en-US"/>
        </w:rPr>
      </w:pPr>
      <w:r w:rsidRPr="00813D19">
        <w:rPr>
          <w:rFonts w:eastAsia="Malgun Gothic"/>
          <w:color w:val="000000" w:themeColor="text1"/>
          <w:lang w:val="en-US" w:eastAsia="ko-KR"/>
        </w:rPr>
        <w:t xml:space="preserve">Some </w:t>
      </w:r>
      <w:r w:rsidR="00781E25" w:rsidRPr="00813D19">
        <w:rPr>
          <w:rFonts w:eastAsia="Malgun Gothic"/>
          <w:color w:val="000000" w:themeColor="text1"/>
          <w:lang w:val="en-US" w:eastAsia="ko-KR"/>
        </w:rPr>
        <w:t>821</w:t>
      </w:r>
      <w:r w:rsidR="0044180C" w:rsidRPr="00813D19">
        <w:rPr>
          <w:rFonts w:eastAsia="Malgun Gothic"/>
          <w:color w:val="000000" w:themeColor="text1"/>
          <w:lang w:val="en-US" w:eastAsia="ko-KR"/>
        </w:rPr>
        <w:t xml:space="preserve"> </w:t>
      </w:r>
      <w:r w:rsidR="00B70E76" w:rsidRPr="00813D19">
        <w:rPr>
          <w:rFonts w:eastAsia="Malgun Gothic"/>
          <w:color w:val="000000" w:themeColor="text1"/>
          <w:lang w:val="en-US" w:eastAsia="ko-KR"/>
        </w:rPr>
        <w:t xml:space="preserve">participants </w:t>
      </w:r>
      <w:r w:rsidR="00781E25" w:rsidRPr="00813D19">
        <w:rPr>
          <w:rFonts w:eastAsia="Malgun Gothic"/>
          <w:color w:val="000000" w:themeColor="text1"/>
          <w:lang w:val="en-US" w:eastAsia="ko-KR"/>
        </w:rPr>
        <w:t xml:space="preserve">registered to attend </w:t>
      </w:r>
      <w:r w:rsidR="00B70E76" w:rsidRPr="00813D19">
        <w:rPr>
          <w:rFonts w:eastAsia="Malgun Gothic"/>
          <w:color w:val="000000" w:themeColor="text1"/>
          <w:lang w:val="en-US" w:eastAsia="ko-KR"/>
        </w:rPr>
        <w:t>the session</w:t>
      </w:r>
      <w:r w:rsidR="000E2234" w:rsidRPr="00813D19">
        <w:rPr>
          <w:rFonts w:eastAsia="Malgun Gothic"/>
          <w:color w:val="000000" w:themeColor="text1"/>
          <w:lang w:val="en-US" w:eastAsia="ko-KR"/>
        </w:rPr>
        <w:t>,</w:t>
      </w:r>
      <w:r w:rsidR="00B70E76" w:rsidRPr="00813D19">
        <w:rPr>
          <w:rFonts w:eastAsia="Malgun Gothic"/>
          <w:color w:val="000000" w:themeColor="text1"/>
          <w:lang w:val="en-US" w:eastAsia="ko-KR"/>
        </w:rPr>
        <w:t xml:space="preserve"> among which d</w:t>
      </w:r>
      <w:r w:rsidR="00B70E76" w:rsidRPr="00813D19">
        <w:rPr>
          <w:color w:val="000000" w:themeColor="text1"/>
          <w:lang w:val="en-US"/>
        </w:rPr>
        <w:t xml:space="preserve">elegations from </w:t>
      </w:r>
      <w:r w:rsidR="009D3138" w:rsidRPr="00813D19">
        <w:rPr>
          <w:color w:val="000000" w:themeColor="text1"/>
          <w:lang w:val="en-US"/>
        </w:rPr>
        <w:t>24</w:t>
      </w:r>
      <w:r w:rsidR="00B70E76" w:rsidRPr="00813D19">
        <w:rPr>
          <w:color w:val="000000" w:themeColor="text1"/>
          <w:lang w:val="en-US"/>
        </w:rPr>
        <w:t xml:space="preserve"> States Members of the Committee</w:t>
      </w:r>
      <w:r w:rsidR="00B70E76" w:rsidRPr="00813D19">
        <w:rPr>
          <w:rFonts w:eastAsia="Malgun Gothic"/>
          <w:color w:val="000000" w:themeColor="text1"/>
          <w:lang w:val="en-US" w:eastAsia="ko-KR"/>
        </w:rPr>
        <w:t xml:space="preserve">, </w:t>
      </w:r>
      <w:r w:rsidR="009D3138" w:rsidRPr="00813D19">
        <w:rPr>
          <w:rFonts w:eastAsia="Malgun Gothic"/>
          <w:color w:val="000000" w:themeColor="text1"/>
          <w:lang w:val="en-US" w:eastAsia="ko-KR"/>
        </w:rPr>
        <w:t>102</w:t>
      </w:r>
      <w:r w:rsidR="0044180C" w:rsidRPr="00813D19">
        <w:rPr>
          <w:rFonts w:eastAsia="Malgun Gothic"/>
          <w:color w:val="000000" w:themeColor="text1"/>
          <w:lang w:val="en-US" w:eastAsia="ko-KR"/>
        </w:rPr>
        <w:t xml:space="preserve"> </w:t>
      </w:r>
      <w:r w:rsidR="00B70E76" w:rsidRPr="00813D19">
        <w:rPr>
          <w:rFonts w:eastAsia="Malgun Gothic"/>
          <w:color w:val="000000" w:themeColor="text1"/>
          <w:lang w:val="en-US" w:eastAsia="ko-KR"/>
        </w:rPr>
        <w:t xml:space="preserve">States Parties not Members of the Committee, </w:t>
      </w:r>
      <w:r w:rsidR="009D3138" w:rsidRPr="00813D19">
        <w:rPr>
          <w:rFonts w:eastAsia="Malgun Gothic"/>
          <w:color w:val="000000" w:themeColor="text1"/>
          <w:lang w:val="en-US" w:eastAsia="ko-KR"/>
        </w:rPr>
        <w:t>2</w:t>
      </w:r>
      <w:r w:rsidR="0044180C" w:rsidRPr="00813D19">
        <w:rPr>
          <w:rFonts w:eastAsia="Malgun Gothic"/>
          <w:color w:val="000000" w:themeColor="text1"/>
          <w:lang w:val="en-US" w:eastAsia="ko-KR"/>
        </w:rPr>
        <w:t xml:space="preserve"> </w:t>
      </w:r>
      <w:r w:rsidR="00B70E76" w:rsidRPr="00813D19">
        <w:rPr>
          <w:rFonts w:eastAsia="Malgun Gothic"/>
          <w:color w:val="000000" w:themeColor="text1"/>
          <w:lang w:val="en-US" w:eastAsia="ko-KR"/>
        </w:rPr>
        <w:t xml:space="preserve">States </w:t>
      </w:r>
      <w:r w:rsidR="00F55485" w:rsidRPr="00813D19">
        <w:rPr>
          <w:rFonts w:eastAsia="Malgun Gothic"/>
          <w:color w:val="000000" w:themeColor="text1"/>
          <w:lang w:val="en-US" w:eastAsia="ko-KR"/>
        </w:rPr>
        <w:t xml:space="preserve">not </w:t>
      </w:r>
      <w:r w:rsidR="00B70E76" w:rsidRPr="00813D19">
        <w:rPr>
          <w:rFonts w:eastAsia="Malgun Gothic"/>
          <w:color w:val="000000" w:themeColor="text1"/>
          <w:lang w:val="en-US" w:eastAsia="ko-KR"/>
        </w:rPr>
        <w:t xml:space="preserve">party to the Convention, </w:t>
      </w:r>
      <w:r w:rsidR="009D3138" w:rsidRPr="00813D19">
        <w:rPr>
          <w:rFonts w:eastAsia="Malgun Gothic"/>
          <w:color w:val="000000" w:themeColor="text1"/>
          <w:lang w:val="en-US" w:eastAsia="ko-KR"/>
        </w:rPr>
        <w:t>2</w:t>
      </w:r>
      <w:r w:rsidR="0044180C" w:rsidRPr="00813D19">
        <w:rPr>
          <w:rFonts w:eastAsia="Malgun Gothic"/>
          <w:color w:val="000000" w:themeColor="text1"/>
          <w:lang w:val="en-US" w:eastAsia="ko-KR"/>
        </w:rPr>
        <w:t xml:space="preserve"> </w:t>
      </w:r>
      <w:r w:rsidR="00B70E76" w:rsidRPr="00813D19">
        <w:rPr>
          <w:rFonts w:eastAsia="Malgun Gothic"/>
          <w:color w:val="000000" w:themeColor="text1"/>
          <w:lang w:val="en-US" w:eastAsia="ko-KR"/>
        </w:rPr>
        <w:t xml:space="preserve">intergovernmental organizations, </w:t>
      </w:r>
      <w:r w:rsidR="009D3138" w:rsidRPr="00813D19">
        <w:rPr>
          <w:rFonts w:eastAsia="Malgun Gothic"/>
          <w:color w:val="000000" w:themeColor="text1"/>
          <w:lang w:val="en-US" w:eastAsia="ko-KR"/>
        </w:rPr>
        <w:t>6</w:t>
      </w:r>
      <w:r w:rsidR="0044180C" w:rsidRPr="00813D19">
        <w:rPr>
          <w:rFonts w:eastAsia="Malgun Gothic"/>
          <w:color w:val="000000" w:themeColor="text1"/>
          <w:lang w:val="en-US" w:eastAsia="ko-KR"/>
        </w:rPr>
        <w:t xml:space="preserve"> </w:t>
      </w:r>
      <w:r w:rsidR="00B70E76" w:rsidRPr="00813D19">
        <w:rPr>
          <w:rFonts w:eastAsia="Malgun Gothic"/>
          <w:color w:val="000000" w:themeColor="text1"/>
          <w:lang w:val="en-US" w:eastAsia="ko-KR"/>
        </w:rPr>
        <w:t xml:space="preserve">category 2 centres under the auspices of </w:t>
      </w:r>
      <w:r w:rsidR="00B70E76" w:rsidRPr="000C07AD">
        <w:rPr>
          <w:rFonts w:eastAsia="Malgun Gothic"/>
          <w:color w:val="000000" w:themeColor="text1"/>
          <w:lang w:val="en-US" w:eastAsia="ko-KR"/>
        </w:rPr>
        <w:t xml:space="preserve">UNESCO, </w:t>
      </w:r>
      <w:r w:rsidR="009D3138" w:rsidRPr="000C07AD">
        <w:rPr>
          <w:rFonts w:eastAsia="Malgun Gothic"/>
          <w:color w:val="000000" w:themeColor="text1"/>
          <w:lang w:val="en-US" w:eastAsia="ko-KR"/>
        </w:rPr>
        <w:t>73</w:t>
      </w:r>
      <w:r w:rsidR="0044180C" w:rsidRPr="000C07AD">
        <w:rPr>
          <w:rFonts w:eastAsia="Malgun Gothic"/>
          <w:color w:val="000000" w:themeColor="text1"/>
          <w:lang w:val="en-US" w:eastAsia="ko-KR"/>
        </w:rPr>
        <w:t xml:space="preserve"> </w:t>
      </w:r>
      <w:r w:rsidR="00B70E76" w:rsidRPr="000C07AD">
        <w:rPr>
          <w:rFonts w:eastAsia="Malgun Gothic"/>
          <w:color w:val="000000" w:themeColor="text1"/>
          <w:lang w:val="en-US" w:eastAsia="ko-KR"/>
        </w:rPr>
        <w:t xml:space="preserve">accredited non-governmental organizations </w:t>
      </w:r>
      <w:r w:rsidR="00B870DF" w:rsidRPr="00B870DF">
        <w:rPr>
          <w:rFonts w:eastAsia="Malgun Gothic"/>
          <w:color w:val="000000" w:themeColor="text1"/>
          <w:lang w:eastAsia="ko-KR"/>
        </w:rPr>
        <w:t>accredited to provide advisory services to the Committee</w:t>
      </w:r>
      <w:r w:rsidR="00B870DF" w:rsidRPr="00B870DF" w:rsidDel="000C07AD">
        <w:rPr>
          <w:rFonts w:eastAsia="Malgun Gothic"/>
          <w:color w:val="000000" w:themeColor="text1"/>
          <w:lang w:val="en-US" w:eastAsia="ko-KR"/>
        </w:rPr>
        <w:t xml:space="preserve"> </w:t>
      </w:r>
      <w:r w:rsidR="00B70E76" w:rsidRPr="000C07AD">
        <w:rPr>
          <w:rFonts w:eastAsia="Malgun Gothic"/>
          <w:color w:val="000000" w:themeColor="text1"/>
          <w:lang w:val="en-US" w:eastAsia="ko-KR"/>
        </w:rPr>
        <w:t xml:space="preserve">and </w:t>
      </w:r>
      <w:r w:rsidR="009D3138" w:rsidRPr="000C07AD">
        <w:rPr>
          <w:rFonts w:eastAsia="Malgun Gothic"/>
          <w:color w:val="000000" w:themeColor="text1"/>
          <w:lang w:val="en-US" w:eastAsia="ko-KR"/>
        </w:rPr>
        <w:t>25</w:t>
      </w:r>
      <w:r w:rsidR="0044180C" w:rsidRPr="000C07AD">
        <w:rPr>
          <w:rFonts w:eastAsia="Malgun Gothic"/>
          <w:color w:val="000000" w:themeColor="text1"/>
          <w:lang w:val="en-US" w:eastAsia="ko-KR"/>
        </w:rPr>
        <w:t xml:space="preserve"> </w:t>
      </w:r>
      <w:r w:rsidR="00B70E76" w:rsidRPr="000C07AD">
        <w:rPr>
          <w:rFonts w:eastAsia="Malgun Gothic"/>
          <w:color w:val="000000" w:themeColor="text1"/>
          <w:lang w:val="en-US" w:eastAsia="ko-KR"/>
        </w:rPr>
        <w:t>press/media</w:t>
      </w:r>
      <w:r w:rsidR="00B70E76" w:rsidRPr="00813D19">
        <w:rPr>
          <w:rFonts w:eastAsia="Malgun Gothic"/>
          <w:color w:val="000000" w:themeColor="text1"/>
          <w:lang w:val="en-US" w:eastAsia="ko-KR"/>
        </w:rPr>
        <w:t xml:space="preserve"> entities.</w:t>
      </w:r>
    </w:p>
    <w:p w14:paraId="564CDA9D" w14:textId="28E300D4" w:rsidR="00B70E76" w:rsidRPr="00813D19" w:rsidRDefault="00B70E76" w:rsidP="00B70E76">
      <w:pPr>
        <w:pStyle w:val="Orateurengris"/>
        <w:spacing w:before="240"/>
        <w:ind w:left="709" w:hanging="709"/>
        <w:rPr>
          <w:color w:val="000000" w:themeColor="text1"/>
          <w:lang w:val="en-US"/>
        </w:rPr>
      </w:pPr>
      <w:r w:rsidRPr="00813D19">
        <w:rPr>
          <w:color w:val="000000" w:themeColor="text1"/>
          <w:lang w:val="en-US"/>
        </w:rPr>
        <w:t xml:space="preserve">The full list of participants is available </w:t>
      </w:r>
      <w:hyperlink r:id="rId8" w:history="1">
        <w:r w:rsidRPr="00813D19">
          <w:rPr>
            <w:rStyle w:val="Hyperlink"/>
            <w:rFonts w:eastAsia="Malgun Gothic"/>
            <w:lang w:val="en-US" w:eastAsia="ko-KR"/>
          </w:rPr>
          <w:t>online</w:t>
        </w:r>
      </w:hyperlink>
      <w:r w:rsidRPr="00813D19">
        <w:rPr>
          <w:color w:val="000000" w:themeColor="text1"/>
          <w:lang w:val="en-US"/>
        </w:rPr>
        <w:t>.</w:t>
      </w:r>
    </w:p>
    <w:p w14:paraId="5D6BA89A" w14:textId="2F07F9C9" w:rsidR="00B70E76" w:rsidRPr="00813D19" w:rsidRDefault="00B70E76" w:rsidP="00B70E76">
      <w:pPr>
        <w:pStyle w:val="Orateurengris"/>
        <w:spacing w:before="240"/>
        <w:ind w:left="709" w:hanging="709"/>
        <w:rPr>
          <w:bCs/>
          <w:color w:val="000000" w:themeColor="text1"/>
          <w:lang w:val="en-US"/>
        </w:rPr>
      </w:pPr>
      <w:r w:rsidRPr="00813D19">
        <w:rPr>
          <w:color w:val="000000" w:themeColor="text1"/>
          <w:lang w:val="en-US"/>
        </w:rPr>
        <w:t xml:space="preserve">The session was conducted in </w:t>
      </w:r>
      <w:r w:rsidR="009D3138" w:rsidRPr="00813D19">
        <w:rPr>
          <w:color w:val="000000" w:themeColor="text1"/>
          <w:lang w:val="en-US"/>
        </w:rPr>
        <w:t>four</w:t>
      </w:r>
      <w:r w:rsidR="007C1F39" w:rsidRPr="00813D19">
        <w:rPr>
          <w:color w:val="000000" w:themeColor="text1"/>
          <w:lang w:val="en-US"/>
        </w:rPr>
        <w:t xml:space="preserve"> </w:t>
      </w:r>
      <w:r w:rsidRPr="00813D19">
        <w:rPr>
          <w:color w:val="000000" w:themeColor="text1"/>
          <w:lang w:val="en-US"/>
        </w:rPr>
        <w:t>languages: English and French (the two working lang</w:t>
      </w:r>
      <w:r w:rsidR="0044180C" w:rsidRPr="00813D19">
        <w:rPr>
          <w:color w:val="000000" w:themeColor="text1"/>
          <w:lang w:val="en-US"/>
        </w:rPr>
        <w:t xml:space="preserve">uages of the Committee), </w:t>
      </w:r>
      <w:r w:rsidR="007C1F39" w:rsidRPr="00813D19">
        <w:rPr>
          <w:bCs/>
          <w:color w:val="000000" w:themeColor="text1"/>
          <w:lang w:val="en-US"/>
        </w:rPr>
        <w:t>Spanish</w:t>
      </w:r>
      <w:r w:rsidR="00A01B55" w:rsidRPr="00813D19">
        <w:rPr>
          <w:bCs/>
          <w:color w:val="000000" w:themeColor="text1"/>
          <w:lang w:val="en-US"/>
        </w:rPr>
        <w:t>, and Arabic</w:t>
      </w:r>
      <w:r w:rsidR="00C538E7" w:rsidRPr="00813D19">
        <w:rPr>
          <w:bCs/>
          <w:color w:val="000000" w:themeColor="text1"/>
          <w:lang w:val="en-US"/>
        </w:rPr>
        <w:t xml:space="preserve"> for</w:t>
      </w:r>
      <w:r w:rsidR="009D3138" w:rsidRPr="00813D19">
        <w:rPr>
          <w:bCs/>
          <w:color w:val="000000" w:themeColor="text1"/>
          <w:lang w:val="en-US"/>
        </w:rPr>
        <w:t xml:space="preserve"> item 10 and its sub-items</w:t>
      </w:r>
      <w:r w:rsidR="007C1F39" w:rsidRPr="00813D19">
        <w:rPr>
          <w:bCs/>
          <w:color w:val="000000" w:themeColor="text1"/>
          <w:lang w:val="en-US"/>
        </w:rPr>
        <w:t>.</w:t>
      </w:r>
    </w:p>
    <w:p w14:paraId="0630078C" w14:textId="712D288A" w:rsidR="00B70E76" w:rsidRPr="00813D19" w:rsidRDefault="00B70E76" w:rsidP="006F161B">
      <w:pPr>
        <w:pStyle w:val="Orateurengris"/>
        <w:spacing w:before="240"/>
        <w:ind w:left="709" w:hanging="709"/>
        <w:rPr>
          <w:color w:val="000000" w:themeColor="text1"/>
          <w:lang w:val="en-US"/>
        </w:rPr>
      </w:pPr>
      <w:r w:rsidRPr="00813D19">
        <w:rPr>
          <w:color w:val="000000" w:themeColor="text1"/>
          <w:lang w:val="en-US"/>
        </w:rPr>
        <w:t xml:space="preserve">The </w:t>
      </w:r>
      <w:r w:rsidR="006F161B">
        <w:rPr>
          <w:color w:val="000000" w:themeColor="text1"/>
          <w:lang w:val="en-US"/>
        </w:rPr>
        <w:t xml:space="preserve">Living </w:t>
      </w:r>
      <w:r w:rsidRPr="00813D19">
        <w:rPr>
          <w:color w:val="000000" w:themeColor="text1"/>
          <w:lang w:val="en-US"/>
        </w:rPr>
        <w:t xml:space="preserve">Heritage </w:t>
      </w:r>
      <w:r w:rsidR="006F161B">
        <w:rPr>
          <w:color w:val="000000" w:themeColor="text1"/>
          <w:lang w:val="en-US"/>
        </w:rPr>
        <w:t xml:space="preserve">Entity </w:t>
      </w:r>
      <w:r w:rsidRPr="00813D19">
        <w:rPr>
          <w:color w:val="000000" w:themeColor="text1"/>
          <w:lang w:val="en-US"/>
        </w:rPr>
        <w:t>of UNESCO provided the Secretariat for the meeting.</w:t>
      </w:r>
    </w:p>
    <w:p w14:paraId="7B9E330A" w14:textId="4C38E86E" w:rsidR="00B70E76" w:rsidRPr="00813D19" w:rsidRDefault="00B70E76" w:rsidP="00B70E76">
      <w:pPr>
        <w:pStyle w:val="Orateurengris"/>
        <w:spacing w:before="240"/>
        <w:ind w:left="709" w:hanging="709"/>
        <w:rPr>
          <w:color w:val="000000" w:themeColor="text1"/>
          <w:lang w:val="en-US"/>
        </w:rPr>
      </w:pPr>
      <w:r w:rsidRPr="00813D19">
        <w:rPr>
          <w:color w:val="000000" w:themeColor="text1"/>
          <w:lang w:val="en-US"/>
        </w:rPr>
        <w:t xml:space="preserve">The elected Members of the Bureau of the </w:t>
      </w:r>
      <w:r w:rsidR="0044180C" w:rsidRPr="00813D19">
        <w:rPr>
          <w:color w:val="000000" w:themeColor="text1"/>
          <w:lang w:val="en-US"/>
        </w:rPr>
        <w:t>thirteenth</w:t>
      </w:r>
      <w:r w:rsidRPr="00813D19">
        <w:rPr>
          <w:color w:val="000000" w:themeColor="text1"/>
          <w:lang w:val="en-US"/>
        </w:rPr>
        <w:t xml:space="preserve"> session of the Committee were:</w:t>
      </w:r>
    </w:p>
    <w:p w14:paraId="3A9CE6CA" w14:textId="0931F7BB" w:rsidR="0044180C" w:rsidRPr="00813D19" w:rsidRDefault="0044180C" w:rsidP="0044180C">
      <w:pPr>
        <w:pStyle w:val="alina"/>
        <w:tabs>
          <w:tab w:val="clear" w:pos="567"/>
          <w:tab w:val="left" w:pos="709"/>
          <w:tab w:val="left" w:pos="1418"/>
          <w:tab w:val="left" w:pos="2126"/>
          <w:tab w:val="left" w:pos="2835"/>
          <w:tab w:val="left" w:pos="3544"/>
        </w:tabs>
        <w:spacing w:after="0"/>
        <w:ind w:left="2126" w:hanging="850"/>
        <w:rPr>
          <w:color w:val="000000" w:themeColor="text1"/>
          <w:lang w:val="en-US"/>
        </w:rPr>
      </w:pPr>
      <w:r w:rsidRPr="00813D19">
        <w:rPr>
          <w:color w:val="000000" w:themeColor="text1"/>
          <w:lang w:val="en-US"/>
        </w:rPr>
        <w:t xml:space="preserve">Chairperson: </w:t>
      </w:r>
      <w:r w:rsidRPr="00813D19">
        <w:rPr>
          <w:color w:val="000000" w:themeColor="text1"/>
          <w:lang w:val="en-US"/>
        </w:rPr>
        <w:tab/>
      </w:r>
      <w:r w:rsidRPr="00813D19">
        <w:rPr>
          <w:color w:val="000000" w:themeColor="text1"/>
          <w:lang w:val="en-US"/>
        </w:rPr>
        <w:tab/>
        <w:t>Mr Prithvirajsing Roopun (Republic of Mauritius)</w:t>
      </w:r>
    </w:p>
    <w:p w14:paraId="7B7350BA" w14:textId="70B0B1AE" w:rsidR="00B70E76" w:rsidRPr="00813D19" w:rsidRDefault="00B70E76" w:rsidP="00B870DF">
      <w:pPr>
        <w:pStyle w:val="alina"/>
        <w:tabs>
          <w:tab w:val="clear" w:pos="567"/>
          <w:tab w:val="left" w:pos="709"/>
          <w:tab w:val="left" w:pos="1418"/>
          <w:tab w:val="left" w:pos="2126"/>
          <w:tab w:val="left" w:pos="2835"/>
          <w:tab w:val="left" w:pos="3544"/>
        </w:tabs>
        <w:spacing w:after="0"/>
        <w:ind w:left="2126" w:hanging="850"/>
        <w:rPr>
          <w:color w:val="000000" w:themeColor="text1"/>
          <w:lang w:val="en-US"/>
        </w:rPr>
      </w:pPr>
      <w:r w:rsidRPr="00813D19">
        <w:rPr>
          <w:color w:val="000000" w:themeColor="text1"/>
          <w:lang w:val="en-US"/>
        </w:rPr>
        <w:t xml:space="preserve">Vice-Chairpersons: </w:t>
      </w:r>
      <w:r w:rsidRPr="00813D19">
        <w:rPr>
          <w:color w:val="000000" w:themeColor="text1"/>
          <w:lang w:val="en-US"/>
        </w:rPr>
        <w:tab/>
      </w:r>
      <w:r w:rsidR="00B870DF" w:rsidRPr="00813D19">
        <w:rPr>
          <w:rFonts w:eastAsiaTheme="minorEastAsia"/>
          <w:color w:val="000000" w:themeColor="text1"/>
          <w:lang w:val="en-US" w:eastAsia="ja-JP"/>
        </w:rPr>
        <w:t xml:space="preserve">Cyprus, </w:t>
      </w:r>
      <w:r w:rsidR="0044180C" w:rsidRPr="00813D19">
        <w:rPr>
          <w:color w:val="000000" w:themeColor="text1"/>
          <w:lang w:val="en-US"/>
        </w:rPr>
        <w:t xml:space="preserve">Armenia, </w:t>
      </w:r>
      <w:r w:rsidR="0044180C" w:rsidRPr="00813D19">
        <w:rPr>
          <w:rFonts w:eastAsiaTheme="minorEastAsia"/>
          <w:color w:val="000000" w:themeColor="text1"/>
          <w:lang w:val="en-US" w:eastAsia="ja-JP"/>
        </w:rPr>
        <w:t>Guatemala</w:t>
      </w:r>
      <w:r w:rsidR="00D24DA4" w:rsidRPr="00813D19">
        <w:rPr>
          <w:rFonts w:eastAsiaTheme="minorEastAsia"/>
          <w:color w:val="000000" w:themeColor="text1"/>
          <w:lang w:val="en-US" w:eastAsia="ja-JP"/>
        </w:rPr>
        <w:t xml:space="preserve">, </w:t>
      </w:r>
      <w:r w:rsidR="00B870DF">
        <w:rPr>
          <w:rFonts w:eastAsiaTheme="minorEastAsia"/>
          <w:color w:val="000000" w:themeColor="text1"/>
          <w:lang w:val="en-US" w:eastAsia="ja-JP"/>
        </w:rPr>
        <w:t xml:space="preserve">the </w:t>
      </w:r>
      <w:r w:rsidR="00B870DF" w:rsidRPr="00813D19">
        <w:rPr>
          <w:rFonts w:eastAsiaTheme="minorEastAsia"/>
          <w:color w:val="000000" w:themeColor="text1"/>
          <w:lang w:val="en-US" w:eastAsia="ja-JP"/>
        </w:rPr>
        <w:t>Philippines</w:t>
      </w:r>
      <w:r w:rsidR="003B2E97">
        <w:rPr>
          <w:rFonts w:eastAsiaTheme="minorEastAsia"/>
          <w:color w:val="000000" w:themeColor="text1"/>
          <w:lang w:val="en-US" w:eastAsia="ja-JP"/>
        </w:rPr>
        <w:t xml:space="preserve"> </w:t>
      </w:r>
      <w:r w:rsidRPr="00813D19">
        <w:rPr>
          <w:rFonts w:eastAsiaTheme="minorEastAsia"/>
          <w:color w:val="000000" w:themeColor="text1"/>
          <w:lang w:val="en-US" w:eastAsia="ja-JP"/>
        </w:rPr>
        <w:t xml:space="preserve">and </w:t>
      </w:r>
      <w:r w:rsidR="00B870DF" w:rsidRPr="00813D19">
        <w:rPr>
          <w:rFonts w:eastAsiaTheme="minorEastAsia"/>
          <w:color w:val="000000" w:themeColor="text1"/>
          <w:lang w:val="en-US" w:eastAsia="ja-JP"/>
        </w:rPr>
        <w:t xml:space="preserve">Lebanon </w:t>
      </w:r>
    </w:p>
    <w:p w14:paraId="11ECF911" w14:textId="03895E90" w:rsidR="00B70E76" w:rsidRDefault="00B70E76" w:rsidP="00DD5D34">
      <w:pPr>
        <w:pStyle w:val="alina"/>
        <w:tabs>
          <w:tab w:val="clear" w:pos="567"/>
          <w:tab w:val="left" w:pos="709"/>
          <w:tab w:val="left" w:pos="1418"/>
          <w:tab w:val="left" w:pos="2126"/>
          <w:tab w:val="left" w:pos="2835"/>
          <w:tab w:val="left" w:pos="3544"/>
        </w:tabs>
        <w:spacing w:after="120"/>
        <w:ind w:left="2126" w:hanging="850"/>
        <w:rPr>
          <w:snapToGrid w:val="0"/>
          <w:color w:val="000000" w:themeColor="text1"/>
          <w:lang w:val="fr-FR"/>
        </w:rPr>
      </w:pPr>
      <w:r w:rsidRPr="003221D5">
        <w:rPr>
          <w:color w:val="000000" w:themeColor="text1"/>
          <w:lang w:val="fr-FR"/>
        </w:rPr>
        <w:t xml:space="preserve">Rapporteur: </w:t>
      </w:r>
      <w:r w:rsidRPr="003221D5">
        <w:rPr>
          <w:color w:val="000000" w:themeColor="text1"/>
          <w:lang w:val="fr-FR"/>
        </w:rPr>
        <w:tab/>
      </w:r>
      <w:r w:rsidRPr="003221D5">
        <w:rPr>
          <w:color w:val="000000" w:themeColor="text1"/>
          <w:lang w:val="fr-FR"/>
        </w:rPr>
        <w:tab/>
      </w:r>
      <w:r w:rsidR="0044180C" w:rsidRPr="003221D5">
        <w:rPr>
          <w:snapToGrid w:val="0"/>
          <w:color w:val="000000" w:themeColor="text1"/>
          <w:lang w:val="fr-FR"/>
        </w:rPr>
        <w:t xml:space="preserve">Ms Gabriele Detschmann </w:t>
      </w:r>
      <w:r w:rsidRPr="003221D5">
        <w:rPr>
          <w:snapToGrid w:val="0"/>
          <w:color w:val="000000" w:themeColor="text1"/>
          <w:lang w:val="fr-FR"/>
        </w:rPr>
        <w:t>(</w:t>
      </w:r>
      <w:r w:rsidR="0044180C" w:rsidRPr="003221D5">
        <w:rPr>
          <w:snapToGrid w:val="0"/>
          <w:color w:val="000000" w:themeColor="text1"/>
          <w:lang w:val="fr-FR"/>
        </w:rPr>
        <w:t>Austria</w:t>
      </w:r>
      <w:r w:rsidRPr="003221D5">
        <w:rPr>
          <w:snapToGrid w:val="0"/>
          <w:color w:val="000000" w:themeColor="text1"/>
          <w:lang w:val="fr-FR"/>
        </w:rPr>
        <w:t>)</w:t>
      </w:r>
    </w:p>
    <w:p w14:paraId="47FD77D4" w14:textId="533FDCAB" w:rsidR="006F161B" w:rsidRPr="006F161B" w:rsidRDefault="006F161B" w:rsidP="006F161B">
      <w:pPr>
        <w:pStyle w:val="Orateurengris"/>
        <w:ind w:left="709" w:hanging="709"/>
        <w:rPr>
          <w:lang w:val="en-US"/>
        </w:rPr>
      </w:pPr>
      <w:r w:rsidRPr="006F161B">
        <w:rPr>
          <w:lang w:val="en-US"/>
        </w:rPr>
        <w:t>The Committee may wish to adopt the following decision:</w:t>
      </w:r>
    </w:p>
    <w:p w14:paraId="3828BAC4" w14:textId="40C7BA71" w:rsidR="006F161B" w:rsidRPr="007C6403" w:rsidRDefault="006F161B" w:rsidP="006F161B">
      <w:pPr>
        <w:pStyle w:val="BODYTEXT"/>
        <w:keepNext/>
        <w:numPr>
          <w:ilvl w:val="0"/>
          <w:numId w:val="0"/>
        </w:numPr>
        <w:tabs>
          <w:tab w:val="clear" w:pos="709"/>
          <w:tab w:val="clear" w:pos="1418"/>
        </w:tabs>
        <w:spacing w:before="360"/>
        <w:ind w:left="709"/>
        <w:rPr>
          <w:b/>
        </w:rPr>
      </w:pPr>
      <w:r w:rsidRPr="007C6403">
        <w:rPr>
          <w:b/>
        </w:rPr>
        <w:t>DRAFT DECISION 1</w:t>
      </w:r>
      <w:r>
        <w:rPr>
          <w:b/>
        </w:rPr>
        <w:t>4</w:t>
      </w:r>
      <w:r w:rsidRPr="007C6403">
        <w:rPr>
          <w:b/>
        </w:rPr>
        <w:t>.COM 4</w:t>
      </w:r>
    </w:p>
    <w:p w14:paraId="0D91BDEF" w14:textId="77777777" w:rsidR="006F161B" w:rsidRPr="007C6403" w:rsidRDefault="006F161B" w:rsidP="006F161B">
      <w:pPr>
        <w:pStyle w:val="BODYTEXT"/>
        <w:keepNext/>
        <w:numPr>
          <w:ilvl w:val="0"/>
          <w:numId w:val="0"/>
        </w:numPr>
        <w:tabs>
          <w:tab w:val="clear" w:pos="709"/>
          <w:tab w:val="clear" w:pos="1418"/>
        </w:tabs>
        <w:spacing w:before="0"/>
        <w:ind w:left="709"/>
      </w:pPr>
      <w:r w:rsidRPr="007C6403">
        <w:t>The Committee,</w:t>
      </w:r>
    </w:p>
    <w:p w14:paraId="2B302D4D" w14:textId="3957666A" w:rsidR="006F161B" w:rsidRPr="007C6403" w:rsidRDefault="006F161B" w:rsidP="006F161B">
      <w:pPr>
        <w:pStyle w:val="BODYTEXT"/>
        <w:numPr>
          <w:ilvl w:val="0"/>
          <w:numId w:val="28"/>
        </w:numPr>
        <w:tabs>
          <w:tab w:val="clear" w:pos="709"/>
          <w:tab w:val="clear" w:pos="1418"/>
          <w:tab w:val="left" w:pos="1276"/>
        </w:tabs>
        <w:spacing w:before="0"/>
        <w:ind w:left="1276" w:hanging="567"/>
      </w:pPr>
      <w:r w:rsidRPr="00FB3F42">
        <w:rPr>
          <w:u w:val="single"/>
        </w:rPr>
        <w:t>Having examined</w:t>
      </w:r>
      <w:r w:rsidRPr="007C6403">
        <w:t xml:space="preserve"> document </w:t>
      </w:r>
      <w:r>
        <w:t>LHE</w:t>
      </w:r>
      <w:r w:rsidRPr="007C6403">
        <w:t>/1</w:t>
      </w:r>
      <w:r>
        <w:t>9</w:t>
      </w:r>
      <w:r w:rsidRPr="007C6403">
        <w:t>/1</w:t>
      </w:r>
      <w:r>
        <w:t>4</w:t>
      </w:r>
      <w:r w:rsidRPr="007C6403">
        <w:t>.COM/4,</w:t>
      </w:r>
    </w:p>
    <w:p w14:paraId="7246B4A4" w14:textId="43B2653F" w:rsidR="006F161B" w:rsidRPr="00C86DE0" w:rsidRDefault="006F161B" w:rsidP="006F161B">
      <w:pPr>
        <w:pStyle w:val="BODYTEXT"/>
        <w:numPr>
          <w:ilvl w:val="0"/>
          <w:numId w:val="28"/>
        </w:numPr>
        <w:tabs>
          <w:tab w:val="clear" w:pos="709"/>
          <w:tab w:val="clear" w:pos="1418"/>
          <w:tab w:val="left" w:pos="1276"/>
        </w:tabs>
        <w:spacing w:before="0"/>
        <w:ind w:left="1276" w:hanging="567"/>
      </w:pPr>
      <w:r w:rsidRPr="00FB3F42">
        <w:rPr>
          <w:u w:val="single"/>
        </w:rPr>
        <w:t>Adopts</w:t>
      </w:r>
      <w:r w:rsidRPr="003371C6">
        <w:t xml:space="preserve"> the summary records of the Committee’s </w:t>
      </w:r>
      <w:r>
        <w:t>thirteenth</w:t>
      </w:r>
      <w:r w:rsidRPr="003371C6">
        <w:t xml:space="preserve"> session contained in this document.</w:t>
      </w:r>
    </w:p>
    <w:p w14:paraId="4B1BC0A4" w14:textId="317CA2B2" w:rsidR="00B70E76" w:rsidRPr="00813D19" w:rsidRDefault="00B70E76" w:rsidP="00B70E76">
      <w:pPr>
        <w:pStyle w:val="b"/>
        <w:tabs>
          <w:tab w:val="clear" w:pos="-737"/>
          <w:tab w:val="clear" w:pos="1134"/>
          <w:tab w:val="left" w:pos="709"/>
          <w:tab w:val="left" w:pos="1418"/>
          <w:tab w:val="left" w:pos="2126"/>
          <w:tab w:val="left" w:pos="2835"/>
        </w:tabs>
        <w:spacing w:after="360"/>
        <w:ind w:left="567"/>
        <w:jc w:val="center"/>
        <w:outlineLvl w:val="0"/>
        <w:rPr>
          <w:rFonts w:cs="Arial"/>
          <w:color w:val="000000" w:themeColor="text1"/>
          <w:szCs w:val="22"/>
          <w:lang w:val="en-US"/>
        </w:rPr>
      </w:pPr>
      <w:r w:rsidRPr="006F161B">
        <w:rPr>
          <w:rFonts w:cs="Arial"/>
          <w:i/>
          <w:color w:val="000000" w:themeColor="text1"/>
          <w:szCs w:val="22"/>
          <w:lang w:val="en-US"/>
        </w:rPr>
        <w:br w:type="column"/>
      </w:r>
      <w:r w:rsidRPr="00813D19">
        <w:rPr>
          <w:rFonts w:cs="Arial"/>
          <w:b/>
          <w:color w:val="000000" w:themeColor="text1"/>
          <w:szCs w:val="22"/>
          <w:lang w:val="en-US"/>
        </w:rPr>
        <w:lastRenderedPageBreak/>
        <w:t xml:space="preserve">SUMMARY RECORDS OF THE </w:t>
      </w:r>
      <w:r w:rsidR="0044180C" w:rsidRPr="00813D19">
        <w:rPr>
          <w:rFonts w:cs="Arial"/>
          <w:b/>
          <w:color w:val="000000" w:themeColor="text1"/>
          <w:szCs w:val="22"/>
          <w:lang w:val="en-US"/>
        </w:rPr>
        <w:t>THIRTEENTH</w:t>
      </w:r>
      <w:r w:rsidRPr="00813D19">
        <w:rPr>
          <w:rFonts w:cs="Arial"/>
          <w:b/>
          <w:color w:val="000000" w:themeColor="text1"/>
          <w:szCs w:val="22"/>
          <w:lang w:val="en-US"/>
        </w:rPr>
        <w:t xml:space="preserve"> SESSION OF THE COMMITTEE</w:t>
      </w:r>
    </w:p>
    <w:p w14:paraId="02BA27A7" w14:textId="52C6D6D8" w:rsidR="00B70E76" w:rsidRPr="00813D19" w:rsidRDefault="00B70E76" w:rsidP="00B70E76">
      <w:pPr>
        <w:pStyle w:val="Marge"/>
        <w:keepNext/>
        <w:tabs>
          <w:tab w:val="clear" w:pos="567"/>
          <w:tab w:val="left" w:pos="709"/>
          <w:tab w:val="left" w:pos="1418"/>
          <w:tab w:val="left" w:pos="2126"/>
          <w:tab w:val="left" w:pos="2835"/>
        </w:tabs>
        <w:spacing w:before="240"/>
        <w:ind w:left="567" w:hanging="567"/>
        <w:jc w:val="center"/>
        <w:outlineLvl w:val="0"/>
        <w:rPr>
          <w:rFonts w:cs="Arial"/>
          <w:b/>
          <w:color w:val="000000" w:themeColor="text1"/>
          <w:szCs w:val="22"/>
          <w:lang w:val="en-US"/>
        </w:rPr>
      </w:pPr>
      <w:r w:rsidRPr="00813D19">
        <w:rPr>
          <w:rFonts w:cs="Arial"/>
          <w:i/>
          <w:color w:val="000000" w:themeColor="text1"/>
          <w:szCs w:val="22"/>
          <w:lang w:val="en-US"/>
        </w:rPr>
        <w:t xml:space="preserve">[Monday, </w:t>
      </w:r>
      <w:r w:rsidR="0044180C" w:rsidRPr="00813D19">
        <w:rPr>
          <w:rFonts w:cs="Arial"/>
          <w:i/>
          <w:iCs/>
          <w:color w:val="000000" w:themeColor="text1"/>
          <w:szCs w:val="22"/>
          <w:lang w:val="en-US"/>
        </w:rPr>
        <w:t>26</w:t>
      </w:r>
      <w:r w:rsidRPr="00813D19">
        <w:rPr>
          <w:rFonts w:cs="Arial"/>
          <w:i/>
          <w:iCs/>
          <w:color w:val="000000" w:themeColor="text1"/>
          <w:szCs w:val="22"/>
          <w:lang w:val="en-US"/>
        </w:rPr>
        <w:t xml:space="preserve"> </w:t>
      </w:r>
      <w:r w:rsidR="0044180C" w:rsidRPr="00813D19">
        <w:rPr>
          <w:rFonts w:cs="Arial"/>
          <w:i/>
          <w:iCs/>
          <w:color w:val="000000" w:themeColor="text1"/>
          <w:szCs w:val="22"/>
          <w:lang w:val="en-US"/>
        </w:rPr>
        <w:t xml:space="preserve">November </w:t>
      </w:r>
      <w:r w:rsidR="0044180C" w:rsidRPr="00813D19">
        <w:rPr>
          <w:rFonts w:eastAsia="Malgun Gothic" w:cs="Arial"/>
          <w:i/>
          <w:iCs/>
          <w:color w:val="000000" w:themeColor="text1"/>
          <w:szCs w:val="22"/>
          <w:lang w:val="en-US" w:eastAsia="ko-KR"/>
        </w:rPr>
        <w:t>2018</w:t>
      </w:r>
      <w:r w:rsidRPr="00813D19">
        <w:rPr>
          <w:rFonts w:cs="Arial"/>
          <w:i/>
          <w:iCs/>
          <w:color w:val="000000" w:themeColor="text1"/>
          <w:szCs w:val="22"/>
          <w:lang w:val="en-US"/>
        </w:rPr>
        <w:t xml:space="preserve">, </w:t>
      </w:r>
      <w:r w:rsidRPr="00813D19">
        <w:rPr>
          <w:rFonts w:cs="Arial"/>
          <w:i/>
          <w:color w:val="000000" w:themeColor="text1"/>
          <w:szCs w:val="22"/>
          <w:lang w:val="en-US"/>
        </w:rPr>
        <w:t>morning session]</w:t>
      </w:r>
    </w:p>
    <w:p w14:paraId="3A8FDD80" w14:textId="77777777" w:rsidR="00B70E76" w:rsidRPr="00813D19" w:rsidRDefault="00B70E76" w:rsidP="006F161B">
      <w:pPr>
        <w:pStyle w:val="Marge"/>
        <w:keepNext/>
        <w:tabs>
          <w:tab w:val="clear" w:pos="567"/>
          <w:tab w:val="left" w:pos="709"/>
          <w:tab w:val="left" w:pos="1418"/>
          <w:tab w:val="left" w:pos="2126"/>
          <w:tab w:val="left" w:pos="2835"/>
        </w:tabs>
        <w:spacing w:before="360" w:after="60"/>
        <w:ind w:left="567" w:hanging="567"/>
        <w:jc w:val="left"/>
        <w:outlineLvl w:val="0"/>
        <w:rPr>
          <w:rFonts w:eastAsia="Malgun Gothic" w:cs="Arial"/>
          <w:b/>
          <w:color w:val="000000" w:themeColor="text1"/>
          <w:szCs w:val="22"/>
          <w:lang w:val="en-US" w:eastAsia="ko-KR"/>
        </w:rPr>
      </w:pPr>
      <w:r w:rsidRPr="00813D19">
        <w:rPr>
          <w:rFonts w:cs="Arial"/>
          <w:b/>
          <w:color w:val="000000" w:themeColor="text1"/>
          <w:szCs w:val="22"/>
          <w:u w:val="single"/>
          <w:lang w:val="en-US"/>
        </w:rPr>
        <w:t>ITEM 1 OF THE AGENDA</w:t>
      </w:r>
      <w:r w:rsidRPr="00813D19">
        <w:rPr>
          <w:rFonts w:cs="Arial"/>
          <w:b/>
          <w:color w:val="000000" w:themeColor="text1"/>
          <w:szCs w:val="22"/>
          <w:lang w:val="en-US"/>
        </w:rPr>
        <w:t>:</w:t>
      </w:r>
    </w:p>
    <w:p w14:paraId="21215915" w14:textId="6CC2A744" w:rsidR="00CE521C" w:rsidRPr="00813D19" w:rsidRDefault="00B70E76" w:rsidP="006F161B">
      <w:pPr>
        <w:pStyle w:val="Marge"/>
        <w:keepNext/>
        <w:tabs>
          <w:tab w:val="clear" w:pos="567"/>
          <w:tab w:val="left" w:pos="709"/>
          <w:tab w:val="left" w:pos="1418"/>
          <w:tab w:val="left" w:pos="2126"/>
          <w:tab w:val="left" w:pos="2835"/>
        </w:tabs>
        <w:spacing w:after="120"/>
        <w:ind w:left="567" w:hanging="567"/>
        <w:jc w:val="left"/>
        <w:outlineLvl w:val="1"/>
        <w:rPr>
          <w:rFonts w:cs="Arial"/>
          <w:b/>
          <w:color w:val="000000" w:themeColor="text1"/>
          <w:szCs w:val="22"/>
          <w:lang w:val="en-US"/>
        </w:rPr>
      </w:pPr>
      <w:r w:rsidRPr="00813D19">
        <w:rPr>
          <w:rFonts w:cs="Arial"/>
          <w:b/>
          <w:color w:val="000000" w:themeColor="text1"/>
          <w:szCs w:val="22"/>
          <w:lang w:val="en-US"/>
        </w:rPr>
        <w:t xml:space="preserve">OPENING </w:t>
      </w:r>
    </w:p>
    <w:p w14:paraId="4C88AE14" w14:textId="43FADD27" w:rsidR="00B70E76" w:rsidRPr="0016273D" w:rsidRDefault="00B70E76" w:rsidP="0016273D">
      <w:pPr>
        <w:widowControl w:val="0"/>
        <w:autoSpaceDE w:val="0"/>
        <w:autoSpaceDN w:val="0"/>
        <w:adjustRightInd w:val="0"/>
        <w:spacing w:before="120" w:after="240"/>
        <w:ind w:left="1276" w:hanging="567"/>
        <w:rPr>
          <w:rFonts w:ascii="Arial" w:hAnsi="Arial" w:cs="Arial"/>
          <w:i/>
          <w:sz w:val="22"/>
          <w:szCs w:val="22"/>
          <w:lang w:val="en-US"/>
        </w:rPr>
      </w:pPr>
      <w:r w:rsidRPr="0016273D">
        <w:rPr>
          <w:rFonts w:ascii="Arial" w:hAnsi="Arial" w:cs="Arial"/>
          <w:b/>
          <w:color w:val="000000" w:themeColor="text1"/>
          <w:sz w:val="22"/>
          <w:szCs w:val="22"/>
          <w:lang w:val="en-US"/>
        </w:rPr>
        <w:t>Document:</w:t>
      </w:r>
      <w:r w:rsidR="0016273D">
        <w:rPr>
          <w:rFonts w:ascii="Arial" w:hAnsi="Arial" w:cs="Arial"/>
          <w:b/>
          <w:color w:val="000000" w:themeColor="text1"/>
          <w:sz w:val="22"/>
          <w:szCs w:val="22"/>
          <w:lang w:val="en-US"/>
        </w:rPr>
        <w:tab/>
      </w:r>
      <w:hyperlink r:id="rId9" w:history="1">
        <w:r w:rsidR="0044180C" w:rsidRPr="0016273D">
          <w:rPr>
            <w:rStyle w:val="Hyperlink"/>
            <w:rFonts w:ascii="Arial" w:hAnsi="Arial" w:cs="Arial"/>
            <w:i/>
            <w:sz w:val="22"/>
            <w:szCs w:val="22"/>
            <w:lang w:val="en-US"/>
          </w:rPr>
          <w:t>ITH/18/13</w:t>
        </w:r>
        <w:r w:rsidRPr="0016273D">
          <w:rPr>
            <w:rStyle w:val="Hyperlink"/>
            <w:rFonts w:ascii="Arial" w:hAnsi="Arial" w:cs="Arial"/>
            <w:i/>
            <w:sz w:val="22"/>
            <w:szCs w:val="22"/>
            <w:lang w:val="en-US"/>
          </w:rPr>
          <w:t>.COM/INF.1 Rev</w:t>
        </w:r>
      </w:hyperlink>
    </w:p>
    <w:p w14:paraId="7AD6D67D" w14:textId="2D9B7433" w:rsidR="00B66E8A" w:rsidRPr="00813D19" w:rsidRDefault="00B70E76" w:rsidP="00CE5F74">
      <w:pPr>
        <w:pStyle w:val="Orateurengris"/>
        <w:tabs>
          <w:tab w:val="clear" w:pos="709"/>
          <w:tab w:val="clear" w:pos="1418"/>
          <w:tab w:val="clear" w:pos="2126"/>
          <w:tab w:val="clear" w:pos="2835"/>
        </w:tabs>
        <w:spacing w:after="0"/>
        <w:ind w:left="709" w:hanging="709"/>
        <w:rPr>
          <w:color w:val="000000" w:themeColor="text1"/>
          <w:lang w:val="en-US"/>
        </w:rPr>
      </w:pPr>
      <w:r w:rsidRPr="00813D19">
        <w:rPr>
          <w:color w:val="000000" w:themeColor="text1"/>
          <w:lang w:val="en-US"/>
        </w:rPr>
        <w:t xml:space="preserve">The </w:t>
      </w:r>
      <w:r w:rsidRPr="00813D19">
        <w:rPr>
          <w:b/>
          <w:bCs/>
          <w:color w:val="000000" w:themeColor="text1"/>
          <w:lang w:val="en-US"/>
        </w:rPr>
        <w:t>Chairperson</w:t>
      </w:r>
      <w:r w:rsidR="00C45FBA" w:rsidRPr="00813D19">
        <w:rPr>
          <w:color w:val="000000" w:themeColor="text1"/>
          <w:lang w:val="en-US"/>
        </w:rPr>
        <w:t xml:space="preserve">, </w:t>
      </w:r>
      <w:r w:rsidR="0044180C" w:rsidRPr="00813D19">
        <w:rPr>
          <w:b/>
          <w:color w:val="000000" w:themeColor="text1"/>
          <w:lang w:val="en-US"/>
        </w:rPr>
        <w:t>Mr Prithvirajsing Roopun</w:t>
      </w:r>
      <w:r w:rsidR="00C45FBA" w:rsidRPr="00813D19">
        <w:rPr>
          <w:b/>
          <w:color w:val="000000" w:themeColor="text1"/>
          <w:lang w:val="en-US"/>
        </w:rPr>
        <w:t>,</w:t>
      </w:r>
      <w:r w:rsidR="00C45FBA" w:rsidRPr="00813D19">
        <w:rPr>
          <w:color w:val="000000" w:themeColor="text1"/>
          <w:lang w:val="en-US"/>
        </w:rPr>
        <w:t xml:space="preserve"> welcomed the delegates to the thirteenth session of the Intergovernmental Committee for the Safeguarding of the Intangible Cultural Heritage. He began </w:t>
      </w:r>
      <w:r w:rsidR="000D7C4F" w:rsidRPr="00813D19">
        <w:rPr>
          <w:color w:val="000000" w:themeColor="text1"/>
          <w:lang w:val="en-US"/>
        </w:rPr>
        <w:t>by announcing that language interpretation</w:t>
      </w:r>
      <w:r w:rsidR="00772227" w:rsidRPr="00813D19">
        <w:rPr>
          <w:color w:val="000000" w:themeColor="text1"/>
          <w:lang w:val="en-US"/>
        </w:rPr>
        <w:t xml:space="preserve"> </w:t>
      </w:r>
      <w:r w:rsidR="000D7C4F" w:rsidRPr="00813D19">
        <w:rPr>
          <w:color w:val="000000" w:themeColor="text1"/>
          <w:lang w:val="en-US"/>
        </w:rPr>
        <w:t xml:space="preserve">was </w:t>
      </w:r>
      <w:r w:rsidR="00772227" w:rsidRPr="00813D19">
        <w:rPr>
          <w:color w:val="000000" w:themeColor="text1"/>
          <w:lang w:val="en-US"/>
        </w:rPr>
        <w:t xml:space="preserve">available in </w:t>
      </w:r>
      <w:r w:rsidR="00C45FBA" w:rsidRPr="00813D19">
        <w:rPr>
          <w:color w:val="000000" w:themeColor="text1"/>
          <w:lang w:val="en-US"/>
        </w:rPr>
        <w:t xml:space="preserve">English and French, </w:t>
      </w:r>
      <w:r w:rsidR="00772227" w:rsidRPr="00813D19">
        <w:rPr>
          <w:color w:val="000000" w:themeColor="text1"/>
          <w:lang w:val="en-US"/>
        </w:rPr>
        <w:t xml:space="preserve">the working languages of the Committee, </w:t>
      </w:r>
      <w:r w:rsidR="000D7C4F" w:rsidRPr="00813D19">
        <w:rPr>
          <w:color w:val="000000" w:themeColor="text1"/>
          <w:lang w:val="en-US"/>
        </w:rPr>
        <w:t xml:space="preserve">as well as </w:t>
      </w:r>
      <w:r w:rsidR="00FF0ACC" w:rsidRPr="00813D19">
        <w:rPr>
          <w:color w:val="000000" w:themeColor="text1"/>
          <w:lang w:val="en-US"/>
        </w:rPr>
        <w:t>Spanish for the entire duration of the session</w:t>
      </w:r>
      <w:r w:rsidR="000D7C4F" w:rsidRPr="00813D19">
        <w:rPr>
          <w:color w:val="000000" w:themeColor="text1"/>
          <w:lang w:val="en-US"/>
        </w:rPr>
        <w:t>,</w:t>
      </w:r>
      <w:r w:rsidR="00C45FBA" w:rsidRPr="00813D19">
        <w:rPr>
          <w:color w:val="000000" w:themeColor="text1"/>
          <w:lang w:val="en-US"/>
        </w:rPr>
        <w:t xml:space="preserve"> and Arabic interpretation for Item 10 and its sub-items. The Chairperson </w:t>
      </w:r>
      <w:r w:rsidR="00FF0ACC" w:rsidRPr="00813D19">
        <w:rPr>
          <w:color w:val="000000" w:themeColor="text1"/>
          <w:lang w:val="en-US"/>
        </w:rPr>
        <w:t>gratefully acknowledge</w:t>
      </w:r>
      <w:r w:rsidR="00C45FBA" w:rsidRPr="00813D19">
        <w:rPr>
          <w:color w:val="000000" w:themeColor="text1"/>
          <w:lang w:val="en-US"/>
        </w:rPr>
        <w:t>d</w:t>
      </w:r>
      <w:r w:rsidR="00FF0ACC" w:rsidRPr="00813D19">
        <w:rPr>
          <w:color w:val="000000" w:themeColor="text1"/>
          <w:lang w:val="en-US"/>
        </w:rPr>
        <w:t xml:space="preserve"> </w:t>
      </w:r>
      <w:r w:rsidR="00C45FBA" w:rsidRPr="00813D19">
        <w:rPr>
          <w:color w:val="000000" w:themeColor="text1"/>
          <w:lang w:val="en-US"/>
        </w:rPr>
        <w:t xml:space="preserve">the financial support </w:t>
      </w:r>
      <w:r w:rsidR="00772227" w:rsidRPr="00813D19">
        <w:rPr>
          <w:color w:val="000000" w:themeColor="text1"/>
          <w:lang w:val="en-US"/>
        </w:rPr>
        <w:t xml:space="preserve">offered by Spain and the </w:t>
      </w:r>
      <w:r w:rsidR="00FF0ACC" w:rsidRPr="00813D19">
        <w:rPr>
          <w:color w:val="000000" w:themeColor="text1"/>
          <w:lang w:val="en-US"/>
        </w:rPr>
        <w:t>Sultan Bin Abdulaziz Al-Saud Foundation of the Kingdom of Saudi Arabia</w:t>
      </w:r>
      <w:r w:rsidR="00C45FBA" w:rsidRPr="00813D19">
        <w:rPr>
          <w:color w:val="000000" w:themeColor="text1"/>
          <w:lang w:val="en-US"/>
        </w:rPr>
        <w:t xml:space="preserve"> </w:t>
      </w:r>
      <w:r w:rsidR="00D6383F" w:rsidRPr="00813D19">
        <w:rPr>
          <w:color w:val="000000" w:themeColor="text1"/>
          <w:lang w:val="en-US"/>
        </w:rPr>
        <w:t>for Spanish and Arabic interpretation</w:t>
      </w:r>
      <w:r w:rsidR="000C072C">
        <w:rPr>
          <w:color w:val="000000" w:themeColor="text1"/>
          <w:lang w:val="en-US"/>
        </w:rPr>
        <w:t>,</w:t>
      </w:r>
      <w:r w:rsidR="00D6383F" w:rsidRPr="00813D19">
        <w:rPr>
          <w:color w:val="000000" w:themeColor="text1"/>
          <w:lang w:val="en-US"/>
        </w:rPr>
        <w:t xml:space="preserve"> </w:t>
      </w:r>
      <w:r w:rsidR="00772227" w:rsidRPr="00813D19">
        <w:rPr>
          <w:color w:val="000000" w:themeColor="text1"/>
          <w:lang w:val="en-US"/>
        </w:rPr>
        <w:t xml:space="preserve">respectively. </w:t>
      </w:r>
      <w:r w:rsidR="00D6383F" w:rsidRPr="00813D19">
        <w:rPr>
          <w:color w:val="000000" w:themeColor="text1"/>
          <w:lang w:val="en-US"/>
        </w:rPr>
        <w:t xml:space="preserve">He was </w:t>
      </w:r>
      <w:r w:rsidR="00FF0ACC" w:rsidRPr="00813D19">
        <w:rPr>
          <w:color w:val="000000" w:themeColor="text1"/>
          <w:lang w:val="en-US"/>
        </w:rPr>
        <w:t>hono</w:t>
      </w:r>
      <w:r w:rsidR="00C64B11">
        <w:rPr>
          <w:color w:val="000000" w:themeColor="text1"/>
          <w:lang w:val="en-US"/>
        </w:rPr>
        <w:t>u</w:t>
      </w:r>
      <w:r w:rsidR="00FF0ACC" w:rsidRPr="00813D19">
        <w:rPr>
          <w:color w:val="000000" w:themeColor="text1"/>
          <w:lang w:val="en-US"/>
        </w:rPr>
        <w:t>r</w:t>
      </w:r>
      <w:r w:rsidR="00D6383F" w:rsidRPr="00813D19">
        <w:rPr>
          <w:color w:val="000000" w:themeColor="text1"/>
          <w:lang w:val="en-US"/>
        </w:rPr>
        <w:t>ed</w:t>
      </w:r>
      <w:r w:rsidR="00772227" w:rsidRPr="00813D19">
        <w:rPr>
          <w:color w:val="000000" w:themeColor="text1"/>
          <w:lang w:val="en-US"/>
        </w:rPr>
        <w:t xml:space="preserve"> </w:t>
      </w:r>
      <w:r w:rsidR="00FF0ACC" w:rsidRPr="00813D19">
        <w:rPr>
          <w:color w:val="000000" w:themeColor="text1"/>
          <w:lang w:val="en-US"/>
        </w:rPr>
        <w:t xml:space="preserve">to welcome the </w:t>
      </w:r>
      <w:r w:rsidR="00772227" w:rsidRPr="00813D19">
        <w:rPr>
          <w:color w:val="000000" w:themeColor="text1"/>
          <w:lang w:val="en-US"/>
        </w:rPr>
        <w:t xml:space="preserve">delegates, </w:t>
      </w:r>
      <w:r w:rsidR="00FF0ACC" w:rsidRPr="00813D19">
        <w:rPr>
          <w:color w:val="000000" w:themeColor="text1"/>
          <w:lang w:val="en-US"/>
        </w:rPr>
        <w:t>the Director-Gener</w:t>
      </w:r>
      <w:r w:rsidR="00772227" w:rsidRPr="00813D19">
        <w:rPr>
          <w:color w:val="000000" w:themeColor="text1"/>
          <w:lang w:val="en-US"/>
        </w:rPr>
        <w:t xml:space="preserve">al of UNESCO, Ms Audrey Azoulay, as well as </w:t>
      </w:r>
      <w:r w:rsidR="00FF0ACC" w:rsidRPr="00813D19">
        <w:rPr>
          <w:color w:val="000000" w:themeColor="text1"/>
          <w:lang w:val="en-US"/>
        </w:rPr>
        <w:t xml:space="preserve">the Ministers and dignitaries of the States Parties </w:t>
      </w:r>
      <w:r w:rsidR="00772227" w:rsidRPr="00813D19">
        <w:rPr>
          <w:color w:val="000000" w:themeColor="text1"/>
          <w:lang w:val="en-US"/>
        </w:rPr>
        <w:t xml:space="preserve">and </w:t>
      </w:r>
      <w:r w:rsidR="00FF0ACC" w:rsidRPr="00813D19">
        <w:rPr>
          <w:color w:val="000000" w:themeColor="text1"/>
          <w:lang w:val="en-US"/>
        </w:rPr>
        <w:t xml:space="preserve">non-States Parties to the Convention, experts and representatives of non-governmental </w:t>
      </w:r>
      <w:r w:rsidR="00D6383F" w:rsidRPr="00813D19">
        <w:rPr>
          <w:color w:val="000000" w:themeColor="text1"/>
          <w:lang w:val="en-US"/>
        </w:rPr>
        <w:t>organizations and civil society. T</w:t>
      </w:r>
      <w:r w:rsidR="00FF0ACC" w:rsidRPr="00813D19">
        <w:rPr>
          <w:color w:val="000000" w:themeColor="text1"/>
          <w:lang w:val="en-US"/>
        </w:rPr>
        <w:t xml:space="preserve">he Committee </w:t>
      </w:r>
      <w:r w:rsidR="00D6383F" w:rsidRPr="00813D19">
        <w:rPr>
          <w:color w:val="000000" w:themeColor="text1"/>
          <w:lang w:val="en-US"/>
        </w:rPr>
        <w:t xml:space="preserve">would </w:t>
      </w:r>
      <w:r w:rsidR="00FF0ACC" w:rsidRPr="00813D19">
        <w:rPr>
          <w:color w:val="000000" w:themeColor="text1"/>
          <w:lang w:val="en-US"/>
        </w:rPr>
        <w:t xml:space="preserve">deliberate on important issues and make decisions for the effective safeguarding of living heritage. </w:t>
      </w:r>
      <w:r w:rsidR="00813D19" w:rsidRPr="00813D19">
        <w:rPr>
          <w:color w:val="000000" w:themeColor="text1"/>
          <w:lang w:val="en-US"/>
        </w:rPr>
        <w:t>With</w:t>
      </w:r>
      <w:r w:rsidR="00D6383F" w:rsidRPr="00813D19">
        <w:rPr>
          <w:color w:val="000000" w:themeColor="text1"/>
          <w:lang w:val="en-US"/>
        </w:rPr>
        <w:t xml:space="preserve"> a heavy agenda, the Chairperson counted on the </w:t>
      </w:r>
      <w:r w:rsidR="00FF0ACC" w:rsidRPr="00813D19">
        <w:rPr>
          <w:color w:val="000000" w:themeColor="text1"/>
          <w:lang w:val="en-US"/>
        </w:rPr>
        <w:t xml:space="preserve">cooperation </w:t>
      </w:r>
      <w:r w:rsidR="00D6383F" w:rsidRPr="00813D19">
        <w:rPr>
          <w:color w:val="000000" w:themeColor="text1"/>
          <w:lang w:val="en-US"/>
        </w:rPr>
        <w:t xml:space="preserve">of speakers </w:t>
      </w:r>
      <w:r w:rsidR="00FF0ACC" w:rsidRPr="00813D19">
        <w:rPr>
          <w:color w:val="000000" w:themeColor="text1"/>
          <w:lang w:val="en-US"/>
        </w:rPr>
        <w:t xml:space="preserve">in making </w:t>
      </w:r>
      <w:r w:rsidR="000C072C">
        <w:rPr>
          <w:color w:val="000000" w:themeColor="text1"/>
          <w:lang w:val="en-US"/>
        </w:rPr>
        <w:t xml:space="preserve">their </w:t>
      </w:r>
      <w:r w:rsidR="00FF0ACC" w:rsidRPr="00813D19">
        <w:rPr>
          <w:color w:val="000000" w:themeColor="text1"/>
          <w:lang w:val="en-US"/>
        </w:rPr>
        <w:t xml:space="preserve">interventions short and </w:t>
      </w:r>
      <w:r w:rsidR="00D6383F" w:rsidRPr="00813D19">
        <w:rPr>
          <w:color w:val="000000" w:themeColor="text1"/>
          <w:lang w:val="en-US"/>
        </w:rPr>
        <w:t>concise</w:t>
      </w:r>
      <w:r w:rsidR="00FF0ACC" w:rsidRPr="00813D19">
        <w:rPr>
          <w:color w:val="000000" w:themeColor="text1"/>
          <w:lang w:val="en-US"/>
        </w:rPr>
        <w:t xml:space="preserve">. </w:t>
      </w:r>
      <w:r w:rsidR="00D6383F" w:rsidRPr="00813D19">
        <w:rPr>
          <w:color w:val="000000" w:themeColor="text1"/>
          <w:lang w:val="en-US"/>
        </w:rPr>
        <w:t xml:space="preserve">He would </w:t>
      </w:r>
      <w:r w:rsidR="00FF0ACC" w:rsidRPr="00813D19">
        <w:rPr>
          <w:color w:val="000000" w:themeColor="text1"/>
          <w:lang w:val="en-US"/>
        </w:rPr>
        <w:t xml:space="preserve">also </w:t>
      </w:r>
      <w:r w:rsidR="00D6383F" w:rsidRPr="00813D19">
        <w:rPr>
          <w:color w:val="000000" w:themeColor="text1"/>
          <w:lang w:val="en-US"/>
        </w:rPr>
        <w:t xml:space="preserve">occasionally call </w:t>
      </w:r>
      <w:r w:rsidR="00FF0ACC" w:rsidRPr="00813D19">
        <w:rPr>
          <w:color w:val="000000" w:themeColor="text1"/>
          <w:lang w:val="en-US"/>
        </w:rPr>
        <w:t>on the Vice-Chairpersons</w:t>
      </w:r>
      <w:r w:rsidR="009D3138" w:rsidRPr="00813D19">
        <w:rPr>
          <w:color w:val="000000" w:themeColor="text1"/>
          <w:lang w:val="en-US"/>
        </w:rPr>
        <w:t xml:space="preserve"> of </w:t>
      </w:r>
      <w:r w:rsidR="00FF0ACC" w:rsidRPr="00813D19">
        <w:rPr>
          <w:color w:val="000000" w:themeColor="text1"/>
          <w:lang w:val="en-US"/>
        </w:rPr>
        <w:t>Armenia, Cyprus, Gua</w:t>
      </w:r>
      <w:r w:rsidR="00D6383F" w:rsidRPr="00813D19">
        <w:rPr>
          <w:color w:val="000000" w:themeColor="text1"/>
          <w:lang w:val="en-US"/>
        </w:rPr>
        <w:t xml:space="preserve">temala, Lebanon and </w:t>
      </w:r>
      <w:r w:rsidR="009D3138" w:rsidRPr="00813D19">
        <w:rPr>
          <w:color w:val="000000" w:themeColor="text1"/>
          <w:lang w:val="en-US"/>
        </w:rPr>
        <w:t xml:space="preserve">the </w:t>
      </w:r>
      <w:r w:rsidR="00D6383F" w:rsidRPr="00813D19">
        <w:rPr>
          <w:color w:val="000000" w:themeColor="text1"/>
          <w:lang w:val="en-US"/>
        </w:rPr>
        <w:t xml:space="preserve">Philippines to assist in the smooth progress of the session. The Rapporteur, </w:t>
      </w:r>
      <w:r w:rsidR="00FF0ACC" w:rsidRPr="00813D19">
        <w:rPr>
          <w:color w:val="000000" w:themeColor="text1"/>
          <w:lang w:val="en-US"/>
        </w:rPr>
        <w:t xml:space="preserve">Ms Gabriele Detschmann </w:t>
      </w:r>
      <w:r w:rsidR="009D3138" w:rsidRPr="00813D19">
        <w:rPr>
          <w:color w:val="000000" w:themeColor="text1"/>
          <w:lang w:val="en-US"/>
        </w:rPr>
        <w:t>of</w:t>
      </w:r>
      <w:r w:rsidR="00FF0ACC" w:rsidRPr="00813D19">
        <w:rPr>
          <w:color w:val="000000" w:themeColor="text1"/>
          <w:lang w:val="en-US"/>
        </w:rPr>
        <w:t xml:space="preserve"> Austria</w:t>
      </w:r>
      <w:r w:rsidR="00D6383F" w:rsidRPr="00813D19">
        <w:rPr>
          <w:color w:val="000000" w:themeColor="text1"/>
          <w:lang w:val="en-US"/>
        </w:rPr>
        <w:t>,</w:t>
      </w:r>
      <w:r w:rsidR="00FF0ACC" w:rsidRPr="00813D19">
        <w:rPr>
          <w:color w:val="000000" w:themeColor="text1"/>
          <w:lang w:val="en-US"/>
        </w:rPr>
        <w:t xml:space="preserve"> </w:t>
      </w:r>
      <w:r w:rsidR="00D6383F" w:rsidRPr="00813D19">
        <w:rPr>
          <w:color w:val="000000" w:themeColor="text1"/>
          <w:lang w:val="en-US"/>
        </w:rPr>
        <w:t>would sit</w:t>
      </w:r>
      <w:r w:rsidR="00FF0ACC" w:rsidRPr="00813D19">
        <w:rPr>
          <w:color w:val="000000" w:themeColor="text1"/>
          <w:lang w:val="en-US"/>
        </w:rPr>
        <w:t xml:space="preserve"> with her delegation. Together with the Republic of Mauritius, these countries form</w:t>
      </w:r>
      <w:r w:rsidR="00D6383F" w:rsidRPr="00813D19">
        <w:rPr>
          <w:color w:val="000000" w:themeColor="text1"/>
          <w:lang w:val="en-US"/>
        </w:rPr>
        <w:t>ed</w:t>
      </w:r>
      <w:r w:rsidR="001928D5">
        <w:rPr>
          <w:color w:val="000000" w:themeColor="text1"/>
          <w:lang w:val="en-US"/>
        </w:rPr>
        <w:t xml:space="preserve"> the Bureau of the Committee.</w:t>
      </w:r>
    </w:p>
    <w:p w14:paraId="219477E4" w14:textId="17E0255D" w:rsidR="004B1FA4" w:rsidRPr="00813D19" w:rsidRDefault="001430EF" w:rsidP="00C11D75">
      <w:pPr>
        <w:pStyle w:val="Orateurengris"/>
        <w:tabs>
          <w:tab w:val="clear" w:pos="709"/>
          <w:tab w:val="clear" w:pos="1418"/>
          <w:tab w:val="clear" w:pos="2126"/>
          <w:tab w:val="clear" w:pos="2835"/>
        </w:tab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Assi</w:t>
      </w:r>
      <w:r w:rsidR="009D3138" w:rsidRPr="00813D19">
        <w:rPr>
          <w:b/>
          <w:color w:val="000000" w:themeColor="text1"/>
          <w:lang w:val="en-US"/>
        </w:rPr>
        <w:t>s</w:t>
      </w:r>
      <w:r w:rsidRPr="00813D19">
        <w:rPr>
          <w:b/>
          <w:color w:val="000000" w:themeColor="text1"/>
          <w:lang w:val="en-US"/>
        </w:rPr>
        <w:t>tant Director-General</w:t>
      </w:r>
      <w:r w:rsidR="00C11D75" w:rsidRPr="00813D19">
        <w:rPr>
          <w:b/>
          <w:color w:val="000000" w:themeColor="text1"/>
          <w:lang w:val="en-US"/>
        </w:rPr>
        <w:t xml:space="preserve"> of UNESCO</w:t>
      </w:r>
      <w:r w:rsidRPr="00813D19">
        <w:rPr>
          <w:color w:val="000000" w:themeColor="text1"/>
          <w:lang w:val="en-US"/>
        </w:rPr>
        <w:t xml:space="preserve">, Mr Ernesto Ottone, </w:t>
      </w:r>
      <w:r w:rsidR="004B1FA4" w:rsidRPr="00813D19">
        <w:rPr>
          <w:color w:val="000000" w:themeColor="text1"/>
          <w:lang w:val="en-US"/>
        </w:rPr>
        <w:t xml:space="preserve">thanked the Government of the Republic of Mauritius for hosting this session of the Committee, with special thanks to the Minister of Arts and Culture and his team. </w:t>
      </w:r>
      <w:r w:rsidR="007A57A7" w:rsidRPr="00813D19">
        <w:rPr>
          <w:color w:val="000000" w:themeColor="text1"/>
          <w:lang w:val="en-US"/>
        </w:rPr>
        <w:t xml:space="preserve">As </w:t>
      </w:r>
      <w:r w:rsidR="004B1FA4" w:rsidRPr="00813D19">
        <w:rPr>
          <w:color w:val="000000" w:themeColor="text1"/>
          <w:lang w:val="en-US"/>
        </w:rPr>
        <w:t xml:space="preserve">always, </w:t>
      </w:r>
      <w:r w:rsidR="007A57A7" w:rsidRPr="00813D19">
        <w:rPr>
          <w:color w:val="000000" w:themeColor="text1"/>
          <w:lang w:val="en-US"/>
        </w:rPr>
        <w:t xml:space="preserve">the Committee had a full agenda </w:t>
      </w:r>
      <w:r w:rsidR="004B1FA4" w:rsidRPr="00813D19">
        <w:rPr>
          <w:color w:val="000000" w:themeColor="text1"/>
          <w:lang w:val="en-US"/>
        </w:rPr>
        <w:t>with important points for the future of the Con</w:t>
      </w:r>
      <w:r w:rsidR="007A57A7" w:rsidRPr="00813D19">
        <w:rPr>
          <w:color w:val="000000" w:themeColor="text1"/>
          <w:lang w:val="en-US"/>
        </w:rPr>
        <w:t>vention, and he wished</w:t>
      </w:r>
      <w:r w:rsidR="004B1FA4" w:rsidRPr="00813D19">
        <w:rPr>
          <w:color w:val="000000" w:themeColor="text1"/>
          <w:lang w:val="en-US"/>
        </w:rPr>
        <w:t xml:space="preserve"> </w:t>
      </w:r>
      <w:r w:rsidR="007A57A7" w:rsidRPr="00813D19">
        <w:rPr>
          <w:color w:val="000000" w:themeColor="text1"/>
          <w:lang w:val="en-US"/>
        </w:rPr>
        <w:t xml:space="preserve">the delegates </w:t>
      </w:r>
      <w:r w:rsidR="004B1FA4" w:rsidRPr="00813D19">
        <w:rPr>
          <w:color w:val="000000" w:themeColor="text1"/>
          <w:lang w:val="en-US"/>
        </w:rPr>
        <w:t xml:space="preserve">every success </w:t>
      </w:r>
      <w:r w:rsidR="007A57A7" w:rsidRPr="00813D19">
        <w:rPr>
          <w:color w:val="000000" w:themeColor="text1"/>
          <w:lang w:val="en-US"/>
        </w:rPr>
        <w:t xml:space="preserve">in their </w:t>
      </w:r>
      <w:r w:rsidR="004B1FA4" w:rsidRPr="00813D19">
        <w:rPr>
          <w:color w:val="000000" w:themeColor="text1"/>
          <w:lang w:val="en-US"/>
        </w:rPr>
        <w:t>work.</w:t>
      </w:r>
    </w:p>
    <w:p w14:paraId="7145D407" w14:textId="416CC8B6" w:rsidR="00A5695D" w:rsidRPr="00813D19" w:rsidRDefault="007A57A7" w:rsidP="00A5695D">
      <w:pPr>
        <w:pStyle w:val="Orateurengris"/>
        <w:tabs>
          <w:tab w:val="clear" w:pos="709"/>
          <w:tab w:val="clear" w:pos="1418"/>
          <w:tab w:val="clear" w:pos="2126"/>
          <w:tab w:val="clear" w:pos="2835"/>
        </w:tabs>
        <w:spacing w:before="120"/>
        <w:ind w:left="709" w:hanging="709"/>
        <w:rPr>
          <w:lang w:val="en-US"/>
        </w:rPr>
      </w:pPr>
      <w:r w:rsidRPr="00813D19">
        <w:rPr>
          <w:color w:val="000000" w:themeColor="text1"/>
          <w:lang w:val="en-US"/>
        </w:rPr>
        <w:t>Thanking</w:t>
      </w:r>
      <w:r w:rsidR="00C11D75" w:rsidRPr="00813D19">
        <w:rPr>
          <w:color w:val="000000" w:themeColor="text1"/>
          <w:lang w:val="en-US"/>
        </w:rPr>
        <w:t xml:space="preserve"> </w:t>
      </w:r>
      <w:r w:rsidRPr="00813D19">
        <w:rPr>
          <w:color w:val="000000" w:themeColor="text1"/>
          <w:lang w:val="en-US"/>
        </w:rPr>
        <w:t>the Assi</w:t>
      </w:r>
      <w:r w:rsidR="00D6383F" w:rsidRPr="00813D19">
        <w:rPr>
          <w:color w:val="000000" w:themeColor="text1"/>
          <w:lang w:val="en-US"/>
        </w:rPr>
        <w:t>s</w:t>
      </w:r>
      <w:r w:rsidRPr="00813D19">
        <w:rPr>
          <w:color w:val="000000" w:themeColor="text1"/>
          <w:lang w:val="en-US"/>
        </w:rPr>
        <w:t xml:space="preserve">tant Director-General, the </w:t>
      </w:r>
      <w:r w:rsidRPr="00813D19">
        <w:rPr>
          <w:b/>
          <w:color w:val="000000" w:themeColor="text1"/>
          <w:lang w:val="en-US"/>
        </w:rPr>
        <w:t>Chairperson</w:t>
      </w:r>
      <w:r w:rsidRPr="00813D19">
        <w:rPr>
          <w:color w:val="000000" w:themeColor="text1"/>
          <w:lang w:val="en-US"/>
        </w:rPr>
        <w:t xml:space="preserve"> </w:t>
      </w:r>
      <w:r w:rsidR="00C11D75" w:rsidRPr="00813D19">
        <w:rPr>
          <w:color w:val="000000" w:themeColor="text1"/>
          <w:lang w:val="en-US"/>
        </w:rPr>
        <w:t xml:space="preserve">officially declared the thirteenth session of </w:t>
      </w:r>
      <w:r w:rsidR="00C11D75" w:rsidRPr="00813D19">
        <w:rPr>
          <w:lang w:val="en-US"/>
        </w:rPr>
        <w:t>the Intergovernmental Committee for the Safeguarding of the Intangible Cultural Heritage open.</w:t>
      </w:r>
      <w:r w:rsidR="00A5695D" w:rsidRPr="00813D19">
        <w:rPr>
          <w:lang w:val="en-US"/>
        </w:rPr>
        <w:t xml:space="preserve"> </w:t>
      </w:r>
      <w:r w:rsidR="00D6383F" w:rsidRPr="00813D19">
        <w:rPr>
          <w:lang w:val="en-US"/>
        </w:rPr>
        <w:t xml:space="preserve">He then </w:t>
      </w:r>
      <w:r w:rsidR="00A5695D" w:rsidRPr="00813D19">
        <w:rPr>
          <w:lang w:val="en-US"/>
        </w:rPr>
        <w:t xml:space="preserve">invited the Secretary to </w:t>
      </w:r>
      <w:r w:rsidR="00D6383F" w:rsidRPr="00813D19">
        <w:rPr>
          <w:lang w:val="en-US"/>
        </w:rPr>
        <w:t xml:space="preserve">present </w:t>
      </w:r>
      <w:r w:rsidR="00A5695D" w:rsidRPr="00813D19">
        <w:rPr>
          <w:lang w:val="en-US"/>
        </w:rPr>
        <w:t>some practical information.</w:t>
      </w:r>
    </w:p>
    <w:p w14:paraId="65843471" w14:textId="171BD990" w:rsidR="00394DCF" w:rsidRPr="00813D19" w:rsidRDefault="00E23A53" w:rsidP="001F62D9">
      <w:pPr>
        <w:pStyle w:val="Orateurengris"/>
        <w:tabs>
          <w:tab w:val="clear" w:pos="709"/>
          <w:tab w:val="clear" w:pos="1418"/>
          <w:tab w:val="clear" w:pos="2126"/>
          <w:tab w:val="clear" w:pos="2835"/>
        </w:tabs>
        <w:spacing w:before="120"/>
        <w:ind w:left="709" w:hanging="709"/>
        <w:rPr>
          <w:lang w:val="en-US"/>
        </w:rPr>
      </w:pPr>
      <w:r w:rsidRPr="00813D19">
        <w:rPr>
          <w:color w:val="000000" w:themeColor="text1"/>
          <w:lang w:val="en-US"/>
        </w:rPr>
        <w:t xml:space="preserve">The </w:t>
      </w:r>
      <w:r w:rsidRPr="00813D19">
        <w:rPr>
          <w:b/>
          <w:color w:val="000000" w:themeColor="text1"/>
          <w:lang w:val="en-US"/>
        </w:rPr>
        <w:t>Secretary of the Convention</w:t>
      </w:r>
      <w:r w:rsidR="00B77912" w:rsidRPr="00813D19">
        <w:rPr>
          <w:color w:val="000000" w:themeColor="text1"/>
          <w:lang w:val="en-US"/>
        </w:rPr>
        <w:t xml:space="preserve">, Mr Tim Curtis, began by thanking the Republic of Mauritius for hosting this thirteenth session of the Committee, </w:t>
      </w:r>
      <w:r w:rsidR="00D9231E" w:rsidRPr="00813D19">
        <w:rPr>
          <w:color w:val="000000" w:themeColor="text1"/>
          <w:lang w:val="en-US"/>
        </w:rPr>
        <w:t xml:space="preserve">and for the </w:t>
      </w:r>
      <w:r w:rsidR="00B77912" w:rsidRPr="00813D19">
        <w:rPr>
          <w:color w:val="000000" w:themeColor="text1"/>
          <w:lang w:val="en-US"/>
        </w:rPr>
        <w:t xml:space="preserve">dedication </w:t>
      </w:r>
      <w:r w:rsidR="00D9231E" w:rsidRPr="00813D19">
        <w:rPr>
          <w:color w:val="000000" w:themeColor="text1"/>
          <w:lang w:val="en-US"/>
        </w:rPr>
        <w:t xml:space="preserve">and enthusiasm </w:t>
      </w:r>
      <w:r w:rsidR="00B77912" w:rsidRPr="00813D19">
        <w:rPr>
          <w:color w:val="000000" w:themeColor="text1"/>
          <w:lang w:val="en-US"/>
        </w:rPr>
        <w:t xml:space="preserve">of the </w:t>
      </w:r>
      <w:r w:rsidR="00D9231E" w:rsidRPr="00813D19">
        <w:rPr>
          <w:color w:val="000000" w:themeColor="text1"/>
          <w:lang w:val="en-US"/>
        </w:rPr>
        <w:t xml:space="preserve">Mauritian </w:t>
      </w:r>
      <w:r w:rsidR="00B77912" w:rsidRPr="00813D19">
        <w:rPr>
          <w:color w:val="000000" w:themeColor="text1"/>
          <w:lang w:val="en-US"/>
        </w:rPr>
        <w:t xml:space="preserve">team </w:t>
      </w:r>
      <w:r w:rsidR="00D9231E" w:rsidRPr="00813D19">
        <w:rPr>
          <w:color w:val="000000" w:themeColor="text1"/>
          <w:lang w:val="en-US"/>
        </w:rPr>
        <w:t xml:space="preserve">who </w:t>
      </w:r>
      <w:r w:rsidR="000C072C">
        <w:rPr>
          <w:color w:val="000000" w:themeColor="text1"/>
          <w:lang w:val="en-US"/>
        </w:rPr>
        <w:t xml:space="preserve">had </w:t>
      </w:r>
      <w:r w:rsidR="00D9231E" w:rsidRPr="00813D19">
        <w:rPr>
          <w:color w:val="000000" w:themeColor="text1"/>
          <w:lang w:val="en-US"/>
        </w:rPr>
        <w:t>worked</w:t>
      </w:r>
      <w:r w:rsidR="009D3138" w:rsidRPr="00813D19">
        <w:rPr>
          <w:color w:val="000000" w:themeColor="text1"/>
          <w:lang w:val="en-US"/>
        </w:rPr>
        <w:t xml:space="preserve"> </w:t>
      </w:r>
      <w:r w:rsidR="00D9231E" w:rsidRPr="00813D19">
        <w:rPr>
          <w:color w:val="000000" w:themeColor="text1"/>
          <w:lang w:val="en-US"/>
        </w:rPr>
        <w:t xml:space="preserve">in close cooperation with </w:t>
      </w:r>
      <w:r w:rsidR="00B77912" w:rsidRPr="00813D19">
        <w:rPr>
          <w:color w:val="000000" w:themeColor="text1"/>
          <w:lang w:val="en-US"/>
        </w:rPr>
        <w:t xml:space="preserve">the Secretariat </w:t>
      </w:r>
      <w:r w:rsidR="00D9231E" w:rsidRPr="00813D19">
        <w:rPr>
          <w:color w:val="000000" w:themeColor="text1"/>
          <w:lang w:val="en-US"/>
        </w:rPr>
        <w:t xml:space="preserve">in </w:t>
      </w:r>
      <w:r w:rsidR="000C072C">
        <w:rPr>
          <w:color w:val="000000" w:themeColor="text1"/>
          <w:lang w:val="en-US"/>
        </w:rPr>
        <w:t>preparing</w:t>
      </w:r>
      <w:r w:rsidR="00D9231E" w:rsidRPr="00813D19">
        <w:rPr>
          <w:color w:val="000000" w:themeColor="text1"/>
          <w:lang w:val="en-US"/>
        </w:rPr>
        <w:t xml:space="preserve"> the</w:t>
      </w:r>
      <w:r w:rsidR="00B77912" w:rsidRPr="00813D19">
        <w:rPr>
          <w:color w:val="000000" w:themeColor="text1"/>
          <w:lang w:val="en-US"/>
        </w:rPr>
        <w:t xml:space="preserve"> session. </w:t>
      </w:r>
      <w:r w:rsidR="00D9231E" w:rsidRPr="00813D19">
        <w:rPr>
          <w:color w:val="000000" w:themeColor="text1"/>
          <w:lang w:val="en-US"/>
        </w:rPr>
        <w:t xml:space="preserve">He also </w:t>
      </w:r>
      <w:r w:rsidR="00B77912" w:rsidRPr="00813D19">
        <w:rPr>
          <w:color w:val="000000" w:themeColor="text1"/>
          <w:lang w:val="en-US"/>
        </w:rPr>
        <w:t>thank</w:t>
      </w:r>
      <w:r w:rsidR="00D9231E" w:rsidRPr="00813D19">
        <w:rPr>
          <w:color w:val="000000" w:themeColor="text1"/>
          <w:lang w:val="en-US"/>
        </w:rPr>
        <w:t>ed</w:t>
      </w:r>
      <w:r w:rsidR="00B77912" w:rsidRPr="00813D19">
        <w:rPr>
          <w:color w:val="000000" w:themeColor="text1"/>
          <w:lang w:val="en-US"/>
        </w:rPr>
        <w:t xml:space="preserve"> Spain and the Foundation of Sultan Bin Abdulaziz Al-Saud of the Kingdom of Saudi Arabia for their generous contributions to the Spanish and Arabic interpretation. </w:t>
      </w:r>
      <w:r w:rsidR="00D9231E" w:rsidRPr="00813D19">
        <w:rPr>
          <w:color w:val="000000" w:themeColor="text1"/>
          <w:lang w:val="en-US"/>
        </w:rPr>
        <w:t xml:space="preserve">It was noted that the </w:t>
      </w:r>
      <w:r w:rsidR="00B77912" w:rsidRPr="00813D19">
        <w:rPr>
          <w:color w:val="000000" w:themeColor="text1"/>
          <w:lang w:val="en-US"/>
        </w:rPr>
        <w:t xml:space="preserve">live webcast </w:t>
      </w:r>
      <w:r w:rsidR="00D9231E" w:rsidRPr="00813D19">
        <w:rPr>
          <w:color w:val="000000" w:themeColor="text1"/>
          <w:lang w:val="en-US"/>
        </w:rPr>
        <w:t xml:space="preserve">was available </w:t>
      </w:r>
      <w:r w:rsidR="00B77912" w:rsidRPr="00813D19">
        <w:rPr>
          <w:color w:val="000000" w:themeColor="text1"/>
          <w:lang w:val="en-US"/>
        </w:rPr>
        <w:t xml:space="preserve">on the </w:t>
      </w:r>
      <w:r w:rsidR="009D3138" w:rsidRPr="00813D19">
        <w:rPr>
          <w:color w:val="000000" w:themeColor="text1"/>
          <w:lang w:val="en-US"/>
        </w:rPr>
        <w:t xml:space="preserve">Committee </w:t>
      </w:r>
      <w:hyperlink r:id="rId10" w:history="1">
        <w:r w:rsidR="00B77912" w:rsidRPr="00813D19">
          <w:rPr>
            <w:rStyle w:val="Hyperlink"/>
            <w:lang w:val="en-US"/>
          </w:rPr>
          <w:t>webpage</w:t>
        </w:r>
      </w:hyperlink>
      <w:r w:rsidR="00D9231E" w:rsidRPr="00813D19">
        <w:rPr>
          <w:color w:val="000000" w:themeColor="text1"/>
          <w:lang w:val="en-US"/>
        </w:rPr>
        <w:t xml:space="preserve">. Wi-Fi was also available and the session was paperless; documents were printed in limited quantities and were available only to </w:t>
      </w:r>
      <w:r w:rsidR="003E7512">
        <w:rPr>
          <w:color w:val="000000" w:themeColor="text1"/>
          <w:lang w:val="en-US"/>
        </w:rPr>
        <w:t>M</w:t>
      </w:r>
      <w:r w:rsidR="00D9231E" w:rsidRPr="00813D19">
        <w:rPr>
          <w:color w:val="000000" w:themeColor="text1"/>
          <w:lang w:val="en-US"/>
        </w:rPr>
        <w:t>embers of the Committee upon request. All participants were invited to download the documents from the Committee website and USB keys were also generously provided by the host State. A c</w:t>
      </w:r>
      <w:r w:rsidR="009D3138" w:rsidRPr="00813D19">
        <w:rPr>
          <w:color w:val="000000" w:themeColor="text1"/>
          <w:lang w:val="en-US"/>
        </w:rPr>
        <w:t>opy of the 2018 edition of the Basic T</w:t>
      </w:r>
      <w:r w:rsidR="00D9231E" w:rsidRPr="00813D19">
        <w:rPr>
          <w:color w:val="000000" w:themeColor="text1"/>
          <w:lang w:val="en-US"/>
        </w:rPr>
        <w:t>exts</w:t>
      </w:r>
      <w:r w:rsidR="00A62F04" w:rsidRPr="00813D19">
        <w:rPr>
          <w:rStyle w:val="FootnoteReference"/>
          <w:color w:val="000000" w:themeColor="text1"/>
          <w:lang w:val="en-US"/>
        </w:rPr>
        <w:footnoteReference w:id="1"/>
      </w:r>
      <w:r w:rsidR="00D9231E" w:rsidRPr="00813D19">
        <w:rPr>
          <w:color w:val="000000" w:themeColor="text1"/>
          <w:lang w:val="en-US"/>
        </w:rPr>
        <w:t xml:space="preserve"> was distributed in English or French, which contained the latest resolutions and decisions of the General Assembly and the Committee, as well as the overall results framework for the Convention adopted by the seventh session of the General Assembly. Copies were also available in Arabic, Chinese, Spanish or Russian upon request. </w:t>
      </w:r>
      <w:r w:rsidR="006236A5" w:rsidRPr="00813D19">
        <w:rPr>
          <w:color w:val="000000" w:themeColor="text1"/>
          <w:lang w:val="en-US"/>
        </w:rPr>
        <w:t xml:space="preserve">Regarding registration, </w:t>
      </w:r>
      <w:r w:rsidR="00A5695D" w:rsidRPr="00813D19">
        <w:rPr>
          <w:lang w:val="en-US"/>
        </w:rPr>
        <w:t>badge</w:t>
      </w:r>
      <w:r w:rsidR="006236A5" w:rsidRPr="00813D19">
        <w:rPr>
          <w:lang w:val="en-US"/>
        </w:rPr>
        <w:t>s</w:t>
      </w:r>
      <w:r w:rsidR="00A5695D" w:rsidRPr="00813D19">
        <w:rPr>
          <w:lang w:val="en-US"/>
        </w:rPr>
        <w:t xml:space="preserve"> </w:t>
      </w:r>
      <w:r w:rsidR="006236A5" w:rsidRPr="00813D19">
        <w:rPr>
          <w:lang w:val="en-US"/>
        </w:rPr>
        <w:t xml:space="preserve">provided access to </w:t>
      </w:r>
      <w:r w:rsidR="00A5695D" w:rsidRPr="00813D19">
        <w:rPr>
          <w:lang w:val="en-US"/>
        </w:rPr>
        <w:t>the conference venue</w:t>
      </w:r>
      <w:r w:rsidR="006236A5" w:rsidRPr="00813D19">
        <w:rPr>
          <w:lang w:val="en-US"/>
        </w:rPr>
        <w:t xml:space="preserve"> to the almost </w:t>
      </w:r>
      <w:r w:rsidR="00A5695D" w:rsidRPr="00813D19">
        <w:rPr>
          <w:lang w:val="en-US"/>
        </w:rPr>
        <w:t>800 people re</w:t>
      </w:r>
      <w:r w:rsidR="006236A5" w:rsidRPr="00813D19">
        <w:rPr>
          <w:lang w:val="en-US"/>
        </w:rPr>
        <w:t>gistered to attend this session</w:t>
      </w:r>
      <w:r w:rsidR="00A5695D" w:rsidRPr="00813D19">
        <w:rPr>
          <w:lang w:val="en-US"/>
        </w:rPr>
        <w:t xml:space="preserve"> from more than 125 different countries</w:t>
      </w:r>
      <w:r w:rsidR="006236A5" w:rsidRPr="00813D19">
        <w:rPr>
          <w:rStyle w:val="FootnoteReference"/>
          <w:lang w:val="en-US"/>
        </w:rPr>
        <w:footnoteReference w:id="2"/>
      </w:r>
      <w:r w:rsidR="00A5695D" w:rsidRPr="00813D19">
        <w:rPr>
          <w:lang w:val="en-US"/>
        </w:rPr>
        <w:t xml:space="preserve">. </w:t>
      </w:r>
      <w:r w:rsidR="006236A5" w:rsidRPr="00813D19">
        <w:rPr>
          <w:lang w:val="en-US"/>
        </w:rPr>
        <w:t>T</w:t>
      </w:r>
      <w:r w:rsidR="00A5695D" w:rsidRPr="00813D19">
        <w:rPr>
          <w:lang w:val="en-US"/>
        </w:rPr>
        <w:t xml:space="preserve">ransport </w:t>
      </w:r>
      <w:r w:rsidR="006236A5" w:rsidRPr="00813D19">
        <w:rPr>
          <w:lang w:val="en-US"/>
        </w:rPr>
        <w:t>from designated hotels to the venue was generously provided to all participants</w:t>
      </w:r>
      <w:r w:rsidR="00A5695D" w:rsidRPr="00813D19">
        <w:rPr>
          <w:lang w:val="en-US"/>
        </w:rPr>
        <w:t>.</w:t>
      </w:r>
    </w:p>
    <w:p w14:paraId="21997114" w14:textId="46D19D41" w:rsidR="00CE5F74" w:rsidRPr="001928D5" w:rsidRDefault="00CE521C" w:rsidP="001928D5">
      <w:pPr>
        <w:pStyle w:val="Orateurengris"/>
        <w:tabs>
          <w:tab w:val="clear" w:pos="709"/>
          <w:tab w:val="clear" w:pos="1418"/>
          <w:tab w:val="clear" w:pos="2126"/>
          <w:tab w:val="clear" w:pos="2835"/>
        </w:tabs>
        <w:spacing w:after="0"/>
        <w:ind w:left="709" w:hanging="709"/>
        <w:rPr>
          <w:color w:val="000000" w:themeColor="text1"/>
          <w:lang w:val="en-US"/>
        </w:rPr>
      </w:pPr>
      <w:r w:rsidRPr="00813D19">
        <w:rPr>
          <w:color w:val="000000" w:themeColor="text1"/>
          <w:lang w:val="en-US"/>
        </w:rPr>
        <w:lastRenderedPageBreak/>
        <w:t xml:space="preserve">With no forthcoming comments, the </w:t>
      </w:r>
      <w:r w:rsidRPr="00813D19">
        <w:rPr>
          <w:b/>
          <w:color w:val="000000" w:themeColor="text1"/>
          <w:lang w:val="en-US"/>
        </w:rPr>
        <w:t>Chairperson</w:t>
      </w:r>
      <w:r w:rsidR="00C86DE0" w:rsidRPr="00813D19">
        <w:rPr>
          <w:color w:val="000000" w:themeColor="text1"/>
          <w:lang w:val="en-US"/>
        </w:rPr>
        <w:t xml:space="preserve"> moved to the next agenda item.</w:t>
      </w:r>
    </w:p>
    <w:p w14:paraId="3B752A3E" w14:textId="68C293DA" w:rsidR="00B66E8A" w:rsidRPr="00813D19" w:rsidRDefault="00B66E8A" w:rsidP="001928D5">
      <w:pPr>
        <w:pStyle w:val="Orateurengris"/>
        <w:numPr>
          <w:ilvl w:val="0"/>
          <w:numId w:val="0"/>
        </w:numPr>
        <w:tabs>
          <w:tab w:val="clear" w:pos="709"/>
          <w:tab w:val="clear" w:pos="1418"/>
          <w:tab w:val="clear" w:pos="2126"/>
          <w:tab w:val="clear" w:pos="2835"/>
        </w:tabs>
        <w:spacing w:before="360" w:after="60"/>
        <w:outlineLvl w:val="0"/>
        <w:rPr>
          <w:color w:val="000000" w:themeColor="text1"/>
          <w:lang w:val="en-US"/>
        </w:rPr>
      </w:pPr>
      <w:r w:rsidRPr="00813D19">
        <w:rPr>
          <w:b/>
          <w:color w:val="000000" w:themeColor="text1"/>
          <w:u w:val="single"/>
          <w:lang w:val="en-US"/>
        </w:rPr>
        <w:t>ITEM 2 OF THE AGENDA</w:t>
      </w:r>
      <w:r w:rsidRPr="00813D19">
        <w:rPr>
          <w:b/>
          <w:color w:val="000000" w:themeColor="text1"/>
          <w:lang w:val="en-US"/>
        </w:rPr>
        <w:t>:</w:t>
      </w:r>
    </w:p>
    <w:p w14:paraId="3EFCA0C9" w14:textId="6B9CD492" w:rsidR="00B66E8A" w:rsidRPr="00813D19" w:rsidRDefault="00B66E8A" w:rsidP="001928D5">
      <w:pPr>
        <w:pStyle w:val="Marge"/>
        <w:keepNext/>
        <w:tabs>
          <w:tab w:val="clear" w:pos="567"/>
          <w:tab w:val="left" w:pos="709"/>
          <w:tab w:val="left" w:pos="1418"/>
          <w:tab w:val="left" w:pos="2126"/>
          <w:tab w:val="left" w:pos="2835"/>
        </w:tabs>
        <w:spacing w:after="120"/>
        <w:ind w:left="567" w:hanging="567"/>
        <w:jc w:val="left"/>
        <w:outlineLvl w:val="1"/>
        <w:rPr>
          <w:rFonts w:cs="Arial"/>
          <w:b/>
          <w:color w:val="000000" w:themeColor="text1"/>
          <w:szCs w:val="22"/>
          <w:lang w:val="en-US"/>
        </w:rPr>
      </w:pPr>
      <w:r w:rsidRPr="00813D19">
        <w:rPr>
          <w:rFonts w:cs="Arial"/>
          <w:b/>
          <w:color w:val="000000" w:themeColor="text1"/>
          <w:szCs w:val="22"/>
          <w:lang w:val="en-US"/>
        </w:rPr>
        <w:t>ADOPTION OF THE AGENDA</w:t>
      </w:r>
    </w:p>
    <w:p w14:paraId="7CB1278B" w14:textId="049E3399" w:rsidR="00B66E8A" w:rsidRPr="00813D19" w:rsidRDefault="00B66E8A" w:rsidP="0016273D">
      <w:pPr>
        <w:pStyle w:val="Orateurengris"/>
        <w:numPr>
          <w:ilvl w:val="0"/>
          <w:numId w:val="0"/>
        </w:numPr>
        <w:tabs>
          <w:tab w:val="clear" w:pos="709"/>
          <w:tab w:val="clear" w:pos="1418"/>
          <w:tab w:val="clear" w:pos="2126"/>
          <w:tab w:val="clear" w:pos="2835"/>
          <w:tab w:val="left" w:pos="2127"/>
        </w:tabs>
        <w:spacing w:before="120" w:after="0"/>
        <w:ind w:firstLine="720"/>
        <w:rPr>
          <w:bCs/>
          <w:i/>
          <w:color w:val="000000" w:themeColor="text1"/>
          <w:lang w:val="en-US"/>
        </w:rPr>
      </w:pPr>
      <w:r w:rsidRPr="00813D19">
        <w:rPr>
          <w:b/>
          <w:color w:val="000000" w:themeColor="text1"/>
          <w:lang w:val="en-US"/>
        </w:rPr>
        <w:t>Documents:</w:t>
      </w:r>
      <w:r w:rsidRPr="00813D19">
        <w:rPr>
          <w:b/>
          <w:color w:val="000000" w:themeColor="text1"/>
          <w:lang w:val="en-US"/>
        </w:rPr>
        <w:tab/>
      </w:r>
      <w:hyperlink r:id="rId11" w:history="1">
        <w:r w:rsidR="0044180C" w:rsidRPr="00813D19">
          <w:rPr>
            <w:rStyle w:val="Hyperlink"/>
            <w:bCs/>
            <w:i/>
            <w:lang w:val="en-US"/>
          </w:rPr>
          <w:t>ITH/18/13</w:t>
        </w:r>
        <w:r w:rsidRPr="00813D19">
          <w:rPr>
            <w:rStyle w:val="Hyperlink"/>
            <w:bCs/>
            <w:i/>
            <w:lang w:val="en-US"/>
          </w:rPr>
          <w:t>.COM/2</w:t>
        </w:r>
        <w:r w:rsidR="0044180C" w:rsidRPr="00813D19">
          <w:rPr>
            <w:rStyle w:val="Hyperlink"/>
            <w:bCs/>
            <w:i/>
            <w:lang w:val="en-US"/>
          </w:rPr>
          <w:t xml:space="preserve"> Rev</w:t>
        </w:r>
      </w:hyperlink>
    </w:p>
    <w:p w14:paraId="6FA99FDF" w14:textId="69981F14" w:rsidR="001C1B5D" w:rsidRPr="002827E3" w:rsidRDefault="00872C6A" w:rsidP="001C1B5D">
      <w:pPr>
        <w:pStyle w:val="Orateurengris"/>
        <w:numPr>
          <w:ilvl w:val="0"/>
          <w:numId w:val="0"/>
        </w:numPr>
        <w:tabs>
          <w:tab w:val="clear" w:pos="709"/>
          <w:tab w:val="clear" w:pos="1418"/>
          <w:tab w:val="clear" w:pos="2126"/>
          <w:tab w:val="clear" w:pos="2835"/>
        </w:tabs>
        <w:spacing w:after="0"/>
        <w:ind w:left="2126"/>
      </w:pPr>
      <w:hyperlink r:id="rId12" w:history="1">
        <w:r w:rsidR="001C1B5D" w:rsidRPr="001C1B5D">
          <w:rPr>
            <w:rStyle w:val="Hyperlink"/>
            <w:bCs/>
            <w:i/>
            <w:lang w:val="en-US"/>
          </w:rPr>
          <w:t>ITH/18/13.COM/INF.2.1 Rev.5</w:t>
        </w:r>
      </w:hyperlink>
    </w:p>
    <w:p w14:paraId="7DEBC0DC" w14:textId="0BED3117" w:rsidR="001C1B5D" w:rsidRPr="002827E3" w:rsidRDefault="00872C6A" w:rsidP="001C1B5D">
      <w:pPr>
        <w:pStyle w:val="Orateurengris"/>
        <w:numPr>
          <w:ilvl w:val="0"/>
          <w:numId w:val="0"/>
        </w:numPr>
        <w:tabs>
          <w:tab w:val="clear" w:pos="709"/>
          <w:tab w:val="clear" w:pos="1418"/>
          <w:tab w:val="clear" w:pos="2126"/>
          <w:tab w:val="clear" w:pos="2835"/>
        </w:tabs>
        <w:spacing w:after="0"/>
        <w:ind w:left="2126"/>
      </w:pPr>
      <w:hyperlink r:id="rId13" w:history="1">
        <w:r w:rsidR="001C1B5D" w:rsidRPr="001C1B5D">
          <w:rPr>
            <w:rStyle w:val="Hyperlink"/>
            <w:bCs/>
            <w:i/>
            <w:lang w:val="en-US"/>
          </w:rPr>
          <w:t>ITH/18/13.COM/INF.2.2 Rev.5</w:t>
        </w:r>
      </w:hyperlink>
    </w:p>
    <w:p w14:paraId="3FFE906A" w14:textId="5F9C07BD" w:rsidR="00822988" w:rsidRPr="00813D19" w:rsidRDefault="004C5C19" w:rsidP="0016273D">
      <w:pPr>
        <w:pStyle w:val="Orateurengris"/>
        <w:numPr>
          <w:ilvl w:val="0"/>
          <w:numId w:val="0"/>
        </w:numPr>
        <w:tabs>
          <w:tab w:val="clear" w:pos="709"/>
          <w:tab w:val="clear" w:pos="1418"/>
          <w:tab w:val="clear" w:pos="2126"/>
          <w:tab w:val="clear" w:pos="2835"/>
        </w:tabs>
        <w:spacing w:before="60" w:after="240"/>
        <w:ind w:firstLine="709"/>
        <w:rPr>
          <w:color w:val="000000" w:themeColor="text1"/>
          <w:lang w:val="en-US"/>
        </w:rPr>
      </w:pPr>
      <w:r w:rsidRPr="00813D19">
        <w:rPr>
          <w:b/>
          <w:color w:val="000000" w:themeColor="text1"/>
          <w:lang w:val="en-US"/>
        </w:rPr>
        <w:t>Decision:</w:t>
      </w:r>
      <w:r w:rsidRPr="00813D19">
        <w:rPr>
          <w:b/>
          <w:color w:val="000000" w:themeColor="text1"/>
          <w:lang w:val="en-US"/>
        </w:rPr>
        <w:tab/>
      </w:r>
      <w:hyperlink r:id="rId14" w:history="1">
        <w:r w:rsidR="0044180C" w:rsidRPr="00813D19">
          <w:rPr>
            <w:rStyle w:val="Hyperlink"/>
            <w:i/>
            <w:lang w:val="en-US"/>
          </w:rPr>
          <w:t>13</w:t>
        </w:r>
        <w:r w:rsidRPr="00813D19">
          <w:rPr>
            <w:rStyle w:val="Hyperlink"/>
            <w:i/>
            <w:lang w:val="en-US"/>
          </w:rPr>
          <w:t>.COM 2</w:t>
        </w:r>
      </w:hyperlink>
    </w:p>
    <w:p w14:paraId="608B9DFA" w14:textId="2D9E0FDD" w:rsidR="00CE28C9" w:rsidRPr="00813D19" w:rsidRDefault="00822988" w:rsidP="00CE28C9">
      <w:pPr>
        <w:pStyle w:val="Orateurengris"/>
        <w:tabs>
          <w:tab w:val="clear" w:pos="709"/>
          <w:tab w:val="clear" w:pos="1418"/>
          <w:tab w:val="clear" w:pos="2126"/>
          <w:tab w:val="clear" w:pos="2835"/>
        </w:tabs>
        <w:spacing w:before="120"/>
        <w:ind w:left="709" w:hanging="709"/>
        <w:rPr>
          <w:lang w:val="en-US"/>
        </w:rPr>
      </w:pPr>
      <w:r w:rsidRPr="00813D19">
        <w:rPr>
          <w:color w:val="000000" w:themeColor="text1"/>
          <w:lang w:val="en-US"/>
        </w:rPr>
        <w:t>The</w:t>
      </w:r>
      <w:r w:rsidRPr="00813D19">
        <w:rPr>
          <w:b/>
          <w:color w:val="000000" w:themeColor="text1"/>
          <w:lang w:val="en-US"/>
        </w:rPr>
        <w:t xml:space="preserve"> </w:t>
      </w:r>
      <w:r w:rsidR="00B66E8A" w:rsidRPr="00813D19">
        <w:rPr>
          <w:b/>
          <w:color w:val="000000" w:themeColor="text1"/>
          <w:lang w:val="en-US"/>
        </w:rPr>
        <w:t>Secretary</w:t>
      </w:r>
      <w:r w:rsidR="00B66E8A" w:rsidRPr="00813D19">
        <w:rPr>
          <w:color w:val="000000" w:themeColor="text1"/>
          <w:lang w:val="en-US"/>
        </w:rPr>
        <w:t xml:space="preserve"> introduced the provisional agenda that included </w:t>
      </w:r>
      <w:r w:rsidR="000C072C">
        <w:rPr>
          <w:color w:val="000000" w:themeColor="text1"/>
          <w:lang w:val="en-US"/>
        </w:rPr>
        <w:t>twenty-two</w:t>
      </w:r>
      <w:r w:rsidRPr="00813D19">
        <w:rPr>
          <w:color w:val="000000" w:themeColor="text1"/>
          <w:lang w:val="en-US"/>
        </w:rPr>
        <w:t xml:space="preserve"> items</w:t>
      </w:r>
      <w:r w:rsidR="000C072C">
        <w:rPr>
          <w:color w:val="000000" w:themeColor="text1"/>
          <w:lang w:val="en-US"/>
        </w:rPr>
        <w:t>,</w:t>
      </w:r>
      <w:r w:rsidR="00A14D91" w:rsidRPr="00813D19">
        <w:rPr>
          <w:lang w:val="en-US"/>
        </w:rPr>
        <w:t xml:space="preserve"> with some </w:t>
      </w:r>
      <w:r w:rsidR="00CE28C9" w:rsidRPr="00813D19">
        <w:rPr>
          <w:lang w:val="en-US"/>
        </w:rPr>
        <w:t>contain</w:t>
      </w:r>
      <w:r w:rsidR="00A14D91" w:rsidRPr="00813D19">
        <w:rPr>
          <w:lang w:val="en-US"/>
        </w:rPr>
        <w:t>ing</w:t>
      </w:r>
      <w:r w:rsidR="00CE28C9" w:rsidRPr="00813D19">
        <w:rPr>
          <w:lang w:val="en-US"/>
        </w:rPr>
        <w:t xml:space="preserve"> sub-items. The agenda </w:t>
      </w:r>
      <w:r w:rsidR="00A14D91" w:rsidRPr="00813D19">
        <w:rPr>
          <w:lang w:val="en-US"/>
        </w:rPr>
        <w:t>had</w:t>
      </w:r>
      <w:r w:rsidR="00CE28C9" w:rsidRPr="00813D19">
        <w:rPr>
          <w:lang w:val="en-US"/>
        </w:rPr>
        <w:t xml:space="preserve"> been prepared according to Rule 9 of the Rules of Procedure of</w:t>
      </w:r>
      <w:r w:rsidR="00A14D91" w:rsidRPr="00813D19">
        <w:rPr>
          <w:lang w:val="en-US"/>
        </w:rPr>
        <w:t xml:space="preserve"> the Committee, with the </w:t>
      </w:r>
      <w:r w:rsidR="00CE28C9" w:rsidRPr="00813D19">
        <w:rPr>
          <w:lang w:val="en-US"/>
        </w:rPr>
        <w:t>documents</w:t>
      </w:r>
      <w:r w:rsidR="00A14D91" w:rsidRPr="00813D19">
        <w:rPr>
          <w:lang w:val="en-US"/>
        </w:rPr>
        <w:t xml:space="preserve"> </w:t>
      </w:r>
      <w:r w:rsidR="00CE28C9" w:rsidRPr="00813D19">
        <w:rPr>
          <w:lang w:val="en-US"/>
        </w:rPr>
        <w:t xml:space="preserve">published in English and French online by the statutory deadline of </w:t>
      </w:r>
      <w:r w:rsidR="00A14D91" w:rsidRPr="00813D19">
        <w:rPr>
          <w:lang w:val="en-US"/>
        </w:rPr>
        <w:t xml:space="preserve">29 October, i.e. </w:t>
      </w:r>
      <w:r w:rsidR="00CE28C9" w:rsidRPr="00813D19">
        <w:rPr>
          <w:lang w:val="en-US"/>
        </w:rPr>
        <w:t>four weeks befo</w:t>
      </w:r>
      <w:r w:rsidR="00A14D91" w:rsidRPr="00813D19">
        <w:rPr>
          <w:lang w:val="en-US"/>
        </w:rPr>
        <w:t xml:space="preserve">re the opening of this session </w:t>
      </w:r>
      <w:r w:rsidR="00CE28C9" w:rsidRPr="00813D19">
        <w:rPr>
          <w:lang w:val="en-US"/>
        </w:rPr>
        <w:t>according to Rule 42 of the Rule</w:t>
      </w:r>
      <w:r w:rsidR="00A14D91" w:rsidRPr="00813D19">
        <w:rPr>
          <w:lang w:val="en-US"/>
        </w:rPr>
        <w:t>s of Procedure of the Committee</w:t>
      </w:r>
      <w:r w:rsidR="00CE28C9" w:rsidRPr="00813D19">
        <w:rPr>
          <w:lang w:val="en-US"/>
        </w:rPr>
        <w:t xml:space="preserve">. All working </w:t>
      </w:r>
      <w:r w:rsidR="00A14D91" w:rsidRPr="00813D19">
        <w:rPr>
          <w:lang w:val="en-US"/>
        </w:rPr>
        <w:t xml:space="preserve">documents could be identified by </w:t>
      </w:r>
      <w:r w:rsidR="00CE28C9" w:rsidRPr="00813D19">
        <w:rPr>
          <w:lang w:val="en-US"/>
        </w:rPr>
        <w:t>the code ITH/18/13</w:t>
      </w:r>
      <w:r w:rsidR="00A14D91" w:rsidRPr="00813D19">
        <w:rPr>
          <w:lang w:val="en-US"/>
        </w:rPr>
        <w:t>.COM</w:t>
      </w:r>
      <w:r w:rsidR="00CE28C9" w:rsidRPr="00813D19">
        <w:rPr>
          <w:lang w:val="en-US"/>
        </w:rPr>
        <w:t xml:space="preserve"> followed by </w:t>
      </w:r>
      <w:r w:rsidR="00A14D91" w:rsidRPr="00813D19">
        <w:rPr>
          <w:lang w:val="en-US"/>
        </w:rPr>
        <w:t xml:space="preserve">the </w:t>
      </w:r>
      <w:r w:rsidR="00CE28C9" w:rsidRPr="00813D19">
        <w:rPr>
          <w:lang w:val="en-US"/>
        </w:rPr>
        <w:t xml:space="preserve">number </w:t>
      </w:r>
      <w:r w:rsidR="00A14D91" w:rsidRPr="00813D19">
        <w:rPr>
          <w:lang w:val="en-US"/>
        </w:rPr>
        <w:t>corresponding</w:t>
      </w:r>
      <w:r w:rsidR="00CE28C9" w:rsidRPr="00813D19">
        <w:rPr>
          <w:lang w:val="en-US"/>
        </w:rPr>
        <w:t xml:space="preserve"> to the </w:t>
      </w:r>
      <w:r w:rsidR="00A14D91" w:rsidRPr="00813D19">
        <w:rPr>
          <w:lang w:val="en-US"/>
        </w:rPr>
        <w:t xml:space="preserve">item </w:t>
      </w:r>
      <w:r w:rsidR="00CE28C9" w:rsidRPr="00813D19">
        <w:rPr>
          <w:lang w:val="en-US"/>
        </w:rPr>
        <w:t xml:space="preserve">of the provisional agenda. </w:t>
      </w:r>
      <w:r w:rsidR="00A14D91" w:rsidRPr="00813D19">
        <w:rPr>
          <w:lang w:val="en-US"/>
        </w:rPr>
        <w:t>I</w:t>
      </w:r>
      <w:r w:rsidR="00CE28C9" w:rsidRPr="00813D19">
        <w:rPr>
          <w:lang w:val="en-US"/>
        </w:rPr>
        <w:t xml:space="preserve">nformation documents </w:t>
      </w:r>
      <w:r w:rsidR="00A14D91" w:rsidRPr="00813D19">
        <w:rPr>
          <w:lang w:val="en-US"/>
        </w:rPr>
        <w:t xml:space="preserve">were </w:t>
      </w:r>
      <w:r w:rsidR="00CE28C9" w:rsidRPr="00813D19">
        <w:rPr>
          <w:lang w:val="en-US"/>
        </w:rPr>
        <w:t xml:space="preserve">preceded by ‘INF’. </w:t>
      </w:r>
      <w:r w:rsidR="00A14D91" w:rsidRPr="00813D19">
        <w:rPr>
          <w:lang w:val="en-US"/>
        </w:rPr>
        <w:t>D</w:t>
      </w:r>
      <w:r w:rsidR="00CE28C9" w:rsidRPr="00813D19">
        <w:rPr>
          <w:lang w:val="en-US"/>
        </w:rPr>
        <w:t xml:space="preserve">ocuments </w:t>
      </w:r>
      <w:r w:rsidR="00A14D91" w:rsidRPr="00813D19">
        <w:rPr>
          <w:lang w:val="en-US"/>
        </w:rPr>
        <w:t>with corrigenda, addenda</w:t>
      </w:r>
      <w:r w:rsidR="00CE28C9" w:rsidRPr="00813D19">
        <w:rPr>
          <w:lang w:val="en-US"/>
        </w:rPr>
        <w:t xml:space="preserve"> or revision</w:t>
      </w:r>
      <w:r w:rsidR="00A14D91" w:rsidRPr="00813D19">
        <w:rPr>
          <w:lang w:val="en-US"/>
        </w:rPr>
        <w:t>s were suffixed</w:t>
      </w:r>
      <w:r w:rsidR="00CE28C9" w:rsidRPr="00813D19">
        <w:rPr>
          <w:lang w:val="en-US"/>
        </w:rPr>
        <w:t xml:space="preserve"> </w:t>
      </w:r>
      <w:r w:rsidR="00A14D91" w:rsidRPr="00813D19">
        <w:rPr>
          <w:lang w:val="en-US"/>
        </w:rPr>
        <w:t>with ‘</w:t>
      </w:r>
      <w:r w:rsidR="00CE28C9" w:rsidRPr="00813D19">
        <w:rPr>
          <w:lang w:val="en-US"/>
        </w:rPr>
        <w:t>REV</w:t>
      </w:r>
      <w:r w:rsidR="00A14D91" w:rsidRPr="00813D19">
        <w:rPr>
          <w:lang w:val="en-US"/>
        </w:rPr>
        <w:t>’</w:t>
      </w:r>
      <w:r w:rsidR="00CE28C9" w:rsidRPr="00813D19">
        <w:rPr>
          <w:lang w:val="en-US"/>
        </w:rPr>
        <w:t xml:space="preserve"> (revised). </w:t>
      </w:r>
      <w:r w:rsidR="00A14D91" w:rsidRPr="00813D19">
        <w:rPr>
          <w:lang w:val="en-US"/>
        </w:rPr>
        <w:t>Regarding the timetable,</w:t>
      </w:r>
      <w:r w:rsidR="00A14D91" w:rsidRPr="00813D19">
        <w:rPr>
          <w:b/>
          <w:lang w:val="en-US"/>
        </w:rPr>
        <w:t xml:space="preserve"> </w:t>
      </w:r>
      <w:r w:rsidR="00A14D91" w:rsidRPr="00813D19">
        <w:rPr>
          <w:lang w:val="en-US"/>
        </w:rPr>
        <w:t>the</w:t>
      </w:r>
      <w:r w:rsidR="00A14D91" w:rsidRPr="00813D19">
        <w:rPr>
          <w:b/>
          <w:lang w:val="en-US"/>
        </w:rPr>
        <w:t xml:space="preserve"> </w:t>
      </w:r>
      <w:r w:rsidR="00CE28C9" w:rsidRPr="00813D19">
        <w:rPr>
          <w:lang w:val="en-US"/>
        </w:rPr>
        <w:t xml:space="preserve">thirteenth session of the Committee </w:t>
      </w:r>
      <w:r w:rsidR="00A14D91" w:rsidRPr="00813D19">
        <w:rPr>
          <w:lang w:val="en-US"/>
        </w:rPr>
        <w:t xml:space="preserve">was </w:t>
      </w:r>
      <w:r w:rsidR="00CE28C9" w:rsidRPr="00813D19">
        <w:rPr>
          <w:lang w:val="en-US"/>
        </w:rPr>
        <w:t>a six</w:t>
      </w:r>
      <w:r w:rsidR="00A14D91" w:rsidRPr="00813D19">
        <w:rPr>
          <w:lang w:val="en-US"/>
        </w:rPr>
        <w:t xml:space="preserve">-day session </w:t>
      </w:r>
      <w:r w:rsidR="000C072C">
        <w:rPr>
          <w:lang w:val="en-US"/>
        </w:rPr>
        <w:t xml:space="preserve">the </w:t>
      </w:r>
      <w:r w:rsidR="00CE28C9" w:rsidRPr="00813D19">
        <w:rPr>
          <w:lang w:val="en-US"/>
        </w:rPr>
        <w:t xml:space="preserve">timetable </w:t>
      </w:r>
      <w:r w:rsidR="000C072C">
        <w:rPr>
          <w:lang w:val="en-US"/>
        </w:rPr>
        <w:t>of which had been</w:t>
      </w:r>
      <w:r w:rsidR="000C072C" w:rsidRPr="00813D19">
        <w:rPr>
          <w:lang w:val="en-US"/>
        </w:rPr>
        <w:t xml:space="preserve"> </w:t>
      </w:r>
      <w:r w:rsidR="00CE28C9" w:rsidRPr="00813D19">
        <w:rPr>
          <w:lang w:val="en-US"/>
        </w:rPr>
        <w:t xml:space="preserve">adopted by the Bureau at its meeting on 2 October in Paris. The Bureau </w:t>
      </w:r>
      <w:r w:rsidR="00A14D91" w:rsidRPr="00813D19">
        <w:rPr>
          <w:lang w:val="en-US"/>
        </w:rPr>
        <w:t xml:space="preserve">had </w:t>
      </w:r>
      <w:r w:rsidR="00CE28C9" w:rsidRPr="00813D19">
        <w:rPr>
          <w:lang w:val="en-US"/>
        </w:rPr>
        <w:t xml:space="preserve">met </w:t>
      </w:r>
      <w:r w:rsidR="00A14D91" w:rsidRPr="00813D19">
        <w:rPr>
          <w:lang w:val="en-US"/>
        </w:rPr>
        <w:t xml:space="preserve">the previous day </w:t>
      </w:r>
      <w:r w:rsidR="00CE28C9" w:rsidRPr="00813D19">
        <w:rPr>
          <w:lang w:val="en-US"/>
        </w:rPr>
        <w:t xml:space="preserve">and </w:t>
      </w:r>
      <w:r w:rsidR="00A14D91" w:rsidRPr="00813D19">
        <w:rPr>
          <w:lang w:val="en-US"/>
        </w:rPr>
        <w:t xml:space="preserve">the </w:t>
      </w:r>
      <w:r w:rsidR="00CE28C9" w:rsidRPr="00813D19">
        <w:rPr>
          <w:lang w:val="en-US"/>
        </w:rPr>
        <w:t xml:space="preserve">revised </w:t>
      </w:r>
      <w:r w:rsidR="00A14D91" w:rsidRPr="00813D19">
        <w:rPr>
          <w:lang w:val="en-US"/>
        </w:rPr>
        <w:t>timetable</w:t>
      </w:r>
      <w:r w:rsidR="00CE28C9" w:rsidRPr="00813D19">
        <w:rPr>
          <w:lang w:val="en-US"/>
        </w:rPr>
        <w:t xml:space="preserve"> </w:t>
      </w:r>
      <w:r w:rsidR="00A14D91" w:rsidRPr="00813D19">
        <w:rPr>
          <w:lang w:val="en-US"/>
        </w:rPr>
        <w:t xml:space="preserve">was now </w:t>
      </w:r>
      <w:r w:rsidR="00CE28C9" w:rsidRPr="00813D19">
        <w:rPr>
          <w:lang w:val="en-US"/>
        </w:rPr>
        <w:t xml:space="preserve">document INF.2.1 Rev. The Committee </w:t>
      </w:r>
      <w:r w:rsidR="00A14D91" w:rsidRPr="00813D19">
        <w:rPr>
          <w:lang w:val="en-US"/>
        </w:rPr>
        <w:t xml:space="preserve">would </w:t>
      </w:r>
      <w:r w:rsidR="00CE28C9" w:rsidRPr="00813D19">
        <w:rPr>
          <w:lang w:val="en-US"/>
        </w:rPr>
        <w:t xml:space="preserve">meet every day from 9.30 a.m. to 12.30 p.m. and from 2.30 p.m. to 5.30 p.m. </w:t>
      </w:r>
      <w:r w:rsidR="00A14D91" w:rsidRPr="00813D19">
        <w:rPr>
          <w:lang w:val="en-US"/>
        </w:rPr>
        <w:t xml:space="preserve">It was noted that the </w:t>
      </w:r>
      <w:r w:rsidR="00CE28C9" w:rsidRPr="00813D19">
        <w:rPr>
          <w:lang w:val="en-US"/>
        </w:rPr>
        <w:t xml:space="preserve">meeting was scheduled over six days instead of five on </w:t>
      </w:r>
      <w:r w:rsidR="000C072C">
        <w:rPr>
          <w:lang w:val="en-US"/>
        </w:rPr>
        <w:t xml:space="preserve">the </w:t>
      </w:r>
      <w:r w:rsidR="00CE28C9" w:rsidRPr="00813D19">
        <w:rPr>
          <w:lang w:val="en-US"/>
        </w:rPr>
        <w:t xml:space="preserve">condition that the Committee </w:t>
      </w:r>
      <w:r w:rsidR="00D746EB" w:rsidRPr="00813D19">
        <w:rPr>
          <w:lang w:val="en-US"/>
        </w:rPr>
        <w:t xml:space="preserve">would not </w:t>
      </w:r>
      <w:r w:rsidR="00CE28C9" w:rsidRPr="00813D19">
        <w:rPr>
          <w:lang w:val="en-US"/>
        </w:rPr>
        <w:t xml:space="preserve">hold night sessions. Items </w:t>
      </w:r>
      <w:r w:rsidR="00D746EB" w:rsidRPr="00813D19">
        <w:rPr>
          <w:lang w:val="en-US"/>
        </w:rPr>
        <w:t xml:space="preserve">would </w:t>
      </w:r>
      <w:r w:rsidR="00CE28C9" w:rsidRPr="00813D19">
        <w:rPr>
          <w:lang w:val="en-US"/>
        </w:rPr>
        <w:t>be examined in the order indicated in the timetable</w:t>
      </w:r>
      <w:r w:rsidR="000C072C">
        <w:rPr>
          <w:lang w:val="en-US"/>
        </w:rPr>
        <w:t>,</w:t>
      </w:r>
      <w:r w:rsidR="00CE28C9" w:rsidRPr="00813D19">
        <w:rPr>
          <w:lang w:val="en-US"/>
        </w:rPr>
        <w:t xml:space="preserve"> as approved by the Bureau. </w:t>
      </w:r>
      <w:r w:rsidR="00D746EB" w:rsidRPr="00813D19">
        <w:rPr>
          <w:lang w:val="en-US"/>
        </w:rPr>
        <w:t xml:space="preserve">The Committee was </w:t>
      </w:r>
      <w:r w:rsidR="00CE28C9" w:rsidRPr="00813D19">
        <w:rPr>
          <w:lang w:val="en-US"/>
        </w:rPr>
        <w:t xml:space="preserve">asked to adopt </w:t>
      </w:r>
      <w:r w:rsidR="00D746EB" w:rsidRPr="00813D19">
        <w:rPr>
          <w:lang w:val="en-US"/>
        </w:rPr>
        <w:t>the agenda</w:t>
      </w:r>
      <w:r w:rsidR="00CE28C9" w:rsidRPr="00813D19">
        <w:rPr>
          <w:lang w:val="en-US"/>
        </w:rPr>
        <w:t xml:space="preserve"> and </w:t>
      </w:r>
      <w:r w:rsidR="00D746EB" w:rsidRPr="00813D19">
        <w:rPr>
          <w:lang w:val="en-US"/>
        </w:rPr>
        <w:t xml:space="preserve">not the timetable, as the Bureau would </w:t>
      </w:r>
      <w:r w:rsidR="00CE28C9" w:rsidRPr="00813D19">
        <w:rPr>
          <w:lang w:val="en-US"/>
        </w:rPr>
        <w:t xml:space="preserve">adjust the provisional timetable as </w:t>
      </w:r>
      <w:r w:rsidR="00D746EB" w:rsidRPr="00813D19">
        <w:rPr>
          <w:lang w:val="en-US"/>
        </w:rPr>
        <w:t>required</w:t>
      </w:r>
      <w:r w:rsidR="00CE28C9" w:rsidRPr="00813D19">
        <w:rPr>
          <w:lang w:val="en-US"/>
        </w:rPr>
        <w:t xml:space="preserve">. Observers </w:t>
      </w:r>
      <w:r w:rsidR="00D746EB" w:rsidRPr="00813D19">
        <w:rPr>
          <w:lang w:val="en-US"/>
        </w:rPr>
        <w:t xml:space="preserve">were </w:t>
      </w:r>
      <w:r w:rsidR="00CE28C9" w:rsidRPr="00813D19">
        <w:rPr>
          <w:lang w:val="en-US"/>
        </w:rPr>
        <w:t>welcome to attend</w:t>
      </w:r>
      <w:r w:rsidR="00D746EB" w:rsidRPr="00813D19">
        <w:rPr>
          <w:lang w:val="en-US"/>
        </w:rPr>
        <w:t xml:space="preserve"> the Bureau meeting</w:t>
      </w:r>
      <w:r w:rsidR="00CE28C9" w:rsidRPr="00813D19">
        <w:rPr>
          <w:lang w:val="en-US"/>
        </w:rPr>
        <w:t>.</w:t>
      </w:r>
      <w:r w:rsidR="00D746EB" w:rsidRPr="00813D19">
        <w:rPr>
          <w:lang w:val="en-US"/>
        </w:rPr>
        <w:t xml:space="preserve"> Side </w:t>
      </w:r>
      <w:r w:rsidR="00CE28C9" w:rsidRPr="00813D19">
        <w:rPr>
          <w:lang w:val="en-US"/>
        </w:rPr>
        <w:t>events</w:t>
      </w:r>
      <w:r w:rsidR="00D746EB" w:rsidRPr="00813D19">
        <w:rPr>
          <w:lang w:val="en-US"/>
        </w:rPr>
        <w:t xml:space="preserve"> would </w:t>
      </w:r>
      <w:r w:rsidR="00CE28C9" w:rsidRPr="00813D19">
        <w:rPr>
          <w:lang w:val="en-US"/>
        </w:rPr>
        <w:t>take place during the session.</w:t>
      </w:r>
      <w:r w:rsidR="00D746EB" w:rsidRPr="00813D19">
        <w:rPr>
          <w:lang w:val="en-US"/>
        </w:rPr>
        <w:t xml:space="preserve"> The Secretariat had prepared two side events: i) a demonstration of the tool </w:t>
      </w:r>
      <w:r w:rsidR="00CE28C9" w:rsidRPr="00813D19">
        <w:rPr>
          <w:lang w:val="en-US"/>
        </w:rPr>
        <w:t>‘Dive into Intangible Cultural Heritage’</w:t>
      </w:r>
      <w:r w:rsidR="00D746EB" w:rsidRPr="00813D19">
        <w:rPr>
          <w:lang w:val="en-US"/>
        </w:rPr>
        <w:t xml:space="preserve"> developed by the Secretariat, and ii) </w:t>
      </w:r>
      <w:r w:rsidR="00CE28C9" w:rsidRPr="00813D19">
        <w:rPr>
          <w:lang w:val="en-US"/>
        </w:rPr>
        <w:t xml:space="preserve">a roundtable discussion aiming to raise awareness about the global network of facilitators. </w:t>
      </w:r>
      <w:r w:rsidR="00D746EB" w:rsidRPr="00813D19">
        <w:rPr>
          <w:lang w:val="en-US"/>
        </w:rPr>
        <w:t>A</w:t>
      </w:r>
      <w:r w:rsidR="00CE28C9" w:rsidRPr="00813D19">
        <w:rPr>
          <w:lang w:val="en-US"/>
        </w:rPr>
        <w:t xml:space="preserve"> press conference </w:t>
      </w:r>
      <w:r w:rsidR="00D746EB" w:rsidRPr="00813D19">
        <w:rPr>
          <w:lang w:val="en-US"/>
        </w:rPr>
        <w:t xml:space="preserve">would also take place </w:t>
      </w:r>
      <w:r w:rsidR="00CE28C9" w:rsidRPr="00813D19">
        <w:rPr>
          <w:lang w:val="en-US"/>
        </w:rPr>
        <w:t>immediately</w:t>
      </w:r>
      <w:r w:rsidR="00D746EB" w:rsidRPr="00813D19">
        <w:rPr>
          <w:lang w:val="en-US"/>
        </w:rPr>
        <w:t xml:space="preserve"> after the morning </w:t>
      </w:r>
      <w:r w:rsidR="00CE28C9" w:rsidRPr="00813D19">
        <w:rPr>
          <w:lang w:val="en-US"/>
        </w:rPr>
        <w:t xml:space="preserve">session. States Parties, accredited </w:t>
      </w:r>
      <w:r w:rsidR="00D746EB" w:rsidRPr="00813D19">
        <w:rPr>
          <w:lang w:val="en-US"/>
        </w:rPr>
        <w:t xml:space="preserve">NGOs </w:t>
      </w:r>
      <w:r w:rsidR="00CE28C9" w:rsidRPr="00813D19">
        <w:rPr>
          <w:lang w:val="en-US"/>
        </w:rPr>
        <w:t xml:space="preserve">and </w:t>
      </w:r>
      <w:r w:rsidR="000C072C">
        <w:rPr>
          <w:lang w:val="en-US"/>
        </w:rPr>
        <w:t>c</w:t>
      </w:r>
      <w:r w:rsidR="000C072C" w:rsidRPr="00813D19">
        <w:rPr>
          <w:lang w:val="en-US"/>
        </w:rPr>
        <w:t xml:space="preserve">ategory </w:t>
      </w:r>
      <w:r w:rsidR="000C072C">
        <w:rPr>
          <w:lang w:val="en-US"/>
        </w:rPr>
        <w:t>2</w:t>
      </w:r>
      <w:r w:rsidR="000C072C" w:rsidRPr="00813D19">
        <w:rPr>
          <w:lang w:val="en-US"/>
        </w:rPr>
        <w:t xml:space="preserve"> </w:t>
      </w:r>
      <w:r w:rsidR="000C072C">
        <w:rPr>
          <w:lang w:val="en-US"/>
        </w:rPr>
        <w:t>c</w:t>
      </w:r>
      <w:r w:rsidR="000C072C" w:rsidRPr="00813D19">
        <w:rPr>
          <w:lang w:val="en-US"/>
        </w:rPr>
        <w:t xml:space="preserve">entres </w:t>
      </w:r>
      <w:r w:rsidR="00D746EB" w:rsidRPr="00813D19">
        <w:rPr>
          <w:lang w:val="en-US"/>
        </w:rPr>
        <w:t xml:space="preserve">had also </w:t>
      </w:r>
      <w:r w:rsidR="00CE28C9" w:rsidRPr="00813D19">
        <w:rPr>
          <w:lang w:val="en-US"/>
        </w:rPr>
        <w:t>org</w:t>
      </w:r>
      <w:r w:rsidR="00D746EB" w:rsidRPr="00813D19">
        <w:rPr>
          <w:lang w:val="en-US"/>
        </w:rPr>
        <w:t>anized</w:t>
      </w:r>
      <w:r w:rsidR="00CE28C9" w:rsidRPr="00813D19">
        <w:rPr>
          <w:lang w:val="en-US"/>
        </w:rPr>
        <w:t xml:space="preserve"> a number of side events</w:t>
      </w:r>
      <w:r w:rsidR="00D746EB" w:rsidRPr="00813D19">
        <w:rPr>
          <w:rStyle w:val="FootnoteReference"/>
          <w:lang w:val="en-US"/>
        </w:rPr>
        <w:footnoteReference w:id="3"/>
      </w:r>
      <w:r w:rsidR="001928D5">
        <w:rPr>
          <w:lang w:val="en-US"/>
        </w:rPr>
        <w:t>.</w:t>
      </w:r>
    </w:p>
    <w:p w14:paraId="4D01E921" w14:textId="198A4DA5" w:rsidR="009E75B2" w:rsidRPr="00813D19" w:rsidRDefault="00D33771" w:rsidP="00CE28C9">
      <w:pPr>
        <w:pStyle w:val="Orateurengris"/>
        <w:tabs>
          <w:tab w:val="clear" w:pos="709"/>
          <w:tab w:val="clear" w:pos="1418"/>
          <w:tab w:val="clear" w:pos="2126"/>
          <w:tab w:val="clear" w:pos="2835"/>
        </w:tab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CE28C9" w:rsidRPr="00813D19">
        <w:rPr>
          <w:iCs/>
          <w:lang w:val="en-US"/>
        </w:rPr>
        <w:t>inform</w:t>
      </w:r>
      <w:r w:rsidR="00E13EA4" w:rsidRPr="00813D19">
        <w:rPr>
          <w:iCs/>
          <w:lang w:val="en-US"/>
        </w:rPr>
        <w:t>ed</w:t>
      </w:r>
      <w:r w:rsidR="00CE28C9" w:rsidRPr="00813D19">
        <w:rPr>
          <w:iCs/>
          <w:lang w:val="en-US"/>
        </w:rPr>
        <w:t xml:space="preserve"> the Committee </w:t>
      </w:r>
      <w:r w:rsidR="00E13EA4" w:rsidRPr="00813D19">
        <w:rPr>
          <w:iCs/>
          <w:lang w:val="en-US"/>
        </w:rPr>
        <w:t xml:space="preserve">of how he wished </w:t>
      </w:r>
      <w:r w:rsidR="00FE3245" w:rsidRPr="00813D19">
        <w:rPr>
          <w:iCs/>
          <w:lang w:val="en-US"/>
        </w:rPr>
        <w:t>to</w:t>
      </w:r>
      <w:r w:rsidR="00E13EA4" w:rsidRPr="00813D19">
        <w:rPr>
          <w:iCs/>
          <w:lang w:val="en-US"/>
        </w:rPr>
        <w:t xml:space="preserve"> conduct the debates</w:t>
      </w:r>
      <w:r w:rsidR="00CE28C9" w:rsidRPr="00813D19">
        <w:rPr>
          <w:iCs/>
          <w:lang w:val="en-US"/>
        </w:rPr>
        <w:t>.</w:t>
      </w:r>
      <w:r w:rsidR="00CE28C9" w:rsidRPr="00813D19">
        <w:rPr>
          <w:lang w:val="en-US"/>
        </w:rPr>
        <w:t xml:space="preserve"> Committee </w:t>
      </w:r>
      <w:r w:rsidR="003E7512">
        <w:rPr>
          <w:lang w:val="en-US"/>
        </w:rPr>
        <w:t>M</w:t>
      </w:r>
      <w:r w:rsidR="00CE28C9" w:rsidRPr="00813D19">
        <w:rPr>
          <w:lang w:val="en-US"/>
        </w:rPr>
        <w:t xml:space="preserve">embers </w:t>
      </w:r>
      <w:r w:rsidR="00E13EA4" w:rsidRPr="00813D19">
        <w:rPr>
          <w:lang w:val="en-US"/>
        </w:rPr>
        <w:t xml:space="preserve">were invited </w:t>
      </w:r>
      <w:r w:rsidR="00CE28C9" w:rsidRPr="00813D19">
        <w:rPr>
          <w:lang w:val="en-US"/>
        </w:rPr>
        <w:t xml:space="preserve">to limit their remarks </w:t>
      </w:r>
      <w:r w:rsidR="00E13EA4" w:rsidRPr="00813D19">
        <w:rPr>
          <w:lang w:val="en-US"/>
        </w:rPr>
        <w:t xml:space="preserve">to </w:t>
      </w:r>
      <w:r w:rsidR="00CE28C9" w:rsidRPr="00813D19">
        <w:rPr>
          <w:lang w:val="en-US"/>
        </w:rPr>
        <w:t>two</w:t>
      </w:r>
      <w:r w:rsidR="00E13EA4" w:rsidRPr="00813D19">
        <w:rPr>
          <w:lang w:val="en-US"/>
        </w:rPr>
        <w:t xml:space="preserve"> minutes and to refrain from taking</w:t>
      </w:r>
      <w:r w:rsidR="00CE28C9" w:rsidRPr="00813D19">
        <w:rPr>
          <w:lang w:val="en-US"/>
        </w:rPr>
        <w:t xml:space="preserve"> the floor more than twice in a single item. </w:t>
      </w:r>
      <w:r w:rsidR="00E13EA4" w:rsidRPr="00813D19">
        <w:rPr>
          <w:lang w:val="en-US"/>
        </w:rPr>
        <w:t xml:space="preserve">A </w:t>
      </w:r>
      <w:r w:rsidR="00CE28C9" w:rsidRPr="00813D19">
        <w:rPr>
          <w:lang w:val="en-US"/>
        </w:rPr>
        <w:t xml:space="preserve">timer </w:t>
      </w:r>
      <w:r w:rsidR="00E13EA4" w:rsidRPr="00813D19">
        <w:rPr>
          <w:lang w:val="en-US"/>
        </w:rPr>
        <w:t xml:space="preserve">would </w:t>
      </w:r>
      <w:r w:rsidR="00CE28C9" w:rsidRPr="00813D19">
        <w:rPr>
          <w:lang w:val="en-US"/>
        </w:rPr>
        <w:t xml:space="preserve">indicate the length of each intervention. Members </w:t>
      </w:r>
      <w:r w:rsidR="00E13EA4" w:rsidRPr="00813D19">
        <w:rPr>
          <w:lang w:val="en-US"/>
        </w:rPr>
        <w:t xml:space="preserve">wishing </w:t>
      </w:r>
      <w:r w:rsidR="00CE28C9" w:rsidRPr="00813D19">
        <w:rPr>
          <w:lang w:val="en-US"/>
        </w:rPr>
        <w:t xml:space="preserve">to introduce amendments to the draft decisions </w:t>
      </w:r>
      <w:r w:rsidR="00E13EA4" w:rsidRPr="00813D19">
        <w:rPr>
          <w:lang w:val="en-US"/>
        </w:rPr>
        <w:t>were invited to complete</w:t>
      </w:r>
      <w:r w:rsidR="00CE28C9" w:rsidRPr="00813D19">
        <w:rPr>
          <w:lang w:val="en-US"/>
        </w:rPr>
        <w:t xml:space="preserve"> the relevant form</w:t>
      </w:r>
      <w:r w:rsidR="00E13EA4" w:rsidRPr="00813D19">
        <w:rPr>
          <w:lang w:val="en-US"/>
        </w:rPr>
        <w:t xml:space="preserve"> </w:t>
      </w:r>
      <w:r w:rsidR="00CE28C9" w:rsidRPr="00813D19">
        <w:rPr>
          <w:lang w:val="en-US"/>
        </w:rPr>
        <w:t xml:space="preserve">available from the Secretariat and the </w:t>
      </w:r>
      <w:r w:rsidR="00E13EA4" w:rsidRPr="00813D19">
        <w:rPr>
          <w:lang w:val="en-US"/>
        </w:rPr>
        <w:t>Committee’s webpage</w:t>
      </w:r>
      <w:r w:rsidR="00232914" w:rsidRPr="00813D19">
        <w:rPr>
          <w:lang w:val="en-US"/>
        </w:rPr>
        <w:t xml:space="preserve"> and to submit </w:t>
      </w:r>
      <w:r w:rsidR="00CE28C9" w:rsidRPr="00813D19">
        <w:rPr>
          <w:lang w:val="en-US"/>
        </w:rPr>
        <w:t>written amendments electronically</w:t>
      </w:r>
      <w:r w:rsidR="00232914" w:rsidRPr="00813D19">
        <w:rPr>
          <w:lang w:val="en-US"/>
        </w:rPr>
        <w:t xml:space="preserve">. Following a general debate </w:t>
      </w:r>
      <w:r w:rsidR="00CE28C9" w:rsidRPr="00813D19">
        <w:rPr>
          <w:lang w:val="en-US"/>
        </w:rPr>
        <w:t xml:space="preserve">by the Committee </w:t>
      </w:r>
      <w:r w:rsidR="003E7512">
        <w:rPr>
          <w:lang w:val="en-US"/>
        </w:rPr>
        <w:t>M</w:t>
      </w:r>
      <w:r w:rsidR="00CE28C9" w:rsidRPr="00813D19">
        <w:rPr>
          <w:lang w:val="en-US"/>
        </w:rPr>
        <w:t xml:space="preserve">embers, </w:t>
      </w:r>
      <w:r w:rsidR="00232914" w:rsidRPr="00813D19">
        <w:rPr>
          <w:lang w:val="en-US"/>
        </w:rPr>
        <w:t xml:space="preserve">the floor </w:t>
      </w:r>
      <w:r w:rsidR="00A62F04" w:rsidRPr="00813D19">
        <w:rPr>
          <w:lang w:val="en-US"/>
        </w:rPr>
        <w:t xml:space="preserve">would be given </w:t>
      </w:r>
      <w:r w:rsidR="00232914" w:rsidRPr="00813D19">
        <w:rPr>
          <w:lang w:val="en-US"/>
        </w:rPr>
        <w:t xml:space="preserve">to Observers, time </w:t>
      </w:r>
      <w:r w:rsidR="00FE3245" w:rsidRPr="00813D19">
        <w:rPr>
          <w:lang w:val="en-US"/>
        </w:rPr>
        <w:t xml:space="preserve">permitting, but they could </w:t>
      </w:r>
      <w:r w:rsidR="00CE28C9" w:rsidRPr="00813D19">
        <w:rPr>
          <w:lang w:val="en-US"/>
        </w:rPr>
        <w:t>not intervene during discussions on draft decisions. Concerning the Report of the Evaluation Body to the Committee, and in particular items 10.a, 10.b,</w:t>
      </w:r>
      <w:r w:rsidR="00FE3245" w:rsidRPr="00813D19">
        <w:rPr>
          <w:lang w:val="en-US"/>
        </w:rPr>
        <w:t xml:space="preserve"> </w:t>
      </w:r>
      <w:r w:rsidR="00CE28C9" w:rsidRPr="00813D19">
        <w:rPr>
          <w:lang w:val="en-US"/>
        </w:rPr>
        <w:t xml:space="preserve">10.c and 10.d, the Committee </w:t>
      </w:r>
      <w:r w:rsidR="00FE3245" w:rsidRPr="00813D19">
        <w:rPr>
          <w:lang w:val="en-US"/>
        </w:rPr>
        <w:t xml:space="preserve">had </w:t>
      </w:r>
      <w:r w:rsidR="00274B0A">
        <w:rPr>
          <w:lang w:val="en-US"/>
        </w:rPr>
        <w:t>fifty</w:t>
      </w:r>
      <w:r w:rsidR="00274B0A" w:rsidRPr="00813D19">
        <w:rPr>
          <w:lang w:val="en-US"/>
        </w:rPr>
        <w:t xml:space="preserve"> </w:t>
      </w:r>
      <w:r w:rsidR="00FE3245" w:rsidRPr="00813D19">
        <w:rPr>
          <w:lang w:val="en-US"/>
        </w:rPr>
        <w:t xml:space="preserve">files to examine for which </w:t>
      </w:r>
      <w:r w:rsidR="00274B0A">
        <w:rPr>
          <w:lang w:val="en-US"/>
        </w:rPr>
        <w:t>fifteen</w:t>
      </w:r>
      <w:r w:rsidR="00274B0A" w:rsidRPr="00813D19">
        <w:rPr>
          <w:lang w:val="en-US"/>
        </w:rPr>
        <w:t xml:space="preserve"> </w:t>
      </w:r>
      <w:r w:rsidR="00CE28C9" w:rsidRPr="00813D19">
        <w:rPr>
          <w:lang w:val="en-US"/>
        </w:rPr>
        <w:t xml:space="preserve">hours </w:t>
      </w:r>
      <w:r w:rsidR="00FE3245" w:rsidRPr="00813D19">
        <w:rPr>
          <w:lang w:val="en-US"/>
        </w:rPr>
        <w:t>was allotted. This meant</w:t>
      </w:r>
      <w:r w:rsidR="00CE28C9" w:rsidRPr="00813D19">
        <w:rPr>
          <w:lang w:val="en-US"/>
        </w:rPr>
        <w:t xml:space="preserve"> that the Committee </w:t>
      </w:r>
      <w:r w:rsidR="00FE3245" w:rsidRPr="00813D19">
        <w:rPr>
          <w:lang w:val="en-US"/>
        </w:rPr>
        <w:t xml:space="preserve">would </w:t>
      </w:r>
      <w:r w:rsidR="00CE28C9" w:rsidRPr="00813D19">
        <w:rPr>
          <w:lang w:val="en-US"/>
        </w:rPr>
        <w:t xml:space="preserve">have about </w:t>
      </w:r>
      <w:r w:rsidR="00274B0A">
        <w:rPr>
          <w:lang w:val="en-US"/>
        </w:rPr>
        <w:t>eighteen</w:t>
      </w:r>
      <w:r w:rsidR="00274B0A" w:rsidRPr="00813D19">
        <w:rPr>
          <w:lang w:val="en-US"/>
        </w:rPr>
        <w:t xml:space="preserve"> </w:t>
      </w:r>
      <w:r w:rsidR="00CE28C9" w:rsidRPr="00813D19">
        <w:rPr>
          <w:lang w:val="en-US"/>
        </w:rPr>
        <w:t xml:space="preserve">minutes </w:t>
      </w:r>
      <w:r w:rsidR="00FE3245" w:rsidRPr="00813D19">
        <w:rPr>
          <w:lang w:val="en-US"/>
        </w:rPr>
        <w:t xml:space="preserve">to examine each </w:t>
      </w:r>
      <w:r w:rsidR="00CE28C9" w:rsidRPr="00813D19">
        <w:rPr>
          <w:lang w:val="en-US"/>
        </w:rPr>
        <w:t xml:space="preserve">file on average. Due to </w:t>
      </w:r>
      <w:r w:rsidR="00FE3245" w:rsidRPr="00813D19">
        <w:rPr>
          <w:lang w:val="en-US"/>
        </w:rPr>
        <w:t xml:space="preserve">the </w:t>
      </w:r>
      <w:r w:rsidR="00CE28C9" w:rsidRPr="00813D19">
        <w:rPr>
          <w:lang w:val="en-US"/>
        </w:rPr>
        <w:t xml:space="preserve">tight schedule and in order to discuss </w:t>
      </w:r>
      <w:r w:rsidR="00FE3245" w:rsidRPr="00813D19">
        <w:rPr>
          <w:lang w:val="en-US"/>
        </w:rPr>
        <w:t xml:space="preserve">every </w:t>
      </w:r>
      <w:r w:rsidR="00CE28C9" w:rsidRPr="00813D19">
        <w:rPr>
          <w:lang w:val="en-US"/>
        </w:rPr>
        <w:t xml:space="preserve">agenda item, </w:t>
      </w:r>
      <w:r w:rsidR="00FE3245" w:rsidRPr="00813D19">
        <w:rPr>
          <w:lang w:val="en-US"/>
        </w:rPr>
        <w:t xml:space="preserve">recent sessions of the Committee had adopted </w:t>
      </w:r>
      <w:r w:rsidR="00CE28C9" w:rsidRPr="00813D19">
        <w:rPr>
          <w:lang w:val="en-US"/>
        </w:rPr>
        <w:t>a working method to deal with this high number of nominations</w:t>
      </w:r>
      <w:r w:rsidR="00FE3245" w:rsidRPr="00813D19">
        <w:rPr>
          <w:lang w:val="en-US"/>
        </w:rPr>
        <w:t xml:space="preserve">. At its session on </w:t>
      </w:r>
      <w:r w:rsidR="00CE28C9" w:rsidRPr="00813D19">
        <w:rPr>
          <w:lang w:val="en-US"/>
        </w:rPr>
        <w:t xml:space="preserve">2 October </w:t>
      </w:r>
      <w:r w:rsidR="00FE3245" w:rsidRPr="00813D19">
        <w:rPr>
          <w:lang w:val="en-US"/>
        </w:rPr>
        <w:t xml:space="preserve">2018, the Bureau </w:t>
      </w:r>
      <w:r w:rsidR="00CE28C9" w:rsidRPr="00813D19">
        <w:rPr>
          <w:lang w:val="en-US"/>
        </w:rPr>
        <w:t xml:space="preserve">discussed the need to continue to ensure that debates </w:t>
      </w:r>
      <w:r w:rsidR="000D30F1" w:rsidRPr="00813D19">
        <w:rPr>
          <w:lang w:val="en-US"/>
        </w:rPr>
        <w:t xml:space="preserve">on nominations </w:t>
      </w:r>
      <w:r w:rsidR="00CE28C9" w:rsidRPr="00813D19">
        <w:rPr>
          <w:lang w:val="en-US"/>
        </w:rPr>
        <w:t>proceed</w:t>
      </w:r>
      <w:r w:rsidR="00FE3245" w:rsidRPr="00813D19">
        <w:rPr>
          <w:lang w:val="en-US"/>
        </w:rPr>
        <w:t>ed</w:t>
      </w:r>
      <w:r w:rsidR="00CE28C9" w:rsidRPr="00813D19">
        <w:rPr>
          <w:lang w:val="en-US"/>
        </w:rPr>
        <w:t xml:space="preserve"> efficiently. </w:t>
      </w:r>
      <w:r w:rsidR="000D30F1" w:rsidRPr="00813D19">
        <w:rPr>
          <w:lang w:val="en-US"/>
        </w:rPr>
        <w:t>Hence</w:t>
      </w:r>
      <w:r w:rsidR="00CE28C9" w:rsidRPr="00813D19">
        <w:rPr>
          <w:lang w:val="en-US"/>
        </w:rPr>
        <w:t>, the Bureau proposed continu</w:t>
      </w:r>
      <w:r w:rsidR="00274B0A">
        <w:rPr>
          <w:lang w:val="en-US"/>
        </w:rPr>
        <w:t>ing</w:t>
      </w:r>
      <w:r w:rsidR="00CE28C9" w:rsidRPr="00813D19">
        <w:rPr>
          <w:lang w:val="en-US"/>
        </w:rPr>
        <w:t xml:space="preserve"> with the working method adopted </w:t>
      </w:r>
      <w:r w:rsidR="00274B0A">
        <w:rPr>
          <w:lang w:val="en-US"/>
        </w:rPr>
        <w:t>three</w:t>
      </w:r>
      <w:r w:rsidR="00274B0A" w:rsidRPr="00813D19">
        <w:rPr>
          <w:lang w:val="en-US"/>
        </w:rPr>
        <w:t xml:space="preserve"> </w:t>
      </w:r>
      <w:r w:rsidR="00CE28C9" w:rsidRPr="00813D19">
        <w:rPr>
          <w:lang w:val="en-US"/>
        </w:rPr>
        <w:t>years ago</w:t>
      </w:r>
      <w:r w:rsidR="000D30F1" w:rsidRPr="00813D19">
        <w:rPr>
          <w:lang w:val="en-US"/>
        </w:rPr>
        <w:t>, as per the email communication sent</w:t>
      </w:r>
      <w:r w:rsidR="00CE28C9" w:rsidRPr="00813D19">
        <w:rPr>
          <w:lang w:val="en-US"/>
        </w:rPr>
        <w:t xml:space="preserve"> on 15 November</w:t>
      </w:r>
      <w:r w:rsidR="000D30F1" w:rsidRPr="00813D19">
        <w:rPr>
          <w:lang w:val="en-US"/>
        </w:rPr>
        <w:t xml:space="preserve"> 2018 by the Secretariat</w:t>
      </w:r>
      <w:r w:rsidR="00CE28C9" w:rsidRPr="00813D19">
        <w:rPr>
          <w:lang w:val="en-US"/>
        </w:rPr>
        <w:t>. As a general principle, individual decisions concerning nominations to the Lists, requests for International Assistance and proposals to the Register of Good Safeguarding Practices</w:t>
      </w:r>
      <w:r w:rsidR="00CE28C9" w:rsidRPr="00813D19" w:rsidDel="00CA3112">
        <w:rPr>
          <w:lang w:val="en-US"/>
        </w:rPr>
        <w:t xml:space="preserve"> </w:t>
      </w:r>
      <w:r w:rsidR="00CE28C9" w:rsidRPr="00813D19">
        <w:rPr>
          <w:lang w:val="en-US"/>
        </w:rPr>
        <w:t xml:space="preserve">should be adopted without debate, unless </w:t>
      </w:r>
      <w:r w:rsidR="000D30F1" w:rsidRPr="00813D19">
        <w:rPr>
          <w:lang w:val="en-US"/>
        </w:rPr>
        <w:t xml:space="preserve">specific issues were raised by a </w:t>
      </w:r>
      <w:r w:rsidR="00A62F04" w:rsidRPr="00813D19">
        <w:rPr>
          <w:lang w:val="en-US"/>
        </w:rPr>
        <w:t>Committee M</w:t>
      </w:r>
      <w:r w:rsidR="00CE28C9" w:rsidRPr="00813D19">
        <w:rPr>
          <w:lang w:val="en-US"/>
        </w:rPr>
        <w:t xml:space="preserve">ember. </w:t>
      </w:r>
      <w:r w:rsidR="000D30F1" w:rsidRPr="00813D19">
        <w:rPr>
          <w:lang w:val="en-US"/>
        </w:rPr>
        <w:t xml:space="preserve">Proposed amendments to draft decisions should be made known in </w:t>
      </w:r>
      <w:r w:rsidR="000D30F1" w:rsidRPr="00813D19">
        <w:rPr>
          <w:lang w:val="en-US"/>
        </w:rPr>
        <w:lastRenderedPageBreak/>
        <w:t xml:space="preserve">advance of the </w:t>
      </w:r>
      <w:r w:rsidR="00CE28C9" w:rsidRPr="00813D19">
        <w:rPr>
          <w:lang w:val="en-US"/>
        </w:rPr>
        <w:t xml:space="preserve">Bureau meeting so that the Bureau </w:t>
      </w:r>
      <w:r w:rsidR="000D30F1" w:rsidRPr="00813D19">
        <w:rPr>
          <w:lang w:val="en-US"/>
        </w:rPr>
        <w:t xml:space="preserve">could </w:t>
      </w:r>
      <w:r w:rsidR="00CE28C9" w:rsidRPr="00813D19">
        <w:rPr>
          <w:lang w:val="en-US"/>
        </w:rPr>
        <w:t>establish the list of files for deb</w:t>
      </w:r>
      <w:r w:rsidR="000D30F1" w:rsidRPr="00813D19">
        <w:rPr>
          <w:lang w:val="en-US"/>
        </w:rPr>
        <w:t xml:space="preserve">ate and thus </w:t>
      </w:r>
      <w:r w:rsidR="00CE28C9" w:rsidRPr="00813D19">
        <w:rPr>
          <w:lang w:val="en-US"/>
        </w:rPr>
        <w:t xml:space="preserve">better organize the time available. </w:t>
      </w:r>
      <w:r w:rsidR="000D30F1" w:rsidRPr="00813D19">
        <w:rPr>
          <w:lang w:val="en-US"/>
        </w:rPr>
        <w:t xml:space="preserve">Nevertheless, </w:t>
      </w:r>
      <w:r w:rsidR="003E7512">
        <w:rPr>
          <w:lang w:val="en-US"/>
        </w:rPr>
        <w:t>M</w:t>
      </w:r>
      <w:r w:rsidR="00CE28C9" w:rsidRPr="00813D19">
        <w:rPr>
          <w:lang w:val="en-US"/>
        </w:rPr>
        <w:t xml:space="preserve">embers of the Committee </w:t>
      </w:r>
      <w:r w:rsidR="000D30F1" w:rsidRPr="00813D19">
        <w:rPr>
          <w:lang w:val="en-US"/>
        </w:rPr>
        <w:t xml:space="preserve">were </w:t>
      </w:r>
      <w:r w:rsidR="00CE28C9" w:rsidRPr="00813D19">
        <w:rPr>
          <w:lang w:val="en-US"/>
        </w:rPr>
        <w:t xml:space="preserve">always </w:t>
      </w:r>
      <w:r w:rsidR="000D30F1" w:rsidRPr="00813D19">
        <w:rPr>
          <w:lang w:val="en-US"/>
        </w:rPr>
        <w:t>entitled to ask for the floor</w:t>
      </w:r>
      <w:r w:rsidR="00CE28C9" w:rsidRPr="00813D19">
        <w:rPr>
          <w:lang w:val="en-US"/>
        </w:rPr>
        <w:t xml:space="preserve">. </w:t>
      </w:r>
      <w:r w:rsidR="000D30F1" w:rsidRPr="00813D19">
        <w:rPr>
          <w:lang w:val="en-US"/>
        </w:rPr>
        <w:t xml:space="preserve">Following </w:t>
      </w:r>
      <w:r w:rsidR="00A62F04" w:rsidRPr="00813D19">
        <w:rPr>
          <w:lang w:val="en-US"/>
        </w:rPr>
        <w:t>the examination of each file—regardless of the outcome—</w:t>
      </w:r>
      <w:r w:rsidR="000D30F1" w:rsidRPr="00813D19">
        <w:rPr>
          <w:lang w:val="en-US"/>
        </w:rPr>
        <w:t xml:space="preserve">the Chairperson would </w:t>
      </w:r>
      <w:r w:rsidR="00CE28C9" w:rsidRPr="00813D19">
        <w:rPr>
          <w:lang w:val="en-US"/>
        </w:rPr>
        <w:t xml:space="preserve">give the floor </w:t>
      </w:r>
      <w:r w:rsidR="000D30F1" w:rsidRPr="00813D19">
        <w:rPr>
          <w:lang w:val="en-US"/>
        </w:rPr>
        <w:t>to the submitting State</w:t>
      </w:r>
      <w:r w:rsidR="00274B0A">
        <w:rPr>
          <w:lang w:val="en-US"/>
        </w:rPr>
        <w:t>(s)</w:t>
      </w:r>
      <w:r w:rsidR="00CE28C9" w:rsidRPr="00813D19">
        <w:rPr>
          <w:lang w:val="en-US"/>
        </w:rPr>
        <w:t xml:space="preserve"> </w:t>
      </w:r>
      <w:r w:rsidR="000D30F1" w:rsidRPr="00813D19">
        <w:rPr>
          <w:lang w:val="en-US"/>
        </w:rPr>
        <w:t xml:space="preserve">for two minutes </w:t>
      </w:r>
      <w:r w:rsidR="00CE28C9" w:rsidRPr="00813D19">
        <w:rPr>
          <w:lang w:val="en-US"/>
        </w:rPr>
        <w:t xml:space="preserve">to deliver a short speech, show a video clip or </w:t>
      </w:r>
      <w:r w:rsidR="000D30F1" w:rsidRPr="00813D19">
        <w:rPr>
          <w:lang w:val="en-US"/>
        </w:rPr>
        <w:t xml:space="preserve">perform a demonstration, which had </w:t>
      </w:r>
      <w:r w:rsidR="00CE28C9" w:rsidRPr="00813D19">
        <w:rPr>
          <w:lang w:val="en-US"/>
        </w:rPr>
        <w:t xml:space="preserve">become a tradition within </w:t>
      </w:r>
      <w:r w:rsidR="000D30F1" w:rsidRPr="00813D19">
        <w:rPr>
          <w:lang w:val="en-US"/>
        </w:rPr>
        <w:t>the Committee</w:t>
      </w:r>
      <w:r w:rsidR="00CE28C9" w:rsidRPr="00813D19">
        <w:rPr>
          <w:lang w:val="en-US"/>
        </w:rPr>
        <w:t xml:space="preserve">. </w:t>
      </w:r>
      <w:r w:rsidR="000D30F1" w:rsidRPr="00813D19">
        <w:rPr>
          <w:lang w:val="en-US"/>
        </w:rPr>
        <w:t xml:space="preserve">The Chairperson also </w:t>
      </w:r>
      <w:r w:rsidR="00CE28C9" w:rsidRPr="00813D19">
        <w:rPr>
          <w:lang w:val="en-US"/>
        </w:rPr>
        <w:t>suggest</w:t>
      </w:r>
      <w:r w:rsidR="000D30F1" w:rsidRPr="00813D19">
        <w:rPr>
          <w:lang w:val="en-US"/>
        </w:rPr>
        <w:t>ed</w:t>
      </w:r>
      <w:r w:rsidR="00CE28C9" w:rsidRPr="00813D19">
        <w:rPr>
          <w:lang w:val="en-US"/>
        </w:rPr>
        <w:t xml:space="preserve"> adopt</w:t>
      </w:r>
      <w:r w:rsidR="000D30F1" w:rsidRPr="00813D19">
        <w:rPr>
          <w:lang w:val="en-US"/>
        </w:rPr>
        <w:t>ing</w:t>
      </w:r>
      <w:r w:rsidR="00CE28C9" w:rsidRPr="00813D19">
        <w:rPr>
          <w:lang w:val="en-US"/>
        </w:rPr>
        <w:t xml:space="preserve"> the same working method for item 7.b, Examination of the reports of States Parties on the current status of elements inscribed on the Urgent Safeguarding List. That is to say, if </w:t>
      </w:r>
      <w:r w:rsidR="00A62F04" w:rsidRPr="00813D19">
        <w:rPr>
          <w:lang w:val="en-US"/>
        </w:rPr>
        <w:t>no Committee M</w:t>
      </w:r>
      <w:r w:rsidR="000D30F1" w:rsidRPr="00813D19">
        <w:rPr>
          <w:lang w:val="en-US"/>
        </w:rPr>
        <w:t>ember wished</w:t>
      </w:r>
      <w:r w:rsidR="00CE28C9" w:rsidRPr="00813D19">
        <w:rPr>
          <w:lang w:val="en-US"/>
        </w:rPr>
        <w:t xml:space="preserve"> to discuss or amend specific draft decisions, the individual decisions under this item would be adopted without debate. </w:t>
      </w:r>
      <w:r w:rsidR="001F62D9" w:rsidRPr="00813D19">
        <w:rPr>
          <w:lang w:val="en-US"/>
        </w:rPr>
        <w:t xml:space="preserve">It was noted that </w:t>
      </w:r>
      <w:r w:rsidR="00CE28C9" w:rsidRPr="00813D19">
        <w:rPr>
          <w:lang w:val="en-US"/>
        </w:rPr>
        <w:t xml:space="preserve">there </w:t>
      </w:r>
      <w:r w:rsidR="001F62D9" w:rsidRPr="00813D19">
        <w:rPr>
          <w:lang w:val="en-US"/>
        </w:rPr>
        <w:t xml:space="preserve">were </w:t>
      </w:r>
      <w:r w:rsidR="00274B0A">
        <w:rPr>
          <w:lang w:val="en-US"/>
        </w:rPr>
        <w:t>sixteen</w:t>
      </w:r>
      <w:r w:rsidR="00274B0A" w:rsidRPr="00813D19">
        <w:rPr>
          <w:lang w:val="en-US"/>
        </w:rPr>
        <w:t xml:space="preserve"> </w:t>
      </w:r>
      <w:r w:rsidR="001F62D9" w:rsidRPr="00813D19">
        <w:rPr>
          <w:lang w:val="en-US"/>
        </w:rPr>
        <w:t xml:space="preserve">reports, which would take a long time if they were </w:t>
      </w:r>
      <w:r w:rsidR="00CE28C9" w:rsidRPr="00813D19">
        <w:rPr>
          <w:lang w:val="en-US"/>
        </w:rPr>
        <w:t>examine</w:t>
      </w:r>
      <w:r w:rsidR="001F62D9" w:rsidRPr="00813D19">
        <w:rPr>
          <w:lang w:val="en-US"/>
        </w:rPr>
        <w:t>d</w:t>
      </w:r>
      <w:r w:rsidR="00CE28C9" w:rsidRPr="00813D19">
        <w:rPr>
          <w:lang w:val="en-US"/>
        </w:rPr>
        <w:t xml:space="preserve"> </w:t>
      </w:r>
      <w:r w:rsidR="001F62D9" w:rsidRPr="00813D19">
        <w:rPr>
          <w:lang w:val="en-US"/>
        </w:rPr>
        <w:t>individually</w:t>
      </w:r>
      <w:r w:rsidR="00CE28C9" w:rsidRPr="00813D19">
        <w:rPr>
          <w:lang w:val="en-US"/>
        </w:rPr>
        <w:t xml:space="preserve">. </w:t>
      </w:r>
      <w:r w:rsidR="001F62D9" w:rsidRPr="00813D19">
        <w:rPr>
          <w:lang w:val="en-US"/>
        </w:rPr>
        <w:t xml:space="preserve">The </w:t>
      </w:r>
      <w:r w:rsidR="00CE28C9" w:rsidRPr="00813D19">
        <w:rPr>
          <w:lang w:val="en-US"/>
        </w:rPr>
        <w:t xml:space="preserve">Secretariat </w:t>
      </w:r>
      <w:r w:rsidR="001F62D9" w:rsidRPr="00813D19">
        <w:rPr>
          <w:lang w:val="en-US"/>
        </w:rPr>
        <w:t xml:space="preserve">should </w:t>
      </w:r>
      <w:r w:rsidR="00A62F04" w:rsidRPr="00813D19">
        <w:rPr>
          <w:lang w:val="en-US"/>
        </w:rPr>
        <w:t xml:space="preserve">thus </w:t>
      </w:r>
      <w:r w:rsidR="001F62D9" w:rsidRPr="00813D19">
        <w:rPr>
          <w:lang w:val="en-US"/>
        </w:rPr>
        <w:t>be informed in advance</w:t>
      </w:r>
      <w:r w:rsidR="00CE28C9" w:rsidRPr="00813D19">
        <w:rPr>
          <w:lang w:val="en-US"/>
        </w:rPr>
        <w:t xml:space="preserve"> </w:t>
      </w:r>
      <w:r w:rsidR="001F62D9" w:rsidRPr="00813D19">
        <w:rPr>
          <w:lang w:val="en-US"/>
        </w:rPr>
        <w:t xml:space="preserve">in the </w:t>
      </w:r>
      <w:r w:rsidR="00274B0A">
        <w:rPr>
          <w:lang w:val="en-US"/>
        </w:rPr>
        <w:t>event</w:t>
      </w:r>
      <w:r w:rsidR="00274B0A" w:rsidRPr="00813D19">
        <w:rPr>
          <w:lang w:val="en-US"/>
        </w:rPr>
        <w:t xml:space="preserve"> </w:t>
      </w:r>
      <w:r w:rsidR="001F62D9" w:rsidRPr="00813D19">
        <w:rPr>
          <w:lang w:val="en-US"/>
        </w:rPr>
        <w:t xml:space="preserve">of </w:t>
      </w:r>
      <w:r w:rsidR="00CE28C9" w:rsidRPr="00813D19">
        <w:rPr>
          <w:lang w:val="en-US"/>
        </w:rPr>
        <w:t>propose</w:t>
      </w:r>
      <w:r w:rsidR="001F62D9" w:rsidRPr="00813D19">
        <w:rPr>
          <w:lang w:val="en-US"/>
        </w:rPr>
        <w:t>d</w:t>
      </w:r>
      <w:r w:rsidR="00CE28C9" w:rsidRPr="00813D19">
        <w:rPr>
          <w:lang w:val="en-US"/>
        </w:rPr>
        <w:t xml:space="preserve"> amendment</w:t>
      </w:r>
      <w:r w:rsidR="001F62D9" w:rsidRPr="00813D19">
        <w:rPr>
          <w:lang w:val="en-US"/>
        </w:rPr>
        <w:t>s</w:t>
      </w:r>
      <w:r w:rsidR="00CE28C9" w:rsidRPr="00813D19">
        <w:rPr>
          <w:lang w:val="en-US"/>
        </w:rPr>
        <w:t xml:space="preserve"> to a draft decision. </w:t>
      </w:r>
      <w:r w:rsidR="001F62D9" w:rsidRPr="00813D19">
        <w:rPr>
          <w:lang w:val="en-US"/>
        </w:rPr>
        <w:t xml:space="preserve">The Chairperson would also invite requests for debate on the opening of the </w:t>
      </w:r>
      <w:r w:rsidR="00CE28C9" w:rsidRPr="00813D19">
        <w:rPr>
          <w:lang w:val="en-US"/>
        </w:rPr>
        <w:t>item</w:t>
      </w:r>
      <w:r w:rsidR="001F62D9" w:rsidRPr="00813D19">
        <w:rPr>
          <w:lang w:val="en-US"/>
        </w:rPr>
        <w:t xml:space="preserve">s, and would consequently </w:t>
      </w:r>
      <w:r w:rsidR="00CE28C9" w:rsidRPr="00813D19">
        <w:rPr>
          <w:lang w:val="en-US"/>
        </w:rPr>
        <w:t xml:space="preserve">take it for granted that draft decisions on </w:t>
      </w:r>
      <w:r w:rsidR="001F62D9" w:rsidRPr="00813D19">
        <w:rPr>
          <w:lang w:val="en-US"/>
        </w:rPr>
        <w:t xml:space="preserve">Urgent Safeguarding List </w:t>
      </w:r>
      <w:r w:rsidR="00CE28C9" w:rsidRPr="00813D19">
        <w:rPr>
          <w:lang w:val="en-US"/>
        </w:rPr>
        <w:t xml:space="preserve">reports and nominations </w:t>
      </w:r>
      <w:r w:rsidR="001F62D9" w:rsidRPr="00813D19">
        <w:rPr>
          <w:lang w:val="en-US"/>
        </w:rPr>
        <w:t xml:space="preserve">with </w:t>
      </w:r>
      <w:r w:rsidR="00CE28C9" w:rsidRPr="00813D19">
        <w:rPr>
          <w:lang w:val="en-US"/>
        </w:rPr>
        <w:t>no request</w:t>
      </w:r>
      <w:r w:rsidR="001F62D9" w:rsidRPr="00813D19">
        <w:rPr>
          <w:lang w:val="en-US"/>
        </w:rPr>
        <w:t>s</w:t>
      </w:r>
      <w:r w:rsidR="00CE28C9" w:rsidRPr="00813D19">
        <w:rPr>
          <w:lang w:val="en-US"/>
        </w:rPr>
        <w:t xml:space="preserve"> for amendment or debate </w:t>
      </w:r>
      <w:r w:rsidR="001F62D9" w:rsidRPr="00813D19">
        <w:rPr>
          <w:lang w:val="en-US"/>
        </w:rPr>
        <w:t xml:space="preserve">could </w:t>
      </w:r>
      <w:r w:rsidR="00CE28C9" w:rsidRPr="00813D19">
        <w:rPr>
          <w:lang w:val="en-US"/>
        </w:rPr>
        <w:t>be pr</w:t>
      </w:r>
      <w:r w:rsidR="001F62D9" w:rsidRPr="00813D19">
        <w:rPr>
          <w:lang w:val="en-US"/>
        </w:rPr>
        <w:t>oposed for adoption as a whole</w:t>
      </w:r>
      <w:r w:rsidR="00CE28C9" w:rsidRPr="00813D19">
        <w:rPr>
          <w:lang w:val="en-US"/>
        </w:rPr>
        <w:t xml:space="preserve"> instead of </w:t>
      </w:r>
      <w:r w:rsidR="00274B0A">
        <w:rPr>
          <w:lang w:val="en-US"/>
        </w:rPr>
        <w:t xml:space="preserve">on a </w:t>
      </w:r>
      <w:r w:rsidR="001F62D9" w:rsidRPr="00813D19">
        <w:rPr>
          <w:lang w:val="en-US"/>
        </w:rPr>
        <w:t>paragraph-by-</w:t>
      </w:r>
      <w:r w:rsidR="00CE28C9" w:rsidRPr="00813D19">
        <w:rPr>
          <w:lang w:val="en-US"/>
        </w:rPr>
        <w:t>paragraph</w:t>
      </w:r>
      <w:r w:rsidR="00274B0A">
        <w:rPr>
          <w:lang w:val="en-US"/>
        </w:rPr>
        <w:t xml:space="preserve"> basis</w:t>
      </w:r>
      <w:r w:rsidR="00CE28C9" w:rsidRPr="00813D19">
        <w:rPr>
          <w:lang w:val="en-US"/>
        </w:rPr>
        <w:t xml:space="preserve">. </w:t>
      </w:r>
      <w:r w:rsidR="001F62D9" w:rsidRPr="00813D19">
        <w:rPr>
          <w:lang w:val="en-US"/>
        </w:rPr>
        <w:t>This would save time and allow</w:t>
      </w:r>
      <w:r w:rsidR="00CE28C9" w:rsidRPr="00813D19">
        <w:rPr>
          <w:lang w:val="en-US"/>
        </w:rPr>
        <w:t xml:space="preserve"> </w:t>
      </w:r>
      <w:r w:rsidR="001F62D9" w:rsidRPr="00813D19">
        <w:rPr>
          <w:lang w:val="en-US"/>
        </w:rPr>
        <w:t xml:space="preserve">the Committee to </w:t>
      </w:r>
      <w:r w:rsidR="00CE28C9" w:rsidRPr="00813D19">
        <w:rPr>
          <w:lang w:val="en-US"/>
        </w:rPr>
        <w:t xml:space="preserve">spend </w:t>
      </w:r>
      <w:r w:rsidR="001F62D9" w:rsidRPr="00813D19">
        <w:rPr>
          <w:lang w:val="en-US"/>
        </w:rPr>
        <w:t xml:space="preserve">more </w:t>
      </w:r>
      <w:r w:rsidR="00CE28C9" w:rsidRPr="00813D19">
        <w:rPr>
          <w:lang w:val="en-US"/>
        </w:rPr>
        <w:t>time debating other nominations that deserve</w:t>
      </w:r>
      <w:r w:rsidR="005150ED" w:rsidRPr="00813D19">
        <w:rPr>
          <w:lang w:val="en-US"/>
        </w:rPr>
        <w:t>d</w:t>
      </w:r>
      <w:r w:rsidR="00CE28C9" w:rsidRPr="00813D19">
        <w:rPr>
          <w:lang w:val="en-US"/>
        </w:rPr>
        <w:t xml:space="preserve"> </w:t>
      </w:r>
      <w:r w:rsidR="001F62D9" w:rsidRPr="00813D19">
        <w:rPr>
          <w:lang w:val="en-US"/>
        </w:rPr>
        <w:t xml:space="preserve">the Committee’s </w:t>
      </w:r>
      <w:r w:rsidR="00CE28C9" w:rsidRPr="00813D19">
        <w:rPr>
          <w:lang w:val="en-US"/>
        </w:rPr>
        <w:t>attention.</w:t>
      </w:r>
      <w:r w:rsidR="005150ED" w:rsidRPr="00813D19">
        <w:rPr>
          <w:lang w:val="en-US"/>
        </w:rPr>
        <w:t xml:space="preserve"> With no comm</w:t>
      </w:r>
      <w:r w:rsidR="001F62D9" w:rsidRPr="00813D19">
        <w:rPr>
          <w:lang w:val="en-US"/>
        </w:rPr>
        <w:t>e</w:t>
      </w:r>
      <w:r w:rsidR="005150ED" w:rsidRPr="00813D19">
        <w:rPr>
          <w:lang w:val="en-US"/>
        </w:rPr>
        <w:t>n</w:t>
      </w:r>
      <w:r w:rsidR="001F62D9" w:rsidRPr="00813D19">
        <w:rPr>
          <w:lang w:val="en-US"/>
        </w:rPr>
        <w:t xml:space="preserve">ts on the agreed methodology, </w:t>
      </w:r>
      <w:r w:rsidR="005150ED" w:rsidRPr="00813D19">
        <w:rPr>
          <w:lang w:val="en-US"/>
        </w:rPr>
        <w:t xml:space="preserve">he </w:t>
      </w:r>
      <w:r w:rsidR="00CE28C9" w:rsidRPr="00813D19">
        <w:rPr>
          <w:lang w:val="en-US"/>
        </w:rPr>
        <w:t>invite</w:t>
      </w:r>
      <w:r w:rsidR="001F62D9" w:rsidRPr="00813D19">
        <w:rPr>
          <w:lang w:val="en-US"/>
        </w:rPr>
        <w:t>d</w:t>
      </w:r>
      <w:r w:rsidR="00CE28C9" w:rsidRPr="00813D19">
        <w:rPr>
          <w:lang w:val="en-US"/>
        </w:rPr>
        <w:t xml:space="preserve"> UNESCO’s Deputy Chief of Security f</w:t>
      </w:r>
      <w:r w:rsidR="00813D19">
        <w:rPr>
          <w:lang w:val="en-US"/>
        </w:rPr>
        <w:t>or UN coordination, Ms Mary Moné</w:t>
      </w:r>
      <w:r w:rsidR="00CE28C9" w:rsidRPr="00813D19">
        <w:rPr>
          <w:lang w:val="en-US"/>
        </w:rPr>
        <w:t xml:space="preserve">, to say a few words. </w:t>
      </w:r>
    </w:p>
    <w:p w14:paraId="366DD481" w14:textId="69D16E35" w:rsidR="002A1379" w:rsidRPr="00813D19" w:rsidRDefault="00FE47FD" w:rsidP="0044180C">
      <w:pPr>
        <w:pStyle w:val="Orateurengris"/>
        <w:tabs>
          <w:tab w:val="clear" w:pos="709"/>
          <w:tab w:val="clear" w:pos="1418"/>
          <w:tab w:val="clear" w:pos="2126"/>
          <w:tab w:val="clear" w:pos="2835"/>
        </w:tabs>
        <w:spacing w:before="120"/>
        <w:ind w:left="709" w:hanging="709"/>
        <w:rPr>
          <w:b/>
          <w:color w:val="000000" w:themeColor="text1"/>
          <w:lang w:val="en-US"/>
        </w:rPr>
      </w:pPr>
      <w:r w:rsidRPr="00813D19">
        <w:rPr>
          <w:color w:val="000000" w:themeColor="text1"/>
          <w:lang w:val="en-US"/>
        </w:rPr>
        <w:t>The</w:t>
      </w:r>
      <w:r w:rsidRPr="00813D19">
        <w:rPr>
          <w:b/>
          <w:color w:val="000000" w:themeColor="text1"/>
          <w:lang w:val="en-US"/>
        </w:rPr>
        <w:t xml:space="preserve"> Security Adviser to the Director-General</w:t>
      </w:r>
      <w:r w:rsidRPr="00813D19">
        <w:rPr>
          <w:color w:val="000000" w:themeColor="text1"/>
          <w:lang w:val="en-US"/>
        </w:rPr>
        <w:t xml:space="preserve">, Ms </w:t>
      </w:r>
      <w:r w:rsidR="002A1379" w:rsidRPr="00813D19">
        <w:rPr>
          <w:color w:val="000000" w:themeColor="text1"/>
          <w:lang w:val="en-US"/>
        </w:rPr>
        <w:t xml:space="preserve">Mary </w:t>
      </w:r>
      <w:r w:rsidRPr="00813D19">
        <w:rPr>
          <w:color w:val="000000" w:themeColor="text1"/>
          <w:lang w:val="en-US"/>
        </w:rPr>
        <w:t>Moné,</w:t>
      </w:r>
      <w:r w:rsidR="00F905E7" w:rsidRPr="00813D19">
        <w:rPr>
          <w:bCs/>
          <w:lang w:val="en-US"/>
        </w:rPr>
        <w:t xml:space="preserve"> reassure</w:t>
      </w:r>
      <w:r w:rsidR="002837B2" w:rsidRPr="00813D19">
        <w:rPr>
          <w:bCs/>
          <w:lang w:val="en-US"/>
        </w:rPr>
        <w:t>d the delegates</w:t>
      </w:r>
      <w:r w:rsidR="00F905E7" w:rsidRPr="00813D19">
        <w:rPr>
          <w:bCs/>
          <w:lang w:val="en-US"/>
        </w:rPr>
        <w:t xml:space="preserve"> </w:t>
      </w:r>
      <w:r w:rsidR="002837B2" w:rsidRPr="00813D19">
        <w:rPr>
          <w:bCs/>
          <w:lang w:val="en-US"/>
        </w:rPr>
        <w:t xml:space="preserve">that their security and safety </w:t>
      </w:r>
      <w:r w:rsidR="00274B0A" w:rsidRPr="00813D19">
        <w:rPr>
          <w:bCs/>
          <w:lang w:val="en-US"/>
        </w:rPr>
        <w:t>w</w:t>
      </w:r>
      <w:r w:rsidR="00274B0A">
        <w:rPr>
          <w:bCs/>
          <w:lang w:val="en-US"/>
        </w:rPr>
        <w:t>ere</w:t>
      </w:r>
      <w:r w:rsidR="00274B0A" w:rsidRPr="00813D19">
        <w:rPr>
          <w:bCs/>
          <w:lang w:val="en-US"/>
        </w:rPr>
        <w:t xml:space="preserve"> </w:t>
      </w:r>
      <w:r w:rsidR="00F905E7" w:rsidRPr="00813D19">
        <w:rPr>
          <w:bCs/>
          <w:lang w:val="en-US"/>
        </w:rPr>
        <w:t xml:space="preserve">assured </w:t>
      </w:r>
      <w:r w:rsidR="005150ED" w:rsidRPr="00813D19">
        <w:rPr>
          <w:bCs/>
          <w:lang w:val="en-US"/>
        </w:rPr>
        <w:t>by the host country, thank</w:t>
      </w:r>
      <w:r w:rsidR="002837B2" w:rsidRPr="00813D19">
        <w:rPr>
          <w:bCs/>
          <w:lang w:val="en-US"/>
        </w:rPr>
        <w:t xml:space="preserve">ing </w:t>
      </w:r>
      <w:r w:rsidR="00F905E7" w:rsidRPr="00813D19">
        <w:rPr>
          <w:bCs/>
          <w:lang w:val="en-US"/>
        </w:rPr>
        <w:t>them for their efforts</w:t>
      </w:r>
      <w:r w:rsidR="002837B2" w:rsidRPr="00813D19">
        <w:rPr>
          <w:bCs/>
          <w:lang w:val="en-US"/>
        </w:rPr>
        <w:t>.</w:t>
      </w:r>
    </w:p>
    <w:p w14:paraId="28E17260" w14:textId="054A3211" w:rsidR="002D0F84" w:rsidRPr="00813D19" w:rsidRDefault="004C5C19" w:rsidP="00CE5F74">
      <w:pPr>
        <w:pStyle w:val="Orateurengris"/>
        <w:tabs>
          <w:tab w:val="clear" w:pos="709"/>
          <w:tab w:val="clear" w:pos="1418"/>
          <w:tab w:val="clear" w:pos="2126"/>
          <w:tab w:val="clear" w:pos="2835"/>
        </w:tabs>
        <w:spacing w:after="0"/>
        <w:ind w:left="709" w:hanging="709"/>
        <w:rPr>
          <w:rFonts w:eastAsia="SimSun"/>
          <w:color w:val="000000" w:themeColor="text1"/>
          <w:lang w:val="en-US" w:eastAsia="zh-CN"/>
        </w:rPr>
      </w:pPr>
      <w:r w:rsidRPr="00813D19">
        <w:rPr>
          <w:rFonts w:eastAsia="SimSun"/>
          <w:color w:val="000000" w:themeColor="text1"/>
          <w:lang w:val="en-US" w:eastAsia="zh-CN"/>
        </w:rPr>
        <w:t xml:space="preserve">The </w:t>
      </w:r>
      <w:r w:rsidRPr="00813D19">
        <w:rPr>
          <w:rFonts w:eastAsia="SimSun"/>
          <w:b/>
          <w:color w:val="000000" w:themeColor="text1"/>
          <w:lang w:val="en-US" w:eastAsia="zh-CN"/>
        </w:rPr>
        <w:t>Chairperson</w:t>
      </w:r>
      <w:r w:rsidRPr="00813D19">
        <w:rPr>
          <w:rFonts w:eastAsia="SimSun"/>
          <w:color w:val="000000" w:themeColor="text1"/>
          <w:lang w:val="en-US" w:eastAsia="zh-CN"/>
        </w:rPr>
        <w:t xml:space="preserve"> th</w:t>
      </w:r>
      <w:r w:rsidR="00B277B1" w:rsidRPr="00813D19">
        <w:rPr>
          <w:rFonts w:eastAsia="SimSun"/>
          <w:color w:val="000000" w:themeColor="text1"/>
          <w:lang w:val="en-US" w:eastAsia="zh-CN"/>
        </w:rPr>
        <w:t>en turned to the draft decision.</w:t>
      </w:r>
      <w:r w:rsidRPr="00813D19">
        <w:rPr>
          <w:rFonts w:eastAsia="SimSun"/>
          <w:color w:val="000000" w:themeColor="text1"/>
          <w:lang w:val="en-US" w:eastAsia="zh-CN"/>
        </w:rPr>
        <w:t xml:space="preserve"> </w:t>
      </w:r>
      <w:r w:rsidR="00B277B1" w:rsidRPr="00813D19">
        <w:rPr>
          <w:rFonts w:eastAsia="SimSun"/>
          <w:color w:val="000000" w:themeColor="text1"/>
          <w:lang w:val="en-US" w:eastAsia="zh-CN"/>
        </w:rPr>
        <w:t>With no comments or objections,</w:t>
      </w:r>
      <w:r w:rsidRPr="00813D19">
        <w:rPr>
          <w:rFonts w:eastAsia="SimSun"/>
          <w:color w:val="000000" w:themeColor="text1"/>
          <w:lang w:val="en-US" w:eastAsia="zh-CN"/>
        </w:rPr>
        <w:t xml:space="preserve"> </w:t>
      </w:r>
      <w:r w:rsidR="00B277B1" w:rsidRPr="00813D19">
        <w:rPr>
          <w:rFonts w:ascii="Helvetica" w:hAnsi="Helvetica" w:cs="Helvetica"/>
          <w:color w:val="000000" w:themeColor="text1"/>
          <w:lang w:val="en-US"/>
        </w:rPr>
        <w:t>t</w:t>
      </w:r>
      <w:r w:rsidRPr="00813D19">
        <w:rPr>
          <w:rFonts w:ascii="Helvetica" w:hAnsi="Helvetica" w:cs="Helvetica"/>
          <w:color w:val="000000" w:themeColor="text1"/>
          <w:lang w:val="en-US"/>
        </w:rPr>
        <w:t xml:space="preserve">he </w:t>
      </w:r>
      <w:r w:rsidR="0044180C" w:rsidRPr="00813D19">
        <w:rPr>
          <w:rFonts w:ascii="Helvetica" w:hAnsi="Helvetica" w:cs="Helvetica"/>
          <w:b/>
          <w:color w:val="000000" w:themeColor="text1"/>
          <w:lang w:val="en-US"/>
        </w:rPr>
        <w:t>Chairperson declared Decision 13</w:t>
      </w:r>
      <w:r w:rsidRPr="00813D19">
        <w:rPr>
          <w:rFonts w:ascii="Helvetica" w:hAnsi="Helvetica" w:cs="Helvetica"/>
          <w:b/>
          <w:color w:val="000000" w:themeColor="text1"/>
          <w:lang w:val="en-US"/>
        </w:rPr>
        <w:t>.COM 2 adopted</w:t>
      </w:r>
      <w:r w:rsidRPr="00813D19">
        <w:rPr>
          <w:rFonts w:ascii="Helvetica" w:hAnsi="Helvetica" w:cs="Helvetica"/>
          <w:color w:val="000000" w:themeColor="text1"/>
          <w:lang w:val="en-US"/>
        </w:rPr>
        <w:t>.</w:t>
      </w:r>
    </w:p>
    <w:p w14:paraId="0A7F428C" w14:textId="6EC9D0D1" w:rsidR="004C5C19" w:rsidRPr="00813D19" w:rsidRDefault="004C5C19" w:rsidP="001928D5">
      <w:pPr>
        <w:pStyle w:val="Orateurengris"/>
        <w:numPr>
          <w:ilvl w:val="0"/>
          <w:numId w:val="0"/>
        </w:numPr>
        <w:spacing w:before="360" w:after="60"/>
        <w:outlineLvl w:val="0"/>
        <w:rPr>
          <w:b/>
          <w:color w:val="000000" w:themeColor="text1"/>
          <w:u w:val="single"/>
          <w:lang w:val="en-US"/>
        </w:rPr>
      </w:pPr>
      <w:r w:rsidRPr="00813D19">
        <w:rPr>
          <w:b/>
          <w:color w:val="000000" w:themeColor="text1"/>
          <w:u w:val="single"/>
          <w:lang w:val="en-US"/>
        </w:rPr>
        <w:t>ITEM 3 OF THE AGENDA:</w:t>
      </w:r>
    </w:p>
    <w:p w14:paraId="0210F8C8" w14:textId="6024D105" w:rsidR="00CE5F74" w:rsidRPr="00813D19" w:rsidRDefault="004C5C19" w:rsidP="001928D5">
      <w:pPr>
        <w:pStyle w:val="Orateurengris"/>
        <w:numPr>
          <w:ilvl w:val="0"/>
          <w:numId w:val="0"/>
        </w:numPr>
        <w:outlineLvl w:val="1"/>
        <w:rPr>
          <w:b/>
          <w:color w:val="000000" w:themeColor="text1"/>
          <w:lang w:val="en-US"/>
        </w:rPr>
      </w:pPr>
      <w:r w:rsidRPr="00813D19">
        <w:rPr>
          <w:b/>
          <w:color w:val="000000" w:themeColor="text1"/>
          <w:lang w:val="en-US"/>
        </w:rPr>
        <w:t>OBSERVERS</w:t>
      </w:r>
    </w:p>
    <w:p w14:paraId="1E4DEA6D" w14:textId="448DE729" w:rsidR="004C5C19" w:rsidRPr="00813D19" w:rsidRDefault="004C5C19" w:rsidP="001928D5">
      <w:pPr>
        <w:pStyle w:val="Orateurengris"/>
        <w:numPr>
          <w:ilvl w:val="0"/>
          <w:numId w:val="0"/>
        </w:numPr>
        <w:spacing w:before="120" w:after="0"/>
        <w:ind w:left="709"/>
        <w:rPr>
          <w:bCs/>
          <w:color w:val="000000" w:themeColor="text1"/>
          <w:lang w:val="en-US"/>
        </w:rPr>
      </w:pPr>
      <w:r w:rsidRPr="00813D19">
        <w:rPr>
          <w:b/>
          <w:color w:val="000000" w:themeColor="text1"/>
          <w:lang w:val="en-US"/>
        </w:rPr>
        <w:t>Document:</w:t>
      </w:r>
      <w:r w:rsidRPr="00813D19">
        <w:rPr>
          <w:b/>
          <w:color w:val="000000" w:themeColor="text1"/>
          <w:lang w:val="en-US"/>
        </w:rPr>
        <w:tab/>
      </w:r>
      <w:hyperlink r:id="rId15" w:history="1">
        <w:r w:rsidR="0044180C" w:rsidRPr="00813D19">
          <w:rPr>
            <w:rStyle w:val="Hyperlink"/>
            <w:bCs/>
            <w:i/>
            <w:lang w:val="en-US"/>
          </w:rPr>
          <w:t>ITH/18/13</w:t>
        </w:r>
        <w:r w:rsidRPr="00813D19">
          <w:rPr>
            <w:rStyle w:val="Hyperlink"/>
            <w:bCs/>
            <w:i/>
            <w:lang w:val="en-US"/>
          </w:rPr>
          <w:t>.COM/3</w:t>
        </w:r>
      </w:hyperlink>
    </w:p>
    <w:p w14:paraId="14B37B3A" w14:textId="40C6DCC7" w:rsidR="004C5C19" w:rsidRPr="00813D19" w:rsidRDefault="004C5C19" w:rsidP="0016273D">
      <w:pPr>
        <w:pStyle w:val="Orateurengris"/>
        <w:numPr>
          <w:ilvl w:val="0"/>
          <w:numId w:val="0"/>
        </w:numPr>
        <w:spacing w:before="60" w:after="240"/>
        <w:ind w:left="709"/>
        <w:rPr>
          <w:bCs/>
          <w:i/>
          <w:color w:val="000000" w:themeColor="text1"/>
          <w:lang w:val="en-US"/>
        </w:rPr>
      </w:pPr>
      <w:r w:rsidRPr="00813D19">
        <w:rPr>
          <w:b/>
          <w:bCs/>
          <w:color w:val="000000" w:themeColor="text1"/>
          <w:lang w:val="en-US"/>
        </w:rPr>
        <w:t>Decision:</w:t>
      </w:r>
      <w:r w:rsidRPr="00813D19">
        <w:rPr>
          <w:bCs/>
          <w:color w:val="000000" w:themeColor="text1"/>
          <w:lang w:val="en-US"/>
        </w:rPr>
        <w:tab/>
      </w:r>
      <w:hyperlink r:id="rId16" w:history="1">
        <w:r w:rsidR="0044180C" w:rsidRPr="00813D19">
          <w:rPr>
            <w:rStyle w:val="Hyperlink"/>
            <w:bCs/>
            <w:i/>
            <w:lang w:val="en-US"/>
          </w:rPr>
          <w:t>13</w:t>
        </w:r>
        <w:r w:rsidRPr="00813D19">
          <w:rPr>
            <w:rStyle w:val="Hyperlink"/>
            <w:bCs/>
            <w:i/>
            <w:lang w:val="en-US"/>
          </w:rPr>
          <w:t>.COM 3</w:t>
        </w:r>
      </w:hyperlink>
    </w:p>
    <w:p w14:paraId="7A123B24" w14:textId="0F08FA02" w:rsidR="00B277B1" w:rsidRPr="00813D19" w:rsidRDefault="004C5C19" w:rsidP="00CE5F74">
      <w:pPr>
        <w:pStyle w:val="Orateurengris"/>
        <w:spacing w:after="0"/>
        <w:ind w:left="709" w:hanging="709"/>
        <w:rPr>
          <w:rFonts w:eastAsia="SimSun"/>
          <w:color w:val="000000" w:themeColor="text1"/>
          <w:lang w:val="en-US" w:eastAsia="zh-CN"/>
        </w:rPr>
      </w:pPr>
      <w:r w:rsidRPr="00813D19">
        <w:rPr>
          <w:rFonts w:ascii="Helvetica" w:hAnsi="Helvetica" w:cs="Helvetica"/>
          <w:color w:val="000000" w:themeColor="text1"/>
          <w:lang w:val="en-US"/>
        </w:rPr>
        <w:t>The</w:t>
      </w:r>
      <w:r w:rsidRPr="00813D19">
        <w:rPr>
          <w:rFonts w:ascii="Helvetica" w:hAnsi="Helvetica" w:cs="Helvetica"/>
          <w:b/>
          <w:color w:val="000000" w:themeColor="text1"/>
          <w:lang w:val="en-US"/>
        </w:rPr>
        <w:t xml:space="preserve"> </w:t>
      </w:r>
      <w:r w:rsidR="00B277B1" w:rsidRPr="00813D19">
        <w:rPr>
          <w:rFonts w:ascii="Helvetica" w:hAnsi="Helvetica" w:cs="Helvetica"/>
          <w:b/>
          <w:color w:val="000000" w:themeColor="text1"/>
          <w:lang w:val="en-US"/>
        </w:rPr>
        <w:t xml:space="preserve">Chairperson </w:t>
      </w:r>
      <w:r w:rsidR="00CE28C9" w:rsidRPr="00813D19">
        <w:rPr>
          <w:color w:val="000000" w:themeColor="text1"/>
          <w:lang w:val="en-US"/>
        </w:rPr>
        <w:t>then</w:t>
      </w:r>
      <w:r w:rsidR="00CE28C9" w:rsidRPr="00813D19">
        <w:rPr>
          <w:b/>
          <w:color w:val="000000" w:themeColor="text1"/>
          <w:lang w:val="en-US"/>
        </w:rPr>
        <w:t xml:space="preserve"> </w:t>
      </w:r>
      <w:r w:rsidR="00CE28C9" w:rsidRPr="00813D19">
        <w:rPr>
          <w:color w:val="000000" w:themeColor="text1"/>
          <w:lang w:val="en-US"/>
        </w:rPr>
        <w:t>turned to the next agenda item</w:t>
      </w:r>
      <w:r w:rsidR="00274B0A">
        <w:rPr>
          <w:color w:val="000000" w:themeColor="text1"/>
          <w:lang w:val="en-US"/>
        </w:rPr>
        <w:t>, item</w:t>
      </w:r>
      <w:r w:rsidR="006716A5" w:rsidRPr="00813D19">
        <w:rPr>
          <w:color w:val="000000" w:themeColor="text1"/>
          <w:lang w:val="en-US"/>
        </w:rPr>
        <w:t xml:space="preserve"> 3</w:t>
      </w:r>
      <w:r w:rsidR="00CE28C9" w:rsidRPr="00813D19">
        <w:rPr>
          <w:color w:val="000000" w:themeColor="text1"/>
          <w:lang w:val="en-US"/>
        </w:rPr>
        <w:t>.</w:t>
      </w:r>
    </w:p>
    <w:p w14:paraId="1B458273" w14:textId="738437A4" w:rsidR="00CE28C9" w:rsidRPr="00813D19" w:rsidRDefault="00B277B1" w:rsidP="00CE28C9">
      <w:pPr>
        <w:pStyle w:val="Orateurengris"/>
        <w:spacing w:before="120"/>
        <w:ind w:left="709" w:hanging="709"/>
        <w:rPr>
          <w:lang w:val="en-US"/>
        </w:rPr>
      </w:pPr>
      <w:r w:rsidRPr="00813D19">
        <w:rPr>
          <w:rFonts w:ascii="Helvetica" w:hAnsi="Helvetica" w:cs="Helvetica"/>
          <w:color w:val="000000" w:themeColor="text1"/>
          <w:lang w:val="en-US"/>
        </w:rPr>
        <w:t>The</w:t>
      </w:r>
      <w:r w:rsidRPr="00813D19">
        <w:rPr>
          <w:rFonts w:ascii="Helvetica" w:hAnsi="Helvetica" w:cs="Helvetica"/>
          <w:b/>
          <w:color w:val="000000" w:themeColor="text1"/>
          <w:lang w:val="en-US"/>
        </w:rPr>
        <w:t xml:space="preserve"> </w:t>
      </w:r>
      <w:r w:rsidR="004C5C19" w:rsidRPr="00813D19">
        <w:rPr>
          <w:rFonts w:ascii="Helvetica" w:hAnsi="Helvetica" w:cs="Helvetica"/>
          <w:b/>
          <w:color w:val="000000" w:themeColor="text1"/>
          <w:lang w:val="en-US"/>
        </w:rPr>
        <w:t xml:space="preserve">Secretary </w:t>
      </w:r>
      <w:r w:rsidR="00EB2C5E" w:rsidRPr="00813D19">
        <w:rPr>
          <w:rFonts w:ascii="Helvetica" w:hAnsi="Helvetica" w:cs="Helvetica"/>
          <w:color w:val="000000" w:themeColor="text1"/>
          <w:lang w:val="en-US"/>
        </w:rPr>
        <w:t>introduced agenda item</w:t>
      </w:r>
      <w:r w:rsidR="00445D45" w:rsidRPr="00813D19">
        <w:rPr>
          <w:rFonts w:ascii="Helvetica" w:hAnsi="Helvetica" w:cs="Helvetica"/>
          <w:color w:val="000000" w:themeColor="text1"/>
          <w:lang w:val="en-US"/>
        </w:rPr>
        <w:t xml:space="preserve"> 3 on Observers</w:t>
      </w:r>
      <w:r w:rsidR="00941742" w:rsidRPr="00813D19">
        <w:rPr>
          <w:rFonts w:ascii="Helvetica" w:hAnsi="Helvetica" w:cs="Helvetica"/>
          <w:color w:val="000000" w:themeColor="text1"/>
          <w:lang w:val="en-US"/>
        </w:rPr>
        <w:t>, explaining that</w:t>
      </w:r>
      <w:r w:rsidR="00941742" w:rsidRPr="00813D19">
        <w:rPr>
          <w:rFonts w:ascii="Helvetica" w:hAnsi="Helvetica" w:cs="Helvetica"/>
          <w:b/>
          <w:color w:val="000000" w:themeColor="text1"/>
          <w:lang w:val="en-US"/>
        </w:rPr>
        <w:t xml:space="preserve"> </w:t>
      </w:r>
      <w:r w:rsidR="00941742" w:rsidRPr="00813D19">
        <w:rPr>
          <w:rFonts w:eastAsia="SimSun"/>
          <w:color w:val="000000" w:themeColor="text1"/>
          <w:lang w:val="en-US" w:eastAsia="zh-CN"/>
        </w:rPr>
        <w:t xml:space="preserve">this item was required </w:t>
      </w:r>
      <w:r w:rsidR="00274B0A">
        <w:rPr>
          <w:rFonts w:eastAsia="SimSun"/>
          <w:color w:val="000000" w:themeColor="text1"/>
          <w:lang w:val="en-US" w:eastAsia="zh-CN"/>
        </w:rPr>
        <w:t>every year</w:t>
      </w:r>
      <w:r w:rsidR="00274B0A" w:rsidRPr="00813D19">
        <w:rPr>
          <w:rFonts w:eastAsia="SimSun"/>
          <w:color w:val="000000" w:themeColor="text1"/>
          <w:lang w:val="en-US" w:eastAsia="zh-CN"/>
        </w:rPr>
        <w:t xml:space="preserve"> </w:t>
      </w:r>
      <w:r w:rsidR="005150ED" w:rsidRPr="00813D19">
        <w:rPr>
          <w:rFonts w:eastAsia="SimSun"/>
          <w:color w:val="000000" w:themeColor="text1"/>
          <w:lang w:val="en-US" w:eastAsia="zh-CN"/>
        </w:rPr>
        <w:t>by the Committee’</w:t>
      </w:r>
      <w:r w:rsidR="00941742" w:rsidRPr="00813D19">
        <w:rPr>
          <w:rFonts w:eastAsia="SimSun"/>
          <w:color w:val="000000" w:themeColor="text1"/>
          <w:lang w:val="en-US" w:eastAsia="zh-CN"/>
        </w:rPr>
        <w:t>s Rules of Procedure, according to Articles 8.1 to 8.3. Articles 8.1 and 8.2</w:t>
      </w:r>
      <w:r w:rsidR="00445D45" w:rsidRPr="00813D19">
        <w:rPr>
          <w:rFonts w:eastAsia="SimSun"/>
          <w:color w:val="000000" w:themeColor="text1"/>
          <w:lang w:val="en-US" w:eastAsia="zh-CN"/>
        </w:rPr>
        <w:t>,</w:t>
      </w:r>
      <w:r w:rsidR="002741B3" w:rsidRPr="00813D19">
        <w:rPr>
          <w:rFonts w:eastAsia="SimSun"/>
          <w:color w:val="000000" w:themeColor="text1"/>
          <w:lang w:val="en-US" w:eastAsia="zh-CN"/>
        </w:rPr>
        <w:t xml:space="preserve"> </w:t>
      </w:r>
      <w:r w:rsidR="00445D45" w:rsidRPr="00813D19">
        <w:rPr>
          <w:rFonts w:eastAsia="SimSun"/>
          <w:color w:val="000000" w:themeColor="text1"/>
          <w:lang w:val="en-US" w:eastAsia="zh-CN"/>
        </w:rPr>
        <w:t xml:space="preserve">which </w:t>
      </w:r>
      <w:r w:rsidR="00941742" w:rsidRPr="00813D19">
        <w:rPr>
          <w:rFonts w:eastAsia="SimSun"/>
          <w:color w:val="000000" w:themeColor="text1"/>
          <w:lang w:val="en-US" w:eastAsia="zh-CN"/>
        </w:rPr>
        <w:t xml:space="preserve">stipulate that </w:t>
      </w:r>
      <w:r w:rsidR="00445D45" w:rsidRPr="00813D19">
        <w:rPr>
          <w:rFonts w:eastAsia="SimSun"/>
          <w:color w:val="000000" w:themeColor="text1"/>
          <w:lang w:val="en-US" w:eastAsia="zh-CN"/>
        </w:rPr>
        <w:t xml:space="preserve">States Parties, </w:t>
      </w:r>
      <w:r w:rsidR="00941742" w:rsidRPr="00813D19">
        <w:rPr>
          <w:rFonts w:eastAsia="SimSun"/>
          <w:color w:val="000000" w:themeColor="text1"/>
          <w:lang w:val="en-US" w:eastAsia="zh-CN"/>
        </w:rPr>
        <w:t xml:space="preserve">not </w:t>
      </w:r>
      <w:r w:rsidR="00CE63BC" w:rsidRPr="00813D19">
        <w:rPr>
          <w:rFonts w:eastAsia="SimSun"/>
          <w:color w:val="000000" w:themeColor="text1"/>
          <w:lang w:val="en-US" w:eastAsia="zh-CN"/>
        </w:rPr>
        <w:t xml:space="preserve">Members </w:t>
      </w:r>
      <w:r w:rsidR="00941742" w:rsidRPr="00813D19">
        <w:rPr>
          <w:rFonts w:eastAsia="SimSun"/>
          <w:color w:val="000000" w:themeColor="text1"/>
          <w:lang w:val="en-US" w:eastAsia="zh-CN"/>
        </w:rPr>
        <w:t xml:space="preserve">of the Committee, </w:t>
      </w:r>
      <w:r w:rsidR="00445D45" w:rsidRPr="00813D19">
        <w:rPr>
          <w:rFonts w:eastAsia="SimSun"/>
          <w:color w:val="000000" w:themeColor="text1"/>
          <w:lang w:val="en-US" w:eastAsia="zh-CN"/>
        </w:rPr>
        <w:t xml:space="preserve">and </w:t>
      </w:r>
      <w:r w:rsidR="00941742" w:rsidRPr="00813D19">
        <w:rPr>
          <w:rFonts w:eastAsia="SimSun"/>
          <w:color w:val="000000" w:themeColor="text1"/>
          <w:lang w:val="en-US" w:eastAsia="zh-CN"/>
        </w:rPr>
        <w:t xml:space="preserve">States not Parties to the Convention </w:t>
      </w:r>
      <w:r w:rsidR="00445D45" w:rsidRPr="00813D19">
        <w:rPr>
          <w:rFonts w:eastAsia="SimSun"/>
          <w:color w:val="000000" w:themeColor="text1"/>
          <w:lang w:val="en-US" w:eastAsia="zh-CN"/>
        </w:rPr>
        <w:t>(</w:t>
      </w:r>
      <w:r w:rsidR="00941742" w:rsidRPr="00813D19">
        <w:rPr>
          <w:rFonts w:eastAsia="SimSun"/>
          <w:color w:val="000000" w:themeColor="text1"/>
          <w:lang w:val="en-US" w:eastAsia="zh-CN"/>
        </w:rPr>
        <w:t>but members of UNESCO</w:t>
      </w:r>
      <w:r w:rsidR="00453AC4" w:rsidRPr="00813D19">
        <w:rPr>
          <w:rFonts w:eastAsia="SimSun"/>
          <w:color w:val="000000" w:themeColor="text1"/>
          <w:lang w:val="en-US" w:eastAsia="zh-CN"/>
        </w:rPr>
        <w:t xml:space="preserve"> or the United Nations</w:t>
      </w:r>
      <w:r w:rsidR="00445D45" w:rsidRPr="00813D19">
        <w:rPr>
          <w:rFonts w:eastAsia="SimSun"/>
          <w:color w:val="000000" w:themeColor="text1"/>
          <w:lang w:val="en-US" w:eastAsia="zh-CN"/>
        </w:rPr>
        <w:t>)</w:t>
      </w:r>
      <w:r w:rsidR="00941742" w:rsidRPr="00813D19">
        <w:rPr>
          <w:rFonts w:eastAsia="SimSun"/>
          <w:color w:val="000000" w:themeColor="text1"/>
          <w:lang w:val="en-US" w:eastAsia="zh-CN"/>
        </w:rPr>
        <w:t xml:space="preserve">, Associate Members of UNESCO, permanent </w:t>
      </w:r>
      <w:r w:rsidR="00274B0A">
        <w:rPr>
          <w:rFonts w:eastAsia="SimSun"/>
          <w:color w:val="000000" w:themeColor="text1"/>
          <w:lang w:val="en-US" w:eastAsia="zh-CN"/>
        </w:rPr>
        <w:t xml:space="preserve">observer </w:t>
      </w:r>
      <w:r w:rsidR="00941742" w:rsidRPr="00813D19">
        <w:rPr>
          <w:rFonts w:eastAsia="SimSun"/>
          <w:color w:val="000000" w:themeColor="text1"/>
          <w:lang w:val="en-US" w:eastAsia="zh-CN"/>
        </w:rPr>
        <w:t>missions to UNESCO, as well as representatives of the United Nations and the United Nations system may participate in the sessions of the Committee as Observers. According to Article 8.3, intergovernmental organizations other than those referred to in Article 8.2 and other public or private bodies, as well as individuals</w:t>
      </w:r>
      <w:r w:rsidR="00663A87" w:rsidRPr="00813D19">
        <w:rPr>
          <w:rFonts w:eastAsia="SimSun"/>
          <w:color w:val="000000" w:themeColor="text1"/>
          <w:lang w:val="en-US" w:eastAsia="zh-CN"/>
        </w:rPr>
        <w:t>,</w:t>
      </w:r>
      <w:r w:rsidR="00941742" w:rsidRPr="00813D19">
        <w:rPr>
          <w:rFonts w:eastAsia="SimSun"/>
          <w:color w:val="000000" w:themeColor="text1"/>
          <w:lang w:val="en-US" w:eastAsia="zh-CN"/>
        </w:rPr>
        <w:t xml:space="preserve"> may also participate in future sessions of the Committee as Observers upon written request. By its Decision </w:t>
      </w:r>
      <w:hyperlink r:id="rId17" w:history="1">
        <w:r w:rsidR="00941742" w:rsidRPr="00813D19">
          <w:rPr>
            <w:rStyle w:val="Hyperlink"/>
            <w:rFonts w:eastAsia="SimSun"/>
            <w:lang w:val="en-US" w:eastAsia="zh-CN"/>
          </w:rPr>
          <w:t>10.COM 3</w:t>
        </w:r>
      </w:hyperlink>
      <w:r w:rsidR="00941742" w:rsidRPr="00813D19">
        <w:rPr>
          <w:rFonts w:eastAsia="SimSun"/>
          <w:color w:val="000000" w:themeColor="text1"/>
          <w:lang w:val="en-US" w:eastAsia="zh-CN"/>
        </w:rPr>
        <w:t>, the Committee</w:t>
      </w:r>
      <w:r w:rsidR="00274B0A">
        <w:rPr>
          <w:rFonts w:eastAsia="SimSun"/>
          <w:color w:val="000000" w:themeColor="text1"/>
          <w:lang w:val="en-US" w:eastAsia="zh-CN"/>
        </w:rPr>
        <w:t xml:space="preserve"> had</w:t>
      </w:r>
      <w:r w:rsidR="00941742" w:rsidRPr="00813D19">
        <w:rPr>
          <w:rFonts w:eastAsia="SimSun"/>
          <w:color w:val="000000" w:themeColor="text1"/>
          <w:lang w:val="en-US" w:eastAsia="zh-CN"/>
        </w:rPr>
        <w:t xml:space="preserve"> authorized the Arab League Educational, Cultural and Scientific Organization (ALECSO) to participate in the eleventh, twelfth and thirteenth sessions of the Committee as an Observer, and the International Centre for Research and Documentation on African Traditions and Languages (CERDOTOLA) to participate in the eleventh, twelfth, thirteenth and fourteenth sessions of the Committee as an Observer. By its Decision </w:t>
      </w:r>
      <w:hyperlink r:id="rId18" w:history="1">
        <w:r w:rsidR="00941742" w:rsidRPr="00813D19">
          <w:rPr>
            <w:rStyle w:val="Hyperlink"/>
            <w:rFonts w:eastAsia="SimSun"/>
            <w:lang w:val="en-US" w:eastAsia="zh-CN"/>
          </w:rPr>
          <w:t>11.COM 3</w:t>
        </w:r>
      </w:hyperlink>
      <w:r w:rsidR="00941742" w:rsidRPr="00813D19">
        <w:rPr>
          <w:rFonts w:eastAsia="SimSun"/>
          <w:color w:val="000000" w:themeColor="text1"/>
          <w:lang w:val="en-US" w:eastAsia="zh-CN"/>
        </w:rPr>
        <w:t>, the Committee</w:t>
      </w:r>
      <w:r w:rsidR="00274B0A">
        <w:rPr>
          <w:rFonts w:eastAsia="SimSun"/>
          <w:color w:val="000000" w:themeColor="text1"/>
          <w:lang w:val="en-US" w:eastAsia="zh-CN"/>
        </w:rPr>
        <w:t xml:space="preserve"> had</w:t>
      </w:r>
      <w:r w:rsidR="00941742" w:rsidRPr="00813D19">
        <w:rPr>
          <w:rFonts w:eastAsia="SimSun"/>
          <w:color w:val="000000" w:themeColor="text1"/>
          <w:lang w:val="en-US" w:eastAsia="zh-CN"/>
        </w:rPr>
        <w:t xml:space="preserve"> authorized the International Council for Game and Wildlife Conservation (CIC) </w:t>
      </w:r>
      <w:r w:rsidR="00274B0A">
        <w:rPr>
          <w:rFonts w:eastAsia="SimSun"/>
          <w:color w:val="000000" w:themeColor="text1"/>
          <w:lang w:val="en-US" w:eastAsia="zh-CN"/>
        </w:rPr>
        <w:t xml:space="preserve">to participate </w:t>
      </w:r>
      <w:r w:rsidR="00941742" w:rsidRPr="00813D19">
        <w:rPr>
          <w:rFonts w:eastAsia="SimSun"/>
          <w:color w:val="000000" w:themeColor="text1"/>
          <w:lang w:val="en-US" w:eastAsia="zh-CN"/>
        </w:rPr>
        <w:t xml:space="preserve">as an Observer </w:t>
      </w:r>
      <w:r w:rsidR="00274B0A">
        <w:rPr>
          <w:rFonts w:eastAsia="SimSun"/>
          <w:color w:val="000000" w:themeColor="text1"/>
          <w:lang w:val="en-US" w:eastAsia="zh-CN"/>
        </w:rPr>
        <w:t>in</w:t>
      </w:r>
      <w:r w:rsidR="00274B0A" w:rsidRPr="00813D19">
        <w:rPr>
          <w:rFonts w:eastAsia="SimSun"/>
          <w:color w:val="000000" w:themeColor="text1"/>
          <w:lang w:val="en-US" w:eastAsia="zh-CN"/>
        </w:rPr>
        <w:t xml:space="preserve"> </w:t>
      </w:r>
      <w:r w:rsidR="00941742" w:rsidRPr="00813D19">
        <w:rPr>
          <w:rFonts w:eastAsia="SimSun"/>
          <w:color w:val="000000" w:themeColor="text1"/>
          <w:lang w:val="en-US" w:eastAsia="zh-CN"/>
        </w:rPr>
        <w:t>its twelfth, thirteenth and fourteenth session</w:t>
      </w:r>
      <w:r w:rsidR="009A27C6" w:rsidRPr="00813D19">
        <w:rPr>
          <w:rFonts w:eastAsia="SimSun"/>
          <w:color w:val="000000" w:themeColor="text1"/>
          <w:lang w:val="en-US" w:eastAsia="zh-CN"/>
        </w:rPr>
        <w:t xml:space="preserve">s. </w:t>
      </w:r>
      <w:r w:rsidR="00043279">
        <w:rPr>
          <w:rFonts w:eastAsia="SimSun"/>
          <w:color w:val="000000" w:themeColor="text1"/>
          <w:lang w:val="en-US" w:eastAsia="zh-CN"/>
        </w:rPr>
        <w:t xml:space="preserve">By its Decision </w:t>
      </w:r>
      <w:hyperlink r:id="rId19" w:history="1">
        <w:r w:rsidR="00043279" w:rsidRPr="00043279">
          <w:rPr>
            <w:rStyle w:val="Hyperlink"/>
            <w:rFonts w:eastAsia="SimSun"/>
            <w:lang w:val="en-US" w:eastAsia="zh-CN"/>
          </w:rPr>
          <w:t>12.COM 3</w:t>
        </w:r>
      </w:hyperlink>
      <w:r w:rsidR="00043279">
        <w:rPr>
          <w:rFonts w:eastAsia="SimSun"/>
          <w:color w:val="000000" w:themeColor="text1"/>
          <w:lang w:val="en-US" w:eastAsia="zh-CN"/>
        </w:rPr>
        <w:t xml:space="preserve">, the Committee had authorized the African Trade Center to participate as an Observer in its thirteenth, fourteenth and fifteenth sessions. </w:t>
      </w:r>
      <w:r w:rsidR="00442C3B" w:rsidRPr="00813D19">
        <w:rPr>
          <w:rFonts w:eastAsia="SimSun"/>
          <w:color w:val="000000" w:themeColor="text1"/>
          <w:lang w:val="en-US" w:eastAsia="zh-CN"/>
        </w:rPr>
        <w:t xml:space="preserve">The </w:t>
      </w:r>
      <w:r w:rsidR="00037FE8" w:rsidRPr="00813D19">
        <w:rPr>
          <w:rFonts w:eastAsia="SimSun"/>
          <w:color w:val="000000" w:themeColor="text1"/>
          <w:lang w:val="en-US" w:eastAsia="zh-CN"/>
        </w:rPr>
        <w:t xml:space="preserve">Secretary </w:t>
      </w:r>
      <w:r w:rsidR="00442C3B" w:rsidRPr="00813D19">
        <w:rPr>
          <w:rFonts w:eastAsia="SimSun"/>
          <w:color w:val="000000" w:themeColor="text1"/>
          <w:lang w:val="en-US" w:eastAsia="zh-CN"/>
        </w:rPr>
        <w:t xml:space="preserve">also </w:t>
      </w:r>
      <w:r w:rsidR="00037FE8" w:rsidRPr="00813D19">
        <w:rPr>
          <w:rFonts w:eastAsia="SimSun"/>
          <w:color w:val="000000" w:themeColor="text1"/>
          <w:lang w:val="en-US" w:eastAsia="zh-CN"/>
        </w:rPr>
        <w:t xml:space="preserve">noted a </w:t>
      </w:r>
      <w:r w:rsidR="00442C3B" w:rsidRPr="00813D19">
        <w:rPr>
          <w:rFonts w:eastAsia="SimSun"/>
          <w:color w:val="000000" w:themeColor="text1"/>
          <w:lang w:val="en-US" w:eastAsia="zh-CN"/>
        </w:rPr>
        <w:t xml:space="preserve">written request for </w:t>
      </w:r>
      <w:r w:rsidR="002F50EA">
        <w:rPr>
          <w:rFonts w:eastAsia="SimSun"/>
          <w:color w:val="000000" w:themeColor="text1"/>
          <w:lang w:val="en-US" w:eastAsia="zh-CN"/>
        </w:rPr>
        <w:t>O</w:t>
      </w:r>
      <w:r w:rsidR="002F50EA" w:rsidRPr="00813D19">
        <w:rPr>
          <w:rFonts w:eastAsia="SimSun"/>
          <w:color w:val="000000" w:themeColor="text1"/>
          <w:lang w:val="en-US" w:eastAsia="zh-CN"/>
        </w:rPr>
        <w:t xml:space="preserve">bserver </w:t>
      </w:r>
      <w:r w:rsidR="00037FE8" w:rsidRPr="00813D19">
        <w:rPr>
          <w:rFonts w:eastAsia="SimSun"/>
          <w:color w:val="000000" w:themeColor="text1"/>
          <w:lang w:val="en-US" w:eastAsia="zh-CN"/>
        </w:rPr>
        <w:t>status for the Cent</w:t>
      </w:r>
      <w:r w:rsidR="00442C3B" w:rsidRPr="00813D19">
        <w:rPr>
          <w:rFonts w:eastAsia="SimSun"/>
          <w:color w:val="000000" w:themeColor="text1"/>
          <w:lang w:val="en-US" w:eastAsia="zh-CN"/>
        </w:rPr>
        <w:t>r</w:t>
      </w:r>
      <w:r w:rsidR="00037FE8" w:rsidRPr="00813D19">
        <w:rPr>
          <w:rFonts w:eastAsia="SimSun"/>
          <w:color w:val="000000" w:themeColor="text1"/>
          <w:lang w:val="en-US" w:eastAsia="zh-CN"/>
        </w:rPr>
        <w:t>e for Black Culture a</w:t>
      </w:r>
      <w:r w:rsidR="00442C3B" w:rsidRPr="00813D19">
        <w:rPr>
          <w:rFonts w:eastAsia="SimSun"/>
          <w:color w:val="000000" w:themeColor="text1"/>
          <w:lang w:val="en-US" w:eastAsia="zh-CN"/>
        </w:rPr>
        <w:t>n</w:t>
      </w:r>
      <w:r w:rsidR="00037FE8" w:rsidRPr="00813D19">
        <w:rPr>
          <w:rFonts w:eastAsia="SimSun"/>
          <w:color w:val="000000" w:themeColor="text1"/>
          <w:lang w:val="en-US" w:eastAsia="zh-CN"/>
        </w:rPr>
        <w:t>d International Understanding (</w:t>
      </w:r>
      <w:r w:rsidR="00442C3B" w:rsidRPr="00813D19">
        <w:rPr>
          <w:rFonts w:eastAsia="SimSun"/>
          <w:color w:val="000000" w:themeColor="text1"/>
          <w:lang w:val="en-US" w:eastAsia="zh-CN"/>
        </w:rPr>
        <w:t>CBCIU)</w:t>
      </w:r>
      <w:r w:rsidR="00037FE8" w:rsidRPr="00813D19">
        <w:rPr>
          <w:rFonts w:eastAsia="SimSun"/>
          <w:color w:val="000000" w:themeColor="text1"/>
          <w:lang w:val="en-US" w:eastAsia="zh-CN"/>
        </w:rPr>
        <w:t xml:space="preserve"> to participate </w:t>
      </w:r>
      <w:r w:rsidR="00274B0A">
        <w:rPr>
          <w:rFonts w:eastAsia="SimSun"/>
          <w:color w:val="000000" w:themeColor="text1"/>
          <w:lang w:val="en-US" w:eastAsia="zh-CN"/>
        </w:rPr>
        <w:t>in</w:t>
      </w:r>
      <w:r w:rsidR="00274B0A" w:rsidRPr="00813D19">
        <w:rPr>
          <w:rFonts w:eastAsia="SimSun"/>
          <w:color w:val="000000" w:themeColor="text1"/>
          <w:lang w:val="en-US" w:eastAsia="zh-CN"/>
        </w:rPr>
        <w:t xml:space="preserve"> </w:t>
      </w:r>
      <w:r w:rsidR="00037FE8" w:rsidRPr="00813D19">
        <w:rPr>
          <w:rFonts w:eastAsia="SimSun"/>
          <w:color w:val="000000" w:themeColor="text1"/>
          <w:lang w:val="en-US" w:eastAsia="zh-CN"/>
        </w:rPr>
        <w:t xml:space="preserve">the </w:t>
      </w:r>
      <w:r w:rsidR="005150ED" w:rsidRPr="00813D19">
        <w:rPr>
          <w:rFonts w:eastAsia="SimSun"/>
          <w:color w:val="000000" w:themeColor="text1"/>
          <w:lang w:val="en-US" w:eastAsia="zh-CN"/>
        </w:rPr>
        <w:t>fourteenth</w:t>
      </w:r>
      <w:r w:rsidR="00037FE8" w:rsidRPr="00813D19">
        <w:rPr>
          <w:rFonts w:eastAsia="SimSun"/>
          <w:color w:val="000000" w:themeColor="text1"/>
          <w:lang w:val="en-US" w:eastAsia="zh-CN"/>
        </w:rPr>
        <w:t xml:space="preserve"> session of the Committee. It </w:t>
      </w:r>
      <w:r w:rsidR="00941742" w:rsidRPr="00813D19">
        <w:rPr>
          <w:rFonts w:eastAsia="SimSun"/>
          <w:color w:val="000000" w:themeColor="text1"/>
          <w:lang w:val="en-US" w:eastAsia="zh-CN"/>
        </w:rPr>
        <w:t xml:space="preserve">was </w:t>
      </w:r>
      <w:r w:rsidR="00037FE8" w:rsidRPr="00813D19">
        <w:rPr>
          <w:rFonts w:eastAsia="SimSun"/>
          <w:color w:val="000000" w:themeColor="text1"/>
          <w:lang w:val="en-US" w:eastAsia="zh-CN"/>
        </w:rPr>
        <w:t xml:space="preserve">also </w:t>
      </w:r>
      <w:r w:rsidR="00941742" w:rsidRPr="00813D19">
        <w:rPr>
          <w:rFonts w:eastAsia="SimSun"/>
          <w:color w:val="000000" w:themeColor="text1"/>
          <w:lang w:val="en-US" w:eastAsia="zh-CN"/>
        </w:rPr>
        <w:t xml:space="preserve">noted that the working document did not mention the participation of accredited NGOs because they </w:t>
      </w:r>
      <w:r w:rsidR="00D040EE" w:rsidRPr="00813D19">
        <w:rPr>
          <w:rFonts w:eastAsia="SimSun"/>
          <w:color w:val="000000" w:themeColor="text1"/>
          <w:lang w:val="en-US" w:eastAsia="zh-CN"/>
        </w:rPr>
        <w:t xml:space="preserve">were </w:t>
      </w:r>
      <w:r w:rsidR="00941742" w:rsidRPr="00813D19">
        <w:rPr>
          <w:rFonts w:eastAsia="SimSun"/>
          <w:color w:val="000000" w:themeColor="text1"/>
          <w:lang w:val="en-US" w:eastAsia="zh-CN"/>
        </w:rPr>
        <w:t>automatically admitted as Observers to Committee sessions</w:t>
      </w:r>
      <w:r w:rsidR="00274B0A">
        <w:rPr>
          <w:rFonts w:eastAsia="SimSun"/>
          <w:color w:val="000000" w:themeColor="text1"/>
          <w:lang w:val="en-US" w:eastAsia="zh-CN"/>
        </w:rPr>
        <w:t>,</w:t>
      </w:r>
      <w:r w:rsidR="00941742" w:rsidRPr="00813D19">
        <w:rPr>
          <w:rFonts w:eastAsia="SimSun"/>
          <w:color w:val="000000" w:themeColor="text1"/>
          <w:lang w:val="en-US" w:eastAsia="zh-CN"/>
        </w:rPr>
        <w:t xml:space="preserve"> in accordance with Rule 6 of the Rules of Procedure.</w:t>
      </w:r>
    </w:p>
    <w:p w14:paraId="253F8240" w14:textId="6D0CF998" w:rsidR="00CE28C9" w:rsidRPr="00813D19" w:rsidRDefault="00941742" w:rsidP="00CE28C9">
      <w:pPr>
        <w:pStyle w:val="Orateurengris"/>
        <w:spacing w:before="120"/>
        <w:ind w:left="709" w:hanging="709"/>
        <w:rPr>
          <w:lang w:val="en-US"/>
        </w:rPr>
      </w:pPr>
      <w:r w:rsidRPr="00813D19">
        <w:rPr>
          <w:rFonts w:ascii="Helvetica" w:hAnsi="Helvetica" w:cs="Helvetica"/>
          <w:color w:val="000000" w:themeColor="text1"/>
          <w:lang w:val="en-US"/>
        </w:rPr>
        <w:lastRenderedPageBreak/>
        <w:t>The</w:t>
      </w:r>
      <w:r w:rsidRPr="00813D19">
        <w:rPr>
          <w:rFonts w:ascii="Helvetica" w:hAnsi="Helvetica" w:cs="Helvetica"/>
          <w:b/>
          <w:color w:val="000000" w:themeColor="text1"/>
          <w:lang w:val="en-US"/>
        </w:rPr>
        <w:t xml:space="preserve"> Chairperson </w:t>
      </w:r>
      <w:r w:rsidRPr="00813D19">
        <w:rPr>
          <w:rFonts w:ascii="Helvetica" w:hAnsi="Helvetica" w:cs="Helvetica"/>
          <w:color w:val="000000" w:themeColor="text1"/>
          <w:lang w:val="en-US"/>
        </w:rPr>
        <w:t xml:space="preserve">reminded </w:t>
      </w:r>
      <w:r w:rsidRPr="00813D19">
        <w:rPr>
          <w:color w:val="000000" w:themeColor="text1"/>
          <w:lang w:val="en-US"/>
        </w:rPr>
        <w:t xml:space="preserve">delegates that Observers would only be recognized </w:t>
      </w:r>
      <w:r w:rsidR="009A27C6" w:rsidRPr="00813D19">
        <w:rPr>
          <w:color w:val="000000" w:themeColor="text1"/>
          <w:lang w:val="en-US"/>
        </w:rPr>
        <w:t xml:space="preserve">to speak </w:t>
      </w:r>
      <w:r w:rsidRPr="00813D19">
        <w:rPr>
          <w:color w:val="000000" w:themeColor="text1"/>
          <w:lang w:val="en-US"/>
        </w:rPr>
        <w:t xml:space="preserve">during a general debate or after a decision had been taken, </w:t>
      </w:r>
      <w:r w:rsidR="00D040EE" w:rsidRPr="00813D19">
        <w:rPr>
          <w:color w:val="000000" w:themeColor="text1"/>
          <w:lang w:val="en-US"/>
        </w:rPr>
        <w:t>and</w:t>
      </w:r>
      <w:r w:rsidRPr="00813D19">
        <w:rPr>
          <w:color w:val="000000" w:themeColor="text1"/>
          <w:lang w:val="en-US"/>
        </w:rPr>
        <w:t xml:space="preserve"> not during </w:t>
      </w:r>
      <w:r w:rsidR="00D040EE" w:rsidRPr="00813D19">
        <w:rPr>
          <w:color w:val="000000" w:themeColor="text1"/>
          <w:lang w:val="en-US"/>
        </w:rPr>
        <w:t xml:space="preserve">the </w:t>
      </w:r>
      <w:r w:rsidRPr="00813D19">
        <w:rPr>
          <w:color w:val="000000" w:themeColor="text1"/>
          <w:lang w:val="en-US"/>
        </w:rPr>
        <w:t xml:space="preserve">discussions on draft decisions. </w:t>
      </w:r>
      <w:r w:rsidR="005150ED" w:rsidRPr="00813D19">
        <w:rPr>
          <w:color w:val="000000" w:themeColor="text1"/>
          <w:lang w:val="en-US"/>
        </w:rPr>
        <w:t xml:space="preserve">It was </w:t>
      </w:r>
      <w:r w:rsidR="00453AC4" w:rsidRPr="00813D19">
        <w:rPr>
          <w:color w:val="000000" w:themeColor="text1"/>
          <w:lang w:val="en-US"/>
        </w:rPr>
        <w:t>clarified</w:t>
      </w:r>
      <w:r w:rsidR="00D040EE" w:rsidRPr="00813D19">
        <w:rPr>
          <w:color w:val="000000" w:themeColor="text1"/>
          <w:lang w:val="en-US"/>
        </w:rPr>
        <w:t xml:space="preserve"> </w:t>
      </w:r>
      <w:r w:rsidR="00D040EE" w:rsidRPr="00813D19">
        <w:rPr>
          <w:lang w:val="en-US"/>
        </w:rPr>
        <w:t>that O</w:t>
      </w:r>
      <w:r w:rsidR="00CE28C9" w:rsidRPr="00813D19">
        <w:rPr>
          <w:lang w:val="en-US"/>
        </w:rPr>
        <w:t>bservers included States Parties not members of the</w:t>
      </w:r>
      <w:r w:rsidR="00D040EE" w:rsidRPr="00813D19">
        <w:rPr>
          <w:lang w:val="en-US"/>
        </w:rPr>
        <w:t xml:space="preserve"> Committee and accredited NGOs, </w:t>
      </w:r>
      <w:r w:rsidR="005150ED" w:rsidRPr="00813D19">
        <w:rPr>
          <w:lang w:val="en-US"/>
        </w:rPr>
        <w:t xml:space="preserve">and </w:t>
      </w:r>
      <w:r w:rsidR="00D040EE" w:rsidRPr="00813D19">
        <w:rPr>
          <w:lang w:val="en-US"/>
        </w:rPr>
        <w:t xml:space="preserve">that </w:t>
      </w:r>
      <w:r w:rsidR="00CE28C9" w:rsidRPr="00813D19">
        <w:rPr>
          <w:lang w:val="en-US"/>
        </w:rPr>
        <w:t xml:space="preserve">there </w:t>
      </w:r>
      <w:r w:rsidR="00D040EE" w:rsidRPr="00813D19">
        <w:rPr>
          <w:lang w:val="en-US"/>
        </w:rPr>
        <w:t xml:space="preserve">were a </w:t>
      </w:r>
      <w:r w:rsidR="00CE28C9" w:rsidRPr="00813D19">
        <w:rPr>
          <w:lang w:val="en-US"/>
        </w:rPr>
        <w:t xml:space="preserve">number of participants attending </w:t>
      </w:r>
      <w:r w:rsidR="00D040EE" w:rsidRPr="00813D19">
        <w:rPr>
          <w:lang w:val="en-US"/>
        </w:rPr>
        <w:t xml:space="preserve">the session as </w:t>
      </w:r>
      <w:r w:rsidR="00274B0A">
        <w:rPr>
          <w:lang w:val="en-US"/>
        </w:rPr>
        <w:t xml:space="preserve">an </w:t>
      </w:r>
      <w:r w:rsidR="00D040EE" w:rsidRPr="00813D19">
        <w:rPr>
          <w:lang w:val="en-US"/>
        </w:rPr>
        <w:t xml:space="preserve">‘audience’, </w:t>
      </w:r>
      <w:r w:rsidR="00CE28C9" w:rsidRPr="00813D19">
        <w:rPr>
          <w:lang w:val="en-US"/>
        </w:rPr>
        <w:t>in the sense of Rule 8.5 of the Rules of Procedure</w:t>
      </w:r>
      <w:r w:rsidR="00274B0A">
        <w:rPr>
          <w:lang w:val="en-US"/>
        </w:rPr>
        <w:t>;</w:t>
      </w:r>
      <w:r w:rsidR="00D040EE" w:rsidRPr="00813D19">
        <w:rPr>
          <w:lang w:val="en-US"/>
        </w:rPr>
        <w:t xml:space="preserve"> as such</w:t>
      </w:r>
      <w:r w:rsidR="00274B0A">
        <w:rPr>
          <w:lang w:val="en-US"/>
        </w:rPr>
        <w:t>, they</w:t>
      </w:r>
      <w:r w:rsidR="00D040EE" w:rsidRPr="00813D19">
        <w:rPr>
          <w:lang w:val="en-US"/>
        </w:rPr>
        <w:t xml:space="preserve"> could </w:t>
      </w:r>
      <w:r w:rsidR="00CE28C9" w:rsidRPr="00813D19">
        <w:rPr>
          <w:lang w:val="en-US"/>
        </w:rPr>
        <w:t>not addres</w:t>
      </w:r>
      <w:r w:rsidR="00D040EE" w:rsidRPr="00813D19">
        <w:rPr>
          <w:lang w:val="en-US"/>
        </w:rPr>
        <w:t>s the meeting</w:t>
      </w:r>
      <w:r w:rsidR="005150ED" w:rsidRPr="00813D19">
        <w:rPr>
          <w:lang w:val="en-US"/>
        </w:rPr>
        <w:t>,</w:t>
      </w:r>
      <w:r w:rsidR="00D040EE" w:rsidRPr="00813D19">
        <w:rPr>
          <w:lang w:val="en-US"/>
        </w:rPr>
        <w:t xml:space="preserve"> and were </w:t>
      </w:r>
      <w:r w:rsidR="00274B0A">
        <w:rPr>
          <w:lang w:val="en-US"/>
        </w:rPr>
        <w:t xml:space="preserve">thus </w:t>
      </w:r>
      <w:r w:rsidR="00CE28C9" w:rsidRPr="00813D19">
        <w:rPr>
          <w:lang w:val="en-US"/>
        </w:rPr>
        <w:t>request</w:t>
      </w:r>
      <w:r w:rsidR="00D040EE" w:rsidRPr="00813D19">
        <w:rPr>
          <w:lang w:val="en-US"/>
        </w:rPr>
        <w:t>ed</w:t>
      </w:r>
      <w:r w:rsidR="00CE28C9" w:rsidRPr="00813D19">
        <w:rPr>
          <w:lang w:val="en-US"/>
        </w:rPr>
        <w:t xml:space="preserve"> to refrain from asking for the floor.</w:t>
      </w:r>
    </w:p>
    <w:p w14:paraId="7C1C330C" w14:textId="78BE1A41" w:rsidR="00941742" w:rsidRPr="001E2F30" w:rsidRDefault="009A27C6" w:rsidP="00CE5F74">
      <w:pPr>
        <w:pStyle w:val="Orateurengris"/>
        <w:spacing w:after="0"/>
        <w:ind w:left="709" w:hanging="709"/>
        <w:rPr>
          <w:rFonts w:eastAsia="SimSun"/>
          <w:color w:val="000000" w:themeColor="text1"/>
          <w:lang w:val="en-US" w:eastAsia="zh-CN"/>
        </w:rPr>
      </w:pPr>
      <w:r w:rsidRPr="002827E3">
        <w:rPr>
          <w:b/>
          <w:color w:val="000000" w:themeColor="text1"/>
          <w:lang w:val="en-US"/>
        </w:rPr>
        <w:t>T</w:t>
      </w:r>
      <w:r w:rsidR="00941742" w:rsidRPr="002827E3">
        <w:rPr>
          <w:b/>
          <w:color w:val="000000" w:themeColor="text1"/>
          <w:lang w:val="en-US"/>
        </w:rPr>
        <w:t>he</w:t>
      </w:r>
      <w:r w:rsidR="00941742" w:rsidRPr="002827E3">
        <w:rPr>
          <w:color w:val="000000" w:themeColor="text1"/>
          <w:lang w:val="en-US"/>
        </w:rPr>
        <w:t xml:space="preserve"> </w:t>
      </w:r>
      <w:r w:rsidR="00941742" w:rsidRPr="002827E3">
        <w:rPr>
          <w:b/>
          <w:color w:val="000000" w:themeColor="text1"/>
          <w:lang w:val="en-US"/>
        </w:rPr>
        <w:t>Chairperson</w:t>
      </w:r>
      <w:r w:rsidR="0044180C" w:rsidRPr="002827E3">
        <w:rPr>
          <w:b/>
          <w:color w:val="000000" w:themeColor="text1"/>
          <w:lang w:val="en-US"/>
        </w:rPr>
        <w:t xml:space="preserve"> declared Decision 1</w:t>
      </w:r>
      <w:r w:rsidR="002E28AC" w:rsidRPr="002827E3">
        <w:rPr>
          <w:b/>
          <w:color w:val="000000" w:themeColor="text1"/>
          <w:lang w:val="en-US"/>
        </w:rPr>
        <w:t>3</w:t>
      </w:r>
      <w:r w:rsidR="00941742" w:rsidRPr="002827E3">
        <w:rPr>
          <w:b/>
          <w:color w:val="000000" w:themeColor="text1"/>
          <w:lang w:val="en-US"/>
        </w:rPr>
        <w:t>.COM 3 adopted</w:t>
      </w:r>
      <w:r w:rsidR="00941742" w:rsidRPr="002827E3">
        <w:rPr>
          <w:color w:val="000000" w:themeColor="text1"/>
          <w:lang w:val="en-US"/>
        </w:rPr>
        <w:t>.</w:t>
      </w:r>
    </w:p>
    <w:p w14:paraId="68C9BEE6" w14:textId="1EAD6B41" w:rsidR="00941742" w:rsidRPr="002827E3" w:rsidRDefault="00941742" w:rsidP="001928D5">
      <w:pPr>
        <w:pStyle w:val="Orateurengris"/>
        <w:numPr>
          <w:ilvl w:val="0"/>
          <w:numId w:val="0"/>
        </w:numPr>
        <w:spacing w:before="360" w:after="60"/>
        <w:outlineLvl w:val="0"/>
        <w:rPr>
          <w:b/>
          <w:color w:val="000000" w:themeColor="text1"/>
          <w:u w:val="single"/>
          <w:lang w:val="en-US"/>
        </w:rPr>
      </w:pPr>
      <w:r w:rsidRPr="002827E3">
        <w:rPr>
          <w:b/>
          <w:color w:val="000000" w:themeColor="text1"/>
          <w:u w:val="single"/>
          <w:lang w:val="en-US"/>
        </w:rPr>
        <w:t>ITEM 4 OF THE AGENDA</w:t>
      </w:r>
    </w:p>
    <w:p w14:paraId="7DF84D17" w14:textId="39B25933" w:rsidR="00941742" w:rsidRPr="00813D19" w:rsidRDefault="00941742" w:rsidP="001928D5">
      <w:pPr>
        <w:pStyle w:val="Orateurengris"/>
        <w:numPr>
          <w:ilvl w:val="0"/>
          <w:numId w:val="0"/>
        </w:numPr>
        <w:outlineLvl w:val="1"/>
        <w:rPr>
          <w:rFonts w:eastAsia="SimSun"/>
          <w:b/>
          <w:color w:val="000000" w:themeColor="text1"/>
          <w:lang w:val="en-US" w:eastAsia="zh-CN"/>
        </w:rPr>
      </w:pPr>
      <w:r w:rsidRPr="00813D19">
        <w:rPr>
          <w:rFonts w:eastAsia="SimSun"/>
          <w:b/>
          <w:color w:val="000000" w:themeColor="text1"/>
          <w:lang w:val="en-US" w:eastAsia="zh-CN"/>
        </w:rPr>
        <w:t>ADOPTION OF THE SUMMARY RECORDS</w:t>
      </w:r>
    </w:p>
    <w:p w14:paraId="736D236F" w14:textId="3DBF2ACE" w:rsidR="00941742" w:rsidRPr="00813D19" w:rsidRDefault="00941742" w:rsidP="001928D5">
      <w:pPr>
        <w:pStyle w:val="Orateurengris"/>
        <w:numPr>
          <w:ilvl w:val="0"/>
          <w:numId w:val="0"/>
        </w:numPr>
        <w:spacing w:before="120" w:after="0"/>
        <w:ind w:left="709"/>
        <w:rPr>
          <w:rFonts w:eastAsia="SimSun"/>
          <w:b/>
          <w:color w:val="000000" w:themeColor="text1"/>
          <w:lang w:val="en-US" w:eastAsia="zh-CN"/>
        </w:rPr>
      </w:pPr>
      <w:r w:rsidRPr="00813D19">
        <w:rPr>
          <w:rFonts w:eastAsia="SimSun"/>
          <w:b/>
          <w:color w:val="000000" w:themeColor="text1"/>
          <w:lang w:val="en-US" w:eastAsia="zh-CN"/>
        </w:rPr>
        <w:t>Document:</w:t>
      </w:r>
      <w:r w:rsidRPr="00813D19">
        <w:rPr>
          <w:rFonts w:eastAsia="SimSun"/>
          <w:b/>
          <w:color w:val="000000" w:themeColor="text1"/>
          <w:lang w:val="en-US" w:eastAsia="zh-CN"/>
        </w:rPr>
        <w:tab/>
      </w:r>
      <w:hyperlink r:id="rId20" w:history="1">
        <w:r w:rsidR="00444441" w:rsidRPr="00813D19">
          <w:rPr>
            <w:rStyle w:val="Hyperlink"/>
            <w:bCs/>
            <w:i/>
            <w:lang w:val="en-US"/>
          </w:rPr>
          <w:t>ITH/18/13</w:t>
        </w:r>
        <w:r w:rsidRPr="00813D19">
          <w:rPr>
            <w:rStyle w:val="Hyperlink"/>
            <w:bCs/>
            <w:i/>
            <w:lang w:val="en-US"/>
          </w:rPr>
          <w:t>.COM/4</w:t>
        </w:r>
      </w:hyperlink>
    </w:p>
    <w:p w14:paraId="7BF04727" w14:textId="67E4A366" w:rsidR="00941742" w:rsidRPr="00813D19" w:rsidRDefault="00941742" w:rsidP="0016273D">
      <w:pPr>
        <w:pStyle w:val="Orateurengris"/>
        <w:numPr>
          <w:ilvl w:val="0"/>
          <w:numId w:val="0"/>
        </w:numPr>
        <w:spacing w:before="60" w:after="240"/>
        <w:ind w:left="709"/>
        <w:rPr>
          <w:rFonts w:eastAsia="SimSun"/>
          <w:i/>
          <w:color w:val="000000" w:themeColor="text1"/>
          <w:lang w:val="en-US" w:eastAsia="zh-CN"/>
        </w:rPr>
      </w:pPr>
      <w:r w:rsidRPr="00813D19">
        <w:rPr>
          <w:rFonts w:eastAsia="SimSun"/>
          <w:b/>
          <w:color w:val="000000" w:themeColor="text1"/>
          <w:lang w:val="en-US" w:eastAsia="zh-CN"/>
        </w:rPr>
        <w:t>Decision:</w:t>
      </w:r>
      <w:r w:rsidRPr="00813D19">
        <w:rPr>
          <w:rFonts w:eastAsia="SimSun"/>
          <w:b/>
          <w:color w:val="000000" w:themeColor="text1"/>
          <w:lang w:val="en-US" w:eastAsia="zh-CN"/>
        </w:rPr>
        <w:tab/>
      </w:r>
      <w:hyperlink r:id="rId21" w:history="1">
        <w:r w:rsidR="00444441" w:rsidRPr="00813D19">
          <w:rPr>
            <w:rStyle w:val="Hyperlink"/>
            <w:rFonts w:eastAsia="SimSun"/>
            <w:i/>
            <w:lang w:val="en-US" w:eastAsia="zh-CN"/>
          </w:rPr>
          <w:t>13</w:t>
        </w:r>
        <w:r w:rsidRPr="00813D19">
          <w:rPr>
            <w:rStyle w:val="Hyperlink"/>
            <w:rFonts w:eastAsia="SimSun"/>
            <w:i/>
            <w:lang w:val="en-US" w:eastAsia="zh-CN"/>
          </w:rPr>
          <w:t>.COM 4</w:t>
        </w:r>
      </w:hyperlink>
    </w:p>
    <w:p w14:paraId="42ED7D8A" w14:textId="3FADD85D" w:rsidR="00453AC4" w:rsidRPr="00813D19" w:rsidRDefault="00483058" w:rsidP="00CE5F74">
      <w:pPr>
        <w:pStyle w:val="Orateurengris"/>
        <w:spacing w:after="0"/>
        <w:ind w:left="709" w:hanging="709"/>
        <w:rPr>
          <w:b/>
          <w:lang w:val="en-US"/>
        </w:rPr>
      </w:pPr>
      <w:r w:rsidRPr="00813D19">
        <w:rPr>
          <w:rFonts w:ascii="Helvetica" w:hAnsi="Helvetica" w:cs="Helvetica"/>
          <w:color w:val="000000" w:themeColor="text1"/>
          <w:lang w:val="en-US"/>
        </w:rPr>
        <w:t>The</w:t>
      </w:r>
      <w:r w:rsidRPr="00813D19">
        <w:rPr>
          <w:rFonts w:eastAsia="SimSun"/>
          <w:color w:val="000000" w:themeColor="text1"/>
          <w:lang w:val="en-US" w:eastAsia="zh-CN"/>
        </w:rPr>
        <w:t xml:space="preserve"> </w:t>
      </w:r>
      <w:r w:rsidR="00453AC4" w:rsidRPr="00813D19">
        <w:rPr>
          <w:rFonts w:eastAsia="SimSun"/>
          <w:b/>
          <w:color w:val="000000" w:themeColor="text1"/>
          <w:lang w:val="en-US" w:eastAsia="zh-CN"/>
        </w:rPr>
        <w:t>Chairperson</w:t>
      </w:r>
      <w:r w:rsidR="00A52D3A" w:rsidRPr="00813D19">
        <w:rPr>
          <w:rFonts w:eastAsia="SimSun"/>
          <w:color w:val="000000" w:themeColor="text1"/>
          <w:lang w:val="en-US" w:eastAsia="zh-CN"/>
        </w:rPr>
        <w:t xml:space="preserve"> turned to </w:t>
      </w:r>
      <w:r w:rsidR="00A52D3A" w:rsidRPr="00813D19">
        <w:rPr>
          <w:lang w:val="en-US"/>
        </w:rPr>
        <w:t>agenda item 4 on the adoption of the summary records of the twelfth session of the Committee.</w:t>
      </w:r>
    </w:p>
    <w:p w14:paraId="642390AF" w14:textId="55C389BD" w:rsidR="009D5AF5" w:rsidRPr="00813D19" w:rsidRDefault="0064493F" w:rsidP="00ED3257">
      <w:pPr>
        <w:pStyle w:val="Orateurengris"/>
        <w:spacing w:before="120"/>
        <w:ind w:left="709" w:hanging="709"/>
        <w:rPr>
          <w:rFonts w:eastAsia="SimSun"/>
          <w:color w:val="000000" w:themeColor="text1"/>
          <w:lang w:val="en-US" w:eastAsia="zh-CN"/>
        </w:rPr>
      </w:pPr>
      <w:r w:rsidRPr="00813D19">
        <w:rPr>
          <w:rFonts w:eastAsia="SimSun"/>
          <w:color w:val="000000" w:themeColor="text1"/>
          <w:lang w:val="en-US" w:eastAsia="zh-CN"/>
        </w:rPr>
        <w:t>The</w:t>
      </w:r>
      <w:r w:rsidRPr="00813D19">
        <w:rPr>
          <w:rFonts w:eastAsia="SimSun"/>
          <w:b/>
          <w:color w:val="000000" w:themeColor="text1"/>
          <w:lang w:val="en-US" w:eastAsia="zh-CN"/>
        </w:rPr>
        <w:t xml:space="preserve"> </w:t>
      </w:r>
      <w:r w:rsidR="00483058" w:rsidRPr="00813D19">
        <w:rPr>
          <w:rFonts w:eastAsia="SimSun"/>
          <w:b/>
          <w:color w:val="000000" w:themeColor="text1"/>
          <w:lang w:val="en-US" w:eastAsia="zh-CN"/>
        </w:rPr>
        <w:t>Secretary</w:t>
      </w:r>
      <w:r w:rsidR="00483058" w:rsidRPr="00813D19">
        <w:rPr>
          <w:rFonts w:eastAsia="SimSun"/>
          <w:color w:val="000000" w:themeColor="text1"/>
          <w:lang w:val="en-US" w:eastAsia="zh-CN"/>
        </w:rPr>
        <w:t xml:space="preserve"> presented the </w:t>
      </w:r>
      <w:r w:rsidR="0097199B" w:rsidRPr="00813D19">
        <w:rPr>
          <w:rFonts w:eastAsia="SimSun"/>
          <w:color w:val="000000" w:themeColor="text1"/>
          <w:lang w:val="en-US" w:eastAsia="zh-CN"/>
        </w:rPr>
        <w:t xml:space="preserve">summary </w:t>
      </w:r>
      <w:r w:rsidR="00483058" w:rsidRPr="00813D19">
        <w:rPr>
          <w:rFonts w:eastAsia="SimSun"/>
          <w:color w:val="000000" w:themeColor="text1"/>
          <w:lang w:val="en-US" w:eastAsia="zh-CN"/>
        </w:rPr>
        <w:t xml:space="preserve">report of the </w:t>
      </w:r>
      <w:r w:rsidR="002113CA" w:rsidRPr="00813D19">
        <w:rPr>
          <w:rFonts w:eastAsia="SimSun"/>
          <w:color w:val="000000" w:themeColor="text1"/>
          <w:lang w:val="en-US" w:eastAsia="zh-CN"/>
        </w:rPr>
        <w:t>twelfth</w:t>
      </w:r>
      <w:r w:rsidR="009A27C6" w:rsidRPr="00813D19">
        <w:rPr>
          <w:rFonts w:eastAsia="SimSun"/>
          <w:color w:val="000000" w:themeColor="text1"/>
          <w:lang w:val="en-US" w:eastAsia="zh-CN"/>
        </w:rPr>
        <w:t xml:space="preserve"> session of the Committee</w:t>
      </w:r>
      <w:r w:rsidR="00483058" w:rsidRPr="00813D19">
        <w:rPr>
          <w:rFonts w:eastAsia="SimSun"/>
          <w:color w:val="000000" w:themeColor="text1"/>
          <w:lang w:val="en-US" w:eastAsia="zh-CN"/>
        </w:rPr>
        <w:t xml:space="preserve"> </w:t>
      </w:r>
      <w:r w:rsidR="00872C6A">
        <w:rPr>
          <w:bCs/>
          <w:lang w:val="en-US"/>
        </w:rPr>
        <w:t>in application of Rule 4</w:t>
      </w:r>
      <w:bookmarkStart w:id="0" w:name="_GoBack"/>
      <w:bookmarkEnd w:id="0"/>
      <w:r w:rsidR="00833F32" w:rsidRPr="00813D19">
        <w:rPr>
          <w:bCs/>
          <w:lang w:val="en-US"/>
        </w:rPr>
        <w:t xml:space="preserve">5 of the Rules of Procedure of the Committee. </w:t>
      </w:r>
      <w:r w:rsidR="00483058" w:rsidRPr="00813D19">
        <w:rPr>
          <w:rFonts w:eastAsia="SimSun"/>
          <w:color w:val="000000" w:themeColor="text1"/>
          <w:lang w:val="en-US" w:eastAsia="zh-CN"/>
        </w:rPr>
        <w:t xml:space="preserve">Although it was a very lengthy document, the report </w:t>
      </w:r>
      <w:r w:rsidR="008F4AA5" w:rsidRPr="00813D19">
        <w:rPr>
          <w:rFonts w:eastAsia="SimSun"/>
          <w:color w:val="000000" w:themeColor="text1"/>
          <w:lang w:val="en-US" w:eastAsia="zh-CN"/>
        </w:rPr>
        <w:t xml:space="preserve">was </w:t>
      </w:r>
      <w:r w:rsidR="00483058" w:rsidRPr="00813D19">
        <w:rPr>
          <w:rFonts w:eastAsia="SimSun"/>
          <w:color w:val="000000" w:themeColor="text1"/>
          <w:lang w:val="en-US" w:eastAsia="zh-CN"/>
        </w:rPr>
        <w:t xml:space="preserve">a record of the debates </w:t>
      </w:r>
      <w:r w:rsidR="009A27C6" w:rsidRPr="00813D19">
        <w:rPr>
          <w:rFonts w:eastAsia="SimSun"/>
          <w:color w:val="000000" w:themeColor="text1"/>
          <w:lang w:val="en-US" w:eastAsia="zh-CN"/>
        </w:rPr>
        <w:t>that</w:t>
      </w:r>
      <w:r w:rsidR="00483058" w:rsidRPr="00813D19">
        <w:rPr>
          <w:rFonts w:eastAsia="SimSun"/>
          <w:color w:val="000000" w:themeColor="text1"/>
          <w:lang w:val="en-US" w:eastAsia="zh-CN"/>
        </w:rPr>
        <w:t xml:space="preserve"> the Committee </w:t>
      </w:r>
      <w:r w:rsidR="009A27C6" w:rsidRPr="00813D19">
        <w:rPr>
          <w:rFonts w:eastAsia="SimSun"/>
          <w:color w:val="000000" w:themeColor="text1"/>
          <w:lang w:val="en-US" w:eastAsia="zh-CN"/>
        </w:rPr>
        <w:t xml:space="preserve">might </w:t>
      </w:r>
      <w:r w:rsidR="00483058" w:rsidRPr="00813D19">
        <w:rPr>
          <w:rFonts w:eastAsia="SimSun"/>
          <w:color w:val="000000" w:themeColor="text1"/>
          <w:lang w:val="en-US" w:eastAsia="zh-CN"/>
        </w:rPr>
        <w:t xml:space="preserve">wish to return to during this session or in the future. It was hoped that the report </w:t>
      </w:r>
      <w:r w:rsidR="008F4AA5" w:rsidRPr="00813D19">
        <w:rPr>
          <w:rFonts w:eastAsia="SimSun"/>
          <w:color w:val="000000" w:themeColor="text1"/>
          <w:lang w:val="en-US" w:eastAsia="zh-CN"/>
        </w:rPr>
        <w:t xml:space="preserve">had </w:t>
      </w:r>
      <w:r w:rsidR="00483058" w:rsidRPr="00813D19">
        <w:rPr>
          <w:rFonts w:eastAsia="SimSun"/>
          <w:color w:val="000000" w:themeColor="text1"/>
          <w:lang w:val="en-US" w:eastAsia="zh-CN"/>
        </w:rPr>
        <w:t xml:space="preserve">faithfully summarized the interventions of all Members of the Committee and Observers who </w:t>
      </w:r>
      <w:r w:rsidR="00274B0A">
        <w:rPr>
          <w:rFonts w:eastAsia="SimSun"/>
          <w:color w:val="000000" w:themeColor="text1"/>
          <w:lang w:val="en-US" w:eastAsia="zh-CN"/>
        </w:rPr>
        <w:t xml:space="preserve">had </w:t>
      </w:r>
      <w:r w:rsidR="00483058" w:rsidRPr="00813D19">
        <w:rPr>
          <w:rFonts w:eastAsia="SimSun"/>
          <w:color w:val="000000" w:themeColor="text1"/>
          <w:lang w:val="en-US" w:eastAsia="zh-CN"/>
        </w:rPr>
        <w:t>spoke</w:t>
      </w:r>
      <w:r w:rsidR="00274B0A">
        <w:rPr>
          <w:rFonts w:eastAsia="SimSun"/>
          <w:color w:val="000000" w:themeColor="text1"/>
          <w:lang w:val="en-US" w:eastAsia="zh-CN"/>
        </w:rPr>
        <w:t>n</w:t>
      </w:r>
      <w:r w:rsidR="00483058" w:rsidRPr="00813D19">
        <w:rPr>
          <w:rFonts w:eastAsia="SimSun"/>
          <w:color w:val="000000" w:themeColor="text1"/>
          <w:lang w:val="en-US" w:eastAsia="zh-CN"/>
        </w:rPr>
        <w:t xml:space="preserve"> at the </w:t>
      </w:r>
      <w:r w:rsidR="00B050BB" w:rsidRPr="00813D19">
        <w:rPr>
          <w:rFonts w:eastAsia="SimSun"/>
          <w:color w:val="000000" w:themeColor="text1"/>
          <w:lang w:val="en-US" w:eastAsia="zh-CN"/>
        </w:rPr>
        <w:t>twelfth</w:t>
      </w:r>
      <w:r w:rsidR="00483058" w:rsidRPr="00813D19">
        <w:rPr>
          <w:rFonts w:eastAsia="SimSun"/>
          <w:color w:val="000000" w:themeColor="text1"/>
          <w:lang w:val="en-US" w:eastAsia="zh-CN"/>
        </w:rPr>
        <w:t xml:space="preserve"> session of the Committee. The Secretary reminded the delegates that recordings of the debates were available </w:t>
      </w:r>
      <w:hyperlink r:id="rId22" w:history="1">
        <w:r w:rsidR="00483058" w:rsidRPr="00813D19">
          <w:rPr>
            <w:rStyle w:val="Hyperlink"/>
            <w:rFonts w:eastAsia="SimSun"/>
            <w:lang w:val="en-US" w:eastAsia="zh-CN"/>
          </w:rPr>
          <w:t>online</w:t>
        </w:r>
      </w:hyperlink>
      <w:r w:rsidR="00A52D3A" w:rsidRPr="00813D19">
        <w:rPr>
          <w:rFonts w:eastAsia="SimSun"/>
          <w:color w:val="000000" w:themeColor="text1"/>
          <w:lang w:val="en-US" w:eastAsia="zh-CN"/>
        </w:rPr>
        <w:t>.</w:t>
      </w:r>
    </w:p>
    <w:p w14:paraId="2B4795E5" w14:textId="22CB5749" w:rsidR="00E741E4" w:rsidRPr="001E2F30" w:rsidRDefault="00B050BB" w:rsidP="00ED3257">
      <w:pPr>
        <w:pStyle w:val="Orateurengris"/>
        <w:spacing w:before="120"/>
        <w:ind w:left="709" w:hanging="709"/>
        <w:rPr>
          <w:rFonts w:eastAsia="SimSun"/>
          <w:color w:val="000000" w:themeColor="text1"/>
          <w:lang w:val="en-US" w:eastAsia="zh-CN"/>
        </w:rPr>
      </w:pPr>
      <w:r w:rsidRPr="002827E3">
        <w:rPr>
          <w:color w:val="000000" w:themeColor="text1"/>
          <w:lang w:val="en-US"/>
        </w:rPr>
        <w:t>With no comments or objections, t</w:t>
      </w:r>
      <w:r w:rsidR="00483058" w:rsidRPr="002827E3">
        <w:rPr>
          <w:color w:val="000000" w:themeColor="text1"/>
          <w:lang w:val="en-US"/>
        </w:rPr>
        <w:t xml:space="preserve">he </w:t>
      </w:r>
      <w:r w:rsidR="002113CA" w:rsidRPr="002827E3">
        <w:rPr>
          <w:b/>
          <w:color w:val="000000" w:themeColor="text1"/>
          <w:lang w:val="en-US"/>
        </w:rPr>
        <w:t>Chairperson declared Decision 1</w:t>
      </w:r>
      <w:r w:rsidRPr="002827E3">
        <w:rPr>
          <w:b/>
          <w:color w:val="000000" w:themeColor="text1"/>
          <w:lang w:val="en-US"/>
        </w:rPr>
        <w:t>3</w:t>
      </w:r>
      <w:r w:rsidR="00483058" w:rsidRPr="002827E3">
        <w:rPr>
          <w:b/>
          <w:color w:val="000000" w:themeColor="text1"/>
          <w:lang w:val="en-US"/>
        </w:rPr>
        <w:t>.COM 4 adopted</w:t>
      </w:r>
      <w:r w:rsidR="00483058" w:rsidRPr="002827E3">
        <w:rPr>
          <w:color w:val="000000" w:themeColor="text1"/>
          <w:lang w:val="en-US"/>
        </w:rPr>
        <w:t>.</w:t>
      </w:r>
    </w:p>
    <w:p w14:paraId="67CEE9E1" w14:textId="2FA79F65" w:rsidR="00E650C1" w:rsidRPr="001928D5" w:rsidRDefault="00C31CC2" w:rsidP="009F3B9E">
      <w:pPr>
        <w:pStyle w:val="Orateurengris"/>
        <w:spacing w:before="120"/>
        <w:ind w:left="709" w:hanging="709"/>
        <w:rPr>
          <w:bCs/>
          <w:color w:val="000000" w:themeColor="text1"/>
          <w:u w:val="single"/>
          <w:lang w:val="en-US"/>
        </w:rPr>
      </w:pPr>
      <w:r w:rsidRPr="002827E3">
        <w:rPr>
          <w:color w:val="000000" w:themeColor="text1"/>
          <w:lang w:val="en-US"/>
        </w:rPr>
        <w:t xml:space="preserve">Before moving to </w:t>
      </w:r>
      <w:r w:rsidR="009D5AF5" w:rsidRPr="002827E3">
        <w:rPr>
          <w:color w:val="000000" w:themeColor="text1"/>
          <w:lang w:val="en-US"/>
        </w:rPr>
        <w:t>the next agenda item</w:t>
      </w:r>
      <w:r w:rsidR="00225B11" w:rsidRPr="002827E3">
        <w:rPr>
          <w:color w:val="000000" w:themeColor="text1"/>
          <w:lang w:val="en-US"/>
        </w:rPr>
        <w:t>, item</w:t>
      </w:r>
      <w:r w:rsidRPr="002827E3">
        <w:rPr>
          <w:color w:val="000000" w:themeColor="text1"/>
          <w:lang w:val="en-US"/>
        </w:rPr>
        <w:t xml:space="preserve"> 5, the </w:t>
      </w:r>
      <w:r w:rsidRPr="002827E3">
        <w:rPr>
          <w:b/>
          <w:color w:val="000000" w:themeColor="text1"/>
          <w:lang w:val="en-US"/>
        </w:rPr>
        <w:t>Chairperson</w:t>
      </w:r>
      <w:r w:rsidR="009D5AF5" w:rsidRPr="002827E3">
        <w:rPr>
          <w:color w:val="000000" w:themeColor="text1"/>
          <w:lang w:val="en-US"/>
        </w:rPr>
        <w:t xml:space="preserve"> </w:t>
      </w:r>
      <w:r w:rsidR="00AE2450" w:rsidRPr="001E2F30">
        <w:rPr>
          <w:bCs/>
          <w:lang w:val="en-US"/>
        </w:rPr>
        <w:t xml:space="preserve">turned to </w:t>
      </w:r>
      <w:r w:rsidR="00256C76" w:rsidRPr="001E2F30">
        <w:rPr>
          <w:bCs/>
          <w:lang w:val="en-US"/>
        </w:rPr>
        <w:t xml:space="preserve">the two </w:t>
      </w:r>
      <w:r w:rsidR="00AE2450" w:rsidRPr="000B6D83">
        <w:rPr>
          <w:bCs/>
          <w:lang w:val="en-US"/>
        </w:rPr>
        <w:t>scheduled oral reports: the r</w:t>
      </w:r>
      <w:r w:rsidR="00256C76" w:rsidRPr="001E2F30">
        <w:rPr>
          <w:bCs/>
          <w:lang w:val="en-US"/>
        </w:rPr>
        <w:t>eport of the Chairperson of</w:t>
      </w:r>
      <w:r w:rsidR="00256C76" w:rsidRPr="00813D19">
        <w:rPr>
          <w:bCs/>
          <w:lang w:val="en-US"/>
        </w:rPr>
        <w:t xml:space="preserve"> the Committee on Bureau activities and </w:t>
      </w:r>
      <w:r w:rsidR="00AE2450" w:rsidRPr="00813D19">
        <w:rPr>
          <w:bCs/>
          <w:lang w:val="en-US"/>
        </w:rPr>
        <w:t>the r</w:t>
      </w:r>
      <w:r w:rsidR="00256C76" w:rsidRPr="00813D19">
        <w:rPr>
          <w:bCs/>
          <w:lang w:val="en-US"/>
        </w:rPr>
        <w:t xml:space="preserve">eport of the </w:t>
      </w:r>
      <w:r w:rsidR="0070024C" w:rsidRPr="00813D19">
        <w:rPr>
          <w:bCs/>
          <w:lang w:val="en-US"/>
        </w:rPr>
        <w:t>ICH</w:t>
      </w:r>
      <w:r w:rsidR="00AE2450" w:rsidRPr="00813D19">
        <w:rPr>
          <w:bCs/>
          <w:lang w:val="en-US"/>
        </w:rPr>
        <w:t xml:space="preserve">NGO </w:t>
      </w:r>
      <w:r w:rsidR="00256C76" w:rsidRPr="00813D19">
        <w:rPr>
          <w:bCs/>
          <w:lang w:val="en-US"/>
        </w:rPr>
        <w:t xml:space="preserve">Forum. </w:t>
      </w:r>
      <w:r w:rsidR="00AE2450" w:rsidRPr="00813D19">
        <w:rPr>
          <w:bCs/>
          <w:lang w:val="en-US"/>
        </w:rPr>
        <w:t xml:space="preserve">The Chairperson began with </w:t>
      </w:r>
      <w:r w:rsidR="00256C76" w:rsidRPr="00813D19">
        <w:rPr>
          <w:bCs/>
          <w:lang w:val="en-US"/>
        </w:rPr>
        <w:t xml:space="preserve">the </w:t>
      </w:r>
      <w:r w:rsidR="00036C45" w:rsidRPr="00813D19">
        <w:rPr>
          <w:bCs/>
          <w:u w:val="single"/>
          <w:lang w:val="en-US"/>
        </w:rPr>
        <w:t>report of the Chairperson of the Committee on Bureau activities</w:t>
      </w:r>
      <w:r w:rsidR="00036C45" w:rsidRPr="00813D19">
        <w:rPr>
          <w:bCs/>
          <w:lang w:val="en-US"/>
        </w:rPr>
        <w:t xml:space="preserve"> and </w:t>
      </w:r>
      <w:r w:rsidR="00256C76" w:rsidRPr="00813D19">
        <w:rPr>
          <w:bCs/>
          <w:lang w:val="en-US"/>
        </w:rPr>
        <w:t xml:space="preserve">outcomes since </w:t>
      </w:r>
      <w:r w:rsidR="00AE2450" w:rsidRPr="00813D19">
        <w:rPr>
          <w:bCs/>
          <w:lang w:val="en-US"/>
        </w:rPr>
        <w:t xml:space="preserve">its </w:t>
      </w:r>
      <w:r w:rsidR="00256C76" w:rsidRPr="00813D19">
        <w:rPr>
          <w:bCs/>
          <w:lang w:val="en-US"/>
        </w:rPr>
        <w:t xml:space="preserve">election in Jeju </w:t>
      </w:r>
      <w:r w:rsidR="00AE2450" w:rsidRPr="00813D19">
        <w:rPr>
          <w:bCs/>
          <w:lang w:val="en-US"/>
        </w:rPr>
        <w:t>in 2017</w:t>
      </w:r>
      <w:r w:rsidR="00256C76" w:rsidRPr="00813D19">
        <w:rPr>
          <w:bCs/>
          <w:lang w:val="en-US"/>
        </w:rPr>
        <w:t xml:space="preserve">. </w:t>
      </w:r>
      <w:r w:rsidR="009F3B9E" w:rsidRPr="00813D19">
        <w:rPr>
          <w:bCs/>
          <w:lang w:val="en-US"/>
        </w:rPr>
        <w:t>A</w:t>
      </w:r>
      <w:r w:rsidR="00256C76" w:rsidRPr="00813D19">
        <w:rPr>
          <w:bCs/>
          <w:lang w:val="en-US"/>
        </w:rPr>
        <w:t>ccording to the Rules of Procedure of the Committee and the Operational Directives of the Convention</w:t>
      </w:r>
      <w:r w:rsidR="009F3B9E" w:rsidRPr="00813D19">
        <w:rPr>
          <w:bCs/>
          <w:lang w:val="en-US"/>
        </w:rPr>
        <w:t>,</w:t>
      </w:r>
      <w:r w:rsidR="00256C76" w:rsidRPr="00813D19">
        <w:rPr>
          <w:bCs/>
          <w:lang w:val="en-US"/>
        </w:rPr>
        <w:t xml:space="preserve"> the Committee entrusts its Bureau with significant tasks and responsibilities. </w:t>
      </w:r>
      <w:r w:rsidR="009F3B9E" w:rsidRPr="00813D19">
        <w:rPr>
          <w:bCs/>
          <w:lang w:val="en-US"/>
        </w:rPr>
        <w:t xml:space="preserve">Although </w:t>
      </w:r>
      <w:r w:rsidR="00256C76" w:rsidRPr="00813D19">
        <w:rPr>
          <w:bCs/>
          <w:lang w:val="en-US"/>
        </w:rPr>
        <w:t>the Committee meets only once per year</w:t>
      </w:r>
      <w:r w:rsidR="009F3B9E" w:rsidRPr="00813D19">
        <w:rPr>
          <w:bCs/>
          <w:lang w:val="en-US"/>
        </w:rPr>
        <w:t>,</w:t>
      </w:r>
      <w:r w:rsidR="00256C76" w:rsidRPr="00813D19">
        <w:rPr>
          <w:bCs/>
          <w:lang w:val="en-US"/>
        </w:rPr>
        <w:t xml:space="preserve"> the Bureau can m</w:t>
      </w:r>
      <w:r w:rsidR="009F3B9E" w:rsidRPr="00813D19">
        <w:rPr>
          <w:bCs/>
          <w:lang w:val="en-US"/>
        </w:rPr>
        <w:t xml:space="preserve">eet as many times as necessary either </w:t>
      </w:r>
      <w:r w:rsidR="00225B11">
        <w:rPr>
          <w:bCs/>
          <w:lang w:val="en-US"/>
        </w:rPr>
        <w:t>through</w:t>
      </w:r>
      <w:r w:rsidR="00225B11" w:rsidRPr="00813D19">
        <w:rPr>
          <w:bCs/>
          <w:lang w:val="en-US"/>
        </w:rPr>
        <w:t xml:space="preserve"> </w:t>
      </w:r>
      <w:r w:rsidR="00256C76" w:rsidRPr="00813D19">
        <w:rPr>
          <w:bCs/>
          <w:lang w:val="en-US"/>
        </w:rPr>
        <w:t xml:space="preserve">face-to-face </w:t>
      </w:r>
      <w:r w:rsidR="009F3B9E" w:rsidRPr="00813D19">
        <w:rPr>
          <w:bCs/>
          <w:lang w:val="en-US"/>
        </w:rPr>
        <w:t xml:space="preserve">meetings </w:t>
      </w:r>
      <w:r w:rsidR="00256C76" w:rsidRPr="00813D19">
        <w:rPr>
          <w:bCs/>
          <w:lang w:val="en-US"/>
        </w:rPr>
        <w:t xml:space="preserve">or </w:t>
      </w:r>
      <w:r w:rsidR="009F3B9E" w:rsidRPr="00813D19">
        <w:rPr>
          <w:bCs/>
          <w:lang w:val="en-US"/>
        </w:rPr>
        <w:t xml:space="preserve">electronic consultation, </w:t>
      </w:r>
      <w:r w:rsidR="00225B11">
        <w:rPr>
          <w:bCs/>
          <w:lang w:val="en-US"/>
        </w:rPr>
        <w:t>the</w:t>
      </w:r>
      <w:r w:rsidR="00225B11" w:rsidRPr="00813D19">
        <w:rPr>
          <w:bCs/>
          <w:lang w:val="en-US"/>
        </w:rPr>
        <w:t xml:space="preserve"> </w:t>
      </w:r>
      <w:r w:rsidR="00256C76" w:rsidRPr="00813D19">
        <w:rPr>
          <w:bCs/>
          <w:lang w:val="en-US"/>
        </w:rPr>
        <w:t xml:space="preserve">flexibility </w:t>
      </w:r>
      <w:r w:rsidR="00225B11">
        <w:rPr>
          <w:bCs/>
          <w:lang w:val="en-US"/>
        </w:rPr>
        <w:t xml:space="preserve">of which </w:t>
      </w:r>
      <w:r w:rsidR="00256C76" w:rsidRPr="00813D19">
        <w:rPr>
          <w:bCs/>
          <w:lang w:val="en-US"/>
        </w:rPr>
        <w:t>allows</w:t>
      </w:r>
      <w:r w:rsidR="00225B11">
        <w:rPr>
          <w:bCs/>
          <w:lang w:val="en-US"/>
        </w:rPr>
        <w:t xml:space="preserve"> for</w:t>
      </w:r>
      <w:r w:rsidR="00256C76" w:rsidRPr="00813D19">
        <w:rPr>
          <w:bCs/>
          <w:lang w:val="en-US"/>
        </w:rPr>
        <w:t xml:space="preserve"> the adoption of ope</w:t>
      </w:r>
      <w:r w:rsidR="006B34F8" w:rsidRPr="00813D19">
        <w:rPr>
          <w:bCs/>
          <w:lang w:val="en-US"/>
        </w:rPr>
        <w:t>rational decisions between two C</w:t>
      </w:r>
      <w:r w:rsidR="00256C76" w:rsidRPr="00813D19">
        <w:rPr>
          <w:bCs/>
          <w:lang w:val="en-US"/>
        </w:rPr>
        <w:t xml:space="preserve">ommittee sessions. </w:t>
      </w:r>
      <w:r w:rsidR="009F3B9E" w:rsidRPr="00813D19">
        <w:rPr>
          <w:bCs/>
          <w:lang w:val="en-US"/>
        </w:rPr>
        <w:t xml:space="preserve">With regard to its </w:t>
      </w:r>
      <w:r w:rsidR="00256C76" w:rsidRPr="00813D19">
        <w:rPr>
          <w:bCs/>
          <w:lang w:val="en-US"/>
        </w:rPr>
        <w:t xml:space="preserve">tasks, the Bureau is asked to coordinate the dates, times and order of business of Committee meetings. </w:t>
      </w:r>
      <w:r w:rsidR="009F3B9E" w:rsidRPr="00813D19">
        <w:rPr>
          <w:bCs/>
          <w:lang w:val="en-US"/>
        </w:rPr>
        <w:t xml:space="preserve">It is also </w:t>
      </w:r>
      <w:r w:rsidR="00256C76" w:rsidRPr="00BD43D6">
        <w:rPr>
          <w:bCs/>
          <w:lang w:val="en-US"/>
        </w:rPr>
        <w:t xml:space="preserve">responsible for examining and approving International Assistance requests up to US$100,000. The Bureau also decides any other task the Committee assigns to it. </w:t>
      </w:r>
      <w:r w:rsidR="00036C45" w:rsidRPr="00BD43D6">
        <w:rPr>
          <w:bCs/>
          <w:lang w:val="en-US"/>
        </w:rPr>
        <w:t>Th</w:t>
      </w:r>
      <w:r w:rsidR="00036C45" w:rsidRPr="00813D19">
        <w:rPr>
          <w:bCs/>
          <w:lang w:val="en-US"/>
        </w:rPr>
        <w:t xml:space="preserve">e Chairperson </w:t>
      </w:r>
      <w:r w:rsidR="00225B11">
        <w:rPr>
          <w:bCs/>
          <w:lang w:val="en-US"/>
        </w:rPr>
        <w:t>took</w:t>
      </w:r>
      <w:r w:rsidR="00256C76" w:rsidRPr="00813D19">
        <w:rPr>
          <w:bCs/>
          <w:lang w:val="en-US"/>
        </w:rPr>
        <w:t xml:space="preserve"> </w:t>
      </w:r>
      <w:r w:rsidR="00036C45" w:rsidRPr="00813D19">
        <w:rPr>
          <w:bCs/>
          <w:lang w:val="en-US"/>
        </w:rPr>
        <w:t xml:space="preserve">the </w:t>
      </w:r>
      <w:r w:rsidR="00256C76" w:rsidRPr="00813D19">
        <w:rPr>
          <w:bCs/>
          <w:lang w:val="en-US"/>
        </w:rPr>
        <w:t xml:space="preserve">opportunity to thank the Bureau </w:t>
      </w:r>
      <w:r w:rsidR="00036C45" w:rsidRPr="00813D19">
        <w:rPr>
          <w:bCs/>
          <w:lang w:val="en-US"/>
        </w:rPr>
        <w:t xml:space="preserve">members for their active participation and </w:t>
      </w:r>
      <w:r w:rsidR="00256C76" w:rsidRPr="00813D19">
        <w:rPr>
          <w:bCs/>
          <w:lang w:val="en-US"/>
        </w:rPr>
        <w:t>spirit of cooperation</w:t>
      </w:r>
      <w:r w:rsidR="00036C45" w:rsidRPr="00813D19">
        <w:rPr>
          <w:bCs/>
          <w:lang w:val="en-US"/>
        </w:rPr>
        <w:t>,</w:t>
      </w:r>
      <w:r w:rsidR="00256C76" w:rsidRPr="00813D19">
        <w:rPr>
          <w:bCs/>
          <w:lang w:val="en-US"/>
        </w:rPr>
        <w:t xml:space="preserve"> and </w:t>
      </w:r>
      <w:r w:rsidR="00036C45" w:rsidRPr="00813D19">
        <w:rPr>
          <w:bCs/>
          <w:lang w:val="en-US"/>
        </w:rPr>
        <w:t xml:space="preserve">for their </w:t>
      </w:r>
      <w:r w:rsidR="00256C76" w:rsidRPr="00813D19">
        <w:rPr>
          <w:bCs/>
          <w:lang w:val="en-US"/>
        </w:rPr>
        <w:t xml:space="preserve">trust. During </w:t>
      </w:r>
      <w:r w:rsidR="00036C45" w:rsidRPr="00813D19">
        <w:rPr>
          <w:bCs/>
          <w:lang w:val="en-US"/>
        </w:rPr>
        <w:t xml:space="preserve">its </w:t>
      </w:r>
      <w:r w:rsidR="00256C76" w:rsidRPr="00813D19">
        <w:rPr>
          <w:bCs/>
          <w:lang w:val="en-US"/>
        </w:rPr>
        <w:t>mandate</w:t>
      </w:r>
      <w:r w:rsidR="00036C45" w:rsidRPr="00813D19">
        <w:rPr>
          <w:bCs/>
          <w:lang w:val="en-US"/>
        </w:rPr>
        <w:t>,</w:t>
      </w:r>
      <w:r w:rsidR="00256C76" w:rsidRPr="00813D19">
        <w:rPr>
          <w:bCs/>
          <w:lang w:val="en-US"/>
        </w:rPr>
        <w:t xml:space="preserve"> three face-to-face meetings</w:t>
      </w:r>
      <w:r w:rsidR="00036C45" w:rsidRPr="00813D19">
        <w:rPr>
          <w:bCs/>
          <w:lang w:val="en-US"/>
        </w:rPr>
        <w:t xml:space="preserve"> </w:t>
      </w:r>
      <w:r w:rsidR="00225B11">
        <w:rPr>
          <w:bCs/>
          <w:lang w:val="en-US"/>
        </w:rPr>
        <w:t xml:space="preserve">had been </w:t>
      </w:r>
      <w:r w:rsidR="00036C45" w:rsidRPr="00813D19">
        <w:rPr>
          <w:bCs/>
          <w:lang w:val="en-US"/>
        </w:rPr>
        <w:t xml:space="preserve">held, and </w:t>
      </w:r>
      <w:r w:rsidR="00256C76" w:rsidRPr="00813D19">
        <w:rPr>
          <w:bCs/>
          <w:lang w:val="en-US"/>
        </w:rPr>
        <w:t xml:space="preserve">a diversity of issues relating both to </w:t>
      </w:r>
      <w:r w:rsidR="00225B11">
        <w:rPr>
          <w:bCs/>
          <w:lang w:val="en-US"/>
        </w:rPr>
        <w:t xml:space="preserve">the </w:t>
      </w:r>
      <w:r w:rsidR="00256C76" w:rsidRPr="00813D19">
        <w:rPr>
          <w:bCs/>
          <w:lang w:val="en-US"/>
        </w:rPr>
        <w:t xml:space="preserve">safeguarding </w:t>
      </w:r>
      <w:r w:rsidR="00225B11">
        <w:rPr>
          <w:bCs/>
          <w:lang w:val="en-US"/>
        </w:rPr>
        <w:t xml:space="preserve">of </w:t>
      </w:r>
      <w:r w:rsidR="00256C76" w:rsidRPr="00813D19">
        <w:rPr>
          <w:bCs/>
          <w:lang w:val="en-US"/>
        </w:rPr>
        <w:t xml:space="preserve">intangible cultural heritage at the national level </w:t>
      </w:r>
      <w:r w:rsidR="00036C45" w:rsidRPr="00813D19">
        <w:rPr>
          <w:bCs/>
          <w:lang w:val="en-US"/>
        </w:rPr>
        <w:t xml:space="preserve">and </w:t>
      </w:r>
      <w:r w:rsidR="00225B11">
        <w:rPr>
          <w:bCs/>
          <w:lang w:val="en-US"/>
        </w:rPr>
        <w:t xml:space="preserve">to </w:t>
      </w:r>
      <w:r w:rsidR="00256C76" w:rsidRPr="00813D19">
        <w:rPr>
          <w:bCs/>
          <w:lang w:val="en-US"/>
        </w:rPr>
        <w:t>the implementation of the Convention at the international level</w:t>
      </w:r>
      <w:r w:rsidR="00036C45" w:rsidRPr="00813D19">
        <w:rPr>
          <w:bCs/>
          <w:lang w:val="en-US"/>
        </w:rPr>
        <w:t xml:space="preserve"> </w:t>
      </w:r>
      <w:r w:rsidR="00225B11">
        <w:rPr>
          <w:bCs/>
          <w:lang w:val="en-US"/>
        </w:rPr>
        <w:t>had been</w:t>
      </w:r>
      <w:r w:rsidR="00225B11" w:rsidRPr="00813D19">
        <w:rPr>
          <w:bCs/>
          <w:lang w:val="en-US"/>
        </w:rPr>
        <w:t xml:space="preserve"> </w:t>
      </w:r>
      <w:r w:rsidR="00036C45" w:rsidRPr="00813D19">
        <w:rPr>
          <w:bCs/>
          <w:lang w:val="en-US"/>
        </w:rPr>
        <w:t>examined</w:t>
      </w:r>
      <w:r w:rsidR="00256C76" w:rsidRPr="00813D19">
        <w:rPr>
          <w:bCs/>
          <w:lang w:val="en-US"/>
        </w:rPr>
        <w:t xml:space="preserve">. </w:t>
      </w:r>
      <w:r w:rsidR="00036C45" w:rsidRPr="00813D19">
        <w:rPr>
          <w:bCs/>
          <w:lang w:val="en-US"/>
        </w:rPr>
        <w:t>It was noted that o</w:t>
      </w:r>
      <w:r w:rsidR="00256C76" w:rsidRPr="00813D19">
        <w:rPr>
          <w:bCs/>
          <w:lang w:val="en-US"/>
        </w:rPr>
        <w:t xml:space="preserve">nce again, </w:t>
      </w:r>
      <w:r w:rsidR="00036C45" w:rsidRPr="00813D19">
        <w:rPr>
          <w:bCs/>
          <w:lang w:val="en-US"/>
        </w:rPr>
        <w:t xml:space="preserve">the Bureau </w:t>
      </w:r>
      <w:r w:rsidR="00225B11">
        <w:rPr>
          <w:bCs/>
          <w:lang w:val="en-US"/>
        </w:rPr>
        <w:t xml:space="preserve">had </w:t>
      </w:r>
      <w:r w:rsidR="00256C76" w:rsidRPr="00813D19">
        <w:rPr>
          <w:bCs/>
          <w:lang w:val="en-US"/>
        </w:rPr>
        <w:t xml:space="preserve">dedicated </w:t>
      </w:r>
      <w:r w:rsidR="00036C45" w:rsidRPr="00813D19">
        <w:rPr>
          <w:bCs/>
          <w:lang w:val="en-US"/>
        </w:rPr>
        <w:t xml:space="preserve">the majority of its </w:t>
      </w:r>
      <w:r w:rsidR="00256C76" w:rsidRPr="00813D19">
        <w:rPr>
          <w:bCs/>
          <w:lang w:val="en-US"/>
        </w:rPr>
        <w:t xml:space="preserve">work </w:t>
      </w:r>
      <w:r w:rsidR="00225B11">
        <w:rPr>
          <w:bCs/>
          <w:lang w:val="en-US"/>
        </w:rPr>
        <w:t>to</w:t>
      </w:r>
      <w:r w:rsidR="00036C45" w:rsidRPr="00813D19">
        <w:rPr>
          <w:bCs/>
          <w:lang w:val="en-US"/>
        </w:rPr>
        <w:t xml:space="preserve"> </w:t>
      </w:r>
      <w:r w:rsidR="00256C76" w:rsidRPr="00813D19">
        <w:rPr>
          <w:bCs/>
          <w:lang w:val="en-US"/>
        </w:rPr>
        <w:t xml:space="preserve">the </w:t>
      </w:r>
      <w:r w:rsidR="00036C45" w:rsidRPr="00813D19">
        <w:rPr>
          <w:bCs/>
          <w:lang w:val="en-US"/>
        </w:rPr>
        <w:t xml:space="preserve">record number of </w:t>
      </w:r>
      <w:r w:rsidR="00256C76" w:rsidRPr="00813D19">
        <w:rPr>
          <w:bCs/>
          <w:lang w:val="en-US"/>
        </w:rPr>
        <w:t>Int</w:t>
      </w:r>
      <w:r w:rsidR="00036C45" w:rsidRPr="00813D19">
        <w:rPr>
          <w:bCs/>
          <w:lang w:val="en-US"/>
        </w:rPr>
        <w:t xml:space="preserve">ernational Assistance requests: </w:t>
      </w:r>
      <w:r w:rsidR="00225B11">
        <w:rPr>
          <w:bCs/>
          <w:lang w:val="en-US"/>
        </w:rPr>
        <w:t>twenty-four</w:t>
      </w:r>
      <w:r w:rsidR="00225B11" w:rsidRPr="00813D19">
        <w:rPr>
          <w:bCs/>
          <w:lang w:val="en-US"/>
        </w:rPr>
        <w:t xml:space="preserve"> </w:t>
      </w:r>
      <w:r w:rsidR="00256C76" w:rsidRPr="00813D19">
        <w:rPr>
          <w:bCs/>
          <w:lang w:val="en-US"/>
        </w:rPr>
        <w:t xml:space="preserve">financial assistance requests, </w:t>
      </w:r>
      <w:r w:rsidR="00225B11">
        <w:rPr>
          <w:bCs/>
          <w:lang w:val="en-US"/>
        </w:rPr>
        <w:t>twenty-two</w:t>
      </w:r>
      <w:r w:rsidR="00225B11" w:rsidRPr="00813D19">
        <w:rPr>
          <w:bCs/>
          <w:lang w:val="en-US"/>
        </w:rPr>
        <w:t xml:space="preserve"> </w:t>
      </w:r>
      <w:r w:rsidR="00256C76" w:rsidRPr="00813D19">
        <w:rPr>
          <w:bCs/>
          <w:lang w:val="en-US"/>
        </w:rPr>
        <w:t xml:space="preserve">International Assistance requests up to </w:t>
      </w:r>
      <w:r w:rsidR="00AE2450" w:rsidRPr="00813D19">
        <w:rPr>
          <w:bCs/>
          <w:lang w:val="en-US"/>
        </w:rPr>
        <w:t>US</w:t>
      </w:r>
      <w:r w:rsidR="00256C76" w:rsidRPr="00813D19">
        <w:rPr>
          <w:bCs/>
          <w:lang w:val="en-US"/>
        </w:rPr>
        <w:t xml:space="preserve">$100,000, one preparatory assistance request and one emergency assistance request. This high number </w:t>
      </w:r>
      <w:r w:rsidR="00036C45" w:rsidRPr="00813D19">
        <w:rPr>
          <w:bCs/>
          <w:lang w:val="en-US"/>
        </w:rPr>
        <w:t>confirmed</w:t>
      </w:r>
      <w:r w:rsidR="00256C76" w:rsidRPr="00813D19">
        <w:rPr>
          <w:bCs/>
          <w:lang w:val="en-US"/>
        </w:rPr>
        <w:t xml:space="preserve"> </w:t>
      </w:r>
      <w:r w:rsidR="00036C45" w:rsidRPr="00813D19">
        <w:rPr>
          <w:bCs/>
          <w:lang w:val="en-US"/>
        </w:rPr>
        <w:t>the effective</w:t>
      </w:r>
      <w:r w:rsidR="00474E23" w:rsidRPr="00813D19">
        <w:rPr>
          <w:bCs/>
          <w:lang w:val="en-US"/>
        </w:rPr>
        <w:t>ness</w:t>
      </w:r>
      <w:r w:rsidR="00036C45" w:rsidRPr="00813D19">
        <w:rPr>
          <w:bCs/>
          <w:lang w:val="en-US"/>
        </w:rPr>
        <w:t xml:space="preserve"> of the </w:t>
      </w:r>
      <w:r w:rsidR="00256C76" w:rsidRPr="00813D19">
        <w:rPr>
          <w:bCs/>
          <w:lang w:val="en-US"/>
        </w:rPr>
        <w:t>measures taken by the sixth session of the General Assembly in 2016</w:t>
      </w:r>
      <w:r w:rsidR="00036C45" w:rsidRPr="00813D19">
        <w:rPr>
          <w:bCs/>
          <w:lang w:val="en-US"/>
        </w:rPr>
        <w:t xml:space="preserve"> to increase</w:t>
      </w:r>
      <w:r w:rsidR="00256C76" w:rsidRPr="00813D19">
        <w:rPr>
          <w:bCs/>
          <w:lang w:val="en-US"/>
        </w:rPr>
        <w:t xml:space="preserve"> the ceiling </w:t>
      </w:r>
      <w:r w:rsidR="00036C45" w:rsidRPr="00813D19">
        <w:rPr>
          <w:bCs/>
          <w:lang w:val="en-US"/>
        </w:rPr>
        <w:t xml:space="preserve">of requests </w:t>
      </w:r>
      <w:r w:rsidR="00256C76" w:rsidRPr="00813D19">
        <w:rPr>
          <w:bCs/>
          <w:lang w:val="en-US"/>
        </w:rPr>
        <w:t xml:space="preserve">from </w:t>
      </w:r>
      <w:r w:rsidR="00036C45" w:rsidRPr="00813D19">
        <w:rPr>
          <w:bCs/>
          <w:lang w:val="en-US"/>
        </w:rPr>
        <w:t>US</w:t>
      </w:r>
      <w:r w:rsidR="00256C76" w:rsidRPr="00813D19">
        <w:rPr>
          <w:bCs/>
          <w:lang w:val="en-US"/>
        </w:rPr>
        <w:t xml:space="preserve">$25,000 to </w:t>
      </w:r>
      <w:r w:rsidR="00036C45" w:rsidRPr="00813D19">
        <w:rPr>
          <w:bCs/>
          <w:lang w:val="en-US"/>
        </w:rPr>
        <w:t>US$100,000</w:t>
      </w:r>
      <w:r w:rsidR="00256C76" w:rsidRPr="00813D19">
        <w:rPr>
          <w:bCs/>
          <w:lang w:val="en-US"/>
        </w:rPr>
        <w:t xml:space="preserve">. Of the </w:t>
      </w:r>
      <w:r w:rsidR="00225B11">
        <w:rPr>
          <w:bCs/>
          <w:lang w:val="en-US"/>
        </w:rPr>
        <w:t>twenty-four</w:t>
      </w:r>
      <w:r w:rsidR="00225B11" w:rsidRPr="00813D19">
        <w:rPr>
          <w:bCs/>
          <w:lang w:val="en-US"/>
        </w:rPr>
        <w:t xml:space="preserve"> </w:t>
      </w:r>
      <w:r w:rsidR="00256C76" w:rsidRPr="00813D19">
        <w:rPr>
          <w:bCs/>
          <w:lang w:val="en-US"/>
        </w:rPr>
        <w:t>requests examined</w:t>
      </w:r>
      <w:r w:rsidR="00036C45" w:rsidRPr="00813D19">
        <w:rPr>
          <w:bCs/>
          <w:lang w:val="en-US"/>
        </w:rPr>
        <w:t xml:space="preserve">, </w:t>
      </w:r>
      <w:r w:rsidR="00225B11">
        <w:rPr>
          <w:bCs/>
          <w:lang w:val="en-US"/>
        </w:rPr>
        <w:t>sixteen</w:t>
      </w:r>
      <w:r w:rsidR="00225B11" w:rsidRPr="00813D19">
        <w:rPr>
          <w:bCs/>
          <w:lang w:val="en-US"/>
        </w:rPr>
        <w:t xml:space="preserve"> </w:t>
      </w:r>
      <w:r w:rsidR="00225B11">
        <w:rPr>
          <w:bCs/>
          <w:lang w:val="en-US"/>
        </w:rPr>
        <w:t>had been</w:t>
      </w:r>
      <w:r w:rsidR="00225B11" w:rsidRPr="00813D19">
        <w:rPr>
          <w:bCs/>
          <w:lang w:val="en-US"/>
        </w:rPr>
        <w:t xml:space="preserve"> </w:t>
      </w:r>
      <w:r w:rsidR="00036C45" w:rsidRPr="00813D19">
        <w:rPr>
          <w:bCs/>
          <w:lang w:val="en-US"/>
        </w:rPr>
        <w:t>approved</w:t>
      </w:r>
      <w:r w:rsidR="00225B11">
        <w:rPr>
          <w:bCs/>
          <w:lang w:val="en-US"/>
        </w:rPr>
        <w:t>,</w:t>
      </w:r>
      <w:r w:rsidR="00036C45" w:rsidRPr="00813D19">
        <w:rPr>
          <w:bCs/>
          <w:lang w:val="en-US"/>
        </w:rPr>
        <w:t xml:space="preserve"> </w:t>
      </w:r>
      <w:r w:rsidR="00256C76" w:rsidRPr="00813D19">
        <w:rPr>
          <w:bCs/>
          <w:lang w:val="en-US"/>
        </w:rPr>
        <w:t xml:space="preserve">submitted by Colombia, the Democratic People’s Republic of Korea, Haiti, Kyrgyzstan, Mauritania, Saint Kitts and Nevis, Senegal, Togo, Tonga and Ukraine. </w:t>
      </w:r>
      <w:r w:rsidR="00036C45" w:rsidRPr="00813D19">
        <w:rPr>
          <w:bCs/>
          <w:lang w:val="en-US"/>
        </w:rPr>
        <w:t>T</w:t>
      </w:r>
      <w:r w:rsidR="00256C76" w:rsidRPr="00813D19">
        <w:rPr>
          <w:bCs/>
          <w:lang w:val="en-US"/>
        </w:rPr>
        <w:t xml:space="preserve">wo requests </w:t>
      </w:r>
      <w:r w:rsidR="00036C45" w:rsidRPr="00813D19">
        <w:rPr>
          <w:bCs/>
          <w:lang w:val="en-US"/>
        </w:rPr>
        <w:t>had also been rec</w:t>
      </w:r>
      <w:r w:rsidR="00893666" w:rsidRPr="00813D19">
        <w:rPr>
          <w:bCs/>
          <w:lang w:val="en-US"/>
        </w:rPr>
        <w:t>e</w:t>
      </w:r>
      <w:r w:rsidR="00036C45" w:rsidRPr="00813D19">
        <w:rPr>
          <w:bCs/>
          <w:lang w:val="en-US"/>
        </w:rPr>
        <w:t xml:space="preserve">ived </w:t>
      </w:r>
      <w:r w:rsidR="00256C76" w:rsidRPr="00813D19">
        <w:rPr>
          <w:bCs/>
          <w:lang w:val="en-US"/>
        </w:rPr>
        <w:t xml:space="preserve">from Mongolia and Zimbabwe. </w:t>
      </w:r>
      <w:r w:rsidR="00036C45" w:rsidRPr="00813D19">
        <w:rPr>
          <w:bCs/>
          <w:lang w:val="en-US"/>
        </w:rPr>
        <w:t>The Bureau</w:t>
      </w:r>
      <w:r w:rsidR="00225B11">
        <w:rPr>
          <w:bCs/>
          <w:lang w:val="en-US"/>
        </w:rPr>
        <w:t xml:space="preserve"> had</w:t>
      </w:r>
      <w:r w:rsidR="00036C45" w:rsidRPr="00813D19">
        <w:rPr>
          <w:bCs/>
          <w:lang w:val="en-US"/>
        </w:rPr>
        <w:t xml:space="preserve"> </w:t>
      </w:r>
      <w:r w:rsidR="00256C76" w:rsidRPr="00813D19">
        <w:rPr>
          <w:bCs/>
          <w:lang w:val="en-US"/>
        </w:rPr>
        <w:t>also approved a preparatory assistance request from Albania</w:t>
      </w:r>
      <w:r w:rsidR="00036C45" w:rsidRPr="00813D19">
        <w:rPr>
          <w:bCs/>
          <w:lang w:val="en-US"/>
        </w:rPr>
        <w:t>,</w:t>
      </w:r>
      <w:r w:rsidR="00256C76" w:rsidRPr="00813D19">
        <w:rPr>
          <w:bCs/>
          <w:lang w:val="en-US"/>
        </w:rPr>
        <w:t xml:space="preserve"> as well as an emergency assistance request from Colombia. The </w:t>
      </w:r>
      <w:r w:rsidR="00424756" w:rsidRPr="00813D19">
        <w:rPr>
          <w:bCs/>
          <w:lang w:val="en-US"/>
        </w:rPr>
        <w:t xml:space="preserve">projects </w:t>
      </w:r>
      <w:r w:rsidR="00225B11">
        <w:rPr>
          <w:bCs/>
          <w:lang w:val="en-US"/>
        </w:rPr>
        <w:t xml:space="preserve">were </w:t>
      </w:r>
      <w:r w:rsidR="00424756" w:rsidRPr="00813D19">
        <w:rPr>
          <w:bCs/>
          <w:lang w:val="en-US"/>
        </w:rPr>
        <w:t>aimed</w:t>
      </w:r>
      <w:r w:rsidR="00256C76" w:rsidRPr="00813D19">
        <w:rPr>
          <w:bCs/>
          <w:lang w:val="en-US"/>
        </w:rPr>
        <w:t xml:space="preserve"> </w:t>
      </w:r>
      <w:r w:rsidR="00424756" w:rsidRPr="00813D19">
        <w:rPr>
          <w:bCs/>
          <w:lang w:val="en-US"/>
        </w:rPr>
        <w:t xml:space="preserve">at </w:t>
      </w:r>
      <w:r w:rsidR="00256C76" w:rsidRPr="00813D19">
        <w:rPr>
          <w:bCs/>
          <w:lang w:val="en-US"/>
        </w:rPr>
        <w:t>develop</w:t>
      </w:r>
      <w:r w:rsidR="00424756" w:rsidRPr="00813D19">
        <w:rPr>
          <w:bCs/>
          <w:lang w:val="en-US"/>
        </w:rPr>
        <w:t>ing</w:t>
      </w:r>
      <w:r w:rsidR="00256C76" w:rsidRPr="00813D19">
        <w:rPr>
          <w:bCs/>
          <w:lang w:val="en-US"/>
        </w:rPr>
        <w:t xml:space="preserve"> community-based inventories, build</w:t>
      </w:r>
      <w:r w:rsidR="00424756" w:rsidRPr="00813D19">
        <w:rPr>
          <w:bCs/>
          <w:lang w:val="en-US"/>
        </w:rPr>
        <w:t>ing</w:t>
      </w:r>
      <w:r w:rsidR="00256C76" w:rsidRPr="00813D19">
        <w:rPr>
          <w:bCs/>
          <w:lang w:val="en-US"/>
        </w:rPr>
        <w:t xml:space="preserve"> national or local capacities for implementing the Convention, safeguarding specific living heritage practices</w:t>
      </w:r>
      <w:r w:rsidR="00424756" w:rsidRPr="00813D19">
        <w:rPr>
          <w:bCs/>
          <w:lang w:val="en-US"/>
        </w:rPr>
        <w:t>,</w:t>
      </w:r>
      <w:r w:rsidR="00256C76" w:rsidRPr="00813D19">
        <w:rPr>
          <w:bCs/>
          <w:lang w:val="en-US"/>
        </w:rPr>
        <w:t xml:space="preserve"> and foster</w:t>
      </w:r>
      <w:r w:rsidR="00424756" w:rsidRPr="00813D19">
        <w:rPr>
          <w:bCs/>
          <w:lang w:val="en-US"/>
        </w:rPr>
        <w:t>ing</w:t>
      </w:r>
      <w:r w:rsidR="00256C76" w:rsidRPr="00813D19">
        <w:rPr>
          <w:bCs/>
          <w:lang w:val="en-US"/>
        </w:rPr>
        <w:t xml:space="preserve"> the transmission of living </w:t>
      </w:r>
      <w:r w:rsidR="00256C76" w:rsidRPr="00813D19">
        <w:rPr>
          <w:bCs/>
          <w:lang w:val="en-US"/>
        </w:rPr>
        <w:lastRenderedPageBreak/>
        <w:t xml:space="preserve">heritage for education. </w:t>
      </w:r>
      <w:r w:rsidR="00B27D9E" w:rsidRPr="00813D19">
        <w:rPr>
          <w:bCs/>
          <w:lang w:val="en-US"/>
        </w:rPr>
        <w:t xml:space="preserve">Furthermore, for the first time, </w:t>
      </w:r>
      <w:r w:rsidR="00256C76" w:rsidRPr="00813D19">
        <w:rPr>
          <w:bCs/>
          <w:lang w:val="en-US"/>
        </w:rPr>
        <w:t xml:space="preserve">the Bureau </w:t>
      </w:r>
      <w:r w:rsidR="00225B11">
        <w:rPr>
          <w:bCs/>
          <w:lang w:val="en-US"/>
        </w:rPr>
        <w:t xml:space="preserve">had </w:t>
      </w:r>
      <w:r w:rsidR="00256C76" w:rsidRPr="00813D19">
        <w:rPr>
          <w:bCs/>
          <w:lang w:val="en-US"/>
        </w:rPr>
        <w:t xml:space="preserve">examined and approved three International Assistance requests in which States Parties requested International Assistance that partly </w:t>
      </w:r>
      <w:r w:rsidR="00474E23" w:rsidRPr="00813D19">
        <w:rPr>
          <w:bCs/>
          <w:lang w:val="en-US"/>
        </w:rPr>
        <w:t>took</w:t>
      </w:r>
      <w:r w:rsidR="00256C76" w:rsidRPr="00813D19">
        <w:rPr>
          <w:bCs/>
          <w:lang w:val="en-US"/>
        </w:rPr>
        <w:t xml:space="preserve"> the form of </w:t>
      </w:r>
      <w:r w:rsidR="00BB2E9F" w:rsidRPr="00813D19">
        <w:rPr>
          <w:bCs/>
          <w:lang w:val="en-US"/>
        </w:rPr>
        <w:t>services</w:t>
      </w:r>
      <w:r w:rsidR="00256C76" w:rsidRPr="00813D19">
        <w:rPr>
          <w:bCs/>
          <w:lang w:val="en-US"/>
        </w:rPr>
        <w:t xml:space="preserve"> </w:t>
      </w:r>
      <w:r w:rsidR="00BB2E9F" w:rsidRPr="00813D19">
        <w:rPr>
          <w:bCs/>
          <w:lang w:val="en-US"/>
        </w:rPr>
        <w:t xml:space="preserve">from </w:t>
      </w:r>
      <w:r w:rsidR="00225B11">
        <w:rPr>
          <w:bCs/>
          <w:lang w:val="en-US"/>
        </w:rPr>
        <w:t xml:space="preserve">the </w:t>
      </w:r>
      <w:r w:rsidR="00256C76" w:rsidRPr="00813D19">
        <w:rPr>
          <w:bCs/>
          <w:lang w:val="en-US"/>
        </w:rPr>
        <w:t>Secretariat to the State. In addition to the provision of a grant</w:t>
      </w:r>
      <w:r w:rsidR="00E650C1" w:rsidRPr="00813D19">
        <w:rPr>
          <w:bCs/>
          <w:lang w:val="en-US"/>
        </w:rPr>
        <w:t>,</w:t>
      </w:r>
      <w:r w:rsidR="00256C76" w:rsidRPr="00813D19">
        <w:rPr>
          <w:bCs/>
          <w:lang w:val="en-US"/>
        </w:rPr>
        <w:t xml:space="preserve"> the States concerned by this new modality </w:t>
      </w:r>
      <w:r w:rsidR="00474E23" w:rsidRPr="00813D19">
        <w:rPr>
          <w:bCs/>
          <w:lang w:val="en-US"/>
        </w:rPr>
        <w:t>were</w:t>
      </w:r>
      <w:r w:rsidR="00256C76" w:rsidRPr="00813D19">
        <w:rPr>
          <w:bCs/>
          <w:lang w:val="en-US"/>
        </w:rPr>
        <w:t xml:space="preserve"> the Democratic People’s Republic of Korea, Saint Kitts and Nevis and Senegal. For those projects</w:t>
      </w:r>
      <w:r w:rsidR="00E650C1" w:rsidRPr="00813D19">
        <w:rPr>
          <w:bCs/>
          <w:lang w:val="en-US"/>
        </w:rPr>
        <w:t>,</w:t>
      </w:r>
      <w:r w:rsidR="00256C76" w:rsidRPr="00813D19">
        <w:rPr>
          <w:bCs/>
          <w:lang w:val="en-US"/>
        </w:rPr>
        <w:t xml:space="preserve"> the UNESCO field officers in Beijing, Dakar and Kingston </w:t>
      </w:r>
      <w:r w:rsidR="00225B11">
        <w:rPr>
          <w:bCs/>
          <w:lang w:val="en-US"/>
        </w:rPr>
        <w:t>would</w:t>
      </w:r>
      <w:r w:rsidR="00225B11" w:rsidRPr="00813D19">
        <w:rPr>
          <w:bCs/>
          <w:lang w:val="en-US"/>
        </w:rPr>
        <w:t xml:space="preserve"> </w:t>
      </w:r>
      <w:r w:rsidR="00256C76" w:rsidRPr="00813D19">
        <w:rPr>
          <w:bCs/>
          <w:lang w:val="en-US"/>
        </w:rPr>
        <w:t xml:space="preserve">be partly implementing the projects </w:t>
      </w:r>
      <w:r w:rsidR="00E650C1" w:rsidRPr="00813D19">
        <w:rPr>
          <w:bCs/>
          <w:lang w:val="en-US"/>
        </w:rPr>
        <w:t xml:space="preserve">with expert </w:t>
      </w:r>
      <w:r w:rsidR="00813D19" w:rsidRPr="00813D19">
        <w:rPr>
          <w:bCs/>
          <w:lang w:val="en-US"/>
        </w:rPr>
        <w:t>services</w:t>
      </w:r>
      <w:r w:rsidR="00E650C1" w:rsidRPr="00813D19">
        <w:rPr>
          <w:bCs/>
          <w:lang w:val="en-US"/>
        </w:rPr>
        <w:t>, training, equipment and so on</w:t>
      </w:r>
      <w:r w:rsidR="00474E23" w:rsidRPr="00813D19">
        <w:rPr>
          <w:bCs/>
          <w:lang w:val="en-US"/>
        </w:rPr>
        <w:t>,</w:t>
      </w:r>
      <w:r w:rsidR="00E650C1" w:rsidRPr="00813D19">
        <w:rPr>
          <w:bCs/>
          <w:lang w:val="en-US"/>
        </w:rPr>
        <w:t xml:space="preserve"> </w:t>
      </w:r>
      <w:r w:rsidR="00256C76" w:rsidRPr="00813D19">
        <w:rPr>
          <w:bCs/>
          <w:lang w:val="en-US"/>
        </w:rPr>
        <w:t>with only part of the funds directly transmitted to the State.</w:t>
      </w:r>
    </w:p>
    <w:p w14:paraId="6D0784E6" w14:textId="6E9C97A5" w:rsidR="002113CA" w:rsidRPr="001928D5" w:rsidRDefault="00E650C1" w:rsidP="009F3B9E">
      <w:pPr>
        <w:pStyle w:val="Orateurengris"/>
        <w:spacing w:before="120"/>
        <w:ind w:left="709" w:hanging="709"/>
        <w:rPr>
          <w:bCs/>
          <w:color w:val="000000" w:themeColor="text1"/>
          <w:u w:val="single"/>
          <w:lang w:val="en-US"/>
        </w:rPr>
      </w:pPr>
      <w:r w:rsidRPr="002827E3">
        <w:rPr>
          <w:color w:val="000000" w:themeColor="text1"/>
          <w:lang w:val="en-US"/>
        </w:rPr>
        <w:t xml:space="preserve">The </w:t>
      </w:r>
      <w:r w:rsidRPr="002827E3">
        <w:rPr>
          <w:b/>
          <w:color w:val="000000" w:themeColor="text1"/>
          <w:lang w:val="en-US"/>
        </w:rPr>
        <w:t>Chairperson</w:t>
      </w:r>
      <w:r w:rsidRPr="00813D19">
        <w:rPr>
          <w:rFonts w:ascii="Helvetica" w:hAnsi="Helvetica" w:cs="Helvetica"/>
          <w:color w:val="000000" w:themeColor="text1"/>
          <w:lang w:val="en-US"/>
        </w:rPr>
        <w:t xml:space="preserve"> </w:t>
      </w:r>
      <w:r w:rsidR="00256C76" w:rsidRPr="00813D19">
        <w:rPr>
          <w:bCs/>
          <w:lang w:val="en-US"/>
        </w:rPr>
        <w:t>congratulate</w:t>
      </w:r>
      <w:r w:rsidRPr="00813D19">
        <w:rPr>
          <w:bCs/>
          <w:lang w:val="en-US"/>
        </w:rPr>
        <w:t>d</w:t>
      </w:r>
      <w:r w:rsidR="00256C76" w:rsidRPr="00813D19">
        <w:rPr>
          <w:bCs/>
          <w:lang w:val="en-US"/>
        </w:rPr>
        <w:t xml:space="preserve"> the </w:t>
      </w:r>
      <w:r w:rsidRPr="00813D19">
        <w:rPr>
          <w:bCs/>
          <w:lang w:val="en-US"/>
        </w:rPr>
        <w:t xml:space="preserve">beneficiary States, but he also spoke of the </w:t>
      </w:r>
      <w:r w:rsidR="00256C76" w:rsidRPr="00813D19">
        <w:rPr>
          <w:bCs/>
          <w:lang w:val="en-US"/>
        </w:rPr>
        <w:t xml:space="preserve">reality that many States encounter difficulties in preparing </w:t>
      </w:r>
      <w:r w:rsidR="00F76AE9">
        <w:rPr>
          <w:bCs/>
          <w:lang w:val="en-US"/>
        </w:rPr>
        <w:t>I</w:t>
      </w:r>
      <w:r w:rsidR="00256C76" w:rsidRPr="00813D19">
        <w:rPr>
          <w:bCs/>
          <w:lang w:val="en-US"/>
        </w:rPr>
        <w:t xml:space="preserve">nternational </w:t>
      </w:r>
      <w:r w:rsidR="00F76AE9">
        <w:rPr>
          <w:bCs/>
          <w:lang w:val="en-US"/>
        </w:rPr>
        <w:t>A</w:t>
      </w:r>
      <w:r w:rsidR="00F76AE9" w:rsidRPr="00813D19">
        <w:rPr>
          <w:bCs/>
          <w:lang w:val="en-US"/>
        </w:rPr>
        <w:t xml:space="preserve">ssistance </w:t>
      </w:r>
      <w:r w:rsidR="00256C76" w:rsidRPr="00813D19">
        <w:rPr>
          <w:bCs/>
          <w:lang w:val="en-US"/>
        </w:rPr>
        <w:t xml:space="preserve">requests </w:t>
      </w:r>
      <w:r w:rsidRPr="00813D19">
        <w:rPr>
          <w:bCs/>
          <w:lang w:val="en-US"/>
        </w:rPr>
        <w:t xml:space="preserve">to </w:t>
      </w:r>
      <w:r w:rsidR="00256C76" w:rsidRPr="00813D19">
        <w:rPr>
          <w:bCs/>
          <w:lang w:val="en-US"/>
        </w:rPr>
        <w:t xml:space="preserve">meet the criteria laid out in chapter 1.4 of the Operational Directives. Regrettably, seven requests </w:t>
      </w:r>
      <w:r w:rsidRPr="00813D19">
        <w:rPr>
          <w:bCs/>
          <w:lang w:val="en-US"/>
        </w:rPr>
        <w:t xml:space="preserve">were returned </w:t>
      </w:r>
      <w:r w:rsidR="00256C76" w:rsidRPr="00813D19">
        <w:rPr>
          <w:bCs/>
          <w:lang w:val="en-US"/>
        </w:rPr>
        <w:t>to the submitting States and one request</w:t>
      </w:r>
      <w:r w:rsidRPr="00813D19">
        <w:rPr>
          <w:bCs/>
          <w:lang w:val="en-US"/>
        </w:rPr>
        <w:t xml:space="preserve"> was not approved</w:t>
      </w:r>
      <w:r w:rsidR="00256C76" w:rsidRPr="00813D19">
        <w:rPr>
          <w:bCs/>
          <w:lang w:val="en-US"/>
        </w:rPr>
        <w:t xml:space="preserve">. The Bureau also initiated a discussion </w:t>
      </w:r>
      <w:r w:rsidRPr="00813D19">
        <w:rPr>
          <w:bCs/>
          <w:lang w:val="en-US"/>
        </w:rPr>
        <w:t xml:space="preserve">regarding </w:t>
      </w:r>
      <w:r w:rsidR="00256C76" w:rsidRPr="00813D19">
        <w:rPr>
          <w:bCs/>
          <w:lang w:val="en-US"/>
        </w:rPr>
        <w:t xml:space="preserve">the increasing number of International Assistance requests up to </w:t>
      </w:r>
      <w:r w:rsidRPr="00813D19">
        <w:rPr>
          <w:bCs/>
          <w:lang w:val="en-US"/>
        </w:rPr>
        <w:t>US</w:t>
      </w:r>
      <w:r w:rsidR="00256C76" w:rsidRPr="00813D19">
        <w:rPr>
          <w:bCs/>
          <w:lang w:val="en-US"/>
        </w:rPr>
        <w:t xml:space="preserve">$100,000 submitted by the same State Party either at the same time or </w:t>
      </w:r>
      <w:r w:rsidRPr="00813D19">
        <w:rPr>
          <w:bCs/>
          <w:lang w:val="en-US"/>
        </w:rPr>
        <w:t xml:space="preserve">in </w:t>
      </w:r>
      <w:r w:rsidR="00256C76" w:rsidRPr="00813D19">
        <w:rPr>
          <w:bCs/>
          <w:lang w:val="en-US"/>
        </w:rPr>
        <w:t xml:space="preserve">quick succession. </w:t>
      </w:r>
      <w:r w:rsidRPr="00813D19">
        <w:rPr>
          <w:bCs/>
          <w:lang w:val="en-US"/>
        </w:rPr>
        <w:t xml:space="preserve">Consequently, the </w:t>
      </w:r>
      <w:r w:rsidR="00256C76" w:rsidRPr="00813D19">
        <w:rPr>
          <w:bCs/>
          <w:lang w:val="en-US"/>
        </w:rPr>
        <w:t xml:space="preserve">Bureau requested that a specific item on multiple submissions of International Assistance requests be </w:t>
      </w:r>
      <w:r w:rsidR="00474E23" w:rsidRPr="00813D19">
        <w:rPr>
          <w:bCs/>
          <w:lang w:val="en-US"/>
        </w:rPr>
        <w:t xml:space="preserve">examined </w:t>
      </w:r>
      <w:r w:rsidR="00256C76" w:rsidRPr="00813D19">
        <w:rPr>
          <w:bCs/>
          <w:lang w:val="en-US"/>
        </w:rPr>
        <w:t xml:space="preserve">under </w:t>
      </w:r>
      <w:r w:rsidRPr="00813D19">
        <w:rPr>
          <w:bCs/>
          <w:lang w:val="en-US"/>
        </w:rPr>
        <w:t xml:space="preserve">agenda </w:t>
      </w:r>
      <w:r w:rsidR="00256C76" w:rsidRPr="00813D19">
        <w:rPr>
          <w:bCs/>
          <w:lang w:val="en-US"/>
        </w:rPr>
        <w:t>item 12. Other tha</w:t>
      </w:r>
      <w:r w:rsidRPr="00813D19">
        <w:rPr>
          <w:bCs/>
          <w:lang w:val="en-US"/>
        </w:rPr>
        <w:t xml:space="preserve">n financial assistance requests, </w:t>
      </w:r>
      <w:r w:rsidR="00256C76" w:rsidRPr="00813D19">
        <w:rPr>
          <w:bCs/>
          <w:lang w:val="en-US"/>
        </w:rPr>
        <w:t xml:space="preserve">the Bureau was </w:t>
      </w:r>
      <w:r w:rsidR="00F76AE9">
        <w:rPr>
          <w:bCs/>
          <w:lang w:val="en-US"/>
        </w:rPr>
        <w:t xml:space="preserve">also </w:t>
      </w:r>
      <w:r w:rsidR="00256C76" w:rsidRPr="00813D19">
        <w:rPr>
          <w:bCs/>
          <w:lang w:val="en-US"/>
        </w:rPr>
        <w:t xml:space="preserve">called upon to study important budgetary questions. </w:t>
      </w:r>
      <w:r w:rsidRPr="00813D19">
        <w:rPr>
          <w:bCs/>
          <w:lang w:val="en-US"/>
        </w:rPr>
        <w:t>B</w:t>
      </w:r>
      <w:r w:rsidR="00256C76" w:rsidRPr="00813D19">
        <w:rPr>
          <w:bCs/>
          <w:lang w:val="en-US"/>
        </w:rPr>
        <w:t xml:space="preserve">y its </w:t>
      </w:r>
      <w:r w:rsidR="003E7512">
        <w:rPr>
          <w:bCs/>
          <w:lang w:val="en-US"/>
        </w:rPr>
        <w:t>D</w:t>
      </w:r>
      <w:r w:rsidR="003E7512" w:rsidRPr="00813D19">
        <w:rPr>
          <w:bCs/>
          <w:lang w:val="en-US"/>
        </w:rPr>
        <w:t xml:space="preserve">ecision </w:t>
      </w:r>
      <w:r w:rsidR="00256C76" w:rsidRPr="00813D19">
        <w:rPr>
          <w:bCs/>
          <w:lang w:val="en-US"/>
        </w:rPr>
        <w:t>12.COM 7</w:t>
      </w:r>
      <w:r w:rsidRPr="00813D19">
        <w:rPr>
          <w:bCs/>
          <w:lang w:val="en-US"/>
        </w:rPr>
        <w:t xml:space="preserve">, the Committee </w:t>
      </w:r>
      <w:r w:rsidR="00256C76" w:rsidRPr="00813D19">
        <w:rPr>
          <w:bCs/>
          <w:lang w:val="en-US"/>
        </w:rPr>
        <w:t>delegated to its Bureau the authority to decide upon the utilizatio</w:t>
      </w:r>
      <w:r w:rsidR="00190954" w:rsidRPr="00813D19">
        <w:rPr>
          <w:bCs/>
          <w:lang w:val="en-US"/>
        </w:rPr>
        <w:t>n of the funds allocated under ‘</w:t>
      </w:r>
      <w:r w:rsidR="00256C76" w:rsidRPr="00813D19">
        <w:rPr>
          <w:bCs/>
          <w:lang w:val="en-US"/>
        </w:rPr>
        <w:t>o</w:t>
      </w:r>
      <w:r w:rsidR="001C0BBE" w:rsidRPr="00813D19">
        <w:rPr>
          <w:bCs/>
          <w:lang w:val="en-US"/>
        </w:rPr>
        <w:t>ther functions of the Committee</w:t>
      </w:r>
      <w:r w:rsidR="00190954" w:rsidRPr="00813D19">
        <w:rPr>
          <w:bCs/>
          <w:lang w:val="en-US"/>
        </w:rPr>
        <w:t>’</w:t>
      </w:r>
      <w:r w:rsidR="001C0BBE" w:rsidRPr="00813D19">
        <w:rPr>
          <w:bCs/>
          <w:lang w:val="en-US"/>
        </w:rPr>
        <w:t>.</w:t>
      </w:r>
      <w:r w:rsidR="00256C76" w:rsidRPr="00813D19">
        <w:rPr>
          <w:bCs/>
          <w:lang w:val="en-US"/>
        </w:rPr>
        <w:t xml:space="preserve"> </w:t>
      </w:r>
      <w:r w:rsidR="00B24E86">
        <w:rPr>
          <w:bCs/>
          <w:lang w:val="en-US"/>
        </w:rPr>
        <w:t>In 2018, t</w:t>
      </w:r>
      <w:r w:rsidR="00B24E86" w:rsidRPr="00813D19">
        <w:rPr>
          <w:bCs/>
          <w:lang w:val="en-US"/>
        </w:rPr>
        <w:t xml:space="preserve">he </w:t>
      </w:r>
      <w:r w:rsidR="00256C76" w:rsidRPr="00813D19">
        <w:rPr>
          <w:bCs/>
          <w:lang w:val="en-US"/>
        </w:rPr>
        <w:t>Bureau approved a plan for th</w:t>
      </w:r>
      <w:r w:rsidR="001C0BBE" w:rsidRPr="00813D19">
        <w:rPr>
          <w:bCs/>
          <w:lang w:val="en-US"/>
        </w:rPr>
        <w:t xml:space="preserve">e utilization of the Funds for </w:t>
      </w:r>
      <w:r w:rsidR="00256C76" w:rsidRPr="00813D19">
        <w:rPr>
          <w:bCs/>
          <w:lang w:val="en-US"/>
        </w:rPr>
        <w:t>o</w:t>
      </w:r>
      <w:r w:rsidR="001C0BBE" w:rsidRPr="00813D19">
        <w:rPr>
          <w:bCs/>
          <w:lang w:val="en-US"/>
        </w:rPr>
        <w:t>ther functions of the Committee</w:t>
      </w:r>
      <w:r w:rsidR="00256C76" w:rsidRPr="00813D19">
        <w:rPr>
          <w:bCs/>
          <w:lang w:val="en-US"/>
        </w:rPr>
        <w:t xml:space="preserve"> for </w:t>
      </w:r>
      <w:r w:rsidR="00B24E86">
        <w:rPr>
          <w:bCs/>
          <w:lang w:val="en-US"/>
        </w:rPr>
        <w:t>the</w:t>
      </w:r>
      <w:r w:rsidR="00B24E86" w:rsidRPr="00813D19">
        <w:rPr>
          <w:bCs/>
          <w:lang w:val="en-US"/>
        </w:rPr>
        <w:t xml:space="preserve"> </w:t>
      </w:r>
      <w:r w:rsidR="00256C76" w:rsidRPr="00813D19">
        <w:rPr>
          <w:bCs/>
          <w:lang w:val="en-US"/>
        </w:rPr>
        <w:t xml:space="preserve">period 1 January 2018 to 31 December 2019 based on a proposal prepared by the Secretariat and </w:t>
      </w:r>
      <w:r w:rsidRPr="00813D19">
        <w:rPr>
          <w:bCs/>
          <w:lang w:val="en-US"/>
        </w:rPr>
        <w:t>corresponding</w:t>
      </w:r>
      <w:r w:rsidR="00256C76" w:rsidRPr="00813D19">
        <w:rPr>
          <w:bCs/>
          <w:lang w:val="en-US"/>
        </w:rPr>
        <w:t xml:space="preserve"> to </w:t>
      </w:r>
      <w:r w:rsidRPr="00813D19">
        <w:rPr>
          <w:bCs/>
          <w:lang w:val="en-US"/>
        </w:rPr>
        <w:t>US</w:t>
      </w:r>
      <w:r w:rsidR="00256C76" w:rsidRPr="00813D19">
        <w:rPr>
          <w:bCs/>
          <w:lang w:val="en-US"/>
        </w:rPr>
        <w:t xml:space="preserve">$1,718,184. Finally, </w:t>
      </w:r>
      <w:r w:rsidRPr="00813D19">
        <w:rPr>
          <w:bCs/>
          <w:lang w:val="en-US"/>
        </w:rPr>
        <w:t xml:space="preserve">the Bureau </w:t>
      </w:r>
      <w:r w:rsidR="00256C76" w:rsidRPr="00813D19">
        <w:rPr>
          <w:bCs/>
          <w:lang w:val="en-US"/>
        </w:rPr>
        <w:t>approve</w:t>
      </w:r>
      <w:r w:rsidRPr="00813D19">
        <w:rPr>
          <w:bCs/>
          <w:lang w:val="en-US"/>
        </w:rPr>
        <w:t>d</w:t>
      </w:r>
      <w:r w:rsidR="00256C76" w:rsidRPr="00813D19">
        <w:rPr>
          <w:bCs/>
          <w:lang w:val="en-US"/>
        </w:rPr>
        <w:t xml:space="preserve"> the timetable of the current session, which was presented on 2 October </w:t>
      </w:r>
      <w:r w:rsidRPr="00813D19">
        <w:rPr>
          <w:bCs/>
          <w:lang w:val="en-US"/>
        </w:rPr>
        <w:t xml:space="preserve">2018 </w:t>
      </w:r>
      <w:r w:rsidR="00256C76" w:rsidRPr="00813D19">
        <w:rPr>
          <w:bCs/>
          <w:lang w:val="en-US"/>
        </w:rPr>
        <w:t xml:space="preserve">during the information and exchange sessions. </w:t>
      </w:r>
      <w:r w:rsidRPr="00813D19">
        <w:rPr>
          <w:bCs/>
          <w:lang w:val="en-US"/>
        </w:rPr>
        <w:t xml:space="preserve">With regard to </w:t>
      </w:r>
      <w:r w:rsidR="00256C76" w:rsidRPr="00813D19">
        <w:rPr>
          <w:bCs/>
          <w:lang w:val="en-US"/>
        </w:rPr>
        <w:t>transparency</w:t>
      </w:r>
      <w:r w:rsidRPr="00813D19">
        <w:rPr>
          <w:bCs/>
          <w:lang w:val="en-US"/>
        </w:rPr>
        <w:t xml:space="preserve"> in </w:t>
      </w:r>
      <w:r w:rsidR="00256C76" w:rsidRPr="00813D19">
        <w:rPr>
          <w:bCs/>
          <w:lang w:val="en-US"/>
        </w:rPr>
        <w:t>the organization</w:t>
      </w:r>
      <w:r w:rsidRPr="00813D19">
        <w:rPr>
          <w:bCs/>
          <w:lang w:val="en-US"/>
        </w:rPr>
        <w:t xml:space="preserve"> of the meeting of this Bureau, the Chairperson explained that i</w:t>
      </w:r>
      <w:r w:rsidR="00256C76" w:rsidRPr="00813D19">
        <w:rPr>
          <w:bCs/>
          <w:lang w:val="en-US"/>
        </w:rPr>
        <w:t>n accordance</w:t>
      </w:r>
      <w:r w:rsidRPr="00813D19">
        <w:rPr>
          <w:bCs/>
          <w:lang w:val="en-US"/>
        </w:rPr>
        <w:t xml:space="preserve"> with Recommendation 69 of the O</w:t>
      </w:r>
      <w:r w:rsidR="00256C76" w:rsidRPr="00813D19">
        <w:rPr>
          <w:bCs/>
          <w:lang w:val="en-US"/>
        </w:rPr>
        <w:t>pen</w:t>
      </w:r>
      <w:r w:rsidRPr="00813D19">
        <w:rPr>
          <w:bCs/>
          <w:lang w:val="en-US"/>
        </w:rPr>
        <w:t>-ended Working G</w:t>
      </w:r>
      <w:r w:rsidR="00256C76" w:rsidRPr="00813D19">
        <w:rPr>
          <w:bCs/>
          <w:lang w:val="en-US"/>
        </w:rPr>
        <w:t xml:space="preserve">roup on </w:t>
      </w:r>
      <w:r w:rsidRPr="00813D19">
        <w:rPr>
          <w:bCs/>
          <w:lang w:val="en-US"/>
        </w:rPr>
        <w:t>G</w:t>
      </w:r>
      <w:r w:rsidR="00256C76" w:rsidRPr="00813D19">
        <w:rPr>
          <w:bCs/>
          <w:lang w:val="en-US"/>
        </w:rPr>
        <w:t>overnance, when a Bureau meeting is convened</w:t>
      </w:r>
      <w:r w:rsidRPr="00813D19">
        <w:rPr>
          <w:bCs/>
          <w:lang w:val="en-US"/>
        </w:rPr>
        <w:t>,</w:t>
      </w:r>
      <w:r w:rsidR="00256C76" w:rsidRPr="00813D19">
        <w:rPr>
          <w:bCs/>
          <w:lang w:val="en-US"/>
        </w:rPr>
        <w:t xml:space="preserve"> the Secretariat asks Bureau members to communicate the date and venue of the Bureau m</w:t>
      </w:r>
      <w:r w:rsidRPr="00813D19">
        <w:rPr>
          <w:bCs/>
          <w:lang w:val="en-US"/>
        </w:rPr>
        <w:t>eeting within their respective Electoral G</w:t>
      </w:r>
      <w:r w:rsidR="00256C76" w:rsidRPr="00813D19">
        <w:rPr>
          <w:bCs/>
          <w:lang w:val="en-US"/>
        </w:rPr>
        <w:t xml:space="preserve">roup. Furthermore, the agenda, documents and decisions of each meeting of the Committee are published online for consultation. In addition, the Secretariat shares the decisions of the Bureau with all Committee Members through an email communication. </w:t>
      </w:r>
      <w:r w:rsidRPr="00813D19">
        <w:rPr>
          <w:bCs/>
          <w:lang w:val="en-US"/>
        </w:rPr>
        <w:t xml:space="preserve">The Chairperson opened the floor for </w:t>
      </w:r>
      <w:r w:rsidR="00256C76" w:rsidRPr="00813D19">
        <w:rPr>
          <w:bCs/>
          <w:lang w:val="en-US"/>
        </w:rPr>
        <w:t>comments</w:t>
      </w:r>
      <w:r w:rsidRPr="00813D19">
        <w:rPr>
          <w:bCs/>
          <w:lang w:val="en-US"/>
        </w:rPr>
        <w:t>.</w:t>
      </w:r>
    </w:p>
    <w:p w14:paraId="2B4B43C2" w14:textId="41D205A0" w:rsidR="000746B9" w:rsidRPr="000B6D83" w:rsidRDefault="00C46125" w:rsidP="002E0D57">
      <w:pPr>
        <w:pStyle w:val="Orateurengris"/>
        <w:spacing w:before="120"/>
        <w:ind w:left="709" w:hanging="709"/>
        <w:rPr>
          <w:bCs/>
          <w:color w:val="000000" w:themeColor="text1"/>
          <w:u w:val="single"/>
          <w:lang w:val="en-US"/>
        </w:rPr>
      </w:pPr>
      <w:r w:rsidRPr="002827E3">
        <w:rPr>
          <w:color w:val="000000" w:themeColor="text1"/>
          <w:lang w:val="en-US"/>
        </w:rPr>
        <w:t>The</w:t>
      </w:r>
      <w:r w:rsidRPr="002827E3">
        <w:rPr>
          <w:b/>
          <w:color w:val="000000" w:themeColor="text1"/>
          <w:lang w:val="en-US"/>
        </w:rPr>
        <w:t xml:space="preserve"> delegation of Senegal </w:t>
      </w:r>
      <w:r w:rsidR="000746B9" w:rsidRPr="002827E3">
        <w:rPr>
          <w:color w:val="000000" w:themeColor="text1"/>
          <w:lang w:val="en-US"/>
        </w:rPr>
        <w:t>began by thanking the host country for its warm hospitality, and the Secretariat for its availability and support over the past two years in the implementation of its pre-inventory project, which would be</w:t>
      </w:r>
      <w:r w:rsidR="005B4047" w:rsidRPr="002827E3">
        <w:rPr>
          <w:color w:val="000000" w:themeColor="text1"/>
          <w:lang w:val="en-US"/>
        </w:rPr>
        <w:t xml:space="preserve"> </w:t>
      </w:r>
      <w:r w:rsidR="000746B9" w:rsidRPr="002827E3">
        <w:rPr>
          <w:color w:val="000000" w:themeColor="text1"/>
          <w:lang w:val="en-US"/>
        </w:rPr>
        <w:t>reinforced by the assistance newly</w:t>
      </w:r>
      <w:r w:rsidR="001C0BBE" w:rsidRPr="002827E3">
        <w:rPr>
          <w:color w:val="000000" w:themeColor="text1"/>
          <w:lang w:val="en-US"/>
        </w:rPr>
        <w:t xml:space="preserve"> granted by the Bureau </w:t>
      </w:r>
      <w:r w:rsidR="000746B9" w:rsidRPr="002827E3">
        <w:rPr>
          <w:color w:val="000000" w:themeColor="text1"/>
          <w:lang w:val="en-US"/>
        </w:rPr>
        <w:t>for which it was grateful. This assistance would not only help in establishing an inventory, it would also strengthen national capacities in preparing safeguarding plans, and in the development of education modules in the testing phase at the school level. This important work would continue to be carried out alongside the UNESCO Dakar office</w:t>
      </w:r>
      <w:r w:rsidR="005B4047" w:rsidRPr="002827E3">
        <w:rPr>
          <w:color w:val="000000" w:themeColor="text1"/>
          <w:lang w:val="en-US"/>
        </w:rPr>
        <w:t xml:space="preserve">, with which the country had enjoyed a </w:t>
      </w:r>
      <w:r w:rsidR="000746B9" w:rsidRPr="002827E3">
        <w:rPr>
          <w:color w:val="000000" w:themeColor="text1"/>
          <w:lang w:val="en-US"/>
        </w:rPr>
        <w:t xml:space="preserve">long-standing partnership. </w:t>
      </w:r>
      <w:r w:rsidR="005B4047" w:rsidRPr="002827E3">
        <w:rPr>
          <w:color w:val="000000" w:themeColor="text1"/>
          <w:lang w:val="en-US"/>
        </w:rPr>
        <w:t>In this regard, t</w:t>
      </w:r>
      <w:r w:rsidR="000746B9" w:rsidRPr="002827E3">
        <w:rPr>
          <w:color w:val="000000" w:themeColor="text1"/>
          <w:lang w:val="en-US"/>
        </w:rPr>
        <w:t xml:space="preserve">he delegation would </w:t>
      </w:r>
      <w:r w:rsidR="005B4047" w:rsidRPr="002827E3">
        <w:rPr>
          <w:color w:val="000000" w:themeColor="text1"/>
          <w:lang w:val="en-US"/>
        </w:rPr>
        <w:t xml:space="preserve">later present a video of the concrete work being carried out, and concluded its remarks by once again </w:t>
      </w:r>
      <w:r w:rsidR="00813D19" w:rsidRPr="002827E3">
        <w:rPr>
          <w:color w:val="000000" w:themeColor="text1"/>
          <w:lang w:val="en-US"/>
        </w:rPr>
        <w:t>thanking</w:t>
      </w:r>
      <w:r w:rsidR="005B4047" w:rsidRPr="002827E3">
        <w:rPr>
          <w:color w:val="000000" w:themeColor="text1"/>
          <w:lang w:val="en-US"/>
        </w:rPr>
        <w:t xml:space="preserve"> the Burea</w:t>
      </w:r>
      <w:r w:rsidR="001C0BBE" w:rsidRPr="002827E3">
        <w:rPr>
          <w:color w:val="000000" w:themeColor="text1"/>
          <w:lang w:val="en-US"/>
        </w:rPr>
        <w:t>u</w:t>
      </w:r>
      <w:r w:rsidR="005B4047" w:rsidRPr="002827E3">
        <w:rPr>
          <w:color w:val="000000" w:themeColor="text1"/>
          <w:lang w:val="en-US"/>
        </w:rPr>
        <w:t xml:space="preserve"> </w:t>
      </w:r>
      <w:r w:rsidR="000746B9" w:rsidRPr="002827E3">
        <w:rPr>
          <w:color w:val="000000" w:themeColor="text1"/>
          <w:lang w:val="en-US"/>
        </w:rPr>
        <w:t xml:space="preserve">for </w:t>
      </w:r>
      <w:r w:rsidR="001C0BBE" w:rsidRPr="002827E3">
        <w:rPr>
          <w:color w:val="000000" w:themeColor="text1"/>
          <w:lang w:val="en-US"/>
        </w:rPr>
        <w:t>approving</w:t>
      </w:r>
      <w:r w:rsidR="005B4047" w:rsidRPr="002827E3">
        <w:rPr>
          <w:color w:val="000000" w:themeColor="text1"/>
          <w:lang w:val="en-US"/>
        </w:rPr>
        <w:t xml:space="preserve"> its </w:t>
      </w:r>
      <w:r w:rsidR="000746B9" w:rsidRPr="002827E3">
        <w:rPr>
          <w:color w:val="000000" w:themeColor="text1"/>
          <w:lang w:val="en-US"/>
        </w:rPr>
        <w:t xml:space="preserve">assistance </w:t>
      </w:r>
      <w:r w:rsidR="005B4047" w:rsidRPr="002827E3">
        <w:rPr>
          <w:color w:val="000000" w:themeColor="text1"/>
          <w:lang w:val="en-US"/>
        </w:rPr>
        <w:t>request</w:t>
      </w:r>
      <w:r w:rsidR="000746B9" w:rsidRPr="002827E3">
        <w:rPr>
          <w:color w:val="000000" w:themeColor="text1"/>
          <w:lang w:val="en-US"/>
        </w:rPr>
        <w:t>.</w:t>
      </w:r>
    </w:p>
    <w:p w14:paraId="7AD628B2" w14:textId="1286F95E" w:rsidR="00185B59" w:rsidRPr="000B6D83" w:rsidRDefault="002E0D57" w:rsidP="002E0D57">
      <w:pPr>
        <w:pStyle w:val="Orateurengris"/>
        <w:spacing w:before="120"/>
        <w:ind w:left="709" w:hanging="709"/>
        <w:rPr>
          <w:bCs/>
          <w:color w:val="000000" w:themeColor="text1"/>
          <w:u w:val="single"/>
          <w:lang w:val="en-US"/>
        </w:rPr>
      </w:pPr>
      <w:r w:rsidRPr="000B6D83">
        <w:rPr>
          <w:color w:val="000000" w:themeColor="text1"/>
          <w:lang w:val="en-US"/>
        </w:rPr>
        <w:t>The</w:t>
      </w:r>
      <w:r w:rsidRPr="000B6D83">
        <w:rPr>
          <w:b/>
          <w:color w:val="000000" w:themeColor="text1"/>
          <w:lang w:val="en-US"/>
        </w:rPr>
        <w:t xml:space="preserve"> </w:t>
      </w:r>
      <w:r w:rsidRPr="002827E3">
        <w:rPr>
          <w:b/>
          <w:color w:val="000000" w:themeColor="text1"/>
          <w:lang w:val="en-US"/>
        </w:rPr>
        <w:t>delegation of Djibouti</w:t>
      </w:r>
      <w:r w:rsidR="00256C76" w:rsidRPr="002827E3">
        <w:rPr>
          <w:b/>
          <w:color w:val="000000" w:themeColor="text1"/>
          <w:lang w:val="en-US"/>
        </w:rPr>
        <w:t xml:space="preserve"> </w:t>
      </w:r>
      <w:r w:rsidR="00802BB0" w:rsidRPr="002827E3">
        <w:rPr>
          <w:color w:val="000000" w:themeColor="text1"/>
          <w:lang w:val="en-US"/>
        </w:rPr>
        <w:t xml:space="preserve">expressed </w:t>
      </w:r>
      <w:r w:rsidR="00B24E86" w:rsidRPr="002827E3">
        <w:rPr>
          <w:color w:val="000000" w:themeColor="text1"/>
          <w:lang w:val="en-US"/>
        </w:rPr>
        <w:t xml:space="preserve">its </w:t>
      </w:r>
      <w:r w:rsidR="00802BB0" w:rsidRPr="002827E3">
        <w:rPr>
          <w:color w:val="000000" w:themeColor="text1"/>
          <w:lang w:val="en-US"/>
        </w:rPr>
        <w:t xml:space="preserve">thanks </w:t>
      </w:r>
      <w:r w:rsidR="00185B59" w:rsidRPr="002827E3">
        <w:rPr>
          <w:color w:val="000000" w:themeColor="text1"/>
          <w:lang w:val="en-US"/>
        </w:rPr>
        <w:t xml:space="preserve">to the Government of Mauritius and the Minister of Arts and Culture for </w:t>
      </w:r>
      <w:r w:rsidR="00802BB0" w:rsidRPr="002827E3">
        <w:rPr>
          <w:color w:val="000000" w:themeColor="text1"/>
          <w:lang w:val="en-US"/>
        </w:rPr>
        <w:t xml:space="preserve">their kind and warm </w:t>
      </w:r>
      <w:r w:rsidR="00185B59" w:rsidRPr="002827E3">
        <w:rPr>
          <w:color w:val="000000" w:themeColor="text1"/>
          <w:lang w:val="en-US"/>
        </w:rPr>
        <w:t>hospitality</w:t>
      </w:r>
      <w:r w:rsidR="00C24FCF" w:rsidRPr="002827E3">
        <w:rPr>
          <w:color w:val="000000" w:themeColor="text1"/>
          <w:lang w:val="en-US"/>
        </w:rPr>
        <w:t>, congratulating the S</w:t>
      </w:r>
      <w:r w:rsidR="00185B59" w:rsidRPr="002827E3">
        <w:rPr>
          <w:color w:val="000000" w:themeColor="text1"/>
          <w:lang w:val="en-US"/>
        </w:rPr>
        <w:t xml:space="preserve">ecretariat for </w:t>
      </w:r>
      <w:r w:rsidR="00C24FCF" w:rsidRPr="002827E3">
        <w:rPr>
          <w:color w:val="000000" w:themeColor="text1"/>
          <w:lang w:val="en-US"/>
        </w:rPr>
        <w:t xml:space="preserve">its </w:t>
      </w:r>
      <w:r w:rsidR="00185B59" w:rsidRPr="002827E3">
        <w:rPr>
          <w:color w:val="000000" w:themeColor="text1"/>
          <w:lang w:val="en-US"/>
        </w:rPr>
        <w:t>excellent work and organization</w:t>
      </w:r>
      <w:r w:rsidR="00C24FCF" w:rsidRPr="002827E3">
        <w:rPr>
          <w:color w:val="000000" w:themeColor="text1"/>
          <w:lang w:val="en-US"/>
        </w:rPr>
        <w:t xml:space="preserve">. </w:t>
      </w:r>
      <w:r w:rsidR="001C0BBE" w:rsidRPr="002827E3">
        <w:rPr>
          <w:color w:val="000000" w:themeColor="text1"/>
          <w:lang w:val="en-US"/>
        </w:rPr>
        <w:t>I</w:t>
      </w:r>
      <w:r w:rsidR="00C24FCF" w:rsidRPr="002827E3">
        <w:rPr>
          <w:color w:val="000000" w:themeColor="text1"/>
          <w:lang w:val="en-US"/>
        </w:rPr>
        <w:t xml:space="preserve">t </w:t>
      </w:r>
      <w:r w:rsidR="001C0BBE" w:rsidRPr="002827E3">
        <w:rPr>
          <w:color w:val="000000" w:themeColor="text1"/>
          <w:lang w:val="en-US"/>
        </w:rPr>
        <w:t xml:space="preserve">also </w:t>
      </w:r>
      <w:r w:rsidR="00185B59" w:rsidRPr="002827E3">
        <w:rPr>
          <w:color w:val="000000" w:themeColor="text1"/>
          <w:lang w:val="en-US"/>
        </w:rPr>
        <w:t>thank</w:t>
      </w:r>
      <w:r w:rsidR="00C24FCF" w:rsidRPr="002827E3">
        <w:rPr>
          <w:color w:val="000000" w:themeColor="text1"/>
          <w:lang w:val="en-US"/>
        </w:rPr>
        <w:t>ed</w:t>
      </w:r>
      <w:r w:rsidR="00185B59" w:rsidRPr="002827E3">
        <w:rPr>
          <w:color w:val="000000" w:themeColor="text1"/>
          <w:lang w:val="en-US"/>
        </w:rPr>
        <w:t xml:space="preserve"> all the States that </w:t>
      </w:r>
      <w:r w:rsidR="00C24FCF" w:rsidRPr="002827E3">
        <w:rPr>
          <w:color w:val="000000" w:themeColor="text1"/>
          <w:lang w:val="en-US"/>
        </w:rPr>
        <w:t xml:space="preserve">had </w:t>
      </w:r>
      <w:r w:rsidR="00185B59" w:rsidRPr="002827E3">
        <w:rPr>
          <w:color w:val="000000" w:themeColor="text1"/>
          <w:lang w:val="en-US"/>
        </w:rPr>
        <w:t xml:space="preserve">supported </w:t>
      </w:r>
      <w:r w:rsidR="00C24FCF" w:rsidRPr="002827E3">
        <w:rPr>
          <w:color w:val="000000" w:themeColor="text1"/>
          <w:lang w:val="en-US"/>
        </w:rPr>
        <w:t xml:space="preserve">its </w:t>
      </w:r>
      <w:r w:rsidR="00185B59" w:rsidRPr="002827E3">
        <w:rPr>
          <w:color w:val="000000" w:themeColor="text1"/>
          <w:lang w:val="en-US"/>
        </w:rPr>
        <w:t>election to the Committee in June 2018. In this regard, with the help of UNESCO</w:t>
      </w:r>
      <w:r w:rsidR="00C24FCF" w:rsidRPr="002827E3">
        <w:rPr>
          <w:color w:val="000000" w:themeColor="text1"/>
          <w:lang w:val="en-US"/>
        </w:rPr>
        <w:t xml:space="preserve">, Djibouti had conducted an </w:t>
      </w:r>
      <w:r w:rsidR="00185B59" w:rsidRPr="002827E3">
        <w:rPr>
          <w:color w:val="000000" w:themeColor="text1"/>
          <w:lang w:val="en-US"/>
        </w:rPr>
        <w:t xml:space="preserve">awareness-raising workshop on the implementation of the Convention in June 2018. At the end of this workshop, another project was formulated </w:t>
      </w:r>
      <w:r w:rsidR="00C24FCF" w:rsidRPr="002827E3">
        <w:rPr>
          <w:color w:val="000000" w:themeColor="text1"/>
          <w:lang w:val="en-US"/>
        </w:rPr>
        <w:t xml:space="preserve">to </w:t>
      </w:r>
      <w:r w:rsidR="001C0BBE" w:rsidRPr="002827E3">
        <w:rPr>
          <w:color w:val="000000" w:themeColor="text1"/>
          <w:lang w:val="en-US"/>
        </w:rPr>
        <w:t>request I</w:t>
      </w:r>
      <w:r w:rsidR="00185B59" w:rsidRPr="002827E3">
        <w:rPr>
          <w:color w:val="000000" w:themeColor="text1"/>
          <w:lang w:val="en-US"/>
        </w:rPr>
        <w:t>nternat</w:t>
      </w:r>
      <w:r w:rsidR="001C0BBE" w:rsidRPr="002827E3">
        <w:rPr>
          <w:color w:val="000000" w:themeColor="text1"/>
          <w:lang w:val="en-US"/>
        </w:rPr>
        <w:t>ional A</w:t>
      </w:r>
      <w:r w:rsidR="00C24FCF" w:rsidRPr="002827E3">
        <w:rPr>
          <w:color w:val="000000" w:themeColor="text1"/>
          <w:lang w:val="en-US"/>
        </w:rPr>
        <w:t>ssistance of less than US$100,000</w:t>
      </w:r>
      <w:r w:rsidR="00185B59" w:rsidRPr="002827E3">
        <w:rPr>
          <w:color w:val="000000" w:themeColor="text1"/>
          <w:lang w:val="en-US"/>
        </w:rPr>
        <w:t xml:space="preserve"> with a view to strengthening the Convention at the national level. Djibouti </w:t>
      </w:r>
      <w:r w:rsidR="002878DC" w:rsidRPr="002827E3">
        <w:rPr>
          <w:color w:val="000000" w:themeColor="text1"/>
          <w:lang w:val="en-US"/>
        </w:rPr>
        <w:t xml:space="preserve">had </w:t>
      </w:r>
      <w:r w:rsidR="001C0BBE" w:rsidRPr="002827E3">
        <w:rPr>
          <w:color w:val="000000" w:themeColor="text1"/>
          <w:lang w:val="en-US"/>
        </w:rPr>
        <w:t>ratified the Convention in 2017</w:t>
      </w:r>
      <w:r w:rsidR="00185B59" w:rsidRPr="002827E3">
        <w:rPr>
          <w:color w:val="000000" w:themeColor="text1"/>
          <w:lang w:val="en-US"/>
        </w:rPr>
        <w:t xml:space="preserve"> and </w:t>
      </w:r>
      <w:r w:rsidR="002878DC" w:rsidRPr="002827E3">
        <w:rPr>
          <w:color w:val="000000" w:themeColor="text1"/>
          <w:lang w:val="en-US"/>
        </w:rPr>
        <w:t xml:space="preserve">it took note of the </w:t>
      </w:r>
      <w:r w:rsidR="00185B59" w:rsidRPr="002827E3">
        <w:rPr>
          <w:color w:val="000000" w:themeColor="text1"/>
          <w:lang w:val="en-US"/>
        </w:rPr>
        <w:t xml:space="preserve">reform </w:t>
      </w:r>
      <w:r w:rsidR="002878DC" w:rsidRPr="002827E3">
        <w:rPr>
          <w:color w:val="000000" w:themeColor="text1"/>
          <w:lang w:val="en-US"/>
        </w:rPr>
        <w:t>of the periodic reports mechanism</w:t>
      </w:r>
      <w:r w:rsidR="00185B59" w:rsidRPr="002827E3">
        <w:rPr>
          <w:color w:val="000000" w:themeColor="text1"/>
          <w:lang w:val="en-US"/>
        </w:rPr>
        <w:t xml:space="preserve">, </w:t>
      </w:r>
      <w:r w:rsidR="002878DC" w:rsidRPr="002827E3">
        <w:rPr>
          <w:color w:val="000000" w:themeColor="text1"/>
          <w:lang w:val="en-US"/>
        </w:rPr>
        <w:t xml:space="preserve">adding that States should be informed of the </w:t>
      </w:r>
      <w:r w:rsidR="00185B59" w:rsidRPr="002827E3">
        <w:rPr>
          <w:color w:val="000000" w:themeColor="text1"/>
          <w:lang w:val="en-US"/>
        </w:rPr>
        <w:t xml:space="preserve">frequency of </w:t>
      </w:r>
      <w:r w:rsidR="002878DC" w:rsidRPr="002827E3">
        <w:rPr>
          <w:color w:val="000000" w:themeColor="text1"/>
          <w:lang w:val="en-US"/>
        </w:rPr>
        <w:t>Bureau meetings so as</w:t>
      </w:r>
      <w:r w:rsidR="00185B59" w:rsidRPr="002827E3">
        <w:rPr>
          <w:color w:val="000000" w:themeColor="text1"/>
          <w:lang w:val="en-US"/>
        </w:rPr>
        <w:t xml:space="preserve"> to </w:t>
      </w:r>
      <w:r w:rsidR="002878DC" w:rsidRPr="002827E3">
        <w:rPr>
          <w:color w:val="000000" w:themeColor="text1"/>
          <w:lang w:val="en-US"/>
        </w:rPr>
        <w:t xml:space="preserve">anticipate the response time for </w:t>
      </w:r>
      <w:r w:rsidR="00185B59" w:rsidRPr="002827E3">
        <w:rPr>
          <w:color w:val="000000" w:themeColor="text1"/>
          <w:lang w:val="en-US"/>
        </w:rPr>
        <w:t>a request.</w:t>
      </w:r>
    </w:p>
    <w:p w14:paraId="295BD9AE" w14:textId="0380CE95" w:rsidR="002E0D57" w:rsidRPr="001928D5" w:rsidRDefault="00B571F9" w:rsidP="001928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Cuba</w:t>
      </w:r>
      <w:r w:rsidR="00256C76" w:rsidRPr="00813D19">
        <w:rPr>
          <w:b/>
          <w:color w:val="000000" w:themeColor="text1"/>
          <w:lang w:val="en-US"/>
        </w:rPr>
        <w:t xml:space="preserve"> </w:t>
      </w:r>
      <w:r w:rsidR="00256C76" w:rsidRPr="00813D19">
        <w:rPr>
          <w:bCs/>
          <w:lang w:val="en-US"/>
        </w:rPr>
        <w:t>thank</w:t>
      </w:r>
      <w:r w:rsidR="002878DC" w:rsidRPr="00813D19">
        <w:rPr>
          <w:bCs/>
          <w:lang w:val="en-US"/>
        </w:rPr>
        <w:t>ed</w:t>
      </w:r>
      <w:r w:rsidR="00256C76" w:rsidRPr="00813D19">
        <w:rPr>
          <w:bCs/>
          <w:lang w:val="en-US"/>
        </w:rPr>
        <w:t xml:space="preserve"> Mauritius for </w:t>
      </w:r>
      <w:r w:rsidR="002878DC" w:rsidRPr="00813D19">
        <w:rPr>
          <w:bCs/>
          <w:lang w:val="en-US"/>
        </w:rPr>
        <w:t xml:space="preserve">its </w:t>
      </w:r>
      <w:r w:rsidR="00256C76" w:rsidRPr="00813D19">
        <w:rPr>
          <w:bCs/>
          <w:lang w:val="en-US"/>
        </w:rPr>
        <w:t xml:space="preserve">warm welcome and for hosting </w:t>
      </w:r>
      <w:r w:rsidR="002878DC" w:rsidRPr="00813D19">
        <w:rPr>
          <w:bCs/>
          <w:lang w:val="en-US"/>
        </w:rPr>
        <w:t xml:space="preserve">the </w:t>
      </w:r>
      <w:r w:rsidR="00256C76" w:rsidRPr="00813D19">
        <w:rPr>
          <w:bCs/>
          <w:lang w:val="en-US"/>
        </w:rPr>
        <w:t xml:space="preserve">thirteenth session of the Committee. </w:t>
      </w:r>
      <w:r w:rsidR="002878DC" w:rsidRPr="00813D19">
        <w:rPr>
          <w:bCs/>
          <w:lang w:val="en-US"/>
        </w:rPr>
        <w:t xml:space="preserve">It also </w:t>
      </w:r>
      <w:r w:rsidR="00256C76" w:rsidRPr="00813D19">
        <w:rPr>
          <w:bCs/>
          <w:lang w:val="en-US"/>
        </w:rPr>
        <w:t>thank</w:t>
      </w:r>
      <w:r w:rsidR="002878DC" w:rsidRPr="00813D19">
        <w:rPr>
          <w:bCs/>
          <w:lang w:val="en-US"/>
        </w:rPr>
        <w:t>ed</w:t>
      </w:r>
      <w:r w:rsidR="00256C76" w:rsidRPr="00813D19">
        <w:rPr>
          <w:bCs/>
          <w:lang w:val="en-US"/>
        </w:rPr>
        <w:t xml:space="preserve"> Spain for making interpretation </w:t>
      </w:r>
      <w:r w:rsidR="002878DC" w:rsidRPr="00813D19">
        <w:rPr>
          <w:bCs/>
          <w:lang w:val="en-US"/>
        </w:rPr>
        <w:t xml:space="preserve">in </w:t>
      </w:r>
      <w:r w:rsidR="00256C76" w:rsidRPr="00813D19">
        <w:rPr>
          <w:bCs/>
          <w:lang w:val="en-US"/>
        </w:rPr>
        <w:lastRenderedPageBreak/>
        <w:t xml:space="preserve">Spanish possible. </w:t>
      </w:r>
      <w:r w:rsidR="00F16658" w:rsidRPr="00813D19">
        <w:rPr>
          <w:bCs/>
          <w:lang w:val="en-US"/>
        </w:rPr>
        <w:t xml:space="preserve">The delegation noted </w:t>
      </w:r>
      <w:r w:rsidR="00582D2F" w:rsidRPr="00813D19">
        <w:rPr>
          <w:bCs/>
          <w:lang w:val="en-US"/>
        </w:rPr>
        <w:t xml:space="preserve">the </w:t>
      </w:r>
      <w:r w:rsidR="00256C76" w:rsidRPr="00813D19">
        <w:rPr>
          <w:bCs/>
          <w:lang w:val="en-US"/>
        </w:rPr>
        <w:t xml:space="preserve">two agenda items </w:t>
      </w:r>
      <w:r w:rsidR="00B24E86">
        <w:rPr>
          <w:bCs/>
          <w:lang w:val="en-US"/>
        </w:rPr>
        <w:t>that addressed</w:t>
      </w:r>
      <w:r w:rsidR="00B24E86" w:rsidRPr="00813D19">
        <w:rPr>
          <w:bCs/>
          <w:lang w:val="en-US"/>
        </w:rPr>
        <w:t xml:space="preserve"> </w:t>
      </w:r>
      <w:r w:rsidR="00256C76" w:rsidRPr="00813D19">
        <w:rPr>
          <w:bCs/>
          <w:lang w:val="en-US"/>
        </w:rPr>
        <w:t xml:space="preserve">International Assistance, particularly the </w:t>
      </w:r>
      <w:r w:rsidR="00582D2F" w:rsidRPr="00813D19">
        <w:rPr>
          <w:bCs/>
          <w:lang w:val="en-US"/>
        </w:rPr>
        <w:t xml:space="preserve">work on the </w:t>
      </w:r>
      <w:r w:rsidR="00256C76" w:rsidRPr="00813D19">
        <w:rPr>
          <w:bCs/>
          <w:lang w:val="en-US"/>
        </w:rPr>
        <w:t xml:space="preserve">new mechanism </w:t>
      </w:r>
      <w:r w:rsidR="00582D2F" w:rsidRPr="00813D19">
        <w:rPr>
          <w:bCs/>
          <w:lang w:val="en-US"/>
        </w:rPr>
        <w:t xml:space="preserve">with regard to </w:t>
      </w:r>
      <w:r w:rsidR="00256C76" w:rsidRPr="00813D19">
        <w:rPr>
          <w:bCs/>
          <w:lang w:val="en-US"/>
        </w:rPr>
        <w:t xml:space="preserve">monitoring </w:t>
      </w:r>
      <w:r w:rsidR="00582D2F" w:rsidRPr="00813D19">
        <w:rPr>
          <w:bCs/>
          <w:lang w:val="en-US"/>
        </w:rPr>
        <w:t xml:space="preserve">and the commendable </w:t>
      </w:r>
      <w:r w:rsidR="00813D19" w:rsidRPr="00813D19">
        <w:rPr>
          <w:bCs/>
          <w:lang w:val="en-US"/>
        </w:rPr>
        <w:t>initiative</w:t>
      </w:r>
      <w:r w:rsidR="00582D2F" w:rsidRPr="00813D19">
        <w:rPr>
          <w:bCs/>
          <w:lang w:val="en-US"/>
        </w:rPr>
        <w:t xml:space="preserve"> to work </w:t>
      </w:r>
      <w:r w:rsidR="00256C76" w:rsidRPr="00813D19">
        <w:rPr>
          <w:bCs/>
          <w:lang w:val="en-US"/>
        </w:rPr>
        <w:t xml:space="preserve">with field offices with co-funding </w:t>
      </w:r>
      <w:r w:rsidR="00582D2F" w:rsidRPr="00813D19">
        <w:rPr>
          <w:bCs/>
          <w:lang w:val="en-US"/>
        </w:rPr>
        <w:t>for projects. The delegation remarked that s</w:t>
      </w:r>
      <w:r w:rsidR="00256C76" w:rsidRPr="00813D19">
        <w:rPr>
          <w:bCs/>
          <w:lang w:val="en-US"/>
        </w:rPr>
        <w:t xml:space="preserve">ome countries </w:t>
      </w:r>
      <w:r w:rsidR="00582D2F" w:rsidRPr="00813D19">
        <w:rPr>
          <w:bCs/>
          <w:lang w:val="en-US"/>
        </w:rPr>
        <w:t xml:space="preserve">encounter </w:t>
      </w:r>
      <w:r w:rsidR="00256C76" w:rsidRPr="00813D19">
        <w:rPr>
          <w:bCs/>
          <w:lang w:val="en-US"/>
        </w:rPr>
        <w:t>problems in implementing projects</w:t>
      </w:r>
      <w:r w:rsidR="00582D2F" w:rsidRPr="00813D19">
        <w:rPr>
          <w:bCs/>
          <w:lang w:val="en-US"/>
        </w:rPr>
        <w:t>,</w:t>
      </w:r>
      <w:r w:rsidR="00256C76" w:rsidRPr="00813D19">
        <w:rPr>
          <w:bCs/>
          <w:lang w:val="en-US"/>
        </w:rPr>
        <w:t xml:space="preserve"> particularly </w:t>
      </w:r>
      <w:r w:rsidR="00582D2F" w:rsidRPr="00813D19">
        <w:rPr>
          <w:bCs/>
          <w:lang w:val="en-US"/>
        </w:rPr>
        <w:t xml:space="preserve">on certain subjects, and that </w:t>
      </w:r>
      <w:r w:rsidR="00256C76" w:rsidRPr="00813D19">
        <w:rPr>
          <w:bCs/>
          <w:lang w:val="en-US"/>
        </w:rPr>
        <w:t xml:space="preserve">a pilot project </w:t>
      </w:r>
      <w:r w:rsidR="00582D2F" w:rsidRPr="00813D19">
        <w:rPr>
          <w:bCs/>
          <w:lang w:val="en-US"/>
        </w:rPr>
        <w:t xml:space="preserve">in this regard could </w:t>
      </w:r>
      <w:r w:rsidR="00256C76" w:rsidRPr="00813D19">
        <w:rPr>
          <w:bCs/>
          <w:lang w:val="en-US"/>
        </w:rPr>
        <w:t>be adjusted to the reality of each country</w:t>
      </w:r>
      <w:r w:rsidR="00B24E86">
        <w:rPr>
          <w:bCs/>
          <w:lang w:val="en-US"/>
        </w:rPr>
        <w:t>,</w:t>
      </w:r>
      <w:r w:rsidR="00582D2F" w:rsidRPr="00813D19">
        <w:rPr>
          <w:bCs/>
          <w:lang w:val="en-US"/>
        </w:rPr>
        <w:t xml:space="preserve"> </w:t>
      </w:r>
      <w:r w:rsidR="00B24E86">
        <w:rPr>
          <w:bCs/>
          <w:lang w:val="en-US"/>
        </w:rPr>
        <w:t>which</w:t>
      </w:r>
      <w:r w:rsidR="00B24E86" w:rsidRPr="00813D19">
        <w:rPr>
          <w:bCs/>
          <w:lang w:val="en-US"/>
        </w:rPr>
        <w:t xml:space="preserve"> </w:t>
      </w:r>
      <w:r w:rsidR="00582D2F" w:rsidRPr="00813D19">
        <w:rPr>
          <w:bCs/>
          <w:lang w:val="en-US"/>
        </w:rPr>
        <w:t xml:space="preserve">could </w:t>
      </w:r>
      <w:r w:rsidR="00256C76" w:rsidRPr="00813D19">
        <w:rPr>
          <w:bCs/>
          <w:lang w:val="en-US"/>
        </w:rPr>
        <w:t xml:space="preserve">prove productive. </w:t>
      </w:r>
      <w:r w:rsidR="001C0BBE" w:rsidRPr="00813D19">
        <w:rPr>
          <w:bCs/>
          <w:lang w:val="en-US"/>
        </w:rPr>
        <w:t xml:space="preserve">It </w:t>
      </w:r>
      <w:r w:rsidR="00D90D91" w:rsidRPr="00813D19">
        <w:rPr>
          <w:bCs/>
          <w:lang w:val="en-US"/>
        </w:rPr>
        <w:t xml:space="preserve">took the opportunity </w:t>
      </w:r>
      <w:r w:rsidR="00256C76" w:rsidRPr="00813D19">
        <w:rPr>
          <w:bCs/>
          <w:lang w:val="en-US"/>
        </w:rPr>
        <w:t xml:space="preserve">to congratulate the Bureau on </w:t>
      </w:r>
      <w:r w:rsidR="00D90D91" w:rsidRPr="00813D19">
        <w:rPr>
          <w:bCs/>
          <w:lang w:val="en-US"/>
        </w:rPr>
        <w:t xml:space="preserve">its </w:t>
      </w:r>
      <w:r w:rsidR="00256C76" w:rsidRPr="00813D19">
        <w:rPr>
          <w:bCs/>
          <w:lang w:val="en-US"/>
        </w:rPr>
        <w:t>efforts in d</w:t>
      </w:r>
      <w:r w:rsidR="00D90D91" w:rsidRPr="00813D19">
        <w:rPr>
          <w:bCs/>
          <w:lang w:val="en-US"/>
        </w:rPr>
        <w:t>rafting the recommendations on g</w:t>
      </w:r>
      <w:r w:rsidR="00256C76" w:rsidRPr="00813D19">
        <w:rPr>
          <w:bCs/>
          <w:lang w:val="en-US"/>
        </w:rPr>
        <w:t>overnance</w:t>
      </w:r>
      <w:r w:rsidR="00D90D91" w:rsidRPr="00813D19">
        <w:rPr>
          <w:bCs/>
          <w:lang w:val="en-US"/>
        </w:rPr>
        <w:t>,</w:t>
      </w:r>
      <w:r w:rsidR="00256C76" w:rsidRPr="00813D19">
        <w:rPr>
          <w:bCs/>
          <w:lang w:val="en-US"/>
        </w:rPr>
        <w:t xml:space="preserve"> </w:t>
      </w:r>
      <w:r w:rsidR="00D90D91" w:rsidRPr="00813D19">
        <w:rPr>
          <w:bCs/>
          <w:lang w:val="en-US"/>
        </w:rPr>
        <w:t xml:space="preserve">and for the report </w:t>
      </w:r>
      <w:r w:rsidR="00256C76" w:rsidRPr="00813D19">
        <w:rPr>
          <w:bCs/>
          <w:lang w:val="en-US"/>
        </w:rPr>
        <w:t>p</w:t>
      </w:r>
      <w:r w:rsidR="00D90D91" w:rsidRPr="00813D19">
        <w:rPr>
          <w:bCs/>
          <w:lang w:val="en-US"/>
        </w:rPr>
        <w:t>resenting</w:t>
      </w:r>
      <w:r w:rsidR="00256C76" w:rsidRPr="00813D19">
        <w:rPr>
          <w:bCs/>
          <w:lang w:val="en-US"/>
        </w:rPr>
        <w:t xml:space="preserve"> </w:t>
      </w:r>
      <w:r w:rsidR="00D90D91" w:rsidRPr="00813D19">
        <w:rPr>
          <w:bCs/>
          <w:lang w:val="en-US"/>
        </w:rPr>
        <w:t>its work</w:t>
      </w:r>
      <w:r w:rsidR="00256C76" w:rsidRPr="00813D19">
        <w:rPr>
          <w:bCs/>
          <w:lang w:val="en-US"/>
        </w:rPr>
        <w:t xml:space="preserve">. </w:t>
      </w:r>
      <w:r w:rsidR="00D90D91" w:rsidRPr="00813D19">
        <w:rPr>
          <w:bCs/>
          <w:lang w:val="en-US"/>
        </w:rPr>
        <w:t>T</w:t>
      </w:r>
      <w:r w:rsidR="00256C76" w:rsidRPr="00813D19">
        <w:rPr>
          <w:bCs/>
          <w:lang w:val="en-US"/>
        </w:rPr>
        <w:t xml:space="preserve">his </w:t>
      </w:r>
      <w:r w:rsidR="00D90D91" w:rsidRPr="00813D19">
        <w:rPr>
          <w:bCs/>
          <w:lang w:val="en-US"/>
        </w:rPr>
        <w:t xml:space="preserve">was particularly </w:t>
      </w:r>
      <w:r w:rsidR="00636EC4" w:rsidRPr="00813D19">
        <w:rPr>
          <w:bCs/>
          <w:lang w:val="en-US"/>
        </w:rPr>
        <w:t>pertinent</w:t>
      </w:r>
      <w:r w:rsidR="00256C76" w:rsidRPr="00813D19">
        <w:rPr>
          <w:bCs/>
          <w:lang w:val="en-US"/>
        </w:rPr>
        <w:t xml:space="preserve"> </w:t>
      </w:r>
      <w:r w:rsidR="00636EC4" w:rsidRPr="00813D19">
        <w:rPr>
          <w:bCs/>
          <w:lang w:val="en-US"/>
        </w:rPr>
        <w:t xml:space="preserve">on the subject of </w:t>
      </w:r>
      <w:r w:rsidR="00B24E86">
        <w:rPr>
          <w:bCs/>
          <w:lang w:val="en-US"/>
        </w:rPr>
        <w:t xml:space="preserve">the </w:t>
      </w:r>
      <w:r w:rsidR="00636EC4" w:rsidRPr="00813D19">
        <w:rPr>
          <w:bCs/>
          <w:lang w:val="en-US"/>
        </w:rPr>
        <w:t>capacity</w:t>
      </w:r>
      <w:r w:rsidR="00B24E86">
        <w:rPr>
          <w:bCs/>
          <w:lang w:val="en-US"/>
        </w:rPr>
        <w:t xml:space="preserve"> </w:t>
      </w:r>
      <w:r w:rsidR="00256C76" w:rsidRPr="00813D19">
        <w:rPr>
          <w:bCs/>
          <w:lang w:val="en-US"/>
        </w:rPr>
        <w:t xml:space="preserve">building </w:t>
      </w:r>
      <w:r w:rsidR="00636EC4" w:rsidRPr="00813D19">
        <w:rPr>
          <w:bCs/>
          <w:lang w:val="en-US"/>
        </w:rPr>
        <w:t xml:space="preserve">of States Parties owing to the complex nature </w:t>
      </w:r>
      <w:r w:rsidR="00256C76" w:rsidRPr="00813D19">
        <w:rPr>
          <w:bCs/>
          <w:lang w:val="en-US"/>
        </w:rPr>
        <w:t>of the mech</w:t>
      </w:r>
      <w:r w:rsidR="00636EC4" w:rsidRPr="00813D19">
        <w:rPr>
          <w:bCs/>
          <w:lang w:val="en-US"/>
        </w:rPr>
        <w:t>anism,</w:t>
      </w:r>
      <w:r w:rsidR="00256C76" w:rsidRPr="00813D19">
        <w:rPr>
          <w:bCs/>
          <w:lang w:val="en-US"/>
        </w:rPr>
        <w:t xml:space="preserve"> </w:t>
      </w:r>
      <w:r w:rsidR="00636EC4" w:rsidRPr="00813D19">
        <w:rPr>
          <w:bCs/>
          <w:lang w:val="en-US"/>
        </w:rPr>
        <w:t xml:space="preserve">whose </w:t>
      </w:r>
      <w:r w:rsidR="00256C76" w:rsidRPr="00813D19">
        <w:rPr>
          <w:bCs/>
          <w:lang w:val="en-US"/>
        </w:rPr>
        <w:t xml:space="preserve">national capacities </w:t>
      </w:r>
      <w:r w:rsidR="00636EC4" w:rsidRPr="00813D19">
        <w:rPr>
          <w:bCs/>
          <w:lang w:val="en-US"/>
        </w:rPr>
        <w:t xml:space="preserve">could be improved so that they might be better able to </w:t>
      </w:r>
      <w:r w:rsidR="00256C76" w:rsidRPr="00813D19">
        <w:rPr>
          <w:bCs/>
          <w:lang w:val="en-US"/>
        </w:rPr>
        <w:t xml:space="preserve">use </w:t>
      </w:r>
      <w:r w:rsidR="00636EC4" w:rsidRPr="00813D19">
        <w:rPr>
          <w:bCs/>
          <w:lang w:val="en-US"/>
        </w:rPr>
        <w:t>the Fund</w:t>
      </w:r>
      <w:r w:rsidR="00256C76" w:rsidRPr="00813D19">
        <w:rPr>
          <w:bCs/>
          <w:lang w:val="en-US"/>
        </w:rPr>
        <w:t xml:space="preserve"> to further implement </w:t>
      </w:r>
      <w:r w:rsidR="00636EC4" w:rsidRPr="00813D19">
        <w:rPr>
          <w:bCs/>
          <w:lang w:val="en-US"/>
        </w:rPr>
        <w:t xml:space="preserve">the </w:t>
      </w:r>
      <w:r w:rsidR="00256C76" w:rsidRPr="00813D19">
        <w:rPr>
          <w:bCs/>
          <w:lang w:val="en-US"/>
        </w:rPr>
        <w:t>Convention.</w:t>
      </w:r>
    </w:p>
    <w:p w14:paraId="795F95E2" w14:textId="3DFBFF97" w:rsidR="00CF4CCF" w:rsidRPr="001928D5" w:rsidRDefault="00CF4CCF" w:rsidP="002E0D57">
      <w:pPr>
        <w:pStyle w:val="Orateurengris"/>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636EC4" w:rsidRPr="00813D19">
        <w:rPr>
          <w:bCs/>
          <w:lang w:val="en-US"/>
        </w:rPr>
        <w:t xml:space="preserve">responded to the question by </w:t>
      </w:r>
      <w:r w:rsidR="00256C76" w:rsidRPr="00813D19">
        <w:rPr>
          <w:bCs/>
          <w:lang w:val="en-US"/>
        </w:rPr>
        <w:t xml:space="preserve">Djibouti </w:t>
      </w:r>
      <w:r w:rsidR="00636EC4" w:rsidRPr="00813D19">
        <w:rPr>
          <w:bCs/>
          <w:lang w:val="en-US"/>
        </w:rPr>
        <w:t xml:space="preserve">regarding the time </w:t>
      </w:r>
      <w:r w:rsidR="00256C76" w:rsidRPr="00813D19">
        <w:rPr>
          <w:bCs/>
          <w:lang w:val="en-US"/>
        </w:rPr>
        <w:t>required for processing International Assistance requests through the Bureau</w:t>
      </w:r>
      <w:r w:rsidR="00636EC4" w:rsidRPr="00813D19">
        <w:rPr>
          <w:bCs/>
          <w:lang w:val="en-US"/>
        </w:rPr>
        <w:t xml:space="preserve"> by explaining that there was </w:t>
      </w:r>
      <w:r w:rsidR="00256C76" w:rsidRPr="00813D19">
        <w:rPr>
          <w:bCs/>
          <w:lang w:val="en-US"/>
        </w:rPr>
        <w:t xml:space="preserve">no fixed statutory time. </w:t>
      </w:r>
      <w:r w:rsidR="00636EC4" w:rsidRPr="00813D19">
        <w:rPr>
          <w:bCs/>
          <w:lang w:val="en-US"/>
        </w:rPr>
        <w:t xml:space="preserve">The Bureau did its </w:t>
      </w:r>
      <w:r w:rsidR="00256C76" w:rsidRPr="00813D19">
        <w:rPr>
          <w:bCs/>
          <w:lang w:val="en-US"/>
        </w:rPr>
        <w:t xml:space="preserve">best to process </w:t>
      </w:r>
      <w:r w:rsidR="00636EC4" w:rsidRPr="00813D19">
        <w:rPr>
          <w:bCs/>
          <w:lang w:val="en-US"/>
        </w:rPr>
        <w:t xml:space="preserve">requests </w:t>
      </w:r>
      <w:r w:rsidR="00256C76" w:rsidRPr="00813D19">
        <w:rPr>
          <w:bCs/>
          <w:lang w:val="en-US"/>
        </w:rPr>
        <w:t xml:space="preserve">as </w:t>
      </w:r>
      <w:r w:rsidR="00636EC4" w:rsidRPr="00813D19">
        <w:rPr>
          <w:bCs/>
          <w:lang w:val="en-US"/>
        </w:rPr>
        <w:t xml:space="preserve">quickly </w:t>
      </w:r>
      <w:r w:rsidR="00256C76" w:rsidRPr="00813D19">
        <w:rPr>
          <w:bCs/>
          <w:lang w:val="en-US"/>
        </w:rPr>
        <w:t>as possible</w:t>
      </w:r>
      <w:r w:rsidR="00636EC4" w:rsidRPr="00813D19">
        <w:rPr>
          <w:bCs/>
          <w:lang w:val="en-US"/>
        </w:rPr>
        <w:t>,</w:t>
      </w:r>
      <w:r w:rsidR="00256C76" w:rsidRPr="00813D19">
        <w:rPr>
          <w:bCs/>
          <w:lang w:val="en-US"/>
        </w:rPr>
        <w:t xml:space="preserve"> and inde</w:t>
      </w:r>
      <w:r w:rsidR="00636EC4" w:rsidRPr="00813D19">
        <w:rPr>
          <w:bCs/>
          <w:lang w:val="en-US"/>
        </w:rPr>
        <w:t>ed the Bureau had</w:t>
      </w:r>
      <w:r w:rsidR="00256C76" w:rsidRPr="00813D19">
        <w:rPr>
          <w:bCs/>
          <w:lang w:val="en-US"/>
        </w:rPr>
        <w:t xml:space="preserve"> worked </w:t>
      </w:r>
      <w:r w:rsidR="00636EC4" w:rsidRPr="00813D19">
        <w:rPr>
          <w:bCs/>
          <w:lang w:val="en-US"/>
        </w:rPr>
        <w:t xml:space="preserve">particularly </w:t>
      </w:r>
      <w:r w:rsidR="00256C76" w:rsidRPr="00813D19">
        <w:rPr>
          <w:bCs/>
          <w:lang w:val="en-US"/>
        </w:rPr>
        <w:t xml:space="preserve">hard </w:t>
      </w:r>
      <w:r w:rsidR="00636EC4" w:rsidRPr="00813D19">
        <w:rPr>
          <w:bCs/>
          <w:lang w:val="en-US"/>
        </w:rPr>
        <w:t xml:space="preserve">in 2018 because of the greater number of </w:t>
      </w:r>
      <w:r w:rsidR="00256C76" w:rsidRPr="00813D19">
        <w:rPr>
          <w:bCs/>
          <w:lang w:val="en-US"/>
        </w:rPr>
        <w:t>requests</w:t>
      </w:r>
      <w:r w:rsidR="00636EC4" w:rsidRPr="00813D19">
        <w:rPr>
          <w:bCs/>
          <w:lang w:val="en-US"/>
        </w:rPr>
        <w:t xml:space="preserve"> examined. T</w:t>
      </w:r>
      <w:r w:rsidR="00256C76" w:rsidRPr="00813D19">
        <w:rPr>
          <w:bCs/>
          <w:lang w:val="en-US"/>
        </w:rPr>
        <w:t xml:space="preserve">he issue of International Assistance </w:t>
      </w:r>
      <w:r w:rsidR="00636EC4" w:rsidRPr="00813D19">
        <w:rPr>
          <w:bCs/>
          <w:lang w:val="en-US"/>
        </w:rPr>
        <w:t xml:space="preserve">had been discussed </w:t>
      </w:r>
      <w:r w:rsidR="00256C76" w:rsidRPr="00813D19">
        <w:rPr>
          <w:bCs/>
          <w:lang w:val="en-US"/>
        </w:rPr>
        <w:t>at the General Assembly</w:t>
      </w:r>
      <w:r w:rsidR="00636EC4" w:rsidRPr="00813D19">
        <w:rPr>
          <w:bCs/>
          <w:lang w:val="en-US"/>
        </w:rPr>
        <w:t>,</w:t>
      </w:r>
      <w:r w:rsidR="00256C76" w:rsidRPr="00813D19">
        <w:rPr>
          <w:bCs/>
          <w:lang w:val="en-US"/>
        </w:rPr>
        <w:t xml:space="preserve"> including </w:t>
      </w:r>
      <w:r w:rsidR="00636EC4" w:rsidRPr="00813D19">
        <w:rPr>
          <w:bCs/>
          <w:lang w:val="en-US"/>
        </w:rPr>
        <w:t>the reinforcement of the Secretariat, b</w:t>
      </w:r>
      <w:r w:rsidR="00256C76" w:rsidRPr="00813D19">
        <w:rPr>
          <w:bCs/>
          <w:lang w:val="en-US"/>
        </w:rPr>
        <w:t xml:space="preserve">ut the Bureau </w:t>
      </w:r>
      <w:r w:rsidR="00636EC4" w:rsidRPr="00813D19">
        <w:rPr>
          <w:bCs/>
          <w:lang w:val="en-US"/>
        </w:rPr>
        <w:t xml:space="preserve">was </w:t>
      </w:r>
      <w:r w:rsidR="00256C76" w:rsidRPr="00813D19">
        <w:rPr>
          <w:bCs/>
          <w:lang w:val="en-US"/>
        </w:rPr>
        <w:t xml:space="preserve">scheduled to meet </w:t>
      </w:r>
      <w:r w:rsidR="00636EC4" w:rsidRPr="00813D19">
        <w:rPr>
          <w:bCs/>
          <w:lang w:val="en-US"/>
        </w:rPr>
        <w:t xml:space="preserve">about </w:t>
      </w:r>
      <w:r w:rsidR="00256C76" w:rsidRPr="00813D19">
        <w:rPr>
          <w:bCs/>
          <w:lang w:val="en-US"/>
        </w:rPr>
        <w:t>four times a year</w:t>
      </w:r>
      <w:r w:rsidR="00636EC4" w:rsidRPr="00813D19">
        <w:rPr>
          <w:bCs/>
          <w:lang w:val="en-US"/>
        </w:rPr>
        <w:t xml:space="preserve">, or </w:t>
      </w:r>
      <w:r w:rsidR="00256C76" w:rsidRPr="00813D19">
        <w:rPr>
          <w:bCs/>
          <w:lang w:val="en-US"/>
        </w:rPr>
        <w:t>once every three months</w:t>
      </w:r>
      <w:r w:rsidR="00636EC4" w:rsidRPr="00813D19">
        <w:rPr>
          <w:bCs/>
          <w:lang w:val="en-US"/>
        </w:rPr>
        <w:t xml:space="preserve">. Thus, the general process time was on average </w:t>
      </w:r>
      <w:r w:rsidR="00256C76" w:rsidRPr="00813D19">
        <w:rPr>
          <w:bCs/>
          <w:lang w:val="en-US"/>
        </w:rPr>
        <w:t>four months</w:t>
      </w:r>
      <w:r w:rsidR="00636EC4" w:rsidRPr="00813D19">
        <w:rPr>
          <w:bCs/>
          <w:lang w:val="en-US"/>
        </w:rPr>
        <w:t xml:space="preserve">, i.e. from the reception of a </w:t>
      </w:r>
      <w:r w:rsidR="00256C76" w:rsidRPr="00813D19">
        <w:rPr>
          <w:bCs/>
          <w:lang w:val="en-US"/>
        </w:rPr>
        <w:t xml:space="preserve">request </w:t>
      </w:r>
      <w:r w:rsidR="00636EC4" w:rsidRPr="00813D19">
        <w:rPr>
          <w:bCs/>
          <w:lang w:val="en-US"/>
        </w:rPr>
        <w:t>to its approval</w:t>
      </w:r>
      <w:r w:rsidR="00256C76" w:rsidRPr="00813D19">
        <w:rPr>
          <w:bCs/>
          <w:lang w:val="en-US"/>
        </w:rPr>
        <w:t xml:space="preserve"> by the Bureau. </w:t>
      </w:r>
      <w:r w:rsidR="00636EC4" w:rsidRPr="00813D19">
        <w:rPr>
          <w:bCs/>
          <w:lang w:val="en-US"/>
        </w:rPr>
        <w:t xml:space="preserve">However, the timing would likely improve with the </w:t>
      </w:r>
      <w:r w:rsidR="00256C76" w:rsidRPr="00813D19">
        <w:rPr>
          <w:bCs/>
          <w:lang w:val="en-US"/>
        </w:rPr>
        <w:t xml:space="preserve">reinforcement </w:t>
      </w:r>
      <w:r w:rsidR="00636EC4" w:rsidRPr="00813D19">
        <w:rPr>
          <w:bCs/>
          <w:lang w:val="en-US"/>
        </w:rPr>
        <w:t xml:space="preserve">of the Secretariat in 2019, which would be further discussed under </w:t>
      </w:r>
      <w:r w:rsidR="00191A3D" w:rsidRPr="00813D19">
        <w:rPr>
          <w:bCs/>
          <w:lang w:val="en-US"/>
        </w:rPr>
        <w:t xml:space="preserve">agenda item </w:t>
      </w:r>
      <w:r w:rsidR="00B20CED" w:rsidRPr="00813D19">
        <w:rPr>
          <w:bCs/>
          <w:lang w:val="en-US"/>
        </w:rPr>
        <w:t>8.</w:t>
      </w:r>
    </w:p>
    <w:p w14:paraId="22A0A4BB" w14:textId="742902F1" w:rsidR="00CA17B1" w:rsidRPr="001928D5" w:rsidRDefault="00CF4CCF" w:rsidP="001928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w:t>
      </w:r>
      <w:r w:rsidR="00CA17B1" w:rsidRPr="00813D19">
        <w:rPr>
          <w:b/>
          <w:color w:val="000000" w:themeColor="text1"/>
          <w:lang w:val="en-US"/>
        </w:rPr>
        <w:t xml:space="preserve">Chairperson </w:t>
      </w:r>
      <w:r w:rsidR="00191A3D" w:rsidRPr="00813D19">
        <w:rPr>
          <w:bCs/>
          <w:lang w:val="en-US"/>
        </w:rPr>
        <w:t>t</w:t>
      </w:r>
      <w:r w:rsidR="00256C76" w:rsidRPr="00813D19">
        <w:rPr>
          <w:bCs/>
          <w:lang w:val="en-US"/>
        </w:rPr>
        <w:t>hank</w:t>
      </w:r>
      <w:r w:rsidR="00191A3D" w:rsidRPr="00813D19">
        <w:rPr>
          <w:bCs/>
          <w:lang w:val="en-US"/>
        </w:rPr>
        <w:t>ed</w:t>
      </w:r>
      <w:r w:rsidR="00256C76" w:rsidRPr="00813D19">
        <w:rPr>
          <w:bCs/>
          <w:lang w:val="en-US"/>
        </w:rPr>
        <w:t xml:space="preserve"> </w:t>
      </w:r>
      <w:r w:rsidR="00191A3D" w:rsidRPr="00813D19">
        <w:rPr>
          <w:bCs/>
          <w:lang w:val="en-US"/>
        </w:rPr>
        <w:t xml:space="preserve">the Secretary </w:t>
      </w:r>
      <w:r w:rsidR="00256C76" w:rsidRPr="00813D19">
        <w:rPr>
          <w:bCs/>
          <w:lang w:val="en-US"/>
        </w:rPr>
        <w:t xml:space="preserve">for </w:t>
      </w:r>
      <w:r w:rsidR="00191A3D" w:rsidRPr="00813D19">
        <w:rPr>
          <w:bCs/>
          <w:lang w:val="en-US"/>
        </w:rPr>
        <w:t xml:space="preserve">the clarification and then proceeded to the </w:t>
      </w:r>
      <w:r w:rsidR="00256C76" w:rsidRPr="00813D19">
        <w:rPr>
          <w:bCs/>
          <w:u w:val="single"/>
          <w:lang w:val="en-US"/>
        </w:rPr>
        <w:t xml:space="preserve">report </w:t>
      </w:r>
      <w:r w:rsidR="00191A3D" w:rsidRPr="00813D19">
        <w:rPr>
          <w:bCs/>
          <w:u w:val="single"/>
          <w:lang w:val="en-US"/>
        </w:rPr>
        <w:t xml:space="preserve">on the </w:t>
      </w:r>
      <w:r w:rsidR="0070024C" w:rsidRPr="00813D19">
        <w:rPr>
          <w:bCs/>
          <w:u w:val="single"/>
          <w:lang w:val="en-US"/>
        </w:rPr>
        <w:t>ICHNGO</w:t>
      </w:r>
      <w:r w:rsidR="00191A3D" w:rsidRPr="00813D19">
        <w:rPr>
          <w:bCs/>
          <w:u w:val="single"/>
          <w:lang w:val="en-US"/>
        </w:rPr>
        <w:t xml:space="preserve"> Forum</w:t>
      </w:r>
      <w:r w:rsidR="00191A3D" w:rsidRPr="007D4EA8">
        <w:rPr>
          <w:bCs/>
          <w:lang w:val="en-US"/>
        </w:rPr>
        <w:t>,</w:t>
      </w:r>
      <w:r w:rsidR="00191A3D" w:rsidRPr="003221D5">
        <w:rPr>
          <w:bCs/>
          <w:lang w:val="en-US"/>
        </w:rPr>
        <w:t xml:space="preserve"> </w:t>
      </w:r>
      <w:r w:rsidR="00256C76" w:rsidRPr="00813D19">
        <w:rPr>
          <w:bCs/>
          <w:lang w:val="en-US"/>
        </w:rPr>
        <w:t>recall</w:t>
      </w:r>
      <w:r w:rsidR="00191A3D" w:rsidRPr="00813D19">
        <w:rPr>
          <w:bCs/>
          <w:lang w:val="en-US"/>
        </w:rPr>
        <w:t>ing</w:t>
      </w:r>
      <w:r w:rsidR="00256C76" w:rsidRPr="00813D19">
        <w:rPr>
          <w:bCs/>
          <w:lang w:val="en-US"/>
        </w:rPr>
        <w:t xml:space="preserve"> </w:t>
      </w:r>
      <w:r w:rsidR="00191A3D" w:rsidRPr="00813D19">
        <w:rPr>
          <w:bCs/>
          <w:lang w:val="en-US"/>
        </w:rPr>
        <w:t xml:space="preserve">that </w:t>
      </w:r>
      <w:r w:rsidR="00B24E86" w:rsidRPr="00813D19">
        <w:rPr>
          <w:bCs/>
          <w:lang w:val="en-US"/>
        </w:rPr>
        <w:t xml:space="preserve">at its eighth session in 2013 </w:t>
      </w:r>
      <w:r w:rsidR="00191A3D" w:rsidRPr="00813D19">
        <w:rPr>
          <w:bCs/>
          <w:lang w:val="en-US"/>
        </w:rPr>
        <w:t xml:space="preserve">the Committee </w:t>
      </w:r>
      <w:r w:rsidR="00B24E86">
        <w:rPr>
          <w:bCs/>
          <w:lang w:val="en-US"/>
        </w:rPr>
        <w:t xml:space="preserve">had </w:t>
      </w:r>
      <w:r w:rsidR="00256C76" w:rsidRPr="00813D19">
        <w:rPr>
          <w:bCs/>
          <w:lang w:val="en-US"/>
        </w:rPr>
        <w:t xml:space="preserve">decided to systematically include the outcomes of the Forum </w:t>
      </w:r>
      <w:r w:rsidR="00191A3D" w:rsidRPr="00813D19">
        <w:rPr>
          <w:bCs/>
          <w:lang w:val="en-US"/>
        </w:rPr>
        <w:t>during its sessions</w:t>
      </w:r>
      <w:r w:rsidR="00256C76" w:rsidRPr="00813D19">
        <w:rPr>
          <w:bCs/>
          <w:lang w:val="en-US"/>
        </w:rPr>
        <w:t xml:space="preserve">. </w:t>
      </w:r>
      <w:r w:rsidR="00191A3D" w:rsidRPr="00813D19">
        <w:rPr>
          <w:bCs/>
          <w:lang w:val="en-US"/>
        </w:rPr>
        <w:t xml:space="preserve">The Chairperson then invited the representative of the </w:t>
      </w:r>
      <w:r w:rsidR="0070024C" w:rsidRPr="00813D19">
        <w:rPr>
          <w:bCs/>
          <w:lang w:val="en-US"/>
        </w:rPr>
        <w:t>ICHNGO</w:t>
      </w:r>
      <w:r w:rsidR="00191A3D" w:rsidRPr="00813D19">
        <w:rPr>
          <w:bCs/>
          <w:lang w:val="en-US"/>
        </w:rPr>
        <w:t xml:space="preserve"> Forum, Ms</w:t>
      </w:r>
      <w:r w:rsidR="000B2336">
        <w:rPr>
          <w:bCs/>
          <w:lang w:val="en-US"/>
        </w:rPr>
        <w:t> </w:t>
      </w:r>
      <w:r w:rsidR="00191A3D" w:rsidRPr="00813D19">
        <w:rPr>
          <w:bCs/>
          <w:lang w:val="en-US"/>
        </w:rPr>
        <w:t xml:space="preserve">Reme Sakr from Syria Trust for Development (Syrian Arab Republic) and Ms Ananya Bhattacharya from </w:t>
      </w:r>
      <w:r w:rsidR="00256C76" w:rsidRPr="00813D19">
        <w:rPr>
          <w:bCs/>
          <w:lang w:val="en-US"/>
        </w:rPr>
        <w:t xml:space="preserve">Contact Base </w:t>
      </w:r>
      <w:r w:rsidR="00356438" w:rsidRPr="00813D19">
        <w:rPr>
          <w:bCs/>
          <w:lang w:val="en-US"/>
        </w:rPr>
        <w:t>(India)</w:t>
      </w:r>
      <w:r w:rsidR="00191A3D" w:rsidRPr="00813D19">
        <w:rPr>
          <w:bCs/>
          <w:lang w:val="en-US"/>
        </w:rPr>
        <w:t xml:space="preserve"> to </w:t>
      </w:r>
      <w:r w:rsidR="00A965FC" w:rsidRPr="00813D19">
        <w:rPr>
          <w:bCs/>
          <w:lang w:val="en-US"/>
        </w:rPr>
        <w:t>present their report</w:t>
      </w:r>
      <w:r w:rsidR="00191A3D" w:rsidRPr="00813D19">
        <w:rPr>
          <w:bCs/>
          <w:lang w:val="en-US"/>
        </w:rPr>
        <w:t>.</w:t>
      </w:r>
    </w:p>
    <w:p w14:paraId="5D38C955" w14:textId="3845BDA4" w:rsidR="00CA17B1" w:rsidRPr="001928D5" w:rsidRDefault="00CA17B1" w:rsidP="00CA17B1">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Representative of the </w:t>
      </w:r>
      <w:r w:rsidR="0070024C" w:rsidRPr="00813D19">
        <w:rPr>
          <w:b/>
          <w:color w:val="000000" w:themeColor="text1"/>
          <w:lang w:val="en-US"/>
        </w:rPr>
        <w:t>ICHNGO</w:t>
      </w:r>
      <w:r w:rsidRPr="00813D19">
        <w:rPr>
          <w:b/>
          <w:color w:val="000000" w:themeColor="text1"/>
          <w:lang w:val="en-US"/>
        </w:rPr>
        <w:t xml:space="preserve"> Forum</w:t>
      </w:r>
      <w:r w:rsidR="00356438" w:rsidRPr="00813D19">
        <w:rPr>
          <w:b/>
          <w:color w:val="000000" w:themeColor="text1"/>
          <w:lang w:val="en-US"/>
        </w:rPr>
        <w:t xml:space="preserve">, </w:t>
      </w:r>
      <w:r w:rsidR="00A965FC" w:rsidRPr="00813D19">
        <w:rPr>
          <w:color w:val="000000" w:themeColor="text1"/>
          <w:lang w:val="en-US"/>
        </w:rPr>
        <w:t xml:space="preserve">Ms </w:t>
      </w:r>
      <w:r w:rsidR="00A965FC" w:rsidRPr="00813D19">
        <w:rPr>
          <w:bCs/>
          <w:lang w:val="en-US"/>
        </w:rPr>
        <w:t>Ananya Bhattacharya</w:t>
      </w:r>
      <w:r w:rsidR="00356438" w:rsidRPr="00813D19">
        <w:rPr>
          <w:bCs/>
          <w:lang w:val="en-US"/>
        </w:rPr>
        <w:t>,</w:t>
      </w:r>
      <w:r w:rsidR="00A965FC" w:rsidRPr="00813D19">
        <w:rPr>
          <w:bCs/>
          <w:lang w:val="en-US"/>
        </w:rPr>
        <w:t xml:space="preserve"> began </w:t>
      </w:r>
      <w:r w:rsidR="00256C76" w:rsidRPr="00813D19">
        <w:rPr>
          <w:bCs/>
          <w:lang w:val="en-US"/>
        </w:rPr>
        <w:t xml:space="preserve">by thanking the host country of Mauritius and the Secretariat for their kind hospitality </w:t>
      </w:r>
      <w:r w:rsidR="007E3971" w:rsidRPr="00813D19">
        <w:rPr>
          <w:bCs/>
          <w:lang w:val="en-US"/>
        </w:rPr>
        <w:t>and facilitation of the meeting</w:t>
      </w:r>
      <w:r w:rsidR="00256C76" w:rsidRPr="00813D19">
        <w:rPr>
          <w:bCs/>
          <w:lang w:val="en-US"/>
        </w:rPr>
        <w:t>. As an international platform for accredited NGOs</w:t>
      </w:r>
      <w:r w:rsidR="007E3971" w:rsidRPr="00813D19">
        <w:rPr>
          <w:bCs/>
          <w:lang w:val="en-US"/>
        </w:rPr>
        <w:t>,</w:t>
      </w:r>
      <w:r w:rsidR="00256C76" w:rsidRPr="00813D19">
        <w:rPr>
          <w:bCs/>
          <w:lang w:val="en-US"/>
        </w:rPr>
        <w:t xml:space="preserve"> the Forum is committed to contributing to the implementation of the Convention and the safeguarding of </w:t>
      </w:r>
      <w:r w:rsidR="007E3971" w:rsidRPr="00813D19">
        <w:rPr>
          <w:bCs/>
          <w:lang w:val="en-US"/>
        </w:rPr>
        <w:t>intangible cultural heritage</w:t>
      </w:r>
      <w:r w:rsidR="00256C76" w:rsidRPr="00813D19">
        <w:rPr>
          <w:bCs/>
          <w:lang w:val="en-US"/>
        </w:rPr>
        <w:t>. Over the past six years</w:t>
      </w:r>
      <w:r w:rsidR="007E3971" w:rsidRPr="00813D19">
        <w:rPr>
          <w:bCs/>
          <w:lang w:val="en-US"/>
        </w:rPr>
        <w:t>,</w:t>
      </w:r>
      <w:r w:rsidR="00356438" w:rsidRPr="00813D19">
        <w:rPr>
          <w:bCs/>
          <w:lang w:val="en-US"/>
        </w:rPr>
        <w:t xml:space="preserve"> the Forum had</w:t>
      </w:r>
      <w:r w:rsidR="00256C76" w:rsidRPr="00813D19">
        <w:rPr>
          <w:bCs/>
          <w:lang w:val="en-US"/>
        </w:rPr>
        <w:t xml:space="preserve"> achieved many con</w:t>
      </w:r>
      <w:r w:rsidR="007E3971" w:rsidRPr="00813D19">
        <w:rPr>
          <w:bCs/>
          <w:lang w:val="en-US"/>
        </w:rPr>
        <w:t xml:space="preserve">crete results. Six regional </w:t>
      </w:r>
      <w:r w:rsidR="0070024C" w:rsidRPr="00813D19">
        <w:rPr>
          <w:bCs/>
          <w:lang w:val="en-US"/>
        </w:rPr>
        <w:t>ICHNGO</w:t>
      </w:r>
      <w:r w:rsidR="00256C76" w:rsidRPr="00813D19">
        <w:rPr>
          <w:bCs/>
          <w:lang w:val="en-US"/>
        </w:rPr>
        <w:t xml:space="preserve"> Forum networks </w:t>
      </w:r>
      <w:r w:rsidR="007E3971" w:rsidRPr="00813D19">
        <w:rPr>
          <w:bCs/>
          <w:lang w:val="en-US"/>
        </w:rPr>
        <w:t xml:space="preserve">had </w:t>
      </w:r>
      <w:r w:rsidR="00256C76" w:rsidRPr="00813D19">
        <w:rPr>
          <w:bCs/>
          <w:lang w:val="en-US"/>
        </w:rPr>
        <w:t xml:space="preserve">been established for exchange and cooperation </w:t>
      </w:r>
      <w:r w:rsidR="007E3971" w:rsidRPr="00813D19">
        <w:rPr>
          <w:bCs/>
          <w:lang w:val="en-US"/>
        </w:rPr>
        <w:t xml:space="preserve">at </w:t>
      </w:r>
      <w:r w:rsidR="00356438" w:rsidRPr="00813D19">
        <w:rPr>
          <w:bCs/>
          <w:lang w:val="en-US"/>
        </w:rPr>
        <w:t xml:space="preserve">the regional level, which </w:t>
      </w:r>
      <w:r w:rsidR="007E3971" w:rsidRPr="00813D19">
        <w:rPr>
          <w:bCs/>
          <w:lang w:val="en-US"/>
        </w:rPr>
        <w:t xml:space="preserve">included </w:t>
      </w:r>
      <w:r w:rsidR="00256C76" w:rsidRPr="00813D19">
        <w:rPr>
          <w:bCs/>
          <w:lang w:val="en-US"/>
        </w:rPr>
        <w:t>six working groups on specific issues</w:t>
      </w:r>
      <w:r w:rsidR="007E3971" w:rsidRPr="00813D19">
        <w:rPr>
          <w:bCs/>
          <w:lang w:val="en-US"/>
        </w:rPr>
        <w:t>, such as capacity</w:t>
      </w:r>
      <w:r w:rsidR="0059476E">
        <w:rPr>
          <w:bCs/>
          <w:lang w:val="en-US"/>
        </w:rPr>
        <w:t xml:space="preserve"> </w:t>
      </w:r>
      <w:r w:rsidR="00256C76" w:rsidRPr="00813D19">
        <w:rPr>
          <w:bCs/>
          <w:lang w:val="en-US"/>
        </w:rPr>
        <w:t xml:space="preserve">building, research, ethics, </w:t>
      </w:r>
      <w:r w:rsidR="0059476E">
        <w:rPr>
          <w:bCs/>
          <w:lang w:val="en-US"/>
        </w:rPr>
        <w:t xml:space="preserve">the </w:t>
      </w:r>
      <w:r w:rsidR="00256C76" w:rsidRPr="00813D19">
        <w:rPr>
          <w:bCs/>
          <w:lang w:val="en-US"/>
        </w:rPr>
        <w:t>overall</w:t>
      </w:r>
      <w:r w:rsidR="0059476E">
        <w:rPr>
          <w:bCs/>
          <w:lang w:val="en-US"/>
        </w:rPr>
        <w:t xml:space="preserve"> </w:t>
      </w:r>
      <w:r w:rsidR="00256C76" w:rsidRPr="00813D19">
        <w:rPr>
          <w:bCs/>
          <w:lang w:val="en-US"/>
        </w:rPr>
        <w:t xml:space="preserve">results framework, lighter ways of sharing safeguarding experiences, </w:t>
      </w:r>
      <w:r w:rsidR="0059476E">
        <w:rPr>
          <w:bCs/>
          <w:lang w:val="en-US"/>
        </w:rPr>
        <w:t>information and communications technology (</w:t>
      </w:r>
      <w:r w:rsidR="00256C76" w:rsidRPr="00813D19">
        <w:rPr>
          <w:bCs/>
          <w:lang w:val="en-US"/>
        </w:rPr>
        <w:t>ICT</w:t>
      </w:r>
      <w:r w:rsidR="0059476E">
        <w:rPr>
          <w:bCs/>
          <w:lang w:val="en-US"/>
        </w:rPr>
        <w:t>)</w:t>
      </w:r>
      <w:r w:rsidR="00256C76" w:rsidRPr="00813D19">
        <w:rPr>
          <w:bCs/>
          <w:lang w:val="en-US"/>
        </w:rPr>
        <w:t xml:space="preserve"> and </w:t>
      </w:r>
      <w:r w:rsidR="007E3971" w:rsidRPr="00813D19">
        <w:rPr>
          <w:bCs/>
          <w:lang w:val="en-US"/>
        </w:rPr>
        <w:t>intangible cultural heritage</w:t>
      </w:r>
      <w:r w:rsidR="00256C76" w:rsidRPr="00813D19">
        <w:rPr>
          <w:bCs/>
          <w:lang w:val="en-US"/>
        </w:rPr>
        <w:t xml:space="preserve">. The online journal </w:t>
      </w:r>
      <w:hyperlink r:id="rId23" w:history="1">
        <w:r w:rsidR="00971830" w:rsidRPr="00813D19">
          <w:rPr>
            <w:rStyle w:val="Hyperlink"/>
            <w:bCs/>
            <w:lang w:val="en-US"/>
          </w:rPr>
          <w:t>#Heritage</w:t>
        </w:r>
        <w:r w:rsidR="00256C76" w:rsidRPr="00813D19">
          <w:rPr>
            <w:rStyle w:val="Hyperlink"/>
            <w:bCs/>
            <w:lang w:val="en-US"/>
          </w:rPr>
          <w:t>Alive</w:t>
        </w:r>
      </w:hyperlink>
      <w:r w:rsidR="00971830" w:rsidRPr="00813D19">
        <w:rPr>
          <w:bCs/>
          <w:lang w:val="en-US"/>
        </w:rPr>
        <w:t xml:space="preserve"> </w:t>
      </w:r>
      <w:r w:rsidR="00813D19" w:rsidRPr="00813D19">
        <w:rPr>
          <w:bCs/>
          <w:lang w:val="en-US"/>
        </w:rPr>
        <w:t>had received</w:t>
      </w:r>
      <w:r w:rsidR="00971830" w:rsidRPr="00813D19">
        <w:rPr>
          <w:bCs/>
          <w:lang w:val="en-US"/>
        </w:rPr>
        <w:t xml:space="preserve"> 40+ contributions </w:t>
      </w:r>
      <w:r w:rsidR="0059476E">
        <w:rPr>
          <w:bCs/>
          <w:lang w:val="en-US"/>
        </w:rPr>
        <w:t xml:space="preserve">thus </w:t>
      </w:r>
      <w:r w:rsidR="00971830" w:rsidRPr="00813D19">
        <w:rPr>
          <w:bCs/>
          <w:lang w:val="en-US"/>
        </w:rPr>
        <w:t xml:space="preserve">far, with </w:t>
      </w:r>
      <w:r w:rsidR="00256C76" w:rsidRPr="00813D19">
        <w:rPr>
          <w:bCs/>
          <w:lang w:val="en-US"/>
        </w:rPr>
        <w:t xml:space="preserve">11 articles </w:t>
      </w:r>
      <w:r w:rsidR="00971830" w:rsidRPr="00813D19">
        <w:rPr>
          <w:bCs/>
          <w:lang w:val="en-US"/>
        </w:rPr>
        <w:t>received in 2018</w:t>
      </w:r>
      <w:r w:rsidR="00356438" w:rsidRPr="00813D19">
        <w:rPr>
          <w:bCs/>
          <w:lang w:val="en-US"/>
        </w:rPr>
        <w:t>,</w:t>
      </w:r>
      <w:r w:rsidR="00971830" w:rsidRPr="00813D19">
        <w:rPr>
          <w:bCs/>
          <w:lang w:val="en-US"/>
        </w:rPr>
        <w:t xml:space="preserve"> and a publication </w:t>
      </w:r>
      <w:r w:rsidR="00256C76" w:rsidRPr="00813D19">
        <w:rPr>
          <w:bCs/>
          <w:lang w:val="en-US"/>
        </w:rPr>
        <w:t>on traditional food</w:t>
      </w:r>
      <w:r w:rsidR="00971830" w:rsidRPr="00813D19">
        <w:rPr>
          <w:bCs/>
          <w:lang w:val="en-US"/>
        </w:rPr>
        <w:t xml:space="preserve"> </w:t>
      </w:r>
      <w:r w:rsidR="00683365" w:rsidRPr="00813D19">
        <w:rPr>
          <w:bCs/>
          <w:lang w:val="en-US"/>
        </w:rPr>
        <w:t xml:space="preserve">was planned </w:t>
      </w:r>
      <w:r w:rsidR="00971830" w:rsidRPr="00813D19">
        <w:rPr>
          <w:bCs/>
          <w:lang w:val="en-US"/>
        </w:rPr>
        <w:t>in 2019</w:t>
      </w:r>
      <w:r w:rsidR="00256C76" w:rsidRPr="00813D19">
        <w:rPr>
          <w:bCs/>
          <w:lang w:val="en-US"/>
        </w:rPr>
        <w:t xml:space="preserve">. </w:t>
      </w:r>
      <w:r w:rsidR="00971830" w:rsidRPr="00813D19">
        <w:rPr>
          <w:bCs/>
          <w:lang w:val="en-US"/>
        </w:rPr>
        <w:t xml:space="preserve">The Forum had </w:t>
      </w:r>
      <w:r w:rsidR="00256C76" w:rsidRPr="00813D19">
        <w:rPr>
          <w:bCs/>
          <w:lang w:val="en-US"/>
        </w:rPr>
        <w:t xml:space="preserve">newly launched </w:t>
      </w:r>
      <w:hyperlink r:id="rId24" w:history="1">
        <w:r w:rsidR="00256C76" w:rsidRPr="00813D19">
          <w:rPr>
            <w:rStyle w:val="Hyperlink"/>
            <w:bCs/>
            <w:lang w:val="en-US"/>
          </w:rPr>
          <w:t>ichngo.net</w:t>
        </w:r>
      </w:hyperlink>
      <w:r w:rsidR="00256C76" w:rsidRPr="00813D19">
        <w:rPr>
          <w:bCs/>
          <w:lang w:val="en-US"/>
        </w:rPr>
        <w:t xml:space="preserve"> </w:t>
      </w:r>
      <w:r w:rsidR="00971830" w:rsidRPr="00813D19">
        <w:rPr>
          <w:bCs/>
          <w:lang w:val="en-US"/>
        </w:rPr>
        <w:t>to facilitate the</w:t>
      </w:r>
      <w:r w:rsidR="00256C76" w:rsidRPr="00813D19">
        <w:rPr>
          <w:bCs/>
          <w:lang w:val="en-US"/>
        </w:rPr>
        <w:t xml:space="preserve"> sharing of </w:t>
      </w:r>
      <w:r w:rsidR="00971830" w:rsidRPr="00813D19">
        <w:rPr>
          <w:bCs/>
          <w:lang w:val="en-US"/>
        </w:rPr>
        <w:t>intangible cultural heritage practices and</w:t>
      </w:r>
      <w:r w:rsidR="00256C76" w:rsidRPr="00813D19">
        <w:rPr>
          <w:bCs/>
          <w:lang w:val="en-US"/>
        </w:rPr>
        <w:t xml:space="preserve"> events</w:t>
      </w:r>
      <w:r w:rsidR="00971830" w:rsidRPr="00813D19">
        <w:rPr>
          <w:bCs/>
          <w:lang w:val="en-US"/>
        </w:rPr>
        <w:t xml:space="preserve"> to complement</w:t>
      </w:r>
      <w:r w:rsidR="00256C76" w:rsidRPr="00813D19">
        <w:rPr>
          <w:bCs/>
          <w:lang w:val="en-US"/>
        </w:rPr>
        <w:t xml:space="preserve"> the Forum </w:t>
      </w:r>
      <w:hyperlink r:id="rId25" w:history="1">
        <w:r w:rsidR="00256C76" w:rsidRPr="00813D19">
          <w:rPr>
            <w:rStyle w:val="Hyperlink"/>
            <w:bCs/>
            <w:lang w:val="en-US"/>
          </w:rPr>
          <w:t>website</w:t>
        </w:r>
      </w:hyperlink>
      <w:r w:rsidR="00256C76" w:rsidRPr="00813D19">
        <w:rPr>
          <w:bCs/>
          <w:lang w:val="en-US"/>
        </w:rPr>
        <w:t xml:space="preserve">. </w:t>
      </w:r>
      <w:r w:rsidR="00971830" w:rsidRPr="00813D19">
        <w:rPr>
          <w:bCs/>
          <w:lang w:val="en-US"/>
        </w:rPr>
        <w:t>The Forum also introduced</w:t>
      </w:r>
      <w:r w:rsidR="00256C76" w:rsidRPr="00813D19">
        <w:rPr>
          <w:bCs/>
          <w:lang w:val="en-US"/>
        </w:rPr>
        <w:t xml:space="preserve"> an ethics programme </w:t>
      </w:r>
      <w:r w:rsidR="00971830" w:rsidRPr="00813D19">
        <w:rPr>
          <w:bCs/>
          <w:lang w:val="en-US"/>
        </w:rPr>
        <w:t xml:space="preserve">in response </w:t>
      </w:r>
      <w:r w:rsidR="00356438" w:rsidRPr="00813D19">
        <w:rPr>
          <w:bCs/>
          <w:lang w:val="en-US"/>
        </w:rPr>
        <w:t>to the E</w:t>
      </w:r>
      <w:r w:rsidR="00256C76" w:rsidRPr="00813D19">
        <w:rPr>
          <w:bCs/>
          <w:lang w:val="en-US"/>
        </w:rPr>
        <w:t>thica</w:t>
      </w:r>
      <w:r w:rsidR="00356438" w:rsidRPr="00813D19">
        <w:rPr>
          <w:bCs/>
          <w:lang w:val="en-US"/>
        </w:rPr>
        <w:t>l P</w:t>
      </w:r>
      <w:r w:rsidR="003A3A57" w:rsidRPr="00813D19">
        <w:rPr>
          <w:bCs/>
          <w:lang w:val="en-US"/>
        </w:rPr>
        <w:t>rinciples of the Convention</w:t>
      </w:r>
      <w:r w:rsidR="00971830" w:rsidRPr="00813D19">
        <w:rPr>
          <w:bCs/>
          <w:lang w:val="en-US"/>
        </w:rPr>
        <w:t xml:space="preserve"> and took </w:t>
      </w:r>
      <w:r w:rsidR="00256C76" w:rsidRPr="00813D19">
        <w:rPr>
          <w:bCs/>
          <w:lang w:val="en-US"/>
        </w:rPr>
        <w:t>initiatives for consultation</w:t>
      </w:r>
      <w:r w:rsidR="00971830" w:rsidRPr="00813D19">
        <w:rPr>
          <w:bCs/>
          <w:lang w:val="en-US"/>
        </w:rPr>
        <w:t>s</w:t>
      </w:r>
      <w:r w:rsidR="00256C76" w:rsidRPr="00813D19">
        <w:rPr>
          <w:bCs/>
          <w:lang w:val="en-US"/>
        </w:rPr>
        <w:t xml:space="preserve"> on the role of NGOs </w:t>
      </w:r>
      <w:r w:rsidR="00971830" w:rsidRPr="00813D19">
        <w:rPr>
          <w:bCs/>
          <w:lang w:val="en-US"/>
        </w:rPr>
        <w:t xml:space="preserve">in </w:t>
      </w:r>
      <w:r w:rsidR="00256C76" w:rsidRPr="00813D19">
        <w:rPr>
          <w:bCs/>
          <w:lang w:val="en-US"/>
        </w:rPr>
        <w:t xml:space="preserve">the implementation of the </w:t>
      </w:r>
      <w:r w:rsidR="00971830" w:rsidRPr="00813D19">
        <w:rPr>
          <w:bCs/>
          <w:lang w:val="en-US"/>
        </w:rPr>
        <w:t xml:space="preserve">Convention. The 2018 </w:t>
      </w:r>
      <w:r w:rsidR="0070024C" w:rsidRPr="00813D19">
        <w:rPr>
          <w:bCs/>
          <w:lang w:val="en-US"/>
        </w:rPr>
        <w:t>ICHNGO</w:t>
      </w:r>
      <w:r w:rsidR="00256C76" w:rsidRPr="00813D19">
        <w:rPr>
          <w:bCs/>
          <w:lang w:val="en-US"/>
        </w:rPr>
        <w:t xml:space="preserve"> Forum Symposium held </w:t>
      </w:r>
      <w:r w:rsidR="00971830" w:rsidRPr="00813D19">
        <w:rPr>
          <w:bCs/>
          <w:lang w:val="en-US"/>
        </w:rPr>
        <w:t xml:space="preserve">the previous day </w:t>
      </w:r>
      <w:r w:rsidR="0059476E">
        <w:rPr>
          <w:bCs/>
          <w:lang w:val="en-US"/>
        </w:rPr>
        <w:t xml:space="preserve">had </w:t>
      </w:r>
      <w:r w:rsidR="00256C76" w:rsidRPr="00813D19">
        <w:rPr>
          <w:bCs/>
          <w:lang w:val="en-US"/>
        </w:rPr>
        <w:t xml:space="preserve">focused on the roles of NGOs in implementing the Convention. Three NGO meetings </w:t>
      </w:r>
      <w:r w:rsidR="0059476E">
        <w:rPr>
          <w:bCs/>
          <w:lang w:val="en-US"/>
        </w:rPr>
        <w:t>had been</w:t>
      </w:r>
      <w:r w:rsidR="0059476E" w:rsidRPr="00813D19">
        <w:rPr>
          <w:bCs/>
          <w:lang w:val="en-US"/>
        </w:rPr>
        <w:t xml:space="preserve"> </w:t>
      </w:r>
      <w:r w:rsidR="00256C76" w:rsidRPr="00813D19">
        <w:rPr>
          <w:bCs/>
          <w:lang w:val="en-US"/>
        </w:rPr>
        <w:t>held in 2018</w:t>
      </w:r>
      <w:r w:rsidR="0059476E">
        <w:rPr>
          <w:bCs/>
          <w:lang w:val="en-US"/>
        </w:rPr>
        <w:t>, which were</w:t>
      </w:r>
      <w:r w:rsidR="00256C76" w:rsidRPr="00813D19">
        <w:rPr>
          <w:bCs/>
          <w:lang w:val="en-US"/>
        </w:rPr>
        <w:t xml:space="preserve"> devoted</w:t>
      </w:r>
      <w:r w:rsidR="0059476E">
        <w:rPr>
          <w:bCs/>
          <w:lang w:val="en-US"/>
        </w:rPr>
        <w:t>,</w:t>
      </w:r>
      <w:r w:rsidR="00256C76" w:rsidRPr="00813D19">
        <w:rPr>
          <w:bCs/>
          <w:lang w:val="en-US"/>
        </w:rPr>
        <w:t xml:space="preserve"> </w:t>
      </w:r>
      <w:r w:rsidR="00971830" w:rsidRPr="00813D19">
        <w:rPr>
          <w:bCs/>
          <w:i/>
          <w:lang w:val="en-US"/>
        </w:rPr>
        <w:t>inter alia</w:t>
      </w:r>
      <w:r w:rsidR="0059476E">
        <w:rPr>
          <w:bCs/>
          <w:lang w:val="en-US"/>
        </w:rPr>
        <w:t xml:space="preserve">, </w:t>
      </w:r>
      <w:r w:rsidR="00256C76" w:rsidRPr="00813D19">
        <w:rPr>
          <w:bCs/>
          <w:lang w:val="en-US"/>
        </w:rPr>
        <w:t xml:space="preserve">to </w:t>
      </w:r>
      <w:r w:rsidR="00971830" w:rsidRPr="00813D19">
        <w:rPr>
          <w:bCs/>
          <w:lang w:val="en-US"/>
        </w:rPr>
        <w:t xml:space="preserve">the </w:t>
      </w:r>
      <w:r w:rsidR="00256C76" w:rsidRPr="00813D19">
        <w:rPr>
          <w:bCs/>
          <w:lang w:val="en-US"/>
        </w:rPr>
        <w:t xml:space="preserve">process </w:t>
      </w:r>
      <w:r w:rsidR="00971830" w:rsidRPr="00813D19">
        <w:rPr>
          <w:bCs/>
          <w:lang w:val="en-US"/>
        </w:rPr>
        <w:t xml:space="preserve">of further </w:t>
      </w:r>
      <w:r w:rsidR="0059476E">
        <w:rPr>
          <w:bCs/>
          <w:lang w:val="en-US"/>
        </w:rPr>
        <w:t>developing</w:t>
      </w:r>
      <w:r w:rsidR="0059476E" w:rsidRPr="00813D19">
        <w:rPr>
          <w:bCs/>
          <w:lang w:val="en-US"/>
        </w:rPr>
        <w:t xml:space="preserve"> </w:t>
      </w:r>
      <w:r w:rsidR="00256C76" w:rsidRPr="00813D19">
        <w:rPr>
          <w:bCs/>
          <w:lang w:val="en-US"/>
        </w:rPr>
        <w:t>a number of suggestions</w:t>
      </w:r>
      <w:r w:rsidR="00971830" w:rsidRPr="00813D19">
        <w:rPr>
          <w:bCs/>
          <w:lang w:val="en-US"/>
        </w:rPr>
        <w:t xml:space="preserve">, </w:t>
      </w:r>
      <w:r w:rsidR="0059476E">
        <w:rPr>
          <w:bCs/>
          <w:lang w:val="en-US"/>
        </w:rPr>
        <w:t>from</w:t>
      </w:r>
      <w:r w:rsidR="00971830" w:rsidRPr="00813D19">
        <w:rPr>
          <w:bCs/>
          <w:lang w:val="en-US"/>
        </w:rPr>
        <w:t xml:space="preserve"> the </w:t>
      </w:r>
      <w:r w:rsidR="00256C76" w:rsidRPr="00813D19">
        <w:rPr>
          <w:bCs/>
          <w:lang w:val="en-US"/>
        </w:rPr>
        <w:t xml:space="preserve">mapping </w:t>
      </w:r>
      <w:r w:rsidR="00971830" w:rsidRPr="00813D19">
        <w:rPr>
          <w:bCs/>
          <w:lang w:val="en-US"/>
        </w:rPr>
        <w:t xml:space="preserve">of </w:t>
      </w:r>
      <w:r w:rsidR="00256C76" w:rsidRPr="00813D19">
        <w:rPr>
          <w:bCs/>
          <w:lang w:val="en-US"/>
        </w:rPr>
        <w:t xml:space="preserve">possible contributions of NGOs in </w:t>
      </w:r>
      <w:r w:rsidR="0059476E">
        <w:rPr>
          <w:bCs/>
          <w:lang w:val="en-US"/>
        </w:rPr>
        <w:t>line</w:t>
      </w:r>
      <w:r w:rsidR="0059476E" w:rsidRPr="00813D19">
        <w:rPr>
          <w:bCs/>
          <w:lang w:val="en-US"/>
        </w:rPr>
        <w:t xml:space="preserve"> </w:t>
      </w:r>
      <w:r w:rsidR="00256C76" w:rsidRPr="00813D19">
        <w:rPr>
          <w:bCs/>
          <w:lang w:val="en-US"/>
        </w:rPr>
        <w:t>with the functions o</w:t>
      </w:r>
      <w:r w:rsidR="00683365" w:rsidRPr="00813D19">
        <w:rPr>
          <w:bCs/>
          <w:lang w:val="en-US"/>
        </w:rPr>
        <w:t xml:space="preserve">f the Committee and the overall </w:t>
      </w:r>
      <w:r w:rsidR="00256C76" w:rsidRPr="00813D19">
        <w:rPr>
          <w:bCs/>
          <w:lang w:val="en-US"/>
        </w:rPr>
        <w:t>results framework, to strengthen</w:t>
      </w:r>
      <w:r w:rsidR="00971830" w:rsidRPr="00813D19">
        <w:rPr>
          <w:bCs/>
          <w:lang w:val="en-US"/>
        </w:rPr>
        <w:t>ing</w:t>
      </w:r>
      <w:r w:rsidR="00256C76" w:rsidRPr="00813D19">
        <w:rPr>
          <w:bCs/>
          <w:lang w:val="en-US"/>
        </w:rPr>
        <w:t xml:space="preserve"> the capacities of accredited NGOs in relation to </w:t>
      </w:r>
      <w:r w:rsidR="00971830" w:rsidRPr="00813D19">
        <w:rPr>
          <w:bCs/>
          <w:lang w:val="en-US"/>
        </w:rPr>
        <w:t>their possible roles</w:t>
      </w:r>
      <w:r w:rsidR="00256C76" w:rsidRPr="00813D19">
        <w:rPr>
          <w:bCs/>
          <w:lang w:val="en-US"/>
        </w:rPr>
        <w:t xml:space="preserve">. </w:t>
      </w:r>
      <w:r w:rsidR="00971830" w:rsidRPr="00813D19">
        <w:rPr>
          <w:bCs/>
          <w:lang w:val="en-US"/>
        </w:rPr>
        <w:t xml:space="preserve">Moreover, </w:t>
      </w:r>
      <w:r w:rsidR="00256C76" w:rsidRPr="00813D19">
        <w:rPr>
          <w:bCs/>
          <w:lang w:val="en-US"/>
        </w:rPr>
        <w:t xml:space="preserve">NGOs </w:t>
      </w:r>
      <w:r w:rsidR="00971830" w:rsidRPr="00813D19">
        <w:rPr>
          <w:bCs/>
          <w:lang w:val="en-US"/>
        </w:rPr>
        <w:t xml:space="preserve">could </w:t>
      </w:r>
      <w:r w:rsidR="00256C76" w:rsidRPr="00813D19">
        <w:rPr>
          <w:bCs/>
          <w:lang w:val="en-US"/>
        </w:rPr>
        <w:t xml:space="preserve">play a crucial role </w:t>
      </w:r>
      <w:r w:rsidR="00971830" w:rsidRPr="00813D19">
        <w:rPr>
          <w:bCs/>
          <w:lang w:val="en-US"/>
        </w:rPr>
        <w:t xml:space="preserve">in </w:t>
      </w:r>
      <w:r w:rsidR="00256C76" w:rsidRPr="00813D19">
        <w:rPr>
          <w:bCs/>
          <w:lang w:val="en-US"/>
        </w:rPr>
        <w:t xml:space="preserve">mediation, facilitation and cultural brokerage with respect to cultivating local to global safeguarding processes in </w:t>
      </w:r>
      <w:r w:rsidR="00971830" w:rsidRPr="00813D19">
        <w:rPr>
          <w:bCs/>
          <w:lang w:val="en-US"/>
        </w:rPr>
        <w:t>intangible cultural heritage</w:t>
      </w:r>
      <w:r w:rsidR="00256C76" w:rsidRPr="00813D19">
        <w:rPr>
          <w:bCs/>
          <w:lang w:val="en-US"/>
        </w:rPr>
        <w:t xml:space="preserve">. This mediation role </w:t>
      </w:r>
      <w:r w:rsidR="00971830" w:rsidRPr="00813D19">
        <w:rPr>
          <w:bCs/>
          <w:lang w:val="en-US"/>
        </w:rPr>
        <w:t xml:space="preserve">was already </w:t>
      </w:r>
      <w:r w:rsidR="00256C76" w:rsidRPr="00813D19">
        <w:rPr>
          <w:bCs/>
          <w:lang w:val="en-US"/>
        </w:rPr>
        <w:t>highlighted in the debates of the Committee and the General Assembly</w:t>
      </w:r>
      <w:r w:rsidR="00971830" w:rsidRPr="00813D19">
        <w:rPr>
          <w:bCs/>
          <w:lang w:val="en-US"/>
        </w:rPr>
        <w:t>,</w:t>
      </w:r>
      <w:r w:rsidR="00256C76" w:rsidRPr="00813D19">
        <w:rPr>
          <w:bCs/>
          <w:lang w:val="en-US"/>
        </w:rPr>
        <w:t xml:space="preserve"> </w:t>
      </w:r>
      <w:r w:rsidR="00971830" w:rsidRPr="00813D19">
        <w:rPr>
          <w:bCs/>
          <w:lang w:val="en-US"/>
        </w:rPr>
        <w:t xml:space="preserve">as well as </w:t>
      </w:r>
      <w:r w:rsidR="00256C76" w:rsidRPr="00813D19">
        <w:rPr>
          <w:bCs/>
          <w:lang w:val="en-US"/>
        </w:rPr>
        <w:t xml:space="preserve">in the new </w:t>
      </w:r>
      <w:r w:rsidR="00683365" w:rsidRPr="00813D19">
        <w:rPr>
          <w:bCs/>
          <w:lang w:val="en-US"/>
        </w:rPr>
        <w:t xml:space="preserve">chapter on sustainable development in the </w:t>
      </w:r>
      <w:r w:rsidR="00256C76" w:rsidRPr="00813D19">
        <w:rPr>
          <w:bCs/>
          <w:lang w:val="en-US"/>
        </w:rPr>
        <w:t>2016 Operational Directives</w:t>
      </w:r>
      <w:r w:rsidR="00971830" w:rsidRPr="00813D19">
        <w:rPr>
          <w:bCs/>
          <w:lang w:val="en-US"/>
        </w:rPr>
        <w:t>.</w:t>
      </w:r>
    </w:p>
    <w:p w14:paraId="1EA2313A" w14:textId="5E0240CD" w:rsidR="00CA17B1" w:rsidRPr="001928D5" w:rsidRDefault="00CA17B1" w:rsidP="00CA17B1">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Representative </w:t>
      </w:r>
      <w:r w:rsidR="00582C01" w:rsidRPr="00813D19">
        <w:rPr>
          <w:b/>
          <w:color w:val="000000" w:themeColor="text1"/>
          <w:lang w:val="en-US"/>
        </w:rPr>
        <w:t>of the ICH</w:t>
      </w:r>
      <w:r w:rsidR="00971830" w:rsidRPr="00813D19">
        <w:rPr>
          <w:b/>
          <w:color w:val="000000" w:themeColor="text1"/>
          <w:lang w:val="en-US"/>
        </w:rPr>
        <w:t>NGO Forum</w:t>
      </w:r>
      <w:r w:rsidR="00811D0D" w:rsidRPr="00813D19">
        <w:rPr>
          <w:b/>
          <w:color w:val="000000" w:themeColor="text1"/>
          <w:lang w:val="en-US"/>
        </w:rPr>
        <w:t xml:space="preserve">, </w:t>
      </w:r>
      <w:r w:rsidR="00A965FC" w:rsidRPr="00813D19">
        <w:rPr>
          <w:bCs/>
          <w:lang w:val="en-US"/>
        </w:rPr>
        <w:t>Ms Reme Sakr</w:t>
      </w:r>
      <w:r w:rsidR="00811D0D" w:rsidRPr="00813D19">
        <w:rPr>
          <w:bCs/>
          <w:lang w:val="en-US"/>
        </w:rPr>
        <w:t>,</w:t>
      </w:r>
      <w:r w:rsidR="00811D0D" w:rsidRPr="00813D19">
        <w:rPr>
          <w:color w:val="000000" w:themeColor="text1"/>
          <w:lang w:val="en-US"/>
        </w:rPr>
        <w:t xml:space="preserve"> </w:t>
      </w:r>
      <w:r w:rsidR="00683365" w:rsidRPr="00813D19">
        <w:rPr>
          <w:color w:val="000000" w:themeColor="text1"/>
          <w:lang w:val="en-US"/>
        </w:rPr>
        <w:t xml:space="preserve">spoke of the Forum’s </w:t>
      </w:r>
      <w:r w:rsidR="00256C76" w:rsidRPr="00813D19">
        <w:rPr>
          <w:bCs/>
          <w:lang w:val="en-US"/>
        </w:rPr>
        <w:t>satisfaction with</w:t>
      </w:r>
      <w:r w:rsidR="00BC60FA" w:rsidRPr="00813D19">
        <w:rPr>
          <w:bCs/>
          <w:lang w:val="en-US"/>
        </w:rPr>
        <w:t xml:space="preserve"> the transparent nature and dialogue</w:t>
      </w:r>
      <w:r w:rsidR="00256C76" w:rsidRPr="00813D19">
        <w:rPr>
          <w:bCs/>
          <w:lang w:val="en-US"/>
        </w:rPr>
        <w:t xml:space="preserve"> </w:t>
      </w:r>
      <w:r w:rsidR="00813D19" w:rsidRPr="00813D19">
        <w:rPr>
          <w:bCs/>
          <w:lang w:val="en-US"/>
        </w:rPr>
        <w:t>concerning</w:t>
      </w:r>
      <w:r w:rsidR="00BC60FA" w:rsidRPr="00813D19">
        <w:rPr>
          <w:bCs/>
          <w:lang w:val="en-US"/>
        </w:rPr>
        <w:t xml:space="preserve"> the </w:t>
      </w:r>
      <w:r w:rsidR="00256C76" w:rsidRPr="00813D19">
        <w:rPr>
          <w:bCs/>
          <w:lang w:val="en-US"/>
        </w:rPr>
        <w:t xml:space="preserve">reflection </w:t>
      </w:r>
      <w:r w:rsidR="00BC60FA" w:rsidRPr="00813D19">
        <w:rPr>
          <w:bCs/>
          <w:lang w:val="en-US"/>
        </w:rPr>
        <w:t xml:space="preserve">process </w:t>
      </w:r>
      <w:r w:rsidR="00256C76" w:rsidRPr="00813D19">
        <w:rPr>
          <w:bCs/>
          <w:lang w:val="en-US"/>
        </w:rPr>
        <w:t xml:space="preserve">on the ways </w:t>
      </w:r>
      <w:r w:rsidR="0059476E">
        <w:rPr>
          <w:bCs/>
          <w:lang w:val="en-US"/>
        </w:rPr>
        <w:t xml:space="preserve">in which </w:t>
      </w:r>
      <w:r w:rsidR="00811D0D" w:rsidRPr="00813D19">
        <w:rPr>
          <w:bCs/>
          <w:lang w:val="en-US"/>
        </w:rPr>
        <w:t>NGOs</w:t>
      </w:r>
      <w:r w:rsidR="00BC60FA" w:rsidRPr="00813D19">
        <w:rPr>
          <w:bCs/>
          <w:lang w:val="en-US"/>
        </w:rPr>
        <w:t xml:space="preserve"> could participate and further </w:t>
      </w:r>
      <w:r w:rsidR="0059476E" w:rsidRPr="00813D19">
        <w:rPr>
          <w:bCs/>
          <w:lang w:val="en-US"/>
        </w:rPr>
        <w:t xml:space="preserve">contribute </w:t>
      </w:r>
      <w:r w:rsidR="00256C76" w:rsidRPr="00813D19">
        <w:rPr>
          <w:bCs/>
          <w:lang w:val="en-US"/>
        </w:rPr>
        <w:t xml:space="preserve">to the development of the </w:t>
      </w:r>
      <w:r w:rsidR="00256C76" w:rsidRPr="00813D19">
        <w:rPr>
          <w:bCs/>
          <w:lang w:val="en-US"/>
        </w:rPr>
        <w:lastRenderedPageBreak/>
        <w:t xml:space="preserve">current accreditation system. </w:t>
      </w:r>
      <w:r w:rsidR="00BC60FA" w:rsidRPr="00813D19">
        <w:rPr>
          <w:bCs/>
          <w:lang w:val="en-US"/>
        </w:rPr>
        <w:t xml:space="preserve">The Forum thus looked forward to the </w:t>
      </w:r>
      <w:r w:rsidR="00256C76" w:rsidRPr="00813D19">
        <w:rPr>
          <w:bCs/>
          <w:lang w:val="en-US"/>
        </w:rPr>
        <w:t>learning</w:t>
      </w:r>
      <w:r w:rsidR="00BC60FA" w:rsidRPr="00813D19">
        <w:rPr>
          <w:bCs/>
          <w:lang w:val="en-US"/>
        </w:rPr>
        <w:t xml:space="preserve">s and results </w:t>
      </w:r>
      <w:r w:rsidR="0059476E">
        <w:rPr>
          <w:bCs/>
          <w:lang w:val="en-US"/>
        </w:rPr>
        <w:t>of</w:t>
      </w:r>
      <w:r w:rsidR="0059476E" w:rsidRPr="00813D19">
        <w:rPr>
          <w:bCs/>
          <w:lang w:val="en-US"/>
        </w:rPr>
        <w:t xml:space="preserve"> </w:t>
      </w:r>
      <w:r w:rsidR="00256C76" w:rsidRPr="00813D19">
        <w:rPr>
          <w:bCs/>
          <w:lang w:val="en-US"/>
        </w:rPr>
        <w:t>the online consultation along with the Secretariat and the ad hoc working group</w:t>
      </w:r>
      <w:r w:rsidR="00BC60FA" w:rsidRPr="00813D19">
        <w:rPr>
          <w:bCs/>
          <w:lang w:val="en-US"/>
        </w:rPr>
        <w:t xml:space="preserve">, as well as </w:t>
      </w:r>
      <w:r w:rsidR="00256C76" w:rsidRPr="00813D19">
        <w:rPr>
          <w:bCs/>
          <w:lang w:val="en-US"/>
        </w:rPr>
        <w:t xml:space="preserve">recommendations and decisions </w:t>
      </w:r>
      <w:r w:rsidR="00BC60FA" w:rsidRPr="00813D19">
        <w:rPr>
          <w:bCs/>
          <w:lang w:val="en-US"/>
        </w:rPr>
        <w:t xml:space="preserve">to be </w:t>
      </w:r>
      <w:r w:rsidR="00256C76" w:rsidRPr="00813D19">
        <w:rPr>
          <w:bCs/>
          <w:lang w:val="en-US"/>
        </w:rPr>
        <w:t xml:space="preserve">taken at </w:t>
      </w:r>
      <w:r w:rsidR="00BC60FA" w:rsidRPr="00813D19">
        <w:rPr>
          <w:bCs/>
          <w:lang w:val="en-US"/>
        </w:rPr>
        <w:t xml:space="preserve">the present session and into the fourteenth </w:t>
      </w:r>
      <w:r w:rsidR="00811D0D" w:rsidRPr="00813D19">
        <w:rPr>
          <w:bCs/>
          <w:lang w:val="en-US"/>
        </w:rPr>
        <w:t>s</w:t>
      </w:r>
      <w:r w:rsidR="00BC60FA" w:rsidRPr="00813D19">
        <w:rPr>
          <w:bCs/>
          <w:lang w:val="en-US"/>
        </w:rPr>
        <w:t>essio</w:t>
      </w:r>
      <w:r w:rsidR="00811D0D" w:rsidRPr="00813D19">
        <w:rPr>
          <w:bCs/>
          <w:lang w:val="en-US"/>
        </w:rPr>
        <w:t>n</w:t>
      </w:r>
      <w:r w:rsidR="00BC60FA" w:rsidRPr="00813D19">
        <w:rPr>
          <w:bCs/>
          <w:lang w:val="en-US"/>
        </w:rPr>
        <w:t xml:space="preserve"> of the Committee. Moreover, during this session, the </w:t>
      </w:r>
      <w:r w:rsidR="0070024C" w:rsidRPr="00813D19">
        <w:rPr>
          <w:bCs/>
          <w:lang w:val="en-US"/>
        </w:rPr>
        <w:t>ICHNGO</w:t>
      </w:r>
      <w:r w:rsidR="00256C76" w:rsidRPr="00813D19">
        <w:rPr>
          <w:bCs/>
          <w:lang w:val="en-US"/>
        </w:rPr>
        <w:t xml:space="preserve"> Forum </w:t>
      </w:r>
      <w:r w:rsidR="00BC60FA" w:rsidRPr="00813D19">
        <w:rPr>
          <w:bCs/>
          <w:lang w:val="en-US"/>
        </w:rPr>
        <w:t xml:space="preserve">would have </w:t>
      </w:r>
      <w:r w:rsidR="00256C76" w:rsidRPr="00813D19">
        <w:rPr>
          <w:bCs/>
          <w:lang w:val="en-US"/>
        </w:rPr>
        <w:t>its first fully elected steering committee with each of the six regions represented</w:t>
      </w:r>
      <w:r w:rsidR="00BC60FA" w:rsidRPr="00813D19">
        <w:rPr>
          <w:bCs/>
          <w:lang w:val="en-US"/>
        </w:rPr>
        <w:t>,</w:t>
      </w:r>
      <w:r w:rsidR="00256C76" w:rsidRPr="00813D19">
        <w:rPr>
          <w:bCs/>
          <w:lang w:val="en-US"/>
        </w:rPr>
        <w:t xml:space="preserve"> along with a seat reserved for international NGOs</w:t>
      </w:r>
      <w:r w:rsidR="00811D0D" w:rsidRPr="00813D19">
        <w:rPr>
          <w:bCs/>
          <w:lang w:val="en-US"/>
        </w:rPr>
        <w:t xml:space="preserve"> so as</w:t>
      </w:r>
      <w:r w:rsidR="00256C76" w:rsidRPr="00813D19">
        <w:rPr>
          <w:bCs/>
          <w:lang w:val="en-US"/>
        </w:rPr>
        <w:t xml:space="preserve"> to maximize the exchange </w:t>
      </w:r>
      <w:r w:rsidR="00BC60FA" w:rsidRPr="00813D19">
        <w:rPr>
          <w:bCs/>
          <w:lang w:val="en-US"/>
        </w:rPr>
        <w:t>of experiences and develop</w:t>
      </w:r>
      <w:r w:rsidR="00256C76" w:rsidRPr="00813D19">
        <w:rPr>
          <w:bCs/>
          <w:lang w:val="en-US"/>
        </w:rPr>
        <w:t xml:space="preserve"> </w:t>
      </w:r>
      <w:r w:rsidR="00BC60FA" w:rsidRPr="00813D19">
        <w:rPr>
          <w:bCs/>
          <w:lang w:val="en-US"/>
        </w:rPr>
        <w:t xml:space="preserve">its </w:t>
      </w:r>
      <w:r w:rsidR="00256C76" w:rsidRPr="00813D19">
        <w:rPr>
          <w:bCs/>
          <w:lang w:val="en-US"/>
        </w:rPr>
        <w:t xml:space="preserve">governance structure and guarantee good participation. This steering committee </w:t>
      </w:r>
      <w:r w:rsidR="0059476E" w:rsidRPr="00813D19">
        <w:rPr>
          <w:bCs/>
          <w:lang w:val="en-US"/>
        </w:rPr>
        <w:t>w</w:t>
      </w:r>
      <w:r w:rsidR="0059476E">
        <w:rPr>
          <w:bCs/>
          <w:lang w:val="en-US"/>
        </w:rPr>
        <w:t>ould</w:t>
      </w:r>
      <w:r w:rsidR="0059476E" w:rsidRPr="00813D19">
        <w:rPr>
          <w:bCs/>
          <w:lang w:val="en-US"/>
        </w:rPr>
        <w:t xml:space="preserve"> </w:t>
      </w:r>
      <w:r w:rsidR="00256C76" w:rsidRPr="00813D19">
        <w:rPr>
          <w:bCs/>
          <w:lang w:val="en-US"/>
        </w:rPr>
        <w:t>play an integral role in the training of regional NGOs on regional network building and reporting</w:t>
      </w:r>
      <w:r w:rsidR="00BC60FA" w:rsidRPr="00813D19">
        <w:rPr>
          <w:bCs/>
          <w:lang w:val="en-US"/>
        </w:rPr>
        <w:t>,</w:t>
      </w:r>
      <w:r w:rsidR="00256C76" w:rsidRPr="00813D19">
        <w:rPr>
          <w:bCs/>
          <w:lang w:val="en-US"/>
        </w:rPr>
        <w:t xml:space="preserve"> as well as on outreach programmes. </w:t>
      </w:r>
      <w:r w:rsidR="00BC60FA" w:rsidRPr="00813D19">
        <w:rPr>
          <w:bCs/>
          <w:lang w:val="en-US"/>
        </w:rPr>
        <w:t>T</w:t>
      </w:r>
      <w:r w:rsidR="00256C76" w:rsidRPr="00813D19">
        <w:rPr>
          <w:bCs/>
          <w:lang w:val="en-US"/>
        </w:rPr>
        <w:t xml:space="preserve">he </w:t>
      </w:r>
      <w:r w:rsidR="00BC60FA" w:rsidRPr="00813D19">
        <w:rPr>
          <w:bCs/>
          <w:lang w:val="en-US"/>
        </w:rPr>
        <w:t xml:space="preserve">Forum consistently called on </w:t>
      </w:r>
      <w:r w:rsidR="00256C76" w:rsidRPr="00813D19">
        <w:rPr>
          <w:bCs/>
          <w:lang w:val="en-US"/>
        </w:rPr>
        <w:t xml:space="preserve">and </w:t>
      </w:r>
      <w:r w:rsidR="00BC60FA" w:rsidRPr="00813D19">
        <w:rPr>
          <w:bCs/>
          <w:lang w:val="en-US"/>
        </w:rPr>
        <w:t>made great efforts</w:t>
      </w:r>
      <w:r w:rsidR="00256C76" w:rsidRPr="00813D19">
        <w:rPr>
          <w:bCs/>
          <w:lang w:val="en-US"/>
        </w:rPr>
        <w:t xml:space="preserve"> to better communicate a</w:t>
      </w:r>
      <w:r w:rsidR="00BC60FA" w:rsidRPr="00813D19">
        <w:rPr>
          <w:bCs/>
          <w:lang w:val="en-US"/>
        </w:rPr>
        <w:t xml:space="preserve">nd connect with States Parties, </w:t>
      </w:r>
      <w:r w:rsidR="00DD6FA0" w:rsidRPr="00813D19">
        <w:rPr>
          <w:bCs/>
          <w:lang w:val="en-US"/>
        </w:rPr>
        <w:t>and it reiterated</w:t>
      </w:r>
      <w:r w:rsidR="00256C76" w:rsidRPr="00813D19">
        <w:rPr>
          <w:bCs/>
          <w:lang w:val="en-US"/>
        </w:rPr>
        <w:t xml:space="preserve"> this call to deepen communication and strengthen collaboration to further develop regional networks and the capacities of NGOs wor</w:t>
      </w:r>
      <w:r w:rsidR="001928D5">
        <w:rPr>
          <w:bCs/>
          <w:lang w:val="en-US"/>
        </w:rPr>
        <w:t>king under the 2003 Convention.</w:t>
      </w:r>
    </w:p>
    <w:p w14:paraId="2A5C7A2F" w14:textId="2F1AE501" w:rsidR="00670E50" w:rsidRPr="00813D19" w:rsidRDefault="002D2F08" w:rsidP="000B2336">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thanked the representatives for the interesting presentation, </w:t>
      </w:r>
      <w:r w:rsidR="000D2502" w:rsidRPr="00813D19">
        <w:rPr>
          <w:lang w:val="en-US"/>
        </w:rPr>
        <w:t xml:space="preserve">remarking that the Committee was </w:t>
      </w:r>
      <w:r w:rsidRPr="00813D19">
        <w:rPr>
          <w:lang w:val="en-US"/>
        </w:rPr>
        <w:t xml:space="preserve">fully </w:t>
      </w:r>
      <w:r w:rsidR="000D2502" w:rsidRPr="00813D19">
        <w:rPr>
          <w:lang w:val="en-US"/>
        </w:rPr>
        <w:t xml:space="preserve">cognizant of the Forum’s </w:t>
      </w:r>
      <w:r w:rsidRPr="00813D19">
        <w:rPr>
          <w:lang w:val="en-US"/>
        </w:rPr>
        <w:t>implementation of the Convention and the s</w:t>
      </w:r>
      <w:r w:rsidR="000D2502" w:rsidRPr="00813D19">
        <w:rPr>
          <w:lang w:val="en-US"/>
        </w:rPr>
        <w:t xml:space="preserve">afeguarding of living heritage, and that </w:t>
      </w:r>
      <w:r w:rsidRPr="00813D19">
        <w:rPr>
          <w:lang w:val="en-US"/>
        </w:rPr>
        <w:t xml:space="preserve">most of </w:t>
      </w:r>
      <w:r w:rsidR="000D2502" w:rsidRPr="00813D19">
        <w:rPr>
          <w:lang w:val="en-US"/>
        </w:rPr>
        <w:t xml:space="preserve">its </w:t>
      </w:r>
      <w:r w:rsidRPr="00813D19">
        <w:rPr>
          <w:lang w:val="en-US"/>
        </w:rPr>
        <w:t xml:space="preserve">members </w:t>
      </w:r>
      <w:r w:rsidR="000D2502" w:rsidRPr="00813D19">
        <w:rPr>
          <w:lang w:val="en-US"/>
        </w:rPr>
        <w:t>were voluntarily</w:t>
      </w:r>
      <w:r w:rsidRPr="00813D19">
        <w:rPr>
          <w:lang w:val="en-US"/>
        </w:rPr>
        <w:t xml:space="preserve"> </w:t>
      </w:r>
      <w:r w:rsidR="000D2502" w:rsidRPr="00813D19">
        <w:rPr>
          <w:lang w:val="en-US"/>
        </w:rPr>
        <w:t xml:space="preserve">contributing </w:t>
      </w:r>
      <w:r w:rsidRPr="00813D19">
        <w:rPr>
          <w:lang w:val="en-US"/>
        </w:rPr>
        <w:t xml:space="preserve">their </w:t>
      </w:r>
      <w:r w:rsidR="0059476E">
        <w:rPr>
          <w:lang w:val="en-US"/>
        </w:rPr>
        <w:t>own</w:t>
      </w:r>
      <w:r w:rsidR="0059476E" w:rsidRPr="00813D19">
        <w:rPr>
          <w:lang w:val="en-US"/>
        </w:rPr>
        <w:t xml:space="preserve"> </w:t>
      </w:r>
      <w:r w:rsidRPr="00813D19">
        <w:rPr>
          <w:lang w:val="en-US"/>
        </w:rPr>
        <w:t xml:space="preserve">time to support this cause. </w:t>
      </w:r>
      <w:r w:rsidR="000D2502" w:rsidRPr="00813D19">
        <w:rPr>
          <w:lang w:val="en-US"/>
        </w:rPr>
        <w:t xml:space="preserve">It was indeed an </w:t>
      </w:r>
      <w:r w:rsidRPr="00813D19">
        <w:rPr>
          <w:lang w:val="en-US"/>
        </w:rPr>
        <w:t xml:space="preserve">inspiring example for all. </w:t>
      </w:r>
      <w:r w:rsidR="000D2502" w:rsidRPr="00813D19">
        <w:rPr>
          <w:lang w:val="en-US"/>
        </w:rPr>
        <w:t xml:space="preserve">The Chairperson noted </w:t>
      </w:r>
      <w:r w:rsidRPr="00813D19">
        <w:rPr>
          <w:lang w:val="en-US"/>
        </w:rPr>
        <w:t xml:space="preserve">that a discussion </w:t>
      </w:r>
      <w:r w:rsidR="000D2502" w:rsidRPr="00813D19">
        <w:rPr>
          <w:lang w:val="en-US"/>
        </w:rPr>
        <w:t xml:space="preserve">under agenda item 13 would </w:t>
      </w:r>
      <w:r w:rsidRPr="00813D19">
        <w:rPr>
          <w:lang w:val="en-US"/>
        </w:rPr>
        <w:t>further reflect on the participation of NGOs in the im</w:t>
      </w:r>
      <w:r w:rsidR="000D2502" w:rsidRPr="00813D19">
        <w:rPr>
          <w:lang w:val="en-US"/>
        </w:rPr>
        <w:t xml:space="preserve">plementation of the Convention, and he took the </w:t>
      </w:r>
      <w:r w:rsidRPr="00813D19">
        <w:rPr>
          <w:lang w:val="en-US"/>
        </w:rPr>
        <w:t xml:space="preserve">opportunity to personally thank the Forum for its continuous efforts and to acknowledge the vital role </w:t>
      </w:r>
      <w:r w:rsidR="000D2502" w:rsidRPr="00813D19">
        <w:rPr>
          <w:lang w:val="en-US"/>
        </w:rPr>
        <w:t xml:space="preserve">NGOs </w:t>
      </w:r>
      <w:r w:rsidR="0066663E" w:rsidRPr="00813D19">
        <w:rPr>
          <w:lang w:val="en-US"/>
        </w:rPr>
        <w:t xml:space="preserve">play </w:t>
      </w:r>
      <w:r w:rsidRPr="00813D19">
        <w:rPr>
          <w:lang w:val="en-US"/>
        </w:rPr>
        <w:t xml:space="preserve">in the implementation of the Convention at the national and international levels in safeguarding intangible cultural heritage. </w:t>
      </w:r>
      <w:r w:rsidR="008F4AA5" w:rsidRPr="00813D19">
        <w:rPr>
          <w:lang w:val="en-US"/>
        </w:rPr>
        <w:t xml:space="preserve">Before giving the floor to the Secretary, </w:t>
      </w:r>
      <w:r w:rsidR="008F4AA5" w:rsidRPr="00813D19">
        <w:rPr>
          <w:color w:val="000000" w:themeColor="text1"/>
          <w:lang w:val="en-US"/>
        </w:rPr>
        <w:t>t</w:t>
      </w:r>
      <w:r w:rsidR="00670E50" w:rsidRPr="00813D19">
        <w:rPr>
          <w:color w:val="000000" w:themeColor="text1"/>
          <w:lang w:val="en-US"/>
        </w:rPr>
        <w:t>he Chairperson</w:t>
      </w:r>
      <w:r w:rsidR="009B2F2E" w:rsidRPr="00813D19">
        <w:rPr>
          <w:lang w:val="en-US"/>
        </w:rPr>
        <w:t xml:space="preserve"> invite</w:t>
      </w:r>
      <w:r w:rsidR="008F4AA5" w:rsidRPr="00813D19">
        <w:rPr>
          <w:lang w:val="en-US"/>
        </w:rPr>
        <w:t>d</w:t>
      </w:r>
      <w:r w:rsidR="009B2F2E" w:rsidRPr="00813D19">
        <w:rPr>
          <w:lang w:val="en-US"/>
        </w:rPr>
        <w:t xml:space="preserve"> the Committee to take a moment to pay homage to two experts, </w:t>
      </w:r>
      <w:r w:rsidR="0066663E" w:rsidRPr="00813D19">
        <w:rPr>
          <w:b/>
          <w:lang w:val="en-US"/>
        </w:rPr>
        <w:t>Ms</w:t>
      </w:r>
      <w:r w:rsidR="000B2336">
        <w:rPr>
          <w:b/>
          <w:lang w:val="en-US"/>
        </w:rPr>
        <w:t> </w:t>
      </w:r>
      <w:r w:rsidR="009B2F2E" w:rsidRPr="00813D19">
        <w:rPr>
          <w:b/>
          <w:lang w:val="en-US"/>
        </w:rPr>
        <w:t>Yelena Khorosh</w:t>
      </w:r>
      <w:r w:rsidR="009B2F2E" w:rsidRPr="00813D19">
        <w:rPr>
          <w:lang w:val="en-US"/>
        </w:rPr>
        <w:t xml:space="preserve"> from Kazakhstan and </w:t>
      </w:r>
      <w:r w:rsidR="009B2F2E" w:rsidRPr="00813D19">
        <w:rPr>
          <w:b/>
          <w:lang w:val="en-US"/>
        </w:rPr>
        <w:t>Mr Edward Jubara</w:t>
      </w:r>
      <w:r w:rsidR="009B2F2E" w:rsidRPr="00813D19">
        <w:rPr>
          <w:lang w:val="en-US"/>
        </w:rPr>
        <w:t xml:space="preserve"> from South Sudan</w:t>
      </w:r>
      <w:r w:rsidR="0059476E">
        <w:rPr>
          <w:lang w:val="en-US"/>
        </w:rPr>
        <w:t>,</w:t>
      </w:r>
      <w:r w:rsidR="008F4AA5" w:rsidRPr="00813D19">
        <w:rPr>
          <w:lang w:val="en-US"/>
        </w:rPr>
        <w:t xml:space="preserve"> who had recently </w:t>
      </w:r>
      <w:r w:rsidR="009B2F2E" w:rsidRPr="00813D19">
        <w:rPr>
          <w:lang w:val="en-US"/>
        </w:rPr>
        <w:t xml:space="preserve">passed away as they </w:t>
      </w:r>
      <w:r w:rsidR="008F4AA5" w:rsidRPr="00813D19">
        <w:rPr>
          <w:lang w:val="en-US"/>
        </w:rPr>
        <w:t>prepared to attend this session</w:t>
      </w:r>
      <w:r w:rsidR="009B2F2E" w:rsidRPr="00813D19">
        <w:rPr>
          <w:lang w:val="en-US"/>
        </w:rPr>
        <w:t xml:space="preserve">. </w:t>
      </w:r>
      <w:r w:rsidR="0066663E" w:rsidRPr="00813D19">
        <w:rPr>
          <w:lang w:val="en-US"/>
        </w:rPr>
        <w:t>T</w:t>
      </w:r>
      <w:r w:rsidR="008F4AA5" w:rsidRPr="00813D19">
        <w:rPr>
          <w:lang w:val="en-US"/>
        </w:rPr>
        <w:t xml:space="preserve">he delegation of Kazakhstan </w:t>
      </w:r>
      <w:r w:rsidR="0066663E" w:rsidRPr="00813D19">
        <w:rPr>
          <w:lang w:val="en-US"/>
        </w:rPr>
        <w:t xml:space="preserve">was invited </w:t>
      </w:r>
      <w:r w:rsidR="008F4AA5" w:rsidRPr="00813D19">
        <w:rPr>
          <w:lang w:val="en-US"/>
        </w:rPr>
        <w:t>to say a few words</w:t>
      </w:r>
      <w:r w:rsidR="009B2F2E" w:rsidRPr="00813D19">
        <w:rPr>
          <w:lang w:val="en-US"/>
        </w:rPr>
        <w:t>.</w:t>
      </w:r>
    </w:p>
    <w:p w14:paraId="478C2CBD" w14:textId="0C924F37" w:rsidR="0071093B" w:rsidRPr="001928D5" w:rsidRDefault="0071093B" w:rsidP="00CA17B1">
      <w:pPr>
        <w:pStyle w:val="Orateurengris"/>
        <w:spacing w:before="120"/>
        <w:ind w:left="709" w:hanging="709"/>
        <w:rPr>
          <w:bCs/>
          <w:color w:val="000000" w:themeColor="text1"/>
          <w:lang w:val="en-US"/>
        </w:rPr>
      </w:pPr>
      <w:r w:rsidRPr="00813D19">
        <w:rPr>
          <w:color w:val="000000" w:themeColor="text1"/>
          <w:lang w:val="en-US"/>
        </w:rPr>
        <w:t xml:space="preserve">The </w:t>
      </w:r>
      <w:r w:rsidRPr="003221D5">
        <w:rPr>
          <w:b/>
          <w:bCs/>
          <w:color w:val="000000" w:themeColor="text1"/>
          <w:lang w:val="en-US"/>
        </w:rPr>
        <w:t>delegation of K</w:t>
      </w:r>
      <w:r w:rsidRPr="00813D19">
        <w:rPr>
          <w:b/>
          <w:color w:val="000000" w:themeColor="text1"/>
          <w:lang w:val="en-US"/>
        </w:rPr>
        <w:t>azakhstan</w:t>
      </w:r>
      <w:r w:rsidR="0087278C" w:rsidRPr="00813D19">
        <w:rPr>
          <w:b/>
          <w:color w:val="000000" w:themeColor="text1"/>
          <w:lang w:val="en-US"/>
        </w:rPr>
        <w:t xml:space="preserve"> </w:t>
      </w:r>
      <w:r w:rsidR="00BC60FA" w:rsidRPr="00813D19">
        <w:rPr>
          <w:color w:val="000000" w:themeColor="text1"/>
          <w:lang w:val="en-US"/>
        </w:rPr>
        <w:t>began by</w:t>
      </w:r>
      <w:r w:rsidR="00BC60FA" w:rsidRPr="003221D5">
        <w:rPr>
          <w:bCs/>
          <w:color w:val="000000" w:themeColor="text1"/>
          <w:lang w:val="en-US"/>
        </w:rPr>
        <w:t xml:space="preserve"> </w:t>
      </w:r>
      <w:r w:rsidR="00BC60FA" w:rsidRPr="00813D19">
        <w:rPr>
          <w:bCs/>
          <w:lang w:val="en-US"/>
        </w:rPr>
        <w:t>congratulating</w:t>
      </w:r>
      <w:r w:rsidR="0087278C" w:rsidRPr="00813D19">
        <w:rPr>
          <w:bCs/>
          <w:lang w:val="en-US"/>
        </w:rPr>
        <w:t xml:space="preserve"> the host country and the Secretariat </w:t>
      </w:r>
      <w:r w:rsidR="00E00793" w:rsidRPr="00813D19">
        <w:rPr>
          <w:bCs/>
          <w:lang w:val="en-US"/>
        </w:rPr>
        <w:t xml:space="preserve">for the excellent arrangements, </w:t>
      </w:r>
      <w:r w:rsidR="0066663E" w:rsidRPr="00813D19">
        <w:rPr>
          <w:bCs/>
          <w:lang w:val="en-US"/>
        </w:rPr>
        <w:t xml:space="preserve">and </w:t>
      </w:r>
      <w:r w:rsidR="00E00793" w:rsidRPr="00813D19">
        <w:rPr>
          <w:bCs/>
          <w:lang w:val="en-US"/>
        </w:rPr>
        <w:t xml:space="preserve">then spoke of </w:t>
      </w:r>
      <w:r w:rsidR="0059476E">
        <w:rPr>
          <w:bCs/>
          <w:lang w:val="en-US"/>
        </w:rPr>
        <w:t>their</w:t>
      </w:r>
      <w:r w:rsidR="0059476E" w:rsidRPr="00813D19">
        <w:rPr>
          <w:bCs/>
          <w:lang w:val="en-US"/>
        </w:rPr>
        <w:t xml:space="preserve"> </w:t>
      </w:r>
      <w:r w:rsidR="00E00793" w:rsidRPr="00813D19">
        <w:rPr>
          <w:bCs/>
          <w:lang w:val="en-US"/>
        </w:rPr>
        <w:t xml:space="preserve">sadness in </w:t>
      </w:r>
      <w:r w:rsidR="0087278C" w:rsidRPr="00813D19">
        <w:rPr>
          <w:bCs/>
          <w:lang w:val="en-US"/>
        </w:rPr>
        <w:t>inform</w:t>
      </w:r>
      <w:r w:rsidR="00E00793" w:rsidRPr="00813D19">
        <w:rPr>
          <w:bCs/>
          <w:lang w:val="en-US"/>
        </w:rPr>
        <w:t>ing</w:t>
      </w:r>
      <w:r w:rsidR="0087278C" w:rsidRPr="00813D19">
        <w:rPr>
          <w:bCs/>
          <w:lang w:val="en-US"/>
        </w:rPr>
        <w:t xml:space="preserve"> </w:t>
      </w:r>
      <w:r w:rsidR="00E00793" w:rsidRPr="00813D19">
        <w:rPr>
          <w:bCs/>
          <w:lang w:val="en-US"/>
        </w:rPr>
        <w:t xml:space="preserve">the Committee </w:t>
      </w:r>
      <w:r w:rsidR="0087278C" w:rsidRPr="00813D19">
        <w:rPr>
          <w:bCs/>
          <w:lang w:val="en-US"/>
        </w:rPr>
        <w:t xml:space="preserve">of the untimely passing of a leading expert of Kazakhstan’s national committee for </w:t>
      </w:r>
      <w:r w:rsidR="00E00793" w:rsidRPr="00813D19">
        <w:rPr>
          <w:bCs/>
          <w:lang w:val="en-US"/>
        </w:rPr>
        <w:t>intangible cultural heritage, Dr Yelena Kh</w:t>
      </w:r>
      <w:r w:rsidR="00732FFF" w:rsidRPr="00813D19">
        <w:rPr>
          <w:bCs/>
          <w:lang w:val="en-US"/>
        </w:rPr>
        <w:t>oro</w:t>
      </w:r>
      <w:r w:rsidR="00E00793" w:rsidRPr="00813D19">
        <w:rPr>
          <w:bCs/>
          <w:lang w:val="en-US"/>
        </w:rPr>
        <w:t>sh,</w:t>
      </w:r>
      <w:r w:rsidR="0087278C" w:rsidRPr="00813D19">
        <w:rPr>
          <w:bCs/>
          <w:lang w:val="en-US"/>
        </w:rPr>
        <w:t xml:space="preserve"> on 17 October 2018</w:t>
      </w:r>
      <w:r w:rsidR="00E00793" w:rsidRPr="00813D19">
        <w:rPr>
          <w:bCs/>
          <w:lang w:val="en-US"/>
        </w:rPr>
        <w:t>. B</w:t>
      </w:r>
      <w:r w:rsidR="0087278C" w:rsidRPr="00813D19">
        <w:rPr>
          <w:bCs/>
          <w:lang w:val="en-US"/>
        </w:rPr>
        <w:t xml:space="preserve">orn in 1957 in Almaty, Kazakhstan, Dr </w:t>
      </w:r>
      <w:r w:rsidR="0066663E" w:rsidRPr="00813D19">
        <w:rPr>
          <w:lang w:val="en-US"/>
        </w:rPr>
        <w:t>Khoro</w:t>
      </w:r>
      <w:r w:rsidR="00E00793" w:rsidRPr="00813D19">
        <w:rPr>
          <w:lang w:val="en-US"/>
        </w:rPr>
        <w:t>sh</w:t>
      </w:r>
      <w:r w:rsidR="0087278C" w:rsidRPr="00813D19">
        <w:rPr>
          <w:bCs/>
          <w:lang w:val="en-US"/>
        </w:rPr>
        <w:t xml:space="preserve"> graduated in 1981 as an architect from the Almaty Institute of Architecture and Construction. She </w:t>
      </w:r>
      <w:r w:rsidR="00E00793" w:rsidRPr="00813D19">
        <w:rPr>
          <w:bCs/>
          <w:lang w:val="en-US"/>
        </w:rPr>
        <w:t>had</w:t>
      </w:r>
      <w:r w:rsidR="0087278C" w:rsidRPr="00813D19">
        <w:rPr>
          <w:bCs/>
          <w:lang w:val="en-US"/>
        </w:rPr>
        <w:t xml:space="preserve"> long been involved in the protection of cultural heritage of Kazakhstan</w:t>
      </w:r>
      <w:r w:rsidR="00E00793" w:rsidRPr="00813D19">
        <w:rPr>
          <w:bCs/>
          <w:lang w:val="en-US"/>
        </w:rPr>
        <w:t>,</w:t>
      </w:r>
      <w:r w:rsidR="0087278C" w:rsidRPr="00813D19">
        <w:rPr>
          <w:bCs/>
          <w:lang w:val="en-US"/>
        </w:rPr>
        <w:t xml:space="preserve"> particularly following </w:t>
      </w:r>
      <w:r w:rsidR="00E00793" w:rsidRPr="00813D19">
        <w:rPr>
          <w:bCs/>
          <w:lang w:val="en-US"/>
        </w:rPr>
        <w:t xml:space="preserve">Kazakhstan’s accession to </w:t>
      </w:r>
      <w:r w:rsidR="0087278C" w:rsidRPr="00813D19">
        <w:rPr>
          <w:bCs/>
          <w:lang w:val="en-US"/>
        </w:rPr>
        <w:t>UNESCO in 1992</w:t>
      </w:r>
      <w:r w:rsidR="00E00793" w:rsidRPr="00813D19">
        <w:rPr>
          <w:bCs/>
          <w:lang w:val="en-US"/>
        </w:rPr>
        <w:t xml:space="preserve"> having </w:t>
      </w:r>
      <w:r w:rsidR="0087278C" w:rsidRPr="00813D19">
        <w:rPr>
          <w:bCs/>
          <w:lang w:val="en-US"/>
        </w:rPr>
        <w:t>participated in a n</w:t>
      </w:r>
      <w:r w:rsidR="00E00793" w:rsidRPr="00813D19">
        <w:rPr>
          <w:bCs/>
          <w:lang w:val="en-US"/>
        </w:rPr>
        <w:t>umber of international training</w:t>
      </w:r>
      <w:r w:rsidR="0059476E">
        <w:rPr>
          <w:bCs/>
          <w:lang w:val="en-US"/>
        </w:rPr>
        <w:t xml:space="preserve"> initiatives</w:t>
      </w:r>
      <w:r w:rsidR="0087278C" w:rsidRPr="00813D19">
        <w:rPr>
          <w:bCs/>
          <w:lang w:val="en-US"/>
        </w:rPr>
        <w:t xml:space="preserve"> in the field of safeguarding heritage sites. Dr K</w:t>
      </w:r>
      <w:r w:rsidR="0055108D" w:rsidRPr="00813D19">
        <w:rPr>
          <w:bCs/>
          <w:lang w:val="en-US"/>
        </w:rPr>
        <w:t>horo</w:t>
      </w:r>
      <w:r w:rsidR="0087278C" w:rsidRPr="00813D19">
        <w:rPr>
          <w:bCs/>
          <w:lang w:val="en-US"/>
        </w:rPr>
        <w:t>sh</w:t>
      </w:r>
      <w:r w:rsidR="00E00793" w:rsidRPr="00813D19">
        <w:rPr>
          <w:bCs/>
          <w:lang w:val="en-US"/>
        </w:rPr>
        <w:t xml:space="preserve"> was the</w:t>
      </w:r>
      <w:r w:rsidR="0087278C" w:rsidRPr="00813D19">
        <w:rPr>
          <w:bCs/>
          <w:lang w:val="en-US"/>
        </w:rPr>
        <w:t xml:space="preserve"> first Kazakh </w:t>
      </w:r>
      <w:r w:rsidR="00E00793" w:rsidRPr="00813D19">
        <w:rPr>
          <w:bCs/>
          <w:lang w:val="en-US"/>
        </w:rPr>
        <w:t xml:space="preserve">to </w:t>
      </w:r>
      <w:r w:rsidR="0087278C" w:rsidRPr="00813D19">
        <w:rPr>
          <w:bCs/>
          <w:lang w:val="en-US"/>
        </w:rPr>
        <w:t>report on the implementation of the World Heritage Convention</w:t>
      </w:r>
      <w:r w:rsidR="00E00793" w:rsidRPr="00813D19">
        <w:rPr>
          <w:bCs/>
          <w:lang w:val="en-US"/>
        </w:rPr>
        <w:t>,</w:t>
      </w:r>
      <w:r w:rsidR="0087278C" w:rsidRPr="00813D19">
        <w:rPr>
          <w:bCs/>
          <w:lang w:val="en-US"/>
        </w:rPr>
        <w:t xml:space="preserve"> and her knowledge and professionalism were instrumental in </w:t>
      </w:r>
      <w:r w:rsidR="0055108D" w:rsidRPr="00813D19">
        <w:rPr>
          <w:bCs/>
          <w:lang w:val="en-US"/>
        </w:rPr>
        <w:t>the country’s</w:t>
      </w:r>
      <w:r w:rsidR="0087278C" w:rsidRPr="00813D19">
        <w:rPr>
          <w:bCs/>
          <w:lang w:val="en-US"/>
        </w:rPr>
        <w:t xml:space="preserve"> earliest successful nominations to the World Heritage List: the Mausoleum of Khoj</w:t>
      </w:r>
      <w:r w:rsidR="0055108D" w:rsidRPr="00813D19">
        <w:rPr>
          <w:bCs/>
          <w:lang w:val="en-US"/>
        </w:rPr>
        <w:t>a Ahmed Yasawi in 2003 and the P</w:t>
      </w:r>
      <w:r w:rsidR="0087278C" w:rsidRPr="00813D19">
        <w:rPr>
          <w:bCs/>
          <w:lang w:val="en-US"/>
        </w:rPr>
        <w:t>et</w:t>
      </w:r>
      <w:r w:rsidR="0055108D" w:rsidRPr="00813D19">
        <w:rPr>
          <w:bCs/>
          <w:lang w:val="en-US"/>
        </w:rPr>
        <w:t>roglyphs within the Archaeological L</w:t>
      </w:r>
      <w:r w:rsidR="0087278C" w:rsidRPr="00813D19">
        <w:rPr>
          <w:bCs/>
          <w:lang w:val="en-US"/>
        </w:rPr>
        <w:t>andscape of Tamgaly in 2004. As an expert associated with ICOMOS</w:t>
      </w:r>
      <w:r w:rsidR="0055108D" w:rsidRPr="00813D19">
        <w:rPr>
          <w:bCs/>
          <w:lang w:val="en-US"/>
        </w:rPr>
        <w:t>,</w:t>
      </w:r>
      <w:r w:rsidR="0087278C" w:rsidRPr="00813D19">
        <w:rPr>
          <w:bCs/>
          <w:lang w:val="en-US"/>
        </w:rPr>
        <w:t xml:space="preserve"> she always played a significant role in helping prepare the nomination of sites</w:t>
      </w:r>
      <w:r w:rsidR="0055108D" w:rsidRPr="00813D19">
        <w:rPr>
          <w:bCs/>
          <w:lang w:val="en-US"/>
        </w:rPr>
        <w:t>,</w:t>
      </w:r>
      <w:r w:rsidR="0087278C" w:rsidRPr="00813D19">
        <w:rPr>
          <w:bCs/>
          <w:lang w:val="en-US"/>
        </w:rPr>
        <w:t xml:space="preserve"> including those along the historic Silk Roads with the neighbo</w:t>
      </w:r>
      <w:r w:rsidR="00FB131E">
        <w:rPr>
          <w:bCs/>
          <w:lang w:val="en-US"/>
        </w:rPr>
        <w:t>u</w:t>
      </w:r>
      <w:r w:rsidR="0087278C" w:rsidRPr="00813D19">
        <w:rPr>
          <w:bCs/>
          <w:lang w:val="en-US"/>
        </w:rPr>
        <w:t xml:space="preserve">ring countries of Central Asia. Following Kazakhstan’s ratification of the </w:t>
      </w:r>
      <w:r w:rsidR="0055108D" w:rsidRPr="00813D19">
        <w:rPr>
          <w:bCs/>
          <w:lang w:val="en-US"/>
        </w:rPr>
        <w:t xml:space="preserve">2003 </w:t>
      </w:r>
      <w:r w:rsidR="0087278C" w:rsidRPr="00813D19">
        <w:rPr>
          <w:bCs/>
          <w:lang w:val="en-US"/>
        </w:rPr>
        <w:t>Convention in December 2011</w:t>
      </w:r>
      <w:r w:rsidR="0055108D" w:rsidRPr="00813D19">
        <w:rPr>
          <w:bCs/>
          <w:lang w:val="en-US"/>
        </w:rPr>
        <w:t>, the National C</w:t>
      </w:r>
      <w:r w:rsidR="0087278C" w:rsidRPr="00813D19">
        <w:rPr>
          <w:bCs/>
          <w:lang w:val="en-US"/>
        </w:rPr>
        <w:t xml:space="preserve">ommission of the Republic of Kazakhstan for UNESCO and </w:t>
      </w:r>
      <w:r w:rsidR="0055108D" w:rsidRPr="00813D19">
        <w:rPr>
          <w:bCs/>
          <w:lang w:val="en-US"/>
        </w:rPr>
        <w:t>ISESC</w:t>
      </w:r>
      <w:r w:rsidR="00792B66">
        <w:rPr>
          <w:bCs/>
          <w:lang w:val="en-US"/>
        </w:rPr>
        <w:t>O</w:t>
      </w:r>
      <w:r w:rsidR="0055108D" w:rsidRPr="00813D19">
        <w:rPr>
          <w:bCs/>
          <w:lang w:val="en-US"/>
        </w:rPr>
        <w:t xml:space="preserve"> </w:t>
      </w:r>
      <w:r w:rsidR="00BF096D">
        <w:rPr>
          <w:bCs/>
          <w:lang w:val="en-US"/>
        </w:rPr>
        <w:t xml:space="preserve">had </w:t>
      </w:r>
      <w:r w:rsidR="0055108D" w:rsidRPr="00813D19">
        <w:rPr>
          <w:bCs/>
          <w:lang w:val="en-US"/>
        </w:rPr>
        <w:t xml:space="preserve">relied </w:t>
      </w:r>
      <w:r w:rsidR="0087278C" w:rsidRPr="00813D19">
        <w:rPr>
          <w:bCs/>
          <w:lang w:val="en-US"/>
        </w:rPr>
        <w:t xml:space="preserve">on </w:t>
      </w:r>
      <w:r w:rsidR="0055108D" w:rsidRPr="00813D19">
        <w:rPr>
          <w:bCs/>
          <w:lang w:val="en-US"/>
        </w:rPr>
        <w:t xml:space="preserve">her experience </w:t>
      </w:r>
      <w:r w:rsidR="0087278C" w:rsidRPr="00813D19">
        <w:rPr>
          <w:bCs/>
          <w:lang w:val="en-US"/>
        </w:rPr>
        <w:t xml:space="preserve">and expertise to support the work </w:t>
      </w:r>
      <w:r w:rsidR="0055108D" w:rsidRPr="00813D19">
        <w:rPr>
          <w:bCs/>
          <w:lang w:val="en-US"/>
        </w:rPr>
        <w:t>of the country’s newly created National C</w:t>
      </w:r>
      <w:r w:rsidR="0087278C" w:rsidRPr="00813D19">
        <w:rPr>
          <w:bCs/>
          <w:lang w:val="en-US"/>
        </w:rPr>
        <w:t>ommittee for ICH. As the committee’s expert</w:t>
      </w:r>
      <w:r w:rsidR="0055108D" w:rsidRPr="00813D19">
        <w:rPr>
          <w:bCs/>
          <w:lang w:val="en-US"/>
        </w:rPr>
        <w:t>,</w:t>
      </w:r>
      <w:r w:rsidR="0087278C" w:rsidRPr="00813D19">
        <w:rPr>
          <w:bCs/>
          <w:lang w:val="en-US"/>
        </w:rPr>
        <w:t xml:space="preserve"> she dedicated the last few years of her life to </w:t>
      </w:r>
      <w:r w:rsidR="00BF096D" w:rsidRPr="00813D19">
        <w:rPr>
          <w:bCs/>
          <w:lang w:val="en-US"/>
        </w:rPr>
        <w:t>prepar</w:t>
      </w:r>
      <w:r w:rsidR="00BF096D">
        <w:rPr>
          <w:bCs/>
          <w:lang w:val="en-US"/>
        </w:rPr>
        <w:t>ing</w:t>
      </w:r>
      <w:r w:rsidR="00BF096D" w:rsidRPr="00813D19">
        <w:rPr>
          <w:bCs/>
          <w:lang w:val="en-US"/>
        </w:rPr>
        <w:t xml:space="preserve"> </w:t>
      </w:r>
      <w:r w:rsidR="0087278C" w:rsidRPr="00813D19">
        <w:rPr>
          <w:bCs/>
          <w:lang w:val="en-US"/>
        </w:rPr>
        <w:t>a draft nomination of the traditional spring festive rites of the Kazakh horse breeders</w:t>
      </w:r>
      <w:r w:rsidR="0055108D" w:rsidRPr="00813D19">
        <w:rPr>
          <w:bCs/>
          <w:lang w:val="en-US"/>
        </w:rPr>
        <w:t>,</w:t>
      </w:r>
      <w:r w:rsidR="0087278C" w:rsidRPr="00813D19">
        <w:rPr>
          <w:bCs/>
          <w:lang w:val="en-US"/>
        </w:rPr>
        <w:t xml:space="preserve"> which </w:t>
      </w:r>
      <w:r w:rsidR="00BF096D">
        <w:rPr>
          <w:bCs/>
          <w:lang w:val="en-US"/>
        </w:rPr>
        <w:t>would</w:t>
      </w:r>
      <w:r w:rsidR="00BF096D" w:rsidRPr="00813D19">
        <w:rPr>
          <w:bCs/>
          <w:lang w:val="en-US"/>
        </w:rPr>
        <w:t xml:space="preserve"> </w:t>
      </w:r>
      <w:r w:rsidR="0087278C" w:rsidRPr="00813D19">
        <w:rPr>
          <w:bCs/>
          <w:lang w:val="en-US"/>
        </w:rPr>
        <w:t xml:space="preserve">be considered at </w:t>
      </w:r>
      <w:r w:rsidR="0055108D" w:rsidRPr="00813D19">
        <w:rPr>
          <w:bCs/>
          <w:lang w:val="en-US"/>
        </w:rPr>
        <w:t xml:space="preserve">the present </w:t>
      </w:r>
      <w:r w:rsidR="0087278C" w:rsidRPr="00813D19">
        <w:rPr>
          <w:bCs/>
          <w:lang w:val="en-US"/>
        </w:rPr>
        <w:t>session. An accomplished scholar</w:t>
      </w:r>
      <w:r w:rsidR="0055108D" w:rsidRPr="00813D19">
        <w:rPr>
          <w:bCs/>
          <w:lang w:val="en-US"/>
        </w:rPr>
        <w:t>,</w:t>
      </w:r>
      <w:r w:rsidR="0087278C" w:rsidRPr="00813D19">
        <w:rPr>
          <w:bCs/>
          <w:lang w:val="en-US"/>
        </w:rPr>
        <w:t xml:space="preserve"> Dr </w:t>
      </w:r>
      <w:r w:rsidR="0055108D" w:rsidRPr="00813D19">
        <w:rPr>
          <w:bCs/>
          <w:lang w:val="en-US"/>
        </w:rPr>
        <w:t>Khorosh w</w:t>
      </w:r>
      <w:r w:rsidR="0087278C" w:rsidRPr="00813D19">
        <w:rPr>
          <w:bCs/>
          <w:lang w:val="en-US"/>
        </w:rPr>
        <w:t xml:space="preserve">as passionate about safeguarding cultural heritage </w:t>
      </w:r>
      <w:r w:rsidR="00BF096D">
        <w:rPr>
          <w:bCs/>
          <w:lang w:val="en-US"/>
        </w:rPr>
        <w:t>not</w:t>
      </w:r>
      <w:r w:rsidR="0087278C" w:rsidRPr="00813D19">
        <w:rPr>
          <w:bCs/>
          <w:lang w:val="en-US"/>
        </w:rPr>
        <w:t xml:space="preserve"> only </w:t>
      </w:r>
      <w:r w:rsidR="00BF096D">
        <w:rPr>
          <w:bCs/>
          <w:lang w:val="en-US"/>
        </w:rPr>
        <w:t xml:space="preserve">of </w:t>
      </w:r>
      <w:r w:rsidR="0087278C" w:rsidRPr="00813D19">
        <w:rPr>
          <w:bCs/>
          <w:lang w:val="en-US"/>
        </w:rPr>
        <w:t>her country but of all humankind. In this respect</w:t>
      </w:r>
      <w:r w:rsidR="0055108D" w:rsidRPr="00813D19">
        <w:rPr>
          <w:bCs/>
          <w:lang w:val="en-US"/>
        </w:rPr>
        <w:t xml:space="preserve">, the delegation </w:t>
      </w:r>
      <w:r w:rsidR="0087278C" w:rsidRPr="00813D19">
        <w:rPr>
          <w:bCs/>
          <w:lang w:val="en-US"/>
        </w:rPr>
        <w:t>kindly ask</w:t>
      </w:r>
      <w:r w:rsidR="0055108D" w:rsidRPr="00813D19">
        <w:rPr>
          <w:bCs/>
          <w:lang w:val="en-US"/>
        </w:rPr>
        <w:t>ed</w:t>
      </w:r>
      <w:r w:rsidR="0087278C" w:rsidRPr="00813D19">
        <w:rPr>
          <w:bCs/>
          <w:lang w:val="en-US"/>
        </w:rPr>
        <w:t xml:space="preserve"> the Chairperson to consider proposing </w:t>
      </w:r>
      <w:r w:rsidR="0055108D" w:rsidRPr="00813D19">
        <w:rPr>
          <w:bCs/>
          <w:lang w:val="en-US"/>
        </w:rPr>
        <w:t xml:space="preserve">a </w:t>
      </w:r>
      <w:r w:rsidR="001928D5">
        <w:rPr>
          <w:bCs/>
          <w:lang w:val="en-US"/>
        </w:rPr>
        <w:t>moment of silence.</w:t>
      </w:r>
    </w:p>
    <w:p w14:paraId="3D25CD3C" w14:textId="37295AA1" w:rsidR="00365C89" w:rsidRPr="00813D19" w:rsidRDefault="00365C89" w:rsidP="000324C8">
      <w:pPr>
        <w:pStyle w:val="Orateurengris"/>
        <w:spacing w:before="120"/>
        <w:ind w:left="709" w:hanging="709"/>
        <w:rPr>
          <w:lang w:val="en-US"/>
        </w:rPr>
      </w:pPr>
      <w:r w:rsidRPr="00813D19">
        <w:rPr>
          <w:color w:val="000000" w:themeColor="text1"/>
          <w:lang w:val="en-US"/>
        </w:rPr>
        <w:t xml:space="preserve">In the absence of the delegation of South Sudan, the </w:t>
      </w:r>
      <w:r w:rsidRPr="00813D19">
        <w:rPr>
          <w:b/>
          <w:color w:val="000000" w:themeColor="text1"/>
          <w:lang w:val="en-US"/>
        </w:rPr>
        <w:t>Chairperson</w:t>
      </w:r>
      <w:r w:rsidRPr="00813D19">
        <w:rPr>
          <w:color w:val="000000" w:themeColor="text1"/>
          <w:lang w:val="en-US"/>
        </w:rPr>
        <w:t xml:space="preserve"> invited the Secretary to say a few words </w:t>
      </w:r>
      <w:r w:rsidR="000325F9" w:rsidRPr="00813D19">
        <w:rPr>
          <w:color w:val="000000" w:themeColor="text1"/>
          <w:lang w:val="en-US"/>
        </w:rPr>
        <w:t>about</w:t>
      </w:r>
      <w:r w:rsidRPr="00813D19">
        <w:rPr>
          <w:color w:val="000000" w:themeColor="text1"/>
          <w:lang w:val="en-US"/>
        </w:rPr>
        <w:t xml:space="preserve"> Mr Edward Jubara.</w:t>
      </w:r>
    </w:p>
    <w:p w14:paraId="53F7DBEC" w14:textId="4A32901B" w:rsidR="00CA17B1" w:rsidRPr="00813D19" w:rsidRDefault="00365C89" w:rsidP="006716A5">
      <w:pPr>
        <w:pStyle w:val="Orateurengris"/>
        <w:spacing w:after="0"/>
        <w:ind w:left="709" w:hanging="709"/>
        <w:rPr>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0325F9" w:rsidRPr="00813D19">
        <w:rPr>
          <w:color w:val="000000" w:themeColor="text1"/>
          <w:lang w:val="en-US"/>
        </w:rPr>
        <w:t xml:space="preserve">spoke of Mr Edward Jubara, </w:t>
      </w:r>
      <w:r w:rsidR="000324C8" w:rsidRPr="00813D19">
        <w:rPr>
          <w:lang w:val="en-US"/>
        </w:rPr>
        <w:t>Director-General of Archives and Antiquities fo</w:t>
      </w:r>
      <w:r w:rsidR="008F4AA5" w:rsidRPr="00813D19">
        <w:rPr>
          <w:lang w:val="en-US"/>
        </w:rPr>
        <w:t>r the Government of South Sudan</w:t>
      </w:r>
      <w:r w:rsidR="000325F9" w:rsidRPr="00813D19">
        <w:rPr>
          <w:lang w:val="en-US"/>
        </w:rPr>
        <w:t>,</w:t>
      </w:r>
      <w:r w:rsidR="008F4AA5" w:rsidRPr="00813D19">
        <w:rPr>
          <w:lang w:val="en-US"/>
        </w:rPr>
        <w:t xml:space="preserve"> as </w:t>
      </w:r>
      <w:r w:rsidR="00D12F4F" w:rsidRPr="00813D19">
        <w:rPr>
          <w:lang w:val="en-US"/>
        </w:rPr>
        <w:t xml:space="preserve">being </w:t>
      </w:r>
      <w:r w:rsidR="000324C8" w:rsidRPr="00813D19">
        <w:rPr>
          <w:lang w:val="en-US"/>
        </w:rPr>
        <w:t xml:space="preserve">instrumental in liaising between UNESCO and the Government to promote South Sudan’s ratification of the UNESCO </w:t>
      </w:r>
      <w:r w:rsidR="008F4AA5" w:rsidRPr="00813D19">
        <w:rPr>
          <w:lang w:val="en-US"/>
        </w:rPr>
        <w:t xml:space="preserve">culture </w:t>
      </w:r>
      <w:r w:rsidR="003E7512">
        <w:rPr>
          <w:lang w:val="en-US"/>
        </w:rPr>
        <w:t>C</w:t>
      </w:r>
      <w:r w:rsidR="000324C8" w:rsidRPr="00813D19">
        <w:rPr>
          <w:lang w:val="en-US"/>
        </w:rPr>
        <w:t>onventions, including the ratification of the 2003 Convention</w:t>
      </w:r>
      <w:r w:rsidR="00BF096D" w:rsidRPr="00BF096D">
        <w:rPr>
          <w:lang w:val="en-US"/>
        </w:rPr>
        <w:t xml:space="preserve"> </w:t>
      </w:r>
      <w:r w:rsidR="00BF096D" w:rsidRPr="00813D19">
        <w:rPr>
          <w:lang w:val="en-US"/>
        </w:rPr>
        <w:t>in 2016</w:t>
      </w:r>
      <w:r w:rsidR="000324C8" w:rsidRPr="00813D19">
        <w:rPr>
          <w:lang w:val="en-US"/>
        </w:rPr>
        <w:t xml:space="preserve">. Mr Jubara </w:t>
      </w:r>
      <w:r w:rsidR="00BF096D">
        <w:rPr>
          <w:lang w:val="en-US"/>
        </w:rPr>
        <w:t xml:space="preserve">had </w:t>
      </w:r>
      <w:r w:rsidR="000324C8" w:rsidRPr="00813D19">
        <w:rPr>
          <w:lang w:val="en-US"/>
        </w:rPr>
        <w:t>worked alongside</w:t>
      </w:r>
      <w:r w:rsidR="008F4AA5" w:rsidRPr="00813D19">
        <w:rPr>
          <w:lang w:val="en-US"/>
        </w:rPr>
        <w:t xml:space="preserve"> </w:t>
      </w:r>
      <w:r w:rsidR="008F4AA5" w:rsidRPr="00813D19">
        <w:rPr>
          <w:lang w:val="en-US"/>
        </w:rPr>
        <w:lastRenderedPageBreak/>
        <w:t>the Minister of Culture, Youth and Sports</w:t>
      </w:r>
      <w:r w:rsidR="000324C8" w:rsidRPr="00813D19">
        <w:rPr>
          <w:lang w:val="en-US"/>
        </w:rPr>
        <w:t xml:space="preserve"> to support safeguarding activities on the ground, which concretely led to the training of a team of experts in May </w:t>
      </w:r>
      <w:r w:rsidR="008F4AA5" w:rsidRPr="00813D19">
        <w:rPr>
          <w:lang w:val="en-US"/>
        </w:rPr>
        <w:t xml:space="preserve">2018 </w:t>
      </w:r>
      <w:r w:rsidR="000324C8" w:rsidRPr="00813D19">
        <w:rPr>
          <w:lang w:val="en-US"/>
        </w:rPr>
        <w:t xml:space="preserve">to inventory South Sudan’s rich intangible heritage. He </w:t>
      </w:r>
      <w:r w:rsidR="00BF096D">
        <w:rPr>
          <w:lang w:val="en-US"/>
        </w:rPr>
        <w:t xml:space="preserve">had </w:t>
      </w:r>
      <w:r w:rsidR="000324C8" w:rsidRPr="00813D19">
        <w:rPr>
          <w:lang w:val="en-US"/>
        </w:rPr>
        <w:t xml:space="preserve">represented his country at several </w:t>
      </w:r>
      <w:r w:rsidR="00D12F4F" w:rsidRPr="00813D19">
        <w:rPr>
          <w:lang w:val="en-US"/>
        </w:rPr>
        <w:t>Committee meetings</w:t>
      </w:r>
      <w:r w:rsidR="000324C8" w:rsidRPr="00813D19">
        <w:rPr>
          <w:lang w:val="en-US"/>
        </w:rPr>
        <w:t xml:space="preserve"> where he </w:t>
      </w:r>
      <w:r w:rsidR="00BF096D">
        <w:rPr>
          <w:lang w:val="en-US"/>
        </w:rPr>
        <w:t xml:space="preserve">had </w:t>
      </w:r>
      <w:r w:rsidR="000324C8" w:rsidRPr="00813D19">
        <w:rPr>
          <w:lang w:val="en-US"/>
        </w:rPr>
        <w:t xml:space="preserve">brought the needs and aspirations of South Sudan to the global agenda and expressed his confidence that safeguarding living heritage would help lay a solid foundation for the future development of the country. His commitment and passion </w:t>
      </w:r>
      <w:r w:rsidR="00D12F4F" w:rsidRPr="00813D19">
        <w:rPr>
          <w:lang w:val="en-US"/>
        </w:rPr>
        <w:t xml:space="preserve">would </w:t>
      </w:r>
      <w:r w:rsidR="000324C8" w:rsidRPr="00813D19">
        <w:rPr>
          <w:lang w:val="en-US"/>
        </w:rPr>
        <w:t xml:space="preserve">not be forgotten </w:t>
      </w:r>
      <w:r w:rsidR="00D12F4F" w:rsidRPr="00813D19">
        <w:rPr>
          <w:lang w:val="en-US"/>
        </w:rPr>
        <w:t xml:space="preserve">and </w:t>
      </w:r>
      <w:r w:rsidR="000324C8" w:rsidRPr="00813D19">
        <w:rPr>
          <w:lang w:val="en-US"/>
        </w:rPr>
        <w:t xml:space="preserve">heartfelt condolences </w:t>
      </w:r>
      <w:r w:rsidR="00D12F4F" w:rsidRPr="00813D19">
        <w:rPr>
          <w:lang w:val="en-US"/>
        </w:rPr>
        <w:t xml:space="preserve">went </w:t>
      </w:r>
      <w:r w:rsidR="000324C8" w:rsidRPr="00813D19">
        <w:rPr>
          <w:lang w:val="en-US"/>
        </w:rPr>
        <w:t>to his family.</w:t>
      </w:r>
    </w:p>
    <w:p w14:paraId="3A13B318" w14:textId="77777777" w:rsidR="006716A5" w:rsidRPr="00813D19" w:rsidRDefault="000324C8" w:rsidP="001928D5">
      <w:pPr>
        <w:pStyle w:val="Orateurengris"/>
        <w:numPr>
          <w:ilvl w:val="0"/>
          <w:numId w:val="0"/>
        </w:numPr>
        <w:spacing w:before="240" w:after="240"/>
        <w:jc w:val="center"/>
        <w:rPr>
          <w:i/>
          <w:lang w:val="en-US"/>
        </w:rPr>
      </w:pPr>
      <w:r w:rsidRPr="00813D19">
        <w:rPr>
          <w:i/>
          <w:lang w:val="en-US"/>
        </w:rPr>
        <w:t>[</w:t>
      </w:r>
      <w:r w:rsidR="00365C89" w:rsidRPr="00813D19">
        <w:rPr>
          <w:i/>
          <w:lang w:val="en-US"/>
        </w:rPr>
        <w:t>A m</w:t>
      </w:r>
      <w:r w:rsidRPr="00813D19">
        <w:rPr>
          <w:i/>
          <w:lang w:val="en-US"/>
        </w:rPr>
        <w:t>inute of silence</w:t>
      </w:r>
      <w:r w:rsidR="00365C89" w:rsidRPr="00813D19">
        <w:rPr>
          <w:i/>
          <w:lang w:val="en-US"/>
        </w:rPr>
        <w:t xml:space="preserve"> was respected</w:t>
      </w:r>
      <w:r w:rsidRPr="00813D19">
        <w:rPr>
          <w:i/>
          <w:lang w:val="en-US"/>
        </w:rPr>
        <w:t>]</w:t>
      </w:r>
    </w:p>
    <w:p w14:paraId="3745F216" w14:textId="20CA725E" w:rsidR="001A7177" w:rsidRPr="00813D19" w:rsidRDefault="001A7177" w:rsidP="00B67A60">
      <w:pPr>
        <w:pStyle w:val="Orateurengris"/>
        <w:numPr>
          <w:ilvl w:val="0"/>
          <w:numId w:val="0"/>
        </w:numPr>
        <w:spacing w:before="360" w:after="60"/>
        <w:outlineLvl w:val="0"/>
        <w:rPr>
          <w:i/>
          <w:lang w:val="en-US"/>
        </w:rPr>
      </w:pPr>
      <w:r w:rsidRPr="00813D19">
        <w:rPr>
          <w:b/>
          <w:color w:val="000000" w:themeColor="text1"/>
          <w:u w:val="single"/>
          <w:lang w:val="en-US"/>
        </w:rPr>
        <w:t>ITEM 5</w:t>
      </w:r>
      <w:r w:rsidR="002113CA" w:rsidRPr="00813D19">
        <w:rPr>
          <w:b/>
          <w:color w:val="000000" w:themeColor="text1"/>
          <w:u w:val="single"/>
          <w:lang w:val="en-US"/>
        </w:rPr>
        <w:t xml:space="preserve"> </w:t>
      </w:r>
      <w:r w:rsidRPr="00813D19">
        <w:rPr>
          <w:b/>
          <w:color w:val="000000" w:themeColor="text1"/>
          <w:u w:val="single"/>
          <w:lang w:val="en-US"/>
        </w:rPr>
        <w:t>OF THE AGENDA</w:t>
      </w:r>
    </w:p>
    <w:p w14:paraId="55943D61" w14:textId="03F21FFC" w:rsidR="001A7177" w:rsidRPr="00813D19" w:rsidRDefault="001A7177" w:rsidP="001928D5">
      <w:pPr>
        <w:pStyle w:val="Orateurengris"/>
        <w:numPr>
          <w:ilvl w:val="0"/>
          <w:numId w:val="0"/>
        </w:numPr>
        <w:outlineLvl w:val="1"/>
        <w:rPr>
          <w:b/>
          <w:color w:val="000000" w:themeColor="text1"/>
          <w:lang w:val="en-US"/>
        </w:rPr>
      </w:pPr>
      <w:r w:rsidRPr="00813D19">
        <w:rPr>
          <w:b/>
          <w:color w:val="000000" w:themeColor="text1"/>
          <w:lang w:val="en-US"/>
        </w:rPr>
        <w:t xml:space="preserve">REPORT BY THE </w:t>
      </w:r>
      <w:r w:rsidR="00C31CC2" w:rsidRPr="00813D19">
        <w:rPr>
          <w:b/>
          <w:color w:val="000000" w:themeColor="text1"/>
          <w:lang w:val="en-US"/>
        </w:rPr>
        <w:t>SECRETARIAT ON ITS ACTIVITIES</w:t>
      </w:r>
    </w:p>
    <w:p w14:paraId="6D676FF0" w14:textId="487B10FE" w:rsidR="00840F46" w:rsidRPr="001928D5" w:rsidRDefault="008A4CB4" w:rsidP="00B67A60">
      <w:pPr>
        <w:pStyle w:val="Orateurengris"/>
        <w:numPr>
          <w:ilvl w:val="0"/>
          <w:numId w:val="0"/>
        </w:numPr>
        <w:tabs>
          <w:tab w:val="clear" w:pos="709"/>
          <w:tab w:val="clear" w:pos="1418"/>
          <w:tab w:val="clear" w:pos="2126"/>
          <w:tab w:val="clear" w:pos="2835"/>
        </w:tabs>
        <w:spacing w:before="120" w:after="0"/>
        <w:ind w:left="709"/>
        <w:rPr>
          <w:bCs/>
          <w:i/>
          <w:lang w:val="en-US"/>
        </w:rPr>
      </w:pPr>
      <w:r w:rsidRPr="001928D5">
        <w:rPr>
          <w:b/>
          <w:color w:val="000000" w:themeColor="text1"/>
          <w:lang w:val="en-US"/>
        </w:rPr>
        <w:t>Document</w:t>
      </w:r>
      <w:r w:rsidR="001928D5">
        <w:rPr>
          <w:b/>
          <w:color w:val="000000" w:themeColor="text1"/>
          <w:lang w:val="en-US"/>
        </w:rPr>
        <w:t>s</w:t>
      </w:r>
      <w:r w:rsidR="001A7177" w:rsidRPr="001928D5">
        <w:rPr>
          <w:b/>
          <w:color w:val="000000" w:themeColor="text1"/>
          <w:lang w:val="en-US"/>
        </w:rPr>
        <w:t>:</w:t>
      </w:r>
      <w:r w:rsidR="001A7177" w:rsidRPr="001928D5">
        <w:rPr>
          <w:b/>
          <w:color w:val="000000" w:themeColor="text1"/>
          <w:lang w:val="en-US"/>
        </w:rPr>
        <w:tab/>
      </w:r>
      <w:hyperlink r:id="rId26" w:history="1">
        <w:r w:rsidR="002113CA" w:rsidRPr="001928D5">
          <w:rPr>
            <w:rStyle w:val="Hyperlink"/>
            <w:bCs/>
            <w:i/>
            <w:lang w:val="en-US"/>
          </w:rPr>
          <w:t>ITH/18/13</w:t>
        </w:r>
        <w:r w:rsidR="001A7177" w:rsidRPr="001928D5">
          <w:rPr>
            <w:rStyle w:val="Hyperlink"/>
            <w:bCs/>
            <w:i/>
            <w:lang w:val="en-US"/>
          </w:rPr>
          <w:t>.COM/</w:t>
        </w:r>
        <w:r w:rsidR="00840F46" w:rsidRPr="001928D5">
          <w:rPr>
            <w:rStyle w:val="Hyperlink"/>
            <w:bCs/>
            <w:i/>
            <w:lang w:val="en-US"/>
          </w:rPr>
          <w:t>5 Rev</w:t>
        </w:r>
      </w:hyperlink>
    </w:p>
    <w:p w14:paraId="312E6512" w14:textId="789D4F39" w:rsidR="00840F46" w:rsidRPr="001928D5" w:rsidRDefault="00840F46" w:rsidP="00B67A60">
      <w:pPr>
        <w:tabs>
          <w:tab w:val="left" w:pos="2126"/>
        </w:tabs>
        <w:ind w:firstLine="709"/>
        <w:rPr>
          <w:rFonts w:ascii="Arial" w:eastAsia="Times New Roman" w:hAnsi="Arial" w:cs="Arial"/>
          <w:sz w:val="22"/>
          <w:szCs w:val="22"/>
          <w:lang w:val="en-US"/>
        </w:rPr>
      </w:pPr>
      <w:r w:rsidRPr="001928D5">
        <w:rPr>
          <w:rFonts w:ascii="Arial" w:hAnsi="Arial" w:cs="Arial"/>
          <w:bCs/>
          <w:i/>
          <w:sz w:val="22"/>
          <w:szCs w:val="22"/>
          <w:lang w:val="en-US"/>
        </w:rPr>
        <w:tab/>
      </w:r>
      <w:hyperlink r:id="rId27" w:history="1">
        <w:r w:rsidRPr="001928D5">
          <w:rPr>
            <w:rStyle w:val="Hyperlink"/>
            <w:rFonts w:ascii="Arial" w:hAnsi="Arial" w:cs="Arial"/>
            <w:bCs/>
            <w:i/>
            <w:snapToGrid w:val="0"/>
            <w:sz w:val="22"/>
            <w:szCs w:val="22"/>
            <w:lang w:val="en-US" w:eastAsia="en-US"/>
          </w:rPr>
          <w:t>ITH/18/13.COM/INF.5.1</w:t>
        </w:r>
      </w:hyperlink>
    </w:p>
    <w:p w14:paraId="6A4AD011" w14:textId="6B9A0DDF" w:rsidR="00840F46" w:rsidRPr="001928D5" w:rsidRDefault="00840F46" w:rsidP="00B67A60">
      <w:pPr>
        <w:tabs>
          <w:tab w:val="left" w:pos="2126"/>
        </w:tabs>
        <w:ind w:firstLine="709"/>
        <w:rPr>
          <w:rFonts w:ascii="Arial" w:hAnsi="Arial" w:cs="Arial"/>
          <w:bCs/>
          <w:i/>
          <w:snapToGrid w:val="0"/>
          <w:sz w:val="22"/>
          <w:szCs w:val="22"/>
          <w:lang w:val="en-US" w:eastAsia="en-US"/>
        </w:rPr>
      </w:pPr>
      <w:r w:rsidRPr="001928D5">
        <w:rPr>
          <w:rFonts w:ascii="Arial" w:hAnsi="Arial" w:cs="Arial"/>
          <w:bCs/>
          <w:i/>
          <w:sz w:val="22"/>
          <w:szCs w:val="22"/>
          <w:lang w:val="en-US"/>
        </w:rPr>
        <w:tab/>
      </w:r>
      <w:hyperlink r:id="rId28" w:history="1">
        <w:r w:rsidRPr="001928D5">
          <w:rPr>
            <w:rStyle w:val="Hyperlink"/>
            <w:rFonts w:ascii="Arial" w:hAnsi="Arial" w:cs="Arial"/>
            <w:bCs/>
            <w:i/>
            <w:snapToGrid w:val="0"/>
            <w:sz w:val="22"/>
            <w:szCs w:val="22"/>
            <w:lang w:val="en-US" w:eastAsia="en-US"/>
          </w:rPr>
          <w:t>ITH/18/13.COM/INF.5.2</w:t>
        </w:r>
      </w:hyperlink>
    </w:p>
    <w:p w14:paraId="25F9B96C" w14:textId="458CEFE7" w:rsidR="00840F46" w:rsidRPr="001928D5" w:rsidRDefault="00840F46" w:rsidP="00B67A60">
      <w:pPr>
        <w:tabs>
          <w:tab w:val="left" w:pos="2126"/>
        </w:tabs>
        <w:ind w:firstLine="709"/>
        <w:rPr>
          <w:rFonts w:ascii="Arial" w:hAnsi="Arial" w:cs="Arial"/>
          <w:bCs/>
          <w:i/>
          <w:snapToGrid w:val="0"/>
          <w:sz w:val="22"/>
          <w:szCs w:val="22"/>
          <w:lang w:val="en-US" w:eastAsia="en-US"/>
        </w:rPr>
      </w:pPr>
      <w:r w:rsidRPr="001928D5">
        <w:rPr>
          <w:rFonts w:ascii="Arial" w:hAnsi="Arial" w:cs="Arial"/>
          <w:bCs/>
          <w:i/>
          <w:sz w:val="22"/>
          <w:szCs w:val="22"/>
          <w:lang w:val="en-US"/>
        </w:rPr>
        <w:tab/>
      </w:r>
      <w:hyperlink r:id="rId29" w:history="1">
        <w:r w:rsidRPr="001928D5">
          <w:rPr>
            <w:rStyle w:val="Hyperlink"/>
            <w:rFonts w:ascii="Arial" w:hAnsi="Arial" w:cs="Arial"/>
            <w:bCs/>
            <w:i/>
            <w:snapToGrid w:val="0"/>
            <w:sz w:val="22"/>
            <w:szCs w:val="22"/>
            <w:lang w:val="en-US" w:eastAsia="en-US"/>
          </w:rPr>
          <w:t>ITH/18/13.COM/INF.5.3</w:t>
        </w:r>
      </w:hyperlink>
    </w:p>
    <w:p w14:paraId="32551BD8" w14:textId="06C113DF" w:rsidR="001A7177" w:rsidRPr="001928D5" w:rsidRDefault="001A7177" w:rsidP="00B67A60">
      <w:pPr>
        <w:tabs>
          <w:tab w:val="left" w:pos="2126"/>
        </w:tabs>
        <w:spacing w:before="60" w:after="240"/>
        <w:ind w:firstLine="709"/>
        <w:rPr>
          <w:rFonts w:ascii="Arial" w:hAnsi="Arial" w:cs="Arial"/>
          <w:bCs/>
          <w:i/>
          <w:color w:val="000000" w:themeColor="text1"/>
          <w:sz w:val="22"/>
          <w:szCs w:val="22"/>
          <w:lang w:val="en-US"/>
        </w:rPr>
      </w:pPr>
      <w:r w:rsidRPr="001928D5">
        <w:rPr>
          <w:rFonts w:ascii="Arial" w:hAnsi="Arial" w:cs="Arial"/>
          <w:b/>
          <w:snapToGrid w:val="0"/>
          <w:color w:val="000000" w:themeColor="text1"/>
          <w:sz w:val="22"/>
          <w:szCs w:val="22"/>
          <w:lang w:val="en-US" w:eastAsia="en-US"/>
        </w:rPr>
        <w:t>Decision:</w:t>
      </w:r>
      <w:r w:rsidRPr="001928D5">
        <w:rPr>
          <w:rFonts w:ascii="Arial" w:hAnsi="Arial" w:cs="Arial"/>
          <w:bCs/>
          <w:color w:val="000000" w:themeColor="text1"/>
          <w:sz w:val="22"/>
          <w:szCs w:val="22"/>
          <w:lang w:val="en-US"/>
        </w:rPr>
        <w:tab/>
      </w:r>
      <w:hyperlink r:id="rId30" w:history="1">
        <w:r w:rsidR="002113CA" w:rsidRPr="001928D5">
          <w:rPr>
            <w:rStyle w:val="Hyperlink"/>
            <w:rFonts w:ascii="Arial" w:hAnsi="Arial" w:cs="Arial"/>
            <w:bCs/>
            <w:i/>
            <w:snapToGrid w:val="0"/>
            <w:sz w:val="22"/>
            <w:szCs w:val="22"/>
            <w:lang w:val="en-US" w:eastAsia="en-US"/>
          </w:rPr>
          <w:t>13</w:t>
        </w:r>
        <w:r w:rsidR="008A4CB4" w:rsidRPr="001928D5">
          <w:rPr>
            <w:rStyle w:val="Hyperlink"/>
            <w:rFonts w:ascii="Arial" w:hAnsi="Arial" w:cs="Arial"/>
            <w:bCs/>
            <w:i/>
            <w:snapToGrid w:val="0"/>
            <w:sz w:val="22"/>
            <w:szCs w:val="22"/>
            <w:lang w:val="en-US" w:eastAsia="en-US"/>
          </w:rPr>
          <w:t>.COM 5</w:t>
        </w:r>
      </w:hyperlink>
    </w:p>
    <w:p w14:paraId="160A63AD" w14:textId="77777777" w:rsidR="00386971" w:rsidRPr="00813D19" w:rsidRDefault="000324C8" w:rsidP="00CE5F74">
      <w:pPr>
        <w:pStyle w:val="Orateurengris"/>
        <w:spacing w:after="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then invited the Secretary to present agenda item 5.</w:t>
      </w:r>
    </w:p>
    <w:p w14:paraId="0580CE20" w14:textId="421DA8FB" w:rsidR="00A229AF" w:rsidRPr="00813D19" w:rsidRDefault="00200BD3" w:rsidP="00386971">
      <w:pPr>
        <w:pStyle w:val="Orateurengris"/>
        <w:spacing w:before="120"/>
        <w:ind w:left="709" w:hanging="709"/>
        <w:rPr>
          <w:snapToGrid/>
          <w:lang w:val="en-US"/>
        </w:rPr>
      </w:pPr>
      <w:r w:rsidRPr="00813D19">
        <w:rPr>
          <w:color w:val="000000" w:themeColor="text1"/>
          <w:lang w:val="en-US"/>
        </w:rPr>
        <w:t>The</w:t>
      </w:r>
      <w:r w:rsidRPr="00813D19">
        <w:rPr>
          <w:b/>
          <w:color w:val="000000" w:themeColor="text1"/>
          <w:lang w:val="en-US"/>
        </w:rPr>
        <w:t xml:space="preserve"> </w:t>
      </w:r>
      <w:r w:rsidR="00E70359" w:rsidRPr="00813D19">
        <w:rPr>
          <w:b/>
          <w:color w:val="000000" w:themeColor="text1"/>
          <w:lang w:val="en-US"/>
        </w:rPr>
        <w:t>Secretary</w:t>
      </w:r>
      <w:r w:rsidR="00E70359" w:rsidRPr="00813D19">
        <w:rPr>
          <w:color w:val="000000" w:themeColor="text1"/>
          <w:lang w:val="en-US"/>
        </w:rPr>
        <w:t xml:space="preserve"> </w:t>
      </w:r>
      <w:r w:rsidR="000324C8" w:rsidRPr="00813D19">
        <w:rPr>
          <w:lang w:val="en-US"/>
        </w:rPr>
        <w:t>present</w:t>
      </w:r>
      <w:r w:rsidR="0028243D" w:rsidRPr="00813D19">
        <w:rPr>
          <w:lang w:val="en-US"/>
        </w:rPr>
        <w:t>ed</w:t>
      </w:r>
      <w:r w:rsidR="000324C8" w:rsidRPr="00813D19">
        <w:rPr>
          <w:lang w:val="en-US"/>
        </w:rPr>
        <w:t xml:space="preserve"> the report of the Secretariat</w:t>
      </w:r>
      <w:r w:rsidR="0028243D" w:rsidRPr="00813D19">
        <w:rPr>
          <w:lang w:val="en-US"/>
        </w:rPr>
        <w:t>,</w:t>
      </w:r>
      <w:r w:rsidR="000324C8" w:rsidRPr="00813D19">
        <w:rPr>
          <w:lang w:val="en-US"/>
        </w:rPr>
        <w:t xml:space="preserve"> </w:t>
      </w:r>
      <w:r w:rsidR="0028243D" w:rsidRPr="00813D19">
        <w:rPr>
          <w:lang w:val="en-US"/>
        </w:rPr>
        <w:t>which covered</w:t>
      </w:r>
      <w:r w:rsidR="000324C8" w:rsidRPr="00813D19">
        <w:rPr>
          <w:lang w:val="en-US"/>
        </w:rPr>
        <w:t xml:space="preserve"> the six-month period from January to June </w:t>
      </w:r>
      <w:r w:rsidR="00840F46" w:rsidRPr="00813D19">
        <w:rPr>
          <w:lang w:val="en-US"/>
        </w:rPr>
        <w:t xml:space="preserve">2018, recalling </w:t>
      </w:r>
      <w:r w:rsidR="000324C8" w:rsidRPr="00813D19">
        <w:rPr>
          <w:lang w:val="en-US"/>
        </w:rPr>
        <w:t xml:space="preserve">that </w:t>
      </w:r>
      <w:r w:rsidR="00840F46" w:rsidRPr="00813D19">
        <w:rPr>
          <w:lang w:val="en-US"/>
        </w:rPr>
        <w:t xml:space="preserve">he had </w:t>
      </w:r>
      <w:r w:rsidR="000324C8" w:rsidRPr="00813D19">
        <w:rPr>
          <w:lang w:val="en-US"/>
        </w:rPr>
        <w:t xml:space="preserve">presented a report at the seventh session of the General Assembly in June </w:t>
      </w:r>
      <w:r w:rsidR="00CC03DE" w:rsidRPr="00813D19">
        <w:rPr>
          <w:lang w:val="en-US"/>
        </w:rPr>
        <w:t>2018</w:t>
      </w:r>
      <w:r w:rsidR="00BF096D">
        <w:rPr>
          <w:lang w:val="en-US"/>
        </w:rPr>
        <w:t>,</w:t>
      </w:r>
      <w:r w:rsidR="00CC03DE" w:rsidRPr="00813D19">
        <w:rPr>
          <w:lang w:val="en-US"/>
        </w:rPr>
        <w:t xml:space="preserve"> </w:t>
      </w:r>
      <w:r w:rsidR="00BF096D">
        <w:rPr>
          <w:lang w:val="en-US"/>
        </w:rPr>
        <w:t>which was</w:t>
      </w:r>
      <w:r w:rsidR="00CC03DE" w:rsidRPr="00813D19">
        <w:rPr>
          <w:lang w:val="en-US"/>
        </w:rPr>
        <w:t xml:space="preserve"> </w:t>
      </w:r>
      <w:r w:rsidR="000324C8" w:rsidRPr="00813D19">
        <w:rPr>
          <w:lang w:val="en-US"/>
        </w:rPr>
        <w:t xml:space="preserve">why this reporting period </w:t>
      </w:r>
      <w:r w:rsidR="00840F46" w:rsidRPr="00813D19">
        <w:rPr>
          <w:lang w:val="en-US"/>
        </w:rPr>
        <w:t xml:space="preserve">was </w:t>
      </w:r>
      <w:r w:rsidR="000324C8" w:rsidRPr="00813D19">
        <w:rPr>
          <w:lang w:val="en-US"/>
        </w:rPr>
        <w:t>short.</w:t>
      </w:r>
      <w:r w:rsidR="00386971" w:rsidRPr="00813D19">
        <w:rPr>
          <w:lang w:val="en-US"/>
        </w:rPr>
        <w:t xml:space="preserve"> </w:t>
      </w:r>
      <w:r w:rsidR="00840F46" w:rsidRPr="00813D19">
        <w:rPr>
          <w:lang w:val="en-US"/>
        </w:rPr>
        <w:t xml:space="preserve">It was noted that the Secretariat had </w:t>
      </w:r>
      <w:r w:rsidR="000324C8" w:rsidRPr="00813D19">
        <w:rPr>
          <w:lang w:val="en-US"/>
        </w:rPr>
        <w:t>mad</w:t>
      </w:r>
      <w:r w:rsidR="00840F46" w:rsidRPr="00813D19">
        <w:rPr>
          <w:lang w:val="en-US"/>
        </w:rPr>
        <w:t>e efforts to report succinctly, while demonstrating the broad</w:t>
      </w:r>
      <w:r w:rsidR="000324C8" w:rsidRPr="00813D19">
        <w:rPr>
          <w:lang w:val="en-US"/>
        </w:rPr>
        <w:t xml:space="preserve"> undertakings </w:t>
      </w:r>
      <w:r w:rsidR="00CC03DE" w:rsidRPr="00813D19">
        <w:rPr>
          <w:lang w:val="en-US"/>
        </w:rPr>
        <w:t>of</w:t>
      </w:r>
      <w:r w:rsidR="000324C8" w:rsidRPr="00813D19">
        <w:rPr>
          <w:lang w:val="en-US"/>
        </w:rPr>
        <w:t xml:space="preserve"> the Secretariat.</w:t>
      </w:r>
      <w:r w:rsidR="00386971" w:rsidRPr="00813D19">
        <w:rPr>
          <w:lang w:val="en-US"/>
        </w:rPr>
        <w:t xml:space="preserve"> </w:t>
      </w:r>
      <w:r w:rsidR="00840F46" w:rsidRPr="00813D19">
        <w:rPr>
          <w:lang w:val="en-US"/>
        </w:rPr>
        <w:t xml:space="preserve">So as </w:t>
      </w:r>
      <w:r w:rsidR="000324C8" w:rsidRPr="00813D19">
        <w:rPr>
          <w:lang w:val="en-US"/>
        </w:rPr>
        <w:t xml:space="preserve">not </w:t>
      </w:r>
      <w:r w:rsidR="00190954" w:rsidRPr="00813D19">
        <w:rPr>
          <w:lang w:val="en-US"/>
        </w:rPr>
        <w:t xml:space="preserve">to </w:t>
      </w:r>
      <w:r w:rsidR="000324C8" w:rsidRPr="00813D19">
        <w:rPr>
          <w:lang w:val="en-US"/>
        </w:rPr>
        <w:t xml:space="preserve">repeat everything that </w:t>
      </w:r>
      <w:r w:rsidR="00840F46" w:rsidRPr="00813D19">
        <w:rPr>
          <w:lang w:val="en-US"/>
        </w:rPr>
        <w:t xml:space="preserve">was detailed </w:t>
      </w:r>
      <w:r w:rsidR="000324C8" w:rsidRPr="00813D19">
        <w:rPr>
          <w:lang w:val="en-US"/>
        </w:rPr>
        <w:t xml:space="preserve">in </w:t>
      </w:r>
      <w:r w:rsidR="00840F46" w:rsidRPr="00813D19">
        <w:rPr>
          <w:lang w:val="en-US"/>
        </w:rPr>
        <w:t>working document</w:t>
      </w:r>
      <w:r w:rsidR="00582C01" w:rsidRPr="00813D19">
        <w:rPr>
          <w:lang w:val="en-US"/>
        </w:rPr>
        <w:t xml:space="preserve"> </w:t>
      </w:r>
      <w:hyperlink r:id="rId31" w:history="1">
        <w:r w:rsidR="00582C01" w:rsidRPr="00813D19">
          <w:rPr>
            <w:rStyle w:val="Hyperlink"/>
            <w:lang w:val="en-US"/>
          </w:rPr>
          <w:t>13.COM/5 Rev</w:t>
        </w:r>
      </w:hyperlink>
      <w:r w:rsidR="00840F46" w:rsidRPr="00813D19">
        <w:rPr>
          <w:lang w:val="en-US"/>
        </w:rPr>
        <w:t xml:space="preserve">, the Secretary wished to </w:t>
      </w:r>
      <w:r w:rsidR="000324C8" w:rsidRPr="00813D19">
        <w:rPr>
          <w:lang w:val="en-US"/>
        </w:rPr>
        <w:t>present the major achievements of the Secretariat and</w:t>
      </w:r>
      <w:r w:rsidR="00840F46" w:rsidRPr="00813D19">
        <w:rPr>
          <w:lang w:val="en-US"/>
        </w:rPr>
        <w:t>,</w:t>
      </w:r>
      <w:r w:rsidR="000324C8" w:rsidRPr="00813D19">
        <w:rPr>
          <w:lang w:val="en-US"/>
        </w:rPr>
        <w:t xml:space="preserve"> in some cases</w:t>
      </w:r>
      <w:r w:rsidR="00840F46" w:rsidRPr="00813D19">
        <w:rPr>
          <w:lang w:val="en-US"/>
        </w:rPr>
        <w:t>,</w:t>
      </w:r>
      <w:r w:rsidR="000324C8" w:rsidRPr="00813D19">
        <w:rPr>
          <w:lang w:val="en-US"/>
        </w:rPr>
        <w:t xml:space="preserve"> </w:t>
      </w:r>
      <w:r w:rsidR="00840F46" w:rsidRPr="00813D19">
        <w:rPr>
          <w:lang w:val="en-US"/>
        </w:rPr>
        <w:t xml:space="preserve">to </w:t>
      </w:r>
      <w:r w:rsidR="000324C8" w:rsidRPr="00813D19">
        <w:rPr>
          <w:lang w:val="en-US"/>
        </w:rPr>
        <w:t xml:space="preserve">also provide updates on activities that </w:t>
      </w:r>
      <w:r w:rsidR="00BF096D">
        <w:rPr>
          <w:lang w:val="en-US"/>
        </w:rPr>
        <w:t>had taken</w:t>
      </w:r>
      <w:r w:rsidR="00BF096D" w:rsidRPr="00813D19">
        <w:rPr>
          <w:lang w:val="en-US"/>
        </w:rPr>
        <w:t xml:space="preserve"> </w:t>
      </w:r>
      <w:r w:rsidR="000324C8" w:rsidRPr="00813D19">
        <w:rPr>
          <w:lang w:val="en-US"/>
        </w:rPr>
        <w:t xml:space="preserve">place since the publication of </w:t>
      </w:r>
      <w:r w:rsidR="00CC03DE" w:rsidRPr="00813D19">
        <w:rPr>
          <w:lang w:val="en-US"/>
        </w:rPr>
        <w:t xml:space="preserve">the </w:t>
      </w:r>
      <w:r w:rsidR="000324C8" w:rsidRPr="00813D19">
        <w:rPr>
          <w:lang w:val="en-US"/>
        </w:rPr>
        <w:t>documen</w:t>
      </w:r>
      <w:r w:rsidR="00840F46" w:rsidRPr="00813D19">
        <w:rPr>
          <w:lang w:val="en-US"/>
        </w:rPr>
        <w:t>t</w:t>
      </w:r>
      <w:r w:rsidR="000324C8" w:rsidRPr="00813D19">
        <w:rPr>
          <w:lang w:val="en-US"/>
        </w:rPr>
        <w:t>.</w:t>
      </w:r>
      <w:r w:rsidR="00386971" w:rsidRPr="00813D19">
        <w:rPr>
          <w:lang w:val="en-US"/>
        </w:rPr>
        <w:t xml:space="preserve"> </w:t>
      </w:r>
      <w:r w:rsidR="00840F46" w:rsidRPr="00813D19">
        <w:rPr>
          <w:lang w:val="en-US"/>
        </w:rPr>
        <w:t>The Secretary remarked that i</w:t>
      </w:r>
      <w:r w:rsidR="003C7E7D" w:rsidRPr="00813D19">
        <w:rPr>
          <w:lang w:val="en-US"/>
        </w:rPr>
        <w:t>n the past</w:t>
      </w:r>
      <w:r w:rsidR="00190954" w:rsidRPr="00813D19">
        <w:rPr>
          <w:lang w:val="en-US"/>
        </w:rPr>
        <w:t>,</w:t>
      </w:r>
      <w:r w:rsidR="000324C8" w:rsidRPr="00813D19">
        <w:rPr>
          <w:lang w:val="en-US"/>
        </w:rPr>
        <w:t xml:space="preserve"> the Committee </w:t>
      </w:r>
      <w:r w:rsidR="00840F46" w:rsidRPr="00813D19">
        <w:rPr>
          <w:lang w:val="en-US"/>
        </w:rPr>
        <w:t xml:space="preserve">had </w:t>
      </w:r>
      <w:r w:rsidR="000324C8" w:rsidRPr="00813D19">
        <w:rPr>
          <w:lang w:val="en-US"/>
        </w:rPr>
        <w:t xml:space="preserve">found it useful </w:t>
      </w:r>
      <w:r w:rsidR="00BF096D">
        <w:rPr>
          <w:lang w:val="en-US"/>
        </w:rPr>
        <w:t>for</w:t>
      </w:r>
      <w:r w:rsidR="00BF096D" w:rsidRPr="00813D19">
        <w:rPr>
          <w:lang w:val="en-US"/>
        </w:rPr>
        <w:t xml:space="preserve"> </w:t>
      </w:r>
      <w:r w:rsidR="000324C8" w:rsidRPr="00813D19">
        <w:rPr>
          <w:lang w:val="en-US"/>
        </w:rPr>
        <w:t xml:space="preserve">the </w:t>
      </w:r>
      <w:r w:rsidR="00840F46" w:rsidRPr="00813D19">
        <w:rPr>
          <w:lang w:val="en-US"/>
        </w:rPr>
        <w:t xml:space="preserve">Secretariat’s </w:t>
      </w:r>
      <w:r w:rsidR="000324C8" w:rsidRPr="00813D19">
        <w:rPr>
          <w:lang w:val="en-US"/>
        </w:rPr>
        <w:t xml:space="preserve">report </w:t>
      </w:r>
      <w:r w:rsidR="00BF096D">
        <w:rPr>
          <w:lang w:val="en-US"/>
        </w:rPr>
        <w:t xml:space="preserve">to </w:t>
      </w:r>
      <w:r w:rsidR="00190954" w:rsidRPr="00813D19">
        <w:rPr>
          <w:lang w:val="en-US"/>
        </w:rPr>
        <w:t xml:space="preserve">be </w:t>
      </w:r>
      <w:r w:rsidR="000324C8" w:rsidRPr="00813D19">
        <w:rPr>
          <w:lang w:val="en-US"/>
        </w:rPr>
        <w:t>org</w:t>
      </w:r>
      <w:r w:rsidR="00190954" w:rsidRPr="00813D19">
        <w:rPr>
          <w:lang w:val="en-US"/>
        </w:rPr>
        <w:t>aniz</w:t>
      </w:r>
      <w:r w:rsidR="00840F46" w:rsidRPr="00813D19">
        <w:rPr>
          <w:lang w:val="en-US"/>
        </w:rPr>
        <w:t xml:space="preserve">ed along the C/5 structure, and therefore </w:t>
      </w:r>
      <w:r w:rsidR="000324C8" w:rsidRPr="00813D19">
        <w:rPr>
          <w:lang w:val="en-US"/>
        </w:rPr>
        <w:t xml:space="preserve">this report </w:t>
      </w:r>
      <w:r w:rsidR="00840F46" w:rsidRPr="00813D19">
        <w:rPr>
          <w:lang w:val="en-US"/>
        </w:rPr>
        <w:t xml:space="preserve">was </w:t>
      </w:r>
      <w:r w:rsidR="000324C8" w:rsidRPr="00813D19">
        <w:rPr>
          <w:lang w:val="en-US"/>
        </w:rPr>
        <w:t>once again based</w:t>
      </w:r>
      <w:r w:rsidR="00840F46" w:rsidRPr="00813D19">
        <w:rPr>
          <w:lang w:val="en-US"/>
        </w:rPr>
        <w:t xml:space="preserve"> on the 39</w:t>
      </w:r>
      <w:r w:rsidR="00190954" w:rsidRPr="00813D19">
        <w:rPr>
          <w:lang w:val="en-US"/>
        </w:rPr>
        <w:t xml:space="preserve"> </w:t>
      </w:r>
      <w:r w:rsidR="00840F46" w:rsidRPr="00813D19">
        <w:rPr>
          <w:lang w:val="en-US"/>
        </w:rPr>
        <w:t>C/5 results framework</w:t>
      </w:r>
      <w:r w:rsidR="000324C8" w:rsidRPr="00813D19">
        <w:rPr>
          <w:lang w:val="en-US"/>
        </w:rPr>
        <w:t xml:space="preserve"> and</w:t>
      </w:r>
      <w:r w:rsidR="00840F46" w:rsidRPr="00813D19">
        <w:rPr>
          <w:lang w:val="en-US"/>
        </w:rPr>
        <w:t>,</w:t>
      </w:r>
      <w:r w:rsidR="000324C8" w:rsidRPr="00813D19">
        <w:rPr>
          <w:lang w:val="en-US"/>
        </w:rPr>
        <w:t xml:space="preserve"> more specifically, the performance indicators of Expected Result 6 under MLA4.</w:t>
      </w:r>
      <w:r w:rsidR="00386971" w:rsidRPr="00813D19">
        <w:rPr>
          <w:lang w:val="en-US"/>
        </w:rPr>
        <w:t xml:space="preserve"> </w:t>
      </w:r>
      <w:r w:rsidR="00840F46" w:rsidRPr="00813D19">
        <w:rPr>
          <w:lang w:val="en-US"/>
        </w:rPr>
        <w:t>T</w:t>
      </w:r>
      <w:r w:rsidR="000324C8" w:rsidRPr="00813D19">
        <w:rPr>
          <w:lang w:val="en-US"/>
        </w:rPr>
        <w:t xml:space="preserve">he document </w:t>
      </w:r>
      <w:r w:rsidR="00840F46" w:rsidRPr="00813D19">
        <w:rPr>
          <w:lang w:val="en-US"/>
        </w:rPr>
        <w:t xml:space="preserve">was </w:t>
      </w:r>
      <w:r w:rsidR="000324C8" w:rsidRPr="00813D19">
        <w:rPr>
          <w:lang w:val="en-US"/>
        </w:rPr>
        <w:t>also accompanied by three information documents</w:t>
      </w:r>
      <w:r w:rsidR="003C7E7D" w:rsidRPr="00813D19">
        <w:rPr>
          <w:lang w:val="en-US"/>
        </w:rPr>
        <w:t xml:space="preserve">. The </w:t>
      </w:r>
      <w:r w:rsidR="000324C8" w:rsidRPr="00813D19">
        <w:rPr>
          <w:lang w:val="en-US"/>
        </w:rPr>
        <w:t>first information document</w:t>
      </w:r>
      <w:r w:rsidR="00BF096D">
        <w:rPr>
          <w:lang w:val="en-US"/>
        </w:rPr>
        <w:t>,</w:t>
      </w:r>
      <w:r w:rsidR="000324C8" w:rsidRPr="00813D19">
        <w:rPr>
          <w:lang w:val="en-US"/>
        </w:rPr>
        <w:t xml:space="preserve"> </w:t>
      </w:r>
      <w:hyperlink r:id="rId32" w:history="1">
        <w:r w:rsidR="003C7E7D" w:rsidRPr="00813D19">
          <w:rPr>
            <w:rStyle w:val="Hyperlink"/>
            <w:lang w:val="en-US"/>
          </w:rPr>
          <w:t>INF 5.1</w:t>
        </w:r>
      </w:hyperlink>
      <w:r w:rsidR="00BF096D" w:rsidRPr="003221D5">
        <w:rPr>
          <w:rStyle w:val="Hyperlink"/>
          <w:color w:val="auto"/>
          <w:u w:val="none"/>
          <w:lang w:val="en-US"/>
        </w:rPr>
        <w:t>,</w:t>
      </w:r>
      <w:r w:rsidR="003C7E7D" w:rsidRPr="00813D19">
        <w:rPr>
          <w:lang w:val="en-US"/>
        </w:rPr>
        <w:t xml:space="preserve"> was related to ‘Outreach and communication</w:t>
      </w:r>
      <w:r w:rsidR="000324C8" w:rsidRPr="00813D19">
        <w:rPr>
          <w:lang w:val="en-US"/>
        </w:rPr>
        <w:t xml:space="preserve">’ following the discussions of the twelfth session of the </w:t>
      </w:r>
      <w:r w:rsidR="003C7E7D" w:rsidRPr="00813D19">
        <w:rPr>
          <w:lang w:val="en-US"/>
        </w:rPr>
        <w:t xml:space="preserve">Committee </w:t>
      </w:r>
      <w:r w:rsidR="000324C8" w:rsidRPr="00813D19">
        <w:rPr>
          <w:lang w:val="en-US"/>
        </w:rPr>
        <w:t xml:space="preserve">in Jeju </w:t>
      </w:r>
      <w:r w:rsidR="003C7E7D" w:rsidRPr="00813D19">
        <w:rPr>
          <w:lang w:val="en-US"/>
        </w:rPr>
        <w:t xml:space="preserve">in 2017 </w:t>
      </w:r>
      <w:r w:rsidR="000324C8" w:rsidRPr="00813D19">
        <w:rPr>
          <w:lang w:val="en-US"/>
        </w:rPr>
        <w:t>(Decision </w:t>
      </w:r>
      <w:hyperlink r:id="rId33" w:history="1">
        <w:r w:rsidR="000324C8" w:rsidRPr="00813D19">
          <w:rPr>
            <w:rStyle w:val="Hyperlink"/>
            <w:lang w:val="en-US"/>
          </w:rPr>
          <w:t>12.COM 5.b</w:t>
        </w:r>
      </w:hyperlink>
      <w:r w:rsidR="000324C8" w:rsidRPr="00813D19">
        <w:rPr>
          <w:lang w:val="en-US"/>
        </w:rPr>
        <w:t>). This do</w:t>
      </w:r>
      <w:r w:rsidR="00190954" w:rsidRPr="00813D19">
        <w:rPr>
          <w:lang w:val="en-US"/>
        </w:rPr>
        <w:t>cument outlined</w:t>
      </w:r>
      <w:r w:rsidR="000324C8" w:rsidRPr="00813D19">
        <w:rPr>
          <w:lang w:val="en-US"/>
        </w:rPr>
        <w:t xml:space="preserve"> the communication activities undertaken during the reporting period</w:t>
      </w:r>
      <w:r w:rsidR="003C7E7D" w:rsidRPr="00813D19">
        <w:rPr>
          <w:lang w:val="en-US"/>
        </w:rPr>
        <w:t>,</w:t>
      </w:r>
      <w:r w:rsidR="000324C8" w:rsidRPr="00813D19">
        <w:rPr>
          <w:lang w:val="en-US"/>
        </w:rPr>
        <w:t xml:space="preserve"> as well as activities expected to take place until the end of 2019, as budgeted under Expected Result 4 of the ‘other functions of committee’ approved by the </w:t>
      </w:r>
      <w:r w:rsidR="00BF096D">
        <w:rPr>
          <w:lang w:val="en-US"/>
        </w:rPr>
        <w:t>B</w:t>
      </w:r>
      <w:r w:rsidR="000324C8" w:rsidRPr="00813D19">
        <w:rPr>
          <w:lang w:val="en-US"/>
        </w:rPr>
        <w:t>ureau in June 2018.</w:t>
      </w:r>
      <w:r w:rsidR="00386971" w:rsidRPr="00813D19">
        <w:rPr>
          <w:lang w:val="en-US"/>
        </w:rPr>
        <w:t xml:space="preserve"> </w:t>
      </w:r>
      <w:r w:rsidR="000324C8" w:rsidRPr="00813D19">
        <w:rPr>
          <w:lang w:val="en-US"/>
        </w:rPr>
        <w:t>T</w:t>
      </w:r>
      <w:r w:rsidR="003C7E7D" w:rsidRPr="00813D19">
        <w:rPr>
          <w:lang w:val="en-US"/>
        </w:rPr>
        <w:t>he second information document</w:t>
      </w:r>
      <w:r w:rsidR="00BF096D">
        <w:rPr>
          <w:lang w:val="en-US"/>
        </w:rPr>
        <w:t>,</w:t>
      </w:r>
      <w:r w:rsidR="003C7E7D" w:rsidRPr="00813D19">
        <w:rPr>
          <w:lang w:val="en-US"/>
        </w:rPr>
        <w:t xml:space="preserve"> </w:t>
      </w:r>
      <w:hyperlink r:id="rId34" w:history="1">
        <w:r w:rsidR="003C7E7D" w:rsidRPr="00813D19">
          <w:rPr>
            <w:rStyle w:val="Hyperlink"/>
            <w:lang w:val="en-US"/>
          </w:rPr>
          <w:t>INF 5.2</w:t>
        </w:r>
      </w:hyperlink>
      <w:r w:rsidR="00BF096D">
        <w:rPr>
          <w:rStyle w:val="Hyperlink"/>
          <w:color w:val="auto"/>
          <w:u w:val="none"/>
          <w:lang w:val="en-US"/>
        </w:rPr>
        <w:t>,</w:t>
      </w:r>
      <w:r w:rsidR="003C7E7D" w:rsidRPr="00813D19">
        <w:rPr>
          <w:lang w:val="en-US"/>
        </w:rPr>
        <w:t xml:space="preserve"> was the </w:t>
      </w:r>
      <w:r w:rsidR="000324C8" w:rsidRPr="00813D19">
        <w:rPr>
          <w:lang w:val="en-US"/>
        </w:rPr>
        <w:t xml:space="preserve">Financial </w:t>
      </w:r>
      <w:r w:rsidR="00BF096D">
        <w:rPr>
          <w:lang w:val="en-US"/>
        </w:rPr>
        <w:t>R</w:t>
      </w:r>
      <w:r w:rsidR="000324C8" w:rsidRPr="00813D19">
        <w:rPr>
          <w:lang w:val="en-US"/>
        </w:rPr>
        <w:t>eport of the Fund of the Convention</w:t>
      </w:r>
      <w:r w:rsidR="003C7E7D" w:rsidRPr="00813D19">
        <w:rPr>
          <w:lang w:val="en-US"/>
        </w:rPr>
        <w:t>,</w:t>
      </w:r>
      <w:r w:rsidR="000324C8" w:rsidRPr="00813D19">
        <w:rPr>
          <w:lang w:val="en-US"/>
        </w:rPr>
        <w:t xml:space="preserve"> as </w:t>
      </w:r>
      <w:r w:rsidR="00BF096D">
        <w:rPr>
          <w:lang w:val="en-US"/>
        </w:rPr>
        <w:t>had been</w:t>
      </w:r>
      <w:r w:rsidR="003C7E7D" w:rsidRPr="00813D19">
        <w:rPr>
          <w:lang w:val="en-US"/>
        </w:rPr>
        <w:t xml:space="preserve"> </w:t>
      </w:r>
      <w:r w:rsidR="000324C8" w:rsidRPr="00813D19">
        <w:rPr>
          <w:lang w:val="en-US"/>
        </w:rPr>
        <w:t>the case for the last five sessions.</w:t>
      </w:r>
      <w:r w:rsidR="00386971" w:rsidRPr="00813D19">
        <w:rPr>
          <w:lang w:val="en-US"/>
        </w:rPr>
        <w:t xml:space="preserve"> </w:t>
      </w:r>
      <w:r w:rsidR="003C7E7D" w:rsidRPr="00813D19">
        <w:rPr>
          <w:lang w:val="en-US"/>
        </w:rPr>
        <w:t>T</w:t>
      </w:r>
      <w:r w:rsidR="000324C8" w:rsidRPr="00813D19">
        <w:rPr>
          <w:lang w:val="en-US"/>
        </w:rPr>
        <w:t xml:space="preserve">he third </w:t>
      </w:r>
      <w:r w:rsidR="003C7E7D" w:rsidRPr="00813D19">
        <w:rPr>
          <w:lang w:val="en-US"/>
        </w:rPr>
        <w:t>and final information document</w:t>
      </w:r>
      <w:r w:rsidR="00BF096D">
        <w:rPr>
          <w:lang w:val="en-US"/>
        </w:rPr>
        <w:t>,</w:t>
      </w:r>
      <w:r w:rsidR="003C7E7D" w:rsidRPr="00813D19">
        <w:rPr>
          <w:lang w:val="en-US"/>
        </w:rPr>
        <w:t xml:space="preserve"> </w:t>
      </w:r>
      <w:hyperlink r:id="rId35" w:history="1">
        <w:r w:rsidR="003C7E7D" w:rsidRPr="00813D19">
          <w:rPr>
            <w:rStyle w:val="Hyperlink"/>
            <w:lang w:val="en-US"/>
          </w:rPr>
          <w:t>INF 5.3</w:t>
        </w:r>
      </w:hyperlink>
      <w:r w:rsidR="00BF096D">
        <w:rPr>
          <w:rStyle w:val="Hyperlink"/>
          <w:color w:val="auto"/>
          <w:u w:val="none"/>
          <w:lang w:val="en-US"/>
        </w:rPr>
        <w:t>,</w:t>
      </w:r>
      <w:r w:rsidR="000324C8" w:rsidRPr="00813D19">
        <w:rPr>
          <w:lang w:val="en-US"/>
        </w:rPr>
        <w:t xml:space="preserve"> </w:t>
      </w:r>
      <w:r w:rsidR="00A229AF" w:rsidRPr="00813D19">
        <w:rPr>
          <w:lang w:val="en-US"/>
        </w:rPr>
        <w:t xml:space="preserve">was the </w:t>
      </w:r>
      <w:r w:rsidR="000324C8" w:rsidRPr="00813D19">
        <w:rPr>
          <w:lang w:val="en-US"/>
        </w:rPr>
        <w:t>‘Overview of the current use of the International Assistance mechanism and the global capacity-building programme in relation to elements inscribed on the Urgent Safeguarding List’</w:t>
      </w:r>
      <w:r w:rsidR="00A229AF" w:rsidRPr="00813D19">
        <w:rPr>
          <w:lang w:val="en-US"/>
        </w:rPr>
        <w:t>,</w:t>
      </w:r>
      <w:r w:rsidR="000324C8" w:rsidRPr="00813D19">
        <w:rPr>
          <w:lang w:val="en-US"/>
        </w:rPr>
        <w:t xml:space="preserve"> as requested by the Committee </w:t>
      </w:r>
      <w:r w:rsidR="00A229AF" w:rsidRPr="00813D19">
        <w:rPr>
          <w:lang w:val="en-US"/>
        </w:rPr>
        <w:t>in 2017. The results of this analysis</w:t>
      </w:r>
      <w:r w:rsidR="000324C8" w:rsidRPr="00813D19">
        <w:rPr>
          <w:lang w:val="en-US"/>
        </w:rPr>
        <w:t xml:space="preserve"> </w:t>
      </w:r>
      <w:r w:rsidR="00A229AF" w:rsidRPr="00813D19">
        <w:rPr>
          <w:lang w:val="en-US"/>
        </w:rPr>
        <w:t xml:space="preserve">would </w:t>
      </w:r>
      <w:r w:rsidR="000324C8" w:rsidRPr="00813D19">
        <w:rPr>
          <w:lang w:val="en-US"/>
        </w:rPr>
        <w:t xml:space="preserve">also be helpful in the ongoing discussions foreseen around the listing mechanisms, </w:t>
      </w:r>
      <w:r w:rsidR="00A229AF" w:rsidRPr="00813D19">
        <w:rPr>
          <w:lang w:val="en-US"/>
        </w:rPr>
        <w:t xml:space="preserve">as would be </w:t>
      </w:r>
      <w:r w:rsidR="000324C8" w:rsidRPr="00813D19">
        <w:rPr>
          <w:lang w:val="en-US"/>
        </w:rPr>
        <w:t>touch</w:t>
      </w:r>
      <w:r w:rsidR="00A229AF" w:rsidRPr="00813D19">
        <w:rPr>
          <w:lang w:val="en-US"/>
        </w:rPr>
        <w:t>ed</w:t>
      </w:r>
      <w:r w:rsidR="000324C8" w:rsidRPr="00813D19">
        <w:rPr>
          <w:lang w:val="en-US"/>
        </w:rPr>
        <w:t xml:space="preserve"> </w:t>
      </w:r>
      <w:r w:rsidR="00A229AF" w:rsidRPr="00813D19">
        <w:rPr>
          <w:lang w:val="en-US"/>
        </w:rPr>
        <w:t>up</w:t>
      </w:r>
      <w:r w:rsidR="000324C8" w:rsidRPr="00813D19">
        <w:rPr>
          <w:lang w:val="en-US"/>
        </w:rPr>
        <w:t>on in</w:t>
      </w:r>
      <w:r w:rsidR="00190954" w:rsidRPr="00813D19">
        <w:rPr>
          <w:lang w:val="en-US"/>
        </w:rPr>
        <w:t xml:space="preserve"> </w:t>
      </w:r>
      <w:r w:rsidR="00813D19" w:rsidRPr="00813D19">
        <w:rPr>
          <w:lang w:val="en-US"/>
        </w:rPr>
        <w:t>agenda items</w:t>
      </w:r>
      <w:r w:rsidR="000324C8" w:rsidRPr="00813D19">
        <w:rPr>
          <w:lang w:val="en-US"/>
        </w:rPr>
        <w:t xml:space="preserve"> 6, 8 and 9 of the </w:t>
      </w:r>
      <w:r w:rsidR="00A229AF" w:rsidRPr="00813D19">
        <w:rPr>
          <w:lang w:val="en-US"/>
        </w:rPr>
        <w:t xml:space="preserve">present </w:t>
      </w:r>
      <w:r w:rsidR="000324C8" w:rsidRPr="00813D19">
        <w:rPr>
          <w:lang w:val="en-US"/>
        </w:rPr>
        <w:t>session.</w:t>
      </w:r>
    </w:p>
    <w:p w14:paraId="6FE58453" w14:textId="3A4E913D" w:rsidR="005A56C3" w:rsidRPr="00813D19" w:rsidRDefault="00A229AF" w:rsidP="00386971">
      <w:pPr>
        <w:pStyle w:val="Orateurengris"/>
        <w:spacing w:before="120"/>
        <w:ind w:left="709" w:hanging="709"/>
        <w:rPr>
          <w:snapToGrid/>
          <w:lang w:val="en-US"/>
        </w:rPr>
      </w:pPr>
      <w:r w:rsidRPr="00813D19">
        <w:rPr>
          <w:lang w:val="en-US"/>
        </w:rPr>
        <w:t xml:space="preserve">Regarding the </w:t>
      </w:r>
      <w:r w:rsidR="0017569E">
        <w:rPr>
          <w:u w:val="single"/>
          <w:lang w:val="en-US"/>
        </w:rPr>
        <w:t>o</w:t>
      </w:r>
      <w:r w:rsidR="00386971" w:rsidRPr="00813D19">
        <w:rPr>
          <w:u w:val="single"/>
          <w:lang w:val="en-US"/>
        </w:rPr>
        <w:t xml:space="preserve">verall </w:t>
      </w:r>
      <w:r w:rsidR="0017569E">
        <w:rPr>
          <w:u w:val="single"/>
          <w:lang w:val="en-US"/>
        </w:rPr>
        <w:t>r</w:t>
      </w:r>
      <w:r w:rsidR="00386971" w:rsidRPr="00813D19">
        <w:rPr>
          <w:u w:val="single"/>
          <w:lang w:val="en-US"/>
        </w:rPr>
        <w:t xml:space="preserve">esults </w:t>
      </w:r>
      <w:r w:rsidR="0017569E">
        <w:rPr>
          <w:u w:val="single"/>
          <w:lang w:val="en-US"/>
        </w:rPr>
        <w:t>f</w:t>
      </w:r>
      <w:r w:rsidR="00386971" w:rsidRPr="00813D19">
        <w:rPr>
          <w:u w:val="single"/>
          <w:lang w:val="en-US"/>
        </w:rPr>
        <w:t>ramework</w:t>
      </w:r>
      <w:r w:rsidRPr="00813D19">
        <w:rPr>
          <w:lang w:val="en-US"/>
        </w:rPr>
        <w:t xml:space="preserve">, the </w:t>
      </w:r>
      <w:r w:rsidRPr="00813D19">
        <w:rPr>
          <w:b/>
          <w:lang w:val="en-US"/>
        </w:rPr>
        <w:t>Secretary</w:t>
      </w:r>
      <w:r w:rsidRPr="00813D19">
        <w:rPr>
          <w:lang w:val="en-US"/>
        </w:rPr>
        <w:t xml:space="preserve"> </w:t>
      </w:r>
      <w:r w:rsidR="001F53D5" w:rsidRPr="00813D19">
        <w:rPr>
          <w:lang w:val="en-US"/>
        </w:rPr>
        <w:t xml:space="preserve">was pleased </w:t>
      </w:r>
      <w:r w:rsidR="000324C8" w:rsidRPr="00813D19">
        <w:rPr>
          <w:lang w:val="en-US"/>
        </w:rPr>
        <w:t xml:space="preserve">to </w:t>
      </w:r>
      <w:r w:rsidR="001F53D5" w:rsidRPr="00813D19">
        <w:rPr>
          <w:lang w:val="en-US"/>
        </w:rPr>
        <w:t xml:space="preserve">present </w:t>
      </w:r>
      <w:r w:rsidR="0017569E">
        <w:rPr>
          <w:lang w:val="en-US"/>
        </w:rPr>
        <w:t xml:space="preserve">what was </w:t>
      </w:r>
      <w:r w:rsidR="005A56C3" w:rsidRPr="00813D19">
        <w:rPr>
          <w:lang w:val="en-US"/>
        </w:rPr>
        <w:t>un</w:t>
      </w:r>
      <w:r w:rsidR="000324C8" w:rsidRPr="00813D19">
        <w:rPr>
          <w:lang w:val="en-US"/>
        </w:rPr>
        <w:t>doubt</w:t>
      </w:r>
      <w:r w:rsidR="005A56C3" w:rsidRPr="00813D19">
        <w:rPr>
          <w:lang w:val="en-US"/>
        </w:rPr>
        <w:t>edly</w:t>
      </w:r>
      <w:r w:rsidR="000324C8" w:rsidRPr="00813D19">
        <w:rPr>
          <w:lang w:val="en-US"/>
        </w:rPr>
        <w:t xml:space="preserve"> </w:t>
      </w:r>
      <w:r w:rsidR="005A56C3" w:rsidRPr="00813D19">
        <w:rPr>
          <w:i/>
          <w:lang w:val="en-US"/>
        </w:rPr>
        <w:t>the</w:t>
      </w:r>
      <w:r w:rsidR="000324C8" w:rsidRPr="00813D19">
        <w:rPr>
          <w:lang w:val="en-US"/>
        </w:rPr>
        <w:t xml:space="preserve"> main achievement under the reporting period, namely</w:t>
      </w:r>
      <w:r w:rsidR="005A56C3" w:rsidRPr="00813D19">
        <w:rPr>
          <w:lang w:val="en-US"/>
        </w:rPr>
        <w:t>,</w:t>
      </w:r>
      <w:r w:rsidR="000324C8" w:rsidRPr="00813D19">
        <w:rPr>
          <w:lang w:val="en-US"/>
        </w:rPr>
        <w:t xml:space="preserve"> the adoption of the Overall Results Framework. As a global monitoring and evaluation tool to assess the overall impact of the implementation of the Convention</w:t>
      </w:r>
      <w:r w:rsidR="005A56C3" w:rsidRPr="00813D19">
        <w:rPr>
          <w:lang w:val="en-US"/>
        </w:rPr>
        <w:t>, it had</w:t>
      </w:r>
      <w:r w:rsidR="000324C8" w:rsidRPr="00813D19">
        <w:rPr>
          <w:lang w:val="en-US"/>
        </w:rPr>
        <w:t xml:space="preserve"> wide implications for all stakeholders at various levels.</w:t>
      </w:r>
      <w:r w:rsidR="00386971" w:rsidRPr="00813D19">
        <w:rPr>
          <w:lang w:val="en-US"/>
        </w:rPr>
        <w:t xml:space="preserve"> </w:t>
      </w:r>
      <w:r w:rsidR="005A56C3" w:rsidRPr="00813D19">
        <w:rPr>
          <w:lang w:val="en-US"/>
        </w:rPr>
        <w:t xml:space="preserve">It was </w:t>
      </w:r>
      <w:r w:rsidR="000324C8" w:rsidRPr="00813D19">
        <w:rPr>
          <w:lang w:val="en-US"/>
        </w:rPr>
        <w:t>recall</w:t>
      </w:r>
      <w:r w:rsidR="005A56C3" w:rsidRPr="00813D19">
        <w:rPr>
          <w:lang w:val="en-US"/>
        </w:rPr>
        <w:t>ed</w:t>
      </w:r>
      <w:r w:rsidR="000324C8" w:rsidRPr="00813D19">
        <w:rPr>
          <w:lang w:val="en-US"/>
        </w:rPr>
        <w:t xml:space="preserve"> that the framework </w:t>
      </w:r>
      <w:r w:rsidR="0017569E">
        <w:rPr>
          <w:lang w:val="en-US"/>
        </w:rPr>
        <w:t>had been</w:t>
      </w:r>
      <w:r w:rsidR="0017569E" w:rsidRPr="00813D19">
        <w:rPr>
          <w:lang w:val="en-US"/>
        </w:rPr>
        <w:t xml:space="preserve"> </w:t>
      </w:r>
      <w:r w:rsidR="000324C8" w:rsidRPr="00813D19">
        <w:rPr>
          <w:lang w:val="en-US"/>
        </w:rPr>
        <w:t>developed through an extensive approach with a meeting of experts, an open-ended intergovernmental working group</w:t>
      </w:r>
      <w:r w:rsidR="005A56C3" w:rsidRPr="00813D19">
        <w:rPr>
          <w:lang w:val="en-US"/>
        </w:rPr>
        <w:t>,</w:t>
      </w:r>
      <w:r w:rsidR="000324C8" w:rsidRPr="00813D19">
        <w:rPr>
          <w:lang w:val="en-US"/>
        </w:rPr>
        <w:t xml:space="preserve"> and discussions at </w:t>
      </w:r>
      <w:r w:rsidR="005A56C3" w:rsidRPr="00813D19">
        <w:rPr>
          <w:lang w:val="en-US"/>
        </w:rPr>
        <w:t xml:space="preserve">three </w:t>
      </w:r>
      <w:r w:rsidR="000324C8" w:rsidRPr="00813D19">
        <w:rPr>
          <w:lang w:val="en-US"/>
        </w:rPr>
        <w:t>sessions of the Committee</w:t>
      </w:r>
      <w:r w:rsidR="005A56C3" w:rsidRPr="00813D19">
        <w:rPr>
          <w:lang w:val="en-US"/>
        </w:rPr>
        <w:t xml:space="preserve"> (9.COM, 11.COM and 12.COM)</w:t>
      </w:r>
      <w:r w:rsidR="000324C8" w:rsidRPr="00813D19">
        <w:rPr>
          <w:lang w:val="en-US"/>
        </w:rPr>
        <w:t>. The adoption of the framework at the seventh sessi</w:t>
      </w:r>
      <w:r w:rsidR="005A56C3" w:rsidRPr="00813D19">
        <w:rPr>
          <w:lang w:val="en-US"/>
        </w:rPr>
        <w:t>on of the General Assembly marked</w:t>
      </w:r>
      <w:r w:rsidR="000324C8" w:rsidRPr="00813D19">
        <w:rPr>
          <w:lang w:val="en-US"/>
        </w:rPr>
        <w:t xml:space="preserve"> a notable achievement in the life of the Convention.</w:t>
      </w:r>
      <w:r w:rsidR="00386971" w:rsidRPr="00813D19">
        <w:rPr>
          <w:lang w:val="en-US"/>
        </w:rPr>
        <w:t xml:space="preserve"> </w:t>
      </w:r>
      <w:r w:rsidR="005A56C3" w:rsidRPr="00813D19">
        <w:rPr>
          <w:lang w:val="en-US"/>
        </w:rPr>
        <w:t>A</w:t>
      </w:r>
      <w:r w:rsidR="000324C8" w:rsidRPr="00813D19">
        <w:rPr>
          <w:lang w:val="en-US"/>
        </w:rPr>
        <w:t xml:space="preserve">s requested, </w:t>
      </w:r>
      <w:r w:rsidR="005A56C3" w:rsidRPr="00813D19">
        <w:rPr>
          <w:lang w:val="en-US"/>
        </w:rPr>
        <w:t xml:space="preserve">the Secretariat was currently working </w:t>
      </w:r>
      <w:r w:rsidR="000324C8" w:rsidRPr="00813D19">
        <w:rPr>
          <w:lang w:val="en-US"/>
        </w:rPr>
        <w:t>on the development of the guidance notes for the indicators</w:t>
      </w:r>
      <w:r w:rsidR="005A56C3" w:rsidRPr="00813D19">
        <w:rPr>
          <w:lang w:val="en-US"/>
        </w:rPr>
        <w:t>, and the revision</w:t>
      </w:r>
      <w:r w:rsidR="000324C8" w:rsidRPr="00813D19">
        <w:rPr>
          <w:lang w:val="en-US"/>
        </w:rPr>
        <w:t xml:space="preserve"> of the periodic report forms </w:t>
      </w:r>
      <w:r w:rsidR="005A56C3" w:rsidRPr="00813D19">
        <w:rPr>
          <w:lang w:val="en-US"/>
        </w:rPr>
        <w:t xml:space="preserve">that would </w:t>
      </w:r>
      <w:r w:rsidR="000324C8" w:rsidRPr="00813D19">
        <w:rPr>
          <w:lang w:val="en-US"/>
        </w:rPr>
        <w:t>help nourish the framework. In 2019</w:t>
      </w:r>
      <w:r w:rsidR="005A56C3" w:rsidRPr="00813D19">
        <w:rPr>
          <w:lang w:val="en-US"/>
        </w:rPr>
        <w:t>,</w:t>
      </w:r>
      <w:r w:rsidR="000324C8" w:rsidRPr="00813D19">
        <w:rPr>
          <w:lang w:val="en-US"/>
        </w:rPr>
        <w:t xml:space="preserve"> </w:t>
      </w:r>
      <w:r w:rsidR="005A56C3" w:rsidRPr="00813D19">
        <w:rPr>
          <w:lang w:val="en-US"/>
        </w:rPr>
        <w:t xml:space="preserve">the Secretariat would </w:t>
      </w:r>
      <w:r w:rsidR="000324C8" w:rsidRPr="00813D19">
        <w:rPr>
          <w:lang w:val="en-US"/>
        </w:rPr>
        <w:lastRenderedPageBreak/>
        <w:t>also be prepa</w:t>
      </w:r>
      <w:r w:rsidR="005A56C3" w:rsidRPr="00813D19">
        <w:rPr>
          <w:lang w:val="en-US"/>
        </w:rPr>
        <w:t>ring for the capacity-</w:t>
      </w:r>
      <w:r w:rsidR="000324C8" w:rsidRPr="00813D19">
        <w:rPr>
          <w:lang w:val="en-US"/>
        </w:rPr>
        <w:t xml:space="preserve">building activities </w:t>
      </w:r>
      <w:r w:rsidR="005A56C3" w:rsidRPr="00813D19">
        <w:rPr>
          <w:lang w:val="en-US"/>
        </w:rPr>
        <w:t>to be undertaken</w:t>
      </w:r>
      <w:r w:rsidR="000324C8" w:rsidRPr="00813D19">
        <w:rPr>
          <w:lang w:val="en-US"/>
        </w:rPr>
        <w:t xml:space="preserve"> in 2020 as the new periodic reporting cycles </w:t>
      </w:r>
      <w:r w:rsidR="0017569E">
        <w:rPr>
          <w:lang w:val="en-US"/>
        </w:rPr>
        <w:t xml:space="preserve">were </w:t>
      </w:r>
      <w:r w:rsidR="005A56C3" w:rsidRPr="00813D19">
        <w:rPr>
          <w:lang w:val="en-US"/>
        </w:rPr>
        <w:t>roll</w:t>
      </w:r>
      <w:r w:rsidR="0017569E">
        <w:rPr>
          <w:lang w:val="en-US"/>
        </w:rPr>
        <w:t>ed</w:t>
      </w:r>
      <w:r w:rsidR="005A56C3" w:rsidRPr="00813D19">
        <w:rPr>
          <w:lang w:val="en-US"/>
        </w:rPr>
        <w:t xml:space="preserve"> out, as would later be discussed </w:t>
      </w:r>
      <w:r w:rsidR="000324C8" w:rsidRPr="00813D19">
        <w:rPr>
          <w:lang w:val="en-US"/>
        </w:rPr>
        <w:t xml:space="preserve">under </w:t>
      </w:r>
      <w:r w:rsidR="005A56C3" w:rsidRPr="00813D19">
        <w:rPr>
          <w:lang w:val="en-US"/>
        </w:rPr>
        <w:t xml:space="preserve">agenda </w:t>
      </w:r>
      <w:r w:rsidR="000324C8" w:rsidRPr="00813D19">
        <w:rPr>
          <w:lang w:val="en-US"/>
        </w:rPr>
        <w:t>item 8.</w:t>
      </w:r>
      <w:r w:rsidR="005A56C3" w:rsidRPr="00813D19">
        <w:rPr>
          <w:lang w:val="en-US"/>
        </w:rPr>
        <w:t xml:space="preserve"> This </w:t>
      </w:r>
      <w:r w:rsidR="000324C8" w:rsidRPr="00813D19">
        <w:rPr>
          <w:lang w:val="en-US"/>
        </w:rPr>
        <w:t xml:space="preserve">overall results framework </w:t>
      </w:r>
      <w:r w:rsidR="005A56C3" w:rsidRPr="00813D19">
        <w:rPr>
          <w:lang w:val="en-US"/>
        </w:rPr>
        <w:t xml:space="preserve">could be seen as </w:t>
      </w:r>
      <w:r w:rsidR="000324C8" w:rsidRPr="00813D19">
        <w:rPr>
          <w:lang w:val="en-US"/>
        </w:rPr>
        <w:t>a way of opening ‘windows’ on the</w:t>
      </w:r>
      <w:r w:rsidR="005A56C3" w:rsidRPr="00813D19">
        <w:rPr>
          <w:lang w:val="en-US"/>
        </w:rPr>
        <w:t xml:space="preserve"> many aspects of the Convention</w:t>
      </w:r>
      <w:r w:rsidR="000324C8" w:rsidRPr="00813D19">
        <w:rPr>
          <w:lang w:val="en-US"/>
        </w:rPr>
        <w:t xml:space="preserve"> and</w:t>
      </w:r>
      <w:r w:rsidR="005A56C3" w:rsidRPr="00813D19">
        <w:rPr>
          <w:lang w:val="en-US"/>
        </w:rPr>
        <w:t>,</w:t>
      </w:r>
      <w:r w:rsidR="000324C8" w:rsidRPr="00813D19">
        <w:rPr>
          <w:lang w:val="en-US"/>
        </w:rPr>
        <w:t xml:space="preserve"> in particular</w:t>
      </w:r>
      <w:r w:rsidR="005A56C3" w:rsidRPr="00813D19">
        <w:rPr>
          <w:lang w:val="en-US"/>
        </w:rPr>
        <w:t>,</w:t>
      </w:r>
      <w:r w:rsidR="000324C8" w:rsidRPr="00813D19">
        <w:rPr>
          <w:lang w:val="en-US"/>
        </w:rPr>
        <w:t xml:space="preserve"> on the multitude of policies and programmes initiated and implemented at the country level</w:t>
      </w:r>
      <w:r w:rsidR="005A56C3" w:rsidRPr="00813D19">
        <w:rPr>
          <w:lang w:val="en-US"/>
        </w:rPr>
        <w:t>,</w:t>
      </w:r>
      <w:r w:rsidR="000324C8" w:rsidRPr="00813D19">
        <w:rPr>
          <w:lang w:val="en-US"/>
        </w:rPr>
        <w:t xml:space="preserve"> represent</w:t>
      </w:r>
      <w:r w:rsidR="005A56C3" w:rsidRPr="00813D19">
        <w:rPr>
          <w:lang w:val="en-US"/>
        </w:rPr>
        <w:t>ing</w:t>
      </w:r>
      <w:r w:rsidR="000324C8" w:rsidRPr="00813D19">
        <w:rPr>
          <w:lang w:val="en-US"/>
        </w:rPr>
        <w:t xml:space="preserve"> perhaps the greatest achievements of the Convention in terms of impact. </w:t>
      </w:r>
      <w:r w:rsidR="005A56C3" w:rsidRPr="00813D19">
        <w:rPr>
          <w:lang w:val="en-US"/>
        </w:rPr>
        <w:t xml:space="preserve">It was </w:t>
      </w:r>
      <w:r w:rsidR="000324C8" w:rsidRPr="00813D19">
        <w:rPr>
          <w:lang w:val="en-US"/>
        </w:rPr>
        <w:t>hope</w:t>
      </w:r>
      <w:r w:rsidR="005A56C3" w:rsidRPr="00813D19">
        <w:rPr>
          <w:lang w:val="en-US"/>
        </w:rPr>
        <w:t>d</w:t>
      </w:r>
      <w:r w:rsidR="000324C8" w:rsidRPr="00813D19">
        <w:rPr>
          <w:lang w:val="en-US"/>
        </w:rPr>
        <w:t xml:space="preserve"> that this </w:t>
      </w:r>
      <w:r w:rsidR="005A56C3" w:rsidRPr="00813D19">
        <w:rPr>
          <w:lang w:val="en-US"/>
        </w:rPr>
        <w:t xml:space="preserve">would </w:t>
      </w:r>
      <w:r w:rsidR="000324C8" w:rsidRPr="00813D19">
        <w:rPr>
          <w:lang w:val="en-US"/>
        </w:rPr>
        <w:t xml:space="preserve">allow new and exciting narratives about the Convention to flow through these windows. The framework should </w:t>
      </w:r>
      <w:r w:rsidR="005A56C3" w:rsidRPr="00813D19">
        <w:rPr>
          <w:lang w:val="en-US"/>
        </w:rPr>
        <w:t xml:space="preserve">provide </w:t>
      </w:r>
      <w:r w:rsidR="000324C8" w:rsidRPr="00813D19">
        <w:rPr>
          <w:lang w:val="en-US"/>
        </w:rPr>
        <w:t xml:space="preserve">different insights and stories related to the safeguarding of intangible cultural heritage at community, national and international levels, such as its contribution to the Sustainable Development Goals, or the many ways by which communities </w:t>
      </w:r>
      <w:r w:rsidR="00B42351" w:rsidRPr="00813D19">
        <w:rPr>
          <w:lang w:val="en-US"/>
        </w:rPr>
        <w:t>were</w:t>
      </w:r>
      <w:r w:rsidR="000324C8" w:rsidRPr="00813D19">
        <w:rPr>
          <w:lang w:val="en-US"/>
        </w:rPr>
        <w:t xml:space="preserve"> adapting to the cultural and other challenges face</w:t>
      </w:r>
      <w:r w:rsidR="005A56C3" w:rsidRPr="00813D19">
        <w:rPr>
          <w:lang w:val="en-US"/>
        </w:rPr>
        <w:t>d</w:t>
      </w:r>
      <w:r w:rsidR="000324C8" w:rsidRPr="00813D19">
        <w:rPr>
          <w:lang w:val="en-US"/>
        </w:rPr>
        <w:t xml:space="preserve"> </w:t>
      </w:r>
      <w:r w:rsidR="005A56C3" w:rsidRPr="00813D19">
        <w:rPr>
          <w:lang w:val="en-US"/>
        </w:rPr>
        <w:t xml:space="preserve">in </w:t>
      </w:r>
      <w:r w:rsidR="00B42351" w:rsidRPr="00813D19">
        <w:rPr>
          <w:lang w:val="en-US"/>
        </w:rPr>
        <w:t xml:space="preserve">an </w:t>
      </w:r>
      <w:r w:rsidR="000324C8" w:rsidRPr="00813D19">
        <w:rPr>
          <w:lang w:val="en-US"/>
        </w:rPr>
        <w:t>ever</w:t>
      </w:r>
      <w:r w:rsidR="0017569E">
        <w:rPr>
          <w:lang w:val="en-US"/>
        </w:rPr>
        <w:t>-</w:t>
      </w:r>
      <w:r w:rsidR="000324C8" w:rsidRPr="00813D19">
        <w:rPr>
          <w:lang w:val="en-US"/>
        </w:rPr>
        <w:t>increasing and interconnected world.</w:t>
      </w:r>
    </w:p>
    <w:p w14:paraId="075CE09E" w14:textId="1D5C5578" w:rsidR="00386971" w:rsidRPr="00813D19" w:rsidRDefault="005A56C3" w:rsidP="00386971">
      <w:pPr>
        <w:pStyle w:val="Orateurengris"/>
        <w:spacing w:before="120"/>
        <w:ind w:left="709" w:hanging="709"/>
        <w:rPr>
          <w:snapToGrid/>
          <w:lang w:val="en-US"/>
        </w:rPr>
      </w:pPr>
      <w:r w:rsidRPr="00813D19">
        <w:rPr>
          <w:lang w:val="en-US"/>
        </w:rPr>
        <w:t xml:space="preserve">Regarding the </w:t>
      </w:r>
      <w:r w:rsidRPr="00813D19">
        <w:rPr>
          <w:u w:val="single"/>
          <w:lang w:val="en-US"/>
        </w:rPr>
        <w:t>o</w:t>
      </w:r>
      <w:r w:rsidR="00386971" w:rsidRPr="00813D19">
        <w:rPr>
          <w:u w:val="single"/>
          <w:lang w:val="en-US"/>
        </w:rPr>
        <w:t xml:space="preserve">perationalization of </w:t>
      </w:r>
      <w:r w:rsidRPr="00813D19">
        <w:rPr>
          <w:u w:val="single"/>
          <w:lang w:val="en-US"/>
        </w:rPr>
        <w:t xml:space="preserve">the </w:t>
      </w:r>
      <w:r w:rsidR="00386971" w:rsidRPr="00813D19">
        <w:rPr>
          <w:u w:val="single"/>
          <w:lang w:val="en-US"/>
        </w:rPr>
        <w:t>International Assistance mechanism</w:t>
      </w:r>
      <w:r w:rsidRPr="00813D19">
        <w:rPr>
          <w:lang w:val="en-US"/>
        </w:rPr>
        <w:t xml:space="preserve">, the </w:t>
      </w:r>
      <w:r w:rsidRPr="00813D19">
        <w:rPr>
          <w:b/>
          <w:lang w:val="en-US"/>
        </w:rPr>
        <w:t>Secretary</w:t>
      </w:r>
      <w:r w:rsidRPr="00813D19">
        <w:rPr>
          <w:lang w:val="en-US"/>
        </w:rPr>
        <w:t xml:space="preserve"> was </w:t>
      </w:r>
      <w:r w:rsidR="000324C8" w:rsidRPr="00813D19">
        <w:rPr>
          <w:lang w:val="en-US"/>
        </w:rPr>
        <w:t>pleased</w:t>
      </w:r>
      <w:r w:rsidR="000324C8" w:rsidRPr="00813D19">
        <w:rPr>
          <w:snapToGrid/>
          <w:lang w:val="en-US"/>
        </w:rPr>
        <w:t xml:space="preserve"> to report on </w:t>
      </w:r>
      <w:r w:rsidRPr="00813D19">
        <w:rPr>
          <w:snapToGrid/>
          <w:lang w:val="en-US"/>
        </w:rPr>
        <w:t xml:space="preserve">its </w:t>
      </w:r>
      <w:r w:rsidR="000324C8" w:rsidRPr="00813D19">
        <w:rPr>
          <w:snapToGrid/>
          <w:lang w:val="en-US"/>
        </w:rPr>
        <w:t>significant progress.</w:t>
      </w:r>
      <w:r w:rsidR="00386971" w:rsidRPr="00813D19">
        <w:rPr>
          <w:snapToGrid/>
          <w:lang w:val="en-US"/>
        </w:rPr>
        <w:t xml:space="preserve"> </w:t>
      </w:r>
      <w:r w:rsidR="000324C8" w:rsidRPr="00813D19">
        <w:rPr>
          <w:snapToGrid/>
          <w:lang w:val="en-US"/>
        </w:rPr>
        <w:t xml:space="preserve">As </w:t>
      </w:r>
      <w:r w:rsidRPr="00813D19">
        <w:rPr>
          <w:snapToGrid/>
          <w:lang w:val="en-US"/>
        </w:rPr>
        <w:t xml:space="preserve">the Committee was </w:t>
      </w:r>
      <w:r w:rsidR="000324C8" w:rsidRPr="00813D19">
        <w:rPr>
          <w:snapToGrid/>
          <w:lang w:val="en-US"/>
        </w:rPr>
        <w:t>aware, over the years, the International Assist</w:t>
      </w:r>
      <w:r w:rsidRPr="00813D19">
        <w:rPr>
          <w:snapToGrid/>
          <w:lang w:val="en-US"/>
        </w:rPr>
        <w:t>ance budget line of the Fund had</w:t>
      </w:r>
      <w:r w:rsidR="000324C8" w:rsidRPr="00813D19">
        <w:rPr>
          <w:snapToGrid/>
          <w:lang w:val="en-US"/>
        </w:rPr>
        <w:t xml:space="preserve"> </w:t>
      </w:r>
      <w:r w:rsidRPr="00813D19">
        <w:rPr>
          <w:snapToGrid/>
          <w:lang w:val="en-US"/>
        </w:rPr>
        <w:t>accumulated</w:t>
      </w:r>
      <w:r w:rsidR="000324C8" w:rsidRPr="00813D19">
        <w:rPr>
          <w:snapToGrid/>
          <w:lang w:val="en-US"/>
        </w:rPr>
        <w:t xml:space="preserve"> more resources than requests for it use. At the sixth session of the General Assembly in 2016</w:t>
      </w:r>
      <w:r w:rsidR="0017569E">
        <w:rPr>
          <w:snapToGrid/>
          <w:lang w:val="en-US"/>
        </w:rPr>
        <w:t>,</w:t>
      </w:r>
      <w:r w:rsidR="000324C8" w:rsidRPr="00813D19">
        <w:rPr>
          <w:snapToGrid/>
          <w:lang w:val="en-US"/>
        </w:rPr>
        <w:t xml:space="preserve"> a decision was </w:t>
      </w:r>
      <w:r w:rsidRPr="00813D19">
        <w:rPr>
          <w:snapToGrid/>
          <w:lang w:val="en-US"/>
        </w:rPr>
        <w:t xml:space="preserve">taken </w:t>
      </w:r>
      <w:r w:rsidR="000324C8" w:rsidRPr="00813D19">
        <w:rPr>
          <w:snapToGrid/>
          <w:lang w:val="en-US"/>
        </w:rPr>
        <w:t xml:space="preserve">to increase the ceiling </w:t>
      </w:r>
      <w:r w:rsidRPr="00813D19">
        <w:rPr>
          <w:snapToGrid/>
          <w:lang w:val="en-US"/>
        </w:rPr>
        <w:t xml:space="preserve">that </w:t>
      </w:r>
      <w:r w:rsidR="000324C8" w:rsidRPr="00813D19">
        <w:rPr>
          <w:snapToGrid/>
          <w:lang w:val="en-US"/>
        </w:rPr>
        <w:t>could be examined by the Bureau from US$25,000 to US$100,000</w:t>
      </w:r>
      <w:r w:rsidRPr="00813D19">
        <w:rPr>
          <w:snapToGrid/>
          <w:lang w:val="en-US"/>
        </w:rPr>
        <w:t xml:space="preserve">. Consequently, </w:t>
      </w:r>
      <w:r w:rsidR="000324C8" w:rsidRPr="00813D19">
        <w:rPr>
          <w:snapToGrid/>
          <w:lang w:val="en-US"/>
        </w:rPr>
        <w:t xml:space="preserve">the numbers clearly </w:t>
      </w:r>
      <w:r w:rsidRPr="00813D19">
        <w:rPr>
          <w:snapToGrid/>
          <w:lang w:val="en-US"/>
        </w:rPr>
        <w:t>show</w:t>
      </w:r>
      <w:r w:rsidR="00B42351" w:rsidRPr="00813D19">
        <w:rPr>
          <w:snapToGrid/>
          <w:lang w:val="en-US"/>
        </w:rPr>
        <w:t>ed</w:t>
      </w:r>
      <w:r w:rsidRPr="00813D19">
        <w:rPr>
          <w:snapToGrid/>
          <w:lang w:val="en-US"/>
        </w:rPr>
        <w:t xml:space="preserve"> that the </w:t>
      </w:r>
      <w:r w:rsidR="000324C8" w:rsidRPr="00813D19">
        <w:rPr>
          <w:snapToGrid/>
          <w:lang w:val="en-US"/>
        </w:rPr>
        <w:t xml:space="preserve">effects of that decision on the implementation of the fund </w:t>
      </w:r>
      <w:r w:rsidRPr="00813D19">
        <w:rPr>
          <w:snapToGrid/>
          <w:lang w:val="en-US"/>
        </w:rPr>
        <w:t xml:space="preserve">were </w:t>
      </w:r>
      <w:r w:rsidR="000324C8" w:rsidRPr="00813D19">
        <w:rPr>
          <w:snapToGrid/>
          <w:lang w:val="en-US"/>
        </w:rPr>
        <w:t xml:space="preserve">working. Concretely, the total amount of International Assistance approved by the governing bodies from January 2016 to June 2018 (US$2,741,987) </w:t>
      </w:r>
      <w:r w:rsidRPr="00813D19">
        <w:rPr>
          <w:snapToGrid/>
          <w:lang w:val="en-US"/>
        </w:rPr>
        <w:t xml:space="preserve">was </w:t>
      </w:r>
      <w:r w:rsidR="000324C8" w:rsidRPr="00813D19">
        <w:rPr>
          <w:snapToGrid/>
          <w:lang w:val="en-US"/>
        </w:rPr>
        <w:t xml:space="preserve">higher than the cumulative amount approved between 2009 and 2015 (US$2,293,735). The Secretariat </w:t>
      </w:r>
      <w:r w:rsidRPr="00813D19">
        <w:rPr>
          <w:snapToGrid/>
          <w:lang w:val="en-US"/>
        </w:rPr>
        <w:t xml:space="preserve">had </w:t>
      </w:r>
      <w:r w:rsidR="000324C8" w:rsidRPr="00813D19">
        <w:rPr>
          <w:snapToGrid/>
          <w:lang w:val="en-US"/>
        </w:rPr>
        <w:t xml:space="preserve">consequently intensified efforts to </w:t>
      </w:r>
      <w:r w:rsidRPr="00813D19">
        <w:rPr>
          <w:snapToGrid/>
          <w:lang w:val="en-US"/>
        </w:rPr>
        <w:t xml:space="preserve">improve access to </w:t>
      </w:r>
      <w:r w:rsidR="000324C8" w:rsidRPr="00813D19">
        <w:rPr>
          <w:snapToGrid/>
          <w:lang w:val="en-US"/>
        </w:rPr>
        <w:t xml:space="preserve">the </w:t>
      </w:r>
      <w:r w:rsidR="00B42351" w:rsidRPr="00813D19">
        <w:rPr>
          <w:snapToGrid/>
          <w:lang w:val="en-US"/>
        </w:rPr>
        <w:t>ICH</w:t>
      </w:r>
      <w:r w:rsidR="000324C8" w:rsidRPr="00813D19">
        <w:rPr>
          <w:snapToGrid/>
          <w:lang w:val="en-US"/>
        </w:rPr>
        <w:t xml:space="preserve"> Fund </w:t>
      </w:r>
      <w:r w:rsidRPr="00813D19">
        <w:rPr>
          <w:snapToGrid/>
          <w:lang w:val="en-US"/>
        </w:rPr>
        <w:t xml:space="preserve">to States </w:t>
      </w:r>
      <w:r w:rsidR="000324C8" w:rsidRPr="00813D19">
        <w:rPr>
          <w:snapToGrid/>
          <w:lang w:val="en-US"/>
        </w:rPr>
        <w:t>for safeguarding their living heritage.</w:t>
      </w:r>
      <w:r w:rsidR="00386971" w:rsidRPr="00813D19">
        <w:rPr>
          <w:snapToGrid/>
          <w:lang w:val="en-US"/>
        </w:rPr>
        <w:t xml:space="preserve"> </w:t>
      </w:r>
      <w:r w:rsidR="000324C8" w:rsidRPr="00813D19">
        <w:rPr>
          <w:snapToGrid/>
          <w:lang w:val="en-US"/>
        </w:rPr>
        <w:t>In this regard, the seventh session of the General Assembly made a</w:t>
      </w:r>
      <w:r w:rsidRPr="00813D19">
        <w:rPr>
          <w:snapToGrid/>
          <w:lang w:val="en-US"/>
        </w:rPr>
        <w:t>n</w:t>
      </w:r>
      <w:r w:rsidR="000324C8" w:rsidRPr="00813D19">
        <w:rPr>
          <w:snapToGrid/>
          <w:lang w:val="en-US"/>
        </w:rPr>
        <w:t xml:space="preserve"> important decision </w:t>
      </w:r>
      <w:r w:rsidRPr="00813D19">
        <w:rPr>
          <w:snapToGrid/>
          <w:lang w:val="en-US"/>
        </w:rPr>
        <w:t>that responded</w:t>
      </w:r>
      <w:r w:rsidR="000324C8" w:rsidRPr="00813D19">
        <w:rPr>
          <w:snapToGrid/>
          <w:lang w:val="en-US"/>
        </w:rPr>
        <w:t xml:space="preserve"> to a specific request </w:t>
      </w:r>
      <w:r w:rsidRPr="00813D19">
        <w:rPr>
          <w:snapToGrid/>
          <w:lang w:val="en-US"/>
        </w:rPr>
        <w:t xml:space="preserve">by </w:t>
      </w:r>
      <w:r w:rsidR="000324C8" w:rsidRPr="00813D19">
        <w:rPr>
          <w:snapToGrid/>
          <w:lang w:val="en-US"/>
        </w:rPr>
        <w:t xml:space="preserve">the Secretariat </w:t>
      </w:r>
      <w:r w:rsidRPr="00813D19">
        <w:rPr>
          <w:snapToGrid/>
          <w:lang w:val="en-US"/>
        </w:rPr>
        <w:t xml:space="preserve">to </w:t>
      </w:r>
      <w:r w:rsidR="000324C8" w:rsidRPr="00813D19">
        <w:rPr>
          <w:snapToGrid/>
          <w:lang w:val="en-US"/>
        </w:rPr>
        <w:t>authoriz</w:t>
      </w:r>
      <w:r w:rsidRPr="00813D19">
        <w:rPr>
          <w:snapToGrid/>
          <w:lang w:val="en-US"/>
        </w:rPr>
        <w:t>e</w:t>
      </w:r>
      <w:r w:rsidR="000324C8" w:rsidRPr="00813D19">
        <w:rPr>
          <w:snapToGrid/>
          <w:lang w:val="en-US"/>
        </w:rPr>
        <w:t xml:space="preserve"> the recruitment of three fixed-term extrabudgetary posts at P3, P2 and G5 levels, financed by the Fund. These posts w</w:t>
      </w:r>
      <w:r w:rsidR="0017569E">
        <w:rPr>
          <w:snapToGrid/>
          <w:lang w:val="en-US"/>
        </w:rPr>
        <w:t>ould</w:t>
      </w:r>
      <w:r w:rsidR="000324C8" w:rsidRPr="00813D19">
        <w:rPr>
          <w:snapToGrid/>
          <w:lang w:val="en-US"/>
        </w:rPr>
        <w:t xml:space="preserve"> be dedicated to the operationalization of the International Assistance portfolio of the </w:t>
      </w:r>
      <w:r w:rsidR="00B42351" w:rsidRPr="00813D19">
        <w:rPr>
          <w:snapToGrid/>
          <w:lang w:val="en-US"/>
        </w:rPr>
        <w:t xml:space="preserve">ICH </w:t>
      </w:r>
      <w:r w:rsidR="000324C8" w:rsidRPr="00813D19">
        <w:rPr>
          <w:snapToGrid/>
          <w:lang w:val="en-US"/>
        </w:rPr>
        <w:t>Fund.</w:t>
      </w:r>
      <w:r w:rsidR="00386971" w:rsidRPr="00813D19">
        <w:rPr>
          <w:snapToGrid/>
          <w:lang w:val="en-US"/>
        </w:rPr>
        <w:t xml:space="preserve"> </w:t>
      </w:r>
      <w:r w:rsidRPr="00813D19">
        <w:rPr>
          <w:snapToGrid/>
          <w:lang w:val="en-US"/>
        </w:rPr>
        <w:t>A</w:t>
      </w:r>
      <w:r w:rsidR="00284668" w:rsidRPr="00813D19">
        <w:rPr>
          <w:snapToGrid/>
          <w:lang w:val="en-US"/>
        </w:rPr>
        <w:t xml:space="preserve"> ‘Safegu</w:t>
      </w:r>
      <w:r w:rsidR="00B42351" w:rsidRPr="00813D19">
        <w:rPr>
          <w:snapToGrid/>
          <w:lang w:val="en-US"/>
        </w:rPr>
        <w:t>arding and Implementation Team’</w:t>
      </w:r>
      <w:r w:rsidR="00284668" w:rsidRPr="00813D19">
        <w:rPr>
          <w:snapToGrid/>
          <w:lang w:val="en-US"/>
        </w:rPr>
        <w:t xml:space="preserve"> </w:t>
      </w:r>
      <w:r w:rsidR="0017569E">
        <w:rPr>
          <w:snapToGrid/>
          <w:lang w:val="en-US"/>
        </w:rPr>
        <w:t>would</w:t>
      </w:r>
      <w:r w:rsidR="0017569E" w:rsidRPr="00813D19">
        <w:rPr>
          <w:snapToGrid/>
          <w:lang w:val="en-US"/>
        </w:rPr>
        <w:t xml:space="preserve"> </w:t>
      </w:r>
      <w:r w:rsidRPr="00813D19">
        <w:rPr>
          <w:snapToGrid/>
          <w:lang w:val="en-US"/>
        </w:rPr>
        <w:t xml:space="preserve">be formed </w:t>
      </w:r>
      <w:r w:rsidR="000324C8" w:rsidRPr="00813D19">
        <w:rPr>
          <w:snapToGrid/>
          <w:lang w:val="en-US"/>
        </w:rPr>
        <w:t xml:space="preserve">to set up </w:t>
      </w:r>
      <w:r w:rsidR="00B42351" w:rsidRPr="00813D19">
        <w:rPr>
          <w:snapToGrid/>
          <w:lang w:val="en-US"/>
        </w:rPr>
        <w:t xml:space="preserve">the </w:t>
      </w:r>
      <w:r w:rsidR="000324C8" w:rsidRPr="00813D19">
        <w:rPr>
          <w:snapToGrid/>
          <w:lang w:val="en-US"/>
        </w:rPr>
        <w:t xml:space="preserve">implementation and monitoring mechanisms, including risk management, to determine the impact and sustainability of individual projects on the ground, as well as </w:t>
      </w:r>
      <w:r w:rsidR="00284668" w:rsidRPr="00813D19">
        <w:rPr>
          <w:snapToGrid/>
          <w:lang w:val="en-US"/>
        </w:rPr>
        <w:t xml:space="preserve">to improve the </w:t>
      </w:r>
      <w:r w:rsidR="000324C8" w:rsidRPr="00813D19">
        <w:rPr>
          <w:snapToGrid/>
          <w:lang w:val="en-US"/>
        </w:rPr>
        <w:t xml:space="preserve">efficiency of the overall mechanism. The </w:t>
      </w:r>
      <w:r w:rsidR="00284668" w:rsidRPr="00813D19">
        <w:rPr>
          <w:snapToGrid/>
          <w:lang w:val="en-US"/>
        </w:rPr>
        <w:t>team</w:t>
      </w:r>
      <w:r w:rsidR="000324C8" w:rsidRPr="00813D19">
        <w:rPr>
          <w:snapToGrid/>
          <w:lang w:val="en-US"/>
        </w:rPr>
        <w:t xml:space="preserve"> </w:t>
      </w:r>
      <w:r w:rsidR="0017569E">
        <w:rPr>
          <w:snapToGrid/>
          <w:lang w:val="en-US"/>
        </w:rPr>
        <w:t>would</w:t>
      </w:r>
      <w:r w:rsidR="0017569E" w:rsidRPr="00813D19">
        <w:rPr>
          <w:snapToGrid/>
          <w:lang w:val="en-US"/>
        </w:rPr>
        <w:t xml:space="preserve"> </w:t>
      </w:r>
      <w:r w:rsidR="000324C8" w:rsidRPr="00813D19">
        <w:rPr>
          <w:snapToGrid/>
          <w:lang w:val="en-US"/>
        </w:rPr>
        <w:t xml:space="preserve">support and monitor the implementation of individual projects, </w:t>
      </w:r>
      <w:r w:rsidR="00284668" w:rsidRPr="00813D19">
        <w:rPr>
          <w:snapToGrid/>
          <w:lang w:val="en-US"/>
        </w:rPr>
        <w:t>while</w:t>
      </w:r>
      <w:r w:rsidR="000324C8" w:rsidRPr="00813D19">
        <w:rPr>
          <w:snapToGrid/>
          <w:lang w:val="en-US"/>
        </w:rPr>
        <w:t xml:space="preserve"> </w:t>
      </w:r>
      <w:r w:rsidR="0017569E" w:rsidRPr="00813D19">
        <w:rPr>
          <w:snapToGrid/>
          <w:lang w:val="en-US"/>
        </w:rPr>
        <w:t>analy</w:t>
      </w:r>
      <w:r w:rsidR="0017569E">
        <w:rPr>
          <w:snapToGrid/>
          <w:lang w:val="en-US"/>
        </w:rPr>
        <w:t>z</w:t>
      </w:r>
      <w:r w:rsidR="0017569E" w:rsidRPr="00813D19">
        <w:rPr>
          <w:snapToGrid/>
          <w:lang w:val="en-US"/>
        </w:rPr>
        <w:t xml:space="preserve">ing </w:t>
      </w:r>
      <w:r w:rsidR="000324C8" w:rsidRPr="00813D19">
        <w:rPr>
          <w:snapToGrid/>
          <w:lang w:val="en-US"/>
        </w:rPr>
        <w:t>overall trends and good practices. The lessons learn</w:t>
      </w:r>
      <w:r w:rsidR="00FB131E">
        <w:rPr>
          <w:snapToGrid/>
          <w:lang w:val="en-US"/>
        </w:rPr>
        <w:t>ed</w:t>
      </w:r>
      <w:r w:rsidR="000324C8" w:rsidRPr="00813D19">
        <w:rPr>
          <w:snapToGrid/>
          <w:lang w:val="en-US"/>
        </w:rPr>
        <w:t xml:space="preserve"> </w:t>
      </w:r>
      <w:r w:rsidR="0017569E">
        <w:rPr>
          <w:snapToGrid/>
          <w:lang w:val="en-US"/>
        </w:rPr>
        <w:t>would</w:t>
      </w:r>
      <w:r w:rsidR="0017569E" w:rsidRPr="00813D19">
        <w:rPr>
          <w:snapToGrid/>
          <w:lang w:val="en-US"/>
        </w:rPr>
        <w:t xml:space="preserve"> </w:t>
      </w:r>
      <w:r w:rsidR="000324C8" w:rsidRPr="00813D19">
        <w:rPr>
          <w:snapToGrid/>
          <w:lang w:val="en-US"/>
        </w:rPr>
        <w:t xml:space="preserve">then be used to further improve the management of the Fund as a key tool of the Convention. </w:t>
      </w:r>
      <w:r w:rsidR="00284668" w:rsidRPr="00813D19">
        <w:rPr>
          <w:snapToGrid/>
          <w:lang w:val="en-US"/>
        </w:rPr>
        <w:t xml:space="preserve">The Secretary was pleased </w:t>
      </w:r>
      <w:r w:rsidR="000324C8" w:rsidRPr="00813D19">
        <w:rPr>
          <w:snapToGrid/>
          <w:lang w:val="en-US"/>
        </w:rPr>
        <w:t xml:space="preserve">to report that the recruitment process </w:t>
      </w:r>
      <w:r w:rsidR="00284668" w:rsidRPr="00813D19">
        <w:rPr>
          <w:snapToGrid/>
          <w:lang w:val="en-US"/>
        </w:rPr>
        <w:t xml:space="preserve">was </w:t>
      </w:r>
      <w:r w:rsidR="000324C8" w:rsidRPr="00813D19">
        <w:rPr>
          <w:snapToGrid/>
          <w:lang w:val="en-US"/>
        </w:rPr>
        <w:t>underway</w:t>
      </w:r>
      <w:r w:rsidR="0017569E">
        <w:rPr>
          <w:snapToGrid/>
          <w:lang w:val="en-US"/>
        </w:rPr>
        <w:t>,</w:t>
      </w:r>
      <w:r w:rsidR="000324C8" w:rsidRPr="00813D19">
        <w:rPr>
          <w:snapToGrid/>
          <w:lang w:val="en-US"/>
        </w:rPr>
        <w:t xml:space="preserve"> </w:t>
      </w:r>
      <w:r w:rsidR="00284668" w:rsidRPr="00813D19">
        <w:rPr>
          <w:snapToGrid/>
          <w:lang w:val="en-US"/>
        </w:rPr>
        <w:t xml:space="preserve">with </w:t>
      </w:r>
      <w:r w:rsidR="000324C8" w:rsidRPr="00813D19">
        <w:rPr>
          <w:snapToGrid/>
          <w:lang w:val="en-US"/>
        </w:rPr>
        <w:t>t</w:t>
      </w:r>
      <w:r w:rsidR="00284668" w:rsidRPr="00813D19">
        <w:rPr>
          <w:snapToGrid/>
          <w:lang w:val="en-US"/>
        </w:rPr>
        <w:t>he vacancy notices</w:t>
      </w:r>
      <w:r w:rsidR="000324C8" w:rsidRPr="00813D19">
        <w:rPr>
          <w:snapToGrid/>
          <w:lang w:val="en-US"/>
        </w:rPr>
        <w:t xml:space="preserve"> </w:t>
      </w:r>
      <w:r w:rsidR="0017569E">
        <w:rPr>
          <w:snapToGrid/>
          <w:lang w:val="en-US"/>
        </w:rPr>
        <w:t xml:space="preserve">having been </w:t>
      </w:r>
      <w:r w:rsidR="000324C8" w:rsidRPr="00813D19">
        <w:rPr>
          <w:snapToGrid/>
          <w:lang w:val="en-US"/>
        </w:rPr>
        <w:t>published on 14 November.</w:t>
      </w:r>
    </w:p>
    <w:p w14:paraId="451BF5CB" w14:textId="37913337" w:rsidR="00386971" w:rsidRPr="00813D19" w:rsidRDefault="00284668" w:rsidP="00386971">
      <w:pPr>
        <w:pStyle w:val="Orateurengris"/>
        <w:spacing w:before="120"/>
        <w:ind w:left="709" w:hanging="709"/>
        <w:rPr>
          <w:snapToGrid/>
          <w:lang w:val="en-US"/>
        </w:rPr>
      </w:pPr>
      <w:r w:rsidRPr="00813D19">
        <w:rPr>
          <w:snapToGrid/>
          <w:lang w:val="en-US"/>
        </w:rPr>
        <w:t xml:space="preserve">Regarding </w:t>
      </w:r>
      <w:r w:rsidRPr="00813D19">
        <w:rPr>
          <w:snapToGrid/>
          <w:u w:val="single"/>
          <w:lang w:val="en-US"/>
        </w:rPr>
        <w:t>ICH and e</w:t>
      </w:r>
      <w:r w:rsidR="00386971" w:rsidRPr="00813D19">
        <w:rPr>
          <w:snapToGrid/>
          <w:u w:val="single"/>
          <w:lang w:val="en-US"/>
        </w:rPr>
        <w:t>ducation</w:t>
      </w:r>
      <w:r w:rsidRPr="00813D19">
        <w:rPr>
          <w:snapToGrid/>
          <w:lang w:val="en-US"/>
        </w:rPr>
        <w:t xml:space="preserve">, the </w:t>
      </w:r>
      <w:r w:rsidRPr="00813D19">
        <w:rPr>
          <w:b/>
          <w:snapToGrid/>
          <w:lang w:val="en-US"/>
        </w:rPr>
        <w:t>Secretary</w:t>
      </w:r>
      <w:r w:rsidRPr="00813D19">
        <w:rPr>
          <w:snapToGrid/>
          <w:lang w:val="en-US"/>
        </w:rPr>
        <w:t xml:space="preserve"> </w:t>
      </w:r>
      <w:r w:rsidR="000324C8" w:rsidRPr="00813D19">
        <w:rPr>
          <w:snapToGrid/>
          <w:lang w:val="en-US"/>
        </w:rPr>
        <w:t>recall</w:t>
      </w:r>
      <w:r w:rsidR="00B22993" w:rsidRPr="00813D19">
        <w:rPr>
          <w:snapToGrid/>
          <w:lang w:val="en-US"/>
        </w:rPr>
        <w:t>ed</w:t>
      </w:r>
      <w:r w:rsidR="000324C8" w:rsidRPr="00813D19">
        <w:rPr>
          <w:snapToGrid/>
          <w:lang w:val="en-US"/>
        </w:rPr>
        <w:t xml:space="preserve"> that ‘Safeguarding intangible cultural heritage in formal and non-formal education’ </w:t>
      </w:r>
      <w:r w:rsidR="0017569E">
        <w:rPr>
          <w:snapToGrid/>
          <w:lang w:val="en-US"/>
        </w:rPr>
        <w:t>had been</w:t>
      </w:r>
      <w:r w:rsidR="0017569E" w:rsidRPr="00813D19">
        <w:rPr>
          <w:snapToGrid/>
          <w:lang w:val="en-US"/>
        </w:rPr>
        <w:t xml:space="preserve"> </w:t>
      </w:r>
      <w:r w:rsidR="000324C8" w:rsidRPr="00813D19">
        <w:rPr>
          <w:snapToGrid/>
          <w:lang w:val="en-US"/>
        </w:rPr>
        <w:t xml:space="preserve">adopted as a new funding priority </w:t>
      </w:r>
      <w:r w:rsidR="00B22993" w:rsidRPr="00813D19">
        <w:rPr>
          <w:snapToGrid/>
          <w:lang w:val="en-US"/>
        </w:rPr>
        <w:t xml:space="preserve">at </w:t>
      </w:r>
      <w:r w:rsidR="000324C8" w:rsidRPr="00813D19">
        <w:rPr>
          <w:snapToGrid/>
          <w:lang w:val="en-US"/>
        </w:rPr>
        <w:t xml:space="preserve">the twelfth session of the Intergovernmental Committee in December 2017. </w:t>
      </w:r>
      <w:r w:rsidR="00B22993" w:rsidRPr="00813D19">
        <w:rPr>
          <w:snapToGrid/>
          <w:lang w:val="en-US"/>
        </w:rPr>
        <w:t>A</w:t>
      </w:r>
      <w:r w:rsidR="000324C8" w:rsidRPr="00813D19">
        <w:rPr>
          <w:snapToGrid/>
          <w:lang w:val="en-US"/>
        </w:rPr>
        <w:t xml:space="preserve"> roundtable </w:t>
      </w:r>
      <w:r w:rsidR="00B22993" w:rsidRPr="00813D19">
        <w:rPr>
          <w:snapToGrid/>
          <w:lang w:val="en-US"/>
        </w:rPr>
        <w:t xml:space="preserve">had also been organized </w:t>
      </w:r>
      <w:r w:rsidR="000324C8" w:rsidRPr="00813D19">
        <w:rPr>
          <w:snapToGrid/>
          <w:lang w:val="en-US"/>
        </w:rPr>
        <w:t>at the seventh session of the General Assembly to raise awareness about this new funding priority.</w:t>
      </w:r>
      <w:r w:rsidR="00386971" w:rsidRPr="00813D19">
        <w:rPr>
          <w:snapToGrid/>
          <w:lang w:val="en-US"/>
        </w:rPr>
        <w:t xml:space="preserve"> </w:t>
      </w:r>
      <w:r w:rsidR="00B22993" w:rsidRPr="00813D19">
        <w:rPr>
          <w:snapToGrid/>
          <w:lang w:val="en-US"/>
        </w:rPr>
        <w:t>Specific a</w:t>
      </w:r>
      <w:r w:rsidR="000324C8" w:rsidRPr="00813D19">
        <w:rPr>
          <w:snapToGrid/>
          <w:lang w:val="en-US"/>
        </w:rPr>
        <w:t xml:space="preserve">ctivities </w:t>
      </w:r>
      <w:r w:rsidR="000324C8" w:rsidRPr="00813D19">
        <w:rPr>
          <w:lang w:val="en-US"/>
        </w:rPr>
        <w:t xml:space="preserve">under this new priority were subsequently included in the 39 C/5 work plans for </w:t>
      </w:r>
      <w:r w:rsidR="000324C8" w:rsidRPr="00813D19">
        <w:rPr>
          <w:bCs/>
          <w:lang w:val="en-US"/>
        </w:rPr>
        <w:t>ten</w:t>
      </w:r>
      <w:r w:rsidR="00B22993" w:rsidRPr="00813D19">
        <w:rPr>
          <w:lang w:val="en-US"/>
        </w:rPr>
        <w:t xml:space="preserve"> Field Offices, </w:t>
      </w:r>
      <w:r w:rsidR="000324C8" w:rsidRPr="00813D19">
        <w:rPr>
          <w:lang w:val="en-US"/>
        </w:rPr>
        <w:t>namely</w:t>
      </w:r>
      <w:r w:rsidR="00B22993" w:rsidRPr="00813D19">
        <w:rPr>
          <w:lang w:val="en-US"/>
        </w:rPr>
        <w:t>,</w:t>
      </w:r>
      <w:r w:rsidR="000324C8" w:rsidRPr="00813D19">
        <w:rPr>
          <w:lang w:val="en-US"/>
        </w:rPr>
        <w:t xml:space="preserve"> Almaty, Amman, Beijing, </w:t>
      </w:r>
      <w:r w:rsidR="000324C8" w:rsidRPr="00813D19">
        <w:rPr>
          <w:bCs/>
          <w:lang w:val="en-US"/>
        </w:rPr>
        <w:t>Harare</w:t>
      </w:r>
      <w:r w:rsidR="000324C8" w:rsidRPr="00813D19">
        <w:rPr>
          <w:lang w:val="en-US"/>
        </w:rPr>
        <w:t xml:space="preserve">, Havana, </w:t>
      </w:r>
      <w:r w:rsidR="000324C8" w:rsidRPr="00813D19">
        <w:rPr>
          <w:bCs/>
          <w:lang w:val="en-US"/>
        </w:rPr>
        <w:t>Dakar, Lebanon</w:t>
      </w:r>
      <w:r w:rsidR="000324C8" w:rsidRPr="00813D19">
        <w:rPr>
          <w:lang w:val="en-US"/>
        </w:rPr>
        <w:t xml:space="preserve">, </w:t>
      </w:r>
      <w:r w:rsidR="000324C8" w:rsidRPr="00813D19">
        <w:rPr>
          <w:bCs/>
          <w:lang w:val="en-US"/>
        </w:rPr>
        <w:t>Nairobi</w:t>
      </w:r>
      <w:r w:rsidR="000324C8" w:rsidRPr="00813D19">
        <w:rPr>
          <w:lang w:val="en-US"/>
        </w:rPr>
        <w:t xml:space="preserve">, </w:t>
      </w:r>
      <w:r w:rsidR="000324C8" w:rsidRPr="00813D19">
        <w:rPr>
          <w:bCs/>
          <w:lang w:val="en-US"/>
        </w:rPr>
        <w:t>Santiago</w:t>
      </w:r>
      <w:r w:rsidR="000324C8" w:rsidRPr="00813D19">
        <w:rPr>
          <w:lang w:val="en-US"/>
        </w:rPr>
        <w:t xml:space="preserve"> and Tashkent. A number of offices </w:t>
      </w:r>
      <w:r w:rsidR="00B22993" w:rsidRPr="00813D19">
        <w:rPr>
          <w:lang w:val="en-US"/>
        </w:rPr>
        <w:t xml:space="preserve">were </w:t>
      </w:r>
      <w:r w:rsidR="000324C8" w:rsidRPr="00813D19">
        <w:rPr>
          <w:lang w:val="en-US"/>
        </w:rPr>
        <w:t xml:space="preserve">involved in resource mobilization efforts for integrating </w:t>
      </w:r>
      <w:r w:rsidR="00B42351" w:rsidRPr="00813D19">
        <w:rPr>
          <w:lang w:val="en-US"/>
        </w:rPr>
        <w:t>intangible cultural heritage</w:t>
      </w:r>
      <w:r w:rsidR="000324C8" w:rsidRPr="00813D19">
        <w:rPr>
          <w:lang w:val="en-US"/>
        </w:rPr>
        <w:t xml:space="preserve"> in</w:t>
      </w:r>
      <w:r w:rsidR="0017569E">
        <w:rPr>
          <w:lang w:val="en-US"/>
        </w:rPr>
        <w:t>to</w:t>
      </w:r>
      <w:r w:rsidR="000324C8" w:rsidRPr="00813D19">
        <w:rPr>
          <w:lang w:val="en-US"/>
        </w:rPr>
        <w:t xml:space="preserve"> education, notably</w:t>
      </w:r>
      <w:r w:rsidR="00B22993" w:rsidRPr="00813D19">
        <w:rPr>
          <w:lang w:val="en-US"/>
        </w:rPr>
        <w:t>,</w:t>
      </w:r>
      <w:r w:rsidR="000324C8" w:rsidRPr="00813D19">
        <w:rPr>
          <w:lang w:val="en-US"/>
        </w:rPr>
        <w:t xml:space="preserve"> </w:t>
      </w:r>
      <w:r w:rsidR="000324C8" w:rsidRPr="00813D19">
        <w:rPr>
          <w:bCs/>
          <w:lang w:val="en-US"/>
        </w:rPr>
        <w:t xml:space="preserve">UNESCO Bangkok </w:t>
      </w:r>
      <w:r w:rsidR="00B22993" w:rsidRPr="00813D19">
        <w:rPr>
          <w:lang w:val="en-US"/>
        </w:rPr>
        <w:t xml:space="preserve">was </w:t>
      </w:r>
      <w:r w:rsidR="000324C8" w:rsidRPr="00813D19">
        <w:rPr>
          <w:lang w:val="en-US"/>
        </w:rPr>
        <w:t>awaiting approval from a donor to cover activities in three countries.</w:t>
      </w:r>
      <w:r w:rsidR="000324C8" w:rsidRPr="00813D19">
        <w:rPr>
          <w:bdr w:val="none" w:sz="0" w:space="0" w:color="auto" w:frame="1"/>
          <w:lang w:val="en-US"/>
        </w:rPr>
        <w:t xml:space="preserve"> It </w:t>
      </w:r>
      <w:r w:rsidR="00B22993" w:rsidRPr="00813D19">
        <w:rPr>
          <w:bdr w:val="none" w:sz="0" w:space="0" w:color="auto" w:frame="1"/>
          <w:lang w:val="en-US"/>
        </w:rPr>
        <w:t xml:space="preserve">was thus </w:t>
      </w:r>
      <w:r w:rsidR="000324C8" w:rsidRPr="00813D19">
        <w:rPr>
          <w:bdr w:val="none" w:sz="0" w:space="0" w:color="auto" w:frame="1"/>
          <w:lang w:val="en-US"/>
        </w:rPr>
        <w:t>very encouraging that many of these plans involve</w:t>
      </w:r>
      <w:r w:rsidR="00B42351" w:rsidRPr="00813D19">
        <w:rPr>
          <w:bdr w:val="none" w:sz="0" w:space="0" w:color="auto" w:frame="1"/>
          <w:lang w:val="en-US"/>
        </w:rPr>
        <w:t>d</w:t>
      </w:r>
      <w:r w:rsidR="000324C8" w:rsidRPr="00813D19">
        <w:rPr>
          <w:bdr w:val="none" w:sz="0" w:space="0" w:color="auto" w:frame="1"/>
          <w:lang w:val="en-US"/>
        </w:rPr>
        <w:t xml:space="preserve"> </w:t>
      </w:r>
      <w:r w:rsidR="00B22993" w:rsidRPr="00813D19">
        <w:rPr>
          <w:bdr w:val="none" w:sz="0" w:space="0" w:color="auto" w:frame="1"/>
          <w:lang w:val="en-US"/>
        </w:rPr>
        <w:t xml:space="preserve">colleagues from </w:t>
      </w:r>
      <w:r w:rsidR="000324C8" w:rsidRPr="00813D19">
        <w:rPr>
          <w:bdr w:val="none" w:sz="0" w:space="0" w:color="auto" w:frame="1"/>
          <w:lang w:val="en-US"/>
        </w:rPr>
        <w:t xml:space="preserve">both </w:t>
      </w:r>
      <w:r w:rsidR="0017569E">
        <w:rPr>
          <w:bdr w:val="none" w:sz="0" w:space="0" w:color="auto" w:frame="1"/>
          <w:lang w:val="en-US"/>
        </w:rPr>
        <w:t xml:space="preserve">the </w:t>
      </w:r>
      <w:r w:rsidR="000324C8" w:rsidRPr="00813D19">
        <w:rPr>
          <w:bdr w:val="none" w:sz="0" w:space="0" w:color="auto" w:frame="1"/>
          <w:lang w:val="en-US"/>
        </w:rPr>
        <w:t>culture and education</w:t>
      </w:r>
      <w:r w:rsidR="00B22993" w:rsidRPr="00813D19">
        <w:rPr>
          <w:bdr w:val="none" w:sz="0" w:space="0" w:color="auto" w:frame="1"/>
          <w:lang w:val="en-US"/>
        </w:rPr>
        <w:t xml:space="preserve"> sectors</w:t>
      </w:r>
      <w:r w:rsidR="000324C8" w:rsidRPr="00813D19">
        <w:rPr>
          <w:bdr w:val="none" w:sz="0" w:space="0" w:color="auto" w:frame="1"/>
          <w:lang w:val="en-US"/>
        </w:rPr>
        <w:t xml:space="preserve">, who </w:t>
      </w:r>
      <w:r w:rsidR="00B22993" w:rsidRPr="00813D19">
        <w:rPr>
          <w:bdr w:val="none" w:sz="0" w:space="0" w:color="auto" w:frame="1"/>
          <w:lang w:val="en-US"/>
        </w:rPr>
        <w:t xml:space="preserve">were </w:t>
      </w:r>
      <w:r w:rsidR="000324C8" w:rsidRPr="00813D19">
        <w:rPr>
          <w:bdr w:val="none" w:sz="0" w:space="0" w:color="auto" w:frame="1"/>
          <w:lang w:val="en-US"/>
        </w:rPr>
        <w:t xml:space="preserve">collaborating closely to ensure effective outcomes. </w:t>
      </w:r>
      <w:r w:rsidR="000324C8" w:rsidRPr="00813D19">
        <w:rPr>
          <w:lang w:val="en-US"/>
        </w:rPr>
        <w:t xml:space="preserve">Nevertheless, the core funding resources of the organization </w:t>
      </w:r>
      <w:r w:rsidR="00B22993" w:rsidRPr="00813D19">
        <w:rPr>
          <w:lang w:val="en-US"/>
        </w:rPr>
        <w:t xml:space="preserve">were </w:t>
      </w:r>
      <w:r w:rsidR="000324C8" w:rsidRPr="00813D19">
        <w:rPr>
          <w:lang w:val="en-US"/>
        </w:rPr>
        <w:t xml:space="preserve">extremely limited and </w:t>
      </w:r>
      <w:r w:rsidR="00B22993" w:rsidRPr="00813D19">
        <w:rPr>
          <w:lang w:val="en-US"/>
        </w:rPr>
        <w:t>the Secretary too</w:t>
      </w:r>
      <w:r w:rsidR="00B42351" w:rsidRPr="00813D19">
        <w:rPr>
          <w:lang w:val="en-US"/>
        </w:rPr>
        <w:t>k</w:t>
      </w:r>
      <w:r w:rsidR="00B22993" w:rsidRPr="00813D19">
        <w:rPr>
          <w:lang w:val="en-US"/>
        </w:rPr>
        <w:t xml:space="preserve"> the </w:t>
      </w:r>
      <w:r w:rsidR="000324C8" w:rsidRPr="00813D19">
        <w:rPr>
          <w:lang w:val="en-US"/>
        </w:rPr>
        <w:t>opportunity to once again call for additional funding for this i</w:t>
      </w:r>
      <w:r w:rsidR="00B22993" w:rsidRPr="00813D19">
        <w:rPr>
          <w:lang w:val="en-US"/>
        </w:rPr>
        <w:t>mportant area of the Convention’</w:t>
      </w:r>
      <w:r w:rsidR="000324C8" w:rsidRPr="00813D19">
        <w:rPr>
          <w:lang w:val="en-US"/>
        </w:rPr>
        <w:t>s work.</w:t>
      </w:r>
      <w:r w:rsidR="00386971" w:rsidRPr="00813D19">
        <w:rPr>
          <w:snapToGrid/>
          <w:lang w:val="en-US"/>
        </w:rPr>
        <w:t xml:space="preserve"> </w:t>
      </w:r>
      <w:r w:rsidR="00B22993" w:rsidRPr="00813D19">
        <w:rPr>
          <w:snapToGrid/>
          <w:lang w:val="en-US"/>
        </w:rPr>
        <w:t xml:space="preserve">The Secretariat had </w:t>
      </w:r>
      <w:r w:rsidR="000324C8" w:rsidRPr="00813D19">
        <w:rPr>
          <w:snapToGrid/>
          <w:lang w:val="en-US"/>
        </w:rPr>
        <w:t>also undertaken a few other intersectoral activities</w:t>
      </w:r>
      <w:r w:rsidR="00B22993" w:rsidRPr="00813D19">
        <w:rPr>
          <w:snapToGrid/>
          <w:lang w:val="en-US"/>
        </w:rPr>
        <w:t xml:space="preserve"> at the global level.</w:t>
      </w:r>
      <w:r w:rsidR="000324C8" w:rsidRPr="00813D19">
        <w:rPr>
          <w:snapToGrid/>
          <w:lang w:val="en-US"/>
        </w:rPr>
        <w:t xml:space="preserve"> </w:t>
      </w:r>
      <w:r w:rsidR="00B22993" w:rsidRPr="00813D19">
        <w:rPr>
          <w:snapToGrid/>
          <w:lang w:val="en-US"/>
        </w:rPr>
        <w:t>For example, i</w:t>
      </w:r>
      <w:r w:rsidR="000324C8" w:rsidRPr="00813D19">
        <w:rPr>
          <w:snapToGrid/>
          <w:lang w:val="en-US"/>
        </w:rPr>
        <w:t>n October</w:t>
      </w:r>
      <w:r w:rsidR="00B22993" w:rsidRPr="00813D19">
        <w:rPr>
          <w:snapToGrid/>
          <w:lang w:val="en-US"/>
        </w:rPr>
        <w:t xml:space="preserve"> </w:t>
      </w:r>
      <w:r w:rsidR="00B22993" w:rsidRPr="003221D5">
        <w:rPr>
          <w:snapToGrid/>
          <w:lang w:val="en-US"/>
        </w:rPr>
        <w:t>2018</w:t>
      </w:r>
      <w:r w:rsidR="000324C8" w:rsidRPr="00813D19">
        <w:rPr>
          <w:snapToGrid/>
          <w:lang w:val="en-US"/>
        </w:rPr>
        <w:t>, a webinar introducing intangible cultural heritage and its relationship with educat</w:t>
      </w:r>
      <w:r w:rsidR="00B22993" w:rsidRPr="00813D19">
        <w:rPr>
          <w:snapToGrid/>
          <w:lang w:val="en-US"/>
        </w:rPr>
        <w:t xml:space="preserve">ion for sustainable development (ESD) </w:t>
      </w:r>
      <w:r w:rsidR="0017569E">
        <w:rPr>
          <w:snapToGrid/>
          <w:lang w:val="en-US"/>
        </w:rPr>
        <w:t>had been</w:t>
      </w:r>
      <w:r w:rsidR="0017569E" w:rsidRPr="00813D19">
        <w:rPr>
          <w:snapToGrid/>
          <w:lang w:val="en-US"/>
        </w:rPr>
        <w:t xml:space="preserve"> </w:t>
      </w:r>
      <w:r w:rsidR="00B22993" w:rsidRPr="00813D19">
        <w:rPr>
          <w:snapToGrid/>
          <w:lang w:val="en-US"/>
        </w:rPr>
        <w:t xml:space="preserve">organized for </w:t>
      </w:r>
      <w:r w:rsidR="000324C8" w:rsidRPr="00813D19">
        <w:rPr>
          <w:snapToGrid/>
          <w:lang w:val="en-US"/>
        </w:rPr>
        <w:t>key partners working on this subject.</w:t>
      </w:r>
      <w:r w:rsidR="00386971" w:rsidRPr="00813D19">
        <w:rPr>
          <w:lang w:val="en-US"/>
        </w:rPr>
        <w:t xml:space="preserve"> </w:t>
      </w:r>
      <w:r w:rsidR="000324C8" w:rsidRPr="00813D19">
        <w:rPr>
          <w:lang w:val="en-US"/>
        </w:rPr>
        <w:t>In early November</w:t>
      </w:r>
      <w:r w:rsidR="00B22993" w:rsidRPr="00813D19">
        <w:rPr>
          <w:lang w:val="en-US"/>
        </w:rPr>
        <w:t xml:space="preserve"> </w:t>
      </w:r>
      <w:r w:rsidR="00B22993" w:rsidRPr="003221D5">
        <w:rPr>
          <w:lang w:val="en-US"/>
        </w:rPr>
        <w:t>2018</w:t>
      </w:r>
      <w:r w:rsidR="000324C8" w:rsidRPr="00813D19">
        <w:rPr>
          <w:lang w:val="en-US"/>
        </w:rPr>
        <w:t xml:space="preserve">, the Secretariat </w:t>
      </w:r>
      <w:r w:rsidR="0017569E">
        <w:rPr>
          <w:lang w:val="en-US"/>
        </w:rPr>
        <w:t xml:space="preserve">had </w:t>
      </w:r>
      <w:r w:rsidR="000324C8" w:rsidRPr="00813D19">
        <w:rPr>
          <w:lang w:val="en-US"/>
        </w:rPr>
        <w:t>also co-organized a virtual conference with UNEVOC (</w:t>
      </w:r>
      <w:r w:rsidR="007D4EA8">
        <w:rPr>
          <w:lang w:val="en-US"/>
        </w:rPr>
        <w:t xml:space="preserve">the </w:t>
      </w:r>
      <w:r w:rsidR="000324C8" w:rsidRPr="00813D19">
        <w:rPr>
          <w:color w:val="222222"/>
          <w:shd w:val="clear" w:color="auto" w:fill="FFFFFF"/>
          <w:lang w:val="en-US"/>
        </w:rPr>
        <w:t>International Centre for Technical and Vocational Education and Training)</w:t>
      </w:r>
      <w:r w:rsidR="000324C8" w:rsidRPr="00813D19">
        <w:rPr>
          <w:lang w:val="en-US"/>
        </w:rPr>
        <w:t xml:space="preserve"> on safeguarding intangible cultural heritage through technical and vocational education and training (TVET).</w:t>
      </w:r>
    </w:p>
    <w:p w14:paraId="188300B9" w14:textId="53E47F12" w:rsidR="000324C8" w:rsidRPr="00813D19" w:rsidRDefault="00B22993" w:rsidP="00386971">
      <w:pPr>
        <w:pStyle w:val="Orateurengris"/>
        <w:spacing w:before="120"/>
        <w:ind w:left="709" w:hanging="709"/>
        <w:rPr>
          <w:snapToGrid/>
          <w:lang w:val="en-US"/>
        </w:rPr>
      </w:pPr>
      <w:r w:rsidRPr="00813D19">
        <w:rPr>
          <w:lang w:val="en-US"/>
        </w:rPr>
        <w:lastRenderedPageBreak/>
        <w:t xml:space="preserve">Regarding </w:t>
      </w:r>
      <w:r w:rsidRPr="00813D19">
        <w:rPr>
          <w:u w:val="single"/>
          <w:lang w:val="en-US"/>
        </w:rPr>
        <w:t>t</w:t>
      </w:r>
      <w:r w:rsidR="00386971" w:rsidRPr="00813D19">
        <w:rPr>
          <w:u w:val="single"/>
          <w:lang w:val="en-US"/>
        </w:rPr>
        <w:t>hematic initiatives</w:t>
      </w:r>
      <w:r w:rsidRPr="00813D19">
        <w:rPr>
          <w:lang w:val="en-US"/>
        </w:rPr>
        <w:t xml:space="preserve">, </w:t>
      </w:r>
      <w:r w:rsidR="000324C8" w:rsidRPr="00813D19">
        <w:rPr>
          <w:snapToGrid/>
          <w:lang w:val="en-US"/>
        </w:rPr>
        <w:t>sev</w:t>
      </w:r>
      <w:r w:rsidR="00B42351" w:rsidRPr="00813D19">
        <w:rPr>
          <w:snapToGrid/>
          <w:lang w:val="en-US"/>
        </w:rPr>
        <w:t xml:space="preserve">eral cycles ago, the </w:t>
      </w:r>
      <w:r w:rsidR="00B42351" w:rsidRPr="00813D19">
        <w:rPr>
          <w:b/>
          <w:snapToGrid/>
          <w:lang w:val="en-US"/>
        </w:rPr>
        <w:t>Secretary</w:t>
      </w:r>
      <w:r w:rsidR="00B42351" w:rsidRPr="00813D19">
        <w:rPr>
          <w:snapToGrid/>
          <w:lang w:val="en-US"/>
        </w:rPr>
        <w:t xml:space="preserve"> further explained that the Secretariat</w:t>
      </w:r>
      <w:r w:rsidR="000324C8" w:rsidRPr="00813D19">
        <w:rPr>
          <w:snapToGrid/>
          <w:lang w:val="en-US"/>
        </w:rPr>
        <w:t xml:space="preserve"> </w:t>
      </w:r>
      <w:r w:rsidR="0017569E">
        <w:rPr>
          <w:snapToGrid/>
          <w:lang w:val="en-US"/>
        </w:rPr>
        <w:t xml:space="preserve">had </w:t>
      </w:r>
      <w:r w:rsidR="0017569E" w:rsidRPr="00813D19">
        <w:rPr>
          <w:snapToGrid/>
          <w:lang w:val="en-US"/>
        </w:rPr>
        <w:t>beg</w:t>
      </w:r>
      <w:r w:rsidR="0017569E">
        <w:rPr>
          <w:snapToGrid/>
          <w:lang w:val="en-US"/>
        </w:rPr>
        <w:t>u</w:t>
      </w:r>
      <w:r w:rsidR="0017569E" w:rsidRPr="00813D19">
        <w:rPr>
          <w:snapToGrid/>
          <w:lang w:val="en-US"/>
        </w:rPr>
        <w:t xml:space="preserve">n </w:t>
      </w:r>
      <w:r w:rsidR="000324C8" w:rsidRPr="00813D19">
        <w:rPr>
          <w:snapToGrid/>
          <w:lang w:val="en-US"/>
        </w:rPr>
        <w:t>work</w:t>
      </w:r>
      <w:r w:rsidRPr="00813D19">
        <w:rPr>
          <w:snapToGrid/>
          <w:lang w:val="en-US"/>
        </w:rPr>
        <w:t xml:space="preserve">ing on some thematic issues such as </w:t>
      </w:r>
      <w:r w:rsidR="00B42351" w:rsidRPr="00813D19">
        <w:rPr>
          <w:snapToGrid/>
          <w:u w:val="single"/>
          <w:lang w:val="en-US"/>
        </w:rPr>
        <w:t xml:space="preserve">intangible cultural heritage </w:t>
      </w:r>
      <w:r w:rsidR="000324C8" w:rsidRPr="00813D19">
        <w:rPr>
          <w:snapToGrid/>
          <w:u w:val="single"/>
          <w:lang w:val="en-US"/>
        </w:rPr>
        <w:t>in situations of emergency</w:t>
      </w:r>
      <w:r w:rsidRPr="00813D19">
        <w:rPr>
          <w:snapToGrid/>
          <w:lang w:val="en-US"/>
        </w:rPr>
        <w:t>.</w:t>
      </w:r>
      <w:r w:rsidR="000324C8" w:rsidRPr="00813D19">
        <w:rPr>
          <w:snapToGrid/>
          <w:lang w:val="en-US"/>
        </w:rPr>
        <w:t xml:space="preserve"> </w:t>
      </w:r>
      <w:r w:rsidR="0095543C" w:rsidRPr="00813D19">
        <w:rPr>
          <w:snapToGrid/>
          <w:lang w:val="en-US"/>
        </w:rPr>
        <w:t>At its two previous sessions, t</w:t>
      </w:r>
      <w:r w:rsidR="000324C8" w:rsidRPr="00813D19">
        <w:rPr>
          <w:snapToGrid/>
          <w:lang w:val="en-US"/>
        </w:rPr>
        <w:t xml:space="preserve">he Committee </w:t>
      </w:r>
      <w:r w:rsidR="0017569E">
        <w:rPr>
          <w:snapToGrid/>
          <w:lang w:val="en-US"/>
        </w:rPr>
        <w:t xml:space="preserve">had </w:t>
      </w:r>
      <w:r w:rsidR="000324C8" w:rsidRPr="00813D19">
        <w:rPr>
          <w:snapToGrid/>
          <w:lang w:val="en-US"/>
        </w:rPr>
        <w:t xml:space="preserve">reflected on the role of communities both in safeguarding their intangible cultural heritage in situations of emergency and in mobilizing such heritage for preparedness, resilience and recovery. </w:t>
      </w:r>
      <w:r w:rsidR="008C2826" w:rsidRPr="00813D19">
        <w:rPr>
          <w:snapToGrid/>
          <w:lang w:val="en-US"/>
        </w:rPr>
        <w:t>M</w:t>
      </w:r>
      <w:r w:rsidR="000324C8" w:rsidRPr="00813D19">
        <w:rPr>
          <w:snapToGrid/>
          <w:lang w:val="en-US"/>
        </w:rPr>
        <w:t xml:space="preserve">ore details </w:t>
      </w:r>
      <w:r w:rsidR="008C2826" w:rsidRPr="00813D19">
        <w:rPr>
          <w:snapToGrid/>
          <w:lang w:val="en-US"/>
        </w:rPr>
        <w:t>on this issue would be provided under agenda i</w:t>
      </w:r>
      <w:r w:rsidR="000324C8" w:rsidRPr="00813D19">
        <w:rPr>
          <w:snapToGrid/>
          <w:lang w:val="en-US"/>
        </w:rPr>
        <w:t>tem 11.</w:t>
      </w:r>
      <w:r w:rsidR="00386971" w:rsidRPr="00813D19">
        <w:rPr>
          <w:snapToGrid/>
          <w:lang w:val="en-US"/>
        </w:rPr>
        <w:t xml:space="preserve"> </w:t>
      </w:r>
      <w:r w:rsidR="008C2826" w:rsidRPr="00813D19">
        <w:rPr>
          <w:snapToGrid/>
          <w:lang w:val="en-US"/>
        </w:rPr>
        <w:t xml:space="preserve">Another thematic issue concerned </w:t>
      </w:r>
      <w:r w:rsidR="008C2826" w:rsidRPr="00813D19">
        <w:rPr>
          <w:snapToGrid/>
          <w:u w:val="single"/>
          <w:lang w:val="en-US"/>
        </w:rPr>
        <w:t>c</w:t>
      </w:r>
      <w:r w:rsidR="000324C8" w:rsidRPr="00813D19">
        <w:rPr>
          <w:snapToGrid/>
          <w:u w:val="single"/>
          <w:lang w:val="en-US"/>
        </w:rPr>
        <w:t>ities</w:t>
      </w:r>
      <w:r w:rsidR="008C2826" w:rsidRPr="00813D19">
        <w:rPr>
          <w:snapToGrid/>
          <w:lang w:val="en-US"/>
        </w:rPr>
        <w:t xml:space="preserve">, which </w:t>
      </w:r>
      <w:r w:rsidR="007D4EA8" w:rsidRPr="00813D19">
        <w:rPr>
          <w:snapToGrid/>
          <w:lang w:val="en-US"/>
        </w:rPr>
        <w:t>ha</w:t>
      </w:r>
      <w:r w:rsidR="007D4EA8">
        <w:rPr>
          <w:snapToGrid/>
          <w:lang w:val="en-US"/>
        </w:rPr>
        <w:t>d</w:t>
      </w:r>
      <w:r w:rsidR="007D4EA8" w:rsidRPr="00813D19">
        <w:rPr>
          <w:snapToGrid/>
          <w:lang w:val="en-US"/>
        </w:rPr>
        <w:t xml:space="preserve"> </w:t>
      </w:r>
      <w:r w:rsidR="000324C8" w:rsidRPr="00813D19">
        <w:rPr>
          <w:snapToGrid/>
          <w:lang w:val="en-US"/>
        </w:rPr>
        <w:t xml:space="preserve">become an important focus of work of the </w:t>
      </w:r>
      <w:r w:rsidR="008C2826" w:rsidRPr="00813D19">
        <w:rPr>
          <w:snapToGrid/>
          <w:lang w:val="en-US"/>
        </w:rPr>
        <w:t xml:space="preserve">UN </w:t>
      </w:r>
      <w:r w:rsidR="000324C8" w:rsidRPr="00813D19">
        <w:rPr>
          <w:snapToGrid/>
          <w:lang w:val="en-US"/>
        </w:rPr>
        <w:t xml:space="preserve">following </w:t>
      </w:r>
      <w:r w:rsidR="008C2826" w:rsidRPr="00813D19">
        <w:rPr>
          <w:snapToGrid/>
          <w:lang w:val="en-US"/>
        </w:rPr>
        <w:t>the Habitat III</w:t>
      </w:r>
      <w:r w:rsidR="000324C8" w:rsidRPr="00813D19">
        <w:rPr>
          <w:snapToGrid/>
          <w:lang w:val="en-US"/>
        </w:rPr>
        <w:t xml:space="preserve"> conference</w:t>
      </w:r>
      <w:r w:rsidR="008C2826" w:rsidRPr="00813D19">
        <w:rPr>
          <w:rStyle w:val="FootnoteReference"/>
          <w:snapToGrid/>
          <w:lang w:val="en-US"/>
        </w:rPr>
        <w:footnoteReference w:id="4"/>
      </w:r>
      <w:r w:rsidR="008C2826" w:rsidRPr="00813D19">
        <w:rPr>
          <w:snapToGrid/>
          <w:lang w:val="en-US"/>
        </w:rPr>
        <w:t xml:space="preserve"> in Quito [in 2016].</w:t>
      </w:r>
      <w:r w:rsidR="000324C8" w:rsidRPr="00813D19">
        <w:rPr>
          <w:snapToGrid/>
          <w:lang w:val="en-US"/>
        </w:rPr>
        <w:t xml:space="preserve"> </w:t>
      </w:r>
      <w:r w:rsidR="008C2826" w:rsidRPr="00813D19">
        <w:rPr>
          <w:snapToGrid/>
          <w:lang w:val="en-US"/>
        </w:rPr>
        <w:t xml:space="preserve">Consequently, </w:t>
      </w:r>
      <w:r w:rsidR="000324C8" w:rsidRPr="00813D19">
        <w:rPr>
          <w:snapToGrid/>
          <w:lang w:val="en-US"/>
        </w:rPr>
        <w:t xml:space="preserve">the </w:t>
      </w:r>
      <w:r w:rsidR="008C2826" w:rsidRPr="00813D19">
        <w:rPr>
          <w:snapToGrid/>
          <w:lang w:val="en-US"/>
        </w:rPr>
        <w:t xml:space="preserve">[UNESCO] </w:t>
      </w:r>
      <w:r w:rsidR="000324C8" w:rsidRPr="00813D19">
        <w:rPr>
          <w:snapToGrid/>
          <w:lang w:val="en-US"/>
        </w:rPr>
        <w:t xml:space="preserve">General Conference asked the Culture Sector to support Member States </w:t>
      </w:r>
      <w:r w:rsidR="007D4EA8">
        <w:rPr>
          <w:snapToGrid/>
          <w:lang w:val="en-US"/>
        </w:rPr>
        <w:t>in achieving</w:t>
      </w:r>
      <w:r w:rsidR="000324C8" w:rsidRPr="00813D19">
        <w:rPr>
          <w:snapToGrid/>
          <w:lang w:val="en-US"/>
        </w:rPr>
        <w:t xml:space="preserve"> SDG 11 on ‘inclusive, safe, resilient and sustainab</w:t>
      </w:r>
      <w:r w:rsidR="008C2826" w:rsidRPr="00813D19">
        <w:rPr>
          <w:snapToGrid/>
          <w:lang w:val="en-US"/>
        </w:rPr>
        <w:t xml:space="preserve">le cities and human settlement’, </w:t>
      </w:r>
      <w:r w:rsidR="000324C8" w:rsidRPr="00813D19">
        <w:rPr>
          <w:snapToGrid/>
          <w:lang w:val="en-US"/>
        </w:rPr>
        <w:t>building on</w:t>
      </w:r>
      <w:r w:rsidR="008C2826" w:rsidRPr="00813D19">
        <w:rPr>
          <w:snapToGrid/>
          <w:lang w:val="en-US"/>
        </w:rPr>
        <w:t xml:space="preserve"> existing mechanisms under the C</w:t>
      </w:r>
      <w:r w:rsidR="00B42351" w:rsidRPr="00813D19">
        <w:rPr>
          <w:snapToGrid/>
          <w:lang w:val="en-US"/>
        </w:rPr>
        <w:t>onventions</w:t>
      </w:r>
      <w:r w:rsidR="000324C8" w:rsidRPr="00813D19">
        <w:rPr>
          <w:snapToGrid/>
          <w:lang w:val="en-US"/>
        </w:rPr>
        <w:t xml:space="preserve">. </w:t>
      </w:r>
      <w:r w:rsidRPr="00813D19">
        <w:rPr>
          <w:snapToGrid/>
          <w:lang w:val="en-US"/>
        </w:rPr>
        <w:t xml:space="preserve">Today, 54 per cent </w:t>
      </w:r>
      <w:r w:rsidR="000324C8" w:rsidRPr="00813D19">
        <w:rPr>
          <w:snapToGrid/>
          <w:lang w:val="en-US"/>
        </w:rPr>
        <w:t>of the world</w:t>
      </w:r>
      <w:r w:rsidR="008C2826" w:rsidRPr="00813D19">
        <w:rPr>
          <w:snapToGrid/>
          <w:lang w:val="en-US"/>
        </w:rPr>
        <w:t>’s</w:t>
      </w:r>
      <w:r w:rsidR="000324C8" w:rsidRPr="00813D19">
        <w:rPr>
          <w:snapToGrid/>
          <w:lang w:val="en-US"/>
        </w:rPr>
        <w:t xml:space="preserve"> population live in cities</w:t>
      </w:r>
      <w:r w:rsidR="008C2826" w:rsidRPr="00813D19">
        <w:rPr>
          <w:snapToGrid/>
          <w:lang w:val="en-US"/>
        </w:rPr>
        <w:t>,</w:t>
      </w:r>
      <w:r w:rsidR="000324C8" w:rsidRPr="00813D19">
        <w:rPr>
          <w:snapToGrid/>
          <w:lang w:val="en-US"/>
        </w:rPr>
        <w:t xml:space="preserve"> </w:t>
      </w:r>
      <w:r w:rsidR="008C2826" w:rsidRPr="00813D19">
        <w:rPr>
          <w:snapToGrid/>
          <w:lang w:val="en-US"/>
        </w:rPr>
        <w:t xml:space="preserve">which is expected to each 70 per cent </w:t>
      </w:r>
      <w:r w:rsidR="000324C8" w:rsidRPr="00813D19">
        <w:rPr>
          <w:snapToGrid/>
          <w:lang w:val="en-US"/>
        </w:rPr>
        <w:t>by 2050. Thanks to support from Yong Xin Hua Yun</w:t>
      </w:r>
      <w:r w:rsidRPr="00813D19">
        <w:rPr>
          <w:snapToGrid/>
          <w:lang w:val="en-US"/>
        </w:rPr>
        <w:t xml:space="preserve"> Cultural Industry Investment Co</w:t>
      </w:r>
      <w:r w:rsidR="000324C8" w:rsidRPr="00813D19">
        <w:rPr>
          <w:snapToGrid/>
          <w:lang w:val="en-US"/>
        </w:rPr>
        <w:t xml:space="preserve">. LTD in China, a multi-year sector wide project </w:t>
      </w:r>
      <w:r w:rsidR="007D4EA8">
        <w:rPr>
          <w:snapToGrid/>
          <w:lang w:val="en-US"/>
        </w:rPr>
        <w:t>had been</w:t>
      </w:r>
      <w:r w:rsidR="007D4EA8" w:rsidRPr="00813D19">
        <w:rPr>
          <w:snapToGrid/>
          <w:lang w:val="en-US"/>
        </w:rPr>
        <w:t xml:space="preserve"> </w:t>
      </w:r>
      <w:r w:rsidR="000324C8" w:rsidRPr="00813D19">
        <w:rPr>
          <w:snapToGrid/>
          <w:lang w:val="en-US"/>
        </w:rPr>
        <w:t>initiated on ‘Intangible Heritage and Creativity for Sustainable Cities’. In that framework</w:t>
      </w:r>
      <w:r w:rsidR="008C2826" w:rsidRPr="00813D19">
        <w:rPr>
          <w:snapToGrid/>
          <w:lang w:val="en-US"/>
        </w:rPr>
        <w:t>, t</w:t>
      </w:r>
      <w:r w:rsidR="000324C8" w:rsidRPr="00813D19">
        <w:rPr>
          <w:snapToGrid/>
          <w:lang w:val="en-US"/>
        </w:rPr>
        <w:t xml:space="preserve">hree pilot cities </w:t>
      </w:r>
      <w:r w:rsidR="007D4EA8">
        <w:rPr>
          <w:snapToGrid/>
          <w:lang w:val="en-US"/>
        </w:rPr>
        <w:t xml:space="preserve">had been </w:t>
      </w:r>
      <w:r w:rsidR="000324C8" w:rsidRPr="00813D19">
        <w:rPr>
          <w:snapToGrid/>
          <w:lang w:val="en-US"/>
        </w:rPr>
        <w:t xml:space="preserve">identified for the first year of </w:t>
      </w:r>
      <w:r w:rsidR="007D4EA8" w:rsidRPr="00813D19">
        <w:rPr>
          <w:snapToGrid/>
          <w:lang w:val="en-US"/>
        </w:rPr>
        <w:t>th</w:t>
      </w:r>
      <w:r w:rsidR="007D4EA8">
        <w:rPr>
          <w:snapToGrid/>
          <w:lang w:val="en-US"/>
        </w:rPr>
        <w:t>e</w:t>
      </w:r>
      <w:r w:rsidR="007D4EA8" w:rsidRPr="00813D19">
        <w:rPr>
          <w:snapToGrid/>
          <w:lang w:val="en-US"/>
        </w:rPr>
        <w:t xml:space="preserve"> </w:t>
      </w:r>
      <w:r w:rsidR="000324C8" w:rsidRPr="00813D19">
        <w:rPr>
          <w:snapToGrid/>
          <w:lang w:val="en-US"/>
        </w:rPr>
        <w:t xml:space="preserve">project where community-based inventorying </w:t>
      </w:r>
      <w:r w:rsidR="007D4EA8">
        <w:rPr>
          <w:snapToGrid/>
          <w:lang w:val="en-US"/>
        </w:rPr>
        <w:t xml:space="preserve">would </w:t>
      </w:r>
      <w:r w:rsidR="000324C8" w:rsidRPr="00813D19">
        <w:rPr>
          <w:snapToGrid/>
          <w:lang w:val="en-US"/>
        </w:rPr>
        <w:t>take place</w:t>
      </w:r>
      <w:r w:rsidR="00B42351" w:rsidRPr="00813D19">
        <w:rPr>
          <w:snapToGrid/>
          <w:lang w:val="en-US"/>
        </w:rPr>
        <w:t xml:space="preserve"> in urban c</w:t>
      </w:r>
      <w:r w:rsidR="000324C8" w:rsidRPr="00813D19">
        <w:rPr>
          <w:snapToGrid/>
          <w:lang w:val="en-US"/>
        </w:rPr>
        <w:t xml:space="preserve">entres, </w:t>
      </w:r>
      <w:r w:rsidR="008C2826" w:rsidRPr="00813D19">
        <w:rPr>
          <w:snapToGrid/>
          <w:lang w:val="en-US"/>
        </w:rPr>
        <w:t xml:space="preserve">namely, </w:t>
      </w:r>
      <w:r w:rsidR="000324C8" w:rsidRPr="00813D19">
        <w:rPr>
          <w:snapToGrid/>
          <w:lang w:val="en-US"/>
        </w:rPr>
        <w:t>Kingston in Jamaica, George Town in Malaysia and Harare in Zimbabwe. Si</w:t>
      </w:r>
      <w:r w:rsidR="00B42351" w:rsidRPr="00813D19">
        <w:rPr>
          <w:snapToGrid/>
          <w:lang w:val="en-US"/>
        </w:rPr>
        <w:t xml:space="preserve">x other cities </w:t>
      </w:r>
      <w:r w:rsidR="007D4EA8">
        <w:rPr>
          <w:snapToGrid/>
          <w:lang w:val="en-US"/>
        </w:rPr>
        <w:t>would</w:t>
      </w:r>
      <w:r w:rsidR="007D4EA8" w:rsidRPr="00813D19">
        <w:rPr>
          <w:snapToGrid/>
          <w:lang w:val="en-US"/>
        </w:rPr>
        <w:t xml:space="preserve"> </w:t>
      </w:r>
      <w:r w:rsidR="00B42351" w:rsidRPr="00813D19">
        <w:rPr>
          <w:snapToGrid/>
          <w:lang w:val="en-US"/>
        </w:rPr>
        <w:t>follow suit</w:t>
      </w:r>
      <w:r w:rsidR="000324C8" w:rsidRPr="00813D19">
        <w:rPr>
          <w:snapToGrid/>
          <w:lang w:val="en-US"/>
        </w:rPr>
        <w:t xml:space="preserve"> for the second and third year</w:t>
      </w:r>
      <w:r w:rsidR="007D4EA8">
        <w:rPr>
          <w:snapToGrid/>
          <w:lang w:val="en-US"/>
        </w:rPr>
        <w:t>s</w:t>
      </w:r>
      <w:r w:rsidR="000324C8" w:rsidRPr="00813D19">
        <w:rPr>
          <w:snapToGrid/>
          <w:lang w:val="en-US"/>
        </w:rPr>
        <w:t>.</w:t>
      </w:r>
    </w:p>
    <w:p w14:paraId="282DE5FB" w14:textId="27CCFF5C" w:rsidR="00386971" w:rsidRPr="00813D19" w:rsidRDefault="008C2826" w:rsidP="00386971">
      <w:pPr>
        <w:pStyle w:val="Orateurengris"/>
        <w:spacing w:before="120"/>
        <w:ind w:left="709" w:hanging="709"/>
        <w:rPr>
          <w:snapToGrid/>
          <w:lang w:val="en-US"/>
        </w:rPr>
      </w:pPr>
      <w:r w:rsidRPr="00813D19">
        <w:rPr>
          <w:snapToGrid/>
          <w:lang w:val="en-US"/>
        </w:rPr>
        <w:t xml:space="preserve">Regarding </w:t>
      </w:r>
      <w:r w:rsidRPr="00813D19">
        <w:rPr>
          <w:snapToGrid/>
          <w:u w:val="single"/>
          <w:lang w:val="en-US"/>
        </w:rPr>
        <w:t>Statutory support and capacity</w:t>
      </w:r>
      <w:r w:rsidR="007D4EA8">
        <w:rPr>
          <w:snapToGrid/>
          <w:u w:val="single"/>
          <w:lang w:val="en-US"/>
        </w:rPr>
        <w:t xml:space="preserve"> </w:t>
      </w:r>
      <w:r w:rsidRPr="00813D19">
        <w:rPr>
          <w:snapToGrid/>
          <w:u w:val="single"/>
          <w:lang w:val="en-US"/>
        </w:rPr>
        <w:t>b</w:t>
      </w:r>
      <w:r w:rsidR="00386971" w:rsidRPr="00813D19">
        <w:rPr>
          <w:snapToGrid/>
          <w:u w:val="single"/>
          <w:lang w:val="en-US"/>
        </w:rPr>
        <w:t>u</w:t>
      </w:r>
      <w:r w:rsidRPr="00813D19">
        <w:rPr>
          <w:snapToGrid/>
          <w:u w:val="single"/>
          <w:lang w:val="en-US"/>
        </w:rPr>
        <w:t>ilding</w:t>
      </w:r>
      <w:r w:rsidR="00B42351" w:rsidRPr="00813D19">
        <w:rPr>
          <w:snapToGrid/>
          <w:lang w:val="en-US"/>
        </w:rPr>
        <w:t xml:space="preserve">, </w:t>
      </w:r>
      <w:r w:rsidRPr="00813D19">
        <w:rPr>
          <w:snapToGrid/>
          <w:lang w:val="en-US"/>
        </w:rPr>
        <w:t xml:space="preserve">the </w:t>
      </w:r>
      <w:r w:rsidRPr="00813D19">
        <w:rPr>
          <w:b/>
          <w:snapToGrid/>
          <w:lang w:val="en-US"/>
        </w:rPr>
        <w:t>Secretary</w:t>
      </w:r>
      <w:r w:rsidRPr="00813D19">
        <w:rPr>
          <w:snapToGrid/>
          <w:lang w:val="en-US"/>
        </w:rPr>
        <w:t xml:space="preserve"> </w:t>
      </w:r>
      <w:r w:rsidR="00534D00" w:rsidRPr="00813D19">
        <w:rPr>
          <w:snapToGrid/>
          <w:lang w:val="en-US"/>
        </w:rPr>
        <w:t xml:space="preserve">reported that </w:t>
      </w:r>
      <w:r w:rsidR="000324C8" w:rsidRPr="00813D19">
        <w:rPr>
          <w:snapToGrid/>
          <w:lang w:val="en-US"/>
        </w:rPr>
        <w:t>a significant portion of</w:t>
      </w:r>
      <w:r w:rsidR="00534D00" w:rsidRPr="00813D19">
        <w:rPr>
          <w:snapToGrid/>
          <w:lang w:val="en-US"/>
        </w:rPr>
        <w:t xml:space="preserve"> the Secretariat’s resources had</w:t>
      </w:r>
      <w:r w:rsidR="000324C8" w:rsidRPr="00813D19">
        <w:rPr>
          <w:snapToGrid/>
          <w:lang w:val="en-US"/>
        </w:rPr>
        <w:t xml:space="preserve"> been dedicated to </w:t>
      </w:r>
      <w:r w:rsidR="00534D00" w:rsidRPr="00813D19">
        <w:rPr>
          <w:snapToGrid/>
          <w:lang w:val="en-US"/>
        </w:rPr>
        <w:t>servicing</w:t>
      </w:r>
      <w:r w:rsidR="000324C8" w:rsidRPr="00813D19">
        <w:rPr>
          <w:snapToGrid/>
          <w:lang w:val="en-US"/>
        </w:rPr>
        <w:t xml:space="preserve"> States through the Con</w:t>
      </w:r>
      <w:r w:rsidR="00534D00" w:rsidRPr="00813D19">
        <w:rPr>
          <w:snapToGrid/>
          <w:lang w:val="en-US"/>
        </w:rPr>
        <w:t xml:space="preserve">vention’s statutory mechanisms and </w:t>
      </w:r>
      <w:r w:rsidR="000324C8" w:rsidRPr="00813D19">
        <w:rPr>
          <w:snapToGrid/>
          <w:lang w:val="en-US"/>
        </w:rPr>
        <w:t xml:space="preserve">the intense statutory schedule of up to twenty meetings </w:t>
      </w:r>
      <w:r w:rsidR="007D4EA8" w:rsidRPr="00813D19">
        <w:rPr>
          <w:snapToGrid/>
          <w:lang w:val="en-US"/>
        </w:rPr>
        <w:t xml:space="preserve">planned </w:t>
      </w:r>
      <w:r w:rsidR="000324C8" w:rsidRPr="00813D19">
        <w:rPr>
          <w:snapToGrid/>
          <w:lang w:val="en-US"/>
        </w:rPr>
        <w:t xml:space="preserve">for the biennium. Throughout the reporting period, the </w:t>
      </w:r>
      <w:r w:rsidR="00534D00" w:rsidRPr="00813D19">
        <w:rPr>
          <w:snapToGrid/>
          <w:lang w:val="en-US"/>
        </w:rPr>
        <w:t xml:space="preserve">Secretariat </w:t>
      </w:r>
      <w:r w:rsidR="000324C8" w:rsidRPr="00813D19">
        <w:rPr>
          <w:snapToGrid/>
          <w:lang w:val="en-US"/>
        </w:rPr>
        <w:t xml:space="preserve">juggled with </w:t>
      </w:r>
      <w:r w:rsidR="00534D00" w:rsidRPr="00813D19">
        <w:rPr>
          <w:snapToGrid/>
          <w:lang w:val="en-US"/>
        </w:rPr>
        <w:t>managing</w:t>
      </w:r>
      <w:r w:rsidR="000324C8" w:rsidRPr="00813D19">
        <w:rPr>
          <w:snapToGrid/>
          <w:lang w:val="en-US"/>
        </w:rPr>
        <w:t xml:space="preserve"> nominations, International Assistance</w:t>
      </w:r>
      <w:r w:rsidR="006349DF" w:rsidRPr="00813D19">
        <w:rPr>
          <w:snapToGrid/>
          <w:lang w:val="en-US"/>
        </w:rPr>
        <w:t xml:space="preserve"> requests</w:t>
      </w:r>
      <w:r w:rsidR="000324C8" w:rsidRPr="00813D19">
        <w:rPr>
          <w:snapToGrid/>
          <w:lang w:val="en-US"/>
        </w:rPr>
        <w:t xml:space="preserve">, periodic reporting, NGO accreditations, to name </w:t>
      </w:r>
      <w:r w:rsidR="00534D00" w:rsidRPr="00813D19">
        <w:rPr>
          <w:snapToGrid/>
          <w:lang w:val="en-US"/>
        </w:rPr>
        <w:t xml:space="preserve">just a </w:t>
      </w:r>
      <w:r w:rsidR="000324C8" w:rsidRPr="00813D19">
        <w:rPr>
          <w:snapToGrid/>
          <w:lang w:val="en-US"/>
        </w:rPr>
        <w:t xml:space="preserve">few of the main lines of </w:t>
      </w:r>
      <w:r w:rsidR="00534D00" w:rsidRPr="00813D19">
        <w:rPr>
          <w:snapToGrid/>
          <w:lang w:val="en-US"/>
        </w:rPr>
        <w:t>activities. Had</w:t>
      </w:r>
      <w:r w:rsidR="000324C8" w:rsidRPr="00813D19">
        <w:rPr>
          <w:snapToGrid/>
          <w:lang w:val="en-US"/>
        </w:rPr>
        <w:t xml:space="preserve"> it been ‘business as usual’?</w:t>
      </w:r>
      <w:r w:rsidR="006349DF" w:rsidRPr="00813D19">
        <w:rPr>
          <w:snapToGrid/>
          <w:lang w:val="en-US"/>
        </w:rPr>
        <w:t xml:space="preserve"> </w:t>
      </w:r>
      <w:r w:rsidR="007D4EA8">
        <w:rPr>
          <w:snapToGrid/>
          <w:lang w:val="en-US"/>
        </w:rPr>
        <w:t>N</w:t>
      </w:r>
      <w:r w:rsidR="007D4EA8" w:rsidRPr="00813D19">
        <w:rPr>
          <w:snapToGrid/>
          <w:lang w:val="en-US"/>
        </w:rPr>
        <w:t xml:space="preserve">ot </w:t>
      </w:r>
      <w:r w:rsidR="000324C8" w:rsidRPr="00813D19">
        <w:rPr>
          <w:snapToGrid/>
          <w:lang w:val="en-US"/>
        </w:rPr>
        <w:t xml:space="preserve">at all. The Secretariat continued to seek improvements in all areas of statutory operations to better serve </w:t>
      </w:r>
      <w:r w:rsidR="00534D00" w:rsidRPr="00813D19">
        <w:rPr>
          <w:snapToGrid/>
          <w:lang w:val="en-US"/>
        </w:rPr>
        <w:t xml:space="preserve">States. The significant increase in </w:t>
      </w:r>
      <w:r w:rsidR="000324C8" w:rsidRPr="00813D19">
        <w:rPr>
          <w:snapToGrid/>
          <w:lang w:val="en-US"/>
        </w:rPr>
        <w:t xml:space="preserve">International Assistance requests presented to the Bureau </w:t>
      </w:r>
      <w:r w:rsidR="006349DF" w:rsidRPr="00813D19">
        <w:rPr>
          <w:snapToGrid/>
          <w:lang w:val="en-US"/>
        </w:rPr>
        <w:t>was</w:t>
      </w:r>
      <w:r w:rsidR="000324C8" w:rsidRPr="00813D19">
        <w:rPr>
          <w:snapToGrid/>
          <w:lang w:val="en-US"/>
        </w:rPr>
        <w:t xml:space="preserve"> an example of the Secretariat’s effort</w:t>
      </w:r>
      <w:r w:rsidR="007D4EA8">
        <w:rPr>
          <w:snapToGrid/>
          <w:lang w:val="en-US"/>
        </w:rPr>
        <w:t>s</w:t>
      </w:r>
      <w:r w:rsidR="000324C8" w:rsidRPr="00813D19">
        <w:rPr>
          <w:snapToGrid/>
          <w:lang w:val="en-US"/>
        </w:rPr>
        <w:t xml:space="preserve"> to streamline operations.</w:t>
      </w:r>
      <w:r w:rsidR="00386971" w:rsidRPr="00813D19">
        <w:rPr>
          <w:snapToGrid/>
          <w:lang w:val="en-US"/>
        </w:rPr>
        <w:t xml:space="preserve"> </w:t>
      </w:r>
      <w:r w:rsidR="000324C8" w:rsidRPr="00813D19">
        <w:rPr>
          <w:snapToGrid/>
          <w:lang w:val="en-US"/>
        </w:rPr>
        <w:t>The number of Stat</w:t>
      </w:r>
      <w:r w:rsidR="00BB1080" w:rsidRPr="00813D19">
        <w:rPr>
          <w:snapToGrid/>
          <w:lang w:val="en-US"/>
        </w:rPr>
        <w:t>es Parties to the Convention had</w:t>
      </w:r>
      <w:r w:rsidR="000324C8" w:rsidRPr="00813D19">
        <w:rPr>
          <w:snapToGrid/>
          <w:lang w:val="en-US"/>
        </w:rPr>
        <w:t xml:space="preserve"> </w:t>
      </w:r>
      <w:r w:rsidR="006349DF" w:rsidRPr="00813D19">
        <w:rPr>
          <w:snapToGrid/>
          <w:lang w:val="en-US"/>
        </w:rPr>
        <w:t>steadily increased</w:t>
      </w:r>
      <w:r w:rsidR="007D4EA8">
        <w:rPr>
          <w:snapToGrid/>
          <w:lang w:val="en-US"/>
        </w:rPr>
        <w:t>,</w:t>
      </w:r>
      <w:r w:rsidR="006349DF" w:rsidRPr="00813D19">
        <w:rPr>
          <w:snapToGrid/>
          <w:lang w:val="en-US"/>
        </w:rPr>
        <w:t xml:space="preserve"> reach</w:t>
      </w:r>
      <w:r w:rsidR="007D4EA8">
        <w:rPr>
          <w:snapToGrid/>
          <w:lang w:val="en-US"/>
        </w:rPr>
        <w:t>ing</w:t>
      </w:r>
      <w:r w:rsidR="006349DF" w:rsidRPr="00813D19">
        <w:rPr>
          <w:snapToGrid/>
          <w:lang w:val="en-US"/>
        </w:rPr>
        <w:t xml:space="preserve"> 178, and</w:t>
      </w:r>
      <w:r w:rsidR="000324C8" w:rsidRPr="00813D19">
        <w:rPr>
          <w:snapToGrid/>
          <w:lang w:val="en-US"/>
        </w:rPr>
        <w:t xml:space="preserve"> Kiribati, Singapore and the Solomon Islands</w:t>
      </w:r>
      <w:r w:rsidR="00BB1080" w:rsidRPr="00813D19">
        <w:rPr>
          <w:snapToGrid/>
          <w:lang w:val="en-US"/>
        </w:rPr>
        <w:t xml:space="preserve"> were </w:t>
      </w:r>
      <w:r w:rsidR="006349DF" w:rsidRPr="00813D19">
        <w:rPr>
          <w:snapToGrid/>
          <w:lang w:val="en-US"/>
        </w:rPr>
        <w:t xml:space="preserve">newly </w:t>
      </w:r>
      <w:r w:rsidR="00BB1080" w:rsidRPr="00813D19">
        <w:rPr>
          <w:snapToGrid/>
          <w:lang w:val="en-US"/>
        </w:rPr>
        <w:t>welcomed</w:t>
      </w:r>
      <w:r w:rsidR="000324C8" w:rsidRPr="00813D19">
        <w:rPr>
          <w:snapToGrid/>
          <w:lang w:val="en-US"/>
        </w:rPr>
        <w:t xml:space="preserve">. In addition, there </w:t>
      </w:r>
      <w:r w:rsidR="007D4EA8">
        <w:rPr>
          <w:snapToGrid/>
          <w:lang w:val="en-US"/>
        </w:rPr>
        <w:t>had been</w:t>
      </w:r>
      <w:r w:rsidR="007D4EA8" w:rsidRPr="00813D19">
        <w:rPr>
          <w:snapToGrid/>
          <w:lang w:val="en-US"/>
        </w:rPr>
        <w:t xml:space="preserve"> </w:t>
      </w:r>
      <w:r w:rsidR="000324C8" w:rsidRPr="00813D19">
        <w:rPr>
          <w:snapToGrid/>
          <w:lang w:val="en-US"/>
        </w:rPr>
        <w:t xml:space="preserve">a territorial extension of Denmark to include the Faroe Islands. The national efforts of these States Parties </w:t>
      </w:r>
      <w:r w:rsidR="00C7354D" w:rsidRPr="00813D19">
        <w:rPr>
          <w:snapToGrid/>
          <w:lang w:val="en-US"/>
        </w:rPr>
        <w:t>were</w:t>
      </w:r>
      <w:r w:rsidR="000324C8" w:rsidRPr="00813D19">
        <w:rPr>
          <w:snapToGrid/>
          <w:lang w:val="en-US"/>
        </w:rPr>
        <w:t xml:space="preserve"> supported through </w:t>
      </w:r>
      <w:r w:rsidR="00C7354D" w:rsidRPr="00813D19">
        <w:rPr>
          <w:snapToGrid/>
          <w:lang w:val="en-US"/>
        </w:rPr>
        <w:t>the Regional Office</w:t>
      </w:r>
      <w:r w:rsidR="000324C8" w:rsidRPr="00813D19">
        <w:rPr>
          <w:snapToGrid/>
          <w:lang w:val="en-US"/>
        </w:rPr>
        <w:t>s.</w:t>
      </w:r>
      <w:r w:rsidR="00386971" w:rsidRPr="00813D19">
        <w:rPr>
          <w:snapToGrid/>
          <w:lang w:val="en-US"/>
        </w:rPr>
        <w:t xml:space="preserve"> </w:t>
      </w:r>
      <w:r w:rsidR="00C7354D" w:rsidRPr="00813D19">
        <w:rPr>
          <w:snapToGrid/>
          <w:lang w:val="en-US"/>
        </w:rPr>
        <w:t xml:space="preserve">Regarding </w:t>
      </w:r>
      <w:r w:rsidR="000324C8" w:rsidRPr="00813D19">
        <w:rPr>
          <w:snapToGrid/>
          <w:lang w:val="en-US"/>
        </w:rPr>
        <w:t xml:space="preserve">the </w:t>
      </w:r>
      <w:r w:rsidR="00C7354D" w:rsidRPr="00813D19">
        <w:rPr>
          <w:snapToGrid/>
          <w:u w:val="single"/>
          <w:lang w:val="en-US"/>
        </w:rPr>
        <w:t>Global Capacity-b</w:t>
      </w:r>
      <w:r w:rsidR="00B42351" w:rsidRPr="00813D19">
        <w:rPr>
          <w:snapToGrid/>
          <w:u w:val="single"/>
          <w:lang w:val="en-US"/>
        </w:rPr>
        <w:t>uilding P</w:t>
      </w:r>
      <w:r w:rsidR="000324C8" w:rsidRPr="00813D19">
        <w:rPr>
          <w:snapToGrid/>
          <w:u w:val="single"/>
          <w:lang w:val="en-US"/>
        </w:rPr>
        <w:t>rogramme</w:t>
      </w:r>
      <w:r w:rsidR="00C7354D" w:rsidRPr="00813D19">
        <w:rPr>
          <w:snapToGrid/>
          <w:lang w:val="en-US"/>
        </w:rPr>
        <w:t>,</w:t>
      </w:r>
      <w:r w:rsidR="000324C8" w:rsidRPr="00813D19">
        <w:rPr>
          <w:snapToGrid/>
          <w:lang w:val="en-US"/>
        </w:rPr>
        <w:t xml:space="preserve"> </w:t>
      </w:r>
      <w:r w:rsidR="002F50EA">
        <w:rPr>
          <w:snapToGrid/>
          <w:lang w:val="en-US"/>
        </w:rPr>
        <w:t>forty</w:t>
      </w:r>
      <w:r w:rsidR="002F50EA" w:rsidRPr="00813D19">
        <w:rPr>
          <w:snapToGrid/>
          <w:lang w:val="en-US"/>
        </w:rPr>
        <w:t xml:space="preserve"> </w:t>
      </w:r>
      <w:r w:rsidR="000324C8" w:rsidRPr="00813D19">
        <w:rPr>
          <w:snapToGrid/>
          <w:lang w:val="en-US"/>
        </w:rPr>
        <w:t>countries continue</w:t>
      </w:r>
      <w:r w:rsidR="006349DF" w:rsidRPr="00813D19">
        <w:rPr>
          <w:snapToGrid/>
          <w:lang w:val="en-US"/>
        </w:rPr>
        <w:t>d</w:t>
      </w:r>
      <w:r w:rsidR="000324C8" w:rsidRPr="00813D19">
        <w:rPr>
          <w:snapToGrid/>
          <w:lang w:val="en-US"/>
        </w:rPr>
        <w:t xml:space="preserve"> to benefit from multi-year projects through various source</w:t>
      </w:r>
      <w:r w:rsidR="00C7354D" w:rsidRPr="00813D19">
        <w:rPr>
          <w:snapToGrid/>
          <w:lang w:val="en-US"/>
        </w:rPr>
        <w:t>s</w:t>
      </w:r>
      <w:r w:rsidR="000324C8" w:rsidRPr="00813D19">
        <w:rPr>
          <w:snapToGrid/>
          <w:lang w:val="en-US"/>
        </w:rPr>
        <w:t xml:space="preserve"> of</w:t>
      </w:r>
      <w:r w:rsidR="00C7354D" w:rsidRPr="00813D19">
        <w:rPr>
          <w:snapToGrid/>
          <w:lang w:val="en-US"/>
        </w:rPr>
        <w:t xml:space="preserve"> funding, including</w:t>
      </w:r>
      <w:r w:rsidR="000324C8" w:rsidRPr="00813D19">
        <w:rPr>
          <w:snapToGrid/>
          <w:lang w:val="en-US"/>
        </w:rPr>
        <w:t xml:space="preserve"> Funds-in-Trust agreements, the European Union, Japan, Switzerland and </w:t>
      </w:r>
      <w:r w:rsidR="00D17023" w:rsidRPr="00813D19">
        <w:rPr>
          <w:snapToGrid/>
          <w:lang w:val="en-US"/>
        </w:rPr>
        <w:t>the United Arab Emirates, as well as</w:t>
      </w:r>
      <w:r w:rsidR="000324C8" w:rsidRPr="00813D19">
        <w:rPr>
          <w:snapToGrid/>
          <w:lang w:val="en-US"/>
        </w:rPr>
        <w:t xml:space="preserve"> earmarked contributions to the ICH Fund, thanks to Azerbaijan, </w:t>
      </w:r>
      <w:r w:rsidR="007D4EA8">
        <w:rPr>
          <w:snapToGrid/>
          <w:lang w:val="en-US"/>
        </w:rPr>
        <w:t xml:space="preserve">the </w:t>
      </w:r>
      <w:r w:rsidR="000324C8" w:rsidRPr="00813D19">
        <w:rPr>
          <w:snapToGrid/>
          <w:lang w:val="en-US"/>
        </w:rPr>
        <w:t xml:space="preserve">Netherlands and Spain, </w:t>
      </w:r>
      <w:r w:rsidR="00D17023" w:rsidRPr="00813D19">
        <w:rPr>
          <w:snapToGrid/>
          <w:lang w:val="en-US"/>
        </w:rPr>
        <w:t xml:space="preserve">and </w:t>
      </w:r>
      <w:r w:rsidR="000324C8" w:rsidRPr="00813D19">
        <w:rPr>
          <w:snapToGrid/>
          <w:lang w:val="en-US"/>
        </w:rPr>
        <w:t xml:space="preserve">self-benefitting projects such as in Morocco and Thailand. One of the main strengths of the programme is the dynamic </w:t>
      </w:r>
      <w:r w:rsidR="00F37196" w:rsidRPr="00813D19">
        <w:rPr>
          <w:snapToGrid/>
          <w:lang w:val="en-US"/>
        </w:rPr>
        <w:t xml:space="preserve">global </w:t>
      </w:r>
      <w:hyperlink r:id="rId36" w:history="1">
        <w:r w:rsidR="000324C8" w:rsidRPr="00813D19">
          <w:rPr>
            <w:rStyle w:val="Hyperlink"/>
            <w:snapToGrid/>
            <w:lang w:val="en-US"/>
          </w:rPr>
          <w:t>network of facilitators</w:t>
        </w:r>
      </w:hyperlink>
      <w:r w:rsidR="000324C8" w:rsidRPr="00813D19">
        <w:rPr>
          <w:snapToGrid/>
          <w:lang w:val="en-US"/>
        </w:rPr>
        <w:t xml:space="preserve">. </w:t>
      </w:r>
      <w:r w:rsidR="00F37196" w:rsidRPr="00813D19">
        <w:rPr>
          <w:snapToGrid/>
          <w:lang w:val="en-US"/>
        </w:rPr>
        <w:t xml:space="preserve">The Secretary spoke of the </w:t>
      </w:r>
      <w:r w:rsidR="000324C8" w:rsidRPr="00813D19">
        <w:rPr>
          <w:snapToGrid/>
          <w:lang w:val="en-US"/>
        </w:rPr>
        <w:t xml:space="preserve">recent expansion </w:t>
      </w:r>
      <w:r w:rsidR="00C7354D" w:rsidRPr="00813D19">
        <w:rPr>
          <w:snapToGrid/>
          <w:lang w:val="en-US"/>
        </w:rPr>
        <w:t xml:space="preserve">in July </w:t>
      </w:r>
      <w:r w:rsidR="000324C8" w:rsidRPr="00813D19">
        <w:rPr>
          <w:snapToGrid/>
          <w:lang w:val="en-US"/>
        </w:rPr>
        <w:t>of the facilitators’ network</w:t>
      </w:r>
      <w:r w:rsidR="00C7354D" w:rsidRPr="00813D19">
        <w:rPr>
          <w:snapToGrid/>
          <w:lang w:val="en-US"/>
        </w:rPr>
        <w:t xml:space="preserve"> in Asia and the Pacific</w:t>
      </w:r>
      <w:r w:rsidR="000324C8" w:rsidRPr="00813D19">
        <w:rPr>
          <w:snapToGrid/>
          <w:lang w:val="en-US"/>
        </w:rPr>
        <w:t xml:space="preserve"> with support from CRIHAP (</w:t>
      </w:r>
      <w:r w:rsidR="007D4EA8">
        <w:rPr>
          <w:snapToGrid/>
          <w:lang w:val="en-US"/>
        </w:rPr>
        <w:t xml:space="preserve">the </w:t>
      </w:r>
      <w:r w:rsidR="000324C8" w:rsidRPr="00813D19">
        <w:rPr>
          <w:snapToGrid/>
          <w:lang w:val="en-US"/>
        </w:rPr>
        <w:t xml:space="preserve">International Training Centre for Intangible Cultural Heritage in the Asia-Pacific Region), </w:t>
      </w:r>
      <w:r w:rsidR="00F37196" w:rsidRPr="00813D19">
        <w:rPr>
          <w:snapToGrid/>
          <w:lang w:val="en-US"/>
        </w:rPr>
        <w:t xml:space="preserve">as well as the </w:t>
      </w:r>
      <w:r w:rsidR="000324C8" w:rsidRPr="00813D19">
        <w:rPr>
          <w:snapToGrid/>
          <w:lang w:val="en-US"/>
        </w:rPr>
        <w:t>recently strengthened European chapter through a training workshop for facilitators supporte</w:t>
      </w:r>
      <w:r w:rsidR="00C7354D" w:rsidRPr="00813D19">
        <w:rPr>
          <w:snapToGrid/>
          <w:lang w:val="en-US"/>
        </w:rPr>
        <w:t>d and hosted by the category 2 cent</w:t>
      </w:r>
      <w:r w:rsidR="000324C8" w:rsidRPr="00813D19">
        <w:rPr>
          <w:snapToGrid/>
          <w:lang w:val="en-US"/>
        </w:rPr>
        <w:t>r</w:t>
      </w:r>
      <w:r w:rsidR="00C7354D" w:rsidRPr="00813D19">
        <w:rPr>
          <w:snapToGrid/>
          <w:lang w:val="en-US"/>
        </w:rPr>
        <w:t>e</w:t>
      </w:r>
      <w:r w:rsidR="000324C8" w:rsidRPr="00813D19">
        <w:rPr>
          <w:snapToGrid/>
          <w:lang w:val="en-US"/>
        </w:rPr>
        <w:t xml:space="preserve"> in Bulgaria (</w:t>
      </w:r>
      <w:r w:rsidR="007D4EA8">
        <w:rPr>
          <w:snapToGrid/>
          <w:lang w:val="en-US"/>
        </w:rPr>
        <w:t xml:space="preserve">the </w:t>
      </w:r>
      <w:r w:rsidR="000324C8" w:rsidRPr="00813D19">
        <w:rPr>
          <w:snapToGrid/>
          <w:lang w:val="en-US"/>
        </w:rPr>
        <w:t xml:space="preserve">Regional Centre for the Safeguarding of the Intangible Cultural Heritage in South-Eastern Europe). </w:t>
      </w:r>
      <w:r w:rsidR="00C7354D" w:rsidRPr="00813D19">
        <w:rPr>
          <w:snapToGrid/>
          <w:lang w:val="en-US"/>
        </w:rPr>
        <w:t xml:space="preserve">The Secretary was </w:t>
      </w:r>
      <w:r w:rsidR="000324C8" w:rsidRPr="00813D19">
        <w:rPr>
          <w:snapToGrid/>
          <w:lang w:val="en-US"/>
        </w:rPr>
        <w:t xml:space="preserve">pleased to </w:t>
      </w:r>
      <w:r w:rsidR="00F028D5" w:rsidRPr="00813D19">
        <w:rPr>
          <w:snapToGrid/>
          <w:lang w:val="en-US"/>
        </w:rPr>
        <w:t>inform delegates</w:t>
      </w:r>
      <w:r w:rsidR="000324C8" w:rsidRPr="00813D19">
        <w:rPr>
          <w:snapToGrid/>
          <w:lang w:val="en-US"/>
        </w:rPr>
        <w:t xml:space="preserve"> </w:t>
      </w:r>
      <w:r w:rsidR="00F028D5" w:rsidRPr="00813D19">
        <w:rPr>
          <w:snapToGrid/>
          <w:lang w:val="en-US"/>
        </w:rPr>
        <w:t xml:space="preserve">of the </w:t>
      </w:r>
      <w:r w:rsidR="00C7354D" w:rsidRPr="00813D19">
        <w:rPr>
          <w:snapToGrid/>
          <w:lang w:val="en-US"/>
        </w:rPr>
        <w:t xml:space="preserve">side event </w:t>
      </w:r>
      <w:r w:rsidR="00F028D5" w:rsidRPr="00813D19">
        <w:rPr>
          <w:snapToGrid/>
          <w:lang w:val="en-US"/>
        </w:rPr>
        <w:t xml:space="preserve">on </w:t>
      </w:r>
      <w:r w:rsidR="000324C8" w:rsidRPr="00813D19">
        <w:rPr>
          <w:snapToGrid/>
          <w:lang w:val="en-US"/>
        </w:rPr>
        <w:t>the facilitators</w:t>
      </w:r>
      <w:r w:rsidR="007D4EA8">
        <w:rPr>
          <w:snapToGrid/>
          <w:lang w:val="en-US"/>
        </w:rPr>
        <w:t>’</w:t>
      </w:r>
      <w:r w:rsidR="000324C8" w:rsidRPr="00813D19">
        <w:rPr>
          <w:snapToGrid/>
          <w:lang w:val="en-US"/>
        </w:rPr>
        <w:t xml:space="preserve"> network </w:t>
      </w:r>
      <w:r w:rsidR="00835BFD" w:rsidRPr="00813D19">
        <w:rPr>
          <w:snapToGrid/>
          <w:lang w:val="en-US"/>
        </w:rPr>
        <w:t xml:space="preserve">that </w:t>
      </w:r>
      <w:r w:rsidR="00C7354D" w:rsidRPr="00813D19">
        <w:rPr>
          <w:snapToGrid/>
          <w:lang w:val="en-US"/>
        </w:rPr>
        <w:t>was s</w:t>
      </w:r>
      <w:r w:rsidR="00F37196" w:rsidRPr="00813D19">
        <w:rPr>
          <w:snapToGrid/>
          <w:lang w:val="en-US"/>
        </w:rPr>
        <w:t xml:space="preserve">cheduled the following day, </w:t>
      </w:r>
      <w:r w:rsidR="00835BFD" w:rsidRPr="00813D19">
        <w:rPr>
          <w:snapToGrid/>
          <w:lang w:val="en-US"/>
        </w:rPr>
        <w:t>while noting</w:t>
      </w:r>
      <w:r w:rsidR="00F028D5" w:rsidRPr="00813D19">
        <w:rPr>
          <w:snapToGrid/>
          <w:lang w:val="en-US"/>
        </w:rPr>
        <w:t xml:space="preserve"> </w:t>
      </w:r>
      <w:r w:rsidR="00835BFD" w:rsidRPr="00813D19">
        <w:rPr>
          <w:snapToGrid/>
          <w:lang w:val="en-US"/>
        </w:rPr>
        <w:t xml:space="preserve">that </w:t>
      </w:r>
      <w:r w:rsidR="000324C8" w:rsidRPr="00813D19">
        <w:rPr>
          <w:snapToGrid/>
          <w:lang w:val="en-US"/>
        </w:rPr>
        <w:t xml:space="preserve">demand for the global capacity-building </w:t>
      </w:r>
      <w:r w:rsidR="00F37196" w:rsidRPr="00813D19">
        <w:rPr>
          <w:snapToGrid/>
          <w:lang w:val="en-US"/>
        </w:rPr>
        <w:t>programme continued</w:t>
      </w:r>
      <w:r w:rsidR="000324C8" w:rsidRPr="00813D19">
        <w:rPr>
          <w:snapToGrid/>
          <w:lang w:val="en-US"/>
        </w:rPr>
        <w:t xml:space="preserve"> to grow</w:t>
      </w:r>
      <w:r w:rsidR="00F37196" w:rsidRPr="00813D19">
        <w:rPr>
          <w:snapToGrid/>
          <w:lang w:val="en-US"/>
        </w:rPr>
        <w:t xml:space="preserve">. </w:t>
      </w:r>
      <w:r w:rsidR="00835BFD" w:rsidRPr="00813D19">
        <w:rPr>
          <w:snapToGrid/>
          <w:lang w:val="en-US"/>
        </w:rPr>
        <w:t>In this regard</w:t>
      </w:r>
      <w:r w:rsidR="00F37196" w:rsidRPr="00813D19">
        <w:rPr>
          <w:snapToGrid/>
          <w:lang w:val="en-US"/>
        </w:rPr>
        <w:t xml:space="preserve">, </w:t>
      </w:r>
      <w:r w:rsidR="00F028D5" w:rsidRPr="00813D19">
        <w:rPr>
          <w:snapToGrid/>
          <w:lang w:val="en-US"/>
        </w:rPr>
        <w:t xml:space="preserve">he </w:t>
      </w:r>
      <w:r w:rsidR="000324C8" w:rsidRPr="00813D19">
        <w:rPr>
          <w:snapToGrid/>
          <w:lang w:val="en-US"/>
        </w:rPr>
        <w:t>remind</w:t>
      </w:r>
      <w:r w:rsidR="00F028D5" w:rsidRPr="00813D19">
        <w:rPr>
          <w:snapToGrid/>
          <w:lang w:val="en-US"/>
        </w:rPr>
        <w:t>ed</w:t>
      </w:r>
      <w:r w:rsidR="000324C8" w:rsidRPr="00813D19">
        <w:rPr>
          <w:snapToGrid/>
          <w:lang w:val="en-US"/>
        </w:rPr>
        <w:t xml:space="preserve"> </w:t>
      </w:r>
      <w:r w:rsidR="00F028D5" w:rsidRPr="00813D19">
        <w:rPr>
          <w:snapToGrid/>
          <w:lang w:val="en-US"/>
        </w:rPr>
        <w:t xml:space="preserve">the Committee </w:t>
      </w:r>
      <w:r w:rsidR="000324C8" w:rsidRPr="00813D19">
        <w:rPr>
          <w:snapToGrid/>
          <w:lang w:val="en-US"/>
        </w:rPr>
        <w:t xml:space="preserve">that </w:t>
      </w:r>
      <w:r w:rsidR="00835BFD" w:rsidRPr="00813D19">
        <w:rPr>
          <w:snapToGrid/>
          <w:lang w:val="en-US"/>
        </w:rPr>
        <w:t xml:space="preserve">the </w:t>
      </w:r>
      <w:r w:rsidR="000324C8" w:rsidRPr="00813D19">
        <w:rPr>
          <w:snapToGrid/>
          <w:lang w:val="en-US"/>
        </w:rPr>
        <w:t xml:space="preserve">future </w:t>
      </w:r>
      <w:r w:rsidR="00835BFD" w:rsidRPr="00813D19">
        <w:rPr>
          <w:snapToGrid/>
          <w:lang w:val="en-US"/>
        </w:rPr>
        <w:t xml:space="preserve">of the programme </w:t>
      </w:r>
      <w:r w:rsidR="00F028D5" w:rsidRPr="00813D19">
        <w:rPr>
          <w:snapToGrid/>
          <w:lang w:val="en-US"/>
        </w:rPr>
        <w:t>was</w:t>
      </w:r>
      <w:r w:rsidR="000324C8" w:rsidRPr="00813D19">
        <w:rPr>
          <w:snapToGrid/>
          <w:lang w:val="en-US"/>
        </w:rPr>
        <w:t xml:space="preserve"> still </w:t>
      </w:r>
      <w:r w:rsidR="00D17023" w:rsidRPr="00813D19">
        <w:rPr>
          <w:snapToGrid/>
          <w:lang w:val="en-US"/>
        </w:rPr>
        <w:t>precarious</w:t>
      </w:r>
      <w:r w:rsidR="000324C8" w:rsidRPr="00813D19">
        <w:rPr>
          <w:snapToGrid/>
          <w:lang w:val="en-US"/>
        </w:rPr>
        <w:t xml:space="preserve"> as supplementary fun</w:t>
      </w:r>
      <w:r w:rsidR="00F028D5" w:rsidRPr="00813D19">
        <w:rPr>
          <w:snapToGrid/>
          <w:lang w:val="en-US"/>
        </w:rPr>
        <w:t>ding continued</w:t>
      </w:r>
      <w:r w:rsidR="000324C8" w:rsidRPr="00813D19">
        <w:rPr>
          <w:snapToGrid/>
          <w:lang w:val="en-US"/>
        </w:rPr>
        <w:t xml:space="preserve"> to experience </w:t>
      </w:r>
      <w:r w:rsidR="007D4EA8">
        <w:rPr>
          <w:snapToGrid/>
          <w:lang w:val="en-US"/>
        </w:rPr>
        <w:t xml:space="preserve">a </w:t>
      </w:r>
      <w:r w:rsidR="000324C8" w:rsidRPr="00813D19">
        <w:rPr>
          <w:snapToGrid/>
          <w:lang w:val="en-US"/>
        </w:rPr>
        <w:t xml:space="preserve">significant decline. </w:t>
      </w:r>
      <w:r w:rsidR="00835BFD" w:rsidRPr="00813D19">
        <w:rPr>
          <w:snapToGrid/>
          <w:lang w:val="en-US"/>
        </w:rPr>
        <w:t>Consequently, the S</w:t>
      </w:r>
      <w:r w:rsidR="000324C8" w:rsidRPr="00813D19">
        <w:rPr>
          <w:snapToGrid/>
          <w:lang w:val="en-US"/>
        </w:rPr>
        <w:t xml:space="preserve">ecretariat </w:t>
      </w:r>
      <w:r w:rsidR="00835BFD" w:rsidRPr="00813D19">
        <w:rPr>
          <w:snapToGrid/>
          <w:lang w:val="en-US"/>
        </w:rPr>
        <w:t xml:space="preserve">was </w:t>
      </w:r>
      <w:r w:rsidR="000324C8" w:rsidRPr="00813D19">
        <w:rPr>
          <w:snapToGrid/>
          <w:lang w:val="en-US"/>
        </w:rPr>
        <w:t xml:space="preserve">undertaking a feasibility study on </w:t>
      </w:r>
      <w:r w:rsidR="00D17023" w:rsidRPr="00813D19">
        <w:rPr>
          <w:snapToGrid/>
          <w:lang w:val="en-US"/>
        </w:rPr>
        <w:t xml:space="preserve">potential </w:t>
      </w:r>
      <w:r w:rsidR="000324C8" w:rsidRPr="00813D19">
        <w:rPr>
          <w:snapToGrid/>
          <w:lang w:val="en-US"/>
        </w:rPr>
        <w:t xml:space="preserve">future partnership options to explore new </w:t>
      </w:r>
      <w:r w:rsidR="007D4EA8">
        <w:rPr>
          <w:snapToGrid/>
          <w:lang w:val="en-US"/>
        </w:rPr>
        <w:t>ways</w:t>
      </w:r>
      <w:r w:rsidR="007D4EA8" w:rsidRPr="00813D19">
        <w:rPr>
          <w:snapToGrid/>
          <w:lang w:val="en-US"/>
        </w:rPr>
        <w:t xml:space="preserve"> </w:t>
      </w:r>
      <w:r w:rsidR="000324C8" w:rsidRPr="00813D19">
        <w:rPr>
          <w:snapToGrid/>
          <w:lang w:val="en-US"/>
        </w:rPr>
        <w:t>to sustain and expand the programme.</w:t>
      </w:r>
    </w:p>
    <w:p w14:paraId="451D5F54" w14:textId="6516429B" w:rsidR="00C71524" w:rsidRPr="00813D19" w:rsidRDefault="00835BFD" w:rsidP="00386971">
      <w:pPr>
        <w:pStyle w:val="Orateurengris"/>
        <w:spacing w:before="120"/>
        <w:ind w:left="709" w:hanging="709"/>
        <w:rPr>
          <w:lang w:val="en-US"/>
        </w:rPr>
      </w:pPr>
      <w:r w:rsidRPr="00813D19">
        <w:rPr>
          <w:snapToGrid/>
          <w:lang w:val="en-US"/>
        </w:rPr>
        <w:t xml:space="preserve">Regarding </w:t>
      </w:r>
      <w:r w:rsidRPr="00813D19">
        <w:rPr>
          <w:snapToGrid/>
          <w:u w:val="single"/>
          <w:lang w:val="en-US"/>
        </w:rPr>
        <w:t>o</w:t>
      </w:r>
      <w:r w:rsidR="00386971" w:rsidRPr="00813D19">
        <w:rPr>
          <w:snapToGrid/>
          <w:u w:val="single"/>
          <w:lang w:val="en-US"/>
        </w:rPr>
        <w:t>utreach</w:t>
      </w:r>
      <w:r w:rsidRPr="00813D19">
        <w:rPr>
          <w:lang w:val="en-US"/>
        </w:rPr>
        <w:t xml:space="preserve">, the </w:t>
      </w:r>
      <w:r w:rsidRPr="00813D19">
        <w:rPr>
          <w:b/>
          <w:lang w:val="en-US"/>
        </w:rPr>
        <w:t>Secretary</w:t>
      </w:r>
      <w:r w:rsidRPr="00813D19">
        <w:rPr>
          <w:lang w:val="en-US"/>
        </w:rPr>
        <w:t xml:space="preserve"> </w:t>
      </w:r>
      <w:r w:rsidR="00B94F5C" w:rsidRPr="00813D19">
        <w:rPr>
          <w:lang w:val="en-US"/>
        </w:rPr>
        <w:t xml:space="preserve">considered </w:t>
      </w:r>
      <w:r w:rsidR="002C3FEA" w:rsidRPr="00813D19">
        <w:rPr>
          <w:lang w:val="en-US"/>
        </w:rPr>
        <w:t xml:space="preserve">communication and outreach </w:t>
      </w:r>
      <w:r w:rsidR="007D4EA8">
        <w:rPr>
          <w:lang w:val="en-US"/>
        </w:rPr>
        <w:t>to be</w:t>
      </w:r>
      <w:r w:rsidR="007D4EA8" w:rsidRPr="00813D19">
        <w:rPr>
          <w:lang w:val="en-US"/>
        </w:rPr>
        <w:t xml:space="preserve"> </w:t>
      </w:r>
      <w:r w:rsidR="002C3FEA" w:rsidRPr="00813D19">
        <w:rPr>
          <w:lang w:val="en-US"/>
        </w:rPr>
        <w:t>important safeguarding actions</w:t>
      </w:r>
      <w:r w:rsidR="000324C8" w:rsidRPr="00813D19">
        <w:rPr>
          <w:lang w:val="en-US"/>
        </w:rPr>
        <w:t xml:space="preserve"> in line with Article 2 of the Convention</w:t>
      </w:r>
      <w:r w:rsidR="002C3FEA" w:rsidRPr="00813D19">
        <w:rPr>
          <w:lang w:val="en-US"/>
        </w:rPr>
        <w:t xml:space="preserve">. For this reason, the Secretariat </w:t>
      </w:r>
      <w:r w:rsidR="007D4EA8">
        <w:rPr>
          <w:lang w:val="en-US"/>
        </w:rPr>
        <w:t xml:space="preserve">had </w:t>
      </w:r>
      <w:r w:rsidR="000324C8" w:rsidRPr="00813D19">
        <w:rPr>
          <w:lang w:val="en-US"/>
        </w:rPr>
        <w:t xml:space="preserve">presented </w:t>
      </w:r>
      <w:r w:rsidR="002C3FEA" w:rsidRPr="00813D19">
        <w:rPr>
          <w:lang w:val="en-US"/>
        </w:rPr>
        <w:t xml:space="preserve">its </w:t>
      </w:r>
      <w:r w:rsidR="000324C8" w:rsidRPr="00813D19">
        <w:rPr>
          <w:lang w:val="en-US"/>
        </w:rPr>
        <w:t xml:space="preserve">plan </w:t>
      </w:r>
      <w:r w:rsidR="002C3FEA" w:rsidRPr="00813D19">
        <w:rPr>
          <w:lang w:val="en-US"/>
        </w:rPr>
        <w:t xml:space="preserve">at </w:t>
      </w:r>
      <w:r w:rsidR="000324C8" w:rsidRPr="00813D19">
        <w:rPr>
          <w:lang w:val="en-US"/>
        </w:rPr>
        <w:t>th</w:t>
      </w:r>
      <w:r w:rsidR="002C3FEA" w:rsidRPr="00813D19">
        <w:rPr>
          <w:lang w:val="en-US"/>
        </w:rPr>
        <w:t>e last session of the Committee, t</w:t>
      </w:r>
      <w:r w:rsidR="000324C8" w:rsidRPr="00813D19">
        <w:rPr>
          <w:lang w:val="en-US"/>
        </w:rPr>
        <w:t xml:space="preserve">he details of </w:t>
      </w:r>
      <w:r w:rsidR="002C3FEA" w:rsidRPr="00813D19">
        <w:rPr>
          <w:lang w:val="en-US"/>
        </w:rPr>
        <w:t xml:space="preserve">which could </w:t>
      </w:r>
      <w:r w:rsidR="000324C8" w:rsidRPr="00813D19">
        <w:rPr>
          <w:lang w:val="en-US"/>
        </w:rPr>
        <w:t xml:space="preserve">be found in </w:t>
      </w:r>
      <w:r w:rsidR="002C3FEA" w:rsidRPr="00813D19">
        <w:rPr>
          <w:lang w:val="en-US"/>
        </w:rPr>
        <w:t xml:space="preserve">document </w:t>
      </w:r>
      <w:hyperlink r:id="rId37" w:history="1">
        <w:r w:rsidR="002C3FEA" w:rsidRPr="00813D19">
          <w:rPr>
            <w:rStyle w:val="Hyperlink"/>
            <w:lang w:val="en-US"/>
          </w:rPr>
          <w:t>INF.5.1</w:t>
        </w:r>
      </w:hyperlink>
      <w:r w:rsidR="000324C8" w:rsidRPr="00813D19">
        <w:rPr>
          <w:lang w:val="en-US"/>
        </w:rPr>
        <w:t xml:space="preserve">. </w:t>
      </w:r>
      <w:r w:rsidR="002C3FEA" w:rsidRPr="00813D19">
        <w:rPr>
          <w:lang w:val="en-US"/>
        </w:rPr>
        <w:t xml:space="preserve">Some of the </w:t>
      </w:r>
      <w:r w:rsidR="000324C8" w:rsidRPr="00813D19">
        <w:rPr>
          <w:lang w:val="en-US"/>
        </w:rPr>
        <w:t xml:space="preserve">actions </w:t>
      </w:r>
      <w:r w:rsidR="002C3FEA" w:rsidRPr="00813D19">
        <w:rPr>
          <w:lang w:val="en-US"/>
        </w:rPr>
        <w:t xml:space="preserve">were witnessed </w:t>
      </w:r>
      <w:r w:rsidR="000324C8" w:rsidRPr="00813D19">
        <w:rPr>
          <w:lang w:val="en-US"/>
        </w:rPr>
        <w:t>during the seventh session of the General Assembly</w:t>
      </w:r>
      <w:r w:rsidR="002C3FEA" w:rsidRPr="00813D19">
        <w:rPr>
          <w:lang w:val="en-US"/>
        </w:rPr>
        <w:t>,</w:t>
      </w:r>
      <w:r w:rsidR="000324C8" w:rsidRPr="00813D19">
        <w:rPr>
          <w:lang w:val="en-US"/>
        </w:rPr>
        <w:t xml:space="preserve"> as well as some social media campaigns that </w:t>
      </w:r>
      <w:r w:rsidR="00582C01" w:rsidRPr="00813D19">
        <w:rPr>
          <w:lang w:val="en-US"/>
        </w:rPr>
        <w:t>had been</w:t>
      </w:r>
      <w:r w:rsidR="000324C8" w:rsidRPr="00813D19">
        <w:rPr>
          <w:lang w:val="en-US"/>
        </w:rPr>
        <w:t xml:space="preserve"> initiated. </w:t>
      </w:r>
      <w:r w:rsidR="002C3FEA" w:rsidRPr="00813D19">
        <w:rPr>
          <w:lang w:val="en-US"/>
        </w:rPr>
        <w:lastRenderedPageBreak/>
        <w:t>The Secretariat was finaliz</w:t>
      </w:r>
      <w:r w:rsidR="000324C8" w:rsidRPr="00813D19">
        <w:rPr>
          <w:lang w:val="en-US"/>
        </w:rPr>
        <w:t xml:space="preserve">ing visual guidelines </w:t>
      </w:r>
      <w:r w:rsidR="002C3FEA" w:rsidRPr="00813D19">
        <w:rPr>
          <w:lang w:val="en-US"/>
        </w:rPr>
        <w:t xml:space="preserve">that would be presented in the present </w:t>
      </w:r>
      <w:r w:rsidR="000324C8" w:rsidRPr="00813D19">
        <w:rPr>
          <w:lang w:val="en-US"/>
        </w:rPr>
        <w:t>session.</w:t>
      </w:r>
      <w:r w:rsidR="00386971" w:rsidRPr="003221D5">
        <w:rPr>
          <w:lang w:val="en-US"/>
        </w:rPr>
        <w:t xml:space="preserve"> </w:t>
      </w:r>
      <w:r w:rsidR="002C3FEA" w:rsidRPr="00813D19">
        <w:rPr>
          <w:lang w:val="en-US"/>
        </w:rPr>
        <w:t>While</w:t>
      </w:r>
      <w:r w:rsidR="000324C8" w:rsidRPr="00813D19">
        <w:rPr>
          <w:lang w:val="en-US"/>
        </w:rPr>
        <w:t xml:space="preserve"> communication </w:t>
      </w:r>
      <w:r w:rsidR="002C3FEA" w:rsidRPr="00813D19">
        <w:rPr>
          <w:lang w:val="en-US"/>
        </w:rPr>
        <w:t xml:space="preserve">was </w:t>
      </w:r>
      <w:r w:rsidR="000324C8" w:rsidRPr="00813D19">
        <w:rPr>
          <w:lang w:val="en-US"/>
        </w:rPr>
        <w:t>important</w:t>
      </w:r>
      <w:r w:rsidR="002C3FEA" w:rsidRPr="00813D19">
        <w:rPr>
          <w:lang w:val="en-US"/>
        </w:rPr>
        <w:t>,</w:t>
      </w:r>
      <w:r w:rsidR="000324C8" w:rsidRPr="00813D19">
        <w:rPr>
          <w:lang w:val="en-US"/>
        </w:rPr>
        <w:t xml:space="preserve"> it of course </w:t>
      </w:r>
      <w:r w:rsidR="007D4EA8">
        <w:rPr>
          <w:lang w:val="en-US"/>
        </w:rPr>
        <w:t xml:space="preserve">needed to </w:t>
      </w:r>
      <w:r w:rsidR="000324C8" w:rsidRPr="00813D19">
        <w:rPr>
          <w:lang w:val="en-US"/>
        </w:rPr>
        <w:t>be based on sound informatio</w:t>
      </w:r>
      <w:r w:rsidR="002C3FEA" w:rsidRPr="00813D19">
        <w:rPr>
          <w:lang w:val="en-US"/>
        </w:rPr>
        <w:t>n and knowledge. In this regard,</w:t>
      </w:r>
      <w:r w:rsidR="000324C8" w:rsidRPr="00813D19">
        <w:rPr>
          <w:lang w:val="en-US"/>
        </w:rPr>
        <w:t xml:space="preserve"> the Secretariat continued its work on improving the knowledge management system of the Convention, particular</w:t>
      </w:r>
      <w:r w:rsidR="002C3FEA" w:rsidRPr="00813D19">
        <w:rPr>
          <w:lang w:val="en-US"/>
        </w:rPr>
        <w:t>ly</w:t>
      </w:r>
      <w:r w:rsidR="000324C8" w:rsidRPr="00813D19">
        <w:rPr>
          <w:lang w:val="en-US"/>
        </w:rPr>
        <w:t xml:space="preserve"> </w:t>
      </w:r>
      <w:r w:rsidR="00582C01" w:rsidRPr="00813D19">
        <w:rPr>
          <w:lang w:val="en-US"/>
        </w:rPr>
        <w:t>its dedicated</w:t>
      </w:r>
      <w:r w:rsidR="000324C8" w:rsidRPr="00813D19">
        <w:rPr>
          <w:lang w:val="en-US"/>
        </w:rPr>
        <w:t xml:space="preserve"> </w:t>
      </w:r>
      <w:hyperlink r:id="rId38" w:history="1">
        <w:r w:rsidR="000324C8" w:rsidRPr="00813D19">
          <w:rPr>
            <w:rStyle w:val="Hyperlink"/>
            <w:lang w:val="en-US"/>
          </w:rPr>
          <w:t>website</w:t>
        </w:r>
      </w:hyperlink>
      <w:r w:rsidR="002C3FEA" w:rsidRPr="00813D19">
        <w:rPr>
          <w:lang w:val="en-US"/>
        </w:rPr>
        <w:t>,</w:t>
      </w:r>
      <w:r w:rsidR="000324C8" w:rsidRPr="00813D19">
        <w:rPr>
          <w:lang w:val="en-US"/>
        </w:rPr>
        <w:t xml:space="preserve"> which </w:t>
      </w:r>
      <w:r w:rsidR="002C3FEA" w:rsidRPr="00813D19">
        <w:rPr>
          <w:lang w:val="en-US"/>
        </w:rPr>
        <w:t xml:space="preserve">was </w:t>
      </w:r>
      <w:r w:rsidR="000324C8" w:rsidRPr="00813D19">
        <w:rPr>
          <w:lang w:val="en-US"/>
        </w:rPr>
        <w:t xml:space="preserve">an important working tool for many stakeholders. </w:t>
      </w:r>
      <w:r w:rsidR="002C3FEA" w:rsidRPr="00813D19">
        <w:rPr>
          <w:lang w:val="en-US"/>
        </w:rPr>
        <w:t xml:space="preserve">The Secretary was </w:t>
      </w:r>
      <w:r w:rsidR="000324C8" w:rsidRPr="00813D19">
        <w:rPr>
          <w:lang w:val="en-US"/>
        </w:rPr>
        <w:t xml:space="preserve">excited to </w:t>
      </w:r>
      <w:r w:rsidR="002C3FEA" w:rsidRPr="00813D19">
        <w:rPr>
          <w:lang w:val="en-US"/>
        </w:rPr>
        <w:t>announce</w:t>
      </w:r>
      <w:r w:rsidR="000324C8" w:rsidRPr="00813D19">
        <w:rPr>
          <w:lang w:val="en-US"/>
        </w:rPr>
        <w:t xml:space="preserve"> the launch of </w:t>
      </w:r>
      <w:r w:rsidR="002C3FEA" w:rsidRPr="00813D19">
        <w:rPr>
          <w:lang w:val="en-US"/>
        </w:rPr>
        <w:t xml:space="preserve">a </w:t>
      </w:r>
      <w:r w:rsidR="000324C8" w:rsidRPr="00813D19">
        <w:rPr>
          <w:lang w:val="en-US"/>
        </w:rPr>
        <w:t xml:space="preserve">new and highly innovative knowledge management tool </w:t>
      </w:r>
      <w:r w:rsidR="002C3FEA" w:rsidRPr="00813D19">
        <w:rPr>
          <w:lang w:val="en-US"/>
        </w:rPr>
        <w:t xml:space="preserve">based on </w:t>
      </w:r>
      <w:r w:rsidR="000324C8" w:rsidRPr="00813D19">
        <w:rPr>
          <w:lang w:val="en-US"/>
        </w:rPr>
        <w:t xml:space="preserve">the lists that </w:t>
      </w:r>
      <w:r w:rsidR="002C3FEA" w:rsidRPr="00813D19">
        <w:rPr>
          <w:lang w:val="en-US"/>
        </w:rPr>
        <w:t xml:space="preserve">went </w:t>
      </w:r>
      <w:r w:rsidR="000324C8" w:rsidRPr="00813D19">
        <w:rPr>
          <w:lang w:val="en-US"/>
        </w:rPr>
        <w:t xml:space="preserve">beyond classic knowledge management </w:t>
      </w:r>
      <w:r w:rsidR="002C3FEA" w:rsidRPr="00813D19">
        <w:rPr>
          <w:lang w:val="en-US"/>
        </w:rPr>
        <w:t xml:space="preserve">that would also serve as </w:t>
      </w:r>
      <w:r w:rsidR="000324C8" w:rsidRPr="00813D19">
        <w:rPr>
          <w:lang w:val="en-US"/>
        </w:rPr>
        <w:t>a tool for communication. This session mark</w:t>
      </w:r>
      <w:r w:rsidR="002C3FEA" w:rsidRPr="00813D19">
        <w:rPr>
          <w:lang w:val="en-US"/>
        </w:rPr>
        <w:t>ed</w:t>
      </w:r>
      <w:r w:rsidR="000324C8" w:rsidRPr="00813D19">
        <w:rPr>
          <w:lang w:val="en-US"/>
        </w:rPr>
        <w:t xml:space="preserve"> the</w:t>
      </w:r>
      <w:r w:rsidR="002C3FEA" w:rsidRPr="00813D19">
        <w:rPr>
          <w:lang w:val="en-US"/>
        </w:rPr>
        <w:t xml:space="preserve"> launch of this new tool called </w:t>
      </w:r>
      <w:r w:rsidR="000324C8" w:rsidRPr="00813D19">
        <w:rPr>
          <w:lang w:val="en-US"/>
        </w:rPr>
        <w:t>‘Dive into intangible Cultural Heritage’</w:t>
      </w:r>
      <w:r w:rsidR="00582C01" w:rsidRPr="00813D19">
        <w:rPr>
          <w:rStyle w:val="FootnoteReference"/>
          <w:lang w:val="en-US"/>
        </w:rPr>
        <w:footnoteReference w:id="5"/>
      </w:r>
      <w:r w:rsidR="002C3FEA" w:rsidRPr="00813D19">
        <w:rPr>
          <w:lang w:val="en-US"/>
        </w:rPr>
        <w:t>, a new form of visualiz</w:t>
      </w:r>
      <w:r w:rsidR="000324C8" w:rsidRPr="00813D19">
        <w:rPr>
          <w:lang w:val="en-US"/>
        </w:rPr>
        <w:t xml:space="preserve">ation </w:t>
      </w:r>
      <w:r w:rsidR="0070024C" w:rsidRPr="00813D19">
        <w:rPr>
          <w:lang w:val="en-US"/>
        </w:rPr>
        <w:t>of</w:t>
      </w:r>
      <w:r w:rsidR="002C3FEA" w:rsidRPr="00813D19">
        <w:rPr>
          <w:lang w:val="en-US"/>
        </w:rPr>
        <w:t xml:space="preserve"> </w:t>
      </w:r>
      <w:r w:rsidR="000324C8" w:rsidRPr="00813D19">
        <w:rPr>
          <w:lang w:val="en-US"/>
        </w:rPr>
        <w:t xml:space="preserve">all </w:t>
      </w:r>
      <w:r w:rsidR="00331D8B" w:rsidRPr="00813D19">
        <w:rPr>
          <w:lang w:val="en-US"/>
        </w:rPr>
        <w:t xml:space="preserve">the </w:t>
      </w:r>
      <w:r w:rsidR="000324C8" w:rsidRPr="00813D19">
        <w:rPr>
          <w:lang w:val="en-US"/>
        </w:rPr>
        <w:t xml:space="preserve">elements </w:t>
      </w:r>
      <w:r w:rsidR="007D4EA8" w:rsidRPr="00813D19">
        <w:rPr>
          <w:lang w:val="en-US"/>
        </w:rPr>
        <w:t xml:space="preserve">inscribed </w:t>
      </w:r>
      <w:r w:rsidR="00D27698" w:rsidRPr="00813D19">
        <w:rPr>
          <w:lang w:val="en-US"/>
        </w:rPr>
        <w:t>on the Lists of the Convention</w:t>
      </w:r>
      <w:r w:rsidR="00331D8B" w:rsidRPr="00813D19">
        <w:rPr>
          <w:lang w:val="en-US"/>
        </w:rPr>
        <w:t>, which</w:t>
      </w:r>
      <w:r w:rsidR="007D4EA8">
        <w:rPr>
          <w:lang w:val="en-US"/>
        </w:rPr>
        <w:t xml:space="preserve"> was</w:t>
      </w:r>
      <w:r w:rsidR="00D27698" w:rsidRPr="00813D19">
        <w:rPr>
          <w:lang w:val="en-US"/>
        </w:rPr>
        <w:t xml:space="preserve"> </w:t>
      </w:r>
      <w:r w:rsidR="000324C8" w:rsidRPr="00813D19">
        <w:rPr>
          <w:lang w:val="en-US"/>
        </w:rPr>
        <w:t>experience</w:t>
      </w:r>
      <w:r w:rsidR="00D27698" w:rsidRPr="00813D19">
        <w:rPr>
          <w:lang w:val="en-US"/>
        </w:rPr>
        <w:t>d</w:t>
      </w:r>
      <w:r w:rsidR="000324C8" w:rsidRPr="00813D19">
        <w:rPr>
          <w:lang w:val="en-US"/>
        </w:rPr>
        <w:t xml:space="preserve"> </w:t>
      </w:r>
      <w:r w:rsidR="00D27698" w:rsidRPr="00813D19">
        <w:rPr>
          <w:lang w:val="en-US"/>
        </w:rPr>
        <w:t xml:space="preserve">as </w:t>
      </w:r>
      <w:r w:rsidR="000324C8" w:rsidRPr="00813D19">
        <w:rPr>
          <w:lang w:val="en-US"/>
        </w:rPr>
        <w:t xml:space="preserve">a constellation </w:t>
      </w:r>
      <w:r w:rsidR="00331D8B" w:rsidRPr="00813D19">
        <w:rPr>
          <w:lang w:val="en-US"/>
        </w:rPr>
        <w:t xml:space="preserve">of </w:t>
      </w:r>
      <w:r w:rsidR="000324C8" w:rsidRPr="00813D19">
        <w:rPr>
          <w:lang w:val="en-US"/>
        </w:rPr>
        <w:t xml:space="preserve">the many interconnections of the elements. </w:t>
      </w:r>
      <w:r w:rsidR="0070024C" w:rsidRPr="00813D19">
        <w:rPr>
          <w:lang w:val="en-US"/>
        </w:rPr>
        <w:t xml:space="preserve">The </w:t>
      </w:r>
      <w:r w:rsidR="003221E9" w:rsidRPr="00813D19">
        <w:rPr>
          <w:lang w:val="en-US"/>
        </w:rPr>
        <w:t>Assistant</w:t>
      </w:r>
      <w:r w:rsidR="00A84307">
        <w:rPr>
          <w:lang w:val="en-US"/>
        </w:rPr>
        <w:t xml:space="preserve"> </w:t>
      </w:r>
      <w:r w:rsidR="003221E9" w:rsidRPr="00813D19">
        <w:rPr>
          <w:lang w:val="en-US"/>
        </w:rPr>
        <w:t>D</w:t>
      </w:r>
      <w:r w:rsidR="0070024C" w:rsidRPr="00813D19">
        <w:rPr>
          <w:lang w:val="en-US"/>
        </w:rPr>
        <w:t>irector</w:t>
      </w:r>
      <w:r w:rsidR="00A84307">
        <w:rPr>
          <w:lang w:val="en-US"/>
        </w:rPr>
        <w:t>-</w:t>
      </w:r>
      <w:r w:rsidR="0070024C" w:rsidRPr="00813D19">
        <w:rPr>
          <w:lang w:val="en-US"/>
        </w:rPr>
        <w:t>General for Culture would launch the tool following the morning session.</w:t>
      </w:r>
    </w:p>
    <w:p w14:paraId="3AEC8883" w14:textId="676329A1" w:rsidR="00D852FD" w:rsidRPr="00813D19" w:rsidRDefault="00D852FD" w:rsidP="00B67A60">
      <w:pPr>
        <w:pStyle w:val="Orateurengris"/>
        <w:numPr>
          <w:ilvl w:val="0"/>
          <w:numId w:val="0"/>
        </w:numPr>
        <w:spacing w:before="240" w:after="240"/>
        <w:jc w:val="center"/>
        <w:rPr>
          <w:i/>
          <w:color w:val="000000" w:themeColor="text1"/>
          <w:lang w:val="en-US"/>
        </w:rPr>
      </w:pPr>
      <w:r w:rsidRPr="00813D19">
        <w:rPr>
          <w:i/>
          <w:color w:val="000000" w:themeColor="text1"/>
          <w:lang w:val="en-US"/>
        </w:rPr>
        <w:t>[</w:t>
      </w:r>
      <w:r w:rsidR="0070024C" w:rsidRPr="00813D19">
        <w:rPr>
          <w:i/>
          <w:color w:val="000000" w:themeColor="text1"/>
          <w:lang w:val="en-US"/>
        </w:rPr>
        <w:t xml:space="preserve">A short video presentation of </w:t>
      </w:r>
      <w:r w:rsidRPr="00813D19">
        <w:rPr>
          <w:i/>
          <w:color w:val="000000" w:themeColor="text1"/>
          <w:lang w:val="en-US"/>
        </w:rPr>
        <w:t xml:space="preserve">the </w:t>
      </w:r>
      <w:r w:rsidR="0070024C" w:rsidRPr="00813D19">
        <w:rPr>
          <w:i/>
          <w:color w:val="000000" w:themeColor="text1"/>
          <w:lang w:val="en-US"/>
        </w:rPr>
        <w:t xml:space="preserve">tool </w:t>
      </w:r>
      <w:r w:rsidR="009867D1" w:rsidRPr="00813D19">
        <w:rPr>
          <w:i/>
          <w:color w:val="000000" w:themeColor="text1"/>
          <w:lang w:val="en-US"/>
        </w:rPr>
        <w:t>‘</w:t>
      </w:r>
      <w:r w:rsidRPr="00813D19">
        <w:rPr>
          <w:i/>
          <w:color w:val="000000" w:themeColor="text1"/>
          <w:lang w:val="en-US"/>
        </w:rPr>
        <w:t>Dive into Intangible cultural heritage</w:t>
      </w:r>
      <w:r w:rsidR="0070024C" w:rsidRPr="00813D19">
        <w:rPr>
          <w:i/>
          <w:color w:val="000000" w:themeColor="text1"/>
          <w:lang w:val="en-US"/>
        </w:rPr>
        <w:t>’</w:t>
      </w:r>
      <w:r w:rsidR="009867D1" w:rsidRPr="00813D19">
        <w:rPr>
          <w:i/>
          <w:color w:val="000000" w:themeColor="text1"/>
          <w:lang w:val="en-US"/>
        </w:rPr>
        <w:t>]</w:t>
      </w:r>
    </w:p>
    <w:p w14:paraId="5D98F0C4" w14:textId="0E5DB849" w:rsidR="00D852FD" w:rsidRPr="00813D19" w:rsidRDefault="00D852FD"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00315D59" w:rsidRPr="00813D19">
        <w:rPr>
          <w:color w:val="000000" w:themeColor="text1"/>
          <w:lang w:val="en-US"/>
        </w:rPr>
        <w:t xml:space="preserve"> thanked </w:t>
      </w:r>
      <w:r w:rsidR="00315D59" w:rsidRPr="00813D19">
        <w:rPr>
          <w:bCs/>
          <w:lang w:val="en-US"/>
        </w:rPr>
        <w:t xml:space="preserve">the Secretary </w:t>
      </w:r>
      <w:r w:rsidR="0087278C" w:rsidRPr="00813D19">
        <w:rPr>
          <w:bCs/>
          <w:lang w:val="en-US"/>
        </w:rPr>
        <w:t xml:space="preserve">for </w:t>
      </w:r>
      <w:r w:rsidR="0070024C" w:rsidRPr="00813D19">
        <w:rPr>
          <w:bCs/>
          <w:lang w:val="en-US"/>
        </w:rPr>
        <w:t>his</w:t>
      </w:r>
      <w:r w:rsidR="00315D59" w:rsidRPr="00813D19">
        <w:rPr>
          <w:bCs/>
          <w:lang w:val="en-US"/>
        </w:rPr>
        <w:t xml:space="preserve"> present</w:t>
      </w:r>
      <w:r w:rsidR="0070024C" w:rsidRPr="00813D19">
        <w:rPr>
          <w:bCs/>
          <w:lang w:val="en-US"/>
        </w:rPr>
        <w:t xml:space="preserve">ation and congratulated </w:t>
      </w:r>
      <w:r w:rsidR="00315D59" w:rsidRPr="00813D19">
        <w:rPr>
          <w:bCs/>
          <w:lang w:val="en-US"/>
        </w:rPr>
        <w:t>the Secretariat for this new tool</w:t>
      </w:r>
      <w:r w:rsidR="0070024C" w:rsidRPr="00813D19">
        <w:rPr>
          <w:bCs/>
          <w:lang w:val="en-US"/>
        </w:rPr>
        <w:t>, opening</w:t>
      </w:r>
      <w:r w:rsidR="00315D59" w:rsidRPr="00813D19">
        <w:rPr>
          <w:bCs/>
          <w:lang w:val="en-US"/>
        </w:rPr>
        <w:t xml:space="preserve"> the </w:t>
      </w:r>
      <w:r w:rsidR="0087278C" w:rsidRPr="00813D19">
        <w:rPr>
          <w:bCs/>
          <w:lang w:val="en-US"/>
        </w:rPr>
        <w:t xml:space="preserve">floor for </w:t>
      </w:r>
      <w:r w:rsidR="00315D59" w:rsidRPr="00813D19">
        <w:rPr>
          <w:bCs/>
          <w:lang w:val="en-US"/>
        </w:rPr>
        <w:t>comments.</w:t>
      </w:r>
    </w:p>
    <w:p w14:paraId="4E41531A" w14:textId="5E95CB40" w:rsidR="009867D1" w:rsidRPr="00813D19" w:rsidRDefault="009867D1"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w:t>
      </w:r>
      <w:r w:rsidR="004E2E29" w:rsidRPr="00813D19">
        <w:rPr>
          <w:b/>
          <w:color w:val="000000" w:themeColor="text1"/>
          <w:lang w:val="en-US"/>
        </w:rPr>
        <w:t>Colombia</w:t>
      </w:r>
      <w:r w:rsidR="0087278C" w:rsidRPr="00813D19">
        <w:rPr>
          <w:b/>
          <w:color w:val="000000" w:themeColor="text1"/>
          <w:lang w:val="en-US"/>
        </w:rPr>
        <w:t xml:space="preserve"> </w:t>
      </w:r>
      <w:r w:rsidR="0045241C" w:rsidRPr="00813D19">
        <w:rPr>
          <w:bCs/>
          <w:lang w:val="en-US"/>
        </w:rPr>
        <w:t xml:space="preserve">expressed </w:t>
      </w:r>
      <w:r w:rsidR="0087278C" w:rsidRPr="00813D19">
        <w:rPr>
          <w:bCs/>
          <w:lang w:val="en-US"/>
        </w:rPr>
        <w:t xml:space="preserve">thanks for the </w:t>
      </w:r>
      <w:r w:rsidR="0045241C" w:rsidRPr="00813D19">
        <w:rPr>
          <w:bCs/>
          <w:lang w:val="en-US"/>
        </w:rPr>
        <w:t xml:space="preserve">invitation to attend the </w:t>
      </w:r>
      <w:r w:rsidR="007F53D7" w:rsidRPr="00813D19">
        <w:rPr>
          <w:bCs/>
          <w:lang w:val="en-US"/>
        </w:rPr>
        <w:t xml:space="preserve">session, and to the Republic of Mauritius, the </w:t>
      </w:r>
      <w:r w:rsidR="002F50EA">
        <w:rPr>
          <w:bCs/>
          <w:lang w:val="en-US"/>
        </w:rPr>
        <w:t>M</w:t>
      </w:r>
      <w:r w:rsidR="002F50EA" w:rsidRPr="00813D19">
        <w:rPr>
          <w:bCs/>
          <w:lang w:val="en-US"/>
        </w:rPr>
        <w:t xml:space="preserve">embers </w:t>
      </w:r>
      <w:r w:rsidR="0087278C" w:rsidRPr="00813D19">
        <w:rPr>
          <w:bCs/>
          <w:lang w:val="en-US"/>
        </w:rPr>
        <w:t xml:space="preserve">of the Bureau and the Secretariat for having prepared the Committee and all </w:t>
      </w:r>
      <w:r w:rsidR="00AD4E8E" w:rsidRPr="00813D19">
        <w:rPr>
          <w:bCs/>
          <w:lang w:val="en-US"/>
        </w:rPr>
        <w:t>its</w:t>
      </w:r>
      <w:r w:rsidR="0087278C" w:rsidRPr="00813D19">
        <w:rPr>
          <w:bCs/>
          <w:lang w:val="en-US"/>
        </w:rPr>
        <w:t xml:space="preserve"> documents. </w:t>
      </w:r>
      <w:r w:rsidR="007F53D7" w:rsidRPr="00813D19">
        <w:rPr>
          <w:bCs/>
          <w:lang w:val="en-US"/>
        </w:rPr>
        <w:t xml:space="preserve">It was also </w:t>
      </w:r>
      <w:r w:rsidR="0087278C" w:rsidRPr="00813D19">
        <w:rPr>
          <w:bCs/>
          <w:lang w:val="en-US"/>
        </w:rPr>
        <w:t xml:space="preserve">very grateful to Spain </w:t>
      </w:r>
      <w:r w:rsidR="007F53D7" w:rsidRPr="00813D19">
        <w:rPr>
          <w:bCs/>
          <w:lang w:val="en-US"/>
        </w:rPr>
        <w:t>for facilitating Spanish interpretation</w:t>
      </w:r>
      <w:r w:rsidR="00AD4E8E" w:rsidRPr="00813D19">
        <w:rPr>
          <w:bCs/>
          <w:lang w:val="en-US"/>
        </w:rPr>
        <w:t xml:space="preserve">, </w:t>
      </w:r>
      <w:r w:rsidR="0070024C" w:rsidRPr="00813D19">
        <w:rPr>
          <w:bCs/>
          <w:lang w:val="en-US"/>
        </w:rPr>
        <w:t>extending</w:t>
      </w:r>
      <w:r w:rsidR="007F53D7" w:rsidRPr="00813D19">
        <w:rPr>
          <w:bCs/>
          <w:lang w:val="en-US"/>
        </w:rPr>
        <w:t xml:space="preserve"> further </w:t>
      </w:r>
      <w:r w:rsidR="0087278C" w:rsidRPr="00813D19">
        <w:rPr>
          <w:bCs/>
          <w:lang w:val="en-US"/>
        </w:rPr>
        <w:t>thank</w:t>
      </w:r>
      <w:r w:rsidR="007F53D7" w:rsidRPr="00813D19">
        <w:rPr>
          <w:bCs/>
          <w:lang w:val="en-US"/>
        </w:rPr>
        <w:t>s</w:t>
      </w:r>
      <w:r w:rsidR="0087278C" w:rsidRPr="00813D19">
        <w:rPr>
          <w:bCs/>
          <w:lang w:val="en-US"/>
        </w:rPr>
        <w:t xml:space="preserve"> </w:t>
      </w:r>
      <w:r w:rsidR="007F53D7" w:rsidRPr="00813D19">
        <w:rPr>
          <w:bCs/>
          <w:lang w:val="en-US"/>
        </w:rPr>
        <w:t xml:space="preserve">to </w:t>
      </w:r>
      <w:r w:rsidR="0087278C" w:rsidRPr="00813D19">
        <w:rPr>
          <w:bCs/>
          <w:lang w:val="en-US"/>
        </w:rPr>
        <w:t xml:space="preserve">the Secretary </w:t>
      </w:r>
      <w:r w:rsidR="007F53D7" w:rsidRPr="00813D19">
        <w:rPr>
          <w:bCs/>
          <w:lang w:val="en-US"/>
        </w:rPr>
        <w:t xml:space="preserve">for the </w:t>
      </w:r>
      <w:r w:rsidR="0087278C" w:rsidRPr="00813D19">
        <w:rPr>
          <w:bCs/>
          <w:lang w:val="en-US"/>
        </w:rPr>
        <w:t xml:space="preserve">very detailed report. The delegation </w:t>
      </w:r>
      <w:r w:rsidR="0070024C" w:rsidRPr="00813D19">
        <w:rPr>
          <w:bCs/>
          <w:lang w:val="en-US"/>
        </w:rPr>
        <w:t>bega</w:t>
      </w:r>
      <w:r w:rsidR="00AD4E8E" w:rsidRPr="00813D19">
        <w:rPr>
          <w:bCs/>
          <w:lang w:val="en-US"/>
        </w:rPr>
        <w:t xml:space="preserve">n by outlining its position with regard to </w:t>
      </w:r>
      <w:r w:rsidR="0087278C" w:rsidRPr="00813D19">
        <w:rPr>
          <w:bCs/>
          <w:lang w:val="en-US"/>
        </w:rPr>
        <w:t xml:space="preserve">some </w:t>
      </w:r>
      <w:r w:rsidR="00AD4E8E" w:rsidRPr="00813D19">
        <w:rPr>
          <w:bCs/>
          <w:lang w:val="en-US"/>
        </w:rPr>
        <w:t xml:space="preserve">of the issues of debate during </w:t>
      </w:r>
      <w:r w:rsidR="0087278C" w:rsidRPr="00813D19">
        <w:rPr>
          <w:bCs/>
          <w:lang w:val="en-US"/>
        </w:rPr>
        <w:t xml:space="preserve">this </w:t>
      </w:r>
      <w:r w:rsidR="00AD4E8E" w:rsidRPr="00813D19">
        <w:rPr>
          <w:bCs/>
          <w:lang w:val="en-US"/>
        </w:rPr>
        <w:t>session</w:t>
      </w:r>
      <w:r w:rsidR="0087278C" w:rsidRPr="00813D19">
        <w:rPr>
          <w:bCs/>
          <w:lang w:val="en-US"/>
        </w:rPr>
        <w:t>. First</w:t>
      </w:r>
      <w:r w:rsidR="00AD4E8E" w:rsidRPr="00813D19">
        <w:rPr>
          <w:bCs/>
          <w:lang w:val="en-US"/>
        </w:rPr>
        <w:t xml:space="preserve">ly, </w:t>
      </w:r>
      <w:r w:rsidR="0070024C" w:rsidRPr="00813D19">
        <w:rPr>
          <w:bCs/>
          <w:lang w:val="en-US"/>
        </w:rPr>
        <w:t xml:space="preserve">it </w:t>
      </w:r>
      <w:r w:rsidR="0087278C" w:rsidRPr="00813D19">
        <w:rPr>
          <w:bCs/>
          <w:lang w:val="en-US"/>
        </w:rPr>
        <w:t>ask</w:t>
      </w:r>
      <w:r w:rsidR="00AD4E8E" w:rsidRPr="00813D19">
        <w:rPr>
          <w:bCs/>
          <w:lang w:val="en-US"/>
        </w:rPr>
        <w:t>ed</w:t>
      </w:r>
      <w:r w:rsidR="0087278C" w:rsidRPr="00813D19">
        <w:rPr>
          <w:bCs/>
          <w:lang w:val="en-US"/>
        </w:rPr>
        <w:t xml:space="preserve"> </w:t>
      </w:r>
      <w:r w:rsidR="00511366" w:rsidRPr="00813D19">
        <w:rPr>
          <w:bCs/>
          <w:lang w:val="en-US"/>
        </w:rPr>
        <w:t>that</w:t>
      </w:r>
      <w:r w:rsidR="0087278C" w:rsidRPr="00813D19">
        <w:rPr>
          <w:bCs/>
          <w:lang w:val="en-US"/>
        </w:rPr>
        <w:t xml:space="preserve"> </w:t>
      </w:r>
      <w:r w:rsidR="0070024C" w:rsidRPr="00813D19">
        <w:rPr>
          <w:bCs/>
          <w:lang w:val="en-US"/>
        </w:rPr>
        <w:t xml:space="preserve">the </w:t>
      </w:r>
      <w:r w:rsidR="0087278C" w:rsidRPr="00813D19">
        <w:rPr>
          <w:bCs/>
          <w:lang w:val="en-US"/>
        </w:rPr>
        <w:t xml:space="preserve">Committee </w:t>
      </w:r>
      <w:r w:rsidR="00511366" w:rsidRPr="00813D19">
        <w:rPr>
          <w:bCs/>
          <w:lang w:val="en-US"/>
        </w:rPr>
        <w:t xml:space="preserve">continue </w:t>
      </w:r>
      <w:r w:rsidR="0087278C" w:rsidRPr="00813D19">
        <w:rPr>
          <w:bCs/>
          <w:lang w:val="en-US"/>
        </w:rPr>
        <w:t xml:space="preserve">to foster intangible cultural heritage as a basic factor for promoting welfare and </w:t>
      </w:r>
      <w:r w:rsidR="0070024C" w:rsidRPr="00813D19">
        <w:rPr>
          <w:bCs/>
          <w:lang w:val="en-US"/>
        </w:rPr>
        <w:t>for working</w:t>
      </w:r>
      <w:r w:rsidR="00511366" w:rsidRPr="00813D19">
        <w:rPr>
          <w:bCs/>
          <w:lang w:val="en-US"/>
        </w:rPr>
        <w:t xml:space="preserve"> towards</w:t>
      </w:r>
      <w:r w:rsidR="0087278C" w:rsidRPr="00813D19">
        <w:rPr>
          <w:bCs/>
          <w:lang w:val="en-US"/>
        </w:rPr>
        <w:t xml:space="preserve"> a rich, diverse future</w:t>
      </w:r>
      <w:r w:rsidR="00511366" w:rsidRPr="00813D19">
        <w:rPr>
          <w:bCs/>
          <w:lang w:val="en-US"/>
        </w:rPr>
        <w:t xml:space="preserve"> at </w:t>
      </w:r>
      <w:r w:rsidR="007D4EA8">
        <w:rPr>
          <w:bCs/>
          <w:lang w:val="en-US"/>
        </w:rPr>
        <w:t xml:space="preserve">the </w:t>
      </w:r>
      <w:r w:rsidR="00511366" w:rsidRPr="00813D19">
        <w:rPr>
          <w:bCs/>
          <w:lang w:val="en-US"/>
        </w:rPr>
        <w:t>global, national and local levels</w:t>
      </w:r>
      <w:r w:rsidR="0087278C" w:rsidRPr="00813D19">
        <w:rPr>
          <w:bCs/>
          <w:lang w:val="en-US"/>
        </w:rPr>
        <w:t xml:space="preserve">. In other words, it </w:t>
      </w:r>
      <w:r w:rsidR="00511366" w:rsidRPr="00813D19">
        <w:rPr>
          <w:bCs/>
          <w:lang w:val="en-US"/>
        </w:rPr>
        <w:t xml:space="preserve">was </w:t>
      </w:r>
      <w:r w:rsidR="0087278C" w:rsidRPr="00813D19">
        <w:rPr>
          <w:bCs/>
          <w:lang w:val="en-US"/>
        </w:rPr>
        <w:t xml:space="preserve">important to continue </w:t>
      </w:r>
      <w:r w:rsidR="00511366" w:rsidRPr="00813D19">
        <w:rPr>
          <w:bCs/>
          <w:lang w:val="en-US"/>
        </w:rPr>
        <w:t xml:space="preserve">its work </w:t>
      </w:r>
      <w:r w:rsidR="0087278C" w:rsidRPr="00813D19">
        <w:rPr>
          <w:bCs/>
          <w:lang w:val="en-US"/>
        </w:rPr>
        <w:t xml:space="preserve">within the framework of the Convention and </w:t>
      </w:r>
      <w:r w:rsidR="00511366" w:rsidRPr="00813D19">
        <w:rPr>
          <w:bCs/>
          <w:lang w:val="en-US"/>
        </w:rPr>
        <w:t>to understand</w:t>
      </w:r>
      <w:r w:rsidR="0087278C" w:rsidRPr="00813D19">
        <w:rPr>
          <w:bCs/>
          <w:lang w:val="en-US"/>
        </w:rPr>
        <w:t xml:space="preserve"> the </w:t>
      </w:r>
      <w:r w:rsidR="0070024C" w:rsidRPr="00813D19">
        <w:rPr>
          <w:bCs/>
          <w:lang w:val="en-US"/>
        </w:rPr>
        <w:t xml:space="preserve">importance of </w:t>
      </w:r>
      <w:r w:rsidR="0087278C" w:rsidRPr="00813D19">
        <w:rPr>
          <w:bCs/>
          <w:lang w:val="en-US"/>
        </w:rPr>
        <w:t xml:space="preserve">safeguarding </w:t>
      </w:r>
      <w:r w:rsidR="00511366" w:rsidRPr="00813D19">
        <w:rPr>
          <w:bCs/>
          <w:lang w:val="en-US"/>
        </w:rPr>
        <w:t>living</w:t>
      </w:r>
      <w:r w:rsidR="0087278C" w:rsidRPr="00813D19">
        <w:rPr>
          <w:bCs/>
          <w:lang w:val="en-US"/>
        </w:rPr>
        <w:t xml:space="preserve"> heritage for communities in strengthening their resilience</w:t>
      </w:r>
      <w:r w:rsidR="0070024C" w:rsidRPr="00813D19">
        <w:rPr>
          <w:bCs/>
          <w:lang w:val="en-US"/>
        </w:rPr>
        <w:t xml:space="preserve">, particularly </w:t>
      </w:r>
      <w:r w:rsidR="00511366" w:rsidRPr="00813D19">
        <w:rPr>
          <w:bCs/>
          <w:lang w:val="en-US"/>
        </w:rPr>
        <w:t xml:space="preserve">under </w:t>
      </w:r>
      <w:r w:rsidR="0087278C" w:rsidRPr="00813D19">
        <w:rPr>
          <w:bCs/>
          <w:lang w:val="en-US"/>
        </w:rPr>
        <w:t xml:space="preserve">the current context. Moreover, </w:t>
      </w:r>
      <w:r w:rsidR="00511366" w:rsidRPr="00813D19">
        <w:rPr>
          <w:bCs/>
          <w:lang w:val="en-US"/>
        </w:rPr>
        <w:t xml:space="preserve">taking into account the importance of </w:t>
      </w:r>
      <w:r w:rsidR="0087278C" w:rsidRPr="00813D19">
        <w:rPr>
          <w:bCs/>
          <w:lang w:val="en-US"/>
        </w:rPr>
        <w:t xml:space="preserve">education </w:t>
      </w:r>
      <w:r w:rsidR="00511366" w:rsidRPr="00813D19">
        <w:rPr>
          <w:bCs/>
          <w:lang w:val="en-US"/>
        </w:rPr>
        <w:t xml:space="preserve">in intangible cultural heritage, as </w:t>
      </w:r>
      <w:r w:rsidR="0087278C" w:rsidRPr="00813D19">
        <w:rPr>
          <w:bCs/>
          <w:lang w:val="en-US"/>
        </w:rPr>
        <w:t>one of the priorities of the Secretariat</w:t>
      </w:r>
      <w:r w:rsidR="00511366" w:rsidRPr="00813D19">
        <w:rPr>
          <w:bCs/>
          <w:lang w:val="en-US"/>
        </w:rPr>
        <w:t xml:space="preserve">, the delegation </w:t>
      </w:r>
      <w:r w:rsidR="0087278C" w:rsidRPr="00813D19">
        <w:rPr>
          <w:bCs/>
          <w:lang w:val="en-US"/>
        </w:rPr>
        <w:t>call</w:t>
      </w:r>
      <w:r w:rsidR="00511366" w:rsidRPr="00813D19">
        <w:rPr>
          <w:bCs/>
          <w:lang w:val="en-US"/>
        </w:rPr>
        <w:t>ed</w:t>
      </w:r>
      <w:r w:rsidR="0087278C" w:rsidRPr="00813D19">
        <w:rPr>
          <w:bCs/>
          <w:lang w:val="en-US"/>
        </w:rPr>
        <w:t xml:space="preserve"> </w:t>
      </w:r>
      <w:r w:rsidR="007D4EA8">
        <w:rPr>
          <w:bCs/>
          <w:lang w:val="en-US"/>
        </w:rPr>
        <w:t>for</w:t>
      </w:r>
      <w:r w:rsidR="007D4EA8" w:rsidRPr="00813D19">
        <w:rPr>
          <w:bCs/>
          <w:lang w:val="en-US"/>
        </w:rPr>
        <w:t xml:space="preserve"> </w:t>
      </w:r>
      <w:r w:rsidR="00511366" w:rsidRPr="00813D19">
        <w:rPr>
          <w:bCs/>
          <w:lang w:val="en-US"/>
        </w:rPr>
        <w:t xml:space="preserve">greater </w:t>
      </w:r>
      <w:r w:rsidR="0087278C" w:rsidRPr="00813D19">
        <w:rPr>
          <w:bCs/>
          <w:lang w:val="en-US"/>
        </w:rPr>
        <w:t xml:space="preserve">reflection on this issue as a way of protecting goods and services that would allow communities to </w:t>
      </w:r>
      <w:r w:rsidR="00511366" w:rsidRPr="00813D19">
        <w:rPr>
          <w:bCs/>
          <w:lang w:val="en-US"/>
        </w:rPr>
        <w:t xml:space="preserve">better generate an </w:t>
      </w:r>
      <w:r w:rsidR="0087278C" w:rsidRPr="00813D19">
        <w:rPr>
          <w:bCs/>
          <w:lang w:val="en-US"/>
        </w:rPr>
        <w:t>economic income</w:t>
      </w:r>
      <w:r w:rsidR="00511366" w:rsidRPr="00813D19">
        <w:rPr>
          <w:bCs/>
          <w:lang w:val="en-US"/>
        </w:rPr>
        <w:t>,</w:t>
      </w:r>
      <w:r w:rsidR="0087278C" w:rsidRPr="00813D19">
        <w:rPr>
          <w:bCs/>
          <w:lang w:val="en-US"/>
        </w:rPr>
        <w:t xml:space="preserve"> while </w:t>
      </w:r>
      <w:r w:rsidR="00511366" w:rsidRPr="00813D19">
        <w:rPr>
          <w:bCs/>
          <w:lang w:val="en-US"/>
        </w:rPr>
        <w:t>preserving</w:t>
      </w:r>
      <w:r w:rsidR="0087278C" w:rsidRPr="00813D19">
        <w:rPr>
          <w:bCs/>
          <w:lang w:val="en-US"/>
        </w:rPr>
        <w:t xml:space="preserve"> their ancestral traditions.</w:t>
      </w:r>
      <w:r w:rsidR="00511366" w:rsidRPr="00813D19">
        <w:rPr>
          <w:bCs/>
          <w:lang w:val="en-US"/>
        </w:rPr>
        <w:t xml:space="preserve"> </w:t>
      </w:r>
      <w:r w:rsidR="0070024C" w:rsidRPr="00813D19">
        <w:rPr>
          <w:bCs/>
          <w:lang w:val="en-US"/>
        </w:rPr>
        <w:t xml:space="preserve">It </w:t>
      </w:r>
      <w:r w:rsidR="00511366" w:rsidRPr="00813D19">
        <w:rPr>
          <w:bCs/>
          <w:lang w:val="en-US"/>
        </w:rPr>
        <w:t xml:space="preserve">also </w:t>
      </w:r>
      <w:r w:rsidR="0087278C" w:rsidRPr="00813D19">
        <w:rPr>
          <w:bCs/>
          <w:lang w:val="en-US"/>
        </w:rPr>
        <w:t>emphasize</w:t>
      </w:r>
      <w:r w:rsidR="00511366" w:rsidRPr="00813D19">
        <w:rPr>
          <w:bCs/>
          <w:lang w:val="en-US"/>
        </w:rPr>
        <w:t>d</w:t>
      </w:r>
      <w:r w:rsidR="0087278C" w:rsidRPr="00813D19">
        <w:rPr>
          <w:bCs/>
          <w:lang w:val="en-US"/>
        </w:rPr>
        <w:t xml:space="preserve"> the importance of </w:t>
      </w:r>
      <w:r w:rsidR="00511366" w:rsidRPr="00813D19">
        <w:rPr>
          <w:bCs/>
          <w:lang w:val="en-US"/>
        </w:rPr>
        <w:t xml:space="preserve">coordinating intangible cultural heritage activities </w:t>
      </w:r>
      <w:r w:rsidR="0087278C" w:rsidRPr="00813D19">
        <w:rPr>
          <w:bCs/>
          <w:lang w:val="en-US"/>
        </w:rPr>
        <w:t xml:space="preserve">with </w:t>
      </w:r>
      <w:r w:rsidR="00B81CAA" w:rsidRPr="00813D19">
        <w:rPr>
          <w:bCs/>
          <w:lang w:val="en-US"/>
        </w:rPr>
        <w:t xml:space="preserve">the aims of </w:t>
      </w:r>
      <w:r w:rsidR="0087278C" w:rsidRPr="00813D19">
        <w:rPr>
          <w:bCs/>
          <w:lang w:val="en-US"/>
        </w:rPr>
        <w:t xml:space="preserve">sustainable development and the 2030 Agenda. </w:t>
      </w:r>
      <w:r w:rsidR="00B81CAA" w:rsidRPr="00813D19">
        <w:rPr>
          <w:bCs/>
          <w:lang w:val="en-US"/>
        </w:rPr>
        <w:t xml:space="preserve">In this regard, </w:t>
      </w:r>
      <w:r w:rsidR="0087278C" w:rsidRPr="00813D19">
        <w:rPr>
          <w:bCs/>
          <w:lang w:val="en-US"/>
        </w:rPr>
        <w:t xml:space="preserve">Colombia </w:t>
      </w:r>
      <w:r w:rsidR="00B81CAA" w:rsidRPr="00813D19">
        <w:rPr>
          <w:bCs/>
          <w:lang w:val="en-US"/>
        </w:rPr>
        <w:t xml:space="preserve">was </w:t>
      </w:r>
      <w:r w:rsidR="0087278C" w:rsidRPr="00813D19">
        <w:rPr>
          <w:bCs/>
          <w:lang w:val="en-US"/>
        </w:rPr>
        <w:t xml:space="preserve">working on ways to better increase the safeguarding of </w:t>
      </w:r>
      <w:r w:rsidR="00B81CAA" w:rsidRPr="00813D19">
        <w:rPr>
          <w:bCs/>
          <w:lang w:val="en-US"/>
        </w:rPr>
        <w:t xml:space="preserve">intangible cultural heritage in certain </w:t>
      </w:r>
      <w:r w:rsidR="00FA3690" w:rsidRPr="00813D19">
        <w:rPr>
          <w:bCs/>
          <w:lang w:val="en-US"/>
        </w:rPr>
        <w:t xml:space="preserve">urban and peri-urban </w:t>
      </w:r>
      <w:r w:rsidR="00B81CAA" w:rsidRPr="00813D19">
        <w:rPr>
          <w:bCs/>
          <w:lang w:val="en-US"/>
        </w:rPr>
        <w:t>contexts</w:t>
      </w:r>
      <w:r w:rsidR="0087278C" w:rsidRPr="00813D19">
        <w:rPr>
          <w:bCs/>
          <w:lang w:val="en-US"/>
        </w:rPr>
        <w:t xml:space="preserve">. </w:t>
      </w:r>
      <w:r w:rsidR="001D2819" w:rsidRPr="00813D19">
        <w:rPr>
          <w:bCs/>
          <w:lang w:val="en-US"/>
        </w:rPr>
        <w:t xml:space="preserve">The delegation thanked the Secretary </w:t>
      </w:r>
      <w:r w:rsidR="0087278C" w:rsidRPr="00813D19">
        <w:rPr>
          <w:bCs/>
          <w:lang w:val="en-US"/>
        </w:rPr>
        <w:t xml:space="preserve">for </w:t>
      </w:r>
      <w:r w:rsidR="001D2819" w:rsidRPr="00813D19">
        <w:rPr>
          <w:bCs/>
          <w:lang w:val="en-US"/>
        </w:rPr>
        <w:t xml:space="preserve">having attended its </w:t>
      </w:r>
      <w:r w:rsidR="0087278C" w:rsidRPr="00813D19">
        <w:rPr>
          <w:bCs/>
          <w:lang w:val="en-US"/>
        </w:rPr>
        <w:t xml:space="preserve">first international forum in </w:t>
      </w:r>
      <w:r w:rsidR="001D2819" w:rsidRPr="00813D19">
        <w:rPr>
          <w:bCs/>
          <w:lang w:val="en-US"/>
        </w:rPr>
        <w:t xml:space="preserve">2018, adding that it was </w:t>
      </w:r>
      <w:r w:rsidR="0087278C" w:rsidRPr="00813D19">
        <w:rPr>
          <w:bCs/>
          <w:lang w:val="en-US"/>
        </w:rPr>
        <w:t xml:space="preserve">an issue </w:t>
      </w:r>
      <w:r w:rsidR="001D2819" w:rsidRPr="00813D19">
        <w:rPr>
          <w:bCs/>
          <w:lang w:val="en-US"/>
        </w:rPr>
        <w:t xml:space="preserve">of great interest to Colombia and on </w:t>
      </w:r>
      <w:r w:rsidR="0087278C" w:rsidRPr="00813D19">
        <w:rPr>
          <w:bCs/>
          <w:lang w:val="en-US"/>
        </w:rPr>
        <w:t xml:space="preserve">which </w:t>
      </w:r>
      <w:r w:rsidR="001D2819" w:rsidRPr="00813D19">
        <w:rPr>
          <w:bCs/>
          <w:lang w:val="en-US"/>
        </w:rPr>
        <w:t xml:space="preserve">it had </w:t>
      </w:r>
      <w:r w:rsidR="0087278C" w:rsidRPr="00813D19">
        <w:rPr>
          <w:bCs/>
          <w:lang w:val="en-US"/>
        </w:rPr>
        <w:t xml:space="preserve">been working over the last two years. </w:t>
      </w:r>
      <w:r w:rsidR="001D2819" w:rsidRPr="00813D19">
        <w:rPr>
          <w:bCs/>
          <w:lang w:val="en-US"/>
        </w:rPr>
        <w:t xml:space="preserve">In this regard, it invited all the delegations to attend its </w:t>
      </w:r>
      <w:r w:rsidR="0087278C" w:rsidRPr="00813D19">
        <w:rPr>
          <w:bCs/>
          <w:lang w:val="en-US"/>
        </w:rPr>
        <w:t xml:space="preserve">side event </w:t>
      </w:r>
      <w:r w:rsidR="0070024C" w:rsidRPr="00813D19">
        <w:rPr>
          <w:bCs/>
          <w:lang w:val="en-US"/>
        </w:rPr>
        <w:t xml:space="preserve">during this session </w:t>
      </w:r>
      <w:r w:rsidR="0087278C" w:rsidRPr="00813D19">
        <w:rPr>
          <w:bCs/>
          <w:lang w:val="en-US"/>
        </w:rPr>
        <w:t xml:space="preserve">on </w:t>
      </w:r>
      <w:r w:rsidR="001D2819" w:rsidRPr="00813D19">
        <w:rPr>
          <w:bCs/>
          <w:lang w:val="en-US"/>
        </w:rPr>
        <w:t>Wednesday</w:t>
      </w:r>
      <w:r w:rsidR="0087278C" w:rsidRPr="00813D19">
        <w:rPr>
          <w:bCs/>
          <w:lang w:val="en-US"/>
        </w:rPr>
        <w:t xml:space="preserve">. </w:t>
      </w:r>
      <w:r w:rsidR="0070024C" w:rsidRPr="00813D19">
        <w:rPr>
          <w:bCs/>
          <w:lang w:val="en-US"/>
        </w:rPr>
        <w:t xml:space="preserve">It </w:t>
      </w:r>
      <w:r w:rsidR="001D2819" w:rsidRPr="00813D19">
        <w:rPr>
          <w:bCs/>
          <w:lang w:val="en-US"/>
        </w:rPr>
        <w:t>also wish</w:t>
      </w:r>
      <w:r w:rsidR="0070024C" w:rsidRPr="00813D19">
        <w:rPr>
          <w:bCs/>
          <w:lang w:val="en-US"/>
        </w:rPr>
        <w:t>ed</w:t>
      </w:r>
      <w:r w:rsidR="001D2819" w:rsidRPr="00813D19">
        <w:rPr>
          <w:bCs/>
          <w:lang w:val="en-US"/>
        </w:rPr>
        <w:t xml:space="preserve"> to </w:t>
      </w:r>
      <w:r w:rsidR="0087278C" w:rsidRPr="00813D19">
        <w:rPr>
          <w:bCs/>
          <w:lang w:val="en-US"/>
        </w:rPr>
        <w:t xml:space="preserve">share Colombia’s aspiration to </w:t>
      </w:r>
      <w:r w:rsidR="001D2819" w:rsidRPr="00813D19">
        <w:rPr>
          <w:bCs/>
          <w:lang w:val="en-US"/>
        </w:rPr>
        <w:t xml:space="preserve">be considered as </w:t>
      </w:r>
      <w:r w:rsidR="007D4EA8">
        <w:rPr>
          <w:bCs/>
          <w:lang w:val="en-US"/>
        </w:rPr>
        <w:t xml:space="preserve">the </w:t>
      </w:r>
      <w:r w:rsidR="0087278C" w:rsidRPr="00813D19">
        <w:rPr>
          <w:bCs/>
          <w:lang w:val="en-US"/>
        </w:rPr>
        <w:t xml:space="preserve">host of the fourteenth </w:t>
      </w:r>
      <w:r w:rsidR="001D2819" w:rsidRPr="00813D19">
        <w:rPr>
          <w:bCs/>
          <w:lang w:val="en-US"/>
        </w:rPr>
        <w:t xml:space="preserve">session of the </w:t>
      </w:r>
      <w:r w:rsidR="0087278C" w:rsidRPr="00813D19">
        <w:rPr>
          <w:bCs/>
          <w:lang w:val="en-US"/>
        </w:rPr>
        <w:t>Committee</w:t>
      </w:r>
      <w:r w:rsidR="001D2819" w:rsidRPr="00813D19">
        <w:rPr>
          <w:bCs/>
          <w:lang w:val="en-US"/>
        </w:rPr>
        <w:t>,</w:t>
      </w:r>
      <w:r w:rsidR="0087278C" w:rsidRPr="00813D19">
        <w:rPr>
          <w:bCs/>
          <w:lang w:val="en-US"/>
        </w:rPr>
        <w:t xml:space="preserve"> </w:t>
      </w:r>
      <w:r w:rsidR="001D2819" w:rsidRPr="00813D19">
        <w:rPr>
          <w:bCs/>
          <w:lang w:val="en-US"/>
        </w:rPr>
        <w:t xml:space="preserve">adding that it was </w:t>
      </w:r>
      <w:r w:rsidR="0087278C" w:rsidRPr="00813D19">
        <w:rPr>
          <w:bCs/>
          <w:lang w:val="en-US"/>
        </w:rPr>
        <w:t xml:space="preserve">very grateful for the initial support received </w:t>
      </w:r>
      <w:r w:rsidR="001D2819" w:rsidRPr="00813D19">
        <w:rPr>
          <w:bCs/>
          <w:lang w:val="en-US"/>
        </w:rPr>
        <w:t xml:space="preserve">by </w:t>
      </w:r>
      <w:r w:rsidR="00B67A60">
        <w:rPr>
          <w:bCs/>
          <w:lang w:val="en-US"/>
        </w:rPr>
        <w:t>many.</w:t>
      </w:r>
    </w:p>
    <w:p w14:paraId="548619A5" w14:textId="456F17BD" w:rsidR="000D1DE0" w:rsidRPr="00813D19" w:rsidRDefault="000D1DE0"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Japan</w:t>
      </w:r>
      <w:r w:rsidR="0087278C" w:rsidRPr="00813D19">
        <w:rPr>
          <w:b/>
          <w:color w:val="000000" w:themeColor="text1"/>
          <w:lang w:val="en-US"/>
        </w:rPr>
        <w:t xml:space="preserve"> </w:t>
      </w:r>
      <w:r w:rsidR="0087278C" w:rsidRPr="00813D19">
        <w:rPr>
          <w:bCs/>
          <w:lang w:val="en-US"/>
        </w:rPr>
        <w:t>express</w:t>
      </w:r>
      <w:r w:rsidR="00AD4E8E" w:rsidRPr="00813D19">
        <w:rPr>
          <w:bCs/>
          <w:lang w:val="en-US"/>
        </w:rPr>
        <w:t>ed</w:t>
      </w:r>
      <w:r w:rsidR="0087278C" w:rsidRPr="00813D19">
        <w:rPr>
          <w:bCs/>
          <w:lang w:val="en-US"/>
        </w:rPr>
        <w:t xml:space="preserve"> </w:t>
      </w:r>
      <w:r w:rsidR="007D4EA8">
        <w:rPr>
          <w:bCs/>
          <w:lang w:val="en-US"/>
        </w:rPr>
        <w:t xml:space="preserve">its </w:t>
      </w:r>
      <w:r w:rsidR="0087278C" w:rsidRPr="00813D19">
        <w:rPr>
          <w:bCs/>
          <w:lang w:val="en-US"/>
        </w:rPr>
        <w:t>thanks</w:t>
      </w:r>
      <w:r w:rsidR="00AD4E8E" w:rsidRPr="00813D19">
        <w:rPr>
          <w:bCs/>
          <w:lang w:val="en-US"/>
        </w:rPr>
        <w:t xml:space="preserve"> and appreciation to Mauritius </w:t>
      </w:r>
      <w:r w:rsidR="0087278C" w:rsidRPr="00813D19">
        <w:rPr>
          <w:bCs/>
          <w:lang w:val="en-US"/>
        </w:rPr>
        <w:t xml:space="preserve">for </w:t>
      </w:r>
      <w:r w:rsidR="00AD4E8E" w:rsidRPr="00813D19">
        <w:rPr>
          <w:bCs/>
          <w:lang w:val="en-US"/>
        </w:rPr>
        <w:t xml:space="preserve">its </w:t>
      </w:r>
      <w:r w:rsidR="0087278C" w:rsidRPr="00813D19">
        <w:rPr>
          <w:bCs/>
          <w:lang w:val="en-US"/>
        </w:rPr>
        <w:t xml:space="preserve">great hospitality and </w:t>
      </w:r>
      <w:r w:rsidR="001D2819" w:rsidRPr="00813D19">
        <w:rPr>
          <w:bCs/>
          <w:lang w:val="en-US"/>
        </w:rPr>
        <w:t xml:space="preserve">the </w:t>
      </w:r>
      <w:r w:rsidR="0087278C" w:rsidRPr="00813D19">
        <w:rPr>
          <w:bCs/>
          <w:lang w:val="en-US"/>
        </w:rPr>
        <w:t>arrangement</w:t>
      </w:r>
      <w:r w:rsidR="001D2819" w:rsidRPr="00813D19">
        <w:rPr>
          <w:bCs/>
          <w:lang w:val="en-US"/>
        </w:rPr>
        <w:t>s</w:t>
      </w:r>
      <w:r w:rsidR="0087278C" w:rsidRPr="00813D19">
        <w:rPr>
          <w:bCs/>
          <w:lang w:val="en-US"/>
        </w:rPr>
        <w:t xml:space="preserve"> </w:t>
      </w:r>
      <w:r w:rsidR="001D2819" w:rsidRPr="00813D19">
        <w:rPr>
          <w:bCs/>
          <w:lang w:val="en-US"/>
        </w:rPr>
        <w:t>made for the session</w:t>
      </w:r>
      <w:r w:rsidR="0087278C" w:rsidRPr="00813D19">
        <w:rPr>
          <w:bCs/>
          <w:lang w:val="en-US"/>
        </w:rPr>
        <w:t xml:space="preserve">. </w:t>
      </w:r>
      <w:r w:rsidR="001D2819" w:rsidRPr="00813D19">
        <w:rPr>
          <w:bCs/>
          <w:lang w:val="en-US"/>
        </w:rPr>
        <w:t xml:space="preserve">With regard to the Secretariat’s </w:t>
      </w:r>
      <w:r w:rsidR="0087278C" w:rsidRPr="00813D19">
        <w:rPr>
          <w:bCs/>
          <w:lang w:val="en-US"/>
        </w:rPr>
        <w:t xml:space="preserve">report on the implementation of </w:t>
      </w:r>
      <w:r w:rsidR="001D2819" w:rsidRPr="00813D19">
        <w:rPr>
          <w:bCs/>
          <w:lang w:val="en-US"/>
        </w:rPr>
        <w:t>intangible cultural heritage, Japan expressed</w:t>
      </w:r>
      <w:r w:rsidR="0087278C" w:rsidRPr="00813D19">
        <w:rPr>
          <w:bCs/>
          <w:lang w:val="en-US"/>
        </w:rPr>
        <w:t xml:space="preserve"> </w:t>
      </w:r>
      <w:r w:rsidR="00C666D3" w:rsidRPr="00813D19">
        <w:rPr>
          <w:bCs/>
          <w:lang w:val="en-US"/>
        </w:rPr>
        <w:t>appreciation for its efforts—</w:t>
      </w:r>
      <w:r w:rsidR="0087278C" w:rsidRPr="00813D19">
        <w:rPr>
          <w:bCs/>
          <w:lang w:val="en-US"/>
        </w:rPr>
        <w:t xml:space="preserve">despite </w:t>
      </w:r>
      <w:r w:rsidR="001D2819" w:rsidRPr="00813D19">
        <w:rPr>
          <w:bCs/>
          <w:lang w:val="en-US"/>
        </w:rPr>
        <w:t>the limited</w:t>
      </w:r>
      <w:r w:rsidR="0087278C" w:rsidRPr="00813D19">
        <w:rPr>
          <w:bCs/>
          <w:lang w:val="en-US"/>
        </w:rPr>
        <w:t xml:space="preserve"> human resources and budget</w:t>
      </w:r>
      <w:r w:rsidR="00C666D3" w:rsidRPr="00813D19">
        <w:rPr>
          <w:bCs/>
          <w:lang w:val="en-US"/>
        </w:rPr>
        <w:t>—</w:t>
      </w:r>
      <w:r w:rsidR="0087278C" w:rsidRPr="00813D19">
        <w:rPr>
          <w:bCs/>
          <w:lang w:val="en-US"/>
        </w:rPr>
        <w:t xml:space="preserve">in </w:t>
      </w:r>
      <w:r w:rsidR="0070024C" w:rsidRPr="00813D19">
        <w:rPr>
          <w:bCs/>
          <w:lang w:val="en-US"/>
        </w:rPr>
        <w:t xml:space="preserve">the </w:t>
      </w:r>
      <w:r w:rsidR="0087278C" w:rsidRPr="00813D19">
        <w:rPr>
          <w:bCs/>
          <w:lang w:val="en-US"/>
        </w:rPr>
        <w:t xml:space="preserve">activities </w:t>
      </w:r>
      <w:r w:rsidR="0070024C" w:rsidRPr="00813D19">
        <w:rPr>
          <w:bCs/>
          <w:lang w:val="en-US"/>
        </w:rPr>
        <w:t xml:space="preserve">implemented </w:t>
      </w:r>
      <w:r w:rsidR="00C666D3" w:rsidRPr="00813D19">
        <w:rPr>
          <w:bCs/>
          <w:lang w:val="en-US"/>
        </w:rPr>
        <w:t>to enhance</w:t>
      </w:r>
      <w:r w:rsidR="0087278C" w:rsidRPr="00813D19">
        <w:rPr>
          <w:bCs/>
          <w:lang w:val="en-US"/>
        </w:rPr>
        <w:t xml:space="preserve"> the awareness and visibility of </w:t>
      </w:r>
      <w:r w:rsidR="00C666D3" w:rsidRPr="00813D19">
        <w:rPr>
          <w:bCs/>
          <w:lang w:val="en-US"/>
        </w:rPr>
        <w:t xml:space="preserve">intangible cultural heritage, </w:t>
      </w:r>
      <w:r w:rsidR="0087278C" w:rsidRPr="00813D19">
        <w:rPr>
          <w:bCs/>
          <w:lang w:val="en-US"/>
        </w:rPr>
        <w:t>to promote the protection and preservation of intangible cultural heritage in emergencies</w:t>
      </w:r>
      <w:r w:rsidR="00C666D3" w:rsidRPr="00813D19">
        <w:rPr>
          <w:bCs/>
          <w:lang w:val="en-US"/>
        </w:rPr>
        <w:t>,</w:t>
      </w:r>
      <w:r w:rsidR="0087278C" w:rsidRPr="00813D19">
        <w:rPr>
          <w:bCs/>
          <w:lang w:val="en-US"/>
        </w:rPr>
        <w:t xml:space="preserve"> and to make </w:t>
      </w:r>
      <w:r w:rsidR="00581D8A" w:rsidRPr="00813D19">
        <w:rPr>
          <w:bCs/>
          <w:lang w:val="en-US"/>
        </w:rPr>
        <w:t xml:space="preserve">the </w:t>
      </w:r>
      <w:r w:rsidR="0087278C" w:rsidRPr="00813D19">
        <w:rPr>
          <w:bCs/>
          <w:lang w:val="en-US"/>
        </w:rPr>
        <w:t>International Assistance</w:t>
      </w:r>
      <w:r w:rsidR="00581D8A" w:rsidRPr="00813D19">
        <w:rPr>
          <w:bCs/>
          <w:lang w:val="en-US"/>
        </w:rPr>
        <w:t xml:space="preserve"> mechanism more effective and efficient</w:t>
      </w:r>
      <w:r w:rsidR="0087278C" w:rsidRPr="00813D19">
        <w:rPr>
          <w:bCs/>
          <w:lang w:val="en-US"/>
        </w:rPr>
        <w:t xml:space="preserve">. </w:t>
      </w:r>
      <w:r w:rsidR="00581D8A" w:rsidRPr="00813D19">
        <w:rPr>
          <w:bCs/>
          <w:lang w:val="en-US"/>
        </w:rPr>
        <w:t xml:space="preserve">In </w:t>
      </w:r>
      <w:r w:rsidR="0087278C" w:rsidRPr="00813D19">
        <w:rPr>
          <w:bCs/>
          <w:lang w:val="en-US"/>
        </w:rPr>
        <w:t>appreciation of those efforts</w:t>
      </w:r>
      <w:r w:rsidR="00581D8A" w:rsidRPr="00813D19">
        <w:rPr>
          <w:bCs/>
          <w:lang w:val="en-US"/>
        </w:rPr>
        <w:t>, Japan reiterated</w:t>
      </w:r>
      <w:r w:rsidR="0087278C" w:rsidRPr="00813D19">
        <w:rPr>
          <w:bCs/>
          <w:lang w:val="en-US"/>
        </w:rPr>
        <w:t xml:space="preserve"> its commitment to assist</w:t>
      </w:r>
      <w:r w:rsidR="007D4EA8">
        <w:rPr>
          <w:bCs/>
          <w:lang w:val="en-US"/>
        </w:rPr>
        <w:t>ing</w:t>
      </w:r>
      <w:r w:rsidR="0087278C" w:rsidRPr="00813D19">
        <w:rPr>
          <w:bCs/>
          <w:lang w:val="en-US"/>
        </w:rPr>
        <w:t xml:space="preserve"> activities through </w:t>
      </w:r>
      <w:r w:rsidR="00581D8A" w:rsidRPr="00813D19">
        <w:rPr>
          <w:bCs/>
          <w:lang w:val="en-US"/>
        </w:rPr>
        <w:t xml:space="preserve">its </w:t>
      </w:r>
      <w:r w:rsidR="00B67A60">
        <w:rPr>
          <w:bCs/>
          <w:lang w:val="en-US"/>
        </w:rPr>
        <w:t>budgetary contribution.</w:t>
      </w:r>
    </w:p>
    <w:p w14:paraId="68AFDA1D" w14:textId="5307ABFC" w:rsidR="0058363E" w:rsidRPr="00813D19" w:rsidRDefault="0058363E"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Netherlands</w:t>
      </w:r>
      <w:r w:rsidR="0087278C" w:rsidRPr="00813D19">
        <w:rPr>
          <w:b/>
          <w:color w:val="000000" w:themeColor="text1"/>
          <w:lang w:val="en-US"/>
        </w:rPr>
        <w:t xml:space="preserve"> </w:t>
      </w:r>
      <w:r w:rsidR="0087278C" w:rsidRPr="00813D19">
        <w:rPr>
          <w:bCs/>
          <w:lang w:val="en-US"/>
        </w:rPr>
        <w:t>thank</w:t>
      </w:r>
      <w:r w:rsidR="00581D8A" w:rsidRPr="00813D19">
        <w:rPr>
          <w:bCs/>
          <w:lang w:val="en-US"/>
        </w:rPr>
        <w:t>ed</w:t>
      </w:r>
      <w:r w:rsidR="0087278C" w:rsidRPr="00813D19">
        <w:rPr>
          <w:bCs/>
          <w:lang w:val="en-US"/>
        </w:rPr>
        <w:t xml:space="preserve"> the Republic of Mauritius for its generous hosting of this Committee </w:t>
      </w:r>
      <w:r w:rsidR="00A07B7F" w:rsidRPr="00813D19">
        <w:rPr>
          <w:bCs/>
          <w:lang w:val="en-US"/>
        </w:rPr>
        <w:t xml:space="preserve">session </w:t>
      </w:r>
      <w:r w:rsidR="0087278C" w:rsidRPr="00813D19">
        <w:rPr>
          <w:bCs/>
          <w:lang w:val="en-US"/>
        </w:rPr>
        <w:t xml:space="preserve">and </w:t>
      </w:r>
      <w:r w:rsidR="00933FEC" w:rsidRPr="00813D19">
        <w:rPr>
          <w:bCs/>
          <w:lang w:val="en-US"/>
        </w:rPr>
        <w:t xml:space="preserve">for </w:t>
      </w:r>
      <w:r w:rsidR="0087278C" w:rsidRPr="00813D19">
        <w:rPr>
          <w:bCs/>
          <w:lang w:val="en-US"/>
        </w:rPr>
        <w:t xml:space="preserve">the impressive opening ceremony. </w:t>
      </w:r>
      <w:r w:rsidR="00933FEC" w:rsidRPr="00813D19">
        <w:rPr>
          <w:bCs/>
          <w:lang w:val="en-US"/>
        </w:rPr>
        <w:t xml:space="preserve">It remarked on the shared history between </w:t>
      </w:r>
      <w:r w:rsidR="0087278C" w:rsidRPr="00813D19">
        <w:rPr>
          <w:bCs/>
          <w:lang w:val="en-US"/>
        </w:rPr>
        <w:t>the Netherlands and Mauritius</w:t>
      </w:r>
      <w:r w:rsidR="00714951">
        <w:rPr>
          <w:bCs/>
          <w:lang w:val="en-US"/>
        </w:rPr>
        <w:t>;</w:t>
      </w:r>
      <w:r w:rsidR="0087278C" w:rsidRPr="00813D19">
        <w:rPr>
          <w:bCs/>
          <w:lang w:val="en-US"/>
        </w:rPr>
        <w:t xml:space="preserve"> </w:t>
      </w:r>
      <w:r w:rsidR="00933FEC" w:rsidRPr="00813D19">
        <w:rPr>
          <w:bCs/>
          <w:lang w:val="en-US"/>
        </w:rPr>
        <w:t xml:space="preserve">when </w:t>
      </w:r>
      <w:r w:rsidR="0087278C" w:rsidRPr="00813D19">
        <w:rPr>
          <w:bCs/>
          <w:lang w:val="en-US"/>
        </w:rPr>
        <w:t xml:space="preserve">the Dutch East India Company landed on </w:t>
      </w:r>
      <w:r w:rsidR="00933FEC" w:rsidRPr="00813D19">
        <w:rPr>
          <w:bCs/>
          <w:lang w:val="en-US"/>
        </w:rPr>
        <w:t xml:space="preserve">the </w:t>
      </w:r>
      <w:r w:rsidR="0087278C" w:rsidRPr="00813D19">
        <w:rPr>
          <w:bCs/>
          <w:lang w:val="en-US"/>
        </w:rPr>
        <w:t>island</w:t>
      </w:r>
      <w:r w:rsidR="00714951">
        <w:rPr>
          <w:bCs/>
          <w:lang w:val="en-US"/>
        </w:rPr>
        <w:t>,</w:t>
      </w:r>
      <w:r w:rsidR="0087278C" w:rsidRPr="00813D19">
        <w:rPr>
          <w:bCs/>
          <w:lang w:val="en-US"/>
        </w:rPr>
        <w:t xml:space="preserve"> they </w:t>
      </w:r>
      <w:r w:rsidR="00711172">
        <w:rPr>
          <w:bCs/>
          <w:lang w:val="en-US"/>
        </w:rPr>
        <w:t>named</w:t>
      </w:r>
      <w:r w:rsidR="00711172" w:rsidRPr="00813D19">
        <w:rPr>
          <w:bCs/>
          <w:lang w:val="en-US"/>
        </w:rPr>
        <w:t xml:space="preserve"> </w:t>
      </w:r>
      <w:r w:rsidR="0087278C" w:rsidRPr="00813D19">
        <w:rPr>
          <w:bCs/>
          <w:lang w:val="en-US"/>
        </w:rPr>
        <w:t xml:space="preserve">Mauritius after Prince Maurits </w:t>
      </w:r>
      <w:r w:rsidR="00933FEC" w:rsidRPr="00813D19">
        <w:rPr>
          <w:bCs/>
          <w:lang w:val="en-US"/>
        </w:rPr>
        <w:t xml:space="preserve">of </w:t>
      </w:r>
      <w:r w:rsidR="0087278C" w:rsidRPr="00813D19">
        <w:rPr>
          <w:bCs/>
          <w:lang w:val="en-US"/>
        </w:rPr>
        <w:t>the House of Nassau</w:t>
      </w:r>
      <w:r w:rsidR="00933FEC" w:rsidRPr="00813D19">
        <w:rPr>
          <w:bCs/>
          <w:lang w:val="en-US"/>
        </w:rPr>
        <w:t>.</w:t>
      </w:r>
      <w:r w:rsidR="0087278C" w:rsidRPr="00813D19">
        <w:rPr>
          <w:bCs/>
          <w:lang w:val="en-US"/>
        </w:rPr>
        <w:t xml:space="preserve"> </w:t>
      </w:r>
      <w:r w:rsidR="00933FEC" w:rsidRPr="00813D19">
        <w:rPr>
          <w:bCs/>
          <w:lang w:val="en-US"/>
        </w:rPr>
        <w:t>N</w:t>
      </w:r>
      <w:r w:rsidR="0087278C" w:rsidRPr="00813D19">
        <w:rPr>
          <w:bCs/>
          <w:lang w:val="en-US"/>
        </w:rPr>
        <w:t xml:space="preserve">ames of places and regions in Mauritius </w:t>
      </w:r>
      <w:r w:rsidR="00933FEC" w:rsidRPr="00813D19">
        <w:rPr>
          <w:bCs/>
          <w:lang w:val="en-US"/>
        </w:rPr>
        <w:t>still recall</w:t>
      </w:r>
      <w:r w:rsidR="0039361F" w:rsidRPr="00813D19">
        <w:rPr>
          <w:bCs/>
          <w:lang w:val="en-US"/>
        </w:rPr>
        <w:t>ed</w:t>
      </w:r>
      <w:r w:rsidR="00933FEC" w:rsidRPr="00813D19">
        <w:rPr>
          <w:bCs/>
          <w:lang w:val="en-US"/>
        </w:rPr>
        <w:t xml:space="preserve"> the presence of the </w:t>
      </w:r>
      <w:r w:rsidR="0087278C" w:rsidRPr="00813D19">
        <w:rPr>
          <w:bCs/>
          <w:lang w:val="en-US"/>
        </w:rPr>
        <w:t xml:space="preserve">Dutch, </w:t>
      </w:r>
      <w:r w:rsidR="00933FEC" w:rsidRPr="00813D19">
        <w:rPr>
          <w:bCs/>
          <w:lang w:val="en-US"/>
        </w:rPr>
        <w:lastRenderedPageBreak/>
        <w:t xml:space="preserve">even though colonial history </w:t>
      </w:r>
      <w:r w:rsidR="0039361F" w:rsidRPr="00813D19">
        <w:rPr>
          <w:bCs/>
          <w:lang w:val="en-US"/>
        </w:rPr>
        <w:t>had</w:t>
      </w:r>
      <w:r w:rsidR="00933FEC" w:rsidRPr="00813D19">
        <w:rPr>
          <w:bCs/>
          <w:lang w:val="en-US"/>
        </w:rPr>
        <w:t xml:space="preserve"> its dark sides, </w:t>
      </w:r>
      <w:r w:rsidR="0087278C" w:rsidRPr="00813D19">
        <w:rPr>
          <w:bCs/>
          <w:lang w:val="en-US"/>
        </w:rPr>
        <w:t xml:space="preserve">for instance </w:t>
      </w:r>
      <w:r w:rsidR="00933FEC" w:rsidRPr="00813D19">
        <w:rPr>
          <w:bCs/>
          <w:lang w:val="en-US"/>
        </w:rPr>
        <w:t xml:space="preserve">in the case </w:t>
      </w:r>
      <w:r w:rsidR="0087278C" w:rsidRPr="00813D19">
        <w:rPr>
          <w:bCs/>
          <w:lang w:val="en-US"/>
        </w:rPr>
        <w:t xml:space="preserve">of slavery. The Dutch </w:t>
      </w:r>
      <w:r w:rsidR="00711172">
        <w:rPr>
          <w:bCs/>
          <w:lang w:val="en-US"/>
        </w:rPr>
        <w:t xml:space="preserve">had </w:t>
      </w:r>
      <w:r w:rsidR="0087278C" w:rsidRPr="00813D19">
        <w:rPr>
          <w:bCs/>
          <w:lang w:val="en-US"/>
        </w:rPr>
        <w:t xml:space="preserve">also played a role in the extinction of the dodo </w:t>
      </w:r>
      <w:r w:rsidR="003F2F8F" w:rsidRPr="00813D19">
        <w:rPr>
          <w:bCs/>
          <w:lang w:val="en-US"/>
        </w:rPr>
        <w:t>that had</w:t>
      </w:r>
      <w:r w:rsidR="0087278C" w:rsidRPr="00813D19">
        <w:rPr>
          <w:bCs/>
          <w:lang w:val="en-US"/>
        </w:rPr>
        <w:t xml:space="preserve"> become an important symbol of </w:t>
      </w:r>
      <w:r w:rsidR="00933FEC" w:rsidRPr="00813D19">
        <w:rPr>
          <w:bCs/>
          <w:lang w:val="en-US"/>
        </w:rPr>
        <w:t xml:space="preserve">animal </w:t>
      </w:r>
      <w:r w:rsidR="0087278C" w:rsidRPr="00813D19">
        <w:rPr>
          <w:bCs/>
          <w:lang w:val="en-US"/>
        </w:rPr>
        <w:t xml:space="preserve">extinction </w:t>
      </w:r>
      <w:r w:rsidR="00933FEC" w:rsidRPr="00813D19">
        <w:rPr>
          <w:bCs/>
          <w:lang w:val="en-US"/>
        </w:rPr>
        <w:t xml:space="preserve">the </w:t>
      </w:r>
      <w:r w:rsidR="0087278C" w:rsidRPr="00813D19">
        <w:rPr>
          <w:bCs/>
          <w:lang w:val="en-US"/>
        </w:rPr>
        <w:t>world</w:t>
      </w:r>
      <w:r w:rsidR="00933FEC" w:rsidRPr="00813D19">
        <w:rPr>
          <w:bCs/>
          <w:lang w:val="en-US"/>
        </w:rPr>
        <w:t xml:space="preserve"> over</w:t>
      </w:r>
      <w:r w:rsidR="0087278C" w:rsidRPr="00813D19">
        <w:rPr>
          <w:bCs/>
          <w:lang w:val="en-US"/>
        </w:rPr>
        <w:t xml:space="preserve">. </w:t>
      </w:r>
      <w:r w:rsidR="003F2F8F" w:rsidRPr="00813D19">
        <w:rPr>
          <w:bCs/>
          <w:lang w:val="en-US"/>
        </w:rPr>
        <w:t xml:space="preserve">The delegation </w:t>
      </w:r>
      <w:r w:rsidR="0087278C" w:rsidRPr="00813D19">
        <w:rPr>
          <w:bCs/>
          <w:lang w:val="en-US"/>
        </w:rPr>
        <w:t>congratulate</w:t>
      </w:r>
      <w:r w:rsidR="003F2F8F" w:rsidRPr="00813D19">
        <w:rPr>
          <w:bCs/>
          <w:lang w:val="en-US"/>
        </w:rPr>
        <w:t>d</w:t>
      </w:r>
      <w:r w:rsidR="0087278C" w:rsidRPr="00813D19">
        <w:rPr>
          <w:bCs/>
          <w:lang w:val="en-US"/>
        </w:rPr>
        <w:t xml:space="preserve"> the Secretariat and its staff for </w:t>
      </w:r>
      <w:r w:rsidR="003F2F8F" w:rsidRPr="00813D19">
        <w:rPr>
          <w:bCs/>
          <w:lang w:val="en-US"/>
        </w:rPr>
        <w:t xml:space="preserve">the excellent reports, adding that it </w:t>
      </w:r>
      <w:r w:rsidR="0087278C" w:rsidRPr="00813D19">
        <w:rPr>
          <w:bCs/>
          <w:lang w:val="en-US"/>
        </w:rPr>
        <w:t>appreciate</w:t>
      </w:r>
      <w:r w:rsidR="003F2F8F" w:rsidRPr="00813D19">
        <w:rPr>
          <w:bCs/>
          <w:lang w:val="en-US"/>
        </w:rPr>
        <w:t>d</w:t>
      </w:r>
      <w:r w:rsidR="0087278C" w:rsidRPr="00813D19">
        <w:rPr>
          <w:bCs/>
          <w:lang w:val="en-US"/>
        </w:rPr>
        <w:t xml:space="preserve"> all </w:t>
      </w:r>
      <w:r w:rsidR="003F2F8F" w:rsidRPr="00813D19">
        <w:rPr>
          <w:bCs/>
          <w:lang w:val="en-US"/>
        </w:rPr>
        <w:t xml:space="preserve">its </w:t>
      </w:r>
      <w:r w:rsidR="0087278C" w:rsidRPr="00813D19">
        <w:rPr>
          <w:bCs/>
          <w:lang w:val="en-US"/>
        </w:rPr>
        <w:t>achievements and commitment</w:t>
      </w:r>
      <w:r w:rsidR="00A07B7F" w:rsidRPr="00813D19">
        <w:rPr>
          <w:bCs/>
          <w:lang w:val="en-US"/>
        </w:rPr>
        <w:t>,</w:t>
      </w:r>
      <w:r w:rsidR="0087278C" w:rsidRPr="00813D19">
        <w:rPr>
          <w:bCs/>
          <w:lang w:val="en-US"/>
        </w:rPr>
        <w:t xml:space="preserve"> </w:t>
      </w:r>
      <w:r w:rsidR="003F2F8F" w:rsidRPr="00813D19">
        <w:rPr>
          <w:bCs/>
          <w:lang w:val="en-US"/>
        </w:rPr>
        <w:t xml:space="preserve">given the high </w:t>
      </w:r>
      <w:r w:rsidR="0087278C" w:rsidRPr="00813D19">
        <w:rPr>
          <w:bCs/>
          <w:lang w:val="en-US"/>
        </w:rPr>
        <w:t xml:space="preserve">workload and limited resources. </w:t>
      </w:r>
      <w:r w:rsidR="003F2F8F" w:rsidRPr="00813D19">
        <w:rPr>
          <w:bCs/>
          <w:lang w:val="en-US"/>
        </w:rPr>
        <w:t xml:space="preserve">It </w:t>
      </w:r>
      <w:r w:rsidR="0039361F" w:rsidRPr="00813D19">
        <w:rPr>
          <w:bCs/>
          <w:lang w:val="en-US"/>
        </w:rPr>
        <w:t>remarked on how the Convention had evolved</w:t>
      </w:r>
      <w:r w:rsidR="003F2F8F" w:rsidRPr="00813D19">
        <w:rPr>
          <w:bCs/>
          <w:lang w:val="en-US"/>
        </w:rPr>
        <w:t xml:space="preserve"> </w:t>
      </w:r>
      <w:r w:rsidR="0087278C" w:rsidRPr="00813D19">
        <w:rPr>
          <w:bCs/>
          <w:lang w:val="en-US"/>
        </w:rPr>
        <w:t>since its adoption in 2003</w:t>
      </w:r>
      <w:r w:rsidR="003F2F8F" w:rsidRPr="00813D19">
        <w:rPr>
          <w:bCs/>
          <w:lang w:val="en-US"/>
        </w:rPr>
        <w:t>, which was reflected</w:t>
      </w:r>
      <w:r w:rsidR="0087278C" w:rsidRPr="00813D19">
        <w:rPr>
          <w:bCs/>
          <w:lang w:val="en-US"/>
        </w:rPr>
        <w:t xml:space="preserve"> </w:t>
      </w:r>
      <w:r w:rsidR="003F2F8F" w:rsidRPr="00813D19">
        <w:rPr>
          <w:bCs/>
          <w:lang w:val="en-US"/>
        </w:rPr>
        <w:t xml:space="preserve">in </w:t>
      </w:r>
      <w:r w:rsidR="0087278C" w:rsidRPr="00813D19">
        <w:rPr>
          <w:bCs/>
          <w:lang w:val="en-US"/>
        </w:rPr>
        <w:t xml:space="preserve">the results and </w:t>
      </w:r>
      <w:r w:rsidR="003F2F8F" w:rsidRPr="00813D19">
        <w:rPr>
          <w:bCs/>
          <w:lang w:val="en-US"/>
        </w:rPr>
        <w:t xml:space="preserve">necessary </w:t>
      </w:r>
      <w:r w:rsidR="0087278C" w:rsidRPr="00813D19">
        <w:rPr>
          <w:bCs/>
          <w:lang w:val="en-US"/>
        </w:rPr>
        <w:t xml:space="preserve">new developments. </w:t>
      </w:r>
      <w:r w:rsidR="003F2F8F" w:rsidRPr="00813D19">
        <w:rPr>
          <w:bCs/>
          <w:lang w:val="en-US"/>
        </w:rPr>
        <w:t xml:space="preserve">Consequently, </w:t>
      </w:r>
      <w:r w:rsidR="0087278C" w:rsidRPr="00813D19">
        <w:rPr>
          <w:bCs/>
          <w:lang w:val="en-US"/>
        </w:rPr>
        <w:t xml:space="preserve">there </w:t>
      </w:r>
      <w:r w:rsidR="003F2F8F" w:rsidRPr="00813D19">
        <w:rPr>
          <w:bCs/>
          <w:lang w:val="en-US"/>
        </w:rPr>
        <w:t xml:space="preserve">were </w:t>
      </w:r>
      <w:r w:rsidR="0087278C" w:rsidRPr="00813D19">
        <w:rPr>
          <w:bCs/>
          <w:lang w:val="en-US"/>
        </w:rPr>
        <w:t xml:space="preserve">major topics and challenges </w:t>
      </w:r>
      <w:r w:rsidR="003F2F8F" w:rsidRPr="00813D19">
        <w:rPr>
          <w:bCs/>
          <w:lang w:val="en-US"/>
        </w:rPr>
        <w:t xml:space="preserve">that required further work, for example on </w:t>
      </w:r>
      <w:r w:rsidR="0087278C" w:rsidRPr="00813D19">
        <w:rPr>
          <w:bCs/>
          <w:lang w:val="en-US"/>
        </w:rPr>
        <w:t xml:space="preserve">issues </w:t>
      </w:r>
      <w:r w:rsidR="003F2F8F" w:rsidRPr="00813D19">
        <w:rPr>
          <w:bCs/>
          <w:lang w:val="en-US"/>
        </w:rPr>
        <w:t xml:space="preserve">such as </w:t>
      </w:r>
      <w:r w:rsidR="0087278C" w:rsidRPr="00813D19">
        <w:rPr>
          <w:bCs/>
          <w:lang w:val="en-US"/>
        </w:rPr>
        <w:t xml:space="preserve">urban development in relation to sustainable development and education. </w:t>
      </w:r>
      <w:r w:rsidR="003F2F8F" w:rsidRPr="00813D19">
        <w:rPr>
          <w:bCs/>
          <w:lang w:val="en-US"/>
        </w:rPr>
        <w:t>The delegation thus welcomed</w:t>
      </w:r>
      <w:r w:rsidR="0087278C" w:rsidRPr="00813D19">
        <w:rPr>
          <w:bCs/>
          <w:lang w:val="en-US"/>
        </w:rPr>
        <w:t xml:space="preserve"> the focus on formal and non-formal education</w:t>
      </w:r>
      <w:r w:rsidR="003F2F8F" w:rsidRPr="00813D19">
        <w:rPr>
          <w:bCs/>
          <w:lang w:val="en-US"/>
        </w:rPr>
        <w:t xml:space="preserve">, as well as the </w:t>
      </w:r>
      <w:r w:rsidR="0087278C" w:rsidRPr="00813D19">
        <w:rPr>
          <w:bCs/>
          <w:lang w:val="en-US"/>
        </w:rPr>
        <w:t>new budget line</w:t>
      </w:r>
      <w:r w:rsidR="003F2F8F" w:rsidRPr="00813D19">
        <w:rPr>
          <w:bCs/>
          <w:lang w:val="en-US"/>
        </w:rPr>
        <w:t>,</w:t>
      </w:r>
      <w:r w:rsidR="0087278C" w:rsidRPr="00813D19">
        <w:rPr>
          <w:bCs/>
          <w:lang w:val="en-US"/>
        </w:rPr>
        <w:t xml:space="preserve"> and </w:t>
      </w:r>
      <w:r w:rsidR="003F2F8F" w:rsidRPr="00813D19">
        <w:rPr>
          <w:bCs/>
          <w:lang w:val="en-US"/>
        </w:rPr>
        <w:t xml:space="preserve">the </w:t>
      </w:r>
      <w:r w:rsidR="0087278C" w:rsidRPr="00813D19">
        <w:rPr>
          <w:bCs/>
          <w:lang w:val="en-US"/>
        </w:rPr>
        <w:t xml:space="preserve">focus on </w:t>
      </w:r>
      <w:r w:rsidR="003F2F8F" w:rsidRPr="00813D19">
        <w:rPr>
          <w:bCs/>
          <w:lang w:val="en-US"/>
        </w:rPr>
        <w:t xml:space="preserve">intangible cultural heritage </w:t>
      </w:r>
      <w:r w:rsidR="0087278C" w:rsidRPr="00813D19">
        <w:rPr>
          <w:bCs/>
          <w:lang w:val="en-US"/>
        </w:rPr>
        <w:t xml:space="preserve">in urban contexts and </w:t>
      </w:r>
      <w:r w:rsidR="003F2F8F" w:rsidRPr="00813D19">
        <w:rPr>
          <w:bCs/>
          <w:lang w:val="en-US"/>
        </w:rPr>
        <w:t xml:space="preserve">intangible cultural heritage </w:t>
      </w:r>
      <w:r w:rsidR="0087278C" w:rsidRPr="00813D19">
        <w:rPr>
          <w:bCs/>
          <w:lang w:val="en-US"/>
        </w:rPr>
        <w:t xml:space="preserve">in emergencies. </w:t>
      </w:r>
      <w:r w:rsidR="003F2F8F" w:rsidRPr="00813D19">
        <w:rPr>
          <w:bCs/>
          <w:lang w:val="en-US"/>
        </w:rPr>
        <w:t>T</w:t>
      </w:r>
      <w:r w:rsidR="0087278C" w:rsidRPr="00813D19">
        <w:rPr>
          <w:bCs/>
          <w:lang w:val="en-US"/>
        </w:rPr>
        <w:t>hese issues need</w:t>
      </w:r>
      <w:r w:rsidR="00711172">
        <w:rPr>
          <w:bCs/>
          <w:lang w:val="en-US"/>
        </w:rPr>
        <w:t>ed</w:t>
      </w:r>
      <w:r w:rsidR="0087278C" w:rsidRPr="00813D19">
        <w:rPr>
          <w:bCs/>
          <w:lang w:val="en-US"/>
        </w:rPr>
        <w:t xml:space="preserve"> to be </w:t>
      </w:r>
      <w:r w:rsidR="0039361F" w:rsidRPr="00813D19">
        <w:rPr>
          <w:bCs/>
          <w:lang w:val="en-US"/>
        </w:rPr>
        <w:t xml:space="preserve">considered both in terms of </w:t>
      </w:r>
      <w:r w:rsidR="0087278C" w:rsidRPr="00813D19">
        <w:rPr>
          <w:bCs/>
          <w:lang w:val="en-US"/>
        </w:rPr>
        <w:t xml:space="preserve">safeguarding </w:t>
      </w:r>
      <w:r w:rsidR="0039361F" w:rsidRPr="00813D19">
        <w:rPr>
          <w:bCs/>
          <w:lang w:val="en-US"/>
        </w:rPr>
        <w:t xml:space="preserve">intangible cultural heritage </w:t>
      </w:r>
      <w:r w:rsidR="0087278C" w:rsidRPr="00813D19">
        <w:rPr>
          <w:bCs/>
          <w:lang w:val="en-US"/>
        </w:rPr>
        <w:t xml:space="preserve">and </w:t>
      </w:r>
      <w:r w:rsidR="0039361F" w:rsidRPr="00813D19">
        <w:rPr>
          <w:bCs/>
          <w:lang w:val="en-US"/>
        </w:rPr>
        <w:t xml:space="preserve">ensuring that communities, </w:t>
      </w:r>
      <w:r w:rsidR="0087278C" w:rsidRPr="00813D19">
        <w:rPr>
          <w:bCs/>
          <w:lang w:val="en-US"/>
        </w:rPr>
        <w:t xml:space="preserve">groups and young people </w:t>
      </w:r>
      <w:r w:rsidR="00711172">
        <w:rPr>
          <w:bCs/>
          <w:lang w:val="en-US"/>
        </w:rPr>
        <w:t>were</w:t>
      </w:r>
      <w:r w:rsidR="00711172" w:rsidRPr="00813D19">
        <w:rPr>
          <w:bCs/>
          <w:lang w:val="en-US"/>
        </w:rPr>
        <w:t xml:space="preserve"> </w:t>
      </w:r>
      <w:r w:rsidR="0039361F" w:rsidRPr="00813D19">
        <w:rPr>
          <w:bCs/>
          <w:lang w:val="en-US"/>
        </w:rPr>
        <w:t xml:space="preserve">made </w:t>
      </w:r>
      <w:r w:rsidR="0087278C" w:rsidRPr="00813D19">
        <w:rPr>
          <w:bCs/>
          <w:lang w:val="en-US"/>
        </w:rPr>
        <w:t xml:space="preserve">aware of the values of </w:t>
      </w:r>
      <w:r w:rsidR="0039361F" w:rsidRPr="00813D19">
        <w:rPr>
          <w:bCs/>
          <w:lang w:val="en-US"/>
        </w:rPr>
        <w:t>intangible cultural heritage</w:t>
      </w:r>
      <w:r w:rsidR="0087278C" w:rsidRPr="00813D19">
        <w:rPr>
          <w:bCs/>
          <w:lang w:val="en-US"/>
        </w:rPr>
        <w:t xml:space="preserve">. </w:t>
      </w:r>
      <w:r w:rsidR="00813D19" w:rsidRPr="00813D19">
        <w:rPr>
          <w:bCs/>
          <w:lang w:val="en-US"/>
        </w:rPr>
        <w:t>Moreover</w:t>
      </w:r>
      <w:r w:rsidR="0039361F" w:rsidRPr="00813D19">
        <w:rPr>
          <w:bCs/>
          <w:lang w:val="en-US"/>
        </w:rPr>
        <w:t xml:space="preserve">, </w:t>
      </w:r>
      <w:r w:rsidR="00A07B7F" w:rsidRPr="00813D19">
        <w:rPr>
          <w:bCs/>
          <w:lang w:val="en-US"/>
        </w:rPr>
        <w:t xml:space="preserve">it </w:t>
      </w:r>
      <w:r w:rsidR="00711172" w:rsidRPr="00813D19">
        <w:rPr>
          <w:bCs/>
          <w:lang w:val="en-US"/>
        </w:rPr>
        <w:t>c</w:t>
      </w:r>
      <w:r w:rsidR="00711172">
        <w:rPr>
          <w:bCs/>
          <w:lang w:val="en-US"/>
        </w:rPr>
        <w:t>ould</w:t>
      </w:r>
      <w:r w:rsidR="00711172" w:rsidRPr="00813D19">
        <w:rPr>
          <w:bCs/>
          <w:lang w:val="en-US"/>
        </w:rPr>
        <w:t xml:space="preserve"> </w:t>
      </w:r>
      <w:r w:rsidR="0087278C" w:rsidRPr="00813D19">
        <w:rPr>
          <w:bCs/>
          <w:lang w:val="en-US"/>
        </w:rPr>
        <w:t xml:space="preserve">contribute to the resilience of communities. </w:t>
      </w:r>
      <w:r w:rsidR="0039361F" w:rsidRPr="00813D19">
        <w:rPr>
          <w:bCs/>
          <w:lang w:val="en-US"/>
        </w:rPr>
        <w:t xml:space="preserve">The delegation </w:t>
      </w:r>
      <w:r w:rsidR="0087278C" w:rsidRPr="00813D19">
        <w:rPr>
          <w:bCs/>
          <w:lang w:val="en-US"/>
        </w:rPr>
        <w:t>also support</w:t>
      </w:r>
      <w:r w:rsidR="0039361F" w:rsidRPr="00813D19">
        <w:rPr>
          <w:bCs/>
          <w:lang w:val="en-US"/>
        </w:rPr>
        <w:t>ed the focus on capacity</w:t>
      </w:r>
      <w:r w:rsidR="00711172">
        <w:rPr>
          <w:bCs/>
          <w:lang w:val="en-US"/>
        </w:rPr>
        <w:t xml:space="preserve"> </w:t>
      </w:r>
      <w:r w:rsidR="0087278C" w:rsidRPr="00813D19">
        <w:rPr>
          <w:bCs/>
          <w:lang w:val="en-US"/>
        </w:rPr>
        <w:t xml:space="preserve">building in the activities </w:t>
      </w:r>
      <w:r w:rsidR="0039361F" w:rsidRPr="00813D19">
        <w:rPr>
          <w:bCs/>
          <w:lang w:val="en-US"/>
        </w:rPr>
        <w:t>undertaken by the Secretariat, noting that t</w:t>
      </w:r>
      <w:r w:rsidR="0087278C" w:rsidRPr="00813D19">
        <w:rPr>
          <w:bCs/>
          <w:lang w:val="en-US"/>
        </w:rPr>
        <w:t xml:space="preserve">he global capacity-building programme </w:t>
      </w:r>
      <w:r w:rsidR="00711172">
        <w:rPr>
          <w:bCs/>
          <w:lang w:val="en-US"/>
        </w:rPr>
        <w:t>was</w:t>
      </w:r>
      <w:r w:rsidR="00711172" w:rsidRPr="00813D19">
        <w:rPr>
          <w:bCs/>
          <w:lang w:val="en-US"/>
        </w:rPr>
        <w:t xml:space="preserve"> </w:t>
      </w:r>
      <w:r w:rsidR="0087278C" w:rsidRPr="00813D19">
        <w:rPr>
          <w:bCs/>
          <w:lang w:val="en-US"/>
        </w:rPr>
        <w:t>more focused on regional cooperation</w:t>
      </w:r>
      <w:r w:rsidR="0039361F" w:rsidRPr="00813D19">
        <w:rPr>
          <w:bCs/>
          <w:lang w:val="en-US"/>
        </w:rPr>
        <w:t>,</w:t>
      </w:r>
      <w:r w:rsidR="0087278C" w:rsidRPr="00813D19">
        <w:rPr>
          <w:bCs/>
          <w:lang w:val="en-US"/>
        </w:rPr>
        <w:t xml:space="preserve"> and </w:t>
      </w:r>
      <w:r w:rsidR="0039361F" w:rsidRPr="00813D19">
        <w:rPr>
          <w:bCs/>
          <w:lang w:val="en-US"/>
        </w:rPr>
        <w:t xml:space="preserve">it </w:t>
      </w:r>
      <w:r w:rsidR="0087278C" w:rsidRPr="00813D19">
        <w:rPr>
          <w:bCs/>
          <w:lang w:val="en-US"/>
        </w:rPr>
        <w:t>look</w:t>
      </w:r>
      <w:r w:rsidR="0039361F" w:rsidRPr="00813D19">
        <w:rPr>
          <w:bCs/>
          <w:lang w:val="en-US"/>
        </w:rPr>
        <w:t>ed</w:t>
      </w:r>
      <w:r w:rsidR="0087278C" w:rsidRPr="00813D19">
        <w:rPr>
          <w:bCs/>
          <w:lang w:val="en-US"/>
        </w:rPr>
        <w:t xml:space="preserve"> forward to work</w:t>
      </w:r>
      <w:r w:rsidR="0039361F" w:rsidRPr="00813D19">
        <w:rPr>
          <w:bCs/>
          <w:lang w:val="en-US"/>
        </w:rPr>
        <w:t xml:space="preserve">ing on </w:t>
      </w:r>
      <w:r w:rsidR="00711172" w:rsidRPr="00813D19">
        <w:rPr>
          <w:bCs/>
          <w:lang w:val="en-US"/>
        </w:rPr>
        <w:t>th</w:t>
      </w:r>
      <w:r w:rsidR="00711172">
        <w:rPr>
          <w:bCs/>
          <w:lang w:val="en-US"/>
        </w:rPr>
        <w:t>o</w:t>
      </w:r>
      <w:r w:rsidR="00711172" w:rsidRPr="00813D19">
        <w:rPr>
          <w:bCs/>
          <w:lang w:val="en-US"/>
        </w:rPr>
        <w:t xml:space="preserve">se </w:t>
      </w:r>
      <w:r w:rsidR="0039361F" w:rsidRPr="00813D19">
        <w:rPr>
          <w:bCs/>
          <w:lang w:val="en-US"/>
        </w:rPr>
        <w:t>topics and sharing</w:t>
      </w:r>
      <w:r w:rsidR="0087278C" w:rsidRPr="00813D19">
        <w:rPr>
          <w:bCs/>
          <w:lang w:val="en-US"/>
        </w:rPr>
        <w:t xml:space="preserve"> experiences. </w:t>
      </w:r>
      <w:r w:rsidR="0039361F" w:rsidRPr="00813D19">
        <w:rPr>
          <w:bCs/>
          <w:lang w:val="en-US"/>
        </w:rPr>
        <w:t xml:space="preserve">It was also noted that </w:t>
      </w:r>
      <w:r w:rsidR="0087278C" w:rsidRPr="00813D19">
        <w:rPr>
          <w:bCs/>
          <w:lang w:val="en-US"/>
        </w:rPr>
        <w:t xml:space="preserve">the safeguarding of </w:t>
      </w:r>
      <w:r w:rsidR="0039361F" w:rsidRPr="00813D19">
        <w:rPr>
          <w:bCs/>
          <w:lang w:val="en-US"/>
        </w:rPr>
        <w:t xml:space="preserve">intangible cultural heritage </w:t>
      </w:r>
      <w:r w:rsidR="0087278C" w:rsidRPr="00813D19">
        <w:rPr>
          <w:bCs/>
          <w:lang w:val="en-US"/>
        </w:rPr>
        <w:t xml:space="preserve">in emergencies was an important topic </w:t>
      </w:r>
      <w:r w:rsidR="0039361F" w:rsidRPr="00813D19">
        <w:rPr>
          <w:bCs/>
          <w:lang w:val="en-US"/>
        </w:rPr>
        <w:t>of discussion during the General Assembly, as wel</w:t>
      </w:r>
      <w:r w:rsidR="00A07B7F" w:rsidRPr="00813D19">
        <w:rPr>
          <w:bCs/>
          <w:lang w:val="en-US"/>
        </w:rPr>
        <w:t>l</w:t>
      </w:r>
      <w:r w:rsidR="0039361F" w:rsidRPr="00813D19">
        <w:rPr>
          <w:bCs/>
          <w:lang w:val="en-US"/>
        </w:rPr>
        <w:t xml:space="preserve"> as </w:t>
      </w:r>
      <w:r w:rsidR="0087278C" w:rsidRPr="00813D19">
        <w:rPr>
          <w:bCs/>
          <w:lang w:val="en-US"/>
        </w:rPr>
        <w:t xml:space="preserve">in this Committee </w:t>
      </w:r>
      <w:r w:rsidR="0039361F" w:rsidRPr="00813D19">
        <w:rPr>
          <w:bCs/>
          <w:lang w:val="en-US"/>
        </w:rPr>
        <w:t>session</w:t>
      </w:r>
      <w:r w:rsidR="0087278C" w:rsidRPr="00813D19">
        <w:rPr>
          <w:bCs/>
          <w:lang w:val="en-US"/>
        </w:rPr>
        <w:t xml:space="preserve">. The contribution of </w:t>
      </w:r>
      <w:r w:rsidR="00711172" w:rsidRPr="00813D19">
        <w:rPr>
          <w:bCs/>
          <w:lang w:val="en-US"/>
        </w:rPr>
        <w:t>th</w:t>
      </w:r>
      <w:r w:rsidR="00711172">
        <w:rPr>
          <w:bCs/>
          <w:lang w:val="en-US"/>
        </w:rPr>
        <w:t>e</w:t>
      </w:r>
      <w:r w:rsidR="00711172" w:rsidRPr="00813D19">
        <w:rPr>
          <w:bCs/>
          <w:lang w:val="en-US"/>
        </w:rPr>
        <w:t xml:space="preserve"> </w:t>
      </w:r>
      <w:r w:rsidR="0087278C" w:rsidRPr="00813D19">
        <w:rPr>
          <w:bCs/>
          <w:lang w:val="en-US"/>
        </w:rPr>
        <w:t xml:space="preserve">Convention to this important topic </w:t>
      </w:r>
      <w:r w:rsidR="0039361F" w:rsidRPr="00813D19">
        <w:rPr>
          <w:bCs/>
          <w:lang w:val="en-US"/>
        </w:rPr>
        <w:t xml:space="preserve">was thus increasingly </w:t>
      </w:r>
      <w:r w:rsidR="0087278C" w:rsidRPr="00813D19">
        <w:rPr>
          <w:bCs/>
          <w:lang w:val="en-US"/>
        </w:rPr>
        <w:t>concrete</w:t>
      </w:r>
      <w:r w:rsidR="0039361F" w:rsidRPr="00813D19">
        <w:rPr>
          <w:bCs/>
          <w:lang w:val="en-US"/>
        </w:rPr>
        <w:t>,</w:t>
      </w:r>
      <w:r w:rsidR="0087278C" w:rsidRPr="00813D19">
        <w:rPr>
          <w:bCs/>
          <w:lang w:val="en-US"/>
        </w:rPr>
        <w:t xml:space="preserve"> and </w:t>
      </w:r>
      <w:r w:rsidR="0039361F" w:rsidRPr="00813D19">
        <w:rPr>
          <w:bCs/>
          <w:lang w:val="en-US"/>
        </w:rPr>
        <w:t xml:space="preserve">the delegation </w:t>
      </w:r>
      <w:r w:rsidR="0087278C" w:rsidRPr="00813D19">
        <w:rPr>
          <w:bCs/>
          <w:lang w:val="en-US"/>
        </w:rPr>
        <w:t>welcome</w:t>
      </w:r>
      <w:r w:rsidR="0039361F" w:rsidRPr="00813D19">
        <w:rPr>
          <w:bCs/>
          <w:lang w:val="en-US"/>
        </w:rPr>
        <w:t>d</w:t>
      </w:r>
      <w:r w:rsidR="0087278C" w:rsidRPr="00813D19">
        <w:rPr>
          <w:bCs/>
          <w:lang w:val="en-US"/>
        </w:rPr>
        <w:t xml:space="preserve"> this </w:t>
      </w:r>
      <w:r w:rsidR="0039361F" w:rsidRPr="00813D19">
        <w:rPr>
          <w:bCs/>
          <w:lang w:val="en-US"/>
        </w:rPr>
        <w:t>direction</w:t>
      </w:r>
      <w:r w:rsidR="00A07B7F" w:rsidRPr="00813D19">
        <w:rPr>
          <w:bCs/>
          <w:lang w:val="en-US"/>
        </w:rPr>
        <w:t>, adding that</w:t>
      </w:r>
      <w:r w:rsidR="0039361F" w:rsidRPr="00813D19">
        <w:rPr>
          <w:bCs/>
          <w:lang w:val="en-US"/>
        </w:rPr>
        <w:t xml:space="preserve"> </w:t>
      </w:r>
      <w:r w:rsidR="00A07B7F" w:rsidRPr="00813D19">
        <w:rPr>
          <w:bCs/>
          <w:lang w:val="en-US"/>
        </w:rPr>
        <w:t xml:space="preserve">it </w:t>
      </w:r>
      <w:r w:rsidR="0039361F" w:rsidRPr="00813D19">
        <w:rPr>
          <w:bCs/>
          <w:lang w:val="en-US"/>
        </w:rPr>
        <w:t xml:space="preserve">would </w:t>
      </w:r>
      <w:r w:rsidR="0087278C" w:rsidRPr="00813D19">
        <w:rPr>
          <w:bCs/>
          <w:lang w:val="en-US"/>
        </w:rPr>
        <w:t>contribute to</w:t>
      </w:r>
      <w:r w:rsidR="0039361F" w:rsidRPr="00813D19">
        <w:rPr>
          <w:bCs/>
          <w:lang w:val="en-US"/>
        </w:rPr>
        <w:t>wards</w:t>
      </w:r>
      <w:r w:rsidR="0087278C" w:rsidRPr="00813D19">
        <w:rPr>
          <w:bCs/>
          <w:lang w:val="en-US"/>
        </w:rPr>
        <w:t xml:space="preserve"> support</w:t>
      </w:r>
      <w:r w:rsidR="0039361F" w:rsidRPr="00813D19">
        <w:rPr>
          <w:bCs/>
          <w:lang w:val="en-US"/>
        </w:rPr>
        <w:t>ing</w:t>
      </w:r>
      <w:r w:rsidR="0087278C" w:rsidRPr="00813D19">
        <w:rPr>
          <w:bCs/>
          <w:lang w:val="en-US"/>
        </w:rPr>
        <w:t xml:space="preserve"> pilots and new methods of preparedness,</w:t>
      </w:r>
      <w:r w:rsidR="00B67A60">
        <w:rPr>
          <w:bCs/>
          <w:lang w:val="en-US"/>
        </w:rPr>
        <w:t xml:space="preserve"> resilience and reconciliation.</w:t>
      </w:r>
    </w:p>
    <w:p w14:paraId="315EEAE4" w14:textId="337F3657" w:rsidR="009867D1" w:rsidRPr="00813D19" w:rsidRDefault="008B091C"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Azerbaijan</w:t>
      </w:r>
      <w:r w:rsidRPr="00813D19">
        <w:rPr>
          <w:color w:val="000000" w:themeColor="text1"/>
          <w:lang w:val="en-US"/>
        </w:rPr>
        <w:t xml:space="preserve"> </w:t>
      </w:r>
      <w:r w:rsidR="0087278C" w:rsidRPr="00813D19">
        <w:rPr>
          <w:bCs/>
          <w:lang w:val="en-US"/>
        </w:rPr>
        <w:t>convey</w:t>
      </w:r>
      <w:r w:rsidR="00EE5107" w:rsidRPr="00813D19">
        <w:rPr>
          <w:bCs/>
          <w:lang w:val="en-US"/>
        </w:rPr>
        <w:t>ed</w:t>
      </w:r>
      <w:r w:rsidR="0087278C" w:rsidRPr="00813D19">
        <w:rPr>
          <w:bCs/>
          <w:lang w:val="en-US"/>
        </w:rPr>
        <w:t xml:space="preserve"> </w:t>
      </w:r>
      <w:r w:rsidR="00711172">
        <w:rPr>
          <w:bCs/>
          <w:lang w:val="en-US"/>
        </w:rPr>
        <w:t xml:space="preserve">its </w:t>
      </w:r>
      <w:r w:rsidR="0087278C" w:rsidRPr="00813D19">
        <w:rPr>
          <w:bCs/>
          <w:lang w:val="en-US"/>
        </w:rPr>
        <w:t xml:space="preserve">sincere gratitude to the Government of Mauritius for </w:t>
      </w:r>
      <w:r w:rsidR="0039361F" w:rsidRPr="00813D19">
        <w:rPr>
          <w:bCs/>
          <w:lang w:val="en-US"/>
        </w:rPr>
        <w:t>its</w:t>
      </w:r>
      <w:r w:rsidR="0087278C" w:rsidRPr="00813D19">
        <w:rPr>
          <w:bCs/>
          <w:lang w:val="en-US"/>
        </w:rPr>
        <w:t xml:space="preserve"> warm hospitality and excellent organization</w:t>
      </w:r>
      <w:r w:rsidR="00055476" w:rsidRPr="00813D19">
        <w:rPr>
          <w:bCs/>
          <w:lang w:val="en-US"/>
        </w:rPr>
        <w:t xml:space="preserve"> of the session</w:t>
      </w:r>
      <w:r w:rsidR="0087278C" w:rsidRPr="00813D19">
        <w:rPr>
          <w:bCs/>
          <w:lang w:val="en-US"/>
        </w:rPr>
        <w:t xml:space="preserve">. </w:t>
      </w:r>
      <w:r w:rsidR="003B2B47" w:rsidRPr="00813D19">
        <w:rPr>
          <w:bCs/>
          <w:lang w:val="en-US"/>
        </w:rPr>
        <w:t xml:space="preserve">As an </w:t>
      </w:r>
      <w:r w:rsidR="00A07B7F" w:rsidRPr="00813D19">
        <w:rPr>
          <w:bCs/>
          <w:lang w:val="en-US"/>
        </w:rPr>
        <w:t>elected M</w:t>
      </w:r>
      <w:r w:rsidR="003B2B47" w:rsidRPr="00813D19">
        <w:rPr>
          <w:bCs/>
          <w:lang w:val="en-US"/>
        </w:rPr>
        <w:t xml:space="preserve">ember of the Committee, </w:t>
      </w:r>
      <w:r w:rsidR="00A07B7F" w:rsidRPr="00813D19">
        <w:rPr>
          <w:bCs/>
          <w:lang w:val="en-US"/>
        </w:rPr>
        <w:t xml:space="preserve">it </w:t>
      </w:r>
      <w:r w:rsidR="003B2B47" w:rsidRPr="00813D19">
        <w:rPr>
          <w:bCs/>
          <w:lang w:val="en-US"/>
        </w:rPr>
        <w:t xml:space="preserve">wished </w:t>
      </w:r>
      <w:r w:rsidR="0087278C" w:rsidRPr="00813D19">
        <w:rPr>
          <w:bCs/>
          <w:lang w:val="en-US"/>
        </w:rPr>
        <w:t xml:space="preserve">to thank </w:t>
      </w:r>
      <w:r w:rsidR="003B2B47" w:rsidRPr="00813D19">
        <w:rPr>
          <w:bCs/>
          <w:lang w:val="en-US"/>
        </w:rPr>
        <w:t xml:space="preserve">the </w:t>
      </w:r>
      <w:r w:rsidR="0087278C" w:rsidRPr="00813D19">
        <w:rPr>
          <w:bCs/>
          <w:lang w:val="en-US"/>
        </w:rPr>
        <w:t xml:space="preserve">Member States </w:t>
      </w:r>
      <w:r w:rsidR="003B2B47" w:rsidRPr="00813D19">
        <w:rPr>
          <w:bCs/>
          <w:lang w:val="en-US"/>
        </w:rPr>
        <w:t xml:space="preserve">that had </w:t>
      </w:r>
      <w:r w:rsidR="0087278C" w:rsidRPr="00813D19">
        <w:rPr>
          <w:bCs/>
          <w:lang w:val="en-US"/>
        </w:rPr>
        <w:t xml:space="preserve">voted for </w:t>
      </w:r>
      <w:r w:rsidR="003B2B47" w:rsidRPr="00813D19">
        <w:rPr>
          <w:bCs/>
          <w:lang w:val="en-US"/>
        </w:rPr>
        <w:t>Azerbaijan</w:t>
      </w:r>
      <w:r w:rsidR="00A07B7F" w:rsidRPr="00813D19">
        <w:rPr>
          <w:bCs/>
          <w:lang w:val="en-US"/>
        </w:rPr>
        <w:t>,</w:t>
      </w:r>
      <w:r w:rsidR="003B2B47" w:rsidRPr="00813D19">
        <w:rPr>
          <w:bCs/>
          <w:lang w:val="en-US"/>
        </w:rPr>
        <w:t xml:space="preserve"> </w:t>
      </w:r>
      <w:r w:rsidR="00A07B7F" w:rsidRPr="00813D19">
        <w:rPr>
          <w:bCs/>
          <w:lang w:val="en-US"/>
        </w:rPr>
        <w:t>underlining</w:t>
      </w:r>
      <w:r w:rsidR="0087278C" w:rsidRPr="00813D19">
        <w:rPr>
          <w:bCs/>
          <w:lang w:val="en-US"/>
        </w:rPr>
        <w:t xml:space="preserve"> </w:t>
      </w:r>
      <w:r w:rsidR="003B2B47" w:rsidRPr="00813D19">
        <w:rPr>
          <w:bCs/>
          <w:lang w:val="en-US"/>
        </w:rPr>
        <w:t xml:space="preserve">its </w:t>
      </w:r>
      <w:r w:rsidR="0087278C" w:rsidRPr="00813D19">
        <w:rPr>
          <w:bCs/>
          <w:lang w:val="en-US"/>
        </w:rPr>
        <w:t>commitment to the letter and spirit of th</w:t>
      </w:r>
      <w:r w:rsidR="00A07B7F" w:rsidRPr="00813D19">
        <w:rPr>
          <w:bCs/>
          <w:lang w:val="en-US"/>
        </w:rPr>
        <w:t>e Convention. Azerbaijan had been a M</w:t>
      </w:r>
      <w:r w:rsidR="0087278C" w:rsidRPr="00813D19">
        <w:rPr>
          <w:bCs/>
          <w:lang w:val="en-US"/>
        </w:rPr>
        <w:t xml:space="preserve">ember of the Committee in 2010 and 2014. Five years </w:t>
      </w:r>
      <w:r w:rsidR="00813D19" w:rsidRPr="00813D19">
        <w:rPr>
          <w:bCs/>
          <w:lang w:val="en-US"/>
        </w:rPr>
        <w:t>ago,</w:t>
      </w:r>
      <w:r w:rsidR="0087278C" w:rsidRPr="00813D19">
        <w:rPr>
          <w:bCs/>
          <w:lang w:val="en-US"/>
        </w:rPr>
        <w:t xml:space="preserve"> in 2013</w:t>
      </w:r>
      <w:r w:rsidR="003B2B47" w:rsidRPr="00813D19">
        <w:rPr>
          <w:bCs/>
          <w:lang w:val="en-US"/>
        </w:rPr>
        <w:t>,</w:t>
      </w:r>
      <w:r w:rsidR="0087278C" w:rsidRPr="00813D19">
        <w:rPr>
          <w:bCs/>
          <w:lang w:val="en-US"/>
        </w:rPr>
        <w:t xml:space="preserve"> </w:t>
      </w:r>
      <w:r w:rsidR="003B2B47" w:rsidRPr="00813D19">
        <w:rPr>
          <w:bCs/>
          <w:lang w:val="en-US"/>
        </w:rPr>
        <w:t xml:space="preserve">Azerbaijan </w:t>
      </w:r>
      <w:r w:rsidR="00711172">
        <w:rPr>
          <w:bCs/>
          <w:lang w:val="en-US"/>
        </w:rPr>
        <w:t xml:space="preserve">had </w:t>
      </w:r>
      <w:r w:rsidR="0087278C" w:rsidRPr="00813D19">
        <w:rPr>
          <w:bCs/>
          <w:lang w:val="en-US"/>
        </w:rPr>
        <w:t xml:space="preserve">successfully hosted the eighth session of the </w:t>
      </w:r>
      <w:r w:rsidR="003B2B47" w:rsidRPr="00813D19">
        <w:rPr>
          <w:bCs/>
          <w:lang w:val="en-US"/>
        </w:rPr>
        <w:t>Committee</w:t>
      </w:r>
      <w:r w:rsidR="00A07B7F" w:rsidRPr="00813D19">
        <w:rPr>
          <w:bCs/>
          <w:lang w:val="en-US"/>
        </w:rPr>
        <w:t>,</w:t>
      </w:r>
      <w:r w:rsidR="003B2B47" w:rsidRPr="00813D19">
        <w:rPr>
          <w:bCs/>
          <w:lang w:val="en-US"/>
        </w:rPr>
        <w:t xml:space="preserve"> </w:t>
      </w:r>
      <w:r w:rsidR="00A07B7F" w:rsidRPr="00813D19">
        <w:rPr>
          <w:bCs/>
          <w:lang w:val="en-US"/>
        </w:rPr>
        <w:t>always striving</w:t>
      </w:r>
      <w:r w:rsidR="0087278C" w:rsidRPr="00813D19">
        <w:rPr>
          <w:bCs/>
          <w:lang w:val="en-US"/>
        </w:rPr>
        <w:t xml:space="preserve"> for the protection of universal cultural heritage</w:t>
      </w:r>
      <w:r w:rsidR="003B2B47" w:rsidRPr="00813D19">
        <w:rPr>
          <w:bCs/>
          <w:lang w:val="en-US"/>
        </w:rPr>
        <w:t>.</w:t>
      </w:r>
      <w:r w:rsidR="0087278C" w:rsidRPr="00813D19">
        <w:rPr>
          <w:bCs/>
          <w:lang w:val="en-US"/>
        </w:rPr>
        <w:t xml:space="preserve"> </w:t>
      </w:r>
      <w:r w:rsidR="00A07B7F" w:rsidRPr="00813D19">
        <w:rPr>
          <w:bCs/>
          <w:lang w:val="en-US"/>
        </w:rPr>
        <w:t xml:space="preserve">The country </w:t>
      </w:r>
      <w:r w:rsidR="0087278C" w:rsidRPr="00813D19">
        <w:rPr>
          <w:bCs/>
          <w:lang w:val="en-US"/>
        </w:rPr>
        <w:t>atta</w:t>
      </w:r>
      <w:r w:rsidR="003B2B47" w:rsidRPr="00813D19">
        <w:rPr>
          <w:bCs/>
          <w:lang w:val="en-US"/>
        </w:rPr>
        <w:t>ched</w:t>
      </w:r>
      <w:r w:rsidR="0087278C" w:rsidRPr="00813D19">
        <w:rPr>
          <w:bCs/>
          <w:lang w:val="en-US"/>
        </w:rPr>
        <w:t xml:space="preserve"> great importance to the effective implementation of the </w:t>
      </w:r>
      <w:r w:rsidR="003B2B47" w:rsidRPr="00813D19">
        <w:rPr>
          <w:bCs/>
          <w:lang w:val="en-US"/>
        </w:rPr>
        <w:t>Convention and reaffirmed</w:t>
      </w:r>
      <w:r w:rsidR="0087278C" w:rsidRPr="00813D19">
        <w:rPr>
          <w:bCs/>
          <w:lang w:val="en-US"/>
        </w:rPr>
        <w:t xml:space="preserve"> its willingness and determination to continue work</w:t>
      </w:r>
      <w:r w:rsidR="003B2B47" w:rsidRPr="00813D19">
        <w:rPr>
          <w:bCs/>
          <w:lang w:val="en-US"/>
        </w:rPr>
        <w:t>ing</w:t>
      </w:r>
      <w:r w:rsidR="0087278C" w:rsidRPr="00813D19">
        <w:rPr>
          <w:bCs/>
          <w:lang w:val="en-US"/>
        </w:rPr>
        <w:t xml:space="preserve"> in an open, transparent and inclusive manner. </w:t>
      </w:r>
      <w:r w:rsidR="00A07B7F" w:rsidRPr="00813D19">
        <w:rPr>
          <w:bCs/>
          <w:lang w:val="en-US"/>
        </w:rPr>
        <w:t xml:space="preserve">The delegation </w:t>
      </w:r>
      <w:r w:rsidR="0087278C" w:rsidRPr="00813D19">
        <w:rPr>
          <w:bCs/>
          <w:lang w:val="en-US"/>
        </w:rPr>
        <w:t>highly appreciate</w:t>
      </w:r>
      <w:r w:rsidR="003B2B47" w:rsidRPr="00813D19">
        <w:rPr>
          <w:bCs/>
          <w:lang w:val="en-US"/>
        </w:rPr>
        <w:t>d</w:t>
      </w:r>
      <w:r w:rsidR="0087278C" w:rsidRPr="00813D19">
        <w:rPr>
          <w:bCs/>
          <w:lang w:val="en-US"/>
        </w:rPr>
        <w:t xml:space="preserve"> the invaluable work and contributions </w:t>
      </w:r>
      <w:r w:rsidR="003B2B47" w:rsidRPr="00813D19">
        <w:rPr>
          <w:bCs/>
          <w:lang w:val="en-US"/>
        </w:rPr>
        <w:t xml:space="preserve">made </w:t>
      </w:r>
      <w:r w:rsidR="0087278C" w:rsidRPr="00813D19">
        <w:rPr>
          <w:bCs/>
          <w:lang w:val="en-US"/>
        </w:rPr>
        <w:t xml:space="preserve">so far by Member States, </w:t>
      </w:r>
      <w:r w:rsidR="003B2B47" w:rsidRPr="00813D19">
        <w:rPr>
          <w:bCs/>
          <w:lang w:val="en-US"/>
        </w:rPr>
        <w:t xml:space="preserve">the </w:t>
      </w:r>
      <w:r w:rsidR="0087278C" w:rsidRPr="00813D19">
        <w:rPr>
          <w:bCs/>
          <w:lang w:val="en-US"/>
        </w:rPr>
        <w:t xml:space="preserve">expert community and the Secretariat in implementing </w:t>
      </w:r>
      <w:r w:rsidR="003B2B47" w:rsidRPr="00813D19">
        <w:rPr>
          <w:bCs/>
          <w:lang w:val="en-US"/>
        </w:rPr>
        <w:t xml:space="preserve">the </w:t>
      </w:r>
      <w:r w:rsidR="0087278C" w:rsidRPr="00813D19">
        <w:rPr>
          <w:bCs/>
          <w:lang w:val="en-US"/>
        </w:rPr>
        <w:t xml:space="preserve">principles and aims of the Convention. </w:t>
      </w:r>
      <w:r w:rsidR="003B2B47" w:rsidRPr="00813D19">
        <w:rPr>
          <w:bCs/>
          <w:lang w:val="en-US"/>
        </w:rPr>
        <w:t xml:space="preserve">It </w:t>
      </w:r>
      <w:r w:rsidR="0087278C" w:rsidRPr="00813D19">
        <w:rPr>
          <w:bCs/>
          <w:lang w:val="en-US"/>
        </w:rPr>
        <w:t>believe</w:t>
      </w:r>
      <w:r w:rsidR="003B2B47" w:rsidRPr="00813D19">
        <w:rPr>
          <w:bCs/>
          <w:lang w:val="en-US"/>
        </w:rPr>
        <w:t>d</w:t>
      </w:r>
      <w:r w:rsidR="0087278C" w:rsidRPr="00813D19">
        <w:rPr>
          <w:bCs/>
          <w:lang w:val="en-US"/>
        </w:rPr>
        <w:t xml:space="preserve"> that UNESCO as a laboratory of ideas should be a multilateral environment where all Member States can stand together for the preservation of </w:t>
      </w:r>
      <w:r w:rsidR="003B2B47" w:rsidRPr="00813D19">
        <w:rPr>
          <w:bCs/>
          <w:lang w:val="en-US"/>
        </w:rPr>
        <w:t>common heritage, respecting</w:t>
      </w:r>
      <w:r w:rsidR="0087278C" w:rsidRPr="00813D19">
        <w:rPr>
          <w:bCs/>
          <w:lang w:val="en-US"/>
        </w:rPr>
        <w:t xml:space="preserve"> diversity and the promotion of </w:t>
      </w:r>
      <w:r w:rsidR="003B2B47" w:rsidRPr="00813D19">
        <w:rPr>
          <w:bCs/>
          <w:lang w:val="en-US"/>
        </w:rPr>
        <w:t xml:space="preserve">a </w:t>
      </w:r>
      <w:r w:rsidR="0087278C" w:rsidRPr="00813D19">
        <w:rPr>
          <w:bCs/>
          <w:lang w:val="en-US"/>
        </w:rPr>
        <w:t xml:space="preserve">culture of peace. In the context of </w:t>
      </w:r>
      <w:r w:rsidR="003B2B47" w:rsidRPr="00813D19">
        <w:rPr>
          <w:bCs/>
          <w:lang w:val="en-US"/>
        </w:rPr>
        <w:t xml:space="preserve">the </w:t>
      </w:r>
      <w:r w:rsidR="0087278C" w:rsidRPr="00813D19">
        <w:rPr>
          <w:bCs/>
          <w:lang w:val="en-US"/>
        </w:rPr>
        <w:t>relationship between UNESCO and Azerbaijan</w:t>
      </w:r>
      <w:r w:rsidR="003B2B47" w:rsidRPr="00813D19">
        <w:rPr>
          <w:bCs/>
          <w:lang w:val="en-US"/>
        </w:rPr>
        <w:t xml:space="preserve">, the delegation </w:t>
      </w:r>
      <w:r w:rsidR="0087278C" w:rsidRPr="00813D19">
        <w:rPr>
          <w:bCs/>
          <w:lang w:val="en-US"/>
        </w:rPr>
        <w:t>underline</w:t>
      </w:r>
      <w:r w:rsidR="003B2B47" w:rsidRPr="00813D19">
        <w:rPr>
          <w:bCs/>
          <w:lang w:val="en-US"/>
        </w:rPr>
        <w:t>d</w:t>
      </w:r>
      <w:r w:rsidR="0087278C" w:rsidRPr="00813D19">
        <w:rPr>
          <w:bCs/>
          <w:lang w:val="en-US"/>
        </w:rPr>
        <w:t xml:space="preserve"> the valuable contribution of her Excellency, </w:t>
      </w:r>
      <w:r w:rsidR="003B2B47" w:rsidRPr="00813D19">
        <w:rPr>
          <w:bCs/>
          <w:lang w:val="en-US"/>
        </w:rPr>
        <w:t xml:space="preserve">Ms </w:t>
      </w:r>
      <w:r w:rsidR="0087278C" w:rsidRPr="00813D19">
        <w:rPr>
          <w:bCs/>
          <w:lang w:val="en-US"/>
        </w:rPr>
        <w:t>Mehriban Aliyeva</w:t>
      </w:r>
      <w:r w:rsidR="003B2B47" w:rsidRPr="00813D19">
        <w:rPr>
          <w:bCs/>
          <w:lang w:val="en-US"/>
        </w:rPr>
        <w:t>,</w:t>
      </w:r>
      <w:r w:rsidR="0087278C" w:rsidRPr="00813D19">
        <w:rPr>
          <w:lang w:val="en-US"/>
        </w:rPr>
        <w:t xml:space="preserve"> </w:t>
      </w:r>
      <w:r w:rsidR="0087278C" w:rsidRPr="00813D19">
        <w:rPr>
          <w:bCs/>
          <w:lang w:val="en-US"/>
        </w:rPr>
        <w:t xml:space="preserve">first Vice-President of Azerbaijan and </w:t>
      </w:r>
      <w:r w:rsidR="003B2B47" w:rsidRPr="00813D19">
        <w:rPr>
          <w:bCs/>
          <w:lang w:val="en-US"/>
        </w:rPr>
        <w:t xml:space="preserve">a </w:t>
      </w:r>
      <w:r w:rsidR="0087278C" w:rsidRPr="00813D19">
        <w:rPr>
          <w:bCs/>
          <w:lang w:val="en-US"/>
        </w:rPr>
        <w:t xml:space="preserve">UNESCO Goodwill Ambassador </w:t>
      </w:r>
      <w:r w:rsidR="003B2B47" w:rsidRPr="00813D19">
        <w:rPr>
          <w:bCs/>
          <w:lang w:val="en-US"/>
        </w:rPr>
        <w:t xml:space="preserve">in </w:t>
      </w:r>
      <w:r w:rsidR="0087278C" w:rsidRPr="00813D19">
        <w:rPr>
          <w:bCs/>
          <w:lang w:val="en-US"/>
        </w:rPr>
        <w:t xml:space="preserve">bringing this cooperation to an even more dynamic level. Thanks to </w:t>
      </w:r>
      <w:r w:rsidR="003B2B47" w:rsidRPr="00813D19">
        <w:rPr>
          <w:bCs/>
          <w:lang w:val="en-US"/>
        </w:rPr>
        <w:t xml:space="preserve">her </w:t>
      </w:r>
      <w:r w:rsidR="0087278C" w:rsidRPr="00813D19">
        <w:rPr>
          <w:bCs/>
          <w:lang w:val="en-US"/>
        </w:rPr>
        <w:t>tireless efforts</w:t>
      </w:r>
      <w:r w:rsidR="003B2B47" w:rsidRPr="00813D19">
        <w:rPr>
          <w:bCs/>
          <w:lang w:val="en-US"/>
        </w:rPr>
        <w:t>,</w:t>
      </w:r>
      <w:r w:rsidR="0087278C" w:rsidRPr="00813D19">
        <w:rPr>
          <w:bCs/>
          <w:lang w:val="en-US"/>
        </w:rPr>
        <w:t xml:space="preserve"> elements of tangible and intangible cultural heritage of Azerbaijan </w:t>
      </w:r>
      <w:r w:rsidR="00A07B7F" w:rsidRPr="00813D19">
        <w:rPr>
          <w:bCs/>
          <w:lang w:val="en-US"/>
        </w:rPr>
        <w:t>had</w:t>
      </w:r>
      <w:r w:rsidR="003B2B47" w:rsidRPr="00813D19">
        <w:rPr>
          <w:bCs/>
          <w:lang w:val="en-US"/>
        </w:rPr>
        <w:t xml:space="preserve"> been </w:t>
      </w:r>
      <w:r w:rsidR="0087278C" w:rsidRPr="00813D19">
        <w:rPr>
          <w:bCs/>
          <w:lang w:val="en-US"/>
        </w:rPr>
        <w:t>inscribed.</w:t>
      </w:r>
      <w:r w:rsidR="003B2B47" w:rsidRPr="00813D19">
        <w:rPr>
          <w:bCs/>
          <w:lang w:val="en-US"/>
        </w:rPr>
        <w:t xml:space="preserve"> The delegation </w:t>
      </w:r>
      <w:r w:rsidR="0087278C" w:rsidRPr="00813D19">
        <w:rPr>
          <w:bCs/>
          <w:lang w:val="en-US"/>
        </w:rPr>
        <w:t>assure</w:t>
      </w:r>
      <w:r w:rsidR="003B2B47" w:rsidRPr="00813D19">
        <w:rPr>
          <w:bCs/>
          <w:lang w:val="en-US"/>
        </w:rPr>
        <w:t xml:space="preserve">d the Committee </w:t>
      </w:r>
      <w:r w:rsidR="0087278C" w:rsidRPr="00813D19">
        <w:rPr>
          <w:bCs/>
          <w:lang w:val="en-US"/>
        </w:rPr>
        <w:t>that</w:t>
      </w:r>
      <w:r w:rsidR="003B2B47" w:rsidRPr="00813D19">
        <w:rPr>
          <w:bCs/>
          <w:lang w:val="en-US"/>
        </w:rPr>
        <w:t>—</w:t>
      </w:r>
      <w:r w:rsidR="0087278C" w:rsidRPr="00813D19">
        <w:rPr>
          <w:bCs/>
          <w:lang w:val="en-US"/>
        </w:rPr>
        <w:t>as a Member of the Committee</w:t>
      </w:r>
      <w:r w:rsidR="003B2B47" w:rsidRPr="00813D19">
        <w:rPr>
          <w:bCs/>
          <w:lang w:val="en-US"/>
        </w:rPr>
        <w:t>—</w:t>
      </w:r>
      <w:r w:rsidR="0087278C" w:rsidRPr="00813D19">
        <w:rPr>
          <w:bCs/>
          <w:lang w:val="en-US"/>
        </w:rPr>
        <w:t xml:space="preserve">Azerbaijan </w:t>
      </w:r>
      <w:r w:rsidR="005B61D9">
        <w:rPr>
          <w:bCs/>
          <w:lang w:val="en-US"/>
        </w:rPr>
        <w:t>would</w:t>
      </w:r>
      <w:r w:rsidR="005B61D9" w:rsidRPr="00813D19">
        <w:rPr>
          <w:bCs/>
          <w:lang w:val="en-US"/>
        </w:rPr>
        <w:t xml:space="preserve"> </w:t>
      </w:r>
      <w:r w:rsidR="0087278C" w:rsidRPr="00813D19">
        <w:rPr>
          <w:bCs/>
          <w:lang w:val="en-US"/>
        </w:rPr>
        <w:t xml:space="preserve">spare no efforts to </w:t>
      </w:r>
      <w:r w:rsidR="003B2B47" w:rsidRPr="00813D19">
        <w:rPr>
          <w:bCs/>
          <w:lang w:val="en-US"/>
        </w:rPr>
        <w:t>protect</w:t>
      </w:r>
      <w:r w:rsidR="0087278C" w:rsidRPr="00813D19">
        <w:rPr>
          <w:bCs/>
          <w:lang w:val="en-US"/>
        </w:rPr>
        <w:t xml:space="preserve"> intangible </w:t>
      </w:r>
      <w:r w:rsidR="003B2B47" w:rsidRPr="00813D19">
        <w:rPr>
          <w:bCs/>
          <w:lang w:val="en-US"/>
        </w:rPr>
        <w:t xml:space="preserve">cultural </w:t>
      </w:r>
      <w:r w:rsidR="0087278C" w:rsidRPr="00813D19">
        <w:rPr>
          <w:bCs/>
          <w:lang w:val="en-US"/>
        </w:rPr>
        <w:t xml:space="preserve">heritage and share its rich experience through constructive engagement with Member States in the spirit of partnership and cooperation for </w:t>
      </w:r>
      <w:r w:rsidR="003B2B47" w:rsidRPr="00813D19">
        <w:rPr>
          <w:bCs/>
          <w:lang w:val="en-US"/>
        </w:rPr>
        <w:t xml:space="preserve">the </w:t>
      </w:r>
      <w:r w:rsidR="0087278C" w:rsidRPr="00813D19">
        <w:rPr>
          <w:bCs/>
          <w:lang w:val="en-US"/>
        </w:rPr>
        <w:t>better implementation of th</w:t>
      </w:r>
      <w:r w:rsidR="00B67A60">
        <w:rPr>
          <w:bCs/>
          <w:lang w:val="en-US"/>
        </w:rPr>
        <w:t>e objectives of the Convention.</w:t>
      </w:r>
    </w:p>
    <w:p w14:paraId="1DCB64C5" w14:textId="6BD1E84B" w:rsidR="00EA4FAE" w:rsidRPr="00813D19" w:rsidRDefault="00A67FBB"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Austria</w:t>
      </w:r>
      <w:r w:rsidR="0087278C" w:rsidRPr="00813D19">
        <w:rPr>
          <w:bCs/>
          <w:lang w:val="en-US"/>
        </w:rPr>
        <w:t xml:space="preserve"> thank</w:t>
      </w:r>
      <w:r w:rsidR="00650601" w:rsidRPr="00813D19">
        <w:rPr>
          <w:bCs/>
          <w:lang w:val="en-US"/>
        </w:rPr>
        <w:t xml:space="preserve">ed Mauritius </w:t>
      </w:r>
      <w:r w:rsidR="0087278C" w:rsidRPr="00813D19">
        <w:rPr>
          <w:bCs/>
          <w:lang w:val="en-US"/>
        </w:rPr>
        <w:t xml:space="preserve">for </w:t>
      </w:r>
      <w:r w:rsidR="00650601" w:rsidRPr="00813D19">
        <w:rPr>
          <w:bCs/>
          <w:lang w:val="en-US"/>
        </w:rPr>
        <w:t xml:space="preserve">its </w:t>
      </w:r>
      <w:r w:rsidR="0087278C" w:rsidRPr="00813D19">
        <w:rPr>
          <w:bCs/>
          <w:lang w:val="en-US"/>
        </w:rPr>
        <w:t>warm hospitality an</w:t>
      </w:r>
      <w:r w:rsidR="00650601" w:rsidRPr="00813D19">
        <w:rPr>
          <w:bCs/>
          <w:lang w:val="en-US"/>
        </w:rPr>
        <w:t xml:space="preserve">d </w:t>
      </w:r>
      <w:r w:rsidR="00DA63C3" w:rsidRPr="00813D19">
        <w:rPr>
          <w:bCs/>
          <w:lang w:val="en-US"/>
        </w:rPr>
        <w:t>for facilitating</w:t>
      </w:r>
      <w:r w:rsidR="00650601" w:rsidRPr="00813D19">
        <w:rPr>
          <w:bCs/>
          <w:lang w:val="en-US"/>
        </w:rPr>
        <w:t xml:space="preserve"> this meeting, and the Chairperson for his </w:t>
      </w:r>
      <w:r w:rsidR="0087278C" w:rsidRPr="00813D19">
        <w:rPr>
          <w:bCs/>
          <w:lang w:val="en-US"/>
        </w:rPr>
        <w:t xml:space="preserve">experience and leadership. </w:t>
      </w:r>
      <w:r w:rsidR="00650601" w:rsidRPr="00813D19">
        <w:rPr>
          <w:bCs/>
          <w:lang w:val="en-US"/>
        </w:rPr>
        <w:t xml:space="preserve">It was a </w:t>
      </w:r>
      <w:r w:rsidR="0087278C" w:rsidRPr="00813D19">
        <w:rPr>
          <w:bCs/>
          <w:lang w:val="en-US"/>
        </w:rPr>
        <w:t xml:space="preserve">great pleasure to </w:t>
      </w:r>
      <w:r w:rsidR="00650601" w:rsidRPr="00813D19">
        <w:rPr>
          <w:bCs/>
          <w:lang w:val="en-US"/>
        </w:rPr>
        <w:t xml:space="preserve">note </w:t>
      </w:r>
      <w:r w:rsidR="0087278C" w:rsidRPr="00813D19">
        <w:rPr>
          <w:bCs/>
          <w:lang w:val="en-US"/>
        </w:rPr>
        <w:t xml:space="preserve">that 178 States Parties </w:t>
      </w:r>
      <w:r w:rsidR="00650601" w:rsidRPr="00813D19">
        <w:rPr>
          <w:bCs/>
          <w:lang w:val="en-US"/>
        </w:rPr>
        <w:t xml:space="preserve">were </w:t>
      </w:r>
      <w:r w:rsidR="0087278C" w:rsidRPr="00813D19">
        <w:rPr>
          <w:bCs/>
          <w:lang w:val="en-US"/>
        </w:rPr>
        <w:t xml:space="preserve">now </w:t>
      </w:r>
      <w:r w:rsidR="00813D19" w:rsidRPr="00813D19">
        <w:rPr>
          <w:bCs/>
          <w:lang w:val="en-US"/>
        </w:rPr>
        <w:t>committed</w:t>
      </w:r>
      <w:r w:rsidR="0087278C" w:rsidRPr="00813D19">
        <w:rPr>
          <w:bCs/>
          <w:lang w:val="en-US"/>
        </w:rPr>
        <w:t xml:space="preserve"> to safeguarding intangible cultural heritage</w:t>
      </w:r>
      <w:r w:rsidR="00650601" w:rsidRPr="00813D19">
        <w:rPr>
          <w:bCs/>
          <w:lang w:val="en-US"/>
        </w:rPr>
        <w:t>, while</w:t>
      </w:r>
      <w:r w:rsidR="0087278C" w:rsidRPr="00813D19">
        <w:rPr>
          <w:bCs/>
          <w:lang w:val="en-US"/>
        </w:rPr>
        <w:t xml:space="preserve"> broad, geographically balanced participation </w:t>
      </w:r>
      <w:r w:rsidR="00650601" w:rsidRPr="00813D19">
        <w:rPr>
          <w:bCs/>
          <w:lang w:val="en-US"/>
        </w:rPr>
        <w:t xml:space="preserve">was </w:t>
      </w:r>
      <w:r w:rsidR="0087278C" w:rsidRPr="00813D19">
        <w:rPr>
          <w:bCs/>
          <w:lang w:val="en-US"/>
        </w:rPr>
        <w:t xml:space="preserve">crucial for </w:t>
      </w:r>
      <w:r w:rsidR="00650601" w:rsidRPr="00813D19">
        <w:rPr>
          <w:bCs/>
          <w:lang w:val="en-US"/>
        </w:rPr>
        <w:t>the sake of sustainability and long</w:t>
      </w:r>
      <w:r w:rsidR="005B61D9">
        <w:rPr>
          <w:bCs/>
          <w:lang w:val="en-US"/>
        </w:rPr>
        <w:t>-</w:t>
      </w:r>
      <w:r w:rsidR="0087278C" w:rsidRPr="00813D19">
        <w:rPr>
          <w:bCs/>
          <w:lang w:val="en-US"/>
        </w:rPr>
        <w:t xml:space="preserve">term progress. </w:t>
      </w:r>
      <w:r w:rsidR="00650601" w:rsidRPr="00813D19">
        <w:rPr>
          <w:bCs/>
          <w:lang w:val="en-US"/>
        </w:rPr>
        <w:t xml:space="preserve">The delegation </w:t>
      </w:r>
      <w:r w:rsidR="0087278C" w:rsidRPr="00813D19">
        <w:rPr>
          <w:bCs/>
          <w:lang w:val="en-US"/>
        </w:rPr>
        <w:t>also thank</w:t>
      </w:r>
      <w:r w:rsidR="00650601" w:rsidRPr="00813D19">
        <w:rPr>
          <w:bCs/>
          <w:lang w:val="en-US"/>
        </w:rPr>
        <w:t>ed</w:t>
      </w:r>
      <w:r w:rsidR="0087278C" w:rsidRPr="00813D19">
        <w:rPr>
          <w:bCs/>
          <w:lang w:val="en-US"/>
        </w:rPr>
        <w:t xml:space="preserve"> the Secretariat for its dedicated efforts</w:t>
      </w:r>
      <w:r w:rsidR="00650601" w:rsidRPr="00813D19">
        <w:rPr>
          <w:bCs/>
          <w:lang w:val="en-US"/>
        </w:rPr>
        <w:t>, congratulating</w:t>
      </w:r>
      <w:r w:rsidR="0087278C" w:rsidRPr="00813D19">
        <w:rPr>
          <w:bCs/>
          <w:lang w:val="en-US"/>
        </w:rPr>
        <w:t xml:space="preserve"> the Secretariat for the excellent preparation of the documents </w:t>
      </w:r>
      <w:r w:rsidR="00650601" w:rsidRPr="00813D19">
        <w:rPr>
          <w:bCs/>
          <w:lang w:val="en-US"/>
        </w:rPr>
        <w:t xml:space="preserve">despite the </w:t>
      </w:r>
      <w:r w:rsidR="0087278C" w:rsidRPr="00813D19">
        <w:rPr>
          <w:bCs/>
          <w:lang w:val="en-US"/>
        </w:rPr>
        <w:t xml:space="preserve">high workload. Indeed, the large amount of activities and achievements during the reporting period </w:t>
      </w:r>
      <w:r w:rsidR="005B61D9" w:rsidRPr="00813D19">
        <w:rPr>
          <w:bCs/>
          <w:lang w:val="en-US"/>
        </w:rPr>
        <w:t>w</w:t>
      </w:r>
      <w:r w:rsidR="005B61D9">
        <w:rPr>
          <w:bCs/>
          <w:lang w:val="en-US"/>
        </w:rPr>
        <w:t>ere</w:t>
      </w:r>
      <w:r w:rsidR="005B61D9" w:rsidRPr="00813D19">
        <w:rPr>
          <w:bCs/>
          <w:lang w:val="en-US"/>
        </w:rPr>
        <w:t xml:space="preserve"> </w:t>
      </w:r>
      <w:r w:rsidR="0087278C" w:rsidRPr="00813D19">
        <w:rPr>
          <w:bCs/>
          <w:lang w:val="en-US"/>
        </w:rPr>
        <w:t xml:space="preserve">impressive and </w:t>
      </w:r>
      <w:r w:rsidR="00231695" w:rsidRPr="00813D19">
        <w:rPr>
          <w:bCs/>
          <w:lang w:val="en-US"/>
        </w:rPr>
        <w:t xml:space="preserve">it was </w:t>
      </w:r>
      <w:r w:rsidR="0087278C" w:rsidRPr="00813D19">
        <w:rPr>
          <w:bCs/>
          <w:lang w:val="en-US"/>
        </w:rPr>
        <w:t>hope</w:t>
      </w:r>
      <w:r w:rsidR="00231695" w:rsidRPr="00813D19">
        <w:rPr>
          <w:bCs/>
          <w:lang w:val="en-US"/>
        </w:rPr>
        <w:t>d</w:t>
      </w:r>
      <w:r w:rsidR="0087278C" w:rsidRPr="00813D19">
        <w:rPr>
          <w:bCs/>
          <w:lang w:val="en-US"/>
        </w:rPr>
        <w:t xml:space="preserve"> that the work on communication and outreach presented at the General Assembly </w:t>
      </w:r>
      <w:r w:rsidR="00231695" w:rsidRPr="00813D19">
        <w:rPr>
          <w:bCs/>
          <w:lang w:val="en-US"/>
        </w:rPr>
        <w:t xml:space="preserve">would </w:t>
      </w:r>
      <w:r w:rsidR="0087278C" w:rsidRPr="00813D19">
        <w:rPr>
          <w:bCs/>
          <w:lang w:val="en-US"/>
        </w:rPr>
        <w:t xml:space="preserve">also be presented </w:t>
      </w:r>
      <w:r w:rsidR="00231695" w:rsidRPr="00813D19">
        <w:rPr>
          <w:bCs/>
          <w:lang w:val="en-US"/>
        </w:rPr>
        <w:t xml:space="preserve">and available to Member States </w:t>
      </w:r>
      <w:r w:rsidR="0087278C" w:rsidRPr="00813D19">
        <w:rPr>
          <w:bCs/>
          <w:lang w:val="en-US"/>
        </w:rPr>
        <w:t xml:space="preserve">at </w:t>
      </w:r>
      <w:r w:rsidR="00231695" w:rsidRPr="00813D19">
        <w:rPr>
          <w:bCs/>
          <w:lang w:val="en-US"/>
        </w:rPr>
        <w:t>the present meeting</w:t>
      </w:r>
      <w:r w:rsidR="0087278C" w:rsidRPr="00813D19">
        <w:rPr>
          <w:bCs/>
          <w:lang w:val="en-US"/>
        </w:rPr>
        <w:t xml:space="preserve">. Many important projects and initiatives </w:t>
      </w:r>
      <w:r w:rsidR="00231695" w:rsidRPr="00813D19">
        <w:rPr>
          <w:bCs/>
          <w:lang w:val="en-US"/>
        </w:rPr>
        <w:t xml:space="preserve">were </w:t>
      </w:r>
      <w:r w:rsidR="0087278C" w:rsidRPr="00813D19">
        <w:rPr>
          <w:bCs/>
          <w:lang w:val="en-US"/>
        </w:rPr>
        <w:t xml:space="preserve">being implemented </w:t>
      </w:r>
      <w:r w:rsidR="00231695" w:rsidRPr="00813D19">
        <w:rPr>
          <w:bCs/>
          <w:lang w:val="en-US"/>
        </w:rPr>
        <w:t xml:space="preserve">that would </w:t>
      </w:r>
      <w:r w:rsidR="0087278C" w:rsidRPr="00813D19">
        <w:rPr>
          <w:bCs/>
          <w:lang w:val="en-US"/>
        </w:rPr>
        <w:t xml:space="preserve">contribute to several </w:t>
      </w:r>
      <w:r w:rsidR="00231695" w:rsidRPr="00813D19">
        <w:rPr>
          <w:bCs/>
          <w:lang w:val="en-US"/>
        </w:rPr>
        <w:t xml:space="preserve">of the </w:t>
      </w:r>
      <w:r w:rsidR="0087278C" w:rsidRPr="00813D19">
        <w:rPr>
          <w:bCs/>
          <w:lang w:val="en-US"/>
        </w:rPr>
        <w:t>goals of the 2030 Agenda</w:t>
      </w:r>
      <w:r w:rsidR="00231695" w:rsidRPr="00813D19">
        <w:rPr>
          <w:bCs/>
          <w:lang w:val="en-US"/>
        </w:rPr>
        <w:t>,</w:t>
      </w:r>
      <w:r w:rsidR="0087278C" w:rsidRPr="00813D19">
        <w:rPr>
          <w:bCs/>
          <w:lang w:val="en-US"/>
        </w:rPr>
        <w:t xml:space="preserve"> and </w:t>
      </w:r>
      <w:r w:rsidR="00231695" w:rsidRPr="00813D19">
        <w:rPr>
          <w:bCs/>
          <w:lang w:val="en-US"/>
        </w:rPr>
        <w:t xml:space="preserve">the delegation noted </w:t>
      </w:r>
      <w:r w:rsidR="0087278C" w:rsidRPr="00813D19">
        <w:rPr>
          <w:bCs/>
          <w:lang w:val="en-US"/>
        </w:rPr>
        <w:t xml:space="preserve">with great </w:t>
      </w:r>
      <w:r w:rsidR="0087278C" w:rsidRPr="00813D19">
        <w:rPr>
          <w:bCs/>
          <w:lang w:val="en-US"/>
        </w:rPr>
        <w:lastRenderedPageBreak/>
        <w:t>interest the growing demand of the glo</w:t>
      </w:r>
      <w:r w:rsidR="00231695" w:rsidRPr="00813D19">
        <w:rPr>
          <w:bCs/>
          <w:lang w:val="en-US"/>
        </w:rPr>
        <w:t>bal capacity-building programme, welcoming</w:t>
      </w:r>
      <w:r w:rsidR="0087278C" w:rsidRPr="00813D19">
        <w:rPr>
          <w:bCs/>
          <w:lang w:val="en-US"/>
        </w:rPr>
        <w:t xml:space="preserve"> </w:t>
      </w:r>
      <w:r w:rsidR="00231695" w:rsidRPr="00813D19">
        <w:rPr>
          <w:bCs/>
          <w:lang w:val="en-US"/>
        </w:rPr>
        <w:t xml:space="preserve">its </w:t>
      </w:r>
      <w:r w:rsidR="0087278C" w:rsidRPr="00813D19">
        <w:rPr>
          <w:bCs/>
          <w:lang w:val="en-US"/>
        </w:rPr>
        <w:t xml:space="preserve">broad scope of actions through </w:t>
      </w:r>
      <w:r w:rsidR="00231695" w:rsidRPr="00813D19">
        <w:rPr>
          <w:bCs/>
          <w:lang w:val="en-US"/>
        </w:rPr>
        <w:t xml:space="preserve">its </w:t>
      </w:r>
      <w:r w:rsidR="0087278C" w:rsidRPr="00813D19">
        <w:rPr>
          <w:bCs/>
          <w:lang w:val="en-US"/>
        </w:rPr>
        <w:t xml:space="preserve">inspiring projects </w:t>
      </w:r>
      <w:r w:rsidR="00231695" w:rsidRPr="00813D19">
        <w:rPr>
          <w:bCs/>
          <w:lang w:val="en-US"/>
        </w:rPr>
        <w:t xml:space="preserve">in </w:t>
      </w:r>
      <w:r w:rsidR="0087278C" w:rsidRPr="00813D19">
        <w:rPr>
          <w:bCs/>
          <w:lang w:val="en-US"/>
        </w:rPr>
        <w:t xml:space="preserve">a wide range of safeguarding areas. </w:t>
      </w:r>
      <w:r w:rsidR="00231695" w:rsidRPr="00813D19">
        <w:rPr>
          <w:bCs/>
          <w:lang w:val="en-US"/>
        </w:rPr>
        <w:t xml:space="preserve">The delegation noted that the report made reference to the </w:t>
      </w:r>
      <w:r w:rsidR="0087278C" w:rsidRPr="00813D19">
        <w:rPr>
          <w:bCs/>
          <w:lang w:val="en-US"/>
        </w:rPr>
        <w:t>Secretariat</w:t>
      </w:r>
      <w:r w:rsidR="00231695" w:rsidRPr="00813D19">
        <w:rPr>
          <w:bCs/>
          <w:lang w:val="en-US"/>
        </w:rPr>
        <w:t>’s</w:t>
      </w:r>
      <w:r w:rsidR="0087278C" w:rsidRPr="00813D19">
        <w:rPr>
          <w:bCs/>
          <w:lang w:val="en-US"/>
        </w:rPr>
        <w:t xml:space="preserve"> </w:t>
      </w:r>
      <w:r w:rsidR="00231695" w:rsidRPr="00813D19">
        <w:rPr>
          <w:bCs/>
          <w:lang w:val="en-US"/>
        </w:rPr>
        <w:t>exploration of</w:t>
      </w:r>
      <w:r w:rsidR="0087278C" w:rsidRPr="00813D19">
        <w:rPr>
          <w:bCs/>
          <w:lang w:val="en-US"/>
        </w:rPr>
        <w:t xml:space="preserve"> potential partnerships and partnership modalities, </w:t>
      </w:r>
      <w:r w:rsidR="00231695" w:rsidRPr="00813D19">
        <w:rPr>
          <w:bCs/>
          <w:lang w:val="en-US"/>
        </w:rPr>
        <w:t xml:space="preserve">and it </w:t>
      </w:r>
      <w:r w:rsidR="0087278C" w:rsidRPr="00813D19">
        <w:rPr>
          <w:bCs/>
          <w:lang w:val="en-US"/>
        </w:rPr>
        <w:t>appreciate</w:t>
      </w:r>
      <w:r w:rsidR="00231695" w:rsidRPr="00813D19">
        <w:rPr>
          <w:bCs/>
          <w:lang w:val="en-US"/>
        </w:rPr>
        <w:t>d</w:t>
      </w:r>
      <w:r w:rsidR="0087278C" w:rsidRPr="00813D19">
        <w:rPr>
          <w:bCs/>
          <w:lang w:val="en-US"/>
        </w:rPr>
        <w:t xml:space="preserve"> </w:t>
      </w:r>
      <w:r w:rsidR="00231695" w:rsidRPr="00813D19">
        <w:rPr>
          <w:bCs/>
          <w:lang w:val="en-US"/>
        </w:rPr>
        <w:t xml:space="preserve">any </w:t>
      </w:r>
      <w:r w:rsidR="0087278C" w:rsidRPr="00813D19">
        <w:rPr>
          <w:bCs/>
          <w:lang w:val="en-US"/>
        </w:rPr>
        <w:t xml:space="preserve">information on </w:t>
      </w:r>
      <w:r w:rsidR="00231695" w:rsidRPr="00813D19">
        <w:rPr>
          <w:bCs/>
          <w:lang w:val="en-US"/>
        </w:rPr>
        <w:t xml:space="preserve">the </w:t>
      </w:r>
      <w:r w:rsidR="0087278C" w:rsidRPr="00813D19">
        <w:rPr>
          <w:bCs/>
          <w:lang w:val="en-US"/>
        </w:rPr>
        <w:t xml:space="preserve">partners </w:t>
      </w:r>
      <w:r w:rsidR="00231695" w:rsidRPr="00813D19">
        <w:rPr>
          <w:bCs/>
          <w:lang w:val="en-US"/>
        </w:rPr>
        <w:t xml:space="preserve">and </w:t>
      </w:r>
      <w:r w:rsidR="0087278C" w:rsidRPr="00813D19">
        <w:rPr>
          <w:bCs/>
          <w:lang w:val="en-US"/>
        </w:rPr>
        <w:t xml:space="preserve">modalities </w:t>
      </w:r>
      <w:r w:rsidR="00231695" w:rsidRPr="00813D19">
        <w:rPr>
          <w:bCs/>
          <w:lang w:val="en-US"/>
        </w:rPr>
        <w:t xml:space="preserve">if such information was available. </w:t>
      </w:r>
      <w:r w:rsidR="009132DD" w:rsidRPr="00813D19">
        <w:rPr>
          <w:bCs/>
          <w:lang w:val="en-US"/>
        </w:rPr>
        <w:t>It</w:t>
      </w:r>
      <w:r w:rsidR="00231695" w:rsidRPr="00813D19">
        <w:rPr>
          <w:bCs/>
          <w:lang w:val="en-US"/>
        </w:rPr>
        <w:t xml:space="preserve"> concluded by </w:t>
      </w:r>
      <w:r w:rsidR="0087278C" w:rsidRPr="00813D19">
        <w:rPr>
          <w:bCs/>
          <w:lang w:val="en-US"/>
        </w:rPr>
        <w:t>thank</w:t>
      </w:r>
      <w:r w:rsidR="00231695" w:rsidRPr="00813D19">
        <w:rPr>
          <w:bCs/>
          <w:lang w:val="en-US"/>
        </w:rPr>
        <w:t>ing</w:t>
      </w:r>
      <w:r w:rsidR="0087278C" w:rsidRPr="00813D19">
        <w:rPr>
          <w:bCs/>
          <w:lang w:val="en-US"/>
        </w:rPr>
        <w:t xml:space="preserve"> all the countries that </w:t>
      </w:r>
      <w:r w:rsidR="00231695" w:rsidRPr="00813D19">
        <w:rPr>
          <w:bCs/>
          <w:lang w:val="en-US"/>
        </w:rPr>
        <w:t xml:space="preserve">had </w:t>
      </w:r>
      <w:r w:rsidR="0087278C" w:rsidRPr="00813D19">
        <w:rPr>
          <w:bCs/>
          <w:lang w:val="en-US"/>
        </w:rPr>
        <w:t>supported the Convention and the Secretariat through voluntary supplementary contributions and other form</w:t>
      </w:r>
      <w:r w:rsidR="00B67A60">
        <w:rPr>
          <w:bCs/>
          <w:lang w:val="en-US"/>
        </w:rPr>
        <w:t>s of support.</w:t>
      </w:r>
    </w:p>
    <w:p w14:paraId="519422A8" w14:textId="78F4DD24" w:rsidR="00614137" w:rsidRPr="00813D19" w:rsidRDefault="00614137" w:rsidP="00614137">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 </w:t>
      </w:r>
      <w:r w:rsidR="00231695" w:rsidRPr="00813D19">
        <w:rPr>
          <w:bCs/>
          <w:lang w:val="en-US"/>
        </w:rPr>
        <w:t>congratulated</w:t>
      </w:r>
      <w:r w:rsidR="0087278C" w:rsidRPr="00813D19">
        <w:rPr>
          <w:bCs/>
          <w:lang w:val="en-US"/>
        </w:rPr>
        <w:t xml:space="preserve"> </w:t>
      </w:r>
      <w:r w:rsidR="00231695" w:rsidRPr="00813D19">
        <w:rPr>
          <w:bCs/>
          <w:lang w:val="en-US"/>
        </w:rPr>
        <w:t xml:space="preserve">the Chairperson </w:t>
      </w:r>
      <w:r w:rsidR="0087278C" w:rsidRPr="00813D19">
        <w:rPr>
          <w:bCs/>
          <w:lang w:val="en-US"/>
        </w:rPr>
        <w:t xml:space="preserve">on </w:t>
      </w:r>
      <w:r w:rsidR="006918C2" w:rsidRPr="00813D19">
        <w:rPr>
          <w:bCs/>
          <w:lang w:val="en-US"/>
        </w:rPr>
        <w:t>his election</w:t>
      </w:r>
      <w:r w:rsidR="00231695" w:rsidRPr="00813D19">
        <w:rPr>
          <w:bCs/>
          <w:lang w:val="en-US"/>
        </w:rPr>
        <w:t xml:space="preserve"> and warmly </w:t>
      </w:r>
      <w:r w:rsidR="0087278C" w:rsidRPr="00813D19">
        <w:rPr>
          <w:bCs/>
          <w:lang w:val="en-US"/>
        </w:rPr>
        <w:t>thank</w:t>
      </w:r>
      <w:r w:rsidR="00231695" w:rsidRPr="00813D19">
        <w:rPr>
          <w:bCs/>
          <w:lang w:val="en-US"/>
        </w:rPr>
        <w:t>ed</w:t>
      </w:r>
      <w:r w:rsidR="00505512" w:rsidRPr="00813D19">
        <w:rPr>
          <w:bCs/>
          <w:lang w:val="en-US"/>
        </w:rPr>
        <w:t xml:space="preserve"> the people and the G</w:t>
      </w:r>
      <w:r w:rsidR="0087278C" w:rsidRPr="00813D19">
        <w:rPr>
          <w:bCs/>
          <w:lang w:val="en-US"/>
        </w:rPr>
        <w:t xml:space="preserve">overnment of Mauritius for graciously hosting </w:t>
      </w:r>
      <w:r w:rsidR="00231695" w:rsidRPr="00813D19">
        <w:rPr>
          <w:bCs/>
          <w:lang w:val="en-US"/>
        </w:rPr>
        <w:t>the meeting</w:t>
      </w:r>
      <w:r w:rsidR="0087278C" w:rsidRPr="00813D19">
        <w:rPr>
          <w:bCs/>
          <w:lang w:val="en-US"/>
        </w:rPr>
        <w:t xml:space="preserve">. </w:t>
      </w:r>
      <w:r w:rsidR="00231695" w:rsidRPr="00813D19">
        <w:rPr>
          <w:bCs/>
          <w:lang w:val="en-US"/>
        </w:rPr>
        <w:t xml:space="preserve">It </w:t>
      </w:r>
      <w:r w:rsidR="0087278C" w:rsidRPr="00813D19">
        <w:rPr>
          <w:bCs/>
          <w:lang w:val="en-US"/>
        </w:rPr>
        <w:t>thank</w:t>
      </w:r>
      <w:r w:rsidR="00231695" w:rsidRPr="00813D19">
        <w:rPr>
          <w:bCs/>
          <w:lang w:val="en-US"/>
        </w:rPr>
        <w:t>ed</w:t>
      </w:r>
      <w:r w:rsidR="0087278C" w:rsidRPr="00813D19">
        <w:rPr>
          <w:bCs/>
          <w:lang w:val="en-US"/>
        </w:rPr>
        <w:t xml:space="preserve"> the Secretariat for its report and the additional documents related to this item. </w:t>
      </w:r>
      <w:r w:rsidR="00ED6287" w:rsidRPr="00813D19">
        <w:rPr>
          <w:bCs/>
          <w:lang w:val="en-US"/>
        </w:rPr>
        <w:t xml:space="preserve">It was noted that </w:t>
      </w:r>
      <w:r w:rsidR="0087278C" w:rsidRPr="00813D19">
        <w:rPr>
          <w:bCs/>
          <w:lang w:val="en-US"/>
        </w:rPr>
        <w:t xml:space="preserve">the Convention </w:t>
      </w:r>
      <w:r w:rsidR="00ED6287" w:rsidRPr="00813D19">
        <w:rPr>
          <w:bCs/>
          <w:lang w:val="en-US"/>
        </w:rPr>
        <w:t>was evolving</w:t>
      </w:r>
      <w:r w:rsidR="0087278C" w:rsidRPr="00813D19">
        <w:rPr>
          <w:bCs/>
          <w:lang w:val="en-US"/>
        </w:rPr>
        <w:t xml:space="preserve"> with more and more States Parties and elements on its Lists, especially the Representative List, </w:t>
      </w:r>
      <w:r w:rsidR="00ED6287" w:rsidRPr="00813D19">
        <w:rPr>
          <w:bCs/>
          <w:lang w:val="en-US"/>
        </w:rPr>
        <w:t xml:space="preserve">with </w:t>
      </w:r>
      <w:r w:rsidR="0087278C" w:rsidRPr="00813D19">
        <w:rPr>
          <w:bCs/>
          <w:lang w:val="en-US"/>
        </w:rPr>
        <w:t xml:space="preserve">new issues and challenges constantly emerging </w:t>
      </w:r>
      <w:r w:rsidR="0064704B" w:rsidRPr="00813D19">
        <w:rPr>
          <w:bCs/>
          <w:lang w:val="en-US"/>
        </w:rPr>
        <w:t xml:space="preserve">and thus </w:t>
      </w:r>
      <w:r w:rsidR="0087278C" w:rsidRPr="00813D19">
        <w:rPr>
          <w:bCs/>
          <w:lang w:val="en-US"/>
        </w:rPr>
        <w:t>the expectations and responsibilities of the Committ</w:t>
      </w:r>
      <w:r w:rsidR="0064704B" w:rsidRPr="00813D19">
        <w:rPr>
          <w:bCs/>
          <w:lang w:val="en-US"/>
        </w:rPr>
        <w:t>ee and the Secretariat continued</w:t>
      </w:r>
      <w:r w:rsidR="0087278C" w:rsidRPr="00813D19">
        <w:rPr>
          <w:bCs/>
          <w:lang w:val="en-US"/>
        </w:rPr>
        <w:t xml:space="preserve"> to expand. Therefore, a robust, efficient, transparent and credible </w:t>
      </w:r>
      <w:r w:rsidR="0064704B" w:rsidRPr="00813D19">
        <w:rPr>
          <w:bCs/>
          <w:lang w:val="en-US"/>
        </w:rPr>
        <w:t xml:space="preserve">system was </w:t>
      </w:r>
      <w:r w:rsidR="0087278C" w:rsidRPr="00813D19">
        <w:rPr>
          <w:bCs/>
          <w:lang w:val="en-US"/>
        </w:rPr>
        <w:t>needed to support States Parties, the Committee and the Secretariat in its collective efforts to safeguard intangible cultural heritage</w:t>
      </w:r>
      <w:r w:rsidR="00505512" w:rsidRPr="00813D19">
        <w:rPr>
          <w:bCs/>
          <w:lang w:val="en-US"/>
        </w:rPr>
        <w:t xml:space="preserve">, </w:t>
      </w:r>
      <w:r w:rsidR="0064704B" w:rsidRPr="00813D19">
        <w:rPr>
          <w:bCs/>
          <w:lang w:val="en-US"/>
        </w:rPr>
        <w:t xml:space="preserve">the </w:t>
      </w:r>
      <w:r w:rsidR="0087278C" w:rsidRPr="00813D19">
        <w:rPr>
          <w:bCs/>
          <w:lang w:val="en-US"/>
        </w:rPr>
        <w:t>overarching goal</w:t>
      </w:r>
      <w:r w:rsidR="0064704B" w:rsidRPr="00813D19">
        <w:rPr>
          <w:bCs/>
          <w:lang w:val="en-US"/>
        </w:rPr>
        <w:t xml:space="preserve">. </w:t>
      </w:r>
      <w:r w:rsidR="0087278C" w:rsidRPr="00813D19">
        <w:rPr>
          <w:bCs/>
          <w:lang w:val="en-US"/>
        </w:rPr>
        <w:t>The Lists are visible tools for safeguarding and raising awareness</w:t>
      </w:r>
      <w:r w:rsidR="0064704B" w:rsidRPr="00813D19">
        <w:rPr>
          <w:bCs/>
          <w:lang w:val="en-US"/>
        </w:rPr>
        <w:t>,</w:t>
      </w:r>
      <w:r w:rsidR="0087278C" w:rsidRPr="00813D19">
        <w:rPr>
          <w:bCs/>
          <w:lang w:val="en-US"/>
        </w:rPr>
        <w:t xml:space="preserve"> but </w:t>
      </w:r>
      <w:r w:rsidR="0064704B" w:rsidRPr="00813D19">
        <w:rPr>
          <w:bCs/>
          <w:lang w:val="en-US"/>
        </w:rPr>
        <w:t xml:space="preserve">was this focus doing </w:t>
      </w:r>
      <w:r w:rsidR="0087278C" w:rsidRPr="00813D19">
        <w:rPr>
          <w:bCs/>
          <w:lang w:val="en-US"/>
        </w:rPr>
        <w:t xml:space="preserve">more harm than good? </w:t>
      </w:r>
      <w:r w:rsidR="0064704B" w:rsidRPr="00813D19">
        <w:rPr>
          <w:bCs/>
          <w:lang w:val="en-US"/>
        </w:rPr>
        <w:t xml:space="preserve">A </w:t>
      </w:r>
      <w:r w:rsidR="0087278C" w:rsidRPr="00813D19">
        <w:rPr>
          <w:bCs/>
          <w:lang w:val="en-US"/>
        </w:rPr>
        <w:t>reflection on the nature of the listing mechanisms</w:t>
      </w:r>
      <w:r w:rsidR="0064704B" w:rsidRPr="00813D19">
        <w:rPr>
          <w:bCs/>
          <w:lang w:val="en-US"/>
        </w:rPr>
        <w:t xml:space="preserve"> was thus timely</w:t>
      </w:r>
      <w:r w:rsidR="006918C2" w:rsidRPr="00813D19">
        <w:rPr>
          <w:bCs/>
          <w:lang w:val="en-US"/>
        </w:rPr>
        <w:t>, as well as a closer examination</w:t>
      </w:r>
      <w:r w:rsidR="0087278C" w:rsidRPr="00813D19">
        <w:rPr>
          <w:bCs/>
          <w:lang w:val="en-US"/>
        </w:rPr>
        <w:t xml:space="preserve"> </w:t>
      </w:r>
      <w:r w:rsidR="006918C2" w:rsidRPr="00813D19">
        <w:rPr>
          <w:bCs/>
          <w:lang w:val="en-US"/>
        </w:rPr>
        <w:t xml:space="preserve">of the </w:t>
      </w:r>
      <w:r w:rsidR="0087278C" w:rsidRPr="00813D19">
        <w:rPr>
          <w:bCs/>
          <w:lang w:val="en-US"/>
        </w:rPr>
        <w:t xml:space="preserve">spirit and procedures by which nominations </w:t>
      </w:r>
      <w:r w:rsidR="006918C2" w:rsidRPr="00813D19">
        <w:rPr>
          <w:bCs/>
          <w:lang w:val="en-US"/>
        </w:rPr>
        <w:t xml:space="preserve">were </w:t>
      </w:r>
      <w:r w:rsidR="0087278C" w:rsidRPr="00813D19">
        <w:rPr>
          <w:bCs/>
          <w:lang w:val="en-US"/>
        </w:rPr>
        <w:t xml:space="preserve">evaluated. </w:t>
      </w:r>
      <w:r w:rsidR="006918C2" w:rsidRPr="00813D19">
        <w:rPr>
          <w:bCs/>
          <w:lang w:val="en-US"/>
        </w:rPr>
        <w:t xml:space="preserve">The delegation also wished to hear </w:t>
      </w:r>
      <w:r w:rsidR="0087278C" w:rsidRPr="00813D19">
        <w:rPr>
          <w:bCs/>
          <w:lang w:val="en-US"/>
        </w:rPr>
        <w:t>about the outcome of the sixth annual coordina</w:t>
      </w:r>
      <w:r w:rsidR="006918C2" w:rsidRPr="00813D19">
        <w:rPr>
          <w:bCs/>
          <w:lang w:val="en-US"/>
        </w:rPr>
        <w:t>tion meeting on category 2 cent</w:t>
      </w:r>
      <w:r w:rsidR="0087278C" w:rsidRPr="00813D19">
        <w:rPr>
          <w:bCs/>
          <w:lang w:val="en-US"/>
        </w:rPr>
        <w:t>r</w:t>
      </w:r>
      <w:r w:rsidR="006918C2" w:rsidRPr="00813D19">
        <w:rPr>
          <w:bCs/>
          <w:lang w:val="en-US"/>
        </w:rPr>
        <w:t>e</w:t>
      </w:r>
      <w:r w:rsidR="0087278C" w:rsidRPr="00813D19">
        <w:rPr>
          <w:bCs/>
          <w:lang w:val="en-US"/>
        </w:rPr>
        <w:t xml:space="preserve">s held in June </w:t>
      </w:r>
      <w:r w:rsidR="006918C2" w:rsidRPr="00813D19">
        <w:rPr>
          <w:bCs/>
          <w:lang w:val="en-US"/>
        </w:rPr>
        <w:t xml:space="preserve">in 2018, adding that it </w:t>
      </w:r>
      <w:r w:rsidR="0087278C" w:rsidRPr="00813D19">
        <w:rPr>
          <w:bCs/>
          <w:lang w:val="en-US"/>
        </w:rPr>
        <w:t>welcome</w:t>
      </w:r>
      <w:r w:rsidR="006918C2" w:rsidRPr="00813D19">
        <w:rPr>
          <w:bCs/>
          <w:lang w:val="en-US"/>
        </w:rPr>
        <w:t>d</w:t>
      </w:r>
      <w:r w:rsidR="0087278C" w:rsidRPr="00813D19">
        <w:rPr>
          <w:bCs/>
          <w:lang w:val="en-US"/>
        </w:rPr>
        <w:t xml:space="preserve"> the work on outreach and communications</w:t>
      </w:r>
      <w:r w:rsidR="006918C2" w:rsidRPr="00813D19">
        <w:rPr>
          <w:bCs/>
          <w:lang w:val="en-US"/>
        </w:rPr>
        <w:t>,</w:t>
      </w:r>
      <w:r w:rsidR="0087278C" w:rsidRPr="00813D19">
        <w:rPr>
          <w:bCs/>
          <w:lang w:val="en-US"/>
        </w:rPr>
        <w:t xml:space="preserve"> especially </w:t>
      </w:r>
      <w:r w:rsidR="006918C2" w:rsidRPr="00813D19">
        <w:rPr>
          <w:bCs/>
          <w:lang w:val="en-US"/>
        </w:rPr>
        <w:t xml:space="preserve">in </w:t>
      </w:r>
      <w:r w:rsidR="0087278C" w:rsidRPr="00813D19">
        <w:rPr>
          <w:bCs/>
          <w:lang w:val="en-US"/>
        </w:rPr>
        <w:t xml:space="preserve">the production of documentaries </w:t>
      </w:r>
      <w:r w:rsidR="006918C2" w:rsidRPr="00813D19">
        <w:rPr>
          <w:bCs/>
          <w:lang w:val="en-US"/>
        </w:rPr>
        <w:t xml:space="preserve">that could </w:t>
      </w:r>
      <w:r w:rsidR="0087278C" w:rsidRPr="00813D19">
        <w:rPr>
          <w:bCs/>
          <w:lang w:val="en-US"/>
        </w:rPr>
        <w:t xml:space="preserve">help the public and relevant authorities attain </w:t>
      </w:r>
      <w:r w:rsidR="00E325E5" w:rsidRPr="00813D19">
        <w:rPr>
          <w:bCs/>
          <w:lang w:val="en-US"/>
        </w:rPr>
        <w:t xml:space="preserve">a </w:t>
      </w:r>
      <w:r w:rsidR="0087278C" w:rsidRPr="00813D19">
        <w:rPr>
          <w:bCs/>
          <w:lang w:val="en-US"/>
        </w:rPr>
        <w:t xml:space="preserve">better appreciation of </w:t>
      </w:r>
      <w:r w:rsidR="006918C2" w:rsidRPr="00813D19">
        <w:rPr>
          <w:bCs/>
          <w:lang w:val="en-US"/>
        </w:rPr>
        <w:t xml:space="preserve">intangible cultural heritage </w:t>
      </w:r>
      <w:r w:rsidR="0087278C" w:rsidRPr="00813D19">
        <w:rPr>
          <w:bCs/>
          <w:lang w:val="en-US"/>
        </w:rPr>
        <w:t xml:space="preserve">in relation to </w:t>
      </w:r>
      <w:r w:rsidR="006918C2" w:rsidRPr="00813D19">
        <w:rPr>
          <w:bCs/>
          <w:lang w:val="en-US"/>
        </w:rPr>
        <w:t xml:space="preserve">the recurrent challenges of criterion R.2. Finally, it sought to hear more about the </w:t>
      </w:r>
      <w:r w:rsidR="0087278C" w:rsidRPr="00813D19">
        <w:rPr>
          <w:bCs/>
          <w:lang w:val="en-US"/>
        </w:rPr>
        <w:t xml:space="preserve">impact of the restructuring of the Culture Sector on the </w:t>
      </w:r>
      <w:r w:rsidR="006918C2" w:rsidRPr="00813D19">
        <w:rPr>
          <w:bCs/>
          <w:lang w:val="en-US"/>
        </w:rPr>
        <w:t>Convention</w:t>
      </w:r>
      <w:r w:rsidR="005B61D9">
        <w:rPr>
          <w:bCs/>
          <w:lang w:val="en-US"/>
        </w:rPr>
        <w:t>’s</w:t>
      </w:r>
      <w:r w:rsidR="006918C2" w:rsidRPr="00813D19">
        <w:rPr>
          <w:bCs/>
          <w:lang w:val="en-US"/>
        </w:rPr>
        <w:t xml:space="preserve"> Secretariat.</w:t>
      </w:r>
    </w:p>
    <w:p w14:paraId="3B026C56" w14:textId="6EC987FE" w:rsidR="00614137" w:rsidRPr="00813D19" w:rsidRDefault="00614137" w:rsidP="00614137">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w:t>
      </w:r>
      <w:r w:rsidR="0087278C" w:rsidRPr="00813D19">
        <w:rPr>
          <w:b/>
          <w:color w:val="000000" w:themeColor="text1"/>
          <w:lang w:val="en-US"/>
        </w:rPr>
        <w:t xml:space="preserve">gation of Cuba </w:t>
      </w:r>
      <w:r w:rsidR="00E325E5" w:rsidRPr="00813D19">
        <w:rPr>
          <w:color w:val="000000" w:themeColor="text1"/>
          <w:lang w:val="en-US"/>
        </w:rPr>
        <w:t>wished</w:t>
      </w:r>
      <w:r w:rsidR="00E325E5" w:rsidRPr="00813D19">
        <w:rPr>
          <w:b/>
          <w:color w:val="000000" w:themeColor="text1"/>
          <w:lang w:val="en-US"/>
        </w:rPr>
        <w:t xml:space="preserve"> </w:t>
      </w:r>
      <w:r w:rsidR="0087278C" w:rsidRPr="00813D19">
        <w:rPr>
          <w:bCs/>
          <w:lang w:val="en-US"/>
        </w:rPr>
        <w:t xml:space="preserve">to address </w:t>
      </w:r>
      <w:r w:rsidR="00E325E5" w:rsidRPr="00813D19">
        <w:rPr>
          <w:bCs/>
          <w:lang w:val="en-US"/>
        </w:rPr>
        <w:t xml:space="preserve">the issue of </w:t>
      </w:r>
      <w:r w:rsidR="0087278C" w:rsidRPr="00813D19">
        <w:rPr>
          <w:bCs/>
          <w:lang w:val="en-US"/>
        </w:rPr>
        <w:t>higher education</w:t>
      </w:r>
      <w:r w:rsidR="00E325E5" w:rsidRPr="00813D19">
        <w:rPr>
          <w:bCs/>
          <w:lang w:val="en-US"/>
        </w:rPr>
        <w:t>,</w:t>
      </w:r>
      <w:r w:rsidR="0087278C" w:rsidRPr="00813D19">
        <w:rPr>
          <w:bCs/>
          <w:lang w:val="en-US"/>
        </w:rPr>
        <w:t xml:space="preserve"> particular</w:t>
      </w:r>
      <w:r w:rsidR="00E325E5" w:rsidRPr="00813D19">
        <w:rPr>
          <w:bCs/>
          <w:lang w:val="en-US"/>
        </w:rPr>
        <w:t>ly</w:t>
      </w:r>
      <w:r w:rsidR="0087278C" w:rsidRPr="00813D19">
        <w:rPr>
          <w:bCs/>
          <w:lang w:val="en-US"/>
        </w:rPr>
        <w:t xml:space="preserve"> tertiary education as priorities in the </w:t>
      </w:r>
      <w:r w:rsidR="00E325E5" w:rsidRPr="00813D19">
        <w:rPr>
          <w:bCs/>
          <w:lang w:val="en-US"/>
        </w:rPr>
        <w:t xml:space="preserve">Convention, adding that </w:t>
      </w:r>
      <w:r w:rsidR="0087278C" w:rsidRPr="00813D19">
        <w:rPr>
          <w:bCs/>
          <w:lang w:val="en-US"/>
        </w:rPr>
        <w:t xml:space="preserve">Cuba </w:t>
      </w:r>
      <w:r w:rsidR="00E325E5" w:rsidRPr="00813D19">
        <w:rPr>
          <w:bCs/>
          <w:lang w:val="en-US"/>
        </w:rPr>
        <w:t xml:space="preserve">was </w:t>
      </w:r>
      <w:r w:rsidR="0087278C" w:rsidRPr="00813D19">
        <w:rPr>
          <w:bCs/>
          <w:lang w:val="en-US"/>
        </w:rPr>
        <w:t xml:space="preserve">making great efforts to consolidate higher education and tertiary education </w:t>
      </w:r>
      <w:r w:rsidR="00E325E5" w:rsidRPr="00813D19">
        <w:rPr>
          <w:bCs/>
          <w:lang w:val="en-US"/>
        </w:rPr>
        <w:t xml:space="preserve">in the </w:t>
      </w:r>
      <w:r w:rsidR="0087278C" w:rsidRPr="00813D19">
        <w:rPr>
          <w:bCs/>
          <w:lang w:val="en-US"/>
        </w:rPr>
        <w:t>implement</w:t>
      </w:r>
      <w:r w:rsidR="00E325E5" w:rsidRPr="00813D19">
        <w:rPr>
          <w:bCs/>
          <w:lang w:val="en-US"/>
        </w:rPr>
        <w:t>ation of</w:t>
      </w:r>
      <w:r w:rsidR="0087278C" w:rsidRPr="00813D19">
        <w:rPr>
          <w:bCs/>
          <w:lang w:val="en-US"/>
        </w:rPr>
        <w:t xml:space="preserve"> the Convention. </w:t>
      </w:r>
      <w:r w:rsidR="00E325E5" w:rsidRPr="00813D19">
        <w:rPr>
          <w:bCs/>
          <w:lang w:val="en-US"/>
        </w:rPr>
        <w:t xml:space="preserve">In this regard, a </w:t>
      </w:r>
      <w:r w:rsidR="0087278C" w:rsidRPr="00813D19">
        <w:rPr>
          <w:bCs/>
          <w:lang w:val="en-US"/>
        </w:rPr>
        <w:t xml:space="preserve">new discipline </w:t>
      </w:r>
      <w:r w:rsidR="00E325E5" w:rsidRPr="00813D19">
        <w:rPr>
          <w:bCs/>
          <w:lang w:val="en-US"/>
        </w:rPr>
        <w:t xml:space="preserve">was </w:t>
      </w:r>
      <w:r w:rsidR="0087278C" w:rsidRPr="00813D19">
        <w:rPr>
          <w:bCs/>
          <w:lang w:val="en-US"/>
        </w:rPr>
        <w:t xml:space="preserve">being created </w:t>
      </w:r>
      <w:r w:rsidR="00E325E5" w:rsidRPr="00813D19">
        <w:rPr>
          <w:bCs/>
          <w:lang w:val="en-US"/>
        </w:rPr>
        <w:t xml:space="preserve">in Cuba in the field of cultural heritage </w:t>
      </w:r>
      <w:r w:rsidR="005B61D9">
        <w:rPr>
          <w:bCs/>
          <w:lang w:val="en-US"/>
        </w:rPr>
        <w:t>safeguarding</w:t>
      </w:r>
      <w:r w:rsidR="005B61D9" w:rsidRPr="00813D19">
        <w:rPr>
          <w:bCs/>
          <w:lang w:val="en-US"/>
        </w:rPr>
        <w:t xml:space="preserve"> </w:t>
      </w:r>
      <w:r w:rsidR="0087278C" w:rsidRPr="00813D19">
        <w:rPr>
          <w:bCs/>
          <w:lang w:val="en-US"/>
        </w:rPr>
        <w:t xml:space="preserve">with three different higher education </w:t>
      </w:r>
      <w:r w:rsidR="00505512" w:rsidRPr="00813D19">
        <w:rPr>
          <w:bCs/>
          <w:lang w:val="en-US"/>
        </w:rPr>
        <w:t>co</w:t>
      </w:r>
      <w:r w:rsidR="00E325E5" w:rsidRPr="00813D19">
        <w:rPr>
          <w:bCs/>
          <w:lang w:val="en-US"/>
        </w:rPr>
        <w:t xml:space="preserve">urses </w:t>
      </w:r>
      <w:r w:rsidR="0087278C" w:rsidRPr="00813D19">
        <w:rPr>
          <w:bCs/>
          <w:lang w:val="en-US"/>
        </w:rPr>
        <w:t xml:space="preserve">to train </w:t>
      </w:r>
      <w:r w:rsidR="00E325E5" w:rsidRPr="00813D19">
        <w:rPr>
          <w:bCs/>
          <w:lang w:val="en-US"/>
        </w:rPr>
        <w:t xml:space="preserve">the relevant </w:t>
      </w:r>
      <w:r w:rsidR="0087278C" w:rsidRPr="00813D19">
        <w:rPr>
          <w:bCs/>
          <w:lang w:val="en-US"/>
        </w:rPr>
        <w:t xml:space="preserve">professionals. </w:t>
      </w:r>
      <w:r w:rsidR="00E325E5" w:rsidRPr="00813D19">
        <w:rPr>
          <w:bCs/>
          <w:lang w:val="en-US"/>
        </w:rPr>
        <w:t xml:space="preserve">The authorities were </w:t>
      </w:r>
      <w:r w:rsidR="0087278C" w:rsidRPr="00813D19">
        <w:rPr>
          <w:bCs/>
          <w:lang w:val="en-US"/>
        </w:rPr>
        <w:t>working along</w:t>
      </w:r>
      <w:r w:rsidR="00E325E5" w:rsidRPr="00813D19">
        <w:rPr>
          <w:bCs/>
          <w:lang w:val="en-US"/>
        </w:rPr>
        <w:t>side</w:t>
      </w:r>
      <w:r w:rsidR="0087278C" w:rsidRPr="00813D19">
        <w:rPr>
          <w:bCs/>
          <w:lang w:val="en-US"/>
        </w:rPr>
        <w:t xml:space="preserve"> the European </w:t>
      </w:r>
      <w:r w:rsidR="00E325E5" w:rsidRPr="00813D19">
        <w:rPr>
          <w:bCs/>
          <w:lang w:val="en-US"/>
        </w:rPr>
        <w:t>Union to create a regional cent</w:t>
      </w:r>
      <w:r w:rsidR="0087278C" w:rsidRPr="00813D19">
        <w:rPr>
          <w:bCs/>
          <w:lang w:val="en-US"/>
        </w:rPr>
        <w:t>r</w:t>
      </w:r>
      <w:r w:rsidR="00E325E5" w:rsidRPr="00813D19">
        <w:rPr>
          <w:bCs/>
          <w:lang w:val="en-US"/>
        </w:rPr>
        <w:t>e</w:t>
      </w:r>
      <w:r w:rsidR="0087278C" w:rsidRPr="00813D19">
        <w:rPr>
          <w:bCs/>
          <w:lang w:val="en-US"/>
        </w:rPr>
        <w:t xml:space="preserve"> </w:t>
      </w:r>
      <w:r w:rsidR="00E325E5" w:rsidRPr="00813D19">
        <w:rPr>
          <w:bCs/>
          <w:lang w:val="en-US"/>
        </w:rPr>
        <w:t xml:space="preserve">in the </w:t>
      </w:r>
      <w:r w:rsidR="0087278C" w:rsidRPr="00813D19">
        <w:rPr>
          <w:bCs/>
          <w:lang w:val="en-US"/>
        </w:rPr>
        <w:t xml:space="preserve">Caribbean for the preservation and restoration of heritage, not </w:t>
      </w:r>
      <w:r w:rsidR="00E325E5" w:rsidRPr="00813D19">
        <w:rPr>
          <w:bCs/>
          <w:lang w:val="en-US"/>
        </w:rPr>
        <w:t xml:space="preserve">solely </w:t>
      </w:r>
      <w:r w:rsidR="0087278C" w:rsidRPr="00813D19">
        <w:rPr>
          <w:bCs/>
          <w:lang w:val="en-US"/>
        </w:rPr>
        <w:t xml:space="preserve">on the basis of culture but </w:t>
      </w:r>
      <w:r w:rsidR="00E325E5" w:rsidRPr="00813D19">
        <w:rPr>
          <w:bCs/>
          <w:lang w:val="en-US"/>
        </w:rPr>
        <w:t xml:space="preserve">also </w:t>
      </w:r>
      <w:r w:rsidR="00505512" w:rsidRPr="00813D19">
        <w:rPr>
          <w:bCs/>
          <w:lang w:val="en-US"/>
        </w:rPr>
        <w:t xml:space="preserve">to </w:t>
      </w:r>
      <w:r w:rsidR="00E325E5" w:rsidRPr="00813D19">
        <w:rPr>
          <w:bCs/>
          <w:lang w:val="en-US"/>
        </w:rPr>
        <w:t>include cultural diversity involving</w:t>
      </w:r>
      <w:r w:rsidR="0087278C" w:rsidRPr="00813D19">
        <w:rPr>
          <w:bCs/>
          <w:lang w:val="en-US"/>
        </w:rPr>
        <w:t xml:space="preserve"> the three relevant UNESCO Conventions. </w:t>
      </w:r>
      <w:r w:rsidR="00E325E5" w:rsidRPr="00813D19">
        <w:rPr>
          <w:bCs/>
          <w:lang w:val="en-US"/>
        </w:rPr>
        <w:t xml:space="preserve">The delegation remarked </w:t>
      </w:r>
      <w:r w:rsidR="00505512" w:rsidRPr="00813D19">
        <w:rPr>
          <w:bCs/>
          <w:lang w:val="en-US"/>
        </w:rPr>
        <w:t>on</w:t>
      </w:r>
      <w:r w:rsidR="00E325E5" w:rsidRPr="00813D19">
        <w:rPr>
          <w:bCs/>
          <w:lang w:val="en-US"/>
        </w:rPr>
        <w:t xml:space="preserve"> the importance</w:t>
      </w:r>
      <w:r w:rsidR="0087278C" w:rsidRPr="00813D19">
        <w:rPr>
          <w:bCs/>
          <w:lang w:val="en-US"/>
        </w:rPr>
        <w:t xml:space="preserve"> for States to have support and assistance from UNESCO in these efforts in order to better implement the Convention and to create synergies with other countries that have good </w:t>
      </w:r>
      <w:r w:rsidR="00E325E5" w:rsidRPr="00813D19">
        <w:rPr>
          <w:bCs/>
          <w:lang w:val="en-US"/>
        </w:rPr>
        <w:t xml:space="preserve">[safeguarding] </w:t>
      </w:r>
      <w:r w:rsidR="00B67A60">
        <w:rPr>
          <w:bCs/>
          <w:lang w:val="en-US"/>
        </w:rPr>
        <w:t>practices.</w:t>
      </w:r>
    </w:p>
    <w:p w14:paraId="701FD661" w14:textId="7A98FEDB" w:rsidR="00A67FBB" w:rsidRPr="00B67A60" w:rsidRDefault="000D6466" w:rsidP="00A10BAC">
      <w:pPr>
        <w:pStyle w:val="Orateurengris"/>
        <w:spacing w:before="120"/>
        <w:ind w:left="709" w:hanging="709"/>
        <w:rPr>
          <w:rFonts w:eastAsia="Times New Roman"/>
          <w:lang w:val="en-US"/>
        </w:rPr>
      </w:pPr>
      <w:r w:rsidRPr="00813D19">
        <w:rPr>
          <w:color w:val="000000" w:themeColor="text1"/>
          <w:lang w:val="en-US"/>
        </w:rPr>
        <w:t xml:space="preserve">The </w:t>
      </w:r>
      <w:r w:rsidRPr="00813D19">
        <w:rPr>
          <w:b/>
          <w:color w:val="000000" w:themeColor="text1"/>
          <w:lang w:val="en-US"/>
        </w:rPr>
        <w:t>delegation of Chi</w:t>
      </w:r>
      <w:r w:rsidR="002056CD" w:rsidRPr="00813D19">
        <w:rPr>
          <w:b/>
          <w:color w:val="000000" w:themeColor="text1"/>
          <w:lang w:val="en-US"/>
        </w:rPr>
        <w:t>na</w:t>
      </w:r>
      <w:r w:rsidR="002056CD" w:rsidRPr="00813D19">
        <w:rPr>
          <w:bCs/>
          <w:lang w:val="en-US"/>
        </w:rPr>
        <w:t xml:space="preserve"> thanked</w:t>
      </w:r>
      <w:r w:rsidRPr="00813D19">
        <w:rPr>
          <w:bCs/>
          <w:lang w:val="en-US"/>
        </w:rPr>
        <w:t xml:space="preserve"> the </w:t>
      </w:r>
      <w:r w:rsidR="002F50EA">
        <w:rPr>
          <w:bCs/>
          <w:lang w:val="en-US"/>
        </w:rPr>
        <w:t>G</w:t>
      </w:r>
      <w:r w:rsidR="002F50EA" w:rsidRPr="00813D19">
        <w:rPr>
          <w:bCs/>
          <w:lang w:val="en-US"/>
        </w:rPr>
        <w:t xml:space="preserve">overnment </w:t>
      </w:r>
      <w:r w:rsidRPr="00813D19">
        <w:rPr>
          <w:bCs/>
          <w:lang w:val="en-US"/>
        </w:rPr>
        <w:t xml:space="preserve">of Mauritius for hosting </w:t>
      </w:r>
      <w:r w:rsidR="002056CD" w:rsidRPr="00813D19">
        <w:rPr>
          <w:bCs/>
          <w:lang w:val="en-US"/>
        </w:rPr>
        <w:t xml:space="preserve">the </w:t>
      </w:r>
      <w:r w:rsidRPr="00813D19">
        <w:rPr>
          <w:bCs/>
          <w:lang w:val="en-US"/>
        </w:rPr>
        <w:t>thirt</w:t>
      </w:r>
      <w:r w:rsidR="002056CD" w:rsidRPr="00813D19">
        <w:rPr>
          <w:bCs/>
          <w:lang w:val="en-US"/>
        </w:rPr>
        <w:t xml:space="preserve">eenth session of the Committee and for its warm </w:t>
      </w:r>
      <w:r w:rsidRPr="00813D19">
        <w:rPr>
          <w:bCs/>
          <w:lang w:val="en-US"/>
        </w:rPr>
        <w:t xml:space="preserve">hospitality. </w:t>
      </w:r>
      <w:r w:rsidR="002056CD" w:rsidRPr="00813D19">
        <w:rPr>
          <w:bCs/>
          <w:lang w:val="en-US"/>
        </w:rPr>
        <w:t xml:space="preserve">It was noted that </w:t>
      </w:r>
      <w:r w:rsidR="00505512" w:rsidRPr="00813D19">
        <w:rPr>
          <w:bCs/>
          <w:lang w:val="en-US"/>
        </w:rPr>
        <w:t xml:space="preserve">it </w:t>
      </w:r>
      <w:r w:rsidR="002056CD" w:rsidRPr="00813D19">
        <w:rPr>
          <w:bCs/>
          <w:lang w:val="en-US"/>
        </w:rPr>
        <w:t xml:space="preserve">was </w:t>
      </w:r>
      <w:r w:rsidR="00A10BAC" w:rsidRPr="00813D19">
        <w:rPr>
          <w:bCs/>
          <w:lang w:val="en-US"/>
        </w:rPr>
        <w:t xml:space="preserve">China’s </w:t>
      </w:r>
      <w:r w:rsidRPr="00813D19">
        <w:rPr>
          <w:bCs/>
          <w:lang w:val="en-US"/>
        </w:rPr>
        <w:t xml:space="preserve">first session since </w:t>
      </w:r>
      <w:r w:rsidR="00A10BAC" w:rsidRPr="00813D19">
        <w:rPr>
          <w:bCs/>
          <w:lang w:val="en-US"/>
        </w:rPr>
        <w:t xml:space="preserve">it </w:t>
      </w:r>
      <w:r w:rsidR="002056CD" w:rsidRPr="00813D19">
        <w:rPr>
          <w:bCs/>
          <w:lang w:val="en-US"/>
        </w:rPr>
        <w:t xml:space="preserve">became an </w:t>
      </w:r>
      <w:r w:rsidRPr="00813D19">
        <w:rPr>
          <w:bCs/>
          <w:lang w:val="en-US"/>
        </w:rPr>
        <w:t xml:space="preserve">elected Member of the Committee in June </w:t>
      </w:r>
      <w:r w:rsidR="002056CD" w:rsidRPr="00813D19">
        <w:rPr>
          <w:bCs/>
          <w:lang w:val="en-US"/>
        </w:rPr>
        <w:t>2018</w:t>
      </w:r>
      <w:r w:rsidR="00A10BAC" w:rsidRPr="00813D19">
        <w:rPr>
          <w:bCs/>
          <w:lang w:val="en-US"/>
        </w:rPr>
        <w:t>,</w:t>
      </w:r>
      <w:r w:rsidR="002056CD" w:rsidRPr="00813D19">
        <w:rPr>
          <w:bCs/>
          <w:lang w:val="en-US"/>
        </w:rPr>
        <w:t xml:space="preserve"> and it </w:t>
      </w:r>
      <w:r w:rsidRPr="00813D19">
        <w:rPr>
          <w:bCs/>
          <w:lang w:val="en-US"/>
        </w:rPr>
        <w:t>join</w:t>
      </w:r>
      <w:r w:rsidR="002056CD" w:rsidRPr="00813D19">
        <w:rPr>
          <w:bCs/>
          <w:lang w:val="en-US"/>
        </w:rPr>
        <w:t>ed</w:t>
      </w:r>
      <w:r w:rsidRPr="00813D19">
        <w:rPr>
          <w:bCs/>
          <w:lang w:val="en-US"/>
        </w:rPr>
        <w:t xml:space="preserve"> the other Members of the Committee </w:t>
      </w:r>
      <w:r w:rsidR="002056CD" w:rsidRPr="00813D19">
        <w:rPr>
          <w:bCs/>
          <w:lang w:val="en-US"/>
        </w:rPr>
        <w:t xml:space="preserve">in congratulating the Chairperson on his </w:t>
      </w:r>
      <w:r w:rsidRPr="00813D19">
        <w:rPr>
          <w:bCs/>
          <w:lang w:val="en-US"/>
        </w:rPr>
        <w:t xml:space="preserve">strong </w:t>
      </w:r>
      <w:r w:rsidR="002056CD" w:rsidRPr="00813D19">
        <w:rPr>
          <w:bCs/>
          <w:lang w:val="en-US"/>
        </w:rPr>
        <w:t>and smooth chairing of the session.</w:t>
      </w:r>
      <w:r w:rsidRPr="00813D19">
        <w:rPr>
          <w:bCs/>
          <w:lang w:val="en-US"/>
        </w:rPr>
        <w:t xml:space="preserve"> </w:t>
      </w:r>
      <w:r w:rsidR="002056CD" w:rsidRPr="00813D19">
        <w:rPr>
          <w:bCs/>
          <w:lang w:val="en-US"/>
        </w:rPr>
        <w:t xml:space="preserve">The delegation also </w:t>
      </w:r>
      <w:r w:rsidRPr="00813D19">
        <w:rPr>
          <w:bCs/>
          <w:lang w:val="en-US"/>
        </w:rPr>
        <w:t>thank</w:t>
      </w:r>
      <w:r w:rsidR="002056CD" w:rsidRPr="00813D19">
        <w:rPr>
          <w:bCs/>
          <w:lang w:val="en-US"/>
        </w:rPr>
        <w:t>ed</w:t>
      </w:r>
      <w:r w:rsidRPr="00813D19">
        <w:rPr>
          <w:bCs/>
          <w:lang w:val="en-US"/>
        </w:rPr>
        <w:t xml:space="preserve"> the Secretariat for its very informative report on its work during the </w:t>
      </w:r>
      <w:r w:rsidR="002056CD" w:rsidRPr="00813D19">
        <w:rPr>
          <w:bCs/>
          <w:lang w:val="en-US"/>
        </w:rPr>
        <w:t>reporting period</w:t>
      </w:r>
      <w:r w:rsidRPr="00813D19">
        <w:rPr>
          <w:bCs/>
          <w:lang w:val="en-US"/>
        </w:rPr>
        <w:t xml:space="preserve">. </w:t>
      </w:r>
      <w:r w:rsidR="0080033C" w:rsidRPr="00813D19">
        <w:rPr>
          <w:bCs/>
          <w:lang w:val="en-US"/>
        </w:rPr>
        <w:t xml:space="preserve">It </w:t>
      </w:r>
      <w:r w:rsidR="002056CD" w:rsidRPr="00813D19">
        <w:rPr>
          <w:bCs/>
          <w:lang w:val="en-US"/>
        </w:rPr>
        <w:t>understood</w:t>
      </w:r>
      <w:r w:rsidRPr="00813D19">
        <w:rPr>
          <w:bCs/>
          <w:lang w:val="en-US"/>
        </w:rPr>
        <w:t xml:space="preserve"> that the Secretariat </w:t>
      </w:r>
      <w:r w:rsidR="002056CD" w:rsidRPr="00813D19">
        <w:rPr>
          <w:bCs/>
          <w:lang w:val="en-US"/>
        </w:rPr>
        <w:t xml:space="preserve">worked under a </w:t>
      </w:r>
      <w:r w:rsidRPr="00813D19">
        <w:rPr>
          <w:bCs/>
          <w:lang w:val="en-US"/>
        </w:rPr>
        <w:t xml:space="preserve">very heavy workload in addition to its statutory work </w:t>
      </w:r>
      <w:r w:rsidR="002056CD" w:rsidRPr="00813D19">
        <w:rPr>
          <w:bCs/>
          <w:lang w:val="en-US"/>
        </w:rPr>
        <w:t xml:space="preserve">in support of the </w:t>
      </w:r>
      <w:r w:rsidRPr="00813D19">
        <w:rPr>
          <w:bCs/>
          <w:lang w:val="en-US"/>
        </w:rPr>
        <w:t xml:space="preserve">Convention, </w:t>
      </w:r>
      <w:r w:rsidR="002056CD" w:rsidRPr="00813D19">
        <w:rPr>
          <w:bCs/>
          <w:lang w:val="en-US"/>
        </w:rPr>
        <w:t xml:space="preserve">whose extraordinary efforts </w:t>
      </w:r>
      <w:r w:rsidRPr="00813D19">
        <w:rPr>
          <w:bCs/>
          <w:lang w:val="en-US"/>
        </w:rPr>
        <w:t xml:space="preserve">to undertake more initiatives to extend its efforts on knowledge management, communication and outreach with NGOs and other stakeholders, on capacity-building programmes and also </w:t>
      </w:r>
      <w:r w:rsidR="002056CD" w:rsidRPr="00813D19">
        <w:rPr>
          <w:bCs/>
          <w:lang w:val="en-US"/>
        </w:rPr>
        <w:t xml:space="preserve">intangible cultural heritage </w:t>
      </w:r>
      <w:r w:rsidRPr="00813D19">
        <w:rPr>
          <w:bCs/>
          <w:lang w:val="en-US"/>
        </w:rPr>
        <w:t>and education</w:t>
      </w:r>
      <w:r w:rsidR="002056CD" w:rsidRPr="00813D19">
        <w:rPr>
          <w:bCs/>
          <w:lang w:val="en-US"/>
        </w:rPr>
        <w:t xml:space="preserve"> were highly appreciated</w:t>
      </w:r>
      <w:r w:rsidRPr="00813D19">
        <w:rPr>
          <w:bCs/>
          <w:lang w:val="en-US"/>
        </w:rPr>
        <w:t xml:space="preserve">. </w:t>
      </w:r>
      <w:r w:rsidR="00AF257C" w:rsidRPr="00813D19">
        <w:rPr>
          <w:bCs/>
          <w:lang w:val="en-US"/>
        </w:rPr>
        <w:t>Th</w:t>
      </w:r>
      <w:r w:rsidR="001F2565" w:rsidRPr="00813D19">
        <w:rPr>
          <w:bCs/>
          <w:lang w:val="en-US"/>
        </w:rPr>
        <w:t xml:space="preserve">e </w:t>
      </w:r>
      <w:r w:rsidR="001F2565" w:rsidRPr="00813D19">
        <w:rPr>
          <w:bCs/>
          <w:color w:val="000000" w:themeColor="text1"/>
          <w:lang w:val="en-US"/>
        </w:rPr>
        <w:t xml:space="preserve">delegation also spoke </w:t>
      </w:r>
      <w:r w:rsidR="00FB36BC" w:rsidRPr="00813D19">
        <w:rPr>
          <w:bCs/>
          <w:color w:val="000000" w:themeColor="text1"/>
          <w:lang w:val="en-US"/>
        </w:rPr>
        <w:t xml:space="preserve">about the </w:t>
      </w:r>
      <w:r w:rsidRPr="00813D19">
        <w:rPr>
          <w:bCs/>
          <w:color w:val="000000" w:themeColor="text1"/>
          <w:lang w:val="en-US"/>
        </w:rPr>
        <w:t>capacity-building programmes invo</w:t>
      </w:r>
      <w:r w:rsidR="00AF257C" w:rsidRPr="00813D19">
        <w:rPr>
          <w:bCs/>
          <w:color w:val="000000" w:themeColor="text1"/>
          <w:lang w:val="en-US"/>
        </w:rPr>
        <w:t>lving</w:t>
      </w:r>
      <w:r w:rsidR="00FB36BC" w:rsidRPr="00813D19">
        <w:rPr>
          <w:bCs/>
          <w:color w:val="000000" w:themeColor="text1"/>
          <w:lang w:val="en-US"/>
        </w:rPr>
        <w:t xml:space="preserve"> the oldest category 2 cent</w:t>
      </w:r>
      <w:r w:rsidRPr="00813D19">
        <w:rPr>
          <w:bCs/>
          <w:color w:val="000000" w:themeColor="text1"/>
          <w:lang w:val="en-US"/>
        </w:rPr>
        <w:t>r</w:t>
      </w:r>
      <w:r w:rsidR="00FB36BC" w:rsidRPr="00813D19">
        <w:rPr>
          <w:bCs/>
          <w:color w:val="000000" w:themeColor="text1"/>
          <w:lang w:val="en-US"/>
        </w:rPr>
        <w:t>e</w:t>
      </w:r>
      <w:r w:rsidR="00A10BAC" w:rsidRPr="00813D19">
        <w:rPr>
          <w:bCs/>
          <w:color w:val="000000" w:themeColor="text1"/>
          <w:lang w:val="en-US"/>
        </w:rPr>
        <w:t xml:space="preserve">, the </w:t>
      </w:r>
      <w:r w:rsidR="00A10BAC" w:rsidRPr="00813D19">
        <w:rPr>
          <w:rFonts w:eastAsia="Times New Roman"/>
          <w:color w:val="000000" w:themeColor="text1"/>
          <w:shd w:val="clear" w:color="auto" w:fill="FFFFFF"/>
          <w:lang w:val="en-US"/>
        </w:rPr>
        <w:t>International Training Center for Intangible Cultural Heritage in the Asia-Pacific Region</w:t>
      </w:r>
      <w:r w:rsidR="00A10BAC" w:rsidRPr="00813D19">
        <w:rPr>
          <w:rFonts w:ascii="Times New Roman" w:eastAsia="Times New Roman" w:hAnsi="Times New Roman" w:cs="Times New Roman"/>
          <w:sz w:val="24"/>
          <w:szCs w:val="24"/>
          <w:lang w:val="en-US"/>
        </w:rPr>
        <w:t xml:space="preserve"> (</w:t>
      </w:r>
      <w:r w:rsidRPr="00813D19">
        <w:rPr>
          <w:bCs/>
          <w:lang w:val="en-US"/>
        </w:rPr>
        <w:t>CRIHAP</w:t>
      </w:r>
      <w:r w:rsidR="00A10BAC" w:rsidRPr="00813D19">
        <w:rPr>
          <w:bCs/>
          <w:lang w:val="en-US"/>
        </w:rPr>
        <w:t>)</w:t>
      </w:r>
      <w:r w:rsidRPr="00813D19">
        <w:rPr>
          <w:bCs/>
          <w:lang w:val="en-US"/>
        </w:rPr>
        <w:t xml:space="preserve"> </w:t>
      </w:r>
      <w:r w:rsidR="00A10BAC" w:rsidRPr="00813D19">
        <w:rPr>
          <w:bCs/>
          <w:lang w:val="en-US"/>
        </w:rPr>
        <w:t xml:space="preserve">in </w:t>
      </w:r>
      <w:r w:rsidRPr="00813D19">
        <w:rPr>
          <w:bCs/>
          <w:lang w:val="en-US"/>
        </w:rPr>
        <w:t>China</w:t>
      </w:r>
      <w:r w:rsidR="00A10BAC" w:rsidRPr="00813D19">
        <w:rPr>
          <w:bCs/>
          <w:lang w:val="en-US"/>
        </w:rPr>
        <w:t xml:space="preserve">, </w:t>
      </w:r>
      <w:r w:rsidR="005B61D9">
        <w:rPr>
          <w:bCs/>
          <w:lang w:val="en-US"/>
        </w:rPr>
        <w:t>noting</w:t>
      </w:r>
      <w:r w:rsidR="005B61D9" w:rsidRPr="00813D19">
        <w:rPr>
          <w:bCs/>
          <w:lang w:val="en-US"/>
        </w:rPr>
        <w:t xml:space="preserve"> </w:t>
      </w:r>
      <w:r w:rsidR="00A10BAC" w:rsidRPr="00813D19">
        <w:rPr>
          <w:bCs/>
          <w:lang w:val="en-US"/>
        </w:rPr>
        <w:t>its efforts</w:t>
      </w:r>
      <w:r w:rsidR="005B61D9">
        <w:rPr>
          <w:bCs/>
          <w:lang w:val="en-US"/>
        </w:rPr>
        <w:t xml:space="preserve"> and</w:t>
      </w:r>
      <w:r w:rsidR="00A10BAC" w:rsidRPr="00813D19">
        <w:rPr>
          <w:bCs/>
          <w:lang w:val="en-US"/>
        </w:rPr>
        <w:t xml:space="preserve"> that </w:t>
      </w:r>
      <w:r w:rsidRPr="00813D19">
        <w:rPr>
          <w:bCs/>
          <w:lang w:val="en-US"/>
        </w:rPr>
        <w:t xml:space="preserve">one facilitator from China </w:t>
      </w:r>
      <w:r w:rsidR="00A10BAC" w:rsidRPr="00813D19">
        <w:rPr>
          <w:bCs/>
          <w:lang w:val="en-US"/>
        </w:rPr>
        <w:t xml:space="preserve">had been </w:t>
      </w:r>
      <w:r w:rsidRPr="00813D19">
        <w:rPr>
          <w:bCs/>
          <w:lang w:val="en-US"/>
        </w:rPr>
        <w:t xml:space="preserve">approved </w:t>
      </w:r>
      <w:r w:rsidR="00A10BAC" w:rsidRPr="00813D19">
        <w:rPr>
          <w:bCs/>
          <w:lang w:val="en-US"/>
        </w:rPr>
        <w:t xml:space="preserve">on </w:t>
      </w:r>
      <w:r w:rsidRPr="00813D19">
        <w:rPr>
          <w:bCs/>
          <w:lang w:val="en-US"/>
        </w:rPr>
        <w:t xml:space="preserve">the list of global facilitators </w:t>
      </w:r>
      <w:r w:rsidR="00A10BAC" w:rsidRPr="00813D19">
        <w:rPr>
          <w:bCs/>
          <w:lang w:val="en-US"/>
        </w:rPr>
        <w:t xml:space="preserve">in 2018, adding that it hoped that the network of facilitators would be </w:t>
      </w:r>
      <w:r w:rsidRPr="00813D19">
        <w:rPr>
          <w:bCs/>
          <w:lang w:val="en-US"/>
        </w:rPr>
        <w:t xml:space="preserve">continuously </w:t>
      </w:r>
      <w:r w:rsidR="00A10BAC" w:rsidRPr="00813D19">
        <w:rPr>
          <w:bCs/>
          <w:lang w:val="en-US"/>
        </w:rPr>
        <w:t>renewed an</w:t>
      </w:r>
      <w:r w:rsidR="0080033C" w:rsidRPr="00813D19">
        <w:rPr>
          <w:bCs/>
          <w:lang w:val="en-US"/>
        </w:rPr>
        <w:t>d</w:t>
      </w:r>
      <w:r w:rsidR="00A10BAC" w:rsidRPr="00813D19">
        <w:rPr>
          <w:bCs/>
          <w:lang w:val="en-US"/>
        </w:rPr>
        <w:t xml:space="preserve"> </w:t>
      </w:r>
      <w:r w:rsidRPr="00813D19">
        <w:rPr>
          <w:bCs/>
          <w:lang w:val="en-US"/>
        </w:rPr>
        <w:t xml:space="preserve">broadened. </w:t>
      </w:r>
      <w:r w:rsidR="00A10BAC" w:rsidRPr="00813D19">
        <w:rPr>
          <w:bCs/>
          <w:lang w:val="en-US"/>
        </w:rPr>
        <w:t xml:space="preserve">The Secretariat’s efforts </w:t>
      </w:r>
      <w:r w:rsidRPr="00813D19">
        <w:rPr>
          <w:bCs/>
          <w:lang w:val="en-US"/>
        </w:rPr>
        <w:t>to cover more thematic initiatives</w:t>
      </w:r>
      <w:r w:rsidR="00A10BAC" w:rsidRPr="00813D19">
        <w:rPr>
          <w:bCs/>
          <w:lang w:val="en-US"/>
        </w:rPr>
        <w:t>,</w:t>
      </w:r>
      <w:r w:rsidRPr="00813D19">
        <w:rPr>
          <w:bCs/>
          <w:lang w:val="en-US"/>
        </w:rPr>
        <w:t xml:space="preserve"> including </w:t>
      </w:r>
      <w:r w:rsidR="00A10BAC" w:rsidRPr="00813D19">
        <w:rPr>
          <w:bCs/>
          <w:lang w:val="en-US"/>
        </w:rPr>
        <w:t xml:space="preserve">intangible cultural heritage </w:t>
      </w:r>
      <w:r w:rsidRPr="00813D19">
        <w:rPr>
          <w:bCs/>
          <w:lang w:val="en-US"/>
        </w:rPr>
        <w:t xml:space="preserve">in emergencies and </w:t>
      </w:r>
      <w:r w:rsidR="00A10BAC" w:rsidRPr="00813D19">
        <w:rPr>
          <w:bCs/>
          <w:lang w:val="en-US"/>
        </w:rPr>
        <w:t xml:space="preserve">intangible cultural heritage </w:t>
      </w:r>
      <w:r w:rsidRPr="00813D19">
        <w:rPr>
          <w:bCs/>
          <w:lang w:val="en-US"/>
        </w:rPr>
        <w:t>in urban contexts</w:t>
      </w:r>
      <w:r w:rsidR="00A10BAC" w:rsidRPr="00813D19">
        <w:rPr>
          <w:bCs/>
          <w:lang w:val="en-US"/>
        </w:rPr>
        <w:t xml:space="preserve">, were also noted in the report. </w:t>
      </w:r>
      <w:r w:rsidR="0080033C" w:rsidRPr="00813D19">
        <w:rPr>
          <w:bCs/>
          <w:lang w:val="en-US"/>
        </w:rPr>
        <w:t>T</w:t>
      </w:r>
      <w:r w:rsidRPr="00813D19">
        <w:rPr>
          <w:bCs/>
          <w:lang w:val="en-US"/>
        </w:rPr>
        <w:t xml:space="preserve">hese </w:t>
      </w:r>
      <w:r w:rsidR="00A10BAC" w:rsidRPr="00813D19">
        <w:rPr>
          <w:bCs/>
          <w:lang w:val="en-US"/>
        </w:rPr>
        <w:t xml:space="preserve">were pressing issues faced by </w:t>
      </w:r>
      <w:r w:rsidRPr="00813D19">
        <w:rPr>
          <w:bCs/>
          <w:lang w:val="en-US"/>
        </w:rPr>
        <w:t xml:space="preserve">many of the States Parties in the safeguarding of </w:t>
      </w:r>
      <w:r w:rsidR="00A10BAC" w:rsidRPr="00813D19">
        <w:rPr>
          <w:bCs/>
          <w:lang w:val="en-US"/>
        </w:rPr>
        <w:t xml:space="preserve">intangible cultural </w:t>
      </w:r>
      <w:r w:rsidR="00A10BAC" w:rsidRPr="00813D19">
        <w:rPr>
          <w:bCs/>
          <w:lang w:val="en-US"/>
        </w:rPr>
        <w:lastRenderedPageBreak/>
        <w:t>heritage</w:t>
      </w:r>
      <w:r w:rsidRPr="00813D19">
        <w:rPr>
          <w:bCs/>
          <w:lang w:val="en-US"/>
        </w:rPr>
        <w:t xml:space="preserve">. China </w:t>
      </w:r>
      <w:r w:rsidR="00A10BAC" w:rsidRPr="00813D19">
        <w:rPr>
          <w:bCs/>
          <w:lang w:val="en-US"/>
        </w:rPr>
        <w:t>attached</w:t>
      </w:r>
      <w:r w:rsidRPr="00813D19">
        <w:rPr>
          <w:bCs/>
          <w:lang w:val="en-US"/>
        </w:rPr>
        <w:t xml:space="preserve"> great importance to </w:t>
      </w:r>
      <w:r w:rsidR="00A10BAC" w:rsidRPr="00813D19">
        <w:rPr>
          <w:bCs/>
          <w:lang w:val="en-US"/>
        </w:rPr>
        <w:t xml:space="preserve">these </w:t>
      </w:r>
      <w:r w:rsidRPr="00813D19">
        <w:rPr>
          <w:bCs/>
          <w:lang w:val="en-US"/>
        </w:rPr>
        <w:t>issue</w:t>
      </w:r>
      <w:r w:rsidR="00A10BAC" w:rsidRPr="00813D19">
        <w:rPr>
          <w:bCs/>
          <w:lang w:val="en-US"/>
        </w:rPr>
        <w:t>s</w:t>
      </w:r>
      <w:r w:rsidRPr="00813D19">
        <w:rPr>
          <w:bCs/>
          <w:lang w:val="en-US"/>
        </w:rPr>
        <w:t xml:space="preserve"> and </w:t>
      </w:r>
      <w:r w:rsidR="00A10BAC" w:rsidRPr="00813D19">
        <w:rPr>
          <w:bCs/>
          <w:lang w:val="en-US"/>
        </w:rPr>
        <w:t xml:space="preserve">always tried </w:t>
      </w:r>
      <w:r w:rsidRPr="00813D19">
        <w:rPr>
          <w:bCs/>
          <w:lang w:val="en-US"/>
        </w:rPr>
        <w:t xml:space="preserve">to involve all </w:t>
      </w:r>
      <w:r w:rsidR="00A10BAC" w:rsidRPr="00813D19">
        <w:rPr>
          <w:bCs/>
          <w:lang w:val="en-US"/>
        </w:rPr>
        <w:t xml:space="preserve">stakeholders, </w:t>
      </w:r>
      <w:r w:rsidRPr="00813D19">
        <w:rPr>
          <w:bCs/>
          <w:lang w:val="en-US"/>
        </w:rPr>
        <w:t xml:space="preserve">both </w:t>
      </w:r>
      <w:r w:rsidR="00A10BAC" w:rsidRPr="00813D19">
        <w:rPr>
          <w:bCs/>
          <w:lang w:val="en-US"/>
        </w:rPr>
        <w:t xml:space="preserve">in </w:t>
      </w:r>
      <w:r w:rsidRPr="00813D19">
        <w:rPr>
          <w:bCs/>
          <w:lang w:val="en-US"/>
        </w:rPr>
        <w:t>public and private sectors</w:t>
      </w:r>
      <w:r w:rsidR="00A10BAC" w:rsidRPr="00813D19">
        <w:rPr>
          <w:bCs/>
          <w:lang w:val="en-US"/>
        </w:rPr>
        <w:t>,</w:t>
      </w:r>
      <w:r w:rsidRPr="00813D19">
        <w:rPr>
          <w:bCs/>
          <w:lang w:val="en-US"/>
        </w:rPr>
        <w:t xml:space="preserve"> </w:t>
      </w:r>
      <w:r w:rsidR="00A10BAC" w:rsidRPr="00813D19">
        <w:rPr>
          <w:bCs/>
          <w:lang w:val="en-US"/>
        </w:rPr>
        <w:t xml:space="preserve">in </w:t>
      </w:r>
      <w:r w:rsidRPr="00813D19">
        <w:rPr>
          <w:bCs/>
          <w:lang w:val="en-US"/>
        </w:rPr>
        <w:t>address</w:t>
      </w:r>
      <w:r w:rsidR="00A10BAC" w:rsidRPr="00813D19">
        <w:rPr>
          <w:bCs/>
          <w:lang w:val="en-US"/>
        </w:rPr>
        <w:t>ing</w:t>
      </w:r>
      <w:r w:rsidRPr="00813D19">
        <w:rPr>
          <w:bCs/>
          <w:lang w:val="en-US"/>
        </w:rPr>
        <w:t xml:space="preserve"> </w:t>
      </w:r>
      <w:r w:rsidR="00A10BAC" w:rsidRPr="00813D19">
        <w:rPr>
          <w:bCs/>
          <w:lang w:val="en-US"/>
        </w:rPr>
        <w:t xml:space="preserve">these </w:t>
      </w:r>
      <w:r w:rsidRPr="00813D19">
        <w:rPr>
          <w:bCs/>
          <w:lang w:val="en-US"/>
        </w:rPr>
        <w:t>kinds of challenges</w:t>
      </w:r>
      <w:r w:rsidR="00A10BAC" w:rsidRPr="00813D19">
        <w:rPr>
          <w:bCs/>
          <w:lang w:val="en-US"/>
        </w:rPr>
        <w:t xml:space="preserve"> in the implementation of the Convention. Moreover, these </w:t>
      </w:r>
      <w:r w:rsidRPr="00813D19">
        <w:rPr>
          <w:bCs/>
          <w:lang w:val="en-US"/>
        </w:rPr>
        <w:t xml:space="preserve">challenges </w:t>
      </w:r>
      <w:r w:rsidR="00A10BAC" w:rsidRPr="00813D19">
        <w:rPr>
          <w:bCs/>
          <w:lang w:val="en-US"/>
        </w:rPr>
        <w:t xml:space="preserve">would persist </w:t>
      </w:r>
      <w:r w:rsidRPr="00813D19">
        <w:rPr>
          <w:bCs/>
          <w:lang w:val="en-US"/>
        </w:rPr>
        <w:t xml:space="preserve">as the Convention </w:t>
      </w:r>
      <w:r w:rsidR="00A10BAC" w:rsidRPr="00813D19">
        <w:rPr>
          <w:bCs/>
          <w:lang w:val="en-US"/>
        </w:rPr>
        <w:t xml:space="preserve">continued to </w:t>
      </w:r>
      <w:r w:rsidR="001D7F34" w:rsidRPr="00813D19">
        <w:rPr>
          <w:bCs/>
          <w:lang w:val="en-US"/>
        </w:rPr>
        <w:t xml:space="preserve">enjoy steady growth, and the delegation agreed </w:t>
      </w:r>
      <w:r w:rsidRPr="00813D19">
        <w:rPr>
          <w:bCs/>
          <w:lang w:val="en-US"/>
        </w:rPr>
        <w:t xml:space="preserve">with the Secretariat that </w:t>
      </w:r>
      <w:r w:rsidR="001D7F34" w:rsidRPr="00813D19">
        <w:rPr>
          <w:bCs/>
          <w:lang w:val="en-US"/>
        </w:rPr>
        <w:t xml:space="preserve">such </w:t>
      </w:r>
      <w:r w:rsidRPr="00813D19">
        <w:rPr>
          <w:bCs/>
          <w:lang w:val="en-US"/>
        </w:rPr>
        <w:t>programmes depend</w:t>
      </w:r>
      <w:r w:rsidR="001D7F34" w:rsidRPr="00813D19">
        <w:rPr>
          <w:bCs/>
          <w:lang w:val="en-US"/>
        </w:rPr>
        <w:t>ed</w:t>
      </w:r>
      <w:r w:rsidRPr="00813D19">
        <w:rPr>
          <w:bCs/>
          <w:lang w:val="en-US"/>
        </w:rPr>
        <w:t xml:space="preserve"> on and should </w:t>
      </w:r>
      <w:r w:rsidR="001D7F34" w:rsidRPr="00813D19">
        <w:rPr>
          <w:bCs/>
          <w:lang w:val="en-US"/>
        </w:rPr>
        <w:t>be built up</w:t>
      </w:r>
      <w:r w:rsidRPr="00813D19">
        <w:rPr>
          <w:bCs/>
          <w:lang w:val="en-US"/>
        </w:rPr>
        <w:t xml:space="preserve">on </w:t>
      </w:r>
      <w:r w:rsidR="00B40C9E" w:rsidRPr="00813D19">
        <w:rPr>
          <w:bCs/>
          <w:lang w:val="en-US"/>
        </w:rPr>
        <w:t>sustainable finances</w:t>
      </w:r>
      <w:r w:rsidRPr="00813D19">
        <w:rPr>
          <w:bCs/>
          <w:lang w:val="en-US"/>
        </w:rPr>
        <w:t xml:space="preserve"> </w:t>
      </w:r>
      <w:r w:rsidR="00B40C9E" w:rsidRPr="00813D19">
        <w:rPr>
          <w:bCs/>
          <w:lang w:val="en-US"/>
        </w:rPr>
        <w:t xml:space="preserve">and </w:t>
      </w:r>
      <w:r w:rsidRPr="00813D19">
        <w:rPr>
          <w:bCs/>
          <w:lang w:val="en-US"/>
        </w:rPr>
        <w:t xml:space="preserve">human resources. </w:t>
      </w:r>
      <w:r w:rsidR="00F118B7" w:rsidRPr="00813D19">
        <w:rPr>
          <w:bCs/>
          <w:lang w:val="en-US"/>
        </w:rPr>
        <w:t xml:space="preserve">In this regard, </w:t>
      </w:r>
      <w:r w:rsidRPr="00813D19">
        <w:rPr>
          <w:bCs/>
          <w:lang w:val="en-US"/>
        </w:rPr>
        <w:t xml:space="preserve">China </w:t>
      </w:r>
      <w:r w:rsidR="00F118B7" w:rsidRPr="00813D19">
        <w:rPr>
          <w:bCs/>
          <w:lang w:val="en-US"/>
        </w:rPr>
        <w:t xml:space="preserve">has </w:t>
      </w:r>
      <w:r w:rsidRPr="00813D19">
        <w:rPr>
          <w:bCs/>
          <w:lang w:val="en-US"/>
        </w:rPr>
        <w:t xml:space="preserve">a </w:t>
      </w:r>
      <w:r w:rsidR="00F118B7" w:rsidRPr="00813D19">
        <w:rPr>
          <w:bCs/>
          <w:lang w:val="en-US"/>
        </w:rPr>
        <w:t>strong</w:t>
      </w:r>
      <w:r w:rsidRPr="00813D19">
        <w:rPr>
          <w:bCs/>
          <w:lang w:val="en-US"/>
        </w:rPr>
        <w:t xml:space="preserve"> sense of mission and </w:t>
      </w:r>
      <w:r w:rsidR="00F118B7" w:rsidRPr="00813D19">
        <w:rPr>
          <w:bCs/>
          <w:lang w:val="en-US"/>
        </w:rPr>
        <w:t xml:space="preserve">it wished to see greater </w:t>
      </w:r>
      <w:r w:rsidRPr="00813D19">
        <w:rPr>
          <w:bCs/>
          <w:lang w:val="en-US"/>
        </w:rPr>
        <w:t xml:space="preserve">responsibility </w:t>
      </w:r>
      <w:r w:rsidR="00F118B7" w:rsidRPr="00813D19">
        <w:rPr>
          <w:bCs/>
          <w:lang w:val="en-US"/>
        </w:rPr>
        <w:t>in safeguarding</w:t>
      </w:r>
      <w:r w:rsidRPr="00813D19">
        <w:rPr>
          <w:bCs/>
          <w:lang w:val="en-US"/>
        </w:rPr>
        <w:t xml:space="preserve"> </w:t>
      </w:r>
      <w:r w:rsidR="00F118B7" w:rsidRPr="00813D19">
        <w:rPr>
          <w:bCs/>
          <w:lang w:val="en-US"/>
        </w:rPr>
        <w:t xml:space="preserve">intangible cultural heritage, which </w:t>
      </w:r>
      <w:r w:rsidR="001067B4" w:rsidRPr="00813D19">
        <w:rPr>
          <w:bCs/>
          <w:lang w:val="en-US"/>
        </w:rPr>
        <w:t>ha</w:t>
      </w:r>
      <w:r w:rsidR="001067B4">
        <w:rPr>
          <w:bCs/>
          <w:lang w:val="en-US"/>
        </w:rPr>
        <w:t>d</w:t>
      </w:r>
      <w:r w:rsidR="001067B4" w:rsidRPr="00813D19">
        <w:rPr>
          <w:bCs/>
          <w:lang w:val="en-US"/>
        </w:rPr>
        <w:t xml:space="preserve"> </w:t>
      </w:r>
      <w:r w:rsidRPr="00813D19">
        <w:rPr>
          <w:bCs/>
          <w:lang w:val="en-US"/>
        </w:rPr>
        <w:t xml:space="preserve">never been an easy </w:t>
      </w:r>
      <w:r w:rsidR="00F118B7" w:rsidRPr="00813D19">
        <w:rPr>
          <w:bCs/>
          <w:lang w:val="en-US"/>
        </w:rPr>
        <w:t xml:space="preserve">task and the reason why </w:t>
      </w:r>
      <w:r w:rsidRPr="00813D19">
        <w:rPr>
          <w:bCs/>
          <w:lang w:val="en-US"/>
        </w:rPr>
        <w:t xml:space="preserve">the Convention </w:t>
      </w:r>
      <w:r w:rsidR="00F118B7" w:rsidRPr="00813D19">
        <w:rPr>
          <w:bCs/>
          <w:lang w:val="en-US"/>
        </w:rPr>
        <w:t>join</w:t>
      </w:r>
      <w:r w:rsidR="0080033C" w:rsidRPr="00813D19">
        <w:rPr>
          <w:bCs/>
          <w:lang w:val="en-US"/>
        </w:rPr>
        <w:t>ed</w:t>
      </w:r>
      <w:r w:rsidR="00F118B7" w:rsidRPr="00813D19">
        <w:rPr>
          <w:bCs/>
          <w:lang w:val="en-US"/>
        </w:rPr>
        <w:t xml:space="preserve"> all States Parties in this common </w:t>
      </w:r>
      <w:r w:rsidRPr="00813D19">
        <w:rPr>
          <w:bCs/>
          <w:lang w:val="en-US"/>
        </w:rPr>
        <w:t xml:space="preserve">purpose to safeguard </w:t>
      </w:r>
      <w:r w:rsidR="0080033C" w:rsidRPr="00813D19">
        <w:rPr>
          <w:bCs/>
          <w:lang w:val="en-US"/>
        </w:rPr>
        <w:t xml:space="preserve">the </w:t>
      </w:r>
      <w:r w:rsidR="00F118B7" w:rsidRPr="00813D19">
        <w:rPr>
          <w:bCs/>
          <w:lang w:val="en-US"/>
        </w:rPr>
        <w:t xml:space="preserve">intangible cultural heritage of </w:t>
      </w:r>
      <w:r w:rsidR="0080033C" w:rsidRPr="00813D19">
        <w:rPr>
          <w:bCs/>
          <w:lang w:val="en-US"/>
        </w:rPr>
        <w:t>humanity,</w:t>
      </w:r>
      <w:r w:rsidRPr="00813D19">
        <w:rPr>
          <w:bCs/>
          <w:lang w:val="en-US"/>
        </w:rPr>
        <w:t xml:space="preserve"> </w:t>
      </w:r>
      <w:r w:rsidR="0080033C" w:rsidRPr="00813D19">
        <w:rPr>
          <w:bCs/>
          <w:lang w:val="en-US"/>
        </w:rPr>
        <w:t>reiterating</w:t>
      </w:r>
      <w:r w:rsidRPr="00813D19">
        <w:rPr>
          <w:bCs/>
          <w:lang w:val="en-US"/>
        </w:rPr>
        <w:t xml:space="preserve"> its commitm</w:t>
      </w:r>
      <w:r w:rsidR="00B67A60">
        <w:rPr>
          <w:bCs/>
          <w:lang w:val="en-US"/>
        </w:rPr>
        <w:t>ent.</w:t>
      </w:r>
    </w:p>
    <w:p w14:paraId="598AFFDA" w14:textId="00B6975D" w:rsidR="000D6466" w:rsidRPr="00813D19" w:rsidRDefault="000D6466"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Armenia </w:t>
      </w:r>
      <w:r w:rsidR="00FB36BC" w:rsidRPr="00813D19">
        <w:rPr>
          <w:bCs/>
          <w:lang w:val="en-US"/>
        </w:rPr>
        <w:t>expressed</w:t>
      </w:r>
      <w:r w:rsidRPr="00813D19">
        <w:rPr>
          <w:bCs/>
          <w:lang w:val="en-US"/>
        </w:rPr>
        <w:t xml:space="preserve"> </w:t>
      </w:r>
      <w:r w:rsidR="009832E6" w:rsidRPr="00813D19">
        <w:rPr>
          <w:bCs/>
          <w:lang w:val="en-US"/>
        </w:rPr>
        <w:t xml:space="preserve">its </w:t>
      </w:r>
      <w:r w:rsidRPr="00813D19">
        <w:rPr>
          <w:bCs/>
          <w:lang w:val="en-US"/>
        </w:rPr>
        <w:t xml:space="preserve">appreciation </w:t>
      </w:r>
      <w:r w:rsidR="0004271C">
        <w:rPr>
          <w:bCs/>
          <w:lang w:val="en-US"/>
        </w:rPr>
        <w:t>to</w:t>
      </w:r>
      <w:r w:rsidR="0004271C" w:rsidRPr="00813D19">
        <w:rPr>
          <w:bCs/>
          <w:lang w:val="en-US"/>
        </w:rPr>
        <w:t xml:space="preserve"> </w:t>
      </w:r>
      <w:r w:rsidR="00FB36BC" w:rsidRPr="00813D19">
        <w:rPr>
          <w:bCs/>
          <w:lang w:val="en-US"/>
        </w:rPr>
        <w:t xml:space="preserve">the government and the people of Mauritius </w:t>
      </w:r>
      <w:r w:rsidRPr="00813D19">
        <w:rPr>
          <w:bCs/>
          <w:lang w:val="en-US"/>
        </w:rPr>
        <w:t xml:space="preserve">for hosting the thirteenth session of </w:t>
      </w:r>
      <w:r w:rsidR="00FB36BC" w:rsidRPr="00813D19">
        <w:rPr>
          <w:bCs/>
          <w:lang w:val="en-US"/>
        </w:rPr>
        <w:t>the Committee</w:t>
      </w:r>
      <w:r w:rsidR="00986264" w:rsidRPr="00813D19">
        <w:rPr>
          <w:bCs/>
          <w:lang w:val="en-US"/>
        </w:rPr>
        <w:t xml:space="preserve">, remarking that the </w:t>
      </w:r>
      <w:r w:rsidRPr="00813D19">
        <w:rPr>
          <w:bCs/>
          <w:lang w:val="en-US"/>
        </w:rPr>
        <w:t xml:space="preserve">adoption of the Convention </w:t>
      </w:r>
      <w:r w:rsidR="00986264" w:rsidRPr="00813D19">
        <w:rPr>
          <w:bCs/>
          <w:lang w:val="en-US"/>
        </w:rPr>
        <w:t>had been a landmark event</w:t>
      </w:r>
      <w:r w:rsidRPr="00813D19">
        <w:rPr>
          <w:bCs/>
          <w:lang w:val="en-US"/>
        </w:rPr>
        <w:t xml:space="preserve"> </w:t>
      </w:r>
      <w:r w:rsidR="00986264" w:rsidRPr="00813D19">
        <w:rPr>
          <w:bCs/>
          <w:lang w:val="en-US"/>
        </w:rPr>
        <w:t xml:space="preserve">that </w:t>
      </w:r>
      <w:r w:rsidRPr="00813D19">
        <w:rPr>
          <w:bCs/>
          <w:lang w:val="en-US"/>
        </w:rPr>
        <w:t xml:space="preserve">strongly contributed to promoting cultural diversity in its various forms. The Convention </w:t>
      </w:r>
      <w:r w:rsidR="00986264" w:rsidRPr="00813D19">
        <w:rPr>
          <w:bCs/>
          <w:lang w:val="en-US"/>
        </w:rPr>
        <w:t>em</w:t>
      </w:r>
      <w:r w:rsidR="0080033C" w:rsidRPr="00813D19">
        <w:rPr>
          <w:bCs/>
          <w:lang w:val="en-US"/>
        </w:rPr>
        <w:t>phasiz</w:t>
      </w:r>
      <w:r w:rsidR="00986264" w:rsidRPr="00813D19">
        <w:rPr>
          <w:bCs/>
          <w:lang w:val="en-US"/>
        </w:rPr>
        <w:t xml:space="preserve">es </w:t>
      </w:r>
      <w:r w:rsidRPr="00813D19">
        <w:rPr>
          <w:bCs/>
          <w:lang w:val="en-US"/>
        </w:rPr>
        <w:t xml:space="preserve">the importance of intangible heritage as a </w:t>
      </w:r>
      <w:r w:rsidR="00986264" w:rsidRPr="00813D19">
        <w:rPr>
          <w:bCs/>
          <w:lang w:val="en-US"/>
        </w:rPr>
        <w:t xml:space="preserve">springboard for </w:t>
      </w:r>
      <w:r w:rsidRPr="00813D19">
        <w:rPr>
          <w:bCs/>
          <w:lang w:val="en-US"/>
        </w:rPr>
        <w:t xml:space="preserve">cultural diversity and sustainable development. It </w:t>
      </w:r>
      <w:r w:rsidR="00986264" w:rsidRPr="00813D19">
        <w:rPr>
          <w:bCs/>
          <w:lang w:val="en-US"/>
        </w:rPr>
        <w:t xml:space="preserve">also </w:t>
      </w:r>
      <w:r w:rsidR="0080033C" w:rsidRPr="00813D19">
        <w:rPr>
          <w:bCs/>
          <w:lang w:val="en-US"/>
        </w:rPr>
        <w:t>stresses</w:t>
      </w:r>
      <w:r w:rsidRPr="00813D19">
        <w:rPr>
          <w:bCs/>
          <w:lang w:val="en-US"/>
        </w:rPr>
        <w:t xml:space="preserve"> the invaluable role of intangible cultural heritage </w:t>
      </w:r>
      <w:r w:rsidR="00432E63" w:rsidRPr="00813D19">
        <w:rPr>
          <w:bCs/>
          <w:lang w:val="en-US"/>
        </w:rPr>
        <w:t xml:space="preserve">in </w:t>
      </w:r>
      <w:r w:rsidRPr="00813D19">
        <w:rPr>
          <w:bCs/>
          <w:lang w:val="en-US"/>
        </w:rPr>
        <w:t xml:space="preserve">bringing </w:t>
      </w:r>
      <w:r w:rsidR="00432E63" w:rsidRPr="00813D19">
        <w:rPr>
          <w:bCs/>
          <w:lang w:val="en-US"/>
        </w:rPr>
        <w:t xml:space="preserve">people </w:t>
      </w:r>
      <w:r w:rsidRPr="00813D19">
        <w:rPr>
          <w:bCs/>
          <w:lang w:val="en-US"/>
        </w:rPr>
        <w:t xml:space="preserve">together </w:t>
      </w:r>
      <w:r w:rsidR="00432E63" w:rsidRPr="00813D19">
        <w:rPr>
          <w:bCs/>
          <w:lang w:val="en-US"/>
        </w:rPr>
        <w:t xml:space="preserve">to ensure greater </w:t>
      </w:r>
      <w:r w:rsidRPr="00813D19">
        <w:rPr>
          <w:bCs/>
          <w:lang w:val="en-US"/>
        </w:rPr>
        <w:t xml:space="preserve">understanding </w:t>
      </w:r>
      <w:r w:rsidR="00432E63" w:rsidRPr="00813D19">
        <w:rPr>
          <w:bCs/>
          <w:lang w:val="en-US"/>
        </w:rPr>
        <w:t>and exchange</w:t>
      </w:r>
      <w:r w:rsidRPr="00813D19">
        <w:rPr>
          <w:bCs/>
          <w:lang w:val="en-US"/>
        </w:rPr>
        <w:t xml:space="preserve">, </w:t>
      </w:r>
      <w:r w:rsidR="00432E63" w:rsidRPr="00813D19">
        <w:rPr>
          <w:bCs/>
          <w:lang w:val="en-US"/>
        </w:rPr>
        <w:t xml:space="preserve">while </w:t>
      </w:r>
      <w:r w:rsidRPr="00813D19">
        <w:rPr>
          <w:bCs/>
          <w:lang w:val="en-US"/>
        </w:rPr>
        <w:t xml:space="preserve">safeguarding heritage in a spirit of cooperation and mutual assistance. </w:t>
      </w:r>
      <w:r w:rsidR="00432E63" w:rsidRPr="00813D19">
        <w:rPr>
          <w:bCs/>
          <w:lang w:val="en-US"/>
        </w:rPr>
        <w:t xml:space="preserve">In turn, </w:t>
      </w:r>
      <w:r w:rsidR="0080033C" w:rsidRPr="00813D19">
        <w:rPr>
          <w:bCs/>
          <w:lang w:val="en-US"/>
        </w:rPr>
        <w:t>it aims</w:t>
      </w:r>
      <w:r w:rsidRPr="00813D19">
        <w:rPr>
          <w:bCs/>
          <w:lang w:val="en-US"/>
        </w:rPr>
        <w:t xml:space="preserve"> to </w:t>
      </w:r>
      <w:r w:rsidR="00432E63" w:rsidRPr="00813D19">
        <w:rPr>
          <w:bCs/>
          <w:lang w:val="en-US"/>
        </w:rPr>
        <w:t xml:space="preserve">ensure greater </w:t>
      </w:r>
      <w:r w:rsidRPr="00813D19">
        <w:rPr>
          <w:bCs/>
          <w:lang w:val="en-US"/>
        </w:rPr>
        <w:t xml:space="preserve">visibility of intangible cultural heritage to encourage dialogue </w:t>
      </w:r>
      <w:r w:rsidR="00432E63" w:rsidRPr="00813D19">
        <w:rPr>
          <w:bCs/>
          <w:lang w:val="en-US"/>
        </w:rPr>
        <w:t xml:space="preserve">that </w:t>
      </w:r>
      <w:r w:rsidRPr="00813D19">
        <w:rPr>
          <w:bCs/>
          <w:lang w:val="en-US"/>
        </w:rPr>
        <w:t xml:space="preserve">respects cultural diversity and </w:t>
      </w:r>
      <w:r w:rsidR="00432E63" w:rsidRPr="00813D19">
        <w:rPr>
          <w:bCs/>
          <w:lang w:val="en-US"/>
        </w:rPr>
        <w:t>results in</w:t>
      </w:r>
      <w:r w:rsidRPr="00813D19">
        <w:rPr>
          <w:bCs/>
          <w:lang w:val="en-US"/>
        </w:rPr>
        <w:t xml:space="preserve"> appropriate safeguarding measures. </w:t>
      </w:r>
      <w:r w:rsidR="00432E63" w:rsidRPr="00813D19">
        <w:rPr>
          <w:bCs/>
          <w:lang w:val="en-US"/>
        </w:rPr>
        <w:t xml:space="preserve">The delegation was happy to </w:t>
      </w:r>
      <w:r w:rsidRPr="00813D19">
        <w:rPr>
          <w:bCs/>
          <w:lang w:val="en-US"/>
        </w:rPr>
        <w:t xml:space="preserve">see the </w:t>
      </w:r>
      <w:r w:rsidR="00F3464F" w:rsidRPr="00813D19">
        <w:rPr>
          <w:bCs/>
          <w:lang w:val="en-US"/>
        </w:rPr>
        <w:t xml:space="preserve">Secretariat’s </w:t>
      </w:r>
      <w:r w:rsidRPr="00813D19">
        <w:rPr>
          <w:bCs/>
          <w:lang w:val="en-US"/>
        </w:rPr>
        <w:t>activities cover</w:t>
      </w:r>
      <w:r w:rsidR="00F3464F" w:rsidRPr="00813D19">
        <w:rPr>
          <w:bCs/>
          <w:lang w:val="en-US"/>
        </w:rPr>
        <w:t xml:space="preserve">ing </w:t>
      </w:r>
      <w:r w:rsidRPr="00813D19">
        <w:rPr>
          <w:bCs/>
          <w:lang w:val="en-US"/>
        </w:rPr>
        <w:t xml:space="preserve">all aspects, </w:t>
      </w:r>
      <w:r w:rsidR="00F3464F" w:rsidRPr="00813D19">
        <w:rPr>
          <w:bCs/>
          <w:lang w:val="en-US"/>
        </w:rPr>
        <w:t xml:space="preserve">and was </w:t>
      </w:r>
      <w:r w:rsidRPr="00813D19">
        <w:rPr>
          <w:bCs/>
          <w:lang w:val="en-US"/>
        </w:rPr>
        <w:t xml:space="preserve">especially happy to </w:t>
      </w:r>
      <w:r w:rsidR="00F3464F" w:rsidRPr="00813D19">
        <w:rPr>
          <w:bCs/>
          <w:lang w:val="en-US"/>
        </w:rPr>
        <w:t xml:space="preserve">note intangible cultural heritage </w:t>
      </w:r>
      <w:r w:rsidRPr="00813D19">
        <w:rPr>
          <w:bCs/>
          <w:lang w:val="en-US"/>
        </w:rPr>
        <w:t xml:space="preserve">in education and </w:t>
      </w:r>
      <w:r w:rsidR="00F3464F" w:rsidRPr="00813D19">
        <w:rPr>
          <w:bCs/>
          <w:lang w:val="en-US"/>
        </w:rPr>
        <w:t xml:space="preserve">intangible cultural heritage </w:t>
      </w:r>
      <w:r w:rsidRPr="00813D19">
        <w:rPr>
          <w:bCs/>
          <w:lang w:val="en-US"/>
        </w:rPr>
        <w:t>in emergency situations</w:t>
      </w:r>
      <w:r w:rsidR="00F3464F" w:rsidRPr="00813D19">
        <w:rPr>
          <w:bCs/>
          <w:lang w:val="en-US"/>
        </w:rPr>
        <w:t>,</w:t>
      </w:r>
      <w:r w:rsidRPr="00813D19">
        <w:rPr>
          <w:bCs/>
          <w:lang w:val="en-US"/>
        </w:rPr>
        <w:t xml:space="preserve"> which </w:t>
      </w:r>
      <w:r w:rsidR="00F3464F" w:rsidRPr="00813D19">
        <w:rPr>
          <w:bCs/>
          <w:lang w:val="en-US"/>
        </w:rPr>
        <w:t xml:space="preserve">showed </w:t>
      </w:r>
      <w:r w:rsidRPr="00813D19">
        <w:rPr>
          <w:bCs/>
          <w:lang w:val="en-US"/>
        </w:rPr>
        <w:t xml:space="preserve">that </w:t>
      </w:r>
      <w:r w:rsidR="00F3464F" w:rsidRPr="00813D19">
        <w:rPr>
          <w:bCs/>
          <w:lang w:val="en-US"/>
        </w:rPr>
        <w:t xml:space="preserve">the </w:t>
      </w:r>
      <w:r w:rsidRPr="00813D19">
        <w:rPr>
          <w:bCs/>
          <w:lang w:val="en-US"/>
        </w:rPr>
        <w:t xml:space="preserve">Secretariat </w:t>
      </w:r>
      <w:r w:rsidR="00F3464F" w:rsidRPr="00813D19">
        <w:rPr>
          <w:bCs/>
          <w:lang w:val="en-US"/>
        </w:rPr>
        <w:t xml:space="preserve">was </w:t>
      </w:r>
      <w:r w:rsidRPr="00813D19">
        <w:rPr>
          <w:bCs/>
          <w:lang w:val="en-US"/>
        </w:rPr>
        <w:t xml:space="preserve">trying to reach all </w:t>
      </w:r>
      <w:r w:rsidR="00F3464F" w:rsidRPr="00813D19">
        <w:rPr>
          <w:bCs/>
          <w:lang w:val="en-US"/>
        </w:rPr>
        <w:t>stakeholders</w:t>
      </w:r>
      <w:r w:rsidRPr="00813D19">
        <w:rPr>
          <w:bCs/>
          <w:lang w:val="en-US"/>
        </w:rPr>
        <w:t xml:space="preserve">. </w:t>
      </w:r>
      <w:r w:rsidR="0080033C" w:rsidRPr="00813D19">
        <w:rPr>
          <w:bCs/>
          <w:lang w:val="en-US"/>
        </w:rPr>
        <w:t xml:space="preserve">It </w:t>
      </w:r>
      <w:r w:rsidR="00F3464F" w:rsidRPr="00813D19">
        <w:rPr>
          <w:bCs/>
          <w:lang w:val="en-US"/>
        </w:rPr>
        <w:t xml:space="preserve">also </w:t>
      </w:r>
      <w:r w:rsidRPr="00813D19">
        <w:rPr>
          <w:bCs/>
          <w:lang w:val="en-US"/>
        </w:rPr>
        <w:t>thank</w:t>
      </w:r>
      <w:r w:rsidR="00F3464F" w:rsidRPr="00813D19">
        <w:rPr>
          <w:bCs/>
          <w:lang w:val="en-US"/>
        </w:rPr>
        <w:t>ed</w:t>
      </w:r>
      <w:r w:rsidRPr="00813D19">
        <w:rPr>
          <w:bCs/>
          <w:lang w:val="en-US"/>
        </w:rPr>
        <w:t xml:space="preserve"> </w:t>
      </w:r>
      <w:r w:rsidR="00F3464F" w:rsidRPr="00813D19">
        <w:rPr>
          <w:bCs/>
          <w:lang w:val="en-US"/>
        </w:rPr>
        <w:t xml:space="preserve">Ms Audrey </w:t>
      </w:r>
      <w:r w:rsidRPr="00813D19">
        <w:rPr>
          <w:bCs/>
          <w:lang w:val="en-US"/>
        </w:rPr>
        <w:t>Azoulay for pursuing this important missio</w:t>
      </w:r>
      <w:r w:rsidR="0080033C" w:rsidRPr="00813D19">
        <w:rPr>
          <w:bCs/>
          <w:lang w:val="en-US"/>
        </w:rPr>
        <w:t>n as Director-General of UNESCO.</w:t>
      </w:r>
      <w:r w:rsidRPr="00813D19">
        <w:rPr>
          <w:bCs/>
          <w:lang w:val="en-US"/>
        </w:rPr>
        <w:t xml:space="preserve"> </w:t>
      </w:r>
      <w:r w:rsidR="0080033C" w:rsidRPr="00813D19">
        <w:rPr>
          <w:bCs/>
          <w:lang w:val="en-US"/>
        </w:rPr>
        <w:t>A</w:t>
      </w:r>
      <w:r w:rsidRPr="00813D19">
        <w:rPr>
          <w:bCs/>
          <w:lang w:val="en-US"/>
        </w:rPr>
        <w:t xml:space="preserve">s </w:t>
      </w:r>
      <w:r w:rsidR="00F3464F" w:rsidRPr="00813D19">
        <w:rPr>
          <w:bCs/>
          <w:lang w:val="en-US"/>
        </w:rPr>
        <w:t>V</w:t>
      </w:r>
      <w:r w:rsidRPr="00813D19">
        <w:rPr>
          <w:bCs/>
          <w:lang w:val="en-US"/>
        </w:rPr>
        <w:t>ice-</w:t>
      </w:r>
      <w:r w:rsidR="00F3464F" w:rsidRPr="00813D19">
        <w:rPr>
          <w:bCs/>
          <w:lang w:val="en-US"/>
        </w:rPr>
        <w:t xml:space="preserve">Chair </w:t>
      </w:r>
      <w:r w:rsidRPr="00813D19">
        <w:rPr>
          <w:bCs/>
          <w:lang w:val="en-US"/>
        </w:rPr>
        <w:t>of the Bureau</w:t>
      </w:r>
      <w:r w:rsidR="00F3464F" w:rsidRPr="00813D19">
        <w:rPr>
          <w:bCs/>
          <w:lang w:val="en-US"/>
        </w:rPr>
        <w:t xml:space="preserve">, </w:t>
      </w:r>
      <w:r w:rsidR="0080033C" w:rsidRPr="00813D19">
        <w:rPr>
          <w:bCs/>
          <w:lang w:val="en-US"/>
        </w:rPr>
        <w:t>the delegation congratulated</w:t>
      </w:r>
      <w:r w:rsidR="00F3464F" w:rsidRPr="00813D19">
        <w:rPr>
          <w:bCs/>
          <w:lang w:val="en-US"/>
        </w:rPr>
        <w:t xml:space="preserve"> the Chairperson, expressing its </w:t>
      </w:r>
      <w:r w:rsidRPr="00813D19">
        <w:rPr>
          <w:bCs/>
          <w:lang w:val="en-US"/>
        </w:rPr>
        <w:t xml:space="preserve">readiness to support </w:t>
      </w:r>
      <w:r w:rsidR="00F3464F" w:rsidRPr="00813D19">
        <w:rPr>
          <w:bCs/>
          <w:lang w:val="en-US"/>
        </w:rPr>
        <w:t xml:space="preserve">him in all his </w:t>
      </w:r>
      <w:r w:rsidRPr="00813D19">
        <w:rPr>
          <w:bCs/>
          <w:lang w:val="en-US"/>
        </w:rPr>
        <w:t>endeavo</w:t>
      </w:r>
      <w:r w:rsidR="0080033C" w:rsidRPr="00813D19">
        <w:rPr>
          <w:bCs/>
          <w:lang w:val="en-US"/>
        </w:rPr>
        <w:t>u</w:t>
      </w:r>
      <w:r w:rsidR="00B67A60">
        <w:rPr>
          <w:bCs/>
          <w:lang w:val="en-US"/>
        </w:rPr>
        <w:t>rs.</w:t>
      </w:r>
    </w:p>
    <w:p w14:paraId="6DC2A483" w14:textId="12F2AA85" w:rsidR="000D6466" w:rsidRPr="00813D19" w:rsidRDefault="00F3464F" w:rsidP="002113CA">
      <w:pPr>
        <w:pStyle w:val="Orateurengris"/>
        <w:spacing w:before="120"/>
        <w:ind w:left="709" w:hanging="709"/>
        <w:rPr>
          <w:color w:val="000000" w:themeColor="text1"/>
          <w:lang w:val="en-US"/>
        </w:rPr>
      </w:pPr>
      <w:r w:rsidRPr="00813D19">
        <w:rPr>
          <w:color w:val="000000" w:themeColor="text1"/>
          <w:lang w:val="en-US"/>
        </w:rPr>
        <w:t>Thanking Armenia, t</w:t>
      </w:r>
      <w:r w:rsidR="000D6466" w:rsidRPr="00813D19">
        <w:rPr>
          <w:color w:val="000000" w:themeColor="text1"/>
          <w:lang w:val="en-US"/>
        </w:rPr>
        <w:t xml:space="preserve">he </w:t>
      </w:r>
      <w:r w:rsidR="000D6466" w:rsidRPr="00813D19">
        <w:rPr>
          <w:b/>
          <w:color w:val="000000" w:themeColor="text1"/>
          <w:lang w:val="en-US"/>
        </w:rPr>
        <w:t xml:space="preserve">Chairperson </w:t>
      </w:r>
      <w:r w:rsidRPr="00813D19">
        <w:rPr>
          <w:bCs/>
          <w:lang w:val="en-US"/>
        </w:rPr>
        <w:t xml:space="preserve">noted a few </w:t>
      </w:r>
      <w:r w:rsidR="000D6466" w:rsidRPr="00813D19">
        <w:rPr>
          <w:bCs/>
          <w:lang w:val="en-US"/>
        </w:rPr>
        <w:t xml:space="preserve">other </w:t>
      </w:r>
      <w:r w:rsidR="0064145A" w:rsidRPr="00813D19">
        <w:rPr>
          <w:bCs/>
          <w:lang w:val="en-US"/>
        </w:rPr>
        <w:t>speakers</w:t>
      </w:r>
      <w:r w:rsidR="000D6466" w:rsidRPr="00813D19">
        <w:rPr>
          <w:bCs/>
          <w:lang w:val="en-US"/>
        </w:rPr>
        <w:t xml:space="preserve">, </w:t>
      </w:r>
      <w:r w:rsidR="0064145A" w:rsidRPr="00813D19">
        <w:rPr>
          <w:bCs/>
          <w:lang w:val="en-US"/>
        </w:rPr>
        <w:t xml:space="preserve">but wished </w:t>
      </w:r>
      <w:r w:rsidR="000D6466" w:rsidRPr="00813D19">
        <w:rPr>
          <w:bCs/>
          <w:lang w:val="en-US"/>
        </w:rPr>
        <w:t xml:space="preserve">to interrupt </w:t>
      </w:r>
      <w:r w:rsidR="0064145A" w:rsidRPr="00813D19">
        <w:rPr>
          <w:bCs/>
          <w:lang w:val="en-US"/>
        </w:rPr>
        <w:t xml:space="preserve">the </w:t>
      </w:r>
      <w:r w:rsidR="000D6466" w:rsidRPr="00813D19">
        <w:rPr>
          <w:bCs/>
          <w:lang w:val="en-US"/>
        </w:rPr>
        <w:t xml:space="preserve">discussion </w:t>
      </w:r>
      <w:r w:rsidR="0064145A" w:rsidRPr="00813D19">
        <w:rPr>
          <w:bCs/>
          <w:lang w:val="en-US"/>
        </w:rPr>
        <w:t xml:space="preserve">for </w:t>
      </w:r>
      <w:r w:rsidR="000D6466" w:rsidRPr="00813D19">
        <w:rPr>
          <w:bCs/>
          <w:lang w:val="en-US"/>
        </w:rPr>
        <w:t xml:space="preserve">an extraordinary situation. The Bureau </w:t>
      </w:r>
      <w:r w:rsidR="005717B7">
        <w:rPr>
          <w:bCs/>
          <w:lang w:val="en-US"/>
        </w:rPr>
        <w:t xml:space="preserve">had </w:t>
      </w:r>
      <w:r w:rsidR="000D6466" w:rsidRPr="00813D19">
        <w:rPr>
          <w:bCs/>
          <w:lang w:val="en-US"/>
        </w:rPr>
        <w:t xml:space="preserve">met </w:t>
      </w:r>
      <w:r w:rsidR="0064145A" w:rsidRPr="00813D19">
        <w:rPr>
          <w:bCs/>
          <w:lang w:val="en-US"/>
        </w:rPr>
        <w:t xml:space="preserve">the previous </w:t>
      </w:r>
      <w:r w:rsidR="000D6466" w:rsidRPr="00813D19">
        <w:rPr>
          <w:bCs/>
          <w:lang w:val="en-US"/>
        </w:rPr>
        <w:t xml:space="preserve">afternoon at the request of the Director-General and agreed to examine </w:t>
      </w:r>
      <w:r w:rsidR="0064145A" w:rsidRPr="00813D19">
        <w:rPr>
          <w:bCs/>
          <w:lang w:val="en-US"/>
        </w:rPr>
        <w:t xml:space="preserve">a nomination for inscription on the Representative List in </w:t>
      </w:r>
      <w:r w:rsidR="000D6466" w:rsidRPr="00813D19">
        <w:rPr>
          <w:bCs/>
          <w:lang w:val="en-US"/>
        </w:rPr>
        <w:t xml:space="preserve">an exceptional </w:t>
      </w:r>
      <w:r w:rsidR="0064145A" w:rsidRPr="00813D19">
        <w:rPr>
          <w:bCs/>
          <w:lang w:val="en-US"/>
        </w:rPr>
        <w:t xml:space="preserve">case. </w:t>
      </w:r>
      <w:r w:rsidR="0080033C" w:rsidRPr="00813D19">
        <w:rPr>
          <w:bCs/>
          <w:lang w:val="en-US"/>
        </w:rPr>
        <w:t xml:space="preserve">He </w:t>
      </w:r>
      <w:r w:rsidR="0064145A" w:rsidRPr="00813D19">
        <w:rPr>
          <w:bCs/>
          <w:lang w:val="en-US"/>
        </w:rPr>
        <w:t xml:space="preserve">understood that specific travel plans had been made with in relation to agenda item 10.b, but that the schedule would resume </w:t>
      </w:r>
      <w:r w:rsidR="0080033C" w:rsidRPr="00813D19">
        <w:rPr>
          <w:bCs/>
          <w:lang w:val="en-US"/>
        </w:rPr>
        <w:t xml:space="preserve">immediately afterwards </w:t>
      </w:r>
      <w:r w:rsidR="000D6466" w:rsidRPr="00813D19">
        <w:rPr>
          <w:bCs/>
          <w:lang w:val="en-US"/>
        </w:rPr>
        <w:t xml:space="preserve">to </w:t>
      </w:r>
      <w:r w:rsidR="0064145A" w:rsidRPr="00813D19">
        <w:rPr>
          <w:bCs/>
          <w:lang w:val="en-US"/>
        </w:rPr>
        <w:t xml:space="preserve">maintain </w:t>
      </w:r>
      <w:r w:rsidR="000D6466" w:rsidRPr="00813D19">
        <w:rPr>
          <w:bCs/>
          <w:lang w:val="en-US"/>
        </w:rPr>
        <w:t xml:space="preserve">the provisional timetable as initially planned. </w:t>
      </w:r>
      <w:r w:rsidR="0064145A" w:rsidRPr="00813D19">
        <w:rPr>
          <w:bCs/>
          <w:lang w:val="en-US"/>
        </w:rPr>
        <w:t xml:space="preserve">The Chairperson invited the </w:t>
      </w:r>
      <w:r w:rsidR="000D6466" w:rsidRPr="00813D19">
        <w:rPr>
          <w:bCs/>
          <w:lang w:val="en-US"/>
        </w:rPr>
        <w:t xml:space="preserve">Director-General to introduce </w:t>
      </w:r>
      <w:r w:rsidR="0064145A" w:rsidRPr="00813D19">
        <w:rPr>
          <w:bCs/>
          <w:lang w:val="en-US"/>
        </w:rPr>
        <w:t>this specific case</w:t>
      </w:r>
      <w:r w:rsidR="00B67A60">
        <w:rPr>
          <w:bCs/>
          <w:lang w:val="en-US"/>
        </w:rPr>
        <w:t>.</w:t>
      </w:r>
    </w:p>
    <w:p w14:paraId="3916FDAE" w14:textId="23FC4BA4" w:rsidR="00D111EE" w:rsidRPr="00813D19" w:rsidRDefault="00AA24C1"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Director-General</w:t>
      </w:r>
      <w:r w:rsidR="000D6466" w:rsidRPr="00813D19">
        <w:rPr>
          <w:b/>
          <w:color w:val="000000" w:themeColor="text1"/>
          <w:lang w:val="en-US"/>
        </w:rPr>
        <w:t xml:space="preserve"> </w:t>
      </w:r>
      <w:r w:rsidR="00FF4949" w:rsidRPr="00813D19">
        <w:rPr>
          <w:b/>
          <w:color w:val="000000" w:themeColor="text1"/>
          <w:lang w:val="en-US"/>
        </w:rPr>
        <w:t>of UNESCO</w:t>
      </w:r>
      <w:r w:rsidR="00FF4949" w:rsidRPr="00813D19">
        <w:rPr>
          <w:color w:val="000000" w:themeColor="text1"/>
          <w:lang w:val="en-US"/>
        </w:rPr>
        <w:t>, Ms Audrey Azoulay,</w:t>
      </w:r>
      <w:r w:rsidR="00D111EE" w:rsidRPr="00813D19">
        <w:rPr>
          <w:color w:val="000000" w:themeColor="text1"/>
          <w:lang w:val="en-US"/>
        </w:rPr>
        <w:t xml:space="preserve"> thank</w:t>
      </w:r>
      <w:r w:rsidR="00796D16" w:rsidRPr="00813D19">
        <w:rPr>
          <w:color w:val="000000" w:themeColor="text1"/>
          <w:lang w:val="en-US"/>
        </w:rPr>
        <w:t>ed</w:t>
      </w:r>
      <w:r w:rsidR="00D111EE" w:rsidRPr="00813D19">
        <w:rPr>
          <w:color w:val="000000" w:themeColor="text1"/>
          <w:lang w:val="en-US"/>
        </w:rPr>
        <w:t xml:space="preserve"> the Bureau for </w:t>
      </w:r>
      <w:r w:rsidR="00796D16" w:rsidRPr="00813D19">
        <w:rPr>
          <w:color w:val="000000" w:themeColor="text1"/>
          <w:lang w:val="en-US"/>
        </w:rPr>
        <w:t xml:space="preserve">its </w:t>
      </w:r>
      <w:r w:rsidR="00D111EE" w:rsidRPr="00813D19">
        <w:rPr>
          <w:color w:val="000000" w:themeColor="text1"/>
          <w:lang w:val="en-US"/>
        </w:rPr>
        <w:t>consider</w:t>
      </w:r>
      <w:r w:rsidR="00796D16" w:rsidRPr="00813D19">
        <w:rPr>
          <w:color w:val="000000" w:themeColor="text1"/>
          <w:lang w:val="en-US"/>
        </w:rPr>
        <w:t>ation of this point, and she was hono</w:t>
      </w:r>
      <w:r w:rsidR="00C64B11">
        <w:rPr>
          <w:color w:val="000000" w:themeColor="text1"/>
          <w:lang w:val="en-US"/>
        </w:rPr>
        <w:t>u</w:t>
      </w:r>
      <w:r w:rsidR="00796D16" w:rsidRPr="00813D19">
        <w:rPr>
          <w:color w:val="000000" w:themeColor="text1"/>
          <w:lang w:val="en-US"/>
        </w:rPr>
        <w:t xml:space="preserve">red </w:t>
      </w:r>
      <w:r w:rsidR="00D111EE" w:rsidRPr="00813D19">
        <w:rPr>
          <w:color w:val="000000" w:themeColor="text1"/>
          <w:lang w:val="en-US"/>
        </w:rPr>
        <w:t xml:space="preserve">to present </w:t>
      </w:r>
      <w:r w:rsidR="00796D16" w:rsidRPr="00813D19">
        <w:rPr>
          <w:color w:val="000000" w:themeColor="text1"/>
          <w:lang w:val="en-US"/>
        </w:rPr>
        <w:t xml:space="preserve">an unprecedented situation to the Committee concerning two </w:t>
      </w:r>
      <w:r w:rsidR="00D111EE" w:rsidRPr="00813D19">
        <w:rPr>
          <w:color w:val="000000" w:themeColor="text1"/>
          <w:lang w:val="en-US"/>
        </w:rPr>
        <w:t xml:space="preserve">Member States </w:t>
      </w:r>
      <w:r w:rsidR="00796D16" w:rsidRPr="00813D19">
        <w:rPr>
          <w:color w:val="000000" w:themeColor="text1"/>
          <w:lang w:val="en-US"/>
        </w:rPr>
        <w:t xml:space="preserve">in a </w:t>
      </w:r>
      <w:r w:rsidR="00D111EE" w:rsidRPr="00813D19">
        <w:rPr>
          <w:color w:val="000000" w:themeColor="text1"/>
          <w:lang w:val="en-US"/>
        </w:rPr>
        <w:t xml:space="preserve">historic first </w:t>
      </w:r>
      <w:r w:rsidR="00796D16" w:rsidRPr="00813D19">
        <w:rPr>
          <w:color w:val="000000" w:themeColor="text1"/>
          <w:lang w:val="en-US"/>
        </w:rPr>
        <w:t xml:space="preserve">proposal that demonstrated </w:t>
      </w:r>
      <w:r w:rsidR="00D111EE" w:rsidRPr="00813D19">
        <w:rPr>
          <w:color w:val="000000" w:themeColor="text1"/>
          <w:lang w:val="en-US"/>
        </w:rPr>
        <w:t xml:space="preserve">great </w:t>
      </w:r>
      <w:r w:rsidR="00796D16" w:rsidRPr="00813D19">
        <w:rPr>
          <w:color w:val="000000" w:themeColor="text1"/>
          <w:lang w:val="en-US"/>
        </w:rPr>
        <w:t xml:space="preserve">faith </w:t>
      </w:r>
      <w:r w:rsidR="00D111EE" w:rsidRPr="00813D19">
        <w:rPr>
          <w:color w:val="000000" w:themeColor="text1"/>
          <w:lang w:val="en-US"/>
        </w:rPr>
        <w:t xml:space="preserve">in UNESCO in general, but </w:t>
      </w:r>
      <w:r w:rsidR="00796D16" w:rsidRPr="00813D19">
        <w:rPr>
          <w:color w:val="000000" w:themeColor="text1"/>
          <w:lang w:val="en-US"/>
        </w:rPr>
        <w:t xml:space="preserve">also </w:t>
      </w:r>
      <w:r w:rsidR="00D111EE" w:rsidRPr="00813D19">
        <w:rPr>
          <w:color w:val="000000" w:themeColor="text1"/>
          <w:lang w:val="en-US"/>
        </w:rPr>
        <w:t xml:space="preserve">in </w:t>
      </w:r>
      <w:r w:rsidR="00796D16" w:rsidRPr="00813D19">
        <w:rPr>
          <w:color w:val="000000" w:themeColor="text1"/>
          <w:lang w:val="en-US"/>
        </w:rPr>
        <w:t xml:space="preserve">the Committee’s </w:t>
      </w:r>
      <w:r w:rsidR="00D111EE" w:rsidRPr="00813D19">
        <w:rPr>
          <w:color w:val="000000" w:themeColor="text1"/>
          <w:lang w:val="en-US"/>
        </w:rPr>
        <w:t>work</w:t>
      </w:r>
      <w:r w:rsidR="00796D16" w:rsidRPr="00813D19">
        <w:rPr>
          <w:color w:val="000000" w:themeColor="text1"/>
          <w:lang w:val="en-US"/>
        </w:rPr>
        <w:t xml:space="preserve"> in particular. The two States in question were the Democratic People’</w:t>
      </w:r>
      <w:r w:rsidR="00D111EE" w:rsidRPr="00813D19">
        <w:rPr>
          <w:color w:val="000000" w:themeColor="text1"/>
          <w:lang w:val="en-US"/>
        </w:rPr>
        <w:t>s Republic of Korea</w:t>
      </w:r>
      <w:r w:rsidR="00796D16" w:rsidRPr="00813D19">
        <w:rPr>
          <w:color w:val="000000" w:themeColor="text1"/>
          <w:lang w:val="en-US"/>
        </w:rPr>
        <w:t xml:space="preserve"> and the Republic of Korea, which had </w:t>
      </w:r>
      <w:r w:rsidR="00D111EE" w:rsidRPr="00813D19">
        <w:rPr>
          <w:color w:val="000000" w:themeColor="text1"/>
          <w:lang w:val="en-US"/>
        </w:rPr>
        <w:t xml:space="preserve">decided to submit </w:t>
      </w:r>
      <w:r w:rsidR="00796D16" w:rsidRPr="00813D19">
        <w:rPr>
          <w:color w:val="000000" w:themeColor="text1"/>
          <w:lang w:val="en-US"/>
        </w:rPr>
        <w:t xml:space="preserve">the element </w:t>
      </w:r>
      <w:r w:rsidR="003A370D" w:rsidRPr="00813D19">
        <w:rPr>
          <w:color w:val="000000" w:themeColor="text1"/>
          <w:lang w:val="en-US"/>
        </w:rPr>
        <w:t xml:space="preserve">ssirum or </w:t>
      </w:r>
      <w:r w:rsidR="00796D16" w:rsidRPr="00813D19">
        <w:rPr>
          <w:color w:val="000000" w:themeColor="text1"/>
          <w:lang w:val="en-US"/>
        </w:rPr>
        <w:t xml:space="preserve">ssireum </w:t>
      </w:r>
      <w:r w:rsidR="00D111EE" w:rsidRPr="00813D19">
        <w:rPr>
          <w:color w:val="000000" w:themeColor="text1"/>
          <w:lang w:val="en-US"/>
        </w:rPr>
        <w:t xml:space="preserve">for </w:t>
      </w:r>
      <w:r w:rsidR="003A370D" w:rsidRPr="00813D19">
        <w:rPr>
          <w:color w:val="000000" w:themeColor="text1"/>
          <w:lang w:val="en-US"/>
        </w:rPr>
        <w:t>inscription on the Representative List. Th</w:t>
      </w:r>
      <w:r w:rsidR="00B853FD" w:rsidRPr="00813D19">
        <w:rPr>
          <w:color w:val="000000" w:themeColor="text1"/>
          <w:lang w:val="en-US"/>
        </w:rPr>
        <w:t>e</w:t>
      </w:r>
      <w:r w:rsidR="003A370D" w:rsidRPr="00813D19">
        <w:rPr>
          <w:color w:val="000000" w:themeColor="text1"/>
          <w:lang w:val="en-US"/>
        </w:rPr>
        <w:t xml:space="preserve"> element is a traditional form of wrestling practis</w:t>
      </w:r>
      <w:r w:rsidR="00D111EE" w:rsidRPr="00813D19">
        <w:rPr>
          <w:color w:val="000000" w:themeColor="text1"/>
          <w:lang w:val="en-US"/>
        </w:rPr>
        <w:t>ed in both countries</w:t>
      </w:r>
      <w:r w:rsidR="003A370D" w:rsidRPr="00813D19">
        <w:rPr>
          <w:color w:val="000000" w:themeColor="text1"/>
          <w:lang w:val="en-US"/>
        </w:rPr>
        <w:t xml:space="preserve"> dating back thousands of years</w:t>
      </w:r>
      <w:r w:rsidR="00D111EE" w:rsidRPr="00813D19">
        <w:rPr>
          <w:color w:val="000000" w:themeColor="text1"/>
          <w:lang w:val="en-US"/>
        </w:rPr>
        <w:t xml:space="preserve">. </w:t>
      </w:r>
      <w:r w:rsidR="003A370D" w:rsidRPr="00813D19">
        <w:rPr>
          <w:color w:val="000000" w:themeColor="text1"/>
          <w:lang w:val="en-US"/>
        </w:rPr>
        <w:t>As the</w:t>
      </w:r>
      <w:r w:rsidR="00D111EE" w:rsidRPr="00813D19">
        <w:rPr>
          <w:color w:val="000000" w:themeColor="text1"/>
          <w:lang w:val="en-US"/>
        </w:rPr>
        <w:t xml:space="preserve"> Korea</w:t>
      </w:r>
      <w:r w:rsidR="003A370D" w:rsidRPr="00813D19">
        <w:rPr>
          <w:color w:val="000000" w:themeColor="text1"/>
          <w:lang w:val="en-US"/>
        </w:rPr>
        <w:t>n</w:t>
      </w:r>
      <w:r w:rsidR="00B853FD" w:rsidRPr="00813D19">
        <w:rPr>
          <w:color w:val="000000" w:themeColor="text1"/>
          <w:lang w:val="en-US"/>
        </w:rPr>
        <w:t xml:space="preserve"> nations</w:t>
      </w:r>
      <w:r w:rsidR="00D111EE" w:rsidRPr="00813D19">
        <w:rPr>
          <w:color w:val="000000" w:themeColor="text1"/>
          <w:lang w:val="en-US"/>
        </w:rPr>
        <w:t xml:space="preserve"> </w:t>
      </w:r>
      <w:r w:rsidR="003A370D" w:rsidRPr="00813D19">
        <w:rPr>
          <w:color w:val="000000" w:themeColor="text1"/>
          <w:lang w:val="en-US"/>
        </w:rPr>
        <w:t>work</w:t>
      </w:r>
      <w:r w:rsidR="00D111EE" w:rsidRPr="00813D19">
        <w:rPr>
          <w:color w:val="000000" w:themeColor="text1"/>
          <w:lang w:val="en-US"/>
        </w:rPr>
        <w:t xml:space="preserve"> towards </w:t>
      </w:r>
      <w:r w:rsidR="003A370D" w:rsidRPr="00813D19">
        <w:rPr>
          <w:color w:val="000000" w:themeColor="text1"/>
          <w:lang w:val="en-US"/>
        </w:rPr>
        <w:t>a rapprochemen</w:t>
      </w:r>
      <w:r w:rsidR="00F21013" w:rsidRPr="00813D19">
        <w:rPr>
          <w:color w:val="000000" w:themeColor="text1"/>
          <w:lang w:val="en-US"/>
        </w:rPr>
        <w:t xml:space="preserve">t, the present session served as an </w:t>
      </w:r>
      <w:r w:rsidR="00D111EE" w:rsidRPr="00813D19">
        <w:rPr>
          <w:color w:val="000000" w:themeColor="text1"/>
          <w:lang w:val="en-US"/>
        </w:rPr>
        <w:t xml:space="preserve">opportunity to demonstrate the importance of cultural heritage for peace and reconciliation. </w:t>
      </w:r>
      <w:r w:rsidR="00F21013" w:rsidRPr="00813D19">
        <w:rPr>
          <w:color w:val="000000" w:themeColor="text1"/>
          <w:lang w:val="en-US"/>
        </w:rPr>
        <w:t>T</w:t>
      </w:r>
      <w:r w:rsidR="00D111EE" w:rsidRPr="00813D19">
        <w:rPr>
          <w:color w:val="000000" w:themeColor="text1"/>
          <w:lang w:val="en-US"/>
        </w:rPr>
        <w:t xml:space="preserve">hese initially separate </w:t>
      </w:r>
      <w:r w:rsidR="00F21013" w:rsidRPr="00813D19">
        <w:rPr>
          <w:color w:val="000000" w:themeColor="text1"/>
          <w:lang w:val="en-US"/>
        </w:rPr>
        <w:t xml:space="preserve">nominations </w:t>
      </w:r>
      <w:r w:rsidR="00D111EE" w:rsidRPr="00813D19">
        <w:rPr>
          <w:color w:val="000000" w:themeColor="text1"/>
          <w:lang w:val="en-US"/>
        </w:rPr>
        <w:t>highlight</w:t>
      </w:r>
      <w:r w:rsidR="00F21013" w:rsidRPr="00813D19">
        <w:rPr>
          <w:color w:val="000000" w:themeColor="text1"/>
          <w:lang w:val="en-US"/>
        </w:rPr>
        <w:t>ed</w:t>
      </w:r>
      <w:r w:rsidR="00D111EE" w:rsidRPr="00813D19">
        <w:rPr>
          <w:color w:val="000000" w:themeColor="text1"/>
          <w:lang w:val="en-US"/>
        </w:rPr>
        <w:t xml:space="preserve"> the similarities on both sides of the Korean peninsula. </w:t>
      </w:r>
      <w:r w:rsidR="00F21013" w:rsidRPr="00813D19">
        <w:rPr>
          <w:color w:val="000000" w:themeColor="text1"/>
          <w:lang w:val="en-US"/>
        </w:rPr>
        <w:t>Ms Azoulay wished to thank the</w:t>
      </w:r>
      <w:r w:rsidR="003D1109" w:rsidRPr="00813D19">
        <w:rPr>
          <w:color w:val="000000" w:themeColor="text1"/>
          <w:lang w:val="en-US"/>
        </w:rPr>
        <w:t xml:space="preserve"> </w:t>
      </w:r>
      <w:r w:rsidR="00D111EE" w:rsidRPr="00813D19">
        <w:rPr>
          <w:color w:val="000000" w:themeColor="text1"/>
          <w:lang w:val="en-US"/>
        </w:rPr>
        <w:t xml:space="preserve">highest authorities </w:t>
      </w:r>
      <w:r w:rsidR="003D1109" w:rsidRPr="00813D19">
        <w:rPr>
          <w:color w:val="000000" w:themeColor="text1"/>
          <w:lang w:val="en-US"/>
        </w:rPr>
        <w:t>in both countries and their delegations</w:t>
      </w:r>
      <w:r w:rsidR="00D111EE" w:rsidRPr="00813D19">
        <w:rPr>
          <w:color w:val="000000" w:themeColor="text1"/>
          <w:lang w:val="en-US"/>
        </w:rPr>
        <w:t xml:space="preserve"> for taking this </w:t>
      </w:r>
      <w:r w:rsidR="003D1109" w:rsidRPr="00813D19">
        <w:rPr>
          <w:color w:val="000000" w:themeColor="text1"/>
          <w:lang w:val="en-US"/>
        </w:rPr>
        <w:t xml:space="preserve">common </w:t>
      </w:r>
      <w:r w:rsidR="00B853FD" w:rsidRPr="00813D19">
        <w:rPr>
          <w:color w:val="000000" w:themeColor="text1"/>
          <w:lang w:val="en-US"/>
        </w:rPr>
        <w:t>step</w:t>
      </w:r>
      <w:r w:rsidR="003D1109" w:rsidRPr="00813D19">
        <w:rPr>
          <w:color w:val="000000" w:themeColor="text1"/>
          <w:lang w:val="en-US"/>
        </w:rPr>
        <w:t xml:space="preserve"> towards a United Nations organization</w:t>
      </w:r>
      <w:r w:rsidR="00D111EE" w:rsidRPr="00813D19">
        <w:rPr>
          <w:color w:val="000000" w:themeColor="text1"/>
          <w:lang w:val="en-US"/>
        </w:rPr>
        <w:t xml:space="preserve">, which </w:t>
      </w:r>
      <w:r w:rsidR="005717B7">
        <w:rPr>
          <w:color w:val="000000" w:themeColor="text1"/>
          <w:lang w:val="en-US"/>
        </w:rPr>
        <w:t xml:space="preserve">had been </w:t>
      </w:r>
      <w:r w:rsidR="00D111EE" w:rsidRPr="00813D19">
        <w:rPr>
          <w:color w:val="000000" w:themeColor="text1"/>
          <w:lang w:val="en-US"/>
        </w:rPr>
        <w:t xml:space="preserve">unimaginable not </w:t>
      </w:r>
      <w:r w:rsidR="003D1109" w:rsidRPr="00813D19">
        <w:rPr>
          <w:color w:val="000000" w:themeColor="text1"/>
          <w:lang w:val="en-US"/>
        </w:rPr>
        <w:t xml:space="preserve">so </w:t>
      </w:r>
      <w:r w:rsidR="00D111EE" w:rsidRPr="00813D19">
        <w:rPr>
          <w:color w:val="000000" w:themeColor="text1"/>
          <w:lang w:val="en-US"/>
        </w:rPr>
        <w:t xml:space="preserve">long ago, </w:t>
      </w:r>
      <w:r w:rsidR="003D1109" w:rsidRPr="00813D19">
        <w:rPr>
          <w:color w:val="000000" w:themeColor="text1"/>
          <w:lang w:val="en-US"/>
        </w:rPr>
        <w:t xml:space="preserve">in a </w:t>
      </w:r>
      <w:r w:rsidR="00D111EE" w:rsidRPr="00813D19">
        <w:rPr>
          <w:color w:val="000000" w:themeColor="text1"/>
          <w:lang w:val="en-US"/>
        </w:rPr>
        <w:t xml:space="preserve">joint approach </w:t>
      </w:r>
      <w:r w:rsidR="003D1109" w:rsidRPr="00813D19">
        <w:rPr>
          <w:color w:val="000000" w:themeColor="text1"/>
          <w:lang w:val="en-US"/>
        </w:rPr>
        <w:t xml:space="preserve">demonstrating </w:t>
      </w:r>
      <w:r w:rsidR="00D111EE" w:rsidRPr="00813D19">
        <w:rPr>
          <w:color w:val="000000" w:themeColor="text1"/>
          <w:lang w:val="en-US"/>
        </w:rPr>
        <w:t xml:space="preserve">how culture can to be at the forefront of peace. These two countries </w:t>
      </w:r>
      <w:r w:rsidR="003D1109" w:rsidRPr="00813D19">
        <w:rPr>
          <w:color w:val="000000" w:themeColor="text1"/>
          <w:lang w:val="en-US"/>
        </w:rPr>
        <w:t xml:space="preserve">had </w:t>
      </w:r>
      <w:r w:rsidR="00D111EE" w:rsidRPr="00813D19">
        <w:rPr>
          <w:color w:val="000000" w:themeColor="text1"/>
          <w:lang w:val="en-US"/>
        </w:rPr>
        <w:t xml:space="preserve">responded with courage and commitment </w:t>
      </w:r>
      <w:r w:rsidR="003D1109" w:rsidRPr="00813D19">
        <w:rPr>
          <w:color w:val="000000" w:themeColor="text1"/>
          <w:lang w:val="en-US"/>
        </w:rPr>
        <w:t xml:space="preserve">in the submission of the </w:t>
      </w:r>
      <w:r w:rsidR="00D111EE" w:rsidRPr="00813D19">
        <w:rPr>
          <w:color w:val="000000" w:themeColor="text1"/>
          <w:lang w:val="en-US"/>
        </w:rPr>
        <w:t xml:space="preserve">joint </w:t>
      </w:r>
      <w:r w:rsidR="003D1109" w:rsidRPr="00813D19">
        <w:rPr>
          <w:color w:val="000000" w:themeColor="text1"/>
          <w:lang w:val="en-US"/>
        </w:rPr>
        <w:t xml:space="preserve">nomination that sent </w:t>
      </w:r>
      <w:r w:rsidR="00D111EE" w:rsidRPr="00813D19">
        <w:rPr>
          <w:color w:val="000000" w:themeColor="text1"/>
          <w:lang w:val="en-US"/>
        </w:rPr>
        <w:t xml:space="preserve">a powerful message to all Koreans and to the world. This </w:t>
      </w:r>
      <w:r w:rsidR="003D1109" w:rsidRPr="00813D19">
        <w:rPr>
          <w:color w:val="000000" w:themeColor="text1"/>
          <w:lang w:val="en-US"/>
        </w:rPr>
        <w:t xml:space="preserve">was </w:t>
      </w:r>
      <w:r w:rsidR="00D111EE" w:rsidRPr="00813D19">
        <w:rPr>
          <w:color w:val="000000" w:themeColor="text1"/>
          <w:lang w:val="en-US"/>
        </w:rPr>
        <w:t xml:space="preserve">an important symbolic step, rooted in the long history of these countries, </w:t>
      </w:r>
      <w:r w:rsidR="003D1109" w:rsidRPr="00813D19">
        <w:rPr>
          <w:color w:val="000000" w:themeColor="text1"/>
          <w:lang w:val="en-US"/>
        </w:rPr>
        <w:t xml:space="preserve">as they unite in this joint inscription, which reveals </w:t>
      </w:r>
      <w:r w:rsidR="00D111EE" w:rsidRPr="00813D19">
        <w:rPr>
          <w:color w:val="000000" w:themeColor="text1"/>
          <w:lang w:val="en-US"/>
        </w:rPr>
        <w:t>the extraordinary strength of cultural heritage as a vector of peace and dialogue at the heart of UNESCO</w:t>
      </w:r>
      <w:r w:rsidR="00B7793B">
        <w:rPr>
          <w:color w:val="000000" w:themeColor="text1"/>
          <w:lang w:val="en-US"/>
        </w:rPr>
        <w:t>’</w:t>
      </w:r>
      <w:r w:rsidR="00D111EE" w:rsidRPr="00813D19">
        <w:rPr>
          <w:color w:val="000000" w:themeColor="text1"/>
          <w:lang w:val="en-US"/>
        </w:rPr>
        <w:t xml:space="preserve">s mandate. </w:t>
      </w:r>
      <w:r w:rsidR="003D1109" w:rsidRPr="00813D19">
        <w:rPr>
          <w:color w:val="000000" w:themeColor="text1"/>
          <w:lang w:val="en-US"/>
        </w:rPr>
        <w:t xml:space="preserve">This exceptional situation was </w:t>
      </w:r>
      <w:r w:rsidR="00D111EE" w:rsidRPr="00813D19">
        <w:rPr>
          <w:color w:val="000000" w:themeColor="text1"/>
          <w:lang w:val="en-US"/>
        </w:rPr>
        <w:t xml:space="preserve">an example that should inspire us all around the world. </w:t>
      </w:r>
      <w:r w:rsidR="003D1109" w:rsidRPr="00813D19">
        <w:rPr>
          <w:color w:val="000000" w:themeColor="text1"/>
          <w:lang w:val="en-US"/>
        </w:rPr>
        <w:t xml:space="preserve">Ms Azoulay invited the Secretary to introduce </w:t>
      </w:r>
      <w:r w:rsidR="00D111EE" w:rsidRPr="00813D19">
        <w:rPr>
          <w:color w:val="000000" w:themeColor="text1"/>
          <w:lang w:val="en-US"/>
        </w:rPr>
        <w:t>the procedure for the exami</w:t>
      </w:r>
      <w:r w:rsidR="00B67A60">
        <w:rPr>
          <w:color w:val="000000" w:themeColor="text1"/>
          <w:lang w:val="en-US"/>
        </w:rPr>
        <w:t>nation of this particular case.</w:t>
      </w:r>
    </w:p>
    <w:p w14:paraId="3E9F7086" w14:textId="6B1BA341" w:rsidR="00540834" w:rsidRPr="00813D19" w:rsidRDefault="00540834" w:rsidP="002113C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thanked the Director-General, inviting the Secretary to present the </w:t>
      </w:r>
      <w:r w:rsidR="00FF7E18" w:rsidRPr="00813D19">
        <w:rPr>
          <w:color w:val="000000" w:themeColor="text1"/>
          <w:lang w:val="en-US"/>
        </w:rPr>
        <w:t>case.</w:t>
      </w:r>
    </w:p>
    <w:p w14:paraId="4D94E979" w14:textId="597C98E7" w:rsidR="000D6466" w:rsidRPr="00813D19" w:rsidRDefault="000D6466" w:rsidP="002113CA">
      <w:pPr>
        <w:pStyle w:val="Orateurengris"/>
        <w:spacing w:before="120"/>
        <w:ind w:left="709" w:hanging="709"/>
        <w:rPr>
          <w:color w:val="000000" w:themeColor="text1"/>
          <w:lang w:val="en-US"/>
        </w:rPr>
      </w:pPr>
      <w:r w:rsidRPr="00813D19">
        <w:rPr>
          <w:bCs/>
          <w:lang w:val="en-US"/>
        </w:rPr>
        <w:lastRenderedPageBreak/>
        <w:t xml:space="preserve">The </w:t>
      </w:r>
      <w:r w:rsidR="00540834" w:rsidRPr="00813D19">
        <w:rPr>
          <w:b/>
          <w:bCs/>
          <w:lang w:val="en-US"/>
        </w:rPr>
        <w:t xml:space="preserve">Secretary </w:t>
      </w:r>
      <w:r w:rsidR="00813D19" w:rsidRPr="00813D19">
        <w:rPr>
          <w:bCs/>
          <w:lang w:val="en-US"/>
        </w:rPr>
        <w:t>explained</w:t>
      </w:r>
      <w:r w:rsidR="00FF7E18" w:rsidRPr="00813D19">
        <w:rPr>
          <w:bCs/>
          <w:lang w:val="en-US"/>
        </w:rPr>
        <w:t xml:space="preserve"> that</w:t>
      </w:r>
      <w:r w:rsidR="00FF7E18" w:rsidRPr="00813D19">
        <w:rPr>
          <w:b/>
          <w:bCs/>
          <w:lang w:val="en-US"/>
        </w:rPr>
        <w:t xml:space="preserve"> </w:t>
      </w:r>
      <w:r w:rsidR="00FF7E18" w:rsidRPr="00813D19">
        <w:rPr>
          <w:bCs/>
          <w:lang w:val="en-US"/>
        </w:rPr>
        <w:t>u</w:t>
      </w:r>
      <w:r w:rsidRPr="00813D19">
        <w:rPr>
          <w:bCs/>
          <w:lang w:val="en-US"/>
        </w:rPr>
        <w:t xml:space="preserve">nder normal circumstances item 10 </w:t>
      </w:r>
      <w:r w:rsidR="00FF7E18" w:rsidRPr="00813D19">
        <w:rPr>
          <w:bCs/>
          <w:lang w:val="en-US"/>
        </w:rPr>
        <w:t xml:space="preserve">would </w:t>
      </w:r>
      <w:r w:rsidRPr="00813D19">
        <w:rPr>
          <w:bCs/>
          <w:lang w:val="en-US"/>
        </w:rPr>
        <w:t>st</w:t>
      </w:r>
      <w:r w:rsidR="00FF7E18" w:rsidRPr="00813D19">
        <w:rPr>
          <w:bCs/>
          <w:lang w:val="en-US"/>
        </w:rPr>
        <w:t>art with a presentation by the R</w:t>
      </w:r>
      <w:r w:rsidRPr="00813D19">
        <w:rPr>
          <w:bCs/>
          <w:lang w:val="en-US"/>
        </w:rPr>
        <w:t xml:space="preserve">apporteur of the Evaluation Body on the working methods </w:t>
      </w:r>
      <w:r w:rsidR="00FF7E18" w:rsidRPr="00813D19">
        <w:rPr>
          <w:bCs/>
          <w:lang w:val="en-US"/>
        </w:rPr>
        <w:t xml:space="preserve">and </w:t>
      </w:r>
      <w:r w:rsidRPr="00813D19">
        <w:rPr>
          <w:bCs/>
          <w:lang w:val="en-US"/>
        </w:rPr>
        <w:t>cross-cutting issues</w:t>
      </w:r>
      <w:r w:rsidR="00FF7E18" w:rsidRPr="00813D19">
        <w:rPr>
          <w:bCs/>
          <w:lang w:val="en-US"/>
        </w:rPr>
        <w:t>. The Secretariat</w:t>
      </w:r>
      <w:r w:rsidR="005717B7">
        <w:rPr>
          <w:bCs/>
          <w:lang w:val="en-US"/>
        </w:rPr>
        <w:t>,</w:t>
      </w:r>
      <w:r w:rsidR="00FF7E18" w:rsidRPr="00813D19">
        <w:rPr>
          <w:bCs/>
          <w:lang w:val="en-US"/>
        </w:rPr>
        <w:t xml:space="preserve"> however</w:t>
      </w:r>
      <w:r w:rsidR="005717B7">
        <w:rPr>
          <w:bCs/>
          <w:lang w:val="en-US"/>
        </w:rPr>
        <w:t>,</w:t>
      </w:r>
      <w:r w:rsidR="00FF7E18" w:rsidRPr="00813D19">
        <w:rPr>
          <w:bCs/>
          <w:lang w:val="en-US"/>
        </w:rPr>
        <w:t xml:space="preserve"> proposed</w:t>
      </w:r>
      <w:r w:rsidRPr="00813D19">
        <w:rPr>
          <w:bCs/>
          <w:lang w:val="en-US"/>
        </w:rPr>
        <w:t xml:space="preserve"> </w:t>
      </w:r>
      <w:r w:rsidR="00FF7E18" w:rsidRPr="00813D19">
        <w:rPr>
          <w:bCs/>
          <w:lang w:val="en-US"/>
        </w:rPr>
        <w:t>introduc</w:t>
      </w:r>
      <w:r w:rsidR="005717B7">
        <w:rPr>
          <w:bCs/>
          <w:lang w:val="en-US"/>
        </w:rPr>
        <w:t xml:space="preserve">ing </w:t>
      </w:r>
      <w:r w:rsidR="00FF7E18" w:rsidRPr="00813D19">
        <w:rPr>
          <w:bCs/>
          <w:lang w:val="en-US"/>
        </w:rPr>
        <w:t xml:space="preserve">the scheduled </w:t>
      </w:r>
      <w:r w:rsidR="00B07C46" w:rsidRPr="00813D19">
        <w:rPr>
          <w:bCs/>
          <w:lang w:val="en-US"/>
        </w:rPr>
        <w:t xml:space="preserve">presentation </w:t>
      </w:r>
      <w:r w:rsidR="00FF7E18" w:rsidRPr="00813D19">
        <w:rPr>
          <w:bCs/>
          <w:lang w:val="en-US"/>
        </w:rPr>
        <w:t xml:space="preserve">later in the agenda and </w:t>
      </w:r>
      <w:r w:rsidRPr="00813D19">
        <w:rPr>
          <w:bCs/>
          <w:lang w:val="en-US"/>
        </w:rPr>
        <w:t xml:space="preserve">go </w:t>
      </w:r>
      <w:r w:rsidR="00FF7E18" w:rsidRPr="00813D19">
        <w:rPr>
          <w:bCs/>
          <w:lang w:val="en-US"/>
        </w:rPr>
        <w:t xml:space="preserve">directly </w:t>
      </w:r>
      <w:r w:rsidRPr="00813D19">
        <w:rPr>
          <w:bCs/>
          <w:lang w:val="en-US"/>
        </w:rPr>
        <w:t xml:space="preserve">to the examination of this joint inscription. </w:t>
      </w:r>
      <w:r w:rsidR="00FF7E18" w:rsidRPr="00813D19">
        <w:rPr>
          <w:bCs/>
          <w:lang w:val="en-US"/>
        </w:rPr>
        <w:t xml:space="preserve">The Secretary understood that </w:t>
      </w:r>
      <w:r w:rsidRPr="00813D19">
        <w:rPr>
          <w:bCs/>
          <w:lang w:val="en-US"/>
        </w:rPr>
        <w:t xml:space="preserve">submitting States </w:t>
      </w:r>
      <w:r w:rsidR="00FF7E18" w:rsidRPr="00813D19">
        <w:rPr>
          <w:bCs/>
          <w:lang w:val="en-US"/>
        </w:rPr>
        <w:t xml:space="preserve">were </w:t>
      </w:r>
      <w:r w:rsidRPr="00813D19">
        <w:rPr>
          <w:bCs/>
          <w:lang w:val="en-US"/>
        </w:rPr>
        <w:t xml:space="preserve">eagerly </w:t>
      </w:r>
      <w:r w:rsidR="00FF7E18" w:rsidRPr="00813D19">
        <w:rPr>
          <w:bCs/>
          <w:lang w:val="en-US"/>
        </w:rPr>
        <w:t xml:space="preserve">awaiting </w:t>
      </w:r>
      <w:r w:rsidRPr="00813D19">
        <w:rPr>
          <w:bCs/>
          <w:lang w:val="en-US"/>
        </w:rPr>
        <w:t>this item</w:t>
      </w:r>
      <w:r w:rsidR="00B07C46" w:rsidRPr="00813D19">
        <w:rPr>
          <w:bCs/>
          <w:lang w:val="en-US"/>
        </w:rPr>
        <w:t>,</w:t>
      </w:r>
      <w:r w:rsidRPr="00813D19">
        <w:rPr>
          <w:bCs/>
          <w:lang w:val="en-US"/>
        </w:rPr>
        <w:t xml:space="preserve"> </w:t>
      </w:r>
      <w:r w:rsidR="00FF7E18" w:rsidRPr="00813D19">
        <w:rPr>
          <w:bCs/>
          <w:lang w:val="en-US"/>
        </w:rPr>
        <w:t xml:space="preserve">with </w:t>
      </w:r>
      <w:r w:rsidRPr="00813D19">
        <w:rPr>
          <w:bCs/>
          <w:lang w:val="en-US"/>
        </w:rPr>
        <w:t xml:space="preserve">many countries </w:t>
      </w:r>
      <w:r w:rsidR="00FF7E18" w:rsidRPr="00813D19">
        <w:rPr>
          <w:bCs/>
          <w:lang w:val="en-US"/>
        </w:rPr>
        <w:t xml:space="preserve">sending </w:t>
      </w:r>
      <w:r w:rsidRPr="00813D19">
        <w:rPr>
          <w:bCs/>
          <w:lang w:val="en-US"/>
        </w:rPr>
        <w:t xml:space="preserve">high-level delegates and </w:t>
      </w:r>
      <w:r w:rsidR="00FF7E18" w:rsidRPr="00813D19">
        <w:rPr>
          <w:bCs/>
          <w:lang w:val="en-US"/>
        </w:rPr>
        <w:t xml:space="preserve">the </w:t>
      </w:r>
      <w:r w:rsidRPr="00813D19">
        <w:rPr>
          <w:bCs/>
          <w:lang w:val="en-US"/>
        </w:rPr>
        <w:t xml:space="preserve">domestic press </w:t>
      </w:r>
      <w:r w:rsidR="00FF7E18" w:rsidRPr="00813D19">
        <w:rPr>
          <w:bCs/>
          <w:lang w:val="en-US"/>
        </w:rPr>
        <w:t xml:space="preserve">corps to attend these sessions. </w:t>
      </w:r>
      <w:r w:rsidRPr="00813D19">
        <w:rPr>
          <w:bCs/>
          <w:lang w:val="en-US"/>
        </w:rPr>
        <w:t xml:space="preserve">As published in working document 10.b, the nominations from the Democratic People’s Republic of Korea and the Republic of Korea were planned </w:t>
      </w:r>
      <w:r w:rsidR="00FF7E18" w:rsidRPr="00813D19">
        <w:rPr>
          <w:bCs/>
          <w:lang w:val="en-US"/>
        </w:rPr>
        <w:t>for examination</w:t>
      </w:r>
      <w:r w:rsidRPr="00813D19">
        <w:rPr>
          <w:bCs/>
          <w:lang w:val="en-US"/>
        </w:rPr>
        <w:t xml:space="preserve"> under the draft decision</w:t>
      </w:r>
      <w:r w:rsidR="00FF7E18" w:rsidRPr="00813D19">
        <w:rPr>
          <w:bCs/>
          <w:lang w:val="en-US"/>
        </w:rPr>
        <w:t>s</w:t>
      </w:r>
      <w:r w:rsidRPr="00813D19">
        <w:rPr>
          <w:bCs/>
          <w:lang w:val="en-US"/>
        </w:rPr>
        <w:t xml:space="preserve"> 13.COM 10.b</w:t>
      </w:r>
      <w:r w:rsidR="00620DFE">
        <w:rPr>
          <w:bCs/>
          <w:lang w:val="en-US"/>
        </w:rPr>
        <w:t>.</w:t>
      </w:r>
      <w:r w:rsidRPr="00813D19">
        <w:rPr>
          <w:bCs/>
          <w:lang w:val="en-US"/>
        </w:rPr>
        <w:t>13 and 13.COM 10.b</w:t>
      </w:r>
      <w:r w:rsidR="00620DFE">
        <w:rPr>
          <w:bCs/>
          <w:lang w:val="en-US"/>
        </w:rPr>
        <w:t>.</w:t>
      </w:r>
      <w:r w:rsidRPr="00813D19">
        <w:rPr>
          <w:bCs/>
          <w:lang w:val="en-US"/>
        </w:rPr>
        <w:t>30</w:t>
      </w:r>
      <w:r w:rsidR="005717B7">
        <w:rPr>
          <w:bCs/>
          <w:lang w:val="en-US"/>
        </w:rPr>
        <w:t>,</w:t>
      </w:r>
      <w:r w:rsidR="00FF7E18" w:rsidRPr="00813D19">
        <w:rPr>
          <w:bCs/>
          <w:lang w:val="en-US"/>
        </w:rPr>
        <w:t xml:space="preserve"> respectively</w:t>
      </w:r>
      <w:r w:rsidRPr="00813D19">
        <w:rPr>
          <w:bCs/>
          <w:lang w:val="en-US"/>
        </w:rPr>
        <w:t xml:space="preserve">. These two separate decisions </w:t>
      </w:r>
      <w:r w:rsidR="00FF7E18" w:rsidRPr="00813D19">
        <w:rPr>
          <w:bCs/>
          <w:lang w:val="en-US"/>
        </w:rPr>
        <w:t xml:space="preserve">would now be </w:t>
      </w:r>
      <w:r w:rsidRPr="00813D19">
        <w:rPr>
          <w:bCs/>
          <w:lang w:val="en-US"/>
        </w:rPr>
        <w:t>merged</w:t>
      </w:r>
      <w:r w:rsidR="00FF7E18" w:rsidRPr="00813D19">
        <w:rPr>
          <w:bCs/>
          <w:lang w:val="en-US"/>
        </w:rPr>
        <w:t xml:space="preserve"> </w:t>
      </w:r>
      <w:r w:rsidR="00B07C46" w:rsidRPr="00813D19">
        <w:rPr>
          <w:bCs/>
          <w:lang w:val="en-US"/>
        </w:rPr>
        <w:t>into</w:t>
      </w:r>
      <w:r w:rsidR="00FF7E18" w:rsidRPr="00813D19">
        <w:rPr>
          <w:bCs/>
          <w:lang w:val="en-US"/>
        </w:rPr>
        <w:t xml:space="preserve"> </w:t>
      </w:r>
      <w:r w:rsidR="00B07C46" w:rsidRPr="00813D19">
        <w:rPr>
          <w:bCs/>
          <w:lang w:val="en-US"/>
        </w:rPr>
        <w:t xml:space="preserve">a </w:t>
      </w:r>
      <w:r w:rsidRPr="00813D19">
        <w:rPr>
          <w:bCs/>
          <w:lang w:val="en-US"/>
        </w:rPr>
        <w:t xml:space="preserve">new draft decision </w:t>
      </w:r>
      <w:r w:rsidR="00FF7E18" w:rsidRPr="00813D19">
        <w:rPr>
          <w:bCs/>
          <w:lang w:val="en-US"/>
        </w:rPr>
        <w:t xml:space="preserve">attributed as </w:t>
      </w:r>
      <w:r w:rsidRPr="00813D19">
        <w:rPr>
          <w:bCs/>
          <w:lang w:val="en-US"/>
        </w:rPr>
        <w:t>10.b</w:t>
      </w:r>
      <w:r w:rsidR="00620DFE">
        <w:rPr>
          <w:bCs/>
          <w:lang w:val="en-US"/>
        </w:rPr>
        <w:t>.</w:t>
      </w:r>
      <w:r w:rsidRPr="00813D19">
        <w:rPr>
          <w:bCs/>
          <w:lang w:val="en-US"/>
        </w:rPr>
        <w:t>41</w:t>
      </w:r>
      <w:r w:rsidR="00FF7E18" w:rsidRPr="00813D19">
        <w:rPr>
          <w:bCs/>
          <w:lang w:val="en-US"/>
        </w:rPr>
        <w:t xml:space="preserve">, which was </w:t>
      </w:r>
      <w:r w:rsidRPr="00813D19">
        <w:rPr>
          <w:bCs/>
          <w:lang w:val="en-US"/>
        </w:rPr>
        <w:t>structured firstly to take note of the nomination from the Democratic People’s Republic of Korea</w:t>
      </w:r>
      <w:r w:rsidR="00B07C46" w:rsidRPr="00813D19">
        <w:rPr>
          <w:bCs/>
          <w:lang w:val="en-US"/>
        </w:rPr>
        <w:t xml:space="preserve">. From </w:t>
      </w:r>
      <w:r w:rsidRPr="00813D19">
        <w:rPr>
          <w:bCs/>
          <w:lang w:val="en-US"/>
        </w:rPr>
        <w:t>the i</w:t>
      </w:r>
      <w:r w:rsidR="00B07C46" w:rsidRPr="00813D19">
        <w:rPr>
          <w:bCs/>
          <w:lang w:val="en-US"/>
        </w:rPr>
        <w:t xml:space="preserve">nformation included in the file, it was decided </w:t>
      </w:r>
      <w:r w:rsidR="00FF7E18" w:rsidRPr="00813D19">
        <w:rPr>
          <w:bCs/>
          <w:lang w:val="en-US"/>
        </w:rPr>
        <w:t>that the nomination satisfied</w:t>
      </w:r>
      <w:r w:rsidRPr="00813D19">
        <w:rPr>
          <w:bCs/>
          <w:lang w:val="en-US"/>
        </w:rPr>
        <w:t xml:space="preserve"> criteria R.1, R.2, R.3, R.4 and R.5 for inscription. </w:t>
      </w:r>
      <w:r w:rsidR="00FF7E18" w:rsidRPr="00813D19">
        <w:rPr>
          <w:bCs/>
          <w:lang w:val="en-US"/>
        </w:rPr>
        <w:t>The decision t</w:t>
      </w:r>
      <w:r w:rsidRPr="00813D19">
        <w:rPr>
          <w:bCs/>
          <w:lang w:val="en-US"/>
        </w:rPr>
        <w:t xml:space="preserve">hen further </w:t>
      </w:r>
      <w:r w:rsidR="00CA12BC" w:rsidRPr="00813D19">
        <w:rPr>
          <w:bCs/>
          <w:lang w:val="en-US"/>
        </w:rPr>
        <w:t>takes</w:t>
      </w:r>
      <w:r w:rsidRPr="00813D19">
        <w:rPr>
          <w:bCs/>
          <w:lang w:val="en-US"/>
        </w:rPr>
        <w:t xml:space="preserve"> note of the nomination from the Republic of Korea and decide</w:t>
      </w:r>
      <w:r w:rsidR="00FF7E18" w:rsidRPr="00813D19">
        <w:rPr>
          <w:bCs/>
          <w:lang w:val="en-US"/>
        </w:rPr>
        <w:t>d</w:t>
      </w:r>
      <w:r w:rsidRPr="00813D19">
        <w:rPr>
          <w:bCs/>
          <w:lang w:val="en-US"/>
        </w:rPr>
        <w:t xml:space="preserve"> that</w:t>
      </w:r>
      <w:r w:rsidR="005717B7">
        <w:rPr>
          <w:bCs/>
          <w:lang w:val="en-US"/>
        </w:rPr>
        <w:t>,</w:t>
      </w:r>
      <w:r w:rsidRPr="00813D19">
        <w:rPr>
          <w:bCs/>
          <w:lang w:val="en-US"/>
        </w:rPr>
        <w:t xml:space="preserve"> from the information included in the file, the nomination satisfied criteria R.1, R.2, R.3, R.4 and R.5 for inscription. The final part of the draft decision includes a paragraph to acknowledge that the two submitting States </w:t>
      </w:r>
      <w:r w:rsidR="00CA12BC" w:rsidRPr="00813D19">
        <w:rPr>
          <w:bCs/>
          <w:lang w:val="en-US"/>
        </w:rPr>
        <w:t>had</w:t>
      </w:r>
      <w:r w:rsidRPr="00813D19">
        <w:rPr>
          <w:bCs/>
          <w:lang w:val="en-US"/>
        </w:rPr>
        <w:t xml:space="preserve"> expressed their wish to have the two files examined by the Committee as a joint inscription. It refers to the recommendation of the Evaluation Body to inscribe both elements</w:t>
      </w:r>
      <w:r w:rsidR="00B07C46" w:rsidRPr="00813D19">
        <w:rPr>
          <w:bCs/>
          <w:lang w:val="en-US"/>
        </w:rPr>
        <w:t>,</w:t>
      </w:r>
      <w:r w:rsidRPr="00813D19">
        <w:rPr>
          <w:bCs/>
          <w:lang w:val="en-US"/>
        </w:rPr>
        <w:t xml:space="preserve"> and </w:t>
      </w:r>
      <w:r w:rsidR="006E3B4E" w:rsidRPr="00813D19">
        <w:rPr>
          <w:bCs/>
          <w:lang w:val="en-US"/>
        </w:rPr>
        <w:t>proposed</w:t>
      </w:r>
      <w:r w:rsidRPr="00813D19">
        <w:rPr>
          <w:bCs/>
          <w:lang w:val="en-US"/>
        </w:rPr>
        <w:t xml:space="preserve"> decid</w:t>
      </w:r>
      <w:r w:rsidR="005717B7">
        <w:rPr>
          <w:bCs/>
          <w:lang w:val="en-US"/>
        </w:rPr>
        <w:t>ing</w:t>
      </w:r>
      <w:r w:rsidRPr="00813D19">
        <w:rPr>
          <w:bCs/>
          <w:lang w:val="en-US"/>
        </w:rPr>
        <w:t xml:space="preserve"> on an exceptional basis to jointly examine the two fi</w:t>
      </w:r>
      <w:r w:rsidR="006E3B4E" w:rsidRPr="00813D19">
        <w:rPr>
          <w:bCs/>
          <w:lang w:val="en-US"/>
        </w:rPr>
        <w:t xml:space="preserve">les and </w:t>
      </w:r>
      <w:r w:rsidRPr="00813D19">
        <w:rPr>
          <w:bCs/>
          <w:lang w:val="en-US"/>
        </w:rPr>
        <w:t xml:space="preserve">to jointly inscribe </w:t>
      </w:r>
      <w:r w:rsidR="006E3B4E" w:rsidRPr="00813D19">
        <w:rPr>
          <w:bCs/>
          <w:lang w:val="en-US"/>
        </w:rPr>
        <w:t xml:space="preserve">the element </w:t>
      </w:r>
      <w:r w:rsidRPr="00813D19">
        <w:rPr>
          <w:bCs/>
          <w:lang w:val="en-US"/>
        </w:rPr>
        <w:t>on the Representative List under a common title</w:t>
      </w:r>
      <w:r w:rsidR="006E3B4E" w:rsidRPr="00813D19">
        <w:rPr>
          <w:bCs/>
          <w:lang w:val="en-US"/>
        </w:rPr>
        <w:t>,</w:t>
      </w:r>
      <w:r w:rsidRPr="00813D19">
        <w:rPr>
          <w:bCs/>
          <w:lang w:val="en-US"/>
        </w:rPr>
        <w:t xml:space="preserve"> </w:t>
      </w:r>
      <w:r w:rsidR="006E3B4E" w:rsidRPr="00813D19">
        <w:rPr>
          <w:bCs/>
          <w:lang w:val="en-US"/>
        </w:rPr>
        <w:t>T</w:t>
      </w:r>
      <w:r w:rsidRPr="00813D19">
        <w:rPr>
          <w:bCs/>
          <w:lang w:val="en-US"/>
        </w:rPr>
        <w:t xml:space="preserve">raditional Korean wrestling </w:t>
      </w:r>
      <w:r w:rsidR="006E3B4E" w:rsidRPr="00813D19">
        <w:rPr>
          <w:bCs/>
          <w:lang w:val="en-US"/>
        </w:rPr>
        <w:t>(Ssirum/S</w:t>
      </w:r>
      <w:r w:rsidRPr="00813D19">
        <w:rPr>
          <w:bCs/>
          <w:lang w:val="en-US"/>
        </w:rPr>
        <w:t>sireum</w:t>
      </w:r>
      <w:r w:rsidR="006E3B4E" w:rsidRPr="00813D19">
        <w:rPr>
          <w:bCs/>
          <w:lang w:val="en-US"/>
        </w:rPr>
        <w:t>)</w:t>
      </w:r>
      <w:r w:rsidRPr="00813D19">
        <w:rPr>
          <w:bCs/>
          <w:lang w:val="en-US"/>
        </w:rPr>
        <w:t xml:space="preserve">. </w:t>
      </w:r>
      <w:r w:rsidR="006E3B4E" w:rsidRPr="00813D19">
        <w:rPr>
          <w:bCs/>
          <w:lang w:val="en-US"/>
        </w:rPr>
        <w:t xml:space="preserve">The Secretary </w:t>
      </w:r>
      <w:r w:rsidRPr="00813D19">
        <w:rPr>
          <w:bCs/>
          <w:lang w:val="en-US"/>
        </w:rPr>
        <w:t>invite</w:t>
      </w:r>
      <w:r w:rsidR="006E3B4E" w:rsidRPr="00813D19">
        <w:rPr>
          <w:bCs/>
          <w:lang w:val="en-US"/>
        </w:rPr>
        <w:t>d</w:t>
      </w:r>
      <w:r w:rsidRPr="00813D19">
        <w:rPr>
          <w:bCs/>
          <w:lang w:val="en-US"/>
        </w:rPr>
        <w:t xml:space="preserve"> </w:t>
      </w:r>
      <w:r w:rsidR="006E3B4E" w:rsidRPr="00813D19">
        <w:rPr>
          <w:bCs/>
          <w:lang w:val="en-US"/>
        </w:rPr>
        <w:t>the C</w:t>
      </w:r>
      <w:r w:rsidRPr="00813D19">
        <w:rPr>
          <w:bCs/>
          <w:lang w:val="en-US"/>
        </w:rPr>
        <w:t xml:space="preserve">hairperson of the Evaluation Body </w:t>
      </w:r>
      <w:r w:rsidR="006E3B4E" w:rsidRPr="00813D19">
        <w:rPr>
          <w:bCs/>
          <w:lang w:val="en-US"/>
        </w:rPr>
        <w:t xml:space="preserve">to present the </w:t>
      </w:r>
      <w:r w:rsidRPr="00813D19">
        <w:rPr>
          <w:bCs/>
          <w:lang w:val="en-US"/>
        </w:rPr>
        <w:t xml:space="preserve">two nomination files, which </w:t>
      </w:r>
      <w:r w:rsidR="00B07C46" w:rsidRPr="00813D19">
        <w:rPr>
          <w:bCs/>
          <w:lang w:val="en-US"/>
        </w:rPr>
        <w:t xml:space="preserve">had been </w:t>
      </w:r>
      <w:r w:rsidR="00B67A60">
        <w:rPr>
          <w:bCs/>
          <w:lang w:val="en-US"/>
        </w:rPr>
        <w:t>evaluated separately.</w:t>
      </w:r>
    </w:p>
    <w:p w14:paraId="65891C90" w14:textId="73B82114" w:rsidR="000D6466" w:rsidRPr="00813D19" w:rsidRDefault="00AA24C1" w:rsidP="000D6466">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6E3B4E" w:rsidRPr="00813D19">
        <w:rPr>
          <w:bCs/>
          <w:lang w:val="en-US"/>
        </w:rPr>
        <w:t>t</w:t>
      </w:r>
      <w:r w:rsidR="000D6466" w:rsidRPr="00813D19">
        <w:rPr>
          <w:bCs/>
          <w:lang w:val="en-US"/>
        </w:rPr>
        <w:t>hank</w:t>
      </w:r>
      <w:r w:rsidR="006E3B4E" w:rsidRPr="00813D19">
        <w:rPr>
          <w:bCs/>
          <w:lang w:val="en-US"/>
        </w:rPr>
        <w:t xml:space="preserve">ed the </w:t>
      </w:r>
      <w:r w:rsidR="000D6466" w:rsidRPr="00813D19">
        <w:rPr>
          <w:bCs/>
          <w:lang w:val="en-US"/>
        </w:rPr>
        <w:t xml:space="preserve">Director-General and </w:t>
      </w:r>
      <w:r w:rsidR="006E3B4E" w:rsidRPr="00813D19">
        <w:rPr>
          <w:bCs/>
          <w:lang w:val="en-US"/>
        </w:rPr>
        <w:t xml:space="preserve">the </w:t>
      </w:r>
      <w:r w:rsidR="000D6466" w:rsidRPr="00813D19">
        <w:rPr>
          <w:bCs/>
          <w:lang w:val="en-US"/>
        </w:rPr>
        <w:t xml:space="preserve">Secretary for </w:t>
      </w:r>
      <w:r w:rsidR="006E3B4E" w:rsidRPr="00813D19">
        <w:rPr>
          <w:bCs/>
          <w:lang w:val="en-US"/>
        </w:rPr>
        <w:t xml:space="preserve">the explanations and guidance, adding that he </w:t>
      </w:r>
      <w:r w:rsidR="000D6466" w:rsidRPr="00813D19">
        <w:rPr>
          <w:bCs/>
          <w:lang w:val="en-US"/>
        </w:rPr>
        <w:t xml:space="preserve">personally </w:t>
      </w:r>
      <w:r w:rsidR="006E3B4E" w:rsidRPr="00813D19">
        <w:rPr>
          <w:bCs/>
          <w:lang w:val="en-US"/>
        </w:rPr>
        <w:t xml:space="preserve">felt </w:t>
      </w:r>
      <w:r w:rsidR="000D6466" w:rsidRPr="00813D19">
        <w:rPr>
          <w:bCs/>
          <w:lang w:val="en-US"/>
        </w:rPr>
        <w:t xml:space="preserve">very privileged </w:t>
      </w:r>
      <w:r w:rsidR="006E3B4E" w:rsidRPr="00813D19">
        <w:rPr>
          <w:bCs/>
          <w:lang w:val="en-US"/>
        </w:rPr>
        <w:t xml:space="preserve">that </w:t>
      </w:r>
      <w:r w:rsidR="000D6466" w:rsidRPr="00813D19">
        <w:rPr>
          <w:bCs/>
          <w:lang w:val="en-US"/>
        </w:rPr>
        <w:t xml:space="preserve">the </w:t>
      </w:r>
      <w:r w:rsidR="006E3B4E" w:rsidRPr="00813D19">
        <w:rPr>
          <w:bCs/>
          <w:lang w:val="en-US"/>
        </w:rPr>
        <w:t xml:space="preserve">present </w:t>
      </w:r>
      <w:r w:rsidR="000D6466" w:rsidRPr="00813D19">
        <w:rPr>
          <w:bCs/>
          <w:lang w:val="en-US"/>
        </w:rPr>
        <w:t xml:space="preserve">Committee </w:t>
      </w:r>
      <w:r w:rsidR="006E3B4E" w:rsidRPr="00813D19">
        <w:rPr>
          <w:bCs/>
          <w:lang w:val="en-US"/>
        </w:rPr>
        <w:t>session provided</w:t>
      </w:r>
      <w:r w:rsidR="000D6466" w:rsidRPr="00813D19">
        <w:rPr>
          <w:bCs/>
          <w:lang w:val="en-US"/>
        </w:rPr>
        <w:t xml:space="preserve"> a platform to discuss such an important case</w:t>
      </w:r>
      <w:r w:rsidR="006E3B4E" w:rsidRPr="00813D19">
        <w:rPr>
          <w:bCs/>
          <w:lang w:val="en-US"/>
        </w:rPr>
        <w:t>,</w:t>
      </w:r>
      <w:r w:rsidR="000D6466" w:rsidRPr="00813D19">
        <w:rPr>
          <w:bCs/>
          <w:lang w:val="en-US"/>
        </w:rPr>
        <w:t xml:space="preserve"> bearing in mind the implications for future relations between the two Parties and the</w:t>
      </w:r>
      <w:r w:rsidR="00B07C46" w:rsidRPr="00813D19">
        <w:rPr>
          <w:bCs/>
          <w:lang w:val="en-US"/>
        </w:rPr>
        <w:t>ir</w:t>
      </w:r>
      <w:r w:rsidR="006E3B4E" w:rsidRPr="00813D19">
        <w:rPr>
          <w:bCs/>
          <w:lang w:val="en-US"/>
        </w:rPr>
        <w:t xml:space="preserve"> respective</w:t>
      </w:r>
      <w:r w:rsidR="00B67A60">
        <w:rPr>
          <w:bCs/>
          <w:lang w:val="en-US"/>
        </w:rPr>
        <w:t xml:space="preserve"> communities.</w:t>
      </w:r>
    </w:p>
    <w:p w14:paraId="004FBD0F" w14:textId="5F107579" w:rsidR="00AA24C1" w:rsidRPr="00B67A60" w:rsidRDefault="00AA24C1" w:rsidP="002113CA">
      <w:pPr>
        <w:pStyle w:val="Orateurengris"/>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006E3B4E" w:rsidRPr="00813D19">
        <w:rPr>
          <w:b/>
          <w:color w:val="000000" w:themeColor="text1"/>
          <w:lang w:val="en-US"/>
        </w:rPr>
        <w:t xml:space="preserve">, </w:t>
      </w:r>
      <w:r w:rsidR="006E3B4E" w:rsidRPr="00813D19">
        <w:rPr>
          <w:bCs/>
          <w:lang w:val="en-US"/>
        </w:rPr>
        <w:t xml:space="preserve">Mr John Omare </w:t>
      </w:r>
      <w:r w:rsidR="00B07C46" w:rsidRPr="00813D19">
        <w:rPr>
          <w:bCs/>
          <w:lang w:val="en-US"/>
        </w:rPr>
        <w:t>of</w:t>
      </w:r>
      <w:r w:rsidR="006E3B4E" w:rsidRPr="00813D19">
        <w:rPr>
          <w:bCs/>
          <w:lang w:val="en-US"/>
        </w:rPr>
        <w:t xml:space="preserve"> Kenya, spoke of his pleasure </w:t>
      </w:r>
      <w:r w:rsidR="005717B7">
        <w:rPr>
          <w:bCs/>
          <w:lang w:val="en-US"/>
        </w:rPr>
        <w:t>in</w:t>
      </w:r>
      <w:r w:rsidR="006E3B4E" w:rsidRPr="00813D19">
        <w:rPr>
          <w:bCs/>
          <w:lang w:val="en-US"/>
        </w:rPr>
        <w:t xml:space="preserve"> present</w:t>
      </w:r>
      <w:r w:rsidR="005717B7">
        <w:rPr>
          <w:bCs/>
          <w:lang w:val="en-US"/>
        </w:rPr>
        <w:t>ing</w:t>
      </w:r>
      <w:r w:rsidR="006E3B4E" w:rsidRPr="00813D19">
        <w:rPr>
          <w:bCs/>
          <w:lang w:val="en-US"/>
        </w:rPr>
        <w:t xml:space="preserve"> the recommendation by </w:t>
      </w:r>
      <w:r w:rsidR="000D6466" w:rsidRPr="00813D19">
        <w:rPr>
          <w:bCs/>
          <w:lang w:val="en-US"/>
        </w:rPr>
        <w:t xml:space="preserve">the Evaluation Body on the two files. These are </w:t>
      </w:r>
      <w:r w:rsidR="00702103" w:rsidRPr="00813D19">
        <w:rPr>
          <w:b/>
          <w:bCs/>
          <w:lang w:val="en-US"/>
        </w:rPr>
        <w:t>S</w:t>
      </w:r>
      <w:r w:rsidR="000D6466" w:rsidRPr="00813D19">
        <w:rPr>
          <w:b/>
          <w:bCs/>
          <w:lang w:val="en-US"/>
        </w:rPr>
        <w:t xml:space="preserve">sirum </w:t>
      </w:r>
      <w:r w:rsidR="00B7793B">
        <w:rPr>
          <w:b/>
          <w:bCs/>
          <w:lang w:val="en-US"/>
        </w:rPr>
        <w:t>(</w:t>
      </w:r>
      <w:r w:rsidR="000D6466" w:rsidRPr="00813D19">
        <w:rPr>
          <w:b/>
          <w:bCs/>
          <w:lang w:val="en-US"/>
        </w:rPr>
        <w:t>wrestling</w:t>
      </w:r>
      <w:r w:rsidR="00B7793B">
        <w:rPr>
          <w:b/>
          <w:bCs/>
          <w:lang w:val="en-US"/>
        </w:rPr>
        <w:t>)</w:t>
      </w:r>
      <w:r w:rsidR="000D6466" w:rsidRPr="00813D19">
        <w:rPr>
          <w:b/>
          <w:bCs/>
          <w:lang w:val="en-US"/>
        </w:rPr>
        <w:t xml:space="preserve"> in the Democratic People’s Republic of Korea</w:t>
      </w:r>
      <w:r w:rsidR="005717B7" w:rsidRPr="003221D5">
        <w:rPr>
          <w:bCs/>
          <w:lang w:val="en-US"/>
        </w:rPr>
        <w:t>,</w:t>
      </w:r>
      <w:r w:rsidR="000D6466" w:rsidRPr="00813D19">
        <w:rPr>
          <w:bCs/>
          <w:lang w:val="en-US"/>
        </w:rPr>
        <w:t xml:space="preserve"> submitted by the </w:t>
      </w:r>
      <w:r w:rsidR="000D6466" w:rsidRPr="00813D19">
        <w:rPr>
          <w:b/>
          <w:bCs/>
          <w:lang w:val="en-US"/>
        </w:rPr>
        <w:t>Democratic People’s Republic of Korea</w:t>
      </w:r>
      <w:r w:rsidR="00B07C46" w:rsidRPr="003221D5">
        <w:rPr>
          <w:bCs/>
          <w:lang w:val="en-US"/>
        </w:rPr>
        <w:t>,</w:t>
      </w:r>
      <w:r w:rsidR="000D6466" w:rsidRPr="00813D19">
        <w:rPr>
          <w:bCs/>
          <w:lang w:val="en-US"/>
        </w:rPr>
        <w:t xml:space="preserve"> and </w:t>
      </w:r>
      <w:r w:rsidR="00702103" w:rsidRPr="00813D19">
        <w:rPr>
          <w:b/>
          <w:bCs/>
          <w:lang w:val="en-US"/>
        </w:rPr>
        <w:t>S</w:t>
      </w:r>
      <w:r w:rsidR="000D6466" w:rsidRPr="00813D19">
        <w:rPr>
          <w:b/>
          <w:bCs/>
          <w:lang w:val="en-US"/>
        </w:rPr>
        <w:t>sireum</w:t>
      </w:r>
      <w:r w:rsidR="00B7793B">
        <w:rPr>
          <w:b/>
          <w:bCs/>
          <w:lang w:val="en-US"/>
        </w:rPr>
        <w:t>,</w:t>
      </w:r>
      <w:r w:rsidR="000D6466" w:rsidRPr="00813D19">
        <w:rPr>
          <w:b/>
          <w:bCs/>
          <w:lang w:val="en-US"/>
        </w:rPr>
        <w:t xml:space="preserve"> traditional wrestling in the Republic of Korea</w:t>
      </w:r>
      <w:r w:rsidR="005717B7" w:rsidRPr="003221D5">
        <w:rPr>
          <w:bCs/>
          <w:lang w:val="en-US"/>
        </w:rPr>
        <w:t>,</w:t>
      </w:r>
      <w:r w:rsidR="000D6466" w:rsidRPr="00813D19">
        <w:rPr>
          <w:bCs/>
          <w:lang w:val="en-US"/>
        </w:rPr>
        <w:t xml:space="preserve"> submitted by the </w:t>
      </w:r>
      <w:r w:rsidR="000D6466" w:rsidRPr="00813D19">
        <w:rPr>
          <w:b/>
          <w:bCs/>
          <w:lang w:val="en-US"/>
        </w:rPr>
        <w:t>Republic of Korea</w:t>
      </w:r>
      <w:r w:rsidR="000D6466" w:rsidRPr="00813D19">
        <w:rPr>
          <w:bCs/>
          <w:lang w:val="en-US"/>
        </w:rPr>
        <w:t>. The two files clearly demonstrate</w:t>
      </w:r>
      <w:r w:rsidR="00B07C46" w:rsidRPr="00813D19">
        <w:rPr>
          <w:bCs/>
          <w:lang w:val="en-US"/>
        </w:rPr>
        <w:t>d</w:t>
      </w:r>
      <w:r w:rsidR="000D6466" w:rsidRPr="00813D19">
        <w:rPr>
          <w:bCs/>
          <w:lang w:val="en-US"/>
        </w:rPr>
        <w:t xml:space="preserve"> the shared nature of the practices related to wrestling. In fact, </w:t>
      </w:r>
      <w:r w:rsidR="00B07C46" w:rsidRPr="00813D19">
        <w:rPr>
          <w:bCs/>
          <w:lang w:val="en-US"/>
        </w:rPr>
        <w:t xml:space="preserve">during their examination, </w:t>
      </w:r>
      <w:r w:rsidR="000D6466" w:rsidRPr="00813D19">
        <w:rPr>
          <w:bCs/>
          <w:lang w:val="en-US"/>
        </w:rPr>
        <w:t xml:space="preserve">the Evaluation Body </w:t>
      </w:r>
      <w:r w:rsidR="00702103" w:rsidRPr="00813D19">
        <w:rPr>
          <w:bCs/>
          <w:lang w:val="en-US"/>
        </w:rPr>
        <w:t xml:space="preserve">had </w:t>
      </w:r>
      <w:r w:rsidR="000D6466" w:rsidRPr="00813D19">
        <w:rPr>
          <w:bCs/>
          <w:lang w:val="en-US"/>
        </w:rPr>
        <w:t>discussed and regretted that these two files had not been presented as a joint nomination. Both files present ssirum and ss</w:t>
      </w:r>
      <w:r w:rsidR="00702103" w:rsidRPr="00813D19">
        <w:rPr>
          <w:bCs/>
          <w:lang w:val="en-US"/>
        </w:rPr>
        <w:t>ireum as a physical game practis</w:t>
      </w:r>
      <w:r w:rsidR="000D6466" w:rsidRPr="00813D19">
        <w:rPr>
          <w:bCs/>
          <w:lang w:val="en-US"/>
        </w:rPr>
        <w:t>ed popularly i</w:t>
      </w:r>
      <w:r w:rsidR="00B07C46" w:rsidRPr="00813D19">
        <w:rPr>
          <w:bCs/>
          <w:lang w:val="en-US"/>
        </w:rPr>
        <w:t>n all regions of their territories</w:t>
      </w:r>
      <w:r w:rsidR="000D6466" w:rsidRPr="00813D19">
        <w:rPr>
          <w:bCs/>
          <w:lang w:val="en-US"/>
        </w:rPr>
        <w:t xml:space="preserve"> where two opponents try to push each other to the ground by grabbing their opponents</w:t>
      </w:r>
      <w:r w:rsidR="005717B7">
        <w:rPr>
          <w:bCs/>
          <w:lang w:val="en-US"/>
        </w:rPr>
        <w:t>’</w:t>
      </w:r>
      <w:r w:rsidR="000D6466" w:rsidRPr="00813D19">
        <w:rPr>
          <w:bCs/>
          <w:lang w:val="en-US"/>
        </w:rPr>
        <w:t xml:space="preserve"> belt and using a fabric strap connected to their waist and leg. In both files</w:t>
      </w:r>
      <w:r w:rsidR="00702103" w:rsidRPr="00813D19">
        <w:rPr>
          <w:bCs/>
          <w:lang w:val="en-US"/>
        </w:rPr>
        <w:t>,</w:t>
      </w:r>
      <w:r w:rsidR="000D6466" w:rsidRPr="00813D19">
        <w:rPr>
          <w:bCs/>
          <w:lang w:val="en-US"/>
        </w:rPr>
        <w:t xml:space="preserve"> the winner of the game is awarded a bull or an ox symbolizing agricultural abundance on which they parade after the game. Letters of consent provided by both submitting States emphasize</w:t>
      </w:r>
      <w:r w:rsidR="00702103" w:rsidRPr="00813D19">
        <w:rPr>
          <w:bCs/>
          <w:lang w:val="en-US"/>
        </w:rPr>
        <w:t>d</w:t>
      </w:r>
      <w:r w:rsidR="000D6466" w:rsidRPr="00813D19">
        <w:rPr>
          <w:bCs/>
          <w:lang w:val="en-US"/>
        </w:rPr>
        <w:t xml:space="preserve"> the importance of the practice in Korea and for Korean communities. The safeguarding meas</w:t>
      </w:r>
      <w:r w:rsidR="00702103" w:rsidRPr="00813D19">
        <w:rPr>
          <w:bCs/>
          <w:lang w:val="en-US"/>
        </w:rPr>
        <w:t>ures presented in both files paid</w:t>
      </w:r>
      <w:r w:rsidR="000D6466" w:rsidRPr="00813D19">
        <w:rPr>
          <w:bCs/>
          <w:lang w:val="en-US"/>
        </w:rPr>
        <w:t xml:space="preserve"> particular attention to the integratio</w:t>
      </w:r>
      <w:r w:rsidR="00B07C46" w:rsidRPr="00813D19">
        <w:rPr>
          <w:bCs/>
          <w:lang w:val="en-US"/>
        </w:rPr>
        <w:t>n of the practice in education</w:t>
      </w:r>
      <w:r w:rsidR="000D6466" w:rsidRPr="00813D19">
        <w:rPr>
          <w:bCs/>
          <w:lang w:val="en-US"/>
        </w:rPr>
        <w:t xml:space="preserve"> systems. Efforts in the Democratic People’s Republic of Korea </w:t>
      </w:r>
      <w:r w:rsidR="00B07C46" w:rsidRPr="00813D19">
        <w:rPr>
          <w:bCs/>
          <w:lang w:val="en-US"/>
        </w:rPr>
        <w:t>included mobilizing</w:t>
      </w:r>
      <w:r w:rsidR="000D6466" w:rsidRPr="00813D19">
        <w:rPr>
          <w:bCs/>
          <w:lang w:val="en-US"/>
        </w:rPr>
        <w:t xml:space="preserve"> institutions </w:t>
      </w:r>
      <w:r w:rsidR="00B07C46" w:rsidRPr="00813D19">
        <w:rPr>
          <w:bCs/>
          <w:lang w:val="en-US"/>
        </w:rPr>
        <w:t xml:space="preserve">outside of the field of culture, </w:t>
      </w:r>
      <w:r w:rsidR="000D6466" w:rsidRPr="00813D19">
        <w:rPr>
          <w:bCs/>
          <w:lang w:val="en-US"/>
        </w:rPr>
        <w:t>targeted actions encouraging the participation of women in the safeguarding of the practice</w:t>
      </w:r>
      <w:r w:rsidR="00B07C46" w:rsidRPr="00813D19">
        <w:rPr>
          <w:bCs/>
          <w:lang w:val="en-US"/>
        </w:rPr>
        <w:t>,</w:t>
      </w:r>
      <w:r w:rsidR="000D6466" w:rsidRPr="00813D19">
        <w:rPr>
          <w:bCs/>
          <w:lang w:val="en-US"/>
        </w:rPr>
        <w:t xml:space="preserve"> and the documentation of the regional diversity within the country. In the Republic of Korea</w:t>
      </w:r>
      <w:r w:rsidR="00702103" w:rsidRPr="00813D19">
        <w:rPr>
          <w:bCs/>
          <w:lang w:val="en-US"/>
        </w:rPr>
        <w:t>,</w:t>
      </w:r>
      <w:r w:rsidR="000D6466" w:rsidRPr="00813D19">
        <w:rPr>
          <w:bCs/>
          <w:lang w:val="en-US"/>
        </w:rPr>
        <w:t xml:space="preserve"> a legal framework was adopted in 2012 to support the transmission, dissemination, training and research of the practice. From the information included in t</w:t>
      </w:r>
      <w:r w:rsidR="00702103" w:rsidRPr="00813D19">
        <w:rPr>
          <w:bCs/>
          <w:lang w:val="en-US"/>
        </w:rPr>
        <w:t>he file</w:t>
      </w:r>
      <w:r w:rsidR="00B07C46" w:rsidRPr="00813D19">
        <w:rPr>
          <w:bCs/>
          <w:lang w:val="en-US"/>
        </w:rPr>
        <w:t>,</w:t>
      </w:r>
      <w:r w:rsidR="00702103" w:rsidRPr="00813D19">
        <w:rPr>
          <w:bCs/>
          <w:lang w:val="en-US"/>
        </w:rPr>
        <w:t xml:space="preserve"> both nominations satisfied</w:t>
      </w:r>
      <w:r w:rsidR="000D6466" w:rsidRPr="00813D19">
        <w:rPr>
          <w:bCs/>
          <w:lang w:val="en-US"/>
        </w:rPr>
        <w:t xml:space="preserve"> all five criteria for inscription on the Representati</w:t>
      </w:r>
      <w:r w:rsidR="00702103" w:rsidRPr="00813D19">
        <w:rPr>
          <w:bCs/>
          <w:lang w:val="en-US"/>
        </w:rPr>
        <w:t>ve List</w:t>
      </w:r>
      <w:r w:rsidR="00B67A60">
        <w:rPr>
          <w:bCs/>
          <w:lang w:val="en-US"/>
        </w:rPr>
        <w:t>.</w:t>
      </w:r>
    </w:p>
    <w:p w14:paraId="28053E3E" w14:textId="696A956C" w:rsidR="00AA24C1" w:rsidRPr="00B67A60" w:rsidRDefault="00AA24C1" w:rsidP="002113CA">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702103" w:rsidRPr="00813D19">
        <w:rPr>
          <w:color w:val="000000" w:themeColor="text1"/>
          <w:lang w:val="en-US"/>
        </w:rPr>
        <w:t xml:space="preserve">thanked </w:t>
      </w:r>
      <w:r w:rsidR="00702103" w:rsidRPr="00813D19">
        <w:rPr>
          <w:bCs/>
          <w:lang w:val="en-US"/>
        </w:rPr>
        <w:t xml:space="preserve">the Chairperson of the Evaluation Body </w:t>
      </w:r>
      <w:r w:rsidR="000D6466" w:rsidRPr="00813D19">
        <w:rPr>
          <w:bCs/>
          <w:lang w:val="en-US"/>
        </w:rPr>
        <w:t xml:space="preserve">for </w:t>
      </w:r>
      <w:r w:rsidR="00702103" w:rsidRPr="00813D19">
        <w:rPr>
          <w:bCs/>
          <w:lang w:val="en-US"/>
        </w:rPr>
        <w:t xml:space="preserve">the clear presentation, adding that he </w:t>
      </w:r>
      <w:r w:rsidR="000D6466" w:rsidRPr="00813D19">
        <w:rPr>
          <w:bCs/>
          <w:lang w:val="en-US"/>
        </w:rPr>
        <w:t>strongly recommend</w:t>
      </w:r>
      <w:r w:rsidR="00702103" w:rsidRPr="00813D19">
        <w:rPr>
          <w:bCs/>
          <w:lang w:val="en-US"/>
        </w:rPr>
        <w:t>ed</w:t>
      </w:r>
      <w:r w:rsidR="000D6466" w:rsidRPr="00813D19">
        <w:rPr>
          <w:bCs/>
          <w:lang w:val="en-US"/>
        </w:rPr>
        <w:t xml:space="preserve"> that </w:t>
      </w:r>
      <w:r w:rsidR="00B07C46" w:rsidRPr="00813D19">
        <w:rPr>
          <w:bCs/>
          <w:lang w:val="en-US"/>
        </w:rPr>
        <w:t xml:space="preserve">the </w:t>
      </w:r>
      <w:r w:rsidR="000D6466" w:rsidRPr="00813D19">
        <w:rPr>
          <w:bCs/>
          <w:lang w:val="en-US"/>
        </w:rPr>
        <w:t xml:space="preserve">Committee recognize the efforts of the Director-General </w:t>
      </w:r>
      <w:r w:rsidR="00702103" w:rsidRPr="00813D19">
        <w:rPr>
          <w:bCs/>
          <w:lang w:val="en-US"/>
        </w:rPr>
        <w:t>and inscribe the</w:t>
      </w:r>
      <w:r w:rsidR="000D6466" w:rsidRPr="00813D19">
        <w:rPr>
          <w:bCs/>
          <w:lang w:val="en-US"/>
        </w:rPr>
        <w:t xml:space="preserve"> two files </w:t>
      </w:r>
      <w:r w:rsidR="00702103" w:rsidRPr="00813D19">
        <w:rPr>
          <w:bCs/>
          <w:lang w:val="en-US"/>
        </w:rPr>
        <w:t xml:space="preserve">as a joint inscription in the spirit of understanding and </w:t>
      </w:r>
      <w:r w:rsidR="000D6466" w:rsidRPr="00813D19">
        <w:rPr>
          <w:bCs/>
          <w:lang w:val="en-US"/>
        </w:rPr>
        <w:t xml:space="preserve">cooperation. </w:t>
      </w:r>
      <w:r w:rsidR="00A23194" w:rsidRPr="00813D19">
        <w:rPr>
          <w:b/>
          <w:bCs/>
          <w:lang w:val="en-US"/>
        </w:rPr>
        <w:t>T</w:t>
      </w:r>
      <w:r w:rsidR="00702103" w:rsidRPr="00813D19">
        <w:rPr>
          <w:b/>
          <w:bCs/>
          <w:lang w:val="en-US"/>
        </w:rPr>
        <w:t>he</w:t>
      </w:r>
      <w:r w:rsidR="00702103" w:rsidRPr="00813D19">
        <w:rPr>
          <w:bCs/>
          <w:lang w:val="en-US"/>
        </w:rPr>
        <w:t xml:space="preserve"> </w:t>
      </w:r>
      <w:r w:rsidR="00702103" w:rsidRPr="00813D19">
        <w:rPr>
          <w:b/>
          <w:bCs/>
          <w:lang w:val="en-US"/>
        </w:rPr>
        <w:t xml:space="preserve">Chairperson declared Decision 13.COM </w:t>
      </w:r>
      <w:hyperlink r:id="rId39" w:history="1">
        <w:r w:rsidR="00702103" w:rsidRPr="00813D19">
          <w:rPr>
            <w:rStyle w:val="Hyperlink"/>
            <w:b/>
            <w:bCs/>
            <w:lang w:val="en-US"/>
          </w:rPr>
          <w:t>10.b.41</w:t>
        </w:r>
      </w:hyperlink>
      <w:r w:rsidR="00702103" w:rsidRPr="00813D19">
        <w:rPr>
          <w:b/>
          <w:bCs/>
          <w:lang w:val="en-US"/>
        </w:rPr>
        <w:t xml:space="preserve"> adopted</w:t>
      </w:r>
      <w:r w:rsidR="00B67A60">
        <w:rPr>
          <w:bCs/>
          <w:lang w:val="en-US"/>
        </w:rPr>
        <w:t>.</w:t>
      </w:r>
    </w:p>
    <w:p w14:paraId="3E71FDB8" w14:textId="5AAD82D1" w:rsidR="002F0B9A" w:rsidRPr="00813D19" w:rsidRDefault="002F0B9A" w:rsidP="00B67A60">
      <w:pPr>
        <w:pStyle w:val="Orateurengris"/>
        <w:numPr>
          <w:ilvl w:val="0"/>
          <w:numId w:val="0"/>
        </w:numPr>
        <w:spacing w:before="240" w:after="240"/>
        <w:jc w:val="center"/>
        <w:rPr>
          <w:i/>
          <w:color w:val="000000" w:themeColor="text1"/>
          <w:lang w:val="en-US"/>
        </w:rPr>
      </w:pPr>
      <w:r w:rsidRPr="00813D19">
        <w:rPr>
          <w:i/>
          <w:color w:val="000000" w:themeColor="text1"/>
          <w:lang w:val="en-US"/>
        </w:rPr>
        <w:t>[</w:t>
      </w:r>
      <w:r w:rsidR="004B68BB" w:rsidRPr="00813D19">
        <w:rPr>
          <w:i/>
          <w:color w:val="000000" w:themeColor="text1"/>
          <w:lang w:val="en-US"/>
        </w:rPr>
        <w:t>Adopted b</w:t>
      </w:r>
      <w:r w:rsidR="00795E45" w:rsidRPr="00813D19">
        <w:rPr>
          <w:i/>
          <w:color w:val="000000" w:themeColor="text1"/>
          <w:lang w:val="en-US"/>
        </w:rPr>
        <w:t>y acclamation]</w:t>
      </w:r>
    </w:p>
    <w:p w14:paraId="44AFE7C8" w14:textId="1C02AD10" w:rsidR="00AA24C1" w:rsidRPr="00B67A60" w:rsidRDefault="00203591" w:rsidP="002113CA">
      <w:pPr>
        <w:pStyle w:val="Orateurengris"/>
        <w:spacing w:before="120"/>
        <w:ind w:left="709" w:hanging="709"/>
        <w:rPr>
          <w:bCs/>
          <w:color w:val="000000" w:themeColor="text1"/>
          <w:lang w:val="en-US"/>
        </w:rPr>
      </w:pPr>
      <w:r w:rsidRPr="00813D19">
        <w:rPr>
          <w:color w:val="000000" w:themeColor="text1"/>
          <w:lang w:val="en-US"/>
        </w:rPr>
        <w:lastRenderedPageBreak/>
        <w:t xml:space="preserve">Addressing the </w:t>
      </w:r>
      <w:r w:rsidRPr="00813D19">
        <w:rPr>
          <w:bCs/>
          <w:lang w:val="en-US"/>
        </w:rPr>
        <w:t xml:space="preserve">Director-General of UNESCO, the Chairperson of the Committee, </w:t>
      </w:r>
      <w:r w:rsidR="00726DF1" w:rsidRPr="00813D19">
        <w:rPr>
          <w:bCs/>
          <w:lang w:val="en-US"/>
        </w:rPr>
        <w:t xml:space="preserve">the </w:t>
      </w:r>
      <w:r w:rsidRPr="00813D19">
        <w:rPr>
          <w:bCs/>
          <w:lang w:val="en-US"/>
        </w:rPr>
        <w:t>Committee Members and all the participants,</w:t>
      </w:r>
      <w:r w:rsidRPr="00813D19">
        <w:rPr>
          <w:color w:val="000000" w:themeColor="text1"/>
          <w:lang w:val="en-US"/>
        </w:rPr>
        <w:t xml:space="preserve"> t</w:t>
      </w:r>
      <w:r w:rsidR="00AA24C1" w:rsidRPr="00813D19">
        <w:rPr>
          <w:color w:val="000000" w:themeColor="text1"/>
          <w:lang w:val="en-US"/>
        </w:rPr>
        <w:t>he</w:t>
      </w:r>
      <w:r w:rsidR="00AA24C1" w:rsidRPr="00813D19">
        <w:rPr>
          <w:b/>
          <w:color w:val="000000" w:themeColor="text1"/>
          <w:lang w:val="en-US"/>
        </w:rPr>
        <w:t xml:space="preserve"> delegation of the Democratic People’s Republic of Korea</w:t>
      </w:r>
      <w:r w:rsidR="000D6466" w:rsidRPr="00813D19">
        <w:rPr>
          <w:b/>
          <w:color w:val="000000" w:themeColor="text1"/>
          <w:lang w:val="en-US"/>
        </w:rPr>
        <w:t xml:space="preserve"> </w:t>
      </w:r>
      <w:r w:rsidRPr="00813D19">
        <w:rPr>
          <w:bCs/>
          <w:lang w:val="en-US"/>
        </w:rPr>
        <w:t xml:space="preserve">spoke of the </w:t>
      </w:r>
      <w:r w:rsidR="000D6466" w:rsidRPr="00813D19">
        <w:rPr>
          <w:bCs/>
          <w:lang w:val="en-US"/>
        </w:rPr>
        <w:t>great hono</w:t>
      </w:r>
      <w:r w:rsidRPr="00813D19">
        <w:rPr>
          <w:bCs/>
          <w:lang w:val="en-US"/>
        </w:rPr>
        <w:t>u</w:t>
      </w:r>
      <w:r w:rsidR="000D6466" w:rsidRPr="00813D19">
        <w:rPr>
          <w:bCs/>
          <w:lang w:val="en-US"/>
        </w:rPr>
        <w:t xml:space="preserve">r </w:t>
      </w:r>
      <w:r w:rsidR="00726DF1" w:rsidRPr="00813D19">
        <w:rPr>
          <w:bCs/>
          <w:lang w:val="en-US"/>
        </w:rPr>
        <w:t xml:space="preserve">at </w:t>
      </w:r>
      <w:r w:rsidR="000D6466" w:rsidRPr="00813D19">
        <w:rPr>
          <w:bCs/>
          <w:lang w:val="en-US"/>
        </w:rPr>
        <w:t xml:space="preserve">this very significant </w:t>
      </w:r>
      <w:r w:rsidR="00726DF1" w:rsidRPr="00813D19">
        <w:rPr>
          <w:bCs/>
          <w:lang w:val="en-US"/>
        </w:rPr>
        <w:t>and momentous occasion</w:t>
      </w:r>
      <w:r w:rsidR="00B07C46" w:rsidRPr="00813D19">
        <w:rPr>
          <w:bCs/>
          <w:lang w:val="en-US"/>
        </w:rPr>
        <w:t xml:space="preserve"> to represent</w:t>
      </w:r>
      <w:r w:rsidR="000D6466" w:rsidRPr="00813D19">
        <w:rPr>
          <w:bCs/>
          <w:lang w:val="en-US"/>
        </w:rPr>
        <w:t xml:space="preserve"> a historical milestone for </w:t>
      </w:r>
      <w:r w:rsidR="00726DF1" w:rsidRPr="00813D19">
        <w:rPr>
          <w:bCs/>
          <w:lang w:val="en-US"/>
        </w:rPr>
        <w:t xml:space="preserve">both </w:t>
      </w:r>
      <w:r w:rsidR="000D6466" w:rsidRPr="00813D19">
        <w:rPr>
          <w:bCs/>
          <w:lang w:val="en-US"/>
        </w:rPr>
        <w:t xml:space="preserve">North and South Korea </w:t>
      </w:r>
      <w:r w:rsidRPr="00813D19">
        <w:rPr>
          <w:bCs/>
          <w:lang w:val="en-US"/>
        </w:rPr>
        <w:t xml:space="preserve">in the </w:t>
      </w:r>
      <w:r w:rsidR="000D6466" w:rsidRPr="00813D19">
        <w:rPr>
          <w:bCs/>
          <w:lang w:val="en-US"/>
        </w:rPr>
        <w:t xml:space="preserve">joint inscription of </w:t>
      </w:r>
      <w:r w:rsidRPr="00813D19">
        <w:rPr>
          <w:bCs/>
          <w:lang w:val="en-US"/>
        </w:rPr>
        <w:t>Traditional Korean wrestling (S</w:t>
      </w:r>
      <w:r w:rsidR="000D6466" w:rsidRPr="00813D19">
        <w:rPr>
          <w:bCs/>
          <w:lang w:val="en-US"/>
        </w:rPr>
        <w:t>sirum</w:t>
      </w:r>
      <w:r w:rsidRPr="00813D19">
        <w:rPr>
          <w:bCs/>
          <w:lang w:val="en-US"/>
        </w:rPr>
        <w:t>/Ss</w:t>
      </w:r>
      <w:r w:rsidR="00726DF1" w:rsidRPr="00813D19">
        <w:rPr>
          <w:bCs/>
          <w:lang w:val="en-US"/>
        </w:rPr>
        <w:t xml:space="preserve">ireum), </w:t>
      </w:r>
      <w:r w:rsidR="000D6466" w:rsidRPr="00813D19">
        <w:rPr>
          <w:bCs/>
          <w:lang w:val="en-US"/>
        </w:rPr>
        <w:t xml:space="preserve">a common asset of the </w:t>
      </w:r>
      <w:r w:rsidR="00726DF1" w:rsidRPr="00813D19">
        <w:rPr>
          <w:bCs/>
          <w:lang w:val="en-US"/>
        </w:rPr>
        <w:t xml:space="preserve">entire </w:t>
      </w:r>
      <w:r w:rsidR="000D6466" w:rsidRPr="00813D19">
        <w:rPr>
          <w:bCs/>
          <w:lang w:val="en-US"/>
        </w:rPr>
        <w:t>Korean nation</w:t>
      </w:r>
      <w:r w:rsidR="00726DF1" w:rsidRPr="00813D19">
        <w:rPr>
          <w:bCs/>
          <w:lang w:val="en-US"/>
        </w:rPr>
        <w:t>,</w:t>
      </w:r>
      <w:r w:rsidR="000D6466" w:rsidRPr="00813D19">
        <w:rPr>
          <w:bCs/>
          <w:lang w:val="en-US"/>
        </w:rPr>
        <w:t xml:space="preserve"> on the Representative List. </w:t>
      </w:r>
      <w:r w:rsidR="00726DF1" w:rsidRPr="00813D19">
        <w:rPr>
          <w:bCs/>
          <w:lang w:val="en-US"/>
        </w:rPr>
        <w:t xml:space="preserve">The inscription </w:t>
      </w:r>
      <w:r w:rsidR="005717B7" w:rsidRPr="00813D19">
        <w:rPr>
          <w:bCs/>
          <w:lang w:val="en-US"/>
        </w:rPr>
        <w:t>conform</w:t>
      </w:r>
      <w:r w:rsidR="005717B7">
        <w:rPr>
          <w:bCs/>
          <w:lang w:val="en-US"/>
        </w:rPr>
        <w:t>ed</w:t>
      </w:r>
      <w:r w:rsidR="005717B7" w:rsidRPr="00813D19">
        <w:rPr>
          <w:bCs/>
          <w:lang w:val="en-US"/>
        </w:rPr>
        <w:t xml:space="preserve"> </w:t>
      </w:r>
      <w:r w:rsidR="000D6466" w:rsidRPr="00813D19">
        <w:rPr>
          <w:bCs/>
          <w:lang w:val="en-US"/>
        </w:rPr>
        <w:t>to the common aspirations and longing of Koreans to be</w:t>
      </w:r>
      <w:r w:rsidR="00726DF1" w:rsidRPr="00813D19">
        <w:rPr>
          <w:bCs/>
          <w:lang w:val="en-US"/>
        </w:rPr>
        <w:t>come</w:t>
      </w:r>
      <w:r w:rsidR="000D6466" w:rsidRPr="00813D19">
        <w:rPr>
          <w:bCs/>
          <w:lang w:val="en-US"/>
        </w:rPr>
        <w:t xml:space="preserve"> one</w:t>
      </w:r>
      <w:r w:rsidR="00726DF1" w:rsidRPr="00813D19">
        <w:rPr>
          <w:bCs/>
          <w:lang w:val="en-US"/>
        </w:rPr>
        <w:t>,</w:t>
      </w:r>
      <w:r w:rsidR="000D6466" w:rsidRPr="00813D19">
        <w:rPr>
          <w:bCs/>
          <w:lang w:val="en-US"/>
        </w:rPr>
        <w:t xml:space="preserve"> and to sustain and carry forward its homogeneity</w:t>
      </w:r>
      <w:r w:rsidR="00726DF1" w:rsidRPr="00813D19">
        <w:rPr>
          <w:bCs/>
          <w:lang w:val="en-US"/>
        </w:rPr>
        <w:t>,</w:t>
      </w:r>
      <w:r w:rsidR="000D6466" w:rsidRPr="00813D19">
        <w:rPr>
          <w:bCs/>
          <w:lang w:val="en-US"/>
        </w:rPr>
        <w:t xml:space="preserve"> calling on all compatriots to cherish and foster great national unity. It </w:t>
      </w:r>
      <w:r w:rsidR="00726DF1" w:rsidRPr="00813D19">
        <w:rPr>
          <w:bCs/>
          <w:lang w:val="en-US"/>
        </w:rPr>
        <w:t xml:space="preserve">also </w:t>
      </w:r>
      <w:r w:rsidR="000D6466" w:rsidRPr="00813D19">
        <w:rPr>
          <w:bCs/>
          <w:lang w:val="en-US"/>
        </w:rPr>
        <w:t xml:space="preserve">highlighted the unstinting support and wish of the international community for peace and prosperity in the Korean peninsula. </w:t>
      </w:r>
      <w:r w:rsidR="00726DF1" w:rsidRPr="00813D19">
        <w:rPr>
          <w:bCs/>
          <w:lang w:val="en-US"/>
        </w:rPr>
        <w:t>T</w:t>
      </w:r>
      <w:r w:rsidR="000D6466" w:rsidRPr="00813D19">
        <w:rPr>
          <w:bCs/>
          <w:lang w:val="en-US"/>
        </w:rPr>
        <w:t>hanks to the love for the nation and honest desire for peace shown by the Supreme Leaders of North and South of Korea</w:t>
      </w:r>
      <w:r w:rsidR="00726DF1" w:rsidRPr="00813D19">
        <w:rPr>
          <w:bCs/>
          <w:lang w:val="en-US"/>
        </w:rPr>
        <w:t>,</w:t>
      </w:r>
      <w:r w:rsidR="000D6466" w:rsidRPr="00813D19">
        <w:rPr>
          <w:bCs/>
          <w:lang w:val="en-US"/>
        </w:rPr>
        <w:t xml:space="preserve"> the historic Panmunjom Declaration</w:t>
      </w:r>
      <w:r w:rsidR="00726DF1" w:rsidRPr="00813D19">
        <w:rPr>
          <w:rStyle w:val="FootnoteReference"/>
          <w:bCs/>
          <w:lang w:val="en-US"/>
        </w:rPr>
        <w:footnoteReference w:id="6"/>
      </w:r>
      <w:r w:rsidR="000D6466" w:rsidRPr="00813D19">
        <w:rPr>
          <w:bCs/>
          <w:lang w:val="en-US"/>
        </w:rPr>
        <w:t xml:space="preserve"> </w:t>
      </w:r>
      <w:r w:rsidR="00726DF1" w:rsidRPr="00813D19">
        <w:rPr>
          <w:bCs/>
          <w:lang w:val="en-US"/>
        </w:rPr>
        <w:t xml:space="preserve">and the </w:t>
      </w:r>
      <w:r w:rsidR="009350BA" w:rsidRPr="00813D19">
        <w:rPr>
          <w:bCs/>
          <w:lang w:val="en-US"/>
        </w:rPr>
        <w:t>Pyongyang Joint D</w:t>
      </w:r>
      <w:r w:rsidR="000D6466" w:rsidRPr="00813D19">
        <w:rPr>
          <w:bCs/>
          <w:lang w:val="en-US"/>
        </w:rPr>
        <w:t>eclaration</w:t>
      </w:r>
      <w:r w:rsidR="009350BA" w:rsidRPr="00813D19">
        <w:rPr>
          <w:rStyle w:val="FootnoteReference"/>
          <w:bCs/>
          <w:lang w:val="en-US"/>
        </w:rPr>
        <w:footnoteReference w:id="7"/>
      </w:r>
      <w:r w:rsidR="000D6466" w:rsidRPr="00813D19">
        <w:rPr>
          <w:bCs/>
          <w:lang w:val="en-US"/>
        </w:rPr>
        <w:t xml:space="preserve"> </w:t>
      </w:r>
      <w:r w:rsidR="005717B7">
        <w:rPr>
          <w:bCs/>
          <w:lang w:val="en-US"/>
        </w:rPr>
        <w:t>had</w:t>
      </w:r>
      <w:r w:rsidR="005717B7" w:rsidRPr="00813D19">
        <w:rPr>
          <w:bCs/>
          <w:lang w:val="en-US"/>
        </w:rPr>
        <w:t xml:space="preserve"> </w:t>
      </w:r>
      <w:r w:rsidR="009350BA" w:rsidRPr="00813D19">
        <w:rPr>
          <w:bCs/>
          <w:lang w:val="en-US"/>
        </w:rPr>
        <w:t xml:space="preserve">recently </w:t>
      </w:r>
      <w:r w:rsidR="005717B7">
        <w:rPr>
          <w:bCs/>
          <w:lang w:val="en-US"/>
        </w:rPr>
        <w:t xml:space="preserve">been </w:t>
      </w:r>
      <w:r w:rsidR="000D6466" w:rsidRPr="00813D19">
        <w:rPr>
          <w:bCs/>
          <w:lang w:val="en-US"/>
        </w:rPr>
        <w:t>adopted</w:t>
      </w:r>
      <w:r w:rsidR="00B07C46" w:rsidRPr="00813D19">
        <w:rPr>
          <w:bCs/>
          <w:lang w:val="en-US"/>
        </w:rPr>
        <w:t>,</w:t>
      </w:r>
      <w:r w:rsidR="000D6466" w:rsidRPr="00813D19">
        <w:rPr>
          <w:bCs/>
          <w:lang w:val="en-US"/>
        </w:rPr>
        <w:t xml:space="preserve"> and a vigorous move for national reconciliation, peace and prosper</w:t>
      </w:r>
      <w:r w:rsidR="00B07C46" w:rsidRPr="00813D19">
        <w:rPr>
          <w:bCs/>
          <w:lang w:val="en-US"/>
        </w:rPr>
        <w:t>ity across the land of Korea had</w:t>
      </w:r>
      <w:r w:rsidR="000D6466" w:rsidRPr="00813D19">
        <w:rPr>
          <w:bCs/>
          <w:lang w:val="en-US"/>
        </w:rPr>
        <w:t xml:space="preserve"> </w:t>
      </w:r>
      <w:r w:rsidR="00A810F6" w:rsidRPr="00813D19">
        <w:rPr>
          <w:bCs/>
          <w:lang w:val="en-US"/>
        </w:rPr>
        <w:t xml:space="preserve">been </w:t>
      </w:r>
      <w:r w:rsidR="000D6466" w:rsidRPr="00813D19">
        <w:rPr>
          <w:bCs/>
          <w:lang w:val="en-US"/>
        </w:rPr>
        <w:t xml:space="preserve">widely made. </w:t>
      </w:r>
      <w:r w:rsidR="00A810F6" w:rsidRPr="00813D19">
        <w:rPr>
          <w:bCs/>
          <w:lang w:val="en-US"/>
        </w:rPr>
        <w:t>T</w:t>
      </w:r>
      <w:r w:rsidR="000D6466" w:rsidRPr="00813D19">
        <w:rPr>
          <w:bCs/>
          <w:lang w:val="en-US"/>
        </w:rPr>
        <w:t xml:space="preserve">he joint inscription of the element </w:t>
      </w:r>
      <w:r w:rsidR="00A810F6" w:rsidRPr="00813D19">
        <w:rPr>
          <w:bCs/>
          <w:lang w:val="en-US"/>
        </w:rPr>
        <w:t>thus highlighted</w:t>
      </w:r>
      <w:r w:rsidR="000D6466" w:rsidRPr="00813D19">
        <w:rPr>
          <w:bCs/>
          <w:lang w:val="en-US"/>
        </w:rPr>
        <w:t xml:space="preserve"> the unshakeable real and heartfelt desire of all Koreans to </w:t>
      </w:r>
      <w:r w:rsidR="00A810F6" w:rsidRPr="00813D19">
        <w:rPr>
          <w:bCs/>
          <w:lang w:val="en-US"/>
        </w:rPr>
        <w:t xml:space="preserve">enter a </w:t>
      </w:r>
      <w:r w:rsidR="000D6466" w:rsidRPr="00813D19">
        <w:rPr>
          <w:bCs/>
          <w:lang w:val="en-US"/>
        </w:rPr>
        <w:t>new era of peace and prosperity. Comrade Kim Jung-un, Chairman of the State Affairs Commission of the Democratic People’s Republic of Korea</w:t>
      </w:r>
      <w:r w:rsidR="00A810F6" w:rsidRPr="00813D19">
        <w:rPr>
          <w:bCs/>
          <w:lang w:val="en-US"/>
        </w:rPr>
        <w:t>, had</w:t>
      </w:r>
      <w:r w:rsidR="000D6466" w:rsidRPr="00813D19">
        <w:rPr>
          <w:bCs/>
          <w:lang w:val="en-US"/>
        </w:rPr>
        <w:t xml:space="preserve"> stressed that national heritage conservation is a patriotic undertaking for safeguarding the history and traditions of the nation, through caring for and developing precious spiritual and material wealth created by the</w:t>
      </w:r>
      <w:r w:rsidR="005717B7">
        <w:rPr>
          <w:bCs/>
          <w:lang w:val="en-US"/>
        </w:rPr>
        <w:t>ir</w:t>
      </w:r>
      <w:r w:rsidR="000D6466" w:rsidRPr="00813D19">
        <w:rPr>
          <w:bCs/>
          <w:lang w:val="en-US"/>
        </w:rPr>
        <w:t xml:space="preserve"> ancestors. He also stressed the need to care for and develop traditi</w:t>
      </w:r>
      <w:r w:rsidR="00A810F6" w:rsidRPr="00813D19">
        <w:rPr>
          <w:bCs/>
          <w:lang w:val="en-US"/>
        </w:rPr>
        <w:t xml:space="preserve">onal music, dance and fine arts, which were </w:t>
      </w:r>
      <w:r w:rsidR="000D6466" w:rsidRPr="00813D19">
        <w:rPr>
          <w:bCs/>
          <w:lang w:val="en-US"/>
        </w:rPr>
        <w:t>conducive to the sense of national identity</w:t>
      </w:r>
      <w:r w:rsidR="00A810F6" w:rsidRPr="00813D19">
        <w:rPr>
          <w:bCs/>
          <w:lang w:val="en-US"/>
        </w:rPr>
        <w:t>,</w:t>
      </w:r>
      <w:r w:rsidR="000D6466" w:rsidRPr="00813D19">
        <w:rPr>
          <w:bCs/>
          <w:lang w:val="en-US"/>
        </w:rPr>
        <w:t xml:space="preserve"> and to promote national sports</w:t>
      </w:r>
      <w:r w:rsidR="00A810F6" w:rsidRPr="00813D19">
        <w:rPr>
          <w:bCs/>
          <w:lang w:val="en-US"/>
        </w:rPr>
        <w:t>,</w:t>
      </w:r>
      <w:r w:rsidR="000D6466" w:rsidRPr="00813D19">
        <w:rPr>
          <w:bCs/>
          <w:lang w:val="en-US"/>
        </w:rPr>
        <w:t xml:space="preserve"> including taekwondo and ssirum, </w:t>
      </w:r>
      <w:r w:rsidR="00A810F6" w:rsidRPr="00813D19">
        <w:rPr>
          <w:bCs/>
          <w:lang w:val="en-US"/>
        </w:rPr>
        <w:t xml:space="preserve">and </w:t>
      </w:r>
      <w:r w:rsidR="000D6466" w:rsidRPr="00813D19">
        <w:rPr>
          <w:bCs/>
          <w:lang w:val="en-US"/>
        </w:rPr>
        <w:t>encourage people</w:t>
      </w:r>
      <w:r w:rsidR="00A810F6" w:rsidRPr="00813D19">
        <w:rPr>
          <w:bCs/>
          <w:lang w:val="en-US"/>
        </w:rPr>
        <w:t xml:space="preserve"> to play such folk games as Yut Nori</w:t>
      </w:r>
      <w:r w:rsidR="000D6466" w:rsidRPr="00813D19">
        <w:rPr>
          <w:bCs/>
          <w:lang w:val="en-US"/>
        </w:rPr>
        <w:t xml:space="preserve"> and top-spinning. The joint inscription of ssirum</w:t>
      </w:r>
      <w:r w:rsidR="00A810F6" w:rsidRPr="00813D19">
        <w:rPr>
          <w:bCs/>
          <w:lang w:val="en-US"/>
        </w:rPr>
        <w:t>,</w:t>
      </w:r>
      <w:r w:rsidR="000D6466" w:rsidRPr="00813D19">
        <w:rPr>
          <w:bCs/>
          <w:lang w:val="en-US"/>
        </w:rPr>
        <w:t xml:space="preserve"> the first </w:t>
      </w:r>
      <w:r w:rsidR="00A810F6" w:rsidRPr="00813D19">
        <w:rPr>
          <w:bCs/>
          <w:lang w:val="en-US"/>
        </w:rPr>
        <w:t xml:space="preserve">element </w:t>
      </w:r>
      <w:r w:rsidR="000D6466" w:rsidRPr="00813D19">
        <w:rPr>
          <w:bCs/>
          <w:lang w:val="en-US"/>
        </w:rPr>
        <w:t xml:space="preserve">borne </w:t>
      </w:r>
      <w:r w:rsidR="00A810F6" w:rsidRPr="00813D19">
        <w:rPr>
          <w:bCs/>
          <w:lang w:val="en-US"/>
        </w:rPr>
        <w:t xml:space="preserve">from the </w:t>
      </w:r>
      <w:r w:rsidR="000D6466" w:rsidRPr="00813D19">
        <w:rPr>
          <w:bCs/>
          <w:lang w:val="en-US"/>
        </w:rPr>
        <w:t>joint effort</w:t>
      </w:r>
      <w:r w:rsidR="00A810F6" w:rsidRPr="00813D19">
        <w:rPr>
          <w:bCs/>
          <w:lang w:val="en-US"/>
        </w:rPr>
        <w:t>s of both sides</w:t>
      </w:r>
      <w:r w:rsidR="000D6466" w:rsidRPr="00813D19">
        <w:rPr>
          <w:bCs/>
          <w:lang w:val="en-US"/>
        </w:rPr>
        <w:t xml:space="preserve"> in the safeguarding of </w:t>
      </w:r>
      <w:r w:rsidR="00A810F6" w:rsidRPr="00813D19">
        <w:rPr>
          <w:bCs/>
          <w:lang w:val="en-US"/>
        </w:rPr>
        <w:t>intangible cultural heritage</w:t>
      </w:r>
      <w:r w:rsidR="001F1047" w:rsidRPr="00813D19">
        <w:rPr>
          <w:bCs/>
          <w:lang w:val="en-US"/>
        </w:rPr>
        <w:t>,</w:t>
      </w:r>
      <w:r w:rsidR="00A810F6" w:rsidRPr="00813D19">
        <w:rPr>
          <w:bCs/>
          <w:lang w:val="en-US"/>
        </w:rPr>
        <w:t xml:space="preserve"> was </w:t>
      </w:r>
      <w:r w:rsidR="000D6466" w:rsidRPr="00813D19">
        <w:rPr>
          <w:bCs/>
          <w:lang w:val="en-US"/>
        </w:rPr>
        <w:t xml:space="preserve">an important landmark on the road </w:t>
      </w:r>
      <w:r w:rsidR="00A810F6" w:rsidRPr="00813D19">
        <w:rPr>
          <w:bCs/>
          <w:lang w:val="en-US"/>
        </w:rPr>
        <w:t xml:space="preserve">towards </w:t>
      </w:r>
      <w:r w:rsidR="000D6466" w:rsidRPr="00813D19">
        <w:rPr>
          <w:bCs/>
          <w:lang w:val="en-US"/>
        </w:rPr>
        <w:t xml:space="preserve">unity of the Korean peninsula. </w:t>
      </w:r>
      <w:r w:rsidR="00A810F6" w:rsidRPr="00813D19">
        <w:rPr>
          <w:bCs/>
          <w:lang w:val="en-US"/>
        </w:rPr>
        <w:t xml:space="preserve">Conforming to the </w:t>
      </w:r>
      <w:r w:rsidR="000D6466" w:rsidRPr="00813D19">
        <w:rPr>
          <w:bCs/>
          <w:lang w:val="en-US"/>
        </w:rPr>
        <w:t>aspiration</w:t>
      </w:r>
      <w:r w:rsidR="00A810F6" w:rsidRPr="00813D19">
        <w:rPr>
          <w:bCs/>
          <w:lang w:val="en-US"/>
        </w:rPr>
        <w:t>s</w:t>
      </w:r>
      <w:r w:rsidR="000D6466" w:rsidRPr="00813D19">
        <w:rPr>
          <w:bCs/>
          <w:lang w:val="en-US"/>
        </w:rPr>
        <w:t xml:space="preserve"> of the entire Korean nation and the principles of the Convention</w:t>
      </w:r>
      <w:r w:rsidR="00A810F6" w:rsidRPr="00813D19">
        <w:rPr>
          <w:bCs/>
          <w:lang w:val="en-US"/>
        </w:rPr>
        <w:t xml:space="preserve">, the delegation </w:t>
      </w:r>
      <w:r w:rsidR="005717B7" w:rsidRPr="00813D19">
        <w:rPr>
          <w:bCs/>
          <w:lang w:val="en-US"/>
        </w:rPr>
        <w:t>w</w:t>
      </w:r>
      <w:r w:rsidR="005717B7">
        <w:rPr>
          <w:bCs/>
          <w:lang w:val="en-US"/>
        </w:rPr>
        <w:t>ould</w:t>
      </w:r>
      <w:r w:rsidR="005717B7" w:rsidRPr="00813D19">
        <w:rPr>
          <w:bCs/>
          <w:lang w:val="en-US"/>
        </w:rPr>
        <w:t xml:space="preserve"> </w:t>
      </w:r>
      <w:r w:rsidR="00A810F6" w:rsidRPr="00813D19">
        <w:rPr>
          <w:bCs/>
          <w:lang w:val="en-US"/>
        </w:rPr>
        <w:t>ende</w:t>
      </w:r>
      <w:r w:rsidR="005717B7">
        <w:rPr>
          <w:bCs/>
          <w:lang w:val="en-US"/>
        </w:rPr>
        <w:t>a</w:t>
      </w:r>
      <w:r w:rsidR="00A810F6" w:rsidRPr="00813D19">
        <w:rPr>
          <w:bCs/>
          <w:lang w:val="en-US"/>
        </w:rPr>
        <w:t xml:space="preserve">vour in the </w:t>
      </w:r>
      <w:r w:rsidR="000D6466" w:rsidRPr="00813D19">
        <w:rPr>
          <w:bCs/>
          <w:lang w:val="en-US"/>
        </w:rPr>
        <w:t xml:space="preserve">future </w:t>
      </w:r>
      <w:r w:rsidR="00A810F6" w:rsidRPr="00813D19">
        <w:rPr>
          <w:bCs/>
          <w:lang w:val="en-US"/>
        </w:rPr>
        <w:t xml:space="preserve">to </w:t>
      </w:r>
      <w:r w:rsidR="000D6466" w:rsidRPr="00813D19">
        <w:rPr>
          <w:bCs/>
          <w:lang w:val="en-US"/>
        </w:rPr>
        <w:t xml:space="preserve">promote international exchange and cooperation in the field of safeguarding </w:t>
      </w:r>
      <w:r w:rsidR="00A810F6" w:rsidRPr="00813D19">
        <w:rPr>
          <w:bCs/>
          <w:lang w:val="en-US"/>
        </w:rPr>
        <w:t xml:space="preserve">intangible cultural heritage, </w:t>
      </w:r>
      <w:r w:rsidR="000D6466" w:rsidRPr="00813D19">
        <w:rPr>
          <w:bCs/>
          <w:lang w:val="en-US"/>
        </w:rPr>
        <w:t xml:space="preserve">and </w:t>
      </w:r>
      <w:r w:rsidR="00A810F6" w:rsidRPr="00813D19">
        <w:rPr>
          <w:bCs/>
          <w:lang w:val="en-US"/>
        </w:rPr>
        <w:t xml:space="preserve">fulfil its </w:t>
      </w:r>
      <w:r w:rsidR="000D6466" w:rsidRPr="00813D19">
        <w:rPr>
          <w:bCs/>
          <w:lang w:val="en-US"/>
        </w:rPr>
        <w:t xml:space="preserve">responsibility </w:t>
      </w:r>
      <w:r w:rsidR="005717B7">
        <w:rPr>
          <w:bCs/>
          <w:lang w:val="en-US"/>
        </w:rPr>
        <w:t>to</w:t>
      </w:r>
      <w:r w:rsidR="005717B7" w:rsidRPr="00813D19">
        <w:rPr>
          <w:bCs/>
          <w:lang w:val="en-US"/>
        </w:rPr>
        <w:t xml:space="preserve"> </w:t>
      </w:r>
      <w:r w:rsidR="000D6466" w:rsidRPr="00813D19">
        <w:rPr>
          <w:bCs/>
          <w:lang w:val="en-US"/>
        </w:rPr>
        <w:t>ensur</w:t>
      </w:r>
      <w:r w:rsidR="005717B7">
        <w:rPr>
          <w:bCs/>
          <w:lang w:val="en-US"/>
        </w:rPr>
        <w:t>e</w:t>
      </w:r>
      <w:r w:rsidR="000D6466" w:rsidRPr="00813D19">
        <w:rPr>
          <w:bCs/>
          <w:lang w:val="en-US"/>
        </w:rPr>
        <w:t xml:space="preserve"> </w:t>
      </w:r>
      <w:r w:rsidR="00A810F6" w:rsidRPr="00813D19">
        <w:rPr>
          <w:bCs/>
          <w:lang w:val="en-US"/>
        </w:rPr>
        <w:t xml:space="preserve">the </w:t>
      </w:r>
      <w:r w:rsidR="000D6466" w:rsidRPr="00813D19">
        <w:rPr>
          <w:bCs/>
          <w:lang w:val="en-US"/>
        </w:rPr>
        <w:t xml:space="preserve">cultural diversity of humanity and its sustainable development, peace and prosperity. </w:t>
      </w:r>
      <w:r w:rsidR="00A810F6" w:rsidRPr="00813D19">
        <w:rPr>
          <w:bCs/>
          <w:lang w:val="en-US"/>
        </w:rPr>
        <w:t xml:space="preserve">The delegation </w:t>
      </w:r>
      <w:r w:rsidR="000D6466" w:rsidRPr="00813D19">
        <w:rPr>
          <w:bCs/>
          <w:lang w:val="en-US"/>
        </w:rPr>
        <w:t>express</w:t>
      </w:r>
      <w:r w:rsidR="00A810F6" w:rsidRPr="00813D19">
        <w:rPr>
          <w:bCs/>
          <w:lang w:val="en-US"/>
        </w:rPr>
        <w:t>ed</w:t>
      </w:r>
      <w:r w:rsidR="000D6466" w:rsidRPr="00813D19">
        <w:rPr>
          <w:bCs/>
          <w:lang w:val="en-US"/>
        </w:rPr>
        <w:t xml:space="preserve"> thanks to the Director-General, </w:t>
      </w:r>
      <w:r w:rsidR="00A810F6" w:rsidRPr="00813D19">
        <w:rPr>
          <w:bCs/>
          <w:lang w:val="en-US"/>
        </w:rPr>
        <w:t xml:space="preserve">the </w:t>
      </w:r>
      <w:r w:rsidR="000D6466" w:rsidRPr="00813D19">
        <w:rPr>
          <w:bCs/>
          <w:lang w:val="en-US"/>
        </w:rPr>
        <w:t>Chairperson and</w:t>
      </w:r>
      <w:r w:rsidR="00DB60C0">
        <w:rPr>
          <w:bCs/>
          <w:lang w:val="en-US"/>
        </w:rPr>
        <w:t xml:space="preserve"> the</w:t>
      </w:r>
      <w:r w:rsidR="000D6466" w:rsidRPr="00813D19">
        <w:rPr>
          <w:bCs/>
          <w:lang w:val="en-US"/>
        </w:rPr>
        <w:t xml:space="preserve"> Members of the Committee</w:t>
      </w:r>
      <w:r w:rsidR="00A810F6" w:rsidRPr="00813D19">
        <w:rPr>
          <w:bCs/>
          <w:lang w:val="en-US"/>
        </w:rPr>
        <w:t>,</w:t>
      </w:r>
      <w:r w:rsidR="000D6466" w:rsidRPr="00813D19">
        <w:rPr>
          <w:bCs/>
          <w:lang w:val="en-US"/>
        </w:rPr>
        <w:t xml:space="preserve"> as well as participants </w:t>
      </w:r>
      <w:r w:rsidR="005717B7">
        <w:rPr>
          <w:bCs/>
          <w:lang w:val="en-US"/>
        </w:rPr>
        <w:t>in</w:t>
      </w:r>
      <w:r w:rsidR="005717B7" w:rsidRPr="00813D19">
        <w:rPr>
          <w:bCs/>
          <w:lang w:val="en-US"/>
        </w:rPr>
        <w:t xml:space="preserve"> </w:t>
      </w:r>
      <w:r w:rsidR="000D6466" w:rsidRPr="00813D19">
        <w:rPr>
          <w:bCs/>
          <w:lang w:val="en-US"/>
        </w:rPr>
        <w:t>this session for the</w:t>
      </w:r>
      <w:r w:rsidR="00A810F6" w:rsidRPr="00813D19">
        <w:rPr>
          <w:bCs/>
          <w:lang w:val="en-US"/>
        </w:rPr>
        <w:t>ir</w:t>
      </w:r>
      <w:r w:rsidR="000D6466" w:rsidRPr="00813D19">
        <w:rPr>
          <w:bCs/>
          <w:lang w:val="en-US"/>
        </w:rPr>
        <w:t xml:space="preserve"> </w:t>
      </w:r>
      <w:r w:rsidR="00A810F6" w:rsidRPr="00813D19">
        <w:rPr>
          <w:bCs/>
          <w:lang w:val="en-US"/>
        </w:rPr>
        <w:t xml:space="preserve">strong </w:t>
      </w:r>
      <w:r w:rsidR="000D6466" w:rsidRPr="00813D19">
        <w:rPr>
          <w:bCs/>
          <w:lang w:val="en-US"/>
        </w:rPr>
        <w:t xml:space="preserve">support </w:t>
      </w:r>
      <w:r w:rsidR="00A810F6" w:rsidRPr="00813D19">
        <w:rPr>
          <w:bCs/>
          <w:lang w:val="en-US"/>
        </w:rPr>
        <w:t xml:space="preserve">for </w:t>
      </w:r>
      <w:r w:rsidR="000D6466" w:rsidRPr="00813D19">
        <w:rPr>
          <w:bCs/>
          <w:lang w:val="en-US"/>
        </w:rPr>
        <w:t>Korean national reconciliation and cooperat</w:t>
      </w:r>
      <w:r w:rsidR="00A810F6" w:rsidRPr="00813D19">
        <w:rPr>
          <w:bCs/>
          <w:lang w:val="en-US"/>
        </w:rPr>
        <w:t>i</w:t>
      </w:r>
      <w:r w:rsidR="00B67A60">
        <w:rPr>
          <w:bCs/>
          <w:lang w:val="en-US"/>
        </w:rPr>
        <w:t>on with this joint inscription.</w:t>
      </w:r>
    </w:p>
    <w:p w14:paraId="06FFC8EA" w14:textId="2FC5AC81" w:rsidR="00EA4FAE" w:rsidRPr="00B67A60" w:rsidRDefault="00816097" w:rsidP="00B67A60">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the </w:t>
      </w:r>
      <w:r w:rsidR="006070AA" w:rsidRPr="00813D19">
        <w:rPr>
          <w:b/>
          <w:color w:val="000000" w:themeColor="text1"/>
          <w:lang w:val="en-US"/>
        </w:rPr>
        <w:t xml:space="preserve">Republic of the Korea </w:t>
      </w:r>
      <w:r w:rsidR="00AF3A74" w:rsidRPr="00813D19">
        <w:rPr>
          <w:bCs/>
          <w:lang w:val="en-US"/>
        </w:rPr>
        <w:t>recall</w:t>
      </w:r>
      <w:r w:rsidR="00AF3A74">
        <w:rPr>
          <w:bCs/>
          <w:lang w:val="en-US"/>
        </w:rPr>
        <w:t>ed</w:t>
      </w:r>
      <w:r w:rsidR="00AF3A74" w:rsidRPr="00813D19">
        <w:rPr>
          <w:bCs/>
          <w:lang w:val="en-US"/>
        </w:rPr>
        <w:t xml:space="preserve"> </w:t>
      </w:r>
      <w:r w:rsidR="00EA4504" w:rsidRPr="00813D19">
        <w:rPr>
          <w:bCs/>
          <w:lang w:val="en-US"/>
        </w:rPr>
        <w:t xml:space="preserve">the time in </w:t>
      </w:r>
      <w:r w:rsidR="008D65A1" w:rsidRPr="00813D19">
        <w:rPr>
          <w:bCs/>
          <w:lang w:val="en-US"/>
        </w:rPr>
        <w:t xml:space="preserve">Jeju Island </w:t>
      </w:r>
      <w:r w:rsidR="00EA4504" w:rsidRPr="00813D19">
        <w:rPr>
          <w:bCs/>
          <w:lang w:val="en-US"/>
        </w:rPr>
        <w:t>in 2017</w:t>
      </w:r>
      <w:r w:rsidR="008D6EE5" w:rsidRPr="00813D19">
        <w:rPr>
          <w:bCs/>
          <w:lang w:val="en-US"/>
        </w:rPr>
        <w:t xml:space="preserve"> spent working hard with the Chairperson</w:t>
      </w:r>
      <w:r w:rsidR="00985FA5">
        <w:rPr>
          <w:bCs/>
          <w:lang w:val="en-US"/>
        </w:rPr>
        <w:t>, and added</w:t>
      </w:r>
      <w:r w:rsidR="00EA4504" w:rsidRPr="00813D19">
        <w:rPr>
          <w:bCs/>
          <w:lang w:val="en-US"/>
        </w:rPr>
        <w:t xml:space="preserve"> that his </w:t>
      </w:r>
      <w:r w:rsidR="008D65A1" w:rsidRPr="00813D19">
        <w:rPr>
          <w:bCs/>
          <w:lang w:val="en-US"/>
        </w:rPr>
        <w:t xml:space="preserve">able guidance and leadership </w:t>
      </w:r>
      <w:r w:rsidR="00EA4504" w:rsidRPr="00813D19">
        <w:rPr>
          <w:bCs/>
          <w:lang w:val="en-US"/>
        </w:rPr>
        <w:t xml:space="preserve">would </w:t>
      </w:r>
      <w:r w:rsidR="008D65A1" w:rsidRPr="00813D19">
        <w:rPr>
          <w:bCs/>
          <w:lang w:val="en-US"/>
        </w:rPr>
        <w:t xml:space="preserve">bring about a very successful and fruitful </w:t>
      </w:r>
      <w:r w:rsidR="00EA4504" w:rsidRPr="00813D19">
        <w:rPr>
          <w:bCs/>
          <w:lang w:val="en-US"/>
        </w:rPr>
        <w:t>Committee session</w:t>
      </w:r>
      <w:r w:rsidR="008D65A1" w:rsidRPr="00813D19">
        <w:rPr>
          <w:bCs/>
          <w:lang w:val="en-US"/>
        </w:rPr>
        <w:t xml:space="preserve">. </w:t>
      </w:r>
      <w:r w:rsidR="00EA4504" w:rsidRPr="00813D19">
        <w:rPr>
          <w:bCs/>
          <w:lang w:val="en-US"/>
        </w:rPr>
        <w:t xml:space="preserve">The delegation </w:t>
      </w:r>
      <w:r w:rsidR="008D65A1" w:rsidRPr="00813D19">
        <w:rPr>
          <w:bCs/>
          <w:lang w:val="en-US"/>
        </w:rPr>
        <w:t>extend</w:t>
      </w:r>
      <w:r w:rsidR="00EA4504" w:rsidRPr="00813D19">
        <w:rPr>
          <w:bCs/>
          <w:lang w:val="en-US"/>
        </w:rPr>
        <w:t>ed</w:t>
      </w:r>
      <w:r w:rsidR="008D65A1" w:rsidRPr="00813D19">
        <w:rPr>
          <w:bCs/>
          <w:lang w:val="en-US"/>
        </w:rPr>
        <w:t xml:space="preserve"> </w:t>
      </w:r>
      <w:r w:rsidR="006903B9">
        <w:rPr>
          <w:bCs/>
          <w:lang w:val="en-US"/>
        </w:rPr>
        <w:t xml:space="preserve">its </w:t>
      </w:r>
      <w:r w:rsidR="008D65A1" w:rsidRPr="00813D19">
        <w:rPr>
          <w:bCs/>
          <w:lang w:val="en-US"/>
        </w:rPr>
        <w:t xml:space="preserve">sincere gratitude to all </w:t>
      </w:r>
      <w:r w:rsidR="00EA4504" w:rsidRPr="00813D19">
        <w:rPr>
          <w:bCs/>
          <w:lang w:val="en-US"/>
        </w:rPr>
        <w:t>t</w:t>
      </w:r>
      <w:r w:rsidR="008D6EE5" w:rsidRPr="00813D19">
        <w:rPr>
          <w:bCs/>
          <w:lang w:val="en-US"/>
        </w:rPr>
        <w:t>h</w:t>
      </w:r>
      <w:r w:rsidR="00EA4504" w:rsidRPr="00813D19">
        <w:rPr>
          <w:bCs/>
          <w:lang w:val="en-US"/>
        </w:rPr>
        <w:t xml:space="preserve">e </w:t>
      </w:r>
      <w:r w:rsidR="008D65A1" w:rsidRPr="00813D19">
        <w:rPr>
          <w:bCs/>
          <w:lang w:val="en-US"/>
        </w:rPr>
        <w:t>Members of the Committee for suppo</w:t>
      </w:r>
      <w:r w:rsidR="00EA4504" w:rsidRPr="00813D19">
        <w:rPr>
          <w:bCs/>
          <w:lang w:val="en-US"/>
        </w:rPr>
        <w:t>rting the joint inscription of T</w:t>
      </w:r>
      <w:r w:rsidR="008D65A1" w:rsidRPr="00813D19">
        <w:rPr>
          <w:bCs/>
          <w:lang w:val="en-US"/>
        </w:rPr>
        <w:t xml:space="preserve">raditional Korean wrestling </w:t>
      </w:r>
      <w:r w:rsidR="00EA4504" w:rsidRPr="00813D19">
        <w:rPr>
          <w:bCs/>
          <w:lang w:val="en-US"/>
        </w:rPr>
        <w:t>(Ssirum/Ssireum)</w:t>
      </w:r>
      <w:r w:rsidR="008D65A1" w:rsidRPr="00813D19">
        <w:rPr>
          <w:bCs/>
          <w:lang w:val="en-US"/>
        </w:rPr>
        <w:t xml:space="preserve">. </w:t>
      </w:r>
      <w:r w:rsidR="008D6EE5" w:rsidRPr="00813D19">
        <w:rPr>
          <w:bCs/>
          <w:lang w:val="en-US"/>
        </w:rPr>
        <w:t xml:space="preserve">It </w:t>
      </w:r>
      <w:r w:rsidR="008D65A1" w:rsidRPr="00813D19">
        <w:rPr>
          <w:bCs/>
          <w:lang w:val="en-US"/>
        </w:rPr>
        <w:t>thank</w:t>
      </w:r>
      <w:r w:rsidR="008D6EE5" w:rsidRPr="00813D19">
        <w:rPr>
          <w:bCs/>
          <w:lang w:val="en-US"/>
        </w:rPr>
        <w:t>ed</w:t>
      </w:r>
      <w:r w:rsidR="008D65A1" w:rsidRPr="00813D19">
        <w:rPr>
          <w:bCs/>
          <w:lang w:val="en-US"/>
        </w:rPr>
        <w:t xml:space="preserve"> the Secretariat </w:t>
      </w:r>
      <w:r w:rsidR="008D6EE5" w:rsidRPr="00813D19">
        <w:rPr>
          <w:bCs/>
          <w:lang w:val="en-US"/>
        </w:rPr>
        <w:t xml:space="preserve">and the </w:t>
      </w:r>
      <w:r w:rsidR="008D65A1" w:rsidRPr="00813D19">
        <w:rPr>
          <w:bCs/>
          <w:lang w:val="en-US"/>
        </w:rPr>
        <w:t>Director-General</w:t>
      </w:r>
      <w:r w:rsidR="008D6EE5" w:rsidRPr="00813D19">
        <w:rPr>
          <w:bCs/>
          <w:lang w:val="en-US"/>
        </w:rPr>
        <w:t>,</w:t>
      </w:r>
      <w:r w:rsidR="008D65A1" w:rsidRPr="00813D19">
        <w:rPr>
          <w:bCs/>
          <w:lang w:val="en-US"/>
        </w:rPr>
        <w:t xml:space="preserve"> </w:t>
      </w:r>
      <w:r w:rsidR="008D6EE5" w:rsidRPr="00813D19">
        <w:rPr>
          <w:bCs/>
          <w:lang w:val="en-US"/>
        </w:rPr>
        <w:t>whose support had</w:t>
      </w:r>
      <w:r w:rsidR="008D65A1" w:rsidRPr="00813D19">
        <w:rPr>
          <w:bCs/>
          <w:lang w:val="en-US"/>
        </w:rPr>
        <w:t xml:space="preserve"> been invaluable throughout the entire process of inscription and con</w:t>
      </w:r>
      <w:r w:rsidR="001F1047" w:rsidRPr="00813D19">
        <w:rPr>
          <w:bCs/>
          <w:lang w:val="en-US"/>
        </w:rPr>
        <w:t>sultation between the two Korea nations</w:t>
      </w:r>
      <w:r w:rsidR="008D65A1" w:rsidRPr="00813D19">
        <w:rPr>
          <w:bCs/>
          <w:lang w:val="en-US"/>
        </w:rPr>
        <w:t>. In particular</w:t>
      </w:r>
      <w:r w:rsidR="008D6EE5" w:rsidRPr="00813D19">
        <w:rPr>
          <w:bCs/>
          <w:lang w:val="en-US"/>
        </w:rPr>
        <w:t>,</w:t>
      </w:r>
      <w:r w:rsidR="008D65A1" w:rsidRPr="00813D19">
        <w:rPr>
          <w:bCs/>
          <w:lang w:val="en-US"/>
        </w:rPr>
        <w:t xml:space="preserve"> </w:t>
      </w:r>
      <w:r w:rsidR="008D6EE5" w:rsidRPr="00813D19">
        <w:rPr>
          <w:bCs/>
          <w:lang w:val="en-US"/>
        </w:rPr>
        <w:t xml:space="preserve">the delegation was </w:t>
      </w:r>
      <w:r w:rsidR="008D65A1" w:rsidRPr="00813D19">
        <w:rPr>
          <w:bCs/>
          <w:lang w:val="en-US"/>
        </w:rPr>
        <w:t xml:space="preserve">grateful to the representatives of </w:t>
      </w:r>
      <w:r w:rsidR="001F1047" w:rsidRPr="00813D19">
        <w:rPr>
          <w:bCs/>
          <w:lang w:val="en-US"/>
        </w:rPr>
        <w:t xml:space="preserve">the </w:t>
      </w:r>
      <w:r w:rsidR="008D6EE5" w:rsidRPr="00813D19">
        <w:rPr>
          <w:bCs/>
          <w:lang w:val="en-US"/>
        </w:rPr>
        <w:t>Democratic People’</w:t>
      </w:r>
      <w:r w:rsidR="008D65A1" w:rsidRPr="00813D19">
        <w:rPr>
          <w:bCs/>
          <w:lang w:val="en-US"/>
        </w:rPr>
        <w:t xml:space="preserve">s Republic of Korea for their cooperation, which enabled the spirit of mutual cooperation and understanding. </w:t>
      </w:r>
      <w:r w:rsidR="001F1047" w:rsidRPr="00813D19">
        <w:rPr>
          <w:bCs/>
          <w:lang w:val="en-US"/>
        </w:rPr>
        <w:t xml:space="preserve">It </w:t>
      </w:r>
      <w:r w:rsidR="008D6EE5" w:rsidRPr="00813D19">
        <w:rPr>
          <w:bCs/>
          <w:lang w:val="en-US"/>
        </w:rPr>
        <w:t xml:space="preserve">was </w:t>
      </w:r>
      <w:r w:rsidR="001F1047" w:rsidRPr="00813D19">
        <w:rPr>
          <w:bCs/>
          <w:lang w:val="en-US"/>
        </w:rPr>
        <w:t xml:space="preserve">also </w:t>
      </w:r>
      <w:r w:rsidR="008D65A1" w:rsidRPr="00813D19">
        <w:rPr>
          <w:bCs/>
          <w:lang w:val="en-US"/>
        </w:rPr>
        <w:t xml:space="preserve">deeply touched by the </w:t>
      </w:r>
      <w:r w:rsidR="008D6EE5" w:rsidRPr="00813D19">
        <w:rPr>
          <w:bCs/>
          <w:lang w:val="en-US"/>
        </w:rPr>
        <w:t xml:space="preserve">Committee’s </w:t>
      </w:r>
      <w:r w:rsidR="008D65A1" w:rsidRPr="00813D19">
        <w:rPr>
          <w:bCs/>
          <w:lang w:val="en-US"/>
        </w:rPr>
        <w:t xml:space="preserve">decision </w:t>
      </w:r>
      <w:r w:rsidR="008D6EE5" w:rsidRPr="00813D19">
        <w:rPr>
          <w:bCs/>
          <w:lang w:val="en-US"/>
        </w:rPr>
        <w:t>to jointly inscribe</w:t>
      </w:r>
      <w:r w:rsidR="008D65A1" w:rsidRPr="00813D19">
        <w:rPr>
          <w:bCs/>
          <w:lang w:val="en-US"/>
        </w:rPr>
        <w:t xml:space="preserve"> </w:t>
      </w:r>
      <w:r w:rsidR="008D6EE5" w:rsidRPr="00813D19">
        <w:rPr>
          <w:bCs/>
          <w:lang w:val="en-US"/>
        </w:rPr>
        <w:t>T</w:t>
      </w:r>
      <w:r w:rsidR="008D65A1" w:rsidRPr="00813D19">
        <w:rPr>
          <w:bCs/>
          <w:lang w:val="en-US"/>
        </w:rPr>
        <w:t xml:space="preserve">raditional Korean wrestling </w:t>
      </w:r>
      <w:r w:rsidR="008D6EE5" w:rsidRPr="00813D19">
        <w:rPr>
          <w:bCs/>
          <w:lang w:val="en-US"/>
        </w:rPr>
        <w:t xml:space="preserve">(Ssirum/Ssireum). </w:t>
      </w:r>
      <w:r w:rsidR="008D65A1" w:rsidRPr="00813D19">
        <w:rPr>
          <w:bCs/>
          <w:lang w:val="en-US"/>
        </w:rPr>
        <w:t xml:space="preserve">In fact, all </w:t>
      </w:r>
      <w:r w:rsidR="008D6EE5" w:rsidRPr="00813D19">
        <w:rPr>
          <w:bCs/>
          <w:lang w:val="en-US"/>
        </w:rPr>
        <w:t>the intangible cultural heritage</w:t>
      </w:r>
      <w:r w:rsidR="008D65A1" w:rsidRPr="00813D19">
        <w:rPr>
          <w:bCs/>
          <w:lang w:val="en-US"/>
        </w:rPr>
        <w:t xml:space="preserve"> of the two Koreas </w:t>
      </w:r>
      <w:r w:rsidR="00813D19" w:rsidRPr="00813D19">
        <w:rPr>
          <w:bCs/>
          <w:lang w:val="en-US"/>
        </w:rPr>
        <w:t>was</w:t>
      </w:r>
      <w:r w:rsidR="008D6EE5" w:rsidRPr="00813D19">
        <w:rPr>
          <w:bCs/>
          <w:lang w:val="en-US"/>
        </w:rPr>
        <w:t xml:space="preserve"> </w:t>
      </w:r>
      <w:r w:rsidR="008D65A1" w:rsidRPr="00813D19">
        <w:rPr>
          <w:bCs/>
          <w:lang w:val="en-US"/>
        </w:rPr>
        <w:t>embedded in the same tradition</w:t>
      </w:r>
      <w:r w:rsidR="008D6EE5" w:rsidRPr="00813D19">
        <w:rPr>
          <w:bCs/>
          <w:lang w:val="en-US"/>
        </w:rPr>
        <w:t>s</w:t>
      </w:r>
      <w:r w:rsidR="008D65A1" w:rsidRPr="00813D19">
        <w:rPr>
          <w:bCs/>
          <w:lang w:val="en-US"/>
        </w:rPr>
        <w:t xml:space="preserve"> and culture</w:t>
      </w:r>
      <w:r w:rsidR="008D6EE5" w:rsidRPr="00813D19">
        <w:rPr>
          <w:bCs/>
          <w:lang w:val="en-US"/>
        </w:rPr>
        <w:t>,</w:t>
      </w:r>
      <w:r w:rsidR="008D65A1" w:rsidRPr="00813D19">
        <w:rPr>
          <w:bCs/>
          <w:lang w:val="en-US"/>
        </w:rPr>
        <w:t xml:space="preserve"> belong</w:t>
      </w:r>
      <w:r w:rsidR="008D6EE5" w:rsidRPr="00813D19">
        <w:rPr>
          <w:bCs/>
          <w:lang w:val="en-US"/>
        </w:rPr>
        <w:t>ing</w:t>
      </w:r>
      <w:r w:rsidR="008D65A1" w:rsidRPr="00813D19">
        <w:rPr>
          <w:bCs/>
          <w:lang w:val="en-US"/>
        </w:rPr>
        <w:t xml:space="preserve"> to </w:t>
      </w:r>
      <w:r w:rsidR="008D6EE5" w:rsidRPr="00813D19">
        <w:rPr>
          <w:bCs/>
          <w:lang w:val="en-US"/>
        </w:rPr>
        <w:t>a common heritage</w:t>
      </w:r>
      <w:r w:rsidR="008D65A1" w:rsidRPr="00813D19">
        <w:rPr>
          <w:bCs/>
          <w:lang w:val="en-US"/>
        </w:rPr>
        <w:t xml:space="preserve"> of </w:t>
      </w:r>
      <w:r w:rsidR="008D6EE5" w:rsidRPr="00813D19">
        <w:rPr>
          <w:bCs/>
          <w:lang w:val="en-US"/>
        </w:rPr>
        <w:t xml:space="preserve">all </w:t>
      </w:r>
      <w:r w:rsidR="008D65A1" w:rsidRPr="00813D19">
        <w:rPr>
          <w:bCs/>
          <w:lang w:val="en-US"/>
        </w:rPr>
        <w:t xml:space="preserve">Koreans. </w:t>
      </w:r>
      <w:r w:rsidR="008D6EE5" w:rsidRPr="00813D19">
        <w:rPr>
          <w:bCs/>
          <w:lang w:val="en-US"/>
        </w:rPr>
        <w:t>Nevertheless, the shared heritage</w:t>
      </w:r>
      <w:r w:rsidR="008D65A1" w:rsidRPr="00813D19">
        <w:rPr>
          <w:bCs/>
          <w:lang w:val="en-US"/>
        </w:rPr>
        <w:t xml:space="preserve"> </w:t>
      </w:r>
      <w:r w:rsidR="008D6EE5" w:rsidRPr="00813D19">
        <w:rPr>
          <w:bCs/>
          <w:lang w:val="en-US"/>
        </w:rPr>
        <w:t>(such as A</w:t>
      </w:r>
      <w:r w:rsidR="00DE534C" w:rsidRPr="00813D19">
        <w:rPr>
          <w:bCs/>
          <w:lang w:val="en-US"/>
        </w:rPr>
        <w:t>rirang lyrical folk song, and K</w:t>
      </w:r>
      <w:r w:rsidR="008D6EE5" w:rsidRPr="00813D19">
        <w:rPr>
          <w:bCs/>
          <w:lang w:val="en-US"/>
        </w:rPr>
        <w:t>imjang, making and sharing kimchi</w:t>
      </w:r>
      <w:r w:rsidR="00DE534C" w:rsidRPr="00813D19">
        <w:rPr>
          <w:bCs/>
          <w:lang w:val="en-US"/>
        </w:rPr>
        <w:t>)</w:t>
      </w:r>
      <w:r w:rsidR="008D6EE5" w:rsidRPr="00813D19">
        <w:rPr>
          <w:bCs/>
          <w:lang w:val="en-US"/>
        </w:rPr>
        <w:t xml:space="preserve"> had been </w:t>
      </w:r>
      <w:r w:rsidR="008D65A1" w:rsidRPr="00813D19">
        <w:rPr>
          <w:bCs/>
          <w:lang w:val="en-US"/>
        </w:rPr>
        <w:t xml:space="preserve">submitted </w:t>
      </w:r>
      <w:r w:rsidR="008D6EE5" w:rsidRPr="00813D19">
        <w:rPr>
          <w:bCs/>
          <w:lang w:val="en-US"/>
        </w:rPr>
        <w:t xml:space="preserve">as </w:t>
      </w:r>
      <w:r w:rsidR="008D65A1" w:rsidRPr="00813D19">
        <w:rPr>
          <w:bCs/>
          <w:lang w:val="en-US"/>
        </w:rPr>
        <w:t>two separate nominations up until now</w:t>
      </w:r>
      <w:r w:rsidR="00DE534C" w:rsidRPr="00813D19">
        <w:rPr>
          <w:bCs/>
          <w:lang w:val="en-US"/>
        </w:rPr>
        <w:t xml:space="preserve">, and thus this was the first </w:t>
      </w:r>
      <w:r w:rsidR="008D65A1" w:rsidRPr="00813D19">
        <w:rPr>
          <w:bCs/>
          <w:lang w:val="en-US"/>
        </w:rPr>
        <w:t>joint inscription.</w:t>
      </w:r>
      <w:r w:rsidR="00DE534C" w:rsidRPr="00813D19">
        <w:rPr>
          <w:bCs/>
          <w:lang w:val="en-US"/>
        </w:rPr>
        <w:t xml:space="preserve"> This decision therefore carried</w:t>
      </w:r>
      <w:r w:rsidR="008D65A1" w:rsidRPr="00813D19">
        <w:rPr>
          <w:bCs/>
          <w:lang w:val="en-US"/>
        </w:rPr>
        <w:t xml:space="preserve"> </w:t>
      </w:r>
      <w:r w:rsidR="00DE534C" w:rsidRPr="00813D19">
        <w:rPr>
          <w:bCs/>
          <w:lang w:val="en-US"/>
        </w:rPr>
        <w:t xml:space="preserve">a </w:t>
      </w:r>
      <w:r w:rsidR="008D65A1" w:rsidRPr="00813D19">
        <w:rPr>
          <w:bCs/>
          <w:lang w:val="en-US"/>
        </w:rPr>
        <w:t xml:space="preserve">far more significant </w:t>
      </w:r>
      <w:r w:rsidR="00DE534C" w:rsidRPr="00813D19">
        <w:rPr>
          <w:bCs/>
          <w:lang w:val="en-US"/>
        </w:rPr>
        <w:t xml:space="preserve">impact </w:t>
      </w:r>
      <w:r w:rsidR="008D65A1" w:rsidRPr="00813D19">
        <w:rPr>
          <w:bCs/>
          <w:lang w:val="en-US"/>
        </w:rPr>
        <w:t>than the simple recognition o</w:t>
      </w:r>
      <w:r w:rsidR="00DE534C" w:rsidRPr="00813D19">
        <w:rPr>
          <w:bCs/>
          <w:lang w:val="en-US"/>
        </w:rPr>
        <w:t xml:space="preserve">f the inscribed element itself, </w:t>
      </w:r>
      <w:r w:rsidR="008D65A1" w:rsidRPr="00813D19">
        <w:rPr>
          <w:bCs/>
          <w:lang w:val="en-US"/>
        </w:rPr>
        <w:t>mark</w:t>
      </w:r>
      <w:r w:rsidR="00DE534C" w:rsidRPr="00813D19">
        <w:rPr>
          <w:bCs/>
          <w:lang w:val="en-US"/>
        </w:rPr>
        <w:t>ing</w:t>
      </w:r>
      <w:r w:rsidR="008D65A1" w:rsidRPr="00813D19">
        <w:rPr>
          <w:bCs/>
          <w:lang w:val="en-US"/>
        </w:rPr>
        <w:t xml:space="preserve"> the beginning of further cooperation between the two </w:t>
      </w:r>
      <w:r w:rsidR="001F1047" w:rsidRPr="00813D19">
        <w:rPr>
          <w:bCs/>
          <w:lang w:val="en-US"/>
        </w:rPr>
        <w:t>nations</w:t>
      </w:r>
      <w:r w:rsidR="008D65A1" w:rsidRPr="00813D19">
        <w:rPr>
          <w:bCs/>
          <w:lang w:val="en-US"/>
        </w:rPr>
        <w:t xml:space="preserve"> to promote and preserve </w:t>
      </w:r>
      <w:r w:rsidR="00DE534C" w:rsidRPr="00813D19">
        <w:rPr>
          <w:bCs/>
          <w:lang w:val="en-US"/>
        </w:rPr>
        <w:t xml:space="preserve">a </w:t>
      </w:r>
      <w:r w:rsidR="008D65A1" w:rsidRPr="00813D19">
        <w:rPr>
          <w:bCs/>
          <w:lang w:val="en-US"/>
        </w:rPr>
        <w:t xml:space="preserve">common intangible heritage. Furthermore, </w:t>
      </w:r>
      <w:r w:rsidR="00DE534C" w:rsidRPr="00813D19">
        <w:rPr>
          <w:bCs/>
          <w:lang w:val="en-US"/>
        </w:rPr>
        <w:t xml:space="preserve">through UNESCO, </w:t>
      </w:r>
      <w:r w:rsidR="008D65A1" w:rsidRPr="00813D19">
        <w:rPr>
          <w:bCs/>
          <w:lang w:val="en-US"/>
        </w:rPr>
        <w:t xml:space="preserve">the two Koreas </w:t>
      </w:r>
      <w:r w:rsidR="006903B9">
        <w:rPr>
          <w:bCs/>
          <w:lang w:val="en-US"/>
        </w:rPr>
        <w:t xml:space="preserve">would </w:t>
      </w:r>
      <w:r w:rsidR="008D65A1" w:rsidRPr="00813D19">
        <w:rPr>
          <w:bCs/>
          <w:lang w:val="en-US"/>
        </w:rPr>
        <w:t xml:space="preserve">be able to expand cooperation beyond culture into other fields of competence to include education and science. </w:t>
      </w:r>
      <w:r w:rsidR="00DE534C" w:rsidRPr="00813D19">
        <w:rPr>
          <w:bCs/>
          <w:lang w:val="en-US"/>
        </w:rPr>
        <w:t>I</w:t>
      </w:r>
      <w:r w:rsidR="008D65A1" w:rsidRPr="00813D19">
        <w:rPr>
          <w:bCs/>
          <w:lang w:val="en-US"/>
        </w:rPr>
        <w:t xml:space="preserve">t </w:t>
      </w:r>
      <w:r w:rsidR="00DE534C" w:rsidRPr="00813D19">
        <w:rPr>
          <w:bCs/>
          <w:lang w:val="en-US"/>
        </w:rPr>
        <w:t xml:space="preserve">was thus </w:t>
      </w:r>
      <w:r w:rsidR="008D65A1" w:rsidRPr="00813D19">
        <w:rPr>
          <w:bCs/>
          <w:lang w:val="en-US"/>
        </w:rPr>
        <w:t xml:space="preserve">an exemplary case </w:t>
      </w:r>
      <w:r w:rsidR="00DE534C" w:rsidRPr="00813D19">
        <w:rPr>
          <w:bCs/>
          <w:lang w:val="en-US"/>
        </w:rPr>
        <w:t xml:space="preserve">that demonstrated how UNESCO—within </w:t>
      </w:r>
      <w:r w:rsidR="008D65A1" w:rsidRPr="00813D19">
        <w:rPr>
          <w:bCs/>
          <w:lang w:val="en-US"/>
        </w:rPr>
        <w:t>its unique role and mandate</w:t>
      </w:r>
      <w:r w:rsidR="00DE534C" w:rsidRPr="00813D19">
        <w:rPr>
          <w:bCs/>
          <w:lang w:val="en-US"/>
        </w:rPr>
        <w:t>—</w:t>
      </w:r>
      <w:r w:rsidR="008D65A1" w:rsidRPr="00813D19">
        <w:rPr>
          <w:bCs/>
          <w:lang w:val="en-US"/>
        </w:rPr>
        <w:t xml:space="preserve">can facilitate the construction of peace through culture, education and science through the power of diplomacy. </w:t>
      </w:r>
      <w:r w:rsidR="00DE534C" w:rsidRPr="00813D19">
        <w:rPr>
          <w:bCs/>
          <w:lang w:val="en-US"/>
        </w:rPr>
        <w:t>S</w:t>
      </w:r>
      <w:r w:rsidR="008D65A1" w:rsidRPr="00813D19">
        <w:rPr>
          <w:bCs/>
          <w:lang w:val="en-US"/>
        </w:rPr>
        <w:t>sireum does not incite competition or conflict. It is a sport t</w:t>
      </w:r>
      <w:r w:rsidR="006903B9">
        <w:rPr>
          <w:bCs/>
          <w:lang w:val="en-US"/>
        </w:rPr>
        <w:t>hat</w:t>
      </w:r>
      <w:r w:rsidR="008D65A1" w:rsidRPr="00813D19">
        <w:rPr>
          <w:bCs/>
          <w:lang w:val="en-US"/>
        </w:rPr>
        <w:t xml:space="preserve"> encourage</w:t>
      </w:r>
      <w:r w:rsidR="006903B9">
        <w:rPr>
          <w:bCs/>
          <w:lang w:val="en-US"/>
        </w:rPr>
        <w:t>s</w:t>
      </w:r>
      <w:r w:rsidR="008D65A1" w:rsidRPr="00813D19">
        <w:rPr>
          <w:bCs/>
          <w:lang w:val="en-US"/>
        </w:rPr>
        <w:t xml:space="preserve"> teamwork and promote</w:t>
      </w:r>
      <w:r w:rsidR="006903B9">
        <w:rPr>
          <w:bCs/>
          <w:lang w:val="en-US"/>
        </w:rPr>
        <w:t>s</w:t>
      </w:r>
      <w:r w:rsidR="008D65A1" w:rsidRPr="00813D19">
        <w:rPr>
          <w:bCs/>
          <w:lang w:val="en-US"/>
        </w:rPr>
        <w:t xml:space="preserve"> unity and peace. It is a popular </w:t>
      </w:r>
      <w:r w:rsidR="006903B9">
        <w:rPr>
          <w:bCs/>
          <w:lang w:val="en-US"/>
        </w:rPr>
        <w:t xml:space="preserve">form of </w:t>
      </w:r>
      <w:r w:rsidR="008D65A1" w:rsidRPr="00813D19">
        <w:rPr>
          <w:bCs/>
          <w:lang w:val="en-US"/>
        </w:rPr>
        <w:t xml:space="preserve">entertainment at the time of festivities when people gather together in their communities and wish </w:t>
      </w:r>
      <w:r w:rsidR="001B19A6" w:rsidRPr="00813D19">
        <w:rPr>
          <w:bCs/>
          <w:lang w:val="en-US"/>
        </w:rPr>
        <w:t xml:space="preserve">for a </w:t>
      </w:r>
      <w:r w:rsidR="008D65A1" w:rsidRPr="00813D19">
        <w:rPr>
          <w:bCs/>
          <w:lang w:val="en-US"/>
        </w:rPr>
        <w:t xml:space="preserve">good harvest. The ssireum tradition frees the minds of people from </w:t>
      </w:r>
      <w:r w:rsidR="001B19A6" w:rsidRPr="00813D19">
        <w:rPr>
          <w:bCs/>
          <w:lang w:val="en-US"/>
        </w:rPr>
        <w:t xml:space="preserve">their </w:t>
      </w:r>
      <w:r w:rsidR="008D65A1" w:rsidRPr="00813D19">
        <w:rPr>
          <w:bCs/>
          <w:lang w:val="en-US"/>
        </w:rPr>
        <w:t xml:space="preserve">hard </w:t>
      </w:r>
      <w:r w:rsidR="001B19A6" w:rsidRPr="00813D19">
        <w:rPr>
          <w:bCs/>
          <w:lang w:val="en-US"/>
        </w:rPr>
        <w:t xml:space="preserve">living </w:t>
      </w:r>
      <w:r w:rsidR="008D65A1" w:rsidRPr="00813D19">
        <w:rPr>
          <w:bCs/>
          <w:lang w:val="en-US"/>
        </w:rPr>
        <w:t>conditions</w:t>
      </w:r>
      <w:r w:rsidR="001B19A6" w:rsidRPr="00813D19">
        <w:rPr>
          <w:bCs/>
          <w:lang w:val="en-US"/>
        </w:rPr>
        <w:t xml:space="preserve">, and </w:t>
      </w:r>
      <w:r w:rsidR="008D65A1" w:rsidRPr="00813D19">
        <w:rPr>
          <w:bCs/>
          <w:lang w:val="en-US"/>
        </w:rPr>
        <w:t xml:space="preserve">brings joy to villages, </w:t>
      </w:r>
      <w:r w:rsidR="001B19A6" w:rsidRPr="00813D19">
        <w:rPr>
          <w:bCs/>
          <w:lang w:val="en-US"/>
        </w:rPr>
        <w:t>creating</w:t>
      </w:r>
      <w:r w:rsidR="008D65A1" w:rsidRPr="00813D19">
        <w:rPr>
          <w:bCs/>
          <w:lang w:val="en-US"/>
        </w:rPr>
        <w:t xml:space="preserve"> unity and community that </w:t>
      </w:r>
      <w:r w:rsidR="001F1047" w:rsidRPr="00813D19">
        <w:rPr>
          <w:bCs/>
          <w:lang w:val="en-US"/>
        </w:rPr>
        <w:t xml:space="preserve">had bound </w:t>
      </w:r>
      <w:r w:rsidR="008D65A1" w:rsidRPr="00813D19">
        <w:rPr>
          <w:bCs/>
          <w:lang w:val="en-US"/>
        </w:rPr>
        <w:t xml:space="preserve">Korean people </w:t>
      </w:r>
      <w:r w:rsidR="001B19A6" w:rsidRPr="00813D19">
        <w:rPr>
          <w:bCs/>
          <w:lang w:val="en-US"/>
        </w:rPr>
        <w:t xml:space="preserve">for </w:t>
      </w:r>
      <w:r w:rsidR="008D65A1" w:rsidRPr="00813D19">
        <w:rPr>
          <w:bCs/>
          <w:lang w:val="en-US"/>
        </w:rPr>
        <w:t xml:space="preserve">centuries. </w:t>
      </w:r>
      <w:r w:rsidR="001B19A6" w:rsidRPr="00813D19">
        <w:rPr>
          <w:bCs/>
          <w:lang w:val="en-US"/>
        </w:rPr>
        <w:t xml:space="preserve">The delegation </w:t>
      </w:r>
      <w:r w:rsidR="008D65A1" w:rsidRPr="00813D19">
        <w:rPr>
          <w:bCs/>
          <w:lang w:val="en-US"/>
        </w:rPr>
        <w:t>hope</w:t>
      </w:r>
      <w:r w:rsidR="001B19A6" w:rsidRPr="00813D19">
        <w:rPr>
          <w:bCs/>
          <w:lang w:val="en-US"/>
        </w:rPr>
        <w:t>d</w:t>
      </w:r>
      <w:r w:rsidR="008D65A1" w:rsidRPr="00813D19">
        <w:rPr>
          <w:bCs/>
          <w:lang w:val="en-US"/>
        </w:rPr>
        <w:t xml:space="preserve"> that the same spirit of unity and harmony </w:t>
      </w:r>
      <w:r w:rsidR="001B19A6" w:rsidRPr="00813D19">
        <w:rPr>
          <w:bCs/>
          <w:lang w:val="en-US"/>
        </w:rPr>
        <w:t xml:space="preserve">could </w:t>
      </w:r>
      <w:r w:rsidR="008D65A1" w:rsidRPr="00813D19">
        <w:rPr>
          <w:bCs/>
          <w:lang w:val="en-US"/>
        </w:rPr>
        <w:t xml:space="preserve">be revived to achieve lasting peace on the Korean peninsula. </w:t>
      </w:r>
      <w:r w:rsidR="001F1047" w:rsidRPr="00813D19">
        <w:rPr>
          <w:bCs/>
          <w:lang w:val="en-US"/>
        </w:rPr>
        <w:t xml:space="preserve">It </w:t>
      </w:r>
      <w:r w:rsidR="001B19A6" w:rsidRPr="00813D19">
        <w:rPr>
          <w:bCs/>
          <w:lang w:val="en-US"/>
        </w:rPr>
        <w:t>concluded by translating a Korean folk song,</w:t>
      </w:r>
      <w:r w:rsidR="008D65A1" w:rsidRPr="00813D19">
        <w:rPr>
          <w:bCs/>
          <w:lang w:val="en-US"/>
        </w:rPr>
        <w:t xml:space="preserve"> “Let’s get together on the day of the festival, uptown, downtown. Let’s </w:t>
      </w:r>
      <w:r w:rsidR="001B19A6" w:rsidRPr="00813D19">
        <w:rPr>
          <w:bCs/>
          <w:lang w:val="en-US"/>
        </w:rPr>
        <w:t>come out and let’s play ssireum</w:t>
      </w:r>
      <w:r w:rsidR="008D65A1" w:rsidRPr="00813D19">
        <w:rPr>
          <w:bCs/>
          <w:lang w:val="en-US"/>
        </w:rPr>
        <w:t>”</w:t>
      </w:r>
      <w:r w:rsidR="001B19A6" w:rsidRPr="00813D19">
        <w:rPr>
          <w:bCs/>
          <w:lang w:val="en-US"/>
        </w:rPr>
        <w:t>.</w:t>
      </w:r>
    </w:p>
    <w:p w14:paraId="7891B0EF" w14:textId="79101225" w:rsidR="001A7ECD" w:rsidRPr="00813D19" w:rsidRDefault="00DE534C" w:rsidP="003E5E64">
      <w:pPr>
        <w:pStyle w:val="Orateurengris"/>
        <w:spacing w:before="120"/>
        <w:ind w:left="709" w:hanging="709"/>
        <w:rPr>
          <w:i/>
          <w:color w:val="000000" w:themeColor="text1"/>
          <w:lang w:val="en-US"/>
        </w:rPr>
      </w:pPr>
      <w:r w:rsidRPr="00813D19">
        <w:rPr>
          <w:color w:val="000000" w:themeColor="text1"/>
          <w:lang w:val="en-US"/>
        </w:rPr>
        <w:t xml:space="preserve">A </w:t>
      </w:r>
      <w:r w:rsidRPr="00813D19">
        <w:rPr>
          <w:b/>
          <w:color w:val="000000" w:themeColor="text1"/>
          <w:lang w:val="en-US"/>
        </w:rPr>
        <w:t xml:space="preserve">Representative of </w:t>
      </w:r>
      <w:r w:rsidR="006903B9">
        <w:rPr>
          <w:b/>
          <w:color w:val="000000" w:themeColor="text1"/>
          <w:lang w:val="en-US"/>
        </w:rPr>
        <w:t xml:space="preserve">the </w:t>
      </w:r>
      <w:r w:rsidR="008D65A1" w:rsidRPr="00813D19">
        <w:rPr>
          <w:b/>
          <w:lang w:val="en-US"/>
        </w:rPr>
        <w:t xml:space="preserve">Cultural Heritage Administration </w:t>
      </w:r>
      <w:r w:rsidR="001A7ECD" w:rsidRPr="00813D19">
        <w:rPr>
          <w:b/>
          <w:lang w:val="en-US"/>
        </w:rPr>
        <w:t xml:space="preserve">(CHA) </w:t>
      </w:r>
      <w:r w:rsidR="008D65A1" w:rsidRPr="00813D19">
        <w:rPr>
          <w:b/>
          <w:lang w:val="en-US"/>
        </w:rPr>
        <w:t>of the Republic of Korea</w:t>
      </w:r>
      <w:r w:rsidRPr="00813D19">
        <w:rPr>
          <w:b/>
          <w:lang w:val="en-US"/>
        </w:rPr>
        <w:t xml:space="preserve"> </w:t>
      </w:r>
      <w:r w:rsidR="007F6957" w:rsidRPr="00813D19">
        <w:rPr>
          <w:lang w:val="en-US"/>
        </w:rPr>
        <w:t xml:space="preserve">was </w:t>
      </w:r>
      <w:r w:rsidR="008D65A1" w:rsidRPr="00813D19">
        <w:rPr>
          <w:lang w:val="en-US"/>
        </w:rPr>
        <w:t xml:space="preserve">very pleased with the </w:t>
      </w:r>
      <w:r w:rsidR="007F6957" w:rsidRPr="00813D19">
        <w:rPr>
          <w:lang w:val="en-US"/>
        </w:rPr>
        <w:t xml:space="preserve">Committee </w:t>
      </w:r>
      <w:r w:rsidR="008D65A1" w:rsidRPr="00813D19">
        <w:rPr>
          <w:lang w:val="en-US"/>
        </w:rPr>
        <w:t xml:space="preserve">decision to inscribe </w:t>
      </w:r>
      <w:r w:rsidR="007F6957" w:rsidRPr="00813D19">
        <w:rPr>
          <w:bCs/>
          <w:lang w:val="en-US"/>
        </w:rPr>
        <w:t>S</w:t>
      </w:r>
      <w:r w:rsidR="008D65A1" w:rsidRPr="00813D19">
        <w:rPr>
          <w:bCs/>
          <w:lang w:val="en-US"/>
        </w:rPr>
        <w:t xml:space="preserve">sireum as a joint nomination on the Representative List. </w:t>
      </w:r>
      <w:r w:rsidR="001A7ECD" w:rsidRPr="00813D19">
        <w:rPr>
          <w:bCs/>
          <w:lang w:val="en-US"/>
        </w:rPr>
        <w:t xml:space="preserve">She </w:t>
      </w:r>
      <w:r w:rsidR="008D65A1" w:rsidRPr="00813D19">
        <w:rPr>
          <w:bCs/>
          <w:lang w:val="en-US"/>
        </w:rPr>
        <w:t>express</w:t>
      </w:r>
      <w:r w:rsidR="001A7ECD" w:rsidRPr="00813D19">
        <w:rPr>
          <w:bCs/>
          <w:lang w:val="en-US"/>
        </w:rPr>
        <w:t>ed</w:t>
      </w:r>
      <w:r w:rsidR="008D65A1" w:rsidRPr="00813D19">
        <w:rPr>
          <w:bCs/>
          <w:lang w:val="en-US"/>
        </w:rPr>
        <w:t xml:space="preserve"> sincere gratitude to the Committee Members for </w:t>
      </w:r>
      <w:r w:rsidR="001A7ECD" w:rsidRPr="00813D19">
        <w:rPr>
          <w:bCs/>
          <w:lang w:val="en-US"/>
        </w:rPr>
        <w:t xml:space="preserve">their </w:t>
      </w:r>
      <w:r w:rsidR="008D65A1" w:rsidRPr="00813D19">
        <w:rPr>
          <w:bCs/>
          <w:lang w:val="en-US"/>
        </w:rPr>
        <w:t xml:space="preserve">heartfelt support and interest in </w:t>
      </w:r>
      <w:r w:rsidR="006903B9" w:rsidRPr="00813D19">
        <w:rPr>
          <w:bCs/>
          <w:lang w:val="en-US"/>
        </w:rPr>
        <w:t>th</w:t>
      </w:r>
      <w:r w:rsidR="006903B9">
        <w:rPr>
          <w:bCs/>
          <w:lang w:val="en-US"/>
        </w:rPr>
        <w:t>e</w:t>
      </w:r>
      <w:r w:rsidR="006903B9" w:rsidRPr="00813D19">
        <w:rPr>
          <w:bCs/>
          <w:lang w:val="en-US"/>
        </w:rPr>
        <w:t xml:space="preserve"> </w:t>
      </w:r>
      <w:r w:rsidR="008D65A1" w:rsidRPr="00813D19">
        <w:rPr>
          <w:bCs/>
          <w:lang w:val="en-US"/>
        </w:rPr>
        <w:t xml:space="preserve">nomination. As </w:t>
      </w:r>
      <w:r w:rsidR="006903B9">
        <w:rPr>
          <w:bCs/>
          <w:lang w:val="en-US"/>
        </w:rPr>
        <w:t xml:space="preserve">an </w:t>
      </w:r>
      <w:r w:rsidR="008D65A1" w:rsidRPr="00813D19">
        <w:rPr>
          <w:bCs/>
          <w:lang w:val="en-US"/>
        </w:rPr>
        <w:t xml:space="preserve">administrator in charge of </w:t>
      </w:r>
      <w:r w:rsidR="001A7ECD" w:rsidRPr="00813D19">
        <w:rPr>
          <w:bCs/>
          <w:lang w:val="en-US"/>
        </w:rPr>
        <w:t xml:space="preserve">the </w:t>
      </w:r>
      <w:r w:rsidR="008D65A1" w:rsidRPr="00813D19">
        <w:rPr>
          <w:bCs/>
          <w:lang w:val="en-US"/>
        </w:rPr>
        <w:t xml:space="preserve">preservation of cultural heritage in the Republic of Korea, the inscription of ssireum </w:t>
      </w:r>
      <w:r w:rsidR="00320ED9" w:rsidRPr="00813D19">
        <w:rPr>
          <w:bCs/>
          <w:lang w:val="en-US"/>
        </w:rPr>
        <w:t xml:space="preserve">was a reminder of the </w:t>
      </w:r>
      <w:r w:rsidR="008D65A1" w:rsidRPr="00813D19">
        <w:rPr>
          <w:bCs/>
          <w:lang w:val="en-US"/>
        </w:rPr>
        <w:t xml:space="preserve">great </w:t>
      </w:r>
      <w:r w:rsidR="001A7ECD" w:rsidRPr="00813D19">
        <w:rPr>
          <w:bCs/>
          <w:lang w:val="en-US"/>
        </w:rPr>
        <w:t>responsibility of</w:t>
      </w:r>
      <w:r w:rsidR="008D65A1" w:rsidRPr="00813D19">
        <w:rPr>
          <w:bCs/>
          <w:lang w:val="en-US"/>
        </w:rPr>
        <w:t xml:space="preserve"> safeguarding </w:t>
      </w:r>
      <w:r w:rsidR="00676C4C" w:rsidRPr="00813D19">
        <w:rPr>
          <w:bCs/>
          <w:lang w:val="en-US"/>
        </w:rPr>
        <w:t xml:space="preserve">intangible cultural heritage in the spirit </w:t>
      </w:r>
      <w:r w:rsidR="008D65A1" w:rsidRPr="00813D19">
        <w:rPr>
          <w:bCs/>
          <w:lang w:val="en-US"/>
        </w:rPr>
        <w:t xml:space="preserve">of the Convention and </w:t>
      </w:r>
      <w:r w:rsidR="00676C4C" w:rsidRPr="00813D19">
        <w:rPr>
          <w:bCs/>
          <w:lang w:val="en-US"/>
        </w:rPr>
        <w:t xml:space="preserve">international cooperation, </w:t>
      </w:r>
      <w:r w:rsidR="008D65A1" w:rsidRPr="00813D19">
        <w:rPr>
          <w:bCs/>
          <w:lang w:val="en-US"/>
        </w:rPr>
        <w:t xml:space="preserve">and </w:t>
      </w:r>
      <w:r w:rsidR="006903B9">
        <w:rPr>
          <w:bCs/>
          <w:lang w:val="en-US"/>
        </w:rPr>
        <w:t xml:space="preserve">the </w:t>
      </w:r>
      <w:r w:rsidR="00676C4C" w:rsidRPr="00813D19">
        <w:rPr>
          <w:bCs/>
          <w:lang w:val="en-US"/>
        </w:rPr>
        <w:t xml:space="preserve">CHA </w:t>
      </w:r>
      <w:r w:rsidR="006903B9" w:rsidRPr="00813D19">
        <w:rPr>
          <w:bCs/>
          <w:lang w:val="en-US"/>
        </w:rPr>
        <w:t>w</w:t>
      </w:r>
      <w:r w:rsidR="006903B9">
        <w:rPr>
          <w:bCs/>
          <w:lang w:val="en-US"/>
        </w:rPr>
        <w:t>ould</w:t>
      </w:r>
      <w:r w:rsidR="006903B9" w:rsidRPr="00813D19">
        <w:rPr>
          <w:bCs/>
          <w:lang w:val="en-US"/>
        </w:rPr>
        <w:t xml:space="preserve"> </w:t>
      </w:r>
      <w:r w:rsidR="008D65A1" w:rsidRPr="00813D19">
        <w:rPr>
          <w:bCs/>
          <w:lang w:val="en-US"/>
        </w:rPr>
        <w:t xml:space="preserve">continue </w:t>
      </w:r>
      <w:r w:rsidR="00676C4C" w:rsidRPr="00813D19">
        <w:rPr>
          <w:bCs/>
          <w:lang w:val="en-US"/>
        </w:rPr>
        <w:t xml:space="preserve">its </w:t>
      </w:r>
      <w:r w:rsidR="008D65A1" w:rsidRPr="00813D19">
        <w:rPr>
          <w:bCs/>
          <w:lang w:val="en-US"/>
        </w:rPr>
        <w:t>effort</w:t>
      </w:r>
      <w:r w:rsidR="00676C4C" w:rsidRPr="00813D19">
        <w:rPr>
          <w:bCs/>
          <w:lang w:val="en-US"/>
        </w:rPr>
        <w:t>s</w:t>
      </w:r>
      <w:r w:rsidR="008D65A1" w:rsidRPr="00813D19">
        <w:rPr>
          <w:bCs/>
          <w:lang w:val="en-US"/>
        </w:rPr>
        <w:t xml:space="preserve"> to safeguard </w:t>
      </w:r>
      <w:r w:rsidR="00676C4C" w:rsidRPr="00813D19">
        <w:rPr>
          <w:bCs/>
          <w:lang w:val="en-US"/>
        </w:rPr>
        <w:t xml:space="preserve">intangible cultural heritage at </w:t>
      </w:r>
      <w:r w:rsidR="008D65A1" w:rsidRPr="00813D19">
        <w:rPr>
          <w:bCs/>
          <w:lang w:val="en-US"/>
        </w:rPr>
        <w:t xml:space="preserve">both </w:t>
      </w:r>
      <w:r w:rsidR="006903B9">
        <w:rPr>
          <w:bCs/>
          <w:lang w:val="en-US"/>
        </w:rPr>
        <w:t xml:space="preserve">the </w:t>
      </w:r>
      <w:r w:rsidR="008D65A1" w:rsidRPr="00813D19">
        <w:rPr>
          <w:bCs/>
          <w:lang w:val="en-US"/>
        </w:rPr>
        <w:t xml:space="preserve">national and international levels. </w:t>
      </w:r>
      <w:r w:rsidR="00676C4C" w:rsidRPr="00813D19">
        <w:rPr>
          <w:bCs/>
          <w:lang w:val="en-US"/>
        </w:rPr>
        <w:t xml:space="preserve">She also expressed </w:t>
      </w:r>
      <w:r w:rsidR="006903B9">
        <w:rPr>
          <w:bCs/>
          <w:lang w:val="en-US"/>
        </w:rPr>
        <w:t xml:space="preserve">her </w:t>
      </w:r>
      <w:r w:rsidR="008D65A1" w:rsidRPr="00813D19">
        <w:rPr>
          <w:bCs/>
          <w:lang w:val="en-US"/>
        </w:rPr>
        <w:t xml:space="preserve">sincere appreciation </w:t>
      </w:r>
      <w:r w:rsidR="006903B9">
        <w:rPr>
          <w:bCs/>
          <w:lang w:val="en-US"/>
        </w:rPr>
        <w:t>to</w:t>
      </w:r>
      <w:r w:rsidR="006903B9" w:rsidRPr="00813D19">
        <w:rPr>
          <w:bCs/>
          <w:lang w:val="en-US"/>
        </w:rPr>
        <w:t xml:space="preserve"> </w:t>
      </w:r>
      <w:r w:rsidR="008D65A1" w:rsidRPr="00813D19">
        <w:rPr>
          <w:bCs/>
          <w:lang w:val="en-US"/>
        </w:rPr>
        <w:t>the delegation of the Democratic People’s Republic of Korea for the utmost endeavour</w:t>
      </w:r>
      <w:r w:rsidR="00676C4C" w:rsidRPr="00813D19">
        <w:rPr>
          <w:bCs/>
          <w:lang w:val="en-US"/>
        </w:rPr>
        <w:t>s</w:t>
      </w:r>
      <w:r w:rsidR="008D65A1" w:rsidRPr="00813D19">
        <w:rPr>
          <w:bCs/>
          <w:lang w:val="en-US"/>
        </w:rPr>
        <w:t xml:space="preserve"> </w:t>
      </w:r>
      <w:r w:rsidR="006903B9">
        <w:rPr>
          <w:bCs/>
          <w:lang w:val="en-US"/>
        </w:rPr>
        <w:t>undertaken</w:t>
      </w:r>
      <w:r w:rsidR="008D65A1" w:rsidRPr="00813D19">
        <w:rPr>
          <w:bCs/>
          <w:lang w:val="en-US"/>
        </w:rPr>
        <w:t xml:space="preserve">. </w:t>
      </w:r>
      <w:r w:rsidR="00676C4C" w:rsidRPr="00813D19">
        <w:rPr>
          <w:bCs/>
          <w:lang w:val="en-US"/>
        </w:rPr>
        <w:t xml:space="preserve">Special thanks went to the </w:t>
      </w:r>
      <w:r w:rsidR="008D65A1" w:rsidRPr="00813D19">
        <w:rPr>
          <w:bCs/>
          <w:lang w:val="en-US"/>
        </w:rPr>
        <w:t xml:space="preserve">Director-General and her staff for their support and </w:t>
      </w:r>
      <w:r w:rsidR="00676C4C" w:rsidRPr="00813D19">
        <w:rPr>
          <w:bCs/>
          <w:lang w:val="en-US"/>
        </w:rPr>
        <w:t xml:space="preserve">for the great outcome, and to </w:t>
      </w:r>
      <w:r w:rsidR="008D65A1" w:rsidRPr="00813D19">
        <w:rPr>
          <w:bCs/>
          <w:lang w:val="en-US"/>
        </w:rPr>
        <w:t>the Republic of Mauritius for hosting this wonderful Commi</w:t>
      </w:r>
      <w:r w:rsidR="001A7ECD" w:rsidRPr="00813D19">
        <w:rPr>
          <w:bCs/>
          <w:lang w:val="en-US"/>
        </w:rPr>
        <w:t>ttee and for their hospitality</w:t>
      </w:r>
      <w:r w:rsidR="00676C4C" w:rsidRPr="00813D19">
        <w:rPr>
          <w:bCs/>
          <w:lang w:val="en-US"/>
        </w:rPr>
        <w:t>.</w:t>
      </w:r>
    </w:p>
    <w:p w14:paraId="22DEDE19" w14:textId="6E57DF0F" w:rsidR="006D6DAC" w:rsidRPr="00813D19" w:rsidRDefault="006D6DAC" w:rsidP="00B67A60">
      <w:pPr>
        <w:pStyle w:val="Orateurengris"/>
        <w:numPr>
          <w:ilvl w:val="0"/>
          <w:numId w:val="0"/>
        </w:numPr>
        <w:spacing w:before="240" w:after="240"/>
        <w:jc w:val="center"/>
        <w:rPr>
          <w:i/>
          <w:color w:val="000000" w:themeColor="text1"/>
          <w:lang w:val="en-US"/>
        </w:rPr>
      </w:pPr>
      <w:r w:rsidRPr="00813D19">
        <w:rPr>
          <w:i/>
          <w:color w:val="000000" w:themeColor="text1"/>
          <w:lang w:val="en-US"/>
        </w:rPr>
        <w:t xml:space="preserve">[Photo call </w:t>
      </w:r>
      <w:r w:rsidR="00C70CEE" w:rsidRPr="00813D19">
        <w:rPr>
          <w:i/>
          <w:color w:val="000000" w:themeColor="text1"/>
          <w:lang w:val="en-US"/>
        </w:rPr>
        <w:t>with</w:t>
      </w:r>
      <w:r w:rsidR="00572CF6" w:rsidRPr="00813D19">
        <w:rPr>
          <w:i/>
          <w:color w:val="000000" w:themeColor="text1"/>
          <w:lang w:val="en-US"/>
        </w:rPr>
        <w:t xml:space="preserve"> the Director-General w</w:t>
      </w:r>
      <w:r w:rsidR="001A7ECD" w:rsidRPr="00813D19">
        <w:rPr>
          <w:i/>
          <w:color w:val="000000" w:themeColor="text1"/>
          <w:lang w:val="en-US"/>
        </w:rPr>
        <w:t>i</w:t>
      </w:r>
      <w:r w:rsidR="00572CF6" w:rsidRPr="00813D19">
        <w:rPr>
          <w:i/>
          <w:color w:val="000000" w:themeColor="text1"/>
          <w:lang w:val="en-US"/>
        </w:rPr>
        <w:t xml:space="preserve">th </w:t>
      </w:r>
      <w:r w:rsidRPr="00813D19">
        <w:rPr>
          <w:i/>
          <w:color w:val="000000" w:themeColor="text1"/>
          <w:lang w:val="en-US"/>
        </w:rPr>
        <w:t xml:space="preserve">the </w:t>
      </w:r>
      <w:r w:rsidR="00572CF6" w:rsidRPr="00813D19">
        <w:rPr>
          <w:i/>
          <w:color w:val="000000" w:themeColor="text1"/>
          <w:lang w:val="en-US"/>
        </w:rPr>
        <w:t xml:space="preserve">Korean </w:t>
      </w:r>
      <w:r w:rsidRPr="00813D19">
        <w:rPr>
          <w:i/>
          <w:color w:val="000000" w:themeColor="text1"/>
          <w:lang w:val="en-US"/>
        </w:rPr>
        <w:t>delegations]</w:t>
      </w:r>
    </w:p>
    <w:p w14:paraId="412677E9" w14:textId="78950049" w:rsidR="008B0734" w:rsidRPr="00B67A60" w:rsidRDefault="00FD07C6" w:rsidP="00CD632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9A0EE5" w:rsidRPr="00813D19">
        <w:rPr>
          <w:color w:val="000000" w:themeColor="text1"/>
          <w:lang w:val="en-US"/>
        </w:rPr>
        <w:t xml:space="preserve">announced </w:t>
      </w:r>
      <w:r w:rsidR="00421910" w:rsidRPr="00813D19">
        <w:rPr>
          <w:color w:val="000000" w:themeColor="text1"/>
          <w:lang w:val="en-US"/>
        </w:rPr>
        <w:t xml:space="preserve">that a </w:t>
      </w:r>
      <w:r w:rsidR="009A0EE5" w:rsidRPr="00813D19">
        <w:rPr>
          <w:color w:val="000000" w:themeColor="text1"/>
          <w:lang w:val="en-US"/>
        </w:rPr>
        <w:t xml:space="preserve">press conference </w:t>
      </w:r>
      <w:r w:rsidR="00421910" w:rsidRPr="00813D19">
        <w:rPr>
          <w:color w:val="000000" w:themeColor="text1"/>
          <w:lang w:val="en-US"/>
        </w:rPr>
        <w:t xml:space="preserve">would take place </w:t>
      </w:r>
      <w:r w:rsidR="009A0EE5" w:rsidRPr="00813D19">
        <w:rPr>
          <w:color w:val="000000" w:themeColor="text1"/>
          <w:lang w:val="en-US"/>
        </w:rPr>
        <w:t xml:space="preserve">during the lunch break, </w:t>
      </w:r>
      <w:r w:rsidR="00421910" w:rsidRPr="00813D19">
        <w:rPr>
          <w:color w:val="000000" w:themeColor="text1"/>
          <w:lang w:val="en-US"/>
        </w:rPr>
        <w:t xml:space="preserve">as well as </w:t>
      </w:r>
      <w:r w:rsidR="00A8688C" w:rsidRPr="00813D19">
        <w:rPr>
          <w:color w:val="000000" w:themeColor="text1"/>
          <w:lang w:val="en-US"/>
        </w:rPr>
        <w:t xml:space="preserve">the launch of the </w:t>
      </w:r>
      <w:r w:rsidR="00421910" w:rsidRPr="00813D19">
        <w:rPr>
          <w:color w:val="000000" w:themeColor="text1"/>
          <w:lang w:val="en-US"/>
        </w:rPr>
        <w:t>‘Di</w:t>
      </w:r>
      <w:r w:rsidR="00421910" w:rsidRPr="00813D19">
        <w:rPr>
          <w:lang w:val="en-US"/>
        </w:rPr>
        <w:t>ve into intangible Cultural Heritage’,</w:t>
      </w:r>
      <w:r w:rsidR="006903B9">
        <w:rPr>
          <w:lang w:val="en-US"/>
        </w:rPr>
        <w:t xml:space="preserve"> a</w:t>
      </w:r>
      <w:r w:rsidR="00421910" w:rsidRPr="00813D19">
        <w:rPr>
          <w:lang w:val="en-US"/>
        </w:rPr>
        <w:t xml:space="preserve"> </w:t>
      </w:r>
      <w:r w:rsidR="00A8688C" w:rsidRPr="00813D19">
        <w:rPr>
          <w:color w:val="000000" w:themeColor="text1"/>
          <w:lang w:val="en-US"/>
        </w:rPr>
        <w:t>project</w:t>
      </w:r>
      <w:r w:rsidR="00421910" w:rsidRPr="00813D19">
        <w:rPr>
          <w:color w:val="000000" w:themeColor="text1"/>
          <w:lang w:val="en-US"/>
        </w:rPr>
        <w:t xml:space="preserve"> </w:t>
      </w:r>
      <w:r w:rsidR="00421910" w:rsidRPr="00813D19">
        <w:rPr>
          <w:bCs/>
          <w:lang w:val="en-US"/>
        </w:rPr>
        <w:t>presented by the Assistan</w:t>
      </w:r>
      <w:r w:rsidR="00C70CEE" w:rsidRPr="00813D19">
        <w:rPr>
          <w:bCs/>
          <w:lang w:val="en-US"/>
        </w:rPr>
        <w:t>t Director-General for Culture.</w:t>
      </w:r>
      <w:r w:rsidR="009A0EE5" w:rsidRPr="003221D5">
        <w:rPr>
          <w:bCs/>
          <w:color w:val="000000" w:themeColor="text1"/>
          <w:lang w:val="en-US"/>
        </w:rPr>
        <w:t xml:space="preserve"> </w:t>
      </w:r>
      <w:r w:rsidR="00421910" w:rsidRPr="00813D19">
        <w:rPr>
          <w:bCs/>
          <w:lang w:val="en-US"/>
        </w:rPr>
        <w:t xml:space="preserve">The </w:t>
      </w:r>
      <w:r w:rsidR="004049E2" w:rsidRPr="00813D19">
        <w:rPr>
          <w:bCs/>
          <w:lang w:val="en-US"/>
        </w:rPr>
        <w:t xml:space="preserve">afternoon </w:t>
      </w:r>
      <w:r w:rsidR="00421910" w:rsidRPr="00813D19">
        <w:rPr>
          <w:bCs/>
          <w:lang w:val="en-US"/>
        </w:rPr>
        <w:t>session would resume with agenda item 5</w:t>
      </w:r>
      <w:r w:rsidR="004049E2" w:rsidRPr="00813D19">
        <w:rPr>
          <w:bCs/>
          <w:lang w:val="en-US"/>
        </w:rPr>
        <w:t xml:space="preserve">. The press conference </w:t>
      </w:r>
      <w:r w:rsidR="00421910" w:rsidRPr="00813D19">
        <w:rPr>
          <w:bCs/>
          <w:lang w:val="en-US"/>
        </w:rPr>
        <w:t xml:space="preserve">was </w:t>
      </w:r>
      <w:r w:rsidR="004049E2" w:rsidRPr="00813D19">
        <w:rPr>
          <w:bCs/>
          <w:lang w:val="en-US"/>
        </w:rPr>
        <w:t xml:space="preserve">organized in two parts: the first part </w:t>
      </w:r>
      <w:r w:rsidR="006903B9">
        <w:rPr>
          <w:bCs/>
          <w:lang w:val="en-US"/>
        </w:rPr>
        <w:t xml:space="preserve">was </w:t>
      </w:r>
      <w:r w:rsidR="004049E2" w:rsidRPr="00813D19">
        <w:rPr>
          <w:bCs/>
          <w:lang w:val="en-US"/>
        </w:rPr>
        <w:t>dedicated to the joint inscription on the Representative List of</w:t>
      </w:r>
      <w:r w:rsidR="00421910" w:rsidRPr="00813D19">
        <w:rPr>
          <w:bCs/>
          <w:lang w:val="en-US"/>
        </w:rPr>
        <w:t xml:space="preserve"> T</w:t>
      </w:r>
      <w:r w:rsidR="004049E2" w:rsidRPr="00813D19">
        <w:rPr>
          <w:bCs/>
          <w:lang w:val="en-US"/>
        </w:rPr>
        <w:t xml:space="preserve">raditional Korean wrestling </w:t>
      </w:r>
      <w:r w:rsidR="00421910" w:rsidRPr="00813D19">
        <w:rPr>
          <w:bCs/>
          <w:lang w:val="en-US"/>
        </w:rPr>
        <w:t>(Ssirum/S</w:t>
      </w:r>
      <w:r w:rsidR="004049E2" w:rsidRPr="00813D19">
        <w:rPr>
          <w:bCs/>
          <w:lang w:val="en-US"/>
        </w:rPr>
        <w:t>sireum</w:t>
      </w:r>
      <w:r w:rsidR="00421910" w:rsidRPr="00813D19">
        <w:rPr>
          <w:bCs/>
          <w:lang w:val="en-US"/>
        </w:rPr>
        <w:t>)</w:t>
      </w:r>
      <w:r w:rsidR="004049E2" w:rsidRPr="00813D19">
        <w:rPr>
          <w:bCs/>
          <w:lang w:val="en-US"/>
        </w:rPr>
        <w:t xml:space="preserve"> in the presence of </w:t>
      </w:r>
      <w:r w:rsidR="00421910" w:rsidRPr="00813D19">
        <w:rPr>
          <w:bCs/>
          <w:lang w:val="en-US"/>
        </w:rPr>
        <w:t xml:space="preserve">the </w:t>
      </w:r>
      <w:r w:rsidR="004049E2" w:rsidRPr="00813D19">
        <w:rPr>
          <w:bCs/>
          <w:lang w:val="en-US"/>
        </w:rPr>
        <w:t xml:space="preserve">Director-General and representatives from both </w:t>
      </w:r>
      <w:r w:rsidR="00421910" w:rsidRPr="00813D19">
        <w:rPr>
          <w:bCs/>
          <w:lang w:val="en-US"/>
        </w:rPr>
        <w:t>Koreas</w:t>
      </w:r>
      <w:r w:rsidR="006903B9">
        <w:rPr>
          <w:bCs/>
          <w:lang w:val="en-US"/>
        </w:rPr>
        <w:t>,</w:t>
      </w:r>
      <w:r w:rsidR="004049E2" w:rsidRPr="00813D19">
        <w:rPr>
          <w:bCs/>
          <w:lang w:val="en-US"/>
        </w:rPr>
        <w:t xml:space="preserve"> </w:t>
      </w:r>
      <w:r w:rsidR="00421910" w:rsidRPr="00813D19">
        <w:rPr>
          <w:bCs/>
          <w:lang w:val="en-US"/>
        </w:rPr>
        <w:t xml:space="preserve">and </w:t>
      </w:r>
      <w:r w:rsidR="004049E2" w:rsidRPr="00813D19">
        <w:rPr>
          <w:bCs/>
          <w:lang w:val="en-US"/>
        </w:rPr>
        <w:t xml:space="preserve">the second part </w:t>
      </w:r>
      <w:r w:rsidR="006903B9">
        <w:rPr>
          <w:bCs/>
          <w:lang w:val="en-US"/>
        </w:rPr>
        <w:t xml:space="preserve">focused </w:t>
      </w:r>
      <w:r w:rsidR="004049E2" w:rsidRPr="00813D19">
        <w:rPr>
          <w:bCs/>
          <w:lang w:val="en-US"/>
        </w:rPr>
        <w:t xml:space="preserve">on other important issues on the agenda. </w:t>
      </w:r>
      <w:r w:rsidR="00C70CEE" w:rsidRPr="00813D19">
        <w:rPr>
          <w:bCs/>
          <w:lang w:val="en-US"/>
        </w:rPr>
        <w:t xml:space="preserve">A </w:t>
      </w:r>
      <w:r w:rsidR="00421910" w:rsidRPr="00813D19">
        <w:rPr>
          <w:bCs/>
          <w:lang w:val="en-US"/>
        </w:rPr>
        <w:t xml:space="preserve">meeting of the </w:t>
      </w:r>
      <w:r w:rsidR="004049E2" w:rsidRPr="00813D19">
        <w:rPr>
          <w:bCs/>
          <w:lang w:val="en-US"/>
        </w:rPr>
        <w:t>Arab Group</w:t>
      </w:r>
      <w:r w:rsidR="00C70CEE" w:rsidRPr="00813D19">
        <w:rPr>
          <w:bCs/>
          <w:lang w:val="en-US"/>
        </w:rPr>
        <w:t xml:space="preserve"> was also announced</w:t>
      </w:r>
      <w:r w:rsidR="00B67A60">
        <w:rPr>
          <w:bCs/>
          <w:lang w:val="en-US"/>
        </w:rPr>
        <w:t>.</w:t>
      </w:r>
    </w:p>
    <w:p w14:paraId="22B675FF" w14:textId="2DA3E562" w:rsidR="006D68E2" w:rsidRPr="00813D19" w:rsidRDefault="006D68E2" w:rsidP="00885C1C">
      <w:pPr>
        <w:pStyle w:val="Orateurengris"/>
        <w:numPr>
          <w:ilvl w:val="0"/>
          <w:numId w:val="0"/>
        </w:numPr>
        <w:spacing w:before="240" w:after="240"/>
        <w:jc w:val="center"/>
        <w:outlineLvl w:val="0"/>
        <w:rPr>
          <w:i/>
          <w:color w:val="000000" w:themeColor="text1"/>
          <w:lang w:val="en-US"/>
        </w:rPr>
      </w:pPr>
      <w:r w:rsidRPr="00813D19">
        <w:rPr>
          <w:i/>
          <w:color w:val="000000" w:themeColor="text1"/>
          <w:lang w:val="en-US"/>
        </w:rPr>
        <w:t xml:space="preserve">[Monday, </w:t>
      </w:r>
      <w:r w:rsidR="002018FA" w:rsidRPr="00813D19">
        <w:rPr>
          <w:i/>
          <w:iCs/>
          <w:color w:val="000000" w:themeColor="text1"/>
          <w:lang w:val="en-US"/>
        </w:rPr>
        <w:t>26</w:t>
      </w:r>
      <w:r w:rsidRPr="00813D19">
        <w:rPr>
          <w:i/>
          <w:iCs/>
          <w:color w:val="000000" w:themeColor="text1"/>
          <w:lang w:val="en-US"/>
        </w:rPr>
        <w:t xml:space="preserve"> </w:t>
      </w:r>
      <w:r w:rsidR="002018FA" w:rsidRPr="00813D19">
        <w:rPr>
          <w:i/>
          <w:iCs/>
          <w:color w:val="000000" w:themeColor="text1"/>
          <w:lang w:val="en-US"/>
        </w:rPr>
        <w:t xml:space="preserve">November </w:t>
      </w:r>
      <w:r w:rsidR="002018FA" w:rsidRPr="00813D19">
        <w:rPr>
          <w:rFonts w:eastAsia="Malgun Gothic"/>
          <w:i/>
          <w:iCs/>
          <w:color w:val="000000" w:themeColor="text1"/>
          <w:lang w:val="en-US" w:eastAsia="ko-KR"/>
        </w:rPr>
        <w:t>2018</w:t>
      </w:r>
      <w:r w:rsidRPr="00813D19">
        <w:rPr>
          <w:i/>
          <w:iCs/>
          <w:color w:val="000000" w:themeColor="text1"/>
          <w:lang w:val="en-US"/>
        </w:rPr>
        <w:t xml:space="preserve">, </w:t>
      </w:r>
      <w:r w:rsidRPr="00813D19">
        <w:rPr>
          <w:i/>
          <w:color w:val="000000" w:themeColor="text1"/>
          <w:lang w:val="en-US"/>
        </w:rPr>
        <w:t>afternoon session]</w:t>
      </w:r>
    </w:p>
    <w:p w14:paraId="4E832809" w14:textId="445443EE" w:rsidR="006E4306" w:rsidRPr="00813D19" w:rsidRDefault="00903550" w:rsidP="00B67A60">
      <w:pPr>
        <w:pStyle w:val="Orateurengris"/>
        <w:numPr>
          <w:ilvl w:val="0"/>
          <w:numId w:val="0"/>
        </w:numPr>
        <w:spacing w:before="360" w:after="60"/>
        <w:outlineLvl w:val="0"/>
        <w:rPr>
          <w:b/>
          <w:color w:val="000000" w:themeColor="text1"/>
          <w:u w:val="single"/>
          <w:lang w:val="en-US"/>
        </w:rPr>
      </w:pPr>
      <w:r w:rsidRPr="00813D19">
        <w:rPr>
          <w:b/>
          <w:color w:val="000000" w:themeColor="text1"/>
          <w:u w:val="single"/>
          <w:lang w:val="en-US"/>
        </w:rPr>
        <w:t>ITEM 5 OF THE AGENDA [CONT.]</w:t>
      </w:r>
    </w:p>
    <w:p w14:paraId="4FA43E7A" w14:textId="51086F51" w:rsidR="006E4306" w:rsidRPr="00813D19" w:rsidRDefault="006E4306" w:rsidP="00B67A60">
      <w:pPr>
        <w:pStyle w:val="Orateurengris"/>
        <w:numPr>
          <w:ilvl w:val="0"/>
          <w:numId w:val="0"/>
        </w:numPr>
        <w:outlineLvl w:val="1"/>
        <w:rPr>
          <w:b/>
          <w:color w:val="000000" w:themeColor="text1"/>
          <w:lang w:val="en-US"/>
        </w:rPr>
      </w:pPr>
      <w:r w:rsidRPr="00813D19">
        <w:rPr>
          <w:b/>
          <w:color w:val="000000" w:themeColor="text1"/>
          <w:lang w:val="en-US"/>
        </w:rPr>
        <w:t>REPORT BY THE SECRETARIAT ON ITS ACTIVITIES</w:t>
      </w:r>
    </w:p>
    <w:p w14:paraId="44C02488" w14:textId="6D98F9AF" w:rsidR="000736AD" w:rsidRPr="00813D19" w:rsidRDefault="00E141D0" w:rsidP="00A23194">
      <w:pPr>
        <w:pStyle w:val="Orateurengris"/>
        <w:spacing w:after="0"/>
        <w:ind w:left="709" w:hanging="709"/>
        <w:rPr>
          <w:bCs/>
          <w:lang w:val="en-US"/>
        </w:rPr>
      </w:pPr>
      <w:r w:rsidRPr="00813D19">
        <w:rPr>
          <w:bCs/>
          <w:lang w:val="en-US"/>
        </w:rPr>
        <w:t xml:space="preserve">Following a morning session that had </w:t>
      </w:r>
      <w:r w:rsidR="006903B9">
        <w:rPr>
          <w:bCs/>
          <w:lang w:val="en-US"/>
        </w:rPr>
        <w:t>made</w:t>
      </w:r>
      <w:r w:rsidR="006903B9" w:rsidRPr="00813D19">
        <w:rPr>
          <w:bCs/>
          <w:lang w:val="en-US"/>
        </w:rPr>
        <w:t xml:space="preserve"> </w:t>
      </w:r>
      <w:r w:rsidRPr="00813D19">
        <w:rPr>
          <w:bCs/>
          <w:lang w:val="en-US"/>
        </w:rPr>
        <w:t>history,</w:t>
      </w:r>
      <w:r w:rsidRPr="00813D19">
        <w:rPr>
          <w:color w:val="000000" w:themeColor="text1"/>
          <w:lang w:val="en-US"/>
        </w:rPr>
        <w:t xml:space="preserve"> t</w:t>
      </w:r>
      <w:r w:rsidR="006E4306" w:rsidRPr="00813D19">
        <w:rPr>
          <w:color w:val="000000" w:themeColor="text1"/>
          <w:lang w:val="en-US"/>
        </w:rPr>
        <w:t xml:space="preserve">he </w:t>
      </w:r>
      <w:r w:rsidR="00421910" w:rsidRPr="00813D19">
        <w:rPr>
          <w:b/>
          <w:color w:val="000000" w:themeColor="text1"/>
          <w:lang w:val="en-US"/>
        </w:rPr>
        <w:t>Chairperson</w:t>
      </w:r>
      <w:r w:rsidR="00421910" w:rsidRPr="00813D19">
        <w:rPr>
          <w:color w:val="000000" w:themeColor="text1"/>
          <w:lang w:val="en-US"/>
        </w:rPr>
        <w:t xml:space="preserve"> </w:t>
      </w:r>
      <w:r w:rsidR="00363BB7" w:rsidRPr="00813D19">
        <w:rPr>
          <w:bCs/>
          <w:lang w:val="en-US"/>
        </w:rPr>
        <w:t>opened the afternoon session</w:t>
      </w:r>
      <w:r w:rsidRPr="00813D19">
        <w:rPr>
          <w:bCs/>
          <w:lang w:val="en-US"/>
        </w:rPr>
        <w:t xml:space="preserve"> and </w:t>
      </w:r>
      <w:r w:rsidR="00363BB7" w:rsidRPr="00813D19">
        <w:rPr>
          <w:bCs/>
          <w:lang w:val="en-US"/>
        </w:rPr>
        <w:t>turn</w:t>
      </w:r>
      <w:r w:rsidRPr="00813D19">
        <w:rPr>
          <w:bCs/>
          <w:lang w:val="en-US"/>
        </w:rPr>
        <w:t>ed</w:t>
      </w:r>
      <w:r w:rsidR="00363BB7" w:rsidRPr="00813D19">
        <w:rPr>
          <w:bCs/>
          <w:lang w:val="en-US"/>
        </w:rPr>
        <w:t xml:space="preserve"> </w:t>
      </w:r>
      <w:r w:rsidR="00421910" w:rsidRPr="00813D19">
        <w:rPr>
          <w:bCs/>
          <w:lang w:val="en-US"/>
        </w:rPr>
        <w:t xml:space="preserve">to </w:t>
      </w:r>
      <w:r w:rsidR="00363BB7" w:rsidRPr="00813D19">
        <w:rPr>
          <w:bCs/>
          <w:lang w:val="en-US"/>
        </w:rPr>
        <w:t xml:space="preserve">agenda </w:t>
      </w:r>
      <w:r w:rsidR="00421910" w:rsidRPr="00813D19">
        <w:rPr>
          <w:bCs/>
          <w:lang w:val="en-US"/>
        </w:rPr>
        <w:t>item 5</w:t>
      </w:r>
      <w:r w:rsidRPr="00813D19">
        <w:rPr>
          <w:bCs/>
          <w:lang w:val="en-US"/>
        </w:rPr>
        <w:t>,</w:t>
      </w:r>
      <w:r w:rsidR="00363BB7" w:rsidRPr="00813D19">
        <w:rPr>
          <w:bCs/>
          <w:lang w:val="en-US"/>
        </w:rPr>
        <w:t xml:space="preserve"> </w:t>
      </w:r>
      <w:r w:rsidRPr="00813D19">
        <w:rPr>
          <w:bCs/>
          <w:lang w:val="en-US"/>
        </w:rPr>
        <w:t>noting</w:t>
      </w:r>
      <w:r w:rsidR="00363BB7" w:rsidRPr="00813D19">
        <w:rPr>
          <w:bCs/>
          <w:lang w:val="en-US"/>
        </w:rPr>
        <w:t xml:space="preserve"> </w:t>
      </w:r>
      <w:r w:rsidR="00421910" w:rsidRPr="00813D19">
        <w:rPr>
          <w:bCs/>
          <w:lang w:val="en-US"/>
        </w:rPr>
        <w:t xml:space="preserve">five Members </w:t>
      </w:r>
      <w:r w:rsidR="006903B9">
        <w:rPr>
          <w:bCs/>
          <w:lang w:val="en-US"/>
        </w:rPr>
        <w:t>that wished</w:t>
      </w:r>
      <w:r w:rsidR="006903B9" w:rsidRPr="00813D19">
        <w:rPr>
          <w:bCs/>
          <w:lang w:val="en-US"/>
        </w:rPr>
        <w:t xml:space="preserve"> </w:t>
      </w:r>
      <w:r w:rsidR="00363BB7" w:rsidRPr="00813D19">
        <w:rPr>
          <w:bCs/>
          <w:lang w:val="en-US"/>
        </w:rPr>
        <w:t>to speak</w:t>
      </w:r>
      <w:r w:rsidR="00B67A60">
        <w:rPr>
          <w:bCs/>
          <w:lang w:val="en-US"/>
        </w:rPr>
        <w:t>.</w:t>
      </w:r>
    </w:p>
    <w:p w14:paraId="5B50FE39" w14:textId="2D7EE527" w:rsidR="006E4306" w:rsidRPr="00813D19" w:rsidRDefault="00363BB7" w:rsidP="000736AD">
      <w:pPr>
        <w:pStyle w:val="Orateurengris"/>
        <w:spacing w:before="120"/>
        <w:ind w:left="709" w:hanging="709"/>
        <w:rPr>
          <w:bCs/>
          <w:lang w:val="en-US"/>
        </w:rPr>
      </w:pPr>
      <w:r w:rsidRPr="00813D19">
        <w:rPr>
          <w:color w:val="000000" w:themeColor="text1"/>
          <w:lang w:val="en-US"/>
        </w:rPr>
        <w:t>The</w:t>
      </w:r>
      <w:r w:rsidRPr="00813D19">
        <w:rPr>
          <w:b/>
          <w:color w:val="000000" w:themeColor="text1"/>
          <w:lang w:val="en-US"/>
        </w:rPr>
        <w:t xml:space="preserve"> </w:t>
      </w:r>
      <w:r w:rsidR="006E4306" w:rsidRPr="00813D19">
        <w:rPr>
          <w:b/>
          <w:color w:val="000000" w:themeColor="text1"/>
          <w:lang w:val="en-US"/>
        </w:rPr>
        <w:t>Secretary</w:t>
      </w:r>
      <w:r w:rsidR="006E4306" w:rsidRPr="00813D19">
        <w:rPr>
          <w:color w:val="000000" w:themeColor="text1"/>
          <w:lang w:val="en-US"/>
        </w:rPr>
        <w:t xml:space="preserve"> </w:t>
      </w:r>
      <w:r w:rsidR="00F10CCC" w:rsidRPr="00813D19">
        <w:rPr>
          <w:bCs/>
          <w:lang w:val="en-US"/>
        </w:rPr>
        <w:t xml:space="preserve">thanked the Committee Members for the earlier </w:t>
      </w:r>
      <w:r w:rsidR="00116C65" w:rsidRPr="00813D19">
        <w:rPr>
          <w:bCs/>
          <w:lang w:val="en-US"/>
        </w:rPr>
        <w:t>encouraging comments</w:t>
      </w:r>
      <w:r w:rsidR="00F10CCC" w:rsidRPr="00813D19">
        <w:rPr>
          <w:bCs/>
          <w:lang w:val="en-US"/>
        </w:rPr>
        <w:t xml:space="preserve">, </w:t>
      </w:r>
      <w:r w:rsidR="00116C65" w:rsidRPr="00813D19">
        <w:rPr>
          <w:bCs/>
          <w:lang w:val="en-US"/>
        </w:rPr>
        <w:t>particular</w:t>
      </w:r>
      <w:r w:rsidR="00F10CCC" w:rsidRPr="00813D19">
        <w:rPr>
          <w:bCs/>
          <w:lang w:val="en-US"/>
        </w:rPr>
        <w:t>ly</w:t>
      </w:r>
      <w:r w:rsidR="005459FA" w:rsidRPr="00813D19">
        <w:rPr>
          <w:bCs/>
          <w:lang w:val="en-US"/>
        </w:rPr>
        <w:t xml:space="preserve"> the</w:t>
      </w:r>
      <w:r w:rsidR="00116C65" w:rsidRPr="00813D19">
        <w:rPr>
          <w:bCs/>
          <w:lang w:val="en-US"/>
        </w:rPr>
        <w:t xml:space="preserve"> new Committee Members who </w:t>
      </w:r>
      <w:r w:rsidR="00F10CCC" w:rsidRPr="00813D19">
        <w:rPr>
          <w:bCs/>
          <w:lang w:val="en-US"/>
        </w:rPr>
        <w:t>pledged</w:t>
      </w:r>
      <w:r w:rsidR="00116C65" w:rsidRPr="00813D19">
        <w:rPr>
          <w:bCs/>
          <w:lang w:val="en-US"/>
        </w:rPr>
        <w:t xml:space="preserve"> support for </w:t>
      </w:r>
      <w:r w:rsidR="00F10CCC" w:rsidRPr="00813D19">
        <w:rPr>
          <w:bCs/>
          <w:lang w:val="en-US"/>
        </w:rPr>
        <w:t xml:space="preserve">the Secretariat’s work </w:t>
      </w:r>
      <w:r w:rsidR="00116C65" w:rsidRPr="00813D19">
        <w:rPr>
          <w:bCs/>
          <w:lang w:val="en-US"/>
        </w:rPr>
        <w:t xml:space="preserve">going forward. </w:t>
      </w:r>
      <w:r w:rsidR="00F10CCC" w:rsidRPr="00813D19">
        <w:rPr>
          <w:bCs/>
          <w:lang w:val="en-US"/>
        </w:rPr>
        <w:t>It was noted that t</w:t>
      </w:r>
      <w:r w:rsidR="00116C65" w:rsidRPr="00813D19">
        <w:rPr>
          <w:bCs/>
          <w:lang w:val="en-US"/>
        </w:rPr>
        <w:t>her</w:t>
      </w:r>
      <w:r w:rsidR="00F10CCC" w:rsidRPr="00813D19">
        <w:rPr>
          <w:bCs/>
          <w:lang w:val="en-US"/>
        </w:rPr>
        <w:t>e were three specific questions</w:t>
      </w:r>
      <w:r w:rsidR="00A5458B">
        <w:rPr>
          <w:bCs/>
          <w:lang w:val="en-US"/>
        </w:rPr>
        <w:t>, one</w:t>
      </w:r>
      <w:r w:rsidR="00F10CCC" w:rsidRPr="00813D19">
        <w:rPr>
          <w:bCs/>
          <w:lang w:val="en-US"/>
        </w:rPr>
        <w:t xml:space="preserve"> </w:t>
      </w:r>
      <w:r w:rsidR="00116C65" w:rsidRPr="00813D19">
        <w:rPr>
          <w:bCs/>
          <w:lang w:val="en-US"/>
        </w:rPr>
        <w:t xml:space="preserve">from Austria and two from the Philippines. Austria </w:t>
      </w:r>
      <w:r w:rsidR="00F10CCC" w:rsidRPr="00813D19">
        <w:rPr>
          <w:bCs/>
          <w:lang w:val="en-US"/>
        </w:rPr>
        <w:t xml:space="preserve">sought to hear more about </w:t>
      </w:r>
      <w:r w:rsidR="00116C65" w:rsidRPr="00813D19">
        <w:rPr>
          <w:bCs/>
          <w:lang w:val="en-US"/>
        </w:rPr>
        <w:t>the partnership approach to the capacity-building programme and how that would work</w:t>
      </w:r>
      <w:r w:rsidR="00F10CCC" w:rsidRPr="00813D19">
        <w:rPr>
          <w:bCs/>
          <w:lang w:val="en-US"/>
        </w:rPr>
        <w:t>.</w:t>
      </w:r>
      <w:r w:rsidR="00116C65" w:rsidRPr="00813D19">
        <w:rPr>
          <w:bCs/>
          <w:lang w:val="en-US"/>
        </w:rPr>
        <w:t xml:space="preserve"> </w:t>
      </w:r>
      <w:r w:rsidR="00F10CCC" w:rsidRPr="00813D19">
        <w:rPr>
          <w:bCs/>
          <w:lang w:val="en-US"/>
        </w:rPr>
        <w:t xml:space="preserve">The Secretary explained that it was still too </w:t>
      </w:r>
      <w:r w:rsidR="00116C65" w:rsidRPr="00813D19">
        <w:rPr>
          <w:bCs/>
          <w:lang w:val="en-US"/>
        </w:rPr>
        <w:t xml:space="preserve">early to give </w:t>
      </w:r>
      <w:r w:rsidR="00F10CCC" w:rsidRPr="00813D19">
        <w:rPr>
          <w:bCs/>
          <w:lang w:val="en-US"/>
        </w:rPr>
        <w:t xml:space="preserve">an exact status of the situation </w:t>
      </w:r>
      <w:r w:rsidR="006903B9">
        <w:rPr>
          <w:bCs/>
          <w:lang w:val="en-US"/>
        </w:rPr>
        <w:t>even though</w:t>
      </w:r>
      <w:r w:rsidR="006903B9" w:rsidRPr="00813D19">
        <w:rPr>
          <w:bCs/>
          <w:lang w:val="en-US"/>
        </w:rPr>
        <w:t xml:space="preserve"> </w:t>
      </w:r>
      <w:r w:rsidR="00F10CCC" w:rsidRPr="00813D19">
        <w:rPr>
          <w:bCs/>
          <w:lang w:val="en-US"/>
        </w:rPr>
        <w:t xml:space="preserve">a </w:t>
      </w:r>
      <w:r w:rsidR="00116C65" w:rsidRPr="00813D19">
        <w:rPr>
          <w:bCs/>
          <w:lang w:val="en-US"/>
        </w:rPr>
        <w:t xml:space="preserve">partner </w:t>
      </w:r>
      <w:r w:rsidR="006903B9">
        <w:rPr>
          <w:bCs/>
          <w:lang w:val="en-US"/>
        </w:rPr>
        <w:t xml:space="preserve">had </w:t>
      </w:r>
      <w:r w:rsidR="005459FA" w:rsidRPr="00813D19">
        <w:rPr>
          <w:bCs/>
          <w:lang w:val="en-US"/>
        </w:rPr>
        <w:t>re</w:t>
      </w:r>
      <w:r w:rsidR="00F10CCC" w:rsidRPr="00813D19">
        <w:rPr>
          <w:bCs/>
          <w:lang w:val="en-US"/>
        </w:rPr>
        <w:t>c</w:t>
      </w:r>
      <w:r w:rsidR="005459FA" w:rsidRPr="00813D19">
        <w:rPr>
          <w:bCs/>
          <w:lang w:val="en-US"/>
        </w:rPr>
        <w:t>en</w:t>
      </w:r>
      <w:r w:rsidR="00F10CCC" w:rsidRPr="00813D19">
        <w:rPr>
          <w:bCs/>
          <w:lang w:val="en-US"/>
        </w:rPr>
        <w:t xml:space="preserve">tly </w:t>
      </w:r>
      <w:r w:rsidR="006903B9">
        <w:rPr>
          <w:bCs/>
          <w:lang w:val="en-US"/>
        </w:rPr>
        <w:t xml:space="preserve">been </w:t>
      </w:r>
      <w:r w:rsidR="00F10CCC" w:rsidRPr="00813D19">
        <w:rPr>
          <w:bCs/>
          <w:lang w:val="en-US"/>
        </w:rPr>
        <w:t xml:space="preserve">found </w:t>
      </w:r>
      <w:r w:rsidR="00116C65" w:rsidRPr="00813D19">
        <w:rPr>
          <w:bCs/>
          <w:lang w:val="en-US"/>
        </w:rPr>
        <w:t xml:space="preserve">to undertake a few feasibility studies. The idea </w:t>
      </w:r>
      <w:r w:rsidR="00F10CCC" w:rsidRPr="00813D19">
        <w:rPr>
          <w:bCs/>
          <w:lang w:val="en-US"/>
        </w:rPr>
        <w:t xml:space="preserve">was </w:t>
      </w:r>
      <w:r w:rsidR="00116C65" w:rsidRPr="00813D19">
        <w:rPr>
          <w:bCs/>
          <w:lang w:val="en-US"/>
        </w:rPr>
        <w:t xml:space="preserve">to see </w:t>
      </w:r>
      <w:r w:rsidR="00F10CCC" w:rsidRPr="00813D19">
        <w:rPr>
          <w:bCs/>
          <w:lang w:val="en-US"/>
        </w:rPr>
        <w:t xml:space="preserve">whether new reliable </w:t>
      </w:r>
      <w:r w:rsidR="00116C65" w:rsidRPr="00813D19">
        <w:rPr>
          <w:bCs/>
          <w:lang w:val="en-US"/>
        </w:rPr>
        <w:t xml:space="preserve">partnerships </w:t>
      </w:r>
      <w:r w:rsidR="00F10CCC" w:rsidRPr="00813D19">
        <w:rPr>
          <w:bCs/>
          <w:lang w:val="en-US"/>
        </w:rPr>
        <w:t xml:space="preserve">could </w:t>
      </w:r>
      <w:r w:rsidR="00116C65" w:rsidRPr="00813D19">
        <w:rPr>
          <w:bCs/>
          <w:lang w:val="en-US"/>
        </w:rPr>
        <w:t xml:space="preserve">undertake </w:t>
      </w:r>
      <w:r w:rsidR="00F10CCC" w:rsidRPr="00813D19">
        <w:rPr>
          <w:bCs/>
          <w:lang w:val="en-US"/>
        </w:rPr>
        <w:t xml:space="preserve">work </w:t>
      </w:r>
      <w:r w:rsidR="00116C65" w:rsidRPr="00813D19">
        <w:rPr>
          <w:bCs/>
          <w:lang w:val="en-US"/>
        </w:rPr>
        <w:t xml:space="preserve">to multiply the effects of the capacity-building programme beyond those </w:t>
      </w:r>
      <w:r w:rsidR="00F10CCC" w:rsidRPr="00813D19">
        <w:rPr>
          <w:bCs/>
          <w:lang w:val="en-US"/>
        </w:rPr>
        <w:t xml:space="preserve">already </w:t>
      </w:r>
      <w:r w:rsidR="00116C65" w:rsidRPr="00813D19">
        <w:rPr>
          <w:bCs/>
          <w:lang w:val="en-US"/>
        </w:rPr>
        <w:t>implement</w:t>
      </w:r>
      <w:r w:rsidR="00F10CCC" w:rsidRPr="00813D19">
        <w:rPr>
          <w:bCs/>
          <w:lang w:val="en-US"/>
        </w:rPr>
        <w:t>ed by the Secretariat or the category 2 cent</w:t>
      </w:r>
      <w:r w:rsidR="00116C65" w:rsidRPr="00813D19">
        <w:rPr>
          <w:bCs/>
          <w:lang w:val="en-US"/>
        </w:rPr>
        <w:t>r</w:t>
      </w:r>
      <w:r w:rsidR="00F10CCC" w:rsidRPr="00813D19">
        <w:rPr>
          <w:bCs/>
          <w:lang w:val="en-US"/>
        </w:rPr>
        <w:t>e</w:t>
      </w:r>
      <w:r w:rsidR="00116C65" w:rsidRPr="00813D19">
        <w:rPr>
          <w:bCs/>
          <w:lang w:val="en-US"/>
        </w:rPr>
        <w:t xml:space="preserve">s. </w:t>
      </w:r>
      <w:r w:rsidR="00F10CCC" w:rsidRPr="00813D19">
        <w:rPr>
          <w:bCs/>
          <w:lang w:val="en-US"/>
        </w:rPr>
        <w:t xml:space="preserve">Regarding the </w:t>
      </w:r>
      <w:r w:rsidR="00116C65" w:rsidRPr="00813D19">
        <w:rPr>
          <w:bCs/>
          <w:lang w:val="en-US"/>
        </w:rPr>
        <w:t xml:space="preserve">two </w:t>
      </w:r>
      <w:r w:rsidR="00812A2F" w:rsidRPr="00813D19">
        <w:rPr>
          <w:bCs/>
          <w:lang w:val="en-US"/>
        </w:rPr>
        <w:t>questions from the Philippines, t</w:t>
      </w:r>
      <w:r w:rsidR="00116C65" w:rsidRPr="00813D19">
        <w:rPr>
          <w:bCs/>
          <w:lang w:val="en-US"/>
        </w:rPr>
        <w:t>he first concerned the outcomes of the annual</w:t>
      </w:r>
      <w:r w:rsidR="00F10CCC" w:rsidRPr="00813D19">
        <w:rPr>
          <w:bCs/>
          <w:lang w:val="en-US"/>
        </w:rPr>
        <w:t xml:space="preserve"> meeting of the category 2 cent</w:t>
      </w:r>
      <w:r w:rsidR="00116C65" w:rsidRPr="00813D19">
        <w:rPr>
          <w:bCs/>
          <w:lang w:val="en-US"/>
        </w:rPr>
        <w:t>r</w:t>
      </w:r>
      <w:r w:rsidR="00F10CCC" w:rsidRPr="00813D19">
        <w:rPr>
          <w:bCs/>
          <w:lang w:val="en-US"/>
        </w:rPr>
        <w:t>e</w:t>
      </w:r>
      <w:r w:rsidR="00116C65" w:rsidRPr="00813D19">
        <w:rPr>
          <w:bCs/>
          <w:lang w:val="en-US"/>
        </w:rPr>
        <w:t>s</w:t>
      </w:r>
      <w:r w:rsidR="001C3228" w:rsidRPr="00813D19">
        <w:rPr>
          <w:bCs/>
          <w:lang w:val="en-US"/>
        </w:rPr>
        <w:t xml:space="preserve">, which </w:t>
      </w:r>
      <w:r w:rsidR="00F10CCC" w:rsidRPr="00813D19">
        <w:rPr>
          <w:bCs/>
          <w:lang w:val="en-US"/>
        </w:rPr>
        <w:t>in 2018</w:t>
      </w:r>
      <w:r w:rsidR="001C3228" w:rsidRPr="00813D19">
        <w:rPr>
          <w:bCs/>
          <w:lang w:val="en-US"/>
        </w:rPr>
        <w:t xml:space="preserve"> was its </w:t>
      </w:r>
      <w:r w:rsidR="00116C65" w:rsidRPr="00813D19">
        <w:rPr>
          <w:bCs/>
          <w:lang w:val="en-US"/>
        </w:rPr>
        <w:t xml:space="preserve">sixth annual meeting </w:t>
      </w:r>
      <w:r w:rsidR="001C3228" w:rsidRPr="00813D19">
        <w:rPr>
          <w:bCs/>
          <w:lang w:val="en-US"/>
        </w:rPr>
        <w:t xml:space="preserve">hosted in Paris immediately </w:t>
      </w:r>
      <w:r w:rsidR="006903B9">
        <w:rPr>
          <w:bCs/>
          <w:lang w:val="en-US"/>
        </w:rPr>
        <w:t>after</w:t>
      </w:r>
      <w:r w:rsidR="006903B9" w:rsidRPr="00813D19">
        <w:rPr>
          <w:bCs/>
          <w:lang w:val="en-US"/>
        </w:rPr>
        <w:t xml:space="preserve"> </w:t>
      </w:r>
      <w:r w:rsidR="001C3228" w:rsidRPr="00813D19">
        <w:rPr>
          <w:bCs/>
          <w:lang w:val="en-US"/>
        </w:rPr>
        <w:t xml:space="preserve">the </w:t>
      </w:r>
      <w:r w:rsidR="00116C65" w:rsidRPr="00813D19">
        <w:rPr>
          <w:bCs/>
          <w:lang w:val="en-US"/>
        </w:rPr>
        <w:t xml:space="preserve">General Assembly </w:t>
      </w:r>
      <w:r w:rsidR="001C3228" w:rsidRPr="00813D19">
        <w:rPr>
          <w:bCs/>
          <w:lang w:val="en-US"/>
        </w:rPr>
        <w:t xml:space="preserve">(as was the practice) when they </w:t>
      </w:r>
      <w:r w:rsidR="00116C65" w:rsidRPr="00813D19">
        <w:rPr>
          <w:bCs/>
          <w:lang w:val="en-US"/>
        </w:rPr>
        <w:t>tend</w:t>
      </w:r>
      <w:r w:rsidR="001C3228" w:rsidRPr="00813D19">
        <w:rPr>
          <w:bCs/>
          <w:lang w:val="en-US"/>
        </w:rPr>
        <w:t>ed</w:t>
      </w:r>
      <w:r w:rsidR="00116C65" w:rsidRPr="00813D19">
        <w:rPr>
          <w:bCs/>
          <w:lang w:val="en-US"/>
        </w:rPr>
        <w:t xml:space="preserve"> to be shorter meetings. </w:t>
      </w:r>
      <w:r w:rsidR="001C3228" w:rsidRPr="00813D19">
        <w:rPr>
          <w:bCs/>
          <w:lang w:val="en-US"/>
        </w:rPr>
        <w:t>Meetings held in alternate years (not in the years of the General Assembly) tend</w:t>
      </w:r>
      <w:r w:rsidR="006903B9">
        <w:rPr>
          <w:bCs/>
          <w:lang w:val="en-US"/>
        </w:rPr>
        <w:t>ed</w:t>
      </w:r>
      <w:r w:rsidR="001C3228" w:rsidRPr="00813D19">
        <w:rPr>
          <w:bCs/>
          <w:lang w:val="en-US"/>
        </w:rPr>
        <w:t xml:space="preserve"> to be longer meetings when category 2 cent</w:t>
      </w:r>
      <w:r w:rsidR="00116C65" w:rsidRPr="00813D19">
        <w:rPr>
          <w:bCs/>
          <w:lang w:val="en-US"/>
        </w:rPr>
        <w:t>r</w:t>
      </w:r>
      <w:r w:rsidR="001C3228" w:rsidRPr="00813D19">
        <w:rPr>
          <w:bCs/>
          <w:lang w:val="en-US"/>
        </w:rPr>
        <w:t>e</w:t>
      </w:r>
      <w:r w:rsidR="00116C65" w:rsidRPr="00813D19">
        <w:rPr>
          <w:bCs/>
          <w:lang w:val="en-US"/>
        </w:rPr>
        <w:t>s invite</w:t>
      </w:r>
      <w:r w:rsidR="001C3228" w:rsidRPr="00813D19">
        <w:rPr>
          <w:bCs/>
          <w:lang w:val="en-US"/>
        </w:rPr>
        <w:t>d</w:t>
      </w:r>
      <w:r w:rsidR="00116C65" w:rsidRPr="00813D19">
        <w:rPr>
          <w:bCs/>
          <w:lang w:val="en-US"/>
        </w:rPr>
        <w:t xml:space="preserve"> each other. </w:t>
      </w:r>
      <w:r w:rsidR="001C3228" w:rsidRPr="00813D19">
        <w:rPr>
          <w:bCs/>
          <w:lang w:val="en-US"/>
        </w:rPr>
        <w:t>The meeting in 2018 was therefore a short</w:t>
      </w:r>
      <w:r w:rsidR="00116C65" w:rsidRPr="00813D19">
        <w:rPr>
          <w:bCs/>
          <w:lang w:val="en-US"/>
        </w:rPr>
        <w:t xml:space="preserve"> meeting </w:t>
      </w:r>
      <w:r w:rsidR="001C3228" w:rsidRPr="00813D19">
        <w:rPr>
          <w:bCs/>
          <w:lang w:val="en-US"/>
        </w:rPr>
        <w:t xml:space="preserve">with </w:t>
      </w:r>
      <w:r w:rsidR="00116C65" w:rsidRPr="00813D19">
        <w:rPr>
          <w:bCs/>
          <w:lang w:val="en-US"/>
        </w:rPr>
        <w:t xml:space="preserve">general discussions </w:t>
      </w:r>
      <w:r w:rsidR="001C3228" w:rsidRPr="00813D19">
        <w:rPr>
          <w:bCs/>
          <w:lang w:val="en-US"/>
        </w:rPr>
        <w:t>to share perspectives and provide an update</w:t>
      </w:r>
      <w:r w:rsidR="00116C65" w:rsidRPr="00813D19">
        <w:rPr>
          <w:bCs/>
          <w:lang w:val="en-US"/>
        </w:rPr>
        <w:t xml:space="preserve"> </w:t>
      </w:r>
      <w:r w:rsidR="001C3228" w:rsidRPr="00813D19">
        <w:rPr>
          <w:bCs/>
          <w:lang w:val="en-US"/>
        </w:rPr>
        <w:t xml:space="preserve">on </w:t>
      </w:r>
      <w:r w:rsidR="00116C65" w:rsidRPr="00813D19">
        <w:rPr>
          <w:bCs/>
          <w:lang w:val="en-US"/>
        </w:rPr>
        <w:t xml:space="preserve">new developments </w:t>
      </w:r>
      <w:r w:rsidR="006903B9">
        <w:rPr>
          <w:bCs/>
          <w:lang w:val="en-US"/>
        </w:rPr>
        <w:t>in</w:t>
      </w:r>
      <w:r w:rsidR="006903B9" w:rsidRPr="00813D19">
        <w:rPr>
          <w:bCs/>
          <w:lang w:val="en-US"/>
        </w:rPr>
        <w:t xml:space="preserve"> </w:t>
      </w:r>
      <w:r w:rsidR="00116C65" w:rsidRPr="00813D19">
        <w:rPr>
          <w:bCs/>
          <w:lang w:val="en-US"/>
        </w:rPr>
        <w:t>the Convention</w:t>
      </w:r>
      <w:r w:rsidR="001C3228" w:rsidRPr="00813D19">
        <w:rPr>
          <w:bCs/>
          <w:lang w:val="en-US"/>
        </w:rPr>
        <w:t>, including</w:t>
      </w:r>
      <w:r w:rsidR="00116C65" w:rsidRPr="00813D19">
        <w:rPr>
          <w:bCs/>
          <w:lang w:val="en-US"/>
        </w:rPr>
        <w:t xml:space="preserve"> those just adopted</w:t>
      </w:r>
      <w:r w:rsidR="001C3228" w:rsidRPr="00813D19">
        <w:rPr>
          <w:bCs/>
          <w:lang w:val="en-US"/>
        </w:rPr>
        <w:t xml:space="preserve">, </w:t>
      </w:r>
      <w:r w:rsidR="00116C65" w:rsidRPr="00813D19">
        <w:rPr>
          <w:bCs/>
          <w:lang w:val="en-US"/>
        </w:rPr>
        <w:t>the results framework</w:t>
      </w:r>
      <w:r w:rsidR="001C3228" w:rsidRPr="00813D19">
        <w:rPr>
          <w:bCs/>
          <w:lang w:val="en-US"/>
        </w:rPr>
        <w:t>, and so on. Category 2 cent</w:t>
      </w:r>
      <w:r w:rsidR="00116C65" w:rsidRPr="00813D19">
        <w:rPr>
          <w:bCs/>
          <w:lang w:val="en-US"/>
        </w:rPr>
        <w:t>r</w:t>
      </w:r>
      <w:r w:rsidR="001C3228" w:rsidRPr="00813D19">
        <w:rPr>
          <w:bCs/>
          <w:lang w:val="en-US"/>
        </w:rPr>
        <w:t>e</w:t>
      </w:r>
      <w:r w:rsidR="00116C65" w:rsidRPr="00813D19">
        <w:rPr>
          <w:bCs/>
          <w:lang w:val="en-US"/>
        </w:rPr>
        <w:t xml:space="preserve">s exchanged ideas for collaboration and in that sense there </w:t>
      </w:r>
      <w:r w:rsidR="001C3228" w:rsidRPr="00813D19">
        <w:rPr>
          <w:bCs/>
          <w:lang w:val="en-US"/>
        </w:rPr>
        <w:t xml:space="preserve">was </w:t>
      </w:r>
      <w:r w:rsidR="00116C65" w:rsidRPr="00813D19">
        <w:rPr>
          <w:bCs/>
          <w:lang w:val="en-US"/>
        </w:rPr>
        <w:t>no real outcome</w:t>
      </w:r>
      <w:r w:rsidR="001C3228" w:rsidRPr="00813D19">
        <w:rPr>
          <w:bCs/>
          <w:lang w:val="en-US"/>
        </w:rPr>
        <w:t>,</w:t>
      </w:r>
      <w:r w:rsidR="00116C65" w:rsidRPr="00813D19">
        <w:rPr>
          <w:bCs/>
          <w:lang w:val="en-US"/>
        </w:rPr>
        <w:t xml:space="preserve"> except </w:t>
      </w:r>
      <w:r w:rsidR="001C3228" w:rsidRPr="00813D19">
        <w:rPr>
          <w:bCs/>
          <w:lang w:val="en-US"/>
        </w:rPr>
        <w:t>that the cent</w:t>
      </w:r>
      <w:r w:rsidR="00116C65" w:rsidRPr="00813D19">
        <w:rPr>
          <w:bCs/>
          <w:lang w:val="en-US"/>
        </w:rPr>
        <w:t>r</w:t>
      </w:r>
      <w:r w:rsidR="001C3228" w:rsidRPr="00813D19">
        <w:rPr>
          <w:bCs/>
          <w:lang w:val="en-US"/>
        </w:rPr>
        <w:t>e</w:t>
      </w:r>
      <w:r w:rsidR="00116C65" w:rsidRPr="00813D19">
        <w:rPr>
          <w:bCs/>
          <w:lang w:val="en-US"/>
        </w:rPr>
        <w:t xml:space="preserve"> in Algeria offered to host </w:t>
      </w:r>
      <w:r w:rsidR="001C3228" w:rsidRPr="00813D19">
        <w:rPr>
          <w:bCs/>
          <w:lang w:val="en-US"/>
        </w:rPr>
        <w:t>the meeting of the category 2 cent</w:t>
      </w:r>
      <w:r w:rsidR="00116C65" w:rsidRPr="00813D19">
        <w:rPr>
          <w:bCs/>
          <w:lang w:val="en-US"/>
        </w:rPr>
        <w:t>r</w:t>
      </w:r>
      <w:r w:rsidR="001C3228" w:rsidRPr="00813D19">
        <w:rPr>
          <w:bCs/>
          <w:lang w:val="en-US"/>
        </w:rPr>
        <w:t>e</w:t>
      </w:r>
      <w:r w:rsidR="00116C65" w:rsidRPr="00813D19">
        <w:rPr>
          <w:bCs/>
          <w:lang w:val="en-US"/>
        </w:rPr>
        <w:t xml:space="preserve">s </w:t>
      </w:r>
      <w:r w:rsidR="001C3228" w:rsidRPr="00813D19">
        <w:rPr>
          <w:bCs/>
          <w:lang w:val="en-US"/>
        </w:rPr>
        <w:t>in 2019</w:t>
      </w:r>
      <w:r w:rsidR="00116C65" w:rsidRPr="00813D19">
        <w:rPr>
          <w:bCs/>
          <w:lang w:val="en-US"/>
        </w:rPr>
        <w:t xml:space="preserve">. It is </w:t>
      </w:r>
      <w:r w:rsidR="001C3228" w:rsidRPr="00813D19">
        <w:rPr>
          <w:bCs/>
          <w:lang w:val="en-US"/>
        </w:rPr>
        <w:t xml:space="preserve">during </w:t>
      </w:r>
      <w:r w:rsidR="00116C65" w:rsidRPr="00813D19">
        <w:rPr>
          <w:bCs/>
          <w:lang w:val="en-US"/>
        </w:rPr>
        <w:t xml:space="preserve">those </w:t>
      </w:r>
      <w:r w:rsidR="001C3228" w:rsidRPr="00813D19">
        <w:rPr>
          <w:bCs/>
          <w:lang w:val="en-US"/>
        </w:rPr>
        <w:t xml:space="preserve">longer </w:t>
      </w:r>
      <w:r w:rsidR="00116C65" w:rsidRPr="00813D19">
        <w:rPr>
          <w:bCs/>
          <w:lang w:val="en-US"/>
        </w:rPr>
        <w:t xml:space="preserve">meetings, hosted by </w:t>
      </w:r>
      <w:r w:rsidR="001C3228" w:rsidRPr="00813D19">
        <w:rPr>
          <w:bCs/>
          <w:lang w:val="en-US"/>
        </w:rPr>
        <w:t>category 2 centre</w:t>
      </w:r>
      <w:r w:rsidR="00116C65" w:rsidRPr="00813D19">
        <w:rPr>
          <w:bCs/>
          <w:lang w:val="en-US"/>
        </w:rPr>
        <w:t>s</w:t>
      </w:r>
      <w:r w:rsidR="001C3228" w:rsidRPr="00813D19">
        <w:rPr>
          <w:bCs/>
          <w:lang w:val="en-US"/>
        </w:rPr>
        <w:t>,</w:t>
      </w:r>
      <w:r w:rsidR="00116C65" w:rsidRPr="00813D19">
        <w:rPr>
          <w:bCs/>
          <w:lang w:val="en-US"/>
        </w:rPr>
        <w:t xml:space="preserve"> that fuller discussions </w:t>
      </w:r>
      <w:r w:rsidR="00633A84" w:rsidRPr="00813D19">
        <w:rPr>
          <w:bCs/>
          <w:lang w:val="en-US"/>
        </w:rPr>
        <w:t>take place</w:t>
      </w:r>
      <w:r w:rsidR="00116C65" w:rsidRPr="00813D19">
        <w:rPr>
          <w:bCs/>
          <w:lang w:val="en-US"/>
        </w:rPr>
        <w:t xml:space="preserve">. </w:t>
      </w:r>
      <w:r w:rsidR="001C3228" w:rsidRPr="00813D19">
        <w:rPr>
          <w:bCs/>
          <w:lang w:val="en-US"/>
        </w:rPr>
        <w:t xml:space="preserve">On the </w:t>
      </w:r>
      <w:r w:rsidR="00116C65" w:rsidRPr="00813D19">
        <w:rPr>
          <w:bCs/>
          <w:lang w:val="en-US"/>
        </w:rPr>
        <w:t xml:space="preserve">question </w:t>
      </w:r>
      <w:r w:rsidR="001C3228" w:rsidRPr="00813D19">
        <w:rPr>
          <w:bCs/>
          <w:lang w:val="en-US"/>
        </w:rPr>
        <w:t>regarding the restructuring</w:t>
      </w:r>
      <w:r w:rsidR="00116C65" w:rsidRPr="00813D19">
        <w:rPr>
          <w:bCs/>
          <w:lang w:val="en-US"/>
        </w:rPr>
        <w:t xml:space="preserve"> of the </w:t>
      </w:r>
      <w:r w:rsidR="001C3228" w:rsidRPr="00813D19">
        <w:rPr>
          <w:bCs/>
          <w:lang w:val="en-US"/>
        </w:rPr>
        <w:t xml:space="preserve">Culture </w:t>
      </w:r>
      <w:r w:rsidR="00116C65" w:rsidRPr="00813D19">
        <w:rPr>
          <w:bCs/>
          <w:lang w:val="en-US"/>
        </w:rPr>
        <w:t xml:space="preserve">Sector in relation to </w:t>
      </w:r>
      <w:r w:rsidR="001C3228" w:rsidRPr="00813D19">
        <w:rPr>
          <w:bCs/>
          <w:lang w:val="en-US"/>
        </w:rPr>
        <w:t xml:space="preserve">the Secretariat’s </w:t>
      </w:r>
      <w:r w:rsidR="00116C65" w:rsidRPr="00813D19">
        <w:rPr>
          <w:bCs/>
          <w:lang w:val="en-US"/>
        </w:rPr>
        <w:t>work</w:t>
      </w:r>
      <w:r w:rsidR="001C3228" w:rsidRPr="00813D19">
        <w:rPr>
          <w:bCs/>
          <w:lang w:val="en-US"/>
        </w:rPr>
        <w:t xml:space="preserve">, there was </w:t>
      </w:r>
      <w:r w:rsidR="00116C65" w:rsidRPr="00813D19">
        <w:rPr>
          <w:bCs/>
          <w:lang w:val="en-US"/>
        </w:rPr>
        <w:t xml:space="preserve">no </w:t>
      </w:r>
      <w:r w:rsidR="001C3228" w:rsidRPr="00813D19">
        <w:rPr>
          <w:bCs/>
          <w:lang w:val="en-US"/>
        </w:rPr>
        <w:t xml:space="preserve">direct </w:t>
      </w:r>
      <w:r w:rsidR="00116C65" w:rsidRPr="00813D19">
        <w:rPr>
          <w:bCs/>
          <w:lang w:val="en-US"/>
        </w:rPr>
        <w:t xml:space="preserve">impact on </w:t>
      </w:r>
      <w:r w:rsidR="001C3228" w:rsidRPr="00813D19">
        <w:rPr>
          <w:bCs/>
          <w:lang w:val="en-US"/>
        </w:rPr>
        <w:t>its work, and the team had remained unchanged</w:t>
      </w:r>
      <w:r w:rsidR="00116C65" w:rsidRPr="00813D19">
        <w:rPr>
          <w:bCs/>
          <w:lang w:val="en-US"/>
        </w:rPr>
        <w:t>. In fact</w:t>
      </w:r>
      <w:r w:rsidR="001C3228" w:rsidRPr="00813D19">
        <w:rPr>
          <w:bCs/>
          <w:lang w:val="en-US"/>
        </w:rPr>
        <w:t>,</w:t>
      </w:r>
      <w:r w:rsidR="00116C65" w:rsidRPr="00813D19">
        <w:rPr>
          <w:bCs/>
          <w:lang w:val="en-US"/>
        </w:rPr>
        <w:t xml:space="preserve"> it </w:t>
      </w:r>
      <w:r w:rsidR="001C3228" w:rsidRPr="00813D19">
        <w:rPr>
          <w:bCs/>
          <w:lang w:val="en-US"/>
        </w:rPr>
        <w:t xml:space="preserve">had allowed for </w:t>
      </w:r>
      <w:r w:rsidR="00116C65" w:rsidRPr="00813D19">
        <w:rPr>
          <w:bCs/>
          <w:lang w:val="en-US"/>
        </w:rPr>
        <w:t>better access to the Assistant Director-General</w:t>
      </w:r>
      <w:r w:rsidR="001C3228" w:rsidRPr="00813D19">
        <w:rPr>
          <w:bCs/>
          <w:lang w:val="en-US"/>
        </w:rPr>
        <w:t>,</w:t>
      </w:r>
      <w:r w:rsidR="00116C65" w:rsidRPr="00813D19">
        <w:rPr>
          <w:bCs/>
          <w:lang w:val="en-US"/>
        </w:rPr>
        <w:t xml:space="preserve"> so </w:t>
      </w:r>
      <w:r w:rsidR="001C3228" w:rsidRPr="00813D19">
        <w:rPr>
          <w:bCs/>
          <w:lang w:val="en-US"/>
        </w:rPr>
        <w:t>general</w:t>
      </w:r>
      <w:r w:rsidR="00633A84" w:rsidRPr="00813D19">
        <w:rPr>
          <w:bCs/>
          <w:lang w:val="en-US"/>
        </w:rPr>
        <w:t>ly,</w:t>
      </w:r>
      <w:r w:rsidR="001C3228" w:rsidRPr="00813D19">
        <w:rPr>
          <w:bCs/>
          <w:lang w:val="en-US"/>
        </w:rPr>
        <w:t xml:space="preserve"> it had </w:t>
      </w:r>
      <w:r w:rsidR="00116C65" w:rsidRPr="00813D19">
        <w:rPr>
          <w:bCs/>
          <w:lang w:val="en-US"/>
        </w:rPr>
        <w:t xml:space="preserve">helped </w:t>
      </w:r>
      <w:r w:rsidR="001C3228" w:rsidRPr="00813D19">
        <w:rPr>
          <w:bCs/>
          <w:lang w:val="en-US"/>
        </w:rPr>
        <w:t xml:space="preserve">the Secretariat </w:t>
      </w:r>
      <w:r w:rsidR="00B67A60">
        <w:rPr>
          <w:bCs/>
          <w:lang w:val="en-US"/>
        </w:rPr>
        <w:t>in many ways.</w:t>
      </w:r>
    </w:p>
    <w:p w14:paraId="40D1CDD7" w14:textId="18CF9ED4" w:rsidR="00267110" w:rsidRPr="00813D19" w:rsidRDefault="00267110" w:rsidP="0016471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Senegal</w:t>
      </w:r>
      <w:r w:rsidRPr="00813D19">
        <w:rPr>
          <w:color w:val="000000" w:themeColor="text1"/>
          <w:lang w:val="en-US"/>
        </w:rPr>
        <w:t xml:space="preserve"> </w:t>
      </w:r>
      <w:r w:rsidR="00F26ED1" w:rsidRPr="00813D19">
        <w:rPr>
          <w:color w:val="000000" w:themeColor="text1"/>
          <w:lang w:val="en-US"/>
        </w:rPr>
        <w:t>congratulated</w:t>
      </w:r>
      <w:r w:rsidR="00F23FFB" w:rsidRPr="00813D19">
        <w:rPr>
          <w:color w:val="000000" w:themeColor="text1"/>
          <w:lang w:val="en-US"/>
        </w:rPr>
        <w:t xml:space="preserve"> </w:t>
      </w:r>
      <w:r w:rsidR="00F26ED1" w:rsidRPr="00813D19">
        <w:rPr>
          <w:color w:val="000000" w:themeColor="text1"/>
          <w:lang w:val="en-US"/>
        </w:rPr>
        <w:t xml:space="preserve">the </w:t>
      </w:r>
      <w:r w:rsidR="00FC05D7" w:rsidRPr="00813D19">
        <w:rPr>
          <w:color w:val="000000" w:themeColor="text1"/>
          <w:lang w:val="en-US"/>
        </w:rPr>
        <w:t>Secretariat, adding that t</w:t>
      </w:r>
      <w:r w:rsidR="00565C86" w:rsidRPr="00813D19">
        <w:rPr>
          <w:color w:val="000000" w:themeColor="text1"/>
          <w:lang w:val="en-US"/>
        </w:rPr>
        <w:t xml:space="preserve">he implementation of the Convention </w:t>
      </w:r>
      <w:r w:rsidR="00FC05D7" w:rsidRPr="00813D19">
        <w:rPr>
          <w:color w:val="000000" w:themeColor="text1"/>
          <w:lang w:val="en-US"/>
        </w:rPr>
        <w:t xml:space="preserve">was </w:t>
      </w:r>
      <w:r w:rsidR="00565C86" w:rsidRPr="00813D19">
        <w:rPr>
          <w:color w:val="000000" w:themeColor="text1"/>
          <w:lang w:val="en-US"/>
        </w:rPr>
        <w:t xml:space="preserve">not </w:t>
      </w:r>
      <w:r w:rsidR="00FC05D7" w:rsidRPr="00813D19">
        <w:rPr>
          <w:color w:val="000000" w:themeColor="text1"/>
          <w:lang w:val="en-US"/>
        </w:rPr>
        <w:t xml:space="preserve">solely </w:t>
      </w:r>
      <w:r w:rsidR="00565C86" w:rsidRPr="00813D19">
        <w:rPr>
          <w:color w:val="000000" w:themeColor="text1"/>
          <w:lang w:val="en-US"/>
        </w:rPr>
        <w:t xml:space="preserve">about </w:t>
      </w:r>
      <w:r w:rsidR="00FC05D7" w:rsidRPr="00813D19">
        <w:rPr>
          <w:color w:val="000000" w:themeColor="text1"/>
          <w:lang w:val="en-US"/>
        </w:rPr>
        <w:t xml:space="preserve">inscriptions, but about </w:t>
      </w:r>
      <w:r w:rsidR="000A4BB9" w:rsidRPr="00813D19">
        <w:rPr>
          <w:color w:val="000000" w:themeColor="text1"/>
          <w:lang w:val="en-US"/>
        </w:rPr>
        <w:t xml:space="preserve">a set of mechanisms and </w:t>
      </w:r>
      <w:r w:rsidR="00565C86" w:rsidRPr="00813D19">
        <w:rPr>
          <w:color w:val="000000" w:themeColor="text1"/>
          <w:lang w:val="en-US"/>
        </w:rPr>
        <w:t xml:space="preserve">elements that States </w:t>
      </w:r>
      <w:r w:rsidR="00AF6179" w:rsidRPr="00813D19">
        <w:rPr>
          <w:color w:val="000000" w:themeColor="text1"/>
          <w:lang w:val="en-US"/>
        </w:rPr>
        <w:t>were</w:t>
      </w:r>
      <w:r w:rsidR="00565C86" w:rsidRPr="00813D19">
        <w:rPr>
          <w:color w:val="000000" w:themeColor="text1"/>
          <w:lang w:val="en-US"/>
        </w:rPr>
        <w:t xml:space="preserve"> called </w:t>
      </w:r>
      <w:r w:rsidR="00FC05D7" w:rsidRPr="00813D19">
        <w:rPr>
          <w:color w:val="000000" w:themeColor="text1"/>
          <w:lang w:val="en-US"/>
        </w:rPr>
        <w:t xml:space="preserve">upon </w:t>
      </w:r>
      <w:r w:rsidR="00565C86" w:rsidRPr="00813D19">
        <w:rPr>
          <w:color w:val="000000" w:themeColor="text1"/>
          <w:lang w:val="en-US"/>
        </w:rPr>
        <w:t xml:space="preserve">to </w:t>
      </w:r>
      <w:r w:rsidR="00A53721" w:rsidRPr="00813D19">
        <w:rPr>
          <w:color w:val="000000" w:themeColor="text1"/>
          <w:lang w:val="en-US"/>
        </w:rPr>
        <w:t>actualize</w:t>
      </w:r>
      <w:r w:rsidR="00565C86" w:rsidRPr="00813D19">
        <w:rPr>
          <w:color w:val="000000" w:themeColor="text1"/>
          <w:lang w:val="en-US"/>
        </w:rPr>
        <w:t xml:space="preserve"> with</w:t>
      </w:r>
      <w:r w:rsidR="00AF6179" w:rsidRPr="00813D19">
        <w:rPr>
          <w:color w:val="000000" w:themeColor="text1"/>
          <w:lang w:val="en-US"/>
        </w:rPr>
        <w:t>in</w:t>
      </w:r>
      <w:r w:rsidR="00565C86" w:rsidRPr="00813D19">
        <w:rPr>
          <w:color w:val="000000" w:themeColor="text1"/>
          <w:lang w:val="en-US"/>
        </w:rPr>
        <w:t xml:space="preserve"> the</w:t>
      </w:r>
      <w:r w:rsidR="000B54A1" w:rsidRPr="00813D19">
        <w:rPr>
          <w:color w:val="000000" w:themeColor="text1"/>
          <w:lang w:val="en-US"/>
        </w:rPr>
        <w:t>ir</w:t>
      </w:r>
      <w:r w:rsidR="00FC05D7" w:rsidRPr="00813D19">
        <w:rPr>
          <w:color w:val="000000" w:themeColor="text1"/>
          <w:lang w:val="en-US"/>
        </w:rPr>
        <w:t xml:space="preserve"> respective</w:t>
      </w:r>
      <w:r w:rsidR="00565C86" w:rsidRPr="00813D19">
        <w:rPr>
          <w:color w:val="000000" w:themeColor="text1"/>
          <w:lang w:val="en-US"/>
        </w:rPr>
        <w:t xml:space="preserve"> communities. </w:t>
      </w:r>
      <w:r w:rsidR="000A4BB9" w:rsidRPr="00813D19">
        <w:rPr>
          <w:color w:val="000000" w:themeColor="text1"/>
          <w:lang w:val="en-US"/>
        </w:rPr>
        <w:t xml:space="preserve">It was in this </w:t>
      </w:r>
      <w:r w:rsidR="00FC05D7" w:rsidRPr="00813D19">
        <w:rPr>
          <w:color w:val="000000" w:themeColor="text1"/>
          <w:lang w:val="en-US"/>
        </w:rPr>
        <w:t>sense</w:t>
      </w:r>
      <w:r w:rsidR="000A4BB9" w:rsidRPr="00813D19">
        <w:rPr>
          <w:color w:val="000000" w:themeColor="text1"/>
          <w:lang w:val="en-US"/>
        </w:rPr>
        <w:t xml:space="preserve"> that</w:t>
      </w:r>
      <w:r w:rsidR="00FC05D7" w:rsidRPr="00813D19">
        <w:rPr>
          <w:color w:val="000000" w:themeColor="text1"/>
          <w:lang w:val="en-US"/>
        </w:rPr>
        <w:t xml:space="preserve"> </w:t>
      </w:r>
      <w:r w:rsidR="00565C86" w:rsidRPr="00813D19">
        <w:rPr>
          <w:color w:val="000000" w:themeColor="text1"/>
          <w:lang w:val="en-US"/>
        </w:rPr>
        <w:t xml:space="preserve">Senegal had </w:t>
      </w:r>
      <w:r w:rsidR="00FC05D7" w:rsidRPr="00813D19">
        <w:rPr>
          <w:color w:val="000000" w:themeColor="text1"/>
          <w:lang w:val="en-US"/>
        </w:rPr>
        <w:t>empha</w:t>
      </w:r>
      <w:r w:rsidR="000B54A1" w:rsidRPr="00813D19">
        <w:rPr>
          <w:color w:val="000000" w:themeColor="text1"/>
          <w:lang w:val="en-US"/>
        </w:rPr>
        <w:t xml:space="preserve">sized </w:t>
      </w:r>
      <w:r w:rsidR="00B659FB" w:rsidRPr="00813D19">
        <w:rPr>
          <w:color w:val="000000" w:themeColor="text1"/>
          <w:lang w:val="en-US"/>
        </w:rPr>
        <w:t xml:space="preserve">very early on </w:t>
      </w:r>
      <w:r w:rsidR="000B54A1" w:rsidRPr="00813D19">
        <w:rPr>
          <w:color w:val="000000" w:themeColor="text1"/>
          <w:lang w:val="en-US"/>
        </w:rPr>
        <w:t>the importance of</w:t>
      </w:r>
      <w:r w:rsidR="00FC05D7" w:rsidRPr="00813D19">
        <w:rPr>
          <w:color w:val="000000" w:themeColor="text1"/>
          <w:lang w:val="en-US"/>
        </w:rPr>
        <w:t xml:space="preserve"> training, capacity-building and </w:t>
      </w:r>
      <w:r w:rsidR="00565C86" w:rsidRPr="00813D19">
        <w:rPr>
          <w:color w:val="000000" w:themeColor="text1"/>
          <w:lang w:val="en-US"/>
        </w:rPr>
        <w:t>inventory</w:t>
      </w:r>
      <w:r w:rsidR="00FC05D7" w:rsidRPr="00813D19">
        <w:rPr>
          <w:color w:val="000000" w:themeColor="text1"/>
          <w:lang w:val="en-US"/>
        </w:rPr>
        <w:t>ing</w:t>
      </w:r>
      <w:r w:rsidR="00B659FB">
        <w:rPr>
          <w:color w:val="000000" w:themeColor="text1"/>
          <w:lang w:val="en-US"/>
        </w:rPr>
        <w:t xml:space="preserve"> actions</w:t>
      </w:r>
      <w:r w:rsidR="00FC05D7" w:rsidRPr="00813D19">
        <w:rPr>
          <w:color w:val="000000" w:themeColor="text1"/>
          <w:lang w:val="en-US"/>
        </w:rPr>
        <w:t xml:space="preserve">, which would enable </w:t>
      </w:r>
      <w:r w:rsidR="00565C86" w:rsidRPr="00813D19">
        <w:rPr>
          <w:color w:val="000000" w:themeColor="text1"/>
          <w:lang w:val="en-US"/>
        </w:rPr>
        <w:t xml:space="preserve">elements to </w:t>
      </w:r>
      <w:r w:rsidR="000B54A1" w:rsidRPr="00813D19">
        <w:rPr>
          <w:color w:val="000000" w:themeColor="text1"/>
          <w:lang w:val="en-US"/>
        </w:rPr>
        <w:t xml:space="preserve">become </w:t>
      </w:r>
      <w:r w:rsidR="00083F99" w:rsidRPr="00813D19">
        <w:rPr>
          <w:color w:val="000000" w:themeColor="text1"/>
          <w:lang w:val="en-US"/>
        </w:rPr>
        <w:t>credible inscriptions</w:t>
      </w:r>
      <w:r w:rsidR="00565C86" w:rsidRPr="00813D19">
        <w:rPr>
          <w:color w:val="000000" w:themeColor="text1"/>
          <w:lang w:val="en-US"/>
        </w:rPr>
        <w:t xml:space="preserve">. </w:t>
      </w:r>
      <w:r w:rsidR="00FC05D7" w:rsidRPr="00813D19">
        <w:rPr>
          <w:color w:val="000000" w:themeColor="text1"/>
          <w:lang w:val="en-US"/>
        </w:rPr>
        <w:t>In this regard, UNESCO</w:t>
      </w:r>
      <w:r w:rsidR="00565C86" w:rsidRPr="00813D19">
        <w:rPr>
          <w:color w:val="000000" w:themeColor="text1"/>
          <w:lang w:val="en-US"/>
        </w:rPr>
        <w:t xml:space="preserve"> </w:t>
      </w:r>
      <w:r w:rsidR="00FC05D7" w:rsidRPr="00813D19">
        <w:rPr>
          <w:color w:val="000000" w:themeColor="text1"/>
          <w:lang w:val="en-US"/>
        </w:rPr>
        <w:t>had</w:t>
      </w:r>
      <w:r w:rsidR="00565C86" w:rsidRPr="00813D19">
        <w:rPr>
          <w:color w:val="000000" w:themeColor="text1"/>
          <w:lang w:val="en-US"/>
        </w:rPr>
        <w:t xml:space="preserve"> understood this approach, </w:t>
      </w:r>
      <w:r w:rsidR="00083F99" w:rsidRPr="00813D19">
        <w:rPr>
          <w:color w:val="000000" w:themeColor="text1"/>
          <w:lang w:val="en-US"/>
        </w:rPr>
        <w:t xml:space="preserve">with Senegal following this </w:t>
      </w:r>
      <w:r w:rsidR="00565C86" w:rsidRPr="00813D19">
        <w:rPr>
          <w:color w:val="000000" w:themeColor="text1"/>
          <w:lang w:val="en-US"/>
        </w:rPr>
        <w:t>process</w:t>
      </w:r>
      <w:r w:rsidR="00083F99" w:rsidRPr="00813D19">
        <w:rPr>
          <w:color w:val="000000" w:themeColor="text1"/>
          <w:lang w:val="en-US"/>
        </w:rPr>
        <w:t xml:space="preserve"> by </w:t>
      </w:r>
      <w:r w:rsidR="00565C86" w:rsidRPr="00813D19">
        <w:rPr>
          <w:color w:val="000000" w:themeColor="text1"/>
          <w:lang w:val="en-US"/>
        </w:rPr>
        <w:t xml:space="preserve">working mainly on </w:t>
      </w:r>
      <w:r w:rsidR="00083F99" w:rsidRPr="00813D19">
        <w:rPr>
          <w:color w:val="000000" w:themeColor="text1"/>
          <w:lang w:val="en-US"/>
        </w:rPr>
        <w:t xml:space="preserve">heritage </w:t>
      </w:r>
      <w:r w:rsidR="00565C86" w:rsidRPr="00813D19">
        <w:rPr>
          <w:color w:val="000000" w:themeColor="text1"/>
          <w:lang w:val="en-US"/>
        </w:rPr>
        <w:t xml:space="preserve">education at the </w:t>
      </w:r>
      <w:r w:rsidR="00083F99" w:rsidRPr="00813D19">
        <w:rPr>
          <w:color w:val="000000" w:themeColor="text1"/>
          <w:lang w:val="en-US"/>
        </w:rPr>
        <w:t>university level where a number of modules were being developed</w:t>
      </w:r>
      <w:r w:rsidR="00565C86" w:rsidRPr="00813D19">
        <w:rPr>
          <w:color w:val="000000" w:themeColor="text1"/>
          <w:lang w:val="en-US"/>
        </w:rPr>
        <w:t xml:space="preserve">, </w:t>
      </w:r>
      <w:r w:rsidR="00083F99" w:rsidRPr="00813D19">
        <w:rPr>
          <w:color w:val="000000" w:themeColor="text1"/>
          <w:lang w:val="en-US"/>
        </w:rPr>
        <w:t xml:space="preserve">which would be followed up at the </w:t>
      </w:r>
      <w:r w:rsidR="00565C86" w:rsidRPr="00813D19">
        <w:rPr>
          <w:color w:val="000000" w:themeColor="text1"/>
          <w:lang w:val="en-US"/>
        </w:rPr>
        <w:t xml:space="preserve">elementary school </w:t>
      </w:r>
      <w:r w:rsidR="00083F99" w:rsidRPr="00813D19">
        <w:rPr>
          <w:color w:val="000000" w:themeColor="text1"/>
          <w:lang w:val="en-US"/>
        </w:rPr>
        <w:t>level in 2019</w:t>
      </w:r>
      <w:r w:rsidR="00565C86" w:rsidRPr="00813D19">
        <w:rPr>
          <w:color w:val="000000" w:themeColor="text1"/>
          <w:lang w:val="en-US"/>
        </w:rPr>
        <w:t xml:space="preserve">. </w:t>
      </w:r>
      <w:r w:rsidR="00083F99" w:rsidRPr="00813D19">
        <w:rPr>
          <w:color w:val="000000" w:themeColor="text1"/>
          <w:lang w:val="en-US"/>
        </w:rPr>
        <w:t>The delegation congratulate</w:t>
      </w:r>
      <w:r w:rsidR="00361D5B" w:rsidRPr="00813D19">
        <w:rPr>
          <w:color w:val="000000" w:themeColor="text1"/>
          <w:lang w:val="en-US"/>
        </w:rPr>
        <w:t>d</w:t>
      </w:r>
      <w:r w:rsidR="00083F99" w:rsidRPr="00813D19">
        <w:rPr>
          <w:color w:val="000000" w:themeColor="text1"/>
          <w:lang w:val="en-US"/>
        </w:rPr>
        <w:t xml:space="preserve"> the Secretariat on its </w:t>
      </w:r>
      <w:r w:rsidR="00361D5B" w:rsidRPr="00813D19">
        <w:rPr>
          <w:color w:val="000000" w:themeColor="text1"/>
          <w:lang w:val="en-US"/>
        </w:rPr>
        <w:t xml:space="preserve">activities, </w:t>
      </w:r>
      <w:r w:rsidR="00EA5358" w:rsidRPr="00813D19">
        <w:rPr>
          <w:color w:val="000000" w:themeColor="text1"/>
          <w:lang w:val="en-US"/>
        </w:rPr>
        <w:t xml:space="preserve">as well on </w:t>
      </w:r>
      <w:r w:rsidR="00565C86" w:rsidRPr="00813D19">
        <w:rPr>
          <w:color w:val="000000" w:themeColor="text1"/>
          <w:lang w:val="en-US"/>
        </w:rPr>
        <w:t xml:space="preserve">the implementation of </w:t>
      </w:r>
      <w:r w:rsidR="00EA5358" w:rsidRPr="00813D19">
        <w:rPr>
          <w:color w:val="000000" w:themeColor="text1"/>
          <w:lang w:val="en-US"/>
        </w:rPr>
        <w:t xml:space="preserve">the </w:t>
      </w:r>
      <w:r w:rsidR="00565C86" w:rsidRPr="00813D19">
        <w:rPr>
          <w:color w:val="000000" w:themeColor="text1"/>
          <w:lang w:val="en-US"/>
        </w:rPr>
        <w:t xml:space="preserve">recommendations </w:t>
      </w:r>
      <w:r w:rsidR="00EA5358" w:rsidRPr="00813D19">
        <w:rPr>
          <w:color w:val="000000" w:themeColor="text1"/>
          <w:lang w:val="en-US"/>
        </w:rPr>
        <w:t xml:space="preserve">by </w:t>
      </w:r>
      <w:r w:rsidR="00565C86" w:rsidRPr="00813D19">
        <w:rPr>
          <w:color w:val="000000" w:themeColor="text1"/>
          <w:lang w:val="en-US"/>
        </w:rPr>
        <w:t>the General Assembly, particular</w:t>
      </w:r>
      <w:r w:rsidR="00361D5B" w:rsidRPr="00813D19">
        <w:rPr>
          <w:color w:val="000000" w:themeColor="text1"/>
          <w:lang w:val="en-US"/>
        </w:rPr>
        <w:t>ly</w:t>
      </w:r>
      <w:r w:rsidR="00565C86" w:rsidRPr="00813D19">
        <w:rPr>
          <w:color w:val="000000" w:themeColor="text1"/>
          <w:lang w:val="en-US"/>
        </w:rPr>
        <w:t xml:space="preserve"> </w:t>
      </w:r>
      <w:r w:rsidR="00EA5358" w:rsidRPr="00813D19">
        <w:rPr>
          <w:color w:val="000000" w:themeColor="text1"/>
          <w:lang w:val="en-US"/>
        </w:rPr>
        <w:t xml:space="preserve">by </w:t>
      </w:r>
      <w:r w:rsidR="00565C86" w:rsidRPr="00813D19">
        <w:rPr>
          <w:color w:val="000000" w:themeColor="text1"/>
          <w:lang w:val="en-US"/>
        </w:rPr>
        <w:t xml:space="preserve">the working group on the monitoring and evaluation tool, </w:t>
      </w:r>
      <w:r w:rsidR="00EA5358" w:rsidRPr="00813D19">
        <w:rPr>
          <w:color w:val="000000" w:themeColor="text1"/>
          <w:lang w:val="en-US"/>
        </w:rPr>
        <w:t xml:space="preserve">as well as </w:t>
      </w:r>
      <w:r w:rsidR="00565C86" w:rsidRPr="00813D19">
        <w:rPr>
          <w:color w:val="000000" w:themeColor="text1"/>
          <w:lang w:val="en-US"/>
        </w:rPr>
        <w:t xml:space="preserve">work </w:t>
      </w:r>
      <w:r w:rsidR="00EA5358" w:rsidRPr="00813D19">
        <w:rPr>
          <w:color w:val="000000" w:themeColor="text1"/>
          <w:lang w:val="en-US"/>
        </w:rPr>
        <w:t>carried out to assist Member States, including Senegal</w:t>
      </w:r>
      <w:r w:rsidR="00565C86" w:rsidRPr="00813D19">
        <w:rPr>
          <w:color w:val="000000" w:themeColor="text1"/>
          <w:lang w:val="en-US"/>
        </w:rPr>
        <w:t xml:space="preserve">. </w:t>
      </w:r>
      <w:r w:rsidR="0016471C" w:rsidRPr="00813D19">
        <w:rPr>
          <w:color w:val="000000" w:themeColor="text1"/>
          <w:lang w:val="en-US"/>
        </w:rPr>
        <w:t xml:space="preserve">Concluding, the delegation congratulated the Secretariat for the launch of the innovative, digital tool that </w:t>
      </w:r>
      <w:r w:rsidR="00B659FB" w:rsidRPr="00813D19">
        <w:rPr>
          <w:color w:val="000000" w:themeColor="text1"/>
          <w:lang w:val="en-US"/>
        </w:rPr>
        <w:t>w</w:t>
      </w:r>
      <w:r w:rsidR="00B659FB">
        <w:rPr>
          <w:color w:val="000000" w:themeColor="text1"/>
          <w:lang w:val="en-US"/>
        </w:rPr>
        <w:t>ould</w:t>
      </w:r>
      <w:r w:rsidR="00B659FB" w:rsidRPr="00813D19">
        <w:rPr>
          <w:color w:val="000000" w:themeColor="text1"/>
          <w:lang w:val="en-US"/>
        </w:rPr>
        <w:t xml:space="preserve"> </w:t>
      </w:r>
      <w:r w:rsidR="0016471C" w:rsidRPr="00813D19">
        <w:rPr>
          <w:color w:val="000000" w:themeColor="text1"/>
          <w:lang w:val="en-US"/>
        </w:rPr>
        <w:t>help better communicate intangible cultural heritage to a younger, more technologically literate generation</w:t>
      </w:r>
      <w:r w:rsidR="00B67A60">
        <w:rPr>
          <w:color w:val="000000" w:themeColor="text1"/>
          <w:lang w:val="en-US"/>
        </w:rPr>
        <w:t>.</w:t>
      </w:r>
    </w:p>
    <w:p w14:paraId="5EE29269" w14:textId="25A76068" w:rsidR="0016471C" w:rsidRPr="00813D19" w:rsidRDefault="00460447" w:rsidP="00F23FF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Djibouti</w:t>
      </w:r>
      <w:r w:rsidRPr="00813D19">
        <w:rPr>
          <w:color w:val="000000" w:themeColor="text1"/>
          <w:lang w:val="en-US"/>
        </w:rPr>
        <w:t xml:space="preserve"> </w:t>
      </w:r>
      <w:r w:rsidR="0016471C" w:rsidRPr="00813D19">
        <w:rPr>
          <w:color w:val="000000" w:themeColor="text1"/>
          <w:lang w:val="en-US"/>
        </w:rPr>
        <w:t xml:space="preserve">spoke of the unique and emotional moment experienced in the joint </w:t>
      </w:r>
      <w:r w:rsidR="00361D5B" w:rsidRPr="00813D19">
        <w:rPr>
          <w:color w:val="000000" w:themeColor="text1"/>
          <w:lang w:val="en-US"/>
        </w:rPr>
        <w:t>inscription of the two Korea nations</w:t>
      </w:r>
      <w:r w:rsidR="0016471C" w:rsidRPr="00813D19">
        <w:rPr>
          <w:color w:val="000000" w:themeColor="text1"/>
          <w:lang w:val="en-US"/>
        </w:rPr>
        <w:t xml:space="preserve">, adding that it reinforced the role of UNESCO in bringing people together and </w:t>
      </w:r>
      <w:r w:rsidR="00063AF7" w:rsidRPr="00813D19">
        <w:rPr>
          <w:color w:val="000000" w:themeColor="text1"/>
          <w:lang w:val="en-US"/>
        </w:rPr>
        <w:t xml:space="preserve">peace to the world, which </w:t>
      </w:r>
      <w:r w:rsidR="0016471C" w:rsidRPr="00813D19">
        <w:rPr>
          <w:color w:val="000000" w:themeColor="text1"/>
          <w:lang w:val="en-US"/>
        </w:rPr>
        <w:t xml:space="preserve">increased confidence in UNESCO’s ongoing efforts </w:t>
      </w:r>
      <w:r w:rsidR="00063AF7" w:rsidRPr="00813D19">
        <w:rPr>
          <w:color w:val="000000" w:themeColor="text1"/>
          <w:lang w:val="en-US"/>
        </w:rPr>
        <w:t xml:space="preserve">for the </w:t>
      </w:r>
      <w:r w:rsidR="0016471C" w:rsidRPr="00813D19">
        <w:rPr>
          <w:color w:val="000000" w:themeColor="text1"/>
          <w:lang w:val="en-US"/>
        </w:rPr>
        <w:t xml:space="preserve">benefit </w:t>
      </w:r>
      <w:r w:rsidR="00063AF7" w:rsidRPr="00813D19">
        <w:rPr>
          <w:color w:val="000000" w:themeColor="text1"/>
          <w:lang w:val="en-US"/>
        </w:rPr>
        <w:t xml:space="preserve">of </w:t>
      </w:r>
      <w:r w:rsidR="0016471C" w:rsidRPr="00813D19">
        <w:rPr>
          <w:color w:val="000000" w:themeColor="text1"/>
          <w:lang w:val="en-US"/>
        </w:rPr>
        <w:t xml:space="preserve">culture. The delegation </w:t>
      </w:r>
      <w:r w:rsidR="00063AF7" w:rsidRPr="00813D19">
        <w:rPr>
          <w:color w:val="000000" w:themeColor="text1"/>
          <w:lang w:val="en-US"/>
        </w:rPr>
        <w:t xml:space="preserve">also </w:t>
      </w:r>
      <w:r w:rsidR="0016471C" w:rsidRPr="00813D19">
        <w:rPr>
          <w:color w:val="000000" w:themeColor="text1"/>
          <w:lang w:val="en-US"/>
        </w:rPr>
        <w:t xml:space="preserve">congratulated the Secretary for the </w:t>
      </w:r>
      <w:r w:rsidR="008F2841" w:rsidRPr="00813D19">
        <w:rPr>
          <w:color w:val="000000" w:themeColor="text1"/>
          <w:lang w:val="en-US"/>
        </w:rPr>
        <w:t xml:space="preserve">rich, </w:t>
      </w:r>
      <w:r w:rsidR="0016471C" w:rsidRPr="00813D19">
        <w:rPr>
          <w:color w:val="000000" w:themeColor="text1"/>
          <w:lang w:val="en-US"/>
        </w:rPr>
        <w:t>clear</w:t>
      </w:r>
      <w:r w:rsidR="008F2841" w:rsidRPr="00813D19">
        <w:rPr>
          <w:color w:val="000000" w:themeColor="text1"/>
          <w:lang w:val="en-US"/>
        </w:rPr>
        <w:t xml:space="preserve"> and </w:t>
      </w:r>
      <w:r w:rsidR="0016471C" w:rsidRPr="00813D19">
        <w:rPr>
          <w:color w:val="000000" w:themeColor="text1"/>
          <w:lang w:val="en-US"/>
        </w:rPr>
        <w:t xml:space="preserve">transparent </w:t>
      </w:r>
      <w:r w:rsidR="00C55035" w:rsidRPr="00813D19">
        <w:rPr>
          <w:color w:val="000000" w:themeColor="text1"/>
          <w:lang w:val="en-US"/>
        </w:rPr>
        <w:t>report</w:t>
      </w:r>
      <w:r w:rsidR="00063AF7" w:rsidRPr="00813D19">
        <w:rPr>
          <w:color w:val="000000" w:themeColor="text1"/>
          <w:lang w:val="en-US"/>
        </w:rPr>
        <w:t xml:space="preserve"> that outlined the </w:t>
      </w:r>
      <w:r w:rsidR="0016471C" w:rsidRPr="00813D19">
        <w:rPr>
          <w:color w:val="000000" w:themeColor="text1"/>
          <w:lang w:val="en-US"/>
        </w:rPr>
        <w:t xml:space="preserve">excellent </w:t>
      </w:r>
      <w:r w:rsidR="00063AF7" w:rsidRPr="00813D19">
        <w:rPr>
          <w:color w:val="000000" w:themeColor="text1"/>
          <w:lang w:val="en-US"/>
        </w:rPr>
        <w:t xml:space="preserve">work carried out by the Secretariat </w:t>
      </w:r>
      <w:r w:rsidR="0016471C" w:rsidRPr="00813D19">
        <w:rPr>
          <w:color w:val="000000" w:themeColor="text1"/>
          <w:lang w:val="en-US"/>
        </w:rPr>
        <w:t xml:space="preserve">despite the </w:t>
      </w:r>
      <w:r w:rsidR="00063AF7" w:rsidRPr="00813D19">
        <w:rPr>
          <w:color w:val="000000" w:themeColor="text1"/>
          <w:lang w:val="en-US"/>
        </w:rPr>
        <w:t>limited staff</w:t>
      </w:r>
      <w:r w:rsidR="0016471C" w:rsidRPr="00813D19">
        <w:rPr>
          <w:color w:val="000000" w:themeColor="text1"/>
          <w:lang w:val="en-US"/>
        </w:rPr>
        <w:t xml:space="preserve">. </w:t>
      </w:r>
      <w:r w:rsidR="00361D5B" w:rsidRPr="00813D19">
        <w:rPr>
          <w:color w:val="000000" w:themeColor="text1"/>
          <w:lang w:val="en-US"/>
        </w:rPr>
        <w:t xml:space="preserve">It </w:t>
      </w:r>
      <w:r w:rsidR="00063AF7" w:rsidRPr="00813D19">
        <w:rPr>
          <w:color w:val="000000" w:themeColor="text1"/>
          <w:lang w:val="en-US"/>
        </w:rPr>
        <w:t xml:space="preserve">wished to highlight </w:t>
      </w:r>
      <w:r w:rsidR="0016471C" w:rsidRPr="00813D19">
        <w:rPr>
          <w:color w:val="000000" w:themeColor="text1"/>
          <w:lang w:val="en-US"/>
        </w:rPr>
        <w:t>three points.</w:t>
      </w:r>
      <w:r w:rsidR="00063AF7" w:rsidRPr="00813D19">
        <w:rPr>
          <w:color w:val="000000" w:themeColor="text1"/>
          <w:lang w:val="en-US"/>
        </w:rPr>
        <w:t xml:space="preserve"> Firstly, one of the activities concerned the integration of intangible cultural heritage into formal education, which it considered to be an important factor in the development of intangible cultural heritage worldwide, as </w:t>
      </w:r>
      <w:r w:rsidR="00361D5B" w:rsidRPr="00813D19">
        <w:rPr>
          <w:color w:val="000000" w:themeColor="text1"/>
          <w:lang w:val="en-US"/>
        </w:rPr>
        <w:t>today’</w:t>
      </w:r>
      <w:r w:rsidR="00063AF7" w:rsidRPr="00813D19">
        <w:rPr>
          <w:color w:val="000000" w:themeColor="text1"/>
          <w:lang w:val="en-US"/>
        </w:rPr>
        <w:t xml:space="preserve">s children will become tomorrow’s leaders. If children are imbued with values and elements of intangible cultural heritage </w:t>
      </w:r>
      <w:r w:rsidR="008F2841" w:rsidRPr="00813D19">
        <w:rPr>
          <w:color w:val="000000" w:themeColor="text1"/>
          <w:lang w:val="en-US"/>
        </w:rPr>
        <w:t>at an early age,</w:t>
      </w:r>
      <w:r w:rsidR="00063AF7" w:rsidRPr="00813D19">
        <w:rPr>
          <w:color w:val="000000" w:themeColor="text1"/>
          <w:lang w:val="en-US"/>
        </w:rPr>
        <w:t xml:space="preserve"> then </w:t>
      </w:r>
      <w:r w:rsidR="008F2841" w:rsidRPr="00813D19">
        <w:rPr>
          <w:color w:val="000000" w:themeColor="text1"/>
          <w:lang w:val="en-US"/>
        </w:rPr>
        <w:t>they will un</w:t>
      </w:r>
      <w:r w:rsidR="00063AF7" w:rsidRPr="00813D19">
        <w:rPr>
          <w:color w:val="000000" w:themeColor="text1"/>
          <w:lang w:val="en-US"/>
        </w:rPr>
        <w:t>doubt</w:t>
      </w:r>
      <w:r w:rsidR="008F2841" w:rsidRPr="00813D19">
        <w:rPr>
          <w:color w:val="000000" w:themeColor="text1"/>
          <w:lang w:val="en-US"/>
        </w:rPr>
        <w:t xml:space="preserve">edly </w:t>
      </w:r>
      <w:r w:rsidR="00063AF7" w:rsidRPr="00813D19">
        <w:rPr>
          <w:color w:val="000000" w:themeColor="text1"/>
          <w:lang w:val="en-US"/>
        </w:rPr>
        <w:t xml:space="preserve">contribute </w:t>
      </w:r>
      <w:r w:rsidR="00B659FB">
        <w:rPr>
          <w:color w:val="000000" w:themeColor="text1"/>
          <w:lang w:val="en-US"/>
        </w:rPr>
        <w:t xml:space="preserve">to </w:t>
      </w:r>
      <w:r w:rsidR="00063AF7" w:rsidRPr="00813D19">
        <w:rPr>
          <w:color w:val="000000" w:themeColor="text1"/>
          <w:lang w:val="en-US"/>
        </w:rPr>
        <w:t>and fully engage in the development and implementation of safeguarding measures of the world’s intangible cultural heritage</w:t>
      </w:r>
      <w:r w:rsidR="00361D5B" w:rsidRPr="00813D19">
        <w:rPr>
          <w:color w:val="000000" w:themeColor="text1"/>
          <w:lang w:val="en-US"/>
        </w:rPr>
        <w:t xml:space="preserve"> [in the future]</w:t>
      </w:r>
      <w:r w:rsidR="00063AF7" w:rsidRPr="00813D19">
        <w:rPr>
          <w:color w:val="000000" w:themeColor="text1"/>
          <w:lang w:val="en-US"/>
        </w:rPr>
        <w:t xml:space="preserve">. Secondly, new </w:t>
      </w:r>
      <w:r w:rsidR="00361D5B" w:rsidRPr="00813D19">
        <w:rPr>
          <w:color w:val="000000" w:themeColor="text1"/>
          <w:lang w:val="en-US"/>
        </w:rPr>
        <w:t xml:space="preserve">ICTs </w:t>
      </w:r>
      <w:r w:rsidR="00063AF7" w:rsidRPr="00813D19">
        <w:rPr>
          <w:color w:val="000000" w:themeColor="text1"/>
          <w:lang w:val="en-US"/>
        </w:rPr>
        <w:t>c</w:t>
      </w:r>
      <w:r w:rsidR="008F2841" w:rsidRPr="00813D19">
        <w:rPr>
          <w:color w:val="000000" w:themeColor="text1"/>
          <w:lang w:val="en-US"/>
        </w:rPr>
        <w:t>onstitute an indispensable tool</w:t>
      </w:r>
      <w:r w:rsidR="00063AF7" w:rsidRPr="00813D19">
        <w:rPr>
          <w:color w:val="000000" w:themeColor="text1"/>
          <w:lang w:val="en-US"/>
        </w:rPr>
        <w:t xml:space="preserve"> and an excellent disseminator of knowledge and know-how, </w:t>
      </w:r>
      <w:r w:rsidR="008F2841" w:rsidRPr="00813D19">
        <w:rPr>
          <w:color w:val="000000" w:themeColor="text1"/>
          <w:lang w:val="en-US"/>
        </w:rPr>
        <w:t xml:space="preserve">whose </w:t>
      </w:r>
      <w:r w:rsidR="00063AF7" w:rsidRPr="00813D19">
        <w:rPr>
          <w:color w:val="000000" w:themeColor="text1"/>
          <w:lang w:val="en-US"/>
        </w:rPr>
        <w:t xml:space="preserve">use </w:t>
      </w:r>
      <w:r w:rsidR="008F2841" w:rsidRPr="00813D19">
        <w:rPr>
          <w:color w:val="000000" w:themeColor="text1"/>
          <w:lang w:val="en-US"/>
        </w:rPr>
        <w:t xml:space="preserve">is </w:t>
      </w:r>
      <w:r w:rsidR="00063AF7" w:rsidRPr="00813D19">
        <w:rPr>
          <w:color w:val="000000" w:themeColor="text1"/>
          <w:lang w:val="en-US"/>
        </w:rPr>
        <w:t xml:space="preserve">crucial in safeguarding </w:t>
      </w:r>
      <w:r w:rsidR="008F2841" w:rsidRPr="00813D19">
        <w:rPr>
          <w:color w:val="000000" w:themeColor="text1"/>
          <w:lang w:val="en-US"/>
        </w:rPr>
        <w:t xml:space="preserve">the </w:t>
      </w:r>
      <w:r w:rsidR="00063AF7" w:rsidRPr="00813D19">
        <w:rPr>
          <w:color w:val="000000" w:themeColor="text1"/>
          <w:lang w:val="en-US"/>
        </w:rPr>
        <w:t xml:space="preserve">intangible cultural heritage of humanity. </w:t>
      </w:r>
      <w:r w:rsidR="008F2841" w:rsidRPr="00813D19">
        <w:rPr>
          <w:color w:val="000000" w:themeColor="text1"/>
          <w:lang w:val="en-US"/>
        </w:rPr>
        <w:t xml:space="preserve">The importance of </w:t>
      </w:r>
      <w:r w:rsidR="00B659FB">
        <w:rPr>
          <w:color w:val="000000" w:themeColor="text1"/>
          <w:lang w:val="en-US"/>
        </w:rPr>
        <w:t>this</w:t>
      </w:r>
      <w:r w:rsidR="008F2841" w:rsidRPr="00813D19">
        <w:rPr>
          <w:color w:val="000000" w:themeColor="text1"/>
          <w:lang w:val="en-US"/>
        </w:rPr>
        <w:t xml:space="preserve"> was </w:t>
      </w:r>
      <w:r w:rsidR="00B659FB">
        <w:rPr>
          <w:color w:val="000000" w:themeColor="text1"/>
          <w:lang w:val="en-US"/>
        </w:rPr>
        <w:t>demonstrated by</w:t>
      </w:r>
      <w:r w:rsidR="008F2841" w:rsidRPr="00813D19">
        <w:rPr>
          <w:color w:val="000000" w:themeColor="text1"/>
          <w:lang w:val="en-US"/>
        </w:rPr>
        <w:t xml:space="preserve"> the [digital</w:t>
      </w:r>
      <w:r w:rsidR="00201D3C" w:rsidRPr="00813D19">
        <w:rPr>
          <w:color w:val="000000" w:themeColor="text1"/>
          <w:lang w:val="en-US"/>
        </w:rPr>
        <w:t xml:space="preserve"> </w:t>
      </w:r>
      <w:r w:rsidR="008F2841" w:rsidRPr="00813D19">
        <w:rPr>
          <w:color w:val="000000" w:themeColor="text1"/>
          <w:lang w:val="en-US"/>
        </w:rPr>
        <w:t>tool</w:t>
      </w:r>
      <w:r w:rsidR="00201D3C" w:rsidRPr="00813D19">
        <w:rPr>
          <w:color w:val="000000" w:themeColor="text1"/>
          <w:lang w:val="en-US"/>
        </w:rPr>
        <w:t>]</w:t>
      </w:r>
      <w:r w:rsidR="008F2841" w:rsidRPr="00813D19">
        <w:rPr>
          <w:color w:val="000000" w:themeColor="text1"/>
          <w:lang w:val="en-US"/>
        </w:rPr>
        <w:t xml:space="preserve"> presented </w:t>
      </w:r>
      <w:r w:rsidR="00361D5B" w:rsidRPr="00813D19">
        <w:rPr>
          <w:color w:val="000000" w:themeColor="text1"/>
          <w:lang w:val="en-US"/>
        </w:rPr>
        <w:t xml:space="preserve">[at lunchtime], which </w:t>
      </w:r>
      <w:r w:rsidR="008F2841" w:rsidRPr="00813D19">
        <w:rPr>
          <w:color w:val="000000" w:themeColor="text1"/>
          <w:lang w:val="en-US"/>
        </w:rPr>
        <w:t>showed how the appropriation of</w:t>
      </w:r>
      <w:r w:rsidR="00063AF7" w:rsidRPr="00813D19">
        <w:rPr>
          <w:color w:val="000000" w:themeColor="text1"/>
          <w:lang w:val="en-US"/>
        </w:rPr>
        <w:t xml:space="preserve"> </w:t>
      </w:r>
      <w:r w:rsidR="008F2841" w:rsidRPr="00813D19">
        <w:rPr>
          <w:color w:val="000000" w:themeColor="text1"/>
          <w:lang w:val="en-US"/>
        </w:rPr>
        <w:t xml:space="preserve">new forms of knowledge and technology can </w:t>
      </w:r>
      <w:r w:rsidR="00063AF7" w:rsidRPr="00813D19">
        <w:rPr>
          <w:color w:val="000000" w:themeColor="text1"/>
          <w:lang w:val="en-US"/>
        </w:rPr>
        <w:t xml:space="preserve">contribute to safeguarding </w:t>
      </w:r>
      <w:r w:rsidR="008F2841" w:rsidRPr="00813D19">
        <w:rPr>
          <w:color w:val="000000" w:themeColor="text1"/>
          <w:lang w:val="en-US"/>
        </w:rPr>
        <w:t>cultural heritage</w:t>
      </w:r>
      <w:r w:rsidR="00201D3C" w:rsidRPr="00813D19">
        <w:rPr>
          <w:color w:val="000000" w:themeColor="text1"/>
          <w:lang w:val="en-US"/>
        </w:rPr>
        <w:t>. T</w:t>
      </w:r>
      <w:r w:rsidR="002811DE" w:rsidRPr="00813D19">
        <w:rPr>
          <w:color w:val="000000" w:themeColor="text1"/>
          <w:lang w:val="en-US"/>
        </w:rPr>
        <w:t xml:space="preserve">he delegation </w:t>
      </w:r>
      <w:r w:rsidR="00201D3C" w:rsidRPr="00813D19">
        <w:rPr>
          <w:color w:val="000000" w:themeColor="text1"/>
          <w:lang w:val="en-US"/>
        </w:rPr>
        <w:t xml:space="preserve">also </w:t>
      </w:r>
      <w:r w:rsidR="00063AF7" w:rsidRPr="00813D19">
        <w:rPr>
          <w:color w:val="000000" w:themeColor="text1"/>
          <w:lang w:val="en-US"/>
        </w:rPr>
        <w:t>congratulate</w:t>
      </w:r>
      <w:r w:rsidR="00361D5B" w:rsidRPr="00813D19">
        <w:rPr>
          <w:color w:val="000000" w:themeColor="text1"/>
          <w:lang w:val="en-US"/>
        </w:rPr>
        <w:t>d</w:t>
      </w:r>
      <w:r w:rsidR="002811DE" w:rsidRPr="00813D19">
        <w:rPr>
          <w:color w:val="000000" w:themeColor="text1"/>
          <w:lang w:val="en-US"/>
        </w:rPr>
        <w:t xml:space="preserve"> the Secretary on the real pragmatism that characterized the Secretariat’s report. </w:t>
      </w:r>
      <w:r w:rsidR="00063AF7" w:rsidRPr="00813D19">
        <w:rPr>
          <w:color w:val="000000" w:themeColor="text1"/>
          <w:lang w:val="en-US"/>
        </w:rPr>
        <w:t xml:space="preserve">Finally, </w:t>
      </w:r>
      <w:r w:rsidR="00201D3C" w:rsidRPr="00813D19">
        <w:rPr>
          <w:color w:val="000000" w:themeColor="text1"/>
          <w:lang w:val="en-US"/>
        </w:rPr>
        <w:t xml:space="preserve">it </w:t>
      </w:r>
      <w:r w:rsidR="00063AF7" w:rsidRPr="00813D19">
        <w:rPr>
          <w:color w:val="000000" w:themeColor="text1"/>
          <w:lang w:val="en-US"/>
        </w:rPr>
        <w:t>express</w:t>
      </w:r>
      <w:r w:rsidR="00201D3C" w:rsidRPr="00813D19">
        <w:rPr>
          <w:color w:val="000000" w:themeColor="text1"/>
          <w:lang w:val="en-US"/>
        </w:rPr>
        <w:t>ed</w:t>
      </w:r>
      <w:r w:rsidR="00063AF7" w:rsidRPr="00813D19">
        <w:rPr>
          <w:color w:val="000000" w:themeColor="text1"/>
          <w:lang w:val="en-US"/>
        </w:rPr>
        <w:t xml:space="preserve"> confidence in the leadership of the Director-General </w:t>
      </w:r>
      <w:r w:rsidR="00201D3C" w:rsidRPr="00813D19">
        <w:rPr>
          <w:color w:val="000000" w:themeColor="text1"/>
          <w:lang w:val="en-US"/>
        </w:rPr>
        <w:t>who—</w:t>
      </w:r>
      <w:r w:rsidR="00063AF7" w:rsidRPr="00813D19">
        <w:rPr>
          <w:color w:val="000000" w:themeColor="text1"/>
          <w:lang w:val="en-US"/>
        </w:rPr>
        <w:t xml:space="preserve">with the </w:t>
      </w:r>
      <w:r w:rsidR="00F40881" w:rsidRPr="00813D19">
        <w:rPr>
          <w:color w:val="000000" w:themeColor="text1"/>
          <w:lang w:val="en-US"/>
        </w:rPr>
        <w:t xml:space="preserve">appointment </w:t>
      </w:r>
      <w:r w:rsidR="00063AF7" w:rsidRPr="00813D19">
        <w:rPr>
          <w:color w:val="000000" w:themeColor="text1"/>
          <w:lang w:val="en-US"/>
        </w:rPr>
        <w:t xml:space="preserve">of </w:t>
      </w:r>
      <w:r w:rsidR="00F40881" w:rsidRPr="00813D19">
        <w:rPr>
          <w:color w:val="000000" w:themeColor="text1"/>
          <w:lang w:val="en-US"/>
        </w:rPr>
        <w:t xml:space="preserve">various </w:t>
      </w:r>
      <w:r w:rsidR="00813D19" w:rsidRPr="00813D19">
        <w:rPr>
          <w:color w:val="000000" w:themeColor="text1"/>
          <w:lang w:val="en-US"/>
        </w:rPr>
        <w:t>administrators</w:t>
      </w:r>
      <w:r w:rsidR="00F40881" w:rsidRPr="00813D19">
        <w:rPr>
          <w:color w:val="000000" w:themeColor="text1"/>
          <w:lang w:val="en-US"/>
        </w:rPr>
        <w:t xml:space="preserve"> </w:t>
      </w:r>
      <w:r w:rsidR="00063AF7" w:rsidRPr="00813D19">
        <w:rPr>
          <w:color w:val="000000" w:themeColor="text1"/>
          <w:lang w:val="en-US"/>
        </w:rPr>
        <w:t>i</w:t>
      </w:r>
      <w:r w:rsidR="00F40881" w:rsidRPr="00813D19">
        <w:rPr>
          <w:color w:val="000000" w:themeColor="text1"/>
          <w:lang w:val="en-US"/>
        </w:rPr>
        <w:t>n the various fields of UNESCO—</w:t>
      </w:r>
      <w:r w:rsidR="00063AF7" w:rsidRPr="00813D19">
        <w:rPr>
          <w:color w:val="000000" w:themeColor="text1"/>
          <w:lang w:val="en-US"/>
        </w:rPr>
        <w:t xml:space="preserve">augurs for a new era </w:t>
      </w:r>
      <w:r w:rsidR="00F40881" w:rsidRPr="00813D19">
        <w:rPr>
          <w:color w:val="000000" w:themeColor="text1"/>
          <w:lang w:val="en-US"/>
        </w:rPr>
        <w:t>of knowledge-</w:t>
      </w:r>
      <w:r w:rsidR="00063AF7" w:rsidRPr="00813D19">
        <w:rPr>
          <w:color w:val="000000" w:themeColor="text1"/>
          <w:lang w:val="en-US"/>
        </w:rPr>
        <w:t xml:space="preserve">sharing and the general mobilization of </w:t>
      </w:r>
      <w:r w:rsidR="00F40881" w:rsidRPr="00813D19">
        <w:rPr>
          <w:color w:val="000000" w:themeColor="text1"/>
          <w:lang w:val="en-US"/>
        </w:rPr>
        <w:t>intangible cultural heritage</w:t>
      </w:r>
      <w:r w:rsidR="00063AF7" w:rsidRPr="00813D19">
        <w:rPr>
          <w:color w:val="000000" w:themeColor="text1"/>
          <w:lang w:val="en-US"/>
        </w:rPr>
        <w:t>.</w:t>
      </w:r>
    </w:p>
    <w:p w14:paraId="7E0BFFA7" w14:textId="699A595A" w:rsidR="00CF202A" w:rsidRPr="00813D19" w:rsidRDefault="00787EB8" w:rsidP="00F23FF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Palestine </w:t>
      </w:r>
      <w:r w:rsidR="00CF202A" w:rsidRPr="00813D19">
        <w:rPr>
          <w:color w:val="000000" w:themeColor="text1"/>
          <w:lang w:val="en-US"/>
        </w:rPr>
        <w:t>added its voice to those thanking</w:t>
      </w:r>
      <w:r w:rsidR="00361D5B" w:rsidRPr="00813D19">
        <w:rPr>
          <w:color w:val="000000" w:themeColor="text1"/>
          <w:lang w:val="en-US"/>
        </w:rPr>
        <w:t xml:space="preserve"> Mauritius,</w:t>
      </w:r>
      <w:r w:rsidR="00CF202A" w:rsidRPr="00813D19">
        <w:rPr>
          <w:color w:val="000000" w:themeColor="text1"/>
          <w:lang w:val="en-US"/>
        </w:rPr>
        <w:t xml:space="preserve"> </w:t>
      </w:r>
      <w:r w:rsidR="00DF4E1B" w:rsidRPr="00813D19">
        <w:rPr>
          <w:color w:val="000000" w:themeColor="text1"/>
          <w:lang w:val="en-US"/>
        </w:rPr>
        <w:t>and congratulated</w:t>
      </w:r>
      <w:r w:rsidR="00CF202A" w:rsidRPr="00813D19">
        <w:rPr>
          <w:color w:val="000000" w:themeColor="text1"/>
          <w:lang w:val="en-US"/>
        </w:rPr>
        <w:t xml:space="preserve"> the Secretariat for its work, not just for the report but also for all the work behind the </w:t>
      </w:r>
      <w:r w:rsidR="00361D5B" w:rsidRPr="00813D19">
        <w:rPr>
          <w:color w:val="000000" w:themeColor="text1"/>
          <w:lang w:val="en-US"/>
        </w:rPr>
        <w:t xml:space="preserve">scenes </w:t>
      </w:r>
      <w:r w:rsidR="00CF202A" w:rsidRPr="00813D19">
        <w:rPr>
          <w:color w:val="000000" w:themeColor="text1"/>
          <w:lang w:val="en-US"/>
        </w:rPr>
        <w:t xml:space="preserve">and its continuous efforts, for which it was grateful. The delegation joined in the comments made by the previous speakers, including the Philippines and the Netherlands, on the greater emphasis </w:t>
      </w:r>
      <w:r w:rsidR="00DF4E1B" w:rsidRPr="00813D19">
        <w:rPr>
          <w:color w:val="000000" w:themeColor="text1"/>
          <w:lang w:val="en-US"/>
        </w:rPr>
        <w:t xml:space="preserve">placed </w:t>
      </w:r>
      <w:r w:rsidR="00CF202A" w:rsidRPr="00813D19">
        <w:rPr>
          <w:color w:val="000000" w:themeColor="text1"/>
          <w:lang w:val="en-US"/>
        </w:rPr>
        <w:t>on inscription</w:t>
      </w:r>
      <w:r w:rsidR="00DF4E1B" w:rsidRPr="00813D19">
        <w:rPr>
          <w:color w:val="000000" w:themeColor="text1"/>
          <w:lang w:val="en-US"/>
        </w:rPr>
        <w:t>s</w:t>
      </w:r>
      <w:r w:rsidR="00CF202A" w:rsidRPr="00813D19">
        <w:rPr>
          <w:color w:val="000000" w:themeColor="text1"/>
          <w:lang w:val="en-US"/>
        </w:rPr>
        <w:t xml:space="preserve"> and very little post-inscription, notwithstanding the efforts made by the Secretariat</w:t>
      </w:r>
      <w:r w:rsidR="00DF4E1B" w:rsidRPr="00813D19">
        <w:rPr>
          <w:color w:val="000000" w:themeColor="text1"/>
          <w:lang w:val="en-US"/>
        </w:rPr>
        <w:t xml:space="preserve">, although </w:t>
      </w:r>
      <w:r w:rsidR="00CF202A" w:rsidRPr="00813D19">
        <w:rPr>
          <w:color w:val="000000" w:themeColor="text1"/>
          <w:lang w:val="en-US"/>
        </w:rPr>
        <w:t xml:space="preserve">the periodic reporting reform </w:t>
      </w:r>
      <w:r w:rsidR="00B659FB" w:rsidRPr="00813D19">
        <w:rPr>
          <w:color w:val="000000" w:themeColor="text1"/>
          <w:lang w:val="en-US"/>
        </w:rPr>
        <w:t>w</w:t>
      </w:r>
      <w:r w:rsidR="00B659FB">
        <w:rPr>
          <w:color w:val="000000" w:themeColor="text1"/>
          <w:lang w:val="en-US"/>
        </w:rPr>
        <w:t>ould</w:t>
      </w:r>
      <w:r w:rsidR="00B659FB" w:rsidRPr="00813D19">
        <w:rPr>
          <w:color w:val="000000" w:themeColor="text1"/>
          <w:lang w:val="en-US"/>
        </w:rPr>
        <w:t xml:space="preserve"> </w:t>
      </w:r>
      <w:r w:rsidR="00361D5B" w:rsidRPr="00813D19">
        <w:rPr>
          <w:color w:val="000000" w:themeColor="text1"/>
          <w:lang w:val="en-US"/>
        </w:rPr>
        <w:t xml:space="preserve">likely </w:t>
      </w:r>
      <w:r w:rsidR="00CF202A" w:rsidRPr="00813D19">
        <w:rPr>
          <w:color w:val="000000" w:themeColor="text1"/>
          <w:lang w:val="en-US"/>
        </w:rPr>
        <w:t>play a role</w:t>
      </w:r>
      <w:r w:rsidR="00361D5B" w:rsidRPr="00813D19">
        <w:rPr>
          <w:color w:val="000000" w:themeColor="text1"/>
          <w:lang w:val="en-US"/>
        </w:rPr>
        <w:t xml:space="preserve"> in this regard</w:t>
      </w:r>
      <w:r w:rsidR="00CF202A" w:rsidRPr="00813D19">
        <w:rPr>
          <w:color w:val="000000" w:themeColor="text1"/>
          <w:lang w:val="en-US"/>
        </w:rPr>
        <w:t xml:space="preserve">. </w:t>
      </w:r>
      <w:r w:rsidR="00DF4E1B" w:rsidRPr="00813D19">
        <w:rPr>
          <w:color w:val="000000" w:themeColor="text1"/>
          <w:lang w:val="en-US"/>
        </w:rPr>
        <w:t xml:space="preserve">Another </w:t>
      </w:r>
      <w:r w:rsidR="00CF202A" w:rsidRPr="00813D19">
        <w:rPr>
          <w:color w:val="000000" w:themeColor="text1"/>
          <w:lang w:val="en-US"/>
        </w:rPr>
        <w:t>important issue</w:t>
      </w:r>
      <w:r w:rsidR="00DF4E1B" w:rsidRPr="00813D19">
        <w:rPr>
          <w:color w:val="000000" w:themeColor="text1"/>
          <w:lang w:val="en-US"/>
        </w:rPr>
        <w:t xml:space="preserve"> on the agenda concerned the protection of intangible cultural heritage in conflict areas</w:t>
      </w:r>
      <w:r w:rsidR="00CF202A" w:rsidRPr="00813D19">
        <w:rPr>
          <w:color w:val="000000" w:themeColor="text1"/>
          <w:lang w:val="en-US"/>
        </w:rPr>
        <w:t xml:space="preserve">, and </w:t>
      </w:r>
      <w:r w:rsidR="00DF4E1B" w:rsidRPr="00813D19">
        <w:rPr>
          <w:color w:val="000000" w:themeColor="text1"/>
          <w:lang w:val="en-US"/>
        </w:rPr>
        <w:t>the delegation hoped that the S</w:t>
      </w:r>
      <w:r w:rsidR="00CF202A" w:rsidRPr="00813D19">
        <w:rPr>
          <w:color w:val="000000" w:themeColor="text1"/>
          <w:lang w:val="en-US"/>
        </w:rPr>
        <w:t xml:space="preserve">ecretariat </w:t>
      </w:r>
      <w:r w:rsidR="00DF4E1B" w:rsidRPr="00813D19">
        <w:rPr>
          <w:color w:val="000000" w:themeColor="text1"/>
          <w:lang w:val="en-US"/>
        </w:rPr>
        <w:t xml:space="preserve">would </w:t>
      </w:r>
      <w:r w:rsidR="00CF202A" w:rsidRPr="00813D19">
        <w:rPr>
          <w:color w:val="000000" w:themeColor="text1"/>
          <w:lang w:val="en-US"/>
        </w:rPr>
        <w:t xml:space="preserve">continue to </w:t>
      </w:r>
      <w:r w:rsidR="00DF4E1B" w:rsidRPr="00813D19">
        <w:rPr>
          <w:color w:val="000000" w:themeColor="text1"/>
          <w:lang w:val="en-US"/>
        </w:rPr>
        <w:t>addres</w:t>
      </w:r>
      <w:r w:rsidR="00361D5B" w:rsidRPr="00813D19">
        <w:rPr>
          <w:color w:val="000000" w:themeColor="text1"/>
          <w:lang w:val="en-US"/>
        </w:rPr>
        <w:t>s</w:t>
      </w:r>
      <w:r w:rsidR="00B67A60">
        <w:rPr>
          <w:color w:val="000000" w:themeColor="text1"/>
          <w:lang w:val="en-US"/>
        </w:rPr>
        <w:t xml:space="preserve"> this important issue.</w:t>
      </w:r>
    </w:p>
    <w:p w14:paraId="3CD4A9A8" w14:textId="6162CE99" w:rsidR="00587CF3" w:rsidRPr="00813D19" w:rsidRDefault="00587CF3" w:rsidP="00F23FF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Poland </w:t>
      </w:r>
      <w:r w:rsidR="004049E2" w:rsidRPr="00813D19">
        <w:rPr>
          <w:bCs/>
          <w:lang w:val="en-US"/>
        </w:rPr>
        <w:t>congratulate</w:t>
      </w:r>
      <w:r w:rsidR="00DF4E1B" w:rsidRPr="00813D19">
        <w:rPr>
          <w:bCs/>
          <w:lang w:val="en-US"/>
        </w:rPr>
        <w:t>d</w:t>
      </w:r>
      <w:r w:rsidR="004049E2" w:rsidRPr="00813D19">
        <w:rPr>
          <w:bCs/>
          <w:lang w:val="en-US"/>
        </w:rPr>
        <w:t xml:space="preserve"> the host country</w:t>
      </w:r>
      <w:r w:rsidR="00DF4E1B" w:rsidRPr="00813D19">
        <w:rPr>
          <w:bCs/>
          <w:lang w:val="en-US"/>
        </w:rPr>
        <w:t xml:space="preserve"> of Mauritius</w:t>
      </w:r>
      <w:r w:rsidR="004049E2" w:rsidRPr="00813D19">
        <w:rPr>
          <w:bCs/>
          <w:lang w:val="en-US"/>
        </w:rPr>
        <w:t xml:space="preserve"> for its chairmanship of the Committee and for its warm hospitality. </w:t>
      </w:r>
      <w:r w:rsidR="003A648E" w:rsidRPr="00813D19">
        <w:rPr>
          <w:bCs/>
          <w:lang w:val="en-US"/>
        </w:rPr>
        <w:t xml:space="preserve">It </w:t>
      </w:r>
      <w:r w:rsidR="004049E2" w:rsidRPr="00813D19">
        <w:rPr>
          <w:bCs/>
          <w:lang w:val="en-US"/>
        </w:rPr>
        <w:t>congratulate</w:t>
      </w:r>
      <w:r w:rsidR="003A648E" w:rsidRPr="00813D19">
        <w:rPr>
          <w:bCs/>
          <w:lang w:val="en-US"/>
        </w:rPr>
        <w:t>d</w:t>
      </w:r>
      <w:r w:rsidR="004049E2" w:rsidRPr="00813D19">
        <w:rPr>
          <w:bCs/>
          <w:lang w:val="en-US"/>
        </w:rPr>
        <w:t xml:space="preserve"> the Secretariat for its work </w:t>
      </w:r>
      <w:r w:rsidR="003A648E" w:rsidRPr="00813D19">
        <w:rPr>
          <w:bCs/>
          <w:lang w:val="en-US"/>
        </w:rPr>
        <w:t>and for the excellent report, and it looked</w:t>
      </w:r>
      <w:r w:rsidR="004049E2" w:rsidRPr="00813D19">
        <w:rPr>
          <w:bCs/>
          <w:lang w:val="en-US"/>
        </w:rPr>
        <w:t xml:space="preserve"> forward to the next steps in developing the Convention</w:t>
      </w:r>
      <w:r w:rsidR="003A648E" w:rsidRPr="00813D19">
        <w:rPr>
          <w:bCs/>
          <w:lang w:val="en-US"/>
        </w:rPr>
        <w:t>,</w:t>
      </w:r>
      <w:r w:rsidR="004049E2" w:rsidRPr="00813D19">
        <w:rPr>
          <w:bCs/>
          <w:lang w:val="en-US"/>
        </w:rPr>
        <w:t xml:space="preserve"> particular</w:t>
      </w:r>
      <w:r w:rsidR="003A648E" w:rsidRPr="00813D19">
        <w:rPr>
          <w:bCs/>
          <w:lang w:val="en-US"/>
        </w:rPr>
        <w:t>ly</w:t>
      </w:r>
      <w:r w:rsidR="004049E2" w:rsidRPr="00813D19">
        <w:rPr>
          <w:bCs/>
          <w:lang w:val="en-US"/>
        </w:rPr>
        <w:t xml:space="preserve"> </w:t>
      </w:r>
      <w:r w:rsidR="003A648E" w:rsidRPr="00813D19">
        <w:rPr>
          <w:bCs/>
          <w:lang w:val="en-US"/>
        </w:rPr>
        <w:t xml:space="preserve">as it wished </w:t>
      </w:r>
      <w:r w:rsidR="004049E2" w:rsidRPr="00813D19">
        <w:rPr>
          <w:bCs/>
          <w:lang w:val="en-US"/>
        </w:rPr>
        <w:t xml:space="preserve">to cooperate </w:t>
      </w:r>
      <w:r w:rsidR="003A648E" w:rsidRPr="00813D19">
        <w:rPr>
          <w:bCs/>
          <w:lang w:val="en-US"/>
        </w:rPr>
        <w:t xml:space="preserve">so as to better </w:t>
      </w:r>
      <w:r w:rsidR="004049E2" w:rsidRPr="00813D19">
        <w:rPr>
          <w:bCs/>
          <w:lang w:val="en-US"/>
        </w:rPr>
        <w:t xml:space="preserve">reflect on the revival of the Register of Good Safeguarding Practices. </w:t>
      </w:r>
      <w:r w:rsidR="003A648E" w:rsidRPr="00813D19">
        <w:rPr>
          <w:bCs/>
          <w:lang w:val="en-US"/>
        </w:rPr>
        <w:t xml:space="preserve">The delegation also sought closer cooperation with the </w:t>
      </w:r>
      <w:r w:rsidR="00361D5B" w:rsidRPr="00813D19">
        <w:rPr>
          <w:bCs/>
          <w:lang w:val="en-US"/>
        </w:rPr>
        <w:t>ICH</w:t>
      </w:r>
      <w:r w:rsidR="003A648E" w:rsidRPr="00813D19">
        <w:rPr>
          <w:bCs/>
          <w:lang w:val="en-US"/>
        </w:rPr>
        <w:t xml:space="preserve">NGO Forum. As a Committee </w:t>
      </w:r>
      <w:r w:rsidR="004049E2" w:rsidRPr="00813D19">
        <w:rPr>
          <w:bCs/>
          <w:lang w:val="en-US"/>
        </w:rPr>
        <w:t xml:space="preserve">Member </w:t>
      </w:r>
      <w:r w:rsidR="003A648E" w:rsidRPr="00813D19">
        <w:rPr>
          <w:bCs/>
          <w:lang w:val="en-US"/>
        </w:rPr>
        <w:t xml:space="preserve">for the first time, the delegation would </w:t>
      </w:r>
      <w:r w:rsidR="004049E2" w:rsidRPr="00813D19">
        <w:rPr>
          <w:bCs/>
          <w:lang w:val="en-US"/>
        </w:rPr>
        <w:t xml:space="preserve">do </w:t>
      </w:r>
      <w:r w:rsidR="003A648E" w:rsidRPr="00813D19">
        <w:rPr>
          <w:bCs/>
          <w:lang w:val="en-US"/>
        </w:rPr>
        <w:t xml:space="preserve">its utmost </w:t>
      </w:r>
      <w:r w:rsidR="004049E2" w:rsidRPr="00813D19">
        <w:rPr>
          <w:bCs/>
          <w:lang w:val="en-US"/>
        </w:rPr>
        <w:t xml:space="preserve">to </w:t>
      </w:r>
      <w:r w:rsidR="00361D5B" w:rsidRPr="00813D19">
        <w:rPr>
          <w:bCs/>
          <w:lang w:val="en-US"/>
        </w:rPr>
        <w:t xml:space="preserve">maintain </w:t>
      </w:r>
      <w:r w:rsidR="004049E2" w:rsidRPr="00813D19">
        <w:rPr>
          <w:bCs/>
          <w:lang w:val="en-US"/>
        </w:rPr>
        <w:t xml:space="preserve">a good </w:t>
      </w:r>
      <w:r w:rsidR="003A648E" w:rsidRPr="00813D19">
        <w:rPr>
          <w:bCs/>
          <w:lang w:val="en-US"/>
        </w:rPr>
        <w:t xml:space="preserve">working </w:t>
      </w:r>
      <w:r w:rsidR="004049E2" w:rsidRPr="00813D19">
        <w:rPr>
          <w:bCs/>
          <w:lang w:val="en-US"/>
        </w:rPr>
        <w:t>spirit</w:t>
      </w:r>
      <w:r w:rsidR="003A648E" w:rsidRPr="00813D19">
        <w:rPr>
          <w:bCs/>
          <w:lang w:val="en-US"/>
        </w:rPr>
        <w:t xml:space="preserve">, adding that it was </w:t>
      </w:r>
      <w:r w:rsidR="004049E2" w:rsidRPr="00813D19">
        <w:rPr>
          <w:bCs/>
          <w:lang w:val="en-US"/>
        </w:rPr>
        <w:t xml:space="preserve">very proud to </w:t>
      </w:r>
      <w:r w:rsidR="003A648E" w:rsidRPr="00813D19">
        <w:rPr>
          <w:bCs/>
          <w:lang w:val="en-US"/>
        </w:rPr>
        <w:t xml:space="preserve">have witnessed the </w:t>
      </w:r>
      <w:r w:rsidR="004049E2" w:rsidRPr="00813D19">
        <w:rPr>
          <w:bCs/>
          <w:lang w:val="en-US"/>
        </w:rPr>
        <w:t xml:space="preserve">historic moment when the Committee adopted </w:t>
      </w:r>
      <w:r w:rsidR="003A648E" w:rsidRPr="00813D19">
        <w:rPr>
          <w:bCs/>
          <w:lang w:val="en-US"/>
        </w:rPr>
        <w:t xml:space="preserve">the </w:t>
      </w:r>
      <w:r w:rsidR="004049E2" w:rsidRPr="00813D19">
        <w:rPr>
          <w:bCs/>
          <w:lang w:val="en-US"/>
        </w:rPr>
        <w:t>joint nomination</w:t>
      </w:r>
      <w:r w:rsidR="00043310">
        <w:rPr>
          <w:bCs/>
          <w:lang w:val="en-US"/>
        </w:rPr>
        <w:t xml:space="preserve"> from</w:t>
      </w:r>
      <w:r w:rsidR="004049E2" w:rsidRPr="00813D19">
        <w:rPr>
          <w:bCs/>
          <w:lang w:val="en-US"/>
        </w:rPr>
        <w:t xml:space="preserve"> the two Korean States. This decision proved that culture is definitely a tool for peace</w:t>
      </w:r>
      <w:r w:rsidR="003A648E" w:rsidRPr="00813D19">
        <w:rPr>
          <w:bCs/>
          <w:lang w:val="en-US"/>
        </w:rPr>
        <w:t>,</w:t>
      </w:r>
      <w:r w:rsidR="00361D5B" w:rsidRPr="00813D19">
        <w:rPr>
          <w:bCs/>
          <w:lang w:val="en-US"/>
        </w:rPr>
        <w:t xml:space="preserve"> and it </w:t>
      </w:r>
      <w:r w:rsidR="004049E2" w:rsidRPr="00813D19">
        <w:rPr>
          <w:bCs/>
          <w:lang w:val="en-US"/>
        </w:rPr>
        <w:t>hope</w:t>
      </w:r>
      <w:r w:rsidR="003A648E" w:rsidRPr="00813D19">
        <w:rPr>
          <w:bCs/>
          <w:lang w:val="en-US"/>
        </w:rPr>
        <w:t>d</w:t>
      </w:r>
      <w:r w:rsidR="004049E2" w:rsidRPr="00813D19">
        <w:rPr>
          <w:bCs/>
          <w:lang w:val="en-US"/>
        </w:rPr>
        <w:t xml:space="preserve"> that this spirit of dialogue and reconciliation </w:t>
      </w:r>
      <w:r w:rsidR="003A648E" w:rsidRPr="00813D19">
        <w:rPr>
          <w:bCs/>
          <w:lang w:val="en-US"/>
        </w:rPr>
        <w:t xml:space="preserve">would </w:t>
      </w:r>
      <w:r w:rsidR="004049E2" w:rsidRPr="00813D19">
        <w:rPr>
          <w:bCs/>
          <w:lang w:val="en-US"/>
        </w:rPr>
        <w:t xml:space="preserve">prevail in the </w:t>
      </w:r>
      <w:r w:rsidR="003A648E" w:rsidRPr="00813D19">
        <w:rPr>
          <w:bCs/>
          <w:lang w:val="en-US"/>
        </w:rPr>
        <w:t>further work of the Convention.</w:t>
      </w:r>
    </w:p>
    <w:p w14:paraId="6D41B48E" w14:textId="381FB21F" w:rsidR="00587CF3" w:rsidRPr="00813D19" w:rsidRDefault="00587CF3" w:rsidP="00F23FF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Guatemala </w:t>
      </w:r>
      <w:r w:rsidR="00A2788B" w:rsidRPr="00813D19">
        <w:rPr>
          <w:bCs/>
          <w:lang w:val="en-US"/>
        </w:rPr>
        <w:t>thanked</w:t>
      </w:r>
      <w:r w:rsidR="009D77D8" w:rsidRPr="00813D19">
        <w:rPr>
          <w:bCs/>
          <w:lang w:val="en-US"/>
        </w:rPr>
        <w:t xml:space="preserve"> the delegations and the host country of </w:t>
      </w:r>
      <w:r w:rsidR="004049E2" w:rsidRPr="00813D19">
        <w:rPr>
          <w:bCs/>
          <w:lang w:val="en-US"/>
        </w:rPr>
        <w:t xml:space="preserve">Mauritius for </w:t>
      </w:r>
      <w:r w:rsidR="009D77D8" w:rsidRPr="00813D19">
        <w:rPr>
          <w:bCs/>
          <w:lang w:val="en-US"/>
        </w:rPr>
        <w:t xml:space="preserve">its </w:t>
      </w:r>
      <w:r w:rsidR="00FF0344" w:rsidRPr="00813D19">
        <w:rPr>
          <w:bCs/>
          <w:lang w:val="en-US"/>
        </w:rPr>
        <w:t>wonderful welcome</w:t>
      </w:r>
      <w:r w:rsidR="004049E2" w:rsidRPr="00813D19">
        <w:rPr>
          <w:bCs/>
          <w:lang w:val="en-US"/>
        </w:rPr>
        <w:t xml:space="preserve">. </w:t>
      </w:r>
      <w:r w:rsidR="005B2DFC" w:rsidRPr="00813D19">
        <w:rPr>
          <w:bCs/>
          <w:lang w:val="en-US"/>
        </w:rPr>
        <w:t xml:space="preserve">It wished to share with the Committee </w:t>
      </w:r>
      <w:r w:rsidR="00876830" w:rsidRPr="00813D19">
        <w:rPr>
          <w:bCs/>
          <w:lang w:val="en-US"/>
        </w:rPr>
        <w:t xml:space="preserve">information about </w:t>
      </w:r>
      <w:r w:rsidR="005B2DFC" w:rsidRPr="00813D19">
        <w:rPr>
          <w:bCs/>
          <w:lang w:val="en-US"/>
        </w:rPr>
        <w:t xml:space="preserve">the ongoing </w:t>
      </w:r>
      <w:r w:rsidR="00813D19" w:rsidRPr="00813D19">
        <w:rPr>
          <w:bCs/>
          <w:lang w:val="en-US"/>
        </w:rPr>
        <w:t>activities</w:t>
      </w:r>
      <w:r w:rsidR="005B2DFC" w:rsidRPr="00813D19">
        <w:rPr>
          <w:bCs/>
          <w:lang w:val="en-US"/>
        </w:rPr>
        <w:t xml:space="preserve"> taking place in </w:t>
      </w:r>
      <w:r w:rsidR="004049E2" w:rsidRPr="00813D19">
        <w:rPr>
          <w:bCs/>
          <w:lang w:val="en-US"/>
        </w:rPr>
        <w:t>Guatemala</w:t>
      </w:r>
      <w:r w:rsidR="005B2DFC" w:rsidRPr="00813D19">
        <w:rPr>
          <w:bCs/>
          <w:lang w:val="en-US"/>
        </w:rPr>
        <w:t>,</w:t>
      </w:r>
      <w:r w:rsidR="004049E2" w:rsidRPr="00813D19">
        <w:rPr>
          <w:bCs/>
          <w:lang w:val="en-US"/>
        </w:rPr>
        <w:t xml:space="preserve"> </w:t>
      </w:r>
      <w:r w:rsidR="005B2DFC" w:rsidRPr="00813D19">
        <w:rPr>
          <w:bCs/>
          <w:lang w:val="en-US"/>
        </w:rPr>
        <w:t xml:space="preserve">as well as </w:t>
      </w:r>
      <w:r w:rsidR="004049E2" w:rsidRPr="00813D19">
        <w:rPr>
          <w:bCs/>
          <w:lang w:val="en-US"/>
        </w:rPr>
        <w:t xml:space="preserve">about the support </w:t>
      </w:r>
      <w:r w:rsidR="005B2DFC" w:rsidRPr="00813D19">
        <w:rPr>
          <w:bCs/>
          <w:lang w:val="en-US"/>
        </w:rPr>
        <w:t xml:space="preserve">received </w:t>
      </w:r>
      <w:r w:rsidR="004049E2" w:rsidRPr="00813D19">
        <w:rPr>
          <w:bCs/>
          <w:lang w:val="en-US"/>
        </w:rPr>
        <w:t>from UN</w:t>
      </w:r>
      <w:r w:rsidR="00876830" w:rsidRPr="00813D19">
        <w:rPr>
          <w:bCs/>
          <w:lang w:val="en-US"/>
        </w:rPr>
        <w:t>ESCO. The various decisions</w:t>
      </w:r>
      <w:r w:rsidR="004049E2" w:rsidRPr="00813D19">
        <w:rPr>
          <w:bCs/>
          <w:lang w:val="en-US"/>
        </w:rPr>
        <w:t xml:space="preserve"> taken in the context of </w:t>
      </w:r>
      <w:r w:rsidR="005B2DFC" w:rsidRPr="00813D19">
        <w:rPr>
          <w:bCs/>
          <w:lang w:val="en-US"/>
        </w:rPr>
        <w:t xml:space="preserve">the </w:t>
      </w:r>
      <w:r w:rsidR="004049E2" w:rsidRPr="00813D19">
        <w:rPr>
          <w:bCs/>
          <w:lang w:val="en-US"/>
        </w:rPr>
        <w:t xml:space="preserve">Convention </w:t>
      </w:r>
      <w:r w:rsidR="005B2DFC" w:rsidRPr="00813D19">
        <w:rPr>
          <w:bCs/>
          <w:lang w:val="en-US"/>
        </w:rPr>
        <w:t xml:space="preserve">had </w:t>
      </w:r>
      <w:r w:rsidR="004049E2" w:rsidRPr="00813D19">
        <w:rPr>
          <w:bCs/>
          <w:lang w:val="en-US"/>
        </w:rPr>
        <w:t>strengthe</w:t>
      </w:r>
      <w:r w:rsidR="005B2DFC" w:rsidRPr="00813D19">
        <w:rPr>
          <w:bCs/>
          <w:lang w:val="en-US"/>
        </w:rPr>
        <w:t>ned</w:t>
      </w:r>
      <w:r w:rsidR="004049E2" w:rsidRPr="00813D19">
        <w:rPr>
          <w:bCs/>
          <w:lang w:val="en-US"/>
        </w:rPr>
        <w:t xml:space="preserve"> the capacity of </w:t>
      </w:r>
      <w:r w:rsidR="005B2DFC" w:rsidRPr="00813D19">
        <w:rPr>
          <w:bCs/>
          <w:lang w:val="en-US"/>
        </w:rPr>
        <w:t xml:space="preserve">the </w:t>
      </w:r>
      <w:r w:rsidR="004049E2" w:rsidRPr="00813D19">
        <w:rPr>
          <w:bCs/>
          <w:lang w:val="en-US"/>
        </w:rPr>
        <w:t xml:space="preserve">different </w:t>
      </w:r>
      <w:r w:rsidR="005B2DFC" w:rsidRPr="00813D19">
        <w:rPr>
          <w:bCs/>
          <w:lang w:val="en-US"/>
        </w:rPr>
        <w:t xml:space="preserve">actors </w:t>
      </w:r>
      <w:r w:rsidR="004049E2" w:rsidRPr="00813D19">
        <w:rPr>
          <w:bCs/>
          <w:lang w:val="en-US"/>
        </w:rPr>
        <w:t>responsible for culture in Guatemala</w:t>
      </w:r>
      <w:r w:rsidR="005B2DFC" w:rsidRPr="00813D19">
        <w:rPr>
          <w:bCs/>
          <w:lang w:val="en-US"/>
        </w:rPr>
        <w:t xml:space="preserve">, which </w:t>
      </w:r>
      <w:r w:rsidR="00876830" w:rsidRPr="00813D19">
        <w:rPr>
          <w:bCs/>
          <w:lang w:val="en-US"/>
        </w:rPr>
        <w:t xml:space="preserve">in turn </w:t>
      </w:r>
      <w:r w:rsidR="005B2DFC" w:rsidRPr="00813D19">
        <w:rPr>
          <w:bCs/>
          <w:lang w:val="en-US"/>
        </w:rPr>
        <w:t xml:space="preserve">had helped establish </w:t>
      </w:r>
      <w:r w:rsidR="004049E2" w:rsidRPr="00813D19">
        <w:rPr>
          <w:bCs/>
          <w:lang w:val="en-US"/>
        </w:rPr>
        <w:t xml:space="preserve">inventories of intangible </w:t>
      </w:r>
      <w:r w:rsidR="005B2DFC" w:rsidRPr="00813D19">
        <w:rPr>
          <w:bCs/>
          <w:lang w:val="en-US"/>
        </w:rPr>
        <w:t xml:space="preserve">cultural </w:t>
      </w:r>
      <w:r w:rsidR="004049E2" w:rsidRPr="00813D19">
        <w:rPr>
          <w:bCs/>
          <w:lang w:val="en-US"/>
        </w:rPr>
        <w:t>heritage together with the communities</w:t>
      </w:r>
      <w:r w:rsidR="005B2DFC" w:rsidRPr="00813D19">
        <w:rPr>
          <w:bCs/>
          <w:lang w:val="en-US"/>
        </w:rPr>
        <w:t xml:space="preserve">. The delegation expressed </w:t>
      </w:r>
      <w:r w:rsidR="00043310">
        <w:rPr>
          <w:bCs/>
          <w:lang w:val="en-US"/>
        </w:rPr>
        <w:t xml:space="preserve">its </w:t>
      </w:r>
      <w:r w:rsidR="005B2DFC" w:rsidRPr="00813D19">
        <w:rPr>
          <w:bCs/>
          <w:lang w:val="en-US"/>
        </w:rPr>
        <w:t xml:space="preserve">gratitude </w:t>
      </w:r>
      <w:r w:rsidR="004049E2" w:rsidRPr="00813D19">
        <w:rPr>
          <w:bCs/>
          <w:lang w:val="en-US"/>
        </w:rPr>
        <w:t xml:space="preserve">to Azerbaijan for </w:t>
      </w:r>
      <w:r w:rsidR="001559D1" w:rsidRPr="00813D19">
        <w:rPr>
          <w:bCs/>
          <w:lang w:val="en-US"/>
        </w:rPr>
        <w:t>granting funds</w:t>
      </w:r>
      <w:r w:rsidR="004049E2" w:rsidRPr="00813D19">
        <w:rPr>
          <w:bCs/>
          <w:lang w:val="en-US"/>
        </w:rPr>
        <w:t xml:space="preserve"> in 2017 </w:t>
      </w:r>
      <w:r w:rsidR="001559D1" w:rsidRPr="00813D19">
        <w:rPr>
          <w:bCs/>
          <w:lang w:val="en-US"/>
        </w:rPr>
        <w:t xml:space="preserve">that </w:t>
      </w:r>
      <w:r w:rsidR="00876830" w:rsidRPr="00813D19">
        <w:rPr>
          <w:bCs/>
          <w:lang w:val="en-US"/>
        </w:rPr>
        <w:t xml:space="preserve">had </w:t>
      </w:r>
      <w:r w:rsidR="001559D1" w:rsidRPr="00813D19">
        <w:rPr>
          <w:bCs/>
          <w:lang w:val="en-US"/>
        </w:rPr>
        <w:t>e</w:t>
      </w:r>
      <w:r w:rsidR="00876830" w:rsidRPr="00813D19">
        <w:rPr>
          <w:bCs/>
          <w:lang w:val="en-US"/>
        </w:rPr>
        <w:t>n</w:t>
      </w:r>
      <w:r w:rsidR="001559D1" w:rsidRPr="00813D19">
        <w:rPr>
          <w:bCs/>
          <w:lang w:val="en-US"/>
        </w:rPr>
        <w:t>abled awareness-raising and capacity-</w:t>
      </w:r>
      <w:r w:rsidR="004049E2" w:rsidRPr="00813D19">
        <w:rPr>
          <w:bCs/>
          <w:lang w:val="en-US"/>
        </w:rPr>
        <w:t xml:space="preserve">building </w:t>
      </w:r>
      <w:r w:rsidR="00043310">
        <w:rPr>
          <w:bCs/>
          <w:lang w:val="en-US"/>
        </w:rPr>
        <w:t xml:space="preserve">activities </w:t>
      </w:r>
      <w:r w:rsidR="00876830" w:rsidRPr="00813D19">
        <w:rPr>
          <w:bCs/>
          <w:lang w:val="en-US"/>
        </w:rPr>
        <w:t>in</w:t>
      </w:r>
      <w:r w:rsidR="001559D1" w:rsidRPr="00813D19">
        <w:rPr>
          <w:bCs/>
          <w:lang w:val="en-US"/>
        </w:rPr>
        <w:t xml:space="preserve"> </w:t>
      </w:r>
      <w:r w:rsidR="004049E2" w:rsidRPr="00813D19">
        <w:rPr>
          <w:bCs/>
          <w:lang w:val="en-US"/>
        </w:rPr>
        <w:t>cert</w:t>
      </w:r>
      <w:r w:rsidR="00876830" w:rsidRPr="00813D19">
        <w:rPr>
          <w:bCs/>
          <w:lang w:val="en-US"/>
        </w:rPr>
        <w:t xml:space="preserve">ain municipalities in Guatemala, for example, </w:t>
      </w:r>
      <w:r w:rsidR="004049E2" w:rsidRPr="00813D19">
        <w:rPr>
          <w:bCs/>
          <w:lang w:val="en-US"/>
        </w:rPr>
        <w:t>in Esquipulas</w:t>
      </w:r>
      <w:r w:rsidR="00876830" w:rsidRPr="00813D19">
        <w:rPr>
          <w:bCs/>
          <w:lang w:val="en-US"/>
        </w:rPr>
        <w:t xml:space="preserve">, </w:t>
      </w:r>
      <w:r w:rsidR="005A2717" w:rsidRPr="00813D19">
        <w:rPr>
          <w:bCs/>
          <w:lang w:val="en-US"/>
        </w:rPr>
        <w:t xml:space="preserve">known for its </w:t>
      </w:r>
      <w:r w:rsidR="004049E2" w:rsidRPr="00813D19">
        <w:rPr>
          <w:bCs/>
          <w:lang w:val="en-US"/>
        </w:rPr>
        <w:t>Catholic</w:t>
      </w:r>
      <w:r w:rsidR="005A2717" w:rsidRPr="00813D19">
        <w:rPr>
          <w:bCs/>
          <w:lang w:val="en-US"/>
        </w:rPr>
        <w:t xml:space="preserve"> </w:t>
      </w:r>
      <w:r w:rsidR="005A2717" w:rsidRPr="00813D19">
        <w:rPr>
          <w:bCs/>
          <w:i/>
          <w:lang w:val="en-US"/>
        </w:rPr>
        <w:t>feria</w:t>
      </w:r>
      <w:r w:rsidR="00876830" w:rsidRPr="00813D19">
        <w:rPr>
          <w:bCs/>
          <w:lang w:val="en-US"/>
        </w:rPr>
        <w:t>,</w:t>
      </w:r>
      <w:r w:rsidR="004049E2" w:rsidRPr="00813D19">
        <w:rPr>
          <w:bCs/>
          <w:lang w:val="en-US"/>
        </w:rPr>
        <w:t xml:space="preserve"> and for the festivities </w:t>
      </w:r>
      <w:r w:rsidR="005A2717" w:rsidRPr="00813D19">
        <w:rPr>
          <w:bCs/>
          <w:lang w:val="en-US"/>
        </w:rPr>
        <w:t>of the Romer</w:t>
      </w:r>
      <w:r w:rsidR="00FB131E">
        <w:rPr>
          <w:bCs/>
          <w:lang w:val="en-US"/>
        </w:rPr>
        <w:t>í</w:t>
      </w:r>
      <w:r w:rsidR="005A2717" w:rsidRPr="00813D19">
        <w:rPr>
          <w:bCs/>
          <w:lang w:val="en-US"/>
        </w:rPr>
        <w:t xml:space="preserve">a and the image of the </w:t>
      </w:r>
      <w:r w:rsidR="005A2717" w:rsidRPr="00813D19">
        <w:rPr>
          <w:bCs/>
          <w:i/>
          <w:lang w:val="en-US"/>
        </w:rPr>
        <w:t>Christo Negro</w:t>
      </w:r>
      <w:r w:rsidR="005A2717" w:rsidRPr="00813D19">
        <w:rPr>
          <w:bCs/>
          <w:lang w:val="en-US"/>
        </w:rPr>
        <w:t xml:space="preserve">, as well as in the towns of </w:t>
      </w:r>
      <w:r w:rsidR="004049E2" w:rsidRPr="00813D19">
        <w:rPr>
          <w:lang w:val="en-US"/>
        </w:rPr>
        <w:t>San Antonio Palopó</w:t>
      </w:r>
      <w:r w:rsidR="005A2717" w:rsidRPr="00813D19">
        <w:rPr>
          <w:bCs/>
          <w:lang w:val="en-US"/>
        </w:rPr>
        <w:t xml:space="preserve"> and Chimaltinango that are </w:t>
      </w:r>
      <w:r w:rsidR="004049E2" w:rsidRPr="00813D19">
        <w:rPr>
          <w:bCs/>
          <w:lang w:val="en-US"/>
        </w:rPr>
        <w:t xml:space="preserve">also in the </w:t>
      </w:r>
      <w:r w:rsidR="005A2717" w:rsidRPr="00813D19">
        <w:rPr>
          <w:bCs/>
          <w:lang w:val="en-US"/>
        </w:rPr>
        <w:t xml:space="preserve">process of </w:t>
      </w:r>
      <w:r w:rsidR="004049E2" w:rsidRPr="00813D19">
        <w:rPr>
          <w:bCs/>
          <w:lang w:val="en-US"/>
        </w:rPr>
        <w:t>inventory</w:t>
      </w:r>
      <w:r w:rsidR="005A2717" w:rsidRPr="00813D19">
        <w:rPr>
          <w:bCs/>
          <w:lang w:val="en-US"/>
        </w:rPr>
        <w:t>ing</w:t>
      </w:r>
      <w:r w:rsidR="004049E2" w:rsidRPr="00813D19">
        <w:rPr>
          <w:bCs/>
          <w:lang w:val="en-US"/>
        </w:rPr>
        <w:t xml:space="preserve"> </w:t>
      </w:r>
      <w:r w:rsidR="005A2717" w:rsidRPr="00813D19">
        <w:rPr>
          <w:bCs/>
          <w:lang w:val="en-US"/>
        </w:rPr>
        <w:t>thei</w:t>
      </w:r>
      <w:r w:rsidR="0004280E" w:rsidRPr="00813D19">
        <w:rPr>
          <w:bCs/>
          <w:lang w:val="en-US"/>
        </w:rPr>
        <w:t>r</w:t>
      </w:r>
      <w:r w:rsidR="005A2717" w:rsidRPr="00813D19">
        <w:rPr>
          <w:bCs/>
          <w:lang w:val="en-US"/>
        </w:rPr>
        <w:t xml:space="preserve"> intangible cultural heritage, notably in the </w:t>
      </w:r>
      <w:r w:rsidR="004049E2" w:rsidRPr="00813D19">
        <w:rPr>
          <w:bCs/>
          <w:lang w:val="en-US"/>
        </w:rPr>
        <w:t>ceramics</w:t>
      </w:r>
      <w:r w:rsidR="005A2717" w:rsidRPr="00813D19">
        <w:rPr>
          <w:bCs/>
          <w:lang w:val="en-US"/>
        </w:rPr>
        <w:t xml:space="preserve"> of the area</w:t>
      </w:r>
      <w:r w:rsidR="004049E2" w:rsidRPr="00813D19">
        <w:rPr>
          <w:bCs/>
          <w:lang w:val="en-US"/>
        </w:rPr>
        <w:t xml:space="preserve">. </w:t>
      </w:r>
      <w:r w:rsidR="0004280E" w:rsidRPr="00813D19">
        <w:rPr>
          <w:bCs/>
          <w:lang w:val="en-US"/>
        </w:rPr>
        <w:t xml:space="preserve">The delegation took the </w:t>
      </w:r>
      <w:r w:rsidR="004049E2" w:rsidRPr="00813D19">
        <w:rPr>
          <w:bCs/>
          <w:lang w:val="en-US"/>
        </w:rPr>
        <w:t xml:space="preserve">opportunity to commend the </w:t>
      </w:r>
      <w:r w:rsidR="0004280E" w:rsidRPr="00813D19">
        <w:rPr>
          <w:bCs/>
          <w:lang w:val="en-US"/>
        </w:rPr>
        <w:t xml:space="preserve">excellent </w:t>
      </w:r>
      <w:r w:rsidR="004049E2" w:rsidRPr="00813D19">
        <w:rPr>
          <w:bCs/>
          <w:lang w:val="en-US"/>
        </w:rPr>
        <w:t xml:space="preserve">decision </w:t>
      </w:r>
      <w:r w:rsidR="0004280E" w:rsidRPr="00813D19">
        <w:rPr>
          <w:bCs/>
          <w:lang w:val="en-US"/>
        </w:rPr>
        <w:t>to inscribe the joint element of the two Korean nations,</w:t>
      </w:r>
      <w:r w:rsidR="004049E2" w:rsidRPr="00813D19">
        <w:rPr>
          <w:bCs/>
          <w:lang w:val="en-US"/>
        </w:rPr>
        <w:t xml:space="preserve"> which </w:t>
      </w:r>
      <w:r w:rsidR="000E648E" w:rsidRPr="00813D19">
        <w:rPr>
          <w:bCs/>
          <w:lang w:val="en-US"/>
        </w:rPr>
        <w:t xml:space="preserve">had </w:t>
      </w:r>
      <w:r w:rsidR="004049E2" w:rsidRPr="00813D19">
        <w:rPr>
          <w:bCs/>
          <w:lang w:val="en-US"/>
        </w:rPr>
        <w:t>made history</w:t>
      </w:r>
      <w:r w:rsidR="0004280E" w:rsidRPr="00813D19">
        <w:rPr>
          <w:bCs/>
          <w:lang w:val="en-US"/>
        </w:rPr>
        <w:t xml:space="preserve">, adding that </w:t>
      </w:r>
      <w:r w:rsidR="004049E2" w:rsidRPr="00813D19">
        <w:rPr>
          <w:bCs/>
          <w:lang w:val="en-US"/>
        </w:rPr>
        <w:t xml:space="preserve">this </w:t>
      </w:r>
      <w:r w:rsidR="0004280E" w:rsidRPr="00813D19">
        <w:rPr>
          <w:bCs/>
          <w:lang w:val="en-US"/>
        </w:rPr>
        <w:t>Committee continued</w:t>
      </w:r>
      <w:r w:rsidR="004049E2" w:rsidRPr="00813D19">
        <w:rPr>
          <w:bCs/>
          <w:lang w:val="en-US"/>
        </w:rPr>
        <w:t xml:space="preserve"> to be a forum for dialogue and peace. </w:t>
      </w:r>
      <w:r w:rsidR="0004280E" w:rsidRPr="00813D19">
        <w:rPr>
          <w:bCs/>
          <w:lang w:val="en-US"/>
        </w:rPr>
        <w:t xml:space="preserve">Moreover, many </w:t>
      </w:r>
      <w:r w:rsidR="004049E2" w:rsidRPr="00813D19">
        <w:rPr>
          <w:bCs/>
          <w:lang w:val="en-US"/>
        </w:rPr>
        <w:t xml:space="preserve">countries </w:t>
      </w:r>
      <w:r w:rsidR="0004280E" w:rsidRPr="00813D19">
        <w:rPr>
          <w:bCs/>
          <w:lang w:val="en-US"/>
        </w:rPr>
        <w:t xml:space="preserve">represented in this session </w:t>
      </w:r>
      <w:r w:rsidR="004049E2" w:rsidRPr="00813D19">
        <w:rPr>
          <w:bCs/>
          <w:lang w:val="en-US"/>
        </w:rPr>
        <w:t>and in the f</w:t>
      </w:r>
      <w:r w:rsidR="0004280E" w:rsidRPr="00813D19">
        <w:rPr>
          <w:bCs/>
          <w:lang w:val="en-US"/>
        </w:rPr>
        <w:t xml:space="preserve">uture </w:t>
      </w:r>
      <w:r w:rsidR="00043310" w:rsidRPr="00813D19">
        <w:rPr>
          <w:bCs/>
          <w:lang w:val="en-US"/>
        </w:rPr>
        <w:t>w</w:t>
      </w:r>
      <w:r w:rsidR="00043310">
        <w:rPr>
          <w:bCs/>
          <w:lang w:val="en-US"/>
        </w:rPr>
        <w:t xml:space="preserve">ould </w:t>
      </w:r>
      <w:r w:rsidR="0004280E" w:rsidRPr="00813D19">
        <w:rPr>
          <w:bCs/>
          <w:lang w:val="en-US"/>
        </w:rPr>
        <w:t xml:space="preserve">be making proposals and </w:t>
      </w:r>
      <w:r w:rsidR="004049E2" w:rsidRPr="00813D19">
        <w:rPr>
          <w:bCs/>
          <w:lang w:val="en-US"/>
        </w:rPr>
        <w:t xml:space="preserve">must be given the opportunity to contribute </w:t>
      </w:r>
      <w:r w:rsidR="0004280E" w:rsidRPr="00813D19">
        <w:rPr>
          <w:bCs/>
          <w:lang w:val="en-US"/>
        </w:rPr>
        <w:t xml:space="preserve">and inquire </w:t>
      </w:r>
      <w:r w:rsidR="004049E2" w:rsidRPr="00813D19">
        <w:rPr>
          <w:bCs/>
          <w:lang w:val="en-US"/>
        </w:rPr>
        <w:t xml:space="preserve">so that UNESCO </w:t>
      </w:r>
      <w:r w:rsidR="00043310" w:rsidRPr="00813D19">
        <w:rPr>
          <w:bCs/>
          <w:lang w:val="en-US"/>
        </w:rPr>
        <w:t>c</w:t>
      </w:r>
      <w:r w:rsidR="00043310">
        <w:rPr>
          <w:bCs/>
          <w:lang w:val="en-US"/>
        </w:rPr>
        <w:t>ould</w:t>
      </w:r>
      <w:r w:rsidR="00043310" w:rsidRPr="00813D19">
        <w:rPr>
          <w:bCs/>
          <w:lang w:val="en-US"/>
        </w:rPr>
        <w:t xml:space="preserve"> </w:t>
      </w:r>
      <w:r w:rsidR="0004280E" w:rsidRPr="00813D19">
        <w:rPr>
          <w:bCs/>
          <w:lang w:val="en-US"/>
        </w:rPr>
        <w:t xml:space="preserve">be a central base from which </w:t>
      </w:r>
      <w:r w:rsidR="004049E2" w:rsidRPr="00813D19">
        <w:rPr>
          <w:bCs/>
          <w:lang w:val="en-US"/>
        </w:rPr>
        <w:t xml:space="preserve">the world </w:t>
      </w:r>
      <w:r w:rsidR="00043310" w:rsidRPr="00813D19">
        <w:rPr>
          <w:bCs/>
          <w:lang w:val="en-US"/>
        </w:rPr>
        <w:t>c</w:t>
      </w:r>
      <w:r w:rsidR="00043310">
        <w:rPr>
          <w:bCs/>
          <w:lang w:val="en-US"/>
        </w:rPr>
        <w:t xml:space="preserve">ould </w:t>
      </w:r>
      <w:r w:rsidR="0004280E" w:rsidRPr="00813D19">
        <w:rPr>
          <w:bCs/>
          <w:lang w:val="en-US"/>
        </w:rPr>
        <w:t xml:space="preserve">learn </w:t>
      </w:r>
      <w:r w:rsidR="004049E2" w:rsidRPr="00813D19">
        <w:rPr>
          <w:bCs/>
          <w:lang w:val="en-US"/>
        </w:rPr>
        <w:t xml:space="preserve">how </w:t>
      </w:r>
      <w:r w:rsidR="0004280E" w:rsidRPr="00813D19">
        <w:rPr>
          <w:bCs/>
          <w:lang w:val="en-US"/>
        </w:rPr>
        <w:t xml:space="preserve">to </w:t>
      </w:r>
      <w:r w:rsidR="004049E2" w:rsidRPr="00813D19">
        <w:rPr>
          <w:bCs/>
          <w:lang w:val="en-US"/>
        </w:rPr>
        <w:t>strengthen intangible cultural h</w:t>
      </w:r>
      <w:r w:rsidR="00DF4E1B" w:rsidRPr="00813D19">
        <w:rPr>
          <w:bCs/>
          <w:lang w:val="en-US"/>
        </w:rPr>
        <w:t>eritage in general</w:t>
      </w:r>
      <w:r w:rsidR="00B67A60">
        <w:rPr>
          <w:bCs/>
          <w:lang w:val="en-US"/>
        </w:rPr>
        <w:t>.</w:t>
      </w:r>
    </w:p>
    <w:p w14:paraId="2AEDB385" w14:textId="3301232F" w:rsidR="00C501F0" w:rsidRPr="00813D19" w:rsidRDefault="00C501F0" w:rsidP="00F23FF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Lebanon </w:t>
      </w:r>
      <w:r w:rsidR="00BA671C" w:rsidRPr="00813D19">
        <w:rPr>
          <w:color w:val="000000" w:themeColor="text1"/>
          <w:lang w:val="en-US"/>
        </w:rPr>
        <w:t xml:space="preserve">thanked the </w:t>
      </w:r>
      <w:r w:rsidR="00DA2871" w:rsidRPr="00813D19">
        <w:rPr>
          <w:bCs/>
          <w:lang w:val="en-US"/>
        </w:rPr>
        <w:t xml:space="preserve">Chairperson and </w:t>
      </w:r>
      <w:r w:rsidR="00BA671C" w:rsidRPr="00813D19">
        <w:rPr>
          <w:bCs/>
          <w:lang w:val="en-US"/>
        </w:rPr>
        <w:t xml:space="preserve">Mauritius </w:t>
      </w:r>
      <w:r w:rsidR="00DA2871" w:rsidRPr="00813D19">
        <w:rPr>
          <w:bCs/>
          <w:lang w:val="en-US"/>
        </w:rPr>
        <w:t xml:space="preserve">for hosting </w:t>
      </w:r>
      <w:r w:rsidR="0004280E" w:rsidRPr="00813D19">
        <w:rPr>
          <w:bCs/>
          <w:lang w:val="en-US"/>
        </w:rPr>
        <w:t xml:space="preserve">the Committee </w:t>
      </w:r>
      <w:r w:rsidR="00DA2871" w:rsidRPr="00813D19">
        <w:rPr>
          <w:bCs/>
          <w:lang w:val="en-US"/>
        </w:rPr>
        <w:t xml:space="preserve">and for </w:t>
      </w:r>
      <w:r w:rsidR="0004280E" w:rsidRPr="00813D19">
        <w:rPr>
          <w:bCs/>
          <w:lang w:val="en-US"/>
        </w:rPr>
        <w:t xml:space="preserve">their organization of this session, as well as the Secretary </w:t>
      </w:r>
      <w:r w:rsidR="00DA2871" w:rsidRPr="00813D19">
        <w:rPr>
          <w:bCs/>
          <w:lang w:val="en-US"/>
        </w:rPr>
        <w:t>and the Secretariat for the</w:t>
      </w:r>
      <w:r w:rsidR="0004280E" w:rsidRPr="00813D19">
        <w:rPr>
          <w:bCs/>
          <w:lang w:val="en-US"/>
        </w:rPr>
        <w:t>ir</w:t>
      </w:r>
      <w:r w:rsidR="00DA2871" w:rsidRPr="00813D19">
        <w:rPr>
          <w:bCs/>
          <w:lang w:val="en-US"/>
        </w:rPr>
        <w:t xml:space="preserve"> report and for all their efforts. Lebanon </w:t>
      </w:r>
      <w:r w:rsidR="0004280E" w:rsidRPr="00813D19">
        <w:rPr>
          <w:bCs/>
          <w:lang w:val="en-US"/>
        </w:rPr>
        <w:t xml:space="preserve">is </w:t>
      </w:r>
      <w:r w:rsidR="00DA2871" w:rsidRPr="00813D19">
        <w:rPr>
          <w:bCs/>
          <w:lang w:val="en-US"/>
        </w:rPr>
        <w:t xml:space="preserve">a very diverse country </w:t>
      </w:r>
      <w:r w:rsidR="0004280E" w:rsidRPr="00813D19">
        <w:rPr>
          <w:bCs/>
          <w:lang w:val="en-US"/>
        </w:rPr>
        <w:t xml:space="preserve">that places great </w:t>
      </w:r>
      <w:r w:rsidR="00DA2871" w:rsidRPr="00813D19">
        <w:rPr>
          <w:bCs/>
          <w:lang w:val="en-US"/>
        </w:rPr>
        <w:t xml:space="preserve">importance </w:t>
      </w:r>
      <w:r w:rsidR="0004280E" w:rsidRPr="00813D19">
        <w:rPr>
          <w:bCs/>
          <w:lang w:val="en-US"/>
        </w:rPr>
        <w:t xml:space="preserve">on </w:t>
      </w:r>
      <w:r w:rsidR="00DA2871" w:rsidRPr="00813D19">
        <w:rPr>
          <w:bCs/>
          <w:lang w:val="en-US"/>
        </w:rPr>
        <w:t xml:space="preserve">acknowledging and preserving intangible </w:t>
      </w:r>
      <w:r w:rsidR="0004280E" w:rsidRPr="00813D19">
        <w:rPr>
          <w:bCs/>
          <w:lang w:val="en-US"/>
        </w:rPr>
        <w:t xml:space="preserve">cultural </w:t>
      </w:r>
      <w:r w:rsidR="00DA2871" w:rsidRPr="00813D19">
        <w:rPr>
          <w:bCs/>
          <w:lang w:val="en-US"/>
        </w:rPr>
        <w:t xml:space="preserve">heritage as a tool to </w:t>
      </w:r>
      <w:r w:rsidR="0004280E" w:rsidRPr="00813D19">
        <w:rPr>
          <w:bCs/>
          <w:lang w:val="en-US"/>
        </w:rPr>
        <w:t xml:space="preserve">broaden </w:t>
      </w:r>
      <w:r w:rsidR="00DA2871" w:rsidRPr="00813D19">
        <w:rPr>
          <w:bCs/>
          <w:lang w:val="en-US"/>
        </w:rPr>
        <w:t xml:space="preserve">understanding and reconciliation </w:t>
      </w:r>
      <w:r w:rsidR="0004280E" w:rsidRPr="00813D19">
        <w:rPr>
          <w:bCs/>
          <w:lang w:val="en-US"/>
        </w:rPr>
        <w:t>for the promotion of peace</w:t>
      </w:r>
      <w:r w:rsidR="00DA2871" w:rsidRPr="00813D19">
        <w:rPr>
          <w:bCs/>
          <w:lang w:val="en-US"/>
        </w:rPr>
        <w:t xml:space="preserve"> and sustainable development. </w:t>
      </w:r>
      <w:r w:rsidR="0004280E" w:rsidRPr="00813D19">
        <w:rPr>
          <w:bCs/>
          <w:lang w:val="en-US"/>
        </w:rPr>
        <w:t xml:space="preserve">In Lebanon, it is believed </w:t>
      </w:r>
      <w:r w:rsidR="00DA2871" w:rsidRPr="00813D19">
        <w:rPr>
          <w:bCs/>
          <w:lang w:val="en-US"/>
        </w:rPr>
        <w:t xml:space="preserve">that </w:t>
      </w:r>
      <w:r w:rsidR="0004280E" w:rsidRPr="00813D19">
        <w:rPr>
          <w:bCs/>
          <w:lang w:val="en-US"/>
        </w:rPr>
        <w:t xml:space="preserve">this </w:t>
      </w:r>
      <w:r w:rsidR="00DA2871" w:rsidRPr="00813D19">
        <w:rPr>
          <w:bCs/>
          <w:lang w:val="en-US"/>
        </w:rPr>
        <w:t xml:space="preserve">should be part of </w:t>
      </w:r>
      <w:r w:rsidR="0004280E" w:rsidRPr="00813D19">
        <w:rPr>
          <w:bCs/>
          <w:lang w:val="en-US"/>
        </w:rPr>
        <w:t xml:space="preserve">everyday </w:t>
      </w:r>
      <w:r w:rsidR="00DA2871" w:rsidRPr="00813D19">
        <w:rPr>
          <w:bCs/>
          <w:lang w:val="en-US"/>
        </w:rPr>
        <w:t>education and</w:t>
      </w:r>
      <w:r w:rsidR="000E648E" w:rsidRPr="00813D19">
        <w:rPr>
          <w:bCs/>
          <w:lang w:val="en-US"/>
        </w:rPr>
        <w:t>,</w:t>
      </w:r>
      <w:r w:rsidR="00DA2871" w:rsidRPr="00813D19">
        <w:rPr>
          <w:bCs/>
          <w:lang w:val="en-US"/>
        </w:rPr>
        <w:t xml:space="preserve"> a</w:t>
      </w:r>
      <w:r w:rsidR="0004280E" w:rsidRPr="00813D19">
        <w:rPr>
          <w:bCs/>
          <w:lang w:val="en-US"/>
        </w:rPr>
        <w:t>s such</w:t>
      </w:r>
      <w:r w:rsidR="000E648E" w:rsidRPr="00813D19">
        <w:rPr>
          <w:bCs/>
          <w:lang w:val="en-US"/>
        </w:rPr>
        <w:t>,</w:t>
      </w:r>
      <w:r w:rsidR="0004280E" w:rsidRPr="00813D19">
        <w:rPr>
          <w:bCs/>
          <w:lang w:val="en-US"/>
        </w:rPr>
        <w:t xml:space="preserve"> a</w:t>
      </w:r>
      <w:r w:rsidR="00DA2871" w:rsidRPr="00813D19">
        <w:rPr>
          <w:bCs/>
          <w:lang w:val="en-US"/>
        </w:rPr>
        <w:t xml:space="preserve"> pilot project </w:t>
      </w:r>
      <w:r w:rsidR="0004280E" w:rsidRPr="00813D19">
        <w:rPr>
          <w:bCs/>
          <w:lang w:val="en-US"/>
        </w:rPr>
        <w:t xml:space="preserve">had just been launched </w:t>
      </w:r>
      <w:r w:rsidR="00DA2871" w:rsidRPr="00813D19">
        <w:rPr>
          <w:bCs/>
          <w:lang w:val="en-US"/>
        </w:rPr>
        <w:t>to introduce intangible cultural heri</w:t>
      </w:r>
      <w:r w:rsidR="000E648E" w:rsidRPr="00813D19">
        <w:rPr>
          <w:bCs/>
          <w:lang w:val="en-US"/>
        </w:rPr>
        <w:t xml:space="preserve">tage into the education system, </w:t>
      </w:r>
      <w:r w:rsidR="0004280E" w:rsidRPr="00813D19">
        <w:rPr>
          <w:bCs/>
          <w:lang w:val="en-US"/>
        </w:rPr>
        <w:t xml:space="preserve">specifically in </w:t>
      </w:r>
      <w:r w:rsidR="00DA2871" w:rsidRPr="00813D19">
        <w:rPr>
          <w:bCs/>
          <w:lang w:val="en-US"/>
        </w:rPr>
        <w:t xml:space="preserve">secondary schools. In the same </w:t>
      </w:r>
      <w:r w:rsidR="0004280E" w:rsidRPr="00813D19">
        <w:rPr>
          <w:bCs/>
          <w:lang w:val="en-US"/>
        </w:rPr>
        <w:t>vein</w:t>
      </w:r>
      <w:r w:rsidR="00DA2871" w:rsidRPr="00813D19">
        <w:rPr>
          <w:bCs/>
          <w:lang w:val="en-US"/>
        </w:rPr>
        <w:t xml:space="preserve">, </w:t>
      </w:r>
      <w:r w:rsidR="0004280E" w:rsidRPr="00813D19">
        <w:rPr>
          <w:bCs/>
          <w:lang w:val="en-US"/>
        </w:rPr>
        <w:t xml:space="preserve">the delegation </w:t>
      </w:r>
      <w:r w:rsidR="00DA2871" w:rsidRPr="00813D19">
        <w:rPr>
          <w:bCs/>
          <w:lang w:val="en-US"/>
        </w:rPr>
        <w:t>encourage</w:t>
      </w:r>
      <w:r w:rsidR="0004280E" w:rsidRPr="00813D19">
        <w:rPr>
          <w:bCs/>
          <w:lang w:val="en-US"/>
        </w:rPr>
        <w:t>d</w:t>
      </w:r>
      <w:r w:rsidR="00DA2871" w:rsidRPr="00813D19">
        <w:rPr>
          <w:bCs/>
          <w:lang w:val="en-US"/>
        </w:rPr>
        <w:t xml:space="preserve"> the Secretariat to pursue its efforts </w:t>
      </w:r>
      <w:r w:rsidR="0004280E" w:rsidRPr="00813D19">
        <w:rPr>
          <w:bCs/>
          <w:lang w:val="en-US"/>
        </w:rPr>
        <w:t xml:space="preserve">in </w:t>
      </w:r>
      <w:r w:rsidR="00DA2871" w:rsidRPr="00813D19">
        <w:rPr>
          <w:bCs/>
          <w:lang w:val="en-US"/>
        </w:rPr>
        <w:t xml:space="preserve">safeguarding </w:t>
      </w:r>
      <w:r w:rsidR="0004280E" w:rsidRPr="00813D19">
        <w:rPr>
          <w:bCs/>
          <w:lang w:val="en-US"/>
        </w:rPr>
        <w:t xml:space="preserve">intangible cultural heritage </w:t>
      </w:r>
      <w:r w:rsidR="00DA2871" w:rsidRPr="00813D19">
        <w:rPr>
          <w:bCs/>
          <w:lang w:val="en-US"/>
        </w:rPr>
        <w:t xml:space="preserve">in emergency situations </w:t>
      </w:r>
      <w:r w:rsidR="00F1554B" w:rsidRPr="00813D19">
        <w:rPr>
          <w:bCs/>
          <w:lang w:val="en-US"/>
        </w:rPr>
        <w:t>for two reasons:</w:t>
      </w:r>
      <w:r w:rsidR="00DA2871" w:rsidRPr="00813D19">
        <w:rPr>
          <w:bCs/>
          <w:lang w:val="en-US"/>
        </w:rPr>
        <w:t xml:space="preserve"> </w:t>
      </w:r>
      <w:r w:rsidR="00F1554B" w:rsidRPr="00813D19">
        <w:rPr>
          <w:bCs/>
          <w:lang w:val="en-US"/>
        </w:rPr>
        <w:t xml:space="preserve">i) </w:t>
      </w:r>
      <w:r w:rsidR="00DA2871" w:rsidRPr="00813D19">
        <w:rPr>
          <w:bCs/>
          <w:lang w:val="en-US"/>
        </w:rPr>
        <w:t xml:space="preserve">Lebanon is </w:t>
      </w:r>
      <w:r w:rsidR="00F1554B" w:rsidRPr="00813D19">
        <w:rPr>
          <w:bCs/>
          <w:lang w:val="en-US"/>
        </w:rPr>
        <w:t xml:space="preserve">a host country for over </w:t>
      </w:r>
      <w:r w:rsidR="00043310">
        <w:rPr>
          <w:bCs/>
          <w:lang w:val="en-US"/>
        </w:rPr>
        <w:t>one</w:t>
      </w:r>
      <w:r w:rsidR="00043310" w:rsidRPr="00813D19">
        <w:rPr>
          <w:bCs/>
          <w:lang w:val="en-US"/>
        </w:rPr>
        <w:t xml:space="preserve"> </w:t>
      </w:r>
      <w:r w:rsidR="00F1554B" w:rsidRPr="00813D19">
        <w:rPr>
          <w:bCs/>
          <w:lang w:val="en-US"/>
        </w:rPr>
        <w:t>million</w:t>
      </w:r>
      <w:r w:rsidR="00DA2871" w:rsidRPr="00813D19">
        <w:rPr>
          <w:bCs/>
          <w:lang w:val="en-US"/>
        </w:rPr>
        <w:t xml:space="preserve"> Syrian refug</w:t>
      </w:r>
      <w:r w:rsidR="00F1554B" w:rsidRPr="00813D19">
        <w:rPr>
          <w:bCs/>
          <w:lang w:val="en-US"/>
        </w:rPr>
        <w:t>e</w:t>
      </w:r>
      <w:r w:rsidR="00DA2871" w:rsidRPr="00813D19">
        <w:rPr>
          <w:bCs/>
          <w:lang w:val="en-US"/>
        </w:rPr>
        <w:t>es</w:t>
      </w:r>
      <w:r w:rsidR="00F1554B" w:rsidRPr="00813D19">
        <w:rPr>
          <w:bCs/>
          <w:lang w:val="en-US"/>
        </w:rPr>
        <w:t>;</w:t>
      </w:r>
      <w:r w:rsidR="00DA2871" w:rsidRPr="00813D19">
        <w:rPr>
          <w:bCs/>
          <w:lang w:val="en-US"/>
        </w:rPr>
        <w:t xml:space="preserve"> and </w:t>
      </w:r>
      <w:r w:rsidR="00F1554B" w:rsidRPr="00813D19">
        <w:rPr>
          <w:bCs/>
          <w:lang w:val="en-US"/>
        </w:rPr>
        <w:t xml:space="preserve">ii) </w:t>
      </w:r>
      <w:r w:rsidR="00DA2871" w:rsidRPr="00813D19">
        <w:rPr>
          <w:bCs/>
          <w:lang w:val="en-US"/>
        </w:rPr>
        <w:t>Lebanon is still trying to return the internally displace</w:t>
      </w:r>
      <w:r w:rsidR="00F1554B" w:rsidRPr="00813D19">
        <w:rPr>
          <w:bCs/>
          <w:lang w:val="en-US"/>
        </w:rPr>
        <w:t>d</w:t>
      </w:r>
      <w:r w:rsidR="00DA2871" w:rsidRPr="00813D19">
        <w:rPr>
          <w:bCs/>
          <w:lang w:val="en-US"/>
        </w:rPr>
        <w:t xml:space="preserve"> Lebanese from the civil war ba</w:t>
      </w:r>
      <w:r w:rsidR="00F1554B" w:rsidRPr="00813D19">
        <w:rPr>
          <w:bCs/>
          <w:lang w:val="en-US"/>
        </w:rPr>
        <w:t>ck to their villages and cities.</w:t>
      </w:r>
    </w:p>
    <w:p w14:paraId="09036973" w14:textId="16E0BCD1" w:rsidR="00F1554B" w:rsidRPr="00813D19" w:rsidRDefault="00640EB8" w:rsidP="005F5E18">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Togo </w:t>
      </w:r>
      <w:r w:rsidR="005F5E18" w:rsidRPr="00813D19">
        <w:rPr>
          <w:color w:val="000000" w:themeColor="text1"/>
          <w:lang w:val="en-US"/>
        </w:rPr>
        <w:t>thanked</w:t>
      </w:r>
      <w:r w:rsidR="005F5E18" w:rsidRPr="00813D19">
        <w:rPr>
          <w:b/>
          <w:color w:val="000000" w:themeColor="text1"/>
          <w:lang w:val="en-US"/>
        </w:rPr>
        <w:t xml:space="preserve"> </w:t>
      </w:r>
      <w:r w:rsidR="00F1554B" w:rsidRPr="00813D19">
        <w:rPr>
          <w:color w:val="000000" w:themeColor="text1"/>
          <w:lang w:val="en-US"/>
        </w:rPr>
        <w:t xml:space="preserve">all </w:t>
      </w:r>
      <w:r w:rsidR="005F5E18" w:rsidRPr="00813D19">
        <w:rPr>
          <w:color w:val="000000" w:themeColor="text1"/>
          <w:lang w:val="en-US"/>
        </w:rPr>
        <w:t>the delegations</w:t>
      </w:r>
      <w:r w:rsidR="00F1554B" w:rsidRPr="00813D19">
        <w:rPr>
          <w:color w:val="000000" w:themeColor="text1"/>
          <w:lang w:val="en-US"/>
        </w:rPr>
        <w:t xml:space="preserve"> </w:t>
      </w:r>
      <w:r w:rsidR="005F5E18" w:rsidRPr="00813D19">
        <w:rPr>
          <w:color w:val="000000" w:themeColor="text1"/>
          <w:lang w:val="en-US"/>
        </w:rPr>
        <w:t xml:space="preserve">and congratulated </w:t>
      </w:r>
      <w:r w:rsidR="00F1554B" w:rsidRPr="00813D19">
        <w:rPr>
          <w:color w:val="000000" w:themeColor="text1"/>
          <w:lang w:val="en-US"/>
        </w:rPr>
        <w:t>the Secretariat</w:t>
      </w:r>
      <w:r w:rsidR="005F5E18" w:rsidRPr="00813D19">
        <w:rPr>
          <w:color w:val="000000" w:themeColor="text1"/>
          <w:lang w:val="en-US"/>
        </w:rPr>
        <w:t xml:space="preserve">, adding that Togo was </w:t>
      </w:r>
      <w:r w:rsidR="00F1554B" w:rsidRPr="00813D19">
        <w:rPr>
          <w:color w:val="000000" w:themeColor="text1"/>
          <w:lang w:val="en-US"/>
        </w:rPr>
        <w:t>hono</w:t>
      </w:r>
      <w:r w:rsidR="00C64B11">
        <w:rPr>
          <w:color w:val="000000" w:themeColor="text1"/>
          <w:lang w:val="en-US"/>
        </w:rPr>
        <w:t>u</w:t>
      </w:r>
      <w:r w:rsidR="00F1554B" w:rsidRPr="00813D19">
        <w:rPr>
          <w:color w:val="000000" w:themeColor="text1"/>
          <w:lang w:val="en-US"/>
        </w:rPr>
        <w:t xml:space="preserve">red </w:t>
      </w:r>
      <w:r w:rsidR="005F5E18" w:rsidRPr="00813D19">
        <w:rPr>
          <w:color w:val="000000" w:themeColor="text1"/>
          <w:lang w:val="en-US"/>
        </w:rPr>
        <w:t xml:space="preserve">to be have been elected </w:t>
      </w:r>
      <w:r w:rsidR="000E648E" w:rsidRPr="00813D19">
        <w:rPr>
          <w:color w:val="000000" w:themeColor="text1"/>
          <w:lang w:val="en-US"/>
        </w:rPr>
        <w:t xml:space="preserve">a Member </w:t>
      </w:r>
      <w:r w:rsidR="00043310">
        <w:rPr>
          <w:color w:val="000000" w:themeColor="text1"/>
          <w:lang w:val="en-US"/>
        </w:rPr>
        <w:t>of</w:t>
      </w:r>
      <w:r w:rsidR="00043310" w:rsidRPr="00813D19">
        <w:rPr>
          <w:color w:val="000000" w:themeColor="text1"/>
          <w:lang w:val="en-US"/>
        </w:rPr>
        <w:t xml:space="preserve"> </w:t>
      </w:r>
      <w:r w:rsidR="00F1554B" w:rsidRPr="00813D19">
        <w:rPr>
          <w:color w:val="000000" w:themeColor="text1"/>
          <w:lang w:val="en-US"/>
        </w:rPr>
        <w:t>the Committee</w:t>
      </w:r>
      <w:r w:rsidR="005F5E18" w:rsidRPr="00813D19">
        <w:rPr>
          <w:color w:val="000000" w:themeColor="text1"/>
          <w:lang w:val="en-US"/>
        </w:rPr>
        <w:t xml:space="preserve"> in 2017</w:t>
      </w:r>
      <w:r w:rsidR="00F1554B" w:rsidRPr="00813D19">
        <w:rPr>
          <w:color w:val="000000" w:themeColor="text1"/>
          <w:lang w:val="en-US"/>
        </w:rPr>
        <w:t xml:space="preserve">. It </w:t>
      </w:r>
      <w:r w:rsidR="005F5E18" w:rsidRPr="00813D19">
        <w:rPr>
          <w:color w:val="000000" w:themeColor="text1"/>
          <w:lang w:val="en-US"/>
        </w:rPr>
        <w:t xml:space="preserve">spoke of its sense of </w:t>
      </w:r>
      <w:r w:rsidR="00F1554B" w:rsidRPr="00813D19">
        <w:rPr>
          <w:color w:val="000000" w:themeColor="text1"/>
          <w:lang w:val="en-US"/>
        </w:rPr>
        <w:t xml:space="preserve">great joy and satisfaction </w:t>
      </w:r>
      <w:r w:rsidR="005F5E18" w:rsidRPr="00813D19">
        <w:rPr>
          <w:color w:val="000000" w:themeColor="text1"/>
          <w:lang w:val="en-US"/>
        </w:rPr>
        <w:t>to be serving the Committee for the first time, adding that Togo—together with UNESCO’s work on intangible cultural heritage—</w:t>
      </w:r>
      <w:r w:rsidR="00F1554B" w:rsidRPr="00813D19">
        <w:rPr>
          <w:color w:val="000000" w:themeColor="text1"/>
          <w:lang w:val="en-US"/>
        </w:rPr>
        <w:t xml:space="preserve">can follow suit and defend the objectives of </w:t>
      </w:r>
      <w:r w:rsidR="005F5E18" w:rsidRPr="00813D19">
        <w:rPr>
          <w:color w:val="000000" w:themeColor="text1"/>
          <w:lang w:val="en-US"/>
        </w:rPr>
        <w:t>intangible cultural heritage</w:t>
      </w:r>
      <w:r w:rsidR="00F1554B" w:rsidRPr="00813D19">
        <w:rPr>
          <w:color w:val="000000" w:themeColor="text1"/>
          <w:lang w:val="en-US"/>
        </w:rPr>
        <w:t xml:space="preserve">. Togo </w:t>
      </w:r>
      <w:r w:rsidR="005F5E18" w:rsidRPr="00813D19">
        <w:rPr>
          <w:color w:val="000000" w:themeColor="text1"/>
          <w:lang w:val="en-US"/>
        </w:rPr>
        <w:t xml:space="preserve">had </w:t>
      </w:r>
      <w:r w:rsidR="00F1554B" w:rsidRPr="00813D19">
        <w:rPr>
          <w:color w:val="000000" w:themeColor="text1"/>
          <w:lang w:val="en-US"/>
        </w:rPr>
        <w:t xml:space="preserve">benefited from a project </w:t>
      </w:r>
      <w:r w:rsidR="005F5E18" w:rsidRPr="00813D19">
        <w:rPr>
          <w:color w:val="000000" w:themeColor="text1"/>
          <w:lang w:val="en-US"/>
        </w:rPr>
        <w:t>to valorize and safeguard</w:t>
      </w:r>
      <w:r w:rsidR="00F1554B" w:rsidRPr="00813D19">
        <w:rPr>
          <w:color w:val="000000" w:themeColor="text1"/>
          <w:lang w:val="en-US"/>
        </w:rPr>
        <w:t xml:space="preserve"> the practice of traditional instruments</w:t>
      </w:r>
      <w:r w:rsidR="005F5E18" w:rsidRPr="00813D19">
        <w:rPr>
          <w:color w:val="000000" w:themeColor="text1"/>
          <w:lang w:val="en-US"/>
        </w:rPr>
        <w:t xml:space="preserve">, </w:t>
      </w:r>
      <w:r w:rsidR="00043310">
        <w:rPr>
          <w:color w:val="000000" w:themeColor="text1"/>
          <w:lang w:val="en-US"/>
        </w:rPr>
        <w:t>the</w:t>
      </w:r>
      <w:r w:rsidR="00043310" w:rsidRPr="00813D19">
        <w:rPr>
          <w:color w:val="000000" w:themeColor="text1"/>
          <w:lang w:val="en-US"/>
        </w:rPr>
        <w:t xml:space="preserve"> </w:t>
      </w:r>
      <w:r w:rsidR="00F1554B" w:rsidRPr="00813D19">
        <w:rPr>
          <w:color w:val="000000" w:themeColor="text1"/>
          <w:lang w:val="en-US"/>
        </w:rPr>
        <w:t xml:space="preserve">pilot phase </w:t>
      </w:r>
      <w:r w:rsidR="00043310">
        <w:rPr>
          <w:color w:val="000000" w:themeColor="text1"/>
          <w:lang w:val="en-US"/>
        </w:rPr>
        <w:t xml:space="preserve">of which </w:t>
      </w:r>
      <w:r w:rsidR="005F5E18" w:rsidRPr="00813D19">
        <w:rPr>
          <w:color w:val="000000" w:themeColor="text1"/>
          <w:lang w:val="en-US"/>
        </w:rPr>
        <w:t xml:space="preserve">had been </w:t>
      </w:r>
      <w:r w:rsidR="00F1554B" w:rsidRPr="00813D19">
        <w:rPr>
          <w:color w:val="000000" w:themeColor="text1"/>
          <w:lang w:val="en-US"/>
        </w:rPr>
        <w:t xml:space="preserve">successful. </w:t>
      </w:r>
      <w:r w:rsidR="000E648E" w:rsidRPr="00813D19">
        <w:rPr>
          <w:color w:val="000000" w:themeColor="text1"/>
          <w:lang w:val="en-US"/>
        </w:rPr>
        <w:t xml:space="preserve">It </w:t>
      </w:r>
      <w:r w:rsidR="005F5E18" w:rsidRPr="00813D19">
        <w:rPr>
          <w:color w:val="000000" w:themeColor="text1"/>
          <w:lang w:val="en-US"/>
        </w:rPr>
        <w:t>was delighted that UNESCO had</w:t>
      </w:r>
      <w:r w:rsidR="00F1554B" w:rsidRPr="00813D19">
        <w:rPr>
          <w:color w:val="000000" w:themeColor="text1"/>
          <w:lang w:val="en-US"/>
        </w:rPr>
        <w:t xml:space="preserve"> continued </w:t>
      </w:r>
      <w:r w:rsidR="005F5E18" w:rsidRPr="00813D19">
        <w:rPr>
          <w:color w:val="000000" w:themeColor="text1"/>
          <w:lang w:val="en-US"/>
        </w:rPr>
        <w:t xml:space="preserve">[the project] </w:t>
      </w:r>
      <w:r w:rsidR="00F1554B" w:rsidRPr="00813D19">
        <w:rPr>
          <w:color w:val="000000" w:themeColor="text1"/>
          <w:lang w:val="en-US"/>
        </w:rPr>
        <w:t xml:space="preserve">at the national level so </w:t>
      </w:r>
      <w:r w:rsidR="005F5E18" w:rsidRPr="00813D19">
        <w:rPr>
          <w:color w:val="000000" w:themeColor="text1"/>
          <w:lang w:val="en-US"/>
        </w:rPr>
        <w:t xml:space="preserve">as to take </w:t>
      </w:r>
      <w:r w:rsidR="00F1554B" w:rsidRPr="00813D19">
        <w:rPr>
          <w:color w:val="000000" w:themeColor="text1"/>
          <w:lang w:val="en-US"/>
        </w:rPr>
        <w:t xml:space="preserve">stock of all the elements </w:t>
      </w:r>
      <w:r w:rsidR="005F5E18" w:rsidRPr="00813D19">
        <w:rPr>
          <w:color w:val="000000" w:themeColor="text1"/>
          <w:lang w:val="en-US"/>
        </w:rPr>
        <w:t xml:space="preserve">in </w:t>
      </w:r>
      <w:r w:rsidR="00F1554B" w:rsidRPr="00813D19">
        <w:rPr>
          <w:color w:val="000000" w:themeColor="text1"/>
          <w:lang w:val="en-US"/>
        </w:rPr>
        <w:t xml:space="preserve">the implementation of </w:t>
      </w:r>
      <w:r w:rsidR="005F5E18" w:rsidRPr="00813D19">
        <w:rPr>
          <w:color w:val="000000" w:themeColor="text1"/>
          <w:lang w:val="en-US"/>
        </w:rPr>
        <w:t xml:space="preserve">the </w:t>
      </w:r>
      <w:r w:rsidR="00F1554B" w:rsidRPr="00813D19">
        <w:rPr>
          <w:color w:val="000000" w:themeColor="text1"/>
          <w:lang w:val="en-US"/>
        </w:rPr>
        <w:t xml:space="preserve">Convention. </w:t>
      </w:r>
      <w:r w:rsidR="005F5E18" w:rsidRPr="00813D19">
        <w:rPr>
          <w:color w:val="000000" w:themeColor="text1"/>
          <w:lang w:val="en-US"/>
        </w:rPr>
        <w:t xml:space="preserve">The delegation reiterated its </w:t>
      </w:r>
      <w:r w:rsidR="00F1554B" w:rsidRPr="00813D19">
        <w:rPr>
          <w:color w:val="000000" w:themeColor="text1"/>
          <w:lang w:val="en-US"/>
        </w:rPr>
        <w:t xml:space="preserve">thanks </w:t>
      </w:r>
      <w:r w:rsidR="005F5E18" w:rsidRPr="00813D19">
        <w:rPr>
          <w:color w:val="000000" w:themeColor="text1"/>
          <w:lang w:val="en-US"/>
        </w:rPr>
        <w:t xml:space="preserve">to </w:t>
      </w:r>
      <w:r w:rsidR="00F1554B" w:rsidRPr="00813D19">
        <w:rPr>
          <w:color w:val="000000" w:themeColor="text1"/>
          <w:lang w:val="en-US"/>
        </w:rPr>
        <w:t xml:space="preserve">all the countries that </w:t>
      </w:r>
      <w:r w:rsidR="000E648E" w:rsidRPr="00813D19">
        <w:rPr>
          <w:color w:val="000000" w:themeColor="text1"/>
          <w:lang w:val="en-US"/>
        </w:rPr>
        <w:t xml:space="preserve">had </w:t>
      </w:r>
      <w:r w:rsidR="00F1554B" w:rsidRPr="00813D19">
        <w:rPr>
          <w:color w:val="000000" w:themeColor="text1"/>
          <w:lang w:val="en-US"/>
        </w:rPr>
        <w:t xml:space="preserve">supported </w:t>
      </w:r>
      <w:r w:rsidR="005F5E18" w:rsidRPr="00813D19">
        <w:rPr>
          <w:color w:val="000000" w:themeColor="text1"/>
          <w:lang w:val="en-US"/>
        </w:rPr>
        <w:t xml:space="preserve">its </w:t>
      </w:r>
      <w:r w:rsidR="003C0093" w:rsidRPr="00813D19">
        <w:rPr>
          <w:color w:val="000000" w:themeColor="text1"/>
          <w:lang w:val="en-US"/>
        </w:rPr>
        <w:t>candidac</w:t>
      </w:r>
      <w:r w:rsidR="000E648E" w:rsidRPr="00813D19">
        <w:rPr>
          <w:color w:val="000000" w:themeColor="text1"/>
          <w:lang w:val="en-US"/>
        </w:rPr>
        <w:t>y</w:t>
      </w:r>
      <w:r w:rsidR="003C0093" w:rsidRPr="00813D19">
        <w:rPr>
          <w:color w:val="000000" w:themeColor="text1"/>
          <w:lang w:val="en-US"/>
        </w:rPr>
        <w:t xml:space="preserve">, and </w:t>
      </w:r>
      <w:r w:rsidR="00F1554B" w:rsidRPr="00813D19">
        <w:rPr>
          <w:color w:val="000000" w:themeColor="text1"/>
          <w:lang w:val="en-US"/>
        </w:rPr>
        <w:t>thank</w:t>
      </w:r>
      <w:r w:rsidR="003C0093" w:rsidRPr="00813D19">
        <w:rPr>
          <w:color w:val="000000" w:themeColor="text1"/>
          <w:lang w:val="en-US"/>
        </w:rPr>
        <w:t>ed</w:t>
      </w:r>
      <w:r w:rsidR="00F1554B" w:rsidRPr="00813D19">
        <w:rPr>
          <w:color w:val="000000" w:themeColor="text1"/>
          <w:lang w:val="en-US"/>
        </w:rPr>
        <w:t xml:space="preserve"> Mauritius for </w:t>
      </w:r>
      <w:r w:rsidR="003C0093" w:rsidRPr="00813D19">
        <w:rPr>
          <w:color w:val="000000" w:themeColor="text1"/>
          <w:lang w:val="en-US"/>
        </w:rPr>
        <w:t xml:space="preserve">its warm </w:t>
      </w:r>
      <w:r w:rsidR="00F1554B" w:rsidRPr="00813D19">
        <w:rPr>
          <w:color w:val="000000" w:themeColor="text1"/>
          <w:lang w:val="en-US"/>
        </w:rPr>
        <w:t>welcom</w:t>
      </w:r>
      <w:r w:rsidR="003C0093" w:rsidRPr="00813D19">
        <w:rPr>
          <w:color w:val="000000" w:themeColor="text1"/>
          <w:lang w:val="en-US"/>
        </w:rPr>
        <w:t xml:space="preserve">e, adding that </w:t>
      </w:r>
      <w:r w:rsidR="00F1554B" w:rsidRPr="00813D19">
        <w:rPr>
          <w:color w:val="000000" w:themeColor="text1"/>
          <w:lang w:val="en-US"/>
        </w:rPr>
        <w:t xml:space="preserve">it </w:t>
      </w:r>
      <w:r w:rsidR="003C0093" w:rsidRPr="00813D19">
        <w:rPr>
          <w:color w:val="000000" w:themeColor="text1"/>
          <w:lang w:val="en-US"/>
        </w:rPr>
        <w:t>w</w:t>
      </w:r>
      <w:r w:rsidR="00043310">
        <w:rPr>
          <w:color w:val="000000" w:themeColor="text1"/>
          <w:lang w:val="en-US"/>
        </w:rPr>
        <w:t>ould</w:t>
      </w:r>
      <w:r w:rsidR="003C0093" w:rsidRPr="00813D19">
        <w:rPr>
          <w:color w:val="000000" w:themeColor="text1"/>
          <w:lang w:val="en-US"/>
        </w:rPr>
        <w:t xml:space="preserve"> implement the </w:t>
      </w:r>
      <w:r w:rsidR="00F1554B" w:rsidRPr="00813D19">
        <w:rPr>
          <w:color w:val="000000" w:themeColor="text1"/>
          <w:lang w:val="en-US"/>
        </w:rPr>
        <w:t>learning</w:t>
      </w:r>
      <w:r w:rsidR="003C0093" w:rsidRPr="00813D19">
        <w:rPr>
          <w:color w:val="000000" w:themeColor="text1"/>
          <w:lang w:val="en-US"/>
        </w:rPr>
        <w:t>s, build capacit</w:t>
      </w:r>
      <w:r w:rsidR="00043310">
        <w:rPr>
          <w:color w:val="000000" w:themeColor="text1"/>
          <w:lang w:val="en-US"/>
        </w:rPr>
        <w:t>ies</w:t>
      </w:r>
      <w:r w:rsidR="003C0093" w:rsidRPr="00813D19">
        <w:rPr>
          <w:color w:val="000000" w:themeColor="text1"/>
          <w:lang w:val="en-US"/>
        </w:rPr>
        <w:t xml:space="preserve"> and </w:t>
      </w:r>
      <w:r w:rsidR="00F1554B" w:rsidRPr="00813D19">
        <w:rPr>
          <w:color w:val="000000" w:themeColor="text1"/>
          <w:lang w:val="en-US"/>
        </w:rPr>
        <w:t xml:space="preserve">exchange with everyone so </w:t>
      </w:r>
      <w:r w:rsidR="003C0093" w:rsidRPr="00813D19">
        <w:rPr>
          <w:color w:val="000000" w:themeColor="text1"/>
          <w:lang w:val="en-US"/>
        </w:rPr>
        <w:t xml:space="preserve">as to present intangible cultural </w:t>
      </w:r>
      <w:r w:rsidR="000E648E" w:rsidRPr="00813D19">
        <w:rPr>
          <w:color w:val="000000" w:themeColor="text1"/>
          <w:lang w:val="en-US"/>
        </w:rPr>
        <w:t>heritage to the world t</w:t>
      </w:r>
      <w:r w:rsidR="003C0093" w:rsidRPr="00813D19">
        <w:rPr>
          <w:color w:val="000000" w:themeColor="text1"/>
          <w:lang w:val="en-US"/>
        </w:rPr>
        <w:t>o safeguard it</w:t>
      </w:r>
      <w:r w:rsidR="00F1554B" w:rsidRPr="00813D19">
        <w:rPr>
          <w:color w:val="000000" w:themeColor="text1"/>
          <w:lang w:val="en-US"/>
        </w:rPr>
        <w:t>.</w:t>
      </w:r>
    </w:p>
    <w:p w14:paraId="72DA54FA" w14:textId="28506D23" w:rsidR="003C0093" w:rsidRPr="00813D19" w:rsidRDefault="00741876" w:rsidP="003C0093">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Cuba</w:t>
      </w:r>
      <w:r w:rsidR="00DA2871" w:rsidRPr="00813D19">
        <w:rPr>
          <w:b/>
          <w:color w:val="000000" w:themeColor="text1"/>
          <w:lang w:val="en-US"/>
        </w:rPr>
        <w:t xml:space="preserve"> </w:t>
      </w:r>
      <w:r w:rsidR="00951EB2" w:rsidRPr="00813D19">
        <w:rPr>
          <w:bCs/>
          <w:lang w:val="en-US"/>
        </w:rPr>
        <w:t xml:space="preserve">was </w:t>
      </w:r>
      <w:r w:rsidR="000E648E" w:rsidRPr="00813D19">
        <w:rPr>
          <w:bCs/>
          <w:lang w:val="en-US"/>
        </w:rPr>
        <w:t xml:space="preserve">particularly </w:t>
      </w:r>
      <w:r w:rsidR="00951EB2" w:rsidRPr="00813D19">
        <w:rPr>
          <w:bCs/>
          <w:lang w:val="en-US"/>
        </w:rPr>
        <w:t xml:space="preserve">concerned </w:t>
      </w:r>
      <w:r w:rsidR="00DA2871" w:rsidRPr="00813D19">
        <w:rPr>
          <w:bCs/>
          <w:lang w:val="en-US"/>
        </w:rPr>
        <w:t xml:space="preserve">about the participation of the field offices in this process, especially </w:t>
      </w:r>
      <w:r w:rsidR="00951EB2" w:rsidRPr="00813D19">
        <w:rPr>
          <w:bCs/>
          <w:lang w:val="en-US"/>
        </w:rPr>
        <w:t>in the culture</w:t>
      </w:r>
      <w:r w:rsidR="00DA2871" w:rsidRPr="00813D19">
        <w:rPr>
          <w:bCs/>
          <w:lang w:val="en-US"/>
        </w:rPr>
        <w:t xml:space="preserve"> sector </w:t>
      </w:r>
      <w:r w:rsidR="00951EB2" w:rsidRPr="00813D19">
        <w:rPr>
          <w:bCs/>
          <w:lang w:val="en-US"/>
        </w:rPr>
        <w:t xml:space="preserve">given the </w:t>
      </w:r>
      <w:r w:rsidR="00DA2871" w:rsidRPr="00813D19">
        <w:rPr>
          <w:bCs/>
          <w:lang w:val="en-US"/>
        </w:rPr>
        <w:t xml:space="preserve">very </w:t>
      </w:r>
      <w:r w:rsidR="00951EB2" w:rsidRPr="00813D19">
        <w:rPr>
          <w:bCs/>
          <w:lang w:val="en-US"/>
        </w:rPr>
        <w:t xml:space="preserve">limited </w:t>
      </w:r>
      <w:r w:rsidR="00DA2871" w:rsidRPr="00813D19">
        <w:rPr>
          <w:bCs/>
          <w:lang w:val="en-US"/>
        </w:rPr>
        <w:t xml:space="preserve">amount of funds </w:t>
      </w:r>
      <w:r w:rsidR="00951EB2" w:rsidRPr="00813D19">
        <w:rPr>
          <w:bCs/>
          <w:lang w:val="en-US"/>
        </w:rPr>
        <w:t xml:space="preserve">available </w:t>
      </w:r>
      <w:r w:rsidR="000E648E" w:rsidRPr="00813D19">
        <w:rPr>
          <w:bCs/>
          <w:lang w:val="en-US"/>
        </w:rPr>
        <w:t xml:space="preserve">given </w:t>
      </w:r>
      <w:r w:rsidR="00043310">
        <w:rPr>
          <w:bCs/>
          <w:lang w:val="en-US"/>
        </w:rPr>
        <w:t>to</w:t>
      </w:r>
      <w:r w:rsidR="000E648E" w:rsidRPr="00813D19">
        <w:rPr>
          <w:bCs/>
          <w:lang w:val="en-US"/>
        </w:rPr>
        <w:t xml:space="preserve"> </w:t>
      </w:r>
      <w:r w:rsidR="00DA2871" w:rsidRPr="00813D19">
        <w:rPr>
          <w:bCs/>
          <w:lang w:val="en-US"/>
        </w:rPr>
        <w:t>the implementation of projects</w:t>
      </w:r>
      <w:r w:rsidR="00951EB2" w:rsidRPr="00813D19">
        <w:rPr>
          <w:bCs/>
          <w:lang w:val="en-US"/>
        </w:rPr>
        <w:t xml:space="preserve">. Thus, what </w:t>
      </w:r>
      <w:r w:rsidR="00DA2871" w:rsidRPr="00813D19">
        <w:rPr>
          <w:bCs/>
          <w:lang w:val="en-US"/>
        </w:rPr>
        <w:t xml:space="preserve">measures </w:t>
      </w:r>
      <w:r w:rsidR="00951EB2" w:rsidRPr="00813D19">
        <w:rPr>
          <w:bCs/>
          <w:lang w:val="en-US"/>
        </w:rPr>
        <w:t xml:space="preserve">were </w:t>
      </w:r>
      <w:r w:rsidR="00DA2871" w:rsidRPr="00813D19">
        <w:rPr>
          <w:bCs/>
          <w:lang w:val="en-US"/>
        </w:rPr>
        <w:t xml:space="preserve">foreseen to improve the ability </w:t>
      </w:r>
      <w:r w:rsidR="00951EB2" w:rsidRPr="00813D19">
        <w:rPr>
          <w:bCs/>
          <w:lang w:val="en-US"/>
        </w:rPr>
        <w:t xml:space="preserve">of </w:t>
      </w:r>
      <w:r w:rsidR="00DA2871" w:rsidRPr="00813D19">
        <w:rPr>
          <w:bCs/>
          <w:lang w:val="en-US"/>
        </w:rPr>
        <w:t xml:space="preserve">those regional field offices </w:t>
      </w:r>
      <w:r w:rsidR="00951EB2" w:rsidRPr="00813D19">
        <w:rPr>
          <w:bCs/>
          <w:lang w:val="en-US"/>
        </w:rPr>
        <w:t>to implement</w:t>
      </w:r>
      <w:r w:rsidR="00DA2871" w:rsidRPr="00813D19">
        <w:rPr>
          <w:bCs/>
          <w:lang w:val="en-US"/>
        </w:rPr>
        <w:t xml:space="preserve"> these projects</w:t>
      </w:r>
      <w:r w:rsidR="00951EB2" w:rsidRPr="00813D19">
        <w:rPr>
          <w:bCs/>
          <w:lang w:val="en-US"/>
        </w:rPr>
        <w:t>?</w:t>
      </w:r>
      <w:r w:rsidR="00DA2871" w:rsidRPr="00813D19">
        <w:rPr>
          <w:bCs/>
          <w:lang w:val="en-US"/>
        </w:rPr>
        <w:t xml:space="preserve"> </w:t>
      </w:r>
      <w:r w:rsidR="00951EB2" w:rsidRPr="00813D19">
        <w:rPr>
          <w:bCs/>
          <w:lang w:val="en-US"/>
        </w:rPr>
        <w:t xml:space="preserve">Also, had </w:t>
      </w:r>
      <w:r w:rsidR="00DA2871" w:rsidRPr="00813D19">
        <w:rPr>
          <w:bCs/>
          <w:lang w:val="en-US"/>
        </w:rPr>
        <w:t>any thought been given to changing or improving the entire process of cost recovery related to the implementation of projects</w:t>
      </w:r>
      <w:r w:rsidR="000E648E" w:rsidRPr="00813D19">
        <w:rPr>
          <w:bCs/>
          <w:lang w:val="en-US"/>
        </w:rPr>
        <w:t>?</w:t>
      </w:r>
      <w:r w:rsidR="00DA2871" w:rsidRPr="00813D19">
        <w:rPr>
          <w:bCs/>
          <w:lang w:val="en-US"/>
        </w:rPr>
        <w:t xml:space="preserve"> </w:t>
      </w:r>
      <w:r w:rsidR="000E648E" w:rsidRPr="00813D19">
        <w:rPr>
          <w:bCs/>
          <w:lang w:val="en-US"/>
        </w:rPr>
        <w:t xml:space="preserve">It was noted that </w:t>
      </w:r>
      <w:r w:rsidR="00951EB2" w:rsidRPr="00813D19">
        <w:rPr>
          <w:bCs/>
          <w:lang w:val="en-US"/>
        </w:rPr>
        <w:t xml:space="preserve">this was currently </w:t>
      </w:r>
      <w:r w:rsidR="00DA2871" w:rsidRPr="00813D19">
        <w:rPr>
          <w:bCs/>
          <w:lang w:val="en-US"/>
        </w:rPr>
        <w:t xml:space="preserve">not </w:t>
      </w:r>
      <w:r w:rsidR="00951EB2" w:rsidRPr="00813D19">
        <w:rPr>
          <w:bCs/>
          <w:lang w:val="en-US"/>
        </w:rPr>
        <w:t xml:space="preserve">the case </w:t>
      </w:r>
      <w:r w:rsidR="00DA2871" w:rsidRPr="00813D19">
        <w:rPr>
          <w:bCs/>
          <w:lang w:val="en-US"/>
        </w:rPr>
        <w:t xml:space="preserve">in the </w:t>
      </w:r>
      <w:r w:rsidR="002F50EA">
        <w:rPr>
          <w:bCs/>
          <w:lang w:val="en-US"/>
        </w:rPr>
        <w:t>R</w:t>
      </w:r>
      <w:r w:rsidR="002F50EA" w:rsidRPr="00813D19">
        <w:rPr>
          <w:bCs/>
          <w:lang w:val="en-US"/>
        </w:rPr>
        <w:t xml:space="preserve">egional </w:t>
      </w:r>
      <w:r w:rsidR="002F50EA">
        <w:rPr>
          <w:bCs/>
          <w:lang w:val="en-US"/>
        </w:rPr>
        <w:t>O</w:t>
      </w:r>
      <w:r w:rsidR="002F50EA" w:rsidRPr="00813D19">
        <w:rPr>
          <w:bCs/>
          <w:lang w:val="en-US"/>
        </w:rPr>
        <w:t xml:space="preserve">ffices </w:t>
      </w:r>
      <w:r w:rsidR="00951EB2" w:rsidRPr="00813D19">
        <w:rPr>
          <w:bCs/>
          <w:lang w:val="en-US"/>
        </w:rPr>
        <w:t xml:space="preserve">(as </w:t>
      </w:r>
      <w:r w:rsidR="00DA2871" w:rsidRPr="00813D19">
        <w:rPr>
          <w:bCs/>
          <w:lang w:val="en-US"/>
        </w:rPr>
        <w:t xml:space="preserve">it </w:t>
      </w:r>
      <w:r w:rsidR="00951EB2" w:rsidRPr="00813D19">
        <w:rPr>
          <w:bCs/>
          <w:lang w:val="en-US"/>
        </w:rPr>
        <w:t xml:space="preserve">went </w:t>
      </w:r>
      <w:r w:rsidR="00DA2871" w:rsidRPr="00813D19">
        <w:rPr>
          <w:bCs/>
          <w:lang w:val="en-US"/>
        </w:rPr>
        <w:t>directly to Headquarters</w:t>
      </w:r>
      <w:r w:rsidR="00951EB2" w:rsidRPr="00813D19">
        <w:rPr>
          <w:bCs/>
          <w:lang w:val="en-US"/>
        </w:rPr>
        <w:t xml:space="preserve">), which had </w:t>
      </w:r>
      <w:r w:rsidR="00DA2871" w:rsidRPr="00813D19">
        <w:rPr>
          <w:bCs/>
          <w:lang w:val="en-US"/>
        </w:rPr>
        <w:t xml:space="preserve">a significant impact on the work </w:t>
      </w:r>
      <w:r w:rsidR="00951EB2" w:rsidRPr="00813D19">
        <w:rPr>
          <w:bCs/>
          <w:lang w:val="en-US"/>
        </w:rPr>
        <w:t xml:space="preserve">carried out in the </w:t>
      </w:r>
      <w:r w:rsidR="002F50EA">
        <w:rPr>
          <w:bCs/>
          <w:lang w:val="en-US"/>
        </w:rPr>
        <w:t>R</w:t>
      </w:r>
      <w:r w:rsidR="002F50EA" w:rsidRPr="00813D19">
        <w:rPr>
          <w:bCs/>
          <w:lang w:val="en-US"/>
        </w:rPr>
        <w:t xml:space="preserve">egional </w:t>
      </w:r>
      <w:r w:rsidR="002F50EA">
        <w:rPr>
          <w:bCs/>
          <w:lang w:val="en-US"/>
        </w:rPr>
        <w:t>O</w:t>
      </w:r>
      <w:r w:rsidR="002F50EA" w:rsidRPr="00813D19">
        <w:rPr>
          <w:bCs/>
          <w:lang w:val="en-US"/>
        </w:rPr>
        <w:t xml:space="preserve">ffices </w:t>
      </w:r>
      <w:r w:rsidR="00951EB2" w:rsidRPr="00813D19">
        <w:rPr>
          <w:bCs/>
          <w:lang w:val="en-US"/>
        </w:rPr>
        <w:t xml:space="preserve">in </w:t>
      </w:r>
      <w:r w:rsidR="00B67A60">
        <w:rPr>
          <w:bCs/>
          <w:lang w:val="en-US"/>
        </w:rPr>
        <w:t>implementing the Convention.</w:t>
      </w:r>
    </w:p>
    <w:p w14:paraId="1263CFBE" w14:textId="56469EAB" w:rsidR="00640EB8" w:rsidRPr="00813D19" w:rsidRDefault="00014BCE" w:rsidP="003C0093">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00DA2871" w:rsidRPr="00813D19">
        <w:rPr>
          <w:color w:val="000000" w:themeColor="text1"/>
          <w:lang w:val="en-US"/>
        </w:rPr>
        <w:t xml:space="preserve"> </w:t>
      </w:r>
      <w:r w:rsidR="00DA2871" w:rsidRPr="00813D19">
        <w:rPr>
          <w:bCs/>
          <w:lang w:val="en-US"/>
        </w:rPr>
        <w:t>thank</w:t>
      </w:r>
      <w:r w:rsidR="00071FC3" w:rsidRPr="00813D19">
        <w:rPr>
          <w:bCs/>
          <w:lang w:val="en-US"/>
        </w:rPr>
        <w:t>ed</w:t>
      </w:r>
      <w:r w:rsidR="00DA2871" w:rsidRPr="00813D19">
        <w:rPr>
          <w:bCs/>
          <w:lang w:val="en-US"/>
        </w:rPr>
        <w:t xml:space="preserve"> the </w:t>
      </w:r>
      <w:r w:rsidR="009A23B1" w:rsidRPr="00813D19">
        <w:rPr>
          <w:bCs/>
          <w:lang w:val="en-US"/>
        </w:rPr>
        <w:t xml:space="preserve">delegations </w:t>
      </w:r>
      <w:r w:rsidR="001D14EF" w:rsidRPr="00813D19">
        <w:rPr>
          <w:bCs/>
          <w:lang w:val="en-US"/>
        </w:rPr>
        <w:t xml:space="preserve">for their </w:t>
      </w:r>
      <w:r w:rsidR="00DA2871" w:rsidRPr="00813D19">
        <w:rPr>
          <w:bCs/>
          <w:lang w:val="en-US"/>
        </w:rPr>
        <w:t xml:space="preserve">comments </w:t>
      </w:r>
      <w:r w:rsidR="001D14EF" w:rsidRPr="00813D19">
        <w:rPr>
          <w:bCs/>
          <w:lang w:val="en-US"/>
        </w:rPr>
        <w:t xml:space="preserve">and took </w:t>
      </w:r>
      <w:r w:rsidR="00DA2871" w:rsidRPr="00813D19">
        <w:rPr>
          <w:bCs/>
          <w:lang w:val="en-US"/>
        </w:rPr>
        <w:t xml:space="preserve">note </w:t>
      </w:r>
      <w:r w:rsidR="001D14EF" w:rsidRPr="00813D19">
        <w:rPr>
          <w:bCs/>
          <w:lang w:val="en-US"/>
        </w:rPr>
        <w:t xml:space="preserve">of the issues presented, </w:t>
      </w:r>
      <w:r w:rsidR="00DA2871" w:rsidRPr="00813D19">
        <w:rPr>
          <w:bCs/>
          <w:lang w:val="en-US"/>
        </w:rPr>
        <w:t xml:space="preserve">including </w:t>
      </w:r>
      <w:r w:rsidR="001D14EF" w:rsidRPr="00813D19">
        <w:rPr>
          <w:bCs/>
          <w:lang w:val="en-US"/>
        </w:rPr>
        <w:t xml:space="preserve">on </w:t>
      </w:r>
      <w:r w:rsidR="00DA2871" w:rsidRPr="00813D19">
        <w:rPr>
          <w:bCs/>
          <w:lang w:val="en-US"/>
        </w:rPr>
        <w:t>some of the priority areas already identified</w:t>
      </w:r>
      <w:r w:rsidR="009A23B1" w:rsidRPr="00813D19">
        <w:rPr>
          <w:bCs/>
          <w:lang w:val="en-US"/>
        </w:rPr>
        <w:t xml:space="preserve"> [by the Secretariat]</w:t>
      </w:r>
      <w:r w:rsidR="001D14EF" w:rsidRPr="00813D19">
        <w:rPr>
          <w:bCs/>
          <w:lang w:val="en-US"/>
        </w:rPr>
        <w:t>,</w:t>
      </w:r>
      <w:r w:rsidR="00DA2871" w:rsidRPr="00813D19">
        <w:rPr>
          <w:bCs/>
          <w:lang w:val="en-US"/>
        </w:rPr>
        <w:t xml:space="preserve"> such as </w:t>
      </w:r>
      <w:r w:rsidR="001D14EF" w:rsidRPr="00813D19">
        <w:rPr>
          <w:bCs/>
          <w:lang w:val="en-US"/>
        </w:rPr>
        <w:t xml:space="preserve">intangible cultural heritage </w:t>
      </w:r>
      <w:r w:rsidR="00DA2871" w:rsidRPr="00813D19">
        <w:rPr>
          <w:bCs/>
          <w:lang w:val="en-US"/>
        </w:rPr>
        <w:t xml:space="preserve">in education and </w:t>
      </w:r>
      <w:r w:rsidR="001D14EF" w:rsidRPr="00813D19">
        <w:rPr>
          <w:bCs/>
          <w:lang w:val="en-US"/>
        </w:rPr>
        <w:t xml:space="preserve">intangible cultural heritage </w:t>
      </w:r>
      <w:r w:rsidR="00DA2871" w:rsidRPr="00813D19">
        <w:rPr>
          <w:bCs/>
          <w:lang w:val="en-US"/>
        </w:rPr>
        <w:t>in emergencies</w:t>
      </w:r>
      <w:r w:rsidR="009A23B1" w:rsidRPr="00813D19">
        <w:rPr>
          <w:bCs/>
          <w:lang w:val="en-US"/>
        </w:rPr>
        <w:t>,</w:t>
      </w:r>
      <w:r w:rsidR="00DA2871" w:rsidRPr="00813D19">
        <w:rPr>
          <w:bCs/>
          <w:lang w:val="en-US"/>
        </w:rPr>
        <w:t xml:space="preserve"> </w:t>
      </w:r>
      <w:r w:rsidR="009A23B1" w:rsidRPr="00813D19">
        <w:rPr>
          <w:bCs/>
          <w:lang w:val="en-US"/>
        </w:rPr>
        <w:t xml:space="preserve">whose work in this direction would </w:t>
      </w:r>
      <w:r w:rsidR="00DA2871" w:rsidRPr="00813D19">
        <w:rPr>
          <w:bCs/>
          <w:lang w:val="en-US"/>
        </w:rPr>
        <w:t xml:space="preserve">continue. </w:t>
      </w:r>
      <w:r w:rsidR="009A23B1" w:rsidRPr="00813D19">
        <w:rPr>
          <w:bCs/>
          <w:lang w:val="en-US"/>
        </w:rPr>
        <w:t xml:space="preserve">The Secretary </w:t>
      </w:r>
      <w:r w:rsidR="00DA2871" w:rsidRPr="00813D19">
        <w:rPr>
          <w:bCs/>
          <w:lang w:val="en-US"/>
        </w:rPr>
        <w:t>thank</w:t>
      </w:r>
      <w:r w:rsidR="009A23B1" w:rsidRPr="00813D19">
        <w:rPr>
          <w:bCs/>
          <w:lang w:val="en-US"/>
        </w:rPr>
        <w:t>ed</w:t>
      </w:r>
      <w:r w:rsidR="00DA2871" w:rsidRPr="00813D19">
        <w:rPr>
          <w:bCs/>
          <w:lang w:val="en-US"/>
        </w:rPr>
        <w:t xml:space="preserve"> the </w:t>
      </w:r>
      <w:r w:rsidR="009A23B1" w:rsidRPr="00813D19">
        <w:rPr>
          <w:bCs/>
          <w:lang w:val="en-US"/>
        </w:rPr>
        <w:t xml:space="preserve">delegations for </w:t>
      </w:r>
      <w:r w:rsidR="00813D19" w:rsidRPr="00813D19">
        <w:rPr>
          <w:bCs/>
          <w:lang w:val="en-US"/>
        </w:rPr>
        <w:t>acknowledging</w:t>
      </w:r>
      <w:r w:rsidR="009A23B1" w:rsidRPr="00813D19">
        <w:rPr>
          <w:bCs/>
          <w:lang w:val="en-US"/>
        </w:rPr>
        <w:t xml:space="preserve"> the work of the Secretariat, which was highly </w:t>
      </w:r>
      <w:r w:rsidR="00DA2871" w:rsidRPr="00813D19">
        <w:rPr>
          <w:bCs/>
          <w:lang w:val="en-US"/>
        </w:rPr>
        <w:t>appreciate</w:t>
      </w:r>
      <w:r w:rsidR="009A23B1" w:rsidRPr="00813D19">
        <w:rPr>
          <w:bCs/>
          <w:lang w:val="en-US"/>
        </w:rPr>
        <w:t xml:space="preserve">d, adding that it was encouraging to hear that the work was </w:t>
      </w:r>
      <w:r w:rsidR="00DA2871" w:rsidRPr="00813D19">
        <w:rPr>
          <w:bCs/>
          <w:lang w:val="en-US"/>
        </w:rPr>
        <w:t xml:space="preserve">going in the right direction. </w:t>
      </w:r>
      <w:r w:rsidR="009A23B1" w:rsidRPr="00813D19">
        <w:rPr>
          <w:bCs/>
          <w:lang w:val="en-US"/>
        </w:rPr>
        <w:t xml:space="preserve">Responding to the </w:t>
      </w:r>
      <w:r w:rsidR="00DA2871" w:rsidRPr="00813D19">
        <w:rPr>
          <w:bCs/>
          <w:lang w:val="en-US"/>
        </w:rPr>
        <w:t xml:space="preserve">specific question from Cuba </w:t>
      </w:r>
      <w:r w:rsidR="009A23B1" w:rsidRPr="00813D19">
        <w:rPr>
          <w:bCs/>
          <w:lang w:val="en-US"/>
        </w:rPr>
        <w:t xml:space="preserve">concerning the use of cost recovery, the Secretary concurred that the </w:t>
      </w:r>
      <w:r w:rsidR="00DA2871" w:rsidRPr="00813D19">
        <w:rPr>
          <w:bCs/>
          <w:lang w:val="en-US"/>
        </w:rPr>
        <w:t xml:space="preserve">cost recovery policy </w:t>
      </w:r>
      <w:r w:rsidR="00043310">
        <w:rPr>
          <w:bCs/>
          <w:lang w:val="en-US"/>
        </w:rPr>
        <w:t>was</w:t>
      </w:r>
      <w:r w:rsidR="00043310" w:rsidRPr="00813D19">
        <w:rPr>
          <w:bCs/>
          <w:lang w:val="en-US"/>
        </w:rPr>
        <w:t xml:space="preserve"> </w:t>
      </w:r>
      <w:r w:rsidR="00DA2871" w:rsidRPr="00813D19">
        <w:rPr>
          <w:bCs/>
          <w:lang w:val="en-US"/>
        </w:rPr>
        <w:t xml:space="preserve">complex. </w:t>
      </w:r>
      <w:r w:rsidR="00D313DD" w:rsidRPr="00813D19">
        <w:rPr>
          <w:bCs/>
          <w:lang w:val="en-US"/>
        </w:rPr>
        <w:t xml:space="preserve">Funds allocated to ‘intangible cultural heritage </w:t>
      </w:r>
      <w:r w:rsidR="00DA2871" w:rsidRPr="00813D19">
        <w:rPr>
          <w:bCs/>
          <w:lang w:val="en-US"/>
        </w:rPr>
        <w:t>education</w:t>
      </w:r>
      <w:r w:rsidR="00D313DD" w:rsidRPr="00813D19">
        <w:rPr>
          <w:bCs/>
          <w:lang w:val="en-US"/>
        </w:rPr>
        <w:t>’</w:t>
      </w:r>
      <w:r w:rsidR="00DA2871" w:rsidRPr="00813D19">
        <w:rPr>
          <w:bCs/>
          <w:lang w:val="en-US"/>
        </w:rPr>
        <w:t xml:space="preserve"> </w:t>
      </w:r>
      <w:r w:rsidR="00043310" w:rsidRPr="00813D19">
        <w:rPr>
          <w:bCs/>
          <w:lang w:val="en-US"/>
        </w:rPr>
        <w:t>w</w:t>
      </w:r>
      <w:r w:rsidR="00043310">
        <w:rPr>
          <w:bCs/>
          <w:lang w:val="en-US"/>
        </w:rPr>
        <w:t>ere</w:t>
      </w:r>
      <w:r w:rsidR="00043310" w:rsidRPr="00813D19">
        <w:rPr>
          <w:bCs/>
          <w:lang w:val="en-US"/>
        </w:rPr>
        <w:t xml:space="preserve"> </w:t>
      </w:r>
      <w:r w:rsidR="00DA2871" w:rsidRPr="00813D19">
        <w:rPr>
          <w:bCs/>
          <w:lang w:val="en-US"/>
        </w:rPr>
        <w:t xml:space="preserve">used </w:t>
      </w:r>
      <w:r w:rsidR="00D313DD" w:rsidRPr="00813D19">
        <w:rPr>
          <w:bCs/>
          <w:lang w:val="en-US"/>
        </w:rPr>
        <w:t>in the Regular P</w:t>
      </w:r>
      <w:r w:rsidR="00DA2871" w:rsidRPr="00813D19">
        <w:rPr>
          <w:bCs/>
          <w:lang w:val="en-US"/>
        </w:rPr>
        <w:t>rogramme budget</w:t>
      </w:r>
      <w:r w:rsidR="00D313DD" w:rsidRPr="00813D19">
        <w:rPr>
          <w:bCs/>
          <w:lang w:val="en-US"/>
        </w:rPr>
        <w:t>,</w:t>
      </w:r>
      <w:r w:rsidR="00DA2871" w:rsidRPr="00813D19">
        <w:rPr>
          <w:bCs/>
          <w:lang w:val="en-US"/>
        </w:rPr>
        <w:t xml:space="preserve"> </w:t>
      </w:r>
      <w:r w:rsidR="00D313DD" w:rsidRPr="00813D19">
        <w:rPr>
          <w:bCs/>
          <w:lang w:val="en-US"/>
        </w:rPr>
        <w:t xml:space="preserve">which is </w:t>
      </w:r>
      <w:r w:rsidR="00DA2871" w:rsidRPr="00813D19">
        <w:rPr>
          <w:bCs/>
          <w:lang w:val="en-US"/>
        </w:rPr>
        <w:t>not subject to cost recovery</w:t>
      </w:r>
      <w:r w:rsidR="00CC5544" w:rsidRPr="00813D19">
        <w:rPr>
          <w:bCs/>
          <w:lang w:val="en-US"/>
        </w:rPr>
        <w:t>,</w:t>
      </w:r>
      <w:r w:rsidR="00DA2871" w:rsidRPr="00813D19">
        <w:rPr>
          <w:bCs/>
          <w:lang w:val="en-US"/>
        </w:rPr>
        <w:t xml:space="preserve"> so that the budgets </w:t>
      </w:r>
      <w:r w:rsidR="00D313DD" w:rsidRPr="00813D19">
        <w:rPr>
          <w:bCs/>
          <w:lang w:val="en-US"/>
        </w:rPr>
        <w:t xml:space="preserve">in </w:t>
      </w:r>
      <w:r w:rsidR="00DA2871" w:rsidRPr="00813D19">
        <w:rPr>
          <w:bCs/>
          <w:lang w:val="en-US"/>
        </w:rPr>
        <w:t xml:space="preserve">the field offices </w:t>
      </w:r>
      <w:r w:rsidR="00D313DD" w:rsidRPr="00813D19">
        <w:rPr>
          <w:bCs/>
          <w:lang w:val="en-US"/>
        </w:rPr>
        <w:t xml:space="preserve">implementing the </w:t>
      </w:r>
      <w:r w:rsidR="00DA2871" w:rsidRPr="00813D19">
        <w:rPr>
          <w:bCs/>
          <w:lang w:val="en-US"/>
        </w:rPr>
        <w:t xml:space="preserve">ICH education programme </w:t>
      </w:r>
      <w:r w:rsidR="00CC5544" w:rsidRPr="00813D19">
        <w:rPr>
          <w:bCs/>
          <w:lang w:val="en-US"/>
        </w:rPr>
        <w:t xml:space="preserve">were </w:t>
      </w:r>
      <w:r w:rsidR="00DA2871" w:rsidRPr="00813D19">
        <w:rPr>
          <w:bCs/>
          <w:lang w:val="en-US"/>
        </w:rPr>
        <w:t>not subject to cost recover</w:t>
      </w:r>
      <w:r w:rsidR="00043310">
        <w:rPr>
          <w:bCs/>
          <w:lang w:val="en-US"/>
        </w:rPr>
        <w:t>y</w:t>
      </w:r>
      <w:r w:rsidR="00D313DD" w:rsidRPr="00813D19">
        <w:rPr>
          <w:bCs/>
          <w:lang w:val="en-US"/>
        </w:rPr>
        <w:t xml:space="preserve">, as </w:t>
      </w:r>
      <w:r w:rsidR="00043310">
        <w:rPr>
          <w:bCs/>
          <w:lang w:val="en-US"/>
        </w:rPr>
        <w:t>was</w:t>
      </w:r>
      <w:r w:rsidR="00043310" w:rsidRPr="00813D19">
        <w:rPr>
          <w:bCs/>
          <w:lang w:val="en-US"/>
        </w:rPr>
        <w:t xml:space="preserve"> </w:t>
      </w:r>
      <w:r w:rsidR="00D313DD" w:rsidRPr="00813D19">
        <w:rPr>
          <w:bCs/>
          <w:lang w:val="en-US"/>
        </w:rPr>
        <w:t xml:space="preserve">the case </w:t>
      </w:r>
      <w:r w:rsidR="00043310">
        <w:rPr>
          <w:bCs/>
          <w:lang w:val="en-US"/>
        </w:rPr>
        <w:t>at</w:t>
      </w:r>
      <w:r w:rsidR="00043310" w:rsidRPr="00813D19">
        <w:rPr>
          <w:bCs/>
          <w:lang w:val="en-US"/>
        </w:rPr>
        <w:t xml:space="preserve"> </w:t>
      </w:r>
      <w:r w:rsidR="00DA2871" w:rsidRPr="00813D19">
        <w:rPr>
          <w:bCs/>
          <w:lang w:val="en-US"/>
        </w:rPr>
        <w:t xml:space="preserve">Headquarters. </w:t>
      </w:r>
      <w:r w:rsidR="00D313DD" w:rsidRPr="00813D19">
        <w:rPr>
          <w:bCs/>
          <w:lang w:val="en-US"/>
        </w:rPr>
        <w:t xml:space="preserve">However, </w:t>
      </w:r>
      <w:r w:rsidR="00DA2871" w:rsidRPr="00813D19">
        <w:rPr>
          <w:bCs/>
          <w:lang w:val="en-US"/>
        </w:rPr>
        <w:t xml:space="preserve">there </w:t>
      </w:r>
      <w:r w:rsidR="00043310">
        <w:rPr>
          <w:bCs/>
          <w:lang w:val="en-US"/>
        </w:rPr>
        <w:t>was</w:t>
      </w:r>
      <w:r w:rsidR="00043310" w:rsidRPr="00813D19">
        <w:rPr>
          <w:bCs/>
          <w:lang w:val="en-US"/>
        </w:rPr>
        <w:t xml:space="preserve"> </w:t>
      </w:r>
      <w:r w:rsidR="00DA2871" w:rsidRPr="00813D19">
        <w:rPr>
          <w:bCs/>
          <w:lang w:val="en-US"/>
        </w:rPr>
        <w:t xml:space="preserve">indeed cost recovery </w:t>
      </w:r>
      <w:r w:rsidR="00D313DD" w:rsidRPr="00813D19">
        <w:rPr>
          <w:bCs/>
          <w:lang w:val="en-US"/>
        </w:rPr>
        <w:t xml:space="preserve">in extrabudgetary projects, which </w:t>
      </w:r>
      <w:r w:rsidR="00043310">
        <w:rPr>
          <w:bCs/>
          <w:lang w:val="en-US"/>
        </w:rPr>
        <w:t>was</w:t>
      </w:r>
      <w:r w:rsidR="00043310" w:rsidRPr="00813D19">
        <w:rPr>
          <w:bCs/>
          <w:lang w:val="en-US"/>
        </w:rPr>
        <w:t xml:space="preserve"> </w:t>
      </w:r>
      <w:r w:rsidR="00DA2871" w:rsidRPr="00813D19">
        <w:rPr>
          <w:bCs/>
          <w:lang w:val="en-US"/>
        </w:rPr>
        <w:t>normally</w:t>
      </w:r>
      <w:r w:rsidR="00D313DD" w:rsidRPr="00813D19">
        <w:rPr>
          <w:bCs/>
          <w:lang w:val="en-US"/>
        </w:rPr>
        <w:t xml:space="preserve"> split among </w:t>
      </w:r>
      <w:r w:rsidR="00DA2871" w:rsidRPr="00813D19">
        <w:rPr>
          <w:bCs/>
          <w:lang w:val="en-US"/>
        </w:rPr>
        <w:t xml:space="preserve">the </w:t>
      </w:r>
      <w:r w:rsidR="00D313DD" w:rsidRPr="00813D19">
        <w:rPr>
          <w:bCs/>
          <w:lang w:val="en-US"/>
        </w:rPr>
        <w:t xml:space="preserve">various </w:t>
      </w:r>
      <w:r w:rsidR="002F50EA">
        <w:rPr>
          <w:bCs/>
          <w:lang w:val="en-US"/>
        </w:rPr>
        <w:t>R</w:t>
      </w:r>
      <w:r w:rsidR="002F50EA" w:rsidRPr="00813D19">
        <w:rPr>
          <w:bCs/>
          <w:lang w:val="en-US"/>
        </w:rPr>
        <w:t xml:space="preserve">egular </w:t>
      </w:r>
      <w:r w:rsidR="002F50EA">
        <w:rPr>
          <w:bCs/>
          <w:lang w:val="en-US"/>
        </w:rPr>
        <w:t>P</w:t>
      </w:r>
      <w:r w:rsidR="002F50EA" w:rsidRPr="00813D19">
        <w:rPr>
          <w:bCs/>
          <w:lang w:val="en-US"/>
        </w:rPr>
        <w:t xml:space="preserve">rogramme </w:t>
      </w:r>
      <w:r w:rsidR="00DA2871" w:rsidRPr="00813D19">
        <w:rPr>
          <w:bCs/>
          <w:lang w:val="en-US"/>
        </w:rPr>
        <w:t>staff</w:t>
      </w:r>
      <w:r w:rsidR="00D313DD" w:rsidRPr="00813D19">
        <w:rPr>
          <w:bCs/>
          <w:lang w:val="en-US"/>
        </w:rPr>
        <w:t>,</w:t>
      </w:r>
      <w:r w:rsidR="00DA2871" w:rsidRPr="00813D19">
        <w:rPr>
          <w:bCs/>
          <w:lang w:val="en-US"/>
        </w:rPr>
        <w:t xml:space="preserve"> </w:t>
      </w:r>
      <w:r w:rsidR="00D313DD" w:rsidRPr="00813D19">
        <w:rPr>
          <w:bCs/>
          <w:lang w:val="en-US"/>
        </w:rPr>
        <w:t xml:space="preserve">as </w:t>
      </w:r>
      <w:r w:rsidR="00DA2871" w:rsidRPr="00813D19">
        <w:rPr>
          <w:bCs/>
          <w:lang w:val="en-US"/>
        </w:rPr>
        <w:t xml:space="preserve">cost recovery can only be charged to </w:t>
      </w:r>
      <w:r w:rsidR="002F50EA">
        <w:rPr>
          <w:bCs/>
          <w:lang w:val="en-US"/>
        </w:rPr>
        <w:t>R</w:t>
      </w:r>
      <w:r w:rsidR="002F50EA" w:rsidRPr="00813D19">
        <w:rPr>
          <w:bCs/>
          <w:lang w:val="en-US"/>
        </w:rPr>
        <w:t xml:space="preserve">egular </w:t>
      </w:r>
      <w:r w:rsidR="002F50EA">
        <w:rPr>
          <w:bCs/>
          <w:lang w:val="en-US"/>
        </w:rPr>
        <w:t>P</w:t>
      </w:r>
      <w:r w:rsidR="002F50EA" w:rsidRPr="00813D19">
        <w:rPr>
          <w:bCs/>
          <w:lang w:val="en-US"/>
        </w:rPr>
        <w:t xml:space="preserve">rogramme </w:t>
      </w:r>
      <w:r w:rsidR="00DA2871" w:rsidRPr="00813D19">
        <w:rPr>
          <w:bCs/>
          <w:lang w:val="en-US"/>
        </w:rPr>
        <w:t xml:space="preserve">staff implementing </w:t>
      </w:r>
      <w:r w:rsidR="00D313DD" w:rsidRPr="00813D19">
        <w:rPr>
          <w:bCs/>
          <w:lang w:val="en-US"/>
        </w:rPr>
        <w:t xml:space="preserve">the </w:t>
      </w:r>
      <w:r w:rsidR="00DA2871" w:rsidRPr="00813D19">
        <w:rPr>
          <w:bCs/>
          <w:lang w:val="en-US"/>
        </w:rPr>
        <w:t xml:space="preserve">project. </w:t>
      </w:r>
      <w:r w:rsidR="00D313DD" w:rsidRPr="00813D19">
        <w:rPr>
          <w:bCs/>
          <w:lang w:val="en-US"/>
        </w:rPr>
        <w:t xml:space="preserve">The Secretary was unsure whether a specific project was </w:t>
      </w:r>
      <w:r w:rsidR="00634125" w:rsidRPr="00813D19">
        <w:rPr>
          <w:bCs/>
          <w:lang w:val="en-US"/>
        </w:rPr>
        <w:t xml:space="preserve">being </w:t>
      </w:r>
      <w:r w:rsidR="00D313DD" w:rsidRPr="00813D19">
        <w:rPr>
          <w:bCs/>
          <w:lang w:val="en-US"/>
        </w:rPr>
        <w:t>alluded to</w:t>
      </w:r>
      <w:r w:rsidR="00CC5544" w:rsidRPr="00813D19">
        <w:rPr>
          <w:bCs/>
          <w:lang w:val="en-US"/>
        </w:rPr>
        <w:t xml:space="preserve"> by Cuba</w:t>
      </w:r>
      <w:r w:rsidR="00D313DD" w:rsidRPr="00813D19">
        <w:rPr>
          <w:bCs/>
          <w:lang w:val="en-US"/>
        </w:rPr>
        <w:t xml:space="preserve">, </w:t>
      </w:r>
      <w:r w:rsidR="00DA2871" w:rsidRPr="00813D19">
        <w:rPr>
          <w:bCs/>
          <w:lang w:val="en-US"/>
        </w:rPr>
        <w:t xml:space="preserve">but </w:t>
      </w:r>
      <w:r w:rsidR="00634125" w:rsidRPr="00813D19">
        <w:rPr>
          <w:bCs/>
          <w:lang w:val="en-US"/>
        </w:rPr>
        <w:t xml:space="preserve">it </w:t>
      </w:r>
      <w:r w:rsidR="00D313DD" w:rsidRPr="00813D19">
        <w:rPr>
          <w:bCs/>
          <w:lang w:val="en-US"/>
        </w:rPr>
        <w:t xml:space="preserve">was </w:t>
      </w:r>
      <w:r w:rsidR="00634125" w:rsidRPr="00813D19">
        <w:rPr>
          <w:bCs/>
          <w:lang w:val="en-US"/>
        </w:rPr>
        <w:t xml:space="preserve">wrong to think that </w:t>
      </w:r>
      <w:r w:rsidR="00DA2871" w:rsidRPr="00813D19">
        <w:rPr>
          <w:bCs/>
          <w:lang w:val="en-US"/>
        </w:rPr>
        <w:t xml:space="preserve">cost recovery never </w:t>
      </w:r>
      <w:r w:rsidR="00634125" w:rsidRPr="00813D19">
        <w:rPr>
          <w:bCs/>
          <w:lang w:val="en-US"/>
        </w:rPr>
        <w:t xml:space="preserve">went </w:t>
      </w:r>
      <w:r w:rsidR="00DA2871" w:rsidRPr="00813D19">
        <w:rPr>
          <w:bCs/>
          <w:lang w:val="en-US"/>
        </w:rPr>
        <w:t xml:space="preserve">to a field office </w:t>
      </w:r>
      <w:r w:rsidR="00634125" w:rsidRPr="00813D19">
        <w:rPr>
          <w:bCs/>
          <w:lang w:val="en-US"/>
        </w:rPr>
        <w:t xml:space="preserve">and indeed this </w:t>
      </w:r>
      <w:r w:rsidR="00043310">
        <w:rPr>
          <w:bCs/>
          <w:lang w:val="en-US"/>
        </w:rPr>
        <w:t>was</w:t>
      </w:r>
      <w:r w:rsidR="00043310" w:rsidRPr="00813D19">
        <w:rPr>
          <w:bCs/>
          <w:lang w:val="en-US"/>
        </w:rPr>
        <w:t xml:space="preserve"> </w:t>
      </w:r>
      <w:r w:rsidR="00634125" w:rsidRPr="00813D19">
        <w:rPr>
          <w:bCs/>
          <w:lang w:val="en-US"/>
        </w:rPr>
        <w:t xml:space="preserve">sometimes negotiated, </w:t>
      </w:r>
      <w:r w:rsidR="00DA2871" w:rsidRPr="00813D19">
        <w:rPr>
          <w:bCs/>
          <w:lang w:val="en-US"/>
        </w:rPr>
        <w:t xml:space="preserve">particularly with extrabudgetary projects. When </w:t>
      </w:r>
      <w:r w:rsidR="00634125" w:rsidRPr="00813D19">
        <w:rPr>
          <w:bCs/>
          <w:lang w:val="en-US"/>
        </w:rPr>
        <w:t xml:space="preserve">a </w:t>
      </w:r>
      <w:r w:rsidR="00DA2871" w:rsidRPr="00813D19">
        <w:rPr>
          <w:bCs/>
          <w:lang w:val="en-US"/>
        </w:rPr>
        <w:t>project is fully implemented by the field</w:t>
      </w:r>
      <w:r w:rsidR="00634125" w:rsidRPr="00813D19">
        <w:rPr>
          <w:bCs/>
          <w:lang w:val="en-US"/>
        </w:rPr>
        <w:t>,</w:t>
      </w:r>
      <w:r w:rsidR="00DA2871" w:rsidRPr="00813D19">
        <w:rPr>
          <w:bCs/>
          <w:lang w:val="en-US"/>
        </w:rPr>
        <w:t xml:space="preserve"> there is cost recovery to the field office. When </w:t>
      </w:r>
      <w:r w:rsidR="00634125" w:rsidRPr="00813D19">
        <w:rPr>
          <w:bCs/>
          <w:lang w:val="en-US"/>
        </w:rPr>
        <w:t xml:space="preserve">a </w:t>
      </w:r>
      <w:r w:rsidR="00DA2871" w:rsidRPr="00813D19">
        <w:rPr>
          <w:bCs/>
          <w:lang w:val="en-US"/>
        </w:rPr>
        <w:t>project is implemented partially by the field and partially by Headquarters</w:t>
      </w:r>
      <w:r w:rsidR="00634125" w:rsidRPr="00813D19">
        <w:rPr>
          <w:bCs/>
          <w:lang w:val="en-US"/>
        </w:rPr>
        <w:t>,</w:t>
      </w:r>
      <w:r w:rsidR="00DA2871" w:rsidRPr="00813D19">
        <w:rPr>
          <w:bCs/>
          <w:lang w:val="en-US"/>
        </w:rPr>
        <w:t xml:space="preserve"> the cost recovery is shared at the moment of the design of the project. </w:t>
      </w:r>
      <w:r w:rsidR="00634125" w:rsidRPr="00813D19">
        <w:rPr>
          <w:bCs/>
          <w:lang w:val="en-US"/>
        </w:rPr>
        <w:t xml:space="preserve">The Secretary wondered whether </w:t>
      </w:r>
      <w:r w:rsidR="00DA2871" w:rsidRPr="00813D19">
        <w:rPr>
          <w:bCs/>
          <w:lang w:val="en-US"/>
        </w:rPr>
        <w:t xml:space="preserve">there </w:t>
      </w:r>
      <w:r w:rsidR="00634125" w:rsidRPr="00813D19">
        <w:rPr>
          <w:bCs/>
          <w:lang w:val="en-US"/>
        </w:rPr>
        <w:t>was a</w:t>
      </w:r>
      <w:r w:rsidR="00DA2871" w:rsidRPr="00813D19">
        <w:rPr>
          <w:bCs/>
          <w:lang w:val="en-US"/>
        </w:rPr>
        <w:t xml:space="preserve"> specific project </w:t>
      </w:r>
      <w:r w:rsidR="00634125" w:rsidRPr="00813D19">
        <w:rPr>
          <w:bCs/>
          <w:lang w:val="en-US"/>
        </w:rPr>
        <w:t xml:space="preserve">in mind, but as far as he was aware, cost recovery applied to both </w:t>
      </w:r>
      <w:r w:rsidR="00DA2871" w:rsidRPr="00813D19">
        <w:rPr>
          <w:bCs/>
          <w:lang w:val="en-US"/>
        </w:rPr>
        <w:t>Headquarters and</w:t>
      </w:r>
      <w:r w:rsidR="00634125" w:rsidRPr="00813D19">
        <w:rPr>
          <w:bCs/>
          <w:lang w:val="en-US"/>
        </w:rPr>
        <w:t xml:space="preserve"> field offices</w:t>
      </w:r>
      <w:r w:rsidR="00B67A60">
        <w:rPr>
          <w:bCs/>
          <w:lang w:val="en-US"/>
        </w:rPr>
        <w:t>.</w:t>
      </w:r>
    </w:p>
    <w:p w14:paraId="536081ED" w14:textId="4AD5D7E4" w:rsidR="00A61957" w:rsidRPr="00813D19" w:rsidRDefault="002A230D" w:rsidP="00F23FF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turned to the draft decision </w:t>
      </w:r>
      <w:r w:rsidR="00043310">
        <w:rPr>
          <w:color w:val="000000" w:themeColor="text1"/>
          <w:lang w:val="en-US"/>
        </w:rPr>
        <w:t xml:space="preserve">on a </w:t>
      </w:r>
      <w:r w:rsidRPr="00813D19">
        <w:rPr>
          <w:color w:val="000000" w:themeColor="text1"/>
          <w:lang w:val="en-US"/>
        </w:rPr>
        <w:t>paragraph-by-paragraph</w:t>
      </w:r>
      <w:r w:rsidR="00043310">
        <w:rPr>
          <w:color w:val="000000" w:themeColor="text1"/>
          <w:lang w:val="en-US"/>
        </w:rPr>
        <w:t xml:space="preserve"> basis</w:t>
      </w:r>
      <w:r w:rsidRPr="00813D19">
        <w:rPr>
          <w:color w:val="000000" w:themeColor="text1"/>
          <w:lang w:val="en-US"/>
        </w:rPr>
        <w:t xml:space="preserve">. </w:t>
      </w:r>
      <w:r w:rsidR="001559D1" w:rsidRPr="00813D19">
        <w:rPr>
          <w:color w:val="000000" w:themeColor="text1"/>
          <w:lang w:val="en-US"/>
        </w:rPr>
        <w:t>Paragraphs 1–</w:t>
      </w:r>
      <w:r w:rsidR="001559D1" w:rsidRPr="00813D19">
        <w:rPr>
          <w:bCs/>
          <w:lang w:val="en-US"/>
        </w:rPr>
        <w:t xml:space="preserve">10 were duly adopted. It was noted that China had an amendment in paragraph 11 on the </w:t>
      </w:r>
      <w:r w:rsidR="00B9561D" w:rsidRPr="00813D19">
        <w:rPr>
          <w:bCs/>
          <w:lang w:val="en-US"/>
        </w:rPr>
        <w:t xml:space="preserve">initiative on </w:t>
      </w:r>
      <w:r w:rsidR="00DA2871" w:rsidRPr="00813D19">
        <w:rPr>
          <w:bCs/>
          <w:lang w:val="en-US"/>
        </w:rPr>
        <w:t xml:space="preserve">intangible cultural </w:t>
      </w:r>
      <w:r w:rsidR="001559D1" w:rsidRPr="00813D19">
        <w:rPr>
          <w:bCs/>
          <w:lang w:val="en-US"/>
        </w:rPr>
        <w:t>heritage</w:t>
      </w:r>
      <w:r w:rsidR="00B9561D" w:rsidRPr="00813D19">
        <w:rPr>
          <w:bCs/>
          <w:lang w:val="en-US"/>
        </w:rPr>
        <w:t xml:space="preserve"> [in urban contexts]</w:t>
      </w:r>
      <w:r w:rsidR="001559D1" w:rsidRPr="00813D19">
        <w:rPr>
          <w:bCs/>
          <w:lang w:val="en-US"/>
        </w:rPr>
        <w:t>.</w:t>
      </w:r>
    </w:p>
    <w:p w14:paraId="481E2606" w14:textId="6E41FCBB" w:rsidR="00A61957" w:rsidRPr="00813D19" w:rsidRDefault="00A61957" w:rsidP="00F23FF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China</w:t>
      </w:r>
      <w:r w:rsidR="0030244F" w:rsidRPr="00813D19">
        <w:rPr>
          <w:color w:val="000000" w:themeColor="text1"/>
          <w:lang w:val="en-US"/>
        </w:rPr>
        <w:t xml:space="preserve"> proposed a slight</w:t>
      </w:r>
      <w:r w:rsidRPr="00813D19">
        <w:rPr>
          <w:color w:val="000000" w:themeColor="text1"/>
          <w:lang w:val="en-US"/>
        </w:rPr>
        <w:t xml:space="preserve"> amendment in paragraph 11</w:t>
      </w:r>
      <w:r w:rsidR="004C1C06" w:rsidRPr="00813D19">
        <w:rPr>
          <w:color w:val="000000" w:themeColor="text1"/>
          <w:lang w:val="en-US"/>
        </w:rPr>
        <w:t xml:space="preserve"> </w:t>
      </w:r>
      <w:r w:rsidR="00DA2871" w:rsidRPr="00813D19">
        <w:rPr>
          <w:bCs/>
          <w:lang w:val="en-US"/>
        </w:rPr>
        <w:t>based on the draft docume</w:t>
      </w:r>
      <w:r w:rsidR="0030244F" w:rsidRPr="00813D19">
        <w:rPr>
          <w:bCs/>
          <w:lang w:val="en-US"/>
        </w:rPr>
        <w:t xml:space="preserve">nt provided by the Secretariat, which </w:t>
      </w:r>
      <w:r w:rsidR="00DA2871" w:rsidRPr="00813D19">
        <w:rPr>
          <w:bCs/>
          <w:lang w:val="en-US"/>
        </w:rPr>
        <w:t xml:space="preserve">would amend </w:t>
      </w:r>
      <w:r w:rsidR="00B9561D" w:rsidRPr="00813D19">
        <w:rPr>
          <w:bCs/>
          <w:lang w:val="en-US"/>
        </w:rPr>
        <w:t xml:space="preserve">the </w:t>
      </w:r>
      <w:r w:rsidR="00DA2871" w:rsidRPr="00813D19">
        <w:rPr>
          <w:bCs/>
          <w:lang w:val="en-US"/>
        </w:rPr>
        <w:t>wording to</w:t>
      </w:r>
      <w:r w:rsidR="00B9561D" w:rsidRPr="00813D19">
        <w:rPr>
          <w:bCs/>
          <w:lang w:val="en-US"/>
        </w:rPr>
        <w:t xml:space="preserve"> ‘</w:t>
      </w:r>
      <w:r w:rsidR="00DA2871" w:rsidRPr="00813D19">
        <w:rPr>
          <w:bCs/>
          <w:lang w:val="en-US"/>
        </w:rPr>
        <w:t>thanks for the generous contribution from the private sector of</w:t>
      </w:r>
      <w:r w:rsidR="00B9561D" w:rsidRPr="00813D19">
        <w:rPr>
          <w:bCs/>
          <w:lang w:val="en-US"/>
        </w:rPr>
        <w:t xml:space="preserve"> the People’s Republic of China’</w:t>
      </w:r>
      <w:r w:rsidR="00DA2871" w:rsidRPr="00813D19">
        <w:rPr>
          <w:bCs/>
          <w:lang w:val="en-US"/>
        </w:rPr>
        <w:t xml:space="preserve"> </w:t>
      </w:r>
      <w:r w:rsidR="00B9561D" w:rsidRPr="00813D19">
        <w:rPr>
          <w:bCs/>
          <w:lang w:val="en-US"/>
        </w:rPr>
        <w:t>with t</w:t>
      </w:r>
      <w:r w:rsidR="00634125" w:rsidRPr="00813D19">
        <w:rPr>
          <w:bCs/>
          <w:lang w:val="en-US"/>
        </w:rPr>
        <w:t>h</w:t>
      </w:r>
      <w:r w:rsidR="00B9561D" w:rsidRPr="00813D19">
        <w:rPr>
          <w:bCs/>
          <w:lang w:val="en-US"/>
        </w:rPr>
        <w:t xml:space="preserve">e rest of the paragraph unchanged. This </w:t>
      </w:r>
      <w:r w:rsidR="00DA2871" w:rsidRPr="00813D19">
        <w:rPr>
          <w:bCs/>
          <w:lang w:val="en-US"/>
        </w:rPr>
        <w:t xml:space="preserve">wording </w:t>
      </w:r>
      <w:r w:rsidR="00B9561D" w:rsidRPr="00813D19">
        <w:rPr>
          <w:bCs/>
          <w:lang w:val="en-US"/>
        </w:rPr>
        <w:t>was in line with previous</w:t>
      </w:r>
      <w:r w:rsidR="00B67A60">
        <w:rPr>
          <w:bCs/>
          <w:lang w:val="en-US"/>
        </w:rPr>
        <w:t xml:space="preserve"> Committee decisions.</w:t>
      </w:r>
    </w:p>
    <w:p w14:paraId="5A2FEF17" w14:textId="5035C1B2" w:rsidR="004C1C06" w:rsidRPr="00813D19" w:rsidRDefault="004C1C06" w:rsidP="00F23FF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Zambia</w:t>
      </w:r>
      <w:r w:rsidR="00DA2871" w:rsidRPr="00813D19">
        <w:rPr>
          <w:color w:val="000000" w:themeColor="text1"/>
          <w:lang w:val="en-US"/>
        </w:rPr>
        <w:t xml:space="preserve"> </w:t>
      </w:r>
      <w:r w:rsidR="00DF4E1B" w:rsidRPr="00813D19">
        <w:rPr>
          <w:color w:val="000000" w:themeColor="text1"/>
          <w:lang w:val="en-US"/>
        </w:rPr>
        <w:t xml:space="preserve">presented a </w:t>
      </w:r>
      <w:r w:rsidR="007708D4" w:rsidRPr="00813D19">
        <w:rPr>
          <w:bCs/>
          <w:lang w:val="en-US"/>
        </w:rPr>
        <w:t>slight amendment for the sake of clarity</w:t>
      </w:r>
      <w:r w:rsidR="00CC5544" w:rsidRPr="00813D19">
        <w:rPr>
          <w:bCs/>
          <w:lang w:val="en-US"/>
        </w:rPr>
        <w:t xml:space="preserve"> in paragraph 11</w:t>
      </w:r>
      <w:r w:rsidR="007708D4" w:rsidRPr="00813D19">
        <w:rPr>
          <w:bCs/>
          <w:lang w:val="en-US"/>
        </w:rPr>
        <w:t>, which would replace ‘towards it’ with ‘towards this area’.</w:t>
      </w:r>
    </w:p>
    <w:p w14:paraId="55AEB0D2" w14:textId="7099AE15" w:rsidR="000A1549" w:rsidRPr="00813D19" w:rsidRDefault="009B599E" w:rsidP="00CE5F74">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071FC3" w:rsidRPr="00813D19">
        <w:rPr>
          <w:color w:val="000000" w:themeColor="text1"/>
          <w:lang w:val="en-US"/>
        </w:rPr>
        <w:t xml:space="preserve">noted no objections to </w:t>
      </w:r>
      <w:r w:rsidR="007708D4" w:rsidRPr="00813D19">
        <w:rPr>
          <w:color w:val="000000" w:themeColor="text1"/>
          <w:lang w:val="en-US"/>
        </w:rPr>
        <w:t>the amendments by China and Zambia</w:t>
      </w:r>
      <w:r w:rsidR="00071FC3" w:rsidRPr="00813D19">
        <w:rPr>
          <w:bCs/>
          <w:lang w:val="en-US"/>
        </w:rPr>
        <w:t xml:space="preserve">, </w:t>
      </w:r>
      <w:r w:rsidR="007708D4" w:rsidRPr="00813D19">
        <w:rPr>
          <w:bCs/>
          <w:lang w:val="en-US"/>
        </w:rPr>
        <w:t xml:space="preserve">and paragraph </w:t>
      </w:r>
      <w:r w:rsidR="00071FC3" w:rsidRPr="00813D19">
        <w:rPr>
          <w:bCs/>
          <w:lang w:val="en-US"/>
        </w:rPr>
        <w:t xml:space="preserve">11 </w:t>
      </w:r>
      <w:r w:rsidR="007708D4" w:rsidRPr="00813D19">
        <w:rPr>
          <w:bCs/>
          <w:lang w:val="en-US"/>
        </w:rPr>
        <w:t xml:space="preserve">was duly adopted </w:t>
      </w:r>
      <w:r w:rsidR="00071FC3" w:rsidRPr="00813D19">
        <w:rPr>
          <w:bCs/>
          <w:lang w:val="en-US"/>
        </w:rPr>
        <w:t>as amended. Paragraphs 12 a</w:t>
      </w:r>
      <w:r w:rsidR="007708D4" w:rsidRPr="00813D19">
        <w:rPr>
          <w:bCs/>
          <w:lang w:val="en-US"/>
        </w:rPr>
        <w:t>n</w:t>
      </w:r>
      <w:r w:rsidR="00071FC3" w:rsidRPr="00813D19">
        <w:rPr>
          <w:bCs/>
          <w:lang w:val="en-US"/>
        </w:rPr>
        <w:t xml:space="preserve">d 13 were also adopted. </w:t>
      </w:r>
      <w:r w:rsidR="00DF4E1B" w:rsidRPr="00813D19">
        <w:rPr>
          <w:color w:val="000000" w:themeColor="text1"/>
          <w:lang w:val="en-US"/>
        </w:rPr>
        <w:t xml:space="preserve">With no further comments, the </w:t>
      </w:r>
      <w:r w:rsidR="00DF4E1B" w:rsidRPr="00813D19">
        <w:rPr>
          <w:b/>
          <w:color w:val="000000" w:themeColor="text1"/>
          <w:lang w:val="en-US"/>
        </w:rPr>
        <w:t>Chairperson declared Decision 13.COM 5 adopted.</w:t>
      </w:r>
    </w:p>
    <w:p w14:paraId="38EA8290" w14:textId="5194EE0F" w:rsidR="00A54A6B" w:rsidRPr="00813D19" w:rsidRDefault="00A54A6B" w:rsidP="00B67A60">
      <w:pPr>
        <w:pStyle w:val="Orateurengris"/>
        <w:numPr>
          <w:ilvl w:val="0"/>
          <w:numId w:val="0"/>
        </w:numPr>
        <w:spacing w:before="360" w:after="60"/>
        <w:outlineLvl w:val="0"/>
        <w:rPr>
          <w:b/>
          <w:color w:val="000000" w:themeColor="text1"/>
          <w:u w:val="single"/>
          <w:lang w:val="en-US"/>
        </w:rPr>
      </w:pPr>
      <w:r w:rsidRPr="00813D19">
        <w:rPr>
          <w:b/>
          <w:color w:val="000000" w:themeColor="text1"/>
          <w:u w:val="single"/>
          <w:lang w:val="en-US"/>
        </w:rPr>
        <w:t>ITEM 6 OF THE AGENDA</w:t>
      </w:r>
    </w:p>
    <w:p w14:paraId="6EDE5659" w14:textId="62A37BCE" w:rsidR="00CE5F74" w:rsidRPr="00813D19" w:rsidRDefault="002018FA" w:rsidP="00B67A60">
      <w:pPr>
        <w:pStyle w:val="Orateurengris"/>
        <w:numPr>
          <w:ilvl w:val="0"/>
          <w:numId w:val="0"/>
        </w:numPr>
        <w:jc w:val="left"/>
        <w:outlineLvl w:val="1"/>
        <w:rPr>
          <w:b/>
          <w:color w:val="000000" w:themeColor="text1"/>
          <w:lang w:val="en-US"/>
        </w:rPr>
      </w:pPr>
      <w:r w:rsidRPr="00813D19">
        <w:rPr>
          <w:b/>
          <w:color w:val="000000" w:themeColor="text1"/>
          <w:lang w:val="en-US"/>
        </w:rPr>
        <w:t xml:space="preserve">INTANGIBLE CULTURAL HERITAGE FUND: </w:t>
      </w:r>
      <w:r w:rsidR="001E2D5E" w:rsidRPr="00813D19">
        <w:rPr>
          <w:b/>
          <w:color w:val="000000" w:themeColor="text1"/>
          <w:lang w:val="en-US"/>
        </w:rPr>
        <w:t>VOLUNTARY SUP</w:t>
      </w:r>
      <w:r w:rsidRPr="00813D19">
        <w:rPr>
          <w:b/>
          <w:color w:val="000000" w:themeColor="text1"/>
          <w:lang w:val="en-US"/>
        </w:rPr>
        <w:t>PLEMENTARY CONTRIBUTIONS AND OTHER ISSUES</w:t>
      </w:r>
    </w:p>
    <w:p w14:paraId="605C4EDA" w14:textId="316A72E8" w:rsidR="0019439A" w:rsidRPr="00813D19" w:rsidRDefault="0019439A" w:rsidP="00B67A60">
      <w:pPr>
        <w:pStyle w:val="Orateurengris"/>
        <w:numPr>
          <w:ilvl w:val="0"/>
          <w:numId w:val="0"/>
        </w:numPr>
        <w:spacing w:before="120" w:after="0"/>
        <w:ind w:left="709"/>
        <w:rPr>
          <w:color w:val="000000" w:themeColor="text1"/>
          <w:lang w:val="en-US"/>
        </w:rPr>
      </w:pPr>
      <w:r w:rsidRPr="00813D19">
        <w:rPr>
          <w:b/>
          <w:color w:val="000000" w:themeColor="text1"/>
          <w:lang w:val="en-US"/>
        </w:rPr>
        <w:t>Document:</w:t>
      </w:r>
      <w:r w:rsidRPr="00813D19">
        <w:rPr>
          <w:b/>
          <w:color w:val="000000" w:themeColor="text1"/>
          <w:lang w:val="en-US"/>
        </w:rPr>
        <w:tab/>
      </w:r>
      <w:hyperlink r:id="rId40" w:history="1">
        <w:r w:rsidR="002018FA" w:rsidRPr="00813D19">
          <w:rPr>
            <w:rStyle w:val="Hyperlink"/>
            <w:bCs/>
            <w:i/>
            <w:lang w:val="en-US"/>
          </w:rPr>
          <w:t>ITH/18/13</w:t>
        </w:r>
        <w:r w:rsidRPr="00813D19">
          <w:rPr>
            <w:rStyle w:val="Hyperlink"/>
            <w:bCs/>
            <w:i/>
            <w:lang w:val="en-US"/>
          </w:rPr>
          <w:t>.COM/6</w:t>
        </w:r>
      </w:hyperlink>
    </w:p>
    <w:p w14:paraId="3F962F97" w14:textId="3B608BCA" w:rsidR="0019439A" w:rsidRPr="00813D19" w:rsidRDefault="0019439A" w:rsidP="0016273D">
      <w:pPr>
        <w:pStyle w:val="Orateurengris"/>
        <w:numPr>
          <w:ilvl w:val="0"/>
          <w:numId w:val="0"/>
        </w:numPr>
        <w:spacing w:before="60" w:after="240"/>
        <w:ind w:left="709"/>
        <w:rPr>
          <w:i/>
          <w:color w:val="000000" w:themeColor="text1"/>
          <w:lang w:val="en-US"/>
        </w:rPr>
      </w:pPr>
      <w:r w:rsidRPr="00813D19">
        <w:rPr>
          <w:b/>
          <w:color w:val="000000" w:themeColor="text1"/>
          <w:lang w:val="en-US"/>
        </w:rPr>
        <w:t>Decision:</w:t>
      </w:r>
      <w:r w:rsidR="00D80FFD" w:rsidRPr="00813D19">
        <w:rPr>
          <w:color w:val="000000" w:themeColor="text1"/>
          <w:lang w:val="en-US"/>
        </w:rPr>
        <w:tab/>
      </w:r>
      <w:hyperlink r:id="rId41" w:history="1">
        <w:r w:rsidR="002018FA" w:rsidRPr="00813D19">
          <w:rPr>
            <w:rStyle w:val="Hyperlink"/>
            <w:i/>
            <w:lang w:val="en-US"/>
          </w:rPr>
          <w:t>13</w:t>
        </w:r>
        <w:r w:rsidR="00D80FFD" w:rsidRPr="00813D19">
          <w:rPr>
            <w:rStyle w:val="Hyperlink"/>
            <w:i/>
            <w:lang w:val="en-US"/>
          </w:rPr>
          <w:t>.COM 6</w:t>
        </w:r>
      </w:hyperlink>
    </w:p>
    <w:p w14:paraId="0A1672BE" w14:textId="74898060" w:rsidR="00484FF7" w:rsidRPr="00813D19" w:rsidRDefault="004F35A9" w:rsidP="00CE5F74">
      <w:pPr>
        <w:pStyle w:val="Orateurengris"/>
        <w:spacing w:after="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then turned to agenda item 6</w:t>
      </w:r>
      <w:r w:rsidR="00B03B85" w:rsidRPr="00813D19">
        <w:rPr>
          <w:lang w:val="en-US"/>
        </w:rPr>
        <w:t xml:space="preserve">, reminding the Committee that, </w:t>
      </w:r>
      <w:r w:rsidR="00386971" w:rsidRPr="00813D19">
        <w:rPr>
          <w:lang w:val="en-US"/>
        </w:rPr>
        <w:t xml:space="preserve">in accordance with Articles 25.5 and 27 of </w:t>
      </w:r>
      <w:r w:rsidR="00B03B85" w:rsidRPr="00813D19">
        <w:rPr>
          <w:lang w:val="en-US"/>
        </w:rPr>
        <w:t>the Convention,</w:t>
      </w:r>
      <w:r w:rsidR="00386971" w:rsidRPr="00813D19">
        <w:rPr>
          <w:lang w:val="en-US"/>
        </w:rPr>
        <w:t xml:space="preserve"> it </w:t>
      </w:r>
      <w:r w:rsidR="00B03B85" w:rsidRPr="00813D19">
        <w:rPr>
          <w:lang w:val="en-US"/>
        </w:rPr>
        <w:t>was responsible for approving</w:t>
      </w:r>
      <w:r w:rsidR="00386971" w:rsidRPr="00813D19">
        <w:rPr>
          <w:lang w:val="en-US"/>
        </w:rPr>
        <w:t xml:space="preserve"> the voluntary supplementary contributions </w:t>
      </w:r>
      <w:r w:rsidR="00B03B85" w:rsidRPr="00813D19">
        <w:rPr>
          <w:lang w:val="en-US"/>
        </w:rPr>
        <w:t xml:space="preserve">made </w:t>
      </w:r>
      <w:r w:rsidR="00386971" w:rsidRPr="00813D19">
        <w:rPr>
          <w:lang w:val="en-US"/>
        </w:rPr>
        <w:t>by State Parties in addition to their annual assessed contributions.</w:t>
      </w:r>
      <w:r w:rsidR="00B03B85" w:rsidRPr="00813D19">
        <w:rPr>
          <w:lang w:val="en-US"/>
        </w:rPr>
        <w:t xml:space="preserve"> The</w:t>
      </w:r>
      <w:r w:rsidR="00386971" w:rsidRPr="00813D19">
        <w:rPr>
          <w:lang w:val="en-US"/>
        </w:rPr>
        <w:t xml:space="preserve"> contributions are intended for the implementation of activities that cannot be supported with the limited resources of UNESCO’s regular budget</w:t>
      </w:r>
      <w:r w:rsidR="00423BF2" w:rsidRPr="00813D19">
        <w:rPr>
          <w:lang w:val="en-US"/>
        </w:rPr>
        <w:t xml:space="preserve"> and</w:t>
      </w:r>
      <w:r w:rsidR="00386971" w:rsidRPr="00813D19">
        <w:rPr>
          <w:lang w:val="en-US"/>
        </w:rPr>
        <w:t xml:space="preserve"> </w:t>
      </w:r>
      <w:r w:rsidR="00C06BEF">
        <w:rPr>
          <w:lang w:val="en-US"/>
        </w:rPr>
        <w:t>were</w:t>
      </w:r>
      <w:r w:rsidR="00B03B85" w:rsidRPr="00813D19">
        <w:rPr>
          <w:lang w:val="en-US"/>
        </w:rPr>
        <w:t xml:space="preserve"> therefore of </w:t>
      </w:r>
      <w:r w:rsidR="00043310">
        <w:rPr>
          <w:lang w:val="en-US"/>
        </w:rPr>
        <w:t xml:space="preserve">the </w:t>
      </w:r>
      <w:r w:rsidR="00386971" w:rsidRPr="00813D19">
        <w:rPr>
          <w:lang w:val="en-US"/>
        </w:rPr>
        <w:t xml:space="preserve">utmost importance for the implementation of the Convention. </w:t>
      </w:r>
      <w:r w:rsidR="00B03B85" w:rsidRPr="00813D19">
        <w:rPr>
          <w:lang w:val="en-US"/>
        </w:rPr>
        <w:t>It was noted that o</w:t>
      </w:r>
      <w:r w:rsidR="00386971" w:rsidRPr="00813D19">
        <w:rPr>
          <w:lang w:val="en-US"/>
        </w:rPr>
        <w:t xml:space="preserve">ne </w:t>
      </w:r>
      <w:r w:rsidR="00B03B85" w:rsidRPr="00813D19">
        <w:rPr>
          <w:lang w:val="en-US"/>
        </w:rPr>
        <w:t xml:space="preserve">of the </w:t>
      </w:r>
      <w:r w:rsidR="00386971" w:rsidRPr="00813D19">
        <w:rPr>
          <w:lang w:val="en-US"/>
        </w:rPr>
        <w:t>‘other issues’</w:t>
      </w:r>
      <w:r w:rsidR="00B03B85" w:rsidRPr="00813D19">
        <w:rPr>
          <w:lang w:val="en-US"/>
        </w:rPr>
        <w:t xml:space="preserve"> concerned the </w:t>
      </w:r>
      <w:r w:rsidR="00386971" w:rsidRPr="00813D19">
        <w:rPr>
          <w:lang w:val="en-US"/>
        </w:rPr>
        <w:t xml:space="preserve">decision </w:t>
      </w:r>
      <w:r w:rsidR="00B03B85" w:rsidRPr="00813D19">
        <w:rPr>
          <w:lang w:val="en-US"/>
        </w:rPr>
        <w:t xml:space="preserve">by </w:t>
      </w:r>
      <w:r w:rsidR="00386971" w:rsidRPr="00813D19">
        <w:rPr>
          <w:lang w:val="en-US"/>
        </w:rPr>
        <w:t>the Executive Board at its 204</w:t>
      </w:r>
      <w:r w:rsidR="00386971" w:rsidRPr="00813D19">
        <w:rPr>
          <w:vertAlign w:val="superscript"/>
          <w:lang w:val="en-US"/>
        </w:rPr>
        <w:t>th</w:t>
      </w:r>
      <w:r w:rsidR="00B03B85" w:rsidRPr="00813D19">
        <w:rPr>
          <w:lang w:val="en-US"/>
        </w:rPr>
        <w:t xml:space="preserve"> </w:t>
      </w:r>
      <w:r w:rsidR="00386971" w:rsidRPr="00813D19">
        <w:rPr>
          <w:lang w:val="en-US"/>
        </w:rPr>
        <w:t>session to apply a new set of Management Costs Rates to Speci</w:t>
      </w:r>
      <w:r w:rsidR="00B67A60">
        <w:rPr>
          <w:lang w:val="en-US"/>
        </w:rPr>
        <w:t>al Accounts.</w:t>
      </w:r>
    </w:p>
    <w:p w14:paraId="4C4AD5C8" w14:textId="0E485A1F" w:rsidR="00460E78" w:rsidRPr="00813D19" w:rsidRDefault="00D6279F" w:rsidP="00B62819">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B03B85" w:rsidRPr="00813D19">
        <w:rPr>
          <w:color w:val="000000" w:themeColor="text1"/>
          <w:lang w:val="en-US"/>
        </w:rPr>
        <w:t>remarked that</w:t>
      </w:r>
      <w:r w:rsidR="00C06BEF">
        <w:rPr>
          <w:color w:val="000000" w:themeColor="text1"/>
          <w:lang w:val="en-US"/>
        </w:rPr>
        <w:t>,</w:t>
      </w:r>
      <w:r w:rsidR="00B03B85" w:rsidRPr="00813D19">
        <w:rPr>
          <w:color w:val="000000" w:themeColor="text1"/>
          <w:lang w:val="en-US"/>
        </w:rPr>
        <w:t xml:space="preserve"> </w:t>
      </w:r>
      <w:r w:rsidR="00B03B85" w:rsidRPr="00813D19">
        <w:rPr>
          <w:lang w:val="en-US"/>
        </w:rPr>
        <w:t>i</w:t>
      </w:r>
      <w:r w:rsidR="00484FF7" w:rsidRPr="00813D19">
        <w:rPr>
          <w:lang w:val="en-US"/>
        </w:rPr>
        <w:t>n accordance with Decision </w:t>
      </w:r>
      <w:hyperlink r:id="rId42" w:history="1">
        <w:r w:rsidR="00484FF7" w:rsidRPr="00813D19">
          <w:rPr>
            <w:rStyle w:val="Hyperlink"/>
            <w:lang w:val="en-US"/>
          </w:rPr>
          <w:t>12.COM 6</w:t>
        </w:r>
      </w:hyperlink>
      <w:r w:rsidR="00484FF7" w:rsidRPr="00813D19">
        <w:rPr>
          <w:lang w:val="en-US"/>
        </w:rPr>
        <w:t xml:space="preserve">, the Secretariat </w:t>
      </w:r>
      <w:r w:rsidR="00B03B85" w:rsidRPr="00813D19">
        <w:rPr>
          <w:lang w:val="en-US"/>
        </w:rPr>
        <w:t xml:space="preserve">was </w:t>
      </w:r>
      <w:r w:rsidR="00484FF7" w:rsidRPr="00813D19">
        <w:rPr>
          <w:lang w:val="en-US"/>
        </w:rPr>
        <w:t>requested to report on any voluntary supplementary contribution</w:t>
      </w:r>
      <w:r w:rsidR="00B03B85" w:rsidRPr="00813D19">
        <w:rPr>
          <w:lang w:val="en-US"/>
        </w:rPr>
        <w:t>s</w:t>
      </w:r>
      <w:r w:rsidR="00484FF7" w:rsidRPr="00813D19">
        <w:rPr>
          <w:lang w:val="en-US"/>
        </w:rPr>
        <w:t xml:space="preserve"> it may have received since its last session. </w:t>
      </w:r>
      <w:r w:rsidR="00B03B85" w:rsidRPr="00813D19">
        <w:rPr>
          <w:lang w:val="en-US"/>
        </w:rPr>
        <w:t>A</w:t>
      </w:r>
      <w:r w:rsidR="00484FF7" w:rsidRPr="00813D19">
        <w:rPr>
          <w:lang w:val="en-US"/>
        </w:rPr>
        <w:t xml:space="preserve"> generous </w:t>
      </w:r>
      <w:r w:rsidR="00B03B85" w:rsidRPr="00813D19">
        <w:rPr>
          <w:lang w:val="en-US"/>
        </w:rPr>
        <w:t xml:space="preserve">voluntary supplementary contribution by </w:t>
      </w:r>
      <w:r w:rsidR="00484FF7" w:rsidRPr="00813D19">
        <w:rPr>
          <w:lang w:val="en-US"/>
        </w:rPr>
        <w:t xml:space="preserve">Japan </w:t>
      </w:r>
      <w:r w:rsidR="00B03B85" w:rsidRPr="00813D19">
        <w:rPr>
          <w:lang w:val="en-US"/>
        </w:rPr>
        <w:t xml:space="preserve">was </w:t>
      </w:r>
      <w:r w:rsidR="00484FF7" w:rsidRPr="00813D19">
        <w:rPr>
          <w:lang w:val="en-US"/>
        </w:rPr>
        <w:t xml:space="preserve">also presented for possible acceptance by the Committee. This item also </w:t>
      </w:r>
      <w:r w:rsidR="00B03B85" w:rsidRPr="00813D19">
        <w:rPr>
          <w:lang w:val="en-US"/>
        </w:rPr>
        <w:t xml:space="preserve">brought </w:t>
      </w:r>
      <w:r w:rsidR="00484FF7" w:rsidRPr="00813D19">
        <w:rPr>
          <w:lang w:val="en-US"/>
        </w:rPr>
        <w:t xml:space="preserve">to </w:t>
      </w:r>
      <w:r w:rsidR="00C06BEF">
        <w:rPr>
          <w:lang w:val="en-US"/>
        </w:rPr>
        <w:t>mind</w:t>
      </w:r>
      <w:r w:rsidR="00C06BEF" w:rsidRPr="00813D19">
        <w:rPr>
          <w:lang w:val="en-US"/>
        </w:rPr>
        <w:t xml:space="preserve"> </w:t>
      </w:r>
      <w:r w:rsidR="00484FF7" w:rsidRPr="00813D19">
        <w:rPr>
          <w:lang w:val="en-US"/>
        </w:rPr>
        <w:t>the decision of the 204</w:t>
      </w:r>
      <w:r w:rsidR="00484FF7" w:rsidRPr="00813D19">
        <w:rPr>
          <w:vertAlign w:val="superscript"/>
          <w:lang w:val="en-US"/>
        </w:rPr>
        <w:t>th</w:t>
      </w:r>
      <w:r w:rsidR="00B03B85" w:rsidRPr="00813D19">
        <w:rPr>
          <w:lang w:val="en-US"/>
        </w:rPr>
        <w:t xml:space="preserve"> session of the Executive Board</w:t>
      </w:r>
      <w:r w:rsidR="00484FF7" w:rsidRPr="00813D19">
        <w:rPr>
          <w:lang w:val="en-US"/>
        </w:rPr>
        <w:t xml:space="preserve"> </w:t>
      </w:r>
      <w:r w:rsidR="00B03B85" w:rsidRPr="00813D19">
        <w:rPr>
          <w:lang w:val="en-US"/>
        </w:rPr>
        <w:t xml:space="preserve">relating to </w:t>
      </w:r>
      <w:r w:rsidR="00484FF7" w:rsidRPr="00813D19">
        <w:rPr>
          <w:lang w:val="en-US"/>
        </w:rPr>
        <w:t>the new set of Management Cost Rates for Special Accounts</w:t>
      </w:r>
      <w:r w:rsidR="00B03B85" w:rsidRPr="00813D19">
        <w:rPr>
          <w:lang w:val="en-US"/>
        </w:rPr>
        <w:t>, which concerned</w:t>
      </w:r>
      <w:r w:rsidR="00484FF7" w:rsidRPr="00813D19">
        <w:rPr>
          <w:lang w:val="en-US"/>
        </w:rPr>
        <w:t xml:space="preserve"> </w:t>
      </w:r>
      <w:r w:rsidR="00B03B85" w:rsidRPr="00813D19">
        <w:rPr>
          <w:lang w:val="en-US"/>
        </w:rPr>
        <w:t xml:space="preserve">the ICH </w:t>
      </w:r>
      <w:r w:rsidR="00484FF7" w:rsidRPr="00813D19">
        <w:rPr>
          <w:lang w:val="en-US"/>
        </w:rPr>
        <w:t xml:space="preserve">Fund. </w:t>
      </w:r>
      <w:r w:rsidR="00423BF2" w:rsidRPr="00813D19">
        <w:rPr>
          <w:lang w:val="en-US"/>
        </w:rPr>
        <w:t>I</w:t>
      </w:r>
      <w:r w:rsidR="00B03B85" w:rsidRPr="00813D19">
        <w:rPr>
          <w:lang w:val="en-US"/>
        </w:rPr>
        <w:t xml:space="preserve">n this regard, the </w:t>
      </w:r>
      <w:r w:rsidR="00484FF7" w:rsidRPr="00813D19">
        <w:rPr>
          <w:lang w:val="en-US"/>
        </w:rPr>
        <w:t xml:space="preserve">Committee </w:t>
      </w:r>
      <w:r w:rsidR="00B03B85" w:rsidRPr="00813D19">
        <w:rPr>
          <w:lang w:val="en-US"/>
        </w:rPr>
        <w:t xml:space="preserve">was </w:t>
      </w:r>
      <w:r w:rsidR="00484FF7" w:rsidRPr="00813D19">
        <w:rPr>
          <w:lang w:val="en-US"/>
        </w:rPr>
        <w:t>expected to make a recommendation to the next session of the General Assembly.</w:t>
      </w:r>
      <w:r w:rsidR="00484FF7" w:rsidRPr="00813D19">
        <w:rPr>
          <w:color w:val="000000" w:themeColor="text1"/>
          <w:lang w:val="en-US"/>
        </w:rPr>
        <w:t xml:space="preserve"> </w:t>
      </w:r>
      <w:r w:rsidR="00B03B85" w:rsidRPr="00813D19">
        <w:rPr>
          <w:color w:val="000000" w:themeColor="text1"/>
          <w:lang w:val="en-US"/>
        </w:rPr>
        <w:t xml:space="preserve">The Secretary began with a review of the current </w:t>
      </w:r>
      <w:r w:rsidR="00B03B85" w:rsidRPr="00813D19">
        <w:rPr>
          <w:u w:val="single"/>
          <w:lang w:val="en-US"/>
        </w:rPr>
        <w:t>state of a</w:t>
      </w:r>
      <w:r w:rsidR="00236271" w:rsidRPr="00813D19">
        <w:rPr>
          <w:u w:val="single"/>
          <w:lang w:val="en-US"/>
        </w:rPr>
        <w:t>ffairs</w:t>
      </w:r>
      <w:r w:rsidR="00050B28" w:rsidRPr="00813D19">
        <w:rPr>
          <w:b/>
          <w:lang w:val="en-US"/>
        </w:rPr>
        <w:t xml:space="preserve"> </w:t>
      </w:r>
      <w:r w:rsidR="00236271" w:rsidRPr="00813D19">
        <w:rPr>
          <w:lang w:val="en-US"/>
        </w:rPr>
        <w:t xml:space="preserve">in relation to the voluntary supplementary contributions received since the last session of the Committee. </w:t>
      </w:r>
      <w:r w:rsidR="00B03B85" w:rsidRPr="00813D19">
        <w:rPr>
          <w:lang w:val="en-US"/>
        </w:rPr>
        <w:t>A</w:t>
      </w:r>
      <w:r w:rsidR="00236271" w:rsidRPr="00813D19">
        <w:rPr>
          <w:lang w:val="en-US"/>
        </w:rPr>
        <w:t>t its twelfth session, the Committee approved two new funding</w:t>
      </w:r>
      <w:r w:rsidR="00B03B85" w:rsidRPr="00813D19">
        <w:rPr>
          <w:lang w:val="en-US"/>
        </w:rPr>
        <w:t xml:space="preserve"> priorities for the period 2018–</w:t>
      </w:r>
      <w:r w:rsidR="00236271" w:rsidRPr="00813D19">
        <w:rPr>
          <w:lang w:val="en-US"/>
        </w:rPr>
        <w:t>2021:</w:t>
      </w:r>
      <w:r w:rsidR="00B62819" w:rsidRPr="00813D19">
        <w:rPr>
          <w:lang w:val="en-US"/>
        </w:rPr>
        <w:t xml:space="preserve"> </w:t>
      </w:r>
      <w:r w:rsidR="00B03B85" w:rsidRPr="00813D19">
        <w:rPr>
          <w:lang w:val="en-US"/>
        </w:rPr>
        <w:t xml:space="preserve">i) </w:t>
      </w:r>
      <w:r w:rsidR="00236271" w:rsidRPr="00813D19">
        <w:rPr>
          <w:lang w:val="en-US"/>
        </w:rPr>
        <w:t xml:space="preserve">‘Strengthening capacities to safeguard intangible cultural heritage and contribute to sustainable development’ </w:t>
      </w:r>
      <w:r w:rsidR="00B03B85" w:rsidRPr="00813D19">
        <w:rPr>
          <w:lang w:val="en-US"/>
        </w:rPr>
        <w:t xml:space="preserve">so as </w:t>
      </w:r>
      <w:r w:rsidR="00236271" w:rsidRPr="00813D19">
        <w:rPr>
          <w:lang w:val="en-US"/>
        </w:rPr>
        <w:t>to continue efforts to extend the reach and effectiveness of the global capacity</w:t>
      </w:r>
      <w:r w:rsidR="00236271" w:rsidRPr="00813D19">
        <w:rPr>
          <w:lang w:val="en-US"/>
        </w:rPr>
        <w:noBreakHyphen/>
        <w:t>building strategy</w:t>
      </w:r>
      <w:r w:rsidR="00B03B85" w:rsidRPr="00813D19">
        <w:rPr>
          <w:lang w:val="en-US"/>
        </w:rPr>
        <w:t>;</w:t>
      </w:r>
      <w:r w:rsidR="00236271" w:rsidRPr="00813D19">
        <w:rPr>
          <w:lang w:val="en-US"/>
        </w:rPr>
        <w:t xml:space="preserve"> and</w:t>
      </w:r>
      <w:r w:rsidR="00B62819" w:rsidRPr="00813D19">
        <w:rPr>
          <w:lang w:val="en-US"/>
        </w:rPr>
        <w:t xml:space="preserve"> </w:t>
      </w:r>
      <w:r w:rsidR="00B03B85" w:rsidRPr="00813D19">
        <w:rPr>
          <w:lang w:val="en-US"/>
        </w:rPr>
        <w:t>ii</w:t>
      </w:r>
      <w:r w:rsidR="00236271" w:rsidRPr="00813D19">
        <w:rPr>
          <w:lang w:val="en-US"/>
        </w:rPr>
        <w:t>) ‘Safeguarding intangible cultural heritage in formal and non-formal education’.</w:t>
      </w:r>
      <w:r w:rsidR="00B03B85" w:rsidRPr="00813D19">
        <w:rPr>
          <w:lang w:val="en-US"/>
        </w:rPr>
        <w:t xml:space="preserve"> It could be seen from </w:t>
      </w:r>
      <w:r w:rsidR="00C06BEF">
        <w:rPr>
          <w:lang w:val="en-US"/>
        </w:rPr>
        <w:t>F</w:t>
      </w:r>
      <w:r w:rsidR="00C06BEF" w:rsidRPr="00813D19">
        <w:rPr>
          <w:lang w:val="en-US"/>
        </w:rPr>
        <w:t xml:space="preserve">igure </w:t>
      </w:r>
      <w:r w:rsidR="00394FFF" w:rsidRPr="00813D19">
        <w:rPr>
          <w:lang w:val="en-US"/>
        </w:rPr>
        <w:t xml:space="preserve">1 in </w:t>
      </w:r>
      <w:r w:rsidR="00B03B85" w:rsidRPr="00813D19">
        <w:rPr>
          <w:lang w:val="en-US"/>
        </w:rPr>
        <w:t xml:space="preserve">the </w:t>
      </w:r>
      <w:r w:rsidR="00394FFF" w:rsidRPr="00813D19">
        <w:rPr>
          <w:lang w:val="en-US"/>
        </w:rPr>
        <w:t xml:space="preserve">report </w:t>
      </w:r>
      <w:r w:rsidR="00B03B85" w:rsidRPr="00813D19">
        <w:rPr>
          <w:lang w:val="en-US"/>
        </w:rPr>
        <w:t xml:space="preserve">that </w:t>
      </w:r>
      <w:r w:rsidR="00236271" w:rsidRPr="00813D19">
        <w:rPr>
          <w:lang w:val="en-US"/>
        </w:rPr>
        <w:t>the evolution of the voluntary supplementary contributions mobilized in support of the first funding priority, the glo</w:t>
      </w:r>
      <w:r w:rsidR="00B03B85" w:rsidRPr="00813D19">
        <w:rPr>
          <w:lang w:val="en-US"/>
        </w:rPr>
        <w:t xml:space="preserve">bal capacity-building programme, </w:t>
      </w:r>
      <w:r w:rsidR="00C06BEF">
        <w:rPr>
          <w:lang w:val="en-US"/>
        </w:rPr>
        <w:t xml:space="preserve">had </w:t>
      </w:r>
      <w:r w:rsidR="00B03B85" w:rsidRPr="00813D19">
        <w:rPr>
          <w:lang w:val="en-US"/>
        </w:rPr>
        <w:t>showed</w:t>
      </w:r>
      <w:r w:rsidR="00236271" w:rsidRPr="00813D19">
        <w:rPr>
          <w:lang w:val="en-US"/>
        </w:rPr>
        <w:t xml:space="preserve"> a general decline</w:t>
      </w:r>
      <w:r w:rsidR="00B03B85" w:rsidRPr="00813D19">
        <w:rPr>
          <w:lang w:val="en-US"/>
        </w:rPr>
        <w:t xml:space="preserve"> since 2012, reaching</w:t>
      </w:r>
      <w:r w:rsidR="00236271" w:rsidRPr="00813D19">
        <w:rPr>
          <w:lang w:val="en-US"/>
        </w:rPr>
        <w:t xml:space="preserve"> its lowest point </w:t>
      </w:r>
      <w:r w:rsidR="00B03B85" w:rsidRPr="00813D19">
        <w:rPr>
          <w:lang w:val="en-US"/>
        </w:rPr>
        <w:t xml:space="preserve">in the </w:t>
      </w:r>
      <w:r w:rsidR="00236271" w:rsidRPr="00813D19">
        <w:rPr>
          <w:lang w:val="en-US"/>
        </w:rPr>
        <w:t xml:space="preserve">current biennium. </w:t>
      </w:r>
      <w:r w:rsidR="00460E78" w:rsidRPr="00813D19">
        <w:rPr>
          <w:lang w:val="en-US"/>
        </w:rPr>
        <w:t xml:space="preserve">This was attributed to </w:t>
      </w:r>
      <w:r w:rsidR="00236271" w:rsidRPr="00813D19">
        <w:rPr>
          <w:lang w:val="en-US"/>
        </w:rPr>
        <w:t>the sharp reduction in earmarked contributions made to the Fund by State Parties. During the reporting period</w:t>
      </w:r>
      <w:r w:rsidR="00460E78" w:rsidRPr="00813D19">
        <w:rPr>
          <w:lang w:val="en-US"/>
        </w:rPr>
        <w:t xml:space="preserve">, i.e. </w:t>
      </w:r>
      <w:r w:rsidR="00236271" w:rsidRPr="00813D19">
        <w:rPr>
          <w:lang w:val="en-US"/>
        </w:rPr>
        <w:t xml:space="preserve">the first six months of </w:t>
      </w:r>
      <w:r w:rsidR="00460E78" w:rsidRPr="00813D19">
        <w:rPr>
          <w:lang w:val="en-US"/>
        </w:rPr>
        <w:t xml:space="preserve">2018, </w:t>
      </w:r>
      <w:r w:rsidR="00236271" w:rsidRPr="00813D19">
        <w:rPr>
          <w:lang w:val="en-US"/>
        </w:rPr>
        <w:t>no contributions were received for earmarked act</w:t>
      </w:r>
      <w:r w:rsidR="00460E78" w:rsidRPr="00813D19">
        <w:rPr>
          <w:lang w:val="en-US"/>
        </w:rPr>
        <w:t>ivities related to the capacity-</w:t>
      </w:r>
      <w:r w:rsidR="00236271" w:rsidRPr="00813D19">
        <w:rPr>
          <w:lang w:val="en-US"/>
        </w:rPr>
        <w:t>building programme.</w:t>
      </w:r>
      <w:r w:rsidR="00B62819" w:rsidRPr="00813D19">
        <w:rPr>
          <w:lang w:val="en-US"/>
        </w:rPr>
        <w:t xml:space="preserve"> </w:t>
      </w:r>
      <w:r w:rsidR="00813D19" w:rsidRPr="00813D19">
        <w:rPr>
          <w:lang w:val="en-US"/>
        </w:rPr>
        <w:t>Nevertheless</w:t>
      </w:r>
      <w:r w:rsidR="00460E78" w:rsidRPr="00813D19">
        <w:rPr>
          <w:lang w:val="en-US"/>
        </w:rPr>
        <w:t>, t</w:t>
      </w:r>
      <w:r w:rsidR="00236271" w:rsidRPr="00813D19">
        <w:rPr>
          <w:lang w:val="en-US"/>
        </w:rPr>
        <w:t>he steady decline</w:t>
      </w:r>
      <w:r w:rsidR="00460E78" w:rsidRPr="00813D19">
        <w:rPr>
          <w:lang w:val="en-US"/>
        </w:rPr>
        <w:t xml:space="preserve"> over past biennia seemed</w:t>
      </w:r>
      <w:r w:rsidR="00236271" w:rsidRPr="00813D19">
        <w:rPr>
          <w:lang w:val="en-US"/>
        </w:rPr>
        <w:t xml:space="preserve"> to </w:t>
      </w:r>
      <w:r w:rsidR="00460E78" w:rsidRPr="00813D19">
        <w:rPr>
          <w:lang w:val="en-US"/>
        </w:rPr>
        <w:t>show</w:t>
      </w:r>
      <w:r w:rsidR="00236271" w:rsidRPr="00813D19">
        <w:rPr>
          <w:lang w:val="en-US"/>
        </w:rPr>
        <w:t xml:space="preserve"> a small sign of turning around through the Funds-in-Trust arrangements. Since the beginning of the current</w:t>
      </w:r>
      <w:r w:rsidR="00423BF2" w:rsidRPr="00813D19">
        <w:rPr>
          <w:lang w:val="en-US"/>
        </w:rPr>
        <w:t xml:space="preserve"> biennium, two new projects had</w:t>
      </w:r>
      <w:r w:rsidR="00236271" w:rsidRPr="00813D19">
        <w:rPr>
          <w:lang w:val="en-US"/>
        </w:rPr>
        <w:t xml:space="preserve"> been initiated thanks to the generous contributions made by Belgium (Flanders) to continue the project aimed at strengthening subregional cooperation and national capacities in seven Southern African countries, and also by</w:t>
      </w:r>
      <w:r w:rsidR="00B62819" w:rsidRPr="00813D19">
        <w:rPr>
          <w:lang w:val="en-US"/>
        </w:rPr>
        <w:t xml:space="preserve"> </w:t>
      </w:r>
      <w:r w:rsidR="00236271" w:rsidRPr="00813D19">
        <w:rPr>
          <w:lang w:val="en-US"/>
        </w:rPr>
        <w:t>Japan to strengthen national capacities for the effective implementation of the 2003 Convention in Lebanon.</w:t>
      </w:r>
      <w:r w:rsidR="00B62819" w:rsidRPr="00813D19">
        <w:rPr>
          <w:lang w:val="en-US"/>
        </w:rPr>
        <w:t xml:space="preserve"> </w:t>
      </w:r>
      <w:r w:rsidR="00236271" w:rsidRPr="00813D19">
        <w:rPr>
          <w:lang w:val="en-US"/>
        </w:rPr>
        <w:t xml:space="preserve">Although some donors </w:t>
      </w:r>
      <w:r w:rsidR="00460E78" w:rsidRPr="00813D19">
        <w:rPr>
          <w:lang w:val="en-US"/>
        </w:rPr>
        <w:t xml:space="preserve">had </w:t>
      </w:r>
      <w:r w:rsidR="00236271" w:rsidRPr="00813D19">
        <w:rPr>
          <w:lang w:val="en-US"/>
        </w:rPr>
        <w:t>expressed an informal interest, no contributions</w:t>
      </w:r>
      <w:r w:rsidR="00460E78" w:rsidRPr="00813D19">
        <w:rPr>
          <w:lang w:val="en-US"/>
        </w:rPr>
        <w:t xml:space="preserve"> had</w:t>
      </w:r>
      <w:r w:rsidR="00236271" w:rsidRPr="00813D19">
        <w:rPr>
          <w:lang w:val="en-US"/>
        </w:rPr>
        <w:t xml:space="preserve"> been received to support the second funding priority</w:t>
      </w:r>
      <w:r w:rsidR="00460E78" w:rsidRPr="00813D19">
        <w:rPr>
          <w:lang w:val="en-US"/>
        </w:rPr>
        <w:t xml:space="preserve"> on</w:t>
      </w:r>
      <w:r w:rsidR="00236271" w:rsidRPr="00813D19">
        <w:rPr>
          <w:lang w:val="en-US"/>
        </w:rPr>
        <w:t xml:space="preserve"> intangible cultural heritage in education.</w:t>
      </w:r>
      <w:r w:rsidR="00B62819" w:rsidRPr="00813D19">
        <w:rPr>
          <w:lang w:val="en-US"/>
        </w:rPr>
        <w:t xml:space="preserve"> </w:t>
      </w:r>
      <w:r w:rsidR="00236271" w:rsidRPr="00813D19">
        <w:rPr>
          <w:lang w:val="en-US"/>
        </w:rPr>
        <w:t xml:space="preserve">Given this worrying situation, </w:t>
      </w:r>
      <w:r w:rsidR="00460E78" w:rsidRPr="00813D19">
        <w:rPr>
          <w:lang w:val="en-US"/>
        </w:rPr>
        <w:t xml:space="preserve">it was suggested that </w:t>
      </w:r>
      <w:r w:rsidR="00236271" w:rsidRPr="00813D19">
        <w:rPr>
          <w:lang w:val="en-US"/>
        </w:rPr>
        <w:t>the Committee encourage donors to support the two funding priorities through earmarked voluntary contributions to the ICH Fund.</w:t>
      </w:r>
    </w:p>
    <w:p w14:paraId="1BD02343" w14:textId="6E55F75D" w:rsidR="00BE08D8" w:rsidRPr="00813D19" w:rsidRDefault="00460E78" w:rsidP="00FF5937">
      <w:pPr>
        <w:pStyle w:val="Orateurengris"/>
        <w:spacing w:before="120"/>
        <w:ind w:left="709" w:hanging="709"/>
        <w:rPr>
          <w:rStyle w:val="hps"/>
          <w:lang w:val="en-US"/>
        </w:rPr>
      </w:pPr>
      <w:r w:rsidRPr="00813D19">
        <w:rPr>
          <w:lang w:val="en-US"/>
        </w:rPr>
        <w:t xml:space="preserve">Regarding </w:t>
      </w:r>
      <w:r w:rsidR="00236271" w:rsidRPr="00813D19">
        <w:rPr>
          <w:u w:val="single"/>
          <w:lang w:val="en-US"/>
        </w:rPr>
        <w:t>support for the human resources of the Secretariat</w:t>
      </w:r>
      <w:r w:rsidRPr="00813D19">
        <w:rPr>
          <w:lang w:val="en-US"/>
        </w:rPr>
        <w:t xml:space="preserve">, the </w:t>
      </w:r>
      <w:r w:rsidRPr="00813D19">
        <w:rPr>
          <w:b/>
          <w:lang w:val="en-US"/>
        </w:rPr>
        <w:t>Secretary</w:t>
      </w:r>
      <w:r w:rsidRPr="00813D19">
        <w:rPr>
          <w:lang w:val="en-US"/>
        </w:rPr>
        <w:t xml:space="preserve"> </w:t>
      </w:r>
      <w:r w:rsidR="00CB290F" w:rsidRPr="00813D19">
        <w:rPr>
          <w:lang w:val="en-US"/>
        </w:rPr>
        <w:t>explained that d</w:t>
      </w:r>
      <w:r w:rsidR="00236271" w:rsidRPr="00813D19">
        <w:rPr>
          <w:lang w:val="en-US"/>
        </w:rPr>
        <w:t xml:space="preserve">uring its last session, the General Assembly </w:t>
      </w:r>
      <w:r w:rsidR="00C06BEF">
        <w:rPr>
          <w:lang w:val="en-US"/>
        </w:rPr>
        <w:t xml:space="preserve">had </w:t>
      </w:r>
      <w:r w:rsidR="00236271" w:rsidRPr="00813D19">
        <w:rPr>
          <w:lang w:val="en-US"/>
        </w:rPr>
        <w:t xml:space="preserve">approved the creation of </w:t>
      </w:r>
      <w:r w:rsidR="00CB290F" w:rsidRPr="00813D19">
        <w:rPr>
          <w:lang w:val="en-US"/>
        </w:rPr>
        <w:t>three posts</w:t>
      </w:r>
      <w:r w:rsidR="00236271" w:rsidRPr="00813D19">
        <w:rPr>
          <w:lang w:val="en-US"/>
        </w:rPr>
        <w:t xml:space="preserve"> with the purpose of expanding and improving the reach of the International Assistance mechanisms. Notwithstanding this encouraging development, support for the human resources of the Secretariat through voluntary contributions </w:t>
      </w:r>
      <w:r w:rsidR="00CB290F" w:rsidRPr="00813D19">
        <w:rPr>
          <w:lang w:val="en-US"/>
        </w:rPr>
        <w:t xml:space="preserve">was </w:t>
      </w:r>
      <w:r w:rsidR="00236271" w:rsidRPr="00813D19">
        <w:rPr>
          <w:lang w:val="en-US"/>
        </w:rPr>
        <w:t xml:space="preserve">still essential in order to keep up with the volume of statutory obligations of the Convention. The team being recruited </w:t>
      </w:r>
      <w:r w:rsidR="00C06BEF">
        <w:rPr>
          <w:lang w:val="en-US"/>
        </w:rPr>
        <w:t>would</w:t>
      </w:r>
      <w:r w:rsidR="00C06BEF" w:rsidRPr="00813D19">
        <w:rPr>
          <w:lang w:val="en-US"/>
        </w:rPr>
        <w:t xml:space="preserve"> </w:t>
      </w:r>
      <w:r w:rsidR="00236271" w:rsidRPr="00813D19">
        <w:rPr>
          <w:lang w:val="en-US"/>
        </w:rPr>
        <w:t>alleviate only a small part of the increasing workload of the Secretariat</w:t>
      </w:r>
      <w:r w:rsidR="00CB290F" w:rsidRPr="00813D19">
        <w:rPr>
          <w:lang w:val="en-US"/>
        </w:rPr>
        <w:t xml:space="preserve"> as </w:t>
      </w:r>
      <w:r w:rsidR="00236271" w:rsidRPr="00813D19">
        <w:rPr>
          <w:lang w:val="en-US"/>
        </w:rPr>
        <w:t xml:space="preserve">it </w:t>
      </w:r>
      <w:r w:rsidR="00C06BEF" w:rsidRPr="00813D19">
        <w:rPr>
          <w:lang w:val="en-US"/>
        </w:rPr>
        <w:t>w</w:t>
      </w:r>
      <w:r w:rsidR="00C06BEF">
        <w:rPr>
          <w:lang w:val="en-US"/>
        </w:rPr>
        <w:t>ould</w:t>
      </w:r>
      <w:r w:rsidR="00C06BEF" w:rsidRPr="00813D19">
        <w:rPr>
          <w:lang w:val="en-US"/>
        </w:rPr>
        <w:t xml:space="preserve"> </w:t>
      </w:r>
      <w:r w:rsidR="00236271" w:rsidRPr="00813D19">
        <w:rPr>
          <w:lang w:val="en-US"/>
        </w:rPr>
        <w:t>mainly focus on tasks that cannot be assumed by t</w:t>
      </w:r>
      <w:r w:rsidR="00CB290F" w:rsidRPr="00813D19">
        <w:rPr>
          <w:lang w:val="en-US"/>
        </w:rPr>
        <w:t xml:space="preserve">he current team of Secretariat, which </w:t>
      </w:r>
      <w:r w:rsidR="00236271" w:rsidRPr="00813D19">
        <w:rPr>
          <w:lang w:val="en-US"/>
        </w:rPr>
        <w:t xml:space="preserve">include the implementation and monitoring systems for individual projects </w:t>
      </w:r>
      <w:r w:rsidR="00CB290F" w:rsidRPr="00813D19">
        <w:rPr>
          <w:lang w:val="en-US"/>
        </w:rPr>
        <w:t xml:space="preserve">having received </w:t>
      </w:r>
      <w:r w:rsidR="00394FFF" w:rsidRPr="00813D19">
        <w:rPr>
          <w:lang w:val="en-US"/>
        </w:rPr>
        <w:t>International A</w:t>
      </w:r>
      <w:r w:rsidR="00236271" w:rsidRPr="00813D19">
        <w:rPr>
          <w:lang w:val="en-US"/>
        </w:rPr>
        <w:t xml:space="preserve">ssistance. For this reason, </w:t>
      </w:r>
      <w:r w:rsidR="00CB290F" w:rsidRPr="00813D19">
        <w:rPr>
          <w:lang w:val="en-US"/>
        </w:rPr>
        <w:t xml:space="preserve">it was suggested that </w:t>
      </w:r>
      <w:r w:rsidR="00236271" w:rsidRPr="00813D19">
        <w:rPr>
          <w:lang w:val="en-US"/>
        </w:rPr>
        <w:t>the Committee further encourage donors to make new vol</w:t>
      </w:r>
      <w:r w:rsidR="00394FFF" w:rsidRPr="00813D19">
        <w:rPr>
          <w:lang w:val="en-US"/>
        </w:rPr>
        <w:t>untary contributions to the sub-</w:t>
      </w:r>
      <w:r w:rsidR="00236271" w:rsidRPr="00813D19">
        <w:rPr>
          <w:lang w:val="en-US"/>
        </w:rPr>
        <w:t>fund.</w:t>
      </w:r>
      <w:r w:rsidR="00CB290F" w:rsidRPr="00813D19">
        <w:rPr>
          <w:lang w:val="en-US"/>
        </w:rPr>
        <w:t xml:space="preserve"> S</w:t>
      </w:r>
      <w:r w:rsidR="00236271" w:rsidRPr="00813D19">
        <w:rPr>
          <w:lang w:val="en-US"/>
        </w:rPr>
        <w:t>ince the last session of</w:t>
      </w:r>
      <w:r w:rsidR="00CB290F" w:rsidRPr="00813D19">
        <w:rPr>
          <w:lang w:val="en-US"/>
        </w:rPr>
        <w:t xml:space="preserve"> the Committee, the sub-fund had</w:t>
      </w:r>
      <w:r w:rsidR="00236271" w:rsidRPr="00813D19">
        <w:rPr>
          <w:lang w:val="en-US"/>
        </w:rPr>
        <w:t xml:space="preserve"> received a total of US$64,</w:t>
      </w:r>
      <w:r w:rsidR="00CB290F" w:rsidRPr="00813D19">
        <w:rPr>
          <w:lang w:val="en-US"/>
        </w:rPr>
        <w:t>917</w:t>
      </w:r>
      <w:r w:rsidR="00236271" w:rsidRPr="00813D19">
        <w:rPr>
          <w:lang w:val="en-US"/>
        </w:rPr>
        <w:t xml:space="preserve"> thanks to the generous contributions made by the People’s Republic of China, Finland, Kazakhstan and Montenegro.</w:t>
      </w:r>
      <w:r w:rsidR="00CB290F" w:rsidRPr="00813D19">
        <w:rPr>
          <w:lang w:val="en-US"/>
        </w:rPr>
        <w:t xml:space="preserve"> The Secretary was happy to note the </w:t>
      </w:r>
      <w:r w:rsidR="00CB290F" w:rsidRPr="00813D19">
        <w:rPr>
          <w:u w:val="single"/>
          <w:lang w:val="en-US"/>
        </w:rPr>
        <w:t>n</w:t>
      </w:r>
      <w:r w:rsidR="00B62819" w:rsidRPr="00813D19">
        <w:rPr>
          <w:u w:val="single"/>
          <w:lang w:val="en-US"/>
        </w:rPr>
        <w:t>ew voluntary supplementary contribution</w:t>
      </w:r>
      <w:r w:rsidR="00CB290F" w:rsidRPr="00813D19">
        <w:rPr>
          <w:lang w:val="en-US"/>
        </w:rPr>
        <w:t xml:space="preserve"> to the ICH Fund by </w:t>
      </w:r>
      <w:r w:rsidR="00B62819" w:rsidRPr="00813D19">
        <w:rPr>
          <w:lang w:val="en-US"/>
        </w:rPr>
        <w:t>Japan</w:t>
      </w:r>
      <w:r w:rsidR="00B62819" w:rsidRPr="00813D19">
        <w:rPr>
          <w:b/>
          <w:lang w:val="en-US"/>
        </w:rPr>
        <w:t xml:space="preserve"> </w:t>
      </w:r>
      <w:r w:rsidR="00236271" w:rsidRPr="00813D19">
        <w:rPr>
          <w:lang w:val="en-US"/>
        </w:rPr>
        <w:t>to further support the 2003 Convention.</w:t>
      </w:r>
      <w:r w:rsidR="00B62819" w:rsidRPr="00813D19">
        <w:rPr>
          <w:lang w:val="en-US"/>
        </w:rPr>
        <w:t xml:space="preserve"> </w:t>
      </w:r>
      <w:r w:rsidR="00CB290F" w:rsidRPr="00813D19">
        <w:rPr>
          <w:lang w:val="en-US"/>
        </w:rPr>
        <w:t>A</w:t>
      </w:r>
      <w:r w:rsidR="00236271" w:rsidRPr="00813D19">
        <w:rPr>
          <w:lang w:val="en-US"/>
        </w:rPr>
        <w:t>t i</w:t>
      </w:r>
      <w:r w:rsidR="00712749" w:rsidRPr="00813D19">
        <w:rPr>
          <w:lang w:val="en-US"/>
        </w:rPr>
        <w:t>t</w:t>
      </w:r>
      <w:r w:rsidR="00236271" w:rsidRPr="00813D19">
        <w:rPr>
          <w:lang w:val="en-US"/>
        </w:rPr>
        <w:t xml:space="preserve">s twelfth session, </w:t>
      </w:r>
      <w:r w:rsidR="00CB290F" w:rsidRPr="00813D19">
        <w:rPr>
          <w:lang w:val="en-US"/>
        </w:rPr>
        <w:t xml:space="preserve">the Committee </w:t>
      </w:r>
      <w:r w:rsidR="00C06BEF">
        <w:rPr>
          <w:lang w:val="en-US"/>
        </w:rPr>
        <w:t xml:space="preserve">had </w:t>
      </w:r>
      <w:r w:rsidR="00236271" w:rsidRPr="00813D19">
        <w:rPr>
          <w:lang w:val="en-US"/>
        </w:rPr>
        <w:t>acknowledged the need to convene an open-ended intergovernmental working group to reflect</w:t>
      </w:r>
      <w:r w:rsidR="00C06BEF">
        <w:rPr>
          <w:lang w:val="en-US"/>
        </w:rPr>
        <w:t xml:space="preserve">, </w:t>
      </w:r>
      <w:r w:rsidR="00CB290F" w:rsidRPr="00813D19">
        <w:rPr>
          <w:i/>
          <w:lang w:val="en-US"/>
        </w:rPr>
        <w:t>inter alia</w:t>
      </w:r>
      <w:r w:rsidR="00C06BEF">
        <w:rPr>
          <w:lang w:val="en-US"/>
        </w:rPr>
        <w:t>,</w:t>
      </w:r>
      <w:r w:rsidR="00CB290F" w:rsidRPr="00813D19">
        <w:rPr>
          <w:lang w:val="en-US"/>
        </w:rPr>
        <w:t xml:space="preserve"> on: i) </w:t>
      </w:r>
      <w:r w:rsidR="00236271" w:rsidRPr="00813D19">
        <w:rPr>
          <w:rStyle w:val="hps"/>
          <w:lang w:val="en-US"/>
        </w:rPr>
        <w:t>the procedures for the removal of an element from a List and the trans</w:t>
      </w:r>
      <w:r w:rsidR="00CB290F" w:rsidRPr="00813D19">
        <w:rPr>
          <w:rStyle w:val="hps"/>
          <w:lang w:val="en-US"/>
        </w:rPr>
        <w:t xml:space="preserve">fer from one List to the other: ii) </w:t>
      </w:r>
      <w:r w:rsidR="00236271" w:rsidRPr="00813D19">
        <w:rPr>
          <w:rStyle w:val="hps"/>
          <w:lang w:val="en-US"/>
        </w:rPr>
        <w:t>the nature and purposes of the Lists and the Register established under the Convention</w:t>
      </w:r>
      <w:r w:rsidR="00CB290F" w:rsidRPr="00813D19">
        <w:rPr>
          <w:rStyle w:val="hps"/>
          <w:lang w:val="en-US"/>
        </w:rPr>
        <w:t xml:space="preserve">; and iii) </w:t>
      </w:r>
      <w:r w:rsidR="00236271" w:rsidRPr="00813D19">
        <w:rPr>
          <w:rStyle w:val="hps"/>
          <w:lang w:val="en-US"/>
        </w:rPr>
        <w:t>the relevance of the various criteria for each of these mechanisms.</w:t>
      </w:r>
      <w:r w:rsidR="00B62819" w:rsidRPr="00813D19">
        <w:rPr>
          <w:rStyle w:val="hps"/>
          <w:lang w:val="en-US"/>
        </w:rPr>
        <w:t xml:space="preserve"> </w:t>
      </w:r>
      <w:r w:rsidR="00CB290F" w:rsidRPr="00813D19">
        <w:rPr>
          <w:rStyle w:val="hps"/>
          <w:lang w:val="en-US"/>
        </w:rPr>
        <w:t>At its seventh session, t</w:t>
      </w:r>
      <w:r w:rsidR="00236271" w:rsidRPr="00813D19">
        <w:rPr>
          <w:rStyle w:val="hps"/>
          <w:lang w:val="en-US"/>
        </w:rPr>
        <w:t xml:space="preserve">he General Assembly </w:t>
      </w:r>
      <w:r w:rsidR="00C06BEF">
        <w:rPr>
          <w:rStyle w:val="hps"/>
          <w:lang w:val="en-US"/>
        </w:rPr>
        <w:t xml:space="preserve">had </w:t>
      </w:r>
      <w:r w:rsidR="00236271" w:rsidRPr="00813D19">
        <w:rPr>
          <w:rStyle w:val="hps"/>
          <w:lang w:val="en-US"/>
        </w:rPr>
        <w:t xml:space="preserve">further </w:t>
      </w:r>
      <w:r w:rsidR="00236271" w:rsidRPr="00813D19">
        <w:rPr>
          <w:lang w:val="en-US"/>
        </w:rPr>
        <w:t>underlined</w:t>
      </w:r>
      <w:r w:rsidR="00236271" w:rsidRPr="00813D19">
        <w:rPr>
          <w:rStyle w:val="hps"/>
          <w:lang w:val="en-US"/>
        </w:rPr>
        <w:t xml:space="preserve"> this need. It </w:t>
      </w:r>
      <w:r w:rsidR="00C06BEF">
        <w:rPr>
          <w:rStyle w:val="hps"/>
          <w:lang w:val="en-US"/>
        </w:rPr>
        <w:t>was</w:t>
      </w:r>
      <w:r w:rsidR="00C06BEF" w:rsidRPr="00813D19">
        <w:rPr>
          <w:rStyle w:val="hps"/>
          <w:lang w:val="en-US"/>
        </w:rPr>
        <w:t xml:space="preserve"> </w:t>
      </w:r>
      <w:r w:rsidR="00236271" w:rsidRPr="00813D19">
        <w:rPr>
          <w:rStyle w:val="hps"/>
          <w:lang w:val="en-US"/>
        </w:rPr>
        <w:t>expected that the results of the reflection w</w:t>
      </w:r>
      <w:r w:rsidR="00C06BEF">
        <w:rPr>
          <w:rStyle w:val="hps"/>
          <w:lang w:val="en-US"/>
        </w:rPr>
        <w:t>ould</w:t>
      </w:r>
      <w:r w:rsidR="00236271" w:rsidRPr="00813D19">
        <w:rPr>
          <w:rStyle w:val="hps"/>
          <w:lang w:val="en-US"/>
        </w:rPr>
        <w:t xml:space="preserve"> lead to the amendments of the Operational Directives with an improved and well</w:t>
      </w:r>
      <w:r w:rsidR="00C06BEF">
        <w:rPr>
          <w:rStyle w:val="hps"/>
          <w:lang w:val="en-US"/>
        </w:rPr>
        <w:t>-</w:t>
      </w:r>
      <w:r w:rsidR="00236271" w:rsidRPr="00813D19">
        <w:rPr>
          <w:rStyle w:val="hps"/>
          <w:lang w:val="en-US"/>
        </w:rPr>
        <w:t>thought</w:t>
      </w:r>
      <w:r w:rsidR="00C06BEF">
        <w:rPr>
          <w:rStyle w:val="hps"/>
          <w:lang w:val="en-US"/>
        </w:rPr>
        <w:t>-</w:t>
      </w:r>
      <w:r w:rsidR="00236271" w:rsidRPr="00813D19">
        <w:rPr>
          <w:rStyle w:val="hps"/>
          <w:lang w:val="en-US"/>
        </w:rPr>
        <w:t>out renewed mechanism for listings under the Convention.</w:t>
      </w:r>
      <w:r w:rsidR="00B62819" w:rsidRPr="00813D19">
        <w:rPr>
          <w:rStyle w:val="hps"/>
          <w:lang w:val="en-US"/>
        </w:rPr>
        <w:t xml:space="preserve"> </w:t>
      </w:r>
      <w:r w:rsidR="00AF1846" w:rsidRPr="00813D19">
        <w:rPr>
          <w:rStyle w:val="hps"/>
          <w:lang w:val="en-US"/>
        </w:rPr>
        <w:t xml:space="preserve">The Secretary </w:t>
      </w:r>
      <w:r w:rsidR="00236271" w:rsidRPr="00813D19">
        <w:rPr>
          <w:rStyle w:val="hps"/>
          <w:lang w:val="en-US"/>
        </w:rPr>
        <w:t>highlight</w:t>
      </w:r>
      <w:r w:rsidR="00AF1846" w:rsidRPr="00813D19">
        <w:rPr>
          <w:rStyle w:val="hps"/>
          <w:lang w:val="en-US"/>
        </w:rPr>
        <w:t>ed</w:t>
      </w:r>
      <w:r w:rsidR="00236271" w:rsidRPr="00813D19">
        <w:rPr>
          <w:rStyle w:val="hps"/>
          <w:lang w:val="en-US"/>
        </w:rPr>
        <w:t xml:space="preserve"> that the decision of the Committee </w:t>
      </w:r>
      <w:r w:rsidR="00AF1846" w:rsidRPr="00813D19">
        <w:rPr>
          <w:rStyle w:val="hps"/>
          <w:lang w:val="en-US"/>
        </w:rPr>
        <w:t xml:space="preserve">was </w:t>
      </w:r>
      <w:r w:rsidR="00236271" w:rsidRPr="00813D19">
        <w:rPr>
          <w:rStyle w:val="hps"/>
          <w:lang w:val="en-US"/>
        </w:rPr>
        <w:t xml:space="preserve">set broadly to discuss all relevant issues related to the listing mechanisms, as </w:t>
      </w:r>
      <w:r w:rsidR="00AF1846" w:rsidRPr="00813D19">
        <w:rPr>
          <w:rStyle w:val="hps"/>
          <w:lang w:val="en-US"/>
        </w:rPr>
        <w:t>suggested by ‘inter alia’</w:t>
      </w:r>
      <w:r w:rsidR="00236271" w:rsidRPr="00813D19">
        <w:rPr>
          <w:rStyle w:val="hps"/>
          <w:lang w:val="en-US"/>
        </w:rPr>
        <w:t xml:space="preserve">. </w:t>
      </w:r>
      <w:r w:rsidR="00AF1846" w:rsidRPr="00813D19">
        <w:rPr>
          <w:rStyle w:val="hps"/>
          <w:lang w:val="en-US"/>
        </w:rPr>
        <w:t>In this regard, t</w:t>
      </w:r>
      <w:r w:rsidR="00BE08D8" w:rsidRPr="00813D19">
        <w:rPr>
          <w:rStyle w:val="hps"/>
          <w:lang w:val="en-US"/>
        </w:rPr>
        <w:t>he Secretariat considered</w:t>
      </w:r>
      <w:r w:rsidR="00236271" w:rsidRPr="00813D19">
        <w:rPr>
          <w:rStyle w:val="hps"/>
          <w:lang w:val="en-US"/>
        </w:rPr>
        <w:t xml:space="preserve"> </w:t>
      </w:r>
      <w:r w:rsidR="00BE08D8" w:rsidRPr="00813D19">
        <w:rPr>
          <w:rStyle w:val="hps"/>
          <w:lang w:val="en-US"/>
        </w:rPr>
        <w:t xml:space="preserve">that </w:t>
      </w:r>
      <w:r w:rsidR="00236271" w:rsidRPr="00813D19">
        <w:rPr>
          <w:rStyle w:val="hps"/>
          <w:lang w:val="en-US"/>
        </w:rPr>
        <w:t>other aspects of the listing mechanisms should also be included in the reflection, for example</w:t>
      </w:r>
      <w:r w:rsidR="00BE08D8" w:rsidRPr="00813D19">
        <w:rPr>
          <w:rStyle w:val="hps"/>
          <w:lang w:val="en-US"/>
        </w:rPr>
        <w:t>,</w:t>
      </w:r>
      <w:r w:rsidR="00236271" w:rsidRPr="00813D19">
        <w:rPr>
          <w:rStyle w:val="hps"/>
          <w:lang w:val="en-US"/>
        </w:rPr>
        <w:t xml:space="preserve"> concerning the follow-up of elements </w:t>
      </w:r>
      <w:r w:rsidR="00C06BEF" w:rsidRPr="00813D19">
        <w:rPr>
          <w:rStyle w:val="hps"/>
          <w:lang w:val="en-US"/>
        </w:rPr>
        <w:t xml:space="preserve">inscribed </w:t>
      </w:r>
      <w:r w:rsidR="00236271" w:rsidRPr="00813D19">
        <w:rPr>
          <w:rStyle w:val="hps"/>
          <w:lang w:val="en-US"/>
        </w:rPr>
        <w:t xml:space="preserve">on the Lists, </w:t>
      </w:r>
      <w:r w:rsidR="00BE08D8" w:rsidRPr="00813D19">
        <w:rPr>
          <w:rStyle w:val="hps"/>
          <w:lang w:val="en-US"/>
        </w:rPr>
        <w:t xml:space="preserve">as considered </w:t>
      </w:r>
      <w:r w:rsidR="00236271" w:rsidRPr="00813D19">
        <w:rPr>
          <w:rStyle w:val="hps"/>
          <w:lang w:val="en-US"/>
        </w:rPr>
        <w:t xml:space="preserve">under </w:t>
      </w:r>
      <w:r w:rsidR="00BE08D8" w:rsidRPr="00813D19">
        <w:rPr>
          <w:rStyle w:val="hps"/>
          <w:lang w:val="en-US"/>
        </w:rPr>
        <w:t>agenda i</w:t>
      </w:r>
      <w:r w:rsidR="00236271" w:rsidRPr="00813D19">
        <w:rPr>
          <w:rStyle w:val="hps"/>
          <w:lang w:val="en-US"/>
        </w:rPr>
        <w:t>tem 9.</w:t>
      </w:r>
      <w:r w:rsidR="00B62819" w:rsidRPr="00813D19">
        <w:rPr>
          <w:rStyle w:val="hps"/>
          <w:lang w:val="en-US"/>
        </w:rPr>
        <w:t xml:space="preserve"> </w:t>
      </w:r>
      <w:r w:rsidR="00236271" w:rsidRPr="00813D19">
        <w:rPr>
          <w:rStyle w:val="hps"/>
          <w:lang w:val="en-US"/>
        </w:rPr>
        <w:t xml:space="preserve">Japan </w:t>
      </w:r>
      <w:r w:rsidR="00BE08D8" w:rsidRPr="00813D19">
        <w:rPr>
          <w:rStyle w:val="hps"/>
          <w:lang w:val="en-US"/>
        </w:rPr>
        <w:t xml:space="preserve">had </w:t>
      </w:r>
      <w:r w:rsidR="00236271" w:rsidRPr="00813D19">
        <w:rPr>
          <w:rStyle w:val="hps"/>
          <w:lang w:val="en-US"/>
        </w:rPr>
        <w:t xml:space="preserve">expressed to the Secretariat </w:t>
      </w:r>
      <w:r w:rsidR="00BE08D8" w:rsidRPr="00813D19">
        <w:rPr>
          <w:rStyle w:val="hps"/>
          <w:lang w:val="en-US"/>
        </w:rPr>
        <w:t xml:space="preserve">its intention that the </w:t>
      </w:r>
      <w:r w:rsidR="00236271" w:rsidRPr="00813D19">
        <w:rPr>
          <w:rStyle w:val="hps"/>
          <w:lang w:val="en-US"/>
        </w:rPr>
        <w:t xml:space="preserve">contribution </w:t>
      </w:r>
      <w:r w:rsidR="00BE08D8" w:rsidRPr="00813D19">
        <w:rPr>
          <w:rStyle w:val="hps"/>
          <w:lang w:val="en-US"/>
        </w:rPr>
        <w:t xml:space="preserve">be used </w:t>
      </w:r>
      <w:r w:rsidR="00236271" w:rsidRPr="00813D19">
        <w:rPr>
          <w:rStyle w:val="hps"/>
          <w:lang w:val="en-US"/>
        </w:rPr>
        <w:t>to</w:t>
      </w:r>
      <w:r w:rsidR="00B62819" w:rsidRPr="00813D19">
        <w:rPr>
          <w:lang w:val="en-US"/>
        </w:rPr>
        <w:t xml:space="preserve"> </w:t>
      </w:r>
      <w:r w:rsidR="00236271" w:rsidRPr="00813D19">
        <w:rPr>
          <w:lang w:val="en-US"/>
        </w:rPr>
        <w:t>organize a prelimi</w:t>
      </w:r>
      <w:r w:rsidR="00BE08D8" w:rsidRPr="00813D19">
        <w:rPr>
          <w:lang w:val="en-US"/>
        </w:rPr>
        <w:t>nary meeting of experts in 2019</w:t>
      </w:r>
      <w:r w:rsidR="00236271" w:rsidRPr="00813D19">
        <w:rPr>
          <w:lang w:val="en-US"/>
        </w:rPr>
        <w:t xml:space="preserve"> </w:t>
      </w:r>
      <w:r w:rsidR="00BE08D8" w:rsidRPr="00813D19">
        <w:rPr>
          <w:lang w:val="en-US"/>
        </w:rPr>
        <w:t>in preparation</w:t>
      </w:r>
      <w:r w:rsidR="00236271" w:rsidRPr="00813D19">
        <w:rPr>
          <w:lang w:val="en-US"/>
        </w:rPr>
        <w:t xml:space="preserve"> for an open-ended intergov</w:t>
      </w:r>
      <w:r w:rsidR="00BE08D8" w:rsidRPr="00813D19">
        <w:rPr>
          <w:lang w:val="en-US"/>
        </w:rPr>
        <w:t>ernmental working group meeting</w:t>
      </w:r>
      <w:r w:rsidR="00236271" w:rsidRPr="00813D19">
        <w:rPr>
          <w:lang w:val="en-US"/>
        </w:rPr>
        <w:t xml:space="preserve"> </w:t>
      </w:r>
      <w:r w:rsidR="00BE08D8" w:rsidRPr="00813D19">
        <w:rPr>
          <w:lang w:val="en-US"/>
        </w:rPr>
        <w:t xml:space="preserve">to be held </w:t>
      </w:r>
      <w:r w:rsidR="00236271" w:rsidRPr="00813D19">
        <w:rPr>
          <w:lang w:val="en-US"/>
        </w:rPr>
        <w:t>provisionally in 2021.</w:t>
      </w:r>
      <w:r w:rsidR="00B62819" w:rsidRPr="00813D19">
        <w:rPr>
          <w:lang w:val="en-US"/>
        </w:rPr>
        <w:t xml:space="preserve"> </w:t>
      </w:r>
      <w:r w:rsidR="00BE08D8" w:rsidRPr="00813D19">
        <w:rPr>
          <w:lang w:val="en-US"/>
        </w:rPr>
        <w:t xml:space="preserve">In this regard, the Secretariat was </w:t>
      </w:r>
      <w:r w:rsidR="00236271" w:rsidRPr="00813D19">
        <w:rPr>
          <w:lang w:val="en-US"/>
        </w:rPr>
        <w:t xml:space="preserve">confident that a meeting of experts </w:t>
      </w:r>
      <w:r w:rsidR="00BE08D8" w:rsidRPr="00813D19">
        <w:rPr>
          <w:lang w:val="en-US"/>
        </w:rPr>
        <w:t xml:space="preserve">could </w:t>
      </w:r>
      <w:r w:rsidR="00236271" w:rsidRPr="00813D19">
        <w:rPr>
          <w:lang w:val="en-US"/>
        </w:rPr>
        <w:t xml:space="preserve">be organized </w:t>
      </w:r>
      <w:r w:rsidR="00BE08D8" w:rsidRPr="00813D19">
        <w:rPr>
          <w:lang w:val="en-US"/>
        </w:rPr>
        <w:t>in 2019</w:t>
      </w:r>
      <w:r w:rsidR="00236271" w:rsidRPr="00813D19">
        <w:rPr>
          <w:lang w:val="en-US"/>
        </w:rPr>
        <w:t xml:space="preserve">. The remaining amount </w:t>
      </w:r>
      <w:r w:rsidR="00C06BEF" w:rsidRPr="00813D19">
        <w:rPr>
          <w:lang w:val="en-US"/>
        </w:rPr>
        <w:t>w</w:t>
      </w:r>
      <w:r w:rsidR="00C06BEF">
        <w:rPr>
          <w:lang w:val="en-US"/>
        </w:rPr>
        <w:t>ould</w:t>
      </w:r>
      <w:r w:rsidR="00C06BEF" w:rsidRPr="00813D19">
        <w:rPr>
          <w:lang w:val="en-US"/>
        </w:rPr>
        <w:t xml:space="preserve"> </w:t>
      </w:r>
      <w:r w:rsidR="00236271" w:rsidRPr="00813D19">
        <w:rPr>
          <w:lang w:val="en-US"/>
        </w:rPr>
        <w:t>be used to support the organization of t</w:t>
      </w:r>
      <w:r w:rsidR="00BE08D8" w:rsidRPr="00813D19">
        <w:rPr>
          <w:lang w:val="en-US"/>
        </w:rPr>
        <w:t xml:space="preserve">he open-ended working group </w:t>
      </w:r>
      <w:r w:rsidR="00236271" w:rsidRPr="00813D19">
        <w:rPr>
          <w:lang w:val="en-US"/>
        </w:rPr>
        <w:t xml:space="preserve">provisionally </w:t>
      </w:r>
      <w:r w:rsidR="00BE08D8" w:rsidRPr="00813D19">
        <w:rPr>
          <w:lang w:val="en-US"/>
        </w:rPr>
        <w:t xml:space="preserve">indicated </w:t>
      </w:r>
      <w:r w:rsidR="00236271" w:rsidRPr="00813D19">
        <w:rPr>
          <w:lang w:val="en-US"/>
        </w:rPr>
        <w:t xml:space="preserve">for 2021; the Secretariat </w:t>
      </w:r>
      <w:r w:rsidR="00C06BEF" w:rsidRPr="00813D19">
        <w:rPr>
          <w:lang w:val="en-US"/>
        </w:rPr>
        <w:t>w</w:t>
      </w:r>
      <w:r w:rsidR="00C06BEF">
        <w:rPr>
          <w:lang w:val="en-US"/>
        </w:rPr>
        <w:t>ould</w:t>
      </w:r>
      <w:r w:rsidR="00C06BEF" w:rsidRPr="00813D19">
        <w:rPr>
          <w:lang w:val="en-US"/>
        </w:rPr>
        <w:t xml:space="preserve"> </w:t>
      </w:r>
      <w:r w:rsidR="00236271" w:rsidRPr="00813D19">
        <w:rPr>
          <w:lang w:val="en-US"/>
        </w:rPr>
        <w:t xml:space="preserve">seek </w:t>
      </w:r>
      <w:r w:rsidR="00C06BEF">
        <w:rPr>
          <w:lang w:val="en-US"/>
        </w:rPr>
        <w:t xml:space="preserve">the </w:t>
      </w:r>
      <w:r w:rsidR="00236271" w:rsidRPr="00813D19">
        <w:rPr>
          <w:lang w:val="en-US"/>
        </w:rPr>
        <w:t xml:space="preserve">additional resources </w:t>
      </w:r>
      <w:r w:rsidR="00C06BEF" w:rsidRPr="00813D19">
        <w:rPr>
          <w:lang w:val="en-US"/>
        </w:rPr>
        <w:t>ne</w:t>
      </w:r>
      <w:r w:rsidR="00C06BEF">
        <w:rPr>
          <w:lang w:val="en-US"/>
        </w:rPr>
        <w:t>eded</w:t>
      </w:r>
      <w:r w:rsidR="00C06BEF" w:rsidRPr="00813D19">
        <w:rPr>
          <w:lang w:val="en-US"/>
        </w:rPr>
        <w:t xml:space="preserve"> </w:t>
      </w:r>
      <w:r w:rsidR="00236271" w:rsidRPr="00813D19">
        <w:rPr>
          <w:lang w:val="en-US"/>
        </w:rPr>
        <w:t>to convene that working group.</w:t>
      </w:r>
      <w:r w:rsidR="00B62819" w:rsidRPr="00813D19">
        <w:rPr>
          <w:lang w:val="en-US"/>
        </w:rPr>
        <w:t xml:space="preserve"> </w:t>
      </w:r>
      <w:r w:rsidR="00BE08D8" w:rsidRPr="00813D19">
        <w:rPr>
          <w:lang w:val="en-US"/>
        </w:rPr>
        <w:t>T</w:t>
      </w:r>
      <w:r w:rsidR="00236271" w:rsidRPr="00813D19">
        <w:rPr>
          <w:lang w:val="en-US"/>
        </w:rPr>
        <w:t xml:space="preserve">he Committee </w:t>
      </w:r>
      <w:r w:rsidR="00BE08D8" w:rsidRPr="00813D19">
        <w:rPr>
          <w:lang w:val="en-US"/>
        </w:rPr>
        <w:t xml:space="preserve">was </w:t>
      </w:r>
      <w:r w:rsidR="00236271" w:rsidRPr="00813D19">
        <w:rPr>
          <w:lang w:val="en-US"/>
        </w:rPr>
        <w:t xml:space="preserve">asked to approve the generous offer </w:t>
      </w:r>
      <w:r w:rsidR="00C06BEF">
        <w:rPr>
          <w:lang w:val="en-US"/>
        </w:rPr>
        <w:t>from</w:t>
      </w:r>
      <w:r w:rsidR="00C06BEF" w:rsidRPr="00813D19">
        <w:rPr>
          <w:lang w:val="en-US"/>
        </w:rPr>
        <w:t xml:space="preserve"> </w:t>
      </w:r>
      <w:r w:rsidR="00BE08D8" w:rsidRPr="00813D19">
        <w:rPr>
          <w:lang w:val="en-US"/>
        </w:rPr>
        <w:t>Japan,</w:t>
      </w:r>
      <w:r w:rsidR="00236271" w:rsidRPr="00813D19">
        <w:rPr>
          <w:lang w:val="en-US"/>
        </w:rPr>
        <w:t xml:space="preserve"> </w:t>
      </w:r>
      <w:r w:rsidR="00BE08D8" w:rsidRPr="00813D19">
        <w:rPr>
          <w:lang w:val="en-US"/>
        </w:rPr>
        <w:t xml:space="preserve">as per </w:t>
      </w:r>
      <w:r w:rsidR="00236271" w:rsidRPr="00813D19">
        <w:rPr>
          <w:lang w:val="en-US"/>
        </w:rPr>
        <w:t xml:space="preserve">Annex II </w:t>
      </w:r>
      <w:r w:rsidR="00BE08D8" w:rsidRPr="00813D19">
        <w:rPr>
          <w:lang w:val="en-US"/>
        </w:rPr>
        <w:t xml:space="preserve">in </w:t>
      </w:r>
      <w:r w:rsidR="00236271" w:rsidRPr="00813D19">
        <w:rPr>
          <w:lang w:val="en-US"/>
        </w:rPr>
        <w:t>document</w:t>
      </w:r>
      <w:r w:rsidR="00BE08D8" w:rsidRPr="00813D19">
        <w:rPr>
          <w:lang w:val="en-US"/>
        </w:rPr>
        <w:t xml:space="preserve"> 13.COM</w:t>
      </w:r>
      <w:r w:rsidR="00BE491E" w:rsidRPr="00813D19">
        <w:rPr>
          <w:lang w:val="en-US"/>
        </w:rPr>
        <w:t xml:space="preserve"> </w:t>
      </w:r>
      <w:r w:rsidR="00BE08D8" w:rsidRPr="00813D19">
        <w:rPr>
          <w:lang w:val="en-US"/>
        </w:rPr>
        <w:t>6.</w:t>
      </w:r>
    </w:p>
    <w:p w14:paraId="1E09E145" w14:textId="6FCD40E3" w:rsidR="00236271" w:rsidRPr="00813D19" w:rsidRDefault="00BE08D8" w:rsidP="00FF5937">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then outlined the </w:t>
      </w:r>
      <w:r w:rsidR="00236271" w:rsidRPr="00813D19">
        <w:rPr>
          <w:lang w:val="en-US"/>
        </w:rPr>
        <w:t xml:space="preserve">timeline of </w:t>
      </w:r>
      <w:r w:rsidRPr="00813D19">
        <w:rPr>
          <w:lang w:val="en-US"/>
        </w:rPr>
        <w:t xml:space="preserve">future </w:t>
      </w:r>
      <w:r w:rsidR="00236271" w:rsidRPr="00813D19">
        <w:rPr>
          <w:lang w:val="en-US"/>
        </w:rPr>
        <w:t>meeting</w:t>
      </w:r>
      <w:r w:rsidRPr="00813D19">
        <w:rPr>
          <w:lang w:val="en-US"/>
        </w:rPr>
        <w:t>s, beginning with the reflection and the meeting of experts in 2019, t</w:t>
      </w:r>
      <w:r w:rsidR="00236271" w:rsidRPr="00813D19">
        <w:rPr>
          <w:lang w:val="en-US"/>
        </w:rPr>
        <w:t xml:space="preserve">he outcome of </w:t>
      </w:r>
      <w:r w:rsidRPr="00813D19">
        <w:rPr>
          <w:lang w:val="en-US"/>
        </w:rPr>
        <w:t xml:space="preserve">which would </w:t>
      </w:r>
      <w:r w:rsidR="00236271" w:rsidRPr="00813D19">
        <w:rPr>
          <w:lang w:val="en-US"/>
        </w:rPr>
        <w:t xml:space="preserve">be reported to the fourteenth session of the Committee. The eighth session of the General Assembly and the fifteenth session of the Committee would </w:t>
      </w:r>
      <w:r w:rsidRPr="00813D19">
        <w:rPr>
          <w:lang w:val="en-US"/>
        </w:rPr>
        <w:t xml:space="preserve">provide </w:t>
      </w:r>
      <w:r w:rsidR="00236271" w:rsidRPr="00813D19">
        <w:rPr>
          <w:lang w:val="en-US"/>
        </w:rPr>
        <w:t xml:space="preserve">further occasions to discuss the reflection before convening a meeting of the open-ended intergovernmental working group. The results of the working group </w:t>
      </w:r>
      <w:r w:rsidRPr="00813D19">
        <w:rPr>
          <w:lang w:val="en-US"/>
        </w:rPr>
        <w:t xml:space="preserve">would </w:t>
      </w:r>
      <w:r w:rsidR="00236271" w:rsidRPr="00813D19">
        <w:rPr>
          <w:lang w:val="en-US"/>
        </w:rPr>
        <w:t xml:space="preserve">then be brought to the sixteenth session </w:t>
      </w:r>
      <w:r w:rsidRPr="00813D19">
        <w:rPr>
          <w:lang w:val="en-US"/>
        </w:rPr>
        <w:t xml:space="preserve">so as </w:t>
      </w:r>
      <w:r w:rsidR="00236271" w:rsidRPr="00813D19">
        <w:rPr>
          <w:lang w:val="en-US"/>
        </w:rPr>
        <w:t>to agree on the amendments to the Operational Directives to be recommended to the General Assembly. Finally, in 2022</w:t>
      </w:r>
      <w:r w:rsidRPr="00813D19">
        <w:rPr>
          <w:lang w:val="en-US"/>
        </w:rPr>
        <w:t xml:space="preserve">, </w:t>
      </w:r>
      <w:r w:rsidR="00236271" w:rsidRPr="00813D19">
        <w:rPr>
          <w:lang w:val="en-US"/>
        </w:rPr>
        <w:t xml:space="preserve">the General Assembly </w:t>
      </w:r>
      <w:r w:rsidRPr="00813D19">
        <w:rPr>
          <w:lang w:val="en-US"/>
        </w:rPr>
        <w:t xml:space="preserve">at its ninth session </w:t>
      </w:r>
      <w:r w:rsidR="00236271" w:rsidRPr="00813D19">
        <w:rPr>
          <w:lang w:val="en-US"/>
        </w:rPr>
        <w:t>may adopt the amendments of the Operational Directives.</w:t>
      </w:r>
      <w:r w:rsidR="00B62819" w:rsidRPr="00813D19">
        <w:rPr>
          <w:lang w:val="en-US"/>
        </w:rPr>
        <w:t xml:space="preserve"> </w:t>
      </w:r>
      <w:r w:rsidR="00236271" w:rsidRPr="00813D19">
        <w:rPr>
          <w:lang w:val="en-US"/>
        </w:rPr>
        <w:t xml:space="preserve">The combination of a meeting of experts and the open-ended intergovernmental working group </w:t>
      </w:r>
      <w:r w:rsidR="00BE491E" w:rsidRPr="00813D19">
        <w:rPr>
          <w:lang w:val="en-US"/>
        </w:rPr>
        <w:t xml:space="preserve">is </w:t>
      </w:r>
      <w:r w:rsidR="00236271" w:rsidRPr="00813D19">
        <w:rPr>
          <w:lang w:val="en-US"/>
        </w:rPr>
        <w:t xml:space="preserve">a </w:t>
      </w:r>
      <w:r w:rsidR="00C06BEF" w:rsidRPr="00813D19">
        <w:rPr>
          <w:lang w:val="en-US"/>
        </w:rPr>
        <w:t>m</w:t>
      </w:r>
      <w:r w:rsidR="00C06BEF">
        <w:rPr>
          <w:lang w:val="en-US"/>
        </w:rPr>
        <w:t>ethod</w:t>
      </w:r>
      <w:r w:rsidR="00C06BEF" w:rsidRPr="00813D19">
        <w:rPr>
          <w:lang w:val="en-US"/>
        </w:rPr>
        <w:t xml:space="preserve"> </w:t>
      </w:r>
      <w:r w:rsidR="00236271" w:rsidRPr="00813D19">
        <w:rPr>
          <w:lang w:val="en-US"/>
        </w:rPr>
        <w:t xml:space="preserve">that </w:t>
      </w:r>
      <w:r w:rsidR="00C06BEF">
        <w:rPr>
          <w:lang w:val="en-US"/>
        </w:rPr>
        <w:t xml:space="preserve">had </w:t>
      </w:r>
      <w:r w:rsidR="00236271" w:rsidRPr="00813D19">
        <w:rPr>
          <w:lang w:val="en-US"/>
        </w:rPr>
        <w:t>proved very useful when developing the overall results framework.</w:t>
      </w:r>
      <w:r w:rsidR="00B62819" w:rsidRPr="00813D19">
        <w:rPr>
          <w:lang w:val="en-US"/>
        </w:rPr>
        <w:t xml:space="preserve"> </w:t>
      </w:r>
      <w:r w:rsidR="00236271" w:rsidRPr="00813D19">
        <w:rPr>
          <w:lang w:val="en-US"/>
        </w:rPr>
        <w:t>The timeline is quite long because of the complex nature of the reflection</w:t>
      </w:r>
      <w:r w:rsidR="00C06BEF">
        <w:rPr>
          <w:lang w:val="en-US"/>
        </w:rPr>
        <w:t>,</w:t>
      </w:r>
      <w:r w:rsidR="00BE491E" w:rsidRPr="00813D19">
        <w:rPr>
          <w:lang w:val="en-US"/>
        </w:rPr>
        <w:t xml:space="preserve"> </w:t>
      </w:r>
      <w:r w:rsidR="00C06BEF">
        <w:rPr>
          <w:lang w:val="en-US"/>
        </w:rPr>
        <w:t>which</w:t>
      </w:r>
      <w:r w:rsidR="00C06BEF" w:rsidRPr="00813D19">
        <w:rPr>
          <w:lang w:val="en-US"/>
        </w:rPr>
        <w:t xml:space="preserve"> </w:t>
      </w:r>
      <w:r w:rsidR="00BE491E" w:rsidRPr="00813D19">
        <w:rPr>
          <w:lang w:val="en-US"/>
        </w:rPr>
        <w:t>covered</w:t>
      </w:r>
      <w:r w:rsidR="00236271" w:rsidRPr="00813D19">
        <w:rPr>
          <w:lang w:val="en-US"/>
        </w:rPr>
        <w:t xml:space="preserve"> multiple issues</w:t>
      </w:r>
      <w:r w:rsidR="00C06BEF">
        <w:rPr>
          <w:lang w:val="en-US"/>
        </w:rPr>
        <w:t>,</w:t>
      </w:r>
      <w:r w:rsidR="00236271" w:rsidRPr="00813D19">
        <w:rPr>
          <w:lang w:val="en-US"/>
        </w:rPr>
        <w:t xml:space="preserve"> and because of a number of other thematic or statutory meetings that </w:t>
      </w:r>
      <w:r w:rsidR="00C06BEF" w:rsidRPr="00813D19">
        <w:rPr>
          <w:lang w:val="en-US"/>
        </w:rPr>
        <w:t>ha</w:t>
      </w:r>
      <w:r w:rsidR="00C06BEF">
        <w:rPr>
          <w:lang w:val="en-US"/>
        </w:rPr>
        <w:t>d</w:t>
      </w:r>
      <w:r w:rsidR="00C06BEF" w:rsidRPr="00813D19">
        <w:rPr>
          <w:lang w:val="en-US"/>
        </w:rPr>
        <w:t xml:space="preserve"> </w:t>
      </w:r>
      <w:r w:rsidR="00236271" w:rsidRPr="00813D19">
        <w:rPr>
          <w:lang w:val="en-US"/>
        </w:rPr>
        <w:t>to take place. For example, the Secretariat</w:t>
      </w:r>
      <w:r w:rsidR="00C06BEF">
        <w:rPr>
          <w:lang w:val="en-US"/>
        </w:rPr>
        <w:t xml:space="preserve"> would</w:t>
      </w:r>
      <w:r w:rsidR="00236271" w:rsidRPr="00813D19">
        <w:rPr>
          <w:lang w:val="en-US"/>
        </w:rPr>
        <w:t xml:space="preserve"> be organizing two additional meetings </w:t>
      </w:r>
      <w:r w:rsidR="00BE491E" w:rsidRPr="00813D19">
        <w:rPr>
          <w:lang w:val="en-US"/>
        </w:rPr>
        <w:t>in 2019;</w:t>
      </w:r>
      <w:r w:rsidR="00236271" w:rsidRPr="00813D19">
        <w:rPr>
          <w:lang w:val="en-US"/>
        </w:rPr>
        <w:t xml:space="preserve"> one on the participation of accredited NGOs in the implementation of the Convention and the other on intangible cultural heritage in emer</w:t>
      </w:r>
      <w:r w:rsidR="00F13E44" w:rsidRPr="00813D19">
        <w:rPr>
          <w:lang w:val="en-US"/>
        </w:rPr>
        <w:t>gencies (as per D</w:t>
      </w:r>
      <w:r w:rsidR="00236271" w:rsidRPr="00813D19">
        <w:rPr>
          <w:lang w:val="en-US"/>
        </w:rPr>
        <w:t>ecisio</w:t>
      </w:r>
      <w:r w:rsidR="00BE491E" w:rsidRPr="00813D19">
        <w:rPr>
          <w:lang w:val="en-US"/>
        </w:rPr>
        <w:t xml:space="preserve">ns </w:t>
      </w:r>
      <w:hyperlink r:id="rId43" w:history="1">
        <w:r w:rsidR="00BE491E" w:rsidRPr="00813D19">
          <w:rPr>
            <w:rStyle w:val="Hyperlink"/>
            <w:lang w:val="en-US"/>
          </w:rPr>
          <w:t>12.COM 17</w:t>
        </w:r>
      </w:hyperlink>
      <w:r w:rsidR="00BE491E" w:rsidRPr="00813D19">
        <w:rPr>
          <w:lang w:val="en-US"/>
        </w:rPr>
        <w:t xml:space="preserve"> and </w:t>
      </w:r>
      <w:hyperlink r:id="rId44" w:history="1">
        <w:r w:rsidR="00BE491E" w:rsidRPr="00813D19">
          <w:rPr>
            <w:rStyle w:val="Hyperlink"/>
            <w:lang w:val="en-US"/>
          </w:rPr>
          <w:t>13.COM 2 BUR 3</w:t>
        </w:r>
      </w:hyperlink>
      <w:r w:rsidR="00BE491E" w:rsidRPr="00813D19">
        <w:rPr>
          <w:lang w:val="en-US"/>
        </w:rPr>
        <w:t xml:space="preserve">, </w:t>
      </w:r>
      <w:r w:rsidR="00236271" w:rsidRPr="00813D19">
        <w:rPr>
          <w:lang w:val="en-US"/>
        </w:rPr>
        <w:t xml:space="preserve">respectively). </w:t>
      </w:r>
      <w:r w:rsidR="00BE491E" w:rsidRPr="00813D19">
        <w:rPr>
          <w:lang w:val="en-US"/>
        </w:rPr>
        <w:t>Moreover, i</w:t>
      </w:r>
      <w:r w:rsidR="00236271" w:rsidRPr="00813D19">
        <w:rPr>
          <w:lang w:val="en-US"/>
        </w:rPr>
        <w:t xml:space="preserve">t </w:t>
      </w:r>
      <w:r w:rsidR="00BE491E" w:rsidRPr="00813D19">
        <w:rPr>
          <w:lang w:val="en-US"/>
        </w:rPr>
        <w:t xml:space="preserve">was </w:t>
      </w:r>
      <w:r w:rsidR="00236271" w:rsidRPr="00813D19">
        <w:rPr>
          <w:lang w:val="en-US"/>
        </w:rPr>
        <w:t xml:space="preserve">difficult to foresee an open-ended working group in 2020 because </w:t>
      </w:r>
      <w:r w:rsidR="00BE491E" w:rsidRPr="00813D19">
        <w:rPr>
          <w:lang w:val="en-US"/>
        </w:rPr>
        <w:t xml:space="preserve">of the eighth </w:t>
      </w:r>
      <w:r w:rsidR="00236271" w:rsidRPr="00813D19">
        <w:rPr>
          <w:lang w:val="en-US"/>
        </w:rPr>
        <w:t>G</w:t>
      </w:r>
      <w:r w:rsidR="00BE491E" w:rsidRPr="00813D19">
        <w:rPr>
          <w:lang w:val="en-US"/>
        </w:rPr>
        <w:t>eneral Assembly in the same year</w:t>
      </w:r>
      <w:r w:rsidR="00236271" w:rsidRPr="00813D19">
        <w:rPr>
          <w:lang w:val="en-US"/>
        </w:rPr>
        <w:t xml:space="preserve">. </w:t>
      </w:r>
      <w:r w:rsidR="00BE491E" w:rsidRPr="00813D19">
        <w:rPr>
          <w:lang w:val="en-US"/>
        </w:rPr>
        <w:t xml:space="preserve">The Secretary </w:t>
      </w:r>
      <w:r w:rsidR="00236271" w:rsidRPr="00813D19">
        <w:rPr>
          <w:lang w:val="en-US"/>
        </w:rPr>
        <w:t xml:space="preserve">once again </w:t>
      </w:r>
      <w:r w:rsidR="00BE491E" w:rsidRPr="00813D19">
        <w:rPr>
          <w:lang w:val="en-US"/>
        </w:rPr>
        <w:t xml:space="preserve">stressed </w:t>
      </w:r>
      <w:r w:rsidR="00236271" w:rsidRPr="00813D19">
        <w:rPr>
          <w:lang w:val="en-US"/>
        </w:rPr>
        <w:t>the complex and somewhat sen</w:t>
      </w:r>
      <w:r w:rsidR="00BE491E" w:rsidRPr="00813D19">
        <w:rPr>
          <w:lang w:val="en-US"/>
        </w:rPr>
        <w:t>sitive nature of the reflection</w:t>
      </w:r>
      <w:r w:rsidR="00C06BEF">
        <w:rPr>
          <w:lang w:val="en-US"/>
        </w:rPr>
        <w:t>,</w:t>
      </w:r>
      <w:r w:rsidR="00236271" w:rsidRPr="00813D19">
        <w:rPr>
          <w:lang w:val="en-US"/>
        </w:rPr>
        <w:t xml:space="preserve"> </w:t>
      </w:r>
      <w:r w:rsidR="00C06BEF">
        <w:rPr>
          <w:lang w:val="en-US"/>
        </w:rPr>
        <w:t>which was</w:t>
      </w:r>
      <w:r w:rsidR="00BE491E" w:rsidRPr="00813D19">
        <w:rPr>
          <w:lang w:val="en-US"/>
        </w:rPr>
        <w:t xml:space="preserve"> why it was </w:t>
      </w:r>
      <w:r w:rsidR="00236271" w:rsidRPr="00813D19">
        <w:rPr>
          <w:lang w:val="en-US"/>
        </w:rPr>
        <w:t xml:space="preserve">important to include </w:t>
      </w:r>
      <w:r w:rsidR="00BE491E" w:rsidRPr="00813D19">
        <w:rPr>
          <w:lang w:val="en-US"/>
        </w:rPr>
        <w:t xml:space="preserve">as </w:t>
      </w:r>
      <w:r w:rsidR="00236271" w:rsidRPr="00813D19">
        <w:rPr>
          <w:lang w:val="en-US"/>
        </w:rPr>
        <w:t>many opportunities for discussions at the intergovernmental level</w:t>
      </w:r>
      <w:r w:rsidR="00BE491E" w:rsidRPr="00813D19">
        <w:rPr>
          <w:lang w:val="en-US"/>
        </w:rPr>
        <w:t xml:space="preserve"> as possible</w:t>
      </w:r>
      <w:r w:rsidR="00236271" w:rsidRPr="00813D19">
        <w:rPr>
          <w:lang w:val="en-US"/>
        </w:rPr>
        <w:t xml:space="preserve">. The current </w:t>
      </w:r>
      <w:r w:rsidR="00BE491E" w:rsidRPr="00813D19">
        <w:rPr>
          <w:lang w:val="en-US"/>
        </w:rPr>
        <w:t>plan allowed</w:t>
      </w:r>
      <w:r w:rsidR="00236271" w:rsidRPr="00813D19">
        <w:rPr>
          <w:lang w:val="en-US"/>
        </w:rPr>
        <w:t xml:space="preserve"> </w:t>
      </w:r>
      <w:r w:rsidR="00BE491E" w:rsidRPr="00813D19">
        <w:rPr>
          <w:lang w:val="en-US"/>
        </w:rPr>
        <w:t xml:space="preserve">for </w:t>
      </w:r>
      <w:r w:rsidR="00C06BEF">
        <w:rPr>
          <w:lang w:val="en-US"/>
        </w:rPr>
        <w:t xml:space="preserve">the </w:t>
      </w:r>
      <w:r w:rsidR="00236271" w:rsidRPr="00813D19">
        <w:rPr>
          <w:lang w:val="en-US"/>
        </w:rPr>
        <w:t xml:space="preserve">careful preparation </w:t>
      </w:r>
      <w:r w:rsidR="00BE491E" w:rsidRPr="00813D19">
        <w:rPr>
          <w:lang w:val="en-US"/>
        </w:rPr>
        <w:t>of the open-</w:t>
      </w:r>
      <w:r w:rsidR="00236271" w:rsidRPr="00813D19">
        <w:rPr>
          <w:lang w:val="en-US"/>
        </w:rPr>
        <w:t>ended intergovernmental working group.</w:t>
      </w:r>
    </w:p>
    <w:p w14:paraId="4045F62A" w14:textId="61A5C3D1" w:rsidR="00236271" w:rsidRPr="00813D19" w:rsidRDefault="00BE491E" w:rsidP="00B62819">
      <w:pPr>
        <w:pStyle w:val="Orateurengris"/>
        <w:spacing w:before="120"/>
        <w:ind w:left="709" w:hanging="709"/>
        <w:rPr>
          <w:lang w:val="en-US"/>
        </w:rPr>
      </w:pPr>
      <w:r w:rsidRPr="00813D19">
        <w:rPr>
          <w:lang w:val="en-US"/>
        </w:rPr>
        <w:t xml:space="preserve">Regarding </w:t>
      </w:r>
      <w:r w:rsidR="00B62819" w:rsidRPr="00813D19">
        <w:rPr>
          <w:u w:val="single"/>
          <w:lang w:val="en-US"/>
        </w:rPr>
        <w:t>Management Cost Rates</w:t>
      </w:r>
      <w:r w:rsidRPr="00813D19">
        <w:rPr>
          <w:lang w:val="en-US"/>
        </w:rPr>
        <w:t xml:space="preserve">, the </w:t>
      </w:r>
      <w:r w:rsidRPr="00813D19">
        <w:rPr>
          <w:b/>
          <w:lang w:val="en-US"/>
        </w:rPr>
        <w:t>Secretary</w:t>
      </w:r>
      <w:r w:rsidRPr="00813D19">
        <w:rPr>
          <w:lang w:val="en-US"/>
        </w:rPr>
        <w:t xml:space="preserve"> recalled that, </w:t>
      </w:r>
      <w:r w:rsidR="00236271" w:rsidRPr="00813D19">
        <w:rPr>
          <w:lang w:val="en-US"/>
        </w:rPr>
        <w:t>at its 204</w:t>
      </w:r>
      <w:r w:rsidR="00236271" w:rsidRPr="003221D5">
        <w:rPr>
          <w:lang w:val="en-US"/>
        </w:rPr>
        <w:t>th</w:t>
      </w:r>
      <w:r w:rsidRPr="00813D19">
        <w:rPr>
          <w:lang w:val="en-US"/>
        </w:rPr>
        <w:t xml:space="preserve"> session,</w:t>
      </w:r>
      <w:r w:rsidR="00236271" w:rsidRPr="00813D19">
        <w:rPr>
          <w:lang w:val="en-US"/>
        </w:rPr>
        <w:t xml:space="preserve"> </w:t>
      </w:r>
      <w:r w:rsidRPr="00813D19">
        <w:rPr>
          <w:lang w:val="en-US"/>
        </w:rPr>
        <w:t xml:space="preserve">the Executive Board </w:t>
      </w:r>
      <w:r w:rsidR="00236271" w:rsidRPr="00813D19">
        <w:rPr>
          <w:lang w:val="en-US"/>
        </w:rPr>
        <w:t>decided to approve a new set of Management Costs Rates</w:t>
      </w:r>
      <w:r w:rsidRPr="00813D19">
        <w:rPr>
          <w:lang w:val="en-US"/>
        </w:rPr>
        <w:t xml:space="preserve">. The Secretary explained that there are </w:t>
      </w:r>
      <w:r w:rsidR="00236271" w:rsidRPr="00813D19">
        <w:rPr>
          <w:lang w:val="en-US"/>
        </w:rPr>
        <w:t>different kinds of contribu</w:t>
      </w:r>
      <w:r w:rsidRPr="00813D19">
        <w:rPr>
          <w:lang w:val="en-US"/>
        </w:rPr>
        <w:t>tions that compose the ICH Fund.</w:t>
      </w:r>
      <w:r w:rsidR="00B62819" w:rsidRPr="00813D19">
        <w:rPr>
          <w:lang w:val="en-US"/>
        </w:rPr>
        <w:t xml:space="preserve"> </w:t>
      </w:r>
      <w:r w:rsidR="00236271" w:rsidRPr="00813D19">
        <w:rPr>
          <w:lang w:val="en-US"/>
        </w:rPr>
        <w:t xml:space="preserve">On the one hand, the Fund receives annual assessed contributions, as defined by Article 26 of the Convention, which </w:t>
      </w:r>
      <w:r w:rsidRPr="00813D19">
        <w:rPr>
          <w:lang w:val="en-US"/>
        </w:rPr>
        <w:t>so far benefit</w:t>
      </w:r>
      <w:r w:rsidR="00236271" w:rsidRPr="00813D19">
        <w:rPr>
          <w:lang w:val="en-US"/>
        </w:rPr>
        <w:t xml:space="preserve"> from a special Management Cost Rate derogation of 0</w:t>
      </w:r>
      <w:r w:rsidR="009273D8">
        <w:rPr>
          <w:lang w:val="en-US"/>
        </w:rPr>
        <w:t xml:space="preserve"> per cent</w:t>
      </w:r>
      <w:r w:rsidR="009273D8" w:rsidRPr="00813D19">
        <w:rPr>
          <w:lang w:val="en-US"/>
        </w:rPr>
        <w:t xml:space="preserve">, </w:t>
      </w:r>
      <w:r w:rsidRPr="00813D19">
        <w:rPr>
          <w:lang w:val="en-US"/>
        </w:rPr>
        <w:t xml:space="preserve">which </w:t>
      </w:r>
      <w:r w:rsidR="00236271" w:rsidRPr="00813D19">
        <w:rPr>
          <w:lang w:val="en-US"/>
        </w:rPr>
        <w:t>was exceptionally granted by the Director-General, not only to the ICH Fund, but also to comparable special accounts, such as the World Heritage Fund.</w:t>
      </w:r>
      <w:r w:rsidR="00B62819" w:rsidRPr="00813D19">
        <w:rPr>
          <w:lang w:val="en-US"/>
        </w:rPr>
        <w:t xml:space="preserve"> </w:t>
      </w:r>
      <w:r w:rsidR="00236271" w:rsidRPr="00813D19">
        <w:rPr>
          <w:lang w:val="en-US"/>
        </w:rPr>
        <w:t>On the other hand, the Fund also r</w:t>
      </w:r>
      <w:r w:rsidRPr="00813D19">
        <w:rPr>
          <w:lang w:val="en-US"/>
        </w:rPr>
        <w:t xml:space="preserve">eceives voluntary contributions, such </w:t>
      </w:r>
      <w:r w:rsidR="00236271" w:rsidRPr="00813D19">
        <w:rPr>
          <w:lang w:val="en-US"/>
        </w:rPr>
        <w:t xml:space="preserve">as those made by State Parties to </w:t>
      </w:r>
      <w:r w:rsidRPr="00813D19">
        <w:rPr>
          <w:lang w:val="en-US"/>
        </w:rPr>
        <w:t xml:space="preserve">support </w:t>
      </w:r>
      <w:r w:rsidR="00236271" w:rsidRPr="00813D19">
        <w:rPr>
          <w:lang w:val="en-US"/>
        </w:rPr>
        <w:t>earmar</w:t>
      </w:r>
      <w:r w:rsidRPr="00813D19">
        <w:rPr>
          <w:lang w:val="en-US"/>
        </w:rPr>
        <w:t>ked activities or the sub-fund, which</w:t>
      </w:r>
      <w:r w:rsidR="00236271" w:rsidRPr="00813D19">
        <w:rPr>
          <w:lang w:val="en-US"/>
        </w:rPr>
        <w:t xml:space="preserve">, up to now, </w:t>
      </w:r>
      <w:r w:rsidRPr="00813D19">
        <w:rPr>
          <w:lang w:val="en-US"/>
        </w:rPr>
        <w:t xml:space="preserve">were </w:t>
      </w:r>
      <w:r w:rsidR="00236271" w:rsidRPr="00813D19">
        <w:rPr>
          <w:lang w:val="en-US"/>
        </w:rPr>
        <w:t>subject to a standard Management Cost Rate of 10</w:t>
      </w:r>
      <w:r w:rsidR="009273D8">
        <w:rPr>
          <w:lang w:val="en-US"/>
        </w:rPr>
        <w:t xml:space="preserve"> per cent</w:t>
      </w:r>
      <w:r w:rsidR="009273D8" w:rsidRPr="00813D19">
        <w:rPr>
          <w:lang w:val="en-US"/>
        </w:rPr>
        <w:t xml:space="preserve">. </w:t>
      </w:r>
      <w:r w:rsidRPr="00813D19">
        <w:rPr>
          <w:lang w:val="en-US"/>
        </w:rPr>
        <w:t xml:space="preserve">With respect </w:t>
      </w:r>
      <w:r w:rsidR="00236271" w:rsidRPr="00813D19">
        <w:rPr>
          <w:lang w:val="en-US"/>
        </w:rPr>
        <w:t xml:space="preserve">to the decision taken by the Executive Board, multi-donor special accounts </w:t>
      </w:r>
      <w:r w:rsidRPr="00813D19">
        <w:rPr>
          <w:lang w:val="en-US"/>
        </w:rPr>
        <w:t xml:space="preserve">would </w:t>
      </w:r>
      <w:r w:rsidR="00236271" w:rsidRPr="00813D19">
        <w:rPr>
          <w:lang w:val="en-US"/>
        </w:rPr>
        <w:t>now be subject to a new rate of 7</w:t>
      </w:r>
      <w:r w:rsidR="009273D8">
        <w:rPr>
          <w:lang w:val="en-US"/>
        </w:rPr>
        <w:t xml:space="preserve"> per cent</w:t>
      </w:r>
      <w:r w:rsidR="009273D8" w:rsidRPr="00813D19">
        <w:rPr>
          <w:lang w:val="en-US"/>
        </w:rPr>
        <w:t xml:space="preserve"> </w:t>
      </w:r>
      <w:r w:rsidR="00236271" w:rsidRPr="00813D19">
        <w:rPr>
          <w:lang w:val="en-US"/>
        </w:rPr>
        <w:t>instead of 10</w:t>
      </w:r>
      <w:r w:rsidR="009273D8">
        <w:rPr>
          <w:lang w:val="en-US"/>
        </w:rPr>
        <w:t xml:space="preserve"> per cent</w:t>
      </w:r>
      <w:r w:rsidR="009273D8" w:rsidRPr="00813D19">
        <w:rPr>
          <w:lang w:val="en-US"/>
        </w:rPr>
        <w:t xml:space="preserve">. </w:t>
      </w:r>
      <w:r w:rsidR="00236271" w:rsidRPr="00813D19">
        <w:rPr>
          <w:lang w:val="en-US"/>
        </w:rPr>
        <w:t>Given the different regimes of Management Cost Rates affecting the contributions received by the Fund, this decision would have two different impacts</w:t>
      </w:r>
      <w:r w:rsidR="008D63B2" w:rsidRPr="00813D19">
        <w:rPr>
          <w:lang w:val="en-US"/>
        </w:rPr>
        <w:t>.</w:t>
      </w:r>
      <w:r w:rsidR="00B62819" w:rsidRPr="00813D19">
        <w:rPr>
          <w:lang w:val="en-US"/>
        </w:rPr>
        <w:t xml:space="preserve"> </w:t>
      </w:r>
      <w:r w:rsidR="008D63B2" w:rsidRPr="00813D19">
        <w:rPr>
          <w:lang w:val="en-US"/>
        </w:rPr>
        <w:t>Firstly, v</w:t>
      </w:r>
      <w:r w:rsidR="00236271" w:rsidRPr="00813D19">
        <w:rPr>
          <w:lang w:val="en-US"/>
        </w:rPr>
        <w:t>oluntary contributions made by State Parties wil</w:t>
      </w:r>
      <w:r w:rsidR="008D63B2" w:rsidRPr="00813D19">
        <w:rPr>
          <w:lang w:val="en-US"/>
        </w:rPr>
        <w:t>l now benefit from a lower rate (f</w:t>
      </w:r>
      <w:r w:rsidR="00236271" w:rsidRPr="00813D19">
        <w:rPr>
          <w:lang w:val="en-US"/>
        </w:rPr>
        <w:t>rom 10</w:t>
      </w:r>
      <w:r w:rsidR="009273D8">
        <w:rPr>
          <w:lang w:val="en-US"/>
        </w:rPr>
        <w:t xml:space="preserve"> per cent</w:t>
      </w:r>
      <w:r w:rsidR="009273D8" w:rsidRPr="00813D19">
        <w:rPr>
          <w:lang w:val="en-US"/>
        </w:rPr>
        <w:t xml:space="preserve"> </w:t>
      </w:r>
      <w:r w:rsidR="00236271" w:rsidRPr="00813D19">
        <w:rPr>
          <w:lang w:val="en-US"/>
        </w:rPr>
        <w:t>to 7</w:t>
      </w:r>
      <w:r w:rsidR="009273D8">
        <w:rPr>
          <w:lang w:val="en-US"/>
        </w:rPr>
        <w:t xml:space="preserve"> per cent</w:t>
      </w:r>
      <w:r w:rsidR="009273D8" w:rsidRPr="00813D19">
        <w:rPr>
          <w:lang w:val="en-US"/>
        </w:rPr>
        <w:t xml:space="preserve">). </w:t>
      </w:r>
      <w:r w:rsidR="008D63B2" w:rsidRPr="00813D19">
        <w:rPr>
          <w:lang w:val="en-US"/>
        </w:rPr>
        <w:t xml:space="preserve">Secondly, the decision by the Executive Board </w:t>
      </w:r>
      <w:r w:rsidR="00236271" w:rsidRPr="00813D19">
        <w:rPr>
          <w:lang w:val="en-US"/>
        </w:rPr>
        <w:t xml:space="preserve">would mean </w:t>
      </w:r>
      <w:r w:rsidR="008D63B2" w:rsidRPr="00813D19">
        <w:rPr>
          <w:lang w:val="en-US"/>
        </w:rPr>
        <w:t>that the assessed contributions to the Fund w</w:t>
      </w:r>
      <w:r w:rsidR="009273D8">
        <w:rPr>
          <w:lang w:val="en-US"/>
        </w:rPr>
        <w:t>ould</w:t>
      </w:r>
      <w:r w:rsidR="008D63B2" w:rsidRPr="00813D19">
        <w:rPr>
          <w:lang w:val="en-US"/>
        </w:rPr>
        <w:t xml:space="preserve"> see an </w:t>
      </w:r>
      <w:r w:rsidR="00236271" w:rsidRPr="00813D19">
        <w:rPr>
          <w:lang w:val="en-US"/>
        </w:rPr>
        <w:t>increase in the rate from 0</w:t>
      </w:r>
      <w:r w:rsidR="009273D8">
        <w:rPr>
          <w:lang w:val="en-US"/>
        </w:rPr>
        <w:t xml:space="preserve"> per cent</w:t>
      </w:r>
      <w:r w:rsidR="009273D8" w:rsidRPr="00813D19">
        <w:rPr>
          <w:lang w:val="en-US"/>
        </w:rPr>
        <w:t xml:space="preserve"> </w:t>
      </w:r>
      <w:r w:rsidR="00236271" w:rsidRPr="00813D19">
        <w:rPr>
          <w:lang w:val="en-US"/>
        </w:rPr>
        <w:t>to 7</w:t>
      </w:r>
      <w:r w:rsidR="009273D8">
        <w:rPr>
          <w:lang w:val="en-US"/>
        </w:rPr>
        <w:t xml:space="preserve"> per cent</w:t>
      </w:r>
      <w:r w:rsidR="009273D8" w:rsidRPr="00813D19">
        <w:rPr>
          <w:lang w:val="en-US"/>
        </w:rPr>
        <w:t xml:space="preserve">. </w:t>
      </w:r>
      <w:r w:rsidR="00236271" w:rsidRPr="00813D19">
        <w:rPr>
          <w:lang w:val="en-US"/>
        </w:rPr>
        <w:t>Given</w:t>
      </w:r>
      <w:r w:rsidR="008D63B2" w:rsidRPr="00813D19">
        <w:rPr>
          <w:lang w:val="en-US"/>
        </w:rPr>
        <w:t xml:space="preserve"> </w:t>
      </w:r>
      <w:r w:rsidR="00236271" w:rsidRPr="00813D19">
        <w:rPr>
          <w:lang w:val="en-US"/>
        </w:rPr>
        <w:t>the special der</w:t>
      </w:r>
      <w:r w:rsidR="008D63B2" w:rsidRPr="00813D19">
        <w:rPr>
          <w:lang w:val="en-US"/>
        </w:rPr>
        <w:t>ogation granted by the Director-</w:t>
      </w:r>
      <w:r w:rsidR="00236271" w:rsidRPr="00813D19">
        <w:rPr>
          <w:lang w:val="en-US"/>
        </w:rPr>
        <w:t>General, the Executive Board recognized the need to undertake consultations with the Governin</w:t>
      </w:r>
      <w:r w:rsidR="008D63B2" w:rsidRPr="00813D19">
        <w:rPr>
          <w:lang w:val="en-US"/>
        </w:rPr>
        <w:t>g Bodies of the 2003 Convention</w:t>
      </w:r>
      <w:r w:rsidR="00236271" w:rsidRPr="00813D19">
        <w:rPr>
          <w:lang w:val="en-US"/>
        </w:rPr>
        <w:t xml:space="preserve"> prior to any potential implementation of this decision. This same exception was made with the 1972 Convention, </w:t>
      </w:r>
      <w:r w:rsidR="008D63B2" w:rsidRPr="00813D19">
        <w:rPr>
          <w:lang w:val="en-US"/>
        </w:rPr>
        <w:t>whose Committee</w:t>
      </w:r>
      <w:r w:rsidR="00236271" w:rsidRPr="00813D19">
        <w:rPr>
          <w:lang w:val="en-US"/>
        </w:rPr>
        <w:t xml:space="preserve"> </w:t>
      </w:r>
      <w:r w:rsidR="008D63B2" w:rsidRPr="00813D19">
        <w:rPr>
          <w:lang w:val="en-US"/>
        </w:rPr>
        <w:t xml:space="preserve">in 2018 </w:t>
      </w:r>
      <w:r w:rsidR="00236271" w:rsidRPr="00813D19">
        <w:rPr>
          <w:lang w:val="en-US"/>
        </w:rPr>
        <w:t>recommended not to apply the new Management Cost Rate to assessed contributions.</w:t>
      </w:r>
      <w:r w:rsidR="00B62819" w:rsidRPr="00813D19">
        <w:rPr>
          <w:lang w:val="en-US"/>
        </w:rPr>
        <w:t xml:space="preserve"> </w:t>
      </w:r>
      <w:r w:rsidR="008D63B2" w:rsidRPr="00813D19">
        <w:rPr>
          <w:lang w:val="en-US"/>
        </w:rPr>
        <w:t xml:space="preserve">The </w:t>
      </w:r>
      <w:r w:rsidR="00236271" w:rsidRPr="00813D19">
        <w:rPr>
          <w:lang w:val="en-US"/>
        </w:rPr>
        <w:t xml:space="preserve">Committee </w:t>
      </w:r>
      <w:r w:rsidR="008D63B2" w:rsidRPr="00813D19">
        <w:rPr>
          <w:lang w:val="en-US"/>
        </w:rPr>
        <w:t xml:space="preserve">was thus </w:t>
      </w:r>
      <w:r w:rsidR="00236271" w:rsidRPr="00813D19">
        <w:rPr>
          <w:lang w:val="en-US"/>
        </w:rPr>
        <w:t xml:space="preserve">asked to make a recommendation in this regard </w:t>
      </w:r>
      <w:r w:rsidR="008D63B2" w:rsidRPr="00813D19">
        <w:rPr>
          <w:lang w:val="en-US"/>
        </w:rPr>
        <w:t xml:space="preserve">for </w:t>
      </w:r>
      <w:r w:rsidR="00236271" w:rsidRPr="00813D19">
        <w:rPr>
          <w:lang w:val="en-US"/>
        </w:rPr>
        <w:t xml:space="preserve">the next </w:t>
      </w:r>
      <w:r w:rsidR="008D63B2" w:rsidRPr="00813D19">
        <w:rPr>
          <w:lang w:val="en-US"/>
        </w:rPr>
        <w:t>session of the General Assembly</w:t>
      </w:r>
      <w:r w:rsidR="00236271" w:rsidRPr="00813D19">
        <w:rPr>
          <w:lang w:val="en-US"/>
        </w:rPr>
        <w:t xml:space="preserve"> in June 2020.</w:t>
      </w:r>
      <w:r w:rsidR="00B62819" w:rsidRPr="00813D19">
        <w:rPr>
          <w:lang w:val="en-US"/>
        </w:rPr>
        <w:t xml:space="preserve"> </w:t>
      </w:r>
      <w:r w:rsidR="008D63B2" w:rsidRPr="00813D19">
        <w:rPr>
          <w:lang w:val="en-US"/>
        </w:rPr>
        <w:t xml:space="preserve">It was noted that </w:t>
      </w:r>
      <w:r w:rsidR="00236271" w:rsidRPr="00813D19">
        <w:rPr>
          <w:lang w:val="en-US"/>
        </w:rPr>
        <w:t>a 7</w:t>
      </w:r>
      <w:r w:rsidR="009273D8">
        <w:rPr>
          <w:lang w:val="en-US"/>
        </w:rPr>
        <w:t xml:space="preserve"> per cent</w:t>
      </w:r>
      <w:r w:rsidR="009273D8" w:rsidRPr="00813D19">
        <w:rPr>
          <w:lang w:val="en-US"/>
        </w:rPr>
        <w:t xml:space="preserve"> </w:t>
      </w:r>
      <w:r w:rsidR="00236271" w:rsidRPr="00813D19">
        <w:rPr>
          <w:lang w:val="en-US"/>
        </w:rPr>
        <w:t>rate applied</w:t>
      </w:r>
      <w:r w:rsidR="00236271" w:rsidRPr="00813D19" w:rsidDel="0090532C">
        <w:rPr>
          <w:lang w:val="en-US"/>
        </w:rPr>
        <w:t xml:space="preserve"> </w:t>
      </w:r>
      <w:r w:rsidR="00236271" w:rsidRPr="00813D19">
        <w:rPr>
          <w:lang w:val="en-US"/>
        </w:rPr>
        <w:t>on the current plan of expenditure (US$9,590,922)</w:t>
      </w:r>
      <w:r w:rsidR="008D63B2" w:rsidRPr="00813D19">
        <w:rPr>
          <w:lang w:val="en-US"/>
        </w:rPr>
        <w:t>,</w:t>
      </w:r>
      <w:r w:rsidR="00236271" w:rsidRPr="00813D19">
        <w:rPr>
          <w:lang w:val="en-US"/>
        </w:rPr>
        <w:t xml:space="preserve"> </w:t>
      </w:r>
      <w:r w:rsidR="008D63B2" w:rsidRPr="00813D19">
        <w:rPr>
          <w:lang w:val="en-US"/>
        </w:rPr>
        <w:t xml:space="preserve">as </w:t>
      </w:r>
      <w:r w:rsidR="00236271" w:rsidRPr="00813D19">
        <w:rPr>
          <w:lang w:val="en-US"/>
        </w:rPr>
        <w:t>approved by 7</w:t>
      </w:r>
      <w:r w:rsidR="008D63B2" w:rsidRPr="00813D19">
        <w:rPr>
          <w:lang w:val="en-US"/>
        </w:rPr>
        <w:t>.</w:t>
      </w:r>
      <w:r w:rsidR="00236271" w:rsidRPr="00813D19">
        <w:rPr>
          <w:lang w:val="en-US"/>
        </w:rPr>
        <w:t xml:space="preserve">GA, </w:t>
      </w:r>
      <w:r w:rsidR="008D63B2" w:rsidRPr="00813D19">
        <w:rPr>
          <w:lang w:val="en-US"/>
        </w:rPr>
        <w:t xml:space="preserve">would see an allocation of Management Cost Rate at </w:t>
      </w:r>
      <w:r w:rsidR="00236271" w:rsidRPr="00813D19">
        <w:rPr>
          <w:lang w:val="en-US"/>
        </w:rPr>
        <w:t>US$671,364.</w:t>
      </w:r>
    </w:p>
    <w:p w14:paraId="5C8119CE" w14:textId="3BDCFCFE" w:rsidR="00F40455" w:rsidRPr="00813D19" w:rsidRDefault="008D63B2" w:rsidP="00B86C09">
      <w:pPr>
        <w:pStyle w:val="Orateurengris"/>
        <w:spacing w:before="120"/>
        <w:ind w:left="709" w:hanging="709"/>
        <w:rPr>
          <w:lang w:val="en-US"/>
        </w:rPr>
      </w:pPr>
      <w:r w:rsidRPr="00813D19">
        <w:rPr>
          <w:lang w:val="en-US"/>
        </w:rPr>
        <w:t>Thanking the Secretary for the clear presentation,</w:t>
      </w:r>
      <w:r w:rsidRPr="00813D19">
        <w:rPr>
          <w:color w:val="000000" w:themeColor="text1"/>
          <w:lang w:val="en-US"/>
        </w:rPr>
        <w:t xml:space="preserve"> t</w:t>
      </w:r>
      <w:r w:rsidR="00F40455" w:rsidRPr="00813D19">
        <w:rPr>
          <w:color w:val="000000" w:themeColor="text1"/>
          <w:lang w:val="en-US"/>
        </w:rPr>
        <w:t xml:space="preserve">he </w:t>
      </w:r>
      <w:r w:rsidR="00F40455" w:rsidRPr="00813D19">
        <w:rPr>
          <w:b/>
          <w:color w:val="000000" w:themeColor="text1"/>
          <w:lang w:val="en-US"/>
        </w:rPr>
        <w:t>Chairperson</w:t>
      </w:r>
      <w:r w:rsidR="00B62819" w:rsidRPr="00813D19">
        <w:rPr>
          <w:lang w:val="en-US"/>
        </w:rPr>
        <w:t xml:space="preserve"> express</w:t>
      </w:r>
      <w:r w:rsidRPr="00813D19">
        <w:rPr>
          <w:lang w:val="en-US"/>
        </w:rPr>
        <w:t>ed</w:t>
      </w:r>
      <w:r w:rsidR="00B62819" w:rsidRPr="00813D19">
        <w:rPr>
          <w:lang w:val="en-US"/>
        </w:rPr>
        <w:t xml:space="preserve"> sincere gratitude to </w:t>
      </w:r>
      <w:r w:rsidRPr="00813D19">
        <w:rPr>
          <w:lang w:val="en-US"/>
        </w:rPr>
        <w:t>Belgium (Flanders), the People’s Republic of China, Finland, Japan, Kazakhstan, Montenegro and Singapore for their generous</w:t>
      </w:r>
      <w:r w:rsidR="00B62819" w:rsidRPr="00813D19">
        <w:rPr>
          <w:lang w:val="en-US"/>
        </w:rPr>
        <w:t xml:space="preserve"> support to the Convention and its Secretariat since </w:t>
      </w:r>
      <w:r w:rsidRPr="00813D19">
        <w:rPr>
          <w:lang w:val="en-US"/>
        </w:rPr>
        <w:t xml:space="preserve">the last </w:t>
      </w:r>
      <w:r w:rsidR="00B62819" w:rsidRPr="00813D19">
        <w:rPr>
          <w:lang w:val="en-US"/>
        </w:rPr>
        <w:t xml:space="preserve">session. </w:t>
      </w:r>
      <w:r w:rsidRPr="00813D19">
        <w:rPr>
          <w:lang w:val="en-US"/>
        </w:rPr>
        <w:t>F</w:t>
      </w:r>
      <w:r w:rsidR="00B62819" w:rsidRPr="00813D19">
        <w:rPr>
          <w:lang w:val="en-US"/>
        </w:rPr>
        <w:t xml:space="preserve">rom </w:t>
      </w:r>
      <w:r w:rsidRPr="00813D19">
        <w:rPr>
          <w:lang w:val="en-US"/>
        </w:rPr>
        <w:t xml:space="preserve">the </w:t>
      </w:r>
      <w:r w:rsidR="00B62819" w:rsidRPr="00813D19">
        <w:rPr>
          <w:lang w:val="en-US"/>
        </w:rPr>
        <w:t xml:space="preserve">presentation, </w:t>
      </w:r>
      <w:r w:rsidRPr="00813D19">
        <w:rPr>
          <w:lang w:val="en-US"/>
        </w:rPr>
        <w:t xml:space="preserve">it was clear </w:t>
      </w:r>
      <w:r w:rsidR="00B62819" w:rsidRPr="00813D19">
        <w:rPr>
          <w:lang w:val="en-US"/>
        </w:rPr>
        <w:t>that the situation of v</w:t>
      </w:r>
      <w:r w:rsidRPr="00813D19">
        <w:rPr>
          <w:lang w:val="en-US"/>
        </w:rPr>
        <w:t>oluntary contributions continued to be extremely worrying, requiring</w:t>
      </w:r>
      <w:r w:rsidR="00B62819" w:rsidRPr="00813D19">
        <w:rPr>
          <w:lang w:val="en-US"/>
        </w:rPr>
        <w:t xml:space="preserve"> the attention of all. </w:t>
      </w:r>
      <w:r w:rsidRPr="00813D19">
        <w:rPr>
          <w:lang w:val="en-US"/>
        </w:rPr>
        <w:t xml:space="preserve">The Committee was asked </w:t>
      </w:r>
      <w:r w:rsidR="00B62819" w:rsidRPr="00813D19">
        <w:rPr>
          <w:lang w:val="en-US"/>
        </w:rPr>
        <w:t xml:space="preserve">to take a decision </w:t>
      </w:r>
      <w:r w:rsidRPr="00813D19">
        <w:rPr>
          <w:lang w:val="en-US"/>
        </w:rPr>
        <w:t xml:space="preserve">to </w:t>
      </w:r>
      <w:r w:rsidR="00B62819" w:rsidRPr="00813D19">
        <w:rPr>
          <w:lang w:val="en-US"/>
        </w:rPr>
        <w:t>accept the generous offer for a new voluntary supplementary contribution made by Japan, and</w:t>
      </w:r>
      <w:r w:rsidRPr="00813D19">
        <w:rPr>
          <w:lang w:val="en-US"/>
        </w:rPr>
        <w:t xml:space="preserve"> to </w:t>
      </w:r>
      <w:r w:rsidR="00B62819" w:rsidRPr="00813D19">
        <w:rPr>
          <w:lang w:val="en-US"/>
        </w:rPr>
        <w:t>discuss the potential modification of the current M</w:t>
      </w:r>
      <w:r w:rsidRPr="00813D19">
        <w:rPr>
          <w:lang w:val="en-US"/>
        </w:rPr>
        <w:t>anagement Cost Rate that applied</w:t>
      </w:r>
      <w:r w:rsidR="00B62819" w:rsidRPr="00813D19">
        <w:rPr>
          <w:lang w:val="en-US"/>
        </w:rPr>
        <w:t xml:space="preserve"> to the </w:t>
      </w:r>
      <w:r w:rsidRPr="00813D19">
        <w:rPr>
          <w:lang w:val="en-US"/>
        </w:rPr>
        <w:t xml:space="preserve">ICH </w:t>
      </w:r>
      <w:r w:rsidR="00B67A60">
        <w:rPr>
          <w:lang w:val="en-US"/>
        </w:rPr>
        <w:t>Fund.</w:t>
      </w:r>
    </w:p>
    <w:p w14:paraId="6E674DFE" w14:textId="00DE2D9D" w:rsidR="00274BFD" w:rsidRPr="00813D19" w:rsidRDefault="00274BFD" w:rsidP="002018F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Japan</w:t>
      </w:r>
      <w:r w:rsidR="00374CDD" w:rsidRPr="00813D19">
        <w:rPr>
          <w:color w:val="000000" w:themeColor="text1"/>
          <w:lang w:val="en-US"/>
        </w:rPr>
        <w:t xml:space="preserve"> </w:t>
      </w:r>
      <w:r w:rsidR="00712749" w:rsidRPr="00813D19">
        <w:rPr>
          <w:color w:val="000000" w:themeColor="text1"/>
          <w:lang w:val="en-US"/>
        </w:rPr>
        <w:t xml:space="preserve">reiterated its offer, </w:t>
      </w:r>
      <w:r w:rsidR="00712749" w:rsidRPr="00813D19">
        <w:rPr>
          <w:bCs/>
          <w:lang w:val="en-US"/>
        </w:rPr>
        <w:t xml:space="preserve">as presented </w:t>
      </w:r>
      <w:r w:rsidR="00374CDD" w:rsidRPr="00813D19">
        <w:rPr>
          <w:bCs/>
          <w:lang w:val="en-US"/>
        </w:rPr>
        <w:t>by the Secretariat</w:t>
      </w:r>
      <w:r w:rsidR="00712749" w:rsidRPr="00813D19">
        <w:rPr>
          <w:bCs/>
          <w:lang w:val="en-US"/>
        </w:rPr>
        <w:t xml:space="preserve"> and </w:t>
      </w:r>
      <w:r w:rsidR="00374CDD" w:rsidRPr="00813D19">
        <w:rPr>
          <w:bCs/>
          <w:lang w:val="en-US"/>
        </w:rPr>
        <w:t xml:space="preserve">described in Annex II of the </w:t>
      </w:r>
      <w:r w:rsidR="00712749" w:rsidRPr="00813D19">
        <w:rPr>
          <w:bCs/>
          <w:lang w:val="en-US"/>
        </w:rPr>
        <w:t xml:space="preserve">working document, </w:t>
      </w:r>
      <w:r w:rsidR="00BE24CF" w:rsidRPr="00813D19">
        <w:rPr>
          <w:bCs/>
          <w:lang w:val="en-US"/>
        </w:rPr>
        <w:t xml:space="preserve">in which </w:t>
      </w:r>
      <w:r w:rsidR="00374CDD" w:rsidRPr="00813D19">
        <w:rPr>
          <w:bCs/>
          <w:lang w:val="en-US"/>
        </w:rPr>
        <w:t xml:space="preserve">Japan </w:t>
      </w:r>
      <w:r w:rsidR="002E64C5" w:rsidRPr="00813D19">
        <w:rPr>
          <w:bCs/>
          <w:lang w:val="en-US"/>
        </w:rPr>
        <w:t xml:space="preserve">made </w:t>
      </w:r>
      <w:r w:rsidR="00374CDD" w:rsidRPr="00813D19">
        <w:rPr>
          <w:bCs/>
          <w:lang w:val="en-US"/>
        </w:rPr>
        <w:t xml:space="preserve">a voluntary contribution to </w:t>
      </w:r>
      <w:r w:rsidR="00BE24CF" w:rsidRPr="00813D19">
        <w:rPr>
          <w:bCs/>
          <w:lang w:val="en-US"/>
        </w:rPr>
        <w:t>the ICH Fund for the organization of an e</w:t>
      </w:r>
      <w:r w:rsidR="00374CDD" w:rsidRPr="00813D19">
        <w:rPr>
          <w:bCs/>
          <w:lang w:val="en-US"/>
        </w:rPr>
        <w:t xml:space="preserve">xpert meeting and for supporting a meeting of the open-ended intergovernmental working group with a view to reflecting </w:t>
      </w:r>
      <w:r w:rsidR="009273D8">
        <w:rPr>
          <w:bCs/>
          <w:lang w:val="en-US"/>
        </w:rPr>
        <w:t xml:space="preserve">on </w:t>
      </w:r>
      <w:r w:rsidR="00374CDD" w:rsidRPr="00813D19">
        <w:rPr>
          <w:bCs/>
          <w:lang w:val="en-US"/>
        </w:rPr>
        <w:t xml:space="preserve">and exploring ways </w:t>
      </w:r>
      <w:r w:rsidR="00BE24CF" w:rsidRPr="00813D19">
        <w:rPr>
          <w:bCs/>
          <w:lang w:val="en-US"/>
        </w:rPr>
        <w:t xml:space="preserve">to </w:t>
      </w:r>
      <w:r w:rsidR="00374CDD" w:rsidRPr="00813D19">
        <w:rPr>
          <w:bCs/>
          <w:lang w:val="en-US"/>
        </w:rPr>
        <w:t>improv</w:t>
      </w:r>
      <w:r w:rsidR="00BE24CF" w:rsidRPr="00813D19">
        <w:rPr>
          <w:bCs/>
          <w:lang w:val="en-US"/>
        </w:rPr>
        <w:t>e</w:t>
      </w:r>
      <w:r w:rsidR="00374CDD" w:rsidRPr="00813D19">
        <w:rPr>
          <w:bCs/>
          <w:lang w:val="en-US"/>
        </w:rPr>
        <w:t xml:space="preserve"> the current mechanisms and procedures of the Convention. </w:t>
      </w:r>
      <w:r w:rsidR="00BE24CF" w:rsidRPr="00813D19">
        <w:rPr>
          <w:bCs/>
          <w:lang w:val="en-US"/>
        </w:rPr>
        <w:t xml:space="preserve">The delegation </w:t>
      </w:r>
      <w:r w:rsidR="00374CDD" w:rsidRPr="00813D19">
        <w:rPr>
          <w:bCs/>
          <w:lang w:val="en-US"/>
        </w:rPr>
        <w:t>believe</w:t>
      </w:r>
      <w:r w:rsidR="00BE24CF" w:rsidRPr="00813D19">
        <w:rPr>
          <w:bCs/>
          <w:lang w:val="en-US"/>
        </w:rPr>
        <w:t>d</w:t>
      </w:r>
      <w:r w:rsidR="00374CDD" w:rsidRPr="00813D19">
        <w:rPr>
          <w:bCs/>
          <w:lang w:val="en-US"/>
        </w:rPr>
        <w:t xml:space="preserve"> that </w:t>
      </w:r>
      <w:r w:rsidR="00BE24CF" w:rsidRPr="00813D19">
        <w:rPr>
          <w:bCs/>
          <w:lang w:val="en-US"/>
        </w:rPr>
        <w:t xml:space="preserve">the </w:t>
      </w:r>
      <w:r w:rsidR="00374CDD" w:rsidRPr="00813D19">
        <w:rPr>
          <w:bCs/>
          <w:lang w:val="en-US"/>
        </w:rPr>
        <w:t xml:space="preserve">reflection </w:t>
      </w:r>
      <w:r w:rsidR="00BE24CF" w:rsidRPr="00813D19">
        <w:rPr>
          <w:bCs/>
          <w:lang w:val="en-US"/>
        </w:rPr>
        <w:t xml:space="preserve">was </w:t>
      </w:r>
      <w:r w:rsidR="002E64C5" w:rsidRPr="00813D19">
        <w:rPr>
          <w:bCs/>
          <w:lang w:val="en-US"/>
        </w:rPr>
        <w:t xml:space="preserve">necessary as the </w:t>
      </w:r>
      <w:r w:rsidR="00374CDD" w:rsidRPr="00813D19">
        <w:rPr>
          <w:bCs/>
          <w:lang w:val="en-US"/>
        </w:rPr>
        <w:t xml:space="preserve">Committee and the General Assembly </w:t>
      </w:r>
      <w:r w:rsidR="002E64C5" w:rsidRPr="00813D19">
        <w:rPr>
          <w:bCs/>
          <w:lang w:val="en-US"/>
        </w:rPr>
        <w:t xml:space="preserve">had </w:t>
      </w:r>
      <w:r w:rsidR="00374CDD" w:rsidRPr="00813D19">
        <w:rPr>
          <w:bCs/>
          <w:lang w:val="en-US"/>
        </w:rPr>
        <w:t xml:space="preserve">repeatedly discussed </w:t>
      </w:r>
      <w:r w:rsidR="002E64C5" w:rsidRPr="00813D19">
        <w:rPr>
          <w:bCs/>
          <w:lang w:val="en-US"/>
        </w:rPr>
        <w:t>improving</w:t>
      </w:r>
      <w:r w:rsidR="00374CDD" w:rsidRPr="00813D19">
        <w:rPr>
          <w:bCs/>
          <w:lang w:val="en-US"/>
        </w:rPr>
        <w:t xml:space="preserve"> the mechanisms and procedures of the Convention. </w:t>
      </w:r>
      <w:r w:rsidR="002E64C5" w:rsidRPr="00813D19">
        <w:rPr>
          <w:bCs/>
          <w:lang w:val="en-US"/>
        </w:rPr>
        <w:t>C</w:t>
      </w:r>
      <w:r w:rsidR="00374CDD" w:rsidRPr="00813D19">
        <w:rPr>
          <w:bCs/>
          <w:lang w:val="en-US"/>
        </w:rPr>
        <w:t>ertain results</w:t>
      </w:r>
      <w:r w:rsidR="002E64C5" w:rsidRPr="00813D19">
        <w:rPr>
          <w:bCs/>
          <w:lang w:val="en-US"/>
        </w:rPr>
        <w:t xml:space="preserve"> had been achieved, such as the revised</w:t>
      </w:r>
      <w:r w:rsidR="00374CDD" w:rsidRPr="00813D19">
        <w:rPr>
          <w:bCs/>
          <w:lang w:val="en-US"/>
        </w:rPr>
        <w:t xml:space="preserve"> nomination </w:t>
      </w:r>
      <w:r w:rsidR="002E64C5" w:rsidRPr="00813D19">
        <w:rPr>
          <w:bCs/>
          <w:lang w:val="en-US"/>
        </w:rPr>
        <w:t>form</w:t>
      </w:r>
      <w:r w:rsidR="00374CDD" w:rsidRPr="00813D19">
        <w:rPr>
          <w:bCs/>
          <w:lang w:val="en-US"/>
        </w:rPr>
        <w:t>, the decision to reform the periodic reporting mechanism</w:t>
      </w:r>
      <w:r w:rsidR="002E64C5" w:rsidRPr="00813D19">
        <w:rPr>
          <w:bCs/>
          <w:lang w:val="en-US"/>
        </w:rPr>
        <w:t>,</w:t>
      </w:r>
      <w:r w:rsidR="00374CDD" w:rsidRPr="00813D19">
        <w:rPr>
          <w:bCs/>
          <w:lang w:val="en-US"/>
        </w:rPr>
        <w:t xml:space="preserve"> and so on. </w:t>
      </w:r>
      <w:r w:rsidR="002E64C5" w:rsidRPr="00813D19">
        <w:rPr>
          <w:bCs/>
          <w:lang w:val="en-US"/>
        </w:rPr>
        <w:t>Nevertheless</w:t>
      </w:r>
      <w:r w:rsidR="00374CDD" w:rsidRPr="00813D19">
        <w:rPr>
          <w:bCs/>
          <w:lang w:val="en-US"/>
        </w:rPr>
        <w:t xml:space="preserve">, the situation facing the Convention </w:t>
      </w:r>
      <w:r w:rsidR="0064469C" w:rsidRPr="00813D19">
        <w:rPr>
          <w:bCs/>
          <w:lang w:val="en-US"/>
        </w:rPr>
        <w:t xml:space="preserve">was </w:t>
      </w:r>
      <w:r w:rsidR="009273D8" w:rsidRPr="00813D19">
        <w:rPr>
          <w:bCs/>
          <w:lang w:val="en-US"/>
        </w:rPr>
        <w:t xml:space="preserve">changing </w:t>
      </w:r>
      <w:r w:rsidR="00374CDD" w:rsidRPr="00813D19">
        <w:rPr>
          <w:bCs/>
          <w:lang w:val="en-US"/>
        </w:rPr>
        <w:t xml:space="preserve">dramatically. </w:t>
      </w:r>
      <w:r w:rsidR="0064469C" w:rsidRPr="00813D19">
        <w:rPr>
          <w:bCs/>
          <w:lang w:val="en-US"/>
        </w:rPr>
        <w:t>States Parties had</w:t>
      </w:r>
      <w:r w:rsidR="00374CDD" w:rsidRPr="00813D19">
        <w:rPr>
          <w:bCs/>
          <w:lang w:val="en-US"/>
        </w:rPr>
        <w:t xml:space="preserve"> increased from 30 to 178 over the past 15 years since the adoption of the Convention. The </w:t>
      </w:r>
      <w:r w:rsidR="00374CDD" w:rsidRPr="00813D19">
        <w:rPr>
          <w:bCs/>
          <w:i/>
          <w:lang w:val="en-US"/>
        </w:rPr>
        <w:t xml:space="preserve">raison d’etre </w:t>
      </w:r>
      <w:r w:rsidR="00374CDD" w:rsidRPr="00813D19">
        <w:rPr>
          <w:bCs/>
          <w:lang w:val="en-US"/>
        </w:rPr>
        <w:t xml:space="preserve">of the Convention </w:t>
      </w:r>
      <w:r w:rsidR="0064469C" w:rsidRPr="00813D19">
        <w:rPr>
          <w:bCs/>
          <w:lang w:val="en-US"/>
        </w:rPr>
        <w:t>was</w:t>
      </w:r>
      <w:r w:rsidR="009273D8">
        <w:rPr>
          <w:bCs/>
          <w:lang w:val="en-US"/>
        </w:rPr>
        <w:t xml:space="preserve"> becoming</w:t>
      </w:r>
      <w:r w:rsidR="0064469C" w:rsidRPr="00813D19">
        <w:rPr>
          <w:bCs/>
          <w:lang w:val="en-US"/>
        </w:rPr>
        <w:t xml:space="preserve"> wider, and it was </w:t>
      </w:r>
      <w:r w:rsidR="00374CDD" w:rsidRPr="00813D19">
        <w:rPr>
          <w:bCs/>
          <w:lang w:val="en-US"/>
        </w:rPr>
        <w:t xml:space="preserve">recognized that expectations and demands from States Parties </w:t>
      </w:r>
      <w:r w:rsidR="0064469C" w:rsidRPr="00813D19">
        <w:rPr>
          <w:bCs/>
          <w:lang w:val="en-US"/>
        </w:rPr>
        <w:t xml:space="preserve">were </w:t>
      </w:r>
      <w:r w:rsidR="00374CDD" w:rsidRPr="00813D19">
        <w:rPr>
          <w:bCs/>
          <w:lang w:val="en-US"/>
        </w:rPr>
        <w:t xml:space="preserve">also </w:t>
      </w:r>
      <w:r w:rsidR="0064469C" w:rsidRPr="00813D19">
        <w:rPr>
          <w:bCs/>
          <w:lang w:val="en-US"/>
        </w:rPr>
        <w:t>growing</w:t>
      </w:r>
      <w:r w:rsidR="00374CDD" w:rsidRPr="00813D19">
        <w:rPr>
          <w:bCs/>
          <w:lang w:val="en-US"/>
        </w:rPr>
        <w:t>. Against this background</w:t>
      </w:r>
      <w:r w:rsidR="0064469C" w:rsidRPr="00813D19">
        <w:rPr>
          <w:bCs/>
          <w:lang w:val="en-US"/>
        </w:rPr>
        <w:t>, Japan proposed</w:t>
      </w:r>
      <w:r w:rsidR="00374CDD" w:rsidRPr="00813D19">
        <w:rPr>
          <w:bCs/>
          <w:lang w:val="en-US"/>
        </w:rPr>
        <w:t xml:space="preserve"> to </w:t>
      </w:r>
      <w:r w:rsidR="0064469C" w:rsidRPr="00813D19">
        <w:rPr>
          <w:bCs/>
          <w:lang w:val="en-US"/>
        </w:rPr>
        <w:t xml:space="preserve">begin </w:t>
      </w:r>
      <w:r w:rsidR="00374CDD" w:rsidRPr="00813D19">
        <w:rPr>
          <w:bCs/>
          <w:lang w:val="en-US"/>
        </w:rPr>
        <w:t xml:space="preserve">the reflection on the mechanisms and procedures of the Convention </w:t>
      </w:r>
      <w:r w:rsidR="0064469C" w:rsidRPr="00813D19">
        <w:rPr>
          <w:bCs/>
          <w:lang w:val="en-US"/>
        </w:rPr>
        <w:t xml:space="preserve">that reflected </w:t>
      </w:r>
      <w:r w:rsidR="00374CDD" w:rsidRPr="00813D19">
        <w:rPr>
          <w:bCs/>
          <w:lang w:val="en-US"/>
        </w:rPr>
        <w:t xml:space="preserve">the </w:t>
      </w:r>
      <w:r w:rsidR="0064469C" w:rsidRPr="00813D19">
        <w:rPr>
          <w:bCs/>
          <w:lang w:val="en-US"/>
        </w:rPr>
        <w:t xml:space="preserve">currents </w:t>
      </w:r>
      <w:r w:rsidR="00374CDD" w:rsidRPr="00813D19">
        <w:rPr>
          <w:bCs/>
          <w:lang w:val="en-US"/>
        </w:rPr>
        <w:t>demand</w:t>
      </w:r>
      <w:r w:rsidR="0064469C" w:rsidRPr="00813D19">
        <w:rPr>
          <w:bCs/>
          <w:lang w:val="en-US"/>
        </w:rPr>
        <w:t>,</w:t>
      </w:r>
      <w:r w:rsidR="00374CDD" w:rsidRPr="00813D19">
        <w:rPr>
          <w:bCs/>
          <w:lang w:val="en-US"/>
        </w:rPr>
        <w:t xml:space="preserve"> while respecting and maintaining the original spirit and design of the Convention. </w:t>
      </w:r>
      <w:r w:rsidR="0064469C" w:rsidRPr="00813D19">
        <w:rPr>
          <w:bCs/>
          <w:lang w:val="en-US"/>
        </w:rPr>
        <w:t>R</w:t>
      </w:r>
      <w:r w:rsidR="00374CDD" w:rsidRPr="00813D19">
        <w:rPr>
          <w:bCs/>
          <w:lang w:val="en-US"/>
        </w:rPr>
        <w:t>efer</w:t>
      </w:r>
      <w:r w:rsidR="0064469C" w:rsidRPr="00813D19">
        <w:rPr>
          <w:bCs/>
          <w:lang w:val="en-US"/>
        </w:rPr>
        <w:t>ring</w:t>
      </w:r>
      <w:r w:rsidR="00374CDD" w:rsidRPr="00813D19">
        <w:rPr>
          <w:bCs/>
          <w:lang w:val="en-US"/>
        </w:rPr>
        <w:t xml:space="preserve"> to Article 2 of the Convention</w:t>
      </w:r>
      <w:r w:rsidR="0064469C" w:rsidRPr="00813D19">
        <w:rPr>
          <w:bCs/>
          <w:lang w:val="en-US"/>
        </w:rPr>
        <w:t>,</w:t>
      </w:r>
      <w:r w:rsidR="00374CDD" w:rsidRPr="00813D19">
        <w:rPr>
          <w:bCs/>
          <w:lang w:val="en-US"/>
        </w:rPr>
        <w:t xml:space="preserve"> </w:t>
      </w:r>
      <w:r w:rsidR="00A74714" w:rsidRPr="00813D19">
        <w:rPr>
          <w:bCs/>
          <w:lang w:val="en-US"/>
        </w:rPr>
        <w:t>the dele</w:t>
      </w:r>
      <w:r w:rsidR="007C5AAF" w:rsidRPr="00813D19">
        <w:rPr>
          <w:bCs/>
          <w:lang w:val="en-US"/>
        </w:rPr>
        <w:t>gation explained that the defin</w:t>
      </w:r>
      <w:r w:rsidR="00A74714" w:rsidRPr="00813D19">
        <w:rPr>
          <w:bCs/>
          <w:lang w:val="en-US"/>
        </w:rPr>
        <w:t xml:space="preserve">ition </w:t>
      </w:r>
      <w:r w:rsidR="007C5AAF" w:rsidRPr="00813D19">
        <w:rPr>
          <w:bCs/>
          <w:lang w:val="en-US"/>
        </w:rPr>
        <w:t xml:space="preserve">of intangible cultural heritage </w:t>
      </w:r>
      <w:r w:rsidR="00A74714" w:rsidRPr="00813D19">
        <w:rPr>
          <w:bCs/>
          <w:lang w:val="en-US"/>
        </w:rPr>
        <w:t>highlighted</w:t>
      </w:r>
      <w:r w:rsidR="00374CDD" w:rsidRPr="00813D19">
        <w:rPr>
          <w:bCs/>
          <w:lang w:val="en-US"/>
        </w:rPr>
        <w:t xml:space="preserve"> </w:t>
      </w:r>
      <w:r w:rsidR="007C5AAF" w:rsidRPr="00813D19">
        <w:rPr>
          <w:bCs/>
          <w:lang w:val="en-US"/>
        </w:rPr>
        <w:t xml:space="preserve">its </w:t>
      </w:r>
      <w:r w:rsidR="00374CDD" w:rsidRPr="00813D19">
        <w:rPr>
          <w:bCs/>
          <w:lang w:val="en-US"/>
        </w:rPr>
        <w:t>unique character</w:t>
      </w:r>
      <w:r w:rsidR="00A74714" w:rsidRPr="00813D19">
        <w:rPr>
          <w:bCs/>
          <w:lang w:val="en-US"/>
        </w:rPr>
        <w:t xml:space="preserve">, </w:t>
      </w:r>
      <w:r w:rsidR="00374CDD" w:rsidRPr="00813D19">
        <w:rPr>
          <w:bCs/>
          <w:lang w:val="en-US"/>
        </w:rPr>
        <w:t xml:space="preserve">which does not refer to </w:t>
      </w:r>
      <w:r w:rsidR="00A74714" w:rsidRPr="00813D19">
        <w:rPr>
          <w:bCs/>
          <w:lang w:val="en-US"/>
        </w:rPr>
        <w:t>outstanding universal value</w:t>
      </w:r>
      <w:r w:rsidR="00374CDD" w:rsidRPr="00813D19">
        <w:rPr>
          <w:bCs/>
          <w:lang w:val="en-US"/>
        </w:rPr>
        <w:t xml:space="preserve"> </w:t>
      </w:r>
      <w:r w:rsidR="00A74714" w:rsidRPr="00813D19">
        <w:rPr>
          <w:bCs/>
          <w:lang w:val="en-US"/>
        </w:rPr>
        <w:t>(</w:t>
      </w:r>
      <w:r w:rsidR="00374CDD" w:rsidRPr="00813D19">
        <w:rPr>
          <w:bCs/>
          <w:lang w:val="en-US"/>
        </w:rPr>
        <w:t>OUV</w:t>
      </w:r>
      <w:r w:rsidR="00A74714" w:rsidRPr="00813D19">
        <w:rPr>
          <w:bCs/>
          <w:lang w:val="en-US"/>
        </w:rPr>
        <w:t>);</w:t>
      </w:r>
      <w:r w:rsidR="00374CDD" w:rsidRPr="00813D19">
        <w:rPr>
          <w:bCs/>
          <w:lang w:val="en-US"/>
        </w:rPr>
        <w:t xml:space="preserve"> an essential requirement for the inscription of World Heritage. </w:t>
      </w:r>
      <w:r w:rsidR="00A74714" w:rsidRPr="00813D19">
        <w:rPr>
          <w:bCs/>
          <w:lang w:val="en-US"/>
        </w:rPr>
        <w:t>T</w:t>
      </w:r>
      <w:r w:rsidR="00374CDD" w:rsidRPr="00813D19">
        <w:rPr>
          <w:bCs/>
          <w:lang w:val="en-US"/>
        </w:rPr>
        <w:t xml:space="preserve">he evaluation process of </w:t>
      </w:r>
      <w:r w:rsidR="00A74714" w:rsidRPr="00813D19">
        <w:rPr>
          <w:bCs/>
          <w:lang w:val="en-US"/>
        </w:rPr>
        <w:t>an element of intangible cultural heritage involves the examination</w:t>
      </w:r>
      <w:r w:rsidR="00374CDD" w:rsidRPr="00813D19">
        <w:rPr>
          <w:bCs/>
          <w:lang w:val="en-US"/>
        </w:rPr>
        <w:t xml:space="preserve"> and confirm</w:t>
      </w:r>
      <w:r w:rsidR="00A74714" w:rsidRPr="00813D19">
        <w:rPr>
          <w:bCs/>
          <w:lang w:val="en-US"/>
        </w:rPr>
        <w:t xml:space="preserve">ation of </w:t>
      </w:r>
      <w:r w:rsidR="00374CDD" w:rsidRPr="00813D19">
        <w:rPr>
          <w:bCs/>
          <w:lang w:val="en-US"/>
        </w:rPr>
        <w:t xml:space="preserve">criteria, </w:t>
      </w:r>
      <w:r w:rsidR="00A74714" w:rsidRPr="00813D19">
        <w:rPr>
          <w:bCs/>
          <w:lang w:val="en-US"/>
        </w:rPr>
        <w:t xml:space="preserve">which </w:t>
      </w:r>
      <w:r w:rsidR="00374CDD" w:rsidRPr="00813D19">
        <w:rPr>
          <w:bCs/>
          <w:lang w:val="en-US"/>
        </w:rPr>
        <w:t>evaluate</w:t>
      </w:r>
      <w:r w:rsidR="00A74714" w:rsidRPr="00813D19">
        <w:rPr>
          <w:bCs/>
          <w:lang w:val="en-US"/>
        </w:rPr>
        <w:t>s</w:t>
      </w:r>
      <w:r w:rsidR="00374CDD" w:rsidRPr="00813D19">
        <w:rPr>
          <w:bCs/>
          <w:lang w:val="en-US"/>
        </w:rPr>
        <w:t xml:space="preserve"> and determine</w:t>
      </w:r>
      <w:r w:rsidR="00A74714" w:rsidRPr="00813D19">
        <w:rPr>
          <w:bCs/>
          <w:lang w:val="en-US"/>
        </w:rPr>
        <w:t>s the</w:t>
      </w:r>
      <w:r w:rsidR="00374CDD" w:rsidRPr="00813D19">
        <w:rPr>
          <w:bCs/>
          <w:lang w:val="en-US"/>
        </w:rPr>
        <w:t xml:space="preserve"> cultural values of the nominated element</w:t>
      </w:r>
      <w:r w:rsidR="00A74714" w:rsidRPr="00813D19">
        <w:rPr>
          <w:bCs/>
          <w:lang w:val="en-US"/>
        </w:rPr>
        <w:t xml:space="preserve">; </w:t>
      </w:r>
      <w:r w:rsidR="00374CDD" w:rsidRPr="00813D19">
        <w:rPr>
          <w:bCs/>
          <w:lang w:val="en-US"/>
        </w:rPr>
        <w:t xml:space="preserve">a core part of the Convention that is still relevant and should be maintained. </w:t>
      </w:r>
      <w:r w:rsidR="00A74714" w:rsidRPr="00813D19">
        <w:rPr>
          <w:bCs/>
          <w:lang w:val="en-US"/>
        </w:rPr>
        <w:t xml:space="preserve">However, </w:t>
      </w:r>
      <w:r w:rsidR="00374CDD" w:rsidRPr="00813D19">
        <w:rPr>
          <w:bCs/>
          <w:lang w:val="en-US"/>
        </w:rPr>
        <w:t xml:space="preserve">the evaluation process of </w:t>
      </w:r>
      <w:r w:rsidR="00A74714" w:rsidRPr="00813D19">
        <w:rPr>
          <w:bCs/>
          <w:lang w:val="en-US"/>
        </w:rPr>
        <w:t>intangible cultural heritage should be re-examine</w:t>
      </w:r>
      <w:r w:rsidR="007C5AAF" w:rsidRPr="00813D19">
        <w:rPr>
          <w:bCs/>
          <w:lang w:val="en-US"/>
        </w:rPr>
        <w:t>d</w:t>
      </w:r>
      <w:r w:rsidR="00A74714" w:rsidRPr="00813D19">
        <w:rPr>
          <w:bCs/>
          <w:lang w:val="en-US"/>
        </w:rPr>
        <w:t xml:space="preserve"> and updated to take </w:t>
      </w:r>
      <w:r w:rsidR="00374CDD" w:rsidRPr="00813D19">
        <w:rPr>
          <w:bCs/>
          <w:lang w:val="en-US"/>
        </w:rPr>
        <w:t xml:space="preserve">into account the demands of the day. For example, the Evaluation Body </w:t>
      </w:r>
      <w:r w:rsidR="00A74714" w:rsidRPr="00813D19">
        <w:rPr>
          <w:bCs/>
          <w:lang w:val="en-US"/>
        </w:rPr>
        <w:t>maintains the practice of evaluating</w:t>
      </w:r>
      <w:r w:rsidR="00374CDD" w:rsidRPr="00813D19">
        <w:rPr>
          <w:bCs/>
          <w:lang w:val="en-US"/>
        </w:rPr>
        <w:t xml:space="preserve"> nominated elements solely based on the information and facts contained in the file</w:t>
      </w:r>
      <w:r w:rsidR="00A74714" w:rsidRPr="00813D19">
        <w:rPr>
          <w:bCs/>
          <w:lang w:val="en-US"/>
        </w:rPr>
        <w:t>,</w:t>
      </w:r>
      <w:r w:rsidR="00374CDD" w:rsidRPr="00813D19">
        <w:rPr>
          <w:bCs/>
          <w:lang w:val="en-US"/>
        </w:rPr>
        <w:t xml:space="preserve"> but it could be beneficial to refer to sources other than the files</w:t>
      </w:r>
      <w:r w:rsidR="00A74714" w:rsidRPr="00813D19">
        <w:rPr>
          <w:bCs/>
          <w:lang w:val="en-US"/>
        </w:rPr>
        <w:t>,</w:t>
      </w:r>
      <w:r w:rsidR="00374CDD" w:rsidRPr="00813D19">
        <w:rPr>
          <w:bCs/>
          <w:lang w:val="en-US"/>
        </w:rPr>
        <w:t xml:space="preserve"> </w:t>
      </w:r>
      <w:r w:rsidR="00A74714" w:rsidRPr="00813D19">
        <w:rPr>
          <w:bCs/>
          <w:lang w:val="en-US"/>
        </w:rPr>
        <w:t xml:space="preserve">such as those available on the </w:t>
      </w:r>
      <w:r w:rsidR="009273D8">
        <w:rPr>
          <w:bCs/>
          <w:lang w:val="en-US"/>
        </w:rPr>
        <w:t>i</w:t>
      </w:r>
      <w:r w:rsidR="009273D8" w:rsidRPr="00813D19">
        <w:rPr>
          <w:bCs/>
          <w:lang w:val="en-US"/>
        </w:rPr>
        <w:t xml:space="preserve">nternet </w:t>
      </w:r>
      <w:r w:rsidR="00374CDD" w:rsidRPr="00813D19">
        <w:rPr>
          <w:bCs/>
          <w:lang w:val="en-US"/>
        </w:rPr>
        <w:t>like YouTube, especially when the s</w:t>
      </w:r>
      <w:r w:rsidR="00A74714" w:rsidRPr="00813D19">
        <w:rPr>
          <w:bCs/>
          <w:lang w:val="en-US"/>
        </w:rPr>
        <w:t>ubmitting State</w:t>
      </w:r>
      <w:r w:rsidR="00374CDD" w:rsidRPr="00813D19">
        <w:rPr>
          <w:bCs/>
          <w:lang w:val="en-US"/>
        </w:rPr>
        <w:t xml:space="preserve"> requests </w:t>
      </w:r>
      <w:r w:rsidR="009273D8" w:rsidRPr="00813D19">
        <w:rPr>
          <w:bCs/>
          <w:lang w:val="en-US"/>
        </w:rPr>
        <w:t>th</w:t>
      </w:r>
      <w:r w:rsidR="009273D8">
        <w:rPr>
          <w:bCs/>
          <w:lang w:val="en-US"/>
        </w:rPr>
        <w:t>at the</w:t>
      </w:r>
      <w:r w:rsidR="009273D8" w:rsidRPr="00813D19">
        <w:rPr>
          <w:bCs/>
          <w:lang w:val="en-US"/>
        </w:rPr>
        <w:t xml:space="preserve"> </w:t>
      </w:r>
      <w:r w:rsidR="00374CDD" w:rsidRPr="00813D19">
        <w:rPr>
          <w:bCs/>
          <w:lang w:val="en-US"/>
        </w:rPr>
        <w:t xml:space="preserve">Body do so. This would help the Evaluation Body </w:t>
      </w:r>
      <w:r w:rsidR="00A74714" w:rsidRPr="00813D19">
        <w:rPr>
          <w:bCs/>
          <w:lang w:val="en-US"/>
        </w:rPr>
        <w:t xml:space="preserve">better </w:t>
      </w:r>
      <w:r w:rsidR="00374CDD" w:rsidRPr="00813D19">
        <w:rPr>
          <w:bCs/>
          <w:lang w:val="en-US"/>
        </w:rPr>
        <w:t>understand whe</w:t>
      </w:r>
      <w:r w:rsidR="007C5AAF" w:rsidRPr="00813D19">
        <w:rPr>
          <w:bCs/>
          <w:lang w:val="en-US"/>
        </w:rPr>
        <w:t>ther the nominated element met</w:t>
      </w:r>
      <w:r w:rsidR="00374CDD" w:rsidRPr="00813D19">
        <w:rPr>
          <w:bCs/>
          <w:lang w:val="en-US"/>
        </w:rPr>
        <w:t xml:space="preserve"> the criteria and would </w:t>
      </w:r>
      <w:r w:rsidR="00A74714" w:rsidRPr="00813D19">
        <w:rPr>
          <w:bCs/>
          <w:lang w:val="en-US"/>
        </w:rPr>
        <w:t xml:space="preserve">thus </w:t>
      </w:r>
      <w:r w:rsidR="00374CDD" w:rsidRPr="00813D19">
        <w:rPr>
          <w:bCs/>
          <w:lang w:val="en-US"/>
        </w:rPr>
        <w:t>help decrease the number of unne</w:t>
      </w:r>
      <w:r w:rsidR="00610D49" w:rsidRPr="00813D19">
        <w:rPr>
          <w:bCs/>
          <w:lang w:val="en-US"/>
        </w:rPr>
        <w:t xml:space="preserve">cessary referrals. Based on </w:t>
      </w:r>
      <w:r w:rsidR="00813D19" w:rsidRPr="00813D19">
        <w:rPr>
          <w:bCs/>
          <w:lang w:val="en-US"/>
        </w:rPr>
        <w:t>these</w:t>
      </w:r>
      <w:r w:rsidR="00610D49" w:rsidRPr="00813D19">
        <w:rPr>
          <w:bCs/>
          <w:lang w:val="en-US"/>
        </w:rPr>
        <w:t xml:space="preserve"> </w:t>
      </w:r>
      <w:r w:rsidR="00374CDD" w:rsidRPr="00813D19">
        <w:rPr>
          <w:bCs/>
          <w:lang w:val="en-US"/>
        </w:rPr>
        <w:t>points</w:t>
      </w:r>
      <w:r w:rsidR="00610D49" w:rsidRPr="00813D19">
        <w:rPr>
          <w:bCs/>
          <w:lang w:val="en-US"/>
        </w:rPr>
        <w:t>,</w:t>
      </w:r>
      <w:r w:rsidR="00374CDD" w:rsidRPr="00813D19">
        <w:rPr>
          <w:bCs/>
          <w:lang w:val="en-US"/>
        </w:rPr>
        <w:t xml:space="preserve"> Japan </w:t>
      </w:r>
      <w:r w:rsidR="00610D49" w:rsidRPr="00813D19">
        <w:rPr>
          <w:bCs/>
          <w:lang w:val="en-US"/>
        </w:rPr>
        <w:t xml:space="preserve">suggested </w:t>
      </w:r>
      <w:r w:rsidR="009273D8">
        <w:rPr>
          <w:bCs/>
          <w:lang w:val="en-US"/>
        </w:rPr>
        <w:t>that</w:t>
      </w:r>
      <w:r w:rsidR="00610D49" w:rsidRPr="00813D19">
        <w:rPr>
          <w:bCs/>
          <w:lang w:val="en-US"/>
        </w:rPr>
        <w:t xml:space="preserve"> the </w:t>
      </w:r>
      <w:r w:rsidR="00374CDD" w:rsidRPr="00813D19">
        <w:rPr>
          <w:bCs/>
          <w:lang w:val="en-US"/>
        </w:rPr>
        <w:t>following</w:t>
      </w:r>
      <w:r w:rsidR="00610D49" w:rsidRPr="00813D19">
        <w:rPr>
          <w:bCs/>
          <w:lang w:val="en-US"/>
        </w:rPr>
        <w:t xml:space="preserve"> points</w:t>
      </w:r>
      <w:r w:rsidR="009273D8">
        <w:rPr>
          <w:bCs/>
          <w:lang w:val="en-US"/>
        </w:rPr>
        <w:t xml:space="preserve"> be examined</w:t>
      </w:r>
      <w:r w:rsidR="00610D49" w:rsidRPr="00813D19">
        <w:rPr>
          <w:bCs/>
          <w:lang w:val="en-US"/>
        </w:rPr>
        <w:t xml:space="preserve"> in the e</w:t>
      </w:r>
      <w:r w:rsidR="00374CDD" w:rsidRPr="00813D19">
        <w:rPr>
          <w:bCs/>
          <w:lang w:val="en-US"/>
        </w:rPr>
        <w:t xml:space="preserve">xpert </w:t>
      </w:r>
      <w:r w:rsidR="00374CDD" w:rsidRPr="00850817">
        <w:rPr>
          <w:bCs/>
          <w:lang w:val="en-US"/>
        </w:rPr>
        <w:t xml:space="preserve">meeting: </w:t>
      </w:r>
      <w:r w:rsidR="00610D49" w:rsidRPr="00850817">
        <w:rPr>
          <w:bCs/>
          <w:lang w:val="en-US"/>
        </w:rPr>
        <w:t xml:space="preserve">i) the nature and purpose of the </w:t>
      </w:r>
      <w:r w:rsidR="009273D8" w:rsidRPr="002F50EA">
        <w:rPr>
          <w:bCs/>
          <w:lang w:val="en-US"/>
        </w:rPr>
        <w:t>List</w:t>
      </w:r>
      <w:r w:rsidR="00610D49" w:rsidRPr="002F50EA">
        <w:rPr>
          <w:bCs/>
          <w:lang w:val="en-US"/>
        </w:rPr>
        <w:t>; ii) the</w:t>
      </w:r>
      <w:r w:rsidR="00610D49" w:rsidRPr="00813D19">
        <w:rPr>
          <w:bCs/>
          <w:lang w:val="en-US"/>
        </w:rPr>
        <w:t xml:space="preserve"> forthcoming evaluation process;</w:t>
      </w:r>
      <w:r w:rsidR="00374CDD" w:rsidRPr="00813D19">
        <w:rPr>
          <w:bCs/>
          <w:lang w:val="en-US"/>
        </w:rPr>
        <w:t xml:space="preserve"> </w:t>
      </w:r>
      <w:r w:rsidR="00610D49" w:rsidRPr="00813D19">
        <w:rPr>
          <w:bCs/>
          <w:lang w:val="en-US"/>
        </w:rPr>
        <w:t xml:space="preserve">iii) the </w:t>
      </w:r>
      <w:r w:rsidR="00374CDD" w:rsidRPr="00813D19">
        <w:rPr>
          <w:bCs/>
          <w:lang w:val="en-US"/>
        </w:rPr>
        <w:t>procedures for th</w:t>
      </w:r>
      <w:r w:rsidR="007C5AAF" w:rsidRPr="00813D19">
        <w:rPr>
          <w:bCs/>
          <w:lang w:val="en-US"/>
        </w:rPr>
        <w:t>e removal of an element from a L</w:t>
      </w:r>
      <w:r w:rsidR="00374CDD" w:rsidRPr="00813D19">
        <w:rPr>
          <w:bCs/>
          <w:lang w:val="en-US"/>
        </w:rPr>
        <w:t xml:space="preserve">ist and </w:t>
      </w:r>
      <w:r w:rsidR="00610D49" w:rsidRPr="00813D19">
        <w:rPr>
          <w:bCs/>
          <w:lang w:val="en-US"/>
        </w:rPr>
        <w:t xml:space="preserve">the </w:t>
      </w:r>
      <w:r w:rsidR="00374CDD" w:rsidRPr="00813D19">
        <w:rPr>
          <w:bCs/>
          <w:lang w:val="en-US"/>
        </w:rPr>
        <w:t>trans</w:t>
      </w:r>
      <w:r w:rsidR="007C5AAF" w:rsidRPr="00813D19">
        <w:rPr>
          <w:bCs/>
          <w:lang w:val="en-US"/>
        </w:rPr>
        <w:t>fer from one L</w:t>
      </w:r>
      <w:r w:rsidR="00610D49" w:rsidRPr="00813D19">
        <w:rPr>
          <w:bCs/>
          <w:lang w:val="en-US"/>
        </w:rPr>
        <w:t>ist to the other; iv) issues concerning the follow-</w:t>
      </w:r>
      <w:r w:rsidR="00374CDD" w:rsidRPr="00813D19">
        <w:rPr>
          <w:bCs/>
          <w:lang w:val="en-US"/>
        </w:rPr>
        <w:t>up o</w:t>
      </w:r>
      <w:r w:rsidR="007C5AAF" w:rsidRPr="00813D19">
        <w:rPr>
          <w:bCs/>
          <w:lang w:val="en-US"/>
        </w:rPr>
        <w:t>f the inscribed element on the L</w:t>
      </w:r>
      <w:r w:rsidR="00374CDD" w:rsidRPr="00813D19">
        <w:rPr>
          <w:bCs/>
          <w:lang w:val="en-US"/>
        </w:rPr>
        <w:t xml:space="preserve">ist of the Convention. Japan </w:t>
      </w:r>
      <w:r w:rsidR="00610D49" w:rsidRPr="00813D19">
        <w:rPr>
          <w:bCs/>
          <w:lang w:val="en-US"/>
        </w:rPr>
        <w:t xml:space="preserve">was thus </w:t>
      </w:r>
      <w:r w:rsidR="00374CDD" w:rsidRPr="00813D19">
        <w:rPr>
          <w:bCs/>
          <w:lang w:val="en-US"/>
        </w:rPr>
        <w:t xml:space="preserve">ready to actively contribute to the reflection process together with all other Committee </w:t>
      </w:r>
      <w:r w:rsidR="00610D49" w:rsidRPr="00813D19">
        <w:rPr>
          <w:bCs/>
          <w:lang w:val="en-US"/>
        </w:rPr>
        <w:t xml:space="preserve">Members </w:t>
      </w:r>
      <w:r w:rsidR="00374CDD" w:rsidRPr="00813D19">
        <w:rPr>
          <w:bCs/>
          <w:lang w:val="en-US"/>
        </w:rPr>
        <w:t>and States Parties to the Convention</w:t>
      </w:r>
      <w:r w:rsidR="00610D49" w:rsidRPr="00813D19">
        <w:rPr>
          <w:bCs/>
          <w:lang w:val="en-US"/>
        </w:rPr>
        <w:t>,</w:t>
      </w:r>
      <w:r w:rsidR="00B67A60">
        <w:rPr>
          <w:bCs/>
          <w:lang w:val="en-US"/>
        </w:rPr>
        <w:t xml:space="preserve"> and the Secretariat.</w:t>
      </w:r>
    </w:p>
    <w:p w14:paraId="1FE96E1D" w14:textId="3A20A95D" w:rsidR="0009262C" w:rsidRPr="00813D19" w:rsidRDefault="0009262C" w:rsidP="002018F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B133C0" w:rsidRPr="00813D19">
        <w:rPr>
          <w:b/>
          <w:color w:val="000000" w:themeColor="text1"/>
          <w:lang w:val="en-US"/>
        </w:rPr>
        <w:t xml:space="preserve"> </w:t>
      </w:r>
      <w:r w:rsidR="00374CDD" w:rsidRPr="00813D19">
        <w:rPr>
          <w:bCs/>
          <w:lang w:val="en-US"/>
        </w:rPr>
        <w:t>warmly thank</w:t>
      </w:r>
      <w:r w:rsidR="00B15D2F" w:rsidRPr="00813D19">
        <w:rPr>
          <w:bCs/>
          <w:lang w:val="en-US"/>
        </w:rPr>
        <w:t>ed</w:t>
      </w:r>
      <w:r w:rsidR="00374CDD" w:rsidRPr="00813D19">
        <w:rPr>
          <w:bCs/>
          <w:lang w:val="en-US"/>
        </w:rPr>
        <w:t xml:space="preserve"> Japan</w:t>
      </w:r>
      <w:r w:rsidR="00B15D2F" w:rsidRPr="00813D19">
        <w:rPr>
          <w:bCs/>
          <w:lang w:val="en-US"/>
        </w:rPr>
        <w:t xml:space="preserve"> and the other </w:t>
      </w:r>
      <w:r w:rsidR="00374CDD" w:rsidRPr="00813D19">
        <w:rPr>
          <w:bCs/>
          <w:lang w:val="en-US"/>
        </w:rPr>
        <w:t xml:space="preserve">donors for </w:t>
      </w:r>
      <w:r w:rsidR="00B15D2F" w:rsidRPr="00813D19">
        <w:rPr>
          <w:bCs/>
          <w:lang w:val="en-US"/>
        </w:rPr>
        <w:t xml:space="preserve">providing </w:t>
      </w:r>
      <w:r w:rsidR="00374CDD" w:rsidRPr="00813D19">
        <w:rPr>
          <w:bCs/>
          <w:lang w:val="en-US"/>
        </w:rPr>
        <w:t>extrabudgetary fund</w:t>
      </w:r>
      <w:r w:rsidR="00B15D2F" w:rsidRPr="00813D19">
        <w:rPr>
          <w:bCs/>
          <w:lang w:val="en-US"/>
        </w:rPr>
        <w:t>s</w:t>
      </w:r>
      <w:r w:rsidR="00374CDD" w:rsidRPr="00813D19">
        <w:rPr>
          <w:bCs/>
          <w:lang w:val="en-US"/>
        </w:rPr>
        <w:t xml:space="preserve"> </w:t>
      </w:r>
      <w:r w:rsidR="00B15D2F" w:rsidRPr="00813D19">
        <w:rPr>
          <w:bCs/>
          <w:lang w:val="en-US"/>
        </w:rPr>
        <w:t xml:space="preserve">to the </w:t>
      </w:r>
      <w:r w:rsidR="00374CDD" w:rsidRPr="00813D19">
        <w:rPr>
          <w:bCs/>
          <w:lang w:val="en-US"/>
        </w:rPr>
        <w:t>Convention</w:t>
      </w:r>
      <w:r w:rsidR="00B15D2F" w:rsidRPr="00813D19">
        <w:rPr>
          <w:bCs/>
          <w:lang w:val="en-US"/>
        </w:rPr>
        <w:t>,</w:t>
      </w:r>
      <w:r w:rsidR="00374CDD" w:rsidRPr="00813D19">
        <w:rPr>
          <w:bCs/>
          <w:lang w:val="en-US"/>
        </w:rPr>
        <w:t xml:space="preserve"> </w:t>
      </w:r>
      <w:r w:rsidR="00B15D2F" w:rsidRPr="00813D19">
        <w:rPr>
          <w:bCs/>
          <w:lang w:val="en-US"/>
        </w:rPr>
        <w:t xml:space="preserve">adding that the report revealed </w:t>
      </w:r>
      <w:r w:rsidR="00374CDD" w:rsidRPr="00813D19">
        <w:rPr>
          <w:bCs/>
          <w:lang w:val="en-US"/>
        </w:rPr>
        <w:t xml:space="preserve">a decline in </w:t>
      </w:r>
      <w:r w:rsidR="00B15D2F" w:rsidRPr="00813D19">
        <w:rPr>
          <w:bCs/>
          <w:lang w:val="en-US"/>
        </w:rPr>
        <w:t xml:space="preserve">the </w:t>
      </w:r>
      <w:r w:rsidR="00374CDD" w:rsidRPr="00813D19">
        <w:rPr>
          <w:bCs/>
          <w:lang w:val="en-US"/>
        </w:rPr>
        <w:t>extrabudgetary fund</w:t>
      </w:r>
      <w:r w:rsidR="00B15D2F" w:rsidRPr="00813D19">
        <w:rPr>
          <w:bCs/>
          <w:lang w:val="en-US"/>
        </w:rPr>
        <w:t>s</w:t>
      </w:r>
      <w:r w:rsidR="00374CDD" w:rsidRPr="00813D19">
        <w:rPr>
          <w:bCs/>
          <w:lang w:val="en-US"/>
        </w:rPr>
        <w:t xml:space="preserve"> allocated </w:t>
      </w:r>
      <w:r w:rsidR="00B15D2F" w:rsidRPr="00813D19">
        <w:rPr>
          <w:bCs/>
          <w:lang w:val="en-US"/>
        </w:rPr>
        <w:t>to the two priority area</w:t>
      </w:r>
      <w:r w:rsidR="0087562F">
        <w:rPr>
          <w:bCs/>
          <w:lang w:val="en-US"/>
        </w:rPr>
        <w:t>s</w:t>
      </w:r>
      <w:r w:rsidR="00374CDD" w:rsidRPr="00813D19">
        <w:rPr>
          <w:bCs/>
          <w:lang w:val="en-US"/>
        </w:rPr>
        <w:t xml:space="preserve"> identified</w:t>
      </w:r>
      <w:r w:rsidR="00B15D2F" w:rsidRPr="00813D19">
        <w:rPr>
          <w:bCs/>
          <w:lang w:val="en-US"/>
        </w:rPr>
        <w:t>,</w:t>
      </w:r>
      <w:r w:rsidR="00374CDD" w:rsidRPr="00813D19">
        <w:rPr>
          <w:bCs/>
          <w:lang w:val="en-US"/>
        </w:rPr>
        <w:t xml:space="preserve"> </w:t>
      </w:r>
      <w:r w:rsidR="00B15D2F" w:rsidRPr="00813D19">
        <w:rPr>
          <w:bCs/>
          <w:lang w:val="en-US"/>
        </w:rPr>
        <w:t xml:space="preserve">namely, </w:t>
      </w:r>
      <w:r w:rsidR="00374CDD" w:rsidRPr="00813D19">
        <w:rPr>
          <w:bCs/>
          <w:lang w:val="en-US"/>
        </w:rPr>
        <w:t>ca</w:t>
      </w:r>
      <w:r w:rsidR="00B15D2F" w:rsidRPr="00813D19">
        <w:rPr>
          <w:bCs/>
          <w:lang w:val="en-US"/>
        </w:rPr>
        <w:t>pacity</w:t>
      </w:r>
      <w:r w:rsidR="00DA05A6">
        <w:rPr>
          <w:bCs/>
          <w:lang w:val="en-US"/>
        </w:rPr>
        <w:t xml:space="preserve"> </w:t>
      </w:r>
      <w:r w:rsidR="00374CDD" w:rsidRPr="00813D19">
        <w:rPr>
          <w:bCs/>
          <w:lang w:val="en-US"/>
        </w:rPr>
        <w:t>building and sustainable development</w:t>
      </w:r>
      <w:r w:rsidR="00B15D2F" w:rsidRPr="00813D19">
        <w:rPr>
          <w:bCs/>
          <w:lang w:val="en-US"/>
        </w:rPr>
        <w:t>,</w:t>
      </w:r>
      <w:r w:rsidR="00374CDD" w:rsidRPr="00813D19">
        <w:rPr>
          <w:bCs/>
          <w:lang w:val="en-US"/>
        </w:rPr>
        <w:t xml:space="preserve"> and </w:t>
      </w:r>
      <w:r w:rsidR="00DA05A6">
        <w:rPr>
          <w:bCs/>
          <w:lang w:val="en-US"/>
        </w:rPr>
        <w:t xml:space="preserve">intangible cultural heritage </w:t>
      </w:r>
      <w:r w:rsidR="00374CDD" w:rsidRPr="00813D19">
        <w:rPr>
          <w:bCs/>
          <w:lang w:val="en-US"/>
        </w:rPr>
        <w:t xml:space="preserve">through education. </w:t>
      </w:r>
      <w:r w:rsidR="00B15D2F" w:rsidRPr="00813D19">
        <w:rPr>
          <w:bCs/>
          <w:lang w:val="en-US"/>
        </w:rPr>
        <w:t xml:space="preserve">The delegation thus wished to know if—in the case of a sustained decline in the </w:t>
      </w:r>
      <w:r w:rsidR="00B46BC5" w:rsidRPr="00813D19">
        <w:rPr>
          <w:bCs/>
          <w:lang w:val="en-US"/>
        </w:rPr>
        <w:t>ICH F</w:t>
      </w:r>
      <w:r w:rsidR="00B15D2F" w:rsidRPr="00813D19">
        <w:rPr>
          <w:bCs/>
          <w:lang w:val="en-US"/>
        </w:rPr>
        <w:t>und—</w:t>
      </w:r>
      <w:r w:rsidR="00374CDD" w:rsidRPr="00813D19">
        <w:rPr>
          <w:bCs/>
          <w:lang w:val="en-US"/>
        </w:rPr>
        <w:t xml:space="preserve">it </w:t>
      </w:r>
      <w:r w:rsidR="00B15D2F" w:rsidRPr="00813D19">
        <w:rPr>
          <w:bCs/>
          <w:lang w:val="en-US"/>
        </w:rPr>
        <w:t xml:space="preserve">would </w:t>
      </w:r>
      <w:r w:rsidR="00374CDD" w:rsidRPr="00813D19">
        <w:rPr>
          <w:bCs/>
          <w:lang w:val="en-US"/>
        </w:rPr>
        <w:t xml:space="preserve">be possible to </w:t>
      </w:r>
      <w:r w:rsidR="00B15D2F" w:rsidRPr="00813D19">
        <w:rPr>
          <w:bCs/>
          <w:lang w:val="en-US"/>
        </w:rPr>
        <w:t xml:space="preserve">continue </w:t>
      </w:r>
      <w:r w:rsidR="00374CDD" w:rsidRPr="00813D19">
        <w:rPr>
          <w:bCs/>
          <w:lang w:val="en-US"/>
        </w:rPr>
        <w:t xml:space="preserve">these </w:t>
      </w:r>
      <w:r w:rsidR="00B15D2F" w:rsidRPr="00813D19">
        <w:rPr>
          <w:bCs/>
          <w:lang w:val="en-US"/>
        </w:rPr>
        <w:t>activities under the R</w:t>
      </w:r>
      <w:r w:rsidR="00374CDD" w:rsidRPr="00813D19">
        <w:rPr>
          <w:bCs/>
          <w:lang w:val="en-US"/>
        </w:rPr>
        <w:t xml:space="preserve">egular </w:t>
      </w:r>
      <w:r w:rsidR="00813D19" w:rsidRPr="00813D19">
        <w:rPr>
          <w:bCs/>
          <w:lang w:val="en-US"/>
        </w:rPr>
        <w:t>Programme</w:t>
      </w:r>
      <w:r w:rsidR="00B15D2F" w:rsidRPr="00813D19">
        <w:rPr>
          <w:bCs/>
          <w:lang w:val="en-US"/>
        </w:rPr>
        <w:t xml:space="preserve"> fund.</w:t>
      </w:r>
      <w:r w:rsidR="00374CDD" w:rsidRPr="00813D19">
        <w:rPr>
          <w:bCs/>
          <w:lang w:val="en-US"/>
        </w:rPr>
        <w:t xml:space="preserve"> </w:t>
      </w:r>
      <w:r w:rsidR="00B15D2F" w:rsidRPr="00813D19">
        <w:rPr>
          <w:bCs/>
          <w:lang w:val="en-US"/>
        </w:rPr>
        <w:t xml:space="preserve">The delegation </w:t>
      </w:r>
      <w:r w:rsidR="00374CDD" w:rsidRPr="00813D19">
        <w:rPr>
          <w:bCs/>
          <w:lang w:val="en-US"/>
        </w:rPr>
        <w:t>thank</w:t>
      </w:r>
      <w:r w:rsidR="00B15D2F" w:rsidRPr="00813D19">
        <w:rPr>
          <w:bCs/>
          <w:lang w:val="en-US"/>
        </w:rPr>
        <w:t>ed</w:t>
      </w:r>
      <w:r w:rsidR="00374CDD" w:rsidRPr="00813D19">
        <w:rPr>
          <w:bCs/>
          <w:lang w:val="en-US"/>
        </w:rPr>
        <w:t xml:space="preserve"> </w:t>
      </w:r>
      <w:r w:rsidR="00B15D2F" w:rsidRPr="00813D19">
        <w:rPr>
          <w:bCs/>
          <w:lang w:val="en-US"/>
        </w:rPr>
        <w:t>the Secretariat for the clarity in the report</w:t>
      </w:r>
      <w:r w:rsidR="00374CDD" w:rsidRPr="00813D19">
        <w:rPr>
          <w:bCs/>
          <w:lang w:val="en-US"/>
        </w:rPr>
        <w:t xml:space="preserve">, but </w:t>
      </w:r>
      <w:r w:rsidR="00B15D2F" w:rsidRPr="00813D19">
        <w:rPr>
          <w:bCs/>
          <w:lang w:val="en-US"/>
        </w:rPr>
        <w:t xml:space="preserve">had </w:t>
      </w:r>
      <w:r w:rsidR="00374CDD" w:rsidRPr="00813D19">
        <w:rPr>
          <w:bCs/>
          <w:lang w:val="en-US"/>
        </w:rPr>
        <w:t>some concern</w:t>
      </w:r>
      <w:r w:rsidR="00DA05A6">
        <w:rPr>
          <w:bCs/>
          <w:lang w:val="en-US"/>
        </w:rPr>
        <w:t>s</w:t>
      </w:r>
      <w:r w:rsidR="00374CDD" w:rsidRPr="00813D19">
        <w:rPr>
          <w:bCs/>
          <w:lang w:val="en-US"/>
        </w:rPr>
        <w:t xml:space="preserve"> </w:t>
      </w:r>
      <w:r w:rsidR="00B15D2F" w:rsidRPr="00813D19">
        <w:rPr>
          <w:bCs/>
          <w:lang w:val="en-US"/>
        </w:rPr>
        <w:t xml:space="preserve">regarding </w:t>
      </w:r>
      <w:r w:rsidR="00374CDD" w:rsidRPr="00813D19">
        <w:rPr>
          <w:bCs/>
          <w:lang w:val="en-US"/>
        </w:rPr>
        <w:t xml:space="preserve">the figures </w:t>
      </w:r>
      <w:r w:rsidR="00F8068B" w:rsidRPr="00813D19">
        <w:rPr>
          <w:bCs/>
          <w:lang w:val="en-US"/>
        </w:rPr>
        <w:t xml:space="preserve">displayed in the </w:t>
      </w:r>
      <w:r w:rsidR="00374CDD" w:rsidRPr="00813D19">
        <w:rPr>
          <w:bCs/>
          <w:lang w:val="en-US"/>
        </w:rPr>
        <w:t xml:space="preserve">timeline. </w:t>
      </w:r>
      <w:r w:rsidR="007C5AAF" w:rsidRPr="00813D19">
        <w:rPr>
          <w:bCs/>
          <w:lang w:val="en-US"/>
        </w:rPr>
        <w:t xml:space="preserve">It </w:t>
      </w:r>
      <w:r w:rsidR="00F8068B" w:rsidRPr="00813D19">
        <w:rPr>
          <w:bCs/>
          <w:lang w:val="en-US"/>
        </w:rPr>
        <w:t xml:space="preserve">was of the understanding </w:t>
      </w:r>
      <w:r w:rsidR="00374CDD" w:rsidRPr="00813D19">
        <w:rPr>
          <w:bCs/>
          <w:lang w:val="en-US"/>
        </w:rPr>
        <w:t xml:space="preserve">that the next step </w:t>
      </w:r>
      <w:r w:rsidR="00F8068B" w:rsidRPr="00813D19">
        <w:rPr>
          <w:bCs/>
          <w:lang w:val="en-US"/>
        </w:rPr>
        <w:t xml:space="preserve">would </w:t>
      </w:r>
      <w:r w:rsidR="00374CDD" w:rsidRPr="00813D19">
        <w:rPr>
          <w:bCs/>
          <w:lang w:val="en-US"/>
        </w:rPr>
        <w:t>be the reflection meetin</w:t>
      </w:r>
      <w:r w:rsidR="00F8068B" w:rsidRPr="00813D19">
        <w:rPr>
          <w:bCs/>
          <w:lang w:val="en-US"/>
        </w:rPr>
        <w:t xml:space="preserve">g in Japan in 2019, followed by </w:t>
      </w:r>
      <w:r w:rsidR="00374CDD" w:rsidRPr="00813D19">
        <w:rPr>
          <w:bCs/>
          <w:lang w:val="en-US"/>
        </w:rPr>
        <w:t>the General Assembly</w:t>
      </w:r>
      <w:r w:rsidR="00F8068B" w:rsidRPr="00813D19">
        <w:rPr>
          <w:bCs/>
          <w:lang w:val="en-US"/>
        </w:rPr>
        <w:t xml:space="preserve">, the fourteenth session of the Committee, and </w:t>
      </w:r>
      <w:r w:rsidR="00374CDD" w:rsidRPr="00813D19">
        <w:rPr>
          <w:bCs/>
          <w:lang w:val="en-US"/>
        </w:rPr>
        <w:t>the ad hoc working group</w:t>
      </w:r>
      <w:r w:rsidR="00F8068B" w:rsidRPr="00813D19">
        <w:rPr>
          <w:bCs/>
          <w:lang w:val="en-US"/>
        </w:rPr>
        <w:t xml:space="preserve">. However, there was no mention in the timeline of the </w:t>
      </w:r>
      <w:r w:rsidR="00B0621A" w:rsidRPr="00813D19">
        <w:rPr>
          <w:bCs/>
          <w:lang w:val="en-US"/>
        </w:rPr>
        <w:t xml:space="preserve">expert </w:t>
      </w:r>
      <w:r w:rsidR="00F8068B" w:rsidRPr="00813D19">
        <w:rPr>
          <w:bCs/>
          <w:lang w:val="en-US"/>
        </w:rPr>
        <w:t xml:space="preserve">working </w:t>
      </w:r>
      <w:r w:rsidR="00374CDD" w:rsidRPr="00813D19">
        <w:rPr>
          <w:bCs/>
          <w:lang w:val="en-US"/>
        </w:rPr>
        <w:t>group betw</w:t>
      </w:r>
      <w:r w:rsidR="00B67A60">
        <w:rPr>
          <w:bCs/>
          <w:lang w:val="en-US"/>
        </w:rPr>
        <w:t>een the two sessions.</w:t>
      </w:r>
    </w:p>
    <w:p w14:paraId="5AE416BC" w14:textId="1B532611" w:rsidR="00B95F96" w:rsidRPr="00813D19" w:rsidRDefault="00B95F96" w:rsidP="002018F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374CDD" w:rsidRPr="00813D19">
        <w:rPr>
          <w:b/>
          <w:color w:val="000000" w:themeColor="text1"/>
          <w:lang w:val="en-US"/>
        </w:rPr>
        <w:t xml:space="preserve"> </w:t>
      </w:r>
      <w:r w:rsidR="00374CDD" w:rsidRPr="00813D19">
        <w:rPr>
          <w:bCs/>
          <w:lang w:val="en-US"/>
        </w:rPr>
        <w:t>thank</w:t>
      </w:r>
      <w:r w:rsidR="00136006" w:rsidRPr="00813D19">
        <w:rPr>
          <w:bCs/>
          <w:lang w:val="en-US"/>
        </w:rPr>
        <w:t>ed</w:t>
      </w:r>
      <w:r w:rsidR="00374CDD" w:rsidRPr="00813D19">
        <w:rPr>
          <w:bCs/>
          <w:lang w:val="en-US"/>
        </w:rPr>
        <w:t xml:space="preserve"> </w:t>
      </w:r>
      <w:r w:rsidR="00E430AB" w:rsidRPr="00813D19">
        <w:rPr>
          <w:bCs/>
          <w:lang w:val="en-US"/>
        </w:rPr>
        <w:t>the Netherlands</w:t>
      </w:r>
      <w:r w:rsidR="00374CDD" w:rsidRPr="00813D19">
        <w:rPr>
          <w:bCs/>
          <w:lang w:val="en-US"/>
        </w:rPr>
        <w:t>, China, Fin</w:t>
      </w:r>
      <w:r w:rsidR="001E5E85" w:rsidRPr="00813D19">
        <w:rPr>
          <w:bCs/>
          <w:lang w:val="en-US"/>
        </w:rPr>
        <w:t>land, Kazakhstan and Montenegro for</w:t>
      </w:r>
      <w:r w:rsidR="00374CDD" w:rsidRPr="00813D19">
        <w:rPr>
          <w:bCs/>
          <w:lang w:val="en-US"/>
        </w:rPr>
        <w:t xml:space="preserve"> their contributions to the ICH Fund</w:t>
      </w:r>
      <w:r w:rsidR="001E5E85" w:rsidRPr="00813D19">
        <w:rPr>
          <w:bCs/>
          <w:lang w:val="en-US"/>
        </w:rPr>
        <w:t>,</w:t>
      </w:r>
      <w:r w:rsidR="00374CDD" w:rsidRPr="00813D19">
        <w:rPr>
          <w:bCs/>
          <w:lang w:val="en-US"/>
        </w:rPr>
        <w:t xml:space="preserve"> </w:t>
      </w:r>
      <w:r w:rsidR="00DA05A6">
        <w:rPr>
          <w:bCs/>
          <w:lang w:val="en-US"/>
        </w:rPr>
        <w:t>as well as</w:t>
      </w:r>
      <w:r w:rsidR="001E5E85" w:rsidRPr="00813D19">
        <w:rPr>
          <w:bCs/>
          <w:lang w:val="en-US"/>
        </w:rPr>
        <w:t xml:space="preserve"> the Chairperson </w:t>
      </w:r>
      <w:r w:rsidR="00374CDD" w:rsidRPr="00813D19">
        <w:rPr>
          <w:bCs/>
          <w:lang w:val="en-US"/>
        </w:rPr>
        <w:t>for having initiated and fostering this dialogue</w:t>
      </w:r>
      <w:r w:rsidR="001E5E85" w:rsidRPr="00813D19">
        <w:rPr>
          <w:bCs/>
          <w:lang w:val="en-US"/>
        </w:rPr>
        <w:t>,</w:t>
      </w:r>
      <w:r w:rsidR="00374CDD" w:rsidRPr="00813D19">
        <w:rPr>
          <w:bCs/>
          <w:lang w:val="en-US"/>
        </w:rPr>
        <w:t xml:space="preserve"> which </w:t>
      </w:r>
      <w:r w:rsidR="00DA05A6" w:rsidRPr="00813D19">
        <w:rPr>
          <w:bCs/>
          <w:lang w:val="en-US"/>
        </w:rPr>
        <w:t>concern</w:t>
      </w:r>
      <w:r w:rsidR="00DA05A6">
        <w:rPr>
          <w:bCs/>
          <w:lang w:val="en-US"/>
        </w:rPr>
        <w:t>ed</w:t>
      </w:r>
      <w:r w:rsidR="00DA05A6" w:rsidRPr="00813D19">
        <w:rPr>
          <w:bCs/>
          <w:lang w:val="en-US"/>
        </w:rPr>
        <w:t xml:space="preserve"> </w:t>
      </w:r>
      <w:r w:rsidR="00374CDD" w:rsidRPr="00813D19">
        <w:rPr>
          <w:bCs/>
          <w:lang w:val="en-US"/>
        </w:rPr>
        <w:t xml:space="preserve">structural issues </w:t>
      </w:r>
      <w:r w:rsidR="001E5E85" w:rsidRPr="00813D19">
        <w:rPr>
          <w:bCs/>
          <w:lang w:val="en-US"/>
        </w:rPr>
        <w:t xml:space="preserve">affecting </w:t>
      </w:r>
      <w:r w:rsidR="00374CDD" w:rsidRPr="00813D19">
        <w:rPr>
          <w:bCs/>
          <w:lang w:val="en-US"/>
        </w:rPr>
        <w:t xml:space="preserve">the Convention. </w:t>
      </w:r>
      <w:r w:rsidR="00B32893" w:rsidRPr="00813D19">
        <w:rPr>
          <w:bCs/>
          <w:lang w:val="en-US"/>
        </w:rPr>
        <w:t xml:space="preserve">It </w:t>
      </w:r>
      <w:r w:rsidR="001E5E85" w:rsidRPr="00813D19">
        <w:rPr>
          <w:bCs/>
          <w:lang w:val="en-US"/>
        </w:rPr>
        <w:t xml:space="preserve">was </w:t>
      </w:r>
      <w:r w:rsidR="00B32893" w:rsidRPr="00813D19">
        <w:rPr>
          <w:bCs/>
          <w:lang w:val="en-US"/>
        </w:rPr>
        <w:t xml:space="preserve">also </w:t>
      </w:r>
      <w:r w:rsidR="00374CDD" w:rsidRPr="00813D19">
        <w:rPr>
          <w:bCs/>
          <w:lang w:val="en-US"/>
        </w:rPr>
        <w:t xml:space="preserve">very grateful that this dialogue </w:t>
      </w:r>
      <w:r w:rsidR="00DA05A6">
        <w:rPr>
          <w:bCs/>
          <w:lang w:val="en-US"/>
        </w:rPr>
        <w:t>was</w:t>
      </w:r>
      <w:r w:rsidR="00DA05A6" w:rsidRPr="00813D19">
        <w:rPr>
          <w:bCs/>
          <w:lang w:val="en-US"/>
        </w:rPr>
        <w:t xml:space="preserve"> </w:t>
      </w:r>
      <w:r w:rsidR="001E5E85" w:rsidRPr="00813D19">
        <w:rPr>
          <w:bCs/>
          <w:lang w:val="en-US"/>
        </w:rPr>
        <w:t>to take</w:t>
      </w:r>
      <w:r w:rsidR="00374CDD" w:rsidRPr="00813D19">
        <w:rPr>
          <w:bCs/>
          <w:lang w:val="en-US"/>
        </w:rPr>
        <w:t xml:space="preserve"> place </w:t>
      </w:r>
      <w:r w:rsidR="00DA05A6">
        <w:rPr>
          <w:bCs/>
          <w:lang w:val="en-US"/>
        </w:rPr>
        <w:t>at the</w:t>
      </w:r>
      <w:r w:rsidR="00DA05A6" w:rsidRPr="00813D19">
        <w:rPr>
          <w:bCs/>
          <w:lang w:val="en-US"/>
        </w:rPr>
        <w:t xml:space="preserve"> </w:t>
      </w:r>
      <w:r w:rsidR="00374CDD" w:rsidRPr="00813D19">
        <w:rPr>
          <w:bCs/>
          <w:lang w:val="en-US"/>
        </w:rPr>
        <w:t>UNESCO Headquarters in Paris</w:t>
      </w:r>
      <w:r w:rsidR="001E5E85" w:rsidRPr="00813D19">
        <w:rPr>
          <w:bCs/>
          <w:lang w:val="en-US"/>
        </w:rPr>
        <w:t>, which would make</w:t>
      </w:r>
      <w:r w:rsidR="00374CDD" w:rsidRPr="00813D19">
        <w:rPr>
          <w:bCs/>
          <w:lang w:val="en-US"/>
        </w:rPr>
        <w:t xml:space="preserve"> it easier for all Member States to </w:t>
      </w:r>
      <w:r w:rsidR="001E5E85" w:rsidRPr="00813D19">
        <w:rPr>
          <w:bCs/>
          <w:lang w:val="en-US"/>
        </w:rPr>
        <w:t xml:space="preserve">participate. Regarding the Secretariat’s report, </w:t>
      </w:r>
      <w:r w:rsidR="00374CDD" w:rsidRPr="00813D19">
        <w:rPr>
          <w:bCs/>
          <w:lang w:val="en-US"/>
        </w:rPr>
        <w:t xml:space="preserve">Colombia </w:t>
      </w:r>
      <w:r w:rsidR="001E5E85" w:rsidRPr="00813D19">
        <w:rPr>
          <w:bCs/>
          <w:lang w:val="en-US"/>
        </w:rPr>
        <w:t xml:space="preserve">remarked on </w:t>
      </w:r>
      <w:r w:rsidR="00374CDD" w:rsidRPr="00813D19">
        <w:rPr>
          <w:bCs/>
          <w:lang w:val="en-US"/>
        </w:rPr>
        <w:t xml:space="preserve">the importance of </w:t>
      </w:r>
      <w:r w:rsidR="001E5E85" w:rsidRPr="00813D19">
        <w:rPr>
          <w:bCs/>
          <w:lang w:val="en-US"/>
        </w:rPr>
        <w:t xml:space="preserve">seeking </w:t>
      </w:r>
      <w:r w:rsidR="00374CDD" w:rsidRPr="00813D19">
        <w:rPr>
          <w:bCs/>
          <w:lang w:val="en-US"/>
        </w:rPr>
        <w:t xml:space="preserve">funds to continue fostering these initiatives </w:t>
      </w:r>
      <w:r w:rsidR="001E5E85" w:rsidRPr="00813D19">
        <w:rPr>
          <w:bCs/>
          <w:lang w:val="en-US"/>
        </w:rPr>
        <w:t xml:space="preserve">to </w:t>
      </w:r>
      <w:r w:rsidR="00B32893" w:rsidRPr="00813D19">
        <w:rPr>
          <w:bCs/>
          <w:lang w:val="en-US"/>
        </w:rPr>
        <w:t>safeguard</w:t>
      </w:r>
      <w:r w:rsidR="00374CDD" w:rsidRPr="00813D19">
        <w:rPr>
          <w:bCs/>
          <w:lang w:val="en-US"/>
        </w:rPr>
        <w:t xml:space="preserve"> </w:t>
      </w:r>
      <w:r w:rsidR="001E5E85" w:rsidRPr="00813D19">
        <w:rPr>
          <w:bCs/>
          <w:lang w:val="en-US"/>
        </w:rPr>
        <w:t xml:space="preserve">intangible cultural heritage </w:t>
      </w:r>
      <w:r w:rsidR="00374CDD" w:rsidRPr="00813D19">
        <w:rPr>
          <w:bCs/>
          <w:lang w:val="en-US"/>
        </w:rPr>
        <w:t xml:space="preserve">in formal and non-formal education. </w:t>
      </w:r>
      <w:r w:rsidR="001E5E85" w:rsidRPr="00813D19">
        <w:rPr>
          <w:bCs/>
          <w:lang w:val="en-US"/>
        </w:rPr>
        <w:t xml:space="preserve">In </w:t>
      </w:r>
      <w:r w:rsidR="00374CDD" w:rsidRPr="00813D19">
        <w:rPr>
          <w:bCs/>
          <w:lang w:val="en-US"/>
        </w:rPr>
        <w:t>this respect</w:t>
      </w:r>
      <w:r w:rsidR="001E5E85" w:rsidRPr="00813D19">
        <w:rPr>
          <w:bCs/>
          <w:lang w:val="en-US"/>
        </w:rPr>
        <w:t>,</w:t>
      </w:r>
      <w:r w:rsidR="00374CDD" w:rsidRPr="00813D19">
        <w:rPr>
          <w:bCs/>
          <w:lang w:val="en-US"/>
        </w:rPr>
        <w:t xml:space="preserve"> Colombia </w:t>
      </w:r>
      <w:r w:rsidR="001E5E85" w:rsidRPr="00813D19">
        <w:rPr>
          <w:bCs/>
          <w:lang w:val="en-US"/>
        </w:rPr>
        <w:t xml:space="preserve">was </w:t>
      </w:r>
      <w:r w:rsidR="00374CDD" w:rsidRPr="00813D19">
        <w:rPr>
          <w:bCs/>
          <w:lang w:val="en-US"/>
        </w:rPr>
        <w:t>completely committed to this initiative and believe</w:t>
      </w:r>
      <w:r w:rsidR="001E5E85" w:rsidRPr="00813D19">
        <w:rPr>
          <w:bCs/>
          <w:lang w:val="en-US"/>
        </w:rPr>
        <w:t>d</w:t>
      </w:r>
      <w:r w:rsidR="00374CDD" w:rsidRPr="00813D19">
        <w:rPr>
          <w:bCs/>
          <w:lang w:val="en-US"/>
        </w:rPr>
        <w:t xml:space="preserve"> that the connection between </w:t>
      </w:r>
      <w:r w:rsidR="001E5E85" w:rsidRPr="00813D19">
        <w:rPr>
          <w:bCs/>
          <w:lang w:val="en-US"/>
        </w:rPr>
        <w:t xml:space="preserve">intangible cultural heritage </w:t>
      </w:r>
      <w:r w:rsidR="00374CDD" w:rsidRPr="00813D19">
        <w:rPr>
          <w:bCs/>
          <w:lang w:val="en-US"/>
        </w:rPr>
        <w:t xml:space="preserve">and education </w:t>
      </w:r>
      <w:r w:rsidR="00DA05A6" w:rsidRPr="00813D19">
        <w:rPr>
          <w:bCs/>
          <w:lang w:val="en-US"/>
        </w:rPr>
        <w:t>generate</w:t>
      </w:r>
      <w:r w:rsidR="00DA05A6">
        <w:rPr>
          <w:bCs/>
          <w:lang w:val="en-US"/>
        </w:rPr>
        <w:t>d</w:t>
      </w:r>
      <w:r w:rsidR="00DA05A6" w:rsidRPr="00813D19">
        <w:rPr>
          <w:bCs/>
          <w:lang w:val="en-US"/>
        </w:rPr>
        <w:t xml:space="preserve"> </w:t>
      </w:r>
      <w:r w:rsidR="00374CDD" w:rsidRPr="00813D19">
        <w:rPr>
          <w:bCs/>
          <w:lang w:val="en-US"/>
        </w:rPr>
        <w:t>sustainable development</w:t>
      </w:r>
      <w:r w:rsidR="001E5E85" w:rsidRPr="00813D19">
        <w:rPr>
          <w:bCs/>
          <w:lang w:val="en-US"/>
        </w:rPr>
        <w:t>,</w:t>
      </w:r>
      <w:r w:rsidR="00374CDD" w:rsidRPr="00813D19">
        <w:rPr>
          <w:bCs/>
          <w:lang w:val="en-US"/>
        </w:rPr>
        <w:t xml:space="preserve"> but also create</w:t>
      </w:r>
      <w:r w:rsidR="00DA05A6">
        <w:rPr>
          <w:bCs/>
          <w:lang w:val="en-US"/>
        </w:rPr>
        <w:t>d</w:t>
      </w:r>
      <w:r w:rsidR="00374CDD" w:rsidRPr="00813D19">
        <w:rPr>
          <w:bCs/>
          <w:lang w:val="en-US"/>
        </w:rPr>
        <w:t xml:space="preserve"> social and economic dynamics within communities</w:t>
      </w:r>
      <w:r w:rsidR="001E5E85" w:rsidRPr="00813D19">
        <w:rPr>
          <w:bCs/>
          <w:lang w:val="en-US"/>
        </w:rPr>
        <w:t>. In this regard,</w:t>
      </w:r>
      <w:r w:rsidR="00374CDD" w:rsidRPr="00813D19">
        <w:rPr>
          <w:bCs/>
          <w:lang w:val="en-US"/>
        </w:rPr>
        <w:t xml:space="preserve"> </w:t>
      </w:r>
      <w:r w:rsidR="001E5E85" w:rsidRPr="00813D19">
        <w:rPr>
          <w:bCs/>
          <w:lang w:val="en-US"/>
        </w:rPr>
        <w:t>the delegation wished to</w:t>
      </w:r>
      <w:r w:rsidR="00374CDD" w:rsidRPr="00813D19">
        <w:rPr>
          <w:bCs/>
          <w:lang w:val="en-US"/>
        </w:rPr>
        <w:t xml:space="preserve"> offer the Committee </w:t>
      </w:r>
      <w:r w:rsidR="001E5E85" w:rsidRPr="00813D19">
        <w:rPr>
          <w:bCs/>
          <w:lang w:val="en-US"/>
        </w:rPr>
        <w:t xml:space="preserve">its </w:t>
      </w:r>
      <w:r w:rsidR="00374CDD" w:rsidRPr="00813D19">
        <w:rPr>
          <w:bCs/>
          <w:lang w:val="en-US"/>
        </w:rPr>
        <w:t>experience and methodology in tertiary education and in workshops</w:t>
      </w:r>
      <w:r w:rsidR="001E5E85" w:rsidRPr="00813D19">
        <w:rPr>
          <w:bCs/>
          <w:lang w:val="en-US"/>
        </w:rPr>
        <w:t>,</w:t>
      </w:r>
      <w:r w:rsidR="00374CDD" w:rsidRPr="00813D19">
        <w:rPr>
          <w:bCs/>
          <w:lang w:val="en-US"/>
        </w:rPr>
        <w:t xml:space="preserve"> as well </w:t>
      </w:r>
      <w:r w:rsidR="001E5E85" w:rsidRPr="00813D19">
        <w:rPr>
          <w:bCs/>
          <w:lang w:val="en-US"/>
        </w:rPr>
        <w:t xml:space="preserve">as its </w:t>
      </w:r>
      <w:r w:rsidR="00374CDD" w:rsidRPr="00813D19">
        <w:rPr>
          <w:bCs/>
          <w:lang w:val="en-US"/>
        </w:rPr>
        <w:t xml:space="preserve">experiences </w:t>
      </w:r>
      <w:r w:rsidR="001E5E85" w:rsidRPr="00813D19">
        <w:rPr>
          <w:bCs/>
          <w:lang w:val="en-US"/>
        </w:rPr>
        <w:t xml:space="preserve">in </w:t>
      </w:r>
      <w:r w:rsidR="00374CDD" w:rsidRPr="00813D19">
        <w:rPr>
          <w:bCs/>
          <w:lang w:val="en-US"/>
        </w:rPr>
        <w:t>safeguarding traditional customs and knowledge in vulnerable communities throughout the</w:t>
      </w:r>
      <w:r w:rsidR="00B67A60">
        <w:rPr>
          <w:bCs/>
          <w:lang w:val="en-US"/>
        </w:rPr>
        <w:t xml:space="preserve"> different regions of Colombia.</w:t>
      </w:r>
    </w:p>
    <w:p w14:paraId="422B6F3F" w14:textId="61FF1268" w:rsidR="00FC6E07" w:rsidRPr="00813D19" w:rsidRDefault="0093136D" w:rsidP="002018F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Azerbaijan</w:t>
      </w:r>
      <w:r w:rsidR="00374CDD" w:rsidRPr="00813D19">
        <w:rPr>
          <w:b/>
          <w:color w:val="000000" w:themeColor="text1"/>
          <w:lang w:val="en-US"/>
        </w:rPr>
        <w:t xml:space="preserve"> </w:t>
      </w:r>
      <w:r w:rsidR="00374CDD" w:rsidRPr="00813D19">
        <w:rPr>
          <w:bCs/>
          <w:lang w:val="en-US"/>
        </w:rPr>
        <w:t>thank</w:t>
      </w:r>
      <w:r w:rsidR="00136006" w:rsidRPr="00813D19">
        <w:rPr>
          <w:bCs/>
          <w:lang w:val="en-US"/>
        </w:rPr>
        <w:t>ed</w:t>
      </w:r>
      <w:r w:rsidR="00374CDD" w:rsidRPr="00813D19">
        <w:rPr>
          <w:bCs/>
          <w:lang w:val="en-US"/>
        </w:rPr>
        <w:t xml:space="preserve"> the Secretariat for </w:t>
      </w:r>
      <w:r w:rsidR="00B46BC5" w:rsidRPr="00813D19">
        <w:rPr>
          <w:bCs/>
          <w:lang w:val="en-US"/>
        </w:rPr>
        <w:t xml:space="preserve">its </w:t>
      </w:r>
      <w:r w:rsidR="00374CDD" w:rsidRPr="00813D19">
        <w:rPr>
          <w:bCs/>
          <w:lang w:val="en-US"/>
        </w:rPr>
        <w:t xml:space="preserve">detailed report on </w:t>
      </w:r>
      <w:r w:rsidR="00B46BC5" w:rsidRPr="00813D19">
        <w:rPr>
          <w:bCs/>
          <w:lang w:val="en-US"/>
        </w:rPr>
        <w:t xml:space="preserve">the </w:t>
      </w:r>
      <w:r w:rsidR="00374CDD" w:rsidRPr="00813D19">
        <w:rPr>
          <w:bCs/>
          <w:lang w:val="en-US"/>
        </w:rPr>
        <w:t>contribution</w:t>
      </w:r>
      <w:r w:rsidR="00B46BC5" w:rsidRPr="00813D19">
        <w:rPr>
          <w:bCs/>
          <w:lang w:val="en-US"/>
        </w:rPr>
        <w:t>s</w:t>
      </w:r>
      <w:r w:rsidR="00C84B99" w:rsidRPr="00813D19">
        <w:rPr>
          <w:bCs/>
          <w:lang w:val="en-US"/>
        </w:rPr>
        <w:t xml:space="preserve"> to the ICH Fund, </w:t>
      </w:r>
      <w:r w:rsidR="00374CDD" w:rsidRPr="00813D19">
        <w:rPr>
          <w:bCs/>
          <w:lang w:val="en-US"/>
        </w:rPr>
        <w:t>join</w:t>
      </w:r>
      <w:r w:rsidR="00C84B99" w:rsidRPr="00813D19">
        <w:rPr>
          <w:bCs/>
          <w:lang w:val="en-US"/>
        </w:rPr>
        <w:t>ing</w:t>
      </w:r>
      <w:r w:rsidR="00374CDD" w:rsidRPr="00813D19">
        <w:rPr>
          <w:bCs/>
          <w:lang w:val="en-US"/>
        </w:rPr>
        <w:t xml:space="preserve"> the other delegations in expressing its full appreciation to the countries that </w:t>
      </w:r>
      <w:r w:rsidR="00C84B99" w:rsidRPr="00813D19">
        <w:rPr>
          <w:bCs/>
          <w:lang w:val="en-US"/>
        </w:rPr>
        <w:t xml:space="preserve">had </w:t>
      </w:r>
      <w:r w:rsidR="00374CDD" w:rsidRPr="00813D19">
        <w:rPr>
          <w:bCs/>
          <w:lang w:val="en-US"/>
        </w:rPr>
        <w:t xml:space="preserve">provided support to the Convention since the Committee’s last session. </w:t>
      </w:r>
      <w:r w:rsidR="00C84B99" w:rsidRPr="00813D19">
        <w:rPr>
          <w:bCs/>
          <w:lang w:val="en-US"/>
        </w:rPr>
        <w:t xml:space="preserve">It also </w:t>
      </w:r>
      <w:r w:rsidR="00374CDD" w:rsidRPr="00813D19">
        <w:rPr>
          <w:bCs/>
          <w:lang w:val="en-US"/>
        </w:rPr>
        <w:t>thank</w:t>
      </w:r>
      <w:r w:rsidR="00C84B99" w:rsidRPr="00813D19">
        <w:rPr>
          <w:bCs/>
          <w:lang w:val="en-US"/>
        </w:rPr>
        <w:t>ed</w:t>
      </w:r>
      <w:r w:rsidR="00374CDD" w:rsidRPr="00813D19">
        <w:rPr>
          <w:bCs/>
          <w:lang w:val="en-US"/>
        </w:rPr>
        <w:t xml:space="preserve"> the Government of Japan for </w:t>
      </w:r>
      <w:r w:rsidR="00C84B99" w:rsidRPr="00813D19">
        <w:rPr>
          <w:bCs/>
          <w:lang w:val="en-US"/>
        </w:rPr>
        <w:t xml:space="preserve">its </w:t>
      </w:r>
      <w:r w:rsidR="00374CDD" w:rsidRPr="00813D19">
        <w:rPr>
          <w:bCs/>
          <w:lang w:val="en-US"/>
        </w:rPr>
        <w:t>contribution</w:t>
      </w:r>
      <w:r w:rsidR="00C84B99" w:rsidRPr="00813D19">
        <w:rPr>
          <w:bCs/>
          <w:lang w:val="en-US"/>
        </w:rPr>
        <w:t>s</w:t>
      </w:r>
      <w:r w:rsidR="00374CDD" w:rsidRPr="00813D19">
        <w:rPr>
          <w:bCs/>
          <w:lang w:val="en-US"/>
        </w:rPr>
        <w:t xml:space="preserve"> to the ICH Fund for launching this very important reflection process on the </w:t>
      </w:r>
      <w:r w:rsidR="00B32893" w:rsidRPr="00813D19">
        <w:rPr>
          <w:bCs/>
          <w:lang w:val="en-US"/>
        </w:rPr>
        <w:t>removal of an element from a L</w:t>
      </w:r>
      <w:r w:rsidR="00374CDD" w:rsidRPr="00813D19">
        <w:rPr>
          <w:bCs/>
          <w:lang w:val="en-US"/>
        </w:rPr>
        <w:t xml:space="preserve">ist </w:t>
      </w:r>
      <w:r w:rsidR="00B32893" w:rsidRPr="00813D19">
        <w:rPr>
          <w:bCs/>
          <w:lang w:val="en-US"/>
        </w:rPr>
        <w:t xml:space="preserve">and </w:t>
      </w:r>
      <w:r w:rsidR="00DA05A6">
        <w:rPr>
          <w:bCs/>
          <w:lang w:val="en-US"/>
        </w:rPr>
        <w:t>its transfer</w:t>
      </w:r>
      <w:r w:rsidR="00B32893" w:rsidRPr="00813D19">
        <w:rPr>
          <w:bCs/>
          <w:lang w:val="en-US"/>
        </w:rPr>
        <w:t xml:space="preserve"> to another L</w:t>
      </w:r>
      <w:r w:rsidR="00374CDD" w:rsidRPr="00813D19">
        <w:rPr>
          <w:bCs/>
          <w:lang w:val="en-US"/>
        </w:rPr>
        <w:t>ist</w:t>
      </w:r>
      <w:r w:rsidR="00C84B99" w:rsidRPr="00813D19">
        <w:rPr>
          <w:bCs/>
          <w:lang w:val="en-US"/>
        </w:rPr>
        <w:t>,</w:t>
      </w:r>
      <w:r w:rsidR="00374CDD" w:rsidRPr="00813D19">
        <w:rPr>
          <w:bCs/>
          <w:lang w:val="en-US"/>
        </w:rPr>
        <w:t xml:space="preserve"> as well as on the nature and purpo</w:t>
      </w:r>
      <w:r w:rsidR="00C84B99" w:rsidRPr="00813D19">
        <w:rPr>
          <w:bCs/>
          <w:lang w:val="en-US"/>
        </w:rPr>
        <w:t>ses of the Lists and the R</w:t>
      </w:r>
      <w:r w:rsidR="00374CDD" w:rsidRPr="00813D19">
        <w:rPr>
          <w:bCs/>
          <w:lang w:val="en-US"/>
        </w:rPr>
        <w:t xml:space="preserve">egister established under the Convention. </w:t>
      </w:r>
      <w:r w:rsidR="00C84B99" w:rsidRPr="00813D19">
        <w:rPr>
          <w:bCs/>
          <w:lang w:val="en-US"/>
        </w:rPr>
        <w:t xml:space="preserve">The </w:t>
      </w:r>
      <w:r w:rsidR="00374CDD" w:rsidRPr="00813D19">
        <w:rPr>
          <w:bCs/>
          <w:lang w:val="en-US"/>
        </w:rPr>
        <w:t xml:space="preserve">delegation </w:t>
      </w:r>
      <w:r w:rsidR="00C84B99" w:rsidRPr="00813D19">
        <w:rPr>
          <w:bCs/>
          <w:lang w:val="en-US"/>
        </w:rPr>
        <w:t xml:space="preserve">was </w:t>
      </w:r>
      <w:r w:rsidR="00374CDD" w:rsidRPr="00813D19">
        <w:rPr>
          <w:bCs/>
          <w:lang w:val="en-US"/>
        </w:rPr>
        <w:t>confident that this work w</w:t>
      </w:r>
      <w:r w:rsidR="00DA05A6">
        <w:rPr>
          <w:bCs/>
          <w:lang w:val="en-US"/>
        </w:rPr>
        <w:t>ould</w:t>
      </w:r>
      <w:r w:rsidR="00374CDD" w:rsidRPr="00813D19">
        <w:rPr>
          <w:bCs/>
          <w:lang w:val="en-US"/>
        </w:rPr>
        <w:t xml:space="preserve"> help clarify multiple questions linked to the status of the elements inscribed</w:t>
      </w:r>
      <w:r w:rsidR="00C84B99" w:rsidRPr="00813D19">
        <w:rPr>
          <w:bCs/>
          <w:lang w:val="en-US"/>
        </w:rPr>
        <w:t>,</w:t>
      </w:r>
      <w:r w:rsidR="00374CDD" w:rsidRPr="00813D19">
        <w:rPr>
          <w:bCs/>
          <w:lang w:val="en-US"/>
        </w:rPr>
        <w:t xml:space="preserve"> </w:t>
      </w:r>
      <w:r w:rsidR="00C84B99" w:rsidRPr="00813D19">
        <w:rPr>
          <w:bCs/>
          <w:lang w:val="en-US"/>
        </w:rPr>
        <w:t>as well as the purpose of the inscription,</w:t>
      </w:r>
      <w:r w:rsidR="00374CDD" w:rsidRPr="00813D19">
        <w:rPr>
          <w:bCs/>
          <w:lang w:val="en-US"/>
        </w:rPr>
        <w:t xml:space="preserve"> confirm</w:t>
      </w:r>
      <w:r w:rsidR="00C84B99" w:rsidRPr="00813D19">
        <w:rPr>
          <w:bCs/>
          <w:lang w:val="en-US"/>
        </w:rPr>
        <w:t>ing</w:t>
      </w:r>
      <w:r w:rsidR="00374CDD" w:rsidRPr="00813D19">
        <w:rPr>
          <w:bCs/>
          <w:lang w:val="en-US"/>
        </w:rPr>
        <w:t xml:space="preserve"> </w:t>
      </w:r>
      <w:r w:rsidR="00C84B99" w:rsidRPr="00813D19">
        <w:rPr>
          <w:bCs/>
          <w:lang w:val="en-US"/>
        </w:rPr>
        <w:t xml:space="preserve">its own </w:t>
      </w:r>
      <w:r w:rsidR="00374CDD" w:rsidRPr="00813D19">
        <w:rPr>
          <w:bCs/>
          <w:lang w:val="en-US"/>
        </w:rPr>
        <w:t xml:space="preserve">active participation in this reflection process. </w:t>
      </w:r>
      <w:r w:rsidR="00C84B99" w:rsidRPr="00813D19">
        <w:rPr>
          <w:bCs/>
          <w:lang w:val="en-US"/>
        </w:rPr>
        <w:t xml:space="preserve">The </w:t>
      </w:r>
      <w:r w:rsidR="00374CDD" w:rsidRPr="00813D19">
        <w:rPr>
          <w:bCs/>
          <w:lang w:val="en-US"/>
        </w:rPr>
        <w:t>delegation also share</w:t>
      </w:r>
      <w:r w:rsidR="00C84B99" w:rsidRPr="00813D19">
        <w:rPr>
          <w:bCs/>
          <w:lang w:val="en-US"/>
        </w:rPr>
        <w:t>d</w:t>
      </w:r>
      <w:r w:rsidR="00374CDD" w:rsidRPr="00813D19">
        <w:rPr>
          <w:bCs/>
          <w:lang w:val="en-US"/>
        </w:rPr>
        <w:t xml:space="preserve"> </w:t>
      </w:r>
      <w:r w:rsidR="00C84B99" w:rsidRPr="00813D19">
        <w:rPr>
          <w:bCs/>
          <w:lang w:val="en-US"/>
        </w:rPr>
        <w:t xml:space="preserve">its </w:t>
      </w:r>
      <w:r w:rsidR="00374CDD" w:rsidRPr="00813D19">
        <w:rPr>
          <w:bCs/>
          <w:lang w:val="en-US"/>
        </w:rPr>
        <w:t xml:space="preserve">concerns with the decline </w:t>
      </w:r>
      <w:r w:rsidR="00DA05A6">
        <w:rPr>
          <w:bCs/>
          <w:lang w:val="en-US"/>
        </w:rPr>
        <w:t>in</w:t>
      </w:r>
      <w:r w:rsidR="00DA05A6" w:rsidRPr="00813D19">
        <w:rPr>
          <w:bCs/>
          <w:lang w:val="en-US"/>
        </w:rPr>
        <w:t xml:space="preserve"> </w:t>
      </w:r>
      <w:r w:rsidR="00374CDD" w:rsidRPr="00813D19">
        <w:rPr>
          <w:bCs/>
          <w:lang w:val="en-US"/>
        </w:rPr>
        <w:t xml:space="preserve">extrabudgetary resources to the </w:t>
      </w:r>
      <w:r w:rsidR="00DA05A6">
        <w:rPr>
          <w:bCs/>
          <w:lang w:val="en-US"/>
        </w:rPr>
        <w:t xml:space="preserve">Secretariat’s </w:t>
      </w:r>
      <w:r w:rsidR="00374CDD" w:rsidRPr="00813D19">
        <w:rPr>
          <w:bCs/>
          <w:lang w:val="en-US"/>
        </w:rPr>
        <w:t xml:space="preserve">capacity-building strategy, which </w:t>
      </w:r>
      <w:r w:rsidR="00DA05A6">
        <w:rPr>
          <w:bCs/>
          <w:lang w:val="en-US"/>
        </w:rPr>
        <w:t>was</w:t>
      </w:r>
      <w:r w:rsidR="00DA05A6" w:rsidRPr="00813D19">
        <w:rPr>
          <w:bCs/>
          <w:lang w:val="en-US"/>
        </w:rPr>
        <w:t xml:space="preserve"> </w:t>
      </w:r>
      <w:r w:rsidR="00374CDD" w:rsidRPr="00813D19">
        <w:rPr>
          <w:bCs/>
          <w:lang w:val="en-US"/>
        </w:rPr>
        <w:t xml:space="preserve">one of the instrumental ways to better implement the Convention. Azerbaijan is one of the supporters of the Secretariat for capacity-building projects, which provides States Parties with a better understanding of the Convention and serves </w:t>
      </w:r>
      <w:r w:rsidR="00C84B99" w:rsidRPr="00813D19">
        <w:rPr>
          <w:bCs/>
          <w:lang w:val="en-US"/>
        </w:rPr>
        <w:t>to implement</w:t>
      </w:r>
      <w:r w:rsidR="00374CDD" w:rsidRPr="00813D19">
        <w:rPr>
          <w:bCs/>
          <w:lang w:val="en-US"/>
        </w:rPr>
        <w:t xml:space="preserve"> </w:t>
      </w:r>
      <w:r w:rsidR="00B32893" w:rsidRPr="00813D19">
        <w:rPr>
          <w:bCs/>
          <w:lang w:val="en-US"/>
        </w:rPr>
        <w:t xml:space="preserve">it </w:t>
      </w:r>
      <w:r w:rsidR="00C84B99" w:rsidRPr="00813D19">
        <w:rPr>
          <w:bCs/>
          <w:lang w:val="en-US"/>
        </w:rPr>
        <w:t>more efficiently</w:t>
      </w:r>
      <w:r w:rsidR="00374CDD" w:rsidRPr="00813D19">
        <w:rPr>
          <w:bCs/>
          <w:lang w:val="en-US"/>
        </w:rPr>
        <w:t xml:space="preserve">. </w:t>
      </w:r>
      <w:r w:rsidR="00C84B99" w:rsidRPr="00813D19">
        <w:rPr>
          <w:bCs/>
          <w:lang w:val="en-US"/>
        </w:rPr>
        <w:t xml:space="preserve">With regard </w:t>
      </w:r>
      <w:r w:rsidR="00374CDD" w:rsidRPr="00813D19">
        <w:rPr>
          <w:bCs/>
          <w:lang w:val="en-US"/>
        </w:rPr>
        <w:t xml:space="preserve">to </w:t>
      </w:r>
      <w:r w:rsidR="00C84B99" w:rsidRPr="00813D19">
        <w:rPr>
          <w:bCs/>
          <w:lang w:val="en-US"/>
        </w:rPr>
        <w:t xml:space="preserve">management cost rates, it was </w:t>
      </w:r>
      <w:r w:rsidR="00114565" w:rsidRPr="00813D19">
        <w:rPr>
          <w:bCs/>
          <w:lang w:val="en-US"/>
        </w:rPr>
        <w:t>recalled</w:t>
      </w:r>
      <w:r w:rsidR="00C84B99" w:rsidRPr="00813D19">
        <w:rPr>
          <w:bCs/>
          <w:lang w:val="en-US"/>
        </w:rPr>
        <w:t xml:space="preserve"> that the UNESCO Executive Board </w:t>
      </w:r>
      <w:r w:rsidR="00DA05A6">
        <w:rPr>
          <w:bCs/>
          <w:lang w:val="en-US"/>
        </w:rPr>
        <w:t xml:space="preserve">had </w:t>
      </w:r>
      <w:r w:rsidR="00374CDD" w:rsidRPr="00813D19">
        <w:rPr>
          <w:bCs/>
          <w:lang w:val="en-US"/>
        </w:rPr>
        <w:t xml:space="preserve">decided to </w:t>
      </w:r>
      <w:r w:rsidR="00C84B99" w:rsidRPr="00813D19">
        <w:rPr>
          <w:bCs/>
          <w:lang w:val="en-US"/>
        </w:rPr>
        <w:t>apply a rate of 7</w:t>
      </w:r>
      <w:r w:rsidR="00DA05A6">
        <w:rPr>
          <w:bCs/>
          <w:lang w:val="en-US"/>
        </w:rPr>
        <w:t xml:space="preserve"> per cent</w:t>
      </w:r>
      <w:r w:rsidR="00DA05A6" w:rsidRPr="00813D19">
        <w:rPr>
          <w:bCs/>
          <w:lang w:val="en-US"/>
        </w:rPr>
        <w:t xml:space="preserve">. </w:t>
      </w:r>
      <w:r w:rsidR="00114565" w:rsidRPr="00813D19">
        <w:rPr>
          <w:bCs/>
          <w:lang w:val="en-US"/>
        </w:rPr>
        <w:t>C</w:t>
      </w:r>
      <w:r w:rsidR="00374CDD" w:rsidRPr="00813D19">
        <w:rPr>
          <w:bCs/>
          <w:lang w:val="en-US"/>
        </w:rPr>
        <w:t>onsidering the 2004 Board decision to allow the governing bodies to undertake necessary consultations with the Committee</w:t>
      </w:r>
      <w:r w:rsidR="00114565" w:rsidRPr="00813D19">
        <w:rPr>
          <w:bCs/>
          <w:lang w:val="en-US"/>
        </w:rPr>
        <w:t xml:space="preserve">, the delegation </w:t>
      </w:r>
      <w:r w:rsidR="00374CDD" w:rsidRPr="00813D19">
        <w:rPr>
          <w:bCs/>
          <w:lang w:val="en-US"/>
        </w:rPr>
        <w:t>wonder</w:t>
      </w:r>
      <w:r w:rsidR="00114565" w:rsidRPr="00813D19">
        <w:rPr>
          <w:bCs/>
          <w:lang w:val="en-US"/>
        </w:rPr>
        <w:t>ed</w:t>
      </w:r>
      <w:r w:rsidR="00374CDD" w:rsidRPr="00813D19">
        <w:rPr>
          <w:bCs/>
          <w:lang w:val="en-US"/>
        </w:rPr>
        <w:t xml:space="preserve"> </w:t>
      </w:r>
      <w:r w:rsidR="00114565" w:rsidRPr="00813D19">
        <w:rPr>
          <w:bCs/>
          <w:lang w:val="en-US"/>
        </w:rPr>
        <w:t xml:space="preserve">whether </w:t>
      </w:r>
      <w:r w:rsidR="00374CDD" w:rsidRPr="00813D19">
        <w:rPr>
          <w:bCs/>
          <w:lang w:val="en-US"/>
        </w:rPr>
        <w:t xml:space="preserve">any consultation </w:t>
      </w:r>
      <w:r w:rsidR="00114565" w:rsidRPr="00813D19">
        <w:rPr>
          <w:bCs/>
          <w:lang w:val="en-US"/>
        </w:rPr>
        <w:t xml:space="preserve">was </w:t>
      </w:r>
      <w:r w:rsidR="00374CDD" w:rsidRPr="00813D19">
        <w:rPr>
          <w:bCs/>
          <w:lang w:val="en-US"/>
        </w:rPr>
        <w:t xml:space="preserve">planned between the </w:t>
      </w:r>
      <w:r w:rsidR="00114565" w:rsidRPr="00813D19">
        <w:rPr>
          <w:bCs/>
          <w:lang w:val="en-US"/>
        </w:rPr>
        <w:t xml:space="preserve">Committee </w:t>
      </w:r>
      <w:r w:rsidR="00374CDD" w:rsidRPr="00813D19">
        <w:rPr>
          <w:bCs/>
          <w:lang w:val="en-US"/>
        </w:rPr>
        <w:t>sessions and</w:t>
      </w:r>
      <w:r w:rsidR="00114565" w:rsidRPr="00813D19">
        <w:rPr>
          <w:bCs/>
          <w:lang w:val="en-US"/>
        </w:rPr>
        <w:t>,</w:t>
      </w:r>
      <w:r w:rsidR="00374CDD" w:rsidRPr="00813D19">
        <w:rPr>
          <w:bCs/>
          <w:lang w:val="en-US"/>
        </w:rPr>
        <w:t xml:space="preserve"> if so</w:t>
      </w:r>
      <w:r w:rsidR="00114565" w:rsidRPr="00813D19">
        <w:rPr>
          <w:bCs/>
          <w:lang w:val="en-US"/>
        </w:rPr>
        <w:t>,</w:t>
      </w:r>
      <w:r w:rsidR="00374CDD" w:rsidRPr="00813D19">
        <w:rPr>
          <w:bCs/>
          <w:lang w:val="en-US"/>
        </w:rPr>
        <w:t xml:space="preserve"> what the timing and format of such </w:t>
      </w:r>
      <w:r w:rsidR="00114565" w:rsidRPr="00813D19">
        <w:rPr>
          <w:bCs/>
          <w:lang w:val="en-US"/>
        </w:rPr>
        <w:t xml:space="preserve">a </w:t>
      </w:r>
      <w:r w:rsidR="00374CDD" w:rsidRPr="00813D19">
        <w:rPr>
          <w:bCs/>
          <w:lang w:val="en-US"/>
        </w:rPr>
        <w:t>consultation</w:t>
      </w:r>
      <w:r w:rsidR="00DA05A6">
        <w:rPr>
          <w:bCs/>
          <w:lang w:val="en-US"/>
        </w:rPr>
        <w:t xml:space="preserve"> would be</w:t>
      </w:r>
      <w:r w:rsidR="00374CDD" w:rsidRPr="00813D19">
        <w:rPr>
          <w:bCs/>
          <w:lang w:val="en-US"/>
        </w:rPr>
        <w:t>.</w:t>
      </w:r>
    </w:p>
    <w:p w14:paraId="471CFA2F" w14:textId="5E1A4811" w:rsidR="00374CDD" w:rsidRPr="00813D19" w:rsidRDefault="00114565" w:rsidP="002018FA">
      <w:pPr>
        <w:pStyle w:val="Orateurengris"/>
        <w:spacing w:before="120"/>
        <w:ind w:left="709" w:hanging="709"/>
        <w:rPr>
          <w:color w:val="000000" w:themeColor="text1"/>
          <w:lang w:val="en-US"/>
        </w:rPr>
      </w:pPr>
      <w:r w:rsidRPr="00813D19">
        <w:rPr>
          <w:color w:val="000000" w:themeColor="text1"/>
          <w:lang w:val="en-US"/>
        </w:rPr>
        <w:t>In</w:t>
      </w:r>
      <w:r w:rsidRPr="00813D19">
        <w:rPr>
          <w:b/>
          <w:color w:val="000000" w:themeColor="text1"/>
          <w:lang w:val="en-US"/>
        </w:rPr>
        <w:t xml:space="preserve"> </w:t>
      </w:r>
      <w:r w:rsidRPr="00813D19">
        <w:rPr>
          <w:bCs/>
          <w:lang w:val="en-US"/>
        </w:rPr>
        <w:t>line with the statement made by Palestine,</w:t>
      </w:r>
      <w:r w:rsidRPr="00813D19">
        <w:rPr>
          <w:color w:val="000000" w:themeColor="text1"/>
          <w:lang w:val="en-US"/>
        </w:rPr>
        <w:t xml:space="preserve"> t</w:t>
      </w:r>
      <w:r w:rsidR="00374CDD" w:rsidRPr="00813D19">
        <w:rPr>
          <w:color w:val="000000" w:themeColor="text1"/>
          <w:lang w:val="en-US"/>
        </w:rPr>
        <w:t>he</w:t>
      </w:r>
      <w:r w:rsidR="00374CDD" w:rsidRPr="00813D19">
        <w:rPr>
          <w:b/>
          <w:color w:val="000000" w:themeColor="text1"/>
          <w:lang w:val="en-US"/>
        </w:rPr>
        <w:t xml:space="preserve"> dele</w:t>
      </w:r>
      <w:r w:rsidRPr="00813D19">
        <w:rPr>
          <w:b/>
          <w:color w:val="000000" w:themeColor="text1"/>
          <w:lang w:val="en-US"/>
        </w:rPr>
        <w:t>g</w:t>
      </w:r>
      <w:r w:rsidR="00374CDD" w:rsidRPr="00813D19">
        <w:rPr>
          <w:b/>
          <w:color w:val="000000" w:themeColor="text1"/>
          <w:lang w:val="en-US"/>
        </w:rPr>
        <w:t xml:space="preserve">ation of </w:t>
      </w:r>
      <w:r w:rsidR="000953A7">
        <w:rPr>
          <w:b/>
          <w:color w:val="000000" w:themeColor="text1"/>
          <w:lang w:val="en-US"/>
        </w:rPr>
        <w:t xml:space="preserve">the </w:t>
      </w:r>
      <w:r w:rsidR="00374CDD" w:rsidRPr="00813D19">
        <w:rPr>
          <w:b/>
          <w:color w:val="000000" w:themeColor="text1"/>
          <w:lang w:val="en-US"/>
        </w:rPr>
        <w:t>Philippines</w:t>
      </w:r>
      <w:r w:rsidRPr="00813D19">
        <w:rPr>
          <w:bCs/>
          <w:lang w:val="en-US"/>
        </w:rPr>
        <w:t xml:space="preserve"> noted in regard to </w:t>
      </w:r>
      <w:r w:rsidR="00374CDD" w:rsidRPr="00813D19">
        <w:rPr>
          <w:bCs/>
          <w:lang w:val="en-US"/>
        </w:rPr>
        <w:t>the timeline of the reflection on the listing mechanisms</w:t>
      </w:r>
      <w:r w:rsidR="00B32893" w:rsidRPr="00813D19">
        <w:rPr>
          <w:bCs/>
          <w:lang w:val="en-US"/>
        </w:rPr>
        <w:t xml:space="preserve"> that </w:t>
      </w:r>
      <w:r w:rsidRPr="00813D19">
        <w:rPr>
          <w:bCs/>
          <w:lang w:val="en-US"/>
        </w:rPr>
        <w:t>the preparatory e</w:t>
      </w:r>
      <w:r w:rsidR="00374CDD" w:rsidRPr="00813D19">
        <w:rPr>
          <w:bCs/>
          <w:lang w:val="en-US"/>
        </w:rPr>
        <w:t xml:space="preserve">xperts meeting supported by Japan </w:t>
      </w:r>
      <w:r w:rsidRPr="00813D19">
        <w:rPr>
          <w:bCs/>
          <w:lang w:val="en-US"/>
        </w:rPr>
        <w:t xml:space="preserve">was </w:t>
      </w:r>
      <w:r w:rsidR="00374CDD" w:rsidRPr="00813D19">
        <w:rPr>
          <w:bCs/>
          <w:lang w:val="en-US"/>
        </w:rPr>
        <w:t>scheduled in 2019</w:t>
      </w:r>
      <w:r w:rsidRPr="00813D19">
        <w:rPr>
          <w:bCs/>
          <w:lang w:val="en-US"/>
        </w:rPr>
        <w:t>, b</w:t>
      </w:r>
      <w:r w:rsidR="00374CDD" w:rsidRPr="00813D19">
        <w:rPr>
          <w:bCs/>
          <w:lang w:val="en-US"/>
        </w:rPr>
        <w:t xml:space="preserve">ut the open-ended intergovernmental working group on the matter </w:t>
      </w:r>
      <w:r w:rsidRPr="00813D19">
        <w:rPr>
          <w:bCs/>
          <w:lang w:val="en-US"/>
        </w:rPr>
        <w:t xml:space="preserve">was only </w:t>
      </w:r>
      <w:r w:rsidR="00374CDD" w:rsidRPr="00813D19">
        <w:rPr>
          <w:bCs/>
          <w:lang w:val="en-US"/>
        </w:rPr>
        <w:t xml:space="preserve">proposed </w:t>
      </w:r>
      <w:r w:rsidRPr="00813D19">
        <w:rPr>
          <w:bCs/>
          <w:lang w:val="en-US"/>
        </w:rPr>
        <w:t xml:space="preserve">in </w:t>
      </w:r>
      <w:r w:rsidR="00374CDD" w:rsidRPr="00813D19">
        <w:rPr>
          <w:bCs/>
          <w:lang w:val="en-US"/>
        </w:rPr>
        <w:t xml:space="preserve">2021, </w:t>
      </w:r>
      <w:r w:rsidRPr="00813D19">
        <w:rPr>
          <w:bCs/>
          <w:lang w:val="en-US"/>
        </w:rPr>
        <w:t xml:space="preserve">i.e. in </w:t>
      </w:r>
      <w:r w:rsidR="00374CDD" w:rsidRPr="00813D19">
        <w:rPr>
          <w:bCs/>
          <w:lang w:val="en-US"/>
        </w:rPr>
        <w:t xml:space="preserve">three years from now. Based on the </w:t>
      </w:r>
      <w:r w:rsidRPr="00813D19">
        <w:rPr>
          <w:bCs/>
          <w:lang w:val="en-US"/>
        </w:rPr>
        <w:t xml:space="preserve">proposed </w:t>
      </w:r>
      <w:r w:rsidR="00374CDD" w:rsidRPr="00813D19">
        <w:rPr>
          <w:bCs/>
          <w:lang w:val="en-US"/>
        </w:rPr>
        <w:t>timeline</w:t>
      </w:r>
      <w:r w:rsidRPr="00813D19">
        <w:rPr>
          <w:bCs/>
          <w:lang w:val="en-US"/>
        </w:rPr>
        <w:t>,</w:t>
      </w:r>
      <w:r w:rsidR="00374CDD" w:rsidRPr="00813D19">
        <w:rPr>
          <w:bCs/>
          <w:lang w:val="en-US"/>
        </w:rPr>
        <w:t xml:space="preserve"> any suggested amendments to the Oper</w:t>
      </w:r>
      <w:r w:rsidR="00B32893" w:rsidRPr="00813D19">
        <w:rPr>
          <w:bCs/>
          <w:lang w:val="en-US"/>
        </w:rPr>
        <w:t>ational Directives would only be</w:t>
      </w:r>
      <w:r w:rsidR="00374CDD" w:rsidRPr="00813D19">
        <w:rPr>
          <w:bCs/>
          <w:lang w:val="en-US"/>
        </w:rPr>
        <w:t xml:space="preserve"> taken up by the General Assembly in 2022, </w:t>
      </w:r>
      <w:r w:rsidRPr="00813D19">
        <w:rPr>
          <w:bCs/>
          <w:lang w:val="en-US"/>
        </w:rPr>
        <w:t xml:space="preserve">i.e. </w:t>
      </w:r>
      <w:r w:rsidR="00374CDD" w:rsidRPr="00813D19">
        <w:rPr>
          <w:bCs/>
          <w:lang w:val="en-US"/>
        </w:rPr>
        <w:t xml:space="preserve">four years </w:t>
      </w:r>
      <w:r w:rsidRPr="00813D19">
        <w:rPr>
          <w:bCs/>
          <w:lang w:val="en-US"/>
        </w:rPr>
        <w:t xml:space="preserve">from now, at a time </w:t>
      </w:r>
      <w:r w:rsidR="00374CDD" w:rsidRPr="00813D19">
        <w:rPr>
          <w:bCs/>
          <w:lang w:val="en-US"/>
        </w:rPr>
        <w:t xml:space="preserve">when addressing these matters </w:t>
      </w:r>
      <w:r w:rsidRPr="00813D19">
        <w:rPr>
          <w:bCs/>
          <w:lang w:val="en-US"/>
        </w:rPr>
        <w:t xml:space="preserve">appeared </w:t>
      </w:r>
      <w:r w:rsidR="00374CDD" w:rsidRPr="00813D19">
        <w:rPr>
          <w:bCs/>
          <w:lang w:val="en-US"/>
        </w:rPr>
        <w:t xml:space="preserve">urgent. In this regard, </w:t>
      </w:r>
      <w:r w:rsidRPr="00813D19">
        <w:rPr>
          <w:bCs/>
          <w:lang w:val="en-US"/>
        </w:rPr>
        <w:t xml:space="preserve">the delegation believed that </w:t>
      </w:r>
      <w:r w:rsidR="00374CDD" w:rsidRPr="00813D19">
        <w:rPr>
          <w:bCs/>
          <w:lang w:val="en-US"/>
        </w:rPr>
        <w:t xml:space="preserve">the General Assembly in 2020 should be </w:t>
      </w:r>
      <w:r w:rsidRPr="00813D19">
        <w:rPr>
          <w:bCs/>
          <w:lang w:val="en-US"/>
        </w:rPr>
        <w:t xml:space="preserve">used </w:t>
      </w:r>
      <w:r w:rsidR="00374CDD" w:rsidRPr="00813D19">
        <w:rPr>
          <w:bCs/>
          <w:lang w:val="en-US"/>
        </w:rPr>
        <w:t xml:space="preserve">to adopt amendments </w:t>
      </w:r>
      <w:r w:rsidRPr="00813D19">
        <w:rPr>
          <w:bCs/>
          <w:lang w:val="en-US"/>
        </w:rPr>
        <w:t xml:space="preserve">to </w:t>
      </w:r>
      <w:r w:rsidR="00374CDD" w:rsidRPr="00813D19">
        <w:rPr>
          <w:bCs/>
          <w:lang w:val="en-US"/>
        </w:rPr>
        <w:t>the Operational Directives that could improve the system</w:t>
      </w:r>
      <w:r w:rsidRPr="00813D19">
        <w:rPr>
          <w:bCs/>
          <w:lang w:val="en-US"/>
        </w:rPr>
        <w:t>,</w:t>
      </w:r>
      <w:r w:rsidR="00374CDD" w:rsidRPr="00813D19">
        <w:rPr>
          <w:bCs/>
          <w:lang w:val="en-US"/>
        </w:rPr>
        <w:t xml:space="preserve"> especially if they were widely supported. It may thus be useful to hold an initial meeting of the intergovernmental working group in 2020</w:t>
      </w:r>
      <w:r w:rsidR="00DA05A6">
        <w:rPr>
          <w:bCs/>
          <w:lang w:val="en-US"/>
        </w:rPr>
        <w:t>,</w:t>
      </w:r>
      <w:r w:rsidR="00374CDD" w:rsidRPr="00813D19">
        <w:rPr>
          <w:bCs/>
          <w:lang w:val="en-US"/>
        </w:rPr>
        <w:t xml:space="preserve"> </w:t>
      </w:r>
      <w:r w:rsidR="00DA05A6">
        <w:rPr>
          <w:bCs/>
          <w:lang w:val="en-US"/>
        </w:rPr>
        <w:t>f</w:t>
      </w:r>
      <w:r w:rsidR="00DA05A6" w:rsidRPr="00813D19">
        <w:rPr>
          <w:bCs/>
          <w:lang w:val="en-US"/>
        </w:rPr>
        <w:t xml:space="preserve">ollowed </w:t>
      </w:r>
      <w:r w:rsidRPr="00813D19">
        <w:rPr>
          <w:bCs/>
          <w:lang w:val="en-US"/>
        </w:rPr>
        <w:t>by a</w:t>
      </w:r>
      <w:r w:rsidR="00374CDD" w:rsidRPr="00813D19">
        <w:rPr>
          <w:bCs/>
          <w:lang w:val="en-US"/>
        </w:rPr>
        <w:t>nother meeting in 2021 and 2022</w:t>
      </w:r>
      <w:r w:rsidRPr="00813D19">
        <w:rPr>
          <w:bCs/>
          <w:lang w:val="en-US"/>
        </w:rPr>
        <w:t>,</w:t>
      </w:r>
      <w:r w:rsidR="00374CDD" w:rsidRPr="00813D19">
        <w:rPr>
          <w:bCs/>
          <w:lang w:val="en-US"/>
        </w:rPr>
        <w:t xml:space="preserve"> as </w:t>
      </w:r>
      <w:r w:rsidR="00B32893" w:rsidRPr="00813D19">
        <w:rPr>
          <w:bCs/>
          <w:lang w:val="en-US"/>
        </w:rPr>
        <w:t xml:space="preserve">would be </w:t>
      </w:r>
      <w:r w:rsidR="00374CDD" w:rsidRPr="00813D19">
        <w:rPr>
          <w:bCs/>
          <w:lang w:val="en-US"/>
        </w:rPr>
        <w:t>necessary to continue the process of reform. Recognizing some of the comments made by the Secretariat on the complexities</w:t>
      </w:r>
      <w:r w:rsidRPr="00813D19">
        <w:rPr>
          <w:bCs/>
          <w:lang w:val="en-US"/>
        </w:rPr>
        <w:t xml:space="preserve"> and </w:t>
      </w:r>
      <w:r w:rsidR="00374CDD" w:rsidRPr="00813D19">
        <w:rPr>
          <w:bCs/>
          <w:lang w:val="en-US"/>
        </w:rPr>
        <w:t>suggested timeline</w:t>
      </w:r>
      <w:r w:rsidRPr="00813D19">
        <w:rPr>
          <w:bCs/>
          <w:lang w:val="en-US"/>
        </w:rPr>
        <w:t xml:space="preserve">, </w:t>
      </w:r>
      <w:r w:rsidR="00855D37" w:rsidRPr="00813D19">
        <w:rPr>
          <w:bCs/>
          <w:lang w:val="en-US"/>
        </w:rPr>
        <w:t>while</w:t>
      </w:r>
      <w:r w:rsidR="00B32893" w:rsidRPr="00813D19">
        <w:rPr>
          <w:bCs/>
          <w:lang w:val="en-US"/>
        </w:rPr>
        <w:t xml:space="preserve"> </w:t>
      </w:r>
      <w:r w:rsidR="00374CDD" w:rsidRPr="00813D19">
        <w:rPr>
          <w:bCs/>
          <w:lang w:val="en-US"/>
        </w:rPr>
        <w:t>keeping in place the present system until 2022</w:t>
      </w:r>
      <w:r w:rsidRPr="00813D19">
        <w:rPr>
          <w:bCs/>
          <w:lang w:val="en-US"/>
        </w:rPr>
        <w:t xml:space="preserve">, the delegation </w:t>
      </w:r>
      <w:r w:rsidR="00374CDD" w:rsidRPr="00813D19">
        <w:rPr>
          <w:bCs/>
          <w:lang w:val="en-US"/>
        </w:rPr>
        <w:t>urge</w:t>
      </w:r>
      <w:r w:rsidR="00B32893" w:rsidRPr="00813D19">
        <w:rPr>
          <w:bCs/>
          <w:lang w:val="en-US"/>
        </w:rPr>
        <w:t>d</w:t>
      </w:r>
      <w:r w:rsidR="00374CDD" w:rsidRPr="00813D19">
        <w:rPr>
          <w:bCs/>
          <w:lang w:val="en-US"/>
        </w:rPr>
        <w:t xml:space="preserve"> that the dial</w:t>
      </w:r>
      <w:r w:rsidR="00B67A60">
        <w:rPr>
          <w:bCs/>
          <w:lang w:val="en-US"/>
        </w:rPr>
        <w:t>ogue procedure be adopted soon.</w:t>
      </w:r>
    </w:p>
    <w:p w14:paraId="623BA571" w14:textId="48555F62" w:rsidR="00FC6E07" w:rsidRPr="00813D19" w:rsidRDefault="00FC6E07" w:rsidP="002018FA">
      <w:pPr>
        <w:pStyle w:val="Orateurengris"/>
        <w:spacing w:before="120"/>
        <w:ind w:left="709" w:hanging="709"/>
        <w:rPr>
          <w:color w:val="000000" w:themeColor="text1"/>
          <w:lang w:val="en-US"/>
        </w:rPr>
      </w:pPr>
      <w:r w:rsidRPr="00813D19">
        <w:rPr>
          <w:color w:val="000000" w:themeColor="text1"/>
          <w:lang w:val="en-US"/>
        </w:rPr>
        <w:t>The</w:t>
      </w:r>
      <w:r w:rsidR="00374CDD" w:rsidRPr="00813D19">
        <w:rPr>
          <w:b/>
          <w:color w:val="000000" w:themeColor="text1"/>
          <w:lang w:val="en-US"/>
        </w:rPr>
        <w:t xml:space="preserve"> delegation of </w:t>
      </w:r>
      <w:r w:rsidR="000953A7">
        <w:rPr>
          <w:b/>
          <w:color w:val="000000" w:themeColor="text1"/>
          <w:lang w:val="en-US"/>
        </w:rPr>
        <w:t xml:space="preserve">the </w:t>
      </w:r>
      <w:r w:rsidR="00374CDD" w:rsidRPr="00813D19">
        <w:rPr>
          <w:b/>
          <w:color w:val="000000" w:themeColor="text1"/>
          <w:lang w:val="en-US"/>
        </w:rPr>
        <w:t xml:space="preserve">Netherlands </w:t>
      </w:r>
      <w:r w:rsidR="00374CDD" w:rsidRPr="00813D19">
        <w:rPr>
          <w:bCs/>
          <w:lang w:val="en-US"/>
        </w:rPr>
        <w:t>thank</w:t>
      </w:r>
      <w:r w:rsidR="00A452F0" w:rsidRPr="00813D19">
        <w:rPr>
          <w:bCs/>
          <w:lang w:val="en-US"/>
        </w:rPr>
        <w:t>ed</w:t>
      </w:r>
      <w:r w:rsidR="00374CDD" w:rsidRPr="00813D19">
        <w:rPr>
          <w:bCs/>
          <w:lang w:val="en-US"/>
        </w:rPr>
        <w:t xml:space="preserve"> Japan for its generous contribution</w:t>
      </w:r>
      <w:r w:rsidR="00FA580A" w:rsidRPr="00813D19">
        <w:rPr>
          <w:bCs/>
          <w:lang w:val="en-US"/>
        </w:rPr>
        <w:t xml:space="preserve"> and </w:t>
      </w:r>
      <w:r w:rsidR="00374CDD" w:rsidRPr="00813D19">
        <w:rPr>
          <w:bCs/>
          <w:lang w:val="en-US"/>
        </w:rPr>
        <w:t>express</w:t>
      </w:r>
      <w:r w:rsidR="00FA580A" w:rsidRPr="00813D19">
        <w:rPr>
          <w:bCs/>
          <w:lang w:val="en-US"/>
        </w:rPr>
        <w:t>ed</w:t>
      </w:r>
      <w:r w:rsidR="00374CDD" w:rsidRPr="00813D19">
        <w:rPr>
          <w:bCs/>
          <w:lang w:val="en-US"/>
        </w:rPr>
        <w:t xml:space="preserve"> </w:t>
      </w:r>
      <w:r w:rsidR="00DA05A6">
        <w:rPr>
          <w:bCs/>
          <w:lang w:val="en-US"/>
        </w:rPr>
        <w:t xml:space="preserve">an </w:t>
      </w:r>
      <w:r w:rsidR="00374CDD" w:rsidRPr="00813D19">
        <w:rPr>
          <w:bCs/>
          <w:lang w:val="en-US"/>
        </w:rPr>
        <w:t xml:space="preserve">interest in participating in the process of reform, where possible. </w:t>
      </w:r>
      <w:r w:rsidR="00855D37" w:rsidRPr="00813D19">
        <w:rPr>
          <w:bCs/>
          <w:lang w:val="en-US"/>
        </w:rPr>
        <w:t xml:space="preserve">It also </w:t>
      </w:r>
      <w:r w:rsidR="00374CDD" w:rsidRPr="00813D19">
        <w:rPr>
          <w:bCs/>
          <w:lang w:val="en-US"/>
        </w:rPr>
        <w:t>share</w:t>
      </w:r>
      <w:r w:rsidR="00FA580A" w:rsidRPr="00813D19">
        <w:rPr>
          <w:bCs/>
          <w:lang w:val="en-US"/>
        </w:rPr>
        <w:t>d</w:t>
      </w:r>
      <w:r w:rsidR="00374CDD" w:rsidRPr="00813D19">
        <w:rPr>
          <w:bCs/>
          <w:lang w:val="en-US"/>
        </w:rPr>
        <w:t xml:space="preserve"> th</w:t>
      </w:r>
      <w:r w:rsidR="00855D37" w:rsidRPr="00813D19">
        <w:rPr>
          <w:bCs/>
          <w:lang w:val="en-US"/>
        </w:rPr>
        <w:t xml:space="preserve">e concerns </w:t>
      </w:r>
      <w:r w:rsidR="00374CDD" w:rsidRPr="00813D19">
        <w:rPr>
          <w:bCs/>
          <w:lang w:val="en-US"/>
        </w:rPr>
        <w:t xml:space="preserve">expressed </w:t>
      </w:r>
      <w:r w:rsidR="00855D37" w:rsidRPr="00813D19">
        <w:rPr>
          <w:bCs/>
          <w:lang w:val="en-US"/>
        </w:rPr>
        <w:t xml:space="preserve">on </w:t>
      </w:r>
      <w:r w:rsidR="00374CDD" w:rsidRPr="00813D19">
        <w:rPr>
          <w:bCs/>
          <w:lang w:val="en-US"/>
        </w:rPr>
        <w:t xml:space="preserve">the serious decline in earmarked voluntary contributions </w:t>
      </w:r>
      <w:r w:rsidR="00DA05A6">
        <w:rPr>
          <w:bCs/>
          <w:lang w:val="en-US"/>
        </w:rPr>
        <w:t>in</w:t>
      </w:r>
      <w:r w:rsidR="00DA05A6" w:rsidRPr="00813D19">
        <w:rPr>
          <w:bCs/>
          <w:lang w:val="en-US"/>
        </w:rPr>
        <w:t xml:space="preserve"> </w:t>
      </w:r>
      <w:r w:rsidR="00374CDD" w:rsidRPr="00813D19">
        <w:rPr>
          <w:bCs/>
          <w:lang w:val="en-US"/>
        </w:rPr>
        <w:t xml:space="preserve">the past years. The Netherlands is a strong supporter of the global capacity-building programme </w:t>
      </w:r>
      <w:r w:rsidR="00FA580A" w:rsidRPr="00813D19">
        <w:rPr>
          <w:bCs/>
          <w:lang w:val="en-US"/>
        </w:rPr>
        <w:t>as it represented</w:t>
      </w:r>
      <w:r w:rsidR="00374CDD" w:rsidRPr="00813D19">
        <w:rPr>
          <w:bCs/>
          <w:lang w:val="en-US"/>
        </w:rPr>
        <w:t xml:space="preserve"> the essence of the Convention</w:t>
      </w:r>
      <w:r w:rsidR="00FA580A" w:rsidRPr="00813D19">
        <w:rPr>
          <w:bCs/>
          <w:lang w:val="en-US"/>
        </w:rPr>
        <w:t>,</w:t>
      </w:r>
      <w:r w:rsidR="00374CDD" w:rsidRPr="00813D19">
        <w:rPr>
          <w:bCs/>
          <w:lang w:val="en-US"/>
        </w:rPr>
        <w:t xml:space="preserve"> </w:t>
      </w:r>
      <w:r w:rsidR="00FA580A" w:rsidRPr="00813D19">
        <w:rPr>
          <w:bCs/>
          <w:lang w:val="en-US"/>
        </w:rPr>
        <w:t>contributing</w:t>
      </w:r>
      <w:r w:rsidR="00374CDD" w:rsidRPr="00813D19">
        <w:rPr>
          <w:bCs/>
          <w:lang w:val="en-US"/>
        </w:rPr>
        <w:t xml:space="preserve"> to safegua</w:t>
      </w:r>
      <w:r w:rsidR="00855D37" w:rsidRPr="00813D19">
        <w:rPr>
          <w:bCs/>
          <w:lang w:val="en-US"/>
        </w:rPr>
        <w:t xml:space="preserve">rding on all levels among </w:t>
      </w:r>
      <w:r w:rsidR="00374CDD" w:rsidRPr="00813D19">
        <w:rPr>
          <w:bCs/>
          <w:lang w:val="en-US"/>
        </w:rPr>
        <w:t xml:space="preserve">communities, NGOs and States Parties. These earmarked voluntary contributions can be very effective when the Secretariat is able to match needs and resources. </w:t>
      </w:r>
      <w:r w:rsidR="00FA580A" w:rsidRPr="00813D19">
        <w:rPr>
          <w:bCs/>
          <w:lang w:val="en-US"/>
        </w:rPr>
        <w:t xml:space="preserve">In this </w:t>
      </w:r>
      <w:r w:rsidR="00374CDD" w:rsidRPr="00813D19">
        <w:rPr>
          <w:bCs/>
          <w:lang w:val="en-US"/>
        </w:rPr>
        <w:t>way</w:t>
      </w:r>
      <w:r w:rsidR="00FA580A" w:rsidRPr="00813D19">
        <w:rPr>
          <w:bCs/>
          <w:lang w:val="en-US"/>
        </w:rPr>
        <w:t>,</w:t>
      </w:r>
      <w:r w:rsidR="00374CDD" w:rsidRPr="00813D19">
        <w:rPr>
          <w:bCs/>
          <w:lang w:val="en-US"/>
        </w:rPr>
        <w:t xml:space="preserve"> capacity-building programmes </w:t>
      </w:r>
      <w:r w:rsidR="00DA05A6" w:rsidRPr="00813D19">
        <w:rPr>
          <w:bCs/>
          <w:lang w:val="en-US"/>
        </w:rPr>
        <w:t>c</w:t>
      </w:r>
      <w:r w:rsidR="00DA05A6">
        <w:rPr>
          <w:bCs/>
          <w:lang w:val="en-US"/>
        </w:rPr>
        <w:t>ould</w:t>
      </w:r>
      <w:r w:rsidR="00DA05A6" w:rsidRPr="00813D19">
        <w:rPr>
          <w:bCs/>
          <w:lang w:val="en-US"/>
        </w:rPr>
        <w:t xml:space="preserve"> </w:t>
      </w:r>
      <w:r w:rsidR="00374CDD" w:rsidRPr="00813D19">
        <w:rPr>
          <w:bCs/>
          <w:lang w:val="en-US"/>
        </w:rPr>
        <w:t xml:space="preserve">cater to the specific needs of regions and communities. The Netherlands </w:t>
      </w:r>
      <w:r w:rsidR="00FA580A" w:rsidRPr="00813D19">
        <w:rPr>
          <w:bCs/>
          <w:lang w:val="en-US"/>
        </w:rPr>
        <w:t xml:space="preserve">highlighted </w:t>
      </w:r>
      <w:r w:rsidR="00374CDD" w:rsidRPr="00813D19">
        <w:rPr>
          <w:bCs/>
          <w:lang w:val="en-US"/>
        </w:rPr>
        <w:t>paragraph 8 in draft decision 6 in which contributors are encouraged to support the achievement of the goals set out in the two funding priorities through earmarked voluntary contributions to the Fund. In past years</w:t>
      </w:r>
      <w:r w:rsidR="00FA580A" w:rsidRPr="00813D19">
        <w:rPr>
          <w:bCs/>
          <w:lang w:val="en-US"/>
        </w:rPr>
        <w:t>,</w:t>
      </w:r>
      <w:r w:rsidR="00374CDD" w:rsidRPr="00813D19">
        <w:rPr>
          <w:bCs/>
          <w:lang w:val="en-US"/>
        </w:rPr>
        <w:t xml:space="preserve"> the Ne</w:t>
      </w:r>
      <w:r w:rsidR="00FA580A" w:rsidRPr="00813D19">
        <w:rPr>
          <w:bCs/>
          <w:lang w:val="en-US"/>
        </w:rPr>
        <w:t xml:space="preserve">therlands </w:t>
      </w:r>
      <w:r w:rsidR="00DA05A6" w:rsidRPr="00813D19">
        <w:rPr>
          <w:bCs/>
          <w:lang w:val="en-US"/>
        </w:rPr>
        <w:t>ha</w:t>
      </w:r>
      <w:r w:rsidR="00DA05A6">
        <w:rPr>
          <w:bCs/>
          <w:lang w:val="en-US"/>
        </w:rPr>
        <w:t>d</w:t>
      </w:r>
      <w:r w:rsidR="00DA05A6" w:rsidRPr="00813D19">
        <w:rPr>
          <w:bCs/>
          <w:lang w:val="en-US"/>
        </w:rPr>
        <w:t xml:space="preserve"> </w:t>
      </w:r>
      <w:r w:rsidR="00FA580A" w:rsidRPr="00813D19">
        <w:rPr>
          <w:bCs/>
          <w:lang w:val="en-US"/>
        </w:rPr>
        <w:t>financed capacity</w:t>
      </w:r>
      <w:r w:rsidR="00DA05A6">
        <w:rPr>
          <w:bCs/>
          <w:lang w:val="en-US"/>
        </w:rPr>
        <w:t xml:space="preserve"> </w:t>
      </w:r>
      <w:r w:rsidR="00374CDD" w:rsidRPr="00813D19">
        <w:rPr>
          <w:bCs/>
          <w:lang w:val="en-US"/>
        </w:rPr>
        <w:t xml:space="preserve">building in Suriname in the Dutch Caribbean Islands. </w:t>
      </w:r>
      <w:r w:rsidR="00FA580A" w:rsidRPr="00813D19">
        <w:rPr>
          <w:bCs/>
          <w:lang w:val="en-US"/>
        </w:rPr>
        <w:t xml:space="preserve">As the </w:t>
      </w:r>
      <w:r w:rsidR="00374CDD" w:rsidRPr="00813D19">
        <w:rPr>
          <w:bCs/>
          <w:lang w:val="en-US"/>
        </w:rPr>
        <w:t xml:space="preserve">project </w:t>
      </w:r>
      <w:r w:rsidR="00DA05A6" w:rsidRPr="00813D19">
        <w:rPr>
          <w:bCs/>
          <w:lang w:val="en-US"/>
        </w:rPr>
        <w:t>c</w:t>
      </w:r>
      <w:r w:rsidR="00DA05A6">
        <w:rPr>
          <w:bCs/>
          <w:lang w:val="en-US"/>
        </w:rPr>
        <w:t>ame</w:t>
      </w:r>
      <w:r w:rsidR="00DA05A6" w:rsidRPr="00813D19">
        <w:rPr>
          <w:bCs/>
          <w:lang w:val="en-US"/>
        </w:rPr>
        <w:t xml:space="preserve"> </w:t>
      </w:r>
      <w:r w:rsidR="00FA580A" w:rsidRPr="00813D19">
        <w:rPr>
          <w:bCs/>
          <w:lang w:val="en-US"/>
        </w:rPr>
        <w:t xml:space="preserve">to an end, the Netherlands now </w:t>
      </w:r>
      <w:r w:rsidR="00DA05A6">
        <w:rPr>
          <w:bCs/>
          <w:lang w:val="en-US"/>
        </w:rPr>
        <w:t>intended</w:t>
      </w:r>
      <w:r w:rsidR="00374CDD" w:rsidRPr="00813D19">
        <w:rPr>
          <w:bCs/>
          <w:lang w:val="en-US"/>
        </w:rPr>
        <w:t xml:space="preserve"> to start contributing to the safeguarding of </w:t>
      </w:r>
      <w:r w:rsidR="00FA580A" w:rsidRPr="00813D19">
        <w:rPr>
          <w:bCs/>
          <w:lang w:val="en-US"/>
        </w:rPr>
        <w:t xml:space="preserve">intangible cultural heritage </w:t>
      </w:r>
      <w:r w:rsidR="00374CDD" w:rsidRPr="00813D19">
        <w:rPr>
          <w:bCs/>
          <w:lang w:val="en-US"/>
        </w:rPr>
        <w:t xml:space="preserve">in formal and non-formal education. Education on all levels is of </w:t>
      </w:r>
      <w:r w:rsidR="00DA05A6">
        <w:rPr>
          <w:bCs/>
          <w:lang w:val="en-US"/>
        </w:rPr>
        <w:t xml:space="preserve">the </w:t>
      </w:r>
      <w:r w:rsidR="00374CDD" w:rsidRPr="00813D19">
        <w:rPr>
          <w:bCs/>
          <w:lang w:val="en-US"/>
        </w:rPr>
        <w:t xml:space="preserve">utmost importance in the safeguarding of </w:t>
      </w:r>
      <w:r w:rsidR="00FA580A" w:rsidRPr="00813D19">
        <w:rPr>
          <w:bCs/>
          <w:lang w:val="en-US"/>
        </w:rPr>
        <w:t>intangible cultural heritage</w:t>
      </w:r>
      <w:r w:rsidR="00374CDD" w:rsidRPr="00813D19">
        <w:rPr>
          <w:bCs/>
          <w:lang w:val="en-US"/>
        </w:rPr>
        <w:t xml:space="preserve">. </w:t>
      </w:r>
      <w:r w:rsidR="00FA580A" w:rsidRPr="00813D19">
        <w:rPr>
          <w:bCs/>
          <w:lang w:val="en-US"/>
        </w:rPr>
        <w:t xml:space="preserve">The intangible cultural heritage </w:t>
      </w:r>
      <w:r w:rsidR="00374CDD" w:rsidRPr="00813D19">
        <w:rPr>
          <w:bCs/>
          <w:lang w:val="en-US"/>
        </w:rPr>
        <w:t xml:space="preserve">experts within the </w:t>
      </w:r>
      <w:r w:rsidR="00FA580A" w:rsidRPr="00813D19">
        <w:rPr>
          <w:bCs/>
          <w:lang w:val="en-US"/>
        </w:rPr>
        <w:t xml:space="preserve">Ministry of Education, Culture and Science in the Netherlands were currently working </w:t>
      </w:r>
      <w:r w:rsidR="00374CDD" w:rsidRPr="00813D19">
        <w:rPr>
          <w:bCs/>
          <w:lang w:val="en-US"/>
        </w:rPr>
        <w:t xml:space="preserve">on the implementation of </w:t>
      </w:r>
      <w:r w:rsidR="00FA580A" w:rsidRPr="00813D19">
        <w:rPr>
          <w:bCs/>
          <w:lang w:val="en-US"/>
        </w:rPr>
        <w:t xml:space="preserve">intangible cultural heritage </w:t>
      </w:r>
      <w:r w:rsidR="00374CDD" w:rsidRPr="00813D19">
        <w:rPr>
          <w:bCs/>
          <w:lang w:val="en-US"/>
        </w:rPr>
        <w:t xml:space="preserve">in </w:t>
      </w:r>
      <w:r w:rsidR="00FA580A" w:rsidRPr="00813D19">
        <w:rPr>
          <w:bCs/>
          <w:lang w:val="en-US"/>
        </w:rPr>
        <w:t xml:space="preserve">a </w:t>
      </w:r>
      <w:r w:rsidR="00374CDD" w:rsidRPr="00813D19">
        <w:rPr>
          <w:bCs/>
          <w:lang w:val="en-US"/>
        </w:rPr>
        <w:t xml:space="preserve">new curriculum. </w:t>
      </w:r>
      <w:r w:rsidR="00FA580A" w:rsidRPr="00813D19">
        <w:rPr>
          <w:bCs/>
          <w:lang w:val="en-US"/>
        </w:rPr>
        <w:t>The delegation emphasized the importance</w:t>
      </w:r>
      <w:r w:rsidR="00374CDD" w:rsidRPr="00813D19">
        <w:rPr>
          <w:bCs/>
          <w:lang w:val="en-US"/>
        </w:rPr>
        <w:t xml:space="preserve"> of using bottom-up approaches that involve community members and NGOs. </w:t>
      </w:r>
      <w:r w:rsidR="00FA580A" w:rsidRPr="00813D19">
        <w:rPr>
          <w:bCs/>
          <w:lang w:val="en-US"/>
        </w:rPr>
        <w:t xml:space="preserve">It </w:t>
      </w:r>
      <w:r w:rsidR="00374CDD" w:rsidRPr="00813D19">
        <w:rPr>
          <w:bCs/>
          <w:lang w:val="en-US"/>
        </w:rPr>
        <w:t>also believe</w:t>
      </w:r>
      <w:r w:rsidR="00FA580A" w:rsidRPr="00813D19">
        <w:rPr>
          <w:bCs/>
          <w:lang w:val="en-US"/>
        </w:rPr>
        <w:t>d</w:t>
      </w:r>
      <w:r w:rsidR="00374CDD" w:rsidRPr="00813D19">
        <w:rPr>
          <w:bCs/>
          <w:lang w:val="en-US"/>
        </w:rPr>
        <w:t xml:space="preserve"> that young people </w:t>
      </w:r>
      <w:r w:rsidR="00DA05A6" w:rsidRPr="00813D19">
        <w:rPr>
          <w:bCs/>
          <w:lang w:val="en-US"/>
        </w:rPr>
        <w:t>c</w:t>
      </w:r>
      <w:r w:rsidR="00DA05A6">
        <w:rPr>
          <w:bCs/>
          <w:lang w:val="en-US"/>
        </w:rPr>
        <w:t>ould</w:t>
      </w:r>
      <w:r w:rsidR="00DA05A6" w:rsidRPr="00813D19">
        <w:rPr>
          <w:bCs/>
          <w:lang w:val="en-US"/>
        </w:rPr>
        <w:t xml:space="preserve"> </w:t>
      </w:r>
      <w:r w:rsidR="00374CDD" w:rsidRPr="00813D19">
        <w:rPr>
          <w:bCs/>
          <w:lang w:val="en-US"/>
        </w:rPr>
        <w:t xml:space="preserve">greatly contribute to safeguarding intangible cultural heritage. </w:t>
      </w:r>
      <w:r w:rsidR="00FA580A" w:rsidRPr="00813D19">
        <w:rPr>
          <w:bCs/>
          <w:lang w:val="en-US"/>
        </w:rPr>
        <w:t>For example, in several National C</w:t>
      </w:r>
      <w:r w:rsidR="00374CDD" w:rsidRPr="00813D19">
        <w:rPr>
          <w:bCs/>
          <w:lang w:val="en-US"/>
        </w:rPr>
        <w:t xml:space="preserve">ommittees, young people </w:t>
      </w:r>
      <w:r w:rsidR="00FA580A" w:rsidRPr="00813D19">
        <w:rPr>
          <w:bCs/>
          <w:lang w:val="en-US"/>
        </w:rPr>
        <w:t xml:space="preserve">were </w:t>
      </w:r>
      <w:r w:rsidR="00374CDD" w:rsidRPr="00813D19">
        <w:rPr>
          <w:bCs/>
          <w:lang w:val="en-US"/>
        </w:rPr>
        <w:t>actively involving other young people in the values of safeguarding heritage through peer-to-peer ed</w:t>
      </w:r>
      <w:r w:rsidR="00FA580A" w:rsidRPr="00813D19">
        <w:rPr>
          <w:bCs/>
          <w:lang w:val="en-US"/>
        </w:rPr>
        <w:t>ucation. The Netherlands wondered</w:t>
      </w:r>
      <w:r w:rsidR="00374CDD" w:rsidRPr="00813D19">
        <w:rPr>
          <w:bCs/>
          <w:lang w:val="en-US"/>
        </w:rPr>
        <w:t xml:space="preserve"> </w:t>
      </w:r>
      <w:r w:rsidR="00FA580A" w:rsidRPr="00813D19">
        <w:rPr>
          <w:bCs/>
          <w:lang w:val="en-US"/>
        </w:rPr>
        <w:t xml:space="preserve">whether </w:t>
      </w:r>
      <w:r w:rsidR="00374CDD" w:rsidRPr="00813D19">
        <w:rPr>
          <w:bCs/>
          <w:lang w:val="en-US"/>
        </w:rPr>
        <w:t xml:space="preserve">these initiatives could be connected </w:t>
      </w:r>
      <w:r w:rsidR="00FA580A" w:rsidRPr="00813D19">
        <w:rPr>
          <w:bCs/>
          <w:lang w:val="en-US"/>
        </w:rPr>
        <w:t>through the UNESCO Associated School N</w:t>
      </w:r>
      <w:r w:rsidR="00374CDD" w:rsidRPr="00813D19">
        <w:rPr>
          <w:bCs/>
          <w:lang w:val="en-US"/>
        </w:rPr>
        <w:t xml:space="preserve">etwork </w:t>
      </w:r>
      <w:r w:rsidR="00821699" w:rsidRPr="00813D19">
        <w:rPr>
          <w:bCs/>
          <w:lang w:val="en-US"/>
        </w:rPr>
        <w:t>(ASPn</w:t>
      </w:r>
      <w:r w:rsidR="00FA580A" w:rsidRPr="00813D19">
        <w:rPr>
          <w:bCs/>
          <w:lang w:val="en-US"/>
        </w:rPr>
        <w:t xml:space="preserve">et) </w:t>
      </w:r>
      <w:r w:rsidR="00374CDD" w:rsidRPr="00813D19">
        <w:rPr>
          <w:bCs/>
          <w:lang w:val="en-US"/>
        </w:rPr>
        <w:t>to work m</w:t>
      </w:r>
      <w:r w:rsidR="00821699" w:rsidRPr="00813D19">
        <w:rPr>
          <w:bCs/>
          <w:lang w:val="en-US"/>
        </w:rPr>
        <w:t>ore globally on awareness-</w:t>
      </w:r>
      <w:r w:rsidR="00374CDD" w:rsidRPr="00813D19">
        <w:rPr>
          <w:bCs/>
          <w:lang w:val="en-US"/>
        </w:rPr>
        <w:t xml:space="preserve">raising and ways to safeguard </w:t>
      </w:r>
      <w:r w:rsidR="00821699" w:rsidRPr="00813D19">
        <w:rPr>
          <w:bCs/>
          <w:lang w:val="en-US"/>
        </w:rPr>
        <w:t>intangible cultural heritage</w:t>
      </w:r>
      <w:r w:rsidR="00374CDD" w:rsidRPr="00813D19">
        <w:rPr>
          <w:bCs/>
          <w:lang w:val="en-US"/>
        </w:rPr>
        <w:t xml:space="preserve">. In general, </w:t>
      </w:r>
      <w:r w:rsidR="00821699" w:rsidRPr="00813D19">
        <w:rPr>
          <w:bCs/>
          <w:lang w:val="en-US"/>
        </w:rPr>
        <w:t xml:space="preserve">greater visibility could </w:t>
      </w:r>
      <w:r w:rsidR="00374CDD" w:rsidRPr="00813D19">
        <w:rPr>
          <w:bCs/>
          <w:lang w:val="en-US"/>
        </w:rPr>
        <w:t xml:space="preserve">be </w:t>
      </w:r>
      <w:r w:rsidR="00DA05A6">
        <w:rPr>
          <w:bCs/>
          <w:lang w:val="en-US"/>
        </w:rPr>
        <w:t>given to</w:t>
      </w:r>
      <w:r w:rsidR="00821699" w:rsidRPr="00813D19">
        <w:rPr>
          <w:bCs/>
          <w:lang w:val="en-US"/>
        </w:rPr>
        <w:t xml:space="preserve"> </w:t>
      </w:r>
      <w:r w:rsidR="00374CDD" w:rsidRPr="00813D19">
        <w:rPr>
          <w:bCs/>
          <w:lang w:val="en-US"/>
        </w:rPr>
        <w:t xml:space="preserve">the different initiatives in education and </w:t>
      </w:r>
      <w:r w:rsidR="00821699" w:rsidRPr="00813D19">
        <w:rPr>
          <w:bCs/>
          <w:lang w:val="en-US"/>
        </w:rPr>
        <w:t xml:space="preserve">intangible cultural heritage, as many </w:t>
      </w:r>
      <w:r w:rsidR="00374CDD" w:rsidRPr="00813D19">
        <w:rPr>
          <w:bCs/>
          <w:lang w:val="en-US"/>
        </w:rPr>
        <w:t xml:space="preserve">Member States </w:t>
      </w:r>
      <w:r w:rsidR="00DA05A6">
        <w:rPr>
          <w:bCs/>
          <w:lang w:val="en-US"/>
        </w:rPr>
        <w:t>were</w:t>
      </w:r>
      <w:r w:rsidR="00DA05A6" w:rsidRPr="00813D19">
        <w:rPr>
          <w:bCs/>
          <w:lang w:val="en-US"/>
        </w:rPr>
        <w:t xml:space="preserve"> </w:t>
      </w:r>
      <w:r w:rsidR="00374CDD" w:rsidRPr="00813D19">
        <w:rPr>
          <w:bCs/>
          <w:lang w:val="en-US"/>
        </w:rPr>
        <w:t xml:space="preserve">active on this subject and </w:t>
      </w:r>
      <w:r w:rsidR="00821699" w:rsidRPr="00813D19">
        <w:rPr>
          <w:bCs/>
          <w:lang w:val="en-US"/>
        </w:rPr>
        <w:t xml:space="preserve">States </w:t>
      </w:r>
      <w:r w:rsidR="00374CDD" w:rsidRPr="00813D19">
        <w:rPr>
          <w:bCs/>
          <w:lang w:val="en-US"/>
        </w:rPr>
        <w:t xml:space="preserve">could learn from </w:t>
      </w:r>
      <w:r w:rsidR="00821699" w:rsidRPr="00813D19">
        <w:rPr>
          <w:bCs/>
          <w:lang w:val="en-US"/>
        </w:rPr>
        <w:t xml:space="preserve">these </w:t>
      </w:r>
      <w:r w:rsidR="00B67A60">
        <w:rPr>
          <w:bCs/>
          <w:lang w:val="en-US"/>
        </w:rPr>
        <w:t>good examples.</w:t>
      </w:r>
    </w:p>
    <w:p w14:paraId="3B341CAF" w14:textId="0E3910CA" w:rsidR="00790BA7" w:rsidRPr="00813D19" w:rsidRDefault="00E509E6" w:rsidP="002018F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0520D6" w:rsidRPr="00813D19">
        <w:rPr>
          <w:color w:val="000000" w:themeColor="text1"/>
          <w:lang w:val="en-US"/>
        </w:rPr>
        <w:t xml:space="preserve">noted </w:t>
      </w:r>
      <w:r w:rsidR="00374CDD" w:rsidRPr="00813D19">
        <w:rPr>
          <w:bCs/>
          <w:lang w:val="en-US"/>
        </w:rPr>
        <w:t>two qu</w:t>
      </w:r>
      <w:r w:rsidR="000520D6" w:rsidRPr="00813D19">
        <w:rPr>
          <w:bCs/>
          <w:lang w:val="en-US"/>
        </w:rPr>
        <w:t>estions concerning the timeline</w:t>
      </w:r>
      <w:r w:rsidR="00110A8D" w:rsidRPr="00813D19">
        <w:rPr>
          <w:bCs/>
          <w:lang w:val="en-US"/>
        </w:rPr>
        <w:t>,</w:t>
      </w:r>
      <w:r w:rsidR="000520D6" w:rsidRPr="00813D19">
        <w:rPr>
          <w:bCs/>
          <w:lang w:val="en-US"/>
        </w:rPr>
        <w:t xml:space="preserve"> </w:t>
      </w:r>
      <w:r w:rsidR="00374CDD" w:rsidRPr="00813D19">
        <w:rPr>
          <w:bCs/>
          <w:lang w:val="en-US"/>
        </w:rPr>
        <w:t xml:space="preserve">a question concerning </w:t>
      </w:r>
      <w:r w:rsidR="000520D6" w:rsidRPr="00813D19">
        <w:rPr>
          <w:bCs/>
          <w:lang w:val="en-US"/>
        </w:rPr>
        <w:t>the use of the Regular P</w:t>
      </w:r>
      <w:r w:rsidR="00374CDD" w:rsidRPr="00813D19">
        <w:rPr>
          <w:bCs/>
          <w:lang w:val="en-US"/>
        </w:rPr>
        <w:t xml:space="preserve">rogramme </w:t>
      </w:r>
      <w:r w:rsidR="00110A8D" w:rsidRPr="00813D19">
        <w:rPr>
          <w:bCs/>
          <w:lang w:val="en-US"/>
        </w:rPr>
        <w:t xml:space="preserve">funds </w:t>
      </w:r>
      <w:r w:rsidR="00374CDD" w:rsidRPr="00813D19">
        <w:rPr>
          <w:bCs/>
          <w:lang w:val="en-US"/>
        </w:rPr>
        <w:t>from Palestine, a question concerning ASPnet from the Netherlands</w:t>
      </w:r>
      <w:r w:rsidR="00110A8D" w:rsidRPr="00813D19">
        <w:rPr>
          <w:bCs/>
          <w:lang w:val="en-US"/>
        </w:rPr>
        <w:t>,</w:t>
      </w:r>
      <w:r w:rsidR="00374CDD" w:rsidRPr="00813D19">
        <w:rPr>
          <w:bCs/>
          <w:lang w:val="en-US"/>
        </w:rPr>
        <w:t xml:space="preserve"> and </w:t>
      </w:r>
      <w:r w:rsidR="00110A8D" w:rsidRPr="00813D19">
        <w:rPr>
          <w:bCs/>
          <w:lang w:val="en-US"/>
        </w:rPr>
        <w:t xml:space="preserve">a </w:t>
      </w:r>
      <w:r w:rsidR="00374CDD" w:rsidRPr="00813D19">
        <w:rPr>
          <w:bCs/>
          <w:lang w:val="en-US"/>
        </w:rPr>
        <w:t xml:space="preserve">question </w:t>
      </w:r>
      <w:r w:rsidR="00110A8D" w:rsidRPr="00813D19">
        <w:rPr>
          <w:bCs/>
          <w:lang w:val="en-US"/>
        </w:rPr>
        <w:t>on the management cost rate from Azerbaijan. The Secretary began with the timeline, explaining that t</w:t>
      </w:r>
      <w:r w:rsidR="00374CDD" w:rsidRPr="00813D19">
        <w:rPr>
          <w:bCs/>
          <w:lang w:val="en-US"/>
        </w:rPr>
        <w:t xml:space="preserve">here </w:t>
      </w:r>
      <w:r w:rsidR="00110A8D" w:rsidRPr="00813D19">
        <w:rPr>
          <w:bCs/>
          <w:lang w:val="en-US"/>
        </w:rPr>
        <w:t xml:space="preserve">were </w:t>
      </w:r>
      <w:r w:rsidR="00374CDD" w:rsidRPr="00813D19">
        <w:rPr>
          <w:bCs/>
          <w:lang w:val="en-US"/>
        </w:rPr>
        <w:t>two factors. First</w:t>
      </w:r>
      <w:r w:rsidR="00110A8D" w:rsidRPr="00813D19">
        <w:rPr>
          <w:bCs/>
          <w:lang w:val="en-US"/>
        </w:rPr>
        <w:t>ly</w:t>
      </w:r>
      <w:r w:rsidR="00374CDD" w:rsidRPr="00813D19">
        <w:rPr>
          <w:bCs/>
          <w:lang w:val="en-US"/>
        </w:rPr>
        <w:t>, whether the issues surrounding the inscription process need</w:t>
      </w:r>
      <w:r w:rsidR="004642F4" w:rsidRPr="00813D19">
        <w:rPr>
          <w:bCs/>
          <w:lang w:val="en-US"/>
        </w:rPr>
        <w:t>ed</w:t>
      </w:r>
      <w:r w:rsidR="00374CDD" w:rsidRPr="00813D19">
        <w:rPr>
          <w:bCs/>
          <w:lang w:val="en-US"/>
        </w:rPr>
        <w:t xml:space="preserve"> to be fully reformed</w:t>
      </w:r>
      <w:r w:rsidR="004642F4" w:rsidRPr="00813D19">
        <w:rPr>
          <w:bCs/>
          <w:lang w:val="en-US"/>
        </w:rPr>
        <w:t>,</w:t>
      </w:r>
      <w:r w:rsidR="00374CDD" w:rsidRPr="00813D19">
        <w:rPr>
          <w:bCs/>
          <w:lang w:val="en-US"/>
        </w:rPr>
        <w:t xml:space="preserve"> comprehensively and holistically</w:t>
      </w:r>
      <w:r w:rsidR="004642F4" w:rsidRPr="00813D19">
        <w:rPr>
          <w:bCs/>
          <w:lang w:val="en-US"/>
        </w:rPr>
        <w:t>,</w:t>
      </w:r>
      <w:r w:rsidR="00374CDD" w:rsidRPr="00813D19">
        <w:rPr>
          <w:bCs/>
          <w:lang w:val="en-US"/>
        </w:rPr>
        <w:t xml:space="preserve"> or whether </w:t>
      </w:r>
      <w:r w:rsidR="004642F4" w:rsidRPr="00813D19">
        <w:rPr>
          <w:bCs/>
          <w:lang w:val="en-US"/>
        </w:rPr>
        <w:t xml:space="preserve">it should take a </w:t>
      </w:r>
      <w:r w:rsidR="00374CDD" w:rsidRPr="00813D19">
        <w:rPr>
          <w:bCs/>
          <w:lang w:val="en-US"/>
        </w:rPr>
        <w:t>stag</w:t>
      </w:r>
      <w:r w:rsidR="005336A6" w:rsidRPr="00813D19">
        <w:rPr>
          <w:bCs/>
          <w:lang w:val="en-US"/>
        </w:rPr>
        <w:t>ger</w:t>
      </w:r>
      <w:r w:rsidR="00374CDD" w:rsidRPr="00813D19">
        <w:rPr>
          <w:bCs/>
          <w:lang w:val="en-US"/>
        </w:rPr>
        <w:t>e</w:t>
      </w:r>
      <w:r w:rsidR="005336A6" w:rsidRPr="00813D19">
        <w:rPr>
          <w:bCs/>
          <w:lang w:val="en-US"/>
        </w:rPr>
        <w:t xml:space="preserve">d </w:t>
      </w:r>
      <w:r w:rsidR="004642F4" w:rsidRPr="00813D19">
        <w:rPr>
          <w:bCs/>
          <w:lang w:val="en-US"/>
        </w:rPr>
        <w:t>approach.</w:t>
      </w:r>
      <w:r w:rsidR="00374CDD" w:rsidRPr="00813D19">
        <w:rPr>
          <w:bCs/>
          <w:lang w:val="en-US"/>
        </w:rPr>
        <w:t xml:space="preserve"> </w:t>
      </w:r>
      <w:r w:rsidR="004642F4" w:rsidRPr="00813D19">
        <w:rPr>
          <w:bCs/>
          <w:lang w:val="en-US"/>
        </w:rPr>
        <w:t xml:space="preserve">The Secretary reminded the Committee </w:t>
      </w:r>
      <w:r w:rsidR="00374CDD" w:rsidRPr="00813D19">
        <w:rPr>
          <w:bCs/>
          <w:lang w:val="en-US"/>
        </w:rPr>
        <w:t xml:space="preserve">that </w:t>
      </w:r>
      <w:r w:rsidR="00E21E71" w:rsidRPr="00813D19">
        <w:rPr>
          <w:bCs/>
          <w:lang w:val="en-US"/>
        </w:rPr>
        <w:t xml:space="preserve">it had </w:t>
      </w:r>
      <w:r w:rsidR="00374CDD" w:rsidRPr="00813D19">
        <w:rPr>
          <w:bCs/>
          <w:lang w:val="en-US"/>
        </w:rPr>
        <w:t xml:space="preserve">ongoing </w:t>
      </w:r>
      <w:r w:rsidR="00E21E71" w:rsidRPr="00813D19">
        <w:rPr>
          <w:bCs/>
          <w:lang w:val="en-US"/>
        </w:rPr>
        <w:t xml:space="preserve">actions, </w:t>
      </w:r>
      <w:r w:rsidR="00374CDD" w:rsidRPr="00813D19">
        <w:rPr>
          <w:bCs/>
          <w:lang w:val="en-US"/>
        </w:rPr>
        <w:t xml:space="preserve">including on the reform of </w:t>
      </w:r>
      <w:r w:rsidR="005336A6" w:rsidRPr="00813D19">
        <w:rPr>
          <w:bCs/>
          <w:lang w:val="en-US"/>
        </w:rPr>
        <w:t>the NGO accreditation system and</w:t>
      </w:r>
      <w:r w:rsidR="00374CDD" w:rsidRPr="00813D19">
        <w:rPr>
          <w:bCs/>
          <w:lang w:val="en-US"/>
        </w:rPr>
        <w:t xml:space="preserve"> the development of guidelines for </w:t>
      </w:r>
      <w:r w:rsidR="005336A6" w:rsidRPr="00813D19">
        <w:rPr>
          <w:bCs/>
          <w:lang w:val="en-US"/>
        </w:rPr>
        <w:t xml:space="preserve">intangible cultural heritage </w:t>
      </w:r>
      <w:r w:rsidR="00374CDD" w:rsidRPr="00813D19">
        <w:rPr>
          <w:bCs/>
          <w:lang w:val="en-US"/>
        </w:rPr>
        <w:t xml:space="preserve">in emergencies scheduled </w:t>
      </w:r>
      <w:r w:rsidR="005336A6" w:rsidRPr="00813D19">
        <w:rPr>
          <w:bCs/>
          <w:lang w:val="en-US"/>
        </w:rPr>
        <w:t>for 2019</w:t>
      </w:r>
      <w:r w:rsidR="00374CDD" w:rsidRPr="00813D19">
        <w:rPr>
          <w:bCs/>
          <w:lang w:val="en-US"/>
        </w:rPr>
        <w:t xml:space="preserve">. </w:t>
      </w:r>
      <w:r w:rsidR="005336A6" w:rsidRPr="00813D19">
        <w:rPr>
          <w:bCs/>
          <w:lang w:val="en-US"/>
        </w:rPr>
        <w:t>Thus, there were three e</w:t>
      </w:r>
      <w:r w:rsidR="00374CDD" w:rsidRPr="00813D19">
        <w:rPr>
          <w:bCs/>
          <w:lang w:val="en-US"/>
        </w:rPr>
        <w:t xml:space="preserve">xpert meetings </w:t>
      </w:r>
      <w:r w:rsidR="005336A6" w:rsidRPr="00813D19">
        <w:rPr>
          <w:bCs/>
          <w:lang w:val="en-US"/>
        </w:rPr>
        <w:t>to be held in 2019</w:t>
      </w:r>
      <w:r w:rsidR="00374CDD" w:rsidRPr="00813D19">
        <w:rPr>
          <w:bCs/>
          <w:lang w:val="en-US"/>
        </w:rPr>
        <w:t xml:space="preserve">. </w:t>
      </w:r>
      <w:r w:rsidR="005336A6" w:rsidRPr="00813D19">
        <w:rPr>
          <w:bCs/>
          <w:lang w:val="en-US"/>
        </w:rPr>
        <w:t xml:space="preserve">The Secretary further reminded the Committee that </w:t>
      </w:r>
      <w:r w:rsidR="00374CDD" w:rsidRPr="00813D19">
        <w:rPr>
          <w:bCs/>
          <w:lang w:val="en-US"/>
        </w:rPr>
        <w:t>in General Assembly years</w:t>
      </w:r>
      <w:r w:rsidR="005336A6" w:rsidRPr="00813D19">
        <w:rPr>
          <w:bCs/>
          <w:lang w:val="en-US"/>
        </w:rPr>
        <w:t xml:space="preserve">, the Secretariat had to </w:t>
      </w:r>
      <w:r w:rsidR="00374CDD" w:rsidRPr="00813D19">
        <w:rPr>
          <w:bCs/>
          <w:lang w:val="en-US"/>
        </w:rPr>
        <w:t>organize both a Committee meeting and a General Assembly</w:t>
      </w:r>
      <w:r w:rsidR="005336A6" w:rsidRPr="00813D19">
        <w:rPr>
          <w:bCs/>
          <w:lang w:val="en-US"/>
        </w:rPr>
        <w:t>,</w:t>
      </w:r>
      <w:r w:rsidR="00374CDD" w:rsidRPr="00813D19">
        <w:rPr>
          <w:bCs/>
          <w:lang w:val="en-US"/>
        </w:rPr>
        <w:t xml:space="preserve"> </w:t>
      </w:r>
      <w:r w:rsidR="005336A6" w:rsidRPr="00813D19">
        <w:rPr>
          <w:bCs/>
          <w:lang w:val="en-US"/>
        </w:rPr>
        <w:t xml:space="preserve">and thus part of the </w:t>
      </w:r>
      <w:r w:rsidR="00374CDD" w:rsidRPr="00813D19">
        <w:rPr>
          <w:bCs/>
          <w:lang w:val="en-US"/>
        </w:rPr>
        <w:t xml:space="preserve">problem </w:t>
      </w:r>
      <w:r w:rsidR="005336A6" w:rsidRPr="00813D19">
        <w:rPr>
          <w:bCs/>
          <w:lang w:val="en-US"/>
        </w:rPr>
        <w:t xml:space="preserve">was </w:t>
      </w:r>
      <w:r w:rsidR="00374CDD" w:rsidRPr="00813D19">
        <w:rPr>
          <w:bCs/>
          <w:lang w:val="en-US"/>
        </w:rPr>
        <w:t xml:space="preserve">the number of statutory meetings already required </w:t>
      </w:r>
      <w:r w:rsidR="005336A6" w:rsidRPr="00813D19">
        <w:rPr>
          <w:bCs/>
          <w:lang w:val="en-US"/>
        </w:rPr>
        <w:t>in a calendar year</w:t>
      </w:r>
      <w:r w:rsidR="00374CDD" w:rsidRPr="00813D19">
        <w:rPr>
          <w:bCs/>
          <w:lang w:val="en-US"/>
        </w:rPr>
        <w:t xml:space="preserve">. </w:t>
      </w:r>
      <w:r w:rsidR="005336A6" w:rsidRPr="00813D19">
        <w:rPr>
          <w:bCs/>
          <w:lang w:val="en-US"/>
        </w:rPr>
        <w:t xml:space="preserve">Another consideration was the </w:t>
      </w:r>
      <w:r w:rsidR="00374CDD" w:rsidRPr="00813D19">
        <w:rPr>
          <w:bCs/>
          <w:lang w:val="en-US"/>
        </w:rPr>
        <w:t xml:space="preserve">funding </w:t>
      </w:r>
      <w:r w:rsidR="005336A6" w:rsidRPr="00813D19">
        <w:rPr>
          <w:bCs/>
          <w:lang w:val="en-US"/>
        </w:rPr>
        <w:t xml:space="preserve">for </w:t>
      </w:r>
      <w:r w:rsidR="00374CDD" w:rsidRPr="00813D19">
        <w:rPr>
          <w:bCs/>
          <w:lang w:val="en-US"/>
        </w:rPr>
        <w:t>this process. At the moment</w:t>
      </w:r>
      <w:r w:rsidR="005336A6" w:rsidRPr="00813D19">
        <w:rPr>
          <w:bCs/>
          <w:lang w:val="en-US"/>
        </w:rPr>
        <w:t xml:space="preserve">, the Secretariat had received a very generous offer, but it was hoped </w:t>
      </w:r>
      <w:r w:rsidR="00374CDD" w:rsidRPr="00813D19">
        <w:rPr>
          <w:bCs/>
          <w:lang w:val="en-US"/>
        </w:rPr>
        <w:t xml:space="preserve">that there might </w:t>
      </w:r>
      <w:r w:rsidR="005336A6" w:rsidRPr="00813D19">
        <w:rPr>
          <w:bCs/>
          <w:lang w:val="en-US"/>
        </w:rPr>
        <w:t xml:space="preserve">be </w:t>
      </w:r>
      <w:r w:rsidR="00374CDD" w:rsidRPr="00813D19">
        <w:rPr>
          <w:bCs/>
          <w:lang w:val="en-US"/>
        </w:rPr>
        <w:t xml:space="preserve">further sources of funding to </w:t>
      </w:r>
      <w:r w:rsidR="005336A6" w:rsidRPr="00813D19">
        <w:rPr>
          <w:bCs/>
          <w:lang w:val="en-US"/>
        </w:rPr>
        <w:t xml:space="preserve">undertake </w:t>
      </w:r>
      <w:r w:rsidR="00374CDD" w:rsidRPr="00813D19">
        <w:rPr>
          <w:bCs/>
          <w:lang w:val="en-US"/>
        </w:rPr>
        <w:t xml:space="preserve">more consultations on this process. </w:t>
      </w:r>
      <w:r w:rsidR="005336A6" w:rsidRPr="00813D19">
        <w:rPr>
          <w:bCs/>
          <w:lang w:val="en-US"/>
        </w:rPr>
        <w:t xml:space="preserve">The </w:t>
      </w:r>
      <w:r w:rsidR="00374CDD" w:rsidRPr="00813D19">
        <w:rPr>
          <w:bCs/>
          <w:lang w:val="en-US"/>
        </w:rPr>
        <w:t xml:space="preserve">plan </w:t>
      </w:r>
      <w:r w:rsidR="005336A6" w:rsidRPr="00813D19">
        <w:rPr>
          <w:bCs/>
          <w:lang w:val="en-US"/>
        </w:rPr>
        <w:t xml:space="preserve">was therefore </w:t>
      </w:r>
      <w:r w:rsidR="00374CDD" w:rsidRPr="00813D19">
        <w:rPr>
          <w:bCs/>
          <w:lang w:val="en-US"/>
        </w:rPr>
        <w:t xml:space="preserve">to </w:t>
      </w:r>
      <w:r w:rsidR="005336A6" w:rsidRPr="00813D19">
        <w:rPr>
          <w:bCs/>
          <w:lang w:val="en-US"/>
        </w:rPr>
        <w:t xml:space="preserve">hold the first </w:t>
      </w:r>
      <w:r w:rsidR="00B0621A" w:rsidRPr="00813D19">
        <w:rPr>
          <w:bCs/>
          <w:lang w:val="en-US"/>
        </w:rPr>
        <w:t xml:space="preserve">expert </w:t>
      </w:r>
      <w:r w:rsidR="005336A6" w:rsidRPr="00813D19">
        <w:rPr>
          <w:bCs/>
          <w:lang w:val="en-US"/>
        </w:rPr>
        <w:t xml:space="preserve">meeting </w:t>
      </w:r>
      <w:r w:rsidR="00B0621A" w:rsidRPr="00813D19">
        <w:rPr>
          <w:bCs/>
          <w:lang w:val="en-US"/>
        </w:rPr>
        <w:t xml:space="preserve">[on </w:t>
      </w:r>
      <w:r w:rsidR="00DA05A6">
        <w:rPr>
          <w:bCs/>
          <w:lang w:val="en-US"/>
        </w:rPr>
        <w:t xml:space="preserve">the </w:t>
      </w:r>
      <w:r w:rsidR="00B0621A" w:rsidRPr="00813D19">
        <w:rPr>
          <w:bCs/>
          <w:lang w:val="en-US"/>
        </w:rPr>
        <w:t xml:space="preserve">initiation of reflections] </w:t>
      </w:r>
      <w:r w:rsidR="005336A6" w:rsidRPr="00813D19">
        <w:rPr>
          <w:bCs/>
          <w:lang w:val="en-US"/>
        </w:rPr>
        <w:t xml:space="preserve">in September 2019 </w:t>
      </w:r>
      <w:r w:rsidR="00B7232E" w:rsidRPr="00813D19">
        <w:rPr>
          <w:bCs/>
          <w:lang w:val="en-US"/>
        </w:rPr>
        <w:t>based on</w:t>
      </w:r>
      <w:r w:rsidR="00B0621A" w:rsidRPr="00813D19">
        <w:rPr>
          <w:bCs/>
          <w:lang w:val="en-US"/>
        </w:rPr>
        <w:t xml:space="preserve"> the </w:t>
      </w:r>
      <w:r w:rsidR="001F66ED" w:rsidRPr="00813D19">
        <w:rPr>
          <w:bCs/>
          <w:lang w:val="en-US"/>
        </w:rPr>
        <w:t xml:space="preserve">schedule </w:t>
      </w:r>
      <w:r w:rsidR="00F95E01" w:rsidRPr="00813D19">
        <w:rPr>
          <w:bCs/>
          <w:lang w:val="en-US"/>
        </w:rPr>
        <w:t>of</w:t>
      </w:r>
      <w:r w:rsidR="001F66ED" w:rsidRPr="00813D19">
        <w:rPr>
          <w:bCs/>
          <w:lang w:val="en-US"/>
        </w:rPr>
        <w:t xml:space="preserve"> the </w:t>
      </w:r>
      <w:r w:rsidR="00B0621A" w:rsidRPr="00813D19">
        <w:rPr>
          <w:bCs/>
          <w:lang w:val="en-US"/>
        </w:rPr>
        <w:t xml:space="preserve">other two expert </w:t>
      </w:r>
      <w:r w:rsidR="00374CDD" w:rsidRPr="00813D19">
        <w:rPr>
          <w:bCs/>
          <w:lang w:val="en-US"/>
        </w:rPr>
        <w:t>meeting</w:t>
      </w:r>
      <w:r w:rsidR="00B0621A" w:rsidRPr="00813D19">
        <w:rPr>
          <w:bCs/>
          <w:lang w:val="en-US"/>
        </w:rPr>
        <w:t xml:space="preserve">s, as mentioned earlier, and </w:t>
      </w:r>
      <w:r w:rsidR="001F66ED" w:rsidRPr="00813D19">
        <w:rPr>
          <w:bCs/>
          <w:lang w:val="en-US"/>
        </w:rPr>
        <w:t>consider</w:t>
      </w:r>
      <w:r w:rsidR="00B0621A" w:rsidRPr="00813D19">
        <w:rPr>
          <w:bCs/>
          <w:lang w:val="en-US"/>
        </w:rPr>
        <w:t xml:space="preserve">ing the time available to </w:t>
      </w:r>
      <w:r w:rsidR="001F66ED" w:rsidRPr="00813D19">
        <w:rPr>
          <w:bCs/>
          <w:lang w:val="en-US"/>
        </w:rPr>
        <w:t xml:space="preserve">host </w:t>
      </w:r>
      <w:r w:rsidR="00B0621A" w:rsidRPr="00813D19">
        <w:rPr>
          <w:bCs/>
          <w:lang w:val="en-US"/>
        </w:rPr>
        <w:t xml:space="preserve">it. Consequently, </w:t>
      </w:r>
      <w:r w:rsidR="00374CDD" w:rsidRPr="00813D19">
        <w:rPr>
          <w:bCs/>
          <w:lang w:val="en-US"/>
        </w:rPr>
        <w:t xml:space="preserve">a progress report </w:t>
      </w:r>
      <w:r w:rsidR="00B0621A" w:rsidRPr="00813D19">
        <w:rPr>
          <w:bCs/>
          <w:lang w:val="en-US"/>
        </w:rPr>
        <w:t xml:space="preserve">could only </w:t>
      </w:r>
      <w:r w:rsidR="00B7232E" w:rsidRPr="00813D19">
        <w:rPr>
          <w:bCs/>
          <w:lang w:val="en-US"/>
        </w:rPr>
        <w:t xml:space="preserve">be </w:t>
      </w:r>
      <w:r w:rsidR="00B0621A" w:rsidRPr="00813D19">
        <w:rPr>
          <w:bCs/>
          <w:lang w:val="en-US"/>
        </w:rPr>
        <w:t xml:space="preserve">presented in one year’s time </w:t>
      </w:r>
      <w:r w:rsidR="00374CDD" w:rsidRPr="00813D19">
        <w:rPr>
          <w:bCs/>
          <w:lang w:val="en-US"/>
        </w:rPr>
        <w:t xml:space="preserve">at the </w:t>
      </w:r>
      <w:r w:rsidR="00B0621A" w:rsidRPr="00813D19">
        <w:rPr>
          <w:bCs/>
          <w:lang w:val="en-US"/>
        </w:rPr>
        <w:t xml:space="preserve">fourteenth session of </w:t>
      </w:r>
      <w:r w:rsidR="00374CDD" w:rsidRPr="00813D19">
        <w:rPr>
          <w:bCs/>
          <w:lang w:val="en-US"/>
        </w:rPr>
        <w:t>the Committee</w:t>
      </w:r>
      <w:r w:rsidR="00B0621A" w:rsidRPr="00813D19">
        <w:rPr>
          <w:bCs/>
          <w:lang w:val="en-US"/>
        </w:rPr>
        <w:t xml:space="preserve">. The Secretary remarked that the Committees </w:t>
      </w:r>
      <w:r w:rsidR="00374CDD" w:rsidRPr="00813D19">
        <w:rPr>
          <w:bCs/>
          <w:lang w:val="en-US"/>
        </w:rPr>
        <w:t xml:space="preserve">themselves </w:t>
      </w:r>
      <w:r w:rsidR="00DA05A6">
        <w:rPr>
          <w:bCs/>
          <w:lang w:val="en-US"/>
        </w:rPr>
        <w:t>were</w:t>
      </w:r>
      <w:r w:rsidR="00DA05A6" w:rsidRPr="00813D19">
        <w:rPr>
          <w:bCs/>
          <w:lang w:val="en-US"/>
        </w:rPr>
        <w:t xml:space="preserve"> </w:t>
      </w:r>
      <w:r w:rsidR="00B0621A" w:rsidRPr="00813D19">
        <w:rPr>
          <w:bCs/>
          <w:lang w:val="en-US"/>
        </w:rPr>
        <w:t xml:space="preserve">in fact intergovernmental </w:t>
      </w:r>
      <w:r w:rsidR="00F95E01" w:rsidRPr="00813D19">
        <w:rPr>
          <w:bCs/>
          <w:lang w:val="en-US"/>
        </w:rPr>
        <w:t xml:space="preserve">consultation processes that provide </w:t>
      </w:r>
      <w:r w:rsidR="00B0621A" w:rsidRPr="00813D19">
        <w:rPr>
          <w:bCs/>
          <w:lang w:val="en-US"/>
        </w:rPr>
        <w:t>feedback on particular issue</w:t>
      </w:r>
      <w:r w:rsidR="00B7232E" w:rsidRPr="00813D19">
        <w:rPr>
          <w:bCs/>
          <w:lang w:val="en-US"/>
        </w:rPr>
        <w:t>s</w:t>
      </w:r>
      <w:r w:rsidR="00B0621A" w:rsidRPr="00813D19">
        <w:rPr>
          <w:bCs/>
          <w:lang w:val="en-US"/>
        </w:rPr>
        <w:t xml:space="preserve"> </w:t>
      </w:r>
      <w:r w:rsidR="00B7232E" w:rsidRPr="00813D19">
        <w:rPr>
          <w:bCs/>
          <w:lang w:val="en-US"/>
        </w:rPr>
        <w:t xml:space="preserve">among </w:t>
      </w:r>
      <w:r w:rsidR="00374CDD" w:rsidRPr="00813D19">
        <w:rPr>
          <w:bCs/>
          <w:lang w:val="en-US"/>
        </w:rPr>
        <w:t xml:space="preserve">Committee Members. The question </w:t>
      </w:r>
      <w:r w:rsidR="00B0621A" w:rsidRPr="00813D19">
        <w:rPr>
          <w:bCs/>
          <w:lang w:val="en-US"/>
        </w:rPr>
        <w:t xml:space="preserve">was </w:t>
      </w:r>
      <w:r w:rsidR="00374CDD" w:rsidRPr="00813D19">
        <w:rPr>
          <w:bCs/>
          <w:lang w:val="en-US"/>
        </w:rPr>
        <w:t xml:space="preserve">whether </w:t>
      </w:r>
      <w:r w:rsidR="00B0621A" w:rsidRPr="00813D19">
        <w:rPr>
          <w:bCs/>
          <w:lang w:val="en-US"/>
        </w:rPr>
        <w:t>the e</w:t>
      </w:r>
      <w:r w:rsidR="00374CDD" w:rsidRPr="00813D19">
        <w:rPr>
          <w:bCs/>
          <w:lang w:val="en-US"/>
        </w:rPr>
        <w:t xml:space="preserve">xpert meeting </w:t>
      </w:r>
      <w:r w:rsidR="00B16FCF" w:rsidRPr="00813D19">
        <w:rPr>
          <w:bCs/>
          <w:lang w:val="en-US"/>
        </w:rPr>
        <w:t xml:space="preserve">had </w:t>
      </w:r>
      <w:r w:rsidR="00F95E01" w:rsidRPr="00813D19">
        <w:rPr>
          <w:bCs/>
          <w:lang w:val="en-US"/>
        </w:rPr>
        <w:t xml:space="preserve">already </w:t>
      </w:r>
      <w:r w:rsidR="00B16FCF" w:rsidRPr="00813D19">
        <w:rPr>
          <w:bCs/>
          <w:lang w:val="en-US"/>
        </w:rPr>
        <w:t xml:space="preserve">been planned to provide amendments </w:t>
      </w:r>
      <w:r w:rsidR="00374CDD" w:rsidRPr="00813D19">
        <w:rPr>
          <w:bCs/>
          <w:lang w:val="en-US"/>
        </w:rPr>
        <w:t xml:space="preserve">to </w:t>
      </w:r>
      <w:r w:rsidR="00B16FCF" w:rsidRPr="00813D19">
        <w:rPr>
          <w:bCs/>
          <w:lang w:val="en-US"/>
        </w:rPr>
        <w:t xml:space="preserve">the </w:t>
      </w:r>
      <w:r w:rsidR="00374CDD" w:rsidRPr="00813D19">
        <w:rPr>
          <w:bCs/>
          <w:lang w:val="en-US"/>
        </w:rPr>
        <w:t>Operational Directive</w:t>
      </w:r>
      <w:r w:rsidR="00B7232E" w:rsidRPr="00813D19">
        <w:rPr>
          <w:bCs/>
          <w:lang w:val="en-US"/>
        </w:rPr>
        <w:t>s</w:t>
      </w:r>
      <w:r w:rsidR="00374CDD" w:rsidRPr="00813D19">
        <w:rPr>
          <w:bCs/>
          <w:lang w:val="en-US"/>
        </w:rPr>
        <w:t xml:space="preserve">. </w:t>
      </w:r>
      <w:r w:rsidR="00B16FCF" w:rsidRPr="00813D19">
        <w:rPr>
          <w:bCs/>
          <w:lang w:val="en-US"/>
        </w:rPr>
        <w:t xml:space="preserve">However, the Secretary considered this </w:t>
      </w:r>
      <w:r w:rsidR="00DA05A6">
        <w:rPr>
          <w:bCs/>
          <w:lang w:val="en-US"/>
        </w:rPr>
        <w:t xml:space="preserve">to be </w:t>
      </w:r>
      <w:r w:rsidR="00B16FCF" w:rsidRPr="00813D19">
        <w:rPr>
          <w:bCs/>
          <w:lang w:val="en-US"/>
        </w:rPr>
        <w:t>unrealistic, as it wou</w:t>
      </w:r>
      <w:r w:rsidR="00B7232E" w:rsidRPr="00813D19">
        <w:rPr>
          <w:bCs/>
          <w:lang w:val="en-US"/>
        </w:rPr>
        <w:t>l</w:t>
      </w:r>
      <w:r w:rsidR="00B16FCF" w:rsidRPr="00813D19">
        <w:rPr>
          <w:bCs/>
          <w:lang w:val="en-US"/>
        </w:rPr>
        <w:t xml:space="preserve">d be rushed </w:t>
      </w:r>
      <w:r w:rsidR="000D458F" w:rsidRPr="00813D19">
        <w:rPr>
          <w:bCs/>
          <w:lang w:val="en-US"/>
        </w:rPr>
        <w:t xml:space="preserve">with insufficient </w:t>
      </w:r>
      <w:r w:rsidR="00374CDD" w:rsidRPr="00813D19">
        <w:rPr>
          <w:bCs/>
          <w:lang w:val="en-US"/>
        </w:rPr>
        <w:t>consultation</w:t>
      </w:r>
      <w:r w:rsidR="00B16FCF" w:rsidRPr="00813D19">
        <w:rPr>
          <w:bCs/>
          <w:lang w:val="en-US"/>
        </w:rPr>
        <w:t>s</w:t>
      </w:r>
      <w:r w:rsidR="000D458F" w:rsidRPr="00813D19">
        <w:rPr>
          <w:bCs/>
          <w:lang w:val="en-US"/>
        </w:rPr>
        <w:t>,</w:t>
      </w:r>
      <w:r w:rsidR="00374CDD" w:rsidRPr="00813D19">
        <w:rPr>
          <w:bCs/>
          <w:lang w:val="en-US"/>
        </w:rPr>
        <w:t xml:space="preserve"> unless </w:t>
      </w:r>
      <w:r w:rsidR="00B16FCF" w:rsidRPr="00813D19">
        <w:rPr>
          <w:bCs/>
          <w:lang w:val="en-US"/>
        </w:rPr>
        <w:t xml:space="preserve">other requirements were dropped, such as intangible cultural heritage </w:t>
      </w:r>
      <w:r w:rsidR="00374CDD" w:rsidRPr="00813D19">
        <w:rPr>
          <w:bCs/>
          <w:lang w:val="en-US"/>
        </w:rPr>
        <w:t>in emergencies</w:t>
      </w:r>
      <w:r w:rsidR="00B16FCF" w:rsidRPr="00813D19">
        <w:rPr>
          <w:bCs/>
          <w:lang w:val="en-US"/>
        </w:rPr>
        <w:t xml:space="preserve"> or</w:t>
      </w:r>
      <w:r w:rsidR="00374CDD" w:rsidRPr="00813D19">
        <w:rPr>
          <w:bCs/>
          <w:lang w:val="en-US"/>
        </w:rPr>
        <w:t xml:space="preserve"> the renewal of the </w:t>
      </w:r>
      <w:r w:rsidR="00B16FCF" w:rsidRPr="00813D19">
        <w:rPr>
          <w:bCs/>
          <w:lang w:val="en-US"/>
        </w:rPr>
        <w:t xml:space="preserve">NGO </w:t>
      </w:r>
      <w:r w:rsidR="00374CDD" w:rsidRPr="00813D19">
        <w:rPr>
          <w:bCs/>
          <w:lang w:val="en-US"/>
        </w:rPr>
        <w:t>accreditation system</w:t>
      </w:r>
      <w:r w:rsidR="00B16FCF" w:rsidRPr="00813D19">
        <w:rPr>
          <w:bCs/>
          <w:lang w:val="en-US"/>
        </w:rPr>
        <w:t xml:space="preserve"> and</w:t>
      </w:r>
      <w:r w:rsidR="00374CDD" w:rsidRPr="00813D19">
        <w:rPr>
          <w:bCs/>
          <w:lang w:val="en-US"/>
        </w:rPr>
        <w:t xml:space="preserve"> </w:t>
      </w:r>
      <w:r w:rsidR="00B16FCF" w:rsidRPr="00813D19">
        <w:rPr>
          <w:bCs/>
          <w:lang w:val="en-US"/>
        </w:rPr>
        <w:t xml:space="preserve">the </w:t>
      </w:r>
      <w:r w:rsidR="00374CDD" w:rsidRPr="00813D19">
        <w:rPr>
          <w:bCs/>
          <w:lang w:val="en-US"/>
        </w:rPr>
        <w:t xml:space="preserve">reflection on their engagement. </w:t>
      </w:r>
      <w:r w:rsidR="00B16FCF" w:rsidRPr="00813D19">
        <w:rPr>
          <w:bCs/>
          <w:lang w:val="en-US"/>
        </w:rPr>
        <w:t xml:space="preserve">The Secretariat </w:t>
      </w:r>
      <w:r w:rsidR="00374CDD" w:rsidRPr="00813D19">
        <w:rPr>
          <w:bCs/>
          <w:lang w:val="en-US"/>
        </w:rPr>
        <w:t xml:space="preserve">simply </w:t>
      </w:r>
      <w:r w:rsidR="00B16FCF" w:rsidRPr="00813D19">
        <w:rPr>
          <w:bCs/>
          <w:lang w:val="en-US"/>
        </w:rPr>
        <w:t xml:space="preserve">could not continue </w:t>
      </w:r>
      <w:r w:rsidR="00374CDD" w:rsidRPr="00813D19">
        <w:rPr>
          <w:bCs/>
          <w:lang w:val="en-US"/>
        </w:rPr>
        <w:t xml:space="preserve">adding </w:t>
      </w:r>
      <w:r w:rsidR="00B16FCF" w:rsidRPr="00813D19">
        <w:rPr>
          <w:bCs/>
          <w:lang w:val="en-US"/>
        </w:rPr>
        <w:t xml:space="preserve">more </w:t>
      </w:r>
      <w:r w:rsidR="00B7232E" w:rsidRPr="00813D19">
        <w:rPr>
          <w:bCs/>
          <w:lang w:val="en-US"/>
        </w:rPr>
        <w:t xml:space="preserve">items </w:t>
      </w:r>
      <w:r w:rsidR="00374CDD" w:rsidRPr="00813D19">
        <w:rPr>
          <w:bCs/>
          <w:lang w:val="en-US"/>
        </w:rPr>
        <w:t xml:space="preserve">without </w:t>
      </w:r>
      <w:r w:rsidR="00727672" w:rsidRPr="00813D19">
        <w:rPr>
          <w:bCs/>
          <w:lang w:val="en-US"/>
        </w:rPr>
        <w:t xml:space="preserve">being given </w:t>
      </w:r>
      <w:r w:rsidR="00B7232E" w:rsidRPr="00813D19">
        <w:rPr>
          <w:bCs/>
          <w:lang w:val="en-US"/>
        </w:rPr>
        <w:t xml:space="preserve">any </w:t>
      </w:r>
      <w:r w:rsidR="00727672" w:rsidRPr="00813D19">
        <w:rPr>
          <w:bCs/>
          <w:lang w:val="en-US"/>
        </w:rPr>
        <w:t>more</w:t>
      </w:r>
      <w:r w:rsidR="00B7232E" w:rsidRPr="00813D19">
        <w:rPr>
          <w:bCs/>
          <w:lang w:val="en-US"/>
        </w:rPr>
        <w:t xml:space="preserve"> </w:t>
      </w:r>
      <w:r w:rsidR="00B67A60">
        <w:rPr>
          <w:bCs/>
          <w:lang w:val="en-US"/>
        </w:rPr>
        <w:t>time.</w:t>
      </w:r>
    </w:p>
    <w:p w14:paraId="2AEF8595" w14:textId="7B6FED90" w:rsidR="00B5003D" w:rsidRPr="00813D19" w:rsidRDefault="00790BA7" w:rsidP="002018F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Pr="00813D19">
        <w:rPr>
          <w:bCs/>
          <w:lang w:val="en-US"/>
        </w:rPr>
        <w:t xml:space="preserve">continued to address the timeline through to </w:t>
      </w:r>
      <w:r w:rsidR="00B7232E" w:rsidRPr="00813D19">
        <w:rPr>
          <w:bCs/>
          <w:lang w:val="en-US"/>
        </w:rPr>
        <w:t xml:space="preserve">June 2020 and </w:t>
      </w:r>
      <w:r w:rsidRPr="00813D19">
        <w:rPr>
          <w:bCs/>
          <w:lang w:val="en-US"/>
        </w:rPr>
        <w:t>the next General Assembly, adding that t</w:t>
      </w:r>
      <w:r w:rsidR="00374CDD" w:rsidRPr="00813D19">
        <w:rPr>
          <w:bCs/>
          <w:lang w:val="en-US"/>
        </w:rPr>
        <w:t xml:space="preserve">o </w:t>
      </w:r>
      <w:r w:rsidRPr="00813D19">
        <w:rPr>
          <w:bCs/>
          <w:lang w:val="en-US"/>
        </w:rPr>
        <w:t xml:space="preserve">envision an </w:t>
      </w:r>
      <w:r w:rsidR="00374CDD" w:rsidRPr="00813D19">
        <w:rPr>
          <w:bCs/>
          <w:lang w:val="en-US"/>
        </w:rPr>
        <w:t xml:space="preserve">entire revision by then </w:t>
      </w:r>
      <w:r w:rsidRPr="00813D19">
        <w:rPr>
          <w:bCs/>
          <w:lang w:val="en-US"/>
        </w:rPr>
        <w:t>was</w:t>
      </w:r>
      <w:r w:rsidR="00374CDD" w:rsidRPr="00813D19">
        <w:rPr>
          <w:bCs/>
          <w:lang w:val="en-US"/>
        </w:rPr>
        <w:t xml:space="preserve">, in </w:t>
      </w:r>
      <w:r w:rsidRPr="00813D19">
        <w:rPr>
          <w:bCs/>
          <w:lang w:val="en-US"/>
        </w:rPr>
        <w:t xml:space="preserve">his </w:t>
      </w:r>
      <w:r w:rsidR="00374CDD" w:rsidRPr="00813D19">
        <w:rPr>
          <w:bCs/>
          <w:lang w:val="en-US"/>
        </w:rPr>
        <w:t xml:space="preserve">opinion, unrealistic. </w:t>
      </w:r>
      <w:r w:rsidRPr="00813D19">
        <w:rPr>
          <w:bCs/>
          <w:lang w:val="en-US"/>
        </w:rPr>
        <w:t>The issue of a transfer of an element, the follow-</w:t>
      </w:r>
      <w:r w:rsidR="00374CDD" w:rsidRPr="00813D19">
        <w:rPr>
          <w:bCs/>
          <w:lang w:val="en-US"/>
        </w:rPr>
        <w:t xml:space="preserve">up to the elements, the dialogue process, </w:t>
      </w:r>
      <w:r w:rsidRPr="00813D19">
        <w:rPr>
          <w:bCs/>
          <w:lang w:val="en-US"/>
        </w:rPr>
        <w:t xml:space="preserve">and </w:t>
      </w:r>
      <w:r w:rsidR="00374CDD" w:rsidRPr="00813D19">
        <w:rPr>
          <w:bCs/>
          <w:lang w:val="en-US"/>
        </w:rPr>
        <w:t xml:space="preserve">the </w:t>
      </w:r>
      <w:r w:rsidRPr="00813D19">
        <w:rPr>
          <w:bCs/>
          <w:lang w:val="en-US"/>
        </w:rPr>
        <w:t xml:space="preserve">length of </w:t>
      </w:r>
      <w:r w:rsidR="00374CDD" w:rsidRPr="00813D19">
        <w:rPr>
          <w:bCs/>
          <w:lang w:val="en-US"/>
        </w:rPr>
        <w:t xml:space="preserve">a referral </w:t>
      </w:r>
      <w:r w:rsidRPr="00813D19">
        <w:rPr>
          <w:bCs/>
          <w:lang w:val="en-US"/>
        </w:rPr>
        <w:t xml:space="preserve">were all complex </w:t>
      </w:r>
      <w:r w:rsidR="00374CDD" w:rsidRPr="00813D19">
        <w:rPr>
          <w:bCs/>
          <w:lang w:val="en-US"/>
        </w:rPr>
        <w:t xml:space="preserve">questions </w:t>
      </w:r>
      <w:r w:rsidRPr="00813D19">
        <w:rPr>
          <w:bCs/>
          <w:lang w:val="en-US"/>
        </w:rPr>
        <w:t xml:space="preserve">that could not be rushed. The </w:t>
      </w:r>
      <w:r w:rsidR="00374CDD" w:rsidRPr="00813D19">
        <w:rPr>
          <w:bCs/>
          <w:lang w:val="en-US"/>
        </w:rPr>
        <w:t xml:space="preserve">idea </w:t>
      </w:r>
      <w:r w:rsidRPr="00813D19">
        <w:rPr>
          <w:bCs/>
          <w:lang w:val="en-US"/>
        </w:rPr>
        <w:t xml:space="preserve">was that the reform of the Convention would engage positively into the next </w:t>
      </w:r>
      <w:r w:rsidR="00DA05A6">
        <w:rPr>
          <w:bCs/>
          <w:lang w:val="en-US"/>
        </w:rPr>
        <w:t>fifteen</w:t>
      </w:r>
      <w:r w:rsidR="00DA05A6" w:rsidRPr="00813D19">
        <w:rPr>
          <w:bCs/>
          <w:lang w:val="en-US"/>
        </w:rPr>
        <w:t xml:space="preserve"> </w:t>
      </w:r>
      <w:r w:rsidR="00374CDD" w:rsidRPr="00813D19">
        <w:rPr>
          <w:bCs/>
          <w:lang w:val="en-US"/>
        </w:rPr>
        <w:t xml:space="preserve">years </w:t>
      </w:r>
      <w:r w:rsidRPr="00813D19">
        <w:rPr>
          <w:bCs/>
          <w:lang w:val="en-US"/>
        </w:rPr>
        <w:t>so that there would not be a constant</w:t>
      </w:r>
      <w:r w:rsidR="00374CDD" w:rsidRPr="00813D19">
        <w:rPr>
          <w:bCs/>
          <w:lang w:val="en-US"/>
        </w:rPr>
        <w:t xml:space="preserve"> </w:t>
      </w:r>
      <w:r w:rsidRPr="00813D19">
        <w:rPr>
          <w:bCs/>
          <w:lang w:val="en-US"/>
        </w:rPr>
        <w:t xml:space="preserve">need </w:t>
      </w:r>
      <w:r w:rsidR="00374CDD" w:rsidRPr="00813D19">
        <w:rPr>
          <w:bCs/>
          <w:lang w:val="en-US"/>
        </w:rPr>
        <w:t xml:space="preserve">to fix </w:t>
      </w:r>
      <w:r w:rsidRPr="00813D19">
        <w:rPr>
          <w:bCs/>
          <w:lang w:val="en-US"/>
        </w:rPr>
        <w:t xml:space="preserve">the </w:t>
      </w:r>
      <w:r w:rsidR="00374CDD" w:rsidRPr="00813D19">
        <w:rPr>
          <w:bCs/>
          <w:lang w:val="en-US"/>
        </w:rPr>
        <w:t xml:space="preserve">issues </w:t>
      </w:r>
      <w:r w:rsidR="00DA05A6">
        <w:rPr>
          <w:bCs/>
          <w:lang w:val="en-US"/>
        </w:rPr>
        <w:t>on</w:t>
      </w:r>
      <w:r w:rsidR="00DA05A6" w:rsidRPr="00813D19">
        <w:rPr>
          <w:bCs/>
          <w:lang w:val="en-US"/>
        </w:rPr>
        <w:t xml:space="preserve"> </w:t>
      </w:r>
      <w:r w:rsidRPr="00813D19">
        <w:rPr>
          <w:bCs/>
          <w:lang w:val="en-US"/>
        </w:rPr>
        <w:t xml:space="preserve">a piecemeal basis, </w:t>
      </w:r>
      <w:r w:rsidR="00374CDD" w:rsidRPr="00813D19">
        <w:rPr>
          <w:bCs/>
          <w:lang w:val="en-US"/>
        </w:rPr>
        <w:t xml:space="preserve">but </w:t>
      </w:r>
      <w:r w:rsidRPr="00813D19">
        <w:rPr>
          <w:bCs/>
          <w:lang w:val="en-US"/>
        </w:rPr>
        <w:t xml:space="preserve">instead work towards </w:t>
      </w:r>
      <w:r w:rsidR="00374CDD" w:rsidRPr="00813D19">
        <w:rPr>
          <w:bCs/>
          <w:lang w:val="en-US"/>
        </w:rPr>
        <w:t xml:space="preserve">a </w:t>
      </w:r>
      <w:r w:rsidR="00B7232E" w:rsidRPr="00813D19">
        <w:rPr>
          <w:bCs/>
          <w:lang w:val="en-US"/>
        </w:rPr>
        <w:t xml:space="preserve">more </w:t>
      </w:r>
      <w:r w:rsidR="00374CDD" w:rsidRPr="00813D19">
        <w:rPr>
          <w:bCs/>
          <w:lang w:val="en-US"/>
        </w:rPr>
        <w:t xml:space="preserve">comprehensive and integral reform. </w:t>
      </w:r>
      <w:r w:rsidRPr="00813D19">
        <w:rPr>
          <w:bCs/>
          <w:lang w:val="en-US"/>
        </w:rPr>
        <w:t>T</w:t>
      </w:r>
      <w:r w:rsidR="00374CDD" w:rsidRPr="00813D19">
        <w:rPr>
          <w:bCs/>
          <w:lang w:val="en-US"/>
        </w:rPr>
        <w:t xml:space="preserve">he General Assembly </w:t>
      </w:r>
      <w:r w:rsidRPr="00813D19">
        <w:rPr>
          <w:bCs/>
          <w:lang w:val="en-US"/>
        </w:rPr>
        <w:t xml:space="preserve">would thus </w:t>
      </w:r>
      <w:r w:rsidR="00B7232E" w:rsidRPr="00813D19">
        <w:rPr>
          <w:bCs/>
          <w:lang w:val="en-US"/>
        </w:rPr>
        <w:t>broaden</w:t>
      </w:r>
      <w:r w:rsidR="00374CDD" w:rsidRPr="00813D19">
        <w:rPr>
          <w:bCs/>
          <w:lang w:val="en-US"/>
        </w:rPr>
        <w:t xml:space="preserve"> </w:t>
      </w:r>
      <w:r w:rsidR="00B7232E" w:rsidRPr="00813D19">
        <w:rPr>
          <w:bCs/>
          <w:lang w:val="en-US"/>
        </w:rPr>
        <w:t xml:space="preserve">the </w:t>
      </w:r>
      <w:r w:rsidR="00374CDD" w:rsidRPr="00813D19">
        <w:rPr>
          <w:bCs/>
          <w:lang w:val="en-US"/>
        </w:rPr>
        <w:t>consultation process</w:t>
      </w:r>
      <w:r w:rsidR="00727672" w:rsidRPr="00813D19">
        <w:rPr>
          <w:bCs/>
          <w:lang w:val="en-US"/>
        </w:rPr>
        <w:t>,</w:t>
      </w:r>
      <w:r w:rsidR="00374CDD" w:rsidRPr="00813D19">
        <w:rPr>
          <w:bCs/>
          <w:lang w:val="en-US"/>
        </w:rPr>
        <w:t xml:space="preserve"> </w:t>
      </w:r>
      <w:r w:rsidR="00727672" w:rsidRPr="00813D19">
        <w:rPr>
          <w:bCs/>
          <w:lang w:val="en-US"/>
        </w:rPr>
        <w:t>as the General Assembly has</w:t>
      </w:r>
      <w:r w:rsidRPr="00813D19">
        <w:rPr>
          <w:bCs/>
          <w:lang w:val="en-US"/>
        </w:rPr>
        <w:t xml:space="preserve"> </w:t>
      </w:r>
      <w:r w:rsidR="00374CDD" w:rsidRPr="00813D19">
        <w:rPr>
          <w:bCs/>
          <w:lang w:val="en-US"/>
        </w:rPr>
        <w:t xml:space="preserve">the authority over these issues </w:t>
      </w:r>
      <w:r w:rsidRPr="00813D19">
        <w:rPr>
          <w:bCs/>
          <w:lang w:val="en-US"/>
        </w:rPr>
        <w:t xml:space="preserve">and </w:t>
      </w:r>
      <w:r w:rsidR="00DA05A6">
        <w:rPr>
          <w:bCs/>
          <w:lang w:val="en-US"/>
        </w:rPr>
        <w:t>provides</w:t>
      </w:r>
      <w:r w:rsidR="00DA05A6" w:rsidRPr="00813D19">
        <w:rPr>
          <w:bCs/>
          <w:lang w:val="en-US"/>
        </w:rPr>
        <w:t xml:space="preserve"> </w:t>
      </w:r>
      <w:r w:rsidR="00374CDD" w:rsidRPr="00813D19">
        <w:rPr>
          <w:bCs/>
          <w:lang w:val="en-US"/>
        </w:rPr>
        <w:t xml:space="preserve">the opportunity for all 178 States Parties to discuss </w:t>
      </w:r>
      <w:r w:rsidRPr="00813D19">
        <w:rPr>
          <w:bCs/>
          <w:lang w:val="en-US"/>
        </w:rPr>
        <w:t xml:space="preserve">and </w:t>
      </w:r>
      <w:r w:rsidR="00374CDD" w:rsidRPr="00813D19">
        <w:rPr>
          <w:bCs/>
          <w:lang w:val="en-US"/>
        </w:rPr>
        <w:t>effectively re</w:t>
      </w:r>
      <w:r w:rsidR="00727672" w:rsidRPr="00813D19">
        <w:rPr>
          <w:bCs/>
          <w:lang w:val="en-US"/>
        </w:rPr>
        <w:t>-</w:t>
      </w:r>
      <w:r w:rsidR="00374CDD" w:rsidRPr="00813D19">
        <w:rPr>
          <w:bCs/>
          <w:lang w:val="en-US"/>
        </w:rPr>
        <w:t xml:space="preserve">initiate </w:t>
      </w:r>
      <w:r w:rsidRPr="00813D19">
        <w:rPr>
          <w:bCs/>
          <w:lang w:val="en-US"/>
        </w:rPr>
        <w:t>another two-period after that, which brought</w:t>
      </w:r>
      <w:r w:rsidR="00727672" w:rsidRPr="00813D19">
        <w:rPr>
          <w:bCs/>
          <w:lang w:val="en-US"/>
        </w:rPr>
        <w:t xml:space="preserve"> </w:t>
      </w:r>
      <w:r w:rsidRPr="00813D19">
        <w:rPr>
          <w:bCs/>
          <w:lang w:val="en-US"/>
        </w:rPr>
        <w:t xml:space="preserve">the process to </w:t>
      </w:r>
      <w:r w:rsidR="00374CDD" w:rsidRPr="00813D19">
        <w:rPr>
          <w:bCs/>
          <w:lang w:val="en-US"/>
        </w:rPr>
        <w:t xml:space="preserve">three years and a few months. </w:t>
      </w:r>
      <w:r w:rsidRPr="00813D19">
        <w:rPr>
          <w:bCs/>
          <w:lang w:val="en-US"/>
        </w:rPr>
        <w:t>O</w:t>
      </w:r>
      <w:r w:rsidR="00374CDD" w:rsidRPr="00813D19">
        <w:rPr>
          <w:bCs/>
          <w:lang w:val="en-US"/>
        </w:rPr>
        <w:t xml:space="preserve">ne </w:t>
      </w:r>
      <w:r w:rsidRPr="00813D19">
        <w:rPr>
          <w:bCs/>
          <w:lang w:val="en-US"/>
        </w:rPr>
        <w:t xml:space="preserve">quicker </w:t>
      </w:r>
      <w:r w:rsidR="00374CDD" w:rsidRPr="00813D19">
        <w:rPr>
          <w:bCs/>
          <w:lang w:val="en-US"/>
        </w:rPr>
        <w:t xml:space="preserve">option </w:t>
      </w:r>
      <w:r w:rsidRPr="00813D19">
        <w:rPr>
          <w:bCs/>
          <w:lang w:val="en-US"/>
        </w:rPr>
        <w:t xml:space="preserve">would </w:t>
      </w:r>
      <w:r w:rsidR="00374CDD" w:rsidRPr="00813D19">
        <w:rPr>
          <w:bCs/>
          <w:lang w:val="en-US"/>
        </w:rPr>
        <w:t xml:space="preserve">be to change the title of the intergovernmental working group to a </w:t>
      </w:r>
      <w:r w:rsidR="00727672" w:rsidRPr="00813D19">
        <w:rPr>
          <w:bCs/>
          <w:lang w:val="en-US"/>
        </w:rPr>
        <w:t>‘</w:t>
      </w:r>
      <w:r w:rsidR="00374CDD" w:rsidRPr="00813D19">
        <w:rPr>
          <w:bCs/>
          <w:lang w:val="en-US"/>
        </w:rPr>
        <w:t>special session of the General Assembly</w:t>
      </w:r>
      <w:r w:rsidR="00727672" w:rsidRPr="00813D19">
        <w:rPr>
          <w:bCs/>
          <w:lang w:val="en-US"/>
        </w:rPr>
        <w:t>’</w:t>
      </w:r>
      <w:r w:rsidR="00C21F9D" w:rsidRPr="00813D19">
        <w:rPr>
          <w:bCs/>
          <w:lang w:val="en-US"/>
        </w:rPr>
        <w:t>,</w:t>
      </w:r>
      <w:r w:rsidR="00374CDD" w:rsidRPr="00813D19">
        <w:rPr>
          <w:bCs/>
          <w:lang w:val="en-US"/>
        </w:rPr>
        <w:t xml:space="preserve"> but that would be one less intergovernmental reflection</w:t>
      </w:r>
      <w:r w:rsidR="00B5003D" w:rsidRPr="00813D19">
        <w:rPr>
          <w:bCs/>
          <w:lang w:val="en-US"/>
        </w:rPr>
        <w:t>,</w:t>
      </w:r>
      <w:r w:rsidR="00374CDD" w:rsidRPr="00813D19">
        <w:rPr>
          <w:bCs/>
          <w:lang w:val="en-US"/>
        </w:rPr>
        <w:t xml:space="preserve"> </w:t>
      </w:r>
      <w:r w:rsidR="009B0A66" w:rsidRPr="00813D19">
        <w:rPr>
          <w:bCs/>
          <w:lang w:val="en-US"/>
        </w:rPr>
        <w:t xml:space="preserve">as well as </w:t>
      </w:r>
      <w:r w:rsidR="00374CDD" w:rsidRPr="00813D19">
        <w:rPr>
          <w:bCs/>
          <w:lang w:val="en-US"/>
        </w:rPr>
        <w:t xml:space="preserve">other complications. </w:t>
      </w:r>
      <w:r w:rsidR="00C21F9D" w:rsidRPr="00813D19">
        <w:rPr>
          <w:bCs/>
          <w:lang w:val="en-US"/>
        </w:rPr>
        <w:t xml:space="preserve">Thus, </w:t>
      </w:r>
      <w:r w:rsidR="00B5003D" w:rsidRPr="00813D19">
        <w:rPr>
          <w:bCs/>
          <w:lang w:val="en-US"/>
        </w:rPr>
        <w:t xml:space="preserve">it was not really feasible </w:t>
      </w:r>
      <w:r w:rsidR="00374CDD" w:rsidRPr="00813D19">
        <w:rPr>
          <w:bCs/>
          <w:lang w:val="en-US"/>
        </w:rPr>
        <w:t xml:space="preserve">to </w:t>
      </w:r>
      <w:r w:rsidR="00727672" w:rsidRPr="00813D19">
        <w:rPr>
          <w:bCs/>
          <w:lang w:val="en-US"/>
        </w:rPr>
        <w:t>fo</w:t>
      </w:r>
      <w:r w:rsidR="00B5003D" w:rsidRPr="00813D19">
        <w:rPr>
          <w:bCs/>
          <w:lang w:val="en-US"/>
        </w:rPr>
        <w:t xml:space="preserve">resee the meeting </w:t>
      </w:r>
      <w:r w:rsidR="00374CDD" w:rsidRPr="00813D19">
        <w:rPr>
          <w:bCs/>
          <w:lang w:val="en-US"/>
        </w:rPr>
        <w:t>before 2021 given the resources</w:t>
      </w:r>
      <w:r w:rsidR="00B5003D" w:rsidRPr="00813D19">
        <w:rPr>
          <w:bCs/>
          <w:lang w:val="en-US"/>
        </w:rPr>
        <w:t>,</w:t>
      </w:r>
      <w:r w:rsidR="00374CDD" w:rsidRPr="00813D19">
        <w:rPr>
          <w:bCs/>
          <w:lang w:val="en-US"/>
        </w:rPr>
        <w:t xml:space="preserve"> not only of </w:t>
      </w:r>
      <w:r w:rsidR="00727672" w:rsidRPr="00813D19">
        <w:rPr>
          <w:bCs/>
          <w:lang w:val="en-US"/>
        </w:rPr>
        <w:t>the Secretariat</w:t>
      </w:r>
      <w:r w:rsidR="00B5003D" w:rsidRPr="00813D19">
        <w:rPr>
          <w:bCs/>
          <w:lang w:val="en-US"/>
        </w:rPr>
        <w:t xml:space="preserve"> </w:t>
      </w:r>
      <w:r w:rsidR="00374CDD" w:rsidRPr="00813D19">
        <w:rPr>
          <w:bCs/>
          <w:lang w:val="en-US"/>
        </w:rPr>
        <w:t xml:space="preserve">but </w:t>
      </w:r>
      <w:r w:rsidR="00B5003D" w:rsidRPr="00813D19">
        <w:rPr>
          <w:bCs/>
          <w:lang w:val="en-US"/>
        </w:rPr>
        <w:t xml:space="preserve">in order to meet </w:t>
      </w:r>
      <w:r w:rsidR="00374CDD" w:rsidRPr="00813D19">
        <w:rPr>
          <w:bCs/>
          <w:lang w:val="en-US"/>
        </w:rPr>
        <w:t xml:space="preserve">the </w:t>
      </w:r>
      <w:r w:rsidR="00B5003D" w:rsidRPr="00813D19">
        <w:rPr>
          <w:bCs/>
          <w:lang w:val="en-US"/>
        </w:rPr>
        <w:t xml:space="preserve">other requests </w:t>
      </w:r>
      <w:r w:rsidR="00727672" w:rsidRPr="00813D19">
        <w:rPr>
          <w:bCs/>
          <w:lang w:val="en-US"/>
        </w:rPr>
        <w:t xml:space="preserve">made by </w:t>
      </w:r>
      <w:r w:rsidR="00B5003D" w:rsidRPr="00813D19">
        <w:rPr>
          <w:bCs/>
          <w:lang w:val="en-US"/>
        </w:rPr>
        <w:t xml:space="preserve">the </w:t>
      </w:r>
      <w:r w:rsidR="00374CDD" w:rsidRPr="00813D19">
        <w:rPr>
          <w:bCs/>
          <w:lang w:val="en-US"/>
        </w:rPr>
        <w:t xml:space="preserve">Committee. </w:t>
      </w:r>
      <w:r w:rsidR="00B5003D" w:rsidRPr="00813D19">
        <w:rPr>
          <w:bCs/>
          <w:lang w:val="en-US"/>
        </w:rPr>
        <w:t xml:space="preserve">There might, however, be a possibility should the </w:t>
      </w:r>
      <w:r w:rsidR="00374CDD" w:rsidRPr="00813D19">
        <w:rPr>
          <w:bCs/>
          <w:lang w:val="en-US"/>
        </w:rPr>
        <w:t xml:space="preserve">Committee </w:t>
      </w:r>
      <w:r w:rsidR="00B5003D" w:rsidRPr="00813D19">
        <w:rPr>
          <w:bCs/>
          <w:lang w:val="en-US"/>
        </w:rPr>
        <w:t xml:space="preserve">consider </w:t>
      </w:r>
      <w:r w:rsidR="00374CDD" w:rsidRPr="00813D19">
        <w:rPr>
          <w:bCs/>
          <w:lang w:val="en-US"/>
        </w:rPr>
        <w:t>withdraw</w:t>
      </w:r>
      <w:r w:rsidR="00B5003D" w:rsidRPr="00813D19">
        <w:rPr>
          <w:bCs/>
          <w:lang w:val="en-US"/>
        </w:rPr>
        <w:t>ing</w:t>
      </w:r>
      <w:r w:rsidR="00374CDD" w:rsidRPr="00813D19">
        <w:rPr>
          <w:bCs/>
          <w:lang w:val="en-US"/>
        </w:rPr>
        <w:t xml:space="preserve"> </w:t>
      </w:r>
      <w:r w:rsidR="00B5003D" w:rsidRPr="00813D19">
        <w:rPr>
          <w:bCs/>
          <w:lang w:val="en-US"/>
        </w:rPr>
        <w:t xml:space="preserve">or suspending </w:t>
      </w:r>
      <w:r w:rsidR="00374CDD" w:rsidRPr="00813D19">
        <w:rPr>
          <w:bCs/>
          <w:lang w:val="en-US"/>
        </w:rPr>
        <w:t>other process</w:t>
      </w:r>
      <w:r w:rsidR="00B5003D" w:rsidRPr="00813D19">
        <w:rPr>
          <w:bCs/>
          <w:lang w:val="en-US"/>
        </w:rPr>
        <w:t>es</w:t>
      </w:r>
      <w:r w:rsidR="00374CDD" w:rsidRPr="00813D19">
        <w:rPr>
          <w:bCs/>
          <w:lang w:val="en-US"/>
        </w:rPr>
        <w:t xml:space="preserve">, </w:t>
      </w:r>
      <w:r w:rsidR="00B5003D" w:rsidRPr="00813D19">
        <w:rPr>
          <w:bCs/>
          <w:lang w:val="en-US"/>
        </w:rPr>
        <w:t xml:space="preserve">which was also in addition to the issue </w:t>
      </w:r>
      <w:r w:rsidR="00727672" w:rsidRPr="00813D19">
        <w:rPr>
          <w:bCs/>
          <w:lang w:val="en-US"/>
        </w:rPr>
        <w:t xml:space="preserve">of financing, as </w:t>
      </w:r>
      <w:r w:rsidR="00B5003D" w:rsidRPr="00813D19">
        <w:rPr>
          <w:bCs/>
          <w:lang w:val="en-US"/>
        </w:rPr>
        <w:t xml:space="preserve">the </w:t>
      </w:r>
      <w:r w:rsidR="00374CDD" w:rsidRPr="00813D19">
        <w:rPr>
          <w:bCs/>
          <w:lang w:val="en-US"/>
        </w:rPr>
        <w:t>open-ended intergovernmental working group</w:t>
      </w:r>
      <w:r w:rsidR="00B5003D" w:rsidRPr="00813D19">
        <w:rPr>
          <w:bCs/>
          <w:lang w:val="en-US"/>
        </w:rPr>
        <w:t xml:space="preserve"> was not yet fully funded, though it might well be by 2021</w:t>
      </w:r>
      <w:r w:rsidR="00B67A60">
        <w:rPr>
          <w:bCs/>
          <w:lang w:val="en-US"/>
        </w:rPr>
        <w:t>.</w:t>
      </w:r>
    </w:p>
    <w:p w14:paraId="1FA52448" w14:textId="4D778EFA" w:rsidR="00F42B12" w:rsidRPr="00813D19" w:rsidRDefault="00B5003D" w:rsidP="002018F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then turned to the </w:t>
      </w:r>
      <w:r w:rsidRPr="00813D19">
        <w:rPr>
          <w:bCs/>
          <w:lang w:val="en-US"/>
        </w:rPr>
        <w:t>ques</w:t>
      </w:r>
      <w:r w:rsidR="00727672" w:rsidRPr="00813D19">
        <w:rPr>
          <w:bCs/>
          <w:lang w:val="en-US"/>
        </w:rPr>
        <w:t>tion of</w:t>
      </w:r>
      <w:r w:rsidRPr="00813D19">
        <w:rPr>
          <w:bCs/>
          <w:lang w:val="en-US"/>
        </w:rPr>
        <w:t xml:space="preserve"> Regular P</w:t>
      </w:r>
      <w:r w:rsidR="00374CDD" w:rsidRPr="00813D19">
        <w:rPr>
          <w:bCs/>
          <w:lang w:val="en-US"/>
        </w:rPr>
        <w:t>rogramme funding</w:t>
      </w:r>
      <w:r w:rsidRPr="00813D19">
        <w:rPr>
          <w:bCs/>
          <w:lang w:val="en-US"/>
        </w:rPr>
        <w:t xml:space="preserve"> </w:t>
      </w:r>
      <w:r w:rsidR="00374CDD" w:rsidRPr="00813D19">
        <w:rPr>
          <w:bCs/>
          <w:lang w:val="en-US"/>
        </w:rPr>
        <w:t xml:space="preserve">for </w:t>
      </w:r>
      <w:r w:rsidRPr="00813D19">
        <w:rPr>
          <w:bCs/>
          <w:lang w:val="en-US"/>
        </w:rPr>
        <w:t xml:space="preserve">the </w:t>
      </w:r>
      <w:r w:rsidR="00374CDD" w:rsidRPr="00813D19">
        <w:rPr>
          <w:bCs/>
          <w:lang w:val="en-US"/>
        </w:rPr>
        <w:t>two funding priorities</w:t>
      </w:r>
      <w:r w:rsidRPr="00813D19">
        <w:rPr>
          <w:bCs/>
          <w:lang w:val="en-US"/>
        </w:rPr>
        <w:t xml:space="preserve">, clarifying that it was not the case that </w:t>
      </w:r>
      <w:r w:rsidR="00374CDD" w:rsidRPr="00813D19">
        <w:rPr>
          <w:bCs/>
          <w:lang w:val="en-US"/>
        </w:rPr>
        <w:t xml:space="preserve">both </w:t>
      </w:r>
      <w:r w:rsidR="00727672" w:rsidRPr="00813D19">
        <w:rPr>
          <w:bCs/>
          <w:lang w:val="en-US"/>
        </w:rPr>
        <w:t xml:space="preserve">were </w:t>
      </w:r>
      <w:r w:rsidRPr="00813D19">
        <w:rPr>
          <w:bCs/>
          <w:lang w:val="en-US"/>
        </w:rPr>
        <w:t>in decline</w:t>
      </w:r>
      <w:r w:rsidR="00374CDD" w:rsidRPr="00813D19">
        <w:rPr>
          <w:bCs/>
          <w:lang w:val="en-US"/>
        </w:rPr>
        <w:t xml:space="preserve">. One </w:t>
      </w:r>
      <w:r w:rsidR="00727672" w:rsidRPr="00813D19">
        <w:rPr>
          <w:bCs/>
          <w:lang w:val="en-US"/>
        </w:rPr>
        <w:t xml:space="preserve">was </w:t>
      </w:r>
      <w:r w:rsidR="00374CDD" w:rsidRPr="00813D19">
        <w:rPr>
          <w:bCs/>
          <w:lang w:val="en-US"/>
        </w:rPr>
        <w:t>a n</w:t>
      </w:r>
      <w:r w:rsidR="00A47766" w:rsidRPr="00813D19">
        <w:rPr>
          <w:bCs/>
          <w:lang w:val="en-US"/>
        </w:rPr>
        <w:t xml:space="preserve">ew funding priority </w:t>
      </w:r>
      <w:r w:rsidR="00727672" w:rsidRPr="00813D19">
        <w:rPr>
          <w:bCs/>
          <w:lang w:val="en-US"/>
        </w:rPr>
        <w:t xml:space="preserve">that </w:t>
      </w:r>
      <w:r w:rsidR="00A47766" w:rsidRPr="00813D19">
        <w:rPr>
          <w:bCs/>
          <w:lang w:val="en-US"/>
        </w:rPr>
        <w:t xml:space="preserve">had yet </w:t>
      </w:r>
      <w:r w:rsidR="00727672" w:rsidRPr="00813D19">
        <w:rPr>
          <w:bCs/>
          <w:lang w:val="en-US"/>
        </w:rPr>
        <w:t xml:space="preserve">to be </w:t>
      </w:r>
      <w:r w:rsidR="00374CDD" w:rsidRPr="00813D19">
        <w:rPr>
          <w:bCs/>
          <w:lang w:val="en-US"/>
        </w:rPr>
        <w:t>start</w:t>
      </w:r>
      <w:r w:rsidR="00A47766" w:rsidRPr="00813D19">
        <w:rPr>
          <w:bCs/>
          <w:lang w:val="en-US"/>
        </w:rPr>
        <w:t xml:space="preserve">ed, </w:t>
      </w:r>
      <w:r w:rsidR="00727672" w:rsidRPr="00813D19">
        <w:rPr>
          <w:bCs/>
          <w:lang w:val="en-US"/>
        </w:rPr>
        <w:t xml:space="preserve">while </w:t>
      </w:r>
      <w:r w:rsidR="00A47766" w:rsidRPr="00813D19">
        <w:rPr>
          <w:bCs/>
          <w:lang w:val="en-US"/>
        </w:rPr>
        <w:t xml:space="preserve">the </w:t>
      </w:r>
      <w:r w:rsidR="00374CDD" w:rsidRPr="00813D19">
        <w:rPr>
          <w:bCs/>
          <w:lang w:val="en-US"/>
        </w:rPr>
        <w:t xml:space="preserve">other </w:t>
      </w:r>
      <w:r w:rsidR="00727672" w:rsidRPr="00813D19">
        <w:rPr>
          <w:bCs/>
          <w:lang w:val="en-US"/>
        </w:rPr>
        <w:t xml:space="preserve">was indeed </w:t>
      </w:r>
      <w:r w:rsidR="00374CDD" w:rsidRPr="00813D19">
        <w:rPr>
          <w:bCs/>
          <w:lang w:val="en-US"/>
        </w:rPr>
        <w:t>in serious decline</w:t>
      </w:r>
      <w:r w:rsidR="00727672" w:rsidRPr="00813D19">
        <w:rPr>
          <w:bCs/>
          <w:lang w:val="en-US"/>
        </w:rPr>
        <w:t>. T</w:t>
      </w:r>
      <w:r w:rsidR="00A47766" w:rsidRPr="00813D19">
        <w:rPr>
          <w:bCs/>
          <w:lang w:val="en-US"/>
        </w:rPr>
        <w:t xml:space="preserve">he Secretariat </w:t>
      </w:r>
      <w:r w:rsidR="00374CDD" w:rsidRPr="00813D19">
        <w:rPr>
          <w:bCs/>
          <w:lang w:val="en-US"/>
        </w:rPr>
        <w:t>acknowledge</w:t>
      </w:r>
      <w:r w:rsidR="00A47766" w:rsidRPr="00813D19">
        <w:rPr>
          <w:bCs/>
          <w:lang w:val="en-US"/>
        </w:rPr>
        <w:t>d</w:t>
      </w:r>
      <w:r w:rsidR="00374CDD" w:rsidRPr="00813D19">
        <w:rPr>
          <w:bCs/>
          <w:lang w:val="en-US"/>
        </w:rPr>
        <w:t xml:space="preserve"> that part of the issue may have been the accumulation of the Fund of the International Assistance mechanism, which </w:t>
      </w:r>
      <w:r w:rsidR="00727672" w:rsidRPr="00813D19">
        <w:rPr>
          <w:bCs/>
          <w:lang w:val="en-US"/>
        </w:rPr>
        <w:t xml:space="preserve">had </w:t>
      </w:r>
      <w:r w:rsidR="00A47766" w:rsidRPr="00813D19">
        <w:rPr>
          <w:bCs/>
          <w:lang w:val="en-US"/>
        </w:rPr>
        <w:t xml:space="preserve">made </w:t>
      </w:r>
      <w:r w:rsidR="00374CDD" w:rsidRPr="00813D19">
        <w:rPr>
          <w:bCs/>
          <w:lang w:val="en-US"/>
        </w:rPr>
        <w:t xml:space="preserve">it more difficult to attract funding. </w:t>
      </w:r>
      <w:r w:rsidR="00A47766" w:rsidRPr="00813D19">
        <w:rPr>
          <w:bCs/>
          <w:lang w:val="en-US"/>
        </w:rPr>
        <w:t>However, that trend seemed</w:t>
      </w:r>
      <w:r w:rsidR="00374CDD" w:rsidRPr="00813D19">
        <w:rPr>
          <w:bCs/>
          <w:lang w:val="en-US"/>
        </w:rPr>
        <w:t xml:space="preserve"> to be reversed and indeed </w:t>
      </w:r>
      <w:r w:rsidR="00A47766" w:rsidRPr="00813D19">
        <w:rPr>
          <w:bCs/>
          <w:lang w:val="en-US"/>
        </w:rPr>
        <w:t xml:space="preserve">there </w:t>
      </w:r>
      <w:r w:rsidR="00727672" w:rsidRPr="00813D19">
        <w:rPr>
          <w:bCs/>
          <w:lang w:val="en-US"/>
        </w:rPr>
        <w:t>was</w:t>
      </w:r>
      <w:r w:rsidR="00A47766" w:rsidRPr="00813D19">
        <w:rPr>
          <w:bCs/>
          <w:lang w:val="en-US"/>
        </w:rPr>
        <w:t xml:space="preserve"> an </w:t>
      </w:r>
      <w:r w:rsidR="00374CDD" w:rsidRPr="00813D19">
        <w:rPr>
          <w:bCs/>
          <w:lang w:val="en-US"/>
        </w:rPr>
        <w:t xml:space="preserve">encouraging use of the Fund for capacity-building projects. </w:t>
      </w:r>
      <w:r w:rsidR="00A47766" w:rsidRPr="00813D19">
        <w:rPr>
          <w:bCs/>
          <w:lang w:val="en-US"/>
        </w:rPr>
        <w:t xml:space="preserve">However, the Secretariat </w:t>
      </w:r>
      <w:r w:rsidR="00374CDD" w:rsidRPr="00813D19">
        <w:rPr>
          <w:bCs/>
          <w:lang w:val="en-US"/>
        </w:rPr>
        <w:t>expect</w:t>
      </w:r>
      <w:r w:rsidR="00A47766" w:rsidRPr="00813D19">
        <w:rPr>
          <w:bCs/>
          <w:lang w:val="en-US"/>
        </w:rPr>
        <w:t>ed</w:t>
      </w:r>
      <w:r w:rsidR="00374CDD" w:rsidRPr="00813D19">
        <w:rPr>
          <w:bCs/>
          <w:lang w:val="en-US"/>
        </w:rPr>
        <w:t xml:space="preserve"> the Fund to start decreasing quickly and there </w:t>
      </w:r>
      <w:r w:rsidR="00A47766" w:rsidRPr="00813D19">
        <w:rPr>
          <w:bCs/>
          <w:lang w:val="en-US"/>
        </w:rPr>
        <w:t xml:space="preserve">was </w:t>
      </w:r>
      <w:r w:rsidR="00374CDD" w:rsidRPr="00813D19">
        <w:rPr>
          <w:bCs/>
          <w:lang w:val="en-US"/>
        </w:rPr>
        <w:t xml:space="preserve">a severe risk that if the Fund decreased through </w:t>
      </w:r>
      <w:r w:rsidR="00A47766" w:rsidRPr="00813D19">
        <w:rPr>
          <w:bCs/>
          <w:lang w:val="en-US"/>
        </w:rPr>
        <w:t xml:space="preserve">better </w:t>
      </w:r>
      <w:r w:rsidR="00374CDD" w:rsidRPr="00813D19">
        <w:rPr>
          <w:bCs/>
          <w:lang w:val="en-US"/>
        </w:rPr>
        <w:t>access to the International Assistance mechanism</w:t>
      </w:r>
      <w:r w:rsidR="00A47766" w:rsidRPr="00813D19">
        <w:rPr>
          <w:bCs/>
          <w:lang w:val="en-US"/>
        </w:rPr>
        <w:t xml:space="preserve">, a gap could open up </w:t>
      </w:r>
      <w:r w:rsidR="00523755" w:rsidRPr="00813D19">
        <w:rPr>
          <w:bCs/>
          <w:lang w:val="en-US"/>
        </w:rPr>
        <w:t>in which there might not be an</w:t>
      </w:r>
      <w:r w:rsidR="00727672" w:rsidRPr="00813D19">
        <w:rPr>
          <w:bCs/>
          <w:lang w:val="en-US"/>
        </w:rPr>
        <w:t>y funding;</w:t>
      </w:r>
      <w:r w:rsidR="00523755" w:rsidRPr="00813D19">
        <w:rPr>
          <w:bCs/>
          <w:lang w:val="en-US"/>
        </w:rPr>
        <w:t xml:space="preserve"> the </w:t>
      </w:r>
      <w:r w:rsidR="00374CDD" w:rsidRPr="00813D19">
        <w:rPr>
          <w:bCs/>
          <w:lang w:val="en-US"/>
        </w:rPr>
        <w:t xml:space="preserve">next </w:t>
      </w:r>
      <w:r w:rsidR="00FB4416">
        <w:rPr>
          <w:bCs/>
          <w:lang w:val="en-US"/>
        </w:rPr>
        <w:t>eighteen</w:t>
      </w:r>
      <w:r w:rsidR="00374CDD" w:rsidRPr="00813D19">
        <w:rPr>
          <w:bCs/>
          <w:lang w:val="en-US"/>
        </w:rPr>
        <w:t xml:space="preserve"> months </w:t>
      </w:r>
      <w:r w:rsidR="00727672" w:rsidRPr="00813D19">
        <w:rPr>
          <w:bCs/>
          <w:lang w:val="en-US"/>
        </w:rPr>
        <w:t>w</w:t>
      </w:r>
      <w:r w:rsidR="00FB4416">
        <w:rPr>
          <w:bCs/>
          <w:lang w:val="en-US"/>
        </w:rPr>
        <w:t>ere</w:t>
      </w:r>
      <w:r w:rsidR="00727672" w:rsidRPr="00813D19">
        <w:rPr>
          <w:bCs/>
          <w:lang w:val="en-US"/>
        </w:rPr>
        <w:t xml:space="preserve"> therefore </w:t>
      </w:r>
      <w:r w:rsidR="00374CDD" w:rsidRPr="00813D19">
        <w:rPr>
          <w:bCs/>
          <w:lang w:val="en-US"/>
        </w:rPr>
        <w:t xml:space="preserve">critical in that sense. </w:t>
      </w:r>
      <w:r w:rsidR="00523755" w:rsidRPr="00813D19">
        <w:rPr>
          <w:bCs/>
          <w:lang w:val="en-US"/>
        </w:rPr>
        <w:t>With regard to the Regular P</w:t>
      </w:r>
      <w:r w:rsidR="00374CDD" w:rsidRPr="00813D19">
        <w:rPr>
          <w:bCs/>
          <w:lang w:val="en-US"/>
        </w:rPr>
        <w:t>rogramme</w:t>
      </w:r>
      <w:r w:rsidR="00523755" w:rsidRPr="00813D19">
        <w:rPr>
          <w:bCs/>
          <w:lang w:val="en-US"/>
        </w:rPr>
        <w:t>, the Secretary explained that funds from the Regular P</w:t>
      </w:r>
      <w:r w:rsidR="00374CDD" w:rsidRPr="00813D19">
        <w:rPr>
          <w:bCs/>
          <w:lang w:val="en-US"/>
        </w:rPr>
        <w:t xml:space="preserve">rogramme </w:t>
      </w:r>
      <w:r w:rsidR="00523755" w:rsidRPr="00813D19">
        <w:rPr>
          <w:bCs/>
          <w:lang w:val="en-US"/>
        </w:rPr>
        <w:t>were being used, but</w:t>
      </w:r>
      <w:r w:rsidR="00FB4416">
        <w:rPr>
          <w:bCs/>
          <w:lang w:val="en-US"/>
        </w:rPr>
        <w:t xml:space="preserve"> this</w:t>
      </w:r>
      <w:r w:rsidR="00523755" w:rsidRPr="00813D19">
        <w:rPr>
          <w:bCs/>
          <w:lang w:val="en-US"/>
        </w:rPr>
        <w:t xml:space="preserve"> was </w:t>
      </w:r>
      <w:r w:rsidR="00727672" w:rsidRPr="00813D19">
        <w:rPr>
          <w:bCs/>
          <w:lang w:val="en-US"/>
        </w:rPr>
        <w:t>barely</w:t>
      </w:r>
      <w:r w:rsidR="00374CDD" w:rsidRPr="00813D19">
        <w:rPr>
          <w:bCs/>
          <w:lang w:val="en-US"/>
        </w:rPr>
        <w:t xml:space="preserve"> </w:t>
      </w:r>
      <w:r w:rsidR="00727672" w:rsidRPr="00813D19">
        <w:rPr>
          <w:bCs/>
          <w:lang w:val="en-US"/>
        </w:rPr>
        <w:t>adequate</w:t>
      </w:r>
      <w:r w:rsidR="00374CDD" w:rsidRPr="00813D19">
        <w:rPr>
          <w:bCs/>
          <w:lang w:val="en-US"/>
        </w:rPr>
        <w:t xml:space="preserve">. </w:t>
      </w:r>
      <w:r w:rsidR="00523755" w:rsidRPr="00813D19">
        <w:rPr>
          <w:bCs/>
          <w:lang w:val="en-US"/>
        </w:rPr>
        <w:t>T</w:t>
      </w:r>
      <w:r w:rsidR="00374CDD" w:rsidRPr="00813D19">
        <w:rPr>
          <w:bCs/>
          <w:lang w:val="en-US"/>
        </w:rPr>
        <w:t xml:space="preserve">he </w:t>
      </w:r>
      <w:r w:rsidR="00A5458B">
        <w:rPr>
          <w:bCs/>
          <w:lang w:val="en-US"/>
        </w:rPr>
        <w:t xml:space="preserve">incompressible </w:t>
      </w:r>
      <w:r w:rsidR="00374CDD" w:rsidRPr="00813D19">
        <w:rPr>
          <w:bCs/>
          <w:lang w:val="en-US"/>
        </w:rPr>
        <w:t>cost</w:t>
      </w:r>
      <w:r w:rsidR="00A5458B">
        <w:rPr>
          <w:bCs/>
          <w:lang w:val="en-US"/>
        </w:rPr>
        <w:t>s</w:t>
      </w:r>
      <w:r w:rsidR="00374CDD" w:rsidRPr="00813D19">
        <w:rPr>
          <w:bCs/>
          <w:lang w:val="en-US"/>
        </w:rPr>
        <w:t xml:space="preserve">, which related to the organization of the statutory meetings of the Convention, </w:t>
      </w:r>
      <w:r w:rsidR="00727672" w:rsidRPr="00813D19">
        <w:rPr>
          <w:bCs/>
          <w:lang w:val="en-US"/>
        </w:rPr>
        <w:t>took</w:t>
      </w:r>
      <w:r w:rsidR="00523755" w:rsidRPr="00813D19">
        <w:rPr>
          <w:bCs/>
          <w:lang w:val="en-US"/>
        </w:rPr>
        <w:t xml:space="preserve"> up most of the money available under the Regular P</w:t>
      </w:r>
      <w:r w:rsidR="00374CDD" w:rsidRPr="00813D19">
        <w:rPr>
          <w:bCs/>
          <w:lang w:val="en-US"/>
        </w:rPr>
        <w:t xml:space="preserve">rogramme. The </w:t>
      </w:r>
      <w:r w:rsidR="00523755" w:rsidRPr="00813D19">
        <w:rPr>
          <w:bCs/>
          <w:lang w:val="en-US"/>
        </w:rPr>
        <w:t xml:space="preserve">remainder </w:t>
      </w:r>
      <w:r w:rsidR="00727672" w:rsidRPr="00813D19">
        <w:rPr>
          <w:bCs/>
          <w:lang w:val="en-US"/>
        </w:rPr>
        <w:t xml:space="preserve">was </w:t>
      </w:r>
      <w:r w:rsidR="008904E9" w:rsidRPr="00813D19">
        <w:rPr>
          <w:bCs/>
          <w:lang w:val="en-US"/>
        </w:rPr>
        <w:t xml:space="preserve">given to field offices, but the funds </w:t>
      </w:r>
      <w:r w:rsidR="00727672" w:rsidRPr="00813D19">
        <w:rPr>
          <w:bCs/>
          <w:lang w:val="en-US"/>
        </w:rPr>
        <w:t xml:space="preserve">were </w:t>
      </w:r>
      <w:r w:rsidR="008904E9" w:rsidRPr="00813D19">
        <w:rPr>
          <w:bCs/>
          <w:lang w:val="en-US"/>
        </w:rPr>
        <w:t xml:space="preserve">highly </w:t>
      </w:r>
      <w:r w:rsidR="00374CDD" w:rsidRPr="00813D19">
        <w:rPr>
          <w:bCs/>
          <w:lang w:val="en-US"/>
        </w:rPr>
        <w:t xml:space="preserve">limited. </w:t>
      </w:r>
      <w:r w:rsidR="008904E9" w:rsidRPr="00813D19">
        <w:rPr>
          <w:bCs/>
          <w:lang w:val="en-US"/>
        </w:rPr>
        <w:t>The Secretary recalled that the Regular P</w:t>
      </w:r>
      <w:r w:rsidR="00374CDD" w:rsidRPr="00813D19">
        <w:rPr>
          <w:bCs/>
          <w:lang w:val="en-US"/>
        </w:rPr>
        <w:t>rogr</w:t>
      </w:r>
      <w:r w:rsidR="008904E9" w:rsidRPr="00813D19">
        <w:rPr>
          <w:bCs/>
          <w:lang w:val="en-US"/>
        </w:rPr>
        <w:t>amme money for this biennium had</w:t>
      </w:r>
      <w:r w:rsidR="00374CDD" w:rsidRPr="00813D19">
        <w:rPr>
          <w:bCs/>
          <w:lang w:val="en-US"/>
        </w:rPr>
        <w:t xml:space="preserve"> already been allocated to these funding priorities</w:t>
      </w:r>
      <w:r w:rsidR="008904E9" w:rsidRPr="00813D19">
        <w:rPr>
          <w:bCs/>
          <w:lang w:val="en-US"/>
        </w:rPr>
        <w:t>,</w:t>
      </w:r>
      <w:r w:rsidR="00374CDD" w:rsidRPr="00813D19">
        <w:rPr>
          <w:bCs/>
          <w:lang w:val="en-US"/>
        </w:rPr>
        <w:t xml:space="preserve"> but only as seed money to try </w:t>
      </w:r>
      <w:r w:rsidR="008904E9" w:rsidRPr="00813D19">
        <w:rPr>
          <w:bCs/>
          <w:lang w:val="en-US"/>
        </w:rPr>
        <w:t xml:space="preserve">and </w:t>
      </w:r>
      <w:r w:rsidR="00374CDD" w:rsidRPr="00813D19">
        <w:rPr>
          <w:bCs/>
          <w:lang w:val="en-US"/>
        </w:rPr>
        <w:t xml:space="preserve">mobilize more extrabudgetary resources. </w:t>
      </w:r>
      <w:r w:rsidR="008904E9" w:rsidRPr="00813D19">
        <w:rPr>
          <w:bCs/>
          <w:lang w:val="en-US"/>
        </w:rPr>
        <w:t xml:space="preserve">Turning to the </w:t>
      </w:r>
      <w:r w:rsidR="00374CDD" w:rsidRPr="00813D19">
        <w:rPr>
          <w:bCs/>
          <w:lang w:val="en-US"/>
        </w:rPr>
        <w:t xml:space="preserve">question </w:t>
      </w:r>
      <w:r w:rsidR="008904E9" w:rsidRPr="00813D19">
        <w:rPr>
          <w:bCs/>
          <w:lang w:val="en-US"/>
        </w:rPr>
        <w:t xml:space="preserve">by </w:t>
      </w:r>
      <w:r w:rsidR="00374CDD" w:rsidRPr="00813D19">
        <w:rPr>
          <w:bCs/>
          <w:lang w:val="en-US"/>
        </w:rPr>
        <w:t>Azerbaijan</w:t>
      </w:r>
      <w:r w:rsidR="008904E9" w:rsidRPr="00813D19">
        <w:rPr>
          <w:bCs/>
          <w:lang w:val="en-US"/>
        </w:rPr>
        <w:t xml:space="preserve"> [on management cost rates]</w:t>
      </w:r>
      <w:r w:rsidR="00374CDD" w:rsidRPr="00813D19">
        <w:rPr>
          <w:bCs/>
          <w:lang w:val="en-US"/>
        </w:rPr>
        <w:t xml:space="preserve">, </w:t>
      </w:r>
      <w:r w:rsidR="008904E9" w:rsidRPr="00813D19">
        <w:rPr>
          <w:bCs/>
          <w:lang w:val="en-US"/>
        </w:rPr>
        <w:t xml:space="preserve">the Secretary concurred that </w:t>
      </w:r>
      <w:r w:rsidR="00374CDD" w:rsidRPr="00813D19">
        <w:rPr>
          <w:bCs/>
          <w:lang w:val="en-US"/>
        </w:rPr>
        <w:t xml:space="preserve">the General Assembly </w:t>
      </w:r>
      <w:r w:rsidR="008904E9" w:rsidRPr="00813D19">
        <w:rPr>
          <w:bCs/>
          <w:lang w:val="en-US"/>
        </w:rPr>
        <w:t xml:space="preserve">would have to </w:t>
      </w:r>
      <w:r w:rsidR="00374CDD" w:rsidRPr="00813D19">
        <w:rPr>
          <w:bCs/>
          <w:lang w:val="en-US"/>
        </w:rPr>
        <w:t xml:space="preserve">make </w:t>
      </w:r>
      <w:r w:rsidR="008904E9" w:rsidRPr="00813D19">
        <w:rPr>
          <w:bCs/>
          <w:lang w:val="en-US"/>
        </w:rPr>
        <w:t xml:space="preserve">a </w:t>
      </w:r>
      <w:r w:rsidR="00374CDD" w:rsidRPr="00813D19">
        <w:rPr>
          <w:bCs/>
          <w:lang w:val="en-US"/>
        </w:rPr>
        <w:t xml:space="preserve">decision on this for referral back </w:t>
      </w:r>
      <w:r w:rsidR="008904E9" w:rsidRPr="00813D19">
        <w:rPr>
          <w:bCs/>
          <w:lang w:val="en-US"/>
        </w:rPr>
        <w:t xml:space="preserve">in </w:t>
      </w:r>
      <w:r w:rsidR="00374CDD" w:rsidRPr="00813D19">
        <w:rPr>
          <w:bCs/>
          <w:lang w:val="en-US"/>
        </w:rPr>
        <w:t xml:space="preserve">the first consultation step. </w:t>
      </w:r>
      <w:r w:rsidR="008904E9" w:rsidRPr="00813D19">
        <w:rPr>
          <w:bCs/>
          <w:lang w:val="en-US"/>
        </w:rPr>
        <w:t xml:space="preserve">The Committee had </w:t>
      </w:r>
      <w:r w:rsidR="00374CDD" w:rsidRPr="00813D19">
        <w:rPr>
          <w:bCs/>
          <w:lang w:val="en-US"/>
        </w:rPr>
        <w:t xml:space="preserve">between </w:t>
      </w:r>
      <w:r w:rsidR="008904E9" w:rsidRPr="00813D19">
        <w:rPr>
          <w:bCs/>
          <w:lang w:val="en-US"/>
        </w:rPr>
        <w:t xml:space="preserve">the present session and the next to </w:t>
      </w:r>
      <w:r w:rsidR="00374CDD" w:rsidRPr="00813D19">
        <w:rPr>
          <w:bCs/>
          <w:lang w:val="en-US"/>
        </w:rPr>
        <w:t xml:space="preserve">may make a recommendation to the General Assembly. If there </w:t>
      </w:r>
      <w:r w:rsidR="00FB4416">
        <w:rPr>
          <w:bCs/>
          <w:lang w:val="en-US"/>
        </w:rPr>
        <w:t>was</w:t>
      </w:r>
      <w:r w:rsidR="00FB4416" w:rsidRPr="00813D19">
        <w:rPr>
          <w:bCs/>
          <w:lang w:val="en-US"/>
        </w:rPr>
        <w:t xml:space="preserve"> </w:t>
      </w:r>
      <w:r w:rsidR="00374CDD" w:rsidRPr="00813D19">
        <w:rPr>
          <w:bCs/>
          <w:lang w:val="en-US"/>
        </w:rPr>
        <w:t xml:space="preserve">a request for </w:t>
      </w:r>
      <w:r w:rsidR="008904E9" w:rsidRPr="00813D19">
        <w:rPr>
          <w:bCs/>
          <w:lang w:val="en-US"/>
        </w:rPr>
        <w:t xml:space="preserve">an </w:t>
      </w:r>
      <w:r w:rsidR="00374CDD" w:rsidRPr="00813D19">
        <w:rPr>
          <w:bCs/>
          <w:lang w:val="en-US"/>
        </w:rPr>
        <w:t xml:space="preserve">electronic </w:t>
      </w:r>
      <w:r w:rsidR="008904E9" w:rsidRPr="00813D19">
        <w:rPr>
          <w:bCs/>
          <w:lang w:val="en-US"/>
        </w:rPr>
        <w:t xml:space="preserve">consultation </w:t>
      </w:r>
      <w:r w:rsidR="00374CDD" w:rsidRPr="00813D19">
        <w:rPr>
          <w:bCs/>
          <w:lang w:val="en-US"/>
        </w:rPr>
        <w:t>or meeting</w:t>
      </w:r>
      <w:r w:rsidR="008904E9" w:rsidRPr="00813D19">
        <w:rPr>
          <w:bCs/>
          <w:lang w:val="en-US"/>
        </w:rPr>
        <w:t xml:space="preserve">, the Secretary </w:t>
      </w:r>
      <w:r w:rsidR="00374CDD" w:rsidRPr="00813D19">
        <w:rPr>
          <w:bCs/>
          <w:lang w:val="en-US"/>
        </w:rPr>
        <w:t>urge</w:t>
      </w:r>
      <w:r w:rsidR="00594BC8" w:rsidRPr="00813D19">
        <w:rPr>
          <w:bCs/>
          <w:lang w:val="en-US"/>
        </w:rPr>
        <w:t>d</w:t>
      </w:r>
      <w:r w:rsidR="00374CDD" w:rsidRPr="00813D19">
        <w:rPr>
          <w:bCs/>
          <w:lang w:val="en-US"/>
        </w:rPr>
        <w:t xml:space="preserve"> </w:t>
      </w:r>
      <w:r w:rsidR="008904E9" w:rsidRPr="00813D19">
        <w:rPr>
          <w:bCs/>
          <w:lang w:val="en-US"/>
        </w:rPr>
        <w:t xml:space="preserve">the Committee </w:t>
      </w:r>
      <w:r w:rsidR="00374CDD" w:rsidRPr="00813D19">
        <w:rPr>
          <w:bCs/>
          <w:lang w:val="en-US"/>
        </w:rPr>
        <w:t xml:space="preserve">to </w:t>
      </w:r>
      <w:r w:rsidR="00594BC8" w:rsidRPr="00813D19">
        <w:rPr>
          <w:bCs/>
          <w:lang w:val="en-US"/>
        </w:rPr>
        <w:t xml:space="preserve">make </w:t>
      </w:r>
      <w:r w:rsidR="008904E9" w:rsidRPr="00813D19">
        <w:rPr>
          <w:bCs/>
          <w:lang w:val="en-US"/>
        </w:rPr>
        <w:t>it a low</w:t>
      </w:r>
      <w:r w:rsidR="00FB4416">
        <w:rPr>
          <w:bCs/>
          <w:lang w:val="en-US"/>
        </w:rPr>
        <w:t>-</w:t>
      </w:r>
      <w:r w:rsidR="008904E9" w:rsidRPr="00813D19">
        <w:rPr>
          <w:bCs/>
          <w:lang w:val="en-US"/>
        </w:rPr>
        <w:t xml:space="preserve">cost consultation, which the Secretariat would be </w:t>
      </w:r>
      <w:r w:rsidR="00374CDD" w:rsidRPr="00813D19">
        <w:rPr>
          <w:bCs/>
          <w:lang w:val="en-US"/>
        </w:rPr>
        <w:t xml:space="preserve">happy to </w:t>
      </w:r>
      <w:r w:rsidR="008904E9" w:rsidRPr="00813D19">
        <w:rPr>
          <w:bCs/>
          <w:lang w:val="en-US"/>
        </w:rPr>
        <w:t>initiate among all States</w:t>
      </w:r>
      <w:r w:rsidR="00594BC8" w:rsidRPr="00813D19">
        <w:rPr>
          <w:bCs/>
          <w:lang w:val="en-US"/>
        </w:rPr>
        <w:t>,</w:t>
      </w:r>
      <w:r w:rsidR="008904E9" w:rsidRPr="00813D19">
        <w:rPr>
          <w:bCs/>
          <w:lang w:val="en-US"/>
        </w:rPr>
        <w:t xml:space="preserve"> via </w:t>
      </w:r>
      <w:r w:rsidR="00374CDD" w:rsidRPr="00813D19">
        <w:rPr>
          <w:bCs/>
          <w:lang w:val="en-US"/>
        </w:rPr>
        <w:t xml:space="preserve">email for example. </w:t>
      </w:r>
      <w:r w:rsidR="00594BC8" w:rsidRPr="00813D19">
        <w:rPr>
          <w:bCs/>
          <w:lang w:val="en-US"/>
        </w:rPr>
        <w:t xml:space="preserve">The Secretary suggested returning to this issue </w:t>
      </w:r>
      <w:r w:rsidR="00374CDD" w:rsidRPr="00813D19">
        <w:rPr>
          <w:bCs/>
          <w:lang w:val="en-US"/>
        </w:rPr>
        <w:t>in order to</w:t>
      </w:r>
      <w:r w:rsidR="006D1F6E" w:rsidRPr="00813D19">
        <w:rPr>
          <w:bCs/>
          <w:lang w:val="en-US"/>
        </w:rPr>
        <w:t xml:space="preserve"> get an idea </w:t>
      </w:r>
      <w:r w:rsidR="00FB4416">
        <w:rPr>
          <w:bCs/>
          <w:lang w:val="en-US"/>
        </w:rPr>
        <w:t>about</w:t>
      </w:r>
      <w:r w:rsidR="00FB4416" w:rsidRPr="00813D19">
        <w:rPr>
          <w:bCs/>
          <w:lang w:val="en-US"/>
        </w:rPr>
        <w:t xml:space="preserve"> </w:t>
      </w:r>
      <w:r w:rsidR="00374CDD" w:rsidRPr="00813D19">
        <w:rPr>
          <w:bCs/>
          <w:lang w:val="en-US"/>
        </w:rPr>
        <w:t xml:space="preserve">whether to </w:t>
      </w:r>
      <w:r w:rsidR="006D1F6E" w:rsidRPr="00813D19">
        <w:rPr>
          <w:bCs/>
          <w:lang w:val="en-US"/>
        </w:rPr>
        <w:t xml:space="preserve">also </w:t>
      </w:r>
      <w:r w:rsidR="00374CDD" w:rsidRPr="00813D19">
        <w:rPr>
          <w:bCs/>
          <w:lang w:val="en-US"/>
        </w:rPr>
        <w:t>apply the 7</w:t>
      </w:r>
      <w:r w:rsidR="00FB4416">
        <w:rPr>
          <w:bCs/>
          <w:lang w:val="en-US"/>
        </w:rPr>
        <w:t xml:space="preserve"> per cent</w:t>
      </w:r>
      <w:r w:rsidR="00FB4416" w:rsidRPr="00813D19">
        <w:rPr>
          <w:bCs/>
          <w:lang w:val="en-US"/>
        </w:rPr>
        <w:t xml:space="preserve"> </w:t>
      </w:r>
      <w:r w:rsidR="00594BC8" w:rsidRPr="00813D19">
        <w:rPr>
          <w:bCs/>
          <w:lang w:val="en-US"/>
        </w:rPr>
        <w:t xml:space="preserve">rate </w:t>
      </w:r>
      <w:r w:rsidR="00374CDD" w:rsidRPr="00813D19">
        <w:rPr>
          <w:bCs/>
          <w:lang w:val="en-US"/>
        </w:rPr>
        <w:t xml:space="preserve">to the assessed contributions of the Fund. </w:t>
      </w:r>
      <w:r w:rsidR="00594BC8" w:rsidRPr="00813D19">
        <w:rPr>
          <w:bCs/>
          <w:lang w:val="en-US"/>
        </w:rPr>
        <w:t xml:space="preserve">In response to the question from </w:t>
      </w:r>
      <w:r w:rsidR="00374CDD" w:rsidRPr="00813D19">
        <w:rPr>
          <w:bCs/>
          <w:lang w:val="en-US"/>
        </w:rPr>
        <w:t xml:space="preserve">the Netherlands </w:t>
      </w:r>
      <w:r w:rsidR="00594BC8" w:rsidRPr="00813D19">
        <w:rPr>
          <w:bCs/>
          <w:lang w:val="en-US"/>
        </w:rPr>
        <w:t xml:space="preserve">on </w:t>
      </w:r>
      <w:r w:rsidR="00374CDD" w:rsidRPr="00813D19">
        <w:rPr>
          <w:bCs/>
          <w:lang w:val="en-US"/>
        </w:rPr>
        <w:t>the possibility of working with ASPn</w:t>
      </w:r>
      <w:r w:rsidR="00594BC8" w:rsidRPr="00813D19">
        <w:rPr>
          <w:bCs/>
          <w:lang w:val="en-US"/>
        </w:rPr>
        <w:t xml:space="preserve">et, the Secretary </w:t>
      </w:r>
      <w:r w:rsidR="00D1017B" w:rsidRPr="00813D19">
        <w:rPr>
          <w:bCs/>
          <w:lang w:val="en-US"/>
        </w:rPr>
        <w:t xml:space="preserve">was happy to inform the Committee </w:t>
      </w:r>
      <w:r w:rsidR="00374CDD" w:rsidRPr="00813D19">
        <w:rPr>
          <w:bCs/>
          <w:lang w:val="en-US"/>
        </w:rPr>
        <w:t xml:space="preserve">that </w:t>
      </w:r>
      <w:r w:rsidR="00D1017B" w:rsidRPr="00813D19">
        <w:rPr>
          <w:bCs/>
          <w:lang w:val="en-US"/>
        </w:rPr>
        <w:t xml:space="preserve">the Secretariat was about to start an EU-funded project </w:t>
      </w:r>
      <w:r w:rsidR="00374CDD" w:rsidRPr="00813D19">
        <w:rPr>
          <w:bCs/>
          <w:lang w:val="en-US"/>
        </w:rPr>
        <w:t>specifically work</w:t>
      </w:r>
      <w:r w:rsidR="00D1017B" w:rsidRPr="00813D19">
        <w:rPr>
          <w:bCs/>
          <w:lang w:val="en-US"/>
        </w:rPr>
        <w:t>ing</w:t>
      </w:r>
      <w:r w:rsidR="00374CDD" w:rsidRPr="00813D19">
        <w:rPr>
          <w:bCs/>
          <w:lang w:val="en-US"/>
        </w:rPr>
        <w:t xml:space="preserve"> on </w:t>
      </w:r>
      <w:r w:rsidR="00D1017B" w:rsidRPr="00813D19">
        <w:rPr>
          <w:bCs/>
          <w:lang w:val="en-US"/>
        </w:rPr>
        <w:t xml:space="preserve">intangible cultural heritage with </w:t>
      </w:r>
      <w:r w:rsidR="00374CDD" w:rsidRPr="00813D19">
        <w:rPr>
          <w:bCs/>
          <w:lang w:val="en-US"/>
        </w:rPr>
        <w:t xml:space="preserve">ASPnet </w:t>
      </w:r>
      <w:r w:rsidR="00D1017B" w:rsidRPr="00813D19">
        <w:rPr>
          <w:bCs/>
          <w:lang w:val="en-US"/>
        </w:rPr>
        <w:t xml:space="preserve">in a first initiative, </w:t>
      </w:r>
      <w:r w:rsidR="00374CDD" w:rsidRPr="00813D19">
        <w:rPr>
          <w:bCs/>
          <w:lang w:val="en-US"/>
        </w:rPr>
        <w:t xml:space="preserve">and </w:t>
      </w:r>
      <w:r w:rsidR="00D1017B" w:rsidRPr="00813D19">
        <w:rPr>
          <w:bCs/>
          <w:lang w:val="en-US"/>
        </w:rPr>
        <w:t xml:space="preserve">the Secretariat was </w:t>
      </w:r>
      <w:r w:rsidR="00374CDD" w:rsidRPr="00813D19">
        <w:rPr>
          <w:bCs/>
          <w:lang w:val="en-US"/>
        </w:rPr>
        <w:t>very open to looking at that possibility in other contexts.</w:t>
      </w:r>
    </w:p>
    <w:p w14:paraId="19A51409" w14:textId="6FBF870A" w:rsidR="00E509E6" w:rsidRPr="00813D19" w:rsidRDefault="00F42B12" w:rsidP="002018F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7749A8" w:rsidRPr="00813D19">
        <w:rPr>
          <w:b/>
          <w:color w:val="000000" w:themeColor="text1"/>
          <w:lang w:val="en-US"/>
        </w:rPr>
        <w:t xml:space="preserve"> </w:t>
      </w:r>
      <w:r w:rsidR="00C21F9D" w:rsidRPr="00813D19">
        <w:rPr>
          <w:color w:val="000000" w:themeColor="text1"/>
          <w:lang w:val="en-US"/>
        </w:rPr>
        <w:t>wondered</w:t>
      </w:r>
      <w:r w:rsidR="00C21F9D" w:rsidRPr="00813D19">
        <w:rPr>
          <w:b/>
          <w:color w:val="000000" w:themeColor="text1"/>
          <w:lang w:val="en-US"/>
        </w:rPr>
        <w:t xml:space="preserve"> </w:t>
      </w:r>
      <w:r w:rsidR="00C21F9D" w:rsidRPr="00813D19">
        <w:rPr>
          <w:bCs/>
          <w:lang w:val="en-US"/>
        </w:rPr>
        <w:t xml:space="preserve">whether </w:t>
      </w:r>
      <w:r w:rsidR="00CA73CA" w:rsidRPr="00813D19">
        <w:rPr>
          <w:bCs/>
          <w:lang w:val="en-US"/>
        </w:rPr>
        <w:t xml:space="preserve">the initiation reflection </w:t>
      </w:r>
      <w:r w:rsidR="00C21F9D" w:rsidRPr="00813D19">
        <w:rPr>
          <w:bCs/>
          <w:lang w:val="en-US"/>
        </w:rPr>
        <w:t xml:space="preserve">expert </w:t>
      </w:r>
      <w:r w:rsidR="00CA73CA" w:rsidRPr="00813D19">
        <w:rPr>
          <w:bCs/>
          <w:lang w:val="en-US"/>
        </w:rPr>
        <w:t xml:space="preserve">meeting </w:t>
      </w:r>
      <w:r w:rsidR="00C21F9D" w:rsidRPr="00813D19">
        <w:rPr>
          <w:bCs/>
          <w:lang w:val="en-US"/>
        </w:rPr>
        <w:t xml:space="preserve">could be held earlier than the proposed </w:t>
      </w:r>
      <w:r w:rsidR="00FB4416" w:rsidRPr="00813D19">
        <w:rPr>
          <w:bCs/>
          <w:lang w:val="en-US"/>
        </w:rPr>
        <w:t xml:space="preserve">date </w:t>
      </w:r>
      <w:r w:rsidR="00C21F9D" w:rsidRPr="00813D19">
        <w:rPr>
          <w:bCs/>
          <w:lang w:val="en-US"/>
        </w:rPr>
        <w:t xml:space="preserve">of September 2019, which </w:t>
      </w:r>
      <w:r w:rsidR="00CA73CA" w:rsidRPr="00813D19">
        <w:rPr>
          <w:bCs/>
          <w:lang w:val="en-US"/>
        </w:rPr>
        <w:t xml:space="preserve">would save at least one year. </w:t>
      </w:r>
      <w:r w:rsidR="00C21F9D" w:rsidRPr="00813D19">
        <w:rPr>
          <w:bCs/>
          <w:lang w:val="en-US"/>
        </w:rPr>
        <w:t xml:space="preserve">It also wondered whether the </w:t>
      </w:r>
      <w:r w:rsidR="00CA73CA" w:rsidRPr="00813D19">
        <w:rPr>
          <w:bCs/>
          <w:lang w:val="en-US"/>
        </w:rPr>
        <w:t xml:space="preserve">open-ended working group </w:t>
      </w:r>
      <w:r w:rsidR="00C21F9D" w:rsidRPr="00813D19">
        <w:rPr>
          <w:bCs/>
          <w:lang w:val="en-US"/>
        </w:rPr>
        <w:t xml:space="preserve">should not be held immediately after the outcome of the expert meeting </w:t>
      </w:r>
      <w:r w:rsidR="00CA73CA" w:rsidRPr="00813D19">
        <w:rPr>
          <w:bCs/>
          <w:lang w:val="en-US"/>
        </w:rPr>
        <w:t xml:space="preserve">in order to continue </w:t>
      </w:r>
      <w:r w:rsidR="00C21F9D" w:rsidRPr="00813D19">
        <w:rPr>
          <w:bCs/>
          <w:lang w:val="en-US"/>
        </w:rPr>
        <w:t>its work on this item.</w:t>
      </w:r>
    </w:p>
    <w:p w14:paraId="1ECB8A7C" w14:textId="513B8278" w:rsidR="00C27BEA" w:rsidRPr="00813D19" w:rsidRDefault="00C27BEA" w:rsidP="002018F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CB44CB" w:rsidRPr="00813D19">
        <w:rPr>
          <w:b/>
          <w:color w:val="000000" w:themeColor="text1"/>
          <w:lang w:val="en-US"/>
        </w:rPr>
        <w:t xml:space="preserve">the </w:t>
      </w:r>
      <w:r w:rsidRPr="00813D19">
        <w:rPr>
          <w:b/>
          <w:color w:val="000000" w:themeColor="text1"/>
          <w:lang w:val="en-US"/>
        </w:rPr>
        <w:t xml:space="preserve">Philippines </w:t>
      </w:r>
      <w:r w:rsidR="00BB5E86" w:rsidRPr="00813D19">
        <w:rPr>
          <w:bCs/>
          <w:lang w:val="en-US"/>
        </w:rPr>
        <w:t>appreciate</w:t>
      </w:r>
      <w:r w:rsidR="00C21F9D" w:rsidRPr="00813D19">
        <w:rPr>
          <w:bCs/>
          <w:lang w:val="en-US"/>
        </w:rPr>
        <w:t>d</w:t>
      </w:r>
      <w:r w:rsidR="00BB5E86" w:rsidRPr="00813D19">
        <w:rPr>
          <w:bCs/>
          <w:lang w:val="en-US"/>
        </w:rPr>
        <w:t xml:space="preserve"> the responses </w:t>
      </w:r>
      <w:r w:rsidR="00FB4416">
        <w:rPr>
          <w:bCs/>
          <w:lang w:val="en-US"/>
        </w:rPr>
        <w:t>by</w:t>
      </w:r>
      <w:r w:rsidR="00FB4416" w:rsidRPr="00813D19">
        <w:rPr>
          <w:bCs/>
          <w:lang w:val="en-US"/>
        </w:rPr>
        <w:t xml:space="preserve"> </w:t>
      </w:r>
      <w:r w:rsidR="00BB5E86" w:rsidRPr="00813D19">
        <w:rPr>
          <w:bCs/>
          <w:lang w:val="en-US"/>
        </w:rPr>
        <w:t xml:space="preserve">the Secretariat to </w:t>
      </w:r>
      <w:r w:rsidR="00F06ED2" w:rsidRPr="00813D19">
        <w:rPr>
          <w:bCs/>
          <w:lang w:val="en-US"/>
        </w:rPr>
        <w:t xml:space="preserve">the </w:t>
      </w:r>
      <w:r w:rsidR="00BB5E86" w:rsidRPr="00813D19">
        <w:rPr>
          <w:bCs/>
          <w:lang w:val="en-US"/>
        </w:rPr>
        <w:t>points</w:t>
      </w:r>
      <w:r w:rsidR="00D47FA2" w:rsidRPr="00813D19">
        <w:rPr>
          <w:bCs/>
          <w:lang w:val="en-US"/>
        </w:rPr>
        <w:t xml:space="preserve"> raised, and to similar points raised by Palestine. It understood </w:t>
      </w:r>
      <w:r w:rsidR="00BB5E86" w:rsidRPr="00813D19">
        <w:rPr>
          <w:bCs/>
          <w:lang w:val="en-US"/>
        </w:rPr>
        <w:t xml:space="preserve">the constraints expressed by </w:t>
      </w:r>
      <w:r w:rsidR="00D47FA2" w:rsidRPr="00813D19">
        <w:rPr>
          <w:bCs/>
          <w:lang w:val="en-US"/>
        </w:rPr>
        <w:t xml:space="preserve">the Secretary regarding </w:t>
      </w:r>
      <w:r w:rsidR="00D06AAF" w:rsidRPr="00813D19">
        <w:rPr>
          <w:bCs/>
          <w:lang w:val="en-US"/>
        </w:rPr>
        <w:t>scheduling, conceding that it was no</w:t>
      </w:r>
      <w:r w:rsidR="00D47FA2" w:rsidRPr="00813D19">
        <w:rPr>
          <w:bCs/>
          <w:lang w:val="en-US"/>
        </w:rPr>
        <w:t>t easy</w:t>
      </w:r>
      <w:r w:rsidR="00D06AAF" w:rsidRPr="00813D19">
        <w:rPr>
          <w:bCs/>
          <w:lang w:val="en-US"/>
        </w:rPr>
        <w:t xml:space="preserve">, </w:t>
      </w:r>
      <w:r w:rsidR="006D1F6E" w:rsidRPr="00813D19">
        <w:rPr>
          <w:bCs/>
          <w:lang w:val="en-US"/>
        </w:rPr>
        <w:t xml:space="preserve">but </w:t>
      </w:r>
      <w:r w:rsidR="00D06AAF" w:rsidRPr="00813D19">
        <w:rPr>
          <w:bCs/>
          <w:lang w:val="en-US"/>
        </w:rPr>
        <w:t xml:space="preserve">it did </w:t>
      </w:r>
      <w:r w:rsidR="00D47FA2" w:rsidRPr="00813D19">
        <w:rPr>
          <w:bCs/>
          <w:lang w:val="en-US"/>
        </w:rPr>
        <w:t>not seek to drop any items in its place</w:t>
      </w:r>
      <w:r w:rsidR="00BB5E86" w:rsidRPr="00813D19">
        <w:rPr>
          <w:bCs/>
          <w:lang w:val="en-US"/>
        </w:rPr>
        <w:t xml:space="preserve">. </w:t>
      </w:r>
      <w:r w:rsidR="00D06AAF" w:rsidRPr="00813D19">
        <w:rPr>
          <w:bCs/>
          <w:lang w:val="en-US"/>
        </w:rPr>
        <w:t xml:space="preserve">With regard to </w:t>
      </w:r>
      <w:r w:rsidR="00BB5E86" w:rsidRPr="00813D19">
        <w:rPr>
          <w:bCs/>
          <w:lang w:val="en-US"/>
        </w:rPr>
        <w:t xml:space="preserve">substance, </w:t>
      </w:r>
      <w:r w:rsidR="00D06AAF" w:rsidRPr="00813D19">
        <w:rPr>
          <w:bCs/>
          <w:lang w:val="en-US"/>
        </w:rPr>
        <w:t>the delegation fe</w:t>
      </w:r>
      <w:r w:rsidR="00BB5E86" w:rsidRPr="00813D19">
        <w:rPr>
          <w:bCs/>
          <w:lang w:val="en-US"/>
        </w:rPr>
        <w:t>l</w:t>
      </w:r>
      <w:r w:rsidR="00D06AAF" w:rsidRPr="00813D19">
        <w:rPr>
          <w:bCs/>
          <w:lang w:val="en-US"/>
        </w:rPr>
        <w:t>t</w:t>
      </w:r>
      <w:r w:rsidR="00BB5E86" w:rsidRPr="00813D19">
        <w:rPr>
          <w:bCs/>
          <w:lang w:val="en-US"/>
        </w:rPr>
        <w:t xml:space="preserve"> that any possible reforms</w:t>
      </w:r>
      <w:r w:rsidR="00D06AAF" w:rsidRPr="00813D19">
        <w:rPr>
          <w:bCs/>
          <w:lang w:val="en-US"/>
        </w:rPr>
        <w:t>,</w:t>
      </w:r>
      <w:r w:rsidR="00BB5E86" w:rsidRPr="00813D19">
        <w:rPr>
          <w:bCs/>
          <w:lang w:val="en-US"/>
        </w:rPr>
        <w:t xml:space="preserve"> </w:t>
      </w:r>
      <w:r w:rsidR="00D06AAF" w:rsidRPr="00813D19">
        <w:rPr>
          <w:bCs/>
          <w:lang w:val="en-US"/>
        </w:rPr>
        <w:t xml:space="preserve">particularly </w:t>
      </w:r>
      <w:r w:rsidR="006D1F6E" w:rsidRPr="00813D19">
        <w:rPr>
          <w:bCs/>
          <w:lang w:val="en-US"/>
        </w:rPr>
        <w:t xml:space="preserve">concerning </w:t>
      </w:r>
      <w:r w:rsidR="00D06AAF" w:rsidRPr="00813D19">
        <w:rPr>
          <w:bCs/>
          <w:lang w:val="en-US"/>
        </w:rPr>
        <w:t xml:space="preserve">dialogue, which had </w:t>
      </w:r>
      <w:r w:rsidR="00BB5E86" w:rsidRPr="00813D19">
        <w:rPr>
          <w:bCs/>
          <w:lang w:val="en-US"/>
        </w:rPr>
        <w:t xml:space="preserve">already </w:t>
      </w:r>
      <w:r w:rsidR="00D06AAF" w:rsidRPr="00813D19">
        <w:rPr>
          <w:bCs/>
          <w:lang w:val="en-US"/>
        </w:rPr>
        <w:t xml:space="preserve">taken place within </w:t>
      </w:r>
      <w:r w:rsidR="00BB5E86" w:rsidRPr="00813D19">
        <w:rPr>
          <w:bCs/>
          <w:lang w:val="en-US"/>
        </w:rPr>
        <w:t>the Committee for a number of years</w:t>
      </w:r>
      <w:r w:rsidR="00D06AAF" w:rsidRPr="00813D19">
        <w:rPr>
          <w:bCs/>
          <w:lang w:val="en-US"/>
        </w:rPr>
        <w:t>,</w:t>
      </w:r>
      <w:r w:rsidR="00BB5E86" w:rsidRPr="00813D19">
        <w:rPr>
          <w:bCs/>
          <w:lang w:val="en-US"/>
        </w:rPr>
        <w:t xml:space="preserve"> </w:t>
      </w:r>
      <w:r w:rsidR="00D06AAF" w:rsidRPr="00813D19">
        <w:rPr>
          <w:bCs/>
          <w:lang w:val="en-US"/>
        </w:rPr>
        <w:t xml:space="preserve">as well as </w:t>
      </w:r>
      <w:r w:rsidR="00BB5E86" w:rsidRPr="00813D19">
        <w:rPr>
          <w:bCs/>
          <w:lang w:val="en-US"/>
        </w:rPr>
        <w:t>in the ad hoc working group</w:t>
      </w:r>
      <w:r w:rsidR="00D06AAF" w:rsidRPr="00813D19">
        <w:rPr>
          <w:bCs/>
          <w:lang w:val="en-US"/>
        </w:rPr>
        <w:t xml:space="preserve"> </w:t>
      </w:r>
      <w:r w:rsidR="00BB5E86" w:rsidRPr="00813D19">
        <w:rPr>
          <w:bCs/>
          <w:lang w:val="en-US"/>
        </w:rPr>
        <w:t xml:space="preserve">and </w:t>
      </w:r>
      <w:r w:rsidR="00D06AAF" w:rsidRPr="00813D19">
        <w:rPr>
          <w:bCs/>
          <w:lang w:val="en-US"/>
        </w:rPr>
        <w:t xml:space="preserve">the last General Assembly, could already be discussed at the eighth General Assembly. The delegation recalled that the </w:t>
      </w:r>
      <w:r w:rsidR="00BB5E86" w:rsidRPr="00813D19">
        <w:rPr>
          <w:bCs/>
          <w:lang w:val="en-US"/>
        </w:rPr>
        <w:t xml:space="preserve">Committee </w:t>
      </w:r>
      <w:r w:rsidR="00D06AAF" w:rsidRPr="00813D19">
        <w:rPr>
          <w:bCs/>
          <w:lang w:val="en-US"/>
        </w:rPr>
        <w:t>had</w:t>
      </w:r>
      <w:r w:rsidR="00BB5E86" w:rsidRPr="00813D19">
        <w:rPr>
          <w:bCs/>
          <w:lang w:val="en-US"/>
        </w:rPr>
        <w:t xml:space="preserve"> already decided </w:t>
      </w:r>
      <w:r w:rsidR="00D06AAF" w:rsidRPr="00813D19">
        <w:rPr>
          <w:bCs/>
          <w:lang w:val="en-US"/>
        </w:rPr>
        <w:t xml:space="preserve">to </w:t>
      </w:r>
      <w:r w:rsidR="00BB5E86" w:rsidRPr="00813D19">
        <w:rPr>
          <w:bCs/>
          <w:lang w:val="en-US"/>
        </w:rPr>
        <w:t xml:space="preserve">take a decision on dialogue at </w:t>
      </w:r>
      <w:r w:rsidR="00D06AAF" w:rsidRPr="00813D19">
        <w:rPr>
          <w:bCs/>
          <w:lang w:val="en-US"/>
        </w:rPr>
        <w:t>its fourteenth session</w:t>
      </w:r>
      <w:r w:rsidR="00BB5E86" w:rsidRPr="00813D19">
        <w:rPr>
          <w:bCs/>
          <w:lang w:val="en-US"/>
        </w:rPr>
        <w:t xml:space="preserve">. Hence, </w:t>
      </w:r>
      <w:r w:rsidR="00D06AAF" w:rsidRPr="00813D19">
        <w:rPr>
          <w:bCs/>
          <w:lang w:val="en-US"/>
        </w:rPr>
        <w:t xml:space="preserve">by </w:t>
      </w:r>
      <w:r w:rsidR="00BB5E86" w:rsidRPr="00813D19">
        <w:rPr>
          <w:bCs/>
          <w:lang w:val="en-US"/>
        </w:rPr>
        <w:t>the eighth General Assembly in June 2020</w:t>
      </w:r>
      <w:r w:rsidR="00D06AAF" w:rsidRPr="00813D19">
        <w:rPr>
          <w:bCs/>
          <w:lang w:val="en-US"/>
        </w:rPr>
        <w:t>,</w:t>
      </w:r>
      <w:r w:rsidR="00BB5E86" w:rsidRPr="00813D19">
        <w:rPr>
          <w:bCs/>
          <w:lang w:val="en-US"/>
        </w:rPr>
        <w:t xml:space="preserve"> if there </w:t>
      </w:r>
      <w:r w:rsidR="00D06AAF" w:rsidRPr="00813D19">
        <w:rPr>
          <w:bCs/>
          <w:lang w:val="en-US"/>
        </w:rPr>
        <w:t xml:space="preserve">were </w:t>
      </w:r>
      <w:r w:rsidR="00BB5E86" w:rsidRPr="00813D19">
        <w:rPr>
          <w:bCs/>
          <w:lang w:val="en-US"/>
        </w:rPr>
        <w:t>any amendments</w:t>
      </w:r>
      <w:r w:rsidR="006D1F6E" w:rsidRPr="00813D19">
        <w:rPr>
          <w:bCs/>
          <w:lang w:val="en-US"/>
        </w:rPr>
        <w:t xml:space="preserve"> ready</w:t>
      </w:r>
      <w:r w:rsidR="00D06AAF" w:rsidRPr="00813D19">
        <w:rPr>
          <w:bCs/>
          <w:lang w:val="en-US"/>
        </w:rPr>
        <w:t>,</w:t>
      </w:r>
      <w:r w:rsidR="00BB5E86" w:rsidRPr="00813D19">
        <w:rPr>
          <w:bCs/>
          <w:lang w:val="en-US"/>
        </w:rPr>
        <w:t xml:space="preserve"> especially on dialogue</w:t>
      </w:r>
      <w:r w:rsidR="00D06AAF" w:rsidRPr="00813D19">
        <w:rPr>
          <w:bCs/>
          <w:lang w:val="en-US"/>
        </w:rPr>
        <w:t xml:space="preserve">, </w:t>
      </w:r>
      <w:r w:rsidR="006D1F6E" w:rsidRPr="00813D19">
        <w:rPr>
          <w:bCs/>
          <w:lang w:val="en-US"/>
        </w:rPr>
        <w:t xml:space="preserve">then </w:t>
      </w:r>
      <w:r w:rsidR="00BB5E86" w:rsidRPr="00813D19">
        <w:rPr>
          <w:bCs/>
          <w:lang w:val="en-US"/>
        </w:rPr>
        <w:t xml:space="preserve">they </w:t>
      </w:r>
      <w:r w:rsidR="00D06AAF" w:rsidRPr="00813D19">
        <w:rPr>
          <w:bCs/>
          <w:lang w:val="en-US"/>
        </w:rPr>
        <w:t xml:space="preserve">did </w:t>
      </w:r>
      <w:r w:rsidR="00BB5E86" w:rsidRPr="00813D19">
        <w:rPr>
          <w:bCs/>
          <w:lang w:val="en-US"/>
        </w:rPr>
        <w:t xml:space="preserve">not </w:t>
      </w:r>
      <w:r w:rsidR="00D06AAF" w:rsidRPr="00813D19">
        <w:rPr>
          <w:bCs/>
          <w:lang w:val="en-US"/>
        </w:rPr>
        <w:t xml:space="preserve">have to be </w:t>
      </w:r>
      <w:r w:rsidR="00BB5E86" w:rsidRPr="00813D19">
        <w:rPr>
          <w:bCs/>
          <w:lang w:val="en-US"/>
        </w:rPr>
        <w:t xml:space="preserve">included in </w:t>
      </w:r>
      <w:r w:rsidR="00D06AAF" w:rsidRPr="00813D19">
        <w:rPr>
          <w:bCs/>
          <w:lang w:val="en-US"/>
        </w:rPr>
        <w:t xml:space="preserve">the overall holistic reflection, </w:t>
      </w:r>
      <w:r w:rsidR="00BB5E86" w:rsidRPr="00813D19">
        <w:rPr>
          <w:bCs/>
          <w:lang w:val="en-US"/>
        </w:rPr>
        <w:t xml:space="preserve">which </w:t>
      </w:r>
      <w:r w:rsidR="00D06AAF" w:rsidRPr="00813D19">
        <w:rPr>
          <w:bCs/>
          <w:lang w:val="en-US"/>
        </w:rPr>
        <w:t xml:space="preserve">would </w:t>
      </w:r>
      <w:r w:rsidR="00BB5E86" w:rsidRPr="00813D19">
        <w:rPr>
          <w:bCs/>
          <w:lang w:val="en-US"/>
        </w:rPr>
        <w:t>take long</w:t>
      </w:r>
      <w:r w:rsidR="00D06AAF" w:rsidRPr="00813D19">
        <w:rPr>
          <w:bCs/>
          <w:lang w:val="en-US"/>
        </w:rPr>
        <w:t>er,</w:t>
      </w:r>
      <w:r w:rsidR="00BB5E86" w:rsidRPr="00813D19">
        <w:rPr>
          <w:bCs/>
          <w:lang w:val="en-US"/>
        </w:rPr>
        <w:t xml:space="preserve"> </w:t>
      </w:r>
      <w:r w:rsidR="00D06AAF" w:rsidRPr="00813D19">
        <w:rPr>
          <w:bCs/>
          <w:lang w:val="en-US"/>
        </w:rPr>
        <w:t xml:space="preserve">and could </w:t>
      </w:r>
      <w:r w:rsidR="00BB5E86" w:rsidRPr="00813D19">
        <w:rPr>
          <w:bCs/>
          <w:lang w:val="en-US"/>
        </w:rPr>
        <w:t xml:space="preserve">perhaps already </w:t>
      </w:r>
      <w:r w:rsidR="00D06AAF" w:rsidRPr="00813D19">
        <w:rPr>
          <w:bCs/>
          <w:lang w:val="en-US"/>
        </w:rPr>
        <w:t xml:space="preserve">be tabled at the </w:t>
      </w:r>
      <w:r w:rsidR="00BB5E86" w:rsidRPr="00813D19">
        <w:rPr>
          <w:bCs/>
          <w:lang w:val="en-US"/>
        </w:rPr>
        <w:t xml:space="preserve">eighth General Assembly. </w:t>
      </w:r>
      <w:r w:rsidR="00EF30A1" w:rsidRPr="00813D19">
        <w:rPr>
          <w:bCs/>
          <w:lang w:val="en-US"/>
        </w:rPr>
        <w:t xml:space="preserve">The </w:t>
      </w:r>
      <w:r w:rsidR="00D7194C" w:rsidRPr="00813D19">
        <w:rPr>
          <w:bCs/>
          <w:lang w:val="en-US"/>
        </w:rPr>
        <w:t xml:space="preserve">points raised by Palestine </w:t>
      </w:r>
      <w:r w:rsidR="00ED194C" w:rsidRPr="00813D19">
        <w:rPr>
          <w:bCs/>
          <w:lang w:val="en-US"/>
        </w:rPr>
        <w:t xml:space="preserve">also </w:t>
      </w:r>
      <w:r w:rsidR="00D7194C" w:rsidRPr="00813D19">
        <w:rPr>
          <w:bCs/>
          <w:lang w:val="en-US"/>
        </w:rPr>
        <w:t xml:space="preserve">deserved </w:t>
      </w:r>
      <w:r w:rsidR="00813D19" w:rsidRPr="00813D19">
        <w:rPr>
          <w:bCs/>
          <w:lang w:val="en-US"/>
        </w:rPr>
        <w:t>merit</w:t>
      </w:r>
      <w:r w:rsidR="00B67A60">
        <w:rPr>
          <w:bCs/>
          <w:lang w:val="en-US"/>
        </w:rPr>
        <w:t>.</w:t>
      </w:r>
    </w:p>
    <w:p w14:paraId="176620AC" w14:textId="50E069AC" w:rsidR="00396143" w:rsidRPr="00813D19" w:rsidRDefault="00396143" w:rsidP="002018F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D46662" w:rsidRPr="00813D19">
        <w:rPr>
          <w:color w:val="000000" w:themeColor="text1"/>
          <w:lang w:val="en-US"/>
        </w:rPr>
        <w:t xml:space="preserve">noted that there </w:t>
      </w:r>
      <w:r w:rsidR="00D46662" w:rsidRPr="00813D19">
        <w:rPr>
          <w:bCs/>
          <w:lang w:val="en-US"/>
        </w:rPr>
        <w:t xml:space="preserve">were two different issues: </w:t>
      </w:r>
      <w:r w:rsidR="00BB5E86" w:rsidRPr="00813D19">
        <w:rPr>
          <w:bCs/>
          <w:lang w:val="en-US"/>
        </w:rPr>
        <w:t>one concerning dialogue and one concerning the reform</w:t>
      </w:r>
      <w:r w:rsidR="00D46662" w:rsidRPr="00813D19">
        <w:rPr>
          <w:bCs/>
          <w:lang w:val="en-US"/>
        </w:rPr>
        <w:t xml:space="preserve">, </w:t>
      </w:r>
      <w:r w:rsidR="00ED260F" w:rsidRPr="00813D19">
        <w:rPr>
          <w:bCs/>
          <w:lang w:val="en-US"/>
        </w:rPr>
        <w:t xml:space="preserve">adding that it </w:t>
      </w:r>
      <w:r w:rsidR="00D46662" w:rsidRPr="00813D19">
        <w:rPr>
          <w:bCs/>
          <w:lang w:val="en-US"/>
        </w:rPr>
        <w:t xml:space="preserve">was </w:t>
      </w:r>
      <w:r w:rsidR="00DE7B8E" w:rsidRPr="00813D19">
        <w:rPr>
          <w:bCs/>
          <w:lang w:val="en-US"/>
        </w:rPr>
        <w:t xml:space="preserve">not </w:t>
      </w:r>
      <w:r w:rsidR="006D1F6E" w:rsidRPr="00813D19">
        <w:rPr>
          <w:bCs/>
          <w:lang w:val="en-US"/>
        </w:rPr>
        <w:t>just</w:t>
      </w:r>
      <w:r w:rsidR="00DE7B8E" w:rsidRPr="00813D19">
        <w:rPr>
          <w:bCs/>
          <w:lang w:val="en-US"/>
        </w:rPr>
        <w:t xml:space="preserve"> complicated but </w:t>
      </w:r>
      <w:r w:rsidR="00691007" w:rsidRPr="00813D19">
        <w:rPr>
          <w:bCs/>
          <w:lang w:val="en-US"/>
        </w:rPr>
        <w:t xml:space="preserve">simply </w:t>
      </w:r>
      <w:r w:rsidR="006D1F6E" w:rsidRPr="00813D19">
        <w:rPr>
          <w:bCs/>
          <w:lang w:val="en-US"/>
        </w:rPr>
        <w:t>im</w:t>
      </w:r>
      <w:r w:rsidR="00BB5E86" w:rsidRPr="00813D19">
        <w:rPr>
          <w:bCs/>
          <w:lang w:val="en-US"/>
        </w:rPr>
        <w:t xml:space="preserve">possible to </w:t>
      </w:r>
      <w:r w:rsidR="007A509C" w:rsidRPr="00813D19">
        <w:rPr>
          <w:bCs/>
          <w:lang w:val="en-US"/>
        </w:rPr>
        <w:t xml:space="preserve">carry out </w:t>
      </w:r>
      <w:r w:rsidR="00390763" w:rsidRPr="00813D19">
        <w:rPr>
          <w:bCs/>
          <w:lang w:val="en-US"/>
        </w:rPr>
        <w:t>all the development issues at the same time</w:t>
      </w:r>
      <w:r w:rsidR="00BB5E86" w:rsidRPr="00813D19">
        <w:rPr>
          <w:bCs/>
          <w:lang w:val="en-US"/>
        </w:rPr>
        <w:t xml:space="preserve">. </w:t>
      </w:r>
      <w:r w:rsidR="00ED260F" w:rsidRPr="00813D19">
        <w:rPr>
          <w:bCs/>
          <w:lang w:val="en-US"/>
        </w:rPr>
        <w:t xml:space="preserve">It was not just a question of funding, but also </w:t>
      </w:r>
      <w:r w:rsidR="00BB5E86" w:rsidRPr="00813D19">
        <w:rPr>
          <w:bCs/>
          <w:lang w:val="en-US"/>
        </w:rPr>
        <w:t>a que</w:t>
      </w:r>
      <w:r w:rsidR="00604069" w:rsidRPr="00813D19">
        <w:rPr>
          <w:bCs/>
          <w:lang w:val="en-US"/>
        </w:rPr>
        <w:t xml:space="preserve">stion of time in that </w:t>
      </w:r>
      <w:r w:rsidR="00BB5E86" w:rsidRPr="00813D19">
        <w:rPr>
          <w:bCs/>
          <w:lang w:val="en-US"/>
        </w:rPr>
        <w:t>go</w:t>
      </w:r>
      <w:r w:rsidR="00604069" w:rsidRPr="00813D19">
        <w:rPr>
          <w:bCs/>
          <w:lang w:val="en-US"/>
        </w:rPr>
        <w:t>ing immediately from the e</w:t>
      </w:r>
      <w:r w:rsidR="00BB5E86" w:rsidRPr="00813D19">
        <w:rPr>
          <w:bCs/>
          <w:lang w:val="en-US"/>
        </w:rPr>
        <w:t xml:space="preserve">xpert meeting to the open-ended working group would not </w:t>
      </w:r>
      <w:r w:rsidR="00FE00F4" w:rsidRPr="00813D19">
        <w:rPr>
          <w:bCs/>
          <w:lang w:val="en-US"/>
        </w:rPr>
        <w:t xml:space="preserve">allow </w:t>
      </w:r>
      <w:r w:rsidR="00FB4416">
        <w:rPr>
          <w:bCs/>
          <w:lang w:val="en-US"/>
        </w:rPr>
        <w:t xml:space="preserve">for </w:t>
      </w:r>
      <w:r w:rsidR="00BB5E86" w:rsidRPr="00813D19">
        <w:rPr>
          <w:bCs/>
          <w:lang w:val="en-US"/>
        </w:rPr>
        <w:t>a level of c</w:t>
      </w:r>
      <w:r w:rsidR="00136E08" w:rsidRPr="00813D19">
        <w:rPr>
          <w:bCs/>
          <w:lang w:val="en-US"/>
        </w:rPr>
        <w:t xml:space="preserve">onsultation with the Committee, which was viewed </w:t>
      </w:r>
      <w:r w:rsidR="00BB5E86" w:rsidRPr="00813D19">
        <w:rPr>
          <w:bCs/>
          <w:lang w:val="en-US"/>
        </w:rPr>
        <w:t>as an</w:t>
      </w:r>
      <w:r w:rsidR="00136E08" w:rsidRPr="00813D19">
        <w:rPr>
          <w:bCs/>
          <w:lang w:val="en-US"/>
        </w:rPr>
        <w:t xml:space="preserve"> important consultative process. </w:t>
      </w:r>
      <w:r w:rsidR="00CB5ACD" w:rsidRPr="00813D19">
        <w:rPr>
          <w:bCs/>
          <w:lang w:val="en-US"/>
        </w:rPr>
        <w:t xml:space="preserve">This was the process followed in the work on the overall results framework, and even then, there were some concerns that </w:t>
      </w:r>
      <w:r w:rsidR="00BB5E86" w:rsidRPr="00813D19">
        <w:rPr>
          <w:bCs/>
          <w:lang w:val="en-US"/>
        </w:rPr>
        <w:t xml:space="preserve">the </w:t>
      </w:r>
      <w:r w:rsidR="00CB5ACD" w:rsidRPr="00813D19">
        <w:rPr>
          <w:bCs/>
          <w:lang w:val="en-US"/>
        </w:rPr>
        <w:t xml:space="preserve">entire </w:t>
      </w:r>
      <w:r w:rsidR="00BB5E86" w:rsidRPr="00813D19">
        <w:rPr>
          <w:bCs/>
          <w:lang w:val="en-US"/>
        </w:rPr>
        <w:t xml:space="preserve">process </w:t>
      </w:r>
      <w:r w:rsidR="006D1F6E" w:rsidRPr="00813D19">
        <w:rPr>
          <w:bCs/>
          <w:lang w:val="en-US"/>
        </w:rPr>
        <w:t>was insuffici</w:t>
      </w:r>
      <w:r w:rsidR="00CB5ACD" w:rsidRPr="00813D19">
        <w:rPr>
          <w:bCs/>
          <w:lang w:val="en-US"/>
        </w:rPr>
        <w:t xml:space="preserve">ently inclusiveness. Nevertheless, in that process, this additional consultation brought </w:t>
      </w:r>
      <w:r w:rsidR="00BB5E86" w:rsidRPr="00813D19">
        <w:rPr>
          <w:bCs/>
          <w:lang w:val="en-US"/>
        </w:rPr>
        <w:t xml:space="preserve">together a consensus </w:t>
      </w:r>
      <w:r w:rsidR="00CB5ACD" w:rsidRPr="00813D19">
        <w:rPr>
          <w:bCs/>
          <w:lang w:val="en-US"/>
        </w:rPr>
        <w:t xml:space="preserve">on the overall results framework by the time it was submitted </w:t>
      </w:r>
      <w:r w:rsidR="00BB5E86" w:rsidRPr="00813D19">
        <w:rPr>
          <w:bCs/>
          <w:lang w:val="en-US"/>
        </w:rPr>
        <w:t xml:space="preserve">to the General Assembly. </w:t>
      </w:r>
      <w:r w:rsidR="00CB5ACD" w:rsidRPr="00813D19">
        <w:rPr>
          <w:bCs/>
          <w:lang w:val="en-US"/>
        </w:rPr>
        <w:t xml:space="preserve">The Secretary believed that </w:t>
      </w:r>
      <w:r w:rsidR="00BB5E86" w:rsidRPr="00813D19">
        <w:rPr>
          <w:bCs/>
          <w:lang w:val="en-US"/>
        </w:rPr>
        <w:t xml:space="preserve">it </w:t>
      </w:r>
      <w:r w:rsidR="00CB5ACD" w:rsidRPr="00813D19">
        <w:rPr>
          <w:bCs/>
          <w:lang w:val="en-US"/>
        </w:rPr>
        <w:t xml:space="preserve">was </w:t>
      </w:r>
      <w:r w:rsidR="00BB5E86" w:rsidRPr="00813D19">
        <w:rPr>
          <w:bCs/>
          <w:lang w:val="en-US"/>
        </w:rPr>
        <w:t xml:space="preserve">important to follow such </w:t>
      </w:r>
      <w:r w:rsidR="00CB5ACD" w:rsidRPr="00813D19">
        <w:rPr>
          <w:bCs/>
          <w:lang w:val="en-US"/>
        </w:rPr>
        <w:t>a process</w:t>
      </w:r>
      <w:r w:rsidR="00BB5E86" w:rsidRPr="00813D19">
        <w:rPr>
          <w:bCs/>
          <w:lang w:val="en-US"/>
        </w:rPr>
        <w:t xml:space="preserve"> so </w:t>
      </w:r>
      <w:r w:rsidR="00CB5ACD" w:rsidRPr="00813D19">
        <w:rPr>
          <w:bCs/>
          <w:lang w:val="en-US"/>
        </w:rPr>
        <w:t xml:space="preserve">as to include the </w:t>
      </w:r>
      <w:r w:rsidR="00BB5E86" w:rsidRPr="00813D19">
        <w:rPr>
          <w:bCs/>
          <w:lang w:val="en-US"/>
        </w:rPr>
        <w:t xml:space="preserve">two oversights of the Committee, </w:t>
      </w:r>
      <w:r w:rsidR="00CB5ACD" w:rsidRPr="00813D19">
        <w:rPr>
          <w:bCs/>
          <w:lang w:val="en-US"/>
        </w:rPr>
        <w:t xml:space="preserve">the opinion of the General Assembly and the </w:t>
      </w:r>
      <w:r w:rsidR="00BB5E86" w:rsidRPr="00813D19">
        <w:rPr>
          <w:bCs/>
          <w:lang w:val="en-US"/>
        </w:rPr>
        <w:t>th</w:t>
      </w:r>
      <w:r w:rsidR="00CB5ACD" w:rsidRPr="00813D19">
        <w:rPr>
          <w:bCs/>
          <w:lang w:val="en-US"/>
        </w:rPr>
        <w:t xml:space="preserve">ree intergovernmental contexts that </w:t>
      </w:r>
      <w:r w:rsidR="00FB4416" w:rsidRPr="00813D19">
        <w:rPr>
          <w:bCs/>
          <w:lang w:val="en-US"/>
        </w:rPr>
        <w:t>w</w:t>
      </w:r>
      <w:r w:rsidR="00FB4416">
        <w:rPr>
          <w:bCs/>
          <w:lang w:val="en-US"/>
        </w:rPr>
        <w:t>ould</w:t>
      </w:r>
      <w:r w:rsidR="00FB4416" w:rsidRPr="00813D19">
        <w:rPr>
          <w:bCs/>
          <w:lang w:val="en-US"/>
        </w:rPr>
        <w:t xml:space="preserve"> </w:t>
      </w:r>
      <w:r w:rsidR="00CB5ACD" w:rsidRPr="00813D19">
        <w:rPr>
          <w:bCs/>
          <w:lang w:val="en-US"/>
        </w:rPr>
        <w:t xml:space="preserve">ensure a </w:t>
      </w:r>
      <w:r w:rsidR="00BB5E86" w:rsidRPr="00813D19">
        <w:rPr>
          <w:bCs/>
          <w:lang w:val="en-US"/>
        </w:rPr>
        <w:t xml:space="preserve">fully reflected </w:t>
      </w:r>
      <w:r w:rsidR="00CB5ACD" w:rsidRPr="00813D19">
        <w:rPr>
          <w:bCs/>
          <w:lang w:val="en-US"/>
        </w:rPr>
        <w:t xml:space="preserve">approach and hence a </w:t>
      </w:r>
      <w:r w:rsidR="00BB5E86" w:rsidRPr="00813D19">
        <w:rPr>
          <w:bCs/>
          <w:lang w:val="en-US"/>
        </w:rPr>
        <w:t xml:space="preserve">comprehensive reform. </w:t>
      </w:r>
      <w:r w:rsidR="00CB5ACD" w:rsidRPr="00813D19">
        <w:rPr>
          <w:bCs/>
          <w:lang w:val="en-US"/>
        </w:rPr>
        <w:t xml:space="preserve">This could thus be seen as </w:t>
      </w:r>
      <w:r w:rsidR="00BB5E86" w:rsidRPr="00813D19">
        <w:rPr>
          <w:bCs/>
          <w:lang w:val="en-US"/>
        </w:rPr>
        <w:t>a strategic approach</w:t>
      </w:r>
      <w:r w:rsidR="00CB5ACD" w:rsidRPr="00813D19">
        <w:rPr>
          <w:bCs/>
          <w:lang w:val="en-US"/>
        </w:rPr>
        <w:t xml:space="preserve">, but it would </w:t>
      </w:r>
      <w:r w:rsidR="006D1F6E" w:rsidRPr="00813D19">
        <w:rPr>
          <w:bCs/>
          <w:lang w:val="en-US"/>
        </w:rPr>
        <w:t xml:space="preserve">also </w:t>
      </w:r>
      <w:r w:rsidR="00CB5ACD" w:rsidRPr="00813D19">
        <w:rPr>
          <w:bCs/>
          <w:lang w:val="en-US"/>
        </w:rPr>
        <w:t>be impossible to foresee an opening in the schedule in 2019 given the planned meetings, the e</w:t>
      </w:r>
      <w:r w:rsidR="00BB5E86" w:rsidRPr="00813D19">
        <w:rPr>
          <w:bCs/>
          <w:lang w:val="en-US"/>
        </w:rPr>
        <w:t xml:space="preserve">xpert meeting </w:t>
      </w:r>
      <w:r w:rsidR="00CB5ACD" w:rsidRPr="00813D19">
        <w:rPr>
          <w:bCs/>
          <w:lang w:val="en-US"/>
        </w:rPr>
        <w:t xml:space="preserve">and the </w:t>
      </w:r>
      <w:r w:rsidR="00BB5E86" w:rsidRPr="00813D19">
        <w:rPr>
          <w:bCs/>
          <w:lang w:val="en-US"/>
        </w:rPr>
        <w:t xml:space="preserve">intergovernmental meeting. </w:t>
      </w:r>
      <w:r w:rsidR="00CB5ACD" w:rsidRPr="00813D19">
        <w:rPr>
          <w:bCs/>
          <w:lang w:val="en-US"/>
        </w:rPr>
        <w:t xml:space="preserve">Regarding the question raised by the Philippines on the issue of dialogue, the Secretary explained that it was </w:t>
      </w:r>
      <w:r w:rsidR="00BB5E86" w:rsidRPr="00813D19">
        <w:rPr>
          <w:bCs/>
          <w:lang w:val="en-US"/>
        </w:rPr>
        <w:t xml:space="preserve">already on the agenda </w:t>
      </w:r>
      <w:r w:rsidR="00CB5ACD" w:rsidRPr="00813D19">
        <w:rPr>
          <w:bCs/>
          <w:lang w:val="en-US"/>
        </w:rPr>
        <w:t xml:space="preserve">for discussion in 2019 </w:t>
      </w:r>
      <w:r w:rsidR="00BB5E86" w:rsidRPr="00813D19">
        <w:rPr>
          <w:bCs/>
          <w:lang w:val="en-US"/>
        </w:rPr>
        <w:t xml:space="preserve">at the </w:t>
      </w:r>
      <w:r w:rsidR="00CB5ACD" w:rsidRPr="00813D19">
        <w:rPr>
          <w:bCs/>
          <w:lang w:val="en-US"/>
        </w:rPr>
        <w:t xml:space="preserve">next </w:t>
      </w:r>
      <w:r w:rsidR="00BB5E86" w:rsidRPr="00813D19">
        <w:rPr>
          <w:bCs/>
          <w:lang w:val="en-US"/>
        </w:rPr>
        <w:t xml:space="preserve">Committee </w:t>
      </w:r>
      <w:r w:rsidR="00CB5ACD" w:rsidRPr="00813D19">
        <w:rPr>
          <w:bCs/>
          <w:lang w:val="en-US"/>
        </w:rPr>
        <w:t xml:space="preserve">session, and that </w:t>
      </w:r>
      <w:r w:rsidR="006D1F6E" w:rsidRPr="00813D19">
        <w:rPr>
          <w:bCs/>
          <w:lang w:val="en-US"/>
        </w:rPr>
        <w:t>the cale</w:t>
      </w:r>
      <w:r w:rsidR="0066659F" w:rsidRPr="00813D19">
        <w:rPr>
          <w:bCs/>
          <w:lang w:val="en-US"/>
        </w:rPr>
        <w:t xml:space="preserve">ndar </w:t>
      </w:r>
      <w:r w:rsidR="00CB5ACD" w:rsidRPr="00813D19">
        <w:rPr>
          <w:bCs/>
          <w:lang w:val="en-US"/>
        </w:rPr>
        <w:t xml:space="preserve">had been very extensively </w:t>
      </w:r>
      <w:r w:rsidR="0066659F" w:rsidRPr="00813D19">
        <w:rPr>
          <w:bCs/>
          <w:lang w:val="en-US"/>
        </w:rPr>
        <w:t>examined in this regard</w:t>
      </w:r>
      <w:r w:rsidR="00BB5E86" w:rsidRPr="00813D19">
        <w:rPr>
          <w:bCs/>
          <w:lang w:val="en-US"/>
        </w:rPr>
        <w:t xml:space="preserve">. </w:t>
      </w:r>
      <w:r w:rsidR="00CB5ACD" w:rsidRPr="00813D19">
        <w:rPr>
          <w:bCs/>
          <w:lang w:val="en-US"/>
        </w:rPr>
        <w:t xml:space="preserve">Moreover, </w:t>
      </w:r>
      <w:r w:rsidR="00BB5E86" w:rsidRPr="00813D19">
        <w:rPr>
          <w:bCs/>
          <w:lang w:val="en-US"/>
        </w:rPr>
        <w:t xml:space="preserve">it </w:t>
      </w:r>
      <w:r w:rsidR="00CB5ACD" w:rsidRPr="00813D19">
        <w:rPr>
          <w:bCs/>
          <w:lang w:val="en-US"/>
        </w:rPr>
        <w:t xml:space="preserve">might </w:t>
      </w:r>
      <w:r w:rsidR="00BB5E86" w:rsidRPr="00813D19">
        <w:rPr>
          <w:bCs/>
          <w:lang w:val="en-US"/>
        </w:rPr>
        <w:t xml:space="preserve">be more efficient to </w:t>
      </w:r>
      <w:r w:rsidR="00CB5ACD" w:rsidRPr="00813D19">
        <w:rPr>
          <w:bCs/>
          <w:lang w:val="en-US"/>
        </w:rPr>
        <w:t xml:space="preserve">discuss the </w:t>
      </w:r>
      <w:r w:rsidR="00BB5E86" w:rsidRPr="00813D19">
        <w:rPr>
          <w:bCs/>
          <w:lang w:val="en-US"/>
        </w:rPr>
        <w:t>dialogue once the question o</w:t>
      </w:r>
      <w:r w:rsidR="006D1F6E" w:rsidRPr="00813D19">
        <w:rPr>
          <w:bCs/>
          <w:lang w:val="en-US"/>
        </w:rPr>
        <w:t>f the criterion had</w:t>
      </w:r>
      <w:r w:rsidR="00BB5E86" w:rsidRPr="00813D19">
        <w:rPr>
          <w:bCs/>
          <w:lang w:val="en-US"/>
        </w:rPr>
        <w:t xml:space="preserve"> been </w:t>
      </w:r>
      <w:r w:rsidR="00CB5ACD" w:rsidRPr="00813D19">
        <w:rPr>
          <w:bCs/>
          <w:lang w:val="en-US"/>
        </w:rPr>
        <w:t>examined</w:t>
      </w:r>
      <w:r w:rsidR="00BB5E86" w:rsidRPr="00813D19">
        <w:rPr>
          <w:bCs/>
          <w:lang w:val="en-US"/>
        </w:rPr>
        <w:t xml:space="preserve">. The question of the criterion could </w:t>
      </w:r>
      <w:r w:rsidR="00440684" w:rsidRPr="00813D19">
        <w:rPr>
          <w:bCs/>
          <w:lang w:val="en-US"/>
        </w:rPr>
        <w:t xml:space="preserve">also </w:t>
      </w:r>
      <w:r w:rsidR="00BB5E86" w:rsidRPr="00813D19">
        <w:rPr>
          <w:bCs/>
          <w:lang w:val="en-US"/>
        </w:rPr>
        <w:t>be a way to review the evaluation</w:t>
      </w:r>
      <w:r w:rsidR="00FB4416">
        <w:rPr>
          <w:bCs/>
          <w:lang w:val="en-US"/>
        </w:rPr>
        <w:t xml:space="preserve"> process</w:t>
      </w:r>
      <w:r w:rsidR="00BB5E86" w:rsidRPr="00813D19">
        <w:rPr>
          <w:bCs/>
          <w:lang w:val="en-US"/>
        </w:rPr>
        <w:t xml:space="preserve">. </w:t>
      </w:r>
      <w:r w:rsidR="00440684" w:rsidRPr="00813D19">
        <w:rPr>
          <w:bCs/>
          <w:lang w:val="en-US"/>
        </w:rPr>
        <w:t xml:space="preserve">The Secretary asked the </w:t>
      </w:r>
      <w:r w:rsidR="00BB5E86" w:rsidRPr="00813D19">
        <w:rPr>
          <w:bCs/>
          <w:lang w:val="en-US"/>
        </w:rPr>
        <w:t xml:space="preserve">Committee </w:t>
      </w:r>
      <w:r w:rsidR="0066659F" w:rsidRPr="00813D19">
        <w:rPr>
          <w:bCs/>
          <w:lang w:val="en-US"/>
        </w:rPr>
        <w:t>whet</w:t>
      </w:r>
      <w:r w:rsidR="00440684" w:rsidRPr="00813D19">
        <w:rPr>
          <w:bCs/>
          <w:lang w:val="en-US"/>
        </w:rPr>
        <w:t xml:space="preserve">her it </w:t>
      </w:r>
      <w:r w:rsidR="006D1F6E" w:rsidRPr="00813D19">
        <w:rPr>
          <w:bCs/>
          <w:lang w:val="en-US"/>
        </w:rPr>
        <w:t xml:space="preserve">could </w:t>
      </w:r>
      <w:r w:rsidR="00BB5E86" w:rsidRPr="00813D19">
        <w:rPr>
          <w:bCs/>
          <w:lang w:val="en-US"/>
        </w:rPr>
        <w:t xml:space="preserve">consider an interim measure </w:t>
      </w:r>
      <w:r w:rsidR="00440684" w:rsidRPr="00813D19">
        <w:rPr>
          <w:bCs/>
          <w:lang w:val="en-US"/>
        </w:rPr>
        <w:t xml:space="preserve">in 2019 </w:t>
      </w:r>
      <w:r w:rsidR="00BB5E86" w:rsidRPr="00813D19">
        <w:rPr>
          <w:bCs/>
          <w:lang w:val="en-US"/>
        </w:rPr>
        <w:t>for the dialogue process</w:t>
      </w:r>
      <w:r w:rsidR="00440684" w:rsidRPr="00813D19">
        <w:rPr>
          <w:bCs/>
          <w:lang w:val="en-US"/>
        </w:rPr>
        <w:t xml:space="preserve"> that did </w:t>
      </w:r>
      <w:r w:rsidR="00BB5E86" w:rsidRPr="00813D19">
        <w:rPr>
          <w:bCs/>
          <w:lang w:val="en-US"/>
        </w:rPr>
        <w:t xml:space="preserve">not necessarily </w:t>
      </w:r>
      <w:r w:rsidR="00440684" w:rsidRPr="00813D19">
        <w:rPr>
          <w:bCs/>
          <w:lang w:val="en-US"/>
        </w:rPr>
        <w:t>imply an immediate</w:t>
      </w:r>
      <w:r w:rsidR="00BB5E86" w:rsidRPr="00813D19">
        <w:rPr>
          <w:bCs/>
          <w:lang w:val="en-US"/>
        </w:rPr>
        <w:t xml:space="preserve"> change </w:t>
      </w:r>
      <w:r w:rsidR="00440684" w:rsidRPr="00813D19">
        <w:rPr>
          <w:bCs/>
          <w:lang w:val="en-US"/>
        </w:rPr>
        <w:t xml:space="preserve">to the </w:t>
      </w:r>
      <w:r w:rsidR="00BB5E86" w:rsidRPr="00813D19">
        <w:rPr>
          <w:bCs/>
          <w:lang w:val="en-US"/>
        </w:rPr>
        <w:t xml:space="preserve">Operational Directives until </w:t>
      </w:r>
      <w:r w:rsidR="00440684" w:rsidRPr="00813D19">
        <w:rPr>
          <w:bCs/>
          <w:lang w:val="en-US"/>
        </w:rPr>
        <w:t xml:space="preserve">a broader process could be followed. </w:t>
      </w:r>
      <w:r w:rsidR="0008439E" w:rsidRPr="00813D19">
        <w:rPr>
          <w:bCs/>
          <w:lang w:val="en-US"/>
        </w:rPr>
        <w:t>The Secretary suggested that o</w:t>
      </w:r>
      <w:r w:rsidR="00BB5E86" w:rsidRPr="00813D19">
        <w:rPr>
          <w:bCs/>
          <w:lang w:val="en-US"/>
        </w:rPr>
        <w:t xml:space="preserve">ne option might be to get the Committee to agree on the dialogue reform </w:t>
      </w:r>
      <w:r w:rsidR="0066659F" w:rsidRPr="00813D19">
        <w:rPr>
          <w:bCs/>
          <w:lang w:val="en-US"/>
        </w:rPr>
        <w:t xml:space="preserve">in </w:t>
      </w:r>
      <w:r w:rsidR="00BB5E86" w:rsidRPr="00813D19">
        <w:rPr>
          <w:bCs/>
          <w:lang w:val="en-US"/>
        </w:rPr>
        <w:t>a lighter</w:t>
      </w:r>
      <w:r w:rsidR="0066659F" w:rsidRPr="00813D19">
        <w:rPr>
          <w:bCs/>
          <w:lang w:val="en-US"/>
        </w:rPr>
        <w:t>,</w:t>
      </w:r>
      <w:r w:rsidR="00BB5E86" w:rsidRPr="00813D19">
        <w:rPr>
          <w:bCs/>
          <w:lang w:val="en-US"/>
        </w:rPr>
        <w:t xml:space="preserve"> </w:t>
      </w:r>
      <w:r w:rsidR="0066659F" w:rsidRPr="00813D19">
        <w:rPr>
          <w:bCs/>
          <w:lang w:val="en-US"/>
        </w:rPr>
        <w:t xml:space="preserve">more </w:t>
      </w:r>
      <w:r w:rsidR="00BB5E86" w:rsidRPr="00813D19">
        <w:rPr>
          <w:bCs/>
          <w:lang w:val="en-US"/>
        </w:rPr>
        <w:t xml:space="preserve">tentative way </w:t>
      </w:r>
      <w:r w:rsidR="0066659F" w:rsidRPr="00813D19">
        <w:rPr>
          <w:bCs/>
          <w:lang w:val="en-US"/>
        </w:rPr>
        <w:t>that</w:t>
      </w:r>
      <w:r w:rsidR="00BB5E86" w:rsidRPr="00813D19">
        <w:rPr>
          <w:bCs/>
          <w:lang w:val="en-US"/>
        </w:rPr>
        <w:t xml:space="preserve"> </w:t>
      </w:r>
      <w:r w:rsidR="0066659F" w:rsidRPr="00813D19">
        <w:rPr>
          <w:bCs/>
          <w:lang w:val="en-US"/>
        </w:rPr>
        <w:t xml:space="preserve">could be initiated by the Committee in 2019, with </w:t>
      </w:r>
      <w:r w:rsidR="00BB5E86" w:rsidRPr="00813D19">
        <w:rPr>
          <w:bCs/>
          <w:lang w:val="en-US"/>
        </w:rPr>
        <w:t xml:space="preserve">the informal working group </w:t>
      </w:r>
      <w:r w:rsidR="00FB4416" w:rsidRPr="00813D19">
        <w:rPr>
          <w:bCs/>
          <w:lang w:val="en-US"/>
        </w:rPr>
        <w:t xml:space="preserve">again </w:t>
      </w:r>
      <w:r w:rsidR="00BB5E86" w:rsidRPr="00813D19">
        <w:rPr>
          <w:bCs/>
          <w:lang w:val="en-US"/>
        </w:rPr>
        <w:t>work</w:t>
      </w:r>
      <w:r w:rsidR="0066659F" w:rsidRPr="00813D19">
        <w:rPr>
          <w:bCs/>
          <w:lang w:val="en-US"/>
        </w:rPr>
        <w:t>ing</w:t>
      </w:r>
      <w:r w:rsidR="00BB5E86" w:rsidRPr="00813D19">
        <w:rPr>
          <w:bCs/>
          <w:lang w:val="en-US"/>
        </w:rPr>
        <w:t xml:space="preserve"> </w:t>
      </w:r>
      <w:r w:rsidR="0066659F" w:rsidRPr="00813D19">
        <w:rPr>
          <w:bCs/>
          <w:lang w:val="en-US"/>
        </w:rPr>
        <w:t>on this issue</w:t>
      </w:r>
      <w:r w:rsidR="00BB5E86" w:rsidRPr="00813D19">
        <w:rPr>
          <w:bCs/>
          <w:lang w:val="en-US"/>
        </w:rPr>
        <w:t xml:space="preserve">. </w:t>
      </w:r>
      <w:r w:rsidR="0066659F" w:rsidRPr="00813D19">
        <w:rPr>
          <w:bCs/>
          <w:lang w:val="en-US"/>
        </w:rPr>
        <w:t xml:space="preserve">Alternatively, the </w:t>
      </w:r>
      <w:r w:rsidR="005A0F18" w:rsidRPr="00813D19">
        <w:rPr>
          <w:bCs/>
          <w:lang w:val="en-US"/>
        </w:rPr>
        <w:t xml:space="preserve">work on the issue </w:t>
      </w:r>
      <w:r w:rsidR="0066659F" w:rsidRPr="00813D19">
        <w:rPr>
          <w:bCs/>
          <w:lang w:val="en-US"/>
        </w:rPr>
        <w:t xml:space="preserve">could </w:t>
      </w:r>
      <w:r w:rsidR="005A0F18" w:rsidRPr="00813D19">
        <w:rPr>
          <w:bCs/>
          <w:lang w:val="en-US"/>
        </w:rPr>
        <w:t xml:space="preserve">already solicit the </w:t>
      </w:r>
      <w:r w:rsidR="00BB5E86" w:rsidRPr="00813D19">
        <w:rPr>
          <w:bCs/>
          <w:lang w:val="en-US"/>
        </w:rPr>
        <w:t>Evaluation Body in Fe</w:t>
      </w:r>
      <w:r w:rsidR="00BB5E86" w:rsidRPr="00FB395B">
        <w:rPr>
          <w:bCs/>
          <w:lang w:val="en-US"/>
        </w:rPr>
        <w:t xml:space="preserve">bruary </w:t>
      </w:r>
      <w:r w:rsidR="00FC1012" w:rsidRPr="00FB395B">
        <w:rPr>
          <w:bCs/>
          <w:lang w:val="en-US"/>
        </w:rPr>
        <w:t>2019 </w:t>
      </w:r>
      <w:r w:rsidR="005A0F18" w:rsidRPr="00FB395B">
        <w:rPr>
          <w:bCs/>
          <w:lang w:val="en-US"/>
        </w:rPr>
        <w:t>rather</w:t>
      </w:r>
      <w:r w:rsidR="005A0F18" w:rsidRPr="00813D19">
        <w:rPr>
          <w:bCs/>
          <w:lang w:val="en-US"/>
        </w:rPr>
        <w:t xml:space="preserve"> than in September 2019. Nevertheless, there was still </w:t>
      </w:r>
      <w:r w:rsidR="00BB5E86" w:rsidRPr="00813D19">
        <w:rPr>
          <w:bCs/>
          <w:lang w:val="en-US"/>
        </w:rPr>
        <w:t xml:space="preserve">the problem of </w:t>
      </w:r>
      <w:r w:rsidR="00FB4416">
        <w:rPr>
          <w:bCs/>
          <w:lang w:val="en-US"/>
        </w:rPr>
        <w:t xml:space="preserve">the </w:t>
      </w:r>
      <w:r w:rsidR="00BB5E86" w:rsidRPr="00813D19">
        <w:rPr>
          <w:bCs/>
          <w:lang w:val="en-US"/>
        </w:rPr>
        <w:t xml:space="preserve">schedule. </w:t>
      </w:r>
      <w:r w:rsidR="005A0F18" w:rsidRPr="00813D19">
        <w:rPr>
          <w:bCs/>
          <w:lang w:val="en-US"/>
        </w:rPr>
        <w:t>Only o</w:t>
      </w:r>
      <w:r w:rsidR="00BB5E86" w:rsidRPr="00813D19">
        <w:rPr>
          <w:bCs/>
          <w:lang w:val="en-US"/>
        </w:rPr>
        <w:t xml:space="preserve">nce the overall process </w:t>
      </w:r>
      <w:r w:rsidR="00FB4416">
        <w:rPr>
          <w:bCs/>
          <w:lang w:val="en-US"/>
        </w:rPr>
        <w:t>had been</w:t>
      </w:r>
      <w:r w:rsidR="00FB4416" w:rsidRPr="00813D19">
        <w:rPr>
          <w:bCs/>
          <w:lang w:val="en-US"/>
        </w:rPr>
        <w:t xml:space="preserve"> </w:t>
      </w:r>
      <w:r w:rsidR="00BB5E86" w:rsidRPr="00813D19">
        <w:rPr>
          <w:bCs/>
          <w:lang w:val="en-US"/>
        </w:rPr>
        <w:t xml:space="preserve">considered </w:t>
      </w:r>
      <w:r w:rsidR="00FB4416">
        <w:rPr>
          <w:bCs/>
          <w:lang w:val="en-US"/>
        </w:rPr>
        <w:t>could</w:t>
      </w:r>
      <w:r w:rsidR="00FB4416" w:rsidRPr="00813D19">
        <w:rPr>
          <w:bCs/>
          <w:lang w:val="en-US"/>
        </w:rPr>
        <w:t xml:space="preserve"> </w:t>
      </w:r>
      <w:r w:rsidR="005A0F18" w:rsidRPr="00813D19">
        <w:rPr>
          <w:bCs/>
          <w:lang w:val="en-US"/>
        </w:rPr>
        <w:t xml:space="preserve">the issue of </w:t>
      </w:r>
      <w:r w:rsidR="00BB5E86" w:rsidRPr="00813D19">
        <w:rPr>
          <w:bCs/>
          <w:lang w:val="en-US"/>
        </w:rPr>
        <w:t xml:space="preserve">dialogue </w:t>
      </w:r>
      <w:r w:rsidR="005A0F18" w:rsidRPr="00813D19">
        <w:rPr>
          <w:bCs/>
          <w:lang w:val="en-US"/>
        </w:rPr>
        <w:t xml:space="preserve">be integrated </w:t>
      </w:r>
      <w:r w:rsidR="00BB5E86" w:rsidRPr="00813D19">
        <w:rPr>
          <w:bCs/>
          <w:lang w:val="en-US"/>
        </w:rPr>
        <w:t xml:space="preserve">into </w:t>
      </w:r>
      <w:r w:rsidR="005A0F18" w:rsidRPr="00813D19">
        <w:rPr>
          <w:bCs/>
          <w:lang w:val="en-US"/>
        </w:rPr>
        <w:t>the timeplan</w:t>
      </w:r>
      <w:r w:rsidR="00BB5E86" w:rsidRPr="00813D19">
        <w:rPr>
          <w:bCs/>
          <w:lang w:val="en-US"/>
        </w:rPr>
        <w:t xml:space="preserve">. </w:t>
      </w:r>
      <w:r w:rsidR="005A0F18" w:rsidRPr="00813D19">
        <w:rPr>
          <w:bCs/>
          <w:lang w:val="en-US"/>
        </w:rPr>
        <w:t xml:space="preserve">The Secretary was </w:t>
      </w:r>
      <w:r w:rsidR="00BB5E86" w:rsidRPr="00813D19">
        <w:rPr>
          <w:bCs/>
          <w:lang w:val="en-US"/>
        </w:rPr>
        <w:t>sympathetic to the questions of dialogue and t</w:t>
      </w:r>
      <w:r w:rsidR="005A0F18" w:rsidRPr="00813D19">
        <w:rPr>
          <w:bCs/>
          <w:lang w:val="en-US"/>
        </w:rPr>
        <w:t>he need to work on this issue, w</w:t>
      </w:r>
      <w:r w:rsidR="00BB5E86" w:rsidRPr="00813D19">
        <w:rPr>
          <w:bCs/>
          <w:lang w:val="en-US"/>
        </w:rPr>
        <w:t xml:space="preserve">hether it </w:t>
      </w:r>
      <w:r w:rsidR="005A0F18" w:rsidRPr="00813D19">
        <w:rPr>
          <w:bCs/>
          <w:lang w:val="en-US"/>
        </w:rPr>
        <w:t xml:space="preserve">took the form of direct amendments </w:t>
      </w:r>
      <w:r w:rsidR="00BB5E86" w:rsidRPr="00813D19">
        <w:rPr>
          <w:bCs/>
          <w:lang w:val="en-US"/>
        </w:rPr>
        <w:t xml:space="preserve">to </w:t>
      </w:r>
      <w:r w:rsidR="005A0F18" w:rsidRPr="00813D19">
        <w:rPr>
          <w:bCs/>
          <w:lang w:val="en-US"/>
        </w:rPr>
        <w:t xml:space="preserve">the </w:t>
      </w:r>
      <w:r w:rsidR="00BB5E86" w:rsidRPr="00813D19">
        <w:rPr>
          <w:bCs/>
          <w:lang w:val="en-US"/>
        </w:rPr>
        <w:t>Operational Directives in 2022 or a</w:t>
      </w:r>
      <w:r w:rsidR="005A0F18" w:rsidRPr="00813D19">
        <w:rPr>
          <w:bCs/>
          <w:lang w:val="en-US"/>
        </w:rPr>
        <w:t>n interim</w:t>
      </w:r>
      <w:r w:rsidR="00BB5E86" w:rsidRPr="00813D19">
        <w:rPr>
          <w:bCs/>
          <w:lang w:val="en-US"/>
        </w:rPr>
        <w:t xml:space="preserve"> measure to </w:t>
      </w:r>
      <w:r w:rsidR="005A0F18" w:rsidRPr="00813D19">
        <w:rPr>
          <w:bCs/>
          <w:lang w:val="en-US"/>
        </w:rPr>
        <w:t xml:space="preserve">allow </w:t>
      </w:r>
      <w:r w:rsidR="00BB5E86" w:rsidRPr="00813D19">
        <w:rPr>
          <w:bCs/>
          <w:lang w:val="en-US"/>
        </w:rPr>
        <w:t xml:space="preserve">some kind of dialogue </w:t>
      </w:r>
      <w:r w:rsidR="005A0F18" w:rsidRPr="00813D19">
        <w:rPr>
          <w:bCs/>
          <w:lang w:val="en-US"/>
        </w:rPr>
        <w:t xml:space="preserve">in 2019 that would </w:t>
      </w:r>
      <w:r w:rsidR="00BB5E86" w:rsidRPr="00813D19">
        <w:rPr>
          <w:bCs/>
          <w:lang w:val="en-US"/>
        </w:rPr>
        <w:t xml:space="preserve">carry </w:t>
      </w:r>
      <w:r w:rsidR="005A0F18" w:rsidRPr="00813D19">
        <w:rPr>
          <w:bCs/>
          <w:lang w:val="en-US"/>
        </w:rPr>
        <w:t xml:space="preserve">the process through </w:t>
      </w:r>
      <w:r w:rsidR="00BB5E86" w:rsidRPr="00813D19">
        <w:rPr>
          <w:bCs/>
          <w:lang w:val="en-US"/>
        </w:rPr>
        <w:t xml:space="preserve">to the overall reform. </w:t>
      </w:r>
      <w:r w:rsidR="005A0F18" w:rsidRPr="00813D19">
        <w:rPr>
          <w:bCs/>
          <w:lang w:val="en-US"/>
        </w:rPr>
        <w:t xml:space="preserve">The Secretary assured the Committee that the Secretariat did not seek </w:t>
      </w:r>
      <w:r w:rsidR="00BB5E86" w:rsidRPr="00813D19">
        <w:rPr>
          <w:bCs/>
          <w:lang w:val="en-US"/>
        </w:rPr>
        <w:t>to delay</w:t>
      </w:r>
      <w:r w:rsidR="005A0F18" w:rsidRPr="00813D19">
        <w:rPr>
          <w:bCs/>
          <w:lang w:val="en-US"/>
        </w:rPr>
        <w:t xml:space="preserve"> this issue, but rather that it could not </w:t>
      </w:r>
      <w:r w:rsidR="00BB5E86" w:rsidRPr="00813D19">
        <w:rPr>
          <w:bCs/>
          <w:lang w:val="en-US"/>
        </w:rPr>
        <w:t xml:space="preserve">juggle all </w:t>
      </w:r>
      <w:r w:rsidR="005A0F18" w:rsidRPr="00813D19">
        <w:rPr>
          <w:bCs/>
          <w:lang w:val="en-US"/>
        </w:rPr>
        <w:t xml:space="preserve">the issues </w:t>
      </w:r>
      <w:r w:rsidR="00BB5E86" w:rsidRPr="00813D19">
        <w:rPr>
          <w:bCs/>
          <w:lang w:val="en-US"/>
        </w:rPr>
        <w:t xml:space="preserve">at the same time. </w:t>
      </w:r>
      <w:r w:rsidR="005A0F18" w:rsidRPr="00813D19">
        <w:rPr>
          <w:bCs/>
          <w:lang w:val="en-US"/>
        </w:rPr>
        <w:t xml:space="preserve">Not only did it require funding, but </w:t>
      </w:r>
      <w:r w:rsidR="00BB5E86" w:rsidRPr="00813D19">
        <w:rPr>
          <w:bCs/>
          <w:lang w:val="en-US"/>
        </w:rPr>
        <w:t>the stag</w:t>
      </w:r>
      <w:r w:rsidR="00932491" w:rsidRPr="00813D19">
        <w:rPr>
          <w:bCs/>
          <w:lang w:val="en-US"/>
        </w:rPr>
        <w:t xml:space="preserve">gered </w:t>
      </w:r>
      <w:r w:rsidR="00BB5E86" w:rsidRPr="00813D19">
        <w:rPr>
          <w:bCs/>
          <w:lang w:val="en-US"/>
        </w:rPr>
        <w:t xml:space="preserve">approach </w:t>
      </w:r>
      <w:r w:rsidR="005A0F18" w:rsidRPr="00813D19">
        <w:rPr>
          <w:bCs/>
          <w:lang w:val="en-US"/>
        </w:rPr>
        <w:t xml:space="preserve">would allow for a more comprehensive </w:t>
      </w:r>
      <w:r w:rsidR="00BB5E86" w:rsidRPr="00813D19">
        <w:rPr>
          <w:bCs/>
          <w:lang w:val="en-US"/>
        </w:rPr>
        <w:t xml:space="preserve">reform that </w:t>
      </w:r>
      <w:r w:rsidR="00FB4416">
        <w:rPr>
          <w:bCs/>
          <w:lang w:val="en-US"/>
        </w:rPr>
        <w:t>would</w:t>
      </w:r>
      <w:r w:rsidR="00FB4416" w:rsidRPr="00813D19">
        <w:rPr>
          <w:bCs/>
          <w:lang w:val="en-US"/>
        </w:rPr>
        <w:t xml:space="preserve"> </w:t>
      </w:r>
      <w:r w:rsidR="00BB5E86" w:rsidRPr="00813D19">
        <w:rPr>
          <w:bCs/>
          <w:lang w:val="en-US"/>
        </w:rPr>
        <w:t xml:space="preserve">be sustainable </w:t>
      </w:r>
      <w:r w:rsidR="005A0F18" w:rsidRPr="00813D19">
        <w:rPr>
          <w:bCs/>
          <w:lang w:val="en-US"/>
        </w:rPr>
        <w:t xml:space="preserve">into the next </w:t>
      </w:r>
      <w:r w:rsidR="00FB4416">
        <w:rPr>
          <w:bCs/>
          <w:lang w:val="en-US"/>
        </w:rPr>
        <w:t>fifteen to twenty</w:t>
      </w:r>
      <w:r w:rsidR="005A0F18" w:rsidRPr="00813D19">
        <w:rPr>
          <w:bCs/>
          <w:lang w:val="en-US"/>
        </w:rPr>
        <w:t xml:space="preserve"> years, as had previously taken place </w:t>
      </w:r>
      <w:r w:rsidR="00BB5E86" w:rsidRPr="00813D19">
        <w:rPr>
          <w:bCs/>
          <w:lang w:val="en-US"/>
        </w:rPr>
        <w:t xml:space="preserve">in other Conventions, </w:t>
      </w:r>
      <w:r w:rsidR="005A0F18" w:rsidRPr="00813D19">
        <w:rPr>
          <w:bCs/>
          <w:lang w:val="en-US"/>
        </w:rPr>
        <w:t xml:space="preserve">notably </w:t>
      </w:r>
      <w:r w:rsidR="00B67A60">
        <w:rPr>
          <w:bCs/>
          <w:lang w:val="en-US"/>
        </w:rPr>
        <w:t>World Heritage.</w:t>
      </w:r>
    </w:p>
    <w:p w14:paraId="445BEEC5" w14:textId="7EB4FCE9" w:rsidR="00A64147" w:rsidRPr="00813D19" w:rsidRDefault="00514A39" w:rsidP="00A95663">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w:t>
      </w:r>
      <w:r w:rsidR="00BB5E86" w:rsidRPr="00813D19">
        <w:rPr>
          <w:b/>
          <w:color w:val="000000" w:themeColor="text1"/>
          <w:lang w:val="en-US"/>
        </w:rPr>
        <w:t xml:space="preserve"> </w:t>
      </w:r>
      <w:r w:rsidR="005239B4" w:rsidRPr="00813D19">
        <w:rPr>
          <w:color w:val="000000" w:themeColor="text1"/>
          <w:lang w:val="en-US"/>
        </w:rPr>
        <w:t xml:space="preserve">recalled </w:t>
      </w:r>
      <w:r w:rsidR="00A64147" w:rsidRPr="00813D19">
        <w:rPr>
          <w:color w:val="000000" w:themeColor="text1"/>
          <w:lang w:val="en-US"/>
        </w:rPr>
        <w:t>the open-ended working group in Cheng</w:t>
      </w:r>
      <w:r w:rsidR="005239B4" w:rsidRPr="00813D19">
        <w:rPr>
          <w:color w:val="000000" w:themeColor="text1"/>
          <w:lang w:val="en-US"/>
        </w:rPr>
        <w:t>du</w:t>
      </w:r>
      <w:r w:rsidR="00A64147" w:rsidRPr="00813D19">
        <w:rPr>
          <w:color w:val="000000" w:themeColor="text1"/>
          <w:lang w:val="en-US"/>
        </w:rPr>
        <w:t xml:space="preserve"> </w:t>
      </w:r>
      <w:r w:rsidR="005239B4" w:rsidRPr="00813D19">
        <w:rPr>
          <w:color w:val="000000" w:themeColor="text1"/>
          <w:lang w:val="en-US"/>
        </w:rPr>
        <w:t xml:space="preserve">that </w:t>
      </w:r>
      <w:r w:rsidR="00FB4416">
        <w:rPr>
          <w:color w:val="000000" w:themeColor="text1"/>
          <w:lang w:val="en-US"/>
        </w:rPr>
        <w:t xml:space="preserve">had </w:t>
      </w:r>
      <w:r w:rsidR="005239B4" w:rsidRPr="00813D19">
        <w:rPr>
          <w:color w:val="000000" w:themeColor="text1"/>
          <w:lang w:val="en-US"/>
        </w:rPr>
        <w:t xml:space="preserve">discussed the sensitive, </w:t>
      </w:r>
      <w:r w:rsidR="00A64147" w:rsidRPr="00813D19">
        <w:rPr>
          <w:color w:val="000000" w:themeColor="text1"/>
          <w:lang w:val="en-US"/>
        </w:rPr>
        <w:t>structural issues affect</w:t>
      </w:r>
      <w:r w:rsidR="005239B4" w:rsidRPr="00813D19">
        <w:rPr>
          <w:color w:val="000000" w:themeColor="text1"/>
          <w:lang w:val="en-US"/>
        </w:rPr>
        <w:t>ing</w:t>
      </w:r>
      <w:r w:rsidR="00A64147" w:rsidRPr="00813D19">
        <w:rPr>
          <w:color w:val="000000" w:themeColor="text1"/>
          <w:lang w:val="en-US"/>
        </w:rPr>
        <w:t xml:space="preserve"> </w:t>
      </w:r>
      <w:r w:rsidR="005239B4" w:rsidRPr="00813D19">
        <w:rPr>
          <w:color w:val="000000" w:themeColor="text1"/>
          <w:lang w:val="en-US"/>
        </w:rPr>
        <w:t xml:space="preserve">the </w:t>
      </w:r>
      <w:r w:rsidR="00A64147" w:rsidRPr="00813D19">
        <w:rPr>
          <w:color w:val="000000" w:themeColor="text1"/>
          <w:lang w:val="en-US"/>
        </w:rPr>
        <w:t>global reform</w:t>
      </w:r>
      <w:r w:rsidR="005239B4" w:rsidRPr="00813D19">
        <w:rPr>
          <w:color w:val="000000" w:themeColor="text1"/>
          <w:lang w:val="en-US"/>
        </w:rPr>
        <w:t xml:space="preserve"> of the Convention, which </w:t>
      </w:r>
      <w:r w:rsidR="00932491" w:rsidRPr="00813D19">
        <w:rPr>
          <w:color w:val="000000" w:themeColor="text1"/>
          <w:lang w:val="en-US"/>
        </w:rPr>
        <w:t>were</w:t>
      </w:r>
      <w:r w:rsidR="00A64147" w:rsidRPr="00813D19">
        <w:rPr>
          <w:color w:val="000000" w:themeColor="text1"/>
          <w:lang w:val="en-US"/>
        </w:rPr>
        <w:t xml:space="preserve"> </w:t>
      </w:r>
      <w:r w:rsidR="005239B4" w:rsidRPr="00813D19">
        <w:rPr>
          <w:color w:val="000000" w:themeColor="text1"/>
          <w:lang w:val="en-US"/>
        </w:rPr>
        <w:t xml:space="preserve">indeed </w:t>
      </w:r>
      <w:r w:rsidR="00A64147" w:rsidRPr="00813D19">
        <w:rPr>
          <w:color w:val="000000" w:themeColor="text1"/>
          <w:lang w:val="en-US"/>
        </w:rPr>
        <w:t>complex issues</w:t>
      </w:r>
      <w:r w:rsidR="005239B4" w:rsidRPr="00813D19">
        <w:rPr>
          <w:color w:val="000000" w:themeColor="text1"/>
          <w:lang w:val="en-US"/>
        </w:rPr>
        <w:t xml:space="preserve">. </w:t>
      </w:r>
      <w:r w:rsidR="00932491" w:rsidRPr="00813D19">
        <w:rPr>
          <w:color w:val="000000" w:themeColor="text1"/>
          <w:lang w:val="en-US"/>
        </w:rPr>
        <w:t xml:space="preserve">It </w:t>
      </w:r>
      <w:r w:rsidR="00A64147" w:rsidRPr="00813D19">
        <w:rPr>
          <w:color w:val="000000" w:themeColor="text1"/>
          <w:lang w:val="en-US"/>
        </w:rPr>
        <w:t>agree</w:t>
      </w:r>
      <w:r w:rsidR="005239B4" w:rsidRPr="00813D19">
        <w:rPr>
          <w:color w:val="000000" w:themeColor="text1"/>
          <w:lang w:val="en-US"/>
        </w:rPr>
        <w:t>d</w:t>
      </w:r>
      <w:r w:rsidR="00A64147" w:rsidRPr="00813D19">
        <w:rPr>
          <w:color w:val="000000" w:themeColor="text1"/>
          <w:lang w:val="en-US"/>
        </w:rPr>
        <w:t xml:space="preserve"> </w:t>
      </w:r>
      <w:r w:rsidR="00932491" w:rsidRPr="00813D19">
        <w:rPr>
          <w:color w:val="000000" w:themeColor="text1"/>
          <w:lang w:val="en-US"/>
        </w:rPr>
        <w:t xml:space="preserve">on </w:t>
      </w:r>
      <w:r w:rsidR="00A64147" w:rsidRPr="00813D19">
        <w:rPr>
          <w:color w:val="000000" w:themeColor="text1"/>
          <w:lang w:val="en-US"/>
        </w:rPr>
        <w:t xml:space="preserve">the </w:t>
      </w:r>
      <w:r w:rsidR="005239B4" w:rsidRPr="00813D19">
        <w:rPr>
          <w:color w:val="000000" w:themeColor="text1"/>
          <w:lang w:val="en-US"/>
        </w:rPr>
        <w:t xml:space="preserve">sense of urgency expressed by the </w:t>
      </w:r>
      <w:r w:rsidR="00A64147" w:rsidRPr="00813D19">
        <w:rPr>
          <w:color w:val="000000" w:themeColor="text1"/>
          <w:lang w:val="en-US"/>
        </w:rPr>
        <w:t xml:space="preserve">Philippines, but these issues also </w:t>
      </w:r>
      <w:r w:rsidR="00FB4416">
        <w:rPr>
          <w:color w:val="000000" w:themeColor="text1"/>
          <w:lang w:val="en-US"/>
        </w:rPr>
        <w:t>merited</w:t>
      </w:r>
      <w:r w:rsidR="00FB4416" w:rsidRPr="00813D19">
        <w:rPr>
          <w:color w:val="000000" w:themeColor="text1"/>
          <w:lang w:val="en-US"/>
        </w:rPr>
        <w:t xml:space="preserve"> </w:t>
      </w:r>
      <w:r w:rsidR="00A64147" w:rsidRPr="00813D19">
        <w:rPr>
          <w:color w:val="000000" w:themeColor="text1"/>
          <w:lang w:val="en-US"/>
        </w:rPr>
        <w:t xml:space="preserve">a </w:t>
      </w:r>
      <w:r w:rsidR="005239B4" w:rsidRPr="00813D19">
        <w:rPr>
          <w:color w:val="000000" w:themeColor="text1"/>
          <w:lang w:val="en-US"/>
        </w:rPr>
        <w:t xml:space="preserve">broad </w:t>
      </w:r>
      <w:r w:rsidR="00932491" w:rsidRPr="00813D19">
        <w:rPr>
          <w:color w:val="000000" w:themeColor="text1"/>
          <w:lang w:val="en-US"/>
        </w:rPr>
        <w:t>consultation</w:t>
      </w:r>
      <w:r w:rsidR="00A64147" w:rsidRPr="00813D19">
        <w:rPr>
          <w:color w:val="000000" w:themeColor="text1"/>
          <w:lang w:val="en-US"/>
        </w:rPr>
        <w:t xml:space="preserve"> process among </w:t>
      </w:r>
      <w:r w:rsidR="005239B4" w:rsidRPr="00813D19">
        <w:rPr>
          <w:color w:val="000000" w:themeColor="text1"/>
          <w:lang w:val="en-US"/>
        </w:rPr>
        <w:t>Committee Members before any decisions</w:t>
      </w:r>
      <w:r w:rsidR="00FB4416">
        <w:rPr>
          <w:color w:val="000000" w:themeColor="text1"/>
          <w:lang w:val="en-US"/>
        </w:rPr>
        <w:t xml:space="preserve"> were made</w:t>
      </w:r>
      <w:r w:rsidR="00932491" w:rsidRPr="00813D19">
        <w:rPr>
          <w:color w:val="000000" w:themeColor="text1"/>
          <w:lang w:val="en-US"/>
        </w:rPr>
        <w:t>,</w:t>
      </w:r>
      <w:r w:rsidR="005239B4" w:rsidRPr="00813D19">
        <w:rPr>
          <w:color w:val="000000" w:themeColor="text1"/>
          <w:lang w:val="en-US"/>
        </w:rPr>
        <w:t xml:space="preserve"> as these </w:t>
      </w:r>
      <w:r w:rsidR="00A64147" w:rsidRPr="00813D19">
        <w:rPr>
          <w:color w:val="000000" w:themeColor="text1"/>
          <w:lang w:val="en-US"/>
        </w:rPr>
        <w:t xml:space="preserve">reforms </w:t>
      </w:r>
      <w:r w:rsidR="005239B4" w:rsidRPr="00813D19">
        <w:rPr>
          <w:color w:val="000000" w:themeColor="text1"/>
          <w:lang w:val="en-US"/>
        </w:rPr>
        <w:t xml:space="preserve">were </w:t>
      </w:r>
      <w:r w:rsidR="00A64147" w:rsidRPr="00813D19">
        <w:rPr>
          <w:color w:val="000000" w:themeColor="text1"/>
          <w:lang w:val="en-US"/>
        </w:rPr>
        <w:t xml:space="preserve">extremely important for the future of the Convention. </w:t>
      </w:r>
      <w:r w:rsidR="005239B4" w:rsidRPr="00813D19">
        <w:rPr>
          <w:color w:val="000000" w:themeColor="text1"/>
          <w:lang w:val="en-US"/>
        </w:rPr>
        <w:t xml:space="preserve">The delegation was of the opinion that these </w:t>
      </w:r>
      <w:r w:rsidR="00A64147" w:rsidRPr="00813D19">
        <w:rPr>
          <w:color w:val="000000" w:themeColor="text1"/>
          <w:lang w:val="en-US"/>
        </w:rPr>
        <w:t xml:space="preserve">reforms </w:t>
      </w:r>
      <w:r w:rsidR="005239B4" w:rsidRPr="00813D19">
        <w:rPr>
          <w:color w:val="000000" w:themeColor="text1"/>
          <w:lang w:val="en-US"/>
        </w:rPr>
        <w:t xml:space="preserve">could not be </w:t>
      </w:r>
      <w:r w:rsidR="00A64147" w:rsidRPr="00813D19">
        <w:rPr>
          <w:color w:val="000000" w:themeColor="text1"/>
          <w:lang w:val="en-US"/>
        </w:rPr>
        <w:t xml:space="preserve">made in a </w:t>
      </w:r>
      <w:r w:rsidR="00932491" w:rsidRPr="00813D19">
        <w:rPr>
          <w:color w:val="000000" w:themeColor="text1"/>
          <w:lang w:val="en-US"/>
        </w:rPr>
        <w:t>hurry</w:t>
      </w:r>
      <w:r w:rsidR="005239B4" w:rsidRPr="00813D19">
        <w:rPr>
          <w:color w:val="000000" w:themeColor="text1"/>
          <w:lang w:val="en-US"/>
        </w:rPr>
        <w:t xml:space="preserve">, not least because </w:t>
      </w:r>
      <w:r w:rsidR="00FB4416" w:rsidRPr="00813D19">
        <w:rPr>
          <w:color w:val="000000" w:themeColor="text1"/>
          <w:lang w:val="en-US"/>
        </w:rPr>
        <w:t>th</w:t>
      </w:r>
      <w:r w:rsidR="00FB4416">
        <w:rPr>
          <w:color w:val="000000" w:themeColor="text1"/>
          <w:lang w:val="en-US"/>
        </w:rPr>
        <w:t xml:space="preserve">e </w:t>
      </w:r>
      <w:r w:rsidR="005239B4" w:rsidRPr="00850817">
        <w:rPr>
          <w:color w:val="000000" w:themeColor="text1"/>
          <w:lang w:val="en-US"/>
        </w:rPr>
        <w:t xml:space="preserve">work engaged </w:t>
      </w:r>
      <w:r w:rsidR="00A64147" w:rsidRPr="00A944C1">
        <w:rPr>
          <w:color w:val="000000" w:themeColor="text1"/>
          <w:lang w:val="en-US"/>
        </w:rPr>
        <w:t>th</w:t>
      </w:r>
      <w:r w:rsidR="005239B4" w:rsidRPr="00A944C1">
        <w:rPr>
          <w:color w:val="000000" w:themeColor="text1"/>
          <w:lang w:val="en-US"/>
        </w:rPr>
        <w:t>e</w:t>
      </w:r>
      <w:r w:rsidR="005239B4" w:rsidRPr="00813D19">
        <w:rPr>
          <w:color w:val="000000" w:themeColor="text1"/>
          <w:lang w:val="en-US"/>
        </w:rPr>
        <w:t xml:space="preserve"> future of </w:t>
      </w:r>
      <w:r w:rsidR="00932491" w:rsidRPr="00813D19">
        <w:rPr>
          <w:color w:val="000000" w:themeColor="text1"/>
          <w:lang w:val="en-US"/>
        </w:rPr>
        <w:t>the</w:t>
      </w:r>
      <w:r w:rsidR="005239B4" w:rsidRPr="00813D19">
        <w:rPr>
          <w:color w:val="000000" w:themeColor="text1"/>
          <w:lang w:val="en-US"/>
        </w:rPr>
        <w:t xml:space="preserve"> Convention and had to be done correctly </w:t>
      </w:r>
      <w:r w:rsidR="00A64147" w:rsidRPr="00813D19">
        <w:rPr>
          <w:color w:val="000000" w:themeColor="text1"/>
          <w:lang w:val="en-US"/>
        </w:rPr>
        <w:t xml:space="preserve">to ensure the </w:t>
      </w:r>
      <w:r w:rsidR="005239B4" w:rsidRPr="00813D19">
        <w:rPr>
          <w:color w:val="000000" w:themeColor="text1"/>
          <w:lang w:val="en-US"/>
        </w:rPr>
        <w:t>longevity of the mechanisms and O</w:t>
      </w:r>
      <w:r w:rsidR="00A64147" w:rsidRPr="00813D19">
        <w:rPr>
          <w:color w:val="000000" w:themeColor="text1"/>
          <w:lang w:val="en-US"/>
        </w:rPr>
        <w:t xml:space="preserve">perational </w:t>
      </w:r>
      <w:r w:rsidR="005239B4" w:rsidRPr="00813D19">
        <w:rPr>
          <w:color w:val="000000" w:themeColor="text1"/>
          <w:lang w:val="en-US"/>
        </w:rPr>
        <w:t>Directives</w:t>
      </w:r>
      <w:r w:rsidR="00A64147" w:rsidRPr="00813D19">
        <w:rPr>
          <w:color w:val="000000" w:themeColor="text1"/>
          <w:lang w:val="en-US"/>
        </w:rPr>
        <w:t xml:space="preserve">. </w:t>
      </w:r>
      <w:r w:rsidR="00932491" w:rsidRPr="00813D19">
        <w:rPr>
          <w:color w:val="000000" w:themeColor="text1"/>
          <w:lang w:val="en-US"/>
        </w:rPr>
        <w:t xml:space="preserve">It </w:t>
      </w:r>
      <w:r w:rsidR="005239B4" w:rsidRPr="00813D19">
        <w:rPr>
          <w:color w:val="000000" w:themeColor="text1"/>
          <w:lang w:val="en-US"/>
        </w:rPr>
        <w:t>concurred that the issue of dialogue was indeed urgent, but the Committee had</w:t>
      </w:r>
      <w:r w:rsidR="00A64147" w:rsidRPr="00813D19">
        <w:rPr>
          <w:color w:val="000000" w:themeColor="text1"/>
          <w:lang w:val="en-US"/>
        </w:rPr>
        <w:t xml:space="preserve"> the resources and </w:t>
      </w:r>
      <w:r w:rsidR="005239B4" w:rsidRPr="00813D19">
        <w:rPr>
          <w:color w:val="000000" w:themeColor="text1"/>
          <w:lang w:val="en-US"/>
        </w:rPr>
        <w:t>intelligence to perhaps</w:t>
      </w:r>
      <w:r w:rsidR="00A64147" w:rsidRPr="00813D19">
        <w:rPr>
          <w:color w:val="000000" w:themeColor="text1"/>
          <w:lang w:val="en-US"/>
        </w:rPr>
        <w:t xml:space="preserve"> </w:t>
      </w:r>
      <w:r w:rsidR="005239B4" w:rsidRPr="00813D19">
        <w:rPr>
          <w:color w:val="000000" w:themeColor="text1"/>
          <w:lang w:val="en-US"/>
        </w:rPr>
        <w:t xml:space="preserve">find a </w:t>
      </w:r>
      <w:r w:rsidR="00A64147" w:rsidRPr="00813D19">
        <w:rPr>
          <w:color w:val="000000" w:themeColor="text1"/>
          <w:lang w:val="en-US"/>
        </w:rPr>
        <w:t xml:space="preserve">temporary alternative. </w:t>
      </w:r>
      <w:r w:rsidR="005239B4" w:rsidRPr="00813D19">
        <w:rPr>
          <w:color w:val="000000" w:themeColor="text1"/>
          <w:lang w:val="en-US"/>
        </w:rPr>
        <w:t xml:space="preserve">In any case, </w:t>
      </w:r>
      <w:r w:rsidR="00A64147" w:rsidRPr="00813D19">
        <w:rPr>
          <w:color w:val="000000" w:themeColor="text1"/>
          <w:lang w:val="en-US"/>
        </w:rPr>
        <w:t xml:space="preserve">reforms that affect the Convention </w:t>
      </w:r>
      <w:r w:rsidR="005239B4" w:rsidRPr="00813D19">
        <w:rPr>
          <w:color w:val="000000" w:themeColor="text1"/>
          <w:lang w:val="en-US"/>
        </w:rPr>
        <w:t xml:space="preserve">were </w:t>
      </w:r>
      <w:r w:rsidR="00A64147" w:rsidRPr="00813D19">
        <w:rPr>
          <w:color w:val="000000" w:themeColor="text1"/>
          <w:lang w:val="en-US"/>
        </w:rPr>
        <w:t>structural</w:t>
      </w:r>
      <w:r w:rsidR="005239B4" w:rsidRPr="00813D19">
        <w:rPr>
          <w:color w:val="000000" w:themeColor="text1"/>
          <w:lang w:val="en-US"/>
        </w:rPr>
        <w:t xml:space="preserve"> in nature and </w:t>
      </w:r>
      <w:r w:rsidR="00FB4416">
        <w:rPr>
          <w:color w:val="000000" w:themeColor="text1"/>
          <w:lang w:val="en-US"/>
        </w:rPr>
        <w:t xml:space="preserve">would </w:t>
      </w:r>
      <w:r w:rsidR="005239B4" w:rsidRPr="00813D19">
        <w:rPr>
          <w:color w:val="000000" w:themeColor="text1"/>
          <w:lang w:val="en-US"/>
        </w:rPr>
        <w:t xml:space="preserve">therefore </w:t>
      </w:r>
      <w:r w:rsidR="00A64147" w:rsidRPr="00813D19">
        <w:rPr>
          <w:color w:val="000000" w:themeColor="text1"/>
          <w:lang w:val="en-US"/>
        </w:rPr>
        <w:t xml:space="preserve">take time </w:t>
      </w:r>
      <w:r w:rsidR="00932491" w:rsidRPr="00813D19">
        <w:rPr>
          <w:color w:val="000000" w:themeColor="text1"/>
          <w:lang w:val="en-US"/>
        </w:rPr>
        <w:t>if errors were to be avoided</w:t>
      </w:r>
      <w:r w:rsidR="00A64147" w:rsidRPr="00813D19">
        <w:rPr>
          <w:color w:val="000000" w:themeColor="text1"/>
          <w:lang w:val="en-US"/>
        </w:rPr>
        <w:t>.</w:t>
      </w:r>
    </w:p>
    <w:p w14:paraId="7B3BC25A" w14:textId="51B6A295" w:rsidR="00514A39" w:rsidRPr="00813D19" w:rsidRDefault="00361D1C" w:rsidP="002018F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E21E71" w:rsidRPr="00813D19">
        <w:rPr>
          <w:color w:val="000000" w:themeColor="text1"/>
          <w:lang w:val="en-US"/>
        </w:rPr>
        <w:t>gave the floor to Algeria to speak as an Observer.</w:t>
      </w:r>
    </w:p>
    <w:p w14:paraId="2AB6FD38" w14:textId="0F9A6EAF" w:rsidR="00CE01B4" w:rsidRPr="00813D19" w:rsidRDefault="00361D1C" w:rsidP="0016273D">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Algeria</w:t>
      </w:r>
      <w:r w:rsidR="00E21E71" w:rsidRPr="00813D19">
        <w:rPr>
          <w:b/>
          <w:color w:val="000000" w:themeColor="text1"/>
          <w:lang w:val="en-US"/>
        </w:rPr>
        <w:t xml:space="preserve"> </w:t>
      </w:r>
      <w:r w:rsidR="00E6409B" w:rsidRPr="00813D19">
        <w:rPr>
          <w:color w:val="000000" w:themeColor="text1"/>
          <w:lang w:val="en-US"/>
        </w:rPr>
        <w:t xml:space="preserve">took the opportunity to thank Mauritius </w:t>
      </w:r>
      <w:r w:rsidR="00CE01B4" w:rsidRPr="00813D19">
        <w:rPr>
          <w:color w:val="000000" w:themeColor="text1"/>
          <w:lang w:val="en-US"/>
        </w:rPr>
        <w:t xml:space="preserve">for </w:t>
      </w:r>
      <w:r w:rsidR="00E6409B" w:rsidRPr="00813D19">
        <w:rPr>
          <w:color w:val="000000" w:themeColor="text1"/>
          <w:lang w:val="en-US"/>
        </w:rPr>
        <w:t>its</w:t>
      </w:r>
      <w:r w:rsidR="00CE01B4" w:rsidRPr="00813D19">
        <w:rPr>
          <w:color w:val="000000" w:themeColor="text1"/>
          <w:lang w:val="en-US"/>
        </w:rPr>
        <w:t xml:space="preserve"> warm welcome</w:t>
      </w:r>
      <w:r w:rsidR="00E6409B" w:rsidRPr="00813D19">
        <w:rPr>
          <w:color w:val="000000" w:themeColor="text1"/>
          <w:lang w:val="en-US"/>
        </w:rPr>
        <w:t xml:space="preserve">, congratulating the Chairperson </w:t>
      </w:r>
      <w:r w:rsidR="00CE01B4" w:rsidRPr="00813D19">
        <w:rPr>
          <w:color w:val="000000" w:themeColor="text1"/>
          <w:lang w:val="en-US"/>
        </w:rPr>
        <w:t xml:space="preserve">on </w:t>
      </w:r>
      <w:r w:rsidR="00E6409B" w:rsidRPr="00813D19">
        <w:rPr>
          <w:color w:val="000000" w:themeColor="text1"/>
          <w:lang w:val="en-US"/>
        </w:rPr>
        <w:t xml:space="preserve">his election and </w:t>
      </w:r>
      <w:r w:rsidR="00CE01B4" w:rsidRPr="00813D19">
        <w:rPr>
          <w:color w:val="000000" w:themeColor="text1"/>
          <w:lang w:val="en-US"/>
        </w:rPr>
        <w:t>thank</w:t>
      </w:r>
      <w:r w:rsidR="00E6409B" w:rsidRPr="00813D19">
        <w:rPr>
          <w:color w:val="000000" w:themeColor="text1"/>
          <w:lang w:val="en-US"/>
        </w:rPr>
        <w:t>ing the S</w:t>
      </w:r>
      <w:r w:rsidR="00CE01B4" w:rsidRPr="00813D19">
        <w:rPr>
          <w:color w:val="000000" w:themeColor="text1"/>
          <w:lang w:val="en-US"/>
        </w:rPr>
        <w:t xml:space="preserve">ecretariat for </w:t>
      </w:r>
      <w:r w:rsidR="00E6409B" w:rsidRPr="00813D19">
        <w:rPr>
          <w:color w:val="000000" w:themeColor="text1"/>
          <w:lang w:val="en-US"/>
        </w:rPr>
        <w:t xml:space="preserve">its </w:t>
      </w:r>
      <w:r w:rsidR="00CE01B4" w:rsidRPr="00813D19">
        <w:rPr>
          <w:color w:val="000000" w:themeColor="text1"/>
          <w:lang w:val="en-US"/>
        </w:rPr>
        <w:t xml:space="preserve">work </w:t>
      </w:r>
      <w:r w:rsidR="00E6409B" w:rsidRPr="00813D19">
        <w:rPr>
          <w:color w:val="000000" w:themeColor="text1"/>
          <w:lang w:val="en-US"/>
        </w:rPr>
        <w:t xml:space="preserve">and the </w:t>
      </w:r>
      <w:r w:rsidR="00CE01B4" w:rsidRPr="00813D19">
        <w:rPr>
          <w:color w:val="000000" w:themeColor="text1"/>
          <w:lang w:val="en-US"/>
        </w:rPr>
        <w:t xml:space="preserve">quality </w:t>
      </w:r>
      <w:r w:rsidR="00E6409B" w:rsidRPr="00813D19">
        <w:rPr>
          <w:color w:val="000000" w:themeColor="text1"/>
          <w:lang w:val="en-US"/>
        </w:rPr>
        <w:t xml:space="preserve">of the </w:t>
      </w:r>
      <w:r w:rsidR="00CE01B4" w:rsidRPr="00813D19">
        <w:rPr>
          <w:color w:val="000000" w:themeColor="text1"/>
          <w:lang w:val="en-US"/>
        </w:rPr>
        <w:t xml:space="preserve">documents. </w:t>
      </w:r>
      <w:r w:rsidR="00E6409B" w:rsidRPr="00813D19">
        <w:rPr>
          <w:color w:val="000000" w:themeColor="text1"/>
          <w:lang w:val="en-US"/>
        </w:rPr>
        <w:t>As an O</w:t>
      </w:r>
      <w:r w:rsidR="00CE01B4" w:rsidRPr="00813D19">
        <w:rPr>
          <w:color w:val="000000" w:themeColor="text1"/>
          <w:lang w:val="en-US"/>
        </w:rPr>
        <w:t>bserver</w:t>
      </w:r>
      <w:r w:rsidR="00E6409B" w:rsidRPr="00813D19">
        <w:rPr>
          <w:color w:val="000000" w:themeColor="text1"/>
          <w:lang w:val="en-US"/>
        </w:rPr>
        <w:t xml:space="preserve">, the delegation wished to </w:t>
      </w:r>
      <w:r w:rsidR="00CE01B4" w:rsidRPr="00813D19">
        <w:rPr>
          <w:color w:val="000000" w:themeColor="text1"/>
          <w:lang w:val="en-US"/>
        </w:rPr>
        <w:t xml:space="preserve">intervene on the </w:t>
      </w:r>
      <w:r w:rsidR="00E6409B" w:rsidRPr="00813D19">
        <w:rPr>
          <w:color w:val="000000" w:themeColor="text1"/>
          <w:lang w:val="en-US"/>
        </w:rPr>
        <w:t xml:space="preserve">issue of dialogue, recalling that Algeria </w:t>
      </w:r>
      <w:r w:rsidR="00FB4416">
        <w:rPr>
          <w:color w:val="000000" w:themeColor="text1"/>
          <w:lang w:val="en-US"/>
        </w:rPr>
        <w:t>had been</w:t>
      </w:r>
      <w:r w:rsidR="00FB4416" w:rsidRPr="00813D19">
        <w:rPr>
          <w:color w:val="000000" w:themeColor="text1"/>
          <w:lang w:val="en-US"/>
        </w:rPr>
        <w:t xml:space="preserve"> </w:t>
      </w:r>
      <w:r w:rsidR="00E6409B" w:rsidRPr="00813D19">
        <w:rPr>
          <w:color w:val="000000" w:themeColor="text1"/>
          <w:lang w:val="en-US"/>
        </w:rPr>
        <w:t xml:space="preserve">the first to raise this point already </w:t>
      </w:r>
      <w:r w:rsidR="00CE01B4" w:rsidRPr="00813D19">
        <w:rPr>
          <w:color w:val="000000" w:themeColor="text1"/>
          <w:lang w:val="en-US"/>
        </w:rPr>
        <w:t>in Addis Ababa</w:t>
      </w:r>
      <w:r w:rsidR="00E6409B" w:rsidRPr="00813D19">
        <w:rPr>
          <w:color w:val="000000" w:themeColor="text1"/>
          <w:lang w:val="en-US"/>
        </w:rPr>
        <w:t xml:space="preserve"> [in 2016]</w:t>
      </w:r>
      <w:r w:rsidR="00CE01B4" w:rsidRPr="00813D19">
        <w:rPr>
          <w:color w:val="000000" w:themeColor="text1"/>
          <w:lang w:val="en-US"/>
        </w:rPr>
        <w:t xml:space="preserve">, </w:t>
      </w:r>
      <w:r w:rsidR="00E6409B" w:rsidRPr="00813D19">
        <w:rPr>
          <w:color w:val="000000" w:themeColor="text1"/>
          <w:lang w:val="en-US"/>
        </w:rPr>
        <w:t>and there had since been two Committee sessions</w:t>
      </w:r>
      <w:r w:rsidR="00CE01B4" w:rsidRPr="00813D19">
        <w:rPr>
          <w:color w:val="000000" w:themeColor="text1"/>
          <w:lang w:val="en-US"/>
        </w:rPr>
        <w:t xml:space="preserve"> and </w:t>
      </w:r>
      <w:r w:rsidR="00E6409B" w:rsidRPr="00813D19">
        <w:rPr>
          <w:color w:val="000000" w:themeColor="text1"/>
          <w:lang w:val="en-US"/>
        </w:rPr>
        <w:t xml:space="preserve">an open-ended </w:t>
      </w:r>
      <w:r w:rsidR="00CE01B4" w:rsidRPr="00813D19">
        <w:rPr>
          <w:color w:val="000000" w:themeColor="text1"/>
          <w:lang w:val="en-US"/>
        </w:rPr>
        <w:t>working group of the Committee</w:t>
      </w:r>
      <w:r w:rsidR="00E6409B" w:rsidRPr="00813D19">
        <w:rPr>
          <w:color w:val="000000" w:themeColor="text1"/>
          <w:lang w:val="en-US"/>
        </w:rPr>
        <w:t xml:space="preserve"> on this subject</w:t>
      </w:r>
      <w:r w:rsidR="00CE01B4" w:rsidRPr="00813D19">
        <w:rPr>
          <w:color w:val="000000" w:themeColor="text1"/>
          <w:lang w:val="en-US"/>
        </w:rPr>
        <w:t xml:space="preserve">. </w:t>
      </w:r>
      <w:r w:rsidR="00E6409B" w:rsidRPr="00813D19">
        <w:rPr>
          <w:color w:val="000000" w:themeColor="text1"/>
          <w:lang w:val="en-US"/>
        </w:rPr>
        <w:t>It was hoped that a form of d</w:t>
      </w:r>
      <w:r w:rsidR="00CE01B4" w:rsidRPr="00813D19">
        <w:rPr>
          <w:color w:val="000000" w:themeColor="text1"/>
          <w:lang w:val="en-US"/>
        </w:rPr>
        <w:t xml:space="preserve">ialogue, as </w:t>
      </w:r>
      <w:r w:rsidR="00932491" w:rsidRPr="00813D19">
        <w:rPr>
          <w:color w:val="000000" w:themeColor="text1"/>
          <w:lang w:val="en-US"/>
        </w:rPr>
        <w:t>indicated</w:t>
      </w:r>
      <w:r w:rsidR="00CE01B4" w:rsidRPr="00813D19">
        <w:rPr>
          <w:color w:val="000000" w:themeColor="text1"/>
          <w:lang w:val="en-US"/>
        </w:rPr>
        <w:t xml:space="preserve"> by the </w:t>
      </w:r>
      <w:r w:rsidR="00E6409B" w:rsidRPr="00813D19">
        <w:rPr>
          <w:color w:val="000000" w:themeColor="text1"/>
          <w:lang w:val="en-US"/>
        </w:rPr>
        <w:t>S</w:t>
      </w:r>
      <w:r w:rsidR="00CE01B4" w:rsidRPr="00813D19">
        <w:rPr>
          <w:color w:val="000000" w:themeColor="text1"/>
          <w:lang w:val="en-US"/>
        </w:rPr>
        <w:t xml:space="preserve">ecretariat, </w:t>
      </w:r>
      <w:r w:rsidR="00E6409B" w:rsidRPr="00813D19">
        <w:rPr>
          <w:color w:val="000000" w:themeColor="text1"/>
          <w:lang w:val="en-US"/>
        </w:rPr>
        <w:t xml:space="preserve">would be light and operational and that it </w:t>
      </w:r>
      <w:r w:rsidR="00FB4416">
        <w:rPr>
          <w:color w:val="000000" w:themeColor="text1"/>
          <w:lang w:val="en-US"/>
        </w:rPr>
        <w:t>would</w:t>
      </w:r>
      <w:r w:rsidR="00FB4416" w:rsidRPr="00813D19">
        <w:rPr>
          <w:color w:val="000000" w:themeColor="text1"/>
          <w:lang w:val="en-US"/>
        </w:rPr>
        <w:t xml:space="preserve"> </w:t>
      </w:r>
      <w:r w:rsidR="00CE01B4" w:rsidRPr="00813D19">
        <w:rPr>
          <w:color w:val="000000" w:themeColor="text1"/>
          <w:lang w:val="en-US"/>
        </w:rPr>
        <w:t xml:space="preserve">not add to </w:t>
      </w:r>
      <w:r w:rsidR="00E6409B" w:rsidRPr="00813D19">
        <w:rPr>
          <w:color w:val="000000" w:themeColor="text1"/>
          <w:lang w:val="en-US"/>
        </w:rPr>
        <w:t xml:space="preserve">the burden of the Secretariat nor </w:t>
      </w:r>
      <w:r w:rsidR="00CE01B4" w:rsidRPr="00813D19">
        <w:rPr>
          <w:color w:val="000000" w:themeColor="text1"/>
          <w:lang w:val="en-US"/>
        </w:rPr>
        <w:t xml:space="preserve">complicate the work of the Evaluation Body. However, it </w:t>
      </w:r>
      <w:r w:rsidR="00E6409B" w:rsidRPr="00813D19">
        <w:rPr>
          <w:color w:val="000000" w:themeColor="text1"/>
          <w:lang w:val="en-US"/>
        </w:rPr>
        <w:t xml:space="preserve">was </w:t>
      </w:r>
      <w:r w:rsidR="00CE01B4" w:rsidRPr="00813D19">
        <w:rPr>
          <w:color w:val="000000" w:themeColor="text1"/>
          <w:lang w:val="en-US"/>
        </w:rPr>
        <w:t xml:space="preserve">clear that </w:t>
      </w:r>
      <w:r w:rsidR="00E6409B" w:rsidRPr="00813D19">
        <w:rPr>
          <w:color w:val="000000" w:themeColor="text1"/>
          <w:lang w:val="en-US"/>
        </w:rPr>
        <w:t xml:space="preserve">the </w:t>
      </w:r>
      <w:r w:rsidR="00CE01B4" w:rsidRPr="00813D19">
        <w:rPr>
          <w:color w:val="000000" w:themeColor="text1"/>
          <w:lang w:val="en-US"/>
        </w:rPr>
        <w:t xml:space="preserve">idea of dialogue </w:t>
      </w:r>
      <w:r w:rsidR="00932491" w:rsidRPr="00813D19">
        <w:rPr>
          <w:color w:val="000000" w:themeColor="text1"/>
          <w:lang w:val="en-US"/>
        </w:rPr>
        <w:t xml:space="preserve">was </w:t>
      </w:r>
      <w:r w:rsidR="00E6409B" w:rsidRPr="00813D19">
        <w:rPr>
          <w:color w:val="000000" w:themeColor="text1"/>
          <w:lang w:val="en-US"/>
        </w:rPr>
        <w:t>established and well underway</w:t>
      </w:r>
      <w:r w:rsidR="00CE01B4" w:rsidRPr="00813D19">
        <w:rPr>
          <w:color w:val="000000" w:themeColor="text1"/>
          <w:lang w:val="en-US"/>
        </w:rPr>
        <w:t xml:space="preserve">. </w:t>
      </w:r>
      <w:r w:rsidR="00932491" w:rsidRPr="00813D19">
        <w:rPr>
          <w:color w:val="000000" w:themeColor="text1"/>
          <w:lang w:val="en-US"/>
        </w:rPr>
        <w:t>T</w:t>
      </w:r>
      <w:r w:rsidR="00E6409B" w:rsidRPr="00813D19">
        <w:rPr>
          <w:color w:val="000000" w:themeColor="text1"/>
          <w:lang w:val="en-US"/>
        </w:rPr>
        <w:t xml:space="preserve">he delegation recalled </w:t>
      </w:r>
      <w:r w:rsidR="00CE01B4" w:rsidRPr="00813D19">
        <w:rPr>
          <w:color w:val="000000" w:themeColor="text1"/>
          <w:lang w:val="en-US"/>
        </w:rPr>
        <w:t xml:space="preserve">that </w:t>
      </w:r>
      <w:r w:rsidR="00E6409B" w:rsidRPr="00813D19">
        <w:rPr>
          <w:color w:val="000000" w:themeColor="text1"/>
          <w:lang w:val="en-US"/>
        </w:rPr>
        <w:t>dialogue had</w:t>
      </w:r>
      <w:r w:rsidR="00CE01B4" w:rsidRPr="00813D19">
        <w:rPr>
          <w:color w:val="000000" w:themeColor="text1"/>
          <w:lang w:val="en-US"/>
        </w:rPr>
        <w:t xml:space="preserve"> already been the subject of two decisions: a decision </w:t>
      </w:r>
      <w:r w:rsidR="00E6409B" w:rsidRPr="00813D19">
        <w:rPr>
          <w:color w:val="000000" w:themeColor="text1"/>
          <w:lang w:val="en-US"/>
        </w:rPr>
        <w:t xml:space="preserve">by </w:t>
      </w:r>
      <w:r w:rsidR="00CE01B4" w:rsidRPr="00813D19">
        <w:rPr>
          <w:color w:val="000000" w:themeColor="text1"/>
          <w:lang w:val="en-US"/>
        </w:rPr>
        <w:t xml:space="preserve">the Committee and a decision </w:t>
      </w:r>
      <w:r w:rsidR="00E6409B" w:rsidRPr="00813D19">
        <w:rPr>
          <w:color w:val="000000" w:themeColor="text1"/>
          <w:lang w:val="en-US"/>
        </w:rPr>
        <w:t xml:space="preserve">by </w:t>
      </w:r>
      <w:r w:rsidR="00CE01B4" w:rsidRPr="00813D19">
        <w:rPr>
          <w:color w:val="000000" w:themeColor="text1"/>
          <w:lang w:val="en-US"/>
        </w:rPr>
        <w:t xml:space="preserve">the General Assembly, which </w:t>
      </w:r>
      <w:r w:rsidR="00E6409B" w:rsidRPr="00813D19">
        <w:rPr>
          <w:color w:val="000000" w:themeColor="text1"/>
          <w:lang w:val="en-US"/>
        </w:rPr>
        <w:t xml:space="preserve">had </w:t>
      </w:r>
      <w:r w:rsidR="00CE01B4" w:rsidRPr="00813D19">
        <w:rPr>
          <w:color w:val="000000" w:themeColor="text1"/>
          <w:lang w:val="en-US"/>
        </w:rPr>
        <w:t xml:space="preserve">decided to defer </w:t>
      </w:r>
      <w:r w:rsidR="00E6409B" w:rsidRPr="00813D19">
        <w:rPr>
          <w:color w:val="000000" w:themeColor="text1"/>
          <w:lang w:val="en-US"/>
        </w:rPr>
        <w:t xml:space="preserve">the issue of </w:t>
      </w:r>
      <w:r w:rsidR="00CE01B4" w:rsidRPr="00813D19">
        <w:rPr>
          <w:color w:val="000000" w:themeColor="text1"/>
          <w:lang w:val="en-US"/>
        </w:rPr>
        <w:t xml:space="preserve">dialogue until its next session. </w:t>
      </w:r>
      <w:r w:rsidR="00E6409B" w:rsidRPr="00813D19">
        <w:rPr>
          <w:color w:val="000000" w:themeColor="text1"/>
          <w:lang w:val="en-US"/>
        </w:rPr>
        <w:t xml:space="preserve">The delegation </w:t>
      </w:r>
      <w:r w:rsidR="00FB4416" w:rsidRPr="00813D19">
        <w:rPr>
          <w:color w:val="000000" w:themeColor="text1"/>
          <w:lang w:val="en-US"/>
        </w:rPr>
        <w:t xml:space="preserve">therefore </w:t>
      </w:r>
      <w:r w:rsidR="00E6409B" w:rsidRPr="00813D19">
        <w:rPr>
          <w:color w:val="000000" w:themeColor="text1"/>
          <w:lang w:val="en-US"/>
        </w:rPr>
        <w:t xml:space="preserve">wondered whether trying to move ahead quickly on the issue of </w:t>
      </w:r>
      <w:r w:rsidR="00CE01B4" w:rsidRPr="00813D19">
        <w:rPr>
          <w:color w:val="000000" w:themeColor="text1"/>
          <w:lang w:val="en-US"/>
        </w:rPr>
        <w:t xml:space="preserve">dialogue </w:t>
      </w:r>
      <w:r w:rsidR="00FB4416">
        <w:rPr>
          <w:color w:val="000000" w:themeColor="text1"/>
          <w:lang w:val="en-US"/>
        </w:rPr>
        <w:t>did</w:t>
      </w:r>
      <w:r w:rsidR="00FB4416" w:rsidRPr="00813D19">
        <w:rPr>
          <w:color w:val="000000" w:themeColor="text1"/>
          <w:lang w:val="en-US"/>
        </w:rPr>
        <w:t xml:space="preserve"> </w:t>
      </w:r>
      <w:r w:rsidR="00E6409B" w:rsidRPr="00813D19">
        <w:rPr>
          <w:color w:val="000000" w:themeColor="text1"/>
          <w:lang w:val="en-US"/>
        </w:rPr>
        <w:t xml:space="preserve">not in fact go </w:t>
      </w:r>
      <w:r w:rsidR="00CE01B4" w:rsidRPr="00813D19">
        <w:rPr>
          <w:color w:val="000000" w:themeColor="text1"/>
          <w:lang w:val="en-US"/>
        </w:rPr>
        <w:t xml:space="preserve">against </w:t>
      </w:r>
      <w:r w:rsidR="00E6409B" w:rsidRPr="00813D19">
        <w:rPr>
          <w:color w:val="000000" w:themeColor="text1"/>
          <w:lang w:val="en-US"/>
        </w:rPr>
        <w:t xml:space="preserve">the decisions that had already been taken, </w:t>
      </w:r>
      <w:r w:rsidR="00CE01B4" w:rsidRPr="00813D19">
        <w:rPr>
          <w:color w:val="000000" w:themeColor="text1"/>
          <w:lang w:val="en-US"/>
        </w:rPr>
        <w:t>especially by the General Assembly.</w:t>
      </w:r>
    </w:p>
    <w:p w14:paraId="4B08952B" w14:textId="1E52F34C" w:rsidR="00361D1C" w:rsidRPr="0016273D" w:rsidRDefault="00AE7C55" w:rsidP="002018FA">
      <w:pPr>
        <w:pStyle w:val="Orateurengris"/>
        <w:spacing w:before="120"/>
        <w:ind w:left="709" w:hanging="709"/>
        <w:rPr>
          <w:lang w:val="en-US"/>
        </w:rPr>
      </w:pPr>
      <w:r w:rsidRPr="00813D19">
        <w:rPr>
          <w:color w:val="000000" w:themeColor="text1"/>
          <w:lang w:val="en-US"/>
        </w:rPr>
        <w:t>The</w:t>
      </w:r>
      <w:r w:rsidR="00BB5E86" w:rsidRPr="00813D19">
        <w:rPr>
          <w:b/>
          <w:color w:val="000000" w:themeColor="text1"/>
          <w:lang w:val="en-US"/>
        </w:rPr>
        <w:t xml:space="preserve"> Chairperson </w:t>
      </w:r>
      <w:r w:rsidR="005336A6" w:rsidRPr="0016273D">
        <w:rPr>
          <w:lang w:val="en-US"/>
        </w:rPr>
        <w:t>thanked Algeria for its pertinent comments.</w:t>
      </w:r>
    </w:p>
    <w:p w14:paraId="3E9B299B" w14:textId="04842204" w:rsidR="00AE7C55" w:rsidRPr="0016273D" w:rsidRDefault="00CB44CB" w:rsidP="0016273D">
      <w:pPr>
        <w:pStyle w:val="Orateurengris"/>
        <w:spacing w:before="120"/>
        <w:ind w:left="709" w:hanging="709"/>
        <w:rPr>
          <w:rFonts w:eastAsia="Times New Roman"/>
          <w:lang w:val="en-US"/>
        </w:rPr>
      </w:pPr>
      <w:r w:rsidRPr="0016273D">
        <w:rPr>
          <w:lang w:val="en-US"/>
        </w:rPr>
        <w:t xml:space="preserve">The </w:t>
      </w:r>
      <w:r w:rsidRPr="0016273D">
        <w:rPr>
          <w:b/>
          <w:lang w:val="en-US"/>
        </w:rPr>
        <w:t>Secretary</w:t>
      </w:r>
      <w:r w:rsidR="005336A6" w:rsidRPr="0016273D">
        <w:rPr>
          <w:lang w:val="en-US"/>
        </w:rPr>
        <w:t xml:space="preserve"> returned to the </w:t>
      </w:r>
      <w:r w:rsidR="00BB5E86" w:rsidRPr="0016273D">
        <w:rPr>
          <w:bCs/>
          <w:lang w:val="en-US"/>
        </w:rPr>
        <w:t>issue raised by Azer</w:t>
      </w:r>
      <w:r w:rsidR="004443B4" w:rsidRPr="0016273D">
        <w:rPr>
          <w:bCs/>
          <w:lang w:val="en-US"/>
        </w:rPr>
        <w:t xml:space="preserve">baijan on the management costs, recalling </w:t>
      </w:r>
      <w:r w:rsidR="00BB5E86" w:rsidRPr="0016273D">
        <w:rPr>
          <w:bCs/>
          <w:lang w:val="en-US"/>
        </w:rPr>
        <w:t xml:space="preserve">that a decision </w:t>
      </w:r>
      <w:r w:rsidR="004443B4" w:rsidRPr="0016273D">
        <w:rPr>
          <w:bCs/>
          <w:lang w:val="en-US"/>
        </w:rPr>
        <w:t xml:space="preserve">had been </w:t>
      </w:r>
      <w:r w:rsidR="00BB5E86" w:rsidRPr="0016273D">
        <w:rPr>
          <w:bCs/>
          <w:lang w:val="en-US"/>
        </w:rPr>
        <w:t>made in the World Heritage Committe</w:t>
      </w:r>
      <w:r w:rsidR="004443B4" w:rsidRPr="0016273D">
        <w:rPr>
          <w:bCs/>
          <w:lang w:val="en-US"/>
        </w:rPr>
        <w:t>e under the World Heritage Fund</w:t>
      </w:r>
      <w:r w:rsidR="00BB5E86" w:rsidRPr="0016273D">
        <w:rPr>
          <w:bCs/>
          <w:lang w:val="en-US"/>
        </w:rPr>
        <w:t xml:space="preserve"> not to apply </w:t>
      </w:r>
      <w:r w:rsidR="00A97B9F" w:rsidRPr="0016273D">
        <w:rPr>
          <w:bCs/>
          <w:lang w:val="en-US"/>
        </w:rPr>
        <w:t>the rate</w:t>
      </w:r>
      <w:r w:rsidR="004443B4" w:rsidRPr="0016273D">
        <w:rPr>
          <w:bCs/>
          <w:lang w:val="en-US"/>
        </w:rPr>
        <w:t xml:space="preserve"> </w:t>
      </w:r>
      <w:r w:rsidR="00BB5E86" w:rsidRPr="0016273D">
        <w:rPr>
          <w:bCs/>
          <w:lang w:val="en-US"/>
        </w:rPr>
        <w:t xml:space="preserve">to the assessed contributions. The Committee </w:t>
      </w:r>
      <w:r w:rsidR="004443B4" w:rsidRPr="0016273D">
        <w:rPr>
          <w:bCs/>
          <w:lang w:val="en-US"/>
        </w:rPr>
        <w:t xml:space="preserve">was thus </w:t>
      </w:r>
      <w:r w:rsidR="00BB5E86" w:rsidRPr="0016273D">
        <w:rPr>
          <w:bCs/>
          <w:lang w:val="en-US"/>
        </w:rPr>
        <w:t xml:space="preserve">free to make </w:t>
      </w:r>
      <w:r w:rsidR="004443B4" w:rsidRPr="0016273D">
        <w:rPr>
          <w:bCs/>
          <w:lang w:val="en-US"/>
        </w:rPr>
        <w:t xml:space="preserve">a </w:t>
      </w:r>
      <w:r w:rsidR="00BB5E86" w:rsidRPr="0016273D">
        <w:rPr>
          <w:bCs/>
          <w:lang w:val="en-US"/>
        </w:rPr>
        <w:t xml:space="preserve">decision </w:t>
      </w:r>
      <w:r w:rsidR="004443B4" w:rsidRPr="0016273D">
        <w:rPr>
          <w:bCs/>
          <w:lang w:val="en-US"/>
        </w:rPr>
        <w:t xml:space="preserve">at the present session in </w:t>
      </w:r>
      <w:r w:rsidR="00BB5E86" w:rsidRPr="0016273D">
        <w:rPr>
          <w:bCs/>
          <w:lang w:val="en-US"/>
        </w:rPr>
        <w:t>a consultation process</w:t>
      </w:r>
      <w:r w:rsidR="004443B4" w:rsidRPr="0016273D">
        <w:rPr>
          <w:bCs/>
          <w:lang w:val="en-US"/>
        </w:rPr>
        <w:t>,</w:t>
      </w:r>
      <w:r w:rsidR="00BB5E86" w:rsidRPr="0016273D">
        <w:rPr>
          <w:bCs/>
          <w:lang w:val="en-US"/>
        </w:rPr>
        <w:t xml:space="preserve"> but </w:t>
      </w:r>
      <w:r w:rsidR="004443B4" w:rsidRPr="0016273D">
        <w:rPr>
          <w:bCs/>
          <w:lang w:val="en-US"/>
        </w:rPr>
        <w:t>it could also be returned to the Committee at its next session in 2019</w:t>
      </w:r>
      <w:r w:rsidR="00A97B9F" w:rsidRPr="0016273D">
        <w:rPr>
          <w:bCs/>
          <w:lang w:val="en-US"/>
        </w:rPr>
        <w:t xml:space="preserve"> when it would have to be decided before the General Assembly. </w:t>
      </w:r>
      <w:r w:rsidR="004443B4" w:rsidRPr="0016273D">
        <w:rPr>
          <w:bCs/>
          <w:lang w:val="en-US"/>
        </w:rPr>
        <w:t>It was noted that the draft decision ‘took note</w:t>
      </w:r>
      <w:r w:rsidR="00A97B9F" w:rsidRPr="0016273D">
        <w:rPr>
          <w:bCs/>
          <w:lang w:val="en-US"/>
        </w:rPr>
        <w:t xml:space="preserve"> of</w:t>
      </w:r>
      <w:r w:rsidR="0016273D" w:rsidRPr="0016273D">
        <w:rPr>
          <w:bCs/>
          <w:lang w:val="en-US"/>
        </w:rPr>
        <w:t xml:space="preserve"> </w:t>
      </w:r>
      <w:r w:rsidR="00A97B9F" w:rsidRPr="0016273D">
        <w:rPr>
          <w:rFonts w:eastAsia="Times New Roman"/>
          <w:shd w:val="clear" w:color="auto" w:fill="FFFFFF"/>
          <w:lang w:val="en-US"/>
        </w:rPr>
        <w:t>Executive Board Document</w:t>
      </w:r>
      <w:r w:rsidR="00B67A60" w:rsidRPr="0016273D">
        <w:rPr>
          <w:rFonts w:eastAsia="Times New Roman"/>
          <w:shd w:val="clear" w:color="auto" w:fill="FFFFFF"/>
          <w:lang w:val="en-US"/>
        </w:rPr>
        <w:t xml:space="preserve"> […]’.</w:t>
      </w:r>
    </w:p>
    <w:p w14:paraId="5FADECEA" w14:textId="70DC8558" w:rsidR="00CB44CB" w:rsidRPr="0016273D" w:rsidRDefault="00CB44CB" w:rsidP="002018FA">
      <w:pPr>
        <w:pStyle w:val="Orateurengris"/>
        <w:spacing w:before="120"/>
        <w:ind w:left="709" w:hanging="709"/>
        <w:rPr>
          <w:lang w:val="en-US"/>
        </w:rPr>
      </w:pPr>
      <w:r w:rsidRPr="0016273D">
        <w:rPr>
          <w:lang w:val="en-US"/>
        </w:rPr>
        <w:t xml:space="preserve">The </w:t>
      </w:r>
      <w:r w:rsidRPr="0016273D">
        <w:rPr>
          <w:b/>
          <w:lang w:val="en-US"/>
        </w:rPr>
        <w:t>Chairperson</w:t>
      </w:r>
      <w:r w:rsidRPr="0016273D">
        <w:rPr>
          <w:lang w:val="en-US"/>
        </w:rPr>
        <w:t xml:space="preserve"> turned to the draft decision </w:t>
      </w:r>
      <w:r w:rsidR="00932491" w:rsidRPr="0016273D">
        <w:rPr>
          <w:lang w:val="en-US"/>
        </w:rPr>
        <w:t xml:space="preserve">on a </w:t>
      </w:r>
      <w:r w:rsidRPr="0016273D">
        <w:rPr>
          <w:lang w:val="en-US"/>
        </w:rPr>
        <w:t>paragraph-by-paragraph basis</w:t>
      </w:r>
      <w:r w:rsidR="00932491" w:rsidRPr="0016273D">
        <w:rPr>
          <w:lang w:val="en-US"/>
        </w:rPr>
        <w:t>, and</w:t>
      </w:r>
      <w:r w:rsidR="00BB5E86" w:rsidRPr="0016273D">
        <w:rPr>
          <w:bCs/>
          <w:highlight w:val="cyan"/>
          <w:lang w:val="en-US"/>
        </w:rPr>
        <w:t xml:space="preserve"> </w:t>
      </w:r>
      <w:r w:rsidR="00932491" w:rsidRPr="0016273D">
        <w:rPr>
          <w:bCs/>
          <w:lang w:val="en-US"/>
        </w:rPr>
        <w:t>p</w:t>
      </w:r>
      <w:r w:rsidR="00BB5E86" w:rsidRPr="0016273D">
        <w:rPr>
          <w:bCs/>
          <w:lang w:val="en-US"/>
        </w:rPr>
        <w:t>aragraph</w:t>
      </w:r>
      <w:r w:rsidR="00B67A60" w:rsidRPr="0016273D">
        <w:rPr>
          <w:bCs/>
          <w:lang w:val="en-US"/>
        </w:rPr>
        <w:t>s 1–4 were duly adopted.</w:t>
      </w:r>
    </w:p>
    <w:p w14:paraId="4A4492C1" w14:textId="3294F5C8" w:rsidR="00CB44CB" w:rsidRPr="0016273D" w:rsidRDefault="00CB44CB" w:rsidP="002018FA">
      <w:pPr>
        <w:pStyle w:val="Orateurengris"/>
        <w:spacing w:before="120"/>
        <w:ind w:left="709" w:hanging="709"/>
        <w:rPr>
          <w:lang w:val="en-US"/>
        </w:rPr>
      </w:pPr>
      <w:r w:rsidRPr="0016273D">
        <w:rPr>
          <w:lang w:val="en-US"/>
        </w:rPr>
        <w:t xml:space="preserve">The </w:t>
      </w:r>
      <w:r w:rsidRPr="0016273D">
        <w:rPr>
          <w:b/>
          <w:lang w:val="en-US"/>
        </w:rPr>
        <w:t>delegation of the Philippines</w:t>
      </w:r>
      <w:r w:rsidRPr="0016273D">
        <w:rPr>
          <w:lang w:val="en-US"/>
        </w:rPr>
        <w:t xml:space="preserve"> </w:t>
      </w:r>
      <w:r w:rsidR="00633E8F" w:rsidRPr="0016273D">
        <w:rPr>
          <w:lang w:val="en-US"/>
        </w:rPr>
        <w:t xml:space="preserve">proposed </w:t>
      </w:r>
      <w:r w:rsidR="00A97B9F" w:rsidRPr="0016273D">
        <w:rPr>
          <w:lang w:val="en-US"/>
        </w:rPr>
        <w:t>in paragraph 5</w:t>
      </w:r>
      <w:r w:rsidR="00FB4416" w:rsidRPr="0016273D">
        <w:rPr>
          <w:lang w:val="en-US"/>
        </w:rPr>
        <w:t>,</w:t>
      </w:r>
      <w:r w:rsidR="00A97B9F" w:rsidRPr="0016273D">
        <w:rPr>
          <w:lang w:val="en-US"/>
        </w:rPr>
        <w:t xml:space="preserve"> </w:t>
      </w:r>
      <w:r w:rsidR="008E1D5B" w:rsidRPr="0016273D">
        <w:rPr>
          <w:bCs/>
          <w:lang w:val="en-US"/>
        </w:rPr>
        <w:t>at the end of the sentence</w:t>
      </w:r>
      <w:r w:rsidR="00633E8F" w:rsidRPr="0016273D">
        <w:rPr>
          <w:bCs/>
          <w:lang w:val="en-US"/>
        </w:rPr>
        <w:t>,</w:t>
      </w:r>
      <w:r w:rsidR="008E1D5B" w:rsidRPr="0016273D">
        <w:rPr>
          <w:bCs/>
          <w:lang w:val="en-US"/>
        </w:rPr>
        <w:t xml:space="preserve"> add</w:t>
      </w:r>
      <w:r w:rsidR="00FB4416" w:rsidRPr="0016273D">
        <w:rPr>
          <w:bCs/>
          <w:lang w:val="en-US"/>
        </w:rPr>
        <w:t>ing</w:t>
      </w:r>
      <w:r w:rsidR="00633E8F" w:rsidRPr="0016273D">
        <w:rPr>
          <w:bCs/>
          <w:lang w:val="en-US"/>
        </w:rPr>
        <w:t>, ‘</w:t>
      </w:r>
      <w:r w:rsidR="008E1D5B" w:rsidRPr="0016273D">
        <w:rPr>
          <w:bCs/>
          <w:lang w:val="en-US"/>
        </w:rPr>
        <w:t>taking into account the debate</w:t>
      </w:r>
      <w:r w:rsidR="00A97B9F" w:rsidRPr="0016273D">
        <w:rPr>
          <w:bCs/>
          <w:lang w:val="en-US"/>
        </w:rPr>
        <w:t>s</w:t>
      </w:r>
      <w:r w:rsidR="008E1D5B" w:rsidRPr="0016273D">
        <w:rPr>
          <w:bCs/>
          <w:lang w:val="en-US"/>
        </w:rPr>
        <w:t xml:space="preserve"> at </w:t>
      </w:r>
      <w:r w:rsidR="00A97B9F" w:rsidRPr="0016273D">
        <w:rPr>
          <w:bCs/>
          <w:lang w:val="en-US"/>
        </w:rPr>
        <w:t>the</w:t>
      </w:r>
      <w:r w:rsidR="008E1D5B" w:rsidRPr="0016273D">
        <w:rPr>
          <w:bCs/>
          <w:lang w:val="en-US"/>
        </w:rPr>
        <w:t xml:space="preserve"> thirteenth session</w:t>
      </w:r>
      <w:r w:rsidR="00A97B9F" w:rsidRPr="0016273D">
        <w:rPr>
          <w:bCs/>
          <w:lang w:val="en-US"/>
        </w:rPr>
        <w:t xml:space="preserve"> of the Committee</w:t>
      </w:r>
      <w:r w:rsidR="00633E8F" w:rsidRPr="0016273D">
        <w:rPr>
          <w:bCs/>
          <w:lang w:val="en-US"/>
        </w:rPr>
        <w:t>’</w:t>
      </w:r>
      <w:r w:rsidR="00913B5B" w:rsidRPr="0016273D">
        <w:rPr>
          <w:bCs/>
          <w:lang w:val="en-US"/>
        </w:rPr>
        <w:t xml:space="preserve">, as this took note of the discussions </w:t>
      </w:r>
      <w:r w:rsidR="00A97B9F" w:rsidRPr="0016273D">
        <w:rPr>
          <w:bCs/>
          <w:lang w:val="en-US"/>
        </w:rPr>
        <w:t xml:space="preserve">that </w:t>
      </w:r>
      <w:r w:rsidR="00932491" w:rsidRPr="0016273D">
        <w:rPr>
          <w:bCs/>
          <w:lang w:val="en-US"/>
        </w:rPr>
        <w:t xml:space="preserve">had just taken </w:t>
      </w:r>
      <w:r w:rsidR="00A97B9F" w:rsidRPr="0016273D">
        <w:rPr>
          <w:bCs/>
          <w:lang w:val="en-US"/>
        </w:rPr>
        <w:t>place</w:t>
      </w:r>
      <w:r w:rsidR="008E1D5B" w:rsidRPr="0016273D">
        <w:rPr>
          <w:bCs/>
          <w:lang w:val="en-US"/>
        </w:rPr>
        <w:t xml:space="preserve">, especially </w:t>
      </w:r>
      <w:r w:rsidR="00A97B9F" w:rsidRPr="0016273D">
        <w:rPr>
          <w:bCs/>
          <w:lang w:val="en-US"/>
        </w:rPr>
        <w:t xml:space="preserve">on </w:t>
      </w:r>
      <w:r w:rsidR="008E1D5B" w:rsidRPr="0016273D">
        <w:rPr>
          <w:bCs/>
          <w:lang w:val="en-US"/>
        </w:rPr>
        <w:t xml:space="preserve">dialogue, </w:t>
      </w:r>
      <w:r w:rsidR="00A97B9F" w:rsidRPr="0016273D">
        <w:rPr>
          <w:bCs/>
          <w:lang w:val="en-US"/>
        </w:rPr>
        <w:t xml:space="preserve">and which </w:t>
      </w:r>
      <w:r w:rsidR="008E1D5B" w:rsidRPr="0016273D">
        <w:rPr>
          <w:bCs/>
          <w:lang w:val="en-US"/>
        </w:rPr>
        <w:t xml:space="preserve">may </w:t>
      </w:r>
      <w:r w:rsidR="00A97B9F" w:rsidRPr="0016273D">
        <w:rPr>
          <w:bCs/>
          <w:lang w:val="en-US"/>
        </w:rPr>
        <w:t xml:space="preserve">find </w:t>
      </w:r>
      <w:r w:rsidR="008E1D5B" w:rsidRPr="0016273D">
        <w:rPr>
          <w:bCs/>
          <w:lang w:val="en-US"/>
        </w:rPr>
        <w:t xml:space="preserve">an interim measure </w:t>
      </w:r>
      <w:r w:rsidR="00DA5497" w:rsidRPr="0016273D">
        <w:rPr>
          <w:bCs/>
          <w:lang w:val="en-US"/>
        </w:rPr>
        <w:t xml:space="preserve">even </w:t>
      </w:r>
      <w:r w:rsidR="00502DBF" w:rsidRPr="0016273D">
        <w:rPr>
          <w:bCs/>
          <w:lang w:val="en-US"/>
        </w:rPr>
        <w:t xml:space="preserve">at the level of the </w:t>
      </w:r>
      <w:r w:rsidR="008E1D5B" w:rsidRPr="0016273D">
        <w:rPr>
          <w:bCs/>
          <w:lang w:val="en-US"/>
        </w:rPr>
        <w:t>Operational Directives</w:t>
      </w:r>
      <w:r w:rsidR="00FB4416" w:rsidRPr="0016273D">
        <w:rPr>
          <w:bCs/>
          <w:lang w:val="en-US"/>
        </w:rPr>
        <w:t>,</w:t>
      </w:r>
      <w:r w:rsidR="008E1D5B" w:rsidRPr="0016273D">
        <w:rPr>
          <w:bCs/>
          <w:lang w:val="en-US"/>
        </w:rPr>
        <w:t xml:space="preserve"> </w:t>
      </w:r>
      <w:r w:rsidR="00502DBF" w:rsidRPr="0016273D">
        <w:rPr>
          <w:bCs/>
          <w:lang w:val="en-US"/>
        </w:rPr>
        <w:t xml:space="preserve">if </w:t>
      </w:r>
      <w:r w:rsidR="00B67A60" w:rsidRPr="0016273D">
        <w:rPr>
          <w:bCs/>
          <w:lang w:val="en-US"/>
        </w:rPr>
        <w:t>ready.</w:t>
      </w:r>
    </w:p>
    <w:p w14:paraId="39C270D0" w14:textId="0857DC09" w:rsidR="003804C5" w:rsidRPr="0016273D" w:rsidRDefault="003804C5" w:rsidP="002018FA">
      <w:pPr>
        <w:pStyle w:val="Orateurengris"/>
        <w:spacing w:before="120"/>
        <w:ind w:left="709" w:hanging="709"/>
        <w:rPr>
          <w:lang w:val="en-US"/>
        </w:rPr>
      </w:pPr>
      <w:r w:rsidRPr="0016273D">
        <w:rPr>
          <w:lang w:val="en-US"/>
        </w:rPr>
        <w:t xml:space="preserve">The </w:t>
      </w:r>
      <w:r w:rsidRPr="0016273D">
        <w:rPr>
          <w:b/>
          <w:lang w:val="en-US"/>
        </w:rPr>
        <w:t>delegations of Palestine</w:t>
      </w:r>
      <w:r w:rsidRPr="0016273D">
        <w:rPr>
          <w:lang w:val="en-US"/>
        </w:rPr>
        <w:t xml:space="preserve"> and </w:t>
      </w:r>
      <w:r w:rsidRPr="0016273D">
        <w:rPr>
          <w:b/>
          <w:lang w:val="en-US"/>
        </w:rPr>
        <w:t>Senegal</w:t>
      </w:r>
      <w:r w:rsidRPr="0016273D">
        <w:rPr>
          <w:lang w:val="en-US"/>
        </w:rPr>
        <w:t xml:space="preserve"> supported the </w:t>
      </w:r>
      <w:r w:rsidR="00633E8F" w:rsidRPr="0016273D">
        <w:rPr>
          <w:lang w:val="en-US"/>
        </w:rPr>
        <w:t xml:space="preserve">proposed </w:t>
      </w:r>
      <w:r w:rsidRPr="0016273D">
        <w:rPr>
          <w:lang w:val="en-US"/>
        </w:rPr>
        <w:t>amendment</w:t>
      </w:r>
      <w:r w:rsidR="00633E8F" w:rsidRPr="0016273D">
        <w:rPr>
          <w:lang w:val="en-US"/>
        </w:rPr>
        <w:t xml:space="preserve"> in paragraph 5</w:t>
      </w:r>
      <w:r w:rsidRPr="0016273D">
        <w:rPr>
          <w:lang w:val="en-US"/>
        </w:rPr>
        <w:t>, which was duly adopted as amen</w:t>
      </w:r>
      <w:r w:rsidR="00BE24CF" w:rsidRPr="0016273D">
        <w:rPr>
          <w:lang w:val="en-US"/>
        </w:rPr>
        <w:t>d</w:t>
      </w:r>
      <w:r w:rsidR="00B67A60" w:rsidRPr="0016273D">
        <w:rPr>
          <w:lang w:val="en-US"/>
        </w:rPr>
        <w:t>ed.</w:t>
      </w:r>
    </w:p>
    <w:p w14:paraId="3E4F8A76" w14:textId="58A6CFB5" w:rsidR="003804C5" w:rsidRPr="0016273D" w:rsidRDefault="003804C5" w:rsidP="00CE5F74">
      <w:pPr>
        <w:pStyle w:val="Orateurengris"/>
        <w:spacing w:after="0"/>
        <w:ind w:left="709" w:hanging="709"/>
        <w:rPr>
          <w:lang w:val="en-US"/>
        </w:rPr>
      </w:pPr>
      <w:r w:rsidRPr="0016273D">
        <w:rPr>
          <w:lang w:val="en-US"/>
        </w:rPr>
        <w:t xml:space="preserve">The </w:t>
      </w:r>
      <w:r w:rsidRPr="0016273D">
        <w:rPr>
          <w:b/>
          <w:lang w:val="en-US"/>
        </w:rPr>
        <w:t>Chairperson</w:t>
      </w:r>
      <w:r w:rsidRPr="0016273D">
        <w:rPr>
          <w:lang w:val="en-US"/>
        </w:rPr>
        <w:t xml:space="preserve"> returned to the dr</w:t>
      </w:r>
      <w:r w:rsidR="00BE24CF" w:rsidRPr="0016273D">
        <w:rPr>
          <w:lang w:val="en-US"/>
        </w:rPr>
        <w:t>aft decision and paragraphs 6–</w:t>
      </w:r>
      <w:r w:rsidRPr="0016273D">
        <w:rPr>
          <w:lang w:val="en-US"/>
        </w:rPr>
        <w:t xml:space="preserve">10 were </w:t>
      </w:r>
      <w:r w:rsidR="00BE24CF" w:rsidRPr="0016273D">
        <w:rPr>
          <w:lang w:val="en-US"/>
        </w:rPr>
        <w:t xml:space="preserve">duly </w:t>
      </w:r>
      <w:r w:rsidRPr="0016273D">
        <w:rPr>
          <w:lang w:val="en-US"/>
        </w:rPr>
        <w:t xml:space="preserve">adopted. </w:t>
      </w:r>
      <w:r w:rsidR="00BE24CF" w:rsidRPr="0016273D">
        <w:rPr>
          <w:lang w:val="en-US"/>
        </w:rPr>
        <w:t>T</w:t>
      </w:r>
      <w:r w:rsidR="00633E8F" w:rsidRPr="0016273D">
        <w:rPr>
          <w:lang w:val="en-US"/>
        </w:rPr>
        <w:t>urning</w:t>
      </w:r>
      <w:r w:rsidRPr="0016273D">
        <w:rPr>
          <w:lang w:val="en-US"/>
        </w:rPr>
        <w:t xml:space="preserve"> to the draft decision as a whole</w:t>
      </w:r>
      <w:r w:rsidR="00BE24CF" w:rsidRPr="0016273D">
        <w:rPr>
          <w:lang w:val="en-US"/>
        </w:rPr>
        <w:t xml:space="preserve">, </w:t>
      </w:r>
      <w:r w:rsidR="00713C3A" w:rsidRPr="0016273D">
        <w:rPr>
          <w:lang w:val="en-US"/>
        </w:rPr>
        <w:t>the</w:t>
      </w:r>
      <w:r w:rsidRPr="0016273D">
        <w:rPr>
          <w:lang w:val="en-US"/>
        </w:rPr>
        <w:t xml:space="preserve"> </w:t>
      </w:r>
      <w:r w:rsidRPr="0016273D">
        <w:rPr>
          <w:b/>
          <w:lang w:val="en-US"/>
        </w:rPr>
        <w:t>Chairperson declared Decision 13.COM 6 adopted</w:t>
      </w:r>
      <w:r w:rsidRPr="0016273D">
        <w:rPr>
          <w:lang w:val="en-US"/>
        </w:rPr>
        <w:t>.</w:t>
      </w:r>
    </w:p>
    <w:p w14:paraId="4480EB95" w14:textId="75FAD8B8" w:rsidR="0019439A" w:rsidRPr="00813D19" w:rsidRDefault="002018FA" w:rsidP="00B67A60">
      <w:pPr>
        <w:pStyle w:val="Orateurengris"/>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7.a </w:t>
      </w:r>
      <w:r w:rsidR="0019439A" w:rsidRPr="00813D19">
        <w:rPr>
          <w:b/>
          <w:color w:val="000000" w:themeColor="text1"/>
          <w:u w:val="single"/>
          <w:lang w:val="en-US"/>
        </w:rPr>
        <w:t>OF THE AGENDA</w:t>
      </w:r>
    </w:p>
    <w:p w14:paraId="2527CFCB" w14:textId="498F675A" w:rsidR="002018FA" w:rsidRPr="00813D19" w:rsidRDefault="002018FA" w:rsidP="00B67A60">
      <w:pPr>
        <w:pStyle w:val="Orateurengris"/>
        <w:numPr>
          <w:ilvl w:val="0"/>
          <w:numId w:val="0"/>
        </w:numPr>
        <w:outlineLvl w:val="1"/>
        <w:rPr>
          <w:b/>
          <w:color w:val="000000" w:themeColor="text1"/>
          <w:lang w:val="en-US"/>
        </w:rPr>
      </w:pPr>
      <w:r w:rsidRPr="00813D19">
        <w:rPr>
          <w:b/>
          <w:color w:val="000000" w:themeColor="text1"/>
          <w:lang w:val="en-US"/>
        </w:rPr>
        <w:t>EXAMINATION OF THE REPORTS OF STATES PARTIES ON THE IMPLEMENTATION OF THE CONVENTION AND ON THE CURRENT STATUS OF ELEMENTS INSCRIBED ON THE REPRESENTATIVE LIST OF THE INTANGIBLE CULTURAL HERITAGE OF HUMANITY</w:t>
      </w:r>
    </w:p>
    <w:p w14:paraId="713C3953" w14:textId="2693AA8B" w:rsidR="00767F42" w:rsidRPr="00813D19" w:rsidRDefault="00767F42" w:rsidP="00F331CE">
      <w:pPr>
        <w:pStyle w:val="Orateurengris"/>
        <w:numPr>
          <w:ilvl w:val="0"/>
          <w:numId w:val="0"/>
        </w:numPr>
        <w:spacing w:after="0"/>
        <w:ind w:left="709"/>
        <w:rPr>
          <w:color w:val="000000" w:themeColor="text1"/>
          <w:lang w:val="en-US"/>
        </w:rPr>
      </w:pPr>
      <w:r w:rsidRPr="00813D19">
        <w:rPr>
          <w:b/>
          <w:color w:val="000000" w:themeColor="text1"/>
          <w:lang w:val="en-US"/>
        </w:rPr>
        <w:t>Document:</w:t>
      </w:r>
      <w:r w:rsidRPr="00813D19">
        <w:rPr>
          <w:b/>
          <w:color w:val="000000" w:themeColor="text1"/>
          <w:lang w:val="en-US"/>
        </w:rPr>
        <w:tab/>
      </w:r>
      <w:hyperlink r:id="rId45" w:history="1">
        <w:r w:rsidRPr="00813D19">
          <w:rPr>
            <w:rStyle w:val="Hyperlink"/>
            <w:bCs/>
            <w:i/>
            <w:lang w:val="en-US"/>
          </w:rPr>
          <w:t>ITH/18/13.COM/7.a Rev</w:t>
        </w:r>
      </w:hyperlink>
    </w:p>
    <w:p w14:paraId="0404A893" w14:textId="03BAE9AC" w:rsidR="005020CA" w:rsidRPr="0016273D" w:rsidRDefault="0016273D" w:rsidP="0016273D">
      <w:pPr>
        <w:pStyle w:val="Orateurengris"/>
        <w:numPr>
          <w:ilvl w:val="0"/>
          <w:numId w:val="0"/>
        </w:numPr>
        <w:spacing w:before="60" w:after="0"/>
        <w:ind w:left="709"/>
        <w:rPr>
          <w:bCs/>
          <w:color w:val="000000" w:themeColor="text1"/>
          <w:lang w:val="en-US"/>
        </w:rPr>
      </w:pPr>
      <w:r>
        <w:rPr>
          <w:b/>
          <w:color w:val="000000" w:themeColor="text1"/>
          <w:lang w:val="en-US"/>
        </w:rPr>
        <w:t>Reports:</w:t>
      </w:r>
      <w:r w:rsidR="00767F42" w:rsidRPr="00813D19">
        <w:rPr>
          <w:b/>
          <w:color w:val="000000" w:themeColor="text1"/>
          <w:lang w:val="en-US"/>
        </w:rPr>
        <w:tab/>
      </w:r>
      <w:hyperlink r:id="rId46" w:history="1">
        <w:r w:rsidR="005020CA" w:rsidRPr="00813D19">
          <w:rPr>
            <w:rStyle w:val="Hyperlink"/>
            <w:i/>
            <w:lang w:val="en-US"/>
          </w:rPr>
          <w:t>32 reports</w:t>
        </w:r>
      </w:hyperlink>
    </w:p>
    <w:p w14:paraId="7A755C5D" w14:textId="0A6AD593" w:rsidR="00767F42" w:rsidRPr="0016273D" w:rsidRDefault="00A81577" w:rsidP="00B67A60">
      <w:pPr>
        <w:pStyle w:val="Orateurengris"/>
        <w:numPr>
          <w:ilvl w:val="0"/>
          <w:numId w:val="0"/>
        </w:numPr>
        <w:spacing w:before="60" w:after="240"/>
        <w:ind w:left="709"/>
        <w:rPr>
          <w:rStyle w:val="Hyperlink"/>
          <w:i/>
          <w:color w:val="auto"/>
          <w:lang w:val="en-US"/>
        </w:rPr>
      </w:pPr>
      <w:r w:rsidRPr="00813D19">
        <w:rPr>
          <w:b/>
          <w:color w:val="000000" w:themeColor="text1"/>
          <w:lang w:val="en-US"/>
        </w:rPr>
        <w:t>Decision</w:t>
      </w:r>
      <w:r w:rsidR="0016273D" w:rsidRPr="0016273D">
        <w:rPr>
          <w:b/>
          <w:bCs/>
          <w:color w:val="000000" w:themeColor="text1"/>
          <w:lang w:val="en-US"/>
        </w:rPr>
        <w:t>:</w:t>
      </w:r>
      <w:r w:rsidRPr="00813D19">
        <w:rPr>
          <w:color w:val="000000" w:themeColor="text1"/>
          <w:lang w:val="en-US"/>
        </w:rPr>
        <w:tab/>
      </w:r>
      <w:hyperlink r:id="rId47" w:history="1">
        <w:r w:rsidR="002018FA" w:rsidRPr="00813D19">
          <w:rPr>
            <w:rStyle w:val="Hyperlink"/>
            <w:i/>
            <w:lang w:val="en-US"/>
          </w:rPr>
          <w:t>13</w:t>
        </w:r>
        <w:r w:rsidRPr="00813D19">
          <w:rPr>
            <w:rStyle w:val="Hyperlink"/>
            <w:i/>
            <w:lang w:val="en-US"/>
          </w:rPr>
          <w:t>.COM 7</w:t>
        </w:r>
        <w:r w:rsidR="002018FA" w:rsidRPr="00813D19">
          <w:rPr>
            <w:rStyle w:val="Hyperlink"/>
            <w:i/>
            <w:lang w:val="en-US"/>
          </w:rPr>
          <w:t>.a</w:t>
        </w:r>
      </w:hyperlink>
    </w:p>
    <w:p w14:paraId="2A99694C" w14:textId="2534BEDB" w:rsidR="004D2FB7" w:rsidRPr="00813D19" w:rsidRDefault="00B15EE7" w:rsidP="00CE5F74">
      <w:pPr>
        <w:pStyle w:val="Orateurengris"/>
        <w:spacing w:after="0"/>
        <w:ind w:left="709" w:hanging="709"/>
        <w:rPr>
          <w:rFonts w:ascii="Helvetica" w:hAnsi="Helvetica" w:cs="Helvetica"/>
          <w:i/>
          <w:iCs/>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AC2AEF" w:rsidRPr="00813D19">
        <w:rPr>
          <w:rFonts w:ascii="Helvetica" w:hAnsi="Helvetica" w:cs="Helvetica"/>
          <w:iCs/>
          <w:color w:val="000000" w:themeColor="text1"/>
          <w:lang w:val="en-US"/>
        </w:rPr>
        <w:t xml:space="preserve">then moved </w:t>
      </w:r>
      <w:r w:rsidR="008D63B2" w:rsidRPr="00813D19">
        <w:rPr>
          <w:lang w:val="en-US"/>
        </w:rPr>
        <w:t>to the next agenda i</w:t>
      </w:r>
      <w:r w:rsidR="00AC2AEF" w:rsidRPr="00813D19">
        <w:rPr>
          <w:lang w:val="en-US"/>
        </w:rPr>
        <w:t>tem</w:t>
      </w:r>
      <w:r w:rsidR="00850817">
        <w:rPr>
          <w:lang w:val="en-US"/>
        </w:rPr>
        <w:t>, item</w:t>
      </w:r>
      <w:r w:rsidR="00AC2AEF" w:rsidRPr="00813D19">
        <w:rPr>
          <w:lang w:val="en-US"/>
        </w:rPr>
        <w:t xml:space="preserve"> 7.a</w:t>
      </w:r>
      <w:r w:rsidR="004D2FB7" w:rsidRPr="00813D19">
        <w:rPr>
          <w:rFonts w:ascii="Helvetica" w:hAnsi="Helvetica" w:cs="Helvetica"/>
          <w:i/>
          <w:iCs/>
          <w:color w:val="000000" w:themeColor="text1"/>
          <w:lang w:val="en-US"/>
        </w:rPr>
        <w:t>.</w:t>
      </w:r>
    </w:p>
    <w:p w14:paraId="2D69638F" w14:textId="27A536C1" w:rsidR="004A42D8" w:rsidRPr="00813D19" w:rsidRDefault="003701F3" w:rsidP="004D2FB7">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4D2FB7" w:rsidRPr="00813D19">
        <w:rPr>
          <w:lang w:val="en-US"/>
        </w:rPr>
        <w:t xml:space="preserve">recalled </w:t>
      </w:r>
      <w:r w:rsidR="004A42D8" w:rsidRPr="00813D19">
        <w:rPr>
          <w:lang w:val="en-US"/>
        </w:rPr>
        <w:t>the ongoing reform of the mechanism for submitting periodic reports on the implementation of the 2003 Convention, whic</w:t>
      </w:r>
      <w:r w:rsidR="004D2FB7" w:rsidRPr="00813D19">
        <w:rPr>
          <w:lang w:val="en-US"/>
        </w:rPr>
        <w:t xml:space="preserve">h started immediately after the seventh session of the General Assembly in </w:t>
      </w:r>
      <w:r w:rsidR="004A42D8" w:rsidRPr="00813D19">
        <w:rPr>
          <w:lang w:val="en-US"/>
        </w:rPr>
        <w:t>June</w:t>
      </w:r>
      <w:r w:rsidR="004D2FB7" w:rsidRPr="00813D19">
        <w:rPr>
          <w:lang w:val="en-US"/>
        </w:rPr>
        <w:t xml:space="preserve"> 2017</w:t>
      </w:r>
      <w:r w:rsidR="004A42D8" w:rsidRPr="00813D19">
        <w:rPr>
          <w:lang w:val="en-US"/>
        </w:rPr>
        <w:t xml:space="preserve"> with the approval of the overall results framework and the revision of</w:t>
      </w:r>
      <w:r w:rsidR="004D2FB7" w:rsidRPr="00813D19">
        <w:rPr>
          <w:lang w:val="en-US"/>
        </w:rPr>
        <w:t xml:space="preserve"> the Operational Directives on periodic r</w:t>
      </w:r>
      <w:r w:rsidR="004A42D8" w:rsidRPr="00813D19">
        <w:rPr>
          <w:lang w:val="en-US"/>
        </w:rPr>
        <w:t xml:space="preserve">eporting. Further details on the reform and related ongoing activities </w:t>
      </w:r>
      <w:r w:rsidR="00C2646C" w:rsidRPr="00813D19">
        <w:rPr>
          <w:lang w:val="en-US"/>
        </w:rPr>
        <w:t>w</w:t>
      </w:r>
      <w:r w:rsidR="00C2646C">
        <w:rPr>
          <w:lang w:val="en-US"/>
        </w:rPr>
        <w:t>ere</w:t>
      </w:r>
      <w:r w:rsidR="00C2646C" w:rsidRPr="00813D19">
        <w:rPr>
          <w:lang w:val="en-US"/>
        </w:rPr>
        <w:t xml:space="preserve"> </w:t>
      </w:r>
      <w:r w:rsidR="004A42D8" w:rsidRPr="00813D19">
        <w:rPr>
          <w:lang w:val="en-US"/>
        </w:rPr>
        <w:t>presented and discusse</w:t>
      </w:r>
      <w:r w:rsidR="004D2FB7" w:rsidRPr="00813D19">
        <w:rPr>
          <w:lang w:val="en-US"/>
        </w:rPr>
        <w:t>d under agenda item 8</w:t>
      </w:r>
      <w:r w:rsidR="00BF2BA6" w:rsidRPr="00813D19">
        <w:rPr>
          <w:lang w:val="en-US"/>
        </w:rPr>
        <w:t>,</w:t>
      </w:r>
      <w:r w:rsidR="004D2FB7" w:rsidRPr="00813D19">
        <w:rPr>
          <w:lang w:val="en-US"/>
        </w:rPr>
        <w:t xml:space="preserve"> ‘</w:t>
      </w:r>
      <w:r w:rsidR="004A42D8" w:rsidRPr="00813D19">
        <w:rPr>
          <w:lang w:val="en-US"/>
        </w:rPr>
        <w:t>Reform of t</w:t>
      </w:r>
      <w:r w:rsidR="004D2FB7" w:rsidRPr="00813D19">
        <w:rPr>
          <w:lang w:val="en-US"/>
        </w:rPr>
        <w:t>he Periodic Reporting Mechanism’</w:t>
      </w:r>
      <w:r w:rsidR="004A42D8" w:rsidRPr="00813D19">
        <w:rPr>
          <w:lang w:val="en-US"/>
        </w:rPr>
        <w:t>.</w:t>
      </w:r>
      <w:r w:rsidR="004D2FB7" w:rsidRPr="00813D19">
        <w:rPr>
          <w:lang w:val="en-US"/>
        </w:rPr>
        <w:t xml:space="preserve"> However, owing to the transitional period established by the Committee at its twelfth session, the statutory obligation of States Parties to submit their periodic reports on the implementation of the Convention and on the elements inscribed on the Representative List before the deadlines of 15 December 2018 and 2019 </w:t>
      </w:r>
      <w:r w:rsidR="00BF2BA6" w:rsidRPr="00813D19">
        <w:rPr>
          <w:lang w:val="en-US"/>
        </w:rPr>
        <w:t>were</w:t>
      </w:r>
      <w:r w:rsidR="004D2FB7" w:rsidRPr="00813D19">
        <w:rPr>
          <w:lang w:val="en-US"/>
        </w:rPr>
        <w:t xml:space="preserve"> suspended. This meant that the present session would</w:t>
      </w:r>
      <w:r w:rsidR="00C2646C">
        <w:rPr>
          <w:lang w:val="en-US"/>
        </w:rPr>
        <w:t>,</w:t>
      </w:r>
      <w:r w:rsidR="004D2FB7" w:rsidRPr="00813D19">
        <w:rPr>
          <w:lang w:val="en-US"/>
        </w:rPr>
        <w:t xml:space="preserve"> for the last time</w:t>
      </w:r>
      <w:r w:rsidR="00C2646C">
        <w:rPr>
          <w:lang w:val="en-US"/>
        </w:rPr>
        <w:t>,</w:t>
      </w:r>
      <w:r w:rsidR="004D2FB7" w:rsidRPr="00813D19">
        <w:rPr>
          <w:lang w:val="en-US"/>
        </w:rPr>
        <w:t xml:space="preserve"> </w:t>
      </w:r>
      <w:r w:rsidR="00C2646C">
        <w:rPr>
          <w:lang w:val="en-US"/>
        </w:rPr>
        <w:t>consider</w:t>
      </w:r>
      <w:r w:rsidR="00C2646C" w:rsidRPr="00813D19">
        <w:rPr>
          <w:lang w:val="en-US"/>
        </w:rPr>
        <w:t xml:space="preserve"> </w:t>
      </w:r>
      <w:r w:rsidR="004D2FB7" w:rsidRPr="00813D19">
        <w:rPr>
          <w:lang w:val="en-US"/>
        </w:rPr>
        <w:t xml:space="preserve">periodic reports submitted according to the calendar based on the date of ratification, as decided by the Committee in 2017. This year, the Committee was mandated to consider </w:t>
      </w:r>
      <w:r w:rsidR="00C2646C">
        <w:rPr>
          <w:lang w:val="en-US"/>
        </w:rPr>
        <w:t>thirty-two</w:t>
      </w:r>
      <w:r w:rsidR="00C2646C" w:rsidRPr="00813D19">
        <w:rPr>
          <w:lang w:val="en-US"/>
        </w:rPr>
        <w:t xml:space="preserve"> </w:t>
      </w:r>
      <w:r w:rsidR="004D2FB7" w:rsidRPr="00813D19">
        <w:rPr>
          <w:lang w:val="en-US"/>
        </w:rPr>
        <w:t xml:space="preserve">periodic reports and to provide an overview at the eighth session of the General Assembly in 2020. </w:t>
      </w:r>
      <w:r w:rsidR="00C2646C">
        <w:rPr>
          <w:lang w:val="en-US"/>
        </w:rPr>
        <w:t>W</w:t>
      </w:r>
      <w:r w:rsidR="004D2FB7" w:rsidRPr="00813D19">
        <w:rPr>
          <w:lang w:val="en-US"/>
        </w:rPr>
        <w:t xml:space="preserve">orking document 13.COM 7.a consisted of an introduction and an </w:t>
      </w:r>
      <w:r w:rsidR="00C2646C">
        <w:rPr>
          <w:lang w:val="en-US"/>
        </w:rPr>
        <w:t>a</w:t>
      </w:r>
      <w:r w:rsidR="00C2646C" w:rsidRPr="00813D19">
        <w:rPr>
          <w:lang w:val="en-US"/>
        </w:rPr>
        <w:t xml:space="preserve">nnex </w:t>
      </w:r>
      <w:r w:rsidR="004D2FB7" w:rsidRPr="00813D19">
        <w:rPr>
          <w:lang w:val="en-US"/>
        </w:rPr>
        <w:t xml:space="preserve">consisting of five parts. It was noted that that the Secretariat had published a revised version of the working document to include the report submitted by Mongolia (number 18). </w:t>
      </w:r>
      <w:r w:rsidR="004D2FB7" w:rsidRPr="00813D19">
        <w:rPr>
          <w:u w:val="single"/>
          <w:lang w:val="en-US"/>
        </w:rPr>
        <w:t>Part I of the Annex</w:t>
      </w:r>
      <w:r w:rsidR="004D2FB7" w:rsidRPr="00813D19">
        <w:rPr>
          <w:lang w:val="en-US"/>
        </w:rPr>
        <w:t xml:space="preserve"> provided an overview of the 2018 periodic reports.</w:t>
      </w:r>
      <w:r w:rsidR="00D63FA0" w:rsidRPr="00813D19">
        <w:rPr>
          <w:lang w:val="en-US"/>
        </w:rPr>
        <w:t xml:space="preserve"> The table in paragraph 4 of the Annex co</w:t>
      </w:r>
      <w:r w:rsidR="00BF2BA6" w:rsidRPr="00813D19">
        <w:rPr>
          <w:lang w:val="en-US"/>
        </w:rPr>
        <w:t>ntained</w:t>
      </w:r>
      <w:r w:rsidR="00D63FA0" w:rsidRPr="00813D19">
        <w:rPr>
          <w:lang w:val="en-US"/>
        </w:rPr>
        <w:t xml:space="preserve"> the list of the </w:t>
      </w:r>
      <w:r w:rsidR="00C2646C">
        <w:rPr>
          <w:lang w:val="en-US"/>
        </w:rPr>
        <w:t>thirty-two</w:t>
      </w:r>
      <w:r w:rsidR="00C2646C" w:rsidRPr="00813D19">
        <w:rPr>
          <w:lang w:val="en-US"/>
        </w:rPr>
        <w:t xml:space="preserve"> </w:t>
      </w:r>
      <w:r w:rsidR="00D63FA0" w:rsidRPr="00813D19">
        <w:rPr>
          <w:lang w:val="en-US"/>
        </w:rPr>
        <w:t xml:space="preserve">States that had submitted their reports in the current cycle. The table in paragraph 5 </w:t>
      </w:r>
      <w:r w:rsidR="00BF2BA6" w:rsidRPr="00813D19">
        <w:rPr>
          <w:lang w:val="en-US"/>
        </w:rPr>
        <w:t>gave</w:t>
      </w:r>
      <w:r w:rsidR="00D63FA0" w:rsidRPr="00813D19">
        <w:rPr>
          <w:lang w:val="en-US"/>
        </w:rPr>
        <w:t xml:space="preserve"> details of the </w:t>
      </w:r>
      <w:r w:rsidR="00C2646C">
        <w:rPr>
          <w:lang w:val="en-US"/>
        </w:rPr>
        <w:t>thirty-eight</w:t>
      </w:r>
      <w:r w:rsidR="00C2646C" w:rsidRPr="00813D19">
        <w:rPr>
          <w:lang w:val="en-US"/>
        </w:rPr>
        <w:t xml:space="preserve"> </w:t>
      </w:r>
      <w:r w:rsidR="00D63FA0" w:rsidRPr="00813D19">
        <w:rPr>
          <w:lang w:val="en-US"/>
        </w:rPr>
        <w:t xml:space="preserve">States that should have reported this year. The Secretary confirmed that the suspension of the reporting deadline in 2018 and 2019 was also valid for late reports that had not yet been submitted to date, meaning that the </w:t>
      </w:r>
      <w:r w:rsidR="00C2646C">
        <w:rPr>
          <w:lang w:val="en-US"/>
        </w:rPr>
        <w:t>thirty-eight</w:t>
      </w:r>
      <w:r w:rsidR="00C2646C" w:rsidRPr="00813D19">
        <w:rPr>
          <w:lang w:val="en-US"/>
        </w:rPr>
        <w:t xml:space="preserve"> </w:t>
      </w:r>
      <w:r w:rsidR="002F50EA">
        <w:rPr>
          <w:lang w:val="en-US"/>
        </w:rPr>
        <w:t>S</w:t>
      </w:r>
      <w:r w:rsidR="002F50EA" w:rsidRPr="00813D19">
        <w:rPr>
          <w:lang w:val="en-US"/>
        </w:rPr>
        <w:t xml:space="preserve">tates </w:t>
      </w:r>
      <w:r w:rsidR="00D63FA0" w:rsidRPr="00813D19">
        <w:rPr>
          <w:lang w:val="en-US"/>
        </w:rPr>
        <w:t xml:space="preserve">in </w:t>
      </w:r>
      <w:r w:rsidR="00BF2BA6" w:rsidRPr="00813D19">
        <w:rPr>
          <w:lang w:val="en-US"/>
        </w:rPr>
        <w:t>the</w:t>
      </w:r>
      <w:r w:rsidR="00D63FA0" w:rsidRPr="00813D19">
        <w:rPr>
          <w:lang w:val="en-US"/>
        </w:rPr>
        <w:t xml:space="preserve"> table </w:t>
      </w:r>
      <w:r w:rsidR="00C2646C">
        <w:rPr>
          <w:lang w:val="en-US"/>
        </w:rPr>
        <w:t>would</w:t>
      </w:r>
      <w:r w:rsidR="00C2646C" w:rsidRPr="00813D19">
        <w:rPr>
          <w:lang w:val="en-US"/>
        </w:rPr>
        <w:t xml:space="preserve"> </w:t>
      </w:r>
      <w:r w:rsidR="00D63FA0" w:rsidRPr="00813D19">
        <w:rPr>
          <w:lang w:val="en-US"/>
        </w:rPr>
        <w:t xml:space="preserve">submit their next report as part of the next first round of regional reporting. The 32 reports to be considered covered 148 elements inscribed on the Representative List, of which 16 </w:t>
      </w:r>
      <w:r w:rsidR="00C2646C">
        <w:rPr>
          <w:lang w:val="en-US"/>
        </w:rPr>
        <w:t xml:space="preserve">were </w:t>
      </w:r>
      <w:r w:rsidR="00D63FA0" w:rsidRPr="00813D19">
        <w:rPr>
          <w:lang w:val="en-US"/>
        </w:rPr>
        <w:t>multinational elements. It was noted that three States Parties had not reported on four items inscribed on the Representative List, namely</w:t>
      </w:r>
      <w:r w:rsidR="00C011C0" w:rsidRPr="00813D19">
        <w:rPr>
          <w:lang w:val="en-US"/>
        </w:rPr>
        <w:t>: Bhutan for ‘Mask d</w:t>
      </w:r>
      <w:r w:rsidR="00D63FA0" w:rsidRPr="00813D19">
        <w:rPr>
          <w:lang w:val="en-US"/>
        </w:rPr>
        <w:t xml:space="preserve">ance of </w:t>
      </w:r>
      <w:r w:rsidR="00C011C0" w:rsidRPr="00813D19">
        <w:rPr>
          <w:lang w:val="en-US"/>
        </w:rPr>
        <w:t>the drums from Drametse’</w:t>
      </w:r>
      <w:r w:rsidR="00D63FA0" w:rsidRPr="00813D19">
        <w:rPr>
          <w:lang w:val="en-US"/>
        </w:rPr>
        <w:t>, originally proclaimed in 2005 and then i</w:t>
      </w:r>
      <w:r w:rsidR="00C011C0" w:rsidRPr="00813D19">
        <w:rPr>
          <w:lang w:val="en-US"/>
        </w:rPr>
        <w:t>ncorporated in 2008; China for ‘The Twenty-Four S</w:t>
      </w:r>
      <w:r w:rsidR="00D63FA0" w:rsidRPr="00813D19">
        <w:rPr>
          <w:lang w:val="en-US"/>
        </w:rPr>
        <w:t xml:space="preserve">olar </w:t>
      </w:r>
      <w:r w:rsidR="00C011C0" w:rsidRPr="00813D19">
        <w:rPr>
          <w:lang w:val="en-US"/>
        </w:rPr>
        <w:t>Terms</w:t>
      </w:r>
      <w:r w:rsidR="00D63FA0" w:rsidRPr="00813D19">
        <w:rPr>
          <w:lang w:val="en-US"/>
        </w:rPr>
        <w:t xml:space="preserve">, knowledge </w:t>
      </w:r>
      <w:r w:rsidR="00C011C0" w:rsidRPr="00813D19">
        <w:rPr>
          <w:lang w:val="en-US"/>
        </w:rPr>
        <w:t>in China</w:t>
      </w:r>
      <w:r w:rsidR="00D63FA0" w:rsidRPr="00813D19">
        <w:rPr>
          <w:lang w:val="en-US"/>
        </w:rPr>
        <w:t xml:space="preserve"> </w:t>
      </w:r>
      <w:r w:rsidR="00C011C0" w:rsidRPr="00813D19">
        <w:rPr>
          <w:lang w:val="en-US"/>
        </w:rPr>
        <w:t>of time and</w:t>
      </w:r>
      <w:r w:rsidR="00D63FA0" w:rsidRPr="00813D19">
        <w:rPr>
          <w:lang w:val="en-US"/>
        </w:rPr>
        <w:t xml:space="preserve"> practices developed through observation of </w:t>
      </w:r>
      <w:r w:rsidR="00C011C0" w:rsidRPr="00813D19">
        <w:rPr>
          <w:lang w:val="en-US"/>
        </w:rPr>
        <w:t>sun’s annual’</w:t>
      </w:r>
      <w:r w:rsidR="00D63FA0" w:rsidRPr="00813D19">
        <w:rPr>
          <w:lang w:val="en-US"/>
        </w:rPr>
        <w:t xml:space="preserve">, </w:t>
      </w:r>
      <w:r w:rsidR="00C011C0" w:rsidRPr="00813D19">
        <w:rPr>
          <w:lang w:val="en-US"/>
        </w:rPr>
        <w:t>inscribed</w:t>
      </w:r>
      <w:r w:rsidR="00D63FA0" w:rsidRPr="00813D19">
        <w:rPr>
          <w:lang w:val="en-US"/>
        </w:rPr>
        <w:t xml:space="preserve"> in 2</w:t>
      </w:r>
      <w:r w:rsidR="00C011C0" w:rsidRPr="00813D19">
        <w:rPr>
          <w:lang w:val="en-US"/>
        </w:rPr>
        <w:t>016; and India for two elements, the ‘Nowruz’</w:t>
      </w:r>
      <w:r w:rsidR="00D63FA0" w:rsidRPr="00813D19">
        <w:rPr>
          <w:lang w:val="en-US"/>
        </w:rPr>
        <w:t xml:space="preserve"> </w:t>
      </w:r>
      <w:r w:rsidR="00C011C0" w:rsidRPr="00813D19">
        <w:rPr>
          <w:lang w:val="en-US"/>
        </w:rPr>
        <w:t xml:space="preserve">inscribed </w:t>
      </w:r>
      <w:r w:rsidR="00D63FA0" w:rsidRPr="00813D19">
        <w:rPr>
          <w:lang w:val="en-US"/>
        </w:rPr>
        <w:t>as a multinational element in 2009 and expanded to ot</w:t>
      </w:r>
      <w:r w:rsidR="00C011C0" w:rsidRPr="00813D19">
        <w:rPr>
          <w:lang w:val="en-US"/>
        </w:rPr>
        <w:t>her countries in 2016, and ‘Yoga’</w:t>
      </w:r>
      <w:r w:rsidR="00D63FA0" w:rsidRPr="00813D19">
        <w:rPr>
          <w:lang w:val="en-US"/>
        </w:rPr>
        <w:t xml:space="preserve"> </w:t>
      </w:r>
      <w:r w:rsidR="00C011C0" w:rsidRPr="00813D19">
        <w:rPr>
          <w:lang w:val="en-US"/>
        </w:rPr>
        <w:t xml:space="preserve">inscribed </w:t>
      </w:r>
      <w:r w:rsidR="00D63FA0" w:rsidRPr="00813D19">
        <w:rPr>
          <w:lang w:val="en-US"/>
        </w:rPr>
        <w:t>in 2016.</w:t>
      </w:r>
    </w:p>
    <w:p w14:paraId="471A91CF" w14:textId="00576CA9" w:rsidR="00322681" w:rsidRPr="00813D19" w:rsidRDefault="00322681" w:rsidP="00D721A8">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explained that </w:t>
      </w:r>
      <w:r w:rsidRPr="00813D19">
        <w:rPr>
          <w:u w:val="single"/>
          <w:lang w:val="en-US"/>
        </w:rPr>
        <w:t>Part II of the Annex</w:t>
      </w:r>
      <w:r w:rsidR="00BF2BA6" w:rsidRPr="00813D19">
        <w:rPr>
          <w:lang w:val="en-US"/>
        </w:rPr>
        <w:t xml:space="preserve"> provided</w:t>
      </w:r>
      <w:r w:rsidRPr="00813D19">
        <w:rPr>
          <w:lang w:val="en-US"/>
        </w:rPr>
        <w:t xml:space="preserve"> an overview of the main topics covered in the </w:t>
      </w:r>
      <w:r w:rsidR="00C2646C">
        <w:rPr>
          <w:lang w:val="en-US"/>
        </w:rPr>
        <w:t>thirty-two</w:t>
      </w:r>
      <w:r w:rsidR="00C2646C" w:rsidRPr="00813D19">
        <w:rPr>
          <w:lang w:val="en-US"/>
        </w:rPr>
        <w:t xml:space="preserve"> </w:t>
      </w:r>
      <w:r w:rsidRPr="00813D19">
        <w:rPr>
          <w:lang w:val="en-US"/>
        </w:rPr>
        <w:t>reports</w:t>
      </w:r>
      <w:r w:rsidR="00C2646C" w:rsidRPr="00C2646C">
        <w:rPr>
          <w:lang w:val="en-US"/>
        </w:rPr>
        <w:t xml:space="preserve"> </w:t>
      </w:r>
      <w:r w:rsidR="00C2646C" w:rsidRPr="00813D19">
        <w:rPr>
          <w:lang w:val="en-US"/>
        </w:rPr>
        <w:t>submitted</w:t>
      </w:r>
      <w:r w:rsidRPr="00813D19">
        <w:rPr>
          <w:lang w:val="en-US"/>
        </w:rPr>
        <w:t xml:space="preserve">, namely on the institutional framework, inventory-making, safeguarding measures taken at the national level, as well as bilateral, subregional, regional and international cooperation for the safeguarding of living heritage. </w:t>
      </w:r>
      <w:r w:rsidRPr="00813D19">
        <w:rPr>
          <w:u w:val="single"/>
          <w:lang w:val="en-US"/>
        </w:rPr>
        <w:t>Part III of the Annex</w:t>
      </w:r>
      <w:r w:rsidR="00BF2BA6" w:rsidRPr="00813D19">
        <w:rPr>
          <w:lang w:val="en-US"/>
        </w:rPr>
        <w:t xml:space="preserve"> contained</w:t>
      </w:r>
      <w:r w:rsidRPr="00813D19">
        <w:rPr>
          <w:lang w:val="en-US"/>
        </w:rPr>
        <w:t xml:space="preserve"> an in-depth analysis of the reports submitted since 2011. For this cycle, the analysis focused on the measures taken by States Parties to raise awareness of the importance of intangible cultural heritage. Several measures adopted by the States </w:t>
      </w:r>
      <w:r w:rsidR="00BF2BA6" w:rsidRPr="00813D19">
        <w:rPr>
          <w:lang w:val="en-US"/>
        </w:rPr>
        <w:t>were</w:t>
      </w:r>
      <w:r w:rsidRPr="00813D19">
        <w:rPr>
          <w:lang w:val="en-US"/>
        </w:rPr>
        <w:t xml:space="preserve"> highlighted by the analysis, including the involvement of the various stakeholders to ensure greater impact, the recognition of the central role of inventories and their accessibility, as well as the proclamations of heritage days, years and weeks. One of the important measures </w:t>
      </w:r>
      <w:r w:rsidR="00D721A8" w:rsidRPr="00813D19">
        <w:rPr>
          <w:lang w:val="en-US"/>
        </w:rPr>
        <w:t>[mentio</w:t>
      </w:r>
      <w:r w:rsidRPr="00813D19">
        <w:rPr>
          <w:lang w:val="en-US"/>
        </w:rPr>
        <w:t xml:space="preserve">ned by almost all States] related to cultural festivals, whether existing or newly created ones. In addition, communication and media engagement </w:t>
      </w:r>
      <w:r w:rsidR="00A23F4D" w:rsidRPr="00813D19">
        <w:rPr>
          <w:lang w:val="en-US"/>
        </w:rPr>
        <w:t>w</w:t>
      </w:r>
      <w:r w:rsidR="00A23F4D">
        <w:rPr>
          <w:lang w:val="en-US"/>
        </w:rPr>
        <w:t>ere</w:t>
      </w:r>
      <w:r w:rsidR="00A23F4D" w:rsidRPr="00813D19">
        <w:rPr>
          <w:lang w:val="en-US"/>
        </w:rPr>
        <w:t xml:space="preserve"> </w:t>
      </w:r>
      <w:r w:rsidRPr="00813D19">
        <w:rPr>
          <w:lang w:val="en-US"/>
        </w:rPr>
        <w:t xml:space="preserve">also highlighted as </w:t>
      </w:r>
      <w:r w:rsidR="00A23F4D">
        <w:rPr>
          <w:lang w:val="en-US"/>
        </w:rPr>
        <w:t xml:space="preserve">being </w:t>
      </w:r>
      <w:r w:rsidRPr="00813D19">
        <w:rPr>
          <w:lang w:val="en-US"/>
        </w:rPr>
        <w:t>important in raising public awareness.</w:t>
      </w:r>
      <w:r w:rsidR="00C011C0" w:rsidRPr="00813D19">
        <w:rPr>
          <w:lang w:val="en-US"/>
        </w:rPr>
        <w:t xml:space="preserve"> </w:t>
      </w:r>
      <w:r w:rsidR="00D721A8" w:rsidRPr="00813D19">
        <w:rPr>
          <w:u w:val="single"/>
          <w:lang w:val="en-US"/>
        </w:rPr>
        <w:t>Part IV of the A</w:t>
      </w:r>
      <w:r w:rsidRPr="00813D19">
        <w:rPr>
          <w:u w:val="single"/>
          <w:lang w:val="en-US"/>
        </w:rPr>
        <w:t>nnex</w:t>
      </w:r>
      <w:r w:rsidR="00BF2BA6" w:rsidRPr="00813D19">
        <w:rPr>
          <w:lang w:val="en-US"/>
        </w:rPr>
        <w:t xml:space="preserve"> provided</w:t>
      </w:r>
      <w:r w:rsidRPr="00813D19">
        <w:rPr>
          <w:lang w:val="en-US"/>
        </w:rPr>
        <w:t xml:space="preserve"> a brief general analysis of the status of elements inscrib</w:t>
      </w:r>
      <w:r w:rsidR="00D721A8" w:rsidRPr="00813D19">
        <w:rPr>
          <w:lang w:val="en-US"/>
        </w:rPr>
        <w:t xml:space="preserve">ed on the Representative List, which took into </w:t>
      </w:r>
      <w:r w:rsidRPr="00813D19">
        <w:rPr>
          <w:lang w:val="en-US"/>
        </w:rPr>
        <w:t>account several dimensions related to the elements</w:t>
      </w:r>
      <w:r w:rsidR="00D721A8" w:rsidRPr="00813D19">
        <w:rPr>
          <w:lang w:val="en-US"/>
        </w:rPr>
        <w:t>,</w:t>
      </w:r>
      <w:r w:rsidRPr="00813D19">
        <w:rPr>
          <w:lang w:val="en-US"/>
        </w:rPr>
        <w:t xml:space="preserve"> such as the consequences of inscriptions, the evolution of the scope of elements, </w:t>
      </w:r>
      <w:r w:rsidR="00D721A8" w:rsidRPr="00813D19">
        <w:rPr>
          <w:lang w:val="en-US"/>
        </w:rPr>
        <w:t xml:space="preserve">and </w:t>
      </w:r>
      <w:r w:rsidRPr="00813D19">
        <w:rPr>
          <w:lang w:val="en-US"/>
        </w:rPr>
        <w:t>efforts made to promote or strengthen</w:t>
      </w:r>
      <w:r w:rsidR="00D721A8" w:rsidRPr="00813D19">
        <w:rPr>
          <w:lang w:val="en-US"/>
        </w:rPr>
        <w:t xml:space="preserve"> them</w:t>
      </w:r>
      <w:r w:rsidRPr="00813D19">
        <w:rPr>
          <w:lang w:val="en-US"/>
        </w:rPr>
        <w:t xml:space="preserve">, as well as </w:t>
      </w:r>
      <w:r w:rsidR="00E041C7" w:rsidRPr="00813D19">
        <w:rPr>
          <w:lang w:val="en-US"/>
        </w:rPr>
        <w:t xml:space="preserve">community </w:t>
      </w:r>
      <w:r w:rsidRPr="00813D19">
        <w:rPr>
          <w:lang w:val="en-US"/>
        </w:rPr>
        <w:t xml:space="preserve">participation in </w:t>
      </w:r>
      <w:r w:rsidR="00E041C7" w:rsidRPr="00813D19">
        <w:rPr>
          <w:lang w:val="en-US"/>
        </w:rPr>
        <w:t xml:space="preserve">the </w:t>
      </w:r>
      <w:r w:rsidRPr="00813D19">
        <w:rPr>
          <w:lang w:val="en-US"/>
        </w:rPr>
        <w:t>safeguarding acti</w:t>
      </w:r>
      <w:r w:rsidR="00E041C7" w:rsidRPr="00813D19">
        <w:rPr>
          <w:lang w:val="en-US"/>
        </w:rPr>
        <w:t xml:space="preserve">vities and reporting exercises, and </w:t>
      </w:r>
      <w:r w:rsidRPr="00813D19">
        <w:rPr>
          <w:lang w:val="en-US"/>
        </w:rPr>
        <w:t xml:space="preserve">entities involved in the management and safeguarding of the </w:t>
      </w:r>
      <w:r w:rsidR="00E041C7" w:rsidRPr="00813D19">
        <w:rPr>
          <w:lang w:val="en-US"/>
        </w:rPr>
        <w:t xml:space="preserve">inscribed </w:t>
      </w:r>
      <w:r w:rsidRPr="00813D19">
        <w:rPr>
          <w:lang w:val="en-US"/>
        </w:rPr>
        <w:t xml:space="preserve">elements. </w:t>
      </w:r>
      <w:r w:rsidRPr="00813D19">
        <w:rPr>
          <w:u w:val="single"/>
          <w:lang w:val="en-US"/>
        </w:rPr>
        <w:t xml:space="preserve">Part V of the </w:t>
      </w:r>
      <w:r w:rsidR="00D721A8" w:rsidRPr="00813D19">
        <w:rPr>
          <w:u w:val="single"/>
          <w:lang w:val="en-US"/>
        </w:rPr>
        <w:t>Annex</w:t>
      </w:r>
      <w:r w:rsidR="00D721A8" w:rsidRPr="00813D19">
        <w:rPr>
          <w:lang w:val="en-US"/>
        </w:rPr>
        <w:t xml:space="preserve"> </w:t>
      </w:r>
      <w:r w:rsidR="00BF2BA6" w:rsidRPr="00813D19">
        <w:rPr>
          <w:lang w:val="en-US"/>
        </w:rPr>
        <w:t>provided</w:t>
      </w:r>
      <w:r w:rsidRPr="00813D19">
        <w:rPr>
          <w:lang w:val="en-US"/>
        </w:rPr>
        <w:t xml:space="preserve"> summaries of each of the</w:t>
      </w:r>
      <w:r w:rsidR="00E041C7" w:rsidRPr="00813D19">
        <w:rPr>
          <w:lang w:val="en-US"/>
        </w:rPr>
        <w:t xml:space="preserve"> </w:t>
      </w:r>
      <w:r w:rsidR="00A23F4D">
        <w:rPr>
          <w:lang w:val="en-US"/>
        </w:rPr>
        <w:t>thirty-two</w:t>
      </w:r>
      <w:r w:rsidR="00A23F4D" w:rsidRPr="00813D19">
        <w:rPr>
          <w:lang w:val="en-US"/>
        </w:rPr>
        <w:t xml:space="preserve"> </w:t>
      </w:r>
      <w:r w:rsidR="00E041C7" w:rsidRPr="00813D19">
        <w:rPr>
          <w:lang w:val="en-US"/>
        </w:rPr>
        <w:t>reports received, which this year</w:t>
      </w:r>
      <w:r w:rsidRPr="00813D19">
        <w:rPr>
          <w:lang w:val="en-US"/>
        </w:rPr>
        <w:t xml:space="preserve"> correspond</w:t>
      </w:r>
      <w:r w:rsidR="00E041C7" w:rsidRPr="00813D19">
        <w:rPr>
          <w:lang w:val="en-US"/>
        </w:rPr>
        <w:t>ed</w:t>
      </w:r>
      <w:r w:rsidRPr="00813D19">
        <w:rPr>
          <w:lang w:val="en-US"/>
        </w:rPr>
        <w:t xml:space="preserve"> to the information provided by S</w:t>
      </w:r>
      <w:r w:rsidR="00E041C7" w:rsidRPr="00813D19">
        <w:rPr>
          <w:lang w:val="en-US"/>
        </w:rPr>
        <w:t xml:space="preserve">tates in </w:t>
      </w:r>
      <w:r w:rsidR="00A23F4D">
        <w:rPr>
          <w:lang w:val="en-US"/>
        </w:rPr>
        <w:t>S</w:t>
      </w:r>
      <w:r w:rsidR="00A23F4D" w:rsidRPr="00813D19">
        <w:rPr>
          <w:lang w:val="en-US"/>
        </w:rPr>
        <w:t xml:space="preserve">ection </w:t>
      </w:r>
      <w:r w:rsidR="001E69DA">
        <w:rPr>
          <w:lang w:val="en-US"/>
        </w:rPr>
        <w:t>A</w:t>
      </w:r>
      <w:r w:rsidR="00E041C7" w:rsidRPr="00813D19">
        <w:rPr>
          <w:lang w:val="en-US"/>
        </w:rPr>
        <w:t>.6</w:t>
      </w:r>
      <w:r w:rsidR="00A23F4D">
        <w:rPr>
          <w:lang w:val="en-US"/>
        </w:rPr>
        <w:t>,</w:t>
      </w:r>
      <w:r w:rsidR="00E041C7" w:rsidRPr="00813D19">
        <w:rPr>
          <w:lang w:val="en-US"/>
        </w:rPr>
        <w:t xml:space="preserve"> ‘Summary’</w:t>
      </w:r>
      <w:r w:rsidR="00A23F4D">
        <w:rPr>
          <w:lang w:val="en-US"/>
        </w:rPr>
        <w:t>,</w:t>
      </w:r>
      <w:r w:rsidRPr="00813D19">
        <w:rPr>
          <w:lang w:val="en-US"/>
        </w:rPr>
        <w:t xml:space="preserve"> o</w:t>
      </w:r>
      <w:r w:rsidR="00E041C7" w:rsidRPr="00813D19">
        <w:rPr>
          <w:lang w:val="en-US"/>
        </w:rPr>
        <w:t>f their respective reports. These</w:t>
      </w:r>
      <w:r w:rsidRPr="00813D19">
        <w:rPr>
          <w:lang w:val="en-US"/>
        </w:rPr>
        <w:t xml:space="preserve"> </w:t>
      </w:r>
      <w:r w:rsidR="00E041C7" w:rsidRPr="00813D19">
        <w:rPr>
          <w:lang w:val="en-US"/>
        </w:rPr>
        <w:t xml:space="preserve">reports </w:t>
      </w:r>
      <w:r w:rsidRPr="00813D19">
        <w:rPr>
          <w:lang w:val="en-US"/>
        </w:rPr>
        <w:t>w</w:t>
      </w:r>
      <w:r w:rsidR="00A23F4D">
        <w:rPr>
          <w:lang w:val="en-US"/>
        </w:rPr>
        <w:t>ould</w:t>
      </w:r>
      <w:r w:rsidR="00E041C7" w:rsidRPr="00813D19">
        <w:rPr>
          <w:lang w:val="en-US"/>
        </w:rPr>
        <w:t xml:space="preserve"> be published on the </w:t>
      </w:r>
      <w:r w:rsidR="00A23F4D">
        <w:rPr>
          <w:lang w:val="en-US"/>
        </w:rPr>
        <w:t xml:space="preserve">website of the </w:t>
      </w:r>
      <w:r w:rsidR="00E041C7" w:rsidRPr="00813D19">
        <w:rPr>
          <w:lang w:val="en-US"/>
        </w:rPr>
        <w:t xml:space="preserve">Convention, as well as </w:t>
      </w:r>
      <w:r w:rsidRPr="00813D19">
        <w:rPr>
          <w:lang w:val="en-US"/>
        </w:rPr>
        <w:t xml:space="preserve">the </w:t>
      </w:r>
      <w:r w:rsidR="00E041C7" w:rsidRPr="00813D19">
        <w:rPr>
          <w:lang w:val="en-US"/>
        </w:rPr>
        <w:t xml:space="preserve">summary of </w:t>
      </w:r>
      <w:r w:rsidRPr="00813D19">
        <w:rPr>
          <w:lang w:val="en-US"/>
        </w:rPr>
        <w:t>reports examined by the Committee between 2011 and 2017.</w:t>
      </w:r>
    </w:p>
    <w:p w14:paraId="0B9D2FF8" w14:textId="6AFBA3CB" w:rsidR="003701F3" w:rsidRPr="00813D19" w:rsidRDefault="008977E8"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delegation of the Philippines</w:t>
      </w:r>
      <w:r w:rsidRPr="002827E3">
        <w:rPr>
          <w:iCs/>
          <w:color w:val="000000" w:themeColor="text1"/>
          <w:lang w:val="en-US"/>
        </w:rPr>
        <w:t xml:space="preserve"> </w:t>
      </w:r>
      <w:r w:rsidR="0028239B" w:rsidRPr="002827E3">
        <w:rPr>
          <w:iCs/>
          <w:color w:val="000000" w:themeColor="text1"/>
          <w:lang w:val="en-US"/>
        </w:rPr>
        <w:t xml:space="preserve">remarked that </w:t>
      </w:r>
      <w:r w:rsidR="0028239B" w:rsidRPr="000B6D83">
        <w:rPr>
          <w:bCs/>
          <w:lang w:val="en-US"/>
        </w:rPr>
        <w:t>t</w:t>
      </w:r>
      <w:r w:rsidR="008E1D5B" w:rsidRPr="000B6D83">
        <w:rPr>
          <w:bCs/>
          <w:lang w:val="en-US"/>
        </w:rPr>
        <w:t xml:space="preserve">he periodic reports of States Parties </w:t>
      </w:r>
      <w:r w:rsidR="00412069" w:rsidRPr="000B6D83">
        <w:rPr>
          <w:bCs/>
          <w:lang w:val="en-US"/>
        </w:rPr>
        <w:t>contained</w:t>
      </w:r>
      <w:r w:rsidR="00412069" w:rsidRPr="00813D19">
        <w:rPr>
          <w:bCs/>
          <w:lang w:val="en-US"/>
        </w:rPr>
        <w:t xml:space="preserve"> </w:t>
      </w:r>
      <w:r w:rsidR="008E1D5B" w:rsidRPr="00813D19">
        <w:rPr>
          <w:bCs/>
          <w:lang w:val="en-US"/>
        </w:rPr>
        <w:t>a wealth of information that reveal</w:t>
      </w:r>
      <w:r w:rsidR="0067235B" w:rsidRPr="00813D19">
        <w:rPr>
          <w:bCs/>
          <w:lang w:val="en-US"/>
        </w:rPr>
        <w:t>ed</w:t>
      </w:r>
      <w:r w:rsidR="0028239B" w:rsidRPr="00813D19">
        <w:rPr>
          <w:bCs/>
          <w:lang w:val="en-US"/>
        </w:rPr>
        <w:t>,</w:t>
      </w:r>
      <w:r w:rsidR="008E1D5B" w:rsidRPr="00813D19">
        <w:rPr>
          <w:bCs/>
          <w:lang w:val="en-US"/>
        </w:rPr>
        <w:t xml:space="preserve"> among others</w:t>
      </w:r>
      <w:r w:rsidR="0028239B" w:rsidRPr="00813D19">
        <w:rPr>
          <w:bCs/>
          <w:lang w:val="en-US"/>
        </w:rPr>
        <w:t>,</w:t>
      </w:r>
      <w:r w:rsidR="008E1D5B" w:rsidRPr="00813D19">
        <w:rPr>
          <w:bCs/>
          <w:lang w:val="en-US"/>
        </w:rPr>
        <w:t xml:space="preserve"> common challenges that stakeholders face i</w:t>
      </w:r>
      <w:r w:rsidR="0028239B" w:rsidRPr="00813D19">
        <w:rPr>
          <w:bCs/>
          <w:lang w:val="en-US"/>
        </w:rPr>
        <w:t xml:space="preserve">n the safeguarding of elements, which was </w:t>
      </w:r>
      <w:r w:rsidR="008E1D5B" w:rsidRPr="00813D19">
        <w:rPr>
          <w:bCs/>
          <w:lang w:val="en-US"/>
        </w:rPr>
        <w:t xml:space="preserve">crucial for the future of the Convention as </w:t>
      </w:r>
      <w:r w:rsidR="0028239B" w:rsidRPr="00813D19">
        <w:rPr>
          <w:bCs/>
          <w:lang w:val="en-US"/>
        </w:rPr>
        <w:t xml:space="preserve">it </w:t>
      </w:r>
      <w:r w:rsidR="008E1D5B" w:rsidRPr="00813D19">
        <w:rPr>
          <w:bCs/>
          <w:lang w:val="en-US"/>
        </w:rPr>
        <w:t>delve</w:t>
      </w:r>
      <w:r w:rsidR="0028239B" w:rsidRPr="00813D19">
        <w:rPr>
          <w:bCs/>
          <w:lang w:val="en-US"/>
        </w:rPr>
        <w:t>d</w:t>
      </w:r>
      <w:r w:rsidR="008E1D5B" w:rsidRPr="00813D19">
        <w:rPr>
          <w:bCs/>
          <w:lang w:val="en-US"/>
        </w:rPr>
        <w:t xml:space="preserve"> into emerging issues</w:t>
      </w:r>
      <w:r w:rsidR="0028239B" w:rsidRPr="00813D19">
        <w:rPr>
          <w:bCs/>
          <w:lang w:val="en-US"/>
        </w:rPr>
        <w:t>,</w:t>
      </w:r>
      <w:r w:rsidR="008E1D5B" w:rsidRPr="00813D19">
        <w:rPr>
          <w:bCs/>
          <w:lang w:val="en-US"/>
        </w:rPr>
        <w:t xml:space="preserve"> such as the monitoring of elements </w:t>
      </w:r>
      <w:r w:rsidR="0028239B" w:rsidRPr="00813D19">
        <w:rPr>
          <w:bCs/>
          <w:lang w:val="en-US"/>
        </w:rPr>
        <w:t>post-</w:t>
      </w:r>
      <w:r w:rsidR="008E1D5B" w:rsidRPr="00813D19">
        <w:rPr>
          <w:bCs/>
          <w:lang w:val="en-US"/>
        </w:rPr>
        <w:t xml:space="preserve">inscription. As the periodic reporting procedure </w:t>
      </w:r>
      <w:r w:rsidR="0028239B" w:rsidRPr="00813D19">
        <w:rPr>
          <w:bCs/>
          <w:lang w:val="en-US"/>
        </w:rPr>
        <w:t xml:space="preserve">is aligned </w:t>
      </w:r>
      <w:r w:rsidR="008E1D5B" w:rsidRPr="00813D19">
        <w:rPr>
          <w:bCs/>
          <w:lang w:val="en-US"/>
        </w:rPr>
        <w:t>with the overall results framework</w:t>
      </w:r>
      <w:r w:rsidR="0028239B" w:rsidRPr="00813D19">
        <w:rPr>
          <w:bCs/>
          <w:lang w:val="en-US"/>
        </w:rPr>
        <w:t>,</w:t>
      </w:r>
      <w:r w:rsidR="008E1D5B" w:rsidRPr="00813D19">
        <w:rPr>
          <w:bCs/>
          <w:lang w:val="en-US"/>
        </w:rPr>
        <w:t xml:space="preserve"> </w:t>
      </w:r>
      <w:r w:rsidR="0028239B" w:rsidRPr="00813D19">
        <w:rPr>
          <w:bCs/>
          <w:lang w:val="en-US"/>
        </w:rPr>
        <w:t xml:space="preserve">the Committee </w:t>
      </w:r>
      <w:r w:rsidR="008E1D5B" w:rsidRPr="00813D19">
        <w:rPr>
          <w:bCs/>
          <w:lang w:val="en-US"/>
        </w:rPr>
        <w:t xml:space="preserve">might also ponder how the reporting process </w:t>
      </w:r>
      <w:r w:rsidR="00412069" w:rsidRPr="00813D19">
        <w:rPr>
          <w:bCs/>
          <w:lang w:val="en-US"/>
        </w:rPr>
        <w:t>c</w:t>
      </w:r>
      <w:r w:rsidR="00412069">
        <w:rPr>
          <w:bCs/>
          <w:lang w:val="en-US"/>
        </w:rPr>
        <w:t>ould</w:t>
      </w:r>
      <w:r w:rsidR="00412069" w:rsidRPr="00813D19">
        <w:rPr>
          <w:bCs/>
          <w:lang w:val="en-US"/>
        </w:rPr>
        <w:t xml:space="preserve"> </w:t>
      </w:r>
      <w:r w:rsidR="008E1D5B" w:rsidRPr="00813D19">
        <w:rPr>
          <w:bCs/>
          <w:lang w:val="en-US"/>
        </w:rPr>
        <w:t>be made more meaningful for all parties concerned and not just a</w:t>
      </w:r>
      <w:r w:rsidR="0028239B" w:rsidRPr="00813D19">
        <w:rPr>
          <w:bCs/>
          <w:lang w:val="en-US"/>
        </w:rPr>
        <w:t xml:space="preserve">s an </w:t>
      </w:r>
      <w:r w:rsidR="008E1D5B" w:rsidRPr="00813D19">
        <w:rPr>
          <w:bCs/>
          <w:lang w:val="en-US"/>
        </w:rPr>
        <w:t>obligation</w:t>
      </w:r>
      <w:r w:rsidR="0028239B" w:rsidRPr="00813D19">
        <w:rPr>
          <w:bCs/>
          <w:lang w:val="en-US"/>
        </w:rPr>
        <w:t>,</w:t>
      </w:r>
      <w:r w:rsidR="008E1D5B" w:rsidRPr="00813D19">
        <w:rPr>
          <w:bCs/>
          <w:lang w:val="en-US"/>
        </w:rPr>
        <w:t xml:space="preserve"> and </w:t>
      </w:r>
      <w:r w:rsidR="0028239B" w:rsidRPr="00813D19">
        <w:rPr>
          <w:bCs/>
          <w:lang w:val="en-US"/>
        </w:rPr>
        <w:t xml:space="preserve">beyond simply taking </w:t>
      </w:r>
      <w:r w:rsidR="008E1D5B" w:rsidRPr="00813D19">
        <w:rPr>
          <w:bCs/>
          <w:lang w:val="en-US"/>
        </w:rPr>
        <w:t xml:space="preserve">note </w:t>
      </w:r>
      <w:r w:rsidR="0028239B" w:rsidRPr="00813D19">
        <w:rPr>
          <w:bCs/>
          <w:lang w:val="en-US"/>
        </w:rPr>
        <w:t xml:space="preserve">and transmitting the report </w:t>
      </w:r>
      <w:r w:rsidR="008E1D5B" w:rsidRPr="00813D19">
        <w:rPr>
          <w:bCs/>
          <w:lang w:val="en-US"/>
        </w:rPr>
        <w:t xml:space="preserve">to the General Assembly. The Committee might consider giving more detailed and interactive feedback to States Parties. </w:t>
      </w:r>
      <w:r w:rsidR="0028239B" w:rsidRPr="00813D19">
        <w:rPr>
          <w:bCs/>
          <w:lang w:val="en-US"/>
        </w:rPr>
        <w:t xml:space="preserve">In addition to </w:t>
      </w:r>
      <w:r w:rsidR="008E1D5B" w:rsidRPr="00813D19">
        <w:rPr>
          <w:bCs/>
          <w:lang w:val="en-US"/>
        </w:rPr>
        <w:t xml:space="preserve">the synthesis provided by the Secretariat, there </w:t>
      </w:r>
      <w:r w:rsidR="0028239B" w:rsidRPr="00813D19">
        <w:rPr>
          <w:bCs/>
          <w:lang w:val="en-US"/>
        </w:rPr>
        <w:t xml:space="preserve">could </w:t>
      </w:r>
      <w:r w:rsidR="008E1D5B" w:rsidRPr="00813D19">
        <w:rPr>
          <w:bCs/>
          <w:lang w:val="en-US"/>
        </w:rPr>
        <w:t>be a better way to distil and discuss best practices and lessons l</w:t>
      </w:r>
      <w:r w:rsidR="0028239B" w:rsidRPr="00813D19">
        <w:rPr>
          <w:bCs/>
          <w:lang w:val="en-US"/>
        </w:rPr>
        <w:t>earned from the various reports.</w:t>
      </w:r>
      <w:r w:rsidR="008E1D5B" w:rsidRPr="00813D19">
        <w:rPr>
          <w:bCs/>
          <w:lang w:val="en-US"/>
        </w:rPr>
        <w:t xml:space="preserve"> </w:t>
      </w:r>
      <w:r w:rsidR="0028239B" w:rsidRPr="00813D19">
        <w:rPr>
          <w:bCs/>
          <w:lang w:val="en-US"/>
        </w:rPr>
        <w:t xml:space="preserve">The delegation wondered whether </w:t>
      </w:r>
      <w:r w:rsidR="008E1D5B" w:rsidRPr="00813D19">
        <w:rPr>
          <w:bCs/>
          <w:lang w:val="en-US"/>
        </w:rPr>
        <w:t xml:space="preserve">this </w:t>
      </w:r>
      <w:r w:rsidR="0028239B" w:rsidRPr="00813D19">
        <w:rPr>
          <w:bCs/>
          <w:lang w:val="en-US"/>
        </w:rPr>
        <w:t>could be an area for accredited NGOs. Also, t</w:t>
      </w:r>
      <w:r w:rsidR="008E1D5B" w:rsidRPr="00813D19">
        <w:rPr>
          <w:bCs/>
          <w:lang w:val="en-US"/>
        </w:rPr>
        <w:t>aking inspiration from other international bodies</w:t>
      </w:r>
      <w:r w:rsidR="0028239B" w:rsidRPr="00813D19">
        <w:rPr>
          <w:bCs/>
          <w:lang w:val="en-US"/>
        </w:rPr>
        <w:t>,</w:t>
      </w:r>
      <w:r w:rsidR="008E1D5B" w:rsidRPr="00813D19">
        <w:rPr>
          <w:bCs/>
          <w:lang w:val="en-US"/>
        </w:rPr>
        <w:t xml:space="preserve"> </w:t>
      </w:r>
      <w:r w:rsidR="0067235B" w:rsidRPr="00813D19">
        <w:rPr>
          <w:bCs/>
          <w:lang w:val="en-US"/>
        </w:rPr>
        <w:t xml:space="preserve">a </w:t>
      </w:r>
      <w:r w:rsidR="008E1D5B" w:rsidRPr="00813D19">
        <w:rPr>
          <w:bCs/>
          <w:lang w:val="en-US"/>
        </w:rPr>
        <w:t xml:space="preserve">peer review system </w:t>
      </w:r>
      <w:r w:rsidR="0067235B" w:rsidRPr="00813D19">
        <w:rPr>
          <w:bCs/>
          <w:lang w:val="en-US"/>
        </w:rPr>
        <w:t xml:space="preserve">could </w:t>
      </w:r>
      <w:r w:rsidR="008E1D5B" w:rsidRPr="00813D19">
        <w:rPr>
          <w:bCs/>
          <w:lang w:val="en-US"/>
        </w:rPr>
        <w:t xml:space="preserve">be </w:t>
      </w:r>
      <w:r w:rsidR="0028239B" w:rsidRPr="00813D19">
        <w:rPr>
          <w:bCs/>
          <w:lang w:val="en-US"/>
        </w:rPr>
        <w:t xml:space="preserve">applied </w:t>
      </w:r>
      <w:r w:rsidR="008E1D5B" w:rsidRPr="00813D19">
        <w:rPr>
          <w:bCs/>
          <w:lang w:val="en-US"/>
        </w:rPr>
        <w:t xml:space="preserve">in which the Committee would review </w:t>
      </w:r>
      <w:r w:rsidR="0028239B" w:rsidRPr="00813D19">
        <w:rPr>
          <w:bCs/>
          <w:lang w:val="en-US"/>
        </w:rPr>
        <w:t xml:space="preserve">the </w:t>
      </w:r>
      <w:r w:rsidR="008E1D5B" w:rsidRPr="00813D19">
        <w:rPr>
          <w:bCs/>
          <w:lang w:val="en-US"/>
        </w:rPr>
        <w:t xml:space="preserve">periodic reports </w:t>
      </w:r>
      <w:r w:rsidR="0028239B" w:rsidRPr="00813D19">
        <w:rPr>
          <w:bCs/>
          <w:lang w:val="en-US"/>
        </w:rPr>
        <w:t xml:space="preserve">and adopt observations, which may </w:t>
      </w:r>
      <w:r w:rsidR="008E1D5B" w:rsidRPr="00813D19">
        <w:rPr>
          <w:bCs/>
          <w:lang w:val="en-US"/>
        </w:rPr>
        <w:t>help move the</w:t>
      </w:r>
      <w:r w:rsidR="0028239B" w:rsidRPr="00813D19">
        <w:rPr>
          <w:bCs/>
          <w:lang w:val="en-US"/>
        </w:rPr>
        <w:t xml:space="preserve"> paradigm from focusing on the L</w:t>
      </w:r>
      <w:r w:rsidR="008E1D5B" w:rsidRPr="00813D19">
        <w:rPr>
          <w:bCs/>
          <w:lang w:val="en-US"/>
        </w:rPr>
        <w:t>ists to zeroing in on outc</w:t>
      </w:r>
      <w:r w:rsidR="0016273D">
        <w:rPr>
          <w:bCs/>
          <w:lang w:val="en-US"/>
        </w:rPr>
        <w:t>omes and results on the ground.</w:t>
      </w:r>
    </w:p>
    <w:p w14:paraId="00C8B1B8" w14:textId="3A3A29FF" w:rsidR="004212CA" w:rsidRPr="00813D19" w:rsidRDefault="004212CA"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delegation of Austria</w:t>
      </w:r>
      <w:r w:rsidR="003A296D" w:rsidRPr="002827E3">
        <w:rPr>
          <w:b/>
          <w:iCs/>
          <w:color w:val="000000" w:themeColor="text1"/>
          <w:lang w:val="en-US"/>
        </w:rPr>
        <w:t xml:space="preserve"> </w:t>
      </w:r>
      <w:r w:rsidR="003A296D" w:rsidRPr="000B6D83">
        <w:rPr>
          <w:bCs/>
          <w:lang w:val="en-US"/>
        </w:rPr>
        <w:t>join</w:t>
      </w:r>
      <w:r w:rsidR="008137EF" w:rsidRPr="000B6D83">
        <w:rPr>
          <w:bCs/>
          <w:lang w:val="en-US"/>
        </w:rPr>
        <w:t>ed</w:t>
      </w:r>
      <w:r w:rsidR="003A296D" w:rsidRPr="00813D19">
        <w:rPr>
          <w:bCs/>
          <w:lang w:val="en-US"/>
        </w:rPr>
        <w:t xml:space="preserve"> the Philippines in commending all States Parties who </w:t>
      </w:r>
      <w:r w:rsidR="008137EF" w:rsidRPr="00813D19">
        <w:rPr>
          <w:bCs/>
          <w:lang w:val="en-US"/>
        </w:rPr>
        <w:t xml:space="preserve">had </w:t>
      </w:r>
      <w:r w:rsidR="003A296D" w:rsidRPr="00813D19">
        <w:rPr>
          <w:bCs/>
          <w:lang w:val="en-US"/>
        </w:rPr>
        <w:t>submitted their reports on time</w:t>
      </w:r>
      <w:r w:rsidR="008137EF" w:rsidRPr="00813D19">
        <w:rPr>
          <w:bCs/>
          <w:lang w:val="en-US"/>
        </w:rPr>
        <w:t>,</w:t>
      </w:r>
      <w:r w:rsidR="003A296D" w:rsidRPr="00813D19">
        <w:rPr>
          <w:bCs/>
          <w:lang w:val="en-US"/>
        </w:rPr>
        <w:t xml:space="preserve"> and also </w:t>
      </w:r>
      <w:r w:rsidR="008137EF" w:rsidRPr="00813D19">
        <w:rPr>
          <w:bCs/>
          <w:lang w:val="en-US"/>
        </w:rPr>
        <w:t>the Secretariat for the in</w:t>
      </w:r>
      <w:r w:rsidR="00412069">
        <w:rPr>
          <w:bCs/>
          <w:lang w:val="en-US"/>
        </w:rPr>
        <w:t>-</w:t>
      </w:r>
      <w:r w:rsidR="003A296D" w:rsidRPr="00813D19">
        <w:rPr>
          <w:bCs/>
          <w:lang w:val="en-US"/>
        </w:rPr>
        <w:t xml:space="preserve">depth overview of the reports. These reports </w:t>
      </w:r>
      <w:r w:rsidR="008137EF" w:rsidRPr="00813D19">
        <w:rPr>
          <w:bCs/>
          <w:lang w:val="en-US"/>
        </w:rPr>
        <w:t>were not only an</w:t>
      </w:r>
      <w:r w:rsidR="003A296D" w:rsidRPr="00813D19">
        <w:rPr>
          <w:bCs/>
          <w:lang w:val="en-US"/>
        </w:rPr>
        <w:t xml:space="preserve"> essential tool for the Committee to fulfil one of </w:t>
      </w:r>
      <w:r w:rsidR="008137EF" w:rsidRPr="00813D19">
        <w:rPr>
          <w:bCs/>
          <w:lang w:val="en-US"/>
        </w:rPr>
        <w:t xml:space="preserve">its </w:t>
      </w:r>
      <w:r w:rsidR="003A296D" w:rsidRPr="00813D19">
        <w:rPr>
          <w:bCs/>
          <w:lang w:val="en-US"/>
        </w:rPr>
        <w:t>co-functions</w:t>
      </w:r>
      <w:r w:rsidR="008137EF" w:rsidRPr="00813D19">
        <w:rPr>
          <w:bCs/>
          <w:lang w:val="en-US"/>
        </w:rPr>
        <w:t>, as mentioned in Article 7, b</w:t>
      </w:r>
      <w:r w:rsidR="003A296D" w:rsidRPr="00813D19">
        <w:rPr>
          <w:bCs/>
          <w:lang w:val="en-US"/>
        </w:rPr>
        <w:t xml:space="preserve">ut </w:t>
      </w:r>
      <w:r w:rsidR="00412069">
        <w:rPr>
          <w:bCs/>
          <w:lang w:val="en-US"/>
        </w:rPr>
        <w:t>could</w:t>
      </w:r>
      <w:r w:rsidR="003A296D" w:rsidRPr="00813D19">
        <w:rPr>
          <w:bCs/>
          <w:lang w:val="en-US"/>
        </w:rPr>
        <w:t xml:space="preserve"> also be used as primary sources for scientific, technical and artistic studies. Looking at the 2018 reports, they </w:t>
      </w:r>
      <w:r w:rsidR="0067235B" w:rsidRPr="00813D19">
        <w:rPr>
          <w:bCs/>
          <w:lang w:val="en-US"/>
        </w:rPr>
        <w:t>were</w:t>
      </w:r>
      <w:r w:rsidR="003A296D" w:rsidRPr="00813D19">
        <w:rPr>
          <w:bCs/>
          <w:lang w:val="en-US"/>
        </w:rPr>
        <w:t xml:space="preserve"> also a valuable source of information for current thematic priorities</w:t>
      </w:r>
      <w:r w:rsidR="008137EF" w:rsidRPr="00813D19">
        <w:rPr>
          <w:bCs/>
          <w:lang w:val="en-US"/>
        </w:rPr>
        <w:t>,</w:t>
      </w:r>
      <w:r w:rsidR="003A296D" w:rsidRPr="00813D19">
        <w:rPr>
          <w:bCs/>
          <w:lang w:val="en-US"/>
        </w:rPr>
        <w:t xml:space="preserve"> such as </w:t>
      </w:r>
      <w:r w:rsidR="008137EF" w:rsidRPr="00813D19">
        <w:rPr>
          <w:bCs/>
          <w:lang w:val="en-US"/>
        </w:rPr>
        <w:t xml:space="preserve">intangible cultural heritage in education, </w:t>
      </w:r>
      <w:r w:rsidR="003A296D" w:rsidRPr="00813D19">
        <w:rPr>
          <w:bCs/>
          <w:lang w:val="en-US"/>
        </w:rPr>
        <w:t>experience</w:t>
      </w:r>
      <w:r w:rsidR="00412069">
        <w:rPr>
          <w:bCs/>
          <w:lang w:val="en-US"/>
        </w:rPr>
        <w:t>-</w:t>
      </w:r>
      <w:r w:rsidR="003A296D" w:rsidRPr="00813D19">
        <w:rPr>
          <w:bCs/>
          <w:lang w:val="en-US"/>
        </w:rPr>
        <w:t>oriented approaches</w:t>
      </w:r>
      <w:r w:rsidR="0067235B" w:rsidRPr="00813D19">
        <w:rPr>
          <w:bCs/>
          <w:lang w:val="en-US"/>
        </w:rPr>
        <w:t>,</w:t>
      </w:r>
      <w:r w:rsidR="003A296D" w:rsidRPr="00813D19">
        <w:rPr>
          <w:bCs/>
          <w:lang w:val="en-US"/>
        </w:rPr>
        <w:t xml:space="preserve"> or summer schools </w:t>
      </w:r>
      <w:r w:rsidR="00412069">
        <w:rPr>
          <w:bCs/>
          <w:lang w:val="en-US"/>
        </w:rPr>
        <w:t>on</w:t>
      </w:r>
      <w:r w:rsidR="00412069" w:rsidRPr="00813D19">
        <w:rPr>
          <w:bCs/>
          <w:lang w:val="en-US"/>
        </w:rPr>
        <w:t xml:space="preserve"> </w:t>
      </w:r>
      <w:r w:rsidR="008137EF" w:rsidRPr="00813D19">
        <w:rPr>
          <w:bCs/>
          <w:lang w:val="en-US"/>
        </w:rPr>
        <w:t xml:space="preserve">intangible cultural heritage </w:t>
      </w:r>
      <w:r w:rsidR="003A296D" w:rsidRPr="00813D19">
        <w:rPr>
          <w:bCs/>
          <w:lang w:val="en-US"/>
        </w:rPr>
        <w:t>management. The reports further contain</w:t>
      </w:r>
      <w:r w:rsidR="008137EF" w:rsidRPr="00813D19">
        <w:rPr>
          <w:bCs/>
          <w:lang w:val="en-US"/>
        </w:rPr>
        <w:t>ed</w:t>
      </w:r>
      <w:r w:rsidR="003A296D" w:rsidRPr="00813D19">
        <w:rPr>
          <w:bCs/>
          <w:lang w:val="en-US"/>
        </w:rPr>
        <w:t xml:space="preserve"> options for </w:t>
      </w:r>
      <w:r w:rsidR="008137EF" w:rsidRPr="00813D19">
        <w:rPr>
          <w:bCs/>
          <w:lang w:val="en-US"/>
        </w:rPr>
        <w:t xml:space="preserve">NGO </w:t>
      </w:r>
      <w:r w:rsidR="003A296D" w:rsidRPr="00813D19">
        <w:rPr>
          <w:bCs/>
          <w:lang w:val="en-US"/>
        </w:rPr>
        <w:t xml:space="preserve">participation in the implementation of the Convention </w:t>
      </w:r>
      <w:r w:rsidR="008137EF" w:rsidRPr="00813D19">
        <w:rPr>
          <w:bCs/>
          <w:lang w:val="en-US"/>
        </w:rPr>
        <w:t>at the national level</w:t>
      </w:r>
      <w:r w:rsidR="003A296D" w:rsidRPr="00813D19">
        <w:rPr>
          <w:bCs/>
          <w:lang w:val="en-US"/>
        </w:rPr>
        <w:t>. Another benefit of the report</w:t>
      </w:r>
      <w:r w:rsidR="008137EF" w:rsidRPr="00813D19">
        <w:rPr>
          <w:bCs/>
          <w:lang w:val="en-US"/>
        </w:rPr>
        <w:t>s</w:t>
      </w:r>
      <w:r w:rsidR="003A296D" w:rsidRPr="00813D19">
        <w:rPr>
          <w:bCs/>
          <w:lang w:val="en-US"/>
        </w:rPr>
        <w:t xml:space="preserve"> is that they </w:t>
      </w:r>
      <w:r w:rsidR="008137EF" w:rsidRPr="00813D19">
        <w:rPr>
          <w:bCs/>
          <w:lang w:val="en-US"/>
        </w:rPr>
        <w:t xml:space="preserve">somehow </w:t>
      </w:r>
      <w:r w:rsidR="003A296D" w:rsidRPr="00813D19">
        <w:rPr>
          <w:bCs/>
          <w:lang w:val="en-US"/>
        </w:rPr>
        <w:t>mirror the impact of International Assistance, for exa</w:t>
      </w:r>
      <w:r w:rsidR="0067235B" w:rsidRPr="00813D19">
        <w:rPr>
          <w:bCs/>
          <w:lang w:val="en-US"/>
        </w:rPr>
        <w:t>mple</w:t>
      </w:r>
      <w:r w:rsidR="008137EF" w:rsidRPr="00813D19">
        <w:rPr>
          <w:bCs/>
          <w:lang w:val="en-US"/>
        </w:rPr>
        <w:t xml:space="preserve"> in the field of inventorying</w:t>
      </w:r>
      <w:r w:rsidR="003A296D" w:rsidRPr="00813D19">
        <w:rPr>
          <w:bCs/>
          <w:lang w:val="en-US"/>
        </w:rPr>
        <w:t xml:space="preserve">. </w:t>
      </w:r>
      <w:r w:rsidR="008137EF" w:rsidRPr="00813D19">
        <w:rPr>
          <w:bCs/>
          <w:lang w:val="en-US"/>
        </w:rPr>
        <w:t xml:space="preserve">Another point concerned </w:t>
      </w:r>
      <w:r w:rsidR="003A296D" w:rsidRPr="00813D19">
        <w:rPr>
          <w:bCs/>
          <w:lang w:val="en-US"/>
        </w:rPr>
        <w:t>the update on the current status of elements inscr</w:t>
      </w:r>
      <w:r w:rsidR="008137EF" w:rsidRPr="00813D19">
        <w:rPr>
          <w:bCs/>
          <w:lang w:val="en-US"/>
        </w:rPr>
        <w:t>ibed on the Representative List,</w:t>
      </w:r>
      <w:r w:rsidR="003A296D" w:rsidRPr="00813D19">
        <w:rPr>
          <w:bCs/>
          <w:lang w:val="en-US"/>
        </w:rPr>
        <w:t xml:space="preserve"> </w:t>
      </w:r>
      <w:r w:rsidR="008137EF" w:rsidRPr="00813D19">
        <w:rPr>
          <w:bCs/>
          <w:lang w:val="en-US"/>
        </w:rPr>
        <w:t xml:space="preserve">in which </w:t>
      </w:r>
      <w:r w:rsidR="003A296D" w:rsidRPr="00813D19">
        <w:rPr>
          <w:bCs/>
          <w:lang w:val="en-US"/>
        </w:rPr>
        <w:t xml:space="preserve">Austria </w:t>
      </w:r>
      <w:r w:rsidR="008137EF" w:rsidRPr="00813D19">
        <w:rPr>
          <w:bCs/>
          <w:lang w:val="en-US"/>
        </w:rPr>
        <w:t xml:space="preserve">had </w:t>
      </w:r>
      <w:r w:rsidR="003A296D" w:rsidRPr="00813D19">
        <w:rPr>
          <w:bCs/>
          <w:lang w:val="en-US"/>
        </w:rPr>
        <w:t xml:space="preserve">repeatedly raised concerns about the missing updates, which should contain a reflection on </w:t>
      </w:r>
      <w:r w:rsidR="008137EF" w:rsidRPr="00813D19">
        <w:rPr>
          <w:bCs/>
          <w:lang w:val="en-US"/>
        </w:rPr>
        <w:t xml:space="preserve">any </w:t>
      </w:r>
      <w:r w:rsidR="003A296D" w:rsidRPr="00813D19">
        <w:rPr>
          <w:bCs/>
          <w:lang w:val="en-US"/>
        </w:rPr>
        <w:t xml:space="preserve">changing factors that might affect the status of an inscribed element. </w:t>
      </w:r>
      <w:r w:rsidR="008137EF" w:rsidRPr="00813D19">
        <w:rPr>
          <w:bCs/>
          <w:lang w:val="en-US"/>
        </w:rPr>
        <w:t xml:space="preserve">The delegation </w:t>
      </w:r>
      <w:r w:rsidR="003A296D" w:rsidRPr="00813D19">
        <w:rPr>
          <w:bCs/>
          <w:lang w:val="en-US"/>
        </w:rPr>
        <w:t xml:space="preserve">therefore </w:t>
      </w:r>
      <w:r w:rsidR="008137EF" w:rsidRPr="00813D19">
        <w:rPr>
          <w:bCs/>
          <w:lang w:val="en-US"/>
        </w:rPr>
        <w:t xml:space="preserve">greatly </w:t>
      </w:r>
      <w:r w:rsidR="003A296D" w:rsidRPr="00813D19">
        <w:rPr>
          <w:bCs/>
          <w:lang w:val="en-US"/>
        </w:rPr>
        <w:t>appreciate</w:t>
      </w:r>
      <w:r w:rsidR="008137EF" w:rsidRPr="00813D19">
        <w:rPr>
          <w:bCs/>
          <w:lang w:val="en-US"/>
        </w:rPr>
        <w:t>d</w:t>
      </w:r>
      <w:r w:rsidR="003A296D" w:rsidRPr="00813D19">
        <w:rPr>
          <w:bCs/>
          <w:lang w:val="en-US"/>
        </w:rPr>
        <w:t xml:space="preserve"> the generous contribution of Japan to the Fund, which </w:t>
      </w:r>
      <w:r w:rsidR="00412069" w:rsidRPr="00813D19">
        <w:rPr>
          <w:bCs/>
          <w:lang w:val="en-US"/>
        </w:rPr>
        <w:t>w</w:t>
      </w:r>
      <w:r w:rsidR="00412069">
        <w:rPr>
          <w:bCs/>
          <w:lang w:val="en-US"/>
        </w:rPr>
        <w:t>ould</w:t>
      </w:r>
      <w:r w:rsidR="00412069" w:rsidRPr="00813D19">
        <w:rPr>
          <w:bCs/>
          <w:lang w:val="en-US"/>
        </w:rPr>
        <w:t xml:space="preserve"> </w:t>
      </w:r>
      <w:r w:rsidR="008137EF" w:rsidRPr="00813D19">
        <w:rPr>
          <w:bCs/>
          <w:lang w:val="en-US"/>
        </w:rPr>
        <w:t>provide</w:t>
      </w:r>
      <w:r w:rsidR="003A296D" w:rsidRPr="00813D19">
        <w:rPr>
          <w:bCs/>
          <w:lang w:val="en-US"/>
        </w:rPr>
        <w:t xml:space="preserve"> an excellent starting point for an inclusive reflection process on </w:t>
      </w:r>
      <w:r w:rsidR="008137EF" w:rsidRPr="00813D19">
        <w:rPr>
          <w:bCs/>
          <w:lang w:val="en-US"/>
        </w:rPr>
        <w:t xml:space="preserve">the </w:t>
      </w:r>
      <w:r w:rsidR="0016273D">
        <w:rPr>
          <w:bCs/>
          <w:lang w:val="en-US"/>
        </w:rPr>
        <w:t>listing mechanism.</w:t>
      </w:r>
    </w:p>
    <w:p w14:paraId="4112F26F" w14:textId="6280B024" w:rsidR="004212CA" w:rsidRPr="00813D19" w:rsidRDefault="004212CA"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 xml:space="preserve">delegation of </w:t>
      </w:r>
      <w:r w:rsidR="0067382B" w:rsidRPr="002827E3">
        <w:rPr>
          <w:b/>
          <w:iCs/>
          <w:color w:val="000000" w:themeColor="text1"/>
          <w:lang w:val="en-US"/>
        </w:rPr>
        <w:t>Jamaica</w:t>
      </w:r>
      <w:r w:rsidR="00B96ED5" w:rsidRPr="002827E3">
        <w:rPr>
          <w:b/>
          <w:iCs/>
          <w:color w:val="000000" w:themeColor="text1"/>
          <w:lang w:val="en-US"/>
        </w:rPr>
        <w:t xml:space="preserve"> </w:t>
      </w:r>
      <w:r w:rsidR="00B96ED5" w:rsidRPr="000B6D83">
        <w:rPr>
          <w:bCs/>
          <w:lang w:val="en-US"/>
        </w:rPr>
        <w:t>express</w:t>
      </w:r>
      <w:r w:rsidR="008137EF" w:rsidRPr="000B6D83">
        <w:rPr>
          <w:bCs/>
          <w:lang w:val="en-US"/>
        </w:rPr>
        <w:t>ed</w:t>
      </w:r>
      <w:r w:rsidR="00B96ED5" w:rsidRPr="00813D19">
        <w:rPr>
          <w:bCs/>
          <w:lang w:val="en-US"/>
        </w:rPr>
        <w:t xml:space="preserve"> gratitude to UNESCO for facilitating </w:t>
      </w:r>
      <w:r w:rsidR="008137EF" w:rsidRPr="00813D19">
        <w:rPr>
          <w:bCs/>
          <w:lang w:val="en-US"/>
        </w:rPr>
        <w:t xml:space="preserve">its </w:t>
      </w:r>
      <w:r w:rsidR="00B96ED5" w:rsidRPr="00813D19">
        <w:rPr>
          <w:bCs/>
          <w:lang w:val="en-US"/>
        </w:rPr>
        <w:t xml:space="preserve">participation in this </w:t>
      </w:r>
      <w:r w:rsidR="008137EF" w:rsidRPr="00813D19">
        <w:rPr>
          <w:bCs/>
          <w:lang w:val="en-US"/>
        </w:rPr>
        <w:t xml:space="preserve">session </w:t>
      </w:r>
      <w:r w:rsidR="00B96ED5" w:rsidRPr="00813D19">
        <w:rPr>
          <w:bCs/>
          <w:lang w:val="en-US"/>
        </w:rPr>
        <w:t xml:space="preserve">and also </w:t>
      </w:r>
      <w:r w:rsidR="00412069">
        <w:rPr>
          <w:bCs/>
          <w:lang w:val="en-US"/>
        </w:rPr>
        <w:t xml:space="preserve">to </w:t>
      </w:r>
      <w:r w:rsidR="008137EF" w:rsidRPr="00813D19">
        <w:rPr>
          <w:bCs/>
          <w:lang w:val="en-US"/>
        </w:rPr>
        <w:t xml:space="preserve">the </w:t>
      </w:r>
      <w:r w:rsidR="00B96ED5" w:rsidRPr="00813D19">
        <w:rPr>
          <w:bCs/>
          <w:lang w:val="en-US"/>
        </w:rPr>
        <w:t xml:space="preserve">hosts for the generosity of their welcome. </w:t>
      </w:r>
      <w:r w:rsidR="00F15705" w:rsidRPr="00813D19">
        <w:rPr>
          <w:bCs/>
          <w:lang w:val="en-US"/>
        </w:rPr>
        <w:t xml:space="preserve">The delegation </w:t>
      </w:r>
      <w:r w:rsidR="00412069">
        <w:rPr>
          <w:bCs/>
          <w:lang w:val="en-US"/>
        </w:rPr>
        <w:t xml:space="preserve">had </w:t>
      </w:r>
      <w:r w:rsidR="00F15705" w:rsidRPr="00813D19">
        <w:rPr>
          <w:bCs/>
          <w:lang w:val="en-US"/>
        </w:rPr>
        <w:t>found the exercise of drafting the report</w:t>
      </w:r>
      <w:r w:rsidR="00412069" w:rsidRPr="00412069">
        <w:rPr>
          <w:bCs/>
          <w:lang w:val="en-US"/>
        </w:rPr>
        <w:t xml:space="preserve"> </w:t>
      </w:r>
      <w:r w:rsidR="00412069" w:rsidRPr="00813D19">
        <w:rPr>
          <w:bCs/>
          <w:lang w:val="en-US"/>
        </w:rPr>
        <w:t>interesting</w:t>
      </w:r>
      <w:r w:rsidR="00412069">
        <w:rPr>
          <w:bCs/>
          <w:lang w:val="en-US"/>
        </w:rPr>
        <w:t>;</w:t>
      </w:r>
      <w:r w:rsidR="00F15705" w:rsidRPr="00813D19">
        <w:rPr>
          <w:bCs/>
          <w:lang w:val="en-US"/>
        </w:rPr>
        <w:t xml:space="preserve"> </w:t>
      </w:r>
      <w:r w:rsidR="00412069">
        <w:rPr>
          <w:bCs/>
          <w:lang w:val="en-US"/>
        </w:rPr>
        <w:t>it</w:t>
      </w:r>
      <w:r w:rsidR="00412069" w:rsidRPr="00813D19">
        <w:rPr>
          <w:bCs/>
          <w:lang w:val="en-US"/>
        </w:rPr>
        <w:t xml:space="preserve"> </w:t>
      </w:r>
      <w:r w:rsidR="00B96ED5" w:rsidRPr="00813D19">
        <w:rPr>
          <w:bCs/>
          <w:lang w:val="en-US"/>
        </w:rPr>
        <w:t xml:space="preserve">was the first time </w:t>
      </w:r>
      <w:r w:rsidR="00F15705" w:rsidRPr="00813D19">
        <w:rPr>
          <w:bCs/>
          <w:lang w:val="en-US"/>
        </w:rPr>
        <w:t xml:space="preserve">it </w:t>
      </w:r>
      <w:r w:rsidR="00B96ED5" w:rsidRPr="00813D19">
        <w:rPr>
          <w:bCs/>
          <w:lang w:val="en-US"/>
        </w:rPr>
        <w:t>had</w:t>
      </w:r>
      <w:r w:rsidR="00412069">
        <w:rPr>
          <w:bCs/>
          <w:lang w:val="en-US"/>
        </w:rPr>
        <w:t xml:space="preserve"> had</w:t>
      </w:r>
      <w:r w:rsidR="00B96ED5" w:rsidRPr="00813D19">
        <w:rPr>
          <w:bCs/>
          <w:lang w:val="en-US"/>
        </w:rPr>
        <w:t xml:space="preserve"> to report on the element inscribed, </w:t>
      </w:r>
      <w:r w:rsidR="00914894" w:rsidRPr="00813D19">
        <w:rPr>
          <w:bCs/>
          <w:lang w:val="en-US"/>
        </w:rPr>
        <w:t xml:space="preserve">Maroon </w:t>
      </w:r>
      <w:r w:rsidR="00B96ED5" w:rsidRPr="00813D19">
        <w:rPr>
          <w:bCs/>
          <w:lang w:val="en-US"/>
        </w:rPr>
        <w:t xml:space="preserve">heritage of Moore Town. </w:t>
      </w:r>
      <w:r w:rsidR="00914894" w:rsidRPr="00813D19">
        <w:rPr>
          <w:bCs/>
          <w:lang w:val="en-US"/>
        </w:rPr>
        <w:t>In addition to its obligation in keeping with the requirements of the Convention, i</w:t>
      </w:r>
      <w:r w:rsidR="00B96ED5" w:rsidRPr="00813D19">
        <w:rPr>
          <w:bCs/>
          <w:lang w:val="en-US"/>
        </w:rPr>
        <w:t xml:space="preserve">t </w:t>
      </w:r>
      <w:r w:rsidR="00914894" w:rsidRPr="00813D19">
        <w:rPr>
          <w:bCs/>
          <w:lang w:val="en-US"/>
        </w:rPr>
        <w:t xml:space="preserve">had </w:t>
      </w:r>
      <w:r w:rsidR="00B96ED5" w:rsidRPr="00813D19">
        <w:rPr>
          <w:bCs/>
          <w:lang w:val="en-US"/>
        </w:rPr>
        <w:t>provided an opportunity to actually evaluate the status of the element. Going forward</w:t>
      </w:r>
      <w:r w:rsidR="00914894" w:rsidRPr="00813D19">
        <w:rPr>
          <w:bCs/>
          <w:lang w:val="en-US"/>
        </w:rPr>
        <w:t xml:space="preserve">, the delegation </w:t>
      </w:r>
      <w:r w:rsidR="00B96ED5" w:rsidRPr="00813D19">
        <w:rPr>
          <w:bCs/>
          <w:lang w:val="en-US"/>
        </w:rPr>
        <w:t>appreciate</w:t>
      </w:r>
      <w:r w:rsidR="00914894" w:rsidRPr="00813D19">
        <w:rPr>
          <w:bCs/>
          <w:lang w:val="en-US"/>
        </w:rPr>
        <w:t>d</w:t>
      </w:r>
      <w:r w:rsidR="00B96ED5" w:rsidRPr="00813D19">
        <w:rPr>
          <w:bCs/>
          <w:lang w:val="en-US"/>
        </w:rPr>
        <w:t xml:space="preserve"> and accept</w:t>
      </w:r>
      <w:r w:rsidR="00914894" w:rsidRPr="00813D19">
        <w:rPr>
          <w:bCs/>
          <w:lang w:val="en-US"/>
        </w:rPr>
        <w:t>ed</w:t>
      </w:r>
      <w:r w:rsidR="00B96ED5" w:rsidRPr="00813D19">
        <w:rPr>
          <w:bCs/>
          <w:lang w:val="en-US"/>
        </w:rPr>
        <w:t xml:space="preserve"> the modifications made to the reporting cycle and trust</w:t>
      </w:r>
      <w:r w:rsidR="00914894" w:rsidRPr="00813D19">
        <w:rPr>
          <w:bCs/>
          <w:lang w:val="en-US"/>
        </w:rPr>
        <w:t>ed</w:t>
      </w:r>
      <w:r w:rsidR="00B96ED5" w:rsidRPr="00813D19">
        <w:rPr>
          <w:bCs/>
          <w:lang w:val="en-US"/>
        </w:rPr>
        <w:t xml:space="preserve"> that this </w:t>
      </w:r>
      <w:r w:rsidR="00412069">
        <w:rPr>
          <w:bCs/>
          <w:lang w:val="en-US"/>
        </w:rPr>
        <w:t xml:space="preserve">would </w:t>
      </w:r>
      <w:r w:rsidR="00B96ED5" w:rsidRPr="00813D19">
        <w:rPr>
          <w:bCs/>
          <w:lang w:val="en-US"/>
        </w:rPr>
        <w:t xml:space="preserve">improve </w:t>
      </w:r>
      <w:r w:rsidR="00914894" w:rsidRPr="00813D19">
        <w:rPr>
          <w:bCs/>
          <w:lang w:val="en-US"/>
        </w:rPr>
        <w:t xml:space="preserve">Jamaica’s </w:t>
      </w:r>
      <w:r w:rsidR="00B96ED5" w:rsidRPr="00813D19">
        <w:rPr>
          <w:bCs/>
          <w:lang w:val="en-US"/>
        </w:rPr>
        <w:t xml:space="preserve">ability to monitor the status of elements inscribed </w:t>
      </w:r>
      <w:r w:rsidR="00914894" w:rsidRPr="00813D19">
        <w:rPr>
          <w:bCs/>
          <w:lang w:val="en-US"/>
        </w:rPr>
        <w:t xml:space="preserve">in </w:t>
      </w:r>
      <w:r w:rsidR="00B96ED5" w:rsidRPr="00813D19">
        <w:rPr>
          <w:bCs/>
          <w:lang w:val="en-US"/>
        </w:rPr>
        <w:t>Jamaica</w:t>
      </w:r>
      <w:r w:rsidR="00914894" w:rsidRPr="00813D19">
        <w:rPr>
          <w:bCs/>
          <w:lang w:val="en-US"/>
        </w:rPr>
        <w:t xml:space="preserve"> on a constant basis</w:t>
      </w:r>
      <w:r w:rsidR="00412069" w:rsidRPr="00412069">
        <w:rPr>
          <w:bCs/>
          <w:lang w:val="en-US"/>
        </w:rPr>
        <w:t xml:space="preserve"> </w:t>
      </w:r>
      <w:r w:rsidR="00412069" w:rsidRPr="00813D19">
        <w:rPr>
          <w:bCs/>
          <w:lang w:val="en-US"/>
        </w:rPr>
        <w:t>even further</w:t>
      </w:r>
      <w:r w:rsidR="0016273D">
        <w:rPr>
          <w:bCs/>
          <w:lang w:val="en-US"/>
        </w:rPr>
        <w:t>.</w:t>
      </w:r>
    </w:p>
    <w:p w14:paraId="15175A77" w14:textId="472E96D1" w:rsidR="00B74F97" w:rsidRPr="00813D19" w:rsidRDefault="004212CA"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 xml:space="preserve">delegation of </w:t>
      </w:r>
      <w:r w:rsidR="009D1624" w:rsidRPr="002827E3">
        <w:rPr>
          <w:b/>
          <w:iCs/>
          <w:color w:val="000000" w:themeColor="text1"/>
          <w:lang w:val="en-US"/>
        </w:rPr>
        <w:t>Azerbaijan</w:t>
      </w:r>
      <w:r w:rsidR="009D1624" w:rsidRPr="002827E3">
        <w:rPr>
          <w:iCs/>
          <w:color w:val="000000" w:themeColor="text1"/>
          <w:lang w:val="en-US"/>
        </w:rPr>
        <w:t xml:space="preserve"> </w:t>
      </w:r>
      <w:r w:rsidR="00914894" w:rsidRPr="000B6D83">
        <w:rPr>
          <w:bCs/>
          <w:lang w:val="en-US"/>
        </w:rPr>
        <w:t>thanked</w:t>
      </w:r>
      <w:r w:rsidR="00B96ED5" w:rsidRPr="000B6D83">
        <w:rPr>
          <w:bCs/>
          <w:lang w:val="en-US"/>
        </w:rPr>
        <w:t xml:space="preserve"> the Secretariat</w:t>
      </w:r>
      <w:r w:rsidR="00B96ED5" w:rsidRPr="00813D19">
        <w:rPr>
          <w:bCs/>
          <w:lang w:val="en-US"/>
        </w:rPr>
        <w:t xml:space="preserve"> for the detailed document prepared for the examination of the last periodic reports on the im</w:t>
      </w:r>
      <w:r w:rsidR="001745FD" w:rsidRPr="00813D19">
        <w:rPr>
          <w:bCs/>
          <w:lang w:val="en-US"/>
        </w:rPr>
        <w:t xml:space="preserve">plementation of the Convention, and </w:t>
      </w:r>
      <w:r w:rsidR="00B96ED5" w:rsidRPr="00813D19">
        <w:rPr>
          <w:bCs/>
          <w:lang w:val="en-US"/>
        </w:rPr>
        <w:t>commend</w:t>
      </w:r>
      <w:r w:rsidR="001745FD" w:rsidRPr="00813D19">
        <w:rPr>
          <w:bCs/>
          <w:lang w:val="en-US"/>
        </w:rPr>
        <w:t>ed</w:t>
      </w:r>
      <w:r w:rsidR="00B96ED5" w:rsidRPr="00813D19">
        <w:rPr>
          <w:bCs/>
          <w:lang w:val="en-US"/>
        </w:rPr>
        <w:t xml:space="preserve"> the </w:t>
      </w:r>
      <w:r w:rsidR="00412069">
        <w:rPr>
          <w:bCs/>
          <w:lang w:val="en-US"/>
        </w:rPr>
        <w:t>thirty-two</w:t>
      </w:r>
      <w:r w:rsidR="00412069" w:rsidRPr="00813D19">
        <w:rPr>
          <w:bCs/>
          <w:lang w:val="en-US"/>
        </w:rPr>
        <w:t xml:space="preserve"> </w:t>
      </w:r>
      <w:r w:rsidR="00B96ED5" w:rsidRPr="00813D19">
        <w:rPr>
          <w:bCs/>
          <w:lang w:val="en-US"/>
        </w:rPr>
        <w:t xml:space="preserve">Member States for their reports submitted </w:t>
      </w:r>
      <w:r w:rsidR="001745FD" w:rsidRPr="00813D19">
        <w:rPr>
          <w:bCs/>
          <w:lang w:val="en-US"/>
        </w:rPr>
        <w:t xml:space="preserve">in the current cycle, while </w:t>
      </w:r>
      <w:r w:rsidR="0067235B" w:rsidRPr="00813D19">
        <w:rPr>
          <w:bCs/>
          <w:lang w:val="en-US"/>
        </w:rPr>
        <w:t>welcoming</w:t>
      </w:r>
      <w:r w:rsidR="00B96ED5" w:rsidRPr="00813D19">
        <w:rPr>
          <w:bCs/>
          <w:lang w:val="en-US"/>
        </w:rPr>
        <w:t xml:space="preserve"> the efforts of the States Parties </w:t>
      </w:r>
      <w:r w:rsidR="00412069" w:rsidRPr="00813D19">
        <w:rPr>
          <w:bCs/>
          <w:lang w:val="en-US"/>
        </w:rPr>
        <w:t xml:space="preserve">concerned </w:t>
      </w:r>
      <w:r w:rsidR="00B96ED5" w:rsidRPr="00813D19">
        <w:rPr>
          <w:bCs/>
          <w:lang w:val="en-US"/>
        </w:rPr>
        <w:t>to meet the reporting requirement</w:t>
      </w:r>
      <w:r w:rsidR="001745FD" w:rsidRPr="00813D19">
        <w:rPr>
          <w:bCs/>
          <w:lang w:val="en-US"/>
        </w:rPr>
        <w:t>s</w:t>
      </w:r>
      <w:r w:rsidR="00B96ED5" w:rsidRPr="00813D19">
        <w:rPr>
          <w:bCs/>
          <w:lang w:val="en-US"/>
        </w:rPr>
        <w:t xml:space="preserve">. </w:t>
      </w:r>
      <w:r w:rsidR="001745FD" w:rsidRPr="00813D19">
        <w:rPr>
          <w:bCs/>
          <w:lang w:val="en-US"/>
        </w:rPr>
        <w:t>The delegation also welcomed</w:t>
      </w:r>
      <w:r w:rsidR="00B96ED5" w:rsidRPr="00813D19">
        <w:rPr>
          <w:bCs/>
          <w:lang w:val="en-US"/>
        </w:rPr>
        <w:t xml:space="preserve"> the quality of the overview and the summaries of the periodic reports, which provide</w:t>
      </w:r>
      <w:r w:rsidR="001745FD" w:rsidRPr="00813D19">
        <w:rPr>
          <w:bCs/>
          <w:lang w:val="en-US"/>
        </w:rPr>
        <w:t>d</w:t>
      </w:r>
      <w:r w:rsidR="00B96ED5" w:rsidRPr="00813D19">
        <w:rPr>
          <w:bCs/>
          <w:lang w:val="en-US"/>
        </w:rPr>
        <w:t xml:space="preserve"> detail</w:t>
      </w:r>
      <w:r w:rsidR="0067235B" w:rsidRPr="00813D19">
        <w:rPr>
          <w:bCs/>
          <w:lang w:val="en-US"/>
        </w:rPr>
        <w:t>ed</w:t>
      </w:r>
      <w:r w:rsidR="00B96ED5" w:rsidRPr="00813D19">
        <w:rPr>
          <w:bCs/>
          <w:lang w:val="en-US"/>
        </w:rPr>
        <w:t xml:space="preserve"> and structured information </w:t>
      </w:r>
      <w:r w:rsidR="001745FD" w:rsidRPr="00813D19">
        <w:rPr>
          <w:bCs/>
          <w:lang w:val="en-US"/>
        </w:rPr>
        <w:t xml:space="preserve">that </w:t>
      </w:r>
      <w:r w:rsidR="00B96ED5" w:rsidRPr="00813D19">
        <w:rPr>
          <w:bCs/>
          <w:lang w:val="en-US"/>
        </w:rPr>
        <w:t>allow</w:t>
      </w:r>
      <w:r w:rsidR="001745FD" w:rsidRPr="00813D19">
        <w:rPr>
          <w:bCs/>
          <w:lang w:val="en-US"/>
        </w:rPr>
        <w:t>ed</w:t>
      </w:r>
      <w:r w:rsidR="00B96ED5" w:rsidRPr="00813D19">
        <w:rPr>
          <w:bCs/>
          <w:lang w:val="en-US"/>
        </w:rPr>
        <w:t xml:space="preserve"> the Committee to follow and monitor the implementation of the Convention at </w:t>
      </w:r>
      <w:r w:rsidR="001745FD" w:rsidRPr="00813D19">
        <w:rPr>
          <w:bCs/>
          <w:lang w:val="en-US"/>
        </w:rPr>
        <w:t xml:space="preserve">the </w:t>
      </w:r>
      <w:r w:rsidR="00B96ED5" w:rsidRPr="00813D19">
        <w:rPr>
          <w:bCs/>
          <w:lang w:val="en-US"/>
        </w:rPr>
        <w:t xml:space="preserve">country level. </w:t>
      </w:r>
      <w:r w:rsidR="001745FD" w:rsidRPr="00813D19">
        <w:rPr>
          <w:bCs/>
          <w:lang w:val="en-US"/>
        </w:rPr>
        <w:t xml:space="preserve">It </w:t>
      </w:r>
      <w:r w:rsidR="00B96ED5" w:rsidRPr="00813D19">
        <w:rPr>
          <w:bCs/>
          <w:lang w:val="en-US"/>
        </w:rPr>
        <w:t>particularly like</w:t>
      </w:r>
      <w:r w:rsidR="001745FD" w:rsidRPr="00813D19">
        <w:rPr>
          <w:bCs/>
          <w:lang w:val="en-US"/>
        </w:rPr>
        <w:t>d</w:t>
      </w:r>
      <w:r w:rsidR="00B96ED5" w:rsidRPr="00813D19">
        <w:rPr>
          <w:bCs/>
          <w:lang w:val="en-US"/>
        </w:rPr>
        <w:t xml:space="preserve"> the fact that a large number of countries </w:t>
      </w:r>
      <w:r w:rsidR="001745FD" w:rsidRPr="00813D19">
        <w:rPr>
          <w:bCs/>
          <w:lang w:val="en-US"/>
        </w:rPr>
        <w:t xml:space="preserve">had </w:t>
      </w:r>
      <w:r w:rsidR="00B96ED5" w:rsidRPr="00813D19">
        <w:rPr>
          <w:bCs/>
          <w:lang w:val="en-US"/>
        </w:rPr>
        <w:t xml:space="preserve">advanced efforts to ensure </w:t>
      </w:r>
      <w:r w:rsidR="001745FD" w:rsidRPr="00813D19">
        <w:rPr>
          <w:bCs/>
          <w:lang w:val="en-US"/>
        </w:rPr>
        <w:t xml:space="preserve">the </w:t>
      </w:r>
      <w:r w:rsidR="00B96ED5" w:rsidRPr="00813D19">
        <w:rPr>
          <w:bCs/>
          <w:lang w:val="en-US"/>
        </w:rPr>
        <w:t xml:space="preserve">sustainable transmission </w:t>
      </w:r>
      <w:r w:rsidR="0067235B" w:rsidRPr="00813D19">
        <w:rPr>
          <w:bCs/>
          <w:lang w:val="en-US"/>
        </w:rPr>
        <w:t xml:space="preserve">of </w:t>
      </w:r>
      <w:r w:rsidR="001745FD" w:rsidRPr="00813D19">
        <w:rPr>
          <w:bCs/>
          <w:lang w:val="en-US"/>
        </w:rPr>
        <w:t xml:space="preserve">intangible cultural heritage, </w:t>
      </w:r>
      <w:r w:rsidR="00B96ED5" w:rsidRPr="00813D19">
        <w:rPr>
          <w:bCs/>
          <w:lang w:val="en-US"/>
        </w:rPr>
        <w:t>while involving to the extent possible the communities concerned</w:t>
      </w:r>
      <w:r w:rsidR="001745FD" w:rsidRPr="00813D19">
        <w:rPr>
          <w:bCs/>
          <w:lang w:val="en-US"/>
        </w:rPr>
        <w:t>,</w:t>
      </w:r>
      <w:r w:rsidR="00B96ED5" w:rsidRPr="00813D19">
        <w:rPr>
          <w:bCs/>
          <w:lang w:val="en-US"/>
        </w:rPr>
        <w:t xml:space="preserve"> as well as enhancing inventorying and research efforts. </w:t>
      </w:r>
      <w:r w:rsidR="001745FD" w:rsidRPr="00813D19">
        <w:rPr>
          <w:bCs/>
          <w:lang w:val="en-US"/>
        </w:rPr>
        <w:t xml:space="preserve">The delegation </w:t>
      </w:r>
      <w:r w:rsidR="00B96ED5" w:rsidRPr="00813D19">
        <w:rPr>
          <w:bCs/>
          <w:lang w:val="en-US"/>
        </w:rPr>
        <w:t>note</w:t>
      </w:r>
      <w:r w:rsidR="001745FD" w:rsidRPr="00813D19">
        <w:rPr>
          <w:bCs/>
          <w:lang w:val="en-US"/>
        </w:rPr>
        <w:t>d</w:t>
      </w:r>
      <w:r w:rsidR="00B96ED5" w:rsidRPr="00813D19">
        <w:rPr>
          <w:bCs/>
          <w:lang w:val="en-US"/>
        </w:rPr>
        <w:t xml:space="preserve"> with </w:t>
      </w:r>
      <w:r w:rsidR="00932BA1">
        <w:rPr>
          <w:bCs/>
          <w:lang w:val="en-US"/>
        </w:rPr>
        <w:t xml:space="preserve">great </w:t>
      </w:r>
      <w:r w:rsidR="00B96ED5" w:rsidRPr="00813D19">
        <w:rPr>
          <w:bCs/>
          <w:lang w:val="en-US"/>
        </w:rPr>
        <w:t>appreciation the fact that multinational nominations continue</w:t>
      </w:r>
      <w:r w:rsidR="001745FD" w:rsidRPr="00813D19">
        <w:rPr>
          <w:bCs/>
          <w:lang w:val="en-US"/>
        </w:rPr>
        <w:t>d</w:t>
      </w:r>
      <w:r w:rsidR="00B96ED5" w:rsidRPr="00813D19">
        <w:rPr>
          <w:bCs/>
          <w:lang w:val="en-US"/>
        </w:rPr>
        <w:t xml:space="preserve"> to contribute to the international cooperation</w:t>
      </w:r>
      <w:r w:rsidR="00932BA1">
        <w:rPr>
          <w:bCs/>
          <w:lang w:val="en-US"/>
        </w:rPr>
        <w:t>,</w:t>
      </w:r>
      <w:r w:rsidR="00B96ED5" w:rsidRPr="00813D19">
        <w:rPr>
          <w:bCs/>
          <w:lang w:val="en-US"/>
        </w:rPr>
        <w:t xml:space="preserve"> even </w:t>
      </w:r>
      <w:r w:rsidR="006754D0" w:rsidRPr="00813D19">
        <w:rPr>
          <w:bCs/>
          <w:lang w:val="en-US"/>
        </w:rPr>
        <w:t>post-</w:t>
      </w:r>
      <w:r w:rsidR="00B96ED5" w:rsidRPr="00813D19">
        <w:rPr>
          <w:bCs/>
          <w:lang w:val="en-US"/>
        </w:rPr>
        <w:t>inscription, as countries increasingly continue</w:t>
      </w:r>
      <w:r w:rsidR="006754D0" w:rsidRPr="00813D19">
        <w:rPr>
          <w:bCs/>
          <w:lang w:val="en-US"/>
        </w:rPr>
        <w:t>d</w:t>
      </w:r>
      <w:r w:rsidR="00B96ED5" w:rsidRPr="00813D19">
        <w:rPr>
          <w:bCs/>
          <w:lang w:val="en-US"/>
        </w:rPr>
        <w:t xml:space="preserve"> to engage in joint safeguarding and promotion activities over common heritage. Finally, </w:t>
      </w:r>
      <w:r w:rsidR="006754D0" w:rsidRPr="00813D19">
        <w:rPr>
          <w:bCs/>
          <w:lang w:val="en-US"/>
        </w:rPr>
        <w:t xml:space="preserve">it </w:t>
      </w:r>
      <w:r w:rsidR="00B96ED5" w:rsidRPr="00813D19">
        <w:rPr>
          <w:bCs/>
          <w:lang w:val="en-US"/>
        </w:rPr>
        <w:t>also note</w:t>
      </w:r>
      <w:r w:rsidR="006754D0" w:rsidRPr="00813D19">
        <w:rPr>
          <w:bCs/>
          <w:lang w:val="en-US"/>
        </w:rPr>
        <w:t>d</w:t>
      </w:r>
      <w:r w:rsidR="00B96ED5" w:rsidRPr="00813D19">
        <w:rPr>
          <w:bCs/>
          <w:lang w:val="en-US"/>
        </w:rPr>
        <w:t xml:space="preserve"> the large number of countries </w:t>
      </w:r>
      <w:r w:rsidR="006754D0" w:rsidRPr="00813D19">
        <w:rPr>
          <w:bCs/>
          <w:lang w:val="en-US"/>
        </w:rPr>
        <w:t xml:space="preserve">that had </w:t>
      </w:r>
      <w:r w:rsidR="00B96ED5" w:rsidRPr="00813D19">
        <w:rPr>
          <w:bCs/>
          <w:lang w:val="en-US"/>
        </w:rPr>
        <w:t xml:space="preserve">not submitted their reports </w:t>
      </w:r>
      <w:r w:rsidR="00932BA1">
        <w:rPr>
          <w:bCs/>
          <w:lang w:val="en-US"/>
        </w:rPr>
        <w:t xml:space="preserve">yet </w:t>
      </w:r>
      <w:r w:rsidR="006754D0" w:rsidRPr="00813D19">
        <w:rPr>
          <w:bCs/>
          <w:lang w:val="en-US"/>
        </w:rPr>
        <w:t xml:space="preserve">but </w:t>
      </w:r>
      <w:r w:rsidR="00B96ED5" w:rsidRPr="00813D19">
        <w:rPr>
          <w:bCs/>
          <w:lang w:val="en-US"/>
        </w:rPr>
        <w:t>expect</w:t>
      </w:r>
      <w:r w:rsidR="006754D0" w:rsidRPr="00813D19">
        <w:rPr>
          <w:bCs/>
          <w:lang w:val="en-US"/>
        </w:rPr>
        <w:t>ed</w:t>
      </w:r>
      <w:r w:rsidR="00B96ED5" w:rsidRPr="00813D19">
        <w:rPr>
          <w:bCs/>
          <w:lang w:val="en-US"/>
        </w:rPr>
        <w:t xml:space="preserve"> the reform of the periodic reporting mechanism </w:t>
      </w:r>
      <w:r w:rsidR="006754D0" w:rsidRPr="00813D19">
        <w:rPr>
          <w:bCs/>
          <w:lang w:val="en-US"/>
        </w:rPr>
        <w:t xml:space="preserve">to </w:t>
      </w:r>
      <w:r w:rsidR="00B96ED5" w:rsidRPr="00813D19">
        <w:rPr>
          <w:bCs/>
          <w:lang w:val="en-US"/>
        </w:rPr>
        <w:t xml:space="preserve">remedy this situation through regional reporting where guidance for the States Parties concerned </w:t>
      </w:r>
      <w:r w:rsidR="006754D0" w:rsidRPr="00813D19">
        <w:rPr>
          <w:bCs/>
          <w:lang w:val="en-US"/>
        </w:rPr>
        <w:t xml:space="preserve">would </w:t>
      </w:r>
      <w:r w:rsidR="00B96ED5" w:rsidRPr="00813D19">
        <w:rPr>
          <w:bCs/>
          <w:lang w:val="en-US"/>
        </w:rPr>
        <w:t xml:space="preserve">be provided. </w:t>
      </w:r>
      <w:r w:rsidR="006754D0" w:rsidRPr="00813D19">
        <w:rPr>
          <w:bCs/>
          <w:lang w:val="en-US"/>
        </w:rPr>
        <w:t xml:space="preserve">The delegation </w:t>
      </w:r>
      <w:r w:rsidR="00B96ED5" w:rsidRPr="00813D19">
        <w:rPr>
          <w:bCs/>
          <w:lang w:val="en-US"/>
        </w:rPr>
        <w:t>encourage</w:t>
      </w:r>
      <w:r w:rsidR="006754D0" w:rsidRPr="00813D19">
        <w:rPr>
          <w:bCs/>
          <w:lang w:val="en-US"/>
        </w:rPr>
        <w:t>d</w:t>
      </w:r>
      <w:r w:rsidR="00B96ED5" w:rsidRPr="00813D19">
        <w:rPr>
          <w:bCs/>
          <w:lang w:val="en-US"/>
        </w:rPr>
        <w:t xml:space="preserve"> Member States to fulfil their reporting obligations</w:t>
      </w:r>
      <w:r w:rsidR="00932BA1">
        <w:rPr>
          <w:bCs/>
          <w:lang w:val="en-US"/>
        </w:rPr>
        <w:t xml:space="preserve"> and the Committee should monitor this issue closely</w:t>
      </w:r>
      <w:r w:rsidR="0028239B" w:rsidRPr="00813D19">
        <w:rPr>
          <w:bCs/>
          <w:lang w:val="en-US"/>
        </w:rPr>
        <w:t>.</w:t>
      </w:r>
    </w:p>
    <w:p w14:paraId="48BBF172" w14:textId="5BA8BBBC" w:rsidR="00DA3768" w:rsidRPr="00813D19" w:rsidRDefault="00B74F97"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delegation of Zambia</w:t>
      </w:r>
      <w:r w:rsidR="00B96ED5" w:rsidRPr="002827E3">
        <w:rPr>
          <w:b/>
          <w:iCs/>
          <w:color w:val="000000" w:themeColor="text1"/>
          <w:lang w:val="en-US"/>
        </w:rPr>
        <w:t xml:space="preserve"> </w:t>
      </w:r>
      <w:r w:rsidR="00B96ED5" w:rsidRPr="000B6D83">
        <w:rPr>
          <w:bCs/>
          <w:lang w:val="en-US"/>
        </w:rPr>
        <w:t>commend</w:t>
      </w:r>
      <w:r w:rsidR="006754D0" w:rsidRPr="000B6D83">
        <w:rPr>
          <w:bCs/>
          <w:lang w:val="en-US"/>
        </w:rPr>
        <w:t>ed</w:t>
      </w:r>
      <w:r w:rsidR="00B96ED5" w:rsidRPr="00813D19">
        <w:rPr>
          <w:bCs/>
          <w:lang w:val="en-US"/>
        </w:rPr>
        <w:t xml:space="preserve"> the Secretariat for </w:t>
      </w:r>
      <w:r w:rsidR="00EA44A9" w:rsidRPr="00813D19">
        <w:rPr>
          <w:bCs/>
          <w:lang w:val="en-US"/>
        </w:rPr>
        <w:t xml:space="preserve">its </w:t>
      </w:r>
      <w:r w:rsidR="00B96ED5" w:rsidRPr="00813D19">
        <w:rPr>
          <w:bCs/>
          <w:lang w:val="en-US"/>
        </w:rPr>
        <w:t xml:space="preserve">elaborate report </w:t>
      </w:r>
      <w:r w:rsidR="00EA44A9" w:rsidRPr="00813D19">
        <w:rPr>
          <w:bCs/>
          <w:lang w:val="en-US"/>
        </w:rPr>
        <w:t xml:space="preserve">and </w:t>
      </w:r>
      <w:r w:rsidR="00B96ED5" w:rsidRPr="00813D19">
        <w:rPr>
          <w:bCs/>
          <w:lang w:val="en-US"/>
        </w:rPr>
        <w:t xml:space="preserve">also the </w:t>
      </w:r>
      <w:r w:rsidR="00412069">
        <w:rPr>
          <w:bCs/>
          <w:lang w:val="en-US"/>
        </w:rPr>
        <w:t>thirty-two</w:t>
      </w:r>
      <w:r w:rsidR="00B96ED5" w:rsidRPr="00813D19">
        <w:rPr>
          <w:bCs/>
          <w:lang w:val="en-US"/>
        </w:rPr>
        <w:t xml:space="preserve"> countries that </w:t>
      </w:r>
      <w:r w:rsidR="00EA44A9" w:rsidRPr="00813D19">
        <w:rPr>
          <w:bCs/>
          <w:lang w:val="en-US"/>
        </w:rPr>
        <w:t xml:space="preserve">had </w:t>
      </w:r>
      <w:r w:rsidR="00B96ED5" w:rsidRPr="00813D19">
        <w:rPr>
          <w:bCs/>
          <w:lang w:val="en-US"/>
        </w:rPr>
        <w:t xml:space="preserve">submitted their reports. </w:t>
      </w:r>
      <w:r w:rsidR="00EA44A9" w:rsidRPr="00813D19">
        <w:rPr>
          <w:bCs/>
          <w:lang w:val="en-US"/>
        </w:rPr>
        <w:t xml:space="preserve">However, it was </w:t>
      </w:r>
      <w:r w:rsidR="00B96ED5" w:rsidRPr="00813D19">
        <w:rPr>
          <w:bCs/>
          <w:lang w:val="en-US"/>
        </w:rPr>
        <w:t>concern</w:t>
      </w:r>
      <w:r w:rsidR="00EA44A9" w:rsidRPr="00813D19">
        <w:rPr>
          <w:bCs/>
          <w:lang w:val="en-US"/>
        </w:rPr>
        <w:t>ed</w:t>
      </w:r>
      <w:r w:rsidR="00B96ED5" w:rsidRPr="00813D19">
        <w:rPr>
          <w:bCs/>
          <w:lang w:val="en-US"/>
        </w:rPr>
        <w:t xml:space="preserve"> </w:t>
      </w:r>
      <w:r w:rsidR="00EA44A9" w:rsidRPr="00813D19">
        <w:rPr>
          <w:bCs/>
          <w:lang w:val="en-US"/>
        </w:rPr>
        <w:t xml:space="preserve">about the high </w:t>
      </w:r>
      <w:r w:rsidR="00B96ED5" w:rsidRPr="00813D19">
        <w:rPr>
          <w:bCs/>
          <w:lang w:val="en-US"/>
        </w:rPr>
        <w:t xml:space="preserve">number of countries that </w:t>
      </w:r>
      <w:r w:rsidR="00EA44A9" w:rsidRPr="00813D19">
        <w:rPr>
          <w:bCs/>
          <w:lang w:val="en-US"/>
        </w:rPr>
        <w:t xml:space="preserve">had not submitted their reports, especially as many came from </w:t>
      </w:r>
      <w:r w:rsidR="00B96ED5" w:rsidRPr="00813D19">
        <w:rPr>
          <w:bCs/>
          <w:lang w:val="en-US"/>
        </w:rPr>
        <w:t>Group V</w:t>
      </w:r>
      <w:r w:rsidR="00EA44A9" w:rsidRPr="00813D19">
        <w:rPr>
          <w:bCs/>
          <w:lang w:val="en-US"/>
        </w:rPr>
        <w:t>(</w:t>
      </w:r>
      <w:r w:rsidR="00B96ED5" w:rsidRPr="00813D19">
        <w:rPr>
          <w:bCs/>
          <w:lang w:val="en-US"/>
        </w:rPr>
        <w:t>a</w:t>
      </w:r>
      <w:r w:rsidR="00EA44A9" w:rsidRPr="00813D19">
        <w:rPr>
          <w:bCs/>
          <w:lang w:val="en-US"/>
        </w:rPr>
        <w:t xml:space="preserve">). The delegation wondered </w:t>
      </w:r>
      <w:r w:rsidR="00B96ED5" w:rsidRPr="00813D19">
        <w:rPr>
          <w:bCs/>
          <w:lang w:val="en-US"/>
        </w:rPr>
        <w:t xml:space="preserve">whether the Secretariat </w:t>
      </w:r>
      <w:r w:rsidR="00EA44A9" w:rsidRPr="00813D19">
        <w:rPr>
          <w:bCs/>
          <w:lang w:val="en-US"/>
        </w:rPr>
        <w:t xml:space="preserve">could put in place </w:t>
      </w:r>
      <w:r w:rsidR="00B96ED5" w:rsidRPr="00813D19">
        <w:rPr>
          <w:bCs/>
          <w:lang w:val="en-US"/>
        </w:rPr>
        <w:t xml:space="preserve">a mechanism or survey to </w:t>
      </w:r>
      <w:r w:rsidR="00EA44A9" w:rsidRPr="00813D19">
        <w:rPr>
          <w:bCs/>
          <w:lang w:val="en-US"/>
        </w:rPr>
        <w:t xml:space="preserve">identify the reasons behind the default rate, i.e. </w:t>
      </w:r>
      <w:r w:rsidR="00412069">
        <w:rPr>
          <w:bCs/>
          <w:lang w:val="en-US"/>
        </w:rPr>
        <w:t>was</w:t>
      </w:r>
      <w:r w:rsidR="00B96ED5" w:rsidRPr="00813D19">
        <w:rPr>
          <w:bCs/>
          <w:lang w:val="en-US"/>
        </w:rPr>
        <w:t xml:space="preserve"> it </w:t>
      </w:r>
      <w:r w:rsidR="00EA44A9" w:rsidRPr="00813D19">
        <w:rPr>
          <w:bCs/>
          <w:lang w:val="en-US"/>
        </w:rPr>
        <w:t xml:space="preserve">due to a lack of </w:t>
      </w:r>
      <w:r w:rsidR="00B96ED5" w:rsidRPr="00813D19">
        <w:rPr>
          <w:bCs/>
          <w:lang w:val="en-US"/>
        </w:rPr>
        <w:t xml:space="preserve">capacity or </w:t>
      </w:r>
      <w:r w:rsidR="005676E1" w:rsidRPr="00813D19">
        <w:rPr>
          <w:bCs/>
          <w:lang w:val="en-US"/>
        </w:rPr>
        <w:t>interest?</w:t>
      </w:r>
      <w:r w:rsidR="00EA44A9" w:rsidRPr="00813D19">
        <w:rPr>
          <w:bCs/>
          <w:lang w:val="en-US"/>
        </w:rPr>
        <w:t xml:space="preserve"> </w:t>
      </w:r>
      <w:r w:rsidR="00B96ED5" w:rsidRPr="00813D19">
        <w:rPr>
          <w:bCs/>
          <w:lang w:val="en-US"/>
        </w:rPr>
        <w:t>Once establish</w:t>
      </w:r>
      <w:r w:rsidR="00EA44A9" w:rsidRPr="00813D19">
        <w:rPr>
          <w:bCs/>
          <w:lang w:val="en-US"/>
        </w:rPr>
        <w:t xml:space="preserve">ed, it would be interesting to </w:t>
      </w:r>
      <w:r w:rsidR="00932BA1">
        <w:rPr>
          <w:bCs/>
          <w:lang w:val="en-US"/>
        </w:rPr>
        <w:t xml:space="preserve">go further and </w:t>
      </w:r>
      <w:r w:rsidR="00EA44A9" w:rsidRPr="00813D19">
        <w:rPr>
          <w:bCs/>
          <w:lang w:val="en-US"/>
        </w:rPr>
        <w:t xml:space="preserve">explore </w:t>
      </w:r>
      <w:r w:rsidR="00B96ED5" w:rsidRPr="00813D19">
        <w:rPr>
          <w:bCs/>
          <w:lang w:val="en-US"/>
        </w:rPr>
        <w:t xml:space="preserve">the pattern. </w:t>
      </w:r>
      <w:r w:rsidR="00412069">
        <w:rPr>
          <w:bCs/>
          <w:lang w:val="en-US"/>
        </w:rPr>
        <w:t>Was</w:t>
      </w:r>
      <w:r w:rsidR="00412069" w:rsidRPr="00813D19">
        <w:rPr>
          <w:bCs/>
          <w:lang w:val="en-US"/>
        </w:rPr>
        <w:t xml:space="preserve"> </w:t>
      </w:r>
      <w:r w:rsidR="00EA44A9" w:rsidRPr="00813D19">
        <w:rPr>
          <w:bCs/>
          <w:lang w:val="en-US"/>
        </w:rPr>
        <w:t xml:space="preserve">it the </w:t>
      </w:r>
      <w:r w:rsidR="00B96ED5" w:rsidRPr="00813D19">
        <w:rPr>
          <w:bCs/>
          <w:lang w:val="en-US"/>
        </w:rPr>
        <w:t xml:space="preserve">same countries that </w:t>
      </w:r>
      <w:r w:rsidR="005676E1" w:rsidRPr="00813D19">
        <w:rPr>
          <w:bCs/>
          <w:lang w:val="en-US"/>
        </w:rPr>
        <w:t xml:space="preserve">were </w:t>
      </w:r>
      <w:r w:rsidR="00B96ED5" w:rsidRPr="00813D19">
        <w:rPr>
          <w:bCs/>
          <w:lang w:val="en-US"/>
        </w:rPr>
        <w:t xml:space="preserve">failing to report? Or different countries </w:t>
      </w:r>
      <w:r w:rsidR="00EA44A9" w:rsidRPr="00813D19">
        <w:rPr>
          <w:bCs/>
          <w:lang w:val="en-US"/>
        </w:rPr>
        <w:t>at different times? Which Electoral G</w:t>
      </w:r>
      <w:r w:rsidR="00B96ED5" w:rsidRPr="00813D19">
        <w:rPr>
          <w:bCs/>
          <w:lang w:val="en-US"/>
        </w:rPr>
        <w:t>roups seem</w:t>
      </w:r>
      <w:r w:rsidR="00412069">
        <w:rPr>
          <w:bCs/>
          <w:lang w:val="en-US"/>
        </w:rPr>
        <w:t>ed</w:t>
      </w:r>
      <w:r w:rsidR="00B96ED5" w:rsidRPr="00813D19">
        <w:rPr>
          <w:bCs/>
          <w:lang w:val="en-US"/>
        </w:rPr>
        <w:t xml:space="preserve"> to be defaulting more? </w:t>
      </w:r>
      <w:r w:rsidR="00EA44A9" w:rsidRPr="00813D19">
        <w:rPr>
          <w:bCs/>
          <w:lang w:val="en-US"/>
        </w:rPr>
        <w:t xml:space="preserve">In this way, </w:t>
      </w:r>
      <w:r w:rsidR="00B96ED5" w:rsidRPr="00813D19">
        <w:rPr>
          <w:bCs/>
          <w:lang w:val="en-US"/>
        </w:rPr>
        <w:t xml:space="preserve">a mechanism </w:t>
      </w:r>
      <w:r w:rsidR="00EA44A9" w:rsidRPr="00813D19">
        <w:rPr>
          <w:bCs/>
          <w:lang w:val="en-US"/>
        </w:rPr>
        <w:t xml:space="preserve">would help </w:t>
      </w:r>
      <w:r w:rsidR="00B96ED5" w:rsidRPr="00813D19">
        <w:rPr>
          <w:bCs/>
          <w:lang w:val="en-US"/>
        </w:rPr>
        <w:t xml:space="preserve">establish why </w:t>
      </w:r>
      <w:r w:rsidR="00EA44A9" w:rsidRPr="00813D19">
        <w:rPr>
          <w:bCs/>
          <w:lang w:val="en-US"/>
        </w:rPr>
        <w:t xml:space="preserve">this </w:t>
      </w:r>
      <w:r w:rsidR="00412069">
        <w:rPr>
          <w:bCs/>
          <w:lang w:val="en-US"/>
        </w:rPr>
        <w:t>was</w:t>
      </w:r>
      <w:r w:rsidR="00EA44A9" w:rsidRPr="00813D19">
        <w:rPr>
          <w:bCs/>
          <w:lang w:val="en-US"/>
        </w:rPr>
        <w:t xml:space="preserve"> happening</w:t>
      </w:r>
      <w:r w:rsidR="0016273D">
        <w:rPr>
          <w:bCs/>
          <w:lang w:val="en-US"/>
        </w:rPr>
        <w:t>.</w:t>
      </w:r>
    </w:p>
    <w:p w14:paraId="7D26AF94" w14:textId="0281C2CD" w:rsidR="00EA44A9" w:rsidRPr="00813D19" w:rsidRDefault="00DA3768" w:rsidP="00A27AF5">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Djibouti</w:t>
      </w:r>
      <w:r w:rsidR="00B96ED5" w:rsidRPr="00813D19">
        <w:rPr>
          <w:b/>
          <w:iCs/>
          <w:color w:val="000000" w:themeColor="text1"/>
          <w:lang w:val="en-US"/>
        </w:rPr>
        <w:t xml:space="preserve"> </w:t>
      </w:r>
      <w:r w:rsidR="00966E41" w:rsidRPr="00813D19">
        <w:rPr>
          <w:iCs/>
          <w:color w:val="000000" w:themeColor="text1"/>
          <w:lang w:val="en-US"/>
        </w:rPr>
        <w:t>remarked that</w:t>
      </w:r>
      <w:r w:rsidR="00966E41" w:rsidRPr="00813D19">
        <w:rPr>
          <w:b/>
          <w:iCs/>
          <w:color w:val="000000" w:themeColor="text1"/>
          <w:lang w:val="en-US"/>
        </w:rPr>
        <w:t xml:space="preserve"> </w:t>
      </w:r>
      <w:r w:rsidR="00EA44A9" w:rsidRPr="00813D19">
        <w:rPr>
          <w:iCs/>
          <w:color w:val="000000" w:themeColor="text1"/>
          <w:lang w:val="en-US"/>
        </w:rPr>
        <w:t xml:space="preserve">Djibouti was among the </w:t>
      </w:r>
      <w:r w:rsidR="00412069">
        <w:rPr>
          <w:iCs/>
          <w:color w:val="000000" w:themeColor="text1"/>
          <w:lang w:val="en-US"/>
        </w:rPr>
        <w:t>thirty-two</w:t>
      </w:r>
      <w:r w:rsidR="00412069" w:rsidRPr="00813D19">
        <w:rPr>
          <w:iCs/>
          <w:color w:val="000000" w:themeColor="text1"/>
          <w:lang w:val="en-US"/>
        </w:rPr>
        <w:t xml:space="preserve"> </w:t>
      </w:r>
      <w:r w:rsidR="00EA44A9" w:rsidRPr="00813D19">
        <w:rPr>
          <w:iCs/>
          <w:color w:val="000000" w:themeColor="text1"/>
          <w:lang w:val="en-US"/>
        </w:rPr>
        <w:t xml:space="preserve">countries that </w:t>
      </w:r>
      <w:r w:rsidR="00966E41" w:rsidRPr="00813D19">
        <w:rPr>
          <w:iCs/>
          <w:color w:val="000000" w:themeColor="text1"/>
          <w:lang w:val="en-US"/>
        </w:rPr>
        <w:t xml:space="preserve">had </w:t>
      </w:r>
      <w:r w:rsidR="00EA44A9" w:rsidRPr="00813D19">
        <w:rPr>
          <w:iCs/>
          <w:color w:val="000000" w:themeColor="text1"/>
          <w:lang w:val="en-US"/>
        </w:rPr>
        <w:t xml:space="preserve">submitted </w:t>
      </w:r>
      <w:r w:rsidR="00412069">
        <w:rPr>
          <w:iCs/>
          <w:color w:val="000000" w:themeColor="text1"/>
          <w:lang w:val="en-US"/>
        </w:rPr>
        <w:t>their</w:t>
      </w:r>
      <w:r w:rsidR="00412069" w:rsidRPr="00813D19">
        <w:rPr>
          <w:iCs/>
          <w:color w:val="000000" w:themeColor="text1"/>
          <w:lang w:val="en-US"/>
        </w:rPr>
        <w:t xml:space="preserve"> </w:t>
      </w:r>
      <w:r w:rsidR="00966E41" w:rsidRPr="00813D19">
        <w:rPr>
          <w:iCs/>
          <w:color w:val="000000" w:themeColor="text1"/>
          <w:lang w:val="en-US"/>
        </w:rPr>
        <w:t>report</w:t>
      </w:r>
      <w:r w:rsidR="00412069">
        <w:rPr>
          <w:iCs/>
          <w:color w:val="000000" w:themeColor="text1"/>
          <w:lang w:val="en-US"/>
        </w:rPr>
        <w:t>s</w:t>
      </w:r>
      <w:r w:rsidR="00966E41" w:rsidRPr="00813D19">
        <w:rPr>
          <w:iCs/>
          <w:color w:val="000000" w:themeColor="text1"/>
          <w:lang w:val="en-US"/>
        </w:rPr>
        <w:t>, albeit three years late;</w:t>
      </w:r>
      <w:r w:rsidR="00EA44A9" w:rsidRPr="00813D19">
        <w:rPr>
          <w:iCs/>
          <w:color w:val="000000" w:themeColor="text1"/>
          <w:lang w:val="en-US"/>
        </w:rPr>
        <w:t xml:space="preserve"> </w:t>
      </w:r>
      <w:r w:rsidR="00966E41" w:rsidRPr="00813D19">
        <w:rPr>
          <w:iCs/>
          <w:color w:val="000000" w:themeColor="text1"/>
          <w:lang w:val="en-US"/>
        </w:rPr>
        <w:t xml:space="preserve">it should have submitted </w:t>
      </w:r>
      <w:r w:rsidR="00932BA1">
        <w:rPr>
          <w:iCs/>
          <w:color w:val="000000" w:themeColor="text1"/>
          <w:lang w:val="en-US"/>
        </w:rPr>
        <w:t xml:space="preserve">it </w:t>
      </w:r>
      <w:r w:rsidR="00966E41" w:rsidRPr="00813D19">
        <w:rPr>
          <w:iCs/>
          <w:color w:val="000000" w:themeColor="text1"/>
          <w:lang w:val="en-US"/>
        </w:rPr>
        <w:t xml:space="preserve">in 2014 </w:t>
      </w:r>
      <w:r w:rsidR="00932BA1">
        <w:rPr>
          <w:iCs/>
          <w:color w:val="000000" w:themeColor="text1"/>
          <w:lang w:val="en-US"/>
        </w:rPr>
        <w:t xml:space="preserve">but it </w:t>
      </w:r>
      <w:r w:rsidR="00966E41" w:rsidRPr="00813D19">
        <w:rPr>
          <w:iCs/>
          <w:color w:val="000000" w:themeColor="text1"/>
          <w:lang w:val="en-US"/>
        </w:rPr>
        <w:t xml:space="preserve">was submitted </w:t>
      </w:r>
      <w:r w:rsidR="00932BA1">
        <w:rPr>
          <w:iCs/>
          <w:color w:val="000000" w:themeColor="text1"/>
          <w:lang w:val="en-US"/>
        </w:rPr>
        <w:t>at the end of</w:t>
      </w:r>
      <w:r w:rsidR="00EA44A9" w:rsidRPr="00813D19">
        <w:rPr>
          <w:iCs/>
          <w:color w:val="000000" w:themeColor="text1"/>
          <w:lang w:val="en-US"/>
        </w:rPr>
        <w:t xml:space="preserve"> 2017. It </w:t>
      </w:r>
      <w:r w:rsidR="00966E41" w:rsidRPr="00813D19">
        <w:rPr>
          <w:iCs/>
          <w:color w:val="000000" w:themeColor="text1"/>
          <w:lang w:val="en-US"/>
        </w:rPr>
        <w:t xml:space="preserve">was indeed </w:t>
      </w:r>
      <w:r w:rsidR="00EA44A9" w:rsidRPr="00813D19">
        <w:rPr>
          <w:iCs/>
          <w:color w:val="000000" w:themeColor="text1"/>
          <w:lang w:val="en-US"/>
        </w:rPr>
        <w:t>important to question the reason f</w:t>
      </w:r>
      <w:r w:rsidR="00966E41" w:rsidRPr="00813D19">
        <w:rPr>
          <w:iCs/>
          <w:color w:val="000000" w:themeColor="text1"/>
          <w:lang w:val="en-US"/>
        </w:rPr>
        <w:t>or this delay, as mentioned by Zambia, and</w:t>
      </w:r>
      <w:r w:rsidR="00932BA1">
        <w:rPr>
          <w:iCs/>
          <w:color w:val="000000" w:themeColor="text1"/>
          <w:lang w:val="en-US"/>
        </w:rPr>
        <w:t xml:space="preserve"> it believed</w:t>
      </w:r>
      <w:r w:rsidR="00966E41" w:rsidRPr="00813D19">
        <w:rPr>
          <w:iCs/>
          <w:color w:val="000000" w:themeColor="text1"/>
          <w:lang w:val="en-US"/>
        </w:rPr>
        <w:t xml:space="preserve"> </w:t>
      </w:r>
      <w:r w:rsidR="00EA44A9" w:rsidRPr="00813D19">
        <w:rPr>
          <w:iCs/>
          <w:color w:val="000000" w:themeColor="text1"/>
          <w:lang w:val="en-US"/>
        </w:rPr>
        <w:t xml:space="preserve">there </w:t>
      </w:r>
      <w:r w:rsidR="005676E1" w:rsidRPr="00813D19">
        <w:rPr>
          <w:iCs/>
          <w:color w:val="000000" w:themeColor="text1"/>
          <w:lang w:val="en-US"/>
        </w:rPr>
        <w:t xml:space="preserve">were </w:t>
      </w:r>
      <w:r w:rsidR="00EA44A9" w:rsidRPr="00813D19">
        <w:rPr>
          <w:iCs/>
          <w:color w:val="000000" w:themeColor="text1"/>
          <w:lang w:val="en-US"/>
        </w:rPr>
        <w:t xml:space="preserve">many factors. </w:t>
      </w:r>
      <w:r w:rsidR="00966E41" w:rsidRPr="00813D19">
        <w:rPr>
          <w:iCs/>
          <w:color w:val="000000" w:themeColor="text1"/>
          <w:lang w:val="en-US"/>
        </w:rPr>
        <w:t>T</w:t>
      </w:r>
      <w:r w:rsidR="00EA44A9" w:rsidRPr="00813D19">
        <w:rPr>
          <w:iCs/>
          <w:color w:val="000000" w:themeColor="text1"/>
          <w:lang w:val="en-US"/>
        </w:rPr>
        <w:t xml:space="preserve">he most important factor </w:t>
      </w:r>
      <w:r w:rsidR="00966E41" w:rsidRPr="00813D19">
        <w:rPr>
          <w:iCs/>
          <w:color w:val="000000" w:themeColor="text1"/>
          <w:lang w:val="en-US"/>
        </w:rPr>
        <w:t>is the need for capacity</w:t>
      </w:r>
      <w:r w:rsidR="00412069">
        <w:rPr>
          <w:iCs/>
          <w:color w:val="000000" w:themeColor="text1"/>
          <w:lang w:val="en-US"/>
        </w:rPr>
        <w:t xml:space="preserve"> </w:t>
      </w:r>
      <w:r w:rsidR="00966E41" w:rsidRPr="00813D19">
        <w:rPr>
          <w:iCs/>
          <w:color w:val="000000" w:themeColor="text1"/>
          <w:lang w:val="en-US"/>
        </w:rPr>
        <w:t xml:space="preserve">building, followed by the </w:t>
      </w:r>
      <w:r w:rsidR="00EA44A9" w:rsidRPr="00813D19">
        <w:rPr>
          <w:iCs/>
          <w:color w:val="000000" w:themeColor="text1"/>
          <w:lang w:val="en-US"/>
        </w:rPr>
        <w:t xml:space="preserve">mobilization of all </w:t>
      </w:r>
      <w:r w:rsidR="00966E41" w:rsidRPr="00813D19">
        <w:rPr>
          <w:iCs/>
          <w:color w:val="000000" w:themeColor="text1"/>
          <w:lang w:val="en-US"/>
        </w:rPr>
        <w:t xml:space="preserve">the </w:t>
      </w:r>
      <w:r w:rsidR="00EA44A9" w:rsidRPr="00813D19">
        <w:rPr>
          <w:iCs/>
          <w:color w:val="000000" w:themeColor="text1"/>
          <w:lang w:val="en-US"/>
        </w:rPr>
        <w:t xml:space="preserve">persons and parties involved in the drafting of the report and </w:t>
      </w:r>
      <w:r w:rsidR="00966E41" w:rsidRPr="00813D19">
        <w:rPr>
          <w:iCs/>
          <w:color w:val="000000" w:themeColor="text1"/>
          <w:lang w:val="en-US"/>
        </w:rPr>
        <w:t xml:space="preserve">in </w:t>
      </w:r>
      <w:r w:rsidR="00EA44A9" w:rsidRPr="00813D19">
        <w:rPr>
          <w:iCs/>
          <w:color w:val="000000" w:themeColor="text1"/>
          <w:lang w:val="en-US"/>
        </w:rPr>
        <w:t xml:space="preserve">the implementation of the Convention. </w:t>
      </w:r>
      <w:r w:rsidR="00966E41" w:rsidRPr="00813D19">
        <w:rPr>
          <w:iCs/>
          <w:color w:val="000000" w:themeColor="text1"/>
          <w:lang w:val="en-US"/>
        </w:rPr>
        <w:t xml:space="preserve">In this regard, </w:t>
      </w:r>
      <w:r w:rsidR="00EA44A9" w:rsidRPr="00813D19">
        <w:rPr>
          <w:iCs/>
          <w:color w:val="000000" w:themeColor="text1"/>
          <w:lang w:val="en-US"/>
        </w:rPr>
        <w:t xml:space="preserve">Djibouti, </w:t>
      </w:r>
      <w:r w:rsidR="00966E41" w:rsidRPr="00813D19">
        <w:rPr>
          <w:iCs/>
          <w:color w:val="000000" w:themeColor="text1"/>
          <w:lang w:val="en-US"/>
        </w:rPr>
        <w:t xml:space="preserve">wished to thank the facilitator </w:t>
      </w:r>
      <w:r w:rsidR="00D76620" w:rsidRPr="002827E3">
        <w:rPr>
          <w:iCs/>
          <w:color w:val="000000" w:themeColor="text1"/>
          <w:lang w:val="en-US"/>
        </w:rPr>
        <w:t xml:space="preserve">Mr </w:t>
      </w:r>
      <w:r w:rsidR="00A27AF5" w:rsidRPr="002827E3">
        <w:rPr>
          <w:iCs/>
          <w:color w:val="000000" w:themeColor="text1"/>
          <w:lang w:val="en-US"/>
        </w:rPr>
        <w:t xml:space="preserve">Idriss </w:t>
      </w:r>
      <w:r w:rsidR="00D76620" w:rsidRPr="002827E3">
        <w:rPr>
          <w:iCs/>
          <w:color w:val="000000" w:themeColor="text1"/>
          <w:lang w:val="en-US"/>
        </w:rPr>
        <w:t xml:space="preserve">Moussa </w:t>
      </w:r>
      <w:r w:rsidR="00EA44A9" w:rsidRPr="002827E3">
        <w:rPr>
          <w:iCs/>
          <w:color w:val="000000" w:themeColor="text1"/>
          <w:lang w:val="en-US"/>
        </w:rPr>
        <w:t>Ahmed</w:t>
      </w:r>
      <w:r w:rsidR="00D76620" w:rsidRPr="00C9685A">
        <w:rPr>
          <w:iCs/>
          <w:color w:val="000000" w:themeColor="text1"/>
          <w:lang w:val="en-US"/>
        </w:rPr>
        <w:t xml:space="preserve"> and</w:t>
      </w:r>
      <w:r w:rsidR="00D76620" w:rsidRPr="00813D19">
        <w:rPr>
          <w:iCs/>
          <w:color w:val="000000" w:themeColor="text1"/>
          <w:lang w:val="en-US"/>
        </w:rPr>
        <w:t xml:space="preserve"> also Ms</w:t>
      </w:r>
      <w:r w:rsidR="00EA44A9" w:rsidRPr="00813D19">
        <w:rPr>
          <w:iCs/>
          <w:color w:val="000000" w:themeColor="text1"/>
          <w:lang w:val="en-US"/>
        </w:rPr>
        <w:t xml:space="preserve"> Karalyn Monteil </w:t>
      </w:r>
      <w:r w:rsidR="00D76620" w:rsidRPr="00813D19">
        <w:rPr>
          <w:iCs/>
          <w:color w:val="000000" w:themeColor="text1"/>
          <w:lang w:val="en-US"/>
        </w:rPr>
        <w:t xml:space="preserve">from the UNESCO Nairobi Office, </w:t>
      </w:r>
      <w:r w:rsidR="006A5464" w:rsidRPr="00813D19">
        <w:rPr>
          <w:iCs/>
          <w:color w:val="000000" w:themeColor="text1"/>
          <w:lang w:val="en-US"/>
        </w:rPr>
        <w:t xml:space="preserve">while </w:t>
      </w:r>
      <w:r w:rsidR="00D76620" w:rsidRPr="00813D19">
        <w:rPr>
          <w:iCs/>
          <w:color w:val="000000" w:themeColor="text1"/>
          <w:lang w:val="en-US"/>
        </w:rPr>
        <w:t>noting the importance of involving</w:t>
      </w:r>
      <w:r w:rsidR="00EA44A9" w:rsidRPr="00813D19">
        <w:rPr>
          <w:iCs/>
          <w:color w:val="000000" w:themeColor="text1"/>
          <w:lang w:val="en-US"/>
        </w:rPr>
        <w:t xml:space="preserve"> </w:t>
      </w:r>
      <w:r w:rsidR="00D76620" w:rsidRPr="00813D19">
        <w:rPr>
          <w:iCs/>
          <w:color w:val="000000" w:themeColor="text1"/>
          <w:lang w:val="en-US"/>
        </w:rPr>
        <w:t xml:space="preserve">the facilitators and resource persons </w:t>
      </w:r>
      <w:r w:rsidR="00EA44A9" w:rsidRPr="00813D19">
        <w:rPr>
          <w:iCs/>
          <w:color w:val="000000" w:themeColor="text1"/>
          <w:lang w:val="en-US"/>
        </w:rPr>
        <w:t xml:space="preserve">who </w:t>
      </w:r>
      <w:r w:rsidR="00412069" w:rsidRPr="00813D19">
        <w:rPr>
          <w:iCs/>
          <w:color w:val="000000" w:themeColor="text1"/>
          <w:lang w:val="en-US"/>
        </w:rPr>
        <w:t>c</w:t>
      </w:r>
      <w:r w:rsidR="00412069">
        <w:rPr>
          <w:iCs/>
          <w:color w:val="000000" w:themeColor="text1"/>
          <w:lang w:val="en-US"/>
        </w:rPr>
        <w:t>ould</w:t>
      </w:r>
      <w:r w:rsidR="00412069" w:rsidRPr="00813D19">
        <w:rPr>
          <w:iCs/>
          <w:color w:val="000000" w:themeColor="text1"/>
          <w:lang w:val="en-US"/>
        </w:rPr>
        <w:t xml:space="preserve"> </w:t>
      </w:r>
      <w:r w:rsidR="00EA44A9" w:rsidRPr="00813D19">
        <w:rPr>
          <w:iCs/>
          <w:color w:val="000000" w:themeColor="text1"/>
          <w:lang w:val="en-US"/>
        </w:rPr>
        <w:t>help</w:t>
      </w:r>
      <w:r w:rsidR="00D76620" w:rsidRPr="00813D19">
        <w:rPr>
          <w:iCs/>
          <w:color w:val="000000" w:themeColor="text1"/>
          <w:lang w:val="en-US"/>
        </w:rPr>
        <w:t xml:space="preserve"> in the process. A</w:t>
      </w:r>
      <w:r w:rsidR="00EA44A9" w:rsidRPr="00813D19">
        <w:rPr>
          <w:iCs/>
          <w:color w:val="000000" w:themeColor="text1"/>
          <w:lang w:val="en-US"/>
        </w:rPr>
        <w:t>bove all</w:t>
      </w:r>
      <w:r w:rsidR="00D76620" w:rsidRPr="00813D19">
        <w:rPr>
          <w:iCs/>
          <w:color w:val="000000" w:themeColor="text1"/>
          <w:lang w:val="en-US"/>
        </w:rPr>
        <w:t>,</w:t>
      </w:r>
      <w:r w:rsidR="00EA44A9" w:rsidRPr="00813D19">
        <w:rPr>
          <w:iCs/>
          <w:color w:val="000000" w:themeColor="text1"/>
          <w:lang w:val="en-US"/>
        </w:rPr>
        <w:t xml:space="preserve"> </w:t>
      </w:r>
      <w:r w:rsidR="00AC696F" w:rsidRPr="00813D19">
        <w:rPr>
          <w:iCs/>
          <w:color w:val="000000" w:themeColor="text1"/>
          <w:lang w:val="en-US"/>
        </w:rPr>
        <w:t xml:space="preserve">the report constituted </w:t>
      </w:r>
      <w:r w:rsidR="00EA44A9" w:rsidRPr="00813D19">
        <w:rPr>
          <w:iCs/>
          <w:color w:val="000000" w:themeColor="text1"/>
          <w:lang w:val="en-US"/>
        </w:rPr>
        <w:t xml:space="preserve">the memory </w:t>
      </w:r>
      <w:r w:rsidR="006A5464" w:rsidRPr="00813D19">
        <w:rPr>
          <w:iCs/>
          <w:color w:val="000000" w:themeColor="text1"/>
          <w:lang w:val="en-US"/>
        </w:rPr>
        <w:t xml:space="preserve">of each country </w:t>
      </w:r>
      <w:r w:rsidR="00AC696F" w:rsidRPr="00813D19">
        <w:rPr>
          <w:iCs/>
          <w:color w:val="000000" w:themeColor="text1"/>
          <w:lang w:val="en-US"/>
        </w:rPr>
        <w:t xml:space="preserve">in terms of </w:t>
      </w:r>
      <w:r w:rsidR="00EA44A9" w:rsidRPr="00813D19">
        <w:rPr>
          <w:iCs/>
          <w:color w:val="000000" w:themeColor="text1"/>
          <w:lang w:val="en-US"/>
        </w:rPr>
        <w:t xml:space="preserve">progress </w:t>
      </w:r>
      <w:r w:rsidR="00AC696F" w:rsidRPr="00813D19">
        <w:rPr>
          <w:iCs/>
          <w:color w:val="000000" w:themeColor="text1"/>
          <w:lang w:val="en-US"/>
        </w:rPr>
        <w:t xml:space="preserve">in the </w:t>
      </w:r>
      <w:r w:rsidR="00EA44A9" w:rsidRPr="00813D19">
        <w:rPr>
          <w:iCs/>
          <w:color w:val="000000" w:themeColor="text1"/>
          <w:lang w:val="en-US"/>
        </w:rPr>
        <w:t xml:space="preserve">implementation of </w:t>
      </w:r>
      <w:r w:rsidR="00AC696F" w:rsidRPr="00813D19">
        <w:rPr>
          <w:iCs/>
          <w:color w:val="000000" w:themeColor="text1"/>
          <w:lang w:val="en-US"/>
        </w:rPr>
        <w:t xml:space="preserve">the Convention. In this regard, </w:t>
      </w:r>
      <w:r w:rsidR="00EA44A9" w:rsidRPr="00813D19">
        <w:rPr>
          <w:iCs/>
          <w:color w:val="000000" w:themeColor="text1"/>
          <w:lang w:val="en-US"/>
        </w:rPr>
        <w:t xml:space="preserve">it </w:t>
      </w:r>
      <w:r w:rsidR="00AC696F" w:rsidRPr="00813D19">
        <w:rPr>
          <w:iCs/>
          <w:color w:val="000000" w:themeColor="text1"/>
          <w:lang w:val="en-US"/>
        </w:rPr>
        <w:t xml:space="preserve">was </w:t>
      </w:r>
      <w:r w:rsidR="00EA44A9" w:rsidRPr="00813D19">
        <w:rPr>
          <w:iCs/>
          <w:color w:val="000000" w:themeColor="text1"/>
          <w:lang w:val="en-US"/>
        </w:rPr>
        <w:t xml:space="preserve">necessary </w:t>
      </w:r>
      <w:r w:rsidR="00AC696F" w:rsidRPr="00813D19">
        <w:rPr>
          <w:iCs/>
          <w:color w:val="000000" w:themeColor="text1"/>
          <w:lang w:val="en-US"/>
        </w:rPr>
        <w:t xml:space="preserve">and important </w:t>
      </w:r>
      <w:r w:rsidR="00EA44A9" w:rsidRPr="00813D19">
        <w:rPr>
          <w:iCs/>
          <w:color w:val="000000" w:themeColor="text1"/>
          <w:lang w:val="en-US"/>
        </w:rPr>
        <w:t xml:space="preserve">for the </w:t>
      </w:r>
      <w:r w:rsidR="00AC696F" w:rsidRPr="00813D19">
        <w:rPr>
          <w:iCs/>
          <w:color w:val="000000" w:themeColor="text1"/>
          <w:lang w:val="en-US"/>
        </w:rPr>
        <w:t>S</w:t>
      </w:r>
      <w:r w:rsidR="00EA44A9" w:rsidRPr="00813D19">
        <w:rPr>
          <w:iCs/>
          <w:color w:val="000000" w:themeColor="text1"/>
          <w:lang w:val="en-US"/>
        </w:rPr>
        <w:t xml:space="preserve">ecretariat and the Committee to </w:t>
      </w:r>
      <w:r w:rsidR="00AC696F" w:rsidRPr="00813D19">
        <w:rPr>
          <w:iCs/>
          <w:color w:val="000000" w:themeColor="text1"/>
          <w:lang w:val="en-US"/>
        </w:rPr>
        <w:t>take</w:t>
      </w:r>
      <w:r w:rsidR="00EA44A9" w:rsidRPr="00813D19">
        <w:rPr>
          <w:iCs/>
          <w:color w:val="000000" w:themeColor="text1"/>
          <w:lang w:val="en-US"/>
        </w:rPr>
        <w:t xml:space="preserve"> into account </w:t>
      </w:r>
      <w:r w:rsidR="00AC696F" w:rsidRPr="00813D19">
        <w:rPr>
          <w:iCs/>
          <w:color w:val="000000" w:themeColor="text1"/>
          <w:lang w:val="en-US"/>
        </w:rPr>
        <w:t xml:space="preserve">the </w:t>
      </w:r>
      <w:r w:rsidR="00EA44A9" w:rsidRPr="00813D19">
        <w:rPr>
          <w:iCs/>
          <w:color w:val="000000" w:themeColor="text1"/>
          <w:lang w:val="en-US"/>
        </w:rPr>
        <w:t xml:space="preserve">reporting status </w:t>
      </w:r>
      <w:r w:rsidR="00AC696F" w:rsidRPr="00813D19">
        <w:rPr>
          <w:iCs/>
          <w:color w:val="000000" w:themeColor="text1"/>
          <w:lang w:val="en-US"/>
        </w:rPr>
        <w:t xml:space="preserve">so as </w:t>
      </w:r>
      <w:r w:rsidR="00EA44A9" w:rsidRPr="00813D19">
        <w:rPr>
          <w:iCs/>
          <w:color w:val="000000" w:themeColor="text1"/>
          <w:lang w:val="en-US"/>
        </w:rPr>
        <w:t xml:space="preserve">to target and </w:t>
      </w:r>
      <w:r w:rsidR="00AC696F" w:rsidRPr="00813D19">
        <w:rPr>
          <w:iCs/>
          <w:color w:val="000000" w:themeColor="text1"/>
          <w:lang w:val="en-US"/>
        </w:rPr>
        <w:t xml:space="preserve">be </w:t>
      </w:r>
      <w:r w:rsidR="00EA44A9" w:rsidRPr="00813D19">
        <w:rPr>
          <w:iCs/>
          <w:color w:val="000000" w:themeColor="text1"/>
          <w:lang w:val="en-US"/>
        </w:rPr>
        <w:t>guide</w:t>
      </w:r>
      <w:r w:rsidR="00AC696F" w:rsidRPr="00813D19">
        <w:rPr>
          <w:iCs/>
          <w:color w:val="000000" w:themeColor="text1"/>
          <w:lang w:val="en-US"/>
        </w:rPr>
        <w:t xml:space="preserve">d by </w:t>
      </w:r>
      <w:r w:rsidR="00EA44A9" w:rsidRPr="00813D19">
        <w:rPr>
          <w:iCs/>
          <w:color w:val="000000" w:themeColor="text1"/>
          <w:lang w:val="en-US"/>
        </w:rPr>
        <w:t xml:space="preserve">the </w:t>
      </w:r>
      <w:r w:rsidR="00AC696F" w:rsidRPr="00813D19">
        <w:rPr>
          <w:iCs/>
          <w:color w:val="000000" w:themeColor="text1"/>
          <w:lang w:val="en-US"/>
        </w:rPr>
        <w:t xml:space="preserve">specific </w:t>
      </w:r>
      <w:r w:rsidR="00EA44A9" w:rsidRPr="00813D19">
        <w:rPr>
          <w:iCs/>
          <w:color w:val="000000" w:themeColor="text1"/>
          <w:lang w:val="en-US"/>
        </w:rPr>
        <w:t xml:space="preserve">priorities and needs of </w:t>
      </w:r>
      <w:r w:rsidR="00AC696F" w:rsidRPr="00813D19">
        <w:rPr>
          <w:iCs/>
          <w:color w:val="000000" w:themeColor="text1"/>
          <w:lang w:val="en-US"/>
        </w:rPr>
        <w:t xml:space="preserve">the </w:t>
      </w:r>
      <w:r w:rsidR="00EA44A9" w:rsidRPr="00813D19">
        <w:rPr>
          <w:iCs/>
          <w:color w:val="000000" w:themeColor="text1"/>
          <w:lang w:val="en-US"/>
        </w:rPr>
        <w:t>countries</w:t>
      </w:r>
      <w:r w:rsidR="00AC696F" w:rsidRPr="00813D19">
        <w:rPr>
          <w:iCs/>
          <w:color w:val="000000" w:themeColor="text1"/>
          <w:lang w:val="en-US"/>
        </w:rPr>
        <w:t xml:space="preserve"> concerned when formulating the capacity-building programmes</w:t>
      </w:r>
      <w:r w:rsidR="0016273D">
        <w:rPr>
          <w:iCs/>
          <w:color w:val="000000" w:themeColor="text1"/>
          <w:lang w:val="en-US"/>
        </w:rPr>
        <w:t>.</w:t>
      </w:r>
    </w:p>
    <w:p w14:paraId="0766ADC6" w14:textId="3F7D386F" w:rsidR="004212CA" w:rsidRPr="00813D19" w:rsidRDefault="009B7EFB"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delegation of Poland</w:t>
      </w:r>
      <w:r w:rsidR="008213AC" w:rsidRPr="000B6D83">
        <w:rPr>
          <w:bCs/>
          <w:lang w:val="en-US"/>
        </w:rPr>
        <w:t xml:space="preserve"> </w:t>
      </w:r>
      <w:r w:rsidR="00AC696F" w:rsidRPr="000B6D83">
        <w:rPr>
          <w:bCs/>
          <w:lang w:val="en-US"/>
        </w:rPr>
        <w:t>had</w:t>
      </w:r>
      <w:r w:rsidR="00AC696F" w:rsidRPr="00813D19">
        <w:rPr>
          <w:bCs/>
          <w:lang w:val="en-US"/>
        </w:rPr>
        <w:t xml:space="preserve"> </w:t>
      </w:r>
      <w:r w:rsidR="008213AC" w:rsidRPr="00813D19">
        <w:rPr>
          <w:bCs/>
          <w:lang w:val="en-US"/>
        </w:rPr>
        <w:t xml:space="preserve">submitted its first report </w:t>
      </w:r>
      <w:r w:rsidR="00AC696F" w:rsidRPr="00813D19">
        <w:rPr>
          <w:bCs/>
          <w:lang w:val="en-US"/>
        </w:rPr>
        <w:t xml:space="preserve">and wished </w:t>
      </w:r>
      <w:r w:rsidR="008213AC" w:rsidRPr="00813D19">
        <w:rPr>
          <w:bCs/>
          <w:lang w:val="en-US"/>
        </w:rPr>
        <w:t xml:space="preserve">to share </w:t>
      </w:r>
      <w:r w:rsidR="00AC696F" w:rsidRPr="00813D19">
        <w:rPr>
          <w:bCs/>
          <w:lang w:val="en-US"/>
        </w:rPr>
        <w:t xml:space="preserve">its </w:t>
      </w:r>
      <w:r w:rsidR="008213AC" w:rsidRPr="00813D19">
        <w:rPr>
          <w:bCs/>
          <w:lang w:val="en-US"/>
        </w:rPr>
        <w:t xml:space="preserve">positive experience </w:t>
      </w:r>
      <w:r w:rsidR="00412069">
        <w:rPr>
          <w:bCs/>
          <w:lang w:val="en-US"/>
        </w:rPr>
        <w:t>with</w:t>
      </w:r>
      <w:r w:rsidR="00412069" w:rsidRPr="00813D19">
        <w:rPr>
          <w:bCs/>
          <w:lang w:val="en-US"/>
        </w:rPr>
        <w:t xml:space="preserve"> </w:t>
      </w:r>
      <w:r w:rsidR="00AC696F" w:rsidRPr="00813D19">
        <w:rPr>
          <w:bCs/>
          <w:lang w:val="en-US"/>
        </w:rPr>
        <w:t xml:space="preserve">the reporting process, which </w:t>
      </w:r>
      <w:r w:rsidR="008213AC" w:rsidRPr="00813D19">
        <w:rPr>
          <w:bCs/>
          <w:lang w:val="en-US"/>
        </w:rPr>
        <w:t xml:space="preserve">was taken very seriously and </w:t>
      </w:r>
      <w:r w:rsidR="00AC696F" w:rsidRPr="00813D19">
        <w:rPr>
          <w:bCs/>
          <w:lang w:val="en-US"/>
        </w:rPr>
        <w:t xml:space="preserve">indeed </w:t>
      </w:r>
      <w:r w:rsidR="008213AC" w:rsidRPr="00813D19">
        <w:rPr>
          <w:bCs/>
          <w:lang w:val="en-US"/>
        </w:rPr>
        <w:t xml:space="preserve">helped identify gaps and reflect on new </w:t>
      </w:r>
      <w:r w:rsidR="00412069">
        <w:rPr>
          <w:bCs/>
          <w:lang w:val="en-US"/>
        </w:rPr>
        <w:t xml:space="preserve">safeguarding </w:t>
      </w:r>
      <w:r w:rsidR="008213AC" w:rsidRPr="00813D19">
        <w:rPr>
          <w:bCs/>
          <w:lang w:val="en-US"/>
        </w:rPr>
        <w:t xml:space="preserve">mechanisms. </w:t>
      </w:r>
      <w:r w:rsidR="00AC696F" w:rsidRPr="00813D19">
        <w:rPr>
          <w:bCs/>
          <w:lang w:val="en-US"/>
        </w:rPr>
        <w:t xml:space="preserve">Poland </w:t>
      </w:r>
      <w:r w:rsidR="009476D8" w:rsidRPr="00813D19">
        <w:rPr>
          <w:bCs/>
          <w:lang w:val="en-US"/>
        </w:rPr>
        <w:t>was constantly developing</w:t>
      </w:r>
      <w:r w:rsidR="008213AC" w:rsidRPr="00813D19">
        <w:rPr>
          <w:bCs/>
          <w:lang w:val="en-US"/>
        </w:rPr>
        <w:t xml:space="preserve"> </w:t>
      </w:r>
      <w:r w:rsidR="00AC696F" w:rsidRPr="00813D19">
        <w:rPr>
          <w:bCs/>
          <w:lang w:val="en-US"/>
        </w:rPr>
        <w:t xml:space="preserve">its </w:t>
      </w:r>
      <w:r w:rsidR="009476D8" w:rsidRPr="00813D19">
        <w:rPr>
          <w:bCs/>
          <w:lang w:val="en-US"/>
        </w:rPr>
        <w:t xml:space="preserve">national inventory, which </w:t>
      </w:r>
      <w:r w:rsidR="00AC696F" w:rsidRPr="00813D19">
        <w:rPr>
          <w:bCs/>
          <w:lang w:val="en-US"/>
        </w:rPr>
        <w:t>now contained</w:t>
      </w:r>
      <w:r w:rsidR="008213AC" w:rsidRPr="00813D19">
        <w:rPr>
          <w:bCs/>
          <w:lang w:val="en-US"/>
        </w:rPr>
        <w:t xml:space="preserve"> </w:t>
      </w:r>
      <w:r w:rsidR="00412069">
        <w:rPr>
          <w:bCs/>
          <w:lang w:val="en-US"/>
        </w:rPr>
        <w:t>thirty-two</w:t>
      </w:r>
      <w:r w:rsidR="00AC696F" w:rsidRPr="00813D19">
        <w:rPr>
          <w:bCs/>
          <w:lang w:val="en-US"/>
        </w:rPr>
        <w:t xml:space="preserve"> elements, and </w:t>
      </w:r>
      <w:r w:rsidR="009476D8" w:rsidRPr="00813D19">
        <w:rPr>
          <w:bCs/>
          <w:lang w:val="en-US"/>
        </w:rPr>
        <w:t xml:space="preserve">it </w:t>
      </w:r>
      <w:r w:rsidR="008213AC" w:rsidRPr="00813D19">
        <w:rPr>
          <w:bCs/>
          <w:lang w:val="en-US"/>
        </w:rPr>
        <w:t>encourage</w:t>
      </w:r>
      <w:r w:rsidR="00AC696F" w:rsidRPr="00813D19">
        <w:rPr>
          <w:bCs/>
          <w:lang w:val="en-US"/>
        </w:rPr>
        <w:t>d</w:t>
      </w:r>
      <w:r w:rsidR="008213AC" w:rsidRPr="00813D19">
        <w:rPr>
          <w:bCs/>
          <w:lang w:val="en-US"/>
        </w:rPr>
        <w:t xml:space="preserve"> other States to submit </w:t>
      </w:r>
      <w:r w:rsidR="005356E6" w:rsidRPr="00813D19">
        <w:rPr>
          <w:bCs/>
          <w:lang w:val="en-US"/>
        </w:rPr>
        <w:t xml:space="preserve">their reports, adding that it was </w:t>
      </w:r>
      <w:r w:rsidR="008213AC" w:rsidRPr="00813D19">
        <w:rPr>
          <w:bCs/>
          <w:lang w:val="en-US"/>
        </w:rPr>
        <w:t xml:space="preserve">ready to share </w:t>
      </w:r>
      <w:r w:rsidR="005356E6" w:rsidRPr="00813D19">
        <w:rPr>
          <w:bCs/>
          <w:lang w:val="en-US"/>
        </w:rPr>
        <w:t xml:space="preserve">its </w:t>
      </w:r>
      <w:r w:rsidR="008213AC" w:rsidRPr="00813D19">
        <w:rPr>
          <w:bCs/>
          <w:lang w:val="en-US"/>
        </w:rPr>
        <w:t xml:space="preserve">experience in this </w:t>
      </w:r>
      <w:r w:rsidR="009476D8" w:rsidRPr="00813D19">
        <w:rPr>
          <w:bCs/>
          <w:lang w:val="en-US"/>
        </w:rPr>
        <w:t>regard</w:t>
      </w:r>
      <w:r w:rsidR="00AC696F" w:rsidRPr="00813D19">
        <w:rPr>
          <w:rFonts w:ascii="Helvetica" w:hAnsi="Helvetica" w:cs="Helvetica"/>
          <w:iCs/>
          <w:color w:val="000000" w:themeColor="text1"/>
          <w:lang w:val="en-US"/>
        </w:rPr>
        <w:t>.</w:t>
      </w:r>
    </w:p>
    <w:p w14:paraId="04762C0B" w14:textId="6F72D5EC" w:rsidR="005465C2" w:rsidRPr="00813D19" w:rsidRDefault="005B22D4"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delegation of China</w:t>
      </w:r>
      <w:r w:rsidR="008213AC" w:rsidRPr="002827E3">
        <w:rPr>
          <w:b/>
          <w:iCs/>
          <w:color w:val="000000" w:themeColor="text1"/>
          <w:lang w:val="en-US"/>
        </w:rPr>
        <w:t xml:space="preserve"> </w:t>
      </w:r>
      <w:r w:rsidR="008213AC" w:rsidRPr="000B6D83">
        <w:rPr>
          <w:bCs/>
          <w:lang w:val="en-US"/>
        </w:rPr>
        <w:t>commend</w:t>
      </w:r>
      <w:r w:rsidR="00AC696F" w:rsidRPr="000B6D83">
        <w:rPr>
          <w:bCs/>
          <w:lang w:val="en-US"/>
        </w:rPr>
        <w:t>ed</w:t>
      </w:r>
      <w:r w:rsidR="008213AC" w:rsidRPr="00813D19">
        <w:rPr>
          <w:bCs/>
          <w:lang w:val="en-US"/>
        </w:rPr>
        <w:t xml:space="preserve"> the Secretariat for prep</w:t>
      </w:r>
      <w:r w:rsidR="009476D8" w:rsidRPr="00813D19">
        <w:rPr>
          <w:bCs/>
          <w:lang w:val="en-US"/>
        </w:rPr>
        <w:t>aring such a detailed summary of</w:t>
      </w:r>
      <w:r w:rsidR="008213AC" w:rsidRPr="00813D19">
        <w:rPr>
          <w:bCs/>
          <w:lang w:val="en-US"/>
        </w:rPr>
        <w:t xml:space="preserve"> </w:t>
      </w:r>
      <w:r w:rsidR="005356E6" w:rsidRPr="00813D19">
        <w:rPr>
          <w:bCs/>
          <w:lang w:val="en-US"/>
        </w:rPr>
        <w:t>the</w:t>
      </w:r>
      <w:r w:rsidR="008213AC" w:rsidRPr="00813D19">
        <w:rPr>
          <w:bCs/>
          <w:lang w:val="en-US"/>
        </w:rPr>
        <w:t xml:space="preserve"> </w:t>
      </w:r>
      <w:r w:rsidR="00412069">
        <w:rPr>
          <w:bCs/>
          <w:lang w:val="en-US"/>
        </w:rPr>
        <w:t>thirty-two</w:t>
      </w:r>
      <w:r w:rsidR="00412069" w:rsidRPr="00813D19">
        <w:rPr>
          <w:bCs/>
          <w:lang w:val="en-US"/>
        </w:rPr>
        <w:t xml:space="preserve"> </w:t>
      </w:r>
      <w:r w:rsidR="008213AC" w:rsidRPr="00813D19">
        <w:rPr>
          <w:bCs/>
          <w:lang w:val="en-US"/>
        </w:rPr>
        <w:t xml:space="preserve">reports submitted by the States Parties </w:t>
      </w:r>
      <w:r w:rsidR="005356E6" w:rsidRPr="00813D19">
        <w:rPr>
          <w:bCs/>
          <w:lang w:val="en-US"/>
        </w:rPr>
        <w:t>in 2018</w:t>
      </w:r>
      <w:r w:rsidR="008213AC" w:rsidRPr="00813D19">
        <w:rPr>
          <w:bCs/>
          <w:lang w:val="en-US"/>
        </w:rPr>
        <w:t xml:space="preserve">. </w:t>
      </w:r>
      <w:r w:rsidR="005356E6" w:rsidRPr="00813D19">
        <w:rPr>
          <w:bCs/>
          <w:lang w:val="en-US"/>
        </w:rPr>
        <w:t xml:space="preserve">The periodic reports provided </w:t>
      </w:r>
      <w:r w:rsidR="008213AC" w:rsidRPr="00813D19">
        <w:rPr>
          <w:bCs/>
          <w:lang w:val="en-US"/>
        </w:rPr>
        <w:t xml:space="preserve">information and good practices of </w:t>
      </w:r>
      <w:r w:rsidR="005356E6" w:rsidRPr="00813D19">
        <w:rPr>
          <w:bCs/>
          <w:lang w:val="en-US"/>
        </w:rPr>
        <w:t xml:space="preserve">the </w:t>
      </w:r>
      <w:r w:rsidR="008213AC" w:rsidRPr="00813D19">
        <w:rPr>
          <w:bCs/>
          <w:lang w:val="en-US"/>
        </w:rPr>
        <w:t>different countries</w:t>
      </w:r>
      <w:r w:rsidR="009476D8" w:rsidRPr="00813D19">
        <w:rPr>
          <w:bCs/>
          <w:lang w:val="en-US"/>
        </w:rPr>
        <w:t>,</w:t>
      </w:r>
      <w:r w:rsidR="008213AC" w:rsidRPr="00813D19">
        <w:rPr>
          <w:bCs/>
          <w:lang w:val="en-US"/>
        </w:rPr>
        <w:t xml:space="preserve"> </w:t>
      </w:r>
      <w:r w:rsidR="005356E6" w:rsidRPr="00813D19">
        <w:rPr>
          <w:bCs/>
          <w:lang w:val="en-US"/>
        </w:rPr>
        <w:t xml:space="preserve">and their </w:t>
      </w:r>
      <w:r w:rsidR="008213AC" w:rsidRPr="00813D19">
        <w:rPr>
          <w:bCs/>
          <w:lang w:val="en-US"/>
        </w:rPr>
        <w:t>adopt</w:t>
      </w:r>
      <w:r w:rsidR="005356E6" w:rsidRPr="00813D19">
        <w:rPr>
          <w:bCs/>
          <w:lang w:val="en-US"/>
        </w:rPr>
        <w:t>ed</w:t>
      </w:r>
      <w:r w:rsidR="008213AC" w:rsidRPr="00813D19">
        <w:rPr>
          <w:bCs/>
          <w:lang w:val="en-US"/>
        </w:rPr>
        <w:t xml:space="preserve"> measures and policies on implementation and safeguarding </w:t>
      </w:r>
      <w:r w:rsidR="005356E6" w:rsidRPr="00813D19">
        <w:rPr>
          <w:bCs/>
          <w:lang w:val="en-US"/>
        </w:rPr>
        <w:t>intangible cultural heritage</w:t>
      </w:r>
      <w:r w:rsidR="008213AC" w:rsidRPr="00813D19">
        <w:rPr>
          <w:bCs/>
          <w:lang w:val="en-US"/>
        </w:rPr>
        <w:t xml:space="preserve">. </w:t>
      </w:r>
      <w:r w:rsidR="005356E6" w:rsidRPr="00813D19">
        <w:rPr>
          <w:bCs/>
          <w:lang w:val="en-US"/>
        </w:rPr>
        <w:t xml:space="preserve">This information  </w:t>
      </w:r>
      <w:r w:rsidR="00E639C1" w:rsidRPr="00813D19">
        <w:rPr>
          <w:bCs/>
          <w:lang w:val="en-US"/>
        </w:rPr>
        <w:t xml:space="preserve">on good practices </w:t>
      </w:r>
      <w:r w:rsidR="005356E6" w:rsidRPr="00813D19">
        <w:rPr>
          <w:bCs/>
          <w:lang w:val="en-US"/>
        </w:rPr>
        <w:t xml:space="preserve">should be used </w:t>
      </w:r>
      <w:r w:rsidR="00E639C1" w:rsidRPr="00813D19">
        <w:rPr>
          <w:bCs/>
          <w:lang w:val="en-US"/>
        </w:rPr>
        <w:t xml:space="preserve">to its </w:t>
      </w:r>
      <w:r w:rsidR="008213AC" w:rsidRPr="00813D19">
        <w:rPr>
          <w:bCs/>
          <w:lang w:val="en-US"/>
        </w:rPr>
        <w:t>advantage</w:t>
      </w:r>
      <w:r w:rsidR="00E639C1" w:rsidRPr="00813D19">
        <w:rPr>
          <w:bCs/>
          <w:lang w:val="en-US"/>
        </w:rPr>
        <w:t>, even though s</w:t>
      </w:r>
      <w:r w:rsidR="008213AC" w:rsidRPr="00813D19">
        <w:rPr>
          <w:bCs/>
          <w:lang w:val="en-US"/>
        </w:rPr>
        <w:t xml:space="preserve">ome may be very similar to </w:t>
      </w:r>
      <w:r w:rsidR="00E639C1" w:rsidRPr="00813D19">
        <w:rPr>
          <w:bCs/>
          <w:lang w:val="en-US"/>
        </w:rPr>
        <w:t>current actions</w:t>
      </w:r>
      <w:r w:rsidR="008213AC" w:rsidRPr="00813D19">
        <w:rPr>
          <w:bCs/>
          <w:lang w:val="en-US"/>
        </w:rPr>
        <w:t>. For instance, since 2015</w:t>
      </w:r>
      <w:r w:rsidR="00E639C1" w:rsidRPr="00813D19">
        <w:rPr>
          <w:bCs/>
          <w:lang w:val="en-US"/>
        </w:rPr>
        <w:t>,</w:t>
      </w:r>
      <w:r w:rsidR="008213AC" w:rsidRPr="00813D19">
        <w:rPr>
          <w:bCs/>
          <w:lang w:val="en-US"/>
        </w:rPr>
        <w:t xml:space="preserve"> </w:t>
      </w:r>
      <w:r w:rsidR="00E639C1" w:rsidRPr="00813D19">
        <w:rPr>
          <w:bCs/>
          <w:lang w:val="en-US"/>
        </w:rPr>
        <w:t xml:space="preserve">China </w:t>
      </w:r>
      <w:r w:rsidR="00412069" w:rsidRPr="00813D19">
        <w:rPr>
          <w:bCs/>
          <w:lang w:val="en-US"/>
        </w:rPr>
        <w:t>ha</w:t>
      </w:r>
      <w:r w:rsidR="00412069">
        <w:rPr>
          <w:bCs/>
          <w:lang w:val="en-US"/>
        </w:rPr>
        <w:t>d</w:t>
      </w:r>
      <w:r w:rsidR="00412069" w:rsidRPr="00813D19">
        <w:rPr>
          <w:bCs/>
          <w:lang w:val="en-US"/>
        </w:rPr>
        <w:t xml:space="preserve"> </w:t>
      </w:r>
      <w:r w:rsidR="00E639C1" w:rsidRPr="00813D19">
        <w:rPr>
          <w:bCs/>
          <w:lang w:val="en-US"/>
        </w:rPr>
        <w:t xml:space="preserve">been </w:t>
      </w:r>
      <w:r w:rsidR="008213AC" w:rsidRPr="00813D19">
        <w:rPr>
          <w:bCs/>
          <w:lang w:val="en-US"/>
        </w:rPr>
        <w:t xml:space="preserve">involved </w:t>
      </w:r>
      <w:r w:rsidR="00E639C1" w:rsidRPr="00813D19">
        <w:rPr>
          <w:bCs/>
          <w:lang w:val="en-US"/>
        </w:rPr>
        <w:t xml:space="preserve">in </w:t>
      </w:r>
      <w:r w:rsidR="008213AC" w:rsidRPr="00813D19">
        <w:rPr>
          <w:bCs/>
          <w:lang w:val="en-US"/>
        </w:rPr>
        <w:t xml:space="preserve">training courses and forums </w:t>
      </w:r>
      <w:r w:rsidR="00E639C1" w:rsidRPr="00813D19">
        <w:rPr>
          <w:bCs/>
          <w:lang w:val="en-US"/>
        </w:rPr>
        <w:t xml:space="preserve">in more than 118 colleges and higher education academies </w:t>
      </w:r>
      <w:r w:rsidR="008213AC" w:rsidRPr="00813D19">
        <w:rPr>
          <w:bCs/>
          <w:lang w:val="en-US"/>
        </w:rPr>
        <w:t xml:space="preserve">to </w:t>
      </w:r>
      <w:r w:rsidR="00412069">
        <w:rPr>
          <w:bCs/>
          <w:lang w:val="en-US"/>
        </w:rPr>
        <w:t>assist</w:t>
      </w:r>
      <w:r w:rsidR="00412069" w:rsidRPr="00813D19">
        <w:rPr>
          <w:bCs/>
          <w:lang w:val="en-US"/>
        </w:rPr>
        <w:t xml:space="preserve"> </w:t>
      </w:r>
      <w:r w:rsidR="008213AC" w:rsidRPr="00813D19">
        <w:rPr>
          <w:bCs/>
          <w:lang w:val="en-US"/>
        </w:rPr>
        <w:t xml:space="preserve">the bearers and practitioners </w:t>
      </w:r>
      <w:r w:rsidR="00412069">
        <w:rPr>
          <w:bCs/>
          <w:lang w:val="en-US"/>
        </w:rPr>
        <w:t>by</w:t>
      </w:r>
      <w:r w:rsidR="00412069" w:rsidRPr="00813D19">
        <w:rPr>
          <w:bCs/>
          <w:lang w:val="en-US"/>
        </w:rPr>
        <w:t xml:space="preserve"> </w:t>
      </w:r>
      <w:r w:rsidR="008213AC" w:rsidRPr="00813D19">
        <w:rPr>
          <w:bCs/>
          <w:lang w:val="en-US"/>
        </w:rPr>
        <w:t>help</w:t>
      </w:r>
      <w:r w:rsidR="00412069">
        <w:rPr>
          <w:bCs/>
          <w:lang w:val="en-US"/>
        </w:rPr>
        <w:t>ing</w:t>
      </w:r>
      <w:r w:rsidR="008213AC" w:rsidRPr="00813D19">
        <w:rPr>
          <w:bCs/>
          <w:lang w:val="en-US"/>
        </w:rPr>
        <w:t xml:space="preserve"> them better understand the Convention</w:t>
      </w:r>
      <w:r w:rsidR="00E639C1" w:rsidRPr="00813D19">
        <w:rPr>
          <w:bCs/>
          <w:lang w:val="en-US"/>
        </w:rPr>
        <w:t>, as well as better involving</w:t>
      </w:r>
      <w:r w:rsidR="008213AC" w:rsidRPr="00813D19">
        <w:rPr>
          <w:bCs/>
          <w:lang w:val="en-US"/>
        </w:rPr>
        <w:t xml:space="preserve"> </w:t>
      </w:r>
      <w:r w:rsidR="00E639C1" w:rsidRPr="00813D19">
        <w:rPr>
          <w:bCs/>
          <w:lang w:val="en-US"/>
        </w:rPr>
        <w:t xml:space="preserve">them in its </w:t>
      </w:r>
      <w:r w:rsidR="008213AC" w:rsidRPr="00813D19">
        <w:rPr>
          <w:bCs/>
          <w:lang w:val="en-US"/>
        </w:rPr>
        <w:t xml:space="preserve">implementation. </w:t>
      </w:r>
      <w:r w:rsidR="00E639C1" w:rsidRPr="00813D19">
        <w:rPr>
          <w:bCs/>
          <w:lang w:val="en-US"/>
        </w:rPr>
        <w:t xml:space="preserve">It had </w:t>
      </w:r>
      <w:r w:rsidR="008213AC" w:rsidRPr="00813D19">
        <w:rPr>
          <w:bCs/>
          <w:lang w:val="en-US"/>
        </w:rPr>
        <w:t xml:space="preserve">already found many similar practices </w:t>
      </w:r>
      <w:r w:rsidR="00E639C1" w:rsidRPr="00813D19">
        <w:rPr>
          <w:bCs/>
          <w:lang w:val="en-US"/>
        </w:rPr>
        <w:t xml:space="preserve">in </w:t>
      </w:r>
      <w:r w:rsidR="008213AC" w:rsidRPr="00813D19">
        <w:rPr>
          <w:bCs/>
          <w:lang w:val="en-US"/>
        </w:rPr>
        <w:t>other States Parties. Also</w:t>
      </w:r>
      <w:r w:rsidR="00E639C1" w:rsidRPr="00813D19">
        <w:rPr>
          <w:bCs/>
          <w:lang w:val="en-US"/>
        </w:rPr>
        <w:t>,</w:t>
      </w:r>
      <w:r w:rsidR="008213AC" w:rsidRPr="00813D19">
        <w:rPr>
          <w:bCs/>
          <w:lang w:val="en-US"/>
        </w:rPr>
        <w:t xml:space="preserve"> </w:t>
      </w:r>
      <w:r w:rsidR="00E639C1" w:rsidRPr="00813D19">
        <w:rPr>
          <w:bCs/>
          <w:lang w:val="en-US"/>
        </w:rPr>
        <w:t>much had been said in terms of the integration of intangible cultural heritage in</w:t>
      </w:r>
      <w:r w:rsidR="00412069">
        <w:rPr>
          <w:bCs/>
          <w:lang w:val="en-US"/>
        </w:rPr>
        <w:t>to</w:t>
      </w:r>
      <w:r w:rsidR="008213AC" w:rsidRPr="00813D19">
        <w:rPr>
          <w:bCs/>
          <w:lang w:val="en-US"/>
        </w:rPr>
        <w:t xml:space="preserve"> </w:t>
      </w:r>
      <w:r w:rsidR="00E639C1" w:rsidRPr="00813D19">
        <w:rPr>
          <w:bCs/>
          <w:lang w:val="en-US"/>
        </w:rPr>
        <w:t xml:space="preserve">school </w:t>
      </w:r>
      <w:r w:rsidR="008213AC" w:rsidRPr="00813D19">
        <w:rPr>
          <w:bCs/>
          <w:lang w:val="en-US"/>
        </w:rPr>
        <w:t>c</w:t>
      </w:r>
      <w:r w:rsidR="00E639C1" w:rsidRPr="00813D19">
        <w:rPr>
          <w:bCs/>
          <w:lang w:val="en-US"/>
        </w:rPr>
        <w:t xml:space="preserve">urricula, as </w:t>
      </w:r>
      <w:r w:rsidR="008213AC" w:rsidRPr="00813D19">
        <w:rPr>
          <w:bCs/>
          <w:lang w:val="en-US"/>
        </w:rPr>
        <w:t xml:space="preserve">mentioned by previous speakers. </w:t>
      </w:r>
      <w:r w:rsidR="00E639C1" w:rsidRPr="00813D19">
        <w:rPr>
          <w:bCs/>
          <w:lang w:val="en-US"/>
        </w:rPr>
        <w:t>Thus, vario</w:t>
      </w:r>
      <w:r w:rsidR="009476D8" w:rsidRPr="00813D19">
        <w:rPr>
          <w:bCs/>
          <w:lang w:val="en-US"/>
        </w:rPr>
        <w:t>u</w:t>
      </w:r>
      <w:r w:rsidR="00E639C1" w:rsidRPr="00813D19">
        <w:rPr>
          <w:bCs/>
          <w:lang w:val="en-US"/>
        </w:rPr>
        <w:t>s</w:t>
      </w:r>
      <w:r w:rsidR="008213AC" w:rsidRPr="00813D19">
        <w:rPr>
          <w:bCs/>
          <w:lang w:val="en-US"/>
        </w:rPr>
        <w:t xml:space="preserve"> </w:t>
      </w:r>
      <w:r w:rsidR="00E639C1" w:rsidRPr="00813D19">
        <w:rPr>
          <w:bCs/>
          <w:lang w:val="en-US"/>
        </w:rPr>
        <w:t xml:space="preserve">useful and </w:t>
      </w:r>
      <w:r w:rsidR="008213AC" w:rsidRPr="00813D19">
        <w:rPr>
          <w:bCs/>
          <w:lang w:val="en-US"/>
        </w:rPr>
        <w:t xml:space="preserve">effective </w:t>
      </w:r>
      <w:r w:rsidR="00412069">
        <w:rPr>
          <w:bCs/>
          <w:lang w:val="en-US"/>
        </w:rPr>
        <w:t xml:space="preserve">pieces of </w:t>
      </w:r>
      <w:r w:rsidR="008213AC" w:rsidRPr="00813D19">
        <w:rPr>
          <w:bCs/>
          <w:lang w:val="en-US"/>
        </w:rPr>
        <w:t xml:space="preserve">information </w:t>
      </w:r>
      <w:r w:rsidR="00E639C1" w:rsidRPr="00813D19">
        <w:rPr>
          <w:bCs/>
          <w:lang w:val="en-US"/>
        </w:rPr>
        <w:t>c</w:t>
      </w:r>
      <w:r w:rsidR="00412069">
        <w:rPr>
          <w:bCs/>
          <w:lang w:val="en-US"/>
        </w:rPr>
        <w:t>ould</w:t>
      </w:r>
      <w:r w:rsidR="00E639C1" w:rsidRPr="00813D19">
        <w:rPr>
          <w:bCs/>
          <w:lang w:val="en-US"/>
        </w:rPr>
        <w:t xml:space="preserve"> be gleaned </w:t>
      </w:r>
      <w:r w:rsidR="008213AC" w:rsidRPr="00813D19">
        <w:rPr>
          <w:bCs/>
          <w:lang w:val="en-US"/>
        </w:rPr>
        <w:t xml:space="preserve">from </w:t>
      </w:r>
      <w:r w:rsidR="00E639C1" w:rsidRPr="00813D19">
        <w:rPr>
          <w:bCs/>
          <w:lang w:val="en-US"/>
        </w:rPr>
        <w:t xml:space="preserve">these </w:t>
      </w:r>
      <w:r w:rsidR="008213AC" w:rsidRPr="00813D19">
        <w:rPr>
          <w:bCs/>
          <w:lang w:val="en-US"/>
        </w:rPr>
        <w:t xml:space="preserve">periodic reports. </w:t>
      </w:r>
      <w:r w:rsidR="00E639C1" w:rsidRPr="00813D19">
        <w:rPr>
          <w:bCs/>
          <w:lang w:val="en-US"/>
        </w:rPr>
        <w:t xml:space="preserve">Moreover, </w:t>
      </w:r>
      <w:r w:rsidR="008213AC" w:rsidRPr="00813D19">
        <w:rPr>
          <w:bCs/>
          <w:lang w:val="en-US"/>
        </w:rPr>
        <w:t xml:space="preserve">the </w:t>
      </w:r>
      <w:r w:rsidR="00E639C1" w:rsidRPr="00813D19">
        <w:rPr>
          <w:bCs/>
          <w:lang w:val="en-US"/>
        </w:rPr>
        <w:t xml:space="preserve">high </w:t>
      </w:r>
      <w:r w:rsidR="008213AC" w:rsidRPr="00813D19">
        <w:rPr>
          <w:bCs/>
          <w:lang w:val="en-US"/>
        </w:rPr>
        <w:t xml:space="preserve">number of delayed reports </w:t>
      </w:r>
      <w:r w:rsidR="009476D8" w:rsidRPr="00813D19">
        <w:rPr>
          <w:bCs/>
          <w:lang w:val="en-US"/>
        </w:rPr>
        <w:t xml:space="preserve">only </w:t>
      </w:r>
      <w:r w:rsidR="008213AC" w:rsidRPr="00813D19">
        <w:rPr>
          <w:bCs/>
          <w:lang w:val="en-US"/>
        </w:rPr>
        <w:t>reflect</w:t>
      </w:r>
      <w:r w:rsidR="00E639C1" w:rsidRPr="00813D19">
        <w:rPr>
          <w:bCs/>
          <w:lang w:val="en-US"/>
        </w:rPr>
        <w:t>ed</w:t>
      </w:r>
      <w:r w:rsidR="008213AC" w:rsidRPr="00813D19">
        <w:rPr>
          <w:bCs/>
          <w:lang w:val="en-US"/>
        </w:rPr>
        <w:t xml:space="preserve"> the </w:t>
      </w:r>
      <w:r w:rsidR="009476D8" w:rsidRPr="00813D19">
        <w:rPr>
          <w:bCs/>
          <w:lang w:val="en-US"/>
        </w:rPr>
        <w:t>gr</w:t>
      </w:r>
      <w:r w:rsidR="00E639C1" w:rsidRPr="00813D19">
        <w:rPr>
          <w:bCs/>
          <w:lang w:val="en-US"/>
        </w:rPr>
        <w:t>e</w:t>
      </w:r>
      <w:r w:rsidR="009476D8" w:rsidRPr="00813D19">
        <w:rPr>
          <w:bCs/>
          <w:lang w:val="en-US"/>
        </w:rPr>
        <w:t>a</w:t>
      </w:r>
      <w:r w:rsidR="00E639C1" w:rsidRPr="00813D19">
        <w:rPr>
          <w:bCs/>
          <w:lang w:val="en-US"/>
        </w:rPr>
        <w:t>ter need for capacity</w:t>
      </w:r>
      <w:r w:rsidR="00412069">
        <w:rPr>
          <w:bCs/>
          <w:lang w:val="en-US"/>
        </w:rPr>
        <w:t xml:space="preserve"> </w:t>
      </w:r>
      <w:r w:rsidR="008213AC" w:rsidRPr="00813D19">
        <w:rPr>
          <w:bCs/>
          <w:lang w:val="en-US"/>
        </w:rPr>
        <w:t>building</w:t>
      </w:r>
      <w:r w:rsidR="00E639C1" w:rsidRPr="00813D19">
        <w:rPr>
          <w:bCs/>
          <w:lang w:val="en-US"/>
        </w:rPr>
        <w:t>,</w:t>
      </w:r>
      <w:r w:rsidR="008213AC" w:rsidRPr="00813D19">
        <w:rPr>
          <w:bCs/>
          <w:lang w:val="en-US"/>
        </w:rPr>
        <w:t xml:space="preserve"> not </w:t>
      </w:r>
      <w:r w:rsidR="009476D8" w:rsidRPr="00813D19">
        <w:rPr>
          <w:bCs/>
          <w:lang w:val="en-US"/>
        </w:rPr>
        <w:t xml:space="preserve">just </w:t>
      </w:r>
      <w:r w:rsidR="008213AC" w:rsidRPr="00813D19">
        <w:rPr>
          <w:bCs/>
          <w:lang w:val="en-US"/>
        </w:rPr>
        <w:t xml:space="preserve">for States Parties who </w:t>
      </w:r>
      <w:r w:rsidR="00E639C1" w:rsidRPr="00813D19">
        <w:rPr>
          <w:bCs/>
          <w:lang w:val="en-US"/>
        </w:rPr>
        <w:t xml:space="preserve">had not yet </w:t>
      </w:r>
      <w:r w:rsidR="008213AC" w:rsidRPr="00813D19">
        <w:rPr>
          <w:bCs/>
          <w:lang w:val="en-US"/>
        </w:rPr>
        <w:t>submitted their reports</w:t>
      </w:r>
      <w:r w:rsidR="00E639C1" w:rsidRPr="00813D19">
        <w:rPr>
          <w:bCs/>
          <w:lang w:val="en-US"/>
        </w:rPr>
        <w:t>,</w:t>
      </w:r>
      <w:r w:rsidR="008213AC" w:rsidRPr="00813D19">
        <w:rPr>
          <w:bCs/>
          <w:lang w:val="en-US"/>
        </w:rPr>
        <w:t xml:space="preserve"> but even for States Parties </w:t>
      </w:r>
      <w:r w:rsidR="00E639C1" w:rsidRPr="00813D19">
        <w:rPr>
          <w:bCs/>
          <w:lang w:val="en-US"/>
        </w:rPr>
        <w:t xml:space="preserve">that had </w:t>
      </w:r>
      <w:r w:rsidR="008213AC" w:rsidRPr="00813D19">
        <w:rPr>
          <w:bCs/>
          <w:lang w:val="en-US"/>
        </w:rPr>
        <w:t>already submitted their re</w:t>
      </w:r>
      <w:r w:rsidR="00E639C1" w:rsidRPr="00813D19">
        <w:rPr>
          <w:bCs/>
          <w:lang w:val="en-US"/>
        </w:rPr>
        <w:t xml:space="preserve">ports. </w:t>
      </w:r>
      <w:r w:rsidR="006A6F7D" w:rsidRPr="00813D19">
        <w:rPr>
          <w:bCs/>
          <w:lang w:val="en-US"/>
        </w:rPr>
        <w:t>F</w:t>
      </w:r>
      <w:r w:rsidR="00E639C1" w:rsidRPr="00813D19">
        <w:rPr>
          <w:bCs/>
          <w:lang w:val="en-US"/>
        </w:rPr>
        <w:t>or instance,</w:t>
      </w:r>
      <w:r w:rsidR="008213AC" w:rsidRPr="00813D19">
        <w:rPr>
          <w:bCs/>
          <w:lang w:val="en-US"/>
        </w:rPr>
        <w:t xml:space="preserve"> </w:t>
      </w:r>
      <w:r w:rsidR="006A6F7D" w:rsidRPr="00813D19">
        <w:rPr>
          <w:bCs/>
          <w:lang w:val="en-US"/>
        </w:rPr>
        <w:t xml:space="preserve">China has </w:t>
      </w:r>
      <w:r w:rsidR="008213AC" w:rsidRPr="00813D19">
        <w:rPr>
          <w:bCs/>
          <w:lang w:val="en-US"/>
        </w:rPr>
        <w:t xml:space="preserve">a large number of communities </w:t>
      </w:r>
      <w:r w:rsidR="006A6F7D" w:rsidRPr="00813D19">
        <w:rPr>
          <w:bCs/>
          <w:lang w:val="en-US"/>
        </w:rPr>
        <w:t xml:space="preserve">that </w:t>
      </w:r>
      <w:r w:rsidR="008213AC" w:rsidRPr="00813D19">
        <w:rPr>
          <w:bCs/>
          <w:lang w:val="en-US"/>
        </w:rPr>
        <w:t>need to enhance</w:t>
      </w:r>
      <w:r w:rsidR="00412069">
        <w:rPr>
          <w:bCs/>
          <w:lang w:val="en-US"/>
        </w:rPr>
        <w:t xml:space="preserve"> their</w:t>
      </w:r>
      <w:r w:rsidR="008213AC" w:rsidRPr="00813D19">
        <w:rPr>
          <w:bCs/>
          <w:lang w:val="en-US"/>
        </w:rPr>
        <w:t xml:space="preserve"> capacit</w:t>
      </w:r>
      <w:r w:rsidR="00412069">
        <w:rPr>
          <w:bCs/>
          <w:lang w:val="en-US"/>
        </w:rPr>
        <w:t>ies</w:t>
      </w:r>
      <w:r w:rsidR="008213AC" w:rsidRPr="00813D19">
        <w:rPr>
          <w:bCs/>
          <w:lang w:val="en-US"/>
        </w:rPr>
        <w:t xml:space="preserve"> </w:t>
      </w:r>
      <w:r w:rsidR="006A6F7D" w:rsidRPr="00813D19">
        <w:rPr>
          <w:bCs/>
          <w:lang w:val="en-US"/>
        </w:rPr>
        <w:t xml:space="preserve">in terms of </w:t>
      </w:r>
      <w:r w:rsidR="008213AC" w:rsidRPr="00813D19">
        <w:rPr>
          <w:bCs/>
          <w:lang w:val="en-US"/>
        </w:rPr>
        <w:t>implementation</w:t>
      </w:r>
      <w:r w:rsidR="006A6F7D" w:rsidRPr="00813D19">
        <w:rPr>
          <w:bCs/>
          <w:lang w:val="en-US"/>
        </w:rPr>
        <w:t>,</w:t>
      </w:r>
      <w:r w:rsidR="008213AC" w:rsidRPr="00813D19">
        <w:rPr>
          <w:bCs/>
          <w:lang w:val="en-US"/>
        </w:rPr>
        <w:t xml:space="preserve"> and specifically on the submission of the periodic report. Fortunately</w:t>
      </w:r>
      <w:r w:rsidR="006A6F7D" w:rsidRPr="00813D19">
        <w:rPr>
          <w:bCs/>
          <w:lang w:val="en-US"/>
        </w:rPr>
        <w:t>,</w:t>
      </w:r>
      <w:r w:rsidR="008213AC" w:rsidRPr="00813D19">
        <w:rPr>
          <w:bCs/>
          <w:lang w:val="en-US"/>
        </w:rPr>
        <w:t xml:space="preserve"> at </w:t>
      </w:r>
      <w:r w:rsidR="006A6F7D" w:rsidRPr="00813D19">
        <w:rPr>
          <w:bCs/>
          <w:lang w:val="en-US"/>
        </w:rPr>
        <w:t xml:space="preserve">its </w:t>
      </w:r>
      <w:r w:rsidR="008213AC" w:rsidRPr="00813D19">
        <w:rPr>
          <w:bCs/>
          <w:lang w:val="en-US"/>
        </w:rPr>
        <w:t>seventh session</w:t>
      </w:r>
      <w:r w:rsidR="006A6F7D" w:rsidRPr="00813D19">
        <w:rPr>
          <w:bCs/>
          <w:lang w:val="en-US"/>
        </w:rPr>
        <w:t>,</w:t>
      </w:r>
      <w:r w:rsidR="008213AC" w:rsidRPr="00813D19">
        <w:rPr>
          <w:bCs/>
          <w:lang w:val="en-US"/>
        </w:rPr>
        <w:t xml:space="preserve"> the General Assembly adopted the </w:t>
      </w:r>
      <w:r w:rsidR="00412069">
        <w:rPr>
          <w:bCs/>
          <w:lang w:val="en-US"/>
        </w:rPr>
        <w:t>twenty-six</w:t>
      </w:r>
      <w:r w:rsidR="00412069" w:rsidRPr="00813D19">
        <w:rPr>
          <w:bCs/>
          <w:lang w:val="en-US"/>
        </w:rPr>
        <w:t xml:space="preserve"> </w:t>
      </w:r>
      <w:r w:rsidR="008213AC" w:rsidRPr="00813D19">
        <w:rPr>
          <w:bCs/>
          <w:lang w:val="en-US"/>
        </w:rPr>
        <w:t xml:space="preserve">indicators </w:t>
      </w:r>
      <w:r w:rsidR="006A6F7D" w:rsidRPr="00813D19">
        <w:rPr>
          <w:bCs/>
          <w:lang w:val="en-US"/>
        </w:rPr>
        <w:t xml:space="preserve">of </w:t>
      </w:r>
      <w:r w:rsidR="008213AC" w:rsidRPr="00813D19">
        <w:rPr>
          <w:bCs/>
          <w:lang w:val="en-US"/>
        </w:rPr>
        <w:t>the overall results framework</w:t>
      </w:r>
      <w:r w:rsidR="006A6F7D" w:rsidRPr="00813D19">
        <w:rPr>
          <w:bCs/>
          <w:lang w:val="en-US"/>
        </w:rPr>
        <w:t>,</w:t>
      </w:r>
      <w:r w:rsidR="008213AC" w:rsidRPr="00813D19">
        <w:rPr>
          <w:bCs/>
          <w:lang w:val="en-US"/>
        </w:rPr>
        <w:t xml:space="preserve"> which </w:t>
      </w:r>
      <w:r w:rsidR="006A6F7D" w:rsidRPr="00813D19">
        <w:rPr>
          <w:bCs/>
          <w:lang w:val="en-US"/>
        </w:rPr>
        <w:t xml:space="preserve">the delegation </w:t>
      </w:r>
      <w:r w:rsidR="008213AC" w:rsidRPr="00813D19">
        <w:rPr>
          <w:bCs/>
          <w:lang w:val="en-US"/>
        </w:rPr>
        <w:t>believe</w:t>
      </w:r>
      <w:r w:rsidR="006A6F7D" w:rsidRPr="00813D19">
        <w:rPr>
          <w:bCs/>
          <w:lang w:val="en-US"/>
        </w:rPr>
        <w:t>d</w:t>
      </w:r>
      <w:r w:rsidR="008213AC" w:rsidRPr="00813D19">
        <w:rPr>
          <w:bCs/>
          <w:lang w:val="en-US"/>
        </w:rPr>
        <w:t xml:space="preserve"> would help improve the reporting mechanism</w:t>
      </w:r>
      <w:r w:rsidR="006A6F7D" w:rsidRPr="00813D19">
        <w:rPr>
          <w:bCs/>
          <w:lang w:val="en-US"/>
        </w:rPr>
        <w:t>. In addition, the Committee would discuss the reform of</w:t>
      </w:r>
      <w:r w:rsidR="008213AC" w:rsidRPr="00813D19">
        <w:rPr>
          <w:bCs/>
          <w:lang w:val="en-US"/>
        </w:rPr>
        <w:t xml:space="preserve"> the periodic report</w:t>
      </w:r>
      <w:r w:rsidR="006A6F7D" w:rsidRPr="00813D19">
        <w:rPr>
          <w:bCs/>
          <w:lang w:val="en-US"/>
        </w:rPr>
        <w:t xml:space="preserve">ing mechanism in the current session, which would </w:t>
      </w:r>
      <w:r w:rsidR="00481B38" w:rsidRPr="00813D19">
        <w:rPr>
          <w:bCs/>
          <w:lang w:val="en-US"/>
        </w:rPr>
        <w:t>help improve</w:t>
      </w:r>
      <w:r w:rsidR="006A6F7D" w:rsidRPr="00813D19">
        <w:rPr>
          <w:bCs/>
          <w:lang w:val="en-US"/>
        </w:rPr>
        <w:t xml:space="preserve"> </w:t>
      </w:r>
      <w:r w:rsidR="00481B38" w:rsidRPr="00813D19">
        <w:rPr>
          <w:bCs/>
          <w:lang w:val="en-US"/>
        </w:rPr>
        <w:t xml:space="preserve">the </w:t>
      </w:r>
      <w:r w:rsidR="006A6F7D" w:rsidRPr="00813D19">
        <w:rPr>
          <w:bCs/>
          <w:lang w:val="en-US"/>
        </w:rPr>
        <w:t>reporting</w:t>
      </w:r>
      <w:r w:rsidR="00481B38" w:rsidRPr="00813D19">
        <w:rPr>
          <w:bCs/>
          <w:lang w:val="en-US"/>
        </w:rPr>
        <w:t xml:space="preserve"> system</w:t>
      </w:r>
      <w:r w:rsidR="0016273D">
        <w:rPr>
          <w:bCs/>
          <w:lang w:val="en-US"/>
        </w:rPr>
        <w:t>.</w:t>
      </w:r>
    </w:p>
    <w:p w14:paraId="0E5826B1" w14:textId="34F0462B" w:rsidR="005465C2" w:rsidRPr="00813D19" w:rsidRDefault="005465C2" w:rsidP="00CD5FF7">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Lebanon</w:t>
      </w:r>
      <w:r w:rsidR="005356E6" w:rsidRPr="00813D19">
        <w:rPr>
          <w:b/>
          <w:iCs/>
          <w:color w:val="000000" w:themeColor="text1"/>
          <w:lang w:val="en-US"/>
        </w:rPr>
        <w:t xml:space="preserve"> </w:t>
      </w:r>
      <w:r w:rsidR="00481B38" w:rsidRPr="00813D19">
        <w:rPr>
          <w:iCs/>
          <w:color w:val="000000" w:themeColor="text1"/>
          <w:lang w:val="en-US"/>
        </w:rPr>
        <w:t xml:space="preserve">remarked that it had </w:t>
      </w:r>
      <w:r w:rsidR="005356E6" w:rsidRPr="00813D19">
        <w:rPr>
          <w:iCs/>
          <w:color w:val="000000" w:themeColor="text1"/>
          <w:lang w:val="en-US"/>
        </w:rPr>
        <w:t xml:space="preserve">submitted </w:t>
      </w:r>
      <w:r w:rsidR="00481B38" w:rsidRPr="00813D19">
        <w:rPr>
          <w:iCs/>
          <w:color w:val="000000" w:themeColor="text1"/>
          <w:lang w:val="en-US"/>
        </w:rPr>
        <w:t xml:space="preserve">its </w:t>
      </w:r>
      <w:r w:rsidR="00CD5FF7" w:rsidRPr="00813D19">
        <w:rPr>
          <w:iCs/>
          <w:color w:val="000000" w:themeColor="text1"/>
          <w:lang w:val="en-US"/>
        </w:rPr>
        <w:t>report</w:t>
      </w:r>
      <w:r w:rsidR="005356E6" w:rsidRPr="00813D19">
        <w:rPr>
          <w:iCs/>
          <w:color w:val="000000" w:themeColor="text1"/>
          <w:lang w:val="en-US"/>
        </w:rPr>
        <w:t xml:space="preserve"> </w:t>
      </w:r>
      <w:r w:rsidR="00481B38" w:rsidRPr="00813D19">
        <w:rPr>
          <w:iCs/>
          <w:color w:val="000000" w:themeColor="text1"/>
          <w:lang w:val="en-US"/>
        </w:rPr>
        <w:t>in 2018</w:t>
      </w:r>
      <w:r w:rsidR="00CD5FF7" w:rsidRPr="00813D19">
        <w:rPr>
          <w:iCs/>
          <w:color w:val="000000" w:themeColor="text1"/>
          <w:lang w:val="en-US"/>
        </w:rPr>
        <w:t>,</w:t>
      </w:r>
      <w:r w:rsidR="005356E6" w:rsidRPr="00813D19">
        <w:rPr>
          <w:iCs/>
          <w:color w:val="000000" w:themeColor="text1"/>
          <w:lang w:val="en-US"/>
        </w:rPr>
        <w:t xml:space="preserve"> </w:t>
      </w:r>
      <w:r w:rsidR="00CD5FF7" w:rsidRPr="00813D19">
        <w:rPr>
          <w:iCs/>
          <w:color w:val="000000" w:themeColor="text1"/>
          <w:lang w:val="en-US"/>
        </w:rPr>
        <w:t>but</w:t>
      </w:r>
      <w:r w:rsidR="005356E6" w:rsidRPr="00813D19">
        <w:rPr>
          <w:iCs/>
          <w:color w:val="000000" w:themeColor="text1"/>
          <w:lang w:val="en-US"/>
        </w:rPr>
        <w:t xml:space="preserve"> </w:t>
      </w:r>
      <w:r w:rsidR="009476D8" w:rsidRPr="00813D19">
        <w:rPr>
          <w:iCs/>
          <w:color w:val="000000" w:themeColor="text1"/>
          <w:lang w:val="en-US"/>
        </w:rPr>
        <w:t xml:space="preserve">conceded that it had been </w:t>
      </w:r>
      <w:r w:rsidR="005356E6" w:rsidRPr="00813D19">
        <w:rPr>
          <w:iCs/>
          <w:color w:val="000000" w:themeColor="text1"/>
          <w:lang w:val="en-US"/>
        </w:rPr>
        <w:t xml:space="preserve">particularly late </w:t>
      </w:r>
      <w:r w:rsidR="00CD5FF7" w:rsidRPr="00813D19">
        <w:rPr>
          <w:iCs/>
          <w:color w:val="000000" w:themeColor="text1"/>
          <w:lang w:val="en-US"/>
        </w:rPr>
        <w:t xml:space="preserve">in </w:t>
      </w:r>
      <w:r w:rsidR="005356E6" w:rsidRPr="00813D19">
        <w:rPr>
          <w:iCs/>
          <w:color w:val="000000" w:themeColor="text1"/>
          <w:lang w:val="en-US"/>
        </w:rPr>
        <w:t>do</w:t>
      </w:r>
      <w:r w:rsidR="00CD5FF7" w:rsidRPr="00813D19">
        <w:rPr>
          <w:iCs/>
          <w:color w:val="000000" w:themeColor="text1"/>
          <w:lang w:val="en-US"/>
        </w:rPr>
        <w:t>ing</w:t>
      </w:r>
      <w:r w:rsidR="005356E6" w:rsidRPr="00813D19">
        <w:rPr>
          <w:iCs/>
          <w:color w:val="000000" w:themeColor="text1"/>
          <w:lang w:val="en-US"/>
        </w:rPr>
        <w:t xml:space="preserve"> so. </w:t>
      </w:r>
      <w:r w:rsidR="00813D19" w:rsidRPr="00813D19">
        <w:rPr>
          <w:iCs/>
          <w:color w:val="000000" w:themeColor="text1"/>
          <w:lang w:val="en-US"/>
        </w:rPr>
        <w:t>Nevertheless</w:t>
      </w:r>
      <w:r w:rsidR="00CD5FF7" w:rsidRPr="00813D19">
        <w:rPr>
          <w:iCs/>
          <w:color w:val="000000" w:themeColor="text1"/>
          <w:lang w:val="en-US"/>
        </w:rPr>
        <w:t>, the</w:t>
      </w:r>
      <w:r w:rsidR="005356E6" w:rsidRPr="00813D19">
        <w:rPr>
          <w:iCs/>
          <w:color w:val="000000" w:themeColor="text1"/>
          <w:lang w:val="en-US"/>
        </w:rPr>
        <w:t xml:space="preserve"> report </w:t>
      </w:r>
      <w:r w:rsidR="009476D8" w:rsidRPr="00813D19">
        <w:rPr>
          <w:iCs/>
          <w:color w:val="000000" w:themeColor="text1"/>
          <w:lang w:val="en-US"/>
        </w:rPr>
        <w:t>helped establish</w:t>
      </w:r>
      <w:r w:rsidR="00CD5FF7" w:rsidRPr="00813D19">
        <w:rPr>
          <w:iCs/>
          <w:color w:val="000000" w:themeColor="text1"/>
          <w:lang w:val="en-US"/>
        </w:rPr>
        <w:t xml:space="preserve"> the status of implementation </w:t>
      </w:r>
      <w:r w:rsidR="005356E6" w:rsidRPr="00813D19">
        <w:rPr>
          <w:iCs/>
          <w:color w:val="000000" w:themeColor="text1"/>
          <w:lang w:val="en-US"/>
        </w:rPr>
        <w:t xml:space="preserve">of the Convention in Lebanon, </w:t>
      </w:r>
      <w:r w:rsidR="00CD5FF7" w:rsidRPr="00813D19">
        <w:rPr>
          <w:iCs/>
          <w:color w:val="000000" w:themeColor="text1"/>
          <w:lang w:val="en-US"/>
        </w:rPr>
        <w:t>which</w:t>
      </w:r>
      <w:r w:rsidR="00EC4915">
        <w:rPr>
          <w:iCs/>
          <w:color w:val="000000" w:themeColor="text1"/>
          <w:lang w:val="en-US"/>
        </w:rPr>
        <w:t xml:space="preserve"> had</w:t>
      </w:r>
      <w:r w:rsidR="00CD5FF7" w:rsidRPr="00813D19">
        <w:rPr>
          <w:iCs/>
          <w:color w:val="000000" w:themeColor="text1"/>
          <w:lang w:val="en-US"/>
        </w:rPr>
        <w:t xml:space="preserve"> resulted in a rather negative assessment </w:t>
      </w:r>
      <w:r w:rsidR="005356E6" w:rsidRPr="00813D19">
        <w:rPr>
          <w:iCs/>
          <w:color w:val="000000" w:themeColor="text1"/>
          <w:lang w:val="en-US"/>
        </w:rPr>
        <w:t xml:space="preserve">for </w:t>
      </w:r>
      <w:r w:rsidR="00CD5FF7" w:rsidRPr="00813D19">
        <w:rPr>
          <w:iCs/>
          <w:color w:val="000000" w:themeColor="text1"/>
          <w:lang w:val="en-US"/>
        </w:rPr>
        <w:t xml:space="preserve">a number of </w:t>
      </w:r>
      <w:r w:rsidR="005946E8">
        <w:rPr>
          <w:iCs/>
          <w:color w:val="000000" w:themeColor="text1"/>
          <w:lang w:val="en-US"/>
        </w:rPr>
        <w:t>circumstantial</w:t>
      </w:r>
      <w:r w:rsidR="005946E8" w:rsidRPr="00813D19">
        <w:rPr>
          <w:iCs/>
          <w:color w:val="000000" w:themeColor="text1"/>
          <w:lang w:val="en-US"/>
        </w:rPr>
        <w:t xml:space="preserve"> </w:t>
      </w:r>
      <w:r w:rsidR="00CD5FF7" w:rsidRPr="00813D19">
        <w:rPr>
          <w:iCs/>
          <w:color w:val="000000" w:themeColor="text1"/>
          <w:lang w:val="en-US"/>
        </w:rPr>
        <w:t xml:space="preserve">and </w:t>
      </w:r>
      <w:r w:rsidR="005356E6" w:rsidRPr="00813D19">
        <w:rPr>
          <w:iCs/>
          <w:color w:val="000000" w:themeColor="text1"/>
          <w:lang w:val="en-US"/>
        </w:rPr>
        <w:t xml:space="preserve">institutional reasons. </w:t>
      </w:r>
      <w:r w:rsidR="00CD5FF7" w:rsidRPr="00813D19">
        <w:rPr>
          <w:iCs/>
          <w:color w:val="000000" w:themeColor="text1"/>
          <w:lang w:val="en-US"/>
        </w:rPr>
        <w:t xml:space="preserve">The delegation therefore took the </w:t>
      </w:r>
      <w:r w:rsidR="005356E6" w:rsidRPr="00813D19">
        <w:rPr>
          <w:iCs/>
          <w:color w:val="000000" w:themeColor="text1"/>
          <w:lang w:val="en-US"/>
        </w:rPr>
        <w:t xml:space="preserve">opportunity to thank Japan for supporting </w:t>
      </w:r>
      <w:r w:rsidR="00CD5FF7" w:rsidRPr="00813D19">
        <w:rPr>
          <w:iCs/>
          <w:color w:val="000000" w:themeColor="text1"/>
          <w:lang w:val="en-US"/>
        </w:rPr>
        <w:t xml:space="preserve">the reflection </w:t>
      </w:r>
      <w:r w:rsidR="005356E6" w:rsidRPr="00813D19">
        <w:rPr>
          <w:iCs/>
          <w:color w:val="000000" w:themeColor="text1"/>
          <w:lang w:val="en-US"/>
        </w:rPr>
        <w:t xml:space="preserve">process </w:t>
      </w:r>
      <w:r w:rsidR="00CD5FF7" w:rsidRPr="00813D19">
        <w:rPr>
          <w:iCs/>
          <w:color w:val="000000" w:themeColor="text1"/>
          <w:lang w:val="en-US"/>
        </w:rPr>
        <w:t xml:space="preserve">that </w:t>
      </w:r>
      <w:r w:rsidR="00EC4915">
        <w:rPr>
          <w:iCs/>
          <w:color w:val="000000" w:themeColor="text1"/>
          <w:lang w:val="en-US"/>
        </w:rPr>
        <w:t>would</w:t>
      </w:r>
      <w:r w:rsidR="00EC4915" w:rsidRPr="00813D19">
        <w:rPr>
          <w:iCs/>
          <w:color w:val="000000" w:themeColor="text1"/>
          <w:lang w:val="en-US"/>
        </w:rPr>
        <w:t xml:space="preserve"> </w:t>
      </w:r>
      <w:r w:rsidR="00CD5FF7" w:rsidRPr="00813D19">
        <w:rPr>
          <w:iCs/>
          <w:color w:val="000000" w:themeColor="text1"/>
          <w:lang w:val="en-US"/>
        </w:rPr>
        <w:t>strengthen</w:t>
      </w:r>
      <w:r w:rsidR="005356E6" w:rsidRPr="00813D19">
        <w:rPr>
          <w:iCs/>
          <w:color w:val="000000" w:themeColor="text1"/>
          <w:lang w:val="en-US"/>
        </w:rPr>
        <w:t xml:space="preserve"> </w:t>
      </w:r>
      <w:r w:rsidR="00CD5FF7" w:rsidRPr="00813D19">
        <w:rPr>
          <w:iCs/>
          <w:color w:val="000000" w:themeColor="text1"/>
          <w:lang w:val="en-US"/>
        </w:rPr>
        <w:t xml:space="preserve">the capacities of States Parties and ensure </w:t>
      </w:r>
      <w:r w:rsidR="005356E6" w:rsidRPr="00813D19">
        <w:rPr>
          <w:iCs/>
          <w:color w:val="000000" w:themeColor="text1"/>
          <w:lang w:val="en-US"/>
        </w:rPr>
        <w:t>long</w:t>
      </w:r>
      <w:r w:rsidR="00EC4915">
        <w:rPr>
          <w:iCs/>
          <w:color w:val="000000" w:themeColor="text1"/>
          <w:lang w:val="en-US"/>
        </w:rPr>
        <w:t>-</w:t>
      </w:r>
      <w:r w:rsidR="005356E6" w:rsidRPr="00813D19">
        <w:rPr>
          <w:iCs/>
          <w:color w:val="000000" w:themeColor="text1"/>
          <w:lang w:val="en-US"/>
        </w:rPr>
        <w:t xml:space="preserve">term and </w:t>
      </w:r>
      <w:r w:rsidR="00CD5FF7" w:rsidRPr="00813D19">
        <w:rPr>
          <w:iCs/>
          <w:color w:val="000000" w:themeColor="text1"/>
          <w:lang w:val="en-US"/>
        </w:rPr>
        <w:t>sustainable implementation</w:t>
      </w:r>
      <w:r w:rsidR="005356E6" w:rsidRPr="00813D19">
        <w:rPr>
          <w:iCs/>
          <w:color w:val="000000" w:themeColor="text1"/>
          <w:lang w:val="en-US"/>
        </w:rPr>
        <w:t>.</w:t>
      </w:r>
    </w:p>
    <w:p w14:paraId="2232EE42" w14:textId="38095BDD" w:rsidR="001E4FD6" w:rsidRPr="00813D19" w:rsidRDefault="001E4FD6"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The</w:t>
      </w:r>
      <w:r w:rsidRPr="002827E3">
        <w:rPr>
          <w:b/>
          <w:iCs/>
          <w:color w:val="000000" w:themeColor="text1"/>
          <w:lang w:val="en-US"/>
        </w:rPr>
        <w:t xml:space="preserve"> Chairperson </w:t>
      </w:r>
      <w:r w:rsidRPr="002827E3">
        <w:rPr>
          <w:iCs/>
          <w:color w:val="000000" w:themeColor="text1"/>
          <w:lang w:val="en-US"/>
        </w:rPr>
        <w:t>opened th</w:t>
      </w:r>
      <w:r w:rsidR="000755B2" w:rsidRPr="002827E3">
        <w:rPr>
          <w:iCs/>
          <w:color w:val="000000" w:themeColor="text1"/>
          <w:lang w:val="en-US"/>
        </w:rPr>
        <w:t>e floor to Observers</w:t>
      </w:r>
      <w:r w:rsidRPr="002827E3">
        <w:rPr>
          <w:iCs/>
          <w:color w:val="000000" w:themeColor="text1"/>
          <w:lang w:val="en-US"/>
        </w:rPr>
        <w:t>.</w:t>
      </w:r>
    </w:p>
    <w:p w14:paraId="1DBF5012" w14:textId="511DB26A" w:rsidR="00DF5A04" w:rsidRPr="00813D19" w:rsidRDefault="000A3E23"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delegation of Pakistan</w:t>
      </w:r>
      <w:r w:rsidR="005465C2" w:rsidRPr="002827E3">
        <w:rPr>
          <w:iCs/>
          <w:color w:val="000000" w:themeColor="text1"/>
          <w:lang w:val="en-US"/>
        </w:rPr>
        <w:t xml:space="preserve"> </w:t>
      </w:r>
      <w:r w:rsidR="008213AC" w:rsidRPr="000B6D83">
        <w:rPr>
          <w:bCs/>
          <w:lang w:val="en-US"/>
        </w:rPr>
        <w:t>thank</w:t>
      </w:r>
      <w:r w:rsidR="00FA5D29" w:rsidRPr="000B6D83">
        <w:rPr>
          <w:bCs/>
          <w:lang w:val="en-US"/>
        </w:rPr>
        <w:t>ed</w:t>
      </w:r>
      <w:r w:rsidR="008213AC" w:rsidRPr="000B6D83">
        <w:rPr>
          <w:bCs/>
          <w:lang w:val="en-US"/>
        </w:rPr>
        <w:t xml:space="preserve"> and</w:t>
      </w:r>
      <w:r w:rsidR="008213AC" w:rsidRPr="00813D19">
        <w:rPr>
          <w:bCs/>
          <w:lang w:val="en-US"/>
        </w:rPr>
        <w:t xml:space="preserve"> congratulate</w:t>
      </w:r>
      <w:r w:rsidR="00FA5D29" w:rsidRPr="00813D19">
        <w:rPr>
          <w:bCs/>
          <w:lang w:val="en-US"/>
        </w:rPr>
        <w:t xml:space="preserve">d the Chairperson, </w:t>
      </w:r>
      <w:r w:rsidR="008213AC" w:rsidRPr="00813D19">
        <w:rPr>
          <w:bCs/>
          <w:lang w:val="en-US"/>
        </w:rPr>
        <w:t>the Government of Mauritius and the Secretariat for organizing this important event. Pakistan</w:t>
      </w:r>
      <w:r w:rsidR="00FA5D29" w:rsidRPr="00813D19">
        <w:rPr>
          <w:bCs/>
          <w:lang w:val="en-US"/>
        </w:rPr>
        <w:t xml:space="preserve">, as </w:t>
      </w:r>
      <w:r w:rsidR="008213AC" w:rsidRPr="00813D19">
        <w:rPr>
          <w:bCs/>
          <w:lang w:val="en-US"/>
        </w:rPr>
        <w:t>custodian of a rich intangible cultural heritage</w:t>
      </w:r>
      <w:r w:rsidR="00FA5D29" w:rsidRPr="00813D19">
        <w:rPr>
          <w:bCs/>
          <w:lang w:val="en-US"/>
        </w:rPr>
        <w:t>,</w:t>
      </w:r>
      <w:r w:rsidR="008213AC" w:rsidRPr="00813D19">
        <w:rPr>
          <w:bCs/>
          <w:lang w:val="en-US"/>
        </w:rPr>
        <w:t xml:space="preserve"> takes pride in </w:t>
      </w:r>
      <w:r w:rsidR="00FA5D29" w:rsidRPr="00813D19">
        <w:rPr>
          <w:bCs/>
          <w:lang w:val="en-US"/>
        </w:rPr>
        <w:t xml:space="preserve">its heritage </w:t>
      </w:r>
      <w:r w:rsidR="008213AC" w:rsidRPr="00813D19">
        <w:rPr>
          <w:bCs/>
          <w:lang w:val="en-US"/>
        </w:rPr>
        <w:t xml:space="preserve">and </w:t>
      </w:r>
      <w:r w:rsidR="00612959" w:rsidRPr="00813D19">
        <w:rPr>
          <w:bCs/>
          <w:lang w:val="en-US"/>
        </w:rPr>
        <w:t xml:space="preserve">had </w:t>
      </w:r>
      <w:r w:rsidR="00A32BEB" w:rsidRPr="00813D19">
        <w:rPr>
          <w:bCs/>
          <w:lang w:val="en-US"/>
        </w:rPr>
        <w:t xml:space="preserve">ratified </w:t>
      </w:r>
      <w:r w:rsidR="008213AC" w:rsidRPr="00813D19">
        <w:rPr>
          <w:bCs/>
          <w:lang w:val="en-US"/>
        </w:rPr>
        <w:t>the Convention</w:t>
      </w:r>
      <w:r w:rsidR="00612959" w:rsidRPr="00813D19">
        <w:rPr>
          <w:bCs/>
          <w:lang w:val="en-US"/>
        </w:rPr>
        <w:t xml:space="preserve"> [in 2005]. This was Pakistan’s second report </w:t>
      </w:r>
      <w:r w:rsidR="008213AC" w:rsidRPr="00813D19">
        <w:rPr>
          <w:bCs/>
          <w:lang w:val="en-US"/>
        </w:rPr>
        <w:t xml:space="preserve">and it </w:t>
      </w:r>
      <w:r w:rsidR="00612959" w:rsidRPr="00813D19">
        <w:rPr>
          <w:bCs/>
          <w:lang w:val="en-US"/>
        </w:rPr>
        <w:t xml:space="preserve">was still </w:t>
      </w:r>
      <w:r w:rsidR="008213AC" w:rsidRPr="00813D19">
        <w:rPr>
          <w:bCs/>
          <w:lang w:val="en-US"/>
        </w:rPr>
        <w:t xml:space="preserve">a learning experience. </w:t>
      </w:r>
      <w:r w:rsidR="00612959" w:rsidRPr="00813D19">
        <w:rPr>
          <w:bCs/>
          <w:lang w:val="en-US"/>
        </w:rPr>
        <w:t>H</w:t>
      </w:r>
      <w:r w:rsidR="008213AC" w:rsidRPr="00813D19">
        <w:rPr>
          <w:bCs/>
          <w:lang w:val="en-US"/>
        </w:rPr>
        <w:t>ighlight</w:t>
      </w:r>
      <w:r w:rsidR="00612959" w:rsidRPr="00813D19">
        <w:rPr>
          <w:bCs/>
          <w:lang w:val="en-US"/>
        </w:rPr>
        <w:t>ing</w:t>
      </w:r>
      <w:r w:rsidR="008213AC" w:rsidRPr="00813D19">
        <w:rPr>
          <w:bCs/>
          <w:lang w:val="en-US"/>
        </w:rPr>
        <w:t xml:space="preserve"> some of the measures taken to implement the provisions of the </w:t>
      </w:r>
      <w:r w:rsidR="00612959" w:rsidRPr="00813D19">
        <w:rPr>
          <w:bCs/>
          <w:lang w:val="en-US"/>
        </w:rPr>
        <w:t xml:space="preserve">Convention, the delegation noted the </w:t>
      </w:r>
      <w:r w:rsidR="00EC4915">
        <w:rPr>
          <w:bCs/>
          <w:lang w:val="en-US"/>
        </w:rPr>
        <w:t>twenty-five</w:t>
      </w:r>
      <w:r w:rsidR="008213AC" w:rsidRPr="00813D19">
        <w:rPr>
          <w:bCs/>
          <w:lang w:val="en-US"/>
        </w:rPr>
        <w:t xml:space="preserve"> elem</w:t>
      </w:r>
      <w:r w:rsidR="00612959" w:rsidRPr="00813D19">
        <w:rPr>
          <w:bCs/>
          <w:lang w:val="en-US"/>
        </w:rPr>
        <w:t xml:space="preserve">ents on its national inventory, of which two elements had been inscribed in a multinational </w:t>
      </w:r>
      <w:r w:rsidR="006572F9" w:rsidRPr="00813D19">
        <w:rPr>
          <w:bCs/>
          <w:lang w:val="en-US"/>
        </w:rPr>
        <w:t>inscri</w:t>
      </w:r>
      <w:r w:rsidR="00612959" w:rsidRPr="00813D19">
        <w:rPr>
          <w:bCs/>
          <w:lang w:val="en-US"/>
        </w:rPr>
        <w:t xml:space="preserve">ption, </w:t>
      </w:r>
      <w:r w:rsidR="008213AC" w:rsidRPr="00813D19">
        <w:rPr>
          <w:bCs/>
          <w:lang w:val="en-US"/>
        </w:rPr>
        <w:t xml:space="preserve">namely, falconry and </w:t>
      </w:r>
      <w:r w:rsidR="00612959" w:rsidRPr="00813D19">
        <w:rPr>
          <w:bCs/>
          <w:lang w:val="en-US"/>
        </w:rPr>
        <w:t>the N</w:t>
      </w:r>
      <w:r w:rsidR="006572F9" w:rsidRPr="00813D19">
        <w:rPr>
          <w:bCs/>
          <w:lang w:val="en-US"/>
        </w:rPr>
        <w:t>a</w:t>
      </w:r>
      <w:r w:rsidR="008213AC" w:rsidRPr="00813D19">
        <w:rPr>
          <w:bCs/>
          <w:lang w:val="en-US"/>
        </w:rPr>
        <w:t>wrouz</w:t>
      </w:r>
      <w:r w:rsidR="006572F9" w:rsidRPr="00813D19">
        <w:rPr>
          <w:bCs/>
          <w:lang w:val="en-US"/>
        </w:rPr>
        <w:t>,</w:t>
      </w:r>
      <w:r w:rsidR="008213AC" w:rsidRPr="00813D19">
        <w:rPr>
          <w:bCs/>
          <w:lang w:val="en-US"/>
        </w:rPr>
        <w:t xml:space="preserve"> </w:t>
      </w:r>
      <w:r w:rsidR="006572F9" w:rsidRPr="00813D19">
        <w:rPr>
          <w:bCs/>
          <w:lang w:val="en-US"/>
        </w:rPr>
        <w:t xml:space="preserve">with </w:t>
      </w:r>
      <w:r w:rsidR="008213AC" w:rsidRPr="00813D19">
        <w:rPr>
          <w:bCs/>
          <w:lang w:val="en-US"/>
        </w:rPr>
        <w:t xml:space="preserve">Pakistan presenting </w:t>
      </w:r>
      <w:r w:rsidR="006572F9" w:rsidRPr="00813D19">
        <w:rPr>
          <w:bCs/>
          <w:lang w:val="en-US"/>
        </w:rPr>
        <w:t xml:space="preserve">a </w:t>
      </w:r>
      <w:r w:rsidR="008213AC" w:rsidRPr="00813D19">
        <w:rPr>
          <w:bCs/>
          <w:lang w:val="en-US"/>
        </w:rPr>
        <w:t>third element</w:t>
      </w:r>
      <w:r w:rsidR="006572F9" w:rsidRPr="00813D19">
        <w:rPr>
          <w:bCs/>
          <w:lang w:val="en-US"/>
        </w:rPr>
        <w:t>, namely, Suri J</w:t>
      </w:r>
      <w:r w:rsidR="008213AC" w:rsidRPr="00813D19">
        <w:rPr>
          <w:bCs/>
          <w:lang w:val="en-US"/>
        </w:rPr>
        <w:t xml:space="preserve">agek. Pakistan </w:t>
      </w:r>
      <w:r w:rsidR="00EC4915">
        <w:rPr>
          <w:bCs/>
          <w:lang w:val="en-US"/>
        </w:rPr>
        <w:t xml:space="preserve">had </w:t>
      </w:r>
      <w:r w:rsidR="006572F9" w:rsidRPr="00813D19">
        <w:rPr>
          <w:bCs/>
          <w:lang w:val="en-US"/>
        </w:rPr>
        <w:t>also signed an Mo</w:t>
      </w:r>
      <w:r w:rsidR="008213AC" w:rsidRPr="00813D19">
        <w:rPr>
          <w:bCs/>
          <w:lang w:val="en-US"/>
        </w:rPr>
        <w:t xml:space="preserve">U with </w:t>
      </w:r>
      <w:r w:rsidR="006572F9" w:rsidRPr="00813D19">
        <w:rPr>
          <w:bCs/>
          <w:lang w:val="en-US"/>
        </w:rPr>
        <w:t>ICHCAP</w:t>
      </w:r>
      <w:r w:rsidR="006572F9" w:rsidRPr="00813D19">
        <w:rPr>
          <w:rStyle w:val="FootnoteReference"/>
          <w:bCs/>
          <w:lang w:val="en-US"/>
        </w:rPr>
        <w:footnoteReference w:id="8"/>
      </w:r>
      <w:r w:rsidR="006572F9" w:rsidRPr="00813D19">
        <w:rPr>
          <w:bCs/>
          <w:lang w:val="en-US"/>
        </w:rPr>
        <w:t xml:space="preserve"> </w:t>
      </w:r>
      <w:r w:rsidR="008213AC" w:rsidRPr="00813D19">
        <w:rPr>
          <w:bCs/>
          <w:lang w:val="en-US"/>
        </w:rPr>
        <w:t xml:space="preserve">under which </w:t>
      </w:r>
      <w:r w:rsidR="006572F9" w:rsidRPr="00813D19">
        <w:rPr>
          <w:bCs/>
          <w:lang w:val="en-US"/>
        </w:rPr>
        <w:t xml:space="preserve">it was </w:t>
      </w:r>
      <w:r w:rsidR="008213AC" w:rsidRPr="00813D19">
        <w:rPr>
          <w:bCs/>
          <w:lang w:val="en-US"/>
        </w:rPr>
        <w:t xml:space="preserve">organizing training courses at </w:t>
      </w:r>
      <w:r w:rsidR="006572F9" w:rsidRPr="00813D19">
        <w:rPr>
          <w:bCs/>
          <w:lang w:val="en-US"/>
        </w:rPr>
        <w:t xml:space="preserve">the </w:t>
      </w:r>
      <w:r w:rsidR="008213AC" w:rsidRPr="00813D19">
        <w:rPr>
          <w:bCs/>
          <w:lang w:val="en-US"/>
        </w:rPr>
        <w:t>federal and provincial levels</w:t>
      </w:r>
      <w:r w:rsidR="009476D8" w:rsidRPr="00813D19">
        <w:rPr>
          <w:bCs/>
          <w:lang w:val="en-US"/>
        </w:rPr>
        <w:t>;</w:t>
      </w:r>
      <w:r w:rsidR="006572F9" w:rsidRPr="00813D19">
        <w:rPr>
          <w:bCs/>
          <w:lang w:val="en-US"/>
        </w:rPr>
        <w:t xml:space="preserve"> three </w:t>
      </w:r>
      <w:r w:rsidR="008213AC" w:rsidRPr="00813D19">
        <w:rPr>
          <w:bCs/>
          <w:lang w:val="en-US"/>
        </w:rPr>
        <w:t xml:space="preserve">such courses </w:t>
      </w:r>
      <w:r w:rsidR="006572F9" w:rsidRPr="00813D19">
        <w:rPr>
          <w:bCs/>
          <w:lang w:val="en-US"/>
        </w:rPr>
        <w:t xml:space="preserve">had already been conducted </w:t>
      </w:r>
      <w:r w:rsidR="008213AC" w:rsidRPr="00813D19">
        <w:rPr>
          <w:bCs/>
          <w:lang w:val="en-US"/>
        </w:rPr>
        <w:t xml:space="preserve">and </w:t>
      </w:r>
      <w:r w:rsidR="006572F9" w:rsidRPr="00813D19">
        <w:rPr>
          <w:bCs/>
          <w:lang w:val="en-US"/>
        </w:rPr>
        <w:t xml:space="preserve">a </w:t>
      </w:r>
      <w:r w:rsidR="008213AC" w:rsidRPr="00813D19">
        <w:rPr>
          <w:bCs/>
          <w:lang w:val="en-US"/>
        </w:rPr>
        <w:t xml:space="preserve">fourth course </w:t>
      </w:r>
      <w:r w:rsidR="006572F9" w:rsidRPr="00813D19">
        <w:rPr>
          <w:bCs/>
          <w:lang w:val="en-US"/>
        </w:rPr>
        <w:t xml:space="preserve">would take place </w:t>
      </w:r>
      <w:r w:rsidR="008213AC" w:rsidRPr="00813D19">
        <w:rPr>
          <w:bCs/>
          <w:lang w:val="en-US"/>
        </w:rPr>
        <w:t>in December</w:t>
      </w:r>
      <w:r w:rsidR="006572F9" w:rsidRPr="00813D19">
        <w:rPr>
          <w:bCs/>
          <w:lang w:val="en-US"/>
        </w:rPr>
        <w:t xml:space="preserve"> 2018</w:t>
      </w:r>
      <w:r w:rsidR="008213AC" w:rsidRPr="00813D19">
        <w:rPr>
          <w:bCs/>
          <w:lang w:val="en-US"/>
        </w:rPr>
        <w:t xml:space="preserve">. At the provincial level </w:t>
      </w:r>
      <w:r w:rsidR="003E7C78" w:rsidRPr="00813D19">
        <w:rPr>
          <w:bCs/>
          <w:lang w:val="en-US"/>
        </w:rPr>
        <w:t xml:space="preserve">and </w:t>
      </w:r>
      <w:r w:rsidR="008213AC" w:rsidRPr="00813D19">
        <w:rPr>
          <w:bCs/>
          <w:lang w:val="en-US"/>
        </w:rPr>
        <w:t>federal level</w:t>
      </w:r>
      <w:r w:rsidR="003E7C78" w:rsidRPr="00813D19">
        <w:rPr>
          <w:bCs/>
          <w:lang w:val="en-US"/>
        </w:rPr>
        <w:t xml:space="preserve">s, members of intangible cultural heritage </w:t>
      </w:r>
      <w:r w:rsidR="008213AC" w:rsidRPr="00813D19">
        <w:rPr>
          <w:bCs/>
          <w:lang w:val="en-US"/>
        </w:rPr>
        <w:t xml:space="preserve">cells </w:t>
      </w:r>
      <w:r w:rsidR="003E7C78" w:rsidRPr="00813D19">
        <w:rPr>
          <w:bCs/>
          <w:lang w:val="en-US"/>
        </w:rPr>
        <w:t xml:space="preserve">were informed </w:t>
      </w:r>
      <w:r w:rsidR="008213AC" w:rsidRPr="00813D19">
        <w:rPr>
          <w:bCs/>
          <w:lang w:val="en-US"/>
        </w:rPr>
        <w:t xml:space="preserve">at the working group </w:t>
      </w:r>
      <w:r w:rsidR="003E7C78" w:rsidRPr="00813D19">
        <w:rPr>
          <w:bCs/>
          <w:lang w:val="en-US"/>
        </w:rPr>
        <w:t xml:space="preserve">level </w:t>
      </w:r>
      <w:r w:rsidR="008213AC" w:rsidRPr="00813D19">
        <w:rPr>
          <w:bCs/>
          <w:lang w:val="en-US"/>
        </w:rPr>
        <w:t>to monitor the implementation of the Convention in letter and spirit. Pakistan</w:t>
      </w:r>
      <w:r w:rsidR="00EC4915">
        <w:rPr>
          <w:bCs/>
          <w:lang w:val="en-US"/>
        </w:rPr>
        <w:t xml:space="preserve"> had</w:t>
      </w:r>
      <w:r w:rsidR="008213AC" w:rsidRPr="00813D19">
        <w:rPr>
          <w:bCs/>
          <w:lang w:val="en-US"/>
        </w:rPr>
        <w:t xml:space="preserve"> also translated the Convention in</w:t>
      </w:r>
      <w:r w:rsidR="0082565F" w:rsidRPr="00813D19">
        <w:rPr>
          <w:bCs/>
          <w:lang w:val="en-US"/>
        </w:rPr>
        <w:t>to</w:t>
      </w:r>
      <w:r w:rsidR="008213AC" w:rsidRPr="00813D19">
        <w:rPr>
          <w:bCs/>
          <w:lang w:val="en-US"/>
        </w:rPr>
        <w:t xml:space="preserve"> Urdu to promote awareness </w:t>
      </w:r>
      <w:r w:rsidR="0082565F" w:rsidRPr="00813D19">
        <w:rPr>
          <w:bCs/>
          <w:lang w:val="en-US"/>
        </w:rPr>
        <w:t xml:space="preserve">on </w:t>
      </w:r>
      <w:r w:rsidR="008213AC" w:rsidRPr="00813D19">
        <w:rPr>
          <w:bCs/>
          <w:lang w:val="en-US"/>
        </w:rPr>
        <w:t xml:space="preserve">the importance of </w:t>
      </w:r>
      <w:r w:rsidR="0082565F" w:rsidRPr="00813D19">
        <w:rPr>
          <w:bCs/>
          <w:lang w:val="en-US"/>
        </w:rPr>
        <w:t xml:space="preserve">intangible cultural heritage, </w:t>
      </w:r>
      <w:r w:rsidR="008213AC" w:rsidRPr="00813D19">
        <w:rPr>
          <w:bCs/>
          <w:lang w:val="en-US"/>
        </w:rPr>
        <w:t xml:space="preserve">and </w:t>
      </w:r>
      <w:r w:rsidR="0082565F" w:rsidRPr="00813D19">
        <w:rPr>
          <w:bCs/>
          <w:lang w:val="en-US"/>
        </w:rPr>
        <w:t xml:space="preserve">also </w:t>
      </w:r>
      <w:r w:rsidR="008213AC" w:rsidRPr="00813D19">
        <w:rPr>
          <w:bCs/>
          <w:lang w:val="en-US"/>
        </w:rPr>
        <w:t xml:space="preserve">tried to </w:t>
      </w:r>
      <w:r w:rsidR="0082565F" w:rsidRPr="00813D19">
        <w:rPr>
          <w:bCs/>
          <w:lang w:val="en-US"/>
        </w:rPr>
        <w:t xml:space="preserve">ensure </w:t>
      </w:r>
      <w:r w:rsidR="008213AC" w:rsidRPr="00813D19">
        <w:rPr>
          <w:bCs/>
          <w:lang w:val="en-US"/>
        </w:rPr>
        <w:t xml:space="preserve">that </w:t>
      </w:r>
      <w:r w:rsidR="0082565F" w:rsidRPr="00813D19">
        <w:rPr>
          <w:bCs/>
          <w:lang w:val="en-US"/>
        </w:rPr>
        <w:t xml:space="preserve">intangible cultural heritage </w:t>
      </w:r>
      <w:r w:rsidR="008213AC" w:rsidRPr="00813D19">
        <w:rPr>
          <w:bCs/>
          <w:lang w:val="en-US"/>
        </w:rPr>
        <w:t xml:space="preserve">awareness </w:t>
      </w:r>
      <w:r w:rsidR="009476D8" w:rsidRPr="00813D19">
        <w:rPr>
          <w:bCs/>
          <w:lang w:val="en-US"/>
        </w:rPr>
        <w:t>reached</w:t>
      </w:r>
      <w:r w:rsidR="0082565F" w:rsidRPr="00813D19">
        <w:rPr>
          <w:bCs/>
          <w:lang w:val="en-US"/>
        </w:rPr>
        <w:t xml:space="preserve"> the </w:t>
      </w:r>
      <w:r w:rsidR="008213AC" w:rsidRPr="00813D19">
        <w:rPr>
          <w:bCs/>
          <w:lang w:val="en-US"/>
        </w:rPr>
        <w:t xml:space="preserve">curriculum </w:t>
      </w:r>
      <w:r w:rsidR="0082565F" w:rsidRPr="00813D19">
        <w:rPr>
          <w:bCs/>
          <w:lang w:val="en-US"/>
        </w:rPr>
        <w:t xml:space="preserve">level </w:t>
      </w:r>
      <w:r w:rsidR="008213AC" w:rsidRPr="00813D19">
        <w:rPr>
          <w:bCs/>
          <w:lang w:val="en-US"/>
        </w:rPr>
        <w:t>at various educational levels</w:t>
      </w:r>
      <w:r w:rsidR="00EC4915">
        <w:rPr>
          <w:bCs/>
          <w:lang w:val="en-US"/>
        </w:rPr>
        <w:t>. A</w:t>
      </w:r>
      <w:r w:rsidR="008213AC" w:rsidRPr="00813D19">
        <w:rPr>
          <w:bCs/>
          <w:lang w:val="en-US"/>
        </w:rPr>
        <w:t xml:space="preserve"> separate book </w:t>
      </w:r>
      <w:r w:rsidR="00EC4915">
        <w:rPr>
          <w:bCs/>
          <w:lang w:val="en-US"/>
        </w:rPr>
        <w:t>was</w:t>
      </w:r>
      <w:r w:rsidR="00EC4915" w:rsidRPr="00813D19">
        <w:rPr>
          <w:bCs/>
          <w:lang w:val="en-US"/>
        </w:rPr>
        <w:t xml:space="preserve"> </w:t>
      </w:r>
      <w:r w:rsidR="008213AC" w:rsidRPr="00813D19">
        <w:rPr>
          <w:bCs/>
          <w:lang w:val="en-US"/>
        </w:rPr>
        <w:t>also being published in thi</w:t>
      </w:r>
      <w:r w:rsidR="00B62B15" w:rsidRPr="00813D19">
        <w:rPr>
          <w:bCs/>
          <w:lang w:val="en-US"/>
        </w:rPr>
        <w:t>s regard.</w:t>
      </w:r>
    </w:p>
    <w:p w14:paraId="68905C0C" w14:textId="0AADD506" w:rsidR="00DF5A04" w:rsidRPr="00813D19" w:rsidRDefault="00813D19"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 xml:space="preserve">Chairperson </w:t>
      </w:r>
      <w:r w:rsidRPr="002827E3">
        <w:rPr>
          <w:iCs/>
          <w:color w:val="000000" w:themeColor="text1"/>
          <w:lang w:val="en-US"/>
        </w:rPr>
        <w:t xml:space="preserve">thanked </w:t>
      </w:r>
      <w:r w:rsidRPr="000B6D83">
        <w:rPr>
          <w:bCs/>
          <w:lang w:val="en-US"/>
        </w:rPr>
        <w:t>Pakistan for sharing</w:t>
      </w:r>
      <w:r w:rsidRPr="00813D19">
        <w:rPr>
          <w:bCs/>
          <w:lang w:val="en-US"/>
        </w:rPr>
        <w:t xml:space="preserve"> its views and also for the translation [of </w:t>
      </w:r>
      <w:r w:rsidR="0016273D">
        <w:rPr>
          <w:bCs/>
          <w:lang w:val="en-US"/>
        </w:rPr>
        <w:t>the Convention text] into Urdu.</w:t>
      </w:r>
    </w:p>
    <w:p w14:paraId="36658195" w14:textId="33EE1BEE" w:rsidR="0082565F" w:rsidRPr="00813D19" w:rsidRDefault="00DF5A04"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008213AC" w:rsidRPr="002827E3">
        <w:rPr>
          <w:b/>
          <w:iCs/>
          <w:color w:val="000000" w:themeColor="text1"/>
          <w:lang w:val="en-US"/>
        </w:rPr>
        <w:t>delegation of Ni</w:t>
      </w:r>
      <w:r w:rsidRPr="002827E3">
        <w:rPr>
          <w:b/>
          <w:iCs/>
          <w:color w:val="000000" w:themeColor="text1"/>
          <w:lang w:val="en-US"/>
        </w:rPr>
        <w:t>ger</w:t>
      </w:r>
      <w:r w:rsidR="005B22D4" w:rsidRPr="002827E3">
        <w:rPr>
          <w:iCs/>
          <w:color w:val="000000" w:themeColor="text1"/>
          <w:lang w:val="en-US"/>
        </w:rPr>
        <w:t xml:space="preserve"> </w:t>
      </w:r>
      <w:r w:rsidR="0082565F" w:rsidRPr="000B6D83">
        <w:rPr>
          <w:bCs/>
          <w:lang w:val="en-US"/>
        </w:rPr>
        <w:t>thanked the Secretariat</w:t>
      </w:r>
      <w:r w:rsidR="0082565F" w:rsidRPr="00813D19">
        <w:rPr>
          <w:bCs/>
          <w:lang w:val="en-US"/>
        </w:rPr>
        <w:t xml:space="preserve"> for its </w:t>
      </w:r>
      <w:r w:rsidR="00AD20EF" w:rsidRPr="00813D19">
        <w:rPr>
          <w:bCs/>
          <w:lang w:val="en-US"/>
        </w:rPr>
        <w:t xml:space="preserve">continual </w:t>
      </w:r>
      <w:r w:rsidR="0082565F" w:rsidRPr="00813D19">
        <w:rPr>
          <w:bCs/>
          <w:lang w:val="en-US"/>
        </w:rPr>
        <w:t xml:space="preserve">efforts every year for the successful safeguarding of intangible cultural heritage. </w:t>
      </w:r>
      <w:r w:rsidR="00AD20EF" w:rsidRPr="00813D19">
        <w:rPr>
          <w:bCs/>
          <w:lang w:val="en-US"/>
        </w:rPr>
        <w:t xml:space="preserve">It also thanked </w:t>
      </w:r>
      <w:r w:rsidR="0082565F" w:rsidRPr="00813D19">
        <w:rPr>
          <w:bCs/>
          <w:lang w:val="en-US"/>
        </w:rPr>
        <w:t>the host country for the quality of its welcome</w:t>
      </w:r>
      <w:r w:rsidR="00AD20EF" w:rsidRPr="00813D19">
        <w:rPr>
          <w:bCs/>
          <w:lang w:val="en-US"/>
        </w:rPr>
        <w:t>,</w:t>
      </w:r>
      <w:r w:rsidR="0082565F" w:rsidRPr="00813D19">
        <w:rPr>
          <w:bCs/>
          <w:lang w:val="en-US"/>
        </w:rPr>
        <w:t xml:space="preserve"> and congratulate</w:t>
      </w:r>
      <w:r w:rsidR="00AD20EF" w:rsidRPr="00813D19">
        <w:rPr>
          <w:bCs/>
          <w:lang w:val="en-US"/>
        </w:rPr>
        <w:t>d</w:t>
      </w:r>
      <w:r w:rsidR="0082565F" w:rsidRPr="00813D19">
        <w:rPr>
          <w:bCs/>
          <w:lang w:val="en-US"/>
        </w:rPr>
        <w:t xml:space="preserve"> the </w:t>
      </w:r>
      <w:r w:rsidR="00AD20EF" w:rsidRPr="00813D19">
        <w:rPr>
          <w:bCs/>
          <w:lang w:val="en-US"/>
        </w:rPr>
        <w:t xml:space="preserve">Chairperson </w:t>
      </w:r>
      <w:r w:rsidR="0082565F" w:rsidRPr="00813D19">
        <w:rPr>
          <w:bCs/>
          <w:lang w:val="en-US"/>
        </w:rPr>
        <w:t xml:space="preserve">for his dynamism during this session. Niger </w:t>
      </w:r>
      <w:r w:rsidR="00EC4915">
        <w:rPr>
          <w:bCs/>
          <w:lang w:val="en-US"/>
        </w:rPr>
        <w:t xml:space="preserve">was </w:t>
      </w:r>
      <w:r w:rsidR="0082565F" w:rsidRPr="00813D19">
        <w:rPr>
          <w:bCs/>
          <w:lang w:val="en-US"/>
        </w:rPr>
        <w:t xml:space="preserve">one of the countries </w:t>
      </w:r>
      <w:r w:rsidR="00AD20EF" w:rsidRPr="00813D19">
        <w:rPr>
          <w:bCs/>
          <w:lang w:val="en-US"/>
        </w:rPr>
        <w:t xml:space="preserve">that </w:t>
      </w:r>
      <w:r w:rsidR="00EC4915">
        <w:rPr>
          <w:bCs/>
          <w:lang w:val="en-US"/>
        </w:rPr>
        <w:t>was</w:t>
      </w:r>
      <w:r w:rsidR="00EC4915" w:rsidRPr="00813D19">
        <w:rPr>
          <w:bCs/>
          <w:lang w:val="en-US"/>
        </w:rPr>
        <w:t xml:space="preserve"> </w:t>
      </w:r>
      <w:r w:rsidR="00AD20EF" w:rsidRPr="00813D19">
        <w:rPr>
          <w:bCs/>
          <w:lang w:val="en-US"/>
        </w:rPr>
        <w:t>late in its reporting</w:t>
      </w:r>
      <w:r w:rsidR="0082565F" w:rsidRPr="00813D19">
        <w:rPr>
          <w:bCs/>
          <w:lang w:val="en-US"/>
        </w:rPr>
        <w:t xml:space="preserve">, but </w:t>
      </w:r>
      <w:r w:rsidR="00AD20EF" w:rsidRPr="00813D19">
        <w:rPr>
          <w:bCs/>
          <w:lang w:val="en-US"/>
        </w:rPr>
        <w:t xml:space="preserve">it had almost completed </w:t>
      </w:r>
      <w:r w:rsidR="0082565F" w:rsidRPr="00813D19">
        <w:rPr>
          <w:bCs/>
          <w:lang w:val="en-US"/>
        </w:rPr>
        <w:t>every phase</w:t>
      </w:r>
      <w:r w:rsidR="00AD20EF" w:rsidRPr="00813D19">
        <w:rPr>
          <w:bCs/>
          <w:lang w:val="en-US"/>
        </w:rPr>
        <w:t xml:space="preserve"> of the report from an internal perspective</w:t>
      </w:r>
      <w:r w:rsidR="0082565F" w:rsidRPr="00813D19">
        <w:rPr>
          <w:bCs/>
          <w:lang w:val="en-US"/>
        </w:rPr>
        <w:t xml:space="preserve">, </w:t>
      </w:r>
      <w:r w:rsidR="00AD20EF" w:rsidRPr="00813D19">
        <w:rPr>
          <w:bCs/>
          <w:lang w:val="en-US"/>
        </w:rPr>
        <w:t xml:space="preserve">from the </w:t>
      </w:r>
      <w:r w:rsidR="0082565F" w:rsidRPr="00813D19">
        <w:rPr>
          <w:bCs/>
          <w:lang w:val="en-US"/>
        </w:rPr>
        <w:t xml:space="preserve">collection </w:t>
      </w:r>
      <w:r w:rsidR="00AD20EF" w:rsidRPr="00813D19">
        <w:rPr>
          <w:bCs/>
          <w:lang w:val="en-US"/>
        </w:rPr>
        <w:t>of data to the drafting of the text</w:t>
      </w:r>
      <w:r w:rsidR="0082565F" w:rsidRPr="00813D19">
        <w:rPr>
          <w:bCs/>
          <w:lang w:val="en-US"/>
        </w:rPr>
        <w:t xml:space="preserve">. </w:t>
      </w:r>
      <w:r w:rsidR="00AD20EF" w:rsidRPr="00813D19">
        <w:rPr>
          <w:bCs/>
          <w:lang w:val="en-US"/>
        </w:rPr>
        <w:t xml:space="preserve">However, the report required validation from </w:t>
      </w:r>
      <w:r w:rsidR="0082565F" w:rsidRPr="00813D19">
        <w:rPr>
          <w:bCs/>
          <w:lang w:val="en-US"/>
        </w:rPr>
        <w:t xml:space="preserve">all </w:t>
      </w:r>
      <w:r w:rsidR="00AD20EF" w:rsidRPr="00813D19">
        <w:rPr>
          <w:bCs/>
          <w:lang w:val="en-US"/>
        </w:rPr>
        <w:t xml:space="preserve">the </w:t>
      </w:r>
      <w:r w:rsidR="0082565F" w:rsidRPr="00813D19">
        <w:rPr>
          <w:bCs/>
          <w:lang w:val="en-US"/>
        </w:rPr>
        <w:t xml:space="preserve">stakeholders, </w:t>
      </w:r>
      <w:r w:rsidR="00AD20EF" w:rsidRPr="00813D19">
        <w:rPr>
          <w:bCs/>
          <w:lang w:val="en-US"/>
        </w:rPr>
        <w:t xml:space="preserve">as </w:t>
      </w:r>
      <w:r w:rsidR="00EC4915">
        <w:rPr>
          <w:bCs/>
          <w:lang w:val="en-US"/>
        </w:rPr>
        <w:t>it</w:t>
      </w:r>
      <w:r w:rsidR="00AD20EF" w:rsidRPr="00813D19">
        <w:rPr>
          <w:bCs/>
          <w:lang w:val="en-US"/>
        </w:rPr>
        <w:t xml:space="preserve"> could not be placed online </w:t>
      </w:r>
      <w:r w:rsidR="0082565F" w:rsidRPr="00813D19">
        <w:rPr>
          <w:bCs/>
          <w:lang w:val="en-US"/>
        </w:rPr>
        <w:t xml:space="preserve">without </w:t>
      </w:r>
      <w:r w:rsidR="00AD20EF" w:rsidRPr="00813D19">
        <w:rPr>
          <w:bCs/>
          <w:lang w:val="en-US"/>
        </w:rPr>
        <w:t>this internal validation</w:t>
      </w:r>
      <w:r w:rsidR="0082565F" w:rsidRPr="00813D19">
        <w:rPr>
          <w:bCs/>
          <w:lang w:val="en-US"/>
        </w:rPr>
        <w:t xml:space="preserve">. </w:t>
      </w:r>
      <w:r w:rsidR="00AD20EF" w:rsidRPr="00813D19">
        <w:rPr>
          <w:bCs/>
          <w:lang w:val="en-US"/>
        </w:rPr>
        <w:t xml:space="preserve">The </w:t>
      </w:r>
      <w:r w:rsidR="00635D2F" w:rsidRPr="00813D19">
        <w:rPr>
          <w:bCs/>
          <w:lang w:val="en-US"/>
        </w:rPr>
        <w:t>delegation asked that the S</w:t>
      </w:r>
      <w:r w:rsidR="0082565F" w:rsidRPr="00813D19">
        <w:rPr>
          <w:bCs/>
          <w:lang w:val="en-US"/>
        </w:rPr>
        <w:t xml:space="preserve">ecretariat </w:t>
      </w:r>
      <w:r w:rsidR="00635D2F" w:rsidRPr="00813D19">
        <w:rPr>
          <w:bCs/>
          <w:lang w:val="en-US"/>
        </w:rPr>
        <w:t xml:space="preserve">designate </w:t>
      </w:r>
      <w:r w:rsidR="0082565F" w:rsidRPr="00813D19">
        <w:rPr>
          <w:bCs/>
          <w:lang w:val="en-US"/>
        </w:rPr>
        <w:t xml:space="preserve">facilitators </w:t>
      </w:r>
      <w:r w:rsidR="00635D2F" w:rsidRPr="00813D19">
        <w:rPr>
          <w:bCs/>
          <w:lang w:val="en-US"/>
        </w:rPr>
        <w:t xml:space="preserve">in those </w:t>
      </w:r>
      <w:r w:rsidR="0082565F" w:rsidRPr="00813D19">
        <w:rPr>
          <w:bCs/>
          <w:lang w:val="en-US"/>
        </w:rPr>
        <w:t xml:space="preserve">States </w:t>
      </w:r>
      <w:r w:rsidR="00635D2F" w:rsidRPr="00813D19">
        <w:rPr>
          <w:bCs/>
          <w:lang w:val="en-US"/>
        </w:rPr>
        <w:t xml:space="preserve">that </w:t>
      </w:r>
      <w:r w:rsidR="009476D8" w:rsidRPr="00813D19">
        <w:rPr>
          <w:bCs/>
          <w:lang w:val="en-US"/>
        </w:rPr>
        <w:t>were</w:t>
      </w:r>
      <w:r w:rsidR="0082565F" w:rsidRPr="00813D19">
        <w:rPr>
          <w:bCs/>
          <w:lang w:val="en-US"/>
        </w:rPr>
        <w:t xml:space="preserve"> late </w:t>
      </w:r>
      <w:r w:rsidR="00635D2F" w:rsidRPr="00813D19">
        <w:rPr>
          <w:bCs/>
          <w:lang w:val="en-US"/>
        </w:rPr>
        <w:t xml:space="preserve">so that it could help </w:t>
      </w:r>
      <w:r w:rsidR="009476D8" w:rsidRPr="00813D19">
        <w:rPr>
          <w:bCs/>
          <w:lang w:val="en-US"/>
        </w:rPr>
        <w:t xml:space="preserve">them </w:t>
      </w:r>
      <w:r w:rsidR="00635D2F" w:rsidRPr="00813D19">
        <w:rPr>
          <w:bCs/>
          <w:lang w:val="en-US"/>
        </w:rPr>
        <w:t>progress in the reporting, making the reports</w:t>
      </w:r>
      <w:r w:rsidR="0016273D">
        <w:rPr>
          <w:bCs/>
          <w:lang w:val="en-US"/>
        </w:rPr>
        <w:t xml:space="preserve"> more quickly available online.</w:t>
      </w:r>
    </w:p>
    <w:p w14:paraId="51BBBAEF" w14:textId="756174F2" w:rsidR="00644F34" w:rsidRPr="00813D19" w:rsidRDefault="00644F34" w:rsidP="002018FA">
      <w:pPr>
        <w:pStyle w:val="Orateurengris"/>
        <w:spacing w:before="120"/>
        <w:ind w:left="709" w:hanging="709"/>
        <w:rPr>
          <w:rFonts w:ascii="Helvetica" w:hAnsi="Helvetica" w:cs="Helvetica"/>
          <w:i/>
          <w:iCs/>
          <w:color w:val="000000" w:themeColor="text1"/>
          <w:lang w:val="en-US"/>
        </w:rPr>
      </w:pPr>
      <w:r w:rsidRPr="002827E3">
        <w:rPr>
          <w:iCs/>
          <w:color w:val="000000" w:themeColor="text1"/>
          <w:lang w:val="en-US"/>
        </w:rPr>
        <w:t xml:space="preserve">The </w:t>
      </w:r>
      <w:r w:rsidRPr="002827E3">
        <w:rPr>
          <w:b/>
          <w:iCs/>
          <w:color w:val="000000" w:themeColor="text1"/>
          <w:lang w:val="en-US"/>
        </w:rPr>
        <w:t>delegation of Bangladesh</w:t>
      </w:r>
      <w:r w:rsidR="002D78BA" w:rsidRPr="002827E3">
        <w:rPr>
          <w:b/>
          <w:iCs/>
          <w:color w:val="000000" w:themeColor="text1"/>
          <w:lang w:val="en-US"/>
        </w:rPr>
        <w:t xml:space="preserve"> </w:t>
      </w:r>
      <w:r w:rsidR="002D78BA" w:rsidRPr="000B6D83">
        <w:rPr>
          <w:bCs/>
          <w:lang w:val="en-US"/>
        </w:rPr>
        <w:t>congratulate</w:t>
      </w:r>
      <w:r w:rsidR="0082565F" w:rsidRPr="000B6D83">
        <w:rPr>
          <w:bCs/>
          <w:lang w:val="en-US"/>
        </w:rPr>
        <w:t>d</w:t>
      </w:r>
      <w:r w:rsidR="0082565F" w:rsidRPr="00813D19">
        <w:rPr>
          <w:bCs/>
          <w:lang w:val="en-US"/>
        </w:rPr>
        <w:t xml:space="preserve"> the Chairperson </w:t>
      </w:r>
      <w:r w:rsidR="002D78BA" w:rsidRPr="00813D19">
        <w:rPr>
          <w:bCs/>
          <w:lang w:val="en-US"/>
        </w:rPr>
        <w:t xml:space="preserve">on </w:t>
      </w:r>
      <w:r w:rsidR="0082565F" w:rsidRPr="00813D19">
        <w:rPr>
          <w:bCs/>
          <w:lang w:val="en-US"/>
        </w:rPr>
        <w:t xml:space="preserve">his </w:t>
      </w:r>
      <w:r w:rsidR="009476D8" w:rsidRPr="00813D19">
        <w:rPr>
          <w:bCs/>
          <w:lang w:val="en-US"/>
        </w:rPr>
        <w:t xml:space="preserve">chairing </w:t>
      </w:r>
      <w:r w:rsidR="002D78BA" w:rsidRPr="00813D19">
        <w:rPr>
          <w:bCs/>
          <w:lang w:val="en-US"/>
        </w:rPr>
        <w:t xml:space="preserve">of </w:t>
      </w:r>
      <w:r w:rsidR="0082565F" w:rsidRPr="00813D19">
        <w:rPr>
          <w:bCs/>
          <w:lang w:val="en-US"/>
        </w:rPr>
        <w:t xml:space="preserve">the </w:t>
      </w:r>
      <w:r w:rsidR="002D78BA" w:rsidRPr="00813D19">
        <w:rPr>
          <w:bCs/>
          <w:lang w:val="en-US"/>
        </w:rPr>
        <w:t>m</w:t>
      </w:r>
      <w:r w:rsidR="00E52379" w:rsidRPr="00813D19">
        <w:rPr>
          <w:bCs/>
          <w:lang w:val="en-US"/>
        </w:rPr>
        <w:t xml:space="preserve">eeting, </w:t>
      </w:r>
      <w:r w:rsidR="002D78BA" w:rsidRPr="00813D19">
        <w:rPr>
          <w:bCs/>
          <w:lang w:val="en-US"/>
        </w:rPr>
        <w:t>convey</w:t>
      </w:r>
      <w:r w:rsidR="00E52379" w:rsidRPr="00813D19">
        <w:rPr>
          <w:bCs/>
          <w:lang w:val="en-US"/>
        </w:rPr>
        <w:t>ing</w:t>
      </w:r>
      <w:r w:rsidR="002D78BA" w:rsidRPr="00813D19">
        <w:rPr>
          <w:bCs/>
          <w:lang w:val="en-US"/>
        </w:rPr>
        <w:t xml:space="preserve"> </w:t>
      </w:r>
      <w:r w:rsidR="00E52379" w:rsidRPr="00813D19">
        <w:rPr>
          <w:bCs/>
          <w:lang w:val="en-US"/>
        </w:rPr>
        <w:t xml:space="preserve">its </w:t>
      </w:r>
      <w:r w:rsidR="002D78BA" w:rsidRPr="00813D19">
        <w:rPr>
          <w:bCs/>
          <w:lang w:val="en-US"/>
        </w:rPr>
        <w:t>appreciation for the warm welcome</w:t>
      </w:r>
      <w:r w:rsidR="00E52379" w:rsidRPr="00813D19">
        <w:rPr>
          <w:bCs/>
          <w:lang w:val="en-US"/>
        </w:rPr>
        <w:t xml:space="preserve"> and </w:t>
      </w:r>
      <w:r w:rsidR="002D78BA" w:rsidRPr="00813D19">
        <w:rPr>
          <w:bCs/>
          <w:lang w:val="en-US"/>
        </w:rPr>
        <w:t>commend</w:t>
      </w:r>
      <w:r w:rsidR="00E52379" w:rsidRPr="00813D19">
        <w:rPr>
          <w:bCs/>
          <w:lang w:val="en-US"/>
        </w:rPr>
        <w:t>ing</w:t>
      </w:r>
      <w:r w:rsidR="002D78BA" w:rsidRPr="00813D19">
        <w:rPr>
          <w:bCs/>
          <w:lang w:val="en-US"/>
        </w:rPr>
        <w:t xml:space="preserve"> the Secretariat for the summary </w:t>
      </w:r>
      <w:r w:rsidR="00E52379" w:rsidRPr="00813D19">
        <w:rPr>
          <w:bCs/>
          <w:lang w:val="en-US"/>
        </w:rPr>
        <w:t xml:space="preserve">report, which provided </w:t>
      </w:r>
      <w:r w:rsidR="002D78BA" w:rsidRPr="00813D19">
        <w:rPr>
          <w:bCs/>
          <w:lang w:val="en-US"/>
        </w:rPr>
        <w:t>better insight</w:t>
      </w:r>
      <w:r w:rsidR="00E52379" w:rsidRPr="00813D19">
        <w:rPr>
          <w:bCs/>
          <w:lang w:val="en-US"/>
        </w:rPr>
        <w:t>s</w:t>
      </w:r>
      <w:r w:rsidR="002D78BA" w:rsidRPr="00813D19">
        <w:rPr>
          <w:bCs/>
          <w:lang w:val="en-US"/>
        </w:rPr>
        <w:t xml:space="preserve"> into the process of preparing a report. This was </w:t>
      </w:r>
      <w:r w:rsidR="00E52379" w:rsidRPr="00813D19">
        <w:rPr>
          <w:bCs/>
          <w:lang w:val="en-US"/>
        </w:rPr>
        <w:t>Bangladesh’s</w:t>
      </w:r>
      <w:r w:rsidR="002D78BA" w:rsidRPr="00813D19">
        <w:rPr>
          <w:bCs/>
          <w:lang w:val="en-US"/>
        </w:rPr>
        <w:t xml:space="preserve"> first submission under the Convention on the status of the elements inscribed on the Representative List. </w:t>
      </w:r>
      <w:r w:rsidR="00E52379" w:rsidRPr="00813D19">
        <w:rPr>
          <w:bCs/>
          <w:lang w:val="en-US"/>
        </w:rPr>
        <w:t xml:space="preserve">Although it was a </w:t>
      </w:r>
      <w:r w:rsidR="002D78BA" w:rsidRPr="00813D19">
        <w:rPr>
          <w:bCs/>
          <w:lang w:val="en-US"/>
        </w:rPr>
        <w:t xml:space="preserve">year </w:t>
      </w:r>
      <w:r w:rsidR="00E52379" w:rsidRPr="00813D19">
        <w:rPr>
          <w:bCs/>
          <w:lang w:val="en-US"/>
        </w:rPr>
        <w:t xml:space="preserve">late, </w:t>
      </w:r>
      <w:r w:rsidR="002D78BA" w:rsidRPr="00813D19">
        <w:rPr>
          <w:bCs/>
          <w:lang w:val="en-US"/>
        </w:rPr>
        <w:t xml:space="preserve">the process of preparing the report had been very rewarding in terms of understanding the gaps in safeguarding </w:t>
      </w:r>
      <w:r w:rsidR="00BC023A" w:rsidRPr="00813D19">
        <w:rPr>
          <w:bCs/>
          <w:lang w:val="en-US"/>
        </w:rPr>
        <w:t>intangible cultural heritage</w:t>
      </w:r>
      <w:r w:rsidR="002D78BA" w:rsidRPr="00813D19">
        <w:rPr>
          <w:bCs/>
          <w:lang w:val="en-US"/>
        </w:rPr>
        <w:t xml:space="preserve">. </w:t>
      </w:r>
      <w:r w:rsidR="00E52379" w:rsidRPr="00813D19">
        <w:rPr>
          <w:bCs/>
          <w:lang w:val="en-US"/>
        </w:rPr>
        <w:t xml:space="preserve">The delegation firmly believed that </w:t>
      </w:r>
      <w:r w:rsidR="002D78BA" w:rsidRPr="00813D19">
        <w:rPr>
          <w:bCs/>
          <w:lang w:val="en-US"/>
        </w:rPr>
        <w:t xml:space="preserve">the communities </w:t>
      </w:r>
      <w:r w:rsidR="00E52379" w:rsidRPr="00813D19">
        <w:rPr>
          <w:bCs/>
          <w:lang w:val="en-US"/>
        </w:rPr>
        <w:t xml:space="preserve">lay </w:t>
      </w:r>
      <w:r w:rsidR="002D78BA" w:rsidRPr="00813D19">
        <w:rPr>
          <w:bCs/>
          <w:lang w:val="en-US"/>
        </w:rPr>
        <w:t>at the heart of safeguarding measures</w:t>
      </w:r>
      <w:r w:rsidR="00E52379" w:rsidRPr="00813D19">
        <w:rPr>
          <w:bCs/>
          <w:lang w:val="en-US"/>
        </w:rPr>
        <w:t>,</w:t>
      </w:r>
      <w:r w:rsidR="002D78BA" w:rsidRPr="00813D19">
        <w:rPr>
          <w:bCs/>
          <w:lang w:val="en-US"/>
        </w:rPr>
        <w:t xml:space="preserve"> and </w:t>
      </w:r>
      <w:r w:rsidR="009476D8" w:rsidRPr="00813D19">
        <w:rPr>
          <w:bCs/>
          <w:lang w:val="en-US"/>
        </w:rPr>
        <w:t>in this process</w:t>
      </w:r>
      <w:r w:rsidR="00E52379" w:rsidRPr="00813D19">
        <w:rPr>
          <w:bCs/>
          <w:lang w:val="en-US"/>
        </w:rPr>
        <w:t xml:space="preserve"> it </w:t>
      </w:r>
      <w:r w:rsidR="009476D8" w:rsidRPr="00813D19">
        <w:rPr>
          <w:bCs/>
          <w:lang w:val="en-US"/>
        </w:rPr>
        <w:t xml:space="preserve">assured the Committee </w:t>
      </w:r>
      <w:r w:rsidR="00E52379" w:rsidRPr="00813D19">
        <w:rPr>
          <w:bCs/>
          <w:lang w:val="en-US"/>
        </w:rPr>
        <w:t xml:space="preserve">that </w:t>
      </w:r>
      <w:r w:rsidR="009476D8" w:rsidRPr="00813D19">
        <w:rPr>
          <w:bCs/>
          <w:lang w:val="en-US"/>
        </w:rPr>
        <w:t>the communities</w:t>
      </w:r>
      <w:r w:rsidR="00E52379" w:rsidRPr="00813D19">
        <w:rPr>
          <w:bCs/>
          <w:lang w:val="en-US"/>
        </w:rPr>
        <w:t xml:space="preserve"> were involved in every stage of data collection </w:t>
      </w:r>
      <w:r w:rsidR="009476D8" w:rsidRPr="00813D19">
        <w:rPr>
          <w:bCs/>
          <w:lang w:val="en-US"/>
        </w:rPr>
        <w:t xml:space="preserve">in a robust </w:t>
      </w:r>
      <w:r w:rsidR="002D78BA" w:rsidRPr="00813D19">
        <w:rPr>
          <w:bCs/>
          <w:lang w:val="en-US"/>
        </w:rPr>
        <w:t>consultation</w:t>
      </w:r>
      <w:r w:rsidR="009476D8" w:rsidRPr="00813D19">
        <w:rPr>
          <w:bCs/>
          <w:lang w:val="en-US"/>
        </w:rPr>
        <w:t>.</w:t>
      </w:r>
      <w:r w:rsidR="002D78BA" w:rsidRPr="00813D19">
        <w:rPr>
          <w:bCs/>
          <w:lang w:val="en-US"/>
        </w:rPr>
        <w:t xml:space="preserve"> </w:t>
      </w:r>
      <w:r w:rsidR="00E52379" w:rsidRPr="00813D19">
        <w:rPr>
          <w:bCs/>
          <w:lang w:val="en-US"/>
        </w:rPr>
        <w:t xml:space="preserve">Pakistan </w:t>
      </w:r>
      <w:r w:rsidR="002D78BA" w:rsidRPr="00813D19">
        <w:rPr>
          <w:bCs/>
          <w:lang w:val="en-US"/>
        </w:rPr>
        <w:t>w</w:t>
      </w:r>
      <w:r w:rsidR="00EC4915">
        <w:rPr>
          <w:bCs/>
          <w:lang w:val="en-US"/>
        </w:rPr>
        <w:t xml:space="preserve">ould </w:t>
      </w:r>
      <w:r w:rsidR="002D78BA" w:rsidRPr="00813D19">
        <w:rPr>
          <w:bCs/>
          <w:lang w:val="en-US"/>
        </w:rPr>
        <w:t xml:space="preserve">continue </w:t>
      </w:r>
      <w:r w:rsidR="00E52379" w:rsidRPr="00813D19">
        <w:rPr>
          <w:bCs/>
          <w:lang w:val="en-US"/>
        </w:rPr>
        <w:t xml:space="preserve">its </w:t>
      </w:r>
      <w:r w:rsidR="002D78BA" w:rsidRPr="00813D19">
        <w:rPr>
          <w:bCs/>
          <w:lang w:val="en-US"/>
        </w:rPr>
        <w:t xml:space="preserve">efforts </w:t>
      </w:r>
      <w:r w:rsidR="00E52379" w:rsidRPr="00813D19">
        <w:rPr>
          <w:bCs/>
          <w:lang w:val="en-US"/>
        </w:rPr>
        <w:t xml:space="preserve">to </w:t>
      </w:r>
      <w:r w:rsidR="002D78BA" w:rsidRPr="00813D19">
        <w:rPr>
          <w:bCs/>
          <w:lang w:val="en-US"/>
        </w:rPr>
        <w:t xml:space="preserve">submit </w:t>
      </w:r>
      <w:r w:rsidR="00E52379" w:rsidRPr="00813D19">
        <w:rPr>
          <w:bCs/>
          <w:lang w:val="en-US"/>
        </w:rPr>
        <w:t xml:space="preserve">its </w:t>
      </w:r>
      <w:r w:rsidR="002D78BA" w:rsidRPr="00813D19">
        <w:rPr>
          <w:bCs/>
          <w:lang w:val="en-US"/>
        </w:rPr>
        <w:t>report on time</w:t>
      </w:r>
      <w:r w:rsidR="00E52379" w:rsidRPr="00813D19">
        <w:rPr>
          <w:bCs/>
          <w:lang w:val="en-US"/>
        </w:rPr>
        <w:t>, reiterating its thanks to the Secretariat for it</w:t>
      </w:r>
      <w:r w:rsidR="00EC4915">
        <w:rPr>
          <w:bCs/>
          <w:lang w:val="en-US"/>
        </w:rPr>
        <w:t>s</w:t>
      </w:r>
      <w:r w:rsidR="00E52379" w:rsidRPr="00813D19">
        <w:rPr>
          <w:bCs/>
          <w:lang w:val="en-US"/>
        </w:rPr>
        <w:t xml:space="preserve"> </w:t>
      </w:r>
      <w:r w:rsidR="002D78BA" w:rsidRPr="00813D19">
        <w:rPr>
          <w:bCs/>
          <w:lang w:val="en-US"/>
        </w:rPr>
        <w:t>extensive</w:t>
      </w:r>
      <w:r w:rsidR="00E52379" w:rsidRPr="00813D19">
        <w:rPr>
          <w:bCs/>
          <w:lang w:val="en-US"/>
        </w:rPr>
        <w:t xml:space="preserve"> report</w:t>
      </w:r>
      <w:r w:rsidR="00EC4915">
        <w:rPr>
          <w:bCs/>
          <w:lang w:val="en-US"/>
        </w:rPr>
        <w:t>,</w:t>
      </w:r>
      <w:r w:rsidR="00E52379" w:rsidRPr="00813D19">
        <w:rPr>
          <w:bCs/>
          <w:lang w:val="en-US"/>
        </w:rPr>
        <w:t xml:space="preserve"> </w:t>
      </w:r>
      <w:r w:rsidR="00EC4915">
        <w:rPr>
          <w:bCs/>
          <w:lang w:val="en-US"/>
        </w:rPr>
        <w:t>which</w:t>
      </w:r>
      <w:r w:rsidR="00EC4915" w:rsidRPr="00813D19">
        <w:rPr>
          <w:bCs/>
          <w:lang w:val="en-US"/>
        </w:rPr>
        <w:t xml:space="preserve"> </w:t>
      </w:r>
      <w:r w:rsidR="00EC4915">
        <w:rPr>
          <w:bCs/>
          <w:lang w:val="en-US"/>
        </w:rPr>
        <w:t>was</w:t>
      </w:r>
      <w:r w:rsidR="00EC4915" w:rsidRPr="00813D19">
        <w:rPr>
          <w:bCs/>
          <w:lang w:val="en-US"/>
        </w:rPr>
        <w:t xml:space="preserve"> </w:t>
      </w:r>
      <w:r w:rsidR="002D78BA" w:rsidRPr="00813D19">
        <w:rPr>
          <w:bCs/>
          <w:lang w:val="en-US"/>
        </w:rPr>
        <w:t>a very useful guide for future reporting.</w:t>
      </w:r>
    </w:p>
    <w:p w14:paraId="27492B90" w14:textId="0F9EADD7" w:rsidR="00F3632B" w:rsidRPr="00813D19" w:rsidRDefault="004C04F3" w:rsidP="00F3632B">
      <w:pPr>
        <w:pStyle w:val="Orateurengris"/>
        <w:spacing w:before="120"/>
        <w:ind w:left="709" w:hanging="709"/>
        <w:rPr>
          <w:i/>
          <w:iCs/>
          <w:color w:val="000000" w:themeColor="text1"/>
          <w:lang w:val="en-US"/>
        </w:rPr>
      </w:pPr>
      <w:r w:rsidRPr="00813D19">
        <w:rPr>
          <w:iCs/>
          <w:color w:val="000000" w:themeColor="text1"/>
          <w:lang w:val="en-US"/>
        </w:rPr>
        <w:t>The</w:t>
      </w:r>
      <w:r w:rsidRPr="00813D19">
        <w:rPr>
          <w:b/>
          <w:iCs/>
          <w:color w:val="000000" w:themeColor="text1"/>
          <w:lang w:val="en-US"/>
        </w:rPr>
        <w:t xml:space="preserve"> delegation of Morocco </w:t>
      </w:r>
      <w:r w:rsidR="00634F08" w:rsidRPr="00813D19">
        <w:rPr>
          <w:iCs/>
          <w:color w:val="000000" w:themeColor="text1"/>
          <w:lang w:val="en-US"/>
        </w:rPr>
        <w:t>thanked Mauritius</w:t>
      </w:r>
      <w:r w:rsidR="00F3632B" w:rsidRPr="00813D19">
        <w:rPr>
          <w:iCs/>
          <w:color w:val="000000" w:themeColor="text1"/>
          <w:lang w:val="en-US"/>
        </w:rPr>
        <w:t xml:space="preserve"> for </w:t>
      </w:r>
      <w:r w:rsidR="00634F08" w:rsidRPr="00813D19">
        <w:rPr>
          <w:iCs/>
          <w:color w:val="000000" w:themeColor="text1"/>
          <w:lang w:val="en-US"/>
        </w:rPr>
        <w:t xml:space="preserve">its </w:t>
      </w:r>
      <w:r w:rsidR="00F3632B" w:rsidRPr="00813D19">
        <w:rPr>
          <w:iCs/>
          <w:color w:val="000000" w:themeColor="text1"/>
          <w:lang w:val="en-US"/>
        </w:rPr>
        <w:t xml:space="preserve">warm welcome and </w:t>
      </w:r>
      <w:r w:rsidR="00634F08" w:rsidRPr="00813D19">
        <w:rPr>
          <w:iCs/>
          <w:color w:val="000000" w:themeColor="text1"/>
          <w:lang w:val="en-US"/>
        </w:rPr>
        <w:t>the S</w:t>
      </w:r>
      <w:r w:rsidR="00F3632B" w:rsidRPr="00813D19">
        <w:rPr>
          <w:iCs/>
          <w:color w:val="000000" w:themeColor="text1"/>
          <w:lang w:val="en-US"/>
        </w:rPr>
        <w:t>ecretariat for the documents</w:t>
      </w:r>
      <w:r w:rsidR="00634F08" w:rsidRPr="00813D19">
        <w:rPr>
          <w:iCs/>
          <w:color w:val="000000" w:themeColor="text1"/>
          <w:lang w:val="en-US"/>
        </w:rPr>
        <w:t xml:space="preserve">, adding that it had some general </w:t>
      </w:r>
      <w:r w:rsidR="00F3632B" w:rsidRPr="00813D19">
        <w:rPr>
          <w:iCs/>
          <w:color w:val="000000" w:themeColor="text1"/>
          <w:lang w:val="en-US"/>
        </w:rPr>
        <w:t>reflections on the reports. First</w:t>
      </w:r>
      <w:r w:rsidR="00634F08" w:rsidRPr="00813D19">
        <w:rPr>
          <w:iCs/>
          <w:color w:val="000000" w:themeColor="text1"/>
          <w:lang w:val="en-US"/>
        </w:rPr>
        <w:t>ly</w:t>
      </w:r>
      <w:r w:rsidR="009476D8" w:rsidRPr="00813D19">
        <w:rPr>
          <w:iCs/>
          <w:color w:val="000000" w:themeColor="text1"/>
          <w:lang w:val="en-US"/>
        </w:rPr>
        <w:t xml:space="preserve"> [</w:t>
      </w:r>
      <w:r w:rsidR="00634F08" w:rsidRPr="00813D19">
        <w:rPr>
          <w:iCs/>
          <w:color w:val="000000" w:themeColor="text1"/>
          <w:lang w:val="en-US"/>
        </w:rPr>
        <w:t>from personal experience as a facilitator</w:t>
      </w:r>
      <w:r w:rsidR="009476D8" w:rsidRPr="00813D19">
        <w:rPr>
          <w:iCs/>
          <w:color w:val="000000" w:themeColor="text1"/>
          <w:lang w:val="en-US"/>
        </w:rPr>
        <w:t>]</w:t>
      </w:r>
      <w:r w:rsidR="00634F08" w:rsidRPr="00813D19">
        <w:rPr>
          <w:iCs/>
          <w:color w:val="000000" w:themeColor="text1"/>
          <w:lang w:val="en-US"/>
        </w:rPr>
        <w:t xml:space="preserve">, it was noted that there </w:t>
      </w:r>
      <w:r w:rsidR="00EC4915">
        <w:rPr>
          <w:iCs/>
          <w:color w:val="000000" w:themeColor="text1"/>
          <w:lang w:val="en-US"/>
        </w:rPr>
        <w:t>was</w:t>
      </w:r>
      <w:r w:rsidR="00EC4915" w:rsidRPr="00813D19">
        <w:rPr>
          <w:iCs/>
          <w:color w:val="000000" w:themeColor="text1"/>
          <w:lang w:val="en-US"/>
        </w:rPr>
        <w:t xml:space="preserve"> </w:t>
      </w:r>
      <w:r w:rsidR="00813D19" w:rsidRPr="00813D19">
        <w:rPr>
          <w:iCs/>
          <w:color w:val="000000" w:themeColor="text1"/>
          <w:lang w:val="en-US"/>
        </w:rPr>
        <w:t>an</w:t>
      </w:r>
      <w:r w:rsidR="00634F08" w:rsidRPr="00813D19">
        <w:rPr>
          <w:iCs/>
          <w:color w:val="000000" w:themeColor="text1"/>
          <w:lang w:val="en-US"/>
        </w:rPr>
        <w:t xml:space="preserve"> absence </w:t>
      </w:r>
      <w:r w:rsidR="00F3632B" w:rsidRPr="00813D19">
        <w:rPr>
          <w:iCs/>
          <w:color w:val="000000" w:themeColor="text1"/>
          <w:lang w:val="en-US"/>
        </w:rPr>
        <w:t>o</w:t>
      </w:r>
      <w:r w:rsidR="00634F08" w:rsidRPr="00813D19">
        <w:rPr>
          <w:iCs/>
          <w:color w:val="000000" w:themeColor="text1"/>
          <w:lang w:val="en-US"/>
        </w:rPr>
        <w:t>f a reporting mechanism within S</w:t>
      </w:r>
      <w:r w:rsidR="00F3632B" w:rsidRPr="00813D19">
        <w:rPr>
          <w:iCs/>
          <w:color w:val="000000" w:themeColor="text1"/>
          <w:lang w:val="en-US"/>
        </w:rPr>
        <w:t xml:space="preserve">tates. </w:t>
      </w:r>
      <w:r w:rsidR="00634F08" w:rsidRPr="00813D19">
        <w:rPr>
          <w:iCs/>
          <w:color w:val="000000" w:themeColor="text1"/>
          <w:lang w:val="en-US"/>
        </w:rPr>
        <w:t xml:space="preserve">The delegation understood that the </w:t>
      </w:r>
      <w:r w:rsidR="00F3632B" w:rsidRPr="00813D19">
        <w:rPr>
          <w:iCs/>
          <w:color w:val="000000" w:themeColor="text1"/>
          <w:lang w:val="en-US"/>
        </w:rPr>
        <w:t xml:space="preserve">Committee </w:t>
      </w:r>
      <w:r w:rsidR="00634F08" w:rsidRPr="00813D19">
        <w:rPr>
          <w:iCs/>
          <w:color w:val="000000" w:themeColor="text1"/>
          <w:lang w:val="en-US"/>
        </w:rPr>
        <w:t xml:space="preserve">was </w:t>
      </w:r>
      <w:r w:rsidR="00F3632B" w:rsidRPr="00813D19">
        <w:rPr>
          <w:iCs/>
          <w:color w:val="000000" w:themeColor="text1"/>
          <w:lang w:val="en-US"/>
        </w:rPr>
        <w:t xml:space="preserve">working to improve the reporting mechanism </w:t>
      </w:r>
      <w:r w:rsidR="00634F08" w:rsidRPr="00813D19">
        <w:rPr>
          <w:iCs/>
          <w:color w:val="000000" w:themeColor="text1"/>
          <w:lang w:val="en-US"/>
        </w:rPr>
        <w:t xml:space="preserve">by </w:t>
      </w:r>
      <w:r w:rsidR="00F3632B" w:rsidRPr="00813D19">
        <w:rPr>
          <w:iCs/>
          <w:color w:val="000000" w:themeColor="text1"/>
          <w:lang w:val="en-US"/>
        </w:rPr>
        <w:t xml:space="preserve">States to the Committee, but </w:t>
      </w:r>
      <w:r w:rsidR="00634F08" w:rsidRPr="00813D19">
        <w:rPr>
          <w:iCs/>
          <w:color w:val="000000" w:themeColor="text1"/>
          <w:lang w:val="en-US"/>
        </w:rPr>
        <w:t xml:space="preserve">there was also a lack of an </w:t>
      </w:r>
      <w:r w:rsidR="00F3632B" w:rsidRPr="00813D19">
        <w:rPr>
          <w:iCs/>
          <w:color w:val="000000" w:themeColor="text1"/>
          <w:lang w:val="en-US"/>
        </w:rPr>
        <w:t xml:space="preserve">upstream </w:t>
      </w:r>
      <w:r w:rsidR="00634F08" w:rsidRPr="00813D19">
        <w:rPr>
          <w:iCs/>
          <w:color w:val="000000" w:themeColor="text1"/>
          <w:lang w:val="en-US"/>
        </w:rPr>
        <w:t xml:space="preserve">mechanism at the State level for </w:t>
      </w:r>
      <w:r w:rsidR="00F3632B" w:rsidRPr="00813D19">
        <w:rPr>
          <w:iCs/>
          <w:color w:val="000000" w:themeColor="text1"/>
          <w:lang w:val="en-US"/>
        </w:rPr>
        <w:t xml:space="preserve">preparing </w:t>
      </w:r>
      <w:r w:rsidR="00634F08" w:rsidRPr="00813D19">
        <w:rPr>
          <w:iCs/>
          <w:color w:val="000000" w:themeColor="text1"/>
          <w:lang w:val="en-US"/>
        </w:rPr>
        <w:t xml:space="preserve">these </w:t>
      </w:r>
      <w:r w:rsidR="00F3632B" w:rsidRPr="00813D19">
        <w:rPr>
          <w:iCs/>
          <w:color w:val="000000" w:themeColor="text1"/>
          <w:lang w:val="en-US"/>
        </w:rPr>
        <w:t xml:space="preserve">reports </w:t>
      </w:r>
      <w:r w:rsidR="00634F08" w:rsidRPr="00813D19">
        <w:rPr>
          <w:iCs/>
          <w:color w:val="000000" w:themeColor="text1"/>
          <w:lang w:val="en-US"/>
        </w:rPr>
        <w:t xml:space="preserve">that would </w:t>
      </w:r>
      <w:r w:rsidR="00F3632B" w:rsidRPr="00813D19">
        <w:rPr>
          <w:iCs/>
          <w:color w:val="000000" w:themeColor="text1"/>
          <w:lang w:val="en-US"/>
        </w:rPr>
        <w:t>include the objectives, stakeholders</w:t>
      </w:r>
      <w:r w:rsidR="00634F08" w:rsidRPr="00813D19">
        <w:rPr>
          <w:iCs/>
          <w:color w:val="000000" w:themeColor="text1"/>
          <w:lang w:val="en-US"/>
        </w:rPr>
        <w:t>,</w:t>
      </w:r>
      <w:r w:rsidR="00F3632B" w:rsidRPr="00813D19">
        <w:rPr>
          <w:iCs/>
          <w:color w:val="000000" w:themeColor="text1"/>
          <w:lang w:val="en-US"/>
        </w:rPr>
        <w:t xml:space="preserve"> procedures</w:t>
      </w:r>
      <w:r w:rsidR="00634F08" w:rsidRPr="00813D19">
        <w:rPr>
          <w:iCs/>
          <w:color w:val="000000" w:themeColor="text1"/>
          <w:lang w:val="en-US"/>
        </w:rPr>
        <w:t>,</w:t>
      </w:r>
      <w:r w:rsidR="00F3632B" w:rsidRPr="00813D19">
        <w:rPr>
          <w:iCs/>
          <w:color w:val="000000" w:themeColor="text1"/>
          <w:lang w:val="en-US"/>
        </w:rPr>
        <w:t xml:space="preserve"> and </w:t>
      </w:r>
      <w:r w:rsidR="00634F08" w:rsidRPr="00813D19">
        <w:rPr>
          <w:iCs/>
          <w:color w:val="000000" w:themeColor="text1"/>
          <w:lang w:val="en-US"/>
        </w:rPr>
        <w:t xml:space="preserve">finally the </w:t>
      </w:r>
      <w:r w:rsidR="00F3632B" w:rsidRPr="00813D19">
        <w:rPr>
          <w:iCs/>
          <w:color w:val="000000" w:themeColor="text1"/>
          <w:lang w:val="en-US"/>
        </w:rPr>
        <w:t xml:space="preserve">results to which these reports must lead. Secondly, within the Committee itself, </w:t>
      </w:r>
      <w:r w:rsidR="00634F08" w:rsidRPr="00813D19">
        <w:rPr>
          <w:iCs/>
          <w:color w:val="000000" w:themeColor="text1"/>
          <w:lang w:val="en-US"/>
        </w:rPr>
        <w:t xml:space="preserve">it </w:t>
      </w:r>
      <w:r w:rsidR="00F3632B" w:rsidRPr="00813D19">
        <w:rPr>
          <w:iCs/>
          <w:color w:val="000000" w:themeColor="text1"/>
          <w:lang w:val="en-US"/>
        </w:rPr>
        <w:t xml:space="preserve">may need to </w:t>
      </w:r>
      <w:r w:rsidR="00634F08" w:rsidRPr="00813D19">
        <w:rPr>
          <w:iCs/>
          <w:color w:val="000000" w:themeColor="text1"/>
          <w:lang w:val="en-US"/>
        </w:rPr>
        <w:t>consider</w:t>
      </w:r>
      <w:r w:rsidR="00F3632B" w:rsidRPr="00813D19">
        <w:rPr>
          <w:iCs/>
          <w:color w:val="000000" w:themeColor="text1"/>
          <w:lang w:val="en-US"/>
        </w:rPr>
        <w:t xml:space="preserve"> </w:t>
      </w:r>
      <w:r w:rsidR="00634F08" w:rsidRPr="00813D19">
        <w:rPr>
          <w:iCs/>
          <w:color w:val="000000" w:themeColor="text1"/>
          <w:lang w:val="en-US"/>
        </w:rPr>
        <w:t xml:space="preserve">the </w:t>
      </w:r>
      <w:r w:rsidR="00F3632B" w:rsidRPr="00813D19">
        <w:rPr>
          <w:iCs/>
          <w:color w:val="000000" w:themeColor="text1"/>
          <w:lang w:val="en-US"/>
        </w:rPr>
        <w:t xml:space="preserve">key indicators that allow the content of </w:t>
      </w:r>
      <w:r w:rsidR="00634F08" w:rsidRPr="00813D19">
        <w:rPr>
          <w:iCs/>
          <w:color w:val="000000" w:themeColor="text1"/>
          <w:lang w:val="en-US"/>
        </w:rPr>
        <w:t xml:space="preserve">the </w:t>
      </w:r>
      <w:r w:rsidR="00F3632B" w:rsidRPr="00813D19">
        <w:rPr>
          <w:iCs/>
          <w:color w:val="000000" w:themeColor="text1"/>
          <w:lang w:val="en-US"/>
        </w:rPr>
        <w:t>reports to impro</w:t>
      </w:r>
      <w:r w:rsidR="00634F08" w:rsidRPr="00813D19">
        <w:rPr>
          <w:iCs/>
          <w:color w:val="000000" w:themeColor="text1"/>
          <w:lang w:val="en-US"/>
        </w:rPr>
        <w:t>ve the safeguarding of elements</w:t>
      </w:r>
      <w:r w:rsidR="00F3632B" w:rsidRPr="00813D19">
        <w:rPr>
          <w:iCs/>
          <w:color w:val="000000" w:themeColor="text1"/>
          <w:lang w:val="en-US"/>
        </w:rPr>
        <w:t xml:space="preserve"> and</w:t>
      </w:r>
      <w:r w:rsidR="00634F08" w:rsidRPr="00813D19">
        <w:rPr>
          <w:iCs/>
          <w:color w:val="000000" w:themeColor="text1"/>
          <w:lang w:val="en-US"/>
        </w:rPr>
        <w:t>,</w:t>
      </w:r>
      <w:r w:rsidR="00F3632B" w:rsidRPr="00813D19">
        <w:rPr>
          <w:iCs/>
          <w:color w:val="000000" w:themeColor="text1"/>
          <w:lang w:val="en-US"/>
        </w:rPr>
        <w:t xml:space="preserve"> more generally</w:t>
      </w:r>
      <w:r w:rsidR="00634F08" w:rsidRPr="00813D19">
        <w:rPr>
          <w:iCs/>
          <w:color w:val="000000" w:themeColor="text1"/>
          <w:lang w:val="en-US"/>
        </w:rPr>
        <w:t>,</w:t>
      </w:r>
      <w:r w:rsidR="00F3632B" w:rsidRPr="00813D19">
        <w:rPr>
          <w:iCs/>
          <w:color w:val="000000" w:themeColor="text1"/>
          <w:lang w:val="en-US"/>
        </w:rPr>
        <w:t xml:space="preserve"> of the implementation of the Convention at </w:t>
      </w:r>
      <w:r w:rsidR="00634F08" w:rsidRPr="00813D19">
        <w:rPr>
          <w:iCs/>
          <w:color w:val="000000" w:themeColor="text1"/>
          <w:lang w:val="en-US"/>
        </w:rPr>
        <w:t xml:space="preserve">the </w:t>
      </w:r>
      <w:r w:rsidR="00F3632B" w:rsidRPr="00813D19">
        <w:rPr>
          <w:iCs/>
          <w:color w:val="000000" w:themeColor="text1"/>
          <w:lang w:val="en-US"/>
        </w:rPr>
        <w:t xml:space="preserve">national level. What </w:t>
      </w:r>
      <w:r w:rsidR="00B323C0" w:rsidRPr="00813D19">
        <w:rPr>
          <w:iCs/>
          <w:color w:val="000000" w:themeColor="text1"/>
          <w:lang w:val="en-US"/>
        </w:rPr>
        <w:t xml:space="preserve">were </w:t>
      </w:r>
      <w:r w:rsidR="00F3632B" w:rsidRPr="00813D19">
        <w:rPr>
          <w:iCs/>
          <w:color w:val="000000" w:themeColor="text1"/>
          <w:lang w:val="en-US"/>
        </w:rPr>
        <w:t xml:space="preserve">the key indicators that </w:t>
      </w:r>
      <w:r w:rsidR="00634F08" w:rsidRPr="00813D19">
        <w:rPr>
          <w:iCs/>
          <w:color w:val="000000" w:themeColor="text1"/>
          <w:lang w:val="en-US"/>
        </w:rPr>
        <w:t xml:space="preserve">could be used by </w:t>
      </w:r>
      <w:r w:rsidR="00F3632B" w:rsidRPr="00813D19">
        <w:rPr>
          <w:iCs/>
          <w:color w:val="000000" w:themeColor="text1"/>
          <w:lang w:val="en-US"/>
        </w:rPr>
        <w:t xml:space="preserve">the Committee to improve this reporting exercise? </w:t>
      </w:r>
      <w:r w:rsidR="00634F08" w:rsidRPr="00813D19">
        <w:rPr>
          <w:iCs/>
          <w:color w:val="000000" w:themeColor="text1"/>
          <w:lang w:val="en-US"/>
        </w:rPr>
        <w:t>F</w:t>
      </w:r>
      <w:r w:rsidR="00F3632B" w:rsidRPr="00813D19">
        <w:rPr>
          <w:iCs/>
          <w:color w:val="000000" w:themeColor="text1"/>
          <w:lang w:val="en-US"/>
        </w:rPr>
        <w:t xml:space="preserve">inally, </w:t>
      </w:r>
      <w:r w:rsidR="00634F08" w:rsidRPr="00813D19">
        <w:rPr>
          <w:iCs/>
          <w:color w:val="000000" w:themeColor="text1"/>
          <w:lang w:val="en-US"/>
        </w:rPr>
        <w:t xml:space="preserve">regarding </w:t>
      </w:r>
      <w:r w:rsidR="00F3632B" w:rsidRPr="00813D19">
        <w:rPr>
          <w:iCs/>
          <w:color w:val="000000" w:themeColor="text1"/>
          <w:lang w:val="en-US"/>
        </w:rPr>
        <w:t xml:space="preserve">the Urgent Safeguarding List, </w:t>
      </w:r>
      <w:r w:rsidR="00634F08" w:rsidRPr="00813D19">
        <w:rPr>
          <w:iCs/>
          <w:color w:val="000000" w:themeColor="text1"/>
          <w:lang w:val="en-US"/>
        </w:rPr>
        <w:t xml:space="preserve">the delegation </w:t>
      </w:r>
      <w:r w:rsidR="00B323C0" w:rsidRPr="00813D19">
        <w:rPr>
          <w:iCs/>
          <w:color w:val="000000" w:themeColor="text1"/>
          <w:lang w:val="en-US"/>
        </w:rPr>
        <w:t>raised the point again:</w:t>
      </w:r>
      <w:r w:rsidR="0070482C" w:rsidRPr="00813D19">
        <w:rPr>
          <w:iCs/>
          <w:color w:val="000000" w:themeColor="text1"/>
          <w:lang w:val="en-US"/>
        </w:rPr>
        <w:t xml:space="preserve"> For how long should </w:t>
      </w:r>
      <w:r w:rsidR="00F3632B" w:rsidRPr="00813D19">
        <w:rPr>
          <w:iCs/>
          <w:color w:val="000000" w:themeColor="text1"/>
          <w:lang w:val="en-US"/>
        </w:rPr>
        <w:t>elements remain on the Urgent Safeguarding List? Are they expected to remain indefinitely</w:t>
      </w:r>
      <w:r w:rsidR="0070482C" w:rsidRPr="00813D19">
        <w:rPr>
          <w:iCs/>
          <w:color w:val="000000" w:themeColor="text1"/>
          <w:lang w:val="en-US"/>
        </w:rPr>
        <w:t>? O</w:t>
      </w:r>
      <w:r w:rsidR="00F3632B" w:rsidRPr="00813D19">
        <w:rPr>
          <w:iCs/>
          <w:color w:val="000000" w:themeColor="text1"/>
          <w:lang w:val="en-US"/>
        </w:rPr>
        <w:t xml:space="preserve">r should the Committee assist States Parties to ensure </w:t>
      </w:r>
      <w:r w:rsidR="0070482C" w:rsidRPr="00813D19">
        <w:rPr>
          <w:iCs/>
          <w:color w:val="000000" w:themeColor="text1"/>
          <w:lang w:val="en-US"/>
        </w:rPr>
        <w:t>their viability is improved so that they may join the Representative List?</w:t>
      </w:r>
      <w:r w:rsidR="00F3632B" w:rsidRPr="00813D19">
        <w:rPr>
          <w:iCs/>
          <w:color w:val="000000" w:themeColor="text1"/>
          <w:lang w:val="en-US"/>
        </w:rPr>
        <w:t xml:space="preserve"> </w:t>
      </w:r>
      <w:r w:rsidR="0070482C" w:rsidRPr="00813D19">
        <w:rPr>
          <w:iCs/>
          <w:color w:val="000000" w:themeColor="text1"/>
          <w:lang w:val="en-US"/>
        </w:rPr>
        <w:t xml:space="preserve">This example </w:t>
      </w:r>
      <w:r w:rsidR="00EC4915">
        <w:rPr>
          <w:iCs/>
          <w:color w:val="000000" w:themeColor="text1"/>
          <w:lang w:val="en-US"/>
        </w:rPr>
        <w:t>had</w:t>
      </w:r>
      <w:r w:rsidR="00EC4915" w:rsidRPr="00813D19">
        <w:rPr>
          <w:iCs/>
          <w:color w:val="000000" w:themeColor="text1"/>
          <w:lang w:val="en-US"/>
        </w:rPr>
        <w:t xml:space="preserve"> </w:t>
      </w:r>
      <w:r w:rsidR="0070482C" w:rsidRPr="00813D19">
        <w:rPr>
          <w:iCs/>
          <w:color w:val="000000" w:themeColor="text1"/>
          <w:lang w:val="en-US"/>
        </w:rPr>
        <w:t xml:space="preserve">recently </w:t>
      </w:r>
      <w:r w:rsidR="00EC4915">
        <w:rPr>
          <w:iCs/>
          <w:color w:val="000000" w:themeColor="text1"/>
          <w:lang w:val="en-US"/>
        </w:rPr>
        <w:t xml:space="preserve">been </w:t>
      </w:r>
      <w:r w:rsidR="0070482C" w:rsidRPr="00813D19">
        <w:rPr>
          <w:iCs/>
          <w:color w:val="000000" w:themeColor="text1"/>
          <w:lang w:val="en-US"/>
        </w:rPr>
        <w:t xml:space="preserve">seen </w:t>
      </w:r>
      <w:r w:rsidR="00B92101" w:rsidRPr="00813D19">
        <w:rPr>
          <w:iCs/>
          <w:color w:val="000000" w:themeColor="text1"/>
          <w:lang w:val="en-US"/>
        </w:rPr>
        <w:t>in</w:t>
      </w:r>
      <w:r w:rsidR="0070482C" w:rsidRPr="00813D19">
        <w:rPr>
          <w:iCs/>
          <w:color w:val="000000" w:themeColor="text1"/>
          <w:lang w:val="en-US"/>
        </w:rPr>
        <w:t xml:space="preserve"> the case </w:t>
      </w:r>
      <w:r w:rsidR="00B323C0" w:rsidRPr="00813D19">
        <w:rPr>
          <w:iCs/>
          <w:color w:val="000000" w:themeColor="text1"/>
          <w:lang w:val="en-US"/>
        </w:rPr>
        <w:t>of</w:t>
      </w:r>
      <w:r w:rsidR="0070482C" w:rsidRPr="00813D19">
        <w:rPr>
          <w:iCs/>
          <w:color w:val="000000" w:themeColor="text1"/>
          <w:lang w:val="en-US"/>
        </w:rPr>
        <w:t xml:space="preserve"> Viet</w:t>
      </w:r>
      <w:r w:rsidR="00EC4915">
        <w:rPr>
          <w:iCs/>
          <w:color w:val="000000" w:themeColor="text1"/>
          <w:lang w:val="en-US"/>
        </w:rPr>
        <w:t xml:space="preserve"> N</w:t>
      </w:r>
      <w:r w:rsidR="00EC4915" w:rsidRPr="00813D19">
        <w:rPr>
          <w:iCs/>
          <w:color w:val="000000" w:themeColor="text1"/>
          <w:lang w:val="en-US"/>
        </w:rPr>
        <w:t xml:space="preserve">am </w:t>
      </w:r>
      <w:r w:rsidR="00B92101" w:rsidRPr="00813D19">
        <w:rPr>
          <w:iCs/>
          <w:color w:val="000000" w:themeColor="text1"/>
          <w:lang w:val="en-US"/>
        </w:rPr>
        <w:t xml:space="preserve">[Decision </w:t>
      </w:r>
      <w:hyperlink r:id="rId48" w:history="1">
        <w:r w:rsidR="00B92101" w:rsidRPr="00813D19">
          <w:rPr>
            <w:rStyle w:val="Hyperlink"/>
            <w:iCs/>
            <w:lang w:val="en-US"/>
          </w:rPr>
          <w:t>12.COM 11.C</w:t>
        </w:r>
      </w:hyperlink>
      <w:r w:rsidR="00B92101" w:rsidRPr="00813D19">
        <w:rPr>
          <w:iCs/>
          <w:color w:val="000000" w:themeColor="text1"/>
          <w:lang w:val="en-US"/>
        </w:rPr>
        <w:t>]</w:t>
      </w:r>
      <w:r w:rsidR="0070482C" w:rsidRPr="00813D19">
        <w:rPr>
          <w:iCs/>
          <w:color w:val="000000" w:themeColor="text1"/>
          <w:lang w:val="en-US"/>
        </w:rPr>
        <w:t>.</w:t>
      </w:r>
      <w:r w:rsidR="00F3632B" w:rsidRPr="00813D19">
        <w:rPr>
          <w:iCs/>
          <w:color w:val="000000" w:themeColor="text1"/>
          <w:lang w:val="en-US"/>
        </w:rPr>
        <w:t xml:space="preserve"> </w:t>
      </w:r>
      <w:r w:rsidR="00B92101" w:rsidRPr="00813D19">
        <w:rPr>
          <w:iCs/>
          <w:color w:val="000000" w:themeColor="text1"/>
          <w:lang w:val="en-US"/>
        </w:rPr>
        <w:t>Thus, it was important to reflect on the question: H</w:t>
      </w:r>
      <w:r w:rsidR="00F3632B" w:rsidRPr="00813D19">
        <w:rPr>
          <w:iCs/>
          <w:color w:val="000000" w:themeColor="text1"/>
          <w:lang w:val="en-US"/>
        </w:rPr>
        <w:t>ow can the reports enable the Committee to concretely assess the viability of the elements o</w:t>
      </w:r>
      <w:r w:rsidR="0016273D">
        <w:rPr>
          <w:iCs/>
          <w:color w:val="000000" w:themeColor="text1"/>
          <w:lang w:val="en-US"/>
        </w:rPr>
        <w:t>n the Urgent Safeguarding List?</w:t>
      </w:r>
    </w:p>
    <w:p w14:paraId="6019F487" w14:textId="1F8600A3" w:rsidR="00C43661" w:rsidRPr="00813D19" w:rsidRDefault="00C43661" w:rsidP="002018FA">
      <w:pPr>
        <w:pStyle w:val="Orateurengris"/>
        <w:spacing w:before="120"/>
        <w:ind w:left="709" w:hanging="709"/>
        <w:rPr>
          <w:i/>
          <w:iCs/>
          <w:color w:val="000000" w:themeColor="text1"/>
          <w:lang w:val="en-US"/>
        </w:rPr>
      </w:pPr>
      <w:r w:rsidRPr="002827E3">
        <w:rPr>
          <w:iCs/>
          <w:color w:val="000000" w:themeColor="text1"/>
          <w:lang w:val="en-US"/>
        </w:rPr>
        <w:t>The</w:t>
      </w:r>
      <w:r w:rsidRPr="002827E3">
        <w:rPr>
          <w:b/>
          <w:iCs/>
          <w:color w:val="000000" w:themeColor="text1"/>
          <w:lang w:val="en-US"/>
        </w:rPr>
        <w:t xml:space="preserve"> delegation of Uganda</w:t>
      </w:r>
      <w:r w:rsidR="002D78BA" w:rsidRPr="002827E3">
        <w:rPr>
          <w:b/>
          <w:iCs/>
          <w:color w:val="000000" w:themeColor="text1"/>
          <w:lang w:val="en-US"/>
        </w:rPr>
        <w:t xml:space="preserve"> </w:t>
      </w:r>
      <w:r w:rsidR="002D78BA" w:rsidRPr="000B6D83">
        <w:rPr>
          <w:bCs/>
          <w:lang w:val="en-US"/>
        </w:rPr>
        <w:t>thank</w:t>
      </w:r>
      <w:r w:rsidR="00015DCD" w:rsidRPr="000B6D83">
        <w:rPr>
          <w:bCs/>
          <w:lang w:val="en-US"/>
        </w:rPr>
        <w:t>ed</w:t>
      </w:r>
      <w:r w:rsidR="002D78BA" w:rsidRPr="000B6D83">
        <w:rPr>
          <w:bCs/>
          <w:lang w:val="en-US"/>
        </w:rPr>
        <w:t xml:space="preserve"> </w:t>
      </w:r>
      <w:r w:rsidR="00015DCD" w:rsidRPr="000B6D83">
        <w:rPr>
          <w:bCs/>
          <w:lang w:val="en-US"/>
        </w:rPr>
        <w:t xml:space="preserve">the Chairperson </w:t>
      </w:r>
      <w:r w:rsidR="002D78BA" w:rsidRPr="000B6D83">
        <w:rPr>
          <w:bCs/>
          <w:lang w:val="en-US"/>
        </w:rPr>
        <w:t xml:space="preserve">for chairing this </w:t>
      </w:r>
      <w:r w:rsidR="002D78BA" w:rsidRPr="00A5458B">
        <w:rPr>
          <w:bCs/>
          <w:lang w:val="en-US"/>
        </w:rPr>
        <w:t xml:space="preserve">session and </w:t>
      </w:r>
      <w:r w:rsidR="000755B2" w:rsidRPr="00A5458B">
        <w:rPr>
          <w:bCs/>
          <w:lang w:val="en-US"/>
        </w:rPr>
        <w:t xml:space="preserve">for the warm welcome and hospitality </w:t>
      </w:r>
      <w:r w:rsidR="00A330CC" w:rsidRPr="000B6D83">
        <w:rPr>
          <w:bCs/>
          <w:lang w:val="en-US"/>
        </w:rPr>
        <w:t xml:space="preserve">of </w:t>
      </w:r>
      <w:r w:rsidR="000755B2" w:rsidRPr="000B6D83">
        <w:rPr>
          <w:bCs/>
          <w:lang w:val="en-US"/>
        </w:rPr>
        <w:t>the</w:t>
      </w:r>
      <w:r w:rsidR="000755B2" w:rsidRPr="00813D19">
        <w:rPr>
          <w:bCs/>
          <w:lang w:val="en-US"/>
        </w:rPr>
        <w:t xml:space="preserve"> Government of Mauritius, </w:t>
      </w:r>
      <w:r w:rsidR="00A330CC" w:rsidRPr="00813D19">
        <w:rPr>
          <w:bCs/>
          <w:lang w:val="en-US"/>
        </w:rPr>
        <w:t xml:space="preserve">as well as </w:t>
      </w:r>
      <w:r w:rsidR="002D78BA" w:rsidRPr="00813D19">
        <w:rPr>
          <w:bCs/>
          <w:lang w:val="en-US"/>
        </w:rPr>
        <w:t xml:space="preserve">the Secretariat for coordinating and financing some of the delegates’ participation </w:t>
      </w:r>
      <w:r w:rsidR="00EC4915">
        <w:rPr>
          <w:bCs/>
          <w:lang w:val="en-US"/>
        </w:rPr>
        <w:t>in</w:t>
      </w:r>
      <w:r w:rsidR="00EC4915" w:rsidRPr="00813D19">
        <w:rPr>
          <w:bCs/>
          <w:lang w:val="en-US"/>
        </w:rPr>
        <w:t xml:space="preserve"> </w:t>
      </w:r>
      <w:r w:rsidR="000755B2" w:rsidRPr="00813D19">
        <w:rPr>
          <w:bCs/>
          <w:lang w:val="en-US"/>
        </w:rPr>
        <w:t>this meeting. Uganda commended</w:t>
      </w:r>
      <w:r w:rsidR="002D78BA" w:rsidRPr="00813D19">
        <w:rPr>
          <w:bCs/>
          <w:lang w:val="en-US"/>
        </w:rPr>
        <w:t xml:space="preserve"> all </w:t>
      </w:r>
      <w:r w:rsidR="00EC4915">
        <w:rPr>
          <w:bCs/>
          <w:lang w:val="en-US"/>
        </w:rPr>
        <w:t>thirty-two</w:t>
      </w:r>
      <w:r w:rsidR="00EC4915" w:rsidRPr="00813D19">
        <w:rPr>
          <w:bCs/>
          <w:lang w:val="en-US"/>
        </w:rPr>
        <w:t xml:space="preserve"> </w:t>
      </w:r>
      <w:r w:rsidR="002D78BA" w:rsidRPr="00813D19">
        <w:rPr>
          <w:bCs/>
          <w:lang w:val="en-US"/>
        </w:rPr>
        <w:t xml:space="preserve">States Parties that </w:t>
      </w:r>
      <w:r w:rsidR="000755B2" w:rsidRPr="00813D19">
        <w:rPr>
          <w:bCs/>
          <w:lang w:val="en-US"/>
        </w:rPr>
        <w:t xml:space="preserve">had </w:t>
      </w:r>
      <w:r w:rsidR="002D78BA" w:rsidRPr="00813D19">
        <w:rPr>
          <w:bCs/>
          <w:lang w:val="en-US"/>
        </w:rPr>
        <w:t>submitted their reports on time</w:t>
      </w:r>
      <w:r w:rsidR="000755B2" w:rsidRPr="00813D19">
        <w:rPr>
          <w:bCs/>
          <w:lang w:val="en-US"/>
        </w:rPr>
        <w:t xml:space="preserve">, noting the </w:t>
      </w:r>
      <w:r w:rsidR="002D78BA" w:rsidRPr="00813D19">
        <w:rPr>
          <w:bCs/>
          <w:lang w:val="en-US"/>
        </w:rPr>
        <w:t xml:space="preserve">improvement </w:t>
      </w:r>
      <w:r w:rsidR="000755B2" w:rsidRPr="00813D19">
        <w:rPr>
          <w:bCs/>
          <w:lang w:val="en-US"/>
        </w:rPr>
        <w:t xml:space="preserve">in </w:t>
      </w:r>
      <w:r w:rsidR="002D78BA" w:rsidRPr="00813D19">
        <w:rPr>
          <w:bCs/>
          <w:lang w:val="en-US"/>
        </w:rPr>
        <w:t>the reporting</w:t>
      </w:r>
      <w:r w:rsidR="00A330CC" w:rsidRPr="00813D19">
        <w:rPr>
          <w:bCs/>
          <w:lang w:val="en-US"/>
        </w:rPr>
        <w:t>,</w:t>
      </w:r>
      <w:r w:rsidR="002D78BA" w:rsidRPr="00813D19">
        <w:rPr>
          <w:bCs/>
          <w:lang w:val="en-US"/>
        </w:rPr>
        <w:t xml:space="preserve"> </w:t>
      </w:r>
      <w:r w:rsidR="000755B2" w:rsidRPr="00813D19">
        <w:rPr>
          <w:bCs/>
          <w:lang w:val="en-US"/>
        </w:rPr>
        <w:t xml:space="preserve">as shown in </w:t>
      </w:r>
      <w:r w:rsidR="00EC4915">
        <w:rPr>
          <w:bCs/>
          <w:lang w:val="en-US"/>
        </w:rPr>
        <w:t>T</w:t>
      </w:r>
      <w:r w:rsidR="00EC4915" w:rsidRPr="00813D19">
        <w:rPr>
          <w:bCs/>
          <w:lang w:val="en-US"/>
        </w:rPr>
        <w:t xml:space="preserve">able </w:t>
      </w:r>
      <w:r w:rsidR="002D78BA" w:rsidRPr="00813D19">
        <w:rPr>
          <w:bCs/>
          <w:lang w:val="en-US"/>
        </w:rPr>
        <w:t>2</w:t>
      </w:r>
      <w:r w:rsidR="000755B2" w:rsidRPr="00813D19">
        <w:rPr>
          <w:bCs/>
          <w:lang w:val="en-US"/>
        </w:rPr>
        <w:t xml:space="preserve"> of the report</w:t>
      </w:r>
      <w:r w:rsidR="002D78BA" w:rsidRPr="00813D19">
        <w:rPr>
          <w:bCs/>
          <w:lang w:val="en-US"/>
        </w:rPr>
        <w:t xml:space="preserve">. Uganda </w:t>
      </w:r>
      <w:r w:rsidR="00EC4915">
        <w:rPr>
          <w:bCs/>
          <w:lang w:val="en-US"/>
        </w:rPr>
        <w:t>was</w:t>
      </w:r>
      <w:r w:rsidR="00EC4915" w:rsidRPr="00813D19">
        <w:rPr>
          <w:bCs/>
          <w:lang w:val="en-US"/>
        </w:rPr>
        <w:t xml:space="preserve"> </w:t>
      </w:r>
      <w:r w:rsidR="002D78BA" w:rsidRPr="00813D19">
        <w:rPr>
          <w:bCs/>
          <w:lang w:val="en-US"/>
        </w:rPr>
        <w:t xml:space="preserve">one of the </w:t>
      </w:r>
      <w:r w:rsidR="00EC4915">
        <w:rPr>
          <w:bCs/>
          <w:lang w:val="en-US"/>
        </w:rPr>
        <w:t>thirty-two</w:t>
      </w:r>
      <w:r w:rsidR="00EC4915" w:rsidRPr="00813D19">
        <w:rPr>
          <w:bCs/>
          <w:lang w:val="en-US"/>
        </w:rPr>
        <w:t xml:space="preserve"> </w:t>
      </w:r>
      <w:r w:rsidR="002D78BA" w:rsidRPr="00813D19">
        <w:rPr>
          <w:bCs/>
          <w:lang w:val="en-US"/>
        </w:rPr>
        <w:t xml:space="preserve">countries </w:t>
      </w:r>
      <w:r w:rsidR="000755B2" w:rsidRPr="00813D19">
        <w:rPr>
          <w:bCs/>
          <w:lang w:val="en-US"/>
        </w:rPr>
        <w:t xml:space="preserve">that had </w:t>
      </w:r>
      <w:r w:rsidR="00EC4915">
        <w:rPr>
          <w:bCs/>
          <w:lang w:val="en-US"/>
        </w:rPr>
        <w:t xml:space="preserve">had </w:t>
      </w:r>
      <w:r w:rsidR="000755B2" w:rsidRPr="00813D19">
        <w:rPr>
          <w:bCs/>
          <w:lang w:val="en-US"/>
        </w:rPr>
        <w:t>a delay</w:t>
      </w:r>
      <w:r w:rsidR="002D78BA" w:rsidRPr="00813D19">
        <w:rPr>
          <w:bCs/>
          <w:lang w:val="en-US"/>
        </w:rPr>
        <w:t xml:space="preserve"> </w:t>
      </w:r>
      <w:r w:rsidR="000755B2" w:rsidRPr="00813D19">
        <w:rPr>
          <w:bCs/>
          <w:lang w:val="en-US"/>
        </w:rPr>
        <w:t xml:space="preserve">in its submission </w:t>
      </w:r>
      <w:r w:rsidR="002D78BA" w:rsidRPr="00813D19">
        <w:rPr>
          <w:bCs/>
          <w:lang w:val="en-US"/>
        </w:rPr>
        <w:t xml:space="preserve">by one and a half years, </w:t>
      </w:r>
      <w:r w:rsidR="00031582" w:rsidRPr="00813D19">
        <w:rPr>
          <w:bCs/>
          <w:lang w:val="en-US"/>
        </w:rPr>
        <w:t xml:space="preserve">and this was its first report </w:t>
      </w:r>
      <w:r w:rsidR="002D78BA" w:rsidRPr="00813D19">
        <w:rPr>
          <w:bCs/>
          <w:lang w:val="en-US"/>
        </w:rPr>
        <w:t xml:space="preserve">since </w:t>
      </w:r>
      <w:r w:rsidR="00031582" w:rsidRPr="00813D19">
        <w:rPr>
          <w:bCs/>
          <w:lang w:val="en-US"/>
        </w:rPr>
        <w:t xml:space="preserve">its </w:t>
      </w:r>
      <w:r w:rsidR="002D78BA" w:rsidRPr="00813D19">
        <w:rPr>
          <w:bCs/>
          <w:lang w:val="en-US"/>
        </w:rPr>
        <w:t xml:space="preserve">ratification of </w:t>
      </w:r>
      <w:r w:rsidR="00031582" w:rsidRPr="00813D19">
        <w:rPr>
          <w:bCs/>
          <w:lang w:val="en-US"/>
        </w:rPr>
        <w:t xml:space="preserve">the </w:t>
      </w:r>
      <w:r w:rsidR="002D78BA" w:rsidRPr="00813D19">
        <w:rPr>
          <w:bCs/>
          <w:lang w:val="en-US"/>
        </w:rPr>
        <w:t>Convention</w:t>
      </w:r>
      <w:r w:rsidR="007D51DD" w:rsidRPr="00813D19">
        <w:rPr>
          <w:bCs/>
          <w:lang w:val="en-US"/>
        </w:rPr>
        <w:t xml:space="preserve"> [in 2009]</w:t>
      </w:r>
      <w:r w:rsidR="00031582" w:rsidRPr="00813D19">
        <w:rPr>
          <w:bCs/>
          <w:lang w:val="en-US"/>
        </w:rPr>
        <w:t xml:space="preserve">. In addition, many </w:t>
      </w:r>
      <w:r w:rsidR="002D78BA" w:rsidRPr="00813D19">
        <w:rPr>
          <w:bCs/>
          <w:lang w:val="en-US"/>
        </w:rPr>
        <w:t xml:space="preserve">institutions </w:t>
      </w:r>
      <w:r w:rsidR="00EC4915">
        <w:rPr>
          <w:bCs/>
          <w:lang w:val="en-US"/>
        </w:rPr>
        <w:t>were</w:t>
      </w:r>
      <w:r w:rsidR="00EC4915" w:rsidRPr="00813D19">
        <w:rPr>
          <w:bCs/>
          <w:lang w:val="en-US"/>
        </w:rPr>
        <w:t xml:space="preserve"> </w:t>
      </w:r>
      <w:r w:rsidR="00031582" w:rsidRPr="00813D19">
        <w:rPr>
          <w:bCs/>
          <w:lang w:val="en-US"/>
        </w:rPr>
        <w:t xml:space="preserve">responsible for </w:t>
      </w:r>
      <w:r w:rsidR="002D78BA" w:rsidRPr="00813D19">
        <w:rPr>
          <w:bCs/>
          <w:lang w:val="en-US"/>
        </w:rPr>
        <w:t>intangible c</w:t>
      </w:r>
      <w:r w:rsidR="00C5716F" w:rsidRPr="00813D19">
        <w:rPr>
          <w:bCs/>
          <w:lang w:val="en-US"/>
        </w:rPr>
        <w:t xml:space="preserve">ultural heritage in the country, which arose </w:t>
      </w:r>
      <w:r w:rsidR="002D78BA" w:rsidRPr="00813D19">
        <w:rPr>
          <w:bCs/>
          <w:lang w:val="en-US"/>
        </w:rPr>
        <w:t xml:space="preserve">from </w:t>
      </w:r>
      <w:r w:rsidR="007D51DD" w:rsidRPr="00813D19">
        <w:rPr>
          <w:bCs/>
          <w:lang w:val="en-US"/>
        </w:rPr>
        <w:t xml:space="preserve">the </w:t>
      </w:r>
      <w:r w:rsidR="002D78BA" w:rsidRPr="00813D19">
        <w:rPr>
          <w:bCs/>
          <w:lang w:val="en-US"/>
        </w:rPr>
        <w:t xml:space="preserve">awareness raised </w:t>
      </w:r>
      <w:r w:rsidR="007D51DD" w:rsidRPr="00813D19">
        <w:rPr>
          <w:bCs/>
          <w:lang w:val="en-US"/>
        </w:rPr>
        <w:t xml:space="preserve">when </w:t>
      </w:r>
      <w:r w:rsidR="002D78BA" w:rsidRPr="00813D19">
        <w:rPr>
          <w:bCs/>
          <w:lang w:val="en-US"/>
        </w:rPr>
        <w:t>the element was inscribed on the Representative List</w:t>
      </w:r>
      <w:r w:rsidR="007D51DD" w:rsidRPr="00813D19">
        <w:rPr>
          <w:bCs/>
          <w:lang w:val="en-US"/>
        </w:rPr>
        <w:t xml:space="preserve">, thus making </w:t>
      </w:r>
      <w:r w:rsidR="002D78BA" w:rsidRPr="00813D19">
        <w:rPr>
          <w:bCs/>
          <w:lang w:val="en-US"/>
        </w:rPr>
        <w:t xml:space="preserve">it </w:t>
      </w:r>
      <w:r w:rsidR="007D51DD" w:rsidRPr="00813D19">
        <w:rPr>
          <w:bCs/>
          <w:lang w:val="en-US"/>
        </w:rPr>
        <w:t xml:space="preserve">more </w:t>
      </w:r>
      <w:r w:rsidR="002D78BA" w:rsidRPr="00813D19">
        <w:rPr>
          <w:bCs/>
          <w:lang w:val="en-US"/>
        </w:rPr>
        <w:t xml:space="preserve">difficult to reach out to all the institutions. In </w:t>
      </w:r>
      <w:r w:rsidR="007D51DD" w:rsidRPr="00813D19">
        <w:rPr>
          <w:bCs/>
          <w:lang w:val="en-US"/>
        </w:rPr>
        <w:t>preparing</w:t>
      </w:r>
      <w:r w:rsidR="002D78BA" w:rsidRPr="00813D19">
        <w:rPr>
          <w:bCs/>
          <w:lang w:val="en-US"/>
        </w:rPr>
        <w:t xml:space="preserve"> the report</w:t>
      </w:r>
      <w:r w:rsidR="007D51DD" w:rsidRPr="00813D19">
        <w:rPr>
          <w:bCs/>
          <w:lang w:val="en-US"/>
        </w:rPr>
        <w:t xml:space="preserve">, the delegation advised </w:t>
      </w:r>
      <w:r w:rsidR="002D78BA" w:rsidRPr="00813D19">
        <w:rPr>
          <w:bCs/>
          <w:lang w:val="en-US"/>
        </w:rPr>
        <w:t xml:space="preserve">States Parties </w:t>
      </w:r>
      <w:r w:rsidR="007D51DD" w:rsidRPr="00813D19">
        <w:rPr>
          <w:bCs/>
          <w:lang w:val="en-US"/>
        </w:rPr>
        <w:t xml:space="preserve">to use </w:t>
      </w:r>
      <w:r w:rsidR="002D78BA" w:rsidRPr="00813D19">
        <w:rPr>
          <w:bCs/>
          <w:lang w:val="en-US"/>
        </w:rPr>
        <w:t xml:space="preserve">the guidance dossier </w:t>
      </w:r>
      <w:r w:rsidR="007D51DD" w:rsidRPr="00813D19">
        <w:rPr>
          <w:bCs/>
          <w:lang w:val="en-US"/>
        </w:rPr>
        <w:t xml:space="preserve">provided </w:t>
      </w:r>
      <w:r w:rsidR="002D78BA" w:rsidRPr="00813D19">
        <w:rPr>
          <w:bCs/>
          <w:lang w:val="en-US"/>
        </w:rPr>
        <w:t xml:space="preserve">by the </w:t>
      </w:r>
      <w:r w:rsidR="007D51DD" w:rsidRPr="00813D19">
        <w:rPr>
          <w:bCs/>
          <w:lang w:val="en-US"/>
        </w:rPr>
        <w:t xml:space="preserve">Secretariat when interpreting each section, which had helped </w:t>
      </w:r>
      <w:r w:rsidR="002D78BA" w:rsidRPr="00813D19">
        <w:rPr>
          <w:bCs/>
          <w:lang w:val="en-US"/>
        </w:rPr>
        <w:t xml:space="preserve">Uganda </w:t>
      </w:r>
      <w:r w:rsidR="007D51DD" w:rsidRPr="00813D19">
        <w:rPr>
          <w:bCs/>
          <w:lang w:val="en-US"/>
        </w:rPr>
        <w:t xml:space="preserve">submit a </w:t>
      </w:r>
      <w:r w:rsidR="002D78BA" w:rsidRPr="00813D19">
        <w:rPr>
          <w:bCs/>
          <w:lang w:val="en-US"/>
        </w:rPr>
        <w:t xml:space="preserve">good report. </w:t>
      </w:r>
      <w:r w:rsidR="007D51DD" w:rsidRPr="00813D19">
        <w:rPr>
          <w:bCs/>
          <w:lang w:val="en-US"/>
        </w:rPr>
        <w:t xml:space="preserve">It was also important to collate the documents in a timely way ahead of </w:t>
      </w:r>
      <w:r w:rsidR="002D78BA" w:rsidRPr="00813D19">
        <w:rPr>
          <w:bCs/>
          <w:lang w:val="en-US"/>
        </w:rPr>
        <w:t>the reporting</w:t>
      </w:r>
      <w:r w:rsidR="007D51DD" w:rsidRPr="00813D19">
        <w:rPr>
          <w:bCs/>
          <w:lang w:val="en-US"/>
        </w:rPr>
        <w:t xml:space="preserve"> time, and to strengthen</w:t>
      </w:r>
      <w:r w:rsidR="002D78BA" w:rsidRPr="00813D19">
        <w:rPr>
          <w:bCs/>
          <w:lang w:val="en-US"/>
        </w:rPr>
        <w:t xml:space="preserve"> partnerships between the reporting agencies and other stakeholders</w:t>
      </w:r>
      <w:r w:rsidR="007D51DD" w:rsidRPr="00813D19">
        <w:rPr>
          <w:bCs/>
          <w:lang w:val="en-US"/>
        </w:rPr>
        <w:t>,</w:t>
      </w:r>
      <w:r w:rsidR="002D78BA" w:rsidRPr="00813D19">
        <w:rPr>
          <w:bCs/>
          <w:lang w:val="en-US"/>
        </w:rPr>
        <w:t xml:space="preserve"> such as the NGOs accredited to the Convention, the communities</w:t>
      </w:r>
      <w:r w:rsidR="007D51DD" w:rsidRPr="00813D19">
        <w:rPr>
          <w:bCs/>
          <w:lang w:val="en-US"/>
        </w:rPr>
        <w:t>,</w:t>
      </w:r>
      <w:r w:rsidR="002D78BA" w:rsidRPr="00813D19">
        <w:rPr>
          <w:bCs/>
          <w:lang w:val="en-US"/>
        </w:rPr>
        <w:t xml:space="preserve"> and the private sector. Uganda would </w:t>
      </w:r>
      <w:r w:rsidR="007D51DD" w:rsidRPr="00813D19">
        <w:rPr>
          <w:bCs/>
          <w:lang w:val="en-US"/>
        </w:rPr>
        <w:t xml:space="preserve">now </w:t>
      </w:r>
      <w:r w:rsidR="002D78BA" w:rsidRPr="00813D19">
        <w:rPr>
          <w:bCs/>
          <w:lang w:val="en-US"/>
        </w:rPr>
        <w:t xml:space="preserve">use this report </w:t>
      </w:r>
      <w:r w:rsidR="007D51DD" w:rsidRPr="00813D19">
        <w:rPr>
          <w:bCs/>
          <w:lang w:val="en-US"/>
        </w:rPr>
        <w:t xml:space="preserve">to </w:t>
      </w:r>
      <w:r w:rsidR="002D78BA" w:rsidRPr="00813D19">
        <w:rPr>
          <w:bCs/>
          <w:lang w:val="en-US"/>
        </w:rPr>
        <w:t xml:space="preserve">further </w:t>
      </w:r>
      <w:r w:rsidR="007D51DD" w:rsidRPr="00813D19">
        <w:rPr>
          <w:bCs/>
          <w:lang w:val="en-US"/>
        </w:rPr>
        <w:t xml:space="preserve">raise </w:t>
      </w:r>
      <w:r w:rsidR="002D78BA" w:rsidRPr="00813D19">
        <w:rPr>
          <w:bCs/>
          <w:lang w:val="en-US"/>
        </w:rPr>
        <w:t xml:space="preserve">awareness of intangible cultural heritage at </w:t>
      </w:r>
      <w:r w:rsidR="007D51DD" w:rsidRPr="00813D19">
        <w:rPr>
          <w:bCs/>
          <w:lang w:val="en-US"/>
        </w:rPr>
        <w:t xml:space="preserve">the </w:t>
      </w:r>
      <w:r w:rsidR="002D78BA" w:rsidRPr="00813D19">
        <w:rPr>
          <w:bCs/>
          <w:lang w:val="en-US"/>
        </w:rPr>
        <w:t xml:space="preserve">national level and </w:t>
      </w:r>
      <w:r w:rsidR="007D51DD" w:rsidRPr="00813D19">
        <w:rPr>
          <w:bCs/>
          <w:lang w:val="en-US"/>
        </w:rPr>
        <w:t xml:space="preserve">to learn from </w:t>
      </w:r>
      <w:r w:rsidR="002D78BA" w:rsidRPr="00813D19">
        <w:rPr>
          <w:bCs/>
          <w:lang w:val="en-US"/>
        </w:rPr>
        <w:t xml:space="preserve">the lessons used to improve </w:t>
      </w:r>
      <w:r w:rsidR="007D51DD" w:rsidRPr="00813D19">
        <w:rPr>
          <w:bCs/>
          <w:lang w:val="en-US"/>
        </w:rPr>
        <w:t>the next reporting process</w:t>
      </w:r>
      <w:r w:rsidR="002D78BA" w:rsidRPr="00813D19">
        <w:rPr>
          <w:bCs/>
          <w:lang w:val="en-US"/>
        </w:rPr>
        <w:t xml:space="preserve">. However, in view of the recommendation to suspend the deadline of submission of the reports for 2018 and 2019 </w:t>
      </w:r>
      <w:r w:rsidR="007D51DD" w:rsidRPr="00813D19">
        <w:rPr>
          <w:bCs/>
          <w:lang w:val="en-US"/>
        </w:rPr>
        <w:t>(Uganda had</w:t>
      </w:r>
      <w:r w:rsidR="002D78BA" w:rsidRPr="00813D19">
        <w:rPr>
          <w:bCs/>
          <w:lang w:val="en-US"/>
        </w:rPr>
        <w:t xml:space="preserve"> two </w:t>
      </w:r>
      <w:r w:rsidR="007D51DD" w:rsidRPr="00813D19">
        <w:rPr>
          <w:bCs/>
          <w:lang w:val="en-US"/>
        </w:rPr>
        <w:t xml:space="preserve">pending </w:t>
      </w:r>
      <w:r w:rsidR="002D78BA" w:rsidRPr="00813D19">
        <w:rPr>
          <w:bCs/>
          <w:lang w:val="en-US"/>
        </w:rPr>
        <w:t>reports for 2018 a</w:t>
      </w:r>
      <w:r w:rsidR="007D51DD" w:rsidRPr="00813D19">
        <w:rPr>
          <w:bCs/>
          <w:lang w:val="en-US"/>
        </w:rPr>
        <w:t>n</w:t>
      </w:r>
      <w:r w:rsidR="002D78BA" w:rsidRPr="00813D19">
        <w:rPr>
          <w:bCs/>
          <w:lang w:val="en-US"/>
        </w:rPr>
        <w:t>d 2019</w:t>
      </w:r>
      <w:r w:rsidR="007D51DD" w:rsidRPr="00813D19">
        <w:rPr>
          <w:bCs/>
          <w:lang w:val="en-US"/>
        </w:rPr>
        <w:t xml:space="preserve">), the delegation </w:t>
      </w:r>
      <w:r w:rsidR="002D78BA" w:rsidRPr="00813D19">
        <w:rPr>
          <w:bCs/>
          <w:lang w:val="en-US"/>
        </w:rPr>
        <w:t xml:space="preserve">still </w:t>
      </w:r>
      <w:r w:rsidR="007D51DD" w:rsidRPr="00813D19">
        <w:rPr>
          <w:bCs/>
          <w:lang w:val="en-US"/>
        </w:rPr>
        <w:t xml:space="preserve">wished to </w:t>
      </w:r>
      <w:r w:rsidR="002D78BA" w:rsidRPr="00813D19">
        <w:rPr>
          <w:bCs/>
          <w:lang w:val="en-US"/>
        </w:rPr>
        <w:t xml:space="preserve">encourage States Parties to continue working </w:t>
      </w:r>
      <w:r w:rsidR="00EC4915">
        <w:rPr>
          <w:bCs/>
          <w:lang w:val="en-US"/>
        </w:rPr>
        <w:t>on</w:t>
      </w:r>
      <w:r w:rsidR="00EC4915" w:rsidRPr="00813D19">
        <w:rPr>
          <w:bCs/>
          <w:lang w:val="en-US"/>
        </w:rPr>
        <w:t xml:space="preserve"> </w:t>
      </w:r>
      <w:r w:rsidR="002D78BA" w:rsidRPr="00813D19">
        <w:rPr>
          <w:bCs/>
          <w:lang w:val="en-US"/>
        </w:rPr>
        <w:t xml:space="preserve">finalizing their reports to avoid </w:t>
      </w:r>
      <w:r w:rsidR="007D51DD" w:rsidRPr="00813D19">
        <w:rPr>
          <w:bCs/>
          <w:lang w:val="en-US"/>
        </w:rPr>
        <w:t xml:space="preserve">any </w:t>
      </w:r>
      <w:r w:rsidR="0016273D">
        <w:rPr>
          <w:bCs/>
          <w:lang w:val="en-US"/>
        </w:rPr>
        <w:t>delays in submission in 2020.</w:t>
      </w:r>
    </w:p>
    <w:p w14:paraId="3DB9CC37" w14:textId="72D328C8" w:rsidR="0086571A" w:rsidRPr="00813D19" w:rsidRDefault="0086571A" w:rsidP="002018FA">
      <w:pPr>
        <w:pStyle w:val="Orateurengris"/>
        <w:spacing w:before="120"/>
        <w:ind w:left="709" w:hanging="709"/>
        <w:rPr>
          <w:i/>
          <w:iCs/>
          <w:color w:val="000000" w:themeColor="text1"/>
          <w:lang w:val="en-US"/>
        </w:rPr>
      </w:pPr>
      <w:r w:rsidRPr="00813D19">
        <w:rPr>
          <w:iCs/>
          <w:color w:val="000000" w:themeColor="text1"/>
          <w:lang w:val="en-US"/>
        </w:rPr>
        <w:t>The</w:t>
      </w:r>
      <w:r w:rsidRPr="00813D19">
        <w:rPr>
          <w:b/>
          <w:iCs/>
          <w:color w:val="000000" w:themeColor="text1"/>
          <w:lang w:val="en-US"/>
        </w:rPr>
        <w:t xml:space="preserve"> Chairperson </w:t>
      </w:r>
      <w:r w:rsidR="000755B2" w:rsidRPr="00813D19">
        <w:rPr>
          <w:iCs/>
          <w:color w:val="000000" w:themeColor="text1"/>
          <w:lang w:val="en-US"/>
        </w:rPr>
        <w:t xml:space="preserve">thanked </w:t>
      </w:r>
      <w:r w:rsidR="000755B2" w:rsidRPr="00813D19">
        <w:rPr>
          <w:bCs/>
          <w:lang w:val="en-US"/>
        </w:rPr>
        <w:t>Uganda and all the speakers for sharing</w:t>
      </w:r>
      <w:r w:rsidR="002D78BA" w:rsidRPr="00813D19">
        <w:rPr>
          <w:bCs/>
          <w:lang w:val="en-US"/>
        </w:rPr>
        <w:t xml:space="preserve"> their experience</w:t>
      </w:r>
      <w:r w:rsidR="000755B2" w:rsidRPr="00813D19">
        <w:rPr>
          <w:bCs/>
          <w:lang w:val="en-US"/>
        </w:rPr>
        <w:t>s</w:t>
      </w:r>
      <w:r w:rsidR="002D78BA" w:rsidRPr="00813D19">
        <w:rPr>
          <w:bCs/>
          <w:lang w:val="en-US"/>
        </w:rPr>
        <w:t xml:space="preserve"> and the initiatives taken</w:t>
      </w:r>
      <w:r w:rsidR="000755B2" w:rsidRPr="00813D19">
        <w:rPr>
          <w:bCs/>
          <w:lang w:val="en-US"/>
        </w:rPr>
        <w:t xml:space="preserve">, and for </w:t>
      </w:r>
      <w:r w:rsidR="002D78BA" w:rsidRPr="00813D19">
        <w:rPr>
          <w:bCs/>
          <w:lang w:val="en-US"/>
        </w:rPr>
        <w:t xml:space="preserve">realizing </w:t>
      </w:r>
      <w:r w:rsidR="000755B2" w:rsidRPr="00813D19">
        <w:rPr>
          <w:bCs/>
          <w:lang w:val="en-US"/>
        </w:rPr>
        <w:t xml:space="preserve">how the preparation of the </w:t>
      </w:r>
      <w:r w:rsidR="002D78BA" w:rsidRPr="00813D19">
        <w:rPr>
          <w:bCs/>
          <w:lang w:val="en-US"/>
        </w:rPr>
        <w:t>report</w:t>
      </w:r>
      <w:r w:rsidR="000755B2" w:rsidRPr="00813D19">
        <w:rPr>
          <w:bCs/>
          <w:lang w:val="en-US"/>
        </w:rPr>
        <w:t xml:space="preserve"> </w:t>
      </w:r>
      <w:r w:rsidR="00EC4915">
        <w:rPr>
          <w:bCs/>
          <w:lang w:val="en-US"/>
        </w:rPr>
        <w:t>was</w:t>
      </w:r>
      <w:r w:rsidR="00EC4915" w:rsidRPr="00813D19">
        <w:rPr>
          <w:bCs/>
          <w:lang w:val="en-US"/>
        </w:rPr>
        <w:t xml:space="preserve"> </w:t>
      </w:r>
      <w:r w:rsidR="000755B2" w:rsidRPr="00813D19">
        <w:rPr>
          <w:bCs/>
          <w:lang w:val="en-US"/>
        </w:rPr>
        <w:t>helpful</w:t>
      </w:r>
      <w:r w:rsidR="002D78BA" w:rsidRPr="00813D19">
        <w:rPr>
          <w:bCs/>
          <w:lang w:val="en-US"/>
        </w:rPr>
        <w:t xml:space="preserve">. </w:t>
      </w:r>
      <w:r w:rsidR="000755B2" w:rsidRPr="00813D19">
        <w:rPr>
          <w:bCs/>
          <w:lang w:val="en-US"/>
        </w:rPr>
        <w:t xml:space="preserve">Some </w:t>
      </w:r>
      <w:r w:rsidR="002D78BA" w:rsidRPr="00813D19">
        <w:rPr>
          <w:bCs/>
          <w:lang w:val="en-US"/>
        </w:rPr>
        <w:t xml:space="preserve">pertinent issues </w:t>
      </w:r>
      <w:r w:rsidR="000755B2" w:rsidRPr="00813D19">
        <w:rPr>
          <w:bCs/>
          <w:lang w:val="en-US"/>
        </w:rPr>
        <w:t xml:space="preserve">were also raised and the Chairperson </w:t>
      </w:r>
      <w:r w:rsidR="002D78BA" w:rsidRPr="00813D19">
        <w:rPr>
          <w:bCs/>
          <w:lang w:val="en-US"/>
        </w:rPr>
        <w:t>invite</w:t>
      </w:r>
      <w:r w:rsidR="000755B2" w:rsidRPr="00813D19">
        <w:rPr>
          <w:bCs/>
          <w:lang w:val="en-US"/>
        </w:rPr>
        <w:t>d</w:t>
      </w:r>
      <w:r w:rsidR="002D78BA" w:rsidRPr="00813D19">
        <w:rPr>
          <w:bCs/>
          <w:lang w:val="en-US"/>
        </w:rPr>
        <w:t xml:space="preserve"> the </w:t>
      </w:r>
      <w:r w:rsidR="000755B2" w:rsidRPr="00813D19">
        <w:rPr>
          <w:bCs/>
          <w:lang w:val="en-US"/>
        </w:rPr>
        <w:t xml:space="preserve">Secretary </w:t>
      </w:r>
      <w:r w:rsidR="002D78BA" w:rsidRPr="00813D19">
        <w:rPr>
          <w:bCs/>
          <w:lang w:val="en-US"/>
        </w:rPr>
        <w:t xml:space="preserve">to </w:t>
      </w:r>
      <w:r w:rsidR="000755B2" w:rsidRPr="00813D19">
        <w:rPr>
          <w:bCs/>
          <w:lang w:val="en-US"/>
        </w:rPr>
        <w:t>respond.</w:t>
      </w:r>
    </w:p>
    <w:p w14:paraId="3DB0E4FE" w14:textId="151C4A0E" w:rsidR="0086571A" w:rsidRPr="0016273D" w:rsidRDefault="0086571A" w:rsidP="00836381">
      <w:pPr>
        <w:pStyle w:val="Orateurengris"/>
        <w:spacing w:before="120"/>
        <w:ind w:left="709" w:hanging="709"/>
        <w:rPr>
          <w:rFonts w:eastAsia="Times New Roman"/>
          <w:lang w:val="en-US"/>
        </w:rPr>
      </w:pPr>
      <w:r w:rsidRPr="00813D19">
        <w:rPr>
          <w:iCs/>
          <w:color w:val="000000" w:themeColor="text1"/>
          <w:lang w:val="en-US"/>
        </w:rPr>
        <w:t>The</w:t>
      </w:r>
      <w:r w:rsidRPr="00813D19">
        <w:rPr>
          <w:b/>
          <w:iCs/>
          <w:color w:val="000000" w:themeColor="text1"/>
          <w:lang w:val="en-US"/>
        </w:rPr>
        <w:t xml:space="preserve"> Secretary </w:t>
      </w:r>
      <w:r w:rsidR="001E00E8" w:rsidRPr="00813D19">
        <w:rPr>
          <w:iCs/>
          <w:color w:val="000000" w:themeColor="text1"/>
          <w:lang w:val="en-US"/>
        </w:rPr>
        <w:t xml:space="preserve">was </w:t>
      </w:r>
      <w:r w:rsidR="001E00E8" w:rsidRPr="00813D19">
        <w:rPr>
          <w:bCs/>
          <w:lang w:val="en-US"/>
        </w:rPr>
        <w:t>encouraged</w:t>
      </w:r>
      <w:r w:rsidR="002D78BA" w:rsidRPr="00813D19">
        <w:rPr>
          <w:bCs/>
          <w:lang w:val="en-US"/>
        </w:rPr>
        <w:t xml:space="preserve"> to hear all the comments </w:t>
      </w:r>
      <w:r w:rsidR="001E00E8" w:rsidRPr="00813D19">
        <w:rPr>
          <w:bCs/>
          <w:lang w:val="en-US"/>
        </w:rPr>
        <w:t xml:space="preserve">on </w:t>
      </w:r>
      <w:r w:rsidR="002D78BA" w:rsidRPr="00813D19">
        <w:rPr>
          <w:bCs/>
          <w:lang w:val="en-US"/>
        </w:rPr>
        <w:t>the reports</w:t>
      </w:r>
      <w:r w:rsidR="001E00E8" w:rsidRPr="00813D19">
        <w:rPr>
          <w:bCs/>
          <w:lang w:val="en-US"/>
        </w:rPr>
        <w:t xml:space="preserve">, and wished to address </w:t>
      </w:r>
      <w:r w:rsidR="002D78BA" w:rsidRPr="00813D19">
        <w:rPr>
          <w:bCs/>
          <w:lang w:val="en-US"/>
        </w:rPr>
        <w:t>som</w:t>
      </w:r>
      <w:r w:rsidR="001E00E8" w:rsidRPr="00813D19">
        <w:rPr>
          <w:bCs/>
          <w:lang w:val="en-US"/>
        </w:rPr>
        <w:t xml:space="preserve">e specific </w:t>
      </w:r>
      <w:r w:rsidR="009F202A" w:rsidRPr="00813D19">
        <w:rPr>
          <w:bCs/>
          <w:lang w:val="en-US"/>
        </w:rPr>
        <w:t xml:space="preserve">points raised by </w:t>
      </w:r>
      <w:r w:rsidR="00A330CC" w:rsidRPr="00813D19">
        <w:rPr>
          <w:bCs/>
          <w:lang w:val="en-US"/>
        </w:rPr>
        <w:t xml:space="preserve">the </w:t>
      </w:r>
      <w:r w:rsidR="002D78BA" w:rsidRPr="00813D19">
        <w:rPr>
          <w:bCs/>
          <w:lang w:val="en-US"/>
        </w:rPr>
        <w:t>Committee Members</w:t>
      </w:r>
      <w:r w:rsidR="001E00E8" w:rsidRPr="00813D19">
        <w:rPr>
          <w:bCs/>
          <w:lang w:val="en-US"/>
        </w:rPr>
        <w:t xml:space="preserve">, </w:t>
      </w:r>
      <w:r w:rsidR="002D78BA" w:rsidRPr="00813D19">
        <w:rPr>
          <w:bCs/>
          <w:lang w:val="en-US"/>
        </w:rPr>
        <w:t xml:space="preserve">Zambia, </w:t>
      </w:r>
      <w:r w:rsidR="00EC4915">
        <w:rPr>
          <w:bCs/>
          <w:lang w:val="en-US"/>
        </w:rPr>
        <w:t xml:space="preserve">the </w:t>
      </w:r>
      <w:r w:rsidR="002D78BA" w:rsidRPr="00813D19">
        <w:rPr>
          <w:bCs/>
          <w:lang w:val="en-US"/>
        </w:rPr>
        <w:t>Philippines and Austria</w:t>
      </w:r>
      <w:r w:rsidR="001E00E8" w:rsidRPr="00813D19">
        <w:rPr>
          <w:bCs/>
          <w:lang w:val="en-US"/>
        </w:rPr>
        <w:t xml:space="preserve">, </w:t>
      </w:r>
      <w:r w:rsidR="002D78BA" w:rsidRPr="00813D19">
        <w:rPr>
          <w:bCs/>
          <w:lang w:val="en-US"/>
        </w:rPr>
        <w:t xml:space="preserve">which </w:t>
      </w:r>
      <w:r w:rsidR="009F202A" w:rsidRPr="00813D19">
        <w:rPr>
          <w:bCs/>
          <w:lang w:val="en-US"/>
        </w:rPr>
        <w:t xml:space="preserve">sought </w:t>
      </w:r>
      <w:r w:rsidR="002D78BA" w:rsidRPr="00813D19">
        <w:rPr>
          <w:bCs/>
          <w:lang w:val="en-US"/>
        </w:rPr>
        <w:t xml:space="preserve">to improve and touched </w:t>
      </w:r>
      <w:r w:rsidR="001E00E8" w:rsidRPr="00813D19">
        <w:rPr>
          <w:bCs/>
          <w:lang w:val="en-US"/>
        </w:rPr>
        <w:t xml:space="preserve">upon </w:t>
      </w:r>
      <w:r w:rsidR="002D78BA" w:rsidRPr="00813D19">
        <w:rPr>
          <w:bCs/>
          <w:lang w:val="en-US"/>
        </w:rPr>
        <w:t xml:space="preserve">the very purpose of the reform that </w:t>
      </w:r>
      <w:r w:rsidR="00EC4915">
        <w:rPr>
          <w:bCs/>
          <w:lang w:val="en-US"/>
        </w:rPr>
        <w:t>was</w:t>
      </w:r>
      <w:r w:rsidR="00EC4915" w:rsidRPr="00813D19">
        <w:rPr>
          <w:bCs/>
          <w:lang w:val="en-US"/>
        </w:rPr>
        <w:t xml:space="preserve"> </w:t>
      </w:r>
      <w:r w:rsidR="002D78BA" w:rsidRPr="00813D19">
        <w:rPr>
          <w:bCs/>
          <w:lang w:val="en-US"/>
        </w:rPr>
        <w:t xml:space="preserve">currently underway. </w:t>
      </w:r>
      <w:r w:rsidR="001E00E8" w:rsidRPr="00813D19">
        <w:rPr>
          <w:bCs/>
          <w:lang w:val="en-US"/>
        </w:rPr>
        <w:t>Regarding the indicators,</w:t>
      </w:r>
      <w:r w:rsidR="002D78BA" w:rsidRPr="00813D19">
        <w:rPr>
          <w:bCs/>
          <w:lang w:val="en-US"/>
        </w:rPr>
        <w:t xml:space="preserve"> </w:t>
      </w:r>
      <w:r w:rsidR="001E00E8" w:rsidRPr="00813D19">
        <w:rPr>
          <w:bCs/>
          <w:lang w:val="en-US"/>
        </w:rPr>
        <w:t xml:space="preserve">the Secretary </w:t>
      </w:r>
      <w:r w:rsidR="009F202A" w:rsidRPr="00813D19">
        <w:rPr>
          <w:bCs/>
          <w:lang w:val="en-US"/>
        </w:rPr>
        <w:t xml:space="preserve">explained that the </w:t>
      </w:r>
      <w:r w:rsidR="002D78BA" w:rsidRPr="00813D19">
        <w:rPr>
          <w:bCs/>
          <w:lang w:val="en-US"/>
        </w:rPr>
        <w:t xml:space="preserve">intention </w:t>
      </w:r>
      <w:r w:rsidR="009F202A" w:rsidRPr="00813D19">
        <w:rPr>
          <w:bCs/>
          <w:lang w:val="en-US"/>
        </w:rPr>
        <w:t xml:space="preserve">was </w:t>
      </w:r>
      <w:r w:rsidR="002D78BA" w:rsidRPr="00813D19">
        <w:rPr>
          <w:bCs/>
          <w:lang w:val="en-US"/>
        </w:rPr>
        <w:t xml:space="preserve">to use the work on the results framework to </w:t>
      </w:r>
      <w:r w:rsidR="009F202A" w:rsidRPr="00813D19">
        <w:rPr>
          <w:bCs/>
          <w:lang w:val="en-US"/>
        </w:rPr>
        <w:t xml:space="preserve">obtain </w:t>
      </w:r>
      <w:r w:rsidR="00A330CC" w:rsidRPr="00813D19">
        <w:rPr>
          <w:bCs/>
          <w:lang w:val="en-US"/>
        </w:rPr>
        <w:t>the</w:t>
      </w:r>
      <w:r w:rsidR="002D78BA" w:rsidRPr="00813D19">
        <w:rPr>
          <w:bCs/>
          <w:lang w:val="en-US"/>
        </w:rPr>
        <w:t xml:space="preserve"> kind of information that </w:t>
      </w:r>
      <w:r w:rsidR="00EC4915" w:rsidRPr="00813D19">
        <w:rPr>
          <w:bCs/>
          <w:lang w:val="en-US"/>
        </w:rPr>
        <w:t>c</w:t>
      </w:r>
      <w:r w:rsidR="00EC4915">
        <w:rPr>
          <w:bCs/>
          <w:lang w:val="en-US"/>
        </w:rPr>
        <w:t>ould</w:t>
      </w:r>
      <w:r w:rsidR="00EC4915" w:rsidRPr="00813D19">
        <w:rPr>
          <w:bCs/>
          <w:lang w:val="en-US"/>
        </w:rPr>
        <w:t xml:space="preserve"> </w:t>
      </w:r>
      <w:r w:rsidR="009F202A" w:rsidRPr="00813D19">
        <w:rPr>
          <w:bCs/>
          <w:lang w:val="en-US"/>
        </w:rPr>
        <w:t xml:space="preserve">be </w:t>
      </w:r>
      <w:r w:rsidR="002D78BA" w:rsidRPr="00813D19">
        <w:rPr>
          <w:bCs/>
          <w:lang w:val="en-US"/>
        </w:rPr>
        <w:t>develop</w:t>
      </w:r>
      <w:r w:rsidR="009F202A" w:rsidRPr="00813D19">
        <w:rPr>
          <w:bCs/>
          <w:lang w:val="en-US"/>
        </w:rPr>
        <w:t>ed</w:t>
      </w:r>
      <w:r w:rsidR="002D78BA" w:rsidRPr="00813D19">
        <w:rPr>
          <w:bCs/>
          <w:lang w:val="en-US"/>
        </w:rPr>
        <w:t xml:space="preserve"> </w:t>
      </w:r>
      <w:r w:rsidR="009F202A" w:rsidRPr="00813D19">
        <w:rPr>
          <w:bCs/>
          <w:lang w:val="en-US"/>
        </w:rPr>
        <w:t xml:space="preserve">into </w:t>
      </w:r>
      <w:r w:rsidR="002D78BA" w:rsidRPr="00813D19">
        <w:rPr>
          <w:bCs/>
          <w:lang w:val="en-US"/>
        </w:rPr>
        <w:t xml:space="preserve">indicators </w:t>
      </w:r>
      <w:r w:rsidR="009F202A" w:rsidRPr="00813D19">
        <w:rPr>
          <w:bCs/>
          <w:lang w:val="en-US"/>
        </w:rPr>
        <w:t xml:space="preserve">and </w:t>
      </w:r>
      <w:r w:rsidR="002D78BA" w:rsidRPr="00813D19">
        <w:rPr>
          <w:bCs/>
          <w:lang w:val="en-US"/>
        </w:rPr>
        <w:t>used by States to track their own implementation at the national level</w:t>
      </w:r>
      <w:r w:rsidR="009F202A" w:rsidRPr="00813D19">
        <w:rPr>
          <w:bCs/>
          <w:lang w:val="en-US"/>
        </w:rPr>
        <w:t xml:space="preserve">. This </w:t>
      </w:r>
      <w:r w:rsidR="00605DAB" w:rsidRPr="00813D19">
        <w:rPr>
          <w:bCs/>
          <w:lang w:val="en-US"/>
        </w:rPr>
        <w:t>w</w:t>
      </w:r>
      <w:r w:rsidR="00605DAB">
        <w:rPr>
          <w:bCs/>
          <w:lang w:val="en-US"/>
        </w:rPr>
        <w:t>ould</w:t>
      </w:r>
      <w:r w:rsidR="00605DAB" w:rsidRPr="00813D19">
        <w:rPr>
          <w:bCs/>
          <w:lang w:val="en-US"/>
        </w:rPr>
        <w:t xml:space="preserve"> </w:t>
      </w:r>
      <w:r w:rsidR="002D78BA" w:rsidRPr="00813D19">
        <w:rPr>
          <w:bCs/>
          <w:lang w:val="en-US"/>
        </w:rPr>
        <w:t xml:space="preserve">hopefully </w:t>
      </w:r>
      <w:r w:rsidR="009F202A" w:rsidRPr="00813D19">
        <w:rPr>
          <w:bCs/>
          <w:lang w:val="en-US"/>
        </w:rPr>
        <w:t xml:space="preserve">provide </w:t>
      </w:r>
      <w:r w:rsidR="002D78BA" w:rsidRPr="00813D19">
        <w:rPr>
          <w:bCs/>
          <w:lang w:val="en-US"/>
        </w:rPr>
        <w:t xml:space="preserve">a tool that </w:t>
      </w:r>
      <w:r w:rsidR="00605DAB" w:rsidRPr="00813D19">
        <w:rPr>
          <w:bCs/>
          <w:lang w:val="en-US"/>
        </w:rPr>
        <w:t>c</w:t>
      </w:r>
      <w:r w:rsidR="00605DAB">
        <w:rPr>
          <w:bCs/>
          <w:lang w:val="en-US"/>
        </w:rPr>
        <w:t>ould</w:t>
      </w:r>
      <w:r w:rsidR="00605DAB" w:rsidRPr="00813D19">
        <w:rPr>
          <w:bCs/>
          <w:lang w:val="en-US"/>
        </w:rPr>
        <w:t xml:space="preserve"> </w:t>
      </w:r>
      <w:r w:rsidR="002D78BA" w:rsidRPr="00813D19">
        <w:rPr>
          <w:bCs/>
          <w:lang w:val="en-US"/>
        </w:rPr>
        <w:t>be aggregated at the international level</w:t>
      </w:r>
      <w:r w:rsidR="009F202A" w:rsidRPr="00813D19">
        <w:rPr>
          <w:bCs/>
          <w:lang w:val="en-US"/>
        </w:rPr>
        <w:t>,</w:t>
      </w:r>
      <w:r w:rsidR="002D78BA" w:rsidRPr="00813D19">
        <w:rPr>
          <w:bCs/>
          <w:lang w:val="en-US"/>
        </w:rPr>
        <w:t xml:space="preserve"> but </w:t>
      </w:r>
      <w:r w:rsidR="00605DAB" w:rsidRPr="00813D19">
        <w:rPr>
          <w:bCs/>
          <w:lang w:val="en-US"/>
        </w:rPr>
        <w:t>c</w:t>
      </w:r>
      <w:r w:rsidR="00605DAB">
        <w:rPr>
          <w:bCs/>
          <w:lang w:val="en-US"/>
        </w:rPr>
        <w:t>ould</w:t>
      </w:r>
      <w:r w:rsidR="00605DAB" w:rsidRPr="00813D19">
        <w:rPr>
          <w:bCs/>
          <w:lang w:val="en-US"/>
        </w:rPr>
        <w:t xml:space="preserve"> </w:t>
      </w:r>
      <w:r w:rsidR="00A330CC" w:rsidRPr="00813D19">
        <w:rPr>
          <w:bCs/>
          <w:lang w:val="en-US"/>
        </w:rPr>
        <w:t xml:space="preserve">also </w:t>
      </w:r>
      <w:r w:rsidR="009F202A" w:rsidRPr="00813D19">
        <w:rPr>
          <w:bCs/>
          <w:lang w:val="en-US"/>
        </w:rPr>
        <w:t xml:space="preserve">be used </w:t>
      </w:r>
      <w:r w:rsidR="002D78BA" w:rsidRPr="00813D19">
        <w:rPr>
          <w:bCs/>
          <w:lang w:val="en-US"/>
        </w:rPr>
        <w:t xml:space="preserve">at the national level </w:t>
      </w:r>
      <w:r w:rsidR="009F202A" w:rsidRPr="00813D19">
        <w:rPr>
          <w:bCs/>
          <w:lang w:val="en-US"/>
        </w:rPr>
        <w:t xml:space="preserve">by States </w:t>
      </w:r>
      <w:r w:rsidR="002D78BA" w:rsidRPr="00813D19">
        <w:rPr>
          <w:bCs/>
          <w:lang w:val="en-US"/>
        </w:rPr>
        <w:t xml:space="preserve">to </w:t>
      </w:r>
      <w:r w:rsidR="009F202A" w:rsidRPr="00813D19">
        <w:rPr>
          <w:bCs/>
          <w:lang w:val="en-US"/>
        </w:rPr>
        <w:t xml:space="preserve">help them </w:t>
      </w:r>
      <w:r w:rsidR="00A330CC" w:rsidRPr="00813D19">
        <w:rPr>
          <w:bCs/>
          <w:lang w:val="en-US"/>
        </w:rPr>
        <w:t>make decisions on a results</w:t>
      </w:r>
      <w:r w:rsidR="002D78BA" w:rsidRPr="00813D19">
        <w:rPr>
          <w:bCs/>
          <w:lang w:val="en-US"/>
        </w:rPr>
        <w:t xml:space="preserve"> basis within that framework. </w:t>
      </w:r>
      <w:r w:rsidR="009F202A" w:rsidRPr="00813D19">
        <w:rPr>
          <w:bCs/>
          <w:lang w:val="en-US"/>
        </w:rPr>
        <w:t xml:space="preserve">This was the reason for the reform and the overall results framework that </w:t>
      </w:r>
      <w:r w:rsidR="00605DAB">
        <w:rPr>
          <w:bCs/>
          <w:lang w:val="en-US"/>
        </w:rPr>
        <w:t>had been</w:t>
      </w:r>
      <w:r w:rsidR="00A330CC" w:rsidRPr="00813D19">
        <w:rPr>
          <w:bCs/>
          <w:lang w:val="en-US"/>
        </w:rPr>
        <w:t xml:space="preserve"> </w:t>
      </w:r>
      <w:r w:rsidR="009F202A" w:rsidRPr="00813D19">
        <w:rPr>
          <w:bCs/>
          <w:lang w:val="en-US"/>
        </w:rPr>
        <w:t>under</w:t>
      </w:r>
      <w:r w:rsidR="002D78BA" w:rsidRPr="00813D19">
        <w:rPr>
          <w:bCs/>
          <w:lang w:val="en-US"/>
        </w:rPr>
        <w:t xml:space="preserve">way over the last few years. </w:t>
      </w:r>
      <w:r w:rsidR="009F202A" w:rsidRPr="00813D19">
        <w:rPr>
          <w:bCs/>
          <w:lang w:val="en-US"/>
        </w:rPr>
        <w:t xml:space="preserve">The </w:t>
      </w:r>
      <w:r w:rsidR="002D78BA" w:rsidRPr="00813D19">
        <w:rPr>
          <w:bCs/>
          <w:lang w:val="en-US"/>
        </w:rPr>
        <w:t xml:space="preserve">peer review </w:t>
      </w:r>
      <w:r w:rsidR="009F202A" w:rsidRPr="00813D19">
        <w:rPr>
          <w:bCs/>
          <w:lang w:val="en-US"/>
        </w:rPr>
        <w:t xml:space="preserve">approach </w:t>
      </w:r>
      <w:r w:rsidR="00A330CC" w:rsidRPr="00813D19">
        <w:rPr>
          <w:bCs/>
          <w:lang w:val="en-US"/>
        </w:rPr>
        <w:t xml:space="preserve">was said to be </w:t>
      </w:r>
      <w:r w:rsidR="009F202A" w:rsidRPr="00813D19">
        <w:rPr>
          <w:bCs/>
          <w:lang w:val="en-US"/>
        </w:rPr>
        <w:t xml:space="preserve">an interesting system that could be </w:t>
      </w:r>
      <w:r w:rsidR="002D78BA" w:rsidRPr="00813D19">
        <w:rPr>
          <w:bCs/>
          <w:lang w:val="en-US"/>
        </w:rPr>
        <w:t>considered</w:t>
      </w:r>
      <w:r w:rsidR="009F202A" w:rsidRPr="00813D19">
        <w:rPr>
          <w:bCs/>
          <w:lang w:val="en-US"/>
        </w:rPr>
        <w:t xml:space="preserve"> </w:t>
      </w:r>
      <w:r w:rsidR="00A330CC" w:rsidRPr="00813D19">
        <w:rPr>
          <w:bCs/>
          <w:lang w:val="en-US"/>
        </w:rPr>
        <w:t xml:space="preserve">but had </w:t>
      </w:r>
      <w:r w:rsidR="009F202A" w:rsidRPr="00813D19">
        <w:rPr>
          <w:bCs/>
          <w:lang w:val="en-US"/>
        </w:rPr>
        <w:t xml:space="preserve">not </w:t>
      </w:r>
      <w:r w:rsidR="00A330CC" w:rsidRPr="00813D19">
        <w:rPr>
          <w:bCs/>
          <w:lang w:val="en-US"/>
        </w:rPr>
        <w:t xml:space="preserve">yet </w:t>
      </w:r>
      <w:r w:rsidR="009F202A" w:rsidRPr="00813D19">
        <w:rPr>
          <w:bCs/>
          <w:lang w:val="en-US"/>
        </w:rPr>
        <w:t xml:space="preserve">been employed, </w:t>
      </w:r>
      <w:r w:rsidR="00A330CC" w:rsidRPr="00813D19">
        <w:rPr>
          <w:bCs/>
          <w:lang w:val="en-US"/>
        </w:rPr>
        <w:t xml:space="preserve">and </w:t>
      </w:r>
      <w:r w:rsidR="009F202A" w:rsidRPr="00813D19">
        <w:rPr>
          <w:bCs/>
          <w:lang w:val="en-US"/>
        </w:rPr>
        <w:t xml:space="preserve">there was </w:t>
      </w:r>
      <w:r w:rsidR="002D78BA" w:rsidRPr="00813D19">
        <w:rPr>
          <w:bCs/>
          <w:lang w:val="en-US"/>
        </w:rPr>
        <w:t xml:space="preserve">no reason </w:t>
      </w:r>
      <w:r w:rsidR="00A330CC" w:rsidRPr="00813D19">
        <w:rPr>
          <w:bCs/>
          <w:lang w:val="en-US"/>
        </w:rPr>
        <w:t xml:space="preserve">why </w:t>
      </w:r>
      <w:r w:rsidR="002D78BA" w:rsidRPr="00813D19">
        <w:rPr>
          <w:bCs/>
          <w:lang w:val="en-US"/>
        </w:rPr>
        <w:t>States Parties wish</w:t>
      </w:r>
      <w:r w:rsidR="009F202A" w:rsidRPr="00813D19">
        <w:rPr>
          <w:bCs/>
          <w:lang w:val="en-US"/>
        </w:rPr>
        <w:t>ing</w:t>
      </w:r>
      <w:r w:rsidR="002D78BA" w:rsidRPr="00813D19">
        <w:rPr>
          <w:bCs/>
          <w:lang w:val="en-US"/>
        </w:rPr>
        <w:t xml:space="preserve"> to engage </w:t>
      </w:r>
      <w:r w:rsidR="009F202A" w:rsidRPr="00813D19">
        <w:rPr>
          <w:bCs/>
          <w:lang w:val="en-US"/>
        </w:rPr>
        <w:t xml:space="preserve">in such a </w:t>
      </w:r>
      <w:r w:rsidR="002D78BA" w:rsidRPr="00813D19">
        <w:rPr>
          <w:bCs/>
          <w:lang w:val="en-US"/>
        </w:rPr>
        <w:t xml:space="preserve">system </w:t>
      </w:r>
      <w:r w:rsidR="009F202A" w:rsidRPr="00813D19">
        <w:rPr>
          <w:bCs/>
          <w:lang w:val="en-US"/>
        </w:rPr>
        <w:t>could not do so</w:t>
      </w:r>
      <w:r w:rsidR="002D78BA" w:rsidRPr="00813D19">
        <w:rPr>
          <w:bCs/>
          <w:lang w:val="en-US"/>
        </w:rPr>
        <w:t xml:space="preserve">. </w:t>
      </w:r>
      <w:r w:rsidR="009F202A" w:rsidRPr="00813D19">
        <w:rPr>
          <w:bCs/>
          <w:lang w:val="en-US"/>
        </w:rPr>
        <w:t>The Secret</w:t>
      </w:r>
      <w:r w:rsidR="00A330CC" w:rsidRPr="00813D19">
        <w:rPr>
          <w:bCs/>
          <w:lang w:val="en-US"/>
        </w:rPr>
        <w:t>ariat had</w:t>
      </w:r>
      <w:r w:rsidR="009F202A" w:rsidRPr="00813D19">
        <w:rPr>
          <w:bCs/>
          <w:lang w:val="en-US"/>
        </w:rPr>
        <w:t xml:space="preserve"> been </w:t>
      </w:r>
      <w:r w:rsidR="002D78BA" w:rsidRPr="00813D19">
        <w:rPr>
          <w:bCs/>
          <w:lang w:val="en-US"/>
        </w:rPr>
        <w:t xml:space="preserve">working </w:t>
      </w:r>
      <w:r w:rsidR="009F202A" w:rsidRPr="00813D19">
        <w:rPr>
          <w:bCs/>
          <w:lang w:val="en-US"/>
        </w:rPr>
        <w:t xml:space="preserve">both </w:t>
      </w:r>
      <w:r w:rsidR="002D78BA" w:rsidRPr="00813D19">
        <w:rPr>
          <w:bCs/>
          <w:lang w:val="en-US"/>
        </w:rPr>
        <w:t>on the content and the structure of the report</w:t>
      </w:r>
      <w:r w:rsidR="009F202A" w:rsidRPr="00813D19">
        <w:rPr>
          <w:bCs/>
          <w:lang w:val="en-US"/>
        </w:rPr>
        <w:t>s,</w:t>
      </w:r>
      <w:r w:rsidR="002D78BA" w:rsidRPr="00813D19">
        <w:rPr>
          <w:bCs/>
          <w:lang w:val="en-US"/>
        </w:rPr>
        <w:t xml:space="preserve"> but that </w:t>
      </w:r>
      <w:r w:rsidR="00A330CC" w:rsidRPr="00813D19">
        <w:rPr>
          <w:bCs/>
          <w:lang w:val="en-US"/>
        </w:rPr>
        <w:t xml:space="preserve">would </w:t>
      </w:r>
      <w:r w:rsidR="002D78BA" w:rsidRPr="00813D19">
        <w:rPr>
          <w:bCs/>
          <w:lang w:val="en-US"/>
        </w:rPr>
        <w:t xml:space="preserve">not necessarily address the questions raised by Austria </w:t>
      </w:r>
      <w:r w:rsidR="00A330CC" w:rsidRPr="00813D19">
        <w:rPr>
          <w:bCs/>
          <w:lang w:val="en-US"/>
        </w:rPr>
        <w:t xml:space="preserve">for now </w:t>
      </w:r>
      <w:r w:rsidR="002D78BA" w:rsidRPr="00813D19">
        <w:rPr>
          <w:bCs/>
          <w:lang w:val="en-US"/>
        </w:rPr>
        <w:t>on the elements themse</w:t>
      </w:r>
      <w:r w:rsidR="009F202A" w:rsidRPr="00813D19">
        <w:rPr>
          <w:bCs/>
          <w:lang w:val="en-US"/>
        </w:rPr>
        <w:t>lves that are inscribed on the L</w:t>
      </w:r>
      <w:r w:rsidR="002D78BA" w:rsidRPr="00813D19">
        <w:rPr>
          <w:bCs/>
          <w:lang w:val="en-US"/>
        </w:rPr>
        <w:t>ists</w:t>
      </w:r>
      <w:r w:rsidR="009F202A" w:rsidRPr="00813D19">
        <w:rPr>
          <w:bCs/>
          <w:lang w:val="en-US"/>
        </w:rPr>
        <w:t>,</w:t>
      </w:r>
      <w:r w:rsidR="002D78BA" w:rsidRPr="00813D19">
        <w:rPr>
          <w:bCs/>
          <w:lang w:val="en-US"/>
        </w:rPr>
        <w:t xml:space="preserve"> which </w:t>
      </w:r>
      <w:r w:rsidR="00A330CC" w:rsidRPr="00813D19">
        <w:rPr>
          <w:bCs/>
          <w:lang w:val="en-US"/>
        </w:rPr>
        <w:t xml:space="preserve">lay </w:t>
      </w:r>
      <w:r w:rsidR="002D78BA" w:rsidRPr="00813D19">
        <w:rPr>
          <w:bCs/>
          <w:lang w:val="en-US"/>
        </w:rPr>
        <w:t>outside the overall results framework</w:t>
      </w:r>
      <w:r w:rsidR="009F202A" w:rsidRPr="00813D19">
        <w:rPr>
          <w:bCs/>
          <w:lang w:val="en-US"/>
        </w:rPr>
        <w:t>.</w:t>
      </w:r>
      <w:r w:rsidR="002D78BA" w:rsidRPr="00813D19">
        <w:rPr>
          <w:bCs/>
          <w:lang w:val="en-US"/>
        </w:rPr>
        <w:t xml:space="preserve"> </w:t>
      </w:r>
      <w:r w:rsidR="009F202A" w:rsidRPr="00813D19">
        <w:rPr>
          <w:bCs/>
          <w:lang w:val="en-US"/>
        </w:rPr>
        <w:t xml:space="preserve">Nevertheless, this </w:t>
      </w:r>
      <w:r w:rsidR="002D78BA" w:rsidRPr="00813D19">
        <w:rPr>
          <w:bCs/>
          <w:lang w:val="en-US"/>
        </w:rPr>
        <w:t xml:space="preserve">should come up in </w:t>
      </w:r>
      <w:r w:rsidR="009F202A" w:rsidRPr="00813D19">
        <w:rPr>
          <w:bCs/>
          <w:lang w:val="en-US"/>
        </w:rPr>
        <w:t>the overall review</w:t>
      </w:r>
      <w:r w:rsidR="002D78BA" w:rsidRPr="00813D19">
        <w:rPr>
          <w:bCs/>
          <w:lang w:val="en-US"/>
        </w:rPr>
        <w:t xml:space="preserve"> of the listing mechanism</w:t>
      </w:r>
      <w:r w:rsidR="001E00E8" w:rsidRPr="00813D19">
        <w:rPr>
          <w:bCs/>
          <w:lang w:val="en-US"/>
        </w:rPr>
        <w:t>,</w:t>
      </w:r>
      <w:r w:rsidR="002D78BA" w:rsidRPr="00813D19">
        <w:rPr>
          <w:bCs/>
          <w:lang w:val="en-US"/>
        </w:rPr>
        <w:t xml:space="preserve"> including under </w:t>
      </w:r>
      <w:r w:rsidR="009F202A" w:rsidRPr="00813D19">
        <w:rPr>
          <w:bCs/>
          <w:lang w:val="en-US"/>
        </w:rPr>
        <w:t xml:space="preserve">agenda </w:t>
      </w:r>
      <w:r w:rsidR="002D78BA" w:rsidRPr="00813D19">
        <w:rPr>
          <w:bCs/>
          <w:lang w:val="en-US"/>
        </w:rPr>
        <w:t>item 9</w:t>
      </w:r>
      <w:r w:rsidR="00ED7C14" w:rsidRPr="00813D19">
        <w:rPr>
          <w:rStyle w:val="FootnoteReference"/>
          <w:bCs/>
          <w:lang w:val="en-US"/>
        </w:rPr>
        <w:footnoteReference w:id="9"/>
      </w:r>
      <w:r w:rsidR="009F202A" w:rsidRPr="00813D19">
        <w:rPr>
          <w:bCs/>
          <w:lang w:val="en-US"/>
        </w:rPr>
        <w:t xml:space="preserve"> </w:t>
      </w:r>
      <w:r w:rsidR="00ED7C14" w:rsidRPr="00813D19">
        <w:rPr>
          <w:bCs/>
          <w:lang w:val="en-US"/>
        </w:rPr>
        <w:t xml:space="preserve">of </w:t>
      </w:r>
      <w:r w:rsidR="009F202A" w:rsidRPr="00813D19">
        <w:rPr>
          <w:bCs/>
          <w:lang w:val="en-US"/>
        </w:rPr>
        <w:t xml:space="preserve">the present </w:t>
      </w:r>
      <w:r w:rsidR="00ED7C14" w:rsidRPr="00813D19">
        <w:rPr>
          <w:bCs/>
          <w:lang w:val="en-US"/>
        </w:rPr>
        <w:t>session</w:t>
      </w:r>
      <w:r w:rsidR="002D78BA" w:rsidRPr="00813D19">
        <w:rPr>
          <w:bCs/>
          <w:lang w:val="en-US"/>
        </w:rPr>
        <w:t xml:space="preserve">. </w:t>
      </w:r>
      <w:r w:rsidR="00ED7C14" w:rsidRPr="00813D19">
        <w:rPr>
          <w:bCs/>
          <w:lang w:val="en-US"/>
        </w:rPr>
        <w:t>Responding to the question</w:t>
      </w:r>
      <w:r w:rsidR="002D78BA" w:rsidRPr="00813D19">
        <w:rPr>
          <w:bCs/>
          <w:lang w:val="en-US"/>
        </w:rPr>
        <w:t xml:space="preserve"> raised by Zambia</w:t>
      </w:r>
      <w:r w:rsidR="00ED7C14" w:rsidRPr="00813D19">
        <w:rPr>
          <w:bCs/>
          <w:lang w:val="en-US"/>
        </w:rPr>
        <w:t xml:space="preserve"> as to why </w:t>
      </w:r>
      <w:r w:rsidR="002D78BA" w:rsidRPr="00813D19">
        <w:rPr>
          <w:bCs/>
          <w:lang w:val="en-US"/>
        </w:rPr>
        <w:t xml:space="preserve">countries </w:t>
      </w:r>
      <w:r w:rsidR="00ED7C14" w:rsidRPr="00813D19">
        <w:rPr>
          <w:bCs/>
          <w:lang w:val="en-US"/>
        </w:rPr>
        <w:t>were not reporting, the Secretary explained that this was p</w:t>
      </w:r>
      <w:r w:rsidR="002D78BA" w:rsidRPr="00813D19">
        <w:rPr>
          <w:bCs/>
          <w:lang w:val="en-US"/>
        </w:rPr>
        <w:t xml:space="preserve">art of the reason </w:t>
      </w:r>
      <w:r w:rsidR="00ED7C14" w:rsidRPr="00813D19">
        <w:rPr>
          <w:bCs/>
          <w:lang w:val="en-US"/>
        </w:rPr>
        <w:t xml:space="preserve">behind the </w:t>
      </w:r>
      <w:r w:rsidR="002D78BA" w:rsidRPr="00813D19">
        <w:rPr>
          <w:bCs/>
          <w:lang w:val="en-US"/>
        </w:rPr>
        <w:t xml:space="preserve">reform </w:t>
      </w:r>
      <w:r w:rsidR="00ED7C14" w:rsidRPr="00813D19">
        <w:rPr>
          <w:bCs/>
          <w:lang w:val="en-US"/>
        </w:rPr>
        <w:t xml:space="preserve">moving towards </w:t>
      </w:r>
      <w:r w:rsidR="002D78BA" w:rsidRPr="00813D19">
        <w:rPr>
          <w:bCs/>
          <w:lang w:val="en-US"/>
        </w:rPr>
        <w:t xml:space="preserve">a regional cycle </w:t>
      </w:r>
      <w:r w:rsidR="00ED7C14" w:rsidRPr="00813D19">
        <w:rPr>
          <w:bCs/>
          <w:lang w:val="en-US"/>
        </w:rPr>
        <w:t xml:space="preserve">that would </w:t>
      </w:r>
      <w:r w:rsidR="002D78BA" w:rsidRPr="00813D19">
        <w:rPr>
          <w:bCs/>
          <w:lang w:val="en-US"/>
        </w:rPr>
        <w:t xml:space="preserve">allow </w:t>
      </w:r>
      <w:r w:rsidR="00ED7C14" w:rsidRPr="00813D19">
        <w:rPr>
          <w:bCs/>
          <w:lang w:val="en-US"/>
        </w:rPr>
        <w:t xml:space="preserve">collegial exchanges and </w:t>
      </w:r>
      <w:r w:rsidR="002D78BA" w:rsidRPr="00813D19">
        <w:rPr>
          <w:bCs/>
          <w:lang w:val="en-US"/>
        </w:rPr>
        <w:t>capacity</w:t>
      </w:r>
      <w:r w:rsidR="00605DAB">
        <w:rPr>
          <w:bCs/>
          <w:lang w:val="en-US"/>
        </w:rPr>
        <w:t xml:space="preserve"> </w:t>
      </w:r>
      <w:r w:rsidR="002D78BA" w:rsidRPr="00813D19">
        <w:rPr>
          <w:bCs/>
          <w:lang w:val="en-US"/>
        </w:rPr>
        <w:t xml:space="preserve">building </w:t>
      </w:r>
      <w:r w:rsidR="00ED7C14" w:rsidRPr="00813D19">
        <w:rPr>
          <w:bCs/>
          <w:lang w:val="en-US"/>
        </w:rPr>
        <w:t xml:space="preserve">within </w:t>
      </w:r>
      <w:r w:rsidR="002D78BA" w:rsidRPr="00813D19">
        <w:rPr>
          <w:bCs/>
          <w:lang w:val="en-US"/>
        </w:rPr>
        <w:t>the regions</w:t>
      </w:r>
      <w:r w:rsidR="00ED7C14" w:rsidRPr="00813D19">
        <w:rPr>
          <w:bCs/>
          <w:lang w:val="en-US"/>
        </w:rPr>
        <w:t>,</w:t>
      </w:r>
      <w:r w:rsidR="002D78BA" w:rsidRPr="00813D19">
        <w:rPr>
          <w:bCs/>
          <w:lang w:val="en-US"/>
        </w:rPr>
        <w:t xml:space="preserve"> </w:t>
      </w:r>
      <w:r w:rsidR="00ED7C14" w:rsidRPr="00813D19">
        <w:rPr>
          <w:bCs/>
          <w:lang w:val="en-US"/>
        </w:rPr>
        <w:t xml:space="preserve">which would </w:t>
      </w:r>
      <w:r w:rsidR="002D78BA" w:rsidRPr="00813D19">
        <w:rPr>
          <w:bCs/>
          <w:lang w:val="en-US"/>
        </w:rPr>
        <w:t xml:space="preserve">hopefully </w:t>
      </w:r>
      <w:r w:rsidR="00ED7C14" w:rsidRPr="00813D19">
        <w:rPr>
          <w:bCs/>
          <w:lang w:val="en-US"/>
        </w:rPr>
        <w:t xml:space="preserve">achieve </w:t>
      </w:r>
      <w:r w:rsidR="002D78BA" w:rsidRPr="00813D19">
        <w:rPr>
          <w:bCs/>
          <w:lang w:val="en-US"/>
        </w:rPr>
        <w:t xml:space="preserve">similar </w:t>
      </w:r>
      <w:r w:rsidR="00ED7C14" w:rsidRPr="00813D19">
        <w:rPr>
          <w:bCs/>
          <w:lang w:val="en-US"/>
        </w:rPr>
        <w:t xml:space="preserve">results as </w:t>
      </w:r>
      <w:r w:rsidR="002D78BA" w:rsidRPr="00813D19">
        <w:rPr>
          <w:bCs/>
          <w:lang w:val="en-US"/>
        </w:rPr>
        <w:t xml:space="preserve">in World Heritage, particularly through </w:t>
      </w:r>
      <w:r w:rsidR="00ED7C14" w:rsidRPr="00813D19">
        <w:rPr>
          <w:bCs/>
          <w:lang w:val="en-US"/>
        </w:rPr>
        <w:t xml:space="preserve">UNESCO’s </w:t>
      </w:r>
      <w:r w:rsidR="002D78BA" w:rsidRPr="00813D19">
        <w:rPr>
          <w:bCs/>
          <w:lang w:val="en-US"/>
        </w:rPr>
        <w:t>network of field offices</w:t>
      </w:r>
      <w:r w:rsidR="00ED7C14" w:rsidRPr="00813D19">
        <w:rPr>
          <w:bCs/>
          <w:lang w:val="en-US"/>
        </w:rPr>
        <w:t xml:space="preserve"> and </w:t>
      </w:r>
      <w:r w:rsidR="002D78BA" w:rsidRPr="00813D19">
        <w:rPr>
          <w:bCs/>
          <w:lang w:val="en-US"/>
        </w:rPr>
        <w:t>workshops</w:t>
      </w:r>
      <w:r w:rsidR="00ED7C14" w:rsidRPr="00813D19">
        <w:rPr>
          <w:bCs/>
          <w:lang w:val="en-US"/>
        </w:rPr>
        <w:t>,</w:t>
      </w:r>
      <w:r w:rsidR="002D78BA" w:rsidRPr="00813D19">
        <w:rPr>
          <w:bCs/>
          <w:lang w:val="en-US"/>
        </w:rPr>
        <w:t xml:space="preserve"> </w:t>
      </w:r>
      <w:r w:rsidR="00ED7C14" w:rsidRPr="00813D19">
        <w:rPr>
          <w:bCs/>
          <w:lang w:val="en-US"/>
        </w:rPr>
        <w:t xml:space="preserve">which </w:t>
      </w:r>
      <w:r w:rsidR="00605DAB" w:rsidRPr="00813D19">
        <w:rPr>
          <w:bCs/>
          <w:lang w:val="en-US"/>
        </w:rPr>
        <w:t>w</w:t>
      </w:r>
      <w:r w:rsidR="00605DAB">
        <w:rPr>
          <w:bCs/>
          <w:lang w:val="en-US"/>
        </w:rPr>
        <w:t>ould</w:t>
      </w:r>
      <w:r w:rsidR="00605DAB" w:rsidRPr="00813D19">
        <w:rPr>
          <w:bCs/>
          <w:lang w:val="en-US"/>
        </w:rPr>
        <w:t xml:space="preserve"> </w:t>
      </w:r>
      <w:r w:rsidR="00ED7C14" w:rsidRPr="00813D19">
        <w:rPr>
          <w:bCs/>
          <w:lang w:val="en-US"/>
        </w:rPr>
        <w:t>bring</w:t>
      </w:r>
      <w:r w:rsidR="002D78BA" w:rsidRPr="00813D19">
        <w:rPr>
          <w:bCs/>
          <w:lang w:val="en-US"/>
        </w:rPr>
        <w:t xml:space="preserve"> groups of countries together to work on training and </w:t>
      </w:r>
      <w:r w:rsidR="00ED7C14" w:rsidRPr="00813D19">
        <w:rPr>
          <w:bCs/>
          <w:lang w:val="en-US"/>
        </w:rPr>
        <w:t xml:space="preserve">the preparation of reports </w:t>
      </w:r>
      <w:r w:rsidR="0016273D">
        <w:rPr>
          <w:bCs/>
          <w:lang w:val="en-US"/>
        </w:rPr>
        <w:t>in the same year.</w:t>
      </w:r>
    </w:p>
    <w:p w14:paraId="6FD9D846" w14:textId="6E1EAA07" w:rsidR="00EA566A" w:rsidRPr="00813D19" w:rsidRDefault="00EA566A" w:rsidP="002018FA">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Chairperson</w:t>
      </w:r>
      <w:r w:rsidRPr="00813D19">
        <w:rPr>
          <w:iCs/>
          <w:color w:val="000000" w:themeColor="text1"/>
          <w:lang w:val="en-US"/>
        </w:rPr>
        <w:t xml:space="preserve"> turned to the draft decision on </w:t>
      </w:r>
      <w:r w:rsidR="00A330CC" w:rsidRPr="00813D19">
        <w:rPr>
          <w:iCs/>
          <w:color w:val="000000" w:themeColor="text1"/>
          <w:lang w:val="en-US"/>
        </w:rPr>
        <w:t>a paragraph-by-paragraph basis and p</w:t>
      </w:r>
      <w:r w:rsidR="00ED7C14" w:rsidRPr="00813D19">
        <w:rPr>
          <w:iCs/>
          <w:color w:val="000000" w:themeColor="text1"/>
          <w:lang w:val="en-US"/>
        </w:rPr>
        <w:t xml:space="preserve">aragraphs 1–5 were duly adopted. </w:t>
      </w:r>
      <w:r w:rsidR="00D47781" w:rsidRPr="00813D19">
        <w:rPr>
          <w:iCs/>
          <w:color w:val="000000" w:themeColor="text1"/>
          <w:lang w:val="en-US"/>
        </w:rPr>
        <w:t xml:space="preserve">The Chairperson noted an amendment proposed by Djibouti in </w:t>
      </w:r>
      <w:r w:rsidR="00D47781" w:rsidRPr="00813D19">
        <w:rPr>
          <w:bCs/>
          <w:lang w:val="en-US"/>
        </w:rPr>
        <w:t>paragraph 6.</w:t>
      </w:r>
    </w:p>
    <w:p w14:paraId="6CA53A9D" w14:textId="7951C8C9" w:rsidR="00D47781" w:rsidRPr="00813D19" w:rsidRDefault="008F7CD5" w:rsidP="00F26C45">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Djibouti</w:t>
      </w:r>
      <w:r w:rsidRPr="00813D19">
        <w:rPr>
          <w:iCs/>
          <w:color w:val="000000" w:themeColor="text1"/>
          <w:lang w:val="en-US"/>
        </w:rPr>
        <w:t xml:space="preserve"> proposed</w:t>
      </w:r>
      <w:r w:rsidR="002D78BA" w:rsidRPr="00813D19">
        <w:rPr>
          <w:iCs/>
          <w:color w:val="000000" w:themeColor="text1"/>
          <w:lang w:val="en-US"/>
        </w:rPr>
        <w:t xml:space="preserve"> an amendment in paragraph 6</w:t>
      </w:r>
      <w:r w:rsidR="00AC586F" w:rsidRPr="00813D19">
        <w:rPr>
          <w:iCs/>
          <w:color w:val="000000" w:themeColor="text1"/>
          <w:lang w:val="en-US"/>
        </w:rPr>
        <w:t xml:space="preserve"> that would take into consideration the debates and interventions </w:t>
      </w:r>
      <w:r w:rsidR="00F26C45" w:rsidRPr="00813D19">
        <w:rPr>
          <w:iCs/>
          <w:color w:val="000000" w:themeColor="text1"/>
          <w:lang w:val="en-US"/>
        </w:rPr>
        <w:t>that had taken place, including</w:t>
      </w:r>
      <w:r w:rsidR="00AC586F" w:rsidRPr="00813D19">
        <w:rPr>
          <w:iCs/>
          <w:color w:val="000000" w:themeColor="text1"/>
          <w:lang w:val="en-US"/>
        </w:rPr>
        <w:t xml:space="preserve"> at the level of the implementation of the Convention on this subject</w:t>
      </w:r>
      <w:r w:rsidR="00F26C45" w:rsidRPr="00813D19">
        <w:rPr>
          <w:iCs/>
          <w:color w:val="000000" w:themeColor="text1"/>
          <w:lang w:val="en-US"/>
        </w:rPr>
        <w:t>.</w:t>
      </w:r>
    </w:p>
    <w:p w14:paraId="73431AE9" w14:textId="4E240ED3" w:rsidR="00D47781" w:rsidRPr="00813D19" w:rsidRDefault="00D47781" w:rsidP="002018FA">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Chairperson</w:t>
      </w:r>
      <w:r w:rsidR="0016273D">
        <w:rPr>
          <w:iCs/>
          <w:color w:val="000000" w:themeColor="text1"/>
          <w:lang w:val="en-US"/>
        </w:rPr>
        <w:t xml:space="preserve"> asked for a concrete proposal.</w:t>
      </w:r>
    </w:p>
    <w:p w14:paraId="1EA43EF5" w14:textId="5190AEB8" w:rsidR="003A39C7" w:rsidRPr="00813D19" w:rsidRDefault="00D47781" w:rsidP="002018FA">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Djibouti</w:t>
      </w:r>
      <w:r w:rsidRPr="00813D19">
        <w:rPr>
          <w:iCs/>
          <w:color w:val="000000" w:themeColor="text1"/>
          <w:lang w:val="en-US"/>
        </w:rPr>
        <w:t xml:space="preserve"> </w:t>
      </w:r>
      <w:r w:rsidR="003A39C7" w:rsidRPr="00813D19">
        <w:rPr>
          <w:iCs/>
          <w:color w:val="000000" w:themeColor="text1"/>
          <w:lang w:val="en-US"/>
        </w:rPr>
        <w:t>proposed start</w:t>
      </w:r>
      <w:r w:rsidR="000F72B5">
        <w:rPr>
          <w:iCs/>
          <w:color w:val="000000" w:themeColor="text1"/>
          <w:lang w:val="en-US"/>
        </w:rPr>
        <w:t>ing</w:t>
      </w:r>
      <w:r w:rsidR="003A39C7" w:rsidRPr="00813D19">
        <w:rPr>
          <w:iCs/>
          <w:color w:val="000000" w:themeColor="text1"/>
          <w:lang w:val="en-US"/>
        </w:rPr>
        <w:t xml:space="preserve"> a new sentence that would read, ‘considering that the debates will be </w:t>
      </w:r>
      <w:r w:rsidR="007D7F7D" w:rsidRPr="00813D19">
        <w:rPr>
          <w:iCs/>
          <w:color w:val="000000" w:themeColor="text1"/>
          <w:lang w:val="en-US"/>
        </w:rPr>
        <w:t>integrated</w:t>
      </w:r>
      <w:r w:rsidR="00105144" w:rsidRPr="00813D19">
        <w:rPr>
          <w:iCs/>
          <w:color w:val="000000" w:themeColor="text1"/>
          <w:lang w:val="en-US"/>
        </w:rPr>
        <w:t xml:space="preserve"> in</w:t>
      </w:r>
      <w:r w:rsidR="007D7F7D" w:rsidRPr="00813D19">
        <w:rPr>
          <w:iCs/>
          <w:color w:val="000000" w:themeColor="text1"/>
          <w:lang w:val="en-US"/>
        </w:rPr>
        <w:t>to</w:t>
      </w:r>
      <w:r w:rsidR="003A39C7" w:rsidRPr="00813D19">
        <w:rPr>
          <w:iCs/>
          <w:color w:val="000000" w:themeColor="text1"/>
          <w:lang w:val="en-US"/>
        </w:rPr>
        <w:t xml:space="preserve"> the new </w:t>
      </w:r>
      <w:r w:rsidR="00105144" w:rsidRPr="00813D19">
        <w:rPr>
          <w:iCs/>
          <w:color w:val="000000" w:themeColor="text1"/>
          <w:lang w:val="en-US"/>
        </w:rPr>
        <w:t xml:space="preserve">planning of the capacity-building </w:t>
      </w:r>
      <w:r w:rsidR="003A39C7" w:rsidRPr="00813D19">
        <w:rPr>
          <w:iCs/>
          <w:color w:val="000000" w:themeColor="text1"/>
          <w:lang w:val="en-US"/>
        </w:rPr>
        <w:t>programm</w:t>
      </w:r>
      <w:r w:rsidR="0016273D">
        <w:rPr>
          <w:iCs/>
          <w:color w:val="000000" w:themeColor="text1"/>
          <w:lang w:val="en-US"/>
        </w:rPr>
        <w:t>e proposed by the Secretariat’.</w:t>
      </w:r>
    </w:p>
    <w:p w14:paraId="7EC3E8FE" w14:textId="368BB1AB" w:rsidR="00454B55" w:rsidRPr="00813D19" w:rsidRDefault="00454B55" w:rsidP="002018FA">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Armenia</w:t>
      </w:r>
      <w:r w:rsidR="007A05E8" w:rsidRPr="00813D19">
        <w:rPr>
          <w:b/>
          <w:iCs/>
          <w:color w:val="000000" w:themeColor="text1"/>
          <w:lang w:val="en-US"/>
        </w:rPr>
        <w:t xml:space="preserve"> </w:t>
      </w:r>
      <w:r w:rsidR="003A39C7" w:rsidRPr="00813D19">
        <w:rPr>
          <w:iCs/>
          <w:color w:val="000000" w:themeColor="text1"/>
          <w:lang w:val="en-US"/>
        </w:rPr>
        <w:t xml:space="preserve">asked </w:t>
      </w:r>
      <w:r w:rsidR="002D78BA" w:rsidRPr="00813D19">
        <w:rPr>
          <w:bCs/>
          <w:lang w:val="en-US"/>
        </w:rPr>
        <w:t xml:space="preserve">Djibouti </w:t>
      </w:r>
      <w:r w:rsidR="000F72B5">
        <w:rPr>
          <w:bCs/>
          <w:lang w:val="en-US"/>
        </w:rPr>
        <w:t xml:space="preserve">to </w:t>
      </w:r>
      <w:r w:rsidR="002D78BA" w:rsidRPr="00813D19">
        <w:rPr>
          <w:bCs/>
          <w:lang w:val="en-US"/>
        </w:rPr>
        <w:t xml:space="preserve">elaborate </w:t>
      </w:r>
      <w:r w:rsidR="003A39C7" w:rsidRPr="00813D19">
        <w:rPr>
          <w:bCs/>
          <w:lang w:val="en-US"/>
        </w:rPr>
        <w:t xml:space="preserve">on the rationale behind the integration aspect of the </w:t>
      </w:r>
      <w:r w:rsidR="002D78BA" w:rsidRPr="00813D19">
        <w:rPr>
          <w:bCs/>
          <w:lang w:val="en-US"/>
        </w:rPr>
        <w:t>debates</w:t>
      </w:r>
      <w:r w:rsidR="003A39C7" w:rsidRPr="00813D19">
        <w:rPr>
          <w:bCs/>
          <w:lang w:val="en-US"/>
        </w:rPr>
        <w:t xml:space="preserve"> and what it implied</w:t>
      </w:r>
      <w:r w:rsidR="0016273D">
        <w:rPr>
          <w:bCs/>
          <w:lang w:val="en-US"/>
        </w:rPr>
        <w:t>.</w:t>
      </w:r>
    </w:p>
    <w:p w14:paraId="1CDC6FF7" w14:textId="6CF4AD97" w:rsidR="00454B55" w:rsidRPr="00813D19" w:rsidRDefault="00454B55" w:rsidP="003A39C7">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Senegal</w:t>
      </w:r>
      <w:r w:rsidRPr="00813D19">
        <w:rPr>
          <w:iCs/>
          <w:color w:val="000000" w:themeColor="text1"/>
          <w:lang w:val="en-US"/>
        </w:rPr>
        <w:t xml:space="preserve"> </w:t>
      </w:r>
      <w:r w:rsidR="003A39C7" w:rsidRPr="00813D19">
        <w:rPr>
          <w:iCs/>
          <w:color w:val="000000" w:themeColor="text1"/>
          <w:lang w:val="en-US"/>
        </w:rPr>
        <w:t xml:space="preserve">understood the concerns raised by Djibouti, but the phrase as expressed seemed </w:t>
      </w:r>
      <w:r w:rsidR="00813D19">
        <w:rPr>
          <w:iCs/>
          <w:color w:val="000000" w:themeColor="text1"/>
          <w:lang w:val="en-US"/>
        </w:rPr>
        <w:t>inapprop</w:t>
      </w:r>
      <w:r w:rsidR="00813D19" w:rsidRPr="00813D19">
        <w:rPr>
          <w:iCs/>
          <w:color w:val="000000" w:themeColor="text1"/>
          <w:lang w:val="en-US"/>
        </w:rPr>
        <w:t>riate</w:t>
      </w:r>
      <w:r w:rsidR="003A39C7" w:rsidRPr="00813D19">
        <w:rPr>
          <w:iCs/>
          <w:color w:val="000000" w:themeColor="text1"/>
          <w:lang w:val="en-US"/>
        </w:rPr>
        <w:t xml:space="preserve">, </w:t>
      </w:r>
      <w:r w:rsidR="00813D19" w:rsidRPr="00813D19">
        <w:rPr>
          <w:iCs/>
          <w:color w:val="000000" w:themeColor="text1"/>
          <w:lang w:val="en-US"/>
        </w:rPr>
        <w:t>particularly</w:t>
      </w:r>
      <w:r w:rsidR="003A39C7" w:rsidRPr="00813D19">
        <w:rPr>
          <w:iCs/>
          <w:color w:val="000000" w:themeColor="text1"/>
          <w:lang w:val="en-US"/>
        </w:rPr>
        <w:t xml:space="preserve"> the use of ‘considering’, and suggested instead, ‘taking into account</w:t>
      </w:r>
      <w:r w:rsidR="004B3CA9" w:rsidRPr="00813D19">
        <w:rPr>
          <w:iCs/>
          <w:color w:val="000000" w:themeColor="text1"/>
          <w:lang w:val="en-US"/>
        </w:rPr>
        <w:t>’.</w:t>
      </w:r>
    </w:p>
    <w:p w14:paraId="5A4A7644" w14:textId="425D9E2F" w:rsidR="00BF35EE" w:rsidRPr="00813D19" w:rsidRDefault="007A05E8" w:rsidP="00BF35EE">
      <w:pPr>
        <w:pStyle w:val="Orateurengris"/>
        <w:spacing w:before="120"/>
        <w:ind w:left="709" w:hanging="709"/>
        <w:rPr>
          <w:bCs/>
          <w:lang w:val="en-US"/>
        </w:rPr>
      </w:pPr>
      <w:r w:rsidRPr="00813D19">
        <w:rPr>
          <w:iCs/>
          <w:color w:val="000000" w:themeColor="text1"/>
          <w:lang w:val="en-US"/>
        </w:rPr>
        <w:t xml:space="preserve">The </w:t>
      </w:r>
      <w:r w:rsidRPr="00813D19">
        <w:rPr>
          <w:b/>
          <w:iCs/>
          <w:color w:val="000000" w:themeColor="text1"/>
          <w:lang w:val="en-US"/>
        </w:rPr>
        <w:t>delegation of Togo</w:t>
      </w:r>
      <w:r w:rsidR="002D78BA" w:rsidRPr="00813D19">
        <w:rPr>
          <w:iCs/>
          <w:color w:val="000000" w:themeColor="text1"/>
          <w:lang w:val="en-US"/>
        </w:rPr>
        <w:t xml:space="preserve"> </w:t>
      </w:r>
      <w:r w:rsidR="00BF35EE" w:rsidRPr="00813D19">
        <w:rPr>
          <w:iCs/>
          <w:color w:val="000000" w:themeColor="text1"/>
          <w:lang w:val="en-US"/>
        </w:rPr>
        <w:t>agreed with Senegal and suggested, ‘t</w:t>
      </w:r>
      <w:r w:rsidR="003A39C7" w:rsidRPr="00813D19">
        <w:rPr>
          <w:iCs/>
          <w:color w:val="000000" w:themeColor="text1"/>
          <w:lang w:val="en-US"/>
        </w:rPr>
        <w:t>aking into account</w:t>
      </w:r>
      <w:r w:rsidR="00BF35EE" w:rsidRPr="00813D19">
        <w:rPr>
          <w:iCs/>
          <w:color w:val="000000" w:themeColor="text1"/>
          <w:lang w:val="en-US"/>
        </w:rPr>
        <w:t xml:space="preserve"> the debates in the new planning of the capacity-</w:t>
      </w:r>
      <w:r w:rsidR="003A39C7" w:rsidRPr="00813D19">
        <w:rPr>
          <w:iCs/>
          <w:color w:val="000000" w:themeColor="text1"/>
          <w:lang w:val="en-US"/>
        </w:rPr>
        <w:t>building program</w:t>
      </w:r>
      <w:r w:rsidR="0016273D">
        <w:rPr>
          <w:iCs/>
          <w:color w:val="000000" w:themeColor="text1"/>
          <w:lang w:val="en-US"/>
        </w:rPr>
        <w:t>me’.</w:t>
      </w:r>
    </w:p>
    <w:p w14:paraId="03654823" w14:textId="33263569" w:rsidR="00767F42" w:rsidRPr="00813D19" w:rsidRDefault="00767F42" w:rsidP="000173B9">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Secretary</w:t>
      </w:r>
      <w:r w:rsidRPr="00813D19">
        <w:rPr>
          <w:iCs/>
          <w:color w:val="000000" w:themeColor="text1"/>
          <w:lang w:val="en-US"/>
        </w:rPr>
        <w:t xml:space="preserve"> </w:t>
      </w:r>
      <w:r w:rsidR="000173B9" w:rsidRPr="00813D19">
        <w:rPr>
          <w:iCs/>
          <w:color w:val="000000" w:themeColor="text1"/>
          <w:lang w:val="en-US"/>
        </w:rPr>
        <w:t>sought clarity as it was unclear whether the request</w:t>
      </w:r>
      <w:r w:rsidR="007D7F7D" w:rsidRPr="00813D19">
        <w:rPr>
          <w:iCs/>
          <w:color w:val="000000" w:themeColor="text1"/>
          <w:lang w:val="en-US"/>
        </w:rPr>
        <w:t xml:space="preserve"> </w:t>
      </w:r>
      <w:r w:rsidR="000173B9" w:rsidRPr="00813D19">
        <w:rPr>
          <w:iCs/>
          <w:color w:val="000000" w:themeColor="text1"/>
          <w:lang w:val="en-US"/>
        </w:rPr>
        <w:t xml:space="preserve">sought </w:t>
      </w:r>
      <w:r w:rsidR="007D7F7D" w:rsidRPr="00813D19">
        <w:rPr>
          <w:iCs/>
          <w:color w:val="000000" w:themeColor="text1"/>
          <w:lang w:val="en-US"/>
        </w:rPr>
        <w:t xml:space="preserve">to integrate the debates that </w:t>
      </w:r>
      <w:r w:rsidR="00A330CC" w:rsidRPr="00813D19">
        <w:rPr>
          <w:iCs/>
          <w:color w:val="000000" w:themeColor="text1"/>
          <w:lang w:val="en-US"/>
        </w:rPr>
        <w:t xml:space="preserve">had just taken </w:t>
      </w:r>
      <w:r w:rsidR="007D7F7D" w:rsidRPr="00813D19">
        <w:rPr>
          <w:iCs/>
          <w:color w:val="000000" w:themeColor="text1"/>
          <w:lang w:val="en-US"/>
        </w:rPr>
        <w:t xml:space="preserve">place </w:t>
      </w:r>
      <w:r w:rsidR="000173B9" w:rsidRPr="00813D19">
        <w:rPr>
          <w:iCs/>
          <w:color w:val="000000" w:themeColor="text1"/>
          <w:lang w:val="en-US"/>
        </w:rPr>
        <w:t>into the content of the capacity-</w:t>
      </w:r>
      <w:r w:rsidR="007D7F7D" w:rsidRPr="00813D19">
        <w:rPr>
          <w:iCs/>
          <w:color w:val="000000" w:themeColor="text1"/>
          <w:lang w:val="en-US"/>
        </w:rPr>
        <w:t>building</w:t>
      </w:r>
      <w:r w:rsidR="000173B9" w:rsidRPr="00813D19">
        <w:rPr>
          <w:iCs/>
          <w:color w:val="000000" w:themeColor="text1"/>
          <w:lang w:val="en-US"/>
        </w:rPr>
        <w:t xml:space="preserve"> programme</w:t>
      </w:r>
      <w:r w:rsidR="000F72B5">
        <w:rPr>
          <w:iCs/>
          <w:color w:val="000000" w:themeColor="text1"/>
          <w:lang w:val="en-US"/>
        </w:rPr>
        <w:t>, i</w:t>
      </w:r>
      <w:r w:rsidR="000173B9" w:rsidRPr="00813D19">
        <w:rPr>
          <w:iCs/>
          <w:color w:val="000000" w:themeColor="text1"/>
          <w:lang w:val="en-US"/>
        </w:rPr>
        <w:t>n which case, it would be necessary to define the debate</w:t>
      </w:r>
      <w:r w:rsidR="000F72B5">
        <w:rPr>
          <w:iCs/>
          <w:color w:val="000000" w:themeColor="text1"/>
          <w:lang w:val="en-US"/>
        </w:rPr>
        <w:t>s</w:t>
      </w:r>
      <w:r w:rsidR="000173B9" w:rsidRPr="00813D19">
        <w:rPr>
          <w:iCs/>
          <w:color w:val="000000" w:themeColor="text1"/>
          <w:lang w:val="en-US"/>
        </w:rPr>
        <w:t xml:space="preserve"> and how they would be integrated into the planning. The Secretary reminded the Committee that there was a </w:t>
      </w:r>
      <w:r w:rsidR="007D7F7D" w:rsidRPr="00813D19">
        <w:rPr>
          <w:iCs/>
          <w:color w:val="000000" w:themeColor="text1"/>
          <w:lang w:val="en-US"/>
        </w:rPr>
        <w:t xml:space="preserve">specific </w:t>
      </w:r>
      <w:r w:rsidR="000173B9" w:rsidRPr="00813D19">
        <w:rPr>
          <w:iCs/>
          <w:color w:val="000000" w:themeColor="text1"/>
          <w:lang w:val="en-US"/>
        </w:rPr>
        <w:t xml:space="preserve">agenda item 8 addressing the </w:t>
      </w:r>
      <w:r w:rsidR="007D7F7D" w:rsidRPr="00813D19">
        <w:rPr>
          <w:iCs/>
          <w:color w:val="000000" w:themeColor="text1"/>
          <w:lang w:val="en-US"/>
        </w:rPr>
        <w:t xml:space="preserve">reform of the periodic reports in </w:t>
      </w:r>
      <w:r w:rsidR="000173B9" w:rsidRPr="00813D19">
        <w:rPr>
          <w:iCs/>
          <w:color w:val="000000" w:themeColor="text1"/>
          <w:lang w:val="en-US"/>
        </w:rPr>
        <w:t xml:space="preserve">which it may </w:t>
      </w:r>
      <w:r w:rsidR="007D7F7D" w:rsidRPr="00813D19">
        <w:rPr>
          <w:iCs/>
          <w:color w:val="000000" w:themeColor="text1"/>
          <w:lang w:val="en-US"/>
        </w:rPr>
        <w:t>be possible t</w:t>
      </w:r>
      <w:r w:rsidR="000173B9" w:rsidRPr="00813D19">
        <w:rPr>
          <w:iCs/>
          <w:color w:val="000000" w:themeColor="text1"/>
          <w:lang w:val="en-US"/>
        </w:rPr>
        <w:t>o discuss planning for capacity</w:t>
      </w:r>
      <w:r w:rsidR="000F72B5">
        <w:rPr>
          <w:iCs/>
          <w:color w:val="000000" w:themeColor="text1"/>
          <w:lang w:val="en-US"/>
        </w:rPr>
        <w:t xml:space="preserve"> </w:t>
      </w:r>
      <w:r w:rsidR="007D7F7D" w:rsidRPr="00813D19">
        <w:rPr>
          <w:iCs/>
          <w:color w:val="000000" w:themeColor="text1"/>
          <w:lang w:val="en-US"/>
        </w:rPr>
        <w:t>building</w:t>
      </w:r>
      <w:r w:rsidR="0016273D">
        <w:rPr>
          <w:iCs/>
          <w:color w:val="000000" w:themeColor="text1"/>
          <w:lang w:val="en-US"/>
        </w:rPr>
        <w:t>.</w:t>
      </w:r>
    </w:p>
    <w:p w14:paraId="1B2483F2" w14:textId="00C0B100" w:rsidR="000173B9" w:rsidRPr="00813D19" w:rsidRDefault="00767F42" w:rsidP="002018FA">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Djibouti</w:t>
      </w:r>
      <w:r w:rsidRPr="00813D19">
        <w:rPr>
          <w:iCs/>
          <w:color w:val="000000" w:themeColor="text1"/>
          <w:lang w:val="en-US"/>
        </w:rPr>
        <w:t xml:space="preserve"> </w:t>
      </w:r>
      <w:r w:rsidR="00BE4833" w:rsidRPr="00813D19">
        <w:rPr>
          <w:iCs/>
          <w:color w:val="000000" w:themeColor="text1"/>
          <w:lang w:val="en-US"/>
        </w:rPr>
        <w:t>wished to clar</w:t>
      </w:r>
      <w:r w:rsidR="003C0053" w:rsidRPr="00813D19">
        <w:rPr>
          <w:iCs/>
          <w:color w:val="000000" w:themeColor="text1"/>
          <w:lang w:val="en-US"/>
        </w:rPr>
        <w:t xml:space="preserve">ify that the </w:t>
      </w:r>
      <w:r w:rsidR="000173B9" w:rsidRPr="00813D19">
        <w:rPr>
          <w:iCs/>
          <w:color w:val="000000" w:themeColor="text1"/>
          <w:lang w:val="en-US"/>
        </w:rPr>
        <w:t xml:space="preserve">debates concerned the various justifications for the delay in drafting and </w:t>
      </w:r>
      <w:r w:rsidR="003C0053" w:rsidRPr="00813D19">
        <w:rPr>
          <w:iCs/>
          <w:color w:val="000000" w:themeColor="text1"/>
          <w:lang w:val="en-US"/>
        </w:rPr>
        <w:t>submitting the periodic reports</w:t>
      </w:r>
      <w:r w:rsidR="00DB4ACF" w:rsidRPr="00813D19">
        <w:rPr>
          <w:iCs/>
          <w:color w:val="000000" w:themeColor="text1"/>
          <w:lang w:val="en-US"/>
        </w:rPr>
        <w:t>, which</w:t>
      </w:r>
      <w:r w:rsidR="003C0053" w:rsidRPr="00813D19">
        <w:rPr>
          <w:iCs/>
          <w:color w:val="000000" w:themeColor="text1"/>
          <w:lang w:val="en-US"/>
        </w:rPr>
        <w:t xml:space="preserve"> </w:t>
      </w:r>
      <w:r w:rsidR="000173B9" w:rsidRPr="00813D19">
        <w:rPr>
          <w:iCs/>
          <w:color w:val="000000" w:themeColor="text1"/>
          <w:lang w:val="en-US"/>
        </w:rPr>
        <w:t>more or less justified</w:t>
      </w:r>
      <w:r w:rsidR="003C0053" w:rsidRPr="00813D19">
        <w:rPr>
          <w:iCs/>
          <w:color w:val="000000" w:themeColor="text1"/>
          <w:lang w:val="en-US"/>
        </w:rPr>
        <w:t xml:space="preserve"> </w:t>
      </w:r>
      <w:r w:rsidR="00DB4ACF" w:rsidRPr="00813D19">
        <w:rPr>
          <w:iCs/>
          <w:color w:val="000000" w:themeColor="text1"/>
          <w:lang w:val="en-US"/>
        </w:rPr>
        <w:t xml:space="preserve">the </w:t>
      </w:r>
      <w:r w:rsidR="003C0053" w:rsidRPr="00813D19">
        <w:rPr>
          <w:iCs/>
          <w:color w:val="000000" w:themeColor="text1"/>
          <w:lang w:val="en-US"/>
        </w:rPr>
        <w:t>crucial need for capacity</w:t>
      </w:r>
      <w:r w:rsidR="000F72B5">
        <w:rPr>
          <w:iCs/>
          <w:color w:val="000000" w:themeColor="text1"/>
          <w:lang w:val="en-US"/>
        </w:rPr>
        <w:t xml:space="preserve"> </w:t>
      </w:r>
      <w:r w:rsidR="000173B9" w:rsidRPr="00813D19">
        <w:rPr>
          <w:iCs/>
          <w:color w:val="000000" w:themeColor="text1"/>
          <w:lang w:val="en-US"/>
        </w:rPr>
        <w:t xml:space="preserve">building at the </w:t>
      </w:r>
      <w:r w:rsidR="003C0053" w:rsidRPr="00813D19">
        <w:rPr>
          <w:iCs/>
          <w:color w:val="000000" w:themeColor="text1"/>
          <w:lang w:val="en-US"/>
        </w:rPr>
        <w:t xml:space="preserve">level of </w:t>
      </w:r>
      <w:r w:rsidR="000173B9" w:rsidRPr="00813D19">
        <w:rPr>
          <w:iCs/>
          <w:color w:val="000000" w:themeColor="text1"/>
          <w:lang w:val="en-US"/>
        </w:rPr>
        <w:t xml:space="preserve">practitioners, </w:t>
      </w:r>
      <w:r w:rsidR="003C0053" w:rsidRPr="00813D19">
        <w:rPr>
          <w:iCs/>
          <w:color w:val="000000" w:themeColor="text1"/>
          <w:lang w:val="en-US"/>
        </w:rPr>
        <w:t xml:space="preserve">communities, the </w:t>
      </w:r>
      <w:r w:rsidR="000173B9" w:rsidRPr="00813D19">
        <w:rPr>
          <w:iCs/>
          <w:color w:val="000000" w:themeColor="text1"/>
          <w:lang w:val="en-US"/>
        </w:rPr>
        <w:t xml:space="preserve">different research institutions and representatives of the </w:t>
      </w:r>
      <w:r w:rsidR="003C0053" w:rsidRPr="00813D19">
        <w:rPr>
          <w:iCs/>
          <w:color w:val="000000" w:themeColor="text1"/>
          <w:lang w:val="en-US"/>
        </w:rPr>
        <w:t>ministries and ci</w:t>
      </w:r>
      <w:r w:rsidR="00A56040" w:rsidRPr="00813D19">
        <w:rPr>
          <w:iCs/>
          <w:color w:val="000000" w:themeColor="text1"/>
          <w:lang w:val="en-US"/>
        </w:rPr>
        <w:t>vil society who all participate</w:t>
      </w:r>
      <w:r w:rsidR="000173B9" w:rsidRPr="00813D19">
        <w:rPr>
          <w:iCs/>
          <w:color w:val="000000" w:themeColor="text1"/>
          <w:lang w:val="en-US"/>
        </w:rPr>
        <w:t xml:space="preserve"> </w:t>
      </w:r>
      <w:r w:rsidR="005946E8">
        <w:rPr>
          <w:iCs/>
          <w:color w:val="000000" w:themeColor="text1"/>
          <w:lang w:val="en-US"/>
        </w:rPr>
        <w:t>as</w:t>
      </w:r>
      <w:r w:rsidR="005946E8" w:rsidRPr="00813D19">
        <w:rPr>
          <w:iCs/>
          <w:color w:val="000000" w:themeColor="text1"/>
          <w:lang w:val="en-US"/>
        </w:rPr>
        <w:t xml:space="preserve"> </w:t>
      </w:r>
      <w:r w:rsidR="000173B9" w:rsidRPr="00813D19">
        <w:rPr>
          <w:iCs/>
          <w:color w:val="000000" w:themeColor="text1"/>
          <w:lang w:val="en-US"/>
        </w:rPr>
        <w:t xml:space="preserve">integral parts of the report. </w:t>
      </w:r>
      <w:r w:rsidR="003C0053" w:rsidRPr="00813D19">
        <w:rPr>
          <w:iCs/>
          <w:color w:val="000000" w:themeColor="text1"/>
          <w:lang w:val="en-US"/>
        </w:rPr>
        <w:t xml:space="preserve">Thus, it </w:t>
      </w:r>
      <w:r w:rsidR="00DB4ACF" w:rsidRPr="00813D19">
        <w:rPr>
          <w:iCs/>
          <w:color w:val="000000" w:themeColor="text1"/>
          <w:lang w:val="en-US"/>
        </w:rPr>
        <w:t xml:space="preserve">was </w:t>
      </w:r>
      <w:r w:rsidR="000173B9" w:rsidRPr="00813D19">
        <w:rPr>
          <w:iCs/>
          <w:color w:val="000000" w:themeColor="text1"/>
          <w:lang w:val="en-US"/>
        </w:rPr>
        <w:t xml:space="preserve">at this level that </w:t>
      </w:r>
      <w:r w:rsidR="003C0053" w:rsidRPr="00813D19">
        <w:rPr>
          <w:iCs/>
          <w:color w:val="000000" w:themeColor="text1"/>
          <w:lang w:val="en-US"/>
        </w:rPr>
        <w:t xml:space="preserve">the alarm </w:t>
      </w:r>
      <w:r w:rsidR="000F72B5">
        <w:rPr>
          <w:iCs/>
          <w:color w:val="000000" w:themeColor="text1"/>
          <w:lang w:val="en-US"/>
        </w:rPr>
        <w:t>needed to</w:t>
      </w:r>
      <w:r w:rsidR="000F72B5" w:rsidRPr="00813D19">
        <w:rPr>
          <w:iCs/>
          <w:color w:val="000000" w:themeColor="text1"/>
          <w:lang w:val="en-US"/>
        </w:rPr>
        <w:t xml:space="preserve"> </w:t>
      </w:r>
      <w:r w:rsidR="003C0053" w:rsidRPr="00813D19">
        <w:rPr>
          <w:iCs/>
          <w:color w:val="000000" w:themeColor="text1"/>
          <w:lang w:val="en-US"/>
        </w:rPr>
        <w:t>be raised</w:t>
      </w:r>
      <w:r w:rsidR="000173B9" w:rsidRPr="00813D19">
        <w:rPr>
          <w:iCs/>
          <w:color w:val="000000" w:themeColor="text1"/>
          <w:lang w:val="en-US"/>
        </w:rPr>
        <w:t xml:space="preserve">, </w:t>
      </w:r>
      <w:r w:rsidR="003C0053" w:rsidRPr="00813D19">
        <w:rPr>
          <w:iCs/>
          <w:color w:val="000000" w:themeColor="text1"/>
          <w:lang w:val="en-US"/>
        </w:rPr>
        <w:t>as</w:t>
      </w:r>
      <w:r w:rsidR="000173B9" w:rsidRPr="00813D19">
        <w:rPr>
          <w:iCs/>
          <w:color w:val="000000" w:themeColor="text1"/>
          <w:lang w:val="en-US"/>
        </w:rPr>
        <w:t xml:space="preserve"> </w:t>
      </w:r>
      <w:r w:rsidR="003C0053" w:rsidRPr="00813D19">
        <w:rPr>
          <w:iCs/>
          <w:color w:val="000000" w:themeColor="text1"/>
          <w:lang w:val="en-US"/>
        </w:rPr>
        <w:t xml:space="preserve">this delay required an urgent response, which </w:t>
      </w:r>
      <w:r w:rsidR="000173B9" w:rsidRPr="00813D19">
        <w:rPr>
          <w:iCs/>
          <w:color w:val="000000" w:themeColor="text1"/>
          <w:lang w:val="en-US"/>
        </w:rPr>
        <w:t>could be</w:t>
      </w:r>
      <w:r w:rsidR="003C0053" w:rsidRPr="00813D19">
        <w:rPr>
          <w:iCs/>
          <w:color w:val="000000" w:themeColor="text1"/>
          <w:lang w:val="en-US"/>
        </w:rPr>
        <w:t xml:space="preserve"> to strengthen capacity</w:t>
      </w:r>
      <w:r w:rsidR="000F72B5">
        <w:rPr>
          <w:iCs/>
          <w:color w:val="000000" w:themeColor="text1"/>
          <w:lang w:val="en-US"/>
        </w:rPr>
        <w:t xml:space="preserve"> </w:t>
      </w:r>
      <w:r w:rsidR="003C0053" w:rsidRPr="00813D19">
        <w:rPr>
          <w:iCs/>
          <w:color w:val="000000" w:themeColor="text1"/>
          <w:lang w:val="en-US"/>
        </w:rPr>
        <w:t>building</w:t>
      </w:r>
      <w:r w:rsidR="000173B9" w:rsidRPr="00813D19">
        <w:rPr>
          <w:iCs/>
          <w:color w:val="000000" w:themeColor="text1"/>
          <w:lang w:val="en-US"/>
        </w:rPr>
        <w:t xml:space="preserve"> based on the needs of </w:t>
      </w:r>
      <w:r w:rsidR="003C0053" w:rsidRPr="00813D19">
        <w:rPr>
          <w:iCs/>
          <w:color w:val="000000" w:themeColor="text1"/>
          <w:lang w:val="en-US"/>
        </w:rPr>
        <w:t xml:space="preserve">the different reporting countries and </w:t>
      </w:r>
      <w:r w:rsidR="000173B9" w:rsidRPr="00813D19">
        <w:rPr>
          <w:iCs/>
          <w:color w:val="000000" w:themeColor="text1"/>
          <w:lang w:val="en-US"/>
        </w:rPr>
        <w:t>those lagging behind.</w:t>
      </w:r>
    </w:p>
    <w:p w14:paraId="3E14E15C" w14:textId="5BA63787" w:rsidR="003C0053" w:rsidRPr="00813D19" w:rsidRDefault="00EB5882" w:rsidP="002018FA">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Secretary</w:t>
      </w:r>
      <w:r w:rsidRPr="00813D19">
        <w:rPr>
          <w:iCs/>
          <w:color w:val="000000" w:themeColor="text1"/>
          <w:lang w:val="en-US"/>
        </w:rPr>
        <w:t xml:space="preserve"> </w:t>
      </w:r>
      <w:r w:rsidR="0054041D" w:rsidRPr="00813D19">
        <w:rPr>
          <w:iCs/>
          <w:color w:val="000000" w:themeColor="text1"/>
          <w:lang w:val="en-US"/>
        </w:rPr>
        <w:t xml:space="preserve">understood the </w:t>
      </w:r>
      <w:r w:rsidR="003C0053" w:rsidRPr="00813D19">
        <w:rPr>
          <w:iCs/>
          <w:color w:val="000000" w:themeColor="text1"/>
          <w:lang w:val="en-US"/>
        </w:rPr>
        <w:t xml:space="preserve">point </w:t>
      </w:r>
      <w:r w:rsidR="0054041D" w:rsidRPr="00813D19">
        <w:rPr>
          <w:iCs/>
          <w:color w:val="000000" w:themeColor="text1"/>
          <w:lang w:val="en-US"/>
        </w:rPr>
        <w:t xml:space="preserve">more clearly and </w:t>
      </w:r>
      <w:r w:rsidR="00592AEB" w:rsidRPr="00813D19">
        <w:rPr>
          <w:iCs/>
          <w:color w:val="000000" w:themeColor="text1"/>
          <w:lang w:val="en-US"/>
        </w:rPr>
        <w:t>noted</w:t>
      </w:r>
      <w:r w:rsidR="0054041D" w:rsidRPr="00813D19">
        <w:rPr>
          <w:iCs/>
          <w:color w:val="000000" w:themeColor="text1"/>
          <w:lang w:val="en-US"/>
        </w:rPr>
        <w:t xml:space="preserve"> two things. Firstly</w:t>
      </w:r>
      <w:r w:rsidR="003C0053" w:rsidRPr="00813D19">
        <w:rPr>
          <w:iCs/>
          <w:color w:val="000000" w:themeColor="text1"/>
          <w:lang w:val="en-US"/>
        </w:rPr>
        <w:t xml:space="preserve">, </w:t>
      </w:r>
      <w:r w:rsidR="0054041D" w:rsidRPr="00813D19">
        <w:rPr>
          <w:iCs/>
          <w:color w:val="000000" w:themeColor="text1"/>
          <w:lang w:val="en-US"/>
        </w:rPr>
        <w:t xml:space="preserve">the </w:t>
      </w:r>
      <w:r w:rsidR="003C0053" w:rsidRPr="00813D19">
        <w:rPr>
          <w:iCs/>
          <w:color w:val="000000" w:themeColor="text1"/>
          <w:lang w:val="en-US"/>
        </w:rPr>
        <w:t xml:space="preserve">issue of </w:t>
      </w:r>
      <w:r w:rsidR="0054041D" w:rsidRPr="00813D19">
        <w:rPr>
          <w:iCs/>
          <w:color w:val="000000" w:themeColor="text1"/>
          <w:lang w:val="en-US"/>
        </w:rPr>
        <w:t>the low rate of submissions of reports ha</w:t>
      </w:r>
      <w:r w:rsidR="00A974BB" w:rsidRPr="00813D19">
        <w:rPr>
          <w:iCs/>
          <w:color w:val="000000" w:themeColor="text1"/>
          <w:lang w:val="en-US"/>
        </w:rPr>
        <w:t>d</w:t>
      </w:r>
      <w:r w:rsidR="0054041D" w:rsidRPr="00813D19">
        <w:rPr>
          <w:iCs/>
          <w:color w:val="000000" w:themeColor="text1"/>
          <w:lang w:val="en-US"/>
        </w:rPr>
        <w:t xml:space="preserve"> been </w:t>
      </w:r>
      <w:r w:rsidR="00592AEB" w:rsidRPr="00813D19">
        <w:rPr>
          <w:iCs/>
          <w:color w:val="000000" w:themeColor="text1"/>
          <w:lang w:val="en-US"/>
        </w:rPr>
        <w:t xml:space="preserve">an issue </w:t>
      </w:r>
      <w:r w:rsidR="003C0053" w:rsidRPr="00813D19">
        <w:rPr>
          <w:iCs/>
          <w:color w:val="000000" w:themeColor="text1"/>
          <w:lang w:val="en-US"/>
        </w:rPr>
        <w:t xml:space="preserve">in the </w:t>
      </w:r>
      <w:r w:rsidR="00592AEB" w:rsidRPr="00813D19">
        <w:rPr>
          <w:iCs/>
          <w:color w:val="000000" w:themeColor="text1"/>
          <w:lang w:val="en-US"/>
        </w:rPr>
        <w:t xml:space="preserve">Committee </w:t>
      </w:r>
      <w:r w:rsidR="003C0053" w:rsidRPr="00813D19">
        <w:rPr>
          <w:iCs/>
          <w:color w:val="000000" w:themeColor="text1"/>
          <w:lang w:val="en-US"/>
        </w:rPr>
        <w:t xml:space="preserve">sessions </w:t>
      </w:r>
      <w:r w:rsidR="00592AEB" w:rsidRPr="00813D19">
        <w:rPr>
          <w:iCs/>
          <w:color w:val="000000" w:themeColor="text1"/>
          <w:lang w:val="en-US"/>
        </w:rPr>
        <w:t>for years</w:t>
      </w:r>
      <w:r w:rsidR="003C0053" w:rsidRPr="00813D19">
        <w:rPr>
          <w:iCs/>
          <w:color w:val="000000" w:themeColor="text1"/>
          <w:lang w:val="en-US"/>
        </w:rPr>
        <w:t xml:space="preserve">, </w:t>
      </w:r>
      <w:r w:rsidR="00A974BB" w:rsidRPr="00813D19">
        <w:rPr>
          <w:iCs/>
          <w:color w:val="000000" w:themeColor="text1"/>
          <w:lang w:val="en-US"/>
        </w:rPr>
        <w:t xml:space="preserve">and, secondly, </w:t>
      </w:r>
      <w:r w:rsidR="003C0053" w:rsidRPr="00813D19">
        <w:rPr>
          <w:iCs/>
          <w:color w:val="000000" w:themeColor="text1"/>
          <w:lang w:val="en-US"/>
        </w:rPr>
        <w:t xml:space="preserve">the reform of the periodic reports </w:t>
      </w:r>
      <w:r w:rsidR="00DB4ACF" w:rsidRPr="00813D19">
        <w:rPr>
          <w:iCs/>
          <w:color w:val="000000" w:themeColor="text1"/>
          <w:lang w:val="en-US"/>
        </w:rPr>
        <w:t xml:space="preserve">was linked to </w:t>
      </w:r>
      <w:r w:rsidR="003C0053" w:rsidRPr="00813D19">
        <w:rPr>
          <w:iCs/>
          <w:color w:val="000000" w:themeColor="text1"/>
          <w:lang w:val="en-US"/>
        </w:rPr>
        <w:t xml:space="preserve">the adoption of the results frameworks. </w:t>
      </w:r>
      <w:r w:rsidR="00A974BB" w:rsidRPr="00813D19">
        <w:rPr>
          <w:iCs/>
          <w:color w:val="000000" w:themeColor="text1"/>
          <w:lang w:val="en-US"/>
        </w:rPr>
        <w:t>One of the main reasons t</w:t>
      </w:r>
      <w:r w:rsidR="003C0053" w:rsidRPr="00813D19">
        <w:rPr>
          <w:iCs/>
          <w:color w:val="000000" w:themeColor="text1"/>
          <w:lang w:val="en-US"/>
        </w:rPr>
        <w:t xml:space="preserve">he General Assembly </w:t>
      </w:r>
      <w:r w:rsidR="000F72B5">
        <w:rPr>
          <w:iCs/>
          <w:color w:val="000000" w:themeColor="text1"/>
          <w:lang w:val="en-US"/>
        </w:rPr>
        <w:t xml:space="preserve">had </w:t>
      </w:r>
      <w:r w:rsidR="003C0053" w:rsidRPr="00813D19">
        <w:rPr>
          <w:iCs/>
          <w:color w:val="000000" w:themeColor="text1"/>
          <w:lang w:val="en-US"/>
        </w:rPr>
        <w:t xml:space="preserve">decided </w:t>
      </w:r>
      <w:r w:rsidR="00592AEB" w:rsidRPr="00813D19">
        <w:rPr>
          <w:iCs/>
          <w:color w:val="000000" w:themeColor="text1"/>
          <w:lang w:val="en-US"/>
        </w:rPr>
        <w:t xml:space="preserve">in 2017 </w:t>
      </w:r>
      <w:r w:rsidR="003C0053" w:rsidRPr="00813D19">
        <w:rPr>
          <w:iCs/>
          <w:color w:val="000000" w:themeColor="text1"/>
          <w:lang w:val="en-US"/>
        </w:rPr>
        <w:t>to re</w:t>
      </w:r>
      <w:r w:rsidR="00A974BB" w:rsidRPr="00813D19">
        <w:rPr>
          <w:iCs/>
          <w:color w:val="000000" w:themeColor="text1"/>
          <w:lang w:val="en-US"/>
        </w:rPr>
        <w:t xml:space="preserve">form the system was </w:t>
      </w:r>
      <w:r w:rsidR="003C0053" w:rsidRPr="00813D19">
        <w:rPr>
          <w:iCs/>
          <w:color w:val="000000" w:themeColor="text1"/>
          <w:lang w:val="en-US"/>
        </w:rPr>
        <w:t xml:space="preserve">to be able </w:t>
      </w:r>
      <w:r w:rsidR="00A974BB" w:rsidRPr="00813D19">
        <w:rPr>
          <w:iCs/>
          <w:color w:val="000000" w:themeColor="text1"/>
          <w:lang w:val="en-US"/>
        </w:rPr>
        <w:t>to develop a system of capacity</w:t>
      </w:r>
      <w:r w:rsidR="000F72B5">
        <w:rPr>
          <w:iCs/>
          <w:color w:val="000000" w:themeColor="text1"/>
          <w:lang w:val="en-US"/>
        </w:rPr>
        <w:t xml:space="preserve"> </w:t>
      </w:r>
      <w:r w:rsidR="003C0053" w:rsidRPr="00813D19">
        <w:rPr>
          <w:iCs/>
          <w:color w:val="000000" w:themeColor="text1"/>
          <w:lang w:val="en-US"/>
        </w:rPr>
        <w:t>b</w:t>
      </w:r>
      <w:r w:rsidR="00A974BB" w:rsidRPr="00813D19">
        <w:rPr>
          <w:iCs/>
          <w:color w:val="000000" w:themeColor="text1"/>
          <w:lang w:val="en-US"/>
        </w:rPr>
        <w:t>uilding around periodic reports</w:t>
      </w:r>
      <w:r w:rsidR="003C0053" w:rsidRPr="00813D19">
        <w:rPr>
          <w:iCs/>
          <w:color w:val="000000" w:themeColor="text1"/>
          <w:lang w:val="en-US"/>
        </w:rPr>
        <w:t xml:space="preserve">. </w:t>
      </w:r>
      <w:r w:rsidR="00A974BB" w:rsidRPr="00813D19">
        <w:rPr>
          <w:iCs/>
          <w:color w:val="000000" w:themeColor="text1"/>
          <w:lang w:val="en-US"/>
        </w:rPr>
        <w:t xml:space="preserve">In this </w:t>
      </w:r>
      <w:r w:rsidR="000B5D20" w:rsidRPr="00813D19">
        <w:rPr>
          <w:iCs/>
          <w:color w:val="000000" w:themeColor="text1"/>
          <w:lang w:val="en-US"/>
        </w:rPr>
        <w:t>regard</w:t>
      </w:r>
      <w:r w:rsidR="00A974BB" w:rsidRPr="00813D19">
        <w:rPr>
          <w:iCs/>
          <w:color w:val="000000" w:themeColor="text1"/>
          <w:lang w:val="en-US"/>
        </w:rPr>
        <w:t xml:space="preserve">, agenda item </w:t>
      </w:r>
      <w:r w:rsidR="003C0053" w:rsidRPr="00813D19">
        <w:rPr>
          <w:iCs/>
          <w:color w:val="000000" w:themeColor="text1"/>
          <w:lang w:val="en-US"/>
        </w:rPr>
        <w:t xml:space="preserve">8 </w:t>
      </w:r>
      <w:r w:rsidR="000B5D20" w:rsidRPr="00813D19">
        <w:rPr>
          <w:iCs/>
          <w:color w:val="000000" w:themeColor="text1"/>
          <w:lang w:val="en-US"/>
        </w:rPr>
        <w:t>dealt</w:t>
      </w:r>
      <w:r w:rsidR="00A974BB" w:rsidRPr="00813D19">
        <w:rPr>
          <w:iCs/>
          <w:color w:val="000000" w:themeColor="text1"/>
          <w:lang w:val="en-US"/>
        </w:rPr>
        <w:t xml:space="preserve"> </w:t>
      </w:r>
      <w:r w:rsidR="000B5D20" w:rsidRPr="00813D19">
        <w:rPr>
          <w:iCs/>
          <w:color w:val="000000" w:themeColor="text1"/>
          <w:lang w:val="en-US"/>
        </w:rPr>
        <w:t xml:space="preserve">directly with </w:t>
      </w:r>
      <w:r w:rsidR="00A974BB" w:rsidRPr="00813D19">
        <w:rPr>
          <w:iCs/>
          <w:color w:val="000000" w:themeColor="text1"/>
          <w:lang w:val="en-US"/>
        </w:rPr>
        <w:t xml:space="preserve">the </w:t>
      </w:r>
      <w:r w:rsidR="003C0053" w:rsidRPr="00813D19">
        <w:rPr>
          <w:iCs/>
          <w:color w:val="000000" w:themeColor="text1"/>
          <w:lang w:val="en-US"/>
        </w:rPr>
        <w:t>question o</w:t>
      </w:r>
      <w:r w:rsidR="00A974BB" w:rsidRPr="00813D19">
        <w:rPr>
          <w:iCs/>
          <w:color w:val="000000" w:themeColor="text1"/>
          <w:lang w:val="en-US"/>
        </w:rPr>
        <w:t xml:space="preserve">f </w:t>
      </w:r>
      <w:r w:rsidR="000F72B5">
        <w:rPr>
          <w:iCs/>
          <w:color w:val="000000" w:themeColor="text1"/>
          <w:lang w:val="en-US"/>
        </w:rPr>
        <w:t xml:space="preserve">the </w:t>
      </w:r>
      <w:r w:rsidR="006B5622" w:rsidRPr="00813D19">
        <w:rPr>
          <w:iCs/>
          <w:color w:val="000000" w:themeColor="text1"/>
          <w:lang w:val="en-US"/>
        </w:rPr>
        <w:t>reform of periodic reporting</w:t>
      </w:r>
      <w:r w:rsidR="003C0053" w:rsidRPr="00813D19">
        <w:rPr>
          <w:iCs/>
          <w:color w:val="000000" w:themeColor="text1"/>
          <w:lang w:val="en-US"/>
        </w:rPr>
        <w:t xml:space="preserve">. </w:t>
      </w:r>
      <w:r w:rsidR="00A974BB" w:rsidRPr="00813D19">
        <w:rPr>
          <w:iCs/>
          <w:color w:val="000000" w:themeColor="text1"/>
          <w:lang w:val="en-US"/>
        </w:rPr>
        <w:t xml:space="preserve">The Secretary </w:t>
      </w:r>
      <w:r w:rsidR="003C0053" w:rsidRPr="00813D19">
        <w:rPr>
          <w:iCs/>
          <w:color w:val="000000" w:themeColor="text1"/>
          <w:lang w:val="en-US"/>
        </w:rPr>
        <w:t xml:space="preserve">therefore </w:t>
      </w:r>
      <w:r w:rsidR="00A974BB" w:rsidRPr="00813D19">
        <w:rPr>
          <w:iCs/>
          <w:color w:val="000000" w:themeColor="text1"/>
          <w:lang w:val="en-US"/>
        </w:rPr>
        <w:t xml:space="preserve">felt that </w:t>
      </w:r>
      <w:r w:rsidR="003C0053" w:rsidRPr="00813D19">
        <w:rPr>
          <w:iCs/>
          <w:color w:val="000000" w:themeColor="text1"/>
          <w:lang w:val="en-US"/>
        </w:rPr>
        <w:t xml:space="preserve">it might be more appropriate to include </w:t>
      </w:r>
      <w:r w:rsidR="000F72B5" w:rsidRPr="00813D19">
        <w:rPr>
          <w:iCs/>
          <w:color w:val="000000" w:themeColor="text1"/>
          <w:lang w:val="en-US"/>
        </w:rPr>
        <w:t xml:space="preserve">a reference to these debates </w:t>
      </w:r>
      <w:r w:rsidR="000B5D20" w:rsidRPr="00813D19">
        <w:rPr>
          <w:iCs/>
          <w:color w:val="000000" w:themeColor="text1"/>
          <w:lang w:val="en-US"/>
        </w:rPr>
        <w:t>under agenda item 8</w:t>
      </w:r>
      <w:r w:rsidR="00A974BB" w:rsidRPr="00813D19">
        <w:rPr>
          <w:iCs/>
          <w:color w:val="000000" w:themeColor="text1"/>
          <w:lang w:val="en-US"/>
        </w:rPr>
        <w:t xml:space="preserve">, as </w:t>
      </w:r>
      <w:r w:rsidR="000B5D20" w:rsidRPr="00813D19">
        <w:rPr>
          <w:iCs/>
          <w:color w:val="000000" w:themeColor="text1"/>
          <w:lang w:val="en-US"/>
        </w:rPr>
        <w:t xml:space="preserve">item 8 </w:t>
      </w:r>
      <w:r w:rsidR="000F72B5">
        <w:rPr>
          <w:iCs/>
          <w:color w:val="000000" w:themeColor="text1"/>
          <w:lang w:val="en-US"/>
        </w:rPr>
        <w:t>would</w:t>
      </w:r>
      <w:r w:rsidR="000F72B5" w:rsidRPr="00813D19">
        <w:rPr>
          <w:iCs/>
          <w:color w:val="000000" w:themeColor="text1"/>
          <w:lang w:val="en-US"/>
        </w:rPr>
        <w:t xml:space="preserve"> </w:t>
      </w:r>
      <w:r w:rsidR="003C0053" w:rsidRPr="00813D19">
        <w:rPr>
          <w:iCs/>
          <w:color w:val="000000" w:themeColor="text1"/>
          <w:lang w:val="en-US"/>
        </w:rPr>
        <w:t xml:space="preserve">serve as the basis for </w:t>
      </w:r>
      <w:r w:rsidR="000B5D20" w:rsidRPr="00813D19">
        <w:rPr>
          <w:iCs/>
          <w:color w:val="000000" w:themeColor="text1"/>
          <w:lang w:val="en-US"/>
        </w:rPr>
        <w:t xml:space="preserve">the reform </w:t>
      </w:r>
      <w:r w:rsidR="003C0053" w:rsidRPr="00813D19">
        <w:rPr>
          <w:iCs/>
          <w:color w:val="000000" w:themeColor="text1"/>
          <w:lang w:val="en-US"/>
        </w:rPr>
        <w:t xml:space="preserve">and </w:t>
      </w:r>
      <w:r w:rsidR="000B5D20" w:rsidRPr="00813D19">
        <w:rPr>
          <w:iCs/>
          <w:color w:val="000000" w:themeColor="text1"/>
          <w:lang w:val="en-US"/>
        </w:rPr>
        <w:t xml:space="preserve">hence the reason for the </w:t>
      </w:r>
      <w:r w:rsidR="003C0053" w:rsidRPr="00813D19">
        <w:rPr>
          <w:iCs/>
          <w:color w:val="000000" w:themeColor="text1"/>
          <w:lang w:val="en-US"/>
        </w:rPr>
        <w:t xml:space="preserve">suspension </w:t>
      </w:r>
      <w:r w:rsidR="000B5D20" w:rsidRPr="00813D19">
        <w:rPr>
          <w:iCs/>
          <w:color w:val="000000" w:themeColor="text1"/>
          <w:lang w:val="en-US"/>
        </w:rPr>
        <w:t xml:space="preserve">of reporting in order to adapt the form, but also </w:t>
      </w:r>
      <w:r w:rsidR="003C0053" w:rsidRPr="00813D19">
        <w:rPr>
          <w:iCs/>
          <w:color w:val="000000" w:themeColor="text1"/>
          <w:lang w:val="en-US"/>
        </w:rPr>
        <w:t xml:space="preserve">to develop the </w:t>
      </w:r>
      <w:r w:rsidR="000B5D20" w:rsidRPr="00813D19">
        <w:rPr>
          <w:iCs/>
          <w:color w:val="000000" w:themeColor="text1"/>
          <w:lang w:val="en-US"/>
        </w:rPr>
        <w:t>associated capacity-</w:t>
      </w:r>
      <w:r w:rsidR="003C0053" w:rsidRPr="00813D19">
        <w:rPr>
          <w:iCs/>
          <w:color w:val="000000" w:themeColor="text1"/>
          <w:lang w:val="en-US"/>
        </w:rPr>
        <w:t>building</w:t>
      </w:r>
      <w:r w:rsidR="000B5D20" w:rsidRPr="00813D19">
        <w:rPr>
          <w:iCs/>
          <w:color w:val="000000" w:themeColor="text1"/>
          <w:lang w:val="en-US"/>
        </w:rPr>
        <w:t xml:space="preserve"> programme</w:t>
      </w:r>
      <w:r w:rsidR="003C0053" w:rsidRPr="00813D19">
        <w:rPr>
          <w:iCs/>
          <w:color w:val="000000" w:themeColor="text1"/>
          <w:lang w:val="en-US"/>
        </w:rPr>
        <w:t xml:space="preserve">, which </w:t>
      </w:r>
      <w:r w:rsidR="000B5D20" w:rsidRPr="00813D19">
        <w:rPr>
          <w:iCs/>
          <w:color w:val="000000" w:themeColor="text1"/>
          <w:lang w:val="en-US"/>
        </w:rPr>
        <w:t xml:space="preserve">had </w:t>
      </w:r>
      <w:r w:rsidR="003C0053" w:rsidRPr="00813D19">
        <w:rPr>
          <w:iCs/>
          <w:color w:val="000000" w:themeColor="text1"/>
          <w:lang w:val="en-US"/>
        </w:rPr>
        <w:t xml:space="preserve">been requested </w:t>
      </w:r>
      <w:r w:rsidR="000B5D20" w:rsidRPr="00813D19">
        <w:rPr>
          <w:iCs/>
          <w:color w:val="000000" w:themeColor="text1"/>
          <w:lang w:val="en-US"/>
        </w:rPr>
        <w:t xml:space="preserve">over </w:t>
      </w:r>
      <w:r w:rsidR="003C0053" w:rsidRPr="00813D19">
        <w:rPr>
          <w:iCs/>
          <w:color w:val="000000" w:themeColor="text1"/>
          <w:lang w:val="en-US"/>
        </w:rPr>
        <w:t xml:space="preserve">several </w:t>
      </w:r>
      <w:r w:rsidR="00547952" w:rsidRPr="00813D19">
        <w:rPr>
          <w:iCs/>
          <w:color w:val="000000" w:themeColor="text1"/>
          <w:lang w:val="en-US"/>
        </w:rPr>
        <w:t xml:space="preserve">Committee </w:t>
      </w:r>
      <w:r w:rsidR="003C0053" w:rsidRPr="00813D19">
        <w:rPr>
          <w:iCs/>
          <w:color w:val="000000" w:themeColor="text1"/>
          <w:lang w:val="en-US"/>
        </w:rPr>
        <w:t xml:space="preserve">sessions. </w:t>
      </w:r>
      <w:r w:rsidR="000B5D20" w:rsidRPr="00813D19">
        <w:rPr>
          <w:iCs/>
          <w:color w:val="000000" w:themeColor="text1"/>
          <w:lang w:val="en-US"/>
        </w:rPr>
        <w:t xml:space="preserve">The Secretary thus suggested that </w:t>
      </w:r>
      <w:r w:rsidR="00547952" w:rsidRPr="00813D19">
        <w:rPr>
          <w:iCs/>
          <w:color w:val="000000" w:themeColor="text1"/>
          <w:lang w:val="en-US"/>
        </w:rPr>
        <w:t xml:space="preserve">it </w:t>
      </w:r>
      <w:r w:rsidR="003C0053" w:rsidRPr="00813D19">
        <w:rPr>
          <w:iCs/>
          <w:color w:val="000000" w:themeColor="text1"/>
          <w:lang w:val="en-US"/>
        </w:rPr>
        <w:t xml:space="preserve">may </w:t>
      </w:r>
      <w:r w:rsidR="00547952" w:rsidRPr="00813D19">
        <w:rPr>
          <w:iCs/>
          <w:color w:val="000000" w:themeColor="text1"/>
          <w:lang w:val="en-US"/>
        </w:rPr>
        <w:t xml:space="preserve">be </w:t>
      </w:r>
      <w:r w:rsidR="000B5D20" w:rsidRPr="00813D19">
        <w:rPr>
          <w:iCs/>
          <w:color w:val="000000" w:themeColor="text1"/>
          <w:lang w:val="en-US"/>
        </w:rPr>
        <w:t xml:space="preserve">more </w:t>
      </w:r>
      <w:r w:rsidR="003C0053" w:rsidRPr="00813D19">
        <w:rPr>
          <w:iCs/>
          <w:color w:val="000000" w:themeColor="text1"/>
          <w:lang w:val="en-US"/>
        </w:rPr>
        <w:t xml:space="preserve">appropriate </w:t>
      </w:r>
      <w:r w:rsidR="00547952" w:rsidRPr="00813D19">
        <w:rPr>
          <w:iCs/>
          <w:color w:val="000000" w:themeColor="text1"/>
          <w:lang w:val="en-US"/>
        </w:rPr>
        <w:t xml:space="preserve">for Djibouti </w:t>
      </w:r>
      <w:r w:rsidR="003C0053" w:rsidRPr="00813D19">
        <w:rPr>
          <w:iCs/>
          <w:color w:val="000000" w:themeColor="text1"/>
          <w:lang w:val="en-US"/>
        </w:rPr>
        <w:t xml:space="preserve">to raise this matter under </w:t>
      </w:r>
      <w:r w:rsidR="000B5D20" w:rsidRPr="00813D19">
        <w:rPr>
          <w:iCs/>
          <w:color w:val="000000" w:themeColor="text1"/>
          <w:lang w:val="en-US"/>
        </w:rPr>
        <w:t xml:space="preserve">item 8, which would also </w:t>
      </w:r>
      <w:r w:rsidR="00547952" w:rsidRPr="00813D19">
        <w:rPr>
          <w:iCs/>
          <w:color w:val="000000" w:themeColor="text1"/>
          <w:lang w:val="en-US"/>
        </w:rPr>
        <w:t xml:space="preserve">allow some </w:t>
      </w:r>
      <w:r w:rsidR="003C0053" w:rsidRPr="00813D19">
        <w:rPr>
          <w:iCs/>
          <w:color w:val="000000" w:themeColor="text1"/>
          <w:lang w:val="en-US"/>
        </w:rPr>
        <w:t xml:space="preserve">time to </w:t>
      </w:r>
      <w:r w:rsidR="000B5D20" w:rsidRPr="00813D19">
        <w:rPr>
          <w:iCs/>
          <w:color w:val="000000" w:themeColor="text1"/>
          <w:lang w:val="en-US"/>
        </w:rPr>
        <w:t xml:space="preserve">come up with </w:t>
      </w:r>
      <w:r w:rsidR="003C0053" w:rsidRPr="00813D19">
        <w:rPr>
          <w:iCs/>
          <w:color w:val="000000" w:themeColor="text1"/>
          <w:lang w:val="en-US"/>
        </w:rPr>
        <w:t>suitable wording.</w:t>
      </w:r>
    </w:p>
    <w:p w14:paraId="3541A779" w14:textId="42E9EE3A" w:rsidR="00EB64E9" w:rsidRPr="00813D19" w:rsidRDefault="00EB64E9" w:rsidP="002018FA">
      <w:pPr>
        <w:pStyle w:val="Orateurengris"/>
        <w:spacing w:before="12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delegation of Djibouti</w:t>
      </w:r>
      <w:r w:rsidRPr="00813D19">
        <w:rPr>
          <w:iCs/>
          <w:color w:val="000000" w:themeColor="text1"/>
          <w:lang w:val="en-US"/>
        </w:rPr>
        <w:t xml:space="preserve"> </w:t>
      </w:r>
      <w:r w:rsidR="003E2CE1" w:rsidRPr="00813D19">
        <w:rPr>
          <w:iCs/>
          <w:color w:val="000000" w:themeColor="text1"/>
          <w:lang w:val="en-US"/>
        </w:rPr>
        <w:t xml:space="preserve">thanked the Secretary for his clarification and for </w:t>
      </w:r>
      <w:r w:rsidR="00547952" w:rsidRPr="00813D19">
        <w:rPr>
          <w:iCs/>
          <w:color w:val="000000" w:themeColor="text1"/>
          <w:lang w:val="en-US"/>
        </w:rPr>
        <w:t xml:space="preserve">identifying </w:t>
      </w:r>
      <w:r w:rsidR="003E2CE1" w:rsidRPr="00813D19">
        <w:rPr>
          <w:iCs/>
          <w:color w:val="000000" w:themeColor="text1"/>
          <w:lang w:val="en-US"/>
        </w:rPr>
        <w:t xml:space="preserve">the appropriate </w:t>
      </w:r>
      <w:r w:rsidR="00547952" w:rsidRPr="00813D19">
        <w:rPr>
          <w:iCs/>
          <w:color w:val="000000" w:themeColor="text1"/>
          <w:lang w:val="en-US"/>
        </w:rPr>
        <w:t xml:space="preserve">place for this </w:t>
      </w:r>
      <w:r w:rsidR="003E2CE1" w:rsidRPr="00813D19">
        <w:rPr>
          <w:iCs/>
          <w:color w:val="000000" w:themeColor="text1"/>
          <w:lang w:val="en-US"/>
        </w:rPr>
        <w:t>wording.</w:t>
      </w:r>
    </w:p>
    <w:p w14:paraId="072D1445" w14:textId="23D49B12" w:rsidR="002018FA" w:rsidRPr="00813D19" w:rsidRDefault="00EB64E9" w:rsidP="00322E46">
      <w:pPr>
        <w:pStyle w:val="Orateurengris"/>
        <w:spacing w:after="0"/>
        <w:ind w:left="709" w:hanging="709"/>
        <w:rPr>
          <w:i/>
          <w:iCs/>
          <w:color w:val="000000" w:themeColor="text1"/>
          <w:lang w:val="en-US"/>
        </w:rPr>
      </w:pPr>
      <w:r w:rsidRPr="00813D19">
        <w:rPr>
          <w:iCs/>
          <w:color w:val="000000" w:themeColor="text1"/>
          <w:lang w:val="en-US"/>
        </w:rPr>
        <w:t xml:space="preserve">The </w:t>
      </w:r>
      <w:r w:rsidRPr="00813D19">
        <w:rPr>
          <w:b/>
          <w:iCs/>
          <w:color w:val="000000" w:themeColor="text1"/>
          <w:lang w:val="en-US"/>
        </w:rPr>
        <w:t>Chairperson</w:t>
      </w:r>
      <w:r w:rsidRPr="00813D19">
        <w:rPr>
          <w:iCs/>
          <w:color w:val="000000" w:themeColor="text1"/>
          <w:lang w:val="en-US"/>
        </w:rPr>
        <w:t xml:space="preserve"> </w:t>
      </w:r>
      <w:r w:rsidR="003A39C7" w:rsidRPr="00813D19">
        <w:rPr>
          <w:iCs/>
          <w:color w:val="000000" w:themeColor="text1"/>
          <w:lang w:val="en-US"/>
        </w:rPr>
        <w:t>confirmed</w:t>
      </w:r>
      <w:r w:rsidRPr="00813D19">
        <w:rPr>
          <w:iCs/>
          <w:color w:val="000000" w:themeColor="text1"/>
          <w:lang w:val="en-US"/>
        </w:rPr>
        <w:t xml:space="preserve"> that there would be no amendment in parag</w:t>
      </w:r>
      <w:r w:rsidR="00547952" w:rsidRPr="00813D19">
        <w:rPr>
          <w:iCs/>
          <w:color w:val="000000" w:themeColor="text1"/>
          <w:lang w:val="en-US"/>
        </w:rPr>
        <w:t xml:space="preserve">raph 6, and thus </w:t>
      </w:r>
      <w:r w:rsidRPr="00813D19">
        <w:rPr>
          <w:iCs/>
          <w:color w:val="000000" w:themeColor="text1"/>
          <w:lang w:val="en-US"/>
        </w:rPr>
        <w:t>returne</w:t>
      </w:r>
      <w:r w:rsidR="008F4CBA" w:rsidRPr="00813D19">
        <w:rPr>
          <w:iCs/>
          <w:color w:val="000000" w:themeColor="text1"/>
          <w:lang w:val="en-US"/>
        </w:rPr>
        <w:t xml:space="preserve">d to paragraphs 7 and 8, which </w:t>
      </w:r>
      <w:r w:rsidRPr="00813D19">
        <w:rPr>
          <w:iCs/>
          <w:color w:val="000000" w:themeColor="text1"/>
          <w:lang w:val="en-US"/>
        </w:rPr>
        <w:t xml:space="preserve">were duly adopted. </w:t>
      </w:r>
      <w:r w:rsidRPr="00813D19">
        <w:rPr>
          <w:b/>
          <w:iCs/>
          <w:color w:val="000000" w:themeColor="text1"/>
          <w:lang w:val="en-US"/>
        </w:rPr>
        <w:t>The Chairperson declared Decision 13.COM 7.a adopted</w:t>
      </w:r>
      <w:r w:rsidR="0016273D">
        <w:rPr>
          <w:iCs/>
          <w:color w:val="000000" w:themeColor="text1"/>
          <w:lang w:val="en-US"/>
        </w:rPr>
        <w:t>.</w:t>
      </w:r>
    </w:p>
    <w:p w14:paraId="568C345A" w14:textId="639602F2" w:rsidR="00702608" w:rsidRPr="00813D19" w:rsidRDefault="00702608" w:rsidP="0016273D">
      <w:pPr>
        <w:pStyle w:val="Orateurengris"/>
        <w:numPr>
          <w:ilvl w:val="0"/>
          <w:numId w:val="0"/>
        </w:numPr>
        <w:spacing w:before="360" w:after="60"/>
        <w:outlineLvl w:val="0"/>
        <w:rPr>
          <w:b/>
          <w:color w:val="000000" w:themeColor="text1"/>
          <w:u w:val="single"/>
          <w:lang w:val="en-US"/>
        </w:rPr>
      </w:pPr>
      <w:r w:rsidRPr="00813D19">
        <w:rPr>
          <w:b/>
          <w:color w:val="000000" w:themeColor="text1"/>
          <w:u w:val="single"/>
          <w:lang w:val="en-US"/>
        </w:rPr>
        <w:t>ITEM 7</w:t>
      </w:r>
      <w:r w:rsidR="002018FA" w:rsidRPr="00813D19">
        <w:rPr>
          <w:b/>
          <w:color w:val="000000" w:themeColor="text1"/>
          <w:u w:val="single"/>
          <w:lang w:val="en-US"/>
        </w:rPr>
        <w:t>.b</w:t>
      </w:r>
      <w:r w:rsidRPr="00813D19">
        <w:rPr>
          <w:b/>
          <w:color w:val="000000" w:themeColor="text1"/>
          <w:u w:val="single"/>
          <w:lang w:val="en-US"/>
        </w:rPr>
        <w:t xml:space="preserve"> OF THE AGENDA</w:t>
      </w:r>
    </w:p>
    <w:p w14:paraId="61D976FD" w14:textId="6AC1B2FA" w:rsidR="002018FA" w:rsidRPr="00813D19" w:rsidRDefault="002018FA" w:rsidP="0016273D">
      <w:pPr>
        <w:pStyle w:val="Orateurengris"/>
        <w:numPr>
          <w:ilvl w:val="0"/>
          <w:numId w:val="0"/>
        </w:numPr>
        <w:outlineLvl w:val="1"/>
        <w:rPr>
          <w:b/>
          <w:color w:val="000000" w:themeColor="text1"/>
          <w:lang w:val="en-US"/>
        </w:rPr>
      </w:pPr>
      <w:r w:rsidRPr="00813D19">
        <w:rPr>
          <w:b/>
          <w:color w:val="000000" w:themeColor="text1"/>
          <w:lang w:val="en-US"/>
        </w:rPr>
        <w:t>EXAMINATION OF THE REPORTS OF STATES PARTIES ON THE CURRENT STATUS OF ELEMENTS INSCRIBED ON THE LIST OF INTANGIBLE CULTURAL HERITAGE IN NEED OF URGENT SAFEGUARDING</w:t>
      </w:r>
    </w:p>
    <w:p w14:paraId="79A485B8" w14:textId="619E3921" w:rsidR="002018FA" w:rsidRPr="00813D19" w:rsidRDefault="002018FA" w:rsidP="0016273D">
      <w:pPr>
        <w:pStyle w:val="Orateurengris"/>
        <w:numPr>
          <w:ilvl w:val="0"/>
          <w:numId w:val="0"/>
        </w:numPr>
        <w:spacing w:after="60"/>
        <w:ind w:left="709"/>
        <w:rPr>
          <w:color w:val="000000" w:themeColor="text1"/>
          <w:lang w:val="en-US"/>
        </w:rPr>
      </w:pPr>
      <w:r w:rsidRPr="00813D19">
        <w:rPr>
          <w:b/>
          <w:color w:val="000000" w:themeColor="text1"/>
          <w:lang w:val="en-US"/>
        </w:rPr>
        <w:t>Document:</w:t>
      </w:r>
      <w:r w:rsidRPr="00813D19">
        <w:rPr>
          <w:b/>
          <w:color w:val="000000" w:themeColor="text1"/>
          <w:lang w:val="en-US"/>
        </w:rPr>
        <w:tab/>
      </w:r>
      <w:hyperlink r:id="rId49" w:history="1">
        <w:r w:rsidRPr="00813D19">
          <w:rPr>
            <w:rStyle w:val="Hyperlink"/>
            <w:bCs/>
            <w:i/>
            <w:lang w:val="en-US"/>
          </w:rPr>
          <w:t>ITH/18/13.COM/7.b</w:t>
        </w:r>
      </w:hyperlink>
    </w:p>
    <w:p w14:paraId="78296439" w14:textId="7780AF13" w:rsidR="00A330CC" w:rsidRPr="0016273D" w:rsidRDefault="0016273D" w:rsidP="00547952">
      <w:pPr>
        <w:pStyle w:val="Orateurengris"/>
        <w:numPr>
          <w:ilvl w:val="0"/>
          <w:numId w:val="0"/>
        </w:numPr>
        <w:spacing w:after="0"/>
        <w:ind w:left="709"/>
        <w:rPr>
          <w:bCs/>
          <w:color w:val="000000" w:themeColor="text1"/>
          <w:lang w:val="en-US"/>
        </w:rPr>
      </w:pPr>
      <w:r>
        <w:rPr>
          <w:b/>
          <w:color w:val="000000" w:themeColor="text1"/>
          <w:lang w:val="en-US"/>
        </w:rPr>
        <w:t>Reports:</w:t>
      </w:r>
      <w:r w:rsidR="005020CA" w:rsidRPr="00813D19">
        <w:rPr>
          <w:b/>
          <w:color w:val="000000" w:themeColor="text1"/>
          <w:lang w:val="en-US"/>
        </w:rPr>
        <w:tab/>
      </w:r>
      <w:hyperlink r:id="rId50" w:history="1">
        <w:r w:rsidR="00EB5882" w:rsidRPr="00813D19">
          <w:rPr>
            <w:rStyle w:val="Hyperlink"/>
            <w:i/>
            <w:lang w:val="en-US"/>
          </w:rPr>
          <w:t>16 reports</w:t>
        </w:r>
      </w:hyperlink>
    </w:p>
    <w:p w14:paraId="55675E96" w14:textId="4EACED94" w:rsidR="002018FA" w:rsidRPr="0016273D" w:rsidRDefault="002018FA" w:rsidP="0016273D">
      <w:pPr>
        <w:pStyle w:val="Orateurengris"/>
        <w:numPr>
          <w:ilvl w:val="0"/>
          <w:numId w:val="0"/>
        </w:numPr>
        <w:spacing w:before="60" w:after="240"/>
        <w:ind w:left="709"/>
        <w:rPr>
          <w:rStyle w:val="Hyperlink"/>
          <w:i/>
          <w:color w:val="auto"/>
          <w:lang w:val="en-US"/>
        </w:rPr>
      </w:pPr>
      <w:r w:rsidRPr="00813D19">
        <w:rPr>
          <w:b/>
          <w:color w:val="000000" w:themeColor="text1"/>
          <w:lang w:val="en-US"/>
        </w:rPr>
        <w:t>Decision</w:t>
      </w:r>
      <w:r w:rsidRPr="0016273D">
        <w:rPr>
          <w:b/>
          <w:bCs/>
          <w:color w:val="000000" w:themeColor="text1"/>
          <w:lang w:val="en-US"/>
        </w:rPr>
        <w:t>:</w:t>
      </w:r>
      <w:r w:rsidRPr="00813D19">
        <w:rPr>
          <w:color w:val="000000" w:themeColor="text1"/>
          <w:lang w:val="en-US"/>
        </w:rPr>
        <w:tab/>
      </w:r>
      <w:hyperlink r:id="rId51" w:history="1">
        <w:r w:rsidRPr="00813D19">
          <w:rPr>
            <w:rStyle w:val="Hyperlink"/>
            <w:i/>
            <w:lang w:val="en-US"/>
          </w:rPr>
          <w:t>13.COM 7.b</w:t>
        </w:r>
      </w:hyperlink>
    </w:p>
    <w:p w14:paraId="306FDF0C" w14:textId="1EE09017" w:rsidR="00A636C7" w:rsidRPr="00813D19" w:rsidRDefault="00F71FA4" w:rsidP="00322E46">
      <w:pPr>
        <w:pStyle w:val="Orateurengris"/>
        <w:widowControl w:val="0"/>
        <w:spacing w:after="0"/>
        <w:ind w:left="709" w:hanging="709"/>
        <w:rPr>
          <w:lang w:val="en-US"/>
        </w:rPr>
      </w:pPr>
      <w:r w:rsidRPr="000B6D83">
        <w:rPr>
          <w:color w:val="000000" w:themeColor="text1"/>
          <w:lang w:val="en-US"/>
        </w:rPr>
        <w:t>The</w:t>
      </w:r>
      <w:r w:rsidRPr="002827E3">
        <w:rPr>
          <w:iCs/>
          <w:color w:val="000000" w:themeColor="text1"/>
          <w:lang w:val="en-US"/>
        </w:rPr>
        <w:t xml:space="preserve"> </w:t>
      </w:r>
      <w:r w:rsidRPr="002827E3">
        <w:rPr>
          <w:b/>
          <w:iCs/>
          <w:color w:val="000000" w:themeColor="text1"/>
          <w:lang w:val="en-US"/>
        </w:rPr>
        <w:t>Chairperson</w:t>
      </w:r>
      <w:r w:rsidR="00F8039B" w:rsidRPr="002827E3">
        <w:rPr>
          <w:b/>
          <w:iCs/>
          <w:color w:val="000000" w:themeColor="text1"/>
          <w:lang w:val="en-US"/>
        </w:rPr>
        <w:t xml:space="preserve"> </w:t>
      </w:r>
      <w:r w:rsidR="00020144" w:rsidRPr="002827E3">
        <w:rPr>
          <w:iCs/>
          <w:color w:val="000000" w:themeColor="text1"/>
          <w:lang w:val="en-US"/>
        </w:rPr>
        <w:t>turned to the</w:t>
      </w:r>
      <w:r w:rsidR="00020144" w:rsidRPr="002827E3">
        <w:rPr>
          <w:b/>
          <w:iCs/>
          <w:color w:val="000000" w:themeColor="text1"/>
          <w:lang w:val="en-US"/>
        </w:rPr>
        <w:t xml:space="preserve"> </w:t>
      </w:r>
      <w:r w:rsidR="00C007E5" w:rsidRPr="000B6D83">
        <w:rPr>
          <w:lang w:val="en-US"/>
        </w:rPr>
        <w:t xml:space="preserve">examination of </w:t>
      </w:r>
      <w:r w:rsidR="00020144" w:rsidRPr="000B6D83">
        <w:rPr>
          <w:lang w:val="en-US"/>
        </w:rPr>
        <w:t xml:space="preserve">agenda </w:t>
      </w:r>
      <w:r w:rsidR="00C007E5" w:rsidRPr="000B6D83">
        <w:rPr>
          <w:lang w:val="en-US"/>
        </w:rPr>
        <w:t xml:space="preserve">item 7.b, </w:t>
      </w:r>
      <w:r w:rsidR="008B3CC9" w:rsidRPr="00A5458B">
        <w:rPr>
          <w:lang w:val="en-US"/>
        </w:rPr>
        <w:t>which would begin</w:t>
      </w:r>
      <w:r w:rsidR="00020144" w:rsidRPr="00A5458B">
        <w:rPr>
          <w:lang w:val="en-US"/>
        </w:rPr>
        <w:t xml:space="preserve"> </w:t>
      </w:r>
      <w:r w:rsidR="00C007E5" w:rsidRPr="00A5458B">
        <w:rPr>
          <w:lang w:val="en-US"/>
        </w:rPr>
        <w:t>with a general debate</w:t>
      </w:r>
      <w:r w:rsidR="00C007E5" w:rsidRPr="00813D19">
        <w:rPr>
          <w:lang w:val="en-US"/>
        </w:rPr>
        <w:t xml:space="preserve"> </w:t>
      </w:r>
      <w:r w:rsidR="00020144" w:rsidRPr="00813D19">
        <w:rPr>
          <w:lang w:val="en-US"/>
        </w:rPr>
        <w:t xml:space="preserve">followed by </w:t>
      </w:r>
      <w:r w:rsidR="00C007E5" w:rsidRPr="00813D19">
        <w:rPr>
          <w:lang w:val="en-US"/>
        </w:rPr>
        <w:t xml:space="preserve">the adoption of </w:t>
      </w:r>
      <w:r w:rsidR="00020144" w:rsidRPr="00813D19">
        <w:rPr>
          <w:lang w:val="en-US"/>
        </w:rPr>
        <w:t xml:space="preserve">the </w:t>
      </w:r>
      <w:r w:rsidR="00C007E5" w:rsidRPr="00813D19">
        <w:rPr>
          <w:lang w:val="en-US"/>
        </w:rPr>
        <w:t xml:space="preserve">individual decisions concerning the reports on elements inscribed on the Urgent Safeguarding List. The Bureau </w:t>
      </w:r>
      <w:r w:rsidR="00020144" w:rsidRPr="00813D19">
        <w:rPr>
          <w:lang w:val="en-US"/>
        </w:rPr>
        <w:t xml:space="preserve">had </w:t>
      </w:r>
      <w:r w:rsidR="00813D19" w:rsidRPr="00813D19">
        <w:rPr>
          <w:lang w:val="en-US"/>
        </w:rPr>
        <w:t>previously</w:t>
      </w:r>
      <w:r w:rsidR="00020144" w:rsidRPr="00813D19">
        <w:rPr>
          <w:lang w:val="en-US"/>
        </w:rPr>
        <w:t xml:space="preserve"> discussed the working method on this item</w:t>
      </w:r>
      <w:r w:rsidR="00FE37D4">
        <w:rPr>
          <w:lang w:val="en-US"/>
        </w:rPr>
        <w:t>,</w:t>
      </w:r>
      <w:r w:rsidR="00020144" w:rsidRPr="00813D19">
        <w:rPr>
          <w:lang w:val="en-US"/>
        </w:rPr>
        <w:t xml:space="preserve"> </w:t>
      </w:r>
      <w:r w:rsidR="00FE37D4">
        <w:rPr>
          <w:lang w:val="en-US"/>
        </w:rPr>
        <w:t>which</w:t>
      </w:r>
      <w:r w:rsidR="00FE37D4" w:rsidRPr="00813D19">
        <w:rPr>
          <w:lang w:val="en-US"/>
        </w:rPr>
        <w:t xml:space="preserve"> </w:t>
      </w:r>
      <w:r w:rsidR="00020144" w:rsidRPr="00813D19">
        <w:rPr>
          <w:lang w:val="en-US"/>
        </w:rPr>
        <w:t>would be presented by the Secretary</w:t>
      </w:r>
      <w:r w:rsidR="00C007E5" w:rsidRPr="00813D19">
        <w:rPr>
          <w:lang w:val="en-US"/>
        </w:rPr>
        <w:t xml:space="preserve">. </w:t>
      </w:r>
      <w:r w:rsidR="00020144" w:rsidRPr="00813D19">
        <w:rPr>
          <w:lang w:val="en-US"/>
        </w:rPr>
        <w:t xml:space="preserve">However, the Chairperson </w:t>
      </w:r>
      <w:r w:rsidR="00C007E5" w:rsidRPr="00813D19">
        <w:rPr>
          <w:lang w:val="en-US"/>
        </w:rPr>
        <w:t>propose</w:t>
      </w:r>
      <w:r w:rsidR="00020144" w:rsidRPr="00813D19">
        <w:rPr>
          <w:lang w:val="en-US"/>
        </w:rPr>
        <w:t>d</w:t>
      </w:r>
      <w:r w:rsidR="00C007E5" w:rsidRPr="00813D19">
        <w:rPr>
          <w:lang w:val="en-US"/>
        </w:rPr>
        <w:t xml:space="preserve"> not </w:t>
      </w:r>
      <w:r w:rsidR="00020144" w:rsidRPr="00813D19">
        <w:rPr>
          <w:lang w:val="en-US"/>
        </w:rPr>
        <w:t xml:space="preserve">to </w:t>
      </w:r>
      <w:r w:rsidR="00C007E5" w:rsidRPr="00813D19">
        <w:rPr>
          <w:lang w:val="en-US"/>
        </w:rPr>
        <w:t xml:space="preserve">immediately examine the decision on the report submitted by </w:t>
      </w:r>
      <w:r w:rsidR="00C007E5" w:rsidRPr="00813D19">
        <w:rPr>
          <w:b/>
          <w:lang w:val="en-US"/>
        </w:rPr>
        <w:t xml:space="preserve">Azerbaijan </w:t>
      </w:r>
      <w:r w:rsidR="00C007E5" w:rsidRPr="00813D19">
        <w:rPr>
          <w:lang w:val="en-US"/>
        </w:rPr>
        <w:t xml:space="preserve">on </w:t>
      </w:r>
      <w:r w:rsidR="00C007E5" w:rsidRPr="00813D19">
        <w:rPr>
          <w:b/>
          <w:lang w:val="en-US"/>
        </w:rPr>
        <w:t>Chovqan, a traditional Karabakh horse-riding game in the Republic of Azerbaijan</w:t>
      </w:r>
      <w:r w:rsidR="00C007E5" w:rsidRPr="00813D19">
        <w:rPr>
          <w:lang w:val="en-US"/>
        </w:rPr>
        <w:t xml:space="preserve"> </w:t>
      </w:r>
      <w:r w:rsidR="00A636C7" w:rsidRPr="00813D19">
        <w:rPr>
          <w:lang w:val="en-US"/>
        </w:rPr>
        <w:t>[</w:t>
      </w:r>
      <w:r w:rsidR="003E7512">
        <w:rPr>
          <w:lang w:val="en-US"/>
        </w:rPr>
        <w:t>D</w:t>
      </w:r>
      <w:r w:rsidR="00A636C7" w:rsidRPr="00813D19">
        <w:rPr>
          <w:lang w:val="en-US"/>
        </w:rPr>
        <w:t xml:space="preserve">raft </w:t>
      </w:r>
      <w:r w:rsidR="003E7512">
        <w:rPr>
          <w:lang w:val="en-US"/>
        </w:rPr>
        <w:t>D</w:t>
      </w:r>
      <w:r w:rsidR="00A636C7" w:rsidRPr="00813D19">
        <w:rPr>
          <w:lang w:val="en-US"/>
        </w:rPr>
        <w:t xml:space="preserve">ecision 13.COM 7.b.1] </w:t>
      </w:r>
      <w:r w:rsidR="00011FCA" w:rsidRPr="00813D19">
        <w:rPr>
          <w:lang w:val="en-US"/>
        </w:rPr>
        <w:t>due to on</w:t>
      </w:r>
      <w:r w:rsidR="00020144" w:rsidRPr="00813D19">
        <w:rPr>
          <w:lang w:val="en-US"/>
        </w:rPr>
        <w:t xml:space="preserve">going discussions </w:t>
      </w:r>
      <w:r w:rsidR="00011FCA" w:rsidRPr="00813D19">
        <w:rPr>
          <w:lang w:val="en-US"/>
        </w:rPr>
        <w:t>requiring</w:t>
      </w:r>
      <w:r w:rsidR="00020144" w:rsidRPr="00813D19">
        <w:rPr>
          <w:lang w:val="en-US"/>
        </w:rPr>
        <w:t xml:space="preserve"> </w:t>
      </w:r>
      <w:r w:rsidR="00C007E5" w:rsidRPr="00813D19">
        <w:rPr>
          <w:lang w:val="en-US"/>
        </w:rPr>
        <w:t>more time. Subsequently, the adoption of the chapeau for this item 7.b</w:t>
      </w:r>
      <w:r w:rsidR="00A636C7" w:rsidRPr="00813D19">
        <w:rPr>
          <w:lang w:val="en-US"/>
        </w:rPr>
        <w:t>.</w:t>
      </w:r>
      <w:r w:rsidR="00020144" w:rsidRPr="00813D19">
        <w:rPr>
          <w:lang w:val="en-US"/>
        </w:rPr>
        <w:t xml:space="preserve"> would be set aside for later</w:t>
      </w:r>
      <w:r w:rsidR="00C007E5" w:rsidRPr="00813D19">
        <w:rPr>
          <w:lang w:val="en-US"/>
        </w:rPr>
        <w:t>.</w:t>
      </w:r>
      <w:r w:rsidR="002B66A5" w:rsidRPr="00813D19">
        <w:rPr>
          <w:lang w:val="en-US"/>
        </w:rPr>
        <w:t xml:space="preserve"> </w:t>
      </w:r>
      <w:r w:rsidR="00A636C7" w:rsidRPr="00813D19">
        <w:rPr>
          <w:lang w:val="en-US"/>
        </w:rPr>
        <w:t xml:space="preserve">All the other reports would be </w:t>
      </w:r>
      <w:r w:rsidR="0016273D">
        <w:rPr>
          <w:lang w:val="en-US"/>
        </w:rPr>
        <w:t>examined as originally planned.</w:t>
      </w:r>
    </w:p>
    <w:p w14:paraId="544D47E9" w14:textId="4DADA39C" w:rsidR="00C007E5" w:rsidRPr="00813D19" w:rsidRDefault="000D084E" w:rsidP="00A636C7">
      <w:pPr>
        <w:pStyle w:val="Orateurengris"/>
        <w:widowControl w:val="0"/>
        <w:spacing w:before="120"/>
        <w:ind w:left="709" w:hanging="709"/>
        <w:rPr>
          <w:lang w:val="en-US"/>
        </w:rPr>
      </w:pPr>
      <w:r w:rsidRPr="00813D19">
        <w:rPr>
          <w:lang w:val="en-US"/>
        </w:rPr>
        <w:t>The</w:t>
      </w:r>
      <w:r w:rsidR="00A636C7" w:rsidRPr="00813D19">
        <w:rPr>
          <w:lang w:val="en-US"/>
        </w:rPr>
        <w:t xml:space="preserve"> </w:t>
      </w:r>
      <w:r w:rsidR="00A636C7" w:rsidRPr="00813D19">
        <w:rPr>
          <w:b/>
          <w:lang w:val="en-US"/>
        </w:rPr>
        <w:t>Chairperson</w:t>
      </w:r>
      <w:r w:rsidR="00A636C7" w:rsidRPr="00813D19">
        <w:rPr>
          <w:lang w:val="en-US"/>
        </w:rPr>
        <w:t xml:space="preserve"> then turned to the </w:t>
      </w:r>
      <w:r w:rsidR="00A636C7" w:rsidRPr="00813D19">
        <w:rPr>
          <w:bCs/>
          <w:lang w:val="en-US"/>
        </w:rPr>
        <w:t>examination of item 7.b</w:t>
      </w:r>
      <w:r w:rsidR="002B66A5" w:rsidRPr="00813D19">
        <w:rPr>
          <w:bCs/>
          <w:lang w:val="en-US"/>
        </w:rPr>
        <w:t xml:space="preserve"> </w:t>
      </w:r>
      <w:r w:rsidR="00A636C7" w:rsidRPr="00813D19">
        <w:rPr>
          <w:bCs/>
          <w:lang w:val="en-US"/>
        </w:rPr>
        <w:t xml:space="preserve">and was </w:t>
      </w:r>
      <w:r w:rsidR="002B66A5" w:rsidRPr="00813D19">
        <w:rPr>
          <w:lang w:val="en-US"/>
        </w:rPr>
        <w:t xml:space="preserve">pleased to see that so many reports </w:t>
      </w:r>
      <w:r w:rsidR="00A636C7" w:rsidRPr="00813D19">
        <w:rPr>
          <w:lang w:val="en-US"/>
        </w:rPr>
        <w:t xml:space="preserve">had </w:t>
      </w:r>
      <w:r w:rsidR="002B66A5" w:rsidRPr="00813D19">
        <w:rPr>
          <w:lang w:val="en-US"/>
        </w:rPr>
        <w:t xml:space="preserve">been submitted in the current cycle, </w:t>
      </w:r>
      <w:r w:rsidR="00A636C7" w:rsidRPr="00813D19">
        <w:rPr>
          <w:lang w:val="en-US"/>
        </w:rPr>
        <w:t xml:space="preserve">i.e. </w:t>
      </w:r>
      <w:r w:rsidR="00FE37D4">
        <w:rPr>
          <w:lang w:val="en-US"/>
        </w:rPr>
        <w:t>sixteen</w:t>
      </w:r>
      <w:r w:rsidR="002B66A5" w:rsidRPr="00813D19">
        <w:rPr>
          <w:lang w:val="en-US"/>
        </w:rPr>
        <w:t xml:space="preserve"> out of </w:t>
      </w:r>
      <w:r w:rsidR="00FE37D4">
        <w:rPr>
          <w:lang w:val="en-US"/>
        </w:rPr>
        <w:t>nineteen</w:t>
      </w:r>
      <w:r w:rsidR="002B66A5" w:rsidRPr="00813D19">
        <w:rPr>
          <w:lang w:val="en-US"/>
        </w:rPr>
        <w:t xml:space="preserve">, which </w:t>
      </w:r>
      <w:r w:rsidR="00A636C7" w:rsidRPr="00813D19">
        <w:rPr>
          <w:lang w:val="en-US"/>
        </w:rPr>
        <w:t>clearly showed</w:t>
      </w:r>
      <w:r w:rsidR="002B66A5" w:rsidRPr="00813D19">
        <w:rPr>
          <w:lang w:val="en-US"/>
        </w:rPr>
        <w:t xml:space="preserve"> the attention </w:t>
      </w:r>
      <w:r w:rsidR="00A636C7" w:rsidRPr="00813D19">
        <w:rPr>
          <w:lang w:val="en-US"/>
        </w:rPr>
        <w:t xml:space="preserve">paid by States Parties </w:t>
      </w:r>
      <w:r w:rsidR="002B66A5" w:rsidRPr="00813D19">
        <w:rPr>
          <w:lang w:val="en-US"/>
        </w:rPr>
        <w:t xml:space="preserve">to the viability of endangered living heritage and to the safeguarding measures taken to improve the situation. The number of reports </w:t>
      </w:r>
      <w:r w:rsidR="00A636C7" w:rsidRPr="00813D19">
        <w:rPr>
          <w:lang w:val="en-US"/>
        </w:rPr>
        <w:t xml:space="preserve">was </w:t>
      </w:r>
      <w:r w:rsidR="002B66A5" w:rsidRPr="00813D19">
        <w:rPr>
          <w:lang w:val="en-US"/>
        </w:rPr>
        <w:t>high</w:t>
      </w:r>
      <w:r w:rsidR="00A636C7" w:rsidRPr="00813D19">
        <w:rPr>
          <w:lang w:val="en-US"/>
        </w:rPr>
        <w:t>er</w:t>
      </w:r>
      <w:r w:rsidR="002B66A5" w:rsidRPr="00813D19">
        <w:rPr>
          <w:lang w:val="en-US"/>
        </w:rPr>
        <w:t xml:space="preserve"> </w:t>
      </w:r>
      <w:r w:rsidR="00A636C7" w:rsidRPr="00813D19">
        <w:rPr>
          <w:lang w:val="en-US"/>
        </w:rPr>
        <w:t xml:space="preserve">than in </w:t>
      </w:r>
      <w:r w:rsidR="002B66A5" w:rsidRPr="00813D19">
        <w:rPr>
          <w:lang w:val="en-US"/>
        </w:rPr>
        <w:t xml:space="preserve">past years and </w:t>
      </w:r>
      <w:r w:rsidR="00A636C7" w:rsidRPr="00813D19">
        <w:rPr>
          <w:lang w:val="en-US"/>
        </w:rPr>
        <w:t xml:space="preserve">thus the Committee should </w:t>
      </w:r>
      <w:r w:rsidR="002B66A5" w:rsidRPr="00813D19">
        <w:rPr>
          <w:lang w:val="en-US"/>
        </w:rPr>
        <w:t xml:space="preserve">be mindful of the need for good time management. </w:t>
      </w:r>
      <w:r w:rsidR="00A636C7" w:rsidRPr="00813D19">
        <w:rPr>
          <w:lang w:val="en-US"/>
        </w:rPr>
        <w:t xml:space="preserve">The Chairperson recalled the </w:t>
      </w:r>
      <w:r w:rsidR="002B66A5" w:rsidRPr="00813D19">
        <w:rPr>
          <w:lang w:val="en-US"/>
        </w:rPr>
        <w:t>specific working method that the Committee may take for the examination of this item in consultation with the Secretariat and the Bureau</w:t>
      </w:r>
      <w:r w:rsidR="00A636C7" w:rsidRPr="00813D19">
        <w:rPr>
          <w:lang w:val="en-US"/>
        </w:rPr>
        <w:t>, as prev</w:t>
      </w:r>
      <w:r w:rsidRPr="00813D19">
        <w:rPr>
          <w:lang w:val="en-US"/>
        </w:rPr>
        <w:t>i</w:t>
      </w:r>
      <w:r w:rsidR="00A636C7" w:rsidRPr="00813D19">
        <w:rPr>
          <w:lang w:val="en-US"/>
        </w:rPr>
        <w:t>ous</w:t>
      </w:r>
      <w:r w:rsidRPr="00813D19">
        <w:rPr>
          <w:lang w:val="en-US"/>
        </w:rPr>
        <w:t>ly</w:t>
      </w:r>
      <w:r w:rsidR="00A636C7" w:rsidRPr="00813D19">
        <w:rPr>
          <w:lang w:val="en-US"/>
        </w:rPr>
        <w:t xml:space="preserve"> outlined under agenda item 2, inviting the Secretary to provide </w:t>
      </w:r>
      <w:r w:rsidR="002B66A5" w:rsidRPr="00813D19">
        <w:rPr>
          <w:lang w:val="en-US"/>
        </w:rPr>
        <w:t xml:space="preserve">specific </w:t>
      </w:r>
      <w:r w:rsidR="00A636C7" w:rsidRPr="00813D19">
        <w:rPr>
          <w:lang w:val="en-US"/>
        </w:rPr>
        <w:t>details</w:t>
      </w:r>
      <w:r w:rsidR="0016273D">
        <w:rPr>
          <w:lang w:val="en-US"/>
        </w:rPr>
        <w:t>.</w:t>
      </w:r>
    </w:p>
    <w:p w14:paraId="678F89DC" w14:textId="7B52F289" w:rsidR="008544BE" w:rsidRPr="0016273D" w:rsidRDefault="008544BE" w:rsidP="00701B95">
      <w:pPr>
        <w:pStyle w:val="Orateurengris"/>
        <w:widowControl w:val="0"/>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8276C2" w:rsidRPr="00813D19">
        <w:rPr>
          <w:color w:val="000000" w:themeColor="text1"/>
          <w:lang w:val="en-US"/>
        </w:rPr>
        <w:t xml:space="preserve">explained that </w:t>
      </w:r>
      <w:r w:rsidR="002B66A5" w:rsidRPr="00813D19">
        <w:rPr>
          <w:bCs/>
          <w:lang w:val="en-US"/>
        </w:rPr>
        <w:t xml:space="preserve">the Committee </w:t>
      </w:r>
      <w:r w:rsidR="008276C2" w:rsidRPr="00813D19">
        <w:rPr>
          <w:bCs/>
          <w:lang w:val="en-US"/>
        </w:rPr>
        <w:t xml:space="preserve">was </w:t>
      </w:r>
      <w:r w:rsidR="002B66A5" w:rsidRPr="00813D19">
        <w:rPr>
          <w:bCs/>
          <w:lang w:val="en-US"/>
        </w:rPr>
        <w:t xml:space="preserve">tasked with the examination of </w:t>
      </w:r>
      <w:r w:rsidR="00FE37D4">
        <w:rPr>
          <w:bCs/>
          <w:lang w:val="en-US"/>
        </w:rPr>
        <w:t>sixteen</w:t>
      </w:r>
      <w:r w:rsidR="00FE37D4" w:rsidRPr="00813D19">
        <w:rPr>
          <w:bCs/>
          <w:lang w:val="en-US"/>
        </w:rPr>
        <w:t xml:space="preserve"> </w:t>
      </w:r>
      <w:r w:rsidR="002B66A5" w:rsidRPr="00813D19">
        <w:rPr>
          <w:bCs/>
          <w:lang w:val="en-US"/>
        </w:rPr>
        <w:t xml:space="preserve">reports submitted by States Parties on the status </w:t>
      </w:r>
      <w:r w:rsidR="008276C2" w:rsidRPr="00813D19">
        <w:rPr>
          <w:bCs/>
          <w:lang w:val="en-US"/>
        </w:rPr>
        <w:t xml:space="preserve">of </w:t>
      </w:r>
      <w:r w:rsidR="002B66A5" w:rsidRPr="00813D19">
        <w:rPr>
          <w:bCs/>
          <w:lang w:val="en-US"/>
        </w:rPr>
        <w:t xml:space="preserve">elements inscribed on the Urgent Safeguarding List. </w:t>
      </w:r>
      <w:r w:rsidR="008276C2" w:rsidRPr="00813D19">
        <w:rPr>
          <w:bCs/>
          <w:lang w:val="en-US"/>
        </w:rPr>
        <w:t xml:space="preserve">The Secretary </w:t>
      </w:r>
      <w:r w:rsidR="002B66A5" w:rsidRPr="00813D19">
        <w:rPr>
          <w:bCs/>
          <w:lang w:val="en-US"/>
        </w:rPr>
        <w:t>propose</w:t>
      </w:r>
      <w:r w:rsidR="008276C2" w:rsidRPr="00813D19">
        <w:rPr>
          <w:bCs/>
          <w:lang w:val="en-US"/>
        </w:rPr>
        <w:t>d</w:t>
      </w:r>
      <w:r w:rsidR="002B66A5" w:rsidRPr="00813D19">
        <w:rPr>
          <w:bCs/>
          <w:lang w:val="en-US"/>
        </w:rPr>
        <w:t xml:space="preserve"> that </w:t>
      </w:r>
      <w:r w:rsidR="008276C2" w:rsidRPr="00813D19">
        <w:rPr>
          <w:bCs/>
          <w:lang w:val="en-US"/>
        </w:rPr>
        <w:t xml:space="preserve">the </w:t>
      </w:r>
      <w:r w:rsidR="002B66A5" w:rsidRPr="00813D19">
        <w:rPr>
          <w:bCs/>
          <w:lang w:val="en-US"/>
        </w:rPr>
        <w:t>item be presented as a whole</w:t>
      </w:r>
      <w:r w:rsidR="008276C2" w:rsidRPr="00813D19">
        <w:rPr>
          <w:bCs/>
          <w:lang w:val="en-US"/>
        </w:rPr>
        <w:t>,</w:t>
      </w:r>
      <w:r w:rsidR="002B66A5" w:rsidRPr="00813D19">
        <w:rPr>
          <w:bCs/>
          <w:lang w:val="en-US"/>
        </w:rPr>
        <w:t xml:space="preserve"> including an over</w:t>
      </w:r>
      <w:r w:rsidR="008276C2" w:rsidRPr="00813D19">
        <w:rPr>
          <w:bCs/>
          <w:lang w:val="en-US"/>
        </w:rPr>
        <w:t xml:space="preserve">view of the </w:t>
      </w:r>
      <w:r w:rsidR="00FE37D4">
        <w:rPr>
          <w:bCs/>
          <w:lang w:val="en-US"/>
        </w:rPr>
        <w:t>sixteen</w:t>
      </w:r>
      <w:r w:rsidR="00FE37D4" w:rsidRPr="00813D19">
        <w:rPr>
          <w:bCs/>
          <w:lang w:val="en-US"/>
        </w:rPr>
        <w:t xml:space="preserve"> </w:t>
      </w:r>
      <w:r w:rsidR="008276C2" w:rsidRPr="00813D19">
        <w:rPr>
          <w:bCs/>
          <w:lang w:val="en-US"/>
        </w:rPr>
        <w:t xml:space="preserve">reports </w:t>
      </w:r>
      <w:r w:rsidR="00FE37D4" w:rsidRPr="00813D19">
        <w:rPr>
          <w:bCs/>
          <w:lang w:val="en-US"/>
        </w:rPr>
        <w:t>analy</w:t>
      </w:r>
      <w:r w:rsidR="00FE37D4">
        <w:rPr>
          <w:bCs/>
          <w:lang w:val="en-US"/>
        </w:rPr>
        <w:t>z</w:t>
      </w:r>
      <w:r w:rsidR="00FE37D4" w:rsidRPr="00813D19">
        <w:rPr>
          <w:bCs/>
          <w:lang w:val="en-US"/>
        </w:rPr>
        <w:t>ed</w:t>
      </w:r>
      <w:r w:rsidR="008276C2" w:rsidRPr="00813D19">
        <w:rPr>
          <w:bCs/>
          <w:lang w:val="en-US"/>
        </w:rPr>
        <w:t>, a</w:t>
      </w:r>
      <w:r w:rsidR="005946E8">
        <w:rPr>
          <w:bCs/>
          <w:lang w:val="en-US"/>
        </w:rPr>
        <w:t>l</w:t>
      </w:r>
      <w:r w:rsidR="008276C2" w:rsidRPr="00813D19">
        <w:rPr>
          <w:bCs/>
          <w:lang w:val="en-US"/>
        </w:rPr>
        <w:t xml:space="preserve">ong </w:t>
      </w:r>
      <w:r w:rsidR="002B66A5" w:rsidRPr="00813D19">
        <w:rPr>
          <w:bCs/>
          <w:lang w:val="en-US"/>
        </w:rPr>
        <w:t>the three main themes</w:t>
      </w:r>
      <w:r w:rsidR="008276C2" w:rsidRPr="00813D19">
        <w:rPr>
          <w:bCs/>
          <w:lang w:val="en-US"/>
        </w:rPr>
        <w:t>, namely: i)</w:t>
      </w:r>
      <w:r w:rsidR="002B66A5" w:rsidRPr="00813D19">
        <w:rPr>
          <w:bCs/>
          <w:lang w:val="en-US"/>
        </w:rPr>
        <w:t xml:space="preserve"> the effectiveness of the </w:t>
      </w:r>
      <w:r w:rsidR="008276C2" w:rsidRPr="00813D19">
        <w:rPr>
          <w:bCs/>
          <w:lang w:val="en-US"/>
        </w:rPr>
        <w:t xml:space="preserve">safeguarding plan; ii) </w:t>
      </w:r>
      <w:r w:rsidR="002B66A5" w:rsidRPr="00813D19">
        <w:rPr>
          <w:bCs/>
          <w:lang w:val="en-US"/>
        </w:rPr>
        <w:t xml:space="preserve">community participation </w:t>
      </w:r>
      <w:r w:rsidR="00FE37D4">
        <w:rPr>
          <w:bCs/>
          <w:lang w:val="en-US"/>
        </w:rPr>
        <w:t>in</w:t>
      </w:r>
      <w:r w:rsidR="00FE37D4" w:rsidRPr="00813D19">
        <w:rPr>
          <w:bCs/>
          <w:lang w:val="en-US"/>
        </w:rPr>
        <w:t xml:space="preserve"> </w:t>
      </w:r>
      <w:r w:rsidR="002B66A5" w:rsidRPr="00813D19">
        <w:rPr>
          <w:bCs/>
          <w:lang w:val="en-US"/>
        </w:rPr>
        <w:t>the implementation of the safeguarding plan</w:t>
      </w:r>
      <w:r w:rsidR="008276C2" w:rsidRPr="00813D19">
        <w:rPr>
          <w:bCs/>
          <w:lang w:val="en-US"/>
        </w:rPr>
        <w:t>;</w:t>
      </w:r>
      <w:r w:rsidR="002B66A5" w:rsidRPr="00813D19">
        <w:rPr>
          <w:bCs/>
          <w:lang w:val="en-US"/>
        </w:rPr>
        <w:t xml:space="preserve"> and </w:t>
      </w:r>
      <w:r w:rsidR="008276C2" w:rsidRPr="00813D19">
        <w:rPr>
          <w:bCs/>
          <w:lang w:val="en-US"/>
        </w:rPr>
        <w:t xml:space="preserve">iii) </w:t>
      </w:r>
      <w:r w:rsidR="00FE37D4">
        <w:rPr>
          <w:bCs/>
          <w:lang w:val="en-US"/>
        </w:rPr>
        <w:t xml:space="preserve">the </w:t>
      </w:r>
      <w:r w:rsidR="002B66A5" w:rsidRPr="00813D19">
        <w:rPr>
          <w:bCs/>
          <w:lang w:val="en-US"/>
        </w:rPr>
        <w:t xml:space="preserve">preparation of the report and the viability and risks associated with the element. Following the overall </w:t>
      </w:r>
      <w:r w:rsidR="00813D19" w:rsidRPr="00813D19">
        <w:rPr>
          <w:bCs/>
          <w:lang w:val="en-US"/>
        </w:rPr>
        <w:t>presentation,</w:t>
      </w:r>
      <w:r w:rsidR="002B66A5" w:rsidRPr="00813D19">
        <w:rPr>
          <w:bCs/>
          <w:lang w:val="en-US"/>
        </w:rPr>
        <w:t xml:space="preserve"> the floor </w:t>
      </w:r>
      <w:r w:rsidR="008276C2" w:rsidRPr="00813D19">
        <w:rPr>
          <w:bCs/>
          <w:lang w:val="en-US"/>
        </w:rPr>
        <w:t xml:space="preserve">would </w:t>
      </w:r>
      <w:r w:rsidR="002B66A5" w:rsidRPr="00813D19">
        <w:rPr>
          <w:bCs/>
          <w:lang w:val="en-US"/>
        </w:rPr>
        <w:t>be open for a general debate</w:t>
      </w:r>
      <w:r w:rsidR="008276C2" w:rsidRPr="00813D19">
        <w:rPr>
          <w:bCs/>
          <w:lang w:val="en-US"/>
        </w:rPr>
        <w:t>,</w:t>
      </w:r>
      <w:r w:rsidR="002B66A5" w:rsidRPr="00813D19">
        <w:rPr>
          <w:bCs/>
          <w:lang w:val="en-US"/>
        </w:rPr>
        <w:t xml:space="preserve"> </w:t>
      </w:r>
      <w:r w:rsidR="008276C2" w:rsidRPr="00813D19">
        <w:rPr>
          <w:bCs/>
          <w:lang w:val="en-US"/>
        </w:rPr>
        <w:t xml:space="preserve">and </w:t>
      </w:r>
      <w:r w:rsidR="002B66A5" w:rsidRPr="00813D19">
        <w:rPr>
          <w:bCs/>
          <w:lang w:val="en-US"/>
        </w:rPr>
        <w:t xml:space="preserve">States </w:t>
      </w:r>
      <w:r w:rsidR="008276C2" w:rsidRPr="00813D19">
        <w:rPr>
          <w:bCs/>
          <w:lang w:val="en-US"/>
        </w:rPr>
        <w:t xml:space="preserve">having </w:t>
      </w:r>
      <w:r w:rsidR="002B66A5" w:rsidRPr="00813D19">
        <w:rPr>
          <w:bCs/>
          <w:lang w:val="en-US"/>
        </w:rPr>
        <w:t xml:space="preserve">submitted a report </w:t>
      </w:r>
      <w:r w:rsidR="00FE37D4">
        <w:rPr>
          <w:bCs/>
          <w:lang w:val="en-US"/>
        </w:rPr>
        <w:t>could</w:t>
      </w:r>
      <w:r w:rsidR="00FE37D4" w:rsidRPr="00813D19">
        <w:rPr>
          <w:bCs/>
          <w:lang w:val="en-US"/>
        </w:rPr>
        <w:t xml:space="preserve"> </w:t>
      </w:r>
      <w:r w:rsidR="002B66A5" w:rsidRPr="00813D19">
        <w:rPr>
          <w:bCs/>
          <w:lang w:val="en-US"/>
        </w:rPr>
        <w:t>share the</w:t>
      </w:r>
      <w:r w:rsidR="008276C2" w:rsidRPr="00813D19">
        <w:rPr>
          <w:bCs/>
          <w:lang w:val="en-US"/>
        </w:rPr>
        <w:t>ir</w:t>
      </w:r>
      <w:r w:rsidR="002B66A5" w:rsidRPr="00813D19">
        <w:rPr>
          <w:bCs/>
          <w:lang w:val="en-US"/>
        </w:rPr>
        <w:t xml:space="preserve"> experiences in preparing their report or on </w:t>
      </w:r>
      <w:r w:rsidR="00FE37D4">
        <w:rPr>
          <w:bCs/>
          <w:lang w:val="en-US"/>
        </w:rPr>
        <w:t xml:space="preserve">the </w:t>
      </w:r>
      <w:r w:rsidR="002B66A5" w:rsidRPr="00813D19">
        <w:rPr>
          <w:bCs/>
          <w:lang w:val="en-US"/>
        </w:rPr>
        <w:t>challenges and opportunities lin</w:t>
      </w:r>
      <w:r w:rsidR="00FA3CBD" w:rsidRPr="00813D19">
        <w:rPr>
          <w:bCs/>
          <w:lang w:val="en-US"/>
        </w:rPr>
        <w:t>ked to the safeguarding of their</w:t>
      </w:r>
      <w:r w:rsidR="002B66A5" w:rsidRPr="00813D19">
        <w:rPr>
          <w:bCs/>
          <w:lang w:val="en-US"/>
        </w:rPr>
        <w:t xml:space="preserve"> elements. After the closure of the debate</w:t>
      </w:r>
      <w:r w:rsidR="008276C2" w:rsidRPr="00813D19">
        <w:rPr>
          <w:bCs/>
          <w:lang w:val="en-US"/>
        </w:rPr>
        <w:t>,</w:t>
      </w:r>
      <w:r w:rsidR="002B66A5" w:rsidRPr="00813D19">
        <w:rPr>
          <w:bCs/>
          <w:lang w:val="en-US"/>
        </w:rPr>
        <w:t xml:space="preserve"> the Committee </w:t>
      </w:r>
      <w:r w:rsidR="008276C2" w:rsidRPr="00813D19">
        <w:rPr>
          <w:bCs/>
          <w:lang w:val="en-US"/>
        </w:rPr>
        <w:t xml:space="preserve">would </w:t>
      </w:r>
      <w:r w:rsidR="002B66A5" w:rsidRPr="00813D19">
        <w:rPr>
          <w:bCs/>
          <w:lang w:val="en-US"/>
        </w:rPr>
        <w:t xml:space="preserve">move towards adopting the respective individual decisions for each report as </w:t>
      </w:r>
      <w:r w:rsidR="00FA3CBD" w:rsidRPr="00813D19">
        <w:rPr>
          <w:bCs/>
          <w:lang w:val="en-US"/>
        </w:rPr>
        <w:t xml:space="preserve">a </w:t>
      </w:r>
      <w:r w:rsidR="002B66A5" w:rsidRPr="00813D19">
        <w:rPr>
          <w:bCs/>
          <w:lang w:val="en-US"/>
        </w:rPr>
        <w:t>whole and without debate</w:t>
      </w:r>
      <w:r w:rsidR="008276C2" w:rsidRPr="00813D19">
        <w:rPr>
          <w:bCs/>
          <w:lang w:val="en-US"/>
        </w:rPr>
        <w:t>,</w:t>
      </w:r>
      <w:r w:rsidR="002B66A5" w:rsidRPr="00813D19">
        <w:rPr>
          <w:bCs/>
          <w:lang w:val="en-US"/>
        </w:rPr>
        <w:t xml:space="preserve"> unless otherwise requested. Once all the individual decisions </w:t>
      </w:r>
      <w:r w:rsidR="008276C2" w:rsidRPr="00813D19">
        <w:rPr>
          <w:bCs/>
          <w:lang w:val="en-US"/>
        </w:rPr>
        <w:t xml:space="preserve">were </w:t>
      </w:r>
      <w:r w:rsidR="002B66A5" w:rsidRPr="00813D19">
        <w:rPr>
          <w:bCs/>
          <w:lang w:val="en-US"/>
        </w:rPr>
        <w:t>adopted</w:t>
      </w:r>
      <w:r w:rsidR="008276C2" w:rsidRPr="00813D19">
        <w:rPr>
          <w:bCs/>
          <w:lang w:val="en-US"/>
        </w:rPr>
        <w:t>,</w:t>
      </w:r>
      <w:r w:rsidR="002B66A5" w:rsidRPr="00813D19">
        <w:rPr>
          <w:bCs/>
          <w:lang w:val="en-US"/>
        </w:rPr>
        <w:t xml:space="preserve"> the Committee </w:t>
      </w:r>
      <w:r w:rsidR="008276C2" w:rsidRPr="00813D19">
        <w:rPr>
          <w:bCs/>
          <w:lang w:val="en-US"/>
        </w:rPr>
        <w:t xml:space="preserve">would </w:t>
      </w:r>
      <w:r w:rsidR="002B66A5" w:rsidRPr="00813D19">
        <w:rPr>
          <w:bCs/>
          <w:lang w:val="en-US"/>
        </w:rPr>
        <w:t>then proceed to adopt the chapeau decision, paragraph</w:t>
      </w:r>
      <w:r w:rsidR="00FE37D4">
        <w:rPr>
          <w:bCs/>
          <w:lang w:val="en-US"/>
        </w:rPr>
        <w:t xml:space="preserve"> </w:t>
      </w:r>
      <w:r w:rsidR="002B66A5" w:rsidRPr="00813D19">
        <w:rPr>
          <w:bCs/>
          <w:lang w:val="en-US"/>
        </w:rPr>
        <w:t>by</w:t>
      </w:r>
      <w:r w:rsidR="00FE37D4">
        <w:rPr>
          <w:bCs/>
          <w:lang w:val="en-US"/>
        </w:rPr>
        <w:t xml:space="preserve"> </w:t>
      </w:r>
      <w:r w:rsidR="002B66A5" w:rsidRPr="00813D19">
        <w:rPr>
          <w:bCs/>
          <w:lang w:val="en-US"/>
        </w:rPr>
        <w:t>paragraph</w:t>
      </w:r>
      <w:r w:rsidR="008276C2" w:rsidRPr="00813D19">
        <w:rPr>
          <w:bCs/>
          <w:lang w:val="en-US"/>
        </w:rPr>
        <w:t>, and then as a whole.</w:t>
      </w:r>
    </w:p>
    <w:p w14:paraId="3D6FC2E5" w14:textId="663D5207" w:rsidR="00E02766" w:rsidRPr="0016273D" w:rsidRDefault="00E02766" w:rsidP="00701B95">
      <w:pPr>
        <w:pStyle w:val="Orateurengris"/>
        <w:widowControl w:val="0"/>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8276C2" w:rsidRPr="00813D19">
        <w:rPr>
          <w:color w:val="000000" w:themeColor="text1"/>
          <w:lang w:val="en-US"/>
        </w:rPr>
        <w:t xml:space="preserve">thanked </w:t>
      </w:r>
      <w:r w:rsidR="008276C2" w:rsidRPr="00813D19">
        <w:rPr>
          <w:bCs/>
          <w:lang w:val="en-US"/>
        </w:rPr>
        <w:t xml:space="preserve">the Secretary </w:t>
      </w:r>
      <w:r w:rsidR="002B66A5" w:rsidRPr="00813D19">
        <w:rPr>
          <w:bCs/>
          <w:lang w:val="en-US"/>
        </w:rPr>
        <w:t xml:space="preserve">for </w:t>
      </w:r>
      <w:r w:rsidR="008276C2" w:rsidRPr="00813D19">
        <w:rPr>
          <w:bCs/>
          <w:lang w:val="en-US"/>
        </w:rPr>
        <w:t xml:space="preserve">his </w:t>
      </w:r>
      <w:r w:rsidR="002B66A5" w:rsidRPr="00813D19">
        <w:rPr>
          <w:bCs/>
          <w:lang w:val="en-US"/>
        </w:rPr>
        <w:t xml:space="preserve">proposition and methodology. </w:t>
      </w:r>
      <w:r w:rsidR="008276C2" w:rsidRPr="00813D19">
        <w:rPr>
          <w:bCs/>
          <w:lang w:val="en-US"/>
        </w:rPr>
        <w:t xml:space="preserve">With no objections, the Chairperson invited the Secretary </w:t>
      </w:r>
      <w:r w:rsidR="002B66A5" w:rsidRPr="00813D19">
        <w:rPr>
          <w:bCs/>
          <w:lang w:val="en-US"/>
        </w:rPr>
        <w:t xml:space="preserve">to present </w:t>
      </w:r>
      <w:r w:rsidR="008276C2" w:rsidRPr="00813D19">
        <w:rPr>
          <w:bCs/>
          <w:lang w:val="en-US"/>
        </w:rPr>
        <w:t xml:space="preserve">the </w:t>
      </w:r>
      <w:r w:rsidR="002B66A5" w:rsidRPr="00813D19">
        <w:rPr>
          <w:bCs/>
          <w:lang w:val="en-US"/>
        </w:rPr>
        <w:t>item</w:t>
      </w:r>
      <w:r w:rsidR="008276C2" w:rsidRPr="00813D19">
        <w:rPr>
          <w:bCs/>
          <w:lang w:val="en-US"/>
        </w:rPr>
        <w:t>.</w:t>
      </w:r>
    </w:p>
    <w:p w14:paraId="288256A0" w14:textId="07217B0D" w:rsidR="00D0018D" w:rsidRPr="0016273D" w:rsidRDefault="00E02766" w:rsidP="00701B95">
      <w:pPr>
        <w:pStyle w:val="Orateurengris"/>
        <w:widowControl w:val="0"/>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7C701F" w:rsidRPr="00813D19">
        <w:rPr>
          <w:color w:val="000000" w:themeColor="text1"/>
          <w:lang w:val="en-US"/>
        </w:rPr>
        <w:t xml:space="preserve">reiterated that the </w:t>
      </w:r>
      <w:r w:rsidR="007C701F" w:rsidRPr="00813D19">
        <w:rPr>
          <w:bCs/>
          <w:lang w:val="en-US"/>
        </w:rPr>
        <w:t>Committee had</w:t>
      </w:r>
      <w:r w:rsidR="002B66A5" w:rsidRPr="00813D19">
        <w:rPr>
          <w:bCs/>
          <w:lang w:val="en-US"/>
        </w:rPr>
        <w:t xml:space="preserve"> to examine </w:t>
      </w:r>
      <w:r w:rsidR="00FE37D4">
        <w:rPr>
          <w:bCs/>
          <w:lang w:val="en-US"/>
        </w:rPr>
        <w:t>sixteen</w:t>
      </w:r>
      <w:r w:rsidR="00FE37D4" w:rsidRPr="00813D19">
        <w:rPr>
          <w:bCs/>
          <w:lang w:val="en-US"/>
        </w:rPr>
        <w:t xml:space="preserve"> </w:t>
      </w:r>
      <w:r w:rsidR="002B66A5" w:rsidRPr="00813D19">
        <w:rPr>
          <w:bCs/>
          <w:lang w:val="en-US"/>
        </w:rPr>
        <w:t xml:space="preserve">reports </w:t>
      </w:r>
      <w:r w:rsidR="00D0018D" w:rsidRPr="00813D19">
        <w:rPr>
          <w:bCs/>
          <w:lang w:val="en-US"/>
        </w:rPr>
        <w:t xml:space="preserve">and </w:t>
      </w:r>
      <w:r w:rsidR="002B66A5" w:rsidRPr="00813D19">
        <w:rPr>
          <w:bCs/>
          <w:lang w:val="en-US"/>
        </w:rPr>
        <w:t xml:space="preserve">provide a summary of those reports to the General Assembly in 2020. The table in paragraph 6 </w:t>
      </w:r>
      <w:r w:rsidR="00D0018D" w:rsidRPr="00813D19">
        <w:rPr>
          <w:bCs/>
          <w:lang w:val="en-US"/>
        </w:rPr>
        <w:t xml:space="preserve">listed </w:t>
      </w:r>
      <w:r w:rsidR="002B66A5" w:rsidRPr="00813D19">
        <w:rPr>
          <w:bCs/>
          <w:lang w:val="en-US"/>
        </w:rPr>
        <w:t xml:space="preserve">all </w:t>
      </w:r>
      <w:r w:rsidR="00FE37D4">
        <w:rPr>
          <w:bCs/>
          <w:lang w:val="en-US"/>
        </w:rPr>
        <w:t>sixteen</w:t>
      </w:r>
      <w:r w:rsidR="00FE37D4" w:rsidRPr="00813D19">
        <w:rPr>
          <w:bCs/>
          <w:lang w:val="en-US"/>
        </w:rPr>
        <w:t xml:space="preserve"> </w:t>
      </w:r>
      <w:r w:rsidR="002B66A5" w:rsidRPr="00813D19">
        <w:rPr>
          <w:bCs/>
          <w:lang w:val="en-US"/>
        </w:rPr>
        <w:t>reports, which include</w:t>
      </w:r>
      <w:r w:rsidR="00D0018D" w:rsidRPr="00813D19">
        <w:rPr>
          <w:bCs/>
          <w:lang w:val="en-US"/>
        </w:rPr>
        <w:t>d</w:t>
      </w:r>
      <w:r w:rsidR="002B66A5" w:rsidRPr="00813D19">
        <w:rPr>
          <w:bCs/>
          <w:lang w:val="en-US"/>
        </w:rPr>
        <w:t xml:space="preserve"> four reports for elements inscribed in 2013, nine reports for elements inscribed in 2009</w:t>
      </w:r>
      <w:r w:rsidR="00D0018D" w:rsidRPr="00813D19">
        <w:rPr>
          <w:bCs/>
          <w:lang w:val="en-US"/>
        </w:rPr>
        <w:t>,</w:t>
      </w:r>
      <w:r w:rsidR="002B66A5" w:rsidRPr="00813D19">
        <w:rPr>
          <w:bCs/>
          <w:lang w:val="en-US"/>
        </w:rPr>
        <w:t xml:space="preserve"> three overdue reports for elements inscribed in 2011</w:t>
      </w:r>
      <w:r w:rsidR="00D0018D" w:rsidRPr="00813D19">
        <w:rPr>
          <w:bCs/>
          <w:lang w:val="en-US"/>
        </w:rPr>
        <w:t>,</w:t>
      </w:r>
      <w:r w:rsidR="002B66A5" w:rsidRPr="00813D19">
        <w:rPr>
          <w:bCs/>
          <w:lang w:val="en-US"/>
        </w:rPr>
        <w:t xml:space="preserve"> and one in 2012. The</w:t>
      </w:r>
      <w:r w:rsidR="00D0018D" w:rsidRPr="00813D19">
        <w:rPr>
          <w:bCs/>
          <w:lang w:val="en-US"/>
        </w:rPr>
        <w:t xml:space="preserve"> table in paragraph 5 highlighted</w:t>
      </w:r>
      <w:r w:rsidR="002B66A5" w:rsidRPr="00813D19">
        <w:rPr>
          <w:bCs/>
          <w:lang w:val="en-US"/>
        </w:rPr>
        <w:t xml:space="preserve"> three reports </w:t>
      </w:r>
      <w:r w:rsidR="00D0018D" w:rsidRPr="00813D19">
        <w:rPr>
          <w:bCs/>
          <w:lang w:val="en-US"/>
        </w:rPr>
        <w:t xml:space="preserve">from </w:t>
      </w:r>
      <w:r w:rsidR="002B66A5" w:rsidRPr="00813D19">
        <w:rPr>
          <w:bCs/>
          <w:lang w:val="en-US"/>
        </w:rPr>
        <w:t>China that were expected to be examined at this session. However, as the Committee</w:t>
      </w:r>
      <w:r w:rsidR="00FE37D4">
        <w:rPr>
          <w:bCs/>
          <w:lang w:val="en-US"/>
        </w:rPr>
        <w:t xml:space="preserve"> had</w:t>
      </w:r>
      <w:r w:rsidR="002B66A5" w:rsidRPr="00813D19">
        <w:rPr>
          <w:bCs/>
          <w:lang w:val="en-US"/>
        </w:rPr>
        <w:t xml:space="preserve"> examined the first reports on these elements during its twelfth session </w:t>
      </w:r>
      <w:r w:rsidR="00D0018D" w:rsidRPr="00813D19">
        <w:rPr>
          <w:bCs/>
          <w:lang w:val="en-US"/>
        </w:rPr>
        <w:t xml:space="preserve">in 2017, </w:t>
      </w:r>
      <w:r w:rsidR="002B66A5" w:rsidRPr="00813D19">
        <w:rPr>
          <w:bCs/>
          <w:lang w:val="en-US"/>
        </w:rPr>
        <w:t xml:space="preserve">the second reports </w:t>
      </w:r>
      <w:r w:rsidR="00D0018D" w:rsidRPr="00813D19">
        <w:rPr>
          <w:bCs/>
          <w:lang w:val="en-US"/>
        </w:rPr>
        <w:t xml:space="preserve">were </w:t>
      </w:r>
      <w:r w:rsidR="002B66A5" w:rsidRPr="00813D19">
        <w:rPr>
          <w:bCs/>
          <w:lang w:val="en-US"/>
        </w:rPr>
        <w:t xml:space="preserve">expected by 15 December </w:t>
      </w:r>
      <w:r w:rsidR="00D0018D" w:rsidRPr="00813D19">
        <w:rPr>
          <w:bCs/>
          <w:lang w:val="en-US"/>
        </w:rPr>
        <w:t xml:space="preserve">2018 </w:t>
      </w:r>
      <w:r w:rsidR="002B66A5" w:rsidRPr="00813D19">
        <w:rPr>
          <w:bCs/>
          <w:lang w:val="en-US"/>
        </w:rPr>
        <w:t>for examination at the fourteenth session in 2019. Thanks to the generous voluntary contribution from the Republic of Korea, approved in 2016 by the Committ</w:t>
      </w:r>
      <w:r w:rsidR="00D0018D" w:rsidRPr="00813D19">
        <w:rPr>
          <w:bCs/>
          <w:lang w:val="en-US"/>
        </w:rPr>
        <w:t>ee, an online reporting tool had</w:t>
      </w:r>
      <w:r w:rsidR="002B66A5" w:rsidRPr="00813D19">
        <w:rPr>
          <w:bCs/>
          <w:lang w:val="en-US"/>
        </w:rPr>
        <w:t xml:space="preserve"> been developed for States to submit their reports on </w:t>
      </w:r>
      <w:r w:rsidR="00D0018D" w:rsidRPr="00813D19">
        <w:rPr>
          <w:bCs/>
          <w:lang w:val="en-US"/>
        </w:rPr>
        <w:t xml:space="preserve">the </w:t>
      </w:r>
      <w:r w:rsidR="002B66A5" w:rsidRPr="00813D19">
        <w:rPr>
          <w:bCs/>
          <w:lang w:val="en-US"/>
        </w:rPr>
        <w:t>status of elements inscribed on the Urgent Safeguarding List. Latvia and Viet Nam volunteered and successfully submitted their report</w:t>
      </w:r>
      <w:r w:rsidR="00FE37D4">
        <w:rPr>
          <w:bCs/>
          <w:lang w:val="en-US"/>
        </w:rPr>
        <w:t>s</w:t>
      </w:r>
      <w:r w:rsidR="002B66A5" w:rsidRPr="00813D19">
        <w:rPr>
          <w:bCs/>
          <w:lang w:val="en-US"/>
        </w:rPr>
        <w:t xml:space="preserve"> using this online tool for two inscribed elements. The majority of the reports for this cycle </w:t>
      </w:r>
      <w:r w:rsidR="00D0018D" w:rsidRPr="00813D19">
        <w:rPr>
          <w:bCs/>
          <w:lang w:val="en-US"/>
        </w:rPr>
        <w:t xml:space="preserve">were </w:t>
      </w:r>
      <w:r w:rsidR="002B66A5" w:rsidRPr="00813D19">
        <w:rPr>
          <w:bCs/>
          <w:lang w:val="en-US"/>
        </w:rPr>
        <w:t>either the second ordinary report or a third report submitted by the States after submitting an extraordinary report two years after inscription. Due to the increasing number of second and third ordinary reports</w:t>
      </w:r>
      <w:r w:rsidR="00D0018D" w:rsidRPr="00813D19">
        <w:rPr>
          <w:bCs/>
          <w:lang w:val="en-US"/>
        </w:rPr>
        <w:t>, the document highlighted</w:t>
      </w:r>
      <w:r w:rsidR="002B66A5" w:rsidRPr="00813D19">
        <w:rPr>
          <w:bCs/>
          <w:lang w:val="en-US"/>
        </w:rPr>
        <w:t xml:space="preserve"> the importance of States addressing the concerns raised by the Committee based on the examination of the previous reports. This year, for instance, the reports submitted by Brazil on the element </w:t>
      </w:r>
      <w:r w:rsidR="00D0018D" w:rsidRPr="00813D19">
        <w:rPr>
          <w:bCs/>
          <w:lang w:val="en-US"/>
        </w:rPr>
        <w:t>‘</w:t>
      </w:r>
      <w:r w:rsidR="002B66A5" w:rsidRPr="002827E3">
        <w:rPr>
          <w:b/>
          <w:lang w:val="en-US"/>
        </w:rPr>
        <w:t>Yaokwa, the Enawene Nawe people's ritual for the maintenance of social and cosmic order</w:t>
      </w:r>
      <w:r w:rsidR="00D0018D" w:rsidRPr="00813D19">
        <w:rPr>
          <w:lang w:val="en-US"/>
        </w:rPr>
        <w:t>’</w:t>
      </w:r>
      <w:r w:rsidR="002B66A5" w:rsidRPr="00813D19">
        <w:rPr>
          <w:lang w:val="en-US"/>
        </w:rPr>
        <w:t xml:space="preserve"> </w:t>
      </w:r>
      <w:r w:rsidR="00D0018D" w:rsidRPr="00813D19">
        <w:rPr>
          <w:lang w:val="en-US"/>
        </w:rPr>
        <w:t xml:space="preserve">took </w:t>
      </w:r>
      <w:r w:rsidR="002B66A5" w:rsidRPr="00813D19">
        <w:rPr>
          <w:lang w:val="en-US"/>
        </w:rPr>
        <w:t>into account the concerns raise</w:t>
      </w:r>
      <w:r w:rsidR="00D0018D" w:rsidRPr="00813D19">
        <w:rPr>
          <w:lang w:val="en-US"/>
        </w:rPr>
        <w:t xml:space="preserve">d by the Committee through its Decision </w:t>
      </w:r>
      <w:hyperlink r:id="rId52" w:history="1">
        <w:r w:rsidR="00D0018D" w:rsidRPr="00813D19">
          <w:rPr>
            <w:rStyle w:val="Hyperlink"/>
            <w:lang w:val="en-US"/>
          </w:rPr>
          <w:t xml:space="preserve">8.COM </w:t>
        </w:r>
        <w:r w:rsidR="002B66A5" w:rsidRPr="00813D19">
          <w:rPr>
            <w:rStyle w:val="Hyperlink"/>
            <w:lang w:val="en-US"/>
          </w:rPr>
          <w:t>6.b</w:t>
        </w:r>
      </w:hyperlink>
      <w:r w:rsidR="002B66A5" w:rsidRPr="00813D19">
        <w:rPr>
          <w:lang w:val="en-US"/>
        </w:rPr>
        <w:t xml:space="preserve"> taken in 2013</w:t>
      </w:r>
      <w:r w:rsidR="00D0018D" w:rsidRPr="00813D19">
        <w:rPr>
          <w:lang w:val="en-US"/>
        </w:rPr>
        <w:t>,</w:t>
      </w:r>
      <w:r w:rsidR="002B66A5" w:rsidRPr="00813D19">
        <w:rPr>
          <w:lang w:val="en-US"/>
        </w:rPr>
        <w:t xml:space="preserve"> whereby t</w:t>
      </w:r>
      <w:r w:rsidR="00D0018D" w:rsidRPr="00813D19">
        <w:rPr>
          <w:lang w:val="en-US"/>
        </w:rPr>
        <w:t xml:space="preserve">he updated safeguarding plan was </w:t>
      </w:r>
      <w:r w:rsidR="002B66A5" w:rsidRPr="00813D19">
        <w:rPr>
          <w:lang w:val="en-US"/>
        </w:rPr>
        <w:t>adjusted to further align the activities to enhance the c</w:t>
      </w:r>
      <w:r w:rsidR="0016273D">
        <w:rPr>
          <w:lang w:val="en-US"/>
        </w:rPr>
        <w:t>ultural aspects of the element.</w:t>
      </w:r>
    </w:p>
    <w:p w14:paraId="1C640071" w14:textId="2F32C0CC" w:rsidR="000E2AD8" w:rsidRPr="0016273D" w:rsidRDefault="00A12DB8" w:rsidP="00701B95">
      <w:pPr>
        <w:pStyle w:val="Orateurengris"/>
        <w:widowControl w:val="0"/>
        <w:spacing w:before="120"/>
        <w:ind w:left="709" w:hanging="709"/>
        <w:rPr>
          <w:bCs/>
          <w:color w:val="000000" w:themeColor="text1"/>
          <w:lang w:val="en-US"/>
        </w:rPr>
      </w:pPr>
      <w:r w:rsidRPr="00813D19">
        <w:rPr>
          <w:lang w:val="en-US"/>
        </w:rPr>
        <w:t xml:space="preserve">The </w:t>
      </w:r>
      <w:r w:rsidRPr="00813D19">
        <w:rPr>
          <w:b/>
          <w:lang w:val="en-US"/>
        </w:rPr>
        <w:t>Secretary</w:t>
      </w:r>
      <w:r w:rsidRPr="00813D19">
        <w:rPr>
          <w:lang w:val="en-US"/>
        </w:rPr>
        <w:t xml:space="preserve"> </w:t>
      </w:r>
      <w:r w:rsidR="0020226F" w:rsidRPr="00813D19">
        <w:rPr>
          <w:lang w:val="en-US"/>
        </w:rPr>
        <w:t xml:space="preserve">would </w:t>
      </w:r>
      <w:r w:rsidR="002B66A5" w:rsidRPr="00813D19">
        <w:rPr>
          <w:lang w:val="en-US"/>
        </w:rPr>
        <w:t xml:space="preserve">go through </w:t>
      </w:r>
      <w:r w:rsidR="0020226F" w:rsidRPr="00813D19">
        <w:rPr>
          <w:lang w:val="en-US"/>
        </w:rPr>
        <w:t xml:space="preserve">the </w:t>
      </w:r>
      <w:r w:rsidR="002B66A5" w:rsidRPr="00813D19">
        <w:rPr>
          <w:lang w:val="en-US"/>
        </w:rPr>
        <w:t>key points rais</w:t>
      </w:r>
      <w:r w:rsidR="0020226F" w:rsidRPr="00813D19">
        <w:rPr>
          <w:lang w:val="en-US"/>
        </w:rPr>
        <w:t xml:space="preserve">ed in the </w:t>
      </w:r>
      <w:r w:rsidR="00FE37D4">
        <w:rPr>
          <w:lang w:val="en-US"/>
        </w:rPr>
        <w:t>sixteen</w:t>
      </w:r>
      <w:r w:rsidR="00FE37D4" w:rsidRPr="00813D19">
        <w:rPr>
          <w:lang w:val="en-US"/>
        </w:rPr>
        <w:t xml:space="preserve"> </w:t>
      </w:r>
      <w:r w:rsidR="0020226F" w:rsidRPr="00813D19">
        <w:rPr>
          <w:lang w:val="en-US"/>
        </w:rPr>
        <w:t>reports along the</w:t>
      </w:r>
      <w:r w:rsidR="002B66A5" w:rsidRPr="00813D19">
        <w:rPr>
          <w:lang w:val="en-US"/>
        </w:rPr>
        <w:t xml:space="preserve"> three thematic lines. The safeguarding plans implemented generally emphasize</w:t>
      </w:r>
      <w:r w:rsidR="0020226F" w:rsidRPr="00813D19">
        <w:rPr>
          <w:lang w:val="en-US"/>
        </w:rPr>
        <w:t>d</w:t>
      </w:r>
      <w:r w:rsidR="002B66A5" w:rsidRPr="00813D19">
        <w:rPr>
          <w:lang w:val="en-US"/>
        </w:rPr>
        <w:t xml:space="preserve"> the partial or full achievement of the objectives initially set out in the safeguarding plans contained in the nomination files. Two</w:t>
      </w:r>
      <w:r w:rsidR="00FB131E">
        <w:rPr>
          <w:lang w:val="en-US"/>
        </w:rPr>
        <w:t xml:space="preserve"> </w:t>
      </w:r>
      <w:r w:rsidR="002B66A5" w:rsidRPr="00813D19">
        <w:rPr>
          <w:lang w:val="en-US"/>
        </w:rPr>
        <w:t>thirds of the reports stress</w:t>
      </w:r>
      <w:r w:rsidR="0020226F" w:rsidRPr="00813D19">
        <w:rPr>
          <w:lang w:val="en-US"/>
        </w:rPr>
        <w:t>ed</w:t>
      </w:r>
      <w:r w:rsidR="002B66A5" w:rsidRPr="00813D19">
        <w:rPr>
          <w:lang w:val="en-US"/>
        </w:rPr>
        <w:t xml:space="preserve"> the importance of strengthening the capacities of the existing practitioners</w:t>
      </w:r>
      <w:r w:rsidR="0020226F" w:rsidRPr="00813D19">
        <w:rPr>
          <w:lang w:val="en-US"/>
        </w:rPr>
        <w:t>,</w:t>
      </w:r>
      <w:r w:rsidR="002B66A5" w:rsidRPr="00813D19">
        <w:rPr>
          <w:lang w:val="en-US"/>
        </w:rPr>
        <w:t xml:space="preserve"> as well as increasing their number. The</w:t>
      </w:r>
      <w:r w:rsidR="0020226F" w:rsidRPr="00813D19">
        <w:rPr>
          <w:lang w:val="en-US"/>
        </w:rPr>
        <w:t xml:space="preserve"> establishment of training cent</w:t>
      </w:r>
      <w:r w:rsidR="002B66A5" w:rsidRPr="00813D19">
        <w:rPr>
          <w:lang w:val="en-US"/>
        </w:rPr>
        <w:t>r</w:t>
      </w:r>
      <w:r w:rsidR="0020226F" w:rsidRPr="00813D19">
        <w:rPr>
          <w:lang w:val="en-US"/>
        </w:rPr>
        <w:t>e</w:t>
      </w:r>
      <w:r w:rsidR="002B66A5" w:rsidRPr="00813D19">
        <w:rPr>
          <w:lang w:val="en-US"/>
        </w:rPr>
        <w:t xml:space="preserve">s, </w:t>
      </w:r>
      <w:r w:rsidR="0020226F" w:rsidRPr="00813D19">
        <w:rPr>
          <w:lang w:val="en-US"/>
        </w:rPr>
        <w:t xml:space="preserve">the </w:t>
      </w:r>
      <w:r w:rsidR="002B66A5" w:rsidRPr="00813D19">
        <w:rPr>
          <w:lang w:val="en-US"/>
        </w:rPr>
        <w:t>transmission of traditional knowledge through its integration into educational curricula</w:t>
      </w:r>
      <w:r w:rsidR="0020226F" w:rsidRPr="00813D19">
        <w:rPr>
          <w:lang w:val="en-US"/>
        </w:rPr>
        <w:t>,</w:t>
      </w:r>
      <w:r w:rsidR="002B66A5" w:rsidRPr="00813D19">
        <w:rPr>
          <w:lang w:val="en-US"/>
        </w:rPr>
        <w:t xml:space="preserve"> and awareness-raising activities </w:t>
      </w:r>
      <w:r w:rsidR="0020226F" w:rsidRPr="00813D19">
        <w:rPr>
          <w:lang w:val="en-US"/>
        </w:rPr>
        <w:t xml:space="preserve">were </w:t>
      </w:r>
      <w:r w:rsidR="002B66A5" w:rsidRPr="00813D19">
        <w:rPr>
          <w:lang w:val="en-US"/>
        </w:rPr>
        <w:t>the most common activities. Eight reports focus</w:t>
      </w:r>
      <w:r w:rsidR="0020226F" w:rsidRPr="00813D19">
        <w:rPr>
          <w:lang w:val="en-US"/>
        </w:rPr>
        <w:t>ed</w:t>
      </w:r>
      <w:r w:rsidR="002B66A5" w:rsidRPr="00813D19">
        <w:rPr>
          <w:lang w:val="en-US"/>
        </w:rPr>
        <w:t xml:space="preserve"> on the importance of youth for improving the viability of the element. For instance, the safeguarding activities of the element </w:t>
      </w:r>
      <w:r w:rsidR="0020226F" w:rsidRPr="00813D19">
        <w:rPr>
          <w:lang w:val="en-US"/>
        </w:rPr>
        <w:t>‘</w:t>
      </w:r>
      <w:r w:rsidR="002B66A5" w:rsidRPr="00813D19">
        <w:rPr>
          <w:b/>
          <w:color w:val="000000"/>
          <w:lang w:val="en-US"/>
        </w:rPr>
        <w:t>Rite of the Kalyady Tsars</w:t>
      </w:r>
      <w:r w:rsidR="0029695A" w:rsidRPr="00813D19">
        <w:rPr>
          <w:b/>
          <w:color w:val="000000"/>
          <w:lang w:val="en-US"/>
        </w:rPr>
        <w:t xml:space="preserve"> (Christmas Tsars)</w:t>
      </w:r>
      <w:r w:rsidR="0029695A" w:rsidRPr="00813D19">
        <w:rPr>
          <w:color w:val="000000"/>
          <w:lang w:val="en-US"/>
        </w:rPr>
        <w:t>’ from Belarus included</w:t>
      </w:r>
      <w:r w:rsidR="002B66A5" w:rsidRPr="00813D19">
        <w:rPr>
          <w:color w:val="000000"/>
          <w:lang w:val="en-US"/>
        </w:rPr>
        <w:t xml:space="preserve"> designing and integrating training courses for school children and creating practical workshops linked to the making of equipment related to tsars. Another example </w:t>
      </w:r>
      <w:r w:rsidR="0029695A" w:rsidRPr="00813D19">
        <w:rPr>
          <w:color w:val="000000"/>
          <w:lang w:val="en-US"/>
        </w:rPr>
        <w:t xml:space="preserve">came </w:t>
      </w:r>
      <w:r w:rsidR="002B66A5" w:rsidRPr="00813D19">
        <w:rPr>
          <w:color w:val="000000"/>
          <w:lang w:val="en-US"/>
        </w:rPr>
        <w:t xml:space="preserve">from the report from France on the element </w:t>
      </w:r>
      <w:r w:rsidR="0029695A" w:rsidRPr="00813D19">
        <w:rPr>
          <w:color w:val="000000"/>
          <w:lang w:val="en-US"/>
        </w:rPr>
        <w:t>‘</w:t>
      </w:r>
      <w:r w:rsidR="002B66A5" w:rsidRPr="00813D19">
        <w:rPr>
          <w:b/>
          <w:color w:val="000000"/>
          <w:lang w:val="en-US"/>
        </w:rPr>
        <w:t>Cantu in paghjella</w:t>
      </w:r>
      <w:r w:rsidR="0029695A" w:rsidRPr="00813D19">
        <w:rPr>
          <w:color w:val="000000"/>
          <w:lang w:val="en-US"/>
        </w:rPr>
        <w:t>’</w:t>
      </w:r>
      <w:r w:rsidR="000E2AD8" w:rsidRPr="00813D19">
        <w:rPr>
          <w:color w:val="000000"/>
          <w:lang w:val="en-US"/>
        </w:rPr>
        <w:t>, which demonstrated</w:t>
      </w:r>
      <w:r w:rsidR="002B66A5" w:rsidRPr="00813D19">
        <w:rPr>
          <w:color w:val="000000"/>
          <w:lang w:val="en-US"/>
        </w:rPr>
        <w:t xml:space="preserve"> the success of integrating traditional knowl</w:t>
      </w:r>
      <w:r w:rsidR="000E2AD8" w:rsidRPr="00813D19">
        <w:rPr>
          <w:color w:val="000000"/>
          <w:lang w:val="en-US"/>
        </w:rPr>
        <w:t xml:space="preserve">edge into educational curricula, </w:t>
      </w:r>
      <w:r w:rsidR="002B66A5" w:rsidRPr="00813D19">
        <w:rPr>
          <w:color w:val="000000"/>
          <w:lang w:val="en-US"/>
        </w:rPr>
        <w:t xml:space="preserve">increasing the number of school children attending the paghjella workshops to more than 500. </w:t>
      </w:r>
      <w:r w:rsidR="00AD4332">
        <w:rPr>
          <w:color w:val="000000"/>
          <w:lang w:val="en-US"/>
        </w:rPr>
        <w:t>Of the reports, 60</w:t>
      </w:r>
      <w:r w:rsidR="00AD4332" w:rsidRPr="00813D19">
        <w:rPr>
          <w:color w:val="000000"/>
          <w:lang w:val="en-US"/>
        </w:rPr>
        <w:t xml:space="preserve"> </w:t>
      </w:r>
      <w:r w:rsidR="002B66A5" w:rsidRPr="00813D19">
        <w:rPr>
          <w:color w:val="000000"/>
          <w:lang w:val="en-US"/>
        </w:rPr>
        <w:t>per cent signal broader threats that go</w:t>
      </w:r>
      <w:r w:rsidR="000E2AD8" w:rsidRPr="00813D19">
        <w:rPr>
          <w:color w:val="000000"/>
          <w:lang w:val="en-US"/>
        </w:rPr>
        <w:t xml:space="preserve"> beyond the cultural dimension, such as </w:t>
      </w:r>
      <w:r w:rsidR="002B66A5" w:rsidRPr="00813D19">
        <w:rPr>
          <w:color w:val="000000"/>
          <w:lang w:val="en-US"/>
        </w:rPr>
        <w:t xml:space="preserve">environmental and natural resources associated with the living heritage, </w:t>
      </w:r>
      <w:r w:rsidR="000E2AD8" w:rsidRPr="00813D19">
        <w:rPr>
          <w:color w:val="000000"/>
          <w:lang w:val="en-US"/>
        </w:rPr>
        <w:t xml:space="preserve">and </w:t>
      </w:r>
      <w:r w:rsidR="002B66A5" w:rsidRPr="00813D19">
        <w:rPr>
          <w:color w:val="000000"/>
          <w:lang w:val="en-US"/>
        </w:rPr>
        <w:t>socio-political and economic contexts. The safeguarding plans highlight</w:t>
      </w:r>
      <w:r w:rsidR="00FA3CBD" w:rsidRPr="00813D19">
        <w:rPr>
          <w:color w:val="000000"/>
          <w:lang w:val="en-US"/>
        </w:rPr>
        <w:t>ed</w:t>
      </w:r>
      <w:r w:rsidR="002B66A5" w:rsidRPr="00813D19">
        <w:rPr>
          <w:color w:val="000000"/>
          <w:lang w:val="en-US"/>
        </w:rPr>
        <w:t xml:space="preserve"> the broad cooperation put in place among different stakeholders to address these challenges. The report from Guatemala </w:t>
      </w:r>
      <w:r w:rsidR="000E2AD8" w:rsidRPr="00813D19">
        <w:rPr>
          <w:color w:val="000000"/>
          <w:lang w:val="en-US"/>
        </w:rPr>
        <w:t xml:space="preserve">on </w:t>
      </w:r>
      <w:r w:rsidR="002B66A5" w:rsidRPr="00813D19">
        <w:rPr>
          <w:color w:val="000000"/>
          <w:lang w:val="en-US"/>
        </w:rPr>
        <w:t xml:space="preserve">the element </w:t>
      </w:r>
      <w:r w:rsidR="000E2AD8" w:rsidRPr="00813D19">
        <w:rPr>
          <w:color w:val="000000"/>
          <w:lang w:val="en-US"/>
        </w:rPr>
        <w:t>‘</w:t>
      </w:r>
      <w:r w:rsidR="002B66A5" w:rsidRPr="00813D19">
        <w:rPr>
          <w:b/>
          <w:lang w:val="en-US"/>
        </w:rPr>
        <w:t>Nan Pa’ch ceremony</w:t>
      </w:r>
      <w:r w:rsidR="000E2AD8" w:rsidRPr="00813D19">
        <w:rPr>
          <w:lang w:val="en-US"/>
        </w:rPr>
        <w:t>’</w:t>
      </w:r>
      <w:r w:rsidR="00FA3CBD" w:rsidRPr="00813D19">
        <w:rPr>
          <w:lang w:val="en-US"/>
        </w:rPr>
        <w:t xml:space="preserve"> talked</w:t>
      </w:r>
      <w:r w:rsidR="002B66A5" w:rsidRPr="00813D19">
        <w:rPr>
          <w:lang w:val="en-US"/>
        </w:rPr>
        <w:t xml:space="preserve"> about the safeguarding activities designed </w:t>
      </w:r>
      <w:r w:rsidR="000E2AD8" w:rsidRPr="00813D19">
        <w:rPr>
          <w:lang w:val="en-US"/>
        </w:rPr>
        <w:t xml:space="preserve">to take </w:t>
      </w:r>
      <w:r w:rsidR="002B66A5" w:rsidRPr="00813D19">
        <w:rPr>
          <w:lang w:val="en-US"/>
        </w:rPr>
        <w:t>into consideration the socio-political, economic and cultural realities of the communities.</w:t>
      </w:r>
      <w:r w:rsidR="000E2AD8" w:rsidRPr="00813D19">
        <w:rPr>
          <w:lang w:val="en-US"/>
        </w:rPr>
        <w:t xml:space="preserve"> The safeguarding plan for the ‘</w:t>
      </w:r>
      <w:r w:rsidR="000E2AD8" w:rsidRPr="00813D19">
        <w:rPr>
          <w:b/>
          <w:lang w:val="en-US"/>
        </w:rPr>
        <w:t>T</w:t>
      </w:r>
      <w:r w:rsidR="002B66A5" w:rsidRPr="00813D19">
        <w:rPr>
          <w:b/>
          <w:lang w:val="en-US"/>
        </w:rPr>
        <w:t xml:space="preserve">raditions </w:t>
      </w:r>
      <w:r w:rsidR="000E2AD8" w:rsidRPr="00813D19">
        <w:rPr>
          <w:b/>
          <w:lang w:val="en-US"/>
        </w:rPr>
        <w:t xml:space="preserve">and practices </w:t>
      </w:r>
      <w:r w:rsidR="002B66A5" w:rsidRPr="00813D19">
        <w:rPr>
          <w:b/>
          <w:lang w:val="en-US"/>
        </w:rPr>
        <w:t>associated with the Kayas</w:t>
      </w:r>
      <w:r w:rsidR="000E2AD8" w:rsidRPr="0016273D">
        <w:rPr>
          <w:bCs/>
          <w:lang w:val="en-US"/>
        </w:rPr>
        <w:t>’</w:t>
      </w:r>
      <w:r w:rsidR="002B66A5" w:rsidRPr="00813D19">
        <w:rPr>
          <w:lang w:val="en-US"/>
        </w:rPr>
        <w:t xml:space="preserve"> in Kenya also aim</w:t>
      </w:r>
      <w:r w:rsidR="000E2AD8" w:rsidRPr="00813D19">
        <w:rPr>
          <w:lang w:val="en-US"/>
        </w:rPr>
        <w:t>ed</w:t>
      </w:r>
      <w:r w:rsidR="002B66A5" w:rsidRPr="00813D19">
        <w:rPr>
          <w:lang w:val="en-US"/>
        </w:rPr>
        <w:t xml:space="preserve"> to conserve and enhance </w:t>
      </w:r>
      <w:r w:rsidR="000E2AD8" w:rsidRPr="00813D19">
        <w:rPr>
          <w:lang w:val="en-US"/>
        </w:rPr>
        <w:t>cultural and natural heritage,</w:t>
      </w:r>
      <w:r w:rsidR="002B66A5" w:rsidRPr="00813D19">
        <w:rPr>
          <w:lang w:val="en-US"/>
        </w:rPr>
        <w:t xml:space="preserve"> as well as empower the Mijikenda community and </w:t>
      </w:r>
      <w:r w:rsidR="0016273D">
        <w:rPr>
          <w:lang w:val="en-US"/>
        </w:rPr>
        <w:t>their livelihood opportunities.</w:t>
      </w:r>
    </w:p>
    <w:p w14:paraId="29D296E2" w14:textId="4B752BF8" w:rsidR="000F36C1" w:rsidRPr="0016273D" w:rsidRDefault="000E2AD8" w:rsidP="00701B95">
      <w:pPr>
        <w:pStyle w:val="Orateurengris"/>
        <w:widowControl w:val="0"/>
        <w:spacing w:before="120"/>
        <w:ind w:left="709" w:hanging="709"/>
        <w:rPr>
          <w:bCs/>
          <w:color w:val="000000" w:themeColor="text1"/>
          <w:lang w:val="en-US"/>
        </w:rPr>
      </w:pPr>
      <w:r w:rsidRPr="00813D19">
        <w:rPr>
          <w:lang w:val="en-US"/>
        </w:rPr>
        <w:t xml:space="preserve">The </w:t>
      </w:r>
      <w:r w:rsidRPr="00813D19">
        <w:rPr>
          <w:b/>
          <w:lang w:val="en-US"/>
        </w:rPr>
        <w:t>Secretary</w:t>
      </w:r>
      <w:r w:rsidRPr="00813D19">
        <w:rPr>
          <w:lang w:val="en-US"/>
        </w:rPr>
        <w:t xml:space="preserve"> then spoke of </w:t>
      </w:r>
      <w:r w:rsidR="00FA3CBD" w:rsidRPr="00813D19">
        <w:rPr>
          <w:lang w:val="en-US"/>
        </w:rPr>
        <w:t>the case of Mongolia</w:t>
      </w:r>
      <w:r w:rsidR="00AD4332">
        <w:rPr>
          <w:lang w:val="en-US"/>
        </w:rPr>
        <w:t>,</w:t>
      </w:r>
      <w:r w:rsidR="00FA3CBD" w:rsidRPr="00813D19">
        <w:rPr>
          <w:lang w:val="en-US"/>
        </w:rPr>
        <w:t xml:space="preserve"> wh</w:t>
      </w:r>
      <w:r w:rsidR="000F36C1" w:rsidRPr="00813D19">
        <w:rPr>
          <w:lang w:val="en-US"/>
        </w:rPr>
        <w:t xml:space="preserve">ere </w:t>
      </w:r>
      <w:r w:rsidR="002B66A5" w:rsidRPr="00813D19">
        <w:rPr>
          <w:lang w:val="en-US"/>
        </w:rPr>
        <w:t xml:space="preserve">safeguarding activities </w:t>
      </w:r>
      <w:r w:rsidR="000F36C1" w:rsidRPr="00813D19">
        <w:rPr>
          <w:lang w:val="en-US"/>
        </w:rPr>
        <w:t xml:space="preserve">were </w:t>
      </w:r>
      <w:r w:rsidR="002B66A5" w:rsidRPr="00813D19">
        <w:rPr>
          <w:lang w:val="en-US"/>
        </w:rPr>
        <w:t>mainly conducted at the national level</w:t>
      </w:r>
      <w:r w:rsidR="000F36C1" w:rsidRPr="00813D19">
        <w:rPr>
          <w:lang w:val="en-US"/>
        </w:rPr>
        <w:t>,</w:t>
      </w:r>
      <w:r w:rsidR="002B66A5" w:rsidRPr="00813D19">
        <w:rPr>
          <w:lang w:val="en-US"/>
        </w:rPr>
        <w:t xml:space="preserve"> thus portraying the important role central agencies play in safeguarding efforts. The reports on all four inscribed elements include</w:t>
      </w:r>
      <w:r w:rsidR="000F36C1" w:rsidRPr="00813D19">
        <w:rPr>
          <w:lang w:val="en-US"/>
        </w:rPr>
        <w:t>d</w:t>
      </w:r>
      <w:r w:rsidR="002B66A5" w:rsidRPr="00813D19">
        <w:rPr>
          <w:lang w:val="en-US"/>
        </w:rPr>
        <w:t xml:space="preserve"> safeguarding activities identified in the framework of the national comprehensive programme for the safeguarding of intangi</w:t>
      </w:r>
      <w:r w:rsidRPr="00813D19">
        <w:rPr>
          <w:lang w:val="en-US"/>
        </w:rPr>
        <w:t>ble cultural heritage from 2018–</w:t>
      </w:r>
      <w:r w:rsidR="000F36C1" w:rsidRPr="00813D19">
        <w:rPr>
          <w:lang w:val="en-US"/>
        </w:rPr>
        <w:t>2025. This seemed</w:t>
      </w:r>
      <w:r w:rsidR="002B66A5" w:rsidRPr="00813D19">
        <w:rPr>
          <w:lang w:val="en-US"/>
        </w:rPr>
        <w:t xml:space="preserve"> an important action to streamline the safeguarding efforts and </w:t>
      </w:r>
      <w:r w:rsidR="000F36C1" w:rsidRPr="00813D19">
        <w:rPr>
          <w:lang w:val="en-US"/>
        </w:rPr>
        <w:t xml:space="preserve">to </w:t>
      </w:r>
      <w:r w:rsidR="002B66A5" w:rsidRPr="00813D19">
        <w:rPr>
          <w:lang w:val="en-US"/>
        </w:rPr>
        <w:t>have a coherent approach at the national level. However, as safeguarding activities for each element require specific challenges and needs</w:t>
      </w:r>
      <w:r w:rsidR="00AD4332">
        <w:rPr>
          <w:lang w:val="en-US"/>
        </w:rPr>
        <w:t xml:space="preserve"> to be addressed</w:t>
      </w:r>
      <w:r w:rsidR="002B66A5" w:rsidRPr="00813D19">
        <w:rPr>
          <w:lang w:val="en-US"/>
        </w:rPr>
        <w:t xml:space="preserve">, details about concrete measures for </w:t>
      </w:r>
      <w:r w:rsidR="00AD4332">
        <w:rPr>
          <w:lang w:val="en-US"/>
        </w:rPr>
        <w:t xml:space="preserve">the </w:t>
      </w:r>
      <w:r w:rsidR="002B66A5" w:rsidRPr="00813D19">
        <w:rPr>
          <w:lang w:val="en-US"/>
        </w:rPr>
        <w:t xml:space="preserve">safeguarding of each element would help better understand the safeguarding strategy. Therefore, Mongolia </w:t>
      </w:r>
      <w:r w:rsidR="000F36C1" w:rsidRPr="00813D19">
        <w:rPr>
          <w:lang w:val="en-US"/>
        </w:rPr>
        <w:t xml:space="preserve">was </w:t>
      </w:r>
      <w:r w:rsidR="002B66A5" w:rsidRPr="00813D19">
        <w:rPr>
          <w:lang w:val="en-US"/>
        </w:rPr>
        <w:t xml:space="preserve">invited in the respective draft decisions to update the safeguarding plans and provide further details in its next </w:t>
      </w:r>
      <w:r w:rsidR="000F36C1" w:rsidRPr="00813D19">
        <w:rPr>
          <w:lang w:val="en-US"/>
        </w:rPr>
        <w:t>reports. The document highlighted</w:t>
      </w:r>
      <w:r w:rsidR="002B66A5" w:rsidRPr="00813D19">
        <w:rPr>
          <w:lang w:val="en-US"/>
        </w:rPr>
        <w:t xml:space="preserve"> the importance of the International Assistance that </w:t>
      </w:r>
      <w:r w:rsidR="000F36C1" w:rsidRPr="00813D19">
        <w:rPr>
          <w:lang w:val="en-US"/>
        </w:rPr>
        <w:t xml:space="preserve">had </w:t>
      </w:r>
      <w:r w:rsidR="002B66A5" w:rsidRPr="00813D19">
        <w:rPr>
          <w:lang w:val="en-US"/>
        </w:rPr>
        <w:t xml:space="preserve">been granted from the </w:t>
      </w:r>
      <w:r w:rsidR="000F36C1" w:rsidRPr="00813D19">
        <w:rPr>
          <w:lang w:val="en-US"/>
        </w:rPr>
        <w:t xml:space="preserve">ICH </w:t>
      </w:r>
      <w:r w:rsidR="002B66A5" w:rsidRPr="00813D19">
        <w:rPr>
          <w:lang w:val="en-US"/>
        </w:rPr>
        <w:t xml:space="preserve">Fund to safeguard some of the inscribed elements. Such </w:t>
      </w:r>
      <w:r w:rsidR="000F36C1" w:rsidRPr="00813D19">
        <w:rPr>
          <w:lang w:val="en-US"/>
        </w:rPr>
        <w:t xml:space="preserve">was </w:t>
      </w:r>
      <w:r w:rsidR="002B66A5" w:rsidRPr="00813D19">
        <w:rPr>
          <w:lang w:val="en-US"/>
        </w:rPr>
        <w:t>the case for Uganda</w:t>
      </w:r>
      <w:r w:rsidR="00AD4332">
        <w:rPr>
          <w:lang w:val="en-US"/>
        </w:rPr>
        <w:t>,</w:t>
      </w:r>
      <w:r w:rsidR="002B66A5" w:rsidRPr="00813D19">
        <w:rPr>
          <w:lang w:val="en-US"/>
        </w:rPr>
        <w:t xml:space="preserve"> </w:t>
      </w:r>
      <w:r w:rsidR="00AD4332">
        <w:rPr>
          <w:lang w:val="en-US"/>
        </w:rPr>
        <w:t xml:space="preserve">which </w:t>
      </w:r>
      <w:r w:rsidR="002B66A5" w:rsidRPr="00813D19">
        <w:rPr>
          <w:lang w:val="en-US"/>
        </w:rPr>
        <w:t xml:space="preserve">received International Assistance in 2017 for </w:t>
      </w:r>
      <w:r w:rsidR="00AD4332">
        <w:rPr>
          <w:lang w:val="en-US"/>
        </w:rPr>
        <w:t xml:space="preserve">the </w:t>
      </w:r>
      <w:r w:rsidR="002B66A5" w:rsidRPr="00813D19">
        <w:rPr>
          <w:lang w:val="en-US"/>
        </w:rPr>
        <w:t xml:space="preserve">community-based self-documentation and revitalization of ceremonies and practices associated with the </w:t>
      </w:r>
      <w:r w:rsidR="000F36C1" w:rsidRPr="00813D19">
        <w:rPr>
          <w:lang w:val="en-US"/>
        </w:rPr>
        <w:t>‘</w:t>
      </w:r>
      <w:r w:rsidR="002B66A5" w:rsidRPr="00813D19">
        <w:rPr>
          <w:b/>
          <w:lang w:val="en-US"/>
        </w:rPr>
        <w:t xml:space="preserve">Empaako </w:t>
      </w:r>
      <w:r w:rsidR="000F36C1" w:rsidRPr="00813D19">
        <w:rPr>
          <w:b/>
          <w:lang w:val="en-US"/>
        </w:rPr>
        <w:t>tradition</w:t>
      </w:r>
      <w:r w:rsidR="000F36C1" w:rsidRPr="00813D19">
        <w:rPr>
          <w:lang w:val="en-US"/>
        </w:rPr>
        <w:t>’</w:t>
      </w:r>
      <w:r w:rsidR="002B66A5" w:rsidRPr="00813D19">
        <w:rPr>
          <w:lang w:val="en-US"/>
        </w:rPr>
        <w:t>. A descri</w:t>
      </w:r>
      <w:r w:rsidR="000F36C1" w:rsidRPr="00813D19">
        <w:rPr>
          <w:lang w:val="en-US"/>
        </w:rPr>
        <w:t xml:space="preserve">ption of how </w:t>
      </w:r>
      <w:r w:rsidR="00AD4332">
        <w:rPr>
          <w:lang w:val="en-US"/>
        </w:rPr>
        <w:t>this</w:t>
      </w:r>
      <w:r w:rsidR="00AD4332" w:rsidRPr="00813D19">
        <w:rPr>
          <w:lang w:val="en-US"/>
        </w:rPr>
        <w:t xml:space="preserve"> </w:t>
      </w:r>
      <w:r w:rsidR="000F36C1" w:rsidRPr="00813D19">
        <w:rPr>
          <w:lang w:val="en-US"/>
        </w:rPr>
        <w:t>assistance had</w:t>
      </w:r>
      <w:r w:rsidR="002B66A5" w:rsidRPr="00813D19">
        <w:rPr>
          <w:lang w:val="en-US"/>
        </w:rPr>
        <w:t xml:space="preserve"> helped safeguard the element </w:t>
      </w:r>
      <w:r w:rsidR="000F36C1" w:rsidRPr="00813D19">
        <w:rPr>
          <w:lang w:val="en-US"/>
        </w:rPr>
        <w:t xml:space="preserve">would </w:t>
      </w:r>
      <w:r w:rsidR="002B66A5" w:rsidRPr="00813D19">
        <w:rPr>
          <w:lang w:val="en-US"/>
        </w:rPr>
        <w:t xml:space="preserve">allow the Committee to better understand its impact. States </w:t>
      </w:r>
      <w:r w:rsidR="000F36C1" w:rsidRPr="00813D19">
        <w:rPr>
          <w:lang w:val="en-US"/>
        </w:rPr>
        <w:t xml:space="preserve">were </w:t>
      </w:r>
      <w:r w:rsidR="002B66A5" w:rsidRPr="00813D19">
        <w:rPr>
          <w:lang w:val="en-US"/>
        </w:rPr>
        <w:t xml:space="preserve">generally encouraged to coordinate these actions with the ongoing safeguarding measures as per </w:t>
      </w:r>
      <w:r w:rsidR="00AD4332">
        <w:rPr>
          <w:lang w:val="en-US"/>
        </w:rPr>
        <w:t xml:space="preserve">the </w:t>
      </w:r>
      <w:r w:rsidR="002B66A5" w:rsidRPr="00813D19">
        <w:rPr>
          <w:lang w:val="en-US"/>
        </w:rPr>
        <w:t xml:space="preserve">submitted file. Overall, the majority of States reported that communities play an important role in designing, implementing and monitoring the safeguarding plan. An increased involvement of </w:t>
      </w:r>
      <w:r w:rsidR="000F36C1" w:rsidRPr="00813D19">
        <w:rPr>
          <w:lang w:val="en-US"/>
        </w:rPr>
        <w:t>NGOs</w:t>
      </w:r>
      <w:r w:rsidR="002B66A5" w:rsidRPr="00813D19">
        <w:rPr>
          <w:lang w:val="en-US"/>
        </w:rPr>
        <w:t>, associ</w:t>
      </w:r>
      <w:r w:rsidR="000F36C1" w:rsidRPr="00813D19">
        <w:rPr>
          <w:lang w:val="en-US"/>
        </w:rPr>
        <w:t>ations and local governments had</w:t>
      </w:r>
      <w:r w:rsidR="002B66A5" w:rsidRPr="00813D19">
        <w:rPr>
          <w:lang w:val="en-US"/>
        </w:rPr>
        <w:t xml:space="preserve"> been emphasized</w:t>
      </w:r>
      <w:r w:rsidR="000F36C1" w:rsidRPr="00813D19">
        <w:rPr>
          <w:lang w:val="en-US"/>
        </w:rPr>
        <w:t>,</w:t>
      </w:r>
      <w:r w:rsidR="002B66A5" w:rsidRPr="00813D19">
        <w:rPr>
          <w:lang w:val="en-US"/>
        </w:rPr>
        <w:t xml:space="preserve"> such as in the report from Latvia on the element </w:t>
      </w:r>
      <w:r w:rsidR="000F36C1" w:rsidRPr="00813D19">
        <w:rPr>
          <w:lang w:val="en-US"/>
        </w:rPr>
        <w:t>‘</w:t>
      </w:r>
      <w:r w:rsidR="002B66A5" w:rsidRPr="00813D19">
        <w:rPr>
          <w:b/>
          <w:lang w:val="en-US"/>
        </w:rPr>
        <w:t>Suiti cultural space</w:t>
      </w:r>
      <w:r w:rsidR="000F36C1" w:rsidRPr="00813D19">
        <w:rPr>
          <w:lang w:val="en-US"/>
        </w:rPr>
        <w:t>’</w:t>
      </w:r>
      <w:r w:rsidR="00AD4332">
        <w:rPr>
          <w:lang w:val="en-US"/>
        </w:rPr>
        <w:t>,</w:t>
      </w:r>
      <w:r w:rsidR="002B66A5" w:rsidRPr="00813D19">
        <w:rPr>
          <w:lang w:val="en-US"/>
        </w:rPr>
        <w:t xml:space="preserve"> where details </w:t>
      </w:r>
      <w:r w:rsidR="000F36C1" w:rsidRPr="00813D19">
        <w:rPr>
          <w:lang w:val="en-US"/>
        </w:rPr>
        <w:t xml:space="preserve">on </w:t>
      </w:r>
      <w:r w:rsidR="002B66A5" w:rsidRPr="00813D19">
        <w:rPr>
          <w:lang w:val="en-US"/>
        </w:rPr>
        <w:t xml:space="preserve">the opening community participation approach for the preparation and implementation of the safeguarding plan </w:t>
      </w:r>
      <w:r w:rsidR="00AD4332">
        <w:rPr>
          <w:lang w:val="en-US"/>
        </w:rPr>
        <w:t xml:space="preserve">had </w:t>
      </w:r>
      <w:r w:rsidR="002B66A5" w:rsidRPr="00813D19">
        <w:rPr>
          <w:lang w:val="en-US"/>
        </w:rPr>
        <w:t xml:space="preserve">further led to a multiannual cooperation with Liv communities in Latvia and the </w:t>
      </w:r>
      <w:r w:rsidR="002B66A5" w:rsidRPr="00813D19">
        <w:rPr>
          <w:bCs/>
          <w:lang w:val="en-US"/>
        </w:rPr>
        <w:t>Seto and Kihnu</w:t>
      </w:r>
      <w:r w:rsidR="002B66A5" w:rsidRPr="00813D19">
        <w:rPr>
          <w:lang w:val="en-US"/>
        </w:rPr>
        <w:t xml:space="preserve"> Island communities in Estonia. A similar approach </w:t>
      </w:r>
      <w:r w:rsidR="00AD4332">
        <w:rPr>
          <w:lang w:val="en-US"/>
        </w:rPr>
        <w:t>could be</w:t>
      </w:r>
      <w:r w:rsidR="00AD4332" w:rsidRPr="00813D19">
        <w:rPr>
          <w:lang w:val="en-US"/>
        </w:rPr>
        <w:t xml:space="preserve"> </w:t>
      </w:r>
      <w:r w:rsidR="002B66A5" w:rsidRPr="00813D19">
        <w:rPr>
          <w:lang w:val="en-US"/>
        </w:rPr>
        <w:t xml:space="preserve">witnessed in </w:t>
      </w:r>
      <w:r w:rsidR="002B66A5" w:rsidRPr="00813D19">
        <w:rPr>
          <w:bCs/>
          <w:lang w:val="en-US"/>
        </w:rPr>
        <w:t xml:space="preserve">Kyrgyzstan for the safeguarding of </w:t>
      </w:r>
      <w:r w:rsidR="000F36C1" w:rsidRPr="00813D19">
        <w:rPr>
          <w:bCs/>
          <w:lang w:val="en-US"/>
        </w:rPr>
        <w:t>‘</w:t>
      </w:r>
      <w:r w:rsidR="002B66A5" w:rsidRPr="00813D19">
        <w:rPr>
          <w:b/>
          <w:bCs/>
          <w:lang w:val="en-US"/>
        </w:rPr>
        <w:t>Kyrgyz traditional felt carpets</w:t>
      </w:r>
      <w:r w:rsidR="000F36C1" w:rsidRPr="00813D19">
        <w:rPr>
          <w:bCs/>
          <w:lang w:val="en-US"/>
        </w:rPr>
        <w:t>’,</w:t>
      </w:r>
      <w:r w:rsidR="002B66A5" w:rsidRPr="00813D19">
        <w:rPr>
          <w:bCs/>
          <w:lang w:val="en-US"/>
        </w:rPr>
        <w:t xml:space="preserve"> as well as in Mali for the element </w:t>
      </w:r>
      <w:r w:rsidR="000F36C1" w:rsidRPr="00813D19">
        <w:rPr>
          <w:bCs/>
          <w:lang w:val="en-US"/>
        </w:rPr>
        <w:t>‘</w:t>
      </w:r>
      <w:r w:rsidR="002B66A5" w:rsidRPr="00813D19">
        <w:rPr>
          <w:b/>
          <w:bCs/>
          <w:lang w:val="en-US"/>
        </w:rPr>
        <w:t>Sanké mon</w:t>
      </w:r>
      <w:r w:rsidR="000F36C1" w:rsidRPr="00813D19">
        <w:rPr>
          <w:bCs/>
          <w:lang w:val="en-US"/>
        </w:rPr>
        <w:t>’</w:t>
      </w:r>
      <w:r w:rsidR="002B66A5" w:rsidRPr="00813D19">
        <w:rPr>
          <w:bCs/>
          <w:lang w:val="en-US"/>
        </w:rPr>
        <w:t xml:space="preserve"> whereby the communities</w:t>
      </w:r>
      <w:r w:rsidR="000F36C1" w:rsidRPr="00813D19">
        <w:rPr>
          <w:bCs/>
          <w:lang w:val="en-US"/>
        </w:rPr>
        <w:t>,</w:t>
      </w:r>
      <w:r w:rsidR="002B66A5" w:rsidRPr="00813D19">
        <w:rPr>
          <w:bCs/>
          <w:lang w:val="en-US"/>
        </w:rPr>
        <w:t xml:space="preserve"> as well as local organizations and NGOs</w:t>
      </w:r>
      <w:r w:rsidR="00AD4332">
        <w:rPr>
          <w:bCs/>
          <w:lang w:val="en-US"/>
        </w:rPr>
        <w:t>,</w:t>
      </w:r>
      <w:r w:rsidR="002B66A5" w:rsidRPr="00813D19">
        <w:rPr>
          <w:bCs/>
          <w:lang w:val="en-US"/>
        </w:rPr>
        <w:t xml:space="preserve"> </w:t>
      </w:r>
      <w:r w:rsidR="000F36C1" w:rsidRPr="00813D19">
        <w:rPr>
          <w:bCs/>
          <w:lang w:val="en-US"/>
        </w:rPr>
        <w:t xml:space="preserve">were </w:t>
      </w:r>
      <w:r w:rsidR="002B66A5" w:rsidRPr="00813D19">
        <w:rPr>
          <w:bCs/>
          <w:lang w:val="en-US"/>
        </w:rPr>
        <w:t>involved in policy development for improving the sa</w:t>
      </w:r>
      <w:r w:rsidR="0016273D">
        <w:rPr>
          <w:bCs/>
          <w:lang w:val="en-US"/>
        </w:rPr>
        <w:t>feguarding measures.</w:t>
      </w:r>
    </w:p>
    <w:p w14:paraId="2775437E" w14:textId="75E80E17" w:rsidR="00E02766" w:rsidRPr="0016273D" w:rsidRDefault="000F36C1" w:rsidP="00701B95">
      <w:pPr>
        <w:pStyle w:val="Orateurengris"/>
        <w:widowControl w:val="0"/>
        <w:spacing w:before="120"/>
        <w:ind w:left="709" w:hanging="709"/>
        <w:rPr>
          <w:bCs/>
          <w:color w:val="000000" w:themeColor="text1"/>
          <w:lang w:val="en-US"/>
        </w:rPr>
      </w:pPr>
      <w:r w:rsidRPr="00813D19">
        <w:rPr>
          <w:bCs/>
          <w:lang w:val="en-US"/>
        </w:rPr>
        <w:t xml:space="preserve">The </w:t>
      </w:r>
      <w:r w:rsidRPr="00813D19">
        <w:rPr>
          <w:b/>
          <w:bCs/>
          <w:lang w:val="en-US"/>
        </w:rPr>
        <w:t>Secretary</w:t>
      </w:r>
      <w:r w:rsidRPr="00813D19">
        <w:rPr>
          <w:bCs/>
          <w:lang w:val="en-US"/>
        </w:rPr>
        <w:t xml:space="preserve"> further noted that a</w:t>
      </w:r>
      <w:r w:rsidR="002B66A5" w:rsidRPr="00813D19">
        <w:rPr>
          <w:bCs/>
          <w:lang w:val="en-US"/>
        </w:rPr>
        <w:t xml:space="preserve">bout half the reports </w:t>
      </w:r>
      <w:r w:rsidR="00D64CF3" w:rsidRPr="00813D19">
        <w:rPr>
          <w:bCs/>
          <w:lang w:val="en-US"/>
        </w:rPr>
        <w:t>mentioned</w:t>
      </w:r>
      <w:r w:rsidR="002B66A5" w:rsidRPr="00813D19">
        <w:rPr>
          <w:bCs/>
          <w:lang w:val="en-US"/>
        </w:rPr>
        <w:t xml:space="preserve"> gender roles and responsibilities in the implementation of the </w:t>
      </w:r>
      <w:r w:rsidR="00D34657" w:rsidRPr="00813D19">
        <w:rPr>
          <w:bCs/>
          <w:lang w:val="en-US"/>
        </w:rPr>
        <w:t xml:space="preserve">safeguarding plan. </w:t>
      </w:r>
      <w:r w:rsidR="00266C4D" w:rsidRPr="00813D19">
        <w:rPr>
          <w:bCs/>
          <w:lang w:val="en-US"/>
        </w:rPr>
        <w:t>T</w:t>
      </w:r>
      <w:r w:rsidR="00D34657" w:rsidRPr="00813D19">
        <w:rPr>
          <w:bCs/>
          <w:lang w:val="en-US"/>
        </w:rPr>
        <w:t xml:space="preserve">hese </w:t>
      </w:r>
      <w:r w:rsidR="002B66A5" w:rsidRPr="00813D19">
        <w:rPr>
          <w:bCs/>
          <w:lang w:val="en-US"/>
        </w:rPr>
        <w:t>reports mention</w:t>
      </w:r>
      <w:r w:rsidR="00266C4D" w:rsidRPr="00813D19">
        <w:rPr>
          <w:bCs/>
          <w:lang w:val="en-US"/>
        </w:rPr>
        <w:t>ed</w:t>
      </w:r>
      <w:r w:rsidR="002B66A5" w:rsidRPr="00813D19">
        <w:rPr>
          <w:bCs/>
          <w:lang w:val="en-US"/>
        </w:rPr>
        <w:t xml:space="preserve"> </w:t>
      </w:r>
      <w:r w:rsidR="00086553" w:rsidRPr="00813D19">
        <w:rPr>
          <w:bCs/>
          <w:lang w:val="en-US"/>
        </w:rPr>
        <w:t xml:space="preserve">the </w:t>
      </w:r>
      <w:r w:rsidR="002B66A5" w:rsidRPr="00813D19">
        <w:rPr>
          <w:bCs/>
          <w:lang w:val="en-US"/>
        </w:rPr>
        <w:t>increasing participation of women in designing and implementing these plans. For instance, Viet Nam on</w:t>
      </w:r>
      <w:r w:rsidR="00266C4D" w:rsidRPr="00813D19">
        <w:rPr>
          <w:bCs/>
          <w:lang w:val="en-US"/>
        </w:rPr>
        <w:t xml:space="preserve"> ‘</w:t>
      </w:r>
      <w:r w:rsidR="00266C4D" w:rsidRPr="00813D19">
        <w:rPr>
          <w:b/>
          <w:bCs/>
          <w:lang w:val="en-US"/>
        </w:rPr>
        <w:t>Ca trù singing</w:t>
      </w:r>
      <w:r w:rsidR="00266C4D" w:rsidRPr="00813D19">
        <w:rPr>
          <w:bCs/>
          <w:lang w:val="en-US"/>
        </w:rPr>
        <w:t>’ reports that 80 per cent</w:t>
      </w:r>
      <w:r w:rsidR="002B66A5" w:rsidRPr="00813D19">
        <w:rPr>
          <w:bCs/>
          <w:lang w:val="en-US"/>
        </w:rPr>
        <w:t xml:space="preserve"> of their practitioners are now women</w:t>
      </w:r>
      <w:r w:rsidR="00266C4D" w:rsidRPr="00813D19">
        <w:rPr>
          <w:bCs/>
          <w:lang w:val="en-US"/>
        </w:rPr>
        <w:t>,</w:t>
      </w:r>
      <w:r w:rsidR="002B66A5" w:rsidRPr="00813D19">
        <w:rPr>
          <w:bCs/>
          <w:lang w:val="en-US"/>
        </w:rPr>
        <w:t xml:space="preserve"> and in addition</w:t>
      </w:r>
      <w:r w:rsidR="00266C4D" w:rsidRPr="00813D19">
        <w:rPr>
          <w:bCs/>
          <w:lang w:val="en-US"/>
        </w:rPr>
        <w:t>,</w:t>
      </w:r>
      <w:r w:rsidR="002B66A5" w:rsidRPr="00813D19">
        <w:rPr>
          <w:bCs/>
          <w:lang w:val="en-US"/>
        </w:rPr>
        <w:t xml:space="preserve"> Mauritania’s report on the </w:t>
      </w:r>
      <w:r w:rsidR="00266C4D" w:rsidRPr="00813D19">
        <w:rPr>
          <w:bCs/>
          <w:lang w:val="en-US"/>
        </w:rPr>
        <w:t>‘</w:t>
      </w:r>
      <w:r w:rsidR="002B66A5" w:rsidRPr="00813D19">
        <w:rPr>
          <w:b/>
          <w:bCs/>
          <w:lang w:val="en-US"/>
        </w:rPr>
        <w:t>Moorish epic T’heydinn</w:t>
      </w:r>
      <w:r w:rsidR="00266C4D" w:rsidRPr="00813D19">
        <w:rPr>
          <w:bCs/>
          <w:lang w:val="en-US"/>
        </w:rPr>
        <w:t>’ referred</w:t>
      </w:r>
      <w:r w:rsidR="002B66A5" w:rsidRPr="00813D19">
        <w:rPr>
          <w:bCs/>
          <w:lang w:val="en-US"/>
        </w:rPr>
        <w:t xml:space="preserve"> to the importance of the involvement of both men and women in the implementation of the safeguarding plan. Overall, the reports mention</w:t>
      </w:r>
      <w:r w:rsidR="00266C4D" w:rsidRPr="00813D19">
        <w:rPr>
          <w:bCs/>
          <w:lang w:val="en-US"/>
        </w:rPr>
        <w:t>ed</w:t>
      </w:r>
      <w:r w:rsidR="002B66A5" w:rsidRPr="00813D19">
        <w:rPr>
          <w:bCs/>
          <w:lang w:val="en-US"/>
        </w:rPr>
        <w:t xml:space="preserve"> the involvement of communities in the design and implementation of the safe</w:t>
      </w:r>
      <w:r w:rsidR="00266C4D" w:rsidRPr="00813D19">
        <w:rPr>
          <w:bCs/>
          <w:lang w:val="en-US"/>
        </w:rPr>
        <w:t>guarding plan. However, it seemed</w:t>
      </w:r>
      <w:r w:rsidR="002B66A5" w:rsidRPr="00813D19">
        <w:rPr>
          <w:bCs/>
          <w:lang w:val="en-US"/>
        </w:rPr>
        <w:t xml:space="preserve"> that their involvement in the preparation of the report </w:t>
      </w:r>
      <w:r w:rsidR="00266C4D" w:rsidRPr="00813D19">
        <w:rPr>
          <w:bCs/>
          <w:lang w:val="en-US"/>
        </w:rPr>
        <w:t xml:space="preserve">was </w:t>
      </w:r>
      <w:r w:rsidR="002B66A5" w:rsidRPr="00813D19">
        <w:rPr>
          <w:bCs/>
          <w:lang w:val="en-US"/>
        </w:rPr>
        <w:t>still rather limited. Eight reports submitted in the current cycle include</w:t>
      </w:r>
      <w:r w:rsidR="00266C4D" w:rsidRPr="00813D19">
        <w:rPr>
          <w:bCs/>
          <w:lang w:val="en-US"/>
        </w:rPr>
        <w:t>d</w:t>
      </w:r>
      <w:r w:rsidR="002B66A5" w:rsidRPr="00813D19">
        <w:rPr>
          <w:bCs/>
          <w:lang w:val="en-US"/>
        </w:rPr>
        <w:t xml:space="preserve"> positive signals about the improved viability of the inscribed elements, in particular, through increased </w:t>
      </w:r>
      <w:r w:rsidR="00AD4332">
        <w:rPr>
          <w:bCs/>
          <w:lang w:val="en-US"/>
        </w:rPr>
        <w:t xml:space="preserve">community </w:t>
      </w:r>
      <w:r w:rsidR="002B66A5" w:rsidRPr="00813D19">
        <w:rPr>
          <w:bCs/>
          <w:lang w:val="en-US"/>
        </w:rPr>
        <w:t>participation. However, States signalled some risks affect</w:t>
      </w:r>
      <w:r w:rsidR="00266C4D" w:rsidRPr="00813D19">
        <w:rPr>
          <w:bCs/>
          <w:lang w:val="en-US"/>
        </w:rPr>
        <w:t>ing</w:t>
      </w:r>
      <w:r w:rsidR="002B66A5" w:rsidRPr="00813D19">
        <w:rPr>
          <w:bCs/>
          <w:lang w:val="en-US"/>
        </w:rPr>
        <w:t xml:space="preserve"> the viability of the elements</w:t>
      </w:r>
      <w:r w:rsidR="00266C4D" w:rsidRPr="00813D19">
        <w:rPr>
          <w:bCs/>
          <w:lang w:val="en-US"/>
        </w:rPr>
        <w:t xml:space="preserve">; </w:t>
      </w:r>
      <w:r w:rsidR="002B66A5" w:rsidRPr="00813D19">
        <w:rPr>
          <w:bCs/>
          <w:lang w:val="en-US"/>
        </w:rPr>
        <w:t>the most common risk</w:t>
      </w:r>
      <w:r w:rsidR="00266C4D" w:rsidRPr="00813D19">
        <w:rPr>
          <w:bCs/>
          <w:lang w:val="en-US"/>
        </w:rPr>
        <w:t>s</w:t>
      </w:r>
      <w:r w:rsidR="002B66A5" w:rsidRPr="00813D19">
        <w:rPr>
          <w:bCs/>
          <w:lang w:val="en-US"/>
        </w:rPr>
        <w:t xml:space="preserve"> stated </w:t>
      </w:r>
      <w:r w:rsidR="00266C4D" w:rsidRPr="00813D19">
        <w:rPr>
          <w:bCs/>
          <w:lang w:val="en-US"/>
        </w:rPr>
        <w:t xml:space="preserve">were </w:t>
      </w:r>
      <w:r w:rsidR="002B66A5" w:rsidRPr="00813D19">
        <w:rPr>
          <w:bCs/>
          <w:lang w:val="en-US"/>
        </w:rPr>
        <w:t>change</w:t>
      </w:r>
      <w:r w:rsidR="00266C4D" w:rsidRPr="00813D19">
        <w:rPr>
          <w:bCs/>
          <w:lang w:val="en-US"/>
        </w:rPr>
        <w:t xml:space="preserve">s in demographics, urbanization and </w:t>
      </w:r>
      <w:r w:rsidR="002B66A5" w:rsidRPr="00813D19">
        <w:rPr>
          <w:bCs/>
          <w:lang w:val="en-US"/>
        </w:rPr>
        <w:t xml:space="preserve">changing migration trends. Lastly, the improved viability of the element </w:t>
      </w:r>
      <w:r w:rsidR="00266C4D" w:rsidRPr="00813D19">
        <w:rPr>
          <w:bCs/>
          <w:lang w:val="en-US"/>
        </w:rPr>
        <w:t xml:space="preserve">was </w:t>
      </w:r>
      <w:r w:rsidR="002B66A5" w:rsidRPr="00813D19">
        <w:rPr>
          <w:bCs/>
          <w:lang w:val="en-US"/>
        </w:rPr>
        <w:t xml:space="preserve">sometimes linked with the possible transfer of the element from the Urgent Safeguarding List to the Representative List, as </w:t>
      </w:r>
      <w:r w:rsidR="00266C4D" w:rsidRPr="00813D19">
        <w:rPr>
          <w:bCs/>
          <w:lang w:val="en-US"/>
        </w:rPr>
        <w:t xml:space="preserve">was </w:t>
      </w:r>
      <w:r w:rsidR="002B66A5" w:rsidRPr="00813D19">
        <w:rPr>
          <w:bCs/>
          <w:lang w:val="en-US"/>
        </w:rPr>
        <w:t xml:space="preserve">the case for </w:t>
      </w:r>
      <w:r w:rsidR="00266C4D" w:rsidRPr="00813D19">
        <w:rPr>
          <w:bCs/>
          <w:lang w:val="en-US"/>
        </w:rPr>
        <w:t xml:space="preserve">the </w:t>
      </w:r>
      <w:r w:rsidR="002B66A5" w:rsidRPr="00813D19">
        <w:rPr>
          <w:bCs/>
          <w:lang w:val="en-US"/>
        </w:rPr>
        <w:t>two reports submitted by Mongolia. The generous contribution from Japan to finance an open-ended w</w:t>
      </w:r>
      <w:r w:rsidR="00266C4D" w:rsidRPr="00813D19">
        <w:rPr>
          <w:bCs/>
          <w:lang w:val="en-US"/>
        </w:rPr>
        <w:t>orking group and a preliminary e</w:t>
      </w:r>
      <w:r w:rsidR="002B66A5" w:rsidRPr="00813D19">
        <w:rPr>
          <w:bCs/>
          <w:lang w:val="en-US"/>
        </w:rPr>
        <w:t xml:space="preserve">xpert meeting on some broader themes concerning the listing mechanisms </w:t>
      </w:r>
      <w:r w:rsidR="00266C4D" w:rsidRPr="00813D19">
        <w:rPr>
          <w:bCs/>
          <w:lang w:val="en-US"/>
        </w:rPr>
        <w:t xml:space="preserve">would </w:t>
      </w:r>
      <w:r w:rsidR="002B66A5" w:rsidRPr="00813D19">
        <w:rPr>
          <w:bCs/>
          <w:lang w:val="en-US"/>
        </w:rPr>
        <w:t xml:space="preserve">also allow </w:t>
      </w:r>
      <w:r w:rsidR="00AD4332">
        <w:rPr>
          <w:bCs/>
          <w:lang w:val="en-US"/>
        </w:rPr>
        <w:t xml:space="preserve">for </w:t>
      </w:r>
      <w:r w:rsidR="002B66A5" w:rsidRPr="00813D19">
        <w:rPr>
          <w:bCs/>
          <w:lang w:val="en-US"/>
        </w:rPr>
        <w:t>a refle</w:t>
      </w:r>
      <w:r w:rsidR="0016273D">
        <w:rPr>
          <w:bCs/>
          <w:lang w:val="en-US"/>
        </w:rPr>
        <w:t>ction on these transfer issues.</w:t>
      </w:r>
    </w:p>
    <w:p w14:paraId="68A7649F" w14:textId="6271700E" w:rsidR="00B637E0" w:rsidRPr="0016273D" w:rsidRDefault="004A71A4" w:rsidP="00701B95">
      <w:pPr>
        <w:pStyle w:val="Orateurengris"/>
        <w:widowControl w:val="0"/>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Mali </w:t>
      </w:r>
      <w:r w:rsidR="00B637E0" w:rsidRPr="00813D19">
        <w:rPr>
          <w:color w:val="000000" w:themeColor="text1"/>
          <w:lang w:val="en-US"/>
        </w:rPr>
        <w:t xml:space="preserve">thanked Mauritius for the good organization of this thirteenth session and the warm welcome. It congratulated the Chairperson, recognizing his leadership qualities in guiding the work of the Committee. The delegation also thanked the Secretariat for all its work and for the preparation of the quality documents. The Committee’s multifaceted support and attentiveness had resulted in constructive exchanges during the preparation of </w:t>
      </w:r>
      <w:r w:rsidR="00AD4332">
        <w:rPr>
          <w:color w:val="000000" w:themeColor="text1"/>
          <w:lang w:val="en-US"/>
        </w:rPr>
        <w:t xml:space="preserve">the </w:t>
      </w:r>
      <w:r w:rsidR="00B637E0" w:rsidRPr="00813D19">
        <w:rPr>
          <w:color w:val="000000" w:themeColor="text1"/>
          <w:lang w:val="en-US"/>
        </w:rPr>
        <w:t xml:space="preserve">periodic reports. Mali </w:t>
      </w:r>
      <w:r w:rsidR="00AD4332" w:rsidRPr="00813D19">
        <w:rPr>
          <w:color w:val="000000" w:themeColor="text1"/>
          <w:lang w:val="en-US"/>
        </w:rPr>
        <w:t>ha</w:t>
      </w:r>
      <w:r w:rsidR="00AD4332">
        <w:rPr>
          <w:color w:val="000000" w:themeColor="text1"/>
          <w:lang w:val="en-US"/>
        </w:rPr>
        <w:t>d</w:t>
      </w:r>
      <w:r w:rsidR="00AD4332" w:rsidRPr="00813D19">
        <w:rPr>
          <w:color w:val="000000" w:themeColor="text1"/>
          <w:lang w:val="en-US"/>
        </w:rPr>
        <w:t xml:space="preserve"> </w:t>
      </w:r>
      <w:r w:rsidR="00B637E0" w:rsidRPr="00813D19">
        <w:rPr>
          <w:color w:val="000000" w:themeColor="text1"/>
          <w:lang w:val="en-US"/>
        </w:rPr>
        <w:t>two elements inscribed on this Urgent Safeguarding List and every time it prepared its report, it wondered when these two elements would leave the Urgent Safeguarding List, which was a major concern. Morocco in particular had shared the same concern. Mali remained committed to the implementation of the Convention, and especially inventorying, inscription and the promotion of the Convention.</w:t>
      </w:r>
    </w:p>
    <w:p w14:paraId="3B5BC1DB" w14:textId="32D120D9" w:rsidR="00A5597E" w:rsidRPr="0016273D" w:rsidRDefault="00A34C8F" w:rsidP="00701B95">
      <w:pPr>
        <w:pStyle w:val="Orateurengris"/>
        <w:widowControl w:val="0"/>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Algeria</w:t>
      </w:r>
      <w:r w:rsidR="000F3E3E" w:rsidRPr="00813D19">
        <w:rPr>
          <w:b/>
          <w:color w:val="000000" w:themeColor="text1"/>
          <w:lang w:val="en-US"/>
        </w:rPr>
        <w:t xml:space="preserve"> </w:t>
      </w:r>
      <w:r w:rsidR="0008369D" w:rsidRPr="00813D19">
        <w:rPr>
          <w:color w:val="000000" w:themeColor="text1"/>
          <w:lang w:val="en-US"/>
        </w:rPr>
        <w:t>concurred that</w:t>
      </w:r>
      <w:r w:rsidR="0008369D" w:rsidRPr="00813D19">
        <w:rPr>
          <w:b/>
          <w:color w:val="000000" w:themeColor="text1"/>
          <w:lang w:val="en-US"/>
        </w:rPr>
        <w:t xml:space="preserve"> </w:t>
      </w:r>
      <w:r w:rsidR="0008369D" w:rsidRPr="00813D19">
        <w:rPr>
          <w:color w:val="000000" w:themeColor="text1"/>
          <w:lang w:val="en-US"/>
        </w:rPr>
        <w:t xml:space="preserve">the </w:t>
      </w:r>
      <w:r w:rsidR="00A5597E" w:rsidRPr="00813D19">
        <w:rPr>
          <w:color w:val="000000" w:themeColor="text1"/>
          <w:lang w:val="en-US"/>
        </w:rPr>
        <w:t xml:space="preserve">issue of </w:t>
      </w:r>
      <w:r w:rsidR="00F823E2" w:rsidRPr="00813D19">
        <w:rPr>
          <w:color w:val="000000" w:themeColor="text1"/>
          <w:lang w:val="en-US"/>
        </w:rPr>
        <w:t xml:space="preserve">elements on </w:t>
      </w:r>
      <w:r w:rsidR="00A5597E" w:rsidRPr="00813D19">
        <w:rPr>
          <w:color w:val="000000" w:themeColor="text1"/>
          <w:lang w:val="en-US"/>
        </w:rPr>
        <w:t xml:space="preserve">the Urgent Safeguarding List and </w:t>
      </w:r>
      <w:r w:rsidR="00AD4332">
        <w:rPr>
          <w:color w:val="000000" w:themeColor="text1"/>
          <w:lang w:val="en-US"/>
        </w:rPr>
        <w:t>their</w:t>
      </w:r>
      <w:r w:rsidR="00AD4332" w:rsidRPr="00813D19">
        <w:rPr>
          <w:color w:val="000000" w:themeColor="text1"/>
          <w:lang w:val="en-US"/>
        </w:rPr>
        <w:t xml:space="preserve"> </w:t>
      </w:r>
      <w:r w:rsidR="00A5597E" w:rsidRPr="00813D19">
        <w:rPr>
          <w:color w:val="000000" w:themeColor="text1"/>
          <w:lang w:val="en-US"/>
        </w:rPr>
        <w:t xml:space="preserve">transfer </w:t>
      </w:r>
      <w:r w:rsidR="00531745" w:rsidRPr="00813D19">
        <w:rPr>
          <w:color w:val="000000" w:themeColor="text1"/>
          <w:lang w:val="en-US"/>
        </w:rPr>
        <w:t>to another L</w:t>
      </w:r>
      <w:r w:rsidR="00F823E2" w:rsidRPr="00813D19">
        <w:rPr>
          <w:color w:val="000000" w:themeColor="text1"/>
          <w:lang w:val="en-US"/>
        </w:rPr>
        <w:t xml:space="preserve">ist </w:t>
      </w:r>
      <w:r w:rsidR="00A5597E" w:rsidRPr="00813D19">
        <w:rPr>
          <w:color w:val="000000" w:themeColor="text1"/>
          <w:lang w:val="en-US"/>
        </w:rPr>
        <w:t xml:space="preserve">really </w:t>
      </w:r>
      <w:r w:rsidR="0008369D" w:rsidRPr="00813D19">
        <w:rPr>
          <w:color w:val="000000" w:themeColor="text1"/>
          <w:lang w:val="en-US"/>
        </w:rPr>
        <w:t xml:space="preserve">needed to be </w:t>
      </w:r>
      <w:r w:rsidR="00A5597E" w:rsidRPr="00813D19">
        <w:rPr>
          <w:color w:val="000000" w:themeColor="text1"/>
          <w:lang w:val="en-US"/>
        </w:rPr>
        <w:t xml:space="preserve">addressed, and </w:t>
      </w:r>
      <w:r w:rsidR="0008369D" w:rsidRPr="00813D19">
        <w:rPr>
          <w:color w:val="000000" w:themeColor="text1"/>
          <w:lang w:val="en-US"/>
        </w:rPr>
        <w:t xml:space="preserve">it </w:t>
      </w:r>
      <w:r w:rsidR="00A5597E" w:rsidRPr="00813D19">
        <w:rPr>
          <w:color w:val="000000" w:themeColor="text1"/>
          <w:lang w:val="en-US"/>
        </w:rPr>
        <w:t>invite</w:t>
      </w:r>
      <w:r w:rsidR="0008369D" w:rsidRPr="00813D19">
        <w:rPr>
          <w:color w:val="000000" w:themeColor="text1"/>
          <w:lang w:val="en-US"/>
        </w:rPr>
        <w:t>d</w:t>
      </w:r>
      <w:r w:rsidR="00A5597E" w:rsidRPr="00813D19">
        <w:rPr>
          <w:color w:val="000000" w:themeColor="text1"/>
          <w:lang w:val="en-US"/>
        </w:rPr>
        <w:t xml:space="preserve"> colleagues to think about </w:t>
      </w:r>
      <w:r w:rsidR="00F823E2" w:rsidRPr="00813D19">
        <w:rPr>
          <w:color w:val="000000" w:themeColor="text1"/>
          <w:lang w:val="en-US"/>
        </w:rPr>
        <w:t xml:space="preserve">this issue </w:t>
      </w:r>
      <w:r w:rsidR="00A5597E" w:rsidRPr="00813D19">
        <w:rPr>
          <w:color w:val="000000" w:themeColor="text1"/>
          <w:lang w:val="en-US"/>
        </w:rPr>
        <w:t xml:space="preserve">more thoroughly so </w:t>
      </w:r>
      <w:r w:rsidR="00F823E2" w:rsidRPr="00813D19">
        <w:rPr>
          <w:color w:val="000000" w:themeColor="text1"/>
          <w:lang w:val="en-US"/>
        </w:rPr>
        <w:t xml:space="preserve">as to begin the </w:t>
      </w:r>
      <w:r w:rsidR="00A5597E" w:rsidRPr="00813D19">
        <w:rPr>
          <w:color w:val="000000" w:themeColor="text1"/>
          <w:lang w:val="en-US"/>
        </w:rPr>
        <w:t xml:space="preserve">discussion </w:t>
      </w:r>
      <w:r w:rsidR="00F823E2" w:rsidRPr="00813D19">
        <w:rPr>
          <w:color w:val="000000" w:themeColor="text1"/>
          <w:lang w:val="en-US"/>
        </w:rPr>
        <w:t xml:space="preserve">with </w:t>
      </w:r>
      <w:r w:rsidR="00A5597E" w:rsidRPr="00813D19">
        <w:rPr>
          <w:color w:val="000000" w:themeColor="text1"/>
          <w:lang w:val="en-US"/>
        </w:rPr>
        <w:t xml:space="preserve">concrete proposals </w:t>
      </w:r>
      <w:r w:rsidR="00F823E2" w:rsidRPr="00813D19">
        <w:rPr>
          <w:color w:val="000000" w:themeColor="text1"/>
          <w:lang w:val="en-US"/>
        </w:rPr>
        <w:t xml:space="preserve">for </w:t>
      </w:r>
      <w:r w:rsidR="00A5597E" w:rsidRPr="00813D19">
        <w:rPr>
          <w:color w:val="000000" w:themeColor="text1"/>
          <w:lang w:val="en-US"/>
        </w:rPr>
        <w:t>establish</w:t>
      </w:r>
      <w:r w:rsidR="00F823E2" w:rsidRPr="00813D19">
        <w:rPr>
          <w:color w:val="000000" w:themeColor="text1"/>
          <w:lang w:val="en-US"/>
        </w:rPr>
        <w:t>ing</w:t>
      </w:r>
      <w:r w:rsidR="00A5597E" w:rsidRPr="00813D19">
        <w:rPr>
          <w:color w:val="000000" w:themeColor="text1"/>
          <w:lang w:val="en-US"/>
        </w:rPr>
        <w:t xml:space="preserve"> </w:t>
      </w:r>
      <w:r w:rsidR="00F823E2" w:rsidRPr="00813D19">
        <w:rPr>
          <w:color w:val="000000" w:themeColor="text1"/>
          <w:lang w:val="en-US"/>
        </w:rPr>
        <w:t xml:space="preserve">new rules </w:t>
      </w:r>
      <w:r w:rsidR="00AD4332">
        <w:rPr>
          <w:color w:val="000000" w:themeColor="text1"/>
          <w:lang w:val="en-US"/>
        </w:rPr>
        <w:t>on the</w:t>
      </w:r>
      <w:r w:rsidR="00AD4332" w:rsidRPr="00813D19">
        <w:rPr>
          <w:color w:val="000000" w:themeColor="text1"/>
          <w:lang w:val="en-US"/>
        </w:rPr>
        <w:t xml:space="preserve"> </w:t>
      </w:r>
      <w:r w:rsidR="00F823E2" w:rsidRPr="00813D19">
        <w:rPr>
          <w:color w:val="000000" w:themeColor="text1"/>
          <w:lang w:val="en-US"/>
        </w:rPr>
        <w:t xml:space="preserve">passage from </w:t>
      </w:r>
      <w:r w:rsidR="00AD4332">
        <w:rPr>
          <w:color w:val="000000" w:themeColor="text1"/>
          <w:lang w:val="en-US"/>
        </w:rPr>
        <w:t>L</w:t>
      </w:r>
      <w:r w:rsidR="00AD4332" w:rsidRPr="00813D19">
        <w:rPr>
          <w:color w:val="000000" w:themeColor="text1"/>
          <w:lang w:val="en-US"/>
        </w:rPr>
        <w:t>ist</w:t>
      </w:r>
      <w:r w:rsidR="00AD4332">
        <w:rPr>
          <w:color w:val="000000" w:themeColor="text1"/>
          <w:lang w:val="en-US"/>
        </w:rPr>
        <w:t xml:space="preserve"> </w:t>
      </w:r>
      <w:r w:rsidR="00F823E2" w:rsidRPr="00813D19">
        <w:rPr>
          <w:color w:val="000000" w:themeColor="text1"/>
          <w:lang w:val="en-US"/>
        </w:rPr>
        <w:t>to</w:t>
      </w:r>
      <w:r w:rsidR="00AD4332">
        <w:rPr>
          <w:color w:val="000000" w:themeColor="text1"/>
          <w:lang w:val="en-US"/>
        </w:rPr>
        <w:t xml:space="preserve"> L</w:t>
      </w:r>
      <w:r w:rsidR="00A5597E" w:rsidRPr="00813D19">
        <w:rPr>
          <w:color w:val="000000" w:themeColor="text1"/>
          <w:lang w:val="en-US"/>
        </w:rPr>
        <w:t xml:space="preserve">ist. </w:t>
      </w:r>
      <w:r w:rsidR="00F823E2" w:rsidRPr="00813D19">
        <w:rPr>
          <w:color w:val="000000" w:themeColor="text1"/>
          <w:lang w:val="en-US"/>
        </w:rPr>
        <w:t xml:space="preserve">The delegation </w:t>
      </w:r>
      <w:r w:rsidR="000F2DD5" w:rsidRPr="00813D19">
        <w:rPr>
          <w:color w:val="000000" w:themeColor="text1"/>
          <w:lang w:val="en-US"/>
        </w:rPr>
        <w:t>re</w:t>
      </w:r>
      <w:r w:rsidR="00531745" w:rsidRPr="00813D19">
        <w:rPr>
          <w:color w:val="000000" w:themeColor="text1"/>
          <w:lang w:val="en-US"/>
        </w:rPr>
        <w:t>ferred to other programmes and C</w:t>
      </w:r>
      <w:r w:rsidR="000F2DD5" w:rsidRPr="00813D19">
        <w:rPr>
          <w:color w:val="000000" w:themeColor="text1"/>
          <w:lang w:val="en-US"/>
        </w:rPr>
        <w:t xml:space="preserve">onventions elsewhere </w:t>
      </w:r>
      <w:r w:rsidR="00A5597E" w:rsidRPr="00813D19">
        <w:rPr>
          <w:color w:val="000000" w:themeColor="text1"/>
          <w:lang w:val="en-US"/>
        </w:rPr>
        <w:t>within UNESCO</w:t>
      </w:r>
      <w:r w:rsidR="000F2DD5" w:rsidRPr="00813D19">
        <w:rPr>
          <w:color w:val="000000" w:themeColor="text1"/>
          <w:lang w:val="en-US"/>
        </w:rPr>
        <w:t>, for example, the Man and the B</w:t>
      </w:r>
      <w:r w:rsidR="00A5597E" w:rsidRPr="00813D19">
        <w:rPr>
          <w:color w:val="000000" w:themeColor="text1"/>
          <w:lang w:val="en-US"/>
        </w:rPr>
        <w:t>iosphere</w:t>
      </w:r>
      <w:r w:rsidR="000F2DD5" w:rsidRPr="00813D19">
        <w:rPr>
          <w:color w:val="000000" w:themeColor="text1"/>
          <w:lang w:val="en-US"/>
        </w:rPr>
        <w:t xml:space="preserve"> programme</w:t>
      </w:r>
      <w:r w:rsidR="00E95FA5" w:rsidRPr="00813D19">
        <w:rPr>
          <w:color w:val="000000" w:themeColor="text1"/>
          <w:lang w:val="en-US"/>
        </w:rPr>
        <w:t xml:space="preserve"> (MAB)</w:t>
      </w:r>
      <w:r w:rsidR="00A5597E" w:rsidRPr="00813D19">
        <w:rPr>
          <w:color w:val="000000" w:themeColor="text1"/>
          <w:lang w:val="en-US"/>
        </w:rPr>
        <w:t xml:space="preserve">. </w:t>
      </w:r>
      <w:r w:rsidR="000F2DD5" w:rsidRPr="00813D19">
        <w:rPr>
          <w:color w:val="000000" w:themeColor="text1"/>
          <w:lang w:val="en-US"/>
        </w:rPr>
        <w:t xml:space="preserve">Although small, the programme was very relevant </w:t>
      </w:r>
      <w:r w:rsidR="00A5597E" w:rsidRPr="00813D19">
        <w:rPr>
          <w:color w:val="000000" w:themeColor="text1"/>
          <w:lang w:val="en-US"/>
        </w:rPr>
        <w:t xml:space="preserve">to the planet, </w:t>
      </w:r>
      <w:r w:rsidR="00E95FA5" w:rsidRPr="00813D19">
        <w:rPr>
          <w:color w:val="000000" w:themeColor="text1"/>
          <w:lang w:val="en-US"/>
        </w:rPr>
        <w:t xml:space="preserve">and </w:t>
      </w:r>
      <w:r w:rsidR="000F2DD5" w:rsidRPr="00813D19">
        <w:rPr>
          <w:color w:val="000000" w:themeColor="text1"/>
          <w:lang w:val="en-US"/>
        </w:rPr>
        <w:t>the International Co-ordinating Council (</w:t>
      </w:r>
      <w:r w:rsidR="00A5597E" w:rsidRPr="00813D19">
        <w:rPr>
          <w:color w:val="000000" w:themeColor="text1"/>
          <w:lang w:val="en-US"/>
        </w:rPr>
        <w:t>CIC</w:t>
      </w:r>
      <w:r w:rsidR="000F2DD5" w:rsidRPr="00813D19">
        <w:rPr>
          <w:color w:val="000000" w:themeColor="text1"/>
          <w:lang w:val="en-US"/>
        </w:rPr>
        <w:t xml:space="preserve">) of </w:t>
      </w:r>
      <w:r w:rsidR="00A5597E" w:rsidRPr="00813D19">
        <w:rPr>
          <w:color w:val="000000" w:themeColor="text1"/>
          <w:lang w:val="en-US"/>
        </w:rPr>
        <w:t xml:space="preserve">MAB succeeded in adopting the </w:t>
      </w:r>
      <w:r w:rsidR="000F2DD5" w:rsidRPr="00813D19">
        <w:rPr>
          <w:color w:val="000000" w:themeColor="text1"/>
          <w:lang w:val="en-US"/>
        </w:rPr>
        <w:t>‘</w:t>
      </w:r>
      <w:r w:rsidR="00A5597E" w:rsidRPr="00813D19">
        <w:rPr>
          <w:color w:val="000000" w:themeColor="text1"/>
          <w:lang w:val="en-US"/>
        </w:rPr>
        <w:t>exit strategy</w:t>
      </w:r>
      <w:r w:rsidR="000F2DD5" w:rsidRPr="00813D19">
        <w:rPr>
          <w:color w:val="000000" w:themeColor="text1"/>
          <w:lang w:val="en-US"/>
        </w:rPr>
        <w:t>’</w:t>
      </w:r>
      <w:r w:rsidR="0036419F" w:rsidRPr="00813D19">
        <w:rPr>
          <w:rStyle w:val="FootnoteReference"/>
          <w:color w:val="000000" w:themeColor="text1"/>
          <w:lang w:val="en-US"/>
        </w:rPr>
        <w:footnoteReference w:id="10"/>
      </w:r>
      <w:r w:rsidR="00E95FA5" w:rsidRPr="00813D19">
        <w:rPr>
          <w:color w:val="000000" w:themeColor="text1"/>
          <w:lang w:val="en-US"/>
        </w:rPr>
        <w:t xml:space="preserve"> in which </w:t>
      </w:r>
      <w:r w:rsidR="00A5597E" w:rsidRPr="00813D19">
        <w:rPr>
          <w:color w:val="000000" w:themeColor="text1"/>
          <w:lang w:val="en-US"/>
        </w:rPr>
        <w:t xml:space="preserve">at </w:t>
      </w:r>
      <w:r w:rsidR="00E95FA5" w:rsidRPr="00813D19">
        <w:rPr>
          <w:color w:val="000000" w:themeColor="text1"/>
          <w:lang w:val="en-US"/>
        </w:rPr>
        <w:t xml:space="preserve">a particular time, </w:t>
      </w:r>
      <w:r w:rsidR="00A5597E" w:rsidRPr="00813D19">
        <w:rPr>
          <w:color w:val="000000" w:themeColor="text1"/>
          <w:lang w:val="en-US"/>
        </w:rPr>
        <w:t xml:space="preserve">when an element on the MAB </w:t>
      </w:r>
      <w:r w:rsidR="00E95FA5" w:rsidRPr="00813D19">
        <w:rPr>
          <w:color w:val="000000" w:themeColor="text1"/>
          <w:lang w:val="en-US"/>
        </w:rPr>
        <w:t xml:space="preserve">List </w:t>
      </w:r>
      <w:r w:rsidR="00A5597E" w:rsidRPr="00813D19">
        <w:rPr>
          <w:color w:val="000000" w:themeColor="text1"/>
          <w:lang w:val="en-US"/>
        </w:rPr>
        <w:t xml:space="preserve">no longer </w:t>
      </w:r>
      <w:r w:rsidR="00E95FA5" w:rsidRPr="00813D19">
        <w:rPr>
          <w:color w:val="000000" w:themeColor="text1"/>
          <w:lang w:val="en-US"/>
        </w:rPr>
        <w:t xml:space="preserve">met </w:t>
      </w:r>
      <w:r w:rsidR="00A5597E" w:rsidRPr="00813D19">
        <w:rPr>
          <w:color w:val="000000" w:themeColor="text1"/>
          <w:lang w:val="en-US"/>
        </w:rPr>
        <w:t xml:space="preserve">the criteria or if the reports </w:t>
      </w:r>
      <w:r w:rsidR="00E95FA5" w:rsidRPr="00813D19">
        <w:rPr>
          <w:color w:val="000000" w:themeColor="text1"/>
          <w:lang w:val="en-US"/>
        </w:rPr>
        <w:t xml:space="preserve">were </w:t>
      </w:r>
      <w:r w:rsidR="00A5597E" w:rsidRPr="00813D19">
        <w:rPr>
          <w:color w:val="000000" w:themeColor="text1"/>
          <w:lang w:val="en-US"/>
        </w:rPr>
        <w:t>several years late, or if the situation changed</w:t>
      </w:r>
      <w:r w:rsidR="00E95FA5" w:rsidRPr="00813D19">
        <w:rPr>
          <w:color w:val="000000" w:themeColor="text1"/>
          <w:lang w:val="en-US"/>
        </w:rPr>
        <w:t xml:space="preserve"> over time</w:t>
      </w:r>
      <w:r w:rsidR="00A5597E" w:rsidRPr="00813D19">
        <w:rPr>
          <w:color w:val="000000" w:themeColor="text1"/>
          <w:lang w:val="en-US"/>
        </w:rPr>
        <w:t xml:space="preserve">, </w:t>
      </w:r>
      <w:r w:rsidR="00E95FA5" w:rsidRPr="00813D19">
        <w:rPr>
          <w:color w:val="000000" w:themeColor="text1"/>
          <w:lang w:val="en-US"/>
        </w:rPr>
        <w:t xml:space="preserve">the element in question </w:t>
      </w:r>
      <w:r w:rsidR="00AD4332">
        <w:rPr>
          <w:color w:val="000000" w:themeColor="text1"/>
          <w:lang w:val="en-US"/>
        </w:rPr>
        <w:t>was</w:t>
      </w:r>
      <w:r w:rsidR="00AD4332" w:rsidRPr="00813D19">
        <w:rPr>
          <w:color w:val="000000" w:themeColor="text1"/>
          <w:lang w:val="en-US"/>
        </w:rPr>
        <w:t xml:space="preserve"> </w:t>
      </w:r>
      <w:r w:rsidR="00E95FA5" w:rsidRPr="00813D19">
        <w:rPr>
          <w:color w:val="000000" w:themeColor="text1"/>
          <w:lang w:val="en-US"/>
        </w:rPr>
        <w:t xml:space="preserve">placed on </w:t>
      </w:r>
      <w:r w:rsidR="00531745" w:rsidRPr="00813D19">
        <w:rPr>
          <w:color w:val="000000" w:themeColor="text1"/>
          <w:lang w:val="en-US"/>
        </w:rPr>
        <w:t xml:space="preserve">a </w:t>
      </w:r>
      <w:r w:rsidR="00A5597E" w:rsidRPr="00813D19">
        <w:rPr>
          <w:color w:val="000000" w:themeColor="text1"/>
          <w:lang w:val="en-US"/>
        </w:rPr>
        <w:t>list</w:t>
      </w:r>
      <w:r w:rsidR="00E95FA5" w:rsidRPr="00813D19">
        <w:rPr>
          <w:color w:val="000000" w:themeColor="text1"/>
          <w:lang w:val="en-US"/>
        </w:rPr>
        <w:t>. In turn, a reflection ensues on how to get</w:t>
      </w:r>
      <w:r w:rsidR="00A5597E" w:rsidRPr="00813D19">
        <w:rPr>
          <w:color w:val="000000" w:themeColor="text1"/>
          <w:lang w:val="en-US"/>
        </w:rPr>
        <w:t xml:space="preserve"> </w:t>
      </w:r>
      <w:r w:rsidR="00E95FA5" w:rsidRPr="00813D19">
        <w:rPr>
          <w:color w:val="000000" w:themeColor="text1"/>
          <w:lang w:val="en-US"/>
        </w:rPr>
        <w:t xml:space="preserve">the element </w:t>
      </w:r>
      <w:r w:rsidR="00A5597E" w:rsidRPr="00813D19">
        <w:rPr>
          <w:color w:val="000000" w:themeColor="text1"/>
          <w:lang w:val="en-US"/>
        </w:rPr>
        <w:t xml:space="preserve">out of </w:t>
      </w:r>
      <w:r w:rsidR="00E95FA5" w:rsidRPr="00813D19">
        <w:rPr>
          <w:color w:val="000000" w:themeColor="text1"/>
          <w:lang w:val="en-US"/>
        </w:rPr>
        <w:t xml:space="preserve">the </w:t>
      </w:r>
      <w:r w:rsidR="00A5597E" w:rsidRPr="00813D19">
        <w:rPr>
          <w:color w:val="000000" w:themeColor="text1"/>
          <w:lang w:val="en-US"/>
        </w:rPr>
        <w:t>situation</w:t>
      </w:r>
      <w:r w:rsidR="00E95FA5" w:rsidRPr="00813D19">
        <w:rPr>
          <w:color w:val="000000" w:themeColor="text1"/>
          <w:lang w:val="en-US"/>
        </w:rPr>
        <w:t>,</w:t>
      </w:r>
      <w:r w:rsidR="00A5597E" w:rsidRPr="00813D19">
        <w:rPr>
          <w:color w:val="000000" w:themeColor="text1"/>
          <w:lang w:val="en-US"/>
        </w:rPr>
        <w:t xml:space="preserve"> either by removing </w:t>
      </w:r>
      <w:r w:rsidR="00E95FA5" w:rsidRPr="00813D19">
        <w:rPr>
          <w:color w:val="000000" w:themeColor="text1"/>
          <w:lang w:val="en-US"/>
        </w:rPr>
        <w:t xml:space="preserve">it </w:t>
      </w:r>
      <w:r w:rsidR="00A5597E" w:rsidRPr="00813D19">
        <w:rPr>
          <w:color w:val="000000" w:themeColor="text1"/>
          <w:lang w:val="en-US"/>
        </w:rPr>
        <w:t xml:space="preserve">from </w:t>
      </w:r>
      <w:r w:rsidR="00E95FA5" w:rsidRPr="00813D19">
        <w:rPr>
          <w:color w:val="000000" w:themeColor="text1"/>
          <w:lang w:val="en-US"/>
        </w:rPr>
        <w:t xml:space="preserve">the </w:t>
      </w:r>
      <w:r w:rsidR="00AD4332">
        <w:rPr>
          <w:color w:val="000000" w:themeColor="text1"/>
          <w:lang w:val="en-US"/>
        </w:rPr>
        <w:t>L</w:t>
      </w:r>
      <w:r w:rsidR="00AD4332" w:rsidRPr="00813D19">
        <w:rPr>
          <w:color w:val="000000" w:themeColor="text1"/>
          <w:lang w:val="en-US"/>
        </w:rPr>
        <w:t xml:space="preserve">ist </w:t>
      </w:r>
      <w:r w:rsidR="00A5597E" w:rsidRPr="00813D19">
        <w:rPr>
          <w:color w:val="000000" w:themeColor="text1"/>
          <w:lang w:val="en-US"/>
        </w:rPr>
        <w:t xml:space="preserve">or by </w:t>
      </w:r>
      <w:r w:rsidR="00E95FA5" w:rsidRPr="00813D19">
        <w:rPr>
          <w:color w:val="000000" w:themeColor="text1"/>
          <w:lang w:val="en-US"/>
        </w:rPr>
        <w:t xml:space="preserve">placing it </w:t>
      </w:r>
      <w:r w:rsidR="00A5597E" w:rsidRPr="00813D19">
        <w:rPr>
          <w:color w:val="000000" w:themeColor="text1"/>
          <w:lang w:val="en-US"/>
        </w:rPr>
        <w:t xml:space="preserve">on another </w:t>
      </w:r>
      <w:r w:rsidR="00AD4332">
        <w:rPr>
          <w:color w:val="000000" w:themeColor="text1"/>
          <w:lang w:val="en-US"/>
        </w:rPr>
        <w:t>L</w:t>
      </w:r>
      <w:r w:rsidR="00AD4332" w:rsidRPr="00813D19">
        <w:rPr>
          <w:color w:val="000000" w:themeColor="text1"/>
          <w:lang w:val="en-US"/>
        </w:rPr>
        <w:t>ist</w:t>
      </w:r>
      <w:r w:rsidR="00A5597E" w:rsidRPr="00813D19">
        <w:rPr>
          <w:color w:val="000000" w:themeColor="text1"/>
          <w:lang w:val="en-US"/>
        </w:rPr>
        <w:t xml:space="preserve">. This </w:t>
      </w:r>
      <w:r w:rsidR="00331B47" w:rsidRPr="00813D19">
        <w:rPr>
          <w:color w:val="000000" w:themeColor="text1"/>
          <w:lang w:val="en-US"/>
        </w:rPr>
        <w:t xml:space="preserve">equated </w:t>
      </w:r>
      <w:r w:rsidR="00A5597E" w:rsidRPr="00813D19">
        <w:rPr>
          <w:color w:val="000000" w:themeColor="text1"/>
          <w:lang w:val="en-US"/>
        </w:rPr>
        <w:t xml:space="preserve">to having a more relevant follow-up of the elements </w:t>
      </w:r>
      <w:r w:rsidR="00E95FA5" w:rsidRPr="00813D19">
        <w:rPr>
          <w:color w:val="000000" w:themeColor="text1"/>
          <w:lang w:val="en-US"/>
        </w:rPr>
        <w:t>inscribed</w:t>
      </w:r>
      <w:r w:rsidR="00A5597E" w:rsidRPr="00813D19">
        <w:rPr>
          <w:color w:val="000000" w:themeColor="text1"/>
          <w:lang w:val="en-US"/>
        </w:rPr>
        <w:t xml:space="preserve">, </w:t>
      </w:r>
      <w:r w:rsidR="00531745" w:rsidRPr="00813D19">
        <w:rPr>
          <w:color w:val="000000" w:themeColor="text1"/>
          <w:lang w:val="en-US"/>
        </w:rPr>
        <w:t>as currently</w:t>
      </w:r>
      <w:r w:rsidR="00331B47" w:rsidRPr="00813D19">
        <w:rPr>
          <w:color w:val="000000" w:themeColor="text1"/>
          <w:lang w:val="en-US"/>
        </w:rPr>
        <w:t xml:space="preserve"> </w:t>
      </w:r>
      <w:r w:rsidR="00531745" w:rsidRPr="00813D19">
        <w:rPr>
          <w:color w:val="000000" w:themeColor="text1"/>
          <w:lang w:val="en-US"/>
        </w:rPr>
        <w:t xml:space="preserve">[in the 2003 Convention] </w:t>
      </w:r>
      <w:r w:rsidR="00331B47" w:rsidRPr="00813D19">
        <w:rPr>
          <w:color w:val="000000" w:themeColor="text1"/>
          <w:lang w:val="en-US"/>
        </w:rPr>
        <w:t>there was ambiguity</w:t>
      </w:r>
      <w:r w:rsidR="00AD4332">
        <w:rPr>
          <w:color w:val="000000" w:themeColor="text1"/>
          <w:lang w:val="en-US"/>
        </w:rPr>
        <w:t xml:space="preserve"> about</w:t>
      </w:r>
      <w:r w:rsidR="00331B47" w:rsidRPr="00813D19">
        <w:rPr>
          <w:color w:val="000000" w:themeColor="text1"/>
          <w:lang w:val="en-US"/>
        </w:rPr>
        <w:t xml:space="preserve"> </w:t>
      </w:r>
      <w:r w:rsidR="00A5597E" w:rsidRPr="00813D19">
        <w:rPr>
          <w:color w:val="000000" w:themeColor="text1"/>
          <w:lang w:val="en-US"/>
        </w:rPr>
        <w:t xml:space="preserve">the future of these </w:t>
      </w:r>
      <w:r w:rsidR="00531745" w:rsidRPr="00813D19">
        <w:rPr>
          <w:color w:val="000000" w:themeColor="text1"/>
          <w:lang w:val="en-US"/>
        </w:rPr>
        <w:t>various L</w:t>
      </w:r>
      <w:r w:rsidR="00331B47" w:rsidRPr="00813D19">
        <w:rPr>
          <w:color w:val="000000" w:themeColor="text1"/>
          <w:lang w:val="en-US"/>
        </w:rPr>
        <w:t>ists</w:t>
      </w:r>
      <w:r w:rsidR="00A5597E" w:rsidRPr="00813D19">
        <w:rPr>
          <w:color w:val="000000" w:themeColor="text1"/>
          <w:lang w:val="en-US"/>
        </w:rPr>
        <w:t xml:space="preserve">. </w:t>
      </w:r>
      <w:r w:rsidR="00331B47" w:rsidRPr="00813D19">
        <w:rPr>
          <w:color w:val="000000" w:themeColor="text1"/>
          <w:lang w:val="en-US"/>
        </w:rPr>
        <w:t xml:space="preserve">The delegation recalled that the objective of the </w:t>
      </w:r>
      <w:r w:rsidR="00A5597E" w:rsidRPr="00813D19">
        <w:rPr>
          <w:color w:val="000000" w:themeColor="text1"/>
          <w:lang w:val="en-US"/>
        </w:rPr>
        <w:t>Convention</w:t>
      </w:r>
      <w:r w:rsidR="00331B47" w:rsidRPr="00813D19">
        <w:rPr>
          <w:color w:val="000000" w:themeColor="text1"/>
          <w:lang w:val="en-US"/>
        </w:rPr>
        <w:t xml:space="preserve">, </w:t>
      </w:r>
      <w:r w:rsidR="00531745" w:rsidRPr="00813D19">
        <w:rPr>
          <w:color w:val="000000" w:themeColor="text1"/>
          <w:lang w:val="en-US"/>
        </w:rPr>
        <w:t xml:space="preserve">i.e. </w:t>
      </w:r>
      <w:r w:rsidR="00331B47" w:rsidRPr="00813D19">
        <w:rPr>
          <w:color w:val="000000" w:themeColor="text1"/>
          <w:lang w:val="en-US"/>
        </w:rPr>
        <w:t>safeguarding, should not be forgotten.</w:t>
      </w:r>
    </w:p>
    <w:p w14:paraId="6434B8B2" w14:textId="5DB068F6" w:rsidR="00D70754" w:rsidRPr="0016273D" w:rsidRDefault="00D70754" w:rsidP="00701B95">
      <w:pPr>
        <w:pStyle w:val="Orateurengris"/>
        <w:widowControl w:val="0"/>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Belarus </w:t>
      </w:r>
      <w:r w:rsidR="00331B47" w:rsidRPr="00813D19">
        <w:rPr>
          <w:bCs/>
          <w:lang w:val="en-US"/>
        </w:rPr>
        <w:t xml:space="preserve">remarked that it had </w:t>
      </w:r>
      <w:r w:rsidR="002B66A5" w:rsidRPr="00813D19">
        <w:rPr>
          <w:bCs/>
          <w:lang w:val="en-US"/>
        </w:rPr>
        <w:t xml:space="preserve">submitted both reports, </w:t>
      </w:r>
      <w:r w:rsidR="00331B47" w:rsidRPr="00813D19">
        <w:rPr>
          <w:bCs/>
          <w:lang w:val="en-US"/>
        </w:rPr>
        <w:t xml:space="preserve">its second </w:t>
      </w:r>
      <w:r w:rsidR="002B66A5" w:rsidRPr="00813D19">
        <w:rPr>
          <w:bCs/>
          <w:lang w:val="en-US"/>
        </w:rPr>
        <w:t xml:space="preserve">periodic report and the </w:t>
      </w:r>
      <w:r w:rsidR="00331B47" w:rsidRPr="00813D19">
        <w:rPr>
          <w:bCs/>
          <w:lang w:val="en-US"/>
        </w:rPr>
        <w:t xml:space="preserve">third </w:t>
      </w:r>
      <w:r w:rsidR="002B66A5" w:rsidRPr="00813D19">
        <w:rPr>
          <w:bCs/>
          <w:lang w:val="en-US"/>
        </w:rPr>
        <w:t xml:space="preserve">report on the state of the element inscribed on the </w:t>
      </w:r>
      <w:r w:rsidR="00331B47" w:rsidRPr="00813D19">
        <w:rPr>
          <w:bCs/>
          <w:lang w:val="en-US"/>
        </w:rPr>
        <w:t>Urgent Safeguarding List</w:t>
      </w:r>
      <w:r w:rsidR="002B66A5" w:rsidRPr="00813D19">
        <w:rPr>
          <w:bCs/>
          <w:lang w:val="en-US"/>
        </w:rPr>
        <w:t xml:space="preserve">. </w:t>
      </w:r>
      <w:r w:rsidR="00331B47" w:rsidRPr="00813D19">
        <w:rPr>
          <w:bCs/>
          <w:lang w:val="en-US"/>
        </w:rPr>
        <w:t xml:space="preserve">It was delighted </w:t>
      </w:r>
      <w:r w:rsidR="002B66A5" w:rsidRPr="00813D19">
        <w:rPr>
          <w:bCs/>
          <w:lang w:val="en-US"/>
        </w:rPr>
        <w:t xml:space="preserve">that both reports </w:t>
      </w:r>
      <w:r w:rsidR="00AD4332">
        <w:rPr>
          <w:bCs/>
          <w:lang w:val="en-US"/>
        </w:rPr>
        <w:t>had been</w:t>
      </w:r>
      <w:r w:rsidR="00AD4332" w:rsidRPr="00813D19">
        <w:rPr>
          <w:bCs/>
          <w:lang w:val="en-US"/>
        </w:rPr>
        <w:t xml:space="preserve"> </w:t>
      </w:r>
      <w:r w:rsidR="002B66A5" w:rsidRPr="00813D19">
        <w:rPr>
          <w:bCs/>
          <w:lang w:val="en-US"/>
        </w:rPr>
        <w:t>a</w:t>
      </w:r>
      <w:r w:rsidR="00331B47" w:rsidRPr="00813D19">
        <w:rPr>
          <w:bCs/>
          <w:lang w:val="en-US"/>
        </w:rPr>
        <w:t>pproved by the Secretariat and the e</w:t>
      </w:r>
      <w:r w:rsidR="002B66A5" w:rsidRPr="00813D19">
        <w:rPr>
          <w:bCs/>
          <w:lang w:val="en-US"/>
        </w:rPr>
        <w:t>xpert community and hope</w:t>
      </w:r>
      <w:r w:rsidR="00331B47" w:rsidRPr="00813D19">
        <w:rPr>
          <w:bCs/>
          <w:lang w:val="en-US"/>
        </w:rPr>
        <w:t xml:space="preserve">fully by the Committee, which </w:t>
      </w:r>
      <w:r w:rsidR="00AD4332">
        <w:rPr>
          <w:bCs/>
          <w:lang w:val="en-US"/>
        </w:rPr>
        <w:t>was</w:t>
      </w:r>
      <w:r w:rsidR="00AD4332" w:rsidRPr="00813D19">
        <w:rPr>
          <w:bCs/>
          <w:lang w:val="en-US"/>
        </w:rPr>
        <w:t xml:space="preserve"> </w:t>
      </w:r>
      <w:r w:rsidR="002B66A5" w:rsidRPr="00813D19">
        <w:rPr>
          <w:bCs/>
          <w:lang w:val="en-US"/>
        </w:rPr>
        <w:t>a great hono</w:t>
      </w:r>
      <w:r w:rsidR="00331B47" w:rsidRPr="00813D19">
        <w:rPr>
          <w:bCs/>
          <w:lang w:val="en-US"/>
        </w:rPr>
        <w:t>u</w:t>
      </w:r>
      <w:r w:rsidR="002B66A5" w:rsidRPr="00813D19">
        <w:rPr>
          <w:bCs/>
          <w:lang w:val="en-US"/>
        </w:rPr>
        <w:t xml:space="preserve">r and responsibility. These reports were completed with the </w:t>
      </w:r>
      <w:r w:rsidR="00331B47" w:rsidRPr="00813D19">
        <w:rPr>
          <w:bCs/>
          <w:lang w:val="en-US"/>
        </w:rPr>
        <w:t xml:space="preserve">participation </w:t>
      </w:r>
      <w:r w:rsidR="002B66A5" w:rsidRPr="00813D19">
        <w:rPr>
          <w:bCs/>
          <w:lang w:val="en-US"/>
        </w:rPr>
        <w:t xml:space="preserve">of many stakeholders, </w:t>
      </w:r>
      <w:r w:rsidR="00331B47" w:rsidRPr="00813D19">
        <w:rPr>
          <w:bCs/>
          <w:lang w:val="en-US"/>
        </w:rPr>
        <w:t xml:space="preserve">namely, the </w:t>
      </w:r>
      <w:r w:rsidR="002B66A5" w:rsidRPr="00813D19">
        <w:rPr>
          <w:bCs/>
          <w:lang w:val="en-US"/>
        </w:rPr>
        <w:t xml:space="preserve">bearers and </w:t>
      </w:r>
      <w:r w:rsidR="00331B47" w:rsidRPr="00813D19">
        <w:rPr>
          <w:bCs/>
          <w:lang w:val="en-US"/>
        </w:rPr>
        <w:t xml:space="preserve">the </w:t>
      </w:r>
      <w:r w:rsidR="002B66A5" w:rsidRPr="00813D19">
        <w:rPr>
          <w:bCs/>
          <w:lang w:val="en-US"/>
        </w:rPr>
        <w:t>representative communities, expert</w:t>
      </w:r>
      <w:r w:rsidR="00331B47" w:rsidRPr="00813D19">
        <w:rPr>
          <w:bCs/>
          <w:lang w:val="en-US"/>
        </w:rPr>
        <w:t>s</w:t>
      </w:r>
      <w:r w:rsidR="002B66A5" w:rsidRPr="00813D19">
        <w:rPr>
          <w:bCs/>
          <w:lang w:val="en-US"/>
        </w:rPr>
        <w:t xml:space="preserve">, </w:t>
      </w:r>
      <w:r w:rsidR="00331B47" w:rsidRPr="00813D19">
        <w:rPr>
          <w:bCs/>
          <w:lang w:val="en-US"/>
        </w:rPr>
        <w:t xml:space="preserve">and </w:t>
      </w:r>
      <w:r w:rsidR="002B66A5" w:rsidRPr="00813D19">
        <w:rPr>
          <w:bCs/>
          <w:lang w:val="en-US"/>
        </w:rPr>
        <w:t xml:space="preserve">volunteers from different NGOs. Both reports </w:t>
      </w:r>
      <w:r w:rsidR="00331B47" w:rsidRPr="00813D19">
        <w:rPr>
          <w:bCs/>
          <w:lang w:val="en-US"/>
        </w:rPr>
        <w:t xml:space="preserve">were </w:t>
      </w:r>
      <w:r w:rsidR="002B66A5" w:rsidRPr="00813D19">
        <w:rPr>
          <w:bCs/>
          <w:lang w:val="en-US"/>
        </w:rPr>
        <w:t xml:space="preserve">based on the annual monitoring of </w:t>
      </w:r>
      <w:r w:rsidR="00331B47" w:rsidRPr="00813D19">
        <w:rPr>
          <w:bCs/>
          <w:lang w:val="en-US"/>
        </w:rPr>
        <w:t xml:space="preserve">intangible cultural heritage </w:t>
      </w:r>
      <w:r w:rsidR="002B66A5" w:rsidRPr="00813D19">
        <w:rPr>
          <w:bCs/>
          <w:lang w:val="en-US"/>
        </w:rPr>
        <w:t xml:space="preserve">elements and </w:t>
      </w:r>
      <w:r w:rsidR="008E4E14" w:rsidRPr="00813D19">
        <w:rPr>
          <w:bCs/>
          <w:lang w:val="en-US"/>
        </w:rPr>
        <w:t xml:space="preserve">research work. </w:t>
      </w:r>
      <w:r w:rsidR="00331B47" w:rsidRPr="00813D19">
        <w:rPr>
          <w:bCs/>
          <w:lang w:val="en-US"/>
        </w:rPr>
        <w:t xml:space="preserve">The delegation was grateful </w:t>
      </w:r>
      <w:r w:rsidR="002B66A5" w:rsidRPr="00813D19">
        <w:rPr>
          <w:bCs/>
          <w:lang w:val="en-US"/>
        </w:rPr>
        <w:t xml:space="preserve">to the Committee for </w:t>
      </w:r>
      <w:r w:rsidR="008E4E14" w:rsidRPr="00813D19">
        <w:rPr>
          <w:bCs/>
          <w:lang w:val="en-US"/>
        </w:rPr>
        <w:t xml:space="preserve">its </w:t>
      </w:r>
      <w:r w:rsidR="002B66A5" w:rsidRPr="00813D19">
        <w:rPr>
          <w:bCs/>
          <w:lang w:val="en-US"/>
        </w:rPr>
        <w:t xml:space="preserve">recommendation </w:t>
      </w:r>
      <w:r w:rsidR="008E4E14" w:rsidRPr="00813D19">
        <w:rPr>
          <w:bCs/>
          <w:lang w:val="en-US"/>
        </w:rPr>
        <w:t xml:space="preserve">on </w:t>
      </w:r>
      <w:r w:rsidR="002B66A5" w:rsidRPr="00813D19">
        <w:rPr>
          <w:bCs/>
          <w:lang w:val="en-US"/>
        </w:rPr>
        <w:t xml:space="preserve">improving the safeguarding policy for </w:t>
      </w:r>
      <w:r w:rsidR="008E4E14" w:rsidRPr="00813D19">
        <w:rPr>
          <w:bCs/>
          <w:lang w:val="en-US"/>
        </w:rPr>
        <w:t xml:space="preserve">intangible cultural heritage in Belarus, adding that </w:t>
      </w:r>
      <w:r w:rsidR="002B66A5" w:rsidRPr="00813D19">
        <w:rPr>
          <w:bCs/>
          <w:lang w:val="en-US"/>
        </w:rPr>
        <w:t xml:space="preserve">reporting </w:t>
      </w:r>
      <w:r w:rsidR="008E4E14" w:rsidRPr="00813D19">
        <w:rPr>
          <w:bCs/>
          <w:lang w:val="en-US"/>
        </w:rPr>
        <w:t xml:space="preserve">was </w:t>
      </w:r>
      <w:r w:rsidR="002B66A5" w:rsidRPr="00813D19">
        <w:rPr>
          <w:bCs/>
          <w:lang w:val="en-US"/>
        </w:rPr>
        <w:t xml:space="preserve">a good tool for learning and understanding </w:t>
      </w:r>
      <w:r w:rsidR="008E4E14" w:rsidRPr="00813D19">
        <w:rPr>
          <w:bCs/>
          <w:lang w:val="en-US"/>
        </w:rPr>
        <w:t>its intangible cultural heritage</w:t>
      </w:r>
      <w:r w:rsidR="0016273D">
        <w:rPr>
          <w:bCs/>
          <w:lang w:val="en-US"/>
        </w:rPr>
        <w:t>.</w:t>
      </w:r>
    </w:p>
    <w:p w14:paraId="3291EC20" w14:textId="44B9E1D8" w:rsidR="0017442E" w:rsidRPr="0016273D" w:rsidRDefault="00314F3E" w:rsidP="0016273D">
      <w:pPr>
        <w:pStyle w:val="Orateurengris"/>
        <w:widowControl w:val="0"/>
        <w:spacing w:after="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647AC7" w:rsidRPr="00813D19">
        <w:rPr>
          <w:color w:val="000000" w:themeColor="text1"/>
          <w:lang w:val="en-US"/>
        </w:rPr>
        <w:t xml:space="preserve">adjourned the </w:t>
      </w:r>
      <w:r w:rsidR="0016273D">
        <w:rPr>
          <w:color w:val="000000" w:themeColor="text1"/>
          <w:lang w:val="en-US"/>
        </w:rPr>
        <w:t>day’s</w:t>
      </w:r>
      <w:r w:rsidR="0016273D" w:rsidRPr="00813D19">
        <w:rPr>
          <w:color w:val="000000" w:themeColor="text1"/>
          <w:lang w:val="en-US"/>
        </w:rPr>
        <w:t xml:space="preserve"> </w:t>
      </w:r>
      <w:r w:rsidRPr="00813D19">
        <w:rPr>
          <w:color w:val="000000" w:themeColor="text1"/>
          <w:lang w:val="en-US"/>
        </w:rPr>
        <w:t>session.</w:t>
      </w:r>
    </w:p>
    <w:p w14:paraId="6ACFE912" w14:textId="2E54B0DE" w:rsidR="0017442E" w:rsidRPr="00813D19" w:rsidRDefault="0017442E" w:rsidP="0016273D">
      <w:pPr>
        <w:pStyle w:val="Orateurengris"/>
        <w:keepNext/>
        <w:numPr>
          <w:ilvl w:val="0"/>
          <w:numId w:val="0"/>
        </w:numPr>
        <w:spacing w:before="240" w:after="240"/>
        <w:ind w:left="567" w:hanging="567"/>
        <w:jc w:val="center"/>
        <w:outlineLvl w:val="0"/>
        <w:rPr>
          <w:i/>
          <w:lang w:val="en-US"/>
        </w:rPr>
      </w:pPr>
      <w:r w:rsidRPr="00813D19">
        <w:rPr>
          <w:i/>
          <w:lang w:val="en-US"/>
        </w:rPr>
        <w:t xml:space="preserve">[Tuesday, 27 November 2018, </w:t>
      </w:r>
      <w:r w:rsidR="00E5585F" w:rsidRPr="00813D19">
        <w:rPr>
          <w:i/>
          <w:lang w:val="en-US"/>
        </w:rPr>
        <w:t>morning</w:t>
      </w:r>
      <w:r w:rsidRPr="00813D19">
        <w:rPr>
          <w:i/>
          <w:lang w:val="en-US"/>
        </w:rPr>
        <w:t xml:space="preserve"> session]</w:t>
      </w:r>
    </w:p>
    <w:p w14:paraId="128087A8" w14:textId="62F34242" w:rsidR="0017442E" w:rsidRPr="00813D19" w:rsidRDefault="00903550" w:rsidP="0016273D">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ITEM 7.b OF THE AGENDA [CONT.]</w:t>
      </w:r>
    </w:p>
    <w:p w14:paraId="07DE5C27" w14:textId="77777777" w:rsidR="0017442E" w:rsidRPr="00813D19" w:rsidRDefault="0017442E" w:rsidP="005966F6">
      <w:pPr>
        <w:pStyle w:val="Orateurengris"/>
        <w:numPr>
          <w:ilvl w:val="0"/>
          <w:numId w:val="0"/>
        </w:numPr>
        <w:outlineLvl w:val="1"/>
        <w:rPr>
          <w:b/>
          <w:color w:val="000000" w:themeColor="text1"/>
          <w:lang w:val="en-US"/>
        </w:rPr>
      </w:pPr>
      <w:r w:rsidRPr="00813D19">
        <w:rPr>
          <w:b/>
          <w:color w:val="000000" w:themeColor="text1"/>
          <w:lang w:val="en-US"/>
        </w:rPr>
        <w:t>EXAMINATION OF THE REPORTS OF STATES PARTIES ON THE CURRENT STATUS OF ELEMENTS INSCRIBED ON THE LIST OF INTANGIBLE CULTURAL HERITAGE IN NEED OF URGENT SAFEGUARDING</w:t>
      </w:r>
    </w:p>
    <w:p w14:paraId="12F5A5A3" w14:textId="382F720C" w:rsidR="005E0E2F" w:rsidRPr="00813D19" w:rsidRDefault="005E0E2F" w:rsidP="008A0753">
      <w:pPr>
        <w:pStyle w:val="Orateurengris"/>
        <w:widowControl w:val="0"/>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67708C" w:rsidRPr="00813D19">
        <w:rPr>
          <w:lang w:val="en-US"/>
        </w:rPr>
        <w:t xml:space="preserve">began the session </w:t>
      </w:r>
      <w:r w:rsidR="0067708C" w:rsidRPr="00813D19">
        <w:rPr>
          <w:bCs/>
          <w:lang w:val="en-US"/>
        </w:rPr>
        <w:t xml:space="preserve">by explaining that </w:t>
      </w:r>
      <w:r w:rsidR="00654395" w:rsidRPr="00813D19">
        <w:rPr>
          <w:bCs/>
          <w:lang w:val="en-US"/>
        </w:rPr>
        <w:t xml:space="preserve">the Bureau </w:t>
      </w:r>
      <w:r w:rsidR="0067708C" w:rsidRPr="00813D19">
        <w:rPr>
          <w:bCs/>
          <w:lang w:val="en-US"/>
        </w:rPr>
        <w:t xml:space="preserve">had revised its timetable at its morning </w:t>
      </w:r>
      <w:r w:rsidR="00654395" w:rsidRPr="00813D19">
        <w:rPr>
          <w:bCs/>
          <w:lang w:val="en-US"/>
        </w:rPr>
        <w:t>meeting</w:t>
      </w:r>
      <w:r w:rsidR="0067708C" w:rsidRPr="00813D19">
        <w:rPr>
          <w:bCs/>
          <w:lang w:val="en-US"/>
        </w:rPr>
        <w:t>, following the previous day’s concluded items 1–</w:t>
      </w:r>
      <w:r w:rsidR="00654395" w:rsidRPr="00813D19">
        <w:rPr>
          <w:bCs/>
          <w:lang w:val="en-US"/>
        </w:rPr>
        <w:t>7.a</w:t>
      </w:r>
      <w:r w:rsidR="0067708C" w:rsidRPr="00813D19">
        <w:rPr>
          <w:bCs/>
          <w:lang w:val="en-US"/>
        </w:rPr>
        <w:t>,</w:t>
      </w:r>
      <w:r w:rsidR="00654395" w:rsidRPr="00813D19">
        <w:rPr>
          <w:bCs/>
          <w:lang w:val="en-US"/>
        </w:rPr>
        <w:t xml:space="preserve"> including item 10.b</w:t>
      </w:r>
      <w:r w:rsidR="00C01418">
        <w:rPr>
          <w:bCs/>
          <w:lang w:val="en-US"/>
        </w:rPr>
        <w:t>.</w:t>
      </w:r>
      <w:r w:rsidR="00654395" w:rsidRPr="00813D19">
        <w:rPr>
          <w:bCs/>
          <w:lang w:val="en-US"/>
        </w:rPr>
        <w:t xml:space="preserve">41 </w:t>
      </w:r>
      <w:r w:rsidR="0067708C" w:rsidRPr="00813D19">
        <w:rPr>
          <w:bCs/>
          <w:lang w:val="en-US"/>
        </w:rPr>
        <w:t>on the joint Korean</w:t>
      </w:r>
      <w:r w:rsidR="00654395" w:rsidRPr="00813D19">
        <w:rPr>
          <w:bCs/>
          <w:lang w:val="en-US"/>
        </w:rPr>
        <w:t xml:space="preserve"> </w:t>
      </w:r>
      <w:r w:rsidR="0067708C" w:rsidRPr="00813D19">
        <w:rPr>
          <w:bCs/>
          <w:lang w:val="en-US"/>
        </w:rPr>
        <w:t>inscription</w:t>
      </w:r>
      <w:r w:rsidR="00654395" w:rsidRPr="00813D19">
        <w:rPr>
          <w:bCs/>
          <w:lang w:val="en-US"/>
        </w:rPr>
        <w:t xml:space="preserve">. </w:t>
      </w:r>
      <w:r w:rsidR="0067708C" w:rsidRPr="00813D19">
        <w:rPr>
          <w:bCs/>
          <w:lang w:val="en-US"/>
        </w:rPr>
        <w:t xml:space="preserve">The day would thus begin with </w:t>
      </w:r>
      <w:r w:rsidR="00654395" w:rsidRPr="00813D19">
        <w:rPr>
          <w:bCs/>
          <w:lang w:val="en-US"/>
        </w:rPr>
        <w:t xml:space="preserve">the examination of </w:t>
      </w:r>
      <w:r w:rsidR="0067708C" w:rsidRPr="00813D19">
        <w:rPr>
          <w:bCs/>
          <w:lang w:val="en-US"/>
        </w:rPr>
        <w:t xml:space="preserve">agenda </w:t>
      </w:r>
      <w:r w:rsidR="00654395" w:rsidRPr="00813D19">
        <w:rPr>
          <w:bCs/>
          <w:lang w:val="en-US"/>
        </w:rPr>
        <w:t xml:space="preserve">item 7.b </w:t>
      </w:r>
      <w:r w:rsidR="0067708C" w:rsidRPr="00813D19">
        <w:rPr>
          <w:bCs/>
          <w:lang w:val="en-US"/>
        </w:rPr>
        <w:t xml:space="preserve">before moving </w:t>
      </w:r>
      <w:r w:rsidR="00654395" w:rsidRPr="00813D19">
        <w:rPr>
          <w:bCs/>
          <w:lang w:val="en-US"/>
        </w:rPr>
        <w:t xml:space="preserve">to </w:t>
      </w:r>
      <w:r w:rsidR="0067708C" w:rsidRPr="00813D19">
        <w:rPr>
          <w:bCs/>
          <w:lang w:val="en-US"/>
        </w:rPr>
        <w:t xml:space="preserve">agenda items 7.c and </w:t>
      </w:r>
      <w:r w:rsidR="00654395" w:rsidRPr="00813D19">
        <w:rPr>
          <w:bCs/>
          <w:lang w:val="en-US"/>
        </w:rPr>
        <w:t xml:space="preserve">8. </w:t>
      </w:r>
      <w:r w:rsidR="0067708C" w:rsidRPr="00813D19">
        <w:rPr>
          <w:bCs/>
          <w:lang w:val="en-US"/>
        </w:rPr>
        <w:t>T</w:t>
      </w:r>
      <w:r w:rsidR="00654395" w:rsidRPr="00813D19">
        <w:rPr>
          <w:bCs/>
          <w:lang w:val="en-US"/>
        </w:rPr>
        <w:t xml:space="preserve">he </w:t>
      </w:r>
      <w:r w:rsidR="0067708C" w:rsidRPr="00813D19">
        <w:rPr>
          <w:bCs/>
          <w:lang w:val="en-US"/>
        </w:rPr>
        <w:t xml:space="preserve">Committee would </w:t>
      </w:r>
      <w:r w:rsidR="00531745" w:rsidRPr="00813D19">
        <w:rPr>
          <w:bCs/>
          <w:lang w:val="en-US"/>
        </w:rPr>
        <w:t>e</w:t>
      </w:r>
      <w:r w:rsidR="0067708C" w:rsidRPr="00813D19">
        <w:rPr>
          <w:bCs/>
          <w:lang w:val="en-US"/>
        </w:rPr>
        <w:t xml:space="preserve">xamine agenda </w:t>
      </w:r>
      <w:r w:rsidR="00654395" w:rsidRPr="00813D19">
        <w:rPr>
          <w:bCs/>
          <w:lang w:val="en-US"/>
        </w:rPr>
        <w:t xml:space="preserve">item 9 </w:t>
      </w:r>
      <w:r w:rsidR="00531745" w:rsidRPr="00813D19">
        <w:rPr>
          <w:bCs/>
          <w:lang w:val="en-US"/>
        </w:rPr>
        <w:t>in the afterno</w:t>
      </w:r>
      <w:r w:rsidR="0067708C" w:rsidRPr="00813D19">
        <w:rPr>
          <w:bCs/>
          <w:lang w:val="en-US"/>
        </w:rPr>
        <w:t xml:space="preserve">on session, </w:t>
      </w:r>
      <w:r w:rsidR="00654395" w:rsidRPr="00813D19">
        <w:rPr>
          <w:bCs/>
          <w:lang w:val="en-US"/>
        </w:rPr>
        <w:t xml:space="preserve">and </w:t>
      </w:r>
      <w:r w:rsidR="0067708C" w:rsidRPr="00813D19">
        <w:rPr>
          <w:bCs/>
          <w:lang w:val="en-US"/>
        </w:rPr>
        <w:t xml:space="preserve">possibly </w:t>
      </w:r>
      <w:r w:rsidR="00654395" w:rsidRPr="00813D19">
        <w:rPr>
          <w:bCs/>
          <w:lang w:val="en-US"/>
        </w:rPr>
        <w:t xml:space="preserve">the report of the Evaluation Body. </w:t>
      </w:r>
      <w:r w:rsidR="0067708C" w:rsidRPr="00813D19">
        <w:rPr>
          <w:bCs/>
          <w:lang w:val="en-US"/>
        </w:rPr>
        <w:t>The Chairperson noted that Norway had wished to take the floor in t</w:t>
      </w:r>
      <w:r w:rsidR="00531745" w:rsidRPr="00813D19">
        <w:rPr>
          <w:bCs/>
          <w:lang w:val="en-US"/>
        </w:rPr>
        <w:t xml:space="preserve">he previous session </w:t>
      </w:r>
      <w:r w:rsidR="0067708C" w:rsidRPr="00813D19">
        <w:rPr>
          <w:bCs/>
          <w:lang w:val="en-US"/>
        </w:rPr>
        <w:t xml:space="preserve">and was now </w:t>
      </w:r>
      <w:r w:rsidR="0016273D">
        <w:rPr>
          <w:bCs/>
          <w:lang w:val="en-US"/>
        </w:rPr>
        <w:t>given the opportunity to speak.</w:t>
      </w:r>
    </w:p>
    <w:p w14:paraId="0E3616CF" w14:textId="2EAD0FA8" w:rsidR="005E0E2F" w:rsidRPr="00813D19" w:rsidRDefault="005E0E2F" w:rsidP="004B1FA4">
      <w:pPr>
        <w:pStyle w:val="Orateurengris"/>
        <w:widowControl w:val="0"/>
        <w:spacing w:before="120"/>
        <w:ind w:left="709" w:hanging="709"/>
        <w:rPr>
          <w:lang w:val="en-US"/>
        </w:rPr>
      </w:pPr>
      <w:r w:rsidRPr="00813D19">
        <w:rPr>
          <w:lang w:val="en-US"/>
        </w:rPr>
        <w:t xml:space="preserve">The </w:t>
      </w:r>
      <w:r w:rsidRPr="00813D19">
        <w:rPr>
          <w:b/>
          <w:lang w:val="en-US"/>
        </w:rPr>
        <w:t xml:space="preserve">delegation of Norway </w:t>
      </w:r>
      <w:r w:rsidR="008C12D4" w:rsidRPr="00813D19">
        <w:rPr>
          <w:lang w:val="en-US"/>
        </w:rPr>
        <w:t>began</w:t>
      </w:r>
      <w:r w:rsidR="008C12D4" w:rsidRPr="00813D19">
        <w:rPr>
          <w:b/>
          <w:lang w:val="en-US"/>
        </w:rPr>
        <w:t xml:space="preserve"> </w:t>
      </w:r>
      <w:r w:rsidR="008C12D4" w:rsidRPr="00813D19">
        <w:rPr>
          <w:lang w:val="en-US"/>
        </w:rPr>
        <w:t xml:space="preserve">by </w:t>
      </w:r>
      <w:r w:rsidR="004953AA" w:rsidRPr="00813D19">
        <w:rPr>
          <w:bCs/>
          <w:lang w:val="en-US"/>
        </w:rPr>
        <w:t>thank</w:t>
      </w:r>
      <w:r w:rsidR="00531745" w:rsidRPr="00813D19">
        <w:rPr>
          <w:bCs/>
          <w:lang w:val="en-US"/>
        </w:rPr>
        <w:t>ing</w:t>
      </w:r>
      <w:r w:rsidR="004953AA" w:rsidRPr="00813D19">
        <w:rPr>
          <w:bCs/>
          <w:lang w:val="en-US"/>
        </w:rPr>
        <w:t xml:space="preserve"> Mauritius for </w:t>
      </w:r>
      <w:r w:rsidR="008C12D4" w:rsidRPr="00813D19">
        <w:rPr>
          <w:bCs/>
          <w:lang w:val="en-US"/>
        </w:rPr>
        <w:t xml:space="preserve">the </w:t>
      </w:r>
      <w:r w:rsidR="004953AA" w:rsidRPr="00813D19">
        <w:rPr>
          <w:bCs/>
          <w:lang w:val="en-US"/>
        </w:rPr>
        <w:t>warm</w:t>
      </w:r>
      <w:r w:rsidR="008C12D4" w:rsidRPr="00813D19">
        <w:rPr>
          <w:bCs/>
          <w:lang w:val="en-US"/>
        </w:rPr>
        <w:t xml:space="preserve"> welcome and great hospitality, and </w:t>
      </w:r>
      <w:r w:rsidR="004953AA" w:rsidRPr="00813D19">
        <w:rPr>
          <w:bCs/>
          <w:lang w:val="en-US"/>
        </w:rPr>
        <w:t xml:space="preserve">the Secretariat for </w:t>
      </w:r>
      <w:r w:rsidR="008C12D4" w:rsidRPr="00813D19">
        <w:rPr>
          <w:bCs/>
          <w:lang w:val="en-US"/>
        </w:rPr>
        <w:t xml:space="preserve">its </w:t>
      </w:r>
      <w:r w:rsidR="004953AA" w:rsidRPr="00813D19">
        <w:rPr>
          <w:bCs/>
          <w:lang w:val="en-US"/>
        </w:rPr>
        <w:t>excellent</w:t>
      </w:r>
      <w:r w:rsidR="008C12D4" w:rsidRPr="00813D19">
        <w:rPr>
          <w:bCs/>
          <w:lang w:val="en-US"/>
        </w:rPr>
        <w:t xml:space="preserve"> work, which was </w:t>
      </w:r>
      <w:r w:rsidR="004953AA" w:rsidRPr="00813D19">
        <w:rPr>
          <w:bCs/>
          <w:lang w:val="en-US"/>
        </w:rPr>
        <w:t>highlight</w:t>
      </w:r>
      <w:r w:rsidR="008C12D4" w:rsidRPr="00813D19">
        <w:rPr>
          <w:bCs/>
          <w:lang w:val="en-US"/>
        </w:rPr>
        <w:t>ed</w:t>
      </w:r>
      <w:r w:rsidR="004953AA" w:rsidRPr="00813D19">
        <w:rPr>
          <w:bCs/>
          <w:lang w:val="en-US"/>
        </w:rPr>
        <w:t xml:space="preserve"> </w:t>
      </w:r>
      <w:r w:rsidR="008C12D4" w:rsidRPr="00813D19">
        <w:rPr>
          <w:bCs/>
          <w:lang w:val="en-US"/>
        </w:rPr>
        <w:t>in the report</w:t>
      </w:r>
      <w:r w:rsidR="004953AA" w:rsidRPr="00813D19">
        <w:rPr>
          <w:bCs/>
          <w:lang w:val="en-US"/>
        </w:rPr>
        <w:t xml:space="preserve">. Norway </w:t>
      </w:r>
      <w:r w:rsidR="008C12D4" w:rsidRPr="00813D19">
        <w:rPr>
          <w:bCs/>
          <w:lang w:val="en-US"/>
        </w:rPr>
        <w:t xml:space="preserve">was </w:t>
      </w:r>
      <w:r w:rsidR="004953AA" w:rsidRPr="00813D19">
        <w:rPr>
          <w:bCs/>
          <w:lang w:val="en-US"/>
        </w:rPr>
        <w:t xml:space="preserve">pleased to see that the Secretariat </w:t>
      </w:r>
      <w:r w:rsidR="008C12D4" w:rsidRPr="00813D19">
        <w:rPr>
          <w:bCs/>
          <w:lang w:val="en-US"/>
        </w:rPr>
        <w:t xml:space="preserve">was </w:t>
      </w:r>
      <w:r w:rsidR="004953AA" w:rsidRPr="00813D19">
        <w:rPr>
          <w:bCs/>
          <w:lang w:val="en-US"/>
        </w:rPr>
        <w:t xml:space="preserve">planning actions to raise awareness </w:t>
      </w:r>
      <w:r w:rsidR="008C12D4" w:rsidRPr="00813D19">
        <w:rPr>
          <w:bCs/>
          <w:lang w:val="en-US"/>
        </w:rPr>
        <w:t xml:space="preserve">on intangible cultural heritage </w:t>
      </w:r>
      <w:r w:rsidR="004953AA" w:rsidRPr="00813D19">
        <w:rPr>
          <w:bCs/>
          <w:lang w:val="en-US"/>
        </w:rPr>
        <w:t xml:space="preserve">among organizations and stakeholders working on issues related to indigenous peoples, especially communication activities </w:t>
      </w:r>
      <w:r w:rsidR="008C12D4" w:rsidRPr="00813D19">
        <w:rPr>
          <w:bCs/>
          <w:lang w:val="en-US"/>
        </w:rPr>
        <w:t xml:space="preserve">to be </w:t>
      </w:r>
      <w:r w:rsidR="004953AA" w:rsidRPr="00813D19">
        <w:rPr>
          <w:bCs/>
          <w:lang w:val="en-US"/>
        </w:rPr>
        <w:t>held during the eighteenth session of the United Nations Permanent For</w:t>
      </w:r>
      <w:r w:rsidR="00531745" w:rsidRPr="00813D19">
        <w:rPr>
          <w:bCs/>
          <w:lang w:val="en-US"/>
        </w:rPr>
        <w:t xml:space="preserve">um on Indigenous Issues in 2019, which was </w:t>
      </w:r>
      <w:r w:rsidR="008C12D4" w:rsidRPr="00813D19">
        <w:rPr>
          <w:bCs/>
          <w:lang w:val="en-US"/>
        </w:rPr>
        <w:t>considered</w:t>
      </w:r>
      <w:r w:rsidR="006A78CC">
        <w:rPr>
          <w:bCs/>
          <w:lang w:val="en-US"/>
        </w:rPr>
        <w:t xml:space="preserve"> to be</w:t>
      </w:r>
      <w:r w:rsidR="008C12D4" w:rsidRPr="00813D19">
        <w:rPr>
          <w:bCs/>
          <w:lang w:val="en-US"/>
        </w:rPr>
        <w:t xml:space="preserve"> of particular </w:t>
      </w:r>
      <w:r w:rsidR="004953AA" w:rsidRPr="00813D19">
        <w:rPr>
          <w:bCs/>
          <w:lang w:val="en-US"/>
        </w:rPr>
        <w:t xml:space="preserve">importance. </w:t>
      </w:r>
      <w:r w:rsidR="008C12D4" w:rsidRPr="00813D19">
        <w:rPr>
          <w:bCs/>
          <w:lang w:val="en-US"/>
        </w:rPr>
        <w:t>The deleg</w:t>
      </w:r>
      <w:r w:rsidR="00531745" w:rsidRPr="00813D19">
        <w:rPr>
          <w:bCs/>
          <w:lang w:val="en-US"/>
        </w:rPr>
        <w:t xml:space="preserve">ation informed the Secretariat and all the delegations </w:t>
      </w:r>
      <w:r w:rsidR="004953AA" w:rsidRPr="00813D19">
        <w:rPr>
          <w:bCs/>
          <w:lang w:val="en-US"/>
        </w:rPr>
        <w:t xml:space="preserve">that </w:t>
      </w:r>
      <w:r w:rsidR="008C12D4" w:rsidRPr="00813D19">
        <w:rPr>
          <w:bCs/>
          <w:lang w:val="en-US"/>
        </w:rPr>
        <w:t xml:space="preserve">a </w:t>
      </w:r>
      <w:r w:rsidR="004953AA" w:rsidRPr="00813D19">
        <w:rPr>
          <w:bCs/>
          <w:lang w:val="en-US"/>
        </w:rPr>
        <w:t xml:space="preserve">colleague from the Sami Parliament </w:t>
      </w:r>
      <w:r w:rsidR="008C12D4" w:rsidRPr="00813D19">
        <w:rPr>
          <w:bCs/>
          <w:lang w:val="en-US"/>
        </w:rPr>
        <w:t>had joined the Norwegian d</w:t>
      </w:r>
      <w:r w:rsidR="004953AA" w:rsidRPr="00813D19">
        <w:rPr>
          <w:bCs/>
          <w:lang w:val="en-US"/>
        </w:rPr>
        <w:t xml:space="preserve">elegation </w:t>
      </w:r>
      <w:r w:rsidR="00531745" w:rsidRPr="00813D19">
        <w:rPr>
          <w:bCs/>
          <w:lang w:val="en-US"/>
        </w:rPr>
        <w:t>in Mauritius</w:t>
      </w:r>
      <w:r w:rsidR="008C12D4" w:rsidRPr="00813D19">
        <w:rPr>
          <w:bCs/>
          <w:lang w:val="en-US"/>
        </w:rPr>
        <w:t xml:space="preserve"> and looked </w:t>
      </w:r>
      <w:r w:rsidR="004953AA" w:rsidRPr="00813D19">
        <w:rPr>
          <w:bCs/>
          <w:lang w:val="en-US"/>
        </w:rPr>
        <w:t>forward to exchanging ideas and practi</w:t>
      </w:r>
      <w:r w:rsidR="0016273D">
        <w:rPr>
          <w:bCs/>
          <w:lang w:val="en-US"/>
        </w:rPr>
        <w:t>ces in the coming days.</w:t>
      </w:r>
    </w:p>
    <w:p w14:paraId="66FF7CE8" w14:textId="0D403E91" w:rsidR="00E13AB7" w:rsidRPr="00813D19" w:rsidRDefault="005E0E2F" w:rsidP="004B1FA4">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940BFE" w:rsidRPr="00813D19">
        <w:rPr>
          <w:lang w:val="en-US"/>
        </w:rPr>
        <w:t>resume</w:t>
      </w:r>
      <w:r w:rsidR="00020144" w:rsidRPr="00813D19">
        <w:rPr>
          <w:lang w:val="en-US"/>
        </w:rPr>
        <w:t>d</w:t>
      </w:r>
      <w:r w:rsidR="00940BFE" w:rsidRPr="00813D19">
        <w:rPr>
          <w:lang w:val="en-US"/>
        </w:rPr>
        <w:t xml:space="preserve"> </w:t>
      </w:r>
      <w:r w:rsidR="00020144" w:rsidRPr="00813D19">
        <w:rPr>
          <w:lang w:val="en-US"/>
        </w:rPr>
        <w:t xml:space="preserve">the </w:t>
      </w:r>
      <w:r w:rsidR="00940BFE" w:rsidRPr="00813D19">
        <w:rPr>
          <w:lang w:val="en-US"/>
        </w:rPr>
        <w:t xml:space="preserve">examination of </w:t>
      </w:r>
      <w:r w:rsidR="00020144" w:rsidRPr="00813D19">
        <w:rPr>
          <w:lang w:val="en-US"/>
        </w:rPr>
        <w:t xml:space="preserve">agenda </w:t>
      </w:r>
      <w:r w:rsidR="00940BFE" w:rsidRPr="00813D19">
        <w:rPr>
          <w:lang w:val="en-US"/>
        </w:rPr>
        <w:t xml:space="preserve">item 7.b, </w:t>
      </w:r>
      <w:r w:rsidR="00020144" w:rsidRPr="00813D19">
        <w:rPr>
          <w:lang w:val="en-US"/>
        </w:rPr>
        <w:t xml:space="preserve">recalling that </w:t>
      </w:r>
      <w:r w:rsidR="00940BFE" w:rsidRPr="00813D19">
        <w:rPr>
          <w:lang w:val="en-US"/>
        </w:rPr>
        <w:t xml:space="preserve">the Secretary </w:t>
      </w:r>
      <w:r w:rsidR="00020144" w:rsidRPr="00813D19">
        <w:rPr>
          <w:lang w:val="en-US"/>
        </w:rPr>
        <w:t xml:space="preserve">had presented an </w:t>
      </w:r>
      <w:r w:rsidR="00940BFE" w:rsidRPr="00813D19">
        <w:rPr>
          <w:lang w:val="en-US"/>
        </w:rPr>
        <w:t>overview of the sixteen reports</w:t>
      </w:r>
      <w:r w:rsidR="00020144" w:rsidRPr="00813D19">
        <w:rPr>
          <w:lang w:val="en-US"/>
        </w:rPr>
        <w:t xml:space="preserve"> in the previous session followed by </w:t>
      </w:r>
      <w:r w:rsidR="00940BFE" w:rsidRPr="00813D19">
        <w:rPr>
          <w:lang w:val="en-US"/>
        </w:rPr>
        <w:t>a few interventions from the floor.</w:t>
      </w:r>
      <w:r w:rsidR="002D1C93" w:rsidRPr="00813D19">
        <w:rPr>
          <w:lang w:val="en-US"/>
        </w:rPr>
        <w:t xml:space="preserve"> </w:t>
      </w:r>
      <w:r w:rsidR="00020144" w:rsidRPr="00813D19">
        <w:rPr>
          <w:lang w:val="en-US"/>
        </w:rPr>
        <w:t xml:space="preserve">The Chairperson then turned </w:t>
      </w:r>
      <w:r w:rsidR="00940BFE" w:rsidRPr="00813D19">
        <w:rPr>
          <w:lang w:val="en-US"/>
        </w:rPr>
        <w:t>to the individual decisions.</w:t>
      </w:r>
      <w:r w:rsidR="002D1C93" w:rsidRPr="00813D19">
        <w:rPr>
          <w:lang w:val="en-US"/>
        </w:rPr>
        <w:t xml:space="preserve"> </w:t>
      </w:r>
      <w:r w:rsidR="00940BFE" w:rsidRPr="00813D19">
        <w:rPr>
          <w:lang w:val="en-US"/>
        </w:rPr>
        <w:t xml:space="preserve">The first </w:t>
      </w:r>
      <w:r w:rsidR="008C12D4" w:rsidRPr="00813D19">
        <w:rPr>
          <w:lang w:val="en-US"/>
        </w:rPr>
        <w:t xml:space="preserve">was submitted by Azerbaijan on </w:t>
      </w:r>
      <w:r w:rsidR="00940BFE" w:rsidRPr="00813D19">
        <w:rPr>
          <w:b/>
          <w:lang w:val="en-US"/>
        </w:rPr>
        <w:t>Chovqan, a tr</w:t>
      </w:r>
      <w:r w:rsidR="002D1C93" w:rsidRPr="00813D19">
        <w:rPr>
          <w:b/>
          <w:lang w:val="en-US"/>
        </w:rPr>
        <w:t xml:space="preserve">aditional Karabakh horse-riding </w:t>
      </w:r>
      <w:r w:rsidR="00940BFE" w:rsidRPr="00813D19">
        <w:rPr>
          <w:b/>
          <w:lang w:val="en-US"/>
        </w:rPr>
        <w:t>game in the Republic of Azerbaijan</w:t>
      </w:r>
      <w:r w:rsidR="00020144" w:rsidRPr="00813D19">
        <w:rPr>
          <w:lang w:val="en-US"/>
        </w:rPr>
        <w:t>, which had received a</w:t>
      </w:r>
      <w:r w:rsidR="00E13AB7" w:rsidRPr="00813D19">
        <w:rPr>
          <w:lang w:val="en-US"/>
        </w:rPr>
        <w:t xml:space="preserve">n amendment </w:t>
      </w:r>
      <w:r w:rsidR="008C12D4" w:rsidRPr="00813D19">
        <w:rPr>
          <w:lang w:val="en-US"/>
        </w:rPr>
        <w:t xml:space="preserve">from </w:t>
      </w:r>
      <w:r w:rsidR="00E13AB7" w:rsidRPr="00813D19">
        <w:rPr>
          <w:lang w:val="en-US"/>
        </w:rPr>
        <w:t>Armenia.</w:t>
      </w:r>
    </w:p>
    <w:p w14:paraId="269BDBFE" w14:textId="663FEF96" w:rsidR="00E13AB7" w:rsidRPr="00813D19" w:rsidRDefault="00BE2362" w:rsidP="004B1FA4">
      <w:pPr>
        <w:pStyle w:val="Orateurengris"/>
        <w:widowControl w:val="0"/>
        <w:spacing w:before="120"/>
        <w:ind w:left="709" w:hanging="709"/>
        <w:rPr>
          <w:lang w:val="en-US"/>
        </w:rPr>
      </w:pPr>
      <w:r w:rsidRPr="00813D19">
        <w:rPr>
          <w:bCs/>
          <w:lang w:val="en-US"/>
        </w:rPr>
        <w:t xml:space="preserve">Explaining its position, </w:t>
      </w:r>
      <w:r w:rsidRPr="00813D19">
        <w:rPr>
          <w:lang w:val="en-US"/>
        </w:rPr>
        <w:t>t</w:t>
      </w:r>
      <w:r w:rsidR="00E13AB7" w:rsidRPr="00813D19">
        <w:rPr>
          <w:lang w:val="en-US"/>
        </w:rPr>
        <w:t xml:space="preserve">he </w:t>
      </w:r>
      <w:r w:rsidR="00E13AB7" w:rsidRPr="00813D19">
        <w:rPr>
          <w:b/>
          <w:lang w:val="en-US"/>
        </w:rPr>
        <w:t>delegation of Armenia</w:t>
      </w:r>
      <w:r w:rsidRPr="00813D19">
        <w:rPr>
          <w:bCs/>
          <w:lang w:val="en-US"/>
        </w:rPr>
        <w:t xml:space="preserve"> explained that </w:t>
      </w:r>
      <w:r w:rsidR="004953AA" w:rsidRPr="00813D19">
        <w:rPr>
          <w:bCs/>
          <w:lang w:val="en-US"/>
        </w:rPr>
        <w:t xml:space="preserve">contrary to the purpose and </w:t>
      </w:r>
      <w:r w:rsidRPr="00813D19">
        <w:rPr>
          <w:bCs/>
          <w:lang w:val="en-US"/>
        </w:rPr>
        <w:t xml:space="preserve">spirit of UNESCO, </w:t>
      </w:r>
      <w:r w:rsidR="004953AA" w:rsidRPr="00813D19">
        <w:rPr>
          <w:bCs/>
          <w:lang w:val="en-US"/>
        </w:rPr>
        <w:t xml:space="preserve">the Convention and the latest efforts </w:t>
      </w:r>
      <w:r w:rsidRPr="00813D19">
        <w:rPr>
          <w:bCs/>
          <w:lang w:val="en-US"/>
        </w:rPr>
        <w:t xml:space="preserve">by </w:t>
      </w:r>
      <w:r w:rsidR="004953AA" w:rsidRPr="00813D19">
        <w:rPr>
          <w:bCs/>
          <w:lang w:val="en-US"/>
        </w:rPr>
        <w:t>the Director-General to de</w:t>
      </w:r>
      <w:r w:rsidR="006A78CC">
        <w:rPr>
          <w:bCs/>
          <w:lang w:val="en-US"/>
        </w:rPr>
        <w:t>-</w:t>
      </w:r>
      <w:r w:rsidR="004953AA" w:rsidRPr="00813D19">
        <w:rPr>
          <w:bCs/>
          <w:lang w:val="en-US"/>
        </w:rPr>
        <w:t>politicize UNESCO</w:t>
      </w:r>
      <w:r w:rsidRPr="00813D19">
        <w:rPr>
          <w:bCs/>
          <w:lang w:val="en-US"/>
        </w:rPr>
        <w:t xml:space="preserve">, it </w:t>
      </w:r>
      <w:r w:rsidR="004953AA" w:rsidRPr="00813D19">
        <w:rPr>
          <w:bCs/>
          <w:lang w:val="en-US"/>
        </w:rPr>
        <w:t>acknowledge</w:t>
      </w:r>
      <w:r w:rsidRPr="00813D19">
        <w:rPr>
          <w:bCs/>
          <w:lang w:val="en-US"/>
        </w:rPr>
        <w:t>d</w:t>
      </w:r>
      <w:r w:rsidR="004953AA" w:rsidRPr="00813D19">
        <w:rPr>
          <w:bCs/>
          <w:lang w:val="en-US"/>
        </w:rPr>
        <w:t xml:space="preserve"> Azerbaijan</w:t>
      </w:r>
      <w:r w:rsidRPr="00813D19">
        <w:rPr>
          <w:bCs/>
          <w:lang w:val="en-US"/>
        </w:rPr>
        <w:t>’s continuous politicization of</w:t>
      </w:r>
      <w:r w:rsidR="004953AA" w:rsidRPr="00813D19">
        <w:rPr>
          <w:bCs/>
          <w:lang w:val="en-US"/>
        </w:rPr>
        <w:t xml:space="preserve"> this framework with the aim of extending dividing lines in the sphere of culture. </w:t>
      </w:r>
      <w:r w:rsidRPr="00813D19">
        <w:rPr>
          <w:bCs/>
          <w:lang w:val="en-US"/>
        </w:rPr>
        <w:t>T</w:t>
      </w:r>
      <w:r w:rsidR="004953AA" w:rsidRPr="00813D19">
        <w:rPr>
          <w:bCs/>
          <w:lang w:val="en-US"/>
        </w:rPr>
        <w:t xml:space="preserve">he report of Azerbaijan presented </w:t>
      </w:r>
      <w:r w:rsidR="00531745" w:rsidRPr="00813D19">
        <w:rPr>
          <w:bCs/>
          <w:lang w:val="en-US"/>
        </w:rPr>
        <w:t xml:space="preserve">in </w:t>
      </w:r>
      <w:r w:rsidR="004953AA" w:rsidRPr="00813D19">
        <w:rPr>
          <w:bCs/>
          <w:lang w:val="en-US"/>
        </w:rPr>
        <w:t xml:space="preserve">draft </w:t>
      </w:r>
      <w:r w:rsidR="003E7512">
        <w:rPr>
          <w:bCs/>
          <w:lang w:val="en-US"/>
        </w:rPr>
        <w:t>D</w:t>
      </w:r>
      <w:r w:rsidR="004953AA" w:rsidRPr="00813D19">
        <w:rPr>
          <w:bCs/>
          <w:lang w:val="en-US"/>
        </w:rPr>
        <w:t>ecision 13.COM 7.b.1 on the status of the element Chovqan</w:t>
      </w:r>
      <w:r w:rsidR="006472A5" w:rsidRPr="00813D19">
        <w:rPr>
          <w:bCs/>
          <w:lang w:val="en-US"/>
        </w:rPr>
        <w:t xml:space="preserve"> </w:t>
      </w:r>
      <w:r w:rsidRPr="00813D19">
        <w:rPr>
          <w:bCs/>
          <w:lang w:val="en-US"/>
        </w:rPr>
        <w:t xml:space="preserve">was said to be </w:t>
      </w:r>
      <w:r w:rsidR="004953AA" w:rsidRPr="00813D19">
        <w:rPr>
          <w:bCs/>
          <w:lang w:val="en-US"/>
        </w:rPr>
        <w:t xml:space="preserve">full of ungrounded, false and inappropriate allegations targeting </w:t>
      </w:r>
      <w:r w:rsidRPr="00813D19">
        <w:rPr>
          <w:bCs/>
          <w:lang w:val="en-US"/>
        </w:rPr>
        <w:t>Armenia</w:t>
      </w:r>
      <w:r w:rsidR="004953AA" w:rsidRPr="00813D19">
        <w:rPr>
          <w:bCs/>
          <w:lang w:val="en-US"/>
        </w:rPr>
        <w:t>. Instead of focusing on the Chovqan game, Azerbaijan connect</w:t>
      </w:r>
      <w:r w:rsidRPr="00813D19">
        <w:rPr>
          <w:bCs/>
          <w:lang w:val="en-US"/>
        </w:rPr>
        <w:t>ed</w:t>
      </w:r>
      <w:r w:rsidR="004953AA" w:rsidRPr="00813D19">
        <w:rPr>
          <w:bCs/>
          <w:lang w:val="en-US"/>
        </w:rPr>
        <w:t xml:space="preserve"> the game to the </w:t>
      </w:r>
      <w:r w:rsidR="004953AA" w:rsidRPr="00813D19">
        <w:rPr>
          <w:lang w:val="en-US"/>
        </w:rPr>
        <w:t>Nagorno-Karabakh conflict and thus introd</w:t>
      </w:r>
      <w:r w:rsidRPr="00813D19">
        <w:rPr>
          <w:lang w:val="en-US"/>
        </w:rPr>
        <w:t>uced</w:t>
      </w:r>
      <w:r w:rsidR="004953AA" w:rsidRPr="00813D19">
        <w:rPr>
          <w:lang w:val="en-US"/>
        </w:rPr>
        <w:t xml:space="preserve"> </w:t>
      </w:r>
      <w:r w:rsidRPr="00813D19">
        <w:rPr>
          <w:lang w:val="en-US"/>
        </w:rPr>
        <w:t xml:space="preserve">a </w:t>
      </w:r>
      <w:r w:rsidR="004953AA" w:rsidRPr="00813D19">
        <w:rPr>
          <w:lang w:val="en-US"/>
        </w:rPr>
        <w:t xml:space="preserve">conflict narrative in the report. </w:t>
      </w:r>
      <w:r w:rsidRPr="00813D19">
        <w:rPr>
          <w:lang w:val="en-US"/>
        </w:rPr>
        <w:t xml:space="preserve">The delegation </w:t>
      </w:r>
      <w:r w:rsidR="004953AA" w:rsidRPr="00813D19">
        <w:rPr>
          <w:lang w:val="en-US"/>
        </w:rPr>
        <w:t>resolutely reject</w:t>
      </w:r>
      <w:r w:rsidRPr="00813D19">
        <w:rPr>
          <w:lang w:val="en-US"/>
        </w:rPr>
        <w:t>ed</w:t>
      </w:r>
      <w:r w:rsidR="004953AA" w:rsidRPr="00813D19">
        <w:rPr>
          <w:lang w:val="en-US"/>
        </w:rPr>
        <w:t xml:space="preserve"> all </w:t>
      </w:r>
      <w:r w:rsidRPr="00813D19">
        <w:rPr>
          <w:lang w:val="en-US"/>
        </w:rPr>
        <w:t xml:space="preserve">the </w:t>
      </w:r>
      <w:r w:rsidR="004953AA" w:rsidRPr="00813D19">
        <w:rPr>
          <w:lang w:val="en-US"/>
        </w:rPr>
        <w:t>allegations contained therein, which contradict</w:t>
      </w:r>
      <w:r w:rsidRPr="00813D19">
        <w:rPr>
          <w:lang w:val="en-US"/>
        </w:rPr>
        <w:t>ed</w:t>
      </w:r>
      <w:r w:rsidR="004953AA" w:rsidRPr="00813D19">
        <w:rPr>
          <w:lang w:val="en-US"/>
        </w:rPr>
        <w:t xml:space="preserve"> the reality and the position of the international community, </w:t>
      </w:r>
      <w:r w:rsidRPr="00813D19">
        <w:rPr>
          <w:lang w:val="en-US"/>
        </w:rPr>
        <w:t xml:space="preserve">as </w:t>
      </w:r>
      <w:r w:rsidR="004953AA" w:rsidRPr="00813D19">
        <w:rPr>
          <w:lang w:val="en-US"/>
        </w:rPr>
        <w:t xml:space="preserve">reflected in the statements of </w:t>
      </w:r>
      <w:r w:rsidRPr="00813D19">
        <w:rPr>
          <w:lang w:val="en-US"/>
        </w:rPr>
        <w:t xml:space="preserve">the </w:t>
      </w:r>
      <w:r w:rsidR="00DF475A" w:rsidRPr="00813D19">
        <w:rPr>
          <w:lang w:val="en-US"/>
        </w:rPr>
        <w:t>OSCE Minsk Group Co-C</w:t>
      </w:r>
      <w:r w:rsidR="004953AA" w:rsidRPr="00813D19">
        <w:rPr>
          <w:lang w:val="en-US"/>
        </w:rPr>
        <w:t xml:space="preserve">hairs </w:t>
      </w:r>
      <w:r w:rsidRPr="00813D19">
        <w:rPr>
          <w:lang w:val="en-US"/>
        </w:rPr>
        <w:t>that deal</w:t>
      </w:r>
      <w:r w:rsidR="00531745" w:rsidRPr="00813D19">
        <w:rPr>
          <w:lang w:val="en-US"/>
        </w:rPr>
        <w:t>s</w:t>
      </w:r>
      <w:r w:rsidR="004953AA" w:rsidRPr="00813D19">
        <w:rPr>
          <w:lang w:val="en-US"/>
        </w:rPr>
        <w:t xml:space="preserve"> with </w:t>
      </w:r>
      <w:r w:rsidRPr="00813D19">
        <w:rPr>
          <w:lang w:val="en-US"/>
        </w:rPr>
        <w:t xml:space="preserve">the </w:t>
      </w:r>
      <w:r w:rsidR="004953AA" w:rsidRPr="00813D19">
        <w:rPr>
          <w:lang w:val="en-US"/>
        </w:rPr>
        <w:t xml:space="preserve">Nagorno-Karabakh conflict. </w:t>
      </w:r>
      <w:r w:rsidRPr="00813D19">
        <w:rPr>
          <w:lang w:val="en-US"/>
        </w:rPr>
        <w:t>The delegation further explained that w</w:t>
      </w:r>
      <w:r w:rsidR="004953AA" w:rsidRPr="00813D19">
        <w:rPr>
          <w:lang w:val="en-US"/>
        </w:rPr>
        <w:t xml:space="preserve">hen Azerbaijan inscribed </w:t>
      </w:r>
      <w:r w:rsidR="004953AA" w:rsidRPr="00813D19">
        <w:rPr>
          <w:bCs/>
          <w:lang w:val="en-US"/>
        </w:rPr>
        <w:t>Chovqan, a traditional Karabakh horse-riding game in the Republic of Azerbaijan in 2013</w:t>
      </w:r>
      <w:r w:rsidR="00DF475A" w:rsidRPr="00813D19">
        <w:rPr>
          <w:bCs/>
          <w:lang w:val="en-US"/>
        </w:rPr>
        <w:t>,</w:t>
      </w:r>
      <w:r w:rsidR="004953AA" w:rsidRPr="00813D19">
        <w:rPr>
          <w:bCs/>
          <w:lang w:val="en-US"/>
        </w:rPr>
        <w:t xml:space="preserve"> </w:t>
      </w:r>
      <w:r w:rsidRPr="00813D19">
        <w:rPr>
          <w:bCs/>
          <w:lang w:val="en-US"/>
        </w:rPr>
        <w:t xml:space="preserve">a </w:t>
      </w:r>
      <w:r w:rsidR="004953AA" w:rsidRPr="00813D19">
        <w:rPr>
          <w:bCs/>
          <w:lang w:val="en-US"/>
        </w:rPr>
        <w:t>decision undertaken in Baku</w:t>
      </w:r>
      <w:r w:rsidRPr="00813D19">
        <w:rPr>
          <w:bCs/>
          <w:lang w:val="en-US"/>
        </w:rPr>
        <w:t xml:space="preserve">, it had </w:t>
      </w:r>
      <w:r w:rsidR="004953AA" w:rsidRPr="00813D19">
        <w:rPr>
          <w:bCs/>
          <w:lang w:val="en-US"/>
        </w:rPr>
        <w:t xml:space="preserve">warned the Committee and the Secretariat that </w:t>
      </w:r>
      <w:r w:rsidRPr="00813D19">
        <w:rPr>
          <w:bCs/>
          <w:lang w:val="en-US"/>
        </w:rPr>
        <w:t xml:space="preserve">it was </w:t>
      </w:r>
      <w:r w:rsidR="004953AA" w:rsidRPr="00813D19">
        <w:rPr>
          <w:bCs/>
          <w:lang w:val="en-US"/>
        </w:rPr>
        <w:t xml:space="preserve">a politicized and sensitive nomination. </w:t>
      </w:r>
      <w:r w:rsidR="00531745" w:rsidRPr="00813D19">
        <w:rPr>
          <w:bCs/>
          <w:lang w:val="en-US"/>
        </w:rPr>
        <w:t xml:space="preserve">It had been </w:t>
      </w:r>
      <w:r w:rsidR="00953B4D" w:rsidRPr="00813D19">
        <w:rPr>
          <w:bCs/>
          <w:lang w:val="en-US"/>
        </w:rPr>
        <w:t>assured that this was not the case</w:t>
      </w:r>
      <w:r w:rsidR="004953AA" w:rsidRPr="00F10BBC">
        <w:rPr>
          <w:bCs/>
          <w:lang w:val="en-US"/>
        </w:rPr>
        <w:t xml:space="preserve">. </w:t>
      </w:r>
      <w:r w:rsidR="004953AA" w:rsidRPr="005A3301">
        <w:rPr>
          <w:bCs/>
          <w:lang w:val="en-US"/>
        </w:rPr>
        <w:t>However, the report on the status of the element pre</w:t>
      </w:r>
      <w:r w:rsidR="00953B4D" w:rsidRPr="005A3301">
        <w:rPr>
          <w:bCs/>
          <w:lang w:val="en-US"/>
        </w:rPr>
        <w:t>sented by Azerbaijan illustrated</w:t>
      </w:r>
      <w:r w:rsidR="004953AA" w:rsidRPr="005A3301">
        <w:rPr>
          <w:bCs/>
          <w:lang w:val="en-US"/>
        </w:rPr>
        <w:t xml:space="preserve"> </w:t>
      </w:r>
      <w:r w:rsidR="005A3301" w:rsidRPr="003221D5">
        <w:rPr>
          <w:bCs/>
          <w:lang w:val="en-US"/>
        </w:rPr>
        <w:t xml:space="preserve">that </w:t>
      </w:r>
      <w:r w:rsidR="004953AA" w:rsidRPr="00F10BBC">
        <w:rPr>
          <w:bCs/>
          <w:lang w:val="en-US"/>
        </w:rPr>
        <w:t>Armenia</w:t>
      </w:r>
      <w:r w:rsidR="00953B4D" w:rsidRPr="005A3301">
        <w:rPr>
          <w:bCs/>
          <w:lang w:val="en-US"/>
        </w:rPr>
        <w:t>’s concerns</w:t>
      </w:r>
      <w:r w:rsidR="005A3301" w:rsidRPr="003221D5">
        <w:rPr>
          <w:bCs/>
          <w:lang w:val="en-US"/>
        </w:rPr>
        <w:t xml:space="preserve"> were justified,</w:t>
      </w:r>
      <w:r w:rsidR="00953B4D" w:rsidRPr="00F10BBC">
        <w:rPr>
          <w:bCs/>
          <w:lang w:val="en-US"/>
        </w:rPr>
        <w:t xml:space="preserve"> </w:t>
      </w:r>
      <w:r w:rsidR="005A3301" w:rsidRPr="003221D5">
        <w:rPr>
          <w:bCs/>
          <w:lang w:val="en-US"/>
        </w:rPr>
        <w:t>as</w:t>
      </w:r>
      <w:r w:rsidR="005A3301" w:rsidRPr="00F10BBC">
        <w:rPr>
          <w:bCs/>
          <w:lang w:val="en-US"/>
        </w:rPr>
        <w:t xml:space="preserve"> </w:t>
      </w:r>
      <w:r w:rsidR="004953AA" w:rsidRPr="005A3301">
        <w:rPr>
          <w:bCs/>
          <w:lang w:val="en-US"/>
        </w:rPr>
        <w:t xml:space="preserve">Azerbaijan </w:t>
      </w:r>
      <w:r w:rsidR="005A3301" w:rsidRPr="003221D5">
        <w:rPr>
          <w:bCs/>
          <w:lang w:val="en-US"/>
        </w:rPr>
        <w:t xml:space="preserve">was </w:t>
      </w:r>
      <w:r w:rsidR="00953B4D" w:rsidRPr="00F10BBC">
        <w:rPr>
          <w:bCs/>
          <w:lang w:val="en-US"/>
        </w:rPr>
        <w:t>said to have speculated</w:t>
      </w:r>
      <w:r w:rsidR="004953AA" w:rsidRPr="005A3301">
        <w:rPr>
          <w:bCs/>
          <w:lang w:val="en-US"/>
        </w:rPr>
        <w:t xml:space="preserve"> </w:t>
      </w:r>
      <w:r w:rsidR="00953B4D" w:rsidRPr="005A3301">
        <w:rPr>
          <w:bCs/>
          <w:lang w:val="en-US"/>
        </w:rPr>
        <w:t xml:space="preserve">on </w:t>
      </w:r>
      <w:r w:rsidR="004953AA" w:rsidRPr="005A3301">
        <w:rPr>
          <w:bCs/>
          <w:lang w:val="en-US"/>
        </w:rPr>
        <w:t xml:space="preserve">the very name of </w:t>
      </w:r>
      <w:r w:rsidR="00DF475A" w:rsidRPr="005A3301">
        <w:rPr>
          <w:bCs/>
          <w:lang w:val="en-US"/>
        </w:rPr>
        <w:t>Karabakh</w:t>
      </w:r>
      <w:r w:rsidR="00953B4D" w:rsidRPr="005A3301">
        <w:rPr>
          <w:bCs/>
          <w:lang w:val="en-US"/>
        </w:rPr>
        <w:t>. Armenia</w:t>
      </w:r>
      <w:r w:rsidR="00953B4D" w:rsidRPr="00813D19">
        <w:rPr>
          <w:bCs/>
          <w:lang w:val="en-US"/>
        </w:rPr>
        <w:t xml:space="preserve"> did not accept the misuse</w:t>
      </w:r>
      <w:r w:rsidR="004953AA" w:rsidRPr="00813D19">
        <w:rPr>
          <w:bCs/>
          <w:lang w:val="en-US"/>
        </w:rPr>
        <w:t xml:space="preserve"> </w:t>
      </w:r>
      <w:r w:rsidR="00953B4D" w:rsidRPr="00813D19">
        <w:rPr>
          <w:bCs/>
          <w:lang w:val="en-US"/>
        </w:rPr>
        <w:t xml:space="preserve">of </w:t>
      </w:r>
      <w:r w:rsidR="004953AA" w:rsidRPr="00813D19">
        <w:rPr>
          <w:bCs/>
          <w:lang w:val="en-US"/>
        </w:rPr>
        <w:t xml:space="preserve">UNESCO to promote any </w:t>
      </w:r>
      <w:r w:rsidR="00953B4D" w:rsidRPr="00813D19">
        <w:rPr>
          <w:bCs/>
          <w:lang w:val="en-US"/>
        </w:rPr>
        <w:t xml:space="preserve">perceptions of </w:t>
      </w:r>
      <w:r w:rsidR="004953AA" w:rsidRPr="00813D19">
        <w:rPr>
          <w:bCs/>
          <w:lang w:val="en-US"/>
        </w:rPr>
        <w:t>conflict</w:t>
      </w:r>
      <w:r w:rsidR="00531745" w:rsidRPr="00813D19">
        <w:rPr>
          <w:bCs/>
          <w:lang w:val="en-US"/>
        </w:rPr>
        <w:t>,</w:t>
      </w:r>
      <w:r w:rsidR="00953B4D" w:rsidRPr="00813D19">
        <w:rPr>
          <w:bCs/>
          <w:lang w:val="en-US"/>
        </w:rPr>
        <w:t xml:space="preserve"> and </w:t>
      </w:r>
      <w:r w:rsidR="004953AA" w:rsidRPr="00813D19">
        <w:rPr>
          <w:bCs/>
          <w:lang w:val="en-US"/>
        </w:rPr>
        <w:t>strongly believe</w:t>
      </w:r>
      <w:r w:rsidR="00953B4D" w:rsidRPr="00813D19">
        <w:rPr>
          <w:bCs/>
          <w:lang w:val="en-US"/>
        </w:rPr>
        <w:t>d</w:t>
      </w:r>
      <w:r w:rsidR="004953AA" w:rsidRPr="00813D19">
        <w:rPr>
          <w:bCs/>
          <w:lang w:val="en-US"/>
        </w:rPr>
        <w:t xml:space="preserve"> that </w:t>
      </w:r>
      <w:r w:rsidR="00953B4D" w:rsidRPr="00813D19">
        <w:rPr>
          <w:bCs/>
          <w:lang w:val="en-US"/>
        </w:rPr>
        <w:t>issues of conflict resolution</w:t>
      </w:r>
      <w:r w:rsidR="004953AA" w:rsidRPr="00813D19">
        <w:rPr>
          <w:bCs/>
          <w:lang w:val="en-US"/>
        </w:rPr>
        <w:t xml:space="preserve"> should be entrusted within their respective formats and should not include UNESCO and thus impede international cooperation. Taking </w:t>
      </w:r>
      <w:r w:rsidR="00953B4D" w:rsidRPr="00813D19">
        <w:rPr>
          <w:bCs/>
          <w:lang w:val="en-US"/>
        </w:rPr>
        <w:t xml:space="preserve">this into </w:t>
      </w:r>
      <w:r w:rsidR="004953AA" w:rsidRPr="00813D19">
        <w:rPr>
          <w:bCs/>
          <w:lang w:val="en-US"/>
        </w:rPr>
        <w:t>account</w:t>
      </w:r>
      <w:r w:rsidR="00DF475A" w:rsidRPr="00813D19">
        <w:rPr>
          <w:bCs/>
          <w:lang w:val="en-US"/>
        </w:rPr>
        <w:t>,</w:t>
      </w:r>
      <w:r w:rsidR="00953B4D" w:rsidRPr="00813D19">
        <w:rPr>
          <w:bCs/>
          <w:lang w:val="en-US"/>
        </w:rPr>
        <w:t xml:space="preserve"> Armenia requested</w:t>
      </w:r>
      <w:r w:rsidR="004953AA" w:rsidRPr="00813D19">
        <w:rPr>
          <w:bCs/>
          <w:lang w:val="en-US"/>
        </w:rPr>
        <w:t xml:space="preserve"> </w:t>
      </w:r>
      <w:r w:rsidR="006A78CC">
        <w:rPr>
          <w:bCs/>
          <w:lang w:val="en-US"/>
        </w:rPr>
        <w:t xml:space="preserve">that </w:t>
      </w:r>
      <w:r w:rsidR="004953AA" w:rsidRPr="00813D19">
        <w:rPr>
          <w:bCs/>
          <w:lang w:val="en-US"/>
        </w:rPr>
        <w:t xml:space="preserve">the Secretariat return the report to </w:t>
      </w:r>
      <w:r w:rsidR="00953B4D" w:rsidRPr="00813D19">
        <w:rPr>
          <w:bCs/>
          <w:lang w:val="en-US"/>
        </w:rPr>
        <w:t xml:space="preserve">Azerbaijan </w:t>
      </w:r>
      <w:r w:rsidR="004953AA" w:rsidRPr="00813D19">
        <w:rPr>
          <w:bCs/>
          <w:lang w:val="en-US"/>
        </w:rPr>
        <w:t xml:space="preserve">for corrections and adjustments to the </w:t>
      </w:r>
      <w:r w:rsidR="00DF475A" w:rsidRPr="00813D19">
        <w:rPr>
          <w:bCs/>
          <w:lang w:val="en-US"/>
        </w:rPr>
        <w:t xml:space="preserve">norms </w:t>
      </w:r>
      <w:r w:rsidR="004953AA" w:rsidRPr="00813D19">
        <w:rPr>
          <w:bCs/>
          <w:lang w:val="en-US"/>
        </w:rPr>
        <w:t xml:space="preserve">and principles of the Convention and </w:t>
      </w:r>
      <w:r w:rsidR="00953B4D" w:rsidRPr="00813D19">
        <w:rPr>
          <w:bCs/>
          <w:lang w:val="en-US"/>
        </w:rPr>
        <w:t xml:space="preserve">its </w:t>
      </w:r>
      <w:r w:rsidR="004953AA" w:rsidRPr="00813D19">
        <w:rPr>
          <w:bCs/>
          <w:lang w:val="en-US"/>
        </w:rPr>
        <w:t xml:space="preserve">Operational Directives </w:t>
      </w:r>
      <w:r w:rsidR="00953B4D" w:rsidRPr="00813D19">
        <w:rPr>
          <w:bCs/>
          <w:lang w:val="en-US"/>
        </w:rPr>
        <w:t>and the i</w:t>
      </w:r>
      <w:r w:rsidR="004953AA" w:rsidRPr="00813D19">
        <w:rPr>
          <w:bCs/>
          <w:lang w:val="en-US"/>
        </w:rPr>
        <w:t>mplementation of the Con</w:t>
      </w:r>
      <w:r w:rsidR="00DF475A" w:rsidRPr="00813D19">
        <w:rPr>
          <w:bCs/>
          <w:lang w:val="en-US"/>
        </w:rPr>
        <w:t>vention in accordance with Decision</w:t>
      </w:r>
      <w:r w:rsidR="004953AA" w:rsidRPr="00813D19">
        <w:rPr>
          <w:bCs/>
          <w:lang w:val="en-US"/>
        </w:rPr>
        <w:t xml:space="preserve"> </w:t>
      </w:r>
      <w:hyperlink r:id="rId53" w:history="1">
        <w:r w:rsidR="004953AA" w:rsidRPr="00813D19">
          <w:rPr>
            <w:rStyle w:val="Hyperlink"/>
            <w:bCs/>
            <w:lang w:val="en-US"/>
          </w:rPr>
          <w:t>9.COM 5.a</w:t>
        </w:r>
      </w:hyperlink>
      <w:r w:rsidR="004953AA" w:rsidRPr="00813D19">
        <w:rPr>
          <w:bCs/>
          <w:lang w:val="en-US"/>
        </w:rPr>
        <w:t xml:space="preserve"> and </w:t>
      </w:r>
      <w:r w:rsidR="00DF475A" w:rsidRPr="00813D19">
        <w:rPr>
          <w:bCs/>
          <w:lang w:val="en-US"/>
        </w:rPr>
        <w:t>D</w:t>
      </w:r>
      <w:r w:rsidR="004953AA" w:rsidRPr="00813D19">
        <w:rPr>
          <w:bCs/>
          <w:lang w:val="en-US"/>
        </w:rPr>
        <w:t xml:space="preserve">ecision </w:t>
      </w:r>
      <w:hyperlink r:id="rId54" w:history="1">
        <w:r w:rsidR="004953AA" w:rsidRPr="00813D19">
          <w:rPr>
            <w:rStyle w:val="Hyperlink"/>
            <w:bCs/>
            <w:lang w:val="en-US"/>
          </w:rPr>
          <w:t>5.COM 6</w:t>
        </w:r>
      </w:hyperlink>
      <w:r w:rsidR="004953AA" w:rsidRPr="00813D19">
        <w:rPr>
          <w:bCs/>
          <w:lang w:val="en-US"/>
        </w:rPr>
        <w:t>.</w:t>
      </w:r>
    </w:p>
    <w:p w14:paraId="2637BE11" w14:textId="72EA9080" w:rsidR="007D5A55" w:rsidRPr="00813D19" w:rsidRDefault="007D5A55" w:rsidP="004B1FA4">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DF475A" w:rsidRPr="00813D19">
        <w:rPr>
          <w:lang w:val="en-US"/>
        </w:rPr>
        <w:t xml:space="preserve">asked Armenia to explain if </w:t>
      </w:r>
      <w:r w:rsidR="00531745" w:rsidRPr="00813D19">
        <w:rPr>
          <w:lang w:val="en-US"/>
        </w:rPr>
        <w:t>it</w:t>
      </w:r>
      <w:r w:rsidR="00DF475A" w:rsidRPr="00813D19">
        <w:rPr>
          <w:lang w:val="en-US"/>
        </w:rPr>
        <w:t xml:space="preserve"> wished to replace the draft decision with </w:t>
      </w:r>
      <w:r w:rsidR="00531745" w:rsidRPr="00813D19">
        <w:rPr>
          <w:lang w:val="en-US"/>
        </w:rPr>
        <w:t xml:space="preserve">its </w:t>
      </w:r>
      <w:r w:rsidR="00DF475A" w:rsidRPr="00813D19">
        <w:rPr>
          <w:lang w:val="en-US"/>
        </w:rPr>
        <w:t>amended text.</w:t>
      </w:r>
    </w:p>
    <w:p w14:paraId="14AE1202" w14:textId="33160C02" w:rsidR="00483C1C" w:rsidRPr="00813D19" w:rsidRDefault="007D5A55" w:rsidP="00483C1C">
      <w:pPr>
        <w:pStyle w:val="Orateurengris"/>
        <w:widowControl w:val="0"/>
        <w:spacing w:before="120"/>
        <w:ind w:left="709" w:hanging="709"/>
        <w:rPr>
          <w:lang w:val="en-US"/>
        </w:rPr>
      </w:pPr>
      <w:r w:rsidRPr="00813D19">
        <w:rPr>
          <w:lang w:val="en-US"/>
        </w:rPr>
        <w:t xml:space="preserve">The </w:t>
      </w:r>
      <w:r w:rsidRPr="00813D19">
        <w:rPr>
          <w:b/>
          <w:lang w:val="en-US"/>
        </w:rPr>
        <w:t>delegation of Armenia</w:t>
      </w:r>
      <w:r w:rsidR="004953AA" w:rsidRPr="00813D19">
        <w:rPr>
          <w:b/>
          <w:lang w:val="en-US"/>
        </w:rPr>
        <w:t xml:space="preserve"> </w:t>
      </w:r>
      <w:r w:rsidR="00534B74" w:rsidRPr="00813D19">
        <w:rPr>
          <w:lang w:val="en-US"/>
        </w:rPr>
        <w:t xml:space="preserve">explained that it </w:t>
      </w:r>
      <w:r w:rsidR="00503348" w:rsidRPr="00813D19">
        <w:rPr>
          <w:lang w:val="en-US"/>
        </w:rPr>
        <w:t xml:space="preserve">wished to amend </w:t>
      </w:r>
      <w:r w:rsidR="00FB4698" w:rsidRPr="00813D19">
        <w:rPr>
          <w:bCs/>
          <w:lang w:val="en-US"/>
        </w:rPr>
        <w:t>most, but not all</w:t>
      </w:r>
      <w:r w:rsidR="006A78CC">
        <w:rPr>
          <w:bCs/>
          <w:lang w:val="en-US"/>
        </w:rPr>
        <w:t>,</w:t>
      </w:r>
      <w:r w:rsidR="00503348" w:rsidRPr="00813D19">
        <w:rPr>
          <w:bCs/>
          <w:lang w:val="en-US"/>
        </w:rPr>
        <w:t xml:space="preserve"> the </w:t>
      </w:r>
      <w:r w:rsidR="004953AA" w:rsidRPr="00813D19">
        <w:rPr>
          <w:bCs/>
          <w:lang w:val="en-US"/>
        </w:rPr>
        <w:t xml:space="preserve">paragraphs, </w:t>
      </w:r>
      <w:r w:rsidR="00503348" w:rsidRPr="00813D19">
        <w:rPr>
          <w:bCs/>
          <w:lang w:val="en-US"/>
        </w:rPr>
        <w:t xml:space="preserve">eventually opening the draft decision on a </w:t>
      </w:r>
      <w:r w:rsidR="00483C1C" w:rsidRPr="00813D19">
        <w:rPr>
          <w:bCs/>
          <w:lang w:val="en-US"/>
        </w:rPr>
        <w:t>paragraph-by-paragraph</w:t>
      </w:r>
      <w:r w:rsidR="00503348" w:rsidRPr="00813D19">
        <w:rPr>
          <w:bCs/>
          <w:lang w:val="en-US"/>
        </w:rPr>
        <w:t xml:space="preserve"> basis.</w:t>
      </w:r>
    </w:p>
    <w:p w14:paraId="32DD721F" w14:textId="0E00EEDD" w:rsidR="00953B4D" w:rsidRPr="00813D19" w:rsidRDefault="008253BE" w:rsidP="00483C1C">
      <w:pPr>
        <w:pStyle w:val="Orateurengris"/>
        <w:widowControl w:val="0"/>
        <w:spacing w:before="120"/>
        <w:ind w:left="709" w:hanging="709"/>
        <w:rPr>
          <w:lang w:val="en-US"/>
        </w:rPr>
      </w:pPr>
      <w:r w:rsidRPr="00813D19">
        <w:rPr>
          <w:lang w:val="en-US"/>
        </w:rPr>
        <w:t xml:space="preserve">The </w:t>
      </w:r>
      <w:r w:rsidRPr="00813D19">
        <w:rPr>
          <w:b/>
          <w:lang w:val="en-US"/>
        </w:rPr>
        <w:t>delegation of Azerbaijan</w:t>
      </w:r>
      <w:r w:rsidRPr="00813D19">
        <w:rPr>
          <w:lang w:val="en-US"/>
        </w:rPr>
        <w:t xml:space="preserve"> </w:t>
      </w:r>
      <w:r w:rsidR="00531745" w:rsidRPr="00813D19">
        <w:rPr>
          <w:lang w:val="en-US"/>
        </w:rPr>
        <w:t xml:space="preserve">responded </w:t>
      </w:r>
      <w:r w:rsidR="00500282" w:rsidRPr="00813D19">
        <w:rPr>
          <w:lang w:val="en-US"/>
        </w:rPr>
        <w:t xml:space="preserve">that it had agreed to </w:t>
      </w:r>
      <w:r w:rsidR="00500282" w:rsidRPr="00813D19">
        <w:rPr>
          <w:bCs/>
          <w:lang w:val="en-US"/>
        </w:rPr>
        <w:t xml:space="preserve">postpone this draft decision on the </w:t>
      </w:r>
      <w:r w:rsidR="00483C1C" w:rsidRPr="00813D19">
        <w:rPr>
          <w:bCs/>
          <w:lang w:val="en-US"/>
        </w:rPr>
        <w:t>understanding that Armenia would refrain from inserting politically motivated am</w:t>
      </w:r>
      <w:r w:rsidR="00500282" w:rsidRPr="00813D19">
        <w:rPr>
          <w:bCs/>
          <w:lang w:val="en-US"/>
        </w:rPr>
        <w:t xml:space="preserve">endments to the draft decision, which it had </w:t>
      </w:r>
      <w:r w:rsidR="00483C1C" w:rsidRPr="00813D19">
        <w:rPr>
          <w:bCs/>
          <w:lang w:val="en-US"/>
        </w:rPr>
        <w:t xml:space="preserve">failed </w:t>
      </w:r>
      <w:r w:rsidR="00500282" w:rsidRPr="00813D19">
        <w:rPr>
          <w:bCs/>
          <w:lang w:val="en-US"/>
        </w:rPr>
        <w:t>to do</w:t>
      </w:r>
      <w:r w:rsidR="00483C1C" w:rsidRPr="00813D19">
        <w:rPr>
          <w:bCs/>
          <w:lang w:val="en-US"/>
        </w:rPr>
        <w:t xml:space="preserve">. </w:t>
      </w:r>
      <w:r w:rsidR="00500282" w:rsidRPr="00813D19">
        <w:rPr>
          <w:bCs/>
          <w:lang w:val="en-US"/>
        </w:rPr>
        <w:t xml:space="preserve">It was said that </w:t>
      </w:r>
      <w:r w:rsidR="00483C1C" w:rsidRPr="00813D19">
        <w:rPr>
          <w:bCs/>
          <w:lang w:val="en-US"/>
        </w:rPr>
        <w:t xml:space="preserve">Armenia </w:t>
      </w:r>
      <w:r w:rsidR="00500282" w:rsidRPr="00813D19">
        <w:rPr>
          <w:bCs/>
          <w:lang w:val="en-US"/>
        </w:rPr>
        <w:t>had misu</w:t>
      </w:r>
      <w:r w:rsidR="00531745" w:rsidRPr="00813D19">
        <w:rPr>
          <w:bCs/>
          <w:lang w:val="en-US"/>
        </w:rPr>
        <w:t>s</w:t>
      </w:r>
      <w:r w:rsidR="00500282" w:rsidRPr="00813D19">
        <w:rPr>
          <w:bCs/>
          <w:lang w:val="en-US"/>
        </w:rPr>
        <w:t xml:space="preserve">ed its membership of the </w:t>
      </w:r>
      <w:r w:rsidR="00483C1C" w:rsidRPr="00813D19">
        <w:rPr>
          <w:bCs/>
          <w:lang w:val="en-US"/>
        </w:rPr>
        <w:t xml:space="preserve">Committee for almost three years </w:t>
      </w:r>
      <w:r w:rsidR="00500282" w:rsidRPr="00813D19">
        <w:rPr>
          <w:bCs/>
          <w:lang w:val="en-US"/>
        </w:rPr>
        <w:t xml:space="preserve">by </w:t>
      </w:r>
      <w:r w:rsidR="00483C1C" w:rsidRPr="00813D19">
        <w:rPr>
          <w:bCs/>
          <w:lang w:val="en-US"/>
        </w:rPr>
        <w:t>introducing politically motivated issues to the agenda</w:t>
      </w:r>
      <w:r w:rsidR="00500282" w:rsidRPr="00813D19">
        <w:rPr>
          <w:bCs/>
          <w:lang w:val="en-US"/>
        </w:rPr>
        <w:t xml:space="preserve">. The delegation </w:t>
      </w:r>
      <w:r w:rsidR="00483C1C" w:rsidRPr="00813D19">
        <w:rPr>
          <w:bCs/>
          <w:lang w:val="en-US"/>
        </w:rPr>
        <w:t>believe</w:t>
      </w:r>
      <w:r w:rsidR="00500282" w:rsidRPr="00813D19">
        <w:rPr>
          <w:bCs/>
          <w:lang w:val="en-US"/>
        </w:rPr>
        <w:t>d</w:t>
      </w:r>
      <w:r w:rsidR="00483C1C" w:rsidRPr="00813D19">
        <w:rPr>
          <w:bCs/>
          <w:lang w:val="en-US"/>
        </w:rPr>
        <w:t xml:space="preserve"> that the Committee should not be taken hostage on this political agenda</w:t>
      </w:r>
      <w:r w:rsidR="00500282" w:rsidRPr="00813D19">
        <w:rPr>
          <w:bCs/>
          <w:lang w:val="en-US"/>
        </w:rPr>
        <w:t>,</w:t>
      </w:r>
      <w:r w:rsidR="00483C1C" w:rsidRPr="00813D19">
        <w:rPr>
          <w:bCs/>
          <w:lang w:val="en-US"/>
        </w:rPr>
        <w:t xml:space="preserve"> which </w:t>
      </w:r>
      <w:r w:rsidR="00500282" w:rsidRPr="00813D19">
        <w:rPr>
          <w:bCs/>
          <w:lang w:val="en-US"/>
        </w:rPr>
        <w:t xml:space="preserve">was </w:t>
      </w:r>
      <w:r w:rsidR="00483C1C" w:rsidRPr="00813D19">
        <w:rPr>
          <w:bCs/>
          <w:lang w:val="en-US"/>
        </w:rPr>
        <w:t xml:space="preserve">mainly used for domestic consumption. </w:t>
      </w:r>
      <w:r w:rsidR="00500282" w:rsidRPr="00813D19">
        <w:rPr>
          <w:bCs/>
          <w:lang w:val="en-US"/>
        </w:rPr>
        <w:t>Responding to the allegati</w:t>
      </w:r>
      <w:r w:rsidR="00DB0C5D" w:rsidRPr="00813D19">
        <w:rPr>
          <w:bCs/>
          <w:lang w:val="en-US"/>
        </w:rPr>
        <w:t>o</w:t>
      </w:r>
      <w:r w:rsidR="00500282" w:rsidRPr="00813D19">
        <w:rPr>
          <w:bCs/>
          <w:lang w:val="en-US"/>
        </w:rPr>
        <w:t xml:space="preserve">ns just voiced, the delegation clarified </w:t>
      </w:r>
      <w:r w:rsidR="00483C1C" w:rsidRPr="00813D19">
        <w:rPr>
          <w:bCs/>
          <w:lang w:val="en-US"/>
        </w:rPr>
        <w:t xml:space="preserve">that </w:t>
      </w:r>
      <w:r w:rsidR="00500282" w:rsidRPr="00813D19">
        <w:rPr>
          <w:bCs/>
          <w:lang w:val="en-US"/>
        </w:rPr>
        <w:t xml:space="preserve">the </w:t>
      </w:r>
      <w:r w:rsidR="00483C1C" w:rsidRPr="00813D19">
        <w:rPr>
          <w:bCs/>
          <w:lang w:val="en-US"/>
        </w:rPr>
        <w:t xml:space="preserve">national report </w:t>
      </w:r>
      <w:r w:rsidR="00500282" w:rsidRPr="00813D19">
        <w:rPr>
          <w:bCs/>
          <w:lang w:val="en-US"/>
        </w:rPr>
        <w:t xml:space="preserve">was </w:t>
      </w:r>
      <w:r w:rsidR="00483C1C" w:rsidRPr="00813D19">
        <w:rPr>
          <w:bCs/>
          <w:lang w:val="en-US"/>
        </w:rPr>
        <w:t xml:space="preserve">presented in conformity with the obligation to report on the element inscribed on the Urgent Safeguarding List every four years </w:t>
      </w:r>
      <w:r w:rsidR="00500282" w:rsidRPr="00813D19">
        <w:rPr>
          <w:bCs/>
          <w:lang w:val="en-US"/>
        </w:rPr>
        <w:t xml:space="preserve">following </w:t>
      </w:r>
      <w:r w:rsidR="00DB0C5D" w:rsidRPr="00813D19">
        <w:rPr>
          <w:bCs/>
          <w:lang w:val="en-US"/>
        </w:rPr>
        <w:t>its</w:t>
      </w:r>
      <w:r w:rsidR="00483C1C" w:rsidRPr="00813D19">
        <w:rPr>
          <w:bCs/>
          <w:lang w:val="en-US"/>
        </w:rPr>
        <w:t xml:space="preserve"> inscription</w:t>
      </w:r>
      <w:r w:rsidR="00500282" w:rsidRPr="00813D19">
        <w:rPr>
          <w:bCs/>
          <w:lang w:val="en-US"/>
        </w:rPr>
        <w:t xml:space="preserve">. </w:t>
      </w:r>
      <w:r w:rsidR="00483C1C" w:rsidRPr="00813D19">
        <w:rPr>
          <w:bCs/>
          <w:lang w:val="en-US"/>
        </w:rPr>
        <w:t xml:space="preserve">Azerbaijan </w:t>
      </w:r>
      <w:r w:rsidR="00500282" w:rsidRPr="00813D19">
        <w:rPr>
          <w:bCs/>
          <w:lang w:val="en-US"/>
        </w:rPr>
        <w:t xml:space="preserve">had </w:t>
      </w:r>
      <w:r w:rsidR="00483C1C" w:rsidRPr="00813D19">
        <w:rPr>
          <w:bCs/>
          <w:lang w:val="en-US"/>
        </w:rPr>
        <w:t xml:space="preserve">made a huge effort </w:t>
      </w:r>
      <w:r w:rsidR="00500282" w:rsidRPr="00813D19">
        <w:rPr>
          <w:bCs/>
          <w:lang w:val="en-US"/>
        </w:rPr>
        <w:t xml:space="preserve">in the preparation of this report </w:t>
      </w:r>
      <w:r w:rsidR="00483C1C" w:rsidRPr="00813D19">
        <w:rPr>
          <w:bCs/>
          <w:lang w:val="en-US"/>
        </w:rPr>
        <w:t xml:space="preserve">to involve all stakeholders </w:t>
      </w:r>
      <w:r w:rsidR="00500282" w:rsidRPr="00813D19">
        <w:rPr>
          <w:bCs/>
          <w:lang w:val="en-US"/>
        </w:rPr>
        <w:t>and to include</w:t>
      </w:r>
      <w:r w:rsidR="00483C1C" w:rsidRPr="00813D19">
        <w:rPr>
          <w:bCs/>
          <w:lang w:val="en-US"/>
        </w:rPr>
        <w:t xml:space="preserve"> the </w:t>
      </w:r>
      <w:r w:rsidR="00DB0C5D" w:rsidRPr="00813D19">
        <w:rPr>
          <w:bCs/>
          <w:lang w:val="en-US"/>
        </w:rPr>
        <w:t xml:space="preserve">concerns of the </w:t>
      </w:r>
      <w:r w:rsidR="00483C1C" w:rsidRPr="00813D19">
        <w:rPr>
          <w:bCs/>
          <w:lang w:val="en-US"/>
        </w:rPr>
        <w:t xml:space="preserve">community. </w:t>
      </w:r>
      <w:r w:rsidR="00500282" w:rsidRPr="00813D19">
        <w:rPr>
          <w:bCs/>
          <w:lang w:val="en-US"/>
        </w:rPr>
        <w:t xml:space="preserve">It </w:t>
      </w:r>
      <w:r w:rsidR="00483C1C" w:rsidRPr="00813D19">
        <w:rPr>
          <w:bCs/>
          <w:lang w:val="en-US"/>
        </w:rPr>
        <w:t xml:space="preserve">collected data from the stakeholders, </w:t>
      </w:r>
      <w:r w:rsidR="00500282" w:rsidRPr="00813D19">
        <w:rPr>
          <w:bCs/>
          <w:lang w:val="en-US"/>
        </w:rPr>
        <w:t xml:space="preserve">and conducted surveys and interviews </w:t>
      </w:r>
      <w:r w:rsidR="00DB0C5D" w:rsidRPr="00813D19">
        <w:rPr>
          <w:bCs/>
          <w:lang w:val="en-US"/>
        </w:rPr>
        <w:t xml:space="preserve">with </w:t>
      </w:r>
      <w:r w:rsidR="00500282" w:rsidRPr="00813D19">
        <w:rPr>
          <w:bCs/>
          <w:lang w:val="en-US"/>
        </w:rPr>
        <w:t xml:space="preserve">the </w:t>
      </w:r>
      <w:r w:rsidR="00483C1C" w:rsidRPr="00813D19">
        <w:rPr>
          <w:bCs/>
          <w:lang w:val="en-US"/>
        </w:rPr>
        <w:t>community</w:t>
      </w:r>
      <w:r w:rsidR="00DB0C5D" w:rsidRPr="00813D19">
        <w:rPr>
          <w:bCs/>
          <w:lang w:val="en-US"/>
        </w:rPr>
        <w:t xml:space="preserve"> representatives</w:t>
      </w:r>
      <w:r w:rsidR="00500282" w:rsidRPr="00813D19">
        <w:rPr>
          <w:bCs/>
          <w:lang w:val="en-US"/>
        </w:rPr>
        <w:t>,</w:t>
      </w:r>
      <w:r w:rsidR="00483C1C" w:rsidRPr="00813D19">
        <w:rPr>
          <w:bCs/>
          <w:lang w:val="en-US"/>
        </w:rPr>
        <w:t xml:space="preserve"> mainly pers</w:t>
      </w:r>
      <w:r w:rsidR="00953B4D" w:rsidRPr="00813D19">
        <w:rPr>
          <w:bCs/>
          <w:lang w:val="en-US"/>
        </w:rPr>
        <w:t>ons practis</w:t>
      </w:r>
      <w:r w:rsidR="00500282" w:rsidRPr="00813D19">
        <w:rPr>
          <w:bCs/>
          <w:lang w:val="en-US"/>
        </w:rPr>
        <w:t xml:space="preserve">ing this heritage who were </w:t>
      </w:r>
      <w:r w:rsidR="00483C1C" w:rsidRPr="00813D19">
        <w:rPr>
          <w:bCs/>
          <w:lang w:val="en-US"/>
        </w:rPr>
        <w:t xml:space="preserve">forcibly displaced because of the military conflict and the occupation of the territories. </w:t>
      </w:r>
      <w:r w:rsidR="00500282" w:rsidRPr="00813D19">
        <w:rPr>
          <w:bCs/>
          <w:lang w:val="en-US"/>
        </w:rPr>
        <w:t>T</w:t>
      </w:r>
      <w:r w:rsidR="00483C1C" w:rsidRPr="00813D19">
        <w:rPr>
          <w:bCs/>
          <w:lang w:val="en-US"/>
        </w:rPr>
        <w:t xml:space="preserve">he report </w:t>
      </w:r>
      <w:r w:rsidR="00500282" w:rsidRPr="00813D19">
        <w:rPr>
          <w:bCs/>
          <w:lang w:val="en-US"/>
        </w:rPr>
        <w:t>thus presented</w:t>
      </w:r>
      <w:r w:rsidR="00483C1C" w:rsidRPr="00813D19">
        <w:rPr>
          <w:bCs/>
          <w:lang w:val="en-US"/>
        </w:rPr>
        <w:t xml:space="preserve"> factual information </w:t>
      </w:r>
      <w:r w:rsidR="00DB0C5D" w:rsidRPr="00813D19">
        <w:rPr>
          <w:bCs/>
          <w:lang w:val="en-US"/>
        </w:rPr>
        <w:t>on</w:t>
      </w:r>
      <w:r w:rsidR="00483C1C" w:rsidRPr="00813D19">
        <w:rPr>
          <w:bCs/>
          <w:lang w:val="en-US"/>
        </w:rPr>
        <w:t xml:space="preserve"> the concerns expr</w:t>
      </w:r>
      <w:r w:rsidR="00953B4D" w:rsidRPr="00813D19">
        <w:rPr>
          <w:bCs/>
          <w:lang w:val="en-US"/>
        </w:rPr>
        <w:t>essed by the communities practis</w:t>
      </w:r>
      <w:r w:rsidR="00483C1C" w:rsidRPr="00813D19">
        <w:rPr>
          <w:bCs/>
          <w:lang w:val="en-US"/>
        </w:rPr>
        <w:t xml:space="preserve">ing the Chovqan game. </w:t>
      </w:r>
      <w:r w:rsidR="00500282" w:rsidRPr="00813D19">
        <w:rPr>
          <w:bCs/>
          <w:lang w:val="en-US"/>
        </w:rPr>
        <w:t>I</w:t>
      </w:r>
      <w:r w:rsidR="00483C1C" w:rsidRPr="00813D19">
        <w:rPr>
          <w:bCs/>
          <w:lang w:val="en-US"/>
        </w:rPr>
        <w:t>n these interviews and surveys</w:t>
      </w:r>
      <w:r w:rsidR="00500282" w:rsidRPr="00813D19">
        <w:rPr>
          <w:bCs/>
          <w:lang w:val="en-US"/>
        </w:rPr>
        <w:t>,</w:t>
      </w:r>
      <w:r w:rsidR="00483C1C" w:rsidRPr="00813D19">
        <w:rPr>
          <w:bCs/>
          <w:lang w:val="en-US"/>
        </w:rPr>
        <w:t xml:space="preserve"> the communities explicitly raised their concerns </w:t>
      </w:r>
      <w:r w:rsidR="00500282" w:rsidRPr="00813D19">
        <w:rPr>
          <w:bCs/>
          <w:lang w:val="en-US"/>
        </w:rPr>
        <w:t xml:space="preserve">regarding </w:t>
      </w:r>
      <w:r w:rsidR="00483C1C" w:rsidRPr="00813D19">
        <w:rPr>
          <w:bCs/>
          <w:lang w:val="en-US"/>
        </w:rPr>
        <w:t xml:space="preserve">the scarcity of the </w:t>
      </w:r>
      <w:r w:rsidR="00483C1C" w:rsidRPr="00813D19">
        <w:rPr>
          <w:lang w:val="en-US"/>
        </w:rPr>
        <w:t xml:space="preserve">Karabakh horse breed, </w:t>
      </w:r>
      <w:r w:rsidR="00500282" w:rsidRPr="00813D19">
        <w:rPr>
          <w:lang w:val="en-US"/>
        </w:rPr>
        <w:t>which plays</w:t>
      </w:r>
      <w:r w:rsidR="00483C1C" w:rsidRPr="00813D19">
        <w:rPr>
          <w:lang w:val="en-US"/>
        </w:rPr>
        <w:t xml:space="preserve"> an important role in this game</w:t>
      </w:r>
      <w:r w:rsidR="00953B4D" w:rsidRPr="00813D19">
        <w:rPr>
          <w:lang w:val="en-US"/>
        </w:rPr>
        <w:t>,</w:t>
      </w:r>
      <w:r w:rsidR="00483C1C" w:rsidRPr="00813D19">
        <w:rPr>
          <w:lang w:val="en-US"/>
        </w:rPr>
        <w:t xml:space="preserve"> and this </w:t>
      </w:r>
      <w:r w:rsidR="00500282" w:rsidRPr="00813D19">
        <w:rPr>
          <w:lang w:val="en-US"/>
        </w:rPr>
        <w:t xml:space="preserve">was clearly </w:t>
      </w:r>
      <w:r w:rsidR="00483C1C" w:rsidRPr="00813D19">
        <w:rPr>
          <w:lang w:val="en-US"/>
        </w:rPr>
        <w:t xml:space="preserve">outlined in the nomination </w:t>
      </w:r>
      <w:r w:rsidR="00500282" w:rsidRPr="00813D19">
        <w:rPr>
          <w:lang w:val="en-US"/>
        </w:rPr>
        <w:t xml:space="preserve">file </w:t>
      </w:r>
      <w:r w:rsidR="00483C1C" w:rsidRPr="00813D19">
        <w:rPr>
          <w:lang w:val="en-US"/>
        </w:rPr>
        <w:t xml:space="preserve">and </w:t>
      </w:r>
      <w:r w:rsidR="00500282" w:rsidRPr="00813D19">
        <w:rPr>
          <w:lang w:val="en-US"/>
        </w:rPr>
        <w:t xml:space="preserve">the </w:t>
      </w:r>
      <w:r w:rsidR="00483C1C" w:rsidRPr="00813D19">
        <w:rPr>
          <w:lang w:val="en-US"/>
        </w:rPr>
        <w:t>report. This scarcity of Karabakh horses is closely linked with the destruction of the horse-breeding factory in Agdam, which had played a role in sustaining the breed and the game in the past</w:t>
      </w:r>
      <w:r w:rsidR="00953B4D" w:rsidRPr="00813D19">
        <w:rPr>
          <w:lang w:val="en-US"/>
        </w:rPr>
        <w:t>,</w:t>
      </w:r>
      <w:r w:rsidR="00483C1C" w:rsidRPr="00813D19">
        <w:rPr>
          <w:lang w:val="en-US"/>
        </w:rPr>
        <w:t xml:space="preserve"> and this factory </w:t>
      </w:r>
      <w:r w:rsidR="006A78CC">
        <w:rPr>
          <w:lang w:val="en-US"/>
        </w:rPr>
        <w:t>was</w:t>
      </w:r>
      <w:r w:rsidR="006A78CC" w:rsidRPr="00813D19">
        <w:rPr>
          <w:lang w:val="en-US"/>
        </w:rPr>
        <w:t xml:space="preserve"> </w:t>
      </w:r>
      <w:r w:rsidR="00500282" w:rsidRPr="00813D19">
        <w:rPr>
          <w:lang w:val="en-US"/>
        </w:rPr>
        <w:t xml:space="preserve">currently </w:t>
      </w:r>
      <w:r w:rsidR="00483C1C" w:rsidRPr="00813D19">
        <w:rPr>
          <w:lang w:val="en-US"/>
        </w:rPr>
        <w:t xml:space="preserve">under occupation and </w:t>
      </w:r>
      <w:r w:rsidR="00500282" w:rsidRPr="00813D19">
        <w:rPr>
          <w:lang w:val="en-US"/>
        </w:rPr>
        <w:t xml:space="preserve">thus </w:t>
      </w:r>
      <w:r w:rsidR="00483C1C" w:rsidRPr="00813D19">
        <w:rPr>
          <w:lang w:val="en-US"/>
        </w:rPr>
        <w:t>beyond Azerbaijan</w:t>
      </w:r>
      <w:r w:rsidR="00500282" w:rsidRPr="00813D19">
        <w:rPr>
          <w:lang w:val="en-US"/>
        </w:rPr>
        <w:t>i control</w:t>
      </w:r>
      <w:r w:rsidR="00483C1C" w:rsidRPr="00813D19">
        <w:rPr>
          <w:lang w:val="en-US"/>
        </w:rPr>
        <w:t>. Concerning the inconsi</w:t>
      </w:r>
      <w:r w:rsidR="00953B4D" w:rsidRPr="00813D19">
        <w:rPr>
          <w:lang w:val="en-US"/>
        </w:rPr>
        <w:t>stency with the United Nations C</w:t>
      </w:r>
      <w:r w:rsidR="00483C1C" w:rsidRPr="00813D19">
        <w:rPr>
          <w:lang w:val="en-US"/>
        </w:rPr>
        <w:t>harter</w:t>
      </w:r>
      <w:r w:rsidR="00953B4D" w:rsidRPr="00813D19">
        <w:rPr>
          <w:lang w:val="en-US"/>
        </w:rPr>
        <w:t>,</w:t>
      </w:r>
      <w:r w:rsidR="00483C1C" w:rsidRPr="00813D19">
        <w:rPr>
          <w:lang w:val="en-US"/>
        </w:rPr>
        <w:t xml:space="preserve"> </w:t>
      </w:r>
      <w:r w:rsidR="00500282" w:rsidRPr="00813D19">
        <w:rPr>
          <w:lang w:val="en-US"/>
        </w:rPr>
        <w:t>the delegation drew</w:t>
      </w:r>
      <w:r w:rsidR="00483C1C" w:rsidRPr="00813D19">
        <w:rPr>
          <w:lang w:val="en-US"/>
        </w:rPr>
        <w:t xml:space="preserve"> attention to one of the fundamental principles of international law, </w:t>
      </w:r>
      <w:r w:rsidR="00DB0C5D" w:rsidRPr="00813D19">
        <w:rPr>
          <w:lang w:val="en-US"/>
        </w:rPr>
        <w:t>i.e.</w:t>
      </w:r>
      <w:r w:rsidR="00483C1C" w:rsidRPr="00813D19">
        <w:rPr>
          <w:lang w:val="en-US"/>
        </w:rPr>
        <w:t xml:space="preserve"> territ</w:t>
      </w:r>
      <w:r w:rsidR="00500282" w:rsidRPr="00813D19">
        <w:rPr>
          <w:lang w:val="en-US"/>
        </w:rPr>
        <w:t xml:space="preserve">orial integrity, and </w:t>
      </w:r>
      <w:r w:rsidR="00953B4D" w:rsidRPr="00813D19">
        <w:rPr>
          <w:lang w:val="en-US"/>
        </w:rPr>
        <w:t>recall</w:t>
      </w:r>
      <w:r w:rsidR="00500282" w:rsidRPr="00813D19">
        <w:rPr>
          <w:lang w:val="en-US"/>
        </w:rPr>
        <w:t>ed</w:t>
      </w:r>
      <w:r w:rsidR="00483C1C" w:rsidRPr="00813D19">
        <w:rPr>
          <w:lang w:val="en-US"/>
        </w:rPr>
        <w:t xml:space="preserve"> Art</w:t>
      </w:r>
      <w:r w:rsidR="00953B4D" w:rsidRPr="00813D19">
        <w:rPr>
          <w:lang w:val="en-US"/>
        </w:rPr>
        <w:t xml:space="preserve">icle 2.4 of the </w:t>
      </w:r>
      <w:r w:rsidR="00CD1A15" w:rsidRPr="00813D19">
        <w:rPr>
          <w:lang w:val="en-US"/>
        </w:rPr>
        <w:t>UN</w:t>
      </w:r>
      <w:r w:rsidR="00953B4D" w:rsidRPr="00813D19">
        <w:rPr>
          <w:lang w:val="en-US"/>
        </w:rPr>
        <w:t xml:space="preserve"> C</w:t>
      </w:r>
      <w:r w:rsidR="00483C1C" w:rsidRPr="00813D19">
        <w:rPr>
          <w:lang w:val="en-US"/>
        </w:rPr>
        <w:t xml:space="preserve">harter </w:t>
      </w:r>
      <w:r w:rsidR="00500282" w:rsidRPr="00813D19">
        <w:rPr>
          <w:lang w:val="en-US"/>
        </w:rPr>
        <w:t xml:space="preserve">that </w:t>
      </w:r>
      <w:r w:rsidR="00483C1C" w:rsidRPr="00813D19">
        <w:rPr>
          <w:lang w:val="en-US"/>
        </w:rPr>
        <w:t xml:space="preserve">states </w:t>
      </w:r>
      <w:r w:rsidR="00500282" w:rsidRPr="00813D19">
        <w:rPr>
          <w:lang w:val="en-US"/>
        </w:rPr>
        <w:t>“A</w:t>
      </w:r>
      <w:r w:rsidR="00483C1C" w:rsidRPr="00813D19">
        <w:rPr>
          <w:lang w:val="en-US"/>
        </w:rPr>
        <w:t>ll members shall refrain in their international relations from the threat or use of force against the territorial integrity or</w:t>
      </w:r>
      <w:r w:rsidR="00500282" w:rsidRPr="00813D19">
        <w:rPr>
          <w:lang w:val="en-US"/>
        </w:rPr>
        <w:t xml:space="preserve"> political independence of any s</w:t>
      </w:r>
      <w:r w:rsidR="00483C1C" w:rsidRPr="00813D19">
        <w:rPr>
          <w:lang w:val="en-US"/>
        </w:rPr>
        <w:t>tate</w:t>
      </w:r>
      <w:r w:rsidR="00500282" w:rsidRPr="00813D19">
        <w:rPr>
          <w:lang w:val="en-US"/>
        </w:rPr>
        <w:t>”</w:t>
      </w:r>
      <w:r w:rsidR="00483C1C" w:rsidRPr="00813D19">
        <w:rPr>
          <w:lang w:val="en-US"/>
        </w:rPr>
        <w:t xml:space="preserve">. In the case of safeguarding </w:t>
      </w:r>
      <w:r w:rsidR="00483C1C" w:rsidRPr="00813D19">
        <w:rPr>
          <w:bCs/>
          <w:lang w:val="en-US"/>
        </w:rPr>
        <w:t>the Chovqan game</w:t>
      </w:r>
      <w:r w:rsidR="00953B4D" w:rsidRPr="00813D19">
        <w:rPr>
          <w:bCs/>
          <w:lang w:val="en-US"/>
        </w:rPr>
        <w:t>,</w:t>
      </w:r>
      <w:r w:rsidR="00483C1C" w:rsidRPr="00813D19">
        <w:rPr>
          <w:bCs/>
          <w:lang w:val="en-US"/>
        </w:rPr>
        <w:t xml:space="preserve"> </w:t>
      </w:r>
      <w:r w:rsidR="00CD1A15" w:rsidRPr="00813D19">
        <w:rPr>
          <w:bCs/>
          <w:lang w:val="en-US"/>
        </w:rPr>
        <w:t xml:space="preserve">the element itself bore </w:t>
      </w:r>
      <w:r w:rsidR="00483C1C" w:rsidRPr="00813D19">
        <w:rPr>
          <w:bCs/>
          <w:lang w:val="en-US"/>
        </w:rPr>
        <w:t>the direct consequences of occupation by anoth</w:t>
      </w:r>
      <w:r w:rsidR="00CD1A15" w:rsidRPr="00813D19">
        <w:rPr>
          <w:bCs/>
          <w:lang w:val="en-US"/>
        </w:rPr>
        <w:t>er State against its integrity, which prevented</w:t>
      </w:r>
      <w:r w:rsidR="00483C1C" w:rsidRPr="00813D19">
        <w:rPr>
          <w:bCs/>
          <w:lang w:val="en-US"/>
        </w:rPr>
        <w:t xml:space="preserve"> </w:t>
      </w:r>
      <w:r w:rsidR="00CD1A15" w:rsidRPr="00813D19">
        <w:rPr>
          <w:bCs/>
          <w:lang w:val="en-US"/>
        </w:rPr>
        <w:t xml:space="preserve">the </w:t>
      </w:r>
      <w:r w:rsidR="00483C1C" w:rsidRPr="00813D19">
        <w:rPr>
          <w:bCs/>
          <w:lang w:val="en-US"/>
        </w:rPr>
        <w:t xml:space="preserve">communities concerned </w:t>
      </w:r>
      <w:r w:rsidR="006A78CC">
        <w:rPr>
          <w:bCs/>
          <w:lang w:val="en-US"/>
        </w:rPr>
        <w:t>from accessing</w:t>
      </w:r>
      <w:r w:rsidR="006A78CC" w:rsidRPr="00813D19">
        <w:rPr>
          <w:bCs/>
          <w:lang w:val="en-US"/>
        </w:rPr>
        <w:t xml:space="preserve"> </w:t>
      </w:r>
      <w:r w:rsidR="00483C1C" w:rsidRPr="00813D19">
        <w:rPr>
          <w:bCs/>
          <w:lang w:val="en-US"/>
        </w:rPr>
        <w:t>the natural environment of the game</w:t>
      </w:r>
      <w:r w:rsidR="001303EE" w:rsidRPr="00813D19">
        <w:rPr>
          <w:bCs/>
          <w:lang w:val="en-US"/>
        </w:rPr>
        <w:t xml:space="preserve">; a </w:t>
      </w:r>
      <w:r w:rsidR="00483C1C" w:rsidRPr="00813D19">
        <w:rPr>
          <w:bCs/>
          <w:lang w:val="en-US"/>
        </w:rPr>
        <w:t xml:space="preserve">point </w:t>
      </w:r>
      <w:r w:rsidR="001303EE" w:rsidRPr="00813D19">
        <w:rPr>
          <w:bCs/>
          <w:lang w:val="en-US"/>
        </w:rPr>
        <w:t xml:space="preserve">that </w:t>
      </w:r>
      <w:r w:rsidR="00483C1C" w:rsidRPr="00813D19">
        <w:rPr>
          <w:bCs/>
          <w:lang w:val="en-US"/>
        </w:rPr>
        <w:t xml:space="preserve">was clearly </w:t>
      </w:r>
      <w:r w:rsidR="00DB0C5D" w:rsidRPr="00813D19">
        <w:rPr>
          <w:bCs/>
          <w:lang w:val="en-US"/>
        </w:rPr>
        <w:t xml:space="preserve">made </w:t>
      </w:r>
      <w:r w:rsidR="00483C1C" w:rsidRPr="00813D19">
        <w:rPr>
          <w:bCs/>
          <w:lang w:val="en-US"/>
        </w:rPr>
        <w:t xml:space="preserve">by the communities during the interview and survey process </w:t>
      </w:r>
      <w:r w:rsidR="001303EE" w:rsidRPr="00813D19">
        <w:rPr>
          <w:bCs/>
          <w:lang w:val="en-US"/>
        </w:rPr>
        <w:t xml:space="preserve">carried out </w:t>
      </w:r>
      <w:r w:rsidR="00483C1C" w:rsidRPr="00813D19">
        <w:rPr>
          <w:bCs/>
          <w:lang w:val="en-US"/>
        </w:rPr>
        <w:t>by the Ministry of Culture of Azerbaijan during</w:t>
      </w:r>
      <w:r w:rsidR="0016273D">
        <w:rPr>
          <w:bCs/>
          <w:lang w:val="en-US"/>
        </w:rPr>
        <w:t xml:space="preserve"> the preparation of the report.</w:t>
      </w:r>
    </w:p>
    <w:p w14:paraId="55797AD9" w14:textId="2C81E481" w:rsidR="008253BE" w:rsidRPr="00813D19" w:rsidRDefault="004D0A68" w:rsidP="00483C1C">
      <w:pPr>
        <w:pStyle w:val="Orateurengris"/>
        <w:widowControl w:val="0"/>
        <w:spacing w:before="120"/>
        <w:ind w:left="709" w:hanging="709"/>
        <w:rPr>
          <w:lang w:val="en-US"/>
        </w:rPr>
      </w:pPr>
      <w:r w:rsidRPr="00813D19">
        <w:rPr>
          <w:bCs/>
          <w:lang w:val="en-US"/>
        </w:rPr>
        <w:t xml:space="preserve">The </w:t>
      </w:r>
      <w:r w:rsidRPr="00813D19">
        <w:rPr>
          <w:b/>
          <w:bCs/>
          <w:lang w:val="en-US"/>
        </w:rPr>
        <w:t>delegation of Azerbaijan</w:t>
      </w:r>
      <w:r w:rsidRPr="00813D19">
        <w:rPr>
          <w:bCs/>
          <w:lang w:val="en-US"/>
        </w:rPr>
        <w:t xml:space="preserve"> </w:t>
      </w:r>
      <w:r w:rsidR="00483C1C" w:rsidRPr="00813D19">
        <w:rPr>
          <w:bCs/>
          <w:lang w:val="en-US"/>
        </w:rPr>
        <w:t>remind</w:t>
      </w:r>
      <w:r w:rsidR="00C6665C" w:rsidRPr="00813D19">
        <w:rPr>
          <w:bCs/>
          <w:lang w:val="en-US"/>
        </w:rPr>
        <w:t>ed</w:t>
      </w:r>
      <w:r w:rsidR="00483C1C" w:rsidRPr="00813D19">
        <w:rPr>
          <w:bCs/>
          <w:lang w:val="en-US"/>
        </w:rPr>
        <w:t xml:space="preserve"> the Committee that this Convention </w:t>
      </w:r>
      <w:r w:rsidR="006A78CC">
        <w:rPr>
          <w:bCs/>
          <w:lang w:val="en-US"/>
        </w:rPr>
        <w:t>was</w:t>
      </w:r>
      <w:r w:rsidR="006A78CC" w:rsidRPr="00813D19">
        <w:rPr>
          <w:bCs/>
          <w:lang w:val="en-US"/>
        </w:rPr>
        <w:t xml:space="preserve"> </w:t>
      </w:r>
      <w:r w:rsidR="00D9253B" w:rsidRPr="00813D19">
        <w:rPr>
          <w:bCs/>
          <w:lang w:val="en-US"/>
        </w:rPr>
        <w:t xml:space="preserve">community-based, </w:t>
      </w:r>
      <w:r w:rsidR="00483C1C" w:rsidRPr="00813D19">
        <w:rPr>
          <w:bCs/>
          <w:lang w:val="en-US"/>
        </w:rPr>
        <w:t xml:space="preserve">and one of the fundamental principles of the Convention </w:t>
      </w:r>
      <w:r w:rsidR="006A78CC">
        <w:rPr>
          <w:bCs/>
          <w:lang w:val="en-US"/>
        </w:rPr>
        <w:t>was</w:t>
      </w:r>
      <w:r w:rsidR="006A78CC" w:rsidRPr="00813D19">
        <w:rPr>
          <w:bCs/>
          <w:lang w:val="en-US"/>
        </w:rPr>
        <w:t xml:space="preserve"> </w:t>
      </w:r>
      <w:r w:rsidR="00483C1C" w:rsidRPr="00813D19">
        <w:rPr>
          <w:bCs/>
          <w:lang w:val="en-US"/>
        </w:rPr>
        <w:t xml:space="preserve">to give </w:t>
      </w:r>
      <w:r w:rsidR="00DB0C5D" w:rsidRPr="00813D19">
        <w:rPr>
          <w:bCs/>
          <w:lang w:val="en-US"/>
        </w:rPr>
        <w:t xml:space="preserve">a </w:t>
      </w:r>
      <w:r w:rsidR="00483C1C" w:rsidRPr="00813D19">
        <w:rPr>
          <w:bCs/>
          <w:lang w:val="en-US"/>
        </w:rPr>
        <w:t>voice to the communities and respect their views on how the</w:t>
      </w:r>
      <w:r w:rsidR="00D9253B" w:rsidRPr="00813D19">
        <w:rPr>
          <w:bCs/>
          <w:lang w:val="en-US"/>
        </w:rPr>
        <w:t>ir</w:t>
      </w:r>
      <w:r w:rsidR="00483C1C" w:rsidRPr="00813D19">
        <w:rPr>
          <w:bCs/>
          <w:lang w:val="en-US"/>
        </w:rPr>
        <w:t xml:space="preserve"> heritage </w:t>
      </w:r>
      <w:r w:rsidR="006A78CC">
        <w:rPr>
          <w:bCs/>
          <w:lang w:val="en-US"/>
        </w:rPr>
        <w:t>was</w:t>
      </w:r>
      <w:r w:rsidR="006A78CC" w:rsidRPr="00813D19">
        <w:rPr>
          <w:bCs/>
          <w:lang w:val="en-US"/>
        </w:rPr>
        <w:t xml:space="preserve"> </w:t>
      </w:r>
      <w:r w:rsidR="00483C1C" w:rsidRPr="00813D19">
        <w:rPr>
          <w:bCs/>
          <w:lang w:val="en-US"/>
        </w:rPr>
        <w:t>safeguarded</w:t>
      </w:r>
      <w:r w:rsidR="009F5FF4" w:rsidRPr="00813D19">
        <w:rPr>
          <w:bCs/>
          <w:lang w:val="en-US"/>
        </w:rPr>
        <w:t xml:space="preserve">. </w:t>
      </w:r>
      <w:r w:rsidR="00D9253B" w:rsidRPr="00813D19">
        <w:rPr>
          <w:bCs/>
          <w:lang w:val="en-US"/>
        </w:rPr>
        <w:t>Azerbaijan had followed this principle</w:t>
      </w:r>
      <w:r w:rsidR="006A78CC" w:rsidRPr="006A78CC">
        <w:rPr>
          <w:bCs/>
          <w:lang w:val="en-US"/>
        </w:rPr>
        <w:t xml:space="preserve"> </w:t>
      </w:r>
      <w:r w:rsidR="006A78CC" w:rsidRPr="00813D19">
        <w:rPr>
          <w:bCs/>
          <w:lang w:val="en-US"/>
        </w:rPr>
        <w:t>closely</w:t>
      </w:r>
      <w:r w:rsidR="00D9253B" w:rsidRPr="00813D19">
        <w:rPr>
          <w:bCs/>
          <w:lang w:val="en-US"/>
        </w:rPr>
        <w:t xml:space="preserve">, as </w:t>
      </w:r>
      <w:r w:rsidR="00483C1C" w:rsidRPr="00813D19">
        <w:rPr>
          <w:bCs/>
          <w:lang w:val="en-US"/>
        </w:rPr>
        <w:t xml:space="preserve">duly reflected in the report. </w:t>
      </w:r>
      <w:r w:rsidR="00D9253B" w:rsidRPr="00813D19">
        <w:rPr>
          <w:bCs/>
          <w:lang w:val="en-US"/>
        </w:rPr>
        <w:t>T</w:t>
      </w:r>
      <w:r w:rsidR="00483C1C" w:rsidRPr="00813D19">
        <w:rPr>
          <w:bCs/>
          <w:lang w:val="en-US"/>
        </w:rPr>
        <w:t xml:space="preserve">he nomination explicitly reflected the threats </w:t>
      </w:r>
      <w:r w:rsidR="00D9253B" w:rsidRPr="00813D19">
        <w:rPr>
          <w:bCs/>
          <w:lang w:val="en-US"/>
        </w:rPr>
        <w:t xml:space="preserve">that had </w:t>
      </w:r>
      <w:r w:rsidR="00483C1C" w:rsidRPr="00813D19">
        <w:rPr>
          <w:bCs/>
          <w:lang w:val="en-US"/>
        </w:rPr>
        <w:t xml:space="preserve">impacted </w:t>
      </w:r>
      <w:r w:rsidR="00D9253B" w:rsidRPr="00813D19">
        <w:rPr>
          <w:bCs/>
          <w:lang w:val="en-US"/>
        </w:rPr>
        <w:t xml:space="preserve">the viability of the element, which were as follows: i) the </w:t>
      </w:r>
      <w:r w:rsidR="00483C1C" w:rsidRPr="00813D19">
        <w:rPr>
          <w:bCs/>
          <w:lang w:val="en-US"/>
        </w:rPr>
        <w:t>decreased numbe</w:t>
      </w:r>
      <w:r w:rsidR="00D9253B" w:rsidRPr="00813D19">
        <w:rPr>
          <w:bCs/>
          <w:lang w:val="en-US"/>
        </w:rPr>
        <w:t xml:space="preserve">r of trainers and practitioners; ii) the </w:t>
      </w:r>
      <w:r w:rsidR="009F5FF4" w:rsidRPr="00813D19">
        <w:rPr>
          <w:bCs/>
          <w:lang w:val="en-US"/>
        </w:rPr>
        <w:t>devalued</w:t>
      </w:r>
      <w:r w:rsidR="00483C1C" w:rsidRPr="00813D19">
        <w:rPr>
          <w:bCs/>
          <w:lang w:val="en-US"/>
        </w:rPr>
        <w:t xml:space="preserve"> culture of Chovqan as a tr</w:t>
      </w:r>
      <w:r w:rsidR="00D9253B" w:rsidRPr="00813D19">
        <w:rPr>
          <w:bCs/>
          <w:lang w:val="en-US"/>
        </w:rPr>
        <w:t>aditional practice in the past;</w:t>
      </w:r>
      <w:r w:rsidR="009F5FF4" w:rsidRPr="00813D19">
        <w:rPr>
          <w:bCs/>
          <w:lang w:val="en-US"/>
        </w:rPr>
        <w:t xml:space="preserve"> </w:t>
      </w:r>
      <w:r w:rsidR="00D9253B" w:rsidRPr="00813D19">
        <w:rPr>
          <w:bCs/>
          <w:lang w:val="en-US"/>
        </w:rPr>
        <w:t xml:space="preserve">iii) </w:t>
      </w:r>
      <w:r w:rsidR="00483C1C" w:rsidRPr="00813D19">
        <w:rPr>
          <w:bCs/>
          <w:lang w:val="en-US"/>
        </w:rPr>
        <w:t>urbanization processes within t</w:t>
      </w:r>
      <w:r w:rsidR="009F5FF4" w:rsidRPr="00813D19">
        <w:rPr>
          <w:bCs/>
          <w:lang w:val="en-US"/>
        </w:rPr>
        <w:t>he country</w:t>
      </w:r>
      <w:r w:rsidR="00D9253B" w:rsidRPr="00813D19">
        <w:rPr>
          <w:bCs/>
          <w:lang w:val="en-US"/>
        </w:rPr>
        <w:t>; and</w:t>
      </w:r>
      <w:r w:rsidR="006A78CC">
        <w:rPr>
          <w:bCs/>
          <w:lang w:val="en-US"/>
        </w:rPr>
        <w:t>, most importantly,</w:t>
      </w:r>
      <w:r w:rsidR="00D9253B" w:rsidRPr="00813D19">
        <w:rPr>
          <w:bCs/>
          <w:lang w:val="en-US"/>
        </w:rPr>
        <w:t xml:space="preserve"> iv) </w:t>
      </w:r>
      <w:r w:rsidR="00483C1C" w:rsidRPr="00813D19">
        <w:rPr>
          <w:bCs/>
          <w:lang w:val="en-US"/>
        </w:rPr>
        <w:t xml:space="preserve">the shortage of </w:t>
      </w:r>
      <w:r w:rsidR="00D9253B" w:rsidRPr="00813D19">
        <w:rPr>
          <w:bCs/>
          <w:lang w:val="en-US"/>
        </w:rPr>
        <w:t xml:space="preserve">horses of the </w:t>
      </w:r>
      <w:r w:rsidR="009F5FF4" w:rsidRPr="00813D19">
        <w:rPr>
          <w:lang w:val="en-US"/>
        </w:rPr>
        <w:t xml:space="preserve">Karabakh </w:t>
      </w:r>
      <w:r w:rsidR="00D9253B" w:rsidRPr="00813D19">
        <w:rPr>
          <w:lang w:val="en-US"/>
        </w:rPr>
        <w:t>breed</w:t>
      </w:r>
      <w:r w:rsidR="00483C1C" w:rsidRPr="00813D19">
        <w:rPr>
          <w:lang w:val="en-US"/>
        </w:rPr>
        <w:t xml:space="preserve">. </w:t>
      </w:r>
      <w:r w:rsidR="006A78CC">
        <w:rPr>
          <w:lang w:val="en-US"/>
        </w:rPr>
        <w:t>O</w:t>
      </w:r>
      <w:r w:rsidR="00483C1C" w:rsidRPr="00813D19">
        <w:rPr>
          <w:lang w:val="en-US"/>
        </w:rPr>
        <w:t xml:space="preserve">f these four threats, two </w:t>
      </w:r>
      <w:r w:rsidR="00D9253B" w:rsidRPr="00813D19">
        <w:rPr>
          <w:lang w:val="en-US"/>
        </w:rPr>
        <w:t xml:space="preserve">were </w:t>
      </w:r>
      <w:r w:rsidR="00483C1C" w:rsidRPr="00813D19">
        <w:rPr>
          <w:lang w:val="en-US"/>
        </w:rPr>
        <w:t>indirectly or directly impacted by the military conflict and subsequent</w:t>
      </w:r>
      <w:r w:rsidR="00D9253B" w:rsidRPr="00813D19">
        <w:rPr>
          <w:lang w:val="en-US"/>
        </w:rPr>
        <w:t xml:space="preserve"> occupation of the territories: i) as a result of the </w:t>
      </w:r>
      <w:r w:rsidR="00483C1C" w:rsidRPr="00813D19">
        <w:rPr>
          <w:lang w:val="en-US"/>
        </w:rPr>
        <w:t>urbanization process</w:t>
      </w:r>
      <w:r w:rsidR="00D9253B" w:rsidRPr="00813D19">
        <w:rPr>
          <w:lang w:val="en-US"/>
        </w:rPr>
        <w:t xml:space="preserve">, and </w:t>
      </w:r>
      <w:r w:rsidR="00483C1C" w:rsidRPr="00813D19">
        <w:rPr>
          <w:lang w:val="en-US"/>
        </w:rPr>
        <w:t xml:space="preserve">as communities </w:t>
      </w:r>
      <w:r w:rsidR="00D9253B" w:rsidRPr="00813D19">
        <w:rPr>
          <w:lang w:val="en-US"/>
        </w:rPr>
        <w:t xml:space="preserve">practising this </w:t>
      </w:r>
      <w:r w:rsidR="00483C1C" w:rsidRPr="00813D19">
        <w:rPr>
          <w:lang w:val="en-US"/>
        </w:rPr>
        <w:t>element were forc</w:t>
      </w:r>
      <w:r w:rsidR="009F5FF4" w:rsidRPr="00813D19">
        <w:rPr>
          <w:lang w:val="en-US"/>
        </w:rPr>
        <w:t>ibly displaced from their natural</w:t>
      </w:r>
      <w:r w:rsidR="00D9253B" w:rsidRPr="00813D19">
        <w:rPr>
          <w:lang w:val="en-US"/>
        </w:rPr>
        <w:t xml:space="preserve"> environment; and ii) </w:t>
      </w:r>
      <w:r w:rsidR="009F5FF4" w:rsidRPr="00813D19">
        <w:rPr>
          <w:lang w:val="en-US"/>
        </w:rPr>
        <w:t xml:space="preserve">the </w:t>
      </w:r>
      <w:r w:rsidR="00483C1C" w:rsidRPr="00813D19">
        <w:rPr>
          <w:lang w:val="en-US"/>
        </w:rPr>
        <w:t xml:space="preserve">destruction of </w:t>
      </w:r>
      <w:r w:rsidR="00D9253B" w:rsidRPr="00813D19">
        <w:rPr>
          <w:lang w:val="en-US"/>
        </w:rPr>
        <w:t xml:space="preserve">the </w:t>
      </w:r>
      <w:r w:rsidR="00483C1C" w:rsidRPr="00813D19">
        <w:rPr>
          <w:lang w:val="en-US"/>
        </w:rPr>
        <w:t xml:space="preserve">horse-breeding </w:t>
      </w:r>
      <w:r w:rsidR="009F5FF4" w:rsidRPr="00813D19">
        <w:rPr>
          <w:lang w:val="en-US"/>
        </w:rPr>
        <w:t>stable</w:t>
      </w:r>
      <w:r w:rsidR="00483C1C" w:rsidRPr="00813D19">
        <w:rPr>
          <w:lang w:val="en-US"/>
        </w:rPr>
        <w:t xml:space="preserve">. </w:t>
      </w:r>
      <w:r w:rsidR="00D9253B" w:rsidRPr="00813D19">
        <w:rPr>
          <w:lang w:val="en-US"/>
        </w:rPr>
        <w:t xml:space="preserve">This explained </w:t>
      </w:r>
      <w:r w:rsidR="00483C1C" w:rsidRPr="00813D19">
        <w:rPr>
          <w:lang w:val="en-US"/>
        </w:rPr>
        <w:t xml:space="preserve">why </w:t>
      </w:r>
      <w:r w:rsidR="00D9253B" w:rsidRPr="00813D19">
        <w:rPr>
          <w:lang w:val="en-US"/>
        </w:rPr>
        <w:t xml:space="preserve">in </w:t>
      </w:r>
      <w:r w:rsidR="00483C1C" w:rsidRPr="00813D19">
        <w:rPr>
          <w:lang w:val="en-US"/>
        </w:rPr>
        <w:t>the report</w:t>
      </w:r>
      <w:r w:rsidR="009F5FF4" w:rsidRPr="00813D19">
        <w:rPr>
          <w:lang w:val="en-US"/>
        </w:rPr>
        <w:t>,</w:t>
      </w:r>
      <w:r w:rsidR="00483C1C" w:rsidRPr="00813D19">
        <w:rPr>
          <w:lang w:val="en-US"/>
        </w:rPr>
        <w:t xml:space="preserve"> among other threats</w:t>
      </w:r>
      <w:r w:rsidR="009F5FF4" w:rsidRPr="00813D19">
        <w:rPr>
          <w:lang w:val="en-US"/>
        </w:rPr>
        <w:t>,</w:t>
      </w:r>
      <w:r w:rsidR="00483C1C" w:rsidRPr="00813D19">
        <w:rPr>
          <w:lang w:val="en-US"/>
        </w:rPr>
        <w:t xml:space="preserve"> the natural environment of </w:t>
      </w:r>
      <w:r w:rsidR="00D9253B" w:rsidRPr="00813D19">
        <w:rPr>
          <w:lang w:val="en-US"/>
        </w:rPr>
        <w:t>the Karabakh bre</w:t>
      </w:r>
      <w:r w:rsidR="00483C1C" w:rsidRPr="00813D19">
        <w:rPr>
          <w:lang w:val="en-US"/>
        </w:rPr>
        <w:t xml:space="preserve">d horses </w:t>
      </w:r>
      <w:r w:rsidR="00D9253B" w:rsidRPr="00813D19">
        <w:rPr>
          <w:lang w:val="en-US"/>
        </w:rPr>
        <w:t xml:space="preserve">was cited as being </w:t>
      </w:r>
      <w:r w:rsidR="00483C1C" w:rsidRPr="00813D19">
        <w:rPr>
          <w:lang w:val="en-US"/>
        </w:rPr>
        <w:t xml:space="preserve">beyond </w:t>
      </w:r>
      <w:r w:rsidR="00D9253B" w:rsidRPr="00813D19">
        <w:rPr>
          <w:lang w:val="en-US"/>
        </w:rPr>
        <w:t xml:space="preserve">Azeri </w:t>
      </w:r>
      <w:r w:rsidR="00483C1C" w:rsidRPr="00813D19">
        <w:rPr>
          <w:lang w:val="en-US"/>
        </w:rPr>
        <w:t xml:space="preserve">control. </w:t>
      </w:r>
      <w:r w:rsidR="00D9253B" w:rsidRPr="00813D19">
        <w:rPr>
          <w:lang w:val="en-US"/>
        </w:rPr>
        <w:t xml:space="preserve">The delegation </w:t>
      </w:r>
      <w:r w:rsidR="00483C1C" w:rsidRPr="00813D19">
        <w:rPr>
          <w:lang w:val="en-US"/>
        </w:rPr>
        <w:t>advise</w:t>
      </w:r>
      <w:r w:rsidR="00D9253B" w:rsidRPr="00813D19">
        <w:rPr>
          <w:lang w:val="en-US"/>
        </w:rPr>
        <w:t>d</w:t>
      </w:r>
      <w:r w:rsidR="00483C1C" w:rsidRPr="00813D19">
        <w:rPr>
          <w:lang w:val="en-US"/>
        </w:rPr>
        <w:t xml:space="preserve"> Armenia to look at the item which </w:t>
      </w:r>
      <w:r w:rsidR="00D9253B" w:rsidRPr="00813D19">
        <w:rPr>
          <w:lang w:val="en-US"/>
        </w:rPr>
        <w:t xml:space="preserve">was </w:t>
      </w:r>
      <w:r w:rsidR="00483C1C" w:rsidRPr="00813D19">
        <w:rPr>
          <w:lang w:val="en-US"/>
        </w:rPr>
        <w:t>presented by the Secretariat on intangible cu</w:t>
      </w:r>
      <w:r w:rsidR="00D9253B" w:rsidRPr="00813D19">
        <w:rPr>
          <w:lang w:val="en-US"/>
        </w:rPr>
        <w:t xml:space="preserve">ltural heritage in emergencies, so as to </w:t>
      </w:r>
      <w:r w:rsidR="00483C1C" w:rsidRPr="00813D19">
        <w:rPr>
          <w:lang w:val="en-US"/>
        </w:rPr>
        <w:t xml:space="preserve">find very clear information on how conflicts and </w:t>
      </w:r>
      <w:r w:rsidR="00D9253B" w:rsidRPr="00813D19">
        <w:rPr>
          <w:lang w:val="en-US"/>
        </w:rPr>
        <w:t xml:space="preserve">the </w:t>
      </w:r>
      <w:r w:rsidR="00483C1C" w:rsidRPr="00813D19">
        <w:rPr>
          <w:lang w:val="en-US"/>
        </w:rPr>
        <w:t xml:space="preserve">forcible displacement of communities negatively impact the viability of the element. </w:t>
      </w:r>
      <w:r w:rsidR="00D9253B" w:rsidRPr="00813D19">
        <w:rPr>
          <w:lang w:val="en-US"/>
        </w:rPr>
        <w:t xml:space="preserve">Thus, </w:t>
      </w:r>
      <w:r w:rsidR="00483C1C" w:rsidRPr="00813D19">
        <w:rPr>
          <w:lang w:val="en-US"/>
        </w:rPr>
        <w:t xml:space="preserve">the conflict in Karabakh and </w:t>
      </w:r>
      <w:r w:rsidR="00D9253B" w:rsidRPr="00813D19">
        <w:rPr>
          <w:lang w:val="en-US"/>
        </w:rPr>
        <w:t xml:space="preserve">its </w:t>
      </w:r>
      <w:r w:rsidR="00483C1C" w:rsidRPr="00813D19">
        <w:rPr>
          <w:lang w:val="en-US"/>
        </w:rPr>
        <w:t xml:space="preserve">subsequent occupation </w:t>
      </w:r>
      <w:r w:rsidR="00D9253B" w:rsidRPr="00813D19">
        <w:rPr>
          <w:lang w:val="en-US"/>
        </w:rPr>
        <w:t xml:space="preserve">had </w:t>
      </w:r>
      <w:r w:rsidR="006A78CC" w:rsidRPr="00813D19">
        <w:rPr>
          <w:lang w:val="en-US"/>
        </w:rPr>
        <w:t xml:space="preserve">negatively </w:t>
      </w:r>
      <w:r w:rsidR="00483C1C" w:rsidRPr="00813D19">
        <w:rPr>
          <w:lang w:val="en-US"/>
        </w:rPr>
        <w:t xml:space="preserve">impacted the viability of </w:t>
      </w:r>
      <w:r w:rsidR="006A78CC">
        <w:rPr>
          <w:lang w:val="en-US"/>
        </w:rPr>
        <w:t xml:space="preserve">the </w:t>
      </w:r>
      <w:r w:rsidR="00483C1C" w:rsidRPr="00813D19">
        <w:rPr>
          <w:bCs/>
          <w:lang w:val="en-US"/>
        </w:rPr>
        <w:t xml:space="preserve">Chovqan </w:t>
      </w:r>
      <w:r w:rsidR="00483C1C" w:rsidRPr="00813D19">
        <w:rPr>
          <w:lang w:val="en-US"/>
        </w:rPr>
        <w:t xml:space="preserve">Karabakh horse-riding game. </w:t>
      </w:r>
      <w:r w:rsidR="00D9253B" w:rsidRPr="00813D19">
        <w:rPr>
          <w:lang w:val="en-US"/>
        </w:rPr>
        <w:t xml:space="preserve">The report therefore </w:t>
      </w:r>
      <w:r w:rsidR="00483C1C" w:rsidRPr="00813D19">
        <w:rPr>
          <w:lang w:val="en-US"/>
        </w:rPr>
        <w:t xml:space="preserve">followed the feedback of </w:t>
      </w:r>
      <w:r w:rsidR="00D9253B" w:rsidRPr="00813D19">
        <w:rPr>
          <w:lang w:val="en-US"/>
        </w:rPr>
        <w:t xml:space="preserve">the </w:t>
      </w:r>
      <w:r w:rsidR="00483C1C" w:rsidRPr="00813D19">
        <w:rPr>
          <w:lang w:val="en-US"/>
        </w:rPr>
        <w:t xml:space="preserve">communities </w:t>
      </w:r>
      <w:r w:rsidR="00D9253B" w:rsidRPr="00813D19">
        <w:rPr>
          <w:lang w:val="en-US"/>
        </w:rPr>
        <w:t xml:space="preserve">who </w:t>
      </w:r>
      <w:r w:rsidR="00483C1C" w:rsidRPr="00813D19">
        <w:rPr>
          <w:lang w:val="en-US"/>
        </w:rPr>
        <w:t>explicitly mentioned these threats</w:t>
      </w:r>
      <w:r w:rsidR="00D9253B" w:rsidRPr="00813D19">
        <w:rPr>
          <w:lang w:val="en-US"/>
        </w:rPr>
        <w:t>, and the delegation totally rejected</w:t>
      </w:r>
      <w:r w:rsidR="00483C1C" w:rsidRPr="00813D19">
        <w:rPr>
          <w:lang w:val="en-US"/>
        </w:rPr>
        <w:t xml:space="preserve"> the amendments </w:t>
      </w:r>
      <w:r w:rsidR="00D9253B" w:rsidRPr="00813D19">
        <w:rPr>
          <w:lang w:val="en-US"/>
        </w:rPr>
        <w:t xml:space="preserve">proposed </w:t>
      </w:r>
      <w:r w:rsidR="00483C1C" w:rsidRPr="00813D19">
        <w:rPr>
          <w:lang w:val="en-US"/>
        </w:rPr>
        <w:t>by Armenia</w:t>
      </w:r>
      <w:r w:rsidR="00D9253B" w:rsidRPr="00813D19">
        <w:rPr>
          <w:lang w:val="en-US"/>
        </w:rPr>
        <w:t xml:space="preserve">, requesting that </w:t>
      </w:r>
      <w:r w:rsidR="00483C1C" w:rsidRPr="00813D19">
        <w:rPr>
          <w:lang w:val="en-US"/>
        </w:rPr>
        <w:t xml:space="preserve">the Committee </w:t>
      </w:r>
      <w:r w:rsidR="00D9253B" w:rsidRPr="00813D19">
        <w:rPr>
          <w:lang w:val="en-US"/>
        </w:rPr>
        <w:t xml:space="preserve">adhere </w:t>
      </w:r>
      <w:r w:rsidR="00483C1C" w:rsidRPr="00813D19">
        <w:rPr>
          <w:lang w:val="en-US"/>
        </w:rPr>
        <w:t>to the technical decisi</w:t>
      </w:r>
      <w:r w:rsidR="00DB0C5D" w:rsidRPr="00813D19">
        <w:rPr>
          <w:lang w:val="en-US"/>
        </w:rPr>
        <w:t xml:space="preserve">on proposed by the Secretariat, </w:t>
      </w:r>
      <w:r w:rsidR="00A66123">
        <w:rPr>
          <w:lang w:val="en-US"/>
        </w:rPr>
        <w:t xml:space="preserve">and </w:t>
      </w:r>
      <w:r w:rsidR="00DB0C5D" w:rsidRPr="00813D19">
        <w:rPr>
          <w:lang w:val="en-US"/>
        </w:rPr>
        <w:t xml:space="preserve">adding </w:t>
      </w:r>
      <w:r w:rsidR="00D9253B" w:rsidRPr="00813D19">
        <w:rPr>
          <w:lang w:val="en-US"/>
        </w:rPr>
        <w:t xml:space="preserve">that the Committee was not </w:t>
      </w:r>
      <w:r w:rsidR="00483C1C" w:rsidRPr="00813D19">
        <w:rPr>
          <w:lang w:val="en-US"/>
        </w:rPr>
        <w:t>the right place to get embr</w:t>
      </w:r>
      <w:r w:rsidR="0016273D">
        <w:rPr>
          <w:lang w:val="en-US"/>
        </w:rPr>
        <w:t>oiled in this political debate.</w:t>
      </w:r>
    </w:p>
    <w:p w14:paraId="7D8B1DAC" w14:textId="655E4ED7" w:rsidR="00E35CA7" w:rsidRPr="00813D19" w:rsidRDefault="00E35CA7" w:rsidP="004B1FA4">
      <w:pPr>
        <w:pStyle w:val="Orateurengris"/>
        <w:widowControl w:val="0"/>
        <w:spacing w:before="120"/>
        <w:ind w:left="709" w:hanging="709"/>
        <w:rPr>
          <w:lang w:val="en-US"/>
        </w:rPr>
      </w:pPr>
      <w:r w:rsidRPr="00813D19">
        <w:rPr>
          <w:lang w:val="en-US"/>
        </w:rPr>
        <w:t xml:space="preserve">The </w:t>
      </w:r>
      <w:r w:rsidRPr="00813D19">
        <w:rPr>
          <w:b/>
          <w:lang w:val="en-US"/>
        </w:rPr>
        <w:t>delegation of Armenia</w:t>
      </w:r>
      <w:r w:rsidRPr="00813D19">
        <w:rPr>
          <w:lang w:val="en-US"/>
        </w:rPr>
        <w:t xml:space="preserve"> </w:t>
      </w:r>
      <w:r w:rsidR="00DC63A0" w:rsidRPr="00813D19">
        <w:rPr>
          <w:bCs/>
          <w:lang w:val="en-US"/>
        </w:rPr>
        <w:t xml:space="preserve">believed that this was not </w:t>
      </w:r>
      <w:r w:rsidR="00B7134D" w:rsidRPr="00813D19">
        <w:rPr>
          <w:bCs/>
          <w:lang w:val="en-US"/>
        </w:rPr>
        <w:t xml:space="preserve">a purely technical report because the name </w:t>
      </w:r>
      <w:r w:rsidR="00B7134D" w:rsidRPr="00813D19">
        <w:rPr>
          <w:lang w:val="en-US"/>
        </w:rPr>
        <w:t>Karabakh</w:t>
      </w:r>
      <w:r w:rsidR="00D9253B" w:rsidRPr="00813D19">
        <w:rPr>
          <w:lang w:val="en-US"/>
        </w:rPr>
        <w:t>,</w:t>
      </w:r>
      <w:r w:rsidR="00B7134D" w:rsidRPr="00813D19">
        <w:rPr>
          <w:lang w:val="en-US"/>
        </w:rPr>
        <w:t xml:space="preserve"> as </w:t>
      </w:r>
      <w:r w:rsidR="00DC63A0" w:rsidRPr="00813D19">
        <w:rPr>
          <w:lang w:val="en-US"/>
        </w:rPr>
        <w:t xml:space="preserve">previously explained, was </w:t>
      </w:r>
      <w:r w:rsidR="00A66123" w:rsidRPr="00813D19">
        <w:rPr>
          <w:lang w:val="en-US"/>
        </w:rPr>
        <w:t xml:space="preserve">only </w:t>
      </w:r>
      <w:r w:rsidR="00B7134D" w:rsidRPr="00813D19">
        <w:rPr>
          <w:lang w:val="en-US"/>
        </w:rPr>
        <w:t xml:space="preserve">used for political reasons. </w:t>
      </w:r>
      <w:r w:rsidR="00DC63A0" w:rsidRPr="00813D19">
        <w:rPr>
          <w:lang w:val="en-US"/>
        </w:rPr>
        <w:t xml:space="preserve">The delegation wished to hear </w:t>
      </w:r>
      <w:r w:rsidR="00B7134D" w:rsidRPr="00813D19">
        <w:rPr>
          <w:lang w:val="en-US"/>
        </w:rPr>
        <w:t>the Secretariat</w:t>
      </w:r>
      <w:r w:rsidR="00DC63A0" w:rsidRPr="00813D19">
        <w:rPr>
          <w:lang w:val="en-US"/>
        </w:rPr>
        <w:t xml:space="preserve">’s perspective on </w:t>
      </w:r>
      <w:r w:rsidR="00B7134D" w:rsidRPr="00813D19">
        <w:rPr>
          <w:lang w:val="en-US"/>
        </w:rPr>
        <w:t>receiv</w:t>
      </w:r>
      <w:r w:rsidR="00DC63A0" w:rsidRPr="00813D19">
        <w:rPr>
          <w:lang w:val="en-US"/>
        </w:rPr>
        <w:t xml:space="preserve">ing this report, which contained </w:t>
      </w:r>
      <w:r w:rsidR="00B7134D" w:rsidRPr="00813D19">
        <w:rPr>
          <w:lang w:val="en-US"/>
        </w:rPr>
        <w:t xml:space="preserve">almost </w:t>
      </w:r>
      <w:r w:rsidR="00A66123">
        <w:rPr>
          <w:lang w:val="en-US"/>
        </w:rPr>
        <w:t>ten</w:t>
      </w:r>
      <w:r w:rsidR="00A66123" w:rsidRPr="00813D19">
        <w:rPr>
          <w:lang w:val="en-US"/>
        </w:rPr>
        <w:t xml:space="preserve"> </w:t>
      </w:r>
      <w:r w:rsidR="00B7134D" w:rsidRPr="00813D19">
        <w:rPr>
          <w:lang w:val="en-US"/>
        </w:rPr>
        <w:t xml:space="preserve">paragraphs </w:t>
      </w:r>
      <w:r w:rsidR="00A66123">
        <w:rPr>
          <w:lang w:val="en-US"/>
        </w:rPr>
        <w:t>that referred</w:t>
      </w:r>
      <w:r w:rsidR="00A66123" w:rsidRPr="00813D19">
        <w:rPr>
          <w:lang w:val="en-US"/>
        </w:rPr>
        <w:t xml:space="preserve"> </w:t>
      </w:r>
      <w:r w:rsidR="00B7134D" w:rsidRPr="00813D19">
        <w:rPr>
          <w:lang w:val="en-US"/>
        </w:rPr>
        <w:t>to the conflict</w:t>
      </w:r>
      <w:r w:rsidR="00DC63A0" w:rsidRPr="00813D19">
        <w:rPr>
          <w:lang w:val="en-US"/>
        </w:rPr>
        <w:t>,</w:t>
      </w:r>
      <w:r w:rsidR="00B7134D" w:rsidRPr="00813D19">
        <w:rPr>
          <w:lang w:val="en-US"/>
        </w:rPr>
        <w:t xml:space="preserve"> </w:t>
      </w:r>
      <w:r w:rsidR="00DC63A0" w:rsidRPr="00813D19">
        <w:rPr>
          <w:lang w:val="en-US"/>
        </w:rPr>
        <w:t xml:space="preserve">but also </w:t>
      </w:r>
      <w:r w:rsidR="00B7134D" w:rsidRPr="00813D19">
        <w:rPr>
          <w:lang w:val="en-US"/>
        </w:rPr>
        <w:t xml:space="preserve">language </w:t>
      </w:r>
      <w:r w:rsidR="00DC63A0" w:rsidRPr="00813D19">
        <w:rPr>
          <w:lang w:val="en-US"/>
        </w:rPr>
        <w:t xml:space="preserve">that was </w:t>
      </w:r>
      <w:r w:rsidR="00B7134D" w:rsidRPr="00813D19">
        <w:rPr>
          <w:lang w:val="en-US"/>
        </w:rPr>
        <w:t>not accepted by the international community. How did the Secretariat accept this report? When talk</w:t>
      </w:r>
      <w:r w:rsidR="00DC63A0" w:rsidRPr="00813D19">
        <w:rPr>
          <w:lang w:val="en-US"/>
        </w:rPr>
        <w:t>ing</w:t>
      </w:r>
      <w:r w:rsidR="00B7134D" w:rsidRPr="00813D19">
        <w:rPr>
          <w:lang w:val="en-US"/>
        </w:rPr>
        <w:t xml:space="preserve"> about intangible cultural heritage</w:t>
      </w:r>
      <w:r w:rsidR="001C6030" w:rsidRPr="00813D19">
        <w:rPr>
          <w:lang w:val="en-US"/>
        </w:rPr>
        <w:t>,</w:t>
      </w:r>
      <w:r w:rsidR="00B7134D" w:rsidRPr="00813D19">
        <w:rPr>
          <w:lang w:val="en-US"/>
        </w:rPr>
        <w:t xml:space="preserve"> Armenia </w:t>
      </w:r>
      <w:r w:rsidR="00DC63A0" w:rsidRPr="00813D19">
        <w:rPr>
          <w:lang w:val="en-US"/>
        </w:rPr>
        <w:t xml:space="preserve">stood </w:t>
      </w:r>
      <w:r w:rsidR="00B7134D" w:rsidRPr="00813D19">
        <w:rPr>
          <w:lang w:val="en-US"/>
        </w:rPr>
        <w:t>ready to</w:t>
      </w:r>
      <w:r w:rsidR="00DC63A0" w:rsidRPr="00813D19">
        <w:rPr>
          <w:lang w:val="en-US"/>
        </w:rPr>
        <w:t xml:space="preserve"> support any kind of nomination</w:t>
      </w:r>
      <w:r w:rsidR="008E1ADA" w:rsidRPr="00813D19">
        <w:rPr>
          <w:lang w:val="en-US"/>
        </w:rPr>
        <w:t>,</w:t>
      </w:r>
      <w:r w:rsidR="00B7134D" w:rsidRPr="00813D19">
        <w:rPr>
          <w:lang w:val="en-US"/>
        </w:rPr>
        <w:t xml:space="preserve"> </w:t>
      </w:r>
      <w:r w:rsidR="00DC63A0" w:rsidRPr="00813D19">
        <w:rPr>
          <w:lang w:val="en-US"/>
        </w:rPr>
        <w:t xml:space="preserve">except </w:t>
      </w:r>
      <w:r w:rsidR="00B7134D" w:rsidRPr="00813D19">
        <w:rPr>
          <w:lang w:val="en-US"/>
        </w:rPr>
        <w:t xml:space="preserve">political ones. </w:t>
      </w:r>
      <w:r w:rsidR="00DC63A0" w:rsidRPr="00813D19">
        <w:rPr>
          <w:lang w:val="en-US"/>
        </w:rPr>
        <w:t xml:space="preserve">With regard to the root causes of </w:t>
      </w:r>
      <w:r w:rsidR="00B7134D" w:rsidRPr="00813D19">
        <w:rPr>
          <w:lang w:val="en-US"/>
        </w:rPr>
        <w:t>conflict</w:t>
      </w:r>
      <w:r w:rsidR="00DC63A0" w:rsidRPr="00813D19">
        <w:rPr>
          <w:lang w:val="en-US"/>
        </w:rPr>
        <w:t xml:space="preserve">, the delegation referred to </w:t>
      </w:r>
      <w:r w:rsidR="00B7134D" w:rsidRPr="00813D19">
        <w:rPr>
          <w:lang w:val="en-US"/>
        </w:rPr>
        <w:t xml:space="preserve">Article 1 </w:t>
      </w:r>
      <w:r w:rsidR="00DC63A0" w:rsidRPr="00813D19">
        <w:rPr>
          <w:lang w:val="en-US"/>
        </w:rPr>
        <w:t xml:space="preserve">of the UN Charter that cites </w:t>
      </w:r>
      <w:r w:rsidR="00B7134D" w:rsidRPr="00813D19">
        <w:rPr>
          <w:lang w:val="en-US"/>
        </w:rPr>
        <w:t>fundamental huma</w:t>
      </w:r>
      <w:r w:rsidR="008E1ADA" w:rsidRPr="00813D19">
        <w:rPr>
          <w:lang w:val="en-US"/>
        </w:rPr>
        <w:t xml:space="preserve">n rights, the </w:t>
      </w:r>
      <w:r w:rsidR="00DC63A0" w:rsidRPr="00813D19">
        <w:rPr>
          <w:lang w:val="en-US"/>
        </w:rPr>
        <w:t xml:space="preserve">freedom of people to </w:t>
      </w:r>
      <w:r w:rsidR="00B7134D" w:rsidRPr="00813D19">
        <w:rPr>
          <w:lang w:val="en-US"/>
        </w:rPr>
        <w:t>self-determination</w:t>
      </w:r>
      <w:r w:rsidR="008E1ADA" w:rsidRPr="00813D19">
        <w:rPr>
          <w:lang w:val="en-US"/>
        </w:rPr>
        <w:t>,</w:t>
      </w:r>
      <w:r w:rsidR="00B7134D" w:rsidRPr="00813D19">
        <w:rPr>
          <w:lang w:val="en-US"/>
        </w:rPr>
        <w:t xml:space="preserve"> and their cultural</w:t>
      </w:r>
      <w:r w:rsidR="00A66123">
        <w:rPr>
          <w:lang w:val="en-US"/>
        </w:rPr>
        <w:t xml:space="preserve"> and</w:t>
      </w:r>
      <w:r w:rsidR="00B7134D" w:rsidRPr="00813D19">
        <w:rPr>
          <w:lang w:val="en-US"/>
        </w:rPr>
        <w:t xml:space="preserve"> educational rights. </w:t>
      </w:r>
      <w:r w:rsidR="008E1ADA" w:rsidRPr="00813D19">
        <w:rPr>
          <w:lang w:val="en-US"/>
        </w:rPr>
        <w:t>I</w:t>
      </w:r>
      <w:r w:rsidR="00B7134D" w:rsidRPr="00813D19">
        <w:rPr>
          <w:lang w:val="en-US"/>
        </w:rPr>
        <w:t>n this case</w:t>
      </w:r>
      <w:r w:rsidR="008E1ADA" w:rsidRPr="00813D19">
        <w:rPr>
          <w:lang w:val="en-US"/>
        </w:rPr>
        <w:t xml:space="preserve">, it was </w:t>
      </w:r>
      <w:r w:rsidR="00B7134D" w:rsidRPr="00813D19">
        <w:rPr>
          <w:lang w:val="en-US"/>
        </w:rPr>
        <w:t xml:space="preserve">not about military occupation. The conflict </w:t>
      </w:r>
      <w:r w:rsidR="00A66123" w:rsidRPr="00813D19">
        <w:rPr>
          <w:lang w:val="en-US"/>
        </w:rPr>
        <w:t>ha</w:t>
      </w:r>
      <w:r w:rsidR="00A66123">
        <w:rPr>
          <w:lang w:val="en-US"/>
        </w:rPr>
        <w:t>d</w:t>
      </w:r>
      <w:r w:rsidR="00A66123" w:rsidRPr="00813D19">
        <w:rPr>
          <w:lang w:val="en-US"/>
        </w:rPr>
        <w:t xml:space="preserve"> </w:t>
      </w:r>
      <w:r w:rsidR="00B7134D" w:rsidRPr="00813D19">
        <w:rPr>
          <w:lang w:val="en-US"/>
        </w:rPr>
        <w:t xml:space="preserve">different roots and </w:t>
      </w:r>
      <w:r w:rsidR="008E1ADA" w:rsidRPr="00813D19">
        <w:rPr>
          <w:lang w:val="en-US"/>
        </w:rPr>
        <w:t xml:space="preserve">the Committee </w:t>
      </w:r>
      <w:r w:rsidR="00B7134D" w:rsidRPr="00813D19">
        <w:rPr>
          <w:lang w:val="en-US"/>
        </w:rPr>
        <w:t xml:space="preserve">should stick to </w:t>
      </w:r>
      <w:r w:rsidR="001C6030" w:rsidRPr="00813D19">
        <w:rPr>
          <w:lang w:val="en-US"/>
        </w:rPr>
        <w:t xml:space="preserve">the OSCE Minsk Group Co-Chair format, as </w:t>
      </w:r>
      <w:r w:rsidR="00B7134D" w:rsidRPr="00813D19">
        <w:rPr>
          <w:lang w:val="en-US"/>
        </w:rPr>
        <w:t xml:space="preserve">this </w:t>
      </w:r>
      <w:r w:rsidR="00A66123">
        <w:rPr>
          <w:lang w:val="en-US"/>
        </w:rPr>
        <w:t>was</w:t>
      </w:r>
      <w:r w:rsidR="00A66123" w:rsidRPr="00813D19">
        <w:rPr>
          <w:lang w:val="en-US"/>
        </w:rPr>
        <w:t xml:space="preserve"> </w:t>
      </w:r>
      <w:r w:rsidR="00B7134D" w:rsidRPr="00813D19">
        <w:rPr>
          <w:lang w:val="en-US"/>
        </w:rPr>
        <w:t xml:space="preserve">the only format under which this conflict should be addressed. </w:t>
      </w:r>
      <w:r w:rsidR="008E1ADA" w:rsidRPr="00813D19">
        <w:rPr>
          <w:lang w:val="en-US"/>
        </w:rPr>
        <w:t xml:space="preserve">The delegation thus believed that </w:t>
      </w:r>
      <w:r w:rsidR="00B7134D" w:rsidRPr="00813D19">
        <w:rPr>
          <w:lang w:val="en-US"/>
        </w:rPr>
        <w:t xml:space="preserve">the </w:t>
      </w:r>
      <w:r w:rsidR="001C6030" w:rsidRPr="00813D19">
        <w:rPr>
          <w:bCs/>
          <w:lang w:val="en-US"/>
        </w:rPr>
        <w:t xml:space="preserve">Chovqan game, </w:t>
      </w:r>
      <w:r w:rsidR="00B7134D" w:rsidRPr="00813D19">
        <w:rPr>
          <w:bCs/>
          <w:lang w:val="en-US"/>
        </w:rPr>
        <w:t>included in Azerbaijan’s national inventory as</w:t>
      </w:r>
      <w:r w:rsidR="00A66123">
        <w:rPr>
          <w:bCs/>
          <w:lang w:val="en-US"/>
        </w:rPr>
        <w:t xml:space="preserve"> being</w:t>
      </w:r>
      <w:r w:rsidR="00B7134D" w:rsidRPr="00813D19">
        <w:rPr>
          <w:bCs/>
          <w:lang w:val="en-US"/>
        </w:rPr>
        <w:t xml:space="preserve"> </w:t>
      </w:r>
      <w:r w:rsidR="008E1ADA" w:rsidRPr="00813D19">
        <w:rPr>
          <w:bCs/>
          <w:lang w:val="en-US"/>
        </w:rPr>
        <w:t xml:space="preserve">possible </w:t>
      </w:r>
      <w:r w:rsidR="00B7134D" w:rsidRPr="00813D19">
        <w:rPr>
          <w:bCs/>
          <w:lang w:val="en-US"/>
        </w:rPr>
        <w:t xml:space="preserve">only with </w:t>
      </w:r>
      <w:r w:rsidR="00B7134D" w:rsidRPr="00813D19">
        <w:rPr>
          <w:lang w:val="en-US"/>
        </w:rPr>
        <w:t>Karabakh horses</w:t>
      </w:r>
      <w:r w:rsidR="008E1ADA" w:rsidRPr="00813D19">
        <w:rPr>
          <w:lang w:val="en-US"/>
        </w:rPr>
        <w:t>,</w:t>
      </w:r>
      <w:r w:rsidR="00B7134D" w:rsidRPr="00813D19">
        <w:rPr>
          <w:lang w:val="en-US"/>
        </w:rPr>
        <w:t xml:space="preserve"> </w:t>
      </w:r>
      <w:r w:rsidR="008E1ADA" w:rsidRPr="00813D19">
        <w:rPr>
          <w:lang w:val="en-US"/>
        </w:rPr>
        <w:t xml:space="preserve">was </w:t>
      </w:r>
      <w:r w:rsidR="00B7134D" w:rsidRPr="00813D19">
        <w:rPr>
          <w:lang w:val="en-US"/>
        </w:rPr>
        <w:t xml:space="preserve">just a political misinterpretation of the element. </w:t>
      </w:r>
      <w:r w:rsidR="008E1ADA" w:rsidRPr="00813D19">
        <w:rPr>
          <w:lang w:val="en-US"/>
        </w:rPr>
        <w:t>R</w:t>
      </w:r>
      <w:r w:rsidR="00B7134D" w:rsidRPr="00813D19">
        <w:rPr>
          <w:lang w:val="en-US"/>
        </w:rPr>
        <w:t>egarding the communities</w:t>
      </w:r>
      <w:r w:rsidR="008E1ADA" w:rsidRPr="00813D19">
        <w:rPr>
          <w:lang w:val="en-US"/>
        </w:rPr>
        <w:t>,</w:t>
      </w:r>
      <w:r w:rsidR="00B7134D" w:rsidRPr="00813D19">
        <w:rPr>
          <w:lang w:val="en-US"/>
        </w:rPr>
        <w:t xml:space="preserve"> </w:t>
      </w:r>
      <w:r w:rsidR="008E1ADA" w:rsidRPr="00813D19">
        <w:rPr>
          <w:lang w:val="en-US"/>
        </w:rPr>
        <w:t xml:space="preserve">the delegation asked that the Committee </w:t>
      </w:r>
      <w:r w:rsidR="00B7134D" w:rsidRPr="00813D19">
        <w:rPr>
          <w:lang w:val="en-US"/>
        </w:rPr>
        <w:t xml:space="preserve">not forget the communities who </w:t>
      </w:r>
      <w:r w:rsidR="008E1ADA" w:rsidRPr="00813D19">
        <w:rPr>
          <w:lang w:val="en-US"/>
        </w:rPr>
        <w:t xml:space="preserve">had previously lived </w:t>
      </w:r>
      <w:r w:rsidR="00B7134D" w:rsidRPr="00813D19">
        <w:rPr>
          <w:lang w:val="en-US"/>
        </w:rPr>
        <w:t xml:space="preserve">there </w:t>
      </w:r>
      <w:r w:rsidR="001C6030" w:rsidRPr="00813D19">
        <w:rPr>
          <w:lang w:val="en-US"/>
        </w:rPr>
        <w:t xml:space="preserve">and who </w:t>
      </w:r>
      <w:r w:rsidR="008E1ADA" w:rsidRPr="00813D19">
        <w:rPr>
          <w:lang w:val="en-US"/>
        </w:rPr>
        <w:t xml:space="preserve">had been </w:t>
      </w:r>
      <w:r w:rsidR="00B7134D" w:rsidRPr="00813D19">
        <w:rPr>
          <w:lang w:val="en-US"/>
        </w:rPr>
        <w:t xml:space="preserve">forcibly removed. Armenia </w:t>
      </w:r>
      <w:r w:rsidR="008E1ADA" w:rsidRPr="00813D19">
        <w:rPr>
          <w:lang w:val="en-US"/>
        </w:rPr>
        <w:t xml:space="preserve">did not seek </w:t>
      </w:r>
      <w:r w:rsidR="00B7134D" w:rsidRPr="00813D19">
        <w:rPr>
          <w:lang w:val="en-US"/>
        </w:rPr>
        <w:t xml:space="preserve">to </w:t>
      </w:r>
      <w:r w:rsidR="00F120C6" w:rsidRPr="00813D19">
        <w:rPr>
          <w:lang w:val="en-US"/>
        </w:rPr>
        <w:t>bring</w:t>
      </w:r>
      <w:r w:rsidR="00B7134D" w:rsidRPr="00813D19">
        <w:rPr>
          <w:lang w:val="en-US"/>
        </w:rPr>
        <w:t xml:space="preserve"> </w:t>
      </w:r>
      <w:r w:rsidR="00F120C6" w:rsidRPr="00813D19">
        <w:rPr>
          <w:lang w:val="en-US"/>
        </w:rPr>
        <w:t xml:space="preserve">the </w:t>
      </w:r>
      <w:r w:rsidR="001C6030" w:rsidRPr="00813D19">
        <w:rPr>
          <w:lang w:val="en-US"/>
        </w:rPr>
        <w:t xml:space="preserve">Committee </w:t>
      </w:r>
      <w:r w:rsidR="00F120C6" w:rsidRPr="00813D19">
        <w:rPr>
          <w:lang w:val="en-US"/>
        </w:rPr>
        <w:t xml:space="preserve">or UNESCO </w:t>
      </w:r>
      <w:r w:rsidR="00B7134D" w:rsidRPr="00813D19">
        <w:rPr>
          <w:lang w:val="en-US"/>
        </w:rPr>
        <w:t xml:space="preserve">into </w:t>
      </w:r>
      <w:r w:rsidR="00F120C6" w:rsidRPr="00813D19">
        <w:rPr>
          <w:lang w:val="en-US"/>
        </w:rPr>
        <w:t>a political game, reiterating</w:t>
      </w:r>
      <w:r w:rsidR="00B7134D" w:rsidRPr="00813D19">
        <w:rPr>
          <w:lang w:val="en-US"/>
        </w:rPr>
        <w:t xml:space="preserve"> </w:t>
      </w:r>
      <w:r w:rsidR="00F120C6" w:rsidRPr="00813D19">
        <w:rPr>
          <w:lang w:val="en-US"/>
        </w:rPr>
        <w:t xml:space="preserve">its </w:t>
      </w:r>
      <w:r w:rsidR="00B7134D" w:rsidRPr="00813D19">
        <w:rPr>
          <w:lang w:val="en-US"/>
        </w:rPr>
        <w:t xml:space="preserve">position that </w:t>
      </w:r>
      <w:r w:rsidR="00F120C6" w:rsidRPr="00813D19">
        <w:rPr>
          <w:lang w:val="en-US"/>
        </w:rPr>
        <w:t xml:space="preserve">the </w:t>
      </w:r>
      <w:r w:rsidR="00B7134D" w:rsidRPr="00813D19">
        <w:rPr>
          <w:lang w:val="en-US"/>
        </w:rPr>
        <w:t xml:space="preserve">report </w:t>
      </w:r>
      <w:r w:rsidR="00F120C6" w:rsidRPr="00813D19">
        <w:rPr>
          <w:lang w:val="en-US"/>
        </w:rPr>
        <w:t xml:space="preserve">was </w:t>
      </w:r>
      <w:r w:rsidR="00B7134D" w:rsidRPr="00813D19">
        <w:rPr>
          <w:lang w:val="en-US"/>
        </w:rPr>
        <w:t xml:space="preserve">unacceptable. </w:t>
      </w:r>
      <w:r w:rsidR="00F120C6" w:rsidRPr="00813D19">
        <w:rPr>
          <w:lang w:val="en-US"/>
        </w:rPr>
        <w:t xml:space="preserve">It accepted </w:t>
      </w:r>
      <w:r w:rsidR="00B7134D" w:rsidRPr="00813D19">
        <w:rPr>
          <w:lang w:val="en-US"/>
        </w:rPr>
        <w:t xml:space="preserve">that this </w:t>
      </w:r>
      <w:r w:rsidR="00F120C6" w:rsidRPr="00813D19">
        <w:rPr>
          <w:lang w:val="en-US"/>
        </w:rPr>
        <w:t xml:space="preserve">was </w:t>
      </w:r>
      <w:r w:rsidR="00B7134D" w:rsidRPr="00813D19">
        <w:rPr>
          <w:lang w:val="en-US"/>
        </w:rPr>
        <w:t xml:space="preserve">a national report made on behalf of </w:t>
      </w:r>
      <w:r w:rsidR="00F120C6" w:rsidRPr="00813D19">
        <w:rPr>
          <w:lang w:val="en-US"/>
        </w:rPr>
        <w:t>Azerbaijan</w:t>
      </w:r>
      <w:r w:rsidR="001C6030" w:rsidRPr="00813D19">
        <w:rPr>
          <w:lang w:val="en-US"/>
        </w:rPr>
        <w:t>,</w:t>
      </w:r>
      <w:r w:rsidR="00B7134D" w:rsidRPr="00813D19">
        <w:rPr>
          <w:lang w:val="en-US"/>
        </w:rPr>
        <w:t xml:space="preserve"> but </w:t>
      </w:r>
      <w:r w:rsidR="00F120C6" w:rsidRPr="00813D19">
        <w:rPr>
          <w:lang w:val="en-US"/>
        </w:rPr>
        <w:t xml:space="preserve">it was nonetheless unacceptable. </w:t>
      </w:r>
      <w:r w:rsidR="00B7134D" w:rsidRPr="00813D19">
        <w:rPr>
          <w:lang w:val="en-US"/>
        </w:rPr>
        <w:t xml:space="preserve">None of the paragraphs presented </w:t>
      </w:r>
      <w:r w:rsidR="00F120C6" w:rsidRPr="00813D19">
        <w:rPr>
          <w:lang w:val="en-US"/>
        </w:rPr>
        <w:t xml:space="preserve">were </w:t>
      </w:r>
      <w:r w:rsidR="00B7134D" w:rsidRPr="00813D19">
        <w:rPr>
          <w:lang w:val="en-US"/>
        </w:rPr>
        <w:t xml:space="preserve">accepted by </w:t>
      </w:r>
      <w:r w:rsidR="001C6030" w:rsidRPr="00813D19">
        <w:rPr>
          <w:lang w:val="en-US"/>
        </w:rPr>
        <w:t>Armenia</w:t>
      </w:r>
      <w:r w:rsidR="00F120C6" w:rsidRPr="00813D19">
        <w:rPr>
          <w:lang w:val="en-US"/>
        </w:rPr>
        <w:t>, with the report containing</w:t>
      </w:r>
      <w:r w:rsidR="00B7134D" w:rsidRPr="00813D19">
        <w:rPr>
          <w:lang w:val="en-US"/>
        </w:rPr>
        <w:t xml:space="preserve"> </w:t>
      </w:r>
      <w:r w:rsidR="00F120C6" w:rsidRPr="00813D19">
        <w:rPr>
          <w:lang w:val="en-US"/>
        </w:rPr>
        <w:t>one-sided allegations</w:t>
      </w:r>
      <w:r w:rsidR="00B7134D" w:rsidRPr="00813D19">
        <w:rPr>
          <w:lang w:val="en-US"/>
        </w:rPr>
        <w:t xml:space="preserve">. </w:t>
      </w:r>
      <w:r w:rsidR="00F120C6" w:rsidRPr="00813D19">
        <w:rPr>
          <w:lang w:val="en-US"/>
        </w:rPr>
        <w:t xml:space="preserve">In order </w:t>
      </w:r>
      <w:r w:rsidR="00B7134D" w:rsidRPr="00813D19">
        <w:rPr>
          <w:lang w:val="en-US"/>
        </w:rPr>
        <w:t xml:space="preserve">not </w:t>
      </w:r>
      <w:r w:rsidR="00F120C6" w:rsidRPr="00813D19">
        <w:rPr>
          <w:lang w:val="en-US"/>
        </w:rPr>
        <w:t xml:space="preserve">to set a </w:t>
      </w:r>
      <w:r w:rsidR="00B7134D" w:rsidRPr="00813D19">
        <w:rPr>
          <w:lang w:val="en-US"/>
        </w:rPr>
        <w:t xml:space="preserve">precedent </w:t>
      </w:r>
      <w:r w:rsidR="00F120C6" w:rsidRPr="00813D19">
        <w:rPr>
          <w:lang w:val="en-US"/>
        </w:rPr>
        <w:t xml:space="preserve">for the future, the delegation asked that the report be </w:t>
      </w:r>
      <w:r w:rsidR="00B7134D" w:rsidRPr="00813D19">
        <w:rPr>
          <w:lang w:val="en-US"/>
        </w:rPr>
        <w:t>return</w:t>
      </w:r>
      <w:r w:rsidR="00F120C6" w:rsidRPr="00813D19">
        <w:rPr>
          <w:lang w:val="en-US"/>
        </w:rPr>
        <w:t>ed</w:t>
      </w:r>
      <w:r w:rsidR="00B7134D" w:rsidRPr="00813D19">
        <w:rPr>
          <w:lang w:val="en-US"/>
        </w:rPr>
        <w:t xml:space="preserve"> </w:t>
      </w:r>
      <w:r w:rsidR="00F120C6" w:rsidRPr="00813D19">
        <w:rPr>
          <w:lang w:val="en-US"/>
        </w:rPr>
        <w:t xml:space="preserve">to the submitting State and </w:t>
      </w:r>
      <w:r w:rsidR="00B7134D" w:rsidRPr="00813D19">
        <w:rPr>
          <w:lang w:val="en-US"/>
        </w:rPr>
        <w:t>adjust</w:t>
      </w:r>
      <w:r w:rsidR="00F120C6" w:rsidRPr="00813D19">
        <w:rPr>
          <w:lang w:val="en-US"/>
        </w:rPr>
        <w:t>ed</w:t>
      </w:r>
      <w:r w:rsidR="0016273D">
        <w:rPr>
          <w:lang w:val="en-US"/>
        </w:rPr>
        <w:t xml:space="preserve"> to the norms.</w:t>
      </w:r>
    </w:p>
    <w:p w14:paraId="6417C495" w14:textId="7383AEBA" w:rsidR="002D5460" w:rsidRPr="00813D19" w:rsidRDefault="000A154A" w:rsidP="006F19B0">
      <w:pPr>
        <w:pStyle w:val="Orateurengris"/>
        <w:widowControl w:val="0"/>
        <w:spacing w:before="120"/>
        <w:ind w:left="709" w:hanging="709"/>
        <w:rPr>
          <w:lang w:val="en-US"/>
        </w:rPr>
      </w:pPr>
      <w:r w:rsidRPr="00813D19">
        <w:rPr>
          <w:lang w:val="en-US"/>
        </w:rPr>
        <w:t xml:space="preserve">The </w:t>
      </w:r>
      <w:r w:rsidRPr="00813D19">
        <w:rPr>
          <w:b/>
          <w:lang w:val="en-US"/>
        </w:rPr>
        <w:t>delegation of Palestine</w:t>
      </w:r>
      <w:r w:rsidR="00B7134D" w:rsidRPr="00813D19">
        <w:rPr>
          <w:b/>
          <w:lang w:val="en-US"/>
        </w:rPr>
        <w:t xml:space="preserve"> </w:t>
      </w:r>
      <w:r w:rsidR="002D5460" w:rsidRPr="00813D19">
        <w:rPr>
          <w:lang w:val="en-US"/>
        </w:rPr>
        <w:t>spoke of its</w:t>
      </w:r>
      <w:r w:rsidR="002D5460" w:rsidRPr="00813D19">
        <w:rPr>
          <w:b/>
          <w:lang w:val="en-US"/>
        </w:rPr>
        <w:t xml:space="preserve"> </w:t>
      </w:r>
      <w:r w:rsidR="002D5460" w:rsidRPr="00813D19">
        <w:rPr>
          <w:lang w:val="en-US"/>
        </w:rPr>
        <w:t>own</w:t>
      </w:r>
      <w:r w:rsidR="002D5460" w:rsidRPr="00813D19">
        <w:rPr>
          <w:b/>
          <w:lang w:val="en-US"/>
        </w:rPr>
        <w:t xml:space="preserve"> </w:t>
      </w:r>
      <w:r w:rsidR="002D5460" w:rsidRPr="00813D19">
        <w:rPr>
          <w:lang w:val="en-US"/>
        </w:rPr>
        <w:t xml:space="preserve">experience in this kind of </w:t>
      </w:r>
      <w:r w:rsidR="00F120C6" w:rsidRPr="00813D19">
        <w:rPr>
          <w:lang w:val="en-US"/>
        </w:rPr>
        <w:t>situation</w:t>
      </w:r>
      <w:r w:rsidR="00A66123">
        <w:rPr>
          <w:lang w:val="en-US"/>
        </w:rPr>
        <w:t>;</w:t>
      </w:r>
      <w:r w:rsidR="00F120C6" w:rsidRPr="00813D19">
        <w:rPr>
          <w:lang w:val="en-US"/>
        </w:rPr>
        <w:t xml:space="preserve"> although unfortunate</w:t>
      </w:r>
      <w:r w:rsidR="00A66123">
        <w:rPr>
          <w:lang w:val="en-US"/>
        </w:rPr>
        <w:t>,</w:t>
      </w:r>
      <w:r w:rsidR="002D5460" w:rsidRPr="00813D19">
        <w:rPr>
          <w:lang w:val="en-US"/>
        </w:rPr>
        <w:t xml:space="preserve"> it was unlikely that the situation could be resolved or that a consensus could be reached. Having heard the two delegations</w:t>
      </w:r>
      <w:r w:rsidR="00A66123">
        <w:rPr>
          <w:lang w:val="en-US"/>
        </w:rPr>
        <w:t xml:space="preserve">’ </w:t>
      </w:r>
      <w:r w:rsidR="00A66123" w:rsidRPr="00813D19">
        <w:rPr>
          <w:lang w:val="en-US"/>
        </w:rPr>
        <w:t>concern</w:t>
      </w:r>
      <w:r w:rsidR="00A66123">
        <w:rPr>
          <w:lang w:val="en-US"/>
        </w:rPr>
        <w:t>s</w:t>
      </w:r>
      <w:r w:rsidR="002D5460" w:rsidRPr="00813D19">
        <w:rPr>
          <w:lang w:val="en-US"/>
        </w:rPr>
        <w:t xml:space="preserve">, it understood the position of each. </w:t>
      </w:r>
      <w:r w:rsidR="00F120C6" w:rsidRPr="00813D19">
        <w:rPr>
          <w:lang w:val="en-US"/>
        </w:rPr>
        <w:t xml:space="preserve">However, </w:t>
      </w:r>
      <w:r w:rsidR="002D5460" w:rsidRPr="00813D19">
        <w:rPr>
          <w:lang w:val="en-US"/>
        </w:rPr>
        <w:t>in order to advance the Committee’s work, the delegation asked to close the debate so that the Committee could adopt the decision as it currently stood, while taking note of the statements made by the two States Parties in the oral report.</w:t>
      </w:r>
    </w:p>
    <w:p w14:paraId="3353EFC0" w14:textId="1DD30969" w:rsidR="006F19B0" w:rsidRPr="00813D19" w:rsidRDefault="002D5460" w:rsidP="006F19B0">
      <w:pPr>
        <w:pStyle w:val="Orateurengris"/>
        <w:widowControl w:val="0"/>
        <w:spacing w:before="120"/>
        <w:ind w:left="709" w:hanging="709"/>
        <w:rPr>
          <w:lang w:val="en-US"/>
        </w:rPr>
      </w:pPr>
      <w:r w:rsidRPr="00813D19">
        <w:rPr>
          <w:lang w:val="en-US"/>
        </w:rPr>
        <w:t>Having listened to the debate, t</w:t>
      </w:r>
      <w:r w:rsidR="006F19B0" w:rsidRPr="00813D19">
        <w:rPr>
          <w:lang w:val="en-US"/>
        </w:rPr>
        <w:t xml:space="preserve">he </w:t>
      </w:r>
      <w:r w:rsidR="006F19B0" w:rsidRPr="00813D19">
        <w:rPr>
          <w:b/>
          <w:lang w:val="en-US"/>
        </w:rPr>
        <w:t>delegation of the Philippines</w:t>
      </w:r>
      <w:r w:rsidR="00832E60" w:rsidRPr="00813D19">
        <w:rPr>
          <w:b/>
          <w:lang w:val="en-US"/>
        </w:rPr>
        <w:t xml:space="preserve"> </w:t>
      </w:r>
      <w:r w:rsidRPr="00813D19">
        <w:rPr>
          <w:lang w:val="en-US"/>
        </w:rPr>
        <w:t>also took note</w:t>
      </w:r>
      <w:r w:rsidRPr="00813D19">
        <w:rPr>
          <w:b/>
          <w:lang w:val="en-US"/>
        </w:rPr>
        <w:t xml:space="preserve"> </w:t>
      </w:r>
      <w:r w:rsidR="00832E60" w:rsidRPr="00813D19">
        <w:rPr>
          <w:bCs/>
          <w:lang w:val="en-US"/>
        </w:rPr>
        <w:t xml:space="preserve">of the important statements made. </w:t>
      </w:r>
      <w:r w:rsidRPr="00813D19">
        <w:rPr>
          <w:bCs/>
          <w:lang w:val="en-US"/>
        </w:rPr>
        <w:t xml:space="preserve">It seconded </w:t>
      </w:r>
      <w:r w:rsidR="00832E60" w:rsidRPr="00813D19">
        <w:rPr>
          <w:bCs/>
          <w:lang w:val="en-US"/>
        </w:rPr>
        <w:t>Palestine</w:t>
      </w:r>
      <w:r w:rsidR="00A66123">
        <w:rPr>
          <w:bCs/>
          <w:lang w:val="en-US"/>
        </w:rPr>
        <w:t xml:space="preserve">’s </w:t>
      </w:r>
      <w:r w:rsidRPr="00813D19">
        <w:rPr>
          <w:bCs/>
          <w:lang w:val="en-US"/>
        </w:rPr>
        <w:t xml:space="preserve">motion to close the debate </w:t>
      </w:r>
      <w:r w:rsidR="00832E60" w:rsidRPr="00813D19">
        <w:rPr>
          <w:bCs/>
          <w:lang w:val="en-US"/>
        </w:rPr>
        <w:t xml:space="preserve">in accordance </w:t>
      </w:r>
      <w:r w:rsidR="00F120C6" w:rsidRPr="00813D19">
        <w:rPr>
          <w:bCs/>
          <w:lang w:val="en-US"/>
        </w:rPr>
        <w:t>with</w:t>
      </w:r>
      <w:r w:rsidR="00832E60" w:rsidRPr="00813D19">
        <w:rPr>
          <w:bCs/>
          <w:lang w:val="en-US"/>
        </w:rPr>
        <w:t xml:space="preserve"> Rul</w:t>
      </w:r>
      <w:r w:rsidR="0016273D">
        <w:rPr>
          <w:bCs/>
          <w:lang w:val="en-US"/>
        </w:rPr>
        <w:t>e 32 of the Rules of Procedure.</w:t>
      </w:r>
    </w:p>
    <w:p w14:paraId="65C95C29" w14:textId="6EE50DB8" w:rsidR="006F19B0" w:rsidRPr="00813D19" w:rsidRDefault="006F19B0" w:rsidP="006F19B0">
      <w:pPr>
        <w:pStyle w:val="Orateurengris"/>
        <w:widowControl w:val="0"/>
        <w:spacing w:before="120"/>
        <w:ind w:left="709" w:hanging="709"/>
        <w:rPr>
          <w:lang w:val="en-US"/>
        </w:rPr>
      </w:pPr>
      <w:r w:rsidRPr="00813D19">
        <w:rPr>
          <w:lang w:val="en-US"/>
        </w:rPr>
        <w:t xml:space="preserve">The </w:t>
      </w:r>
      <w:r w:rsidRPr="00813D19">
        <w:rPr>
          <w:b/>
          <w:lang w:val="en-US"/>
        </w:rPr>
        <w:t>delegation of Djibouti</w:t>
      </w:r>
      <w:r w:rsidR="00C52C53" w:rsidRPr="00813D19">
        <w:rPr>
          <w:b/>
          <w:lang w:val="en-US"/>
        </w:rPr>
        <w:t xml:space="preserve"> </w:t>
      </w:r>
      <w:r w:rsidR="002D5460" w:rsidRPr="00813D19">
        <w:rPr>
          <w:lang w:val="en-US"/>
        </w:rPr>
        <w:t>agreed with the position voiced</w:t>
      </w:r>
      <w:r w:rsidR="002D5460" w:rsidRPr="00813D19">
        <w:rPr>
          <w:b/>
          <w:lang w:val="en-US"/>
        </w:rPr>
        <w:t xml:space="preserve"> </w:t>
      </w:r>
      <w:r w:rsidR="002D5460" w:rsidRPr="00813D19">
        <w:rPr>
          <w:lang w:val="en-US"/>
        </w:rPr>
        <w:t xml:space="preserve">by </w:t>
      </w:r>
      <w:r w:rsidR="00C52C53" w:rsidRPr="00813D19">
        <w:rPr>
          <w:bCs/>
          <w:lang w:val="en-US"/>
        </w:rPr>
        <w:t xml:space="preserve">Palestine </w:t>
      </w:r>
      <w:r w:rsidR="002D5460" w:rsidRPr="00813D19">
        <w:rPr>
          <w:bCs/>
          <w:lang w:val="en-US"/>
        </w:rPr>
        <w:t>and the Philippines.</w:t>
      </w:r>
    </w:p>
    <w:p w14:paraId="6B174841" w14:textId="3FE4BDA8" w:rsidR="005875D0" w:rsidRPr="00813D19" w:rsidRDefault="005875D0" w:rsidP="002D5460">
      <w:pPr>
        <w:pStyle w:val="Orateurengris"/>
        <w:widowControl w:val="0"/>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2D5460" w:rsidRPr="00813D19">
        <w:rPr>
          <w:lang w:val="en-US"/>
        </w:rPr>
        <w:t xml:space="preserve">remarked that </w:t>
      </w:r>
      <w:r w:rsidR="002D5460" w:rsidRPr="00813D19">
        <w:rPr>
          <w:bCs/>
          <w:lang w:val="en-US"/>
        </w:rPr>
        <w:t xml:space="preserve">a reference was made to Rule 32 on the </w:t>
      </w:r>
      <w:r w:rsidR="00C52C53" w:rsidRPr="00813D19">
        <w:rPr>
          <w:bCs/>
          <w:lang w:val="en-US"/>
        </w:rPr>
        <w:t xml:space="preserve">closure of </w:t>
      </w:r>
      <w:r w:rsidR="00A66123">
        <w:rPr>
          <w:bCs/>
          <w:lang w:val="en-US"/>
        </w:rPr>
        <w:t xml:space="preserve">a </w:t>
      </w:r>
      <w:r w:rsidR="00C52C53" w:rsidRPr="00813D19">
        <w:rPr>
          <w:bCs/>
          <w:lang w:val="en-US"/>
        </w:rPr>
        <w:t xml:space="preserve">debate. Rule 32 </w:t>
      </w:r>
      <w:r w:rsidR="002D5460" w:rsidRPr="00813D19">
        <w:rPr>
          <w:bCs/>
          <w:lang w:val="en-US"/>
        </w:rPr>
        <w:t>states that “</w:t>
      </w:r>
      <w:r w:rsidR="00C52C53" w:rsidRPr="00813D19">
        <w:rPr>
          <w:bCs/>
          <w:lang w:val="en-US"/>
        </w:rPr>
        <w:t xml:space="preserve">a State Member of the Committee may at </w:t>
      </w:r>
      <w:r w:rsidR="00813D19" w:rsidRPr="00813D19">
        <w:rPr>
          <w:bCs/>
          <w:lang w:val="en-US"/>
        </w:rPr>
        <w:t>any time</w:t>
      </w:r>
      <w:r w:rsidR="00C52C53" w:rsidRPr="00813D19">
        <w:rPr>
          <w:bCs/>
          <w:lang w:val="en-US"/>
        </w:rPr>
        <w:t xml:space="preserve"> </w:t>
      </w:r>
      <w:r w:rsidR="002D5460" w:rsidRPr="00813D19">
        <w:rPr>
          <w:bCs/>
          <w:lang w:val="en-US"/>
        </w:rPr>
        <w:t>move the closure of the debate w</w:t>
      </w:r>
      <w:r w:rsidR="00C52C53" w:rsidRPr="00813D19">
        <w:rPr>
          <w:bCs/>
          <w:lang w:val="en-US"/>
        </w:rPr>
        <w:t>hether or not any other speaker has signified his or her wish to take part in the discussion. If application is made for permission to speak against the closure it may be accorded to n</w:t>
      </w:r>
      <w:r w:rsidR="002D5460" w:rsidRPr="00813D19">
        <w:rPr>
          <w:bCs/>
          <w:lang w:val="en-US"/>
        </w:rPr>
        <w:t>ot more than two speakers. The C</w:t>
      </w:r>
      <w:r w:rsidR="00C52C53" w:rsidRPr="00813D19">
        <w:rPr>
          <w:bCs/>
          <w:lang w:val="en-US"/>
        </w:rPr>
        <w:t>hairperson would then have to put the motion for closure.</w:t>
      </w:r>
      <w:r w:rsidR="002D5460" w:rsidRPr="00813D19">
        <w:rPr>
          <w:bCs/>
          <w:lang w:val="en-US"/>
        </w:rPr>
        <w:t>”</w:t>
      </w:r>
      <w:r w:rsidR="00C52C53" w:rsidRPr="00813D19">
        <w:rPr>
          <w:bCs/>
          <w:lang w:val="en-US"/>
        </w:rPr>
        <w:t xml:space="preserve"> </w:t>
      </w:r>
      <w:r w:rsidR="002D5460" w:rsidRPr="00813D19">
        <w:rPr>
          <w:bCs/>
          <w:lang w:val="en-US"/>
        </w:rPr>
        <w:t>T</w:t>
      </w:r>
      <w:r w:rsidR="00C52C53" w:rsidRPr="00813D19">
        <w:rPr>
          <w:bCs/>
          <w:lang w:val="en-US"/>
        </w:rPr>
        <w:t xml:space="preserve">he Chairperson </w:t>
      </w:r>
      <w:r w:rsidR="002D5460" w:rsidRPr="00813D19">
        <w:rPr>
          <w:bCs/>
          <w:lang w:val="en-US"/>
        </w:rPr>
        <w:t xml:space="preserve">could therefore </w:t>
      </w:r>
      <w:r w:rsidR="00C52C53" w:rsidRPr="00813D19">
        <w:rPr>
          <w:bCs/>
          <w:lang w:val="en-US"/>
        </w:rPr>
        <w:t xml:space="preserve">ask </w:t>
      </w:r>
      <w:r w:rsidR="002D5460" w:rsidRPr="00813D19">
        <w:rPr>
          <w:bCs/>
          <w:lang w:val="en-US"/>
        </w:rPr>
        <w:t xml:space="preserve">whether </w:t>
      </w:r>
      <w:r w:rsidR="00C52C53" w:rsidRPr="00813D19">
        <w:rPr>
          <w:bCs/>
          <w:lang w:val="en-US"/>
        </w:rPr>
        <w:t xml:space="preserve">there </w:t>
      </w:r>
      <w:r w:rsidR="002D5460" w:rsidRPr="00813D19">
        <w:rPr>
          <w:bCs/>
          <w:lang w:val="en-US"/>
        </w:rPr>
        <w:t xml:space="preserve">was an </w:t>
      </w:r>
      <w:r w:rsidR="00C52C53" w:rsidRPr="00813D19">
        <w:rPr>
          <w:bCs/>
          <w:lang w:val="en-US"/>
        </w:rPr>
        <w:t>application</w:t>
      </w:r>
      <w:r w:rsidR="002D5460" w:rsidRPr="00813D19">
        <w:rPr>
          <w:bCs/>
          <w:lang w:val="en-US"/>
        </w:rPr>
        <w:t xml:space="preserve"> against </w:t>
      </w:r>
      <w:r w:rsidR="00A66123">
        <w:rPr>
          <w:bCs/>
          <w:lang w:val="en-US"/>
        </w:rPr>
        <w:t xml:space="preserve">the </w:t>
      </w:r>
      <w:r w:rsidR="002D5460" w:rsidRPr="00813D19">
        <w:rPr>
          <w:bCs/>
          <w:lang w:val="en-US"/>
        </w:rPr>
        <w:t>closure of the debate.</w:t>
      </w:r>
    </w:p>
    <w:p w14:paraId="314E8294" w14:textId="746AC630" w:rsidR="00ED2DFE" w:rsidRPr="00813D19" w:rsidRDefault="00ED2DFE" w:rsidP="006F19B0">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2D5460" w:rsidRPr="00813D19">
        <w:rPr>
          <w:lang w:val="en-US"/>
        </w:rPr>
        <w:t>remarked that</w:t>
      </w:r>
      <w:r w:rsidR="00A66123">
        <w:rPr>
          <w:lang w:val="en-US"/>
        </w:rPr>
        <w:t>,</w:t>
      </w:r>
      <w:r w:rsidR="002D5460" w:rsidRPr="00813D19">
        <w:rPr>
          <w:lang w:val="en-US"/>
        </w:rPr>
        <w:t xml:space="preserve"> i</w:t>
      </w:r>
      <w:r w:rsidR="00C52C53" w:rsidRPr="00813D19">
        <w:rPr>
          <w:lang w:val="en-US"/>
        </w:rPr>
        <w:t xml:space="preserve">n line with Rule </w:t>
      </w:r>
      <w:r w:rsidR="002D5460" w:rsidRPr="00813D19">
        <w:rPr>
          <w:lang w:val="en-US"/>
        </w:rPr>
        <w:t xml:space="preserve">32, as stated by the Secretary, he asked whether </w:t>
      </w:r>
      <w:r w:rsidR="00C52C53" w:rsidRPr="00813D19">
        <w:rPr>
          <w:lang w:val="en-US"/>
        </w:rPr>
        <w:t xml:space="preserve">any Member </w:t>
      </w:r>
      <w:r w:rsidR="002D5460" w:rsidRPr="00813D19">
        <w:rPr>
          <w:lang w:val="en-US"/>
        </w:rPr>
        <w:t xml:space="preserve">was </w:t>
      </w:r>
      <w:r w:rsidR="00C52C53" w:rsidRPr="00813D19">
        <w:rPr>
          <w:lang w:val="en-US"/>
        </w:rPr>
        <w:t>against the motion of closure</w:t>
      </w:r>
      <w:r w:rsidR="002D5460" w:rsidRPr="00813D19">
        <w:rPr>
          <w:lang w:val="en-US"/>
        </w:rPr>
        <w:t>,</w:t>
      </w:r>
      <w:r w:rsidR="00C52C53" w:rsidRPr="00813D19">
        <w:rPr>
          <w:lang w:val="en-US"/>
        </w:rPr>
        <w:t xml:space="preserve"> as presented by Palestine and seconded by the Philippines and Djibouti</w:t>
      </w:r>
      <w:r w:rsidR="00087166">
        <w:rPr>
          <w:lang w:val="en-US"/>
        </w:rPr>
        <w:t>.</w:t>
      </w:r>
    </w:p>
    <w:p w14:paraId="30C47C65" w14:textId="4379A51A" w:rsidR="00ED2DFE" w:rsidRPr="00813D19" w:rsidRDefault="00ED2DFE" w:rsidP="006F19B0">
      <w:pPr>
        <w:pStyle w:val="Orateurengris"/>
        <w:widowControl w:val="0"/>
        <w:spacing w:before="120"/>
        <w:ind w:left="709" w:hanging="709"/>
        <w:rPr>
          <w:lang w:val="en-US"/>
        </w:rPr>
      </w:pPr>
      <w:r w:rsidRPr="00813D19">
        <w:rPr>
          <w:lang w:val="en-US"/>
        </w:rPr>
        <w:t xml:space="preserve">The </w:t>
      </w:r>
      <w:r w:rsidRPr="00813D19">
        <w:rPr>
          <w:b/>
          <w:lang w:val="en-US"/>
        </w:rPr>
        <w:t>delegation of Armenia</w:t>
      </w:r>
      <w:r w:rsidR="00C52C53" w:rsidRPr="00813D19">
        <w:rPr>
          <w:b/>
          <w:lang w:val="en-US"/>
        </w:rPr>
        <w:t xml:space="preserve"> </w:t>
      </w:r>
      <w:r w:rsidR="002D5460" w:rsidRPr="00813D19">
        <w:rPr>
          <w:lang w:val="en-US"/>
        </w:rPr>
        <w:t>reiterated</w:t>
      </w:r>
      <w:r w:rsidR="00C52C53" w:rsidRPr="00813D19">
        <w:rPr>
          <w:lang w:val="en-US"/>
        </w:rPr>
        <w:t xml:space="preserve"> </w:t>
      </w:r>
      <w:r w:rsidR="002D5460" w:rsidRPr="00813D19">
        <w:rPr>
          <w:lang w:val="en-US"/>
        </w:rPr>
        <w:t xml:space="preserve">its </w:t>
      </w:r>
      <w:r w:rsidR="00C52C53" w:rsidRPr="00813D19">
        <w:rPr>
          <w:lang w:val="en-US"/>
        </w:rPr>
        <w:t xml:space="preserve">position </w:t>
      </w:r>
      <w:r w:rsidR="00FD1A1D" w:rsidRPr="00813D19">
        <w:rPr>
          <w:lang w:val="en-US"/>
        </w:rPr>
        <w:t xml:space="preserve">and </w:t>
      </w:r>
      <w:r w:rsidR="00294204" w:rsidRPr="00813D19">
        <w:rPr>
          <w:lang w:val="en-US"/>
        </w:rPr>
        <w:t xml:space="preserve">its </w:t>
      </w:r>
      <w:r w:rsidR="00FD1A1D" w:rsidRPr="00813D19">
        <w:rPr>
          <w:lang w:val="en-US"/>
        </w:rPr>
        <w:t xml:space="preserve">wish </w:t>
      </w:r>
      <w:r w:rsidR="00C52C53" w:rsidRPr="00813D19">
        <w:rPr>
          <w:lang w:val="en-US"/>
        </w:rPr>
        <w:t xml:space="preserve">to discuss the draft amendments </w:t>
      </w:r>
      <w:r w:rsidR="00294204" w:rsidRPr="00813D19">
        <w:rPr>
          <w:lang w:val="en-US"/>
        </w:rPr>
        <w:t xml:space="preserve">as </w:t>
      </w:r>
      <w:r w:rsidR="00CC124A" w:rsidRPr="00813D19">
        <w:rPr>
          <w:lang w:val="en-US"/>
        </w:rPr>
        <w:t xml:space="preserve">they </w:t>
      </w:r>
      <w:r w:rsidR="00294204" w:rsidRPr="00813D19">
        <w:rPr>
          <w:lang w:val="en-US"/>
        </w:rPr>
        <w:t xml:space="preserve">had </w:t>
      </w:r>
      <w:r w:rsidR="00A54273" w:rsidRPr="00813D19">
        <w:rPr>
          <w:lang w:val="en-US"/>
        </w:rPr>
        <w:t xml:space="preserve">been </w:t>
      </w:r>
      <w:r w:rsidR="00C52C53" w:rsidRPr="00813D19">
        <w:rPr>
          <w:lang w:val="en-US"/>
        </w:rPr>
        <w:t>presented</w:t>
      </w:r>
      <w:r w:rsidR="00294204" w:rsidRPr="00813D19">
        <w:rPr>
          <w:lang w:val="en-US"/>
        </w:rPr>
        <w:t>,</w:t>
      </w:r>
      <w:r w:rsidR="00C52C53" w:rsidRPr="00813D19">
        <w:rPr>
          <w:lang w:val="en-US"/>
        </w:rPr>
        <w:t xml:space="preserve"> and not </w:t>
      </w:r>
      <w:r w:rsidR="00A54273" w:rsidRPr="00813D19">
        <w:rPr>
          <w:lang w:val="en-US"/>
        </w:rPr>
        <w:t xml:space="preserve">to </w:t>
      </w:r>
      <w:r w:rsidR="00CC124A" w:rsidRPr="00813D19">
        <w:rPr>
          <w:lang w:val="en-US"/>
        </w:rPr>
        <w:t xml:space="preserve">only </w:t>
      </w:r>
      <w:r w:rsidR="00C52C53" w:rsidRPr="00813D19">
        <w:rPr>
          <w:lang w:val="en-US"/>
        </w:rPr>
        <w:t>consider Azerbaijan’s report</w:t>
      </w:r>
      <w:r w:rsidR="00FD1A1D" w:rsidRPr="00813D19">
        <w:rPr>
          <w:lang w:val="en-US"/>
        </w:rPr>
        <w:t>.</w:t>
      </w:r>
    </w:p>
    <w:p w14:paraId="6F69622A" w14:textId="4F598385" w:rsidR="00DF4E27" w:rsidRPr="00813D19" w:rsidRDefault="00DF4E27" w:rsidP="006F19B0">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475580" w:rsidRPr="00813D19">
        <w:rPr>
          <w:lang w:val="en-US"/>
        </w:rPr>
        <w:t>noted that there were</w:t>
      </w:r>
      <w:r w:rsidR="00FD1A1D" w:rsidRPr="00813D19">
        <w:rPr>
          <w:lang w:val="en-US"/>
        </w:rPr>
        <w:t xml:space="preserve"> no additional Committee Members</w:t>
      </w:r>
      <w:r w:rsidR="00475580" w:rsidRPr="00813D19">
        <w:rPr>
          <w:lang w:val="en-US"/>
        </w:rPr>
        <w:t xml:space="preserve"> opposing the closure of the debate, as required by Rule </w:t>
      </w:r>
      <w:r w:rsidR="00FD1A1D" w:rsidRPr="00813D19">
        <w:rPr>
          <w:lang w:val="en-US"/>
        </w:rPr>
        <w:t>32</w:t>
      </w:r>
      <w:r w:rsidR="001B6606" w:rsidRPr="00813D19">
        <w:rPr>
          <w:lang w:val="en-US"/>
        </w:rPr>
        <w:t xml:space="preserve">. The debate on this item was </w:t>
      </w:r>
      <w:r w:rsidR="00FD1A1D" w:rsidRPr="00813D19">
        <w:rPr>
          <w:lang w:val="en-US"/>
        </w:rPr>
        <w:t xml:space="preserve">thus </w:t>
      </w:r>
      <w:r w:rsidR="00CC124A" w:rsidRPr="00813D19">
        <w:rPr>
          <w:lang w:val="en-US"/>
        </w:rPr>
        <w:t>closed</w:t>
      </w:r>
      <w:r w:rsidR="001B6606" w:rsidRPr="00813D19">
        <w:rPr>
          <w:lang w:val="en-US"/>
        </w:rPr>
        <w:t>.</w:t>
      </w:r>
    </w:p>
    <w:p w14:paraId="4392864E" w14:textId="1DF188D4" w:rsidR="00A54273" w:rsidRPr="00813D19" w:rsidRDefault="001B6606" w:rsidP="00A54273">
      <w:pPr>
        <w:pStyle w:val="Orateurengris"/>
        <w:widowControl w:val="0"/>
        <w:spacing w:before="120"/>
        <w:ind w:left="709" w:hanging="709"/>
        <w:rPr>
          <w:lang w:val="en-US"/>
        </w:rPr>
      </w:pPr>
      <w:r w:rsidRPr="00813D19">
        <w:rPr>
          <w:lang w:val="en-US"/>
        </w:rPr>
        <w:t xml:space="preserve">Despite </w:t>
      </w:r>
      <w:r w:rsidR="00A66123">
        <w:rPr>
          <w:lang w:val="en-US"/>
        </w:rPr>
        <w:t xml:space="preserve">the </w:t>
      </w:r>
      <w:r w:rsidRPr="00813D19">
        <w:rPr>
          <w:lang w:val="en-US"/>
        </w:rPr>
        <w:t xml:space="preserve">closure of the debate, the </w:t>
      </w:r>
      <w:r w:rsidRPr="00813D19">
        <w:rPr>
          <w:b/>
          <w:lang w:val="en-US"/>
        </w:rPr>
        <w:t>delegation of Azerbaijan</w:t>
      </w:r>
      <w:r w:rsidRPr="00813D19">
        <w:rPr>
          <w:lang w:val="en-US"/>
        </w:rPr>
        <w:t xml:space="preserve"> </w:t>
      </w:r>
      <w:r w:rsidR="00A54273" w:rsidRPr="00813D19">
        <w:rPr>
          <w:lang w:val="en-US"/>
        </w:rPr>
        <w:t xml:space="preserve">explained that the Committee had </w:t>
      </w:r>
      <w:r w:rsidRPr="00813D19">
        <w:rPr>
          <w:lang w:val="en-US"/>
        </w:rPr>
        <w:t xml:space="preserve">to proceed with the adoption of </w:t>
      </w:r>
      <w:r w:rsidR="0036419F" w:rsidRPr="00813D19">
        <w:rPr>
          <w:lang w:val="en-US"/>
        </w:rPr>
        <w:t xml:space="preserve">draft </w:t>
      </w:r>
      <w:r w:rsidRPr="00813D19">
        <w:rPr>
          <w:lang w:val="en-US"/>
        </w:rPr>
        <w:t xml:space="preserve">decision </w:t>
      </w:r>
      <w:r w:rsidR="00940BFE" w:rsidRPr="00813D19">
        <w:rPr>
          <w:lang w:val="en-US"/>
        </w:rPr>
        <w:t>13.COM 7.b.1</w:t>
      </w:r>
      <w:r w:rsidRPr="00813D19">
        <w:rPr>
          <w:lang w:val="en-US"/>
        </w:rPr>
        <w:t xml:space="preserve"> a</w:t>
      </w:r>
      <w:r w:rsidR="00A54273" w:rsidRPr="00813D19">
        <w:rPr>
          <w:lang w:val="en-US"/>
        </w:rPr>
        <w:t>s per established practice, with any amendments presented requiring the support of half t</w:t>
      </w:r>
      <w:r w:rsidR="00087166">
        <w:rPr>
          <w:lang w:val="en-US"/>
        </w:rPr>
        <w:t>he Committee Members.</w:t>
      </w:r>
    </w:p>
    <w:p w14:paraId="5B62D5F2" w14:textId="2101531E" w:rsidR="00A54273" w:rsidRPr="00813D19" w:rsidRDefault="00A54273" w:rsidP="00A54273">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concurred that despite the closure of the debate the Committee should return to the amendments presented to the draft decision paragraph</w:t>
      </w:r>
      <w:r w:rsidR="00A66123">
        <w:rPr>
          <w:lang w:val="en-US"/>
        </w:rPr>
        <w:t xml:space="preserve"> </w:t>
      </w:r>
      <w:r w:rsidRPr="00813D19">
        <w:rPr>
          <w:lang w:val="en-US"/>
        </w:rPr>
        <w:t>by</w:t>
      </w:r>
      <w:r w:rsidR="00A66123">
        <w:rPr>
          <w:lang w:val="en-US"/>
        </w:rPr>
        <w:t xml:space="preserve"> </w:t>
      </w:r>
      <w:r w:rsidR="00087166">
        <w:rPr>
          <w:lang w:val="en-US"/>
        </w:rPr>
        <w:t>paragraph.</w:t>
      </w:r>
    </w:p>
    <w:p w14:paraId="59402471" w14:textId="7C6670F3" w:rsidR="00DA599C" w:rsidRPr="00813D19" w:rsidRDefault="003547CD" w:rsidP="00DA599C">
      <w:pPr>
        <w:pStyle w:val="Orateurengris"/>
        <w:widowControl w:val="0"/>
        <w:spacing w:before="120"/>
        <w:ind w:left="709" w:hanging="709"/>
        <w:rPr>
          <w:lang w:val="en-US"/>
        </w:rPr>
      </w:pPr>
      <w:r w:rsidRPr="00813D19">
        <w:rPr>
          <w:lang w:val="en-US"/>
        </w:rPr>
        <w:t xml:space="preserve">The </w:t>
      </w:r>
      <w:r w:rsidRPr="00813D19">
        <w:rPr>
          <w:b/>
          <w:lang w:val="en-US"/>
        </w:rPr>
        <w:t xml:space="preserve">delegation of Palestine </w:t>
      </w:r>
      <w:r w:rsidR="00DA599C" w:rsidRPr="00813D19">
        <w:rPr>
          <w:lang w:val="en-US"/>
        </w:rPr>
        <w:t xml:space="preserve">cited another Rule of Procedure seeking </w:t>
      </w:r>
      <w:r w:rsidRPr="00813D19">
        <w:rPr>
          <w:lang w:val="en-US"/>
        </w:rPr>
        <w:t>an adjourn</w:t>
      </w:r>
      <w:r w:rsidR="00DA599C" w:rsidRPr="00813D19">
        <w:rPr>
          <w:lang w:val="en-US"/>
        </w:rPr>
        <w:t>ment of the debate o</w:t>
      </w:r>
      <w:r w:rsidR="00087166">
        <w:rPr>
          <w:lang w:val="en-US"/>
        </w:rPr>
        <w:t>n this item until the next day.</w:t>
      </w:r>
    </w:p>
    <w:p w14:paraId="40E49A29" w14:textId="0B96D83F" w:rsidR="00DA599C" w:rsidRPr="00813D19" w:rsidRDefault="00DA599C" w:rsidP="00DA599C">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Palestine’s motion for the adjournment of the debate on this item, noting that according to the Rules of Procedure there could be one Member speaking against and one </w:t>
      </w:r>
      <w:r w:rsidR="00087166">
        <w:rPr>
          <w:lang w:val="en-US"/>
        </w:rPr>
        <w:t>Member in favour of the motion.</w:t>
      </w:r>
    </w:p>
    <w:p w14:paraId="4FCBC5DA" w14:textId="3E933994" w:rsidR="003547CD" w:rsidRPr="00813D19" w:rsidRDefault="00DA599C" w:rsidP="00505442">
      <w:pPr>
        <w:pStyle w:val="Orateurengris"/>
        <w:widowControl w:val="0"/>
        <w:spacing w:before="120"/>
        <w:ind w:left="709" w:hanging="709"/>
        <w:rPr>
          <w:lang w:val="en-US"/>
        </w:rPr>
      </w:pPr>
      <w:r w:rsidRPr="00813D19">
        <w:rPr>
          <w:lang w:val="en-US"/>
        </w:rPr>
        <w:t>Before proceeding with</w:t>
      </w:r>
      <w:r w:rsidR="00CC124A" w:rsidRPr="00813D19">
        <w:rPr>
          <w:lang w:val="en-US"/>
        </w:rPr>
        <w:t xml:space="preserve"> the</w:t>
      </w:r>
      <w:r w:rsidRPr="00813D19">
        <w:rPr>
          <w:lang w:val="en-US"/>
        </w:rPr>
        <w:t xml:space="preserve"> deliberations, t</w:t>
      </w:r>
      <w:r w:rsidR="003547CD" w:rsidRPr="00813D19">
        <w:rPr>
          <w:lang w:val="en-US"/>
        </w:rPr>
        <w:t xml:space="preserve">he </w:t>
      </w:r>
      <w:r w:rsidR="003547CD" w:rsidRPr="00813D19">
        <w:rPr>
          <w:b/>
          <w:lang w:val="en-US"/>
        </w:rPr>
        <w:t>delegation of Armenia</w:t>
      </w:r>
      <w:r w:rsidR="00C52C53" w:rsidRPr="00813D19">
        <w:rPr>
          <w:lang w:val="en-US"/>
        </w:rPr>
        <w:t xml:space="preserve"> </w:t>
      </w:r>
      <w:r w:rsidRPr="00813D19">
        <w:rPr>
          <w:lang w:val="en-US"/>
        </w:rPr>
        <w:t xml:space="preserve">reiterated its request to </w:t>
      </w:r>
      <w:r w:rsidR="008F1EA6" w:rsidRPr="00813D19">
        <w:rPr>
          <w:lang w:val="en-US"/>
        </w:rPr>
        <w:t xml:space="preserve">hear the </w:t>
      </w:r>
      <w:r w:rsidR="00C52C53" w:rsidRPr="00813D19">
        <w:rPr>
          <w:lang w:val="en-US"/>
        </w:rPr>
        <w:t>Secretariat</w:t>
      </w:r>
      <w:r w:rsidR="008F1EA6" w:rsidRPr="00813D19">
        <w:rPr>
          <w:lang w:val="en-US"/>
        </w:rPr>
        <w:t>’s</w:t>
      </w:r>
      <w:r w:rsidR="00C52C53" w:rsidRPr="00813D19">
        <w:rPr>
          <w:lang w:val="en-US"/>
        </w:rPr>
        <w:t xml:space="preserve"> </w:t>
      </w:r>
      <w:r w:rsidRPr="00813D19">
        <w:rPr>
          <w:lang w:val="en-US"/>
        </w:rPr>
        <w:t xml:space="preserve">opinion </w:t>
      </w:r>
      <w:r w:rsidR="00C52C53" w:rsidRPr="00813D19">
        <w:rPr>
          <w:lang w:val="en-US"/>
        </w:rPr>
        <w:t xml:space="preserve">regarding </w:t>
      </w:r>
      <w:r w:rsidRPr="00813D19">
        <w:rPr>
          <w:lang w:val="en-US"/>
        </w:rPr>
        <w:t xml:space="preserve">the reception of </w:t>
      </w:r>
      <w:r w:rsidR="008F1EA6" w:rsidRPr="00813D19">
        <w:rPr>
          <w:lang w:val="en-US"/>
        </w:rPr>
        <w:t xml:space="preserve">Azerbaijan’s </w:t>
      </w:r>
      <w:r w:rsidR="00C52C53" w:rsidRPr="00813D19">
        <w:rPr>
          <w:lang w:val="en-US"/>
        </w:rPr>
        <w:t>report and the paragraph</w:t>
      </w:r>
      <w:r w:rsidRPr="00813D19">
        <w:rPr>
          <w:lang w:val="en-US"/>
        </w:rPr>
        <w:t>s</w:t>
      </w:r>
      <w:r w:rsidR="00C52C53" w:rsidRPr="00813D19">
        <w:rPr>
          <w:lang w:val="en-US"/>
        </w:rPr>
        <w:t xml:space="preserve"> therein</w:t>
      </w:r>
      <w:r w:rsidR="008F1EA6" w:rsidRPr="00813D19">
        <w:rPr>
          <w:lang w:val="en-US"/>
        </w:rPr>
        <w:t>,</w:t>
      </w:r>
      <w:r w:rsidR="00C52C53" w:rsidRPr="00813D19">
        <w:rPr>
          <w:lang w:val="en-US"/>
        </w:rPr>
        <w:t xml:space="preserve"> </w:t>
      </w:r>
      <w:r w:rsidRPr="00813D19">
        <w:rPr>
          <w:lang w:val="en-US"/>
        </w:rPr>
        <w:t xml:space="preserve">as it wished to hear its </w:t>
      </w:r>
      <w:r w:rsidR="00C52C53" w:rsidRPr="00813D19">
        <w:rPr>
          <w:lang w:val="en-US"/>
        </w:rPr>
        <w:t xml:space="preserve">position regarding the reporting system, </w:t>
      </w:r>
      <w:r w:rsidR="00CC124A" w:rsidRPr="00813D19">
        <w:rPr>
          <w:lang w:val="en-US"/>
        </w:rPr>
        <w:t xml:space="preserve">i.e. </w:t>
      </w:r>
      <w:r w:rsidR="00C52C53" w:rsidRPr="00813D19">
        <w:rPr>
          <w:lang w:val="en-US"/>
        </w:rPr>
        <w:t xml:space="preserve">how </w:t>
      </w:r>
      <w:r w:rsidR="008F1EA6" w:rsidRPr="00813D19">
        <w:rPr>
          <w:lang w:val="en-US"/>
        </w:rPr>
        <w:t>it</w:t>
      </w:r>
      <w:r w:rsidRPr="00813D19">
        <w:rPr>
          <w:lang w:val="en-US"/>
        </w:rPr>
        <w:t xml:space="preserve"> is </w:t>
      </w:r>
      <w:r w:rsidR="00C52C53" w:rsidRPr="00813D19">
        <w:rPr>
          <w:lang w:val="en-US"/>
        </w:rPr>
        <w:t xml:space="preserve">done and </w:t>
      </w:r>
      <w:r w:rsidRPr="00813D19">
        <w:rPr>
          <w:lang w:val="en-US"/>
        </w:rPr>
        <w:t xml:space="preserve">the </w:t>
      </w:r>
      <w:r w:rsidR="00C52C53" w:rsidRPr="00813D19">
        <w:rPr>
          <w:lang w:val="en-US"/>
        </w:rPr>
        <w:t>kind of language considered</w:t>
      </w:r>
      <w:r w:rsidR="00A7381F">
        <w:rPr>
          <w:lang w:val="en-US"/>
        </w:rPr>
        <w:t xml:space="preserve"> to be</w:t>
      </w:r>
      <w:r w:rsidR="00087166">
        <w:rPr>
          <w:lang w:val="en-US"/>
        </w:rPr>
        <w:t xml:space="preserve"> irrelevant or relevant.</w:t>
      </w:r>
    </w:p>
    <w:p w14:paraId="35AE0BF5" w14:textId="37EF9D03" w:rsidR="003547CD" w:rsidRPr="00813D19" w:rsidRDefault="003547CD" w:rsidP="00505442">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DA599C" w:rsidRPr="00813D19">
        <w:rPr>
          <w:lang w:val="en-US"/>
        </w:rPr>
        <w:t xml:space="preserve">noted a </w:t>
      </w:r>
      <w:r w:rsidR="00087166">
        <w:rPr>
          <w:lang w:val="en-US"/>
        </w:rPr>
        <w:t>point of order from Azerbaijan.</w:t>
      </w:r>
    </w:p>
    <w:p w14:paraId="1A79EE18" w14:textId="0FAA5042" w:rsidR="003547CD" w:rsidRPr="00813D19" w:rsidRDefault="003547CD" w:rsidP="00505442">
      <w:pPr>
        <w:pStyle w:val="Orateurengris"/>
        <w:widowControl w:val="0"/>
        <w:spacing w:before="120"/>
        <w:ind w:left="709" w:hanging="709"/>
        <w:rPr>
          <w:lang w:val="en-US"/>
        </w:rPr>
      </w:pPr>
      <w:r w:rsidRPr="00813D19">
        <w:rPr>
          <w:lang w:val="en-US"/>
        </w:rPr>
        <w:t xml:space="preserve">The </w:t>
      </w:r>
      <w:r w:rsidRPr="00813D19">
        <w:rPr>
          <w:b/>
          <w:lang w:val="en-US"/>
        </w:rPr>
        <w:t>delegation of Azerbaijan</w:t>
      </w:r>
      <w:r w:rsidRPr="00813D19">
        <w:rPr>
          <w:lang w:val="en-US"/>
        </w:rPr>
        <w:t xml:space="preserve"> </w:t>
      </w:r>
      <w:r w:rsidR="00673CDB" w:rsidRPr="00813D19">
        <w:rPr>
          <w:lang w:val="en-US"/>
        </w:rPr>
        <w:t xml:space="preserve">reminded the Committee </w:t>
      </w:r>
      <w:r w:rsidR="00DA599C" w:rsidRPr="00813D19">
        <w:rPr>
          <w:lang w:val="en-US"/>
        </w:rPr>
        <w:t>that the debate was closed</w:t>
      </w:r>
      <w:r w:rsidR="00673CDB" w:rsidRPr="00813D19">
        <w:rPr>
          <w:lang w:val="en-US"/>
        </w:rPr>
        <w:t xml:space="preserve"> and thus t</w:t>
      </w:r>
      <w:r w:rsidR="00C52C53" w:rsidRPr="00813D19">
        <w:rPr>
          <w:lang w:val="en-US"/>
        </w:rPr>
        <w:t xml:space="preserve">here </w:t>
      </w:r>
      <w:r w:rsidR="00673CDB" w:rsidRPr="00813D19">
        <w:rPr>
          <w:lang w:val="en-US"/>
        </w:rPr>
        <w:t xml:space="preserve">was </w:t>
      </w:r>
      <w:r w:rsidR="00C52C53" w:rsidRPr="00813D19">
        <w:rPr>
          <w:lang w:val="en-US"/>
        </w:rPr>
        <w:t xml:space="preserve">no </w:t>
      </w:r>
      <w:r w:rsidR="00673CDB" w:rsidRPr="00813D19">
        <w:rPr>
          <w:lang w:val="en-US"/>
        </w:rPr>
        <w:t xml:space="preserve">opportunity </w:t>
      </w:r>
      <w:r w:rsidR="00C52C53" w:rsidRPr="00813D19">
        <w:rPr>
          <w:lang w:val="en-US"/>
        </w:rPr>
        <w:t xml:space="preserve">to ask questions </w:t>
      </w:r>
      <w:r w:rsidR="00673CDB" w:rsidRPr="00813D19">
        <w:rPr>
          <w:lang w:val="en-US"/>
        </w:rPr>
        <w:t xml:space="preserve">or </w:t>
      </w:r>
      <w:r w:rsidR="00C52C53" w:rsidRPr="00813D19">
        <w:rPr>
          <w:lang w:val="en-US"/>
        </w:rPr>
        <w:t xml:space="preserve">seek answers. </w:t>
      </w:r>
      <w:r w:rsidR="009053C2" w:rsidRPr="00813D19">
        <w:rPr>
          <w:lang w:val="en-US"/>
        </w:rPr>
        <w:t xml:space="preserve">It thus proposed that the </w:t>
      </w:r>
      <w:r w:rsidR="00C52C53" w:rsidRPr="00813D19">
        <w:rPr>
          <w:lang w:val="en-US"/>
        </w:rPr>
        <w:t xml:space="preserve">amendments presented by Armenia </w:t>
      </w:r>
      <w:r w:rsidR="009053C2" w:rsidRPr="00813D19">
        <w:rPr>
          <w:lang w:val="en-US"/>
        </w:rPr>
        <w:t xml:space="preserve">be put </w:t>
      </w:r>
      <w:r w:rsidR="00C52C53" w:rsidRPr="00813D19">
        <w:rPr>
          <w:lang w:val="en-US"/>
        </w:rPr>
        <w:t xml:space="preserve">to the Committee </w:t>
      </w:r>
      <w:r w:rsidR="00673CDB" w:rsidRPr="00813D19">
        <w:rPr>
          <w:lang w:val="en-US"/>
        </w:rPr>
        <w:t xml:space="preserve">for its consideration </w:t>
      </w:r>
      <w:r w:rsidR="00C52C53" w:rsidRPr="00813D19">
        <w:rPr>
          <w:lang w:val="en-US"/>
        </w:rPr>
        <w:t xml:space="preserve">without </w:t>
      </w:r>
      <w:r w:rsidR="00673CDB" w:rsidRPr="00813D19">
        <w:rPr>
          <w:lang w:val="en-US"/>
        </w:rPr>
        <w:t>a debate, which would then be supported or not by the Committee Members.</w:t>
      </w:r>
    </w:p>
    <w:p w14:paraId="7FC93C64" w14:textId="78C84F32" w:rsidR="003547CD" w:rsidRPr="00813D19" w:rsidRDefault="003547CD" w:rsidP="00505442">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CC124A" w:rsidRPr="00813D19">
        <w:rPr>
          <w:lang w:val="en-US"/>
        </w:rPr>
        <w:t xml:space="preserve">confirmed </w:t>
      </w:r>
      <w:r w:rsidR="00A7381F">
        <w:rPr>
          <w:lang w:val="en-US"/>
        </w:rPr>
        <w:t xml:space="preserve">the </w:t>
      </w:r>
      <w:r w:rsidR="00CC124A" w:rsidRPr="00813D19">
        <w:rPr>
          <w:lang w:val="en-US"/>
        </w:rPr>
        <w:t xml:space="preserve">closure of </w:t>
      </w:r>
      <w:r w:rsidR="00C52C53" w:rsidRPr="00813D19">
        <w:rPr>
          <w:lang w:val="en-US"/>
        </w:rPr>
        <w:t>the debate</w:t>
      </w:r>
      <w:r w:rsidR="007B3A92" w:rsidRPr="00813D19">
        <w:rPr>
          <w:lang w:val="en-US"/>
        </w:rPr>
        <w:t>, b</w:t>
      </w:r>
      <w:r w:rsidR="00C52C53" w:rsidRPr="00813D19">
        <w:rPr>
          <w:lang w:val="en-US"/>
        </w:rPr>
        <w:t xml:space="preserve">ut if there </w:t>
      </w:r>
      <w:r w:rsidR="007B3A92" w:rsidRPr="00813D19">
        <w:rPr>
          <w:lang w:val="en-US"/>
        </w:rPr>
        <w:t xml:space="preserve">was </w:t>
      </w:r>
      <w:r w:rsidR="00C52C53" w:rsidRPr="00813D19">
        <w:rPr>
          <w:lang w:val="en-US"/>
        </w:rPr>
        <w:t xml:space="preserve">any Member </w:t>
      </w:r>
      <w:r w:rsidR="007B3A92" w:rsidRPr="00813D19">
        <w:rPr>
          <w:lang w:val="en-US"/>
        </w:rPr>
        <w:t xml:space="preserve">objecting </w:t>
      </w:r>
      <w:r w:rsidR="00C52C53" w:rsidRPr="00813D19">
        <w:rPr>
          <w:lang w:val="en-US"/>
        </w:rPr>
        <w:t xml:space="preserve">to </w:t>
      </w:r>
      <w:r w:rsidR="007B3A92" w:rsidRPr="00813D19">
        <w:rPr>
          <w:lang w:val="en-US"/>
        </w:rPr>
        <w:t xml:space="preserve">a </w:t>
      </w:r>
      <w:r w:rsidR="00C52C53" w:rsidRPr="00813D19">
        <w:rPr>
          <w:lang w:val="en-US"/>
        </w:rPr>
        <w:t xml:space="preserve">clarification </w:t>
      </w:r>
      <w:r w:rsidR="007B3A92" w:rsidRPr="00813D19">
        <w:rPr>
          <w:lang w:val="en-US"/>
        </w:rPr>
        <w:t xml:space="preserve">by </w:t>
      </w:r>
      <w:r w:rsidR="00C52C53" w:rsidRPr="00813D19">
        <w:rPr>
          <w:lang w:val="en-US"/>
        </w:rPr>
        <w:t xml:space="preserve">the Secretariat </w:t>
      </w:r>
      <w:r w:rsidR="007B3A92" w:rsidRPr="00813D19">
        <w:rPr>
          <w:lang w:val="en-US"/>
        </w:rPr>
        <w:t xml:space="preserve">then he could not </w:t>
      </w:r>
      <w:r w:rsidR="00C52C53" w:rsidRPr="00813D19">
        <w:rPr>
          <w:lang w:val="en-US"/>
        </w:rPr>
        <w:t xml:space="preserve">go against the Rules. </w:t>
      </w:r>
      <w:r w:rsidR="007B3A92" w:rsidRPr="00813D19">
        <w:rPr>
          <w:lang w:val="en-US"/>
        </w:rPr>
        <w:t xml:space="preserve">However, </w:t>
      </w:r>
      <w:r w:rsidR="00CC124A" w:rsidRPr="00813D19">
        <w:rPr>
          <w:lang w:val="en-US"/>
        </w:rPr>
        <w:t xml:space="preserve">he </w:t>
      </w:r>
      <w:r w:rsidR="007B3A92" w:rsidRPr="00813D19">
        <w:rPr>
          <w:lang w:val="en-US"/>
        </w:rPr>
        <w:t xml:space="preserve">noted </w:t>
      </w:r>
      <w:r w:rsidR="00C52C53" w:rsidRPr="00813D19">
        <w:rPr>
          <w:lang w:val="en-US"/>
        </w:rPr>
        <w:t xml:space="preserve">the presence of another motion from Palestine </w:t>
      </w:r>
      <w:r w:rsidR="00CC124A" w:rsidRPr="00813D19">
        <w:rPr>
          <w:lang w:val="en-US"/>
        </w:rPr>
        <w:t>to adjourn</w:t>
      </w:r>
      <w:r w:rsidR="00C52C53" w:rsidRPr="00813D19">
        <w:rPr>
          <w:lang w:val="en-US"/>
        </w:rPr>
        <w:t xml:space="preserve"> the debate on this issue.</w:t>
      </w:r>
    </w:p>
    <w:p w14:paraId="57468358" w14:textId="0B26A7E5" w:rsidR="00D057E3" w:rsidRPr="00813D19" w:rsidRDefault="00D057E3" w:rsidP="00505442">
      <w:pPr>
        <w:pStyle w:val="Orateurengris"/>
        <w:widowControl w:val="0"/>
        <w:spacing w:before="120"/>
        <w:ind w:left="709" w:hanging="709"/>
        <w:rPr>
          <w:lang w:val="en-US"/>
        </w:rPr>
      </w:pPr>
      <w:r w:rsidRPr="00813D19">
        <w:rPr>
          <w:lang w:val="en-US"/>
        </w:rPr>
        <w:t xml:space="preserve">The </w:t>
      </w:r>
      <w:r w:rsidRPr="00813D19">
        <w:rPr>
          <w:b/>
          <w:lang w:val="en-US"/>
        </w:rPr>
        <w:t>delegation of Palestine</w:t>
      </w:r>
      <w:r w:rsidR="00C52C53" w:rsidRPr="00813D19">
        <w:rPr>
          <w:b/>
          <w:lang w:val="en-US"/>
        </w:rPr>
        <w:t xml:space="preserve"> </w:t>
      </w:r>
      <w:r w:rsidR="007B3A92" w:rsidRPr="00813D19">
        <w:rPr>
          <w:lang w:val="en-US"/>
        </w:rPr>
        <w:t>remarked that</w:t>
      </w:r>
      <w:r w:rsidR="007B3A92" w:rsidRPr="00813D19">
        <w:rPr>
          <w:b/>
          <w:lang w:val="en-US"/>
        </w:rPr>
        <w:t xml:space="preserve"> </w:t>
      </w:r>
      <w:r w:rsidR="007B3A92" w:rsidRPr="00813D19">
        <w:rPr>
          <w:bCs/>
          <w:lang w:val="en-US"/>
        </w:rPr>
        <w:t xml:space="preserve">it seemed unlikely that a </w:t>
      </w:r>
      <w:r w:rsidR="00C52C53" w:rsidRPr="00813D19">
        <w:rPr>
          <w:bCs/>
          <w:lang w:val="en-US"/>
        </w:rPr>
        <w:t xml:space="preserve">discussion </w:t>
      </w:r>
      <w:r w:rsidR="007B3A92" w:rsidRPr="00813D19">
        <w:rPr>
          <w:bCs/>
          <w:lang w:val="en-US"/>
        </w:rPr>
        <w:t xml:space="preserve">or </w:t>
      </w:r>
      <w:r w:rsidR="00C52C53" w:rsidRPr="00813D19">
        <w:rPr>
          <w:bCs/>
          <w:lang w:val="en-US"/>
        </w:rPr>
        <w:t xml:space="preserve">mediation between the two parties </w:t>
      </w:r>
      <w:r w:rsidR="007B3A92" w:rsidRPr="00813D19">
        <w:rPr>
          <w:bCs/>
          <w:lang w:val="en-US"/>
        </w:rPr>
        <w:t xml:space="preserve">would be resolved, even with additional time. Thus, for the sake of saving time, and to avoid proceeding with the draft decision on a </w:t>
      </w:r>
      <w:r w:rsidR="00C52C53" w:rsidRPr="00813D19">
        <w:rPr>
          <w:bCs/>
          <w:lang w:val="en-US"/>
        </w:rPr>
        <w:t xml:space="preserve">paragraph-by-paragraph </w:t>
      </w:r>
      <w:r w:rsidR="007B3A92" w:rsidRPr="00813D19">
        <w:rPr>
          <w:bCs/>
          <w:lang w:val="en-US"/>
        </w:rPr>
        <w:t xml:space="preserve">basis, the delegation </w:t>
      </w:r>
      <w:r w:rsidR="00C52C53" w:rsidRPr="00813D19">
        <w:rPr>
          <w:bCs/>
          <w:lang w:val="en-US"/>
        </w:rPr>
        <w:t>request</w:t>
      </w:r>
      <w:r w:rsidR="007B3A92" w:rsidRPr="00813D19">
        <w:rPr>
          <w:bCs/>
          <w:lang w:val="en-US"/>
        </w:rPr>
        <w:t>ed</w:t>
      </w:r>
      <w:r w:rsidR="00C52C53" w:rsidRPr="00813D19">
        <w:rPr>
          <w:bCs/>
          <w:lang w:val="en-US"/>
        </w:rPr>
        <w:t xml:space="preserve"> a secret ballot on the adoption of the draft decision</w:t>
      </w:r>
      <w:r w:rsidR="007B3A92" w:rsidRPr="00813D19">
        <w:rPr>
          <w:bCs/>
          <w:lang w:val="en-US"/>
        </w:rPr>
        <w:t>, for and against th</w:t>
      </w:r>
      <w:r w:rsidR="00087166">
        <w:rPr>
          <w:bCs/>
          <w:lang w:val="en-US"/>
        </w:rPr>
        <w:t>e amendments in their entirety.</w:t>
      </w:r>
    </w:p>
    <w:p w14:paraId="68F20862" w14:textId="5E9B0142" w:rsidR="007B3A92" w:rsidRPr="00813D19" w:rsidRDefault="007B3A92" w:rsidP="00505442">
      <w:pPr>
        <w:pStyle w:val="Orateurengris"/>
        <w:widowControl w:val="0"/>
        <w:spacing w:before="120"/>
        <w:ind w:left="709" w:hanging="709"/>
        <w:rPr>
          <w:lang w:val="en-US"/>
        </w:rPr>
      </w:pPr>
      <w:r w:rsidRPr="00813D19">
        <w:rPr>
          <w:bCs/>
          <w:lang w:val="en-US"/>
        </w:rPr>
        <w:t xml:space="preserve">The </w:t>
      </w:r>
      <w:r w:rsidRPr="00813D19">
        <w:rPr>
          <w:b/>
          <w:bCs/>
          <w:lang w:val="en-US"/>
        </w:rPr>
        <w:t>Chairperson</w:t>
      </w:r>
      <w:r w:rsidRPr="00813D19">
        <w:rPr>
          <w:bCs/>
          <w:lang w:val="en-US"/>
        </w:rPr>
        <w:t xml:space="preserve"> noted a formal motion by Palestine, and a point of order from </w:t>
      </w:r>
      <w:r w:rsidR="00087166">
        <w:rPr>
          <w:bCs/>
          <w:lang w:val="en-US"/>
        </w:rPr>
        <w:t>Azerbaijan.</w:t>
      </w:r>
    </w:p>
    <w:p w14:paraId="41E94733" w14:textId="73B1147B" w:rsidR="00911A3F" w:rsidRPr="00813D19" w:rsidRDefault="00911A3F" w:rsidP="00505442">
      <w:pPr>
        <w:pStyle w:val="Orateurengris"/>
        <w:widowControl w:val="0"/>
        <w:spacing w:before="120"/>
        <w:ind w:left="709" w:hanging="709"/>
        <w:rPr>
          <w:lang w:val="en-US"/>
        </w:rPr>
      </w:pPr>
      <w:r w:rsidRPr="00813D19">
        <w:rPr>
          <w:lang w:val="en-US"/>
        </w:rPr>
        <w:t xml:space="preserve">The </w:t>
      </w:r>
      <w:r w:rsidRPr="00813D19">
        <w:rPr>
          <w:b/>
          <w:lang w:val="en-US"/>
        </w:rPr>
        <w:t>delegation of Azerbaijan</w:t>
      </w:r>
      <w:r w:rsidRPr="00813D19">
        <w:rPr>
          <w:lang w:val="en-US"/>
        </w:rPr>
        <w:t xml:space="preserve"> </w:t>
      </w:r>
      <w:r w:rsidR="00D57952" w:rsidRPr="00813D19">
        <w:rPr>
          <w:lang w:val="en-US"/>
        </w:rPr>
        <w:t>appreciate</w:t>
      </w:r>
      <w:r w:rsidR="007B3A92" w:rsidRPr="00813D19">
        <w:rPr>
          <w:lang w:val="en-US"/>
        </w:rPr>
        <w:t>d</w:t>
      </w:r>
      <w:r w:rsidR="00D57952" w:rsidRPr="00813D19">
        <w:rPr>
          <w:lang w:val="en-US"/>
        </w:rPr>
        <w:t xml:space="preserve"> the efforts of </w:t>
      </w:r>
      <w:r w:rsidR="007B3A92" w:rsidRPr="00813D19">
        <w:rPr>
          <w:lang w:val="en-US"/>
        </w:rPr>
        <w:t>Palestine</w:t>
      </w:r>
      <w:r w:rsidR="00CC124A" w:rsidRPr="00813D19">
        <w:rPr>
          <w:lang w:val="en-US"/>
        </w:rPr>
        <w:t>,</w:t>
      </w:r>
      <w:r w:rsidR="007B3A92" w:rsidRPr="00813D19">
        <w:rPr>
          <w:lang w:val="en-US"/>
        </w:rPr>
        <w:t xml:space="preserve"> but it did not </w:t>
      </w:r>
      <w:r w:rsidR="00D57952" w:rsidRPr="00813D19">
        <w:rPr>
          <w:lang w:val="en-US"/>
        </w:rPr>
        <w:t>se</w:t>
      </w:r>
      <w:r w:rsidR="007B3A92" w:rsidRPr="00813D19">
        <w:rPr>
          <w:lang w:val="en-US"/>
        </w:rPr>
        <w:t>e</w:t>
      </w:r>
      <w:r w:rsidR="00D57952" w:rsidRPr="00813D19">
        <w:rPr>
          <w:lang w:val="en-US"/>
        </w:rPr>
        <w:t xml:space="preserve"> the </w:t>
      </w:r>
      <w:r w:rsidR="00CC124A" w:rsidRPr="00813D19">
        <w:rPr>
          <w:lang w:val="en-US"/>
        </w:rPr>
        <w:t xml:space="preserve">point </w:t>
      </w:r>
      <w:r w:rsidR="00D57952" w:rsidRPr="00813D19">
        <w:rPr>
          <w:lang w:val="en-US"/>
        </w:rPr>
        <w:t xml:space="preserve">of having a secret ballot </w:t>
      </w:r>
      <w:r w:rsidR="007B3A92" w:rsidRPr="00813D19">
        <w:rPr>
          <w:lang w:val="en-US"/>
        </w:rPr>
        <w:t xml:space="preserve">given that </w:t>
      </w:r>
      <w:r w:rsidR="00D57952" w:rsidRPr="00813D19">
        <w:rPr>
          <w:lang w:val="en-US"/>
        </w:rPr>
        <w:t xml:space="preserve">a clear procedure established </w:t>
      </w:r>
      <w:r w:rsidR="007B3A92" w:rsidRPr="00813D19">
        <w:rPr>
          <w:lang w:val="en-US"/>
        </w:rPr>
        <w:t xml:space="preserve">by the </w:t>
      </w:r>
      <w:r w:rsidR="00D57952" w:rsidRPr="00813D19">
        <w:rPr>
          <w:lang w:val="en-US"/>
        </w:rPr>
        <w:t xml:space="preserve">Committee </w:t>
      </w:r>
      <w:r w:rsidR="00CC124A" w:rsidRPr="00813D19">
        <w:rPr>
          <w:lang w:val="en-US"/>
        </w:rPr>
        <w:t xml:space="preserve">already existed </w:t>
      </w:r>
      <w:r w:rsidR="007B3A92" w:rsidRPr="00813D19">
        <w:rPr>
          <w:lang w:val="en-US"/>
        </w:rPr>
        <w:t xml:space="preserve">regarding </w:t>
      </w:r>
      <w:r w:rsidR="00CC124A" w:rsidRPr="00813D19">
        <w:rPr>
          <w:lang w:val="en-US"/>
        </w:rPr>
        <w:t xml:space="preserve">proposed </w:t>
      </w:r>
      <w:r w:rsidR="00D57952" w:rsidRPr="00813D19">
        <w:rPr>
          <w:lang w:val="en-US"/>
        </w:rPr>
        <w:t>amendments</w:t>
      </w:r>
      <w:r w:rsidR="00CC124A" w:rsidRPr="00813D19">
        <w:rPr>
          <w:lang w:val="en-US"/>
        </w:rPr>
        <w:t>. If</w:t>
      </w:r>
      <w:r w:rsidR="007B3A92" w:rsidRPr="00813D19">
        <w:rPr>
          <w:lang w:val="en-US"/>
        </w:rPr>
        <w:t xml:space="preserve"> amendments receive</w:t>
      </w:r>
      <w:r w:rsidR="00CC124A" w:rsidRPr="00813D19">
        <w:rPr>
          <w:lang w:val="en-US"/>
        </w:rPr>
        <w:t>d</w:t>
      </w:r>
      <w:r w:rsidR="007B3A92" w:rsidRPr="00813D19">
        <w:rPr>
          <w:lang w:val="en-US"/>
        </w:rPr>
        <w:t xml:space="preserve"> </w:t>
      </w:r>
      <w:r w:rsidR="00D57952" w:rsidRPr="00813D19">
        <w:rPr>
          <w:lang w:val="en-US"/>
        </w:rPr>
        <w:t xml:space="preserve">support </w:t>
      </w:r>
      <w:r w:rsidR="007B3A92" w:rsidRPr="00813D19">
        <w:rPr>
          <w:lang w:val="en-US"/>
        </w:rPr>
        <w:t xml:space="preserve">from </w:t>
      </w:r>
      <w:r w:rsidR="00D57952" w:rsidRPr="00813D19">
        <w:rPr>
          <w:lang w:val="en-US"/>
        </w:rPr>
        <w:t>the Committee</w:t>
      </w:r>
      <w:r w:rsidR="007B3A92" w:rsidRPr="00813D19">
        <w:rPr>
          <w:lang w:val="en-US"/>
        </w:rPr>
        <w:t>,</w:t>
      </w:r>
      <w:r w:rsidR="00D57952" w:rsidRPr="00813D19">
        <w:rPr>
          <w:lang w:val="en-US"/>
        </w:rPr>
        <w:t xml:space="preserve"> then </w:t>
      </w:r>
      <w:r w:rsidR="007B3A92" w:rsidRPr="00813D19">
        <w:rPr>
          <w:lang w:val="en-US"/>
        </w:rPr>
        <w:t xml:space="preserve">they </w:t>
      </w:r>
      <w:r w:rsidR="00A7381F">
        <w:rPr>
          <w:lang w:val="en-US"/>
        </w:rPr>
        <w:t>were</w:t>
      </w:r>
      <w:r w:rsidR="00A7381F" w:rsidRPr="00813D19">
        <w:rPr>
          <w:lang w:val="en-US"/>
        </w:rPr>
        <w:t xml:space="preserve"> </w:t>
      </w:r>
      <w:r w:rsidR="007B3A92" w:rsidRPr="00813D19">
        <w:rPr>
          <w:lang w:val="en-US"/>
        </w:rPr>
        <w:t xml:space="preserve">accepted and adopted, </w:t>
      </w:r>
      <w:r w:rsidR="00CC124A" w:rsidRPr="00813D19">
        <w:rPr>
          <w:lang w:val="en-US"/>
        </w:rPr>
        <w:t xml:space="preserve">or </w:t>
      </w:r>
      <w:r w:rsidR="007B3A92" w:rsidRPr="00813D19">
        <w:rPr>
          <w:lang w:val="en-US"/>
        </w:rPr>
        <w:t xml:space="preserve">if no support </w:t>
      </w:r>
      <w:r w:rsidR="00A7381F">
        <w:rPr>
          <w:lang w:val="en-US"/>
        </w:rPr>
        <w:t>was</w:t>
      </w:r>
      <w:r w:rsidR="00A7381F" w:rsidRPr="00813D19">
        <w:rPr>
          <w:lang w:val="en-US"/>
        </w:rPr>
        <w:t xml:space="preserve"> </w:t>
      </w:r>
      <w:r w:rsidR="007B3A92" w:rsidRPr="00813D19">
        <w:rPr>
          <w:lang w:val="en-US"/>
        </w:rPr>
        <w:t xml:space="preserve">received </w:t>
      </w:r>
      <w:r w:rsidR="00CC124A" w:rsidRPr="00813D19">
        <w:rPr>
          <w:lang w:val="en-US"/>
        </w:rPr>
        <w:t xml:space="preserve">then </w:t>
      </w:r>
      <w:r w:rsidR="007B3A92" w:rsidRPr="00813D19">
        <w:rPr>
          <w:lang w:val="en-US"/>
        </w:rPr>
        <w:t xml:space="preserve">they </w:t>
      </w:r>
      <w:r w:rsidR="00A7381F">
        <w:rPr>
          <w:lang w:val="en-US"/>
        </w:rPr>
        <w:t>were</w:t>
      </w:r>
      <w:r w:rsidR="00A7381F" w:rsidRPr="00813D19">
        <w:rPr>
          <w:lang w:val="en-US"/>
        </w:rPr>
        <w:t xml:space="preserve"> </w:t>
      </w:r>
      <w:r w:rsidR="007B3A92" w:rsidRPr="00813D19">
        <w:rPr>
          <w:lang w:val="en-US"/>
        </w:rPr>
        <w:t xml:space="preserve">rejected. Thus, there was no need to  complicate matters by going </w:t>
      </w:r>
      <w:r w:rsidR="00D57952" w:rsidRPr="00813D19">
        <w:rPr>
          <w:lang w:val="en-US"/>
        </w:rPr>
        <w:t xml:space="preserve">to </w:t>
      </w:r>
      <w:r w:rsidR="00087166">
        <w:rPr>
          <w:lang w:val="en-US"/>
        </w:rPr>
        <w:t>a secret ballot or voting.</w:t>
      </w:r>
    </w:p>
    <w:p w14:paraId="5708A156" w14:textId="6B6BB4E8" w:rsidR="00911A3F" w:rsidRPr="00813D19" w:rsidRDefault="00CC124A" w:rsidP="00505442">
      <w:pPr>
        <w:pStyle w:val="Orateurengris"/>
        <w:widowControl w:val="0"/>
        <w:spacing w:before="120"/>
        <w:ind w:left="709" w:hanging="709"/>
        <w:rPr>
          <w:lang w:val="en-US"/>
        </w:rPr>
      </w:pPr>
      <w:r w:rsidRPr="00813D19">
        <w:rPr>
          <w:lang w:val="en-US"/>
        </w:rPr>
        <w:t>T</w:t>
      </w:r>
      <w:r w:rsidR="00911A3F" w:rsidRPr="00813D19">
        <w:rPr>
          <w:lang w:val="en-US"/>
        </w:rPr>
        <w:t xml:space="preserve">he </w:t>
      </w:r>
      <w:r w:rsidR="00911A3F" w:rsidRPr="00813D19">
        <w:rPr>
          <w:b/>
          <w:lang w:val="en-US"/>
        </w:rPr>
        <w:t>delegation of Kuwait</w:t>
      </w:r>
      <w:r w:rsidR="00911A3F" w:rsidRPr="00813D19">
        <w:rPr>
          <w:lang w:val="en-US"/>
        </w:rPr>
        <w:t xml:space="preserve"> </w:t>
      </w:r>
      <w:r w:rsidR="00830205" w:rsidRPr="00813D19">
        <w:rPr>
          <w:lang w:val="en-US"/>
        </w:rPr>
        <w:t xml:space="preserve">noted the heated debate, adding that the Committee appeared to </w:t>
      </w:r>
      <w:r w:rsidR="00A7381F">
        <w:rPr>
          <w:lang w:val="en-US"/>
        </w:rPr>
        <w:t xml:space="preserve">be </w:t>
      </w:r>
      <w:r w:rsidR="00830205" w:rsidRPr="00813D19">
        <w:rPr>
          <w:lang w:val="en-US"/>
        </w:rPr>
        <w:t>complicat</w:t>
      </w:r>
      <w:r w:rsidR="00A7381F">
        <w:rPr>
          <w:lang w:val="en-US"/>
        </w:rPr>
        <w:t>ing</w:t>
      </w:r>
      <w:r w:rsidR="00D57952" w:rsidRPr="00813D19">
        <w:rPr>
          <w:lang w:val="en-US"/>
        </w:rPr>
        <w:t xml:space="preserve"> matters. </w:t>
      </w:r>
      <w:r w:rsidR="00830205" w:rsidRPr="00813D19">
        <w:rPr>
          <w:lang w:val="en-US"/>
        </w:rPr>
        <w:t>Rule 32</w:t>
      </w:r>
      <w:r w:rsidR="00D57952" w:rsidRPr="00813D19">
        <w:rPr>
          <w:lang w:val="en-US"/>
        </w:rPr>
        <w:t xml:space="preserve"> </w:t>
      </w:r>
      <w:r w:rsidR="00830205" w:rsidRPr="00813D19">
        <w:rPr>
          <w:lang w:val="en-US"/>
        </w:rPr>
        <w:t xml:space="preserve">had been approved and the </w:t>
      </w:r>
      <w:r w:rsidR="00D57952" w:rsidRPr="00813D19">
        <w:rPr>
          <w:lang w:val="en-US"/>
        </w:rPr>
        <w:t xml:space="preserve">debate </w:t>
      </w:r>
      <w:r w:rsidR="00830205" w:rsidRPr="00813D19">
        <w:rPr>
          <w:lang w:val="en-US"/>
        </w:rPr>
        <w:t xml:space="preserve">was </w:t>
      </w:r>
      <w:r w:rsidR="00D57952" w:rsidRPr="00813D19">
        <w:rPr>
          <w:lang w:val="en-US"/>
        </w:rPr>
        <w:t xml:space="preserve">closed. </w:t>
      </w:r>
      <w:r w:rsidR="00830205" w:rsidRPr="00813D19">
        <w:rPr>
          <w:lang w:val="en-US"/>
        </w:rPr>
        <w:t xml:space="preserve">A </w:t>
      </w:r>
      <w:r w:rsidR="00D57952" w:rsidRPr="00813D19">
        <w:rPr>
          <w:lang w:val="en-US"/>
        </w:rPr>
        <w:t xml:space="preserve">report </w:t>
      </w:r>
      <w:r w:rsidR="00830205" w:rsidRPr="00813D19">
        <w:rPr>
          <w:lang w:val="en-US"/>
        </w:rPr>
        <w:t xml:space="preserve">had </w:t>
      </w:r>
      <w:r w:rsidR="00D57952" w:rsidRPr="00813D19">
        <w:rPr>
          <w:lang w:val="en-US"/>
        </w:rPr>
        <w:t>been submitted by a State Party</w:t>
      </w:r>
      <w:r w:rsidRPr="00813D19">
        <w:rPr>
          <w:lang w:val="en-US"/>
        </w:rPr>
        <w:t>,</w:t>
      </w:r>
      <w:r w:rsidR="00D57952" w:rsidRPr="00813D19">
        <w:rPr>
          <w:lang w:val="en-US"/>
        </w:rPr>
        <w:t xml:space="preserve"> </w:t>
      </w:r>
      <w:r w:rsidR="00830205" w:rsidRPr="00813D19">
        <w:rPr>
          <w:lang w:val="en-US"/>
        </w:rPr>
        <w:t xml:space="preserve">with </w:t>
      </w:r>
      <w:r w:rsidR="00D57952" w:rsidRPr="00813D19">
        <w:rPr>
          <w:lang w:val="en-US"/>
        </w:rPr>
        <w:t>draft amendment</w:t>
      </w:r>
      <w:r w:rsidR="00830205" w:rsidRPr="00813D19">
        <w:rPr>
          <w:lang w:val="en-US"/>
        </w:rPr>
        <w:t>s</w:t>
      </w:r>
      <w:r w:rsidR="00D57952" w:rsidRPr="00813D19">
        <w:rPr>
          <w:lang w:val="en-US"/>
        </w:rPr>
        <w:t xml:space="preserve"> </w:t>
      </w:r>
      <w:r w:rsidR="00830205" w:rsidRPr="00813D19">
        <w:rPr>
          <w:lang w:val="en-US"/>
        </w:rPr>
        <w:t xml:space="preserve">presented by </w:t>
      </w:r>
      <w:r w:rsidR="00D57952" w:rsidRPr="00813D19">
        <w:rPr>
          <w:lang w:val="en-US"/>
        </w:rPr>
        <w:t xml:space="preserve">another State Party. </w:t>
      </w:r>
      <w:r w:rsidR="00830205" w:rsidRPr="00813D19">
        <w:rPr>
          <w:lang w:val="en-US"/>
        </w:rPr>
        <w:t xml:space="preserve">The Committee therefore had to make a </w:t>
      </w:r>
      <w:r w:rsidR="00D57952" w:rsidRPr="00813D19">
        <w:rPr>
          <w:lang w:val="en-US"/>
        </w:rPr>
        <w:t xml:space="preserve">decision on </w:t>
      </w:r>
      <w:r w:rsidRPr="00813D19">
        <w:rPr>
          <w:lang w:val="en-US"/>
        </w:rPr>
        <w:t xml:space="preserve">whether or </w:t>
      </w:r>
      <w:r w:rsidR="00830205" w:rsidRPr="00813D19">
        <w:rPr>
          <w:lang w:val="en-US"/>
        </w:rPr>
        <w:t>not it suppo</w:t>
      </w:r>
      <w:r w:rsidRPr="00813D19">
        <w:rPr>
          <w:lang w:val="en-US"/>
        </w:rPr>
        <w:t>r</w:t>
      </w:r>
      <w:r w:rsidR="00830205" w:rsidRPr="00813D19">
        <w:rPr>
          <w:lang w:val="en-US"/>
        </w:rPr>
        <w:t>ted the amendments without complicating the situation further</w:t>
      </w:r>
      <w:r w:rsidR="00087166">
        <w:rPr>
          <w:lang w:val="en-US"/>
        </w:rPr>
        <w:t>.</w:t>
      </w:r>
    </w:p>
    <w:p w14:paraId="6EAB54CD" w14:textId="175AAFB1" w:rsidR="00830205" w:rsidRPr="00813D19" w:rsidRDefault="00830205" w:rsidP="00505442">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clarified the situati</w:t>
      </w:r>
      <w:r w:rsidR="00CC124A" w:rsidRPr="00813D19">
        <w:rPr>
          <w:lang w:val="en-US"/>
        </w:rPr>
        <w:t>o</w:t>
      </w:r>
      <w:r w:rsidRPr="00813D19">
        <w:rPr>
          <w:lang w:val="en-US"/>
        </w:rPr>
        <w:t>n in which Azerbaijan presented its report, with Armenia proposing amendments to the report. The question was whether a Committee Member seconded the motion of ame</w:t>
      </w:r>
      <w:r w:rsidR="00087166">
        <w:rPr>
          <w:lang w:val="en-US"/>
        </w:rPr>
        <w:t>ndment as presented by Armenia.</w:t>
      </w:r>
    </w:p>
    <w:p w14:paraId="1B345FD3" w14:textId="384582F8" w:rsidR="00294206" w:rsidRPr="00813D19" w:rsidRDefault="007070E5" w:rsidP="00505442">
      <w:pPr>
        <w:pStyle w:val="Orateurengris"/>
        <w:widowControl w:val="0"/>
        <w:spacing w:before="120"/>
        <w:ind w:left="709" w:hanging="709"/>
        <w:rPr>
          <w:lang w:val="en-US"/>
        </w:rPr>
      </w:pPr>
      <w:r w:rsidRPr="00813D19">
        <w:rPr>
          <w:lang w:val="en-US"/>
        </w:rPr>
        <w:t>Having followed the debate, t</w:t>
      </w:r>
      <w:r w:rsidR="00294206" w:rsidRPr="00813D19">
        <w:rPr>
          <w:lang w:val="en-US"/>
        </w:rPr>
        <w:t xml:space="preserve">he </w:t>
      </w:r>
      <w:r w:rsidR="00294206" w:rsidRPr="00813D19">
        <w:rPr>
          <w:b/>
          <w:lang w:val="en-US"/>
        </w:rPr>
        <w:t>delegation of Cuba</w:t>
      </w:r>
      <w:r w:rsidRPr="00813D19">
        <w:rPr>
          <w:lang w:val="en-US"/>
        </w:rPr>
        <w:t xml:space="preserve"> noted the many </w:t>
      </w:r>
      <w:r w:rsidR="00D57952" w:rsidRPr="00813D19">
        <w:rPr>
          <w:lang w:val="en-US"/>
        </w:rPr>
        <w:t>proposals on the table</w:t>
      </w:r>
      <w:r w:rsidRPr="00813D19">
        <w:rPr>
          <w:lang w:val="en-US"/>
        </w:rPr>
        <w:t>,</w:t>
      </w:r>
      <w:r w:rsidR="00D57952" w:rsidRPr="00813D19">
        <w:rPr>
          <w:lang w:val="en-US"/>
        </w:rPr>
        <w:t xml:space="preserve"> </w:t>
      </w:r>
      <w:r w:rsidRPr="00813D19">
        <w:rPr>
          <w:lang w:val="en-US"/>
        </w:rPr>
        <w:t xml:space="preserve">and it was thus </w:t>
      </w:r>
      <w:r w:rsidR="00D57952" w:rsidRPr="00813D19">
        <w:rPr>
          <w:lang w:val="en-US"/>
        </w:rPr>
        <w:t xml:space="preserve">important </w:t>
      </w:r>
      <w:r w:rsidRPr="00813D19">
        <w:rPr>
          <w:lang w:val="en-US"/>
        </w:rPr>
        <w:t xml:space="preserve">to know whether </w:t>
      </w:r>
      <w:r w:rsidR="00CC124A" w:rsidRPr="00813D19">
        <w:rPr>
          <w:lang w:val="en-US"/>
        </w:rPr>
        <w:t xml:space="preserve">the </w:t>
      </w:r>
      <w:r w:rsidRPr="00813D19">
        <w:rPr>
          <w:lang w:val="en-US"/>
        </w:rPr>
        <w:t xml:space="preserve">Committee was being asked to examine the draft decision </w:t>
      </w:r>
      <w:r w:rsidR="00D57952" w:rsidRPr="00813D19">
        <w:rPr>
          <w:lang w:val="en-US"/>
        </w:rPr>
        <w:t>paragraph</w:t>
      </w:r>
      <w:r w:rsidR="007A3EB6">
        <w:rPr>
          <w:lang w:val="en-US"/>
        </w:rPr>
        <w:t xml:space="preserve"> </w:t>
      </w:r>
      <w:r w:rsidR="00D57952" w:rsidRPr="00813D19">
        <w:rPr>
          <w:lang w:val="en-US"/>
        </w:rPr>
        <w:t>by</w:t>
      </w:r>
      <w:r w:rsidR="007A3EB6">
        <w:rPr>
          <w:lang w:val="en-US"/>
        </w:rPr>
        <w:t xml:space="preserve"> </w:t>
      </w:r>
      <w:r w:rsidR="00D57952" w:rsidRPr="00813D19">
        <w:rPr>
          <w:lang w:val="en-US"/>
        </w:rPr>
        <w:t>paragraph</w:t>
      </w:r>
      <w:r w:rsidR="00CC124A" w:rsidRPr="00813D19">
        <w:rPr>
          <w:lang w:val="en-US"/>
        </w:rPr>
        <w:t xml:space="preserve">, </w:t>
      </w:r>
      <w:r w:rsidRPr="00813D19">
        <w:rPr>
          <w:lang w:val="en-US"/>
        </w:rPr>
        <w:t>as there were many amendments proposed. Thus, the delegation sought clarity on the procedure for the adoption of the amendments</w:t>
      </w:r>
      <w:r w:rsidR="00087166">
        <w:rPr>
          <w:lang w:val="en-US"/>
        </w:rPr>
        <w:t>.</w:t>
      </w:r>
    </w:p>
    <w:p w14:paraId="7179FB0C" w14:textId="221F4213" w:rsidR="00B86ED0" w:rsidRPr="00813D19" w:rsidRDefault="00B86ED0" w:rsidP="00505442">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a point</w:t>
      </w:r>
      <w:r w:rsidR="00087166">
        <w:rPr>
          <w:lang w:val="en-US"/>
        </w:rPr>
        <w:t xml:space="preserve"> of order from the Philippines.</w:t>
      </w:r>
    </w:p>
    <w:p w14:paraId="13C6F352" w14:textId="65F07047" w:rsidR="00294206" w:rsidRPr="00813D19" w:rsidRDefault="00294206" w:rsidP="00505442">
      <w:pPr>
        <w:pStyle w:val="Orateurengris"/>
        <w:widowControl w:val="0"/>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w:t>
      </w:r>
      <w:r w:rsidR="00B86ED0" w:rsidRPr="00813D19">
        <w:rPr>
          <w:lang w:val="en-US"/>
        </w:rPr>
        <w:t xml:space="preserve">concurred with Cuba on </w:t>
      </w:r>
      <w:r w:rsidR="00CC124A" w:rsidRPr="00813D19">
        <w:rPr>
          <w:lang w:val="en-US"/>
        </w:rPr>
        <w:t xml:space="preserve">taking </w:t>
      </w:r>
      <w:r w:rsidR="00B86ED0" w:rsidRPr="00813D19">
        <w:rPr>
          <w:lang w:val="en-US"/>
        </w:rPr>
        <w:t xml:space="preserve">the </w:t>
      </w:r>
      <w:r w:rsidR="00855F84" w:rsidRPr="00813D19">
        <w:rPr>
          <w:lang w:val="en-US"/>
        </w:rPr>
        <w:t>correct way forward</w:t>
      </w:r>
      <w:r w:rsidR="00B86ED0" w:rsidRPr="00813D19">
        <w:rPr>
          <w:lang w:val="en-US"/>
        </w:rPr>
        <w:t>,</w:t>
      </w:r>
      <w:r w:rsidR="00855F84" w:rsidRPr="00813D19">
        <w:rPr>
          <w:lang w:val="en-US"/>
        </w:rPr>
        <w:t xml:space="preserve"> and</w:t>
      </w:r>
      <w:r w:rsidR="00CC124A" w:rsidRPr="00813D19">
        <w:rPr>
          <w:lang w:val="en-US"/>
        </w:rPr>
        <w:t>,</w:t>
      </w:r>
      <w:r w:rsidR="00855F84" w:rsidRPr="00813D19">
        <w:rPr>
          <w:lang w:val="en-US"/>
        </w:rPr>
        <w:t xml:space="preserve"> in view of the </w:t>
      </w:r>
      <w:r w:rsidR="00B86ED0" w:rsidRPr="00813D19">
        <w:rPr>
          <w:lang w:val="en-US"/>
        </w:rPr>
        <w:t xml:space="preserve">position of the </w:t>
      </w:r>
      <w:r w:rsidR="00855F84" w:rsidRPr="00813D19">
        <w:rPr>
          <w:lang w:val="en-US"/>
        </w:rPr>
        <w:t>States concerned</w:t>
      </w:r>
      <w:r w:rsidR="00CC124A" w:rsidRPr="00813D19">
        <w:rPr>
          <w:lang w:val="en-US"/>
        </w:rPr>
        <w:t>,</w:t>
      </w:r>
      <w:r w:rsidR="00B86ED0" w:rsidRPr="00813D19">
        <w:rPr>
          <w:lang w:val="en-US"/>
        </w:rPr>
        <w:t xml:space="preserve"> believed </w:t>
      </w:r>
      <w:r w:rsidR="00CC124A" w:rsidRPr="00813D19">
        <w:rPr>
          <w:lang w:val="en-US"/>
        </w:rPr>
        <w:t xml:space="preserve">that </w:t>
      </w:r>
      <w:r w:rsidR="00B86ED0" w:rsidRPr="00813D19">
        <w:rPr>
          <w:lang w:val="en-US"/>
        </w:rPr>
        <w:t xml:space="preserve">for the sake of </w:t>
      </w:r>
      <w:r w:rsidR="00855F84" w:rsidRPr="00813D19">
        <w:rPr>
          <w:lang w:val="en-US"/>
        </w:rPr>
        <w:t xml:space="preserve">transparency </w:t>
      </w:r>
      <w:r w:rsidR="00B86ED0" w:rsidRPr="00813D19">
        <w:rPr>
          <w:lang w:val="en-US"/>
        </w:rPr>
        <w:t xml:space="preserve">it was best </w:t>
      </w:r>
      <w:r w:rsidR="00855F84" w:rsidRPr="00813D19">
        <w:rPr>
          <w:lang w:val="en-US"/>
        </w:rPr>
        <w:t>to go paragraph</w:t>
      </w:r>
      <w:r w:rsidR="007A3EB6">
        <w:rPr>
          <w:lang w:val="en-US"/>
        </w:rPr>
        <w:t xml:space="preserve"> </w:t>
      </w:r>
      <w:r w:rsidR="00855F84" w:rsidRPr="00813D19">
        <w:rPr>
          <w:lang w:val="en-US"/>
        </w:rPr>
        <w:t>by</w:t>
      </w:r>
      <w:r w:rsidR="007A3EB6">
        <w:rPr>
          <w:lang w:val="en-US"/>
        </w:rPr>
        <w:t xml:space="preserve"> </w:t>
      </w:r>
      <w:r w:rsidR="00855F84" w:rsidRPr="00813D19">
        <w:rPr>
          <w:lang w:val="en-US"/>
        </w:rPr>
        <w:t>paragraph</w:t>
      </w:r>
      <w:r w:rsidR="00CC124A" w:rsidRPr="00813D19">
        <w:rPr>
          <w:lang w:val="en-US"/>
        </w:rPr>
        <w:t>,</w:t>
      </w:r>
      <w:r w:rsidR="00855F84" w:rsidRPr="00813D19">
        <w:rPr>
          <w:lang w:val="en-US"/>
        </w:rPr>
        <w:t xml:space="preserve"> </w:t>
      </w:r>
      <w:r w:rsidR="00CC124A" w:rsidRPr="00813D19">
        <w:rPr>
          <w:lang w:val="en-US"/>
        </w:rPr>
        <w:t xml:space="preserve">as per the </w:t>
      </w:r>
      <w:r w:rsidR="00855F84" w:rsidRPr="00813D19">
        <w:rPr>
          <w:lang w:val="en-US"/>
        </w:rPr>
        <w:t>usual procedure</w:t>
      </w:r>
      <w:r w:rsidR="00CC124A" w:rsidRPr="00813D19">
        <w:rPr>
          <w:lang w:val="en-US"/>
        </w:rPr>
        <w:t xml:space="preserve"> of the Committee</w:t>
      </w:r>
      <w:r w:rsidR="00B86ED0" w:rsidRPr="00813D19">
        <w:rPr>
          <w:lang w:val="en-US"/>
        </w:rPr>
        <w:t>.</w:t>
      </w:r>
    </w:p>
    <w:p w14:paraId="50F85ADD" w14:textId="113C91C5" w:rsidR="00294206" w:rsidRPr="00813D19" w:rsidRDefault="00294206" w:rsidP="00505442">
      <w:pPr>
        <w:pStyle w:val="Orateurengris"/>
        <w:widowControl w:val="0"/>
        <w:spacing w:before="120"/>
        <w:ind w:left="709" w:hanging="709"/>
        <w:rPr>
          <w:lang w:val="en-US"/>
        </w:rPr>
      </w:pPr>
      <w:r w:rsidRPr="00813D19">
        <w:rPr>
          <w:lang w:val="en-US"/>
        </w:rPr>
        <w:t xml:space="preserve">The </w:t>
      </w:r>
      <w:r w:rsidRPr="00813D19">
        <w:rPr>
          <w:b/>
          <w:lang w:val="en-US"/>
        </w:rPr>
        <w:t>delegation of Palestine</w:t>
      </w:r>
      <w:r w:rsidR="00855F84" w:rsidRPr="00813D19">
        <w:rPr>
          <w:b/>
          <w:lang w:val="en-US"/>
        </w:rPr>
        <w:t xml:space="preserve"> </w:t>
      </w:r>
      <w:r w:rsidR="00B86ED0" w:rsidRPr="00813D19">
        <w:rPr>
          <w:lang w:val="en-US"/>
        </w:rPr>
        <w:t>agreed that it would be</w:t>
      </w:r>
      <w:r w:rsidR="00B86ED0" w:rsidRPr="00813D19">
        <w:rPr>
          <w:b/>
          <w:lang w:val="en-US"/>
        </w:rPr>
        <w:t xml:space="preserve"> </w:t>
      </w:r>
      <w:r w:rsidR="00855F84" w:rsidRPr="00813D19">
        <w:rPr>
          <w:lang w:val="en-US"/>
        </w:rPr>
        <w:t xml:space="preserve">clearer to </w:t>
      </w:r>
      <w:r w:rsidR="00B86ED0" w:rsidRPr="00813D19">
        <w:rPr>
          <w:lang w:val="en-US"/>
        </w:rPr>
        <w:t xml:space="preserve">proceed </w:t>
      </w:r>
      <w:r w:rsidR="00855F84" w:rsidRPr="00813D19">
        <w:rPr>
          <w:lang w:val="en-US"/>
        </w:rPr>
        <w:t>paragraph</w:t>
      </w:r>
      <w:r w:rsidR="007A3EB6">
        <w:rPr>
          <w:lang w:val="en-US"/>
        </w:rPr>
        <w:t xml:space="preserve"> </w:t>
      </w:r>
      <w:r w:rsidR="00855F84" w:rsidRPr="00813D19">
        <w:rPr>
          <w:lang w:val="en-US"/>
        </w:rPr>
        <w:t>by</w:t>
      </w:r>
      <w:r w:rsidR="007A3EB6">
        <w:rPr>
          <w:lang w:val="en-US"/>
        </w:rPr>
        <w:t xml:space="preserve"> </w:t>
      </w:r>
      <w:r w:rsidR="00855F84" w:rsidRPr="00813D19">
        <w:rPr>
          <w:lang w:val="en-US"/>
        </w:rPr>
        <w:t>paragraph</w:t>
      </w:r>
      <w:r w:rsidR="00B86ED0" w:rsidRPr="00813D19">
        <w:rPr>
          <w:lang w:val="en-US"/>
        </w:rPr>
        <w:t>,</w:t>
      </w:r>
      <w:r w:rsidR="00855F84" w:rsidRPr="00813D19">
        <w:rPr>
          <w:lang w:val="en-US"/>
        </w:rPr>
        <w:t xml:space="preserve"> even if it </w:t>
      </w:r>
      <w:r w:rsidR="00CC124A" w:rsidRPr="00813D19">
        <w:rPr>
          <w:lang w:val="en-US"/>
        </w:rPr>
        <w:t>would</w:t>
      </w:r>
      <w:r w:rsidR="00855F84" w:rsidRPr="00813D19">
        <w:rPr>
          <w:lang w:val="en-US"/>
        </w:rPr>
        <w:t xml:space="preserve"> take </w:t>
      </w:r>
      <w:r w:rsidR="00B86ED0" w:rsidRPr="00813D19">
        <w:rPr>
          <w:lang w:val="en-US"/>
        </w:rPr>
        <w:t xml:space="preserve">more </w:t>
      </w:r>
      <w:r w:rsidR="00087166">
        <w:rPr>
          <w:lang w:val="en-US"/>
        </w:rPr>
        <w:t>time.</w:t>
      </w:r>
    </w:p>
    <w:p w14:paraId="29CC0E7F" w14:textId="6C9DEA28" w:rsidR="00294206" w:rsidRPr="00813D19" w:rsidRDefault="00294206" w:rsidP="00505442">
      <w:pPr>
        <w:pStyle w:val="Orateurengris"/>
        <w:widowControl w:val="0"/>
        <w:spacing w:before="120"/>
        <w:ind w:left="709" w:hanging="709"/>
        <w:rPr>
          <w:lang w:val="en-US"/>
        </w:rPr>
      </w:pPr>
      <w:r w:rsidRPr="00813D19">
        <w:rPr>
          <w:lang w:val="en-US"/>
        </w:rPr>
        <w:t xml:space="preserve">The </w:t>
      </w:r>
      <w:r w:rsidRPr="00813D19">
        <w:rPr>
          <w:b/>
          <w:lang w:val="en-US"/>
        </w:rPr>
        <w:t>delegation of Armenia</w:t>
      </w:r>
      <w:r w:rsidRPr="00813D19">
        <w:rPr>
          <w:lang w:val="en-US"/>
        </w:rPr>
        <w:t xml:space="preserve"> </w:t>
      </w:r>
      <w:r w:rsidR="0005049B" w:rsidRPr="00813D19">
        <w:rPr>
          <w:lang w:val="en-US"/>
        </w:rPr>
        <w:t xml:space="preserve">also wished to proceed on a </w:t>
      </w:r>
      <w:r w:rsidR="00855F84" w:rsidRPr="00813D19">
        <w:rPr>
          <w:lang w:val="en-US"/>
        </w:rPr>
        <w:t xml:space="preserve">paragraph-by-paragraph </w:t>
      </w:r>
      <w:r w:rsidR="0005049B" w:rsidRPr="00813D19">
        <w:rPr>
          <w:lang w:val="en-US"/>
        </w:rPr>
        <w:t xml:space="preserve">basis, adding that it would </w:t>
      </w:r>
      <w:r w:rsidR="00855F84" w:rsidRPr="00813D19">
        <w:rPr>
          <w:lang w:val="en-US"/>
        </w:rPr>
        <w:t>make clarification</w:t>
      </w:r>
      <w:r w:rsidR="0005049B" w:rsidRPr="00813D19">
        <w:rPr>
          <w:lang w:val="en-US"/>
        </w:rPr>
        <w:t>s</w:t>
      </w:r>
      <w:r w:rsidR="00855F84" w:rsidRPr="00813D19">
        <w:rPr>
          <w:lang w:val="en-US"/>
        </w:rPr>
        <w:t xml:space="preserve"> </w:t>
      </w:r>
      <w:r w:rsidR="0005049B" w:rsidRPr="00813D19">
        <w:rPr>
          <w:lang w:val="en-US"/>
        </w:rPr>
        <w:t xml:space="preserve">on the </w:t>
      </w:r>
      <w:r w:rsidR="00087166">
        <w:rPr>
          <w:lang w:val="en-US"/>
        </w:rPr>
        <w:t>draft amendments if necessary.</w:t>
      </w:r>
    </w:p>
    <w:p w14:paraId="51E7E216" w14:textId="2CA123BB" w:rsidR="00294206" w:rsidRPr="00813D19" w:rsidRDefault="0005049B" w:rsidP="00505442">
      <w:pPr>
        <w:pStyle w:val="Orateurengris"/>
        <w:widowControl w:val="0"/>
        <w:spacing w:before="120"/>
        <w:ind w:left="709" w:hanging="709"/>
        <w:rPr>
          <w:lang w:val="en-US"/>
        </w:rPr>
      </w:pPr>
      <w:r w:rsidRPr="00813D19">
        <w:rPr>
          <w:lang w:val="en-US"/>
        </w:rPr>
        <w:t>Noting the consensus, t</w:t>
      </w:r>
      <w:r w:rsidR="00294206" w:rsidRPr="00813D19">
        <w:rPr>
          <w:lang w:val="en-US"/>
        </w:rPr>
        <w:t xml:space="preserve">he </w:t>
      </w:r>
      <w:r w:rsidR="00294206" w:rsidRPr="00813D19">
        <w:rPr>
          <w:b/>
          <w:lang w:val="en-US"/>
        </w:rPr>
        <w:t>Chairperson</w:t>
      </w:r>
      <w:r w:rsidR="00294206" w:rsidRPr="00813D19">
        <w:rPr>
          <w:lang w:val="en-US"/>
        </w:rPr>
        <w:t xml:space="preserve"> turned to the draft decision paragraph</w:t>
      </w:r>
      <w:r w:rsidR="007A3EB6">
        <w:rPr>
          <w:lang w:val="en-US"/>
        </w:rPr>
        <w:t xml:space="preserve"> </w:t>
      </w:r>
      <w:r w:rsidR="00294206" w:rsidRPr="00813D19">
        <w:rPr>
          <w:lang w:val="en-US"/>
        </w:rPr>
        <w:t>by</w:t>
      </w:r>
      <w:r w:rsidR="007A3EB6">
        <w:rPr>
          <w:lang w:val="en-US"/>
        </w:rPr>
        <w:t xml:space="preserve"> </w:t>
      </w:r>
      <w:r w:rsidR="00294206" w:rsidRPr="00813D19">
        <w:rPr>
          <w:lang w:val="en-US"/>
        </w:rPr>
        <w:t>paragraph</w:t>
      </w:r>
      <w:r w:rsidR="00CC124A" w:rsidRPr="00813D19">
        <w:rPr>
          <w:lang w:val="en-US"/>
        </w:rPr>
        <w:t>, and p</w:t>
      </w:r>
      <w:r w:rsidR="00294206" w:rsidRPr="00813D19">
        <w:rPr>
          <w:lang w:val="en-US"/>
        </w:rPr>
        <w:t xml:space="preserve">aragraphs 1 and 2 were duly adopted. </w:t>
      </w:r>
      <w:r w:rsidRPr="00813D19">
        <w:rPr>
          <w:lang w:val="en-US"/>
        </w:rPr>
        <w:t>He then turned to p</w:t>
      </w:r>
      <w:r w:rsidR="00294206" w:rsidRPr="00813D19">
        <w:rPr>
          <w:lang w:val="en-US"/>
        </w:rPr>
        <w:t>aragraph 3.</w:t>
      </w:r>
    </w:p>
    <w:p w14:paraId="0A651E11" w14:textId="3CE47EDF" w:rsidR="00294206" w:rsidRPr="00813D19" w:rsidRDefault="0005049B" w:rsidP="002D1C93">
      <w:pPr>
        <w:pStyle w:val="Orateurengris"/>
        <w:widowControl w:val="0"/>
        <w:spacing w:before="120"/>
        <w:ind w:left="709" w:hanging="709"/>
        <w:rPr>
          <w:lang w:val="en-US"/>
        </w:rPr>
      </w:pPr>
      <w:r w:rsidRPr="00813D19">
        <w:rPr>
          <w:lang w:val="en-US"/>
        </w:rPr>
        <w:t>In paragraph 3, t</w:t>
      </w:r>
      <w:r w:rsidR="00294206" w:rsidRPr="00813D19">
        <w:rPr>
          <w:lang w:val="en-US"/>
        </w:rPr>
        <w:t xml:space="preserve">he </w:t>
      </w:r>
      <w:r w:rsidR="00294206" w:rsidRPr="00813D19">
        <w:rPr>
          <w:b/>
          <w:lang w:val="en-US"/>
        </w:rPr>
        <w:t xml:space="preserve">delegation of Armenia </w:t>
      </w:r>
      <w:r w:rsidRPr="00813D19">
        <w:rPr>
          <w:lang w:val="en-US"/>
        </w:rPr>
        <w:t>wished to delete ‘</w:t>
      </w:r>
      <w:r w:rsidR="00CC124A" w:rsidRPr="00813D19">
        <w:rPr>
          <w:lang w:val="en-US"/>
        </w:rPr>
        <w:t>expresses its thanks</w:t>
      </w:r>
      <w:r w:rsidR="00FB4698" w:rsidRPr="00813D19">
        <w:rPr>
          <w:lang w:val="en-US"/>
        </w:rPr>
        <w:t xml:space="preserve"> to Azerbai</w:t>
      </w:r>
      <w:r w:rsidRPr="00813D19">
        <w:rPr>
          <w:lang w:val="en-US"/>
        </w:rPr>
        <w:t>jan’</w:t>
      </w:r>
      <w:r w:rsidRPr="00813D19">
        <w:rPr>
          <w:b/>
          <w:lang w:val="en-US"/>
        </w:rPr>
        <w:t xml:space="preserve"> </w:t>
      </w:r>
      <w:r w:rsidRPr="00813D19">
        <w:rPr>
          <w:lang w:val="en-US"/>
        </w:rPr>
        <w:t>and replace it with,</w:t>
      </w:r>
      <w:r w:rsidRPr="00813D19">
        <w:rPr>
          <w:b/>
          <w:lang w:val="en-US"/>
        </w:rPr>
        <w:t xml:space="preserve"> </w:t>
      </w:r>
      <w:r w:rsidRPr="00813D19">
        <w:rPr>
          <w:lang w:val="en-US"/>
        </w:rPr>
        <w:t>‘takes</w:t>
      </w:r>
      <w:r w:rsidRPr="00813D19">
        <w:rPr>
          <w:b/>
          <w:lang w:val="en-US"/>
        </w:rPr>
        <w:t xml:space="preserve"> </w:t>
      </w:r>
      <w:r w:rsidR="00855F84" w:rsidRPr="00813D19">
        <w:rPr>
          <w:lang w:val="en-US"/>
        </w:rPr>
        <w:t>note of the submitted report</w:t>
      </w:r>
      <w:r w:rsidRPr="00813D19">
        <w:rPr>
          <w:lang w:val="en-US"/>
        </w:rPr>
        <w:t xml:space="preserve">’, as </w:t>
      </w:r>
      <w:r w:rsidR="006F4139" w:rsidRPr="00813D19">
        <w:rPr>
          <w:lang w:val="en-US"/>
        </w:rPr>
        <w:t xml:space="preserve">it </w:t>
      </w:r>
      <w:r w:rsidRPr="00813D19">
        <w:rPr>
          <w:lang w:val="en-US"/>
        </w:rPr>
        <w:t xml:space="preserve">could not </w:t>
      </w:r>
      <w:r w:rsidR="00855F84" w:rsidRPr="00813D19">
        <w:rPr>
          <w:lang w:val="en-US"/>
        </w:rPr>
        <w:t>thank Azerbaijan for such a politically</w:t>
      </w:r>
      <w:r w:rsidR="007A3EB6">
        <w:rPr>
          <w:lang w:val="en-US"/>
        </w:rPr>
        <w:t>-</w:t>
      </w:r>
      <w:r w:rsidR="00855F84" w:rsidRPr="00813D19">
        <w:rPr>
          <w:lang w:val="en-US"/>
        </w:rPr>
        <w:t>biased repo</w:t>
      </w:r>
      <w:r w:rsidRPr="00813D19">
        <w:rPr>
          <w:lang w:val="en-US"/>
        </w:rPr>
        <w:t>rt.</w:t>
      </w:r>
    </w:p>
    <w:p w14:paraId="32DED417" w14:textId="24E404DC" w:rsidR="00294206" w:rsidRPr="00813D19" w:rsidRDefault="00294206" w:rsidP="002D1C93">
      <w:pPr>
        <w:pStyle w:val="Orateurengris"/>
        <w:widowControl w:val="0"/>
        <w:spacing w:before="120"/>
        <w:ind w:left="709" w:hanging="709"/>
        <w:rPr>
          <w:lang w:val="en-US"/>
        </w:rPr>
      </w:pPr>
      <w:r w:rsidRPr="00813D19">
        <w:rPr>
          <w:lang w:val="en-US"/>
        </w:rPr>
        <w:t xml:space="preserve">The </w:t>
      </w:r>
      <w:r w:rsidRPr="00813D19">
        <w:rPr>
          <w:b/>
          <w:lang w:val="en-US"/>
        </w:rPr>
        <w:t>delegation of Azerbaijan</w:t>
      </w:r>
      <w:r w:rsidR="00855F84" w:rsidRPr="00813D19">
        <w:rPr>
          <w:lang w:val="en-US"/>
        </w:rPr>
        <w:t xml:space="preserve"> </w:t>
      </w:r>
      <w:r w:rsidR="0005049B" w:rsidRPr="00813D19">
        <w:rPr>
          <w:lang w:val="en-US"/>
        </w:rPr>
        <w:t xml:space="preserve">appealed to the Chairperson’s wise ruling, noting that </w:t>
      </w:r>
      <w:r w:rsidR="00CC124A" w:rsidRPr="00813D19">
        <w:rPr>
          <w:lang w:val="en-US"/>
        </w:rPr>
        <w:t xml:space="preserve">there were additional </w:t>
      </w:r>
      <w:r w:rsidR="0005049B" w:rsidRPr="00813D19">
        <w:rPr>
          <w:lang w:val="en-US"/>
        </w:rPr>
        <w:t xml:space="preserve">amendments </w:t>
      </w:r>
      <w:r w:rsidR="00CC124A" w:rsidRPr="00813D19">
        <w:rPr>
          <w:lang w:val="en-US"/>
        </w:rPr>
        <w:t xml:space="preserve">to those </w:t>
      </w:r>
      <w:r w:rsidR="00965E99" w:rsidRPr="00813D19">
        <w:rPr>
          <w:lang w:val="en-US"/>
        </w:rPr>
        <w:t xml:space="preserve">initially </w:t>
      </w:r>
      <w:r w:rsidR="0005049B" w:rsidRPr="00813D19">
        <w:rPr>
          <w:lang w:val="en-US"/>
        </w:rPr>
        <w:t xml:space="preserve">presented. </w:t>
      </w:r>
      <w:r w:rsidR="00CC124A" w:rsidRPr="00813D19">
        <w:rPr>
          <w:lang w:val="en-US"/>
        </w:rPr>
        <w:t xml:space="preserve">It </w:t>
      </w:r>
      <w:r w:rsidR="0005049B" w:rsidRPr="00813D19">
        <w:rPr>
          <w:lang w:val="en-US"/>
        </w:rPr>
        <w:t xml:space="preserve">thus proposed </w:t>
      </w:r>
      <w:r w:rsidR="00855F84" w:rsidRPr="00813D19">
        <w:rPr>
          <w:lang w:val="en-US"/>
        </w:rPr>
        <w:t>consider</w:t>
      </w:r>
      <w:r w:rsidR="00BC35F1">
        <w:rPr>
          <w:lang w:val="en-US"/>
        </w:rPr>
        <w:t>ing</w:t>
      </w:r>
      <w:r w:rsidR="00855F84" w:rsidRPr="00813D19">
        <w:rPr>
          <w:lang w:val="en-US"/>
        </w:rPr>
        <w:t xml:space="preserve"> the amendments that </w:t>
      </w:r>
      <w:r w:rsidR="00CC124A" w:rsidRPr="00813D19">
        <w:rPr>
          <w:lang w:val="en-US"/>
        </w:rPr>
        <w:t xml:space="preserve">had been </w:t>
      </w:r>
      <w:r w:rsidR="00855F84" w:rsidRPr="00813D19">
        <w:rPr>
          <w:lang w:val="en-US"/>
        </w:rPr>
        <w:t xml:space="preserve">initially presented </w:t>
      </w:r>
      <w:r w:rsidR="000C5C9D" w:rsidRPr="00813D19">
        <w:rPr>
          <w:lang w:val="en-US"/>
        </w:rPr>
        <w:t xml:space="preserve">in substance </w:t>
      </w:r>
      <w:r w:rsidR="00855F84" w:rsidRPr="00813D19">
        <w:rPr>
          <w:lang w:val="en-US"/>
        </w:rPr>
        <w:t>by Armenia</w:t>
      </w:r>
      <w:r w:rsidR="000C5C9D" w:rsidRPr="00813D19">
        <w:rPr>
          <w:lang w:val="en-US"/>
        </w:rPr>
        <w:t>,</w:t>
      </w:r>
      <w:r w:rsidR="00855F84" w:rsidRPr="00813D19">
        <w:rPr>
          <w:lang w:val="en-US"/>
        </w:rPr>
        <w:t xml:space="preserve"> </w:t>
      </w:r>
      <w:r w:rsidR="0005049B" w:rsidRPr="00813D19">
        <w:rPr>
          <w:lang w:val="en-US"/>
        </w:rPr>
        <w:t xml:space="preserve">which if accepted or not would allow the Committee to move </w:t>
      </w:r>
      <w:r w:rsidR="00855F84" w:rsidRPr="00813D19">
        <w:rPr>
          <w:lang w:val="en-US"/>
        </w:rPr>
        <w:t xml:space="preserve">forward </w:t>
      </w:r>
      <w:r w:rsidR="0005049B" w:rsidRPr="00813D19">
        <w:rPr>
          <w:lang w:val="en-US"/>
        </w:rPr>
        <w:t>with the others.</w:t>
      </w:r>
    </w:p>
    <w:p w14:paraId="3C6EB830" w14:textId="666CC570" w:rsidR="00294206" w:rsidRPr="00813D19" w:rsidRDefault="00294206" w:rsidP="002D1C93">
      <w:pPr>
        <w:pStyle w:val="Orateurengris"/>
        <w:widowControl w:val="0"/>
        <w:spacing w:before="120"/>
        <w:ind w:left="709" w:hanging="709"/>
        <w:rPr>
          <w:lang w:val="en-US"/>
        </w:rPr>
      </w:pPr>
      <w:r w:rsidRPr="00813D19">
        <w:rPr>
          <w:lang w:val="en-US"/>
        </w:rPr>
        <w:t xml:space="preserve">The </w:t>
      </w:r>
      <w:r w:rsidRPr="00813D19">
        <w:rPr>
          <w:b/>
          <w:lang w:val="en-US"/>
        </w:rPr>
        <w:t>delegation of Kuwait</w:t>
      </w:r>
      <w:r w:rsidR="0005049B" w:rsidRPr="00813D19">
        <w:rPr>
          <w:b/>
          <w:lang w:val="en-US"/>
        </w:rPr>
        <w:t xml:space="preserve"> </w:t>
      </w:r>
      <w:r w:rsidR="0005049B" w:rsidRPr="00813D19">
        <w:rPr>
          <w:lang w:val="en-US"/>
        </w:rPr>
        <w:t>remarked that</w:t>
      </w:r>
      <w:r w:rsidR="0005049B" w:rsidRPr="00813D19">
        <w:rPr>
          <w:b/>
          <w:lang w:val="en-US"/>
        </w:rPr>
        <w:t xml:space="preserve"> </w:t>
      </w:r>
      <w:r w:rsidR="00965E99" w:rsidRPr="00813D19">
        <w:rPr>
          <w:lang w:val="en-US"/>
        </w:rPr>
        <w:t>it had not seen</w:t>
      </w:r>
      <w:r w:rsidR="00965E99" w:rsidRPr="00813D19">
        <w:rPr>
          <w:b/>
          <w:lang w:val="en-US"/>
        </w:rPr>
        <w:t xml:space="preserve"> </w:t>
      </w:r>
      <w:r w:rsidR="00855F84" w:rsidRPr="00813D19">
        <w:rPr>
          <w:lang w:val="en-US"/>
        </w:rPr>
        <w:t xml:space="preserve">a draft amendment </w:t>
      </w:r>
      <w:r w:rsidR="00965E99" w:rsidRPr="00813D19">
        <w:rPr>
          <w:lang w:val="en-US"/>
        </w:rPr>
        <w:t xml:space="preserve">proposing to proceed on a </w:t>
      </w:r>
      <w:r w:rsidR="00855F84" w:rsidRPr="00813D19">
        <w:rPr>
          <w:lang w:val="en-US"/>
        </w:rPr>
        <w:t>paragraph-by-paragraph</w:t>
      </w:r>
      <w:r w:rsidR="00965E99" w:rsidRPr="00813D19">
        <w:rPr>
          <w:lang w:val="en-US"/>
        </w:rPr>
        <w:t xml:space="preserve"> basis, but rather that Armenia had proposed </w:t>
      </w:r>
      <w:r w:rsidR="008D22CD" w:rsidRPr="00813D19">
        <w:rPr>
          <w:lang w:val="en-US"/>
        </w:rPr>
        <w:t>returning the report</w:t>
      </w:r>
      <w:r w:rsidR="00965E99" w:rsidRPr="00813D19">
        <w:rPr>
          <w:lang w:val="en-US"/>
        </w:rPr>
        <w:t xml:space="preserve"> to the submitting State Party. Thus, for the sake of legal correctness, a decision should be taken on whether the report should be returned</w:t>
      </w:r>
      <w:r w:rsidR="0005049B" w:rsidRPr="00813D19">
        <w:rPr>
          <w:lang w:val="en-US"/>
        </w:rPr>
        <w:t>.</w:t>
      </w:r>
    </w:p>
    <w:p w14:paraId="12569EB0" w14:textId="6CFAD28B" w:rsidR="00294206" w:rsidRPr="00813D19" w:rsidRDefault="00294206" w:rsidP="002D1C93">
      <w:pPr>
        <w:pStyle w:val="Orateurengris"/>
        <w:widowControl w:val="0"/>
        <w:spacing w:before="120"/>
        <w:ind w:left="709" w:hanging="709"/>
        <w:rPr>
          <w:lang w:val="en-US"/>
        </w:rPr>
      </w:pPr>
      <w:r w:rsidRPr="00813D19">
        <w:rPr>
          <w:lang w:val="en-US"/>
        </w:rPr>
        <w:t xml:space="preserve">The </w:t>
      </w:r>
      <w:r w:rsidRPr="00813D19">
        <w:rPr>
          <w:b/>
          <w:lang w:val="en-US"/>
        </w:rPr>
        <w:t>delegation of Cuba</w:t>
      </w:r>
      <w:r w:rsidR="00D10354" w:rsidRPr="00813D19">
        <w:rPr>
          <w:b/>
          <w:lang w:val="en-US"/>
        </w:rPr>
        <w:t xml:space="preserve"> </w:t>
      </w:r>
      <w:r w:rsidR="006F4139" w:rsidRPr="00813D19">
        <w:rPr>
          <w:lang w:val="en-US"/>
        </w:rPr>
        <w:t xml:space="preserve">sought to hear from the </w:t>
      </w:r>
      <w:r w:rsidR="00D10354" w:rsidRPr="00813D19">
        <w:rPr>
          <w:bCs/>
          <w:lang w:val="en-US"/>
        </w:rPr>
        <w:t>Secretariat</w:t>
      </w:r>
      <w:r w:rsidR="008D22CD" w:rsidRPr="00813D19">
        <w:rPr>
          <w:bCs/>
          <w:lang w:val="en-US"/>
        </w:rPr>
        <w:t xml:space="preserve"> [with regard to the proposed amendment by Armenia in paragraph 3]</w:t>
      </w:r>
      <w:r w:rsidR="006F4139" w:rsidRPr="00813D19">
        <w:rPr>
          <w:bCs/>
          <w:lang w:val="en-US"/>
        </w:rPr>
        <w:t xml:space="preserve">, as the Committee should exercise caution in changing the standard </w:t>
      </w:r>
      <w:r w:rsidR="00D10354" w:rsidRPr="00813D19">
        <w:rPr>
          <w:bCs/>
          <w:lang w:val="en-US"/>
        </w:rPr>
        <w:t xml:space="preserve">wording </w:t>
      </w:r>
      <w:r w:rsidR="006F4139" w:rsidRPr="00813D19">
        <w:rPr>
          <w:bCs/>
          <w:lang w:val="en-US"/>
        </w:rPr>
        <w:t>used</w:t>
      </w:r>
      <w:r w:rsidR="00D10354" w:rsidRPr="00813D19">
        <w:rPr>
          <w:bCs/>
          <w:lang w:val="en-US"/>
        </w:rPr>
        <w:t xml:space="preserve"> </w:t>
      </w:r>
      <w:r w:rsidR="006F4139" w:rsidRPr="00813D19">
        <w:rPr>
          <w:bCs/>
          <w:lang w:val="en-US"/>
        </w:rPr>
        <w:t xml:space="preserve">in </w:t>
      </w:r>
      <w:r w:rsidR="00D10354" w:rsidRPr="00813D19">
        <w:rPr>
          <w:bCs/>
          <w:lang w:val="en-US"/>
        </w:rPr>
        <w:t>draft decision</w:t>
      </w:r>
      <w:r w:rsidR="006F4139" w:rsidRPr="00813D19">
        <w:rPr>
          <w:bCs/>
          <w:lang w:val="en-US"/>
        </w:rPr>
        <w:t>s</w:t>
      </w:r>
      <w:r w:rsidR="00D10354" w:rsidRPr="00813D19">
        <w:rPr>
          <w:bCs/>
          <w:lang w:val="en-US"/>
        </w:rPr>
        <w:t xml:space="preserve"> </w:t>
      </w:r>
      <w:r w:rsidR="008D22CD" w:rsidRPr="00813D19">
        <w:rPr>
          <w:bCs/>
          <w:lang w:val="en-US"/>
        </w:rPr>
        <w:t xml:space="preserve">for States submitting a report, as this would present </w:t>
      </w:r>
      <w:r w:rsidR="006F4139" w:rsidRPr="00813D19">
        <w:rPr>
          <w:bCs/>
          <w:lang w:val="en-US"/>
        </w:rPr>
        <w:t xml:space="preserve">an </w:t>
      </w:r>
      <w:r w:rsidR="00D10354" w:rsidRPr="00813D19">
        <w:rPr>
          <w:bCs/>
          <w:lang w:val="en-US"/>
        </w:rPr>
        <w:t>exception</w:t>
      </w:r>
      <w:r w:rsidR="008D22CD" w:rsidRPr="00813D19">
        <w:rPr>
          <w:bCs/>
          <w:lang w:val="en-US"/>
        </w:rPr>
        <w:t>.</w:t>
      </w:r>
      <w:r w:rsidR="00D10354" w:rsidRPr="00813D19">
        <w:rPr>
          <w:bCs/>
          <w:lang w:val="en-US"/>
        </w:rPr>
        <w:t xml:space="preserve"> </w:t>
      </w:r>
      <w:r w:rsidR="008D22CD" w:rsidRPr="00813D19">
        <w:rPr>
          <w:bCs/>
          <w:lang w:val="en-US"/>
        </w:rPr>
        <w:t xml:space="preserve">The delegation remarked that it was standard for the </w:t>
      </w:r>
      <w:r w:rsidR="006F4139" w:rsidRPr="00813D19">
        <w:rPr>
          <w:bCs/>
          <w:lang w:val="en-US"/>
        </w:rPr>
        <w:t xml:space="preserve">Committee </w:t>
      </w:r>
      <w:r w:rsidR="008D22CD" w:rsidRPr="00813D19">
        <w:rPr>
          <w:bCs/>
          <w:lang w:val="en-US"/>
        </w:rPr>
        <w:t xml:space="preserve">to </w:t>
      </w:r>
      <w:r w:rsidR="00D10354" w:rsidRPr="00813D19">
        <w:rPr>
          <w:bCs/>
          <w:lang w:val="en-US"/>
        </w:rPr>
        <w:t xml:space="preserve">express gratitude to </w:t>
      </w:r>
      <w:r w:rsidR="006F4139" w:rsidRPr="00813D19">
        <w:rPr>
          <w:bCs/>
          <w:lang w:val="en-US"/>
        </w:rPr>
        <w:t xml:space="preserve">a </w:t>
      </w:r>
      <w:r w:rsidR="00813D19" w:rsidRPr="00813D19">
        <w:rPr>
          <w:bCs/>
          <w:lang w:val="en-US"/>
        </w:rPr>
        <w:t>submitting</w:t>
      </w:r>
      <w:r w:rsidR="008D22CD" w:rsidRPr="00813D19">
        <w:rPr>
          <w:bCs/>
          <w:lang w:val="en-US"/>
        </w:rPr>
        <w:t xml:space="preserve"> </w:t>
      </w:r>
      <w:r w:rsidR="00D10354" w:rsidRPr="00813D19">
        <w:rPr>
          <w:bCs/>
          <w:lang w:val="en-US"/>
        </w:rPr>
        <w:t xml:space="preserve">State Party for </w:t>
      </w:r>
      <w:r w:rsidR="006F4139" w:rsidRPr="00813D19">
        <w:rPr>
          <w:bCs/>
          <w:lang w:val="en-US"/>
        </w:rPr>
        <w:t xml:space="preserve">its </w:t>
      </w:r>
      <w:r w:rsidR="00087166">
        <w:rPr>
          <w:bCs/>
          <w:lang w:val="en-US"/>
        </w:rPr>
        <w:t>report.</w:t>
      </w:r>
    </w:p>
    <w:p w14:paraId="295044A1" w14:textId="6A9AFF18" w:rsidR="00DC76C5" w:rsidRPr="00813D19" w:rsidRDefault="006F4139" w:rsidP="002D1C93">
      <w:pPr>
        <w:pStyle w:val="Orateurengris"/>
        <w:widowControl w:val="0"/>
        <w:spacing w:before="120"/>
        <w:ind w:left="709" w:hanging="709"/>
        <w:rPr>
          <w:lang w:val="en-US"/>
        </w:rPr>
      </w:pPr>
      <w:r w:rsidRPr="00813D19">
        <w:rPr>
          <w:bCs/>
          <w:lang w:val="en-US"/>
        </w:rPr>
        <w:t xml:space="preserve">With regard to the comment made by Kuwait, </w:t>
      </w:r>
      <w:r w:rsidRPr="00813D19">
        <w:rPr>
          <w:lang w:val="en-US"/>
        </w:rPr>
        <w:t>t</w:t>
      </w:r>
      <w:r w:rsidR="00DC76C5" w:rsidRPr="00813D19">
        <w:rPr>
          <w:lang w:val="en-US"/>
        </w:rPr>
        <w:t xml:space="preserve">he </w:t>
      </w:r>
      <w:r w:rsidR="00DC76C5" w:rsidRPr="00813D19">
        <w:rPr>
          <w:b/>
          <w:lang w:val="en-US"/>
        </w:rPr>
        <w:t>delegation of Armenia</w:t>
      </w:r>
      <w:r w:rsidR="00176CDE" w:rsidRPr="00813D19">
        <w:rPr>
          <w:b/>
          <w:lang w:val="en-US"/>
        </w:rPr>
        <w:t xml:space="preserve"> </w:t>
      </w:r>
      <w:r w:rsidRPr="00813D19">
        <w:rPr>
          <w:lang w:val="en-US"/>
        </w:rPr>
        <w:t>clarified</w:t>
      </w:r>
      <w:r w:rsidRPr="00087166">
        <w:rPr>
          <w:bCs/>
          <w:lang w:val="en-US"/>
        </w:rPr>
        <w:t xml:space="preserve"> </w:t>
      </w:r>
      <w:r w:rsidR="00176CDE" w:rsidRPr="00813D19">
        <w:rPr>
          <w:bCs/>
          <w:lang w:val="en-US"/>
        </w:rPr>
        <w:t xml:space="preserve">that Committee Members </w:t>
      </w:r>
      <w:r w:rsidRPr="00813D19">
        <w:rPr>
          <w:bCs/>
          <w:lang w:val="en-US"/>
        </w:rPr>
        <w:t xml:space="preserve">could </w:t>
      </w:r>
      <w:r w:rsidR="00176CDE" w:rsidRPr="00813D19">
        <w:rPr>
          <w:bCs/>
          <w:lang w:val="en-US"/>
        </w:rPr>
        <w:t>make any amendment</w:t>
      </w:r>
      <w:r w:rsidR="00981941" w:rsidRPr="00813D19">
        <w:rPr>
          <w:bCs/>
          <w:lang w:val="en-US"/>
        </w:rPr>
        <w:t>s</w:t>
      </w:r>
      <w:r w:rsidR="00176CDE" w:rsidRPr="00813D19">
        <w:rPr>
          <w:bCs/>
          <w:lang w:val="en-US"/>
        </w:rPr>
        <w:t xml:space="preserve"> to t</w:t>
      </w:r>
      <w:r w:rsidR="00087166">
        <w:rPr>
          <w:bCs/>
          <w:lang w:val="en-US"/>
        </w:rPr>
        <w:t>he draft decision at any point.</w:t>
      </w:r>
    </w:p>
    <w:p w14:paraId="487B8F3E" w14:textId="0D88ECCA" w:rsidR="000E41CE" w:rsidRPr="00813D19" w:rsidRDefault="00D95B9D" w:rsidP="002D1C93">
      <w:pPr>
        <w:pStyle w:val="Orateurengris"/>
        <w:widowControl w:val="0"/>
        <w:spacing w:before="120"/>
        <w:ind w:left="709" w:hanging="709"/>
        <w:rPr>
          <w:lang w:val="en-US"/>
        </w:rPr>
      </w:pPr>
      <w:r w:rsidRPr="00813D19">
        <w:rPr>
          <w:lang w:val="en-US"/>
        </w:rPr>
        <w:t>Outlining the situation, t</w:t>
      </w:r>
      <w:r w:rsidR="000E41CE" w:rsidRPr="00813D19">
        <w:rPr>
          <w:lang w:val="en-US"/>
        </w:rPr>
        <w:t xml:space="preserve">he </w:t>
      </w:r>
      <w:r w:rsidR="000E41CE" w:rsidRPr="00813D19">
        <w:rPr>
          <w:b/>
          <w:lang w:val="en-US"/>
        </w:rPr>
        <w:t>Chairperson</w:t>
      </w:r>
      <w:r w:rsidR="000E41CE" w:rsidRPr="00813D19">
        <w:rPr>
          <w:lang w:val="en-US"/>
        </w:rPr>
        <w:t xml:space="preserve"> </w:t>
      </w:r>
      <w:r w:rsidRPr="00813D19">
        <w:rPr>
          <w:lang w:val="en-US"/>
        </w:rPr>
        <w:t xml:space="preserve">explained that the </w:t>
      </w:r>
      <w:r w:rsidR="00176CDE" w:rsidRPr="00813D19">
        <w:rPr>
          <w:bCs/>
          <w:lang w:val="en-US"/>
        </w:rPr>
        <w:t xml:space="preserve">general consensus </w:t>
      </w:r>
      <w:r w:rsidRPr="00813D19">
        <w:rPr>
          <w:bCs/>
          <w:lang w:val="en-US"/>
        </w:rPr>
        <w:t xml:space="preserve">was to proceed </w:t>
      </w:r>
      <w:r w:rsidR="00176CDE" w:rsidRPr="00813D19">
        <w:rPr>
          <w:lang w:val="en-US"/>
        </w:rPr>
        <w:t>paragraph</w:t>
      </w:r>
      <w:r w:rsidR="00BC35F1">
        <w:rPr>
          <w:lang w:val="en-US"/>
        </w:rPr>
        <w:t xml:space="preserve"> </w:t>
      </w:r>
      <w:r w:rsidR="00176CDE" w:rsidRPr="00813D19">
        <w:rPr>
          <w:lang w:val="en-US"/>
        </w:rPr>
        <w:t>by</w:t>
      </w:r>
      <w:r w:rsidR="00BC35F1">
        <w:rPr>
          <w:lang w:val="en-US"/>
        </w:rPr>
        <w:t xml:space="preserve"> </w:t>
      </w:r>
      <w:r w:rsidR="00176CDE" w:rsidRPr="00813D19">
        <w:rPr>
          <w:lang w:val="en-US"/>
        </w:rPr>
        <w:t>paragraph</w:t>
      </w:r>
      <w:r w:rsidRPr="00813D19">
        <w:rPr>
          <w:lang w:val="en-US"/>
        </w:rPr>
        <w:t>,</w:t>
      </w:r>
      <w:r w:rsidR="00176CDE" w:rsidRPr="00813D19">
        <w:rPr>
          <w:lang w:val="en-US"/>
        </w:rPr>
        <w:t xml:space="preserve"> and </w:t>
      </w:r>
      <w:r w:rsidRPr="00813D19">
        <w:rPr>
          <w:lang w:val="en-US"/>
        </w:rPr>
        <w:t xml:space="preserve">the Committee was </w:t>
      </w:r>
      <w:r w:rsidR="00176CDE" w:rsidRPr="00813D19">
        <w:rPr>
          <w:lang w:val="en-US"/>
        </w:rPr>
        <w:t>now amend</w:t>
      </w:r>
      <w:r w:rsidRPr="00813D19">
        <w:rPr>
          <w:lang w:val="en-US"/>
        </w:rPr>
        <w:t>ing</w:t>
      </w:r>
      <w:r w:rsidR="00176CDE" w:rsidRPr="00813D19">
        <w:rPr>
          <w:lang w:val="en-US"/>
        </w:rPr>
        <w:t xml:space="preserve"> paragraph 3</w:t>
      </w:r>
      <w:r w:rsidRPr="00813D19">
        <w:rPr>
          <w:lang w:val="en-US"/>
        </w:rPr>
        <w:t xml:space="preserve">. Cuba had stated its view </w:t>
      </w:r>
      <w:r w:rsidR="00176CDE" w:rsidRPr="00813D19">
        <w:rPr>
          <w:lang w:val="en-US"/>
        </w:rPr>
        <w:t xml:space="preserve">that </w:t>
      </w:r>
      <w:r w:rsidRPr="00813D19">
        <w:rPr>
          <w:lang w:val="en-US"/>
        </w:rPr>
        <w:t xml:space="preserve">the Committee </w:t>
      </w:r>
      <w:r w:rsidR="00176CDE" w:rsidRPr="00813D19">
        <w:rPr>
          <w:lang w:val="en-US"/>
        </w:rPr>
        <w:t xml:space="preserve">should be cautious </w:t>
      </w:r>
      <w:r w:rsidRPr="00813D19">
        <w:rPr>
          <w:lang w:val="en-US"/>
        </w:rPr>
        <w:t xml:space="preserve">when amending a paragraph so as </w:t>
      </w:r>
      <w:r w:rsidR="00B87FFC" w:rsidRPr="00813D19">
        <w:rPr>
          <w:lang w:val="en-US"/>
        </w:rPr>
        <w:t xml:space="preserve">to </w:t>
      </w:r>
      <w:r w:rsidRPr="00813D19">
        <w:rPr>
          <w:lang w:val="en-US"/>
        </w:rPr>
        <w:t xml:space="preserve">not </w:t>
      </w:r>
      <w:r w:rsidR="00176CDE" w:rsidRPr="00813D19">
        <w:rPr>
          <w:lang w:val="en-US"/>
        </w:rPr>
        <w:t xml:space="preserve">create </w:t>
      </w:r>
      <w:r w:rsidRPr="00813D19">
        <w:rPr>
          <w:lang w:val="en-US"/>
        </w:rPr>
        <w:t xml:space="preserve">a negative </w:t>
      </w:r>
      <w:r w:rsidR="00176CDE" w:rsidRPr="00813D19">
        <w:rPr>
          <w:lang w:val="en-US"/>
        </w:rPr>
        <w:t xml:space="preserve">precedent. Azerbaijan </w:t>
      </w:r>
      <w:r w:rsidRPr="00813D19">
        <w:rPr>
          <w:lang w:val="en-US"/>
        </w:rPr>
        <w:t xml:space="preserve">also </w:t>
      </w:r>
      <w:r w:rsidR="00176CDE" w:rsidRPr="00813D19">
        <w:rPr>
          <w:lang w:val="en-US"/>
        </w:rPr>
        <w:t xml:space="preserve">agreed </w:t>
      </w:r>
      <w:r w:rsidRPr="00813D19">
        <w:rPr>
          <w:lang w:val="en-US"/>
        </w:rPr>
        <w:t xml:space="preserve">with the </w:t>
      </w:r>
      <w:r w:rsidR="00176CDE" w:rsidRPr="00813D19">
        <w:rPr>
          <w:lang w:val="en-US"/>
        </w:rPr>
        <w:t xml:space="preserve">broad consensus </w:t>
      </w:r>
      <w:r w:rsidRPr="00813D19">
        <w:rPr>
          <w:lang w:val="en-US"/>
        </w:rPr>
        <w:t xml:space="preserve">to continue on a </w:t>
      </w:r>
      <w:r w:rsidR="00176CDE" w:rsidRPr="00813D19">
        <w:rPr>
          <w:lang w:val="en-US"/>
        </w:rPr>
        <w:t xml:space="preserve">paragraph-by-paragraph </w:t>
      </w:r>
      <w:r w:rsidR="00087166">
        <w:rPr>
          <w:lang w:val="en-US"/>
        </w:rPr>
        <w:t>basis.</w:t>
      </w:r>
    </w:p>
    <w:p w14:paraId="74D0EB86" w14:textId="24DB9328" w:rsidR="003C66AF" w:rsidRPr="00813D19" w:rsidRDefault="00AC513E" w:rsidP="003C66AF">
      <w:pPr>
        <w:pStyle w:val="Orateurengris"/>
        <w:widowControl w:val="0"/>
        <w:spacing w:before="120"/>
        <w:ind w:left="709" w:hanging="709"/>
        <w:rPr>
          <w:lang w:val="en-US"/>
        </w:rPr>
      </w:pPr>
      <w:r w:rsidRPr="00813D19">
        <w:rPr>
          <w:lang w:val="en-US"/>
        </w:rPr>
        <w:t xml:space="preserve">The </w:t>
      </w:r>
      <w:r w:rsidRPr="00813D19">
        <w:rPr>
          <w:b/>
          <w:lang w:val="en-US"/>
        </w:rPr>
        <w:t>delegation of Palestine</w:t>
      </w:r>
      <w:r w:rsidR="00B87FFC" w:rsidRPr="00813D19">
        <w:rPr>
          <w:bCs/>
          <w:lang w:val="en-US"/>
        </w:rPr>
        <w:t xml:space="preserve"> remarked that it would take time to go </w:t>
      </w:r>
      <w:r w:rsidR="003C66AF" w:rsidRPr="00813D19">
        <w:rPr>
          <w:lang w:val="en-US"/>
        </w:rPr>
        <w:t>paragraph</w:t>
      </w:r>
      <w:r w:rsidR="00BC35F1">
        <w:rPr>
          <w:lang w:val="en-US"/>
        </w:rPr>
        <w:t xml:space="preserve"> </w:t>
      </w:r>
      <w:r w:rsidR="003C66AF" w:rsidRPr="00813D19">
        <w:rPr>
          <w:lang w:val="en-US"/>
        </w:rPr>
        <w:t>by</w:t>
      </w:r>
      <w:r w:rsidR="00BC35F1">
        <w:rPr>
          <w:lang w:val="en-US"/>
        </w:rPr>
        <w:t xml:space="preserve"> </w:t>
      </w:r>
      <w:r w:rsidR="003C66AF" w:rsidRPr="00813D19">
        <w:rPr>
          <w:lang w:val="en-US"/>
        </w:rPr>
        <w:t xml:space="preserve">paragraph, and it </w:t>
      </w:r>
      <w:r w:rsidR="00176CDE" w:rsidRPr="00813D19">
        <w:rPr>
          <w:lang w:val="en-US"/>
        </w:rPr>
        <w:t>support</w:t>
      </w:r>
      <w:r w:rsidR="003C66AF" w:rsidRPr="00813D19">
        <w:rPr>
          <w:lang w:val="en-US"/>
        </w:rPr>
        <w:t>ed</w:t>
      </w:r>
      <w:r w:rsidR="00176CDE" w:rsidRPr="00813D19">
        <w:rPr>
          <w:lang w:val="en-US"/>
        </w:rPr>
        <w:t xml:space="preserve"> the intervention </w:t>
      </w:r>
      <w:r w:rsidR="003C66AF" w:rsidRPr="00813D19">
        <w:rPr>
          <w:lang w:val="en-US"/>
        </w:rPr>
        <w:t xml:space="preserve">by Cuba regarding the </w:t>
      </w:r>
      <w:r w:rsidR="00176CDE" w:rsidRPr="00813D19">
        <w:rPr>
          <w:lang w:val="en-US"/>
        </w:rPr>
        <w:t xml:space="preserve">technical </w:t>
      </w:r>
      <w:r w:rsidR="003C66AF" w:rsidRPr="00813D19">
        <w:rPr>
          <w:lang w:val="en-US"/>
        </w:rPr>
        <w:t xml:space="preserve">language used in a </w:t>
      </w:r>
      <w:r w:rsidR="00176CDE" w:rsidRPr="00813D19">
        <w:rPr>
          <w:lang w:val="en-US"/>
        </w:rPr>
        <w:t>draft decision relating to the reports</w:t>
      </w:r>
      <w:r w:rsidR="00087166">
        <w:rPr>
          <w:lang w:val="en-US"/>
        </w:rPr>
        <w:t>, which should be maintained.</w:t>
      </w:r>
    </w:p>
    <w:p w14:paraId="2B0E9B14" w14:textId="791CE10C" w:rsidR="003C66AF" w:rsidRPr="00813D19" w:rsidRDefault="003C66AF" w:rsidP="003C66AF">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sought to hear whether a Committee Member seconded the amendment by Armenia, noting that Cuba and Palestine had expressed reservations, adding that the amendment could not be considered without support.</w:t>
      </w:r>
    </w:p>
    <w:p w14:paraId="39BC0472" w14:textId="22184D71" w:rsidR="00596BE7" w:rsidRPr="00813D19" w:rsidRDefault="00596BE7" w:rsidP="002D1C93">
      <w:pPr>
        <w:pStyle w:val="Orateurengris"/>
        <w:widowControl w:val="0"/>
        <w:spacing w:before="120"/>
        <w:ind w:left="709" w:hanging="709"/>
        <w:rPr>
          <w:lang w:val="en-US"/>
        </w:rPr>
      </w:pPr>
      <w:r w:rsidRPr="00813D19">
        <w:rPr>
          <w:lang w:val="en-US"/>
        </w:rPr>
        <w:t xml:space="preserve">The </w:t>
      </w:r>
      <w:r w:rsidRPr="00813D19">
        <w:rPr>
          <w:b/>
          <w:lang w:val="en-US"/>
        </w:rPr>
        <w:t>delegation of Cuba</w:t>
      </w:r>
      <w:r w:rsidR="00E966C5" w:rsidRPr="00813D19">
        <w:rPr>
          <w:b/>
          <w:lang w:val="en-US"/>
        </w:rPr>
        <w:t xml:space="preserve"> </w:t>
      </w:r>
      <w:r w:rsidR="003C66AF" w:rsidRPr="00813D19">
        <w:rPr>
          <w:lang w:val="en-US"/>
        </w:rPr>
        <w:t xml:space="preserve">wished to clarify that </w:t>
      </w:r>
      <w:r w:rsidR="003C66AF" w:rsidRPr="00813D19">
        <w:rPr>
          <w:bCs/>
          <w:lang w:val="en-US"/>
        </w:rPr>
        <w:t xml:space="preserve">it was </w:t>
      </w:r>
      <w:r w:rsidR="00E966C5" w:rsidRPr="00813D19">
        <w:rPr>
          <w:bCs/>
          <w:lang w:val="en-US"/>
        </w:rPr>
        <w:t>not questioning the right to modify any of the wording in any of the decisions</w:t>
      </w:r>
      <w:r w:rsidR="003C66AF" w:rsidRPr="00813D19">
        <w:rPr>
          <w:bCs/>
          <w:lang w:val="en-US"/>
        </w:rPr>
        <w:t xml:space="preserve">, but that there was </w:t>
      </w:r>
      <w:r w:rsidR="003C66AF" w:rsidRPr="00813D19">
        <w:rPr>
          <w:lang w:val="en-US"/>
        </w:rPr>
        <w:t xml:space="preserve">standard agreed language used when adopting these kinds of decisions on reports. </w:t>
      </w:r>
      <w:r w:rsidR="003C66AF" w:rsidRPr="00813D19">
        <w:rPr>
          <w:bCs/>
          <w:lang w:val="en-US"/>
        </w:rPr>
        <w:t xml:space="preserve">The Committee had the right </w:t>
      </w:r>
      <w:r w:rsidR="00E966C5" w:rsidRPr="00813D19">
        <w:rPr>
          <w:bCs/>
          <w:lang w:val="en-US"/>
        </w:rPr>
        <w:t xml:space="preserve">to change any words </w:t>
      </w:r>
      <w:r w:rsidR="003C66AF" w:rsidRPr="00813D19">
        <w:rPr>
          <w:bCs/>
          <w:lang w:val="en-US"/>
        </w:rPr>
        <w:t xml:space="preserve">it wished, and it agreed </w:t>
      </w:r>
      <w:r w:rsidR="00E966C5" w:rsidRPr="00813D19">
        <w:rPr>
          <w:bCs/>
          <w:lang w:val="en-US"/>
        </w:rPr>
        <w:t xml:space="preserve">with the idea of </w:t>
      </w:r>
      <w:r w:rsidR="003C66AF" w:rsidRPr="00813D19">
        <w:rPr>
          <w:bCs/>
          <w:lang w:val="en-US"/>
        </w:rPr>
        <w:t xml:space="preserve">proceeding </w:t>
      </w:r>
      <w:r w:rsidR="00E966C5" w:rsidRPr="00813D19">
        <w:rPr>
          <w:lang w:val="en-US"/>
        </w:rPr>
        <w:t>paragraph</w:t>
      </w:r>
      <w:r w:rsidR="00BC35F1">
        <w:rPr>
          <w:lang w:val="en-US"/>
        </w:rPr>
        <w:t xml:space="preserve"> </w:t>
      </w:r>
      <w:r w:rsidR="00E966C5" w:rsidRPr="00813D19">
        <w:rPr>
          <w:lang w:val="en-US"/>
        </w:rPr>
        <w:t>by</w:t>
      </w:r>
      <w:r w:rsidR="00BC35F1">
        <w:rPr>
          <w:lang w:val="en-US"/>
        </w:rPr>
        <w:t xml:space="preserve"> </w:t>
      </w:r>
      <w:r w:rsidR="00E966C5" w:rsidRPr="00813D19">
        <w:rPr>
          <w:lang w:val="en-US"/>
        </w:rPr>
        <w:t xml:space="preserve">paragraph. </w:t>
      </w:r>
      <w:r w:rsidR="003C66AF" w:rsidRPr="00813D19">
        <w:rPr>
          <w:lang w:val="en-US"/>
        </w:rPr>
        <w:t xml:space="preserve">However, the delegation appealed to </w:t>
      </w:r>
      <w:r w:rsidR="00E966C5" w:rsidRPr="00813D19">
        <w:rPr>
          <w:lang w:val="en-US"/>
        </w:rPr>
        <w:t xml:space="preserve">Armenia </w:t>
      </w:r>
      <w:r w:rsidR="003C66AF" w:rsidRPr="00813D19">
        <w:rPr>
          <w:lang w:val="en-US"/>
        </w:rPr>
        <w:t xml:space="preserve">to accept that this was </w:t>
      </w:r>
      <w:r w:rsidR="00E966C5" w:rsidRPr="00813D19">
        <w:rPr>
          <w:lang w:val="en-US"/>
        </w:rPr>
        <w:t>a point of formality ra</w:t>
      </w:r>
      <w:r w:rsidR="00087166">
        <w:rPr>
          <w:lang w:val="en-US"/>
        </w:rPr>
        <w:t>ther than a point of substance.</w:t>
      </w:r>
    </w:p>
    <w:p w14:paraId="7681D3BC" w14:textId="195FB7B4" w:rsidR="00572189" w:rsidRPr="00813D19" w:rsidRDefault="00833238" w:rsidP="00572189">
      <w:pPr>
        <w:pStyle w:val="Orateurengris"/>
        <w:widowControl w:val="0"/>
        <w:spacing w:before="120"/>
        <w:ind w:left="709" w:hanging="709"/>
        <w:rPr>
          <w:lang w:val="en-US"/>
        </w:rPr>
      </w:pPr>
      <w:r w:rsidRPr="00813D19">
        <w:rPr>
          <w:lang w:val="en-US"/>
        </w:rPr>
        <w:t xml:space="preserve">The </w:t>
      </w:r>
      <w:r w:rsidRPr="00813D19">
        <w:rPr>
          <w:b/>
          <w:lang w:val="en-US"/>
        </w:rPr>
        <w:t>delegation of Armenia</w:t>
      </w:r>
      <w:r w:rsidRPr="00813D19">
        <w:rPr>
          <w:lang w:val="en-US"/>
        </w:rPr>
        <w:t xml:space="preserve"> </w:t>
      </w:r>
      <w:r w:rsidR="003C66AF" w:rsidRPr="00813D19">
        <w:rPr>
          <w:bCs/>
          <w:lang w:val="en-US"/>
        </w:rPr>
        <w:t>t</w:t>
      </w:r>
      <w:r w:rsidR="00B65D03" w:rsidRPr="00813D19">
        <w:rPr>
          <w:bCs/>
          <w:lang w:val="en-US"/>
        </w:rPr>
        <w:t>hank</w:t>
      </w:r>
      <w:r w:rsidR="003C66AF" w:rsidRPr="00813D19">
        <w:rPr>
          <w:bCs/>
          <w:lang w:val="en-US"/>
        </w:rPr>
        <w:t>ed</w:t>
      </w:r>
      <w:r w:rsidR="00B65D03" w:rsidRPr="00813D19">
        <w:rPr>
          <w:bCs/>
          <w:lang w:val="en-US"/>
        </w:rPr>
        <w:t xml:space="preserve"> Cuba for </w:t>
      </w:r>
      <w:r w:rsidR="008D22CD" w:rsidRPr="00813D19">
        <w:rPr>
          <w:bCs/>
          <w:lang w:val="en-US"/>
        </w:rPr>
        <w:t>its constructive proposal</w:t>
      </w:r>
      <w:r w:rsidR="00A41110" w:rsidRPr="00813D19">
        <w:rPr>
          <w:bCs/>
          <w:lang w:val="en-US"/>
        </w:rPr>
        <w:t xml:space="preserve">, but </w:t>
      </w:r>
      <w:r w:rsidR="008D22CD" w:rsidRPr="00813D19">
        <w:rPr>
          <w:bCs/>
          <w:lang w:val="en-US"/>
        </w:rPr>
        <w:t xml:space="preserve">it </w:t>
      </w:r>
      <w:r w:rsidR="00A41110" w:rsidRPr="00813D19">
        <w:rPr>
          <w:bCs/>
          <w:lang w:val="en-US"/>
        </w:rPr>
        <w:t xml:space="preserve">also wished </w:t>
      </w:r>
      <w:r w:rsidR="00B65D03" w:rsidRPr="00813D19">
        <w:rPr>
          <w:bCs/>
          <w:lang w:val="en-US"/>
        </w:rPr>
        <w:t>to ask the Committee</w:t>
      </w:r>
      <w:r w:rsidR="00A41110" w:rsidRPr="00813D19">
        <w:rPr>
          <w:bCs/>
          <w:lang w:val="en-US"/>
        </w:rPr>
        <w:t xml:space="preserve"> Members whether it could adopt a biased and political report, even though it conceded that the use of language </w:t>
      </w:r>
      <w:r w:rsidR="008D22CD" w:rsidRPr="00813D19">
        <w:rPr>
          <w:bCs/>
          <w:lang w:val="en-US"/>
        </w:rPr>
        <w:t xml:space="preserve">was generally a </w:t>
      </w:r>
      <w:r w:rsidR="00B65D03" w:rsidRPr="00813D19">
        <w:rPr>
          <w:bCs/>
          <w:lang w:val="en-US"/>
        </w:rPr>
        <w:t>technical issue</w:t>
      </w:r>
      <w:r w:rsidR="00A41110" w:rsidRPr="00813D19">
        <w:rPr>
          <w:bCs/>
          <w:lang w:val="en-US"/>
        </w:rPr>
        <w:t>,</w:t>
      </w:r>
      <w:r w:rsidR="00B65D03" w:rsidRPr="00813D19">
        <w:rPr>
          <w:bCs/>
          <w:lang w:val="en-US"/>
        </w:rPr>
        <w:t xml:space="preserve"> </w:t>
      </w:r>
      <w:r w:rsidR="00BC35F1">
        <w:rPr>
          <w:bCs/>
          <w:lang w:val="en-US"/>
        </w:rPr>
        <w:t>though</w:t>
      </w:r>
      <w:r w:rsidR="00BC35F1" w:rsidRPr="00813D19">
        <w:rPr>
          <w:bCs/>
          <w:lang w:val="en-US"/>
        </w:rPr>
        <w:t xml:space="preserve"> </w:t>
      </w:r>
      <w:r w:rsidR="00A41110" w:rsidRPr="00813D19">
        <w:rPr>
          <w:bCs/>
          <w:lang w:val="en-US"/>
        </w:rPr>
        <w:t xml:space="preserve">not </w:t>
      </w:r>
      <w:r w:rsidR="00B65D03" w:rsidRPr="00813D19">
        <w:rPr>
          <w:bCs/>
          <w:lang w:val="en-US"/>
        </w:rPr>
        <w:t xml:space="preserve">in this case. </w:t>
      </w:r>
      <w:r w:rsidR="00D232A0" w:rsidRPr="00813D19">
        <w:rPr>
          <w:bCs/>
          <w:lang w:val="en-US"/>
        </w:rPr>
        <w:t xml:space="preserve">It explained </w:t>
      </w:r>
      <w:r w:rsidR="00A41110" w:rsidRPr="00813D19">
        <w:rPr>
          <w:bCs/>
          <w:lang w:val="en-US"/>
        </w:rPr>
        <w:t xml:space="preserve">that this type of report was also setting </w:t>
      </w:r>
      <w:r w:rsidR="00B65D03" w:rsidRPr="00813D19">
        <w:rPr>
          <w:bCs/>
          <w:lang w:val="en-US"/>
        </w:rPr>
        <w:t>another precedent for UNESCO</w:t>
      </w:r>
      <w:r w:rsidR="00572189" w:rsidRPr="00813D19">
        <w:rPr>
          <w:bCs/>
          <w:lang w:val="en-US"/>
        </w:rPr>
        <w:t xml:space="preserve"> and the Committee should not solely consider the technical aspect of the language.</w:t>
      </w:r>
    </w:p>
    <w:p w14:paraId="76DFA500" w14:textId="62E7897A" w:rsidR="00184327" w:rsidRPr="00087166" w:rsidRDefault="00184327" w:rsidP="002D1C93">
      <w:pPr>
        <w:pStyle w:val="Orateurengris"/>
        <w:widowControl w:val="0"/>
        <w:spacing w:before="120"/>
        <w:ind w:left="709" w:hanging="709"/>
        <w:rPr>
          <w:bCs/>
          <w:lang w:val="en-US"/>
        </w:rPr>
      </w:pPr>
      <w:r w:rsidRPr="00813D19">
        <w:rPr>
          <w:lang w:val="en-US"/>
        </w:rPr>
        <w:t xml:space="preserve">The </w:t>
      </w:r>
      <w:r w:rsidRPr="00813D19">
        <w:rPr>
          <w:b/>
          <w:lang w:val="en-US"/>
        </w:rPr>
        <w:t xml:space="preserve">Chairperson </w:t>
      </w:r>
      <w:r w:rsidR="00B65D03" w:rsidRPr="00813D19">
        <w:rPr>
          <w:bCs/>
          <w:lang w:val="en-US"/>
        </w:rPr>
        <w:t>remind</w:t>
      </w:r>
      <w:r w:rsidR="00572189" w:rsidRPr="00813D19">
        <w:rPr>
          <w:bCs/>
          <w:lang w:val="en-US"/>
        </w:rPr>
        <w:t xml:space="preserve">ed the Committee </w:t>
      </w:r>
      <w:r w:rsidR="00B65D03" w:rsidRPr="00813D19">
        <w:rPr>
          <w:bCs/>
          <w:lang w:val="en-US"/>
        </w:rPr>
        <w:t xml:space="preserve">that </w:t>
      </w:r>
      <w:r w:rsidR="00572189" w:rsidRPr="00813D19">
        <w:rPr>
          <w:bCs/>
          <w:lang w:val="en-US"/>
        </w:rPr>
        <w:t xml:space="preserve">the debate was </w:t>
      </w:r>
      <w:r w:rsidR="00B65D03" w:rsidRPr="00813D19">
        <w:rPr>
          <w:bCs/>
          <w:lang w:val="en-US"/>
        </w:rPr>
        <w:t>closed</w:t>
      </w:r>
      <w:r w:rsidR="00572189" w:rsidRPr="00813D19">
        <w:rPr>
          <w:bCs/>
          <w:lang w:val="en-US"/>
        </w:rPr>
        <w:t xml:space="preserve"> and it was being asked </w:t>
      </w:r>
      <w:r w:rsidR="00B65D03" w:rsidRPr="00813D19">
        <w:rPr>
          <w:bCs/>
          <w:lang w:val="en-US"/>
        </w:rPr>
        <w:t xml:space="preserve">to </w:t>
      </w:r>
      <w:r w:rsidR="00572189" w:rsidRPr="00813D19">
        <w:rPr>
          <w:bCs/>
          <w:lang w:val="en-US"/>
        </w:rPr>
        <w:t xml:space="preserve">decide on </w:t>
      </w:r>
      <w:r w:rsidR="00B65D03" w:rsidRPr="00813D19">
        <w:rPr>
          <w:bCs/>
          <w:lang w:val="en-US"/>
        </w:rPr>
        <w:t xml:space="preserve">the amendment </w:t>
      </w:r>
      <w:r w:rsidR="00572189" w:rsidRPr="00813D19">
        <w:rPr>
          <w:bCs/>
          <w:lang w:val="en-US"/>
        </w:rPr>
        <w:t xml:space="preserve">proposed by Armenia, while taking </w:t>
      </w:r>
      <w:r w:rsidR="00B65D03" w:rsidRPr="00813D19">
        <w:rPr>
          <w:bCs/>
          <w:lang w:val="en-US"/>
        </w:rPr>
        <w:t>note of Cuba</w:t>
      </w:r>
      <w:r w:rsidR="00572189" w:rsidRPr="00813D19">
        <w:rPr>
          <w:bCs/>
          <w:lang w:val="en-US"/>
        </w:rPr>
        <w:t>’s remarks</w:t>
      </w:r>
      <w:r w:rsidR="00B65D03" w:rsidRPr="00813D19">
        <w:rPr>
          <w:bCs/>
          <w:lang w:val="en-US"/>
        </w:rPr>
        <w:t xml:space="preserve"> </w:t>
      </w:r>
      <w:r w:rsidR="00572189" w:rsidRPr="00813D19">
        <w:rPr>
          <w:bCs/>
          <w:lang w:val="en-US"/>
        </w:rPr>
        <w:t xml:space="preserve">on the use of standard wording and its support to proceed </w:t>
      </w:r>
      <w:r w:rsidR="00B65D03" w:rsidRPr="00813D19">
        <w:rPr>
          <w:bCs/>
          <w:lang w:val="en-US"/>
        </w:rPr>
        <w:t>paragraph</w:t>
      </w:r>
      <w:r w:rsidR="00BC35F1">
        <w:rPr>
          <w:bCs/>
          <w:lang w:val="en-US"/>
        </w:rPr>
        <w:t xml:space="preserve"> </w:t>
      </w:r>
      <w:r w:rsidR="00B65D03" w:rsidRPr="00813D19">
        <w:rPr>
          <w:bCs/>
          <w:lang w:val="en-US"/>
        </w:rPr>
        <w:t>by</w:t>
      </w:r>
      <w:r w:rsidR="00BC35F1">
        <w:rPr>
          <w:bCs/>
          <w:lang w:val="en-US"/>
        </w:rPr>
        <w:t xml:space="preserve"> </w:t>
      </w:r>
      <w:r w:rsidR="00B65D03" w:rsidRPr="00813D19">
        <w:rPr>
          <w:bCs/>
          <w:lang w:val="en-US"/>
        </w:rPr>
        <w:t xml:space="preserve">paragraph. </w:t>
      </w:r>
      <w:r w:rsidR="00572189" w:rsidRPr="00813D19">
        <w:rPr>
          <w:bCs/>
          <w:lang w:val="en-US"/>
        </w:rPr>
        <w:t xml:space="preserve">The Chairperson therefore invited support for Armenia’s amendment to </w:t>
      </w:r>
      <w:r w:rsidR="00BC35F1">
        <w:rPr>
          <w:bCs/>
          <w:lang w:val="en-US"/>
        </w:rPr>
        <w:t>replace</w:t>
      </w:r>
      <w:r w:rsidR="00BC35F1" w:rsidRPr="00813D19">
        <w:rPr>
          <w:bCs/>
          <w:lang w:val="en-US"/>
        </w:rPr>
        <w:t xml:space="preserve"> </w:t>
      </w:r>
      <w:r w:rsidR="00572189" w:rsidRPr="00813D19">
        <w:rPr>
          <w:bCs/>
          <w:lang w:val="en-US"/>
        </w:rPr>
        <w:t>‘</w:t>
      </w:r>
      <w:r w:rsidR="00B65D03" w:rsidRPr="00813D19">
        <w:rPr>
          <w:bCs/>
          <w:lang w:val="en-US"/>
        </w:rPr>
        <w:t>expresses its thanks to Azerbaijan</w:t>
      </w:r>
      <w:r w:rsidR="00572189" w:rsidRPr="00813D19">
        <w:rPr>
          <w:bCs/>
          <w:lang w:val="en-US"/>
        </w:rPr>
        <w:t>’</w:t>
      </w:r>
      <w:r w:rsidR="00B65D03" w:rsidRPr="00813D19">
        <w:rPr>
          <w:bCs/>
          <w:lang w:val="en-US"/>
        </w:rPr>
        <w:t xml:space="preserve"> </w:t>
      </w:r>
      <w:r w:rsidR="00572189" w:rsidRPr="00813D19">
        <w:rPr>
          <w:bCs/>
          <w:lang w:val="en-US"/>
        </w:rPr>
        <w:t>with ‘</w:t>
      </w:r>
      <w:r w:rsidR="00B65D03" w:rsidRPr="00813D19">
        <w:rPr>
          <w:bCs/>
          <w:lang w:val="en-US"/>
        </w:rPr>
        <w:t>takes note of the report submitted by Azerbaijan</w:t>
      </w:r>
      <w:r w:rsidR="00572189" w:rsidRPr="00813D19">
        <w:rPr>
          <w:bCs/>
          <w:lang w:val="en-US"/>
        </w:rPr>
        <w:t>’.</w:t>
      </w:r>
    </w:p>
    <w:p w14:paraId="577BEE84" w14:textId="640A59CE" w:rsidR="00387DD6" w:rsidRPr="00087166" w:rsidRDefault="00387DD6" w:rsidP="002D1C93">
      <w:pPr>
        <w:pStyle w:val="Orateurengris"/>
        <w:widowControl w:val="0"/>
        <w:spacing w:before="120"/>
        <w:ind w:left="709" w:hanging="709"/>
        <w:rPr>
          <w:bCs/>
          <w:lang w:val="en-US"/>
        </w:rPr>
      </w:pPr>
      <w:r w:rsidRPr="00813D19">
        <w:rPr>
          <w:lang w:val="en-US"/>
        </w:rPr>
        <w:t xml:space="preserve">The </w:t>
      </w:r>
      <w:r w:rsidRPr="00813D19">
        <w:rPr>
          <w:b/>
          <w:lang w:val="en-US"/>
        </w:rPr>
        <w:t>delegation of Cuba</w:t>
      </w:r>
      <w:r w:rsidR="00B65D03" w:rsidRPr="00813D19">
        <w:rPr>
          <w:b/>
          <w:lang w:val="en-US"/>
        </w:rPr>
        <w:t xml:space="preserve"> </w:t>
      </w:r>
      <w:r w:rsidR="00572189" w:rsidRPr="00813D19">
        <w:rPr>
          <w:bCs/>
          <w:lang w:val="en-US"/>
        </w:rPr>
        <w:t>understood</w:t>
      </w:r>
      <w:r w:rsidR="00B65D03" w:rsidRPr="00813D19">
        <w:rPr>
          <w:bCs/>
          <w:lang w:val="en-US"/>
        </w:rPr>
        <w:t xml:space="preserve"> </w:t>
      </w:r>
      <w:r w:rsidR="00572189" w:rsidRPr="00813D19">
        <w:rPr>
          <w:bCs/>
          <w:lang w:val="en-US"/>
        </w:rPr>
        <w:t xml:space="preserve">the Chairperson’s attempts </w:t>
      </w:r>
      <w:r w:rsidR="00B65D03" w:rsidRPr="00813D19">
        <w:rPr>
          <w:bCs/>
          <w:lang w:val="en-US"/>
        </w:rPr>
        <w:t xml:space="preserve">to facilitate </w:t>
      </w:r>
      <w:r w:rsidR="00572189" w:rsidRPr="00813D19">
        <w:rPr>
          <w:bCs/>
          <w:lang w:val="en-US"/>
        </w:rPr>
        <w:t xml:space="preserve">the </w:t>
      </w:r>
      <w:r w:rsidR="00B65D03" w:rsidRPr="00813D19">
        <w:rPr>
          <w:bCs/>
          <w:lang w:val="en-US"/>
        </w:rPr>
        <w:t>decision</w:t>
      </w:r>
      <w:r w:rsidR="00BC35F1">
        <w:rPr>
          <w:bCs/>
          <w:lang w:val="en-US"/>
        </w:rPr>
        <w:t>.</w:t>
      </w:r>
      <w:r w:rsidR="00572189" w:rsidRPr="00813D19">
        <w:rPr>
          <w:bCs/>
          <w:lang w:val="en-US"/>
        </w:rPr>
        <w:t xml:space="preserve"> </w:t>
      </w:r>
      <w:r w:rsidR="00BC35F1">
        <w:rPr>
          <w:bCs/>
          <w:lang w:val="en-US"/>
        </w:rPr>
        <w:t>H</w:t>
      </w:r>
      <w:r w:rsidR="00BC35F1" w:rsidRPr="00813D19">
        <w:rPr>
          <w:bCs/>
          <w:lang w:val="en-US"/>
        </w:rPr>
        <w:t>owever</w:t>
      </w:r>
      <w:r w:rsidR="00572189" w:rsidRPr="00813D19">
        <w:rPr>
          <w:bCs/>
          <w:lang w:val="en-US"/>
        </w:rPr>
        <w:t xml:space="preserve">, it did not support the idea of a vote </w:t>
      </w:r>
      <w:r w:rsidR="00B65D03" w:rsidRPr="00813D19">
        <w:rPr>
          <w:bCs/>
          <w:lang w:val="en-US"/>
        </w:rPr>
        <w:t>in favour or not in favour</w:t>
      </w:r>
      <w:r w:rsidR="00572189" w:rsidRPr="00813D19">
        <w:rPr>
          <w:bCs/>
          <w:lang w:val="en-US"/>
        </w:rPr>
        <w:t xml:space="preserve">, as there was already </w:t>
      </w:r>
      <w:r w:rsidR="00B65D03" w:rsidRPr="00813D19">
        <w:rPr>
          <w:bCs/>
          <w:lang w:val="en-US"/>
        </w:rPr>
        <w:t>a</w:t>
      </w:r>
      <w:r w:rsidR="00087166">
        <w:rPr>
          <w:bCs/>
          <w:lang w:val="en-US"/>
        </w:rPr>
        <w:t xml:space="preserve"> general consensus in the room.</w:t>
      </w:r>
    </w:p>
    <w:p w14:paraId="5FE56D71" w14:textId="7C242280" w:rsidR="00572189" w:rsidRPr="00813D19" w:rsidRDefault="00E47EEB" w:rsidP="002D1C93">
      <w:pPr>
        <w:pStyle w:val="Orateurengris"/>
        <w:widowControl w:val="0"/>
        <w:spacing w:before="120"/>
        <w:ind w:left="709" w:hanging="709"/>
        <w:rPr>
          <w:lang w:val="en-US"/>
        </w:rPr>
      </w:pPr>
      <w:r w:rsidRPr="00813D19">
        <w:rPr>
          <w:lang w:val="en-US"/>
        </w:rPr>
        <w:t xml:space="preserve">The </w:t>
      </w:r>
      <w:r w:rsidRPr="00813D19">
        <w:rPr>
          <w:b/>
          <w:lang w:val="en-US"/>
        </w:rPr>
        <w:t>delegation of Djibouti</w:t>
      </w:r>
      <w:r w:rsidR="00BA4401" w:rsidRPr="00813D19">
        <w:rPr>
          <w:b/>
          <w:lang w:val="en-US"/>
        </w:rPr>
        <w:t xml:space="preserve"> </w:t>
      </w:r>
      <w:r w:rsidR="00572189" w:rsidRPr="00813D19">
        <w:rPr>
          <w:lang w:val="en-US"/>
        </w:rPr>
        <w:t>explained that although it was</w:t>
      </w:r>
      <w:r w:rsidR="00BC35F1">
        <w:rPr>
          <w:lang w:val="en-US"/>
        </w:rPr>
        <w:t xml:space="preserve"> its</w:t>
      </w:r>
      <w:r w:rsidR="00572189" w:rsidRPr="00813D19">
        <w:rPr>
          <w:lang w:val="en-US"/>
        </w:rPr>
        <w:t xml:space="preserve"> first time</w:t>
      </w:r>
      <w:r w:rsidR="00572189" w:rsidRPr="00813D19">
        <w:rPr>
          <w:b/>
          <w:lang w:val="en-US"/>
        </w:rPr>
        <w:t xml:space="preserve"> </w:t>
      </w:r>
      <w:r w:rsidR="00572189" w:rsidRPr="00813D19">
        <w:rPr>
          <w:lang w:val="en-US"/>
        </w:rPr>
        <w:t xml:space="preserve">participating in the Committee, it recognized the customary use of ‘expresses its thanks’ </w:t>
      </w:r>
      <w:r w:rsidR="00F65B7A" w:rsidRPr="00813D19">
        <w:rPr>
          <w:lang w:val="en-US"/>
        </w:rPr>
        <w:t xml:space="preserve">rather than ‘takes note’. Thus, there was no reason to alter the standard wording </w:t>
      </w:r>
      <w:r w:rsidR="00572189" w:rsidRPr="00813D19">
        <w:rPr>
          <w:lang w:val="en-US"/>
        </w:rPr>
        <w:t>for reasons other than technical</w:t>
      </w:r>
      <w:r w:rsidR="00BC35F1">
        <w:rPr>
          <w:lang w:val="en-US"/>
        </w:rPr>
        <w:t xml:space="preserve"> ones</w:t>
      </w:r>
      <w:r w:rsidR="00572189" w:rsidRPr="00813D19">
        <w:rPr>
          <w:lang w:val="en-US"/>
        </w:rPr>
        <w:t xml:space="preserve">, </w:t>
      </w:r>
      <w:r w:rsidR="00DA3FCC" w:rsidRPr="00813D19">
        <w:rPr>
          <w:lang w:val="en-US"/>
        </w:rPr>
        <w:t xml:space="preserve">and </w:t>
      </w:r>
      <w:r w:rsidR="00D232A0" w:rsidRPr="00813D19">
        <w:rPr>
          <w:lang w:val="en-US"/>
        </w:rPr>
        <w:t xml:space="preserve">in </w:t>
      </w:r>
      <w:r w:rsidR="00DA3FCC" w:rsidRPr="00813D19">
        <w:rPr>
          <w:lang w:val="en-US"/>
        </w:rPr>
        <w:t>this way</w:t>
      </w:r>
      <w:r w:rsidR="00D232A0" w:rsidRPr="00813D19">
        <w:rPr>
          <w:lang w:val="en-US"/>
        </w:rPr>
        <w:t>, the o</w:t>
      </w:r>
      <w:r w:rsidR="00DA3FCC" w:rsidRPr="00813D19">
        <w:rPr>
          <w:lang w:val="en-US"/>
        </w:rPr>
        <w:t xml:space="preserve">ther amendments could be treated more </w:t>
      </w:r>
      <w:r w:rsidR="00572189" w:rsidRPr="00813D19">
        <w:rPr>
          <w:lang w:val="en-US"/>
        </w:rPr>
        <w:t>tho</w:t>
      </w:r>
      <w:r w:rsidR="00DA3FCC" w:rsidRPr="00813D19">
        <w:rPr>
          <w:lang w:val="en-US"/>
        </w:rPr>
        <w:t>roughly.</w:t>
      </w:r>
    </w:p>
    <w:p w14:paraId="4C26A96A" w14:textId="4E37F7DC" w:rsidR="00DA3FCC" w:rsidRPr="00087166" w:rsidRDefault="001F5D96" w:rsidP="00DA3FCC">
      <w:pPr>
        <w:pStyle w:val="Orateurengris"/>
        <w:widowControl w:val="0"/>
        <w:spacing w:before="120"/>
        <w:ind w:left="709" w:hanging="709"/>
        <w:rPr>
          <w:bCs/>
          <w:lang w:val="en-US"/>
        </w:rPr>
      </w:pPr>
      <w:r w:rsidRPr="00813D19">
        <w:rPr>
          <w:lang w:val="en-US"/>
        </w:rPr>
        <w:t xml:space="preserve">The </w:t>
      </w:r>
      <w:r w:rsidRPr="00813D19">
        <w:rPr>
          <w:b/>
          <w:lang w:val="en-US"/>
        </w:rPr>
        <w:t>Chairperson</w:t>
      </w:r>
      <w:r w:rsidRPr="00813D19">
        <w:rPr>
          <w:lang w:val="en-US"/>
        </w:rPr>
        <w:t xml:space="preserve"> </w:t>
      </w:r>
      <w:r w:rsidR="00DA3FCC" w:rsidRPr="00813D19">
        <w:rPr>
          <w:lang w:val="en-US"/>
        </w:rPr>
        <w:t>reiterated that ther</w:t>
      </w:r>
      <w:r w:rsidR="00087166">
        <w:rPr>
          <w:lang w:val="en-US"/>
        </w:rPr>
        <w:t>e was no debate at this stage.</w:t>
      </w:r>
    </w:p>
    <w:p w14:paraId="405AE1AE" w14:textId="194B92B4" w:rsidR="001F5D96" w:rsidRPr="00087166" w:rsidRDefault="001F5D96" w:rsidP="002D1C93">
      <w:pPr>
        <w:pStyle w:val="Orateurengris"/>
        <w:widowControl w:val="0"/>
        <w:spacing w:before="120"/>
        <w:ind w:left="709" w:hanging="709"/>
        <w:rPr>
          <w:bCs/>
          <w:lang w:val="en-US"/>
        </w:rPr>
      </w:pPr>
      <w:r w:rsidRPr="00813D19">
        <w:rPr>
          <w:lang w:val="en-US"/>
        </w:rPr>
        <w:t>The</w:t>
      </w:r>
      <w:r w:rsidRPr="00813D19">
        <w:rPr>
          <w:b/>
          <w:lang w:val="en-US"/>
        </w:rPr>
        <w:t xml:space="preserve"> delegation of the Philippines</w:t>
      </w:r>
      <w:r w:rsidR="00B65D03" w:rsidRPr="00813D19">
        <w:rPr>
          <w:b/>
          <w:lang w:val="en-US"/>
        </w:rPr>
        <w:t xml:space="preserve"> </w:t>
      </w:r>
      <w:r w:rsidR="00DA3FCC" w:rsidRPr="00813D19">
        <w:rPr>
          <w:lang w:val="en-US"/>
        </w:rPr>
        <w:t>remarked that</w:t>
      </w:r>
      <w:r w:rsidR="00DA3FCC" w:rsidRPr="00813D19">
        <w:rPr>
          <w:b/>
          <w:lang w:val="en-US"/>
        </w:rPr>
        <w:t xml:space="preserve"> </w:t>
      </w:r>
      <w:r w:rsidR="00B65D03" w:rsidRPr="00813D19">
        <w:rPr>
          <w:bCs/>
          <w:lang w:val="en-US"/>
        </w:rPr>
        <w:t xml:space="preserve">the discussion on the draft decision </w:t>
      </w:r>
      <w:r w:rsidR="00DA3FCC" w:rsidRPr="00813D19">
        <w:rPr>
          <w:bCs/>
          <w:lang w:val="en-US"/>
        </w:rPr>
        <w:t xml:space="preserve">could </w:t>
      </w:r>
      <w:r w:rsidR="00B65D03" w:rsidRPr="00813D19">
        <w:rPr>
          <w:bCs/>
          <w:lang w:val="en-US"/>
        </w:rPr>
        <w:t>take a long time</w:t>
      </w:r>
      <w:r w:rsidR="00DA3FCC" w:rsidRPr="00813D19">
        <w:rPr>
          <w:bCs/>
          <w:lang w:val="en-US"/>
        </w:rPr>
        <w:t xml:space="preserve"> and therefore—for the sake of transparency and efficiency—</w:t>
      </w:r>
      <w:r w:rsidR="00391E9A" w:rsidRPr="00813D19">
        <w:rPr>
          <w:bCs/>
          <w:lang w:val="en-US"/>
        </w:rPr>
        <w:t xml:space="preserve"> it made a procedural suggestion </w:t>
      </w:r>
      <w:r w:rsidR="00DA3FCC" w:rsidRPr="00813D19">
        <w:rPr>
          <w:bCs/>
          <w:lang w:val="en-US"/>
        </w:rPr>
        <w:t xml:space="preserve">that </w:t>
      </w:r>
      <w:r w:rsidR="00B65D03" w:rsidRPr="00813D19">
        <w:rPr>
          <w:bCs/>
          <w:lang w:val="en-US"/>
        </w:rPr>
        <w:t xml:space="preserve">Armenia present all </w:t>
      </w:r>
      <w:r w:rsidR="00DA3FCC" w:rsidRPr="00813D19">
        <w:rPr>
          <w:bCs/>
          <w:lang w:val="en-US"/>
        </w:rPr>
        <w:t xml:space="preserve">its </w:t>
      </w:r>
      <w:r w:rsidR="00B65D03" w:rsidRPr="00813D19">
        <w:rPr>
          <w:bCs/>
          <w:lang w:val="en-US"/>
        </w:rPr>
        <w:t xml:space="preserve">amendments to the draft decision as a whole </w:t>
      </w:r>
      <w:r w:rsidR="00DA3FCC" w:rsidRPr="00813D19">
        <w:rPr>
          <w:bCs/>
          <w:lang w:val="en-US"/>
        </w:rPr>
        <w:t xml:space="preserve">so that the </w:t>
      </w:r>
      <w:r w:rsidR="00B65D03" w:rsidRPr="00813D19">
        <w:rPr>
          <w:bCs/>
          <w:lang w:val="en-US"/>
        </w:rPr>
        <w:t xml:space="preserve">Committee </w:t>
      </w:r>
      <w:r w:rsidR="00DA3FCC" w:rsidRPr="00813D19">
        <w:rPr>
          <w:bCs/>
          <w:lang w:val="en-US"/>
        </w:rPr>
        <w:t xml:space="preserve">could decide on </w:t>
      </w:r>
      <w:r w:rsidR="00087166">
        <w:rPr>
          <w:bCs/>
          <w:lang w:val="en-US"/>
        </w:rPr>
        <w:t>the package of amendments.</w:t>
      </w:r>
    </w:p>
    <w:p w14:paraId="59A3C4B9" w14:textId="6D9CBD49" w:rsidR="00DA3FCC" w:rsidRPr="00087166" w:rsidRDefault="001F5D96" w:rsidP="002D1C93">
      <w:pPr>
        <w:pStyle w:val="Orateurengris"/>
        <w:widowControl w:val="0"/>
        <w:spacing w:before="120"/>
        <w:ind w:left="709" w:hanging="709"/>
        <w:rPr>
          <w:bCs/>
          <w:lang w:val="en-US"/>
        </w:rPr>
      </w:pPr>
      <w:r w:rsidRPr="00813D19">
        <w:rPr>
          <w:lang w:val="en-US"/>
        </w:rPr>
        <w:t xml:space="preserve">The </w:t>
      </w:r>
      <w:r w:rsidRPr="00813D19">
        <w:rPr>
          <w:b/>
          <w:lang w:val="en-US"/>
        </w:rPr>
        <w:t>delegation of Palestine</w:t>
      </w:r>
      <w:r w:rsidR="00B65D03" w:rsidRPr="00813D19">
        <w:rPr>
          <w:b/>
          <w:lang w:val="en-US"/>
        </w:rPr>
        <w:t xml:space="preserve"> </w:t>
      </w:r>
      <w:r w:rsidR="00DA3FCC" w:rsidRPr="00813D19">
        <w:rPr>
          <w:lang w:val="en-US"/>
        </w:rPr>
        <w:t>agreed with the proposal</w:t>
      </w:r>
      <w:r w:rsidR="00DA3FCC" w:rsidRPr="00813D19">
        <w:rPr>
          <w:b/>
          <w:lang w:val="en-US"/>
        </w:rPr>
        <w:t xml:space="preserve"> </w:t>
      </w:r>
      <w:r w:rsidR="00DA3FCC" w:rsidRPr="00813D19">
        <w:rPr>
          <w:lang w:val="en-US"/>
        </w:rPr>
        <w:t>by the Philippines on saving time by asking Armenia to present all its amendments as a single package for the Committee’s decision, without suspending the meeting.</w:t>
      </w:r>
    </w:p>
    <w:p w14:paraId="449868A4" w14:textId="38A72F5B" w:rsidR="001F5D96" w:rsidRPr="00087166" w:rsidRDefault="001F5D96" w:rsidP="002D1C93">
      <w:pPr>
        <w:pStyle w:val="Orateurengris"/>
        <w:widowControl w:val="0"/>
        <w:spacing w:before="120"/>
        <w:ind w:left="709" w:hanging="709"/>
        <w:rPr>
          <w:bCs/>
          <w:lang w:val="en-US"/>
        </w:rPr>
      </w:pPr>
      <w:r w:rsidRPr="00813D19">
        <w:rPr>
          <w:lang w:val="en-US"/>
        </w:rPr>
        <w:t xml:space="preserve">The </w:t>
      </w:r>
      <w:r w:rsidRPr="00813D19">
        <w:rPr>
          <w:b/>
          <w:lang w:val="en-US"/>
        </w:rPr>
        <w:t>delegation of Cuba</w:t>
      </w:r>
      <w:r w:rsidR="00B65D03" w:rsidRPr="00813D19">
        <w:rPr>
          <w:b/>
          <w:lang w:val="en-US"/>
        </w:rPr>
        <w:t xml:space="preserve"> </w:t>
      </w:r>
      <w:r w:rsidR="00B65D03" w:rsidRPr="00813D19">
        <w:rPr>
          <w:bCs/>
          <w:lang w:val="en-US"/>
        </w:rPr>
        <w:t>also support</w:t>
      </w:r>
      <w:r w:rsidR="00DA3FCC" w:rsidRPr="00813D19">
        <w:rPr>
          <w:bCs/>
          <w:lang w:val="en-US"/>
        </w:rPr>
        <w:t>ed</w:t>
      </w:r>
      <w:r w:rsidR="00B65D03" w:rsidRPr="00813D19">
        <w:rPr>
          <w:bCs/>
          <w:lang w:val="en-US"/>
        </w:rPr>
        <w:t xml:space="preserve"> the proposal by the Philippines</w:t>
      </w:r>
      <w:r w:rsidR="00DA3FCC" w:rsidRPr="00813D19">
        <w:rPr>
          <w:bCs/>
          <w:lang w:val="en-US"/>
        </w:rPr>
        <w:t xml:space="preserve"> and </w:t>
      </w:r>
      <w:r w:rsidR="00391E9A" w:rsidRPr="00813D19">
        <w:rPr>
          <w:bCs/>
          <w:lang w:val="en-US"/>
        </w:rPr>
        <w:t xml:space="preserve">supported by </w:t>
      </w:r>
      <w:r w:rsidR="00DA3FCC" w:rsidRPr="00813D19">
        <w:rPr>
          <w:bCs/>
          <w:lang w:val="en-US"/>
        </w:rPr>
        <w:t>Palestine,</w:t>
      </w:r>
      <w:r w:rsidR="00B65D03" w:rsidRPr="00813D19">
        <w:rPr>
          <w:bCs/>
          <w:lang w:val="en-US"/>
        </w:rPr>
        <w:t xml:space="preserve"> </w:t>
      </w:r>
      <w:r w:rsidR="00DA3FCC" w:rsidRPr="00813D19">
        <w:rPr>
          <w:bCs/>
          <w:lang w:val="en-US"/>
        </w:rPr>
        <w:t xml:space="preserve">but wished to first </w:t>
      </w:r>
      <w:r w:rsidR="00B65D03" w:rsidRPr="00813D19">
        <w:rPr>
          <w:bCs/>
          <w:lang w:val="en-US"/>
        </w:rPr>
        <w:t xml:space="preserve">settle the language </w:t>
      </w:r>
      <w:r w:rsidR="00DA3FCC" w:rsidRPr="00813D19">
        <w:rPr>
          <w:bCs/>
          <w:lang w:val="en-US"/>
        </w:rPr>
        <w:t xml:space="preserve">in the </w:t>
      </w:r>
      <w:r w:rsidR="00B65D03" w:rsidRPr="00813D19">
        <w:rPr>
          <w:bCs/>
          <w:lang w:val="en-US"/>
        </w:rPr>
        <w:t>first operative paragraph</w:t>
      </w:r>
      <w:r w:rsidR="00DA3FCC" w:rsidRPr="00813D19">
        <w:rPr>
          <w:bCs/>
          <w:lang w:val="en-US"/>
        </w:rPr>
        <w:t xml:space="preserve">, appealing </w:t>
      </w:r>
      <w:r w:rsidR="00B65D03" w:rsidRPr="00813D19">
        <w:rPr>
          <w:bCs/>
          <w:lang w:val="en-US"/>
        </w:rPr>
        <w:t>to Ar</w:t>
      </w:r>
      <w:r w:rsidR="00087166">
        <w:rPr>
          <w:bCs/>
          <w:lang w:val="en-US"/>
        </w:rPr>
        <w:t>menia to show some flexibility.</w:t>
      </w:r>
    </w:p>
    <w:p w14:paraId="1F58DFDA" w14:textId="114C9392" w:rsidR="008E6BF7" w:rsidRPr="00087166" w:rsidRDefault="008E6BF7" w:rsidP="002D1C93">
      <w:pPr>
        <w:pStyle w:val="Orateurengris"/>
        <w:widowControl w:val="0"/>
        <w:spacing w:before="120"/>
        <w:ind w:left="709" w:hanging="709"/>
        <w:rPr>
          <w:bCs/>
          <w:lang w:val="en-US"/>
        </w:rPr>
      </w:pPr>
      <w:r w:rsidRPr="00813D19">
        <w:rPr>
          <w:lang w:val="en-US"/>
        </w:rPr>
        <w:t xml:space="preserve">The </w:t>
      </w:r>
      <w:r w:rsidRPr="00813D19">
        <w:rPr>
          <w:b/>
          <w:lang w:val="en-US"/>
        </w:rPr>
        <w:t>Chairperson</w:t>
      </w:r>
      <w:r w:rsidRPr="00813D19">
        <w:rPr>
          <w:lang w:val="en-US"/>
        </w:rPr>
        <w:t xml:space="preserve"> </w:t>
      </w:r>
      <w:r w:rsidR="008357BF" w:rsidRPr="00813D19">
        <w:rPr>
          <w:lang w:val="en-US"/>
        </w:rPr>
        <w:t xml:space="preserve">was </w:t>
      </w:r>
      <w:r w:rsidR="00B65D03" w:rsidRPr="00813D19">
        <w:rPr>
          <w:bCs/>
          <w:lang w:val="en-US"/>
        </w:rPr>
        <w:t xml:space="preserve">grateful to </w:t>
      </w:r>
      <w:r w:rsidR="008357BF" w:rsidRPr="00813D19">
        <w:rPr>
          <w:bCs/>
          <w:lang w:val="en-US"/>
        </w:rPr>
        <w:t xml:space="preserve">Committee </w:t>
      </w:r>
      <w:r w:rsidR="00B65D03" w:rsidRPr="00813D19">
        <w:rPr>
          <w:bCs/>
          <w:lang w:val="en-US"/>
        </w:rPr>
        <w:t>Member</w:t>
      </w:r>
      <w:r w:rsidR="008357BF" w:rsidRPr="00813D19">
        <w:rPr>
          <w:bCs/>
          <w:lang w:val="en-US"/>
        </w:rPr>
        <w:t>s</w:t>
      </w:r>
      <w:r w:rsidR="00B65D03" w:rsidRPr="00813D19">
        <w:rPr>
          <w:bCs/>
          <w:lang w:val="en-US"/>
        </w:rPr>
        <w:t xml:space="preserve"> </w:t>
      </w:r>
      <w:r w:rsidR="008357BF" w:rsidRPr="00813D19">
        <w:rPr>
          <w:bCs/>
          <w:lang w:val="en-US"/>
        </w:rPr>
        <w:t>for their const</w:t>
      </w:r>
      <w:r w:rsidR="00391E9A" w:rsidRPr="00813D19">
        <w:rPr>
          <w:bCs/>
          <w:lang w:val="en-US"/>
        </w:rPr>
        <w:t>ructive efforts in resolving this</w:t>
      </w:r>
      <w:r w:rsidR="008357BF" w:rsidRPr="00813D19">
        <w:rPr>
          <w:bCs/>
          <w:lang w:val="en-US"/>
        </w:rPr>
        <w:t xml:space="preserve"> exceptional </w:t>
      </w:r>
      <w:r w:rsidR="00B65D03" w:rsidRPr="00813D19">
        <w:rPr>
          <w:bCs/>
          <w:lang w:val="en-US"/>
        </w:rPr>
        <w:t xml:space="preserve">situation. </w:t>
      </w:r>
      <w:r w:rsidR="00391E9A" w:rsidRPr="00813D19">
        <w:rPr>
          <w:bCs/>
          <w:lang w:val="en-US"/>
        </w:rPr>
        <w:t>Noting the br</w:t>
      </w:r>
      <w:r w:rsidR="008357BF" w:rsidRPr="00813D19">
        <w:rPr>
          <w:bCs/>
          <w:lang w:val="en-US"/>
        </w:rPr>
        <w:t>o</w:t>
      </w:r>
      <w:r w:rsidR="00391E9A" w:rsidRPr="00813D19">
        <w:rPr>
          <w:bCs/>
          <w:lang w:val="en-US"/>
        </w:rPr>
        <w:t>a</w:t>
      </w:r>
      <w:r w:rsidR="008357BF" w:rsidRPr="00813D19">
        <w:rPr>
          <w:bCs/>
          <w:lang w:val="en-US"/>
        </w:rPr>
        <w:t xml:space="preserve">d consensus, the Chairperson proposed </w:t>
      </w:r>
      <w:r w:rsidR="00B65D03" w:rsidRPr="00813D19">
        <w:rPr>
          <w:bCs/>
          <w:lang w:val="en-US"/>
        </w:rPr>
        <w:t>suspend</w:t>
      </w:r>
      <w:r w:rsidR="00BC35F1">
        <w:rPr>
          <w:bCs/>
          <w:lang w:val="en-US"/>
        </w:rPr>
        <w:t>ing</w:t>
      </w:r>
      <w:r w:rsidR="00B65D03" w:rsidRPr="00813D19">
        <w:rPr>
          <w:bCs/>
          <w:lang w:val="en-US"/>
        </w:rPr>
        <w:t xml:space="preserve"> </w:t>
      </w:r>
      <w:r w:rsidR="008357BF" w:rsidRPr="00813D19">
        <w:rPr>
          <w:bCs/>
          <w:lang w:val="en-US"/>
        </w:rPr>
        <w:t xml:space="preserve">the discussion to allow </w:t>
      </w:r>
      <w:r w:rsidR="00B65D03" w:rsidRPr="00813D19">
        <w:rPr>
          <w:bCs/>
          <w:lang w:val="en-US"/>
        </w:rPr>
        <w:t xml:space="preserve">Armenia </w:t>
      </w:r>
      <w:r w:rsidR="008357BF" w:rsidRPr="00813D19">
        <w:rPr>
          <w:bCs/>
          <w:lang w:val="en-US"/>
        </w:rPr>
        <w:t xml:space="preserve">to come </w:t>
      </w:r>
      <w:r w:rsidR="00BC35F1">
        <w:rPr>
          <w:bCs/>
          <w:lang w:val="en-US"/>
        </w:rPr>
        <w:t xml:space="preserve">up </w:t>
      </w:r>
      <w:r w:rsidR="008357BF" w:rsidRPr="00813D19">
        <w:rPr>
          <w:bCs/>
          <w:lang w:val="en-US"/>
        </w:rPr>
        <w:t xml:space="preserve">with a formal amendment that would be duly circulated for </w:t>
      </w:r>
      <w:r w:rsidR="00087166">
        <w:rPr>
          <w:bCs/>
          <w:lang w:val="en-US"/>
        </w:rPr>
        <w:t>consultation.</w:t>
      </w:r>
    </w:p>
    <w:p w14:paraId="213A84B5" w14:textId="6406C059" w:rsidR="008E6BF7" w:rsidRPr="00087166" w:rsidRDefault="008E6BF7" w:rsidP="002D1C93">
      <w:pPr>
        <w:pStyle w:val="Orateurengris"/>
        <w:widowControl w:val="0"/>
        <w:spacing w:before="120"/>
        <w:ind w:left="709" w:hanging="709"/>
        <w:rPr>
          <w:bCs/>
          <w:lang w:val="en-US"/>
        </w:rPr>
      </w:pPr>
      <w:r w:rsidRPr="00813D19">
        <w:rPr>
          <w:lang w:val="en-US"/>
        </w:rPr>
        <w:t xml:space="preserve">The </w:t>
      </w:r>
      <w:r w:rsidRPr="00813D19">
        <w:rPr>
          <w:b/>
          <w:lang w:val="en-US"/>
        </w:rPr>
        <w:t>delegation of Azerbaijan</w:t>
      </w:r>
      <w:r w:rsidR="00B65D03" w:rsidRPr="00813D19">
        <w:rPr>
          <w:b/>
          <w:lang w:val="en-US"/>
        </w:rPr>
        <w:t xml:space="preserve"> </w:t>
      </w:r>
      <w:r w:rsidR="00233007" w:rsidRPr="00813D19">
        <w:rPr>
          <w:lang w:val="en-US"/>
        </w:rPr>
        <w:t>agreed</w:t>
      </w:r>
      <w:r w:rsidR="00233007" w:rsidRPr="00087166">
        <w:rPr>
          <w:bCs/>
          <w:lang w:val="en-US"/>
        </w:rPr>
        <w:t xml:space="preserve"> </w:t>
      </w:r>
      <w:r w:rsidR="00233007" w:rsidRPr="00813D19">
        <w:rPr>
          <w:bCs/>
          <w:lang w:val="en-US"/>
        </w:rPr>
        <w:t xml:space="preserve">with the proposal by the Philippines, Palestine and others, adding that it responded to its earlier concern that additional amendments were being proposed on top of the initial </w:t>
      </w:r>
      <w:r w:rsidR="00B65D03" w:rsidRPr="00813D19">
        <w:rPr>
          <w:bCs/>
          <w:lang w:val="en-US"/>
        </w:rPr>
        <w:t>amendments</w:t>
      </w:r>
      <w:r w:rsidR="00233007" w:rsidRPr="00813D19">
        <w:rPr>
          <w:bCs/>
          <w:lang w:val="en-US"/>
        </w:rPr>
        <w:t xml:space="preserve">. In this way, the Committee would receive all </w:t>
      </w:r>
      <w:r w:rsidR="00B65D03" w:rsidRPr="00813D19">
        <w:rPr>
          <w:bCs/>
          <w:lang w:val="en-US"/>
        </w:rPr>
        <w:t xml:space="preserve">the amendments </w:t>
      </w:r>
      <w:r w:rsidR="00233007" w:rsidRPr="00813D19">
        <w:rPr>
          <w:bCs/>
          <w:lang w:val="en-US"/>
        </w:rPr>
        <w:t xml:space="preserve">so that it </w:t>
      </w:r>
      <w:r w:rsidR="00BC35F1">
        <w:rPr>
          <w:bCs/>
          <w:lang w:val="en-US"/>
        </w:rPr>
        <w:t>could</w:t>
      </w:r>
      <w:r w:rsidR="00BC35F1" w:rsidRPr="00813D19">
        <w:rPr>
          <w:bCs/>
          <w:lang w:val="en-US"/>
        </w:rPr>
        <w:t xml:space="preserve"> </w:t>
      </w:r>
      <w:r w:rsidR="00233007" w:rsidRPr="00813D19">
        <w:rPr>
          <w:bCs/>
          <w:lang w:val="en-US"/>
        </w:rPr>
        <w:t xml:space="preserve">come to a </w:t>
      </w:r>
      <w:r w:rsidR="00B65D03" w:rsidRPr="00813D19">
        <w:rPr>
          <w:bCs/>
          <w:lang w:val="en-US"/>
        </w:rPr>
        <w:t xml:space="preserve">final decision. </w:t>
      </w:r>
      <w:r w:rsidR="006B395B" w:rsidRPr="00813D19">
        <w:rPr>
          <w:bCs/>
          <w:lang w:val="en-US"/>
        </w:rPr>
        <w:t xml:space="preserve">The delegation </w:t>
      </w:r>
      <w:r w:rsidR="00391E9A" w:rsidRPr="00813D19">
        <w:rPr>
          <w:bCs/>
          <w:lang w:val="en-US"/>
        </w:rPr>
        <w:t xml:space="preserve">therefore </w:t>
      </w:r>
      <w:r w:rsidR="006B395B" w:rsidRPr="00813D19">
        <w:rPr>
          <w:bCs/>
          <w:lang w:val="en-US"/>
        </w:rPr>
        <w:t xml:space="preserve">suggested </w:t>
      </w:r>
      <w:r w:rsidR="00B65D03" w:rsidRPr="00813D19">
        <w:rPr>
          <w:bCs/>
          <w:lang w:val="en-US"/>
        </w:rPr>
        <w:t>suspend</w:t>
      </w:r>
      <w:r w:rsidR="00BC35F1">
        <w:rPr>
          <w:bCs/>
          <w:lang w:val="en-US"/>
        </w:rPr>
        <w:t>ing</w:t>
      </w:r>
      <w:r w:rsidR="00B65D03" w:rsidRPr="00813D19">
        <w:rPr>
          <w:bCs/>
          <w:lang w:val="en-US"/>
        </w:rPr>
        <w:t xml:space="preserve"> </w:t>
      </w:r>
      <w:r w:rsidR="006B395B" w:rsidRPr="00813D19">
        <w:rPr>
          <w:bCs/>
          <w:lang w:val="en-US"/>
        </w:rPr>
        <w:t xml:space="preserve">the </w:t>
      </w:r>
      <w:r w:rsidR="00B65D03" w:rsidRPr="00813D19">
        <w:rPr>
          <w:bCs/>
          <w:lang w:val="en-US"/>
        </w:rPr>
        <w:t xml:space="preserve">meeting </w:t>
      </w:r>
      <w:r w:rsidR="006B395B" w:rsidRPr="00813D19">
        <w:rPr>
          <w:bCs/>
          <w:lang w:val="en-US"/>
        </w:rPr>
        <w:t xml:space="preserve">for </w:t>
      </w:r>
      <w:r w:rsidR="00B65D03" w:rsidRPr="00813D19">
        <w:rPr>
          <w:bCs/>
          <w:lang w:val="en-US"/>
        </w:rPr>
        <w:t>five or ten minutes</w:t>
      </w:r>
      <w:r w:rsidR="006B395B" w:rsidRPr="00813D19">
        <w:rPr>
          <w:bCs/>
          <w:lang w:val="en-US"/>
        </w:rPr>
        <w:t>,</w:t>
      </w:r>
      <w:r w:rsidR="00B65D03" w:rsidRPr="00813D19">
        <w:rPr>
          <w:bCs/>
          <w:lang w:val="en-US"/>
        </w:rPr>
        <w:t xml:space="preserve"> </w:t>
      </w:r>
      <w:r w:rsidR="006B395B" w:rsidRPr="00813D19">
        <w:rPr>
          <w:bCs/>
          <w:lang w:val="en-US"/>
        </w:rPr>
        <w:t xml:space="preserve">because it was important to adhere to </w:t>
      </w:r>
      <w:r w:rsidR="00B65D03" w:rsidRPr="00813D19">
        <w:rPr>
          <w:bCs/>
          <w:lang w:val="en-US"/>
        </w:rPr>
        <w:t xml:space="preserve">the procedures </w:t>
      </w:r>
      <w:r w:rsidR="006B395B" w:rsidRPr="00813D19">
        <w:rPr>
          <w:bCs/>
          <w:lang w:val="en-US"/>
        </w:rPr>
        <w:t xml:space="preserve">and what had been proposed, </w:t>
      </w:r>
      <w:r w:rsidR="00B65D03" w:rsidRPr="00813D19">
        <w:rPr>
          <w:bCs/>
          <w:lang w:val="en-US"/>
        </w:rPr>
        <w:t xml:space="preserve">accepted </w:t>
      </w:r>
      <w:r w:rsidR="00087166">
        <w:rPr>
          <w:bCs/>
          <w:lang w:val="en-US"/>
        </w:rPr>
        <w:t>and supported by the Committee.</w:t>
      </w:r>
    </w:p>
    <w:p w14:paraId="235BF5CC" w14:textId="0F371A8B" w:rsidR="00320C79" w:rsidRPr="00087166" w:rsidRDefault="00320C79" w:rsidP="002D1C93">
      <w:pPr>
        <w:pStyle w:val="Orateurengris"/>
        <w:widowControl w:val="0"/>
        <w:spacing w:before="120"/>
        <w:ind w:left="709" w:hanging="709"/>
        <w:rPr>
          <w:bCs/>
          <w:lang w:val="en-US"/>
        </w:rPr>
      </w:pPr>
      <w:r w:rsidRPr="00813D19">
        <w:rPr>
          <w:lang w:val="en-US"/>
        </w:rPr>
        <w:t xml:space="preserve">The </w:t>
      </w:r>
      <w:r w:rsidRPr="00813D19">
        <w:rPr>
          <w:b/>
          <w:lang w:val="en-US"/>
        </w:rPr>
        <w:t xml:space="preserve">Chairperson </w:t>
      </w:r>
      <w:r w:rsidR="00813D19" w:rsidRPr="00813D19">
        <w:rPr>
          <w:lang w:val="en-US"/>
        </w:rPr>
        <w:t>concluded</w:t>
      </w:r>
      <w:r w:rsidR="008D4E9E" w:rsidRPr="00813D19">
        <w:rPr>
          <w:lang w:val="en-US"/>
        </w:rPr>
        <w:t xml:space="preserve"> that </w:t>
      </w:r>
      <w:r w:rsidR="008D4E9E" w:rsidRPr="00813D19">
        <w:rPr>
          <w:bCs/>
          <w:lang w:val="en-US"/>
        </w:rPr>
        <w:t>i</w:t>
      </w:r>
      <w:r w:rsidR="00B65D03" w:rsidRPr="00813D19">
        <w:rPr>
          <w:bCs/>
          <w:lang w:val="en-US"/>
        </w:rPr>
        <w:t xml:space="preserve">n light </w:t>
      </w:r>
      <w:r w:rsidR="008D4E9E" w:rsidRPr="00813D19">
        <w:rPr>
          <w:bCs/>
          <w:lang w:val="en-US"/>
        </w:rPr>
        <w:t xml:space="preserve">of the interventions, </w:t>
      </w:r>
      <w:r w:rsidR="00B65D03" w:rsidRPr="00813D19">
        <w:rPr>
          <w:bCs/>
          <w:lang w:val="en-US"/>
        </w:rPr>
        <w:t xml:space="preserve">and taking note of the mood </w:t>
      </w:r>
      <w:r w:rsidR="008D4E9E" w:rsidRPr="00813D19">
        <w:rPr>
          <w:bCs/>
          <w:lang w:val="en-US"/>
        </w:rPr>
        <w:t xml:space="preserve">of </w:t>
      </w:r>
      <w:r w:rsidR="00813D19" w:rsidRPr="00813D19">
        <w:rPr>
          <w:bCs/>
          <w:lang w:val="en-US"/>
        </w:rPr>
        <w:t>the</w:t>
      </w:r>
      <w:r w:rsidR="008D4E9E" w:rsidRPr="00813D19">
        <w:rPr>
          <w:bCs/>
          <w:lang w:val="en-US"/>
        </w:rPr>
        <w:t xml:space="preserve"> room, </w:t>
      </w:r>
      <w:r w:rsidR="00781C5E">
        <w:rPr>
          <w:bCs/>
          <w:lang w:val="en-US"/>
        </w:rPr>
        <w:t>he</w:t>
      </w:r>
      <w:r w:rsidR="00BC35F1">
        <w:rPr>
          <w:bCs/>
          <w:lang w:val="en-US"/>
        </w:rPr>
        <w:t xml:space="preserve"> would </w:t>
      </w:r>
      <w:r w:rsidR="00B65D03" w:rsidRPr="00813D19">
        <w:rPr>
          <w:bCs/>
          <w:lang w:val="en-US"/>
        </w:rPr>
        <w:t xml:space="preserve">suspend </w:t>
      </w:r>
      <w:r w:rsidR="008D4E9E" w:rsidRPr="00813D19">
        <w:rPr>
          <w:bCs/>
          <w:lang w:val="en-US"/>
        </w:rPr>
        <w:t xml:space="preserve">the </w:t>
      </w:r>
      <w:r w:rsidR="00B65D03" w:rsidRPr="00813D19">
        <w:rPr>
          <w:bCs/>
          <w:lang w:val="en-US"/>
        </w:rPr>
        <w:t xml:space="preserve">consideration of this report and </w:t>
      </w:r>
      <w:r w:rsidR="00BC35F1" w:rsidRPr="00813D19">
        <w:rPr>
          <w:bCs/>
          <w:lang w:val="en-US"/>
        </w:rPr>
        <w:t>request</w:t>
      </w:r>
      <w:r w:rsidR="00BC35F1">
        <w:rPr>
          <w:bCs/>
          <w:lang w:val="en-US"/>
        </w:rPr>
        <w:t xml:space="preserve"> that</w:t>
      </w:r>
      <w:r w:rsidR="00BC35F1" w:rsidRPr="00813D19">
        <w:rPr>
          <w:bCs/>
          <w:lang w:val="en-US"/>
        </w:rPr>
        <w:t xml:space="preserve"> </w:t>
      </w:r>
      <w:r w:rsidR="00B65D03" w:rsidRPr="00813D19">
        <w:rPr>
          <w:bCs/>
          <w:lang w:val="en-US"/>
        </w:rPr>
        <w:t xml:space="preserve">Armenia </w:t>
      </w:r>
      <w:r w:rsidR="008D4E9E" w:rsidRPr="00813D19">
        <w:rPr>
          <w:bCs/>
          <w:lang w:val="en-US"/>
        </w:rPr>
        <w:t xml:space="preserve">incorporate all the </w:t>
      </w:r>
      <w:r w:rsidR="00B65D03" w:rsidRPr="00813D19">
        <w:rPr>
          <w:bCs/>
          <w:lang w:val="en-US"/>
        </w:rPr>
        <w:t xml:space="preserve">amendments </w:t>
      </w:r>
      <w:r w:rsidR="008D4E9E" w:rsidRPr="00813D19">
        <w:rPr>
          <w:bCs/>
          <w:lang w:val="en-US"/>
        </w:rPr>
        <w:t>into the draft decision for circulation</w:t>
      </w:r>
      <w:r w:rsidR="00B65D03" w:rsidRPr="00813D19">
        <w:rPr>
          <w:bCs/>
          <w:lang w:val="en-US"/>
        </w:rPr>
        <w:t xml:space="preserve"> </w:t>
      </w:r>
      <w:r w:rsidR="008D4E9E" w:rsidRPr="00813D19">
        <w:rPr>
          <w:bCs/>
          <w:lang w:val="en-US"/>
        </w:rPr>
        <w:t xml:space="preserve">to the Committee. The Chairperson </w:t>
      </w:r>
      <w:r w:rsidR="00B65D03" w:rsidRPr="00813D19">
        <w:rPr>
          <w:bCs/>
          <w:lang w:val="en-US"/>
        </w:rPr>
        <w:t>propose</w:t>
      </w:r>
      <w:r w:rsidR="008D4E9E" w:rsidRPr="00813D19">
        <w:rPr>
          <w:bCs/>
          <w:lang w:val="en-US"/>
        </w:rPr>
        <w:t>d</w:t>
      </w:r>
      <w:r w:rsidR="00B65D03" w:rsidRPr="00813D19">
        <w:rPr>
          <w:bCs/>
          <w:lang w:val="en-US"/>
        </w:rPr>
        <w:t xml:space="preserve"> </w:t>
      </w:r>
      <w:r w:rsidR="008D4E9E" w:rsidRPr="00813D19">
        <w:rPr>
          <w:bCs/>
          <w:lang w:val="en-US"/>
        </w:rPr>
        <w:t>mov</w:t>
      </w:r>
      <w:r w:rsidR="00BC35F1">
        <w:rPr>
          <w:bCs/>
          <w:lang w:val="en-US"/>
        </w:rPr>
        <w:t xml:space="preserve">ing </w:t>
      </w:r>
      <w:r w:rsidR="008D4E9E" w:rsidRPr="00813D19">
        <w:rPr>
          <w:bCs/>
          <w:lang w:val="en-US"/>
        </w:rPr>
        <w:t xml:space="preserve">to </w:t>
      </w:r>
      <w:r w:rsidR="00B65D03" w:rsidRPr="00813D19">
        <w:rPr>
          <w:bCs/>
          <w:lang w:val="en-US"/>
        </w:rPr>
        <w:t>the next item and</w:t>
      </w:r>
      <w:r w:rsidR="008D4E9E" w:rsidRPr="00813D19">
        <w:rPr>
          <w:bCs/>
          <w:lang w:val="en-US"/>
        </w:rPr>
        <w:t>,</w:t>
      </w:r>
      <w:r w:rsidR="00B65D03" w:rsidRPr="00813D19">
        <w:rPr>
          <w:bCs/>
          <w:lang w:val="en-US"/>
        </w:rPr>
        <w:t xml:space="preserve"> </w:t>
      </w:r>
      <w:r w:rsidR="008D4E9E" w:rsidRPr="00813D19">
        <w:rPr>
          <w:bCs/>
          <w:lang w:val="en-US"/>
        </w:rPr>
        <w:t xml:space="preserve">following the examination of all the reports, return to </w:t>
      </w:r>
      <w:r w:rsidR="00B65D03" w:rsidRPr="00813D19">
        <w:rPr>
          <w:bCs/>
          <w:lang w:val="en-US"/>
        </w:rPr>
        <w:t>the report of Azerbaijan and all the</w:t>
      </w:r>
      <w:r w:rsidR="008D4E9E" w:rsidRPr="00813D19">
        <w:rPr>
          <w:bCs/>
          <w:lang w:val="en-US"/>
        </w:rPr>
        <w:t xml:space="preserve"> amendments proposed by Armenia for a final decision</w:t>
      </w:r>
      <w:r w:rsidR="00087166">
        <w:rPr>
          <w:bCs/>
          <w:lang w:val="en-US"/>
        </w:rPr>
        <w:t>.</w:t>
      </w:r>
    </w:p>
    <w:p w14:paraId="4E860E0D" w14:textId="51CF8369" w:rsidR="00320C79" w:rsidRPr="00087166" w:rsidRDefault="00320C79" w:rsidP="00320C79">
      <w:pPr>
        <w:pStyle w:val="Orateurengris"/>
        <w:widowControl w:val="0"/>
        <w:spacing w:before="120"/>
        <w:ind w:left="709" w:hanging="709"/>
        <w:rPr>
          <w:bCs/>
          <w:lang w:val="en-US"/>
        </w:rPr>
      </w:pPr>
      <w:r w:rsidRPr="00813D19">
        <w:rPr>
          <w:lang w:val="en-US"/>
        </w:rPr>
        <w:t xml:space="preserve">The </w:t>
      </w:r>
      <w:r w:rsidRPr="00813D19">
        <w:rPr>
          <w:b/>
          <w:lang w:val="en-US"/>
        </w:rPr>
        <w:t>delegation of Armenia</w:t>
      </w:r>
      <w:r w:rsidRPr="00813D19">
        <w:rPr>
          <w:lang w:val="en-US"/>
        </w:rPr>
        <w:t xml:space="preserve"> </w:t>
      </w:r>
      <w:r w:rsidR="00A67F3D" w:rsidRPr="00813D19">
        <w:rPr>
          <w:lang w:val="en-US"/>
        </w:rPr>
        <w:t xml:space="preserve">thanked </w:t>
      </w:r>
      <w:r w:rsidR="00A67F3D" w:rsidRPr="00813D19">
        <w:rPr>
          <w:bCs/>
          <w:lang w:val="en-US"/>
        </w:rPr>
        <w:t xml:space="preserve">the </w:t>
      </w:r>
      <w:r w:rsidR="00B65D03" w:rsidRPr="00813D19">
        <w:rPr>
          <w:bCs/>
          <w:lang w:val="en-US"/>
        </w:rPr>
        <w:t xml:space="preserve">Chairperson for </w:t>
      </w:r>
      <w:r w:rsidR="00A67F3D" w:rsidRPr="00813D19">
        <w:rPr>
          <w:bCs/>
          <w:lang w:val="en-US"/>
        </w:rPr>
        <w:t xml:space="preserve">his </w:t>
      </w:r>
      <w:r w:rsidR="00B65D03" w:rsidRPr="00813D19">
        <w:rPr>
          <w:bCs/>
          <w:lang w:val="en-US"/>
        </w:rPr>
        <w:t>patience</w:t>
      </w:r>
      <w:r w:rsidR="001C6903" w:rsidRPr="00813D19">
        <w:rPr>
          <w:bCs/>
          <w:lang w:val="en-US"/>
        </w:rPr>
        <w:t xml:space="preserve">, clarifying that it would </w:t>
      </w:r>
      <w:r w:rsidR="00B65D03" w:rsidRPr="00813D19">
        <w:rPr>
          <w:bCs/>
          <w:lang w:val="en-US"/>
        </w:rPr>
        <w:t xml:space="preserve">incorporate </w:t>
      </w:r>
      <w:r w:rsidR="001C6903" w:rsidRPr="00813D19">
        <w:rPr>
          <w:bCs/>
          <w:lang w:val="en-US"/>
        </w:rPr>
        <w:t xml:space="preserve">its </w:t>
      </w:r>
      <w:r w:rsidR="00B65D03" w:rsidRPr="00813D19">
        <w:rPr>
          <w:bCs/>
          <w:lang w:val="en-US"/>
        </w:rPr>
        <w:t>amendments in</w:t>
      </w:r>
      <w:r w:rsidR="00BC35F1">
        <w:rPr>
          <w:bCs/>
          <w:lang w:val="en-US"/>
        </w:rPr>
        <w:t>to</w:t>
      </w:r>
      <w:r w:rsidR="00B65D03" w:rsidRPr="00813D19">
        <w:rPr>
          <w:bCs/>
          <w:lang w:val="en-US"/>
        </w:rPr>
        <w:t xml:space="preserve"> the draft decision to present </w:t>
      </w:r>
      <w:r w:rsidR="001C6903" w:rsidRPr="00813D19">
        <w:rPr>
          <w:bCs/>
          <w:lang w:val="en-US"/>
        </w:rPr>
        <w:t xml:space="preserve">it as </w:t>
      </w:r>
      <w:r w:rsidR="00B65D03" w:rsidRPr="00813D19">
        <w:rPr>
          <w:bCs/>
          <w:lang w:val="en-US"/>
        </w:rPr>
        <w:t xml:space="preserve">one </w:t>
      </w:r>
      <w:r w:rsidR="001C6903" w:rsidRPr="00813D19">
        <w:rPr>
          <w:bCs/>
          <w:lang w:val="en-US"/>
        </w:rPr>
        <w:t>single document.</w:t>
      </w:r>
    </w:p>
    <w:p w14:paraId="2FEB1027" w14:textId="0DAE909F" w:rsidR="008D4E9E" w:rsidRPr="00087166" w:rsidRDefault="008D4E9E" w:rsidP="00320C79">
      <w:pPr>
        <w:pStyle w:val="Orateurengris"/>
        <w:widowControl w:val="0"/>
        <w:spacing w:before="120"/>
        <w:ind w:left="709" w:hanging="709"/>
        <w:rPr>
          <w:bCs/>
          <w:lang w:val="en-US"/>
        </w:rPr>
      </w:pPr>
      <w:r w:rsidRPr="00813D19">
        <w:rPr>
          <w:bCs/>
          <w:lang w:val="en-US"/>
        </w:rPr>
        <w:t xml:space="preserve">The </w:t>
      </w:r>
      <w:r w:rsidRPr="00813D19">
        <w:rPr>
          <w:b/>
          <w:bCs/>
          <w:lang w:val="en-US"/>
        </w:rPr>
        <w:t>Chairperson</w:t>
      </w:r>
      <w:r w:rsidRPr="00813D19">
        <w:rPr>
          <w:bCs/>
          <w:lang w:val="en-US"/>
        </w:rPr>
        <w:t xml:space="preserve"> thanked the C</w:t>
      </w:r>
      <w:r w:rsidR="00087166">
        <w:rPr>
          <w:bCs/>
          <w:lang w:val="en-US"/>
        </w:rPr>
        <w:t>ommittee for its cooperation.</w:t>
      </w:r>
    </w:p>
    <w:p w14:paraId="71CB3231" w14:textId="0B974E43" w:rsidR="00320C79" w:rsidRPr="00087166" w:rsidRDefault="00320C79" w:rsidP="00320C79">
      <w:pPr>
        <w:pStyle w:val="Orateurengris"/>
        <w:widowControl w:val="0"/>
        <w:spacing w:before="120"/>
        <w:ind w:left="709" w:hanging="709"/>
        <w:rPr>
          <w:bCs/>
          <w:lang w:val="en-US"/>
        </w:rPr>
      </w:pPr>
      <w:r w:rsidRPr="00813D19">
        <w:rPr>
          <w:lang w:val="en-US"/>
        </w:rPr>
        <w:t xml:space="preserve">The </w:t>
      </w:r>
      <w:r w:rsidRPr="00813D19">
        <w:rPr>
          <w:b/>
          <w:lang w:val="en-US"/>
        </w:rPr>
        <w:t>delegation of Kuwait</w:t>
      </w:r>
      <w:r w:rsidRPr="00813D19">
        <w:rPr>
          <w:lang w:val="en-US"/>
        </w:rPr>
        <w:t xml:space="preserve"> </w:t>
      </w:r>
      <w:r w:rsidR="001C6903" w:rsidRPr="00813D19">
        <w:rPr>
          <w:lang w:val="en-US"/>
        </w:rPr>
        <w:t xml:space="preserve">wished to know whether this </w:t>
      </w:r>
      <w:r w:rsidR="00042859" w:rsidRPr="00813D19">
        <w:rPr>
          <w:lang w:val="en-US"/>
        </w:rPr>
        <w:t xml:space="preserve">proposal </w:t>
      </w:r>
      <w:r w:rsidR="001C6903" w:rsidRPr="00813D19">
        <w:rPr>
          <w:lang w:val="en-US"/>
        </w:rPr>
        <w:t xml:space="preserve">was the </w:t>
      </w:r>
      <w:r w:rsidR="00087166">
        <w:rPr>
          <w:bCs/>
          <w:lang w:val="en-US"/>
        </w:rPr>
        <w:t>intention of the Philippines.</w:t>
      </w:r>
    </w:p>
    <w:p w14:paraId="00880B55" w14:textId="1FC4B0F5" w:rsidR="00940BFE" w:rsidRPr="00813D19" w:rsidRDefault="00320C79" w:rsidP="00FB4698">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042859" w:rsidRPr="00813D19">
        <w:rPr>
          <w:lang w:val="en-US"/>
        </w:rPr>
        <w:t xml:space="preserve">confirmed that this </w:t>
      </w:r>
      <w:r w:rsidR="00042859" w:rsidRPr="00813D19">
        <w:rPr>
          <w:bCs/>
          <w:lang w:val="en-US"/>
        </w:rPr>
        <w:t>was indeed the intention of the Philippines and he su</w:t>
      </w:r>
      <w:r w:rsidR="00391E9A" w:rsidRPr="00813D19">
        <w:rPr>
          <w:bCs/>
          <w:lang w:val="en-US"/>
        </w:rPr>
        <w:t>spended the consultation of the</w:t>
      </w:r>
      <w:r w:rsidR="00042859" w:rsidRPr="00813D19">
        <w:rPr>
          <w:bCs/>
          <w:lang w:val="en-US"/>
        </w:rPr>
        <w:t xml:space="preserve"> report and </w:t>
      </w:r>
      <w:r w:rsidRPr="00813D19">
        <w:rPr>
          <w:lang w:val="en-US"/>
        </w:rPr>
        <w:t xml:space="preserve">turned to the </w:t>
      </w:r>
      <w:r w:rsidR="00940BFE" w:rsidRPr="00813D19">
        <w:rPr>
          <w:lang w:val="en-US"/>
        </w:rPr>
        <w:t xml:space="preserve">second report submitted by </w:t>
      </w:r>
      <w:r w:rsidR="00940BFE" w:rsidRPr="00813D19">
        <w:rPr>
          <w:b/>
          <w:lang w:val="en-US"/>
        </w:rPr>
        <w:t xml:space="preserve">Belarus </w:t>
      </w:r>
      <w:r w:rsidR="00940BFE" w:rsidRPr="00813D19">
        <w:rPr>
          <w:lang w:val="en-US"/>
        </w:rPr>
        <w:t>on</w:t>
      </w:r>
      <w:r w:rsidR="00461A26" w:rsidRPr="00813D19">
        <w:rPr>
          <w:b/>
          <w:lang w:val="en-US"/>
        </w:rPr>
        <w:t xml:space="preserve"> </w:t>
      </w:r>
      <w:r w:rsidR="00940BFE" w:rsidRPr="00813D19">
        <w:rPr>
          <w:b/>
          <w:lang w:val="en-US"/>
        </w:rPr>
        <w:t>Rite of the Kalyady Tsars (Christmas Tsars)</w:t>
      </w:r>
      <w:r w:rsidRPr="00813D19">
        <w:rPr>
          <w:lang w:val="en-US"/>
        </w:rPr>
        <w:t xml:space="preserve">. </w:t>
      </w:r>
      <w:r w:rsidR="00391E9A" w:rsidRPr="00813D19">
        <w:rPr>
          <w:lang w:val="en-US"/>
        </w:rPr>
        <w:t>W</w:t>
      </w:r>
      <w:r w:rsidR="00042859" w:rsidRPr="00813D19">
        <w:rPr>
          <w:lang w:val="en-US"/>
        </w:rPr>
        <w:t xml:space="preserve">ith no </w:t>
      </w:r>
      <w:r w:rsidR="00813D19" w:rsidRPr="00813D19">
        <w:rPr>
          <w:lang w:val="en-US"/>
        </w:rPr>
        <w:t>comments,</w:t>
      </w:r>
      <w:r w:rsidR="00042859" w:rsidRPr="00813D19">
        <w:rPr>
          <w:lang w:val="en-US"/>
        </w:rPr>
        <w:t xml:space="preserve"> t</w:t>
      </w:r>
      <w:r w:rsidRPr="00813D19">
        <w:rPr>
          <w:lang w:val="en-US"/>
        </w:rPr>
        <w:t xml:space="preserve">he </w:t>
      </w:r>
      <w:r w:rsidRPr="00813D19">
        <w:rPr>
          <w:b/>
          <w:lang w:val="en-US"/>
        </w:rPr>
        <w:t>Chairperson declared</w:t>
      </w:r>
      <w:r w:rsidRPr="00813D19">
        <w:rPr>
          <w:lang w:val="en-US"/>
        </w:rPr>
        <w:t xml:space="preserve"> </w:t>
      </w:r>
      <w:r w:rsidR="00940BFE" w:rsidRPr="00813D19">
        <w:rPr>
          <w:b/>
          <w:lang w:val="en-US"/>
        </w:rPr>
        <w:t>D</w:t>
      </w:r>
      <w:r w:rsidRPr="00813D19">
        <w:rPr>
          <w:b/>
          <w:lang w:val="en-US"/>
        </w:rPr>
        <w:t xml:space="preserve">ecision </w:t>
      </w:r>
      <w:hyperlink r:id="rId55" w:history="1">
        <w:r w:rsidRPr="00813D19">
          <w:rPr>
            <w:rStyle w:val="Hyperlink"/>
            <w:b/>
            <w:lang w:val="en-US"/>
          </w:rPr>
          <w:t>13.COM 7.b.2</w:t>
        </w:r>
      </w:hyperlink>
      <w:r w:rsidRPr="00813D19">
        <w:rPr>
          <w:b/>
          <w:lang w:val="en-US"/>
        </w:rPr>
        <w:t xml:space="preserve"> adopted</w:t>
      </w:r>
      <w:r w:rsidRPr="00813D19">
        <w:rPr>
          <w:lang w:val="en-US"/>
        </w:rPr>
        <w:t>.</w:t>
      </w:r>
    </w:p>
    <w:p w14:paraId="48090077" w14:textId="4C8D5D93" w:rsidR="005B78DD" w:rsidRPr="00813D19" w:rsidRDefault="00320C79" w:rsidP="002D1C93">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turned to the </w:t>
      </w:r>
      <w:r w:rsidR="00940BFE" w:rsidRPr="00813D19">
        <w:rPr>
          <w:lang w:val="en-US"/>
        </w:rPr>
        <w:t xml:space="preserve">report submitted by </w:t>
      </w:r>
      <w:r w:rsidR="00461A26" w:rsidRPr="00813D19">
        <w:rPr>
          <w:b/>
          <w:lang w:val="en-US"/>
        </w:rPr>
        <w:t xml:space="preserve">Brazil </w:t>
      </w:r>
      <w:r w:rsidR="00461A26" w:rsidRPr="00813D19">
        <w:rPr>
          <w:lang w:val="en-US"/>
        </w:rPr>
        <w:t>on</w:t>
      </w:r>
      <w:r w:rsidR="00461A26" w:rsidRPr="00813D19">
        <w:rPr>
          <w:b/>
          <w:lang w:val="en-US"/>
        </w:rPr>
        <w:t xml:space="preserve"> </w:t>
      </w:r>
      <w:r w:rsidR="00940BFE" w:rsidRPr="00813D19">
        <w:rPr>
          <w:b/>
          <w:lang w:val="en-US"/>
        </w:rPr>
        <w:t>Yaokwa, the Enawene Nawe people's ritual for the maintenance of social and cosmic order</w:t>
      </w:r>
      <w:r w:rsidR="00940BFE" w:rsidRPr="00813D19">
        <w:rPr>
          <w:lang w:val="en-US"/>
        </w:rPr>
        <w:t xml:space="preserve">. </w:t>
      </w:r>
      <w:r w:rsidR="00391E9A" w:rsidRPr="00813D19">
        <w:rPr>
          <w:lang w:val="en-US"/>
        </w:rPr>
        <w:t>W</w:t>
      </w:r>
      <w:r w:rsidR="00042859" w:rsidRPr="00813D19">
        <w:rPr>
          <w:lang w:val="en-US"/>
        </w:rPr>
        <w:t xml:space="preserve">ith no comments, the </w:t>
      </w:r>
      <w:r w:rsidRPr="00813D19">
        <w:rPr>
          <w:b/>
          <w:lang w:val="en-US"/>
        </w:rPr>
        <w:t>Chairperson declared</w:t>
      </w:r>
      <w:r w:rsidRPr="00813D19">
        <w:rPr>
          <w:lang w:val="en-US"/>
        </w:rPr>
        <w:t xml:space="preserve"> </w:t>
      </w:r>
      <w:r w:rsidRPr="00813D19">
        <w:rPr>
          <w:b/>
          <w:lang w:val="en-US"/>
        </w:rPr>
        <w:t xml:space="preserve">Decision </w:t>
      </w:r>
      <w:hyperlink r:id="rId56" w:history="1">
        <w:r w:rsidRPr="00813D19">
          <w:rPr>
            <w:rStyle w:val="Hyperlink"/>
            <w:b/>
            <w:lang w:val="en-US"/>
          </w:rPr>
          <w:t>13.COM 7.b.3</w:t>
        </w:r>
      </w:hyperlink>
      <w:r w:rsidRPr="00813D19">
        <w:rPr>
          <w:b/>
          <w:lang w:val="en-US"/>
        </w:rPr>
        <w:t xml:space="preserve"> adopted</w:t>
      </w:r>
      <w:r w:rsidRPr="00087166">
        <w:rPr>
          <w:bCs/>
          <w:lang w:val="en-US"/>
        </w:rPr>
        <w:t>.</w:t>
      </w:r>
    </w:p>
    <w:p w14:paraId="5D749C39" w14:textId="3BEAC22B" w:rsidR="00940BFE" w:rsidRPr="00813D19" w:rsidRDefault="00320C79" w:rsidP="005B78DD">
      <w:pPr>
        <w:pStyle w:val="Orateurengris"/>
        <w:widowControl w:val="0"/>
        <w:spacing w:before="120"/>
        <w:ind w:left="709" w:hanging="709"/>
        <w:rPr>
          <w:lang w:val="en-US"/>
        </w:rPr>
      </w:pPr>
      <w:r w:rsidRPr="00813D19">
        <w:rPr>
          <w:lang w:val="en-US"/>
        </w:rPr>
        <w:t>The</w:t>
      </w:r>
      <w:r w:rsidRPr="00813D19">
        <w:rPr>
          <w:b/>
          <w:lang w:val="en-US"/>
        </w:rPr>
        <w:t xml:space="preserve"> Chairperson</w:t>
      </w:r>
      <w:r w:rsidR="00391E9A" w:rsidRPr="00813D19">
        <w:rPr>
          <w:b/>
          <w:lang w:val="en-US"/>
        </w:rPr>
        <w:t xml:space="preserve"> </w:t>
      </w:r>
      <w:r w:rsidRPr="00813D19">
        <w:rPr>
          <w:lang w:val="en-US"/>
        </w:rPr>
        <w:t xml:space="preserve">turned to the report </w:t>
      </w:r>
      <w:r w:rsidR="00940BFE" w:rsidRPr="00813D19">
        <w:rPr>
          <w:lang w:val="en-US"/>
        </w:rPr>
        <w:t xml:space="preserve">submitted by France on </w:t>
      </w:r>
      <w:r w:rsidR="00940BFE" w:rsidRPr="00813D19">
        <w:rPr>
          <w:b/>
          <w:lang w:val="en-US"/>
        </w:rPr>
        <w:t>Cantu in paghjella, a secular and liturgical oral tradition of Corsica</w:t>
      </w:r>
      <w:r w:rsidR="00940BFE" w:rsidRPr="00813D19">
        <w:rPr>
          <w:lang w:val="en-US"/>
        </w:rPr>
        <w:t>.</w:t>
      </w:r>
      <w:r w:rsidR="00940BFE" w:rsidRPr="00813D19">
        <w:rPr>
          <w:b/>
          <w:lang w:val="en-US"/>
        </w:rPr>
        <w:t xml:space="preserve"> </w:t>
      </w:r>
      <w:r w:rsidR="00391E9A" w:rsidRPr="00813D19">
        <w:rPr>
          <w:lang w:val="en-US"/>
        </w:rPr>
        <w:t>W</w:t>
      </w:r>
      <w:r w:rsidR="00FB4698" w:rsidRPr="00813D19">
        <w:rPr>
          <w:lang w:val="en-US"/>
        </w:rPr>
        <w:t>ith no comments</w:t>
      </w:r>
      <w:r w:rsidR="00042859" w:rsidRPr="00813D19">
        <w:rPr>
          <w:lang w:val="en-US"/>
        </w:rPr>
        <w:t>, t</w:t>
      </w:r>
      <w:r w:rsidRPr="00813D19">
        <w:rPr>
          <w:lang w:val="en-US"/>
        </w:rPr>
        <w:t xml:space="preserve">he </w:t>
      </w:r>
      <w:r w:rsidRPr="00813D19">
        <w:rPr>
          <w:b/>
          <w:lang w:val="en-US"/>
        </w:rPr>
        <w:t>Chairperson declared</w:t>
      </w:r>
      <w:r w:rsidRPr="00813D19">
        <w:rPr>
          <w:lang w:val="en-US"/>
        </w:rPr>
        <w:t xml:space="preserve"> </w:t>
      </w:r>
      <w:r w:rsidRPr="00813D19">
        <w:rPr>
          <w:b/>
          <w:lang w:val="en-US"/>
        </w:rPr>
        <w:t xml:space="preserve">Decision </w:t>
      </w:r>
      <w:hyperlink r:id="rId57" w:history="1">
        <w:r w:rsidRPr="00813D19">
          <w:rPr>
            <w:rStyle w:val="Hyperlink"/>
            <w:b/>
            <w:lang w:val="en-US"/>
          </w:rPr>
          <w:t>13.COM 7.b.4</w:t>
        </w:r>
      </w:hyperlink>
      <w:r w:rsidRPr="00813D19">
        <w:rPr>
          <w:b/>
          <w:lang w:val="en-US"/>
        </w:rPr>
        <w:t xml:space="preserve"> adopted</w:t>
      </w:r>
      <w:r w:rsidRPr="00813D19">
        <w:rPr>
          <w:lang w:val="en-US"/>
        </w:rPr>
        <w:t>.</w:t>
      </w:r>
    </w:p>
    <w:p w14:paraId="5C83976E" w14:textId="271DB3DD" w:rsidR="00940BFE" w:rsidRPr="00813D19" w:rsidRDefault="00320C79" w:rsidP="005B78DD">
      <w:pPr>
        <w:pStyle w:val="Orateurengris"/>
        <w:widowControl w:val="0"/>
        <w:spacing w:before="120"/>
        <w:ind w:left="709" w:hanging="709"/>
        <w:rPr>
          <w:lang w:val="en-US"/>
        </w:rPr>
      </w:pPr>
      <w:r w:rsidRPr="00813D19">
        <w:rPr>
          <w:lang w:val="en-US"/>
        </w:rPr>
        <w:t>The</w:t>
      </w:r>
      <w:r w:rsidRPr="00813D19">
        <w:rPr>
          <w:b/>
          <w:lang w:val="en-US"/>
        </w:rPr>
        <w:t xml:space="preserve"> Chairperson </w:t>
      </w:r>
      <w:r w:rsidRPr="00813D19">
        <w:rPr>
          <w:lang w:val="en-US"/>
        </w:rPr>
        <w:t xml:space="preserve">turned to the report </w:t>
      </w:r>
      <w:r w:rsidR="00940BFE" w:rsidRPr="00813D19">
        <w:rPr>
          <w:lang w:val="en-US"/>
        </w:rPr>
        <w:t xml:space="preserve">submitted by </w:t>
      </w:r>
      <w:r w:rsidR="00940BFE" w:rsidRPr="00813D19">
        <w:rPr>
          <w:b/>
          <w:lang w:val="en-US"/>
        </w:rPr>
        <w:t>Guatemala</w:t>
      </w:r>
      <w:r w:rsidR="00461A26" w:rsidRPr="00813D19">
        <w:rPr>
          <w:lang w:val="en-US"/>
        </w:rPr>
        <w:t xml:space="preserve"> on </w:t>
      </w:r>
      <w:r w:rsidR="00940BFE" w:rsidRPr="00813D19">
        <w:rPr>
          <w:b/>
          <w:lang w:val="en-US"/>
        </w:rPr>
        <w:t>Nan Pa’ch ceremony</w:t>
      </w:r>
      <w:r w:rsidR="00940BFE" w:rsidRPr="00813D19">
        <w:rPr>
          <w:lang w:val="en-US"/>
        </w:rPr>
        <w:t xml:space="preserve">. </w:t>
      </w:r>
      <w:r w:rsidR="00391E9A" w:rsidRPr="00813D19">
        <w:rPr>
          <w:lang w:val="en-US"/>
        </w:rPr>
        <w:t>W</w:t>
      </w:r>
      <w:r w:rsidR="00042859" w:rsidRPr="00813D19">
        <w:rPr>
          <w:lang w:val="en-US"/>
        </w:rPr>
        <w:t>ith no comments, t</w:t>
      </w:r>
      <w:r w:rsidRPr="00813D19">
        <w:rPr>
          <w:lang w:val="en-US"/>
        </w:rPr>
        <w:t xml:space="preserve">he </w:t>
      </w:r>
      <w:r w:rsidRPr="00813D19">
        <w:rPr>
          <w:b/>
          <w:lang w:val="en-US"/>
        </w:rPr>
        <w:t>Chairperson declared</w:t>
      </w:r>
      <w:r w:rsidRPr="00813D19">
        <w:rPr>
          <w:lang w:val="en-US"/>
        </w:rPr>
        <w:t xml:space="preserve"> </w:t>
      </w:r>
      <w:r w:rsidRPr="00813D19">
        <w:rPr>
          <w:b/>
          <w:lang w:val="en-US"/>
        </w:rPr>
        <w:t xml:space="preserve">Decision </w:t>
      </w:r>
      <w:hyperlink r:id="rId58" w:history="1">
        <w:r w:rsidRPr="00087166">
          <w:rPr>
            <w:rStyle w:val="Hyperlink"/>
            <w:b/>
            <w:lang w:val="en-US"/>
          </w:rPr>
          <w:t>13.COM 7.b.5</w:t>
        </w:r>
      </w:hyperlink>
      <w:r w:rsidRPr="00087166">
        <w:rPr>
          <w:b/>
          <w:lang w:val="en-US"/>
        </w:rPr>
        <w:t xml:space="preserve"> adopted</w:t>
      </w:r>
      <w:r w:rsidRPr="00813D19">
        <w:rPr>
          <w:lang w:val="en-US"/>
        </w:rPr>
        <w:t>.</w:t>
      </w:r>
    </w:p>
    <w:p w14:paraId="7D6A2737" w14:textId="6A3F0C72" w:rsidR="005B78DD" w:rsidRPr="00813D19" w:rsidRDefault="00320C79" w:rsidP="005B78DD">
      <w:pPr>
        <w:pStyle w:val="Orateurengris"/>
        <w:widowControl w:val="0"/>
        <w:spacing w:before="120"/>
        <w:ind w:left="709" w:hanging="709"/>
        <w:rPr>
          <w:lang w:val="en-US"/>
        </w:rPr>
      </w:pPr>
      <w:r w:rsidRPr="00813D19">
        <w:rPr>
          <w:lang w:val="en-US"/>
        </w:rPr>
        <w:t>The</w:t>
      </w:r>
      <w:r w:rsidRPr="00813D19">
        <w:rPr>
          <w:b/>
          <w:lang w:val="en-US"/>
        </w:rPr>
        <w:t xml:space="preserve"> Chairperson </w:t>
      </w:r>
      <w:r w:rsidRPr="00813D19">
        <w:rPr>
          <w:lang w:val="en-US"/>
        </w:rPr>
        <w:t xml:space="preserve">turned to the report </w:t>
      </w:r>
      <w:r w:rsidR="00940BFE" w:rsidRPr="00813D19">
        <w:rPr>
          <w:lang w:val="en-US"/>
        </w:rPr>
        <w:t xml:space="preserve">submitted by </w:t>
      </w:r>
      <w:r w:rsidR="00042859" w:rsidRPr="00813D19">
        <w:rPr>
          <w:rFonts w:eastAsia="SimSun"/>
          <w:b/>
          <w:lang w:val="en-US" w:eastAsia="fr-FR"/>
        </w:rPr>
        <w:t xml:space="preserve">Kenya </w:t>
      </w:r>
      <w:r w:rsidR="00042859" w:rsidRPr="00813D19">
        <w:rPr>
          <w:rFonts w:eastAsia="SimSun"/>
          <w:lang w:val="en-US" w:eastAsia="fr-FR"/>
        </w:rPr>
        <w:t>on</w:t>
      </w:r>
      <w:r w:rsidR="00461A26" w:rsidRPr="00813D19">
        <w:rPr>
          <w:rFonts w:eastAsia="SimSun"/>
          <w:b/>
          <w:lang w:val="en-US" w:eastAsia="fr-FR"/>
        </w:rPr>
        <w:t xml:space="preserve"> </w:t>
      </w:r>
      <w:r w:rsidR="00940BFE" w:rsidRPr="00813D19">
        <w:rPr>
          <w:rFonts w:eastAsia="SimSun"/>
          <w:b/>
          <w:lang w:val="en-US" w:eastAsia="fr-FR"/>
        </w:rPr>
        <w:t>Traditions and practices associated with the Kayas in the sacred forests of the Mijikenda</w:t>
      </w:r>
      <w:r w:rsidR="00940BFE" w:rsidRPr="00813D19">
        <w:rPr>
          <w:rFonts w:eastAsia="SimSun"/>
          <w:lang w:val="en-US" w:eastAsia="fr-FR"/>
        </w:rPr>
        <w:t xml:space="preserve">. </w:t>
      </w:r>
      <w:r w:rsidR="00042859" w:rsidRPr="00813D19">
        <w:rPr>
          <w:lang w:val="en-US"/>
        </w:rPr>
        <w:t>The draft decision was projected on the screen, and with no comments, t</w:t>
      </w:r>
      <w:r w:rsidRPr="00813D19">
        <w:rPr>
          <w:lang w:val="en-US"/>
        </w:rPr>
        <w:t xml:space="preserve">he </w:t>
      </w:r>
      <w:r w:rsidRPr="00813D19">
        <w:rPr>
          <w:b/>
          <w:lang w:val="en-US"/>
        </w:rPr>
        <w:t>Chairperson declared</w:t>
      </w:r>
      <w:r w:rsidRPr="00813D19">
        <w:rPr>
          <w:lang w:val="en-US"/>
        </w:rPr>
        <w:t xml:space="preserve"> </w:t>
      </w:r>
      <w:r w:rsidRPr="00813D19">
        <w:rPr>
          <w:b/>
          <w:lang w:val="en-US"/>
        </w:rPr>
        <w:t xml:space="preserve">Decision </w:t>
      </w:r>
      <w:hyperlink r:id="rId59" w:history="1">
        <w:r w:rsidRPr="00813D19">
          <w:rPr>
            <w:rStyle w:val="Hyperlink"/>
            <w:b/>
            <w:lang w:val="en-US"/>
          </w:rPr>
          <w:t>13.COM 7.b.6</w:t>
        </w:r>
      </w:hyperlink>
      <w:r w:rsidRPr="00813D19">
        <w:rPr>
          <w:b/>
          <w:lang w:val="en-US"/>
        </w:rPr>
        <w:t xml:space="preserve"> adopted</w:t>
      </w:r>
      <w:r w:rsidRPr="00813D19">
        <w:rPr>
          <w:lang w:val="en-US"/>
        </w:rPr>
        <w:t>.</w:t>
      </w:r>
    </w:p>
    <w:p w14:paraId="290751F5" w14:textId="0FCD72BE" w:rsidR="00940BFE" w:rsidRPr="00813D19" w:rsidRDefault="00320C79" w:rsidP="005B78DD">
      <w:pPr>
        <w:pStyle w:val="Orateurengris"/>
        <w:widowControl w:val="0"/>
        <w:spacing w:before="120"/>
        <w:ind w:left="709" w:hanging="709"/>
        <w:rPr>
          <w:lang w:val="en-US"/>
        </w:rPr>
      </w:pPr>
      <w:r w:rsidRPr="00813D19">
        <w:rPr>
          <w:lang w:val="en-US"/>
        </w:rPr>
        <w:t>The</w:t>
      </w:r>
      <w:r w:rsidRPr="00813D19">
        <w:rPr>
          <w:b/>
          <w:lang w:val="en-US"/>
        </w:rPr>
        <w:t xml:space="preserve"> Chairperson </w:t>
      </w:r>
      <w:r w:rsidRPr="00813D19">
        <w:rPr>
          <w:lang w:val="en-US"/>
        </w:rPr>
        <w:t xml:space="preserve">turned to the report </w:t>
      </w:r>
      <w:r w:rsidR="00940BFE" w:rsidRPr="00813D19">
        <w:rPr>
          <w:lang w:val="en-US"/>
        </w:rPr>
        <w:t xml:space="preserve">submitted by </w:t>
      </w:r>
      <w:r w:rsidR="00940BFE" w:rsidRPr="00813D19">
        <w:rPr>
          <w:rFonts w:eastAsia="SimSun"/>
          <w:b/>
          <w:lang w:val="en-US" w:eastAsia="fr-FR"/>
        </w:rPr>
        <w:t xml:space="preserve">Kyrgyzstan </w:t>
      </w:r>
      <w:r w:rsidR="00940BFE" w:rsidRPr="00813D19">
        <w:rPr>
          <w:rFonts w:eastAsia="SimSun"/>
          <w:lang w:val="en-US" w:eastAsia="fr-FR"/>
        </w:rPr>
        <w:t>on the</w:t>
      </w:r>
      <w:r w:rsidR="00461A26" w:rsidRPr="00813D19">
        <w:rPr>
          <w:rFonts w:eastAsia="SimSun"/>
          <w:b/>
          <w:lang w:val="en-US" w:eastAsia="fr-FR"/>
        </w:rPr>
        <w:t xml:space="preserve"> </w:t>
      </w:r>
      <w:r w:rsidR="00940BFE" w:rsidRPr="00813D19">
        <w:rPr>
          <w:rFonts w:eastAsia="SimSun"/>
          <w:b/>
          <w:lang w:val="en-US" w:eastAsia="fr-FR"/>
        </w:rPr>
        <w:t xml:space="preserve">Ala-kiyiz and Shyrdak, art of </w:t>
      </w:r>
      <w:r w:rsidR="00461A26" w:rsidRPr="00813D19">
        <w:rPr>
          <w:rFonts w:eastAsia="SimSun"/>
          <w:b/>
          <w:lang w:val="en-US" w:eastAsia="fr-FR"/>
        </w:rPr>
        <w:t>Kyrgyz traditional felt carpets</w:t>
      </w:r>
      <w:r w:rsidR="00940BFE" w:rsidRPr="00813D19">
        <w:rPr>
          <w:rFonts w:eastAsia="SimSun"/>
          <w:b/>
          <w:lang w:val="en-US" w:eastAsia="fr-FR"/>
        </w:rPr>
        <w:t xml:space="preserve">. </w:t>
      </w:r>
      <w:r w:rsidR="00391E9A" w:rsidRPr="00813D19">
        <w:rPr>
          <w:lang w:val="en-US"/>
        </w:rPr>
        <w:t>W</w:t>
      </w:r>
      <w:r w:rsidR="00042859" w:rsidRPr="00813D19">
        <w:rPr>
          <w:lang w:val="en-US"/>
        </w:rPr>
        <w:t>ith no comments, t</w:t>
      </w:r>
      <w:r w:rsidRPr="00813D19">
        <w:rPr>
          <w:lang w:val="en-US"/>
        </w:rPr>
        <w:t xml:space="preserve">he </w:t>
      </w:r>
      <w:r w:rsidRPr="00813D19">
        <w:rPr>
          <w:b/>
          <w:lang w:val="en-US"/>
        </w:rPr>
        <w:t>Chairperson declared</w:t>
      </w:r>
      <w:r w:rsidRPr="00813D19">
        <w:rPr>
          <w:lang w:val="en-US"/>
        </w:rPr>
        <w:t xml:space="preserve"> </w:t>
      </w:r>
      <w:r w:rsidRPr="00813D19">
        <w:rPr>
          <w:b/>
          <w:lang w:val="en-US"/>
        </w:rPr>
        <w:t xml:space="preserve">Decision </w:t>
      </w:r>
      <w:hyperlink r:id="rId60" w:history="1">
        <w:r w:rsidRPr="00813D19">
          <w:rPr>
            <w:rStyle w:val="Hyperlink"/>
            <w:b/>
            <w:lang w:val="en-US"/>
          </w:rPr>
          <w:t>13.COM 7.b.7</w:t>
        </w:r>
      </w:hyperlink>
      <w:r w:rsidRPr="00813D19">
        <w:rPr>
          <w:b/>
          <w:lang w:val="en-US"/>
        </w:rPr>
        <w:t xml:space="preserve"> adopted</w:t>
      </w:r>
      <w:r w:rsidRPr="00813D19">
        <w:rPr>
          <w:lang w:val="en-US"/>
        </w:rPr>
        <w:t>.</w:t>
      </w:r>
    </w:p>
    <w:p w14:paraId="5C4C5A22" w14:textId="57B7AA21" w:rsidR="00940BFE" w:rsidRPr="00813D19" w:rsidRDefault="00320C79" w:rsidP="005B78DD">
      <w:pPr>
        <w:pStyle w:val="Orateurengris"/>
        <w:widowControl w:val="0"/>
        <w:spacing w:before="120"/>
        <w:ind w:left="709" w:hanging="709"/>
        <w:rPr>
          <w:lang w:val="en-US"/>
        </w:rPr>
      </w:pPr>
      <w:r w:rsidRPr="00813D19">
        <w:rPr>
          <w:lang w:val="en-US"/>
        </w:rPr>
        <w:t>The</w:t>
      </w:r>
      <w:r w:rsidRPr="00813D19">
        <w:rPr>
          <w:b/>
          <w:lang w:val="en-US"/>
        </w:rPr>
        <w:t xml:space="preserve"> Chairperson </w:t>
      </w:r>
      <w:r w:rsidRPr="00813D19">
        <w:rPr>
          <w:lang w:val="en-US"/>
        </w:rPr>
        <w:t xml:space="preserve">turned to the report </w:t>
      </w:r>
      <w:r w:rsidR="00940BFE" w:rsidRPr="00813D19">
        <w:rPr>
          <w:lang w:val="en-US"/>
        </w:rPr>
        <w:t xml:space="preserve">submitted by </w:t>
      </w:r>
      <w:r w:rsidR="00940BFE" w:rsidRPr="00813D19">
        <w:rPr>
          <w:rFonts w:eastAsia="SimSun"/>
          <w:b/>
          <w:lang w:val="en-US" w:eastAsia="fr-FR"/>
        </w:rPr>
        <w:t xml:space="preserve">Latvia </w:t>
      </w:r>
      <w:r w:rsidR="00940BFE" w:rsidRPr="00813D19">
        <w:rPr>
          <w:rFonts w:eastAsia="SimSun"/>
          <w:lang w:val="en-US" w:eastAsia="fr-FR"/>
        </w:rPr>
        <w:t xml:space="preserve">on </w:t>
      </w:r>
      <w:r w:rsidR="00940BFE" w:rsidRPr="00813D19">
        <w:rPr>
          <w:rFonts w:eastAsia="SimSun"/>
          <w:b/>
          <w:lang w:val="en-US" w:eastAsia="fr-FR"/>
        </w:rPr>
        <w:t>Suiti cultural space</w:t>
      </w:r>
      <w:r w:rsidR="00940BFE" w:rsidRPr="00813D19">
        <w:rPr>
          <w:lang w:val="en-US"/>
        </w:rPr>
        <w:t>.</w:t>
      </w:r>
      <w:r w:rsidRPr="00813D19">
        <w:rPr>
          <w:lang w:val="en-US"/>
        </w:rPr>
        <w:t xml:space="preserve"> </w:t>
      </w:r>
      <w:r w:rsidR="00391E9A" w:rsidRPr="00813D19">
        <w:rPr>
          <w:lang w:val="en-US"/>
        </w:rPr>
        <w:t>W</w:t>
      </w:r>
      <w:r w:rsidR="00042859" w:rsidRPr="00813D19">
        <w:rPr>
          <w:lang w:val="en-US"/>
        </w:rPr>
        <w:t>ith no comments, t</w:t>
      </w:r>
      <w:r w:rsidRPr="00813D19">
        <w:rPr>
          <w:lang w:val="en-US"/>
        </w:rPr>
        <w:t xml:space="preserve">he </w:t>
      </w:r>
      <w:r w:rsidRPr="00813D19">
        <w:rPr>
          <w:b/>
          <w:lang w:val="en-US"/>
        </w:rPr>
        <w:t>Chairperson declared</w:t>
      </w:r>
      <w:r w:rsidRPr="00813D19">
        <w:rPr>
          <w:lang w:val="en-US"/>
        </w:rPr>
        <w:t xml:space="preserve"> </w:t>
      </w:r>
      <w:r w:rsidRPr="00813D19">
        <w:rPr>
          <w:b/>
          <w:lang w:val="en-US"/>
        </w:rPr>
        <w:t xml:space="preserve">Decision </w:t>
      </w:r>
      <w:hyperlink r:id="rId61" w:history="1">
        <w:r w:rsidRPr="00813D19">
          <w:rPr>
            <w:rStyle w:val="Hyperlink"/>
            <w:b/>
            <w:lang w:val="en-US"/>
          </w:rPr>
          <w:t>13.COM 7.b.8</w:t>
        </w:r>
      </w:hyperlink>
      <w:r w:rsidRPr="00813D19">
        <w:rPr>
          <w:b/>
          <w:lang w:val="en-US"/>
        </w:rPr>
        <w:t xml:space="preserve"> adopted</w:t>
      </w:r>
      <w:r w:rsidRPr="00813D19">
        <w:rPr>
          <w:lang w:val="en-US"/>
        </w:rPr>
        <w:t>.</w:t>
      </w:r>
    </w:p>
    <w:p w14:paraId="01EA6FA1" w14:textId="736017DF" w:rsidR="00940BFE" w:rsidRPr="00813D19" w:rsidRDefault="00320C79" w:rsidP="005B78DD">
      <w:pPr>
        <w:pStyle w:val="Orateurengris"/>
        <w:widowControl w:val="0"/>
        <w:spacing w:before="120"/>
        <w:ind w:left="709" w:hanging="709"/>
        <w:rPr>
          <w:lang w:val="en-US"/>
        </w:rPr>
      </w:pPr>
      <w:r w:rsidRPr="00813D19">
        <w:rPr>
          <w:lang w:val="en-US"/>
        </w:rPr>
        <w:t>The</w:t>
      </w:r>
      <w:r w:rsidRPr="00813D19">
        <w:rPr>
          <w:b/>
          <w:lang w:val="en-US"/>
        </w:rPr>
        <w:t xml:space="preserve"> Chairperson </w:t>
      </w:r>
      <w:r w:rsidRPr="00813D19">
        <w:rPr>
          <w:lang w:val="en-US"/>
        </w:rPr>
        <w:t xml:space="preserve">turned to the report </w:t>
      </w:r>
      <w:r w:rsidR="00940BFE" w:rsidRPr="00813D19">
        <w:rPr>
          <w:lang w:val="en-US"/>
        </w:rPr>
        <w:t xml:space="preserve">submitted by </w:t>
      </w:r>
      <w:r w:rsidR="00940BFE" w:rsidRPr="00813D19">
        <w:rPr>
          <w:rFonts w:eastAsia="SimSun"/>
          <w:b/>
          <w:lang w:val="en-US" w:eastAsia="fr-FR"/>
        </w:rPr>
        <w:t xml:space="preserve">Mali </w:t>
      </w:r>
      <w:r w:rsidR="00940BFE" w:rsidRPr="00813D19">
        <w:rPr>
          <w:rFonts w:eastAsia="SimSun"/>
          <w:lang w:val="en-US" w:eastAsia="fr-FR"/>
        </w:rPr>
        <w:t xml:space="preserve">on </w:t>
      </w:r>
      <w:r w:rsidR="00940BFE" w:rsidRPr="00813D19">
        <w:rPr>
          <w:rFonts w:eastAsia="SimSun"/>
          <w:b/>
          <w:lang w:val="en-US" w:eastAsia="fr-FR"/>
        </w:rPr>
        <w:t>Sanké mon, collective fishing rite of the Sanké</w:t>
      </w:r>
      <w:r w:rsidR="00940BFE" w:rsidRPr="00813D19">
        <w:rPr>
          <w:lang w:val="en-US"/>
        </w:rPr>
        <w:t xml:space="preserve">. </w:t>
      </w:r>
      <w:r w:rsidR="00391E9A" w:rsidRPr="00813D19">
        <w:rPr>
          <w:lang w:val="en-US"/>
        </w:rPr>
        <w:t>W</w:t>
      </w:r>
      <w:r w:rsidR="00FB4698" w:rsidRPr="00813D19">
        <w:rPr>
          <w:lang w:val="en-US"/>
        </w:rPr>
        <w:t>ith no comments,</w:t>
      </w:r>
      <w:r w:rsidR="00042859" w:rsidRPr="00813D19">
        <w:rPr>
          <w:lang w:val="en-US"/>
        </w:rPr>
        <w:t xml:space="preserve"> t</w:t>
      </w:r>
      <w:r w:rsidRPr="00813D19">
        <w:rPr>
          <w:lang w:val="en-US"/>
        </w:rPr>
        <w:t xml:space="preserve">he </w:t>
      </w:r>
      <w:r w:rsidRPr="00813D19">
        <w:rPr>
          <w:b/>
          <w:lang w:val="en-US"/>
        </w:rPr>
        <w:t>Chairperson declared</w:t>
      </w:r>
      <w:r w:rsidRPr="00813D19">
        <w:rPr>
          <w:lang w:val="en-US"/>
        </w:rPr>
        <w:t xml:space="preserve"> </w:t>
      </w:r>
      <w:r w:rsidRPr="00813D19">
        <w:rPr>
          <w:b/>
          <w:lang w:val="en-US"/>
        </w:rPr>
        <w:t xml:space="preserve">Decision </w:t>
      </w:r>
      <w:hyperlink r:id="rId62" w:history="1">
        <w:r w:rsidRPr="00813D19">
          <w:rPr>
            <w:rStyle w:val="Hyperlink"/>
            <w:b/>
            <w:lang w:val="en-US"/>
          </w:rPr>
          <w:t>13.COM 7.b.9</w:t>
        </w:r>
      </w:hyperlink>
      <w:r w:rsidRPr="00813D19">
        <w:rPr>
          <w:b/>
          <w:lang w:val="en-US"/>
        </w:rPr>
        <w:t xml:space="preserve"> adopted</w:t>
      </w:r>
      <w:r w:rsidRPr="00813D19">
        <w:rPr>
          <w:lang w:val="en-US"/>
        </w:rPr>
        <w:t>.</w:t>
      </w:r>
    </w:p>
    <w:p w14:paraId="29A1C093" w14:textId="4880C2FE" w:rsidR="00320C79" w:rsidRPr="00813D19" w:rsidRDefault="00320C79" w:rsidP="00320C79">
      <w:pPr>
        <w:pStyle w:val="Orateurengris"/>
        <w:widowControl w:val="0"/>
        <w:spacing w:before="120"/>
        <w:ind w:left="709" w:hanging="709"/>
        <w:rPr>
          <w:lang w:val="en-US"/>
        </w:rPr>
      </w:pPr>
      <w:r w:rsidRPr="00813D19">
        <w:rPr>
          <w:lang w:val="en-US"/>
        </w:rPr>
        <w:t>The</w:t>
      </w:r>
      <w:r w:rsidRPr="00813D19">
        <w:rPr>
          <w:b/>
          <w:lang w:val="en-US"/>
        </w:rPr>
        <w:t xml:space="preserve"> Chairperson </w:t>
      </w:r>
      <w:r w:rsidRPr="00813D19">
        <w:rPr>
          <w:lang w:val="en-US"/>
        </w:rPr>
        <w:t xml:space="preserve">turned to the report </w:t>
      </w:r>
      <w:r w:rsidR="00940BFE" w:rsidRPr="00813D19">
        <w:rPr>
          <w:lang w:val="en-US"/>
        </w:rPr>
        <w:t xml:space="preserve">submitted by </w:t>
      </w:r>
      <w:r w:rsidR="00940BFE" w:rsidRPr="00813D19">
        <w:rPr>
          <w:rFonts w:eastAsia="SimSun"/>
          <w:b/>
          <w:lang w:val="en-US" w:eastAsia="fr-FR"/>
        </w:rPr>
        <w:t xml:space="preserve">Mauritania </w:t>
      </w:r>
      <w:r w:rsidR="00940BFE" w:rsidRPr="00813D19">
        <w:rPr>
          <w:rFonts w:eastAsia="SimSun"/>
          <w:lang w:val="en-US" w:eastAsia="fr-FR"/>
        </w:rPr>
        <w:t xml:space="preserve">on </w:t>
      </w:r>
      <w:r w:rsidR="00940BFE" w:rsidRPr="00813D19">
        <w:rPr>
          <w:rFonts w:eastAsia="SimSun"/>
          <w:b/>
          <w:lang w:val="en-US" w:eastAsia="fr-FR"/>
        </w:rPr>
        <w:t>Moorish epic T’heydinn</w:t>
      </w:r>
      <w:r w:rsidR="00940BFE" w:rsidRPr="00813D19">
        <w:rPr>
          <w:lang w:val="en-US"/>
        </w:rPr>
        <w:t xml:space="preserve">. </w:t>
      </w:r>
      <w:r w:rsidR="00391E9A" w:rsidRPr="00813D19">
        <w:rPr>
          <w:lang w:val="en-US"/>
        </w:rPr>
        <w:t>W</w:t>
      </w:r>
      <w:r w:rsidR="00042859" w:rsidRPr="00813D19">
        <w:rPr>
          <w:lang w:val="en-US"/>
        </w:rPr>
        <w:t xml:space="preserve">ith no comments, the </w:t>
      </w:r>
      <w:r w:rsidRPr="00813D19">
        <w:rPr>
          <w:b/>
          <w:lang w:val="en-US"/>
        </w:rPr>
        <w:t>Chairperson declared</w:t>
      </w:r>
      <w:r w:rsidRPr="00813D19">
        <w:rPr>
          <w:lang w:val="en-US"/>
        </w:rPr>
        <w:t xml:space="preserve"> </w:t>
      </w:r>
      <w:r w:rsidRPr="00813D19">
        <w:rPr>
          <w:b/>
          <w:lang w:val="en-US"/>
        </w:rPr>
        <w:t xml:space="preserve">Decision </w:t>
      </w:r>
      <w:hyperlink r:id="rId63" w:history="1">
        <w:r w:rsidRPr="00813D19">
          <w:rPr>
            <w:rStyle w:val="Hyperlink"/>
            <w:b/>
            <w:lang w:val="en-US"/>
          </w:rPr>
          <w:t>13.COM 7.b.10</w:t>
        </w:r>
      </w:hyperlink>
      <w:r w:rsidRPr="00813D19">
        <w:rPr>
          <w:b/>
          <w:lang w:val="en-US"/>
        </w:rPr>
        <w:t xml:space="preserve"> adopted</w:t>
      </w:r>
      <w:r w:rsidRPr="00813D19">
        <w:rPr>
          <w:lang w:val="en-US"/>
        </w:rPr>
        <w:t>.</w:t>
      </w:r>
    </w:p>
    <w:p w14:paraId="1A79B385" w14:textId="457BFFC2" w:rsidR="00940BFE" w:rsidRPr="00813D19" w:rsidRDefault="00320C79" w:rsidP="00320C79">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then turned to the </w:t>
      </w:r>
      <w:r w:rsidR="00940BFE" w:rsidRPr="00813D19">
        <w:rPr>
          <w:lang w:val="en-US"/>
        </w:rPr>
        <w:t xml:space="preserve">four reports submitted by </w:t>
      </w:r>
      <w:r w:rsidR="00461A26" w:rsidRPr="00813D19">
        <w:rPr>
          <w:rFonts w:eastAsia="SimSun"/>
          <w:b/>
          <w:lang w:val="en-US" w:eastAsia="fr-FR"/>
        </w:rPr>
        <w:t>Mongolia</w:t>
      </w:r>
      <w:r w:rsidR="00940BFE" w:rsidRPr="00813D19">
        <w:rPr>
          <w:rFonts w:eastAsia="SimSun"/>
          <w:b/>
          <w:lang w:val="en-US" w:eastAsia="fr-FR"/>
        </w:rPr>
        <w:t xml:space="preserve"> </w:t>
      </w:r>
      <w:r w:rsidR="00940BFE" w:rsidRPr="00813D19">
        <w:rPr>
          <w:rFonts w:eastAsia="SimSun"/>
          <w:lang w:val="en-US" w:eastAsia="fr-FR"/>
        </w:rPr>
        <w:t>on</w:t>
      </w:r>
      <w:r w:rsidR="00461A26" w:rsidRPr="00813D19">
        <w:rPr>
          <w:rFonts w:eastAsia="SimSun"/>
          <w:b/>
          <w:lang w:val="en-US" w:eastAsia="fr-FR"/>
        </w:rPr>
        <w:t xml:space="preserve"> </w:t>
      </w:r>
      <w:r w:rsidR="00940BFE" w:rsidRPr="00813D19">
        <w:rPr>
          <w:rFonts w:eastAsia="SimSun"/>
          <w:b/>
          <w:lang w:val="en-US" w:eastAsia="fr-FR"/>
        </w:rPr>
        <w:t>Mongol Tuuli, Mongolian epic</w:t>
      </w:r>
      <w:r w:rsidRPr="00813D19">
        <w:rPr>
          <w:rFonts w:eastAsia="SimSun"/>
          <w:lang w:val="en-US" w:eastAsia="fr-FR"/>
        </w:rPr>
        <w:t xml:space="preserve">, </w:t>
      </w:r>
      <w:r w:rsidR="00940BFE" w:rsidRPr="00813D19">
        <w:rPr>
          <w:rFonts w:eastAsia="SimSun"/>
          <w:b/>
          <w:lang w:val="en-US" w:eastAsia="fr-FR"/>
        </w:rPr>
        <w:t>Mongol Biyelgee, M</w:t>
      </w:r>
      <w:r w:rsidR="00461A26" w:rsidRPr="00813D19">
        <w:rPr>
          <w:rFonts w:eastAsia="SimSun"/>
          <w:b/>
          <w:lang w:val="en-US" w:eastAsia="fr-FR"/>
        </w:rPr>
        <w:t>ongolian traditional folk dance,</w:t>
      </w:r>
      <w:r w:rsidR="00940BFE" w:rsidRPr="00813D19">
        <w:rPr>
          <w:rFonts w:eastAsia="SimSun"/>
          <w:b/>
          <w:lang w:val="en-US" w:eastAsia="fr-FR"/>
        </w:rPr>
        <w:t xml:space="preserve"> </w:t>
      </w:r>
      <w:r w:rsidR="00940BFE" w:rsidRPr="00813D19">
        <w:rPr>
          <w:b/>
          <w:lang w:val="en-US"/>
        </w:rPr>
        <w:t>Traditional music of the Tsuur</w:t>
      </w:r>
      <w:r w:rsidRPr="00813D19">
        <w:rPr>
          <w:lang w:val="en-US"/>
        </w:rPr>
        <w:t xml:space="preserve"> </w:t>
      </w:r>
      <w:r w:rsidR="00461A26" w:rsidRPr="00813D19">
        <w:rPr>
          <w:lang w:val="en-US"/>
        </w:rPr>
        <w:t xml:space="preserve">and the fourth </w:t>
      </w:r>
      <w:r w:rsidR="00940BFE" w:rsidRPr="00813D19">
        <w:rPr>
          <w:lang w:val="en-US"/>
        </w:rPr>
        <w:t>report</w:t>
      </w:r>
      <w:r w:rsidR="00461A26" w:rsidRPr="00813D19">
        <w:rPr>
          <w:lang w:val="en-US"/>
        </w:rPr>
        <w:t>,</w:t>
      </w:r>
      <w:r w:rsidR="00940BFE" w:rsidRPr="00813D19">
        <w:rPr>
          <w:lang w:val="en-US"/>
        </w:rPr>
        <w:t xml:space="preserve"> </w:t>
      </w:r>
      <w:r w:rsidR="00940BFE" w:rsidRPr="00813D19">
        <w:rPr>
          <w:rFonts w:eastAsia="SimSun"/>
          <w:b/>
          <w:lang w:val="en-US" w:eastAsia="fr-FR"/>
        </w:rPr>
        <w:t>Mongolian calligraphy</w:t>
      </w:r>
      <w:r w:rsidR="00461A26" w:rsidRPr="00813D19">
        <w:rPr>
          <w:rFonts w:eastAsia="SimSun"/>
          <w:b/>
          <w:lang w:val="en-US" w:eastAsia="fr-FR"/>
        </w:rPr>
        <w:t xml:space="preserve">. </w:t>
      </w:r>
      <w:r w:rsidR="00391E9A" w:rsidRPr="00813D19">
        <w:rPr>
          <w:lang w:val="en-US"/>
        </w:rPr>
        <w:t>W</w:t>
      </w:r>
      <w:r w:rsidR="00461A26" w:rsidRPr="00813D19">
        <w:rPr>
          <w:lang w:val="en-US"/>
        </w:rPr>
        <w:t xml:space="preserve">ith no comments, the </w:t>
      </w:r>
      <w:r w:rsidR="00461A26" w:rsidRPr="00813D19">
        <w:rPr>
          <w:b/>
          <w:lang w:val="en-US"/>
        </w:rPr>
        <w:t xml:space="preserve">Chairperson declared </w:t>
      </w:r>
      <w:r w:rsidR="00461A26" w:rsidRPr="00813D19">
        <w:rPr>
          <w:rFonts w:eastAsia="SimSun"/>
          <w:b/>
          <w:lang w:val="en-US" w:eastAsia="fr-FR"/>
        </w:rPr>
        <w:t xml:space="preserve">Decision </w:t>
      </w:r>
      <w:hyperlink r:id="rId64" w:history="1">
        <w:r w:rsidR="00461A26" w:rsidRPr="00813D19">
          <w:rPr>
            <w:rStyle w:val="Hyperlink"/>
            <w:b/>
            <w:lang w:val="en-US"/>
          </w:rPr>
          <w:t>13.COM 7.b.11</w:t>
        </w:r>
      </w:hyperlink>
      <w:r w:rsidR="00461A26" w:rsidRPr="00813D19">
        <w:rPr>
          <w:b/>
          <w:lang w:val="en-US"/>
        </w:rPr>
        <w:t xml:space="preserve">, </w:t>
      </w:r>
      <w:r w:rsidR="00461A26" w:rsidRPr="00813D19">
        <w:rPr>
          <w:rFonts w:eastAsia="SimSun"/>
          <w:b/>
          <w:lang w:val="en-US" w:eastAsia="fr-FR"/>
        </w:rPr>
        <w:t xml:space="preserve">Decision </w:t>
      </w:r>
      <w:hyperlink r:id="rId65" w:history="1">
        <w:r w:rsidR="00461A26" w:rsidRPr="00813D19">
          <w:rPr>
            <w:rStyle w:val="Hyperlink"/>
            <w:b/>
            <w:lang w:val="en-US"/>
          </w:rPr>
          <w:t>13.COM 7.b.12</w:t>
        </w:r>
      </w:hyperlink>
      <w:r w:rsidR="00461A26" w:rsidRPr="00813D19">
        <w:rPr>
          <w:b/>
          <w:lang w:val="en-US"/>
        </w:rPr>
        <w:t xml:space="preserve">, </w:t>
      </w:r>
      <w:r w:rsidR="00461A26" w:rsidRPr="00813D19">
        <w:rPr>
          <w:rFonts w:eastAsia="SimSun"/>
          <w:b/>
          <w:lang w:val="en-US" w:eastAsia="fr-FR"/>
        </w:rPr>
        <w:t xml:space="preserve">Decision </w:t>
      </w:r>
      <w:hyperlink r:id="rId66" w:history="1">
        <w:r w:rsidR="00461A26" w:rsidRPr="00813D19">
          <w:rPr>
            <w:rStyle w:val="Hyperlink"/>
            <w:b/>
            <w:lang w:val="en-US"/>
          </w:rPr>
          <w:t>13.COM 7.b.13</w:t>
        </w:r>
      </w:hyperlink>
      <w:r w:rsidR="00461A26" w:rsidRPr="00813D19">
        <w:rPr>
          <w:b/>
          <w:lang w:val="en-US"/>
        </w:rPr>
        <w:t xml:space="preserve"> and </w:t>
      </w:r>
      <w:r w:rsidR="00461A26" w:rsidRPr="00813D19">
        <w:rPr>
          <w:rFonts w:eastAsia="SimSun"/>
          <w:b/>
          <w:lang w:val="en-US" w:eastAsia="fr-FR"/>
        </w:rPr>
        <w:t xml:space="preserve">Decision </w:t>
      </w:r>
      <w:hyperlink r:id="rId67" w:history="1">
        <w:r w:rsidR="00461A26" w:rsidRPr="00813D19">
          <w:rPr>
            <w:rStyle w:val="Hyperlink"/>
            <w:b/>
            <w:lang w:val="en-US"/>
          </w:rPr>
          <w:t>13.COM 7.b.14</w:t>
        </w:r>
      </w:hyperlink>
      <w:r w:rsidR="00461A26" w:rsidRPr="00813D19">
        <w:rPr>
          <w:b/>
          <w:lang w:val="en-US"/>
        </w:rPr>
        <w:t xml:space="preserve"> </w:t>
      </w:r>
      <w:r w:rsidRPr="00813D19">
        <w:rPr>
          <w:b/>
          <w:lang w:val="en-US"/>
        </w:rPr>
        <w:t>duly adopted</w:t>
      </w:r>
      <w:r w:rsidRPr="00813D19">
        <w:rPr>
          <w:lang w:val="en-US"/>
        </w:rPr>
        <w:t>.</w:t>
      </w:r>
    </w:p>
    <w:p w14:paraId="37362F08" w14:textId="0EC56337" w:rsidR="00940BFE" w:rsidRPr="00813D19" w:rsidRDefault="00320C79" w:rsidP="005B78DD">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turned to the </w:t>
      </w:r>
      <w:r w:rsidR="00940BFE" w:rsidRPr="00813D19">
        <w:rPr>
          <w:lang w:val="en-US"/>
        </w:rPr>
        <w:t xml:space="preserve">report submitted by </w:t>
      </w:r>
      <w:r w:rsidR="00940BFE" w:rsidRPr="00813D19">
        <w:rPr>
          <w:rFonts w:eastAsia="SimSun"/>
          <w:b/>
          <w:lang w:val="en-US" w:eastAsia="fr-FR"/>
        </w:rPr>
        <w:t xml:space="preserve">Uganda </w:t>
      </w:r>
      <w:r w:rsidR="00940BFE" w:rsidRPr="00813D19">
        <w:rPr>
          <w:rFonts w:eastAsia="SimSun"/>
          <w:lang w:val="en-US" w:eastAsia="fr-FR"/>
        </w:rPr>
        <w:t xml:space="preserve">on </w:t>
      </w:r>
      <w:r w:rsidR="00940BFE" w:rsidRPr="00813D19">
        <w:rPr>
          <w:rFonts w:eastAsia="SimSun"/>
          <w:b/>
          <w:lang w:val="en-US" w:eastAsia="fr-FR"/>
        </w:rPr>
        <w:t>‘Empaako tradition of the Batooro, Banyoro, Batuku, Batagwenda and Banyabindi of western Uganda’</w:t>
      </w:r>
      <w:r w:rsidR="00940BFE" w:rsidRPr="00813D19">
        <w:rPr>
          <w:rFonts w:eastAsia="SimSun"/>
          <w:lang w:val="en-US" w:eastAsia="fr-FR"/>
        </w:rPr>
        <w:t>.</w:t>
      </w:r>
      <w:r w:rsidR="00940BFE" w:rsidRPr="00813D19">
        <w:rPr>
          <w:lang w:val="en-US"/>
        </w:rPr>
        <w:t xml:space="preserve"> </w:t>
      </w:r>
      <w:r w:rsidR="00391E9A" w:rsidRPr="00813D19">
        <w:rPr>
          <w:lang w:val="en-US"/>
        </w:rPr>
        <w:t>W</w:t>
      </w:r>
      <w:r w:rsidR="00042859" w:rsidRPr="00813D19">
        <w:rPr>
          <w:lang w:val="en-US"/>
        </w:rPr>
        <w:t>ith no comments, t</w:t>
      </w:r>
      <w:r w:rsidRPr="00813D19">
        <w:rPr>
          <w:lang w:val="en-US"/>
        </w:rPr>
        <w:t xml:space="preserve">he Chairperson declared </w:t>
      </w:r>
      <w:r w:rsidRPr="00813D19">
        <w:rPr>
          <w:b/>
          <w:lang w:val="en-US"/>
        </w:rPr>
        <w:t xml:space="preserve">Decision </w:t>
      </w:r>
      <w:hyperlink r:id="rId68" w:history="1">
        <w:r w:rsidRPr="00813D19">
          <w:rPr>
            <w:rStyle w:val="Hyperlink"/>
            <w:b/>
            <w:lang w:val="en-US"/>
          </w:rPr>
          <w:t>13.COM 7.b.15</w:t>
        </w:r>
      </w:hyperlink>
      <w:r w:rsidRPr="00813D19">
        <w:rPr>
          <w:b/>
          <w:lang w:val="en-US"/>
        </w:rPr>
        <w:t xml:space="preserve"> adopted</w:t>
      </w:r>
      <w:r w:rsidRPr="00813D19">
        <w:rPr>
          <w:lang w:val="en-US"/>
        </w:rPr>
        <w:t>.</w:t>
      </w:r>
    </w:p>
    <w:p w14:paraId="3B13C224" w14:textId="0389CCFB" w:rsidR="00940BFE" w:rsidRPr="00813D19" w:rsidRDefault="00320C79" w:rsidP="005B78DD">
      <w:pPr>
        <w:pStyle w:val="Orateurengris"/>
        <w:widowControl w:val="0"/>
        <w:spacing w:before="120"/>
        <w:ind w:left="709" w:hanging="709"/>
        <w:jc w:val="left"/>
        <w:rPr>
          <w:lang w:val="en-US"/>
        </w:rPr>
      </w:pPr>
      <w:r w:rsidRPr="00813D19">
        <w:rPr>
          <w:lang w:val="en-US"/>
        </w:rPr>
        <w:t xml:space="preserve">The </w:t>
      </w:r>
      <w:r w:rsidRPr="00813D19">
        <w:rPr>
          <w:b/>
          <w:lang w:val="en-US"/>
        </w:rPr>
        <w:t>Chairperson</w:t>
      </w:r>
      <w:r w:rsidR="00FB4698" w:rsidRPr="00813D19">
        <w:rPr>
          <w:lang w:val="en-US"/>
        </w:rPr>
        <w:t xml:space="preserve"> presented the final report </w:t>
      </w:r>
      <w:r w:rsidR="00940BFE" w:rsidRPr="00813D19">
        <w:rPr>
          <w:lang w:val="en-US"/>
        </w:rPr>
        <w:t xml:space="preserve">submitted by </w:t>
      </w:r>
      <w:r w:rsidR="00940BFE" w:rsidRPr="00813D19">
        <w:rPr>
          <w:rFonts w:eastAsia="SimSun"/>
          <w:b/>
          <w:lang w:val="en-US" w:eastAsia="fr-FR"/>
        </w:rPr>
        <w:t xml:space="preserve">Viet Nam </w:t>
      </w:r>
      <w:r w:rsidR="00940BFE" w:rsidRPr="00813D19">
        <w:rPr>
          <w:rFonts w:eastAsia="SimSun"/>
          <w:lang w:val="en-US" w:eastAsia="fr-FR"/>
        </w:rPr>
        <w:t>on</w:t>
      </w:r>
      <w:r w:rsidR="00940BFE" w:rsidRPr="00813D19">
        <w:rPr>
          <w:rFonts w:eastAsia="SimSun"/>
          <w:b/>
          <w:lang w:val="en-US" w:eastAsia="fr-FR"/>
        </w:rPr>
        <w:t xml:space="preserve"> ‘Ca trù singing’</w:t>
      </w:r>
      <w:r w:rsidR="00940BFE" w:rsidRPr="00813D19">
        <w:rPr>
          <w:rFonts w:eastAsia="SimSun"/>
          <w:lang w:val="en-US" w:eastAsia="fr-FR"/>
        </w:rPr>
        <w:t xml:space="preserve">. </w:t>
      </w:r>
      <w:r w:rsidR="00391E9A" w:rsidRPr="00813D19">
        <w:rPr>
          <w:lang w:val="en-US"/>
        </w:rPr>
        <w:t>W</w:t>
      </w:r>
      <w:r w:rsidR="00042859" w:rsidRPr="00813D19">
        <w:rPr>
          <w:lang w:val="en-US"/>
        </w:rPr>
        <w:t>ith no comments, t</w:t>
      </w:r>
      <w:r w:rsidRPr="00813D19">
        <w:rPr>
          <w:lang w:val="en-US"/>
        </w:rPr>
        <w:t xml:space="preserve">he </w:t>
      </w:r>
      <w:r w:rsidRPr="00813D19">
        <w:rPr>
          <w:b/>
          <w:lang w:val="en-US"/>
        </w:rPr>
        <w:t>Chairperson declared</w:t>
      </w:r>
      <w:r w:rsidRPr="00813D19">
        <w:rPr>
          <w:lang w:val="en-US"/>
        </w:rPr>
        <w:t xml:space="preserve"> </w:t>
      </w:r>
      <w:r w:rsidRPr="00813D19">
        <w:rPr>
          <w:b/>
          <w:lang w:val="en-US"/>
        </w:rPr>
        <w:t xml:space="preserve">Decision </w:t>
      </w:r>
      <w:hyperlink r:id="rId69" w:history="1">
        <w:r w:rsidRPr="00813D19">
          <w:rPr>
            <w:rStyle w:val="Hyperlink"/>
            <w:b/>
            <w:lang w:val="en-US"/>
          </w:rPr>
          <w:t>13.COM 7.b.16</w:t>
        </w:r>
      </w:hyperlink>
      <w:r w:rsidRPr="00813D19">
        <w:rPr>
          <w:b/>
          <w:lang w:val="en-US"/>
        </w:rPr>
        <w:t xml:space="preserve"> adopted</w:t>
      </w:r>
      <w:r w:rsidRPr="00813D19">
        <w:rPr>
          <w:lang w:val="en-US"/>
        </w:rPr>
        <w:t>.</w:t>
      </w:r>
    </w:p>
    <w:p w14:paraId="1521769B" w14:textId="0B8A5AA9" w:rsidR="00940BFE" w:rsidRPr="00813D19" w:rsidRDefault="005B78DD" w:rsidP="008A0753">
      <w:pPr>
        <w:pStyle w:val="Orateurengris"/>
        <w:widowControl w:val="0"/>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2A09A4" w:rsidRPr="00813D19">
        <w:rPr>
          <w:lang w:val="en-US"/>
        </w:rPr>
        <w:t xml:space="preserve">then suspended </w:t>
      </w:r>
      <w:r w:rsidRPr="00813D19">
        <w:rPr>
          <w:lang w:val="en-US"/>
        </w:rPr>
        <w:t xml:space="preserve">the adoption of the </w:t>
      </w:r>
      <w:r w:rsidR="00940BFE" w:rsidRPr="00813D19">
        <w:rPr>
          <w:lang w:val="en-US"/>
        </w:rPr>
        <w:t>‘chapeau decision’ of this item</w:t>
      </w:r>
      <w:r w:rsidR="002A09A4" w:rsidRPr="00813D19">
        <w:rPr>
          <w:lang w:val="en-US"/>
        </w:rPr>
        <w:t xml:space="preserve">, while awaiting the </w:t>
      </w:r>
      <w:r w:rsidR="00CA48A4" w:rsidRPr="00813D19">
        <w:rPr>
          <w:lang w:val="en-US"/>
        </w:rPr>
        <w:t xml:space="preserve">consolidated draft decision with </w:t>
      </w:r>
      <w:r w:rsidR="00020144" w:rsidRPr="00813D19">
        <w:rPr>
          <w:lang w:val="en-US"/>
        </w:rPr>
        <w:t>the amendments by Armenia</w:t>
      </w:r>
      <w:r w:rsidR="002A09A4" w:rsidRPr="00813D19">
        <w:rPr>
          <w:lang w:val="en-US"/>
        </w:rPr>
        <w:t>.</w:t>
      </w:r>
    </w:p>
    <w:p w14:paraId="16F5FA6B" w14:textId="3A3C17BC" w:rsidR="00701B95" w:rsidRPr="00813D19" w:rsidRDefault="00701B95" w:rsidP="00087166">
      <w:pPr>
        <w:pStyle w:val="Orateurengris"/>
        <w:numPr>
          <w:ilvl w:val="0"/>
          <w:numId w:val="0"/>
        </w:numPr>
        <w:spacing w:before="360" w:after="60"/>
        <w:outlineLvl w:val="0"/>
        <w:rPr>
          <w:b/>
          <w:color w:val="000000" w:themeColor="text1"/>
          <w:u w:val="single"/>
          <w:lang w:val="en-US"/>
        </w:rPr>
      </w:pPr>
      <w:r w:rsidRPr="00813D19">
        <w:rPr>
          <w:b/>
          <w:color w:val="000000" w:themeColor="text1"/>
          <w:u w:val="single"/>
          <w:lang w:val="en-US"/>
        </w:rPr>
        <w:t>ITEM 7.c OF THE AGENDA</w:t>
      </w:r>
    </w:p>
    <w:p w14:paraId="23E85030" w14:textId="0A738EA3" w:rsidR="00701B95" w:rsidRPr="00813D19" w:rsidRDefault="00701B95" w:rsidP="00087166">
      <w:pPr>
        <w:pStyle w:val="Orateurengris"/>
        <w:numPr>
          <w:ilvl w:val="0"/>
          <w:numId w:val="0"/>
        </w:numPr>
        <w:outlineLvl w:val="1"/>
        <w:rPr>
          <w:b/>
          <w:color w:val="000000" w:themeColor="text1"/>
          <w:lang w:val="en-US"/>
        </w:rPr>
      </w:pPr>
      <w:r w:rsidRPr="00813D19">
        <w:rPr>
          <w:b/>
          <w:color w:val="000000" w:themeColor="text1"/>
          <w:lang w:val="en-US"/>
        </w:rPr>
        <w:t>REPORTS OF STATES PARTIES ON THE USE OF INTERNATIONAL ASSISTANCE FROM THE INTANGIBLE CULTURAL HERITAGE FUND</w:t>
      </w:r>
    </w:p>
    <w:p w14:paraId="5F67DB07" w14:textId="7B58D339" w:rsidR="00701B95" w:rsidRPr="00813D19" w:rsidRDefault="00701B95" w:rsidP="00087166">
      <w:pPr>
        <w:pStyle w:val="Orateurengris"/>
        <w:numPr>
          <w:ilvl w:val="0"/>
          <w:numId w:val="0"/>
        </w:numPr>
        <w:spacing w:before="120" w:after="0"/>
        <w:ind w:left="709"/>
        <w:rPr>
          <w:b/>
          <w:color w:val="000000" w:themeColor="text1"/>
          <w:lang w:val="en-US"/>
        </w:rPr>
      </w:pPr>
      <w:r w:rsidRPr="00813D19">
        <w:rPr>
          <w:b/>
          <w:color w:val="000000" w:themeColor="text1"/>
          <w:lang w:val="en-US"/>
        </w:rPr>
        <w:t>Document:</w:t>
      </w:r>
      <w:r w:rsidRPr="00813D19">
        <w:rPr>
          <w:b/>
          <w:color w:val="000000" w:themeColor="text1"/>
          <w:lang w:val="en-US"/>
        </w:rPr>
        <w:tab/>
      </w:r>
      <w:hyperlink r:id="rId70" w:history="1">
        <w:r w:rsidRPr="00813D19">
          <w:rPr>
            <w:rStyle w:val="Hyperlink"/>
            <w:i/>
            <w:lang w:val="en-US"/>
          </w:rPr>
          <w:t>ITH/18/13.COM/7.c</w:t>
        </w:r>
      </w:hyperlink>
    </w:p>
    <w:p w14:paraId="2E4A8950" w14:textId="608AF010" w:rsidR="00701B95" w:rsidRPr="00813D19" w:rsidRDefault="00701B95" w:rsidP="00087166">
      <w:pPr>
        <w:pStyle w:val="Orateurengris"/>
        <w:numPr>
          <w:ilvl w:val="0"/>
          <w:numId w:val="0"/>
        </w:numPr>
        <w:spacing w:before="60" w:after="240"/>
        <w:ind w:left="709"/>
        <w:rPr>
          <w:i/>
          <w:color w:val="000000" w:themeColor="text1"/>
          <w:lang w:val="en-US"/>
        </w:rPr>
      </w:pPr>
      <w:r w:rsidRPr="00813D19">
        <w:rPr>
          <w:b/>
          <w:color w:val="000000" w:themeColor="text1"/>
          <w:lang w:val="en-US"/>
        </w:rPr>
        <w:t>Decision</w:t>
      </w:r>
      <w:r w:rsidRPr="00813D19">
        <w:rPr>
          <w:color w:val="000000" w:themeColor="text1"/>
          <w:lang w:val="en-US"/>
        </w:rPr>
        <w:t xml:space="preserve">: </w:t>
      </w:r>
      <w:r w:rsidRPr="00813D19">
        <w:rPr>
          <w:color w:val="000000" w:themeColor="text1"/>
          <w:lang w:val="en-US"/>
        </w:rPr>
        <w:tab/>
      </w:r>
      <w:hyperlink r:id="rId71" w:history="1">
        <w:r w:rsidRPr="00813D19">
          <w:rPr>
            <w:rStyle w:val="Hyperlink"/>
            <w:i/>
            <w:lang w:val="en-US"/>
          </w:rPr>
          <w:t>13.COM 7.c</w:t>
        </w:r>
      </w:hyperlink>
    </w:p>
    <w:p w14:paraId="36FDDA17" w14:textId="674C643B" w:rsidR="001113FF" w:rsidRPr="00813D19" w:rsidRDefault="00020144" w:rsidP="008A0753">
      <w:pPr>
        <w:pStyle w:val="Orateurengris"/>
        <w:widowControl w:val="0"/>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then turned </w:t>
      </w:r>
      <w:r w:rsidR="001113FF" w:rsidRPr="00813D19">
        <w:rPr>
          <w:lang w:val="en-US"/>
        </w:rPr>
        <w:t xml:space="preserve">to the last sub-item 7.c </w:t>
      </w:r>
      <w:r w:rsidRPr="00813D19">
        <w:rPr>
          <w:lang w:val="en-US"/>
        </w:rPr>
        <w:t>and the r</w:t>
      </w:r>
      <w:r w:rsidR="001113FF" w:rsidRPr="00813D19">
        <w:rPr>
          <w:lang w:val="en-US"/>
        </w:rPr>
        <w:t xml:space="preserve">eports of States Parties on the use of International Assistance from the </w:t>
      </w:r>
      <w:r w:rsidRPr="00813D19">
        <w:rPr>
          <w:lang w:val="en-US"/>
        </w:rPr>
        <w:t xml:space="preserve">ICH </w:t>
      </w:r>
      <w:r w:rsidR="001113FF" w:rsidRPr="00813D19">
        <w:rPr>
          <w:lang w:val="en-US"/>
        </w:rPr>
        <w:t>Fund</w:t>
      </w:r>
      <w:r w:rsidRPr="00813D19">
        <w:rPr>
          <w:lang w:val="en-US"/>
        </w:rPr>
        <w:t>;</w:t>
      </w:r>
      <w:r w:rsidR="001113FF" w:rsidRPr="00813D19">
        <w:rPr>
          <w:lang w:val="en-US"/>
        </w:rPr>
        <w:t xml:space="preserve"> an important means to take stock of the implementation of the Convention on the ground.</w:t>
      </w:r>
    </w:p>
    <w:p w14:paraId="2BD9CE2D" w14:textId="263D9203" w:rsidR="009E187A" w:rsidRPr="00813D19" w:rsidRDefault="00C821C5" w:rsidP="009E187A">
      <w:pPr>
        <w:pStyle w:val="Orateurengris"/>
        <w:widowControl w:val="0"/>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020144" w:rsidRPr="00813D19">
        <w:rPr>
          <w:lang w:val="en-US"/>
        </w:rPr>
        <w:t xml:space="preserve">explained that </w:t>
      </w:r>
      <w:r w:rsidRPr="00813D19">
        <w:rPr>
          <w:lang w:val="en-US"/>
        </w:rPr>
        <w:t>Article 24.3 of</w:t>
      </w:r>
      <w:r w:rsidR="002120ED" w:rsidRPr="00813D19">
        <w:rPr>
          <w:lang w:val="en-US"/>
        </w:rPr>
        <w:t xml:space="preserve"> the Convention provides that ‘t</w:t>
      </w:r>
      <w:r w:rsidRPr="00813D19">
        <w:rPr>
          <w:lang w:val="en-US"/>
        </w:rPr>
        <w:t>he beneficiary State Party shall submit to the Committee a report on the use made of the assistance provided for the safeguarding of the intangible cultural heritage’.</w:t>
      </w:r>
      <w:r w:rsidR="002120ED" w:rsidRPr="00813D19">
        <w:rPr>
          <w:lang w:val="en-US"/>
        </w:rPr>
        <w:t xml:space="preserve"> This session presented </w:t>
      </w:r>
      <w:r w:rsidRPr="00813D19">
        <w:rPr>
          <w:lang w:val="en-US"/>
        </w:rPr>
        <w:t>ten reports, submitted betwe</w:t>
      </w:r>
      <w:r w:rsidR="002120ED" w:rsidRPr="00813D19">
        <w:rPr>
          <w:lang w:val="en-US"/>
        </w:rPr>
        <w:t>en 1 July 2017 and 30 June 2018 and available t</w:t>
      </w:r>
      <w:r w:rsidRPr="00813D19">
        <w:rPr>
          <w:lang w:val="en-US"/>
        </w:rPr>
        <w:t xml:space="preserve">hrough the hyperlinks </w:t>
      </w:r>
      <w:r w:rsidR="002120ED" w:rsidRPr="00813D19">
        <w:rPr>
          <w:lang w:val="en-US"/>
        </w:rPr>
        <w:t xml:space="preserve">in document 7.c </w:t>
      </w:r>
      <w:r w:rsidRPr="00813D19">
        <w:rPr>
          <w:lang w:val="en-US"/>
        </w:rPr>
        <w:t xml:space="preserve">in either English or French. They </w:t>
      </w:r>
      <w:r w:rsidR="009E187A" w:rsidRPr="00813D19">
        <w:rPr>
          <w:lang w:val="en-US"/>
        </w:rPr>
        <w:t>include</w:t>
      </w:r>
      <w:r w:rsidR="008E5964">
        <w:rPr>
          <w:lang w:val="en-US"/>
        </w:rPr>
        <w:t>d</w:t>
      </w:r>
      <w:r w:rsidR="002120ED" w:rsidRPr="00813D19">
        <w:rPr>
          <w:lang w:val="en-US"/>
        </w:rPr>
        <w:t xml:space="preserve"> the </w:t>
      </w:r>
      <w:r w:rsidRPr="00813D19">
        <w:rPr>
          <w:lang w:val="en-US"/>
        </w:rPr>
        <w:t xml:space="preserve">final reports </w:t>
      </w:r>
      <w:r w:rsidR="002120ED" w:rsidRPr="00813D19">
        <w:rPr>
          <w:lang w:val="en-US"/>
        </w:rPr>
        <w:t xml:space="preserve">of completed </w:t>
      </w:r>
      <w:r w:rsidRPr="00813D19">
        <w:rPr>
          <w:lang w:val="en-US"/>
        </w:rPr>
        <w:t>projects and progress re</w:t>
      </w:r>
      <w:r w:rsidR="002120ED" w:rsidRPr="00813D19">
        <w:rPr>
          <w:lang w:val="en-US"/>
        </w:rPr>
        <w:t>ports for those still under</w:t>
      </w:r>
      <w:r w:rsidRPr="00813D19">
        <w:rPr>
          <w:lang w:val="en-US"/>
        </w:rPr>
        <w:t xml:space="preserve"> implementation. Summaries of these reports </w:t>
      </w:r>
      <w:r w:rsidR="002120ED" w:rsidRPr="00813D19">
        <w:rPr>
          <w:lang w:val="en-US"/>
        </w:rPr>
        <w:t xml:space="preserve">were </w:t>
      </w:r>
      <w:r w:rsidRPr="00813D19">
        <w:rPr>
          <w:lang w:val="en-US"/>
        </w:rPr>
        <w:t xml:space="preserve">also </w:t>
      </w:r>
      <w:r w:rsidR="002120ED" w:rsidRPr="00813D19">
        <w:rPr>
          <w:lang w:val="en-US"/>
        </w:rPr>
        <w:t>available in the A</w:t>
      </w:r>
      <w:r w:rsidRPr="00813D19">
        <w:rPr>
          <w:lang w:val="en-US"/>
        </w:rPr>
        <w:t xml:space="preserve">nnex to </w:t>
      </w:r>
      <w:r w:rsidR="002120ED" w:rsidRPr="00813D19">
        <w:rPr>
          <w:lang w:val="en-US"/>
        </w:rPr>
        <w:t xml:space="preserve">the </w:t>
      </w:r>
      <w:r w:rsidRPr="00813D19">
        <w:rPr>
          <w:lang w:val="en-US"/>
        </w:rPr>
        <w:t>document.</w:t>
      </w:r>
      <w:r w:rsidR="006B421D" w:rsidRPr="00813D19">
        <w:rPr>
          <w:lang w:val="en-US"/>
        </w:rPr>
        <w:t xml:space="preserve"> </w:t>
      </w:r>
      <w:r w:rsidR="002120ED" w:rsidRPr="00813D19">
        <w:rPr>
          <w:lang w:val="en-US"/>
        </w:rPr>
        <w:t xml:space="preserve">It was noted that the </w:t>
      </w:r>
      <w:r w:rsidRPr="00813D19">
        <w:rPr>
          <w:lang w:val="en-US"/>
        </w:rPr>
        <w:t>reports represent</w:t>
      </w:r>
      <w:r w:rsidR="002120ED" w:rsidRPr="00813D19">
        <w:rPr>
          <w:lang w:val="en-US"/>
        </w:rPr>
        <w:t>ed</w:t>
      </w:r>
      <w:r w:rsidRPr="00813D19">
        <w:rPr>
          <w:lang w:val="en-US"/>
        </w:rPr>
        <w:t xml:space="preserve"> only a portion of the ongoing projects. The second table </w:t>
      </w:r>
      <w:r w:rsidR="008E5964" w:rsidRPr="00813D19">
        <w:rPr>
          <w:lang w:val="en-US"/>
        </w:rPr>
        <w:t>include</w:t>
      </w:r>
      <w:r w:rsidR="008E5964">
        <w:rPr>
          <w:lang w:val="en-US"/>
        </w:rPr>
        <w:t>d</w:t>
      </w:r>
      <w:r w:rsidR="008E5964" w:rsidRPr="00813D19">
        <w:rPr>
          <w:lang w:val="en-US"/>
        </w:rPr>
        <w:t xml:space="preserve"> </w:t>
      </w:r>
      <w:r w:rsidRPr="00813D19">
        <w:rPr>
          <w:lang w:val="en-US"/>
        </w:rPr>
        <w:t xml:space="preserve">a list of all ongoing projects, </w:t>
      </w:r>
      <w:r w:rsidR="009E187A" w:rsidRPr="00813D19">
        <w:rPr>
          <w:lang w:val="en-US"/>
        </w:rPr>
        <w:t>making</w:t>
      </w:r>
      <w:r w:rsidR="008E5964">
        <w:rPr>
          <w:lang w:val="en-US"/>
        </w:rPr>
        <w:t xml:space="preserve"> a</w:t>
      </w:r>
      <w:r w:rsidRPr="00813D19">
        <w:rPr>
          <w:lang w:val="en-US"/>
        </w:rPr>
        <w:t xml:space="preserve"> total of </w:t>
      </w:r>
      <w:r w:rsidR="008E5964">
        <w:rPr>
          <w:lang w:val="en-US"/>
        </w:rPr>
        <w:t>thirty-three</w:t>
      </w:r>
      <w:r w:rsidR="008E5964" w:rsidRPr="00813D19">
        <w:rPr>
          <w:lang w:val="en-US"/>
        </w:rPr>
        <w:t> </w:t>
      </w:r>
      <w:r w:rsidRPr="00813D19">
        <w:rPr>
          <w:lang w:val="en-US"/>
        </w:rPr>
        <w:t>active projects for a total amount of US$3.3 million.</w:t>
      </w:r>
      <w:r w:rsidR="006B421D" w:rsidRPr="00813D19">
        <w:rPr>
          <w:lang w:val="en-US"/>
        </w:rPr>
        <w:t xml:space="preserve"> </w:t>
      </w:r>
      <w:r w:rsidR="009E187A" w:rsidRPr="00813D19">
        <w:rPr>
          <w:lang w:val="en-US"/>
        </w:rPr>
        <w:t>Regarding</w:t>
      </w:r>
      <w:r w:rsidRPr="00813D19">
        <w:rPr>
          <w:lang w:val="en-US"/>
        </w:rPr>
        <w:t xml:space="preserve"> the current status of implementation of the Int</w:t>
      </w:r>
      <w:r w:rsidR="009E187A" w:rsidRPr="00813D19">
        <w:rPr>
          <w:lang w:val="en-US"/>
        </w:rPr>
        <w:t xml:space="preserve">ernational Assistance mechanism, </w:t>
      </w:r>
      <w:r w:rsidR="006B421D" w:rsidRPr="00813D19">
        <w:rPr>
          <w:lang w:val="en-US"/>
        </w:rPr>
        <w:t xml:space="preserve"> </w:t>
      </w:r>
      <w:r w:rsidR="009E187A" w:rsidRPr="00813D19">
        <w:rPr>
          <w:lang w:val="en-US"/>
        </w:rPr>
        <w:t>s</w:t>
      </w:r>
      <w:r w:rsidRPr="00813D19">
        <w:rPr>
          <w:lang w:val="en-US"/>
        </w:rPr>
        <w:t xml:space="preserve">ince the establishment of the procedure for International Assistance, </w:t>
      </w:r>
      <w:r w:rsidR="008E5964">
        <w:rPr>
          <w:lang w:val="en-US"/>
        </w:rPr>
        <w:t>forty-three</w:t>
      </w:r>
      <w:r w:rsidRPr="00813D19">
        <w:rPr>
          <w:lang w:val="en-US"/>
        </w:rPr>
        <w:t xml:space="preserve"> States Parties ha</w:t>
      </w:r>
      <w:r w:rsidR="00CD2F6E" w:rsidRPr="00813D19">
        <w:rPr>
          <w:lang w:val="en-US"/>
        </w:rPr>
        <w:t>d</w:t>
      </w:r>
      <w:r w:rsidRPr="00813D19">
        <w:rPr>
          <w:lang w:val="en-US"/>
        </w:rPr>
        <w:t xml:space="preserve"> been granted financial assistance for a total amount of US$5.42 million in support of </w:t>
      </w:r>
      <w:r w:rsidR="008E5964">
        <w:rPr>
          <w:lang w:val="en-US"/>
        </w:rPr>
        <w:t>eighty-two</w:t>
      </w:r>
      <w:r w:rsidR="008E5964" w:rsidRPr="00813D19">
        <w:rPr>
          <w:lang w:val="en-US"/>
        </w:rPr>
        <w:t xml:space="preserve"> </w:t>
      </w:r>
      <w:r w:rsidRPr="00813D19">
        <w:rPr>
          <w:lang w:val="en-US"/>
        </w:rPr>
        <w:t>projects.</w:t>
      </w:r>
      <w:r w:rsidR="006B421D" w:rsidRPr="00813D19">
        <w:rPr>
          <w:lang w:val="en-US"/>
        </w:rPr>
        <w:t xml:space="preserve"> </w:t>
      </w:r>
      <w:r w:rsidRPr="00813D19">
        <w:rPr>
          <w:lang w:val="en-US"/>
        </w:rPr>
        <w:t>During the current reporting period between July 2017 and June 2018, 64 per cent of the requests approved were submitted by African States</w:t>
      </w:r>
      <w:r w:rsidR="009E187A" w:rsidRPr="00813D19">
        <w:rPr>
          <w:lang w:val="en-US"/>
        </w:rPr>
        <w:t xml:space="preserve">, </w:t>
      </w:r>
      <w:r w:rsidRPr="00813D19">
        <w:rPr>
          <w:lang w:val="en-US"/>
        </w:rPr>
        <w:t>represent</w:t>
      </w:r>
      <w:r w:rsidR="009E187A" w:rsidRPr="00813D19">
        <w:rPr>
          <w:lang w:val="en-US"/>
        </w:rPr>
        <w:t>ing</w:t>
      </w:r>
      <w:r w:rsidRPr="00813D19">
        <w:rPr>
          <w:lang w:val="en-US"/>
        </w:rPr>
        <w:t xml:space="preserve"> US$3.47 million, which </w:t>
      </w:r>
      <w:r w:rsidR="009E187A" w:rsidRPr="00813D19">
        <w:rPr>
          <w:lang w:val="en-US"/>
        </w:rPr>
        <w:t xml:space="preserve">was </w:t>
      </w:r>
      <w:r w:rsidRPr="00813D19">
        <w:rPr>
          <w:lang w:val="en-US"/>
        </w:rPr>
        <w:t xml:space="preserve">in line with UNESCO’s global priority </w:t>
      </w:r>
      <w:r w:rsidR="009E187A" w:rsidRPr="00813D19">
        <w:rPr>
          <w:lang w:val="en-US"/>
        </w:rPr>
        <w:t xml:space="preserve">on </w:t>
      </w:r>
      <w:r w:rsidRPr="00813D19">
        <w:rPr>
          <w:lang w:val="en-US"/>
        </w:rPr>
        <w:t xml:space="preserve">Africa. It </w:t>
      </w:r>
      <w:r w:rsidR="009E187A" w:rsidRPr="00813D19">
        <w:rPr>
          <w:lang w:val="en-US"/>
        </w:rPr>
        <w:t xml:space="preserve">was </w:t>
      </w:r>
      <w:r w:rsidRPr="00813D19">
        <w:rPr>
          <w:lang w:val="en-US"/>
        </w:rPr>
        <w:t xml:space="preserve">also encouraging to see that 50 per cent of the requests </w:t>
      </w:r>
      <w:r w:rsidR="008E5964" w:rsidRPr="00813D19">
        <w:rPr>
          <w:lang w:val="en-US"/>
        </w:rPr>
        <w:t xml:space="preserve">granted </w:t>
      </w:r>
      <w:r w:rsidRPr="00813D19">
        <w:rPr>
          <w:lang w:val="en-US"/>
        </w:rPr>
        <w:t xml:space="preserve">during this period </w:t>
      </w:r>
      <w:r w:rsidR="009E187A" w:rsidRPr="00813D19">
        <w:rPr>
          <w:lang w:val="en-US"/>
        </w:rPr>
        <w:t xml:space="preserve">came </w:t>
      </w:r>
      <w:r w:rsidRPr="00813D19">
        <w:rPr>
          <w:lang w:val="en-US"/>
        </w:rPr>
        <w:t xml:space="preserve">from States </w:t>
      </w:r>
      <w:r w:rsidR="009E187A" w:rsidRPr="00813D19">
        <w:rPr>
          <w:lang w:val="en-US"/>
        </w:rPr>
        <w:t xml:space="preserve">that had </w:t>
      </w:r>
      <w:r w:rsidRPr="00813D19">
        <w:rPr>
          <w:lang w:val="en-US"/>
        </w:rPr>
        <w:t>benefi</w:t>
      </w:r>
      <w:r w:rsidR="009E187A" w:rsidRPr="00813D19">
        <w:rPr>
          <w:lang w:val="en-US"/>
        </w:rPr>
        <w:t>ted</w:t>
      </w:r>
      <w:r w:rsidRPr="00813D19">
        <w:rPr>
          <w:lang w:val="en-US"/>
        </w:rPr>
        <w:t xml:space="preserve"> from International Assistance for the first time.</w:t>
      </w:r>
      <w:r w:rsidR="009E187A" w:rsidRPr="00813D19">
        <w:rPr>
          <w:lang w:val="en-US"/>
        </w:rPr>
        <w:t xml:space="preserve"> </w:t>
      </w:r>
      <w:r w:rsidRPr="00813D19">
        <w:rPr>
          <w:lang w:val="en-US"/>
        </w:rPr>
        <w:t>As a global trend, the International Assistance mechanism experie</w:t>
      </w:r>
      <w:r w:rsidR="00CD2F6E" w:rsidRPr="00813D19">
        <w:rPr>
          <w:lang w:val="en-US"/>
        </w:rPr>
        <w:t>nced</w:t>
      </w:r>
      <w:r w:rsidRPr="00813D19">
        <w:rPr>
          <w:lang w:val="en-US"/>
        </w:rPr>
        <w:t xml:space="preserve"> a broadened scope of projects financed by the Fund. Ev</w:t>
      </w:r>
      <w:r w:rsidR="009E187A" w:rsidRPr="00813D19">
        <w:rPr>
          <w:lang w:val="en-US"/>
        </w:rPr>
        <w:t>en though inventorying continued</w:t>
      </w:r>
      <w:r w:rsidRPr="00813D19">
        <w:rPr>
          <w:lang w:val="en-US"/>
        </w:rPr>
        <w:t xml:space="preserve"> to be an important thematic focus, the projects </w:t>
      </w:r>
      <w:r w:rsidR="009E187A" w:rsidRPr="00813D19">
        <w:rPr>
          <w:lang w:val="en-US"/>
        </w:rPr>
        <w:t xml:space="preserve">were </w:t>
      </w:r>
      <w:r w:rsidRPr="00813D19">
        <w:rPr>
          <w:lang w:val="en-US"/>
        </w:rPr>
        <w:t>increasingly comprehensive</w:t>
      </w:r>
      <w:r w:rsidR="008E5964">
        <w:rPr>
          <w:lang w:val="en-US"/>
        </w:rPr>
        <w:t>,</w:t>
      </w:r>
      <w:r w:rsidR="009E187A" w:rsidRPr="00813D19">
        <w:rPr>
          <w:lang w:val="en-US"/>
        </w:rPr>
        <w:t xml:space="preserve"> </w:t>
      </w:r>
      <w:r w:rsidRPr="00813D19">
        <w:rPr>
          <w:lang w:val="en-US"/>
        </w:rPr>
        <w:t>cover</w:t>
      </w:r>
      <w:r w:rsidR="009E187A" w:rsidRPr="00813D19">
        <w:rPr>
          <w:lang w:val="en-US"/>
        </w:rPr>
        <w:t>ing</w:t>
      </w:r>
      <w:r w:rsidRPr="00813D19">
        <w:rPr>
          <w:lang w:val="en-US"/>
        </w:rPr>
        <w:t xml:space="preserve"> a wide range of safeguarding actions</w:t>
      </w:r>
      <w:r w:rsidR="009E187A" w:rsidRPr="00813D19">
        <w:rPr>
          <w:lang w:val="en-US"/>
        </w:rPr>
        <w:t>,</w:t>
      </w:r>
      <w:r w:rsidRPr="00813D19">
        <w:rPr>
          <w:lang w:val="en-US"/>
        </w:rPr>
        <w:t xml:space="preserve"> such as awareness-</w:t>
      </w:r>
      <w:r w:rsidR="009E187A" w:rsidRPr="00813D19">
        <w:rPr>
          <w:lang w:val="en-US"/>
        </w:rPr>
        <w:t>raising, inventorying</w:t>
      </w:r>
      <w:r w:rsidRPr="00813D19">
        <w:rPr>
          <w:lang w:val="en-US"/>
        </w:rPr>
        <w:t xml:space="preserve"> and capacity</w:t>
      </w:r>
      <w:r w:rsidR="008E5964">
        <w:rPr>
          <w:lang w:val="en-US"/>
        </w:rPr>
        <w:t xml:space="preserve"> </w:t>
      </w:r>
      <w:r w:rsidRPr="00813D19">
        <w:rPr>
          <w:lang w:val="en-US"/>
        </w:rPr>
        <w:t>building.</w:t>
      </w:r>
    </w:p>
    <w:p w14:paraId="3DAEA04E" w14:textId="4BC8DB2F" w:rsidR="00C821C5" w:rsidRPr="00813D19" w:rsidRDefault="009E187A" w:rsidP="006B421D">
      <w:pPr>
        <w:pStyle w:val="Orateurengris"/>
        <w:widowControl w:val="0"/>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further explained that </w:t>
      </w:r>
      <w:r w:rsidR="00C821C5" w:rsidRPr="00813D19">
        <w:rPr>
          <w:lang w:val="en-US"/>
        </w:rPr>
        <w:t>the inclusion of intangible cultural heritage in</w:t>
      </w:r>
      <w:r w:rsidRPr="00813D19">
        <w:rPr>
          <w:lang w:val="en-US"/>
        </w:rPr>
        <w:t xml:space="preserve"> education as an emerging theme had led to f</w:t>
      </w:r>
      <w:r w:rsidR="00C821C5" w:rsidRPr="00813D19">
        <w:rPr>
          <w:lang w:val="en-US"/>
        </w:rPr>
        <w:t xml:space="preserve">unded projects to develop </w:t>
      </w:r>
      <w:r w:rsidR="00CD2F6E" w:rsidRPr="00813D19">
        <w:rPr>
          <w:lang w:val="en-US"/>
        </w:rPr>
        <w:t>pedagogical materials</w:t>
      </w:r>
      <w:r w:rsidR="00C821C5" w:rsidRPr="00813D19">
        <w:rPr>
          <w:lang w:val="en-US"/>
        </w:rPr>
        <w:t xml:space="preserve"> </w:t>
      </w:r>
      <w:r w:rsidRPr="00813D19">
        <w:rPr>
          <w:lang w:val="en-US"/>
        </w:rPr>
        <w:t xml:space="preserve">and </w:t>
      </w:r>
      <w:r w:rsidR="00C821C5" w:rsidRPr="00813D19">
        <w:rPr>
          <w:lang w:val="en-US"/>
        </w:rPr>
        <w:t>courses and degree programmes specializing in intangible cultural heritage.</w:t>
      </w:r>
      <w:r w:rsidR="006B421D" w:rsidRPr="00813D19">
        <w:rPr>
          <w:lang w:val="en-US"/>
        </w:rPr>
        <w:t xml:space="preserve"> </w:t>
      </w:r>
      <w:r w:rsidR="00C821C5" w:rsidRPr="00813D19">
        <w:rPr>
          <w:lang w:val="en-US"/>
        </w:rPr>
        <w:t xml:space="preserve">Through the funded projects, </w:t>
      </w:r>
      <w:r w:rsidRPr="00813D19">
        <w:rPr>
          <w:lang w:val="en-US"/>
        </w:rPr>
        <w:t xml:space="preserve">it was </w:t>
      </w:r>
      <w:r w:rsidR="00C821C5" w:rsidRPr="00813D19">
        <w:rPr>
          <w:lang w:val="en-US"/>
        </w:rPr>
        <w:t>also observe</w:t>
      </w:r>
      <w:r w:rsidRPr="00813D19">
        <w:rPr>
          <w:lang w:val="en-US"/>
        </w:rPr>
        <w:t>d</w:t>
      </w:r>
      <w:r w:rsidR="00C821C5" w:rsidRPr="00813D19">
        <w:rPr>
          <w:lang w:val="en-US"/>
        </w:rPr>
        <w:t xml:space="preserve"> that capacity-building interventions </w:t>
      </w:r>
      <w:r w:rsidRPr="00813D19">
        <w:rPr>
          <w:lang w:val="en-US"/>
        </w:rPr>
        <w:t xml:space="preserve">had </w:t>
      </w:r>
      <w:r w:rsidR="00C821C5" w:rsidRPr="00813D19">
        <w:rPr>
          <w:lang w:val="en-US"/>
        </w:rPr>
        <w:t xml:space="preserve">been an effective implementation </w:t>
      </w:r>
      <w:r w:rsidR="008E5964" w:rsidRPr="00813D19">
        <w:rPr>
          <w:lang w:val="en-US"/>
        </w:rPr>
        <w:t>m</w:t>
      </w:r>
      <w:r w:rsidR="008E5964">
        <w:rPr>
          <w:lang w:val="en-US"/>
        </w:rPr>
        <w:t>ethod</w:t>
      </w:r>
      <w:r w:rsidR="00C821C5" w:rsidRPr="00813D19">
        <w:rPr>
          <w:lang w:val="en-US"/>
        </w:rPr>
        <w:t xml:space="preserve">, as they directly </w:t>
      </w:r>
      <w:r w:rsidRPr="00813D19">
        <w:rPr>
          <w:lang w:val="en-US"/>
        </w:rPr>
        <w:t xml:space="preserve">responded </w:t>
      </w:r>
      <w:r w:rsidR="00C821C5" w:rsidRPr="00813D19">
        <w:rPr>
          <w:lang w:val="en-US"/>
        </w:rPr>
        <w:t xml:space="preserve">to the needs of States to develop the necessary knowledge and skills for safeguarding. In this way, the International Assistance mechanism </w:t>
      </w:r>
      <w:r w:rsidRPr="00813D19">
        <w:rPr>
          <w:lang w:val="en-US"/>
        </w:rPr>
        <w:t xml:space="preserve">was </w:t>
      </w:r>
      <w:r w:rsidR="00C821C5" w:rsidRPr="00813D19">
        <w:rPr>
          <w:lang w:val="en-US"/>
        </w:rPr>
        <w:t xml:space="preserve">clearly being utilized to strengthen capacities and provide concrete support to national safeguarding efforts. It </w:t>
      </w:r>
      <w:r w:rsidRPr="00813D19">
        <w:rPr>
          <w:lang w:val="en-US"/>
        </w:rPr>
        <w:t xml:space="preserve">was </w:t>
      </w:r>
      <w:r w:rsidR="00C821C5" w:rsidRPr="00813D19">
        <w:rPr>
          <w:lang w:val="en-US"/>
        </w:rPr>
        <w:t>consequently becoming a critical component of the implementation of the global capacity-building programme.</w:t>
      </w:r>
      <w:r w:rsidRPr="00813D19">
        <w:rPr>
          <w:lang w:val="en-US"/>
        </w:rPr>
        <w:t xml:space="preserve"> </w:t>
      </w:r>
      <w:r w:rsidR="00C821C5" w:rsidRPr="00813D19">
        <w:rPr>
          <w:lang w:val="en-US"/>
        </w:rPr>
        <w:t xml:space="preserve">In other cases, certain States </w:t>
      </w:r>
      <w:r w:rsidRPr="00813D19">
        <w:rPr>
          <w:lang w:val="en-US"/>
        </w:rPr>
        <w:t xml:space="preserve">had </w:t>
      </w:r>
      <w:r w:rsidR="00C821C5" w:rsidRPr="00813D19">
        <w:rPr>
          <w:lang w:val="en-US"/>
        </w:rPr>
        <w:t xml:space="preserve">required more substantive support and guidance from UNESCO in carrying out their International Assistance projects. In light of this need for additional support, UNESCO Field Offices </w:t>
      </w:r>
      <w:r w:rsidRPr="00813D19">
        <w:rPr>
          <w:lang w:val="en-US"/>
        </w:rPr>
        <w:t xml:space="preserve">were </w:t>
      </w:r>
      <w:r w:rsidR="00C821C5" w:rsidRPr="00813D19">
        <w:rPr>
          <w:lang w:val="en-US"/>
        </w:rPr>
        <w:t>currently working with States to implement projects through an alternative modality of ‘provision of services</w:t>
      </w:r>
      <w:r w:rsidRPr="00813D19">
        <w:rPr>
          <w:lang w:val="en-US"/>
        </w:rPr>
        <w:t>’ from UNESCO, which differed</w:t>
      </w:r>
      <w:r w:rsidR="00C821C5" w:rsidRPr="00813D19">
        <w:rPr>
          <w:lang w:val="en-US"/>
        </w:rPr>
        <w:t xml:space="preserve"> from the mere granting of financial assistance. </w:t>
      </w:r>
      <w:r w:rsidR="00406090" w:rsidRPr="00813D19">
        <w:rPr>
          <w:lang w:val="en-US"/>
        </w:rPr>
        <w:t>T</w:t>
      </w:r>
      <w:r w:rsidR="00C821C5" w:rsidRPr="00813D19">
        <w:rPr>
          <w:lang w:val="en-US"/>
        </w:rPr>
        <w:t>he</w:t>
      </w:r>
      <w:r w:rsidR="00406090" w:rsidRPr="00813D19">
        <w:rPr>
          <w:lang w:val="en-US"/>
        </w:rPr>
        <w:t xml:space="preserve"> Chairperson had</w:t>
      </w:r>
      <w:r w:rsidR="00C821C5" w:rsidRPr="00813D19">
        <w:rPr>
          <w:lang w:val="en-US"/>
        </w:rPr>
        <w:t xml:space="preserve"> already provided det</w:t>
      </w:r>
      <w:r w:rsidR="00B46579" w:rsidRPr="00813D19">
        <w:rPr>
          <w:lang w:val="en-US"/>
        </w:rPr>
        <w:t>ailed information on this point</w:t>
      </w:r>
      <w:r w:rsidR="00406090" w:rsidRPr="00813D19">
        <w:rPr>
          <w:lang w:val="en-US"/>
        </w:rPr>
        <w:t xml:space="preserve">, but the Secretary wished to further </w:t>
      </w:r>
      <w:r w:rsidR="00C821C5" w:rsidRPr="00813D19">
        <w:rPr>
          <w:lang w:val="en-US"/>
        </w:rPr>
        <w:t xml:space="preserve">stress the importance of monitoring the implementation of International Assistance projects. Although the submitted reports </w:t>
      </w:r>
      <w:r w:rsidR="00406090" w:rsidRPr="00813D19">
        <w:rPr>
          <w:lang w:val="en-US"/>
        </w:rPr>
        <w:t xml:space="preserve">were </w:t>
      </w:r>
      <w:r w:rsidR="00C821C5" w:rsidRPr="00813D19">
        <w:rPr>
          <w:lang w:val="en-US"/>
        </w:rPr>
        <w:t>useful to quick</w:t>
      </w:r>
      <w:r w:rsidR="00406090" w:rsidRPr="00813D19">
        <w:rPr>
          <w:lang w:val="en-US"/>
        </w:rPr>
        <w:t>ly</w:t>
      </w:r>
      <w:r w:rsidR="00C821C5" w:rsidRPr="00813D19">
        <w:rPr>
          <w:lang w:val="en-US"/>
        </w:rPr>
        <w:t xml:space="preserve"> glance at the project results, it </w:t>
      </w:r>
      <w:r w:rsidR="00406090" w:rsidRPr="00813D19">
        <w:rPr>
          <w:lang w:val="en-US"/>
        </w:rPr>
        <w:t xml:space="preserve">was </w:t>
      </w:r>
      <w:r w:rsidR="00C821C5" w:rsidRPr="00813D19">
        <w:rPr>
          <w:lang w:val="en-US"/>
        </w:rPr>
        <w:t xml:space="preserve">difficult to assess the </w:t>
      </w:r>
      <w:r w:rsidR="00406090" w:rsidRPr="00813D19">
        <w:rPr>
          <w:lang w:val="en-US"/>
        </w:rPr>
        <w:t xml:space="preserve">project </w:t>
      </w:r>
      <w:r w:rsidR="00C821C5" w:rsidRPr="00813D19">
        <w:rPr>
          <w:lang w:val="en-US"/>
        </w:rPr>
        <w:t xml:space="preserve">outcomes in a more systematic and robust manner. The creation of the new team </w:t>
      </w:r>
      <w:r w:rsidR="00406090" w:rsidRPr="00813D19">
        <w:rPr>
          <w:lang w:val="en-US"/>
        </w:rPr>
        <w:t xml:space="preserve">was thus </w:t>
      </w:r>
      <w:r w:rsidR="00C821C5" w:rsidRPr="00813D19">
        <w:rPr>
          <w:lang w:val="en-US"/>
        </w:rPr>
        <w:t xml:space="preserve">both crucial and timely. The support </w:t>
      </w:r>
      <w:r w:rsidR="00406090" w:rsidRPr="00813D19">
        <w:rPr>
          <w:lang w:val="en-US"/>
        </w:rPr>
        <w:t xml:space="preserve">provided by this team </w:t>
      </w:r>
      <w:r w:rsidR="00C821C5" w:rsidRPr="00813D19">
        <w:rPr>
          <w:lang w:val="en-US"/>
        </w:rPr>
        <w:t xml:space="preserve">for </w:t>
      </w:r>
      <w:r w:rsidR="00406090" w:rsidRPr="00813D19">
        <w:rPr>
          <w:lang w:val="en-US"/>
        </w:rPr>
        <w:t xml:space="preserve">the </w:t>
      </w:r>
      <w:r w:rsidR="00C821C5" w:rsidRPr="00813D19">
        <w:rPr>
          <w:lang w:val="en-US"/>
        </w:rPr>
        <w:t xml:space="preserve">substantive monitoring </w:t>
      </w:r>
      <w:r w:rsidR="00406090" w:rsidRPr="00813D19">
        <w:rPr>
          <w:lang w:val="en-US"/>
        </w:rPr>
        <w:t xml:space="preserve">and evaluation of the projects </w:t>
      </w:r>
      <w:r w:rsidR="008E5964">
        <w:rPr>
          <w:lang w:val="en-US"/>
        </w:rPr>
        <w:t>would</w:t>
      </w:r>
      <w:r w:rsidR="008E5964" w:rsidRPr="00813D19">
        <w:rPr>
          <w:lang w:val="en-US"/>
        </w:rPr>
        <w:t xml:space="preserve"> </w:t>
      </w:r>
      <w:r w:rsidR="00C821C5" w:rsidRPr="00813D19">
        <w:rPr>
          <w:lang w:val="en-US"/>
        </w:rPr>
        <w:t>help States safeguard their intangible cultural heritage in the long term.</w:t>
      </w:r>
      <w:r w:rsidR="006B421D" w:rsidRPr="00813D19">
        <w:rPr>
          <w:lang w:val="en-US"/>
        </w:rPr>
        <w:t xml:space="preserve"> </w:t>
      </w:r>
      <w:r w:rsidR="00406090" w:rsidRPr="00813D19">
        <w:rPr>
          <w:lang w:val="en-US"/>
        </w:rPr>
        <w:t xml:space="preserve">Finally, </w:t>
      </w:r>
      <w:r w:rsidR="00C821C5" w:rsidRPr="00813D19">
        <w:rPr>
          <w:lang w:val="en-US"/>
        </w:rPr>
        <w:t xml:space="preserve">one last emerging trend </w:t>
      </w:r>
      <w:r w:rsidR="00406090" w:rsidRPr="00813D19">
        <w:rPr>
          <w:lang w:val="en-US"/>
        </w:rPr>
        <w:t xml:space="preserve">was </w:t>
      </w:r>
      <w:r w:rsidR="00C821C5" w:rsidRPr="00813D19">
        <w:rPr>
          <w:lang w:val="en-US"/>
        </w:rPr>
        <w:t>the increasing number of multiple requests of less than US$100,00</w:t>
      </w:r>
      <w:r w:rsidR="00406090" w:rsidRPr="00813D19">
        <w:rPr>
          <w:lang w:val="en-US"/>
        </w:rPr>
        <w:t>0 submitted by a single country, which would be di</w:t>
      </w:r>
      <w:r w:rsidR="00CD2F6E" w:rsidRPr="00813D19">
        <w:rPr>
          <w:lang w:val="en-US"/>
        </w:rPr>
        <w:t>s</w:t>
      </w:r>
      <w:r w:rsidR="00406090" w:rsidRPr="00813D19">
        <w:rPr>
          <w:lang w:val="en-US"/>
        </w:rPr>
        <w:t>cussed further under i</w:t>
      </w:r>
      <w:r w:rsidR="00C821C5" w:rsidRPr="00813D19">
        <w:rPr>
          <w:lang w:val="en-US"/>
        </w:rPr>
        <w:t>tem 12.</w:t>
      </w:r>
    </w:p>
    <w:p w14:paraId="37567411" w14:textId="2ECBE142" w:rsidR="00C821C5" w:rsidRPr="00813D19" w:rsidRDefault="00B46579" w:rsidP="001113FF">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CA48A4" w:rsidRPr="00813D19">
        <w:rPr>
          <w:bCs/>
          <w:lang w:val="en-US"/>
        </w:rPr>
        <w:t xml:space="preserve">thanked the Secretary and </w:t>
      </w:r>
      <w:r w:rsidR="00B65D03" w:rsidRPr="00813D19">
        <w:rPr>
          <w:bCs/>
          <w:lang w:val="en-US"/>
        </w:rPr>
        <w:t>open</w:t>
      </w:r>
      <w:r w:rsidR="00CA48A4" w:rsidRPr="00813D19">
        <w:rPr>
          <w:bCs/>
          <w:lang w:val="en-US"/>
        </w:rPr>
        <w:t>ed</w:t>
      </w:r>
      <w:r w:rsidR="00B65D03" w:rsidRPr="00813D19">
        <w:rPr>
          <w:bCs/>
          <w:lang w:val="en-US"/>
        </w:rPr>
        <w:t xml:space="preserve"> the floor for discussion </w:t>
      </w:r>
      <w:r w:rsidR="00CA48A4" w:rsidRPr="00813D19">
        <w:rPr>
          <w:bCs/>
          <w:lang w:val="en-US"/>
        </w:rPr>
        <w:t xml:space="preserve">or clarifications </w:t>
      </w:r>
      <w:r w:rsidR="00B65D03" w:rsidRPr="00813D19">
        <w:rPr>
          <w:bCs/>
          <w:lang w:val="en-US"/>
        </w:rPr>
        <w:t>on the report</w:t>
      </w:r>
      <w:r w:rsidR="00CA48A4" w:rsidRPr="00813D19">
        <w:rPr>
          <w:bCs/>
          <w:lang w:val="en-US"/>
        </w:rPr>
        <w:t xml:space="preserve"> as presented</w:t>
      </w:r>
      <w:r w:rsidR="00B65D03" w:rsidRPr="00813D19">
        <w:rPr>
          <w:bCs/>
          <w:lang w:val="en-US"/>
        </w:rPr>
        <w:t xml:space="preserve">. </w:t>
      </w:r>
      <w:r w:rsidR="00CA48A4" w:rsidRPr="00813D19">
        <w:rPr>
          <w:bCs/>
          <w:lang w:val="en-US"/>
        </w:rPr>
        <w:t xml:space="preserve">He then </w:t>
      </w:r>
      <w:r w:rsidR="00B65D03" w:rsidRPr="00813D19">
        <w:rPr>
          <w:bCs/>
          <w:lang w:val="en-US"/>
        </w:rPr>
        <w:t>invite</w:t>
      </w:r>
      <w:r w:rsidR="00CA48A4" w:rsidRPr="00813D19">
        <w:rPr>
          <w:bCs/>
          <w:lang w:val="en-US"/>
        </w:rPr>
        <w:t>d</w:t>
      </w:r>
      <w:r w:rsidR="00B65D03" w:rsidRPr="00813D19">
        <w:rPr>
          <w:bCs/>
          <w:lang w:val="en-US"/>
        </w:rPr>
        <w:t xml:space="preserve"> </w:t>
      </w:r>
      <w:r w:rsidR="00CA48A4" w:rsidRPr="00813D19">
        <w:rPr>
          <w:bCs/>
          <w:lang w:val="en-US"/>
        </w:rPr>
        <w:t xml:space="preserve">the </w:t>
      </w:r>
      <w:r w:rsidR="00B65D03" w:rsidRPr="00813D19">
        <w:rPr>
          <w:bCs/>
          <w:lang w:val="en-US"/>
        </w:rPr>
        <w:t xml:space="preserve">Committee to adopt the </w:t>
      </w:r>
      <w:r w:rsidR="00CA48A4" w:rsidRPr="00813D19">
        <w:rPr>
          <w:bCs/>
          <w:lang w:val="en-US"/>
        </w:rPr>
        <w:t>draft decision, after which States Parties were invited to share their experiences.</w:t>
      </w:r>
    </w:p>
    <w:p w14:paraId="5CD6E395" w14:textId="0B2D4CD1" w:rsidR="00B46579" w:rsidRPr="00813D19" w:rsidRDefault="00B46579" w:rsidP="001113FF">
      <w:pPr>
        <w:pStyle w:val="Orateurengris"/>
        <w:widowControl w:val="0"/>
        <w:spacing w:before="120"/>
        <w:ind w:left="709" w:hanging="709"/>
        <w:rPr>
          <w:lang w:val="en-US"/>
        </w:rPr>
      </w:pPr>
      <w:r w:rsidRPr="00813D19">
        <w:rPr>
          <w:lang w:val="en-US"/>
        </w:rPr>
        <w:t xml:space="preserve">The </w:t>
      </w:r>
      <w:r w:rsidRPr="00813D19">
        <w:rPr>
          <w:b/>
          <w:lang w:val="en-US"/>
        </w:rPr>
        <w:t>delegation of Colombia</w:t>
      </w:r>
      <w:r w:rsidR="00B65D03" w:rsidRPr="00813D19">
        <w:rPr>
          <w:b/>
          <w:lang w:val="en-US"/>
        </w:rPr>
        <w:t xml:space="preserve"> </w:t>
      </w:r>
      <w:r w:rsidR="00367FEA" w:rsidRPr="00813D19">
        <w:rPr>
          <w:bCs/>
          <w:lang w:val="en-US"/>
        </w:rPr>
        <w:t xml:space="preserve">wished </w:t>
      </w:r>
      <w:r w:rsidR="00B65D03" w:rsidRPr="00813D19">
        <w:rPr>
          <w:bCs/>
          <w:lang w:val="en-US"/>
        </w:rPr>
        <w:t xml:space="preserve">to share </w:t>
      </w:r>
      <w:r w:rsidR="00367FEA" w:rsidRPr="00813D19">
        <w:rPr>
          <w:bCs/>
          <w:lang w:val="en-US"/>
        </w:rPr>
        <w:t xml:space="preserve">its </w:t>
      </w:r>
      <w:r w:rsidR="00B65D03" w:rsidRPr="00813D19">
        <w:rPr>
          <w:bCs/>
          <w:lang w:val="en-US"/>
        </w:rPr>
        <w:t xml:space="preserve">experience in implementing </w:t>
      </w:r>
      <w:r w:rsidR="00367FEA" w:rsidRPr="00813D19">
        <w:rPr>
          <w:bCs/>
          <w:lang w:val="en-US"/>
        </w:rPr>
        <w:t xml:space="preserve">its </w:t>
      </w:r>
      <w:r w:rsidR="00B65D03" w:rsidRPr="00813D19">
        <w:rPr>
          <w:bCs/>
          <w:lang w:val="en-US"/>
        </w:rPr>
        <w:t>projec</w:t>
      </w:r>
      <w:r w:rsidR="0097421E" w:rsidRPr="00813D19">
        <w:rPr>
          <w:bCs/>
          <w:lang w:val="en-US"/>
        </w:rPr>
        <w:t>t, S</w:t>
      </w:r>
      <w:r w:rsidR="00B65D03" w:rsidRPr="00813D19">
        <w:rPr>
          <w:bCs/>
          <w:lang w:val="en-US"/>
        </w:rPr>
        <w:t xml:space="preserve">afeguarding </w:t>
      </w:r>
      <w:r w:rsidR="0097421E" w:rsidRPr="00813D19">
        <w:rPr>
          <w:bCs/>
          <w:lang w:val="en-US"/>
        </w:rPr>
        <w:t xml:space="preserve">of the </w:t>
      </w:r>
      <w:r w:rsidR="00B65D03" w:rsidRPr="00813D19">
        <w:rPr>
          <w:bCs/>
          <w:lang w:val="en-US"/>
        </w:rPr>
        <w:t>traditional knowledge for the protection of sac</w:t>
      </w:r>
      <w:r w:rsidR="00D928F6" w:rsidRPr="00813D19">
        <w:rPr>
          <w:bCs/>
          <w:lang w:val="en-US"/>
        </w:rPr>
        <w:t xml:space="preserve">red natural sites </w:t>
      </w:r>
      <w:r w:rsidR="0097421E" w:rsidRPr="00813D19">
        <w:rPr>
          <w:bCs/>
          <w:lang w:val="en-US"/>
        </w:rPr>
        <w:t>in the territory of the J</w:t>
      </w:r>
      <w:r w:rsidR="00D928F6" w:rsidRPr="00813D19">
        <w:rPr>
          <w:bCs/>
          <w:lang w:val="en-US"/>
        </w:rPr>
        <w:t>aguar</w:t>
      </w:r>
      <w:r w:rsidR="0097421E" w:rsidRPr="00813D19">
        <w:rPr>
          <w:bCs/>
          <w:lang w:val="en-US"/>
        </w:rPr>
        <w:t>s</w:t>
      </w:r>
      <w:r w:rsidR="00D928F6" w:rsidRPr="00813D19">
        <w:rPr>
          <w:bCs/>
          <w:lang w:val="en-US"/>
        </w:rPr>
        <w:t xml:space="preserve"> of Yuruparí</w:t>
      </w:r>
      <w:r w:rsidR="0097421E" w:rsidRPr="00813D19">
        <w:rPr>
          <w:bCs/>
          <w:lang w:val="en-US"/>
        </w:rPr>
        <w:t>, Vaupés Province</w:t>
      </w:r>
      <w:r w:rsidR="0097421E" w:rsidRPr="00813D19">
        <w:rPr>
          <w:rStyle w:val="FootnoteReference"/>
          <w:bCs/>
          <w:lang w:val="en-US"/>
        </w:rPr>
        <w:footnoteReference w:id="11"/>
      </w:r>
      <w:r w:rsidR="00D928F6" w:rsidRPr="00813D19">
        <w:rPr>
          <w:bCs/>
          <w:lang w:val="en-US"/>
        </w:rPr>
        <w:t xml:space="preserve">, which </w:t>
      </w:r>
      <w:r w:rsidR="00B65D03" w:rsidRPr="00813D19">
        <w:rPr>
          <w:bCs/>
          <w:lang w:val="en-US"/>
        </w:rPr>
        <w:t xml:space="preserve">was inscribed on the </w:t>
      </w:r>
      <w:r w:rsidR="00D928F6" w:rsidRPr="00813D19">
        <w:rPr>
          <w:bCs/>
          <w:lang w:val="en-US"/>
        </w:rPr>
        <w:t xml:space="preserve">Representative List </w:t>
      </w:r>
      <w:r w:rsidR="00B65D03" w:rsidRPr="00813D19">
        <w:rPr>
          <w:bCs/>
          <w:lang w:val="en-US"/>
        </w:rPr>
        <w:t xml:space="preserve">in </w:t>
      </w:r>
      <w:r w:rsidR="00D928F6" w:rsidRPr="00813D19">
        <w:rPr>
          <w:bCs/>
          <w:lang w:val="en-US"/>
        </w:rPr>
        <w:t xml:space="preserve">2011. Colombia had </w:t>
      </w:r>
      <w:r w:rsidR="008E5964">
        <w:rPr>
          <w:bCs/>
          <w:lang w:val="en-US"/>
        </w:rPr>
        <w:t>worked</w:t>
      </w:r>
      <w:r w:rsidR="00B65D03" w:rsidRPr="00813D19">
        <w:rPr>
          <w:bCs/>
          <w:lang w:val="en-US"/>
        </w:rPr>
        <w:t xml:space="preserve"> on this project </w:t>
      </w:r>
      <w:r w:rsidR="00D928F6" w:rsidRPr="00813D19">
        <w:rPr>
          <w:bCs/>
          <w:lang w:val="en-US"/>
        </w:rPr>
        <w:t xml:space="preserve">from </w:t>
      </w:r>
      <w:r w:rsidR="00B65D03" w:rsidRPr="00813D19">
        <w:rPr>
          <w:bCs/>
          <w:lang w:val="en-US"/>
        </w:rPr>
        <w:t xml:space="preserve">June 2017 to February 2018 thanks to International Assistance for </w:t>
      </w:r>
      <w:r w:rsidR="00D928F6" w:rsidRPr="00813D19">
        <w:rPr>
          <w:bCs/>
          <w:lang w:val="en-US"/>
        </w:rPr>
        <w:t>an amount of US</w:t>
      </w:r>
      <w:r w:rsidR="00B65D03" w:rsidRPr="00813D19">
        <w:rPr>
          <w:bCs/>
          <w:lang w:val="en-US"/>
        </w:rPr>
        <w:t>$25,000 and Colombia</w:t>
      </w:r>
      <w:r w:rsidR="00D928F6" w:rsidRPr="00813D19">
        <w:rPr>
          <w:bCs/>
          <w:lang w:val="en-US"/>
        </w:rPr>
        <w:t>’s contribution of</w:t>
      </w:r>
      <w:r w:rsidR="00B65D03" w:rsidRPr="00813D19">
        <w:rPr>
          <w:bCs/>
          <w:lang w:val="en-US"/>
        </w:rPr>
        <w:t xml:space="preserve"> </w:t>
      </w:r>
      <w:r w:rsidR="00D928F6" w:rsidRPr="00813D19">
        <w:rPr>
          <w:bCs/>
          <w:lang w:val="en-US"/>
        </w:rPr>
        <w:t>US</w:t>
      </w:r>
      <w:r w:rsidR="00B65D03" w:rsidRPr="00813D19">
        <w:rPr>
          <w:bCs/>
          <w:lang w:val="en-US"/>
        </w:rPr>
        <w:t xml:space="preserve">$15,000. </w:t>
      </w:r>
      <w:r w:rsidR="00D928F6" w:rsidRPr="00813D19">
        <w:rPr>
          <w:bCs/>
          <w:lang w:val="en-US"/>
        </w:rPr>
        <w:t xml:space="preserve">It was </w:t>
      </w:r>
      <w:r w:rsidR="00B65D03" w:rsidRPr="00813D19">
        <w:rPr>
          <w:bCs/>
          <w:lang w:val="en-US"/>
        </w:rPr>
        <w:t xml:space="preserve">a very important project because </w:t>
      </w:r>
      <w:r w:rsidR="00D928F6" w:rsidRPr="00813D19">
        <w:rPr>
          <w:bCs/>
          <w:lang w:val="en-US"/>
        </w:rPr>
        <w:t xml:space="preserve">the vast </w:t>
      </w:r>
      <w:r w:rsidR="00B65D03" w:rsidRPr="00813D19">
        <w:rPr>
          <w:bCs/>
          <w:lang w:val="en-US"/>
        </w:rPr>
        <w:t xml:space="preserve">territory </w:t>
      </w:r>
      <w:r w:rsidR="00D928F6" w:rsidRPr="00813D19">
        <w:rPr>
          <w:bCs/>
          <w:lang w:val="en-US"/>
        </w:rPr>
        <w:t xml:space="preserve">was </w:t>
      </w:r>
      <w:r w:rsidR="00B65D03" w:rsidRPr="00813D19">
        <w:rPr>
          <w:bCs/>
          <w:lang w:val="en-US"/>
        </w:rPr>
        <w:t xml:space="preserve">very difficult </w:t>
      </w:r>
      <w:r w:rsidR="00D928F6" w:rsidRPr="00813D19">
        <w:rPr>
          <w:bCs/>
          <w:lang w:val="en-US"/>
        </w:rPr>
        <w:t xml:space="preserve">to access and </w:t>
      </w:r>
      <w:r w:rsidR="00B65D03" w:rsidRPr="00813D19">
        <w:rPr>
          <w:bCs/>
          <w:lang w:val="en-US"/>
        </w:rPr>
        <w:t xml:space="preserve">the costs for any activity </w:t>
      </w:r>
      <w:r w:rsidR="008E5964">
        <w:rPr>
          <w:bCs/>
          <w:lang w:val="en-US"/>
        </w:rPr>
        <w:t>were</w:t>
      </w:r>
      <w:r w:rsidR="008E5964" w:rsidRPr="00813D19">
        <w:rPr>
          <w:bCs/>
          <w:lang w:val="en-US"/>
        </w:rPr>
        <w:t xml:space="preserve"> </w:t>
      </w:r>
      <w:r w:rsidR="00B65D03" w:rsidRPr="00813D19">
        <w:rPr>
          <w:bCs/>
          <w:lang w:val="en-US"/>
        </w:rPr>
        <w:t xml:space="preserve">always very </w:t>
      </w:r>
      <w:r w:rsidR="00D928F6" w:rsidRPr="00813D19">
        <w:rPr>
          <w:bCs/>
          <w:lang w:val="en-US"/>
        </w:rPr>
        <w:t xml:space="preserve">high, but </w:t>
      </w:r>
      <w:r w:rsidR="00B65D03" w:rsidRPr="00813D19">
        <w:rPr>
          <w:bCs/>
          <w:lang w:val="en-US"/>
        </w:rPr>
        <w:t xml:space="preserve">thanks to this project </w:t>
      </w:r>
      <w:r w:rsidR="00D928F6" w:rsidRPr="00813D19">
        <w:rPr>
          <w:bCs/>
          <w:lang w:val="en-US"/>
        </w:rPr>
        <w:t xml:space="preserve">the work was carried out </w:t>
      </w:r>
      <w:r w:rsidR="00B65D03" w:rsidRPr="00813D19">
        <w:rPr>
          <w:bCs/>
          <w:lang w:val="en-US"/>
        </w:rPr>
        <w:t xml:space="preserve">together with six different communities </w:t>
      </w:r>
      <w:r w:rsidR="00D928F6" w:rsidRPr="00813D19">
        <w:rPr>
          <w:bCs/>
          <w:lang w:val="en-US"/>
        </w:rPr>
        <w:t>in the Paraná around the Amazon.</w:t>
      </w:r>
      <w:r w:rsidR="00B65D03" w:rsidRPr="00813D19">
        <w:rPr>
          <w:bCs/>
          <w:lang w:val="en-US"/>
        </w:rPr>
        <w:t xml:space="preserve"> </w:t>
      </w:r>
      <w:r w:rsidR="00D928F6" w:rsidRPr="00813D19">
        <w:rPr>
          <w:bCs/>
          <w:lang w:val="en-US"/>
        </w:rPr>
        <w:t>T</w:t>
      </w:r>
      <w:r w:rsidR="00B65D03" w:rsidRPr="00813D19">
        <w:rPr>
          <w:bCs/>
          <w:lang w:val="en-US"/>
        </w:rPr>
        <w:t xml:space="preserve">he traditional knowledge of these jaguars of Yuruparí is an organic knowledge from many of the autonomous communities in that territory who believe that their region is the lung of the world and </w:t>
      </w:r>
      <w:r w:rsidR="00D928F6" w:rsidRPr="00813D19">
        <w:rPr>
          <w:bCs/>
          <w:lang w:val="en-US"/>
        </w:rPr>
        <w:t>a sacred area</w:t>
      </w:r>
      <w:r w:rsidR="00B65D03" w:rsidRPr="00813D19">
        <w:rPr>
          <w:bCs/>
          <w:lang w:val="en-US"/>
        </w:rPr>
        <w:t>. Therefore, the system of traditional knowledge is a way of taking care</w:t>
      </w:r>
      <w:r w:rsidR="008E5964">
        <w:rPr>
          <w:bCs/>
          <w:lang w:val="en-US"/>
        </w:rPr>
        <w:t xml:space="preserve"> of</w:t>
      </w:r>
      <w:r w:rsidR="00B65D03" w:rsidRPr="00813D19">
        <w:rPr>
          <w:bCs/>
          <w:lang w:val="en-US"/>
        </w:rPr>
        <w:t>, protecting and administrating this region</w:t>
      </w:r>
      <w:r w:rsidR="00D928F6" w:rsidRPr="00813D19">
        <w:rPr>
          <w:bCs/>
          <w:lang w:val="en-US"/>
        </w:rPr>
        <w:t>. The bearers, the</w:t>
      </w:r>
      <w:r w:rsidR="00B65D03" w:rsidRPr="00813D19">
        <w:rPr>
          <w:bCs/>
          <w:lang w:val="en-US"/>
        </w:rPr>
        <w:t xml:space="preserve"> shaman </w:t>
      </w:r>
      <w:r w:rsidR="00D928F6" w:rsidRPr="00813D19">
        <w:rPr>
          <w:bCs/>
          <w:lang w:val="en-US"/>
        </w:rPr>
        <w:t>(</w:t>
      </w:r>
      <w:r w:rsidR="00B65D03" w:rsidRPr="00813D19">
        <w:rPr>
          <w:bCs/>
          <w:lang w:val="en-US"/>
        </w:rPr>
        <w:t>who are called the jaguars of Yuruparí</w:t>
      </w:r>
      <w:r w:rsidR="00D928F6" w:rsidRPr="00813D19">
        <w:rPr>
          <w:bCs/>
          <w:lang w:val="en-US"/>
        </w:rPr>
        <w:t>)</w:t>
      </w:r>
      <w:r w:rsidR="008E5964">
        <w:rPr>
          <w:bCs/>
          <w:lang w:val="en-US"/>
        </w:rPr>
        <w:t>,</w:t>
      </w:r>
      <w:r w:rsidR="00B65D03" w:rsidRPr="00813D19">
        <w:rPr>
          <w:bCs/>
          <w:lang w:val="en-US"/>
        </w:rPr>
        <w:t xml:space="preserve"> face </w:t>
      </w:r>
      <w:r w:rsidR="00D928F6" w:rsidRPr="00813D19">
        <w:rPr>
          <w:bCs/>
          <w:lang w:val="en-US"/>
        </w:rPr>
        <w:t xml:space="preserve">many </w:t>
      </w:r>
      <w:r w:rsidR="00813D19" w:rsidRPr="00813D19">
        <w:rPr>
          <w:bCs/>
          <w:lang w:val="en-US"/>
        </w:rPr>
        <w:t>threats</w:t>
      </w:r>
      <w:r w:rsidR="00C838A1" w:rsidRPr="00813D19">
        <w:rPr>
          <w:bCs/>
          <w:lang w:val="en-US"/>
        </w:rPr>
        <w:t>,</w:t>
      </w:r>
      <w:r w:rsidR="00D928F6" w:rsidRPr="00813D19">
        <w:rPr>
          <w:bCs/>
          <w:lang w:val="en-US"/>
        </w:rPr>
        <w:t xml:space="preserve"> </w:t>
      </w:r>
      <w:r w:rsidR="008E5964">
        <w:rPr>
          <w:bCs/>
          <w:lang w:val="en-US"/>
        </w:rPr>
        <w:t>including</w:t>
      </w:r>
      <w:r w:rsidR="00D928F6" w:rsidRPr="00813D19">
        <w:rPr>
          <w:bCs/>
          <w:lang w:val="en-US"/>
        </w:rPr>
        <w:t xml:space="preserve"> </w:t>
      </w:r>
      <w:r w:rsidR="00B65D03" w:rsidRPr="00813D19">
        <w:rPr>
          <w:bCs/>
          <w:lang w:val="en-US"/>
        </w:rPr>
        <w:t>the asymmetrical relationship that exist</w:t>
      </w:r>
      <w:r w:rsidR="00D928F6" w:rsidRPr="00813D19">
        <w:rPr>
          <w:bCs/>
          <w:lang w:val="en-US"/>
        </w:rPr>
        <w:t>s</w:t>
      </w:r>
      <w:r w:rsidR="00B65D03" w:rsidRPr="00813D19">
        <w:rPr>
          <w:bCs/>
          <w:lang w:val="en-US"/>
        </w:rPr>
        <w:t xml:space="preserve"> between the indigenous communities and the western communities within </w:t>
      </w:r>
      <w:r w:rsidR="00C838A1" w:rsidRPr="00813D19">
        <w:rPr>
          <w:bCs/>
          <w:lang w:val="en-US"/>
        </w:rPr>
        <w:t>the</w:t>
      </w:r>
      <w:r w:rsidR="00B65D03" w:rsidRPr="00813D19">
        <w:rPr>
          <w:bCs/>
          <w:lang w:val="en-US"/>
        </w:rPr>
        <w:t xml:space="preserve"> region. </w:t>
      </w:r>
      <w:r w:rsidR="00A01625" w:rsidRPr="00813D19">
        <w:rPr>
          <w:bCs/>
          <w:lang w:val="en-US"/>
        </w:rPr>
        <w:t>T</w:t>
      </w:r>
      <w:r w:rsidR="00B65D03" w:rsidRPr="00813D19">
        <w:rPr>
          <w:bCs/>
          <w:lang w:val="en-US"/>
        </w:rPr>
        <w:t xml:space="preserve">he social organization of </w:t>
      </w:r>
      <w:r w:rsidR="00A01625" w:rsidRPr="00813D19">
        <w:rPr>
          <w:bCs/>
          <w:lang w:val="en-US"/>
        </w:rPr>
        <w:t xml:space="preserve">these </w:t>
      </w:r>
      <w:r w:rsidR="00B65D03" w:rsidRPr="00813D19">
        <w:rPr>
          <w:bCs/>
          <w:lang w:val="en-US"/>
        </w:rPr>
        <w:t xml:space="preserve">communities </w:t>
      </w:r>
      <w:r w:rsidR="00A01625" w:rsidRPr="00813D19">
        <w:rPr>
          <w:bCs/>
          <w:lang w:val="en-US"/>
        </w:rPr>
        <w:t xml:space="preserve">has </w:t>
      </w:r>
      <w:r w:rsidR="00B65D03" w:rsidRPr="00813D19">
        <w:rPr>
          <w:bCs/>
          <w:lang w:val="en-US"/>
        </w:rPr>
        <w:t xml:space="preserve">been </w:t>
      </w:r>
      <w:r w:rsidR="00A01625" w:rsidRPr="00813D19">
        <w:rPr>
          <w:bCs/>
          <w:lang w:val="en-US"/>
        </w:rPr>
        <w:t xml:space="preserve">centred </w:t>
      </w:r>
      <w:r w:rsidR="00B71216" w:rsidRPr="00813D19">
        <w:rPr>
          <w:bCs/>
          <w:lang w:val="en-US"/>
        </w:rPr>
        <w:t xml:space="preserve">around </w:t>
      </w:r>
      <w:r w:rsidR="00B65D03" w:rsidRPr="00813D19">
        <w:rPr>
          <w:bCs/>
          <w:lang w:val="en-US"/>
        </w:rPr>
        <w:t xml:space="preserve">their cultural space and the transfer of knowledge </w:t>
      </w:r>
      <w:r w:rsidR="00B71216" w:rsidRPr="00813D19">
        <w:rPr>
          <w:bCs/>
          <w:lang w:val="en-US"/>
        </w:rPr>
        <w:t xml:space="preserve">generated around the sacred sites of the territory within </w:t>
      </w:r>
      <w:r w:rsidR="00B65D03" w:rsidRPr="00813D19">
        <w:rPr>
          <w:bCs/>
          <w:lang w:val="en-US"/>
        </w:rPr>
        <w:t xml:space="preserve">this traditional knowledge system and other cultural elements </w:t>
      </w:r>
      <w:r w:rsidR="00B71216" w:rsidRPr="00813D19">
        <w:rPr>
          <w:bCs/>
          <w:lang w:val="en-US"/>
        </w:rPr>
        <w:t xml:space="preserve">that demonstrate </w:t>
      </w:r>
      <w:r w:rsidR="00B65D03" w:rsidRPr="00813D19">
        <w:rPr>
          <w:bCs/>
          <w:lang w:val="en-US"/>
        </w:rPr>
        <w:t xml:space="preserve">how important </w:t>
      </w:r>
      <w:r w:rsidR="00B71216" w:rsidRPr="00813D19">
        <w:rPr>
          <w:bCs/>
          <w:lang w:val="en-US"/>
        </w:rPr>
        <w:t xml:space="preserve">these </w:t>
      </w:r>
      <w:r w:rsidR="00B65D03" w:rsidRPr="00813D19">
        <w:rPr>
          <w:bCs/>
          <w:lang w:val="en-US"/>
        </w:rPr>
        <w:t xml:space="preserve">sacred sites can be. </w:t>
      </w:r>
      <w:r w:rsidR="00B71216" w:rsidRPr="00813D19">
        <w:rPr>
          <w:bCs/>
          <w:lang w:val="en-US"/>
        </w:rPr>
        <w:t xml:space="preserve">The </w:t>
      </w:r>
      <w:r w:rsidR="00B65D03" w:rsidRPr="00813D19">
        <w:rPr>
          <w:bCs/>
          <w:lang w:val="en-US"/>
        </w:rPr>
        <w:t xml:space="preserve">framework </w:t>
      </w:r>
      <w:r w:rsidR="00B71216" w:rsidRPr="00813D19">
        <w:rPr>
          <w:bCs/>
          <w:lang w:val="en-US"/>
        </w:rPr>
        <w:t xml:space="preserve">of </w:t>
      </w:r>
      <w:r w:rsidR="00B65D03" w:rsidRPr="00813D19">
        <w:rPr>
          <w:bCs/>
          <w:lang w:val="en-US"/>
        </w:rPr>
        <w:t>this project focused on working directly with researche</w:t>
      </w:r>
      <w:r w:rsidR="00B71216" w:rsidRPr="00813D19">
        <w:rPr>
          <w:bCs/>
          <w:lang w:val="en-US"/>
        </w:rPr>
        <w:t>r</w:t>
      </w:r>
      <w:r w:rsidR="00B65D03" w:rsidRPr="00813D19">
        <w:rPr>
          <w:bCs/>
          <w:lang w:val="en-US"/>
        </w:rPr>
        <w:t xml:space="preserve">s and indigenous leaders, the majority of </w:t>
      </w:r>
      <w:r w:rsidR="00B71216" w:rsidRPr="00813D19">
        <w:rPr>
          <w:bCs/>
          <w:lang w:val="en-US"/>
        </w:rPr>
        <w:t xml:space="preserve">whom were </w:t>
      </w:r>
      <w:r w:rsidR="00B65D03" w:rsidRPr="00813D19">
        <w:rPr>
          <w:bCs/>
          <w:lang w:val="en-US"/>
        </w:rPr>
        <w:t xml:space="preserve">young. In </w:t>
      </w:r>
      <w:r w:rsidR="00B71216" w:rsidRPr="00813D19">
        <w:rPr>
          <w:bCs/>
          <w:lang w:val="en-US"/>
        </w:rPr>
        <w:t xml:space="preserve">the </w:t>
      </w:r>
      <w:r w:rsidR="00B65D03" w:rsidRPr="00813D19">
        <w:rPr>
          <w:bCs/>
          <w:lang w:val="en-US"/>
        </w:rPr>
        <w:t>six different communities</w:t>
      </w:r>
      <w:r w:rsidR="00B71216" w:rsidRPr="00813D19">
        <w:rPr>
          <w:bCs/>
          <w:lang w:val="en-US"/>
        </w:rPr>
        <w:t>,</w:t>
      </w:r>
      <w:r w:rsidR="00B65D03" w:rsidRPr="00813D19">
        <w:rPr>
          <w:bCs/>
          <w:lang w:val="en-US"/>
        </w:rPr>
        <w:t xml:space="preserve"> one of the main elements was to work on the importance of sacred sites within the region </w:t>
      </w:r>
      <w:r w:rsidR="00B71216" w:rsidRPr="00813D19">
        <w:rPr>
          <w:bCs/>
          <w:lang w:val="en-US"/>
        </w:rPr>
        <w:t xml:space="preserve">by </w:t>
      </w:r>
      <w:r w:rsidR="00B65D03" w:rsidRPr="00813D19">
        <w:rPr>
          <w:bCs/>
          <w:lang w:val="en-US"/>
        </w:rPr>
        <w:t xml:space="preserve">working together with local communities on </w:t>
      </w:r>
      <w:r w:rsidR="00B71216" w:rsidRPr="00813D19">
        <w:rPr>
          <w:bCs/>
          <w:lang w:val="en-US"/>
        </w:rPr>
        <w:t xml:space="preserve">the </w:t>
      </w:r>
      <w:r w:rsidR="00B65D03" w:rsidRPr="00813D19">
        <w:rPr>
          <w:bCs/>
          <w:lang w:val="en-US"/>
        </w:rPr>
        <w:t xml:space="preserve">rituals and asking for permission to access these sacred sites </w:t>
      </w:r>
      <w:r w:rsidR="00B71216" w:rsidRPr="00813D19">
        <w:rPr>
          <w:bCs/>
          <w:lang w:val="en-US"/>
        </w:rPr>
        <w:t xml:space="preserve">so that a </w:t>
      </w:r>
      <w:r w:rsidR="00B65D03" w:rsidRPr="00813D19">
        <w:rPr>
          <w:bCs/>
          <w:lang w:val="en-US"/>
        </w:rPr>
        <w:t>special plan for the safeguarding of this element</w:t>
      </w:r>
      <w:r w:rsidR="00B71216" w:rsidRPr="00813D19">
        <w:rPr>
          <w:bCs/>
          <w:lang w:val="en-US"/>
        </w:rPr>
        <w:t xml:space="preserve"> could continue to be developed</w:t>
      </w:r>
      <w:r w:rsidR="00B65D03" w:rsidRPr="00813D19">
        <w:rPr>
          <w:bCs/>
          <w:lang w:val="en-US"/>
        </w:rPr>
        <w:t xml:space="preserve">. </w:t>
      </w:r>
      <w:r w:rsidR="00B71216" w:rsidRPr="00813D19">
        <w:rPr>
          <w:bCs/>
          <w:lang w:val="en-US"/>
        </w:rPr>
        <w:t>K</w:t>
      </w:r>
      <w:r w:rsidR="00B65D03" w:rsidRPr="00813D19">
        <w:rPr>
          <w:bCs/>
          <w:lang w:val="en-US"/>
        </w:rPr>
        <w:t xml:space="preserve">nowledge </w:t>
      </w:r>
      <w:r w:rsidR="00B71216" w:rsidRPr="00813D19">
        <w:rPr>
          <w:bCs/>
          <w:lang w:val="en-US"/>
        </w:rPr>
        <w:t xml:space="preserve">from </w:t>
      </w:r>
      <w:r w:rsidR="00B65D03" w:rsidRPr="00813D19">
        <w:rPr>
          <w:bCs/>
          <w:lang w:val="en-US"/>
        </w:rPr>
        <w:t>traditional knowledge bearers with adults</w:t>
      </w:r>
      <w:r w:rsidR="00B71216" w:rsidRPr="00813D19">
        <w:rPr>
          <w:bCs/>
          <w:lang w:val="en-US"/>
        </w:rPr>
        <w:t>,</w:t>
      </w:r>
      <w:r w:rsidR="00B65D03" w:rsidRPr="00813D19">
        <w:rPr>
          <w:bCs/>
          <w:lang w:val="en-US"/>
        </w:rPr>
        <w:t xml:space="preserve"> as well as with young people</w:t>
      </w:r>
      <w:r w:rsidR="00B71216" w:rsidRPr="00813D19">
        <w:rPr>
          <w:bCs/>
          <w:lang w:val="en-US"/>
        </w:rPr>
        <w:t>,</w:t>
      </w:r>
      <w:r w:rsidR="00B65D03" w:rsidRPr="00813D19">
        <w:rPr>
          <w:bCs/>
          <w:lang w:val="en-US"/>
        </w:rPr>
        <w:t xml:space="preserve"> </w:t>
      </w:r>
      <w:r w:rsidR="00B71216" w:rsidRPr="00813D19">
        <w:rPr>
          <w:bCs/>
          <w:lang w:val="en-US"/>
        </w:rPr>
        <w:t xml:space="preserve">was gathered and </w:t>
      </w:r>
      <w:r w:rsidR="00B65D03" w:rsidRPr="00813D19">
        <w:rPr>
          <w:bCs/>
          <w:lang w:val="en-US"/>
        </w:rPr>
        <w:t xml:space="preserve">trips </w:t>
      </w:r>
      <w:r w:rsidR="00B71216" w:rsidRPr="00813D19">
        <w:rPr>
          <w:bCs/>
          <w:lang w:val="en-US"/>
        </w:rPr>
        <w:t xml:space="preserve">were conducted </w:t>
      </w:r>
      <w:r w:rsidR="00B65D03" w:rsidRPr="00813D19">
        <w:rPr>
          <w:bCs/>
          <w:lang w:val="en-US"/>
        </w:rPr>
        <w:t xml:space="preserve">throughout the different communities </w:t>
      </w:r>
      <w:r w:rsidR="00B71216" w:rsidRPr="00813D19">
        <w:rPr>
          <w:bCs/>
          <w:lang w:val="en-US"/>
        </w:rPr>
        <w:t>with</w:t>
      </w:r>
      <w:r w:rsidR="00B65D03" w:rsidRPr="00813D19">
        <w:rPr>
          <w:bCs/>
          <w:lang w:val="en-US"/>
        </w:rPr>
        <w:t>in the te</w:t>
      </w:r>
      <w:r w:rsidR="00B71216" w:rsidRPr="00813D19">
        <w:rPr>
          <w:bCs/>
          <w:lang w:val="en-US"/>
        </w:rPr>
        <w:t xml:space="preserve">rritory. Among the main results, </w:t>
      </w:r>
      <w:r w:rsidR="008E5964">
        <w:rPr>
          <w:bCs/>
          <w:lang w:val="en-US"/>
        </w:rPr>
        <w:t>twenty-four</w:t>
      </w:r>
      <w:r w:rsidR="008E5964" w:rsidRPr="00813D19">
        <w:rPr>
          <w:bCs/>
          <w:lang w:val="en-US"/>
        </w:rPr>
        <w:t xml:space="preserve"> </w:t>
      </w:r>
      <w:r w:rsidR="00B65D03" w:rsidRPr="00813D19">
        <w:rPr>
          <w:bCs/>
          <w:lang w:val="en-US"/>
        </w:rPr>
        <w:t xml:space="preserve">young people </w:t>
      </w:r>
      <w:r w:rsidR="008E5964">
        <w:rPr>
          <w:bCs/>
          <w:lang w:val="en-US"/>
        </w:rPr>
        <w:t>were</w:t>
      </w:r>
      <w:r w:rsidR="008E5964" w:rsidRPr="00813D19">
        <w:rPr>
          <w:bCs/>
          <w:lang w:val="en-US"/>
        </w:rPr>
        <w:t xml:space="preserve"> </w:t>
      </w:r>
      <w:r w:rsidR="00B65D03" w:rsidRPr="00813D19">
        <w:rPr>
          <w:bCs/>
          <w:lang w:val="en-US"/>
        </w:rPr>
        <w:t xml:space="preserve">learning </w:t>
      </w:r>
      <w:r w:rsidR="00B71216" w:rsidRPr="00813D19">
        <w:rPr>
          <w:bCs/>
          <w:lang w:val="en-US"/>
        </w:rPr>
        <w:t xml:space="preserve">about the </w:t>
      </w:r>
      <w:r w:rsidR="00B65D03" w:rsidRPr="00813D19">
        <w:rPr>
          <w:bCs/>
          <w:lang w:val="en-US"/>
        </w:rPr>
        <w:t>traditional knowledge and the defence of the sacred sites</w:t>
      </w:r>
      <w:r w:rsidR="00B71216" w:rsidRPr="00813D19">
        <w:rPr>
          <w:bCs/>
          <w:lang w:val="en-US"/>
        </w:rPr>
        <w:t>,</w:t>
      </w:r>
      <w:r w:rsidR="00B65D03" w:rsidRPr="00813D19">
        <w:rPr>
          <w:bCs/>
          <w:lang w:val="en-US"/>
        </w:rPr>
        <w:t xml:space="preserve"> and six bilingual pamphlets </w:t>
      </w:r>
      <w:r w:rsidR="008E5964">
        <w:rPr>
          <w:bCs/>
          <w:lang w:val="en-US"/>
        </w:rPr>
        <w:t>had been</w:t>
      </w:r>
      <w:r w:rsidR="008E5964" w:rsidRPr="00813D19">
        <w:rPr>
          <w:bCs/>
          <w:lang w:val="en-US"/>
        </w:rPr>
        <w:t xml:space="preserve"> </w:t>
      </w:r>
      <w:r w:rsidR="00B65D03" w:rsidRPr="00813D19">
        <w:rPr>
          <w:bCs/>
          <w:lang w:val="en-US"/>
        </w:rPr>
        <w:t xml:space="preserve">drafted in indigenous languages of the area </w:t>
      </w:r>
      <w:r w:rsidR="00B71216" w:rsidRPr="00813D19">
        <w:rPr>
          <w:bCs/>
          <w:lang w:val="en-US"/>
        </w:rPr>
        <w:t>about knowledge</w:t>
      </w:r>
      <w:r w:rsidR="00C838A1" w:rsidRPr="00813D19">
        <w:rPr>
          <w:bCs/>
          <w:lang w:val="en-US"/>
        </w:rPr>
        <w:t>,</w:t>
      </w:r>
      <w:r w:rsidR="00B71216" w:rsidRPr="00813D19">
        <w:rPr>
          <w:bCs/>
          <w:lang w:val="en-US"/>
        </w:rPr>
        <w:t xml:space="preserve"> not</w:t>
      </w:r>
      <w:r w:rsidR="00B65D03" w:rsidRPr="00813D19">
        <w:rPr>
          <w:bCs/>
          <w:lang w:val="en-US"/>
        </w:rPr>
        <w:t xml:space="preserve"> </w:t>
      </w:r>
      <w:r w:rsidR="00B71216" w:rsidRPr="00813D19">
        <w:rPr>
          <w:bCs/>
          <w:lang w:val="en-US"/>
        </w:rPr>
        <w:t xml:space="preserve">only </w:t>
      </w:r>
      <w:r w:rsidR="00B65D03" w:rsidRPr="00813D19">
        <w:rPr>
          <w:bCs/>
          <w:lang w:val="en-US"/>
        </w:rPr>
        <w:t xml:space="preserve">of </w:t>
      </w:r>
      <w:r w:rsidR="00B71216" w:rsidRPr="00813D19">
        <w:rPr>
          <w:bCs/>
          <w:lang w:val="en-US"/>
        </w:rPr>
        <w:t xml:space="preserve">the </w:t>
      </w:r>
      <w:r w:rsidR="00B65D03" w:rsidRPr="00813D19">
        <w:rPr>
          <w:bCs/>
          <w:lang w:val="en-US"/>
        </w:rPr>
        <w:t xml:space="preserve">area but also </w:t>
      </w:r>
      <w:r w:rsidR="00B71216" w:rsidRPr="00813D19">
        <w:rPr>
          <w:bCs/>
          <w:lang w:val="en-US"/>
        </w:rPr>
        <w:t xml:space="preserve">with </w:t>
      </w:r>
      <w:r w:rsidR="00B65D03" w:rsidRPr="00813D19">
        <w:rPr>
          <w:bCs/>
          <w:lang w:val="en-US"/>
        </w:rPr>
        <w:t xml:space="preserve">pedagogical material </w:t>
      </w:r>
      <w:r w:rsidR="00B71216" w:rsidRPr="00813D19">
        <w:rPr>
          <w:bCs/>
          <w:lang w:val="en-US"/>
        </w:rPr>
        <w:t>in order to educate</w:t>
      </w:r>
      <w:r w:rsidR="00B65D03" w:rsidRPr="00813D19">
        <w:rPr>
          <w:bCs/>
          <w:lang w:val="en-US"/>
        </w:rPr>
        <w:t xml:space="preserve"> 1,800 people </w:t>
      </w:r>
      <w:r w:rsidR="00C838A1" w:rsidRPr="00813D19">
        <w:rPr>
          <w:bCs/>
          <w:lang w:val="en-US"/>
        </w:rPr>
        <w:t xml:space="preserve">who </w:t>
      </w:r>
      <w:r w:rsidR="00B65D03" w:rsidRPr="00813D19">
        <w:rPr>
          <w:bCs/>
          <w:lang w:val="en-US"/>
        </w:rPr>
        <w:t xml:space="preserve">live in </w:t>
      </w:r>
      <w:r w:rsidR="00B71216" w:rsidRPr="00813D19">
        <w:rPr>
          <w:bCs/>
          <w:lang w:val="en-US"/>
        </w:rPr>
        <w:t xml:space="preserve">the </w:t>
      </w:r>
      <w:r w:rsidR="00B65D03" w:rsidRPr="00813D19">
        <w:rPr>
          <w:bCs/>
          <w:lang w:val="en-US"/>
        </w:rPr>
        <w:t xml:space="preserve">region. </w:t>
      </w:r>
      <w:r w:rsidR="00B71216" w:rsidRPr="00813D19">
        <w:rPr>
          <w:bCs/>
          <w:lang w:val="en-US"/>
        </w:rPr>
        <w:t xml:space="preserve">This project was thus </w:t>
      </w:r>
      <w:r w:rsidR="00B65D03" w:rsidRPr="00813D19">
        <w:rPr>
          <w:bCs/>
          <w:lang w:val="en-US"/>
        </w:rPr>
        <w:t xml:space="preserve">proof that </w:t>
      </w:r>
      <w:r w:rsidR="00B71216" w:rsidRPr="00813D19">
        <w:rPr>
          <w:bCs/>
          <w:lang w:val="en-US"/>
        </w:rPr>
        <w:t xml:space="preserve">intangible cultural heritage </w:t>
      </w:r>
      <w:r w:rsidR="00B65D03" w:rsidRPr="00813D19">
        <w:rPr>
          <w:bCs/>
          <w:lang w:val="en-US"/>
        </w:rPr>
        <w:t>is a way of strengthening the communities themselves</w:t>
      </w:r>
      <w:r w:rsidR="00B71216" w:rsidRPr="00813D19">
        <w:rPr>
          <w:bCs/>
          <w:lang w:val="en-US"/>
        </w:rPr>
        <w:t>,</w:t>
      </w:r>
      <w:r w:rsidR="00B65D03" w:rsidRPr="00813D19">
        <w:rPr>
          <w:bCs/>
          <w:lang w:val="en-US"/>
        </w:rPr>
        <w:t xml:space="preserve"> but also </w:t>
      </w:r>
      <w:r w:rsidR="00B71216" w:rsidRPr="00813D19">
        <w:rPr>
          <w:bCs/>
          <w:lang w:val="en-US"/>
        </w:rPr>
        <w:t xml:space="preserve">for </w:t>
      </w:r>
      <w:r w:rsidR="00B65D03" w:rsidRPr="00813D19">
        <w:rPr>
          <w:bCs/>
          <w:lang w:val="en-US"/>
        </w:rPr>
        <w:t>the development of the regions and territories.</w:t>
      </w:r>
    </w:p>
    <w:p w14:paraId="6648CC2C" w14:textId="6C685667" w:rsidR="00161372" w:rsidRPr="00813D19" w:rsidRDefault="009914C6" w:rsidP="00C72620">
      <w:pPr>
        <w:pStyle w:val="Orateurengris"/>
        <w:widowControl w:val="0"/>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D928F6" w:rsidRPr="00813D19">
        <w:rPr>
          <w:lang w:val="en-US"/>
        </w:rPr>
        <w:t>re</w:t>
      </w:r>
      <w:r w:rsidRPr="00813D19">
        <w:rPr>
          <w:lang w:val="en-US"/>
        </w:rPr>
        <w:t>turned to the draft decision on a paragraph-by-paragraph basis. With no comments or objections</w:t>
      </w:r>
      <w:r w:rsidR="003701DF" w:rsidRPr="00813D19">
        <w:rPr>
          <w:lang w:val="en-US"/>
        </w:rPr>
        <w:t xml:space="preserve"> to </w:t>
      </w:r>
      <w:r w:rsidR="009823EE" w:rsidRPr="00813D19">
        <w:rPr>
          <w:lang w:val="en-US"/>
        </w:rPr>
        <w:t xml:space="preserve">any of </w:t>
      </w:r>
      <w:r w:rsidR="003701DF" w:rsidRPr="00813D19">
        <w:rPr>
          <w:lang w:val="en-US"/>
        </w:rPr>
        <w:t>the paragraphs</w:t>
      </w:r>
      <w:r w:rsidRPr="00813D19">
        <w:rPr>
          <w:lang w:val="en-US"/>
        </w:rPr>
        <w:t xml:space="preserve">, the </w:t>
      </w:r>
      <w:r w:rsidRPr="00813D19">
        <w:rPr>
          <w:b/>
          <w:lang w:val="en-US"/>
        </w:rPr>
        <w:t>Chairperson declared Decision 13.COM 7.c adopted</w:t>
      </w:r>
      <w:r w:rsidRPr="003221D5">
        <w:rPr>
          <w:bCs/>
          <w:lang w:val="en-US"/>
        </w:rPr>
        <w:t>.</w:t>
      </w:r>
      <w:r w:rsidRPr="00813D19">
        <w:rPr>
          <w:lang w:val="en-US"/>
        </w:rPr>
        <w:t xml:space="preserve"> </w:t>
      </w:r>
      <w:r w:rsidR="00161372" w:rsidRPr="00813D19">
        <w:rPr>
          <w:lang w:val="en-US"/>
        </w:rPr>
        <w:t xml:space="preserve">The Chairperson </w:t>
      </w:r>
      <w:r w:rsidR="00CA48A4" w:rsidRPr="00813D19">
        <w:rPr>
          <w:lang w:val="en-US"/>
        </w:rPr>
        <w:t xml:space="preserve">noted that some States Parties that had </w:t>
      </w:r>
      <w:r w:rsidR="00161372" w:rsidRPr="00813D19">
        <w:rPr>
          <w:lang w:val="en-US"/>
        </w:rPr>
        <w:t>benefited from International Assistance and completed their projects wished to share their experience</w:t>
      </w:r>
      <w:r w:rsidR="00CA48A4" w:rsidRPr="00813D19">
        <w:rPr>
          <w:lang w:val="en-US"/>
        </w:rPr>
        <w:t>s</w:t>
      </w:r>
      <w:r w:rsidR="00087166">
        <w:rPr>
          <w:lang w:val="en-US"/>
        </w:rPr>
        <w:t>.</w:t>
      </w:r>
    </w:p>
    <w:p w14:paraId="58F363CD" w14:textId="04814437" w:rsidR="00161372" w:rsidRPr="00813D19" w:rsidRDefault="00161372" w:rsidP="00161372">
      <w:pPr>
        <w:pStyle w:val="Orateurengris"/>
        <w:widowControl w:val="0"/>
        <w:spacing w:before="120"/>
        <w:ind w:left="709" w:hanging="709"/>
        <w:rPr>
          <w:lang w:val="en-US"/>
        </w:rPr>
      </w:pPr>
      <w:r w:rsidRPr="00813D19">
        <w:rPr>
          <w:lang w:val="en-US"/>
        </w:rPr>
        <w:t xml:space="preserve">The </w:t>
      </w:r>
      <w:r w:rsidRPr="00813D19">
        <w:rPr>
          <w:b/>
          <w:lang w:val="en-US"/>
        </w:rPr>
        <w:t>delegation of Botswana</w:t>
      </w:r>
      <w:r w:rsidRPr="00813D19">
        <w:rPr>
          <w:lang w:val="en-US"/>
        </w:rPr>
        <w:t xml:space="preserve"> </w:t>
      </w:r>
      <w:r w:rsidR="00B65D03" w:rsidRPr="00813D19">
        <w:rPr>
          <w:bCs/>
          <w:lang w:val="en-US"/>
        </w:rPr>
        <w:t>thank</w:t>
      </w:r>
      <w:r w:rsidR="00367FEA" w:rsidRPr="00813D19">
        <w:rPr>
          <w:bCs/>
          <w:lang w:val="en-US"/>
        </w:rPr>
        <w:t>ed</w:t>
      </w:r>
      <w:r w:rsidR="00B65D03" w:rsidRPr="00813D19">
        <w:rPr>
          <w:bCs/>
          <w:lang w:val="en-US"/>
        </w:rPr>
        <w:t xml:space="preserve"> Mauritius for hosting this important meeting and for </w:t>
      </w:r>
      <w:r w:rsidR="00367FEA" w:rsidRPr="00813D19">
        <w:rPr>
          <w:bCs/>
          <w:lang w:val="en-US"/>
        </w:rPr>
        <w:t xml:space="preserve">its </w:t>
      </w:r>
      <w:r w:rsidR="00B65D03" w:rsidRPr="00813D19">
        <w:rPr>
          <w:bCs/>
          <w:lang w:val="en-US"/>
        </w:rPr>
        <w:t xml:space="preserve">warm hospitality. The </w:t>
      </w:r>
      <w:r w:rsidR="0097421E" w:rsidRPr="00813D19">
        <w:rPr>
          <w:bCs/>
          <w:lang w:val="en-US"/>
        </w:rPr>
        <w:t xml:space="preserve">project, Promotion of </w:t>
      </w:r>
      <w:r w:rsidR="00B65D03" w:rsidRPr="00813D19">
        <w:rPr>
          <w:lang w:val="en-US"/>
        </w:rPr>
        <w:t>earthenware pottery-making skills in Kgatleng district</w:t>
      </w:r>
      <w:r w:rsidR="00955EBD">
        <w:rPr>
          <w:lang w:val="en-US"/>
        </w:rPr>
        <w:t>,</w:t>
      </w:r>
      <w:r w:rsidR="0097421E" w:rsidRPr="00813D19">
        <w:rPr>
          <w:rStyle w:val="FootnoteReference"/>
          <w:lang w:val="en-US"/>
        </w:rPr>
        <w:footnoteReference w:id="12"/>
      </w:r>
      <w:r w:rsidR="00B65D03" w:rsidRPr="00813D19">
        <w:rPr>
          <w:lang w:val="en-US"/>
        </w:rPr>
        <w:t xml:space="preserve"> was nominate</w:t>
      </w:r>
      <w:r w:rsidR="00AF0011" w:rsidRPr="00813D19">
        <w:rPr>
          <w:lang w:val="en-US"/>
        </w:rPr>
        <w:t xml:space="preserve">d in 2010 and inscribed in 2012, and </w:t>
      </w:r>
      <w:r w:rsidR="00B65D03" w:rsidRPr="00813D19">
        <w:rPr>
          <w:lang w:val="en-US"/>
        </w:rPr>
        <w:t xml:space="preserve">sponsored by </w:t>
      </w:r>
      <w:r w:rsidR="00AF0011" w:rsidRPr="00813D19">
        <w:rPr>
          <w:lang w:val="en-US"/>
        </w:rPr>
        <w:t>Flanders Funds-in-Trust</w:t>
      </w:r>
      <w:r w:rsidR="00B65D03" w:rsidRPr="00813D19">
        <w:rPr>
          <w:lang w:val="en-US"/>
        </w:rPr>
        <w:t>. Botswana applied for International Assistance to implement the safeguarding plan in 2014</w:t>
      </w:r>
      <w:r w:rsidR="00AF0011" w:rsidRPr="00813D19">
        <w:rPr>
          <w:lang w:val="en-US"/>
        </w:rPr>
        <w:t>,</w:t>
      </w:r>
      <w:r w:rsidR="00B65D03" w:rsidRPr="00813D19">
        <w:rPr>
          <w:lang w:val="en-US"/>
        </w:rPr>
        <w:t xml:space="preserve"> </w:t>
      </w:r>
      <w:r w:rsidR="00AF0011" w:rsidRPr="00813D19">
        <w:rPr>
          <w:lang w:val="en-US"/>
        </w:rPr>
        <w:t>which was granted in November 2016. T</w:t>
      </w:r>
      <w:r w:rsidR="00B65D03" w:rsidRPr="00813D19">
        <w:rPr>
          <w:lang w:val="en-US"/>
        </w:rPr>
        <w:t xml:space="preserve">he project was supervised by Kgatleng district </w:t>
      </w:r>
      <w:r w:rsidR="00AF0011" w:rsidRPr="00813D19">
        <w:rPr>
          <w:lang w:val="en-US"/>
        </w:rPr>
        <w:t xml:space="preserve">ICH </w:t>
      </w:r>
      <w:r w:rsidR="00B65D03" w:rsidRPr="00813D19">
        <w:rPr>
          <w:lang w:val="en-US"/>
        </w:rPr>
        <w:t>Committee. The practitioners of the element were involved in designing and planning the safeguarding plan. All four master potters identified in 2010 were cruci</w:t>
      </w:r>
      <w:r w:rsidR="00AF0011" w:rsidRPr="00813D19">
        <w:rPr>
          <w:lang w:val="en-US"/>
        </w:rPr>
        <w:t xml:space="preserve">al in implementing the project, which included </w:t>
      </w:r>
      <w:r w:rsidR="00B65D03" w:rsidRPr="00813D19">
        <w:rPr>
          <w:lang w:val="en-US"/>
        </w:rPr>
        <w:t>the 100-year</w:t>
      </w:r>
      <w:r w:rsidR="008E5964">
        <w:rPr>
          <w:lang w:val="en-US"/>
        </w:rPr>
        <w:t>-</w:t>
      </w:r>
      <w:r w:rsidR="00B65D03" w:rsidRPr="00813D19">
        <w:rPr>
          <w:lang w:val="en-US"/>
        </w:rPr>
        <w:t xml:space="preserve">old master </w:t>
      </w:r>
      <w:r w:rsidR="00AF0011" w:rsidRPr="00813D19">
        <w:rPr>
          <w:lang w:val="en-US"/>
        </w:rPr>
        <w:t>and others spanning the generations. C</w:t>
      </w:r>
      <w:r w:rsidR="00B65D03" w:rsidRPr="00813D19">
        <w:rPr>
          <w:lang w:val="en-US"/>
        </w:rPr>
        <w:t xml:space="preserve">ommunity involvement </w:t>
      </w:r>
      <w:r w:rsidR="00AF0011" w:rsidRPr="00813D19">
        <w:rPr>
          <w:lang w:val="en-US"/>
        </w:rPr>
        <w:t>included</w:t>
      </w:r>
      <w:r w:rsidR="00B65D03" w:rsidRPr="00813D19">
        <w:rPr>
          <w:lang w:val="en-US"/>
        </w:rPr>
        <w:t xml:space="preserve"> engagement with community members in </w:t>
      </w:r>
      <w:r w:rsidR="008E5964">
        <w:rPr>
          <w:lang w:val="en-US"/>
        </w:rPr>
        <w:t>twenty-one</w:t>
      </w:r>
      <w:r w:rsidR="008E5964" w:rsidRPr="00813D19">
        <w:rPr>
          <w:lang w:val="en-US"/>
        </w:rPr>
        <w:t xml:space="preserve"> </w:t>
      </w:r>
      <w:r w:rsidR="00B65D03" w:rsidRPr="00813D19">
        <w:rPr>
          <w:lang w:val="en-US"/>
        </w:rPr>
        <w:t xml:space="preserve">out of </w:t>
      </w:r>
      <w:r w:rsidR="00AF0011" w:rsidRPr="00813D19">
        <w:rPr>
          <w:lang w:val="en-US"/>
        </w:rPr>
        <w:t xml:space="preserve">the </w:t>
      </w:r>
      <w:r w:rsidR="008E5964">
        <w:rPr>
          <w:lang w:val="en-US"/>
        </w:rPr>
        <w:t>twenty-three</w:t>
      </w:r>
      <w:r w:rsidR="00B65D03" w:rsidRPr="00813D19">
        <w:rPr>
          <w:lang w:val="en-US"/>
        </w:rPr>
        <w:t xml:space="preserve"> </w:t>
      </w:r>
      <w:r w:rsidR="00AF0011" w:rsidRPr="00813D19">
        <w:rPr>
          <w:lang w:val="en-US"/>
        </w:rPr>
        <w:t>villages. Traditional leaders</w:t>
      </w:r>
      <w:r w:rsidR="00B65D03" w:rsidRPr="00813D19">
        <w:rPr>
          <w:lang w:val="en-US"/>
        </w:rPr>
        <w:t xml:space="preserve"> and village development committees of the </w:t>
      </w:r>
      <w:r w:rsidR="00AF0011" w:rsidRPr="00813D19">
        <w:rPr>
          <w:lang w:val="en-US"/>
        </w:rPr>
        <w:t xml:space="preserve">villages concerned were also consulted and they took </w:t>
      </w:r>
      <w:r w:rsidR="00B65D03" w:rsidRPr="00813D19">
        <w:rPr>
          <w:lang w:val="en-US"/>
        </w:rPr>
        <w:t xml:space="preserve">part in the implementation of the project. Challenges associated with </w:t>
      </w:r>
      <w:r w:rsidR="00955EBD">
        <w:rPr>
          <w:lang w:val="en-US"/>
        </w:rPr>
        <w:t xml:space="preserve">the </w:t>
      </w:r>
      <w:r w:rsidR="00AF0011" w:rsidRPr="00813D19">
        <w:rPr>
          <w:lang w:val="en-US"/>
        </w:rPr>
        <w:t xml:space="preserve">project </w:t>
      </w:r>
      <w:r w:rsidR="00B65D03" w:rsidRPr="00813D19">
        <w:rPr>
          <w:lang w:val="en-US"/>
        </w:rPr>
        <w:t>implementation include</w:t>
      </w:r>
      <w:r w:rsidR="00AF0011" w:rsidRPr="00813D19">
        <w:rPr>
          <w:lang w:val="en-US"/>
        </w:rPr>
        <w:t>d</w:t>
      </w:r>
      <w:r w:rsidR="00B65D03" w:rsidRPr="00813D19">
        <w:rPr>
          <w:lang w:val="en-US"/>
        </w:rPr>
        <w:t xml:space="preserve"> the following: </w:t>
      </w:r>
      <w:r w:rsidR="00C838A1" w:rsidRPr="00813D19">
        <w:rPr>
          <w:lang w:val="en-US"/>
        </w:rPr>
        <w:t xml:space="preserve">i) </w:t>
      </w:r>
      <w:r w:rsidR="008F71C9" w:rsidRPr="00813D19">
        <w:rPr>
          <w:lang w:val="en-US"/>
        </w:rPr>
        <w:t xml:space="preserve">of the </w:t>
      </w:r>
      <w:r w:rsidR="00955EBD">
        <w:rPr>
          <w:lang w:val="en-US"/>
        </w:rPr>
        <w:t>twenty</w:t>
      </w:r>
      <w:r w:rsidR="00955EBD" w:rsidRPr="00813D19">
        <w:rPr>
          <w:lang w:val="en-US"/>
        </w:rPr>
        <w:t xml:space="preserve"> </w:t>
      </w:r>
      <w:r w:rsidR="00B65D03" w:rsidRPr="00813D19">
        <w:rPr>
          <w:lang w:val="en-US"/>
        </w:rPr>
        <w:t xml:space="preserve">youth </w:t>
      </w:r>
      <w:r w:rsidR="008F71C9" w:rsidRPr="00813D19">
        <w:rPr>
          <w:lang w:val="en-US"/>
        </w:rPr>
        <w:t>targeted</w:t>
      </w:r>
      <w:r w:rsidR="00955EBD">
        <w:rPr>
          <w:lang w:val="en-US"/>
        </w:rPr>
        <w:t>,</w:t>
      </w:r>
      <w:r w:rsidR="008F71C9" w:rsidRPr="00813D19">
        <w:rPr>
          <w:lang w:val="en-US"/>
        </w:rPr>
        <w:t xml:space="preserve"> </w:t>
      </w:r>
      <w:r w:rsidR="00B65D03" w:rsidRPr="00813D19">
        <w:rPr>
          <w:lang w:val="en-US"/>
        </w:rPr>
        <w:t xml:space="preserve">only </w:t>
      </w:r>
      <w:r w:rsidR="00955EBD">
        <w:rPr>
          <w:lang w:val="en-US"/>
        </w:rPr>
        <w:t>seventeen</w:t>
      </w:r>
      <w:r w:rsidR="008F71C9" w:rsidRPr="00813D19">
        <w:rPr>
          <w:lang w:val="en-US"/>
        </w:rPr>
        <w:t xml:space="preserve"> were involved</w:t>
      </w:r>
      <w:r w:rsidR="00B65D03" w:rsidRPr="00813D19">
        <w:rPr>
          <w:lang w:val="en-US"/>
        </w:rPr>
        <w:t xml:space="preserve">; </w:t>
      </w:r>
      <w:r w:rsidR="00C838A1" w:rsidRPr="00813D19">
        <w:rPr>
          <w:lang w:val="en-US"/>
        </w:rPr>
        <w:t xml:space="preserve">ii) </w:t>
      </w:r>
      <w:r w:rsidR="008F71C9" w:rsidRPr="00813D19">
        <w:rPr>
          <w:lang w:val="en-US"/>
        </w:rPr>
        <w:t xml:space="preserve">a </w:t>
      </w:r>
      <w:r w:rsidR="00B65D03" w:rsidRPr="00813D19">
        <w:rPr>
          <w:lang w:val="en-US"/>
        </w:rPr>
        <w:t xml:space="preserve">lack of </w:t>
      </w:r>
      <w:r w:rsidR="00AF0011" w:rsidRPr="00813D19">
        <w:rPr>
          <w:lang w:val="en-US"/>
        </w:rPr>
        <w:t xml:space="preserve">adherence </w:t>
      </w:r>
      <w:r w:rsidR="00B65D03" w:rsidRPr="00813D19">
        <w:rPr>
          <w:lang w:val="en-US"/>
        </w:rPr>
        <w:t xml:space="preserve">to </w:t>
      </w:r>
      <w:r w:rsidR="008F71C9" w:rsidRPr="00813D19">
        <w:rPr>
          <w:lang w:val="en-US"/>
        </w:rPr>
        <w:t xml:space="preserve">the </w:t>
      </w:r>
      <w:r w:rsidR="00B65D03" w:rsidRPr="00813D19">
        <w:rPr>
          <w:lang w:val="en-US"/>
        </w:rPr>
        <w:t xml:space="preserve">taboos associated with the element; </w:t>
      </w:r>
      <w:r w:rsidR="008F71C9" w:rsidRPr="00813D19">
        <w:rPr>
          <w:lang w:val="en-US"/>
        </w:rPr>
        <w:t xml:space="preserve">and </w:t>
      </w:r>
      <w:r w:rsidR="00C838A1" w:rsidRPr="00813D19">
        <w:rPr>
          <w:lang w:val="en-US"/>
        </w:rPr>
        <w:t xml:space="preserve">iii) </w:t>
      </w:r>
      <w:r w:rsidR="008F71C9" w:rsidRPr="00813D19">
        <w:rPr>
          <w:lang w:val="en-US"/>
        </w:rPr>
        <w:t xml:space="preserve">a </w:t>
      </w:r>
      <w:r w:rsidR="00B65D03" w:rsidRPr="00813D19">
        <w:rPr>
          <w:lang w:val="en-US"/>
        </w:rPr>
        <w:t>delay in the development of educational materials</w:t>
      </w:r>
      <w:r w:rsidR="008F71C9" w:rsidRPr="00813D19">
        <w:rPr>
          <w:lang w:val="en-US"/>
        </w:rPr>
        <w:t xml:space="preserve"> led to a </w:t>
      </w:r>
      <w:r w:rsidR="00955EBD">
        <w:rPr>
          <w:lang w:val="en-US"/>
        </w:rPr>
        <w:t>three</w:t>
      </w:r>
      <w:r w:rsidR="008F71C9" w:rsidRPr="00813D19">
        <w:rPr>
          <w:lang w:val="en-US"/>
        </w:rPr>
        <w:t>-</w:t>
      </w:r>
      <w:r w:rsidR="00B65D03" w:rsidRPr="00813D19">
        <w:rPr>
          <w:lang w:val="en-US"/>
        </w:rPr>
        <w:t>mont</w:t>
      </w:r>
      <w:r w:rsidR="008F71C9" w:rsidRPr="00813D19">
        <w:rPr>
          <w:lang w:val="en-US"/>
        </w:rPr>
        <w:t>h</w:t>
      </w:r>
      <w:r w:rsidR="00B65D03" w:rsidRPr="00813D19">
        <w:rPr>
          <w:lang w:val="en-US"/>
        </w:rPr>
        <w:t xml:space="preserve"> extension </w:t>
      </w:r>
      <w:r w:rsidR="008F71C9" w:rsidRPr="00813D19">
        <w:rPr>
          <w:lang w:val="en-US"/>
        </w:rPr>
        <w:t xml:space="preserve">of </w:t>
      </w:r>
      <w:r w:rsidR="00B65D03" w:rsidRPr="00813D19">
        <w:rPr>
          <w:lang w:val="en-US"/>
        </w:rPr>
        <w:t>the project. Twenty-one trainees across the district were trained</w:t>
      </w:r>
      <w:r w:rsidR="008F71C9" w:rsidRPr="00813D19">
        <w:rPr>
          <w:lang w:val="en-US"/>
        </w:rPr>
        <w:t>,</w:t>
      </w:r>
      <w:r w:rsidR="00B65D03" w:rsidRPr="00813D19">
        <w:rPr>
          <w:lang w:val="en-US"/>
        </w:rPr>
        <w:t xml:space="preserve"> including three </w:t>
      </w:r>
      <w:r w:rsidR="008F71C9" w:rsidRPr="00813D19">
        <w:rPr>
          <w:lang w:val="en-US"/>
        </w:rPr>
        <w:t xml:space="preserve">men </w:t>
      </w:r>
      <w:r w:rsidR="00B65D03" w:rsidRPr="00813D19">
        <w:rPr>
          <w:lang w:val="en-US"/>
        </w:rPr>
        <w:t xml:space="preserve">and one </w:t>
      </w:r>
      <w:r w:rsidR="008F71C9" w:rsidRPr="00813D19">
        <w:rPr>
          <w:lang w:val="en-US"/>
        </w:rPr>
        <w:t xml:space="preserve">woman </w:t>
      </w:r>
      <w:r w:rsidR="00B65D03" w:rsidRPr="00813D19">
        <w:rPr>
          <w:lang w:val="en-US"/>
        </w:rPr>
        <w:t>living with disabilities. The project achieved several milestones and include</w:t>
      </w:r>
      <w:r w:rsidR="008F71C9" w:rsidRPr="00813D19">
        <w:rPr>
          <w:lang w:val="en-US"/>
        </w:rPr>
        <w:t>d</w:t>
      </w:r>
      <w:r w:rsidR="00B65D03" w:rsidRPr="00813D19">
        <w:rPr>
          <w:lang w:val="en-US"/>
        </w:rPr>
        <w:t xml:space="preserve"> consultation, research and </w:t>
      </w:r>
      <w:r w:rsidR="008F71C9" w:rsidRPr="00813D19">
        <w:rPr>
          <w:lang w:val="en-US"/>
        </w:rPr>
        <w:t xml:space="preserve">the </w:t>
      </w:r>
      <w:r w:rsidR="00B65D03" w:rsidRPr="00813D19">
        <w:rPr>
          <w:lang w:val="en-US"/>
        </w:rPr>
        <w:t xml:space="preserve">identification of new trainees in </w:t>
      </w:r>
      <w:r w:rsidR="00955EBD">
        <w:rPr>
          <w:lang w:val="en-US"/>
        </w:rPr>
        <w:t>twenty-one</w:t>
      </w:r>
      <w:r w:rsidR="00955EBD" w:rsidRPr="00813D19">
        <w:rPr>
          <w:lang w:val="en-US"/>
        </w:rPr>
        <w:t xml:space="preserve"> </w:t>
      </w:r>
      <w:r w:rsidR="00B65D03" w:rsidRPr="00813D19">
        <w:rPr>
          <w:lang w:val="en-US"/>
        </w:rPr>
        <w:t xml:space="preserve">of </w:t>
      </w:r>
      <w:r w:rsidR="008F71C9" w:rsidRPr="00813D19">
        <w:rPr>
          <w:lang w:val="en-US"/>
        </w:rPr>
        <w:t xml:space="preserve">the </w:t>
      </w:r>
      <w:r w:rsidR="00955EBD">
        <w:rPr>
          <w:lang w:val="en-US"/>
        </w:rPr>
        <w:t>twenty-three</w:t>
      </w:r>
      <w:r w:rsidR="008F71C9" w:rsidRPr="00813D19">
        <w:rPr>
          <w:lang w:val="en-US"/>
        </w:rPr>
        <w:t xml:space="preserve"> villages targeted. In addition, </w:t>
      </w:r>
      <w:r w:rsidR="00B65D03" w:rsidRPr="00813D19">
        <w:rPr>
          <w:lang w:val="en-US"/>
        </w:rPr>
        <w:t xml:space="preserve">the Department of National Museums and Monuments contributed </w:t>
      </w:r>
      <w:r w:rsidR="00AF0011" w:rsidRPr="00813D19">
        <w:rPr>
          <w:lang w:val="en-US"/>
        </w:rPr>
        <w:t>US</w:t>
      </w:r>
      <w:r w:rsidR="00B65D03" w:rsidRPr="00813D19">
        <w:rPr>
          <w:lang w:val="en-US"/>
        </w:rPr>
        <w:t>$8,000 for labo</w:t>
      </w:r>
      <w:r w:rsidR="00FB131E">
        <w:rPr>
          <w:lang w:val="en-US"/>
        </w:rPr>
        <w:t>u</w:t>
      </w:r>
      <w:r w:rsidR="00B65D03" w:rsidRPr="00813D19">
        <w:rPr>
          <w:lang w:val="en-US"/>
        </w:rPr>
        <w:t>r co</w:t>
      </w:r>
      <w:r w:rsidR="008F71C9" w:rsidRPr="00813D19">
        <w:rPr>
          <w:lang w:val="en-US"/>
        </w:rPr>
        <w:t>sts to fund the cultural space</w:t>
      </w:r>
      <w:r w:rsidR="00C838A1" w:rsidRPr="00813D19">
        <w:rPr>
          <w:lang w:val="en-US"/>
        </w:rPr>
        <w:t>,</w:t>
      </w:r>
      <w:r w:rsidR="008F71C9" w:rsidRPr="00813D19">
        <w:rPr>
          <w:lang w:val="en-US"/>
        </w:rPr>
        <w:t xml:space="preserve"> and </w:t>
      </w:r>
      <w:r w:rsidR="00B65D03" w:rsidRPr="00813D19">
        <w:rPr>
          <w:lang w:val="en-US"/>
        </w:rPr>
        <w:t>Kgatleng district council facilitated labo</w:t>
      </w:r>
      <w:r w:rsidR="00FB131E">
        <w:rPr>
          <w:lang w:val="en-US"/>
        </w:rPr>
        <w:t>u</w:t>
      </w:r>
      <w:r w:rsidR="008F71C9" w:rsidRPr="00813D19">
        <w:rPr>
          <w:lang w:val="en-US"/>
        </w:rPr>
        <w:t>r and ensured fencing</w:t>
      </w:r>
      <w:r w:rsidR="00B65D03" w:rsidRPr="00813D19">
        <w:rPr>
          <w:lang w:val="en-US"/>
        </w:rPr>
        <w:t xml:space="preserve"> was </w:t>
      </w:r>
      <w:r w:rsidR="008F71C9" w:rsidRPr="00813D19">
        <w:rPr>
          <w:lang w:val="en-US"/>
        </w:rPr>
        <w:t>done</w:t>
      </w:r>
      <w:r w:rsidR="00B65D03" w:rsidRPr="00813D19">
        <w:rPr>
          <w:lang w:val="en-US"/>
        </w:rPr>
        <w:t>. Twelve new li</w:t>
      </w:r>
      <w:r w:rsidR="008F71C9" w:rsidRPr="00813D19">
        <w:rPr>
          <w:lang w:val="en-US"/>
        </w:rPr>
        <w:t xml:space="preserve">ving treasures were discovered and </w:t>
      </w:r>
      <w:r w:rsidR="00B65D03" w:rsidRPr="00813D19">
        <w:rPr>
          <w:lang w:val="en-US"/>
        </w:rPr>
        <w:t xml:space="preserve">trainees successfully mounted an exhibition, which </w:t>
      </w:r>
      <w:r w:rsidR="008F71C9" w:rsidRPr="00813D19">
        <w:rPr>
          <w:lang w:val="en-US"/>
        </w:rPr>
        <w:t>was widely covered by the media. E</w:t>
      </w:r>
      <w:r w:rsidR="00B65D03" w:rsidRPr="00813D19">
        <w:rPr>
          <w:lang w:val="en-US"/>
        </w:rPr>
        <w:t>ducational materials like booklets, audiovisual</w:t>
      </w:r>
      <w:r w:rsidR="00955EBD">
        <w:rPr>
          <w:lang w:val="en-US"/>
        </w:rPr>
        <w:t xml:space="preserve"> materials</w:t>
      </w:r>
      <w:r w:rsidR="00B65D03" w:rsidRPr="00813D19">
        <w:rPr>
          <w:lang w:val="en-US"/>
        </w:rPr>
        <w:t xml:space="preserve"> and brochures were </w:t>
      </w:r>
      <w:r w:rsidR="008F71C9" w:rsidRPr="00813D19">
        <w:rPr>
          <w:lang w:val="en-US"/>
        </w:rPr>
        <w:t xml:space="preserve">also </w:t>
      </w:r>
      <w:r w:rsidR="00087166">
        <w:rPr>
          <w:lang w:val="en-US"/>
        </w:rPr>
        <w:t>developed.</w:t>
      </w:r>
    </w:p>
    <w:p w14:paraId="7814451F" w14:textId="6E22AC7F" w:rsidR="00B71216" w:rsidRPr="00813D19" w:rsidRDefault="004D1CAD" w:rsidP="00B71216">
      <w:pPr>
        <w:pStyle w:val="Orateurengris"/>
        <w:widowControl w:val="0"/>
        <w:spacing w:before="120"/>
        <w:ind w:left="709" w:hanging="709"/>
        <w:rPr>
          <w:i/>
          <w:lang w:val="en-US"/>
        </w:rPr>
      </w:pPr>
      <w:r w:rsidRPr="00813D19">
        <w:rPr>
          <w:lang w:val="en-US"/>
        </w:rPr>
        <w:t>Having introduced its project</w:t>
      </w:r>
      <w:r w:rsidR="00955EBD" w:rsidRPr="00955EBD">
        <w:rPr>
          <w:lang w:val="en-US"/>
        </w:rPr>
        <w:t xml:space="preserve"> </w:t>
      </w:r>
      <w:r w:rsidR="00955EBD" w:rsidRPr="00813D19">
        <w:rPr>
          <w:lang w:val="en-US"/>
        </w:rPr>
        <w:t>earlier</w:t>
      </w:r>
      <w:r w:rsidRPr="00813D19">
        <w:rPr>
          <w:lang w:val="en-US"/>
        </w:rPr>
        <w:t>, t</w:t>
      </w:r>
      <w:r w:rsidR="00161372" w:rsidRPr="00813D19">
        <w:rPr>
          <w:lang w:val="en-US"/>
        </w:rPr>
        <w:t xml:space="preserve">he </w:t>
      </w:r>
      <w:r w:rsidR="00161372" w:rsidRPr="00813D19">
        <w:rPr>
          <w:b/>
          <w:lang w:val="en-US"/>
        </w:rPr>
        <w:t>delegation of Colombia</w:t>
      </w:r>
      <w:r w:rsidR="00B65D03" w:rsidRPr="00813D19">
        <w:rPr>
          <w:b/>
          <w:lang w:val="en-US"/>
        </w:rPr>
        <w:t xml:space="preserve"> </w:t>
      </w:r>
      <w:r w:rsidRPr="00813D19">
        <w:rPr>
          <w:bCs/>
          <w:lang w:val="en-US"/>
        </w:rPr>
        <w:t xml:space="preserve">projected </w:t>
      </w:r>
      <w:r w:rsidR="00B65D03" w:rsidRPr="00813D19">
        <w:rPr>
          <w:bCs/>
          <w:lang w:val="en-US"/>
        </w:rPr>
        <w:t xml:space="preserve">a </w:t>
      </w:r>
      <w:r w:rsidRPr="00813D19">
        <w:rPr>
          <w:bCs/>
          <w:lang w:val="en-US"/>
        </w:rPr>
        <w:t xml:space="preserve">short </w:t>
      </w:r>
      <w:r w:rsidR="00B65D03" w:rsidRPr="00813D19">
        <w:rPr>
          <w:bCs/>
          <w:lang w:val="en-US"/>
        </w:rPr>
        <w:t>video</w:t>
      </w:r>
      <w:r w:rsidR="00F82EEA" w:rsidRPr="00813D19">
        <w:rPr>
          <w:bCs/>
          <w:lang w:val="en-US"/>
        </w:rPr>
        <w:t>.</w:t>
      </w:r>
    </w:p>
    <w:p w14:paraId="27C5DA96" w14:textId="231840EB" w:rsidR="001E13D3" w:rsidRPr="00813D19" w:rsidRDefault="001E13D3" w:rsidP="00087166">
      <w:pPr>
        <w:pStyle w:val="Orateurengris"/>
        <w:widowControl w:val="0"/>
        <w:numPr>
          <w:ilvl w:val="0"/>
          <w:numId w:val="0"/>
        </w:numPr>
        <w:spacing w:before="240" w:after="240"/>
        <w:jc w:val="center"/>
        <w:rPr>
          <w:i/>
          <w:lang w:val="en-US"/>
        </w:rPr>
      </w:pPr>
      <w:r w:rsidRPr="00813D19">
        <w:rPr>
          <w:i/>
          <w:lang w:val="en-US"/>
        </w:rPr>
        <w:t xml:space="preserve">[A </w:t>
      </w:r>
      <w:r w:rsidR="004D1CAD" w:rsidRPr="00813D19">
        <w:rPr>
          <w:i/>
          <w:lang w:val="en-US"/>
        </w:rPr>
        <w:t xml:space="preserve">short </w:t>
      </w:r>
      <w:r w:rsidRPr="00813D19">
        <w:rPr>
          <w:i/>
          <w:lang w:val="en-US"/>
        </w:rPr>
        <w:t xml:space="preserve">film </w:t>
      </w:r>
      <w:r w:rsidR="004D1CAD" w:rsidRPr="00813D19">
        <w:rPr>
          <w:i/>
          <w:lang w:val="en-US"/>
        </w:rPr>
        <w:t xml:space="preserve">on the </w:t>
      </w:r>
      <w:r w:rsidR="00AA1BE1" w:rsidRPr="00813D19">
        <w:rPr>
          <w:bCs/>
          <w:i/>
          <w:lang w:val="en-US"/>
        </w:rPr>
        <w:t>jaguar shamans of Yuruparí</w:t>
      </w:r>
      <w:r w:rsidR="00AA1BE1" w:rsidRPr="00813D19">
        <w:rPr>
          <w:i/>
          <w:lang w:val="en-US"/>
        </w:rPr>
        <w:t xml:space="preserve"> </w:t>
      </w:r>
      <w:r w:rsidRPr="00813D19">
        <w:rPr>
          <w:i/>
          <w:lang w:val="en-US"/>
        </w:rPr>
        <w:t xml:space="preserve">was </w:t>
      </w:r>
      <w:r w:rsidR="008A0753" w:rsidRPr="00813D19">
        <w:rPr>
          <w:i/>
          <w:lang w:val="en-US"/>
        </w:rPr>
        <w:t>projected</w:t>
      </w:r>
      <w:r w:rsidRPr="00813D19">
        <w:rPr>
          <w:i/>
          <w:lang w:val="en-US"/>
        </w:rPr>
        <w:t>]</w:t>
      </w:r>
    </w:p>
    <w:p w14:paraId="40B0999C" w14:textId="1B1859C7" w:rsidR="001E13D3" w:rsidRPr="00813D19" w:rsidRDefault="001E13D3" w:rsidP="00161372">
      <w:pPr>
        <w:pStyle w:val="Orateurengris"/>
        <w:widowControl w:val="0"/>
        <w:spacing w:before="120"/>
        <w:ind w:left="709" w:hanging="709"/>
        <w:rPr>
          <w:lang w:val="en-US"/>
        </w:rPr>
      </w:pPr>
      <w:r w:rsidRPr="00813D19">
        <w:rPr>
          <w:lang w:val="en-US"/>
        </w:rPr>
        <w:t xml:space="preserve">The </w:t>
      </w:r>
      <w:r w:rsidRPr="00813D19">
        <w:rPr>
          <w:b/>
          <w:lang w:val="en-US"/>
        </w:rPr>
        <w:t>delegation of El Salvador</w:t>
      </w:r>
      <w:r w:rsidR="00B65D03" w:rsidRPr="00813D19">
        <w:rPr>
          <w:b/>
          <w:lang w:val="en-US"/>
        </w:rPr>
        <w:t xml:space="preserve"> </w:t>
      </w:r>
      <w:r w:rsidR="00B65D03" w:rsidRPr="00813D19">
        <w:rPr>
          <w:bCs/>
          <w:lang w:val="en-US"/>
        </w:rPr>
        <w:t>thank</w:t>
      </w:r>
      <w:r w:rsidR="00DE13F4" w:rsidRPr="00813D19">
        <w:rPr>
          <w:bCs/>
          <w:lang w:val="en-US"/>
        </w:rPr>
        <w:t xml:space="preserve">ed the Chairperson and the </w:t>
      </w:r>
      <w:r w:rsidR="00B65D03" w:rsidRPr="00813D19">
        <w:rPr>
          <w:bCs/>
          <w:lang w:val="en-US"/>
        </w:rPr>
        <w:t>Secretary</w:t>
      </w:r>
      <w:r w:rsidR="00DE13F4" w:rsidRPr="00813D19">
        <w:rPr>
          <w:bCs/>
          <w:lang w:val="en-US"/>
        </w:rPr>
        <w:t xml:space="preserve">, and presented its </w:t>
      </w:r>
      <w:r w:rsidR="00B65D03" w:rsidRPr="00813D19">
        <w:rPr>
          <w:bCs/>
          <w:lang w:val="en-US"/>
        </w:rPr>
        <w:t xml:space="preserve">project, </w:t>
      </w:r>
      <w:r w:rsidR="00B65D03" w:rsidRPr="00813D19">
        <w:rPr>
          <w:lang w:val="en-US"/>
        </w:rPr>
        <w:t>Titajtakezakan, speaking across time: oral tradition and use of information and communication technologies</w:t>
      </w:r>
      <w:r w:rsidR="0097421E" w:rsidRPr="00813D19">
        <w:rPr>
          <w:lang w:val="en-US"/>
        </w:rPr>
        <w:t>,</w:t>
      </w:r>
      <w:r w:rsidR="00DE13F4" w:rsidRPr="00813D19">
        <w:rPr>
          <w:rStyle w:val="FootnoteReference"/>
          <w:lang w:val="en-US"/>
        </w:rPr>
        <w:footnoteReference w:id="13"/>
      </w:r>
      <w:r w:rsidR="00B65D03" w:rsidRPr="00813D19">
        <w:rPr>
          <w:lang w:val="en-US"/>
        </w:rPr>
        <w:t xml:space="preserve"> which </w:t>
      </w:r>
      <w:r w:rsidR="00955EBD">
        <w:rPr>
          <w:lang w:val="en-US"/>
        </w:rPr>
        <w:t>had been</w:t>
      </w:r>
      <w:r w:rsidR="00955EBD" w:rsidRPr="00813D19">
        <w:rPr>
          <w:lang w:val="en-US"/>
        </w:rPr>
        <w:t xml:space="preserve"> </w:t>
      </w:r>
      <w:r w:rsidR="00B65D03" w:rsidRPr="00813D19">
        <w:rPr>
          <w:lang w:val="en-US"/>
        </w:rPr>
        <w:t xml:space="preserve">developed by </w:t>
      </w:r>
      <w:r w:rsidR="00AF17C7" w:rsidRPr="00813D19">
        <w:rPr>
          <w:lang w:val="en-US"/>
        </w:rPr>
        <w:t>ICH</w:t>
      </w:r>
      <w:r w:rsidR="00B65D03" w:rsidRPr="00813D19">
        <w:rPr>
          <w:lang w:val="en-US"/>
        </w:rPr>
        <w:t xml:space="preserve"> staff under the auspices of UNESCO </w:t>
      </w:r>
      <w:r w:rsidR="0097421E" w:rsidRPr="00813D19">
        <w:rPr>
          <w:lang w:val="en-US"/>
        </w:rPr>
        <w:t xml:space="preserve">and </w:t>
      </w:r>
      <w:r w:rsidR="00955EBD">
        <w:rPr>
          <w:lang w:val="en-US"/>
        </w:rPr>
        <w:t xml:space="preserve">which </w:t>
      </w:r>
      <w:r w:rsidR="00B65D03" w:rsidRPr="00813D19">
        <w:rPr>
          <w:lang w:val="en-US"/>
        </w:rPr>
        <w:t xml:space="preserve">offered training to young people to carry out </w:t>
      </w:r>
      <w:r w:rsidR="0097421E" w:rsidRPr="00813D19">
        <w:rPr>
          <w:lang w:val="en-US"/>
        </w:rPr>
        <w:t>field</w:t>
      </w:r>
      <w:r w:rsidR="00B65D03" w:rsidRPr="00813D19">
        <w:rPr>
          <w:lang w:val="en-US"/>
        </w:rPr>
        <w:t xml:space="preserve">work in identifying </w:t>
      </w:r>
      <w:r w:rsidR="00C838A1" w:rsidRPr="00813D19">
        <w:rPr>
          <w:lang w:val="en-US"/>
        </w:rPr>
        <w:t>and docu</w:t>
      </w:r>
      <w:r w:rsidR="0097421E" w:rsidRPr="00813D19">
        <w:rPr>
          <w:lang w:val="en-US"/>
        </w:rPr>
        <w:t xml:space="preserve">menting </w:t>
      </w:r>
      <w:r w:rsidR="00B65D03" w:rsidRPr="00813D19">
        <w:rPr>
          <w:lang w:val="en-US"/>
        </w:rPr>
        <w:t>oral tradition</w:t>
      </w:r>
      <w:r w:rsidR="0097421E" w:rsidRPr="00813D19">
        <w:rPr>
          <w:lang w:val="en-US"/>
        </w:rPr>
        <w:t>s</w:t>
      </w:r>
      <w:r w:rsidR="00B65D03" w:rsidRPr="00813D19">
        <w:rPr>
          <w:lang w:val="en-US"/>
        </w:rPr>
        <w:t xml:space="preserve">. They were also taught </w:t>
      </w:r>
      <w:r w:rsidR="00955EBD">
        <w:rPr>
          <w:lang w:val="en-US"/>
        </w:rPr>
        <w:t>to</w:t>
      </w:r>
      <w:r w:rsidR="00955EBD" w:rsidRPr="00813D19">
        <w:rPr>
          <w:lang w:val="en-US"/>
        </w:rPr>
        <w:t xml:space="preserve"> </w:t>
      </w:r>
      <w:r w:rsidR="00B65D03" w:rsidRPr="00813D19">
        <w:rPr>
          <w:lang w:val="en-US"/>
        </w:rPr>
        <w:t>use ICT</w:t>
      </w:r>
      <w:r w:rsidR="00AF17C7" w:rsidRPr="00813D19">
        <w:rPr>
          <w:lang w:val="en-US"/>
        </w:rPr>
        <w:t>s in</w:t>
      </w:r>
      <w:r w:rsidR="00B65D03" w:rsidRPr="00813D19">
        <w:rPr>
          <w:lang w:val="en-US"/>
        </w:rPr>
        <w:t xml:space="preserve"> updating products</w:t>
      </w:r>
      <w:r w:rsidR="00AF17C7" w:rsidRPr="00813D19">
        <w:rPr>
          <w:lang w:val="en-US"/>
        </w:rPr>
        <w:t>,</w:t>
      </w:r>
      <w:r w:rsidR="00B65D03" w:rsidRPr="00813D19">
        <w:rPr>
          <w:lang w:val="en-US"/>
        </w:rPr>
        <w:t xml:space="preserve"> such as videos</w:t>
      </w:r>
      <w:r w:rsidR="00AF17C7" w:rsidRPr="00813D19">
        <w:rPr>
          <w:lang w:val="en-US"/>
        </w:rPr>
        <w:t>,</w:t>
      </w:r>
      <w:r w:rsidR="00B65D03" w:rsidRPr="00813D19">
        <w:rPr>
          <w:lang w:val="en-US"/>
        </w:rPr>
        <w:t xml:space="preserve"> and the use</w:t>
      </w:r>
      <w:r w:rsidR="00C838A1" w:rsidRPr="00813D19">
        <w:rPr>
          <w:lang w:val="en-US"/>
        </w:rPr>
        <w:t xml:space="preserve"> of web tools for promoting the</w:t>
      </w:r>
      <w:r w:rsidR="00B65D03" w:rsidRPr="00813D19">
        <w:rPr>
          <w:lang w:val="en-US"/>
        </w:rPr>
        <w:t xml:space="preserve"> project. Thanks to this project</w:t>
      </w:r>
      <w:r w:rsidR="00AF17C7" w:rsidRPr="00813D19">
        <w:rPr>
          <w:lang w:val="en-US"/>
        </w:rPr>
        <w:t>,</w:t>
      </w:r>
      <w:r w:rsidR="00B65D03" w:rsidRPr="00813D19">
        <w:rPr>
          <w:lang w:val="en-US"/>
        </w:rPr>
        <w:t xml:space="preserve"> young people had access to knowledge, history, legends, stories and myths </w:t>
      </w:r>
      <w:r w:rsidR="00AF17C7" w:rsidRPr="00813D19">
        <w:rPr>
          <w:lang w:val="en-US"/>
        </w:rPr>
        <w:t xml:space="preserve">that had been transmitted from generation to generation </w:t>
      </w:r>
      <w:r w:rsidR="00B65D03" w:rsidRPr="00813D19">
        <w:rPr>
          <w:lang w:val="en-US"/>
        </w:rPr>
        <w:t>via interviews that were carried out by elders</w:t>
      </w:r>
      <w:r w:rsidR="00AF17C7" w:rsidRPr="00813D19">
        <w:rPr>
          <w:lang w:val="en-US"/>
        </w:rPr>
        <w:t>,</w:t>
      </w:r>
      <w:r w:rsidR="00B65D03" w:rsidRPr="00813D19">
        <w:rPr>
          <w:lang w:val="en-US"/>
        </w:rPr>
        <w:t xml:space="preserve"> the bearers of this knowledge in these communities. They also obtained skills that</w:t>
      </w:r>
      <w:r w:rsidR="00955EBD">
        <w:rPr>
          <w:lang w:val="en-US"/>
        </w:rPr>
        <w:t xml:space="preserve"> would</w:t>
      </w:r>
      <w:r w:rsidR="00B65D03" w:rsidRPr="00813D19">
        <w:rPr>
          <w:lang w:val="en-US"/>
        </w:rPr>
        <w:t xml:space="preserve"> help them in their academic careers</w:t>
      </w:r>
      <w:r w:rsidR="00C838A1" w:rsidRPr="00813D19">
        <w:rPr>
          <w:lang w:val="en-US"/>
        </w:rPr>
        <w:t>,</w:t>
      </w:r>
      <w:r w:rsidR="00B65D03" w:rsidRPr="00813D19">
        <w:rPr>
          <w:lang w:val="en-US"/>
        </w:rPr>
        <w:t xml:space="preserve"> and </w:t>
      </w:r>
      <w:r w:rsidR="00AF17C7" w:rsidRPr="00813D19">
        <w:rPr>
          <w:lang w:val="en-US"/>
        </w:rPr>
        <w:t xml:space="preserve">they </w:t>
      </w:r>
      <w:r w:rsidR="00B65D03" w:rsidRPr="00813D19">
        <w:rPr>
          <w:lang w:val="en-US"/>
        </w:rPr>
        <w:t xml:space="preserve">learned </w:t>
      </w:r>
      <w:r w:rsidR="00AF17C7" w:rsidRPr="00813D19">
        <w:rPr>
          <w:lang w:val="en-US"/>
        </w:rPr>
        <w:t xml:space="preserve">of </w:t>
      </w:r>
      <w:r w:rsidR="00B65D03" w:rsidRPr="00813D19">
        <w:rPr>
          <w:lang w:val="en-US"/>
        </w:rPr>
        <w:t xml:space="preserve">their culture and community </w:t>
      </w:r>
      <w:r w:rsidR="00AF17C7" w:rsidRPr="00813D19">
        <w:rPr>
          <w:lang w:val="en-US"/>
        </w:rPr>
        <w:t xml:space="preserve">with a view to </w:t>
      </w:r>
      <w:r w:rsidR="00B65D03" w:rsidRPr="00813D19">
        <w:rPr>
          <w:lang w:val="en-US"/>
        </w:rPr>
        <w:t>assess</w:t>
      </w:r>
      <w:r w:rsidR="00AF17C7" w:rsidRPr="00813D19">
        <w:rPr>
          <w:lang w:val="en-US"/>
        </w:rPr>
        <w:t>ing</w:t>
      </w:r>
      <w:r w:rsidR="00B65D03" w:rsidRPr="00813D19">
        <w:rPr>
          <w:lang w:val="en-US"/>
        </w:rPr>
        <w:t xml:space="preserve"> </w:t>
      </w:r>
      <w:r w:rsidR="00AF17C7" w:rsidRPr="00813D19">
        <w:rPr>
          <w:lang w:val="en-US"/>
        </w:rPr>
        <w:t xml:space="preserve">their </w:t>
      </w:r>
      <w:r w:rsidR="00B65D03" w:rsidRPr="00813D19">
        <w:rPr>
          <w:lang w:val="en-US"/>
        </w:rPr>
        <w:t xml:space="preserve">culture and </w:t>
      </w:r>
      <w:r w:rsidR="00AF17C7" w:rsidRPr="00813D19">
        <w:rPr>
          <w:lang w:val="en-US"/>
        </w:rPr>
        <w:t xml:space="preserve">how it </w:t>
      </w:r>
      <w:r w:rsidR="00955EBD" w:rsidRPr="00813D19">
        <w:rPr>
          <w:lang w:val="en-US"/>
        </w:rPr>
        <w:t>c</w:t>
      </w:r>
      <w:r w:rsidR="00955EBD">
        <w:rPr>
          <w:lang w:val="en-US"/>
        </w:rPr>
        <w:t>ould</w:t>
      </w:r>
      <w:r w:rsidR="00955EBD" w:rsidRPr="00813D19">
        <w:rPr>
          <w:lang w:val="en-US"/>
        </w:rPr>
        <w:t xml:space="preserve"> </w:t>
      </w:r>
      <w:r w:rsidR="00B65D03" w:rsidRPr="00813D19">
        <w:rPr>
          <w:lang w:val="en-US"/>
        </w:rPr>
        <w:t>contribute to its safeguarding</w:t>
      </w:r>
      <w:r w:rsidR="00AF17C7" w:rsidRPr="00813D19">
        <w:rPr>
          <w:lang w:val="en-US"/>
        </w:rPr>
        <w:t>.</w:t>
      </w:r>
      <w:r w:rsidR="00B65D03" w:rsidRPr="00813D19">
        <w:rPr>
          <w:lang w:val="en-US"/>
        </w:rPr>
        <w:t xml:space="preserve"> </w:t>
      </w:r>
      <w:r w:rsidR="00AF17C7" w:rsidRPr="00813D19">
        <w:rPr>
          <w:lang w:val="en-US"/>
        </w:rPr>
        <w:t xml:space="preserve">A short video of the </w:t>
      </w:r>
      <w:r w:rsidR="00B65D03" w:rsidRPr="00813D19">
        <w:rPr>
          <w:lang w:val="en-US"/>
        </w:rPr>
        <w:t xml:space="preserve">work </w:t>
      </w:r>
      <w:r w:rsidR="00AF17C7" w:rsidRPr="00813D19">
        <w:rPr>
          <w:lang w:val="en-US"/>
        </w:rPr>
        <w:t xml:space="preserve">carried out </w:t>
      </w:r>
      <w:r w:rsidR="00C838A1" w:rsidRPr="00813D19">
        <w:rPr>
          <w:lang w:val="en-US"/>
        </w:rPr>
        <w:t>in</w:t>
      </w:r>
      <w:r w:rsidR="00AF17C7" w:rsidRPr="00813D19">
        <w:rPr>
          <w:lang w:val="en-US"/>
        </w:rPr>
        <w:t xml:space="preserve"> the project</w:t>
      </w:r>
      <w:r w:rsidR="00955EBD" w:rsidRPr="00955EBD">
        <w:rPr>
          <w:lang w:val="en-US"/>
        </w:rPr>
        <w:t xml:space="preserve"> </w:t>
      </w:r>
      <w:r w:rsidR="00955EBD" w:rsidRPr="00813D19">
        <w:rPr>
          <w:lang w:val="en-US"/>
        </w:rPr>
        <w:t>was projected</w:t>
      </w:r>
      <w:r w:rsidR="00AF17C7" w:rsidRPr="00813D19">
        <w:rPr>
          <w:lang w:val="en-US"/>
        </w:rPr>
        <w:t>.</w:t>
      </w:r>
    </w:p>
    <w:p w14:paraId="3FC64B45" w14:textId="198A5979" w:rsidR="001E13D3" w:rsidRPr="00813D19" w:rsidRDefault="001E13D3" w:rsidP="00087166">
      <w:pPr>
        <w:pStyle w:val="Orateurengris"/>
        <w:widowControl w:val="0"/>
        <w:numPr>
          <w:ilvl w:val="0"/>
          <w:numId w:val="0"/>
        </w:numPr>
        <w:spacing w:before="240" w:after="240"/>
        <w:jc w:val="center"/>
        <w:rPr>
          <w:i/>
          <w:lang w:val="en-US"/>
        </w:rPr>
      </w:pPr>
      <w:r w:rsidRPr="00813D19">
        <w:rPr>
          <w:i/>
          <w:lang w:val="en-US"/>
        </w:rPr>
        <w:t xml:space="preserve">[A </w:t>
      </w:r>
      <w:r w:rsidR="005276BD" w:rsidRPr="00813D19">
        <w:rPr>
          <w:i/>
          <w:lang w:val="en-US"/>
        </w:rPr>
        <w:t xml:space="preserve">short </w:t>
      </w:r>
      <w:r w:rsidRPr="00813D19">
        <w:rPr>
          <w:i/>
          <w:lang w:val="en-US"/>
        </w:rPr>
        <w:t xml:space="preserve">film of the </w:t>
      </w:r>
      <w:r w:rsidR="005276BD" w:rsidRPr="00813D19">
        <w:rPr>
          <w:i/>
          <w:lang w:val="en-US"/>
        </w:rPr>
        <w:t>project</w:t>
      </w:r>
      <w:r w:rsidRPr="00813D19">
        <w:rPr>
          <w:i/>
          <w:lang w:val="en-US"/>
        </w:rPr>
        <w:t xml:space="preserve"> was </w:t>
      </w:r>
      <w:r w:rsidR="008A0753" w:rsidRPr="00813D19">
        <w:rPr>
          <w:i/>
          <w:lang w:val="en-US"/>
        </w:rPr>
        <w:t>projected</w:t>
      </w:r>
      <w:r w:rsidRPr="00813D19">
        <w:rPr>
          <w:i/>
          <w:lang w:val="en-US"/>
        </w:rPr>
        <w:t>]</w:t>
      </w:r>
    </w:p>
    <w:p w14:paraId="1064685A" w14:textId="1038EC28" w:rsidR="00CD6528" w:rsidRPr="00813D19" w:rsidRDefault="00CD6528" w:rsidP="00CD6528">
      <w:pPr>
        <w:pStyle w:val="Orateurengris"/>
        <w:widowControl w:val="0"/>
        <w:spacing w:before="120"/>
        <w:ind w:left="709" w:hanging="709"/>
        <w:rPr>
          <w:lang w:val="en-US"/>
        </w:rPr>
      </w:pPr>
      <w:r w:rsidRPr="00813D19">
        <w:rPr>
          <w:lang w:val="en-US"/>
        </w:rPr>
        <w:t xml:space="preserve">The </w:t>
      </w:r>
      <w:r w:rsidRPr="00813D19">
        <w:rPr>
          <w:b/>
          <w:lang w:val="en-US"/>
        </w:rPr>
        <w:t>delegation of Kenya</w:t>
      </w:r>
      <w:r w:rsidR="00B65D03" w:rsidRPr="00813D19">
        <w:rPr>
          <w:b/>
          <w:lang w:val="en-US"/>
        </w:rPr>
        <w:t xml:space="preserve"> </w:t>
      </w:r>
      <w:r w:rsidR="00B65D03" w:rsidRPr="00813D19">
        <w:rPr>
          <w:bCs/>
          <w:lang w:val="en-US"/>
        </w:rPr>
        <w:t>congratulate</w:t>
      </w:r>
      <w:r w:rsidR="005276BD" w:rsidRPr="00813D19">
        <w:rPr>
          <w:bCs/>
          <w:lang w:val="en-US"/>
        </w:rPr>
        <w:t>d</w:t>
      </w:r>
      <w:r w:rsidR="00B65D03" w:rsidRPr="00813D19">
        <w:rPr>
          <w:bCs/>
          <w:lang w:val="en-US"/>
        </w:rPr>
        <w:t xml:space="preserve"> </w:t>
      </w:r>
      <w:r w:rsidR="005276BD" w:rsidRPr="00813D19">
        <w:rPr>
          <w:bCs/>
          <w:lang w:val="en-US"/>
        </w:rPr>
        <w:t xml:space="preserve">the Chairperson </w:t>
      </w:r>
      <w:r w:rsidR="00B65D03" w:rsidRPr="00813D19">
        <w:rPr>
          <w:bCs/>
          <w:lang w:val="en-US"/>
        </w:rPr>
        <w:t xml:space="preserve">on </w:t>
      </w:r>
      <w:r w:rsidR="005276BD" w:rsidRPr="00813D19">
        <w:rPr>
          <w:bCs/>
          <w:lang w:val="en-US"/>
        </w:rPr>
        <w:t xml:space="preserve">his </w:t>
      </w:r>
      <w:r w:rsidR="00B65D03" w:rsidRPr="00813D19">
        <w:rPr>
          <w:bCs/>
          <w:lang w:val="en-US"/>
        </w:rPr>
        <w:t xml:space="preserve">election </w:t>
      </w:r>
      <w:r w:rsidR="005276BD" w:rsidRPr="00813D19">
        <w:rPr>
          <w:bCs/>
          <w:lang w:val="en-US"/>
        </w:rPr>
        <w:t xml:space="preserve">and expressed </w:t>
      </w:r>
      <w:r w:rsidR="007A7DBC">
        <w:rPr>
          <w:bCs/>
          <w:lang w:val="en-US"/>
        </w:rPr>
        <w:t xml:space="preserve">its </w:t>
      </w:r>
      <w:r w:rsidR="00B65D03" w:rsidRPr="00813D19">
        <w:rPr>
          <w:bCs/>
          <w:lang w:val="en-US"/>
        </w:rPr>
        <w:t>gratitude to the Government and people of Mauritius for their hospitality. The project</w:t>
      </w:r>
      <w:r w:rsidR="005276BD" w:rsidRPr="00813D19">
        <w:rPr>
          <w:bCs/>
          <w:lang w:val="en-US"/>
        </w:rPr>
        <w:t>,</w:t>
      </w:r>
      <w:r w:rsidR="00B65D03" w:rsidRPr="00813D19">
        <w:rPr>
          <w:bCs/>
          <w:lang w:val="en-US"/>
        </w:rPr>
        <w:t xml:space="preserve"> </w:t>
      </w:r>
      <w:r w:rsidR="005276BD" w:rsidRPr="00813D19">
        <w:rPr>
          <w:bCs/>
          <w:lang w:val="en-US"/>
        </w:rPr>
        <w:t>Promotion of traditional pottery</w:t>
      </w:r>
      <w:r w:rsidR="00A84307">
        <w:rPr>
          <w:bCs/>
          <w:lang w:val="en-US"/>
        </w:rPr>
        <w:t>-</w:t>
      </w:r>
      <w:r w:rsidR="005276BD" w:rsidRPr="00813D19">
        <w:rPr>
          <w:bCs/>
          <w:lang w:val="en-US"/>
        </w:rPr>
        <w:t>making practices in Easter</w:t>
      </w:r>
      <w:r w:rsidR="0011284F" w:rsidRPr="00813D19">
        <w:rPr>
          <w:bCs/>
          <w:lang w:val="en-US"/>
        </w:rPr>
        <w:t>n</w:t>
      </w:r>
      <w:r w:rsidR="005276BD" w:rsidRPr="00813D19">
        <w:rPr>
          <w:bCs/>
          <w:lang w:val="en-US"/>
        </w:rPr>
        <w:t xml:space="preserve"> Kenya</w:t>
      </w:r>
      <w:r w:rsidR="0011284F" w:rsidRPr="00813D19">
        <w:rPr>
          <w:bCs/>
          <w:lang w:val="en-US"/>
        </w:rPr>
        <w:t>,</w:t>
      </w:r>
      <w:r w:rsidR="005276BD" w:rsidRPr="00813D19">
        <w:rPr>
          <w:rStyle w:val="FootnoteReference"/>
          <w:bCs/>
          <w:lang w:val="en-US"/>
        </w:rPr>
        <w:footnoteReference w:id="14"/>
      </w:r>
      <w:r w:rsidR="005276BD" w:rsidRPr="00813D19">
        <w:rPr>
          <w:bCs/>
          <w:lang w:val="en-US"/>
        </w:rPr>
        <w:t xml:space="preserve"> </w:t>
      </w:r>
      <w:r w:rsidR="00B65D03" w:rsidRPr="00813D19">
        <w:rPr>
          <w:bCs/>
          <w:lang w:val="en-US"/>
        </w:rPr>
        <w:t xml:space="preserve">was granted </w:t>
      </w:r>
      <w:r w:rsidR="0011284F" w:rsidRPr="00813D19">
        <w:rPr>
          <w:bCs/>
          <w:lang w:val="en-US"/>
        </w:rPr>
        <w:t xml:space="preserve">International Assistance </w:t>
      </w:r>
      <w:r w:rsidR="00B65D03" w:rsidRPr="00813D19">
        <w:rPr>
          <w:bCs/>
          <w:lang w:val="en-US"/>
        </w:rPr>
        <w:t xml:space="preserve">in 2016 and completed by December 2017. The aim of the project was to help </w:t>
      </w:r>
      <w:r w:rsidR="0011284F" w:rsidRPr="00813D19">
        <w:rPr>
          <w:bCs/>
          <w:lang w:val="en-US"/>
        </w:rPr>
        <w:t>conserve</w:t>
      </w:r>
      <w:r w:rsidR="00B65D03" w:rsidRPr="00813D19">
        <w:rPr>
          <w:bCs/>
          <w:lang w:val="en-US"/>
        </w:rPr>
        <w:t xml:space="preserve"> the te</w:t>
      </w:r>
      <w:r w:rsidR="00C838A1" w:rsidRPr="00813D19">
        <w:rPr>
          <w:bCs/>
          <w:lang w:val="en-US"/>
        </w:rPr>
        <w:t>chnology of pottery-</w:t>
      </w:r>
      <w:r w:rsidR="00B65D03" w:rsidRPr="00813D19">
        <w:rPr>
          <w:bCs/>
          <w:lang w:val="en-US"/>
        </w:rPr>
        <w:t xml:space="preserve">making practices, a cultural tradition that was </w:t>
      </w:r>
      <w:r w:rsidR="0011284F" w:rsidRPr="00813D19">
        <w:rPr>
          <w:bCs/>
          <w:lang w:val="en-US"/>
        </w:rPr>
        <w:t xml:space="preserve">close </w:t>
      </w:r>
      <w:r w:rsidR="00B65D03" w:rsidRPr="00813D19">
        <w:rPr>
          <w:bCs/>
          <w:lang w:val="en-US"/>
        </w:rPr>
        <w:t>to extinction due t</w:t>
      </w:r>
      <w:r w:rsidR="0011284F" w:rsidRPr="00813D19">
        <w:rPr>
          <w:bCs/>
          <w:lang w:val="en-US"/>
        </w:rPr>
        <w:t xml:space="preserve">o the introduction of plastics and </w:t>
      </w:r>
      <w:r w:rsidR="00B65D03" w:rsidRPr="00813D19">
        <w:rPr>
          <w:bCs/>
          <w:lang w:val="en-US"/>
        </w:rPr>
        <w:t>metals</w:t>
      </w:r>
      <w:r w:rsidR="0011284F" w:rsidRPr="00813D19">
        <w:rPr>
          <w:bCs/>
          <w:lang w:val="en-US"/>
        </w:rPr>
        <w:t>,</w:t>
      </w:r>
      <w:r w:rsidR="00B65D03" w:rsidRPr="00813D19">
        <w:rPr>
          <w:bCs/>
          <w:lang w:val="en-US"/>
        </w:rPr>
        <w:t xml:space="preserve"> and formal education in three locations around the Mount Kenya region, namely </w:t>
      </w:r>
      <w:r w:rsidR="0011284F" w:rsidRPr="00813D19">
        <w:rPr>
          <w:bCs/>
          <w:lang w:val="en-US"/>
        </w:rPr>
        <w:t xml:space="preserve">in </w:t>
      </w:r>
      <w:r w:rsidR="00B65D03" w:rsidRPr="00813D19">
        <w:rPr>
          <w:lang w:val="en-US"/>
        </w:rPr>
        <w:t xml:space="preserve">Mbeere, Tigania and Tharaka. The project </w:t>
      </w:r>
      <w:r w:rsidR="0011284F" w:rsidRPr="00813D19">
        <w:rPr>
          <w:lang w:val="en-US"/>
        </w:rPr>
        <w:t>a</w:t>
      </w:r>
      <w:r w:rsidR="00C838A1" w:rsidRPr="00813D19">
        <w:rPr>
          <w:lang w:val="en-US"/>
        </w:rPr>
        <w:t>chieved the following outcomes: i) r</w:t>
      </w:r>
      <w:r w:rsidR="00B65D03" w:rsidRPr="00813D19">
        <w:rPr>
          <w:lang w:val="en-US"/>
        </w:rPr>
        <w:t>esear</w:t>
      </w:r>
      <w:r w:rsidR="0011284F" w:rsidRPr="00813D19">
        <w:rPr>
          <w:lang w:val="en-US"/>
        </w:rPr>
        <w:t>ch on pottery-</w:t>
      </w:r>
      <w:r w:rsidR="00B65D03" w:rsidRPr="00813D19">
        <w:rPr>
          <w:lang w:val="en-US"/>
        </w:rPr>
        <w:t xml:space="preserve">making was conducted in all </w:t>
      </w:r>
      <w:r w:rsidR="0011284F" w:rsidRPr="00813D19">
        <w:rPr>
          <w:lang w:val="en-US"/>
        </w:rPr>
        <w:t xml:space="preserve">three areas and </w:t>
      </w:r>
      <w:r w:rsidR="00B65D03" w:rsidRPr="00813D19">
        <w:rPr>
          <w:lang w:val="en-US"/>
        </w:rPr>
        <w:t>recorded on both video and print, which resulted in a DVD p</w:t>
      </w:r>
      <w:r w:rsidR="00C838A1" w:rsidRPr="00813D19">
        <w:rPr>
          <w:lang w:val="en-US"/>
        </w:rPr>
        <w:t>roduction and printed booklets; and ii) f</w:t>
      </w:r>
      <w:r w:rsidR="00B65D03" w:rsidRPr="00813D19">
        <w:rPr>
          <w:lang w:val="en-US"/>
        </w:rPr>
        <w:t xml:space="preserve">ive groups </w:t>
      </w:r>
      <w:r w:rsidR="00E47AC2">
        <w:rPr>
          <w:lang w:val="en-US"/>
        </w:rPr>
        <w:t xml:space="preserve">were </w:t>
      </w:r>
      <w:r w:rsidR="00B65D03" w:rsidRPr="00813D19">
        <w:rPr>
          <w:lang w:val="en-US"/>
        </w:rPr>
        <w:t>started to enhance pottery-making practices, five kilns were established, and five pott</w:t>
      </w:r>
      <w:r w:rsidR="0011284F" w:rsidRPr="00813D19">
        <w:rPr>
          <w:lang w:val="en-US"/>
        </w:rPr>
        <w:t>ers were taken to a factory-</w:t>
      </w:r>
      <w:r w:rsidR="00B65D03" w:rsidRPr="00813D19">
        <w:rPr>
          <w:lang w:val="en-US"/>
        </w:rPr>
        <w:t>making area w</w:t>
      </w:r>
      <w:r w:rsidR="00C838A1" w:rsidRPr="00813D19">
        <w:rPr>
          <w:lang w:val="en-US"/>
        </w:rPr>
        <w:t>ithin the outskirts of Nairobi where t</w:t>
      </w:r>
      <w:r w:rsidR="00B65D03" w:rsidRPr="00813D19">
        <w:rPr>
          <w:lang w:val="en-US"/>
        </w:rPr>
        <w:t>hey were each trained for seven days</w:t>
      </w:r>
      <w:r w:rsidR="0011284F" w:rsidRPr="00813D19">
        <w:rPr>
          <w:lang w:val="en-US"/>
        </w:rPr>
        <w:t>,</w:t>
      </w:r>
      <w:r w:rsidR="00B65D03" w:rsidRPr="00813D19">
        <w:rPr>
          <w:lang w:val="en-US"/>
        </w:rPr>
        <w:t xml:space="preserve"> after which they came back to teach members of their group. This activity was carried out in three schools </w:t>
      </w:r>
      <w:r w:rsidR="0011284F" w:rsidRPr="00813D19">
        <w:rPr>
          <w:lang w:val="en-US"/>
        </w:rPr>
        <w:t xml:space="preserve">in </w:t>
      </w:r>
      <w:r w:rsidR="00B65D03" w:rsidRPr="00813D19">
        <w:rPr>
          <w:lang w:val="en-US"/>
        </w:rPr>
        <w:t xml:space="preserve">the three locations, </w:t>
      </w:r>
      <w:r w:rsidR="0011284F" w:rsidRPr="00813D19">
        <w:rPr>
          <w:lang w:val="en-US"/>
        </w:rPr>
        <w:t xml:space="preserve">and </w:t>
      </w:r>
      <w:r w:rsidR="00B65D03" w:rsidRPr="00813D19">
        <w:rPr>
          <w:lang w:val="en-US"/>
        </w:rPr>
        <w:t>a total of 350 children were trained. A total of 67 adults and children were trained during a village workshop. In terms of education</w:t>
      </w:r>
      <w:r w:rsidR="0011284F" w:rsidRPr="00813D19">
        <w:rPr>
          <w:lang w:val="en-US"/>
        </w:rPr>
        <w:t>,</w:t>
      </w:r>
      <w:r w:rsidR="00B65D03" w:rsidRPr="00813D19">
        <w:rPr>
          <w:lang w:val="en-US"/>
        </w:rPr>
        <w:t xml:space="preserve"> 2</w:t>
      </w:r>
      <w:r w:rsidR="0011284F" w:rsidRPr="00813D19">
        <w:rPr>
          <w:lang w:val="en-US"/>
        </w:rPr>
        <w:t xml:space="preserve">00 booklets and DVDs on pottery-making were produced and </w:t>
      </w:r>
      <w:r w:rsidR="00B65D03" w:rsidRPr="00813D19">
        <w:rPr>
          <w:lang w:val="en-US"/>
        </w:rPr>
        <w:t xml:space="preserve">a short documentary was </w:t>
      </w:r>
      <w:r w:rsidR="0011284F" w:rsidRPr="00813D19">
        <w:rPr>
          <w:lang w:val="en-US"/>
        </w:rPr>
        <w:t xml:space="preserve">made, which was duly </w:t>
      </w:r>
      <w:r w:rsidR="00C838A1" w:rsidRPr="00813D19">
        <w:rPr>
          <w:lang w:val="en-US"/>
        </w:rPr>
        <w:t>projected</w:t>
      </w:r>
      <w:r w:rsidR="00087166">
        <w:rPr>
          <w:lang w:val="en-US"/>
        </w:rPr>
        <w:t>.</w:t>
      </w:r>
    </w:p>
    <w:p w14:paraId="2261882F" w14:textId="30BFA5E4" w:rsidR="00A4524F" w:rsidRPr="00813D19" w:rsidRDefault="00273F32" w:rsidP="00087166">
      <w:pPr>
        <w:pStyle w:val="Orateurengris"/>
        <w:numPr>
          <w:ilvl w:val="0"/>
          <w:numId w:val="0"/>
        </w:numPr>
        <w:spacing w:before="240" w:after="240"/>
        <w:ind w:left="567" w:hanging="567"/>
        <w:jc w:val="center"/>
        <w:rPr>
          <w:i/>
          <w:lang w:val="en-US"/>
        </w:rPr>
      </w:pPr>
      <w:r w:rsidRPr="00813D19">
        <w:rPr>
          <w:i/>
          <w:lang w:val="en-US"/>
        </w:rPr>
        <w:t xml:space="preserve">[A </w:t>
      </w:r>
      <w:r w:rsidR="0036419F" w:rsidRPr="00813D19">
        <w:rPr>
          <w:i/>
          <w:lang w:val="en-US"/>
        </w:rPr>
        <w:t xml:space="preserve">short </w:t>
      </w:r>
      <w:r w:rsidRPr="00813D19">
        <w:rPr>
          <w:i/>
          <w:lang w:val="en-US"/>
        </w:rPr>
        <w:t>film of the p</w:t>
      </w:r>
      <w:r w:rsidR="00A4524F" w:rsidRPr="00813D19">
        <w:rPr>
          <w:i/>
          <w:lang w:val="en-US"/>
        </w:rPr>
        <w:t xml:space="preserve">otters </w:t>
      </w:r>
      <w:r w:rsidR="0011284F" w:rsidRPr="00813D19">
        <w:rPr>
          <w:i/>
          <w:lang w:val="en-US"/>
        </w:rPr>
        <w:t xml:space="preserve">of Eastern Kenya </w:t>
      </w:r>
      <w:r w:rsidR="00A4524F" w:rsidRPr="00813D19">
        <w:rPr>
          <w:i/>
          <w:lang w:val="en-US"/>
        </w:rPr>
        <w:t xml:space="preserve">was </w:t>
      </w:r>
      <w:r w:rsidR="008A0753" w:rsidRPr="00813D19">
        <w:rPr>
          <w:i/>
          <w:lang w:val="en-US"/>
        </w:rPr>
        <w:t>projected</w:t>
      </w:r>
      <w:r w:rsidR="00A4524F" w:rsidRPr="00813D19">
        <w:rPr>
          <w:i/>
          <w:lang w:val="en-US"/>
        </w:rPr>
        <w:t>]</w:t>
      </w:r>
    </w:p>
    <w:p w14:paraId="3F3456E3" w14:textId="308F7D85" w:rsidR="008E577F" w:rsidRPr="00813D19" w:rsidRDefault="008E577F" w:rsidP="00BF332C">
      <w:pPr>
        <w:pStyle w:val="Orateurengris"/>
        <w:widowControl w:val="0"/>
        <w:spacing w:before="120"/>
        <w:ind w:left="709" w:hanging="709"/>
        <w:rPr>
          <w:lang w:val="en-US"/>
        </w:rPr>
      </w:pPr>
      <w:r w:rsidRPr="00813D19">
        <w:rPr>
          <w:lang w:val="en-US"/>
        </w:rPr>
        <w:t xml:space="preserve">The </w:t>
      </w:r>
      <w:r w:rsidRPr="00813D19">
        <w:rPr>
          <w:b/>
          <w:lang w:val="en-US"/>
        </w:rPr>
        <w:t>delegation of Lesotho</w:t>
      </w:r>
      <w:r w:rsidR="00B65D03" w:rsidRPr="00813D19">
        <w:rPr>
          <w:b/>
          <w:lang w:val="en-US"/>
        </w:rPr>
        <w:t xml:space="preserve"> </w:t>
      </w:r>
      <w:r w:rsidR="00B65D03" w:rsidRPr="00813D19">
        <w:rPr>
          <w:bCs/>
          <w:lang w:val="en-US"/>
        </w:rPr>
        <w:t>congratulate</w:t>
      </w:r>
      <w:r w:rsidR="0011284F" w:rsidRPr="00813D19">
        <w:rPr>
          <w:bCs/>
          <w:lang w:val="en-US"/>
        </w:rPr>
        <w:t>d</w:t>
      </w:r>
      <w:r w:rsidR="00B65D03" w:rsidRPr="00813D19">
        <w:rPr>
          <w:bCs/>
          <w:lang w:val="en-US"/>
        </w:rPr>
        <w:t xml:space="preserve"> Mauritius for hosting this important event and for </w:t>
      </w:r>
      <w:r w:rsidR="00E16CFE" w:rsidRPr="00813D19">
        <w:rPr>
          <w:bCs/>
          <w:lang w:val="en-US"/>
        </w:rPr>
        <w:t>its</w:t>
      </w:r>
      <w:r w:rsidR="0011284F" w:rsidRPr="00813D19">
        <w:rPr>
          <w:bCs/>
          <w:lang w:val="en-US"/>
        </w:rPr>
        <w:t xml:space="preserve"> </w:t>
      </w:r>
      <w:r w:rsidR="00B65D03" w:rsidRPr="00813D19">
        <w:rPr>
          <w:bCs/>
          <w:lang w:val="en-US"/>
        </w:rPr>
        <w:t xml:space="preserve">warm hospitality. As a </w:t>
      </w:r>
      <w:r w:rsidR="00E16CFE" w:rsidRPr="00813D19">
        <w:rPr>
          <w:bCs/>
          <w:lang w:val="en-US"/>
        </w:rPr>
        <w:t xml:space="preserve">beneficiary </w:t>
      </w:r>
      <w:r w:rsidR="00B65D03" w:rsidRPr="00813D19">
        <w:rPr>
          <w:bCs/>
          <w:lang w:val="en-US"/>
        </w:rPr>
        <w:t xml:space="preserve">country </w:t>
      </w:r>
      <w:r w:rsidR="00E16CFE" w:rsidRPr="00813D19">
        <w:rPr>
          <w:bCs/>
          <w:lang w:val="en-US"/>
        </w:rPr>
        <w:t xml:space="preserve">of </w:t>
      </w:r>
      <w:r w:rsidR="00B65D03" w:rsidRPr="00813D19">
        <w:rPr>
          <w:bCs/>
          <w:lang w:val="en-US"/>
        </w:rPr>
        <w:t>International Assistance</w:t>
      </w:r>
      <w:r w:rsidR="00E16CFE" w:rsidRPr="00813D19">
        <w:rPr>
          <w:bCs/>
          <w:lang w:val="en-US"/>
        </w:rPr>
        <w:t>,</w:t>
      </w:r>
      <w:r w:rsidR="00B65D03" w:rsidRPr="00813D19">
        <w:rPr>
          <w:bCs/>
          <w:lang w:val="en-US"/>
        </w:rPr>
        <w:t xml:space="preserve"> </w:t>
      </w:r>
      <w:r w:rsidR="00E16CFE" w:rsidRPr="00813D19">
        <w:rPr>
          <w:bCs/>
          <w:lang w:val="en-US"/>
        </w:rPr>
        <w:t xml:space="preserve">it </w:t>
      </w:r>
      <w:r w:rsidR="00B65D03" w:rsidRPr="00813D19">
        <w:rPr>
          <w:bCs/>
          <w:lang w:val="en-US"/>
        </w:rPr>
        <w:t>appreciate</w:t>
      </w:r>
      <w:r w:rsidR="00E16CFE" w:rsidRPr="00813D19">
        <w:rPr>
          <w:bCs/>
          <w:lang w:val="en-US"/>
        </w:rPr>
        <w:t>d</w:t>
      </w:r>
      <w:r w:rsidR="00B65D03" w:rsidRPr="00813D19">
        <w:rPr>
          <w:bCs/>
          <w:lang w:val="en-US"/>
        </w:rPr>
        <w:t xml:space="preserve"> the support by UNESCO for </w:t>
      </w:r>
      <w:r w:rsidR="00C838A1" w:rsidRPr="00813D19">
        <w:rPr>
          <w:bCs/>
          <w:lang w:val="en-US"/>
        </w:rPr>
        <w:t xml:space="preserve">its </w:t>
      </w:r>
      <w:r w:rsidR="00D61A1C" w:rsidRPr="00813D19">
        <w:rPr>
          <w:bCs/>
          <w:lang w:val="en-US"/>
        </w:rPr>
        <w:t>project, I</w:t>
      </w:r>
      <w:r w:rsidR="00B65D03" w:rsidRPr="00813D19">
        <w:rPr>
          <w:bCs/>
          <w:lang w:val="en-US"/>
        </w:rPr>
        <w:t>nventorying of intangible cultural heritage elements in Thaba-Bosiu</w:t>
      </w:r>
      <w:r w:rsidR="00D61A1C" w:rsidRPr="00813D19">
        <w:rPr>
          <w:rStyle w:val="FootnoteReference"/>
          <w:bCs/>
          <w:lang w:val="en-US"/>
        </w:rPr>
        <w:footnoteReference w:id="15"/>
      </w:r>
      <w:r w:rsidR="00B65D03" w:rsidRPr="00813D19">
        <w:rPr>
          <w:bCs/>
          <w:lang w:val="en-US"/>
        </w:rPr>
        <w:t xml:space="preserve">, which was approved in 2016 and implemented in 2017. The project was supervised by </w:t>
      </w:r>
      <w:r w:rsidR="00BC171D" w:rsidRPr="00813D19">
        <w:rPr>
          <w:bCs/>
          <w:lang w:val="en-US"/>
        </w:rPr>
        <w:t>the initial e</w:t>
      </w:r>
      <w:r w:rsidR="00B65D03" w:rsidRPr="00813D19">
        <w:rPr>
          <w:bCs/>
          <w:lang w:val="en-US"/>
        </w:rPr>
        <w:t xml:space="preserve">xpert from Malawi, </w:t>
      </w:r>
      <w:r w:rsidR="00BC171D" w:rsidRPr="00813D19">
        <w:rPr>
          <w:bCs/>
          <w:lang w:val="en-US"/>
        </w:rPr>
        <w:t>two national ICH c</w:t>
      </w:r>
      <w:r w:rsidR="00B65D03" w:rsidRPr="00813D19">
        <w:rPr>
          <w:bCs/>
          <w:lang w:val="en-US"/>
        </w:rPr>
        <w:t xml:space="preserve">oordinators, </w:t>
      </w:r>
      <w:r w:rsidR="00BC171D" w:rsidRPr="00813D19">
        <w:rPr>
          <w:bCs/>
          <w:lang w:val="en-US"/>
        </w:rPr>
        <w:t xml:space="preserve">the </w:t>
      </w:r>
      <w:r w:rsidR="00B65D03" w:rsidRPr="00813D19">
        <w:rPr>
          <w:bCs/>
          <w:lang w:val="en-US"/>
        </w:rPr>
        <w:t>Department of Culture</w:t>
      </w:r>
      <w:r w:rsidR="00BC171D" w:rsidRPr="00813D19">
        <w:rPr>
          <w:bCs/>
          <w:lang w:val="en-US"/>
        </w:rPr>
        <w:t xml:space="preserve"> [</w:t>
      </w:r>
      <w:r w:rsidR="00BC171D" w:rsidRPr="00813D19">
        <w:rPr>
          <w:rFonts w:eastAsia="SimSun"/>
          <w:lang w:val="en-US"/>
        </w:rPr>
        <w:t>Ministry of Tourism, Environment and Culture]</w:t>
      </w:r>
      <w:r w:rsidR="00BC171D" w:rsidRPr="00813D19">
        <w:rPr>
          <w:bCs/>
          <w:lang w:val="en-US"/>
        </w:rPr>
        <w:t>,</w:t>
      </w:r>
      <w:r w:rsidR="00B65D03" w:rsidRPr="00813D19">
        <w:rPr>
          <w:bCs/>
          <w:lang w:val="en-US"/>
        </w:rPr>
        <w:t xml:space="preserve"> as well as </w:t>
      </w:r>
      <w:r w:rsidR="00E47AC2">
        <w:rPr>
          <w:bCs/>
          <w:lang w:val="en-US"/>
        </w:rPr>
        <w:t xml:space="preserve">the </w:t>
      </w:r>
      <w:r w:rsidR="00B65D03" w:rsidRPr="00813D19">
        <w:rPr>
          <w:bCs/>
          <w:lang w:val="en-US"/>
        </w:rPr>
        <w:t xml:space="preserve">Lesotho National Commission for UNESCO. The project covered nine </w:t>
      </w:r>
      <w:r w:rsidR="00C838A1" w:rsidRPr="00813D19">
        <w:rPr>
          <w:bCs/>
          <w:lang w:val="en-US"/>
        </w:rPr>
        <w:t xml:space="preserve">communities within Thaba-Bosiu, which </w:t>
      </w:r>
      <w:r w:rsidR="00B65D03" w:rsidRPr="00813D19">
        <w:rPr>
          <w:bCs/>
          <w:lang w:val="en-US"/>
        </w:rPr>
        <w:t xml:space="preserve">is a historical landmark for Lesotho as it is a founding </w:t>
      </w:r>
      <w:r w:rsidR="00FB415B" w:rsidRPr="00813D19">
        <w:rPr>
          <w:bCs/>
          <w:lang w:val="en-US"/>
        </w:rPr>
        <w:t xml:space="preserve">monument of the nation of </w:t>
      </w:r>
      <w:r w:rsidR="00B65D03" w:rsidRPr="00813D19">
        <w:rPr>
          <w:bCs/>
          <w:lang w:val="en-US"/>
        </w:rPr>
        <w:t>Lesotho. The objective of the project was to contribute to the safeguarding of intangible cultural heritage in Lesotho and to raise awareness among stakeholders</w:t>
      </w:r>
      <w:r w:rsidR="00FB415B" w:rsidRPr="00813D19">
        <w:rPr>
          <w:bCs/>
          <w:lang w:val="en-US"/>
        </w:rPr>
        <w:t>,</w:t>
      </w:r>
      <w:r w:rsidR="00B65D03" w:rsidRPr="00813D19">
        <w:rPr>
          <w:bCs/>
          <w:lang w:val="en-US"/>
        </w:rPr>
        <w:t xml:space="preserve"> such as communities, custodians, practitioners </w:t>
      </w:r>
      <w:r w:rsidR="00FB415B" w:rsidRPr="00813D19">
        <w:rPr>
          <w:bCs/>
          <w:lang w:val="en-US"/>
        </w:rPr>
        <w:t xml:space="preserve">and </w:t>
      </w:r>
      <w:r w:rsidR="00B65D03" w:rsidRPr="00813D19">
        <w:rPr>
          <w:bCs/>
          <w:lang w:val="en-US"/>
        </w:rPr>
        <w:t xml:space="preserve">civil society. </w:t>
      </w:r>
      <w:r w:rsidR="00FB415B" w:rsidRPr="00813D19">
        <w:rPr>
          <w:bCs/>
          <w:lang w:val="en-US"/>
        </w:rPr>
        <w:t>W</w:t>
      </w:r>
      <w:r w:rsidR="00B65D03" w:rsidRPr="00813D19">
        <w:rPr>
          <w:bCs/>
          <w:lang w:val="en-US"/>
        </w:rPr>
        <w:t>ithin this project</w:t>
      </w:r>
      <w:r w:rsidR="00FB415B" w:rsidRPr="00813D19">
        <w:rPr>
          <w:bCs/>
          <w:lang w:val="en-US"/>
        </w:rPr>
        <w:t>,</w:t>
      </w:r>
      <w:r w:rsidR="00B65D03" w:rsidRPr="00813D19">
        <w:rPr>
          <w:bCs/>
          <w:lang w:val="en-US"/>
        </w:rPr>
        <w:t xml:space="preserve"> </w:t>
      </w:r>
      <w:r w:rsidR="00E47AC2">
        <w:rPr>
          <w:bCs/>
          <w:lang w:val="en-US"/>
        </w:rPr>
        <w:t>fifteen</w:t>
      </w:r>
      <w:r w:rsidR="00B65D03" w:rsidRPr="00813D19">
        <w:rPr>
          <w:bCs/>
          <w:lang w:val="en-US"/>
        </w:rPr>
        <w:t xml:space="preserve"> community members </w:t>
      </w:r>
      <w:r w:rsidR="00FB415B" w:rsidRPr="00813D19">
        <w:rPr>
          <w:bCs/>
          <w:lang w:val="en-US"/>
        </w:rPr>
        <w:t xml:space="preserve">were trained </w:t>
      </w:r>
      <w:r w:rsidR="00B65D03" w:rsidRPr="00813D19">
        <w:rPr>
          <w:bCs/>
          <w:lang w:val="en-US"/>
        </w:rPr>
        <w:t>as researchers and field workers</w:t>
      </w:r>
      <w:r w:rsidR="00FB415B" w:rsidRPr="00813D19">
        <w:rPr>
          <w:bCs/>
          <w:lang w:val="en-US"/>
        </w:rPr>
        <w:t>,</w:t>
      </w:r>
      <w:r w:rsidR="00B65D03" w:rsidRPr="00813D19">
        <w:rPr>
          <w:bCs/>
          <w:lang w:val="en-US"/>
        </w:rPr>
        <w:t xml:space="preserve"> as well as five officials from the Department of Culture. </w:t>
      </w:r>
      <w:r w:rsidR="00C838A1" w:rsidRPr="00813D19">
        <w:rPr>
          <w:bCs/>
          <w:lang w:val="en-US"/>
        </w:rPr>
        <w:t>Gend</w:t>
      </w:r>
      <w:r w:rsidR="00BF332C" w:rsidRPr="00813D19">
        <w:rPr>
          <w:bCs/>
          <w:lang w:val="en-US"/>
        </w:rPr>
        <w:t xml:space="preserve">er balance </w:t>
      </w:r>
      <w:r w:rsidR="00C838A1" w:rsidRPr="00813D19">
        <w:rPr>
          <w:bCs/>
          <w:lang w:val="en-US"/>
        </w:rPr>
        <w:t xml:space="preserve">was considered in the selection of participants </w:t>
      </w:r>
      <w:r w:rsidR="00B65D03" w:rsidRPr="00813D19">
        <w:rPr>
          <w:bCs/>
          <w:lang w:val="en-US"/>
        </w:rPr>
        <w:t xml:space="preserve">and it was also composed </w:t>
      </w:r>
      <w:r w:rsidR="00BF332C" w:rsidRPr="00813D19">
        <w:rPr>
          <w:bCs/>
          <w:lang w:val="en-US"/>
        </w:rPr>
        <w:t xml:space="preserve">of youth from nine communities with the </w:t>
      </w:r>
      <w:r w:rsidR="00B65D03" w:rsidRPr="00813D19">
        <w:rPr>
          <w:bCs/>
          <w:lang w:val="en-US"/>
        </w:rPr>
        <w:t xml:space="preserve">idea </w:t>
      </w:r>
      <w:r w:rsidR="00BF332C" w:rsidRPr="00813D19">
        <w:rPr>
          <w:bCs/>
          <w:lang w:val="en-US"/>
        </w:rPr>
        <w:t xml:space="preserve">of </w:t>
      </w:r>
      <w:r w:rsidR="00B65D03" w:rsidRPr="00813D19">
        <w:rPr>
          <w:bCs/>
          <w:lang w:val="en-US"/>
        </w:rPr>
        <w:t>instil</w:t>
      </w:r>
      <w:r w:rsidR="00BF332C" w:rsidRPr="00813D19">
        <w:rPr>
          <w:bCs/>
          <w:lang w:val="en-US"/>
        </w:rPr>
        <w:t>ling</w:t>
      </w:r>
      <w:r w:rsidR="00B65D03" w:rsidRPr="00813D19">
        <w:rPr>
          <w:bCs/>
          <w:lang w:val="en-US"/>
        </w:rPr>
        <w:t xml:space="preserve"> knowledge </w:t>
      </w:r>
      <w:r w:rsidR="00BF332C" w:rsidRPr="00813D19">
        <w:rPr>
          <w:bCs/>
          <w:lang w:val="en-US"/>
        </w:rPr>
        <w:t xml:space="preserve">on </w:t>
      </w:r>
      <w:r w:rsidR="00B65D03" w:rsidRPr="00813D19">
        <w:rPr>
          <w:bCs/>
          <w:lang w:val="en-US"/>
        </w:rPr>
        <w:t xml:space="preserve">the importance of </w:t>
      </w:r>
      <w:r w:rsidR="00BF332C" w:rsidRPr="00813D19">
        <w:rPr>
          <w:bCs/>
          <w:lang w:val="en-US"/>
        </w:rPr>
        <w:t xml:space="preserve">intangible cultural heritage </w:t>
      </w:r>
      <w:r w:rsidR="00B65D03" w:rsidRPr="00813D19">
        <w:rPr>
          <w:bCs/>
          <w:lang w:val="en-US"/>
        </w:rPr>
        <w:t xml:space="preserve">and its viability. </w:t>
      </w:r>
      <w:r w:rsidR="00BF332C" w:rsidRPr="00813D19">
        <w:rPr>
          <w:bCs/>
          <w:lang w:val="en-US"/>
        </w:rPr>
        <w:t xml:space="preserve">Twenty-four </w:t>
      </w:r>
      <w:r w:rsidR="00B65D03" w:rsidRPr="00813D19">
        <w:rPr>
          <w:bCs/>
          <w:lang w:val="en-US"/>
        </w:rPr>
        <w:t xml:space="preserve">elements </w:t>
      </w:r>
      <w:r w:rsidR="00E47AC2">
        <w:rPr>
          <w:bCs/>
          <w:lang w:val="en-US"/>
        </w:rPr>
        <w:t>were</w:t>
      </w:r>
      <w:r w:rsidR="00B65D03" w:rsidRPr="00813D19">
        <w:rPr>
          <w:bCs/>
          <w:lang w:val="en-US"/>
        </w:rPr>
        <w:t xml:space="preserve"> inventoried and documented and are now accessible on </w:t>
      </w:r>
      <w:r w:rsidR="00BF332C" w:rsidRPr="00813D19">
        <w:rPr>
          <w:bCs/>
          <w:lang w:val="en-US"/>
        </w:rPr>
        <w:t xml:space="preserve">the </w:t>
      </w:r>
      <w:r w:rsidR="00B65D03" w:rsidRPr="00813D19">
        <w:rPr>
          <w:bCs/>
          <w:lang w:val="en-US"/>
        </w:rPr>
        <w:t xml:space="preserve">national ICH database. Two of </w:t>
      </w:r>
      <w:r w:rsidR="00BF332C" w:rsidRPr="00813D19">
        <w:rPr>
          <w:bCs/>
          <w:lang w:val="en-US"/>
        </w:rPr>
        <w:t xml:space="preserve">them were </w:t>
      </w:r>
      <w:r w:rsidR="00B65D03" w:rsidRPr="00813D19">
        <w:rPr>
          <w:bCs/>
          <w:lang w:val="en-US"/>
        </w:rPr>
        <w:t>projected on</w:t>
      </w:r>
      <w:r w:rsidR="00BF332C" w:rsidRPr="00813D19">
        <w:rPr>
          <w:bCs/>
          <w:lang w:val="en-US"/>
        </w:rPr>
        <w:t>to</w:t>
      </w:r>
      <w:r w:rsidR="00B65D03" w:rsidRPr="00813D19">
        <w:rPr>
          <w:bCs/>
          <w:lang w:val="en-US"/>
        </w:rPr>
        <w:t xml:space="preserve"> the screen. The </w:t>
      </w:r>
      <w:r w:rsidR="00BF332C" w:rsidRPr="00813D19">
        <w:rPr>
          <w:bCs/>
          <w:lang w:val="en-US"/>
        </w:rPr>
        <w:t xml:space="preserve">reason </w:t>
      </w:r>
      <w:r w:rsidR="00E47AC2">
        <w:rPr>
          <w:bCs/>
          <w:lang w:val="en-US"/>
        </w:rPr>
        <w:t>for</w:t>
      </w:r>
      <w:r w:rsidR="00E47AC2" w:rsidRPr="00813D19">
        <w:rPr>
          <w:bCs/>
          <w:lang w:val="en-US"/>
        </w:rPr>
        <w:t xml:space="preserve"> </w:t>
      </w:r>
      <w:r w:rsidR="00B65D03" w:rsidRPr="00813D19">
        <w:rPr>
          <w:bCs/>
          <w:lang w:val="en-US"/>
        </w:rPr>
        <w:t xml:space="preserve">the selection of these two elements is that they </w:t>
      </w:r>
      <w:r w:rsidR="00BF332C" w:rsidRPr="00813D19">
        <w:rPr>
          <w:bCs/>
          <w:lang w:val="en-US"/>
        </w:rPr>
        <w:t xml:space="preserve">were </w:t>
      </w:r>
      <w:r w:rsidR="00B65D03" w:rsidRPr="00813D19">
        <w:rPr>
          <w:bCs/>
          <w:lang w:val="en-US"/>
        </w:rPr>
        <w:t xml:space="preserve">selected or considered by the consenting communities for possible inscription </w:t>
      </w:r>
      <w:r w:rsidR="00E47AC2">
        <w:rPr>
          <w:bCs/>
          <w:lang w:val="en-US"/>
        </w:rPr>
        <w:t>on</w:t>
      </w:r>
      <w:r w:rsidR="00E47AC2" w:rsidRPr="00813D19">
        <w:rPr>
          <w:bCs/>
          <w:lang w:val="en-US"/>
        </w:rPr>
        <w:t xml:space="preserve"> </w:t>
      </w:r>
      <w:r w:rsidR="00BF332C" w:rsidRPr="00813D19">
        <w:rPr>
          <w:bCs/>
          <w:lang w:val="en-US"/>
        </w:rPr>
        <w:t xml:space="preserve">the </w:t>
      </w:r>
      <w:r w:rsidR="00B65D03" w:rsidRPr="00813D19">
        <w:rPr>
          <w:bCs/>
          <w:lang w:val="en-US"/>
        </w:rPr>
        <w:t xml:space="preserve">Representative List. </w:t>
      </w:r>
      <w:r w:rsidR="00BF332C" w:rsidRPr="00813D19">
        <w:rPr>
          <w:bCs/>
          <w:lang w:val="en-US"/>
        </w:rPr>
        <w:t>T</w:t>
      </w:r>
      <w:r w:rsidR="00B65D03" w:rsidRPr="00813D19">
        <w:rPr>
          <w:bCs/>
          <w:lang w:val="en-US"/>
        </w:rPr>
        <w:t>his project was implemented within five months</w:t>
      </w:r>
      <w:r w:rsidR="00E47AC2">
        <w:rPr>
          <w:bCs/>
          <w:lang w:val="en-US"/>
        </w:rPr>
        <w:t>;</w:t>
      </w:r>
      <w:r w:rsidR="00B65D03" w:rsidRPr="00813D19">
        <w:rPr>
          <w:bCs/>
          <w:lang w:val="en-US"/>
        </w:rPr>
        <w:t xml:space="preserve"> however, </w:t>
      </w:r>
      <w:r w:rsidR="00BF332C" w:rsidRPr="00813D19">
        <w:rPr>
          <w:bCs/>
          <w:lang w:val="en-US"/>
        </w:rPr>
        <w:t xml:space="preserve">there were </w:t>
      </w:r>
      <w:r w:rsidR="00B65D03" w:rsidRPr="00813D19">
        <w:rPr>
          <w:bCs/>
          <w:lang w:val="en-US"/>
        </w:rPr>
        <w:t xml:space="preserve">some </w:t>
      </w:r>
      <w:r w:rsidR="00544DDE" w:rsidRPr="00813D19">
        <w:rPr>
          <w:bCs/>
          <w:lang w:val="en-US"/>
        </w:rPr>
        <w:t xml:space="preserve">unforeseen </w:t>
      </w:r>
      <w:r w:rsidR="00B65D03" w:rsidRPr="00813D19">
        <w:rPr>
          <w:bCs/>
          <w:lang w:val="en-US"/>
        </w:rPr>
        <w:t xml:space="preserve">challenges </w:t>
      </w:r>
      <w:r w:rsidR="00544DDE" w:rsidRPr="00813D19">
        <w:rPr>
          <w:bCs/>
          <w:lang w:val="en-US"/>
        </w:rPr>
        <w:t xml:space="preserve">and the project was </w:t>
      </w:r>
      <w:r w:rsidR="00C838A1" w:rsidRPr="00813D19">
        <w:rPr>
          <w:bCs/>
          <w:lang w:val="en-US"/>
        </w:rPr>
        <w:t>un</w:t>
      </w:r>
      <w:r w:rsidR="00B65D03" w:rsidRPr="00813D19">
        <w:rPr>
          <w:bCs/>
          <w:lang w:val="en-US"/>
        </w:rPr>
        <w:t xml:space="preserve">able to meet </w:t>
      </w:r>
      <w:r w:rsidR="00544DDE" w:rsidRPr="00813D19">
        <w:rPr>
          <w:bCs/>
          <w:lang w:val="en-US"/>
        </w:rPr>
        <w:t xml:space="preserve">its deadline, resulting in the late acquisition of funds, which in turn </w:t>
      </w:r>
      <w:r w:rsidR="00B65D03" w:rsidRPr="00813D19">
        <w:rPr>
          <w:bCs/>
          <w:lang w:val="en-US"/>
        </w:rPr>
        <w:t xml:space="preserve">led to </w:t>
      </w:r>
      <w:r w:rsidR="00544DDE" w:rsidRPr="00813D19">
        <w:rPr>
          <w:bCs/>
          <w:lang w:val="en-US"/>
        </w:rPr>
        <w:t xml:space="preserve">a </w:t>
      </w:r>
      <w:r w:rsidR="00B65D03" w:rsidRPr="00813D19">
        <w:rPr>
          <w:bCs/>
          <w:lang w:val="en-US"/>
        </w:rPr>
        <w:t xml:space="preserve">delay </w:t>
      </w:r>
      <w:r w:rsidR="00544DDE" w:rsidRPr="00813D19">
        <w:rPr>
          <w:bCs/>
          <w:lang w:val="en-US"/>
        </w:rPr>
        <w:t xml:space="preserve">in the </w:t>
      </w:r>
      <w:r w:rsidR="00B65D03" w:rsidRPr="00813D19">
        <w:rPr>
          <w:bCs/>
          <w:lang w:val="en-US"/>
        </w:rPr>
        <w:t>implementation of other activities. This also impacted the product</w:t>
      </w:r>
      <w:r w:rsidR="00544DDE" w:rsidRPr="00813D19">
        <w:rPr>
          <w:bCs/>
          <w:lang w:val="en-US"/>
        </w:rPr>
        <w:t>ion of some of the information</w:t>
      </w:r>
      <w:r w:rsidR="00B65D03" w:rsidRPr="00813D19">
        <w:rPr>
          <w:bCs/>
          <w:lang w:val="en-US"/>
        </w:rPr>
        <w:t xml:space="preserve"> material and </w:t>
      </w:r>
      <w:r w:rsidR="00544DDE" w:rsidRPr="00813D19">
        <w:rPr>
          <w:bCs/>
          <w:lang w:val="en-US"/>
        </w:rPr>
        <w:t xml:space="preserve">the </w:t>
      </w:r>
      <w:r w:rsidR="00B65D03" w:rsidRPr="00813D19">
        <w:rPr>
          <w:bCs/>
          <w:lang w:val="en-US"/>
        </w:rPr>
        <w:t xml:space="preserve">photographic exhibition. Nonetheless, </w:t>
      </w:r>
      <w:r w:rsidR="00544DDE" w:rsidRPr="00813D19">
        <w:rPr>
          <w:bCs/>
          <w:lang w:val="en-US"/>
        </w:rPr>
        <w:t xml:space="preserve">Lesotho </w:t>
      </w:r>
      <w:r w:rsidR="00C838A1" w:rsidRPr="00813D19">
        <w:rPr>
          <w:bCs/>
          <w:lang w:val="en-US"/>
        </w:rPr>
        <w:t xml:space="preserve">had </w:t>
      </w:r>
      <w:r w:rsidR="00B65D03" w:rsidRPr="00813D19">
        <w:rPr>
          <w:bCs/>
          <w:lang w:val="en-US"/>
        </w:rPr>
        <w:t xml:space="preserve">benefited </w:t>
      </w:r>
      <w:r w:rsidR="00E47AC2">
        <w:rPr>
          <w:bCs/>
          <w:lang w:val="en-US"/>
        </w:rPr>
        <w:t>by</w:t>
      </w:r>
      <w:r w:rsidR="00B65D03" w:rsidRPr="00813D19">
        <w:rPr>
          <w:bCs/>
          <w:lang w:val="en-US"/>
        </w:rPr>
        <w:t xml:space="preserve"> expanding </w:t>
      </w:r>
      <w:r w:rsidR="00544DDE" w:rsidRPr="00813D19">
        <w:rPr>
          <w:bCs/>
          <w:lang w:val="en-US"/>
        </w:rPr>
        <w:t xml:space="preserve">its </w:t>
      </w:r>
      <w:r w:rsidR="00B65D03" w:rsidRPr="00813D19">
        <w:rPr>
          <w:bCs/>
          <w:lang w:val="en-US"/>
        </w:rPr>
        <w:t xml:space="preserve">level of expertise on </w:t>
      </w:r>
      <w:r w:rsidR="00544DDE" w:rsidRPr="00813D19">
        <w:rPr>
          <w:bCs/>
          <w:lang w:val="en-US"/>
        </w:rPr>
        <w:t xml:space="preserve">intangible cultural heritage, </w:t>
      </w:r>
      <w:r w:rsidR="00B65D03" w:rsidRPr="00813D19">
        <w:rPr>
          <w:bCs/>
          <w:lang w:val="en-US"/>
        </w:rPr>
        <w:t xml:space="preserve">as well as updating </w:t>
      </w:r>
      <w:r w:rsidR="00544DDE" w:rsidRPr="00813D19">
        <w:rPr>
          <w:bCs/>
          <w:lang w:val="en-US"/>
        </w:rPr>
        <w:t xml:space="preserve">its </w:t>
      </w:r>
      <w:r w:rsidR="00B65D03" w:rsidRPr="00813D19">
        <w:rPr>
          <w:bCs/>
          <w:lang w:val="en-US"/>
        </w:rPr>
        <w:t xml:space="preserve">national ICH database. However, </w:t>
      </w:r>
      <w:r w:rsidR="00544DDE" w:rsidRPr="00813D19">
        <w:rPr>
          <w:bCs/>
          <w:lang w:val="en-US"/>
        </w:rPr>
        <w:t xml:space="preserve">there was still a need </w:t>
      </w:r>
      <w:r w:rsidR="00B65D03" w:rsidRPr="00813D19">
        <w:rPr>
          <w:bCs/>
          <w:lang w:val="en-US"/>
        </w:rPr>
        <w:t xml:space="preserve">to reinforce </w:t>
      </w:r>
      <w:r w:rsidR="00544DDE" w:rsidRPr="00813D19">
        <w:rPr>
          <w:bCs/>
          <w:lang w:val="en-US"/>
        </w:rPr>
        <w:t xml:space="preserve">its </w:t>
      </w:r>
      <w:r w:rsidR="00B65D03" w:rsidRPr="00813D19">
        <w:rPr>
          <w:bCs/>
          <w:lang w:val="en-US"/>
        </w:rPr>
        <w:t xml:space="preserve">safeguarding plans, awareness and revitalization to increase </w:t>
      </w:r>
      <w:r w:rsidR="00544DDE" w:rsidRPr="00813D19">
        <w:rPr>
          <w:bCs/>
          <w:lang w:val="en-US"/>
        </w:rPr>
        <w:t xml:space="preserve">its </w:t>
      </w:r>
      <w:r w:rsidR="00B65D03" w:rsidRPr="00813D19">
        <w:rPr>
          <w:bCs/>
          <w:lang w:val="en-US"/>
        </w:rPr>
        <w:t xml:space="preserve">safeguarding mission and </w:t>
      </w:r>
      <w:r w:rsidR="00544DDE" w:rsidRPr="00813D19">
        <w:rPr>
          <w:bCs/>
          <w:lang w:val="en-US"/>
        </w:rPr>
        <w:t xml:space="preserve">the </w:t>
      </w:r>
      <w:r w:rsidR="00B65D03" w:rsidRPr="00813D19">
        <w:rPr>
          <w:bCs/>
          <w:lang w:val="en-US"/>
        </w:rPr>
        <w:t xml:space="preserve">appreciation of </w:t>
      </w:r>
      <w:r w:rsidR="00544DDE" w:rsidRPr="00813D19">
        <w:rPr>
          <w:bCs/>
          <w:lang w:val="en-US"/>
        </w:rPr>
        <w:t xml:space="preserve">intangible cultural heritage and </w:t>
      </w:r>
      <w:r w:rsidR="00087166">
        <w:rPr>
          <w:bCs/>
          <w:lang w:val="en-US"/>
        </w:rPr>
        <w:t>its viability.</w:t>
      </w:r>
    </w:p>
    <w:p w14:paraId="0144E893" w14:textId="044FFE43" w:rsidR="008E577F" w:rsidRPr="00813D19" w:rsidRDefault="008E577F" w:rsidP="008E577F">
      <w:pPr>
        <w:pStyle w:val="Orateurengris"/>
        <w:widowControl w:val="0"/>
        <w:spacing w:before="120"/>
        <w:ind w:left="709" w:hanging="709"/>
        <w:rPr>
          <w:lang w:val="en-US"/>
        </w:rPr>
      </w:pPr>
      <w:r w:rsidRPr="00813D19">
        <w:rPr>
          <w:lang w:val="en-US"/>
        </w:rPr>
        <w:t xml:space="preserve">The </w:t>
      </w:r>
      <w:r w:rsidRPr="00813D19">
        <w:rPr>
          <w:b/>
          <w:lang w:val="en-US"/>
        </w:rPr>
        <w:t>delegation of Malawi</w:t>
      </w:r>
      <w:r w:rsidR="00B65D03" w:rsidRPr="00813D19">
        <w:rPr>
          <w:b/>
          <w:lang w:val="en-US"/>
        </w:rPr>
        <w:t xml:space="preserve"> </w:t>
      </w:r>
      <w:r w:rsidR="00544DDE" w:rsidRPr="00813D19">
        <w:rPr>
          <w:bCs/>
          <w:lang w:val="en-US"/>
        </w:rPr>
        <w:t>t</w:t>
      </w:r>
      <w:r w:rsidR="00B65D03" w:rsidRPr="00813D19">
        <w:rPr>
          <w:bCs/>
          <w:lang w:val="en-US"/>
        </w:rPr>
        <w:t>hank</w:t>
      </w:r>
      <w:r w:rsidR="00544DDE" w:rsidRPr="00813D19">
        <w:rPr>
          <w:bCs/>
          <w:lang w:val="en-US"/>
        </w:rPr>
        <w:t>ed</w:t>
      </w:r>
      <w:r w:rsidR="00B65D03" w:rsidRPr="00813D19">
        <w:rPr>
          <w:bCs/>
          <w:lang w:val="en-US"/>
        </w:rPr>
        <w:t xml:space="preserve"> </w:t>
      </w:r>
      <w:r w:rsidR="00544DDE" w:rsidRPr="00813D19">
        <w:rPr>
          <w:bCs/>
          <w:lang w:val="en-US"/>
        </w:rPr>
        <w:t>the Chairperson</w:t>
      </w:r>
      <w:r w:rsidR="00B65D03" w:rsidRPr="00813D19">
        <w:rPr>
          <w:bCs/>
          <w:lang w:val="en-US"/>
        </w:rPr>
        <w:t xml:space="preserve"> for the opportunity to share </w:t>
      </w:r>
      <w:r w:rsidR="00544DDE" w:rsidRPr="00813D19">
        <w:rPr>
          <w:bCs/>
          <w:lang w:val="en-US"/>
        </w:rPr>
        <w:t xml:space="preserve">its </w:t>
      </w:r>
      <w:r w:rsidR="00B65D03" w:rsidRPr="00813D19">
        <w:rPr>
          <w:bCs/>
          <w:lang w:val="en-US"/>
        </w:rPr>
        <w:t xml:space="preserve">experiences </w:t>
      </w:r>
      <w:r w:rsidR="00F1432A" w:rsidRPr="00813D19">
        <w:rPr>
          <w:bCs/>
          <w:lang w:val="en-US"/>
        </w:rPr>
        <w:t>of</w:t>
      </w:r>
      <w:r w:rsidR="00544DDE" w:rsidRPr="00813D19">
        <w:rPr>
          <w:bCs/>
          <w:lang w:val="en-US"/>
        </w:rPr>
        <w:t xml:space="preserve"> the project, S</w:t>
      </w:r>
      <w:r w:rsidR="00B65D03" w:rsidRPr="00813D19">
        <w:rPr>
          <w:bCs/>
          <w:lang w:val="en-US"/>
        </w:rPr>
        <w:t xml:space="preserve">afeguarding of </w:t>
      </w:r>
      <w:r w:rsidR="00544DDE" w:rsidRPr="00813D19">
        <w:rPr>
          <w:bCs/>
          <w:lang w:val="en-US"/>
        </w:rPr>
        <w:t xml:space="preserve">Nkhonde, </w:t>
      </w:r>
      <w:r w:rsidR="00B65D03" w:rsidRPr="00813D19">
        <w:rPr>
          <w:bCs/>
          <w:lang w:val="en-US"/>
        </w:rPr>
        <w:t xml:space="preserve">Tumbuka </w:t>
      </w:r>
      <w:r w:rsidR="00544DDE" w:rsidRPr="00813D19">
        <w:rPr>
          <w:bCs/>
          <w:lang w:val="en-US"/>
        </w:rPr>
        <w:t xml:space="preserve">and Chewa </w:t>
      </w:r>
      <w:r w:rsidR="00B65D03" w:rsidRPr="00813D19">
        <w:rPr>
          <w:bCs/>
          <w:lang w:val="en-US"/>
        </w:rPr>
        <w:t>proverbs and folktales</w:t>
      </w:r>
      <w:r w:rsidR="00E47AC2">
        <w:rPr>
          <w:bCs/>
          <w:lang w:val="en-US"/>
        </w:rPr>
        <w:t>,</w:t>
      </w:r>
      <w:r w:rsidR="00544DDE" w:rsidRPr="00813D19">
        <w:rPr>
          <w:rStyle w:val="FootnoteReference"/>
          <w:bCs/>
          <w:lang w:val="en-US"/>
        </w:rPr>
        <w:footnoteReference w:id="16"/>
      </w:r>
      <w:r w:rsidR="00F1432A" w:rsidRPr="00813D19">
        <w:rPr>
          <w:bCs/>
          <w:lang w:val="en-US"/>
        </w:rPr>
        <w:t xml:space="preserve"> funded</w:t>
      </w:r>
      <w:r w:rsidR="00B65D03" w:rsidRPr="00813D19">
        <w:rPr>
          <w:bCs/>
          <w:lang w:val="en-US"/>
        </w:rPr>
        <w:t xml:space="preserve"> </w:t>
      </w:r>
      <w:r w:rsidR="00F1432A" w:rsidRPr="00813D19">
        <w:rPr>
          <w:bCs/>
          <w:lang w:val="en-US"/>
        </w:rPr>
        <w:t xml:space="preserve">under </w:t>
      </w:r>
      <w:r w:rsidR="00B65D03" w:rsidRPr="00813D19">
        <w:rPr>
          <w:bCs/>
          <w:lang w:val="en-US"/>
        </w:rPr>
        <w:t xml:space="preserve">the ICH Fund. </w:t>
      </w:r>
      <w:r w:rsidR="00F1432A" w:rsidRPr="00813D19">
        <w:rPr>
          <w:bCs/>
          <w:lang w:val="en-US"/>
        </w:rPr>
        <w:t xml:space="preserve">The delegation began by </w:t>
      </w:r>
      <w:r w:rsidR="00B65D03" w:rsidRPr="00813D19">
        <w:rPr>
          <w:bCs/>
          <w:lang w:val="en-US"/>
        </w:rPr>
        <w:t>thank</w:t>
      </w:r>
      <w:r w:rsidR="00F1432A" w:rsidRPr="00813D19">
        <w:rPr>
          <w:bCs/>
          <w:lang w:val="en-US"/>
        </w:rPr>
        <w:t>ing</w:t>
      </w:r>
      <w:r w:rsidR="00B65D03" w:rsidRPr="00813D19">
        <w:rPr>
          <w:bCs/>
          <w:lang w:val="en-US"/>
        </w:rPr>
        <w:t xml:space="preserve"> Mauritius for </w:t>
      </w:r>
      <w:r w:rsidR="00F1432A" w:rsidRPr="00813D19">
        <w:rPr>
          <w:bCs/>
          <w:lang w:val="en-US"/>
        </w:rPr>
        <w:t xml:space="preserve">its </w:t>
      </w:r>
      <w:r w:rsidR="00B65D03" w:rsidRPr="00813D19">
        <w:rPr>
          <w:bCs/>
          <w:lang w:val="en-US"/>
        </w:rPr>
        <w:t>warm welcome and hospitality</w:t>
      </w:r>
      <w:r w:rsidR="00F1432A" w:rsidRPr="00813D19">
        <w:rPr>
          <w:bCs/>
          <w:lang w:val="en-US"/>
        </w:rPr>
        <w:t xml:space="preserve">, and recalled that </w:t>
      </w:r>
      <w:r w:rsidR="00FB03CD" w:rsidRPr="00813D19">
        <w:rPr>
          <w:bCs/>
          <w:lang w:val="en-US"/>
        </w:rPr>
        <w:t xml:space="preserve">the project </w:t>
      </w:r>
      <w:r w:rsidR="00E47AC2">
        <w:rPr>
          <w:bCs/>
          <w:lang w:val="en-US"/>
        </w:rPr>
        <w:t>had been</w:t>
      </w:r>
      <w:r w:rsidR="00FB03CD" w:rsidRPr="00813D19">
        <w:rPr>
          <w:bCs/>
          <w:lang w:val="en-US"/>
        </w:rPr>
        <w:t xml:space="preserve"> granted International Assistance </w:t>
      </w:r>
      <w:r w:rsidR="00B65D03" w:rsidRPr="00813D19">
        <w:rPr>
          <w:bCs/>
          <w:lang w:val="en-US"/>
        </w:rPr>
        <w:t xml:space="preserve">at its tenth </w:t>
      </w:r>
      <w:r w:rsidR="00F1432A" w:rsidRPr="00813D19">
        <w:rPr>
          <w:bCs/>
          <w:lang w:val="en-US"/>
        </w:rPr>
        <w:t xml:space="preserve">session </w:t>
      </w:r>
      <w:r w:rsidR="00B65D03" w:rsidRPr="00813D19">
        <w:rPr>
          <w:bCs/>
          <w:lang w:val="en-US"/>
        </w:rPr>
        <w:t>in Windhoek, Namibia</w:t>
      </w:r>
      <w:r w:rsidR="00F1432A" w:rsidRPr="00813D19">
        <w:rPr>
          <w:bCs/>
          <w:lang w:val="en-US"/>
        </w:rPr>
        <w:t>,</w:t>
      </w:r>
      <w:r w:rsidR="00B65D03" w:rsidRPr="00813D19">
        <w:rPr>
          <w:bCs/>
          <w:lang w:val="en-US"/>
        </w:rPr>
        <w:t xml:space="preserve"> in 2015. </w:t>
      </w:r>
      <w:r w:rsidR="00FB03CD" w:rsidRPr="00813D19">
        <w:rPr>
          <w:bCs/>
          <w:lang w:val="en-US"/>
        </w:rPr>
        <w:t>T</w:t>
      </w:r>
      <w:r w:rsidR="00B65D03" w:rsidRPr="00813D19">
        <w:rPr>
          <w:bCs/>
          <w:lang w:val="en-US"/>
        </w:rPr>
        <w:t xml:space="preserve">he objectives of the project </w:t>
      </w:r>
      <w:r w:rsidR="00FB03CD" w:rsidRPr="00813D19">
        <w:rPr>
          <w:bCs/>
          <w:lang w:val="en-US"/>
        </w:rPr>
        <w:t xml:space="preserve">were </w:t>
      </w:r>
      <w:r w:rsidR="00B65D03" w:rsidRPr="00813D19">
        <w:rPr>
          <w:bCs/>
          <w:lang w:val="en-US"/>
        </w:rPr>
        <w:t>to build capacit</w:t>
      </w:r>
      <w:r w:rsidR="00E47AC2">
        <w:rPr>
          <w:bCs/>
          <w:lang w:val="en-US"/>
        </w:rPr>
        <w:t>ies</w:t>
      </w:r>
      <w:r w:rsidR="00B65D03" w:rsidRPr="00813D19">
        <w:rPr>
          <w:bCs/>
          <w:lang w:val="en-US"/>
        </w:rPr>
        <w:t xml:space="preserve"> </w:t>
      </w:r>
      <w:r w:rsidR="00E47AC2">
        <w:rPr>
          <w:bCs/>
          <w:lang w:val="en-US"/>
        </w:rPr>
        <w:t>to</w:t>
      </w:r>
      <w:r w:rsidR="00E47AC2" w:rsidRPr="00813D19">
        <w:rPr>
          <w:bCs/>
          <w:lang w:val="en-US"/>
        </w:rPr>
        <w:t xml:space="preserve"> </w:t>
      </w:r>
      <w:r w:rsidR="00B65D03" w:rsidRPr="00813D19">
        <w:rPr>
          <w:bCs/>
          <w:lang w:val="en-US"/>
        </w:rPr>
        <w:t xml:space="preserve">document </w:t>
      </w:r>
      <w:r w:rsidR="00FB03CD" w:rsidRPr="00813D19">
        <w:rPr>
          <w:bCs/>
          <w:lang w:val="en-US"/>
        </w:rPr>
        <w:t xml:space="preserve">intangible cultural heritage </w:t>
      </w:r>
      <w:r w:rsidR="00B65D03" w:rsidRPr="00813D19">
        <w:rPr>
          <w:bCs/>
          <w:lang w:val="en-US"/>
        </w:rPr>
        <w:t>to improve the safeguarding of proverbs and folktales</w:t>
      </w:r>
      <w:r w:rsidR="00FB03CD" w:rsidRPr="00813D19">
        <w:rPr>
          <w:bCs/>
          <w:lang w:val="en-US"/>
        </w:rPr>
        <w:t>,</w:t>
      </w:r>
      <w:r w:rsidR="00B65D03" w:rsidRPr="00813D19">
        <w:rPr>
          <w:bCs/>
          <w:lang w:val="en-US"/>
        </w:rPr>
        <w:t xml:space="preserve"> but most importantly</w:t>
      </w:r>
      <w:r w:rsidR="00FB03CD" w:rsidRPr="00813D19">
        <w:rPr>
          <w:bCs/>
          <w:lang w:val="en-US"/>
        </w:rPr>
        <w:t>,</w:t>
      </w:r>
      <w:r w:rsidR="00B65D03" w:rsidRPr="00813D19">
        <w:rPr>
          <w:bCs/>
          <w:lang w:val="en-US"/>
        </w:rPr>
        <w:t xml:space="preserve"> to transmit the documented prove</w:t>
      </w:r>
      <w:r w:rsidR="00FB03CD" w:rsidRPr="00813D19">
        <w:rPr>
          <w:bCs/>
          <w:lang w:val="en-US"/>
        </w:rPr>
        <w:t>rbs and folktales to younger</w:t>
      </w:r>
      <w:r w:rsidR="00B65D03" w:rsidRPr="00813D19">
        <w:rPr>
          <w:bCs/>
          <w:lang w:val="en-US"/>
        </w:rPr>
        <w:t xml:space="preserve"> generations. Activities of the project included </w:t>
      </w:r>
      <w:r w:rsidR="00FB03CD" w:rsidRPr="00813D19">
        <w:rPr>
          <w:bCs/>
          <w:lang w:val="en-US"/>
        </w:rPr>
        <w:t xml:space="preserve">the identification of informants and research assistants, training </w:t>
      </w:r>
      <w:r w:rsidR="00B65D03" w:rsidRPr="00813D19">
        <w:rPr>
          <w:bCs/>
          <w:lang w:val="en-US"/>
        </w:rPr>
        <w:t xml:space="preserve">on inventorying, collecting and recording proverbs and folktales, </w:t>
      </w:r>
      <w:r w:rsidR="00FB03CD" w:rsidRPr="00813D19">
        <w:rPr>
          <w:bCs/>
          <w:lang w:val="en-US"/>
        </w:rPr>
        <w:t xml:space="preserve">the </w:t>
      </w:r>
      <w:r w:rsidR="00B65D03" w:rsidRPr="00813D19">
        <w:rPr>
          <w:bCs/>
          <w:lang w:val="en-US"/>
        </w:rPr>
        <w:t xml:space="preserve">translation of proverbs and folktales, </w:t>
      </w:r>
      <w:r w:rsidR="00FB03CD" w:rsidRPr="00813D19">
        <w:rPr>
          <w:bCs/>
          <w:lang w:val="en-US"/>
        </w:rPr>
        <w:t xml:space="preserve">the </w:t>
      </w:r>
      <w:r w:rsidR="00B65D03" w:rsidRPr="00813D19">
        <w:rPr>
          <w:bCs/>
          <w:lang w:val="en-US"/>
        </w:rPr>
        <w:t xml:space="preserve">development and printing of books of proverbs and folktales, </w:t>
      </w:r>
      <w:r w:rsidR="00FB03CD" w:rsidRPr="00813D19">
        <w:rPr>
          <w:bCs/>
          <w:lang w:val="en-US"/>
        </w:rPr>
        <w:t xml:space="preserve">the </w:t>
      </w:r>
      <w:r w:rsidR="00B65D03" w:rsidRPr="00813D19">
        <w:rPr>
          <w:bCs/>
          <w:lang w:val="en-US"/>
        </w:rPr>
        <w:t>development and printing of dictionaries, conducting storytelling sessions</w:t>
      </w:r>
      <w:r w:rsidR="00FB03CD" w:rsidRPr="00813D19">
        <w:rPr>
          <w:bCs/>
          <w:lang w:val="en-US"/>
        </w:rPr>
        <w:t>,</w:t>
      </w:r>
      <w:r w:rsidR="00B65D03" w:rsidRPr="00813D19">
        <w:rPr>
          <w:bCs/>
          <w:lang w:val="en-US"/>
        </w:rPr>
        <w:t xml:space="preserve"> and lastly, </w:t>
      </w:r>
      <w:r w:rsidR="00FB03CD" w:rsidRPr="00813D19">
        <w:rPr>
          <w:bCs/>
          <w:lang w:val="en-US"/>
        </w:rPr>
        <w:t xml:space="preserve">producing </w:t>
      </w:r>
      <w:r w:rsidR="00B65D03" w:rsidRPr="00813D19">
        <w:rPr>
          <w:bCs/>
          <w:lang w:val="en-US"/>
        </w:rPr>
        <w:t xml:space="preserve">materials for TV programmes. </w:t>
      </w:r>
      <w:r w:rsidR="00FB03CD" w:rsidRPr="00813D19">
        <w:rPr>
          <w:bCs/>
          <w:lang w:val="en-US"/>
        </w:rPr>
        <w:t xml:space="preserve">In total, </w:t>
      </w:r>
      <w:r w:rsidR="00B65D03" w:rsidRPr="00813D19">
        <w:rPr>
          <w:bCs/>
          <w:lang w:val="en-US"/>
        </w:rPr>
        <w:t>150 proverbs and folktales</w:t>
      </w:r>
      <w:r w:rsidR="00FB03CD" w:rsidRPr="00813D19">
        <w:rPr>
          <w:bCs/>
          <w:lang w:val="en-US"/>
        </w:rPr>
        <w:t xml:space="preserve"> were collected</w:t>
      </w:r>
      <w:r w:rsidR="00971511" w:rsidRPr="00813D19">
        <w:rPr>
          <w:bCs/>
          <w:lang w:val="en-US"/>
        </w:rPr>
        <w:t xml:space="preserve"> and </w:t>
      </w:r>
      <w:r w:rsidR="00B65D03" w:rsidRPr="00813D19">
        <w:rPr>
          <w:bCs/>
          <w:lang w:val="en-US"/>
        </w:rPr>
        <w:t>six books</w:t>
      </w:r>
      <w:r w:rsidR="00971511" w:rsidRPr="00813D19">
        <w:rPr>
          <w:bCs/>
          <w:lang w:val="en-US"/>
        </w:rPr>
        <w:t xml:space="preserve"> were published;</w:t>
      </w:r>
      <w:r w:rsidR="00B65D03" w:rsidRPr="00813D19">
        <w:rPr>
          <w:bCs/>
          <w:lang w:val="en-US"/>
        </w:rPr>
        <w:t xml:space="preserve"> three on proverbs and three on folktales. </w:t>
      </w:r>
      <w:r w:rsidR="00971511" w:rsidRPr="00813D19">
        <w:rPr>
          <w:bCs/>
          <w:lang w:val="en-US"/>
        </w:rPr>
        <w:t xml:space="preserve">Three thousand </w:t>
      </w:r>
      <w:r w:rsidR="00B65D03" w:rsidRPr="00813D19">
        <w:rPr>
          <w:bCs/>
          <w:lang w:val="en-US"/>
        </w:rPr>
        <w:t xml:space="preserve">books </w:t>
      </w:r>
      <w:r w:rsidR="00971511" w:rsidRPr="00813D19">
        <w:rPr>
          <w:bCs/>
          <w:lang w:val="en-US"/>
        </w:rPr>
        <w:t>were printed, as well as 1,500 dictionaries</w:t>
      </w:r>
      <w:r w:rsidR="00C838A1" w:rsidRPr="00813D19">
        <w:rPr>
          <w:bCs/>
          <w:lang w:val="en-US"/>
        </w:rPr>
        <w:t>,</w:t>
      </w:r>
      <w:r w:rsidR="00971511" w:rsidRPr="00813D19">
        <w:rPr>
          <w:bCs/>
          <w:lang w:val="en-US"/>
        </w:rPr>
        <w:t xml:space="preserve"> i.e. </w:t>
      </w:r>
      <w:r w:rsidR="00B65D03" w:rsidRPr="00813D19">
        <w:rPr>
          <w:bCs/>
          <w:lang w:val="en-US"/>
        </w:rPr>
        <w:t>three dictionarie</w:t>
      </w:r>
      <w:r w:rsidR="00971511" w:rsidRPr="00813D19">
        <w:rPr>
          <w:bCs/>
          <w:lang w:val="en-US"/>
        </w:rPr>
        <w:t>s in the three local languages (</w:t>
      </w:r>
      <w:r w:rsidR="00B65D03" w:rsidRPr="00813D19">
        <w:rPr>
          <w:bCs/>
          <w:lang w:val="en-US"/>
        </w:rPr>
        <w:t>500 dictionaries for each language</w:t>
      </w:r>
      <w:r w:rsidR="00971511" w:rsidRPr="00813D19">
        <w:rPr>
          <w:bCs/>
          <w:lang w:val="en-US"/>
        </w:rPr>
        <w:t xml:space="preserve">), </w:t>
      </w:r>
      <w:r w:rsidR="00B65D03" w:rsidRPr="00813D19">
        <w:rPr>
          <w:bCs/>
          <w:lang w:val="en-US"/>
        </w:rPr>
        <w:t>and 90 storytelling sessions at the national library in Lilongwe</w:t>
      </w:r>
      <w:r w:rsidR="00971511" w:rsidRPr="00813D19">
        <w:rPr>
          <w:bCs/>
          <w:lang w:val="en-US"/>
        </w:rPr>
        <w:t xml:space="preserve"> were held</w:t>
      </w:r>
      <w:r w:rsidR="00B65D03" w:rsidRPr="00813D19">
        <w:rPr>
          <w:bCs/>
          <w:lang w:val="en-US"/>
        </w:rPr>
        <w:t xml:space="preserve">. </w:t>
      </w:r>
      <w:r w:rsidR="00971511" w:rsidRPr="00813D19">
        <w:rPr>
          <w:bCs/>
          <w:lang w:val="en-US"/>
        </w:rPr>
        <w:t>P</w:t>
      </w:r>
      <w:r w:rsidR="00B65D03" w:rsidRPr="00813D19">
        <w:rPr>
          <w:bCs/>
          <w:lang w:val="en-US"/>
        </w:rPr>
        <w:t xml:space="preserve">rogrammes </w:t>
      </w:r>
      <w:r w:rsidR="00971511" w:rsidRPr="00813D19">
        <w:rPr>
          <w:bCs/>
          <w:lang w:val="en-US"/>
        </w:rPr>
        <w:t xml:space="preserve">were also run </w:t>
      </w:r>
      <w:r w:rsidR="00B65D03" w:rsidRPr="00813D19">
        <w:rPr>
          <w:bCs/>
          <w:lang w:val="en-US"/>
        </w:rPr>
        <w:t>on the documented folktales and proverbs</w:t>
      </w:r>
      <w:r w:rsidR="00971511" w:rsidRPr="00813D19">
        <w:rPr>
          <w:bCs/>
          <w:lang w:val="en-US"/>
        </w:rPr>
        <w:t>,</w:t>
      </w:r>
      <w:r w:rsidR="00B65D03" w:rsidRPr="00813D19">
        <w:rPr>
          <w:bCs/>
          <w:lang w:val="en-US"/>
        </w:rPr>
        <w:t xml:space="preserve"> many with the natio</w:t>
      </w:r>
      <w:r w:rsidR="00C838A1" w:rsidRPr="00813D19">
        <w:rPr>
          <w:bCs/>
          <w:lang w:val="en-US"/>
        </w:rPr>
        <w:t>nal broadcaster. The project had</w:t>
      </w:r>
      <w:r w:rsidR="00B65D03" w:rsidRPr="00813D19">
        <w:rPr>
          <w:bCs/>
          <w:lang w:val="en-US"/>
        </w:rPr>
        <w:t xml:space="preserve"> since </w:t>
      </w:r>
      <w:r w:rsidR="00971511" w:rsidRPr="00813D19">
        <w:rPr>
          <w:bCs/>
          <w:lang w:val="en-US"/>
        </w:rPr>
        <w:t>terminated and the final reports include</w:t>
      </w:r>
      <w:r w:rsidR="00C838A1" w:rsidRPr="00813D19">
        <w:rPr>
          <w:bCs/>
          <w:lang w:val="en-US"/>
        </w:rPr>
        <w:t>d</w:t>
      </w:r>
      <w:r w:rsidR="00B65D03" w:rsidRPr="00813D19">
        <w:rPr>
          <w:bCs/>
          <w:lang w:val="en-US"/>
        </w:rPr>
        <w:t xml:space="preserve"> financial statements </w:t>
      </w:r>
      <w:r w:rsidR="00095F8C" w:rsidRPr="00813D19">
        <w:rPr>
          <w:bCs/>
          <w:lang w:val="en-US"/>
        </w:rPr>
        <w:t xml:space="preserve">that </w:t>
      </w:r>
      <w:r w:rsidR="00971511" w:rsidRPr="00813D19">
        <w:rPr>
          <w:bCs/>
          <w:lang w:val="en-US"/>
        </w:rPr>
        <w:t xml:space="preserve">had </w:t>
      </w:r>
      <w:r w:rsidR="00B65D03" w:rsidRPr="00813D19">
        <w:rPr>
          <w:bCs/>
          <w:lang w:val="en-US"/>
        </w:rPr>
        <w:t xml:space="preserve">already </w:t>
      </w:r>
      <w:r w:rsidR="00971511" w:rsidRPr="00813D19">
        <w:rPr>
          <w:bCs/>
          <w:lang w:val="en-US"/>
        </w:rPr>
        <w:t xml:space="preserve">been </w:t>
      </w:r>
      <w:r w:rsidR="00B65D03" w:rsidRPr="00813D19">
        <w:rPr>
          <w:bCs/>
          <w:lang w:val="en-US"/>
        </w:rPr>
        <w:t>submitted to UNESCO</w:t>
      </w:r>
      <w:r w:rsidR="00971511" w:rsidRPr="00813D19">
        <w:rPr>
          <w:bCs/>
          <w:lang w:val="en-US"/>
        </w:rPr>
        <w:t>.</w:t>
      </w:r>
      <w:r w:rsidR="00B65D03" w:rsidRPr="00813D19">
        <w:rPr>
          <w:bCs/>
          <w:lang w:val="en-US"/>
        </w:rPr>
        <w:t xml:space="preserve"> </w:t>
      </w:r>
      <w:r w:rsidR="00971511" w:rsidRPr="00813D19">
        <w:rPr>
          <w:bCs/>
          <w:lang w:val="en-US"/>
        </w:rPr>
        <w:t xml:space="preserve">The delegation </w:t>
      </w:r>
      <w:r w:rsidR="00B65D03" w:rsidRPr="00813D19">
        <w:rPr>
          <w:bCs/>
          <w:lang w:val="en-US"/>
        </w:rPr>
        <w:t>thank</w:t>
      </w:r>
      <w:r w:rsidR="00971511" w:rsidRPr="00813D19">
        <w:rPr>
          <w:bCs/>
          <w:lang w:val="en-US"/>
        </w:rPr>
        <w:t>ed</w:t>
      </w:r>
      <w:r w:rsidR="00B65D03" w:rsidRPr="00813D19">
        <w:rPr>
          <w:bCs/>
          <w:lang w:val="en-US"/>
        </w:rPr>
        <w:t xml:space="preserve"> UNESCO for </w:t>
      </w:r>
      <w:r w:rsidR="00971511" w:rsidRPr="00813D19">
        <w:rPr>
          <w:bCs/>
          <w:lang w:val="en-US"/>
        </w:rPr>
        <w:t xml:space="preserve">its </w:t>
      </w:r>
      <w:r w:rsidR="00B65D03" w:rsidRPr="00813D19">
        <w:rPr>
          <w:bCs/>
          <w:lang w:val="en-US"/>
        </w:rPr>
        <w:t>support and look</w:t>
      </w:r>
      <w:r w:rsidR="00971511" w:rsidRPr="00813D19">
        <w:rPr>
          <w:bCs/>
          <w:lang w:val="en-US"/>
        </w:rPr>
        <w:t>ed</w:t>
      </w:r>
      <w:r w:rsidR="00087166">
        <w:rPr>
          <w:bCs/>
          <w:lang w:val="en-US"/>
        </w:rPr>
        <w:t xml:space="preserve"> forward to future programmes.</w:t>
      </w:r>
    </w:p>
    <w:p w14:paraId="5347E200" w14:textId="4F5C99E6" w:rsidR="00CE52CB" w:rsidRPr="00813D19" w:rsidRDefault="00CE52CB" w:rsidP="00087166">
      <w:pPr>
        <w:pStyle w:val="Orateurengris"/>
        <w:numPr>
          <w:ilvl w:val="0"/>
          <w:numId w:val="0"/>
        </w:numPr>
        <w:spacing w:before="240" w:after="240"/>
        <w:jc w:val="center"/>
        <w:rPr>
          <w:i/>
          <w:lang w:val="en-US"/>
        </w:rPr>
      </w:pPr>
      <w:r w:rsidRPr="00813D19">
        <w:rPr>
          <w:i/>
          <w:lang w:val="en-US"/>
        </w:rPr>
        <w:t xml:space="preserve">[A </w:t>
      </w:r>
      <w:r w:rsidR="00544DDE" w:rsidRPr="00813D19">
        <w:rPr>
          <w:i/>
          <w:lang w:val="en-US"/>
        </w:rPr>
        <w:t xml:space="preserve">short film of the project </w:t>
      </w:r>
      <w:r w:rsidRPr="00813D19">
        <w:rPr>
          <w:i/>
          <w:lang w:val="en-US"/>
        </w:rPr>
        <w:t xml:space="preserve">was </w:t>
      </w:r>
      <w:r w:rsidR="008A0753" w:rsidRPr="00813D19">
        <w:rPr>
          <w:i/>
          <w:lang w:val="en-US"/>
        </w:rPr>
        <w:t>projected</w:t>
      </w:r>
      <w:r w:rsidRPr="00813D19">
        <w:rPr>
          <w:i/>
          <w:lang w:val="en-US"/>
        </w:rPr>
        <w:t>]</w:t>
      </w:r>
    </w:p>
    <w:p w14:paraId="5D6C0E0A" w14:textId="5677FDDB" w:rsidR="008E577F" w:rsidRPr="00813D19" w:rsidRDefault="008E577F" w:rsidP="008E577F">
      <w:pPr>
        <w:pStyle w:val="Orateurengris"/>
        <w:widowControl w:val="0"/>
        <w:spacing w:before="120"/>
        <w:ind w:left="709" w:hanging="709"/>
        <w:rPr>
          <w:lang w:val="en-US"/>
        </w:rPr>
      </w:pPr>
      <w:r w:rsidRPr="00813D19">
        <w:rPr>
          <w:lang w:val="en-US"/>
        </w:rPr>
        <w:t xml:space="preserve">The </w:t>
      </w:r>
      <w:r w:rsidRPr="00813D19">
        <w:rPr>
          <w:b/>
          <w:lang w:val="en-US"/>
        </w:rPr>
        <w:t>delegation of Zambia</w:t>
      </w:r>
      <w:r w:rsidR="00B65D03" w:rsidRPr="00813D19">
        <w:rPr>
          <w:b/>
          <w:lang w:val="en-US"/>
        </w:rPr>
        <w:t xml:space="preserve"> </w:t>
      </w:r>
      <w:r w:rsidR="00E84556" w:rsidRPr="00813D19">
        <w:rPr>
          <w:lang w:val="en-US"/>
        </w:rPr>
        <w:t xml:space="preserve">thanked the </w:t>
      </w:r>
      <w:r w:rsidR="00B65D03" w:rsidRPr="00813D19">
        <w:rPr>
          <w:lang w:val="en-US"/>
        </w:rPr>
        <w:t xml:space="preserve">Government and the people of Mauritius for </w:t>
      </w:r>
      <w:r w:rsidR="00E47AC2">
        <w:rPr>
          <w:lang w:val="en-US"/>
        </w:rPr>
        <w:t>their</w:t>
      </w:r>
      <w:r w:rsidR="00E84556" w:rsidRPr="00813D19">
        <w:rPr>
          <w:lang w:val="en-US"/>
        </w:rPr>
        <w:t xml:space="preserve"> welcome</w:t>
      </w:r>
      <w:r w:rsidR="00B65D03" w:rsidRPr="00813D19">
        <w:rPr>
          <w:lang w:val="en-US"/>
        </w:rPr>
        <w:t xml:space="preserve"> and for showing </w:t>
      </w:r>
      <w:r w:rsidR="00E84556" w:rsidRPr="00813D19">
        <w:rPr>
          <w:lang w:val="en-US"/>
        </w:rPr>
        <w:t xml:space="preserve">some of its </w:t>
      </w:r>
      <w:r w:rsidR="00B65D03" w:rsidRPr="00813D19">
        <w:rPr>
          <w:lang w:val="en-US"/>
        </w:rPr>
        <w:t xml:space="preserve">cultural heritage. </w:t>
      </w:r>
      <w:r w:rsidR="00E84556" w:rsidRPr="00813D19">
        <w:rPr>
          <w:lang w:val="en-US"/>
        </w:rPr>
        <w:t xml:space="preserve">It also appreciated the preservation </w:t>
      </w:r>
      <w:r w:rsidR="00573D85" w:rsidRPr="00813D19">
        <w:rPr>
          <w:lang w:val="en-US"/>
        </w:rPr>
        <w:t xml:space="preserve">of the country’s green spaces, adding that it </w:t>
      </w:r>
      <w:r w:rsidR="00B65D03" w:rsidRPr="00813D19">
        <w:rPr>
          <w:lang w:val="en-US"/>
        </w:rPr>
        <w:t xml:space="preserve">was gratifying to note and see how culture </w:t>
      </w:r>
      <w:r w:rsidR="002B7D32" w:rsidRPr="00813D19">
        <w:rPr>
          <w:lang w:val="en-US"/>
        </w:rPr>
        <w:t xml:space="preserve">breaks </w:t>
      </w:r>
      <w:r w:rsidR="00B65D03" w:rsidRPr="00813D19">
        <w:rPr>
          <w:lang w:val="en-US"/>
        </w:rPr>
        <w:t>barriers and contribute</w:t>
      </w:r>
      <w:r w:rsidR="002B7D32" w:rsidRPr="00813D19">
        <w:rPr>
          <w:lang w:val="en-US"/>
        </w:rPr>
        <w:t>s</w:t>
      </w:r>
      <w:r w:rsidR="00B65D03" w:rsidRPr="00813D19">
        <w:rPr>
          <w:lang w:val="en-US"/>
        </w:rPr>
        <w:t xml:space="preserve"> to the process of peace</w:t>
      </w:r>
      <w:r w:rsidR="002B7D32" w:rsidRPr="00813D19">
        <w:rPr>
          <w:lang w:val="en-US"/>
        </w:rPr>
        <w:t>,</w:t>
      </w:r>
      <w:r w:rsidR="00B65D03" w:rsidRPr="00813D19">
        <w:rPr>
          <w:lang w:val="en-US"/>
        </w:rPr>
        <w:t xml:space="preserve"> as </w:t>
      </w:r>
      <w:r w:rsidR="00573D85" w:rsidRPr="00813D19">
        <w:rPr>
          <w:lang w:val="en-US"/>
        </w:rPr>
        <w:t xml:space="preserve">was seen </w:t>
      </w:r>
      <w:r w:rsidR="002B7D32" w:rsidRPr="00813D19">
        <w:rPr>
          <w:lang w:val="en-US"/>
        </w:rPr>
        <w:t>in</w:t>
      </w:r>
      <w:r w:rsidR="00573D85" w:rsidRPr="00813D19">
        <w:rPr>
          <w:lang w:val="en-US"/>
        </w:rPr>
        <w:t xml:space="preserve"> the case of the </w:t>
      </w:r>
      <w:r w:rsidR="00B65D03" w:rsidRPr="00813D19">
        <w:rPr>
          <w:lang w:val="en-US"/>
        </w:rPr>
        <w:t xml:space="preserve">two Koreas. </w:t>
      </w:r>
      <w:r w:rsidR="009A2096" w:rsidRPr="00813D19">
        <w:rPr>
          <w:lang w:val="en-US"/>
        </w:rPr>
        <w:t>The project, Inventorying of proverbs of Lala community of Luano District</w:t>
      </w:r>
      <w:r w:rsidR="00E47AC2">
        <w:rPr>
          <w:lang w:val="en-US"/>
        </w:rPr>
        <w:t>,</w:t>
      </w:r>
      <w:r w:rsidR="009A2096" w:rsidRPr="00813D19">
        <w:rPr>
          <w:rStyle w:val="FootnoteReference"/>
          <w:lang w:val="en-US"/>
        </w:rPr>
        <w:footnoteReference w:id="17"/>
      </w:r>
      <w:r w:rsidR="009A2096" w:rsidRPr="00813D19">
        <w:rPr>
          <w:lang w:val="en-US"/>
        </w:rPr>
        <w:t xml:space="preserve"> </w:t>
      </w:r>
      <w:r w:rsidR="00E47AC2">
        <w:rPr>
          <w:lang w:val="en-US"/>
        </w:rPr>
        <w:t xml:space="preserve">had </w:t>
      </w:r>
      <w:r w:rsidR="00B65D03" w:rsidRPr="00813D19">
        <w:rPr>
          <w:lang w:val="en-US"/>
        </w:rPr>
        <w:t xml:space="preserve">benefited </w:t>
      </w:r>
      <w:r w:rsidR="00095F8C" w:rsidRPr="00813D19">
        <w:rPr>
          <w:lang w:val="en-US"/>
        </w:rPr>
        <w:t>from</w:t>
      </w:r>
      <w:r w:rsidR="002B7D32" w:rsidRPr="00813D19">
        <w:rPr>
          <w:lang w:val="en-US"/>
        </w:rPr>
        <w:t xml:space="preserve"> an amount of US$25,000 from </w:t>
      </w:r>
      <w:r w:rsidR="00B65D03" w:rsidRPr="00813D19">
        <w:rPr>
          <w:lang w:val="en-US"/>
        </w:rPr>
        <w:t xml:space="preserve">the </w:t>
      </w:r>
      <w:r w:rsidR="002B7D32" w:rsidRPr="00813D19">
        <w:rPr>
          <w:lang w:val="en-US"/>
        </w:rPr>
        <w:t xml:space="preserve">ICH Fund in 2016 </w:t>
      </w:r>
      <w:r w:rsidR="00B65D03" w:rsidRPr="00813D19">
        <w:rPr>
          <w:lang w:val="en-US"/>
        </w:rPr>
        <w:t xml:space="preserve">mainly for the inventorying of proverbs of the Lala ethnic group of Luano District in the </w:t>
      </w:r>
      <w:r w:rsidR="003E7512">
        <w:rPr>
          <w:lang w:val="en-US"/>
        </w:rPr>
        <w:t>C</w:t>
      </w:r>
      <w:r w:rsidR="00B65D03" w:rsidRPr="00813D19">
        <w:rPr>
          <w:lang w:val="en-US"/>
        </w:rPr>
        <w:t xml:space="preserve">entral </w:t>
      </w:r>
      <w:r w:rsidR="003E7512">
        <w:rPr>
          <w:lang w:val="en-US"/>
        </w:rPr>
        <w:t>P</w:t>
      </w:r>
      <w:r w:rsidR="00B65D03" w:rsidRPr="00813D19">
        <w:rPr>
          <w:lang w:val="en-US"/>
        </w:rPr>
        <w:t>rovince of</w:t>
      </w:r>
      <w:r w:rsidR="00095F8C" w:rsidRPr="00813D19">
        <w:rPr>
          <w:lang w:val="en-US"/>
        </w:rPr>
        <w:t xml:space="preserve"> Zambia. This is a small tribe</w:t>
      </w:r>
      <w:r w:rsidR="00B65D03" w:rsidRPr="00813D19">
        <w:rPr>
          <w:lang w:val="en-US"/>
        </w:rPr>
        <w:t xml:space="preserve"> </w:t>
      </w:r>
      <w:r w:rsidR="002B7D32" w:rsidRPr="00813D19">
        <w:rPr>
          <w:lang w:val="en-US"/>
        </w:rPr>
        <w:t xml:space="preserve">whose </w:t>
      </w:r>
      <w:r w:rsidR="00B65D03" w:rsidRPr="00813D19">
        <w:rPr>
          <w:lang w:val="en-US"/>
        </w:rPr>
        <w:t xml:space="preserve">origins </w:t>
      </w:r>
      <w:r w:rsidR="002B7D32" w:rsidRPr="00813D19">
        <w:rPr>
          <w:lang w:val="en-US"/>
        </w:rPr>
        <w:t xml:space="preserve">lay in </w:t>
      </w:r>
      <w:r w:rsidR="00B65D03" w:rsidRPr="00813D19">
        <w:rPr>
          <w:lang w:val="en-US"/>
        </w:rPr>
        <w:t>Congo</w:t>
      </w:r>
      <w:r w:rsidR="002B7D32" w:rsidRPr="00813D19">
        <w:rPr>
          <w:lang w:val="en-US"/>
        </w:rPr>
        <w:t>,</w:t>
      </w:r>
      <w:r w:rsidR="00B65D03" w:rsidRPr="00813D19">
        <w:rPr>
          <w:lang w:val="en-US"/>
        </w:rPr>
        <w:t xml:space="preserve"> but along the way </w:t>
      </w:r>
      <w:r w:rsidR="002B7D32" w:rsidRPr="00813D19">
        <w:rPr>
          <w:lang w:val="en-US"/>
        </w:rPr>
        <w:t xml:space="preserve">many </w:t>
      </w:r>
      <w:r w:rsidR="00B65D03" w:rsidRPr="00813D19">
        <w:rPr>
          <w:lang w:val="en-US"/>
        </w:rPr>
        <w:t>cultural aspects</w:t>
      </w:r>
      <w:r w:rsidR="002B7D32" w:rsidRPr="00813D19">
        <w:rPr>
          <w:lang w:val="en-US"/>
        </w:rPr>
        <w:t xml:space="preserve"> </w:t>
      </w:r>
      <w:r w:rsidR="00E47AC2">
        <w:rPr>
          <w:lang w:val="en-US"/>
        </w:rPr>
        <w:t>had been</w:t>
      </w:r>
      <w:r w:rsidR="00E47AC2" w:rsidRPr="00813D19">
        <w:rPr>
          <w:lang w:val="en-US"/>
        </w:rPr>
        <w:t xml:space="preserve"> </w:t>
      </w:r>
      <w:r w:rsidR="002B7D32" w:rsidRPr="00813D19">
        <w:rPr>
          <w:lang w:val="en-US"/>
        </w:rPr>
        <w:t xml:space="preserve">picked up and </w:t>
      </w:r>
      <w:r w:rsidR="00B65D03" w:rsidRPr="00813D19">
        <w:rPr>
          <w:lang w:val="en-US"/>
        </w:rPr>
        <w:t xml:space="preserve">were </w:t>
      </w:r>
      <w:r w:rsidR="002B7D32" w:rsidRPr="00813D19">
        <w:rPr>
          <w:lang w:val="en-US"/>
        </w:rPr>
        <w:t xml:space="preserve">now </w:t>
      </w:r>
      <w:r w:rsidR="00B65D03" w:rsidRPr="00813D19">
        <w:rPr>
          <w:lang w:val="en-US"/>
        </w:rPr>
        <w:t xml:space="preserve">under </w:t>
      </w:r>
      <w:r w:rsidR="002B7D32" w:rsidRPr="00813D19">
        <w:rPr>
          <w:lang w:val="en-US"/>
        </w:rPr>
        <w:t xml:space="preserve">the risk </w:t>
      </w:r>
      <w:r w:rsidR="00B65D03" w:rsidRPr="00813D19">
        <w:rPr>
          <w:lang w:val="en-US"/>
        </w:rPr>
        <w:t xml:space="preserve">of disappearing. The project ran from September 2016 to September 2017. </w:t>
      </w:r>
      <w:r w:rsidR="002B7D32" w:rsidRPr="00813D19">
        <w:rPr>
          <w:lang w:val="en-US"/>
        </w:rPr>
        <w:t>D</w:t>
      </w:r>
      <w:r w:rsidR="00B65D03" w:rsidRPr="00813D19">
        <w:rPr>
          <w:lang w:val="en-US"/>
        </w:rPr>
        <w:t xml:space="preserve">espite the challenges </w:t>
      </w:r>
      <w:r w:rsidR="002B7D32" w:rsidRPr="00813D19">
        <w:rPr>
          <w:lang w:val="en-US"/>
        </w:rPr>
        <w:t xml:space="preserve">faced, the project achieved its </w:t>
      </w:r>
      <w:r w:rsidR="00B65D03" w:rsidRPr="00813D19">
        <w:rPr>
          <w:lang w:val="en-US"/>
        </w:rPr>
        <w:t xml:space="preserve">objectives. </w:t>
      </w:r>
      <w:r w:rsidR="002B7D32" w:rsidRPr="00813D19">
        <w:rPr>
          <w:lang w:val="en-US"/>
        </w:rPr>
        <w:t xml:space="preserve">The team </w:t>
      </w:r>
      <w:r w:rsidR="00B65D03" w:rsidRPr="00813D19">
        <w:rPr>
          <w:lang w:val="en-US"/>
        </w:rPr>
        <w:t>had to deal with the rough terrain</w:t>
      </w:r>
      <w:r w:rsidR="002B7D32" w:rsidRPr="00813D19">
        <w:rPr>
          <w:lang w:val="en-US"/>
        </w:rPr>
        <w:t xml:space="preserve">, which was inaccessible to </w:t>
      </w:r>
      <w:r w:rsidR="00B65D03" w:rsidRPr="00813D19">
        <w:rPr>
          <w:lang w:val="en-US"/>
        </w:rPr>
        <w:t>vehicles</w:t>
      </w:r>
      <w:r w:rsidR="002B7D32" w:rsidRPr="00813D19">
        <w:rPr>
          <w:lang w:val="en-US"/>
        </w:rPr>
        <w:t>, by walking and riding</w:t>
      </w:r>
      <w:r w:rsidR="00B65D03" w:rsidRPr="00813D19">
        <w:rPr>
          <w:lang w:val="en-US"/>
        </w:rPr>
        <w:t xml:space="preserve"> bicycles to reach certain people </w:t>
      </w:r>
      <w:r w:rsidR="002B7D32" w:rsidRPr="00813D19">
        <w:rPr>
          <w:lang w:val="en-US"/>
        </w:rPr>
        <w:t xml:space="preserve">who </w:t>
      </w:r>
      <w:r w:rsidR="00B65D03" w:rsidRPr="00813D19">
        <w:rPr>
          <w:lang w:val="en-US"/>
        </w:rPr>
        <w:t xml:space="preserve">were key </w:t>
      </w:r>
      <w:r w:rsidR="002B7D32" w:rsidRPr="00813D19">
        <w:rPr>
          <w:lang w:val="en-US"/>
        </w:rPr>
        <w:t xml:space="preserve">to </w:t>
      </w:r>
      <w:r w:rsidR="00B65D03" w:rsidRPr="00813D19">
        <w:rPr>
          <w:lang w:val="en-US"/>
        </w:rPr>
        <w:t xml:space="preserve">the project. There were </w:t>
      </w:r>
      <w:r w:rsidR="00184C0F" w:rsidRPr="00813D19">
        <w:rPr>
          <w:lang w:val="en-US"/>
        </w:rPr>
        <w:t xml:space="preserve">other </w:t>
      </w:r>
      <w:r w:rsidR="00B65D03" w:rsidRPr="00813D19">
        <w:rPr>
          <w:lang w:val="en-US"/>
        </w:rPr>
        <w:t xml:space="preserve">issues </w:t>
      </w:r>
      <w:r w:rsidR="00184C0F" w:rsidRPr="00813D19">
        <w:rPr>
          <w:lang w:val="en-US"/>
        </w:rPr>
        <w:t xml:space="preserve">related to the </w:t>
      </w:r>
      <w:r w:rsidR="00B65D03" w:rsidRPr="00813D19">
        <w:rPr>
          <w:lang w:val="en-US"/>
        </w:rPr>
        <w:t xml:space="preserve">rural </w:t>
      </w:r>
      <w:r w:rsidR="00184C0F" w:rsidRPr="00813D19">
        <w:rPr>
          <w:lang w:val="en-US"/>
        </w:rPr>
        <w:t xml:space="preserve">nature of the site, such as </w:t>
      </w:r>
      <w:r w:rsidR="00B65D03" w:rsidRPr="00813D19">
        <w:rPr>
          <w:lang w:val="en-US"/>
        </w:rPr>
        <w:t>power sources. One of the unexpected challenges was the translation from Lala into English</w:t>
      </w:r>
      <w:r w:rsidR="00184C0F" w:rsidRPr="00813D19">
        <w:rPr>
          <w:lang w:val="en-US"/>
        </w:rPr>
        <w:t>,</w:t>
      </w:r>
      <w:r w:rsidR="00B65D03" w:rsidRPr="00813D19">
        <w:rPr>
          <w:lang w:val="en-US"/>
        </w:rPr>
        <w:t xml:space="preserve"> </w:t>
      </w:r>
      <w:r w:rsidR="00184C0F" w:rsidRPr="00813D19">
        <w:rPr>
          <w:lang w:val="en-US"/>
        </w:rPr>
        <w:t xml:space="preserve">and the team had </w:t>
      </w:r>
      <w:r w:rsidR="00B65D03" w:rsidRPr="00813D19">
        <w:rPr>
          <w:lang w:val="en-US"/>
        </w:rPr>
        <w:t xml:space="preserve">to repeatedly ask for explanations </w:t>
      </w:r>
      <w:r w:rsidR="006D77BF">
        <w:rPr>
          <w:lang w:val="en-US"/>
        </w:rPr>
        <w:t>about</w:t>
      </w:r>
      <w:r w:rsidR="00184C0F" w:rsidRPr="00813D19">
        <w:rPr>
          <w:lang w:val="en-US"/>
        </w:rPr>
        <w:t xml:space="preserve"> </w:t>
      </w:r>
      <w:r w:rsidR="00B65D03" w:rsidRPr="00813D19">
        <w:rPr>
          <w:lang w:val="en-US"/>
        </w:rPr>
        <w:t xml:space="preserve">the proverbs </w:t>
      </w:r>
      <w:r w:rsidR="00184C0F" w:rsidRPr="00813D19">
        <w:rPr>
          <w:lang w:val="en-US"/>
        </w:rPr>
        <w:t xml:space="preserve">so that they could be properly </w:t>
      </w:r>
      <w:r w:rsidR="00B65D03" w:rsidRPr="00813D19">
        <w:rPr>
          <w:lang w:val="en-US"/>
        </w:rPr>
        <w:t xml:space="preserve">translated. </w:t>
      </w:r>
      <w:r w:rsidR="00184C0F" w:rsidRPr="00813D19">
        <w:rPr>
          <w:lang w:val="en-US"/>
        </w:rPr>
        <w:t xml:space="preserve">In total, twenty </w:t>
      </w:r>
      <w:r w:rsidR="00B65D03" w:rsidRPr="00813D19">
        <w:rPr>
          <w:lang w:val="en-US"/>
        </w:rPr>
        <w:t>custodians and practitioners</w:t>
      </w:r>
      <w:r w:rsidR="00095F8C" w:rsidRPr="00813D19">
        <w:rPr>
          <w:lang w:val="en-US"/>
        </w:rPr>
        <w:t xml:space="preserve"> were trained by UNESCO-</w:t>
      </w:r>
      <w:r w:rsidR="00B65D03" w:rsidRPr="00813D19">
        <w:rPr>
          <w:lang w:val="en-US"/>
        </w:rPr>
        <w:t xml:space="preserve">accredited facilitators in inventorying intangible cultural heritage, focusing on the Lala proverbs. Through the practical exercises carried out during the training, participants successfully inventoried the Lala proverbs, which </w:t>
      </w:r>
      <w:r w:rsidR="006D77BF">
        <w:rPr>
          <w:lang w:val="en-US"/>
        </w:rPr>
        <w:t>were</w:t>
      </w:r>
      <w:r w:rsidR="006D77BF" w:rsidRPr="00813D19">
        <w:rPr>
          <w:lang w:val="en-US"/>
        </w:rPr>
        <w:t xml:space="preserve"> </w:t>
      </w:r>
      <w:r w:rsidR="00B65D03" w:rsidRPr="00813D19">
        <w:rPr>
          <w:lang w:val="en-US"/>
        </w:rPr>
        <w:t xml:space="preserve">now part of the national ICH inventory. </w:t>
      </w:r>
      <w:r w:rsidR="00184C0F" w:rsidRPr="00813D19">
        <w:rPr>
          <w:lang w:val="en-US"/>
        </w:rPr>
        <w:t>T</w:t>
      </w:r>
      <w:r w:rsidR="00B65D03" w:rsidRPr="00813D19">
        <w:rPr>
          <w:lang w:val="en-US"/>
        </w:rPr>
        <w:t>o ensure the transmission of the inventory of ICH</w:t>
      </w:r>
      <w:r w:rsidR="00184C0F" w:rsidRPr="00813D19">
        <w:rPr>
          <w:lang w:val="en-US"/>
        </w:rPr>
        <w:t>,</w:t>
      </w:r>
      <w:r w:rsidR="00B65D03" w:rsidRPr="00813D19">
        <w:rPr>
          <w:lang w:val="en-US"/>
        </w:rPr>
        <w:t xml:space="preserve"> the project </w:t>
      </w:r>
      <w:r w:rsidR="00184C0F" w:rsidRPr="00813D19">
        <w:rPr>
          <w:lang w:val="en-US"/>
        </w:rPr>
        <w:t xml:space="preserve">team </w:t>
      </w:r>
      <w:r w:rsidR="00B65D03" w:rsidRPr="00813D19">
        <w:rPr>
          <w:lang w:val="en-US"/>
        </w:rPr>
        <w:t xml:space="preserve">engaged teachers from </w:t>
      </w:r>
      <w:r w:rsidR="00184C0F" w:rsidRPr="00813D19">
        <w:rPr>
          <w:lang w:val="en-US"/>
        </w:rPr>
        <w:t xml:space="preserve">the </w:t>
      </w:r>
      <w:r w:rsidR="00B65D03" w:rsidRPr="00813D19">
        <w:rPr>
          <w:lang w:val="en-US"/>
        </w:rPr>
        <w:t xml:space="preserve">various schools in the area, </w:t>
      </w:r>
      <w:r w:rsidR="00184C0F" w:rsidRPr="00813D19">
        <w:rPr>
          <w:lang w:val="en-US"/>
        </w:rPr>
        <w:t xml:space="preserve">as well as </w:t>
      </w:r>
      <w:r w:rsidR="002F3E10" w:rsidRPr="00813D19">
        <w:rPr>
          <w:lang w:val="en-US"/>
        </w:rPr>
        <w:t xml:space="preserve">community leaders and </w:t>
      </w:r>
      <w:r w:rsidR="00095F8C" w:rsidRPr="00813D19">
        <w:rPr>
          <w:lang w:val="en-US"/>
        </w:rPr>
        <w:t>chiefs</w:t>
      </w:r>
      <w:r w:rsidR="002F3E10" w:rsidRPr="00813D19">
        <w:rPr>
          <w:lang w:val="en-US"/>
        </w:rPr>
        <w:t xml:space="preserve"> </w:t>
      </w:r>
      <w:r w:rsidR="00B65D03" w:rsidRPr="00813D19">
        <w:rPr>
          <w:lang w:val="en-US"/>
        </w:rPr>
        <w:t>in the dis</w:t>
      </w:r>
      <w:r w:rsidR="00744CA3" w:rsidRPr="00813D19">
        <w:rPr>
          <w:lang w:val="en-US"/>
        </w:rPr>
        <w:t xml:space="preserve">trict to create cultural groups, which—through this project—had </w:t>
      </w:r>
      <w:r w:rsidR="00B65D03" w:rsidRPr="00813D19">
        <w:rPr>
          <w:lang w:val="en-US"/>
        </w:rPr>
        <w:t>become very active and</w:t>
      </w:r>
      <w:r w:rsidR="006D77BF">
        <w:rPr>
          <w:lang w:val="en-US"/>
        </w:rPr>
        <w:t xml:space="preserve"> were</w:t>
      </w:r>
      <w:r w:rsidR="00B65D03" w:rsidRPr="00813D19">
        <w:rPr>
          <w:lang w:val="en-US"/>
        </w:rPr>
        <w:t xml:space="preserve"> being used to promote cultural education </w:t>
      </w:r>
      <w:r w:rsidR="00744CA3" w:rsidRPr="00813D19">
        <w:rPr>
          <w:lang w:val="en-US"/>
        </w:rPr>
        <w:t xml:space="preserve">among </w:t>
      </w:r>
      <w:r w:rsidR="00B65D03" w:rsidRPr="00813D19">
        <w:rPr>
          <w:lang w:val="en-US"/>
        </w:rPr>
        <w:t xml:space="preserve">children and youth. </w:t>
      </w:r>
      <w:r w:rsidR="00744CA3" w:rsidRPr="00813D19">
        <w:rPr>
          <w:lang w:val="en-US"/>
        </w:rPr>
        <w:t xml:space="preserve">They were </w:t>
      </w:r>
      <w:r w:rsidR="00B65D03" w:rsidRPr="00813D19">
        <w:rPr>
          <w:lang w:val="en-US"/>
        </w:rPr>
        <w:t xml:space="preserve">also using established traditional structures to pass on the tradition. There </w:t>
      </w:r>
      <w:r w:rsidR="00744CA3" w:rsidRPr="00813D19">
        <w:rPr>
          <w:lang w:val="en-US"/>
        </w:rPr>
        <w:t xml:space="preserve">had been </w:t>
      </w:r>
      <w:r w:rsidR="00B65D03" w:rsidRPr="00813D19">
        <w:rPr>
          <w:lang w:val="en-US"/>
        </w:rPr>
        <w:t>no definite inventory at the time of the project in Luano</w:t>
      </w:r>
      <w:r w:rsidR="00744CA3" w:rsidRPr="00813D19">
        <w:rPr>
          <w:lang w:val="en-US"/>
        </w:rPr>
        <w:t>,</w:t>
      </w:r>
      <w:r w:rsidR="00B65D03" w:rsidRPr="00813D19">
        <w:rPr>
          <w:lang w:val="en-US"/>
        </w:rPr>
        <w:t xml:space="preserve"> but </w:t>
      </w:r>
      <w:r w:rsidR="00744CA3" w:rsidRPr="00813D19">
        <w:rPr>
          <w:lang w:val="en-US"/>
        </w:rPr>
        <w:t xml:space="preserve">since the </w:t>
      </w:r>
      <w:r w:rsidR="00B65D03" w:rsidRPr="00813D19">
        <w:rPr>
          <w:lang w:val="en-US"/>
        </w:rPr>
        <w:t>project</w:t>
      </w:r>
      <w:r w:rsidR="00744CA3" w:rsidRPr="00813D19">
        <w:rPr>
          <w:lang w:val="en-US"/>
        </w:rPr>
        <w:t>,</w:t>
      </w:r>
      <w:r w:rsidR="00B65D03" w:rsidRPr="00813D19">
        <w:rPr>
          <w:lang w:val="en-US"/>
        </w:rPr>
        <w:t xml:space="preserve"> an inventory </w:t>
      </w:r>
      <w:r w:rsidR="00095F8C" w:rsidRPr="00813D19">
        <w:rPr>
          <w:lang w:val="en-US"/>
        </w:rPr>
        <w:t>had</w:t>
      </w:r>
      <w:r w:rsidR="00744CA3" w:rsidRPr="00813D19">
        <w:rPr>
          <w:lang w:val="en-US"/>
        </w:rPr>
        <w:t xml:space="preserve"> been established </w:t>
      </w:r>
      <w:r w:rsidR="00B65D03" w:rsidRPr="00813D19">
        <w:rPr>
          <w:lang w:val="en-US"/>
        </w:rPr>
        <w:t xml:space="preserve">and one of the outputs, a one-page booklet entitled </w:t>
      </w:r>
      <w:r w:rsidR="00B65D03" w:rsidRPr="00813D19">
        <w:rPr>
          <w:i/>
          <w:lang w:val="en-US"/>
        </w:rPr>
        <w:t>Proverbs of the Lala Ethnic Group in Central Zambia</w:t>
      </w:r>
      <w:r w:rsidR="00744CA3" w:rsidRPr="00813D19">
        <w:rPr>
          <w:lang w:val="en-US"/>
        </w:rPr>
        <w:t xml:space="preserve">, </w:t>
      </w:r>
      <w:r w:rsidR="006D77BF">
        <w:rPr>
          <w:lang w:val="en-US"/>
        </w:rPr>
        <w:t>was</w:t>
      </w:r>
      <w:r w:rsidR="00744CA3" w:rsidRPr="00813D19">
        <w:rPr>
          <w:lang w:val="en-US"/>
        </w:rPr>
        <w:t xml:space="preserve"> soon to be published</w:t>
      </w:r>
      <w:r w:rsidR="00B65D03" w:rsidRPr="00813D19">
        <w:rPr>
          <w:lang w:val="en-US"/>
        </w:rPr>
        <w:t xml:space="preserve">. There </w:t>
      </w:r>
      <w:r w:rsidR="006D77BF">
        <w:rPr>
          <w:lang w:val="en-US"/>
        </w:rPr>
        <w:t>was</w:t>
      </w:r>
      <w:r w:rsidR="00B65D03" w:rsidRPr="00813D19">
        <w:rPr>
          <w:lang w:val="en-US"/>
        </w:rPr>
        <w:t xml:space="preserve"> now an existing ICH Committee to ensure </w:t>
      </w:r>
      <w:r w:rsidR="001839A3" w:rsidRPr="00813D19">
        <w:rPr>
          <w:lang w:val="en-US"/>
        </w:rPr>
        <w:t xml:space="preserve">the momentum and to </w:t>
      </w:r>
      <w:r w:rsidR="00B65D03" w:rsidRPr="00813D19">
        <w:rPr>
          <w:lang w:val="en-US"/>
        </w:rPr>
        <w:t xml:space="preserve">keep an eye on ICH </w:t>
      </w:r>
      <w:r w:rsidR="001839A3" w:rsidRPr="00813D19">
        <w:rPr>
          <w:lang w:val="en-US"/>
        </w:rPr>
        <w:t xml:space="preserve">actions, while </w:t>
      </w:r>
      <w:r w:rsidR="00B65D03" w:rsidRPr="00813D19">
        <w:rPr>
          <w:lang w:val="en-US"/>
        </w:rPr>
        <w:t xml:space="preserve">the involvement of gatekeepers </w:t>
      </w:r>
      <w:r w:rsidR="001839A3" w:rsidRPr="00813D19">
        <w:rPr>
          <w:lang w:val="en-US"/>
        </w:rPr>
        <w:t xml:space="preserve">was </w:t>
      </w:r>
      <w:r w:rsidR="00B65D03" w:rsidRPr="00813D19">
        <w:rPr>
          <w:lang w:val="en-US"/>
        </w:rPr>
        <w:t xml:space="preserve">deemed </w:t>
      </w:r>
      <w:r w:rsidR="001839A3" w:rsidRPr="00813D19">
        <w:rPr>
          <w:lang w:val="en-US"/>
        </w:rPr>
        <w:t>important as they</w:t>
      </w:r>
      <w:r w:rsidR="006D77BF">
        <w:rPr>
          <w:lang w:val="en-US"/>
        </w:rPr>
        <w:t xml:space="preserve"> were</w:t>
      </w:r>
      <w:r w:rsidR="001839A3" w:rsidRPr="00813D19">
        <w:rPr>
          <w:lang w:val="en-US"/>
        </w:rPr>
        <w:t xml:space="preserve"> encouraging </w:t>
      </w:r>
      <w:r w:rsidR="00B65D03" w:rsidRPr="00813D19">
        <w:rPr>
          <w:lang w:val="en-US"/>
        </w:rPr>
        <w:t xml:space="preserve">the educational and cultural groups to </w:t>
      </w:r>
      <w:r w:rsidR="001839A3" w:rsidRPr="00813D19">
        <w:rPr>
          <w:lang w:val="en-US"/>
        </w:rPr>
        <w:t>continue</w:t>
      </w:r>
      <w:r w:rsidR="00B65D03" w:rsidRPr="00813D19">
        <w:rPr>
          <w:lang w:val="en-US"/>
        </w:rPr>
        <w:t xml:space="preserve">. </w:t>
      </w:r>
      <w:r w:rsidR="001839A3" w:rsidRPr="00813D19">
        <w:rPr>
          <w:lang w:val="en-US"/>
        </w:rPr>
        <w:t xml:space="preserve">The delegation was thus </w:t>
      </w:r>
      <w:r w:rsidR="00B65D03" w:rsidRPr="00813D19">
        <w:rPr>
          <w:lang w:val="en-US"/>
        </w:rPr>
        <w:t>grateful to UNESCO for having provided the funds for the project</w:t>
      </w:r>
      <w:r w:rsidR="001839A3" w:rsidRPr="00813D19">
        <w:rPr>
          <w:lang w:val="en-US"/>
        </w:rPr>
        <w:t>,</w:t>
      </w:r>
      <w:r w:rsidR="00B65D03" w:rsidRPr="00813D19">
        <w:rPr>
          <w:lang w:val="en-US"/>
        </w:rPr>
        <w:t xml:space="preserve"> </w:t>
      </w:r>
      <w:r w:rsidR="001839A3" w:rsidRPr="00813D19">
        <w:rPr>
          <w:lang w:val="en-US"/>
        </w:rPr>
        <w:t xml:space="preserve">and it </w:t>
      </w:r>
      <w:r w:rsidR="00B65D03" w:rsidRPr="00813D19">
        <w:rPr>
          <w:lang w:val="en-US"/>
        </w:rPr>
        <w:t>look</w:t>
      </w:r>
      <w:r w:rsidR="001839A3" w:rsidRPr="00813D19">
        <w:rPr>
          <w:lang w:val="en-US"/>
        </w:rPr>
        <w:t>ed</w:t>
      </w:r>
      <w:r w:rsidR="00B65D03" w:rsidRPr="00813D19">
        <w:rPr>
          <w:lang w:val="en-US"/>
        </w:rPr>
        <w:t xml:space="preserve"> forward to continued partnership as </w:t>
      </w:r>
      <w:r w:rsidR="001839A3" w:rsidRPr="00813D19">
        <w:rPr>
          <w:lang w:val="en-US"/>
        </w:rPr>
        <w:t xml:space="preserve">it brought </w:t>
      </w:r>
      <w:r w:rsidR="00B65D03" w:rsidRPr="00813D19">
        <w:rPr>
          <w:lang w:val="en-US"/>
        </w:rPr>
        <w:t>more inventories to the Committee.</w:t>
      </w:r>
    </w:p>
    <w:p w14:paraId="47FD45D4" w14:textId="7E3F284B" w:rsidR="00DE1290" w:rsidRPr="00813D19" w:rsidRDefault="006D77BF" w:rsidP="00DE3D9F">
      <w:pPr>
        <w:pStyle w:val="Orateurengris"/>
        <w:widowControl w:val="0"/>
        <w:spacing w:before="120"/>
        <w:ind w:left="709" w:hanging="709"/>
        <w:rPr>
          <w:lang w:val="en-US"/>
        </w:rPr>
      </w:pPr>
      <w:r>
        <w:rPr>
          <w:lang w:val="en-US"/>
        </w:rPr>
        <w:t>Having thanked</w:t>
      </w:r>
      <w:r w:rsidR="001839A3" w:rsidRPr="00813D19">
        <w:rPr>
          <w:lang w:val="en-US"/>
        </w:rPr>
        <w:t xml:space="preserve"> the States Parties for sharing their experiences, t</w:t>
      </w:r>
      <w:r w:rsidR="00CE52CB" w:rsidRPr="00813D19">
        <w:rPr>
          <w:lang w:val="en-US"/>
        </w:rPr>
        <w:t xml:space="preserve">he </w:t>
      </w:r>
      <w:r w:rsidR="00CE52CB" w:rsidRPr="00813D19">
        <w:rPr>
          <w:b/>
          <w:lang w:val="en-US"/>
        </w:rPr>
        <w:t>Chairperson</w:t>
      </w:r>
      <w:r w:rsidR="00CE52CB" w:rsidRPr="00813D19">
        <w:rPr>
          <w:lang w:val="en-US"/>
        </w:rPr>
        <w:t xml:space="preserve"> </w:t>
      </w:r>
      <w:r w:rsidR="00AB684A" w:rsidRPr="00813D19">
        <w:rPr>
          <w:lang w:val="en-US"/>
        </w:rPr>
        <w:t xml:space="preserve">noted </w:t>
      </w:r>
      <w:r w:rsidR="00DE3D9F" w:rsidRPr="00813D19">
        <w:rPr>
          <w:lang w:val="en-US"/>
        </w:rPr>
        <w:t xml:space="preserve">that </w:t>
      </w:r>
      <w:r w:rsidR="001839A3" w:rsidRPr="00813D19">
        <w:rPr>
          <w:lang w:val="en-US"/>
        </w:rPr>
        <w:t>Cô</w:t>
      </w:r>
      <w:r w:rsidR="00161372" w:rsidRPr="00813D19">
        <w:rPr>
          <w:lang w:val="en-US"/>
        </w:rPr>
        <w:t>te d’Ivoire wis</w:t>
      </w:r>
      <w:r w:rsidR="00DE3D9F" w:rsidRPr="00813D19">
        <w:rPr>
          <w:lang w:val="en-US"/>
        </w:rPr>
        <w:t>hed</w:t>
      </w:r>
      <w:r w:rsidR="00161372" w:rsidRPr="00813D19">
        <w:rPr>
          <w:lang w:val="en-US"/>
        </w:rPr>
        <w:t xml:space="preserve"> to take the floor to share </w:t>
      </w:r>
      <w:r w:rsidR="001839A3" w:rsidRPr="00813D19">
        <w:rPr>
          <w:lang w:val="en-US"/>
        </w:rPr>
        <w:t xml:space="preserve">its </w:t>
      </w:r>
      <w:r w:rsidR="00161372" w:rsidRPr="00813D19">
        <w:rPr>
          <w:lang w:val="en-US"/>
        </w:rPr>
        <w:t xml:space="preserve">achievements in the implementation of </w:t>
      </w:r>
      <w:r w:rsidR="00DE3D9F" w:rsidRPr="00813D19">
        <w:rPr>
          <w:lang w:val="en-US"/>
        </w:rPr>
        <w:t xml:space="preserve">its </w:t>
      </w:r>
      <w:r w:rsidR="00161372" w:rsidRPr="00813D19">
        <w:rPr>
          <w:lang w:val="en-US"/>
        </w:rPr>
        <w:t>ongoing emergency International Assistance project.</w:t>
      </w:r>
    </w:p>
    <w:p w14:paraId="7EA82153" w14:textId="34321CB2" w:rsidR="001839A3" w:rsidRPr="00087166" w:rsidRDefault="00DE3D9F" w:rsidP="00B77328">
      <w:pPr>
        <w:pStyle w:val="Orateurengris"/>
        <w:widowControl w:val="0"/>
        <w:spacing w:before="120"/>
        <w:ind w:left="709" w:hanging="709"/>
        <w:rPr>
          <w:bCs/>
          <w:color w:val="000000" w:themeColor="text1"/>
          <w:lang w:val="en-US"/>
        </w:rPr>
      </w:pPr>
      <w:r w:rsidRPr="00813D19">
        <w:rPr>
          <w:lang w:val="en-US"/>
        </w:rPr>
        <w:t xml:space="preserve">The </w:t>
      </w:r>
      <w:r w:rsidRPr="00813D19">
        <w:rPr>
          <w:b/>
          <w:lang w:val="en-US"/>
        </w:rPr>
        <w:t>delegation of Côte d’Ivoire</w:t>
      </w:r>
      <w:r w:rsidR="00B65D03" w:rsidRPr="00813D19">
        <w:rPr>
          <w:lang w:val="en-US"/>
        </w:rPr>
        <w:t xml:space="preserve"> </w:t>
      </w:r>
      <w:r w:rsidR="001839A3" w:rsidRPr="00813D19">
        <w:rPr>
          <w:bCs/>
          <w:lang w:val="en-US"/>
        </w:rPr>
        <w:t>thank</w:t>
      </w:r>
      <w:r w:rsidR="00B77328" w:rsidRPr="00813D19">
        <w:rPr>
          <w:bCs/>
          <w:lang w:val="en-US"/>
        </w:rPr>
        <w:t>ed</w:t>
      </w:r>
      <w:r w:rsidR="001839A3" w:rsidRPr="00813D19">
        <w:rPr>
          <w:bCs/>
          <w:lang w:val="en-US"/>
        </w:rPr>
        <w:t xml:space="preserve"> the Mauritian authori</w:t>
      </w:r>
      <w:r w:rsidR="00B77328" w:rsidRPr="00813D19">
        <w:rPr>
          <w:bCs/>
          <w:lang w:val="en-US"/>
        </w:rPr>
        <w:t xml:space="preserve">ties for their kind hospitality, and </w:t>
      </w:r>
      <w:r w:rsidR="001839A3" w:rsidRPr="00813D19">
        <w:rPr>
          <w:bCs/>
          <w:lang w:val="en-US"/>
        </w:rPr>
        <w:t xml:space="preserve">UNESCO </w:t>
      </w:r>
      <w:r w:rsidR="00B77328" w:rsidRPr="00813D19">
        <w:rPr>
          <w:bCs/>
          <w:lang w:val="en-US"/>
        </w:rPr>
        <w:t>for its financial support of US$</w:t>
      </w:r>
      <w:r w:rsidR="00E47F0F" w:rsidRPr="00813D19">
        <w:rPr>
          <w:bCs/>
          <w:lang w:val="en-US"/>
        </w:rPr>
        <w:t xml:space="preserve">299,972 that </w:t>
      </w:r>
      <w:r w:rsidR="006D77BF">
        <w:rPr>
          <w:bCs/>
          <w:lang w:val="en-US"/>
        </w:rPr>
        <w:t>had allowed for</w:t>
      </w:r>
      <w:r w:rsidR="006D77BF" w:rsidRPr="00813D19">
        <w:rPr>
          <w:bCs/>
          <w:lang w:val="en-US"/>
        </w:rPr>
        <w:t xml:space="preserve"> </w:t>
      </w:r>
      <w:r w:rsidR="001839A3" w:rsidRPr="00813D19">
        <w:rPr>
          <w:bCs/>
          <w:lang w:val="en-US"/>
        </w:rPr>
        <w:t xml:space="preserve">the </w:t>
      </w:r>
      <w:r w:rsidR="00D93B39" w:rsidRPr="00813D19">
        <w:rPr>
          <w:bCs/>
          <w:lang w:val="en-US"/>
        </w:rPr>
        <w:t>project, I</w:t>
      </w:r>
      <w:r w:rsidR="001839A3" w:rsidRPr="00813D19">
        <w:rPr>
          <w:bCs/>
          <w:lang w:val="en-US"/>
        </w:rPr>
        <w:t xml:space="preserve">nventory of </w:t>
      </w:r>
      <w:r w:rsidR="00D93B39" w:rsidRPr="00813D19">
        <w:rPr>
          <w:bCs/>
          <w:lang w:val="en-US"/>
        </w:rPr>
        <w:t xml:space="preserve">the intangible cultural heritage </w:t>
      </w:r>
      <w:r w:rsidR="001839A3" w:rsidRPr="00813D19">
        <w:rPr>
          <w:bCs/>
          <w:lang w:val="en-US"/>
        </w:rPr>
        <w:t xml:space="preserve">present in Côte d'Ivoire </w:t>
      </w:r>
      <w:r w:rsidR="00D93B39" w:rsidRPr="00813D19">
        <w:rPr>
          <w:bCs/>
          <w:lang w:val="en-US"/>
        </w:rPr>
        <w:t xml:space="preserve">in </w:t>
      </w:r>
      <w:r w:rsidR="00E47F0F" w:rsidRPr="00813D19">
        <w:rPr>
          <w:bCs/>
          <w:lang w:val="en-US"/>
        </w:rPr>
        <w:t xml:space="preserve">view </w:t>
      </w:r>
      <w:r w:rsidR="00D93B39" w:rsidRPr="00813D19">
        <w:rPr>
          <w:bCs/>
          <w:lang w:val="en-US"/>
        </w:rPr>
        <w:t xml:space="preserve">of </w:t>
      </w:r>
      <w:r w:rsidR="00E47F0F" w:rsidRPr="00813D19">
        <w:rPr>
          <w:bCs/>
          <w:lang w:val="en-US"/>
        </w:rPr>
        <w:t>its urgent safeguarding</w:t>
      </w:r>
      <w:r w:rsidR="009C5951" w:rsidRPr="00813D19">
        <w:rPr>
          <w:rStyle w:val="FootnoteReference"/>
          <w:bCs/>
          <w:lang w:val="en-US"/>
        </w:rPr>
        <w:footnoteReference w:id="18"/>
      </w:r>
      <w:r w:rsidR="001839A3" w:rsidRPr="00813D19">
        <w:rPr>
          <w:bCs/>
          <w:lang w:val="en-US"/>
        </w:rPr>
        <w:t xml:space="preserve">. Started in 2016, the implementation of </w:t>
      </w:r>
      <w:r w:rsidR="009C5951" w:rsidRPr="00813D19">
        <w:rPr>
          <w:bCs/>
          <w:lang w:val="en-US"/>
        </w:rPr>
        <w:t>the inventory had</w:t>
      </w:r>
      <w:r w:rsidR="001839A3" w:rsidRPr="00813D19">
        <w:rPr>
          <w:bCs/>
          <w:lang w:val="en-US"/>
        </w:rPr>
        <w:t xml:space="preserve"> been beneficial to Côte d'Ivoire in more </w:t>
      </w:r>
      <w:r w:rsidR="0026268D" w:rsidRPr="00813D19">
        <w:rPr>
          <w:bCs/>
          <w:lang w:val="en-US"/>
        </w:rPr>
        <w:t xml:space="preserve">ways than </w:t>
      </w:r>
      <w:r w:rsidR="001839A3" w:rsidRPr="00813D19">
        <w:rPr>
          <w:bCs/>
          <w:lang w:val="en-US"/>
        </w:rPr>
        <w:t xml:space="preserve">one. </w:t>
      </w:r>
      <w:r w:rsidR="009C5951" w:rsidRPr="00813D19">
        <w:rPr>
          <w:bCs/>
          <w:lang w:val="en-US"/>
        </w:rPr>
        <w:t>Culture p</w:t>
      </w:r>
      <w:r w:rsidR="001839A3" w:rsidRPr="00813D19">
        <w:rPr>
          <w:bCs/>
          <w:lang w:val="en-US"/>
        </w:rPr>
        <w:t>rofessionals, communities and even academics ha</w:t>
      </w:r>
      <w:r w:rsidR="006D77BF">
        <w:rPr>
          <w:bCs/>
          <w:lang w:val="en-US"/>
        </w:rPr>
        <w:t>d</w:t>
      </w:r>
      <w:r w:rsidR="001839A3" w:rsidRPr="00813D19">
        <w:rPr>
          <w:bCs/>
          <w:lang w:val="en-US"/>
        </w:rPr>
        <w:t xml:space="preserve"> discovered with interest the concept of </w:t>
      </w:r>
      <w:r w:rsidR="009C5951" w:rsidRPr="00813D19">
        <w:rPr>
          <w:bCs/>
          <w:lang w:val="en-US"/>
        </w:rPr>
        <w:t>intangible cultural heritage,</w:t>
      </w:r>
      <w:r w:rsidR="001839A3" w:rsidRPr="00813D19">
        <w:rPr>
          <w:bCs/>
          <w:lang w:val="en-US"/>
        </w:rPr>
        <w:t xml:space="preserve"> </w:t>
      </w:r>
      <w:r w:rsidR="009C5951" w:rsidRPr="00813D19">
        <w:rPr>
          <w:bCs/>
          <w:lang w:val="en-US"/>
        </w:rPr>
        <w:t>and capacity</w:t>
      </w:r>
      <w:r w:rsidR="006D77BF">
        <w:rPr>
          <w:bCs/>
          <w:lang w:val="en-US"/>
        </w:rPr>
        <w:t xml:space="preserve"> </w:t>
      </w:r>
      <w:r w:rsidR="001839A3" w:rsidRPr="00813D19">
        <w:rPr>
          <w:bCs/>
          <w:lang w:val="en-US"/>
        </w:rPr>
        <w:t>building</w:t>
      </w:r>
      <w:r w:rsidR="009C5951" w:rsidRPr="00813D19">
        <w:rPr>
          <w:bCs/>
          <w:lang w:val="en-US"/>
        </w:rPr>
        <w:t>,</w:t>
      </w:r>
      <w:r w:rsidR="001839A3" w:rsidRPr="00813D19">
        <w:rPr>
          <w:bCs/>
          <w:lang w:val="en-US"/>
        </w:rPr>
        <w:t xml:space="preserve"> as well as </w:t>
      </w:r>
      <w:r w:rsidR="009C5951" w:rsidRPr="00813D19">
        <w:rPr>
          <w:bCs/>
          <w:lang w:val="en-US"/>
        </w:rPr>
        <w:t xml:space="preserve">the </w:t>
      </w:r>
      <w:r w:rsidR="001839A3" w:rsidRPr="00813D19">
        <w:rPr>
          <w:bCs/>
          <w:lang w:val="en-US"/>
        </w:rPr>
        <w:t xml:space="preserve">documentation of the elements with </w:t>
      </w:r>
      <w:r w:rsidR="009C5951" w:rsidRPr="00813D19">
        <w:rPr>
          <w:bCs/>
          <w:lang w:val="en-US"/>
        </w:rPr>
        <w:t xml:space="preserve">the </w:t>
      </w:r>
      <w:r w:rsidR="001839A3" w:rsidRPr="00813D19">
        <w:rPr>
          <w:bCs/>
          <w:lang w:val="en-US"/>
        </w:rPr>
        <w:t xml:space="preserve">involvement </w:t>
      </w:r>
      <w:r w:rsidR="009C5951" w:rsidRPr="00813D19">
        <w:rPr>
          <w:bCs/>
          <w:lang w:val="en-US"/>
        </w:rPr>
        <w:t xml:space="preserve">of </w:t>
      </w:r>
      <w:r w:rsidR="001839A3" w:rsidRPr="00813D19">
        <w:rPr>
          <w:bCs/>
          <w:lang w:val="en-US"/>
        </w:rPr>
        <w:t xml:space="preserve">communities, </w:t>
      </w:r>
      <w:r w:rsidR="009C5951" w:rsidRPr="00813D19">
        <w:rPr>
          <w:bCs/>
          <w:lang w:val="en-US"/>
        </w:rPr>
        <w:t>increas</w:t>
      </w:r>
      <w:r w:rsidR="006D77BF">
        <w:rPr>
          <w:bCs/>
          <w:lang w:val="en-US"/>
        </w:rPr>
        <w:t>ing their</w:t>
      </w:r>
      <w:r w:rsidR="009C5951" w:rsidRPr="00813D19">
        <w:rPr>
          <w:bCs/>
          <w:lang w:val="en-US"/>
        </w:rPr>
        <w:t xml:space="preserve"> awareness of </w:t>
      </w:r>
      <w:r w:rsidR="001839A3" w:rsidRPr="00813D19">
        <w:rPr>
          <w:bCs/>
          <w:lang w:val="en-US"/>
        </w:rPr>
        <w:t xml:space="preserve">the value of their </w:t>
      </w:r>
      <w:r w:rsidR="009C5951" w:rsidRPr="00813D19">
        <w:rPr>
          <w:bCs/>
          <w:lang w:val="en-US"/>
        </w:rPr>
        <w:t>intangible cultural heritage</w:t>
      </w:r>
      <w:r w:rsidR="001839A3" w:rsidRPr="00813D19">
        <w:rPr>
          <w:bCs/>
          <w:lang w:val="en-US"/>
        </w:rPr>
        <w:t>.</w:t>
      </w:r>
      <w:r w:rsidR="009C5951" w:rsidRPr="00813D19">
        <w:rPr>
          <w:bCs/>
          <w:lang w:val="en-US"/>
        </w:rPr>
        <w:t xml:space="preserve"> This </w:t>
      </w:r>
      <w:r w:rsidR="00095F8C" w:rsidRPr="00813D19">
        <w:rPr>
          <w:bCs/>
          <w:lang w:val="en-US"/>
        </w:rPr>
        <w:t>was</w:t>
      </w:r>
      <w:r w:rsidR="009C5951" w:rsidRPr="00813D19">
        <w:rPr>
          <w:bCs/>
          <w:lang w:val="en-US"/>
        </w:rPr>
        <w:t xml:space="preserve"> the first time</w:t>
      </w:r>
      <w:r w:rsidR="00B85E25" w:rsidRPr="00813D19">
        <w:rPr>
          <w:bCs/>
          <w:lang w:val="en-US"/>
        </w:rPr>
        <w:t xml:space="preserve"> that a systematic inventory had</w:t>
      </w:r>
      <w:r w:rsidR="009C5951" w:rsidRPr="00813D19">
        <w:rPr>
          <w:bCs/>
          <w:lang w:val="en-US"/>
        </w:rPr>
        <w:t xml:space="preserve"> be</w:t>
      </w:r>
      <w:r w:rsidR="00095F8C" w:rsidRPr="00813D19">
        <w:rPr>
          <w:bCs/>
          <w:lang w:val="en-US"/>
        </w:rPr>
        <w:t>en carried out in Côte d'Ivoire</w:t>
      </w:r>
      <w:r w:rsidR="009C5951" w:rsidRPr="00813D19">
        <w:rPr>
          <w:bCs/>
          <w:lang w:val="en-US"/>
        </w:rPr>
        <w:t xml:space="preserve"> with all </w:t>
      </w:r>
      <w:r w:rsidR="00095F8C" w:rsidRPr="00813D19">
        <w:rPr>
          <w:bCs/>
          <w:lang w:val="en-US"/>
        </w:rPr>
        <w:t xml:space="preserve">the </w:t>
      </w:r>
      <w:r w:rsidR="009C5951" w:rsidRPr="00813D19">
        <w:rPr>
          <w:bCs/>
          <w:lang w:val="en-US"/>
        </w:rPr>
        <w:t>major administrative regions of the country</w:t>
      </w:r>
      <w:r w:rsidR="00B85E25" w:rsidRPr="00813D19">
        <w:rPr>
          <w:bCs/>
          <w:lang w:val="en-US"/>
        </w:rPr>
        <w:t xml:space="preserve"> involved</w:t>
      </w:r>
      <w:r w:rsidR="009C5951" w:rsidRPr="00813D19">
        <w:rPr>
          <w:bCs/>
          <w:lang w:val="en-US"/>
        </w:rPr>
        <w:t xml:space="preserve">, resulting in the identification and documentation of about 800 varied elements present on the national territory. Today, the country has about 500 people, men and women, </w:t>
      </w:r>
      <w:r w:rsidR="00B85E25" w:rsidRPr="00813D19">
        <w:rPr>
          <w:bCs/>
          <w:lang w:val="en-US"/>
        </w:rPr>
        <w:t xml:space="preserve">whose </w:t>
      </w:r>
      <w:r w:rsidR="009C5951" w:rsidRPr="00813D19">
        <w:rPr>
          <w:bCs/>
          <w:lang w:val="en-US"/>
        </w:rPr>
        <w:t xml:space="preserve">capacities </w:t>
      </w:r>
      <w:r w:rsidR="00B85E25" w:rsidRPr="00813D19">
        <w:rPr>
          <w:bCs/>
          <w:lang w:val="en-US"/>
        </w:rPr>
        <w:t xml:space="preserve">have been </w:t>
      </w:r>
      <w:r w:rsidR="009C5951" w:rsidRPr="00813D19">
        <w:rPr>
          <w:bCs/>
          <w:lang w:val="en-US"/>
        </w:rPr>
        <w:t>reinforced on the Convention</w:t>
      </w:r>
      <w:r w:rsidR="00B85E25" w:rsidRPr="00813D19">
        <w:rPr>
          <w:bCs/>
          <w:lang w:val="en-US"/>
        </w:rPr>
        <w:t xml:space="preserve">, </w:t>
      </w:r>
      <w:r w:rsidR="006D77BF">
        <w:rPr>
          <w:bCs/>
          <w:lang w:val="en-US"/>
        </w:rPr>
        <w:t xml:space="preserve">and </w:t>
      </w:r>
      <w:r w:rsidR="00B85E25" w:rsidRPr="00813D19">
        <w:rPr>
          <w:bCs/>
          <w:lang w:val="en-US"/>
        </w:rPr>
        <w:t xml:space="preserve">who are now </w:t>
      </w:r>
      <w:r w:rsidR="009C5951" w:rsidRPr="00813D19">
        <w:rPr>
          <w:bCs/>
          <w:lang w:val="en-US"/>
        </w:rPr>
        <w:t xml:space="preserve">sufficiently equipped to carry out an </w:t>
      </w:r>
      <w:r w:rsidR="00B85E25" w:rsidRPr="00813D19">
        <w:rPr>
          <w:bCs/>
          <w:lang w:val="en-US"/>
        </w:rPr>
        <w:t xml:space="preserve">intangible cultural heritage </w:t>
      </w:r>
      <w:r w:rsidR="009C5951" w:rsidRPr="00813D19">
        <w:rPr>
          <w:bCs/>
          <w:lang w:val="en-US"/>
        </w:rPr>
        <w:t xml:space="preserve">inventory and </w:t>
      </w:r>
      <w:r w:rsidR="00B85E25" w:rsidRPr="00813D19">
        <w:rPr>
          <w:bCs/>
          <w:lang w:val="en-US"/>
        </w:rPr>
        <w:t>to develop safeguarding plans</w:t>
      </w:r>
      <w:r w:rsidR="009C5951" w:rsidRPr="00813D19">
        <w:rPr>
          <w:bCs/>
          <w:lang w:val="en-US"/>
        </w:rPr>
        <w:t xml:space="preserve"> for </w:t>
      </w:r>
      <w:r w:rsidR="00B85E25" w:rsidRPr="00813D19">
        <w:rPr>
          <w:bCs/>
          <w:lang w:val="en-US"/>
        </w:rPr>
        <w:t xml:space="preserve">elements </w:t>
      </w:r>
      <w:r w:rsidR="009C5951" w:rsidRPr="00813D19">
        <w:rPr>
          <w:bCs/>
          <w:lang w:val="en-US"/>
        </w:rPr>
        <w:t xml:space="preserve">that require </w:t>
      </w:r>
      <w:r w:rsidR="00B85E25" w:rsidRPr="00813D19">
        <w:rPr>
          <w:bCs/>
          <w:lang w:val="en-US"/>
        </w:rPr>
        <w:t>them</w:t>
      </w:r>
      <w:r w:rsidR="009C5951" w:rsidRPr="00813D19">
        <w:rPr>
          <w:bCs/>
          <w:lang w:val="en-US"/>
        </w:rPr>
        <w:t xml:space="preserve">. The inventory confirmed the impact of the 2010 post-election crisis on some elements of </w:t>
      </w:r>
      <w:r w:rsidR="00B85E25" w:rsidRPr="00813D19">
        <w:rPr>
          <w:bCs/>
          <w:lang w:val="en-US"/>
        </w:rPr>
        <w:t xml:space="preserve">intangible cultural heritage </w:t>
      </w:r>
      <w:r w:rsidR="009C5951" w:rsidRPr="00813D19">
        <w:rPr>
          <w:bCs/>
          <w:lang w:val="en-US"/>
        </w:rPr>
        <w:t>and the urgent nature of their safeguarding.</w:t>
      </w:r>
      <w:r w:rsidR="00B85E25" w:rsidRPr="00813D19">
        <w:rPr>
          <w:bCs/>
          <w:lang w:val="en-US"/>
        </w:rPr>
        <w:t xml:space="preserve"> This </w:t>
      </w:r>
      <w:r w:rsidR="00BF4E4B" w:rsidRPr="00813D19">
        <w:rPr>
          <w:bCs/>
          <w:lang w:val="en-US"/>
        </w:rPr>
        <w:t>was</w:t>
      </w:r>
      <w:r w:rsidR="00B85E25" w:rsidRPr="00813D19">
        <w:rPr>
          <w:bCs/>
          <w:lang w:val="en-US"/>
        </w:rPr>
        <w:t xml:space="preserve"> the case </w:t>
      </w:r>
      <w:r w:rsidR="00BF4E4B" w:rsidRPr="00813D19">
        <w:rPr>
          <w:bCs/>
          <w:lang w:val="en-US"/>
        </w:rPr>
        <w:t xml:space="preserve">in </w:t>
      </w:r>
      <w:r w:rsidR="00B85E25" w:rsidRPr="00813D19">
        <w:rPr>
          <w:bCs/>
          <w:lang w:val="en-US"/>
        </w:rPr>
        <w:t xml:space="preserve">Bangolo, in the west of the country, </w:t>
      </w:r>
      <w:r w:rsidR="00BF4E4B" w:rsidRPr="00813D19">
        <w:rPr>
          <w:bCs/>
          <w:lang w:val="en-US"/>
        </w:rPr>
        <w:t xml:space="preserve">with the destruction </w:t>
      </w:r>
      <w:r w:rsidR="00B85E25" w:rsidRPr="00813D19">
        <w:rPr>
          <w:bCs/>
          <w:lang w:val="en-US"/>
        </w:rPr>
        <w:t xml:space="preserve">of sacred mask enclosures, exclusive places of initiation in this </w:t>
      </w:r>
      <w:r w:rsidR="00BF4E4B" w:rsidRPr="00813D19">
        <w:rPr>
          <w:bCs/>
          <w:lang w:val="en-US"/>
        </w:rPr>
        <w:t>area</w:t>
      </w:r>
      <w:r w:rsidR="00B85E25" w:rsidRPr="00813D19">
        <w:rPr>
          <w:bCs/>
          <w:lang w:val="en-US"/>
        </w:rPr>
        <w:t>, and which</w:t>
      </w:r>
      <w:r w:rsidR="006D77BF">
        <w:rPr>
          <w:bCs/>
          <w:lang w:val="en-US"/>
        </w:rPr>
        <w:t xml:space="preserve"> had</w:t>
      </w:r>
      <w:r w:rsidR="00B85E25" w:rsidRPr="00813D19">
        <w:rPr>
          <w:bCs/>
          <w:lang w:val="en-US"/>
        </w:rPr>
        <w:t xml:space="preserve"> led the Ministry of Culture to exceptional</w:t>
      </w:r>
      <w:r w:rsidR="00BF4E4B" w:rsidRPr="00813D19">
        <w:rPr>
          <w:bCs/>
          <w:lang w:val="en-US"/>
        </w:rPr>
        <w:t xml:space="preserve">ly grant </w:t>
      </w:r>
      <w:r w:rsidR="00B85E25" w:rsidRPr="00813D19">
        <w:rPr>
          <w:bCs/>
          <w:lang w:val="en-US"/>
        </w:rPr>
        <w:t xml:space="preserve">the practitioners the means necessary for their reconstitution. The analysis of the inventoried elements made it possible to understand that, in spite of the cultural diversity </w:t>
      </w:r>
      <w:r w:rsidR="00BF4E4B" w:rsidRPr="00813D19">
        <w:rPr>
          <w:bCs/>
          <w:lang w:val="en-US"/>
        </w:rPr>
        <w:t>characterizing Côte d’Ivoire</w:t>
      </w:r>
      <w:r w:rsidR="00B85E25" w:rsidRPr="00813D19">
        <w:rPr>
          <w:bCs/>
          <w:lang w:val="en-US"/>
        </w:rPr>
        <w:t xml:space="preserve">, </w:t>
      </w:r>
      <w:r w:rsidR="00BF4E4B" w:rsidRPr="00813D19">
        <w:rPr>
          <w:bCs/>
          <w:lang w:val="en-US"/>
        </w:rPr>
        <w:t xml:space="preserve">there were ethnocultural and linguistic </w:t>
      </w:r>
      <w:r w:rsidR="00B85E25" w:rsidRPr="00813D19">
        <w:rPr>
          <w:bCs/>
          <w:lang w:val="en-US"/>
        </w:rPr>
        <w:t xml:space="preserve">similarities </w:t>
      </w:r>
      <w:r w:rsidR="00BF4E4B" w:rsidRPr="00813D19">
        <w:rPr>
          <w:bCs/>
          <w:lang w:val="en-US"/>
        </w:rPr>
        <w:t xml:space="preserve">at </w:t>
      </w:r>
      <w:r w:rsidR="00B85E25" w:rsidRPr="00813D19">
        <w:rPr>
          <w:bCs/>
          <w:lang w:val="en-US"/>
        </w:rPr>
        <w:t xml:space="preserve">the level of some elements, which </w:t>
      </w:r>
      <w:r w:rsidR="00BF4E4B" w:rsidRPr="00813D19">
        <w:rPr>
          <w:bCs/>
          <w:lang w:val="en-US"/>
        </w:rPr>
        <w:t xml:space="preserve">showed </w:t>
      </w:r>
      <w:r w:rsidR="00B85E25" w:rsidRPr="00813D19">
        <w:rPr>
          <w:bCs/>
          <w:lang w:val="en-US"/>
        </w:rPr>
        <w:t xml:space="preserve">that the communities living in Côte d'Ivoire </w:t>
      </w:r>
      <w:r w:rsidR="00BF4E4B" w:rsidRPr="00813D19">
        <w:rPr>
          <w:bCs/>
          <w:lang w:val="en-US"/>
        </w:rPr>
        <w:t xml:space="preserve">were </w:t>
      </w:r>
      <w:r w:rsidR="00B85E25" w:rsidRPr="00813D19">
        <w:rPr>
          <w:bCs/>
          <w:lang w:val="en-US"/>
        </w:rPr>
        <w:t xml:space="preserve">not so different and should accept each other and live </w:t>
      </w:r>
      <w:r w:rsidR="00BF4E4B" w:rsidRPr="00813D19">
        <w:rPr>
          <w:bCs/>
          <w:lang w:val="en-US"/>
        </w:rPr>
        <w:t xml:space="preserve">harmoniously </w:t>
      </w:r>
      <w:r w:rsidR="00B85E25" w:rsidRPr="00813D19">
        <w:rPr>
          <w:bCs/>
          <w:lang w:val="en-US"/>
        </w:rPr>
        <w:t xml:space="preserve">together. </w:t>
      </w:r>
      <w:r w:rsidR="00BF4E4B" w:rsidRPr="00813D19">
        <w:rPr>
          <w:bCs/>
          <w:lang w:val="en-US"/>
        </w:rPr>
        <w:t xml:space="preserve">Intangible cultural heritage </w:t>
      </w:r>
      <w:r w:rsidR="00B85E25" w:rsidRPr="00813D19">
        <w:rPr>
          <w:bCs/>
          <w:lang w:val="en-US"/>
        </w:rPr>
        <w:t xml:space="preserve">can </w:t>
      </w:r>
      <w:r w:rsidR="00BF4E4B" w:rsidRPr="00813D19">
        <w:rPr>
          <w:bCs/>
          <w:lang w:val="en-US"/>
        </w:rPr>
        <w:t xml:space="preserve">certainly </w:t>
      </w:r>
      <w:r w:rsidR="00B85E25" w:rsidRPr="00813D19">
        <w:rPr>
          <w:bCs/>
          <w:lang w:val="en-US"/>
        </w:rPr>
        <w:t>help strengthen social cohesion. However,</w:t>
      </w:r>
      <w:r w:rsidR="006D77BF">
        <w:rPr>
          <w:bCs/>
          <w:lang w:val="en-US"/>
        </w:rPr>
        <w:t xml:space="preserve"> some difficulties had been experienced in</w:t>
      </w:r>
      <w:r w:rsidR="00B85E25" w:rsidRPr="00813D19">
        <w:rPr>
          <w:bCs/>
          <w:lang w:val="en-US"/>
        </w:rPr>
        <w:t xml:space="preserve"> the implementation of this inventory.</w:t>
      </w:r>
      <w:r w:rsidR="00BF4E4B" w:rsidRPr="00813D19">
        <w:rPr>
          <w:bCs/>
          <w:lang w:val="en-US"/>
        </w:rPr>
        <w:t xml:space="preserve"> The non-compliance </w:t>
      </w:r>
      <w:r w:rsidR="006D77BF">
        <w:rPr>
          <w:bCs/>
          <w:lang w:val="en-US"/>
        </w:rPr>
        <w:t>with</w:t>
      </w:r>
      <w:r w:rsidR="00BF4E4B" w:rsidRPr="00813D19">
        <w:rPr>
          <w:bCs/>
          <w:lang w:val="en-US"/>
        </w:rPr>
        <w:t xml:space="preserve"> the project schedule was due to certain events at the national level, namely, the general strike of state employees throughout January 2017, and the latest municipal and regional elections in September and October 2018, which mobilized most of the actors working on the inventory. Expenditures not included in the original budget </w:t>
      </w:r>
      <w:r w:rsidR="006D77BF">
        <w:rPr>
          <w:bCs/>
          <w:lang w:val="en-US"/>
        </w:rPr>
        <w:t xml:space="preserve">had </w:t>
      </w:r>
      <w:r w:rsidR="00BF4E4B" w:rsidRPr="00813D19">
        <w:rPr>
          <w:bCs/>
          <w:lang w:val="en-US"/>
        </w:rPr>
        <w:t xml:space="preserve">proved indispensable in the field </w:t>
      </w:r>
      <w:r w:rsidR="006D77BF">
        <w:rPr>
          <w:bCs/>
          <w:lang w:val="en-US"/>
        </w:rPr>
        <w:t>during</w:t>
      </w:r>
      <w:r w:rsidR="006D77BF" w:rsidRPr="00813D19">
        <w:rPr>
          <w:bCs/>
          <w:lang w:val="en-US"/>
        </w:rPr>
        <w:t xml:space="preserve"> </w:t>
      </w:r>
      <w:r w:rsidR="008C492F" w:rsidRPr="00813D19">
        <w:rPr>
          <w:bCs/>
          <w:lang w:val="en-US"/>
        </w:rPr>
        <w:t xml:space="preserve">Phase 1, i.e. </w:t>
      </w:r>
      <w:r w:rsidR="00BF4E4B" w:rsidRPr="00813D19">
        <w:rPr>
          <w:bCs/>
          <w:lang w:val="en-US"/>
        </w:rPr>
        <w:t xml:space="preserve">costs necessary for the identification and documentation of certain </w:t>
      </w:r>
      <w:r w:rsidR="008C492F" w:rsidRPr="00813D19">
        <w:rPr>
          <w:bCs/>
          <w:lang w:val="en-US"/>
        </w:rPr>
        <w:t>elements</w:t>
      </w:r>
      <w:r w:rsidR="00BF4E4B" w:rsidRPr="00813D19">
        <w:rPr>
          <w:bCs/>
          <w:lang w:val="en-US"/>
        </w:rPr>
        <w:t xml:space="preserve">, </w:t>
      </w:r>
      <w:r w:rsidR="008C492F" w:rsidRPr="00813D19">
        <w:rPr>
          <w:bCs/>
          <w:lang w:val="en-US"/>
        </w:rPr>
        <w:t xml:space="preserve">and </w:t>
      </w:r>
      <w:r w:rsidR="00BF4E4B" w:rsidRPr="00813D19">
        <w:rPr>
          <w:bCs/>
          <w:lang w:val="en-US"/>
        </w:rPr>
        <w:t xml:space="preserve">transport </w:t>
      </w:r>
      <w:r w:rsidR="008C492F" w:rsidRPr="00813D19">
        <w:rPr>
          <w:bCs/>
          <w:lang w:val="en-US"/>
        </w:rPr>
        <w:t xml:space="preserve">and subsistence costs of the </w:t>
      </w:r>
      <w:r w:rsidR="00BF4E4B" w:rsidRPr="00813D19">
        <w:rPr>
          <w:bCs/>
          <w:lang w:val="en-US"/>
        </w:rPr>
        <w:t xml:space="preserve">inventory teams, which </w:t>
      </w:r>
      <w:r w:rsidR="006D77BF">
        <w:rPr>
          <w:bCs/>
          <w:lang w:val="en-US"/>
        </w:rPr>
        <w:t xml:space="preserve">had </w:t>
      </w:r>
      <w:r w:rsidR="00BF4E4B" w:rsidRPr="00813D19">
        <w:rPr>
          <w:bCs/>
          <w:lang w:val="en-US"/>
        </w:rPr>
        <w:t xml:space="preserve">led the State to reassess its financial </w:t>
      </w:r>
      <w:r w:rsidR="008C492F" w:rsidRPr="00813D19">
        <w:rPr>
          <w:bCs/>
          <w:lang w:val="en-US"/>
        </w:rPr>
        <w:t>contribution</w:t>
      </w:r>
      <w:r w:rsidR="00BF4E4B" w:rsidRPr="00813D19">
        <w:rPr>
          <w:bCs/>
          <w:lang w:val="en-US"/>
        </w:rPr>
        <w:t xml:space="preserve">. In agreement with the </w:t>
      </w:r>
      <w:r w:rsidR="008C492F" w:rsidRPr="00813D19">
        <w:rPr>
          <w:bCs/>
          <w:lang w:val="en-US"/>
        </w:rPr>
        <w:t>S</w:t>
      </w:r>
      <w:r w:rsidR="00BF4E4B" w:rsidRPr="00813D19">
        <w:rPr>
          <w:bCs/>
          <w:lang w:val="en-US"/>
        </w:rPr>
        <w:t xml:space="preserve">ecretariat, Phase 2 was split into two parts </w:t>
      </w:r>
      <w:r w:rsidR="008C492F" w:rsidRPr="00813D19">
        <w:rPr>
          <w:bCs/>
          <w:lang w:val="en-US"/>
        </w:rPr>
        <w:t xml:space="preserve">so as </w:t>
      </w:r>
      <w:r w:rsidR="00BF4E4B" w:rsidRPr="00813D19">
        <w:rPr>
          <w:bCs/>
          <w:lang w:val="en-US"/>
        </w:rPr>
        <w:t xml:space="preserve">to complete the </w:t>
      </w:r>
      <w:r w:rsidR="00095F8C" w:rsidRPr="00813D19">
        <w:rPr>
          <w:bCs/>
          <w:lang w:val="en-US"/>
        </w:rPr>
        <w:t>project. Côte d'Ivoire especial</w:t>
      </w:r>
      <w:r w:rsidR="008C492F" w:rsidRPr="00813D19">
        <w:rPr>
          <w:bCs/>
          <w:lang w:val="en-US"/>
        </w:rPr>
        <w:t>ly wished</w:t>
      </w:r>
      <w:r w:rsidR="00BF4E4B" w:rsidRPr="00813D19">
        <w:rPr>
          <w:bCs/>
          <w:lang w:val="en-US"/>
        </w:rPr>
        <w:t xml:space="preserve"> to thank the </w:t>
      </w:r>
      <w:r w:rsidR="008C492F" w:rsidRPr="00813D19">
        <w:rPr>
          <w:bCs/>
          <w:lang w:val="en-US"/>
        </w:rPr>
        <w:t>S</w:t>
      </w:r>
      <w:r w:rsidR="00BF4E4B" w:rsidRPr="00813D19">
        <w:rPr>
          <w:bCs/>
          <w:lang w:val="en-US"/>
        </w:rPr>
        <w:t>ecretariat for its c</w:t>
      </w:r>
      <w:r w:rsidR="008C492F" w:rsidRPr="00813D19">
        <w:rPr>
          <w:bCs/>
          <w:lang w:val="en-US"/>
        </w:rPr>
        <w:t>onstant guidance throughout the</w:t>
      </w:r>
      <w:r w:rsidR="00BF4E4B" w:rsidRPr="00813D19">
        <w:rPr>
          <w:bCs/>
          <w:lang w:val="en-US"/>
        </w:rPr>
        <w:t xml:space="preserve"> inventory of </w:t>
      </w:r>
      <w:r w:rsidR="008C492F" w:rsidRPr="00813D19">
        <w:rPr>
          <w:bCs/>
          <w:lang w:val="en-US"/>
        </w:rPr>
        <w:t xml:space="preserve">intangible cultural heritage </w:t>
      </w:r>
      <w:r w:rsidR="00087166">
        <w:rPr>
          <w:bCs/>
          <w:lang w:val="en-US"/>
        </w:rPr>
        <w:t>present on its territory.</w:t>
      </w:r>
    </w:p>
    <w:p w14:paraId="1C377D36" w14:textId="3B378C6E" w:rsidR="00CC6705" w:rsidRPr="00813D19" w:rsidRDefault="00AC5FB7" w:rsidP="00087166">
      <w:pPr>
        <w:pStyle w:val="Orateurengris"/>
        <w:widowControl w:val="0"/>
        <w:numPr>
          <w:ilvl w:val="0"/>
          <w:numId w:val="0"/>
        </w:numPr>
        <w:spacing w:before="240" w:after="240"/>
        <w:jc w:val="center"/>
        <w:rPr>
          <w:i/>
          <w:lang w:val="en-US"/>
        </w:rPr>
      </w:pPr>
      <w:r w:rsidRPr="00813D19">
        <w:rPr>
          <w:i/>
          <w:lang w:val="en-US"/>
        </w:rPr>
        <w:t>[A</w:t>
      </w:r>
      <w:r w:rsidR="0036419F" w:rsidRPr="00813D19">
        <w:rPr>
          <w:i/>
          <w:lang w:val="en-US"/>
        </w:rPr>
        <w:t xml:space="preserve"> short</w:t>
      </w:r>
      <w:r w:rsidRPr="00813D19">
        <w:rPr>
          <w:i/>
          <w:lang w:val="en-US"/>
        </w:rPr>
        <w:t xml:space="preserve"> film of the </w:t>
      </w:r>
      <w:r w:rsidR="00DC6B27" w:rsidRPr="00813D19">
        <w:rPr>
          <w:i/>
          <w:lang w:val="en-US"/>
        </w:rPr>
        <w:t xml:space="preserve">project was </w:t>
      </w:r>
      <w:r w:rsidR="008A0753" w:rsidRPr="00813D19">
        <w:rPr>
          <w:i/>
          <w:lang w:val="en-US"/>
        </w:rPr>
        <w:t>projected</w:t>
      </w:r>
      <w:r w:rsidR="00087166">
        <w:rPr>
          <w:i/>
          <w:lang w:val="en-US"/>
        </w:rPr>
        <w:t>]</w:t>
      </w:r>
    </w:p>
    <w:p w14:paraId="19C749CA" w14:textId="6A7D596A" w:rsidR="009912AC" w:rsidRPr="00813D19" w:rsidRDefault="00701B95" w:rsidP="00087166">
      <w:pPr>
        <w:pStyle w:val="Orateurengris"/>
        <w:widowControl w:val="0"/>
        <w:numPr>
          <w:ilvl w:val="0"/>
          <w:numId w:val="0"/>
        </w:numPr>
        <w:spacing w:before="360" w:after="60"/>
        <w:outlineLvl w:val="0"/>
        <w:rPr>
          <w:b/>
          <w:color w:val="000000" w:themeColor="text1"/>
          <w:u w:val="single"/>
          <w:lang w:val="en-US"/>
        </w:rPr>
      </w:pPr>
      <w:r w:rsidRPr="00813D19">
        <w:rPr>
          <w:b/>
          <w:color w:val="000000" w:themeColor="text1"/>
          <w:u w:val="single"/>
          <w:lang w:val="en-US"/>
        </w:rPr>
        <w:t>ITEM 8</w:t>
      </w:r>
      <w:r w:rsidR="009912AC" w:rsidRPr="00813D19">
        <w:rPr>
          <w:b/>
          <w:color w:val="000000" w:themeColor="text1"/>
          <w:u w:val="single"/>
          <w:lang w:val="en-US"/>
        </w:rPr>
        <w:t xml:space="preserve"> OF THE AGENDA</w:t>
      </w:r>
    </w:p>
    <w:p w14:paraId="4FD06415" w14:textId="795331F9" w:rsidR="009912AC" w:rsidRPr="00813D19" w:rsidRDefault="009912AC" w:rsidP="00087166">
      <w:pPr>
        <w:pStyle w:val="Orateurengris"/>
        <w:numPr>
          <w:ilvl w:val="0"/>
          <w:numId w:val="0"/>
        </w:numPr>
        <w:outlineLvl w:val="1"/>
        <w:rPr>
          <w:b/>
          <w:color w:val="000000" w:themeColor="text1"/>
          <w:lang w:val="en-US"/>
        </w:rPr>
      </w:pPr>
      <w:r w:rsidRPr="00813D19">
        <w:rPr>
          <w:b/>
          <w:color w:val="000000" w:themeColor="text1"/>
          <w:lang w:val="en-US"/>
        </w:rPr>
        <w:t>RE</w:t>
      </w:r>
      <w:r w:rsidR="00701B95" w:rsidRPr="00813D19">
        <w:rPr>
          <w:b/>
          <w:color w:val="000000" w:themeColor="text1"/>
          <w:lang w:val="en-US"/>
        </w:rPr>
        <w:t xml:space="preserve">FORM OF THE PERIODIC REPORTING MECHANISM </w:t>
      </w:r>
    </w:p>
    <w:p w14:paraId="32AF3590" w14:textId="69BC3361" w:rsidR="009912AC" w:rsidRPr="00813D19" w:rsidRDefault="009912AC" w:rsidP="00087166">
      <w:pPr>
        <w:pStyle w:val="Orateurengris"/>
        <w:numPr>
          <w:ilvl w:val="0"/>
          <w:numId w:val="0"/>
        </w:numPr>
        <w:spacing w:before="120" w:after="0"/>
        <w:ind w:left="709"/>
        <w:rPr>
          <w:i/>
          <w:color w:val="000000" w:themeColor="text1"/>
          <w:lang w:val="en-US"/>
        </w:rPr>
      </w:pPr>
      <w:r w:rsidRPr="00813D19">
        <w:rPr>
          <w:b/>
          <w:color w:val="000000" w:themeColor="text1"/>
          <w:lang w:val="en-US"/>
        </w:rPr>
        <w:t>Document:</w:t>
      </w:r>
      <w:r w:rsidRPr="00813D19">
        <w:rPr>
          <w:b/>
          <w:color w:val="000000" w:themeColor="text1"/>
          <w:lang w:val="en-US"/>
        </w:rPr>
        <w:tab/>
      </w:r>
      <w:hyperlink r:id="rId72" w:history="1">
        <w:r w:rsidR="00701B95" w:rsidRPr="00813D19">
          <w:rPr>
            <w:rStyle w:val="Hyperlink"/>
            <w:bCs/>
            <w:i/>
            <w:lang w:val="en-US"/>
          </w:rPr>
          <w:t>ITH/18/13.COM/8</w:t>
        </w:r>
      </w:hyperlink>
    </w:p>
    <w:p w14:paraId="6A5752DF" w14:textId="4C798193" w:rsidR="009912AC" w:rsidRPr="00813D19" w:rsidRDefault="009912AC" w:rsidP="00087166">
      <w:pPr>
        <w:pStyle w:val="Orateurengris"/>
        <w:numPr>
          <w:ilvl w:val="0"/>
          <w:numId w:val="0"/>
        </w:numPr>
        <w:spacing w:before="60" w:after="240"/>
        <w:ind w:left="709"/>
        <w:rPr>
          <w:i/>
          <w:color w:val="000000" w:themeColor="text1"/>
          <w:lang w:val="en-US"/>
        </w:rPr>
      </w:pPr>
      <w:r w:rsidRPr="00813D19">
        <w:rPr>
          <w:b/>
          <w:color w:val="000000" w:themeColor="text1"/>
          <w:lang w:val="en-US"/>
        </w:rPr>
        <w:t>Decision</w:t>
      </w:r>
      <w:r w:rsidRPr="00087166">
        <w:rPr>
          <w:b/>
          <w:bCs/>
          <w:color w:val="000000" w:themeColor="text1"/>
          <w:lang w:val="en-US"/>
        </w:rPr>
        <w:t>:</w:t>
      </w:r>
      <w:r w:rsidRPr="00813D19">
        <w:rPr>
          <w:color w:val="000000" w:themeColor="text1"/>
          <w:lang w:val="en-US"/>
        </w:rPr>
        <w:tab/>
      </w:r>
      <w:hyperlink r:id="rId73" w:history="1">
        <w:r w:rsidR="0036419F" w:rsidRPr="00813D19">
          <w:rPr>
            <w:rStyle w:val="Hyperlink"/>
            <w:i/>
            <w:lang w:val="en-US"/>
          </w:rPr>
          <w:t>13</w:t>
        </w:r>
        <w:r w:rsidRPr="00813D19">
          <w:rPr>
            <w:rStyle w:val="Hyperlink"/>
            <w:i/>
            <w:lang w:val="en-US"/>
          </w:rPr>
          <w:t>.COM 8</w:t>
        </w:r>
      </w:hyperlink>
    </w:p>
    <w:p w14:paraId="4BBF329B" w14:textId="01839BF4" w:rsidR="00893166" w:rsidRPr="00813D19" w:rsidRDefault="009912AC" w:rsidP="008A0753">
      <w:pPr>
        <w:pStyle w:val="Orateurengris"/>
        <w:spacing w:after="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406090" w:rsidRPr="00813D19">
        <w:rPr>
          <w:color w:val="000000" w:themeColor="text1"/>
          <w:lang w:val="en-US"/>
        </w:rPr>
        <w:t xml:space="preserve"> turned to </w:t>
      </w:r>
      <w:r w:rsidR="00406090" w:rsidRPr="00813D19">
        <w:rPr>
          <w:lang w:val="en-US"/>
        </w:rPr>
        <w:t xml:space="preserve">agenda item 8 on </w:t>
      </w:r>
      <w:r w:rsidR="00893166" w:rsidRPr="00813D19">
        <w:rPr>
          <w:lang w:val="en-US"/>
        </w:rPr>
        <w:t xml:space="preserve">the ongoing reform of the reporting mechanism under the 2003 Convention, which </w:t>
      </w:r>
      <w:r w:rsidR="00095F8C" w:rsidRPr="00813D19">
        <w:rPr>
          <w:lang w:val="en-US"/>
        </w:rPr>
        <w:t xml:space="preserve">had </w:t>
      </w:r>
      <w:r w:rsidR="00406090" w:rsidRPr="00813D19">
        <w:rPr>
          <w:lang w:val="en-US"/>
        </w:rPr>
        <w:t xml:space="preserve">begun </w:t>
      </w:r>
      <w:r w:rsidR="00893166" w:rsidRPr="00813D19">
        <w:rPr>
          <w:lang w:val="en-US"/>
        </w:rPr>
        <w:t xml:space="preserve">after the </w:t>
      </w:r>
      <w:r w:rsidR="00406090" w:rsidRPr="00813D19">
        <w:rPr>
          <w:lang w:val="en-US"/>
        </w:rPr>
        <w:t xml:space="preserve">seventh </w:t>
      </w:r>
      <w:r w:rsidR="007A037D" w:rsidRPr="00813D19">
        <w:rPr>
          <w:lang w:val="en-US"/>
        </w:rPr>
        <w:t xml:space="preserve">session of the </w:t>
      </w:r>
      <w:r w:rsidR="00406090" w:rsidRPr="00813D19">
        <w:rPr>
          <w:lang w:val="en-US"/>
        </w:rPr>
        <w:t xml:space="preserve">General Assembly </w:t>
      </w:r>
      <w:r w:rsidR="00893166" w:rsidRPr="00813D19">
        <w:rPr>
          <w:lang w:val="en-US"/>
        </w:rPr>
        <w:t xml:space="preserve">in June </w:t>
      </w:r>
      <w:r w:rsidR="00406090" w:rsidRPr="00813D19">
        <w:rPr>
          <w:lang w:val="en-US"/>
        </w:rPr>
        <w:t xml:space="preserve">2017 </w:t>
      </w:r>
      <w:r w:rsidR="007A037D" w:rsidRPr="00813D19">
        <w:rPr>
          <w:lang w:val="en-US"/>
        </w:rPr>
        <w:t>with the approval of the overall results f</w:t>
      </w:r>
      <w:r w:rsidR="00893166" w:rsidRPr="00813D19">
        <w:rPr>
          <w:lang w:val="en-US"/>
        </w:rPr>
        <w:t>ramework and the revision of the Operational Directives.</w:t>
      </w:r>
    </w:p>
    <w:p w14:paraId="4281F35C" w14:textId="76BE0803" w:rsidR="00DE01F0" w:rsidRPr="00813D19" w:rsidRDefault="00893166" w:rsidP="00DE01F0">
      <w:pPr>
        <w:pStyle w:val="Orateurengris"/>
        <w:spacing w:before="120" w:after="0"/>
        <w:ind w:left="709" w:hanging="709"/>
        <w:rPr>
          <w:rFonts w:eastAsia="Malgun Gothic"/>
          <w:lang w:val="en-US" w:eastAsia="ko-KR"/>
        </w:rPr>
      </w:pPr>
      <w:r w:rsidRPr="00813D19">
        <w:rPr>
          <w:color w:val="000000" w:themeColor="text1"/>
          <w:lang w:val="en-US"/>
        </w:rPr>
        <w:t>The</w:t>
      </w:r>
      <w:r w:rsidRPr="00813D19">
        <w:rPr>
          <w:rFonts w:eastAsia="Malgun Gothic"/>
          <w:lang w:val="en-US" w:eastAsia="ko-KR"/>
        </w:rPr>
        <w:t xml:space="preserve"> </w:t>
      </w:r>
      <w:r w:rsidRPr="00813D19">
        <w:rPr>
          <w:rFonts w:eastAsia="Malgun Gothic"/>
          <w:b/>
          <w:lang w:val="en-US" w:eastAsia="ko-KR"/>
        </w:rPr>
        <w:t>Secretary</w:t>
      </w:r>
      <w:r w:rsidR="00CC6705" w:rsidRPr="00813D19">
        <w:rPr>
          <w:rFonts w:eastAsia="Malgun Gothic"/>
          <w:lang w:val="en-US" w:eastAsia="ko-KR"/>
        </w:rPr>
        <w:t xml:space="preserve"> </w:t>
      </w:r>
      <w:r w:rsidR="007A037D" w:rsidRPr="00813D19">
        <w:rPr>
          <w:rFonts w:eastAsia="Malgun Gothic"/>
          <w:lang w:val="en-US" w:eastAsia="ko-KR"/>
        </w:rPr>
        <w:t>explained that t</w:t>
      </w:r>
      <w:r w:rsidRPr="00813D19">
        <w:rPr>
          <w:rFonts w:eastAsia="Malgun Gothic"/>
          <w:lang w:val="en-US" w:eastAsia="ko-KR"/>
        </w:rPr>
        <w:t xml:space="preserve">he periodic reporting mechanism </w:t>
      </w:r>
      <w:r w:rsidR="007A037D" w:rsidRPr="00813D19">
        <w:rPr>
          <w:rFonts w:eastAsia="Malgun Gothic"/>
          <w:lang w:val="en-US" w:eastAsia="ko-KR"/>
        </w:rPr>
        <w:t xml:space="preserve">was </w:t>
      </w:r>
      <w:r w:rsidRPr="00813D19">
        <w:rPr>
          <w:rFonts w:eastAsia="Malgun Gothic"/>
          <w:lang w:val="en-US" w:eastAsia="ko-KR"/>
        </w:rPr>
        <w:t xml:space="preserve">currently </w:t>
      </w:r>
      <w:r w:rsidR="007A037D" w:rsidRPr="00813D19">
        <w:rPr>
          <w:rFonts w:eastAsia="Malgun Gothic"/>
          <w:lang w:val="en-US" w:eastAsia="ko-KR"/>
        </w:rPr>
        <w:t xml:space="preserve">under </w:t>
      </w:r>
      <w:r w:rsidRPr="00813D19">
        <w:rPr>
          <w:rFonts w:eastAsia="Malgun Gothic"/>
          <w:lang w:val="en-US" w:eastAsia="ko-KR"/>
        </w:rPr>
        <w:t xml:space="preserve">reform to enhance its quality, usefulness and timeliness by aligning it </w:t>
      </w:r>
      <w:r w:rsidR="008B4565" w:rsidRPr="00813D19">
        <w:rPr>
          <w:rFonts w:eastAsia="Malgun Gothic"/>
          <w:lang w:val="en-US" w:eastAsia="ko-KR"/>
        </w:rPr>
        <w:t xml:space="preserve">in part </w:t>
      </w:r>
      <w:r w:rsidR="006D77BF">
        <w:rPr>
          <w:rFonts w:eastAsia="Malgun Gothic"/>
          <w:lang w:val="en-US" w:eastAsia="ko-KR"/>
        </w:rPr>
        <w:t>with</w:t>
      </w:r>
      <w:r w:rsidRPr="00813D19">
        <w:rPr>
          <w:rFonts w:eastAsia="Malgun Gothic"/>
          <w:lang w:val="en-US" w:eastAsia="ko-KR"/>
        </w:rPr>
        <w:t xml:space="preserve"> the overall results framework. </w:t>
      </w:r>
      <w:r w:rsidR="007A037D" w:rsidRPr="00813D19">
        <w:rPr>
          <w:rFonts w:eastAsia="Malgun Gothic"/>
          <w:lang w:val="en-US" w:eastAsia="ko-KR"/>
        </w:rPr>
        <w:t xml:space="preserve">At its previous session, </w:t>
      </w:r>
      <w:r w:rsidRPr="00813D19">
        <w:rPr>
          <w:rFonts w:eastAsia="Malgun Gothic"/>
          <w:lang w:val="en-US" w:eastAsia="ko-KR"/>
        </w:rPr>
        <w:t xml:space="preserve">the Committee </w:t>
      </w:r>
      <w:r w:rsidR="006D77BF">
        <w:rPr>
          <w:rFonts w:eastAsia="Malgun Gothic"/>
          <w:lang w:val="en-US" w:eastAsia="ko-KR"/>
        </w:rPr>
        <w:t xml:space="preserve">had </w:t>
      </w:r>
      <w:r w:rsidRPr="00813D19">
        <w:rPr>
          <w:rFonts w:eastAsia="Malgun Gothic"/>
          <w:lang w:val="en-US" w:eastAsia="ko-KR"/>
        </w:rPr>
        <w:t xml:space="preserve">requested </w:t>
      </w:r>
      <w:r w:rsidR="006D77BF">
        <w:rPr>
          <w:rFonts w:eastAsia="Malgun Gothic"/>
          <w:lang w:val="en-US" w:eastAsia="ko-KR"/>
        </w:rPr>
        <w:t xml:space="preserve">that </w:t>
      </w:r>
      <w:r w:rsidRPr="00813D19">
        <w:rPr>
          <w:rFonts w:eastAsia="Malgun Gothic"/>
          <w:lang w:val="en-US" w:eastAsia="ko-KR"/>
        </w:rPr>
        <w:t>the Secretariat provide an update on the reform</w:t>
      </w:r>
      <w:r w:rsidRPr="00813D19">
        <w:rPr>
          <w:rFonts w:eastAsia="Malgun Gothic"/>
          <w:b/>
          <w:lang w:val="en-US" w:eastAsia="ko-KR"/>
        </w:rPr>
        <w:t xml:space="preserve"> </w:t>
      </w:r>
      <w:r w:rsidRPr="00813D19">
        <w:rPr>
          <w:rFonts w:eastAsia="Malgun Gothic"/>
          <w:lang w:val="en-US" w:eastAsia="ko-KR"/>
        </w:rPr>
        <w:t>and on the transit</w:t>
      </w:r>
      <w:r w:rsidR="008B4565" w:rsidRPr="00813D19">
        <w:rPr>
          <w:rFonts w:eastAsia="Malgun Gothic"/>
          <w:lang w:val="en-US" w:eastAsia="ko-KR"/>
        </w:rPr>
        <w:t>ion period</w:t>
      </w:r>
      <w:r w:rsidR="007A037D" w:rsidRPr="00813D19">
        <w:rPr>
          <w:rFonts w:eastAsia="Malgun Gothic"/>
          <w:lang w:val="en-US" w:eastAsia="ko-KR"/>
        </w:rPr>
        <w:t>,</w:t>
      </w:r>
      <w:r w:rsidR="008B4565" w:rsidRPr="00813D19">
        <w:rPr>
          <w:rFonts w:eastAsia="Malgun Gothic"/>
          <w:lang w:val="en-US" w:eastAsia="ko-KR"/>
        </w:rPr>
        <w:t xml:space="preserve"> which </w:t>
      </w:r>
      <w:r w:rsidR="006D77BF">
        <w:rPr>
          <w:rFonts w:eastAsia="Malgun Gothic"/>
          <w:lang w:val="en-US" w:eastAsia="ko-KR"/>
        </w:rPr>
        <w:t>was</w:t>
      </w:r>
      <w:r w:rsidR="007A037D" w:rsidRPr="00813D19">
        <w:rPr>
          <w:rFonts w:eastAsia="Malgun Gothic"/>
          <w:lang w:val="en-US" w:eastAsia="ko-KR"/>
        </w:rPr>
        <w:t xml:space="preserve"> due </w:t>
      </w:r>
      <w:r w:rsidR="008B4565" w:rsidRPr="00813D19">
        <w:rPr>
          <w:rFonts w:eastAsia="Malgun Gothic"/>
          <w:lang w:val="en-US" w:eastAsia="ko-KR"/>
        </w:rPr>
        <w:t>to</w:t>
      </w:r>
      <w:r w:rsidRPr="00813D19">
        <w:rPr>
          <w:rFonts w:eastAsia="Malgun Gothic"/>
          <w:lang w:val="en-US" w:eastAsia="ko-KR"/>
        </w:rPr>
        <w:t xml:space="preserve"> last until 2020. </w:t>
      </w:r>
      <w:r w:rsidR="007A037D" w:rsidRPr="00813D19">
        <w:rPr>
          <w:rFonts w:eastAsia="Malgun Gothic"/>
          <w:lang w:val="en-US" w:eastAsia="ko-KR"/>
        </w:rPr>
        <w:t xml:space="preserve">The Secretary began by </w:t>
      </w:r>
      <w:r w:rsidRPr="00813D19">
        <w:rPr>
          <w:rFonts w:eastAsia="Malgun Gothic"/>
          <w:lang w:val="en-US" w:eastAsia="ko-KR"/>
        </w:rPr>
        <w:t>thank</w:t>
      </w:r>
      <w:r w:rsidR="007A037D" w:rsidRPr="00813D19">
        <w:rPr>
          <w:rFonts w:eastAsia="Malgun Gothic"/>
          <w:lang w:val="en-US" w:eastAsia="ko-KR"/>
        </w:rPr>
        <w:t>ing</w:t>
      </w:r>
      <w:r w:rsidRPr="00813D19">
        <w:rPr>
          <w:rFonts w:eastAsia="Malgun Gothic"/>
          <w:lang w:val="en-US" w:eastAsia="ko-KR"/>
        </w:rPr>
        <w:t xml:space="preserve"> the </w:t>
      </w:r>
      <w:r w:rsidR="007A037D" w:rsidRPr="00813D19">
        <w:rPr>
          <w:rFonts w:eastAsia="Malgun Gothic"/>
          <w:lang w:val="en-US" w:eastAsia="ko-KR"/>
        </w:rPr>
        <w:t xml:space="preserve">Republic of Korea for its </w:t>
      </w:r>
      <w:r w:rsidRPr="00813D19">
        <w:rPr>
          <w:rFonts w:eastAsia="Malgun Gothic"/>
          <w:lang w:val="en-US" w:eastAsia="ko-KR"/>
        </w:rPr>
        <w:t xml:space="preserve">generous contribution </w:t>
      </w:r>
      <w:r w:rsidR="007A037D" w:rsidRPr="00813D19">
        <w:rPr>
          <w:rFonts w:eastAsia="Malgun Gothic"/>
          <w:lang w:val="en-US" w:eastAsia="ko-KR"/>
        </w:rPr>
        <w:t xml:space="preserve">that </w:t>
      </w:r>
      <w:r w:rsidR="006D77BF">
        <w:rPr>
          <w:rFonts w:eastAsia="Malgun Gothic"/>
          <w:lang w:val="en-US" w:eastAsia="ko-KR"/>
        </w:rPr>
        <w:t xml:space="preserve">had </w:t>
      </w:r>
      <w:r w:rsidRPr="00813D19">
        <w:rPr>
          <w:rFonts w:eastAsia="Malgun Gothic"/>
          <w:lang w:val="en-US" w:eastAsia="ko-KR"/>
        </w:rPr>
        <w:t>allowed UNESCO to carry on</w:t>
      </w:r>
      <w:r w:rsidR="006D77BF">
        <w:rPr>
          <w:rFonts w:eastAsia="Malgun Gothic"/>
          <w:lang w:val="en-US" w:eastAsia="ko-KR"/>
        </w:rPr>
        <w:t xml:space="preserve"> with</w:t>
      </w:r>
      <w:r w:rsidRPr="00813D19">
        <w:rPr>
          <w:rFonts w:eastAsia="Malgun Gothic"/>
          <w:lang w:val="en-US" w:eastAsia="ko-KR"/>
        </w:rPr>
        <w:t xml:space="preserve"> the process of reforming the periodic reporting mechanism. </w:t>
      </w:r>
      <w:r w:rsidR="006D77BF">
        <w:rPr>
          <w:rFonts w:eastAsia="Malgun Gothic"/>
          <w:lang w:val="en-US" w:eastAsia="ko-KR"/>
        </w:rPr>
        <w:t>W</w:t>
      </w:r>
      <w:r w:rsidRPr="00813D19">
        <w:rPr>
          <w:rFonts w:eastAsia="Malgun Gothic"/>
          <w:lang w:val="en-US" w:eastAsia="ko-KR"/>
        </w:rPr>
        <w:t xml:space="preserve">orking document 8 </w:t>
      </w:r>
      <w:r w:rsidR="006741E1" w:rsidRPr="00813D19">
        <w:rPr>
          <w:rFonts w:eastAsia="Malgun Gothic"/>
          <w:lang w:val="en-US" w:eastAsia="ko-KR"/>
        </w:rPr>
        <w:t xml:space="preserve">contained </w:t>
      </w:r>
      <w:r w:rsidRPr="00813D19">
        <w:rPr>
          <w:rFonts w:eastAsia="Malgun Gothic"/>
          <w:lang w:val="en-US" w:eastAsia="ko-KR"/>
        </w:rPr>
        <w:t xml:space="preserve">two parts: i) </w:t>
      </w:r>
      <w:r w:rsidR="006741E1" w:rsidRPr="00813D19">
        <w:rPr>
          <w:rFonts w:eastAsia="Malgun Gothic"/>
          <w:lang w:val="en-US" w:eastAsia="ko-KR"/>
        </w:rPr>
        <w:t xml:space="preserve">[updates of the reform] </w:t>
      </w:r>
      <w:r w:rsidR="00750F47" w:rsidRPr="00813D19">
        <w:rPr>
          <w:rFonts w:eastAsia="Malgun Gothic"/>
          <w:lang w:val="en-US" w:eastAsia="ko-KR"/>
        </w:rPr>
        <w:t>concerning</w:t>
      </w:r>
      <w:r w:rsidR="007A037D" w:rsidRPr="00813D19">
        <w:rPr>
          <w:rFonts w:eastAsia="Malgun Gothic"/>
          <w:lang w:val="en-US" w:eastAsia="ko-KR"/>
        </w:rPr>
        <w:t xml:space="preserve"> </w:t>
      </w:r>
      <w:r w:rsidRPr="00813D19">
        <w:rPr>
          <w:rFonts w:eastAsia="Malgun Gothic"/>
          <w:lang w:val="en-US" w:eastAsia="ko-KR"/>
        </w:rPr>
        <w:t xml:space="preserve">the initiatives taken by the </w:t>
      </w:r>
      <w:r w:rsidR="007A037D" w:rsidRPr="00813D19">
        <w:rPr>
          <w:rFonts w:eastAsia="Malgun Gothic"/>
          <w:lang w:val="en-US" w:eastAsia="ko-KR"/>
        </w:rPr>
        <w:t>Secretariat towards this reform;</w:t>
      </w:r>
      <w:r w:rsidR="00750F47" w:rsidRPr="00813D19">
        <w:rPr>
          <w:rFonts w:eastAsia="Malgun Gothic"/>
          <w:lang w:val="en-US" w:eastAsia="ko-KR"/>
        </w:rPr>
        <w:t xml:space="preserve"> and ii) </w:t>
      </w:r>
      <w:r w:rsidRPr="00813D19">
        <w:rPr>
          <w:rFonts w:eastAsia="Malgun Gothic"/>
          <w:lang w:val="en-US" w:eastAsia="ko-KR"/>
        </w:rPr>
        <w:t xml:space="preserve">the calendar for the first regional cycle of reporting. The Secretariat proposed two options in this regard. </w:t>
      </w:r>
      <w:r w:rsidR="00750F47" w:rsidRPr="00813D19">
        <w:rPr>
          <w:rFonts w:eastAsia="Malgun Gothic"/>
          <w:lang w:val="en-US" w:eastAsia="ko-KR"/>
        </w:rPr>
        <w:t xml:space="preserve">With </w:t>
      </w:r>
      <w:r w:rsidR="006741E1" w:rsidRPr="00813D19">
        <w:rPr>
          <w:rFonts w:eastAsia="Malgun Gothic"/>
          <w:lang w:val="en-US" w:eastAsia="ko-KR"/>
        </w:rPr>
        <w:t>r</w:t>
      </w:r>
      <w:r w:rsidR="00750F47" w:rsidRPr="00813D19">
        <w:rPr>
          <w:rFonts w:eastAsia="Malgun Gothic"/>
          <w:lang w:val="en-US" w:eastAsia="ko-KR"/>
        </w:rPr>
        <w:t xml:space="preserve">egard to the </w:t>
      </w:r>
      <w:r w:rsidR="00750F47" w:rsidRPr="00813D19">
        <w:rPr>
          <w:rFonts w:eastAsia="Malgun Gothic"/>
          <w:u w:val="single"/>
          <w:lang w:val="en-US" w:eastAsia="ko-KR"/>
        </w:rPr>
        <w:t>u</w:t>
      </w:r>
      <w:r w:rsidR="00DE01F0" w:rsidRPr="00813D19">
        <w:rPr>
          <w:rFonts w:eastAsia="Malgun Gothic"/>
          <w:u w:val="single"/>
          <w:lang w:val="en-US" w:eastAsia="ko-KR"/>
        </w:rPr>
        <w:t>pdates of the refor</w:t>
      </w:r>
      <w:r w:rsidR="00750F47" w:rsidRPr="00813D19">
        <w:rPr>
          <w:rFonts w:eastAsia="Malgun Gothic"/>
          <w:u w:val="single"/>
          <w:lang w:val="en-US" w:eastAsia="ko-KR"/>
        </w:rPr>
        <w:t>m</w:t>
      </w:r>
      <w:r w:rsidR="00DE01F0" w:rsidRPr="00813D19">
        <w:rPr>
          <w:rFonts w:eastAsia="Malgun Gothic"/>
          <w:lang w:val="en-US" w:eastAsia="ko-KR"/>
        </w:rPr>
        <w:t xml:space="preserve">, </w:t>
      </w:r>
      <w:r w:rsidR="00750F47" w:rsidRPr="00813D19">
        <w:rPr>
          <w:rFonts w:eastAsia="Malgun Gothic"/>
          <w:lang w:val="en-US" w:eastAsia="ko-KR"/>
        </w:rPr>
        <w:t xml:space="preserve">the Secretary was </w:t>
      </w:r>
      <w:r w:rsidR="006741E1" w:rsidRPr="00813D19">
        <w:rPr>
          <w:rFonts w:eastAsia="Malgun Gothic"/>
          <w:lang w:val="en-US" w:eastAsia="ko-KR"/>
        </w:rPr>
        <w:t>pleased to report that</w:t>
      </w:r>
      <w:r w:rsidR="00DE01F0" w:rsidRPr="00813D19">
        <w:rPr>
          <w:b/>
          <w:color w:val="000000" w:themeColor="text1"/>
          <w:lang w:val="en-US"/>
        </w:rPr>
        <w:t xml:space="preserve"> </w:t>
      </w:r>
      <w:r w:rsidR="00DE01F0" w:rsidRPr="00813D19">
        <w:rPr>
          <w:rFonts w:eastAsia="Malgun Gothic"/>
          <w:lang w:val="en-US" w:eastAsia="ko-KR"/>
        </w:rPr>
        <w:t>revision</w:t>
      </w:r>
      <w:r w:rsidR="006741E1" w:rsidRPr="00813D19">
        <w:rPr>
          <w:rFonts w:eastAsia="Malgun Gothic"/>
          <w:lang w:val="en-US" w:eastAsia="ko-KR"/>
        </w:rPr>
        <w:t>s</w:t>
      </w:r>
      <w:r w:rsidR="00DE01F0" w:rsidRPr="00813D19">
        <w:rPr>
          <w:rFonts w:eastAsia="Malgun Gothic"/>
          <w:lang w:val="en-US" w:eastAsia="ko-KR"/>
        </w:rPr>
        <w:t xml:space="preserve"> to reporting Form ICH-10 and the drafting of the Guidance Notes for the overall results framework </w:t>
      </w:r>
      <w:r w:rsidR="006741E1" w:rsidRPr="00813D19">
        <w:rPr>
          <w:rFonts w:eastAsia="Malgun Gothic"/>
          <w:lang w:val="en-US" w:eastAsia="ko-KR"/>
        </w:rPr>
        <w:t xml:space="preserve">were </w:t>
      </w:r>
      <w:r w:rsidR="00DE01F0" w:rsidRPr="00813D19">
        <w:rPr>
          <w:rFonts w:eastAsia="Malgun Gothic"/>
          <w:lang w:val="en-US" w:eastAsia="ko-KR"/>
        </w:rPr>
        <w:t xml:space="preserve">advancing well. These two aspects </w:t>
      </w:r>
      <w:r w:rsidR="006741E1" w:rsidRPr="00813D19">
        <w:rPr>
          <w:rFonts w:eastAsia="Malgun Gothic"/>
          <w:lang w:val="en-US" w:eastAsia="ko-KR"/>
        </w:rPr>
        <w:t xml:space="preserve">were </w:t>
      </w:r>
      <w:r w:rsidR="00DE01F0" w:rsidRPr="00813D19">
        <w:rPr>
          <w:rFonts w:eastAsia="Malgun Gothic"/>
          <w:lang w:val="en-US" w:eastAsia="ko-KR"/>
        </w:rPr>
        <w:t>moving in parallel</w:t>
      </w:r>
      <w:r w:rsidR="006741E1" w:rsidRPr="00813D19">
        <w:rPr>
          <w:rFonts w:eastAsia="Malgun Gothic"/>
          <w:lang w:val="en-US" w:eastAsia="ko-KR"/>
        </w:rPr>
        <w:t xml:space="preserve"> because they </w:t>
      </w:r>
      <w:r w:rsidR="006D77BF">
        <w:rPr>
          <w:rFonts w:eastAsia="Malgun Gothic"/>
          <w:lang w:val="en-US" w:eastAsia="ko-KR"/>
        </w:rPr>
        <w:t>were</w:t>
      </w:r>
      <w:r w:rsidR="006D77BF" w:rsidRPr="00813D19">
        <w:rPr>
          <w:rFonts w:eastAsia="Malgun Gothic"/>
          <w:lang w:val="en-US" w:eastAsia="ko-KR"/>
        </w:rPr>
        <w:t xml:space="preserve"> </w:t>
      </w:r>
      <w:r w:rsidR="006741E1" w:rsidRPr="00813D19">
        <w:rPr>
          <w:rFonts w:eastAsia="Malgun Gothic"/>
          <w:lang w:val="en-US" w:eastAsia="ko-KR"/>
        </w:rPr>
        <w:t xml:space="preserve">interrelated, i.e. progress </w:t>
      </w:r>
      <w:r w:rsidR="00DE01F0" w:rsidRPr="00813D19">
        <w:rPr>
          <w:rFonts w:eastAsia="Malgun Gothic"/>
          <w:lang w:val="en-US" w:eastAsia="ko-KR"/>
        </w:rPr>
        <w:t>on the revision of the form should inform the preparation of the Guidance Notes and vice</w:t>
      </w:r>
      <w:r w:rsidR="00A84307">
        <w:rPr>
          <w:rFonts w:eastAsia="Malgun Gothic"/>
          <w:lang w:val="en-US" w:eastAsia="ko-KR"/>
        </w:rPr>
        <w:t xml:space="preserve"> </w:t>
      </w:r>
      <w:r w:rsidR="00DE01F0" w:rsidRPr="00813D19">
        <w:rPr>
          <w:rFonts w:eastAsia="Malgun Gothic"/>
          <w:lang w:val="en-US" w:eastAsia="ko-KR"/>
        </w:rPr>
        <w:t>versa. The other ongoing activities include</w:t>
      </w:r>
      <w:r w:rsidR="006741E1" w:rsidRPr="00813D19">
        <w:rPr>
          <w:rFonts w:eastAsia="Malgun Gothic"/>
          <w:lang w:val="en-US" w:eastAsia="ko-KR"/>
        </w:rPr>
        <w:t>d</w:t>
      </w:r>
      <w:r w:rsidR="00DE01F0" w:rsidRPr="00813D19">
        <w:rPr>
          <w:rFonts w:eastAsia="Malgun Gothic"/>
          <w:lang w:val="en-US" w:eastAsia="ko-KR"/>
        </w:rPr>
        <w:t xml:space="preserve"> the preparation of the capacity-building approach and </w:t>
      </w:r>
      <w:r w:rsidR="006741E1" w:rsidRPr="00813D19">
        <w:rPr>
          <w:rFonts w:eastAsia="Malgun Gothic"/>
          <w:lang w:val="en-US" w:eastAsia="ko-KR"/>
        </w:rPr>
        <w:t xml:space="preserve">the </w:t>
      </w:r>
      <w:r w:rsidR="00DE01F0" w:rsidRPr="00813D19">
        <w:rPr>
          <w:rFonts w:eastAsia="Malgun Gothic"/>
          <w:lang w:val="en-US" w:eastAsia="ko-KR"/>
        </w:rPr>
        <w:t xml:space="preserve">information materials, as well as the adaptation of the existing online reporting tool. </w:t>
      </w:r>
      <w:r w:rsidR="006D77BF">
        <w:rPr>
          <w:rFonts w:eastAsia="Malgun Gothic"/>
          <w:lang w:val="en-US" w:eastAsia="ko-KR"/>
        </w:rPr>
        <w:t>P</w:t>
      </w:r>
      <w:r w:rsidR="00DE01F0" w:rsidRPr="00813D19">
        <w:rPr>
          <w:rFonts w:eastAsia="Malgun Gothic"/>
          <w:lang w:val="en-US" w:eastAsia="ko-KR"/>
        </w:rPr>
        <w:t>rogress on all these activities w</w:t>
      </w:r>
      <w:r w:rsidR="006D77BF">
        <w:rPr>
          <w:rFonts w:eastAsia="Malgun Gothic"/>
          <w:lang w:val="en-US" w:eastAsia="ko-KR"/>
        </w:rPr>
        <w:t>ould</w:t>
      </w:r>
      <w:r w:rsidR="00DE01F0" w:rsidRPr="00813D19">
        <w:rPr>
          <w:rFonts w:eastAsia="Malgun Gothic"/>
          <w:lang w:val="en-US" w:eastAsia="ko-KR"/>
        </w:rPr>
        <w:t xml:space="preserve"> be reported to the </w:t>
      </w:r>
      <w:r w:rsidR="006741E1" w:rsidRPr="00813D19">
        <w:rPr>
          <w:rFonts w:eastAsia="Malgun Gothic"/>
          <w:lang w:val="en-US" w:eastAsia="ko-KR"/>
        </w:rPr>
        <w:t xml:space="preserve">Committee at its </w:t>
      </w:r>
      <w:r w:rsidR="00DE01F0" w:rsidRPr="00813D19">
        <w:rPr>
          <w:rFonts w:eastAsia="Malgun Gothic"/>
          <w:lang w:val="en-US" w:eastAsia="ko-KR"/>
        </w:rPr>
        <w:t>next session in 2019.</w:t>
      </w:r>
    </w:p>
    <w:p w14:paraId="73B0ACDE" w14:textId="21C80502" w:rsidR="00431CF8" w:rsidRPr="00813D19" w:rsidRDefault="006741E1" w:rsidP="00D02337">
      <w:pPr>
        <w:pStyle w:val="Orateurengris"/>
        <w:spacing w:before="120" w:after="0"/>
        <w:ind w:left="709" w:hanging="709"/>
        <w:rPr>
          <w:rFonts w:eastAsia="Malgun Gothic"/>
          <w:lang w:val="en-US" w:eastAsia="ko-KR"/>
        </w:rPr>
      </w:pPr>
      <w:r w:rsidRPr="00813D19">
        <w:rPr>
          <w:color w:val="000000" w:themeColor="text1"/>
          <w:lang w:val="en-US"/>
        </w:rPr>
        <w:t>Regarding</w:t>
      </w:r>
      <w:r w:rsidRPr="00813D19">
        <w:rPr>
          <w:b/>
          <w:color w:val="000000" w:themeColor="text1"/>
          <w:lang w:val="en-US"/>
        </w:rPr>
        <w:t xml:space="preserve"> </w:t>
      </w:r>
      <w:r w:rsidR="00DE01F0" w:rsidRPr="00813D19">
        <w:rPr>
          <w:rFonts w:eastAsia="Malgun Gothic"/>
          <w:lang w:val="en-US" w:eastAsia="ko-KR"/>
        </w:rPr>
        <w:t xml:space="preserve">the reform, </w:t>
      </w:r>
      <w:r w:rsidRPr="00813D19">
        <w:rPr>
          <w:rFonts w:eastAsia="Malgun Gothic"/>
          <w:lang w:val="en-US" w:eastAsia="ko-KR"/>
        </w:rPr>
        <w:t xml:space="preserve">the </w:t>
      </w:r>
      <w:r w:rsidRPr="00813D19">
        <w:rPr>
          <w:rFonts w:eastAsia="Malgun Gothic"/>
          <w:b/>
          <w:lang w:val="en-US" w:eastAsia="ko-KR"/>
        </w:rPr>
        <w:t>Secretary</w:t>
      </w:r>
      <w:r w:rsidRPr="00813D19">
        <w:rPr>
          <w:rFonts w:eastAsia="Malgun Gothic"/>
          <w:lang w:val="en-US" w:eastAsia="ko-KR"/>
        </w:rPr>
        <w:t xml:space="preserve"> wished to </w:t>
      </w:r>
      <w:r w:rsidR="00165EDA" w:rsidRPr="00813D19">
        <w:rPr>
          <w:rFonts w:eastAsia="Malgun Gothic"/>
          <w:lang w:val="en-US" w:eastAsia="ko-KR"/>
        </w:rPr>
        <w:t>clarify several points. Firstly,</w:t>
      </w:r>
      <w:r w:rsidR="00DE01F0" w:rsidRPr="00813D19">
        <w:rPr>
          <w:lang w:val="en-US"/>
        </w:rPr>
        <w:t xml:space="preserve"> the </w:t>
      </w:r>
      <w:r w:rsidR="00DE01F0" w:rsidRPr="00813D19">
        <w:rPr>
          <w:rFonts w:eastAsia="Malgun Gothic"/>
          <w:lang w:val="en-US" w:eastAsia="ko-KR"/>
        </w:rPr>
        <w:t>statutory</w:t>
      </w:r>
      <w:r w:rsidR="00DE01F0" w:rsidRPr="00813D19">
        <w:rPr>
          <w:lang w:val="en-US"/>
        </w:rPr>
        <w:t xml:space="preserve"> obligation for States Parties to submit their periodic reports on the implementation of the Convention and on the elements inscribed on the Representative List </w:t>
      </w:r>
      <w:r w:rsidR="006D77BF">
        <w:rPr>
          <w:lang w:val="en-US"/>
        </w:rPr>
        <w:t>had been</w:t>
      </w:r>
      <w:r w:rsidRPr="00813D19">
        <w:rPr>
          <w:lang w:val="en-US"/>
        </w:rPr>
        <w:t xml:space="preserve"> </w:t>
      </w:r>
      <w:r w:rsidR="00DE01F0" w:rsidRPr="00813D19">
        <w:rPr>
          <w:lang w:val="en-US"/>
        </w:rPr>
        <w:t xml:space="preserve">suspended for the deadlines of 15 December 2018 and 2019. This </w:t>
      </w:r>
      <w:r w:rsidRPr="00813D19">
        <w:rPr>
          <w:lang w:val="en-US"/>
        </w:rPr>
        <w:t xml:space="preserve">was also </w:t>
      </w:r>
      <w:r w:rsidR="00DE01F0" w:rsidRPr="00813D19">
        <w:rPr>
          <w:lang w:val="en-US"/>
        </w:rPr>
        <w:t xml:space="preserve">valid for </w:t>
      </w:r>
      <w:r w:rsidRPr="00813D19">
        <w:rPr>
          <w:lang w:val="en-US"/>
        </w:rPr>
        <w:t xml:space="preserve">late reports by </w:t>
      </w:r>
      <w:r w:rsidR="00DE01F0" w:rsidRPr="00813D19">
        <w:rPr>
          <w:lang w:val="en-US"/>
        </w:rPr>
        <w:t xml:space="preserve">States </w:t>
      </w:r>
      <w:r w:rsidR="00165EDA" w:rsidRPr="00813D19">
        <w:rPr>
          <w:lang w:val="en-US"/>
        </w:rPr>
        <w:t xml:space="preserve">for the current or past cycles. Secondly, </w:t>
      </w:r>
      <w:r w:rsidRPr="00813D19">
        <w:rPr>
          <w:lang w:val="en-US"/>
        </w:rPr>
        <w:t>t</w:t>
      </w:r>
      <w:r w:rsidR="00DE01F0" w:rsidRPr="00813D19">
        <w:rPr>
          <w:lang w:val="en-US"/>
        </w:rPr>
        <w:t xml:space="preserve">he </w:t>
      </w:r>
      <w:r w:rsidR="00DE01F0" w:rsidRPr="00813D19">
        <w:rPr>
          <w:rFonts w:eastAsia="Malgun Gothic"/>
          <w:lang w:val="en-US" w:eastAsia="ko-KR"/>
        </w:rPr>
        <w:t>procedure</w:t>
      </w:r>
      <w:r w:rsidR="00DE01F0" w:rsidRPr="00813D19">
        <w:rPr>
          <w:lang w:val="en-US"/>
        </w:rPr>
        <w:t xml:space="preserve"> for reporting on the elements listed on the Urgent Safeguarding List w</w:t>
      </w:r>
      <w:r w:rsidR="006D77BF">
        <w:rPr>
          <w:lang w:val="en-US"/>
        </w:rPr>
        <w:t>ould</w:t>
      </w:r>
      <w:r w:rsidR="00DE01F0" w:rsidRPr="00813D19">
        <w:rPr>
          <w:lang w:val="en-US"/>
        </w:rPr>
        <w:t xml:space="preserve"> no</w:t>
      </w:r>
      <w:r w:rsidRPr="00813D19">
        <w:rPr>
          <w:lang w:val="en-US"/>
        </w:rPr>
        <w:t>t change for now, i</w:t>
      </w:r>
      <w:r w:rsidR="00DE01F0" w:rsidRPr="00813D19">
        <w:rPr>
          <w:lang w:val="en-US"/>
        </w:rPr>
        <w:t xml:space="preserve">n other words, </w:t>
      </w:r>
      <w:r w:rsidRPr="00813D19">
        <w:rPr>
          <w:lang w:val="en-US"/>
        </w:rPr>
        <w:t xml:space="preserve">the </w:t>
      </w:r>
      <w:r w:rsidR="00095F8C" w:rsidRPr="00813D19">
        <w:rPr>
          <w:lang w:val="en-US"/>
        </w:rPr>
        <w:t>Urgent Safeguarding List</w:t>
      </w:r>
      <w:r w:rsidRPr="00813D19">
        <w:rPr>
          <w:lang w:val="en-US"/>
        </w:rPr>
        <w:t xml:space="preserve"> reports remained</w:t>
      </w:r>
      <w:r w:rsidR="00DE01F0" w:rsidRPr="00813D19">
        <w:rPr>
          <w:lang w:val="en-US"/>
        </w:rPr>
        <w:t xml:space="preserve"> a separate reporting system </w:t>
      </w:r>
      <w:r w:rsidRPr="00813D19">
        <w:rPr>
          <w:lang w:val="en-US"/>
        </w:rPr>
        <w:t xml:space="preserve">based </w:t>
      </w:r>
      <w:r w:rsidR="00DE01F0" w:rsidRPr="00813D19">
        <w:rPr>
          <w:lang w:val="en-US"/>
        </w:rPr>
        <w:t>o</w:t>
      </w:r>
      <w:r w:rsidR="00095F8C" w:rsidRPr="00813D19">
        <w:rPr>
          <w:lang w:val="en-US"/>
        </w:rPr>
        <w:t>n a quadrennial and inscription-</w:t>
      </w:r>
      <w:r w:rsidR="00DE01F0" w:rsidRPr="00813D19">
        <w:rPr>
          <w:lang w:val="en-US"/>
        </w:rPr>
        <w:t>year</w:t>
      </w:r>
      <w:r w:rsidRPr="00813D19">
        <w:rPr>
          <w:lang w:val="en-US"/>
        </w:rPr>
        <w:t xml:space="preserve"> </w:t>
      </w:r>
      <w:r w:rsidR="00DE01F0" w:rsidRPr="00813D19">
        <w:rPr>
          <w:lang w:val="en-US"/>
        </w:rPr>
        <w:t>schedule. As already discussed under items 6 and 7.b, a global reflection on the listing mechanisms of the 2003 Convention</w:t>
      </w:r>
      <w:r w:rsidR="00165EDA" w:rsidRPr="00813D19">
        <w:rPr>
          <w:lang w:val="en-US"/>
        </w:rPr>
        <w:t>,</w:t>
      </w:r>
      <w:r w:rsidR="00DE01F0" w:rsidRPr="00813D19">
        <w:rPr>
          <w:lang w:val="en-US"/>
        </w:rPr>
        <w:t xml:space="preserve"> as well as transfer</w:t>
      </w:r>
      <w:r w:rsidR="006D77BF">
        <w:rPr>
          <w:lang w:val="en-US"/>
        </w:rPr>
        <w:t>s</w:t>
      </w:r>
      <w:r w:rsidR="00DE01F0" w:rsidRPr="00813D19">
        <w:rPr>
          <w:lang w:val="en-US"/>
        </w:rPr>
        <w:t xml:space="preserve"> and removal</w:t>
      </w:r>
      <w:r w:rsidR="006D77BF">
        <w:rPr>
          <w:lang w:val="en-US"/>
        </w:rPr>
        <w:t>s</w:t>
      </w:r>
      <w:r w:rsidR="00165EDA" w:rsidRPr="00813D19">
        <w:rPr>
          <w:lang w:val="en-US"/>
        </w:rPr>
        <w:t>,</w:t>
      </w:r>
      <w:r w:rsidR="00DE01F0" w:rsidRPr="00813D19">
        <w:rPr>
          <w:lang w:val="en-US"/>
        </w:rPr>
        <w:t xml:space="preserve"> w</w:t>
      </w:r>
      <w:r w:rsidR="006D77BF">
        <w:rPr>
          <w:lang w:val="en-US"/>
        </w:rPr>
        <w:t>ould</w:t>
      </w:r>
      <w:r w:rsidR="00DE01F0" w:rsidRPr="00813D19">
        <w:rPr>
          <w:lang w:val="en-US"/>
        </w:rPr>
        <w:t xml:space="preserve"> happen soon and </w:t>
      </w:r>
      <w:r w:rsidR="00165EDA" w:rsidRPr="00813D19">
        <w:rPr>
          <w:lang w:val="en-US"/>
        </w:rPr>
        <w:t>w</w:t>
      </w:r>
      <w:r w:rsidR="006D77BF">
        <w:rPr>
          <w:lang w:val="en-US"/>
        </w:rPr>
        <w:t>ould</w:t>
      </w:r>
      <w:r w:rsidR="00165EDA" w:rsidRPr="00813D19">
        <w:rPr>
          <w:lang w:val="en-US"/>
        </w:rPr>
        <w:t xml:space="preserve"> thus </w:t>
      </w:r>
      <w:r w:rsidR="006D77BF">
        <w:rPr>
          <w:lang w:val="en-US"/>
        </w:rPr>
        <w:t xml:space="preserve">also </w:t>
      </w:r>
      <w:r w:rsidR="00DE01F0" w:rsidRPr="00813D19">
        <w:rPr>
          <w:lang w:val="en-US"/>
        </w:rPr>
        <w:t>be an o</w:t>
      </w:r>
      <w:r w:rsidR="006D77BF">
        <w:rPr>
          <w:lang w:val="en-US"/>
        </w:rPr>
        <w:t>pportunity</w:t>
      </w:r>
      <w:r w:rsidR="00DE01F0" w:rsidRPr="00813D19">
        <w:rPr>
          <w:lang w:val="en-US"/>
        </w:rPr>
        <w:t xml:space="preserve"> to</w:t>
      </w:r>
      <w:r w:rsidR="00165EDA" w:rsidRPr="00813D19">
        <w:rPr>
          <w:lang w:val="en-US"/>
        </w:rPr>
        <w:t xml:space="preserve"> </w:t>
      </w:r>
      <w:r w:rsidR="00DE01F0" w:rsidRPr="00813D19">
        <w:rPr>
          <w:lang w:val="en-US"/>
        </w:rPr>
        <w:t xml:space="preserve">discuss the reporting on inscribed elements. </w:t>
      </w:r>
      <w:r w:rsidR="00165EDA" w:rsidRPr="00813D19">
        <w:rPr>
          <w:lang w:val="en-US"/>
        </w:rPr>
        <w:t>Thirdly, t</w:t>
      </w:r>
      <w:r w:rsidR="00DE01F0" w:rsidRPr="00813D19">
        <w:rPr>
          <w:lang w:val="en-US"/>
        </w:rPr>
        <w:t>he reporting procedure for States non-party to the Convention on elements inscribed on the Representative List w</w:t>
      </w:r>
      <w:r w:rsidR="006D77BF">
        <w:rPr>
          <w:lang w:val="en-US"/>
        </w:rPr>
        <w:t xml:space="preserve">ould </w:t>
      </w:r>
      <w:r w:rsidR="00DE01F0" w:rsidRPr="00813D19">
        <w:rPr>
          <w:lang w:val="en-US"/>
        </w:rPr>
        <w:t>not change. The Russian Federation, the only State in this situation, w</w:t>
      </w:r>
      <w:r w:rsidR="006D77BF">
        <w:rPr>
          <w:lang w:val="en-US"/>
        </w:rPr>
        <w:t>ould</w:t>
      </w:r>
      <w:r w:rsidR="00DE01F0" w:rsidRPr="00813D19">
        <w:rPr>
          <w:lang w:val="en-US"/>
        </w:rPr>
        <w:t xml:space="preserve"> have to report every six years on its two former Masterpieces incorporated in </w:t>
      </w:r>
      <w:r w:rsidR="00165EDA" w:rsidRPr="00813D19">
        <w:rPr>
          <w:lang w:val="en-US"/>
        </w:rPr>
        <w:t>2008 on the Representative List</w:t>
      </w:r>
      <w:r w:rsidR="006D77BF">
        <w:rPr>
          <w:lang w:val="en-US"/>
        </w:rPr>
        <w:t xml:space="preserve">, </w:t>
      </w:r>
      <w:r w:rsidR="00165EDA" w:rsidRPr="00813D19">
        <w:rPr>
          <w:lang w:val="en-US"/>
        </w:rPr>
        <w:t xml:space="preserve">whose next </w:t>
      </w:r>
      <w:r w:rsidR="00DE01F0" w:rsidRPr="00813D19">
        <w:rPr>
          <w:lang w:val="en-US"/>
        </w:rPr>
        <w:t xml:space="preserve">report </w:t>
      </w:r>
      <w:r w:rsidR="00165EDA" w:rsidRPr="00813D19">
        <w:rPr>
          <w:lang w:val="en-US"/>
        </w:rPr>
        <w:t xml:space="preserve">was </w:t>
      </w:r>
      <w:r w:rsidR="00DE01F0" w:rsidRPr="00813D19">
        <w:rPr>
          <w:lang w:val="en-US"/>
        </w:rPr>
        <w:t xml:space="preserve">therefore expected by 15 December 2020 [paragraph 169 of the </w:t>
      </w:r>
      <w:r w:rsidR="00165EDA" w:rsidRPr="00813D19">
        <w:rPr>
          <w:lang w:val="en-US"/>
        </w:rPr>
        <w:t>Operational Directives</w:t>
      </w:r>
      <w:r w:rsidR="00DE01F0" w:rsidRPr="00813D19">
        <w:rPr>
          <w:lang w:val="en-US"/>
        </w:rPr>
        <w:t>].</w:t>
      </w:r>
      <w:r w:rsidR="00165EDA" w:rsidRPr="00813D19">
        <w:rPr>
          <w:rFonts w:eastAsia="Malgun Gothic"/>
          <w:lang w:val="en-US" w:eastAsia="ko-KR"/>
        </w:rPr>
        <w:t xml:space="preserve"> Regarding the </w:t>
      </w:r>
      <w:r w:rsidR="00DE1290" w:rsidRPr="00FB395B">
        <w:rPr>
          <w:rFonts w:eastAsia="Malgun Gothic"/>
          <w:lang w:val="en-US" w:eastAsia="ko-KR"/>
        </w:rPr>
        <w:t>c</w:t>
      </w:r>
      <w:r w:rsidR="00940BFE" w:rsidRPr="00FB395B">
        <w:rPr>
          <w:rFonts w:eastAsia="Malgun Gothic"/>
          <w:lang w:val="en-US" w:eastAsia="ko-KR"/>
        </w:rPr>
        <w:t>alendar</w:t>
      </w:r>
      <w:r w:rsidR="00165EDA" w:rsidRPr="00813D19">
        <w:rPr>
          <w:rFonts w:eastAsia="Malgun Gothic"/>
          <w:lang w:val="en-US" w:eastAsia="ko-KR"/>
        </w:rPr>
        <w:t xml:space="preserve">, the </w:t>
      </w:r>
      <w:r w:rsidR="00165EDA" w:rsidRPr="00813D19">
        <w:rPr>
          <w:lang w:val="en-US"/>
        </w:rPr>
        <w:t xml:space="preserve">Secretary explained that </w:t>
      </w:r>
      <w:r w:rsidR="00165EDA" w:rsidRPr="00813D19">
        <w:rPr>
          <w:rFonts w:eastAsia="Malgun Gothic"/>
          <w:lang w:val="en-US" w:eastAsia="ko-KR"/>
        </w:rPr>
        <w:t>t</w:t>
      </w:r>
      <w:r w:rsidR="00762B7E" w:rsidRPr="00813D19">
        <w:rPr>
          <w:rFonts w:eastAsia="Malgun Gothic"/>
          <w:lang w:val="en-US" w:eastAsia="ko-KR"/>
        </w:rPr>
        <w:t>he Comm</w:t>
      </w:r>
      <w:r w:rsidR="00165EDA" w:rsidRPr="00813D19">
        <w:rPr>
          <w:rFonts w:eastAsia="Malgun Gothic"/>
          <w:lang w:val="en-US" w:eastAsia="ko-KR"/>
        </w:rPr>
        <w:t xml:space="preserve">ittee now </w:t>
      </w:r>
      <w:r w:rsidR="006D77BF" w:rsidRPr="00813D19">
        <w:rPr>
          <w:rFonts w:eastAsia="Malgun Gothic"/>
          <w:lang w:val="en-US" w:eastAsia="ko-KR"/>
        </w:rPr>
        <w:t xml:space="preserve">had </w:t>
      </w:r>
      <w:r w:rsidR="00762B7E" w:rsidRPr="00813D19">
        <w:rPr>
          <w:rFonts w:eastAsia="Malgun Gothic"/>
          <w:lang w:val="en-US" w:eastAsia="ko-KR"/>
        </w:rPr>
        <w:t>to establish the calendar for the first regional cycle of reporting</w:t>
      </w:r>
      <w:r w:rsidR="00552457" w:rsidRPr="00813D19">
        <w:rPr>
          <w:rFonts w:eastAsia="Malgun Gothic"/>
          <w:lang w:val="en-US" w:eastAsia="ko-KR"/>
        </w:rPr>
        <w:t xml:space="preserve">, adding that it </w:t>
      </w:r>
      <w:r w:rsidR="00165EDA" w:rsidRPr="00813D19">
        <w:rPr>
          <w:rFonts w:eastAsia="Malgun Gothic"/>
          <w:lang w:val="en-US" w:eastAsia="ko-KR"/>
        </w:rPr>
        <w:t>was important to keep in mind that o</w:t>
      </w:r>
      <w:r w:rsidR="00762B7E" w:rsidRPr="00813D19">
        <w:rPr>
          <w:rFonts w:eastAsia="Malgun Gothic"/>
          <w:lang w:val="en-US" w:eastAsia="ko-KR"/>
        </w:rPr>
        <w:t xml:space="preserve">ne </w:t>
      </w:r>
      <w:r w:rsidR="00762B7E" w:rsidRPr="00813D19">
        <w:rPr>
          <w:lang w:val="en-US"/>
        </w:rPr>
        <w:t xml:space="preserve">of the main advantages of moving </w:t>
      </w:r>
      <w:r w:rsidR="00165EDA" w:rsidRPr="00813D19">
        <w:rPr>
          <w:lang w:val="en-US"/>
        </w:rPr>
        <w:t xml:space="preserve">to a </w:t>
      </w:r>
      <w:r w:rsidR="00762B7E" w:rsidRPr="00813D19">
        <w:rPr>
          <w:lang w:val="en-US"/>
        </w:rPr>
        <w:t>regional calendar</w:t>
      </w:r>
      <w:r w:rsidR="00165EDA" w:rsidRPr="00813D19">
        <w:rPr>
          <w:lang w:val="en-US"/>
        </w:rPr>
        <w:t xml:space="preserve"> of reporting</w:t>
      </w:r>
      <w:r w:rsidR="00762B7E" w:rsidRPr="00813D19">
        <w:rPr>
          <w:lang w:val="en-US"/>
        </w:rPr>
        <w:t xml:space="preserve">, rather than </w:t>
      </w:r>
      <w:r w:rsidR="00165EDA" w:rsidRPr="00813D19">
        <w:rPr>
          <w:lang w:val="en-US"/>
        </w:rPr>
        <w:t xml:space="preserve">a </w:t>
      </w:r>
      <w:r w:rsidR="00762B7E" w:rsidRPr="00813D19">
        <w:rPr>
          <w:lang w:val="en-US"/>
        </w:rPr>
        <w:t xml:space="preserve">ratification-based calendar, </w:t>
      </w:r>
      <w:r w:rsidR="00165EDA" w:rsidRPr="00813D19">
        <w:rPr>
          <w:lang w:val="en-US"/>
        </w:rPr>
        <w:t xml:space="preserve">was </w:t>
      </w:r>
      <w:r w:rsidR="00762B7E" w:rsidRPr="00813D19">
        <w:rPr>
          <w:lang w:val="en-US"/>
        </w:rPr>
        <w:t>the multiple opportunities it offer</w:t>
      </w:r>
      <w:r w:rsidR="00165EDA" w:rsidRPr="00813D19">
        <w:rPr>
          <w:lang w:val="en-US"/>
        </w:rPr>
        <w:t>ed</w:t>
      </w:r>
      <w:r w:rsidR="00762B7E" w:rsidRPr="00813D19">
        <w:rPr>
          <w:lang w:val="en-US"/>
        </w:rPr>
        <w:t xml:space="preserve"> for more efficient and targeted </w:t>
      </w:r>
      <w:r w:rsidR="004C0C0E" w:rsidRPr="00813D19">
        <w:rPr>
          <w:lang w:val="en-US"/>
        </w:rPr>
        <w:t>capacity</w:t>
      </w:r>
      <w:r w:rsidR="00E67BD1">
        <w:rPr>
          <w:lang w:val="en-US"/>
        </w:rPr>
        <w:t xml:space="preserve"> </w:t>
      </w:r>
      <w:r w:rsidR="00762B7E" w:rsidRPr="00813D19">
        <w:rPr>
          <w:lang w:val="en-US"/>
        </w:rPr>
        <w:t>building, including peer-to-peer and neighbour-to-neighbour technical assistance and cooperation.</w:t>
      </w:r>
      <w:r w:rsidR="00D02337" w:rsidRPr="00813D19">
        <w:rPr>
          <w:rFonts w:eastAsia="Malgun Gothic"/>
          <w:lang w:val="en-US" w:eastAsia="ko-KR"/>
        </w:rPr>
        <w:t xml:space="preserve"> </w:t>
      </w:r>
      <w:r w:rsidR="00165EDA" w:rsidRPr="00813D19">
        <w:rPr>
          <w:rFonts w:eastAsia="Malgun Gothic"/>
          <w:lang w:val="en-US" w:eastAsia="ko-KR"/>
        </w:rPr>
        <w:t>The document presented</w:t>
      </w:r>
      <w:r w:rsidR="00762B7E" w:rsidRPr="00813D19">
        <w:rPr>
          <w:rFonts w:eastAsia="Malgun Gothic"/>
          <w:lang w:val="en-US" w:eastAsia="ko-KR"/>
        </w:rPr>
        <w:t xml:space="preserve"> two options for the Committee’s consideration.</w:t>
      </w:r>
      <w:r w:rsidR="00D02337" w:rsidRPr="00813D19">
        <w:rPr>
          <w:rFonts w:eastAsia="Malgun Gothic"/>
          <w:lang w:val="en-US" w:eastAsia="ko-KR"/>
        </w:rPr>
        <w:t xml:space="preserve"> </w:t>
      </w:r>
      <w:r w:rsidR="00762B7E" w:rsidRPr="00813D19">
        <w:rPr>
          <w:rFonts w:eastAsia="Malgun Gothic"/>
          <w:lang w:val="en-US" w:eastAsia="ko-KR"/>
        </w:rPr>
        <w:t xml:space="preserve">Option </w:t>
      </w:r>
      <w:r w:rsidR="00165EDA" w:rsidRPr="00813D19">
        <w:rPr>
          <w:rFonts w:eastAsia="Malgun Gothic"/>
          <w:lang w:val="en-US" w:eastAsia="ko-KR"/>
        </w:rPr>
        <w:t>I</w:t>
      </w:r>
      <w:r w:rsidR="00552457" w:rsidRPr="00813D19">
        <w:rPr>
          <w:rFonts w:eastAsia="Malgun Gothic"/>
          <w:lang w:val="en-US" w:eastAsia="ko-KR"/>
        </w:rPr>
        <w:t xml:space="preserve">, as previously </w:t>
      </w:r>
      <w:r w:rsidR="00762B7E" w:rsidRPr="00813D19">
        <w:rPr>
          <w:rFonts w:eastAsia="Malgun Gothic"/>
          <w:lang w:val="en-US" w:eastAsia="ko-KR"/>
        </w:rPr>
        <w:t xml:space="preserve">mentioned in working document </w:t>
      </w:r>
      <w:hyperlink r:id="rId74" w:history="1">
        <w:r w:rsidR="00552457" w:rsidRPr="00813D19">
          <w:rPr>
            <w:rStyle w:val="Hyperlink"/>
            <w:rFonts w:eastAsia="Malgun Gothic"/>
            <w:lang w:val="en-US" w:eastAsia="ko-KR"/>
          </w:rPr>
          <w:t>12.COM 10</w:t>
        </w:r>
      </w:hyperlink>
      <w:r w:rsidR="00552457" w:rsidRPr="00813D19">
        <w:rPr>
          <w:rFonts w:eastAsia="Malgun Gothic"/>
          <w:lang w:val="en-US" w:eastAsia="ko-KR"/>
        </w:rPr>
        <w:t xml:space="preserve"> under </w:t>
      </w:r>
      <w:r w:rsidR="00762B7E" w:rsidRPr="00813D19">
        <w:rPr>
          <w:rFonts w:eastAsia="Malgun Gothic"/>
          <w:lang w:val="en-US" w:eastAsia="ko-KR"/>
        </w:rPr>
        <w:t>‘Draft amendments to the Operational Directives on periodic reporting’</w:t>
      </w:r>
      <w:r w:rsidR="00552457" w:rsidRPr="00813D19">
        <w:rPr>
          <w:rFonts w:eastAsia="Malgun Gothic"/>
          <w:lang w:val="en-US" w:eastAsia="ko-KR"/>
        </w:rPr>
        <w:t>,</w:t>
      </w:r>
      <w:r w:rsidR="00762B7E" w:rsidRPr="00813D19">
        <w:rPr>
          <w:lang w:val="en-US"/>
        </w:rPr>
        <w:t xml:space="preserve"> </w:t>
      </w:r>
      <w:r w:rsidR="00552457" w:rsidRPr="00813D19">
        <w:rPr>
          <w:rFonts w:eastAsia="Malgun Gothic"/>
          <w:lang w:val="en-US" w:eastAsia="ko-KR"/>
        </w:rPr>
        <w:t>consisted</w:t>
      </w:r>
      <w:r w:rsidR="00762B7E" w:rsidRPr="00813D19">
        <w:rPr>
          <w:rFonts w:eastAsia="Malgun Gothic"/>
          <w:lang w:val="en-US" w:eastAsia="ko-KR"/>
        </w:rPr>
        <w:t xml:space="preserve"> of a six-year reporting structure with each year dedicated to one of the Electoral Groups</w:t>
      </w:r>
      <w:r w:rsidR="00552457" w:rsidRPr="00813D19">
        <w:rPr>
          <w:rFonts w:eastAsia="Malgun Gothic"/>
          <w:lang w:val="en-US" w:eastAsia="ko-KR"/>
        </w:rPr>
        <w:t>,</w:t>
      </w:r>
      <w:r w:rsidR="00762B7E" w:rsidRPr="00813D19">
        <w:rPr>
          <w:rFonts w:eastAsia="Malgun Gothic"/>
          <w:lang w:val="en-US" w:eastAsia="ko-KR"/>
        </w:rPr>
        <w:t xml:space="preserve"> as defined in the Grouping of Member States for the purpose of </w:t>
      </w:r>
      <w:r w:rsidR="00552457" w:rsidRPr="00813D19">
        <w:rPr>
          <w:rFonts w:eastAsia="Malgun Gothic"/>
          <w:lang w:val="en-US" w:eastAsia="ko-KR"/>
        </w:rPr>
        <w:t>election to the Executive Board</w:t>
      </w:r>
      <w:r w:rsidR="00552457" w:rsidRPr="00813D19">
        <w:rPr>
          <w:rStyle w:val="FootnoteReference"/>
          <w:rFonts w:eastAsia="Malgun Gothic"/>
          <w:lang w:val="en-US" w:eastAsia="ko-KR"/>
        </w:rPr>
        <w:footnoteReference w:id="19"/>
      </w:r>
      <w:r w:rsidR="00552457" w:rsidRPr="00813D19">
        <w:rPr>
          <w:rFonts w:eastAsia="Malgun Gothic"/>
          <w:lang w:val="en-US" w:eastAsia="ko-KR"/>
        </w:rPr>
        <w:t xml:space="preserve">. </w:t>
      </w:r>
      <w:r w:rsidR="00762B7E" w:rsidRPr="00813D19">
        <w:rPr>
          <w:rFonts w:eastAsia="Malgun Gothic"/>
          <w:lang w:val="en-US" w:eastAsia="ko-KR"/>
        </w:rPr>
        <w:t>In this scenario, the States Parties of the first Electoral Group would start preparing their periodic reports in early 2020 and submit them to the Secretariat by the deadline of 15 December 2020. The Committee w</w:t>
      </w:r>
      <w:r w:rsidR="00E67BD1">
        <w:rPr>
          <w:rFonts w:eastAsia="Malgun Gothic"/>
          <w:lang w:val="en-US" w:eastAsia="ko-KR"/>
        </w:rPr>
        <w:t>ould</w:t>
      </w:r>
      <w:r w:rsidR="00762B7E" w:rsidRPr="00813D19">
        <w:rPr>
          <w:rFonts w:eastAsia="Malgun Gothic"/>
          <w:lang w:val="en-US" w:eastAsia="ko-KR"/>
        </w:rPr>
        <w:t xml:space="preserve"> then examine these reports at its </w:t>
      </w:r>
      <w:r w:rsidR="00552457" w:rsidRPr="00813D19">
        <w:rPr>
          <w:rFonts w:eastAsia="Malgun Gothic"/>
          <w:lang w:val="en-US" w:eastAsia="ko-KR"/>
        </w:rPr>
        <w:t xml:space="preserve">sixteenth session </w:t>
      </w:r>
      <w:r w:rsidR="00762B7E" w:rsidRPr="00813D19">
        <w:rPr>
          <w:rFonts w:eastAsia="Malgun Gothic"/>
          <w:lang w:val="en-US" w:eastAsia="ko-KR"/>
        </w:rPr>
        <w:t xml:space="preserve">at the end of 2021. At the same time, the second Electoral Group would </w:t>
      </w:r>
      <w:r w:rsidR="00552457" w:rsidRPr="00813D19">
        <w:rPr>
          <w:rFonts w:eastAsia="Malgun Gothic"/>
          <w:lang w:val="en-US" w:eastAsia="ko-KR"/>
        </w:rPr>
        <w:t>start</w:t>
      </w:r>
      <w:r w:rsidR="00762B7E" w:rsidRPr="00813D19">
        <w:rPr>
          <w:rFonts w:eastAsia="Malgun Gothic"/>
          <w:lang w:val="en-US" w:eastAsia="ko-KR"/>
        </w:rPr>
        <w:t xml:space="preserve"> </w:t>
      </w:r>
      <w:r w:rsidR="00E67BD1">
        <w:rPr>
          <w:rFonts w:eastAsia="Malgun Gothic"/>
          <w:lang w:val="en-US" w:eastAsia="ko-KR"/>
        </w:rPr>
        <w:t>preparing</w:t>
      </w:r>
      <w:r w:rsidR="00762B7E" w:rsidRPr="00813D19">
        <w:rPr>
          <w:rFonts w:eastAsia="Malgun Gothic"/>
          <w:lang w:val="en-US" w:eastAsia="ko-KR"/>
        </w:rPr>
        <w:t xml:space="preserve"> reports in early 2021 </w:t>
      </w:r>
      <w:r w:rsidR="00552457" w:rsidRPr="00813D19">
        <w:rPr>
          <w:rFonts w:eastAsia="Malgun Gothic"/>
          <w:lang w:val="en-US" w:eastAsia="ko-KR"/>
        </w:rPr>
        <w:t>so as to submit</w:t>
      </w:r>
      <w:r w:rsidR="00762B7E" w:rsidRPr="00813D19">
        <w:rPr>
          <w:rFonts w:eastAsia="Malgun Gothic"/>
          <w:lang w:val="en-US" w:eastAsia="ko-KR"/>
        </w:rPr>
        <w:t xml:space="preserve"> </w:t>
      </w:r>
      <w:r w:rsidR="00552457" w:rsidRPr="00813D19">
        <w:rPr>
          <w:rFonts w:eastAsia="Malgun Gothic"/>
          <w:lang w:val="en-US" w:eastAsia="ko-KR"/>
        </w:rPr>
        <w:t xml:space="preserve">them </w:t>
      </w:r>
      <w:r w:rsidR="00762B7E" w:rsidRPr="00813D19">
        <w:rPr>
          <w:rFonts w:eastAsia="Malgun Gothic"/>
          <w:lang w:val="en-US" w:eastAsia="ko-KR"/>
        </w:rPr>
        <w:t xml:space="preserve">by 15 December 2021 and </w:t>
      </w:r>
      <w:r w:rsidR="00431CF8" w:rsidRPr="00813D19">
        <w:rPr>
          <w:rFonts w:eastAsia="Malgun Gothic"/>
          <w:lang w:val="en-US" w:eastAsia="ko-KR"/>
        </w:rPr>
        <w:t>for examination</w:t>
      </w:r>
      <w:r w:rsidR="00762B7E" w:rsidRPr="00813D19">
        <w:rPr>
          <w:rFonts w:eastAsia="Malgun Gothic"/>
          <w:lang w:val="en-US" w:eastAsia="ko-KR"/>
        </w:rPr>
        <w:t xml:space="preserve"> by the Committee at </w:t>
      </w:r>
      <w:r w:rsidR="00431CF8" w:rsidRPr="00813D19">
        <w:rPr>
          <w:rFonts w:eastAsia="Malgun Gothic"/>
          <w:lang w:val="en-US" w:eastAsia="ko-KR"/>
        </w:rPr>
        <w:t>its seventeenth session</w:t>
      </w:r>
      <w:r w:rsidR="00762B7E" w:rsidRPr="00813D19">
        <w:rPr>
          <w:rFonts w:eastAsia="Malgun Gothic"/>
          <w:lang w:val="en-US" w:eastAsia="ko-KR"/>
        </w:rPr>
        <w:t xml:space="preserve"> at the end of 2022. </w:t>
      </w:r>
      <w:r w:rsidR="00431CF8" w:rsidRPr="00813D19">
        <w:rPr>
          <w:rFonts w:eastAsia="Malgun Gothic"/>
          <w:lang w:val="en-US" w:eastAsia="ko-KR"/>
        </w:rPr>
        <w:t xml:space="preserve">This would continue </w:t>
      </w:r>
      <w:r w:rsidR="00762B7E" w:rsidRPr="00813D19">
        <w:rPr>
          <w:rFonts w:eastAsia="Malgun Gothic"/>
          <w:lang w:val="en-US" w:eastAsia="ko-KR"/>
        </w:rPr>
        <w:t xml:space="preserve">with the other four Electoral Groups until </w:t>
      </w:r>
      <w:r w:rsidR="00431CF8" w:rsidRPr="00813D19">
        <w:rPr>
          <w:rFonts w:eastAsia="Malgun Gothic"/>
          <w:lang w:val="en-US" w:eastAsia="ko-KR"/>
        </w:rPr>
        <w:t xml:space="preserve">the twenty-first session of the Committee </w:t>
      </w:r>
      <w:r w:rsidR="00762B7E" w:rsidRPr="00813D19">
        <w:rPr>
          <w:rFonts w:eastAsia="Malgun Gothic"/>
          <w:lang w:val="en-US" w:eastAsia="ko-KR"/>
        </w:rPr>
        <w:t>in 2026</w:t>
      </w:r>
      <w:r w:rsidR="00431CF8" w:rsidRPr="00813D19">
        <w:rPr>
          <w:rStyle w:val="FootnoteReference"/>
          <w:rFonts w:eastAsia="Malgun Gothic"/>
          <w:lang w:val="en-US" w:eastAsia="ko-KR"/>
        </w:rPr>
        <w:footnoteReference w:id="20"/>
      </w:r>
      <w:r w:rsidR="00087166">
        <w:rPr>
          <w:rFonts w:eastAsia="Malgun Gothic"/>
          <w:lang w:val="en-US" w:eastAsia="ko-KR"/>
        </w:rPr>
        <w:t>.</w:t>
      </w:r>
    </w:p>
    <w:p w14:paraId="1F6588FC" w14:textId="38038974" w:rsidR="004C0C0E" w:rsidRPr="00813D19" w:rsidRDefault="00431CF8" w:rsidP="004C0C0E">
      <w:pPr>
        <w:pStyle w:val="Orateurengris"/>
        <w:spacing w:before="120" w:after="0"/>
        <w:ind w:left="709" w:hanging="709"/>
        <w:rPr>
          <w:rFonts w:eastAsia="Malgun Gothic"/>
          <w:lang w:val="en-US" w:eastAsia="ko-KR"/>
        </w:rPr>
      </w:pPr>
      <w:r w:rsidRPr="00813D19">
        <w:rPr>
          <w:rFonts w:eastAsia="Malgun Gothic"/>
          <w:lang w:val="en-US" w:eastAsia="ko-KR"/>
        </w:rPr>
        <w:t xml:space="preserve">The </w:t>
      </w:r>
      <w:r w:rsidRPr="00813D19">
        <w:rPr>
          <w:rFonts w:eastAsia="Malgun Gothic"/>
          <w:b/>
          <w:lang w:val="en-US" w:eastAsia="ko-KR"/>
        </w:rPr>
        <w:t>Secretary</w:t>
      </w:r>
      <w:r w:rsidRPr="00813D19">
        <w:rPr>
          <w:rFonts w:eastAsia="Malgun Gothic"/>
          <w:lang w:val="en-US" w:eastAsia="ko-KR"/>
        </w:rPr>
        <w:t xml:space="preserve"> then presented </w:t>
      </w:r>
      <w:r w:rsidR="00762B7E" w:rsidRPr="00813D19">
        <w:rPr>
          <w:rFonts w:eastAsia="Malgun Gothic"/>
          <w:lang w:val="en-US" w:eastAsia="ko-KR"/>
        </w:rPr>
        <w:t xml:space="preserve">Option </w:t>
      </w:r>
      <w:r w:rsidRPr="00813D19">
        <w:rPr>
          <w:rFonts w:eastAsia="Malgun Gothic"/>
          <w:lang w:val="en-US" w:eastAsia="ko-KR"/>
        </w:rPr>
        <w:t>II</w:t>
      </w:r>
      <w:r w:rsidR="00332337" w:rsidRPr="003221D5">
        <w:rPr>
          <w:rFonts w:eastAsia="Malgun Gothic"/>
          <w:bCs/>
          <w:lang w:val="en-US" w:eastAsia="ko-KR"/>
        </w:rPr>
        <w:t xml:space="preserve">, </w:t>
      </w:r>
      <w:r w:rsidR="00025664" w:rsidRPr="00813D19">
        <w:rPr>
          <w:rFonts w:eastAsia="Malgun Gothic"/>
          <w:lang w:val="en-US" w:eastAsia="ko-KR"/>
        </w:rPr>
        <w:t>which</w:t>
      </w:r>
      <w:r w:rsidR="00025664" w:rsidRPr="003221D5">
        <w:rPr>
          <w:rFonts w:eastAsia="Malgun Gothic"/>
          <w:bCs/>
          <w:lang w:val="en-US" w:eastAsia="ko-KR"/>
        </w:rPr>
        <w:t xml:space="preserve"> </w:t>
      </w:r>
      <w:r w:rsidR="00025664" w:rsidRPr="00813D19">
        <w:rPr>
          <w:rFonts w:eastAsia="Malgun Gothic"/>
          <w:lang w:val="en-US" w:eastAsia="ko-KR"/>
        </w:rPr>
        <w:t>followed</w:t>
      </w:r>
      <w:r w:rsidR="00762B7E" w:rsidRPr="00813D19">
        <w:rPr>
          <w:rFonts w:eastAsia="Malgun Gothic"/>
          <w:lang w:val="en-US" w:eastAsia="ko-KR"/>
        </w:rPr>
        <w:t xml:space="preserve"> a suggestion </w:t>
      </w:r>
      <w:r w:rsidR="00332337" w:rsidRPr="00813D19">
        <w:rPr>
          <w:rFonts w:eastAsia="Malgun Gothic"/>
          <w:lang w:val="en-US" w:eastAsia="ko-KR"/>
        </w:rPr>
        <w:t xml:space="preserve">made </w:t>
      </w:r>
      <w:r w:rsidR="00762B7E" w:rsidRPr="00813D19">
        <w:rPr>
          <w:rFonts w:eastAsia="Malgun Gothic"/>
          <w:lang w:val="en-US" w:eastAsia="ko-KR"/>
        </w:rPr>
        <w:t xml:space="preserve">during the general debate on amendments to Chapter V of the Operational Directives </w:t>
      </w:r>
      <w:r w:rsidR="00332337" w:rsidRPr="00813D19">
        <w:rPr>
          <w:rFonts w:eastAsia="Malgun Gothic"/>
          <w:lang w:val="en-US" w:eastAsia="ko-KR"/>
        </w:rPr>
        <w:t>at the twelfth session of the Committee</w:t>
      </w:r>
      <w:r w:rsidR="00332337" w:rsidRPr="00813D19">
        <w:rPr>
          <w:rStyle w:val="FootnoteReference"/>
          <w:rFonts w:eastAsia="Malgun Gothic"/>
          <w:lang w:val="en-US" w:eastAsia="ko-KR"/>
        </w:rPr>
        <w:footnoteReference w:id="21"/>
      </w:r>
      <w:r w:rsidR="00332337" w:rsidRPr="00813D19">
        <w:rPr>
          <w:rFonts w:eastAsia="Malgun Gothic"/>
          <w:lang w:val="en-US" w:eastAsia="ko-KR"/>
        </w:rPr>
        <w:t>. This option proposed</w:t>
      </w:r>
      <w:r w:rsidR="00762B7E" w:rsidRPr="00813D19">
        <w:rPr>
          <w:rFonts w:eastAsia="Malgun Gothic"/>
          <w:lang w:val="en-US" w:eastAsia="ko-KR"/>
        </w:rPr>
        <w:t xml:space="preserve"> follow</w:t>
      </w:r>
      <w:r w:rsidR="00E67BD1">
        <w:rPr>
          <w:rFonts w:eastAsia="Malgun Gothic"/>
          <w:lang w:val="en-US" w:eastAsia="ko-KR"/>
        </w:rPr>
        <w:t>ing</w:t>
      </w:r>
      <w:r w:rsidR="00762B7E" w:rsidRPr="00813D19">
        <w:rPr>
          <w:rFonts w:eastAsia="Malgun Gothic"/>
          <w:lang w:val="en-US" w:eastAsia="ko-KR"/>
        </w:rPr>
        <w:t xml:space="preserve"> the same regional cycle of reporting currently followed by the 1972 Convention with five regions</w:t>
      </w:r>
      <w:r w:rsidR="00332337" w:rsidRPr="00813D19">
        <w:rPr>
          <w:rFonts w:eastAsia="Malgun Gothic"/>
          <w:lang w:val="en-US" w:eastAsia="ko-KR"/>
        </w:rPr>
        <w:t>,</w:t>
      </w:r>
      <w:r w:rsidR="00762B7E" w:rsidRPr="00813D19">
        <w:rPr>
          <w:rFonts w:eastAsia="Malgun Gothic"/>
          <w:lang w:val="en-US" w:eastAsia="ko-KR"/>
        </w:rPr>
        <w:t xml:space="preserve"> according to the </w:t>
      </w:r>
      <w:r w:rsidR="00762B7E" w:rsidRPr="00813D19">
        <w:rPr>
          <w:lang w:val="en-US"/>
        </w:rPr>
        <w:t>definition of regions included in the UNESCO Basic Texts</w:t>
      </w:r>
      <w:r w:rsidR="00332337" w:rsidRPr="00813D19">
        <w:rPr>
          <w:lang w:val="en-US"/>
        </w:rPr>
        <w:t xml:space="preserve">. This </w:t>
      </w:r>
      <w:r w:rsidR="00E60E5D" w:rsidRPr="00813D19">
        <w:rPr>
          <w:rFonts w:eastAsia="Malgun Gothic"/>
          <w:lang w:val="en-US" w:eastAsia="ko-KR"/>
        </w:rPr>
        <w:t>meant</w:t>
      </w:r>
      <w:r w:rsidR="00762B7E" w:rsidRPr="00813D19">
        <w:rPr>
          <w:rFonts w:eastAsia="Malgun Gothic"/>
          <w:lang w:val="en-US" w:eastAsia="ko-KR"/>
        </w:rPr>
        <w:t xml:space="preserve"> </w:t>
      </w:r>
      <w:r w:rsidR="00332337" w:rsidRPr="00813D19">
        <w:rPr>
          <w:rFonts w:eastAsia="Malgun Gothic"/>
          <w:lang w:val="en-US" w:eastAsia="ko-KR"/>
        </w:rPr>
        <w:t>a five-</w:t>
      </w:r>
      <w:r w:rsidR="00762B7E" w:rsidRPr="00813D19">
        <w:rPr>
          <w:rFonts w:eastAsia="Malgun Gothic"/>
          <w:lang w:val="en-US" w:eastAsia="ko-KR"/>
        </w:rPr>
        <w:t xml:space="preserve">year calendar whereby Electoral Group I and Electoral Group II </w:t>
      </w:r>
      <w:r w:rsidR="00332337" w:rsidRPr="00813D19">
        <w:rPr>
          <w:rFonts w:eastAsia="Malgun Gothic"/>
          <w:lang w:val="en-US" w:eastAsia="ko-KR"/>
        </w:rPr>
        <w:t xml:space="preserve">would </w:t>
      </w:r>
      <w:r w:rsidR="00762B7E" w:rsidRPr="00813D19">
        <w:rPr>
          <w:rFonts w:eastAsia="Malgun Gothic"/>
          <w:lang w:val="en-US" w:eastAsia="ko-KR"/>
        </w:rPr>
        <w:t xml:space="preserve">report together in the same year under the region ‘Europe’. The sixth year would be dedicated to the evaluation of the periodic reporting mechanism and </w:t>
      </w:r>
      <w:r w:rsidR="00332337" w:rsidRPr="00813D19">
        <w:rPr>
          <w:rFonts w:eastAsia="Malgun Gothic"/>
          <w:lang w:val="en-US" w:eastAsia="ko-KR"/>
        </w:rPr>
        <w:t xml:space="preserve">any </w:t>
      </w:r>
      <w:r w:rsidR="00762B7E" w:rsidRPr="00813D19">
        <w:rPr>
          <w:rFonts w:eastAsia="Malgun Gothic"/>
          <w:lang w:val="en-US" w:eastAsia="ko-KR"/>
        </w:rPr>
        <w:t>necessary revisions, before initiating the next six-year calendar</w:t>
      </w:r>
      <w:r w:rsidR="00332337" w:rsidRPr="00813D19">
        <w:rPr>
          <w:rStyle w:val="FootnoteReference"/>
          <w:rFonts w:eastAsia="Malgun Gothic"/>
          <w:lang w:val="en-US" w:eastAsia="ko-KR"/>
        </w:rPr>
        <w:footnoteReference w:id="22"/>
      </w:r>
      <w:r w:rsidR="00762B7E" w:rsidRPr="00813D19">
        <w:rPr>
          <w:rFonts w:eastAsia="Malgun Gothic"/>
          <w:lang w:val="en-US" w:eastAsia="ko-KR"/>
        </w:rPr>
        <w:t xml:space="preserve">. </w:t>
      </w:r>
      <w:r w:rsidR="004C0C0E" w:rsidRPr="00813D19">
        <w:rPr>
          <w:rFonts w:eastAsia="Malgun Gothic"/>
          <w:lang w:val="en-US" w:eastAsia="ko-KR"/>
        </w:rPr>
        <w:t>The Secretary then presented a</w:t>
      </w:r>
      <w:r w:rsidR="00762B7E" w:rsidRPr="00813D19">
        <w:rPr>
          <w:rFonts w:eastAsia="Malgun Gothic"/>
          <w:lang w:val="en-US" w:eastAsia="ko-KR"/>
        </w:rPr>
        <w:t>nother crucial aspect</w:t>
      </w:r>
      <w:r w:rsidR="004C0C0E" w:rsidRPr="00813D19">
        <w:rPr>
          <w:rFonts w:eastAsia="Malgun Gothic"/>
          <w:lang w:val="en-US" w:eastAsia="ko-KR"/>
        </w:rPr>
        <w:t xml:space="preserve">, which was </w:t>
      </w:r>
      <w:r w:rsidR="00762B7E" w:rsidRPr="00813D19">
        <w:rPr>
          <w:rFonts w:eastAsia="Malgun Gothic"/>
          <w:lang w:val="en-US" w:eastAsia="ko-KR"/>
        </w:rPr>
        <w:t xml:space="preserve">to decide upon the order in which the Electoral Groups or the regions </w:t>
      </w:r>
      <w:r w:rsidR="00616D90" w:rsidRPr="00813D19">
        <w:rPr>
          <w:rFonts w:eastAsia="Malgun Gothic"/>
          <w:lang w:val="en-US" w:eastAsia="ko-KR"/>
        </w:rPr>
        <w:t>w</w:t>
      </w:r>
      <w:r w:rsidR="00E67BD1">
        <w:rPr>
          <w:rFonts w:eastAsia="Malgun Gothic"/>
          <w:lang w:val="en-US" w:eastAsia="ko-KR"/>
        </w:rPr>
        <w:t>ould</w:t>
      </w:r>
      <w:r w:rsidR="00616D90" w:rsidRPr="00813D19">
        <w:rPr>
          <w:rFonts w:eastAsia="Malgun Gothic"/>
          <w:lang w:val="en-US" w:eastAsia="ko-KR"/>
        </w:rPr>
        <w:t xml:space="preserve"> report, and thus </w:t>
      </w:r>
      <w:r w:rsidR="00762B7E" w:rsidRPr="00813D19">
        <w:rPr>
          <w:rFonts w:eastAsia="Malgun Gothic"/>
          <w:lang w:val="en-US" w:eastAsia="ko-KR"/>
        </w:rPr>
        <w:t>avoid a situation whereby States Parties would be reporting to the 1972 and the 2003 Convention</w:t>
      </w:r>
      <w:r w:rsidR="00E67BD1">
        <w:rPr>
          <w:rFonts w:eastAsia="Malgun Gothic"/>
          <w:lang w:val="en-US" w:eastAsia="ko-KR"/>
        </w:rPr>
        <w:t>s</w:t>
      </w:r>
      <w:r w:rsidR="00762B7E" w:rsidRPr="00813D19">
        <w:rPr>
          <w:rFonts w:eastAsia="Malgun Gothic"/>
          <w:lang w:val="en-US" w:eastAsia="ko-KR"/>
        </w:rPr>
        <w:t xml:space="preserve"> in the same year or in one year after the other. A </w:t>
      </w:r>
      <w:r w:rsidR="00616D90" w:rsidRPr="00813D19">
        <w:rPr>
          <w:rFonts w:eastAsia="Malgun Gothic"/>
          <w:lang w:val="en-US" w:eastAsia="ko-KR"/>
        </w:rPr>
        <w:t xml:space="preserve">beneficial gap </w:t>
      </w:r>
      <w:r w:rsidR="00762B7E" w:rsidRPr="00813D19">
        <w:rPr>
          <w:rFonts w:eastAsia="Malgun Gothic"/>
          <w:lang w:val="en-US" w:eastAsia="ko-KR"/>
        </w:rPr>
        <w:t xml:space="preserve">of two to three years between reporting </w:t>
      </w:r>
      <w:r w:rsidR="00616D90" w:rsidRPr="00813D19">
        <w:rPr>
          <w:rFonts w:eastAsia="Malgun Gothic"/>
          <w:lang w:val="en-US" w:eastAsia="ko-KR"/>
        </w:rPr>
        <w:t xml:space="preserve">would help </w:t>
      </w:r>
      <w:r w:rsidR="00E67BD1">
        <w:rPr>
          <w:rFonts w:eastAsia="Malgun Gothic"/>
          <w:lang w:val="en-US" w:eastAsia="ko-KR"/>
        </w:rPr>
        <w:t xml:space="preserve">to </w:t>
      </w:r>
      <w:r w:rsidR="00762B7E" w:rsidRPr="00813D19">
        <w:rPr>
          <w:rFonts w:eastAsia="Malgun Gothic"/>
          <w:lang w:val="en-US" w:eastAsia="ko-KR"/>
        </w:rPr>
        <w:t>not overburden States Parties in terms of workload and resources.</w:t>
      </w:r>
      <w:r w:rsidR="00D02337" w:rsidRPr="00813D19">
        <w:rPr>
          <w:rFonts w:eastAsia="Malgun Gothic"/>
          <w:lang w:val="en-US" w:eastAsia="ko-KR"/>
        </w:rPr>
        <w:t xml:space="preserve"> </w:t>
      </w:r>
      <w:r w:rsidR="00762B7E" w:rsidRPr="00813D19">
        <w:rPr>
          <w:rFonts w:eastAsia="Malgun Gothic"/>
          <w:lang w:val="en-US" w:eastAsia="ko-KR"/>
        </w:rPr>
        <w:t xml:space="preserve">Based on this consideration, two scenarios </w:t>
      </w:r>
      <w:r w:rsidR="00616D90" w:rsidRPr="00813D19">
        <w:rPr>
          <w:rFonts w:eastAsia="Malgun Gothic"/>
          <w:lang w:val="en-US" w:eastAsia="ko-KR"/>
        </w:rPr>
        <w:t xml:space="preserve">were </w:t>
      </w:r>
      <w:r w:rsidR="00762B7E" w:rsidRPr="00813D19">
        <w:rPr>
          <w:rFonts w:eastAsia="Malgun Gothic"/>
          <w:lang w:val="en-US" w:eastAsia="ko-KR"/>
        </w:rPr>
        <w:t>possible</w:t>
      </w:r>
      <w:r w:rsidR="004C0C0E" w:rsidRPr="00813D19">
        <w:rPr>
          <w:rFonts w:eastAsia="Malgun Gothic"/>
          <w:lang w:val="en-US" w:eastAsia="ko-KR"/>
        </w:rPr>
        <w:t>.</w:t>
      </w:r>
      <w:r w:rsidR="004C0C0E" w:rsidRPr="00813D19">
        <w:rPr>
          <w:rFonts w:eastAsia="Malgun Gothic"/>
          <w:b/>
          <w:lang w:val="en-US" w:eastAsia="ko-KR"/>
        </w:rPr>
        <w:t xml:space="preserve"> </w:t>
      </w:r>
      <w:r w:rsidR="00762B7E" w:rsidRPr="00813D19">
        <w:rPr>
          <w:rFonts w:eastAsia="Malgun Gothic"/>
          <w:u w:val="single"/>
          <w:lang w:val="en-US" w:eastAsia="ko-KR"/>
        </w:rPr>
        <w:t>Option I</w:t>
      </w:r>
      <w:r w:rsidR="00616D90" w:rsidRPr="00813D19">
        <w:rPr>
          <w:rFonts w:eastAsia="Malgun Gothic"/>
          <w:lang w:val="en-US" w:eastAsia="ko-KR"/>
        </w:rPr>
        <w:t xml:space="preserve"> </w:t>
      </w:r>
      <w:r w:rsidR="00E67BD1">
        <w:rPr>
          <w:rFonts w:eastAsia="Malgun Gothic"/>
          <w:lang w:val="en-US" w:eastAsia="ko-KR"/>
        </w:rPr>
        <w:t>was</w:t>
      </w:r>
      <w:r w:rsidR="00616D90" w:rsidRPr="00813D19">
        <w:rPr>
          <w:rFonts w:eastAsia="Malgun Gothic"/>
          <w:lang w:val="en-US" w:eastAsia="ko-KR"/>
        </w:rPr>
        <w:t xml:space="preserve"> based on the Electoral G</w:t>
      </w:r>
      <w:r w:rsidR="00762B7E" w:rsidRPr="00813D19">
        <w:rPr>
          <w:rFonts w:eastAsia="Malgun Gothic"/>
          <w:lang w:val="en-US" w:eastAsia="ko-KR"/>
        </w:rPr>
        <w:t xml:space="preserve">roups structure. States Parties of Electoral Group III (Latin America and the Caribbean) would start preparing their reports in early 2020 </w:t>
      </w:r>
      <w:r w:rsidR="00616D90" w:rsidRPr="00813D19">
        <w:rPr>
          <w:rFonts w:eastAsia="Malgun Gothic"/>
          <w:lang w:val="en-US" w:eastAsia="ko-KR"/>
        </w:rPr>
        <w:t xml:space="preserve">so as </w:t>
      </w:r>
      <w:r w:rsidR="00762B7E" w:rsidRPr="00813D19">
        <w:rPr>
          <w:rFonts w:eastAsia="Malgun Gothic"/>
          <w:lang w:val="en-US" w:eastAsia="ko-KR"/>
        </w:rPr>
        <w:t xml:space="preserve">to submit </w:t>
      </w:r>
      <w:r w:rsidR="00E67BD1">
        <w:rPr>
          <w:rFonts w:eastAsia="Malgun Gothic"/>
          <w:lang w:val="en-US" w:eastAsia="ko-KR"/>
        </w:rPr>
        <w:t>them</w:t>
      </w:r>
      <w:r w:rsidR="00E67BD1" w:rsidRPr="00813D19">
        <w:rPr>
          <w:rFonts w:eastAsia="Malgun Gothic"/>
          <w:lang w:val="en-US" w:eastAsia="ko-KR"/>
        </w:rPr>
        <w:t xml:space="preserve"> </w:t>
      </w:r>
      <w:r w:rsidR="00762B7E" w:rsidRPr="00813D19">
        <w:rPr>
          <w:rFonts w:eastAsia="Malgun Gothic"/>
          <w:lang w:val="en-US" w:eastAsia="ko-KR"/>
        </w:rPr>
        <w:t xml:space="preserve">by the deadline of 15 December 2020. Group I (North America and Western Europe) </w:t>
      </w:r>
      <w:r w:rsidR="00616D90" w:rsidRPr="00813D19">
        <w:rPr>
          <w:rFonts w:eastAsia="Malgun Gothic"/>
          <w:lang w:val="en-US" w:eastAsia="ko-KR"/>
        </w:rPr>
        <w:t xml:space="preserve">would </w:t>
      </w:r>
      <w:r w:rsidR="00762B7E" w:rsidRPr="00813D19">
        <w:rPr>
          <w:rFonts w:eastAsia="Malgun Gothic"/>
          <w:lang w:val="en-US" w:eastAsia="ko-KR"/>
        </w:rPr>
        <w:t xml:space="preserve">follow with the submission of reports in 2021, </w:t>
      </w:r>
      <w:r w:rsidR="00616D90" w:rsidRPr="00813D19">
        <w:rPr>
          <w:rFonts w:eastAsia="Malgun Gothic"/>
          <w:lang w:val="en-US" w:eastAsia="ko-KR"/>
        </w:rPr>
        <w:t xml:space="preserve">followed by </w:t>
      </w:r>
      <w:r w:rsidR="00762B7E" w:rsidRPr="00813D19">
        <w:rPr>
          <w:rFonts w:eastAsia="Malgun Gothic"/>
          <w:lang w:val="en-US" w:eastAsia="ko-KR"/>
        </w:rPr>
        <w:t>Electoral Group V (b) Arab States in 2022, Electoral Group V(a) Africa in 2023, Electoral Group IV Asia and the Pacific in 2024</w:t>
      </w:r>
      <w:r w:rsidR="00616D90" w:rsidRPr="00813D19">
        <w:rPr>
          <w:rFonts w:eastAsia="Malgun Gothic"/>
          <w:lang w:val="en-US" w:eastAsia="ko-KR"/>
        </w:rPr>
        <w:t>,</w:t>
      </w:r>
      <w:r w:rsidR="00762B7E" w:rsidRPr="00813D19">
        <w:rPr>
          <w:rFonts w:eastAsia="Malgun Gothic"/>
          <w:lang w:val="en-US" w:eastAsia="ko-KR"/>
        </w:rPr>
        <w:t xml:space="preserve"> and finally</w:t>
      </w:r>
      <w:r w:rsidR="00616D90" w:rsidRPr="00813D19">
        <w:rPr>
          <w:rFonts w:eastAsia="Malgun Gothic"/>
          <w:lang w:val="en-US" w:eastAsia="ko-KR"/>
        </w:rPr>
        <w:t>,</w:t>
      </w:r>
      <w:r w:rsidR="00762B7E" w:rsidRPr="00813D19">
        <w:rPr>
          <w:rFonts w:eastAsia="Malgun Gothic"/>
          <w:lang w:val="en-US" w:eastAsia="ko-KR"/>
        </w:rPr>
        <w:t xml:space="preserve"> Electoral Group II Eastern Europe in 2025.</w:t>
      </w:r>
      <w:r w:rsidR="004C0C0E" w:rsidRPr="003221D5">
        <w:rPr>
          <w:rFonts w:eastAsia="Malgun Gothic"/>
          <w:bCs/>
          <w:lang w:val="en-US" w:eastAsia="ko-KR"/>
        </w:rPr>
        <w:t xml:space="preserve"> </w:t>
      </w:r>
      <w:r w:rsidR="00762B7E" w:rsidRPr="00813D19">
        <w:rPr>
          <w:rFonts w:eastAsia="Malgun Gothic"/>
          <w:u w:val="single"/>
          <w:lang w:val="en-US" w:eastAsia="ko-KR"/>
        </w:rPr>
        <w:t>Option II</w:t>
      </w:r>
      <w:r w:rsidR="00762B7E" w:rsidRPr="00813D19">
        <w:rPr>
          <w:rFonts w:eastAsia="Malgun Gothic"/>
          <w:lang w:val="en-US" w:eastAsia="ko-KR"/>
        </w:rPr>
        <w:t xml:space="preserve"> </w:t>
      </w:r>
      <w:r w:rsidR="00E67BD1">
        <w:rPr>
          <w:rFonts w:eastAsia="Malgun Gothic"/>
          <w:lang w:val="en-US" w:eastAsia="ko-KR"/>
        </w:rPr>
        <w:t>was</w:t>
      </w:r>
      <w:r w:rsidR="00762B7E" w:rsidRPr="00813D19">
        <w:rPr>
          <w:rFonts w:eastAsia="Malgun Gothic"/>
          <w:lang w:val="en-US" w:eastAsia="ko-KR"/>
        </w:rPr>
        <w:t xml:space="preserve"> based on the definition of five regions as per Chapter I of </w:t>
      </w:r>
      <w:r w:rsidR="00E67BD1">
        <w:rPr>
          <w:rFonts w:eastAsia="Malgun Gothic"/>
          <w:lang w:val="en-US" w:eastAsia="ko-KR"/>
        </w:rPr>
        <w:t xml:space="preserve">the </w:t>
      </w:r>
      <w:r w:rsidR="00762B7E" w:rsidRPr="00813D19">
        <w:rPr>
          <w:rFonts w:eastAsia="Malgun Gothic"/>
          <w:lang w:val="en-US" w:eastAsia="ko-KR"/>
        </w:rPr>
        <w:t>UNESCO Basic Texts.</w:t>
      </w:r>
      <w:r w:rsidR="00616D90" w:rsidRPr="00813D19">
        <w:rPr>
          <w:rFonts w:eastAsia="Malgun Gothic"/>
          <w:lang w:val="en-US" w:eastAsia="ko-KR"/>
        </w:rPr>
        <w:t xml:space="preserve"> In this instance</w:t>
      </w:r>
      <w:r w:rsidR="00762B7E" w:rsidRPr="00813D19">
        <w:rPr>
          <w:rFonts w:eastAsia="Malgun Gothic"/>
          <w:lang w:val="en-US" w:eastAsia="ko-KR"/>
        </w:rPr>
        <w:t xml:space="preserve">, Latin America and the Caribbean region </w:t>
      </w:r>
      <w:r w:rsidR="00616D90" w:rsidRPr="00813D19">
        <w:rPr>
          <w:rFonts w:eastAsia="Malgun Gothic"/>
          <w:lang w:val="en-US" w:eastAsia="ko-KR"/>
        </w:rPr>
        <w:t xml:space="preserve">would </w:t>
      </w:r>
      <w:r w:rsidR="00762B7E" w:rsidRPr="00813D19">
        <w:rPr>
          <w:rFonts w:eastAsia="Malgun Gothic"/>
          <w:lang w:val="en-US" w:eastAsia="ko-KR"/>
        </w:rPr>
        <w:t xml:space="preserve">initiate this new reporting cycle in 2020, followed by Europe in 2021, </w:t>
      </w:r>
      <w:r w:rsidR="00616D90" w:rsidRPr="00813D19">
        <w:rPr>
          <w:rFonts w:eastAsia="Malgun Gothic"/>
          <w:lang w:val="en-US" w:eastAsia="ko-KR"/>
        </w:rPr>
        <w:t xml:space="preserve">the </w:t>
      </w:r>
      <w:r w:rsidR="00762B7E" w:rsidRPr="00813D19">
        <w:rPr>
          <w:rFonts w:eastAsia="Malgun Gothic"/>
          <w:lang w:val="en-US" w:eastAsia="ko-KR"/>
        </w:rPr>
        <w:t xml:space="preserve">Arab States in 2022, Africa in 2023, </w:t>
      </w:r>
      <w:r w:rsidR="00616D90" w:rsidRPr="00813D19">
        <w:rPr>
          <w:rFonts w:eastAsia="Malgun Gothic"/>
          <w:lang w:val="en-US" w:eastAsia="ko-KR"/>
        </w:rPr>
        <w:t xml:space="preserve">and </w:t>
      </w:r>
      <w:r w:rsidR="00762B7E" w:rsidRPr="00813D19">
        <w:rPr>
          <w:rFonts w:eastAsia="Malgun Gothic"/>
          <w:lang w:val="en-US" w:eastAsia="ko-KR"/>
        </w:rPr>
        <w:t xml:space="preserve">Asia and the Pacific in 2024. The year 2025 </w:t>
      </w:r>
      <w:r w:rsidR="00616D90" w:rsidRPr="00813D19">
        <w:rPr>
          <w:rFonts w:eastAsia="Malgun Gothic"/>
          <w:lang w:val="en-US" w:eastAsia="ko-KR"/>
        </w:rPr>
        <w:t xml:space="preserve">would </w:t>
      </w:r>
      <w:r w:rsidR="00762B7E" w:rsidRPr="00813D19">
        <w:rPr>
          <w:rFonts w:eastAsia="Malgun Gothic"/>
          <w:lang w:val="en-US" w:eastAsia="ko-KR"/>
        </w:rPr>
        <w:t xml:space="preserve">be reserved as </w:t>
      </w:r>
      <w:r w:rsidR="00616D90" w:rsidRPr="00813D19">
        <w:rPr>
          <w:rFonts w:eastAsia="Malgun Gothic"/>
          <w:lang w:val="en-US" w:eastAsia="ko-KR"/>
        </w:rPr>
        <w:t xml:space="preserve">a year of </w:t>
      </w:r>
      <w:r w:rsidR="00762B7E" w:rsidRPr="00813D19">
        <w:rPr>
          <w:rFonts w:eastAsia="Malgun Gothic"/>
          <w:lang w:val="en-US" w:eastAsia="ko-KR"/>
        </w:rPr>
        <w:t>reflection before initiating the new cycle of reporting.</w:t>
      </w:r>
    </w:p>
    <w:p w14:paraId="27993459" w14:textId="3EF17CAE" w:rsidR="00762B7E" w:rsidRPr="00813D19" w:rsidRDefault="004C0C0E" w:rsidP="004C0C0E">
      <w:pPr>
        <w:pStyle w:val="Orateurengris"/>
        <w:spacing w:before="120" w:after="0"/>
        <w:ind w:left="709" w:hanging="709"/>
        <w:rPr>
          <w:rFonts w:eastAsia="Malgun Gothic"/>
          <w:lang w:val="en-US" w:eastAsia="ko-KR"/>
        </w:rPr>
      </w:pPr>
      <w:r w:rsidRPr="00813D19">
        <w:rPr>
          <w:rFonts w:eastAsia="Malgun Gothic"/>
          <w:lang w:val="en-US" w:eastAsia="ko-KR"/>
        </w:rPr>
        <w:t xml:space="preserve">The </w:t>
      </w:r>
      <w:r w:rsidRPr="00813D19">
        <w:rPr>
          <w:rFonts w:eastAsia="Malgun Gothic"/>
          <w:b/>
          <w:lang w:val="en-US" w:eastAsia="ko-KR"/>
        </w:rPr>
        <w:t>Secretary</w:t>
      </w:r>
      <w:r w:rsidRPr="00813D19">
        <w:rPr>
          <w:rFonts w:eastAsia="Malgun Gothic"/>
          <w:lang w:val="en-US" w:eastAsia="ko-KR"/>
        </w:rPr>
        <w:t xml:space="preserve"> </w:t>
      </w:r>
      <w:r w:rsidR="00616D90" w:rsidRPr="00813D19">
        <w:rPr>
          <w:rFonts w:eastAsia="Malgun Gothic"/>
          <w:lang w:val="en-US" w:eastAsia="ko-KR"/>
        </w:rPr>
        <w:t xml:space="preserve">also wished </w:t>
      </w:r>
      <w:r w:rsidR="00762B7E" w:rsidRPr="00813D19">
        <w:rPr>
          <w:rFonts w:eastAsia="Malgun Gothic"/>
          <w:lang w:val="en-US" w:eastAsia="ko-KR"/>
        </w:rPr>
        <w:t xml:space="preserve">to bring the </w:t>
      </w:r>
      <w:r w:rsidR="00616D90" w:rsidRPr="00813D19">
        <w:rPr>
          <w:rFonts w:eastAsia="Malgun Gothic"/>
          <w:lang w:val="en-US" w:eastAsia="ko-KR"/>
        </w:rPr>
        <w:t xml:space="preserve">Committee’s </w:t>
      </w:r>
      <w:r w:rsidR="00762B7E" w:rsidRPr="00813D19">
        <w:rPr>
          <w:rFonts w:eastAsia="Malgun Gothic"/>
          <w:lang w:val="en-US" w:eastAsia="ko-KR"/>
        </w:rPr>
        <w:t xml:space="preserve">attention </w:t>
      </w:r>
      <w:r w:rsidRPr="00813D19">
        <w:rPr>
          <w:rFonts w:eastAsia="Malgun Gothic"/>
          <w:lang w:val="en-US" w:eastAsia="ko-KR"/>
        </w:rPr>
        <w:t xml:space="preserve">to </w:t>
      </w:r>
      <w:r w:rsidR="00E67BD1">
        <w:rPr>
          <w:rFonts w:eastAsia="Malgun Gothic"/>
          <w:lang w:val="en-US" w:eastAsia="ko-KR"/>
        </w:rPr>
        <w:t xml:space="preserve">some </w:t>
      </w:r>
      <w:r w:rsidRPr="00813D19">
        <w:rPr>
          <w:rFonts w:eastAsia="Malgun Gothic"/>
          <w:lang w:val="en-US" w:eastAsia="ko-KR"/>
        </w:rPr>
        <w:t xml:space="preserve">additional points. </w:t>
      </w:r>
      <w:r w:rsidR="00622EC6" w:rsidRPr="00813D19">
        <w:rPr>
          <w:rFonts w:eastAsia="Malgun Gothic"/>
          <w:lang w:val="en-US" w:eastAsia="ko-KR"/>
        </w:rPr>
        <w:t>T</w:t>
      </w:r>
      <w:r w:rsidR="00762B7E" w:rsidRPr="00813D19">
        <w:rPr>
          <w:rFonts w:eastAsia="Malgun Gothic"/>
          <w:lang w:val="en-US" w:eastAsia="ko-KR"/>
        </w:rPr>
        <w:t xml:space="preserve">he calendar to be established </w:t>
      </w:r>
      <w:r w:rsidR="00622EC6" w:rsidRPr="00813D19">
        <w:rPr>
          <w:rFonts w:eastAsia="Malgun Gothic"/>
          <w:lang w:val="en-US" w:eastAsia="ko-KR"/>
        </w:rPr>
        <w:t xml:space="preserve">would </w:t>
      </w:r>
      <w:r w:rsidR="00762B7E" w:rsidRPr="00813D19">
        <w:rPr>
          <w:rFonts w:eastAsia="Malgun Gothic"/>
          <w:lang w:val="en-US" w:eastAsia="ko-KR"/>
        </w:rPr>
        <w:t xml:space="preserve">concern only the first cycle. After the sixth year, the Committee </w:t>
      </w:r>
      <w:r w:rsidR="00622EC6" w:rsidRPr="00813D19">
        <w:rPr>
          <w:rFonts w:eastAsia="Malgun Gothic"/>
          <w:lang w:val="en-US" w:eastAsia="ko-KR"/>
        </w:rPr>
        <w:t xml:space="preserve">would </w:t>
      </w:r>
      <w:r w:rsidR="00762B7E" w:rsidRPr="00813D19">
        <w:rPr>
          <w:rFonts w:eastAsia="Malgun Gothic"/>
          <w:lang w:val="en-US" w:eastAsia="ko-KR"/>
        </w:rPr>
        <w:t xml:space="preserve">have another chance to examine the situation before establishing the calendar for the second </w:t>
      </w:r>
      <w:r w:rsidRPr="00813D19">
        <w:rPr>
          <w:rFonts w:eastAsia="Malgun Gothic"/>
          <w:lang w:val="en-US" w:eastAsia="ko-KR"/>
        </w:rPr>
        <w:t>cycle</w:t>
      </w:r>
      <w:r w:rsidR="00762B7E" w:rsidRPr="00813D19">
        <w:rPr>
          <w:rFonts w:eastAsia="Malgun Gothic"/>
          <w:lang w:val="en-US" w:eastAsia="ko-KR"/>
        </w:rPr>
        <w:t>.</w:t>
      </w:r>
      <w:r w:rsidRPr="00813D19">
        <w:rPr>
          <w:rFonts w:eastAsia="Malgun Gothic"/>
          <w:lang w:val="en-US" w:eastAsia="ko-KR"/>
        </w:rPr>
        <w:t xml:space="preserve"> </w:t>
      </w:r>
      <w:r w:rsidR="00762B7E" w:rsidRPr="00813D19">
        <w:rPr>
          <w:rFonts w:eastAsia="Malgun Gothic"/>
          <w:lang w:val="en-US" w:eastAsia="ko-KR"/>
        </w:rPr>
        <w:t xml:space="preserve">It </w:t>
      </w:r>
      <w:r w:rsidR="00622EC6" w:rsidRPr="00813D19">
        <w:rPr>
          <w:rFonts w:eastAsia="Malgun Gothic"/>
          <w:lang w:val="en-US" w:eastAsia="ko-KR"/>
        </w:rPr>
        <w:t xml:space="preserve">was </w:t>
      </w:r>
      <w:r w:rsidR="00762B7E" w:rsidRPr="00813D19">
        <w:rPr>
          <w:rFonts w:eastAsia="Malgun Gothic"/>
          <w:lang w:val="en-US" w:eastAsia="ko-KR"/>
        </w:rPr>
        <w:t xml:space="preserve">also important to </w:t>
      </w:r>
      <w:r w:rsidR="00622EC6" w:rsidRPr="00813D19">
        <w:rPr>
          <w:rFonts w:eastAsia="Malgun Gothic"/>
          <w:lang w:val="en-US" w:eastAsia="ko-KR"/>
        </w:rPr>
        <w:t xml:space="preserve">note </w:t>
      </w:r>
      <w:r w:rsidR="00762B7E" w:rsidRPr="00813D19">
        <w:rPr>
          <w:rFonts w:eastAsia="Malgun Gothic"/>
          <w:lang w:val="en-US" w:eastAsia="ko-KR"/>
        </w:rPr>
        <w:t xml:space="preserve">that regardless of the option selected by the Committee, States that </w:t>
      </w:r>
      <w:r w:rsidR="00E67BD1">
        <w:rPr>
          <w:rFonts w:eastAsia="Malgun Gothic"/>
          <w:lang w:val="en-US" w:eastAsia="ko-KR"/>
        </w:rPr>
        <w:t xml:space="preserve">had </w:t>
      </w:r>
      <w:r w:rsidR="00762B7E" w:rsidRPr="00813D19">
        <w:rPr>
          <w:rFonts w:eastAsia="Malgun Gothic"/>
          <w:lang w:val="en-US" w:eastAsia="ko-KR"/>
        </w:rPr>
        <w:t>newly ratified or w</w:t>
      </w:r>
      <w:r w:rsidR="00E67BD1">
        <w:rPr>
          <w:rFonts w:eastAsia="Malgun Gothic"/>
          <w:lang w:val="en-US" w:eastAsia="ko-KR"/>
        </w:rPr>
        <w:t>ould</w:t>
      </w:r>
      <w:r w:rsidR="00762B7E" w:rsidRPr="00813D19">
        <w:rPr>
          <w:rFonts w:eastAsia="Malgun Gothic"/>
          <w:lang w:val="en-US" w:eastAsia="ko-KR"/>
        </w:rPr>
        <w:t xml:space="preserve"> ratify the Convention during the transition period </w:t>
      </w:r>
      <w:r w:rsidR="00622EC6" w:rsidRPr="00813D19">
        <w:rPr>
          <w:rFonts w:eastAsia="Malgun Gothic"/>
          <w:lang w:val="en-US" w:eastAsia="ko-KR"/>
        </w:rPr>
        <w:t xml:space="preserve">would </w:t>
      </w:r>
      <w:r w:rsidR="00762B7E" w:rsidRPr="00813D19">
        <w:rPr>
          <w:rFonts w:eastAsia="Malgun Gothic"/>
          <w:lang w:val="en-US" w:eastAsia="ko-KR"/>
        </w:rPr>
        <w:t>be given due consideration in terms of the amount of time between ratification and their first due report.</w:t>
      </w:r>
      <w:r w:rsidRPr="00813D19">
        <w:rPr>
          <w:rFonts w:eastAsia="Malgun Gothic"/>
          <w:lang w:val="en-US" w:eastAsia="ko-KR"/>
        </w:rPr>
        <w:t xml:space="preserve"> </w:t>
      </w:r>
      <w:r w:rsidR="00762B7E" w:rsidRPr="00813D19">
        <w:rPr>
          <w:rFonts w:eastAsia="Malgun Gothic"/>
          <w:lang w:val="en-US" w:eastAsia="ko-KR"/>
        </w:rPr>
        <w:t xml:space="preserve">In both options proposed, Latin America and the Caribbean countries </w:t>
      </w:r>
      <w:r w:rsidR="00622EC6" w:rsidRPr="00813D19">
        <w:rPr>
          <w:rFonts w:eastAsia="Malgun Gothic"/>
          <w:lang w:val="en-US" w:eastAsia="ko-KR"/>
        </w:rPr>
        <w:t xml:space="preserve">would </w:t>
      </w:r>
      <w:r w:rsidR="00762B7E" w:rsidRPr="00813D19">
        <w:rPr>
          <w:rFonts w:eastAsia="Malgun Gothic"/>
          <w:lang w:val="en-US" w:eastAsia="ko-KR"/>
        </w:rPr>
        <w:t xml:space="preserve">be the first to report in December 2020. If that order </w:t>
      </w:r>
      <w:r w:rsidR="00E67BD1">
        <w:rPr>
          <w:rFonts w:eastAsia="Malgun Gothic"/>
          <w:lang w:val="en-US" w:eastAsia="ko-KR"/>
        </w:rPr>
        <w:t>were</w:t>
      </w:r>
      <w:r w:rsidR="00762B7E" w:rsidRPr="00813D19">
        <w:rPr>
          <w:rFonts w:eastAsia="Malgun Gothic"/>
          <w:lang w:val="en-US" w:eastAsia="ko-KR"/>
        </w:rPr>
        <w:t xml:space="preserve"> confirmed, only </w:t>
      </w:r>
      <w:r w:rsidR="00E67BD1">
        <w:rPr>
          <w:rFonts w:eastAsia="Malgun Gothic"/>
          <w:lang w:val="en-US" w:eastAsia="ko-KR"/>
        </w:rPr>
        <w:t>two</w:t>
      </w:r>
      <w:r w:rsidR="00762B7E" w:rsidRPr="00813D19">
        <w:rPr>
          <w:rFonts w:eastAsia="Malgun Gothic"/>
          <w:lang w:val="en-US" w:eastAsia="ko-KR"/>
        </w:rPr>
        <w:t xml:space="preserve"> States Parties out of</w:t>
      </w:r>
      <w:r w:rsidR="00E67BD1">
        <w:rPr>
          <w:rFonts w:eastAsia="Malgun Gothic"/>
          <w:lang w:val="en-US" w:eastAsia="ko-KR"/>
        </w:rPr>
        <w:t xml:space="preserve"> thirty-two</w:t>
      </w:r>
      <w:r w:rsidR="00762B7E" w:rsidRPr="00813D19">
        <w:rPr>
          <w:rFonts w:eastAsia="Malgun Gothic"/>
          <w:lang w:val="en-US" w:eastAsia="ko-KR"/>
        </w:rPr>
        <w:t xml:space="preserve"> (namely Jamaica and Mexico) that ha</w:t>
      </w:r>
      <w:r w:rsidR="00E67BD1">
        <w:rPr>
          <w:rFonts w:eastAsia="Malgun Gothic"/>
          <w:lang w:val="en-US" w:eastAsia="ko-KR"/>
        </w:rPr>
        <w:t>d</w:t>
      </w:r>
      <w:r w:rsidR="00762B7E" w:rsidRPr="00813D19">
        <w:rPr>
          <w:rFonts w:eastAsia="Malgun Gothic"/>
          <w:lang w:val="en-US" w:eastAsia="ko-KR"/>
        </w:rPr>
        <w:t xml:space="preserve"> reported </w:t>
      </w:r>
      <w:r w:rsidR="00622EC6" w:rsidRPr="00813D19">
        <w:rPr>
          <w:rFonts w:eastAsia="Malgun Gothic"/>
          <w:lang w:val="en-US" w:eastAsia="ko-KR"/>
        </w:rPr>
        <w:t>in 2018,</w:t>
      </w:r>
      <w:r w:rsidR="00762B7E" w:rsidRPr="00813D19">
        <w:rPr>
          <w:rFonts w:eastAsia="Malgun Gothic"/>
          <w:lang w:val="en-US" w:eastAsia="ko-KR"/>
        </w:rPr>
        <w:t xml:space="preserve"> </w:t>
      </w:r>
      <w:r w:rsidRPr="00813D19">
        <w:rPr>
          <w:rFonts w:eastAsia="Malgun Gothic"/>
          <w:lang w:val="en-US" w:eastAsia="ko-KR"/>
        </w:rPr>
        <w:t>as part of</w:t>
      </w:r>
      <w:r w:rsidR="00762B7E" w:rsidRPr="00813D19">
        <w:rPr>
          <w:rFonts w:eastAsia="Malgun Gothic"/>
          <w:lang w:val="en-US" w:eastAsia="ko-KR"/>
        </w:rPr>
        <w:t xml:space="preserve"> the last batch of reports examined by the Committee under the old system in item 7.a, </w:t>
      </w:r>
      <w:r w:rsidR="00622EC6" w:rsidRPr="00813D19">
        <w:rPr>
          <w:rFonts w:eastAsia="Malgun Gothic"/>
          <w:lang w:val="en-US" w:eastAsia="ko-KR"/>
        </w:rPr>
        <w:t xml:space="preserve">would </w:t>
      </w:r>
      <w:r w:rsidR="00762B7E" w:rsidRPr="00813D19">
        <w:rPr>
          <w:rFonts w:eastAsia="Malgun Gothic"/>
          <w:lang w:val="en-US" w:eastAsia="ko-KR"/>
        </w:rPr>
        <w:t>have to report again in 2020</w:t>
      </w:r>
      <w:r w:rsidR="00622EC6" w:rsidRPr="00813D19">
        <w:rPr>
          <w:rStyle w:val="FootnoteReference"/>
          <w:rFonts w:eastAsia="Malgun Gothic"/>
          <w:lang w:val="en-US" w:eastAsia="ko-KR"/>
        </w:rPr>
        <w:footnoteReference w:id="23"/>
      </w:r>
      <w:r w:rsidR="00762B7E" w:rsidRPr="00813D19">
        <w:rPr>
          <w:rFonts w:eastAsia="Malgun Gothic"/>
          <w:lang w:val="en-US" w:eastAsia="ko-KR"/>
        </w:rPr>
        <w:t xml:space="preserve">. Lastly, </w:t>
      </w:r>
      <w:r w:rsidR="00622EC6" w:rsidRPr="00813D19">
        <w:rPr>
          <w:rFonts w:eastAsia="Malgun Gothic"/>
          <w:lang w:val="en-US" w:eastAsia="ko-KR"/>
        </w:rPr>
        <w:t xml:space="preserve">the Secretary </w:t>
      </w:r>
      <w:r w:rsidR="00C153FC" w:rsidRPr="00813D19">
        <w:rPr>
          <w:rFonts w:eastAsia="Malgun Gothic"/>
          <w:lang w:val="en-US" w:eastAsia="ko-KR"/>
        </w:rPr>
        <w:t xml:space="preserve">informed the Committee </w:t>
      </w:r>
      <w:r w:rsidR="00622EC6" w:rsidRPr="00813D19">
        <w:rPr>
          <w:rFonts w:eastAsia="Malgun Gothic"/>
          <w:lang w:val="en-US" w:eastAsia="ko-KR"/>
        </w:rPr>
        <w:t xml:space="preserve">that </w:t>
      </w:r>
      <w:r w:rsidR="00762B7E" w:rsidRPr="00813D19">
        <w:rPr>
          <w:rFonts w:eastAsia="Malgun Gothic"/>
          <w:lang w:val="en-US" w:eastAsia="ko-KR"/>
        </w:rPr>
        <w:t>prior to t</w:t>
      </w:r>
      <w:r w:rsidR="00622EC6" w:rsidRPr="00813D19">
        <w:rPr>
          <w:rFonts w:eastAsia="Malgun Gothic"/>
          <w:lang w:val="en-US" w:eastAsia="ko-KR"/>
        </w:rPr>
        <w:t>his session, the Secretariat had</w:t>
      </w:r>
      <w:r w:rsidR="00762B7E" w:rsidRPr="00813D19">
        <w:rPr>
          <w:rFonts w:eastAsia="Malgun Gothic"/>
          <w:lang w:val="en-US" w:eastAsia="ko-KR"/>
        </w:rPr>
        <w:t xml:space="preserve"> written </w:t>
      </w:r>
      <w:r w:rsidR="00622EC6" w:rsidRPr="00813D19">
        <w:rPr>
          <w:rFonts w:eastAsia="Malgun Gothic"/>
          <w:lang w:val="en-US" w:eastAsia="ko-KR"/>
        </w:rPr>
        <w:t xml:space="preserve">a letter dated 18 October 2018 </w:t>
      </w:r>
      <w:r w:rsidR="00762B7E" w:rsidRPr="00813D19">
        <w:rPr>
          <w:rFonts w:eastAsia="Malgun Gothic"/>
          <w:lang w:val="en-US" w:eastAsia="ko-KR"/>
        </w:rPr>
        <w:t>to the Chairperson</w:t>
      </w:r>
      <w:r w:rsidR="00C153FC" w:rsidRPr="00813D19">
        <w:rPr>
          <w:rFonts w:eastAsia="Malgun Gothic"/>
          <w:lang w:val="en-US" w:eastAsia="ko-KR"/>
        </w:rPr>
        <w:t>s</w:t>
      </w:r>
      <w:r w:rsidR="00762B7E" w:rsidRPr="00813D19">
        <w:rPr>
          <w:rFonts w:eastAsia="Malgun Gothic"/>
          <w:lang w:val="en-US" w:eastAsia="ko-KR"/>
        </w:rPr>
        <w:t xml:space="preserve"> of Electoral Group </w:t>
      </w:r>
      <w:r w:rsidRPr="00813D19">
        <w:rPr>
          <w:rFonts w:eastAsia="Malgun Gothic"/>
          <w:lang w:val="en-US" w:eastAsia="ko-KR"/>
        </w:rPr>
        <w:t>I and Elec</w:t>
      </w:r>
      <w:r w:rsidR="00622EC6" w:rsidRPr="00813D19">
        <w:rPr>
          <w:rFonts w:eastAsia="Malgun Gothic"/>
          <w:lang w:val="en-US" w:eastAsia="ko-KR"/>
        </w:rPr>
        <w:t>toral Group II</w:t>
      </w:r>
      <w:r w:rsidR="00762B7E" w:rsidRPr="00813D19">
        <w:rPr>
          <w:rFonts w:eastAsia="Malgun Gothic"/>
          <w:lang w:val="en-US" w:eastAsia="ko-KR"/>
        </w:rPr>
        <w:t xml:space="preserve"> request</w:t>
      </w:r>
      <w:r w:rsidR="00622EC6" w:rsidRPr="00813D19">
        <w:rPr>
          <w:rFonts w:eastAsia="Malgun Gothic"/>
          <w:lang w:val="en-US" w:eastAsia="ko-KR"/>
        </w:rPr>
        <w:t>ing</w:t>
      </w:r>
      <w:r w:rsidR="00762B7E" w:rsidRPr="00813D19">
        <w:rPr>
          <w:rFonts w:eastAsia="Malgun Gothic"/>
          <w:lang w:val="en-US" w:eastAsia="ko-KR"/>
        </w:rPr>
        <w:t xml:space="preserve"> </w:t>
      </w:r>
      <w:r w:rsidR="00C153FC" w:rsidRPr="00813D19">
        <w:rPr>
          <w:rFonts w:eastAsia="Malgun Gothic"/>
          <w:lang w:val="en-US" w:eastAsia="ko-KR"/>
        </w:rPr>
        <w:t>th</w:t>
      </w:r>
      <w:r w:rsidR="00E67BD1">
        <w:rPr>
          <w:rFonts w:eastAsia="Malgun Gothic"/>
          <w:lang w:val="en-US" w:eastAsia="ko-KR"/>
        </w:rPr>
        <w:t>at</w:t>
      </w:r>
      <w:r w:rsidR="00C153FC" w:rsidRPr="00813D19">
        <w:rPr>
          <w:rFonts w:eastAsia="Malgun Gothic"/>
          <w:lang w:val="en-US" w:eastAsia="ko-KR"/>
        </w:rPr>
        <w:t xml:space="preserve"> </w:t>
      </w:r>
      <w:r w:rsidR="00E67BD1">
        <w:rPr>
          <w:rFonts w:eastAsia="Malgun Gothic"/>
          <w:lang w:val="en-US" w:eastAsia="ko-KR"/>
        </w:rPr>
        <w:t>they</w:t>
      </w:r>
      <w:r w:rsidR="00E67BD1" w:rsidRPr="00813D19">
        <w:rPr>
          <w:rFonts w:eastAsia="Malgun Gothic"/>
          <w:lang w:val="en-US" w:eastAsia="ko-KR"/>
        </w:rPr>
        <w:t xml:space="preserve"> </w:t>
      </w:r>
      <w:r w:rsidR="00762B7E" w:rsidRPr="00813D19">
        <w:rPr>
          <w:rFonts w:eastAsia="Malgun Gothic"/>
          <w:lang w:val="en-US" w:eastAsia="ko-KR"/>
        </w:rPr>
        <w:t>kindly undertake a consultation within their respective group</w:t>
      </w:r>
      <w:r w:rsidR="00C153FC" w:rsidRPr="00813D19">
        <w:rPr>
          <w:rFonts w:eastAsia="Malgun Gothic"/>
          <w:lang w:val="en-US" w:eastAsia="ko-KR"/>
        </w:rPr>
        <w:t>s</w:t>
      </w:r>
      <w:r w:rsidR="00762B7E" w:rsidRPr="00813D19">
        <w:rPr>
          <w:rFonts w:eastAsia="Malgun Gothic"/>
          <w:lang w:val="en-US" w:eastAsia="ko-KR"/>
        </w:rPr>
        <w:t xml:space="preserve"> on the options presented </w:t>
      </w:r>
      <w:r w:rsidR="00C153FC" w:rsidRPr="00813D19">
        <w:rPr>
          <w:rFonts w:eastAsia="Malgun Gothic"/>
          <w:lang w:val="en-US" w:eastAsia="ko-KR"/>
        </w:rPr>
        <w:t>regarding</w:t>
      </w:r>
      <w:r w:rsidR="00762B7E" w:rsidRPr="00813D19">
        <w:rPr>
          <w:rFonts w:eastAsia="Malgun Gothic"/>
          <w:lang w:val="en-US" w:eastAsia="ko-KR"/>
        </w:rPr>
        <w:t xml:space="preserve"> the </w:t>
      </w:r>
      <w:r w:rsidR="00C153FC" w:rsidRPr="00813D19">
        <w:rPr>
          <w:rFonts w:eastAsia="Malgun Gothic"/>
          <w:lang w:val="en-US" w:eastAsia="ko-KR"/>
        </w:rPr>
        <w:t xml:space="preserve">reporting </w:t>
      </w:r>
      <w:r w:rsidR="00762B7E" w:rsidRPr="00813D19">
        <w:rPr>
          <w:rFonts w:eastAsia="Malgun Gothic"/>
          <w:lang w:val="en-US" w:eastAsia="ko-KR"/>
        </w:rPr>
        <w:t>calenda</w:t>
      </w:r>
      <w:r w:rsidR="00087166">
        <w:rPr>
          <w:rFonts w:eastAsia="Malgun Gothic"/>
          <w:lang w:val="en-US" w:eastAsia="ko-KR"/>
        </w:rPr>
        <w:t>r for the first regional cycle.</w:t>
      </w:r>
    </w:p>
    <w:p w14:paraId="2D19F8C4" w14:textId="18D17C55" w:rsidR="00701B95" w:rsidRPr="00813D19" w:rsidRDefault="004C0C0E" w:rsidP="00701B95">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9C0278" w:rsidRPr="00813D19">
        <w:rPr>
          <w:color w:val="000000" w:themeColor="text1"/>
          <w:lang w:val="en-US"/>
        </w:rPr>
        <w:t>opened the floor, noting that the Se</w:t>
      </w:r>
      <w:r w:rsidR="00087166">
        <w:rPr>
          <w:color w:val="000000" w:themeColor="text1"/>
          <w:lang w:val="en-US"/>
        </w:rPr>
        <w:t>cretary had a point to clarify.</w:t>
      </w:r>
    </w:p>
    <w:p w14:paraId="34EFCF60" w14:textId="2D7D7438" w:rsidR="006F3B39" w:rsidRPr="00813D19" w:rsidRDefault="004C0C0E" w:rsidP="006F3B39">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813D19" w:rsidRPr="00813D19">
        <w:rPr>
          <w:color w:val="000000" w:themeColor="text1"/>
          <w:lang w:val="en-US"/>
        </w:rPr>
        <w:t>informed</w:t>
      </w:r>
      <w:r w:rsidRPr="00813D19">
        <w:rPr>
          <w:color w:val="000000" w:themeColor="text1"/>
          <w:lang w:val="en-US"/>
        </w:rPr>
        <w:t xml:space="preserve"> the Committee that draft amendments had been received, which </w:t>
      </w:r>
      <w:r w:rsidR="009C0278" w:rsidRPr="00813D19">
        <w:rPr>
          <w:color w:val="000000" w:themeColor="text1"/>
          <w:lang w:val="en-US"/>
        </w:rPr>
        <w:t xml:space="preserve">were </w:t>
      </w:r>
      <w:r w:rsidRPr="00813D19">
        <w:rPr>
          <w:color w:val="000000" w:themeColor="text1"/>
          <w:lang w:val="en-US"/>
        </w:rPr>
        <w:t>presented on the screen.</w:t>
      </w:r>
    </w:p>
    <w:p w14:paraId="2E33C55C" w14:textId="74D5586E" w:rsidR="009A6245" w:rsidRPr="00813D19" w:rsidRDefault="004C0C0E" w:rsidP="006F3B39">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Chairperson </w:t>
      </w:r>
      <w:r w:rsidRPr="00813D19">
        <w:rPr>
          <w:color w:val="000000" w:themeColor="text1"/>
          <w:lang w:val="en-US"/>
        </w:rPr>
        <w:t>turned to the draft decision paragraph</w:t>
      </w:r>
      <w:r w:rsidR="00E67BD1">
        <w:rPr>
          <w:color w:val="000000" w:themeColor="text1"/>
          <w:lang w:val="en-US"/>
        </w:rPr>
        <w:t xml:space="preserve"> </w:t>
      </w:r>
      <w:r w:rsidRPr="00813D19">
        <w:rPr>
          <w:color w:val="000000" w:themeColor="text1"/>
          <w:lang w:val="en-US"/>
        </w:rPr>
        <w:t>by</w:t>
      </w:r>
      <w:r w:rsidR="00E67BD1">
        <w:rPr>
          <w:color w:val="000000" w:themeColor="text1"/>
          <w:lang w:val="en-US"/>
        </w:rPr>
        <w:t xml:space="preserve"> </w:t>
      </w:r>
      <w:r w:rsidRPr="00813D19">
        <w:rPr>
          <w:color w:val="000000" w:themeColor="text1"/>
          <w:lang w:val="en-US"/>
        </w:rPr>
        <w:t>paragraph</w:t>
      </w:r>
      <w:r w:rsidR="00E60E5D" w:rsidRPr="00813D19">
        <w:rPr>
          <w:color w:val="000000" w:themeColor="text1"/>
          <w:lang w:val="en-US"/>
        </w:rPr>
        <w:t>, and</w:t>
      </w:r>
      <w:r w:rsidRPr="00813D19">
        <w:rPr>
          <w:b/>
          <w:color w:val="000000" w:themeColor="text1"/>
          <w:lang w:val="en-US"/>
        </w:rPr>
        <w:t xml:space="preserve"> </w:t>
      </w:r>
      <w:r w:rsidR="00E60E5D" w:rsidRPr="00813D19">
        <w:rPr>
          <w:color w:val="000000" w:themeColor="text1"/>
          <w:lang w:val="en-US"/>
        </w:rPr>
        <w:t>p</w:t>
      </w:r>
      <w:r w:rsidRPr="00813D19">
        <w:rPr>
          <w:color w:val="000000" w:themeColor="text1"/>
          <w:lang w:val="en-US"/>
        </w:rPr>
        <w:t>aragraphs</w:t>
      </w:r>
      <w:r w:rsidR="009C0278" w:rsidRPr="00813D19">
        <w:rPr>
          <w:color w:val="000000" w:themeColor="text1"/>
          <w:lang w:val="en-US"/>
        </w:rPr>
        <w:t xml:space="preserve"> 1–</w:t>
      </w:r>
      <w:r w:rsidR="00E60E5D" w:rsidRPr="00813D19">
        <w:rPr>
          <w:color w:val="000000" w:themeColor="text1"/>
          <w:lang w:val="en-US"/>
        </w:rPr>
        <w:t>6</w:t>
      </w:r>
      <w:r w:rsidR="00505442" w:rsidRPr="00813D19">
        <w:rPr>
          <w:color w:val="000000" w:themeColor="text1"/>
          <w:lang w:val="en-US"/>
        </w:rPr>
        <w:t xml:space="preserve"> were duly adopted. </w:t>
      </w:r>
      <w:r w:rsidR="009A6245" w:rsidRPr="00813D19">
        <w:rPr>
          <w:color w:val="000000" w:themeColor="text1"/>
          <w:lang w:val="en-US"/>
        </w:rPr>
        <w:t>A new p</w:t>
      </w:r>
      <w:r w:rsidR="00505442" w:rsidRPr="00813D19">
        <w:rPr>
          <w:color w:val="000000" w:themeColor="text1"/>
          <w:lang w:val="en-US"/>
        </w:rPr>
        <w:t xml:space="preserve">aragraph </w:t>
      </w:r>
      <w:r w:rsidR="009C0278" w:rsidRPr="00813D19">
        <w:rPr>
          <w:color w:val="000000" w:themeColor="text1"/>
          <w:lang w:val="en-US"/>
        </w:rPr>
        <w:t xml:space="preserve">7 was proposed by Djibouti, which read, </w:t>
      </w:r>
      <w:r w:rsidR="006F3B39" w:rsidRPr="00813D19">
        <w:rPr>
          <w:color w:val="000000" w:themeColor="text1"/>
          <w:lang w:val="en-US"/>
        </w:rPr>
        <w:t>‘Encourages the Secretariat to take into account, during the planning of the capacity-building activities, the debates of the present session which highlighted the needs of States, by giving priority to the States who expressed such requests in this field</w:t>
      </w:r>
      <w:r w:rsidR="00E60E5D" w:rsidRPr="00813D19">
        <w:rPr>
          <w:color w:val="000000" w:themeColor="text1"/>
          <w:lang w:val="en-US"/>
        </w:rPr>
        <w:t>’</w:t>
      </w:r>
      <w:r w:rsidR="00087166">
        <w:rPr>
          <w:color w:val="000000" w:themeColor="text1"/>
          <w:lang w:val="en-US"/>
        </w:rPr>
        <w:t>.</w:t>
      </w:r>
    </w:p>
    <w:p w14:paraId="0A66FA4C" w14:textId="32FDF7D1" w:rsidR="004C0C0E" w:rsidRPr="00813D19" w:rsidRDefault="009A6245" w:rsidP="00701B95">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Pr="00813D19">
        <w:rPr>
          <w:color w:val="000000" w:themeColor="text1"/>
          <w:lang w:val="en-US"/>
        </w:rPr>
        <w:t xml:space="preserve"> supported the amendment</w:t>
      </w:r>
      <w:r w:rsidR="006F3B39" w:rsidRPr="00813D19">
        <w:rPr>
          <w:color w:val="000000" w:themeColor="text1"/>
          <w:lang w:val="en-US"/>
        </w:rPr>
        <w:t xml:space="preserve"> proposed by Djibouti</w:t>
      </w:r>
      <w:r w:rsidR="00087166">
        <w:rPr>
          <w:color w:val="000000" w:themeColor="text1"/>
          <w:lang w:val="en-US"/>
        </w:rPr>
        <w:t>.</w:t>
      </w:r>
    </w:p>
    <w:p w14:paraId="2944B493" w14:textId="45C56FB9" w:rsidR="009A6245" w:rsidRPr="00813D19" w:rsidRDefault="009A6245" w:rsidP="00701B95">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noted no objections to the new paragraph 7, which was duly adopted. </w:t>
      </w:r>
      <w:r w:rsidR="00E60E5D" w:rsidRPr="00813D19">
        <w:rPr>
          <w:color w:val="000000" w:themeColor="text1"/>
          <w:lang w:val="en-US"/>
        </w:rPr>
        <w:t xml:space="preserve">He </w:t>
      </w:r>
      <w:r w:rsidRPr="00813D19">
        <w:rPr>
          <w:color w:val="000000" w:themeColor="text1"/>
          <w:lang w:val="en-US"/>
        </w:rPr>
        <w:t>then turned to paragraph 8</w:t>
      </w:r>
      <w:r w:rsidR="00E60E5D" w:rsidRPr="00813D19">
        <w:rPr>
          <w:color w:val="000000" w:themeColor="text1"/>
          <w:lang w:val="en-US"/>
        </w:rPr>
        <w:t xml:space="preserve"> [previously paragraph 7]</w:t>
      </w:r>
      <w:r w:rsidRPr="00813D19">
        <w:rPr>
          <w:color w:val="000000" w:themeColor="text1"/>
          <w:lang w:val="en-US"/>
        </w:rPr>
        <w:t xml:space="preserve">, which was duly adopted. </w:t>
      </w:r>
      <w:r w:rsidR="006F3B39" w:rsidRPr="00813D19">
        <w:rPr>
          <w:color w:val="000000" w:themeColor="text1"/>
          <w:lang w:val="en-US"/>
        </w:rPr>
        <w:t>The Chairperson then asked the Secretary to introduce pa</w:t>
      </w:r>
      <w:r w:rsidR="00087166">
        <w:rPr>
          <w:color w:val="000000" w:themeColor="text1"/>
          <w:lang w:val="en-US"/>
        </w:rPr>
        <w:t>ragraph 9 with its two options.</w:t>
      </w:r>
    </w:p>
    <w:p w14:paraId="0FC0E55B" w14:textId="3DF4ACB7" w:rsidR="009A6245" w:rsidRPr="00813D19" w:rsidRDefault="009A6245" w:rsidP="00701B95">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6F3B39" w:rsidRPr="00813D19">
        <w:rPr>
          <w:color w:val="000000" w:themeColor="text1"/>
          <w:lang w:val="en-US"/>
        </w:rPr>
        <w:t xml:space="preserve">explained that </w:t>
      </w:r>
      <w:r w:rsidR="00823A11" w:rsidRPr="00813D19">
        <w:rPr>
          <w:lang w:val="en-US"/>
        </w:rPr>
        <w:t xml:space="preserve">during the </w:t>
      </w:r>
      <w:r w:rsidR="006F3B39" w:rsidRPr="00813D19">
        <w:rPr>
          <w:lang w:val="en-US"/>
        </w:rPr>
        <w:t xml:space="preserve">morning’s </w:t>
      </w:r>
      <w:r w:rsidR="00823A11" w:rsidRPr="00813D19">
        <w:rPr>
          <w:lang w:val="en-US"/>
        </w:rPr>
        <w:t>Bur</w:t>
      </w:r>
      <w:r w:rsidR="006F3B39" w:rsidRPr="00813D19">
        <w:rPr>
          <w:lang w:val="en-US"/>
        </w:rPr>
        <w:t xml:space="preserve">eau meeting, the Bureau </w:t>
      </w:r>
      <w:r w:rsidR="00E67BD1">
        <w:rPr>
          <w:lang w:val="en-US"/>
        </w:rPr>
        <w:t xml:space="preserve">had </w:t>
      </w:r>
      <w:r w:rsidR="00823A11" w:rsidRPr="00813D19">
        <w:rPr>
          <w:lang w:val="en-US"/>
        </w:rPr>
        <w:t xml:space="preserve">received an email from Austria </w:t>
      </w:r>
      <w:r w:rsidR="006F3B39" w:rsidRPr="00813D19">
        <w:rPr>
          <w:lang w:val="en-US"/>
        </w:rPr>
        <w:t xml:space="preserve">and </w:t>
      </w:r>
      <w:r w:rsidR="00823A11" w:rsidRPr="00813D19">
        <w:rPr>
          <w:lang w:val="en-US"/>
        </w:rPr>
        <w:t>t</w:t>
      </w:r>
      <w:r w:rsidR="006F3B39" w:rsidRPr="00813D19">
        <w:rPr>
          <w:lang w:val="en-US"/>
        </w:rPr>
        <w:t xml:space="preserve">he corresponding States Parties [Armenia, Azerbaijan, Cyprus, Lithuania, </w:t>
      </w:r>
      <w:r w:rsidR="000953A7">
        <w:rPr>
          <w:lang w:val="en-US"/>
        </w:rPr>
        <w:t xml:space="preserve">the </w:t>
      </w:r>
      <w:r w:rsidR="006F3B39" w:rsidRPr="00813D19">
        <w:rPr>
          <w:lang w:val="en-US"/>
        </w:rPr>
        <w:t>Netherlands, Poland], wishing to opt</w:t>
      </w:r>
      <w:r w:rsidR="00823A11" w:rsidRPr="00813D19">
        <w:rPr>
          <w:lang w:val="en-US"/>
        </w:rPr>
        <w:t xml:space="preserve"> for Option II with amendments </w:t>
      </w:r>
      <w:r w:rsidR="006F3B39" w:rsidRPr="00813D19">
        <w:rPr>
          <w:lang w:val="en-US"/>
        </w:rPr>
        <w:t xml:space="preserve">as they appeared in </w:t>
      </w:r>
      <w:r w:rsidR="00823A11" w:rsidRPr="00813D19">
        <w:rPr>
          <w:lang w:val="en-US"/>
        </w:rPr>
        <w:t xml:space="preserve">the draft decision. </w:t>
      </w:r>
      <w:r w:rsidR="006F3B39" w:rsidRPr="00813D19">
        <w:rPr>
          <w:lang w:val="en-US"/>
        </w:rPr>
        <w:t xml:space="preserve">The Secretary invited States Parties that wished to be </w:t>
      </w:r>
      <w:r w:rsidR="00823A11" w:rsidRPr="00813D19">
        <w:rPr>
          <w:lang w:val="en-US"/>
        </w:rPr>
        <w:t xml:space="preserve">added or </w:t>
      </w:r>
      <w:r w:rsidR="006F3B39" w:rsidRPr="00813D19">
        <w:rPr>
          <w:lang w:val="en-US"/>
        </w:rPr>
        <w:t>removed from the list as established to make it known</w:t>
      </w:r>
      <w:r w:rsidR="00087166">
        <w:rPr>
          <w:lang w:val="en-US"/>
        </w:rPr>
        <w:t>.</w:t>
      </w:r>
    </w:p>
    <w:p w14:paraId="14D8E8DD" w14:textId="77777777" w:rsidR="006F3B39" w:rsidRPr="00813D19" w:rsidRDefault="009A6245" w:rsidP="00701B95">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Pr="00813D19">
        <w:rPr>
          <w:color w:val="000000" w:themeColor="text1"/>
          <w:lang w:val="en-US"/>
        </w:rPr>
        <w:t xml:space="preserve"> </w:t>
      </w:r>
      <w:r w:rsidR="006F3B39" w:rsidRPr="00813D19">
        <w:rPr>
          <w:color w:val="000000" w:themeColor="text1"/>
          <w:lang w:val="en-US"/>
        </w:rPr>
        <w:t>supported Option II with the amendments as proposed.</w:t>
      </w:r>
    </w:p>
    <w:p w14:paraId="3DF41235" w14:textId="44AF4F5F" w:rsidR="009A6245" w:rsidRPr="00813D19" w:rsidRDefault="006F3B39" w:rsidP="00701B95">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w:t>
      </w:r>
      <w:r w:rsidRPr="00813D19">
        <w:rPr>
          <w:color w:val="000000" w:themeColor="text1"/>
          <w:lang w:val="en-US"/>
        </w:rPr>
        <w:t xml:space="preserve"> </w:t>
      </w:r>
      <w:r w:rsidR="009A6245" w:rsidRPr="00813D19">
        <w:rPr>
          <w:b/>
          <w:color w:val="000000" w:themeColor="text1"/>
          <w:lang w:val="en-US"/>
        </w:rPr>
        <w:t>Lebanon</w:t>
      </w:r>
      <w:r w:rsidR="009A6245" w:rsidRPr="00813D19">
        <w:rPr>
          <w:color w:val="000000" w:themeColor="text1"/>
          <w:lang w:val="en-US"/>
        </w:rPr>
        <w:t xml:space="preserve"> </w:t>
      </w:r>
      <w:r w:rsidRPr="00813D19">
        <w:rPr>
          <w:color w:val="000000" w:themeColor="text1"/>
          <w:lang w:val="en-US"/>
        </w:rPr>
        <w:t>also support</w:t>
      </w:r>
      <w:r w:rsidR="00E67BD1">
        <w:rPr>
          <w:color w:val="000000" w:themeColor="text1"/>
          <w:lang w:val="en-US"/>
        </w:rPr>
        <w:t>ed</w:t>
      </w:r>
      <w:r w:rsidR="009A6245" w:rsidRPr="00813D19">
        <w:rPr>
          <w:color w:val="000000" w:themeColor="text1"/>
          <w:lang w:val="en-US"/>
        </w:rPr>
        <w:t xml:space="preserve"> </w:t>
      </w:r>
      <w:r w:rsidRPr="00813D19">
        <w:rPr>
          <w:color w:val="000000" w:themeColor="text1"/>
          <w:lang w:val="en-US"/>
        </w:rPr>
        <w:t>Option II</w:t>
      </w:r>
      <w:r w:rsidR="00A2323C" w:rsidRPr="00813D19">
        <w:rPr>
          <w:color w:val="000000" w:themeColor="text1"/>
          <w:lang w:val="en-US"/>
        </w:rPr>
        <w:t>.</w:t>
      </w:r>
    </w:p>
    <w:p w14:paraId="7440CD45" w14:textId="37AE6B53" w:rsidR="00E5585F" w:rsidRPr="00813D19" w:rsidRDefault="006F3B39" w:rsidP="00E5585F">
      <w:pPr>
        <w:pStyle w:val="Orateurengris"/>
        <w:spacing w:before="120" w:after="0"/>
        <w:ind w:left="709" w:hanging="709"/>
        <w:rPr>
          <w:color w:val="000000" w:themeColor="text1"/>
          <w:lang w:val="en-US"/>
        </w:rPr>
      </w:pPr>
      <w:r w:rsidRPr="00813D19">
        <w:rPr>
          <w:color w:val="000000" w:themeColor="text1"/>
          <w:lang w:val="en-US"/>
        </w:rPr>
        <w:t>With no further comments or objections, t</w:t>
      </w:r>
      <w:r w:rsidR="009A6245" w:rsidRPr="00813D19">
        <w:rPr>
          <w:color w:val="000000" w:themeColor="text1"/>
          <w:lang w:val="en-US"/>
        </w:rPr>
        <w:t xml:space="preserve">he </w:t>
      </w:r>
      <w:r w:rsidR="009A6245" w:rsidRPr="00813D19">
        <w:rPr>
          <w:b/>
          <w:color w:val="000000" w:themeColor="text1"/>
          <w:lang w:val="en-US"/>
        </w:rPr>
        <w:t>Chairperson</w:t>
      </w:r>
      <w:r w:rsidR="009A6245" w:rsidRPr="00813D19">
        <w:rPr>
          <w:color w:val="000000" w:themeColor="text1"/>
          <w:lang w:val="en-US"/>
        </w:rPr>
        <w:t xml:space="preserve"> </w:t>
      </w:r>
      <w:r w:rsidRPr="00813D19">
        <w:rPr>
          <w:color w:val="000000" w:themeColor="text1"/>
          <w:lang w:val="en-US"/>
        </w:rPr>
        <w:t>adopted paragraph 9 as amended.</w:t>
      </w:r>
      <w:r w:rsidR="009A6245" w:rsidRPr="00813D19">
        <w:rPr>
          <w:color w:val="000000" w:themeColor="text1"/>
          <w:lang w:val="en-US"/>
        </w:rPr>
        <w:t xml:space="preserve"> Paragraph 10 pre</w:t>
      </w:r>
      <w:r w:rsidRPr="00813D19">
        <w:rPr>
          <w:color w:val="000000" w:themeColor="text1"/>
          <w:lang w:val="en-US"/>
        </w:rPr>
        <w:t xml:space="preserve">sented a proposed calendar </w:t>
      </w:r>
      <w:r w:rsidR="00F575ED" w:rsidRPr="00813D19">
        <w:rPr>
          <w:color w:val="000000" w:themeColor="text1"/>
          <w:lang w:val="en-US"/>
        </w:rPr>
        <w:t xml:space="preserve">[from 2020 to 2025] for </w:t>
      </w:r>
      <w:r w:rsidR="009A6245" w:rsidRPr="00813D19">
        <w:rPr>
          <w:color w:val="000000" w:themeColor="text1"/>
          <w:lang w:val="en-US"/>
        </w:rPr>
        <w:t xml:space="preserve">the periodic reporting </w:t>
      </w:r>
      <w:r w:rsidR="00F575ED" w:rsidRPr="00813D19">
        <w:rPr>
          <w:color w:val="000000" w:themeColor="text1"/>
          <w:lang w:val="en-US"/>
        </w:rPr>
        <w:t>on a regional basis</w:t>
      </w:r>
      <w:r w:rsidR="009A6245" w:rsidRPr="00813D19">
        <w:rPr>
          <w:color w:val="000000" w:themeColor="text1"/>
          <w:lang w:val="en-US"/>
        </w:rPr>
        <w:t xml:space="preserve">. With no objections, paragraph 10 was duly adopted. The new paragraph 11, as amended, was duly adopted. Turning to the draft decision as a whole, and with no comments or objections, the </w:t>
      </w:r>
      <w:r w:rsidR="009A6245" w:rsidRPr="00813D19">
        <w:rPr>
          <w:b/>
          <w:color w:val="000000" w:themeColor="text1"/>
          <w:lang w:val="en-US"/>
        </w:rPr>
        <w:t>Chairperson declared Decision 13.COM 8</w:t>
      </w:r>
      <w:r w:rsidR="00E60E5D" w:rsidRPr="00813D19">
        <w:rPr>
          <w:b/>
          <w:color w:val="000000" w:themeColor="text1"/>
          <w:lang w:val="en-US"/>
        </w:rPr>
        <w:t xml:space="preserve"> adopted</w:t>
      </w:r>
      <w:r w:rsidR="009A6245" w:rsidRPr="00087166">
        <w:rPr>
          <w:bCs/>
          <w:color w:val="000000" w:themeColor="text1"/>
          <w:lang w:val="en-US"/>
        </w:rPr>
        <w:t>.</w:t>
      </w:r>
    </w:p>
    <w:p w14:paraId="4E347126" w14:textId="39581044" w:rsidR="006F3B39" w:rsidRPr="00813D19" w:rsidRDefault="002579B5" w:rsidP="00087166">
      <w:pPr>
        <w:pStyle w:val="Orateurengris"/>
        <w:spacing w:before="120" w:after="0"/>
        <w:ind w:left="709" w:hanging="709"/>
        <w:rPr>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7F5136" w:rsidRPr="00813D19">
        <w:rPr>
          <w:color w:val="000000" w:themeColor="text1"/>
          <w:lang w:val="en-US"/>
        </w:rPr>
        <w:t>announced</w:t>
      </w:r>
      <w:r w:rsidR="00E5585F" w:rsidRPr="00813D19">
        <w:rPr>
          <w:color w:val="000000" w:themeColor="text1"/>
          <w:lang w:val="en-US"/>
        </w:rPr>
        <w:t xml:space="preserve"> </w:t>
      </w:r>
      <w:r w:rsidR="007F5136" w:rsidRPr="00813D19">
        <w:rPr>
          <w:lang w:val="en-US"/>
        </w:rPr>
        <w:t xml:space="preserve">a </w:t>
      </w:r>
      <w:r w:rsidR="00E5585F" w:rsidRPr="00813D19">
        <w:rPr>
          <w:lang w:val="en-US"/>
        </w:rPr>
        <w:t xml:space="preserve">roundtable organized on the global facilitator’s network related to the global capacity-building programme and how it supports countries with </w:t>
      </w:r>
      <w:r w:rsidR="007F5136" w:rsidRPr="00813D19">
        <w:rPr>
          <w:lang w:val="en-US"/>
        </w:rPr>
        <w:t xml:space="preserve">the </w:t>
      </w:r>
      <w:r w:rsidR="00E5585F" w:rsidRPr="00813D19">
        <w:rPr>
          <w:lang w:val="en-US"/>
        </w:rPr>
        <w:t xml:space="preserve">implementation of the Convention. Facilitators from the different regions </w:t>
      </w:r>
      <w:r w:rsidR="007F5136" w:rsidRPr="00813D19">
        <w:rPr>
          <w:lang w:val="en-US"/>
        </w:rPr>
        <w:t xml:space="preserve">would </w:t>
      </w:r>
      <w:r w:rsidR="00E5585F" w:rsidRPr="00813D19">
        <w:rPr>
          <w:lang w:val="en-US"/>
        </w:rPr>
        <w:t>speak about their concrete exper</w:t>
      </w:r>
      <w:r w:rsidR="007F5136" w:rsidRPr="00813D19">
        <w:rPr>
          <w:lang w:val="en-US"/>
        </w:rPr>
        <w:t>iences of facilitating capacity</w:t>
      </w:r>
      <w:r w:rsidR="00E67BD1">
        <w:rPr>
          <w:lang w:val="en-US"/>
        </w:rPr>
        <w:t xml:space="preserve"> </w:t>
      </w:r>
      <w:r w:rsidR="00E5585F" w:rsidRPr="00813D19">
        <w:rPr>
          <w:lang w:val="en-US"/>
        </w:rPr>
        <w:t>building in countries around the world.</w:t>
      </w:r>
    </w:p>
    <w:p w14:paraId="7B1A4AA5" w14:textId="73FB7836" w:rsidR="006F3B39" w:rsidRPr="00813D19" w:rsidRDefault="006F3B39" w:rsidP="00087166">
      <w:pPr>
        <w:pStyle w:val="Orateurengris"/>
        <w:numPr>
          <w:ilvl w:val="0"/>
          <w:numId w:val="0"/>
        </w:numPr>
        <w:spacing w:before="240" w:after="240"/>
        <w:ind w:left="567" w:hanging="567"/>
        <w:jc w:val="center"/>
        <w:outlineLvl w:val="0"/>
        <w:rPr>
          <w:i/>
          <w:lang w:val="en-US"/>
        </w:rPr>
      </w:pPr>
      <w:r w:rsidRPr="00813D19">
        <w:rPr>
          <w:i/>
          <w:lang w:val="en-US"/>
        </w:rPr>
        <w:t>[</w:t>
      </w:r>
      <w:r w:rsidR="00F575ED" w:rsidRPr="00813D19">
        <w:rPr>
          <w:i/>
          <w:lang w:val="en-US"/>
        </w:rPr>
        <w:t xml:space="preserve">Tuesday, </w:t>
      </w:r>
      <w:r w:rsidRPr="00813D19">
        <w:rPr>
          <w:i/>
          <w:lang w:val="en-US"/>
        </w:rPr>
        <w:t>27 November 2018, afternoon session]</w:t>
      </w:r>
    </w:p>
    <w:p w14:paraId="4BD59988" w14:textId="083BC704" w:rsidR="00B97134" w:rsidRPr="00813D19" w:rsidRDefault="00B97134" w:rsidP="00087166">
      <w:pPr>
        <w:pStyle w:val="Orateurengris"/>
        <w:numPr>
          <w:ilvl w:val="0"/>
          <w:numId w:val="0"/>
        </w:numPr>
        <w:spacing w:before="360" w:after="60"/>
        <w:outlineLvl w:val="0"/>
        <w:rPr>
          <w:b/>
          <w:color w:val="000000" w:themeColor="text1"/>
          <w:u w:val="single"/>
          <w:lang w:val="en-US"/>
        </w:rPr>
      </w:pPr>
      <w:r w:rsidRPr="00813D19">
        <w:rPr>
          <w:b/>
          <w:color w:val="000000" w:themeColor="text1"/>
          <w:u w:val="single"/>
          <w:lang w:val="en-US"/>
        </w:rPr>
        <w:t>ITEM 7</w:t>
      </w:r>
      <w:r w:rsidR="008D1ED4" w:rsidRPr="00813D19">
        <w:rPr>
          <w:b/>
          <w:color w:val="000000" w:themeColor="text1"/>
          <w:u w:val="single"/>
          <w:lang w:val="en-US"/>
        </w:rPr>
        <w:t>.b</w:t>
      </w:r>
      <w:r w:rsidRPr="00813D19">
        <w:rPr>
          <w:b/>
          <w:color w:val="000000" w:themeColor="text1"/>
          <w:u w:val="single"/>
          <w:lang w:val="en-US"/>
        </w:rPr>
        <w:t xml:space="preserve"> OF THE AGENDA</w:t>
      </w:r>
      <w:r w:rsidR="007F5136" w:rsidRPr="00813D19">
        <w:rPr>
          <w:b/>
          <w:color w:val="000000" w:themeColor="text1"/>
          <w:u w:val="single"/>
          <w:lang w:val="en-US"/>
        </w:rPr>
        <w:t xml:space="preserve"> [CONT.]</w:t>
      </w:r>
    </w:p>
    <w:p w14:paraId="624837BA" w14:textId="5365E252" w:rsidR="0059535A" w:rsidRPr="00813D19" w:rsidRDefault="004D781E" w:rsidP="005966F6">
      <w:pPr>
        <w:pStyle w:val="Orateurengris"/>
        <w:numPr>
          <w:ilvl w:val="0"/>
          <w:numId w:val="0"/>
        </w:numPr>
        <w:spacing w:after="240"/>
        <w:outlineLvl w:val="1"/>
        <w:rPr>
          <w:b/>
          <w:color w:val="000000" w:themeColor="text1"/>
          <w:lang w:val="en-US"/>
        </w:rPr>
      </w:pPr>
      <w:r w:rsidRPr="00813D19">
        <w:rPr>
          <w:b/>
          <w:color w:val="000000" w:themeColor="text1"/>
          <w:lang w:val="en-US"/>
        </w:rPr>
        <w:t>EXAMINATION OF THE REPORTS OF STATES PARTIES ON THE CURRENT STATUS OF ELEMENTS INSCRIBED ON THE LIST OF INTANGIBLE CULTURAL HERITAGE IN NEED OF URGENT SAFEGUARDING</w:t>
      </w:r>
    </w:p>
    <w:p w14:paraId="16325AA4" w14:textId="5001F45A" w:rsidR="00B97134" w:rsidRPr="00813D19" w:rsidRDefault="00B97134" w:rsidP="00346906">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800877" w:rsidRPr="00813D19">
        <w:rPr>
          <w:color w:val="000000" w:themeColor="text1"/>
          <w:lang w:val="en-US"/>
        </w:rPr>
        <w:t xml:space="preserve">resumed the unfinished business under agenda item </w:t>
      </w:r>
      <w:r w:rsidR="00800877" w:rsidRPr="00813D19">
        <w:rPr>
          <w:bCs/>
          <w:lang w:val="en-US"/>
        </w:rPr>
        <w:t>7.b</w:t>
      </w:r>
      <w:r w:rsidR="007B1445" w:rsidRPr="00813D19">
        <w:rPr>
          <w:bCs/>
          <w:lang w:val="en-US"/>
        </w:rPr>
        <w:t xml:space="preserve"> and </w:t>
      </w:r>
      <w:r w:rsidR="00800877" w:rsidRPr="00813D19">
        <w:rPr>
          <w:bCs/>
          <w:lang w:val="en-US"/>
        </w:rPr>
        <w:t xml:space="preserve">the </w:t>
      </w:r>
      <w:r w:rsidR="007B1445" w:rsidRPr="00813D19">
        <w:rPr>
          <w:bCs/>
          <w:lang w:val="en-US"/>
        </w:rPr>
        <w:t xml:space="preserve">proposal </w:t>
      </w:r>
      <w:r w:rsidR="00800877" w:rsidRPr="00813D19">
        <w:rPr>
          <w:bCs/>
          <w:lang w:val="en-US"/>
        </w:rPr>
        <w:t xml:space="preserve">by </w:t>
      </w:r>
      <w:r w:rsidR="007B1445" w:rsidRPr="00813D19">
        <w:rPr>
          <w:bCs/>
          <w:lang w:val="en-US"/>
        </w:rPr>
        <w:t xml:space="preserve">the Philippines </w:t>
      </w:r>
      <w:r w:rsidR="00800877" w:rsidRPr="00813D19">
        <w:rPr>
          <w:bCs/>
          <w:lang w:val="en-US"/>
        </w:rPr>
        <w:t xml:space="preserve">to allow Armenia </w:t>
      </w:r>
      <w:r w:rsidR="007B1445" w:rsidRPr="00813D19">
        <w:rPr>
          <w:bCs/>
          <w:lang w:val="en-US"/>
        </w:rPr>
        <w:t xml:space="preserve">the opportunity </w:t>
      </w:r>
      <w:r w:rsidR="00800877" w:rsidRPr="00813D19">
        <w:rPr>
          <w:bCs/>
          <w:lang w:val="en-US"/>
        </w:rPr>
        <w:t xml:space="preserve">to present its </w:t>
      </w:r>
      <w:r w:rsidR="007B1445" w:rsidRPr="00813D19">
        <w:rPr>
          <w:bCs/>
          <w:lang w:val="en-US"/>
        </w:rPr>
        <w:t xml:space="preserve">amendments </w:t>
      </w:r>
      <w:r w:rsidR="00800877" w:rsidRPr="00813D19">
        <w:rPr>
          <w:bCs/>
          <w:lang w:val="en-US"/>
        </w:rPr>
        <w:t xml:space="preserve">to </w:t>
      </w:r>
      <w:r w:rsidR="000A3090" w:rsidRPr="00813D19">
        <w:rPr>
          <w:bCs/>
          <w:lang w:val="en-US"/>
        </w:rPr>
        <w:t xml:space="preserve">draft decision </w:t>
      </w:r>
      <w:r w:rsidR="00800877" w:rsidRPr="00813D19">
        <w:rPr>
          <w:bCs/>
          <w:lang w:val="en-US"/>
        </w:rPr>
        <w:t>13.COM 7.b</w:t>
      </w:r>
      <w:r w:rsidR="008858DA">
        <w:rPr>
          <w:bCs/>
          <w:lang w:val="en-US"/>
        </w:rPr>
        <w:t>.</w:t>
      </w:r>
      <w:r w:rsidR="00800877" w:rsidRPr="00813D19">
        <w:rPr>
          <w:bCs/>
          <w:lang w:val="en-US"/>
        </w:rPr>
        <w:t xml:space="preserve">1. The </w:t>
      </w:r>
      <w:r w:rsidR="007B1445" w:rsidRPr="00813D19">
        <w:rPr>
          <w:bCs/>
          <w:lang w:val="en-US"/>
        </w:rPr>
        <w:t xml:space="preserve">amendments </w:t>
      </w:r>
      <w:r w:rsidR="00800877" w:rsidRPr="00813D19">
        <w:rPr>
          <w:bCs/>
          <w:lang w:val="en-US"/>
        </w:rPr>
        <w:t xml:space="preserve">had been </w:t>
      </w:r>
      <w:r w:rsidR="007B1445" w:rsidRPr="00813D19">
        <w:rPr>
          <w:bCs/>
          <w:lang w:val="en-US"/>
        </w:rPr>
        <w:t xml:space="preserve">communicated to the Secretariat and </w:t>
      </w:r>
      <w:r w:rsidR="00800877" w:rsidRPr="00813D19">
        <w:rPr>
          <w:bCs/>
          <w:lang w:val="en-US"/>
        </w:rPr>
        <w:t xml:space="preserve">were </w:t>
      </w:r>
      <w:r w:rsidR="007B1445" w:rsidRPr="00813D19">
        <w:rPr>
          <w:bCs/>
          <w:lang w:val="en-US"/>
        </w:rPr>
        <w:t xml:space="preserve">incorporated into the draft decision, as </w:t>
      </w:r>
      <w:r w:rsidR="00800877" w:rsidRPr="00813D19">
        <w:rPr>
          <w:bCs/>
          <w:lang w:val="en-US"/>
        </w:rPr>
        <w:t>was customary</w:t>
      </w:r>
      <w:r w:rsidR="007B1445" w:rsidRPr="00813D19">
        <w:rPr>
          <w:bCs/>
          <w:lang w:val="en-US"/>
        </w:rPr>
        <w:t xml:space="preserve">. </w:t>
      </w:r>
      <w:r w:rsidR="00800877" w:rsidRPr="00813D19">
        <w:rPr>
          <w:bCs/>
          <w:lang w:val="en-US"/>
        </w:rPr>
        <w:t xml:space="preserve">The Committee was thus invited </w:t>
      </w:r>
      <w:r w:rsidR="007B1445" w:rsidRPr="00813D19">
        <w:rPr>
          <w:bCs/>
          <w:lang w:val="en-US"/>
        </w:rPr>
        <w:t>to cons</w:t>
      </w:r>
      <w:r w:rsidR="00800877" w:rsidRPr="00813D19">
        <w:rPr>
          <w:bCs/>
          <w:lang w:val="en-US"/>
        </w:rPr>
        <w:t xml:space="preserve">ider the various amendments on a </w:t>
      </w:r>
      <w:r w:rsidR="007B1445" w:rsidRPr="00813D19">
        <w:rPr>
          <w:bCs/>
          <w:lang w:val="en-US"/>
        </w:rPr>
        <w:t>paragraph-by-paragraph</w:t>
      </w:r>
      <w:r w:rsidR="00800877" w:rsidRPr="00813D19">
        <w:rPr>
          <w:bCs/>
          <w:lang w:val="en-US"/>
        </w:rPr>
        <w:t xml:space="preserve"> basis</w:t>
      </w:r>
      <w:r w:rsidR="007B1445" w:rsidRPr="00813D19">
        <w:rPr>
          <w:bCs/>
          <w:lang w:val="en-US"/>
        </w:rPr>
        <w:t xml:space="preserve">. </w:t>
      </w:r>
      <w:r w:rsidR="00800877" w:rsidRPr="00813D19">
        <w:rPr>
          <w:bCs/>
          <w:lang w:val="en-US"/>
        </w:rPr>
        <w:t xml:space="preserve">Outlining the procedure, the Chairperson explained that from the interventions he would be </w:t>
      </w:r>
      <w:r w:rsidR="007B1445" w:rsidRPr="00813D19">
        <w:rPr>
          <w:bCs/>
          <w:lang w:val="en-US"/>
        </w:rPr>
        <w:t>able to establish whether</w:t>
      </w:r>
      <w:r w:rsidR="00E67BD1">
        <w:rPr>
          <w:bCs/>
          <w:lang w:val="en-US"/>
        </w:rPr>
        <w:t xml:space="preserve"> or not</w:t>
      </w:r>
      <w:r w:rsidR="007B1445" w:rsidRPr="00813D19">
        <w:rPr>
          <w:bCs/>
          <w:lang w:val="en-US"/>
        </w:rPr>
        <w:t xml:space="preserve"> there </w:t>
      </w:r>
      <w:r w:rsidR="00E67BD1">
        <w:rPr>
          <w:bCs/>
          <w:lang w:val="en-US"/>
        </w:rPr>
        <w:t>was</w:t>
      </w:r>
      <w:r w:rsidR="007B1445" w:rsidRPr="00813D19">
        <w:rPr>
          <w:bCs/>
          <w:lang w:val="en-US"/>
        </w:rPr>
        <w:t xml:space="preserve"> support </w:t>
      </w:r>
      <w:r w:rsidR="00800877" w:rsidRPr="00813D19">
        <w:rPr>
          <w:bCs/>
          <w:lang w:val="en-US"/>
        </w:rPr>
        <w:t xml:space="preserve">for </w:t>
      </w:r>
      <w:r w:rsidR="007B1445" w:rsidRPr="00813D19">
        <w:rPr>
          <w:bCs/>
          <w:lang w:val="en-US"/>
        </w:rPr>
        <w:t>the proposed amendments</w:t>
      </w:r>
      <w:r w:rsidR="00800877" w:rsidRPr="00813D19">
        <w:rPr>
          <w:bCs/>
          <w:lang w:val="en-US"/>
        </w:rPr>
        <w:t>. I</w:t>
      </w:r>
      <w:r w:rsidR="007B1445" w:rsidRPr="00813D19">
        <w:rPr>
          <w:bCs/>
          <w:lang w:val="en-US"/>
        </w:rPr>
        <w:t xml:space="preserve">n case </w:t>
      </w:r>
      <w:r w:rsidR="00800877" w:rsidRPr="00813D19">
        <w:rPr>
          <w:bCs/>
          <w:lang w:val="en-US"/>
        </w:rPr>
        <w:t xml:space="preserve">there </w:t>
      </w:r>
      <w:r w:rsidR="00E67BD1">
        <w:rPr>
          <w:bCs/>
          <w:lang w:val="en-US"/>
        </w:rPr>
        <w:t>was</w:t>
      </w:r>
      <w:r w:rsidR="00800877" w:rsidRPr="00813D19">
        <w:rPr>
          <w:bCs/>
          <w:lang w:val="en-US"/>
        </w:rPr>
        <w:t xml:space="preserve"> </w:t>
      </w:r>
      <w:r w:rsidR="007B1445" w:rsidRPr="00813D19">
        <w:rPr>
          <w:bCs/>
          <w:lang w:val="en-US"/>
        </w:rPr>
        <w:t>no support</w:t>
      </w:r>
      <w:r w:rsidR="00800877" w:rsidRPr="00813D19">
        <w:rPr>
          <w:bCs/>
          <w:lang w:val="en-US"/>
        </w:rPr>
        <w:t xml:space="preserve">, the Chairperson </w:t>
      </w:r>
      <w:r w:rsidR="007B1445" w:rsidRPr="00813D19">
        <w:rPr>
          <w:bCs/>
          <w:lang w:val="en-US"/>
        </w:rPr>
        <w:t>w</w:t>
      </w:r>
      <w:r w:rsidR="00E67BD1">
        <w:rPr>
          <w:bCs/>
          <w:lang w:val="en-US"/>
        </w:rPr>
        <w:t>ould</w:t>
      </w:r>
      <w:r w:rsidR="007B1445" w:rsidRPr="00813D19">
        <w:rPr>
          <w:bCs/>
          <w:lang w:val="en-US"/>
        </w:rPr>
        <w:t xml:space="preserve"> assume that </w:t>
      </w:r>
      <w:r w:rsidR="00800877" w:rsidRPr="00813D19">
        <w:rPr>
          <w:bCs/>
          <w:lang w:val="en-US"/>
        </w:rPr>
        <w:t xml:space="preserve">the </w:t>
      </w:r>
      <w:r w:rsidR="007B1445" w:rsidRPr="00813D19">
        <w:rPr>
          <w:bCs/>
          <w:lang w:val="en-US"/>
        </w:rPr>
        <w:t xml:space="preserve">position </w:t>
      </w:r>
      <w:r w:rsidR="00E67BD1">
        <w:rPr>
          <w:bCs/>
          <w:lang w:val="en-US"/>
        </w:rPr>
        <w:t>was</w:t>
      </w:r>
      <w:r w:rsidR="007B1445" w:rsidRPr="00813D19">
        <w:rPr>
          <w:bCs/>
          <w:lang w:val="en-US"/>
        </w:rPr>
        <w:t xml:space="preserve"> t</w:t>
      </w:r>
      <w:r w:rsidR="00087166">
        <w:rPr>
          <w:bCs/>
          <w:lang w:val="en-US"/>
        </w:rPr>
        <w:t>o adopt the original paragraph.</w:t>
      </w:r>
    </w:p>
    <w:p w14:paraId="45352D09" w14:textId="5E02175A" w:rsidR="00B97134" w:rsidRPr="00813D19" w:rsidRDefault="00B97134"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Lebanon</w:t>
      </w:r>
      <w:r w:rsidR="000A3090" w:rsidRPr="00813D19">
        <w:rPr>
          <w:b/>
          <w:color w:val="000000" w:themeColor="text1"/>
          <w:lang w:val="en-US"/>
        </w:rPr>
        <w:t xml:space="preserve"> </w:t>
      </w:r>
      <w:r w:rsidR="00BB23AD" w:rsidRPr="00813D19">
        <w:rPr>
          <w:color w:val="000000" w:themeColor="text1"/>
          <w:lang w:val="en-US"/>
        </w:rPr>
        <w:t>apologized for inter</w:t>
      </w:r>
      <w:r w:rsidR="00800877" w:rsidRPr="00813D19">
        <w:rPr>
          <w:color w:val="000000" w:themeColor="text1"/>
          <w:lang w:val="en-US"/>
        </w:rPr>
        <w:t>ru</w:t>
      </w:r>
      <w:r w:rsidR="00BB23AD" w:rsidRPr="00813D19">
        <w:rPr>
          <w:color w:val="000000" w:themeColor="text1"/>
          <w:lang w:val="en-US"/>
        </w:rPr>
        <w:t>p</w:t>
      </w:r>
      <w:r w:rsidR="00800877" w:rsidRPr="00813D19">
        <w:rPr>
          <w:color w:val="000000" w:themeColor="text1"/>
          <w:lang w:val="en-US"/>
        </w:rPr>
        <w:t>ting the</w:t>
      </w:r>
      <w:r w:rsidR="00800877" w:rsidRPr="00813D19">
        <w:rPr>
          <w:b/>
          <w:color w:val="000000" w:themeColor="text1"/>
          <w:lang w:val="en-US"/>
        </w:rPr>
        <w:t xml:space="preserve"> </w:t>
      </w:r>
      <w:r w:rsidR="00800877" w:rsidRPr="00813D19">
        <w:rPr>
          <w:color w:val="000000" w:themeColor="text1"/>
          <w:lang w:val="en-US"/>
        </w:rPr>
        <w:t>proceedings, but wished to make clear that</w:t>
      </w:r>
      <w:r w:rsidR="00800877" w:rsidRPr="00813D19">
        <w:rPr>
          <w:bCs/>
          <w:lang w:val="en-US"/>
        </w:rPr>
        <w:t xml:space="preserve"> despite taking </w:t>
      </w:r>
      <w:r w:rsidR="000A3090" w:rsidRPr="00813D19">
        <w:rPr>
          <w:bCs/>
          <w:lang w:val="en-US"/>
        </w:rPr>
        <w:t>into considerat</w:t>
      </w:r>
      <w:r w:rsidR="00800877" w:rsidRPr="00813D19">
        <w:rPr>
          <w:bCs/>
          <w:lang w:val="en-US"/>
        </w:rPr>
        <w:t>ion the concerns of Armenia</w:t>
      </w:r>
      <w:r w:rsidR="000A3090" w:rsidRPr="00813D19">
        <w:rPr>
          <w:bCs/>
          <w:lang w:val="en-US"/>
        </w:rPr>
        <w:t xml:space="preserve">, this </w:t>
      </w:r>
      <w:r w:rsidR="00800877" w:rsidRPr="00813D19">
        <w:rPr>
          <w:bCs/>
          <w:lang w:val="en-US"/>
        </w:rPr>
        <w:t xml:space="preserve">was </w:t>
      </w:r>
      <w:r w:rsidR="000A3090" w:rsidRPr="00813D19">
        <w:rPr>
          <w:bCs/>
          <w:lang w:val="en-US"/>
        </w:rPr>
        <w:t xml:space="preserve">a cultural issue </w:t>
      </w:r>
      <w:r w:rsidR="00800877" w:rsidRPr="00813D19">
        <w:rPr>
          <w:bCs/>
          <w:lang w:val="en-US"/>
        </w:rPr>
        <w:t xml:space="preserve">that should have been </w:t>
      </w:r>
      <w:r w:rsidR="000A3090" w:rsidRPr="00813D19">
        <w:rPr>
          <w:bCs/>
          <w:lang w:val="en-US"/>
        </w:rPr>
        <w:t>settled by negotiation to reach a con</w:t>
      </w:r>
      <w:r w:rsidR="00800877" w:rsidRPr="00813D19">
        <w:rPr>
          <w:bCs/>
          <w:lang w:val="en-US"/>
        </w:rPr>
        <w:t>s</w:t>
      </w:r>
      <w:r w:rsidR="00BB23AD" w:rsidRPr="00813D19">
        <w:rPr>
          <w:bCs/>
          <w:lang w:val="en-US"/>
        </w:rPr>
        <w:t>ensus among the parties concerned</w:t>
      </w:r>
      <w:r w:rsidR="00800877" w:rsidRPr="00813D19">
        <w:rPr>
          <w:bCs/>
          <w:lang w:val="en-US"/>
        </w:rPr>
        <w:t xml:space="preserve"> and in the </w:t>
      </w:r>
      <w:r w:rsidR="000A3090" w:rsidRPr="00813D19">
        <w:rPr>
          <w:bCs/>
          <w:lang w:val="en-US"/>
        </w:rPr>
        <w:t xml:space="preserve">interests of the Committee. </w:t>
      </w:r>
      <w:r w:rsidR="00800877" w:rsidRPr="00813D19">
        <w:rPr>
          <w:bCs/>
          <w:lang w:val="en-US"/>
        </w:rPr>
        <w:t xml:space="preserve">It believed that the </w:t>
      </w:r>
      <w:r w:rsidR="000A3090" w:rsidRPr="00813D19">
        <w:rPr>
          <w:bCs/>
          <w:lang w:val="en-US"/>
        </w:rPr>
        <w:t xml:space="preserve">vote, direct or indirect, </w:t>
      </w:r>
      <w:r w:rsidR="00800877" w:rsidRPr="00813D19">
        <w:rPr>
          <w:bCs/>
          <w:lang w:val="en-US"/>
        </w:rPr>
        <w:t xml:space="preserve">was </w:t>
      </w:r>
      <w:r w:rsidR="000A3090" w:rsidRPr="00813D19">
        <w:rPr>
          <w:bCs/>
          <w:lang w:val="en-US"/>
        </w:rPr>
        <w:t>not an</w:t>
      </w:r>
      <w:r w:rsidR="00800877" w:rsidRPr="00813D19">
        <w:rPr>
          <w:bCs/>
          <w:lang w:val="en-US"/>
        </w:rPr>
        <w:t xml:space="preserve"> appropriate manner to proceed. For this principle</w:t>
      </w:r>
      <w:r w:rsidR="00BB23AD" w:rsidRPr="00813D19">
        <w:rPr>
          <w:bCs/>
          <w:lang w:val="en-US"/>
        </w:rPr>
        <w:t>d</w:t>
      </w:r>
      <w:r w:rsidR="00800877" w:rsidRPr="00813D19">
        <w:rPr>
          <w:bCs/>
          <w:lang w:val="en-US"/>
        </w:rPr>
        <w:t xml:space="preserve"> position, </w:t>
      </w:r>
      <w:r w:rsidR="000A3090" w:rsidRPr="00813D19">
        <w:rPr>
          <w:bCs/>
          <w:lang w:val="en-US"/>
        </w:rPr>
        <w:t xml:space="preserve">Lebanon </w:t>
      </w:r>
      <w:r w:rsidR="00800877" w:rsidRPr="00813D19">
        <w:rPr>
          <w:bCs/>
          <w:lang w:val="en-US"/>
        </w:rPr>
        <w:t xml:space="preserve">would not </w:t>
      </w:r>
      <w:r w:rsidR="000A3090" w:rsidRPr="00813D19">
        <w:rPr>
          <w:bCs/>
          <w:lang w:val="en-US"/>
        </w:rPr>
        <w:t xml:space="preserve">participate in </w:t>
      </w:r>
      <w:r w:rsidR="00800877" w:rsidRPr="00813D19">
        <w:rPr>
          <w:bCs/>
          <w:lang w:val="en-US"/>
        </w:rPr>
        <w:t xml:space="preserve">the </w:t>
      </w:r>
      <w:r w:rsidR="00087166">
        <w:rPr>
          <w:bCs/>
          <w:lang w:val="en-US"/>
        </w:rPr>
        <w:t>exercise.</w:t>
      </w:r>
    </w:p>
    <w:p w14:paraId="3DF3841A" w14:textId="317A133A"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BB23AD" w:rsidRPr="00813D19">
        <w:rPr>
          <w:color w:val="000000" w:themeColor="text1"/>
          <w:lang w:val="en-US"/>
        </w:rPr>
        <w:t>took note and</w:t>
      </w:r>
      <w:r w:rsidR="00BB23AD" w:rsidRPr="00813D19">
        <w:rPr>
          <w:b/>
          <w:color w:val="000000" w:themeColor="text1"/>
          <w:lang w:val="en-US"/>
        </w:rPr>
        <w:t xml:space="preserve"> </w:t>
      </w:r>
      <w:r w:rsidRPr="00813D19">
        <w:rPr>
          <w:color w:val="000000" w:themeColor="text1"/>
          <w:lang w:val="en-US"/>
        </w:rPr>
        <w:t xml:space="preserve">returned to </w:t>
      </w:r>
      <w:r w:rsidR="00BB23AD" w:rsidRPr="00813D19">
        <w:rPr>
          <w:color w:val="000000" w:themeColor="text1"/>
          <w:lang w:val="en-US"/>
        </w:rPr>
        <w:t xml:space="preserve">the </w:t>
      </w:r>
      <w:r w:rsidR="00800877" w:rsidRPr="00813D19">
        <w:rPr>
          <w:color w:val="000000" w:themeColor="text1"/>
          <w:lang w:val="en-US"/>
        </w:rPr>
        <w:t>draft decision</w:t>
      </w:r>
      <w:r w:rsidRPr="00813D19">
        <w:rPr>
          <w:color w:val="000000" w:themeColor="text1"/>
          <w:lang w:val="en-US"/>
        </w:rPr>
        <w:t xml:space="preserve">, </w:t>
      </w:r>
      <w:r w:rsidR="00800877" w:rsidRPr="00813D19">
        <w:rPr>
          <w:color w:val="000000" w:themeColor="text1"/>
          <w:lang w:val="en-US"/>
        </w:rPr>
        <w:t>noting no support for the amendment by Armenia in paragraph 3</w:t>
      </w:r>
      <w:r w:rsidR="00AA4F5E" w:rsidRPr="00813D19">
        <w:rPr>
          <w:color w:val="000000" w:themeColor="text1"/>
          <w:lang w:val="en-US"/>
        </w:rPr>
        <w:t>, and t</w:t>
      </w:r>
      <w:r w:rsidR="00ED7FDF" w:rsidRPr="00813D19">
        <w:rPr>
          <w:color w:val="000000" w:themeColor="text1"/>
          <w:lang w:val="en-US"/>
        </w:rPr>
        <w:t xml:space="preserve">he original paragraph 3 </w:t>
      </w:r>
      <w:r w:rsidR="00800877" w:rsidRPr="00813D19">
        <w:rPr>
          <w:color w:val="000000" w:themeColor="text1"/>
          <w:lang w:val="en-US"/>
        </w:rPr>
        <w:t xml:space="preserve">was </w:t>
      </w:r>
      <w:r w:rsidRPr="00813D19">
        <w:rPr>
          <w:color w:val="000000" w:themeColor="text1"/>
          <w:lang w:val="en-US"/>
        </w:rPr>
        <w:t>duly adopted.</w:t>
      </w:r>
    </w:p>
    <w:p w14:paraId="0650C2B8" w14:textId="4DBBD2C3"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Pr="00813D19">
        <w:rPr>
          <w:color w:val="000000" w:themeColor="text1"/>
          <w:lang w:val="en-US"/>
        </w:rPr>
        <w:t xml:space="preserve"> </w:t>
      </w:r>
      <w:r w:rsidR="000D36C9" w:rsidRPr="00813D19">
        <w:rPr>
          <w:lang w:val="en-US"/>
        </w:rPr>
        <w:t>disagreed</w:t>
      </w:r>
      <w:r w:rsidR="000A3090" w:rsidRPr="00813D19">
        <w:rPr>
          <w:lang w:val="en-US"/>
        </w:rPr>
        <w:t xml:space="preserve"> with </w:t>
      </w:r>
      <w:r w:rsidR="000D36C9" w:rsidRPr="00813D19">
        <w:rPr>
          <w:lang w:val="en-US"/>
        </w:rPr>
        <w:t xml:space="preserve">the adoption of </w:t>
      </w:r>
      <w:r w:rsidR="000A3090" w:rsidRPr="00813D19">
        <w:rPr>
          <w:lang w:val="en-US"/>
        </w:rPr>
        <w:t xml:space="preserve">paragraph </w:t>
      </w:r>
      <w:r w:rsidR="000D36C9" w:rsidRPr="00813D19">
        <w:rPr>
          <w:lang w:val="en-US"/>
        </w:rPr>
        <w:t xml:space="preserve">3 and wished </w:t>
      </w:r>
      <w:r w:rsidR="0039672C">
        <w:rPr>
          <w:lang w:val="en-US"/>
        </w:rPr>
        <w:t xml:space="preserve">it </w:t>
      </w:r>
      <w:r w:rsidR="000D36C9" w:rsidRPr="00813D19">
        <w:rPr>
          <w:lang w:val="en-US"/>
        </w:rPr>
        <w:t xml:space="preserve">to go </w:t>
      </w:r>
      <w:r w:rsidR="00A24C62" w:rsidRPr="00813D19">
        <w:rPr>
          <w:lang w:val="en-US"/>
        </w:rPr>
        <w:t>on</w:t>
      </w:r>
      <w:r w:rsidR="000D36C9" w:rsidRPr="00813D19">
        <w:rPr>
          <w:lang w:val="en-US"/>
        </w:rPr>
        <w:t xml:space="preserve"> record that it rejected the paragraph </w:t>
      </w:r>
      <w:r w:rsidR="000A3090" w:rsidRPr="00813D19">
        <w:rPr>
          <w:lang w:val="en-US"/>
        </w:rPr>
        <w:t xml:space="preserve">as it </w:t>
      </w:r>
      <w:r w:rsidR="00087166">
        <w:rPr>
          <w:lang w:val="en-US"/>
        </w:rPr>
        <w:t>stood.</w:t>
      </w:r>
    </w:p>
    <w:p w14:paraId="5C6A762F" w14:textId="2C4119C0"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0D36C9" w:rsidRPr="00813D19">
        <w:rPr>
          <w:color w:val="000000" w:themeColor="text1"/>
          <w:lang w:val="en-US"/>
        </w:rPr>
        <w:t xml:space="preserve">took note of Armenia’s position, and </w:t>
      </w:r>
      <w:r w:rsidRPr="00813D19">
        <w:rPr>
          <w:color w:val="000000" w:themeColor="text1"/>
          <w:lang w:val="en-US"/>
        </w:rPr>
        <w:t xml:space="preserve">turned to the </w:t>
      </w:r>
      <w:r w:rsidR="000D36C9" w:rsidRPr="00813D19">
        <w:rPr>
          <w:color w:val="000000" w:themeColor="text1"/>
          <w:lang w:val="en-US"/>
        </w:rPr>
        <w:t xml:space="preserve">next </w:t>
      </w:r>
      <w:r w:rsidR="00BB6BB4" w:rsidRPr="00813D19">
        <w:rPr>
          <w:color w:val="000000" w:themeColor="text1"/>
          <w:lang w:val="en-US"/>
        </w:rPr>
        <w:t>paragraph</w:t>
      </w:r>
      <w:r w:rsidR="0039672C">
        <w:rPr>
          <w:color w:val="000000" w:themeColor="text1"/>
          <w:lang w:val="en-US"/>
        </w:rPr>
        <w:t>, paragraph</w:t>
      </w:r>
      <w:r w:rsidR="00BB6BB4" w:rsidRPr="00813D19">
        <w:rPr>
          <w:color w:val="000000" w:themeColor="text1"/>
          <w:lang w:val="en-US"/>
        </w:rPr>
        <w:t xml:space="preserve"> 4</w:t>
      </w:r>
      <w:r w:rsidR="0039672C">
        <w:rPr>
          <w:color w:val="000000" w:themeColor="text1"/>
          <w:lang w:val="en-US"/>
        </w:rPr>
        <w:t>,</w:t>
      </w:r>
      <w:r w:rsidR="00BB6BB4" w:rsidRPr="00813D19">
        <w:rPr>
          <w:color w:val="000000" w:themeColor="text1"/>
          <w:lang w:val="en-US"/>
        </w:rPr>
        <w:t xml:space="preserve"> with</w:t>
      </w:r>
      <w:r w:rsidRPr="00813D19">
        <w:rPr>
          <w:color w:val="000000" w:themeColor="text1"/>
          <w:lang w:val="en-US"/>
        </w:rPr>
        <w:t xml:space="preserve"> </w:t>
      </w:r>
      <w:r w:rsidR="00BB6BB4" w:rsidRPr="00813D19">
        <w:rPr>
          <w:color w:val="000000" w:themeColor="text1"/>
          <w:lang w:val="en-US"/>
        </w:rPr>
        <w:t>the</w:t>
      </w:r>
      <w:r w:rsidR="00AA4F5E" w:rsidRPr="00813D19">
        <w:rPr>
          <w:color w:val="000000" w:themeColor="text1"/>
          <w:lang w:val="en-US"/>
        </w:rPr>
        <w:t xml:space="preserve"> amendment proposed by Armenia [acknowledging that the report was the responsibility of the State Party and did not reflect the position of the Committee and UNESCO]. </w:t>
      </w:r>
      <w:r w:rsidR="00BB6BB4" w:rsidRPr="00813D19">
        <w:rPr>
          <w:color w:val="000000" w:themeColor="text1"/>
          <w:lang w:val="en-US"/>
        </w:rPr>
        <w:t>W</w:t>
      </w:r>
      <w:r w:rsidRPr="00813D19">
        <w:rPr>
          <w:color w:val="000000" w:themeColor="text1"/>
          <w:lang w:val="en-US"/>
        </w:rPr>
        <w:t xml:space="preserve">ith no </w:t>
      </w:r>
      <w:r w:rsidR="00BB6BB4" w:rsidRPr="00813D19">
        <w:rPr>
          <w:color w:val="000000" w:themeColor="text1"/>
          <w:lang w:val="en-US"/>
        </w:rPr>
        <w:t>voiced support for the amendment, the original paragraph 4 was duly adopted</w:t>
      </w:r>
      <w:r w:rsidRPr="00813D19">
        <w:rPr>
          <w:color w:val="000000" w:themeColor="text1"/>
          <w:lang w:val="en-US"/>
        </w:rPr>
        <w:t>.</w:t>
      </w:r>
    </w:p>
    <w:p w14:paraId="48A02092" w14:textId="06472813"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0A3090" w:rsidRPr="00813D19">
        <w:rPr>
          <w:b/>
          <w:color w:val="000000" w:themeColor="text1"/>
          <w:lang w:val="en-US"/>
        </w:rPr>
        <w:t xml:space="preserve"> </w:t>
      </w:r>
      <w:r w:rsidR="00BB6BB4" w:rsidRPr="00813D19">
        <w:rPr>
          <w:color w:val="000000" w:themeColor="text1"/>
          <w:lang w:val="en-US"/>
        </w:rPr>
        <w:t>expressed the same</w:t>
      </w:r>
      <w:r w:rsidR="00BB6BB4" w:rsidRPr="00813D19">
        <w:rPr>
          <w:b/>
          <w:color w:val="000000" w:themeColor="text1"/>
          <w:lang w:val="en-US"/>
        </w:rPr>
        <w:t xml:space="preserve"> </w:t>
      </w:r>
      <w:r w:rsidR="000A3090" w:rsidRPr="00813D19">
        <w:rPr>
          <w:lang w:val="en-US"/>
        </w:rPr>
        <w:t xml:space="preserve">position, </w:t>
      </w:r>
      <w:r w:rsidR="00BB6BB4" w:rsidRPr="00813D19">
        <w:rPr>
          <w:lang w:val="en-US"/>
        </w:rPr>
        <w:t>and did not agree to paragrap</w:t>
      </w:r>
      <w:r w:rsidR="00087166">
        <w:rPr>
          <w:lang w:val="en-US"/>
        </w:rPr>
        <w:t>h 4.</w:t>
      </w:r>
    </w:p>
    <w:p w14:paraId="11B6336E" w14:textId="3064B284"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then turned to </w:t>
      </w:r>
      <w:r w:rsidR="00BB6BB4" w:rsidRPr="00813D19">
        <w:rPr>
          <w:color w:val="000000" w:themeColor="text1"/>
          <w:lang w:val="en-US"/>
        </w:rPr>
        <w:t>paragraph 5 with the amendment proposed by Armenia</w:t>
      </w:r>
      <w:r w:rsidR="00AA4F5E" w:rsidRPr="00813D19">
        <w:rPr>
          <w:color w:val="000000" w:themeColor="text1"/>
          <w:lang w:val="en-US"/>
        </w:rPr>
        <w:t xml:space="preserve"> [referring the report back to the submitting State Party for corrections].</w:t>
      </w:r>
      <w:r w:rsidR="00BB6BB4" w:rsidRPr="00813D19">
        <w:rPr>
          <w:color w:val="000000" w:themeColor="text1"/>
          <w:lang w:val="en-US"/>
        </w:rPr>
        <w:t xml:space="preserve"> With no support </w:t>
      </w:r>
      <w:r w:rsidR="0039672C" w:rsidRPr="00813D19">
        <w:rPr>
          <w:color w:val="000000" w:themeColor="text1"/>
          <w:lang w:val="en-US"/>
        </w:rPr>
        <w:t xml:space="preserve">voiced </w:t>
      </w:r>
      <w:r w:rsidR="00BB6BB4" w:rsidRPr="00813D19">
        <w:rPr>
          <w:color w:val="000000" w:themeColor="text1"/>
          <w:lang w:val="en-US"/>
        </w:rPr>
        <w:t>for the amendment, the original paragraph 5 was duly adopted.</w:t>
      </w:r>
    </w:p>
    <w:p w14:paraId="6E82AB2B" w14:textId="4102CD99" w:rsidR="009D4CF1" w:rsidRPr="00813D19" w:rsidRDefault="009D4CF1" w:rsidP="009D4CF1">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62042E" w:rsidRPr="00813D19">
        <w:rPr>
          <w:b/>
          <w:color w:val="000000" w:themeColor="text1"/>
          <w:lang w:val="en-US"/>
        </w:rPr>
        <w:t xml:space="preserve"> </w:t>
      </w:r>
      <w:r w:rsidR="00BB6BB4" w:rsidRPr="00813D19">
        <w:rPr>
          <w:bCs/>
          <w:lang w:val="en-US"/>
        </w:rPr>
        <w:t>rejected</w:t>
      </w:r>
      <w:r w:rsidR="0062042E" w:rsidRPr="00813D19">
        <w:rPr>
          <w:bCs/>
          <w:lang w:val="en-US"/>
        </w:rPr>
        <w:t xml:space="preserve"> paragraph </w:t>
      </w:r>
      <w:r w:rsidR="00087166">
        <w:rPr>
          <w:bCs/>
          <w:lang w:val="en-US"/>
        </w:rPr>
        <w:t>5 as it stood.</w:t>
      </w:r>
    </w:p>
    <w:p w14:paraId="2D5B5E2A" w14:textId="51B6297C" w:rsidR="009D4CF1" w:rsidRPr="00813D19" w:rsidRDefault="009D4CF1" w:rsidP="00AA4F5E">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then turned to </w:t>
      </w:r>
      <w:r w:rsidR="00BB6BB4" w:rsidRPr="00813D19">
        <w:rPr>
          <w:color w:val="000000" w:themeColor="text1"/>
          <w:lang w:val="en-US"/>
        </w:rPr>
        <w:t>the new paragraph 6 added by Armenia</w:t>
      </w:r>
      <w:r w:rsidR="00AA4F5E" w:rsidRPr="00813D19">
        <w:rPr>
          <w:color w:val="000000" w:themeColor="text1"/>
          <w:lang w:val="en-US"/>
        </w:rPr>
        <w:t xml:space="preserve"> </w:t>
      </w:r>
      <w:r w:rsidR="00AA4F5E" w:rsidRPr="00813D19">
        <w:rPr>
          <w:bCs/>
          <w:lang w:val="en-US"/>
        </w:rPr>
        <w:t>[calling on the State Party to refrain from</w:t>
      </w:r>
      <w:r w:rsidR="00087166">
        <w:rPr>
          <w:bCs/>
          <w:lang w:val="en-US"/>
        </w:rPr>
        <w:t xml:space="preserve"> using politicized statements].</w:t>
      </w:r>
    </w:p>
    <w:p w14:paraId="02BC83E9" w14:textId="2934C551"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Cyprus</w:t>
      </w:r>
      <w:r w:rsidRPr="00813D19">
        <w:rPr>
          <w:color w:val="000000" w:themeColor="text1"/>
          <w:lang w:val="en-US"/>
        </w:rPr>
        <w:t xml:space="preserve"> </w:t>
      </w:r>
      <w:r w:rsidR="00BB6BB4" w:rsidRPr="00813D19">
        <w:rPr>
          <w:color w:val="000000" w:themeColor="text1"/>
          <w:lang w:val="en-US"/>
        </w:rPr>
        <w:t>regretted the situation, as any political language in the Convention should be avoided. Neverthe</w:t>
      </w:r>
      <w:r w:rsidR="00087166">
        <w:rPr>
          <w:color w:val="000000" w:themeColor="text1"/>
          <w:lang w:val="en-US"/>
        </w:rPr>
        <w:t>less, it supported paragraph 6.</w:t>
      </w:r>
    </w:p>
    <w:p w14:paraId="51ECD769" w14:textId="3C6A7D59"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AA4F5E" w:rsidRPr="00813D19">
        <w:rPr>
          <w:color w:val="000000" w:themeColor="text1"/>
          <w:lang w:val="en-US"/>
        </w:rPr>
        <w:t>remarked</w:t>
      </w:r>
      <w:r w:rsidR="00BB6BB4" w:rsidRPr="00813D19">
        <w:rPr>
          <w:color w:val="000000" w:themeColor="text1"/>
          <w:lang w:val="en-US"/>
        </w:rPr>
        <w:t xml:space="preserve"> that the </w:t>
      </w:r>
      <w:r w:rsidR="0093498E" w:rsidRPr="00813D19">
        <w:rPr>
          <w:color w:val="000000" w:themeColor="text1"/>
          <w:lang w:val="en-US"/>
        </w:rPr>
        <w:t xml:space="preserve">original </w:t>
      </w:r>
      <w:r w:rsidR="0062042E" w:rsidRPr="00813D19">
        <w:rPr>
          <w:bCs/>
          <w:lang w:val="en-US"/>
        </w:rPr>
        <w:t xml:space="preserve">paragraph </w:t>
      </w:r>
      <w:r w:rsidR="0093498E" w:rsidRPr="00813D19">
        <w:rPr>
          <w:bCs/>
          <w:lang w:val="en-US"/>
        </w:rPr>
        <w:t>would be adopted.</w:t>
      </w:r>
    </w:p>
    <w:p w14:paraId="00DDF86F" w14:textId="2DD5B43B"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Pr="00813D19">
        <w:rPr>
          <w:color w:val="000000" w:themeColor="text1"/>
          <w:lang w:val="en-US"/>
        </w:rPr>
        <w:t xml:space="preserve"> </w:t>
      </w:r>
      <w:r w:rsidR="0093498E" w:rsidRPr="00813D19">
        <w:rPr>
          <w:bCs/>
          <w:lang w:val="en-US"/>
        </w:rPr>
        <w:t xml:space="preserve">clarified that </w:t>
      </w:r>
      <w:r w:rsidR="0062042E" w:rsidRPr="00813D19">
        <w:rPr>
          <w:bCs/>
          <w:lang w:val="en-US"/>
        </w:rPr>
        <w:t xml:space="preserve">paragraph 6 </w:t>
      </w:r>
      <w:r w:rsidR="0093498E" w:rsidRPr="00813D19">
        <w:rPr>
          <w:bCs/>
          <w:lang w:val="en-US"/>
        </w:rPr>
        <w:t xml:space="preserve">was </w:t>
      </w:r>
      <w:r w:rsidR="0062042E" w:rsidRPr="00813D19">
        <w:rPr>
          <w:bCs/>
          <w:lang w:val="en-US"/>
        </w:rPr>
        <w:t>a new paragraph</w:t>
      </w:r>
      <w:r w:rsidR="00AA4F5E" w:rsidRPr="00813D19">
        <w:rPr>
          <w:bCs/>
          <w:lang w:val="en-US"/>
        </w:rPr>
        <w:t xml:space="preserve"> </w:t>
      </w:r>
      <w:r w:rsidR="0093498E" w:rsidRPr="00813D19">
        <w:rPr>
          <w:bCs/>
          <w:lang w:val="en-US"/>
        </w:rPr>
        <w:t xml:space="preserve">and thus there was no </w:t>
      </w:r>
      <w:r w:rsidR="0062042E" w:rsidRPr="00813D19">
        <w:rPr>
          <w:bCs/>
          <w:lang w:val="en-US"/>
        </w:rPr>
        <w:t xml:space="preserve">original language. It </w:t>
      </w:r>
      <w:r w:rsidR="00AA4F5E" w:rsidRPr="00813D19">
        <w:rPr>
          <w:bCs/>
          <w:lang w:val="en-US"/>
        </w:rPr>
        <w:t xml:space="preserve">maintained its </w:t>
      </w:r>
      <w:r w:rsidR="0062042E" w:rsidRPr="00813D19">
        <w:rPr>
          <w:bCs/>
          <w:lang w:val="en-US"/>
        </w:rPr>
        <w:t>support</w:t>
      </w:r>
      <w:r w:rsidR="00AA4F5E" w:rsidRPr="00813D19">
        <w:rPr>
          <w:bCs/>
          <w:lang w:val="en-US"/>
        </w:rPr>
        <w:t xml:space="preserve"> for</w:t>
      </w:r>
      <w:r w:rsidR="0062042E" w:rsidRPr="00813D19">
        <w:rPr>
          <w:bCs/>
          <w:lang w:val="en-US"/>
        </w:rPr>
        <w:t xml:space="preserve"> this </w:t>
      </w:r>
      <w:r w:rsidR="0093498E" w:rsidRPr="00813D19">
        <w:rPr>
          <w:bCs/>
          <w:lang w:val="en-US"/>
        </w:rPr>
        <w:t xml:space="preserve">new </w:t>
      </w:r>
      <w:r w:rsidR="0062042E" w:rsidRPr="00813D19">
        <w:rPr>
          <w:bCs/>
          <w:lang w:val="en-US"/>
        </w:rPr>
        <w:t xml:space="preserve">paragraph </w:t>
      </w:r>
      <w:r w:rsidR="0093498E" w:rsidRPr="00813D19">
        <w:rPr>
          <w:bCs/>
          <w:lang w:val="en-US"/>
        </w:rPr>
        <w:t>6</w:t>
      </w:r>
      <w:r w:rsidR="00087166">
        <w:rPr>
          <w:bCs/>
          <w:lang w:val="en-US"/>
        </w:rPr>
        <w:t>.</w:t>
      </w:r>
    </w:p>
    <w:p w14:paraId="2A403D81" w14:textId="644BB769"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93498E" w:rsidRPr="00813D19">
        <w:rPr>
          <w:color w:val="000000" w:themeColor="text1"/>
          <w:lang w:val="en-US"/>
        </w:rPr>
        <w:t xml:space="preserve">concurred that </w:t>
      </w:r>
      <w:r w:rsidR="0062042E" w:rsidRPr="00813D19">
        <w:rPr>
          <w:bCs/>
          <w:lang w:val="en-US"/>
        </w:rPr>
        <w:t xml:space="preserve">paragraph 6 </w:t>
      </w:r>
      <w:r w:rsidR="0093498E" w:rsidRPr="00813D19">
        <w:rPr>
          <w:bCs/>
          <w:lang w:val="en-US"/>
        </w:rPr>
        <w:t>had</w:t>
      </w:r>
      <w:r w:rsidR="00087166">
        <w:rPr>
          <w:bCs/>
          <w:lang w:val="en-US"/>
        </w:rPr>
        <w:t xml:space="preserve"> been added by Armenia.</w:t>
      </w:r>
    </w:p>
    <w:p w14:paraId="5A180D14" w14:textId="418485CC"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Cyprus</w:t>
      </w:r>
      <w:r w:rsidRPr="00813D19">
        <w:rPr>
          <w:color w:val="000000" w:themeColor="text1"/>
          <w:lang w:val="en-US"/>
        </w:rPr>
        <w:t xml:space="preserve"> reiterated its </w:t>
      </w:r>
      <w:r w:rsidR="0093498E" w:rsidRPr="00813D19">
        <w:rPr>
          <w:color w:val="000000" w:themeColor="text1"/>
          <w:lang w:val="en-US"/>
        </w:rPr>
        <w:t>support for the new paragraph 6.</w:t>
      </w:r>
    </w:p>
    <w:p w14:paraId="3182FBF6" w14:textId="4F78967C" w:rsidR="0062042E" w:rsidRPr="00813D19" w:rsidRDefault="0062042E"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Chairperson </w:t>
      </w:r>
      <w:r w:rsidR="008C005B" w:rsidRPr="00813D19">
        <w:rPr>
          <w:color w:val="000000" w:themeColor="text1"/>
          <w:lang w:val="en-US"/>
        </w:rPr>
        <w:t>noted</w:t>
      </w:r>
      <w:r w:rsidR="00162460" w:rsidRPr="00813D19">
        <w:rPr>
          <w:color w:val="000000" w:themeColor="text1"/>
          <w:lang w:val="en-US"/>
        </w:rPr>
        <w:t xml:space="preserve"> that</w:t>
      </w:r>
      <w:r w:rsidR="00162460" w:rsidRPr="00813D19">
        <w:rPr>
          <w:b/>
          <w:color w:val="000000" w:themeColor="text1"/>
          <w:lang w:val="en-US"/>
        </w:rPr>
        <w:t xml:space="preserve"> </w:t>
      </w:r>
      <w:r w:rsidR="00162460" w:rsidRPr="00813D19">
        <w:rPr>
          <w:color w:val="000000" w:themeColor="text1"/>
          <w:lang w:val="en-US"/>
        </w:rPr>
        <w:t xml:space="preserve">the </w:t>
      </w:r>
      <w:r w:rsidR="00162460" w:rsidRPr="00813D19">
        <w:rPr>
          <w:bCs/>
          <w:lang w:val="en-US"/>
        </w:rPr>
        <w:t>new paragraph 6</w:t>
      </w:r>
      <w:r w:rsidRPr="00813D19">
        <w:rPr>
          <w:bCs/>
          <w:lang w:val="en-US"/>
        </w:rPr>
        <w:t xml:space="preserve"> </w:t>
      </w:r>
      <w:r w:rsidR="00162460" w:rsidRPr="00813D19">
        <w:rPr>
          <w:bCs/>
          <w:lang w:val="en-US"/>
        </w:rPr>
        <w:t xml:space="preserve">was </w:t>
      </w:r>
      <w:r w:rsidR="00087166">
        <w:rPr>
          <w:bCs/>
          <w:lang w:val="en-US"/>
        </w:rPr>
        <w:t>supported by Cyprus.</w:t>
      </w:r>
    </w:p>
    <w:p w14:paraId="42FBE404" w14:textId="672EF157"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Azerbaijan</w:t>
      </w:r>
      <w:r w:rsidRPr="00813D19">
        <w:rPr>
          <w:color w:val="000000" w:themeColor="text1"/>
          <w:lang w:val="en-US"/>
        </w:rPr>
        <w:t xml:space="preserve"> </w:t>
      </w:r>
      <w:r w:rsidR="00E951BF" w:rsidRPr="00813D19">
        <w:rPr>
          <w:color w:val="000000" w:themeColor="text1"/>
          <w:lang w:val="en-US"/>
        </w:rPr>
        <w:t xml:space="preserve">explained that in </w:t>
      </w:r>
      <w:r w:rsidR="006A1332" w:rsidRPr="00813D19">
        <w:rPr>
          <w:color w:val="000000" w:themeColor="text1"/>
          <w:lang w:val="en-US"/>
        </w:rPr>
        <w:t xml:space="preserve">an </w:t>
      </w:r>
      <w:r w:rsidR="00E951BF" w:rsidRPr="00813D19">
        <w:rPr>
          <w:color w:val="000000" w:themeColor="text1"/>
          <w:lang w:val="en-US"/>
        </w:rPr>
        <w:t xml:space="preserve">earlier </w:t>
      </w:r>
      <w:r w:rsidR="0062042E" w:rsidRPr="00813D19">
        <w:rPr>
          <w:bCs/>
          <w:lang w:val="en-US"/>
        </w:rPr>
        <w:t xml:space="preserve">intervention </w:t>
      </w:r>
      <w:r w:rsidR="00E951BF" w:rsidRPr="00813D19">
        <w:rPr>
          <w:bCs/>
          <w:lang w:val="en-US"/>
        </w:rPr>
        <w:t xml:space="preserve">it had </w:t>
      </w:r>
      <w:r w:rsidR="006A1332" w:rsidRPr="00813D19">
        <w:rPr>
          <w:bCs/>
          <w:lang w:val="en-US"/>
        </w:rPr>
        <w:t xml:space="preserve">stated </w:t>
      </w:r>
      <w:r w:rsidR="00E951BF" w:rsidRPr="00813D19">
        <w:rPr>
          <w:bCs/>
          <w:lang w:val="en-US"/>
        </w:rPr>
        <w:t xml:space="preserve">its </w:t>
      </w:r>
      <w:r w:rsidR="0062042E" w:rsidRPr="00813D19">
        <w:rPr>
          <w:bCs/>
          <w:lang w:val="en-US"/>
        </w:rPr>
        <w:t xml:space="preserve">position </w:t>
      </w:r>
      <w:r w:rsidR="006A1332" w:rsidRPr="00813D19">
        <w:rPr>
          <w:bCs/>
          <w:lang w:val="en-US"/>
        </w:rPr>
        <w:t xml:space="preserve">that its </w:t>
      </w:r>
      <w:r w:rsidR="0062042E" w:rsidRPr="00813D19">
        <w:rPr>
          <w:bCs/>
          <w:lang w:val="en-US"/>
        </w:rPr>
        <w:t xml:space="preserve">report </w:t>
      </w:r>
      <w:r w:rsidR="00E951BF" w:rsidRPr="00813D19">
        <w:rPr>
          <w:bCs/>
          <w:lang w:val="en-US"/>
        </w:rPr>
        <w:t xml:space="preserve">was </w:t>
      </w:r>
      <w:r w:rsidR="0062042E" w:rsidRPr="00813D19">
        <w:rPr>
          <w:bCs/>
          <w:lang w:val="en-US"/>
        </w:rPr>
        <w:t xml:space="preserve">not incompatible with the </w:t>
      </w:r>
      <w:r w:rsidR="00E951BF" w:rsidRPr="00813D19">
        <w:rPr>
          <w:bCs/>
          <w:lang w:val="en-US"/>
        </w:rPr>
        <w:t xml:space="preserve">UN </w:t>
      </w:r>
      <w:r w:rsidR="0062042E" w:rsidRPr="00813D19">
        <w:rPr>
          <w:bCs/>
          <w:lang w:val="en-US"/>
        </w:rPr>
        <w:t>Charter</w:t>
      </w:r>
      <w:r w:rsidR="006A1332" w:rsidRPr="00813D19">
        <w:rPr>
          <w:bCs/>
          <w:lang w:val="en-US"/>
        </w:rPr>
        <w:t xml:space="preserve">, making </w:t>
      </w:r>
      <w:r w:rsidR="00E951BF" w:rsidRPr="00813D19">
        <w:rPr>
          <w:bCs/>
          <w:lang w:val="en-US"/>
        </w:rPr>
        <w:t xml:space="preserve">it inappropriate to place </w:t>
      </w:r>
      <w:r w:rsidR="0062042E" w:rsidRPr="00813D19">
        <w:rPr>
          <w:bCs/>
          <w:lang w:val="en-US"/>
        </w:rPr>
        <w:t xml:space="preserve">special emphasis </w:t>
      </w:r>
      <w:r w:rsidR="006A1332" w:rsidRPr="00813D19">
        <w:rPr>
          <w:bCs/>
          <w:lang w:val="en-US"/>
        </w:rPr>
        <w:t xml:space="preserve">on it, </w:t>
      </w:r>
      <w:r w:rsidR="00E951BF" w:rsidRPr="00813D19">
        <w:rPr>
          <w:bCs/>
          <w:lang w:val="en-US"/>
        </w:rPr>
        <w:t xml:space="preserve">as </w:t>
      </w:r>
      <w:r w:rsidR="0062042E" w:rsidRPr="00813D19">
        <w:rPr>
          <w:bCs/>
          <w:lang w:val="en-US"/>
        </w:rPr>
        <w:t xml:space="preserve">this language </w:t>
      </w:r>
      <w:r w:rsidR="006A1332" w:rsidRPr="00813D19">
        <w:rPr>
          <w:bCs/>
          <w:lang w:val="en-US"/>
        </w:rPr>
        <w:t xml:space="preserve">was already provided in a chapeau </w:t>
      </w:r>
      <w:r w:rsidR="0062042E" w:rsidRPr="00813D19">
        <w:rPr>
          <w:bCs/>
          <w:lang w:val="en-US"/>
        </w:rPr>
        <w:t>decision adopted by the Committee fo</w:t>
      </w:r>
      <w:r w:rsidR="00E951BF" w:rsidRPr="00813D19">
        <w:rPr>
          <w:bCs/>
          <w:lang w:val="en-US"/>
        </w:rPr>
        <w:t>u</w:t>
      </w:r>
      <w:r w:rsidR="0062042E" w:rsidRPr="00813D19">
        <w:rPr>
          <w:bCs/>
          <w:lang w:val="en-US"/>
        </w:rPr>
        <w:t>r years ago</w:t>
      </w:r>
      <w:r w:rsidR="006A1332" w:rsidRPr="00813D19">
        <w:rPr>
          <w:bCs/>
          <w:lang w:val="en-US"/>
        </w:rPr>
        <w:t xml:space="preserve">. Thus, there was </w:t>
      </w:r>
      <w:r w:rsidR="0062042E" w:rsidRPr="00813D19">
        <w:rPr>
          <w:bCs/>
          <w:lang w:val="en-US"/>
        </w:rPr>
        <w:t xml:space="preserve">no need to </w:t>
      </w:r>
      <w:r w:rsidR="006A1332" w:rsidRPr="00813D19">
        <w:rPr>
          <w:bCs/>
          <w:lang w:val="en-US"/>
        </w:rPr>
        <w:t xml:space="preserve">repeat it here in </w:t>
      </w:r>
      <w:r w:rsidR="0062042E" w:rsidRPr="00813D19">
        <w:rPr>
          <w:bCs/>
          <w:lang w:val="en-US"/>
        </w:rPr>
        <w:t xml:space="preserve">a draft decision </w:t>
      </w:r>
      <w:r w:rsidR="00A24C62" w:rsidRPr="00813D19">
        <w:rPr>
          <w:bCs/>
          <w:lang w:val="en-US"/>
        </w:rPr>
        <w:t xml:space="preserve">relating </w:t>
      </w:r>
      <w:r w:rsidR="006A1332" w:rsidRPr="00813D19">
        <w:rPr>
          <w:bCs/>
          <w:lang w:val="en-US"/>
        </w:rPr>
        <w:t xml:space="preserve">specifically </w:t>
      </w:r>
      <w:r w:rsidR="0062042E" w:rsidRPr="00813D19">
        <w:rPr>
          <w:bCs/>
          <w:lang w:val="en-US"/>
        </w:rPr>
        <w:t xml:space="preserve">to </w:t>
      </w:r>
      <w:r w:rsidR="006A1332" w:rsidRPr="00813D19">
        <w:rPr>
          <w:bCs/>
          <w:lang w:val="en-US"/>
        </w:rPr>
        <w:t xml:space="preserve">the </w:t>
      </w:r>
      <w:r w:rsidR="006A1332" w:rsidRPr="00813D19">
        <w:rPr>
          <w:lang w:val="en-US"/>
        </w:rPr>
        <w:t xml:space="preserve">Chovqan </w:t>
      </w:r>
      <w:r w:rsidR="00087166">
        <w:rPr>
          <w:bCs/>
          <w:lang w:val="en-US"/>
        </w:rPr>
        <w:t>game or the report.</w:t>
      </w:r>
    </w:p>
    <w:p w14:paraId="05B57659" w14:textId="6E82E92A" w:rsidR="009D4CF1" w:rsidRPr="00813D19" w:rsidRDefault="009D4CF1" w:rsidP="009D4CF1">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Pr="00813D19">
        <w:rPr>
          <w:color w:val="000000" w:themeColor="text1"/>
          <w:lang w:val="en-US"/>
        </w:rPr>
        <w:t xml:space="preserve"> </w:t>
      </w:r>
      <w:r w:rsidR="006A1332" w:rsidRPr="00813D19">
        <w:rPr>
          <w:color w:val="000000" w:themeColor="text1"/>
          <w:lang w:val="en-US"/>
        </w:rPr>
        <w:t xml:space="preserve">replied that the Committee </w:t>
      </w:r>
      <w:r w:rsidR="006A1332" w:rsidRPr="00813D19">
        <w:rPr>
          <w:bCs/>
          <w:lang w:val="en-US"/>
        </w:rPr>
        <w:t xml:space="preserve">was </w:t>
      </w:r>
      <w:r w:rsidR="0062042E" w:rsidRPr="00813D19">
        <w:rPr>
          <w:bCs/>
          <w:lang w:val="en-US"/>
        </w:rPr>
        <w:t>obliged to ref</w:t>
      </w:r>
      <w:r w:rsidR="006A1332" w:rsidRPr="00813D19">
        <w:rPr>
          <w:bCs/>
          <w:lang w:val="en-US"/>
        </w:rPr>
        <w:t>er to some of the decisions</w:t>
      </w:r>
      <w:r w:rsidR="0062042E" w:rsidRPr="00813D19">
        <w:rPr>
          <w:bCs/>
          <w:lang w:val="en-US"/>
        </w:rPr>
        <w:t xml:space="preserve"> adopted </w:t>
      </w:r>
      <w:r w:rsidR="006A1332" w:rsidRPr="00813D19">
        <w:rPr>
          <w:bCs/>
          <w:lang w:val="en-US"/>
        </w:rPr>
        <w:t xml:space="preserve">in </w:t>
      </w:r>
      <w:r w:rsidR="0062042E" w:rsidRPr="00813D19">
        <w:rPr>
          <w:bCs/>
          <w:lang w:val="en-US"/>
        </w:rPr>
        <w:t xml:space="preserve">previous Committee </w:t>
      </w:r>
      <w:r w:rsidR="006A1332" w:rsidRPr="00813D19">
        <w:rPr>
          <w:bCs/>
          <w:lang w:val="en-US"/>
        </w:rPr>
        <w:t xml:space="preserve">sessions </w:t>
      </w:r>
      <w:r w:rsidR="0062042E" w:rsidRPr="00813D19">
        <w:rPr>
          <w:bCs/>
          <w:lang w:val="en-US"/>
        </w:rPr>
        <w:t xml:space="preserve">because these decisions </w:t>
      </w:r>
      <w:r w:rsidR="006A1332" w:rsidRPr="00813D19">
        <w:rPr>
          <w:bCs/>
          <w:lang w:val="en-US"/>
        </w:rPr>
        <w:t xml:space="preserve">were </w:t>
      </w:r>
      <w:r w:rsidR="0062042E" w:rsidRPr="00813D19">
        <w:rPr>
          <w:bCs/>
          <w:lang w:val="en-US"/>
        </w:rPr>
        <w:t>not duly taken into</w:t>
      </w:r>
      <w:r w:rsidR="006A1332" w:rsidRPr="00813D19">
        <w:rPr>
          <w:bCs/>
          <w:lang w:val="en-US"/>
        </w:rPr>
        <w:t xml:space="preserve"> account by some Member States. For this reason, the delegation wished to </w:t>
      </w:r>
      <w:r w:rsidR="0062042E" w:rsidRPr="00813D19">
        <w:rPr>
          <w:bCs/>
          <w:lang w:val="en-US"/>
        </w:rPr>
        <w:t xml:space="preserve">reiterate </w:t>
      </w:r>
      <w:r w:rsidR="006A1332" w:rsidRPr="00813D19">
        <w:rPr>
          <w:bCs/>
          <w:lang w:val="en-US"/>
        </w:rPr>
        <w:t xml:space="preserve">previous Committee decisions </w:t>
      </w:r>
      <w:r w:rsidR="0062042E" w:rsidRPr="00813D19">
        <w:rPr>
          <w:bCs/>
          <w:lang w:val="en-US"/>
        </w:rPr>
        <w:t xml:space="preserve">in this </w:t>
      </w:r>
      <w:r w:rsidR="006A1332" w:rsidRPr="00813D19">
        <w:rPr>
          <w:bCs/>
          <w:lang w:val="en-US"/>
        </w:rPr>
        <w:t xml:space="preserve">particular </w:t>
      </w:r>
      <w:r w:rsidR="00087166">
        <w:rPr>
          <w:bCs/>
          <w:lang w:val="en-US"/>
        </w:rPr>
        <w:t>decision.</w:t>
      </w:r>
    </w:p>
    <w:p w14:paraId="4CBE9547" w14:textId="6C2015CE" w:rsidR="009D4CF1" w:rsidRPr="00813D19" w:rsidRDefault="009D4CF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6A1332" w:rsidRPr="00813D19">
        <w:rPr>
          <w:color w:val="000000" w:themeColor="text1"/>
          <w:lang w:val="en-US"/>
        </w:rPr>
        <w:t xml:space="preserve">noted </w:t>
      </w:r>
      <w:r w:rsidR="006A1332" w:rsidRPr="00813D19">
        <w:rPr>
          <w:bCs/>
          <w:lang w:val="en-US"/>
        </w:rPr>
        <w:t xml:space="preserve">that there were two suggestions: Armenia sought to add a new </w:t>
      </w:r>
      <w:r w:rsidR="0062042E" w:rsidRPr="00813D19">
        <w:rPr>
          <w:bCs/>
          <w:lang w:val="en-US"/>
        </w:rPr>
        <w:t>paragraph</w:t>
      </w:r>
      <w:r w:rsidR="006A1332" w:rsidRPr="00813D19">
        <w:rPr>
          <w:bCs/>
          <w:lang w:val="en-US"/>
        </w:rPr>
        <w:t>,</w:t>
      </w:r>
      <w:r w:rsidR="0062042E" w:rsidRPr="00813D19">
        <w:rPr>
          <w:bCs/>
          <w:lang w:val="en-US"/>
        </w:rPr>
        <w:t xml:space="preserve"> and Azerbaijan </w:t>
      </w:r>
      <w:r w:rsidR="006A1332" w:rsidRPr="00813D19">
        <w:rPr>
          <w:bCs/>
          <w:lang w:val="en-US"/>
        </w:rPr>
        <w:t xml:space="preserve">was </w:t>
      </w:r>
      <w:r w:rsidR="0062042E" w:rsidRPr="00813D19">
        <w:rPr>
          <w:bCs/>
          <w:lang w:val="en-US"/>
        </w:rPr>
        <w:t xml:space="preserve">of the view that there </w:t>
      </w:r>
      <w:r w:rsidR="006A1332" w:rsidRPr="00813D19">
        <w:rPr>
          <w:bCs/>
          <w:lang w:val="en-US"/>
        </w:rPr>
        <w:t xml:space="preserve">was </w:t>
      </w:r>
      <w:r w:rsidR="0062042E" w:rsidRPr="00813D19">
        <w:rPr>
          <w:bCs/>
          <w:lang w:val="en-US"/>
        </w:rPr>
        <w:t xml:space="preserve">no need </w:t>
      </w:r>
      <w:r w:rsidR="006A1332" w:rsidRPr="00813D19">
        <w:rPr>
          <w:bCs/>
          <w:lang w:val="en-US"/>
        </w:rPr>
        <w:t xml:space="preserve">for </w:t>
      </w:r>
      <w:r w:rsidR="0062042E" w:rsidRPr="00813D19">
        <w:rPr>
          <w:bCs/>
          <w:lang w:val="en-US"/>
        </w:rPr>
        <w:t xml:space="preserve">this paragraph </w:t>
      </w:r>
      <w:r w:rsidR="006A1332" w:rsidRPr="00813D19">
        <w:rPr>
          <w:bCs/>
          <w:lang w:val="en-US"/>
        </w:rPr>
        <w:t xml:space="preserve">as it was </w:t>
      </w:r>
      <w:r w:rsidR="0062042E" w:rsidRPr="00813D19">
        <w:rPr>
          <w:bCs/>
          <w:lang w:val="en-US"/>
        </w:rPr>
        <w:t>part of a chapeau</w:t>
      </w:r>
      <w:r w:rsidR="006A1332" w:rsidRPr="00813D19">
        <w:rPr>
          <w:bCs/>
          <w:lang w:val="en-US"/>
        </w:rPr>
        <w:t xml:space="preserve"> decision</w:t>
      </w:r>
      <w:r w:rsidR="0062042E" w:rsidRPr="00813D19">
        <w:rPr>
          <w:bCs/>
          <w:lang w:val="en-US"/>
        </w:rPr>
        <w:t xml:space="preserve">, which </w:t>
      </w:r>
      <w:r w:rsidR="00A24C62" w:rsidRPr="00813D19">
        <w:rPr>
          <w:bCs/>
          <w:lang w:val="en-US"/>
        </w:rPr>
        <w:t>had</w:t>
      </w:r>
      <w:r w:rsidR="006A1332" w:rsidRPr="00813D19">
        <w:rPr>
          <w:bCs/>
          <w:lang w:val="en-US"/>
        </w:rPr>
        <w:t xml:space="preserve"> yet to be taken</w:t>
      </w:r>
      <w:r w:rsidR="0062042E" w:rsidRPr="00813D19">
        <w:rPr>
          <w:bCs/>
          <w:lang w:val="en-US"/>
        </w:rPr>
        <w:t xml:space="preserve">. </w:t>
      </w:r>
      <w:r w:rsidR="006A1332" w:rsidRPr="00813D19">
        <w:rPr>
          <w:bCs/>
          <w:lang w:val="en-US"/>
        </w:rPr>
        <w:t xml:space="preserve">The Chairperson asked the Committee whether it supported the </w:t>
      </w:r>
      <w:r w:rsidR="00087166">
        <w:rPr>
          <w:bCs/>
          <w:lang w:val="en-US"/>
        </w:rPr>
        <w:t>inclusion of the new paragraph.</w:t>
      </w:r>
    </w:p>
    <w:p w14:paraId="13A343CE" w14:textId="0932C7AA" w:rsidR="00592741" w:rsidRPr="00813D19" w:rsidRDefault="00592741"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Azerbaijan</w:t>
      </w:r>
      <w:r w:rsidRPr="00813D19">
        <w:rPr>
          <w:color w:val="000000" w:themeColor="text1"/>
          <w:lang w:val="en-US"/>
        </w:rPr>
        <w:t xml:space="preserve"> </w:t>
      </w:r>
      <w:r w:rsidR="006A1332" w:rsidRPr="00813D19">
        <w:rPr>
          <w:bCs/>
          <w:lang w:val="en-US"/>
        </w:rPr>
        <w:t xml:space="preserve">recalled that </w:t>
      </w:r>
      <w:r w:rsidR="0062042E" w:rsidRPr="00813D19">
        <w:rPr>
          <w:bCs/>
          <w:lang w:val="en-US"/>
        </w:rPr>
        <w:t xml:space="preserve">any proposals or amendments presented by </w:t>
      </w:r>
      <w:r w:rsidR="006A1332" w:rsidRPr="00813D19">
        <w:rPr>
          <w:bCs/>
          <w:lang w:val="en-US"/>
        </w:rPr>
        <w:t xml:space="preserve">a </w:t>
      </w:r>
      <w:r w:rsidR="0062042E" w:rsidRPr="00813D19">
        <w:rPr>
          <w:bCs/>
          <w:lang w:val="en-US"/>
        </w:rPr>
        <w:t xml:space="preserve">State Party </w:t>
      </w:r>
      <w:r w:rsidR="006A1332" w:rsidRPr="00813D19">
        <w:rPr>
          <w:bCs/>
          <w:lang w:val="en-US"/>
        </w:rPr>
        <w:t xml:space="preserve">had to </w:t>
      </w:r>
      <w:r w:rsidR="0062042E" w:rsidRPr="00813D19">
        <w:rPr>
          <w:bCs/>
          <w:lang w:val="en-US"/>
        </w:rPr>
        <w:t>be supported by at least half of the Committee Members</w:t>
      </w:r>
      <w:r w:rsidR="006A1332" w:rsidRPr="00813D19">
        <w:rPr>
          <w:bCs/>
          <w:lang w:val="en-US"/>
        </w:rPr>
        <w:t xml:space="preserve">, without which the </w:t>
      </w:r>
      <w:r w:rsidR="004F3C9D" w:rsidRPr="00813D19">
        <w:rPr>
          <w:bCs/>
          <w:lang w:val="en-US"/>
        </w:rPr>
        <w:t xml:space="preserve">amendment </w:t>
      </w:r>
      <w:r w:rsidR="00A24C62" w:rsidRPr="00813D19">
        <w:rPr>
          <w:bCs/>
          <w:lang w:val="en-US"/>
        </w:rPr>
        <w:t>could not</w:t>
      </w:r>
      <w:r w:rsidR="00087166">
        <w:rPr>
          <w:bCs/>
          <w:lang w:val="en-US"/>
        </w:rPr>
        <w:t xml:space="preserve"> be adopted.</w:t>
      </w:r>
    </w:p>
    <w:p w14:paraId="355E2D97" w14:textId="1015505A" w:rsidR="00A120B3" w:rsidRPr="00813D19" w:rsidRDefault="00A120B3"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4F3C9D" w:rsidRPr="00813D19">
        <w:rPr>
          <w:color w:val="000000" w:themeColor="text1"/>
          <w:lang w:val="en-US"/>
        </w:rPr>
        <w:t xml:space="preserve">remarked that </w:t>
      </w:r>
      <w:r w:rsidR="0062042E" w:rsidRPr="00813D19">
        <w:rPr>
          <w:bCs/>
          <w:lang w:val="en-US"/>
        </w:rPr>
        <w:t xml:space="preserve">in case </w:t>
      </w:r>
      <w:r w:rsidR="004F3C9D" w:rsidRPr="00813D19">
        <w:rPr>
          <w:bCs/>
          <w:lang w:val="en-US"/>
        </w:rPr>
        <w:t xml:space="preserve">there </w:t>
      </w:r>
      <w:r w:rsidR="00A502EB" w:rsidRPr="00813D19">
        <w:rPr>
          <w:bCs/>
          <w:lang w:val="en-US"/>
        </w:rPr>
        <w:t>was</w:t>
      </w:r>
      <w:r w:rsidR="004F3C9D" w:rsidRPr="00813D19">
        <w:rPr>
          <w:bCs/>
          <w:lang w:val="en-US"/>
        </w:rPr>
        <w:t xml:space="preserve"> no </w:t>
      </w:r>
      <w:r w:rsidR="0062042E" w:rsidRPr="00813D19">
        <w:rPr>
          <w:bCs/>
          <w:lang w:val="en-US"/>
        </w:rPr>
        <w:t xml:space="preserve">active support, </w:t>
      </w:r>
      <w:r w:rsidR="004F3C9D" w:rsidRPr="00813D19">
        <w:rPr>
          <w:bCs/>
          <w:lang w:val="en-US"/>
        </w:rPr>
        <w:t xml:space="preserve">it was understood that there was no objection and it would be </w:t>
      </w:r>
      <w:r w:rsidR="0062042E" w:rsidRPr="00813D19">
        <w:rPr>
          <w:bCs/>
          <w:lang w:val="en-US"/>
        </w:rPr>
        <w:t>accepted</w:t>
      </w:r>
      <w:r w:rsidR="004F3C9D" w:rsidRPr="00813D19">
        <w:rPr>
          <w:bCs/>
          <w:lang w:val="en-US"/>
        </w:rPr>
        <w:t xml:space="preserve"> as such,</w:t>
      </w:r>
      <w:r w:rsidR="0062042E" w:rsidRPr="00813D19">
        <w:rPr>
          <w:bCs/>
          <w:lang w:val="en-US"/>
        </w:rPr>
        <w:t xml:space="preserve"> but </w:t>
      </w:r>
      <w:r w:rsidR="004F3C9D" w:rsidRPr="00813D19">
        <w:rPr>
          <w:bCs/>
          <w:lang w:val="en-US"/>
        </w:rPr>
        <w:t xml:space="preserve">in this situation, </w:t>
      </w:r>
      <w:r w:rsidR="0062042E" w:rsidRPr="00813D19">
        <w:rPr>
          <w:bCs/>
          <w:lang w:val="en-US"/>
        </w:rPr>
        <w:t xml:space="preserve">Armenia </w:t>
      </w:r>
      <w:r w:rsidR="004F3C9D" w:rsidRPr="00813D19">
        <w:rPr>
          <w:bCs/>
          <w:lang w:val="en-US"/>
        </w:rPr>
        <w:t xml:space="preserve">wished </w:t>
      </w:r>
      <w:r w:rsidR="0062042E" w:rsidRPr="00813D19">
        <w:rPr>
          <w:bCs/>
          <w:lang w:val="en-US"/>
        </w:rPr>
        <w:t>to add a paragraph supported by Cyprus</w:t>
      </w:r>
      <w:r w:rsidR="004F3C9D" w:rsidRPr="00813D19">
        <w:rPr>
          <w:bCs/>
          <w:lang w:val="en-US"/>
        </w:rPr>
        <w:t>,</w:t>
      </w:r>
      <w:r w:rsidR="0062042E" w:rsidRPr="00813D19">
        <w:rPr>
          <w:bCs/>
          <w:lang w:val="en-US"/>
        </w:rPr>
        <w:t xml:space="preserve"> </w:t>
      </w:r>
      <w:r w:rsidR="004F3C9D" w:rsidRPr="00813D19">
        <w:rPr>
          <w:bCs/>
          <w:lang w:val="en-US"/>
        </w:rPr>
        <w:t>whereas Azerbaijan wished</w:t>
      </w:r>
      <w:r w:rsidR="0062042E" w:rsidRPr="00813D19">
        <w:rPr>
          <w:bCs/>
          <w:lang w:val="en-US"/>
        </w:rPr>
        <w:t xml:space="preserve"> </w:t>
      </w:r>
      <w:r w:rsidR="004F3C9D" w:rsidRPr="00813D19">
        <w:rPr>
          <w:bCs/>
          <w:lang w:val="en-US"/>
        </w:rPr>
        <w:t>to retain the original draft decision</w:t>
      </w:r>
      <w:r w:rsidR="0062042E" w:rsidRPr="00813D19">
        <w:rPr>
          <w:bCs/>
          <w:lang w:val="en-US"/>
        </w:rPr>
        <w:t xml:space="preserve">. </w:t>
      </w:r>
      <w:r w:rsidR="004F3C9D" w:rsidRPr="00813D19">
        <w:rPr>
          <w:bCs/>
          <w:lang w:val="en-US"/>
        </w:rPr>
        <w:t>The Chairperson sought the op</w:t>
      </w:r>
      <w:r w:rsidR="00087166">
        <w:rPr>
          <w:bCs/>
          <w:lang w:val="en-US"/>
        </w:rPr>
        <w:t>inion of the Committee Members.</w:t>
      </w:r>
    </w:p>
    <w:p w14:paraId="0A939A56" w14:textId="0B36E87C" w:rsidR="00A120B3" w:rsidRPr="00813D19" w:rsidRDefault="001D0F7E" w:rsidP="00B97134">
      <w:pPr>
        <w:pStyle w:val="Orateurengris"/>
        <w:spacing w:before="120" w:after="0"/>
        <w:ind w:left="709" w:hanging="709"/>
        <w:rPr>
          <w:color w:val="000000" w:themeColor="text1"/>
          <w:lang w:val="en-US"/>
        </w:rPr>
      </w:pPr>
      <w:r w:rsidRPr="00813D19">
        <w:rPr>
          <w:lang w:val="en-US"/>
        </w:rPr>
        <w:t xml:space="preserve">Without taking a position on the language, </w:t>
      </w:r>
      <w:r w:rsidRPr="00813D19">
        <w:rPr>
          <w:color w:val="000000" w:themeColor="text1"/>
          <w:lang w:val="en-US"/>
        </w:rPr>
        <w:t>t</w:t>
      </w:r>
      <w:r w:rsidR="00A120B3" w:rsidRPr="00813D19">
        <w:rPr>
          <w:color w:val="000000" w:themeColor="text1"/>
          <w:lang w:val="en-US"/>
        </w:rPr>
        <w:t xml:space="preserve">he </w:t>
      </w:r>
      <w:r w:rsidR="00A120B3" w:rsidRPr="00813D19">
        <w:rPr>
          <w:b/>
          <w:color w:val="000000" w:themeColor="text1"/>
          <w:lang w:val="en-US"/>
        </w:rPr>
        <w:t>delegation of the Philippines</w:t>
      </w:r>
      <w:r w:rsidR="00DC215F" w:rsidRPr="00813D19">
        <w:rPr>
          <w:b/>
          <w:color w:val="000000" w:themeColor="text1"/>
          <w:lang w:val="en-US"/>
        </w:rPr>
        <w:t xml:space="preserve"> </w:t>
      </w:r>
      <w:r w:rsidR="00DC215F" w:rsidRPr="00813D19">
        <w:rPr>
          <w:lang w:val="en-US"/>
        </w:rPr>
        <w:t>recall</w:t>
      </w:r>
      <w:r w:rsidRPr="00813D19">
        <w:rPr>
          <w:lang w:val="en-US"/>
        </w:rPr>
        <w:t>ed</w:t>
      </w:r>
      <w:r w:rsidR="00DC215F" w:rsidRPr="00813D19">
        <w:rPr>
          <w:lang w:val="en-US"/>
        </w:rPr>
        <w:t xml:space="preserve"> </w:t>
      </w:r>
      <w:r w:rsidRPr="00813D19">
        <w:rPr>
          <w:lang w:val="en-US"/>
        </w:rPr>
        <w:t xml:space="preserve">the </w:t>
      </w:r>
      <w:r w:rsidR="00DC215F" w:rsidRPr="00813D19">
        <w:rPr>
          <w:lang w:val="en-US"/>
        </w:rPr>
        <w:t xml:space="preserve">discussions in the ad hoc working group and the Bureau </w:t>
      </w:r>
      <w:r w:rsidR="00932396" w:rsidRPr="00813D19">
        <w:rPr>
          <w:lang w:val="en-US"/>
        </w:rPr>
        <w:t xml:space="preserve">regarding </w:t>
      </w:r>
      <w:r w:rsidR="00DC215F" w:rsidRPr="00813D19">
        <w:rPr>
          <w:lang w:val="en-US"/>
        </w:rPr>
        <w:t>the decision-making process for draft decision</w:t>
      </w:r>
      <w:r w:rsidR="00932396" w:rsidRPr="00813D19">
        <w:rPr>
          <w:lang w:val="en-US"/>
        </w:rPr>
        <w:t>s</w:t>
      </w:r>
      <w:r w:rsidR="00DC215F" w:rsidRPr="00813D19">
        <w:rPr>
          <w:lang w:val="en-US"/>
        </w:rPr>
        <w:t xml:space="preserve"> wherein</w:t>
      </w:r>
      <w:r w:rsidR="00A502EB" w:rsidRPr="00813D19">
        <w:rPr>
          <w:lang w:val="en-US"/>
        </w:rPr>
        <w:t>,</w:t>
      </w:r>
      <w:r w:rsidR="00DC215F" w:rsidRPr="00813D19">
        <w:rPr>
          <w:lang w:val="en-US"/>
        </w:rPr>
        <w:t xml:space="preserve"> </w:t>
      </w:r>
      <w:r w:rsidR="00932396" w:rsidRPr="00813D19">
        <w:rPr>
          <w:lang w:val="en-US"/>
        </w:rPr>
        <w:t xml:space="preserve">as </w:t>
      </w:r>
      <w:r w:rsidR="00DC215F" w:rsidRPr="00813D19">
        <w:rPr>
          <w:lang w:val="en-US"/>
        </w:rPr>
        <w:t xml:space="preserve">announced </w:t>
      </w:r>
      <w:r w:rsidR="00932396" w:rsidRPr="00813D19">
        <w:rPr>
          <w:lang w:val="en-US"/>
        </w:rPr>
        <w:t xml:space="preserve">earlier, </w:t>
      </w:r>
      <w:r w:rsidR="00DC215F" w:rsidRPr="00813D19">
        <w:rPr>
          <w:lang w:val="en-US"/>
        </w:rPr>
        <w:t xml:space="preserve">the same decision-making procedure </w:t>
      </w:r>
      <w:r w:rsidR="00932396" w:rsidRPr="00813D19">
        <w:rPr>
          <w:lang w:val="en-US"/>
        </w:rPr>
        <w:t xml:space="preserve">would be adopted </w:t>
      </w:r>
      <w:r w:rsidR="00DC215F" w:rsidRPr="00813D19">
        <w:rPr>
          <w:lang w:val="en-US"/>
        </w:rPr>
        <w:t>as in the last session in Jeju</w:t>
      </w:r>
      <w:r w:rsidR="00932396" w:rsidRPr="00813D19">
        <w:rPr>
          <w:lang w:val="en-US"/>
        </w:rPr>
        <w:t xml:space="preserve">, i.e. in </w:t>
      </w:r>
      <w:r w:rsidR="00DC215F" w:rsidRPr="00813D19">
        <w:rPr>
          <w:lang w:val="en-US"/>
        </w:rPr>
        <w:t>a step-by-step approach</w:t>
      </w:r>
      <w:r w:rsidR="00932396" w:rsidRPr="00813D19">
        <w:rPr>
          <w:lang w:val="en-US"/>
        </w:rPr>
        <w:t xml:space="preserve">. In case of </w:t>
      </w:r>
      <w:r w:rsidR="00DC215F" w:rsidRPr="00813D19">
        <w:rPr>
          <w:lang w:val="en-US"/>
        </w:rPr>
        <w:t>an objection to an amendment</w:t>
      </w:r>
      <w:r w:rsidR="00932396" w:rsidRPr="00813D19">
        <w:rPr>
          <w:lang w:val="en-US"/>
        </w:rPr>
        <w:t>,</w:t>
      </w:r>
      <w:r w:rsidR="00DC215F" w:rsidRPr="00813D19">
        <w:rPr>
          <w:lang w:val="en-US"/>
        </w:rPr>
        <w:t xml:space="preserve"> relative support </w:t>
      </w:r>
      <w:r w:rsidR="00932396" w:rsidRPr="00813D19">
        <w:rPr>
          <w:lang w:val="en-US"/>
        </w:rPr>
        <w:t>would be sought on an informal basis</w:t>
      </w:r>
      <w:r w:rsidR="00DC215F" w:rsidRPr="00813D19">
        <w:rPr>
          <w:lang w:val="en-US"/>
        </w:rPr>
        <w:t>, towards one third of the Committee</w:t>
      </w:r>
      <w:r w:rsidR="00932396" w:rsidRPr="00813D19">
        <w:rPr>
          <w:lang w:val="en-US"/>
        </w:rPr>
        <w:t>,</w:t>
      </w:r>
      <w:r w:rsidR="00DC215F" w:rsidRPr="00813D19">
        <w:rPr>
          <w:lang w:val="en-US"/>
        </w:rPr>
        <w:t xml:space="preserve"> a</w:t>
      </w:r>
      <w:r w:rsidR="00932396" w:rsidRPr="00813D19">
        <w:rPr>
          <w:lang w:val="en-US"/>
        </w:rPr>
        <w:t xml:space="preserve">nd thereafter if </w:t>
      </w:r>
      <w:r w:rsidR="00DC215F" w:rsidRPr="00813D19">
        <w:rPr>
          <w:lang w:val="en-US"/>
        </w:rPr>
        <w:t xml:space="preserve">an objection </w:t>
      </w:r>
      <w:r w:rsidR="00813D19" w:rsidRPr="00813D19">
        <w:rPr>
          <w:lang w:val="en-US"/>
        </w:rPr>
        <w:t>persisted</w:t>
      </w:r>
      <w:r w:rsidR="00932396" w:rsidRPr="00813D19">
        <w:rPr>
          <w:lang w:val="en-US"/>
        </w:rPr>
        <w:t xml:space="preserve">, </w:t>
      </w:r>
      <w:r w:rsidR="00DC215F" w:rsidRPr="00813D19">
        <w:rPr>
          <w:lang w:val="en-US"/>
        </w:rPr>
        <w:t xml:space="preserve">then </w:t>
      </w:r>
      <w:r w:rsidR="00932396" w:rsidRPr="00813D19">
        <w:rPr>
          <w:lang w:val="en-US"/>
        </w:rPr>
        <w:t xml:space="preserve">the Committee </w:t>
      </w:r>
      <w:r w:rsidR="00DC215F" w:rsidRPr="00813D19">
        <w:rPr>
          <w:lang w:val="en-US"/>
        </w:rPr>
        <w:t xml:space="preserve">would go towards one half. </w:t>
      </w:r>
      <w:r w:rsidR="00932396" w:rsidRPr="00813D19">
        <w:rPr>
          <w:lang w:val="en-US"/>
        </w:rPr>
        <w:t xml:space="preserve">Thus, in order to remain </w:t>
      </w:r>
      <w:r w:rsidR="00DC215F" w:rsidRPr="00813D19">
        <w:rPr>
          <w:lang w:val="en-US"/>
        </w:rPr>
        <w:t xml:space="preserve">consistent with </w:t>
      </w:r>
      <w:r w:rsidR="00932396" w:rsidRPr="00813D19">
        <w:rPr>
          <w:lang w:val="en-US"/>
        </w:rPr>
        <w:t xml:space="preserve">the </w:t>
      </w:r>
      <w:r w:rsidR="00DC215F" w:rsidRPr="00813D19">
        <w:rPr>
          <w:lang w:val="en-US"/>
        </w:rPr>
        <w:t>procedures announced</w:t>
      </w:r>
      <w:r w:rsidR="00932396" w:rsidRPr="00813D19">
        <w:rPr>
          <w:lang w:val="en-US"/>
        </w:rPr>
        <w:t xml:space="preserve">, the same </w:t>
      </w:r>
      <w:r w:rsidR="00DC215F" w:rsidRPr="00813D19">
        <w:rPr>
          <w:lang w:val="en-US"/>
        </w:rPr>
        <w:t xml:space="preserve">procedure </w:t>
      </w:r>
      <w:r w:rsidR="00932396" w:rsidRPr="00813D19">
        <w:rPr>
          <w:lang w:val="en-US"/>
        </w:rPr>
        <w:t>should apply</w:t>
      </w:r>
      <w:r w:rsidR="00A502EB" w:rsidRPr="00813D19">
        <w:rPr>
          <w:lang w:val="en-US"/>
        </w:rPr>
        <w:t>,</w:t>
      </w:r>
      <w:r w:rsidR="00932396" w:rsidRPr="00813D19">
        <w:rPr>
          <w:lang w:val="en-US"/>
        </w:rPr>
        <w:t xml:space="preserve"> to </w:t>
      </w:r>
      <w:r w:rsidR="00DC215F" w:rsidRPr="00813D19">
        <w:rPr>
          <w:lang w:val="en-US"/>
        </w:rPr>
        <w:t xml:space="preserve">see </w:t>
      </w:r>
      <w:r w:rsidR="00932396" w:rsidRPr="00813D19">
        <w:rPr>
          <w:lang w:val="en-US"/>
        </w:rPr>
        <w:t>how many</w:t>
      </w:r>
      <w:r w:rsidR="00DC215F" w:rsidRPr="00813D19">
        <w:rPr>
          <w:lang w:val="en-US"/>
        </w:rPr>
        <w:t xml:space="preserve"> </w:t>
      </w:r>
      <w:r w:rsidR="0039672C">
        <w:rPr>
          <w:lang w:val="en-US"/>
        </w:rPr>
        <w:t>supported</w:t>
      </w:r>
      <w:r w:rsidR="00DC215F" w:rsidRPr="00813D19">
        <w:rPr>
          <w:lang w:val="en-US"/>
        </w:rPr>
        <w:t xml:space="preserve"> the amendment </w:t>
      </w:r>
      <w:r w:rsidR="00932396" w:rsidRPr="00813D19">
        <w:rPr>
          <w:lang w:val="en-US"/>
        </w:rPr>
        <w:t xml:space="preserve">informally </w:t>
      </w:r>
      <w:r w:rsidR="00087166">
        <w:rPr>
          <w:lang w:val="en-US"/>
        </w:rPr>
        <w:t>before making a decision.</w:t>
      </w:r>
    </w:p>
    <w:p w14:paraId="361D9606" w14:textId="75D23789" w:rsidR="00A120B3" w:rsidRPr="00813D19" w:rsidRDefault="001139EC" w:rsidP="00B97134">
      <w:pPr>
        <w:pStyle w:val="Orateurengris"/>
        <w:spacing w:before="120" w:after="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DC215F" w:rsidRPr="00813D19">
        <w:rPr>
          <w:b/>
          <w:color w:val="000000" w:themeColor="text1"/>
          <w:lang w:val="en-US"/>
        </w:rPr>
        <w:t xml:space="preserve"> </w:t>
      </w:r>
      <w:r w:rsidR="00932396" w:rsidRPr="00813D19">
        <w:rPr>
          <w:color w:val="000000" w:themeColor="text1"/>
          <w:lang w:val="en-US"/>
        </w:rPr>
        <w:t xml:space="preserve">followed the same line </w:t>
      </w:r>
      <w:r w:rsidR="00932396" w:rsidRPr="00813D19">
        <w:rPr>
          <w:lang w:val="en-US"/>
        </w:rPr>
        <w:t xml:space="preserve">as </w:t>
      </w:r>
      <w:r w:rsidR="00DC215F" w:rsidRPr="00813D19">
        <w:rPr>
          <w:lang w:val="en-US"/>
        </w:rPr>
        <w:t>the Philippines</w:t>
      </w:r>
      <w:r w:rsidR="00932396" w:rsidRPr="00813D19">
        <w:rPr>
          <w:lang w:val="en-US"/>
        </w:rPr>
        <w:t xml:space="preserve"> in that </w:t>
      </w:r>
      <w:r w:rsidR="00DC215F" w:rsidRPr="00813D19">
        <w:rPr>
          <w:lang w:val="en-US"/>
        </w:rPr>
        <w:t xml:space="preserve">the decision-making </w:t>
      </w:r>
      <w:r w:rsidR="00932396" w:rsidRPr="00813D19">
        <w:rPr>
          <w:lang w:val="en-US"/>
        </w:rPr>
        <w:t xml:space="preserve">had been </w:t>
      </w:r>
      <w:r w:rsidR="00DC215F" w:rsidRPr="00813D19">
        <w:rPr>
          <w:lang w:val="en-US"/>
        </w:rPr>
        <w:t>agreed upon</w:t>
      </w:r>
      <w:r w:rsidR="00932396" w:rsidRPr="00813D19">
        <w:rPr>
          <w:lang w:val="en-US"/>
        </w:rPr>
        <w:t>,</w:t>
      </w:r>
      <w:r w:rsidR="00DC215F" w:rsidRPr="00813D19">
        <w:rPr>
          <w:lang w:val="en-US"/>
        </w:rPr>
        <w:t xml:space="preserve"> </w:t>
      </w:r>
      <w:r w:rsidR="00932396" w:rsidRPr="00813D19">
        <w:rPr>
          <w:lang w:val="en-US"/>
        </w:rPr>
        <w:t>and in the case of an</w:t>
      </w:r>
      <w:r w:rsidR="00DC215F" w:rsidRPr="00813D19">
        <w:rPr>
          <w:lang w:val="en-US"/>
        </w:rPr>
        <w:t xml:space="preserve"> objection then active support</w:t>
      </w:r>
      <w:r w:rsidR="00932396" w:rsidRPr="00813D19">
        <w:rPr>
          <w:lang w:val="en-US"/>
        </w:rPr>
        <w:t xml:space="preserve"> would be sought</w:t>
      </w:r>
      <w:r w:rsidR="00DC215F" w:rsidRPr="00813D19">
        <w:rPr>
          <w:lang w:val="en-US"/>
        </w:rPr>
        <w:t xml:space="preserve">, </w:t>
      </w:r>
      <w:r w:rsidR="00932396" w:rsidRPr="00813D19">
        <w:rPr>
          <w:lang w:val="en-US"/>
        </w:rPr>
        <w:t xml:space="preserve">with a </w:t>
      </w:r>
      <w:r w:rsidR="00813D19" w:rsidRPr="00813D19">
        <w:rPr>
          <w:lang w:val="en-US"/>
        </w:rPr>
        <w:t>minimum</w:t>
      </w:r>
      <w:r w:rsidR="00932396" w:rsidRPr="00813D19">
        <w:rPr>
          <w:lang w:val="en-US"/>
        </w:rPr>
        <w:t xml:space="preserve"> of </w:t>
      </w:r>
      <w:r w:rsidR="00DC215F" w:rsidRPr="00813D19">
        <w:rPr>
          <w:lang w:val="en-US"/>
        </w:rPr>
        <w:t xml:space="preserve">one third active support </w:t>
      </w:r>
      <w:r w:rsidR="00087166">
        <w:rPr>
          <w:lang w:val="en-US"/>
        </w:rPr>
        <w:t>at this stage for adoption.</w:t>
      </w:r>
    </w:p>
    <w:p w14:paraId="1593DB3B" w14:textId="2C14A094" w:rsidR="001139EC" w:rsidRPr="00813D19" w:rsidRDefault="001139EC" w:rsidP="00B97134">
      <w:pPr>
        <w:pStyle w:val="Orateurengris"/>
        <w:spacing w:before="120" w:after="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Armenia </w:t>
      </w:r>
      <w:r w:rsidR="00DC215F" w:rsidRPr="00813D19">
        <w:rPr>
          <w:lang w:val="en-US"/>
        </w:rPr>
        <w:t>thank</w:t>
      </w:r>
      <w:r w:rsidR="00932396" w:rsidRPr="00813D19">
        <w:rPr>
          <w:lang w:val="en-US"/>
        </w:rPr>
        <w:t>ed</w:t>
      </w:r>
      <w:r w:rsidR="00DC215F" w:rsidRPr="00813D19">
        <w:rPr>
          <w:lang w:val="en-US"/>
        </w:rPr>
        <w:t xml:space="preserve"> Cyprus</w:t>
      </w:r>
      <w:r w:rsidR="00932396" w:rsidRPr="00813D19">
        <w:rPr>
          <w:lang w:val="en-US"/>
        </w:rPr>
        <w:t xml:space="preserve"> for </w:t>
      </w:r>
      <w:r w:rsidR="00A502EB" w:rsidRPr="00813D19">
        <w:rPr>
          <w:lang w:val="en-US"/>
        </w:rPr>
        <w:t>its</w:t>
      </w:r>
      <w:r w:rsidR="00932396" w:rsidRPr="00813D19">
        <w:rPr>
          <w:lang w:val="en-US"/>
        </w:rPr>
        <w:t xml:space="preserve"> support, reiterating</w:t>
      </w:r>
      <w:r w:rsidR="00DC215F" w:rsidRPr="00813D19">
        <w:rPr>
          <w:lang w:val="en-US"/>
        </w:rPr>
        <w:t xml:space="preserve"> </w:t>
      </w:r>
      <w:r w:rsidR="00932396" w:rsidRPr="00813D19">
        <w:rPr>
          <w:lang w:val="en-US"/>
        </w:rPr>
        <w:t xml:space="preserve">its </w:t>
      </w:r>
      <w:r w:rsidR="00DC215F" w:rsidRPr="00813D19">
        <w:rPr>
          <w:lang w:val="en-US"/>
        </w:rPr>
        <w:t>request to the other Members of the Committee to support this amendment</w:t>
      </w:r>
      <w:r w:rsidR="00932396" w:rsidRPr="00813D19">
        <w:rPr>
          <w:lang w:val="en-US"/>
        </w:rPr>
        <w:t>, not because Armenia proposed</w:t>
      </w:r>
      <w:r w:rsidR="00DC215F" w:rsidRPr="00813D19">
        <w:rPr>
          <w:lang w:val="en-US"/>
        </w:rPr>
        <w:t xml:space="preserve"> </w:t>
      </w:r>
      <w:r w:rsidR="00932396" w:rsidRPr="00813D19">
        <w:rPr>
          <w:lang w:val="en-US"/>
        </w:rPr>
        <w:t xml:space="preserve">the </w:t>
      </w:r>
      <w:r w:rsidR="00DC215F" w:rsidRPr="00813D19">
        <w:rPr>
          <w:lang w:val="en-US"/>
        </w:rPr>
        <w:t xml:space="preserve">amendment but for the sake of UNESCO and </w:t>
      </w:r>
      <w:r w:rsidR="00932396" w:rsidRPr="00813D19">
        <w:rPr>
          <w:lang w:val="en-US"/>
        </w:rPr>
        <w:t xml:space="preserve">the </w:t>
      </w:r>
      <w:r w:rsidR="00A502EB" w:rsidRPr="00813D19">
        <w:rPr>
          <w:lang w:val="en-US"/>
        </w:rPr>
        <w:t xml:space="preserve">Convention, and </w:t>
      </w:r>
      <w:r w:rsidR="00AF3A74">
        <w:rPr>
          <w:lang w:val="en-US"/>
        </w:rPr>
        <w:t>because the report is i</w:t>
      </w:r>
      <w:r w:rsidR="00F1434E">
        <w:rPr>
          <w:lang w:val="en-US"/>
        </w:rPr>
        <w:t>n</w:t>
      </w:r>
      <w:r w:rsidR="00AF3A74">
        <w:rPr>
          <w:lang w:val="en-US"/>
        </w:rPr>
        <w:t xml:space="preserve">deed </w:t>
      </w:r>
      <w:r w:rsidR="00DC215F" w:rsidRPr="00813D19">
        <w:rPr>
          <w:lang w:val="en-US"/>
        </w:rPr>
        <w:t>politicized</w:t>
      </w:r>
      <w:r w:rsidR="00AF3A74">
        <w:rPr>
          <w:lang w:val="en-US"/>
        </w:rPr>
        <w:t>.</w:t>
      </w:r>
    </w:p>
    <w:p w14:paraId="40CBE8AE" w14:textId="160FA203" w:rsidR="00DC215F" w:rsidRPr="00813D19" w:rsidRDefault="00DC215F" w:rsidP="00B97134">
      <w:pPr>
        <w:pStyle w:val="Orateurengris"/>
        <w:spacing w:before="120" w:after="0"/>
        <w:ind w:left="709" w:hanging="709"/>
        <w:rPr>
          <w:color w:val="000000" w:themeColor="text1"/>
          <w:lang w:val="en-US"/>
        </w:rPr>
      </w:pPr>
      <w:r w:rsidRPr="00813D19">
        <w:rPr>
          <w:lang w:val="en-US"/>
        </w:rPr>
        <w:t xml:space="preserve">The </w:t>
      </w:r>
      <w:r w:rsidRPr="00813D19">
        <w:rPr>
          <w:b/>
          <w:lang w:val="en-US"/>
        </w:rPr>
        <w:t xml:space="preserve">Chairperson </w:t>
      </w:r>
      <w:r w:rsidR="00932396" w:rsidRPr="00813D19">
        <w:rPr>
          <w:lang w:val="en-US"/>
        </w:rPr>
        <w:t>noted a</w:t>
      </w:r>
      <w:r w:rsidR="00932396" w:rsidRPr="00813D19">
        <w:rPr>
          <w:b/>
          <w:lang w:val="en-US"/>
        </w:rPr>
        <w:t xml:space="preserve"> </w:t>
      </w:r>
      <w:r w:rsidR="001C0265" w:rsidRPr="00813D19">
        <w:rPr>
          <w:lang w:val="en-US"/>
        </w:rPr>
        <w:t>point of order</w:t>
      </w:r>
      <w:r w:rsidR="00932396" w:rsidRPr="00813D19">
        <w:rPr>
          <w:lang w:val="en-US"/>
        </w:rPr>
        <w:t xml:space="preserve"> by Azerbaijan</w:t>
      </w:r>
      <w:r w:rsidR="001C0265" w:rsidRPr="00813D19">
        <w:rPr>
          <w:lang w:val="en-US"/>
        </w:rPr>
        <w:t>.</w:t>
      </w:r>
    </w:p>
    <w:p w14:paraId="0509EC5C" w14:textId="4A1A9D30" w:rsidR="001139EC" w:rsidRPr="00813D19" w:rsidRDefault="001139EC" w:rsidP="001139EC">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Azerbaijan</w:t>
      </w:r>
      <w:r w:rsidRPr="00813D19">
        <w:rPr>
          <w:color w:val="000000" w:themeColor="text1"/>
          <w:lang w:val="en-US"/>
        </w:rPr>
        <w:t xml:space="preserve"> </w:t>
      </w:r>
      <w:r w:rsidR="00932396" w:rsidRPr="00813D19">
        <w:rPr>
          <w:color w:val="000000" w:themeColor="text1"/>
          <w:lang w:val="en-US"/>
        </w:rPr>
        <w:t xml:space="preserve">noted the resumption of the </w:t>
      </w:r>
      <w:r w:rsidR="00932396" w:rsidRPr="00813D19">
        <w:rPr>
          <w:lang w:val="en-US"/>
        </w:rPr>
        <w:t xml:space="preserve">debate when in fact the Committee was already </w:t>
      </w:r>
      <w:r w:rsidR="00DC215F" w:rsidRPr="00813D19">
        <w:rPr>
          <w:lang w:val="en-US"/>
        </w:rPr>
        <w:t>in the pr</w:t>
      </w:r>
      <w:r w:rsidR="00932396" w:rsidRPr="00813D19">
        <w:rPr>
          <w:lang w:val="en-US"/>
        </w:rPr>
        <w:t xml:space="preserve">ocess of adopting the decision. </w:t>
      </w:r>
      <w:r w:rsidR="00A502EB" w:rsidRPr="00813D19">
        <w:rPr>
          <w:lang w:val="en-US"/>
        </w:rPr>
        <w:t xml:space="preserve">It </w:t>
      </w:r>
      <w:r w:rsidR="008E03FA" w:rsidRPr="00813D19">
        <w:rPr>
          <w:lang w:val="en-US"/>
        </w:rPr>
        <w:t xml:space="preserve">urged </w:t>
      </w:r>
      <w:r w:rsidR="00A502EB" w:rsidRPr="00813D19">
        <w:rPr>
          <w:lang w:val="en-US"/>
        </w:rPr>
        <w:t xml:space="preserve">the </w:t>
      </w:r>
      <w:r w:rsidR="00932396" w:rsidRPr="00813D19">
        <w:rPr>
          <w:lang w:val="en-US"/>
        </w:rPr>
        <w:t>Committee</w:t>
      </w:r>
      <w:r w:rsidR="00A502EB" w:rsidRPr="00813D19">
        <w:rPr>
          <w:lang w:val="en-US"/>
        </w:rPr>
        <w:t xml:space="preserve"> to</w:t>
      </w:r>
      <w:r w:rsidR="00932396" w:rsidRPr="00813D19">
        <w:rPr>
          <w:lang w:val="en-US"/>
        </w:rPr>
        <w:t xml:space="preserve"> proceed </w:t>
      </w:r>
      <w:r w:rsidR="00DC215F" w:rsidRPr="00813D19">
        <w:rPr>
          <w:lang w:val="en-US"/>
        </w:rPr>
        <w:t xml:space="preserve">to </w:t>
      </w:r>
      <w:r w:rsidR="00932396" w:rsidRPr="00813D19">
        <w:rPr>
          <w:lang w:val="en-US"/>
        </w:rPr>
        <w:t xml:space="preserve">the </w:t>
      </w:r>
      <w:r w:rsidR="00DC215F" w:rsidRPr="00813D19">
        <w:rPr>
          <w:lang w:val="en-US"/>
        </w:rPr>
        <w:t xml:space="preserve">adoption of the decision as soon as possible </w:t>
      </w:r>
      <w:r w:rsidR="008E03FA" w:rsidRPr="00813D19">
        <w:rPr>
          <w:lang w:val="en-US"/>
        </w:rPr>
        <w:t xml:space="preserve">without opening up </w:t>
      </w:r>
      <w:r w:rsidR="00A502EB" w:rsidRPr="00813D19">
        <w:rPr>
          <w:lang w:val="en-US"/>
        </w:rPr>
        <w:t>the debate</w:t>
      </w:r>
      <w:r w:rsidR="008E03FA" w:rsidRPr="00813D19">
        <w:rPr>
          <w:lang w:val="en-US"/>
        </w:rPr>
        <w:t xml:space="preserve">, as expressed by the Philippines and Palestine, requesting that the Committee </w:t>
      </w:r>
      <w:r w:rsidR="00DC215F" w:rsidRPr="00813D19">
        <w:rPr>
          <w:lang w:val="en-US"/>
        </w:rPr>
        <w:t xml:space="preserve">follow the procedures </w:t>
      </w:r>
      <w:r w:rsidR="008E03FA" w:rsidRPr="00813D19">
        <w:rPr>
          <w:lang w:val="en-US"/>
        </w:rPr>
        <w:t xml:space="preserve">that were </w:t>
      </w:r>
      <w:r w:rsidR="00DC215F" w:rsidRPr="00813D19">
        <w:rPr>
          <w:lang w:val="en-US"/>
        </w:rPr>
        <w:t>adopted and recommen</w:t>
      </w:r>
      <w:r w:rsidR="008E03FA" w:rsidRPr="00813D19">
        <w:rPr>
          <w:lang w:val="en-US"/>
        </w:rPr>
        <w:t>ded by the ad hoc working group</w:t>
      </w:r>
      <w:r w:rsidR="00DC215F" w:rsidRPr="00813D19">
        <w:rPr>
          <w:lang w:val="en-US"/>
        </w:rPr>
        <w:t>.</w:t>
      </w:r>
    </w:p>
    <w:p w14:paraId="0C678272" w14:textId="69002A08" w:rsidR="001139EC" w:rsidRPr="00813D19" w:rsidRDefault="002656C4"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8E03FA" w:rsidRPr="00813D19">
        <w:rPr>
          <w:color w:val="000000" w:themeColor="text1"/>
          <w:lang w:val="en-US"/>
        </w:rPr>
        <w:t xml:space="preserve">wished to reassure the Committee that the debate would not be </w:t>
      </w:r>
      <w:r w:rsidR="00A502EB" w:rsidRPr="00813D19">
        <w:rPr>
          <w:lang w:val="en-US"/>
        </w:rPr>
        <w:t>re-opened</w:t>
      </w:r>
      <w:r w:rsidR="008E03FA" w:rsidRPr="00813D19">
        <w:rPr>
          <w:lang w:val="en-US"/>
        </w:rPr>
        <w:t xml:space="preserve">. The Committee was </w:t>
      </w:r>
      <w:r w:rsidR="0039672C">
        <w:rPr>
          <w:lang w:val="en-US"/>
        </w:rPr>
        <w:t>on the</w:t>
      </w:r>
      <w:r w:rsidR="00DC215F" w:rsidRPr="00813D19">
        <w:rPr>
          <w:lang w:val="en-US"/>
        </w:rPr>
        <w:t xml:space="preserve"> point of deciding whether </w:t>
      </w:r>
      <w:r w:rsidR="008E03FA" w:rsidRPr="00813D19">
        <w:rPr>
          <w:lang w:val="en-US"/>
        </w:rPr>
        <w:t xml:space="preserve">or not to </w:t>
      </w:r>
      <w:r w:rsidR="00DC215F" w:rsidRPr="00813D19">
        <w:rPr>
          <w:lang w:val="en-US"/>
        </w:rPr>
        <w:t xml:space="preserve">include a paragraph. </w:t>
      </w:r>
      <w:r w:rsidR="008E03FA" w:rsidRPr="00813D19">
        <w:rPr>
          <w:lang w:val="en-US"/>
        </w:rPr>
        <w:t xml:space="preserve">The Chairperson sought </w:t>
      </w:r>
      <w:r w:rsidR="00DC215F" w:rsidRPr="00813D19">
        <w:rPr>
          <w:lang w:val="en-US"/>
        </w:rPr>
        <w:t>active support</w:t>
      </w:r>
      <w:r w:rsidR="008E03FA" w:rsidRPr="00813D19">
        <w:rPr>
          <w:lang w:val="en-US"/>
        </w:rPr>
        <w:t>,</w:t>
      </w:r>
      <w:r w:rsidR="00DC215F" w:rsidRPr="00813D19">
        <w:rPr>
          <w:lang w:val="en-US"/>
        </w:rPr>
        <w:t xml:space="preserve"> and the Phil</w:t>
      </w:r>
      <w:r w:rsidR="008E03FA" w:rsidRPr="00813D19">
        <w:rPr>
          <w:lang w:val="en-US"/>
        </w:rPr>
        <w:t>ippines and Palestine expressed</w:t>
      </w:r>
      <w:r w:rsidR="00DC215F" w:rsidRPr="00813D19">
        <w:rPr>
          <w:lang w:val="en-US"/>
        </w:rPr>
        <w:t xml:space="preserve"> the opinion that </w:t>
      </w:r>
      <w:r w:rsidR="008E03FA" w:rsidRPr="00813D19">
        <w:rPr>
          <w:lang w:val="en-US"/>
        </w:rPr>
        <w:t xml:space="preserve">in fact there was no </w:t>
      </w:r>
      <w:r w:rsidR="00DC215F" w:rsidRPr="00813D19">
        <w:rPr>
          <w:lang w:val="en-US"/>
        </w:rPr>
        <w:t xml:space="preserve">active support to include </w:t>
      </w:r>
      <w:r w:rsidR="008E03FA" w:rsidRPr="00813D19">
        <w:rPr>
          <w:lang w:val="en-US"/>
        </w:rPr>
        <w:t xml:space="preserve">the new </w:t>
      </w:r>
      <w:r w:rsidR="00DC215F" w:rsidRPr="00813D19">
        <w:rPr>
          <w:lang w:val="en-US"/>
        </w:rPr>
        <w:t xml:space="preserve">paragraph. </w:t>
      </w:r>
      <w:r w:rsidR="008E03FA" w:rsidRPr="00813D19">
        <w:rPr>
          <w:lang w:val="en-US"/>
        </w:rPr>
        <w:t xml:space="preserve">Thus, </w:t>
      </w:r>
      <w:r w:rsidR="00DC215F" w:rsidRPr="00813D19">
        <w:rPr>
          <w:lang w:val="en-US"/>
        </w:rPr>
        <w:t>at this juncture</w:t>
      </w:r>
      <w:r w:rsidR="008E03FA" w:rsidRPr="00813D19">
        <w:rPr>
          <w:lang w:val="en-US"/>
        </w:rPr>
        <w:t>,</w:t>
      </w:r>
      <w:r w:rsidR="00DC215F" w:rsidRPr="00813D19">
        <w:rPr>
          <w:lang w:val="en-US"/>
        </w:rPr>
        <w:t xml:space="preserve"> </w:t>
      </w:r>
      <w:r w:rsidR="008E03FA" w:rsidRPr="00813D19">
        <w:rPr>
          <w:lang w:val="en-US"/>
        </w:rPr>
        <w:t xml:space="preserve">there was no </w:t>
      </w:r>
      <w:r w:rsidR="00DC215F" w:rsidRPr="00813D19">
        <w:rPr>
          <w:lang w:val="en-US"/>
        </w:rPr>
        <w:t>active support to amend paragraph 6</w:t>
      </w:r>
      <w:r w:rsidR="008E03FA" w:rsidRPr="00813D19">
        <w:rPr>
          <w:lang w:val="en-US"/>
        </w:rPr>
        <w:t xml:space="preserve">, </w:t>
      </w:r>
      <w:r w:rsidR="005139DD" w:rsidRPr="00813D19">
        <w:rPr>
          <w:lang w:val="en-US"/>
        </w:rPr>
        <w:t xml:space="preserve">which was </w:t>
      </w:r>
      <w:r w:rsidR="008C005B" w:rsidRPr="00813D19">
        <w:rPr>
          <w:lang w:val="en-US"/>
        </w:rPr>
        <w:t>deleted</w:t>
      </w:r>
      <w:r w:rsidR="005139DD" w:rsidRPr="00813D19">
        <w:rPr>
          <w:lang w:val="en-US"/>
        </w:rPr>
        <w:t xml:space="preserve">, </w:t>
      </w:r>
      <w:r w:rsidR="008E03FA" w:rsidRPr="00813D19">
        <w:rPr>
          <w:lang w:val="en-US"/>
        </w:rPr>
        <w:t>and the Chairperson turned to p</w:t>
      </w:r>
      <w:r w:rsidR="000D207E" w:rsidRPr="00813D19">
        <w:rPr>
          <w:lang w:val="en-US"/>
        </w:rPr>
        <w:t>aragraph 7 [</w:t>
      </w:r>
      <w:r w:rsidR="005139DD" w:rsidRPr="00813D19">
        <w:rPr>
          <w:lang w:val="en-US"/>
        </w:rPr>
        <w:t xml:space="preserve">now </w:t>
      </w:r>
      <w:r w:rsidR="008E03FA" w:rsidRPr="00813D19">
        <w:rPr>
          <w:lang w:val="en-US"/>
        </w:rPr>
        <w:t xml:space="preserve">paragraph </w:t>
      </w:r>
      <w:r w:rsidR="00CB7BB5" w:rsidRPr="00813D19">
        <w:rPr>
          <w:lang w:val="en-US"/>
        </w:rPr>
        <w:t>6</w:t>
      </w:r>
      <w:r w:rsidR="000D207E" w:rsidRPr="00813D19">
        <w:rPr>
          <w:lang w:val="en-US"/>
        </w:rPr>
        <w:t>]</w:t>
      </w:r>
      <w:r w:rsidR="00CB7BB5" w:rsidRPr="00813D19">
        <w:rPr>
          <w:lang w:val="en-US"/>
        </w:rPr>
        <w:t xml:space="preserve"> </w:t>
      </w:r>
      <w:r w:rsidR="005139DD" w:rsidRPr="00813D19">
        <w:rPr>
          <w:lang w:val="en-US"/>
        </w:rPr>
        <w:t xml:space="preserve">as amended </w:t>
      </w:r>
      <w:r w:rsidR="00CB7BB5" w:rsidRPr="00813D19">
        <w:rPr>
          <w:lang w:val="en-US"/>
        </w:rPr>
        <w:t>by Armenia</w:t>
      </w:r>
      <w:r w:rsidR="008C005B" w:rsidRPr="00813D19">
        <w:rPr>
          <w:lang w:val="en-US"/>
        </w:rPr>
        <w:t xml:space="preserve"> [requesting </w:t>
      </w:r>
      <w:r w:rsidR="0039672C">
        <w:rPr>
          <w:lang w:val="en-US"/>
        </w:rPr>
        <w:t xml:space="preserve">that </w:t>
      </w:r>
      <w:r w:rsidR="008C005B" w:rsidRPr="00813D19">
        <w:rPr>
          <w:lang w:val="en-US"/>
        </w:rPr>
        <w:t>the Secretariat work with the State Party on the resubmission of its first report]</w:t>
      </w:r>
      <w:r w:rsidR="00CB7BB5" w:rsidRPr="00813D19">
        <w:rPr>
          <w:lang w:val="en-US"/>
        </w:rPr>
        <w:t xml:space="preserve">. With no </w:t>
      </w:r>
      <w:r w:rsidR="0039672C">
        <w:rPr>
          <w:lang w:val="en-US"/>
        </w:rPr>
        <w:t>support voiced</w:t>
      </w:r>
      <w:r w:rsidR="00CB7BB5" w:rsidRPr="00813D19">
        <w:rPr>
          <w:lang w:val="en-US"/>
        </w:rPr>
        <w:t xml:space="preserve"> for the amended paragraph 6, it would </w:t>
      </w:r>
      <w:r w:rsidR="005139DD" w:rsidRPr="00813D19">
        <w:rPr>
          <w:lang w:val="en-US"/>
        </w:rPr>
        <w:t xml:space="preserve">also </w:t>
      </w:r>
      <w:r w:rsidR="00DC215F" w:rsidRPr="00813D19">
        <w:rPr>
          <w:lang w:val="en-US"/>
        </w:rPr>
        <w:t>not be</w:t>
      </w:r>
      <w:r w:rsidR="00CB7BB5" w:rsidRPr="00813D19">
        <w:rPr>
          <w:lang w:val="en-US"/>
        </w:rPr>
        <w:t xml:space="preserve"> </w:t>
      </w:r>
      <w:r w:rsidR="00087166">
        <w:rPr>
          <w:lang w:val="en-US"/>
        </w:rPr>
        <w:t>included in the final document.</w:t>
      </w:r>
    </w:p>
    <w:p w14:paraId="2569B68D" w14:textId="465963F3" w:rsidR="002656C4" w:rsidRPr="00813D19" w:rsidRDefault="004F48A4"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Pr="00813D19">
        <w:rPr>
          <w:color w:val="000000" w:themeColor="text1"/>
          <w:lang w:val="en-US"/>
        </w:rPr>
        <w:t xml:space="preserve"> </w:t>
      </w:r>
      <w:r w:rsidR="00CB7BB5" w:rsidRPr="00813D19">
        <w:rPr>
          <w:color w:val="000000" w:themeColor="text1"/>
          <w:lang w:val="en-US"/>
        </w:rPr>
        <w:t xml:space="preserve">sought </w:t>
      </w:r>
      <w:r w:rsidR="00DC215F" w:rsidRPr="00813D19">
        <w:rPr>
          <w:lang w:val="en-US"/>
        </w:rPr>
        <w:t>cla</w:t>
      </w:r>
      <w:r w:rsidR="00CB7BB5" w:rsidRPr="00813D19">
        <w:rPr>
          <w:lang w:val="en-US"/>
        </w:rPr>
        <w:t xml:space="preserve">rification </w:t>
      </w:r>
      <w:r w:rsidR="005139DD" w:rsidRPr="00813D19">
        <w:rPr>
          <w:lang w:val="en-US"/>
        </w:rPr>
        <w:t xml:space="preserve">as to whether </w:t>
      </w:r>
      <w:r w:rsidR="00CB7BB5" w:rsidRPr="00813D19">
        <w:rPr>
          <w:lang w:val="en-US"/>
        </w:rPr>
        <w:t xml:space="preserve">the new paragraph </w:t>
      </w:r>
      <w:r w:rsidR="005139DD" w:rsidRPr="00813D19">
        <w:rPr>
          <w:lang w:val="en-US"/>
        </w:rPr>
        <w:t>as amended</w:t>
      </w:r>
      <w:r w:rsidR="00CB7BB5" w:rsidRPr="00813D19">
        <w:rPr>
          <w:lang w:val="en-US"/>
        </w:rPr>
        <w:t xml:space="preserve"> by Armenia had been </w:t>
      </w:r>
      <w:r w:rsidR="008C005B" w:rsidRPr="00813D19">
        <w:rPr>
          <w:lang w:val="en-US"/>
        </w:rPr>
        <w:t>deleted</w:t>
      </w:r>
      <w:r w:rsidR="00087166">
        <w:rPr>
          <w:lang w:val="en-US"/>
        </w:rPr>
        <w:t>.</w:t>
      </w:r>
    </w:p>
    <w:p w14:paraId="5443AF59" w14:textId="08CC9BA5" w:rsidR="004F48A4" w:rsidRPr="00813D19" w:rsidRDefault="004F48A4"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CB7BB5" w:rsidRPr="00813D19">
        <w:rPr>
          <w:color w:val="000000" w:themeColor="text1"/>
          <w:lang w:val="en-US"/>
        </w:rPr>
        <w:t xml:space="preserve">confirmed that the two </w:t>
      </w:r>
      <w:r w:rsidR="005139DD" w:rsidRPr="00813D19">
        <w:rPr>
          <w:color w:val="000000" w:themeColor="text1"/>
          <w:lang w:val="en-US"/>
        </w:rPr>
        <w:t xml:space="preserve">amended </w:t>
      </w:r>
      <w:r w:rsidR="00CB7BB5" w:rsidRPr="00813D19">
        <w:rPr>
          <w:color w:val="000000" w:themeColor="text1"/>
          <w:lang w:val="en-US"/>
        </w:rPr>
        <w:t>paragraphs had be</w:t>
      </w:r>
      <w:r w:rsidR="005139DD" w:rsidRPr="00813D19">
        <w:rPr>
          <w:color w:val="000000" w:themeColor="text1"/>
          <w:lang w:val="en-US"/>
        </w:rPr>
        <w:t>e</w:t>
      </w:r>
      <w:r w:rsidR="00CB7BB5" w:rsidRPr="00813D19">
        <w:rPr>
          <w:color w:val="000000" w:themeColor="text1"/>
          <w:lang w:val="en-US"/>
        </w:rPr>
        <w:t xml:space="preserve">n </w:t>
      </w:r>
      <w:r w:rsidR="000D207E" w:rsidRPr="00813D19">
        <w:rPr>
          <w:color w:val="000000" w:themeColor="text1"/>
          <w:lang w:val="en-US"/>
        </w:rPr>
        <w:t>deleted</w:t>
      </w:r>
      <w:r w:rsidR="00CB7BB5" w:rsidRPr="00813D19">
        <w:rPr>
          <w:color w:val="000000" w:themeColor="text1"/>
          <w:lang w:val="en-US"/>
        </w:rPr>
        <w:t>.</w:t>
      </w:r>
    </w:p>
    <w:p w14:paraId="104050C6" w14:textId="3157C91C" w:rsidR="003003BF" w:rsidRPr="00813D19" w:rsidRDefault="003003BF" w:rsidP="00B97134">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DC215F" w:rsidRPr="00813D19">
        <w:rPr>
          <w:b/>
          <w:color w:val="000000" w:themeColor="text1"/>
          <w:lang w:val="en-US"/>
        </w:rPr>
        <w:t xml:space="preserve"> </w:t>
      </w:r>
      <w:r w:rsidR="005139DD" w:rsidRPr="00813D19">
        <w:rPr>
          <w:color w:val="000000" w:themeColor="text1"/>
          <w:lang w:val="en-US"/>
        </w:rPr>
        <w:t>took note</w:t>
      </w:r>
      <w:r w:rsidR="005139DD" w:rsidRPr="00813D19">
        <w:rPr>
          <w:b/>
          <w:color w:val="000000" w:themeColor="text1"/>
          <w:lang w:val="en-US"/>
        </w:rPr>
        <w:t xml:space="preserve"> </w:t>
      </w:r>
      <w:r w:rsidR="005139DD" w:rsidRPr="00813D19">
        <w:rPr>
          <w:color w:val="000000" w:themeColor="text1"/>
          <w:lang w:val="en-US"/>
        </w:rPr>
        <w:t xml:space="preserve">of the </w:t>
      </w:r>
      <w:r w:rsidR="000D207E" w:rsidRPr="00813D19">
        <w:rPr>
          <w:color w:val="000000" w:themeColor="text1"/>
          <w:lang w:val="en-US"/>
        </w:rPr>
        <w:t>deletion</w:t>
      </w:r>
      <w:r w:rsidR="005139DD" w:rsidRPr="00813D19">
        <w:rPr>
          <w:color w:val="000000" w:themeColor="text1"/>
          <w:lang w:val="en-US"/>
        </w:rPr>
        <w:t xml:space="preserve"> of </w:t>
      </w:r>
      <w:r w:rsidR="008C005B" w:rsidRPr="00813D19">
        <w:rPr>
          <w:color w:val="000000" w:themeColor="text1"/>
          <w:lang w:val="en-US"/>
        </w:rPr>
        <w:t xml:space="preserve">the </w:t>
      </w:r>
      <w:r w:rsidR="005139DD" w:rsidRPr="00813D19">
        <w:rPr>
          <w:color w:val="000000" w:themeColor="text1"/>
          <w:lang w:val="en-US"/>
        </w:rPr>
        <w:t xml:space="preserve">amended </w:t>
      </w:r>
      <w:r w:rsidR="00CB7BB5" w:rsidRPr="00813D19">
        <w:rPr>
          <w:lang w:val="en-US"/>
        </w:rPr>
        <w:t>paragraphs 6 and 7</w:t>
      </w:r>
      <w:r w:rsidR="00784C96" w:rsidRPr="00813D19">
        <w:rPr>
          <w:lang w:val="en-US"/>
        </w:rPr>
        <w:t>.</w:t>
      </w:r>
    </w:p>
    <w:p w14:paraId="18063DED" w14:textId="34D6B640" w:rsidR="003003BF" w:rsidRPr="00813D19" w:rsidRDefault="003003BF" w:rsidP="00B97134">
      <w:pPr>
        <w:pStyle w:val="Orateurengris"/>
        <w:spacing w:before="120" w:after="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0D207E" w:rsidRPr="00813D19">
        <w:rPr>
          <w:color w:val="000000" w:themeColor="text1"/>
          <w:lang w:val="en-US"/>
        </w:rPr>
        <w:t>re</w:t>
      </w:r>
      <w:r w:rsidR="005139DD" w:rsidRPr="00813D19">
        <w:rPr>
          <w:color w:val="000000" w:themeColor="text1"/>
          <w:lang w:val="en-US"/>
        </w:rPr>
        <w:t>turned to the</w:t>
      </w:r>
      <w:r w:rsidR="005139DD" w:rsidRPr="00813D19">
        <w:rPr>
          <w:b/>
          <w:color w:val="000000" w:themeColor="text1"/>
          <w:lang w:val="en-US"/>
        </w:rPr>
        <w:t xml:space="preserve"> </w:t>
      </w:r>
      <w:r w:rsidR="00DC215F" w:rsidRPr="00813D19">
        <w:rPr>
          <w:bCs/>
          <w:lang w:val="en-US"/>
        </w:rPr>
        <w:t>original paragraph 6</w:t>
      </w:r>
      <w:r w:rsidR="005139DD" w:rsidRPr="00813D19">
        <w:rPr>
          <w:bCs/>
          <w:lang w:val="en-US"/>
        </w:rPr>
        <w:t xml:space="preserve">, which was duly adopted. </w:t>
      </w:r>
      <w:r w:rsidR="00D75DDC" w:rsidRPr="00813D19">
        <w:rPr>
          <w:bCs/>
          <w:lang w:val="en-US"/>
        </w:rPr>
        <w:t xml:space="preserve">He then turned to </w:t>
      </w:r>
      <w:r w:rsidR="00784C96" w:rsidRPr="00813D19">
        <w:rPr>
          <w:bCs/>
          <w:lang w:val="en-US"/>
        </w:rPr>
        <w:t xml:space="preserve">the original </w:t>
      </w:r>
      <w:r w:rsidR="00D75DDC" w:rsidRPr="00813D19">
        <w:rPr>
          <w:bCs/>
          <w:lang w:val="en-US"/>
        </w:rPr>
        <w:t xml:space="preserve">paragraph 7, asking Armenia whether it wished to retain its amendment as </w:t>
      </w:r>
      <w:r w:rsidR="000D207E" w:rsidRPr="00813D19">
        <w:rPr>
          <w:bCs/>
          <w:lang w:val="en-US"/>
        </w:rPr>
        <w:t xml:space="preserve">it </w:t>
      </w:r>
      <w:r w:rsidR="00D75DDC" w:rsidRPr="00813D19">
        <w:rPr>
          <w:bCs/>
          <w:lang w:val="en-US"/>
        </w:rPr>
        <w:t xml:space="preserve">was </w:t>
      </w:r>
      <w:r w:rsidR="00DC215F" w:rsidRPr="00813D19">
        <w:rPr>
          <w:bCs/>
          <w:lang w:val="en-US"/>
        </w:rPr>
        <w:t xml:space="preserve">linked to </w:t>
      </w:r>
      <w:r w:rsidR="000D207E" w:rsidRPr="00813D19">
        <w:rPr>
          <w:bCs/>
          <w:lang w:val="en-US"/>
        </w:rPr>
        <w:t xml:space="preserve">the </w:t>
      </w:r>
      <w:r w:rsidR="00DC215F" w:rsidRPr="00813D19">
        <w:rPr>
          <w:bCs/>
          <w:lang w:val="en-US"/>
        </w:rPr>
        <w:t xml:space="preserve">previous amendment, which </w:t>
      </w:r>
      <w:r w:rsidR="00D75DDC" w:rsidRPr="00813D19">
        <w:rPr>
          <w:bCs/>
          <w:lang w:val="en-US"/>
        </w:rPr>
        <w:t>had not been retained.</w:t>
      </w:r>
    </w:p>
    <w:p w14:paraId="2F25A64B" w14:textId="3939292B" w:rsidR="00B97134" w:rsidRPr="00813D19" w:rsidRDefault="003003BF" w:rsidP="003003BF">
      <w:pPr>
        <w:pStyle w:val="Orateurengris"/>
        <w:spacing w:before="120" w:after="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Armenia</w:t>
      </w:r>
      <w:r w:rsidR="00DC215F" w:rsidRPr="00813D19">
        <w:rPr>
          <w:b/>
          <w:color w:val="000000" w:themeColor="text1"/>
          <w:lang w:val="en-US"/>
        </w:rPr>
        <w:t xml:space="preserve"> </w:t>
      </w:r>
      <w:r w:rsidR="00D75DDC" w:rsidRPr="00813D19">
        <w:rPr>
          <w:color w:val="000000" w:themeColor="text1"/>
          <w:lang w:val="en-US"/>
        </w:rPr>
        <w:t>thanked the Chairperson for his</w:t>
      </w:r>
      <w:r w:rsidR="00D75DDC" w:rsidRPr="00813D19">
        <w:rPr>
          <w:b/>
          <w:color w:val="000000" w:themeColor="text1"/>
          <w:lang w:val="en-US"/>
        </w:rPr>
        <w:t xml:space="preserve"> </w:t>
      </w:r>
      <w:r w:rsidR="00D75DDC" w:rsidRPr="00813D19">
        <w:rPr>
          <w:lang w:val="en-US"/>
        </w:rPr>
        <w:t xml:space="preserve">understanding, concurring that it was indeed a </w:t>
      </w:r>
      <w:r w:rsidR="00DC215F" w:rsidRPr="00813D19">
        <w:rPr>
          <w:lang w:val="en-US"/>
        </w:rPr>
        <w:t xml:space="preserve">continuation of </w:t>
      </w:r>
      <w:r w:rsidR="00D75DDC" w:rsidRPr="00813D19">
        <w:rPr>
          <w:lang w:val="en-US"/>
        </w:rPr>
        <w:t xml:space="preserve">its </w:t>
      </w:r>
      <w:r w:rsidR="00DC215F" w:rsidRPr="00813D19">
        <w:rPr>
          <w:lang w:val="en-US"/>
        </w:rPr>
        <w:t>amendments</w:t>
      </w:r>
      <w:r w:rsidR="00D75DDC" w:rsidRPr="00813D19">
        <w:rPr>
          <w:lang w:val="en-US"/>
        </w:rPr>
        <w:t>,</w:t>
      </w:r>
      <w:r w:rsidR="0039672C">
        <w:rPr>
          <w:lang w:val="en-US"/>
        </w:rPr>
        <w:t xml:space="preserve"> and</w:t>
      </w:r>
      <w:r w:rsidR="00D75DDC" w:rsidRPr="00813D19">
        <w:rPr>
          <w:lang w:val="en-US"/>
        </w:rPr>
        <w:t xml:space="preserve"> adding that following </w:t>
      </w:r>
      <w:r w:rsidR="000D207E" w:rsidRPr="00813D19">
        <w:rPr>
          <w:lang w:val="en-US"/>
        </w:rPr>
        <w:t>its</w:t>
      </w:r>
      <w:r w:rsidR="00D75DDC" w:rsidRPr="00813D19">
        <w:rPr>
          <w:lang w:val="en-US"/>
        </w:rPr>
        <w:t xml:space="preserve"> adoption it would </w:t>
      </w:r>
      <w:r w:rsidR="00DC215F" w:rsidRPr="00813D19">
        <w:rPr>
          <w:lang w:val="en-US"/>
        </w:rPr>
        <w:t xml:space="preserve">make an explanation of </w:t>
      </w:r>
      <w:r w:rsidR="00D75DDC" w:rsidRPr="00813D19">
        <w:rPr>
          <w:lang w:val="en-US"/>
        </w:rPr>
        <w:t xml:space="preserve">a </w:t>
      </w:r>
      <w:r w:rsidR="00DC215F" w:rsidRPr="00813D19">
        <w:rPr>
          <w:lang w:val="en-US"/>
        </w:rPr>
        <w:t xml:space="preserve">vote for the whole draft decision as it </w:t>
      </w:r>
      <w:r w:rsidR="00D75DDC" w:rsidRPr="00813D19">
        <w:rPr>
          <w:lang w:val="en-US"/>
        </w:rPr>
        <w:t>stood.</w:t>
      </w:r>
    </w:p>
    <w:p w14:paraId="35B6BD68" w14:textId="498DE785" w:rsidR="00BC7AFB" w:rsidRPr="00813D19" w:rsidRDefault="00BC7AFB" w:rsidP="003003BF">
      <w:pPr>
        <w:pStyle w:val="Orateurengris"/>
        <w:spacing w:before="120" w:after="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w:t>
      </w:r>
      <w:r w:rsidR="00D75DDC" w:rsidRPr="00813D19">
        <w:rPr>
          <w:lang w:val="en-US"/>
        </w:rPr>
        <w:t xml:space="preserve">asked Armenia whether it </w:t>
      </w:r>
      <w:r w:rsidR="00087166">
        <w:rPr>
          <w:bCs/>
          <w:lang w:val="en-US"/>
        </w:rPr>
        <w:t>was withdrawing its amendment.</w:t>
      </w:r>
    </w:p>
    <w:p w14:paraId="3E8D2236" w14:textId="6B44CEE8" w:rsidR="00BC7AFB" w:rsidRPr="00813D19" w:rsidRDefault="00BC7AFB" w:rsidP="003003BF">
      <w:pPr>
        <w:pStyle w:val="Orateurengris"/>
        <w:spacing w:before="120" w:after="0"/>
        <w:ind w:left="709" w:hanging="709"/>
        <w:rPr>
          <w:color w:val="000000" w:themeColor="text1"/>
          <w:lang w:val="en-US"/>
        </w:rPr>
      </w:pPr>
      <w:r w:rsidRPr="00813D19">
        <w:rPr>
          <w:lang w:val="en-US"/>
        </w:rPr>
        <w:t xml:space="preserve">The </w:t>
      </w:r>
      <w:r w:rsidRPr="00813D19">
        <w:rPr>
          <w:b/>
          <w:lang w:val="en-US"/>
        </w:rPr>
        <w:t xml:space="preserve">delegation of Armenia </w:t>
      </w:r>
      <w:r w:rsidR="00D75DDC" w:rsidRPr="00813D19">
        <w:rPr>
          <w:lang w:val="en-US"/>
        </w:rPr>
        <w:t>did not wish to</w:t>
      </w:r>
      <w:r w:rsidR="00D75DDC" w:rsidRPr="00813D19">
        <w:rPr>
          <w:b/>
          <w:lang w:val="en-US"/>
        </w:rPr>
        <w:t xml:space="preserve"> </w:t>
      </w:r>
      <w:r w:rsidR="00D75DDC" w:rsidRPr="00813D19">
        <w:rPr>
          <w:lang w:val="en-US"/>
        </w:rPr>
        <w:t>withdraw</w:t>
      </w:r>
      <w:r w:rsidRPr="00813D19">
        <w:rPr>
          <w:lang w:val="en-US"/>
        </w:rPr>
        <w:t xml:space="preserve"> </w:t>
      </w:r>
      <w:r w:rsidR="00D75DDC" w:rsidRPr="00813D19">
        <w:rPr>
          <w:lang w:val="en-US"/>
        </w:rPr>
        <w:t>its amendment because it was an outcome of the amendment</w:t>
      </w:r>
      <w:r w:rsidRPr="00813D19">
        <w:rPr>
          <w:lang w:val="en-US"/>
        </w:rPr>
        <w:t xml:space="preserve"> </w:t>
      </w:r>
      <w:r w:rsidR="00D75DDC" w:rsidRPr="00813D19">
        <w:rPr>
          <w:lang w:val="en-US"/>
        </w:rPr>
        <w:t xml:space="preserve">that was </w:t>
      </w:r>
      <w:r w:rsidRPr="00813D19">
        <w:rPr>
          <w:lang w:val="en-US"/>
        </w:rPr>
        <w:t>proposed befo</w:t>
      </w:r>
      <w:r w:rsidR="00D75DDC" w:rsidRPr="00813D19">
        <w:rPr>
          <w:lang w:val="en-US"/>
        </w:rPr>
        <w:t>re.</w:t>
      </w:r>
    </w:p>
    <w:p w14:paraId="54CC183A" w14:textId="74F62A6E" w:rsidR="00BC7AFB" w:rsidRPr="00813D19" w:rsidRDefault="00BC7AFB" w:rsidP="003003BF">
      <w:pPr>
        <w:pStyle w:val="Orateurengris"/>
        <w:spacing w:before="120" w:after="0"/>
        <w:ind w:left="709" w:hanging="709"/>
        <w:rPr>
          <w:color w:val="000000" w:themeColor="text1"/>
          <w:lang w:val="en-US"/>
        </w:rPr>
      </w:pPr>
      <w:r w:rsidRPr="00813D19">
        <w:rPr>
          <w:lang w:val="en-US"/>
        </w:rPr>
        <w:t xml:space="preserve">The </w:t>
      </w:r>
      <w:r w:rsidRPr="00813D19">
        <w:rPr>
          <w:b/>
          <w:lang w:val="en-US"/>
        </w:rPr>
        <w:t xml:space="preserve">Chairperson </w:t>
      </w:r>
      <w:r w:rsidR="00784C96" w:rsidRPr="00813D19">
        <w:rPr>
          <w:lang w:val="en-US"/>
        </w:rPr>
        <w:t xml:space="preserve">noted that there was no active </w:t>
      </w:r>
      <w:r w:rsidR="00784C96" w:rsidRPr="00813D19">
        <w:rPr>
          <w:bCs/>
          <w:lang w:val="en-US"/>
        </w:rPr>
        <w:t xml:space="preserve">support for </w:t>
      </w:r>
      <w:r w:rsidR="000D207E" w:rsidRPr="00813D19">
        <w:rPr>
          <w:bCs/>
          <w:lang w:val="en-US"/>
        </w:rPr>
        <w:t>the</w:t>
      </w:r>
      <w:r w:rsidR="00784C96" w:rsidRPr="00813D19">
        <w:rPr>
          <w:bCs/>
          <w:lang w:val="en-US"/>
        </w:rPr>
        <w:t xml:space="preserve"> amendment i</w:t>
      </w:r>
      <w:r w:rsidR="008C005B" w:rsidRPr="00813D19">
        <w:rPr>
          <w:bCs/>
          <w:lang w:val="en-US"/>
        </w:rPr>
        <w:t>n paragraph 7</w:t>
      </w:r>
      <w:r w:rsidR="00784C96" w:rsidRPr="00813D19">
        <w:rPr>
          <w:bCs/>
          <w:lang w:val="en-US"/>
        </w:rPr>
        <w:t xml:space="preserve"> and the </w:t>
      </w:r>
      <w:r w:rsidRPr="00813D19">
        <w:rPr>
          <w:bCs/>
          <w:lang w:val="en-US"/>
        </w:rPr>
        <w:t xml:space="preserve">original paragraph </w:t>
      </w:r>
      <w:r w:rsidR="00784C96" w:rsidRPr="00813D19">
        <w:rPr>
          <w:bCs/>
          <w:lang w:val="en-US"/>
        </w:rPr>
        <w:t xml:space="preserve">7 was duly adopted. </w:t>
      </w:r>
      <w:r w:rsidR="000D207E" w:rsidRPr="00813D19">
        <w:rPr>
          <w:bCs/>
          <w:lang w:val="en-US"/>
        </w:rPr>
        <w:t xml:space="preserve">The Chairperson </w:t>
      </w:r>
      <w:r w:rsidR="00784C96" w:rsidRPr="00813D19">
        <w:rPr>
          <w:bCs/>
          <w:lang w:val="en-US"/>
        </w:rPr>
        <w:t>then tur</w:t>
      </w:r>
      <w:r w:rsidR="000D207E" w:rsidRPr="00813D19">
        <w:rPr>
          <w:bCs/>
          <w:lang w:val="en-US"/>
        </w:rPr>
        <w:t>n</w:t>
      </w:r>
      <w:r w:rsidR="00784C96" w:rsidRPr="00813D19">
        <w:rPr>
          <w:bCs/>
          <w:lang w:val="en-US"/>
        </w:rPr>
        <w:t>ed to the adoption of</w:t>
      </w:r>
      <w:r w:rsidR="00087166">
        <w:rPr>
          <w:bCs/>
          <w:lang w:val="en-US"/>
        </w:rPr>
        <w:t xml:space="preserve"> the draft decision as a whole.</w:t>
      </w:r>
    </w:p>
    <w:p w14:paraId="34CA49BB" w14:textId="38CEDC16" w:rsidR="00BC7AFB" w:rsidRPr="00813D19" w:rsidRDefault="00BC7AFB" w:rsidP="003003BF">
      <w:pPr>
        <w:pStyle w:val="Orateurengris"/>
        <w:spacing w:before="120" w:after="0"/>
        <w:ind w:left="709" w:hanging="709"/>
        <w:rPr>
          <w:color w:val="000000" w:themeColor="text1"/>
          <w:lang w:val="en-US"/>
        </w:rPr>
      </w:pPr>
      <w:r w:rsidRPr="00813D19">
        <w:rPr>
          <w:lang w:val="en-US"/>
        </w:rPr>
        <w:t xml:space="preserve">The </w:t>
      </w:r>
      <w:r w:rsidRPr="00813D19">
        <w:rPr>
          <w:b/>
          <w:lang w:val="en-US"/>
        </w:rPr>
        <w:t xml:space="preserve">delegation of Armenia </w:t>
      </w:r>
      <w:r w:rsidR="00784C96" w:rsidRPr="00813D19">
        <w:rPr>
          <w:lang w:val="en-US"/>
        </w:rPr>
        <w:t>rejected</w:t>
      </w:r>
      <w:r w:rsidRPr="00813D19">
        <w:rPr>
          <w:lang w:val="en-US"/>
        </w:rPr>
        <w:t xml:space="preserve"> </w:t>
      </w:r>
      <w:r w:rsidR="00784C96" w:rsidRPr="00813D19">
        <w:rPr>
          <w:lang w:val="en-US"/>
        </w:rPr>
        <w:t xml:space="preserve">the paragraphs of the </w:t>
      </w:r>
      <w:r w:rsidRPr="00813D19">
        <w:rPr>
          <w:lang w:val="en-US"/>
        </w:rPr>
        <w:t xml:space="preserve">draft decision as it </w:t>
      </w:r>
      <w:r w:rsidR="000D207E" w:rsidRPr="00813D19">
        <w:rPr>
          <w:lang w:val="en-US"/>
        </w:rPr>
        <w:t>stood</w:t>
      </w:r>
      <w:r w:rsidR="00784C96" w:rsidRPr="00813D19">
        <w:rPr>
          <w:lang w:val="en-US"/>
        </w:rPr>
        <w:t xml:space="preserve"> and as a </w:t>
      </w:r>
      <w:r w:rsidRPr="00813D19">
        <w:rPr>
          <w:lang w:val="en-US"/>
        </w:rPr>
        <w:t>whole</w:t>
      </w:r>
      <w:r w:rsidR="00784C96" w:rsidRPr="00813D19">
        <w:rPr>
          <w:lang w:val="en-US"/>
        </w:rPr>
        <w:t>,</w:t>
      </w:r>
      <w:r w:rsidRPr="00813D19">
        <w:rPr>
          <w:lang w:val="en-US"/>
        </w:rPr>
        <w:t xml:space="preserve"> </w:t>
      </w:r>
      <w:r w:rsidR="000D207E" w:rsidRPr="00813D19">
        <w:rPr>
          <w:lang w:val="en-US"/>
        </w:rPr>
        <w:t xml:space="preserve">regretting </w:t>
      </w:r>
      <w:r w:rsidRPr="00813D19">
        <w:rPr>
          <w:lang w:val="en-US"/>
        </w:rPr>
        <w:t xml:space="preserve">that this draft decision </w:t>
      </w:r>
      <w:r w:rsidR="000D207E" w:rsidRPr="00813D19">
        <w:rPr>
          <w:lang w:val="en-US"/>
        </w:rPr>
        <w:t>had been</w:t>
      </w:r>
      <w:r w:rsidR="00784C96" w:rsidRPr="00813D19">
        <w:rPr>
          <w:lang w:val="en-US"/>
        </w:rPr>
        <w:t xml:space="preserve"> </w:t>
      </w:r>
      <w:r w:rsidRPr="00813D19">
        <w:rPr>
          <w:lang w:val="en-US"/>
        </w:rPr>
        <w:t xml:space="preserve">accepted by </w:t>
      </w:r>
      <w:r w:rsidR="00784C96" w:rsidRPr="00813D19">
        <w:rPr>
          <w:lang w:val="en-US"/>
        </w:rPr>
        <w:t xml:space="preserve">the </w:t>
      </w:r>
      <w:r w:rsidRPr="00813D19">
        <w:rPr>
          <w:lang w:val="en-US"/>
        </w:rPr>
        <w:t>Committee</w:t>
      </w:r>
      <w:r w:rsidR="00784C96" w:rsidRPr="00813D19">
        <w:rPr>
          <w:lang w:val="en-US"/>
        </w:rPr>
        <w:t xml:space="preserve">. It thus voted against this draft decision and found it </w:t>
      </w:r>
      <w:r w:rsidRPr="00813D19">
        <w:rPr>
          <w:lang w:val="en-US"/>
        </w:rPr>
        <w:t xml:space="preserve">unacceptable </w:t>
      </w:r>
      <w:r w:rsidR="00784C96" w:rsidRPr="00813D19">
        <w:rPr>
          <w:lang w:val="en-US"/>
        </w:rPr>
        <w:t>that the report had been approved</w:t>
      </w:r>
      <w:r w:rsidR="00087166">
        <w:rPr>
          <w:lang w:val="en-US"/>
        </w:rPr>
        <w:t>.</w:t>
      </w:r>
    </w:p>
    <w:p w14:paraId="5F0EDA0A" w14:textId="24A9005F" w:rsidR="003003BF" w:rsidRPr="00813D19" w:rsidRDefault="003F18FB" w:rsidP="003003BF">
      <w:pPr>
        <w:pStyle w:val="Orateurengris"/>
        <w:spacing w:before="120" w:after="0"/>
        <w:ind w:left="709" w:hanging="709"/>
        <w:rPr>
          <w:color w:val="000000" w:themeColor="text1"/>
          <w:lang w:val="en-US"/>
        </w:rPr>
      </w:pPr>
      <w:r w:rsidRPr="00813D19">
        <w:rPr>
          <w:lang w:val="en-US"/>
        </w:rPr>
        <w:t xml:space="preserve">Thanking the Committee, </w:t>
      </w:r>
      <w:r w:rsidRPr="00813D19">
        <w:rPr>
          <w:color w:val="000000" w:themeColor="text1"/>
          <w:lang w:val="en-US"/>
        </w:rPr>
        <w:t>t</w:t>
      </w:r>
      <w:r w:rsidR="003003BF" w:rsidRPr="00813D19">
        <w:rPr>
          <w:color w:val="000000" w:themeColor="text1"/>
          <w:lang w:val="en-US"/>
        </w:rPr>
        <w:t xml:space="preserve">he </w:t>
      </w:r>
      <w:r w:rsidR="003003BF" w:rsidRPr="00813D19">
        <w:rPr>
          <w:b/>
          <w:color w:val="000000" w:themeColor="text1"/>
          <w:lang w:val="en-US"/>
        </w:rPr>
        <w:t>delegation of Azerbaijan</w:t>
      </w:r>
      <w:r w:rsidR="00BC7AFB" w:rsidRPr="00813D19">
        <w:rPr>
          <w:b/>
          <w:color w:val="000000" w:themeColor="text1"/>
          <w:lang w:val="en-US"/>
        </w:rPr>
        <w:t xml:space="preserve"> </w:t>
      </w:r>
      <w:r w:rsidR="00784C96" w:rsidRPr="00813D19">
        <w:rPr>
          <w:lang w:val="en-US"/>
        </w:rPr>
        <w:t xml:space="preserve">wished to speak following the </w:t>
      </w:r>
      <w:r w:rsidR="00BC7AFB" w:rsidRPr="00813D19">
        <w:rPr>
          <w:lang w:val="en-US"/>
        </w:rPr>
        <w:t>a</w:t>
      </w:r>
      <w:r w:rsidR="00087166">
        <w:rPr>
          <w:lang w:val="en-US"/>
        </w:rPr>
        <w:t>doption of the entire decision.</w:t>
      </w:r>
    </w:p>
    <w:p w14:paraId="3950ECCB" w14:textId="2E612668" w:rsidR="003003BF" w:rsidRPr="00813D19" w:rsidRDefault="00784C96" w:rsidP="003003BF">
      <w:pPr>
        <w:pStyle w:val="Orateurengris"/>
        <w:spacing w:before="120" w:after="0"/>
        <w:ind w:left="709" w:hanging="709"/>
        <w:rPr>
          <w:color w:val="000000" w:themeColor="text1"/>
          <w:lang w:val="en-US"/>
        </w:rPr>
      </w:pPr>
      <w:r w:rsidRPr="00813D19">
        <w:rPr>
          <w:color w:val="000000" w:themeColor="text1"/>
          <w:lang w:val="en-US"/>
        </w:rPr>
        <w:t>With</w:t>
      </w:r>
      <w:r w:rsidR="000D207E" w:rsidRPr="00813D19">
        <w:rPr>
          <w:color w:val="000000" w:themeColor="text1"/>
          <w:lang w:val="en-US"/>
        </w:rPr>
        <w:t xml:space="preserve"> </w:t>
      </w:r>
      <w:r w:rsidRPr="00813D19">
        <w:rPr>
          <w:color w:val="000000" w:themeColor="text1"/>
          <w:lang w:val="en-US"/>
        </w:rPr>
        <w:t>no further comments, t</w:t>
      </w:r>
      <w:r w:rsidR="003003BF" w:rsidRPr="00813D19">
        <w:rPr>
          <w:color w:val="000000" w:themeColor="text1"/>
          <w:lang w:val="en-US"/>
        </w:rPr>
        <w:t>he</w:t>
      </w:r>
      <w:r w:rsidR="003003BF" w:rsidRPr="00813D19">
        <w:rPr>
          <w:b/>
          <w:color w:val="000000" w:themeColor="text1"/>
          <w:lang w:val="en-US"/>
        </w:rPr>
        <w:t xml:space="preserve"> Chairperson </w:t>
      </w:r>
      <w:r w:rsidRPr="00813D19">
        <w:rPr>
          <w:b/>
          <w:color w:val="000000" w:themeColor="text1"/>
          <w:lang w:val="en-US"/>
        </w:rPr>
        <w:t xml:space="preserve">declared Decision </w:t>
      </w:r>
      <w:hyperlink r:id="rId75" w:history="1">
        <w:r w:rsidR="00BC7AFB" w:rsidRPr="00813D19">
          <w:rPr>
            <w:rStyle w:val="Hyperlink"/>
            <w:b/>
            <w:bCs/>
            <w:lang w:val="en-US"/>
          </w:rPr>
          <w:t>13.COM 7.b</w:t>
        </w:r>
        <w:r w:rsidR="005A3123">
          <w:rPr>
            <w:rStyle w:val="Hyperlink"/>
            <w:b/>
            <w:bCs/>
            <w:lang w:val="en-US"/>
          </w:rPr>
          <w:t>.</w:t>
        </w:r>
        <w:r w:rsidR="00BC7AFB" w:rsidRPr="00813D19">
          <w:rPr>
            <w:rStyle w:val="Hyperlink"/>
            <w:b/>
            <w:bCs/>
            <w:lang w:val="en-US"/>
          </w:rPr>
          <w:t>1</w:t>
        </w:r>
      </w:hyperlink>
      <w:r w:rsidR="00BC7AFB" w:rsidRPr="00813D19">
        <w:rPr>
          <w:b/>
          <w:bCs/>
          <w:lang w:val="en-US"/>
        </w:rPr>
        <w:t xml:space="preserve"> adopted</w:t>
      </w:r>
      <w:r w:rsidRPr="00087166">
        <w:rPr>
          <w:lang w:val="en-US"/>
        </w:rPr>
        <w:t>.</w:t>
      </w:r>
    </w:p>
    <w:p w14:paraId="7384EC80" w14:textId="6E5C4275" w:rsidR="003003BF" w:rsidRPr="00813D19" w:rsidRDefault="003003BF" w:rsidP="003003BF">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Azerbaijan</w:t>
      </w:r>
      <w:r w:rsidR="00BC7AFB" w:rsidRPr="00813D19">
        <w:rPr>
          <w:b/>
          <w:color w:val="000000" w:themeColor="text1"/>
          <w:lang w:val="en-US"/>
        </w:rPr>
        <w:t xml:space="preserve"> </w:t>
      </w:r>
      <w:r w:rsidR="00807932" w:rsidRPr="00813D19">
        <w:rPr>
          <w:lang w:val="en-US"/>
        </w:rPr>
        <w:t>thanked</w:t>
      </w:r>
      <w:r w:rsidR="00BC7AFB" w:rsidRPr="00813D19">
        <w:rPr>
          <w:lang w:val="en-US"/>
        </w:rPr>
        <w:t xml:space="preserve"> the Committee for </w:t>
      </w:r>
      <w:r w:rsidR="000D207E" w:rsidRPr="00813D19">
        <w:rPr>
          <w:lang w:val="en-US"/>
        </w:rPr>
        <w:t>its</w:t>
      </w:r>
      <w:r w:rsidR="00BC7AFB" w:rsidRPr="00813D19">
        <w:rPr>
          <w:lang w:val="en-US"/>
        </w:rPr>
        <w:t xml:space="preserve"> decision regarding the status of the element Chovqan </w:t>
      </w:r>
      <w:r w:rsidR="00BC7AFB" w:rsidRPr="00813D19">
        <w:rPr>
          <w:bCs/>
          <w:lang w:val="en-US"/>
        </w:rPr>
        <w:t>a traditional Karabakh horse-riding game</w:t>
      </w:r>
      <w:r w:rsidR="0039672C">
        <w:rPr>
          <w:bCs/>
          <w:lang w:val="en-US"/>
        </w:rPr>
        <w:t>,</w:t>
      </w:r>
      <w:r w:rsidR="00BC7AFB" w:rsidRPr="00813D19">
        <w:rPr>
          <w:bCs/>
          <w:lang w:val="en-US"/>
        </w:rPr>
        <w:t xml:space="preserve"> inscribed on the Urgent Safeguarding List since 2013. </w:t>
      </w:r>
      <w:r w:rsidR="00807932" w:rsidRPr="00813D19">
        <w:rPr>
          <w:bCs/>
          <w:lang w:val="en-US"/>
        </w:rPr>
        <w:t xml:space="preserve">It was </w:t>
      </w:r>
      <w:r w:rsidR="00BC7AFB" w:rsidRPr="00813D19">
        <w:rPr>
          <w:bCs/>
          <w:lang w:val="en-US"/>
        </w:rPr>
        <w:t>pleased to see that the efforts of the communities to safeguard this tradition</w:t>
      </w:r>
      <w:r w:rsidR="00807932" w:rsidRPr="00813D19">
        <w:rPr>
          <w:bCs/>
          <w:lang w:val="en-US"/>
        </w:rPr>
        <w:t>al game had</w:t>
      </w:r>
      <w:r w:rsidR="00BC7AFB" w:rsidRPr="00813D19">
        <w:rPr>
          <w:bCs/>
          <w:lang w:val="en-US"/>
        </w:rPr>
        <w:t xml:space="preserve"> been acknowledged by the Committee</w:t>
      </w:r>
      <w:r w:rsidR="00647798" w:rsidRPr="00813D19">
        <w:rPr>
          <w:bCs/>
          <w:lang w:val="en-US"/>
        </w:rPr>
        <w:t xml:space="preserve">, </w:t>
      </w:r>
      <w:r w:rsidR="00BC7AFB" w:rsidRPr="00813D19">
        <w:rPr>
          <w:bCs/>
          <w:lang w:val="en-US"/>
        </w:rPr>
        <w:t xml:space="preserve">and </w:t>
      </w:r>
      <w:r w:rsidR="00807932" w:rsidRPr="00813D19">
        <w:rPr>
          <w:bCs/>
          <w:lang w:val="en-US"/>
        </w:rPr>
        <w:t xml:space="preserve">it </w:t>
      </w:r>
      <w:r w:rsidR="00BC7AFB" w:rsidRPr="00813D19">
        <w:rPr>
          <w:bCs/>
          <w:lang w:val="en-US"/>
        </w:rPr>
        <w:t>appreciate</w:t>
      </w:r>
      <w:r w:rsidR="00807932" w:rsidRPr="00813D19">
        <w:rPr>
          <w:bCs/>
          <w:lang w:val="en-US"/>
        </w:rPr>
        <w:t>d</w:t>
      </w:r>
      <w:r w:rsidR="00BC7AFB" w:rsidRPr="00813D19">
        <w:rPr>
          <w:bCs/>
          <w:lang w:val="en-US"/>
        </w:rPr>
        <w:t xml:space="preserve"> the position of the Committee </w:t>
      </w:r>
      <w:r w:rsidR="00807932" w:rsidRPr="00813D19">
        <w:rPr>
          <w:bCs/>
          <w:lang w:val="en-US"/>
        </w:rPr>
        <w:t xml:space="preserve">on </w:t>
      </w:r>
      <w:r w:rsidR="00BC7AFB" w:rsidRPr="00813D19">
        <w:rPr>
          <w:bCs/>
          <w:lang w:val="en-US"/>
        </w:rPr>
        <w:t>this issue. The experie</w:t>
      </w:r>
      <w:r w:rsidR="00807932" w:rsidRPr="00813D19">
        <w:rPr>
          <w:bCs/>
          <w:lang w:val="en-US"/>
        </w:rPr>
        <w:t>nce in preparing this report had</w:t>
      </w:r>
      <w:r w:rsidR="00BC7AFB" w:rsidRPr="00813D19">
        <w:rPr>
          <w:bCs/>
          <w:lang w:val="en-US"/>
        </w:rPr>
        <w:t xml:space="preserve"> been very important for all the major stakeholders involved in the safeguarding of </w:t>
      </w:r>
      <w:r w:rsidR="00BC7AFB" w:rsidRPr="00813D19">
        <w:rPr>
          <w:lang w:val="en-US"/>
        </w:rPr>
        <w:t xml:space="preserve">Chovqan </w:t>
      </w:r>
      <w:r w:rsidR="00BC7AFB" w:rsidRPr="00813D19">
        <w:rPr>
          <w:bCs/>
          <w:lang w:val="en-US"/>
        </w:rPr>
        <w:t>in Azerbaijan</w:t>
      </w:r>
      <w:r w:rsidR="00807932" w:rsidRPr="00813D19">
        <w:rPr>
          <w:bCs/>
          <w:lang w:val="en-US"/>
        </w:rPr>
        <w:t>,</w:t>
      </w:r>
      <w:r w:rsidR="00647798" w:rsidRPr="00813D19">
        <w:rPr>
          <w:bCs/>
          <w:lang w:val="en-US"/>
        </w:rPr>
        <w:t xml:space="preserve"> which </w:t>
      </w:r>
      <w:r w:rsidR="00807932" w:rsidRPr="00813D19">
        <w:rPr>
          <w:bCs/>
          <w:lang w:val="en-US"/>
        </w:rPr>
        <w:t xml:space="preserve">would </w:t>
      </w:r>
      <w:r w:rsidR="00BC7AFB" w:rsidRPr="00813D19">
        <w:rPr>
          <w:bCs/>
          <w:lang w:val="en-US"/>
        </w:rPr>
        <w:t>contribute to monitoring the safeguarding process as a whole. The main community organizations linked to the ele</w:t>
      </w:r>
      <w:r w:rsidR="00807932" w:rsidRPr="00813D19">
        <w:rPr>
          <w:bCs/>
          <w:lang w:val="en-US"/>
        </w:rPr>
        <w:t>ment, Karabakh horses, amateur</w:t>
      </w:r>
      <w:r w:rsidR="00BC7AFB" w:rsidRPr="00813D19">
        <w:rPr>
          <w:bCs/>
          <w:lang w:val="en-US"/>
        </w:rPr>
        <w:t xml:space="preserve"> associations and </w:t>
      </w:r>
      <w:r w:rsidR="00807932" w:rsidRPr="00813D19">
        <w:rPr>
          <w:bCs/>
          <w:lang w:val="en-US"/>
        </w:rPr>
        <w:t xml:space="preserve">the </w:t>
      </w:r>
      <w:r w:rsidR="00BC7AFB" w:rsidRPr="00813D19">
        <w:rPr>
          <w:bCs/>
          <w:lang w:val="en-US"/>
        </w:rPr>
        <w:t>Azerbaijani Equestrian Federation w</w:t>
      </w:r>
      <w:r w:rsidR="009F7ED0">
        <w:rPr>
          <w:bCs/>
          <w:lang w:val="en-US"/>
        </w:rPr>
        <w:t>ould</w:t>
      </w:r>
      <w:r w:rsidR="00BC7AFB" w:rsidRPr="00813D19">
        <w:rPr>
          <w:bCs/>
          <w:lang w:val="en-US"/>
        </w:rPr>
        <w:t xml:space="preserve"> continue their efforts to reinforce the transmi</w:t>
      </w:r>
      <w:r w:rsidR="00807932" w:rsidRPr="00813D19">
        <w:rPr>
          <w:bCs/>
          <w:lang w:val="en-US"/>
        </w:rPr>
        <w:t>ssion and viability of the game, involving</w:t>
      </w:r>
      <w:r w:rsidR="00BC7AFB" w:rsidRPr="00813D19">
        <w:rPr>
          <w:bCs/>
          <w:lang w:val="en-US"/>
        </w:rPr>
        <w:t xml:space="preserve"> the communities concerned </w:t>
      </w:r>
      <w:r w:rsidR="00807932" w:rsidRPr="00813D19">
        <w:rPr>
          <w:bCs/>
          <w:lang w:val="en-US"/>
        </w:rPr>
        <w:t xml:space="preserve">as widely as possible, </w:t>
      </w:r>
      <w:r w:rsidR="00BC7AFB" w:rsidRPr="00813D19">
        <w:rPr>
          <w:bCs/>
          <w:lang w:val="en-US"/>
        </w:rPr>
        <w:t>especially young people</w:t>
      </w:r>
      <w:r w:rsidR="009F7ED0">
        <w:rPr>
          <w:bCs/>
          <w:lang w:val="en-US"/>
        </w:rPr>
        <w:t>,</w:t>
      </w:r>
      <w:r w:rsidR="00BC7AFB" w:rsidRPr="00813D19">
        <w:rPr>
          <w:bCs/>
          <w:lang w:val="en-US"/>
        </w:rPr>
        <w:t xml:space="preserve"> despite </w:t>
      </w:r>
      <w:r w:rsidR="00807932" w:rsidRPr="00813D19">
        <w:rPr>
          <w:bCs/>
          <w:lang w:val="en-US"/>
        </w:rPr>
        <w:t xml:space="preserve">the ongoing </w:t>
      </w:r>
      <w:r w:rsidR="00BC7AFB" w:rsidRPr="00813D19">
        <w:rPr>
          <w:bCs/>
          <w:lang w:val="en-US"/>
        </w:rPr>
        <w:t>threats to the element</w:t>
      </w:r>
      <w:r w:rsidR="00807932" w:rsidRPr="00813D19">
        <w:rPr>
          <w:bCs/>
          <w:lang w:val="en-US"/>
        </w:rPr>
        <w:t>. Azerbaijan was committed to continuing</w:t>
      </w:r>
      <w:r w:rsidR="00BC7AFB" w:rsidRPr="00813D19">
        <w:rPr>
          <w:bCs/>
          <w:lang w:val="en-US"/>
        </w:rPr>
        <w:t xml:space="preserve"> </w:t>
      </w:r>
      <w:r w:rsidR="00807932" w:rsidRPr="00813D19">
        <w:rPr>
          <w:bCs/>
          <w:lang w:val="en-US"/>
        </w:rPr>
        <w:t xml:space="preserve">its </w:t>
      </w:r>
      <w:r w:rsidR="00BC7AFB" w:rsidRPr="00813D19">
        <w:rPr>
          <w:bCs/>
          <w:lang w:val="en-US"/>
        </w:rPr>
        <w:t>active safeguarding efforts by supporting the transmissio</w:t>
      </w:r>
      <w:r w:rsidR="00087166">
        <w:rPr>
          <w:bCs/>
          <w:lang w:val="en-US"/>
        </w:rPr>
        <w:t>n and promotion of the element.</w:t>
      </w:r>
    </w:p>
    <w:p w14:paraId="424CDF94" w14:textId="7C3AA6B6" w:rsidR="00D51296" w:rsidRPr="00813D19" w:rsidRDefault="000E7BD3" w:rsidP="00D51296">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594327" w:rsidRPr="00813D19">
        <w:rPr>
          <w:color w:val="000000" w:themeColor="text1"/>
          <w:lang w:val="en-US"/>
        </w:rPr>
        <w:t xml:space="preserve">recalled that the Committee </w:t>
      </w:r>
      <w:r w:rsidR="009F7ED0">
        <w:rPr>
          <w:color w:val="000000" w:themeColor="text1"/>
          <w:lang w:val="en-US"/>
        </w:rPr>
        <w:t xml:space="preserve">had </w:t>
      </w:r>
      <w:r w:rsidR="00594327" w:rsidRPr="00813D19">
        <w:rPr>
          <w:color w:val="000000" w:themeColor="text1"/>
          <w:lang w:val="en-US"/>
        </w:rPr>
        <w:t xml:space="preserve">deferred the chapeau decision under draft decision </w:t>
      </w:r>
      <w:r w:rsidR="00D51296" w:rsidRPr="00813D19">
        <w:rPr>
          <w:bCs/>
          <w:lang w:val="en-US"/>
        </w:rPr>
        <w:t>13.COM 7.</w:t>
      </w:r>
      <w:r w:rsidR="00594327" w:rsidRPr="00813D19">
        <w:rPr>
          <w:bCs/>
          <w:lang w:val="en-US"/>
        </w:rPr>
        <w:t>b</w:t>
      </w:r>
      <w:r w:rsidR="009F7ED0">
        <w:rPr>
          <w:bCs/>
          <w:lang w:val="en-US"/>
        </w:rPr>
        <w:t>,</w:t>
      </w:r>
      <w:r w:rsidR="00D51296" w:rsidRPr="00813D19">
        <w:rPr>
          <w:bCs/>
          <w:lang w:val="en-US"/>
        </w:rPr>
        <w:t xml:space="preserve"> </w:t>
      </w:r>
      <w:r w:rsidR="009F7ED0">
        <w:rPr>
          <w:bCs/>
          <w:lang w:val="en-US"/>
        </w:rPr>
        <w:t>which</w:t>
      </w:r>
      <w:r w:rsidR="009F7ED0" w:rsidRPr="00813D19">
        <w:rPr>
          <w:bCs/>
          <w:lang w:val="en-US"/>
        </w:rPr>
        <w:t xml:space="preserve"> </w:t>
      </w:r>
      <w:r w:rsidR="00D51296" w:rsidRPr="00813D19">
        <w:rPr>
          <w:bCs/>
          <w:lang w:val="en-US"/>
        </w:rPr>
        <w:t>covered all the reports</w:t>
      </w:r>
      <w:r w:rsidR="00594327" w:rsidRPr="00813D19">
        <w:rPr>
          <w:color w:val="000000" w:themeColor="text1"/>
          <w:lang w:val="en-US"/>
        </w:rPr>
        <w:t xml:space="preserve">, and proposed </w:t>
      </w:r>
      <w:r w:rsidR="00594327" w:rsidRPr="00813D19">
        <w:rPr>
          <w:bCs/>
          <w:lang w:val="en-US"/>
        </w:rPr>
        <w:t>go</w:t>
      </w:r>
      <w:r w:rsidR="009F7ED0">
        <w:rPr>
          <w:bCs/>
          <w:lang w:val="en-US"/>
        </w:rPr>
        <w:t>ing</w:t>
      </w:r>
      <w:r w:rsidR="00594327" w:rsidRPr="00813D19">
        <w:rPr>
          <w:bCs/>
          <w:lang w:val="en-US"/>
        </w:rPr>
        <w:t xml:space="preserve"> </w:t>
      </w:r>
      <w:r w:rsidR="00BC7AFB" w:rsidRPr="00813D19">
        <w:rPr>
          <w:bCs/>
          <w:lang w:val="en-US"/>
        </w:rPr>
        <w:t>back to the chapeau and an amendment by the Secreta</w:t>
      </w:r>
      <w:r w:rsidR="00087166">
        <w:rPr>
          <w:bCs/>
          <w:lang w:val="en-US"/>
        </w:rPr>
        <w:t>riat to add a new paragraph 13.</w:t>
      </w:r>
    </w:p>
    <w:p w14:paraId="232A3B80" w14:textId="5251224C" w:rsidR="000E7BD3" w:rsidRPr="00813D19" w:rsidRDefault="00D12F60" w:rsidP="003003BF">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Netherlands</w:t>
      </w:r>
      <w:r w:rsidRPr="00813D19">
        <w:rPr>
          <w:color w:val="000000" w:themeColor="text1"/>
          <w:lang w:val="en-US"/>
        </w:rPr>
        <w:t xml:space="preserve"> </w:t>
      </w:r>
      <w:r w:rsidR="00767C86" w:rsidRPr="00813D19">
        <w:rPr>
          <w:color w:val="000000" w:themeColor="text1"/>
          <w:lang w:val="en-US"/>
        </w:rPr>
        <w:t>remarked that it had a question</w:t>
      </w:r>
      <w:r w:rsidR="00D51296" w:rsidRPr="00813D19">
        <w:rPr>
          <w:color w:val="000000" w:themeColor="text1"/>
          <w:lang w:val="en-US"/>
        </w:rPr>
        <w:t xml:space="preserve"> in </w:t>
      </w:r>
      <w:r w:rsidR="00BC7AFB" w:rsidRPr="00813D19">
        <w:rPr>
          <w:lang w:val="en-US"/>
        </w:rPr>
        <w:t>paragraph 8</w:t>
      </w:r>
      <w:r w:rsidR="00D51296" w:rsidRPr="00813D19">
        <w:rPr>
          <w:lang w:val="en-US"/>
        </w:rPr>
        <w:t>, yet the Chairperson had</w:t>
      </w:r>
      <w:r w:rsidR="00087166">
        <w:rPr>
          <w:lang w:val="en-US"/>
        </w:rPr>
        <w:t xml:space="preserve"> already moved to paragraph 13.</w:t>
      </w:r>
    </w:p>
    <w:p w14:paraId="12FE3C2F" w14:textId="21BC1681" w:rsidR="00D12F60" w:rsidRPr="00813D19" w:rsidRDefault="00D12F60" w:rsidP="00ED2F36">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D51296" w:rsidRPr="00813D19">
        <w:rPr>
          <w:color w:val="000000" w:themeColor="text1"/>
          <w:lang w:val="en-US"/>
        </w:rPr>
        <w:t xml:space="preserve">thanked </w:t>
      </w:r>
      <w:r w:rsidR="009F7ED0">
        <w:rPr>
          <w:color w:val="000000" w:themeColor="text1"/>
          <w:lang w:val="en-US"/>
        </w:rPr>
        <w:t xml:space="preserve">the </w:t>
      </w:r>
      <w:r w:rsidR="00D51296" w:rsidRPr="00813D19">
        <w:rPr>
          <w:color w:val="000000" w:themeColor="text1"/>
          <w:lang w:val="en-US"/>
        </w:rPr>
        <w:t xml:space="preserve">Netherlands for recalling the need to proceed </w:t>
      </w:r>
      <w:r w:rsidR="00BC7AFB" w:rsidRPr="00813D19">
        <w:rPr>
          <w:bCs/>
          <w:lang w:val="en-US"/>
        </w:rPr>
        <w:t>paragraph</w:t>
      </w:r>
      <w:r w:rsidR="009F7ED0">
        <w:rPr>
          <w:bCs/>
          <w:lang w:val="en-US"/>
        </w:rPr>
        <w:t xml:space="preserve"> </w:t>
      </w:r>
      <w:r w:rsidR="00BC7AFB" w:rsidRPr="00813D19">
        <w:rPr>
          <w:bCs/>
          <w:lang w:val="en-US"/>
        </w:rPr>
        <w:t>b</w:t>
      </w:r>
      <w:r w:rsidR="00D51296" w:rsidRPr="00813D19">
        <w:rPr>
          <w:bCs/>
          <w:lang w:val="en-US"/>
        </w:rPr>
        <w:t>y</w:t>
      </w:r>
      <w:r w:rsidR="009F7ED0">
        <w:rPr>
          <w:bCs/>
          <w:lang w:val="en-US"/>
        </w:rPr>
        <w:t xml:space="preserve"> </w:t>
      </w:r>
      <w:r w:rsidR="00D51296" w:rsidRPr="00813D19">
        <w:rPr>
          <w:bCs/>
          <w:lang w:val="en-US"/>
        </w:rPr>
        <w:t xml:space="preserve">paragraph, and he turned to paragraphs 1 and 2, which were duly adopted. The Chairperson </w:t>
      </w:r>
      <w:r w:rsidR="000E6D94" w:rsidRPr="00813D19">
        <w:rPr>
          <w:bCs/>
          <w:lang w:val="en-US"/>
        </w:rPr>
        <w:t xml:space="preserve">then </w:t>
      </w:r>
      <w:r w:rsidR="00D51296" w:rsidRPr="00813D19">
        <w:rPr>
          <w:bCs/>
          <w:lang w:val="en-US"/>
        </w:rPr>
        <w:t>turned to paragraph 3 that thanked all the States Partie</w:t>
      </w:r>
      <w:r w:rsidR="00087166">
        <w:rPr>
          <w:bCs/>
          <w:lang w:val="en-US"/>
        </w:rPr>
        <w:t>s for submitting their reports.</w:t>
      </w:r>
    </w:p>
    <w:p w14:paraId="6CADCEA9" w14:textId="224D39AD" w:rsidR="00D12F60" w:rsidRPr="00813D19" w:rsidRDefault="00D12F60" w:rsidP="003003BF">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BC7AFB" w:rsidRPr="00813D19">
        <w:rPr>
          <w:b/>
          <w:color w:val="000000" w:themeColor="text1"/>
          <w:lang w:val="en-US"/>
        </w:rPr>
        <w:t xml:space="preserve"> </w:t>
      </w:r>
      <w:r w:rsidR="00BC7AFB" w:rsidRPr="00813D19">
        <w:rPr>
          <w:lang w:val="en-US"/>
        </w:rPr>
        <w:t>reiterate</w:t>
      </w:r>
      <w:r w:rsidR="000E6D94" w:rsidRPr="00813D19">
        <w:rPr>
          <w:lang w:val="en-US"/>
        </w:rPr>
        <w:t>d</w:t>
      </w:r>
      <w:r w:rsidR="00BC7AFB" w:rsidRPr="00813D19">
        <w:rPr>
          <w:lang w:val="en-US"/>
        </w:rPr>
        <w:t xml:space="preserve"> </w:t>
      </w:r>
      <w:r w:rsidR="000E6D94" w:rsidRPr="00813D19">
        <w:rPr>
          <w:lang w:val="en-US"/>
        </w:rPr>
        <w:t xml:space="preserve">its </w:t>
      </w:r>
      <w:r w:rsidR="00BC7AFB" w:rsidRPr="00813D19">
        <w:rPr>
          <w:lang w:val="en-US"/>
        </w:rPr>
        <w:t xml:space="preserve">position regarding the report </w:t>
      </w:r>
      <w:r w:rsidR="000E6D94" w:rsidRPr="00813D19">
        <w:rPr>
          <w:lang w:val="en-US"/>
        </w:rPr>
        <w:t xml:space="preserve">by Azerbaijan </w:t>
      </w:r>
      <w:r w:rsidR="00BC7AFB" w:rsidRPr="00813D19">
        <w:rPr>
          <w:lang w:val="en-US"/>
        </w:rPr>
        <w:t>on Chovqan</w:t>
      </w:r>
      <w:r w:rsidR="000E6D94" w:rsidRPr="00813D19">
        <w:rPr>
          <w:lang w:val="en-US"/>
        </w:rPr>
        <w:t>,</w:t>
      </w:r>
      <w:r w:rsidR="00BC7AFB" w:rsidRPr="00813D19">
        <w:rPr>
          <w:lang w:val="en-US"/>
        </w:rPr>
        <w:t xml:space="preserve"> </w:t>
      </w:r>
      <w:r w:rsidR="000E6D94" w:rsidRPr="00813D19">
        <w:rPr>
          <w:lang w:val="en-US"/>
        </w:rPr>
        <w:t xml:space="preserve">adding that it did </w:t>
      </w:r>
      <w:r w:rsidR="00BC7AFB" w:rsidRPr="00813D19">
        <w:rPr>
          <w:lang w:val="en-US"/>
        </w:rPr>
        <w:t>not thank all the States Parties</w:t>
      </w:r>
      <w:r w:rsidR="000E6D94" w:rsidRPr="00813D19">
        <w:rPr>
          <w:lang w:val="en-US"/>
        </w:rPr>
        <w:t>,</w:t>
      </w:r>
      <w:r w:rsidR="00BC7AFB" w:rsidRPr="00813D19">
        <w:rPr>
          <w:lang w:val="en-US"/>
        </w:rPr>
        <w:t xml:space="preserve"> with due respect to the</w:t>
      </w:r>
      <w:r w:rsidR="000E6D94" w:rsidRPr="00813D19">
        <w:rPr>
          <w:lang w:val="en-US"/>
        </w:rPr>
        <w:t xml:space="preserve"> other repor</w:t>
      </w:r>
      <w:r w:rsidR="00087166">
        <w:rPr>
          <w:lang w:val="en-US"/>
        </w:rPr>
        <w:t>ting States.</w:t>
      </w:r>
    </w:p>
    <w:p w14:paraId="20CB4EB2" w14:textId="73839BB9" w:rsidR="00D12F60" w:rsidRPr="00813D19" w:rsidRDefault="00D12F60" w:rsidP="003003BF">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767C86" w:rsidRPr="00813D19">
        <w:rPr>
          <w:color w:val="000000" w:themeColor="text1"/>
          <w:lang w:val="en-US"/>
        </w:rPr>
        <w:t>took note of Armenia’s position</w:t>
      </w:r>
      <w:r w:rsidRPr="00813D19">
        <w:rPr>
          <w:color w:val="000000" w:themeColor="text1"/>
          <w:lang w:val="en-US"/>
        </w:rPr>
        <w:t xml:space="preserve"> and paragraph 3</w:t>
      </w:r>
      <w:r w:rsidR="000E6D94" w:rsidRPr="00813D19">
        <w:rPr>
          <w:color w:val="000000" w:themeColor="text1"/>
          <w:lang w:val="en-US"/>
        </w:rPr>
        <w:t xml:space="preserve"> was duly adopted. Paragraphs 4–</w:t>
      </w:r>
      <w:r w:rsidRPr="00813D19">
        <w:rPr>
          <w:color w:val="000000" w:themeColor="text1"/>
          <w:lang w:val="en-US"/>
        </w:rPr>
        <w:t xml:space="preserve">7 were </w:t>
      </w:r>
      <w:r w:rsidR="00647798" w:rsidRPr="00813D19">
        <w:rPr>
          <w:color w:val="000000" w:themeColor="text1"/>
          <w:lang w:val="en-US"/>
        </w:rPr>
        <w:t xml:space="preserve">also </w:t>
      </w:r>
      <w:r w:rsidR="00087166">
        <w:rPr>
          <w:color w:val="000000" w:themeColor="text1"/>
          <w:lang w:val="en-US"/>
        </w:rPr>
        <w:t>adopted.</w:t>
      </w:r>
    </w:p>
    <w:p w14:paraId="6B494DE0" w14:textId="13B0BDB1" w:rsidR="00D12F60" w:rsidRPr="00813D19" w:rsidRDefault="005F7FED" w:rsidP="003003BF">
      <w:pPr>
        <w:pStyle w:val="Orateurengris"/>
        <w:spacing w:before="120" w:after="0"/>
        <w:ind w:left="709" w:hanging="709"/>
        <w:rPr>
          <w:color w:val="000000" w:themeColor="text1"/>
          <w:lang w:val="en-US"/>
        </w:rPr>
      </w:pPr>
      <w:r w:rsidRPr="00813D19">
        <w:rPr>
          <w:color w:val="000000" w:themeColor="text1"/>
          <w:lang w:val="en-US"/>
        </w:rPr>
        <w:t>In paragraph 8, t</w:t>
      </w:r>
      <w:r w:rsidR="00D12F60" w:rsidRPr="00813D19">
        <w:rPr>
          <w:color w:val="000000" w:themeColor="text1"/>
          <w:lang w:val="en-US"/>
        </w:rPr>
        <w:t xml:space="preserve">he </w:t>
      </w:r>
      <w:r w:rsidR="00D12F60" w:rsidRPr="00813D19">
        <w:rPr>
          <w:b/>
          <w:color w:val="000000" w:themeColor="text1"/>
          <w:lang w:val="en-US"/>
        </w:rPr>
        <w:t>delegation of the Netherlands</w:t>
      </w:r>
      <w:r w:rsidR="00D12F60" w:rsidRPr="00813D19">
        <w:rPr>
          <w:color w:val="000000" w:themeColor="text1"/>
          <w:lang w:val="en-US"/>
        </w:rPr>
        <w:t xml:space="preserve"> </w:t>
      </w:r>
      <w:r w:rsidRPr="00813D19">
        <w:rPr>
          <w:lang w:val="en-US"/>
        </w:rPr>
        <w:t>wondered</w:t>
      </w:r>
      <w:r w:rsidR="00BC7AFB" w:rsidRPr="00813D19">
        <w:rPr>
          <w:lang w:val="en-US"/>
        </w:rPr>
        <w:t xml:space="preserve"> </w:t>
      </w:r>
      <w:r w:rsidRPr="00813D19">
        <w:rPr>
          <w:lang w:val="en-US"/>
        </w:rPr>
        <w:t xml:space="preserve">to </w:t>
      </w:r>
      <w:r w:rsidR="00BC7AFB" w:rsidRPr="00813D19">
        <w:rPr>
          <w:lang w:val="en-US"/>
        </w:rPr>
        <w:t>what the wor</w:t>
      </w:r>
      <w:r w:rsidRPr="00813D19">
        <w:rPr>
          <w:lang w:val="en-US"/>
        </w:rPr>
        <w:t xml:space="preserve">d </w:t>
      </w:r>
      <w:r w:rsidR="00767C86" w:rsidRPr="00813D19">
        <w:rPr>
          <w:lang w:val="en-US"/>
        </w:rPr>
        <w:t>‘threats’ referred, for example,</w:t>
      </w:r>
      <w:r w:rsidRPr="00813D19">
        <w:rPr>
          <w:lang w:val="en-US"/>
        </w:rPr>
        <w:t xml:space="preserve"> did it imply </w:t>
      </w:r>
      <w:r w:rsidR="00BC7AFB" w:rsidRPr="00813D19">
        <w:rPr>
          <w:lang w:val="en-US"/>
        </w:rPr>
        <w:t xml:space="preserve">threats to the environment, </w:t>
      </w:r>
      <w:r w:rsidRPr="00813D19">
        <w:rPr>
          <w:lang w:val="en-US"/>
        </w:rPr>
        <w:t>natural resources,</w:t>
      </w:r>
      <w:r w:rsidR="00647798" w:rsidRPr="00813D19">
        <w:rPr>
          <w:lang w:val="en-US"/>
        </w:rPr>
        <w:t xml:space="preserve"> or social and economic changes, adding that </w:t>
      </w:r>
      <w:r w:rsidR="009F7ED0">
        <w:rPr>
          <w:lang w:val="en-US"/>
        </w:rPr>
        <w:t xml:space="preserve">the </w:t>
      </w:r>
      <w:r w:rsidR="00BC7AFB" w:rsidRPr="00813D19">
        <w:rPr>
          <w:lang w:val="en-US"/>
        </w:rPr>
        <w:t xml:space="preserve">draft decision </w:t>
      </w:r>
      <w:r w:rsidR="008F2075" w:rsidRPr="00813D19">
        <w:rPr>
          <w:lang w:val="en-US"/>
        </w:rPr>
        <w:t xml:space="preserve">would be used </w:t>
      </w:r>
      <w:r w:rsidR="00BC7AFB" w:rsidRPr="00813D19">
        <w:rPr>
          <w:lang w:val="en-US"/>
        </w:rPr>
        <w:t xml:space="preserve">in the overall report </w:t>
      </w:r>
      <w:r w:rsidR="008F2075" w:rsidRPr="00813D19">
        <w:rPr>
          <w:lang w:val="en-US"/>
        </w:rPr>
        <w:t>prepared by the Secretariat</w:t>
      </w:r>
      <w:r w:rsidR="00647798" w:rsidRPr="00813D19">
        <w:rPr>
          <w:lang w:val="en-US"/>
        </w:rPr>
        <w:t xml:space="preserve"> and thus clarity was required</w:t>
      </w:r>
      <w:r w:rsidR="008F2075" w:rsidRPr="00813D19">
        <w:rPr>
          <w:lang w:val="en-US"/>
        </w:rPr>
        <w:t>.</w:t>
      </w:r>
    </w:p>
    <w:p w14:paraId="3FCAD6B7" w14:textId="26D5B4A9" w:rsidR="008F2075" w:rsidRPr="00813D19" w:rsidRDefault="008F2075" w:rsidP="003003BF">
      <w:pPr>
        <w:pStyle w:val="Orateurengris"/>
        <w:spacing w:before="120" w:after="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agreed that </w:t>
      </w:r>
      <w:r w:rsidR="00647798" w:rsidRPr="00813D19">
        <w:rPr>
          <w:lang w:val="en-US"/>
        </w:rPr>
        <w:t xml:space="preserve">a </w:t>
      </w:r>
      <w:r w:rsidRPr="00813D19">
        <w:rPr>
          <w:lang w:val="en-US"/>
        </w:rPr>
        <w:t>clarification was requir</w:t>
      </w:r>
      <w:r w:rsidR="00087166">
        <w:rPr>
          <w:lang w:val="en-US"/>
        </w:rPr>
        <w:t>ed.</w:t>
      </w:r>
    </w:p>
    <w:p w14:paraId="1DF4D97D" w14:textId="56B4C570" w:rsidR="00D12F60" w:rsidRPr="00813D19" w:rsidRDefault="00D12F60" w:rsidP="003003BF">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0241AE" w:rsidRPr="00813D19">
        <w:rPr>
          <w:bCs/>
          <w:lang w:val="en-US"/>
        </w:rPr>
        <w:t xml:space="preserve">explained that ‘threats’ pertained to the </w:t>
      </w:r>
      <w:r w:rsidR="00BC7AFB" w:rsidRPr="00813D19">
        <w:rPr>
          <w:bCs/>
          <w:lang w:val="en-US"/>
        </w:rPr>
        <w:t xml:space="preserve">broader context </w:t>
      </w:r>
      <w:r w:rsidR="000241AE" w:rsidRPr="00813D19">
        <w:rPr>
          <w:bCs/>
          <w:lang w:val="en-US"/>
        </w:rPr>
        <w:t xml:space="preserve">of threats to intangible cultural heritage, such as </w:t>
      </w:r>
      <w:r w:rsidR="00BC7AFB" w:rsidRPr="00813D19">
        <w:rPr>
          <w:bCs/>
          <w:lang w:val="en-US"/>
        </w:rPr>
        <w:t>climate change</w:t>
      </w:r>
      <w:r w:rsidR="000241AE" w:rsidRPr="00813D19">
        <w:rPr>
          <w:bCs/>
          <w:lang w:val="en-US"/>
        </w:rPr>
        <w:t>,</w:t>
      </w:r>
      <w:r w:rsidR="00BC7AFB" w:rsidRPr="00813D19">
        <w:rPr>
          <w:bCs/>
          <w:lang w:val="en-US"/>
        </w:rPr>
        <w:t xml:space="preserve"> and other threats </w:t>
      </w:r>
      <w:r w:rsidR="000241AE" w:rsidRPr="00813D19">
        <w:rPr>
          <w:bCs/>
          <w:lang w:val="en-US"/>
        </w:rPr>
        <w:t xml:space="preserve">that </w:t>
      </w:r>
      <w:r w:rsidR="00BC7AFB" w:rsidRPr="00813D19">
        <w:rPr>
          <w:bCs/>
          <w:lang w:val="en-US"/>
        </w:rPr>
        <w:t xml:space="preserve">require working outside of the </w:t>
      </w:r>
      <w:r w:rsidR="000241AE" w:rsidRPr="00813D19">
        <w:rPr>
          <w:bCs/>
          <w:lang w:val="en-US"/>
        </w:rPr>
        <w:t xml:space="preserve">realm of culture. Many of them would be </w:t>
      </w:r>
      <w:r w:rsidR="00BC7AFB" w:rsidRPr="00813D19">
        <w:rPr>
          <w:bCs/>
          <w:lang w:val="en-US"/>
        </w:rPr>
        <w:t>environmental</w:t>
      </w:r>
      <w:r w:rsidR="000241AE" w:rsidRPr="00813D19">
        <w:rPr>
          <w:bCs/>
          <w:lang w:val="en-US"/>
        </w:rPr>
        <w:t xml:space="preserve"> threat</w:t>
      </w:r>
      <w:r w:rsidR="00647798" w:rsidRPr="00813D19">
        <w:rPr>
          <w:bCs/>
          <w:lang w:val="en-US"/>
        </w:rPr>
        <w:t>s</w:t>
      </w:r>
      <w:r w:rsidR="00BC7AFB" w:rsidRPr="00813D19">
        <w:rPr>
          <w:bCs/>
          <w:lang w:val="en-US"/>
        </w:rPr>
        <w:t xml:space="preserve">, but </w:t>
      </w:r>
      <w:r w:rsidR="00647798" w:rsidRPr="00813D19">
        <w:rPr>
          <w:bCs/>
          <w:lang w:val="en-US"/>
        </w:rPr>
        <w:t xml:space="preserve">would </w:t>
      </w:r>
      <w:r w:rsidR="00BC7AFB" w:rsidRPr="00813D19">
        <w:rPr>
          <w:bCs/>
          <w:lang w:val="en-US"/>
        </w:rPr>
        <w:t xml:space="preserve">also </w:t>
      </w:r>
      <w:r w:rsidR="00647798" w:rsidRPr="00813D19">
        <w:rPr>
          <w:bCs/>
          <w:lang w:val="en-US"/>
        </w:rPr>
        <w:t xml:space="preserve">include </w:t>
      </w:r>
      <w:r w:rsidR="00BC7AFB" w:rsidRPr="00813D19">
        <w:rPr>
          <w:bCs/>
          <w:lang w:val="en-US"/>
        </w:rPr>
        <w:t>demographic</w:t>
      </w:r>
      <w:r w:rsidR="00647798" w:rsidRPr="00813D19">
        <w:rPr>
          <w:bCs/>
          <w:lang w:val="en-US"/>
        </w:rPr>
        <w:t xml:space="preserve"> threats,</w:t>
      </w:r>
      <w:r w:rsidR="00BC7AFB" w:rsidRPr="00813D19">
        <w:rPr>
          <w:bCs/>
          <w:lang w:val="en-US"/>
        </w:rPr>
        <w:t xml:space="preserve"> </w:t>
      </w:r>
      <w:r w:rsidR="000241AE" w:rsidRPr="00813D19">
        <w:rPr>
          <w:bCs/>
          <w:lang w:val="en-US"/>
        </w:rPr>
        <w:t>among others.</w:t>
      </w:r>
    </w:p>
    <w:p w14:paraId="28927117" w14:textId="5D6E59AD" w:rsidR="00D12F60" w:rsidRPr="00813D19" w:rsidRDefault="00D12F60" w:rsidP="00D12F60">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Netherlands</w:t>
      </w:r>
      <w:r w:rsidR="00BC7AFB" w:rsidRPr="00813D19">
        <w:rPr>
          <w:b/>
          <w:color w:val="000000" w:themeColor="text1"/>
          <w:lang w:val="en-US"/>
        </w:rPr>
        <w:t xml:space="preserve"> </w:t>
      </w:r>
      <w:r w:rsidR="000241AE" w:rsidRPr="00813D19">
        <w:rPr>
          <w:color w:val="000000" w:themeColor="text1"/>
          <w:lang w:val="en-US"/>
        </w:rPr>
        <w:t>therefore</w:t>
      </w:r>
      <w:r w:rsidR="000241AE" w:rsidRPr="00813D19">
        <w:rPr>
          <w:b/>
          <w:color w:val="000000" w:themeColor="text1"/>
          <w:lang w:val="en-US"/>
        </w:rPr>
        <w:t xml:space="preserve"> </w:t>
      </w:r>
      <w:r w:rsidR="000241AE" w:rsidRPr="00813D19">
        <w:rPr>
          <w:color w:val="000000" w:themeColor="text1"/>
          <w:lang w:val="en-US"/>
        </w:rPr>
        <w:t>suggested</w:t>
      </w:r>
      <w:r w:rsidR="000241AE" w:rsidRPr="00813D19">
        <w:rPr>
          <w:b/>
          <w:color w:val="000000" w:themeColor="text1"/>
          <w:lang w:val="en-US"/>
        </w:rPr>
        <w:t xml:space="preserve"> </w:t>
      </w:r>
      <w:r w:rsidR="000241AE" w:rsidRPr="00813D19">
        <w:rPr>
          <w:color w:val="000000" w:themeColor="text1"/>
          <w:lang w:val="en-US"/>
        </w:rPr>
        <w:t>adding</w:t>
      </w:r>
      <w:r w:rsidR="009F7ED0">
        <w:rPr>
          <w:color w:val="000000" w:themeColor="text1"/>
          <w:lang w:val="en-US"/>
        </w:rPr>
        <w:t>,</w:t>
      </w:r>
      <w:r w:rsidR="000241AE" w:rsidRPr="00813D19">
        <w:rPr>
          <w:b/>
          <w:color w:val="000000" w:themeColor="text1"/>
          <w:lang w:val="en-US"/>
        </w:rPr>
        <w:t xml:space="preserve"> </w:t>
      </w:r>
      <w:r w:rsidR="00647798" w:rsidRPr="00813D19">
        <w:rPr>
          <w:lang w:val="en-US"/>
        </w:rPr>
        <w:t>after threats</w:t>
      </w:r>
      <w:r w:rsidR="000241AE" w:rsidRPr="00813D19">
        <w:rPr>
          <w:lang w:val="en-US"/>
        </w:rPr>
        <w:t xml:space="preserve">, ‘for instance </w:t>
      </w:r>
      <w:r w:rsidR="00BC7AFB" w:rsidRPr="00813D19">
        <w:rPr>
          <w:lang w:val="en-US"/>
        </w:rPr>
        <w:t xml:space="preserve">the environment and </w:t>
      </w:r>
      <w:r w:rsidR="000241AE" w:rsidRPr="00813D19">
        <w:rPr>
          <w:lang w:val="en-US"/>
        </w:rPr>
        <w:t xml:space="preserve">to </w:t>
      </w:r>
      <w:r w:rsidR="00BC7AFB" w:rsidRPr="00813D19">
        <w:rPr>
          <w:lang w:val="en-US"/>
        </w:rPr>
        <w:t xml:space="preserve">natural resources, and </w:t>
      </w:r>
      <w:r w:rsidR="000241AE" w:rsidRPr="00813D19">
        <w:rPr>
          <w:lang w:val="en-US"/>
        </w:rPr>
        <w:t xml:space="preserve">risks due </w:t>
      </w:r>
      <w:r w:rsidR="00BC7AFB" w:rsidRPr="00813D19">
        <w:rPr>
          <w:lang w:val="en-US"/>
        </w:rPr>
        <w:t>to social and economic changes</w:t>
      </w:r>
      <w:r w:rsidR="00087166">
        <w:rPr>
          <w:lang w:val="en-US"/>
        </w:rPr>
        <w:t>’.</w:t>
      </w:r>
    </w:p>
    <w:p w14:paraId="2836D0D9" w14:textId="47B8146D" w:rsidR="00D12F60" w:rsidRPr="00813D19" w:rsidRDefault="009710A9" w:rsidP="00D12F60">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Zambia</w:t>
      </w:r>
      <w:r w:rsidR="00BC7AFB" w:rsidRPr="00813D19">
        <w:rPr>
          <w:b/>
          <w:color w:val="000000" w:themeColor="text1"/>
          <w:lang w:val="en-US"/>
        </w:rPr>
        <w:t xml:space="preserve"> </w:t>
      </w:r>
      <w:r w:rsidR="000241AE" w:rsidRPr="00813D19">
        <w:rPr>
          <w:color w:val="000000" w:themeColor="text1"/>
          <w:lang w:val="en-US"/>
        </w:rPr>
        <w:t xml:space="preserve">preferred </w:t>
      </w:r>
      <w:r w:rsidR="000241AE" w:rsidRPr="00813D19">
        <w:rPr>
          <w:lang w:val="en-US"/>
        </w:rPr>
        <w:t xml:space="preserve">to maintain the original wording and </w:t>
      </w:r>
      <w:r w:rsidR="003D521F" w:rsidRPr="00813D19">
        <w:rPr>
          <w:lang w:val="en-US"/>
        </w:rPr>
        <w:t xml:space="preserve">the </w:t>
      </w:r>
      <w:r w:rsidR="000241AE" w:rsidRPr="00813D19">
        <w:rPr>
          <w:lang w:val="en-US"/>
        </w:rPr>
        <w:t>general meaning of ‘</w:t>
      </w:r>
      <w:r w:rsidR="00BC7AFB" w:rsidRPr="00813D19">
        <w:rPr>
          <w:lang w:val="en-US"/>
        </w:rPr>
        <w:t>threats</w:t>
      </w:r>
      <w:r w:rsidR="000241AE" w:rsidRPr="00813D19">
        <w:rPr>
          <w:lang w:val="en-US"/>
        </w:rPr>
        <w:t xml:space="preserve">’, as it implied </w:t>
      </w:r>
      <w:r w:rsidR="003D521F" w:rsidRPr="00813D19">
        <w:rPr>
          <w:lang w:val="en-US"/>
        </w:rPr>
        <w:t xml:space="preserve">both the </w:t>
      </w:r>
      <w:r w:rsidR="000241AE" w:rsidRPr="00813D19">
        <w:rPr>
          <w:lang w:val="en-US"/>
        </w:rPr>
        <w:t xml:space="preserve">threats </w:t>
      </w:r>
      <w:r w:rsidR="003D521F" w:rsidRPr="00813D19">
        <w:rPr>
          <w:lang w:val="en-US"/>
        </w:rPr>
        <w:t xml:space="preserve">affecting </w:t>
      </w:r>
      <w:r w:rsidR="000241AE" w:rsidRPr="00813D19">
        <w:rPr>
          <w:lang w:val="en-US"/>
        </w:rPr>
        <w:t xml:space="preserve">the element itself and the </w:t>
      </w:r>
      <w:r w:rsidR="00BC7AFB" w:rsidRPr="00813D19">
        <w:rPr>
          <w:lang w:val="en-US"/>
        </w:rPr>
        <w:t>environment</w:t>
      </w:r>
      <w:r w:rsidR="009F7ED0">
        <w:rPr>
          <w:lang w:val="en-US"/>
        </w:rPr>
        <w:t xml:space="preserve"> of the element</w:t>
      </w:r>
      <w:r w:rsidR="00087166">
        <w:rPr>
          <w:lang w:val="en-US"/>
        </w:rPr>
        <w:t>.</w:t>
      </w:r>
    </w:p>
    <w:p w14:paraId="09E5780A" w14:textId="074C084C" w:rsidR="009710A9" w:rsidRPr="00813D19" w:rsidRDefault="009710A9" w:rsidP="00D12F60">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3D521F" w:rsidRPr="00813D19">
        <w:rPr>
          <w:color w:val="000000" w:themeColor="text1"/>
          <w:lang w:val="en-US"/>
        </w:rPr>
        <w:t xml:space="preserve">asked the </w:t>
      </w:r>
      <w:r w:rsidR="003D521F" w:rsidRPr="00813D19">
        <w:rPr>
          <w:lang w:val="en-US"/>
        </w:rPr>
        <w:t>Netherlands</w:t>
      </w:r>
      <w:r w:rsidR="00BC7AFB" w:rsidRPr="00813D19">
        <w:rPr>
          <w:lang w:val="en-US"/>
        </w:rPr>
        <w:t xml:space="preserve"> </w:t>
      </w:r>
      <w:r w:rsidR="003D521F" w:rsidRPr="00813D19">
        <w:rPr>
          <w:lang w:val="en-US"/>
        </w:rPr>
        <w:t xml:space="preserve">whether it could accept the </w:t>
      </w:r>
      <w:r w:rsidR="00BC7AFB" w:rsidRPr="00813D19">
        <w:rPr>
          <w:lang w:val="en-US"/>
        </w:rPr>
        <w:t xml:space="preserve">explanation </w:t>
      </w:r>
      <w:r w:rsidR="003D521F" w:rsidRPr="00813D19">
        <w:rPr>
          <w:lang w:val="en-US"/>
        </w:rPr>
        <w:t xml:space="preserve">by </w:t>
      </w:r>
      <w:r w:rsidR="00BC7AFB" w:rsidRPr="00813D19">
        <w:rPr>
          <w:lang w:val="en-US"/>
        </w:rPr>
        <w:t>the Secre</w:t>
      </w:r>
      <w:r w:rsidR="003D521F" w:rsidRPr="00813D19">
        <w:rPr>
          <w:lang w:val="en-US"/>
        </w:rPr>
        <w:t>tariat and the views of Zambia.</w:t>
      </w:r>
    </w:p>
    <w:p w14:paraId="74701505" w14:textId="7A9A3113" w:rsidR="009710A9" w:rsidRPr="00813D19" w:rsidRDefault="009710A9" w:rsidP="009710A9">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Netherlands</w:t>
      </w:r>
      <w:r w:rsidRPr="00813D19">
        <w:rPr>
          <w:color w:val="000000" w:themeColor="text1"/>
          <w:lang w:val="en-US"/>
        </w:rPr>
        <w:t xml:space="preserve"> agreed to withdraw</w:t>
      </w:r>
      <w:r w:rsidR="00087166">
        <w:rPr>
          <w:color w:val="000000" w:themeColor="text1"/>
          <w:lang w:val="en-US"/>
        </w:rPr>
        <w:t xml:space="preserve"> its amendment in paragraph 8.</w:t>
      </w:r>
    </w:p>
    <w:p w14:paraId="5D002D02" w14:textId="0ADBE3D0" w:rsidR="009710A9" w:rsidRPr="00813D19" w:rsidRDefault="009710A9" w:rsidP="00D12F60">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003D521F" w:rsidRPr="00813D19">
        <w:rPr>
          <w:color w:val="000000" w:themeColor="text1"/>
          <w:lang w:val="en-US"/>
        </w:rPr>
        <w:t xml:space="preserve"> then turned to paragraphs 9–</w:t>
      </w:r>
      <w:r w:rsidRPr="00813D19">
        <w:rPr>
          <w:color w:val="000000" w:themeColor="text1"/>
          <w:lang w:val="en-US"/>
        </w:rPr>
        <w:t>12</w:t>
      </w:r>
      <w:r w:rsidR="003D521F" w:rsidRPr="00813D19">
        <w:rPr>
          <w:color w:val="000000" w:themeColor="text1"/>
          <w:lang w:val="en-US"/>
        </w:rPr>
        <w:t xml:space="preserve">, which </w:t>
      </w:r>
      <w:r w:rsidR="00087166">
        <w:rPr>
          <w:color w:val="000000" w:themeColor="text1"/>
          <w:lang w:val="en-US"/>
        </w:rPr>
        <w:t>were duly adopted.</w:t>
      </w:r>
    </w:p>
    <w:p w14:paraId="0F076576" w14:textId="613E6D4C" w:rsidR="009710A9" w:rsidRPr="00813D19" w:rsidRDefault="009710A9" w:rsidP="00D12F60">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3D521F" w:rsidRPr="00813D19">
        <w:rPr>
          <w:color w:val="000000" w:themeColor="text1"/>
          <w:lang w:val="en-US"/>
        </w:rPr>
        <w:t xml:space="preserve">presented </w:t>
      </w:r>
      <w:r w:rsidR="00522244" w:rsidRPr="00813D19">
        <w:rPr>
          <w:color w:val="000000" w:themeColor="text1"/>
          <w:lang w:val="en-US"/>
        </w:rPr>
        <w:t xml:space="preserve">the </w:t>
      </w:r>
      <w:r w:rsidRPr="00813D19">
        <w:rPr>
          <w:color w:val="000000" w:themeColor="text1"/>
          <w:lang w:val="en-US"/>
        </w:rPr>
        <w:t>new paragraph 13</w:t>
      </w:r>
      <w:r w:rsidR="00522244" w:rsidRPr="00813D19">
        <w:rPr>
          <w:rStyle w:val="FootnoteReference"/>
          <w:color w:val="000000" w:themeColor="text1"/>
          <w:lang w:val="en-US"/>
        </w:rPr>
        <w:footnoteReference w:id="24"/>
      </w:r>
      <w:r w:rsidR="00522244" w:rsidRPr="00813D19">
        <w:rPr>
          <w:color w:val="000000" w:themeColor="text1"/>
          <w:lang w:val="en-US"/>
        </w:rPr>
        <w:t xml:space="preserve">, explaining that </w:t>
      </w:r>
      <w:r w:rsidR="00522244" w:rsidRPr="00813D19">
        <w:rPr>
          <w:bCs/>
          <w:lang w:val="en-US"/>
        </w:rPr>
        <w:t>t</w:t>
      </w:r>
      <w:r w:rsidR="00BC7AFB" w:rsidRPr="00813D19">
        <w:rPr>
          <w:bCs/>
          <w:lang w:val="en-US"/>
        </w:rPr>
        <w:t xml:space="preserve">his new paragraph </w:t>
      </w:r>
      <w:r w:rsidR="00522244" w:rsidRPr="00813D19">
        <w:rPr>
          <w:bCs/>
          <w:lang w:val="en-US"/>
        </w:rPr>
        <w:t xml:space="preserve">had been </w:t>
      </w:r>
      <w:r w:rsidR="00647798" w:rsidRPr="00813D19">
        <w:rPr>
          <w:bCs/>
          <w:lang w:val="en-US"/>
        </w:rPr>
        <w:t xml:space="preserve">the </w:t>
      </w:r>
      <w:r w:rsidR="00BC7AFB" w:rsidRPr="00813D19">
        <w:rPr>
          <w:bCs/>
          <w:lang w:val="en-US"/>
        </w:rPr>
        <w:t xml:space="preserve">suggested and </w:t>
      </w:r>
      <w:r w:rsidR="00522244" w:rsidRPr="00813D19">
        <w:rPr>
          <w:bCs/>
          <w:lang w:val="en-US"/>
        </w:rPr>
        <w:t xml:space="preserve">adopted </w:t>
      </w:r>
      <w:r w:rsidR="00BC7AFB" w:rsidRPr="00813D19">
        <w:rPr>
          <w:bCs/>
          <w:lang w:val="en-US"/>
        </w:rPr>
        <w:t>language used in past decisions as a general principle to be respected in the periodic re</w:t>
      </w:r>
      <w:r w:rsidR="00522244" w:rsidRPr="00813D19">
        <w:rPr>
          <w:bCs/>
          <w:lang w:val="en-US"/>
        </w:rPr>
        <w:t>ports.</w:t>
      </w:r>
    </w:p>
    <w:p w14:paraId="2A03CF3D" w14:textId="42BECBD9" w:rsidR="009710A9" w:rsidRPr="00813D19" w:rsidRDefault="009710A9" w:rsidP="00D12F60">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Pr="00813D19">
        <w:rPr>
          <w:color w:val="000000" w:themeColor="text1"/>
          <w:lang w:val="en-US"/>
        </w:rPr>
        <w:t xml:space="preserve"> </w:t>
      </w:r>
      <w:r w:rsidR="00BC7AFB" w:rsidRPr="00813D19">
        <w:rPr>
          <w:lang w:val="en-US"/>
        </w:rPr>
        <w:t>thank</w:t>
      </w:r>
      <w:r w:rsidR="00522244" w:rsidRPr="00813D19">
        <w:rPr>
          <w:lang w:val="en-US"/>
        </w:rPr>
        <w:t>ed</w:t>
      </w:r>
      <w:r w:rsidR="00BC7AFB" w:rsidRPr="00813D19">
        <w:rPr>
          <w:lang w:val="en-US"/>
        </w:rPr>
        <w:t xml:space="preserve"> the Secretariat for </w:t>
      </w:r>
      <w:r w:rsidR="00522244" w:rsidRPr="00813D19">
        <w:rPr>
          <w:lang w:val="en-US"/>
        </w:rPr>
        <w:t xml:space="preserve">its </w:t>
      </w:r>
      <w:r w:rsidR="00BC7AFB" w:rsidRPr="00813D19">
        <w:rPr>
          <w:lang w:val="en-US"/>
        </w:rPr>
        <w:t xml:space="preserve">efforts </w:t>
      </w:r>
      <w:r w:rsidR="00522244" w:rsidRPr="00813D19">
        <w:rPr>
          <w:lang w:val="en-US"/>
        </w:rPr>
        <w:t xml:space="preserve">in </w:t>
      </w:r>
      <w:r w:rsidR="00767C86" w:rsidRPr="00813D19">
        <w:rPr>
          <w:lang w:val="en-US"/>
        </w:rPr>
        <w:t>introducing</w:t>
      </w:r>
      <w:r w:rsidR="00522244" w:rsidRPr="00813D19">
        <w:rPr>
          <w:lang w:val="en-US"/>
        </w:rPr>
        <w:t xml:space="preserve"> </w:t>
      </w:r>
      <w:r w:rsidR="00BC7AFB" w:rsidRPr="00813D19">
        <w:rPr>
          <w:lang w:val="en-US"/>
        </w:rPr>
        <w:t>this paragraph</w:t>
      </w:r>
      <w:r w:rsidR="00522244" w:rsidRPr="00813D19">
        <w:rPr>
          <w:lang w:val="en-US"/>
        </w:rPr>
        <w:t xml:space="preserve">, adding that it was </w:t>
      </w:r>
      <w:r w:rsidR="00BC7AFB" w:rsidRPr="00813D19">
        <w:rPr>
          <w:lang w:val="en-US"/>
        </w:rPr>
        <w:t xml:space="preserve">quite </w:t>
      </w:r>
      <w:r w:rsidR="00522244" w:rsidRPr="00813D19">
        <w:rPr>
          <w:lang w:val="en-US"/>
        </w:rPr>
        <w:t xml:space="preserve">clear </w:t>
      </w:r>
      <w:r w:rsidR="00BC7AFB" w:rsidRPr="00813D19">
        <w:rPr>
          <w:lang w:val="en-US"/>
        </w:rPr>
        <w:t xml:space="preserve">why this paragraph </w:t>
      </w:r>
      <w:r w:rsidR="00522244" w:rsidRPr="00813D19">
        <w:rPr>
          <w:lang w:val="en-US"/>
        </w:rPr>
        <w:t xml:space="preserve">had been </w:t>
      </w:r>
      <w:r w:rsidR="00BC7AFB" w:rsidRPr="00813D19">
        <w:rPr>
          <w:lang w:val="en-US"/>
        </w:rPr>
        <w:t xml:space="preserve">included </w:t>
      </w:r>
      <w:r w:rsidR="00522244" w:rsidRPr="00813D19">
        <w:rPr>
          <w:lang w:val="en-US"/>
        </w:rPr>
        <w:t xml:space="preserve">and it </w:t>
      </w:r>
      <w:r w:rsidR="00BC7AFB" w:rsidRPr="00813D19">
        <w:rPr>
          <w:lang w:val="en-US"/>
        </w:rPr>
        <w:t>express</w:t>
      </w:r>
      <w:r w:rsidR="00522244" w:rsidRPr="00813D19">
        <w:rPr>
          <w:lang w:val="en-US"/>
        </w:rPr>
        <w:t>ed</w:t>
      </w:r>
      <w:r w:rsidR="00BC7AFB" w:rsidRPr="00813D19">
        <w:rPr>
          <w:lang w:val="en-US"/>
        </w:rPr>
        <w:t xml:space="preserve"> support for </w:t>
      </w:r>
      <w:r w:rsidR="00522244" w:rsidRPr="00813D19">
        <w:rPr>
          <w:lang w:val="en-US"/>
        </w:rPr>
        <w:t xml:space="preserve">its </w:t>
      </w:r>
      <w:r w:rsidR="00087166">
        <w:rPr>
          <w:lang w:val="en-US"/>
        </w:rPr>
        <w:t>inclusion.</w:t>
      </w:r>
    </w:p>
    <w:p w14:paraId="60536176" w14:textId="5C33B5CD" w:rsidR="009710A9" w:rsidRPr="00813D19" w:rsidRDefault="00522244" w:rsidP="00D12F60">
      <w:pPr>
        <w:pStyle w:val="Orateurengris"/>
        <w:spacing w:before="120" w:after="0"/>
        <w:ind w:left="709" w:hanging="709"/>
        <w:rPr>
          <w:color w:val="000000" w:themeColor="text1"/>
          <w:lang w:val="en-US"/>
        </w:rPr>
      </w:pPr>
      <w:r w:rsidRPr="00813D19">
        <w:rPr>
          <w:color w:val="000000" w:themeColor="text1"/>
          <w:lang w:val="en-US"/>
        </w:rPr>
        <w:t>T</w:t>
      </w:r>
      <w:r w:rsidR="009710A9" w:rsidRPr="00813D19">
        <w:rPr>
          <w:color w:val="000000" w:themeColor="text1"/>
          <w:lang w:val="en-US"/>
        </w:rPr>
        <w:t xml:space="preserve">he </w:t>
      </w:r>
      <w:r w:rsidR="009710A9" w:rsidRPr="00813D19">
        <w:rPr>
          <w:b/>
          <w:color w:val="000000" w:themeColor="text1"/>
          <w:lang w:val="en-US"/>
        </w:rPr>
        <w:t>Chairperson</w:t>
      </w:r>
      <w:r w:rsidR="004A2A56" w:rsidRPr="00813D19">
        <w:rPr>
          <w:color w:val="000000" w:themeColor="text1"/>
          <w:lang w:val="en-US"/>
        </w:rPr>
        <w:t xml:space="preserve"> pronounced the new paragraph 13 adopted. Paragraph 14 [previously paragraph 13] was </w:t>
      </w:r>
      <w:r w:rsidRPr="00813D19">
        <w:rPr>
          <w:color w:val="000000" w:themeColor="text1"/>
          <w:lang w:val="en-US"/>
        </w:rPr>
        <w:t xml:space="preserve">also </w:t>
      </w:r>
      <w:r w:rsidR="004A2A56" w:rsidRPr="00813D19">
        <w:rPr>
          <w:color w:val="000000" w:themeColor="text1"/>
          <w:lang w:val="en-US"/>
        </w:rPr>
        <w:t>duly adopted.</w:t>
      </w:r>
    </w:p>
    <w:p w14:paraId="4C344DF1" w14:textId="45F6F847" w:rsidR="004A2A56" w:rsidRPr="00813D19" w:rsidRDefault="004A2A56" w:rsidP="00D12F60">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C006EE" w:rsidRPr="00813D19">
        <w:rPr>
          <w:b/>
          <w:color w:val="000000" w:themeColor="text1"/>
          <w:lang w:val="en-US"/>
        </w:rPr>
        <w:t xml:space="preserve"> </w:t>
      </w:r>
      <w:r w:rsidR="006C2B0D" w:rsidRPr="00813D19">
        <w:rPr>
          <w:color w:val="000000" w:themeColor="text1"/>
          <w:lang w:val="en-US"/>
        </w:rPr>
        <w:t xml:space="preserve">wished to </w:t>
      </w:r>
      <w:r w:rsidR="00C006EE" w:rsidRPr="00813D19">
        <w:rPr>
          <w:lang w:val="en-US"/>
        </w:rPr>
        <w:t xml:space="preserve">disassociate </w:t>
      </w:r>
      <w:r w:rsidR="006C2B0D" w:rsidRPr="00813D19">
        <w:rPr>
          <w:lang w:val="en-US"/>
        </w:rPr>
        <w:t xml:space="preserve">itself </w:t>
      </w:r>
      <w:r w:rsidR="00767C86" w:rsidRPr="00813D19">
        <w:rPr>
          <w:lang w:val="en-US"/>
        </w:rPr>
        <w:t>from the</w:t>
      </w:r>
      <w:r w:rsidR="00C006EE" w:rsidRPr="00813D19">
        <w:rPr>
          <w:lang w:val="en-US"/>
        </w:rPr>
        <w:t xml:space="preserve"> draft decision</w:t>
      </w:r>
      <w:r w:rsidR="006C2B0D" w:rsidRPr="00813D19">
        <w:rPr>
          <w:lang w:val="en-US"/>
        </w:rPr>
        <w:t>, with due respect to all the other reports th</w:t>
      </w:r>
      <w:r w:rsidR="00087166">
        <w:rPr>
          <w:lang w:val="en-US"/>
        </w:rPr>
        <w:t>at did not have political aims.</w:t>
      </w:r>
    </w:p>
    <w:p w14:paraId="397F0402" w14:textId="600B390C" w:rsidR="004A2A56" w:rsidRPr="00813D19" w:rsidRDefault="006C2B0D" w:rsidP="00D12F60">
      <w:pPr>
        <w:pStyle w:val="Orateurengris"/>
        <w:spacing w:before="120" w:after="0"/>
        <w:ind w:left="709" w:hanging="709"/>
        <w:rPr>
          <w:color w:val="000000" w:themeColor="text1"/>
          <w:lang w:val="en-US"/>
        </w:rPr>
      </w:pPr>
      <w:r w:rsidRPr="00813D19">
        <w:rPr>
          <w:color w:val="000000" w:themeColor="text1"/>
          <w:lang w:val="en-US"/>
        </w:rPr>
        <w:t xml:space="preserve">Noting the </w:t>
      </w:r>
      <w:r w:rsidRPr="00813D19">
        <w:rPr>
          <w:lang w:val="en-US"/>
        </w:rPr>
        <w:t xml:space="preserve">reservations expressed by Armenia to the draft decision, and </w:t>
      </w:r>
      <w:r w:rsidRPr="00813D19">
        <w:rPr>
          <w:color w:val="000000" w:themeColor="text1"/>
          <w:lang w:val="en-US"/>
        </w:rPr>
        <w:t>with no further comments or objection</w:t>
      </w:r>
      <w:r w:rsidR="00647798" w:rsidRPr="00813D19">
        <w:rPr>
          <w:color w:val="000000" w:themeColor="text1"/>
          <w:lang w:val="en-US"/>
        </w:rPr>
        <w:t>s</w:t>
      </w:r>
      <w:r w:rsidRPr="00813D19">
        <w:rPr>
          <w:color w:val="000000" w:themeColor="text1"/>
          <w:lang w:val="en-US"/>
        </w:rPr>
        <w:t>, t</w:t>
      </w:r>
      <w:r w:rsidR="004A2A56" w:rsidRPr="00813D19">
        <w:rPr>
          <w:color w:val="000000" w:themeColor="text1"/>
          <w:lang w:val="en-US"/>
        </w:rPr>
        <w:t xml:space="preserve">he </w:t>
      </w:r>
      <w:r w:rsidR="004A2A56" w:rsidRPr="00813D19">
        <w:rPr>
          <w:b/>
          <w:color w:val="000000" w:themeColor="text1"/>
          <w:lang w:val="en-US"/>
        </w:rPr>
        <w:t>Chairperson</w:t>
      </w:r>
      <w:r w:rsidR="004A2A56" w:rsidRPr="00813D19">
        <w:rPr>
          <w:color w:val="000000" w:themeColor="text1"/>
          <w:lang w:val="en-US"/>
        </w:rPr>
        <w:t xml:space="preserve"> </w:t>
      </w:r>
      <w:r w:rsidR="004A2A56" w:rsidRPr="00813D19">
        <w:rPr>
          <w:b/>
          <w:color w:val="000000" w:themeColor="text1"/>
          <w:lang w:val="en-US"/>
        </w:rPr>
        <w:t>declared Decision 13.COM</w:t>
      </w:r>
      <w:r w:rsidR="00A32E60">
        <w:rPr>
          <w:b/>
          <w:color w:val="000000" w:themeColor="text1"/>
          <w:lang w:val="en-US"/>
        </w:rPr>
        <w:t xml:space="preserve"> </w:t>
      </w:r>
      <w:r w:rsidR="004A2A56" w:rsidRPr="00813D19">
        <w:rPr>
          <w:b/>
          <w:color w:val="000000" w:themeColor="text1"/>
          <w:lang w:val="en-US"/>
        </w:rPr>
        <w:t>7.b adopted</w:t>
      </w:r>
      <w:r w:rsidR="004A2A56" w:rsidRPr="00087166">
        <w:rPr>
          <w:bCs/>
          <w:color w:val="000000" w:themeColor="text1"/>
          <w:lang w:val="en-US"/>
        </w:rPr>
        <w:t>.</w:t>
      </w:r>
    </w:p>
    <w:p w14:paraId="1DD50ABC" w14:textId="52321245" w:rsidR="001A014C" w:rsidRPr="00813D19" w:rsidRDefault="004A2A56" w:rsidP="001A014C">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C006EE" w:rsidRPr="00813D19">
        <w:rPr>
          <w:b/>
          <w:color w:val="000000" w:themeColor="text1"/>
          <w:lang w:val="en-US"/>
        </w:rPr>
        <w:t xml:space="preserve"> </w:t>
      </w:r>
      <w:r w:rsidR="00C006EE" w:rsidRPr="00813D19">
        <w:rPr>
          <w:lang w:val="en-US"/>
        </w:rPr>
        <w:t>reiterate</w:t>
      </w:r>
      <w:r w:rsidR="006C2B0D" w:rsidRPr="00813D19">
        <w:rPr>
          <w:lang w:val="en-US"/>
        </w:rPr>
        <w:t>d</w:t>
      </w:r>
      <w:r w:rsidR="00C006EE" w:rsidRPr="00813D19">
        <w:rPr>
          <w:lang w:val="en-US"/>
        </w:rPr>
        <w:t xml:space="preserve"> </w:t>
      </w:r>
      <w:r w:rsidR="006C2B0D" w:rsidRPr="00813D19">
        <w:rPr>
          <w:lang w:val="en-US"/>
        </w:rPr>
        <w:t xml:space="preserve">its </w:t>
      </w:r>
      <w:r w:rsidR="00C006EE" w:rsidRPr="00813D19">
        <w:rPr>
          <w:lang w:val="en-US"/>
        </w:rPr>
        <w:t xml:space="preserve">request </w:t>
      </w:r>
      <w:r w:rsidR="006C2B0D" w:rsidRPr="00813D19">
        <w:rPr>
          <w:lang w:val="en-US"/>
        </w:rPr>
        <w:t xml:space="preserve">that all its expressed </w:t>
      </w:r>
      <w:r w:rsidR="00C006EE" w:rsidRPr="00813D19">
        <w:rPr>
          <w:lang w:val="en-US"/>
        </w:rPr>
        <w:t xml:space="preserve">reservations </w:t>
      </w:r>
      <w:r w:rsidR="006C2B0D" w:rsidRPr="00813D19">
        <w:rPr>
          <w:lang w:val="en-US"/>
        </w:rPr>
        <w:t xml:space="preserve">be recorded </w:t>
      </w:r>
      <w:r w:rsidR="00C006EE" w:rsidRPr="00813D19">
        <w:rPr>
          <w:lang w:val="en-US"/>
        </w:rPr>
        <w:t xml:space="preserve">in the summary </w:t>
      </w:r>
      <w:r w:rsidR="006C2B0D" w:rsidRPr="00813D19">
        <w:rPr>
          <w:lang w:val="en-US"/>
        </w:rPr>
        <w:t xml:space="preserve">report </w:t>
      </w:r>
      <w:r w:rsidR="00C006EE" w:rsidRPr="00813D19">
        <w:rPr>
          <w:lang w:val="en-US"/>
        </w:rPr>
        <w:t xml:space="preserve">and also in the </w:t>
      </w:r>
      <w:r w:rsidR="006C2B0D" w:rsidRPr="00813D19">
        <w:rPr>
          <w:lang w:val="en-US"/>
        </w:rPr>
        <w:t xml:space="preserve">Chairperson’s </w:t>
      </w:r>
      <w:r w:rsidR="00C006EE" w:rsidRPr="00813D19">
        <w:rPr>
          <w:lang w:val="en-US"/>
        </w:rPr>
        <w:t>oral report</w:t>
      </w:r>
      <w:r w:rsidR="006C2B0D" w:rsidRPr="00813D19">
        <w:rPr>
          <w:lang w:val="en-US"/>
        </w:rPr>
        <w:t>.</w:t>
      </w:r>
    </w:p>
    <w:p w14:paraId="7E7D4D74" w14:textId="7BF470F6" w:rsidR="004A2A56" w:rsidRPr="00813D19" w:rsidRDefault="004A2A56" w:rsidP="001A014C">
      <w:pPr>
        <w:pStyle w:val="Orateurengris"/>
        <w:spacing w:before="120"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6C2B0D" w:rsidRPr="00813D19">
        <w:rPr>
          <w:lang w:val="en-US"/>
        </w:rPr>
        <w:t>took</w:t>
      </w:r>
      <w:r w:rsidR="00C006EE" w:rsidRPr="00813D19">
        <w:rPr>
          <w:lang w:val="en-US"/>
        </w:rPr>
        <w:t xml:space="preserve"> note </w:t>
      </w:r>
      <w:r w:rsidR="006C2B0D" w:rsidRPr="00813D19">
        <w:rPr>
          <w:lang w:val="en-US"/>
        </w:rPr>
        <w:t>of the request</w:t>
      </w:r>
      <w:r w:rsidR="00C006EE" w:rsidRPr="00813D19">
        <w:rPr>
          <w:lang w:val="en-US"/>
        </w:rPr>
        <w:t xml:space="preserve">. </w:t>
      </w:r>
      <w:r w:rsidR="006C2B0D" w:rsidRPr="00813D19">
        <w:rPr>
          <w:lang w:val="en-US"/>
        </w:rPr>
        <w:t xml:space="preserve">Before turning to agenda </w:t>
      </w:r>
      <w:r w:rsidR="00C006EE" w:rsidRPr="00813D19">
        <w:rPr>
          <w:lang w:val="en-US"/>
        </w:rPr>
        <w:t>item 9</w:t>
      </w:r>
      <w:r w:rsidR="006C2B0D" w:rsidRPr="00813D19">
        <w:rPr>
          <w:lang w:val="en-US"/>
        </w:rPr>
        <w:t xml:space="preserve">, the Chairperson was pleased to </w:t>
      </w:r>
      <w:r w:rsidR="00C006EE" w:rsidRPr="00813D19">
        <w:rPr>
          <w:lang w:val="en-US"/>
        </w:rPr>
        <w:t xml:space="preserve">recognize the </w:t>
      </w:r>
      <w:r w:rsidR="00647798" w:rsidRPr="00813D19">
        <w:rPr>
          <w:lang w:val="en-US"/>
        </w:rPr>
        <w:t xml:space="preserve">presence of the </w:t>
      </w:r>
      <w:r w:rsidR="00C006EE" w:rsidRPr="00813D19">
        <w:rPr>
          <w:lang w:val="en-US"/>
        </w:rPr>
        <w:t>Hono</w:t>
      </w:r>
      <w:r w:rsidR="00C64B11">
        <w:rPr>
          <w:lang w:val="en-US"/>
        </w:rPr>
        <w:t>u</w:t>
      </w:r>
      <w:r w:rsidR="00C006EE" w:rsidRPr="00813D19">
        <w:rPr>
          <w:lang w:val="en-US"/>
        </w:rPr>
        <w:t xml:space="preserve">rable Minister of Culture, Gender, Entertainment and Sport </w:t>
      </w:r>
      <w:r w:rsidR="001772EC" w:rsidRPr="00813D19">
        <w:rPr>
          <w:lang w:val="en-US"/>
        </w:rPr>
        <w:t>of</w:t>
      </w:r>
      <w:r w:rsidR="00C006EE" w:rsidRPr="00813D19">
        <w:rPr>
          <w:lang w:val="en-US"/>
        </w:rPr>
        <w:t xml:space="preserve"> Jamaica, </w:t>
      </w:r>
      <w:r w:rsidR="006C2B0D" w:rsidRPr="00813D19">
        <w:rPr>
          <w:lang w:val="en-US"/>
        </w:rPr>
        <w:t xml:space="preserve">Ms </w:t>
      </w:r>
      <w:r w:rsidR="00C006EE" w:rsidRPr="00813D19">
        <w:rPr>
          <w:lang w:val="en-US"/>
        </w:rPr>
        <w:t>Olivia Grange</w:t>
      </w:r>
      <w:r w:rsidR="00E41386">
        <w:rPr>
          <w:lang w:val="en-US"/>
        </w:rPr>
        <w:t>, whom he warmly welcomed.</w:t>
      </w:r>
    </w:p>
    <w:p w14:paraId="284E1C9A" w14:textId="21D038FC" w:rsidR="00B955F0" w:rsidRPr="00813D19" w:rsidRDefault="00701B95" w:rsidP="00E41386">
      <w:pPr>
        <w:pStyle w:val="Orateurengris"/>
        <w:widowControl w:val="0"/>
        <w:numPr>
          <w:ilvl w:val="0"/>
          <w:numId w:val="0"/>
        </w:numPr>
        <w:spacing w:before="360" w:after="60"/>
        <w:outlineLvl w:val="0"/>
        <w:rPr>
          <w:b/>
          <w:color w:val="000000" w:themeColor="text1"/>
          <w:u w:val="single"/>
          <w:lang w:val="en-US"/>
        </w:rPr>
      </w:pPr>
      <w:r w:rsidRPr="00813D19">
        <w:rPr>
          <w:b/>
          <w:color w:val="000000" w:themeColor="text1"/>
          <w:u w:val="single"/>
          <w:lang w:val="en-US"/>
        </w:rPr>
        <w:t>ITEM 9</w:t>
      </w:r>
      <w:r w:rsidR="00FB3221" w:rsidRPr="00813D19">
        <w:rPr>
          <w:b/>
          <w:color w:val="000000" w:themeColor="text1"/>
          <w:u w:val="single"/>
          <w:lang w:val="en-US"/>
        </w:rPr>
        <w:t xml:space="preserve"> OF THE AGENDA</w:t>
      </w:r>
    </w:p>
    <w:p w14:paraId="7FE4AB82" w14:textId="66146EF0" w:rsidR="00B955F0" w:rsidRPr="00813D19" w:rsidRDefault="00701B95" w:rsidP="00E41386">
      <w:pPr>
        <w:pStyle w:val="Orateurengris"/>
        <w:widowControl w:val="0"/>
        <w:numPr>
          <w:ilvl w:val="0"/>
          <w:numId w:val="0"/>
        </w:numPr>
        <w:rPr>
          <w:b/>
          <w:color w:val="000000" w:themeColor="text1"/>
          <w:lang w:val="en-US"/>
        </w:rPr>
      </w:pPr>
      <w:r w:rsidRPr="00813D19">
        <w:rPr>
          <w:b/>
          <w:color w:val="000000" w:themeColor="text1"/>
          <w:lang w:val="en-US"/>
        </w:rPr>
        <w:t>ISSUES CONCERNING THE FOLLOW-UP OF INSCRIBED ELEMENTS ON THE LISTS OF THE CONVENTION</w:t>
      </w:r>
    </w:p>
    <w:p w14:paraId="0294939D" w14:textId="4C100AE4" w:rsidR="00B955F0" w:rsidRPr="00813D19" w:rsidRDefault="00B955F0" w:rsidP="00E41386">
      <w:pPr>
        <w:pStyle w:val="Orateurengris"/>
        <w:numPr>
          <w:ilvl w:val="0"/>
          <w:numId w:val="0"/>
        </w:numPr>
        <w:spacing w:before="120" w:after="0"/>
        <w:ind w:left="709"/>
        <w:rPr>
          <w:bCs/>
          <w:color w:val="000000" w:themeColor="text1"/>
          <w:lang w:val="en-US"/>
        </w:rPr>
      </w:pPr>
      <w:r w:rsidRPr="00813D19">
        <w:rPr>
          <w:b/>
          <w:color w:val="000000" w:themeColor="text1"/>
          <w:lang w:val="en-US"/>
        </w:rPr>
        <w:t>Document:</w:t>
      </w:r>
      <w:r w:rsidRPr="00813D19">
        <w:rPr>
          <w:b/>
          <w:color w:val="000000" w:themeColor="text1"/>
          <w:lang w:val="en-US"/>
        </w:rPr>
        <w:tab/>
      </w:r>
      <w:hyperlink r:id="rId76" w:history="1">
        <w:r w:rsidR="00701B95" w:rsidRPr="00813D19">
          <w:rPr>
            <w:rStyle w:val="Hyperlink"/>
            <w:bCs/>
            <w:i/>
            <w:lang w:val="en-US"/>
          </w:rPr>
          <w:t>ITH/18/13</w:t>
        </w:r>
        <w:r w:rsidRPr="00813D19">
          <w:rPr>
            <w:rStyle w:val="Hyperlink"/>
            <w:bCs/>
            <w:i/>
            <w:lang w:val="en-US"/>
          </w:rPr>
          <w:t>.COM/</w:t>
        </w:r>
        <w:r w:rsidR="00701B95" w:rsidRPr="00813D19">
          <w:rPr>
            <w:rStyle w:val="Hyperlink"/>
            <w:bCs/>
            <w:i/>
            <w:lang w:val="en-US"/>
          </w:rPr>
          <w:t>9</w:t>
        </w:r>
      </w:hyperlink>
    </w:p>
    <w:p w14:paraId="382FFBC0" w14:textId="6B9E85A0" w:rsidR="00B955F0" w:rsidRPr="00813D19" w:rsidRDefault="00B955F0" w:rsidP="00F611A5">
      <w:pPr>
        <w:pStyle w:val="Orateurengris"/>
        <w:numPr>
          <w:ilvl w:val="0"/>
          <w:numId w:val="0"/>
        </w:numPr>
        <w:spacing w:before="60" w:after="240"/>
        <w:ind w:left="709"/>
        <w:rPr>
          <w:color w:val="000000" w:themeColor="text1"/>
          <w:lang w:val="en-US"/>
        </w:rPr>
      </w:pPr>
      <w:r w:rsidRPr="00813D19">
        <w:rPr>
          <w:b/>
          <w:color w:val="000000" w:themeColor="text1"/>
          <w:lang w:val="en-US"/>
        </w:rPr>
        <w:t>Decision</w:t>
      </w:r>
      <w:r w:rsidRPr="00E41386">
        <w:rPr>
          <w:b/>
          <w:bCs/>
          <w:color w:val="000000" w:themeColor="text1"/>
          <w:lang w:val="en-US"/>
        </w:rPr>
        <w:t>:</w:t>
      </w:r>
      <w:r w:rsidRPr="00813D19">
        <w:rPr>
          <w:color w:val="000000" w:themeColor="text1"/>
          <w:lang w:val="en-US"/>
        </w:rPr>
        <w:tab/>
      </w:r>
      <w:hyperlink r:id="rId77" w:history="1">
        <w:r w:rsidRPr="00813D19">
          <w:rPr>
            <w:rStyle w:val="Hyperlink"/>
            <w:i/>
            <w:lang w:val="en-US"/>
          </w:rPr>
          <w:t>1</w:t>
        </w:r>
        <w:r w:rsidR="00F611A5">
          <w:rPr>
            <w:rStyle w:val="Hyperlink"/>
            <w:i/>
            <w:lang w:val="en-US"/>
          </w:rPr>
          <w:t>3</w:t>
        </w:r>
        <w:r w:rsidRPr="00813D19">
          <w:rPr>
            <w:rStyle w:val="Hyperlink"/>
            <w:i/>
            <w:lang w:val="en-US"/>
          </w:rPr>
          <w:t xml:space="preserve">.COM </w:t>
        </w:r>
        <w:r w:rsidR="00701B95" w:rsidRPr="00813D19">
          <w:rPr>
            <w:rStyle w:val="Hyperlink"/>
            <w:i/>
            <w:lang w:val="en-US"/>
          </w:rPr>
          <w:t>9</w:t>
        </w:r>
      </w:hyperlink>
    </w:p>
    <w:p w14:paraId="02B7A2DE" w14:textId="5A6B7275" w:rsidR="00B955F0" w:rsidRPr="00813D19" w:rsidRDefault="00F80ACA" w:rsidP="00FB3221">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turned to the next agenda item, </w:t>
      </w:r>
      <w:r w:rsidR="004A2A56" w:rsidRPr="00813D19">
        <w:rPr>
          <w:color w:val="000000" w:themeColor="text1"/>
          <w:lang w:val="en-US"/>
        </w:rPr>
        <w:t xml:space="preserve">noting that this was a new item, </w:t>
      </w:r>
      <w:r w:rsidRPr="00813D19">
        <w:rPr>
          <w:color w:val="000000" w:themeColor="text1"/>
          <w:lang w:val="en-US"/>
        </w:rPr>
        <w:t>inviting the</w:t>
      </w:r>
      <w:r w:rsidR="00FB3221" w:rsidRPr="00813D19">
        <w:rPr>
          <w:color w:val="000000" w:themeColor="text1"/>
          <w:lang w:val="en-US"/>
        </w:rPr>
        <w:t xml:space="preserve"> Secretary to present the item.</w:t>
      </w:r>
    </w:p>
    <w:p w14:paraId="413D51D5" w14:textId="759F4197" w:rsidR="002211C1" w:rsidRPr="00813D19" w:rsidRDefault="002211C1" w:rsidP="00E16156">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E16156" w:rsidRPr="00813D19">
        <w:rPr>
          <w:lang w:val="en-US"/>
        </w:rPr>
        <w:t>explained that this was indeed</w:t>
      </w:r>
      <w:r w:rsidRPr="00813D19">
        <w:rPr>
          <w:lang w:val="en-US"/>
        </w:rPr>
        <w:t xml:space="preserve"> a new subject matter</w:t>
      </w:r>
      <w:r w:rsidR="00E16156" w:rsidRPr="00813D19">
        <w:rPr>
          <w:lang w:val="en-US"/>
        </w:rPr>
        <w:t xml:space="preserve">, </w:t>
      </w:r>
      <w:r w:rsidR="00813D19" w:rsidRPr="00813D19">
        <w:rPr>
          <w:lang w:val="en-US"/>
        </w:rPr>
        <w:t>clarifying</w:t>
      </w:r>
      <w:r w:rsidR="00E16156" w:rsidRPr="00813D19">
        <w:rPr>
          <w:lang w:val="en-US"/>
        </w:rPr>
        <w:t xml:space="preserve"> that the Committee was not being asked </w:t>
      </w:r>
      <w:r w:rsidRPr="00813D19">
        <w:rPr>
          <w:lang w:val="en-US"/>
        </w:rPr>
        <w:t xml:space="preserve">to make a decision </w:t>
      </w:r>
      <w:r w:rsidR="00E16156" w:rsidRPr="00813D19">
        <w:rPr>
          <w:lang w:val="en-US"/>
        </w:rPr>
        <w:t xml:space="preserve">at the present session on </w:t>
      </w:r>
      <w:r w:rsidRPr="00813D19">
        <w:rPr>
          <w:lang w:val="en-US"/>
        </w:rPr>
        <w:t>the establishment of a follow-up mechanism</w:t>
      </w:r>
      <w:r w:rsidR="00E16156" w:rsidRPr="00813D19">
        <w:rPr>
          <w:lang w:val="en-US"/>
        </w:rPr>
        <w:t>. Rather, the Secretariat wished</w:t>
      </w:r>
      <w:r w:rsidRPr="00813D19">
        <w:rPr>
          <w:lang w:val="en-US"/>
        </w:rPr>
        <w:t xml:space="preserve"> to launch a discussion on this subject based on the experience </w:t>
      </w:r>
      <w:r w:rsidR="00E16156" w:rsidRPr="00813D19">
        <w:rPr>
          <w:lang w:val="en-US"/>
        </w:rPr>
        <w:t xml:space="preserve">thus </w:t>
      </w:r>
      <w:r w:rsidRPr="00813D19">
        <w:rPr>
          <w:lang w:val="en-US"/>
        </w:rPr>
        <w:t xml:space="preserve">far. </w:t>
      </w:r>
      <w:r w:rsidR="00E16156" w:rsidRPr="00813D19">
        <w:rPr>
          <w:lang w:val="en-US"/>
        </w:rPr>
        <w:t xml:space="preserve">The Secretary </w:t>
      </w:r>
      <w:r w:rsidRPr="00813D19">
        <w:rPr>
          <w:lang w:val="en-US"/>
        </w:rPr>
        <w:t>briefly recall</w:t>
      </w:r>
      <w:r w:rsidR="00E16156" w:rsidRPr="00813D19">
        <w:rPr>
          <w:lang w:val="en-US"/>
        </w:rPr>
        <w:t>ed</w:t>
      </w:r>
      <w:r w:rsidRPr="00813D19">
        <w:rPr>
          <w:lang w:val="en-US"/>
        </w:rPr>
        <w:t xml:space="preserve"> that the status of inscribed elements </w:t>
      </w:r>
      <w:r w:rsidR="00E16156" w:rsidRPr="00813D19">
        <w:rPr>
          <w:lang w:val="en-US"/>
        </w:rPr>
        <w:t xml:space="preserve">was </w:t>
      </w:r>
      <w:r w:rsidRPr="00813D19">
        <w:rPr>
          <w:lang w:val="en-US"/>
        </w:rPr>
        <w:t xml:space="preserve">currently monitored through two existing mechanisms: </w:t>
      </w:r>
      <w:r w:rsidR="00D33E71" w:rsidRPr="00813D19">
        <w:rPr>
          <w:lang w:val="en-US"/>
        </w:rPr>
        <w:t xml:space="preserve">i) </w:t>
      </w:r>
      <w:r w:rsidRPr="00813D19">
        <w:rPr>
          <w:lang w:val="en-US"/>
        </w:rPr>
        <w:t>periodic reporting</w:t>
      </w:r>
      <w:r w:rsidR="00D33E71" w:rsidRPr="00813D19">
        <w:rPr>
          <w:lang w:val="en-US"/>
        </w:rPr>
        <w:t>;</w:t>
      </w:r>
      <w:r w:rsidRPr="00813D19">
        <w:rPr>
          <w:lang w:val="en-US"/>
        </w:rPr>
        <w:t xml:space="preserve"> and </w:t>
      </w:r>
      <w:r w:rsidR="00D33E71" w:rsidRPr="00813D19">
        <w:rPr>
          <w:lang w:val="en-US"/>
        </w:rPr>
        <w:t xml:space="preserve">ii) </w:t>
      </w:r>
      <w:r w:rsidRPr="00813D19">
        <w:rPr>
          <w:lang w:val="en-US"/>
        </w:rPr>
        <w:t xml:space="preserve">the guidelines on the treatment of correspondence. </w:t>
      </w:r>
      <w:r w:rsidR="00E16156" w:rsidRPr="00813D19">
        <w:rPr>
          <w:u w:val="single"/>
          <w:lang w:val="en-US"/>
        </w:rPr>
        <w:t>P</w:t>
      </w:r>
      <w:r w:rsidRPr="00813D19">
        <w:rPr>
          <w:u w:val="single"/>
          <w:lang w:val="en-US"/>
        </w:rPr>
        <w:t>eriodic reporting</w:t>
      </w:r>
      <w:r w:rsidR="00E16156" w:rsidRPr="00813D19">
        <w:rPr>
          <w:lang w:val="en-US"/>
        </w:rPr>
        <w:t xml:space="preserve"> was </w:t>
      </w:r>
      <w:r w:rsidRPr="00813D19">
        <w:rPr>
          <w:lang w:val="en-US"/>
        </w:rPr>
        <w:t xml:space="preserve">currently the main mechanism </w:t>
      </w:r>
      <w:r w:rsidR="00E16156" w:rsidRPr="00813D19">
        <w:rPr>
          <w:lang w:val="en-US"/>
        </w:rPr>
        <w:t xml:space="preserve">employed to </w:t>
      </w:r>
      <w:r w:rsidRPr="00813D19">
        <w:rPr>
          <w:lang w:val="en-US"/>
        </w:rPr>
        <w:t>regular</w:t>
      </w:r>
      <w:r w:rsidR="00E16156" w:rsidRPr="00813D19">
        <w:rPr>
          <w:lang w:val="en-US"/>
        </w:rPr>
        <w:t>ly monitor</w:t>
      </w:r>
      <w:r w:rsidRPr="00813D19">
        <w:rPr>
          <w:lang w:val="en-US"/>
        </w:rPr>
        <w:t xml:space="preserve"> elements following their inscription, as presented in </w:t>
      </w:r>
      <w:r w:rsidR="00E16156" w:rsidRPr="00813D19">
        <w:rPr>
          <w:lang w:val="en-US"/>
        </w:rPr>
        <w:t>s</w:t>
      </w:r>
      <w:r w:rsidRPr="00813D19">
        <w:rPr>
          <w:lang w:val="en-US"/>
        </w:rPr>
        <w:t xml:space="preserve">ub-chapter V of the Operational Directives. Reporting on the status of elements inscribed on the Representative List </w:t>
      </w:r>
      <w:r w:rsidR="00E16156" w:rsidRPr="00813D19">
        <w:rPr>
          <w:lang w:val="en-US"/>
        </w:rPr>
        <w:t xml:space="preserve">is </w:t>
      </w:r>
      <w:r w:rsidRPr="00813D19">
        <w:rPr>
          <w:lang w:val="en-US"/>
        </w:rPr>
        <w:t xml:space="preserve">undertaken every six years </w:t>
      </w:r>
      <w:r w:rsidR="00E16156" w:rsidRPr="00813D19">
        <w:rPr>
          <w:lang w:val="en-US"/>
        </w:rPr>
        <w:t>by each State Party</w:t>
      </w:r>
      <w:r w:rsidRPr="00813D19">
        <w:rPr>
          <w:lang w:val="en-US"/>
        </w:rPr>
        <w:t xml:space="preserve"> </w:t>
      </w:r>
      <w:r w:rsidR="00E16156" w:rsidRPr="00813D19">
        <w:rPr>
          <w:lang w:val="en-US"/>
        </w:rPr>
        <w:t xml:space="preserve">on </w:t>
      </w:r>
      <w:r w:rsidRPr="00813D19">
        <w:rPr>
          <w:lang w:val="en-US"/>
        </w:rPr>
        <w:t xml:space="preserve">the implementation of the Convention at the national level. </w:t>
      </w:r>
      <w:r w:rsidR="00E16156" w:rsidRPr="00813D19">
        <w:rPr>
          <w:lang w:val="en-US"/>
        </w:rPr>
        <w:t>F</w:t>
      </w:r>
      <w:r w:rsidRPr="00813D19">
        <w:rPr>
          <w:lang w:val="en-US"/>
        </w:rPr>
        <w:t xml:space="preserve">or elements inscribed on the Urgent Safeguarding List, </w:t>
      </w:r>
      <w:r w:rsidR="00E16156" w:rsidRPr="00813D19">
        <w:rPr>
          <w:lang w:val="en-US"/>
        </w:rPr>
        <w:t>the status is reported</w:t>
      </w:r>
      <w:r w:rsidRPr="00813D19">
        <w:rPr>
          <w:lang w:val="en-US"/>
        </w:rPr>
        <w:t xml:space="preserve"> every four years following the</w:t>
      </w:r>
      <w:r w:rsidR="00E16156" w:rsidRPr="00813D19">
        <w:rPr>
          <w:lang w:val="en-US"/>
        </w:rPr>
        <w:t>ir</w:t>
      </w:r>
      <w:r w:rsidRPr="00813D19">
        <w:rPr>
          <w:lang w:val="en-US"/>
        </w:rPr>
        <w:t xml:space="preserve"> inscription. In both cases, this reporting mechanism encourages community involvement, yet remains </w:t>
      </w:r>
      <w:r w:rsidR="009F7ED0">
        <w:rPr>
          <w:lang w:val="en-US"/>
        </w:rPr>
        <w:t>S</w:t>
      </w:r>
      <w:r w:rsidRPr="00813D19">
        <w:rPr>
          <w:lang w:val="en-US"/>
        </w:rPr>
        <w:t xml:space="preserve">tate-driven. Importantly, periodic reporting does not allow </w:t>
      </w:r>
      <w:r w:rsidR="009F7ED0">
        <w:rPr>
          <w:lang w:val="en-US"/>
        </w:rPr>
        <w:t xml:space="preserve">for </w:t>
      </w:r>
      <w:r w:rsidRPr="00813D19">
        <w:rPr>
          <w:lang w:val="en-US"/>
        </w:rPr>
        <w:t>the possibility for communities and other stakeholders</w:t>
      </w:r>
      <w:r w:rsidR="009F7ED0">
        <w:rPr>
          <w:lang w:val="en-US"/>
        </w:rPr>
        <w:t xml:space="preserve"> concerned</w:t>
      </w:r>
      <w:r w:rsidRPr="00813D19">
        <w:rPr>
          <w:lang w:val="en-US"/>
        </w:rPr>
        <w:t xml:space="preserve"> to signal emerging situations </w:t>
      </w:r>
      <w:r w:rsidR="00E16156" w:rsidRPr="00813D19">
        <w:rPr>
          <w:lang w:val="en-US"/>
        </w:rPr>
        <w:t xml:space="preserve">that might occur </w:t>
      </w:r>
      <w:r w:rsidRPr="00813D19">
        <w:rPr>
          <w:lang w:val="en-US"/>
        </w:rPr>
        <w:t>between two reporting cycles.</w:t>
      </w:r>
      <w:r w:rsidR="00E16156" w:rsidRPr="00813D19">
        <w:rPr>
          <w:lang w:val="en-US"/>
        </w:rPr>
        <w:t xml:space="preserve"> </w:t>
      </w:r>
      <w:r w:rsidRPr="00813D19">
        <w:rPr>
          <w:lang w:val="en-US"/>
        </w:rPr>
        <w:t xml:space="preserve">In addition to the periodic reporting mechanism, </w:t>
      </w:r>
      <w:r w:rsidR="009F7ED0">
        <w:rPr>
          <w:lang w:val="en-US"/>
        </w:rPr>
        <w:t xml:space="preserve">in 2012 </w:t>
      </w:r>
      <w:r w:rsidRPr="00813D19">
        <w:rPr>
          <w:lang w:val="en-US"/>
        </w:rPr>
        <w:t xml:space="preserve">the Committee established </w:t>
      </w:r>
      <w:r w:rsidR="00E16156" w:rsidRPr="00813D19">
        <w:rPr>
          <w:lang w:val="en-US"/>
        </w:rPr>
        <w:t>‘</w:t>
      </w:r>
      <w:r w:rsidRPr="00813D19">
        <w:rPr>
          <w:lang w:val="en-US"/>
        </w:rPr>
        <w:t xml:space="preserve">Guidelines for the treatment of correspondence from the public or other concerned parties with regard to nominations’. In this regard, </w:t>
      </w:r>
      <w:r w:rsidR="00E16156" w:rsidRPr="00813D19">
        <w:rPr>
          <w:lang w:val="en-US"/>
        </w:rPr>
        <w:t xml:space="preserve">the Secretary wished to </w:t>
      </w:r>
      <w:r w:rsidRPr="00813D19">
        <w:rPr>
          <w:lang w:val="en-US"/>
        </w:rPr>
        <w:t>underline the distinction made in the guidelines bet</w:t>
      </w:r>
      <w:r w:rsidR="00E16156" w:rsidRPr="00813D19">
        <w:rPr>
          <w:lang w:val="en-US"/>
        </w:rPr>
        <w:t>ween the correspondence related</w:t>
      </w:r>
      <w:r w:rsidRPr="00813D19">
        <w:rPr>
          <w:lang w:val="en-US"/>
        </w:rPr>
        <w:t xml:space="preserve"> to elements nominated for inscription on the Lists and to elements already inscribed. </w:t>
      </w:r>
      <w:r w:rsidR="00A1503B" w:rsidRPr="00813D19">
        <w:rPr>
          <w:u w:val="single"/>
          <w:lang w:val="en-US"/>
        </w:rPr>
        <w:t>C</w:t>
      </w:r>
      <w:r w:rsidRPr="00813D19">
        <w:rPr>
          <w:u w:val="single"/>
          <w:lang w:val="en-US"/>
        </w:rPr>
        <w:t>orrespondence related to elements nominated for inscription</w:t>
      </w:r>
      <w:r w:rsidRPr="00813D19">
        <w:rPr>
          <w:lang w:val="en-US"/>
        </w:rPr>
        <w:t xml:space="preserve"> is transmitted by the Secretariat to the State concerned in the language received. The </w:t>
      </w:r>
      <w:r w:rsidR="00A1503B" w:rsidRPr="00813D19">
        <w:rPr>
          <w:lang w:val="en-US"/>
        </w:rPr>
        <w:t xml:space="preserve">State’s </w:t>
      </w:r>
      <w:r w:rsidRPr="00813D19">
        <w:rPr>
          <w:lang w:val="en-US"/>
        </w:rPr>
        <w:t>response, if any, is then communicated back to the enti</w:t>
      </w:r>
      <w:r w:rsidR="00A1503B" w:rsidRPr="00813D19">
        <w:rPr>
          <w:lang w:val="en-US"/>
        </w:rPr>
        <w:t>ty that sent the correspondence</w:t>
      </w:r>
      <w:r w:rsidRPr="00813D19">
        <w:rPr>
          <w:lang w:val="en-US"/>
        </w:rPr>
        <w:t xml:space="preserve"> </w:t>
      </w:r>
      <w:r w:rsidR="00CE600B" w:rsidRPr="00813D19">
        <w:rPr>
          <w:lang w:val="en-US"/>
        </w:rPr>
        <w:t>via</w:t>
      </w:r>
      <w:r w:rsidRPr="00813D19">
        <w:rPr>
          <w:lang w:val="en-US"/>
        </w:rPr>
        <w:t xml:space="preserve"> the Secretariat. </w:t>
      </w:r>
      <w:r w:rsidR="00A1503B" w:rsidRPr="00813D19">
        <w:rPr>
          <w:lang w:val="en-US"/>
        </w:rPr>
        <w:t>Correspondence, which includes</w:t>
      </w:r>
      <w:r w:rsidRPr="00813D19">
        <w:rPr>
          <w:lang w:val="en-US"/>
        </w:rPr>
        <w:t xml:space="preserve"> the letter received and the </w:t>
      </w:r>
      <w:r w:rsidR="00A1503B" w:rsidRPr="00813D19">
        <w:rPr>
          <w:lang w:val="en-US"/>
        </w:rPr>
        <w:t xml:space="preserve">[subsequent] </w:t>
      </w:r>
      <w:r w:rsidRPr="00813D19">
        <w:rPr>
          <w:lang w:val="en-US"/>
        </w:rPr>
        <w:t>res</w:t>
      </w:r>
      <w:r w:rsidR="00A1503B" w:rsidRPr="00813D19">
        <w:rPr>
          <w:lang w:val="en-US"/>
        </w:rPr>
        <w:t xml:space="preserve">ponse from the submitting State, </w:t>
      </w:r>
      <w:r w:rsidRPr="00813D19">
        <w:rPr>
          <w:lang w:val="en-US"/>
        </w:rPr>
        <w:t xml:space="preserve">is made available to the Committee and the Evaluation Body </w:t>
      </w:r>
      <w:r w:rsidRPr="00813D19">
        <w:rPr>
          <w:i/>
          <w:lang w:val="en-US"/>
        </w:rPr>
        <w:t>prior</w:t>
      </w:r>
      <w:r w:rsidRPr="00813D19">
        <w:rPr>
          <w:lang w:val="en-US"/>
        </w:rPr>
        <w:t xml:space="preserve"> to their respective meeting. Through this mechanism, the </w:t>
      </w:r>
      <w:r w:rsidR="00CE600B" w:rsidRPr="00813D19">
        <w:rPr>
          <w:lang w:val="en-US"/>
        </w:rPr>
        <w:t xml:space="preserve">Committee has </w:t>
      </w:r>
      <w:r w:rsidR="009F7ED0">
        <w:rPr>
          <w:lang w:val="en-US"/>
        </w:rPr>
        <w:t xml:space="preserve">the </w:t>
      </w:r>
      <w:r w:rsidR="00CE600B" w:rsidRPr="00813D19">
        <w:rPr>
          <w:lang w:val="en-US"/>
        </w:rPr>
        <w:t>oversight</w:t>
      </w:r>
      <w:r w:rsidR="00D33E71" w:rsidRPr="00813D19">
        <w:rPr>
          <w:lang w:val="en-US"/>
        </w:rPr>
        <w:t>—</w:t>
      </w:r>
      <w:r w:rsidR="00CE600B" w:rsidRPr="00813D19">
        <w:rPr>
          <w:lang w:val="en-US"/>
        </w:rPr>
        <w:t xml:space="preserve">by means of the </w:t>
      </w:r>
      <w:r w:rsidRPr="00813D19">
        <w:rPr>
          <w:lang w:val="en-US"/>
        </w:rPr>
        <w:t xml:space="preserve">Evaluation Body </w:t>
      </w:r>
      <w:r w:rsidR="00CE600B" w:rsidRPr="00813D19">
        <w:rPr>
          <w:lang w:val="en-US"/>
        </w:rPr>
        <w:t>established every y</w:t>
      </w:r>
      <w:r w:rsidR="00D33E71" w:rsidRPr="00813D19">
        <w:rPr>
          <w:lang w:val="en-US"/>
        </w:rPr>
        <w:t>ear—</w:t>
      </w:r>
      <w:r w:rsidR="00CE600B" w:rsidRPr="00813D19">
        <w:rPr>
          <w:lang w:val="en-US"/>
        </w:rPr>
        <w:t>to assess</w:t>
      </w:r>
      <w:r w:rsidRPr="00813D19">
        <w:rPr>
          <w:lang w:val="en-US"/>
        </w:rPr>
        <w:t xml:space="preserve"> the correspondence received on nominations. </w:t>
      </w:r>
      <w:r w:rsidR="00CE600B" w:rsidRPr="00813D19">
        <w:rPr>
          <w:lang w:val="en-US"/>
        </w:rPr>
        <w:t xml:space="preserve">The mechanism for </w:t>
      </w:r>
      <w:r w:rsidR="00CE600B" w:rsidRPr="00813D19">
        <w:rPr>
          <w:u w:val="single"/>
          <w:lang w:val="en-US"/>
        </w:rPr>
        <w:t>c</w:t>
      </w:r>
      <w:r w:rsidRPr="00813D19">
        <w:rPr>
          <w:u w:val="single"/>
          <w:lang w:val="en-US"/>
        </w:rPr>
        <w:t>orrespondence related to elements already inscribed</w:t>
      </w:r>
      <w:r w:rsidRPr="00813D19">
        <w:rPr>
          <w:lang w:val="en-US"/>
        </w:rPr>
        <w:t xml:space="preserve"> functions in a different manner. When received, correspondence is transmitted by the Secretariat to the State concerned in the language received. </w:t>
      </w:r>
      <w:r w:rsidR="00CE600B" w:rsidRPr="00813D19">
        <w:rPr>
          <w:lang w:val="en-US"/>
        </w:rPr>
        <w:t>T</w:t>
      </w:r>
      <w:r w:rsidRPr="00813D19">
        <w:rPr>
          <w:lang w:val="en-US"/>
        </w:rPr>
        <w:t xml:space="preserve">he </w:t>
      </w:r>
      <w:r w:rsidR="00CE600B" w:rsidRPr="00813D19">
        <w:rPr>
          <w:lang w:val="en-US"/>
        </w:rPr>
        <w:t xml:space="preserve">State’s </w:t>
      </w:r>
      <w:r w:rsidRPr="00813D19">
        <w:rPr>
          <w:lang w:val="en-US"/>
        </w:rPr>
        <w:t xml:space="preserve">response, if any, is </w:t>
      </w:r>
      <w:r w:rsidR="00CE600B" w:rsidRPr="00813D19">
        <w:rPr>
          <w:lang w:val="en-US"/>
        </w:rPr>
        <w:t xml:space="preserve">then </w:t>
      </w:r>
      <w:r w:rsidRPr="00813D19">
        <w:rPr>
          <w:lang w:val="en-US"/>
        </w:rPr>
        <w:t xml:space="preserve">forwarded to the entity that sent the correspondence. However, the guidelines do not foresee </w:t>
      </w:r>
      <w:r w:rsidR="00CE600B" w:rsidRPr="00813D19">
        <w:rPr>
          <w:lang w:val="en-US"/>
        </w:rPr>
        <w:t xml:space="preserve">the </w:t>
      </w:r>
      <w:r w:rsidRPr="00813D19">
        <w:rPr>
          <w:lang w:val="en-US"/>
        </w:rPr>
        <w:t>correspondence be</w:t>
      </w:r>
      <w:r w:rsidR="009F7ED0">
        <w:rPr>
          <w:lang w:val="en-US"/>
        </w:rPr>
        <w:t>ing</w:t>
      </w:r>
      <w:r w:rsidRPr="00813D19">
        <w:rPr>
          <w:lang w:val="en-US"/>
        </w:rPr>
        <w:t xml:space="preserve"> brought to the attention of the Committee. In other words, unlike </w:t>
      </w:r>
      <w:r w:rsidR="00CE600B" w:rsidRPr="00813D19">
        <w:rPr>
          <w:lang w:val="en-US"/>
        </w:rPr>
        <w:t xml:space="preserve">the mechanism </w:t>
      </w:r>
      <w:r w:rsidR="009F7ED0" w:rsidRPr="00813D19">
        <w:rPr>
          <w:lang w:val="en-US"/>
        </w:rPr>
        <w:t xml:space="preserve">foreseen </w:t>
      </w:r>
      <w:r w:rsidRPr="00813D19">
        <w:rPr>
          <w:lang w:val="en-US"/>
        </w:rPr>
        <w:t>for corres</w:t>
      </w:r>
      <w:r w:rsidR="00CE600B" w:rsidRPr="00813D19">
        <w:rPr>
          <w:lang w:val="en-US"/>
        </w:rPr>
        <w:t xml:space="preserve">pondence concerning nominations, </w:t>
      </w:r>
      <w:r w:rsidRPr="00813D19">
        <w:rPr>
          <w:lang w:val="en-US"/>
        </w:rPr>
        <w:t xml:space="preserve">communication only </w:t>
      </w:r>
      <w:r w:rsidR="00CE600B" w:rsidRPr="00813D19">
        <w:rPr>
          <w:lang w:val="en-US"/>
        </w:rPr>
        <w:t xml:space="preserve">occurs </w:t>
      </w:r>
      <w:r w:rsidRPr="00813D19">
        <w:rPr>
          <w:lang w:val="en-US"/>
        </w:rPr>
        <w:t xml:space="preserve">between the State Party and the stakeholder </w:t>
      </w:r>
      <w:r w:rsidR="00CE600B" w:rsidRPr="00813D19">
        <w:rPr>
          <w:lang w:val="en-US"/>
        </w:rPr>
        <w:t xml:space="preserve">or sender of </w:t>
      </w:r>
      <w:r w:rsidRPr="00813D19">
        <w:rPr>
          <w:lang w:val="en-US"/>
        </w:rPr>
        <w:t xml:space="preserve">the correspondence </w:t>
      </w:r>
      <w:r w:rsidR="00CE600B" w:rsidRPr="00813D19">
        <w:rPr>
          <w:lang w:val="en-US"/>
        </w:rPr>
        <w:t xml:space="preserve">by way of the Secretariat. There is no mechanism </w:t>
      </w:r>
      <w:r w:rsidRPr="00813D19">
        <w:rPr>
          <w:lang w:val="en-US"/>
        </w:rPr>
        <w:t xml:space="preserve">foreseen </w:t>
      </w:r>
      <w:r w:rsidR="00CE600B" w:rsidRPr="00813D19">
        <w:rPr>
          <w:lang w:val="en-US"/>
        </w:rPr>
        <w:t xml:space="preserve">to inform </w:t>
      </w:r>
      <w:r w:rsidRPr="00813D19">
        <w:rPr>
          <w:lang w:val="en-US"/>
        </w:rPr>
        <w:t xml:space="preserve">the Committee of </w:t>
      </w:r>
      <w:r w:rsidR="00CE600B" w:rsidRPr="00813D19">
        <w:rPr>
          <w:lang w:val="en-US"/>
        </w:rPr>
        <w:t xml:space="preserve">the </w:t>
      </w:r>
      <w:r w:rsidRPr="00813D19">
        <w:rPr>
          <w:lang w:val="en-US"/>
        </w:rPr>
        <w:t xml:space="preserve">correspondence, even though it may pertain to important issues </w:t>
      </w:r>
      <w:r w:rsidR="009F7ED0">
        <w:rPr>
          <w:lang w:val="en-US"/>
        </w:rPr>
        <w:t>that affect</w:t>
      </w:r>
      <w:r w:rsidR="009F7ED0" w:rsidRPr="00813D19">
        <w:rPr>
          <w:lang w:val="en-US"/>
        </w:rPr>
        <w:t xml:space="preserve"> </w:t>
      </w:r>
      <w:r w:rsidRPr="00813D19">
        <w:rPr>
          <w:lang w:val="en-US"/>
        </w:rPr>
        <w:t>the status of inscribed elements.</w:t>
      </w:r>
    </w:p>
    <w:p w14:paraId="5CEDC852" w14:textId="1D7D3119" w:rsidR="002211C1" w:rsidRPr="00813D19" w:rsidRDefault="002211C1" w:rsidP="002211C1">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FA0F4F" w:rsidRPr="00813D19">
        <w:rPr>
          <w:lang w:val="en-US"/>
        </w:rPr>
        <w:t xml:space="preserve">further </w:t>
      </w:r>
      <w:r w:rsidRPr="00813D19">
        <w:rPr>
          <w:lang w:val="en-US"/>
        </w:rPr>
        <w:t xml:space="preserve">explained that </w:t>
      </w:r>
      <w:r w:rsidR="00483F1E" w:rsidRPr="00813D19">
        <w:rPr>
          <w:lang w:val="en-US"/>
        </w:rPr>
        <w:t xml:space="preserve"> </w:t>
      </w:r>
      <w:r w:rsidRPr="00813D19">
        <w:rPr>
          <w:lang w:val="en-US"/>
        </w:rPr>
        <w:t>since the inception of the Lists, the Secretariat</w:t>
      </w:r>
      <w:r w:rsidR="009F7ED0">
        <w:rPr>
          <w:lang w:val="en-US"/>
        </w:rPr>
        <w:t xml:space="preserve"> had</w:t>
      </w:r>
      <w:r w:rsidRPr="00813D19">
        <w:rPr>
          <w:lang w:val="en-US"/>
        </w:rPr>
        <w:t xml:space="preserve"> regularly received letters concerning nominated elements, inscribed elements or elements of intangible cultural heritage in general. However, in the past two years, the</w:t>
      </w:r>
      <w:r w:rsidR="00483F1E" w:rsidRPr="00813D19">
        <w:rPr>
          <w:lang w:val="en-US"/>
        </w:rPr>
        <w:t>se</w:t>
      </w:r>
      <w:r w:rsidRPr="00813D19">
        <w:rPr>
          <w:lang w:val="en-US"/>
        </w:rPr>
        <w:t xml:space="preserve"> letters </w:t>
      </w:r>
      <w:r w:rsidR="00483F1E" w:rsidRPr="00813D19">
        <w:rPr>
          <w:lang w:val="en-US"/>
        </w:rPr>
        <w:t xml:space="preserve">had </w:t>
      </w:r>
      <w:r w:rsidRPr="00813D19">
        <w:rPr>
          <w:lang w:val="en-US"/>
        </w:rPr>
        <w:t xml:space="preserve">significantly increased, with around 100 </w:t>
      </w:r>
      <w:r w:rsidR="00483F1E" w:rsidRPr="00813D19">
        <w:rPr>
          <w:lang w:val="en-US"/>
        </w:rPr>
        <w:t xml:space="preserve">assorted </w:t>
      </w:r>
      <w:r w:rsidRPr="00813D19">
        <w:rPr>
          <w:lang w:val="en-US"/>
        </w:rPr>
        <w:t>emails and letters regarding the latest developments affecting the status and viability of an inscribed element. These letters concern</w:t>
      </w:r>
      <w:r w:rsidR="00483F1E" w:rsidRPr="00813D19">
        <w:rPr>
          <w:lang w:val="en-US"/>
        </w:rPr>
        <w:t>ed</w:t>
      </w:r>
      <w:r w:rsidRPr="00813D19">
        <w:rPr>
          <w:lang w:val="en-US"/>
        </w:rPr>
        <w:t xml:space="preserve"> </w:t>
      </w:r>
      <w:r w:rsidR="009F7ED0">
        <w:rPr>
          <w:lang w:val="en-US"/>
        </w:rPr>
        <w:t>twelve</w:t>
      </w:r>
      <w:r w:rsidRPr="00813D19">
        <w:rPr>
          <w:lang w:val="en-US"/>
        </w:rPr>
        <w:t xml:space="preserve"> different elements inscribed on the Representative List a</w:t>
      </w:r>
      <w:r w:rsidR="00483F1E" w:rsidRPr="00813D19">
        <w:rPr>
          <w:lang w:val="en-US"/>
        </w:rPr>
        <w:t xml:space="preserve">nd the Urgent Safeguarding List, </w:t>
      </w:r>
      <w:r w:rsidRPr="00813D19">
        <w:rPr>
          <w:lang w:val="en-US"/>
        </w:rPr>
        <w:t xml:space="preserve">practised in </w:t>
      </w:r>
      <w:r w:rsidR="009F7ED0">
        <w:rPr>
          <w:lang w:val="en-US"/>
        </w:rPr>
        <w:t>ten</w:t>
      </w:r>
      <w:r w:rsidRPr="00813D19">
        <w:rPr>
          <w:lang w:val="en-US"/>
        </w:rPr>
        <w:t xml:space="preserve"> different countries. </w:t>
      </w:r>
      <w:r w:rsidR="00483F1E" w:rsidRPr="00813D19">
        <w:rPr>
          <w:lang w:val="en-US"/>
        </w:rPr>
        <w:t xml:space="preserve">From these </w:t>
      </w:r>
      <w:r w:rsidR="009F7ED0">
        <w:rPr>
          <w:lang w:val="en-US"/>
        </w:rPr>
        <w:t>twelve</w:t>
      </w:r>
      <w:r w:rsidR="00483F1E" w:rsidRPr="00813D19">
        <w:rPr>
          <w:lang w:val="en-US"/>
        </w:rPr>
        <w:t xml:space="preserve"> </w:t>
      </w:r>
      <w:r w:rsidR="00813D19" w:rsidRPr="00813D19">
        <w:rPr>
          <w:lang w:val="en-US"/>
        </w:rPr>
        <w:t>cases,</w:t>
      </w:r>
      <w:r w:rsidR="00483F1E" w:rsidRPr="00813D19">
        <w:rPr>
          <w:lang w:val="en-US"/>
        </w:rPr>
        <w:t xml:space="preserve"> it was observed </w:t>
      </w:r>
      <w:r w:rsidRPr="00813D19">
        <w:rPr>
          <w:lang w:val="en-US"/>
        </w:rPr>
        <w:t xml:space="preserve">that information pertaining to the changing status of inscribed elements </w:t>
      </w:r>
      <w:r w:rsidR="00483F1E" w:rsidRPr="00813D19">
        <w:rPr>
          <w:lang w:val="en-US"/>
        </w:rPr>
        <w:t>w</w:t>
      </w:r>
      <w:r w:rsidR="009F7ED0">
        <w:rPr>
          <w:lang w:val="en-US"/>
        </w:rPr>
        <w:t>as</w:t>
      </w:r>
      <w:r w:rsidR="00483F1E" w:rsidRPr="00813D19">
        <w:rPr>
          <w:lang w:val="en-US"/>
        </w:rPr>
        <w:t xml:space="preserve"> </w:t>
      </w:r>
      <w:r w:rsidRPr="00813D19">
        <w:rPr>
          <w:lang w:val="en-US"/>
        </w:rPr>
        <w:t xml:space="preserve">brought to the </w:t>
      </w:r>
      <w:r w:rsidR="00483F1E" w:rsidRPr="00813D19">
        <w:rPr>
          <w:lang w:val="en-US"/>
        </w:rPr>
        <w:t xml:space="preserve">Secretariat’s </w:t>
      </w:r>
      <w:r w:rsidRPr="00813D19">
        <w:rPr>
          <w:lang w:val="en-US"/>
        </w:rPr>
        <w:t xml:space="preserve">attention by a wide range of stakeholders. More than a third of </w:t>
      </w:r>
      <w:r w:rsidR="009F7ED0">
        <w:rPr>
          <w:lang w:val="en-US"/>
        </w:rPr>
        <w:t xml:space="preserve">the </w:t>
      </w:r>
      <w:r w:rsidRPr="00813D19">
        <w:rPr>
          <w:lang w:val="en-US"/>
        </w:rPr>
        <w:t xml:space="preserve">correspondence </w:t>
      </w:r>
      <w:r w:rsidR="002A4B37" w:rsidRPr="00813D19">
        <w:rPr>
          <w:lang w:val="en-US"/>
        </w:rPr>
        <w:t xml:space="preserve">came </w:t>
      </w:r>
      <w:r w:rsidRPr="00813D19">
        <w:rPr>
          <w:lang w:val="en-US"/>
        </w:rPr>
        <w:t xml:space="preserve">from the community </w:t>
      </w:r>
      <w:r w:rsidR="00772268" w:rsidRPr="00813D19">
        <w:rPr>
          <w:lang w:val="en-US"/>
        </w:rPr>
        <w:t>itself</w:t>
      </w:r>
      <w:r w:rsidRPr="00813D19">
        <w:rPr>
          <w:lang w:val="en-US"/>
        </w:rPr>
        <w:t xml:space="preserve">. In addition, States, </w:t>
      </w:r>
      <w:r w:rsidR="009F7ED0">
        <w:rPr>
          <w:lang w:val="en-US"/>
        </w:rPr>
        <w:t xml:space="preserve">the </w:t>
      </w:r>
      <w:r w:rsidRPr="00813D19">
        <w:rPr>
          <w:lang w:val="en-US"/>
        </w:rPr>
        <w:t xml:space="preserve">media, NGOs, universities or individuals outside of the community </w:t>
      </w:r>
      <w:r w:rsidR="002A4B37" w:rsidRPr="00813D19">
        <w:rPr>
          <w:lang w:val="en-US"/>
        </w:rPr>
        <w:t xml:space="preserve">were </w:t>
      </w:r>
      <w:r w:rsidRPr="00813D19">
        <w:rPr>
          <w:lang w:val="en-US"/>
        </w:rPr>
        <w:t xml:space="preserve">also susceptible to alert the Secretariat on emerging situations. Furthermore, some of the letters received </w:t>
      </w:r>
      <w:r w:rsidR="002A4B37" w:rsidRPr="00813D19">
        <w:rPr>
          <w:lang w:val="en-US"/>
        </w:rPr>
        <w:t xml:space="preserve">were </w:t>
      </w:r>
      <w:r w:rsidRPr="00813D19">
        <w:rPr>
          <w:lang w:val="en-US"/>
        </w:rPr>
        <w:t xml:space="preserve">anonymous, </w:t>
      </w:r>
      <w:r w:rsidR="002A4B37" w:rsidRPr="00813D19">
        <w:rPr>
          <w:lang w:val="en-US"/>
        </w:rPr>
        <w:t xml:space="preserve">and were thus </w:t>
      </w:r>
      <w:r w:rsidRPr="00813D19">
        <w:rPr>
          <w:lang w:val="en-US"/>
        </w:rPr>
        <w:t xml:space="preserve">simply registered by the Secretariat without being transmitted. Another characteristic of </w:t>
      </w:r>
      <w:r w:rsidR="002A4B37" w:rsidRPr="00813D19">
        <w:rPr>
          <w:lang w:val="en-US"/>
        </w:rPr>
        <w:t xml:space="preserve">recent </w:t>
      </w:r>
      <w:r w:rsidRPr="00813D19">
        <w:rPr>
          <w:lang w:val="en-US"/>
        </w:rPr>
        <w:t xml:space="preserve">correspondence </w:t>
      </w:r>
      <w:r w:rsidR="002A4B37" w:rsidRPr="00813D19">
        <w:rPr>
          <w:lang w:val="en-US"/>
        </w:rPr>
        <w:t xml:space="preserve">was </w:t>
      </w:r>
      <w:r w:rsidRPr="00813D19">
        <w:rPr>
          <w:lang w:val="en-US"/>
        </w:rPr>
        <w:t xml:space="preserve">the seriousness of some of the issues raised. For example, several cases relate to the introduction of policy or legislative measures </w:t>
      </w:r>
      <w:r w:rsidR="00B850DD" w:rsidRPr="00813D19">
        <w:rPr>
          <w:lang w:val="en-US"/>
        </w:rPr>
        <w:t>restricting</w:t>
      </w:r>
      <w:r w:rsidRPr="00813D19">
        <w:rPr>
          <w:lang w:val="en-US"/>
        </w:rPr>
        <w:t xml:space="preserve"> the practice of an element by community members. At times, these initiatives appear</w:t>
      </w:r>
      <w:r w:rsidR="00B850DD" w:rsidRPr="00813D19">
        <w:rPr>
          <w:lang w:val="en-US"/>
        </w:rPr>
        <w:t>ed</w:t>
      </w:r>
      <w:r w:rsidRPr="00813D19">
        <w:rPr>
          <w:lang w:val="en-US"/>
        </w:rPr>
        <w:t xml:space="preserve"> to </w:t>
      </w:r>
      <w:r w:rsidR="00B850DD" w:rsidRPr="00813D19">
        <w:rPr>
          <w:lang w:val="en-US"/>
        </w:rPr>
        <w:t>contradict</w:t>
      </w:r>
      <w:r w:rsidRPr="00813D19">
        <w:rPr>
          <w:lang w:val="en-US"/>
        </w:rPr>
        <w:t xml:space="preserve"> the safeguarding measures described in the nomination file of the element.</w:t>
      </w:r>
      <w:r w:rsidR="00EC61BC" w:rsidRPr="00813D19">
        <w:rPr>
          <w:lang w:val="en-US"/>
        </w:rPr>
        <w:t xml:space="preserve"> </w:t>
      </w:r>
      <w:r w:rsidRPr="00813D19">
        <w:rPr>
          <w:lang w:val="en-US"/>
        </w:rPr>
        <w:t xml:space="preserve">The lack of community involvement in the implementation of safeguarding measures </w:t>
      </w:r>
      <w:r w:rsidR="00B850DD" w:rsidRPr="00813D19">
        <w:rPr>
          <w:lang w:val="en-US"/>
        </w:rPr>
        <w:t xml:space="preserve">was </w:t>
      </w:r>
      <w:r w:rsidRPr="00813D19">
        <w:rPr>
          <w:lang w:val="en-US"/>
        </w:rPr>
        <w:t xml:space="preserve">also a </w:t>
      </w:r>
      <w:r w:rsidR="009F7ED0">
        <w:rPr>
          <w:lang w:val="en-US"/>
        </w:rPr>
        <w:t>cause</w:t>
      </w:r>
      <w:r w:rsidR="009F7ED0" w:rsidRPr="00813D19">
        <w:rPr>
          <w:lang w:val="en-US"/>
        </w:rPr>
        <w:t xml:space="preserve"> </w:t>
      </w:r>
      <w:r w:rsidRPr="00813D19">
        <w:rPr>
          <w:lang w:val="en-US"/>
        </w:rPr>
        <w:t xml:space="preserve">for concern in several cases brought to </w:t>
      </w:r>
      <w:r w:rsidR="00B850DD" w:rsidRPr="00813D19">
        <w:rPr>
          <w:lang w:val="en-US"/>
        </w:rPr>
        <w:t xml:space="preserve">the Secretariat’s </w:t>
      </w:r>
      <w:r w:rsidRPr="00813D19">
        <w:rPr>
          <w:lang w:val="en-US"/>
        </w:rPr>
        <w:t xml:space="preserve">attention. Facts described in these letters could contradict Article 15 of the Convention, as well as criteria 3 and 4 of both Lists. In one case, representatives from the communities in question </w:t>
      </w:r>
      <w:r w:rsidR="009F7ED0">
        <w:rPr>
          <w:lang w:val="en-US"/>
        </w:rPr>
        <w:t xml:space="preserve">had </w:t>
      </w:r>
      <w:r w:rsidRPr="00813D19">
        <w:rPr>
          <w:lang w:val="en-US"/>
        </w:rPr>
        <w:t xml:space="preserve">expressed deep concern over the decreasing viability of their intangible cultural heritage and considered requesting the transfer of the element from the Representative List to the Urgent Safeguarding List. </w:t>
      </w:r>
      <w:r w:rsidR="00B850DD" w:rsidRPr="00813D19">
        <w:rPr>
          <w:lang w:val="en-US"/>
        </w:rPr>
        <w:t>S</w:t>
      </w:r>
      <w:r w:rsidRPr="00813D19">
        <w:rPr>
          <w:lang w:val="en-US"/>
        </w:rPr>
        <w:t>ome messages</w:t>
      </w:r>
      <w:r w:rsidR="009F7ED0">
        <w:rPr>
          <w:lang w:val="en-US"/>
        </w:rPr>
        <w:t>,</w:t>
      </w:r>
      <w:r w:rsidRPr="00813D19">
        <w:rPr>
          <w:lang w:val="en-US"/>
        </w:rPr>
        <w:t xml:space="preserve"> </w:t>
      </w:r>
      <w:r w:rsidR="00B850DD" w:rsidRPr="00813D19">
        <w:rPr>
          <w:lang w:val="en-US"/>
        </w:rPr>
        <w:t>however</w:t>
      </w:r>
      <w:r w:rsidR="009F7ED0">
        <w:rPr>
          <w:lang w:val="en-US"/>
        </w:rPr>
        <w:t>,</w:t>
      </w:r>
      <w:r w:rsidR="00B850DD" w:rsidRPr="00813D19">
        <w:rPr>
          <w:lang w:val="en-US"/>
        </w:rPr>
        <w:t xml:space="preserve"> </w:t>
      </w:r>
      <w:r w:rsidRPr="00813D19">
        <w:rPr>
          <w:lang w:val="en-US"/>
        </w:rPr>
        <w:t>raise</w:t>
      </w:r>
      <w:r w:rsidR="00B850DD" w:rsidRPr="00813D19">
        <w:rPr>
          <w:lang w:val="en-US"/>
        </w:rPr>
        <w:t>d</w:t>
      </w:r>
      <w:r w:rsidR="00462932" w:rsidRPr="00813D19">
        <w:rPr>
          <w:lang w:val="en-US"/>
        </w:rPr>
        <w:t xml:space="preserve"> rather unusual—if not sometimes absurd—</w:t>
      </w:r>
      <w:r w:rsidRPr="00813D19">
        <w:rPr>
          <w:lang w:val="en-US"/>
        </w:rPr>
        <w:t xml:space="preserve">issues. The </w:t>
      </w:r>
      <w:r w:rsidR="00B850DD" w:rsidRPr="00813D19">
        <w:rPr>
          <w:lang w:val="en-US"/>
        </w:rPr>
        <w:t xml:space="preserve">range </w:t>
      </w:r>
      <w:r w:rsidRPr="00813D19">
        <w:rPr>
          <w:lang w:val="en-US"/>
        </w:rPr>
        <w:t xml:space="preserve">of cases would therefore </w:t>
      </w:r>
      <w:r w:rsidR="00B850DD" w:rsidRPr="00813D19">
        <w:rPr>
          <w:lang w:val="en-US"/>
        </w:rPr>
        <w:t xml:space="preserve">also </w:t>
      </w:r>
      <w:r w:rsidRPr="00813D19">
        <w:rPr>
          <w:lang w:val="en-US"/>
        </w:rPr>
        <w:t xml:space="preserve">need to be taken into consideration when deciding on the most appropriate way </w:t>
      </w:r>
      <w:r w:rsidR="00E41386">
        <w:rPr>
          <w:lang w:val="en-US"/>
        </w:rPr>
        <w:t>to treat such correspondence.</w:t>
      </w:r>
    </w:p>
    <w:p w14:paraId="25E43764" w14:textId="66D14181" w:rsidR="002211C1" w:rsidRPr="00813D19" w:rsidRDefault="002211C1" w:rsidP="002211C1">
      <w:pPr>
        <w:pStyle w:val="Orateurengris"/>
        <w:spacing w:before="120"/>
        <w:ind w:left="709" w:hanging="709"/>
        <w:rPr>
          <w:lang w:val="en-US"/>
        </w:rPr>
      </w:pPr>
      <w:r w:rsidRPr="00813D19">
        <w:rPr>
          <w:lang w:val="en-US"/>
        </w:rPr>
        <w:t>The</w:t>
      </w:r>
      <w:r w:rsidRPr="00813D19">
        <w:rPr>
          <w:b/>
          <w:lang w:val="en-US"/>
        </w:rPr>
        <w:t xml:space="preserve"> Secretary </w:t>
      </w:r>
      <w:r w:rsidR="002A2DE3" w:rsidRPr="00813D19">
        <w:rPr>
          <w:lang w:val="en-US"/>
        </w:rPr>
        <w:t xml:space="preserve">described </w:t>
      </w:r>
      <w:r w:rsidRPr="00813D19">
        <w:rPr>
          <w:lang w:val="en-US"/>
        </w:rPr>
        <w:t xml:space="preserve">how the Secretariat treated such correspondence. In application of the ‘Guidelines for the treatment of correspondence from the public or other concerned parties with regard to nominations’ adopted by the Committee in 2012, the Secretariat forwarded the letters to the competent authorities of the nomination concerned in eight cases. In five of these cases, </w:t>
      </w:r>
      <w:r w:rsidR="00FB4405" w:rsidRPr="00813D19">
        <w:rPr>
          <w:lang w:val="en-US"/>
        </w:rPr>
        <w:t xml:space="preserve">the </w:t>
      </w:r>
      <w:r w:rsidRPr="00813D19">
        <w:rPr>
          <w:lang w:val="en-US"/>
        </w:rPr>
        <w:t xml:space="preserve">States </w:t>
      </w:r>
      <w:r w:rsidR="00FB4405" w:rsidRPr="00813D19">
        <w:rPr>
          <w:lang w:val="en-US"/>
        </w:rPr>
        <w:t xml:space="preserve">concerned </w:t>
      </w:r>
      <w:r w:rsidRPr="00813D19">
        <w:rPr>
          <w:lang w:val="en-US"/>
        </w:rPr>
        <w:t xml:space="preserve">provided a response that was </w:t>
      </w:r>
      <w:r w:rsidR="00FB4405" w:rsidRPr="00813D19">
        <w:rPr>
          <w:lang w:val="en-US"/>
        </w:rPr>
        <w:t xml:space="preserve">returned </w:t>
      </w:r>
      <w:r w:rsidRPr="00813D19">
        <w:rPr>
          <w:lang w:val="en-US"/>
        </w:rPr>
        <w:t xml:space="preserve">to the entity </w:t>
      </w:r>
      <w:r w:rsidR="00FB4405" w:rsidRPr="00813D19">
        <w:rPr>
          <w:lang w:val="en-US"/>
        </w:rPr>
        <w:t xml:space="preserve">having </w:t>
      </w:r>
      <w:r w:rsidRPr="00813D19">
        <w:rPr>
          <w:lang w:val="en-US"/>
        </w:rPr>
        <w:t xml:space="preserve">sent the initial correspondence. In two </w:t>
      </w:r>
      <w:r w:rsidR="00FB4405" w:rsidRPr="00813D19">
        <w:rPr>
          <w:lang w:val="en-US"/>
        </w:rPr>
        <w:t>cases</w:t>
      </w:r>
      <w:r w:rsidRPr="00813D19">
        <w:rPr>
          <w:lang w:val="en-US"/>
        </w:rPr>
        <w:t xml:space="preserve">, the exchange of correspondence led to improved collaboration between </w:t>
      </w:r>
      <w:r w:rsidR="00FB4405" w:rsidRPr="00813D19">
        <w:rPr>
          <w:lang w:val="en-US"/>
        </w:rPr>
        <w:t>government</w:t>
      </w:r>
      <w:r w:rsidRPr="00813D19">
        <w:rPr>
          <w:lang w:val="en-US"/>
        </w:rPr>
        <w:t xml:space="preserve"> authorities and </w:t>
      </w:r>
      <w:r w:rsidR="00FB4405" w:rsidRPr="00813D19">
        <w:rPr>
          <w:lang w:val="en-US"/>
        </w:rPr>
        <w:t xml:space="preserve">the </w:t>
      </w:r>
      <w:r w:rsidRPr="00813D19">
        <w:rPr>
          <w:lang w:val="en-US"/>
        </w:rPr>
        <w:t xml:space="preserve">communities for the joint development and implementation of safeguarding measures. However, in one of these cases, the State concerned confirmed that recent measures taken </w:t>
      </w:r>
      <w:r w:rsidR="00FB4405" w:rsidRPr="00813D19">
        <w:rPr>
          <w:lang w:val="en-US"/>
        </w:rPr>
        <w:t xml:space="preserve">did </w:t>
      </w:r>
      <w:r w:rsidRPr="00813D19">
        <w:rPr>
          <w:lang w:val="en-US"/>
        </w:rPr>
        <w:t>indeed restric</w:t>
      </w:r>
      <w:r w:rsidR="00FB4405" w:rsidRPr="00813D19">
        <w:rPr>
          <w:lang w:val="en-US"/>
        </w:rPr>
        <w:t>t the enactment of the practice</w:t>
      </w:r>
      <w:r w:rsidR="008E2E29" w:rsidRPr="00813D19">
        <w:rPr>
          <w:lang w:val="en-US"/>
        </w:rPr>
        <w:t xml:space="preserve">, contravening </w:t>
      </w:r>
      <w:r w:rsidRPr="00813D19">
        <w:rPr>
          <w:lang w:val="en-US"/>
        </w:rPr>
        <w:t xml:space="preserve">the safeguarding measures </w:t>
      </w:r>
      <w:r w:rsidR="00725F4F">
        <w:rPr>
          <w:lang w:val="en-US"/>
        </w:rPr>
        <w:t>developed</w:t>
      </w:r>
      <w:r w:rsidR="00725F4F" w:rsidRPr="00813D19">
        <w:rPr>
          <w:lang w:val="en-US"/>
        </w:rPr>
        <w:t xml:space="preserve"> </w:t>
      </w:r>
      <w:r w:rsidRPr="00813D19">
        <w:rPr>
          <w:lang w:val="en-US"/>
        </w:rPr>
        <w:t xml:space="preserve">in its nomination file. In a few cases, the transmission of correspondence led to concrete measures that could ultimately improve the viability of the element. However, in most cases, the current system for the follow-up of inscribed elements </w:t>
      </w:r>
      <w:r w:rsidR="008E2E29" w:rsidRPr="00813D19">
        <w:rPr>
          <w:lang w:val="en-US"/>
        </w:rPr>
        <w:t xml:space="preserve">had </w:t>
      </w:r>
      <w:r w:rsidRPr="00813D19">
        <w:rPr>
          <w:lang w:val="en-US"/>
        </w:rPr>
        <w:t xml:space="preserve">demonstrated a limited impact. In fact, once correspondence </w:t>
      </w:r>
      <w:r w:rsidR="008E2E29" w:rsidRPr="00813D19">
        <w:rPr>
          <w:lang w:val="en-US"/>
        </w:rPr>
        <w:t>had</w:t>
      </w:r>
      <w:r w:rsidRPr="00813D19">
        <w:rPr>
          <w:lang w:val="en-US"/>
        </w:rPr>
        <w:t xml:space="preserve"> been received, the sole option for the Secretariat </w:t>
      </w:r>
      <w:r w:rsidR="008E2E29" w:rsidRPr="00813D19">
        <w:rPr>
          <w:lang w:val="en-US"/>
        </w:rPr>
        <w:t xml:space="preserve">was </w:t>
      </w:r>
      <w:r w:rsidRPr="00813D19">
        <w:rPr>
          <w:lang w:val="en-US"/>
        </w:rPr>
        <w:t>to transmit it to the State concerned without the possibility of informing</w:t>
      </w:r>
      <w:r w:rsidR="008E2E29" w:rsidRPr="00813D19">
        <w:rPr>
          <w:lang w:val="en-US"/>
        </w:rPr>
        <w:t xml:space="preserve"> the Committee, and regardless of the </w:t>
      </w:r>
      <w:r w:rsidRPr="00813D19">
        <w:rPr>
          <w:lang w:val="en-US"/>
        </w:rPr>
        <w:t xml:space="preserve">seriousness of the issues raised in some of the correspondence. These cases point to the absence of an effective mechanism </w:t>
      </w:r>
      <w:r w:rsidR="008E2E29" w:rsidRPr="00813D19">
        <w:rPr>
          <w:lang w:val="en-US"/>
        </w:rPr>
        <w:t>that would allow</w:t>
      </w:r>
      <w:r w:rsidRPr="00813D19">
        <w:rPr>
          <w:lang w:val="en-US"/>
        </w:rPr>
        <w:t xml:space="preserve"> the Committee to</w:t>
      </w:r>
      <w:r w:rsidR="008E2E29" w:rsidRPr="00813D19">
        <w:rPr>
          <w:lang w:val="en-US"/>
        </w:rPr>
        <w:t xml:space="preserve"> fulfil its mandate such that the Committee was oblivious </w:t>
      </w:r>
      <w:r w:rsidRPr="00813D19">
        <w:rPr>
          <w:lang w:val="en-US"/>
        </w:rPr>
        <w:t xml:space="preserve">to the evolving status of elements </w:t>
      </w:r>
      <w:r w:rsidR="008E2E29" w:rsidRPr="00813D19">
        <w:rPr>
          <w:lang w:val="en-US"/>
        </w:rPr>
        <w:t>post-</w:t>
      </w:r>
      <w:r w:rsidRPr="00813D19">
        <w:rPr>
          <w:lang w:val="en-US"/>
        </w:rPr>
        <w:t xml:space="preserve">inscription. </w:t>
      </w:r>
      <w:r w:rsidR="008E2E29" w:rsidRPr="00813D19">
        <w:rPr>
          <w:lang w:val="en-US"/>
        </w:rPr>
        <w:t xml:space="preserve">This invariably </w:t>
      </w:r>
      <w:r w:rsidRPr="00813D19">
        <w:rPr>
          <w:lang w:val="en-US"/>
        </w:rPr>
        <w:t>affect</w:t>
      </w:r>
      <w:r w:rsidR="008E2E29" w:rsidRPr="00813D19">
        <w:rPr>
          <w:lang w:val="en-US"/>
        </w:rPr>
        <w:t>s</w:t>
      </w:r>
      <w:r w:rsidRPr="00813D19">
        <w:rPr>
          <w:lang w:val="en-US"/>
        </w:rPr>
        <w:t xml:space="preserve"> the credibility of the listing system</w:t>
      </w:r>
      <w:r w:rsidR="008E2E29" w:rsidRPr="00813D19">
        <w:rPr>
          <w:lang w:val="en-US"/>
        </w:rPr>
        <w:t xml:space="preserve"> and </w:t>
      </w:r>
      <w:r w:rsidR="00725F4F">
        <w:rPr>
          <w:lang w:val="en-US"/>
        </w:rPr>
        <w:t xml:space="preserve">was </w:t>
      </w:r>
      <w:r w:rsidR="008E2E29" w:rsidRPr="00813D19">
        <w:rPr>
          <w:lang w:val="en-US"/>
        </w:rPr>
        <w:t xml:space="preserve">thus the </w:t>
      </w:r>
      <w:r w:rsidRPr="00813D19">
        <w:rPr>
          <w:lang w:val="en-US"/>
        </w:rPr>
        <w:t xml:space="preserve">reason why the Secretariat </w:t>
      </w:r>
      <w:r w:rsidR="00725F4F">
        <w:rPr>
          <w:lang w:val="en-US"/>
        </w:rPr>
        <w:t xml:space="preserve">had </w:t>
      </w:r>
      <w:r w:rsidRPr="00813D19">
        <w:rPr>
          <w:lang w:val="en-US"/>
        </w:rPr>
        <w:t xml:space="preserve">decided to propose the inclusion of this item on the </w:t>
      </w:r>
      <w:r w:rsidR="008E2E29" w:rsidRPr="00813D19">
        <w:rPr>
          <w:lang w:val="en-US"/>
        </w:rPr>
        <w:t xml:space="preserve">current </w:t>
      </w:r>
      <w:r w:rsidRPr="00813D19">
        <w:rPr>
          <w:lang w:val="en-US"/>
        </w:rPr>
        <w:t>agenda.</w:t>
      </w:r>
    </w:p>
    <w:p w14:paraId="007F37ED" w14:textId="128B8FAD" w:rsidR="0050187D" w:rsidRPr="00813D19" w:rsidRDefault="008E2E29" w:rsidP="00D90118">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then spoke </w:t>
      </w:r>
      <w:r w:rsidR="00066084" w:rsidRPr="00813D19">
        <w:rPr>
          <w:lang w:val="en-US"/>
        </w:rPr>
        <w:t>of</w:t>
      </w:r>
      <w:r w:rsidR="00066084" w:rsidRPr="00813D19">
        <w:rPr>
          <w:b/>
          <w:lang w:val="en-US"/>
        </w:rPr>
        <w:t xml:space="preserve"> </w:t>
      </w:r>
      <w:r w:rsidR="00066084" w:rsidRPr="00813D19">
        <w:rPr>
          <w:lang w:val="en-US"/>
        </w:rPr>
        <w:t>b</w:t>
      </w:r>
      <w:r w:rsidR="002211C1" w:rsidRPr="00813D19">
        <w:rPr>
          <w:lang w:val="en-US"/>
        </w:rPr>
        <w:t>roader considerations</w:t>
      </w:r>
      <w:r w:rsidR="00C55D71" w:rsidRPr="00813D19">
        <w:rPr>
          <w:lang w:val="en-US"/>
        </w:rPr>
        <w:t xml:space="preserve"> related to </w:t>
      </w:r>
      <w:r w:rsidR="00066084" w:rsidRPr="00813D19">
        <w:rPr>
          <w:lang w:val="en-US"/>
        </w:rPr>
        <w:t>t</w:t>
      </w:r>
      <w:r w:rsidR="002211C1" w:rsidRPr="00813D19">
        <w:rPr>
          <w:lang w:val="en-US"/>
        </w:rPr>
        <w:t>he reflection around the need for a follow-up of inscribed elements that the Committee may wish to take in</w:t>
      </w:r>
      <w:r w:rsidR="00066084" w:rsidRPr="00813D19">
        <w:rPr>
          <w:lang w:val="en-US"/>
        </w:rPr>
        <w:t>to consideration</w:t>
      </w:r>
      <w:r w:rsidR="003C2268" w:rsidRPr="00813D19">
        <w:rPr>
          <w:lang w:val="en-US"/>
        </w:rPr>
        <w:t>. Firstly,</w:t>
      </w:r>
      <w:r w:rsidR="00066084" w:rsidRPr="00813D19">
        <w:rPr>
          <w:lang w:val="en-US"/>
        </w:rPr>
        <w:t xml:space="preserve"> </w:t>
      </w:r>
      <w:r w:rsidR="00725F4F">
        <w:rPr>
          <w:lang w:val="en-US"/>
        </w:rPr>
        <w:t xml:space="preserve">this </w:t>
      </w:r>
      <w:r w:rsidR="003C2268" w:rsidRPr="00813D19">
        <w:rPr>
          <w:lang w:val="en-US"/>
        </w:rPr>
        <w:t>concern</w:t>
      </w:r>
      <w:r w:rsidR="00725F4F">
        <w:rPr>
          <w:lang w:val="en-US"/>
        </w:rPr>
        <w:t>ed</w:t>
      </w:r>
      <w:r w:rsidR="003C2268" w:rsidRPr="00813D19">
        <w:rPr>
          <w:lang w:val="en-US"/>
        </w:rPr>
        <w:t xml:space="preserve"> </w:t>
      </w:r>
      <w:r w:rsidR="003C2268" w:rsidRPr="00813D19">
        <w:rPr>
          <w:u w:val="single"/>
          <w:lang w:val="en-US"/>
        </w:rPr>
        <w:t>p</w:t>
      </w:r>
      <w:r w:rsidR="002211C1" w:rsidRPr="00813D19">
        <w:rPr>
          <w:u w:val="single"/>
          <w:lang w:val="en-US"/>
        </w:rPr>
        <w:t>eriodic reporting</w:t>
      </w:r>
      <w:r w:rsidR="00725F4F">
        <w:rPr>
          <w:lang w:val="en-US"/>
        </w:rPr>
        <w:t>.</w:t>
      </w:r>
      <w:r w:rsidR="002211C1" w:rsidRPr="00813D19">
        <w:rPr>
          <w:lang w:val="en-US"/>
        </w:rPr>
        <w:t xml:space="preserve"> </w:t>
      </w:r>
      <w:r w:rsidR="00725F4F">
        <w:rPr>
          <w:lang w:val="en-US"/>
        </w:rPr>
        <w:t>I</w:t>
      </w:r>
      <w:r w:rsidR="00725F4F" w:rsidRPr="00813D19">
        <w:rPr>
          <w:lang w:val="en-US"/>
        </w:rPr>
        <w:t xml:space="preserve">n </w:t>
      </w:r>
      <w:r w:rsidR="002211C1" w:rsidRPr="00813D19">
        <w:rPr>
          <w:lang w:val="en-US"/>
        </w:rPr>
        <w:t xml:space="preserve">2017, the Committee </w:t>
      </w:r>
      <w:r w:rsidR="00725F4F">
        <w:rPr>
          <w:lang w:val="en-US"/>
        </w:rPr>
        <w:t xml:space="preserve">had </w:t>
      </w:r>
      <w:r w:rsidR="002211C1" w:rsidRPr="00813D19">
        <w:rPr>
          <w:lang w:val="en-US"/>
        </w:rPr>
        <w:t>decided to reform the periodic reporting mechanism and mov</w:t>
      </w:r>
      <w:r w:rsidR="00DE7FF1" w:rsidRPr="00813D19">
        <w:rPr>
          <w:lang w:val="en-US"/>
        </w:rPr>
        <w:t xml:space="preserve">e to a rotational system </w:t>
      </w:r>
      <w:r w:rsidR="00725F4F">
        <w:rPr>
          <w:lang w:val="en-US"/>
        </w:rPr>
        <w:t xml:space="preserve">on a </w:t>
      </w:r>
      <w:r w:rsidR="00DE7FF1" w:rsidRPr="00813D19">
        <w:rPr>
          <w:lang w:val="en-US"/>
        </w:rPr>
        <w:t>region-by-</w:t>
      </w:r>
      <w:r w:rsidR="002211C1" w:rsidRPr="00813D19">
        <w:rPr>
          <w:lang w:val="en-US"/>
        </w:rPr>
        <w:t>region</w:t>
      </w:r>
      <w:r w:rsidR="00725F4F">
        <w:rPr>
          <w:lang w:val="en-US"/>
        </w:rPr>
        <w:t xml:space="preserve"> basis</w:t>
      </w:r>
      <w:r w:rsidR="002211C1" w:rsidRPr="00813D19">
        <w:rPr>
          <w:lang w:val="en-US"/>
        </w:rPr>
        <w:t>. This currently only affects the submission of reports on the status of elements inscribed on the Representative List and not on the Urgent Safeguarding List. Any development of a follow-up mechanism would need to take into consideration the ongoing reform of t</w:t>
      </w:r>
      <w:r w:rsidR="00066084" w:rsidRPr="00813D19">
        <w:rPr>
          <w:lang w:val="en-US"/>
        </w:rPr>
        <w:t>he periodic reporting mechanism.</w:t>
      </w:r>
      <w:r w:rsidR="00066084" w:rsidRPr="00813D19">
        <w:rPr>
          <w:b/>
          <w:lang w:val="en-US"/>
        </w:rPr>
        <w:t xml:space="preserve"> </w:t>
      </w:r>
      <w:r w:rsidR="003C2268" w:rsidRPr="00813D19">
        <w:rPr>
          <w:lang w:val="en-US"/>
        </w:rPr>
        <w:t xml:space="preserve">Secondly, </w:t>
      </w:r>
      <w:r w:rsidR="00725F4F">
        <w:rPr>
          <w:lang w:val="en-US"/>
        </w:rPr>
        <w:t xml:space="preserve">this concerned </w:t>
      </w:r>
      <w:r w:rsidR="003C2268" w:rsidRPr="00813D19">
        <w:rPr>
          <w:lang w:val="en-US"/>
        </w:rPr>
        <w:t xml:space="preserve">the </w:t>
      </w:r>
      <w:r w:rsidR="003C2268" w:rsidRPr="00813D19">
        <w:rPr>
          <w:u w:val="single"/>
          <w:lang w:val="en-US"/>
        </w:rPr>
        <w:t>t</w:t>
      </w:r>
      <w:r w:rsidR="002211C1" w:rsidRPr="00813D19">
        <w:rPr>
          <w:u w:val="single"/>
          <w:lang w:val="en-US"/>
        </w:rPr>
        <w:t>ransfer of elements between Lists</w:t>
      </w:r>
      <w:r w:rsidR="00725F4F">
        <w:rPr>
          <w:lang w:val="en-US"/>
        </w:rPr>
        <w:t>.</w:t>
      </w:r>
      <w:r w:rsidR="002211C1" w:rsidRPr="00813D19">
        <w:rPr>
          <w:lang w:val="en-US"/>
        </w:rPr>
        <w:t xml:space="preserve"> </w:t>
      </w:r>
      <w:r w:rsidR="00725F4F">
        <w:rPr>
          <w:lang w:val="en-US"/>
        </w:rPr>
        <w:t>A</w:t>
      </w:r>
      <w:r w:rsidR="00725F4F" w:rsidRPr="00813D19">
        <w:rPr>
          <w:lang w:val="en-US"/>
        </w:rPr>
        <w:t xml:space="preserve"> </w:t>
      </w:r>
      <w:r w:rsidR="002211C1" w:rsidRPr="00813D19">
        <w:rPr>
          <w:lang w:val="en-US"/>
        </w:rPr>
        <w:t xml:space="preserve">follow-up mechanism for inscribed elements could also be relevant in </w:t>
      </w:r>
      <w:r w:rsidR="003C2268" w:rsidRPr="00813D19">
        <w:rPr>
          <w:lang w:val="en-US"/>
        </w:rPr>
        <w:t xml:space="preserve">this context and </w:t>
      </w:r>
      <w:r w:rsidR="002211C1" w:rsidRPr="00813D19">
        <w:rPr>
          <w:lang w:val="en-US"/>
        </w:rPr>
        <w:t xml:space="preserve">could indeed make it possible for communities and third parties to provide </w:t>
      </w:r>
      <w:r w:rsidR="003C2268" w:rsidRPr="00813D19">
        <w:rPr>
          <w:lang w:val="en-US"/>
        </w:rPr>
        <w:t xml:space="preserve">relevant </w:t>
      </w:r>
      <w:r w:rsidR="002211C1" w:rsidRPr="00813D19">
        <w:rPr>
          <w:lang w:val="en-US"/>
        </w:rPr>
        <w:t xml:space="preserve">information to </w:t>
      </w:r>
      <w:r w:rsidR="003C2268" w:rsidRPr="00813D19">
        <w:rPr>
          <w:lang w:val="en-US"/>
        </w:rPr>
        <w:t>assess</w:t>
      </w:r>
      <w:r w:rsidR="002211C1" w:rsidRPr="00813D19">
        <w:rPr>
          <w:lang w:val="en-US"/>
        </w:rPr>
        <w:t xml:space="preserve"> the effectiveness of a safeguarding plan. This</w:t>
      </w:r>
      <w:r w:rsidR="00725F4F">
        <w:rPr>
          <w:lang w:val="en-US"/>
        </w:rPr>
        <w:t>,</w:t>
      </w:r>
      <w:r w:rsidR="002211C1" w:rsidRPr="00813D19">
        <w:rPr>
          <w:lang w:val="en-US"/>
        </w:rPr>
        <w:t xml:space="preserve"> in turn</w:t>
      </w:r>
      <w:r w:rsidR="00725F4F">
        <w:rPr>
          <w:lang w:val="en-US"/>
        </w:rPr>
        <w:t>,</w:t>
      </w:r>
      <w:r w:rsidR="002211C1" w:rsidRPr="00813D19">
        <w:rPr>
          <w:lang w:val="en-US"/>
        </w:rPr>
        <w:t xml:space="preserve"> </w:t>
      </w:r>
      <w:r w:rsidR="003C2268" w:rsidRPr="00813D19">
        <w:rPr>
          <w:lang w:val="en-US"/>
        </w:rPr>
        <w:t xml:space="preserve">would </w:t>
      </w:r>
      <w:r w:rsidR="00280B63" w:rsidRPr="00813D19">
        <w:rPr>
          <w:lang w:val="en-US"/>
        </w:rPr>
        <w:t>provide</w:t>
      </w:r>
      <w:r w:rsidR="003C2268" w:rsidRPr="00813D19">
        <w:rPr>
          <w:lang w:val="en-US"/>
        </w:rPr>
        <w:t xml:space="preserve"> information that would </w:t>
      </w:r>
      <w:r w:rsidR="002211C1" w:rsidRPr="00813D19">
        <w:rPr>
          <w:lang w:val="en-US"/>
        </w:rPr>
        <w:t>allow the Evaluation Body and the Committee to take a fully informed decision.</w:t>
      </w:r>
      <w:r w:rsidR="00066084" w:rsidRPr="00813D19">
        <w:rPr>
          <w:b/>
          <w:lang w:val="en-US"/>
        </w:rPr>
        <w:t xml:space="preserve"> </w:t>
      </w:r>
      <w:r w:rsidR="003C2268" w:rsidRPr="00813D19">
        <w:rPr>
          <w:lang w:val="en-US"/>
        </w:rPr>
        <w:t>Thirdly,</w:t>
      </w:r>
      <w:r w:rsidR="00725F4F">
        <w:rPr>
          <w:lang w:val="en-US"/>
        </w:rPr>
        <w:t xml:space="preserve"> there was the question of the</w:t>
      </w:r>
      <w:r w:rsidR="003C2268" w:rsidRPr="00813D19">
        <w:rPr>
          <w:lang w:val="en-US"/>
        </w:rPr>
        <w:t xml:space="preserve"> </w:t>
      </w:r>
      <w:r w:rsidR="003C2268" w:rsidRPr="00813D19">
        <w:rPr>
          <w:u w:val="single"/>
          <w:lang w:val="en-US"/>
        </w:rPr>
        <w:t>r</w:t>
      </w:r>
      <w:r w:rsidR="002211C1" w:rsidRPr="00813D19">
        <w:rPr>
          <w:u w:val="single"/>
          <w:lang w:val="en-US"/>
        </w:rPr>
        <w:t>eflection on the future of the listing system</w:t>
      </w:r>
      <w:r w:rsidR="002211C1" w:rsidRPr="00813D19">
        <w:rPr>
          <w:lang w:val="en-US"/>
        </w:rPr>
        <w:t xml:space="preserve">. Beyond the inscription process, </w:t>
      </w:r>
      <w:r w:rsidR="003C2268" w:rsidRPr="00813D19">
        <w:rPr>
          <w:lang w:val="en-US"/>
        </w:rPr>
        <w:t xml:space="preserve">this </w:t>
      </w:r>
      <w:r w:rsidR="002211C1" w:rsidRPr="00813D19">
        <w:rPr>
          <w:lang w:val="en-US"/>
        </w:rPr>
        <w:t>reflection could include a discussion on the possible need for a follow-up mechanism for inscribed elements</w:t>
      </w:r>
      <w:r w:rsidR="00280B63" w:rsidRPr="00813D19">
        <w:rPr>
          <w:lang w:val="en-US"/>
        </w:rPr>
        <w:t xml:space="preserve">, which </w:t>
      </w:r>
      <w:r w:rsidR="002211C1" w:rsidRPr="00813D19">
        <w:rPr>
          <w:lang w:val="en-US"/>
        </w:rPr>
        <w:t>appears to be important to guarante</w:t>
      </w:r>
      <w:r w:rsidR="00280B63" w:rsidRPr="00813D19">
        <w:rPr>
          <w:lang w:val="en-US"/>
        </w:rPr>
        <w:t>e the credibility of the Lists</w:t>
      </w:r>
      <w:r w:rsidR="002211C1" w:rsidRPr="00813D19">
        <w:rPr>
          <w:lang w:val="en-US"/>
        </w:rPr>
        <w:t xml:space="preserve"> and allow the Committee to properly fulfil its mandate.</w:t>
      </w:r>
      <w:r w:rsidR="00280B63" w:rsidRPr="00813D19">
        <w:rPr>
          <w:lang w:val="en-US"/>
        </w:rPr>
        <w:t xml:space="preserve"> </w:t>
      </w:r>
      <w:r w:rsidR="00066084" w:rsidRPr="00813D19">
        <w:rPr>
          <w:lang w:val="en-US"/>
        </w:rPr>
        <w:t>In</w:t>
      </w:r>
      <w:r w:rsidR="00066084" w:rsidRPr="00813D19">
        <w:rPr>
          <w:b/>
          <w:lang w:val="en-US"/>
        </w:rPr>
        <w:t xml:space="preserve"> </w:t>
      </w:r>
      <w:r w:rsidR="00066084" w:rsidRPr="00813D19">
        <w:rPr>
          <w:lang w:val="en-US"/>
        </w:rPr>
        <w:t>terms of the w</w:t>
      </w:r>
      <w:r w:rsidR="00280B63" w:rsidRPr="00813D19">
        <w:rPr>
          <w:lang w:val="en-US"/>
        </w:rPr>
        <w:t xml:space="preserve">ay forward, and with </w:t>
      </w:r>
      <w:r w:rsidR="002211C1" w:rsidRPr="00813D19">
        <w:rPr>
          <w:lang w:val="en-US"/>
        </w:rPr>
        <w:t xml:space="preserve">these broader considerations in mind, the Committee </w:t>
      </w:r>
      <w:r w:rsidR="00280B63" w:rsidRPr="00813D19">
        <w:rPr>
          <w:lang w:val="en-US"/>
        </w:rPr>
        <w:t>was a</w:t>
      </w:r>
      <w:r w:rsidR="00853529" w:rsidRPr="00813D19">
        <w:rPr>
          <w:lang w:val="en-US"/>
        </w:rPr>
        <w:softHyphen/>
      </w:r>
      <w:r w:rsidR="00853529" w:rsidRPr="00813D19">
        <w:rPr>
          <w:lang w:val="en-US"/>
        </w:rPr>
        <w:softHyphen/>
      </w:r>
      <w:r w:rsidR="00853529" w:rsidRPr="00813D19">
        <w:rPr>
          <w:lang w:val="en-US"/>
        </w:rPr>
        <w:softHyphen/>
      </w:r>
      <w:r w:rsidR="00853529" w:rsidRPr="00813D19">
        <w:rPr>
          <w:lang w:val="en-US"/>
        </w:rPr>
        <w:softHyphen/>
      </w:r>
      <w:r w:rsidR="00280B63" w:rsidRPr="00813D19">
        <w:rPr>
          <w:lang w:val="en-US"/>
        </w:rPr>
        <w:t xml:space="preserve">sked </w:t>
      </w:r>
      <w:r w:rsidR="002211C1" w:rsidRPr="00813D19">
        <w:rPr>
          <w:lang w:val="en-US"/>
        </w:rPr>
        <w:t xml:space="preserve">to </w:t>
      </w:r>
      <w:r w:rsidR="00280B63" w:rsidRPr="00813D19">
        <w:rPr>
          <w:lang w:val="en-US"/>
        </w:rPr>
        <w:t xml:space="preserve">consider </w:t>
      </w:r>
      <w:r w:rsidR="002211C1" w:rsidRPr="00813D19">
        <w:rPr>
          <w:lang w:val="en-US"/>
        </w:rPr>
        <w:t xml:space="preserve">ways in which it could be informed of changing factors affecting the status of an inscribed element. The working document </w:t>
      </w:r>
      <w:r w:rsidR="00280B63" w:rsidRPr="00813D19">
        <w:rPr>
          <w:lang w:val="en-US"/>
        </w:rPr>
        <w:t>lists</w:t>
      </w:r>
      <w:r w:rsidR="002211C1" w:rsidRPr="00813D19">
        <w:rPr>
          <w:lang w:val="en-US"/>
        </w:rPr>
        <w:t xml:space="preserve"> a number of aspects that </w:t>
      </w:r>
      <w:r w:rsidR="00280B63" w:rsidRPr="00813D19">
        <w:rPr>
          <w:lang w:val="en-US"/>
        </w:rPr>
        <w:t xml:space="preserve">the Committee </w:t>
      </w:r>
      <w:r w:rsidR="002211C1" w:rsidRPr="00813D19">
        <w:rPr>
          <w:lang w:val="en-US"/>
        </w:rPr>
        <w:t xml:space="preserve">might </w:t>
      </w:r>
      <w:r w:rsidR="00280B63" w:rsidRPr="00813D19">
        <w:rPr>
          <w:lang w:val="en-US"/>
        </w:rPr>
        <w:t>consider</w:t>
      </w:r>
      <w:r w:rsidR="002211C1" w:rsidRPr="00813D19">
        <w:rPr>
          <w:lang w:val="en-US"/>
        </w:rPr>
        <w:t xml:space="preserve"> important </w:t>
      </w:r>
      <w:r w:rsidR="00280B63" w:rsidRPr="00813D19">
        <w:rPr>
          <w:lang w:val="en-US"/>
        </w:rPr>
        <w:t>in envisioning</w:t>
      </w:r>
      <w:r w:rsidR="002211C1" w:rsidRPr="00813D19">
        <w:rPr>
          <w:lang w:val="en-US"/>
        </w:rPr>
        <w:t xml:space="preserve"> </w:t>
      </w:r>
      <w:r w:rsidR="00280B63" w:rsidRPr="00813D19">
        <w:rPr>
          <w:lang w:val="en-US"/>
        </w:rPr>
        <w:t xml:space="preserve">the </w:t>
      </w:r>
      <w:r w:rsidR="002211C1" w:rsidRPr="00813D19">
        <w:rPr>
          <w:lang w:val="en-US"/>
        </w:rPr>
        <w:t xml:space="preserve">possible establishment of a full-fledged follow-up mechanism. These </w:t>
      </w:r>
      <w:r w:rsidR="00725F4F">
        <w:rPr>
          <w:lang w:val="en-US"/>
        </w:rPr>
        <w:t>were</w:t>
      </w:r>
      <w:r w:rsidR="00725F4F" w:rsidRPr="00813D19">
        <w:rPr>
          <w:lang w:val="en-US"/>
        </w:rPr>
        <w:t xml:space="preserve"> </w:t>
      </w:r>
      <w:r w:rsidR="002211C1" w:rsidRPr="00813D19">
        <w:rPr>
          <w:lang w:val="en-US"/>
        </w:rPr>
        <w:t>some of the key questions</w:t>
      </w:r>
      <w:r w:rsidR="00A63E07" w:rsidRPr="00813D19">
        <w:rPr>
          <w:lang w:val="en-US"/>
        </w:rPr>
        <w:t xml:space="preserve">: i) </w:t>
      </w:r>
      <w:r w:rsidR="002211C1" w:rsidRPr="00813D19">
        <w:rPr>
          <w:lang w:val="en-US"/>
        </w:rPr>
        <w:t xml:space="preserve">What would be the objectives of a follow-up mechanism? </w:t>
      </w:r>
      <w:r w:rsidR="00280B63" w:rsidRPr="00813D19">
        <w:rPr>
          <w:lang w:val="en-US"/>
        </w:rPr>
        <w:t>i</w:t>
      </w:r>
      <w:r w:rsidR="00A63E07" w:rsidRPr="00813D19">
        <w:rPr>
          <w:lang w:val="en-US"/>
        </w:rPr>
        <w:t xml:space="preserve">i) </w:t>
      </w:r>
      <w:r w:rsidR="002211C1" w:rsidRPr="00813D19">
        <w:rPr>
          <w:lang w:val="en-US"/>
        </w:rPr>
        <w:t>Who could initiate the follow-up mechanism for a specific element? And on what basis?</w:t>
      </w:r>
      <w:r w:rsidR="00A63E07" w:rsidRPr="00813D19">
        <w:rPr>
          <w:lang w:val="en-US"/>
        </w:rPr>
        <w:t xml:space="preserve"> iii) </w:t>
      </w:r>
      <w:r w:rsidR="002211C1" w:rsidRPr="00813D19">
        <w:rPr>
          <w:lang w:val="en-US"/>
        </w:rPr>
        <w:t xml:space="preserve">Should correspondence be screened prior to its potential transmission to the Committee? </w:t>
      </w:r>
      <w:r w:rsidR="00280B63" w:rsidRPr="00813D19">
        <w:rPr>
          <w:lang w:val="en-US"/>
        </w:rPr>
        <w:t>i</w:t>
      </w:r>
      <w:r w:rsidR="00A63E07" w:rsidRPr="00813D19">
        <w:rPr>
          <w:lang w:val="en-US"/>
        </w:rPr>
        <w:t xml:space="preserve">v) </w:t>
      </w:r>
      <w:r w:rsidR="002211C1" w:rsidRPr="00813D19">
        <w:rPr>
          <w:lang w:val="en-US"/>
        </w:rPr>
        <w:t>Who should be involved in the follow-up of inscribed elements?</w:t>
      </w:r>
      <w:r w:rsidR="00280B63" w:rsidRPr="00813D19">
        <w:rPr>
          <w:lang w:val="en-US"/>
        </w:rPr>
        <w:t xml:space="preserve"> v</w:t>
      </w:r>
      <w:r w:rsidR="00A63E07" w:rsidRPr="00813D19">
        <w:rPr>
          <w:lang w:val="en-US"/>
        </w:rPr>
        <w:t xml:space="preserve">) </w:t>
      </w:r>
      <w:r w:rsidR="002211C1" w:rsidRPr="00813D19">
        <w:rPr>
          <w:lang w:val="en-US"/>
        </w:rPr>
        <w:t xml:space="preserve">What </w:t>
      </w:r>
      <w:r w:rsidR="00280B63" w:rsidRPr="00813D19">
        <w:rPr>
          <w:lang w:val="en-US"/>
        </w:rPr>
        <w:t xml:space="preserve">kind </w:t>
      </w:r>
      <w:r w:rsidR="002211C1" w:rsidRPr="00813D19">
        <w:rPr>
          <w:lang w:val="en-US"/>
        </w:rPr>
        <w:t xml:space="preserve">of monitoring actions could </w:t>
      </w:r>
      <w:r w:rsidR="00384D44" w:rsidRPr="00813D19">
        <w:rPr>
          <w:lang w:val="en-US"/>
        </w:rPr>
        <w:t xml:space="preserve">the </w:t>
      </w:r>
      <w:r w:rsidR="002211C1" w:rsidRPr="00813D19">
        <w:rPr>
          <w:lang w:val="en-US"/>
        </w:rPr>
        <w:t xml:space="preserve">Committee </w:t>
      </w:r>
      <w:r w:rsidR="00384D44" w:rsidRPr="00813D19">
        <w:rPr>
          <w:lang w:val="en-US"/>
        </w:rPr>
        <w:t xml:space="preserve">potentially </w:t>
      </w:r>
      <w:r w:rsidR="002211C1" w:rsidRPr="00813D19">
        <w:rPr>
          <w:lang w:val="en-US"/>
        </w:rPr>
        <w:t>request?</w:t>
      </w:r>
      <w:r w:rsidR="00280B63" w:rsidRPr="00813D19">
        <w:rPr>
          <w:lang w:val="en-US"/>
        </w:rPr>
        <w:t xml:space="preserve"> v</w:t>
      </w:r>
      <w:r w:rsidR="00A63E07" w:rsidRPr="00813D19">
        <w:rPr>
          <w:lang w:val="en-US"/>
        </w:rPr>
        <w:t xml:space="preserve">i) </w:t>
      </w:r>
      <w:r w:rsidR="002211C1" w:rsidRPr="00813D19">
        <w:rPr>
          <w:lang w:val="en-US"/>
        </w:rPr>
        <w:t xml:space="preserve">What </w:t>
      </w:r>
      <w:r w:rsidR="00725F4F">
        <w:rPr>
          <w:lang w:val="en-US"/>
        </w:rPr>
        <w:t>were</w:t>
      </w:r>
      <w:r w:rsidR="00725F4F" w:rsidRPr="00813D19">
        <w:rPr>
          <w:lang w:val="en-US"/>
        </w:rPr>
        <w:t xml:space="preserve"> </w:t>
      </w:r>
      <w:r w:rsidR="002211C1" w:rsidRPr="00813D19">
        <w:rPr>
          <w:lang w:val="en-US"/>
        </w:rPr>
        <w:t xml:space="preserve">the budgetary implications of establishing a follow-up mechanism? </w:t>
      </w:r>
      <w:r w:rsidR="00280B63" w:rsidRPr="00813D19">
        <w:rPr>
          <w:lang w:val="en-US"/>
        </w:rPr>
        <w:t>T</w:t>
      </w:r>
      <w:r w:rsidR="002211C1" w:rsidRPr="00813D19">
        <w:rPr>
          <w:lang w:val="en-US"/>
        </w:rPr>
        <w:t xml:space="preserve">he establishment of a follow-up mechanism could be seen as </w:t>
      </w:r>
      <w:r w:rsidR="00725F4F">
        <w:rPr>
          <w:lang w:val="en-US"/>
        </w:rPr>
        <w:t xml:space="preserve">being </w:t>
      </w:r>
      <w:r w:rsidR="002211C1" w:rsidRPr="00813D19">
        <w:rPr>
          <w:lang w:val="en-US"/>
        </w:rPr>
        <w:t>linked to a number of broader issues and ongoing reflections that are crucial for the future of the Convention. These include the reflection launched by the Committee in 2017 on the procedures for the removal of an element from a List and the transfer of an element from one List to the other, on the nature and purposes of the Lists and the</w:t>
      </w:r>
      <w:r w:rsidR="00280B63" w:rsidRPr="00813D19">
        <w:rPr>
          <w:lang w:val="en-US"/>
        </w:rPr>
        <w:t xml:space="preserve"> Register, </w:t>
      </w:r>
      <w:r w:rsidR="002211C1" w:rsidRPr="00813D19">
        <w:rPr>
          <w:lang w:val="en-US"/>
        </w:rPr>
        <w:t xml:space="preserve">and on the relevance of the various criteria for each of these mechanisms. </w:t>
      </w:r>
      <w:r w:rsidR="00280B63" w:rsidRPr="00813D19">
        <w:rPr>
          <w:lang w:val="en-US"/>
        </w:rPr>
        <w:t>D</w:t>
      </w:r>
      <w:r w:rsidR="002211C1" w:rsidRPr="00813D19">
        <w:rPr>
          <w:lang w:val="en-US"/>
        </w:rPr>
        <w:t>raft deci</w:t>
      </w:r>
      <w:r w:rsidR="00280B63" w:rsidRPr="00813D19">
        <w:rPr>
          <w:lang w:val="en-US"/>
        </w:rPr>
        <w:t>sion 13.COM 9 therefore proposed</w:t>
      </w:r>
      <w:r w:rsidR="002211C1" w:rsidRPr="00813D19">
        <w:rPr>
          <w:lang w:val="en-US"/>
        </w:rPr>
        <w:t xml:space="preserve"> integrat</w:t>
      </w:r>
      <w:r w:rsidR="00725F4F">
        <w:rPr>
          <w:lang w:val="en-US"/>
        </w:rPr>
        <w:t>ing</w:t>
      </w:r>
      <w:r w:rsidR="002211C1" w:rsidRPr="00813D19">
        <w:rPr>
          <w:lang w:val="en-US"/>
        </w:rPr>
        <w:t xml:space="preserve"> the reflection on the establishment of a full-fledged follow-up mechanism into this broader reflection and into the mandate of the open-ended intergovernmental working group that the Committee </w:t>
      </w:r>
      <w:r w:rsidR="00725F4F">
        <w:rPr>
          <w:lang w:val="en-US"/>
        </w:rPr>
        <w:t xml:space="preserve">had </w:t>
      </w:r>
      <w:r w:rsidR="002211C1" w:rsidRPr="00813D19">
        <w:rPr>
          <w:lang w:val="en-US"/>
        </w:rPr>
        <w:t xml:space="preserve">decided to convene in 2017 and </w:t>
      </w:r>
      <w:r w:rsidR="00725F4F">
        <w:rPr>
          <w:lang w:val="en-US"/>
        </w:rPr>
        <w:t xml:space="preserve">which was </w:t>
      </w:r>
      <w:r w:rsidR="00E322C5" w:rsidRPr="00813D19">
        <w:rPr>
          <w:lang w:val="en-US"/>
        </w:rPr>
        <w:t xml:space="preserve">generously supported by </w:t>
      </w:r>
      <w:r w:rsidR="002211C1" w:rsidRPr="00813D19">
        <w:rPr>
          <w:lang w:val="en-US"/>
        </w:rPr>
        <w:t>Japan</w:t>
      </w:r>
      <w:r w:rsidR="00A63E07" w:rsidRPr="00813D19">
        <w:rPr>
          <w:lang w:val="en-US"/>
        </w:rPr>
        <w:t>.</w:t>
      </w:r>
    </w:p>
    <w:p w14:paraId="221440C4" w14:textId="03EB76ED" w:rsidR="00A63E07" w:rsidRPr="00813D19" w:rsidRDefault="00A63E07" w:rsidP="00A63E07">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E41386">
        <w:rPr>
          <w:lang w:val="en-US"/>
        </w:rPr>
        <w:t>opened the floor for comments.</w:t>
      </w:r>
    </w:p>
    <w:p w14:paraId="58D56477" w14:textId="1A3E8150" w:rsidR="00384D44" w:rsidRPr="00813D19" w:rsidRDefault="00384D44" w:rsidP="00A63E07">
      <w:pPr>
        <w:pStyle w:val="Orateurengris"/>
        <w:spacing w:before="120"/>
        <w:ind w:left="709" w:hanging="709"/>
        <w:rPr>
          <w:lang w:val="en-US"/>
        </w:rPr>
      </w:pPr>
      <w:r w:rsidRPr="00813D19">
        <w:rPr>
          <w:lang w:val="en-US"/>
        </w:rPr>
        <w:t xml:space="preserve">The </w:t>
      </w:r>
      <w:r w:rsidRPr="00813D19">
        <w:rPr>
          <w:b/>
          <w:lang w:val="en-US"/>
        </w:rPr>
        <w:t xml:space="preserve">delegation of the Philippines </w:t>
      </w:r>
      <w:r w:rsidR="00480128" w:rsidRPr="00813D19">
        <w:rPr>
          <w:lang w:val="en-US"/>
        </w:rPr>
        <w:t xml:space="preserve">remarked </w:t>
      </w:r>
      <w:r w:rsidR="00E05003" w:rsidRPr="00813D19">
        <w:rPr>
          <w:lang w:val="en-US"/>
        </w:rPr>
        <w:t xml:space="preserve">on this </w:t>
      </w:r>
      <w:r w:rsidR="00E04594" w:rsidRPr="00813D19">
        <w:rPr>
          <w:lang w:val="en-US"/>
        </w:rPr>
        <w:t xml:space="preserve">interesting item </w:t>
      </w:r>
      <w:r w:rsidR="00E05003" w:rsidRPr="00813D19">
        <w:rPr>
          <w:lang w:val="en-US"/>
        </w:rPr>
        <w:t xml:space="preserve">that </w:t>
      </w:r>
      <w:r w:rsidR="00725F4F">
        <w:rPr>
          <w:lang w:val="en-US"/>
        </w:rPr>
        <w:t xml:space="preserve">did </w:t>
      </w:r>
      <w:r w:rsidR="00480128" w:rsidRPr="00813D19">
        <w:rPr>
          <w:lang w:val="en-US"/>
        </w:rPr>
        <w:t xml:space="preserve">indeed </w:t>
      </w:r>
      <w:r w:rsidR="00725F4F">
        <w:rPr>
          <w:lang w:val="en-US"/>
        </w:rPr>
        <w:t xml:space="preserve">have </w:t>
      </w:r>
      <w:r w:rsidR="00480128" w:rsidRPr="00813D19">
        <w:rPr>
          <w:lang w:val="en-US"/>
        </w:rPr>
        <w:t xml:space="preserve">a </w:t>
      </w:r>
      <w:r w:rsidR="00E04594" w:rsidRPr="00813D19">
        <w:rPr>
          <w:lang w:val="en-US"/>
        </w:rPr>
        <w:t>bearing on the future directions of the Convention. On the one hand</w:t>
      </w:r>
      <w:r w:rsidR="00480128" w:rsidRPr="00813D19">
        <w:rPr>
          <w:lang w:val="en-US"/>
        </w:rPr>
        <w:t>,</w:t>
      </w:r>
      <w:r w:rsidR="00E04594" w:rsidRPr="00813D19">
        <w:rPr>
          <w:lang w:val="en-US"/>
        </w:rPr>
        <w:t xml:space="preserve"> it </w:t>
      </w:r>
      <w:r w:rsidR="00480128" w:rsidRPr="00813D19">
        <w:rPr>
          <w:lang w:val="en-US"/>
        </w:rPr>
        <w:t xml:space="preserve">was </w:t>
      </w:r>
      <w:r w:rsidR="00E04594" w:rsidRPr="00813D19">
        <w:rPr>
          <w:lang w:val="en-US"/>
        </w:rPr>
        <w:t>important to monitor elements</w:t>
      </w:r>
      <w:r w:rsidR="00480128" w:rsidRPr="00813D19">
        <w:rPr>
          <w:lang w:val="en-US"/>
        </w:rPr>
        <w:t xml:space="preserve"> as they change over time, as it </w:t>
      </w:r>
      <w:r w:rsidR="00E04594" w:rsidRPr="00813D19">
        <w:rPr>
          <w:lang w:val="en-US"/>
        </w:rPr>
        <w:t xml:space="preserve">also gives greater meaning and significance to inscription </w:t>
      </w:r>
      <w:r w:rsidR="00480128" w:rsidRPr="00813D19">
        <w:rPr>
          <w:lang w:val="en-US"/>
        </w:rPr>
        <w:t>on the L</w:t>
      </w:r>
      <w:r w:rsidR="00E04594" w:rsidRPr="00813D19">
        <w:rPr>
          <w:lang w:val="en-US"/>
        </w:rPr>
        <w:t>ists</w:t>
      </w:r>
      <w:r w:rsidR="00480128" w:rsidRPr="00813D19">
        <w:rPr>
          <w:lang w:val="en-US"/>
        </w:rPr>
        <w:t>,</w:t>
      </w:r>
      <w:r w:rsidR="00E04594" w:rsidRPr="00813D19">
        <w:rPr>
          <w:lang w:val="en-US"/>
        </w:rPr>
        <w:t xml:space="preserve"> including the tr</w:t>
      </w:r>
      <w:r w:rsidR="00E520FA" w:rsidRPr="00813D19">
        <w:rPr>
          <w:lang w:val="en-US"/>
        </w:rPr>
        <w:t>ansfer of elements between the L</w:t>
      </w:r>
      <w:r w:rsidR="00E04594" w:rsidRPr="00813D19">
        <w:rPr>
          <w:lang w:val="en-US"/>
        </w:rPr>
        <w:t xml:space="preserve">ists. It also mirrors the system under the World Heritage Convention in which inscribed sites are regularly monitored and the Committee takes action to send reactive monitoring missions to include </w:t>
      </w:r>
      <w:r w:rsidR="00480128" w:rsidRPr="00813D19">
        <w:rPr>
          <w:lang w:val="en-US"/>
        </w:rPr>
        <w:t xml:space="preserve">or even remove </w:t>
      </w:r>
      <w:r w:rsidR="00E04594" w:rsidRPr="00813D19">
        <w:rPr>
          <w:lang w:val="en-US"/>
        </w:rPr>
        <w:t xml:space="preserve">sites </w:t>
      </w:r>
      <w:r w:rsidR="00480128" w:rsidRPr="00813D19">
        <w:rPr>
          <w:lang w:val="en-US"/>
        </w:rPr>
        <w:t xml:space="preserve">on </w:t>
      </w:r>
      <w:r w:rsidR="00E04594" w:rsidRPr="00813D19">
        <w:rPr>
          <w:lang w:val="en-US"/>
        </w:rPr>
        <w:t>the World Heritage List in Danger. On the other hand</w:t>
      </w:r>
      <w:r w:rsidR="00480128" w:rsidRPr="00813D19">
        <w:rPr>
          <w:lang w:val="en-US"/>
        </w:rPr>
        <w:t>,</w:t>
      </w:r>
      <w:r w:rsidR="00E04594" w:rsidRPr="00813D19">
        <w:rPr>
          <w:lang w:val="en-US"/>
        </w:rPr>
        <w:t xml:space="preserve"> there </w:t>
      </w:r>
      <w:r w:rsidR="00E520FA" w:rsidRPr="00813D19">
        <w:rPr>
          <w:lang w:val="en-US"/>
        </w:rPr>
        <w:t>were</w:t>
      </w:r>
      <w:r w:rsidR="00E04594" w:rsidRPr="00813D19">
        <w:rPr>
          <w:lang w:val="en-US"/>
        </w:rPr>
        <w:t xml:space="preserve"> risks of further politicization</w:t>
      </w:r>
      <w:r w:rsidR="00480128" w:rsidRPr="00813D19">
        <w:rPr>
          <w:lang w:val="en-US"/>
        </w:rPr>
        <w:t>,</w:t>
      </w:r>
      <w:r w:rsidR="00E04594" w:rsidRPr="00813D19">
        <w:rPr>
          <w:lang w:val="en-US"/>
        </w:rPr>
        <w:t xml:space="preserve"> </w:t>
      </w:r>
      <w:r w:rsidR="00480128" w:rsidRPr="00813D19">
        <w:rPr>
          <w:lang w:val="en-US"/>
        </w:rPr>
        <w:t xml:space="preserve">as </w:t>
      </w:r>
      <w:r w:rsidR="00E04594" w:rsidRPr="00813D19">
        <w:rPr>
          <w:lang w:val="en-US"/>
        </w:rPr>
        <w:t xml:space="preserve">it would involve screening communications that could be received from a wide range of stakeholders. A different set of procedures </w:t>
      </w:r>
      <w:r w:rsidR="00480128" w:rsidRPr="00813D19">
        <w:rPr>
          <w:lang w:val="en-US"/>
        </w:rPr>
        <w:t xml:space="preserve">was thus </w:t>
      </w:r>
      <w:r w:rsidR="00E04594" w:rsidRPr="00813D19">
        <w:rPr>
          <w:lang w:val="en-US"/>
        </w:rPr>
        <w:t xml:space="preserve">required to assess </w:t>
      </w:r>
      <w:r w:rsidR="00480128" w:rsidRPr="00813D19">
        <w:rPr>
          <w:lang w:val="en-US"/>
        </w:rPr>
        <w:t xml:space="preserve">the </w:t>
      </w:r>
      <w:r w:rsidR="00E04594" w:rsidRPr="00813D19">
        <w:rPr>
          <w:lang w:val="en-US"/>
        </w:rPr>
        <w:t xml:space="preserve">communications and </w:t>
      </w:r>
      <w:r w:rsidR="00480128" w:rsidRPr="00813D19">
        <w:rPr>
          <w:lang w:val="en-US"/>
        </w:rPr>
        <w:t xml:space="preserve">the </w:t>
      </w:r>
      <w:r w:rsidR="00E04594" w:rsidRPr="00813D19">
        <w:rPr>
          <w:lang w:val="en-US"/>
        </w:rPr>
        <w:t xml:space="preserve">responses of States Parties. It could also require consultation and dialogue with </w:t>
      </w:r>
      <w:r w:rsidR="00480128" w:rsidRPr="00813D19">
        <w:rPr>
          <w:lang w:val="en-US"/>
        </w:rPr>
        <w:t xml:space="preserve">the </w:t>
      </w:r>
      <w:r w:rsidR="00E04594" w:rsidRPr="00813D19">
        <w:rPr>
          <w:lang w:val="en-US"/>
        </w:rPr>
        <w:t xml:space="preserve">States Parties concerned. </w:t>
      </w:r>
      <w:r w:rsidR="00480128" w:rsidRPr="00813D19">
        <w:rPr>
          <w:lang w:val="en-US"/>
        </w:rPr>
        <w:t xml:space="preserve">The delegation </w:t>
      </w:r>
      <w:r w:rsidR="00E04594" w:rsidRPr="00813D19">
        <w:rPr>
          <w:lang w:val="en-US"/>
        </w:rPr>
        <w:t>note</w:t>
      </w:r>
      <w:r w:rsidR="00480128" w:rsidRPr="00813D19">
        <w:rPr>
          <w:lang w:val="en-US"/>
        </w:rPr>
        <w:t>d</w:t>
      </w:r>
      <w:r w:rsidR="00E04594" w:rsidRPr="00813D19">
        <w:rPr>
          <w:lang w:val="en-US"/>
        </w:rPr>
        <w:t xml:space="preserve"> that very </w:t>
      </w:r>
      <w:r w:rsidR="00480128" w:rsidRPr="00813D19">
        <w:rPr>
          <w:lang w:val="en-US"/>
        </w:rPr>
        <w:t xml:space="preserve">few </w:t>
      </w:r>
      <w:r w:rsidR="00E04594" w:rsidRPr="00813D19">
        <w:rPr>
          <w:lang w:val="en-US"/>
        </w:rPr>
        <w:t xml:space="preserve">elements received communications. Nevertheless, it </w:t>
      </w:r>
      <w:r w:rsidR="00480128" w:rsidRPr="00813D19">
        <w:rPr>
          <w:lang w:val="en-US"/>
        </w:rPr>
        <w:t xml:space="preserve">was </w:t>
      </w:r>
      <w:r w:rsidR="00E04594" w:rsidRPr="00813D19">
        <w:rPr>
          <w:lang w:val="en-US"/>
        </w:rPr>
        <w:t xml:space="preserve">a matter to study. </w:t>
      </w:r>
      <w:r w:rsidR="00480128" w:rsidRPr="00813D19">
        <w:rPr>
          <w:lang w:val="en-US"/>
        </w:rPr>
        <w:t xml:space="preserve">It </w:t>
      </w:r>
      <w:r w:rsidR="00E04594" w:rsidRPr="00813D19">
        <w:rPr>
          <w:lang w:val="en-US"/>
        </w:rPr>
        <w:t>believe</w:t>
      </w:r>
      <w:r w:rsidR="00480128" w:rsidRPr="00813D19">
        <w:rPr>
          <w:lang w:val="en-US"/>
        </w:rPr>
        <w:t>d</w:t>
      </w:r>
      <w:r w:rsidR="00E04594" w:rsidRPr="00813D19">
        <w:rPr>
          <w:lang w:val="en-US"/>
        </w:rPr>
        <w:t xml:space="preserve"> that the Committee should be informed and have a say in the process</w:t>
      </w:r>
      <w:r w:rsidR="00444041">
        <w:rPr>
          <w:lang w:val="en-US"/>
        </w:rPr>
        <w:t>,</w:t>
      </w:r>
      <w:r w:rsidR="00E04594" w:rsidRPr="00813D19">
        <w:rPr>
          <w:lang w:val="en-US"/>
        </w:rPr>
        <w:t xml:space="preserve"> in accordance with Article 7. </w:t>
      </w:r>
      <w:r w:rsidR="00E05003" w:rsidRPr="00813D19">
        <w:rPr>
          <w:lang w:val="en-US"/>
        </w:rPr>
        <w:t>Regardin</w:t>
      </w:r>
      <w:r w:rsidR="00E520FA" w:rsidRPr="00813D19">
        <w:rPr>
          <w:lang w:val="en-US"/>
        </w:rPr>
        <w:t>g</w:t>
      </w:r>
      <w:r w:rsidR="00E05003" w:rsidRPr="00813D19">
        <w:rPr>
          <w:lang w:val="en-US"/>
        </w:rPr>
        <w:t xml:space="preserve"> the </w:t>
      </w:r>
      <w:r w:rsidR="00E04594" w:rsidRPr="00813D19">
        <w:rPr>
          <w:lang w:val="en-US"/>
        </w:rPr>
        <w:t>screening of communications</w:t>
      </w:r>
      <w:r w:rsidR="00E05003" w:rsidRPr="00813D19">
        <w:rPr>
          <w:lang w:val="en-US"/>
        </w:rPr>
        <w:t>,</w:t>
      </w:r>
      <w:r w:rsidR="00E04594" w:rsidRPr="00813D19">
        <w:rPr>
          <w:lang w:val="en-US"/>
        </w:rPr>
        <w:t xml:space="preserve"> perhaps the Bureau or any other bo</w:t>
      </w:r>
      <w:r w:rsidR="00E05003" w:rsidRPr="00813D19">
        <w:rPr>
          <w:lang w:val="en-US"/>
        </w:rPr>
        <w:t>dy</w:t>
      </w:r>
      <w:r w:rsidR="00E04594" w:rsidRPr="00813D19">
        <w:rPr>
          <w:lang w:val="en-US"/>
        </w:rPr>
        <w:t xml:space="preserve"> could be tasked </w:t>
      </w:r>
      <w:r w:rsidR="00444041">
        <w:rPr>
          <w:lang w:val="en-US"/>
        </w:rPr>
        <w:t>with</w:t>
      </w:r>
      <w:r w:rsidR="00E04594" w:rsidRPr="00813D19">
        <w:rPr>
          <w:lang w:val="en-US"/>
        </w:rPr>
        <w:t xml:space="preserve"> examin</w:t>
      </w:r>
      <w:r w:rsidR="00444041">
        <w:rPr>
          <w:lang w:val="en-US"/>
        </w:rPr>
        <w:t>ing</w:t>
      </w:r>
      <w:r w:rsidR="00E04594" w:rsidRPr="00813D19">
        <w:rPr>
          <w:lang w:val="en-US"/>
        </w:rPr>
        <w:t xml:space="preserve"> communications pertaining to elements</w:t>
      </w:r>
      <w:r w:rsidR="00E05003" w:rsidRPr="00813D19">
        <w:rPr>
          <w:lang w:val="en-US"/>
        </w:rPr>
        <w:t xml:space="preserve">, </w:t>
      </w:r>
      <w:r w:rsidR="00E520FA" w:rsidRPr="00813D19">
        <w:rPr>
          <w:lang w:val="en-US"/>
        </w:rPr>
        <w:t>which c</w:t>
      </w:r>
      <w:r w:rsidR="00E05003" w:rsidRPr="00813D19">
        <w:rPr>
          <w:lang w:val="en-US"/>
        </w:rPr>
        <w:t>ould be a subject of discussion during the experts meeting funded by Japan</w:t>
      </w:r>
      <w:r w:rsidR="00E04594" w:rsidRPr="00813D19">
        <w:rPr>
          <w:lang w:val="en-US"/>
        </w:rPr>
        <w:t xml:space="preserve">. Only in the most serious instances should a matter be elevated to the Committee. Follow-up </w:t>
      </w:r>
      <w:r w:rsidR="00E05003" w:rsidRPr="00813D19">
        <w:rPr>
          <w:lang w:val="en-US"/>
        </w:rPr>
        <w:t xml:space="preserve">was </w:t>
      </w:r>
      <w:r w:rsidR="00E04594" w:rsidRPr="00813D19">
        <w:rPr>
          <w:lang w:val="en-US"/>
        </w:rPr>
        <w:t>related to Operational Directives 39 and 40, which provide that the Committee c</w:t>
      </w:r>
      <w:r w:rsidR="00E05003" w:rsidRPr="00813D19">
        <w:rPr>
          <w:lang w:val="en-US"/>
        </w:rPr>
        <w:t>an remove an element from the L</w:t>
      </w:r>
      <w:r w:rsidR="00E04594" w:rsidRPr="00813D19">
        <w:rPr>
          <w:lang w:val="en-US"/>
        </w:rPr>
        <w:t xml:space="preserve">ists when it determines that it no longer satisfies one or more criteria for inscription. Whether accredited NGOs could play a role in this process </w:t>
      </w:r>
      <w:r w:rsidR="00E520FA" w:rsidRPr="00813D19">
        <w:rPr>
          <w:lang w:val="en-US"/>
        </w:rPr>
        <w:t>was</w:t>
      </w:r>
      <w:r w:rsidR="00E41386">
        <w:rPr>
          <w:lang w:val="en-US"/>
        </w:rPr>
        <w:t xml:space="preserve"> another issue to consider.</w:t>
      </w:r>
    </w:p>
    <w:p w14:paraId="5689A10D" w14:textId="3F023489" w:rsidR="00243A82" w:rsidRPr="00813D19" w:rsidRDefault="00243A82" w:rsidP="00A63E07">
      <w:pPr>
        <w:pStyle w:val="Orateurengris"/>
        <w:spacing w:before="120"/>
        <w:ind w:left="709" w:hanging="709"/>
        <w:rPr>
          <w:lang w:val="en-US"/>
        </w:rPr>
      </w:pPr>
      <w:r w:rsidRPr="00813D19">
        <w:rPr>
          <w:lang w:val="en-US"/>
        </w:rPr>
        <w:t xml:space="preserve">The </w:t>
      </w:r>
      <w:r w:rsidRPr="00813D19">
        <w:rPr>
          <w:b/>
          <w:lang w:val="en-US"/>
        </w:rPr>
        <w:t>delegation of Azerbaijan</w:t>
      </w:r>
      <w:r w:rsidR="00E04594" w:rsidRPr="00813D19">
        <w:rPr>
          <w:b/>
          <w:lang w:val="en-US"/>
        </w:rPr>
        <w:t xml:space="preserve"> </w:t>
      </w:r>
      <w:r w:rsidR="00E04594" w:rsidRPr="00813D19">
        <w:rPr>
          <w:lang w:val="en-US"/>
        </w:rPr>
        <w:t>thank</w:t>
      </w:r>
      <w:r w:rsidR="00E05003" w:rsidRPr="00813D19">
        <w:rPr>
          <w:lang w:val="en-US"/>
        </w:rPr>
        <w:t>ed</w:t>
      </w:r>
      <w:r w:rsidR="00E04594" w:rsidRPr="00813D19">
        <w:rPr>
          <w:lang w:val="en-US"/>
        </w:rPr>
        <w:t xml:space="preserve"> the Secretariat for bringing up this issue of the follow-u</w:t>
      </w:r>
      <w:r w:rsidR="00E05003" w:rsidRPr="00813D19">
        <w:rPr>
          <w:lang w:val="en-US"/>
        </w:rPr>
        <w:t>p of inscribed elements on the L</w:t>
      </w:r>
      <w:r w:rsidR="00E04594" w:rsidRPr="00813D19">
        <w:rPr>
          <w:lang w:val="en-US"/>
        </w:rPr>
        <w:t xml:space="preserve">ists </w:t>
      </w:r>
      <w:r w:rsidR="00E05003" w:rsidRPr="00813D19">
        <w:rPr>
          <w:lang w:val="en-US"/>
        </w:rPr>
        <w:t xml:space="preserve">prior to </w:t>
      </w:r>
      <w:r w:rsidR="00E04594" w:rsidRPr="00813D19">
        <w:rPr>
          <w:lang w:val="en-US"/>
        </w:rPr>
        <w:t>discussing the nominations submitted for inscription this year</w:t>
      </w:r>
      <w:r w:rsidR="00E05003" w:rsidRPr="00813D19">
        <w:rPr>
          <w:lang w:val="en-US"/>
        </w:rPr>
        <w:t>,</w:t>
      </w:r>
      <w:r w:rsidR="00E04594" w:rsidRPr="00813D19">
        <w:rPr>
          <w:lang w:val="en-US"/>
        </w:rPr>
        <w:t xml:space="preserve"> and for the very detailed document prepared. </w:t>
      </w:r>
      <w:r w:rsidR="00E05003" w:rsidRPr="00813D19">
        <w:rPr>
          <w:lang w:val="en-US"/>
        </w:rPr>
        <w:t>I</w:t>
      </w:r>
      <w:r w:rsidR="00E04594" w:rsidRPr="00813D19">
        <w:rPr>
          <w:lang w:val="en-US"/>
        </w:rPr>
        <w:t xml:space="preserve">t </w:t>
      </w:r>
      <w:r w:rsidR="00E05003" w:rsidRPr="00813D19">
        <w:rPr>
          <w:lang w:val="en-US"/>
        </w:rPr>
        <w:t xml:space="preserve">was </w:t>
      </w:r>
      <w:r w:rsidR="00E04594" w:rsidRPr="00813D19">
        <w:rPr>
          <w:lang w:val="en-US"/>
        </w:rPr>
        <w:t xml:space="preserve">indeed </w:t>
      </w:r>
      <w:r w:rsidR="00E05003" w:rsidRPr="00813D19">
        <w:rPr>
          <w:lang w:val="en-US"/>
        </w:rPr>
        <w:t xml:space="preserve">a very important issue, as </w:t>
      </w:r>
      <w:r w:rsidR="00E04594" w:rsidRPr="00813D19">
        <w:rPr>
          <w:lang w:val="en-US"/>
        </w:rPr>
        <w:t xml:space="preserve">mentioned by the </w:t>
      </w:r>
      <w:r w:rsidR="00E05003" w:rsidRPr="00813D19">
        <w:rPr>
          <w:lang w:val="en-US"/>
        </w:rPr>
        <w:t xml:space="preserve">Philippines, which was </w:t>
      </w:r>
      <w:r w:rsidR="00E04594" w:rsidRPr="00813D19">
        <w:rPr>
          <w:lang w:val="en-US"/>
        </w:rPr>
        <w:t xml:space="preserve">sometimes linked to the complexity of issues around </w:t>
      </w:r>
      <w:r w:rsidR="00E05003" w:rsidRPr="00813D19">
        <w:rPr>
          <w:lang w:val="en-US"/>
        </w:rPr>
        <w:t xml:space="preserve">intangible cultural heritage </w:t>
      </w:r>
      <w:r w:rsidR="00E04594" w:rsidRPr="00813D19">
        <w:rPr>
          <w:lang w:val="en-US"/>
        </w:rPr>
        <w:t>elements</w:t>
      </w:r>
      <w:r w:rsidR="00E05003" w:rsidRPr="00813D19">
        <w:rPr>
          <w:lang w:val="en-US"/>
        </w:rPr>
        <w:t>,</w:t>
      </w:r>
      <w:r w:rsidR="00E04594" w:rsidRPr="00813D19">
        <w:rPr>
          <w:lang w:val="en-US"/>
        </w:rPr>
        <w:t xml:space="preserve"> including sensitivities between different stakeholders in the process of safeguarding </w:t>
      </w:r>
      <w:r w:rsidR="00E05003" w:rsidRPr="00813D19">
        <w:rPr>
          <w:lang w:val="en-US"/>
        </w:rPr>
        <w:t>post-</w:t>
      </w:r>
      <w:r w:rsidR="00E04594" w:rsidRPr="00813D19">
        <w:rPr>
          <w:lang w:val="en-US"/>
        </w:rPr>
        <w:t xml:space="preserve">inscription. </w:t>
      </w:r>
      <w:r w:rsidR="00E05003" w:rsidRPr="00813D19">
        <w:rPr>
          <w:lang w:val="en-US"/>
        </w:rPr>
        <w:t xml:space="preserve">The </w:t>
      </w:r>
      <w:r w:rsidR="00E04594" w:rsidRPr="00813D19">
        <w:rPr>
          <w:lang w:val="en-US"/>
        </w:rPr>
        <w:t xml:space="preserve">delegation </w:t>
      </w:r>
      <w:r w:rsidR="00E05003" w:rsidRPr="00813D19">
        <w:rPr>
          <w:lang w:val="en-US"/>
        </w:rPr>
        <w:t xml:space="preserve">was </w:t>
      </w:r>
      <w:r w:rsidR="00E04594" w:rsidRPr="00813D19">
        <w:rPr>
          <w:lang w:val="en-US"/>
        </w:rPr>
        <w:t>in favo</w:t>
      </w:r>
      <w:r w:rsidR="00C64B11">
        <w:rPr>
          <w:lang w:val="en-US"/>
        </w:rPr>
        <w:t>u</w:t>
      </w:r>
      <w:r w:rsidR="00E04594" w:rsidRPr="00813D19">
        <w:rPr>
          <w:lang w:val="en-US"/>
        </w:rPr>
        <w:t xml:space="preserve">r of </w:t>
      </w:r>
      <w:r w:rsidR="00E05003" w:rsidRPr="00813D19">
        <w:rPr>
          <w:lang w:val="en-US"/>
        </w:rPr>
        <w:t xml:space="preserve">a </w:t>
      </w:r>
      <w:r w:rsidR="00E04594" w:rsidRPr="00813D19">
        <w:rPr>
          <w:lang w:val="en-US"/>
        </w:rPr>
        <w:t>careful approach on this issue. From the first look</w:t>
      </w:r>
      <w:r w:rsidR="00E05003" w:rsidRPr="00813D19">
        <w:rPr>
          <w:lang w:val="en-US"/>
        </w:rPr>
        <w:t>,</w:t>
      </w:r>
      <w:r w:rsidR="00E04594" w:rsidRPr="00813D19">
        <w:rPr>
          <w:lang w:val="en-US"/>
        </w:rPr>
        <w:t xml:space="preserve"> </w:t>
      </w:r>
      <w:r w:rsidR="00E05003" w:rsidRPr="00813D19">
        <w:rPr>
          <w:lang w:val="en-US"/>
        </w:rPr>
        <w:t xml:space="preserve">it </w:t>
      </w:r>
      <w:r w:rsidR="00E04594" w:rsidRPr="00813D19">
        <w:rPr>
          <w:lang w:val="en-US"/>
        </w:rPr>
        <w:t>welcome</w:t>
      </w:r>
      <w:r w:rsidR="00E05003" w:rsidRPr="00813D19">
        <w:rPr>
          <w:lang w:val="en-US"/>
        </w:rPr>
        <w:t>d</w:t>
      </w:r>
      <w:r w:rsidR="00E04594" w:rsidRPr="00813D19">
        <w:rPr>
          <w:lang w:val="en-US"/>
        </w:rPr>
        <w:t xml:space="preserve"> the practice established so far with the monitoring of the elements</w:t>
      </w:r>
      <w:r w:rsidR="00E05003" w:rsidRPr="00813D19">
        <w:rPr>
          <w:lang w:val="en-US"/>
        </w:rPr>
        <w:t>,</w:t>
      </w:r>
      <w:r w:rsidR="00E04594" w:rsidRPr="00813D19">
        <w:rPr>
          <w:lang w:val="en-US"/>
        </w:rPr>
        <w:t xml:space="preserve"> using the reform</w:t>
      </w:r>
      <w:r w:rsidR="00E05003" w:rsidRPr="00813D19">
        <w:rPr>
          <w:lang w:val="en-US"/>
        </w:rPr>
        <w:t xml:space="preserve">ed periodic reporting mechanism, and it </w:t>
      </w:r>
      <w:r w:rsidR="00E04594" w:rsidRPr="00813D19">
        <w:rPr>
          <w:lang w:val="en-US"/>
        </w:rPr>
        <w:t>favour</w:t>
      </w:r>
      <w:r w:rsidR="00E05003" w:rsidRPr="00813D19">
        <w:rPr>
          <w:lang w:val="en-US"/>
        </w:rPr>
        <w:t>ed</w:t>
      </w:r>
      <w:r w:rsidR="00E04594" w:rsidRPr="00813D19">
        <w:rPr>
          <w:lang w:val="en-US"/>
        </w:rPr>
        <w:t xml:space="preserve"> </w:t>
      </w:r>
      <w:r w:rsidR="00E05003" w:rsidRPr="00813D19">
        <w:rPr>
          <w:lang w:val="en-US"/>
        </w:rPr>
        <w:t xml:space="preserve">the </w:t>
      </w:r>
      <w:r w:rsidR="00E04594" w:rsidRPr="00813D19">
        <w:rPr>
          <w:lang w:val="en-US"/>
        </w:rPr>
        <w:t>continue</w:t>
      </w:r>
      <w:r w:rsidR="00E05003" w:rsidRPr="00813D19">
        <w:rPr>
          <w:lang w:val="en-US"/>
        </w:rPr>
        <w:t>d</w:t>
      </w:r>
      <w:r w:rsidR="00E04594" w:rsidRPr="00813D19">
        <w:rPr>
          <w:lang w:val="en-US"/>
        </w:rPr>
        <w:t xml:space="preserve"> treatment of correspondence </w:t>
      </w:r>
      <w:r w:rsidR="00E05003" w:rsidRPr="00813D19">
        <w:rPr>
          <w:lang w:val="en-US"/>
        </w:rPr>
        <w:t xml:space="preserve">from the public or other parties </w:t>
      </w:r>
      <w:r w:rsidR="00113322" w:rsidRPr="00813D19">
        <w:rPr>
          <w:lang w:val="en-US"/>
        </w:rPr>
        <w:t xml:space="preserve">concerned </w:t>
      </w:r>
      <w:r w:rsidR="00E05003" w:rsidRPr="00813D19">
        <w:rPr>
          <w:lang w:val="en-US"/>
        </w:rPr>
        <w:t xml:space="preserve">with regard to nominations </w:t>
      </w:r>
      <w:r w:rsidR="00E04594" w:rsidRPr="00813D19">
        <w:rPr>
          <w:lang w:val="en-US"/>
        </w:rPr>
        <w:t xml:space="preserve">on the basis of the </w:t>
      </w:r>
      <w:r w:rsidR="00E05003" w:rsidRPr="00813D19">
        <w:rPr>
          <w:lang w:val="en-US"/>
        </w:rPr>
        <w:t xml:space="preserve">established </w:t>
      </w:r>
      <w:r w:rsidR="00E04594" w:rsidRPr="00813D19">
        <w:rPr>
          <w:lang w:val="en-US"/>
        </w:rPr>
        <w:t xml:space="preserve">guidelines. </w:t>
      </w:r>
      <w:r w:rsidR="00E05003" w:rsidRPr="00813D19">
        <w:rPr>
          <w:lang w:val="en-US"/>
        </w:rPr>
        <w:t xml:space="preserve">The delegation </w:t>
      </w:r>
      <w:r w:rsidR="00E04594" w:rsidRPr="00813D19">
        <w:rPr>
          <w:lang w:val="en-US"/>
        </w:rPr>
        <w:t>believe</w:t>
      </w:r>
      <w:r w:rsidR="00E05003" w:rsidRPr="00813D19">
        <w:rPr>
          <w:lang w:val="en-US"/>
        </w:rPr>
        <w:t>d</w:t>
      </w:r>
      <w:r w:rsidR="00E04594" w:rsidRPr="00813D19">
        <w:rPr>
          <w:lang w:val="en-US"/>
        </w:rPr>
        <w:t xml:space="preserve"> that the Committee </w:t>
      </w:r>
      <w:r w:rsidR="00E05003" w:rsidRPr="00813D19">
        <w:rPr>
          <w:lang w:val="en-US"/>
        </w:rPr>
        <w:t xml:space="preserve">had </w:t>
      </w:r>
      <w:r w:rsidR="00E04594" w:rsidRPr="00813D19">
        <w:rPr>
          <w:lang w:val="en-US"/>
        </w:rPr>
        <w:t xml:space="preserve">to be cautious in considering </w:t>
      </w:r>
      <w:r w:rsidR="00E05003" w:rsidRPr="00813D19">
        <w:rPr>
          <w:lang w:val="en-US"/>
        </w:rPr>
        <w:t>correspondence that had</w:t>
      </w:r>
      <w:r w:rsidR="00E04594" w:rsidRPr="00813D19">
        <w:rPr>
          <w:lang w:val="en-US"/>
        </w:rPr>
        <w:t xml:space="preserve"> never been part of the nomination file as </w:t>
      </w:r>
      <w:r w:rsidR="00E05003" w:rsidRPr="00813D19">
        <w:rPr>
          <w:lang w:val="en-US"/>
        </w:rPr>
        <w:t xml:space="preserve">originally submitted, as they </w:t>
      </w:r>
      <w:r w:rsidR="00E04594" w:rsidRPr="00813D19">
        <w:rPr>
          <w:lang w:val="en-US"/>
        </w:rPr>
        <w:t>outline and delimit the scope of elements and practitioners</w:t>
      </w:r>
      <w:r w:rsidR="00E05003" w:rsidRPr="00813D19">
        <w:rPr>
          <w:lang w:val="en-US"/>
        </w:rPr>
        <w:t>,</w:t>
      </w:r>
      <w:r w:rsidR="00E04594" w:rsidRPr="00813D19">
        <w:rPr>
          <w:lang w:val="en-US"/>
        </w:rPr>
        <w:t xml:space="preserve"> as well as </w:t>
      </w:r>
      <w:r w:rsidR="00113322">
        <w:rPr>
          <w:lang w:val="en-US"/>
        </w:rPr>
        <w:t xml:space="preserve">the </w:t>
      </w:r>
      <w:r w:rsidR="00E04594" w:rsidRPr="00813D19">
        <w:rPr>
          <w:lang w:val="en-US"/>
        </w:rPr>
        <w:t>social and cultural functions</w:t>
      </w:r>
      <w:r w:rsidR="00113322">
        <w:rPr>
          <w:lang w:val="en-US"/>
        </w:rPr>
        <w:t xml:space="preserve"> of elements</w:t>
      </w:r>
      <w:r w:rsidR="00E04594" w:rsidRPr="00813D19">
        <w:rPr>
          <w:lang w:val="en-US"/>
        </w:rPr>
        <w:t xml:space="preserve">. </w:t>
      </w:r>
      <w:r w:rsidR="00E05003" w:rsidRPr="00813D19">
        <w:rPr>
          <w:lang w:val="en-US"/>
        </w:rPr>
        <w:t xml:space="preserve">Moreover, </w:t>
      </w:r>
      <w:r w:rsidR="00E520FA" w:rsidRPr="00813D19">
        <w:rPr>
          <w:lang w:val="en-US"/>
        </w:rPr>
        <w:t>the Committee has</w:t>
      </w:r>
      <w:r w:rsidR="00E04594" w:rsidRPr="00813D19">
        <w:rPr>
          <w:lang w:val="en-US"/>
        </w:rPr>
        <w:t xml:space="preserve"> no evidence to confirm or deny if correspondence fully, partially, directly or indirectly relates to the elements </w:t>
      </w:r>
      <w:r w:rsidR="0013125F" w:rsidRPr="00813D19">
        <w:rPr>
          <w:lang w:val="en-US"/>
        </w:rPr>
        <w:t>inscribed, i.e. t</w:t>
      </w:r>
      <w:r w:rsidR="00E04594" w:rsidRPr="00813D19">
        <w:rPr>
          <w:lang w:val="en-US"/>
        </w:rPr>
        <w:t xml:space="preserve">here is no monitoring mechanism within the Committee to verify whether the information provided in </w:t>
      </w:r>
      <w:r w:rsidR="00E520FA" w:rsidRPr="00813D19">
        <w:rPr>
          <w:lang w:val="en-US"/>
        </w:rPr>
        <w:t>the</w:t>
      </w:r>
      <w:r w:rsidR="00E04594" w:rsidRPr="00813D19">
        <w:rPr>
          <w:lang w:val="en-US"/>
        </w:rPr>
        <w:t xml:space="preserve"> correspondence is true or not. Many </w:t>
      </w:r>
      <w:r w:rsidR="0013125F" w:rsidRPr="00813D19">
        <w:rPr>
          <w:lang w:val="en-US"/>
        </w:rPr>
        <w:t xml:space="preserve">intangible cultural heritage </w:t>
      </w:r>
      <w:r w:rsidR="00E04594" w:rsidRPr="00813D19">
        <w:rPr>
          <w:lang w:val="en-US"/>
        </w:rPr>
        <w:t>elements have sensitive issues linked to the relationships within and among the communities</w:t>
      </w:r>
      <w:r w:rsidR="00113322">
        <w:rPr>
          <w:lang w:val="en-US"/>
        </w:rPr>
        <w:t xml:space="preserve"> concerned</w:t>
      </w:r>
      <w:r w:rsidR="0013125F" w:rsidRPr="00813D19">
        <w:rPr>
          <w:lang w:val="en-US"/>
        </w:rPr>
        <w:t>,</w:t>
      </w:r>
      <w:r w:rsidR="00E04594" w:rsidRPr="00813D19">
        <w:rPr>
          <w:lang w:val="en-US"/>
        </w:rPr>
        <w:t xml:space="preserve"> and the Committee should be cautious in taking </w:t>
      </w:r>
      <w:r w:rsidR="0013125F" w:rsidRPr="00813D19">
        <w:rPr>
          <w:lang w:val="en-US"/>
        </w:rPr>
        <w:t xml:space="preserve">a </w:t>
      </w:r>
      <w:r w:rsidR="00E04594" w:rsidRPr="00813D19">
        <w:rPr>
          <w:lang w:val="en-US"/>
        </w:rPr>
        <w:t xml:space="preserve">position without a clear picture of the situation. Finally, </w:t>
      </w:r>
      <w:r w:rsidR="0013125F" w:rsidRPr="00813D19">
        <w:rPr>
          <w:lang w:val="en-US"/>
        </w:rPr>
        <w:t xml:space="preserve">it </w:t>
      </w:r>
      <w:r w:rsidR="00E04594" w:rsidRPr="00813D19">
        <w:rPr>
          <w:lang w:val="en-US"/>
        </w:rPr>
        <w:t>also note</w:t>
      </w:r>
      <w:r w:rsidR="0013125F" w:rsidRPr="00813D19">
        <w:rPr>
          <w:lang w:val="en-US"/>
        </w:rPr>
        <w:t>d</w:t>
      </w:r>
      <w:r w:rsidR="00E04594" w:rsidRPr="00813D19">
        <w:rPr>
          <w:lang w:val="en-US"/>
        </w:rPr>
        <w:t xml:space="preserve"> that any development in </w:t>
      </w:r>
      <w:r w:rsidR="0013125F" w:rsidRPr="00813D19">
        <w:rPr>
          <w:lang w:val="en-US"/>
        </w:rPr>
        <w:t xml:space="preserve">a </w:t>
      </w:r>
      <w:r w:rsidR="00E520FA" w:rsidRPr="00813D19">
        <w:rPr>
          <w:lang w:val="en-US"/>
        </w:rPr>
        <w:t>possible follow-up mechanism</w:t>
      </w:r>
      <w:r w:rsidR="00E04594" w:rsidRPr="00813D19">
        <w:rPr>
          <w:lang w:val="en-US"/>
        </w:rPr>
        <w:t xml:space="preserve"> would imply an additional workload </w:t>
      </w:r>
      <w:r w:rsidR="00113322">
        <w:rPr>
          <w:lang w:val="en-US"/>
        </w:rPr>
        <w:t>for</w:t>
      </w:r>
      <w:r w:rsidR="00E04594" w:rsidRPr="00813D19">
        <w:rPr>
          <w:lang w:val="en-US"/>
        </w:rPr>
        <w:t xml:space="preserve"> the Committee, </w:t>
      </w:r>
      <w:r w:rsidR="00113322">
        <w:rPr>
          <w:lang w:val="en-US"/>
        </w:rPr>
        <w:t xml:space="preserve">the </w:t>
      </w:r>
      <w:r w:rsidR="00E04594" w:rsidRPr="00813D19">
        <w:rPr>
          <w:lang w:val="en-US"/>
        </w:rPr>
        <w:t>Secretariat and possibly for the Evaluation Body</w:t>
      </w:r>
      <w:r w:rsidR="0013125F" w:rsidRPr="00813D19">
        <w:rPr>
          <w:lang w:val="en-US"/>
        </w:rPr>
        <w:t>,</w:t>
      </w:r>
      <w:r w:rsidR="00E04594" w:rsidRPr="00813D19">
        <w:rPr>
          <w:lang w:val="en-US"/>
        </w:rPr>
        <w:t xml:space="preserve"> as well as certainly </w:t>
      </w:r>
      <w:r w:rsidR="0013125F" w:rsidRPr="00813D19">
        <w:rPr>
          <w:lang w:val="en-US"/>
        </w:rPr>
        <w:t xml:space="preserve">having </w:t>
      </w:r>
      <w:r w:rsidR="00E04594" w:rsidRPr="00813D19">
        <w:rPr>
          <w:lang w:val="en-US"/>
        </w:rPr>
        <w:t>financial implications. In that sense</w:t>
      </w:r>
      <w:r w:rsidR="0013125F" w:rsidRPr="00813D19">
        <w:rPr>
          <w:lang w:val="en-US"/>
        </w:rPr>
        <w:t>,</w:t>
      </w:r>
      <w:r w:rsidR="00E04594" w:rsidRPr="00813D19">
        <w:rPr>
          <w:lang w:val="en-US"/>
        </w:rPr>
        <w:t xml:space="preserve"> </w:t>
      </w:r>
      <w:r w:rsidR="00E520FA" w:rsidRPr="00813D19">
        <w:rPr>
          <w:lang w:val="en-US"/>
        </w:rPr>
        <w:t>i</w:t>
      </w:r>
      <w:r w:rsidR="0013125F" w:rsidRPr="00813D19">
        <w:rPr>
          <w:lang w:val="en-US"/>
        </w:rPr>
        <w:t xml:space="preserve">t </w:t>
      </w:r>
      <w:r w:rsidR="00E04594" w:rsidRPr="00813D19">
        <w:rPr>
          <w:lang w:val="en-US"/>
        </w:rPr>
        <w:t>commend</w:t>
      </w:r>
      <w:r w:rsidR="0013125F" w:rsidRPr="00813D19">
        <w:rPr>
          <w:lang w:val="en-US"/>
        </w:rPr>
        <w:t>ed</w:t>
      </w:r>
      <w:r w:rsidR="00E04594" w:rsidRPr="00813D19">
        <w:rPr>
          <w:lang w:val="en-US"/>
        </w:rPr>
        <w:t xml:space="preserve"> Japan </w:t>
      </w:r>
      <w:r w:rsidR="0013125F" w:rsidRPr="00813D19">
        <w:rPr>
          <w:lang w:val="en-US"/>
        </w:rPr>
        <w:t>for generously supporting</w:t>
      </w:r>
      <w:r w:rsidR="00E04594" w:rsidRPr="00813D19">
        <w:rPr>
          <w:lang w:val="en-US"/>
        </w:rPr>
        <w:t xml:space="preserve"> this ta</w:t>
      </w:r>
      <w:r w:rsidR="0013125F" w:rsidRPr="00813D19">
        <w:rPr>
          <w:lang w:val="en-US"/>
        </w:rPr>
        <w:t xml:space="preserve">sk and </w:t>
      </w:r>
      <w:r w:rsidR="00113322">
        <w:rPr>
          <w:lang w:val="en-US"/>
        </w:rPr>
        <w:t xml:space="preserve">the </w:t>
      </w:r>
      <w:r w:rsidR="0013125F" w:rsidRPr="00813D19">
        <w:rPr>
          <w:lang w:val="en-US"/>
        </w:rPr>
        <w:t xml:space="preserve">reflection on this issue, adding that it supported </w:t>
      </w:r>
      <w:r w:rsidR="00E04594" w:rsidRPr="00813D19">
        <w:rPr>
          <w:lang w:val="en-US"/>
        </w:rPr>
        <w:t xml:space="preserve">gaining more experience and reflection </w:t>
      </w:r>
      <w:r w:rsidR="0013125F" w:rsidRPr="00813D19">
        <w:rPr>
          <w:lang w:val="en-US"/>
        </w:rPr>
        <w:t xml:space="preserve">on </w:t>
      </w:r>
      <w:r w:rsidR="00E520FA" w:rsidRPr="00813D19">
        <w:rPr>
          <w:lang w:val="en-US"/>
        </w:rPr>
        <w:t>the</w:t>
      </w:r>
      <w:r w:rsidR="00E04594" w:rsidRPr="00813D19">
        <w:rPr>
          <w:lang w:val="en-US"/>
        </w:rPr>
        <w:t xml:space="preserve"> reform of the periodic reporting mechanism</w:t>
      </w:r>
      <w:r w:rsidR="0013125F" w:rsidRPr="00813D19">
        <w:rPr>
          <w:lang w:val="en-US"/>
        </w:rPr>
        <w:t>,</w:t>
      </w:r>
      <w:r w:rsidR="00E04594" w:rsidRPr="00813D19">
        <w:rPr>
          <w:lang w:val="en-US"/>
        </w:rPr>
        <w:t xml:space="preserve"> and possibly revisiting t</w:t>
      </w:r>
      <w:r w:rsidR="0013125F" w:rsidRPr="00813D19">
        <w:rPr>
          <w:lang w:val="en-US"/>
        </w:rPr>
        <w:t>his issue after a full</w:t>
      </w:r>
      <w:r w:rsidR="00A84307">
        <w:rPr>
          <w:lang w:val="en-US"/>
        </w:rPr>
        <w:t xml:space="preserve"> </w:t>
      </w:r>
      <w:r w:rsidR="0013125F" w:rsidRPr="00813D19">
        <w:rPr>
          <w:lang w:val="en-US"/>
        </w:rPr>
        <w:t>six</w:t>
      </w:r>
      <w:r w:rsidR="00A84307">
        <w:rPr>
          <w:lang w:val="en-US"/>
        </w:rPr>
        <w:t>-</w:t>
      </w:r>
      <w:r w:rsidR="0013125F" w:rsidRPr="00813D19">
        <w:rPr>
          <w:lang w:val="en-US"/>
        </w:rPr>
        <w:t>year</w:t>
      </w:r>
      <w:r w:rsidR="00E41386">
        <w:rPr>
          <w:lang w:val="en-US"/>
        </w:rPr>
        <w:t xml:space="preserve"> reporting cycle.</w:t>
      </w:r>
    </w:p>
    <w:p w14:paraId="4C840A21" w14:textId="4F9E2548" w:rsidR="00586CC7" w:rsidRPr="00813D19" w:rsidRDefault="00586CC7" w:rsidP="00A63E07">
      <w:pPr>
        <w:pStyle w:val="Orateurengris"/>
        <w:spacing w:before="120"/>
        <w:ind w:left="709" w:hanging="709"/>
        <w:rPr>
          <w:lang w:val="en-US"/>
        </w:rPr>
      </w:pPr>
      <w:r w:rsidRPr="00813D19">
        <w:rPr>
          <w:lang w:val="en-US"/>
        </w:rPr>
        <w:t xml:space="preserve">The </w:t>
      </w:r>
      <w:r w:rsidRPr="00813D19">
        <w:rPr>
          <w:b/>
          <w:lang w:val="en-US"/>
        </w:rPr>
        <w:t>delegation of Cuba</w:t>
      </w:r>
      <w:r w:rsidR="00E04594" w:rsidRPr="00813D19">
        <w:rPr>
          <w:b/>
          <w:lang w:val="en-US"/>
        </w:rPr>
        <w:t xml:space="preserve"> </w:t>
      </w:r>
      <w:r w:rsidR="00E04594" w:rsidRPr="00813D19">
        <w:rPr>
          <w:bCs/>
          <w:lang w:val="en-US"/>
        </w:rPr>
        <w:t>thank</w:t>
      </w:r>
      <w:r w:rsidR="0013125F" w:rsidRPr="00813D19">
        <w:rPr>
          <w:bCs/>
          <w:lang w:val="en-US"/>
        </w:rPr>
        <w:t>ed</w:t>
      </w:r>
      <w:r w:rsidR="00E04594" w:rsidRPr="00813D19">
        <w:rPr>
          <w:bCs/>
          <w:lang w:val="en-US"/>
        </w:rPr>
        <w:t xml:space="preserve"> the Secretariat for the information provided and also for putting this </w:t>
      </w:r>
      <w:r w:rsidR="0013125F" w:rsidRPr="00813D19">
        <w:rPr>
          <w:bCs/>
          <w:lang w:val="en-US"/>
        </w:rPr>
        <w:t xml:space="preserve">item </w:t>
      </w:r>
      <w:r w:rsidR="00E04594" w:rsidRPr="00813D19">
        <w:rPr>
          <w:bCs/>
          <w:lang w:val="en-US"/>
        </w:rPr>
        <w:t>on the agenda</w:t>
      </w:r>
      <w:r w:rsidR="0013125F" w:rsidRPr="00813D19">
        <w:rPr>
          <w:bCs/>
          <w:lang w:val="en-US"/>
        </w:rPr>
        <w:t xml:space="preserve">, adding that the monitoring process was </w:t>
      </w:r>
      <w:r w:rsidR="00E04594" w:rsidRPr="00813D19">
        <w:rPr>
          <w:bCs/>
          <w:lang w:val="en-US"/>
        </w:rPr>
        <w:t xml:space="preserve">particularly important </w:t>
      </w:r>
      <w:r w:rsidR="0013125F" w:rsidRPr="00813D19">
        <w:rPr>
          <w:bCs/>
          <w:lang w:val="en-US"/>
        </w:rPr>
        <w:t>with regard</w:t>
      </w:r>
      <w:r w:rsidR="00E04594" w:rsidRPr="00813D19">
        <w:rPr>
          <w:bCs/>
          <w:lang w:val="en-US"/>
        </w:rPr>
        <w:t xml:space="preserve"> </w:t>
      </w:r>
      <w:r w:rsidR="0013125F" w:rsidRPr="00813D19">
        <w:rPr>
          <w:bCs/>
          <w:lang w:val="en-US"/>
        </w:rPr>
        <w:t xml:space="preserve">to </w:t>
      </w:r>
      <w:r w:rsidR="00E04594" w:rsidRPr="00813D19">
        <w:rPr>
          <w:bCs/>
          <w:lang w:val="en-US"/>
        </w:rPr>
        <w:t xml:space="preserve">the state of conservation in safeguarding </w:t>
      </w:r>
      <w:r w:rsidR="0013125F" w:rsidRPr="00813D19">
        <w:rPr>
          <w:bCs/>
          <w:lang w:val="en-US"/>
        </w:rPr>
        <w:t xml:space="preserve">the </w:t>
      </w:r>
      <w:r w:rsidR="00E04594" w:rsidRPr="00813D19">
        <w:rPr>
          <w:bCs/>
          <w:lang w:val="en-US"/>
        </w:rPr>
        <w:t>elements inscribed. However</w:t>
      </w:r>
      <w:r w:rsidR="0013125F" w:rsidRPr="00813D19">
        <w:rPr>
          <w:bCs/>
          <w:lang w:val="en-US"/>
        </w:rPr>
        <w:t>,</w:t>
      </w:r>
      <w:r w:rsidR="00E04594" w:rsidRPr="00813D19">
        <w:rPr>
          <w:bCs/>
          <w:lang w:val="en-US"/>
        </w:rPr>
        <w:t xml:space="preserve"> </w:t>
      </w:r>
      <w:r w:rsidR="0013125F" w:rsidRPr="00813D19">
        <w:rPr>
          <w:bCs/>
          <w:lang w:val="en-US"/>
        </w:rPr>
        <w:t xml:space="preserve">it required </w:t>
      </w:r>
      <w:r w:rsidR="00E04594" w:rsidRPr="00813D19">
        <w:rPr>
          <w:bCs/>
          <w:lang w:val="en-US"/>
        </w:rPr>
        <w:t xml:space="preserve">a reflection process </w:t>
      </w:r>
      <w:r w:rsidR="00060333" w:rsidRPr="00813D19">
        <w:rPr>
          <w:bCs/>
          <w:lang w:val="en-US"/>
        </w:rPr>
        <w:t xml:space="preserve">to </w:t>
      </w:r>
      <w:r w:rsidR="00E04594" w:rsidRPr="00813D19">
        <w:rPr>
          <w:bCs/>
          <w:lang w:val="en-US"/>
        </w:rPr>
        <w:t xml:space="preserve">uphold the credibility of the Committee and the Convention itself. This </w:t>
      </w:r>
      <w:r w:rsidR="0013125F" w:rsidRPr="00813D19">
        <w:rPr>
          <w:bCs/>
          <w:lang w:val="en-US"/>
        </w:rPr>
        <w:t xml:space="preserve">mechanism </w:t>
      </w:r>
      <w:r w:rsidR="00E04594" w:rsidRPr="00813D19">
        <w:rPr>
          <w:bCs/>
          <w:lang w:val="en-US"/>
        </w:rPr>
        <w:t xml:space="preserve">could </w:t>
      </w:r>
      <w:r w:rsidR="0013125F" w:rsidRPr="00813D19">
        <w:rPr>
          <w:bCs/>
          <w:lang w:val="en-US"/>
        </w:rPr>
        <w:t xml:space="preserve">develop along the lines of </w:t>
      </w:r>
      <w:r w:rsidR="00E04594" w:rsidRPr="00813D19">
        <w:rPr>
          <w:bCs/>
          <w:lang w:val="en-US"/>
        </w:rPr>
        <w:t>the reactive monitoring</w:t>
      </w:r>
      <w:r w:rsidR="0013125F" w:rsidRPr="00813D19">
        <w:rPr>
          <w:bCs/>
          <w:lang w:val="en-US"/>
        </w:rPr>
        <w:t xml:space="preserve"> system for the 1972 Convention, </w:t>
      </w:r>
      <w:r w:rsidR="00E04594" w:rsidRPr="00813D19">
        <w:rPr>
          <w:bCs/>
          <w:lang w:val="en-US"/>
        </w:rPr>
        <w:t xml:space="preserve">which today </w:t>
      </w:r>
      <w:r w:rsidR="0013125F" w:rsidRPr="00813D19">
        <w:rPr>
          <w:bCs/>
          <w:lang w:val="en-US"/>
        </w:rPr>
        <w:t xml:space="preserve">was </w:t>
      </w:r>
      <w:r w:rsidR="00E04594" w:rsidRPr="00813D19">
        <w:rPr>
          <w:bCs/>
          <w:lang w:val="en-US"/>
        </w:rPr>
        <w:t xml:space="preserve">causing certain problems </w:t>
      </w:r>
      <w:r w:rsidR="0013125F" w:rsidRPr="00813D19">
        <w:rPr>
          <w:bCs/>
          <w:lang w:val="en-US"/>
        </w:rPr>
        <w:t xml:space="preserve">as it had become </w:t>
      </w:r>
      <w:r w:rsidR="00E04594" w:rsidRPr="00813D19">
        <w:rPr>
          <w:bCs/>
          <w:lang w:val="en-US"/>
        </w:rPr>
        <w:t xml:space="preserve">politicized. </w:t>
      </w:r>
      <w:r w:rsidR="0013125F" w:rsidRPr="00813D19">
        <w:rPr>
          <w:bCs/>
          <w:lang w:val="en-US"/>
        </w:rPr>
        <w:t xml:space="preserve">However, from </w:t>
      </w:r>
      <w:r w:rsidR="00E04594" w:rsidRPr="00813D19">
        <w:rPr>
          <w:bCs/>
          <w:lang w:val="en-US"/>
        </w:rPr>
        <w:t xml:space="preserve">the document </w:t>
      </w:r>
      <w:r w:rsidR="0013125F" w:rsidRPr="00813D19">
        <w:rPr>
          <w:bCs/>
          <w:lang w:val="en-US"/>
        </w:rPr>
        <w:t xml:space="preserve">presented, it appeared that </w:t>
      </w:r>
      <w:r w:rsidR="00E04594" w:rsidRPr="00813D19">
        <w:rPr>
          <w:bCs/>
          <w:lang w:val="en-US"/>
        </w:rPr>
        <w:t xml:space="preserve">the system </w:t>
      </w:r>
      <w:r w:rsidR="0013125F" w:rsidRPr="00813D19">
        <w:rPr>
          <w:bCs/>
          <w:lang w:val="en-US"/>
        </w:rPr>
        <w:t xml:space="preserve">was not </w:t>
      </w:r>
      <w:r w:rsidR="00E04594" w:rsidRPr="00813D19">
        <w:rPr>
          <w:bCs/>
          <w:lang w:val="en-US"/>
        </w:rPr>
        <w:t xml:space="preserve">intended to replicate the system </w:t>
      </w:r>
      <w:r w:rsidR="0013125F" w:rsidRPr="00813D19">
        <w:rPr>
          <w:bCs/>
          <w:lang w:val="en-US"/>
        </w:rPr>
        <w:t xml:space="preserve">used in </w:t>
      </w:r>
      <w:r w:rsidR="00E04594" w:rsidRPr="00813D19">
        <w:rPr>
          <w:bCs/>
          <w:lang w:val="en-US"/>
        </w:rPr>
        <w:t xml:space="preserve">the 1972 Convention. Nonetheless, Members of the Committee </w:t>
      </w:r>
      <w:r w:rsidR="0013125F" w:rsidRPr="00813D19">
        <w:rPr>
          <w:bCs/>
          <w:lang w:val="en-US"/>
        </w:rPr>
        <w:t xml:space="preserve">had </w:t>
      </w:r>
      <w:r w:rsidR="00E04594" w:rsidRPr="00813D19">
        <w:rPr>
          <w:bCs/>
          <w:lang w:val="en-US"/>
        </w:rPr>
        <w:t xml:space="preserve">to </w:t>
      </w:r>
      <w:r w:rsidR="0013125F" w:rsidRPr="00813D19">
        <w:rPr>
          <w:bCs/>
          <w:lang w:val="en-US"/>
        </w:rPr>
        <w:t>reflect on this issue</w:t>
      </w:r>
      <w:r w:rsidR="00113322" w:rsidRPr="00113322">
        <w:rPr>
          <w:bCs/>
          <w:lang w:val="en-US"/>
        </w:rPr>
        <w:t xml:space="preserve"> </w:t>
      </w:r>
      <w:r w:rsidR="00113322" w:rsidRPr="00813D19">
        <w:rPr>
          <w:bCs/>
          <w:lang w:val="en-US"/>
        </w:rPr>
        <w:t>fully</w:t>
      </w:r>
      <w:r w:rsidR="0013125F" w:rsidRPr="00813D19">
        <w:rPr>
          <w:bCs/>
          <w:lang w:val="en-US"/>
        </w:rPr>
        <w:t xml:space="preserve">, </w:t>
      </w:r>
      <w:r w:rsidR="00E04594" w:rsidRPr="00813D19">
        <w:rPr>
          <w:bCs/>
          <w:lang w:val="en-US"/>
        </w:rPr>
        <w:t>as well as States Parties to the Convention</w:t>
      </w:r>
      <w:r w:rsidR="0013125F" w:rsidRPr="00813D19">
        <w:rPr>
          <w:bCs/>
          <w:lang w:val="en-US"/>
        </w:rPr>
        <w:t>,</w:t>
      </w:r>
      <w:r w:rsidR="00E04594" w:rsidRPr="00813D19">
        <w:rPr>
          <w:bCs/>
          <w:lang w:val="en-US"/>
        </w:rPr>
        <w:t xml:space="preserve"> in order to find a way of monitoring the elements without politicizing the Committee and without generating further problems </w:t>
      </w:r>
      <w:r w:rsidR="0013125F" w:rsidRPr="00813D19">
        <w:rPr>
          <w:bCs/>
          <w:lang w:val="en-US"/>
        </w:rPr>
        <w:t xml:space="preserve">seen </w:t>
      </w:r>
      <w:r w:rsidR="00E04594" w:rsidRPr="00813D19">
        <w:rPr>
          <w:bCs/>
          <w:lang w:val="en-US"/>
        </w:rPr>
        <w:t xml:space="preserve">in </w:t>
      </w:r>
      <w:r w:rsidR="0013125F" w:rsidRPr="00813D19">
        <w:rPr>
          <w:bCs/>
          <w:lang w:val="en-US"/>
        </w:rPr>
        <w:t xml:space="preserve">the </w:t>
      </w:r>
      <w:r w:rsidR="00E04594" w:rsidRPr="00813D19">
        <w:rPr>
          <w:bCs/>
          <w:lang w:val="en-US"/>
        </w:rPr>
        <w:t xml:space="preserve">1972 Convention </w:t>
      </w:r>
      <w:r w:rsidR="0013125F" w:rsidRPr="00813D19">
        <w:rPr>
          <w:bCs/>
          <w:lang w:val="en-US"/>
        </w:rPr>
        <w:t xml:space="preserve">when cases are </w:t>
      </w:r>
      <w:r w:rsidR="00E04594" w:rsidRPr="00813D19">
        <w:rPr>
          <w:bCs/>
          <w:lang w:val="en-US"/>
        </w:rPr>
        <w:t>examine</w:t>
      </w:r>
      <w:r w:rsidR="0013125F" w:rsidRPr="00813D19">
        <w:rPr>
          <w:bCs/>
          <w:lang w:val="en-US"/>
        </w:rPr>
        <w:t>d</w:t>
      </w:r>
      <w:r w:rsidR="00E04594" w:rsidRPr="00813D19">
        <w:rPr>
          <w:bCs/>
          <w:lang w:val="en-US"/>
        </w:rPr>
        <w:t xml:space="preserve"> under </w:t>
      </w:r>
      <w:r w:rsidR="00113322">
        <w:rPr>
          <w:bCs/>
          <w:lang w:val="en-US"/>
        </w:rPr>
        <w:t xml:space="preserve">a </w:t>
      </w:r>
      <w:r w:rsidR="00E04594" w:rsidRPr="00813D19">
        <w:rPr>
          <w:bCs/>
          <w:lang w:val="en-US"/>
        </w:rPr>
        <w:t>reactive monitoring</w:t>
      </w:r>
      <w:r w:rsidR="00113322">
        <w:rPr>
          <w:bCs/>
          <w:lang w:val="en-US"/>
        </w:rPr>
        <w:t xml:space="preserve"> system</w:t>
      </w:r>
      <w:r w:rsidR="00E04594" w:rsidRPr="00813D19">
        <w:rPr>
          <w:bCs/>
          <w:lang w:val="en-US"/>
        </w:rPr>
        <w:t xml:space="preserve">. </w:t>
      </w:r>
      <w:r w:rsidR="0013125F" w:rsidRPr="00813D19">
        <w:rPr>
          <w:bCs/>
          <w:lang w:val="en-US"/>
        </w:rPr>
        <w:t xml:space="preserve">The delegation surmised that </w:t>
      </w:r>
      <w:r w:rsidR="002513BE" w:rsidRPr="00813D19">
        <w:rPr>
          <w:bCs/>
          <w:lang w:val="en-US"/>
        </w:rPr>
        <w:t>the Committee could consider how—</w:t>
      </w:r>
      <w:r w:rsidR="00E04594" w:rsidRPr="00813D19">
        <w:rPr>
          <w:bCs/>
          <w:lang w:val="en-US"/>
        </w:rPr>
        <w:t xml:space="preserve">within </w:t>
      </w:r>
      <w:r w:rsidR="002513BE" w:rsidRPr="00813D19">
        <w:rPr>
          <w:bCs/>
          <w:lang w:val="en-US"/>
        </w:rPr>
        <w:t xml:space="preserve">the </w:t>
      </w:r>
      <w:r w:rsidR="00E04594" w:rsidRPr="00813D19">
        <w:rPr>
          <w:bCs/>
          <w:lang w:val="en-US"/>
        </w:rPr>
        <w:t>report of the State Party</w:t>
      </w:r>
      <w:r w:rsidR="002513BE" w:rsidRPr="00813D19">
        <w:rPr>
          <w:bCs/>
          <w:lang w:val="en-US"/>
        </w:rPr>
        <w:t>—</w:t>
      </w:r>
      <w:r w:rsidR="00060333" w:rsidRPr="00813D19">
        <w:rPr>
          <w:bCs/>
          <w:lang w:val="en-US"/>
        </w:rPr>
        <w:t xml:space="preserve">to </w:t>
      </w:r>
      <w:r w:rsidR="00E04594" w:rsidRPr="00813D19">
        <w:rPr>
          <w:bCs/>
          <w:lang w:val="en-US"/>
        </w:rPr>
        <w:t xml:space="preserve">include replies to </w:t>
      </w:r>
      <w:r w:rsidR="002513BE" w:rsidRPr="00813D19">
        <w:rPr>
          <w:bCs/>
          <w:lang w:val="en-US"/>
        </w:rPr>
        <w:t xml:space="preserve">States on specific </w:t>
      </w:r>
      <w:r w:rsidR="00E04594" w:rsidRPr="00813D19">
        <w:rPr>
          <w:bCs/>
          <w:lang w:val="en-US"/>
        </w:rPr>
        <w:t xml:space="preserve">questions that </w:t>
      </w:r>
      <w:r w:rsidR="002513BE" w:rsidRPr="00813D19">
        <w:rPr>
          <w:bCs/>
          <w:lang w:val="en-US"/>
        </w:rPr>
        <w:t xml:space="preserve">pose a </w:t>
      </w:r>
      <w:r w:rsidR="00E04594" w:rsidRPr="00813D19">
        <w:rPr>
          <w:bCs/>
          <w:lang w:val="en-US"/>
        </w:rPr>
        <w:t xml:space="preserve">problem. </w:t>
      </w:r>
      <w:r w:rsidR="00AB24AA" w:rsidRPr="00813D19">
        <w:rPr>
          <w:bCs/>
          <w:lang w:val="en-US"/>
        </w:rPr>
        <w:t xml:space="preserve">The delegation conceded that it was perhaps </w:t>
      </w:r>
      <w:r w:rsidR="00E04594" w:rsidRPr="00813D19">
        <w:rPr>
          <w:bCs/>
          <w:lang w:val="en-US"/>
        </w:rPr>
        <w:t xml:space="preserve">easier to </w:t>
      </w:r>
      <w:r w:rsidR="00AB24AA" w:rsidRPr="00813D19">
        <w:rPr>
          <w:bCs/>
          <w:lang w:val="en-US"/>
        </w:rPr>
        <w:t xml:space="preserve">identify a </w:t>
      </w:r>
      <w:r w:rsidR="00E04594" w:rsidRPr="00813D19">
        <w:rPr>
          <w:bCs/>
          <w:lang w:val="en-US"/>
        </w:rPr>
        <w:t xml:space="preserve">problem </w:t>
      </w:r>
      <w:r w:rsidR="00AB24AA" w:rsidRPr="00813D19">
        <w:rPr>
          <w:bCs/>
          <w:lang w:val="en-US"/>
        </w:rPr>
        <w:t xml:space="preserve">in the 1972 Convention </w:t>
      </w:r>
      <w:r w:rsidR="00E04594" w:rsidRPr="00813D19">
        <w:rPr>
          <w:bCs/>
          <w:lang w:val="en-US"/>
        </w:rPr>
        <w:t xml:space="preserve">because </w:t>
      </w:r>
      <w:r w:rsidR="00AB24AA" w:rsidRPr="00813D19">
        <w:rPr>
          <w:bCs/>
          <w:lang w:val="en-US"/>
        </w:rPr>
        <w:t xml:space="preserve">it concerned tangible </w:t>
      </w:r>
      <w:r w:rsidR="00E04594" w:rsidRPr="00813D19">
        <w:rPr>
          <w:bCs/>
          <w:lang w:val="en-US"/>
        </w:rPr>
        <w:t>heritage and specific safeguarding measures</w:t>
      </w:r>
      <w:r w:rsidR="00AB24AA" w:rsidRPr="00813D19">
        <w:rPr>
          <w:bCs/>
          <w:lang w:val="en-US"/>
        </w:rPr>
        <w:t xml:space="preserve">, which was more difficult to ascertain in the case of </w:t>
      </w:r>
      <w:r w:rsidR="00E04594" w:rsidRPr="00813D19">
        <w:rPr>
          <w:bCs/>
          <w:lang w:val="en-US"/>
        </w:rPr>
        <w:t>intangible cultural heritage</w:t>
      </w:r>
      <w:r w:rsidR="00AB24AA" w:rsidRPr="00813D19">
        <w:rPr>
          <w:bCs/>
          <w:lang w:val="en-US"/>
        </w:rPr>
        <w:t xml:space="preserve"> when a</w:t>
      </w:r>
      <w:r w:rsidR="00E04594" w:rsidRPr="00813D19">
        <w:rPr>
          <w:bCs/>
          <w:lang w:val="en-US"/>
        </w:rPr>
        <w:t xml:space="preserve">n element can have manifestations throughout </w:t>
      </w:r>
      <w:r w:rsidR="00AB24AA" w:rsidRPr="00813D19">
        <w:rPr>
          <w:bCs/>
          <w:lang w:val="en-US"/>
        </w:rPr>
        <w:t xml:space="preserve">a </w:t>
      </w:r>
      <w:r w:rsidR="00E04594" w:rsidRPr="00813D19">
        <w:rPr>
          <w:bCs/>
          <w:lang w:val="en-US"/>
        </w:rPr>
        <w:t xml:space="preserve">country. </w:t>
      </w:r>
      <w:r w:rsidR="00AB24AA" w:rsidRPr="00813D19">
        <w:rPr>
          <w:bCs/>
          <w:lang w:val="en-US"/>
        </w:rPr>
        <w:t>For example, t</w:t>
      </w:r>
      <w:r w:rsidR="00E04594" w:rsidRPr="00813D19">
        <w:rPr>
          <w:bCs/>
          <w:lang w:val="en-US"/>
        </w:rPr>
        <w:t xml:space="preserve">here might be </w:t>
      </w:r>
      <w:r w:rsidR="00AB24AA" w:rsidRPr="00813D19">
        <w:rPr>
          <w:bCs/>
          <w:lang w:val="en-US"/>
        </w:rPr>
        <w:t xml:space="preserve">issues related to </w:t>
      </w:r>
      <w:r w:rsidR="00E04594" w:rsidRPr="00813D19">
        <w:rPr>
          <w:bCs/>
          <w:lang w:val="en-US"/>
        </w:rPr>
        <w:t xml:space="preserve">a specific place without that </w:t>
      </w:r>
      <w:r w:rsidR="00AB24AA" w:rsidRPr="00813D19">
        <w:rPr>
          <w:bCs/>
          <w:lang w:val="en-US"/>
        </w:rPr>
        <w:t xml:space="preserve">implicating </w:t>
      </w:r>
      <w:r w:rsidR="00E04594" w:rsidRPr="00813D19">
        <w:rPr>
          <w:bCs/>
          <w:lang w:val="en-US"/>
        </w:rPr>
        <w:t xml:space="preserve">the element as a whole. </w:t>
      </w:r>
      <w:r w:rsidR="00AB24AA" w:rsidRPr="00813D19">
        <w:rPr>
          <w:bCs/>
          <w:lang w:val="en-US"/>
        </w:rPr>
        <w:t xml:space="preserve">Nevertheless, </w:t>
      </w:r>
      <w:r w:rsidR="00E04594" w:rsidRPr="00813D19">
        <w:rPr>
          <w:bCs/>
          <w:lang w:val="en-US"/>
        </w:rPr>
        <w:t xml:space="preserve">there must </w:t>
      </w:r>
      <w:r w:rsidR="00113322">
        <w:rPr>
          <w:bCs/>
          <w:lang w:val="en-US"/>
        </w:rPr>
        <w:t>be</w:t>
      </w:r>
      <w:r w:rsidR="00AB24AA" w:rsidRPr="00813D19">
        <w:rPr>
          <w:bCs/>
          <w:lang w:val="en-US"/>
        </w:rPr>
        <w:t xml:space="preserve"> </w:t>
      </w:r>
      <w:r w:rsidR="00E04594" w:rsidRPr="00813D19">
        <w:rPr>
          <w:bCs/>
          <w:lang w:val="en-US"/>
        </w:rPr>
        <w:t xml:space="preserve">a process in which dialogue with the States </w:t>
      </w:r>
      <w:r w:rsidR="00AB24AA" w:rsidRPr="00813D19">
        <w:rPr>
          <w:bCs/>
          <w:lang w:val="en-US"/>
        </w:rPr>
        <w:t xml:space="preserve">Parties </w:t>
      </w:r>
      <w:r w:rsidR="00E04594" w:rsidRPr="00813D19">
        <w:rPr>
          <w:bCs/>
          <w:lang w:val="en-US"/>
        </w:rPr>
        <w:t xml:space="preserve">is given </w:t>
      </w:r>
      <w:r w:rsidR="00AB24AA" w:rsidRPr="00813D19">
        <w:rPr>
          <w:bCs/>
          <w:lang w:val="en-US"/>
        </w:rPr>
        <w:t xml:space="preserve">deserved attention </w:t>
      </w:r>
      <w:r w:rsidR="00E04594" w:rsidRPr="00813D19">
        <w:rPr>
          <w:bCs/>
          <w:lang w:val="en-US"/>
        </w:rPr>
        <w:t xml:space="preserve">in order to find the best way to implement </w:t>
      </w:r>
      <w:r w:rsidR="00AB24AA" w:rsidRPr="00813D19">
        <w:rPr>
          <w:bCs/>
          <w:lang w:val="en-US"/>
        </w:rPr>
        <w:t xml:space="preserve">the Convention and </w:t>
      </w:r>
      <w:r w:rsidR="00E04594" w:rsidRPr="00813D19">
        <w:rPr>
          <w:bCs/>
          <w:lang w:val="en-US"/>
        </w:rPr>
        <w:t>safeguar</w:t>
      </w:r>
      <w:r w:rsidR="00E41386">
        <w:rPr>
          <w:bCs/>
          <w:lang w:val="en-US"/>
        </w:rPr>
        <w:t>d intangible cultural heritage.</w:t>
      </w:r>
    </w:p>
    <w:p w14:paraId="426D0BC2" w14:textId="1C082737" w:rsidR="00586CC7" w:rsidRPr="00813D19" w:rsidRDefault="00586CC7" w:rsidP="00A63E07">
      <w:pPr>
        <w:pStyle w:val="Orateurengris"/>
        <w:spacing w:before="120"/>
        <w:ind w:left="709" w:hanging="709"/>
        <w:rPr>
          <w:lang w:val="en-US"/>
        </w:rPr>
      </w:pPr>
      <w:r w:rsidRPr="00813D19">
        <w:rPr>
          <w:lang w:val="en-US"/>
        </w:rPr>
        <w:t xml:space="preserve">The </w:t>
      </w:r>
      <w:r w:rsidRPr="00813D19">
        <w:rPr>
          <w:b/>
          <w:lang w:val="en-US"/>
        </w:rPr>
        <w:t>delegation of the Netherlands</w:t>
      </w:r>
      <w:r w:rsidR="00E04594" w:rsidRPr="00813D19">
        <w:rPr>
          <w:b/>
          <w:lang w:val="en-US"/>
        </w:rPr>
        <w:t xml:space="preserve"> </w:t>
      </w:r>
      <w:r w:rsidR="00AB24AA" w:rsidRPr="00813D19">
        <w:rPr>
          <w:lang w:val="en-US"/>
        </w:rPr>
        <w:t>noted that the</w:t>
      </w:r>
      <w:r w:rsidR="00AB24AA" w:rsidRPr="00813D19">
        <w:rPr>
          <w:b/>
          <w:lang w:val="en-US"/>
        </w:rPr>
        <w:t xml:space="preserve"> </w:t>
      </w:r>
      <w:r w:rsidR="00E04594" w:rsidRPr="00813D19">
        <w:rPr>
          <w:lang w:val="en-US"/>
        </w:rPr>
        <w:t xml:space="preserve">Secretariat </w:t>
      </w:r>
      <w:r w:rsidR="00AB24AA" w:rsidRPr="00813D19">
        <w:rPr>
          <w:lang w:val="en-US"/>
        </w:rPr>
        <w:t>had clearly stated</w:t>
      </w:r>
      <w:r w:rsidR="00E04594" w:rsidRPr="00813D19">
        <w:rPr>
          <w:lang w:val="en-US"/>
        </w:rPr>
        <w:t xml:space="preserve"> that information from different stakeholders on the changing situation of the elements</w:t>
      </w:r>
      <w:r w:rsidR="00AB24AA" w:rsidRPr="00813D19">
        <w:rPr>
          <w:lang w:val="en-US"/>
        </w:rPr>
        <w:t>,</w:t>
      </w:r>
      <w:r w:rsidR="00E04594" w:rsidRPr="00813D19">
        <w:rPr>
          <w:lang w:val="en-US"/>
        </w:rPr>
        <w:t xml:space="preserve"> or concerns from communities about inscribed elements of </w:t>
      </w:r>
      <w:r w:rsidR="00AB24AA" w:rsidRPr="00813D19">
        <w:rPr>
          <w:lang w:val="en-US"/>
        </w:rPr>
        <w:t xml:space="preserve">intangible cultural heritage, was </w:t>
      </w:r>
      <w:r w:rsidR="00E04594" w:rsidRPr="00813D19">
        <w:rPr>
          <w:lang w:val="en-US"/>
        </w:rPr>
        <w:t>at stake</w:t>
      </w:r>
      <w:r w:rsidR="00113322">
        <w:rPr>
          <w:lang w:val="en-US"/>
        </w:rPr>
        <w:t>,</w:t>
      </w:r>
      <w:r w:rsidR="00AB24AA" w:rsidRPr="00813D19">
        <w:rPr>
          <w:lang w:val="en-US"/>
        </w:rPr>
        <w:t xml:space="preserve"> for which </w:t>
      </w:r>
      <w:r w:rsidR="00E04594" w:rsidRPr="00813D19">
        <w:rPr>
          <w:lang w:val="en-US"/>
        </w:rPr>
        <w:t xml:space="preserve">a follow-up mechanism </w:t>
      </w:r>
      <w:r w:rsidR="00AB24AA" w:rsidRPr="00813D19">
        <w:rPr>
          <w:lang w:val="en-US"/>
        </w:rPr>
        <w:t xml:space="preserve">was </w:t>
      </w:r>
      <w:r w:rsidR="00E04594" w:rsidRPr="00813D19">
        <w:rPr>
          <w:lang w:val="en-US"/>
        </w:rPr>
        <w:t xml:space="preserve">needed. </w:t>
      </w:r>
      <w:r w:rsidR="00AB24AA" w:rsidRPr="00813D19">
        <w:rPr>
          <w:lang w:val="en-US"/>
        </w:rPr>
        <w:t xml:space="preserve">The delegation believed that </w:t>
      </w:r>
      <w:r w:rsidR="00E04594" w:rsidRPr="00813D19">
        <w:rPr>
          <w:lang w:val="en-US"/>
        </w:rPr>
        <w:t>a mechanism of mediation that focused on mapping certain problems and finding ways to solve these problems</w:t>
      </w:r>
      <w:r w:rsidR="00AB24AA" w:rsidRPr="00813D19">
        <w:rPr>
          <w:lang w:val="en-US"/>
        </w:rPr>
        <w:t xml:space="preserve"> could be a starting point or first phase in which States Parties and e</w:t>
      </w:r>
      <w:r w:rsidR="00E04594" w:rsidRPr="00813D19">
        <w:rPr>
          <w:lang w:val="en-US"/>
        </w:rPr>
        <w:t xml:space="preserve">xperts could play a role. </w:t>
      </w:r>
      <w:r w:rsidR="00AB24AA" w:rsidRPr="00813D19">
        <w:rPr>
          <w:lang w:val="en-US"/>
        </w:rPr>
        <w:t xml:space="preserve">In this way, the </w:t>
      </w:r>
      <w:r w:rsidR="00F1460F" w:rsidRPr="00813D19">
        <w:rPr>
          <w:lang w:val="en-US"/>
        </w:rPr>
        <w:t>Ethical P</w:t>
      </w:r>
      <w:r w:rsidR="00E04594" w:rsidRPr="00813D19">
        <w:rPr>
          <w:lang w:val="en-US"/>
        </w:rPr>
        <w:t>rinciples</w:t>
      </w:r>
      <w:r w:rsidR="00113322">
        <w:rPr>
          <w:lang w:val="en-US"/>
        </w:rPr>
        <w:t>,</w:t>
      </w:r>
      <w:r w:rsidR="00E04594" w:rsidRPr="00813D19">
        <w:rPr>
          <w:lang w:val="en-US"/>
        </w:rPr>
        <w:t xml:space="preserve"> as referred </w:t>
      </w:r>
      <w:r w:rsidR="00F1460F" w:rsidRPr="00813D19">
        <w:rPr>
          <w:lang w:val="en-US"/>
        </w:rPr>
        <w:t xml:space="preserve">to </w:t>
      </w:r>
      <w:r w:rsidR="00E04594" w:rsidRPr="00813D19">
        <w:rPr>
          <w:lang w:val="en-US"/>
        </w:rPr>
        <w:t xml:space="preserve">in </w:t>
      </w:r>
      <w:r w:rsidR="00F1460F" w:rsidRPr="00813D19">
        <w:rPr>
          <w:lang w:val="en-US"/>
        </w:rPr>
        <w:t xml:space="preserve">paragraph </w:t>
      </w:r>
      <w:r w:rsidR="00E04594" w:rsidRPr="00813D19">
        <w:rPr>
          <w:lang w:val="en-US"/>
        </w:rPr>
        <w:t xml:space="preserve">3 of the draft decision and in </w:t>
      </w:r>
      <w:r w:rsidR="00F1460F" w:rsidRPr="00813D19">
        <w:rPr>
          <w:lang w:val="en-US"/>
        </w:rPr>
        <w:t xml:space="preserve">agenda </w:t>
      </w:r>
      <w:r w:rsidR="00E04594" w:rsidRPr="00813D19">
        <w:rPr>
          <w:lang w:val="en-US"/>
        </w:rPr>
        <w:t>item 5</w:t>
      </w:r>
      <w:r w:rsidR="00113322">
        <w:rPr>
          <w:lang w:val="en-US"/>
        </w:rPr>
        <w:t>,</w:t>
      </w:r>
      <w:r w:rsidR="00E04594" w:rsidRPr="00813D19">
        <w:rPr>
          <w:lang w:val="en-US"/>
        </w:rPr>
        <w:t xml:space="preserve"> </w:t>
      </w:r>
      <w:r w:rsidR="00AB24AA" w:rsidRPr="00813D19">
        <w:rPr>
          <w:lang w:val="en-US"/>
        </w:rPr>
        <w:t xml:space="preserve">could be applied, </w:t>
      </w:r>
      <w:r w:rsidR="00F1460F" w:rsidRPr="00813D19">
        <w:rPr>
          <w:lang w:val="en-US"/>
        </w:rPr>
        <w:t>“</w:t>
      </w:r>
      <w:r w:rsidR="00E04594" w:rsidRPr="00813D19">
        <w:rPr>
          <w:lang w:val="en-US"/>
        </w:rPr>
        <w:t>to provide ways for communities and civil society to participate more directly in monitoring of inscribed elements</w:t>
      </w:r>
      <w:r w:rsidR="00F1460F" w:rsidRPr="00813D19">
        <w:rPr>
          <w:lang w:val="en-US"/>
        </w:rPr>
        <w:t>”.</w:t>
      </w:r>
      <w:r w:rsidR="00E04594" w:rsidRPr="00813D19">
        <w:rPr>
          <w:lang w:val="en-US"/>
        </w:rPr>
        <w:t xml:space="preserve"> </w:t>
      </w:r>
      <w:r w:rsidR="00F1460F" w:rsidRPr="00813D19">
        <w:rPr>
          <w:lang w:val="en-US"/>
        </w:rPr>
        <w:t xml:space="preserve">The delegation understood that </w:t>
      </w:r>
      <w:r w:rsidR="00E04594" w:rsidRPr="00813D19">
        <w:rPr>
          <w:lang w:val="en-US"/>
        </w:rPr>
        <w:t xml:space="preserve">this </w:t>
      </w:r>
      <w:r w:rsidR="00060333" w:rsidRPr="00813D19">
        <w:rPr>
          <w:lang w:val="en-US"/>
        </w:rPr>
        <w:t>wou</w:t>
      </w:r>
      <w:r w:rsidR="00F1460F" w:rsidRPr="00813D19">
        <w:rPr>
          <w:lang w:val="en-US"/>
        </w:rPr>
        <w:t xml:space="preserve">ld </w:t>
      </w:r>
      <w:r w:rsidR="00E04594" w:rsidRPr="00813D19">
        <w:rPr>
          <w:lang w:val="en-US"/>
        </w:rPr>
        <w:t xml:space="preserve">be part of the broader discussion in the </w:t>
      </w:r>
      <w:r w:rsidR="00F1460F" w:rsidRPr="00813D19">
        <w:rPr>
          <w:lang w:val="en-US"/>
        </w:rPr>
        <w:t xml:space="preserve">expert </w:t>
      </w:r>
      <w:r w:rsidR="00E04594" w:rsidRPr="00813D19">
        <w:rPr>
          <w:lang w:val="en-US"/>
        </w:rPr>
        <w:t>wo</w:t>
      </w:r>
      <w:r w:rsidR="00E41386">
        <w:rPr>
          <w:lang w:val="en-US"/>
        </w:rPr>
        <w:t>rking group supported by Japan.</w:t>
      </w:r>
    </w:p>
    <w:p w14:paraId="785E827F" w14:textId="01092C01" w:rsidR="00586CC7" w:rsidRPr="00813D19" w:rsidRDefault="003D3D70" w:rsidP="00A63E07">
      <w:pPr>
        <w:pStyle w:val="Orateurengris"/>
        <w:spacing w:before="120"/>
        <w:ind w:left="709" w:hanging="709"/>
        <w:rPr>
          <w:lang w:val="en-US"/>
        </w:rPr>
      </w:pPr>
      <w:r w:rsidRPr="00813D19">
        <w:rPr>
          <w:lang w:val="en-US"/>
        </w:rPr>
        <w:t xml:space="preserve">The </w:t>
      </w:r>
      <w:r w:rsidRPr="00813D19">
        <w:rPr>
          <w:b/>
          <w:lang w:val="en-US"/>
        </w:rPr>
        <w:t>delegation of Colombia</w:t>
      </w:r>
      <w:r w:rsidR="00E04594" w:rsidRPr="00813D19">
        <w:rPr>
          <w:b/>
          <w:lang w:val="en-US"/>
        </w:rPr>
        <w:t xml:space="preserve"> </w:t>
      </w:r>
      <w:r w:rsidR="00F1460F" w:rsidRPr="00813D19">
        <w:rPr>
          <w:bCs/>
          <w:lang w:val="en-US"/>
        </w:rPr>
        <w:t>supported</w:t>
      </w:r>
      <w:r w:rsidR="00E04594" w:rsidRPr="00813D19">
        <w:rPr>
          <w:bCs/>
          <w:lang w:val="en-US"/>
        </w:rPr>
        <w:t xml:space="preserve"> the Secretariat’s proposal to initiate a discussion and reflection on follow-up mechanisms</w:t>
      </w:r>
      <w:r w:rsidR="00872516" w:rsidRPr="00813D19">
        <w:rPr>
          <w:bCs/>
          <w:lang w:val="en-US"/>
        </w:rPr>
        <w:t xml:space="preserve"> for elements inscribed on the L</w:t>
      </w:r>
      <w:r w:rsidR="00060333" w:rsidRPr="00813D19">
        <w:rPr>
          <w:bCs/>
          <w:lang w:val="en-US"/>
        </w:rPr>
        <w:t xml:space="preserve">ist, adding that it </w:t>
      </w:r>
      <w:r w:rsidR="00E04594" w:rsidRPr="00813D19">
        <w:rPr>
          <w:bCs/>
          <w:lang w:val="en-US"/>
        </w:rPr>
        <w:t>could benef</w:t>
      </w:r>
      <w:r w:rsidR="00872516" w:rsidRPr="00813D19">
        <w:rPr>
          <w:bCs/>
          <w:lang w:val="en-US"/>
        </w:rPr>
        <w:t>it the communities by following</w:t>
      </w:r>
      <w:r w:rsidR="00A84307">
        <w:rPr>
          <w:bCs/>
          <w:lang w:val="en-US"/>
        </w:rPr>
        <w:t xml:space="preserve"> </w:t>
      </w:r>
      <w:r w:rsidR="00E04594" w:rsidRPr="00813D19">
        <w:rPr>
          <w:bCs/>
          <w:lang w:val="en-US"/>
        </w:rPr>
        <w:t xml:space="preserve">up </w:t>
      </w:r>
      <w:r w:rsidR="00060333" w:rsidRPr="00813D19">
        <w:rPr>
          <w:bCs/>
          <w:lang w:val="en-US"/>
        </w:rPr>
        <w:t xml:space="preserve">on </w:t>
      </w:r>
      <w:r w:rsidR="00E04594" w:rsidRPr="00813D19">
        <w:rPr>
          <w:bCs/>
          <w:lang w:val="en-US"/>
        </w:rPr>
        <w:t>elements</w:t>
      </w:r>
      <w:r w:rsidR="00872516" w:rsidRPr="00813D19">
        <w:rPr>
          <w:bCs/>
          <w:lang w:val="en-US"/>
        </w:rPr>
        <w:t>,</w:t>
      </w:r>
      <w:r w:rsidR="00E04594" w:rsidRPr="00813D19">
        <w:rPr>
          <w:bCs/>
          <w:lang w:val="en-US"/>
        </w:rPr>
        <w:t xml:space="preserve"> but it </w:t>
      </w:r>
      <w:r w:rsidR="00872516" w:rsidRPr="00813D19">
        <w:rPr>
          <w:bCs/>
          <w:lang w:val="en-US"/>
        </w:rPr>
        <w:t xml:space="preserve">could </w:t>
      </w:r>
      <w:r w:rsidR="00E04594" w:rsidRPr="00813D19">
        <w:rPr>
          <w:bCs/>
          <w:lang w:val="en-US"/>
        </w:rPr>
        <w:t xml:space="preserve">also </w:t>
      </w:r>
      <w:r w:rsidR="00872516" w:rsidRPr="00813D19">
        <w:rPr>
          <w:bCs/>
          <w:lang w:val="en-US"/>
        </w:rPr>
        <w:t>serve as a tool</w:t>
      </w:r>
      <w:r w:rsidR="00E04594" w:rsidRPr="00813D19">
        <w:rPr>
          <w:bCs/>
          <w:lang w:val="en-US"/>
        </w:rPr>
        <w:t xml:space="preserve"> to </w:t>
      </w:r>
      <w:r w:rsidR="00872516" w:rsidRPr="00813D19">
        <w:rPr>
          <w:bCs/>
          <w:lang w:val="en-US"/>
        </w:rPr>
        <w:t xml:space="preserve">be used by States by </w:t>
      </w:r>
      <w:r w:rsidR="00E04594" w:rsidRPr="00813D19">
        <w:rPr>
          <w:bCs/>
          <w:lang w:val="en-US"/>
        </w:rPr>
        <w:t xml:space="preserve">their national administration. </w:t>
      </w:r>
      <w:r w:rsidR="00872516" w:rsidRPr="00813D19">
        <w:rPr>
          <w:bCs/>
          <w:lang w:val="en-US"/>
        </w:rPr>
        <w:t xml:space="preserve">It believed </w:t>
      </w:r>
      <w:r w:rsidR="00E04594" w:rsidRPr="00813D19">
        <w:rPr>
          <w:bCs/>
          <w:lang w:val="en-US"/>
        </w:rPr>
        <w:t xml:space="preserve">that </w:t>
      </w:r>
      <w:r w:rsidR="00872516" w:rsidRPr="00813D19">
        <w:rPr>
          <w:bCs/>
          <w:lang w:val="en-US"/>
        </w:rPr>
        <w:t xml:space="preserve">aspects of </w:t>
      </w:r>
      <w:r w:rsidR="00E04594" w:rsidRPr="00813D19">
        <w:rPr>
          <w:bCs/>
          <w:lang w:val="en-US"/>
        </w:rPr>
        <w:t xml:space="preserve">the Convention could </w:t>
      </w:r>
      <w:r w:rsidR="00872516" w:rsidRPr="00813D19">
        <w:rPr>
          <w:bCs/>
          <w:lang w:val="en-US"/>
        </w:rPr>
        <w:t>borrow from other C</w:t>
      </w:r>
      <w:r w:rsidR="00E04594" w:rsidRPr="00813D19">
        <w:rPr>
          <w:bCs/>
          <w:lang w:val="en-US"/>
        </w:rPr>
        <w:t xml:space="preserve">onventions </w:t>
      </w:r>
      <w:r w:rsidR="00872516" w:rsidRPr="00813D19">
        <w:rPr>
          <w:bCs/>
          <w:lang w:val="en-US"/>
        </w:rPr>
        <w:t xml:space="preserve">and this would no doubt </w:t>
      </w:r>
      <w:r w:rsidR="00E04594" w:rsidRPr="00813D19">
        <w:rPr>
          <w:bCs/>
          <w:lang w:val="en-US"/>
        </w:rPr>
        <w:t>be discussed</w:t>
      </w:r>
      <w:r w:rsidR="00872516" w:rsidRPr="00813D19">
        <w:rPr>
          <w:bCs/>
          <w:lang w:val="en-US"/>
        </w:rPr>
        <w:t xml:space="preserve">. The delegation provided its </w:t>
      </w:r>
      <w:r w:rsidR="00E04594" w:rsidRPr="00813D19">
        <w:rPr>
          <w:bCs/>
          <w:lang w:val="en-US"/>
        </w:rPr>
        <w:t>full technical support t</w:t>
      </w:r>
      <w:r w:rsidR="00872516" w:rsidRPr="00813D19">
        <w:rPr>
          <w:bCs/>
          <w:lang w:val="en-US"/>
        </w:rPr>
        <w:t xml:space="preserve">o this new </w:t>
      </w:r>
      <w:r w:rsidR="00060333" w:rsidRPr="00813D19">
        <w:rPr>
          <w:bCs/>
          <w:lang w:val="en-US"/>
        </w:rPr>
        <w:t xml:space="preserve">proposed </w:t>
      </w:r>
      <w:r w:rsidR="00872516" w:rsidRPr="00813D19">
        <w:rPr>
          <w:bCs/>
          <w:lang w:val="en-US"/>
        </w:rPr>
        <w:t>reflection.</w:t>
      </w:r>
    </w:p>
    <w:p w14:paraId="26FD6DB0" w14:textId="57E9C49B" w:rsidR="00954656" w:rsidRPr="00813D19" w:rsidRDefault="00954656" w:rsidP="00A63E07">
      <w:pPr>
        <w:pStyle w:val="Orateurengris"/>
        <w:spacing w:before="120"/>
        <w:ind w:left="709" w:hanging="709"/>
        <w:rPr>
          <w:lang w:val="en-US"/>
        </w:rPr>
      </w:pPr>
      <w:r w:rsidRPr="00813D19">
        <w:rPr>
          <w:lang w:val="en-US"/>
        </w:rPr>
        <w:t xml:space="preserve">The </w:t>
      </w:r>
      <w:r w:rsidRPr="00813D19">
        <w:rPr>
          <w:b/>
          <w:lang w:val="en-US"/>
        </w:rPr>
        <w:t xml:space="preserve">delegation of Austria </w:t>
      </w:r>
      <w:r w:rsidR="00872516" w:rsidRPr="00813D19">
        <w:rPr>
          <w:lang w:val="en-US"/>
        </w:rPr>
        <w:t>understood</w:t>
      </w:r>
      <w:r w:rsidR="00E04594" w:rsidRPr="00813D19">
        <w:rPr>
          <w:lang w:val="en-US"/>
        </w:rPr>
        <w:t xml:space="preserve"> </w:t>
      </w:r>
      <w:r w:rsidR="00872516" w:rsidRPr="00813D19">
        <w:rPr>
          <w:lang w:val="en-US"/>
        </w:rPr>
        <w:t xml:space="preserve">that </w:t>
      </w:r>
      <w:r w:rsidR="00E04594" w:rsidRPr="00813D19">
        <w:rPr>
          <w:lang w:val="en-US"/>
        </w:rPr>
        <w:t xml:space="preserve">the </w:t>
      </w:r>
      <w:r w:rsidR="00872516" w:rsidRPr="00813D19">
        <w:rPr>
          <w:lang w:val="en-US"/>
        </w:rPr>
        <w:t xml:space="preserve">growing </w:t>
      </w:r>
      <w:r w:rsidR="00ED2F36" w:rsidRPr="00813D19">
        <w:rPr>
          <w:lang w:val="en-US"/>
        </w:rPr>
        <w:t>n</w:t>
      </w:r>
      <w:r w:rsidR="00872516" w:rsidRPr="00813D19">
        <w:rPr>
          <w:lang w:val="en-US"/>
        </w:rPr>
        <w:t xml:space="preserve">umber of </w:t>
      </w:r>
      <w:r w:rsidR="00E04594" w:rsidRPr="00813D19">
        <w:rPr>
          <w:lang w:val="en-US"/>
        </w:rPr>
        <w:t xml:space="preserve">letters of concern regarding the status of inscribed elements </w:t>
      </w:r>
      <w:r w:rsidR="00872516" w:rsidRPr="00813D19">
        <w:rPr>
          <w:lang w:val="en-US"/>
        </w:rPr>
        <w:t xml:space="preserve">required </w:t>
      </w:r>
      <w:r w:rsidR="00E04594" w:rsidRPr="00813D19">
        <w:rPr>
          <w:lang w:val="en-US"/>
        </w:rPr>
        <w:t>a creative solution and additional resources</w:t>
      </w:r>
      <w:r w:rsidR="00872516" w:rsidRPr="00813D19">
        <w:rPr>
          <w:lang w:val="en-US"/>
        </w:rPr>
        <w:t>,</w:t>
      </w:r>
      <w:r w:rsidR="00E04594" w:rsidRPr="00813D19">
        <w:rPr>
          <w:lang w:val="en-US"/>
        </w:rPr>
        <w:t xml:space="preserve"> and </w:t>
      </w:r>
      <w:r w:rsidR="00872516" w:rsidRPr="00813D19">
        <w:rPr>
          <w:lang w:val="en-US"/>
        </w:rPr>
        <w:t xml:space="preserve">it </w:t>
      </w:r>
      <w:r w:rsidR="00E04594" w:rsidRPr="00813D19">
        <w:rPr>
          <w:lang w:val="en-US"/>
        </w:rPr>
        <w:t>strongly agree</w:t>
      </w:r>
      <w:r w:rsidR="00872516" w:rsidRPr="00813D19">
        <w:rPr>
          <w:lang w:val="en-US"/>
        </w:rPr>
        <w:t>d</w:t>
      </w:r>
      <w:r w:rsidR="00E04594" w:rsidRPr="00813D19">
        <w:rPr>
          <w:lang w:val="en-US"/>
        </w:rPr>
        <w:t xml:space="preserve"> that communities, bearers, civil society and NGOs should be involved in the monitoring of inscribed elements. </w:t>
      </w:r>
      <w:r w:rsidR="00060333" w:rsidRPr="00813D19">
        <w:rPr>
          <w:lang w:val="en-US"/>
        </w:rPr>
        <w:t xml:space="preserve">It </w:t>
      </w:r>
      <w:r w:rsidR="00E04594" w:rsidRPr="00813D19">
        <w:rPr>
          <w:lang w:val="en-US"/>
        </w:rPr>
        <w:t>believe</w:t>
      </w:r>
      <w:r w:rsidR="00872516" w:rsidRPr="00813D19">
        <w:rPr>
          <w:lang w:val="en-US"/>
        </w:rPr>
        <w:t>d</w:t>
      </w:r>
      <w:r w:rsidR="00E04594" w:rsidRPr="00813D19">
        <w:rPr>
          <w:lang w:val="en-US"/>
        </w:rPr>
        <w:t xml:space="preserve"> that bottom-up approaches and dialogue </w:t>
      </w:r>
      <w:r w:rsidR="00872516" w:rsidRPr="00813D19">
        <w:rPr>
          <w:lang w:val="en-US"/>
        </w:rPr>
        <w:t xml:space="preserve">were </w:t>
      </w:r>
      <w:r w:rsidR="00E04594" w:rsidRPr="00813D19">
        <w:rPr>
          <w:lang w:val="en-US"/>
        </w:rPr>
        <w:t xml:space="preserve">the best way forward and in this regard there </w:t>
      </w:r>
      <w:r w:rsidR="00872516" w:rsidRPr="00813D19">
        <w:rPr>
          <w:lang w:val="en-US"/>
        </w:rPr>
        <w:t xml:space="preserve">was </w:t>
      </w:r>
      <w:r w:rsidR="00E04594" w:rsidRPr="00813D19">
        <w:rPr>
          <w:lang w:val="en-US"/>
        </w:rPr>
        <w:t>a need for a platform for exchange, dialogue and reflection</w:t>
      </w:r>
      <w:r w:rsidR="00872516" w:rsidRPr="00813D19">
        <w:rPr>
          <w:lang w:val="en-US"/>
        </w:rPr>
        <w:t>,</w:t>
      </w:r>
      <w:r w:rsidR="00E04594" w:rsidRPr="00813D19">
        <w:rPr>
          <w:lang w:val="en-US"/>
        </w:rPr>
        <w:t xml:space="preserve"> as </w:t>
      </w:r>
      <w:r w:rsidR="00872516" w:rsidRPr="00813D19">
        <w:rPr>
          <w:lang w:val="en-US"/>
        </w:rPr>
        <w:t xml:space="preserve">previously mentioned by </w:t>
      </w:r>
      <w:r w:rsidR="00E04594" w:rsidRPr="00813D19">
        <w:rPr>
          <w:lang w:val="en-US"/>
        </w:rPr>
        <w:t xml:space="preserve">the Netherlands. </w:t>
      </w:r>
      <w:r w:rsidR="00872516" w:rsidRPr="00813D19">
        <w:rPr>
          <w:lang w:val="en-US"/>
        </w:rPr>
        <w:t xml:space="preserve">The delegation then spoke of </w:t>
      </w:r>
      <w:r w:rsidR="00E04594" w:rsidRPr="00813D19">
        <w:rPr>
          <w:lang w:val="en-US"/>
        </w:rPr>
        <w:t>an exemplar</w:t>
      </w:r>
      <w:r w:rsidR="00872516" w:rsidRPr="00813D19">
        <w:rPr>
          <w:lang w:val="en-US"/>
        </w:rPr>
        <w:t>y meeting that was organized by the N</w:t>
      </w:r>
      <w:r w:rsidR="00E04594" w:rsidRPr="00813D19">
        <w:rPr>
          <w:lang w:val="en-US"/>
        </w:rPr>
        <w:t xml:space="preserve">ational </w:t>
      </w:r>
      <w:r w:rsidR="00872516" w:rsidRPr="00813D19">
        <w:rPr>
          <w:lang w:val="en-US"/>
        </w:rPr>
        <w:t>C</w:t>
      </w:r>
      <w:r w:rsidR="00E04594" w:rsidRPr="00813D19">
        <w:rPr>
          <w:lang w:val="en-US"/>
        </w:rPr>
        <w:t>ommissions of Germany, Luxe</w:t>
      </w:r>
      <w:r w:rsidR="00074E8C" w:rsidRPr="00813D19">
        <w:rPr>
          <w:lang w:val="en-US"/>
        </w:rPr>
        <w:t>mbourg, Switzerland and Austria in 2018</w:t>
      </w:r>
      <w:r w:rsidR="00E04594" w:rsidRPr="00813D19">
        <w:rPr>
          <w:lang w:val="en-US"/>
        </w:rPr>
        <w:t xml:space="preserve">. Based on </w:t>
      </w:r>
      <w:r w:rsidR="00074E8C" w:rsidRPr="00813D19">
        <w:rPr>
          <w:lang w:val="en-US"/>
        </w:rPr>
        <w:t xml:space="preserve">the </w:t>
      </w:r>
      <w:r w:rsidR="00E04594" w:rsidRPr="00813D19">
        <w:rPr>
          <w:lang w:val="en-US"/>
        </w:rPr>
        <w:t xml:space="preserve">individual experiences gained from the implementation of the Convention on the national level, community representatives, bearers, </w:t>
      </w:r>
      <w:r w:rsidR="00074E8C" w:rsidRPr="00813D19">
        <w:rPr>
          <w:lang w:val="en-US"/>
        </w:rPr>
        <w:t xml:space="preserve">intangible cultural heritage </w:t>
      </w:r>
      <w:r w:rsidR="00E04594" w:rsidRPr="00813D19">
        <w:rPr>
          <w:lang w:val="en-US"/>
        </w:rPr>
        <w:t>experts, official bodies and media representatives from four European countries shared and discussed challenges</w:t>
      </w:r>
      <w:r w:rsidR="00074E8C" w:rsidRPr="00813D19">
        <w:rPr>
          <w:lang w:val="en-US"/>
        </w:rPr>
        <w:t>,</w:t>
      </w:r>
      <w:r w:rsidR="00E04594" w:rsidRPr="00813D19">
        <w:rPr>
          <w:lang w:val="en-US"/>
        </w:rPr>
        <w:t xml:space="preserve"> but also </w:t>
      </w:r>
      <w:r w:rsidR="00074E8C" w:rsidRPr="00813D19">
        <w:rPr>
          <w:lang w:val="en-US"/>
        </w:rPr>
        <w:t xml:space="preserve">the </w:t>
      </w:r>
      <w:r w:rsidR="00E04594" w:rsidRPr="00813D19">
        <w:rPr>
          <w:lang w:val="en-US"/>
        </w:rPr>
        <w:t xml:space="preserve">positive developments and outcomes encountered before </w:t>
      </w:r>
      <w:r w:rsidR="00074E8C" w:rsidRPr="00813D19">
        <w:rPr>
          <w:lang w:val="en-US"/>
        </w:rPr>
        <w:t xml:space="preserve">and </w:t>
      </w:r>
      <w:r w:rsidR="00E04594" w:rsidRPr="00813D19">
        <w:rPr>
          <w:lang w:val="en-US"/>
        </w:rPr>
        <w:t xml:space="preserve">after the inscription of elements. Issues discussed </w:t>
      </w:r>
      <w:r w:rsidR="00074E8C" w:rsidRPr="00813D19">
        <w:rPr>
          <w:lang w:val="en-US"/>
        </w:rPr>
        <w:t xml:space="preserve">included topics </w:t>
      </w:r>
      <w:r w:rsidR="00E04594" w:rsidRPr="00813D19">
        <w:rPr>
          <w:lang w:val="en-US"/>
        </w:rPr>
        <w:t>such as gender, minority rights, commercialization and animal rights. Dealing with these issues is indeed very complex and highly sensitive</w:t>
      </w:r>
      <w:r w:rsidR="00074E8C" w:rsidRPr="00813D19">
        <w:rPr>
          <w:lang w:val="en-US"/>
        </w:rPr>
        <w:t>,</w:t>
      </w:r>
      <w:r w:rsidR="00E04594" w:rsidRPr="00813D19">
        <w:rPr>
          <w:lang w:val="en-US"/>
        </w:rPr>
        <w:t xml:space="preserve"> but experience has shown that a transparent and inclusive dialogue and reflection with all </w:t>
      </w:r>
      <w:r w:rsidR="00074E8C" w:rsidRPr="00813D19">
        <w:rPr>
          <w:lang w:val="en-US"/>
        </w:rPr>
        <w:t xml:space="preserve">the </w:t>
      </w:r>
      <w:r w:rsidR="00E04594" w:rsidRPr="00813D19">
        <w:rPr>
          <w:lang w:val="en-US"/>
        </w:rPr>
        <w:t xml:space="preserve">stakeholders involved can foster mutual respect and understanding. As </w:t>
      </w:r>
      <w:r w:rsidR="00074E8C" w:rsidRPr="00813D19">
        <w:rPr>
          <w:lang w:val="en-US"/>
        </w:rPr>
        <w:t xml:space="preserve">presented by the </w:t>
      </w:r>
      <w:r w:rsidR="00E04594" w:rsidRPr="00813D19">
        <w:rPr>
          <w:lang w:val="en-US"/>
        </w:rPr>
        <w:t>Secretariat</w:t>
      </w:r>
      <w:r w:rsidR="00074E8C" w:rsidRPr="00813D19">
        <w:rPr>
          <w:lang w:val="en-US"/>
        </w:rPr>
        <w:t>,</w:t>
      </w:r>
      <w:r w:rsidR="00E04594" w:rsidRPr="00813D19">
        <w:rPr>
          <w:lang w:val="en-US"/>
        </w:rPr>
        <w:t xml:space="preserve"> there </w:t>
      </w:r>
      <w:r w:rsidR="00060333" w:rsidRPr="00813D19">
        <w:rPr>
          <w:lang w:val="en-US"/>
        </w:rPr>
        <w:t xml:space="preserve">were </w:t>
      </w:r>
      <w:r w:rsidR="00E04594" w:rsidRPr="00813D19">
        <w:rPr>
          <w:lang w:val="en-US"/>
        </w:rPr>
        <w:t xml:space="preserve">many serious questions </w:t>
      </w:r>
      <w:r w:rsidR="00074E8C" w:rsidRPr="00813D19">
        <w:rPr>
          <w:lang w:val="en-US"/>
        </w:rPr>
        <w:t xml:space="preserve">on </w:t>
      </w:r>
      <w:r w:rsidR="00E04594" w:rsidRPr="00813D19">
        <w:rPr>
          <w:lang w:val="en-US"/>
        </w:rPr>
        <w:t xml:space="preserve">the follow-up of inscribed elements </w:t>
      </w:r>
      <w:r w:rsidR="00060333" w:rsidRPr="00813D19">
        <w:rPr>
          <w:lang w:val="en-US"/>
        </w:rPr>
        <w:t>that required ref</w:t>
      </w:r>
      <w:r w:rsidR="00074E8C" w:rsidRPr="00813D19">
        <w:rPr>
          <w:lang w:val="en-US"/>
        </w:rPr>
        <w:t>l</w:t>
      </w:r>
      <w:r w:rsidR="00060333" w:rsidRPr="00813D19">
        <w:rPr>
          <w:lang w:val="en-US"/>
        </w:rPr>
        <w:t>e</w:t>
      </w:r>
      <w:r w:rsidR="00074E8C" w:rsidRPr="00813D19">
        <w:rPr>
          <w:lang w:val="en-US"/>
        </w:rPr>
        <w:t xml:space="preserve">ction, </w:t>
      </w:r>
      <w:r w:rsidR="00060333" w:rsidRPr="00813D19">
        <w:rPr>
          <w:lang w:val="en-US"/>
        </w:rPr>
        <w:t xml:space="preserve">and </w:t>
      </w:r>
      <w:r w:rsidR="00E04594" w:rsidRPr="00813D19">
        <w:rPr>
          <w:lang w:val="en-US"/>
        </w:rPr>
        <w:t xml:space="preserve">which go beyond the scope of </w:t>
      </w:r>
      <w:r w:rsidR="00074E8C" w:rsidRPr="00813D19">
        <w:rPr>
          <w:lang w:val="en-US"/>
        </w:rPr>
        <w:t xml:space="preserve">the </w:t>
      </w:r>
      <w:r w:rsidR="00E04594" w:rsidRPr="00813D19">
        <w:rPr>
          <w:lang w:val="en-US"/>
        </w:rPr>
        <w:t>discussions here</w:t>
      </w:r>
      <w:r w:rsidR="00074E8C" w:rsidRPr="00813D19">
        <w:rPr>
          <w:lang w:val="en-US"/>
        </w:rPr>
        <w:t>.</w:t>
      </w:r>
      <w:r w:rsidR="00E04594" w:rsidRPr="00813D19">
        <w:rPr>
          <w:lang w:val="en-US"/>
        </w:rPr>
        <w:t xml:space="preserve"> </w:t>
      </w:r>
      <w:r w:rsidR="00074E8C" w:rsidRPr="00813D19">
        <w:rPr>
          <w:lang w:val="en-US"/>
        </w:rPr>
        <w:t xml:space="preserve">The delegation thus </w:t>
      </w:r>
      <w:r w:rsidR="00E04594" w:rsidRPr="00813D19">
        <w:rPr>
          <w:lang w:val="en-US"/>
        </w:rPr>
        <w:t>express</w:t>
      </w:r>
      <w:r w:rsidR="00074E8C" w:rsidRPr="00813D19">
        <w:rPr>
          <w:lang w:val="en-US"/>
        </w:rPr>
        <w:t>ed</w:t>
      </w:r>
      <w:r w:rsidR="00E04594" w:rsidRPr="00813D19">
        <w:rPr>
          <w:lang w:val="en-US"/>
        </w:rPr>
        <w:t xml:space="preserve"> </w:t>
      </w:r>
      <w:r w:rsidR="00113322">
        <w:rPr>
          <w:lang w:val="en-US"/>
        </w:rPr>
        <w:t xml:space="preserve">its </w:t>
      </w:r>
      <w:r w:rsidR="00E04594" w:rsidRPr="00813D19">
        <w:rPr>
          <w:lang w:val="en-US"/>
        </w:rPr>
        <w:t>gratitude to Japan</w:t>
      </w:r>
      <w:r w:rsidR="00060333" w:rsidRPr="00813D19">
        <w:rPr>
          <w:lang w:val="en-US"/>
        </w:rPr>
        <w:t>,</w:t>
      </w:r>
      <w:r w:rsidR="00E04594" w:rsidRPr="00813D19">
        <w:rPr>
          <w:lang w:val="en-US"/>
        </w:rPr>
        <w:t xml:space="preserve"> whose generous contribution </w:t>
      </w:r>
      <w:r w:rsidR="00113322">
        <w:rPr>
          <w:lang w:val="en-US"/>
        </w:rPr>
        <w:t>would</w:t>
      </w:r>
      <w:r w:rsidR="00074E8C" w:rsidRPr="00813D19">
        <w:rPr>
          <w:lang w:val="en-US"/>
        </w:rPr>
        <w:t xml:space="preserve"> allow</w:t>
      </w:r>
      <w:r w:rsidR="00E04594" w:rsidRPr="00813D19">
        <w:rPr>
          <w:lang w:val="en-US"/>
        </w:rPr>
        <w:t xml:space="preserve"> for a </w:t>
      </w:r>
      <w:r w:rsidR="00074E8C" w:rsidRPr="00813D19">
        <w:rPr>
          <w:lang w:val="en-US"/>
        </w:rPr>
        <w:t xml:space="preserve">thorough </w:t>
      </w:r>
      <w:r w:rsidR="00E04594" w:rsidRPr="00813D19">
        <w:rPr>
          <w:lang w:val="en-US"/>
        </w:rPr>
        <w:t xml:space="preserve">discussion of these sensitive and important issues </w:t>
      </w:r>
      <w:r w:rsidR="00074E8C" w:rsidRPr="00813D19">
        <w:rPr>
          <w:lang w:val="en-US"/>
        </w:rPr>
        <w:t xml:space="preserve">at </w:t>
      </w:r>
      <w:r w:rsidR="00E41386">
        <w:rPr>
          <w:lang w:val="en-US"/>
        </w:rPr>
        <w:t>an expert level.</w:t>
      </w:r>
    </w:p>
    <w:p w14:paraId="1A82EE8B" w14:textId="1FE2A191" w:rsidR="00E21BFB" w:rsidRPr="00813D19" w:rsidRDefault="00E21BFB" w:rsidP="00A63E07">
      <w:pPr>
        <w:pStyle w:val="Orateurengris"/>
        <w:spacing w:before="120"/>
        <w:ind w:left="709" w:hanging="709"/>
        <w:rPr>
          <w:lang w:val="en-US"/>
        </w:rPr>
      </w:pPr>
      <w:r w:rsidRPr="00813D19">
        <w:rPr>
          <w:lang w:val="en-US"/>
        </w:rPr>
        <w:t xml:space="preserve">The </w:t>
      </w:r>
      <w:r w:rsidRPr="00813D19">
        <w:rPr>
          <w:b/>
          <w:lang w:val="en-US"/>
        </w:rPr>
        <w:t>Chairperson</w:t>
      </w:r>
      <w:r w:rsidR="00E41386">
        <w:rPr>
          <w:lang w:val="en-US"/>
        </w:rPr>
        <w:t xml:space="preserve"> opened the floor to Observers.</w:t>
      </w:r>
    </w:p>
    <w:p w14:paraId="7284B1FD" w14:textId="2A73164C" w:rsidR="00E83F73" w:rsidRPr="00813D19" w:rsidRDefault="00E83F73" w:rsidP="00A63E07">
      <w:pPr>
        <w:pStyle w:val="Orateurengris"/>
        <w:spacing w:before="120"/>
        <w:ind w:left="709" w:hanging="709"/>
        <w:rPr>
          <w:lang w:val="en-US"/>
        </w:rPr>
      </w:pPr>
      <w:r w:rsidRPr="00813D19">
        <w:rPr>
          <w:lang w:val="en-US"/>
        </w:rPr>
        <w:t xml:space="preserve">The </w:t>
      </w:r>
      <w:r w:rsidRPr="00813D19">
        <w:rPr>
          <w:b/>
          <w:lang w:val="en-US"/>
        </w:rPr>
        <w:t>delegation of Belgium</w:t>
      </w:r>
      <w:r w:rsidR="00E04594" w:rsidRPr="00813D19">
        <w:rPr>
          <w:lang w:val="en-US"/>
        </w:rPr>
        <w:t xml:space="preserve"> thank</w:t>
      </w:r>
      <w:r w:rsidR="00074E8C" w:rsidRPr="00813D19">
        <w:rPr>
          <w:lang w:val="en-US"/>
        </w:rPr>
        <w:t>ed</w:t>
      </w:r>
      <w:r w:rsidR="00E04594" w:rsidRPr="00813D19">
        <w:rPr>
          <w:lang w:val="en-US"/>
        </w:rPr>
        <w:t xml:space="preserve"> and congratulate</w:t>
      </w:r>
      <w:r w:rsidR="00074E8C" w:rsidRPr="00813D19">
        <w:rPr>
          <w:lang w:val="en-US"/>
        </w:rPr>
        <w:t>d</w:t>
      </w:r>
      <w:r w:rsidR="00E04594" w:rsidRPr="00813D19">
        <w:rPr>
          <w:lang w:val="en-US"/>
        </w:rPr>
        <w:t xml:space="preserve"> Mauritius for </w:t>
      </w:r>
      <w:r w:rsidR="00074E8C" w:rsidRPr="00813D19">
        <w:rPr>
          <w:lang w:val="en-US"/>
        </w:rPr>
        <w:t xml:space="preserve">its </w:t>
      </w:r>
      <w:r w:rsidR="00E04594" w:rsidRPr="00813D19">
        <w:rPr>
          <w:lang w:val="en-US"/>
        </w:rPr>
        <w:t xml:space="preserve">hospitality and </w:t>
      </w:r>
      <w:r w:rsidR="00074E8C" w:rsidRPr="00813D19">
        <w:rPr>
          <w:lang w:val="en-US"/>
        </w:rPr>
        <w:t xml:space="preserve">the </w:t>
      </w:r>
      <w:r w:rsidR="00E04594" w:rsidRPr="00813D19">
        <w:rPr>
          <w:lang w:val="en-US"/>
        </w:rPr>
        <w:t>excellent organization</w:t>
      </w:r>
      <w:r w:rsidR="00074E8C" w:rsidRPr="00813D19">
        <w:rPr>
          <w:lang w:val="en-US"/>
        </w:rPr>
        <w:t>, adding that t</w:t>
      </w:r>
      <w:r w:rsidR="00E04594" w:rsidRPr="00813D19">
        <w:rPr>
          <w:lang w:val="en-US"/>
        </w:rPr>
        <w:t xml:space="preserve">his </w:t>
      </w:r>
      <w:r w:rsidR="00074E8C" w:rsidRPr="00813D19">
        <w:rPr>
          <w:lang w:val="en-US"/>
        </w:rPr>
        <w:t xml:space="preserve">agenda </w:t>
      </w:r>
      <w:r w:rsidR="00E04594" w:rsidRPr="00813D19">
        <w:rPr>
          <w:lang w:val="en-US"/>
        </w:rPr>
        <w:t xml:space="preserve">item </w:t>
      </w:r>
      <w:r w:rsidR="00074E8C" w:rsidRPr="00813D19">
        <w:rPr>
          <w:lang w:val="en-US"/>
        </w:rPr>
        <w:t xml:space="preserve">was </w:t>
      </w:r>
      <w:r w:rsidR="00E04594" w:rsidRPr="00813D19">
        <w:rPr>
          <w:lang w:val="en-US"/>
        </w:rPr>
        <w:t xml:space="preserve">very interesting and important </w:t>
      </w:r>
      <w:r w:rsidR="00074E8C" w:rsidRPr="00813D19">
        <w:rPr>
          <w:lang w:val="en-US"/>
        </w:rPr>
        <w:t xml:space="preserve">as it was </w:t>
      </w:r>
      <w:r w:rsidR="00E04594" w:rsidRPr="00813D19">
        <w:rPr>
          <w:lang w:val="en-US"/>
        </w:rPr>
        <w:t xml:space="preserve">high time to start discussing the follow-up of inscription of the elements </w:t>
      </w:r>
      <w:r w:rsidR="00074E8C" w:rsidRPr="00813D19">
        <w:rPr>
          <w:lang w:val="en-US"/>
        </w:rPr>
        <w:t xml:space="preserve">on the Lists </w:t>
      </w:r>
      <w:r w:rsidR="00E04594" w:rsidRPr="00813D19">
        <w:rPr>
          <w:lang w:val="en-US"/>
        </w:rPr>
        <w:t>and the</w:t>
      </w:r>
      <w:r w:rsidR="00074E8C" w:rsidRPr="00813D19">
        <w:rPr>
          <w:lang w:val="en-US"/>
        </w:rPr>
        <w:t>ir associated</w:t>
      </w:r>
      <w:r w:rsidR="00E04594" w:rsidRPr="00813D19">
        <w:rPr>
          <w:lang w:val="en-US"/>
        </w:rPr>
        <w:t xml:space="preserve"> safeguarding practices. </w:t>
      </w:r>
      <w:r w:rsidR="00074E8C" w:rsidRPr="00813D19">
        <w:rPr>
          <w:lang w:val="en-US"/>
        </w:rPr>
        <w:t xml:space="preserve">Regarding the </w:t>
      </w:r>
      <w:r w:rsidR="00E04594" w:rsidRPr="00813D19">
        <w:rPr>
          <w:lang w:val="en-US"/>
        </w:rPr>
        <w:t>involvement of communities, groups and individuals</w:t>
      </w:r>
      <w:r w:rsidR="00074E8C" w:rsidRPr="00813D19">
        <w:rPr>
          <w:lang w:val="en-US"/>
        </w:rPr>
        <w:t>,</w:t>
      </w:r>
      <w:r w:rsidR="00E04594" w:rsidRPr="00813D19">
        <w:rPr>
          <w:lang w:val="en-US"/>
        </w:rPr>
        <w:t xml:space="preserve"> as emphasized </w:t>
      </w:r>
      <w:r w:rsidR="00EC6A8E" w:rsidRPr="00813D19">
        <w:rPr>
          <w:i/>
          <w:lang w:val="en-US"/>
        </w:rPr>
        <w:t>inter alia</w:t>
      </w:r>
      <w:r w:rsidR="00E04594" w:rsidRPr="00813D19">
        <w:rPr>
          <w:lang w:val="en-US"/>
        </w:rPr>
        <w:t xml:space="preserve"> i</w:t>
      </w:r>
      <w:r w:rsidR="00074E8C" w:rsidRPr="00813D19">
        <w:rPr>
          <w:lang w:val="en-US"/>
        </w:rPr>
        <w:t>n Article 15 of the Convention, the delegation noted</w:t>
      </w:r>
      <w:r w:rsidR="00E04594" w:rsidRPr="00813D19">
        <w:rPr>
          <w:lang w:val="en-US"/>
        </w:rPr>
        <w:t xml:space="preserve"> in this and other documents</w:t>
      </w:r>
      <w:r w:rsidR="00EC6A8E" w:rsidRPr="00813D19">
        <w:rPr>
          <w:lang w:val="en-US"/>
        </w:rPr>
        <w:t xml:space="preserve"> that </w:t>
      </w:r>
      <w:r w:rsidR="00E04594" w:rsidRPr="00813D19">
        <w:rPr>
          <w:lang w:val="en-US"/>
        </w:rPr>
        <w:t xml:space="preserve">often only communities are mentioned, sometimes even in singular </w:t>
      </w:r>
      <w:r w:rsidR="00074E8C" w:rsidRPr="00813D19">
        <w:rPr>
          <w:lang w:val="en-US"/>
        </w:rPr>
        <w:t>form</w:t>
      </w:r>
      <w:r w:rsidR="00E04594" w:rsidRPr="00813D19">
        <w:rPr>
          <w:lang w:val="en-US"/>
        </w:rPr>
        <w:t xml:space="preserve">. </w:t>
      </w:r>
      <w:r w:rsidR="00074E8C" w:rsidRPr="00813D19">
        <w:rPr>
          <w:lang w:val="en-US"/>
        </w:rPr>
        <w:t>It had</w:t>
      </w:r>
      <w:r w:rsidR="00E04594" w:rsidRPr="00813D19">
        <w:rPr>
          <w:lang w:val="en-US"/>
        </w:rPr>
        <w:t xml:space="preserve"> been remarked </w:t>
      </w:r>
      <w:r w:rsidR="00074E8C" w:rsidRPr="00813D19">
        <w:rPr>
          <w:lang w:val="en-US"/>
        </w:rPr>
        <w:t xml:space="preserve">on </w:t>
      </w:r>
      <w:r w:rsidR="00E04594" w:rsidRPr="00813D19">
        <w:rPr>
          <w:lang w:val="en-US"/>
        </w:rPr>
        <w:t xml:space="preserve">several </w:t>
      </w:r>
      <w:r w:rsidR="00074E8C" w:rsidRPr="00813D19">
        <w:rPr>
          <w:lang w:val="en-US"/>
        </w:rPr>
        <w:t xml:space="preserve">occasions </w:t>
      </w:r>
      <w:r w:rsidR="00E04594" w:rsidRPr="00813D19">
        <w:rPr>
          <w:lang w:val="en-US"/>
        </w:rPr>
        <w:t xml:space="preserve">that it would be best to avoid this reductionist interpretation </w:t>
      </w:r>
      <w:r w:rsidR="00074E8C" w:rsidRPr="00813D19">
        <w:rPr>
          <w:lang w:val="en-US"/>
        </w:rPr>
        <w:t>and to stick as closely to the Basic T</w:t>
      </w:r>
      <w:r w:rsidR="00E04594" w:rsidRPr="00813D19">
        <w:rPr>
          <w:lang w:val="en-US"/>
        </w:rPr>
        <w:t>exts as possible</w:t>
      </w:r>
      <w:r w:rsidR="00074E8C" w:rsidRPr="00813D19">
        <w:rPr>
          <w:lang w:val="en-US"/>
        </w:rPr>
        <w:t>,</w:t>
      </w:r>
      <w:r w:rsidR="00E04594" w:rsidRPr="00813D19">
        <w:rPr>
          <w:lang w:val="en-US"/>
        </w:rPr>
        <w:t xml:space="preserve"> </w:t>
      </w:r>
      <w:r w:rsidR="00074E8C" w:rsidRPr="00813D19">
        <w:rPr>
          <w:lang w:val="en-US"/>
        </w:rPr>
        <w:t xml:space="preserve">i.e. </w:t>
      </w:r>
      <w:r w:rsidR="00E04594" w:rsidRPr="00813D19">
        <w:rPr>
          <w:lang w:val="en-US"/>
        </w:rPr>
        <w:t xml:space="preserve">to systematically mention </w:t>
      </w:r>
      <w:r w:rsidR="00074E8C" w:rsidRPr="00813D19">
        <w:rPr>
          <w:lang w:val="en-US"/>
        </w:rPr>
        <w:t>‘</w:t>
      </w:r>
      <w:r w:rsidR="00E04594" w:rsidRPr="00813D19">
        <w:rPr>
          <w:lang w:val="en-US"/>
        </w:rPr>
        <w:t>communities, groups and</w:t>
      </w:r>
      <w:r w:rsidR="00074E8C" w:rsidRPr="00813D19">
        <w:rPr>
          <w:lang w:val="en-US"/>
        </w:rPr>
        <w:t>,</w:t>
      </w:r>
      <w:r w:rsidR="00E04594" w:rsidRPr="00813D19">
        <w:rPr>
          <w:lang w:val="en-US"/>
        </w:rPr>
        <w:t xml:space="preserve"> where appropriate</w:t>
      </w:r>
      <w:r w:rsidR="00074E8C" w:rsidRPr="00813D19">
        <w:rPr>
          <w:lang w:val="en-US"/>
        </w:rPr>
        <w:t>,</w:t>
      </w:r>
      <w:r w:rsidR="00E04594" w:rsidRPr="00813D19">
        <w:rPr>
          <w:lang w:val="en-US"/>
        </w:rPr>
        <w:t xml:space="preserve"> individuals</w:t>
      </w:r>
      <w:r w:rsidR="00074E8C" w:rsidRPr="00813D19">
        <w:rPr>
          <w:lang w:val="en-US"/>
        </w:rPr>
        <w:t>’</w:t>
      </w:r>
      <w:r w:rsidR="00E04594" w:rsidRPr="00813D19">
        <w:rPr>
          <w:lang w:val="en-US"/>
        </w:rPr>
        <w:t xml:space="preserve">. </w:t>
      </w:r>
      <w:r w:rsidR="00074E8C" w:rsidRPr="00813D19">
        <w:rPr>
          <w:lang w:val="en-US"/>
        </w:rPr>
        <w:t xml:space="preserve">Regarding the </w:t>
      </w:r>
      <w:r w:rsidR="00E04594" w:rsidRPr="00813D19">
        <w:rPr>
          <w:lang w:val="en-US"/>
        </w:rPr>
        <w:t xml:space="preserve">number of </w:t>
      </w:r>
      <w:r w:rsidR="00D9133D" w:rsidRPr="00813D19">
        <w:rPr>
          <w:lang w:val="en-US"/>
        </w:rPr>
        <w:t xml:space="preserve">steps </w:t>
      </w:r>
      <w:r w:rsidR="00E04594" w:rsidRPr="00813D19">
        <w:rPr>
          <w:lang w:val="en-US"/>
        </w:rPr>
        <w:t xml:space="preserve">that seem to be missing before and between the reception of </w:t>
      </w:r>
      <w:r w:rsidR="00D9133D" w:rsidRPr="00813D19">
        <w:rPr>
          <w:lang w:val="en-US"/>
        </w:rPr>
        <w:t xml:space="preserve">the </w:t>
      </w:r>
      <w:r w:rsidR="00E04594" w:rsidRPr="00813D19">
        <w:rPr>
          <w:lang w:val="en-US"/>
        </w:rPr>
        <w:t>letter and comments on the one hand</w:t>
      </w:r>
      <w:r w:rsidR="00D9133D" w:rsidRPr="00813D19">
        <w:rPr>
          <w:lang w:val="en-US"/>
        </w:rPr>
        <w:t>,</w:t>
      </w:r>
      <w:r w:rsidR="00E04594" w:rsidRPr="00813D19">
        <w:rPr>
          <w:lang w:val="en-US"/>
        </w:rPr>
        <w:t xml:space="preserve"> and the possible examination by the Secretariat, the Evaluation Body, the Bureau</w:t>
      </w:r>
      <w:r w:rsidR="00D9133D" w:rsidRPr="00813D19">
        <w:rPr>
          <w:lang w:val="en-US"/>
        </w:rPr>
        <w:t>,</w:t>
      </w:r>
      <w:r w:rsidR="00E04594" w:rsidRPr="00813D19">
        <w:rPr>
          <w:lang w:val="en-US"/>
        </w:rPr>
        <w:t xml:space="preserve"> or even the </w:t>
      </w:r>
      <w:r w:rsidR="00D9133D" w:rsidRPr="00813D19">
        <w:rPr>
          <w:lang w:val="en-US"/>
        </w:rPr>
        <w:t>C</w:t>
      </w:r>
      <w:r w:rsidR="00E04594" w:rsidRPr="00813D19">
        <w:rPr>
          <w:lang w:val="en-US"/>
        </w:rPr>
        <w:t>ommittee</w:t>
      </w:r>
      <w:r w:rsidR="00D9133D" w:rsidRPr="00813D19">
        <w:rPr>
          <w:lang w:val="en-US"/>
        </w:rPr>
        <w:t xml:space="preserve"> on the other, there is a </w:t>
      </w:r>
      <w:r w:rsidR="00E04594" w:rsidRPr="00813D19">
        <w:rPr>
          <w:lang w:val="en-US"/>
        </w:rPr>
        <w:t xml:space="preserve">whole </w:t>
      </w:r>
      <w:r w:rsidR="00D9133D" w:rsidRPr="00813D19">
        <w:rPr>
          <w:lang w:val="en-US"/>
        </w:rPr>
        <w:t>range</w:t>
      </w:r>
      <w:r w:rsidR="00E04594" w:rsidRPr="00813D19">
        <w:rPr>
          <w:lang w:val="en-US"/>
        </w:rPr>
        <w:t xml:space="preserve"> of </w:t>
      </w:r>
      <w:r w:rsidR="00D9133D" w:rsidRPr="00813D19">
        <w:rPr>
          <w:lang w:val="en-US"/>
        </w:rPr>
        <w:t xml:space="preserve">possible </w:t>
      </w:r>
      <w:r w:rsidR="00E04594" w:rsidRPr="00813D19">
        <w:rPr>
          <w:lang w:val="en-US"/>
        </w:rPr>
        <w:t xml:space="preserve">prevention, mediation and mitigation </w:t>
      </w:r>
      <w:r w:rsidR="00D9133D" w:rsidRPr="00813D19">
        <w:rPr>
          <w:lang w:val="en-US"/>
        </w:rPr>
        <w:t xml:space="preserve">stages </w:t>
      </w:r>
      <w:r w:rsidR="00E04594" w:rsidRPr="00813D19">
        <w:rPr>
          <w:lang w:val="en-US"/>
        </w:rPr>
        <w:t xml:space="preserve">that </w:t>
      </w:r>
      <w:r w:rsidR="00D9133D" w:rsidRPr="00813D19">
        <w:rPr>
          <w:lang w:val="en-US"/>
        </w:rPr>
        <w:t xml:space="preserve">could </w:t>
      </w:r>
      <w:r w:rsidR="00E04594" w:rsidRPr="00813D19">
        <w:rPr>
          <w:lang w:val="en-US"/>
        </w:rPr>
        <w:t>be developed in between</w:t>
      </w:r>
      <w:r w:rsidR="00D9133D" w:rsidRPr="00813D19">
        <w:rPr>
          <w:lang w:val="en-US"/>
        </w:rPr>
        <w:t>, as mentioned by the Netherlands</w:t>
      </w:r>
      <w:r w:rsidR="00E04594" w:rsidRPr="00813D19">
        <w:rPr>
          <w:lang w:val="en-US"/>
        </w:rPr>
        <w:t xml:space="preserve">. There are </w:t>
      </w:r>
      <w:r w:rsidR="00D9133D" w:rsidRPr="00813D19">
        <w:rPr>
          <w:lang w:val="en-US"/>
        </w:rPr>
        <w:t xml:space="preserve">thus </w:t>
      </w:r>
      <w:r w:rsidR="00E04594" w:rsidRPr="00813D19">
        <w:rPr>
          <w:lang w:val="en-US"/>
        </w:rPr>
        <w:t>several possibilities</w:t>
      </w:r>
      <w:r w:rsidR="00D9133D" w:rsidRPr="00813D19">
        <w:rPr>
          <w:lang w:val="en-US"/>
        </w:rPr>
        <w:t>,</w:t>
      </w:r>
      <w:r w:rsidR="00E04594" w:rsidRPr="00813D19">
        <w:rPr>
          <w:lang w:val="en-US"/>
        </w:rPr>
        <w:t xml:space="preserve"> and the first option </w:t>
      </w:r>
      <w:r w:rsidR="00D9133D" w:rsidRPr="00813D19">
        <w:rPr>
          <w:lang w:val="en-US"/>
        </w:rPr>
        <w:t xml:space="preserve">would be </w:t>
      </w:r>
      <w:r w:rsidR="00E04594" w:rsidRPr="00813D19">
        <w:rPr>
          <w:lang w:val="en-US"/>
        </w:rPr>
        <w:t xml:space="preserve">to start working on the interactive online platform with ethical </w:t>
      </w:r>
      <w:r w:rsidR="00D9133D" w:rsidRPr="00813D19">
        <w:rPr>
          <w:lang w:val="en-US"/>
        </w:rPr>
        <w:t xml:space="preserve">tools, which had </w:t>
      </w:r>
      <w:r w:rsidR="00E04594" w:rsidRPr="00813D19">
        <w:rPr>
          <w:lang w:val="en-US"/>
        </w:rPr>
        <w:t xml:space="preserve">already </w:t>
      </w:r>
      <w:r w:rsidR="00D9133D" w:rsidRPr="00813D19">
        <w:rPr>
          <w:lang w:val="en-US"/>
        </w:rPr>
        <w:t xml:space="preserve">been </w:t>
      </w:r>
      <w:r w:rsidR="00E04594" w:rsidRPr="00813D19">
        <w:rPr>
          <w:lang w:val="en-US"/>
        </w:rPr>
        <w:t xml:space="preserve">decided and requested by the </w:t>
      </w:r>
      <w:r w:rsidR="00D9133D" w:rsidRPr="00813D19">
        <w:rPr>
          <w:lang w:val="en-US"/>
        </w:rPr>
        <w:t>C</w:t>
      </w:r>
      <w:r w:rsidR="00E04594" w:rsidRPr="00813D19">
        <w:rPr>
          <w:lang w:val="en-US"/>
        </w:rPr>
        <w:t xml:space="preserve">ommittee in Windhoek </w:t>
      </w:r>
      <w:r w:rsidR="00D9133D" w:rsidRPr="00813D19">
        <w:rPr>
          <w:lang w:val="en-US"/>
        </w:rPr>
        <w:t xml:space="preserve">in 2015 </w:t>
      </w:r>
      <w:r w:rsidR="00E04594" w:rsidRPr="00813D19">
        <w:rPr>
          <w:lang w:val="en-US"/>
        </w:rPr>
        <w:t xml:space="preserve">in </w:t>
      </w:r>
      <w:r w:rsidR="00D9133D" w:rsidRPr="00813D19">
        <w:rPr>
          <w:lang w:val="en-US"/>
        </w:rPr>
        <w:t xml:space="preserve">its Decision </w:t>
      </w:r>
      <w:hyperlink r:id="rId78" w:history="1">
        <w:r w:rsidR="00D9133D" w:rsidRPr="00813D19">
          <w:rPr>
            <w:rStyle w:val="Hyperlink"/>
            <w:lang w:val="en-US"/>
          </w:rPr>
          <w:t>10.COM</w:t>
        </w:r>
        <w:r w:rsidR="00F611A5">
          <w:rPr>
            <w:rStyle w:val="Hyperlink"/>
            <w:lang w:val="en-US"/>
          </w:rPr>
          <w:t> </w:t>
        </w:r>
        <w:r w:rsidR="00D9133D" w:rsidRPr="00813D19">
          <w:rPr>
            <w:rStyle w:val="Hyperlink"/>
            <w:lang w:val="en-US"/>
          </w:rPr>
          <w:t>15.</w:t>
        </w:r>
        <w:r w:rsidR="00E04594" w:rsidRPr="00813D19">
          <w:rPr>
            <w:rStyle w:val="Hyperlink"/>
            <w:lang w:val="en-US"/>
          </w:rPr>
          <w:t>a</w:t>
        </w:r>
      </w:hyperlink>
      <w:r w:rsidR="00E04594" w:rsidRPr="00813D19">
        <w:rPr>
          <w:lang w:val="en-US"/>
        </w:rPr>
        <w:t xml:space="preserve">. </w:t>
      </w:r>
      <w:r w:rsidR="00D9133D" w:rsidRPr="00813D19">
        <w:rPr>
          <w:lang w:val="en-US"/>
        </w:rPr>
        <w:t xml:space="preserve">This </w:t>
      </w:r>
      <w:r w:rsidR="00E04594" w:rsidRPr="00813D19">
        <w:rPr>
          <w:lang w:val="en-US"/>
        </w:rPr>
        <w:t xml:space="preserve">would </w:t>
      </w:r>
      <w:r w:rsidR="00D9133D" w:rsidRPr="00813D19">
        <w:rPr>
          <w:lang w:val="en-US"/>
        </w:rPr>
        <w:t>help develop and share</w:t>
      </w:r>
      <w:r w:rsidR="00E04594" w:rsidRPr="00813D19">
        <w:rPr>
          <w:lang w:val="en-US"/>
        </w:rPr>
        <w:t xml:space="preserve"> a set of forms, documents or procedures</w:t>
      </w:r>
      <w:r w:rsidR="00D9133D" w:rsidRPr="00813D19">
        <w:rPr>
          <w:lang w:val="en-US"/>
        </w:rPr>
        <w:t xml:space="preserve">, much </w:t>
      </w:r>
      <w:r w:rsidR="00E04594" w:rsidRPr="00813D19">
        <w:rPr>
          <w:lang w:val="en-US"/>
        </w:rPr>
        <w:t>like the forms of prior informed consent</w:t>
      </w:r>
      <w:r w:rsidR="00D9133D" w:rsidRPr="00813D19">
        <w:rPr>
          <w:lang w:val="en-US"/>
        </w:rPr>
        <w:t>, as mentioned in Ethical Principle 4</w:t>
      </w:r>
      <w:r w:rsidR="00037967" w:rsidRPr="00813D19">
        <w:rPr>
          <w:rStyle w:val="FootnoteReference"/>
          <w:lang w:val="en-US"/>
        </w:rPr>
        <w:footnoteReference w:id="25"/>
      </w:r>
      <w:r w:rsidR="009D12B7" w:rsidRPr="00813D19">
        <w:rPr>
          <w:lang w:val="en-US"/>
        </w:rPr>
        <w:t>,</w:t>
      </w:r>
      <w:r w:rsidR="00D9133D" w:rsidRPr="00813D19">
        <w:rPr>
          <w:lang w:val="en-US"/>
        </w:rPr>
        <w:t xml:space="preserve"> and help </w:t>
      </w:r>
      <w:r w:rsidR="00E04594" w:rsidRPr="00813D19">
        <w:rPr>
          <w:lang w:val="en-US"/>
        </w:rPr>
        <w:t xml:space="preserve">avoid a number of problems </w:t>
      </w:r>
      <w:r w:rsidR="00D9133D" w:rsidRPr="00813D19">
        <w:rPr>
          <w:lang w:val="en-US"/>
        </w:rPr>
        <w:t xml:space="preserve">and </w:t>
      </w:r>
      <w:r w:rsidR="00037967" w:rsidRPr="00813D19">
        <w:rPr>
          <w:lang w:val="en-US"/>
        </w:rPr>
        <w:t xml:space="preserve">thus </w:t>
      </w:r>
      <w:r w:rsidR="00E04594" w:rsidRPr="00813D19">
        <w:rPr>
          <w:lang w:val="en-US"/>
        </w:rPr>
        <w:t xml:space="preserve">facilitate mediation. It would also be a way to involve NGOs and other stakeholders in finding solutions. </w:t>
      </w:r>
      <w:r w:rsidR="00D9133D" w:rsidRPr="00813D19">
        <w:rPr>
          <w:lang w:val="en-US"/>
        </w:rPr>
        <w:t xml:space="preserve">Thus, </w:t>
      </w:r>
      <w:r w:rsidR="00E04594" w:rsidRPr="00813D19">
        <w:rPr>
          <w:lang w:val="en-US"/>
        </w:rPr>
        <w:t xml:space="preserve">it would be important to find a </w:t>
      </w:r>
      <w:r w:rsidR="00D9133D" w:rsidRPr="00813D19">
        <w:rPr>
          <w:lang w:val="en-US"/>
        </w:rPr>
        <w:t xml:space="preserve">form of mediation, which </w:t>
      </w:r>
      <w:r w:rsidR="00E04594" w:rsidRPr="00813D19">
        <w:rPr>
          <w:lang w:val="en-US"/>
        </w:rPr>
        <w:t xml:space="preserve">could take the form </w:t>
      </w:r>
      <w:r w:rsidR="00037967" w:rsidRPr="00813D19">
        <w:rPr>
          <w:lang w:val="en-US"/>
        </w:rPr>
        <w:t xml:space="preserve">of </w:t>
      </w:r>
      <w:r w:rsidR="00E04594" w:rsidRPr="00813D19">
        <w:rPr>
          <w:lang w:val="en-US"/>
        </w:rPr>
        <w:t>an ethical committee or a number of mediation committees to try and solve problems in a lighter way</w:t>
      </w:r>
      <w:r w:rsidR="00D9133D" w:rsidRPr="00813D19">
        <w:rPr>
          <w:lang w:val="en-US"/>
        </w:rPr>
        <w:t xml:space="preserve"> that could involve</w:t>
      </w:r>
      <w:r w:rsidR="00E04594" w:rsidRPr="00813D19">
        <w:rPr>
          <w:lang w:val="en-US"/>
        </w:rPr>
        <w:t xml:space="preserve"> specialized mediators, NGOs and other actors without adding </w:t>
      </w:r>
      <w:r w:rsidR="00D9133D" w:rsidRPr="00813D19">
        <w:rPr>
          <w:lang w:val="en-US"/>
        </w:rPr>
        <w:t xml:space="preserve">to the burden of </w:t>
      </w:r>
      <w:r w:rsidR="00E04594" w:rsidRPr="00813D19">
        <w:rPr>
          <w:lang w:val="en-US"/>
        </w:rPr>
        <w:t xml:space="preserve">the Evaluation Body. </w:t>
      </w:r>
      <w:r w:rsidR="00D9133D" w:rsidRPr="00813D19">
        <w:rPr>
          <w:lang w:val="en-US"/>
        </w:rPr>
        <w:t>The delegation thus advocated for a lighter mediation structure</w:t>
      </w:r>
      <w:r w:rsidR="00E04594" w:rsidRPr="00813D19">
        <w:rPr>
          <w:lang w:val="en-US"/>
        </w:rPr>
        <w:t xml:space="preserve"> using the resources and wisdom available among the many actors working </w:t>
      </w:r>
      <w:r w:rsidR="00827329">
        <w:rPr>
          <w:lang w:val="en-US"/>
        </w:rPr>
        <w:t>o</w:t>
      </w:r>
      <w:r w:rsidR="00E04594" w:rsidRPr="00813D19">
        <w:rPr>
          <w:lang w:val="en-US"/>
        </w:rPr>
        <w:t>n the safeguarding of intangible cultural heritage</w:t>
      </w:r>
      <w:r w:rsidR="00D9133D" w:rsidRPr="00813D19">
        <w:rPr>
          <w:lang w:val="en-US"/>
        </w:rPr>
        <w:t>,</w:t>
      </w:r>
      <w:r w:rsidR="00E04594" w:rsidRPr="00813D19">
        <w:rPr>
          <w:lang w:val="en-US"/>
        </w:rPr>
        <w:t xml:space="preserve"> </w:t>
      </w:r>
      <w:r w:rsidR="00D9133D" w:rsidRPr="00813D19">
        <w:rPr>
          <w:lang w:val="en-US"/>
        </w:rPr>
        <w:t xml:space="preserve">while </w:t>
      </w:r>
      <w:r w:rsidR="00E04594" w:rsidRPr="00813D19">
        <w:rPr>
          <w:lang w:val="en-US"/>
        </w:rPr>
        <w:t>follow</w:t>
      </w:r>
      <w:r w:rsidR="00D9133D" w:rsidRPr="00813D19">
        <w:rPr>
          <w:lang w:val="en-US"/>
        </w:rPr>
        <w:t>ing</w:t>
      </w:r>
      <w:r w:rsidR="00E04594" w:rsidRPr="00813D19">
        <w:rPr>
          <w:lang w:val="en-US"/>
        </w:rPr>
        <w:t xml:space="preserve"> up on Decision 10.COM 15.a </w:t>
      </w:r>
      <w:r w:rsidR="00D9133D" w:rsidRPr="00813D19">
        <w:rPr>
          <w:lang w:val="en-US"/>
        </w:rPr>
        <w:t xml:space="preserve">in </w:t>
      </w:r>
      <w:r w:rsidR="00037967" w:rsidRPr="00813D19">
        <w:rPr>
          <w:lang w:val="en-US"/>
        </w:rPr>
        <w:t xml:space="preserve">its </w:t>
      </w:r>
      <w:r w:rsidR="00D9133D" w:rsidRPr="00813D19">
        <w:rPr>
          <w:lang w:val="en-US"/>
        </w:rPr>
        <w:t xml:space="preserve">paragraphs </w:t>
      </w:r>
      <w:r w:rsidR="00E41386">
        <w:rPr>
          <w:lang w:val="en-US"/>
        </w:rPr>
        <w:t>9 and 10.</w:t>
      </w:r>
    </w:p>
    <w:p w14:paraId="14010AB3" w14:textId="4B51E8B7" w:rsidR="007D477F" w:rsidRPr="00813D19" w:rsidRDefault="007D477F" w:rsidP="00A63E07">
      <w:pPr>
        <w:pStyle w:val="Orateurengris"/>
        <w:spacing w:before="120"/>
        <w:ind w:left="709" w:hanging="709"/>
        <w:rPr>
          <w:lang w:val="en-US"/>
        </w:rPr>
      </w:pPr>
      <w:r w:rsidRPr="00813D19">
        <w:rPr>
          <w:lang w:val="en-US"/>
        </w:rPr>
        <w:t xml:space="preserve">The </w:t>
      </w:r>
      <w:r w:rsidRPr="00813D19">
        <w:rPr>
          <w:b/>
          <w:lang w:val="en-US"/>
        </w:rPr>
        <w:t>delegation of Armenia</w:t>
      </w:r>
      <w:r w:rsidR="00E04594" w:rsidRPr="00813D19">
        <w:rPr>
          <w:b/>
          <w:lang w:val="en-US"/>
        </w:rPr>
        <w:t xml:space="preserve"> </w:t>
      </w:r>
      <w:r w:rsidR="00E04594" w:rsidRPr="00813D19">
        <w:rPr>
          <w:lang w:val="en-US"/>
        </w:rPr>
        <w:t>join</w:t>
      </w:r>
      <w:r w:rsidR="00BA3A87" w:rsidRPr="00813D19">
        <w:rPr>
          <w:lang w:val="en-US"/>
        </w:rPr>
        <w:t>ed</w:t>
      </w:r>
      <w:r w:rsidR="00E04594" w:rsidRPr="00813D19">
        <w:rPr>
          <w:lang w:val="en-US"/>
        </w:rPr>
        <w:t xml:space="preserve"> </w:t>
      </w:r>
      <w:r w:rsidR="00BA3A87" w:rsidRPr="00813D19">
        <w:rPr>
          <w:lang w:val="en-US"/>
        </w:rPr>
        <w:t xml:space="preserve">in the remarks made by Austria, adding that </w:t>
      </w:r>
      <w:r w:rsidR="00E04594" w:rsidRPr="00813D19">
        <w:rPr>
          <w:lang w:val="en-US"/>
        </w:rPr>
        <w:t>culture</w:t>
      </w:r>
      <w:r w:rsidR="00BA3A87" w:rsidRPr="00813D19">
        <w:rPr>
          <w:lang w:val="en-US"/>
        </w:rPr>
        <w:t>,</w:t>
      </w:r>
      <w:r w:rsidR="00E04594" w:rsidRPr="00813D19">
        <w:rPr>
          <w:lang w:val="en-US"/>
        </w:rPr>
        <w:t xml:space="preserve"> especially intangible cultural heritage</w:t>
      </w:r>
      <w:r w:rsidR="00BA3A87" w:rsidRPr="00813D19">
        <w:rPr>
          <w:lang w:val="en-US"/>
        </w:rPr>
        <w:t>,</w:t>
      </w:r>
      <w:r w:rsidR="00E04594" w:rsidRPr="00813D19">
        <w:rPr>
          <w:lang w:val="en-US"/>
        </w:rPr>
        <w:t xml:space="preserve"> is a tool to bring about peaceful global transformation</w:t>
      </w:r>
      <w:r w:rsidR="00BA3A87" w:rsidRPr="00813D19">
        <w:rPr>
          <w:lang w:val="en-US"/>
        </w:rPr>
        <w:t>,</w:t>
      </w:r>
      <w:r w:rsidR="00E04594" w:rsidRPr="00813D19">
        <w:rPr>
          <w:lang w:val="en-US"/>
        </w:rPr>
        <w:t xml:space="preserve"> and to preserve and to pass the unique customs, traditions and national cultural expressions </w:t>
      </w:r>
      <w:r w:rsidR="00BA3A87" w:rsidRPr="00813D19">
        <w:rPr>
          <w:lang w:val="en-US"/>
        </w:rPr>
        <w:t xml:space="preserve">to future generations </w:t>
      </w:r>
      <w:r w:rsidR="00E04594" w:rsidRPr="00813D19">
        <w:rPr>
          <w:lang w:val="en-US"/>
        </w:rPr>
        <w:t xml:space="preserve">that would otherwise </w:t>
      </w:r>
      <w:r w:rsidR="00BA3A87" w:rsidRPr="00813D19">
        <w:rPr>
          <w:lang w:val="en-US"/>
        </w:rPr>
        <w:t xml:space="preserve">have </w:t>
      </w:r>
      <w:r w:rsidR="00E04594" w:rsidRPr="00813D19">
        <w:rPr>
          <w:lang w:val="en-US"/>
        </w:rPr>
        <w:t xml:space="preserve">disappeared. The role of the bearers in the communities </w:t>
      </w:r>
      <w:r w:rsidR="00BA3A87" w:rsidRPr="00813D19">
        <w:rPr>
          <w:lang w:val="en-US"/>
        </w:rPr>
        <w:t xml:space="preserve">was thus </w:t>
      </w:r>
      <w:r w:rsidR="00E04594" w:rsidRPr="00813D19">
        <w:rPr>
          <w:lang w:val="en-US"/>
        </w:rPr>
        <w:t xml:space="preserve">crucial and important. </w:t>
      </w:r>
      <w:r w:rsidR="00234C56" w:rsidRPr="00813D19">
        <w:rPr>
          <w:lang w:val="en-US"/>
        </w:rPr>
        <w:t xml:space="preserve">The delegation also wished to see more scrupulous </w:t>
      </w:r>
      <w:r w:rsidR="00E04594" w:rsidRPr="00813D19">
        <w:rPr>
          <w:lang w:val="en-US"/>
        </w:rPr>
        <w:t xml:space="preserve">screening </w:t>
      </w:r>
      <w:r w:rsidR="00234C56" w:rsidRPr="00813D19">
        <w:rPr>
          <w:lang w:val="en-US"/>
        </w:rPr>
        <w:t xml:space="preserve">of </w:t>
      </w:r>
      <w:r w:rsidR="00E04594" w:rsidRPr="00813D19">
        <w:rPr>
          <w:lang w:val="en-US"/>
        </w:rPr>
        <w:t>the nomination files</w:t>
      </w:r>
      <w:r w:rsidR="00234C56" w:rsidRPr="00813D19">
        <w:rPr>
          <w:lang w:val="en-US"/>
        </w:rPr>
        <w:t xml:space="preserve"> so as to avoid receiving </w:t>
      </w:r>
      <w:r w:rsidR="00E04594" w:rsidRPr="00813D19">
        <w:rPr>
          <w:lang w:val="en-US"/>
        </w:rPr>
        <w:t>negative opinions</w:t>
      </w:r>
      <w:r w:rsidR="00234C56" w:rsidRPr="00813D19">
        <w:rPr>
          <w:lang w:val="en-US"/>
        </w:rPr>
        <w:t>,</w:t>
      </w:r>
      <w:r w:rsidR="00E04594" w:rsidRPr="00813D19">
        <w:rPr>
          <w:lang w:val="en-US"/>
        </w:rPr>
        <w:t xml:space="preserve"> especially </w:t>
      </w:r>
      <w:r w:rsidR="00234C56" w:rsidRPr="00813D19">
        <w:rPr>
          <w:lang w:val="en-US"/>
        </w:rPr>
        <w:t xml:space="preserve">when the </w:t>
      </w:r>
      <w:r w:rsidR="00E04594" w:rsidRPr="00813D19">
        <w:rPr>
          <w:lang w:val="en-US"/>
        </w:rPr>
        <w:t xml:space="preserve">communications </w:t>
      </w:r>
      <w:r w:rsidR="00234C56" w:rsidRPr="00813D19">
        <w:rPr>
          <w:lang w:val="en-US"/>
        </w:rPr>
        <w:t xml:space="preserve">come </w:t>
      </w:r>
      <w:r w:rsidR="00E04594" w:rsidRPr="00813D19">
        <w:rPr>
          <w:lang w:val="en-US"/>
        </w:rPr>
        <w:t xml:space="preserve">from public NGOs or from one or more States, </w:t>
      </w:r>
      <w:r w:rsidR="00234C56" w:rsidRPr="00813D19">
        <w:rPr>
          <w:lang w:val="en-US"/>
        </w:rPr>
        <w:t xml:space="preserve">which should serve as a warning </w:t>
      </w:r>
      <w:r w:rsidR="00E04594" w:rsidRPr="00813D19">
        <w:rPr>
          <w:lang w:val="en-US"/>
        </w:rPr>
        <w:t>alarm for the Evalu</w:t>
      </w:r>
      <w:r w:rsidR="00E41386">
        <w:rPr>
          <w:lang w:val="en-US"/>
        </w:rPr>
        <w:t>ating Body and the Secretariat.</w:t>
      </w:r>
    </w:p>
    <w:p w14:paraId="45727358" w14:textId="777C3169" w:rsidR="00234C56" w:rsidRPr="00813D19" w:rsidRDefault="00B94DA5" w:rsidP="00A63E07">
      <w:pPr>
        <w:pStyle w:val="Orateurengris"/>
        <w:spacing w:before="120"/>
        <w:ind w:left="709" w:hanging="709"/>
        <w:rPr>
          <w:lang w:val="en-US"/>
        </w:rPr>
      </w:pPr>
      <w:r w:rsidRPr="00813D19">
        <w:rPr>
          <w:lang w:val="en-US"/>
        </w:rPr>
        <w:t xml:space="preserve">The </w:t>
      </w:r>
      <w:r w:rsidRPr="00813D19">
        <w:rPr>
          <w:b/>
          <w:lang w:val="en-US"/>
        </w:rPr>
        <w:t>delegation of Senegal</w:t>
      </w:r>
      <w:r w:rsidRPr="00813D19">
        <w:rPr>
          <w:lang w:val="en-US"/>
        </w:rPr>
        <w:t xml:space="preserve"> </w:t>
      </w:r>
      <w:r w:rsidR="00234C56" w:rsidRPr="00813D19">
        <w:rPr>
          <w:lang w:val="en-US"/>
        </w:rPr>
        <w:t xml:space="preserve">thanked the Secretariat for </w:t>
      </w:r>
      <w:r w:rsidR="00425954" w:rsidRPr="00813D19">
        <w:rPr>
          <w:lang w:val="en-US"/>
        </w:rPr>
        <w:t xml:space="preserve">tackling </w:t>
      </w:r>
      <w:r w:rsidR="00234C56" w:rsidRPr="00813D19">
        <w:rPr>
          <w:lang w:val="en-US"/>
        </w:rPr>
        <w:t xml:space="preserve">this important issue in the implementation of the Convention. The monitoring mechanism is indeed a tool for evaluating elements already inscribed on the Representative List, which </w:t>
      </w:r>
      <w:r w:rsidR="00150869" w:rsidRPr="00813D19">
        <w:rPr>
          <w:lang w:val="en-US"/>
        </w:rPr>
        <w:t>was essential</w:t>
      </w:r>
      <w:r w:rsidR="00425954" w:rsidRPr="00813D19">
        <w:rPr>
          <w:lang w:val="en-US"/>
        </w:rPr>
        <w:t xml:space="preserve"> and should therefore be </w:t>
      </w:r>
      <w:r w:rsidR="00234C56" w:rsidRPr="00813D19">
        <w:rPr>
          <w:lang w:val="en-US"/>
        </w:rPr>
        <w:t>entrust</w:t>
      </w:r>
      <w:r w:rsidR="00425954" w:rsidRPr="00813D19">
        <w:rPr>
          <w:lang w:val="en-US"/>
        </w:rPr>
        <w:t>ed</w:t>
      </w:r>
      <w:r w:rsidR="00234C56" w:rsidRPr="00813D19">
        <w:rPr>
          <w:lang w:val="en-US"/>
        </w:rPr>
        <w:t xml:space="preserve"> to a working group body </w:t>
      </w:r>
      <w:r w:rsidR="00425954" w:rsidRPr="00813D19">
        <w:rPr>
          <w:lang w:val="en-US"/>
        </w:rPr>
        <w:t xml:space="preserve">so as </w:t>
      </w:r>
      <w:r w:rsidR="00234C56" w:rsidRPr="00813D19">
        <w:rPr>
          <w:lang w:val="en-US"/>
        </w:rPr>
        <w:t xml:space="preserve">to </w:t>
      </w:r>
      <w:r w:rsidR="00425954" w:rsidRPr="00813D19">
        <w:rPr>
          <w:lang w:val="en-US"/>
        </w:rPr>
        <w:t xml:space="preserve">advance </w:t>
      </w:r>
      <w:r w:rsidR="00234C56" w:rsidRPr="00813D19">
        <w:rPr>
          <w:lang w:val="en-US"/>
        </w:rPr>
        <w:t xml:space="preserve">the issue. </w:t>
      </w:r>
      <w:r w:rsidR="00425954" w:rsidRPr="00813D19">
        <w:rPr>
          <w:lang w:val="en-US"/>
        </w:rPr>
        <w:t xml:space="preserve">The delegation felt that it was also </w:t>
      </w:r>
      <w:r w:rsidR="00234C56" w:rsidRPr="00813D19">
        <w:rPr>
          <w:lang w:val="en-US"/>
        </w:rPr>
        <w:t xml:space="preserve">important to </w:t>
      </w:r>
      <w:r w:rsidR="00425954" w:rsidRPr="00813D19">
        <w:rPr>
          <w:lang w:val="en-US"/>
        </w:rPr>
        <w:t xml:space="preserve">recall </w:t>
      </w:r>
      <w:r w:rsidR="00234C56" w:rsidRPr="00813D19">
        <w:rPr>
          <w:lang w:val="en-US"/>
        </w:rPr>
        <w:t xml:space="preserve">that the </w:t>
      </w:r>
      <w:r w:rsidR="00425954" w:rsidRPr="00813D19">
        <w:rPr>
          <w:lang w:val="en-US"/>
        </w:rPr>
        <w:t xml:space="preserve">communities, the </w:t>
      </w:r>
      <w:r w:rsidR="00234C56" w:rsidRPr="00813D19">
        <w:rPr>
          <w:lang w:val="en-US"/>
        </w:rPr>
        <w:t>custodian</w:t>
      </w:r>
      <w:r w:rsidR="00425954" w:rsidRPr="00813D19">
        <w:rPr>
          <w:lang w:val="en-US"/>
        </w:rPr>
        <w:t>s of intangible cultural heritage,</w:t>
      </w:r>
      <w:r w:rsidR="00234C56" w:rsidRPr="00813D19">
        <w:rPr>
          <w:lang w:val="en-US"/>
        </w:rPr>
        <w:t xml:space="preserve"> have an internal system </w:t>
      </w:r>
      <w:r w:rsidR="00425954" w:rsidRPr="00813D19">
        <w:rPr>
          <w:lang w:val="en-US"/>
        </w:rPr>
        <w:t>to regulate and manage</w:t>
      </w:r>
      <w:r w:rsidR="00234C56" w:rsidRPr="00813D19">
        <w:rPr>
          <w:lang w:val="en-US"/>
        </w:rPr>
        <w:t xml:space="preserve"> the element and that any mechanism </w:t>
      </w:r>
      <w:r w:rsidR="00425954" w:rsidRPr="00813D19">
        <w:rPr>
          <w:lang w:val="en-US"/>
        </w:rPr>
        <w:t xml:space="preserve">must </w:t>
      </w:r>
      <w:r w:rsidR="00234C56" w:rsidRPr="00813D19">
        <w:rPr>
          <w:lang w:val="en-US"/>
        </w:rPr>
        <w:t xml:space="preserve">take this into account. It </w:t>
      </w:r>
      <w:r w:rsidR="00425954" w:rsidRPr="00813D19">
        <w:rPr>
          <w:lang w:val="en-US"/>
        </w:rPr>
        <w:t xml:space="preserve">was also important for the Secretariat to pay due attention and adequately </w:t>
      </w:r>
      <w:r w:rsidR="00A24053" w:rsidRPr="00813D19">
        <w:rPr>
          <w:lang w:val="en-US"/>
        </w:rPr>
        <w:t>screen</w:t>
      </w:r>
      <w:r w:rsidR="00234C56" w:rsidRPr="00813D19">
        <w:rPr>
          <w:lang w:val="en-US"/>
        </w:rPr>
        <w:t xml:space="preserve"> </w:t>
      </w:r>
      <w:r w:rsidR="00425954" w:rsidRPr="00813D19">
        <w:rPr>
          <w:lang w:val="en-US"/>
        </w:rPr>
        <w:t xml:space="preserve">any </w:t>
      </w:r>
      <w:r w:rsidR="00813D19" w:rsidRPr="00813D19">
        <w:rPr>
          <w:lang w:val="en-US"/>
        </w:rPr>
        <w:t>correspondence</w:t>
      </w:r>
      <w:r w:rsidR="00234C56" w:rsidRPr="00813D19">
        <w:rPr>
          <w:lang w:val="en-US"/>
        </w:rPr>
        <w:t>.</w:t>
      </w:r>
    </w:p>
    <w:p w14:paraId="1A1FE7FE" w14:textId="68A4B169" w:rsidR="00AA063D" w:rsidRPr="00813D19" w:rsidRDefault="007E684E" w:rsidP="00AA063D">
      <w:pPr>
        <w:pStyle w:val="Orateurengris"/>
        <w:spacing w:before="120"/>
        <w:ind w:left="709" w:hanging="709"/>
        <w:rPr>
          <w:lang w:val="en-US"/>
        </w:rPr>
      </w:pPr>
      <w:r w:rsidRPr="00813D19">
        <w:rPr>
          <w:lang w:val="en-US"/>
        </w:rPr>
        <w:t xml:space="preserve">The </w:t>
      </w:r>
      <w:r w:rsidRPr="00813D19">
        <w:rPr>
          <w:b/>
          <w:lang w:val="en-US"/>
        </w:rPr>
        <w:t>delegation of Algeria</w:t>
      </w:r>
      <w:r w:rsidR="00E04594" w:rsidRPr="00813D19">
        <w:rPr>
          <w:b/>
          <w:lang w:val="en-US"/>
        </w:rPr>
        <w:t xml:space="preserve"> </w:t>
      </w:r>
      <w:r w:rsidR="00AA063D" w:rsidRPr="00813D19">
        <w:rPr>
          <w:lang w:val="en-US"/>
        </w:rPr>
        <w:t>had a</w:t>
      </w:r>
      <w:r w:rsidR="00AA063D" w:rsidRPr="00813D19">
        <w:rPr>
          <w:b/>
          <w:lang w:val="en-US"/>
        </w:rPr>
        <w:t xml:space="preserve"> </w:t>
      </w:r>
      <w:r w:rsidR="00425954" w:rsidRPr="00813D19">
        <w:rPr>
          <w:lang w:val="en-US"/>
        </w:rPr>
        <w:t xml:space="preserve">few </w:t>
      </w:r>
      <w:r w:rsidR="00AA063D" w:rsidRPr="00813D19">
        <w:rPr>
          <w:lang w:val="en-US"/>
        </w:rPr>
        <w:t>comments to add to earlier remarks made on the subject</w:t>
      </w:r>
      <w:r w:rsidR="00425954" w:rsidRPr="00813D19">
        <w:rPr>
          <w:lang w:val="en-US"/>
        </w:rPr>
        <w:t xml:space="preserve"> </w:t>
      </w:r>
      <w:r w:rsidR="00AA063D" w:rsidRPr="00813D19">
        <w:rPr>
          <w:lang w:val="en-US"/>
        </w:rPr>
        <w:t xml:space="preserve">of the </w:t>
      </w:r>
      <w:r w:rsidR="00425954" w:rsidRPr="00813D19">
        <w:rPr>
          <w:lang w:val="en-US"/>
        </w:rPr>
        <w:t xml:space="preserve">evaluation and </w:t>
      </w:r>
      <w:r w:rsidR="00763C37" w:rsidRPr="00813D19">
        <w:rPr>
          <w:lang w:val="en-US"/>
        </w:rPr>
        <w:t xml:space="preserve">monitoring </w:t>
      </w:r>
      <w:r w:rsidR="00425954" w:rsidRPr="00813D19">
        <w:rPr>
          <w:lang w:val="en-US"/>
        </w:rPr>
        <w:t xml:space="preserve">of </w:t>
      </w:r>
      <w:r w:rsidR="00AA063D" w:rsidRPr="00813D19">
        <w:rPr>
          <w:lang w:val="en-US"/>
        </w:rPr>
        <w:t xml:space="preserve">inscribed </w:t>
      </w:r>
      <w:r w:rsidR="00425954" w:rsidRPr="00813D19">
        <w:rPr>
          <w:lang w:val="en-US"/>
        </w:rPr>
        <w:t>elements</w:t>
      </w:r>
      <w:r w:rsidR="00AA063D" w:rsidRPr="00813D19">
        <w:rPr>
          <w:lang w:val="en-US"/>
        </w:rPr>
        <w:t xml:space="preserve"> and wondered whether it was possible </w:t>
      </w:r>
      <w:r w:rsidR="00827329">
        <w:rPr>
          <w:lang w:val="en-US"/>
        </w:rPr>
        <w:t>for</w:t>
      </w:r>
      <w:r w:rsidR="00AA063D" w:rsidRPr="00813D19">
        <w:rPr>
          <w:lang w:val="en-US"/>
        </w:rPr>
        <w:t xml:space="preserve"> the Secretariat, without adding to </w:t>
      </w:r>
      <w:r w:rsidR="00763C37" w:rsidRPr="00813D19">
        <w:rPr>
          <w:lang w:val="en-US"/>
        </w:rPr>
        <w:t>its</w:t>
      </w:r>
      <w:r w:rsidR="00AA063D" w:rsidRPr="00813D19">
        <w:rPr>
          <w:lang w:val="en-US"/>
        </w:rPr>
        <w:t xml:space="preserve"> burden, </w:t>
      </w:r>
      <w:r w:rsidR="00827329">
        <w:rPr>
          <w:lang w:val="en-US"/>
        </w:rPr>
        <w:t>to</w:t>
      </w:r>
      <w:r w:rsidR="00827329" w:rsidRPr="00813D19">
        <w:rPr>
          <w:lang w:val="en-US"/>
        </w:rPr>
        <w:t xml:space="preserve"> </w:t>
      </w:r>
      <w:r w:rsidR="00AA063D" w:rsidRPr="00813D19">
        <w:rPr>
          <w:lang w:val="en-US"/>
        </w:rPr>
        <w:t xml:space="preserve">develop an online questionnaire on this subject such that the survey of opinion among States Parties could be prepared prior to </w:t>
      </w:r>
      <w:r w:rsidR="00150869" w:rsidRPr="00813D19">
        <w:rPr>
          <w:lang w:val="en-US"/>
        </w:rPr>
        <w:t xml:space="preserve">the </w:t>
      </w:r>
      <w:r w:rsidR="00AA063D" w:rsidRPr="00813D19">
        <w:rPr>
          <w:lang w:val="en-US"/>
        </w:rPr>
        <w:t xml:space="preserve">open-ended working group meeting. </w:t>
      </w:r>
      <w:r w:rsidR="00606B07" w:rsidRPr="00813D19">
        <w:rPr>
          <w:lang w:val="en-US"/>
        </w:rPr>
        <w:t xml:space="preserve">The delegation also wished to know whether the legal texts of the Committee and the Convention would have to be changed </w:t>
      </w:r>
      <w:r w:rsidR="00AA063D" w:rsidRPr="00813D19">
        <w:rPr>
          <w:lang w:val="en-US"/>
        </w:rPr>
        <w:t xml:space="preserve">once </w:t>
      </w:r>
      <w:r w:rsidR="00606B07" w:rsidRPr="00813D19">
        <w:rPr>
          <w:lang w:val="en-US"/>
        </w:rPr>
        <w:t xml:space="preserve">the </w:t>
      </w:r>
      <w:r w:rsidR="00AA063D" w:rsidRPr="00813D19">
        <w:rPr>
          <w:lang w:val="en-US"/>
        </w:rPr>
        <w:t xml:space="preserve">proposals on the follow-up of </w:t>
      </w:r>
      <w:r w:rsidR="00606B07" w:rsidRPr="00813D19">
        <w:rPr>
          <w:lang w:val="en-US"/>
        </w:rPr>
        <w:t xml:space="preserve">the inscribed </w:t>
      </w:r>
      <w:r w:rsidR="00AA063D" w:rsidRPr="00813D19">
        <w:rPr>
          <w:lang w:val="en-US"/>
        </w:rPr>
        <w:t xml:space="preserve">elements inscribed </w:t>
      </w:r>
      <w:r w:rsidR="00606B07" w:rsidRPr="00813D19">
        <w:rPr>
          <w:lang w:val="en-US"/>
        </w:rPr>
        <w:t xml:space="preserve">on </w:t>
      </w:r>
      <w:r w:rsidR="00AA063D" w:rsidRPr="00813D19">
        <w:rPr>
          <w:lang w:val="en-US"/>
        </w:rPr>
        <w:t xml:space="preserve">the </w:t>
      </w:r>
      <w:r w:rsidR="00606B07" w:rsidRPr="00813D19">
        <w:rPr>
          <w:lang w:val="en-US"/>
        </w:rPr>
        <w:t xml:space="preserve">List </w:t>
      </w:r>
      <w:r w:rsidR="00827329">
        <w:rPr>
          <w:lang w:val="en-US"/>
        </w:rPr>
        <w:t>had been</w:t>
      </w:r>
      <w:r w:rsidR="00827329" w:rsidRPr="00813D19">
        <w:rPr>
          <w:lang w:val="en-US"/>
        </w:rPr>
        <w:t xml:space="preserve"> </w:t>
      </w:r>
      <w:r w:rsidR="00606B07" w:rsidRPr="00813D19">
        <w:rPr>
          <w:lang w:val="en-US"/>
        </w:rPr>
        <w:t>adopted</w:t>
      </w:r>
      <w:r w:rsidR="00150869" w:rsidRPr="00813D19">
        <w:rPr>
          <w:lang w:val="en-US"/>
        </w:rPr>
        <w:t>,</w:t>
      </w:r>
      <w:r w:rsidR="00606B07" w:rsidRPr="00813D19">
        <w:rPr>
          <w:lang w:val="en-US"/>
        </w:rPr>
        <w:t xml:space="preserve"> given the </w:t>
      </w:r>
      <w:r w:rsidR="00AA063D" w:rsidRPr="00813D19">
        <w:rPr>
          <w:lang w:val="en-US"/>
        </w:rPr>
        <w:t xml:space="preserve">legal implications that </w:t>
      </w:r>
      <w:r w:rsidR="00606B07" w:rsidRPr="00813D19">
        <w:rPr>
          <w:lang w:val="en-US"/>
        </w:rPr>
        <w:t xml:space="preserve">would result, as this </w:t>
      </w:r>
      <w:r w:rsidR="00763C37" w:rsidRPr="00813D19">
        <w:rPr>
          <w:lang w:val="en-US"/>
        </w:rPr>
        <w:t xml:space="preserve">should </w:t>
      </w:r>
      <w:r w:rsidR="00606B07" w:rsidRPr="00813D19">
        <w:rPr>
          <w:lang w:val="en-US"/>
        </w:rPr>
        <w:t xml:space="preserve">also be taken into consideration at the time of </w:t>
      </w:r>
      <w:r w:rsidR="00AA063D" w:rsidRPr="00813D19">
        <w:rPr>
          <w:lang w:val="en-US"/>
        </w:rPr>
        <w:t>adopt</w:t>
      </w:r>
      <w:r w:rsidR="00606B07" w:rsidRPr="00813D19">
        <w:rPr>
          <w:lang w:val="en-US"/>
        </w:rPr>
        <w:t>ion</w:t>
      </w:r>
      <w:r w:rsidR="00AA063D" w:rsidRPr="00813D19">
        <w:rPr>
          <w:lang w:val="en-US"/>
        </w:rPr>
        <w:t xml:space="preserve">. </w:t>
      </w:r>
      <w:r w:rsidR="00763C37" w:rsidRPr="00813D19">
        <w:rPr>
          <w:lang w:val="en-US"/>
        </w:rPr>
        <w:t xml:space="preserve">With regard to </w:t>
      </w:r>
      <w:r w:rsidR="00AA063D" w:rsidRPr="00813D19">
        <w:rPr>
          <w:lang w:val="en-US"/>
        </w:rPr>
        <w:t>monitoring</w:t>
      </w:r>
      <w:r w:rsidR="00763C37" w:rsidRPr="00813D19">
        <w:rPr>
          <w:lang w:val="en-US"/>
        </w:rPr>
        <w:t>, the delegation wished to know how this would be done, but that in any case it was essential</w:t>
      </w:r>
      <w:r w:rsidR="00827329">
        <w:rPr>
          <w:lang w:val="en-US"/>
        </w:rPr>
        <w:t xml:space="preserve"> for</w:t>
      </w:r>
      <w:r w:rsidR="00763C37" w:rsidRPr="00813D19">
        <w:rPr>
          <w:lang w:val="en-US"/>
        </w:rPr>
        <w:t xml:space="preserve"> the communities </w:t>
      </w:r>
      <w:r w:rsidR="00827329">
        <w:rPr>
          <w:lang w:val="en-US"/>
        </w:rPr>
        <w:t>to be</w:t>
      </w:r>
      <w:r w:rsidR="00150869" w:rsidRPr="00813D19">
        <w:rPr>
          <w:lang w:val="en-US"/>
        </w:rPr>
        <w:t xml:space="preserve"> involved. Also, </w:t>
      </w:r>
      <w:r w:rsidR="00763C37" w:rsidRPr="00813D19">
        <w:rPr>
          <w:lang w:val="en-US"/>
        </w:rPr>
        <w:t xml:space="preserve">to avoid any form of politicization, it might be necessary to limit the representatives to those who are directly affected by the inscription, i.e. those who participated in the inscription process and who are involved and represent the whole community. In addition, the Committee should be given the opportunity to initiate a field investigation to determine the extent of damage to a listed element, which could be carried out </w:t>
      </w:r>
      <w:r w:rsidR="00EF0214" w:rsidRPr="00813D19">
        <w:rPr>
          <w:lang w:val="en-US"/>
        </w:rPr>
        <w:t xml:space="preserve">by </w:t>
      </w:r>
      <w:r w:rsidR="00763C37" w:rsidRPr="00813D19">
        <w:rPr>
          <w:lang w:val="en-US"/>
        </w:rPr>
        <w:t xml:space="preserve">category 2 institutes, facilitators or </w:t>
      </w:r>
      <w:r w:rsidR="00EF0214" w:rsidRPr="00813D19">
        <w:rPr>
          <w:lang w:val="en-US"/>
        </w:rPr>
        <w:t>other stakeholders</w:t>
      </w:r>
      <w:r w:rsidR="00763C37" w:rsidRPr="00813D19">
        <w:rPr>
          <w:lang w:val="en-US"/>
        </w:rPr>
        <w:t xml:space="preserve">, but </w:t>
      </w:r>
      <w:r w:rsidR="00EF0214" w:rsidRPr="00813D19">
        <w:rPr>
          <w:lang w:val="en-US"/>
        </w:rPr>
        <w:t xml:space="preserve">that </w:t>
      </w:r>
      <w:r w:rsidR="00763C37" w:rsidRPr="00813D19">
        <w:rPr>
          <w:lang w:val="en-US"/>
        </w:rPr>
        <w:t xml:space="preserve">a field survey could be a good solution </w:t>
      </w:r>
      <w:r w:rsidR="00EF0214" w:rsidRPr="00813D19">
        <w:rPr>
          <w:lang w:val="en-US"/>
        </w:rPr>
        <w:t>in such a situation</w:t>
      </w:r>
      <w:r w:rsidR="00763C37" w:rsidRPr="00813D19">
        <w:rPr>
          <w:lang w:val="en-US"/>
        </w:rPr>
        <w:t>.</w:t>
      </w:r>
    </w:p>
    <w:p w14:paraId="2641DB32" w14:textId="74C71758" w:rsidR="00C060DC" w:rsidRPr="00813D19" w:rsidRDefault="00C060DC" w:rsidP="00A63E07">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763C37" w:rsidRPr="00813D19">
        <w:rPr>
          <w:lang w:val="en-US"/>
        </w:rPr>
        <w:t>asked the Secretariat to shed light on the few points raised by Algeria</w:t>
      </w:r>
      <w:r w:rsidR="00E41386">
        <w:rPr>
          <w:lang w:val="en-US"/>
        </w:rPr>
        <w:t>.</w:t>
      </w:r>
    </w:p>
    <w:p w14:paraId="0ECC59F5" w14:textId="7C3B2431" w:rsidR="00C060DC" w:rsidRPr="00813D19" w:rsidRDefault="00C060DC" w:rsidP="00A63E07">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D128DC" w:rsidRPr="00813D19">
        <w:rPr>
          <w:bCs/>
          <w:lang w:val="en-US"/>
        </w:rPr>
        <w:t>thank</w:t>
      </w:r>
      <w:r w:rsidR="00A24053" w:rsidRPr="00813D19">
        <w:rPr>
          <w:bCs/>
          <w:lang w:val="en-US"/>
        </w:rPr>
        <w:t>ed</w:t>
      </w:r>
      <w:r w:rsidR="00D128DC" w:rsidRPr="00813D19">
        <w:rPr>
          <w:bCs/>
          <w:lang w:val="en-US"/>
        </w:rPr>
        <w:t xml:space="preserve"> all the delegates who </w:t>
      </w:r>
      <w:r w:rsidR="00A44FEC">
        <w:rPr>
          <w:bCs/>
          <w:lang w:val="en-US"/>
        </w:rPr>
        <w:t xml:space="preserve">had </w:t>
      </w:r>
      <w:r w:rsidR="00D128DC" w:rsidRPr="00813D19">
        <w:rPr>
          <w:bCs/>
          <w:lang w:val="en-US"/>
        </w:rPr>
        <w:t xml:space="preserve">intervened </w:t>
      </w:r>
      <w:r w:rsidR="00A24053" w:rsidRPr="00813D19">
        <w:rPr>
          <w:bCs/>
          <w:lang w:val="en-US"/>
        </w:rPr>
        <w:t>and had raised</w:t>
      </w:r>
      <w:r w:rsidR="00D128DC" w:rsidRPr="00813D19">
        <w:rPr>
          <w:bCs/>
          <w:lang w:val="en-US"/>
        </w:rPr>
        <w:t xml:space="preserve"> multiple issues</w:t>
      </w:r>
      <w:r w:rsidR="00150869" w:rsidRPr="00813D19">
        <w:rPr>
          <w:bCs/>
          <w:lang w:val="en-US"/>
        </w:rPr>
        <w:t xml:space="preserve">, which </w:t>
      </w:r>
      <w:r w:rsidR="00A24053" w:rsidRPr="00813D19">
        <w:rPr>
          <w:bCs/>
          <w:lang w:val="en-US"/>
        </w:rPr>
        <w:t>showed</w:t>
      </w:r>
      <w:r w:rsidR="00D128DC" w:rsidRPr="00813D19">
        <w:rPr>
          <w:bCs/>
          <w:lang w:val="en-US"/>
        </w:rPr>
        <w:t xml:space="preserve"> the complexity of the issue at hand</w:t>
      </w:r>
      <w:r w:rsidR="00A24053" w:rsidRPr="00813D19">
        <w:rPr>
          <w:bCs/>
          <w:lang w:val="en-US"/>
        </w:rPr>
        <w:t>, reiterating</w:t>
      </w:r>
      <w:r w:rsidR="00D128DC" w:rsidRPr="00813D19">
        <w:rPr>
          <w:bCs/>
          <w:lang w:val="en-US"/>
        </w:rPr>
        <w:t xml:space="preserve"> that the purpose </w:t>
      </w:r>
      <w:r w:rsidR="00A24053" w:rsidRPr="00813D19">
        <w:rPr>
          <w:bCs/>
          <w:lang w:val="en-US"/>
        </w:rPr>
        <w:t xml:space="preserve">was </w:t>
      </w:r>
      <w:r w:rsidR="00D128DC" w:rsidRPr="00813D19">
        <w:rPr>
          <w:bCs/>
          <w:lang w:val="en-US"/>
        </w:rPr>
        <w:t xml:space="preserve">to initiate a discussion </w:t>
      </w:r>
      <w:r w:rsidR="00A24053" w:rsidRPr="00813D19">
        <w:rPr>
          <w:bCs/>
          <w:lang w:val="en-US"/>
        </w:rPr>
        <w:t xml:space="preserve">that would indeed </w:t>
      </w:r>
      <w:r w:rsidR="00D128DC" w:rsidRPr="00813D19">
        <w:rPr>
          <w:bCs/>
          <w:lang w:val="en-US"/>
        </w:rPr>
        <w:t>require several steps and multiple consultation</w:t>
      </w:r>
      <w:r w:rsidR="00A24053" w:rsidRPr="00813D19">
        <w:rPr>
          <w:bCs/>
          <w:lang w:val="en-US"/>
        </w:rPr>
        <w:t>s</w:t>
      </w:r>
      <w:r w:rsidR="00D128DC" w:rsidRPr="00813D19">
        <w:rPr>
          <w:bCs/>
          <w:lang w:val="en-US"/>
        </w:rPr>
        <w:t xml:space="preserve">. </w:t>
      </w:r>
      <w:r w:rsidR="00A24053" w:rsidRPr="00813D19">
        <w:rPr>
          <w:bCs/>
          <w:lang w:val="en-US"/>
        </w:rPr>
        <w:t xml:space="preserve">With regard to </w:t>
      </w:r>
      <w:r w:rsidR="00632981" w:rsidRPr="00813D19">
        <w:rPr>
          <w:bCs/>
          <w:lang w:val="en-US"/>
        </w:rPr>
        <w:t xml:space="preserve">the issues around </w:t>
      </w:r>
      <w:r w:rsidR="00D128DC" w:rsidRPr="00813D19">
        <w:rPr>
          <w:bCs/>
          <w:lang w:val="en-US"/>
        </w:rPr>
        <w:t>screening</w:t>
      </w:r>
      <w:r w:rsidR="00787E8C" w:rsidRPr="00813D19">
        <w:rPr>
          <w:bCs/>
          <w:lang w:val="en-US"/>
        </w:rPr>
        <w:t xml:space="preserve">, the Secretary </w:t>
      </w:r>
      <w:r w:rsidR="00632981" w:rsidRPr="00813D19">
        <w:rPr>
          <w:bCs/>
          <w:lang w:val="en-US"/>
        </w:rPr>
        <w:t xml:space="preserve">noted </w:t>
      </w:r>
      <w:r w:rsidR="00D128DC" w:rsidRPr="00813D19">
        <w:rPr>
          <w:bCs/>
          <w:lang w:val="en-US"/>
        </w:rPr>
        <w:t xml:space="preserve">the diversity of issues, </w:t>
      </w:r>
      <w:r w:rsidR="00150869" w:rsidRPr="00813D19">
        <w:rPr>
          <w:bCs/>
          <w:lang w:val="en-US"/>
        </w:rPr>
        <w:t xml:space="preserve">and </w:t>
      </w:r>
      <w:r w:rsidR="00D128DC" w:rsidRPr="00813D19">
        <w:rPr>
          <w:bCs/>
          <w:lang w:val="en-US"/>
        </w:rPr>
        <w:t xml:space="preserve">ideas like informal mediation, the need to be cautious, the need to have people, groups, communities and in some cases individuals fully involved when they are related to the nomination. </w:t>
      </w:r>
      <w:r w:rsidR="00FE5CAF" w:rsidRPr="00813D19">
        <w:rPr>
          <w:bCs/>
          <w:lang w:val="en-US"/>
        </w:rPr>
        <w:t xml:space="preserve">The Secretary also found </w:t>
      </w:r>
      <w:r w:rsidR="00D128DC" w:rsidRPr="00813D19">
        <w:rPr>
          <w:bCs/>
          <w:lang w:val="en-US"/>
        </w:rPr>
        <w:t xml:space="preserve">the comments </w:t>
      </w:r>
      <w:r w:rsidR="00FE5CAF" w:rsidRPr="00813D19">
        <w:rPr>
          <w:bCs/>
          <w:lang w:val="en-US"/>
        </w:rPr>
        <w:t xml:space="preserve">by Cuba highly pertinent in that the </w:t>
      </w:r>
      <w:r w:rsidR="00D128DC" w:rsidRPr="00813D19">
        <w:rPr>
          <w:bCs/>
          <w:lang w:val="en-US"/>
        </w:rPr>
        <w:t xml:space="preserve">monitoring of </w:t>
      </w:r>
      <w:r w:rsidR="00FE5CAF" w:rsidRPr="00813D19">
        <w:rPr>
          <w:bCs/>
          <w:lang w:val="en-US"/>
        </w:rPr>
        <w:t xml:space="preserve">intangible cultural heritage should not be seen in </w:t>
      </w:r>
      <w:r w:rsidR="00D128DC" w:rsidRPr="00813D19">
        <w:rPr>
          <w:bCs/>
          <w:lang w:val="en-US"/>
        </w:rPr>
        <w:t xml:space="preserve">the same way </w:t>
      </w:r>
      <w:r w:rsidR="00FE5CAF" w:rsidRPr="00813D19">
        <w:rPr>
          <w:bCs/>
          <w:lang w:val="en-US"/>
        </w:rPr>
        <w:t xml:space="preserve">as the </w:t>
      </w:r>
      <w:r w:rsidR="00D128DC" w:rsidRPr="00813D19">
        <w:rPr>
          <w:bCs/>
          <w:lang w:val="en-US"/>
        </w:rPr>
        <w:t xml:space="preserve">monitoring of sites and monuments because the implications </w:t>
      </w:r>
      <w:r w:rsidR="00FE5CAF" w:rsidRPr="00813D19">
        <w:rPr>
          <w:bCs/>
          <w:lang w:val="en-US"/>
        </w:rPr>
        <w:t xml:space="preserve">were </w:t>
      </w:r>
      <w:r w:rsidR="00D128DC" w:rsidRPr="00813D19">
        <w:rPr>
          <w:bCs/>
          <w:lang w:val="en-US"/>
        </w:rPr>
        <w:t xml:space="preserve">very different. </w:t>
      </w:r>
      <w:r w:rsidR="00FE5CAF" w:rsidRPr="00813D19">
        <w:rPr>
          <w:bCs/>
          <w:lang w:val="en-US"/>
        </w:rPr>
        <w:t xml:space="preserve">The Secretariat certainly looked </w:t>
      </w:r>
      <w:r w:rsidR="00A44FEC">
        <w:rPr>
          <w:bCs/>
          <w:lang w:val="en-US"/>
        </w:rPr>
        <w:t xml:space="preserve">forward </w:t>
      </w:r>
      <w:r w:rsidR="00D128DC" w:rsidRPr="00813D19">
        <w:rPr>
          <w:bCs/>
          <w:lang w:val="en-US"/>
        </w:rPr>
        <w:t xml:space="preserve">to </w:t>
      </w:r>
      <w:r w:rsidR="00FE5CAF" w:rsidRPr="00813D19">
        <w:rPr>
          <w:bCs/>
          <w:lang w:val="en-US"/>
        </w:rPr>
        <w:t xml:space="preserve">receiving </w:t>
      </w:r>
      <w:r w:rsidR="00D128DC" w:rsidRPr="00813D19">
        <w:rPr>
          <w:bCs/>
          <w:lang w:val="en-US"/>
        </w:rPr>
        <w:t>ideas</w:t>
      </w:r>
      <w:r w:rsidR="00150869" w:rsidRPr="00813D19">
        <w:rPr>
          <w:bCs/>
          <w:lang w:val="en-US"/>
        </w:rPr>
        <w:t>,</w:t>
      </w:r>
      <w:r w:rsidR="00D128DC" w:rsidRPr="00813D19">
        <w:rPr>
          <w:bCs/>
          <w:lang w:val="en-US"/>
        </w:rPr>
        <w:t xml:space="preserve"> and </w:t>
      </w:r>
      <w:r w:rsidR="00FE5CAF" w:rsidRPr="00813D19">
        <w:rPr>
          <w:bCs/>
          <w:lang w:val="en-US"/>
        </w:rPr>
        <w:t xml:space="preserve">the Secretary </w:t>
      </w:r>
      <w:r w:rsidR="00D128DC" w:rsidRPr="00813D19">
        <w:rPr>
          <w:bCs/>
          <w:lang w:val="en-US"/>
        </w:rPr>
        <w:t>thank</w:t>
      </w:r>
      <w:r w:rsidR="00FE5CAF" w:rsidRPr="00813D19">
        <w:rPr>
          <w:bCs/>
          <w:lang w:val="en-US"/>
        </w:rPr>
        <w:t>ed</w:t>
      </w:r>
      <w:r w:rsidR="00D128DC" w:rsidRPr="00813D19">
        <w:rPr>
          <w:bCs/>
          <w:lang w:val="en-US"/>
        </w:rPr>
        <w:t xml:space="preserve"> the Government of Japan </w:t>
      </w:r>
      <w:r w:rsidR="00FE5CAF" w:rsidRPr="00813D19">
        <w:rPr>
          <w:bCs/>
          <w:lang w:val="en-US"/>
        </w:rPr>
        <w:t xml:space="preserve">once again </w:t>
      </w:r>
      <w:r w:rsidR="00D128DC" w:rsidRPr="00813D19">
        <w:rPr>
          <w:bCs/>
          <w:lang w:val="en-US"/>
        </w:rPr>
        <w:t>for making it possible to reflect on this</w:t>
      </w:r>
      <w:r w:rsidR="00FE5CAF" w:rsidRPr="00813D19">
        <w:rPr>
          <w:bCs/>
          <w:lang w:val="en-US"/>
        </w:rPr>
        <w:t xml:space="preserve"> issue</w:t>
      </w:r>
      <w:r w:rsidR="00D128DC" w:rsidRPr="00813D19">
        <w:rPr>
          <w:bCs/>
          <w:lang w:val="en-US"/>
        </w:rPr>
        <w:t xml:space="preserve">. Electronic surveys could be one means, </w:t>
      </w:r>
      <w:r w:rsidR="00A44FEC">
        <w:rPr>
          <w:bCs/>
          <w:lang w:val="en-US"/>
        </w:rPr>
        <w:t xml:space="preserve">and </w:t>
      </w:r>
      <w:r w:rsidR="00D128DC" w:rsidRPr="00813D19">
        <w:rPr>
          <w:bCs/>
          <w:lang w:val="en-US"/>
        </w:rPr>
        <w:t xml:space="preserve">incorporating </w:t>
      </w:r>
      <w:r w:rsidR="00A2367B" w:rsidRPr="00813D19">
        <w:rPr>
          <w:bCs/>
          <w:lang w:val="en-US"/>
        </w:rPr>
        <w:t xml:space="preserve">this issue into </w:t>
      </w:r>
      <w:r w:rsidR="00D128DC" w:rsidRPr="00813D19">
        <w:rPr>
          <w:bCs/>
          <w:lang w:val="en-US"/>
        </w:rPr>
        <w:t xml:space="preserve">other discussions would be another. </w:t>
      </w:r>
      <w:r w:rsidR="00A2367B" w:rsidRPr="00813D19">
        <w:rPr>
          <w:bCs/>
          <w:lang w:val="en-US"/>
        </w:rPr>
        <w:t xml:space="preserve">Nevertheless, </w:t>
      </w:r>
      <w:r w:rsidR="00D128DC" w:rsidRPr="00813D19">
        <w:rPr>
          <w:bCs/>
          <w:lang w:val="en-US"/>
        </w:rPr>
        <w:t xml:space="preserve">it </w:t>
      </w:r>
      <w:r w:rsidR="00A2367B" w:rsidRPr="00813D19">
        <w:rPr>
          <w:bCs/>
          <w:lang w:val="en-US"/>
        </w:rPr>
        <w:t>was worth continuing</w:t>
      </w:r>
      <w:r w:rsidR="00D128DC" w:rsidRPr="00813D19">
        <w:rPr>
          <w:bCs/>
          <w:lang w:val="en-US"/>
        </w:rPr>
        <w:t xml:space="preserve"> this reflection and discussion</w:t>
      </w:r>
      <w:r w:rsidR="00A2367B" w:rsidRPr="00813D19">
        <w:rPr>
          <w:bCs/>
          <w:lang w:val="en-US"/>
        </w:rPr>
        <w:t>,</w:t>
      </w:r>
      <w:r w:rsidR="00D128DC" w:rsidRPr="00813D19">
        <w:rPr>
          <w:bCs/>
          <w:lang w:val="en-US"/>
        </w:rPr>
        <w:t xml:space="preserve"> although </w:t>
      </w:r>
      <w:r w:rsidR="00A2367B" w:rsidRPr="00813D19">
        <w:rPr>
          <w:bCs/>
          <w:lang w:val="en-US"/>
        </w:rPr>
        <w:t xml:space="preserve">it was still </w:t>
      </w:r>
      <w:r w:rsidR="00D128DC" w:rsidRPr="00813D19">
        <w:rPr>
          <w:bCs/>
          <w:lang w:val="en-US"/>
        </w:rPr>
        <w:t xml:space="preserve">very early </w:t>
      </w:r>
      <w:r w:rsidR="00A2367B" w:rsidRPr="00813D19">
        <w:rPr>
          <w:bCs/>
          <w:lang w:val="en-US"/>
        </w:rPr>
        <w:t xml:space="preserve">to </w:t>
      </w:r>
      <w:r w:rsidR="00D128DC" w:rsidRPr="00813D19">
        <w:rPr>
          <w:bCs/>
          <w:lang w:val="en-US"/>
        </w:rPr>
        <w:t xml:space="preserve">come </w:t>
      </w:r>
      <w:r w:rsidR="00A44FEC">
        <w:rPr>
          <w:bCs/>
          <w:lang w:val="en-US"/>
        </w:rPr>
        <w:t xml:space="preserve">up </w:t>
      </w:r>
      <w:r w:rsidR="00D128DC" w:rsidRPr="00813D19">
        <w:rPr>
          <w:bCs/>
          <w:lang w:val="en-US"/>
        </w:rPr>
        <w:t xml:space="preserve">with any </w:t>
      </w:r>
      <w:r w:rsidR="00150869" w:rsidRPr="00813D19">
        <w:rPr>
          <w:bCs/>
          <w:lang w:val="en-US"/>
        </w:rPr>
        <w:t xml:space="preserve">concrete </w:t>
      </w:r>
      <w:r w:rsidR="00E41386">
        <w:rPr>
          <w:bCs/>
          <w:lang w:val="en-US"/>
        </w:rPr>
        <w:t>suggestions.</w:t>
      </w:r>
    </w:p>
    <w:p w14:paraId="181B2EB7" w14:textId="2485FF1D" w:rsidR="00703F5E" w:rsidRPr="00813D19" w:rsidRDefault="00703F5E" w:rsidP="00703F5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turned to the draft decision on </w:t>
      </w:r>
      <w:r w:rsidR="008E1EAB" w:rsidRPr="00813D19">
        <w:rPr>
          <w:lang w:val="en-US"/>
        </w:rPr>
        <w:t>a paragraph-by-paragraph basis, and p</w:t>
      </w:r>
      <w:r w:rsidR="00E41386">
        <w:rPr>
          <w:lang w:val="en-US"/>
        </w:rPr>
        <w:t>aragraph 1 was duly adopted.</w:t>
      </w:r>
    </w:p>
    <w:p w14:paraId="57E85CE5" w14:textId="12DC3A4E" w:rsidR="00703F5E" w:rsidRPr="00813D19" w:rsidRDefault="00703F5E" w:rsidP="00703F5E">
      <w:pPr>
        <w:pStyle w:val="Orateurengris"/>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proposed a s</w:t>
      </w:r>
      <w:r w:rsidR="008E1EAB" w:rsidRPr="00813D19">
        <w:rPr>
          <w:lang w:val="en-US"/>
        </w:rPr>
        <w:t xml:space="preserve">light amendment in paragraph 2 that recalled </w:t>
      </w:r>
      <w:r w:rsidR="00AC61B4" w:rsidRPr="00813D19">
        <w:rPr>
          <w:lang w:val="en-US"/>
        </w:rPr>
        <w:t xml:space="preserve">Article 7 of the Convention, </w:t>
      </w:r>
      <w:r w:rsidR="008E1EAB" w:rsidRPr="00813D19">
        <w:rPr>
          <w:lang w:val="en-US"/>
        </w:rPr>
        <w:t xml:space="preserve">explaining that </w:t>
      </w:r>
      <w:r w:rsidR="00AC61B4" w:rsidRPr="00813D19">
        <w:rPr>
          <w:lang w:val="en-US"/>
        </w:rPr>
        <w:t xml:space="preserve">Article 7 of the Convention </w:t>
      </w:r>
      <w:r w:rsidR="008E1EAB" w:rsidRPr="00813D19">
        <w:rPr>
          <w:lang w:val="en-US"/>
        </w:rPr>
        <w:t xml:space="preserve">concerned </w:t>
      </w:r>
      <w:r w:rsidR="00AC61B4" w:rsidRPr="00813D19">
        <w:rPr>
          <w:lang w:val="en-US"/>
        </w:rPr>
        <w:t xml:space="preserve">the functions of the </w:t>
      </w:r>
      <w:r w:rsidR="008E1EAB" w:rsidRPr="00813D19">
        <w:rPr>
          <w:lang w:val="en-US"/>
        </w:rPr>
        <w:t>C</w:t>
      </w:r>
      <w:r w:rsidR="00AC61B4" w:rsidRPr="00813D19">
        <w:rPr>
          <w:lang w:val="en-US"/>
        </w:rPr>
        <w:t xml:space="preserve">ommittee and </w:t>
      </w:r>
      <w:r w:rsidR="008E1EAB" w:rsidRPr="00813D19">
        <w:rPr>
          <w:lang w:val="en-US"/>
        </w:rPr>
        <w:t xml:space="preserve">it </w:t>
      </w:r>
      <w:r w:rsidR="00AC61B4" w:rsidRPr="00813D19">
        <w:rPr>
          <w:lang w:val="en-US"/>
        </w:rPr>
        <w:t xml:space="preserve">should </w:t>
      </w:r>
      <w:r w:rsidR="008E1EAB" w:rsidRPr="00813D19">
        <w:rPr>
          <w:lang w:val="en-US"/>
        </w:rPr>
        <w:t xml:space="preserve">therefore </w:t>
      </w:r>
      <w:r w:rsidR="00AC61B4" w:rsidRPr="00813D19">
        <w:rPr>
          <w:lang w:val="en-US"/>
        </w:rPr>
        <w:t>be the locus of any monitoring if decide</w:t>
      </w:r>
      <w:r w:rsidR="00E41386">
        <w:rPr>
          <w:lang w:val="en-US"/>
        </w:rPr>
        <w:t>d, which was duly adopted.</w:t>
      </w:r>
    </w:p>
    <w:p w14:paraId="2B9A7F3A" w14:textId="04D33E3F" w:rsidR="00703F5E" w:rsidRPr="00813D19" w:rsidRDefault="00703F5E" w:rsidP="00703F5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returned to the adoption of the decision</w:t>
      </w:r>
      <w:r w:rsidR="008E1EAB" w:rsidRPr="00813D19">
        <w:rPr>
          <w:lang w:val="en-US"/>
        </w:rPr>
        <w:t>, and paragraphs 3 and 4</w:t>
      </w:r>
      <w:r w:rsidRPr="00813D19">
        <w:rPr>
          <w:lang w:val="en-US"/>
        </w:rPr>
        <w:t xml:space="preserve"> were duly adopted.</w:t>
      </w:r>
      <w:r w:rsidR="008E1EAB" w:rsidRPr="00813D19">
        <w:rPr>
          <w:lang w:val="en-US"/>
        </w:rPr>
        <w:t xml:space="preserve"> The Chairperson </w:t>
      </w:r>
      <w:r w:rsidR="00150869" w:rsidRPr="00813D19">
        <w:rPr>
          <w:lang w:val="en-US"/>
        </w:rPr>
        <w:t xml:space="preserve">then </w:t>
      </w:r>
      <w:r w:rsidR="008E1EAB" w:rsidRPr="00813D19">
        <w:rPr>
          <w:lang w:val="en-US"/>
        </w:rPr>
        <w:t xml:space="preserve">turned to paragraph 5 and the minor amendment by </w:t>
      </w:r>
      <w:r w:rsidR="000953A7">
        <w:rPr>
          <w:lang w:val="en-US"/>
        </w:rPr>
        <w:t xml:space="preserve">the </w:t>
      </w:r>
      <w:r w:rsidR="008E1EAB" w:rsidRPr="00813D19">
        <w:rPr>
          <w:lang w:val="en-US"/>
        </w:rPr>
        <w:t>Netherlands and Austria and the insertion of ‘groups, and wh</w:t>
      </w:r>
      <w:r w:rsidR="00E41386">
        <w:rPr>
          <w:lang w:val="en-US"/>
        </w:rPr>
        <w:t>ere applicable, individuals’.</w:t>
      </w:r>
    </w:p>
    <w:p w14:paraId="64B49336" w14:textId="07A50A8D" w:rsidR="00703F5E" w:rsidRPr="00813D19" w:rsidRDefault="00703F5E" w:rsidP="00703F5E">
      <w:pPr>
        <w:pStyle w:val="Orateurengris"/>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w:t>
      </w:r>
      <w:r w:rsidR="005D0CBD" w:rsidRPr="00813D19">
        <w:rPr>
          <w:lang w:val="en-US"/>
        </w:rPr>
        <w:t xml:space="preserve">felt that </w:t>
      </w:r>
      <w:r w:rsidR="00AC61B4" w:rsidRPr="00813D19">
        <w:rPr>
          <w:lang w:val="en-US"/>
        </w:rPr>
        <w:t xml:space="preserve">paragraph </w:t>
      </w:r>
      <w:r w:rsidR="005D0CBD" w:rsidRPr="00813D19">
        <w:rPr>
          <w:lang w:val="en-US"/>
        </w:rPr>
        <w:t xml:space="preserve">5 </w:t>
      </w:r>
      <w:r w:rsidR="001330B8" w:rsidRPr="00813D19">
        <w:rPr>
          <w:lang w:val="en-US"/>
        </w:rPr>
        <w:t xml:space="preserve">supposed </w:t>
      </w:r>
      <w:r w:rsidR="005D0CBD" w:rsidRPr="00813D19">
        <w:rPr>
          <w:lang w:val="en-US"/>
        </w:rPr>
        <w:t>pre</w:t>
      </w:r>
      <w:r w:rsidR="00AC61B4" w:rsidRPr="00813D19">
        <w:rPr>
          <w:lang w:val="en-US"/>
        </w:rPr>
        <w:t>empt</w:t>
      </w:r>
      <w:r w:rsidR="001330B8" w:rsidRPr="00813D19">
        <w:rPr>
          <w:lang w:val="en-US"/>
        </w:rPr>
        <w:t>ing</w:t>
      </w:r>
      <w:r w:rsidR="005D0CBD" w:rsidRPr="00813D19">
        <w:rPr>
          <w:lang w:val="en-US"/>
        </w:rPr>
        <w:t xml:space="preserve"> or pre</w:t>
      </w:r>
      <w:r w:rsidR="001330B8" w:rsidRPr="00813D19">
        <w:rPr>
          <w:lang w:val="en-US"/>
        </w:rPr>
        <w:t>judging</w:t>
      </w:r>
      <w:r w:rsidR="00AC61B4" w:rsidRPr="00813D19">
        <w:rPr>
          <w:lang w:val="en-US"/>
        </w:rPr>
        <w:t xml:space="preserve"> the discussion </w:t>
      </w:r>
      <w:r w:rsidR="005D0CBD" w:rsidRPr="00813D19">
        <w:rPr>
          <w:lang w:val="en-US"/>
        </w:rPr>
        <w:t xml:space="preserve">with its use of ‘to strengthen’, </w:t>
      </w:r>
      <w:r w:rsidR="00AC61B4" w:rsidRPr="00813D19">
        <w:rPr>
          <w:lang w:val="en-US"/>
        </w:rPr>
        <w:t xml:space="preserve">but from </w:t>
      </w:r>
      <w:r w:rsidR="005D0CBD" w:rsidRPr="00813D19">
        <w:rPr>
          <w:lang w:val="en-US"/>
        </w:rPr>
        <w:t>the recent</w:t>
      </w:r>
      <w:r w:rsidR="00AC61B4" w:rsidRPr="00813D19">
        <w:rPr>
          <w:lang w:val="en-US"/>
        </w:rPr>
        <w:t xml:space="preserve"> discussion </w:t>
      </w:r>
      <w:r w:rsidR="005D0CBD" w:rsidRPr="00813D19">
        <w:rPr>
          <w:lang w:val="en-US"/>
        </w:rPr>
        <w:t xml:space="preserve">it was </w:t>
      </w:r>
      <w:r w:rsidR="00AC61B4" w:rsidRPr="00813D19">
        <w:rPr>
          <w:lang w:val="en-US"/>
        </w:rPr>
        <w:t xml:space="preserve">clear that there </w:t>
      </w:r>
      <w:r w:rsidR="005D0CBD" w:rsidRPr="00813D19">
        <w:rPr>
          <w:lang w:val="en-US"/>
        </w:rPr>
        <w:t xml:space="preserve">were </w:t>
      </w:r>
      <w:r w:rsidR="00AC61B4" w:rsidRPr="00813D19">
        <w:rPr>
          <w:lang w:val="en-US"/>
        </w:rPr>
        <w:t xml:space="preserve">many suggestions </w:t>
      </w:r>
      <w:r w:rsidR="005D0CBD" w:rsidRPr="00813D19">
        <w:rPr>
          <w:lang w:val="en-US"/>
        </w:rPr>
        <w:t xml:space="preserve">and </w:t>
      </w:r>
      <w:r w:rsidR="00AC61B4" w:rsidRPr="00813D19">
        <w:rPr>
          <w:lang w:val="en-US"/>
        </w:rPr>
        <w:t>no real answers yet</w:t>
      </w:r>
      <w:r w:rsidR="005D0CBD" w:rsidRPr="00813D19">
        <w:rPr>
          <w:lang w:val="en-US"/>
        </w:rPr>
        <w:t>,</w:t>
      </w:r>
      <w:r w:rsidR="00AC61B4" w:rsidRPr="00813D19">
        <w:rPr>
          <w:lang w:val="en-US"/>
        </w:rPr>
        <w:t xml:space="preserve"> </w:t>
      </w:r>
      <w:r w:rsidR="005D0CBD" w:rsidRPr="00813D19">
        <w:rPr>
          <w:lang w:val="en-US"/>
        </w:rPr>
        <w:t>and the process was only just beginning. Hence, the delegation suggested replac</w:t>
      </w:r>
      <w:r w:rsidR="00A44FEC">
        <w:rPr>
          <w:lang w:val="en-US"/>
        </w:rPr>
        <w:t>ing</w:t>
      </w:r>
      <w:r w:rsidR="00AC61B4" w:rsidRPr="00813D19">
        <w:rPr>
          <w:lang w:val="en-US"/>
        </w:rPr>
        <w:t xml:space="preserve"> </w:t>
      </w:r>
      <w:r w:rsidR="005D0CBD" w:rsidRPr="00813D19">
        <w:rPr>
          <w:lang w:val="en-US"/>
        </w:rPr>
        <w:t>‘</w:t>
      </w:r>
      <w:r w:rsidR="00AC61B4" w:rsidRPr="00813D19">
        <w:rPr>
          <w:lang w:val="en-US"/>
        </w:rPr>
        <w:t>to strengthen</w:t>
      </w:r>
      <w:r w:rsidR="005D0CBD" w:rsidRPr="00813D19">
        <w:rPr>
          <w:lang w:val="en-US"/>
        </w:rPr>
        <w:t>’</w:t>
      </w:r>
      <w:r w:rsidR="00AC61B4" w:rsidRPr="00813D19">
        <w:rPr>
          <w:lang w:val="en-US"/>
        </w:rPr>
        <w:t xml:space="preserve"> </w:t>
      </w:r>
      <w:r w:rsidR="005D0CBD" w:rsidRPr="00813D19">
        <w:rPr>
          <w:lang w:val="en-US"/>
        </w:rPr>
        <w:t>with ‘</w:t>
      </w:r>
      <w:r w:rsidR="00AC61B4" w:rsidRPr="00813D19">
        <w:rPr>
          <w:lang w:val="en-US"/>
        </w:rPr>
        <w:t>to reflect</w:t>
      </w:r>
      <w:r w:rsidR="005016CC" w:rsidRPr="00813D19">
        <w:rPr>
          <w:lang w:val="en-US"/>
        </w:rPr>
        <w:t xml:space="preserve"> on</w:t>
      </w:r>
      <w:r w:rsidR="00150869" w:rsidRPr="00813D19">
        <w:rPr>
          <w:lang w:val="en-US"/>
        </w:rPr>
        <w:t>’</w:t>
      </w:r>
      <w:r w:rsidR="005D0CBD" w:rsidRPr="00813D19">
        <w:rPr>
          <w:lang w:val="en-US"/>
        </w:rPr>
        <w:t xml:space="preserve">, </w:t>
      </w:r>
      <w:r w:rsidR="00150869" w:rsidRPr="00813D19">
        <w:rPr>
          <w:lang w:val="en-US"/>
        </w:rPr>
        <w:t xml:space="preserve">and </w:t>
      </w:r>
      <w:r w:rsidR="00AC61B4" w:rsidRPr="00813D19">
        <w:rPr>
          <w:lang w:val="en-US"/>
        </w:rPr>
        <w:t xml:space="preserve">delete </w:t>
      </w:r>
      <w:r w:rsidR="005D0CBD" w:rsidRPr="00813D19">
        <w:rPr>
          <w:lang w:val="en-US"/>
        </w:rPr>
        <w:t>‘</w:t>
      </w:r>
      <w:r w:rsidR="00AC61B4" w:rsidRPr="00813D19">
        <w:rPr>
          <w:lang w:val="en-US"/>
        </w:rPr>
        <w:t>to provide</w:t>
      </w:r>
      <w:r w:rsidR="00150869" w:rsidRPr="00813D19">
        <w:rPr>
          <w:lang w:val="en-US"/>
        </w:rPr>
        <w:t>’</w:t>
      </w:r>
      <w:r w:rsidR="005D0CBD" w:rsidRPr="00813D19">
        <w:rPr>
          <w:lang w:val="en-US"/>
        </w:rPr>
        <w:t xml:space="preserve"> and ‘</w:t>
      </w:r>
      <w:r w:rsidR="00AC61B4" w:rsidRPr="00813D19">
        <w:rPr>
          <w:lang w:val="en-US"/>
        </w:rPr>
        <w:t>more directly</w:t>
      </w:r>
      <w:r w:rsidR="005D0CBD" w:rsidRPr="00813D19">
        <w:rPr>
          <w:lang w:val="en-US"/>
        </w:rPr>
        <w:t xml:space="preserve">’, as this better </w:t>
      </w:r>
      <w:r w:rsidR="00AC61B4" w:rsidRPr="00813D19">
        <w:rPr>
          <w:lang w:val="en-US"/>
        </w:rPr>
        <w:t>reflect</w:t>
      </w:r>
      <w:r w:rsidR="00150869" w:rsidRPr="00813D19">
        <w:rPr>
          <w:lang w:val="en-US"/>
        </w:rPr>
        <w:t>ed</w:t>
      </w:r>
      <w:r w:rsidR="00AC61B4" w:rsidRPr="00813D19">
        <w:rPr>
          <w:lang w:val="en-US"/>
        </w:rPr>
        <w:t xml:space="preserve"> the </w:t>
      </w:r>
      <w:r w:rsidR="005D0CBD" w:rsidRPr="00813D19">
        <w:rPr>
          <w:lang w:val="en-US"/>
        </w:rPr>
        <w:t>earlier discussion</w:t>
      </w:r>
      <w:r w:rsidR="00E41386">
        <w:rPr>
          <w:lang w:val="en-US"/>
        </w:rPr>
        <w:t>.</w:t>
      </w:r>
    </w:p>
    <w:p w14:paraId="2BECC576" w14:textId="449A1CDA" w:rsidR="00703F5E" w:rsidRPr="00813D19" w:rsidRDefault="00703F5E" w:rsidP="00703F5E">
      <w:pPr>
        <w:pStyle w:val="Orateurengris"/>
        <w:spacing w:before="120"/>
        <w:ind w:left="709" w:hanging="709"/>
        <w:rPr>
          <w:lang w:val="en-US"/>
        </w:rPr>
      </w:pPr>
      <w:r w:rsidRPr="00813D19">
        <w:rPr>
          <w:lang w:val="en-US"/>
        </w:rPr>
        <w:t xml:space="preserve">The </w:t>
      </w:r>
      <w:r w:rsidRPr="00813D19">
        <w:rPr>
          <w:b/>
          <w:lang w:val="en-US"/>
        </w:rPr>
        <w:t>delegation of Azerbaijan</w:t>
      </w:r>
      <w:r w:rsidRPr="00813D19">
        <w:rPr>
          <w:lang w:val="en-US"/>
        </w:rPr>
        <w:t xml:space="preserve"> supported the amendment </w:t>
      </w:r>
      <w:r w:rsidR="008E1EAB" w:rsidRPr="00813D19">
        <w:rPr>
          <w:lang w:val="en-US"/>
        </w:rPr>
        <w:t xml:space="preserve">proposed </w:t>
      </w:r>
      <w:r w:rsidRPr="00813D19">
        <w:rPr>
          <w:lang w:val="en-US"/>
        </w:rPr>
        <w:t>by the Philippin</w:t>
      </w:r>
      <w:r w:rsidR="00E41386">
        <w:rPr>
          <w:lang w:val="en-US"/>
        </w:rPr>
        <w:t>es, which reflected the debate.</w:t>
      </w:r>
    </w:p>
    <w:p w14:paraId="6217E92B" w14:textId="619274AC" w:rsidR="00703F5E" w:rsidRPr="00813D19" w:rsidRDefault="00703F5E" w:rsidP="00703F5E">
      <w:pPr>
        <w:pStyle w:val="Orateurengris"/>
        <w:spacing w:before="120"/>
        <w:ind w:left="709" w:hanging="709"/>
        <w:rPr>
          <w:lang w:val="en-US"/>
        </w:rPr>
      </w:pPr>
      <w:r w:rsidRPr="00813D19">
        <w:rPr>
          <w:lang w:val="en-US"/>
        </w:rPr>
        <w:t xml:space="preserve">The </w:t>
      </w:r>
      <w:r w:rsidRPr="00813D19">
        <w:rPr>
          <w:b/>
          <w:lang w:val="en-US"/>
        </w:rPr>
        <w:t>delegation of Cuba</w:t>
      </w:r>
      <w:r w:rsidR="00AC61B4" w:rsidRPr="00813D19">
        <w:rPr>
          <w:b/>
          <w:lang w:val="en-US"/>
        </w:rPr>
        <w:t xml:space="preserve"> </w:t>
      </w:r>
      <w:r w:rsidR="00AC61B4" w:rsidRPr="00813D19">
        <w:rPr>
          <w:bCs/>
          <w:lang w:val="en-US"/>
        </w:rPr>
        <w:t>also support</w:t>
      </w:r>
      <w:r w:rsidR="005D0CBD" w:rsidRPr="00813D19">
        <w:rPr>
          <w:bCs/>
          <w:lang w:val="en-US"/>
        </w:rPr>
        <w:t>ed</w:t>
      </w:r>
      <w:r w:rsidR="00AC61B4" w:rsidRPr="00813D19">
        <w:rPr>
          <w:bCs/>
          <w:lang w:val="en-US"/>
        </w:rPr>
        <w:t xml:space="preserve"> the </w:t>
      </w:r>
      <w:r w:rsidR="005D0CBD" w:rsidRPr="00813D19">
        <w:rPr>
          <w:bCs/>
          <w:lang w:val="en-US"/>
        </w:rPr>
        <w:t>proposal by the Philippine</w:t>
      </w:r>
      <w:r w:rsidR="00AC61B4" w:rsidRPr="00813D19">
        <w:rPr>
          <w:bCs/>
          <w:lang w:val="en-US"/>
        </w:rPr>
        <w:t>s</w:t>
      </w:r>
      <w:r w:rsidR="001330B8" w:rsidRPr="00813D19">
        <w:rPr>
          <w:bCs/>
          <w:lang w:val="en-US"/>
        </w:rPr>
        <w:t xml:space="preserve">. Regarding </w:t>
      </w:r>
      <w:r w:rsidR="00AC61B4" w:rsidRPr="00813D19">
        <w:rPr>
          <w:bCs/>
          <w:lang w:val="en-US"/>
        </w:rPr>
        <w:t xml:space="preserve">the </w:t>
      </w:r>
      <w:r w:rsidR="001330B8" w:rsidRPr="00813D19">
        <w:rPr>
          <w:bCs/>
          <w:lang w:val="en-US"/>
        </w:rPr>
        <w:t xml:space="preserve">proposal by the </w:t>
      </w:r>
      <w:r w:rsidR="00AC61B4" w:rsidRPr="00813D19">
        <w:rPr>
          <w:bCs/>
          <w:lang w:val="en-US"/>
        </w:rPr>
        <w:t>Netherlands and Austria</w:t>
      </w:r>
      <w:r w:rsidR="001330B8" w:rsidRPr="00813D19">
        <w:rPr>
          <w:bCs/>
          <w:lang w:val="en-US"/>
        </w:rPr>
        <w:t xml:space="preserve">, </w:t>
      </w:r>
      <w:r w:rsidR="00150869" w:rsidRPr="00813D19">
        <w:rPr>
          <w:bCs/>
          <w:lang w:val="en-US"/>
        </w:rPr>
        <w:t xml:space="preserve">it </w:t>
      </w:r>
      <w:r w:rsidR="001330B8" w:rsidRPr="00813D19">
        <w:rPr>
          <w:bCs/>
          <w:lang w:val="en-US"/>
        </w:rPr>
        <w:t xml:space="preserve">felt </w:t>
      </w:r>
      <w:r w:rsidR="00AC61B4" w:rsidRPr="00813D19">
        <w:rPr>
          <w:bCs/>
          <w:lang w:val="en-US"/>
        </w:rPr>
        <w:t xml:space="preserve">that opening up a list of possible stakeholders or persons </w:t>
      </w:r>
      <w:r w:rsidR="00A44FEC" w:rsidRPr="00813D19">
        <w:rPr>
          <w:bCs/>
          <w:lang w:val="en-US"/>
        </w:rPr>
        <w:t xml:space="preserve">involved </w:t>
      </w:r>
      <w:r w:rsidR="001330B8" w:rsidRPr="00813D19">
        <w:rPr>
          <w:bCs/>
          <w:lang w:val="en-US"/>
        </w:rPr>
        <w:t xml:space="preserve">right now </w:t>
      </w:r>
      <w:r w:rsidR="00AC61B4" w:rsidRPr="00813D19">
        <w:rPr>
          <w:bCs/>
          <w:lang w:val="en-US"/>
        </w:rPr>
        <w:t xml:space="preserve">could make </w:t>
      </w:r>
      <w:r w:rsidR="001330B8" w:rsidRPr="00813D19">
        <w:rPr>
          <w:bCs/>
          <w:lang w:val="en-US"/>
        </w:rPr>
        <w:t>matters more complicated, as they could also include research cent</w:t>
      </w:r>
      <w:r w:rsidR="00AC61B4" w:rsidRPr="00813D19">
        <w:rPr>
          <w:bCs/>
          <w:lang w:val="en-US"/>
        </w:rPr>
        <w:t>r</w:t>
      </w:r>
      <w:r w:rsidR="001330B8" w:rsidRPr="00813D19">
        <w:rPr>
          <w:bCs/>
          <w:lang w:val="en-US"/>
        </w:rPr>
        <w:t>e</w:t>
      </w:r>
      <w:r w:rsidR="00AC61B4" w:rsidRPr="00813D19">
        <w:rPr>
          <w:bCs/>
          <w:lang w:val="en-US"/>
        </w:rPr>
        <w:t xml:space="preserve">s, universities, </w:t>
      </w:r>
      <w:r w:rsidR="001330B8" w:rsidRPr="00813D19">
        <w:rPr>
          <w:bCs/>
          <w:lang w:val="en-US"/>
        </w:rPr>
        <w:t xml:space="preserve">and other entities </w:t>
      </w:r>
      <w:r w:rsidR="00AC61B4" w:rsidRPr="00813D19">
        <w:rPr>
          <w:bCs/>
          <w:lang w:val="en-US"/>
        </w:rPr>
        <w:t xml:space="preserve">that </w:t>
      </w:r>
      <w:r w:rsidR="00150869" w:rsidRPr="00813D19">
        <w:rPr>
          <w:bCs/>
          <w:lang w:val="en-US"/>
        </w:rPr>
        <w:t>were</w:t>
      </w:r>
      <w:r w:rsidR="00AC61B4" w:rsidRPr="00813D19">
        <w:rPr>
          <w:bCs/>
          <w:lang w:val="en-US"/>
        </w:rPr>
        <w:t xml:space="preserve"> not necessarily </w:t>
      </w:r>
      <w:r w:rsidR="001330B8" w:rsidRPr="00813D19">
        <w:rPr>
          <w:bCs/>
          <w:lang w:val="en-US"/>
        </w:rPr>
        <w:t xml:space="preserve">linked </w:t>
      </w:r>
      <w:r w:rsidR="00AC61B4" w:rsidRPr="00813D19">
        <w:rPr>
          <w:bCs/>
          <w:lang w:val="en-US"/>
        </w:rPr>
        <w:t xml:space="preserve">to </w:t>
      </w:r>
      <w:r w:rsidR="00150869" w:rsidRPr="00813D19">
        <w:rPr>
          <w:bCs/>
          <w:lang w:val="en-US"/>
        </w:rPr>
        <w:t>the State</w:t>
      </w:r>
      <w:r w:rsidR="001330B8" w:rsidRPr="00813D19">
        <w:rPr>
          <w:bCs/>
          <w:lang w:val="en-US"/>
        </w:rPr>
        <w:t xml:space="preserve">, which would open up a new </w:t>
      </w:r>
      <w:r w:rsidR="00AC61B4" w:rsidRPr="00813D19">
        <w:rPr>
          <w:bCs/>
          <w:lang w:val="en-US"/>
        </w:rPr>
        <w:t>debate</w:t>
      </w:r>
      <w:r w:rsidR="001330B8" w:rsidRPr="00813D19">
        <w:rPr>
          <w:bCs/>
          <w:lang w:val="en-US"/>
        </w:rPr>
        <w:t>.</w:t>
      </w:r>
      <w:r w:rsidR="00AC61B4" w:rsidRPr="00813D19">
        <w:rPr>
          <w:bCs/>
          <w:lang w:val="en-US"/>
        </w:rPr>
        <w:t xml:space="preserve"> </w:t>
      </w:r>
      <w:r w:rsidR="001330B8" w:rsidRPr="00813D19">
        <w:rPr>
          <w:bCs/>
          <w:lang w:val="en-US"/>
        </w:rPr>
        <w:t xml:space="preserve">The delegation felt that it should </w:t>
      </w:r>
      <w:r w:rsidR="00AC61B4" w:rsidRPr="00813D19">
        <w:rPr>
          <w:bCs/>
          <w:lang w:val="en-US"/>
        </w:rPr>
        <w:t xml:space="preserve">perhaps </w:t>
      </w:r>
      <w:r w:rsidR="001330B8" w:rsidRPr="00813D19">
        <w:rPr>
          <w:bCs/>
          <w:lang w:val="en-US"/>
        </w:rPr>
        <w:t xml:space="preserve">be left to the </w:t>
      </w:r>
      <w:r w:rsidR="00150869" w:rsidRPr="00813D19">
        <w:rPr>
          <w:bCs/>
          <w:lang w:val="en-US"/>
        </w:rPr>
        <w:t>community</w:t>
      </w:r>
      <w:r w:rsidR="00AC61B4" w:rsidRPr="00813D19">
        <w:rPr>
          <w:bCs/>
          <w:lang w:val="en-US"/>
        </w:rPr>
        <w:t xml:space="preserve"> </w:t>
      </w:r>
      <w:r w:rsidR="00150869" w:rsidRPr="00813D19">
        <w:rPr>
          <w:bCs/>
          <w:lang w:val="en-US"/>
        </w:rPr>
        <w:t>representatives</w:t>
      </w:r>
      <w:r w:rsidR="001330B8" w:rsidRPr="00813D19">
        <w:rPr>
          <w:bCs/>
          <w:lang w:val="en-US"/>
        </w:rPr>
        <w:t xml:space="preserve"> speaking on </w:t>
      </w:r>
      <w:r w:rsidR="00AC61B4" w:rsidRPr="00813D19">
        <w:rPr>
          <w:bCs/>
          <w:lang w:val="en-US"/>
        </w:rPr>
        <w:t>the follow-up of inscribed elements</w:t>
      </w:r>
      <w:r w:rsidR="001330B8" w:rsidRPr="00813D19">
        <w:rPr>
          <w:bCs/>
          <w:lang w:val="en-US"/>
        </w:rPr>
        <w:t>,</w:t>
      </w:r>
      <w:r w:rsidR="00AC61B4" w:rsidRPr="00813D19">
        <w:rPr>
          <w:bCs/>
          <w:lang w:val="en-US"/>
        </w:rPr>
        <w:t xml:space="preserve"> </w:t>
      </w:r>
      <w:r w:rsidR="001330B8" w:rsidRPr="00813D19">
        <w:rPr>
          <w:bCs/>
          <w:lang w:val="en-US"/>
        </w:rPr>
        <w:t xml:space="preserve">as </w:t>
      </w:r>
      <w:r w:rsidR="00AC61B4" w:rsidRPr="00813D19">
        <w:rPr>
          <w:bCs/>
          <w:lang w:val="en-US"/>
        </w:rPr>
        <w:t xml:space="preserve">the list itself could </w:t>
      </w:r>
      <w:r w:rsidR="001330B8" w:rsidRPr="00813D19">
        <w:rPr>
          <w:bCs/>
          <w:lang w:val="en-US"/>
        </w:rPr>
        <w:t xml:space="preserve">be never-ending as </w:t>
      </w:r>
      <w:r w:rsidR="00AC61B4" w:rsidRPr="00813D19">
        <w:rPr>
          <w:bCs/>
          <w:lang w:val="en-US"/>
        </w:rPr>
        <w:t xml:space="preserve">other </w:t>
      </w:r>
      <w:r w:rsidR="001330B8" w:rsidRPr="00813D19">
        <w:rPr>
          <w:bCs/>
          <w:lang w:val="en-US"/>
        </w:rPr>
        <w:t xml:space="preserve">actors </w:t>
      </w:r>
      <w:r w:rsidR="00150869" w:rsidRPr="00813D19">
        <w:rPr>
          <w:bCs/>
          <w:lang w:val="en-US"/>
        </w:rPr>
        <w:t xml:space="preserve">could </w:t>
      </w:r>
      <w:r w:rsidR="00AC61B4" w:rsidRPr="00813D19">
        <w:rPr>
          <w:bCs/>
          <w:lang w:val="en-US"/>
        </w:rPr>
        <w:t xml:space="preserve">also be fundamental </w:t>
      </w:r>
      <w:r w:rsidR="00150869" w:rsidRPr="00813D19">
        <w:rPr>
          <w:bCs/>
          <w:lang w:val="en-US"/>
        </w:rPr>
        <w:t xml:space="preserve">to </w:t>
      </w:r>
      <w:r w:rsidR="00E41386">
        <w:rPr>
          <w:bCs/>
          <w:lang w:val="en-US"/>
        </w:rPr>
        <w:t>participation.</w:t>
      </w:r>
    </w:p>
    <w:p w14:paraId="7647DD6D" w14:textId="71FA7D33" w:rsidR="001330B8" w:rsidRPr="00813D19" w:rsidRDefault="00703F5E" w:rsidP="00703F5E">
      <w:pPr>
        <w:pStyle w:val="Orateurengris"/>
        <w:spacing w:before="120"/>
        <w:ind w:left="709" w:hanging="709"/>
        <w:rPr>
          <w:lang w:val="en-US"/>
        </w:rPr>
      </w:pPr>
      <w:r w:rsidRPr="00813D19">
        <w:rPr>
          <w:lang w:val="en-US"/>
        </w:rPr>
        <w:t xml:space="preserve">The </w:t>
      </w:r>
      <w:r w:rsidRPr="00813D19">
        <w:rPr>
          <w:b/>
          <w:lang w:val="en-US"/>
        </w:rPr>
        <w:t>delegation of Senegal</w:t>
      </w:r>
      <w:r w:rsidRPr="00813D19">
        <w:rPr>
          <w:lang w:val="en-US"/>
        </w:rPr>
        <w:t xml:space="preserve"> </w:t>
      </w:r>
      <w:r w:rsidR="001330B8" w:rsidRPr="00813D19">
        <w:rPr>
          <w:lang w:val="en-US"/>
        </w:rPr>
        <w:t>strongly supported paragraph 5</w:t>
      </w:r>
      <w:r w:rsidR="00150869" w:rsidRPr="00813D19">
        <w:rPr>
          <w:lang w:val="en-US"/>
        </w:rPr>
        <w:t>,</w:t>
      </w:r>
      <w:r w:rsidR="001330B8" w:rsidRPr="00813D19">
        <w:rPr>
          <w:lang w:val="en-US"/>
        </w:rPr>
        <w:t xml:space="preserve"> as it encouraged an inclusive and participatory monitoring mechanism on behalf of communities, which was extremely important.</w:t>
      </w:r>
    </w:p>
    <w:p w14:paraId="5E46C9E2" w14:textId="7B9284DF" w:rsidR="001330B8" w:rsidRPr="00813D19" w:rsidRDefault="00F53385" w:rsidP="00703F5E">
      <w:pPr>
        <w:pStyle w:val="Orateurengris"/>
        <w:spacing w:before="120"/>
        <w:ind w:left="709" w:hanging="709"/>
        <w:rPr>
          <w:lang w:val="en-US"/>
        </w:rPr>
      </w:pPr>
      <w:r w:rsidRPr="00813D19">
        <w:rPr>
          <w:lang w:val="en-US"/>
        </w:rPr>
        <w:t xml:space="preserve">The </w:t>
      </w:r>
      <w:r w:rsidRPr="00813D19">
        <w:rPr>
          <w:b/>
          <w:lang w:val="en-US"/>
        </w:rPr>
        <w:t>delegation of Palestine</w:t>
      </w:r>
      <w:r w:rsidR="00AC61B4" w:rsidRPr="00813D19">
        <w:rPr>
          <w:b/>
          <w:lang w:val="en-US"/>
        </w:rPr>
        <w:t xml:space="preserve"> </w:t>
      </w:r>
      <w:r w:rsidR="001330B8" w:rsidRPr="00813D19">
        <w:rPr>
          <w:lang w:val="en-US"/>
        </w:rPr>
        <w:t>agreed that</w:t>
      </w:r>
      <w:r w:rsidR="001330B8" w:rsidRPr="00813D19">
        <w:rPr>
          <w:b/>
          <w:lang w:val="en-US"/>
        </w:rPr>
        <w:t xml:space="preserve"> </w:t>
      </w:r>
      <w:r w:rsidR="001330B8" w:rsidRPr="00813D19">
        <w:rPr>
          <w:lang w:val="en-US"/>
        </w:rPr>
        <w:t xml:space="preserve">a reflection </w:t>
      </w:r>
      <w:r w:rsidR="00150869" w:rsidRPr="00813D19">
        <w:rPr>
          <w:lang w:val="en-US"/>
        </w:rPr>
        <w:t>was necessary</w:t>
      </w:r>
      <w:r w:rsidR="001330B8" w:rsidRPr="00813D19">
        <w:rPr>
          <w:lang w:val="en-US"/>
        </w:rPr>
        <w:t xml:space="preserve"> </w:t>
      </w:r>
      <w:r w:rsidR="00F322E8" w:rsidRPr="00813D19">
        <w:rPr>
          <w:lang w:val="en-US"/>
        </w:rPr>
        <w:t xml:space="preserve">and supported the proposal by the Philippines. </w:t>
      </w:r>
      <w:r w:rsidR="00296EB4" w:rsidRPr="00813D19">
        <w:rPr>
          <w:lang w:val="en-US"/>
        </w:rPr>
        <w:t xml:space="preserve">Taking </w:t>
      </w:r>
      <w:r w:rsidR="001330B8" w:rsidRPr="00813D19">
        <w:rPr>
          <w:lang w:val="en-US"/>
        </w:rPr>
        <w:t xml:space="preserve">the same </w:t>
      </w:r>
      <w:r w:rsidR="00296EB4" w:rsidRPr="00813D19">
        <w:rPr>
          <w:lang w:val="en-US"/>
        </w:rPr>
        <w:t>line</w:t>
      </w:r>
      <w:r w:rsidR="00F322E8" w:rsidRPr="00813D19">
        <w:rPr>
          <w:lang w:val="en-US"/>
        </w:rPr>
        <w:t xml:space="preserve"> </w:t>
      </w:r>
      <w:r w:rsidR="001330B8" w:rsidRPr="00813D19">
        <w:rPr>
          <w:lang w:val="en-US"/>
        </w:rPr>
        <w:t xml:space="preserve">as Cuba, </w:t>
      </w:r>
      <w:r w:rsidR="00150869" w:rsidRPr="00813D19">
        <w:rPr>
          <w:lang w:val="en-US"/>
        </w:rPr>
        <w:t xml:space="preserve">it </w:t>
      </w:r>
      <w:r w:rsidR="00F322E8" w:rsidRPr="00813D19">
        <w:rPr>
          <w:lang w:val="en-US"/>
        </w:rPr>
        <w:t xml:space="preserve">agreed that </w:t>
      </w:r>
      <w:r w:rsidR="001330B8" w:rsidRPr="00813D19">
        <w:rPr>
          <w:lang w:val="en-US"/>
        </w:rPr>
        <w:t xml:space="preserve">the proposal by the Netherlands and Austria </w:t>
      </w:r>
      <w:r w:rsidR="00F322E8" w:rsidRPr="00813D19">
        <w:rPr>
          <w:lang w:val="en-US"/>
        </w:rPr>
        <w:t xml:space="preserve">would </w:t>
      </w:r>
      <w:r w:rsidR="00296EB4" w:rsidRPr="00813D19">
        <w:rPr>
          <w:lang w:val="en-US"/>
        </w:rPr>
        <w:t>open up a list of unending parties</w:t>
      </w:r>
      <w:r w:rsidR="0006791C" w:rsidRPr="0006791C">
        <w:rPr>
          <w:lang w:val="en-US"/>
        </w:rPr>
        <w:t xml:space="preserve"> </w:t>
      </w:r>
      <w:r w:rsidR="0006791C" w:rsidRPr="00813D19">
        <w:rPr>
          <w:lang w:val="en-US"/>
        </w:rPr>
        <w:t>concerned</w:t>
      </w:r>
      <w:r w:rsidR="001330B8" w:rsidRPr="00813D19">
        <w:rPr>
          <w:lang w:val="en-US"/>
        </w:rPr>
        <w:t xml:space="preserve">, </w:t>
      </w:r>
      <w:r w:rsidR="00296EB4" w:rsidRPr="00813D19">
        <w:rPr>
          <w:lang w:val="en-US"/>
        </w:rPr>
        <w:t>and t</w:t>
      </w:r>
      <w:r w:rsidR="00150869" w:rsidRPr="00813D19">
        <w:rPr>
          <w:lang w:val="en-US"/>
        </w:rPr>
        <w:t>h</w:t>
      </w:r>
      <w:r w:rsidR="00296EB4" w:rsidRPr="00813D19">
        <w:rPr>
          <w:lang w:val="en-US"/>
        </w:rPr>
        <w:t>ere was no need to restrict the list</w:t>
      </w:r>
      <w:r w:rsidR="001330B8" w:rsidRPr="00813D19">
        <w:rPr>
          <w:lang w:val="en-US"/>
        </w:rPr>
        <w:t xml:space="preserve">. </w:t>
      </w:r>
      <w:r w:rsidR="00296EB4" w:rsidRPr="00813D19">
        <w:rPr>
          <w:lang w:val="en-US"/>
        </w:rPr>
        <w:t>The delegation therefore suggested either retain</w:t>
      </w:r>
      <w:r w:rsidR="0006791C">
        <w:rPr>
          <w:lang w:val="en-US"/>
        </w:rPr>
        <w:t>ing</w:t>
      </w:r>
      <w:r w:rsidR="00296EB4" w:rsidRPr="00813D19">
        <w:rPr>
          <w:lang w:val="en-US"/>
        </w:rPr>
        <w:t xml:space="preserve"> ‘ways for communities and concerned stakeholders’</w:t>
      </w:r>
      <w:r w:rsidR="001330B8" w:rsidRPr="00813D19">
        <w:rPr>
          <w:lang w:val="en-US"/>
        </w:rPr>
        <w:t xml:space="preserve"> or </w:t>
      </w:r>
      <w:r w:rsidR="00296EB4" w:rsidRPr="00813D19">
        <w:rPr>
          <w:lang w:val="en-US"/>
        </w:rPr>
        <w:t>delet</w:t>
      </w:r>
      <w:r w:rsidR="0006791C">
        <w:rPr>
          <w:lang w:val="en-US"/>
        </w:rPr>
        <w:t>ing</w:t>
      </w:r>
      <w:r w:rsidR="00296EB4" w:rsidRPr="00813D19">
        <w:rPr>
          <w:lang w:val="en-US"/>
        </w:rPr>
        <w:t xml:space="preserve"> it completely and </w:t>
      </w:r>
      <w:r w:rsidR="001330B8" w:rsidRPr="00813D19">
        <w:rPr>
          <w:lang w:val="en-US"/>
        </w:rPr>
        <w:t xml:space="preserve">simply </w:t>
      </w:r>
      <w:r w:rsidR="00296EB4" w:rsidRPr="00813D19">
        <w:rPr>
          <w:lang w:val="en-US"/>
        </w:rPr>
        <w:t>use ‘communities’ or ‘concerned parties’ instead of ‘</w:t>
      </w:r>
      <w:r w:rsidR="001330B8" w:rsidRPr="00813D19">
        <w:rPr>
          <w:lang w:val="en-US"/>
        </w:rPr>
        <w:t>groups, individuals</w:t>
      </w:r>
      <w:r w:rsidR="00150869" w:rsidRPr="00813D19">
        <w:rPr>
          <w:lang w:val="en-US"/>
        </w:rPr>
        <w:t xml:space="preserve">’, </w:t>
      </w:r>
      <w:r w:rsidR="003651E6" w:rsidRPr="00813D19">
        <w:rPr>
          <w:lang w:val="en-US"/>
        </w:rPr>
        <w:t xml:space="preserve">not least because </w:t>
      </w:r>
      <w:r w:rsidR="00296EB4" w:rsidRPr="00813D19">
        <w:rPr>
          <w:lang w:val="en-US"/>
        </w:rPr>
        <w:t>c</w:t>
      </w:r>
      <w:r w:rsidR="001330B8" w:rsidRPr="00813D19">
        <w:rPr>
          <w:lang w:val="en-US"/>
        </w:rPr>
        <w:t>ommuni</w:t>
      </w:r>
      <w:r w:rsidR="00150869" w:rsidRPr="00813D19">
        <w:rPr>
          <w:lang w:val="en-US"/>
        </w:rPr>
        <w:t>ties</w:t>
      </w:r>
      <w:r w:rsidR="00296EB4" w:rsidRPr="00813D19">
        <w:rPr>
          <w:lang w:val="en-US"/>
        </w:rPr>
        <w:t xml:space="preserve"> was understood among Members and experts</w:t>
      </w:r>
      <w:r w:rsidR="00161964" w:rsidRPr="00813D19">
        <w:rPr>
          <w:lang w:val="en-US"/>
        </w:rPr>
        <w:t xml:space="preserve"> as a general</w:t>
      </w:r>
      <w:r w:rsidR="00296EB4" w:rsidRPr="00813D19">
        <w:rPr>
          <w:lang w:val="en-US"/>
        </w:rPr>
        <w:t xml:space="preserve"> term</w:t>
      </w:r>
      <w:r w:rsidR="00E41386">
        <w:rPr>
          <w:lang w:val="en-US"/>
        </w:rPr>
        <w:t>.</w:t>
      </w:r>
    </w:p>
    <w:p w14:paraId="19D243DE" w14:textId="50BA3095" w:rsidR="000E3C53" w:rsidRPr="00813D19" w:rsidRDefault="000E3C53" w:rsidP="00703F5E">
      <w:pPr>
        <w:pStyle w:val="Orateurengris"/>
        <w:spacing w:before="120"/>
        <w:ind w:left="709" w:hanging="709"/>
        <w:rPr>
          <w:lang w:val="en-US"/>
        </w:rPr>
      </w:pPr>
      <w:r w:rsidRPr="00813D19">
        <w:rPr>
          <w:lang w:val="en-US"/>
        </w:rPr>
        <w:t xml:space="preserve">The </w:t>
      </w:r>
      <w:r w:rsidRPr="00813D19">
        <w:rPr>
          <w:b/>
          <w:lang w:val="en-US"/>
        </w:rPr>
        <w:t>delegation of Colombia</w:t>
      </w:r>
      <w:r w:rsidR="00AC61B4" w:rsidRPr="00813D19">
        <w:rPr>
          <w:b/>
          <w:lang w:val="en-US"/>
        </w:rPr>
        <w:t xml:space="preserve"> </w:t>
      </w:r>
      <w:r w:rsidR="00F322E8" w:rsidRPr="00813D19">
        <w:rPr>
          <w:bCs/>
          <w:lang w:val="en-US"/>
        </w:rPr>
        <w:t>supported the proposal by the Philippine</w:t>
      </w:r>
      <w:r w:rsidR="00161964" w:rsidRPr="00813D19">
        <w:rPr>
          <w:bCs/>
          <w:lang w:val="en-US"/>
        </w:rPr>
        <w:t xml:space="preserve">s, and echoed </w:t>
      </w:r>
      <w:r w:rsidR="00AC61B4" w:rsidRPr="00813D19">
        <w:rPr>
          <w:bCs/>
          <w:lang w:val="en-US"/>
        </w:rPr>
        <w:t xml:space="preserve">the proposal by Cuba to </w:t>
      </w:r>
      <w:r w:rsidR="00161964" w:rsidRPr="00813D19">
        <w:rPr>
          <w:bCs/>
          <w:lang w:val="en-US"/>
        </w:rPr>
        <w:t xml:space="preserve">mention </w:t>
      </w:r>
      <w:r w:rsidR="003651E6" w:rsidRPr="00813D19">
        <w:rPr>
          <w:bCs/>
          <w:lang w:val="en-US"/>
        </w:rPr>
        <w:t>‘</w:t>
      </w:r>
      <w:r w:rsidR="00AC61B4" w:rsidRPr="00813D19">
        <w:rPr>
          <w:bCs/>
          <w:lang w:val="en-US"/>
        </w:rPr>
        <w:t>communities and other stakeholders</w:t>
      </w:r>
      <w:r w:rsidR="003651E6" w:rsidRPr="00813D19">
        <w:rPr>
          <w:bCs/>
          <w:lang w:val="en-US"/>
        </w:rPr>
        <w:t>’</w:t>
      </w:r>
      <w:r w:rsidR="00AC61B4" w:rsidRPr="00813D19">
        <w:rPr>
          <w:bCs/>
          <w:lang w:val="en-US"/>
        </w:rPr>
        <w:t xml:space="preserve"> and </w:t>
      </w:r>
      <w:r w:rsidR="00161964" w:rsidRPr="00813D19">
        <w:rPr>
          <w:bCs/>
          <w:lang w:val="en-US"/>
        </w:rPr>
        <w:t xml:space="preserve">to </w:t>
      </w:r>
      <w:r w:rsidR="00AC61B4" w:rsidRPr="00813D19">
        <w:rPr>
          <w:bCs/>
          <w:lang w:val="en-US"/>
        </w:rPr>
        <w:t xml:space="preserve">leave it at that because every country </w:t>
      </w:r>
      <w:r w:rsidR="00161964" w:rsidRPr="00813D19">
        <w:rPr>
          <w:bCs/>
          <w:lang w:val="en-US"/>
        </w:rPr>
        <w:t>involved its people, communities or cent</w:t>
      </w:r>
      <w:r w:rsidR="00AC61B4" w:rsidRPr="00813D19">
        <w:rPr>
          <w:bCs/>
          <w:lang w:val="en-US"/>
        </w:rPr>
        <w:t>r</w:t>
      </w:r>
      <w:r w:rsidR="00161964" w:rsidRPr="00813D19">
        <w:rPr>
          <w:bCs/>
          <w:lang w:val="en-US"/>
        </w:rPr>
        <w:t>e</w:t>
      </w:r>
      <w:r w:rsidR="00AC61B4" w:rsidRPr="00813D19">
        <w:rPr>
          <w:bCs/>
          <w:lang w:val="en-US"/>
        </w:rPr>
        <w:t xml:space="preserve">s </w:t>
      </w:r>
      <w:r w:rsidR="00161964" w:rsidRPr="00813D19">
        <w:rPr>
          <w:bCs/>
          <w:lang w:val="en-US"/>
        </w:rPr>
        <w:t xml:space="preserve">that were </w:t>
      </w:r>
      <w:r w:rsidR="00AC61B4" w:rsidRPr="00813D19">
        <w:rPr>
          <w:bCs/>
          <w:lang w:val="en-US"/>
        </w:rPr>
        <w:t xml:space="preserve">really different from case to case. </w:t>
      </w:r>
      <w:r w:rsidR="00161964" w:rsidRPr="00813D19">
        <w:rPr>
          <w:bCs/>
          <w:lang w:val="en-US"/>
        </w:rPr>
        <w:t>Moreover, ‘</w:t>
      </w:r>
      <w:r w:rsidR="00AC61B4" w:rsidRPr="00813D19">
        <w:rPr>
          <w:bCs/>
          <w:lang w:val="en-US"/>
        </w:rPr>
        <w:t>communities and stakeholders</w:t>
      </w:r>
      <w:r w:rsidR="00161964" w:rsidRPr="00813D19">
        <w:rPr>
          <w:bCs/>
          <w:lang w:val="en-US"/>
        </w:rPr>
        <w:t>’</w:t>
      </w:r>
      <w:r w:rsidR="00AC61B4" w:rsidRPr="00813D19">
        <w:rPr>
          <w:bCs/>
          <w:lang w:val="en-US"/>
        </w:rPr>
        <w:t xml:space="preserve"> </w:t>
      </w:r>
      <w:r w:rsidR="00161964" w:rsidRPr="00813D19">
        <w:rPr>
          <w:bCs/>
          <w:lang w:val="en-US"/>
        </w:rPr>
        <w:t>already covered</w:t>
      </w:r>
      <w:r w:rsidR="00AC61B4" w:rsidRPr="00813D19">
        <w:rPr>
          <w:bCs/>
          <w:lang w:val="en-US"/>
        </w:rPr>
        <w:t xml:space="preserve"> all </w:t>
      </w:r>
      <w:r w:rsidR="003651E6" w:rsidRPr="00813D19">
        <w:rPr>
          <w:bCs/>
          <w:lang w:val="en-US"/>
        </w:rPr>
        <w:t xml:space="preserve">the </w:t>
      </w:r>
      <w:r w:rsidR="00E41386">
        <w:rPr>
          <w:bCs/>
          <w:lang w:val="en-US"/>
        </w:rPr>
        <w:t>possible participants.</w:t>
      </w:r>
    </w:p>
    <w:p w14:paraId="60DF8C25" w14:textId="735330CD" w:rsidR="000E3C53" w:rsidRPr="00813D19" w:rsidRDefault="000E3C53" w:rsidP="00703F5E">
      <w:pPr>
        <w:pStyle w:val="Orateurengris"/>
        <w:spacing w:before="120"/>
        <w:ind w:left="709" w:hanging="709"/>
        <w:rPr>
          <w:lang w:val="en-US"/>
        </w:rPr>
      </w:pPr>
      <w:r w:rsidRPr="00813D19">
        <w:rPr>
          <w:lang w:val="en-US"/>
        </w:rPr>
        <w:t xml:space="preserve">The </w:t>
      </w:r>
      <w:r w:rsidRPr="00813D19">
        <w:rPr>
          <w:b/>
          <w:lang w:val="en-US"/>
        </w:rPr>
        <w:t>delegation of Poland</w:t>
      </w:r>
      <w:r w:rsidRPr="00813D19">
        <w:rPr>
          <w:lang w:val="en-US"/>
        </w:rPr>
        <w:t xml:space="preserve"> supported the </w:t>
      </w:r>
      <w:r w:rsidR="00161964" w:rsidRPr="00813D19">
        <w:rPr>
          <w:lang w:val="en-US"/>
        </w:rPr>
        <w:t>amendment by Austria and the Netherlands, as it adhered to</w:t>
      </w:r>
      <w:r w:rsidRPr="00813D19">
        <w:rPr>
          <w:lang w:val="en-US"/>
        </w:rPr>
        <w:t xml:space="preserve"> </w:t>
      </w:r>
      <w:r w:rsidR="00E41386">
        <w:rPr>
          <w:lang w:val="en-US"/>
        </w:rPr>
        <w:t>the language of the Convention.</w:t>
      </w:r>
    </w:p>
    <w:p w14:paraId="1400954D" w14:textId="18C26905" w:rsidR="000E3C53" w:rsidRPr="00813D19" w:rsidRDefault="000E3C53" w:rsidP="00703F5E">
      <w:pPr>
        <w:pStyle w:val="Orateurengris"/>
        <w:spacing w:before="120"/>
        <w:ind w:left="709" w:hanging="709"/>
        <w:rPr>
          <w:lang w:val="en-US"/>
        </w:rPr>
      </w:pPr>
      <w:r w:rsidRPr="00813D19">
        <w:rPr>
          <w:lang w:val="en-US"/>
        </w:rPr>
        <w:t xml:space="preserve">The </w:t>
      </w:r>
      <w:r w:rsidRPr="00813D19">
        <w:rPr>
          <w:b/>
          <w:lang w:val="en-US"/>
        </w:rPr>
        <w:t>delegation of Armenia</w:t>
      </w:r>
      <w:r w:rsidRPr="00813D19">
        <w:rPr>
          <w:lang w:val="en-US"/>
        </w:rPr>
        <w:t xml:space="preserve"> </w:t>
      </w:r>
      <w:r w:rsidR="00813D19" w:rsidRPr="00813D19">
        <w:rPr>
          <w:lang w:val="en-US"/>
        </w:rPr>
        <w:t>fully</w:t>
      </w:r>
      <w:r w:rsidR="00EA5E3D" w:rsidRPr="00813D19">
        <w:rPr>
          <w:lang w:val="en-US"/>
        </w:rPr>
        <w:t xml:space="preserve"> support</w:t>
      </w:r>
      <w:r w:rsidR="00161964" w:rsidRPr="00813D19">
        <w:rPr>
          <w:lang w:val="en-US"/>
        </w:rPr>
        <w:t>ed</w:t>
      </w:r>
      <w:r w:rsidR="00EA5E3D" w:rsidRPr="00813D19">
        <w:rPr>
          <w:lang w:val="en-US"/>
        </w:rPr>
        <w:t xml:space="preserve"> </w:t>
      </w:r>
      <w:r w:rsidR="00161964" w:rsidRPr="00813D19">
        <w:rPr>
          <w:lang w:val="en-US"/>
        </w:rPr>
        <w:t xml:space="preserve">the amendment by </w:t>
      </w:r>
      <w:r w:rsidR="00EA5E3D" w:rsidRPr="00813D19">
        <w:rPr>
          <w:lang w:val="en-US"/>
        </w:rPr>
        <w:t xml:space="preserve">Austria and </w:t>
      </w:r>
      <w:r w:rsidR="00161964" w:rsidRPr="00813D19">
        <w:rPr>
          <w:lang w:val="en-US"/>
        </w:rPr>
        <w:t>the Netherland</w:t>
      </w:r>
      <w:r w:rsidR="00EA5E3D" w:rsidRPr="00813D19">
        <w:rPr>
          <w:lang w:val="en-US"/>
        </w:rPr>
        <w:t>s</w:t>
      </w:r>
      <w:r w:rsidR="00161964" w:rsidRPr="00813D19">
        <w:rPr>
          <w:lang w:val="en-US"/>
        </w:rPr>
        <w:t xml:space="preserve">, noting </w:t>
      </w:r>
      <w:r w:rsidR="00EA5E3D" w:rsidRPr="00813D19">
        <w:rPr>
          <w:lang w:val="en-US"/>
        </w:rPr>
        <w:t>Palestine</w:t>
      </w:r>
      <w:r w:rsidR="00161964" w:rsidRPr="00813D19">
        <w:rPr>
          <w:lang w:val="en-US"/>
        </w:rPr>
        <w:t>’s inclusion of</w:t>
      </w:r>
      <w:r w:rsidR="00EA5E3D" w:rsidRPr="00813D19">
        <w:rPr>
          <w:lang w:val="en-US"/>
        </w:rPr>
        <w:t xml:space="preserve"> </w:t>
      </w:r>
      <w:r w:rsidR="00161964" w:rsidRPr="00813D19">
        <w:rPr>
          <w:lang w:val="en-US"/>
        </w:rPr>
        <w:t xml:space="preserve">‘other </w:t>
      </w:r>
      <w:r w:rsidR="00EA5E3D" w:rsidRPr="00813D19">
        <w:rPr>
          <w:lang w:val="en-US"/>
        </w:rPr>
        <w:t>concerned stakeholders</w:t>
      </w:r>
      <w:r w:rsidR="00161964" w:rsidRPr="00813D19">
        <w:rPr>
          <w:lang w:val="en-US"/>
        </w:rPr>
        <w:t>’</w:t>
      </w:r>
      <w:r w:rsidR="00EA5E3D" w:rsidRPr="00813D19">
        <w:rPr>
          <w:lang w:val="en-US"/>
        </w:rPr>
        <w:t xml:space="preserve"> or </w:t>
      </w:r>
      <w:r w:rsidR="00161964" w:rsidRPr="00813D19">
        <w:rPr>
          <w:lang w:val="en-US"/>
        </w:rPr>
        <w:t>‘</w:t>
      </w:r>
      <w:r w:rsidR="00EA5E3D" w:rsidRPr="00813D19">
        <w:rPr>
          <w:lang w:val="en-US"/>
        </w:rPr>
        <w:t>other concerned parties</w:t>
      </w:r>
      <w:r w:rsidR="00161964" w:rsidRPr="00813D19">
        <w:rPr>
          <w:lang w:val="en-US"/>
        </w:rPr>
        <w:t>’</w:t>
      </w:r>
      <w:r w:rsidR="00EA5E3D" w:rsidRPr="00813D19">
        <w:rPr>
          <w:lang w:val="en-US"/>
        </w:rPr>
        <w:t xml:space="preserve"> to have </w:t>
      </w:r>
      <w:r w:rsidR="00161964" w:rsidRPr="00813D19">
        <w:rPr>
          <w:lang w:val="en-US"/>
        </w:rPr>
        <w:t xml:space="preserve">the </w:t>
      </w:r>
      <w:r w:rsidR="00EA5E3D" w:rsidRPr="00813D19">
        <w:rPr>
          <w:lang w:val="en-US"/>
        </w:rPr>
        <w:t>wide</w:t>
      </w:r>
      <w:r w:rsidR="00161964" w:rsidRPr="00813D19">
        <w:rPr>
          <w:lang w:val="en-US"/>
        </w:rPr>
        <w:t>st</w:t>
      </w:r>
      <w:r w:rsidR="00EA5E3D" w:rsidRPr="00813D19">
        <w:rPr>
          <w:lang w:val="en-US"/>
        </w:rPr>
        <w:t xml:space="preserve"> coverage possible </w:t>
      </w:r>
      <w:r w:rsidR="00161964" w:rsidRPr="00813D19">
        <w:rPr>
          <w:lang w:val="en-US"/>
        </w:rPr>
        <w:t xml:space="preserve">as intangible cultural heritage </w:t>
      </w:r>
      <w:r w:rsidR="00EA5E3D" w:rsidRPr="00813D19">
        <w:rPr>
          <w:lang w:val="en-US"/>
        </w:rPr>
        <w:t xml:space="preserve">elements really </w:t>
      </w:r>
      <w:r w:rsidR="00161964" w:rsidRPr="00813D19">
        <w:rPr>
          <w:lang w:val="en-US"/>
        </w:rPr>
        <w:t xml:space="preserve">concerned people, </w:t>
      </w:r>
      <w:r w:rsidR="00E41386">
        <w:rPr>
          <w:lang w:val="en-US"/>
        </w:rPr>
        <w:t>the actual bearers.</w:t>
      </w:r>
    </w:p>
    <w:p w14:paraId="2219AFEB" w14:textId="4B14160E" w:rsidR="000E3C53" w:rsidRPr="00813D19" w:rsidRDefault="000E3C53" w:rsidP="00703F5E">
      <w:pPr>
        <w:pStyle w:val="Orateurengris"/>
        <w:spacing w:before="120"/>
        <w:ind w:left="709" w:hanging="709"/>
        <w:rPr>
          <w:lang w:val="en-US"/>
        </w:rPr>
      </w:pPr>
      <w:r w:rsidRPr="00813D19">
        <w:rPr>
          <w:lang w:val="en-US"/>
        </w:rPr>
        <w:t xml:space="preserve">The </w:t>
      </w:r>
      <w:r w:rsidRPr="00813D19">
        <w:rPr>
          <w:b/>
          <w:lang w:val="en-US"/>
        </w:rPr>
        <w:t>delegation of Jamaica</w:t>
      </w:r>
      <w:r w:rsidRPr="00813D19">
        <w:rPr>
          <w:lang w:val="en-US"/>
        </w:rPr>
        <w:t xml:space="preserve"> supported the amendment by Cuba, Palestine and others</w:t>
      </w:r>
      <w:r w:rsidR="00F322E8" w:rsidRPr="00813D19">
        <w:rPr>
          <w:lang w:val="en-US"/>
        </w:rPr>
        <w:t>, as</w:t>
      </w:r>
      <w:r w:rsidR="00E41386">
        <w:rPr>
          <w:lang w:val="en-US"/>
        </w:rPr>
        <w:t xml:space="preserve"> reflected in paragraph 5.</w:t>
      </w:r>
    </w:p>
    <w:p w14:paraId="564E89EC" w14:textId="793DCD97" w:rsidR="00F63CA0" w:rsidRPr="00813D19" w:rsidRDefault="00F63CA0" w:rsidP="00703F5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161964" w:rsidRPr="00813D19">
        <w:rPr>
          <w:lang w:val="en-US"/>
        </w:rPr>
        <w:t xml:space="preserve">noted </w:t>
      </w:r>
      <w:r w:rsidR="00EA5E3D" w:rsidRPr="00813D19">
        <w:rPr>
          <w:lang w:val="en-US"/>
        </w:rPr>
        <w:t xml:space="preserve">two </w:t>
      </w:r>
      <w:r w:rsidR="00161964" w:rsidRPr="00813D19">
        <w:rPr>
          <w:lang w:val="en-US"/>
        </w:rPr>
        <w:t xml:space="preserve">proposed </w:t>
      </w:r>
      <w:r w:rsidR="00EA5E3D" w:rsidRPr="00813D19">
        <w:rPr>
          <w:lang w:val="en-US"/>
        </w:rPr>
        <w:t>amendments</w:t>
      </w:r>
      <w:r w:rsidR="009D12B7" w:rsidRPr="00813D19">
        <w:rPr>
          <w:lang w:val="en-US"/>
        </w:rPr>
        <w:t xml:space="preserve"> in that</w:t>
      </w:r>
      <w:r w:rsidR="00161964" w:rsidRPr="00813D19">
        <w:rPr>
          <w:lang w:val="en-US"/>
        </w:rPr>
        <w:t xml:space="preserve"> o</w:t>
      </w:r>
      <w:r w:rsidR="00EA5E3D" w:rsidRPr="00813D19">
        <w:rPr>
          <w:lang w:val="en-US"/>
        </w:rPr>
        <w:t xml:space="preserve">ne </w:t>
      </w:r>
      <w:r w:rsidR="00161964" w:rsidRPr="00813D19">
        <w:rPr>
          <w:lang w:val="en-US"/>
        </w:rPr>
        <w:t>‘</w:t>
      </w:r>
      <w:r w:rsidR="00EA5E3D" w:rsidRPr="00813D19">
        <w:rPr>
          <w:lang w:val="en-US"/>
        </w:rPr>
        <w:t>reflect</w:t>
      </w:r>
      <w:r w:rsidR="00161964" w:rsidRPr="00813D19">
        <w:rPr>
          <w:lang w:val="en-US"/>
        </w:rPr>
        <w:t>ed’</w:t>
      </w:r>
      <w:r w:rsidR="00EA5E3D" w:rsidRPr="00813D19">
        <w:rPr>
          <w:lang w:val="en-US"/>
        </w:rPr>
        <w:t xml:space="preserve"> instead of </w:t>
      </w:r>
      <w:r w:rsidR="00161964" w:rsidRPr="00813D19">
        <w:rPr>
          <w:lang w:val="en-US"/>
        </w:rPr>
        <w:t xml:space="preserve">‘strengthening’, which had consensus, and </w:t>
      </w:r>
      <w:r w:rsidR="00EA5E3D" w:rsidRPr="00813D19">
        <w:rPr>
          <w:lang w:val="en-US"/>
        </w:rPr>
        <w:t xml:space="preserve">the second </w:t>
      </w:r>
      <w:r w:rsidR="00161964" w:rsidRPr="00813D19">
        <w:rPr>
          <w:lang w:val="en-US"/>
        </w:rPr>
        <w:t xml:space="preserve">was </w:t>
      </w:r>
      <w:r w:rsidR="00EA5E3D" w:rsidRPr="00813D19">
        <w:rPr>
          <w:lang w:val="en-US"/>
        </w:rPr>
        <w:t xml:space="preserve">whether </w:t>
      </w:r>
      <w:r w:rsidR="00161964" w:rsidRPr="00813D19">
        <w:rPr>
          <w:lang w:val="en-US"/>
        </w:rPr>
        <w:t xml:space="preserve">the sentence </w:t>
      </w:r>
      <w:r w:rsidR="00EA5E3D" w:rsidRPr="00813D19">
        <w:rPr>
          <w:lang w:val="en-US"/>
        </w:rPr>
        <w:t xml:space="preserve">should </w:t>
      </w:r>
      <w:r w:rsidR="00161964" w:rsidRPr="00813D19">
        <w:rPr>
          <w:lang w:val="en-US"/>
        </w:rPr>
        <w:t xml:space="preserve">be </w:t>
      </w:r>
      <w:r w:rsidR="00EA5E3D" w:rsidRPr="00813D19">
        <w:rPr>
          <w:lang w:val="en-US"/>
        </w:rPr>
        <w:t>limit</w:t>
      </w:r>
      <w:r w:rsidR="00161964" w:rsidRPr="00813D19">
        <w:rPr>
          <w:lang w:val="en-US"/>
        </w:rPr>
        <w:t>ed</w:t>
      </w:r>
      <w:r w:rsidR="00EA5E3D" w:rsidRPr="00813D19">
        <w:rPr>
          <w:lang w:val="en-US"/>
        </w:rPr>
        <w:t xml:space="preserve"> to communities or </w:t>
      </w:r>
      <w:r w:rsidR="00161964" w:rsidRPr="00813D19">
        <w:rPr>
          <w:lang w:val="en-US"/>
        </w:rPr>
        <w:t xml:space="preserve">be </w:t>
      </w:r>
      <w:r w:rsidR="00EA5E3D" w:rsidRPr="00813D19">
        <w:rPr>
          <w:lang w:val="en-US"/>
        </w:rPr>
        <w:t>extend</w:t>
      </w:r>
      <w:r w:rsidR="00161964" w:rsidRPr="00813D19">
        <w:rPr>
          <w:lang w:val="en-US"/>
        </w:rPr>
        <w:t>ed</w:t>
      </w:r>
      <w:r w:rsidR="00EA5E3D" w:rsidRPr="00813D19">
        <w:rPr>
          <w:lang w:val="en-US"/>
        </w:rPr>
        <w:t xml:space="preserve"> </w:t>
      </w:r>
      <w:r w:rsidR="00161964" w:rsidRPr="00813D19">
        <w:rPr>
          <w:lang w:val="en-US"/>
        </w:rPr>
        <w:t xml:space="preserve">beyond the </w:t>
      </w:r>
      <w:r w:rsidR="00E41386">
        <w:rPr>
          <w:lang w:val="en-US"/>
        </w:rPr>
        <w:t>communities.</w:t>
      </w:r>
    </w:p>
    <w:p w14:paraId="68C1A2C5" w14:textId="7FBB833B" w:rsidR="00703F5E" w:rsidRPr="00813D19" w:rsidRDefault="00F63CA0" w:rsidP="00703F5E">
      <w:pPr>
        <w:pStyle w:val="Orateurengris"/>
        <w:spacing w:before="120"/>
        <w:ind w:left="709" w:hanging="709"/>
        <w:rPr>
          <w:lang w:val="en-US"/>
        </w:rPr>
      </w:pPr>
      <w:r w:rsidRPr="00813D19">
        <w:rPr>
          <w:lang w:val="en-US"/>
        </w:rPr>
        <w:t xml:space="preserve">The </w:t>
      </w:r>
      <w:r w:rsidRPr="00813D19">
        <w:rPr>
          <w:b/>
          <w:lang w:val="en-US"/>
        </w:rPr>
        <w:t>delegation of Austria</w:t>
      </w:r>
      <w:r w:rsidR="000E3C53" w:rsidRPr="00813D19">
        <w:rPr>
          <w:lang w:val="en-US"/>
        </w:rPr>
        <w:t xml:space="preserve"> </w:t>
      </w:r>
      <w:r w:rsidR="00161964" w:rsidRPr="00813D19">
        <w:rPr>
          <w:lang w:val="en-US"/>
        </w:rPr>
        <w:t xml:space="preserve">clarified that </w:t>
      </w:r>
      <w:r w:rsidR="005016CC" w:rsidRPr="00813D19">
        <w:rPr>
          <w:lang w:val="en-US"/>
        </w:rPr>
        <w:t xml:space="preserve">the </w:t>
      </w:r>
      <w:r w:rsidR="00EA5E3D" w:rsidRPr="00813D19">
        <w:rPr>
          <w:lang w:val="en-US"/>
        </w:rPr>
        <w:t xml:space="preserve">only reason </w:t>
      </w:r>
      <w:r w:rsidR="005016CC" w:rsidRPr="00813D19">
        <w:rPr>
          <w:lang w:val="en-US"/>
        </w:rPr>
        <w:t xml:space="preserve">it </w:t>
      </w:r>
      <w:r w:rsidR="00EA5E3D" w:rsidRPr="00813D19">
        <w:rPr>
          <w:lang w:val="en-US"/>
        </w:rPr>
        <w:t xml:space="preserve">brought </w:t>
      </w:r>
      <w:r w:rsidR="005016CC" w:rsidRPr="00813D19">
        <w:rPr>
          <w:lang w:val="en-US"/>
        </w:rPr>
        <w:t xml:space="preserve">up the amendment was </w:t>
      </w:r>
      <w:r w:rsidR="00EA5E3D" w:rsidRPr="00813D19">
        <w:rPr>
          <w:lang w:val="en-US"/>
        </w:rPr>
        <w:t xml:space="preserve">to </w:t>
      </w:r>
      <w:r w:rsidR="005016CC" w:rsidRPr="00813D19">
        <w:rPr>
          <w:lang w:val="en-US"/>
        </w:rPr>
        <w:t xml:space="preserve">adhere </w:t>
      </w:r>
      <w:r w:rsidR="00EA5E3D" w:rsidRPr="00813D19">
        <w:rPr>
          <w:lang w:val="en-US"/>
        </w:rPr>
        <w:t xml:space="preserve">to the </w:t>
      </w:r>
      <w:r w:rsidR="005016CC" w:rsidRPr="00813D19">
        <w:rPr>
          <w:lang w:val="en-US"/>
        </w:rPr>
        <w:t xml:space="preserve">standard </w:t>
      </w:r>
      <w:r w:rsidR="00EA5E3D" w:rsidRPr="00813D19">
        <w:rPr>
          <w:lang w:val="en-US"/>
        </w:rPr>
        <w:t>language of the Convention</w:t>
      </w:r>
      <w:r w:rsidR="005016CC" w:rsidRPr="00813D19">
        <w:rPr>
          <w:lang w:val="en-US"/>
        </w:rPr>
        <w:t xml:space="preserve">, as </w:t>
      </w:r>
      <w:r w:rsidR="00EA5E3D" w:rsidRPr="00813D19">
        <w:rPr>
          <w:lang w:val="en-US"/>
        </w:rPr>
        <w:t>also mentioned by Belgium.</w:t>
      </w:r>
    </w:p>
    <w:p w14:paraId="1A2D09C4" w14:textId="167BCA49" w:rsidR="005016CC" w:rsidRPr="00813D19" w:rsidRDefault="00733BF0" w:rsidP="00703F5E">
      <w:pPr>
        <w:pStyle w:val="Orateurengris"/>
        <w:spacing w:before="120"/>
        <w:ind w:left="709" w:hanging="709"/>
        <w:rPr>
          <w:lang w:val="en-US"/>
        </w:rPr>
      </w:pPr>
      <w:r w:rsidRPr="00813D19">
        <w:rPr>
          <w:lang w:val="en-US"/>
        </w:rPr>
        <w:t xml:space="preserve">The </w:t>
      </w:r>
      <w:r w:rsidRPr="00813D19">
        <w:rPr>
          <w:b/>
          <w:lang w:val="en-US"/>
        </w:rPr>
        <w:t>delegation of Djibouti</w:t>
      </w:r>
      <w:r w:rsidRPr="00813D19">
        <w:rPr>
          <w:lang w:val="en-US"/>
        </w:rPr>
        <w:t xml:space="preserve"> </w:t>
      </w:r>
      <w:r w:rsidR="005016CC" w:rsidRPr="00813D19">
        <w:rPr>
          <w:lang w:val="en-US"/>
        </w:rPr>
        <w:t>agreed that this document was very important with regard to the follow-up, as highlighted by previous speakers. In addition to communities and civil society, it also wished to add</w:t>
      </w:r>
      <w:r w:rsidR="00E41386">
        <w:rPr>
          <w:lang w:val="en-US"/>
        </w:rPr>
        <w:t xml:space="preserve"> ‘practitioners’ and ‘bearers’.</w:t>
      </w:r>
    </w:p>
    <w:p w14:paraId="1DCFF516" w14:textId="273CF4D5" w:rsidR="006203CA" w:rsidRPr="00813D19" w:rsidRDefault="006203CA" w:rsidP="005016CC">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5016CC" w:rsidRPr="00813D19">
        <w:rPr>
          <w:lang w:val="en-US"/>
        </w:rPr>
        <w:t xml:space="preserve">noted that </w:t>
      </w:r>
      <w:r w:rsidRPr="00813D19">
        <w:rPr>
          <w:lang w:val="en-US"/>
        </w:rPr>
        <w:t xml:space="preserve">Djibouti </w:t>
      </w:r>
      <w:r w:rsidR="005016CC" w:rsidRPr="00813D19">
        <w:rPr>
          <w:lang w:val="en-US"/>
        </w:rPr>
        <w:t>proposed</w:t>
      </w:r>
      <w:r w:rsidRPr="00813D19">
        <w:rPr>
          <w:lang w:val="en-US"/>
        </w:rPr>
        <w:t xml:space="preserve"> </w:t>
      </w:r>
      <w:r w:rsidR="005016CC" w:rsidRPr="00813D19">
        <w:rPr>
          <w:lang w:val="en-US"/>
        </w:rPr>
        <w:t xml:space="preserve">more precise language that included ‘practitioners and bearers’ in place </w:t>
      </w:r>
      <w:r w:rsidRPr="00813D19">
        <w:rPr>
          <w:lang w:val="en-US"/>
        </w:rPr>
        <w:t xml:space="preserve">of </w:t>
      </w:r>
      <w:r w:rsidR="005016CC" w:rsidRPr="00813D19">
        <w:rPr>
          <w:lang w:val="en-US"/>
        </w:rPr>
        <w:t>‘</w:t>
      </w:r>
      <w:r w:rsidRPr="00813D19">
        <w:rPr>
          <w:lang w:val="en-US"/>
        </w:rPr>
        <w:t>communities</w:t>
      </w:r>
      <w:r w:rsidR="005016CC" w:rsidRPr="00813D19">
        <w:rPr>
          <w:lang w:val="en-US"/>
        </w:rPr>
        <w:t xml:space="preserve">’, adding that it was not </w:t>
      </w:r>
      <w:r w:rsidRPr="00813D19">
        <w:rPr>
          <w:lang w:val="en-US"/>
        </w:rPr>
        <w:t xml:space="preserve">extending </w:t>
      </w:r>
      <w:r w:rsidR="005016CC" w:rsidRPr="00813D19">
        <w:rPr>
          <w:lang w:val="en-US"/>
        </w:rPr>
        <w:t>the scope too wid</w:t>
      </w:r>
      <w:r w:rsidR="00E41386">
        <w:rPr>
          <w:lang w:val="en-US"/>
        </w:rPr>
        <w:t>ely, while being more targeted.</w:t>
      </w:r>
    </w:p>
    <w:p w14:paraId="0B7D7A2D" w14:textId="091A07D2" w:rsidR="00733BF0" w:rsidRPr="00813D19" w:rsidRDefault="00144173" w:rsidP="00703F5E">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CF2FA5" w:rsidRPr="00813D19">
        <w:rPr>
          <w:lang w:val="en-US"/>
        </w:rPr>
        <w:t xml:space="preserve">remarked that the Committee </w:t>
      </w:r>
      <w:r w:rsidR="005B3EBE" w:rsidRPr="00813D19">
        <w:rPr>
          <w:lang w:val="en-US"/>
        </w:rPr>
        <w:t xml:space="preserve">had once again </w:t>
      </w:r>
      <w:r w:rsidR="005B3EBE" w:rsidRPr="00813D19">
        <w:rPr>
          <w:bCs/>
          <w:lang w:val="en-US"/>
        </w:rPr>
        <w:t xml:space="preserve">returned </w:t>
      </w:r>
      <w:r w:rsidR="006203CA" w:rsidRPr="00813D19">
        <w:rPr>
          <w:bCs/>
          <w:lang w:val="en-US"/>
        </w:rPr>
        <w:t xml:space="preserve">to the question of </w:t>
      </w:r>
      <w:r w:rsidR="005B3EBE" w:rsidRPr="00813D19">
        <w:rPr>
          <w:bCs/>
          <w:lang w:val="en-US"/>
        </w:rPr>
        <w:t>‘</w:t>
      </w:r>
      <w:r w:rsidR="006203CA" w:rsidRPr="00813D19">
        <w:rPr>
          <w:bCs/>
          <w:lang w:val="en-US"/>
        </w:rPr>
        <w:t>what are communities</w:t>
      </w:r>
      <w:r w:rsidR="005B3EBE" w:rsidRPr="00813D19">
        <w:rPr>
          <w:bCs/>
          <w:lang w:val="en-US"/>
        </w:rPr>
        <w:t>?’,</w:t>
      </w:r>
      <w:r w:rsidR="006203CA" w:rsidRPr="00813D19">
        <w:rPr>
          <w:bCs/>
          <w:lang w:val="en-US"/>
        </w:rPr>
        <w:t xml:space="preserve"> which</w:t>
      </w:r>
      <w:r w:rsidR="0006791C">
        <w:rPr>
          <w:bCs/>
          <w:lang w:val="en-US"/>
        </w:rPr>
        <w:t>,</w:t>
      </w:r>
      <w:r w:rsidR="006203CA" w:rsidRPr="00813D19">
        <w:rPr>
          <w:bCs/>
          <w:lang w:val="en-US"/>
        </w:rPr>
        <w:t xml:space="preserve"> </w:t>
      </w:r>
      <w:r w:rsidR="005B3EBE" w:rsidRPr="00813D19">
        <w:rPr>
          <w:bCs/>
          <w:lang w:val="en-US"/>
        </w:rPr>
        <w:t xml:space="preserve">although not </w:t>
      </w:r>
      <w:r w:rsidR="006203CA" w:rsidRPr="00813D19">
        <w:rPr>
          <w:bCs/>
          <w:lang w:val="en-US"/>
        </w:rPr>
        <w:t>specifical</w:t>
      </w:r>
      <w:r w:rsidR="005B3EBE" w:rsidRPr="00813D19">
        <w:rPr>
          <w:bCs/>
          <w:lang w:val="en-US"/>
        </w:rPr>
        <w:t>ly defined in the Convention</w:t>
      </w:r>
      <w:r w:rsidR="0006791C">
        <w:rPr>
          <w:bCs/>
          <w:lang w:val="en-US"/>
        </w:rPr>
        <w:t>,</w:t>
      </w:r>
      <w:r w:rsidR="005B3EBE" w:rsidRPr="00813D19">
        <w:rPr>
          <w:bCs/>
          <w:lang w:val="en-US"/>
        </w:rPr>
        <w:t xml:space="preserve"> was </w:t>
      </w:r>
      <w:r w:rsidR="006203CA" w:rsidRPr="00813D19">
        <w:rPr>
          <w:bCs/>
          <w:lang w:val="en-US"/>
        </w:rPr>
        <w:t>general</w:t>
      </w:r>
      <w:r w:rsidR="005B3EBE" w:rsidRPr="00813D19">
        <w:rPr>
          <w:bCs/>
          <w:lang w:val="en-US"/>
        </w:rPr>
        <w:t xml:space="preserve">ly </w:t>
      </w:r>
      <w:r w:rsidR="006203CA" w:rsidRPr="00813D19">
        <w:rPr>
          <w:bCs/>
          <w:lang w:val="en-US"/>
        </w:rPr>
        <w:t xml:space="preserve">understood </w:t>
      </w:r>
      <w:r w:rsidR="005B3EBE" w:rsidRPr="00813D19">
        <w:rPr>
          <w:bCs/>
          <w:lang w:val="en-US"/>
        </w:rPr>
        <w:t xml:space="preserve">to encompass </w:t>
      </w:r>
      <w:r w:rsidR="006203CA" w:rsidRPr="00813D19">
        <w:rPr>
          <w:bCs/>
          <w:lang w:val="en-US"/>
        </w:rPr>
        <w:t>practitioners an</w:t>
      </w:r>
      <w:r w:rsidR="005B3EBE" w:rsidRPr="00813D19">
        <w:rPr>
          <w:bCs/>
          <w:lang w:val="en-US"/>
        </w:rPr>
        <w:t>d bearers, just as the c</w:t>
      </w:r>
      <w:r w:rsidR="006203CA" w:rsidRPr="00813D19">
        <w:rPr>
          <w:bCs/>
          <w:lang w:val="en-US"/>
        </w:rPr>
        <w:t xml:space="preserve">ommunities </w:t>
      </w:r>
      <w:r w:rsidR="005B3EBE" w:rsidRPr="00813D19">
        <w:rPr>
          <w:bCs/>
          <w:lang w:val="en-US"/>
        </w:rPr>
        <w:t xml:space="preserve">(the </w:t>
      </w:r>
      <w:r w:rsidR="006203CA" w:rsidRPr="00813D19">
        <w:rPr>
          <w:bCs/>
          <w:lang w:val="en-US"/>
        </w:rPr>
        <w:t>practitioners and bearers</w:t>
      </w:r>
      <w:r w:rsidR="005B3EBE" w:rsidRPr="00813D19">
        <w:rPr>
          <w:bCs/>
          <w:lang w:val="en-US"/>
        </w:rPr>
        <w:t>)</w:t>
      </w:r>
      <w:r w:rsidR="006203CA" w:rsidRPr="00813D19">
        <w:rPr>
          <w:bCs/>
          <w:lang w:val="en-US"/>
        </w:rPr>
        <w:t xml:space="preserve"> </w:t>
      </w:r>
      <w:r w:rsidR="005B3EBE" w:rsidRPr="00813D19">
        <w:rPr>
          <w:bCs/>
          <w:lang w:val="en-US"/>
        </w:rPr>
        <w:t>are identified throughout the nomination files</w:t>
      </w:r>
      <w:r w:rsidR="006203CA" w:rsidRPr="00813D19">
        <w:rPr>
          <w:bCs/>
          <w:lang w:val="en-US"/>
        </w:rPr>
        <w:t xml:space="preserve">. </w:t>
      </w:r>
      <w:r w:rsidR="005B3EBE" w:rsidRPr="00813D19">
        <w:rPr>
          <w:bCs/>
          <w:lang w:val="en-US"/>
        </w:rPr>
        <w:t>The Secretary concurred that ‘communities, groups and, in some cases</w:t>
      </w:r>
      <w:r w:rsidR="003651E6" w:rsidRPr="00813D19">
        <w:rPr>
          <w:bCs/>
          <w:lang w:val="en-US"/>
        </w:rPr>
        <w:t>,</w:t>
      </w:r>
      <w:r w:rsidR="005B3EBE" w:rsidRPr="00813D19">
        <w:rPr>
          <w:bCs/>
          <w:lang w:val="en-US"/>
        </w:rPr>
        <w:t xml:space="preserve"> Individuals’ </w:t>
      </w:r>
      <w:r w:rsidR="0006791C">
        <w:rPr>
          <w:bCs/>
          <w:lang w:val="en-US"/>
        </w:rPr>
        <w:t>was</w:t>
      </w:r>
      <w:r w:rsidR="005B3EBE" w:rsidRPr="00813D19">
        <w:rPr>
          <w:bCs/>
          <w:lang w:val="en-US"/>
        </w:rPr>
        <w:t xml:space="preserve"> the language used in the Operational Directives, which was understood</w:t>
      </w:r>
      <w:r w:rsidR="006203CA" w:rsidRPr="00813D19">
        <w:rPr>
          <w:bCs/>
          <w:lang w:val="en-US"/>
        </w:rPr>
        <w:t xml:space="preserve"> </w:t>
      </w:r>
      <w:r w:rsidR="005B3EBE" w:rsidRPr="00813D19">
        <w:rPr>
          <w:bCs/>
          <w:lang w:val="en-US"/>
        </w:rPr>
        <w:t xml:space="preserve">to imply </w:t>
      </w:r>
      <w:r w:rsidR="003651E6" w:rsidRPr="00813D19">
        <w:rPr>
          <w:bCs/>
          <w:lang w:val="en-US"/>
        </w:rPr>
        <w:t>‘</w:t>
      </w:r>
      <w:r w:rsidR="006203CA" w:rsidRPr="00813D19">
        <w:rPr>
          <w:bCs/>
          <w:lang w:val="en-US"/>
        </w:rPr>
        <w:t>practitioners and bearers</w:t>
      </w:r>
      <w:r w:rsidR="003651E6" w:rsidRPr="00813D19">
        <w:rPr>
          <w:bCs/>
          <w:lang w:val="en-US"/>
        </w:rPr>
        <w:t>’</w:t>
      </w:r>
      <w:r w:rsidR="006203CA" w:rsidRPr="00813D19">
        <w:rPr>
          <w:bCs/>
          <w:lang w:val="en-US"/>
        </w:rPr>
        <w:t xml:space="preserve">. </w:t>
      </w:r>
      <w:r w:rsidR="005B3EBE" w:rsidRPr="00813D19">
        <w:rPr>
          <w:bCs/>
          <w:lang w:val="en-US"/>
        </w:rPr>
        <w:t xml:space="preserve">This had been the </w:t>
      </w:r>
      <w:r w:rsidR="006203CA" w:rsidRPr="00813D19">
        <w:rPr>
          <w:bCs/>
          <w:lang w:val="en-US"/>
        </w:rPr>
        <w:t>practice for a number of years</w:t>
      </w:r>
      <w:r w:rsidR="005B3EBE" w:rsidRPr="00813D19">
        <w:rPr>
          <w:bCs/>
          <w:lang w:val="en-US"/>
        </w:rPr>
        <w:t>,</w:t>
      </w:r>
      <w:r w:rsidR="006203CA" w:rsidRPr="00813D19">
        <w:rPr>
          <w:bCs/>
          <w:lang w:val="en-US"/>
        </w:rPr>
        <w:t xml:space="preserve"> particularly since </w:t>
      </w:r>
      <w:r w:rsidR="005B3EBE" w:rsidRPr="00813D19">
        <w:rPr>
          <w:bCs/>
          <w:lang w:val="en-US"/>
        </w:rPr>
        <w:t>the tenth session of the Committee</w:t>
      </w:r>
      <w:r w:rsidR="006203CA" w:rsidRPr="00813D19">
        <w:rPr>
          <w:bCs/>
          <w:lang w:val="en-US"/>
        </w:rPr>
        <w:t xml:space="preserve">. </w:t>
      </w:r>
      <w:r w:rsidR="005B3EBE" w:rsidRPr="00813D19">
        <w:rPr>
          <w:bCs/>
          <w:lang w:val="en-US"/>
        </w:rPr>
        <w:t xml:space="preserve">Thus, </w:t>
      </w:r>
      <w:r w:rsidR="006203CA" w:rsidRPr="00813D19">
        <w:rPr>
          <w:bCs/>
          <w:lang w:val="en-US"/>
        </w:rPr>
        <w:t>with the kind understanding of Djibouti</w:t>
      </w:r>
      <w:r w:rsidR="005B3EBE" w:rsidRPr="00813D19">
        <w:rPr>
          <w:bCs/>
          <w:lang w:val="en-US"/>
        </w:rPr>
        <w:t>,</w:t>
      </w:r>
      <w:r w:rsidR="006203CA" w:rsidRPr="00813D19">
        <w:rPr>
          <w:bCs/>
          <w:lang w:val="en-US"/>
        </w:rPr>
        <w:t xml:space="preserve"> </w:t>
      </w:r>
      <w:r w:rsidR="005B3EBE" w:rsidRPr="00813D19">
        <w:rPr>
          <w:bCs/>
          <w:lang w:val="en-US"/>
        </w:rPr>
        <w:t>one c</w:t>
      </w:r>
      <w:r w:rsidR="0006791C">
        <w:rPr>
          <w:bCs/>
          <w:lang w:val="en-US"/>
        </w:rPr>
        <w:t>ould</w:t>
      </w:r>
      <w:r w:rsidR="005B3EBE" w:rsidRPr="00813D19">
        <w:rPr>
          <w:bCs/>
          <w:lang w:val="en-US"/>
        </w:rPr>
        <w:t xml:space="preserve"> </w:t>
      </w:r>
      <w:r w:rsidR="006203CA" w:rsidRPr="00813D19">
        <w:rPr>
          <w:bCs/>
          <w:lang w:val="en-US"/>
        </w:rPr>
        <w:t xml:space="preserve">definitely consider </w:t>
      </w:r>
      <w:r w:rsidR="003651E6" w:rsidRPr="00813D19">
        <w:rPr>
          <w:bCs/>
          <w:lang w:val="en-US"/>
        </w:rPr>
        <w:t xml:space="preserve">‘communities’ as </w:t>
      </w:r>
      <w:r w:rsidR="005B3EBE" w:rsidRPr="00813D19">
        <w:rPr>
          <w:bCs/>
          <w:lang w:val="en-US"/>
        </w:rPr>
        <w:t xml:space="preserve">the </w:t>
      </w:r>
      <w:r w:rsidR="006203CA" w:rsidRPr="00813D19">
        <w:rPr>
          <w:bCs/>
          <w:lang w:val="en-US"/>
        </w:rPr>
        <w:t xml:space="preserve">practitioners and bearers. </w:t>
      </w:r>
      <w:r w:rsidR="005B3EBE" w:rsidRPr="00813D19">
        <w:rPr>
          <w:bCs/>
          <w:lang w:val="en-US"/>
        </w:rPr>
        <w:t xml:space="preserve">The question as </w:t>
      </w:r>
      <w:r w:rsidR="006203CA" w:rsidRPr="00813D19">
        <w:rPr>
          <w:bCs/>
          <w:lang w:val="en-US"/>
        </w:rPr>
        <w:t xml:space="preserve">to whether </w:t>
      </w:r>
      <w:r w:rsidR="005B3EBE" w:rsidRPr="00813D19">
        <w:rPr>
          <w:bCs/>
          <w:lang w:val="en-US"/>
        </w:rPr>
        <w:t xml:space="preserve">to maintain the language ‘communities, groups and individuals’ that had been used since the Committee’s </w:t>
      </w:r>
      <w:r w:rsidR="003651E6" w:rsidRPr="00813D19">
        <w:rPr>
          <w:bCs/>
          <w:lang w:val="en-US"/>
        </w:rPr>
        <w:t xml:space="preserve">tenth </w:t>
      </w:r>
      <w:r w:rsidR="005B3EBE" w:rsidRPr="00813D19">
        <w:rPr>
          <w:bCs/>
          <w:lang w:val="en-US"/>
        </w:rPr>
        <w:t xml:space="preserve">session was in fact a decision </w:t>
      </w:r>
      <w:r w:rsidR="006203CA" w:rsidRPr="00813D19">
        <w:rPr>
          <w:bCs/>
          <w:lang w:val="en-US"/>
        </w:rPr>
        <w:t>for the Committe</w:t>
      </w:r>
      <w:r w:rsidR="00E41386">
        <w:rPr>
          <w:bCs/>
          <w:lang w:val="en-US"/>
        </w:rPr>
        <w:t>e in this case.</w:t>
      </w:r>
    </w:p>
    <w:p w14:paraId="76A7BB4A" w14:textId="72A7D167" w:rsidR="006A3A94" w:rsidRPr="00813D19" w:rsidRDefault="006A3A94" w:rsidP="00703F5E">
      <w:pPr>
        <w:pStyle w:val="Orateurengris"/>
        <w:spacing w:before="120"/>
        <w:ind w:left="709" w:hanging="709"/>
        <w:rPr>
          <w:lang w:val="en-US"/>
        </w:rPr>
      </w:pPr>
      <w:r w:rsidRPr="00813D19">
        <w:rPr>
          <w:lang w:val="en-US"/>
        </w:rPr>
        <w:t xml:space="preserve">The </w:t>
      </w:r>
      <w:r w:rsidRPr="00813D19">
        <w:rPr>
          <w:b/>
          <w:lang w:val="en-US"/>
        </w:rPr>
        <w:t>delegation of Palestine</w:t>
      </w:r>
      <w:r w:rsidR="006203CA" w:rsidRPr="00813D19">
        <w:rPr>
          <w:b/>
          <w:lang w:val="en-US"/>
        </w:rPr>
        <w:t xml:space="preserve"> </w:t>
      </w:r>
      <w:r w:rsidR="005B3EBE" w:rsidRPr="00813D19">
        <w:rPr>
          <w:lang w:val="en-US"/>
        </w:rPr>
        <w:t>aligned with the remarks made by the Secretary</w:t>
      </w:r>
      <w:r w:rsidR="005B3EBE" w:rsidRPr="00813D19">
        <w:rPr>
          <w:b/>
          <w:lang w:val="en-US"/>
        </w:rPr>
        <w:t xml:space="preserve"> </w:t>
      </w:r>
      <w:r w:rsidR="005B3EBE" w:rsidRPr="00813D19">
        <w:rPr>
          <w:lang w:val="en-US"/>
        </w:rPr>
        <w:t>regarding the use of the terms ‘</w:t>
      </w:r>
      <w:r w:rsidR="006203CA" w:rsidRPr="00813D19">
        <w:rPr>
          <w:lang w:val="en-US"/>
        </w:rPr>
        <w:t>practitioners and bearers</w:t>
      </w:r>
      <w:r w:rsidR="005B3EBE" w:rsidRPr="00813D19">
        <w:rPr>
          <w:lang w:val="en-US"/>
        </w:rPr>
        <w:t>’</w:t>
      </w:r>
      <w:r w:rsidR="006203CA" w:rsidRPr="00813D19">
        <w:rPr>
          <w:lang w:val="en-US"/>
        </w:rPr>
        <w:t xml:space="preserve"> and </w:t>
      </w:r>
      <w:r w:rsidR="005B3EBE" w:rsidRPr="00813D19">
        <w:rPr>
          <w:lang w:val="en-US"/>
        </w:rPr>
        <w:t>‘</w:t>
      </w:r>
      <w:r w:rsidR="006203CA" w:rsidRPr="00813D19">
        <w:rPr>
          <w:lang w:val="en-US"/>
        </w:rPr>
        <w:t>communities, groups and individuals</w:t>
      </w:r>
      <w:r w:rsidR="005B3EBE" w:rsidRPr="00813D19">
        <w:rPr>
          <w:lang w:val="en-US"/>
        </w:rPr>
        <w:t xml:space="preserve">’, as it was indeed </w:t>
      </w:r>
      <w:r w:rsidR="006203CA" w:rsidRPr="00813D19">
        <w:rPr>
          <w:lang w:val="en-US"/>
        </w:rPr>
        <w:t xml:space="preserve">the language </w:t>
      </w:r>
      <w:r w:rsidR="005B3EBE" w:rsidRPr="00813D19">
        <w:rPr>
          <w:lang w:val="en-US"/>
        </w:rPr>
        <w:t>contained in the Operational G</w:t>
      </w:r>
      <w:r w:rsidR="006203CA" w:rsidRPr="00813D19">
        <w:rPr>
          <w:lang w:val="en-US"/>
        </w:rPr>
        <w:t xml:space="preserve">uidelines. </w:t>
      </w:r>
      <w:r w:rsidR="005B3EBE" w:rsidRPr="00813D19">
        <w:rPr>
          <w:lang w:val="en-US"/>
        </w:rPr>
        <w:t>It was thus up to the Committee to decide</w:t>
      </w:r>
      <w:r w:rsidR="001C2A2C">
        <w:rPr>
          <w:lang w:val="en-US"/>
        </w:rPr>
        <w:t xml:space="preserve"> on</w:t>
      </w:r>
      <w:r w:rsidR="005B3EBE" w:rsidRPr="00813D19">
        <w:rPr>
          <w:lang w:val="en-US"/>
        </w:rPr>
        <w:t xml:space="preserve"> the preferred </w:t>
      </w:r>
      <w:r w:rsidR="00E41386">
        <w:rPr>
          <w:lang w:val="en-US"/>
        </w:rPr>
        <w:t>language.</w:t>
      </w:r>
    </w:p>
    <w:p w14:paraId="0585CB57" w14:textId="46AAB830" w:rsidR="006A3A94" w:rsidRPr="00813D19" w:rsidRDefault="006A3A94" w:rsidP="00703F5E">
      <w:pPr>
        <w:pStyle w:val="Orateurengris"/>
        <w:spacing w:before="120"/>
        <w:ind w:left="709" w:hanging="709"/>
        <w:rPr>
          <w:lang w:val="en-US"/>
        </w:rPr>
      </w:pPr>
      <w:r w:rsidRPr="00813D19">
        <w:rPr>
          <w:lang w:val="en-US"/>
        </w:rPr>
        <w:t xml:space="preserve">The </w:t>
      </w:r>
      <w:r w:rsidRPr="00813D19">
        <w:rPr>
          <w:b/>
          <w:lang w:val="en-US"/>
        </w:rPr>
        <w:t>delegation of Cuba</w:t>
      </w:r>
      <w:r w:rsidR="006203CA" w:rsidRPr="00813D19">
        <w:rPr>
          <w:b/>
          <w:lang w:val="en-US"/>
        </w:rPr>
        <w:t xml:space="preserve"> </w:t>
      </w:r>
      <w:r w:rsidR="00D12EBB" w:rsidRPr="00813D19">
        <w:rPr>
          <w:lang w:val="en-US"/>
        </w:rPr>
        <w:t>expressed concern</w:t>
      </w:r>
      <w:r w:rsidR="00D12EBB" w:rsidRPr="00E41386">
        <w:rPr>
          <w:bCs/>
          <w:lang w:val="en-US"/>
        </w:rPr>
        <w:t xml:space="preserve"> </w:t>
      </w:r>
      <w:r w:rsidR="00D12EBB" w:rsidRPr="00813D19">
        <w:rPr>
          <w:lang w:val="en-US"/>
        </w:rPr>
        <w:t xml:space="preserve">in that </w:t>
      </w:r>
      <w:r w:rsidR="006203CA" w:rsidRPr="00813D19">
        <w:rPr>
          <w:bCs/>
          <w:lang w:val="en-US"/>
        </w:rPr>
        <w:t xml:space="preserve">the need for reflection right now </w:t>
      </w:r>
      <w:r w:rsidR="00D12EBB" w:rsidRPr="00813D19">
        <w:rPr>
          <w:bCs/>
          <w:lang w:val="en-US"/>
        </w:rPr>
        <w:t xml:space="preserve">was </w:t>
      </w:r>
      <w:r w:rsidR="006203CA" w:rsidRPr="00813D19">
        <w:rPr>
          <w:bCs/>
          <w:lang w:val="en-US"/>
        </w:rPr>
        <w:t xml:space="preserve">not </w:t>
      </w:r>
      <w:r w:rsidR="00D12EBB" w:rsidRPr="00813D19">
        <w:rPr>
          <w:bCs/>
          <w:lang w:val="en-US"/>
        </w:rPr>
        <w:t>s</w:t>
      </w:r>
      <w:r w:rsidR="003651E6" w:rsidRPr="00813D19">
        <w:rPr>
          <w:bCs/>
          <w:lang w:val="en-US"/>
        </w:rPr>
        <w:t>i</w:t>
      </w:r>
      <w:r w:rsidR="00D12EBB" w:rsidRPr="00813D19">
        <w:rPr>
          <w:bCs/>
          <w:lang w:val="en-US"/>
        </w:rPr>
        <w:t>mply about thinking</w:t>
      </w:r>
      <w:r w:rsidR="001C2A2C">
        <w:rPr>
          <w:bCs/>
          <w:lang w:val="en-US"/>
        </w:rPr>
        <w:t xml:space="preserve"> about</w:t>
      </w:r>
      <w:r w:rsidR="00D12EBB" w:rsidRPr="00813D19">
        <w:rPr>
          <w:bCs/>
          <w:lang w:val="en-US"/>
        </w:rPr>
        <w:t xml:space="preserve"> the </w:t>
      </w:r>
      <w:r w:rsidR="006203CA" w:rsidRPr="00813D19">
        <w:rPr>
          <w:bCs/>
          <w:lang w:val="en-US"/>
        </w:rPr>
        <w:t>way</w:t>
      </w:r>
      <w:r w:rsidR="001C2A2C">
        <w:rPr>
          <w:bCs/>
          <w:lang w:val="en-US"/>
        </w:rPr>
        <w:t xml:space="preserve"> in which</w:t>
      </w:r>
      <w:r w:rsidR="006203CA" w:rsidRPr="00813D19">
        <w:rPr>
          <w:bCs/>
          <w:lang w:val="en-US"/>
        </w:rPr>
        <w:t xml:space="preserve"> communities and individuals </w:t>
      </w:r>
      <w:r w:rsidR="00D12EBB" w:rsidRPr="00813D19">
        <w:rPr>
          <w:bCs/>
          <w:lang w:val="en-US"/>
        </w:rPr>
        <w:t xml:space="preserve">would </w:t>
      </w:r>
      <w:r w:rsidR="006203CA" w:rsidRPr="00813D19">
        <w:rPr>
          <w:bCs/>
          <w:lang w:val="en-US"/>
        </w:rPr>
        <w:t>to be able to work and contribute</w:t>
      </w:r>
      <w:r w:rsidR="00D12EBB" w:rsidRPr="00813D19">
        <w:rPr>
          <w:bCs/>
          <w:lang w:val="en-US"/>
        </w:rPr>
        <w:t xml:space="preserve">, which was implied by limiting this paragraph, </w:t>
      </w:r>
      <w:r w:rsidR="006203CA" w:rsidRPr="00813D19">
        <w:rPr>
          <w:bCs/>
          <w:lang w:val="en-US"/>
        </w:rPr>
        <w:t xml:space="preserve">but also about how </w:t>
      </w:r>
      <w:r w:rsidR="00D12EBB" w:rsidRPr="00813D19">
        <w:rPr>
          <w:bCs/>
          <w:lang w:val="en-US"/>
        </w:rPr>
        <w:t xml:space="preserve">to </w:t>
      </w:r>
      <w:r w:rsidR="006203CA" w:rsidRPr="00813D19">
        <w:rPr>
          <w:bCs/>
          <w:lang w:val="en-US"/>
        </w:rPr>
        <w:t xml:space="preserve">improve the safeguarding measures in </w:t>
      </w:r>
      <w:r w:rsidR="00D12EBB" w:rsidRPr="00813D19">
        <w:rPr>
          <w:bCs/>
          <w:lang w:val="en-US"/>
        </w:rPr>
        <w:t xml:space="preserve">terms of </w:t>
      </w:r>
      <w:r w:rsidR="006203CA" w:rsidRPr="00813D19">
        <w:rPr>
          <w:bCs/>
          <w:lang w:val="en-US"/>
        </w:rPr>
        <w:t>management</w:t>
      </w:r>
      <w:r w:rsidR="00D12EBB" w:rsidRPr="00813D19">
        <w:rPr>
          <w:bCs/>
          <w:lang w:val="en-US"/>
        </w:rPr>
        <w:t>. The</w:t>
      </w:r>
      <w:r w:rsidR="006203CA" w:rsidRPr="00813D19">
        <w:rPr>
          <w:bCs/>
          <w:lang w:val="en-US"/>
        </w:rPr>
        <w:t xml:space="preserve"> </w:t>
      </w:r>
      <w:r w:rsidR="00D12EBB" w:rsidRPr="00813D19">
        <w:rPr>
          <w:bCs/>
          <w:lang w:val="en-US"/>
        </w:rPr>
        <w:t xml:space="preserve">aim of the </w:t>
      </w:r>
      <w:r w:rsidR="006203CA" w:rsidRPr="00813D19">
        <w:rPr>
          <w:bCs/>
          <w:lang w:val="en-US"/>
        </w:rPr>
        <w:t xml:space="preserve">reflection </w:t>
      </w:r>
      <w:r w:rsidR="00D12EBB" w:rsidRPr="00813D19">
        <w:rPr>
          <w:bCs/>
          <w:lang w:val="en-US"/>
        </w:rPr>
        <w:t>was thus to offer</w:t>
      </w:r>
      <w:r w:rsidR="006203CA" w:rsidRPr="00813D19">
        <w:rPr>
          <w:bCs/>
          <w:lang w:val="en-US"/>
        </w:rPr>
        <w:t xml:space="preserve"> an easier path for communities and gr</w:t>
      </w:r>
      <w:r w:rsidR="00D12EBB" w:rsidRPr="00813D19">
        <w:rPr>
          <w:bCs/>
          <w:lang w:val="en-US"/>
        </w:rPr>
        <w:t xml:space="preserve">oups to be able to participate, and thus it </w:t>
      </w:r>
      <w:r w:rsidR="006203CA" w:rsidRPr="00813D19">
        <w:rPr>
          <w:bCs/>
          <w:lang w:val="en-US"/>
        </w:rPr>
        <w:t>need</w:t>
      </w:r>
      <w:r w:rsidR="00D12EBB" w:rsidRPr="00813D19">
        <w:rPr>
          <w:bCs/>
          <w:lang w:val="en-US"/>
        </w:rPr>
        <w:t>ed</w:t>
      </w:r>
      <w:r w:rsidR="006203CA" w:rsidRPr="00813D19">
        <w:rPr>
          <w:bCs/>
          <w:lang w:val="en-US"/>
        </w:rPr>
        <w:t xml:space="preserve"> to </w:t>
      </w:r>
      <w:r w:rsidR="003651E6" w:rsidRPr="00813D19">
        <w:rPr>
          <w:bCs/>
          <w:lang w:val="en-US"/>
        </w:rPr>
        <w:t>be wide-</w:t>
      </w:r>
      <w:r w:rsidR="00D12EBB" w:rsidRPr="00813D19">
        <w:rPr>
          <w:bCs/>
          <w:lang w:val="en-US"/>
        </w:rPr>
        <w:t xml:space="preserve">ranging </w:t>
      </w:r>
      <w:r w:rsidR="006203CA" w:rsidRPr="00813D19">
        <w:rPr>
          <w:bCs/>
          <w:lang w:val="en-US"/>
        </w:rPr>
        <w:t xml:space="preserve">to </w:t>
      </w:r>
      <w:r w:rsidR="00D12EBB" w:rsidRPr="00813D19">
        <w:rPr>
          <w:bCs/>
          <w:lang w:val="en-US"/>
        </w:rPr>
        <w:t xml:space="preserve">allow for opportunities </w:t>
      </w:r>
      <w:r w:rsidR="006203CA" w:rsidRPr="00813D19">
        <w:rPr>
          <w:bCs/>
          <w:lang w:val="en-US"/>
        </w:rPr>
        <w:t>to engage</w:t>
      </w:r>
      <w:r w:rsidR="00D12EBB" w:rsidRPr="00813D19">
        <w:rPr>
          <w:bCs/>
          <w:lang w:val="en-US"/>
        </w:rPr>
        <w:t>,</w:t>
      </w:r>
      <w:r w:rsidR="006203CA" w:rsidRPr="00813D19">
        <w:rPr>
          <w:bCs/>
          <w:lang w:val="en-US"/>
        </w:rPr>
        <w:t xml:space="preserve"> </w:t>
      </w:r>
      <w:r w:rsidR="00D12EBB" w:rsidRPr="00813D19">
        <w:rPr>
          <w:bCs/>
          <w:lang w:val="en-US"/>
        </w:rPr>
        <w:t>thus the wording should be broader and a simplified version of the text would allow for this</w:t>
      </w:r>
      <w:r w:rsidR="005B3EBE" w:rsidRPr="00813D19">
        <w:rPr>
          <w:bCs/>
          <w:lang w:val="en-US"/>
        </w:rPr>
        <w:t>.</w:t>
      </w:r>
    </w:p>
    <w:p w14:paraId="76AAA8B1" w14:textId="0E635073" w:rsidR="00D12EBB" w:rsidRPr="00813D19" w:rsidRDefault="006A3A94" w:rsidP="005B3EBE">
      <w:pPr>
        <w:pStyle w:val="Orateurengris"/>
        <w:spacing w:before="120"/>
        <w:ind w:left="709" w:hanging="709"/>
        <w:rPr>
          <w:lang w:val="en-US"/>
        </w:rPr>
      </w:pPr>
      <w:r w:rsidRPr="00813D19">
        <w:rPr>
          <w:lang w:val="en-US"/>
        </w:rPr>
        <w:t xml:space="preserve">The </w:t>
      </w:r>
      <w:r w:rsidRPr="00813D19">
        <w:rPr>
          <w:b/>
          <w:lang w:val="en-US"/>
        </w:rPr>
        <w:t xml:space="preserve">delegation of </w:t>
      </w:r>
      <w:r w:rsidR="00B77B3D" w:rsidRPr="00813D19">
        <w:rPr>
          <w:b/>
          <w:lang w:val="en-US"/>
        </w:rPr>
        <w:t>Lebanon</w:t>
      </w:r>
      <w:r w:rsidR="006203CA" w:rsidRPr="00813D19">
        <w:rPr>
          <w:b/>
          <w:lang w:val="en-US"/>
        </w:rPr>
        <w:t xml:space="preserve"> </w:t>
      </w:r>
      <w:r w:rsidR="00D12EBB" w:rsidRPr="00813D19">
        <w:rPr>
          <w:lang w:val="en-US"/>
        </w:rPr>
        <w:t xml:space="preserve">supported the proposal by the Philippines </w:t>
      </w:r>
      <w:r w:rsidR="006A7CB8" w:rsidRPr="00813D19">
        <w:rPr>
          <w:lang w:val="en-US"/>
        </w:rPr>
        <w:t>‘</w:t>
      </w:r>
      <w:r w:rsidR="00D12EBB" w:rsidRPr="00813D19">
        <w:rPr>
          <w:lang w:val="en-US"/>
        </w:rPr>
        <w:t xml:space="preserve">to </w:t>
      </w:r>
      <w:r w:rsidR="006A7CB8" w:rsidRPr="00813D19">
        <w:rPr>
          <w:lang w:val="en-US"/>
        </w:rPr>
        <w:t xml:space="preserve">reflect on’ </w:t>
      </w:r>
      <w:r w:rsidR="00D12EBB" w:rsidRPr="00813D19">
        <w:rPr>
          <w:lang w:val="en-US"/>
        </w:rPr>
        <w:t xml:space="preserve">the follow-up, but also </w:t>
      </w:r>
      <w:r w:rsidR="006A7CB8" w:rsidRPr="00813D19">
        <w:rPr>
          <w:lang w:val="en-US"/>
        </w:rPr>
        <w:t>on the use of ‘</w:t>
      </w:r>
      <w:r w:rsidR="00D12EBB" w:rsidRPr="00813D19">
        <w:rPr>
          <w:lang w:val="en-US"/>
        </w:rPr>
        <w:t>communities, groups and,</w:t>
      </w:r>
      <w:r w:rsidR="006A7CB8" w:rsidRPr="00813D19">
        <w:rPr>
          <w:lang w:val="en-US"/>
        </w:rPr>
        <w:t xml:space="preserve"> where appropriate, individuals</w:t>
      </w:r>
      <w:r w:rsidR="003651E6" w:rsidRPr="00813D19">
        <w:rPr>
          <w:lang w:val="en-US"/>
        </w:rPr>
        <w:t>’</w:t>
      </w:r>
      <w:r w:rsidR="006A7CB8" w:rsidRPr="00813D19">
        <w:rPr>
          <w:lang w:val="en-US"/>
        </w:rPr>
        <w:t>, which is the language of the Convention.</w:t>
      </w:r>
    </w:p>
    <w:p w14:paraId="7F100CB5" w14:textId="2C2539E0" w:rsidR="006A3A94" w:rsidRPr="00813D19" w:rsidRDefault="00B77B3D" w:rsidP="00703F5E">
      <w:pPr>
        <w:pStyle w:val="Orateurengris"/>
        <w:spacing w:before="120"/>
        <w:ind w:left="709" w:hanging="709"/>
        <w:rPr>
          <w:lang w:val="en-US"/>
        </w:rPr>
      </w:pPr>
      <w:r w:rsidRPr="00813D19">
        <w:rPr>
          <w:lang w:val="en-US"/>
        </w:rPr>
        <w:t xml:space="preserve">The </w:t>
      </w:r>
      <w:r w:rsidRPr="00813D19">
        <w:rPr>
          <w:b/>
          <w:lang w:val="en-US"/>
        </w:rPr>
        <w:t>delegation of China</w:t>
      </w:r>
      <w:r w:rsidR="006203CA" w:rsidRPr="00813D19">
        <w:rPr>
          <w:b/>
          <w:lang w:val="en-US"/>
        </w:rPr>
        <w:t xml:space="preserve"> </w:t>
      </w:r>
      <w:r w:rsidR="006203CA" w:rsidRPr="00813D19">
        <w:rPr>
          <w:lang w:val="en-US"/>
        </w:rPr>
        <w:t>echo</w:t>
      </w:r>
      <w:r w:rsidR="005B3EBE" w:rsidRPr="00813D19">
        <w:rPr>
          <w:lang w:val="en-US"/>
        </w:rPr>
        <w:t>ed</w:t>
      </w:r>
      <w:r w:rsidR="006203CA" w:rsidRPr="00813D19">
        <w:rPr>
          <w:lang w:val="en-US"/>
        </w:rPr>
        <w:t xml:space="preserve"> the proposal by Palestine and Colombia to add </w:t>
      </w:r>
      <w:r w:rsidR="005B3EBE" w:rsidRPr="00813D19">
        <w:rPr>
          <w:lang w:val="en-US"/>
        </w:rPr>
        <w:t>‘</w:t>
      </w:r>
      <w:r w:rsidR="006203CA" w:rsidRPr="00813D19">
        <w:rPr>
          <w:lang w:val="en-US"/>
        </w:rPr>
        <w:t>other concerned stakeholders</w:t>
      </w:r>
      <w:r w:rsidR="005B3EBE" w:rsidRPr="00813D19">
        <w:rPr>
          <w:lang w:val="en-US"/>
        </w:rPr>
        <w:t>’</w:t>
      </w:r>
      <w:r w:rsidR="006203CA" w:rsidRPr="00813D19">
        <w:rPr>
          <w:lang w:val="en-US"/>
        </w:rPr>
        <w:t xml:space="preserve"> after </w:t>
      </w:r>
      <w:r w:rsidR="005B3EBE" w:rsidRPr="00813D19">
        <w:rPr>
          <w:lang w:val="en-US"/>
        </w:rPr>
        <w:t>‘</w:t>
      </w:r>
      <w:r w:rsidR="006203CA" w:rsidRPr="00813D19">
        <w:rPr>
          <w:lang w:val="en-US"/>
        </w:rPr>
        <w:t>communities</w:t>
      </w:r>
      <w:r w:rsidR="005B3EBE" w:rsidRPr="00813D19">
        <w:rPr>
          <w:lang w:val="en-US"/>
        </w:rPr>
        <w:t>’</w:t>
      </w:r>
      <w:r w:rsidR="006A7CB8" w:rsidRPr="00813D19">
        <w:rPr>
          <w:lang w:val="en-US"/>
        </w:rPr>
        <w:t>,</w:t>
      </w:r>
      <w:r w:rsidR="006203CA" w:rsidRPr="00813D19">
        <w:rPr>
          <w:lang w:val="en-US"/>
        </w:rPr>
        <w:t xml:space="preserve"> and </w:t>
      </w:r>
      <w:r w:rsidR="006A7CB8" w:rsidRPr="00813D19">
        <w:rPr>
          <w:lang w:val="en-US"/>
        </w:rPr>
        <w:t xml:space="preserve">it also </w:t>
      </w:r>
      <w:r w:rsidR="006203CA" w:rsidRPr="00813D19">
        <w:rPr>
          <w:lang w:val="en-US"/>
        </w:rPr>
        <w:t>suggest</w:t>
      </w:r>
      <w:r w:rsidR="006A7CB8" w:rsidRPr="00813D19">
        <w:rPr>
          <w:lang w:val="en-US"/>
        </w:rPr>
        <w:t>ed</w:t>
      </w:r>
      <w:r w:rsidR="006203CA" w:rsidRPr="00813D19">
        <w:rPr>
          <w:lang w:val="en-US"/>
        </w:rPr>
        <w:t xml:space="preserve"> </w:t>
      </w:r>
      <w:r w:rsidR="006A7CB8" w:rsidRPr="00813D19">
        <w:rPr>
          <w:lang w:val="en-US"/>
        </w:rPr>
        <w:t>deleting</w:t>
      </w:r>
      <w:r w:rsidR="006203CA" w:rsidRPr="00813D19">
        <w:rPr>
          <w:lang w:val="en-US"/>
        </w:rPr>
        <w:t xml:space="preserve"> </w:t>
      </w:r>
      <w:r w:rsidR="006A7CB8" w:rsidRPr="00813D19">
        <w:rPr>
          <w:lang w:val="en-US"/>
        </w:rPr>
        <w:t>‘</w:t>
      </w:r>
      <w:r w:rsidR="006203CA" w:rsidRPr="00813D19">
        <w:rPr>
          <w:lang w:val="en-US"/>
        </w:rPr>
        <w:t>civil society</w:t>
      </w:r>
      <w:r w:rsidR="006A7CB8" w:rsidRPr="00813D19">
        <w:rPr>
          <w:lang w:val="en-US"/>
        </w:rPr>
        <w:t>’</w:t>
      </w:r>
      <w:r w:rsidR="006203CA" w:rsidRPr="00813D19">
        <w:rPr>
          <w:lang w:val="en-US"/>
        </w:rPr>
        <w:t xml:space="preserve"> </w:t>
      </w:r>
      <w:r w:rsidR="006A7CB8" w:rsidRPr="00813D19">
        <w:rPr>
          <w:lang w:val="en-US"/>
        </w:rPr>
        <w:t>as this was implied with ‘</w:t>
      </w:r>
      <w:r w:rsidR="006203CA" w:rsidRPr="00813D19">
        <w:rPr>
          <w:lang w:val="en-US"/>
        </w:rPr>
        <w:t>other concerned stakeholders</w:t>
      </w:r>
      <w:r w:rsidR="006A7CB8" w:rsidRPr="00813D19">
        <w:rPr>
          <w:lang w:val="en-US"/>
        </w:rPr>
        <w:t xml:space="preserve">’. Moreover, the wording of the </w:t>
      </w:r>
      <w:r w:rsidR="006203CA" w:rsidRPr="00813D19">
        <w:rPr>
          <w:lang w:val="en-US"/>
        </w:rPr>
        <w:t xml:space="preserve">decision </w:t>
      </w:r>
      <w:r w:rsidR="006A7CB8" w:rsidRPr="00813D19">
        <w:rPr>
          <w:lang w:val="en-US"/>
        </w:rPr>
        <w:t xml:space="preserve">should remain </w:t>
      </w:r>
      <w:r w:rsidR="00E41386">
        <w:rPr>
          <w:lang w:val="en-US"/>
        </w:rPr>
        <w:t>simple and precise.</w:t>
      </w:r>
    </w:p>
    <w:p w14:paraId="4BF98942" w14:textId="1771F4AC" w:rsidR="00B77B3D" w:rsidRPr="00813D19" w:rsidRDefault="006A7CB8" w:rsidP="00703F5E">
      <w:pPr>
        <w:pStyle w:val="Orateurengris"/>
        <w:spacing w:before="120"/>
        <w:ind w:left="709" w:hanging="709"/>
        <w:rPr>
          <w:lang w:val="en-US"/>
        </w:rPr>
      </w:pPr>
      <w:r w:rsidRPr="00813D19">
        <w:rPr>
          <w:lang w:val="en-US"/>
        </w:rPr>
        <w:t>Having listened to the suggestions, t</w:t>
      </w:r>
      <w:r w:rsidR="00B77B3D" w:rsidRPr="00813D19">
        <w:rPr>
          <w:lang w:val="en-US"/>
        </w:rPr>
        <w:t xml:space="preserve">he </w:t>
      </w:r>
      <w:r w:rsidR="00B77B3D" w:rsidRPr="00813D19">
        <w:rPr>
          <w:b/>
          <w:lang w:val="en-US"/>
        </w:rPr>
        <w:t>delegation of the Philippines</w:t>
      </w:r>
      <w:r w:rsidR="006203CA" w:rsidRPr="00813D19">
        <w:rPr>
          <w:b/>
          <w:lang w:val="en-US"/>
        </w:rPr>
        <w:t xml:space="preserve"> </w:t>
      </w:r>
      <w:r w:rsidRPr="00813D19">
        <w:rPr>
          <w:lang w:val="en-US"/>
        </w:rPr>
        <w:t>propose</w:t>
      </w:r>
      <w:r w:rsidR="00CC1799" w:rsidRPr="00813D19">
        <w:rPr>
          <w:lang w:val="en-US"/>
        </w:rPr>
        <w:t>d</w:t>
      </w:r>
      <w:r w:rsidRPr="00813D19">
        <w:rPr>
          <w:lang w:val="en-US"/>
        </w:rPr>
        <w:t xml:space="preserve"> a </w:t>
      </w:r>
      <w:r w:rsidR="006203CA" w:rsidRPr="00813D19">
        <w:rPr>
          <w:lang w:val="en-US"/>
        </w:rPr>
        <w:t xml:space="preserve">compromise </w:t>
      </w:r>
      <w:r w:rsidRPr="00813D19">
        <w:rPr>
          <w:lang w:val="en-US"/>
        </w:rPr>
        <w:t xml:space="preserve">text that took into consideration </w:t>
      </w:r>
      <w:r w:rsidR="006203CA" w:rsidRPr="00813D19">
        <w:rPr>
          <w:lang w:val="en-US"/>
        </w:rPr>
        <w:t>Lebanon</w:t>
      </w:r>
      <w:r w:rsidRPr="00813D19">
        <w:rPr>
          <w:lang w:val="en-US"/>
        </w:rPr>
        <w:t xml:space="preserve">’s remark to adhere to the </w:t>
      </w:r>
      <w:r w:rsidR="006203CA" w:rsidRPr="00813D19">
        <w:rPr>
          <w:lang w:val="en-US"/>
        </w:rPr>
        <w:t>language of the Convention and the Operational Directives</w:t>
      </w:r>
      <w:r w:rsidRPr="00813D19">
        <w:rPr>
          <w:lang w:val="en-US"/>
        </w:rPr>
        <w:t>,</w:t>
      </w:r>
      <w:r w:rsidR="006203CA" w:rsidRPr="00813D19">
        <w:rPr>
          <w:lang w:val="en-US"/>
        </w:rPr>
        <w:t xml:space="preserve"> and also China</w:t>
      </w:r>
      <w:r w:rsidRPr="00813D19">
        <w:rPr>
          <w:lang w:val="en-US"/>
        </w:rPr>
        <w:t xml:space="preserve">’s remark to delete ‘civil society’, which is not </w:t>
      </w:r>
      <w:r w:rsidR="006203CA" w:rsidRPr="00813D19">
        <w:rPr>
          <w:lang w:val="en-US"/>
        </w:rPr>
        <w:t xml:space="preserve">mentioned in </w:t>
      </w:r>
      <w:r w:rsidRPr="00813D19">
        <w:rPr>
          <w:lang w:val="en-US"/>
        </w:rPr>
        <w:t xml:space="preserve">the relevant Article 1 of </w:t>
      </w:r>
      <w:r w:rsidR="006203CA" w:rsidRPr="00813D19">
        <w:rPr>
          <w:lang w:val="en-US"/>
        </w:rPr>
        <w:t xml:space="preserve">the Operational Directives. </w:t>
      </w:r>
      <w:r w:rsidR="003651E6" w:rsidRPr="00813D19">
        <w:rPr>
          <w:lang w:val="en-US"/>
        </w:rPr>
        <w:t>It was note</w:t>
      </w:r>
      <w:r w:rsidR="001C2A2C">
        <w:rPr>
          <w:lang w:val="en-US"/>
        </w:rPr>
        <w:t>d</w:t>
      </w:r>
      <w:r w:rsidR="003651E6" w:rsidRPr="00813D19">
        <w:rPr>
          <w:lang w:val="en-US"/>
        </w:rPr>
        <w:t xml:space="preserve"> that t</w:t>
      </w:r>
      <w:r w:rsidRPr="00813D19">
        <w:rPr>
          <w:lang w:val="en-US"/>
        </w:rPr>
        <w:t xml:space="preserve">he </w:t>
      </w:r>
      <w:r w:rsidR="006203CA" w:rsidRPr="00813D19">
        <w:rPr>
          <w:lang w:val="en-US"/>
        </w:rPr>
        <w:t>language in Operational Directive 16</w:t>
      </w:r>
      <w:r w:rsidR="003651E6" w:rsidRPr="00813D19">
        <w:rPr>
          <w:lang w:val="en-US"/>
        </w:rPr>
        <w:t xml:space="preserve"> </w:t>
      </w:r>
      <w:r w:rsidRPr="00813D19">
        <w:rPr>
          <w:lang w:val="en-US"/>
        </w:rPr>
        <w:t>read,</w:t>
      </w:r>
      <w:r w:rsidR="006203CA" w:rsidRPr="00813D19">
        <w:rPr>
          <w:lang w:val="en-US"/>
        </w:rPr>
        <w:t xml:space="preserve"> </w:t>
      </w:r>
      <w:r w:rsidRPr="00813D19">
        <w:rPr>
          <w:lang w:val="en-US"/>
        </w:rPr>
        <w:t>“</w:t>
      </w:r>
      <w:r w:rsidR="006203CA" w:rsidRPr="00813D19">
        <w:rPr>
          <w:lang w:val="en-US"/>
        </w:rPr>
        <w:t>concerned communities, groups</w:t>
      </w:r>
      <w:r w:rsidRPr="00813D19">
        <w:rPr>
          <w:lang w:val="en-US"/>
        </w:rPr>
        <w:t>, and if applicable, individuals”.</w:t>
      </w:r>
    </w:p>
    <w:p w14:paraId="37B7223C" w14:textId="046E0FAF" w:rsidR="00E87560" w:rsidRPr="00813D19" w:rsidRDefault="00E87560" w:rsidP="00703F5E">
      <w:pPr>
        <w:pStyle w:val="Orateurengris"/>
        <w:spacing w:before="120"/>
        <w:ind w:left="709" w:hanging="709"/>
        <w:rPr>
          <w:lang w:val="en-US"/>
        </w:rPr>
      </w:pPr>
      <w:r w:rsidRPr="00813D19">
        <w:rPr>
          <w:lang w:val="en-US"/>
        </w:rPr>
        <w:t xml:space="preserve">The </w:t>
      </w:r>
      <w:r w:rsidRPr="00813D19">
        <w:rPr>
          <w:b/>
          <w:lang w:val="en-US"/>
        </w:rPr>
        <w:t xml:space="preserve">delegation of Poland </w:t>
      </w:r>
      <w:r w:rsidR="004C698F" w:rsidRPr="00813D19">
        <w:rPr>
          <w:lang w:val="en-US"/>
        </w:rPr>
        <w:t>favo</w:t>
      </w:r>
      <w:r w:rsidR="00C64B11">
        <w:rPr>
          <w:lang w:val="en-US"/>
        </w:rPr>
        <w:t>u</w:t>
      </w:r>
      <w:r w:rsidR="004C698F" w:rsidRPr="00813D19">
        <w:rPr>
          <w:lang w:val="en-US"/>
        </w:rPr>
        <w:t>r</w:t>
      </w:r>
      <w:r w:rsidR="003651E6" w:rsidRPr="00813D19">
        <w:rPr>
          <w:lang w:val="en-US"/>
        </w:rPr>
        <w:t>ed</w:t>
      </w:r>
      <w:r w:rsidR="004C698F" w:rsidRPr="00813D19">
        <w:rPr>
          <w:b/>
          <w:lang w:val="en-US"/>
        </w:rPr>
        <w:t xml:space="preserve"> </w:t>
      </w:r>
      <w:r w:rsidR="006203CA" w:rsidRPr="00813D19">
        <w:rPr>
          <w:lang w:val="en-US"/>
        </w:rPr>
        <w:t xml:space="preserve">not only </w:t>
      </w:r>
      <w:r w:rsidR="004C698F" w:rsidRPr="00813D19">
        <w:rPr>
          <w:lang w:val="en-US"/>
        </w:rPr>
        <w:t>simplify</w:t>
      </w:r>
      <w:r w:rsidR="001C2A2C">
        <w:rPr>
          <w:lang w:val="en-US"/>
        </w:rPr>
        <w:t>ing</w:t>
      </w:r>
      <w:r w:rsidR="004C698F" w:rsidRPr="00813D19">
        <w:rPr>
          <w:lang w:val="en-US"/>
        </w:rPr>
        <w:t xml:space="preserve"> the wording </w:t>
      </w:r>
      <w:r w:rsidR="006203CA" w:rsidRPr="00813D19">
        <w:rPr>
          <w:lang w:val="en-US"/>
        </w:rPr>
        <w:t xml:space="preserve">but directly </w:t>
      </w:r>
      <w:r w:rsidR="004C698F" w:rsidRPr="00813D19">
        <w:rPr>
          <w:lang w:val="en-US"/>
        </w:rPr>
        <w:t>adher</w:t>
      </w:r>
      <w:r w:rsidR="001C2A2C">
        <w:rPr>
          <w:lang w:val="en-US"/>
        </w:rPr>
        <w:t>ing</w:t>
      </w:r>
      <w:r w:rsidR="004C698F" w:rsidRPr="00813D19">
        <w:rPr>
          <w:lang w:val="en-US"/>
        </w:rPr>
        <w:t xml:space="preserve"> </w:t>
      </w:r>
      <w:r w:rsidR="006203CA" w:rsidRPr="00813D19">
        <w:rPr>
          <w:lang w:val="en-US"/>
        </w:rPr>
        <w:t xml:space="preserve">to the language of the Convention </w:t>
      </w:r>
      <w:r w:rsidR="004C698F" w:rsidRPr="00813D19">
        <w:rPr>
          <w:lang w:val="en-US"/>
        </w:rPr>
        <w:t xml:space="preserve">so as not to </w:t>
      </w:r>
      <w:r w:rsidR="006203CA" w:rsidRPr="00813D19">
        <w:rPr>
          <w:lang w:val="en-US"/>
        </w:rPr>
        <w:t xml:space="preserve">create new definitions </w:t>
      </w:r>
      <w:r w:rsidR="004C698F" w:rsidRPr="00813D19">
        <w:rPr>
          <w:lang w:val="en-US"/>
        </w:rPr>
        <w:t>through the use</w:t>
      </w:r>
      <w:r w:rsidR="003651E6" w:rsidRPr="00813D19">
        <w:rPr>
          <w:lang w:val="en-US"/>
        </w:rPr>
        <w:t>,</w:t>
      </w:r>
      <w:r w:rsidR="004C698F" w:rsidRPr="00813D19">
        <w:rPr>
          <w:lang w:val="en-US"/>
        </w:rPr>
        <w:t xml:space="preserve"> for example</w:t>
      </w:r>
      <w:r w:rsidR="003651E6" w:rsidRPr="00813D19">
        <w:rPr>
          <w:lang w:val="en-US"/>
        </w:rPr>
        <w:t>,</w:t>
      </w:r>
      <w:r w:rsidR="004C698F" w:rsidRPr="00813D19">
        <w:rPr>
          <w:lang w:val="en-US"/>
        </w:rPr>
        <w:t xml:space="preserve"> of practitioners and bearers, which is understood by ‘</w:t>
      </w:r>
      <w:r w:rsidR="006203CA" w:rsidRPr="00813D19">
        <w:rPr>
          <w:lang w:val="en-US"/>
        </w:rPr>
        <w:t>communities</w:t>
      </w:r>
      <w:r w:rsidR="004C698F" w:rsidRPr="00813D19">
        <w:rPr>
          <w:lang w:val="en-US"/>
        </w:rPr>
        <w:t>’</w:t>
      </w:r>
      <w:r w:rsidR="006203CA" w:rsidRPr="00813D19">
        <w:rPr>
          <w:lang w:val="en-US"/>
        </w:rPr>
        <w:t xml:space="preserve">. </w:t>
      </w:r>
      <w:r w:rsidR="004C698F" w:rsidRPr="00813D19">
        <w:rPr>
          <w:lang w:val="en-US"/>
        </w:rPr>
        <w:t xml:space="preserve">The delegation therefore supported </w:t>
      </w:r>
      <w:r w:rsidR="006203CA" w:rsidRPr="00813D19">
        <w:rPr>
          <w:lang w:val="en-US"/>
        </w:rPr>
        <w:t xml:space="preserve">the language </w:t>
      </w:r>
      <w:r w:rsidR="004C698F" w:rsidRPr="00813D19">
        <w:rPr>
          <w:lang w:val="en-US"/>
        </w:rPr>
        <w:t>‘</w:t>
      </w:r>
      <w:r w:rsidR="006203CA" w:rsidRPr="00813D19">
        <w:rPr>
          <w:lang w:val="en-US"/>
        </w:rPr>
        <w:t>communities, groups</w:t>
      </w:r>
      <w:r w:rsidR="004C698F" w:rsidRPr="00813D19">
        <w:rPr>
          <w:lang w:val="en-US"/>
        </w:rPr>
        <w:t>,</w:t>
      </w:r>
      <w:r w:rsidR="006203CA" w:rsidRPr="00813D19">
        <w:rPr>
          <w:lang w:val="en-US"/>
        </w:rPr>
        <w:t xml:space="preserve"> and </w:t>
      </w:r>
      <w:r w:rsidR="004C698F" w:rsidRPr="00813D19">
        <w:rPr>
          <w:lang w:val="en-US"/>
        </w:rPr>
        <w:t xml:space="preserve">if </w:t>
      </w:r>
      <w:r w:rsidR="006203CA" w:rsidRPr="00813D19">
        <w:rPr>
          <w:lang w:val="en-US"/>
        </w:rPr>
        <w:t>applicable</w:t>
      </w:r>
      <w:r w:rsidR="004C698F" w:rsidRPr="00813D19">
        <w:rPr>
          <w:lang w:val="en-US"/>
        </w:rPr>
        <w:t>,</w:t>
      </w:r>
      <w:r w:rsidR="006203CA" w:rsidRPr="00813D19">
        <w:rPr>
          <w:lang w:val="en-US"/>
        </w:rPr>
        <w:t xml:space="preserve"> individuals</w:t>
      </w:r>
      <w:r w:rsidR="004C698F" w:rsidRPr="00813D19">
        <w:rPr>
          <w:lang w:val="en-US"/>
        </w:rPr>
        <w:t xml:space="preserve">’ so as </w:t>
      </w:r>
      <w:r w:rsidR="00E41386">
        <w:rPr>
          <w:lang w:val="en-US"/>
        </w:rPr>
        <w:t>to avoid any misunderstandings.</w:t>
      </w:r>
    </w:p>
    <w:p w14:paraId="521F44C6" w14:textId="0A95B824" w:rsidR="007A4D65" w:rsidRPr="00813D19" w:rsidRDefault="007A4D65" w:rsidP="00703F5E">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4C698F" w:rsidRPr="00813D19">
        <w:rPr>
          <w:lang w:val="en-US"/>
        </w:rPr>
        <w:t xml:space="preserve">clarified that the text could be found under </w:t>
      </w:r>
      <w:r w:rsidR="006203CA" w:rsidRPr="00813D19">
        <w:rPr>
          <w:bCs/>
          <w:lang w:val="en-US"/>
        </w:rPr>
        <w:t xml:space="preserve">Article 15 </w:t>
      </w:r>
      <w:r w:rsidR="004C698F" w:rsidRPr="00813D19">
        <w:rPr>
          <w:bCs/>
          <w:lang w:val="en-US"/>
        </w:rPr>
        <w:t xml:space="preserve">of the Convention, </w:t>
      </w:r>
      <w:r w:rsidR="006203CA" w:rsidRPr="00813D19">
        <w:rPr>
          <w:bCs/>
          <w:lang w:val="en-US"/>
        </w:rPr>
        <w:t>which read, “communities, groups and</w:t>
      </w:r>
      <w:r w:rsidR="004C698F" w:rsidRPr="00813D19">
        <w:rPr>
          <w:bCs/>
          <w:lang w:val="en-US"/>
        </w:rPr>
        <w:t>,</w:t>
      </w:r>
      <w:r w:rsidR="006203CA" w:rsidRPr="00813D19">
        <w:rPr>
          <w:bCs/>
          <w:lang w:val="en-US"/>
        </w:rPr>
        <w:t xml:space="preserve"> where </w:t>
      </w:r>
      <w:r w:rsidR="004C698F" w:rsidRPr="00813D19">
        <w:rPr>
          <w:bCs/>
          <w:lang w:val="en-US"/>
        </w:rPr>
        <w:t>appropriate</w:t>
      </w:r>
      <w:r w:rsidR="006203CA" w:rsidRPr="00813D19">
        <w:rPr>
          <w:bCs/>
          <w:lang w:val="en-US"/>
        </w:rPr>
        <w:t>, individuals that create, maintain and transmit such heritage</w:t>
      </w:r>
      <w:r w:rsidR="004C698F" w:rsidRPr="00813D19">
        <w:rPr>
          <w:bCs/>
          <w:lang w:val="en-US"/>
        </w:rPr>
        <w:t xml:space="preserve"> […]”. The Secretary suggested referring directly </w:t>
      </w:r>
      <w:r w:rsidR="006203CA" w:rsidRPr="00813D19">
        <w:rPr>
          <w:bCs/>
          <w:lang w:val="en-US"/>
        </w:rPr>
        <w:t>to the language of the Convention</w:t>
      </w:r>
      <w:r w:rsidR="004C698F" w:rsidRPr="00813D19">
        <w:rPr>
          <w:bCs/>
          <w:lang w:val="en-US"/>
        </w:rPr>
        <w:t xml:space="preserve"> </w:t>
      </w:r>
      <w:r w:rsidR="003651E6" w:rsidRPr="00813D19">
        <w:rPr>
          <w:bCs/>
          <w:lang w:val="en-US"/>
        </w:rPr>
        <w:t>to</w:t>
      </w:r>
      <w:r w:rsidR="004C698F" w:rsidRPr="00813D19">
        <w:rPr>
          <w:bCs/>
          <w:lang w:val="en-US"/>
        </w:rPr>
        <w:t xml:space="preserve"> save time, not least because this issue had been debated before. The </w:t>
      </w:r>
      <w:r w:rsidR="006203CA" w:rsidRPr="00813D19">
        <w:rPr>
          <w:bCs/>
          <w:lang w:val="en-US"/>
        </w:rPr>
        <w:t xml:space="preserve">question </w:t>
      </w:r>
      <w:r w:rsidR="004C698F" w:rsidRPr="00813D19">
        <w:rPr>
          <w:bCs/>
          <w:lang w:val="en-US"/>
        </w:rPr>
        <w:t xml:space="preserve">therefore was </w:t>
      </w:r>
      <w:r w:rsidR="006203CA" w:rsidRPr="00813D19">
        <w:rPr>
          <w:bCs/>
          <w:lang w:val="en-US"/>
        </w:rPr>
        <w:t xml:space="preserve">whether to retain </w:t>
      </w:r>
      <w:r w:rsidR="004C698F" w:rsidRPr="00813D19">
        <w:rPr>
          <w:bCs/>
          <w:lang w:val="en-US"/>
        </w:rPr>
        <w:t>‘</w:t>
      </w:r>
      <w:r w:rsidR="006203CA" w:rsidRPr="00813D19">
        <w:rPr>
          <w:bCs/>
          <w:lang w:val="en-US"/>
        </w:rPr>
        <w:t>other concerned stakeholders</w:t>
      </w:r>
      <w:r w:rsidR="004C698F" w:rsidRPr="00813D19">
        <w:rPr>
          <w:bCs/>
          <w:lang w:val="en-US"/>
        </w:rPr>
        <w:t>’.</w:t>
      </w:r>
    </w:p>
    <w:p w14:paraId="07CA9D6E" w14:textId="5F1F5FD2" w:rsidR="004C698F" w:rsidRPr="00813D19" w:rsidRDefault="005207EA" w:rsidP="00703F5E">
      <w:pPr>
        <w:pStyle w:val="Orateurengris"/>
        <w:spacing w:before="120"/>
        <w:ind w:left="709" w:hanging="709"/>
        <w:rPr>
          <w:lang w:val="en-US"/>
        </w:rPr>
      </w:pPr>
      <w:r w:rsidRPr="00813D19">
        <w:rPr>
          <w:lang w:val="en-US"/>
        </w:rPr>
        <w:t xml:space="preserve">The </w:t>
      </w:r>
      <w:r w:rsidRPr="00813D19">
        <w:rPr>
          <w:b/>
          <w:lang w:val="en-US"/>
        </w:rPr>
        <w:t>delegation of Senegal</w:t>
      </w:r>
      <w:r w:rsidRPr="00813D19">
        <w:rPr>
          <w:lang w:val="en-US"/>
        </w:rPr>
        <w:t xml:space="preserve"> </w:t>
      </w:r>
      <w:r w:rsidR="003651E6" w:rsidRPr="00813D19">
        <w:rPr>
          <w:lang w:val="en-US"/>
        </w:rPr>
        <w:t xml:space="preserve">fully </w:t>
      </w:r>
      <w:r w:rsidR="004C698F" w:rsidRPr="00813D19">
        <w:rPr>
          <w:lang w:val="en-US"/>
        </w:rPr>
        <w:t xml:space="preserve">supported the </w:t>
      </w:r>
      <w:r w:rsidR="003651E6" w:rsidRPr="00813D19">
        <w:rPr>
          <w:lang w:val="en-US"/>
        </w:rPr>
        <w:t xml:space="preserve">remarks </w:t>
      </w:r>
      <w:r w:rsidR="004C698F" w:rsidRPr="00813D19">
        <w:rPr>
          <w:lang w:val="en-US"/>
        </w:rPr>
        <w:t>by the Secretary to use the language of the Convention because ‘communities’ was more incl</w:t>
      </w:r>
      <w:r w:rsidR="003651E6" w:rsidRPr="00813D19">
        <w:rPr>
          <w:lang w:val="en-US"/>
        </w:rPr>
        <w:t>usive and therefore appropriate</w:t>
      </w:r>
      <w:r w:rsidR="00E41386">
        <w:rPr>
          <w:lang w:val="en-US"/>
        </w:rPr>
        <w:t>.</w:t>
      </w:r>
    </w:p>
    <w:p w14:paraId="3BDC483A" w14:textId="140FEB39" w:rsidR="006B06A4" w:rsidRPr="00813D19" w:rsidRDefault="006B06A4" w:rsidP="00703F5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the consens</w:t>
      </w:r>
      <w:r w:rsidR="00E41386">
        <w:rPr>
          <w:lang w:val="en-US"/>
        </w:rPr>
        <w:t>us among the Committee Members.</w:t>
      </w:r>
    </w:p>
    <w:p w14:paraId="43FCE767" w14:textId="049F5E52" w:rsidR="001F3E7F" w:rsidRPr="00813D19" w:rsidRDefault="001F3E7F" w:rsidP="00703F5E">
      <w:pPr>
        <w:pStyle w:val="Orateurengris"/>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w:t>
      </w:r>
      <w:r w:rsidR="006B06A4" w:rsidRPr="00813D19">
        <w:rPr>
          <w:lang w:val="en-US"/>
        </w:rPr>
        <w:t xml:space="preserve">could go along </w:t>
      </w:r>
      <w:r w:rsidR="006203CA" w:rsidRPr="00813D19">
        <w:rPr>
          <w:lang w:val="en-US"/>
        </w:rPr>
        <w:t xml:space="preserve">with the suggestion to track the </w:t>
      </w:r>
      <w:r w:rsidR="006B06A4" w:rsidRPr="00813D19">
        <w:rPr>
          <w:lang w:val="en-US"/>
        </w:rPr>
        <w:t xml:space="preserve">language of the </w:t>
      </w:r>
      <w:r w:rsidR="006203CA" w:rsidRPr="00813D19">
        <w:rPr>
          <w:lang w:val="en-US"/>
        </w:rPr>
        <w:t xml:space="preserve">Convention or </w:t>
      </w:r>
      <w:r w:rsidR="006B06A4" w:rsidRPr="00813D19">
        <w:rPr>
          <w:lang w:val="en-US"/>
        </w:rPr>
        <w:t xml:space="preserve">the Operational Directives, adding that </w:t>
      </w:r>
      <w:r w:rsidR="006203CA" w:rsidRPr="00813D19">
        <w:rPr>
          <w:lang w:val="en-US"/>
        </w:rPr>
        <w:t xml:space="preserve">Operational Directive 16 </w:t>
      </w:r>
      <w:r w:rsidR="006B06A4" w:rsidRPr="00813D19">
        <w:rPr>
          <w:lang w:val="en-US"/>
        </w:rPr>
        <w:t xml:space="preserve">referred specifically </w:t>
      </w:r>
      <w:r w:rsidR="003651E6" w:rsidRPr="00813D19">
        <w:rPr>
          <w:lang w:val="en-US"/>
        </w:rPr>
        <w:t>to</w:t>
      </w:r>
      <w:r w:rsidR="006B06A4" w:rsidRPr="00813D19">
        <w:rPr>
          <w:lang w:val="en-US"/>
        </w:rPr>
        <w:t xml:space="preserve"> ‘</w:t>
      </w:r>
      <w:r w:rsidR="006203CA" w:rsidRPr="00813D19">
        <w:rPr>
          <w:lang w:val="en-US"/>
        </w:rPr>
        <w:t>concerned communities</w:t>
      </w:r>
      <w:r w:rsidR="006B06A4" w:rsidRPr="00813D19">
        <w:rPr>
          <w:lang w:val="en-US"/>
        </w:rPr>
        <w:t xml:space="preserve">’, which could be a </w:t>
      </w:r>
      <w:r w:rsidR="006203CA" w:rsidRPr="00813D19">
        <w:rPr>
          <w:lang w:val="en-US"/>
        </w:rPr>
        <w:t>useful way to ad</w:t>
      </w:r>
      <w:r w:rsidR="006B06A4" w:rsidRPr="00813D19">
        <w:rPr>
          <w:lang w:val="en-US"/>
        </w:rPr>
        <w:t>dress all the concerns. Thus, the text would read, ‘concerned communities, groups</w:t>
      </w:r>
      <w:r w:rsidR="006203CA" w:rsidRPr="00813D19">
        <w:rPr>
          <w:lang w:val="en-US"/>
        </w:rPr>
        <w:t xml:space="preserve"> and</w:t>
      </w:r>
      <w:r w:rsidR="006B06A4" w:rsidRPr="00813D19">
        <w:rPr>
          <w:lang w:val="en-US"/>
        </w:rPr>
        <w:t>,</w:t>
      </w:r>
      <w:r w:rsidR="006203CA" w:rsidRPr="00813D19">
        <w:rPr>
          <w:lang w:val="en-US"/>
        </w:rPr>
        <w:t xml:space="preserve"> if applicable, individuals</w:t>
      </w:r>
      <w:r w:rsidR="006B06A4" w:rsidRPr="00813D19">
        <w:rPr>
          <w:lang w:val="en-US"/>
        </w:rPr>
        <w:t>’,</w:t>
      </w:r>
      <w:r w:rsidR="003651E6" w:rsidRPr="00813D19">
        <w:rPr>
          <w:lang w:val="en-US"/>
        </w:rPr>
        <w:t xml:space="preserve"> and the rest of the amendment could be deleted, including</w:t>
      </w:r>
      <w:r w:rsidR="006B06A4" w:rsidRPr="00813D19">
        <w:rPr>
          <w:lang w:val="en-US"/>
        </w:rPr>
        <w:t xml:space="preserve"> ‘</w:t>
      </w:r>
      <w:r w:rsidR="006203CA" w:rsidRPr="00813D19">
        <w:rPr>
          <w:lang w:val="en-US"/>
        </w:rPr>
        <w:t>civil society</w:t>
      </w:r>
      <w:r w:rsidR="006B06A4" w:rsidRPr="00813D19">
        <w:rPr>
          <w:lang w:val="en-US"/>
        </w:rPr>
        <w:t>’.</w:t>
      </w:r>
    </w:p>
    <w:p w14:paraId="37C657A2" w14:textId="4DA1464B" w:rsidR="006203CA" w:rsidRPr="00813D19" w:rsidRDefault="006B06A4" w:rsidP="00703F5E">
      <w:pPr>
        <w:pStyle w:val="Orateurengris"/>
        <w:spacing w:before="120"/>
        <w:ind w:left="709" w:hanging="709"/>
        <w:rPr>
          <w:lang w:val="en-US"/>
        </w:rPr>
      </w:pPr>
      <w:r w:rsidRPr="00813D19">
        <w:rPr>
          <w:lang w:val="en-US"/>
        </w:rPr>
        <w:t>Given the long debate, t</w:t>
      </w:r>
      <w:r w:rsidR="006203CA" w:rsidRPr="00813D19">
        <w:rPr>
          <w:lang w:val="en-US"/>
        </w:rPr>
        <w:t xml:space="preserve">he </w:t>
      </w:r>
      <w:r w:rsidR="006203CA" w:rsidRPr="00813D19">
        <w:rPr>
          <w:b/>
          <w:lang w:val="en-US"/>
        </w:rPr>
        <w:t>Chairperson</w:t>
      </w:r>
      <w:r w:rsidR="006203CA" w:rsidRPr="00813D19">
        <w:rPr>
          <w:lang w:val="en-US"/>
        </w:rPr>
        <w:t xml:space="preserve"> </w:t>
      </w:r>
      <w:r w:rsidRPr="00813D19">
        <w:rPr>
          <w:lang w:val="en-US"/>
        </w:rPr>
        <w:t xml:space="preserve">suggested </w:t>
      </w:r>
      <w:r w:rsidR="006203CA" w:rsidRPr="00813D19">
        <w:rPr>
          <w:lang w:val="en-US"/>
        </w:rPr>
        <w:t>follow</w:t>
      </w:r>
      <w:r w:rsidRPr="00813D19">
        <w:rPr>
          <w:lang w:val="en-US"/>
        </w:rPr>
        <w:t>ing</w:t>
      </w:r>
      <w:r w:rsidR="006203CA" w:rsidRPr="00813D19">
        <w:rPr>
          <w:lang w:val="en-US"/>
        </w:rPr>
        <w:t xml:space="preserve"> </w:t>
      </w:r>
      <w:r w:rsidRPr="00813D19">
        <w:rPr>
          <w:lang w:val="en-US"/>
        </w:rPr>
        <w:t>the guidance of the Philippines.</w:t>
      </w:r>
    </w:p>
    <w:p w14:paraId="4E267BFA" w14:textId="79853562" w:rsidR="0066570D" w:rsidRPr="00813D19" w:rsidRDefault="00B74E35" w:rsidP="00703F5E">
      <w:pPr>
        <w:pStyle w:val="Orateurengris"/>
        <w:spacing w:before="120"/>
        <w:ind w:left="709" w:hanging="709"/>
        <w:rPr>
          <w:lang w:val="en-US"/>
        </w:rPr>
      </w:pPr>
      <w:r w:rsidRPr="00813D19">
        <w:rPr>
          <w:lang w:val="en-US"/>
        </w:rPr>
        <w:t>On a technical issue, t</w:t>
      </w:r>
      <w:r w:rsidR="0066570D" w:rsidRPr="00813D19">
        <w:rPr>
          <w:lang w:val="en-US"/>
        </w:rPr>
        <w:t xml:space="preserve">he </w:t>
      </w:r>
      <w:r w:rsidR="0066570D" w:rsidRPr="00813D19">
        <w:rPr>
          <w:b/>
          <w:lang w:val="en-US"/>
        </w:rPr>
        <w:t>delegation of Palestine</w:t>
      </w:r>
      <w:r w:rsidR="003B25FD" w:rsidRPr="00813D19">
        <w:rPr>
          <w:b/>
          <w:lang w:val="en-US"/>
        </w:rPr>
        <w:t xml:space="preserve"> </w:t>
      </w:r>
      <w:r w:rsidRPr="00813D19">
        <w:rPr>
          <w:lang w:val="en-US"/>
        </w:rPr>
        <w:t>asked that the paragraph be</w:t>
      </w:r>
      <w:r w:rsidRPr="00813D19">
        <w:rPr>
          <w:b/>
          <w:lang w:val="en-US"/>
        </w:rPr>
        <w:t xml:space="preserve"> </w:t>
      </w:r>
      <w:r w:rsidRPr="00813D19">
        <w:rPr>
          <w:lang w:val="en-US"/>
        </w:rPr>
        <w:t xml:space="preserve">made clear by </w:t>
      </w:r>
      <w:r w:rsidR="003B25FD" w:rsidRPr="00813D19">
        <w:rPr>
          <w:lang w:val="en-US"/>
        </w:rPr>
        <w:t>keep</w:t>
      </w:r>
      <w:r w:rsidRPr="00813D19">
        <w:rPr>
          <w:lang w:val="en-US"/>
        </w:rPr>
        <w:t>ing</w:t>
      </w:r>
      <w:r w:rsidR="003B25FD" w:rsidRPr="00813D19">
        <w:rPr>
          <w:lang w:val="en-US"/>
        </w:rPr>
        <w:t xml:space="preserve"> only the last proposal </w:t>
      </w:r>
      <w:r w:rsidRPr="00813D19">
        <w:rPr>
          <w:lang w:val="en-US"/>
        </w:rPr>
        <w:t xml:space="preserve">presented by </w:t>
      </w:r>
      <w:r w:rsidR="00E41386">
        <w:rPr>
          <w:lang w:val="en-US"/>
        </w:rPr>
        <w:t>the Philippines.</w:t>
      </w:r>
    </w:p>
    <w:p w14:paraId="2B39EF9D" w14:textId="4D19785C" w:rsidR="002503EC" w:rsidRPr="00813D19" w:rsidRDefault="002503EC" w:rsidP="00703F5E">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B74E35" w:rsidRPr="00813D19">
        <w:rPr>
          <w:lang w:val="en-US"/>
        </w:rPr>
        <w:t>asked that the names of the supporting Members be removed so as to obtain a cleare</w:t>
      </w:r>
      <w:r w:rsidR="003651E6" w:rsidRPr="00813D19">
        <w:rPr>
          <w:lang w:val="en-US"/>
        </w:rPr>
        <w:t>r</w:t>
      </w:r>
      <w:r w:rsidR="00B74E35" w:rsidRPr="00813D19">
        <w:rPr>
          <w:lang w:val="en-US"/>
        </w:rPr>
        <w:t xml:space="preserve"> reading of </w:t>
      </w:r>
      <w:r w:rsidR="003B25FD" w:rsidRPr="00813D19">
        <w:rPr>
          <w:bCs/>
          <w:lang w:val="en-US"/>
        </w:rPr>
        <w:t xml:space="preserve">the sentence. </w:t>
      </w:r>
      <w:r w:rsidR="00B74E35" w:rsidRPr="00813D19">
        <w:rPr>
          <w:bCs/>
          <w:lang w:val="en-US"/>
        </w:rPr>
        <w:t>The new paragraph would now read, ‘</w:t>
      </w:r>
      <w:r w:rsidR="003B25FD" w:rsidRPr="00813D19">
        <w:rPr>
          <w:bCs/>
          <w:lang w:val="en-US"/>
        </w:rPr>
        <w:t>recognizes the need to reflect on the follow-up of inscribed elements and ways for concerned communities, groups and</w:t>
      </w:r>
      <w:r w:rsidR="00B74E35" w:rsidRPr="00813D19">
        <w:rPr>
          <w:bCs/>
          <w:lang w:val="en-US"/>
        </w:rPr>
        <w:t>,</w:t>
      </w:r>
      <w:r w:rsidR="003B25FD" w:rsidRPr="00813D19">
        <w:rPr>
          <w:bCs/>
          <w:lang w:val="en-US"/>
        </w:rPr>
        <w:t xml:space="preserve"> where applicable, individuals to participate in the mo</w:t>
      </w:r>
      <w:r w:rsidR="006B06A4" w:rsidRPr="00813D19">
        <w:rPr>
          <w:bCs/>
          <w:lang w:val="en-US"/>
        </w:rPr>
        <w:t>nitoring of inscribed elements</w:t>
      </w:r>
      <w:r w:rsidR="00B74E35" w:rsidRPr="00813D19">
        <w:rPr>
          <w:bCs/>
          <w:lang w:val="en-US"/>
        </w:rPr>
        <w:t>’</w:t>
      </w:r>
      <w:r w:rsidR="006B06A4" w:rsidRPr="00813D19">
        <w:rPr>
          <w:bCs/>
          <w:lang w:val="en-US"/>
        </w:rPr>
        <w:t>.</w:t>
      </w:r>
    </w:p>
    <w:p w14:paraId="744D2660" w14:textId="0E980C57" w:rsidR="002503EC" w:rsidRPr="00813D19" w:rsidRDefault="002503EC" w:rsidP="00703F5E">
      <w:pPr>
        <w:pStyle w:val="Orateurengris"/>
        <w:spacing w:before="120"/>
        <w:ind w:left="709" w:hanging="709"/>
        <w:rPr>
          <w:lang w:val="en-US"/>
        </w:rPr>
      </w:pPr>
      <w:r w:rsidRPr="00813D19">
        <w:rPr>
          <w:lang w:val="en-US"/>
        </w:rPr>
        <w:t xml:space="preserve">The </w:t>
      </w:r>
      <w:r w:rsidRPr="00813D19">
        <w:rPr>
          <w:b/>
          <w:lang w:val="en-US"/>
        </w:rPr>
        <w:t>delegation of the Netherlands</w:t>
      </w:r>
      <w:r w:rsidR="006C238D" w:rsidRPr="00813D19">
        <w:rPr>
          <w:b/>
          <w:lang w:val="en-US"/>
        </w:rPr>
        <w:t xml:space="preserve"> </w:t>
      </w:r>
      <w:r w:rsidR="00E82E3B" w:rsidRPr="00813D19">
        <w:rPr>
          <w:lang w:val="en-US"/>
        </w:rPr>
        <w:t>remarked that</w:t>
      </w:r>
      <w:r w:rsidR="00E82E3B" w:rsidRPr="00813D19">
        <w:rPr>
          <w:b/>
          <w:lang w:val="en-US"/>
        </w:rPr>
        <w:t xml:space="preserve"> </w:t>
      </w:r>
      <w:r w:rsidR="00E82E3B" w:rsidRPr="00813D19">
        <w:rPr>
          <w:lang w:val="en-US"/>
        </w:rPr>
        <w:t xml:space="preserve">the </w:t>
      </w:r>
      <w:r w:rsidR="00EE0589" w:rsidRPr="00813D19">
        <w:rPr>
          <w:lang w:val="en-US"/>
        </w:rPr>
        <w:t xml:space="preserve">word </w:t>
      </w:r>
      <w:r w:rsidR="00B74E35" w:rsidRPr="00813D19">
        <w:rPr>
          <w:lang w:val="en-US"/>
        </w:rPr>
        <w:t>‘</w:t>
      </w:r>
      <w:r w:rsidR="00EE0589" w:rsidRPr="00813D19">
        <w:rPr>
          <w:lang w:val="en-US"/>
        </w:rPr>
        <w:t>concerned</w:t>
      </w:r>
      <w:r w:rsidR="00B74E35" w:rsidRPr="00813D19">
        <w:rPr>
          <w:lang w:val="en-US"/>
        </w:rPr>
        <w:t>’</w:t>
      </w:r>
      <w:r w:rsidR="00EE0589" w:rsidRPr="00813D19">
        <w:rPr>
          <w:lang w:val="en-US"/>
        </w:rPr>
        <w:t xml:space="preserve"> </w:t>
      </w:r>
      <w:r w:rsidR="00E82E3B" w:rsidRPr="00813D19">
        <w:rPr>
          <w:lang w:val="en-US"/>
        </w:rPr>
        <w:t xml:space="preserve">was </w:t>
      </w:r>
      <w:r w:rsidR="00EE0589" w:rsidRPr="00813D19">
        <w:rPr>
          <w:lang w:val="en-US"/>
        </w:rPr>
        <w:t xml:space="preserve">not </w:t>
      </w:r>
      <w:r w:rsidR="00E82E3B" w:rsidRPr="00813D19">
        <w:rPr>
          <w:lang w:val="en-US"/>
        </w:rPr>
        <w:t xml:space="preserve">the </w:t>
      </w:r>
      <w:r w:rsidR="00EE0589" w:rsidRPr="00813D19">
        <w:rPr>
          <w:lang w:val="en-US"/>
        </w:rPr>
        <w:t xml:space="preserve">standard language of the Convention and </w:t>
      </w:r>
      <w:r w:rsidR="00E82E3B" w:rsidRPr="00813D19">
        <w:rPr>
          <w:lang w:val="en-US"/>
        </w:rPr>
        <w:t>that its addition implied that only the ‘</w:t>
      </w:r>
      <w:r w:rsidR="00EE0589" w:rsidRPr="00813D19">
        <w:rPr>
          <w:lang w:val="en-US"/>
        </w:rPr>
        <w:t>concerned communities</w:t>
      </w:r>
      <w:r w:rsidR="00E82E3B" w:rsidRPr="00813D19">
        <w:rPr>
          <w:lang w:val="en-US"/>
        </w:rPr>
        <w:t>’</w:t>
      </w:r>
      <w:r w:rsidR="00EE0589" w:rsidRPr="00813D19">
        <w:rPr>
          <w:lang w:val="en-US"/>
        </w:rPr>
        <w:t xml:space="preserve"> </w:t>
      </w:r>
      <w:r w:rsidR="00E82E3B" w:rsidRPr="00813D19">
        <w:rPr>
          <w:lang w:val="en-US"/>
        </w:rPr>
        <w:t xml:space="preserve">could </w:t>
      </w:r>
      <w:r w:rsidR="00EE0589" w:rsidRPr="00813D19">
        <w:rPr>
          <w:lang w:val="en-US"/>
        </w:rPr>
        <w:t xml:space="preserve">participate and </w:t>
      </w:r>
      <w:r w:rsidR="00813D19" w:rsidRPr="00813D19">
        <w:rPr>
          <w:lang w:val="en-US"/>
        </w:rPr>
        <w:t>no</w:t>
      </w:r>
      <w:r w:rsidR="00EE0589" w:rsidRPr="00813D19">
        <w:rPr>
          <w:lang w:val="en-US"/>
        </w:rPr>
        <w:t xml:space="preserve"> other communities, </w:t>
      </w:r>
      <w:r w:rsidR="00E82E3B" w:rsidRPr="00813D19">
        <w:rPr>
          <w:lang w:val="en-US"/>
        </w:rPr>
        <w:t>which would therefore have the effect of narrowing down</w:t>
      </w:r>
      <w:r w:rsidR="00EE0589" w:rsidRPr="00813D19">
        <w:rPr>
          <w:lang w:val="en-US"/>
        </w:rPr>
        <w:t xml:space="preserve"> </w:t>
      </w:r>
      <w:r w:rsidR="00E82E3B" w:rsidRPr="00813D19">
        <w:rPr>
          <w:lang w:val="en-US"/>
        </w:rPr>
        <w:t>‘</w:t>
      </w:r>
      <w:r w:rsidR="00EE0589" w:rsidRPr="00813D19">
        <w:rPr>
          <w:lang w:val="en-US"/>
        </w:rPr>
        <w:t>communities, groups and individu</w:t>
      </w:r>
      <w:r w:rsidR="00F5781D" w:rsidRPr="00813D19">
        <w:rPr>
          <w:lang w:val="en-US"/>
        </w:rPr>
        <w:t>als</w:t>
      </w:r>
      <w:r w:rsidR="00E82E3B" w:rsidRPr="00813D19">
        <w:rPr>
          <w:lang w:val="en-US"/>
        </w:rPr>
        <w:t>’</w:t>
      </w:r>
      <w:r w:rsidR="00F5781D" w:rsidRPr="00813D19">
        <w:rPr>
          <w:lang w:val="en-US"/>
        </w:rPr>
        <w:t>.</w:t>
      </w:r>
    </w:p>
    <w:p w14:paraId="20271322" w14:textId="55A433EC" w:rsidR="006C238D" w:rsidRPr="00813D19" w:rsidRDefault="006C238D" w:rsidP="00703F5E">
      <w:pPr>
        <w:pStyle w:val="Orateurengris"/>
        <w:spacing w:before="120"/>
        <w:ind w:left="709" w:hanging="709"/>
        <w:rPr>
          <w:lang w:val="en-US"/>
        </w:rPr>
      </w:pPr>
      <w:r w:rsidRPr="00813D19">
        <w:rPr>
          <w:lang w:val="en-US"/>
        </w:rPr>
        <w:t xml:space="preserve">The </w:t>
      </w:r>
      <w:r w:rsidRPr="00813D19">
        <w:rPr>
          <w:b/>
          <w:lang w:val="en-US"/>
        </w:rPr>
        <w:t>delegation of Austria</w:t>
      </w:r>
      <w:r w:rsidR="00EE0589" w:rsidRPr="00813D19">
        <w:rPr>
          <w:b/>
          <w:lang w:val="en-US"/>
        </w:rPr>
        <w:t xml:space="preserve"> </w:t>
      </w:r>
      <w:r w:rsidR="00E82E3B" w:rsidRPr="00813D19">
        <w:rPr>
          <w:lang w:val="en-US"/>
        </w:rPr>
        <w:t xml:space="preserve">did not seek to </w:t>
      </w:r>
      <w:r w:rsidR="00EE0589" w:rsidRPr="00813D19">
        <w:rPr>
          <w:lang w:val="en-US"/>
        </w:rPr>
        <w:t xml:space="preserve">extend </w:t>
      </w:r>
      <w:r w:rsidR="00E82E3B" w:rsidRPr="00813D19">
        <w:rPr>
          <w:lang w:val="en-US"/>
        </w:rPr>
        <w:t xml:space="preserve">the </w:t>
      </w:r>
      <w:r w:rsidR="00EE0589" w:rsidRPr="00813D19">
        <w:rPr>
          <w:lang w:val="en-US"/>
        </w:rPr>
        <w:t xml:space="preserve">discussion but </w:t>
      </w:r>
      <w:r w:rsidR="00E82E3B" w:rsidRPr="00813D19">
        <w:rPr>
          <w:lang w:val="en-US"/>
        </w:rPr>
        <w:t xml:space="preserve">felt that the paragraph should include </w:t>
      </w:r>
      <w:r w:rsidR="00EE0589" w:rsidRPr="00813D19">
        <w:rPr>
          <w:lang w:val="en-US"/>
        </w:rPr>
        <w:t xml:space="preserve">other stakeholders involved in </w:t>
      </w:r>
      <w:r w:rsidR="00E82E3B" w:rsidRPr="00813D19">
        <w:rPr>
          <w:lang w:val="en-US"/>
        </w:rPr>
        <w:t xml:space="preserve">the </w:t>
      </w:r>
      <w:r w:rsidR="00EE0589" w:rsidRPr="00813D19">
        <w:rPr>
          <w:lang w:val="en-US"/>
        </w:rPr>
        <w:t xml:space="preserve">monitoring </w:t>
      </w:r>
      <w:r w:rsidR="00E82E3B" w:rsidRPr="00813D19">
        <w:rPr>
          <w:lang w:val="en-US"/>
        </w:rPr>
        <w:t xml:space="preserve">of the element </w:t>
      </w:r>
      <w:r w:rsidR="00813D19" w:rsidRPr="00813D19">
        <w:rPr>
          <w:lang w:val="en-US"/>
        </w:rPr>
        <w:t>outside</w:t>
      </w:r>
      <w:r w:rsidR="00E82E3B" w:rsidRPr="00813D19">
        <w:rPr>
          <w:lang w:val="en-US"/>
        </w:rPr>
        <w:t xml:space="preserve"> the ‘concerned communities, groups and individuals’ such as academia</w:t>
      </w:r>
      <w:r w:rsidR="00EE0589" w:rsidRPr="00813D19">
        <w:rPr>
          <w:lang w:val="en-US"/>
        </w:rPr>
        <w:t xml:space="preserve"> </w:t>
      </w:r>
      <w:r w:rsidR="00E82E3B" w:rsidRPr="00813D19">
        <w:rPr>
          <w:lang w:val="en-US"/>
        </w:rPr>
        <w:t xml:space="preserve">and other </w:t>
      </w:r>
      <w:r w:rsidR="00EE0589" w:rsidRPr="00813D19">
        <w:rPr>
          <w:lang w:val="en-US"/>
        </w:rPr>
        <w:t>communities</w:t>
      </w:r>
      <w:r w:rsidR="00E82E3B" w:rsidRPr="00813D19">
        <w:rPr>
          <w:lang w:val="en-US"/>
        </w:rPr>
        <w:t xml:space="preserve">. In this regard, the delegation preferred to retain China’s </w:t>
      </w:r>
      <w:r w:rsidR="00EE0589" w:rsidRPr="00813D19">
        <w:rPr>
          <w:lang w:val="en-US"/>
        </w:rPr>
        <w:t xml:space="preserve">amendment </w:t>
      </w:r>
      <w:r w:rsidR="00E82E3B" w:rsidRPr="00813D19">
        <w:rPr>
          <w:lang w:val="en-US"/>
        </w:rPr>
        <w:t xml:space="preserve">that </w:t>
      </w:r>
      <w:r w:rsidR="00EE0589" w:rsidRPr="00813D19">
        <w:rPr>
          <w:lang w:val="en-US"/>
        </w:rPr>
        <w:t>include</w:t>
      </w:r>
      <w:r w:rsidR="00E82E3B" w:rsidRPr="00813D19">
        <w:rPr>
          <w:lang w:val="en-US"/>
        </w:rPr>
        <w:t>d</w:t>
      </w:r>
      <w:r w:rsidR="00EE0589" w:rsidRPr="00813D19">
        <w:rPr>
          <w:lang w:val="en-US"/>
        </w:rPr>
        <w:t xml:space="preserve"> </w:t>
      </w:r>
      <w:r w:rsidR="00E82E3B" w:rsidRPr="00813D19">
        <w:rPr>
          <w:lang w:val="en-US"/>
        </w:rPr>
        <w:t>‘</w:t>
      </w:r>
      <w:r w:rsidR="00EE0589" w:rsidRPr="00813D19">
        <w:rPr>
          <w:lang w:val="en-US"/>
        </w:rPr>
        <w:t>all other stakeholders</w:t>
      </w:r>
      <w:r w:rsidR="00E82E3B" w:rsidRPr="00813D19">
        <w:rPr>
          <w:lang w:val="en-US"/>
        </w:rPr>
        <w:t>’</w:t>
      </w:r>
      <w:r w:rsidR="00EE0589" w:rsidRPr="00813D19">
        <w:rPr>
          <w:lang w:val="en-US"/>
        </w:rPr>
        <w:t xml:space="preserve"> so </w:t>
      </w:r>
      <w:r w:rsidR="00E82E3B" w:rsidRPr="00813D19">
        <w:rPr>
          <w:lang w:val="en-US"/>
        </w:rPr>
        <w:t xml:space="preserve">as not to </w:t>
      </w:r>
      <w:r w:rsidR="00EE0589" w:rsidRPr="00813D19">
        <w:rPr>
          <w:lang w:val="en-US"/>
        </w:rPr>
        <w:t xml:space="preserve">redefine </w:t>
      </w:r>
      <w:r w:rsidR="00E82E3B" w:rsidRPr="00813D19">
        <w:rPr>
          <w:lang w:val="en-US"/>
        </w:rPr>
        <w:t>‘</w:t>
      </w:r>
      <w:r w:rsidR="00EE0589" w:rsidRPr="00813D19">
        <w:rPr>
          <w:lang w:val="en-US"/>
        </w:rPr>
        <w:t>communities, groups and individuals</w:t>
      </w:r>
      <w:r w:rsidR="00E82E3B" w:rsidRPr="00813D19">
        <w:rPr>
          <w:lang w:val="en-US"/>
        </w:rPr>
        <w:t>’</w:t>
      </w:r>
      <w:r w:rsidR="00E41386">
        <w:rPr>
          <w:lang w:val="en-US"/>
        </w:rPr>
        <w:t>.</w:t>
      </w:r>
    </w:p>
    <w:p w14:paraId="595D722A" w14:textId="09998212" w:rsidR="00FA7644" w:rsidRPr="00813D19" w:rsidRDefault="00FA7644" w:rsidP="00703F5E">
      <w:pPr>
        <w:pStyle w:val="Orateurengris"/>
        <w:spacing w:before="120"/>
        <w:ind w:left="709" w:hanging="709"/>
        <w:rPr>
          <w:lang w:val="en-US"/>
        </w:rPr>
      </w:pPr>
      <w:r w:rsidRPr="00813D19">
        <w:rPr>
          <w:lang w:val="en-US"/>
        </w:rPr>
        <w:t xml:space="preserve">The </w:t>
      </w:r>
      <w:r w:rsidRPr="00813D19">
        <w:rPr>
          <w:b/>
          <w:lang w:val="en-US"/>
        </w:rPr>
        <w:t>delegation of Palestine</w:t>
      </w:r>
      <w:r w:rsidR="00EE0589" w:rsidRPr="00813D19">
        <w:rPr>
          <w:b/>
          <w:lang w:val="en-US"/>
        </w:rPr>
        <w:t xml:space="preserve"> </w:t>
      </w:r>
      <w:r w:rsidR="002237A5" w:rsidRPr="00813D19">
        <w:rPr>
          <w:lang w:val="en-US"/>
        </w:rPr>
        <w:t xml:space="preserve">supported its </w:t>
      </w:r>
      <w:r w:rsidR="00E41386">
        <w:rPr>
          <w:lang w:val="en-US"/>
        </w:rPr>
        <w:t>initial proposal.</w:t>
      </w:r>
    </w:p>
    <w:p w14:paraId="1F948FCC" w14:textId="72F1D885" w:rsidR="00EE0589" w:rsidRPr="00813D19" w:rsidRDefault="00EE0589" w:rsidP="00703F5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2237A5" w:rsidRPr="00813D19">
        <w:rPr>
          <w:lang w:val="en-US"/>
        </w:rPr>
        <w:t xml:space="preserve">asked that this be taken into account following </w:t>
      </w:r>
      <w:r w:rsidRPr="00813D19">
        <w:rPr>
          <w:lang w:val="en-US"/>
        </w:rPr>
        <w:t>the observat</w:t>
      </w:r>
      <w:r w:rsidR="00E41386">
        <w:rPr>
          <w:lang w:val="en-US"/>
        </w:rPr>
        <w:t>ions.</w:t>
      </w:r>
    </w:p>
    <w:p w14:paraId="36BA58BC" w14:textId="0D5C6453" w:rsidR="00FA7644" w:rsidRPr="00813D19" w:rsidRDefault="00DF2043" w:rsidP="00703F5E">
      <w:pPr>
        <w:pStyle w:val="Orateurengris"/>
        <w:spacing w:before="120"/>
        <w:ind w:left="709" w:hanging="709"/>
        <w:rPr>
          <w:lang w:val="en-US"/>
        </w:rPr>
      </w:pPr>
      <w:r w:rsidRPr="00813D19">
        <w:rPr>
          <w:lang w:val="en-US"/>
        </w:rPr>
        <w:t xml:space="preserve">The </w:t>
      </w:r>
      <w:r w:rsidRPr="00813D19">
        <w:rPr>
          <w:b/>
          <w:lang w:val="en-US"/>
        </w:rPr>
        <w:t>delegation of Poland</w:t>
      </w:r>
      <w:r w:rsidRPr="00813D19">
        <w:rPr>
          <w:lang w:val="en-US"/>
        </w:rPr>
        <w:t xml:space="preserve"> </w:t>
      </w:r>
      <w:r w:rsidR="002237A5" w:rsidRPr="00813D19">
        <w:rPr>
          <w:lang w:val="en-US"/>
        </w:rPr>
        <w:t xml:space="preserve">remarked that </w:t>
      </w:r>
      <w:r w:rsidR="00B91F92" w:rsidRPr="00813D19">
        <w:rPr>
          <w:lang w:val="en-US"/>
        </w:rPr>
        <w:t xml:space="preserve">Austria </w:t>
      </w:r>
      <w:r w:rsidR="002237A5" w:rsidRPr="00813D19">
        <w:rPr>
          <w:lang w:val="en-US"/>
        </w:rPr>
        <w:t xml:space="preserve">had </w:t>
      </w:r>
      <w:r w:rsidR="00B91F92" w:rsidRPr="00813D19">
        <w:rPr>
          <w:lang w:val="en-US"/>
        </w:rPr>
        <w:t xml:space="preserve">just expressed </w:t>
      </w:r>
      <w:r w:rsidR="002237A5" w:rsidRPr="00813D19">
        <w:rPr>
          <w:lang w:val="en-US"/>
        </w:rPr>
        <w:t>its own concern</w:t>
      </w:r>
      <w:r w:rsidR="00B91F92" w:rsidRPr="00813D19">
        <w:rPr>
          <w:lang w:val="en-US"/>
        </w:rPr>
        <w:t xml:space="preserve"> </w:t>
      </w:r>
      <w:r w:rsidR="002237A5" w:rsidRPr="00813D19">
        <w:rPr>
          <w:lang w:val="en-US"/>
        </w:rPr>
        <w:t xml:space="preserve">regarding stakeholders, as it was </w:t>
      </w:r>
      <w:r w:rsidR="00B91F92" w:rsidRPr="00813D19">
        <w:rPr>
          <w:lang w:val="en-US"/>
        </w:rPr>
        <w:t>very important to include</w:t>
      </w:r>
      <w:r w:rsidR="002237A5" w:rsidRPr="00813D19">
        <w:rPr>
          <w:lang w:val="en-US"/>
        </w:rPr>
        <w:t>,</w:t>
      </w:r>
      <w:r w:rsidR="00B91F92" w:rsidRPr="00813D19">
        <w:rPr>
          <w:lang w:val="en-US"/>
        </w:rPr>
        <w:t xml:space="preserve"> for example</w:t>
      </w:r>
      <w:r w:rsidR="002237A5" w:rsidRPr="00813D19">
        <w:rPr>
          <w:lang w:val="en-US"/>
        </w:rPr>
        <w:t>,</w:t>
      </w:r>
      <w:r w:rsidR="00B91F92" w:rsidRPr="00813D19">
        <w:rPr>
          <w:lang w:val="en-US"/>
        </w:rPr>
        <w:t xml:space="preserve"> </w:t>
      </w:r>
      <w:r w:rsidR="002237A5" w:rsidRPr="00813D19">
        <w:rPr>
          <w:lang w:val="en-US"/>
        </w:rPr>
        <w:t xml:space="preserve">the </w:t>
      </w:r>
      <w:r w:rsidR="00B91F92" w:rsidRPr="00813D19">
        <w:rPr>
          <w:lang w:val="en-US"/>
        </w:rPr>
        <w:t xml:space="preserve">scientific </w:t>
      </w:r>
      <w:r w:rsidR="002237A5" w:rsidRPr="00813D19">
        <w:rPr>
          <w:lang w:val="en-US"/>
        </w:rPr>
        <w:t xml:space="preserve">community </w:t>
      </w:r>
      <w:r w:rsidR="00B91F92" w:rsidRPr="00813D19">
        <w:rPr>
          <w:lang w:val="en-US"/>
        </w:rPr>
        <w:t xml:space="preserve">and others </w:t>
      </w:r>
      <w:r w:rsidR="002237A5" w:rsidRPr="00813D19">
        <w:rPr>
          <w:lang w:val="en-US"/>
        </w:rPr>
        <w:t xml:space="preserve">who are involved </w:t>
      </w:r>
      <w:r w:rsidR="00B91F92" w:rsidRPr="00813D19">
        <w:rPr>
          <w:lang w:val="en-US"/>
        </w:rPr>
        <w:t xml:space="preserve">in supporting the safeguarding of the element. </w:t>
      </w:r>
      <w:r w:rsidR="002237A5" w:rsidRPr="00813D19">
        <w:rPr>
          <w:lang w:val="en-US"/>
        </w:rPr>
        <w:t>It thus proposed retain</w:t>
      </w:r>
      <w:r w:rsidR="001C2A2C">
        <w:rPr>
          <w:lang w:val="en-US"/>
        </w:rPr>
        <w:t>ing</w:t>
      </w:r>
      <w:r w:rsidR="002237A5" w:rsidRPr="00813D19">
        <w:rPr>
          <w:lang w:val="en-US"/>
        </w:rPr>
        <w:t xml:space="preserve"> ‘</w:t>
      </w:r>
      <w:r w:rsidR="00B91F92" w:rsidRPr="00813D19">
        <w:rPr>
          <w:lang w:val="en-US"/>
        </w:rPr>
        <w:t>other stakeholders</w:t>
      </w:r>
      <w:r w:rsidR="002237A5" w:rsidRPr="00813D19">
        <w:rPr>
          <w:lang w:val="en-US"/>
        </w:rPr>
        <w:t>’</w:t>
      </w:r>
      <w:r w:rsidR="00E41386">
        <w:rPr>
          <w:lang w:val="en-US"/>
        </w:rPr>
        <w:t>.</w:t>
      </w:r>
    </w:p>
    <w:p w14:paraId="0387D134" w14:textId="4E6E9DDF" w:rsidR="009A2039" w:rsidRPr="00813D19" w:rsidRDefault="009A2039" w:rsidP="00703F5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remark</w:t>
      </w:r>
      <w:r w:rsidR="003651E6" w:rsidRPr="00813D19">
        <w:rPr>
          <w:lang w:val="en-US"/>
        </w:rPr>
        <w:t>e</w:t>
      </w:r>
      <w:r w:rsidRPr="00813D19">
        <w:rPr>
          <w:lang w:val="en-US"/>
        </w:rPr>
        <w:t>d that the Committee was clos</w:t>
      </w:r>
      <w:r w:rsidR="00E41386">
        <w:rPr>
          <w:lang w:val="en-US"/>
        </w:rPr>
        <w:t>e to finalizing the text.</w:t>
      </w:r>
    </w:p>
    <w:p w14:paraId="0B745F7C" w14:textId="7EA623D8" w:rsidR="0052047B" w:rsidRPr="00813D19" w:rsidRDefault="0052047B" w:rsidP="00703F5E">
      <w:pPr>
        <w:pStyle w:val="Orateurengris"/>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w:t>
      </w:r>
      <w:r w:rsidR="009A2039" w:rsidRPr="00813D19">
        <w:rPr>
          <w:lang w:val="en-US"/>
        </w:rPr>
        <w:t xml:space="preserve">was of the </w:t>
      </w:r>
      <w:r w:rsidR="00B91F92" w:rsidRPr="00813D19">
        <w:rPr>
          <w:lang w:val="en-US"/>
        </w:rPr>
        <w:t xml:space="preserve">understanding that </w:t>
      </w:r>
      <w:r w:rsidR="009A2039" w:rsidRPr="00813D19">
        <w:rPr>
          <w:lang w:val="en-US"/>
        </w:rPr>
        <w:t xml:space="preserve">the text should </w:t>
      </w:r>
      <w:r w:rsidR="00B91F92" w:rsidRPr="00813D19">
        <w:rPr>
          <w:lang w:val="en-US"/>
        </w:rPr>
        <w:t>track the language of the Convention and the Operational Directives</w:t>
      </w:r>
      <w:r w:rsidR="009A2039" w:rsidRPr="00813D19">
        <w:rPr>
          <w:lang w:val="en-US"/>
        </w:rPr>
        <w:t>,</w:t>
      </w:r>
      <w:r w:rsidR="00B91F92" w:rsidRPr="00813D19">
        <w:rPr>
          <w:lang w:val="en-US"/>
        </w:rPr>
        <w:t xml:space="preserve"> </w:t>
      </w:r>
      <w:r w:rsidR="009A2039" w:rsidRPr="00813D19">
        <w:rPr>
          <w:lang w:val="en-US"/>
        </w:rPr>
        <w:t>as ‘</w:t>
      </w:r>
      <w:r w:rsidR="00B91F92" w:rsidRPr="00813D19">
        <w:rPr>
          <w:lang w:val="en-US"/>
        </w:rPr>
        <w:t>other stakeholders</w:t>
      </w:r>
      <w:r w:rsidR="009A2039" w:rsidRPr="00813D19">
        <w:rPr>
          <w:lang w:val="en-US"/>
        </w:rPr>
        <w:t>’</w:t>
      </w:r>
      <w:r w:rsidR="00B91F92" w:rsidRPr="00813D19">
        <w:rPr>
          <w:lang w:val="en-US"/>
        </w:rPr>
        <w:t xml:space="preserve"> </w:t>
      </w:r>
      <w:r w:rsidR="009A2039" w:rsidRPr="00813D19">
        <w:rPr>
          <w:lang w:val="en-US"/>
        </w:rPr>
        <w:t xml:space="preserve">was </w:t>
      </w:r>
      <w:r w:rsidR="001C2A2C">
        <w:rPr>
          <w:lang w:val="en-US"/>
        </w:rPr>
        <w:t xml:space="preserve">in </w:t>
      </w:r>
      <w:r w:rsidR="009A2039" w:rsidRPr="00813D19">
        <w:rPr>
          <w:lang w:val="en-US"/>
        </w:rPr>
        <w:t>neither</w:t>
      </w:r>
      <w:r w:rsidR="00B91F92" w:rsidRPr="00813D19">
        <w:rPr>
          <w:lang w:val="en-US"/>
        </w:rPr>
        <w:t xml:space="preserve"> the relevant Article of the Operational Directive</w:t>
      </w:r>
      <w:r w:rsidR="009A2039" w:rsidRPr="00813D19">
        <w:rPr>
          <w:lang w:val="en-US"/>
        </w:rPr>
        <w:t>s nor the Convention</w:t>
      </w:r>
      <w:r w:rsidR="00B91F92" w:rsidRPr="00813D19">
        <w:rPr>
          <w:lang w:val="en-US"/>
        </w:rPr>
        <w:t xml:space="preserve">. However, </w:t>
      </w:r>
      <w:r w:rsidR="009A2039" w:rsidRPr="00813D19">
        <w:rPr>
          <w:lang w:val="en-US"/>
        </w:rPr>
        <w:t xml:space="preserve">it would not oppose the text should </w:t>
      </w:r>
      <w:r w:rsidR="00B91F92" w:rsidRPr="00813D19">
        <w:rPr>
          <w:lang w:val="en-US"/>
        </w:rPr>
        <w:t xml:space="preserve">the Committee </w:t>
      </w:r>
      <w:r w:rsidR="009A2039" w:rsidRPr="00813D19">
        <w:rPr>
          <w:lang w:val="en-US"/>
        </w:rPr>
        <w:t xml:space="preserve">wish </w:t>
      </w:r>
      <w:r w:rsidR="00B91F92" w:rsidRPr="00813D19">
        <w:rPr>
          <w:lang w:val="en-US"/>
        </w:rPr>
        <w:t xml:space="preserve">to expand </w:t>
      </w:r>
      <w:r w:rsidR="009A2039" w:rsidRPr="00813D19">
        <w:rPr>
          <w:lang w:val="en-US"/>
        </w:rPr>
        <w:t>the scope.</w:t>
      </w:r>
    </w:p>
    <w:p w14:paraId="1D3DD32D" w14:textId="04083788" w:rsidR="009A2039" w:rsidRPr="00813D19" w:rsidRDefault="009A2039" w:rsidP="00703F5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believed that the Committee should</w:t>
      </w:r>
      <w:r w:rsidR="001C2A2C">
        <w:rPr>
          <w:lang w:val="en-US"/>
        </w:rPr>
        <w:t>,</w:t>
      </w:r>
      <w:r w:rsidRPr="00813D19">
        <w:rPr>
          <w:lang w:val="en-US"/>
        </w:rPr>
        <w:t xml:space="preserve"> as far as possible</w:t>
      </w:r>
      <w:r w:rsidR="001C2A2C">
        <w:rPr>
          <w:lang w:val="en-US"/>
        </w:rPr>
        <w:t>,</w:t>
      </w:r>
      <w:r w:rsidRPr="00813D19">
        <w:rPr>
          <w:lang w:val="en-US"/>
        </w:rPr>
        <w:t xml:space="preserve"> adhere to the Convention i</w:t>
      </w:r>
      <w:r w:rsidR="00E41386">
        <w:rPr>
          <w:lang w:val="en-US"/>
        </w:rPr>
        <w:t>n terms of harmonized language.</w:t>
      </w:r>
    </w:p>
    <w:p w14:paraId="695783F9" w14:textId="46BA1F69" w:rsidR="0052047B" w:rsidRPr="00813D19" w:rsidRDefault="003B7949" w:rsidP="00703F5E">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3B1A4F" w:rsidRPr="00813D19">
        <w:rPr>
          <w:lang w:val="en-US"/>
        </w:rPr>
        <w:t xml:space="preserve">proposed wording in place of </w:t>
      </w:r>
      <w:r w:rsidR="003B1A4F" w:rsidRPr="00813D19">
        <w:rPr>
          <w:bCs/>
          <w:lang w:val="en-US"/>
        </w:rPr>
        <w:t>‘</w:t>
      </w:r>
      <w:r w:rsidR="00B91F92" w:rsidRPr="00813D19">
        <w:rPr>
          <w:bCs/>
          <w:lang w:val="en-US"/>
        </w:rPr>
        <w:t>other stakeholders</w:t>
      </w:r>
      <w:r w:rsidR="003B1A4F" w:rsidRPr="00813D19">
        <w:rPr>
          <w:bCs/>
          <w:lang w:val="en-US"/>
        </w:rPr>
        <w:t xml:space="preserve">’ that </w:t>
      </w:r>
      <w:r w:rsidR="00813D19" w:rsidRPr="00813D19">
        <w:rPr>
          <w:bCs/>
          <w:lang w:val="en-US"/>
        </w:rPr>
        <w:t>would</w:t>
      </w:r>
      <w:r w:rsidR="003B1A4F" w:rsidRPr="00813D19">
        <w:rPr>
          <w:bCs/>
          <w:lang w:val="en-US"/>
        </w:rPr>
        <w:t xml:space="preserve"> read, ‘</w:t>
      </w:r>
      <w:r w:rsidR="00B91F92" w:rsidRPr="00813D19">
        <w:rPr>
          <w:bCs/>
          <w:lang w:val="en-US"/>
        </w:rPr>
        <w:t xml:space="preserve">recognizes the need to reflect on the follow-up of inscribed elements and ways </w:t>
      </w:r>
      <w:r w:rsidR="003B1A4F" w:rsidRPr="00813D19">
        <w:rPr>
          <w:bCs/>
          <w:lang w:val="en-US"/>
        </w:rPr>
        <w:t xml:space="preserve">in particular </w:t>
      </w:r>
      <w:r w:rsidR="00B91F92" w:rsidRPr="00813D19">
        <w:rPr>
          <w:bCs/>
          <w:lang w:val="en-US"/>
        </w:rPr>
        <w:t>for concerned communities, groups and where applicable, individuals</w:t>
      </w:r>
      <w:r w:rsidR="00ED4413" w:rsidRPr="00813D19">
        <w:rPr>
          <w:bCs/>
          <w:lang w:val="en-US"/>
        </w:rPr>
        <w:t>’</w:t>
      </w:r>
      <w:r w:rsidR="003B1A4F" w:rsidRPr="00813D19">
        <w:rPr>
          <w:bCs/>
          <w:lang w:val="en-US"/>
        </w:rPr>
        <w:t>,</w:t>
      </w:r>
      <w:r w:rsidR="00B91F92" w:rsidRPr="00813D19">
        <w:rPr>
          <w:bCs/>
          <w:lang w:val="en-US"/>
        </w:rPr>
        <w:t xml:space="preserve"> </w:t>
      </w:r>
      <w:r w:rsidR="003B1A4F" w:rsidRPr="00813D19">
        <w:rPr>
          <w:bCs/>
          <w:lang w:val="en-US"/>
        </w:rPr>
        <w:t xml:space="preserve">adding that ‘ways </w:t>
      </w:r>
      <w:r w:rsidR="00B91F92" w:rsidRPr="00813D19">
        <w:rPr>
          <w:bCs/>
          <w:lang w:val="en-US"/>
        </w:rPr>
        <w:t>in particular</w:t>
      </w:r>
      <w:r w:rsidR="003B1A4F" w:rsidRPr="00813D19">
        <w:rPr>
          <w:bCs/>
          <w:lang w:val="en-US"/>
        </w:rPr>
        <w:t>’</w:t>
      </w:r>
      <w:r w:rsidR="00B91F92" w:rsidRPr="00813D19">
        <w:rPr>
          <w:bCs/>
          <w:lang w:val="en-US"/>
        </w:rPr>
        <w:t xml:space="preserve"> </w:t>
      </w:r>
      <w:r w:rsidR="003B1A4F" w:rsidRPr="00813D19">
        <w:rPr>
          <w:bCs/>
          <w:lang w:val="en-US"/>
        </w:rPr>
        <w:t xml:space="preserve">placed </w:t>
      </w:r>
      <w:r w:rsidR="00B91F92" w:rsidRPr="00813D19">
        <w:rPr>
          <w:bCs/>
          <w:lang w:val="en-US"/>
        </w:rPr>
        <w:t>emphasis on the communities, groups and individuals</w:t>
      </w:r>
      <w:r w:rsidR="001C2A2C">
        <w:rPr>
          <w:bCs/>
          <w:lang w:val="en-US"/>
        </w:rPr>
        <w:t xml:space="preserve"> concerned</w:t>
      </w:r>
      <w:r w:rsidR="00B91F92" w:rsidRPr="00813D19">
        <w:rPr>
          <w:bCs/>
          <w:lang w:val="en-US"/>
        </w:rPr>
        <w:t xml:space="preserve"> </w:t>
      </w:r>
      <w:r w:rsidR="003B1A4F" w:rsidRPr="00813D19">
        <w:rPr>
          <w:bCs/>
          <w:lang w:val="en-US"/>
        </w:rPr>
        <w:t xml:space="preserve">but not on their </w:t>
      </w:r>
      <w:r w:rsidR="00B91F92" w:rsidRPr="00813D19">
        <w:rPr>
          <w:bCs/>
          <w:lang w:val="en-US"/>
        </w:rPr>
        <w:t>exclusivity</w:t>
      </w:r>
      <w:r w:rsidR="003B1A4F" w:rsidRPr="00813D19">
        <w:rPr>
          <w:bCs/>
          <w:lang w:val="en-US"/>
        </w:rPr>
        <w:t xml:space="preserve">, i.e. it was not exclusive to them, </w:t>
      </w:r>
      <w:r w:rsidR="00ED4413" w:rsidRPr="00813D19">
        <w:rPr>
          <w:bCs/>
          <w:lang w:val="en-US"/>
        </w:rPr>
        <w:t>and</w:t>
      </w:r>
      <w:r w:rsidR="003B1A4F" w:rsidRPr="00813D19">
        <w:rPr>
          <w:bCs/>
          <w:lang w:val="en-US"/>
        </w:rPr>
        <w:t xml:space="preserve"> </w:t>
      </w:r>
      <w:r w:rsidR="00ED4413" w:rsidRPr="00813D19">
        <w:rPr>
          <w:bCs/>
          <w:lang w:val="en-US"/>
        </w:rPr>
        <w:t xml:space="preserve">thus </w:t>
      </w:r>
      <w:r w:rsidR="003B1A4F" w:rsidRPr="00813D19">
        <w:rPr>
          <w:bCs/>
          <w:lang w:val="en-US"/>
        </w:rPr>
        <w:t>‘</w:t>
      </w:r>
      <w:r w:rsidR="00B91F92" w:rsidRPr="00813D19">
        <w:rPr>
          <w:bCs/>
          <w:lang w:val="en-US"/>
        </w:rPr>
        <w:t>other stakeholders</w:t>
      </w:r>
      <w:r w:rsidR="003B1A4F" w:rsidRPr="00813D19">
        <w:rPr>
          <w:bCs/>
          <w:lang w:val="en-US"/>
        </w:rPr>
        <w:t>’ could be deleted.</w:t>
      </w:r>
    </w:p>
    <w:p w14:paraId="5B2BE970" w14:textId="6D53E86B" w:rsidR="003B7949" w:rsidRPr="00813D19" w:rsidRDefault="003B7949" w:rsidP="00703F5E">
      <w:pPr>
        <w:pStyle w:val="Orateurengris"/>
        <w:spacing w:before="120"/>
        <w:ind w:left="709" w:hanging="709"/>
        <w:rPr>
          <w:lang w:val="en-US"/>
        </w:rPr>
      </w:pPr>
      <w:r w:rsidRPr="00813D19">
        <w:rPr>
          <w:lang w:val="en-US"/>
        </w:rPr>
        <w:t xml:space="preserve">The </w:t>
      </w:r>
      <w:r w:rsidRPr="00813D19">
        <w:rPr>
          <w:b/>
          <w:lang w:val="en-US"/>
        </w:rPr>
        <w:t>delegation of Palestine</w:t>
      </w:r>
      <w:r w:rsidR="00B91F92" w:rsidRPr="00813D19">
        <w:rPr>
          <w:b/>
          <w:lang w:val="en-US"/>
        </w:rPr>
        <w:t xml:space="preserve"> </w:t>
      </w:r>
      <w:r w:rsidR="003B1A4F" w:rsidRPr="00813D19">
        <w:rPr>
          <w:lang w:val="en-US"/>
        </w:rPr>
        <w:t xml:space="preserve">felt that the </w:t>
      </w:r>
      <w:r w:rsidR="00ED4413" w:rsidRPr="00813D19">
        <w:rPr>
          <w:lang w:val="en-US"/>
        </w:rPr>
        <w:t xml:space="preserve">proposed </w:t>
      </w:r>
      <w:r w:rsidR="003B1A4F" w:rsidRPr="00813D19">
        <w:rPr>
          <w:lang w:val="en-US"/>
        </w:rPr>
        <w:t xml:space="preserve">wording had </w:t>
      </w:r>
      <w:r w:rsidR="00C847D4" w:rsidRPr="00813D19">
        <w:rPr>
          <w:lang w:val="en-US"/>
        </w:rPr>
        <w:t>ren</w:t>
      </w:r>
      <w:r w:rsidR="003B1A4F" w:rsidRPr="00813D19">
        <w:rPr>
          <w:lang w:val="en-US"/>
        </w:rPr>
        <w:t xml:space="preserve">dered the sentence </w:t>
      </w:r>
      <w:r w:rsidR="00B91F92" w:rsidRPr="00813D19">
        <w:rPr>
          <w:lang w:val="en-US"/>
        </w:rPr>
        <w:t xml:space="preserve">confusing because </w:t>
      </w:r>
      <w:r w:rsidR="003B1A4F" w:rsidRPr="00813D19">
        <w:rPr>
          <w:lang w:val="en-US"/>
        </w:rPr>
        <w:t xml:space="preserve">‘ways in particular’ </w:t>
      </w:r>
      <w:r w:rsidR="00C847D4" w:rsidRPr="00813D19">
        <w:rPr>
          <w:lang w:val="en-US"/>
        </w:rPr>
        <w:t xml:space="preserve">suggested </w:t>
      </w:r>
      <w:r w:rsidR="00C847D4" w:rsidRPr="00813D19">
        <w:rPr>
          <w:bCs/>
          <w:lang w:val="en-US"/>
        </w:rPr>
        <w:t xml:space="preserve">ways to </w:t>
      </w:r>
      <w:r w:rsidR="00B91F92" w:rsidRPr="00813D19">
        <w:rPr>
          <w:bCs/>
          <w:lang w:val="en-US"/>
        </w:rPr>
        <w:t>reflect on the follow-up of inscribed elements</w:t>
      </w:r>
      <w:r w:rsidR="00C847D4" w:rsidRPr="00813D19">
        <w:rPr>
          <w:bCs/>
          <w:lang w:val="en-US"/>
        </w:rPr>
        <w:t>,</w:t>
      </w:r>
      <w:r w:rsidR="00B91F92" w:rsidRPr="00813D19">
        <w:rPr>
          <w:bCs/>
          <w:lang w:val="en-US"/>
        </w:rPr>
        <w:t xml:space="preserve"> </w:t>
      </w:r>
      <w:r w:rsidR="00C847D4" w:rsidRPr="00813D19">
        <w:rPr>
          <w:bCs/>
          <w:lang w:val="en-US"/>
        </w:rPr>
        <w:t xml:space="preserve">with </w:t>
      </w:r>
      <w:r w:rsidR="00B91F92" w:rsidRPr="00813D19">
        <w:rPr>
          <w:bCs/>
          <w:lang w:val="en-US"/>
        </w:rPr>
        <w:t xml:space="preserve">particular ways </w:t>
      </w:r>
      <w:r w:rsidR="00C847D4" w:rsidRPr="00813D19">
        <w:rPr>
          <w:bCs/>
          <w:lang w:val="en-US"/>
        </w:rPr>
        <w:t xml:space="preserve">for </w:t>
      </w:r>
      <w:r w:rsidR="00B91F92" w:rsidRPr="00813D19">
        <w:rPr>
          <w:bCs/>
          <w:lang w:val="en-US"/>
        </w:rPr>
        <w:t xml:space="preserve">parties </w:t>
      </w:r>
      <w:r w:rsidR="007C75FD">
        <w:rPr>
          <w:bCs/>
          <w:lang w:val="en-US"/>
        </w:rPr>
        <w:t xml:space="preserve">concerned </w:t>
      </w:r>
      <w:r w:rsidR="00B91F92" w:rsidRPr="00813D19">
        <w:rPr>
          <w:bCs/>
          <w:lang w:val="en-US"/>
        </w:rPr>
        <w:t>to</w:t>
      </w:r>
      <w:r w:rsidR="00E41386">
        <w:rPr>
          <w:bCs/>
          <w:lang w:val="en-US"/>
        </w:rPr>
        <w:t xml:space="preserve"> participate in the monitoring.</w:t>
      </w:r>
    </w:p>
    <w:p w14:paraId="32F5D899" w14:textId="47083294" w:rsidR="003B7949" w:rsidRPr="00813D19" w:rsidRDefault="006E5D72" w:rsidP="00703F5E">
      <w:pPr>
        <w:pStyle w:val="Orateurengris"/>
        <w:spacing w:before="120"/>
        <w:ind w:left="709" w:hanging="709"/>
        <w:rPr>
          <w:lang w:val="en-US"/>
        </w:rPr>
      </w:pPr>
      <w:r w:rsidRPr="00813D19">
        <w:rPr>
          <w:lang w:val="en-US"/>
        </w:rPr>
        <w:t xml:space="preserve">The </w:t>
      </w:r>
      <w:r w:rsidRPr="00813D19">
        <w:rPr>
          <w:b/>
          <w:lang w:val="en-US"/>
        </w:rPr>
        <w:t>delegation of the Netherlands</w:t>
      </w:r>
      <w:r w:rsidR="00B91F92" w:rsidRPr="00813D19">
        <w:rPr>
          <w:b/>
          <w:lang w:val="en-US"/>
        </w:rPr>
        <w:t xml:space="preserve"> </w:t>
      </w:r>
      <w:r w:rsidR="00C847D4" w:rsidRPr="00813D19">
        <w:rPr>
          <w:lang w:val="en-US"/>
        </w:rPr>
        <w:t>felt that</w:t>
      </w:r>
      <w:r w:rsidR="00C847D4" w:rsidRPr="00813D19">
        <w:rPr>
          <w:b/>
          <w:lang w:val="en-US"/>
        </w:rPr>
        <w:t xml:space="preserve"> </w:t>
      </w:r>
      <w:r w:rsidR="00B91F92" w:rsidRPr="00813D19">
        <w:rPr>
          <w:lang w:val="en-US"/>
        </w:rPr>
        <w:t>the suggestion</w:t>
      </w:r>
      <w:r w:rsidR="00C847D4" w:rsidRPr="00813D19">
        <w:rPr>
          <w:lang w:val="en-US"/>
        </w:rPr>
        <w:t xml:space="preserve"> by the Secretariat was correct i</w:t>
      </w:r>
      <w:r w:rsidR="00B91F92" w:rsidRPr="00813D19">
        <w:rPr>
          <w:lang w:val="en-US"/>
        </w:rPr>
        <w:t xml:space="preserve">f </w:t>
      </w:r>
      <w:r w:rsidR="00C847D4" w:rsidRPr="00813D19">
        <w:rPr>
          <w:lang w:val="en-US"/>
        </w:rPr>
        <w:t>‘</w:t>
      </w:r>
      <w:r w:rsidR="00B91F92" w:rsidRPr="00813D19">
        <w:rPr>
          <w:lang w:val="en-US"/>
        </w:rPr>
        <w:t>in particular</w:t>
      </w:r>
      <w:r w:rsidR="00C847D4" w:rsidRPr="00813D19">
        <w:rPr>
          <w:lang w:val="en-US"/>
        </w:rPr>
        <w:t xml:space="preserve">’ </w:t>
      </w:r>
      <w:r w:rsidR="007C75FD">
        <w:rPr>
          <w:lang w:val="en-US"/>
        </w:rPr>
        <w:t>was</w:t>
      </w:r>
      <w:r w:rsidR="00C847D4" w:rsidRPr="00813D19">
        <w:rPr>
          <w:lang w:val="en-US"/>
        </w:rPr>
        <w:t xml:space="preserve"> placed </w:t>
      </w:r>
      <w:r w:rsidR="00B91F92" w:rsidRPr="00813D19">
        <w:rPr>
          <w:lang w:val="en-US"/>
        </w:rPr>
        <w:t xml:space="preserve">in front of </w:t>
      </w:r>
      <w:r w:rsidR="00C847D4" w:rsidRPr="00813D19">
        <w:rPr>
          <w:lang w:val="en-US"/>
        </w:rPr>
        <w:t>‘</w:t>
      </w:r>
      <w:r w:rsidR="00B91F92" w:rsidRPr="00813D19">
        <w:rPr>
          <w:lang w:val="en-US"/>
        </w:rPr>
        <w:t>concerned</w:t>
      </w:r>
      <w:r w:rsidR="00C847D4" w:rsidRPr="00813D19">
        <w:rPr>
          <w:lang w:val="en-US"/>
        </w:rPr>
        <w:t xml:space="preserve"> communities’, whereas if placed afterwards it would </w:t>
      </w:r>
      <w:r w:rsidR="00B91F92" w:rsidRPr="00813D19">
        <w:rPr>
          <w:lang w:val="en-US"/>
        </w:rPr>
        <w:t xml:space="preserve">refer </w:t>
      </w:r>
      <w:r w:rsidR="00C847D4" w:rsidRPr="00813D19">
        <w:rPr>
          <w:lang w:val="en-US"/>
        </w:rPr>
        <w:t>‘</w:t>
      </w:r>
      <w:r w:rsidR="00B91F92" w:rsidRPr="00813D19">
        <w:rPr>
          <w:lang w:val="en-US"/>
        </w:rPr>
        <w:t>to the ways</w:t>
      </w:r>
      <w:r w:rsidR="00C847D4" w:rsidRPr="00813D19">
        <w:rPr>
          <w:lang w:val="en-US"/>
        </w:rPr>
        <w:t>’</w:t>
      </w:r>
      <w:r w:rsidR="00B91F92" w:rsidRPr="00813D19">
        <w:rPr>
          <w:lang w:val="en-US"/>
        </w:rPr>
        <w:t xml:space="preserve"> </w:t>
      </w:r>
      <w:r w:rsidR="00C847D4" w:rsidRPr="00813D19">
        <w:rPr>
          <w:lang w:val="en-US"/>
        </w:rPr>
        <w:t>as understood by Palestine. Thus, the paragraph would read, ‘</w:t>
      </w:r>
      <w:r w:rsidR="00B91F92" w:rsidRPr="00813D19">
        <w:rPr>
          <w:bCs/>
          <w:lang w:val="en-US"/>
        </w:rPr>
        <w:t>recognizes the need to reflect on the follow-up of inscribed elements and ways in particular for concerned communities, groups and</w:t>
      </w:r>
      <w:r w:rsidR="00C847D4" w:rsidRPr="00813D19">
        <w:rPr>
          <w:bCs/>
          <w:lang w:val="en-US"/>
        </w:rPr>
        <w:t>,</w:t>
      </w:r>
      <w:r w:rsidR="00B91F92" w:rsidRPr="00813D19">
        <w:rPr>
          <w:bCs/>
          <w:lang w:val="en-US"/>
        </w:rPr>
        <w:t xml:space="preserve"> where applicable</w:t>
      </w:r>
      <w:r w:rsidR="00C847D4" w:rsidRPr="00813D19">
        <w:rPr>
          <w:bCs/>
          <w:lang w:val="en-US"/>
        </w:rPr>
        <w:t>,</w:t>
      </w:r>
      <w:r w:rsidR="00B91F92" w:rsidRPr="00813D19">
        <w:rPr>
          <w:bCs/>
          <w:lang w:val="en-US"/>
        </w:rPr>
        <w:t xml:space="preserve"> individuals to participate in the monitoring of inscribed elements</w:t>
      </w:r>
      <w:r w:rsidR="00C847D4" w:rsidRPr="00813D19">
        <w:rPr>
          <w:bCs/>
          <w:lang w:val="en-US"/>
        </w:rPr>
        <w:t>’</w:t>
      </w:r>
      <w:r w:rsidR="00E41386">
        <w:rPr>
          <w:bCs/>
          <w:lang w:val="en-US"/>
        </w:rPr>
        <w:t>.</w:t>
      </w:r>
    </w:p>
    <w:p w14:paraId="77296014" w14:textId="2C998A68" w:rsidR="006E5D72" w:rsidRPr="00813D19" w:rsidRDefault="006E5D72" w:rsidP="00703F5E">
      <w:pPr>
        <w:pStyle w:val="Orateurengris"/>
        <w:spacing w:before="120"/>
        <w:ind w:left="709" w:hanging="709"/>
        <w:rPr>
          <w:lang w:val="en-US"/>
        </w:rPr>
      </w:pPr>
      <w:r w:rsidRPr="00813D19">
        <w:rPr>
          <w:lang w:val="en-US"/>
        </w:rPr>
        <w:t xml:space="preserve">The </w:t>
      </w:r>
      <w:r w:rsidRPr="00813D19">
        <w:rPr>
          <w:b/>
          <w:lang w:val="en-US"/>
        </w:rPr>
        <w:t>delegation of the Philippines</w:t>
      </w:r>
      <w:r w:rsidR="00B91F92" w:rsidRPr="00813D19">
        <w:rPr>
          <w:b/>
          <w:lang w:val="en-US"/>
        </w:rPr>
        <w:t xml:space="preserve"> </w:t>
      </w:r>
      <w:r w:rsidR="00B91F92" w:rsidRPr="00813D19">
        <w:rPr>
          <w:lang w:val="en-US"/>
        </w:rPr>
        <w:t>support</w:t>
      </w:r>
      <w:r w:rsidR="00C847D4" w:rsidRPr="00813D19">
        <w:rPr>
          <w:lang w:val="en-US"/>
        </w:rPr>
        <w:t>ed</w:t>
      </w:r>
      <w:r w:rsidR="00B91F92" w:rsidRPr="00813D19">
        <w:rPr>
          <w:lang w:val="en-US"/>
        </w:rPr>
        <w:t xml:space="preserve"> the </w:t>
      </w:r>
      <w:r w:rsidR="00C847D4" w:rsidRPr="00813D19">
        <w:rPr>
          <w:lang w:val="en-US"/>
        </w:rPr>
        <w:t>wording proposed by the Netherlands.</w:t>
      </w:r>
    </w:p>
    <w:p w14:paraId="18B71BEB" w14:textId="2C1F00D1" w:rsidR="006E5D72" w:rsidRPr="00813D19" w:rsidRDefault="00C847D4" w:rsidP="00703F5E">
      <w:pPr>
        <w:pStyle w:val="Orateurengris"/>
        <w:spacing w:before="120"/>
        <w:ind w:left="709" w:hanging="709"/>
        <w:rPr>
          <w:lang w:val="en-US"/>
        </w:rPr>
      </w:pPr>
      <w:r w:rsidRPr="00813D19">
        <w:rPr>
          <w:lang w:val="en-US"/>
        </w:rPr>
        <w:t>Referring once again to the language of the Convention, t</w:t>
      </w:r>
      <w:r w:rsidR="00335EF1" w:rsidRPr="00813D19">
        <w:rPr>
          <w:lang w:val="en-US"/>
        </w:rPr>
        <w:t xml:space="preserve">he </w:t>
      </w:r>
      <w:r w:rsidR="00335EF1" w:rsidRPr="00813D19">
        <w:rPr>
          <w:b/>
          <w:lang w:val="en-US"/>
        </w:rPr>
        <w:t>delegation of Poland</w:t>
      </w:r>
      <w:r w:rsidR="00B91F92" w:rsidRPr="00813D19">
        <w:rPr>
          <w:b/>
          <w:lang w:val="en-US"/>
        </w:rPr>
        <w:t xml:space="preserve"> </w:t>
      </w:r>
      <w:r w:rsidRPr="00813D19">
        <w:rPr>
          <w:lang w:val="en-US"/>
        </w:rPr>
        <w:t xml:space="preserve">recalled </w:t>
      </w:r>
      <w:r w:rsidR="00B91F92" w:rsidRPr="00813D19">
        <w:rPr>
          <w:lang w:val="en-US"/>
        </w:rPr>
        <w:t xml:space="preserve">that </w:t>
      </w:r>
      <w:r w:rsidRPr="00813D19">
        <w:rPr>
          <w:lang w:val="en-US"/>
        </w:rPr>
        <w:t xml:space="preserve">this exact formula </w:t>
      </w:r>
      <w:r w:rsidR="008F32C7" w:rsidRPr="00813D19">
        <w:rPr>
          <w:lang w:val="en-US"/>
        </w:rPr>
        <w:t xml:space="preserve">could be found in the recently adopted </w:t>
      </w:r>
      <w:r w:rsidR="00B91F92" w:rsidRPr="00813D19">
        <w:rPr>
          <w:lang w:val="en-US"/>
        </w:rPr>
        <w:t xml:space="preserve">overall results framework </w:t>
      </w:r>
      <w:r w:rsidR="008F32C7" w:rsidRPr="00813D19">
        <w:rPr>
          <w:lang w:val="en-US"/>
        </w:rPr>
        <w:t>in the Basic Texts, which included</w:t>
      </w:r>
      <w:r w:rsidR="00B91F92" w:rsidRPr="00813D19">
        <w:rPr>
          <w:lang w:val="en-US"/>
        </w:rPr>
        <w:t xml:space="preserve"> groups, communities and </w:t>
      </w:r>
      <w:r w:rsidR="008F32C7" w:rsidRPr="00813D19">
        <w:rPr>
          <w:lang w:val="en-US"/>
        </w:rPr>
        <w:t>‘</w:t>
      </w:r>
      <w:r w:rsidR="00B91F92" w:rsidRPr="00813D19">
        <w:rPr>
          <w:lang w:val="en-US"/>
        </w:rPr>
        <w:t>other stakeholders</w:t>
      </w:r>
      <w:r w:rsidR="008F32C7" w:rsidRPr="00813D19">
        <w:rPr>
          <w:lang w:val="en-US"/>
        </w:rPr>
        <w:t>’</w:t>
      </w:r>
      <w:r w:rsidR="00B91F92" w:rsidRPr="00813D19">
        <w:rPr>
          <w:lang w:val="en-US"/>
        </w:rPr>
        <w:t xml:space="preserve"> for safeguarding intangible cultural heritage. </w:t>
      </w:r>
      <w:r w:rsidR="008F32C7" w:rsidRPr="00813D19">
        <w:rPr>
          <w:lang w:val="en-US"/>
        </w:rPr>
        <w:t xml:space="preserve">Thus, this was not new but rather a </w:t>
      </w:r>
      <w:r w:rsidR="00B91F92" w:rsidRPr="00813D19">
        <w:rPr>
          <w:lang w:val="en-US"/>
        </w:rPr>
        <w:t xml:space="preserve">repeat </w:t>
      </w:r>
      <w:r w:rsidR="008F32C7" w:rsidRPr="00813D19">
        <w:rPr>
          <w:lang w:val="en-US"/>
        </w:rPr>
        <w:t>of text already adopted</w:t>
      </w:r>
      <w:r w:rsidR="00B91F92" w:rsidRPr="00813D19">
        <w:rPr>
          <w:lang w:val="en-US"/>
        </w:rPr>
        <w:t xml:space="preserve">. </w:t>
      </w:r>
      <w:r w:rsidR="008F32C7" w:rsidRPr="00813D19">
        <w:rPr>
          <w:lang w:val="en-US"/>
        </w:rPr>
        <w:t xml:space="preserve">The delegation thus preferred </w:t>
      </w:r>
      <w:r w:rsidR="00B91F92" w:rsidRPr="00813D19">
        <w:rPr>
          <w:lang w:val="en-US"/>
        </w:rPr>
        <w:t xml:space="preserve">to </w:t>
      </w:r>
      <w:r w:rsidR="008F32C7" w:rsidRPr="00813D19">
        <w:rPr>
          <w:lang w:val="en-US"/>
        </w:rPr>
        <w:t xml:space="preserve">retain ‘other </w:t>
      </w:r>
      <w:r w:rsidR="00B91F92" w:rsidRPr="00813D19">
        <w:rPr>
          <w:lang w:val="en-US"/>
        </w:rPr>
        <w:t>stakeholders</w:t>
      </w:r>
      <w:r w:rsidR="008F32C7" w:rsidRPr="00813D19">
        <w:rPr>
          <w:lang w:val="en-US"/>
        </w:rPr>
        <w:t xml:space="preserve">’ in the </w:t>
      </w:r>
      <w:r w:rsidR="00E41386">
        <w:rPr>
          <w:lang w:val="en-US"/>
        </w:rPr>
        <w:t>paragraph.</w:t>
      </w:r>
    </w:p>
    <w:p w14:paraId="6A3EB6D6" w14:textId="22D62B91" w:rsidR="00335EF1" w:rsidRPr="00813D19" w:rsidRDefault="00344602" w:rsidP="00703F5E">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8F32C7" w:rsidRPr="00813D19">
        <w:rPr>
          <w:lang w:val="en-US"/>
        </w:rPr>
        <w:t xml:space="preserve">noted that Poland sought to retain </w:t>
      </w:r>
      <w:r w:rsidR="008F32C7" w:rsidRPr="00813D19">
        <w:rPr>
          <w:bCs/>
          <w:lang w:val="en-US"/>
        </w:rPr>
        <w:t>‘</w:t>
      </w:r>
      <w:r w:rsidR="00B91F92" w:rsidRPr="00813D19">
        <w:rPr>
          <w:bCs/>
          <w:lang w:val="en-US"/>
        </w:rPr>
        <w:t>other stakeholders</w:t>
      </w:r>
      <w:r w:rsidR="008F32C7" w:rsidRPr="00813D19">
        <w:rPr>
          <w:bCs/>
          <w:lang w:val="en-US"/>
        </w:rPr>
        <w:t>’ and delete ‘</w:t>
      </w:r>
      <w:r w:rsidR="00B91F92" w:rsidRPr="00813D19">
        <w:rPr>
          <w:bCs/>
          <w:lang w:val="en-US"/>
        </w:rPr>
        <w:t>in particular</w:t>
      </w:r>
      <w:r w:rsidR="008F32C7" w:rsidRPr="00813D19">
        <w:rPr>
          <w:bCs/>
          <w:lang w:val="en-US"/>
        </w:rPr>
        <w:t>’</w:t>
      </w:r>
      <w:r w:rsidR="00367003" w:rsidRPr="00813D19">
        <w:rPr>
          <w:bCs/>
          <w:lang w:val="en-US"/>
        </w:rPr>
        <w:t>.</w:t>
      </w:r>
    </w:p>
    <w:p w14:paraId="713DBF0C" w14:textId="2B386A28" w:rsidR="00344602" w:rsidRPr="00813D19" w:rsidRDefault="00344602" w:rsidP="00703F5E">
      <w:pPr>
        <w:pStyle w:val="Orateurengris"/>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w:t>
      </w:r>
      <w:r w:rsidR="008F32C7" w:rsidRPr="00813D19">
        <w:rPr>
          <w:lang w:val="en-US"/>
        </w:rPr>
        <w:t xml:space="preserve">wished to move forward and could agree with the wording as presented, adding that it simply sought </w:t>
      </w:r>
      <w:r w:rsidR="00B91F92" w:rsidRPr="00813D19">
        <w:rPr>
          <w:lang w:val="en-US"/>
        </w:rPr>
        <w:t xml:space="preserve">to track the language of the Convention </w:t>
      </w:r>
      <w:r w:rsidR="008F32C7" w:rsidRPr="00813D19">
        <w:rPr>
          <w:lang w:val="en-US"/>
        </w:rPr>
        <w:t>that defined</w:t>
      </w:r>
      <w:r w:rsidR="00B91F92" w:rsidRPr="00813D19">
        <w:rPr>
          <w:lang w:val="en-US"/>
        </w:rPr>
        <w:t xml:space="preserve"> communities</w:t>
      </w:r>
      <w:r w:rsidR="008F32C7" w:rsidRPr="00813D19">
        <w:rPr>
          <w:lang w:val="en-US"/>
        </w:rPr>
        <w:t>,</w:t>
      </w:r>
      <w:r w:rsidR="00B91F92" w:rsidRPr="00813D19">
        <w:rPr>
          <w:lang w:val="en-US"/>
        </w:rPr>
        <w:t xml:space="preserve"> </w:t>
      </w:r>
      <w:r w:rsidR="00E63256" w:rsidRPr="00813D19">
        <w:rPr>
          <w:lang w:val="en-US"/>
        </w:rPr>
        <w:t>and thanked</w:t>
      </w:r>
      <w:r w:rsidR="008F32C7" w:rsidRPr="00813D19">
        <w:rPr>
          <w:lang w:val="en-US"/>
        </w:rPr>
        <w:t xml:space="preserve"> </w:t>
      </w:r>
      <w:r w:rsidR="00B91F92" w:rsidRPr="00813D19">
        <w:rPr>
          <w:lang w:val="en-US"/>
        </w:rPr>
        <w:t xml:space="preserve">Poland for </w:t>
      </w:r>
      <w:r w:rsidR="008F32C7" w:rsidRPr="00813D19">
        <w:rPr>
          <w:lang w:val="en-US"/>
        </w:rPr>
        <w:t xml:space="preserve">its </w:t>
      </w:r>
      <w:r w:rsidR="00B91F92" w:rsidRPr="00813D19">
        <w:rPr>
          <w:lang w:val="en-US"/>
        </w:rPr>
        <w:t xml:space="preserve">reflection </w:t>
      </w:r>
      <w:r w:rsidR="008F32C7" w:rsidRPr="00813D19">
        <w:rPr>
          <w:lang w:val="en-US"/>
        </w:rPr>
        <w:t>and reference to another part</w:t>
      </w:r>
      <w:r w:rsidR="00E41386">
        <w:rPr>
          <w:lang w:val="en-US"/>
        </w:rPr>
        <w:t xml:space="preserve"> of the Operational Directives.</w:t>
      </w:r>
    </w:p>
    <w:p w14:paraId="65A13225" w14:textId="1B7A5F72" w:rsidR="00A63E07" w:rsidRPr="00813D19" w:rsidRDefault="002418E1" w:rsidP="00346906">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E63256" w:rsidRPr="00813D19">
        <w:rPr>
          <w:lang w:val="en-US"/>
        </w:rPr>
        <w:t>then turned to paragraph 6 as amended, which was duly adopted. Paragraph 7 was also adopted. Turning to the draft decision as a whole, t</w:t>
      </w:r>
      <w:r w:rsidRPr="00813D19">
        <w:rPr>
          <w:lang w:val="en-US"/>
        </w:rPr>
        <w:t xml:space="preserve">he </w:t>
      </w:r>
      <w:r w:rsidRPr="00813D19">
        <w:rPr>
          <w:b/>
          <w:lang w:val="en-US"/>
        </w:rPr>
        <w:t>Chairperson declared Decision 13.COM 9 adopted</w:t>
      </w:r>
      <w:r w:rsidRPr="00E41386">
        <w:rPr>
          <w:bCs/>
          <w:lang w:val="en-US"/>
        </w:rPr>
        <w:t>.</w:t>
      </w:r>
    </w:p>
    <w:p w14:paraId="2FA882C4" w14:textId="46746AB9" w:rsidR="00A63E07" w:rsidRPr="00813D19" w:rsidRDefault="00A63E07" w:rsidP="00E41386">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10 OF THE AGENDA </w:t>
      </w:r>
    </w:p>
    <w:p w14:paraId="6EAD70F1" w14:textId="62EA12FE" w:rsidR="00A63E07" w:rsidRPr="00813D19" w:rsidRDefault="00A63E07" w:rsidP="00E41386">
      <w:pPr>
        <w:pStyle w:val="Orateurengris"/>
        <w:numPr>
          <w:ilvl w:val="0"/>
          <w:numId w:val="0"/>
        </w:numPr>
        <w:jc w:val="left"/>
        <w:outlineLvl w:val="1"/>
        <w:rPr>
          <w:b/>
          <w:color w:val="000000" w:themeColor="text1"/>
          <w:lang w:val="en-US"/>
        </w:rPr>
      </w:pPr>
      <w:r w:rsidRPr="00813D19">
        <w:rPr>
          <w:b/>
          <w:color w:val="000000" w:themeColor="text1"/>
          <w:lang w:val="en-US"/>
        </w:rPr>
        <w:t>REPORT OF THE EVALUATION BODY ON ITS WORK IN 2018</w:t>
      </w:r>
    </w:p>
    <w:p w14:paraId="0687082B" w14:textId="5300EDB5" w:rsidR="00A63E07" w:rsidRPr="00813D19" w:rsidRDefault="00A63E07" w:rsidP="00E41386">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79" w:history="1">
        <w:r w:rsidRPr="00813D19">
          <w:rPr>
            <w:rStyle w:val="Hyperlink"/>
            <w:bCs/>
            <w:i/>
            <w:lang w:val="en-US"/>
          </w:rPr>
          <w:t>ITH/18/13.COM/10</w:t>
        </w:r>
      </w:hyperlink>
    </w:p>
    <w:p w14:paraId="095F7F6F" w14:textId="085DA17C" w:rsidR="00A63E07" w:rsidRPr="00813D19" w:rsidRDefault="00A63E07" w:rsidP="00E41386">
      <w:pPr>
        <w:pStyle w:val="Orateurengris"/>
        <w:keepNext/>
        <w:numPr>
          <w:ilvl w:val="0"/>
          <w:numId w:val="0"/>
        </w:numPr>
        <w:spacing w:before="60" w:after="240"/>
        <w:ind w:left="709"/>
        <w:rPr>
          <w:rStyle w:val="Hyperlink"/>
          <w:i/>
          <w:lang w:val="en-US"/>
        </w:rPr>
      </w:pPr>
      <w:r w:rsidRPr="00813D19">
        <w:rPr>
          <w:b/>
          <w:color w:val="000000" w:themeColor="text1"/>
          <w:lang w:val="en-US"/>
        </w:rPr>
        <w:t>Decision</w:t>
      </w:r>
      <w:r w:rsidRPr="00E41386">
        <w:rPr>
          <w:b/>
          <w:bCs/>
          <w:color w:val="000000" w:themeColor="text1"/>
          <w:lang w:val="en-US"/>
        </w:rPr>
        <w:t>:</w:t>
      </w:r>
      <w:r w:rsidRPr="00813D19">
        <w:rPr>
          <w:color w:val="000000" w:themeColor="text1"/>
          <w:lang w:val="en-US"/>
        </w:rPr>
        <w:tab/>
      </w:r>
      <w:hyperlink r:id="rId80" w:history="1">
        <w:r w:rsidRPr="00813D19">
          <w:rPr>
            <w:rStyle w:val="Hyperlink"/>
            <w:i/>
            <w:lang w:val="en-US"/>
          </w:rPr>
          <w:t>13.COM 10</w:t>
        </w:r>
      </w:hyperlink>
    </w:p>
    <w:p w14:paraId="616F2999" w14:textId="540BB6C4" w:rsidR="00B57E8D" w:rsidRPr="00813D19" w:rsidRDefault="00A63E07" w:rsidP="00346906">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C571FD" w:rsidRPr="00813D19">
        <w:rPr>
          <w:lang w:val="en-US"/>
        </w:rPr>
        <w:t xml:space="preserve">reminded the Committee that in the previous day’s session it had </w:t>
      </w:r>
      <w:r w:rsidRPr="00813D19">
        <w:rPr>
          <w:lang w:val="en-US"/>
        </w:rPr>
        <w:t xml:space="preserve">adopted Decision 13.COM 10.b.41 </w:t>
      </w:r>
      <w:r w:rsidR="00C571FD" w:rsidRPr="00813D19">
        <w:rPr>
          <w:lang w:val="en-US"/>
        </w:rPr>
        <w:t xml:space="preserve">to inscribe </w:t>
      </w:r>
      <w:r w:rsidRPr="00813D19">
        <w:rPr>
          <w:lang w:val="en-US"/>
        </w:rPr>
        <w:t>‘Traditional Korean wrestling (Ssirum/Ssireu</w:t>
      </w:r>
      <w:r w:rsidR="00C571FD" w:rsidRPr="00813D19">
        <w:rPr>
          <w:lang w:val="en-US"/>
        </w:rPr>
        <w:t xml:space="preserve">m)’ on the Representative List, and he thanked everyone </w:t>
      </w:r>
      <w:r w:rsidRPr="00813D19">
        <w:rPr>
          <w:lang w:val="en-US"/>
        </w:rPr>
        <w:t xml:space="preserve">for the spirit of cooperation that made this historic inscription possible. </w:t>
      </w:r>
      <w:r w:rsidR="00C571FD" w:rsidRPr="00813D19">
        <w:rPr>
          <w:lang w:val="en-US"/>
        </w:rPr>
        <w:t xml:space="preserve">The Chairperson then resumed the </w:t>
      </w:r>
      <w:r w:rsidRPr="00813D19">
        <w:rPr>
          <w:lang w:val="en-US"/>
        </w:rPr>
        <w:t xml:space="preserve">examination of item </w:t>
      </w:r>
      <w:r w:rsidR="00C571FD" w:rsidRPr="00813D19">
        <w:rPr>
          <w:lang w:val="en-US"/>
        </w:rPr>
        <w:t xml:space="preserve">10 and the </w:t>
      </w:r>
      <w:r w:rsidR="00C571FD" w:rsidRPr="00813D19">
        <w:rPr>
          <w:noProof/>
          <w:lang w:val="en-US"/>
        </w:rPr>
        <w:t>r</w:t>
      </w:r>
      <w:r w:rsidRPr="00813D19">
        <w:rPr>
          <w:noProof/>
          <w:lang w:val="en-US"/>
        </w:rPr>
        <w:t>eport of the Evaluation Body on its work in 2018</w:t>
      </w:r>
      <w:r w:rsidR="00991066" w:rsidRPr="00813D19">
        <w:rPr>
          <w:lang w:val="en-US"/>
        </w:rPr>
        <w:t xml:space="preserve">. He took the </w:t>
      </w:r>
      <w:r w:rsidRPr="00813D19">
        <w:rPr>
          <w:lang w:val="en-US"/>
        </w:rPr>
        <w:t xml:space="preserve">opportunity to </w:t>
      </w:r>
      <w:r w:rsidR="00991066" w:rsidRPr="00813D19">
        <w:rPr>
          <w:lang w:val="en-US"/>
        </w:rPr>
        <w:t xml:space="preserve">note </w:t>
      </w:r>
      <w:r w:rsidRPr="00813D19">
        <w:rPr>
          <w:lang w:val="en-US"/>
        </w:rPr>
        <w:t xml:space="preserve">the generous contribution of the Sultan Bin Abdulaziz Al-Saud Foundation of the Kingdom of Saudi Arabia in support of Arabic interpretation during the examination of nominations, proposals and requests. </w:t>
      </w:r>
      <w:r w:rsidR="00991066" w:rsidRPr="00813D19">
        <w:rPr>
          <w:lang w:val="en-US"/>
        </w:rPr>
        <w:t xml:space="preserve">The Chairperson then invited </w:t>
      </w:r>
      <w:r w:rsidRPr="00813D19">
        <w:rPr>
          <w:lang w:val="en-US"/>
        </w:rPr>
        <w:t xml:space="preserve">the Chairperson of the Evaluation Body, Mr John Moogi Omare </w:t>
      </w:r>
      <w:r w:rsidR="00991066" w:rsidRPr="00813D19">
        <w:rPr>
          <w:lang w:val="en-US"/>
        </w:rPr>
        <w:t xml:space="preserve">from </w:t>
      </w:r>
      <w:r w:rsidRPr="00813D19">
        <w:rPr>
          <w:lang w:val="en-US"/>
        </w:rPr>
        <w:t xml:space="preserve">Kenya, </w:t>
      </w:r>
      <w:r w:rsidR="00991066" w:rsidRPr="00813D19">
        <w:rPr>
          <w:lang w:val="en-US"/>
        </w:rPr>
        <w:t xml:space="preserve">the </w:t>
      </w:r>
      <w:r w:rsidRPr="00813D19">
        <w:rPr>
          <w:lang w:val="en-US"/>
        </w:rPr>
        <w:t xml:space="preserve">Vice-Chairperson, Mr Eivind Falk </w:t>
      </w:r>
      <w:r w:rsidR="00991066" w:rsidRPr="00813D19">
        <w:rPr>
          <w:lang w:val="en-US"/>
        </w:rPr>
        <w:t xml:space="preserve">from the </w:t>
      </w:r>
      <w:r w:rsidRPr="00813D19">
        <w:rPr>
          <w:lang w:val="en-US"/>
        </w:rPr>
        <w:t xml:space="preserve">Norwegian Crafts Institute, and </w:t>
      </w:r>
      <w:r w:rsidR="00991066" w:rsidRPr="00813D19">
        <w:rPr>
          <w:lang w:val="en-US"/>
        </w:rPr>
        <w:t xml:space="preserve">the </w:t>
      </w:r>
      <w:r w:rsidRPr="00813D19">
        <w:rPr>
          <w:lang w:val="en-US"/>
        </w:rPr>
        <w:t xml:space="preserve">Rapporteur, Ms Eva Kuminkova </w:t>
      </w:r>
      <w:r w:rsidR="00991066" w:rsidRPr="00813D19">
        <w:rPr>
          <w:lang w:val="en-US"/>
        </w:rPr>
        <w:t xml:space="preserve">from </w:t>
      </w:r>
      <w:r w:rsidRPr="00813D19">
        <w:rPr>
          <w:lang w:val="en-US"/>
        </w:rPr>
        <w:t xml:space="preserve">the Czech Ethnological Society to </w:t>
      </w:r>
      <w:r w:rsidR="002B0D87" w:rsidRPr="00813D19">
        <w:rPr>
          <w:lang w:val="en-US"/>
        </w:rPr>
        <w:t xml:space="preserve">join </w:t>
      </w:r>
      <w:r w:rsidRPr="00813D19">
        <w:rPr>
          <w:lang w:val="en-US"/>
        </w:rPr>
        <w:t>the podium.</w:t>
      </w:r>
    </w:p>
    <w:p w14:paraId="5E9A2916" w14:textId="20892C36" w:rsidR="00C25A80" w:rsidRPr="00813D19" w:rsidRDefault="00A63E07" w:rsidP="00B57E8D">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BE31D8" w:rsidRPr="00813D19">
        <w:rPr>
          <w:lang w:val="en-US"/>
        </w:rPr>
        <w:t xml:space="preserve">recalled that </w:t>
      </w:r>
      <w:r w:rsidRPr="00813D19">
        <w:rPr>
          <w:lang w:val="en-US"/>
        </w:rPr>
        <w:t xml:space="preserve">the Committee </w:t>
      </w:r>
      <w:r w:rsidR="007C75FD">
        <w:rPr>
          <w:lang w:val="en-US"/>
        </w:rPr>
        <w:t xml:space="preserve">had </w:t>
      </w:r>
      <w:r w:rsidRPr="00813D19">
        <w:rPr>
          <w:lang w:val="en-US"/>
        </w:rPr>
        <w:t xml:space="preserve">established the Evaluation Body at its twelfth session in Jeju Island, Republic of Korea, to evaluate: i) nominations to the </w:t>
      </w:r>
      <w:r w:rsidR="00BE31D8" w:rsidRPr="00813D19">
        <w:rPr>
          <w:lang w:val="en-US"/>
        </w:rPr>
        <w:t>Urgent Safeguarding List</w:t>
      </w:r>
      <w:r w:rsidRPr="00813D19">
        <w:rPr>
          <w:lang w:val="en-US"/>
        </w:rPr>
        <w:t xml:space="preserve">; ii) nominations to the Representative List; iii) proposals to the Register of Good Safeguarding Practices; </w:t>
      </w:r>
      <w:r w:rsidR="00367003" w:rsidRPr="00813D19">
        <w:rPr>
          <w:lang w:val="en-US"/>
        </w:rPr>
        <w:t xml:space="preserve">and </w:t>
      </w:r>
      <w:r w:rsidRPr="00813D19">
        <w:rPr>
          <w:lang w:val="en-US"/>
        </w:rPr>
        <w:t xml:space="preserve">iv) requests for International Assistance greater than US$100,000. </w:t>
      </w:r>
      <w:r w:rsidR="00893602" w:rsidRPr="00813D19">
        <w:rPr>
          <w:bCs/>
          <w:lang w:val="en-US"/>
        </w:rPr>
        <w:t>T</w:t>
      </w:r>
      <w:r w:rsidR="00EB60A8" w:rsidRPr="00813D19">
        <w:rPr>
          <w:bCs/>
          <w:lang w:val="en-US"/>
        </w:rPr>
        <w:t xml:space="preserve">he Chairperson explained that the Committee would </w:t>
      </w:r>
      <w:r w:rsidRPr="00813D19">
        <w:rPr>
          <w:lang w:val="en-US"/>
        </w:rPr>
        <w:t xml:space="preserve">begin item 10 </w:t>
      </w:r>
      <w:r w:rsidR="00534C39" w:rsidRPr="00813D19">
        <w:rPr>
          <w:lang w:val="en-US"/>
        </w:rPr>
        <w:t xml:space="preserve">and its four sub-items with </w:t>
      </w:r>
      <w:r w:rsidR="00EB60A8" w:rsidRPr="00813D19">
        <w:rPr>
          <w:lang w:val="en-US"/>
        </w:rPr>
        <w:t xml:space="preserve">the oral report by </w:t>
      </w:r>
      <w:r w:rsidRPr="00813D19">
        <w:rPr>
          <w:lang w:val="en-US"/>
        </w:rPr>
        <w:t>Ms </w:t>
      </w:r>
      <w:r w:rsidR="00367003" w:rsidRPr="00813D19">
        <w:rPr>
          <w:lang w:val="en-US"/>
        </w:rPr>
        <w:t xml:space="preserve">Eva </w:t>
      </w:r>
      <w:r w:rsidRPr="00813D19">
        <w:rPr>
          <w:lang w:val="en-US"/>
        </w:rPr>
        <w:t xml:space="preserve">Kuminkova on a number of cross-cutting and specific issues raised during the Body’s work on </w:t>
      </w:r>
      <w:r w:rsidR="00EB60A8" w:rsidRPr="00813D19">
        <w:rPr>
          <w:lang w:val="en-US"/>
        </w:rPr>
        <w:t xml:space="preserve">the </w:t>
      </w:r>
      <w:r w:rsidRPr="00813D19">
        <w:rPr>
          <w:lang w:val="en-US"/>
        </w:rPr>
        <w:t xml:space="preserve">four mechanisms. </w:t>
      </w:r>
      <w:r w:rsidR="00BB47FC" w:rsidRPr="00813D19">
        <w:rPr>
          <w:lang w:val="en-US"/>
        </w:rPr>
        <w:t xml:space="preserve">The floor would then be </w:t>
      </w:r>
      <w:r w:rsidR="00EB60A8" w:rsidRPr="00813D19">
        <w:rPr>
          <w:lang w:val="en-US"/>
        </w:rPr>
        <w:t>open</w:t>
      </w:r>
      <w:r w:rsidR="00BB47FC" w:rsidRPr="00813D19">
        <w:rPr>
          <w:lang w:val="en-US"/>
        </w:rPr>
        <w:t>ed</w:t>
      </w:r>
      <w:r w:rsidR="00EB60A8" w:rsidRPr="00813D19">
        <w:rPr>
          <w:lang w:val="en-US"/>
        </w:rPr>
        <w:t xml:space="preserve"> </w:t>
      </w:r>
      <w:r w:rsidR="00A264DD" w:rsidRPr="00813D19">
        <w:rPr>
          <w:lang w:val="en-US"/>
        </w:rPr>
        <w:t xml:space="preserve">to </w:t>
      </w:r>
      <w:r w:rsidR="00367003" w:rsidRPr="00813D19">
        <w:rPr>
          <w:lang w:val="en-US"/>
        </w:rPr>
        <w:t>Committee M</w:t>
      </w:r>
      <w:r w:rsidRPr="00813D19">
        <w:rPr>
          <w:lang w:val="en-US"/>
        </w:rPr>
        <w:t>embers</w:t>
      </w:r>
      <w:r w:rsidR="00A264DD" w:rsidRPr="00813D19">
        <w:rPr>
          <w:lang w:val="en-US"/>
        </w:rPr>
        <w:t xml:space="preserve"> who </w:t>
      </w:r>
      <w:r w:rsidR="00CE6378" w:rsidRPr="00813D19">
        <w:rPr>
          <w:lang w:val="en-US"/>
        </w:rPr>
        <w:t xml:space="preserve">were </w:t>
      </w:r>
      <w:r w:rsidR="00A264DD" w:rsidRPr="00813D19">
        <w:rPr>
          <w:lang w:val="en-US"/>
        </w:rPr>
        <w:t xml:space="preserve">asked </w:t>
      </w:r>
      <w:r w:rsidRPr="00813D19">
        <w:rPr>
          <w:lang w:val="en-US"/>
        </w:rPr>
        <w:t xml:space="preserve">to restrict </w:t>
      </w:r>
      <w:r w:rsidR="00CE6378" w:rsidRPr="00813D19">
        <w:rPr>
          <w:lang w:val="en-US"/>
        </w:rPr>
        <w:t xml:space="preserve">their </w:t>
      </w:r>
      <w:r w:rsidRPr="00813D19">
        <w:rPr>
          <w:lang w:val="en-US"/>
        </w:rPr>
        <w:t xml:space="preserve">interventions </w:t>
      </w:r>
      <w:r w:rsidR="00CE6378" w:rsidRPr="00813D19">
        <w:rPr>
          <w:lang w:val="en-US"/>
        </w:rPr>
        <w:t>to concern</w:t>
      </w:r>
      <w:r w:rsidRPr="00813D19">
        <w:rPr>
          <w:lang w:val="en-US"/>
        </w:rPr>
        <w:t xml:space="preserve"> </w:t>
      </w:r>
      <w:r w:rsidR="00A264DD" w:rsidRPr="00813D19">
        <w:rPr>
          <w:lang w:val="en-US"/>
        </w:rPr>
        <w:t xml:space="preserve">only </w:t>
      </w:r>
      <w:r w:rsidRPr="00813D19">
        <w:rPr>
          <w:lang w:val="en-US"/>
        </w:rPr>
        <w:t xml:space="preserve">issues raised in its report. </w:t>
      </w:r>
      <w:r w:rsidR="00C32E66" w:rsidRPr="00813D19">
        <w:rPr>
          <w:lang w:val="en-US"/>
        </w:rPr>
        <w:t xml:space="preserve">The </w:t>
      </w:r>
      <w:r w:rsidRPr="00813D19">
        <w:rPr>
          <w:lang w:val="en-US"/>
        </w:rPr>
        <w:t xml:space="preserve">general debate on this item </w:t>
      </w:r>
      <w:r w:rsidR="00C32E66" w:rsidRPr="00813D19">
        <w:rPr>
          <w:lang w:val="en-US"/>
        </w:rPr>
        <w:t xml:space="preserve">would </w:t>
      </w:r>
      <w:r w:rsidRPr="00813D19">
        <w:rPr>
          <w:lang w:val="en-US"/>
        </w:rPr>
        <w:t xml:space="preserve">take place after </w:t>
      </w:r>
      <w:r w:rsidR="00C32E66" w:rsidRPr="00813D19">
        <w:rPr>
          <w:lang w:val="en-US"/>
        </w:rPr>
        <w:t xml:space="preserve">the evaluation of </w:t>
      </w:r>
      <w:r w:rsidRPr="00813D19">
        <w:rPr>
          <w:lang w:val="en-US"/>
        </w:rPr>
        <w:t xml:space="preserve">all </w:t>
      </w:r>
      <w:r w:rsidR="00C32E66" w:rsidRPr="00813D19">
        <w:rPr>
          <w:lang w:val="en-US"/>
        </w:rPr>
        <w:t xml:space="preserve">the </w:t>
      </w:r>
      <w:r w:rsidRPr="00813D19">
        <w:rPr>
          <w:lang w:val="en-US"/>
        </w:rPr>
        <w:t xml:space="preserve">individual files, at which point </w:t>
      </w:r>
      <w:r w:rsidR="00C32E66" w:rsidRPr="00813D19">
        <w:rPr>
          <w:lang w:val="en-US"/>
        </w:rPr>
        <w:t xml:space="preserve">the Committee would </w:t>
      </w:r>
      <w:r w:rsidRPr="00813D19">
        <w:rPr>
          <w:lang w:val="en-US"/>
        </w:rPr>
        <w:t xml:space="preserve">move to the adoption of the overall </w:t>
      </w:r>
      <w:r w:rsidR="003E7512">
        <w:rPr>
          <w:lang w:val="en-US"/>
        </w:rPr>
        <w:t>D</w:t>
      </w:r>
      <w:r w:rsidRPr="00813D19">
        <w:rPr>
          <w:lang w:val="en-US"/>
        </w:rPr>
        <w:t xml:space="preserve">ecision 13.COM 10. </w:t>
      </w:r>
      <w:r w:rsidR="00C32E66" w:rsidRPr="00813D19">
        <w:rPr>
          <w:lang w:val="en-US"/>
        </w:rPr>
        <w:t xml:space="preserve">The </w:t>
      </w:r>
      <w:r w:rsidRPr="00813D19">
        <w:rPr>
          <w:lang w:val="en-US"/>
        </w:rPr>
        <w:t xml:space="preserve">Committee </w:t>
      </w:r>
      <w:r w:rsidR="00C32E66" w:rsidRPr="00813D19">
        <w:rPr>
          <w:lang w:val="en-US"/>
        </w:rPr>
        <w:t xml:space="preserve">was </w:t>
      </w:r>
      <w:r w:rsidRPr="00813D19">
        <w:rPr>
          <w:lang w:val="en-US"/>
        </w:rPr>
        <w:t xml:space="preserve">asked to </w:t>
      </w:r>
      <w:r w:rsidR="00C32E66" w:rsidRPr="00813D19">
        <w:rPr>
          <w:lang w:val="en-US"/>
        </w:rPr>
        <w:t xml:space="preserve">first </w:t>
      </w:r>
      <w:r w:rsidRPr="00813D19">
        <w:rPr>
          <w:lang w:val="en-US"/>
        </w:rPr>
        <w:t xml:space="preserve">examine nominations to the Urgent Safeguarding List (item 10.a), </w:t>
      </w:r>
      <w:r w:rsidR="00F9513E" w:rsidRPr="00813D19">
        <w:rPr>
          <w:lang w:val="en-US"/>
        </w:rPr>
        <w:t xml:space="preserve">followed by nominations to </w:t>
      </w:r>
      <w:r w:rsidRPr="00813D19">
        <w:rPr>
          <w:lang w:val="en-US"/>
        </w:rPr>
        <w:t>the Representative List (item 10.b), proposals to the Register of Good Safeguarding Practices (item 10.c)</w:t>
      </w:r>
      <w:r w:rsidR="00367003" w:rsidRPr="00813D19">
        <w:rPr>
          <w:lang w:val="en-US"/>
        </w:rPr>
        <w:t>,</w:t>
      </w:r>
      <w:r w:rsidRPr="00813D19">
        <w:rPr>
          <w:lang w:val="en-US"/>
        </w:rPr>
        <w:t xml:space="preserve"> and requests for International Assistance greater than US$100,000 (item 10.d</w:t>
      </w:r>
      <w:r w:rsidR="00DF7DF0" w:rsidRPr="00813D19">
        <w:rPr>
          <w:lang w:val="en-US"/>
        </w:rPr>
        <w:t xml:space="preserve">). These </w:t>
      </w:r>
      <w:r w:rsidR="004D436A" w:rsidRPr="00813D19">
        <w:rPr>
          <w:lang w:val="en-US"/>
        </w:rPr>
        <w:t xml:space="preserve">would be accompanied by a brief presentation </w:t>
      </w:r>
      <w:r w:rsidRPr="00813D19">
        <w:rPr>
          <w:lang w:val="en-US"/>
        </w:rPr>
        <w:t>by the Chairperson of the Evalua</w:t>
      </w:r>
      <w:r w:rsidR="004D436A" w:rsidRPr="00813D19">
        <w:rPr>
          <w:lang w:val="en-US"/>
        </w:rPr>
        <w:t>tion Body</w:t>
      </w:r>
      <w:r w:rsidRPr="00813D19">
        <w:rPr>
          <w:lang w:val="en-US"/>
        </w:rPr>
        <w:t xml:space="preserve"> </w:t>
      </w:r>
      <w:r w:rsidR="004D436A" w:rsidRPr="00813D19">
        <w:rPr>
          <w:lang w:val="en-US"/>
        </w:rPr>
        <w:t xml:space="preserve">and an </w:t>
      </w:r>
      <w:r w:rsidRPr="00813D19">
        <w:rPr>
          <w:lang w:val="en-US"/>
        </w:rPr>
        <w:t>explanation justifying the draft decision</w:t>
      </w:r>
      <w:r w:rsidR="003029D3" w:rsidRPr="00813D19">
        <w:rPr>
          <w:lang w:val="en-US"/>
        </w:rPr>
        <w:t>,</w:t>
      </w:r>
      <w:r w:rsidRPr="00813D19">
        <w:rPr>
          <w:lang w:val="en-US"/>
        </w:rPr>
        <w:t xml:space="preserve"> along with </w:t>
      </w:r>
      <w:r w:rsidR="004D436A" w:rsidRPr="00813D19">
        <w:rPr>
          <w:lang w:val="en-US"/>
        </w:rPr>
        <w:t>photos</w:t>
      </w:r>
      <w:r w:rsidRPr="00813D19">
        <w:rPr>
          <w:lang w:val="en-US"/>
        </w:rPr>
        <w:t xml:space="preserve"> </w:t>
      </w:r>
      <w:r w:rsidR="004D436A" w:rsidRPr="00813D19">
        <w:rPr>
          <w:lang w:val="en-US"/>
        </w:rPr>
        <w:t>projected on the screen</w:t>
      </w:r>
      <w:r w:rsidRPr="00813D19">
        <w:rPr>
          <w:lang w:val="en-US"/>
        </w:rPr>
        <w:t>.</w:t>
      </w:r>
      <w:r w:rsidR="00B57E8D" w:rsidRPr="00813D19">
        <w:rPr>
          <w:lang w:val="en-US"/>
        </w:rPr>
        <w:t xml:space="preserve"> </w:t>
      </w:r>
      <w:r w:rsidRPr="00813D19">
        <w:rPr>
          <w:lang w:val="en-US"/>
        </w:rPr>
        <w:t xml:space="preserve">Concerning nominations recommended for referral, </w:t>
      </w:r>
      <w:r w:rsidR="00DF7DF0" w:rsidRPr="00813D19">
        <w:rPr>
          <w:lang w:val="en-US"/>
        </w:rPr>
        <w:t xml:space="preserve">the Chairperson </w:t>
      </w:r>
      <w:r w:rsidRPr="00813D19">
        <w:rPr>
          <w:lang w:val="en-US"/>
        </w:rPr>
        <w:t>recall</w:t>
      </w:r>
      <w:r w:rsidR="00DF7DF0" w:rsidRPr="00813D19">
        <w:rPr>
          <w:lang w:val="en-US"/>
        </w:rPr>
        <w:t>ed</w:t>
      </w:r>
      <w:r w:rsidRPr="00813D19">
        <w:rPr>
          <w:lang w:val="en-US"/>
        </w:rPr>
        <w:t xml:space="preserve"> that in conformity with Decision</w:t>
      </w:r>
      <w:hyperlink r:id="rId81" w:history="1">
        <w:r w:rsidRPr="00813D19">
          <w:rPr>
            <w:rStyle w:val="Hyperlink"/>
            <w:lang w:val="en-US"/>
          </w:rPr>
          <w:t> 9.COM 13.c</w:t>
        </w:r>
      </w:hyperlink>
      <w:r w:rsidRPr="00813D19">
        <w:rPr>
          <w:lang w:val="en-US"/>
        </w:rPr>
        <w:t xml:space="preserve"> in 2014, the Evaluation Body </w:t>
      </w:r>
      <w:r w:rsidR="003029D3" w:rsidRPr="00813D19">
        <w:rPr>
          <w:lang w:val="en-US"/>
        </w:rPr>
        <w:t>would recommend</w:t>
      </w:r>
      <w:r w:rsidRPr="00813D19">
        <w:rPr>
          <w:lang w:val="en-US"/>
        </w:rPr>
        <w:t xml:space="preserve"> </w:t>
      </w:r>
      <w:r w:rsidR="00DF7DF0" w:rsidRPr="00813D19">
        <w:rPr>
          <w:lang w:val="en-US"/>
        </w:rPr>
        <w:t xml:space="preserve">a </w:t>
      </w:r>
      <w:r w:rsidRPr="00813D19">
        <w:rPr>
          <w:lang w:val="en-US"/>
        </w:rPr>
        <w:t>refer</w:t>
      </w:r>
      <w:r w:rsidR="00DF7DF0" w:rsidRPr="00813D19">
        <w:rPr>
          <w:lang w:val="en-US"/>
        </w:rPr>
        <w:t>ral</w:t>
      </w:r>
      <w:r w:rsidRPr="00813D19">
        <w:rPr>
          <w:lang w:val="en-US"/>
        </w:rPr>
        <w:t xml:space="preserve"> only in the case of information lacking in a nomination, </w:t>
      </w:r>
      <w:r w:rsidR="00DF7DF0" w:rsidRPr="00813D19">
        <w:rPr>
          <w:lang w:val="en-US"/>
        </w:rPr>
        <w:t xml:space="preserve">whether of </w:t>
      </w:r>
      <w:r w:rsidR="00367003" w:rsidRPr="00813D19">
        <w:rPr>
          <w:lang w:val="en-US"/>
        </w:rPr>
        <w:t>a technical or substantive</w:t>
      </w:r>
      <w:r w:rsidRPr="00813D19">
        <w:rPr>
          <w:lang w:val="en-US"/>
        </w:rPr>
        <w:t xml:space="preserve"> nature. </w:t>
      </w:r>
      <w:r w:rsidR="00DF7DF0" w:rsidRPr="00813D19">
        <w:rPr>
          <w:lang w:val="en-US"/>
        </w:rPr>
        <w:t>T</w:t>
      </w:r>
      <w:r w:rsidRPr="00813D19">
        <w:rPr>
          <w:lang w:val="en-US"/>
        </w:rPr>
        <w:t xml:space="preserve">he submitting State </w:t>
      </w:r>
      <w:r w:rsidR="00DF7DF0" w:rsidRPr="00813D19">
        <w:rPr>
          <w:lang w:val="en-US"/>
        </w:rPr>
        <w:t xml:space="preserve">could </w:t>
      </w:r>
      <w:r w:rsidRPr="00813D19">
        <w:rPr>
          <w:lang w:val="en-US"/>
        </w:rPr>
        <w:t xml:space="preserve">resubmit the referred file </w:t>
      </w:r>
      <w:r w:rsidR="003029D3" w:rsidRPr="00813D19">
        <w:rPr>
          <w:lang w:val="en-US"/>
        </w:rPr>
        <w:t>in</w:t>
      </w:r>
      <w:r w:rsidRPr="00813D19">
        <w:rPr>
          <w:lang w:val="en-US"/>
        </w:rPr>
        <w:t xml:space="preserve"> </w:t>
      </w:r>
      <w:r w:rsidR="00DF7DF0" w:rsidRPr="00813D19">
        <w:rPr>
          <w:lang w:val="en-US"/>
        </w:rPr>
        <w:t xml:space="preserve">the </w:t>
      </w:r>
      <w:r w:rsidRPr="00813D19">
        <w:rPr>
          <w:lang w:val="en-US"/>
        </w:rPr>
        <w:t xml:space="preserve">following </w:t>
      </w:r>
      <w:r w:rsidR="003029D3" w:rsidRPr="00813D19">
        <w:rPr>
          <w:lang w:val="en-US"/>
        </w:rPr>
        <w:t xml:space="preserve">or future </w:t>
      </w:r>
      <w:r w:rsidRPr="00813D19">
        <w:rPr>
          <w:lang w:val="en-US"/>
        </w:rPr>
        <w:t xml:space="preserve">cycle. </w:t>
      </w:r>
      <w:r w:rsidR="00DF7DF0" w:rsidRPr="00813D19">
        <w:rPr>
          <w:lang w:val="en-US"/>
        </w:rPr>
        <w:t xml:space="preserve">It was noted that </w:t>
      </w:r>
      <w:r w:rsidRPr="00813D19">
        <w:rPr>
          <w:lang w:val="en-US"/>
        </w:rPr>
        <w:t xml:space="preserve">referred </w:t>
      </w:r>
      <w:r w:rsidR="00DF7DF0" w:rsidRPr="00813D19">
        <w:rPr>
          <w:lang w:val="en-US"/>
        </w:rPr>
        <w:t xml:space="preserve">files </w:t>
      </w:r>
      <w:r w:rsidR="00632BE6" w:rsidRPr="00813D19">
        <w:rPr>
          <w:lang w:val="en-US"/>
        </w:rPr>
        <w:t xml:space="preserve">that </w:t>
      </w:r>
      <w:r w:rsidR="003029D3" w:rsidRPr="00813D19">
        <w:rPr>
          <w:lang w:val="en-US"/>
        </w:rPr>
        <w:t>were</w:t>
      </w:r>
      <w:r w:rsidR="00E060A8" w:rsidRPr="00813D19">
        <w:rPr>
          <w:lang w:val="en-US"/>
        </w:rPr>
        <w:t xml:space="preserve"> </w:t>
      </w:r>
      <w:r w:rsidRPr="00813D19">
        <w:rPr>
          <w:lang w:val="en-US"/>
        </w:rPr>
        <w:t xml:space="preserve">resubmitted </w:t>
      </w:r>
      <w:r w:rsidR="00DF7DF0" w:rsidRPr="00813D19">
        <w:rPr>
          <w:lang w:val="en-US"/>
        </w:rPr>
        <w:t xml:space="preserve">in another cycle would be </w:t>
      </w:r>
      <w:r w:rsidRPr="00813D19">
        <w:rPr>
          <w:lang w:val="en-US"/>
        </w:rPr>
        <w:t xml:space="preserve">considered as </w:t>
      </w:r>
      <w:r w:rsidR="003029D3" w:rsidRPr="00813D19">
        <w:rPr>
          <w:lang w:val="en-US"/>
        </w:rPr>
        <w:t>new nominations</w:t>
      </w:r>
      <w:r w:rsidRPr="00813D19">
        <w:rPr>
          <w:lang w:val="en-US"/>
        </w:rPr>
        <w:t xml:space="preserve"> and therefore subject to the overall ceiling of files and the priority system described under paragraph 34 of the Operational Directives.</w:t>
      </w:r>
    </w:p>
    <w:p w14:paraId="15F07744" w14:textId="390532B1" w:rsidR="002549D7" w:rsidRPr="00813D19" w:rsidRDefault="00C25A80" w:rsidP="00FB395B">
      <w:pPr>
        <w:pStyle w:val="Orateurengris"/>
        <w:keepNext/>
        <w:keepLines/>
        <w:spacing w:before="120"/>
        <w:ind w:left="709" w:hanging="709"/>
        <w:rPr>
          <w:rStyle w:val="hps"/>
          <w:lang w:val="en-US"/>
        </w:rPr>
      </w:pPr>
      <w:r w:rsidRPr="00813D19">
        <w:rPr>
          <w:lang w:val="en-US"/>
        </w:rPr>
        <w:t xml:space="preserve">With the </w:t>
      </w:r>
      <w:r w:rsidR="00A63E07" w:rsidRPr="00813D19">
        <w:rPr>
          <w:lang w:val="en-US"/>
        </w:rPr>
        <w:t xml:space="preserve">heavy task ahead with </w:t>
      </w:r>
      <w:r w:rsidR="007C75FD">
        <w:rPr>
          <w:lang w:val="en-US"/>
        </w:rPr>
        <w:t>forty-six</w:t>
      </w:r>
      <w:r w:rsidR="00A63E07" w:rsidRPr="00813D19">
        <w:rPr>
          <w:lang w:val="en-US"/>
        </w:rPr>
        <w:t xml:space="preserve"> files to be examined</w:t>
      </w:r>
      <w:r w:rsidRPr="00813D19">
        <w:rPr>
          <w:lang w:val="en-US"/>
        </w:rPr>
        <w:t xml:space="preserve">, the </w:t>
      </w:r>
      <w:r w:rsidRPr="00813D19">
        <w:rPr>
          <w:b/>
          <w:lang w:val="en-US"/>
        </w:rPr>
        <w:t>Chairperson</w:t>
      </w:r>
      <w:r w:rsidRPr="00813D19">
        <w:rPr>
          <w:lang w:val="en-US"/>
        </w:rPr>
        <w:t xml:space="preserve"> informed the </w:t>
      </w:r>
      <w:r w:rsidR="00A63E07" w:rsidRPr="00813D19">
        <w:rPr>
          <w:lang w:val="en-US"/>
        </w:rPr>
        <w:t xml:space="preserve">Committee </w:t>
      </w:r>
      <w:r w:rsidRPr="00813D19">
        <w:rPr>
          <w:lang w:val="en-US"/>
        </w:rPr>
        <w:t xml:space="preserve">that </w:t>
      </w:r>
      <w:r w:rsidR="00A63E07" w:rsidRPr="00813D19">
        <w:rPr>
          <w:lang w:val="en-US"/>
        </w:rPr>
        <w:t xml:space="preserve">during its meeting on 2 October, </w:t>
      </w:r>
      <w:r w:rsidRPr="00813D19">
        <w:rPr>
          <w:lang w:val="en-US"/>
        </w:rPr>
        <w:t xml:space="preserve">the Bureau </w:t>
      </w:r>
      <w:r w:rsidR="007C75FD">
        <w:rPr>
          <w:lang w:val="en-US"/>
        </w:rPr>
        <w:t xml:space="preserve">had </w:t>
      </w:r>
      <w:r w:rsidRPr="00813D19">
        <w:rPr>
          <w:lang w:val="en-US"/>
        </w:rPr>
        <w:t xml:space="preserve">agreed </w:t>
      </w:r>
      <w:r w:rsidR="00A63E07" w:rsidRPr="00813D19">
        <w:rPr>
          <w:lang w:val="en-US"/>
        </w:rPr>
        <w:t>to adopt the same procedure as previous years</w:t>
      </w:r>
      <w:r w:rsidRPr="00813D19">
        <w:rPr>
          <w:lang w:val="en-US"/>
        </w:rPr>
        <w:t>, that is, Committ</w:t>
      </w:r>
      <w:r w:rsidR="00367003" w:rsidRPr="00813D19">
        <w:rPr>
          <w:lang w:val="en-US"/>
        </w:rPr>
        <w:t>ee M</w:t>
      </w:r>
      <w:r w:rsidR="00A63E07" w:rsidRPr="00813D19">
        <w:rPr>
          <w:lang w:val="en-US"/>
        </w:rPr>
        <w:t xml:space="preserve">embers wishing to discuss or amend specific draft decisions </w:t>
      </w:r>
      <w:r w:rsidRPr="00813D19">
        <w:rPr>
          <w:lang w:val="en-US"/>
        </w:rPr>
        <w:t xml:space="preserve">should </w:t>
      </w:r>
      <w:r w:rsidR="00A63E07" w:rsidRPr="00813D19">
        <w:rPr>
          <w:lang w:val="en-US"/>
        </w:rPr>
        <w:t xml:space="preserve">inform the Secretariat </w:t>
      </w:r>
      <w:r w:rsidRPr="00813D19">
        <w:rPr>
          <w:lang w:val="en-US"/>
        </w:rPr>
        <w:t xml:space="preserve">prior to the session. In </w:t>
      </w:r>
      <w:r w:rsidR="00A63E07" w:rsidRPr="00813D19">
        <w:rPr>
          <w:lang w:val="en-US"/>
        </w:rPr>
        <w:t xml:space="preserve">this regard, </w:t>
      </w:r>
      <w:r w:rsidRPr="00813D19">
        <w:rPr>
          <w:lang w:val="en-US"/>
        </w:rPr>
        <w:t xml:space="preserve">a </w:t>
      </w:r>
      <w:r w:rsidR="00A63E07" w:rsidRPr="00813D19">
        <w:rPr>
          <w:lang w:val="en-US"/>
        </w:rPr>
        <w:t xml:space="preserve">message </w:t>
      </w:r>
      <w:r w:rsidR="007C75FD">
        <w:rPr>
          <w:lang w:val="en-US"/>
        </w:rPr>
        <w:t>had been</w:t>
      </w:r>
      <w:r w:rsidR="00A63E07" w:rsidRPr="00813D19">
        <w:rPr>
          <w:lang w:val="en-US"/>
        </w:rPr>
        <w:t xml:space="preserve"> sent on 15 November </w:t>
      </w:r>
      <w:r w:rsidR="00367003" w:rsidRPr="00813D19">
        <w:rPr>
          <w:lang w:val="en-US"/>
        </w:rPr>
        <w:t xml:space="preserve">[2018] </w:t>
      </w:r>
      <w:r w:rsidRPr="00813D19">
        <w:rPr>
          <w:lang w:val="en-US"/>
        </w:rPr>
        <w:t>by th</w:t>
      </w:r>
      <w:r w:rsidR="00367003" w:rsidRPr="00813D19">
        <w:rPr>
          <w:lang w:val="en-US"/>
        </w:rPr>
        <w:t>e Secretariat to all Committee M</w:t>
      </w:r>
      <w:r w:rsidRPr="00813D19">
        <w:rPr>
          <w:lang w:val="en-US"/>
        </w:rPr>
        <w:t xml:space="preserve">embers </w:t>
      </w:r>
      <w:r w:rsidR="00A63E07" w:rsidRPr="00813D19">
        <w:rPr>
          <w:lang w:val="en-US"/>
        </w:rPr>
        <w:t>inform</w:t>
      </w:r>
      <w:r w:rsidRPr="00813D19">
        <w:rPr>
          <w:lang w:val="en-US"/>
        </w:rPr>
        <w:t>ing</w:t>
      </w:r>
      <w:r w:rsidR="00A63E07" w:rsidRPr="00813D19">
        <w:rPr>
          <w:lang w:val="en-US"/>
        </w:rPr>
        <w:t xml:space="preserve"> them of this working method. </w:t>
      </w:r>
      <w:r w:rsidRPr="00813D19">
        <w:rPr>
          <w:lang w:val="en-US"/>
        </w:rPr>
        <w:t xml:space="preserve">The Chairperson </w:t>
      </w:r>
      <w:r w:rsidR="00A63E07" w:rsidRPr="00813D19">
        <w:rPr>
          <w:lang w:val="en-US"/>
        </w:rPr>
        <w:t>reassure</w:t>
      </w:r>
      <w:r w:rsidRPr="00813D19">
        <w:rPr>
          <w:lang w:val="en-US"/>
        </w:rPr>
        <w:t>d</w:t>
      </w:r>
      <w:r w:rsidR="00A63E07" w:rsidRPr="00813D19">
        <w:rPr>
          <w:lang w:val="en-US"/>
        </w:rPr>
        <w:t xml:space="preserve"> the Committee that this procedure </w:t>
      </w:r>
      <w:r w:rsidRPr="00813D19">
        <w:rPr>
          <w:lang w:val="en-US"/>
        </w:rPr>
        <w:t xml:space="preserve">did </w:t>
      </w:r>
      <w:r w:rsidR="00367003" w:rsidRPr="00813D19">
        <w:rPr>
          <w:lang w:val="en-US"/>
        </w:rPr>
        <w:t>not prevent any M</w:t>
      </w:r>
      <w:r w:rsidR="00A63E07" w:rsidRPr="00813D19">
        <w:rPr>
          <w:lang w:val="en-US"/>
        </w:rPr>
        <w:t xml:space="preserve">ember from taking the floor on any decision. </w:t>
      </w:r>
      <w:r w:rsidRPr="00813D19">
        <w:rPr>
          <w:lang w:val="en-US"/>
        </w:rPr>
        <w:t xml:space="preserve">The </w:t>
      </w:r>
      <w:r w:rsidR="00A63E07" w:rsidRPr="00813D19">
        <w:rPr>
          <w:lang w:val="en-US"/>
        </w:rPr>
        <w:t xml:space="preserve">Secretariat </w:t>
      </w:r>
      <w:r w:rsidRPr="00813D19">
        <w:rPr>
          <w:lang w:val="en-US"/>
        </w:rPr>
        <w:t xml:space="preserve">had confirmed </w:t>
      </w:r>
      <w:r w:rsidR="00A63E07" w:rsidRPr="00813D19">
        <w:rPr>
          <w:lang w:val="en-US"/>
        </w:rPr>
        <w:t xml:space="preserve">that </w:t>
      </w:r>
      <w:r w:rsidR="007C75FD">
        <w:rPr>
          <w:lang w:val="en-US"/>
        </w:rPr>
        <w:t>two</w:t>
      </w:r>
      <w:r w:rsidR="00A63E07" w:rsidRPr="00813D19">
        <w:rPr>
          <w:lang w:val="en-US"/>
        </w:rPr>
        <w:t> nomination</w:t>
      </w:r>
      <w:r w:rsidRPr="00813D19">
        <w:rPr>
          <w:lang w:val="en-US"/>
        </w:rPr>
        <w:t>s</w:t>
      </w:r>
      <w:r w:rsidR="00A63E07" w:rsidRPr="00813D19">
        <w:rPr>
          <w:lang w:val="en-US"/>
        </w:rPr>
        <w:t xml:space="preserve"> to th</w:t>
      </w:r>
      <w:r w:rsidR="00F407CF" w:rsidRPr="00813D19">
        <w:rPr>
          <w:lang w:val="en-US"/>
        </w:rPr>
        <w:t xml:space="preserve">e Urgent Safeguarding List and </w:t>
      </w:r>
      <w:r w:rsidR="007C75FD">
        <w:rPr>
          <w:lang w:val="en-US"/>
        </w:rPr>
        <w:t>six</w:t>
      </w:r>
      <w:r w:rsidR="00A63E07" w:rsidRPr="00813D19">
        <w:rPr>
          <w:lang w:val="en-US"/>
        </w:rPr>
        <w:t> nominations to the Representative List</w:t>
      </w:r>
      <w:r w:rsidRPr="00813D19">
        <w:rPr>
          <w:lang w:val="en-US"/>
        </w:rPr>
        <w:t xml:space="preserve"> had received requests for debate, and </w:t>
      </w:r>
      <w:r w:rsidR="007C75FD">
        <w:rPr>
          <w:lang w:val="en-US"/>
        </w:rPr>
        <w:t>two</w:t>
      </w:r>
      <w:r w:rsidR="00A63E07" w:rsidRPr="00813D19">
        <w:rPr>
          <w:lang w:val="en-US"/>
        </w:rPr>
        <w:t xml:space="preserve"> file</w:t>
      </w:r>
      <w:r w:rsidRPr="00813D19">
        <w:rPr>
          <w:lang w:val="en-US"/>
        </w:rPr>
        <w:t>s</w:t>
      </w:r>
      <w:r w:rsidR="00F407CF" w:rsidRPr="00813D19">
        <w:rPr>
          <w:lang w:val="en-US"/>
        </w:rPr>
        <w:t xml:space="preserve"> </w:t>
      </w:r>
      <w:r w:rsidRPr="00813D19">
        <w:rPr>
          <w:lang w:val="en-US"/>
        </w:rPr>
        <w:t xml:space="preserve">had </w:t>
      </w:r>
      <w:r w:rsidR="00A63E07" w:rsidRPr="00813D19">
        <w:rPr>
          <w:lang w:val="en-US"/>
        </w:rPr>
        <w:t xml:space="preserve">been withdrawn. </w:t>
      </w:r>
      <w:r w:rsidRPr="00813D19">
        <w:rPr>
          <w:lang w:val="en-US"/>
        </w:rPr>
        <w:t>Rega</w:t>
      </w:r>
      <w:r w:rsidR="00110F72" w:rsidRPr="00813D19">
        <w:rPr>
          <w:lang w:val="en-US"/>
        </w:rPr>
        <w:t>r</w:t>
      </w:r>
      <w:r w:rsidRPr="00813D19">
        <w:rPr>
          <w:lang w:val="en-US"/>
        </w:rPr>
        <w:t xml:space="preserve">ding the </w:t>
      </w:r>
      <w:r w:rsidR="00A63E07" w:rsidRPr="00813D19">
        <w:rPr>
          <w:lang w:val="en-US"/>
        </w:rPr>
        <w:t xml:space="preserve">working method for </w:t>
      </w:r>
      <w:r w:rsidRPr="00813D19">
        <w:rPr>
          <w:lang w:val="en-US"/>
        </w:rPr>
        <w:t>the adoption of draft decisions,</w:t>
      </w:r>
      <w:r w:rsidR="00110F72" w:rsidRPr="00813D19">
        <w:rPr>
          <w:lang w:val="en-US"/>
        </w:rPr>
        <w:t xml:space="preserve"> i</w:t>
      </w:r>
      <w:r w:rsidR="00A63E07" w:rsidRPr="00813D19">
        <w:rPr>
          <w:lang w:val="en-US"/>
        </w:rPr>
        <w:t xml:space="preserve">n principle, </w:t>
      </w:r>
      <w:r w:rsidR="00110F72" w:rsidRPr="00813D19">
        <w:rPr>
          <w:lang w:val="en-US"/>
        </w:rPr>
        <w:t>the Committee proceed</w:t>
      </w:r>
      <w:r w:rsidR="00367003" w:rsidRPr="00813D19">
        <w:rPr>
          <w:lang w:val="en-US"/>
        </w:rPr>
        <w:t>ed</w:t>
      </w:r>
      <w:r w:rsidR="00110F72" w:rsidRPr="00813D19">
        <w:rPr>
          <w:lang w:val="en-US"/>
        </w:rPr>
        <w:t xml:space="preserve"> with the </w:t>
      </w:r>
      <w:r w:rsidR="00A63E07" w:rsidRPr="00813D19">
        <w:rPr>
          <w:lang w:val="en-US"/>
        </w:rPr>
        <w:t>adopt</w:t>
      </w:r>
      <w:r w:rsidR="00110F72" w:rsidRPr="00813D19">
        <w:rPr>
          <w:lang w:val="en-US"/>
        </w:rPr>
        <w:t>ion of</w:t>
      </w:r>
      <w:r w:rsidR="00A63E07" w:rsidRPr="00813D19">
        <w:rPr>
          <w:lang w:val="en-US"/>
        </w:rPr>
        <w:t xml:space="preserve"> draft decisions for which amend</w:t>
      </w:r>
      <w:r w:rsidR="00110F72" w:rsidRPr="00813D19">
        <w:rPr>
          <w:lang w:val="en-US"/>
        </w:rPr>
        <w:t xml:space="preserve">ments were submitted on a </w:t>
      </w:r>
      <w:r w:rsidR="00F407CF" w:rsidRPr="00813D19">
        <w:rPr>
          <w:lang w:val="en-US"/>
        </w:rPr>
        <w:t xml:space="preserve"> paragraph-by-</w:t>
      </w:r>
      <w:r w:rsidR="00A63E07" w:rsidRPr="00813D19">
        <w:rPr>
          <w:lang w:val="en-US"/>
        </w:rPr>
        <w:t>paragraph</w:t>
      </w:r>
      <w:r w:rsidR="00110F72" w:rsidRPr="00813D19">
        <w:rPr>
          <w:lang w:val="en-US"/>
        </w:rPr>
        <w:t xml:space="preserve"> basis</w:t>
      </w:r>
      <w:r w:rsidR="00A63E07" w:rsidRPr="00813D19">
        <w:rPr>
          <w:lang w:val="en-US"/>
        </w:rPr>
        <w:t xml:space="preserve">. For other decisions, </w:t>
      </w:r>
      <w:r w:rsidR="00367003" w:rsidRPr="00813D19">
        <w:rPr>
          <w:lang w:val="en-US"/>
        </w:rPr>
        <w:t xml:space="preserve">they </w:t>
      </w:r>
      <w:r w:rsidR="00110F72" w:rsidRPr="00813D19">
        <w:rPr>
          <w:lang w:val="en-US"/>
        </w:rPr>
        <w:t xml:space="preserve">would be </w:t>
      </w:r>
      <w:r w:rsidR="00A63E07" w:rsidRPr="00813D19">
        <w:rPr>
          <w:lang w:val="en-US"/>
        </w:rPr>
        <w:t>expect</w:t>
      </w:r>
      <w:r w:rsidR="00110F72" w:rsidRPr="00813D19">
        <w:rPr>
          <w:lang w:val="en-US"/>
        </w:rPr>
        <w:t>ed</w:t>
      </w:r>
      <w:r w:rsidR="00A63E07" w:rsidRPr="00813D19">
        <w:rPr>
          <w:lang w:val="en-US"/>
        </w:rPr>
        <w:t xml:space="preserve"> to </w:t>
      </w:r>
      <w:r w:rsidR="00367003" w:rsidRPr="00813D19">
        <w:rPr>
          <w:lang w:val="en-US"/>
        </w:rPr>
        <w:t xml:space="preserve">be </w:t>
      </w:r>
      <w:r w:rsidR="00A63E07" w:rsidRPr="00813D19">
        <w:rPr>
          <w:lang w:val="en-US"/>
        </w:rPr>
        <w:t>adopt</w:t>
      </w:r>
      <w:r w:rsidR="00367003" w:rsidRPr="00813D19">
        <w:rPr>
          <w:lang w:val="en-US"/>
        </w:rPr>
        <w:t>ed</w:t>
      </w:r>
      <w:r w:rsidR="00A63E07" w:rsidRPr="00813D19">
        <w:rPr>
          <w:lang w:val="en-US"/>
        </w:rPr>
        <w:t xml:space="preserve"> as a whole. </w:t>
      </w:r>
      <w:r w:rsidR="00110F72" w:rsidRPr="00813D19">
        <w:rPr>
          <w:lang w:val="en-US"/>
        </w:rPr>
        <w:t xml:space="preserve">As was customary, </w:t>
      </w:r>
      <w:r w:rsidR="00A63E07" w:rsidRPr="00813D19">
        <w:rPr>
          <w:lang w:val="en-US"/>
        </w:rPr>
        <w:t>the s</w:t>
      </w:r>
      <w:r w:rsidR="00F407CF" w:rsidRPr="00813D19">
        <w:rPr>
          <w:lang w:val="en-US"/>
        </w:rPr>
        <w:t xml:space="preserve">ubmitting State </w:t>
      </w:r>
      <w:r w:rsidR="00110F72" w:rsidRPr="00813D19">
        <w:rPr>
          <w:lang w:val="en-US"/>
        </w:rPr>
        <w:t xml:space="preserve">would be given </w:t>
      </w:r>
      <w:r w:rsidR="007C75FD">
        <w:rPr>
          <w:lang w:val="en-US"/>
        </w:rPr>
        <w:t>two</w:t>
      </w:r>
      <w:r w:rsidR="00367003" w:rsidRPr="00813D19">
        <w:rPr>
          <w:lang w:val="en-US"/>
        </w:rPr>
        <w:t xml:space="preserve"> </w:t>
      </w:r>
      <w:r w:rsidR="00A63E07" w:rsidRPr="00813D19">
        <w:rPr>
          <w:lang w:val="en-US"/>
        </w:rPr>
        <w:t>minutes for comments after adoption.</w:t>
      </w:r>
      <w:r w:rsidR="00B57E8D" w:rsidRPr="00813D19">
        <w:rPr>
          <w:lang w:val="en-US"/>
        </w:rPr>
        <w:t xml:space="preserve"> </w:t>
      </w:r>
      <w:r w:rsidR="00D90118" w:rsidRPr="00813D19">
        <w:rPr>
          <w:lang w:val="en-US"/>
        </w:rPr>
        <w:t xml:space="preserve">The Chairperson also </w:t>
      </w:r>
      <w:r w:rsidR="00367003" w:rsidRPr="00813D19">
        <w:rPr>
          <w:lang w:val="en-US"/>
        </w:rPr>
        <w:t>clarified</w:t>
      </w:r>
      <w:r w:rsidR="00D90118" w:rsidRPr="00813D19">
        <w:rPr>
          <w:lang w:val="en-US"/>
        </w:rPr>
        <w:t xml:space="preserve"> the procedure with regard to </w:t>
      </w:r>
      <w:r w:rsidR="00A63E07" w:rsidRPr="00813D19">
        <w:rPr>
          <w:rStyle w:val="hps"/>
          <w:lang w:val="en-US"/>
        </w:rPr>
        <w:t>amendments to the</w:t>
      </w:r>
      <w:r w:rsidR="00A63E07" w:rsidRPr="00813D19">
        <w:rPr>
          <w:lang w:val="en-US"/>
        </w:rPr>
        <w:t xml:space="preserve"> </w:t>
      </w:r>
      <w:r w:rsidR="00A63E07" w:rsidRPr="00813D19">
        <w:rPr>
          <w:rStyle w:val="hps"/>
          <w:lang w:val="en-US"/>
        </w:rPr>
        <w:t>draft decisions</w:t>
      </w:r>
      <w:r w:rsidR="00A63E07" w:rsidRPr="00813D19">
        <w:rPr>
          <w:lang w:val="en-US"/>
        </w:rPr>
        <w:t xml:space="preserve"> </w:t>
      </w:r>
      <w:r w:rsidR="00A63E07" w:rsidRPr="00813D19">
        <w:rPr>
          <w:rStyle w:val="hps"/>
          <w:lang w:val="en-US"/>
        </w:rPr>
        <w:t>on nominations, particula</w:t>
      </w:r>
      <w:r w:rsidR="00F407CF" w:rsidRPr="00813D19">
        <w:rPr>
          <w:rStyle w:val="hps"/>
          <w:lang w:val="en-US"/>
        </w:rPr>
        <w:t>r</w:t>
      </w:r>
      <w:r w:rsidR="00D90118" w:rsidRPr="00813D19">
        <w:rPr>
          <w:rStyle w:val="hps"/>
          <w:lang w:val="en-US"/>
        </w:rPr>
        <w:t>ly</w:t>
      </w:r>
      <w:r w:rsidR="00F407CF" w:rsidRPr="00813D19">
        <w:rPr>
          <w:rStyle w:val="hps"/>
          <w:lang w:val="en-US"/>
        </w:rPr>
        <w:t xml:space="preserve"> in light of Decision </w:t>
      </w:r>
      <w:hyperlink r:id="rId82" w:history="1">
        <w:r w:rsidR="00F407CF" w:rsidRPr="00813D19">
          <w:rPr>
            <w:rStyle w:val="Hyperlink"/>
            <w:lang w:val="en-US"/>
          </w:rPr>
          <w:t xml:space="preserve">11.COM </w:t>
        </w:r>
        <w:r w:rsidR="00782A9B">
          <w:rPr>
            <w:rStyle w:val="Hyperlink"/>
            <w:lang w:val="en-US"/>
          </w:rPr>
          <w:t> </w:t>
        </w:r>
        <w:r w:rsidR="00F407CF" w:rsidRPr="00813D19">
          <w:rPr>
            <w:rStyle w:val="Hyperlink"/>
            <w:lang w:val="en-US"/>
          </w:rPr>
          <w:t>8</w:t>
        </w:r>
      </w:hyperlink>
      <w:r w:rsidR="00D90118" w:rsidRPr="00813D19">
        <w:rPr>
          <w:rStyle w:val="hps"/>
          <w:lang w:val="en-US"/>
        </w:rPr>
        <w:t>,</w:t>
      </w:r>
      <w:r w:rsidR="00F407CF" w:rsidRPr="00813D19">
        <w:rPr>
          <w:rStyle w:val="hps"/>
          <w:lang w:val="en-US"/>
        </w:rPr>
        <w:t xml:space="preserve"> </w:t>
      </w:r>
      <w:r w:rsidR="00A63E07" w:rsidRPr="00813D19">
        <w:rPr>
          <w:lang w:val="en-US"/>
        </w:rPr>
        <w:t xml:space="preserve">as well as the discussions of the informal ad hoc working group </w:t>
      </w:r>
      <w:r w:rsidR="00D90118" w:rsidRPr="00813D19">
        <w:rPr>
          <w:lang w:val="en-US"/>
        </w:rPr>
        <w:t xml:space="preserve">over </w:t>
      </w:r>
      <w:r w:rsidR="00A63E07" w:rsidRPr="00813D19">
        <w:rPr>
          <w:lang w:val="en-US"/>
        </w:rPr>
        <w:t>the past two years</w:t>
      </w:r>
      <w:r w:rsidR="002549D7" w:rsidRPr="00813D19">
        <w:rPr>
          <w:lang w:val="en-US"/>
        </w:rPr>
        <w:t xml:space="preserve"> and which </w:t>
      </w:r>
      <w:r w:rsidR="00D90118" w:rsidRPr="00813D19">
        <w:rPr>
          <w:lang w:val="en-US"/>
        </w:rPr>
        <w:t>had</w:t>
      </w:r>
      <w:r w:rsidR="00A63E07" w:rsidRPr="00813D19">
        <w:rPr>
          <w:lang w:val="en-US"/>
        </w:rPr>
        <w:t xml:space="preserve"> been the subject of numerous </w:t>
      </w:r>
      <w:r w:rsidR="00A63E07" w:rsidRPr="00813D19">
        <w:rPr>
          <w:rStyle w:val="hps"/>
          <w:lang w:val="en-US"/>
        </w:rPr>
        <w:t xml:space="preserve">discussions during </w:t>
      </w:r>
      <w:r w:rsidR="002549D7" w:rsidRPr="00813D19">
        <w:rPr>
          <w:rStyle w:val="hps"/>
          <w:lang w:val="en-US"/>
        </w:rPr>
        <w:t xml:space="preserve">its </w:t>
      </w:r>
      <w:r w:rsidR="00A63E07" w:rsidRPr="00813D19">
        <w:rPr>
          <w:rStyle w:val="hps"/>
          <w:lang w:val="en-US"/>
        </w:rPr>
        <w:t>meetings</w:t>
      </w:r>
      <w:r w:rsidR="002549D7" w:rsidRPr="00813D19">
        <w:rPr>
          <w:lang w:val="en-US"/>
        </w:rPr>
        <w:t xml:space="preserve">. These points would be further </w:t>
      </w:r>
      <w:r w:rsidR="00D90118" w:rsidRPr="00813D19">
        <w:rPr>
          <w:lang w:val="en-US"/>
        </w:rPr>
        <w:t>discussed under agenda item 16</w:t>
      </w:r>
      <w:r w:rsidR="002549D7" w:rsidRPr="00813D19">
        <w:rPr>
          <w:lang w:val="en-US"/>
        </w:rPr>
        <w:t xml:space="preserve">, which provided </w:t>
      </w:r>
      <w:r w:rsidR="00A63E07" w:rsidRPr="00813D19">
        <w:rPr>
          <w:lang w:val="en-US"/>
        </w:rPr>
        <w:t>the opportunity to fully debate these ideas.</w:t>
      </w:r>
      <w:r w:rsidR="00B57E8D" w:rsidRPr="00813D19">
        <w:rPr>
          <w:rStyle w:val="hps"/>
          <w:lang w:val="en-US"/>
        </w:rPr>
        <w:t xml:space="preserve"> </w:t>
      </w:r>
      <w:r w:rsidR="00A63E07" w:rsidRPr="00813D19">
        <w:rPr>
          <w:rStyle w:val="hps"/>
          <w:lang w:val="en-US"/>
        </w:rPr>
        <w:t xml:space="preserve">Taking into </w:t>
      </w:r>
      <w:r w:rsidR="00FB76E6" w:rsidRPr="00813D19">
        <w:rPr>
          <w:rStyle w:val="hps"/>
          <w:lang w:val="en-US"/>
        </w:rPr>
        <w:t>consideration</w:t>
      </w:r>
      <w:r w:rsidR="00A63E07" w:rsidRPr="00813D19">
        <w:rPr>
          <w:rStyle w:val="hps"/>
          <w:lang w:val="en-US"/>
        </w:rPr>
        <w:t xml:space="preserve"> the outcomes of these meetings</w:t>
      </w:r>
      <w:r w:rsidR="002549D7" w:rsidRPr="00813D19">
        <w:rPr>
          <w:rStyle w:val="FootnoteReference"/>
          <w:lang w:val="en-US"/>
        </w:rPr>
        <w:footnoteReference w:id="26"/>
      </w:r>
      <w:r w:rsidR="002549D7" w:rsidRPr="00813D19">
        <w:rPr>
          <w:rStyle w:val="hps"/>
          <w:lang w:val="en-US"/>
        </w:rPr>
        <w:t>,</w:t>
      </w:r>
      <w:r w:rsidR="00A63E07" w:rsidRPr="00813D19">
        <w:rPr>
          <w:rStyle w:val="hps"/>
          <w:lang w:val="en-US"/>
        </w:rPr>
        <w:t xml:space="preserve"> </w:t>
      </w:r>
      <w:r w:rsidR="002549D7" w:rsidRPr="00813D19">
        <w:rPr>
          <w:rStyle w:val="hps"/>
          <w:lang w:val="en-US"/>
        </w:rPr>
        <w:t>the Chairperson applied</w:t>
      </w:r>
      <w:r w:rsidR="00A63E07" w:rsidRPr="00813D19">
        <w:rPr>
          <w:rStyle w:val="hps"/>
          <w:lang w:val="en-US"/>
        </w:rPr>
        <w:t xml:space="preserve"> the following working method for the present examination of </w:t>
      </w:r>
      <w:r w:rsidR="002549D7" w:rsidRPr="00813D19">
        <w:rPr>
          <w:rStyle w:val="hps"/>
          <w:lang w:val="en-US"/>
        </w:rPr>
        <w:t xml:space="preserve">the nomination files </w:t>
      </w:r>
      <w:r w:rsidR="00A63E07" w:rsidRPr="00813D19">
        <w:rPr>
          <w:rStyle w:val="hps"/>
          <w:lang w:val="en-US"/>
        </w:rPr>
        <w:t>under item 10</w:t>
      </w:r>
      <w:r w:rsidR="00B57E8D" w:rsidRPr="00813D19">
        <w:rPr>
          <w:rStyle w:val="hps"/>
          <w:lang w:val="en-US"/>
        </w:rPr>
        <w:t xml:space="preserve"> </w:t>
      </w:r>
      <w:r w:rsidR="002549D7" w:rsidRPr="00813D19">
        <w:rPr>
          <w:rStyle w:val="hps"/>
          <w:lang w:val="en-US"/>
        </w:rPr>
        <w:t>i</w:t>
      </w:r>
      <w:r w:rsidR="00A63E07" w:rsidRPr="00813D19">
        <w:rPr>
          <w:rStyle w:val="hps"/>
          <w:lang w:val="en-US"/>
        </w:rPr>
        <w:t>n accordance with paragraph 14 of the Rules of Procedure of the Committee.</w:t>
      </w:r>
      <w:r w:rsidR="00B57E8D" w:rsidRPr="00813D19">
        <w:rPr>
          <w:rStyle w:val="hps"/>
          <w:lang w:val="en-US"/>
        </w:rPr>
        <w:t xml:space="preserve"> </w:t>
      </w:r>
      <w:r w:rsidR="00A63E07" w:rsidRPr="00813D19">
        <w:rPr>
          <w:rStyle w:val="hps"/>
          <w:lang w:val="en-US"/>
        </w:rPr>
        <w:t>As reflected in Decision 11.COM 8, the spirit of consensus</w:t>
      </w:r>
      <w:r w:rsidR="00A63E07" w:rsidRPr="00813D19">
        <w:rPr>
          <w:lang w:val="en-US"/>
        </w:rPr>
        <w:t xml:space="preserve"> </w:t>
      </w:r>
      <w:r w:rsidR="002549D7" w:rsidRPr="00813D19">
        <w:rPr>
          <w:lang w:val="en-US"/>
        </w:rPr>
        <w:t xml:space="preserve">would </w:t>
      </w:r>
      <w:r w:rsidR="00A63E07" w:rsidRPr="00813D19">
        <w:rPr>
          <w:lang w:val="en-US"/>
        </w:rPr>
        <w:t xml:space="preserve">prevail in </w:t>
      </w:r>
      <w:r w:rsidR="002549D7" w:rsidRPr="00813D19">
        <w:rPr>
          <w:lang w:val="en-US"/>
        </w:rPr>
        <w:t xml:space="preserve">the </w:t>
      </w:r>
      <w:r w:rsidR="00A63E07" w:rsidRPr="00813D19">
        <w:rPr>
          <w:lang w:val="en-US"/>
        </w:rPr>
        <w:t>debate</w:t>
      </w:r>
      <w:r w:rsidR="002549D7" w:rsidRPr="00813D19">
        <w:rPr>
          <w:lang w:val="en-US"/>
        </w:rPr>
        <w:t>s</w:t>
      </w:r>
      <w:r w:rsidR="002549D7" w:rsidRPr="00813D19">
        <w:rPr>
          <w:rStyle w:val="hps"/>
          <w:lang w:val="en-US"/>
        </w:rPr>
        <w:t xml:space="preserve">, and the Chairperson </w:t>
      </w:r>
      <w:r w:rsidR="00A63E07" w:rsidRPr="00813D19">
        <w:rPr>
          <w:rStyle w:val="hps"/>
          <w:lang w:val="en-US"/>
        </w:rPr>
        <w:t>remind</w:t>
      </w:r>
      <w:r w:rsidR="002549D7" w:rsidRPr="00813D19">
        <w:rPr>
          <w:rStyle w:val="hps"/>
          <w:lang w:val="en-US"/>
        </w:rPr>
        <w:t xml:space="preserve">ed the Committee </w:t>
      </w:r>
      <w:r w:rsidR="00A63E07" w:rsidRPr="00813D19">
        <w:rPr>
          <w:rStyle w:val="hps"/>
          <w:lang w:val="en-US"/>
        </w:rPr>
        <w:t xml:space="preserve">that the draft decisions </w:t>
      </w:r>
      <w:r w:rsidR="002549D7" w:rsidRPr="00813D19">
        <w:rPr>
          <w:rStyle w:val="hps"/>
          <w:lang w:val="en-US"/>
        </w:rPr>
        <w:t xml:space="preserve">had </w:t>
      </w:r>
      <w:r w:rsidR="00A63E07" w:rsidRPr="00813D19">
        <w:rPr>
          <w:rStyle w:val="hps"/>
          <w:lang w:val="en-US"/>
        </w:rPr>
        <w:t>been p</w:t>
      </w:r>
      <w:r w:rsidR="002549D7" w:rsidRPr="00813D19">
        <w:rPr>
          <w:rStyle w:val="hps"/>
          <w:lang w:val="en-US"/>
        </w:rPr>
        <w:t xml:space="preserve">repared by the Evaluation Body whose members were elected from candidates </w:t>
      </w:r>
      <w:r w:rsidR="00A63E07" w:rsidRPr="00813D19">
        <w:rPr>
          <w:rStyle w:val="hps"/>
          <w:lang w:val="en-US"/>
        </w:rPr>
        <w:t xml:space="preserve">proposed </w:t>
      </w:r>
      <w:r w:rsidR="001C7813" w:rsidRPr="00813D19">
        <w:rPr>
          <w:rStyle w:val="hps"/>
          <w:lang w:val="en-US"/>
        </w:rPr>
        <w:t>by</w:t>
      </w:r>
      <w:r w:rsidR="002549D7" w:rsidRPr="00813D19">
        <w:rPr>
          <w:rStyle w:val="hps"/>
          <w:lang w:val="en-US"/>
        </w:rPr>
        <w:t xml:space="preserve"> the Committee</w:t>
      </w:r>
      <w:r w:rsidR="00A63E07" w:rsidRPr="00813D19">
        <w:rPr>
          <w:rStyle w:val="hps"/>
          <w:lang w:val="en-US"/>
        </w:rPr>
        <w:t xml:space="preserve">. </w:t>
      </w:r>
      <w:r w:rsidR="002549D7" w:rsidRPr="00813D19">
        <w:rPr>
          <w:rStyle w:val="hps"/>
          <w:lang w:val="en-US"/>
        </w:rPr>
        <w:t xml:space="preserve">The </w:t>
      </w:r>
      <w:r w:rsidR="00A63E07" w:rsidRPr="00813D19">
        <w:rPr>
          <w:rStyle w:val="hps"/>
          <w:lang w:val="en-US"/>
        </w:rPr>
        <w:t xml:space="preserve">debates and </w:t>
      </w:r>
      <w:r w:rsidR="002549D7" w:rsidRPr="00813D19">
        <w:rPr>
          <w:rStyle w:val="hps"/>
          <w:lang w:val="en-US"/>
        </w:rPr>
        <w:t xml:space="preserve">the </w:t>
      </w:r>
      <w:r w:rsidR="00A63E07" w:rsidRPr="00813D19">
        <w:rPr>
          <w:rStyle w:val="hps"/>
          <w:lang w:val="en-US"/>
        </w:rPr>
        <w:t xml:space="preserve">decision-making process </w:t>
      </w:r>
      <w:r w:rsidR="002549D7" w:rsidRPr="00813D19">
        <w:rPr>
          <w:rStyle w:val="hps"/>
          <w:lang w:val="en-US"/>
        </w:rPr>
        <w:t xml:space="preserve">should thus </w:t>
      </w:r>
      <w:r w:rsidR="00A63E07" w:rsidRPr="00813D19">
        <w:rPr>
          <w:rStyle w:val="hps"/>
          <w:lang w:val="en-US"/>
        </w:rPr>
        <w:t>demonstrate respect towards the expertise and diligent work of the Evaluation Body.</w:t>
      </w:r>
    </w:p>
    <w:p w14:paraId="45263332" w14:textId="37F05CE4" w:rsidR="00A63E07" w:rsidRPr="00813D19" w:rsidRDefault="002549D7" w:rsidP="000C010B">
      <w:pPr>
        <w:pStyle w:val="Orateurengris"/>
        <w:spacing w:before="120"/>
        <w:ind w:left="709" w:hanging="709"/>
        <w:rPr>
          <w:lang w:val="en-US"/>
        </w:rPr>
      </w:pPr>
      <w:r w:rsidRPr="00813D19">
        <w:rPr>
          <w:rStyle w:val="hps"/>
          <w:lang w:val="en-US"/>
        </w:rPr>
        <w:t xml:space="preserve">The </w:t>
      </w:r>
      <w:r w:rsidRPr="00813D19">
        <w:rPr>
          <w:rStyle w:val="hps"/>
          <w:b/>
          <w:lang w:val="en-US"/>
        </w:rPr>
        <w:t>Chairperson</w:t>
      </w:r>
      <w:r w:rsidRPr="00813D19">
        <w:rPr>
          <w:rStyle w:val="hps"/>
          <w:lang w:val="en-US"/>
        </w:rPr>
        <w:t xml:space="preserve"> </w:t>
      </w:r>
      <w:r w:rsidR="007A3773" w:rsidRPr="00813D19">
        <w:rPr>
          <w:rStyle w:val="hps"/>
          <w:lang w:val="en-US"/>
        </w:rPr>
        <w:t>further explained that i</w:t>
      </w:r>
      <w:r w:rsidR="00A63E07" w:rsidRPr="00813D19">
        <w:rPr>
          <w:rStyle w:val="hps"/>
          <w:lang w:val="en-US"/>
        </w:rPr>
        <w:t xml:space="preserve">n conformity with the decision made </w:t>
      </w:r>
      <w:r w:rsidR="007A3773" w:rsidRPr="00813D19">
        <w:rPr>
          <w:rStyle w:val="hps"/>
          <w:lang w:val="en-US"/>
        </w:rPr>
        <w:t xml:space="preserve">in 2017, he would </w:t>
      </w:r>
      <w:r w:rsidR="00A63E07" w:rsidRPr="00813D19">
        <w:rPr>
          <w:rStyle w:val="hps"/>
          <w:lang w:val="en-US"/>
        </w:rPr>
        <w:t xml:space="preserve">seek to establish consensus </w:t>
      </w:r>
      <w:r w:rsidR="007C75FD">
        <w:rPr>
          <w:rStyle w:val="hps"/>
          <w:lang w:val="en-US"/>
        </w:rPr>
        <w:t>by</w:t>
      </w:r>
      <w:r w:rsidR="007C75FD" w:rsidRPr="00813D19">
        <w:rPr>
          <w:rStyle w:val="hps"/>
          <w:lang w:val="en-US"/>
        </w:rPr>
        <w:t xml:space="preserve"> </w:t>
      </w:r>
      <w:r w:rsidR="00A63E07" w:rsidRPr="00813D19">
        <w:rPr>
          <w:rStyle w:val="hps"/>
          <w:lang w:val="en-US"/>
        </w:rPr>
        <w:t>appreciating both supporting arguments and objections to amendments under consideration. To this end</w:t>
      </w:r>
      <w:r w:rsidR="00303BF4" w:rsidRPr="00813D19">
        <w:rPr>
          <w:rStyle w:val="hps"/>
          <w:lang w:val="en-US"/>
        </w:rPr>
        <w:t xml:space="preserve">, when an amendment </w:t>
      </w:r>
      <w:r w:rsidR="007C75FD">
        <w:rPr>
          <w:rStyle w:val="hps"/>
          <w:lang w:val="en-US"/>
        </w:rPr>
        <w:t>was</w:t>
      </w:r>
      <w:r w:rsidR="00303BF4" w:rsidRPr="00813D19">
        <w:rPr>
          <w:rStyle w:val="hps"/>
          <w:lang w:val="en-US"/>
        </w:rPr>
        <w:t xml:space="preserve"> proposed,</w:t>
      </w:r>
      <w:r w:rsidR="00B57E8D" w:rsidRPr="00813D19">
        <w:rPr>
          <w:rStyle w:val="hps"/>
          <w:lang w:val="en-US"/>
        </w:rPr>
        <w:t xml:space="preserve"> </w:t>
      </w:r>
      <w:r w:rsidR="007A3773" w:rsidRPr="00813D19">
        <w:rPr>
          <w:rStyle w:val="hps"/>
          <w:lang w:val="en-US"/>
        </w:rPr>
        <w:t xml:space="preserve">he would </w:t>
      </w:r>
      <w:r w:rsidR="00A63E07" w:rsidRPr="00813D19">
        <w:rPr>
          <w:rStyle w:val="hps"/>
          <w:lang w:val="en-US"/>
        </w:rPr>
        <w:t>fir</w:t>
      </w:r>
      <w:r w:rsidR="007A3773" w:rsidRPr="00813D19">
        <w:rPr>
          <w:rStyle w:val="hps"/>
          <w:lang w:val="en-US"/>
        </w:rPr>
        <w:t>st determine whether it received</w:t>
      </w:r>
      <w:r w:rsidR="00A63E07" w:rsidRPr="00813D19">
        <w:rPr>
          <w:rStyle w:val="hps"/>
          <w:lang w:val="en-US"/>
        </w:rPr>
        <w:t xml:space="preserve"> active </w:t>
      </w:r>
      <w:r w:rsidR="00A63E07" w:rsidRPr="00813D19">
        <w:rPr>
          <w:rStyle w:val="hps"/>
          <w:i/>
          <w:lang w:val="en-US"/>
        </w:rPr>
        <w:t>relative</w:t>
      </w:r>
      <w:r w:rsidR="00A63E07" w:rsidRPr="00813D19">
        <w:rPr>
          <w:rStyle w:val="hps"/>
          <w:lang w:val="en-US"/>
        </w:rPr>
        <w:t xml:space="preserve"> support</w:t>
      </w:r>
      <w:r w:rsidR="007A3773" w:rsidRPr="00813D19">
        <w:rPr>
          <w:rStyle w:val="hps"/>
          <w:lang w:val="en-US"/>
        </w:rPr>
        <w:t xml:space="preserve"> from the Committee, i.e. </w:t>
      </w:r>
      <w:r w:rsidR="00A63E07" w:rsidRPr="00813D19">
        <w:rPr>
          <w:rStyle w:val="hps"/>
          <w:lang w:val="en-US"/>
        </w:rPr>
        <w:t xml:space="preserve">expression of support from at least </w:t>
      </w:r>
      <w:r w:rsidR="00A63E07" w:rsidRPr="00813D19">
        <w:rPr>
          <w:rStyle w:val="hps"/>
          <w:i/>
          <w:lang w:val="en-US"/>
        </w:rPr>
        <w:t>one third</w:t>
      </w:r>
      <w:r w:rsidR="001C7813" w:rsidRPr="00813D19">
        <w:rPr>
          <w:rStyle w:val="hps"/>
          <w:lang w:val="en-US"/>
        </w:rPr>
        <w:t xml:space="preserve"> of the Committee M</w:t>
      </w:r>
      <w:r w:rsidR="00A63E07" w:rsidRPr="00813D19">
        <w:rPr>
          <w:rStyle w:val="hps"/>
          <w:lang w:val="en-US"/>
        </w:rPr>
        <w:t>embers.</w:t>
      </w:r>
      <w:r w:rsidR="00B57E8D" w:rsidRPr="00813D19">
        <w:rPr>
          <w:rStyle w:val="hps"/>
          <w:lang w:val="en-US"/>
        </w:rPr>
        <w:t xml:space="preserve"> </w:t>
      </w:r>
      <w:r w:rsidR="007A3773" w:rsidRPr="00813D19">
        <w:rPr>
          <w:rStyle w:val="hps"/>
          <w:lang w:val="en-US"/>
        </w:rPr>
        <w:t>I</w:t>
      </w:r>
      <w:r w:rsidR="00A63E07" w:rsidRPr="00813D19">
        <w:rPr>
          <w:rStyle w:val="hps"/>
          <w:lang w:val="en-US"/>
        </w:rPr>
        <w:t xml:space="preserve">n the case </w:t>
      </w:r>
      <w:r w:rsidR="001C7813" w:rsidRPr="00813D19">
        <w:rPr>
          <w:rStyle w:val="hps"/>
          <w:lang w:val="en-US"/>
        </w:rPr>
        <w:t>of an objection by a Committee M</w:t>
      </w:r>
      <w:r w:rsidR="00A63E07" w:rsidRPr="00813D19">
        <w:rPr>
          <w:rStyle w:val="hps"/>
          <w:lang w:val="en-US"/>
        </w:rPr>
        <w:t xml:space="preserve">ember to an amendment, </w:t>
      </w:r>
      <w:r w:rsidR="007A3773" w:rsidRPr="00813D19">
        <w:rPr>
          <w:rStyle w:val="hps"/>
          <w:lang w:val="en-US"/>
        </w:rPr>
        <w:t xml:space="preserve">he would </w:t>
      </w:r>
      <w:r w:rsidR="00A63E07" w:rsidRPr="00813D19">
        <w:rPr>
          <w:rStyle w:val="hps"/>
          <w:lang w:val="en-US"/>
        </w:rPr>
        <w:t xml:space="preserve">then seek active </w:t>
      </w:r>
      <w:r w:rsidR="00A63E07" w:rsidRPr="00813D19">
        <w:rPr>
          <w:rStyle w:val="hps"/>
          <w:i/>
          <w:lang w:val="en-US"/>
        </w:rPr>
        <w:t>broad</w:t>
      </w:r>
      <w:r w:rsidR="00A63E07" w:rsidRPr="00813D19">
        <w:rPr>
          <w:rStyle w:val="hps"/>
          <w:lang w:val="en-US"/>
        </w:rPr>
        <w:t xml:space="preserve"> support from the </w:t>
      </w:r>
      <w:r w:rsidR="00A63E07" w:rsidRPr="00813D19">
        <w:rPr>
          <w:rStyle w:val="hps"/>
          <w:i/>
          <w:lang w:val="en-US"/>
        </w:rPr>
        <w:t>majority</w:t>
      </w:r>
      <w:r w:rsidR="001C7813" w:rsidRPr="00813D19">
        <w:rPr>
          <w:rStyle w:val="hps"/>
          <w:lang w:val="en-US"/>
        </w:rPr>
        <w:t xml:space="preserve"> of Committee M</w:t>
      </w:r>
      <w:r w:rsidR="00A63E07" w:rsidRPr="00813D19">
        <w:rPr>
          <w:rStyle w:val="hps"/>
          <w:lang w:val="en-US"/>
        </w:rPr>
        <w:t>embers.</w:t>
      </w:r>
      <w:r w:rsidR="00B57E8D" w:rsidRPr="00813D19">
        <w:rPr>
          <w:rStyle w:val="hps"/>
          <w:lang w:val="en-US"/>
        </w:rPr>
        <w:t xml:space="preserve"> </w:t>
      </w:r>
      <w:r w:rsidR="00A63E07" w:rsidRPr="00813D19">
        <w:rPr>
          <w:rStyle w:val="hps"/>
          <w:lang w:val="en-US"/>
        </w:rPr>
        <w:t xml:space="preserve">This </w:t>
      </w:r>
      <w:r w:rsidR="005F5225" w:rsidRPr="00813D19">
        <w:rPr>
          <w:rStyle w:val="hps"/>
          <w:lang w:val="en-US"/>
        </w:rPr>
        <w:t>was</w:t>
      </w:r>
      <w:r w:rsidR="007A3773" w:rsidRPr="00813D19">
        <w:rPr>
          <w:rStyle w:val="hps"/>
          <w:lang w:val="en-US"/>
        </w:rPr>
        <w:t xml:space="preserve"> deemed of </w:t>
      </w:r>
      <w:r w:rsidR="00A63E07" w:rsidRPr="00813D19">
        <w:rPr>
          <w:rStyle w:val="hps"/>
          <w:lang w:val="en-US"/>
        </w:rPr>
        <w:t>prime importance</w:t>
      </w:r>
      <w:r w:rsidR="007A3773" w:rsidRPr="00813D19">
        <w:rPr>
          <w:rStyle w:val="hps"/>
          <w:lang w:val="en-US"/>
        </w:rPr>
        <w:t xml:space="preserve"> as the decision-making process had</w:t>
      </w:r>
      <w:r w:rsidR="00A63E07" w:rsidRPr="00813D19">
        <w:rPr>
          <w:rStyle w:val="hps"/>
          <w:lang w:val="en-US"/>
        </w:rPr>
        <w:t xml:space="preserve"> </w:t>
      </w:r>
      <w:r w:rsidR="005F5225" w:rsidRPr="00813D19">
        <w:rPr>
          <w:rStyle w:val="hps"/>
          <w:lang w:val="en-US"/>
        </w:rPr>
        <w:t>an impact on the credibility of</w:t>
      </w:r>
      <w:r w:rsidR="00A63E07" w:rsidRPr="00813D19">
        <w:rPr>
          <w:rStyle w:val="hps"/>
          <w:lang w:val="en-US"/>
        </w:rPr>
        <w:t xml:space="preserve"> the work of this Committee, but also by inference </w:t>
      </w:r>
      <w:r w:rsidR="005F5225" w:rsidRPr="00813D19">
        <w:rPr>
          <w:rStyle w:val="hps"/>
          <w:lang w:val="en-US"/>
        </w:rPr>
        <w:t xml:space="preserve">on </w:t>
      </w:r>
      <w:r w:rsidR="00A63E07" w:rsidRPr="00813D19">
        <w:rPr>
          <w:rStyle w:val="hps"/>
          <w:lang w:val="en-US"/>
        </w:rPr>
        <w:t xml:space="preserve">the Convention as a whole. It </w:t>
      </w:r>
      <w:r w:rsidR="005F5225" w:rsidRPr="00813D19">
        <w:rPr>
          <w:rStyle w:val="hps"/>
          <w:lang w:val="en-US"/>
        </w:rPr>
        <w:t xml:space="preserve">was </w:t>
      </w:r>
      <w:r w:rsidR="00A63E07" w:rsidRPr="00813D19">
        <w:rPr>
          <w:rStyle w:val="hps"/>
          <w:lang w:val="en-US"/>
        </w:rPr>
        <w:t xml:space="preserve">therefore </w:t>
      </w:r>
      <w:r w:rsidR="005F5225" w:rsidRPr="00813D19">
        <w:rPr>
          <w:rStyle w:val="hps"/>
          <w:lang w:val="en-US"/>
        </w:rPr>
        <w:t xml:space="preserve">the </w:t>
      </w:r>
      <w:r w:rsidR="00A63E07" w:rsidRPr="00813D19">
        <w:rPr>
          <w:rStyle w:val="hps"/>
          <w:lang w:val="en-US"/>
        </w:rPr>
        <w:t xml:space="preserve">duty and </w:t>
      </w:r>
      <w:r w:rsidR="005F5225" w:rsidRPr="00813D19">
        <w:rPr>
          <w:rStyle w:val="hps"/>
          <w:lang w:val="en-US"/>
        </w:rPr>
        <w:t>responsibility</w:t>
      </w:r>
      <w:r w:rsidR="00A63E07" w:rsidRPr="00813D19">
        <w:rPr>
          <w:rStyle w:val="hps"/>
          <w:lang w:val="en-US"/>
        </w:rPr>
        <w:t xml:space="preserve"> </w:t>
      </w:r>
      <w:r w:rsidR="005F5225" w:rsidRPr="00813D19">
        <w:rPr>
          <w:rStyle w:val="hps"/>
          <w:lang w:val="en-US"/>
        </w:rPr>
        <w:t>of the Committee</w:t>
      </w:r>
      <w:r w:rsidR="00A63E07" w:rsidRPr="00813D19">
        <w:rPr>
          <w:rStyle w:val="hps"/>
          <w:lang w:val="en-US"/>
        </w:rPr>
        <w:t xml:space="preserve"> to keep these considerations in mind</w:t>
      </w:r>
      <w:r w:rsidR="00B57E8D" w:rsidRPr="00813D19">
        <w:rPr>
          <w:lang w:val="en-US"/>
        </w:rPr>
        <w:t>.</w:t>
      </w:r>
      <w:r w:rsidR="003552ED" w:rsidRPr="00813D19">
        <w:rPr>
          <w:lang w:val="en-US"/>
        </w:rPr>
        <w:t xml:space="preserve"> </w:t>
      </w:r>
      <w:r w:rsidR="00A63E07" w:rsidRPr="00813D19">
        <w:rPr>
          <w:lang w:val="en-US"/>
        </w:rPr>
        <w:t xml:space="preserve">During the general debates, priority </w:t>
      </w:r>
      <w:r w:rsidR="005F5225" w:rsidRPr="00813D19">
        <w:rPr>
          <w:lang w:val="en-US"/>
        </w:rPr>
        <w:t xml:space="preserve">would be </w:t>
      </w:r>
      <w:r w:rsidR="00A63E07" w:rsidRPr="00813D19">
        <w:rPr>
          <w:lang w:val="en-US"/>
        </w:rPr>
        <w:t>given</w:t>
      </w:r>
      <w:r w:rsidR="005F5225" w:rsidRPr="00813D19">
        <w:rPr>
          <w:lang w:val="en-US"/>
        </w:rPr>
        <w:t xml:space="preserve"> to Members </w:t>
      </w:r>
      <w:r w:rsidR="00A63E07" w:rsidRPr="00813D19">
        <w:rPr>
          <w:lang w:val="en-US"/>
        </w:rPr>
        <w:t>of the Committee</w:t>
      </w:r>
      <w:r w:rsidR="005F5225" w:rsidRPr="00813D19">
        <w:rPr>
          <w:lang w:val="en-US"/>
        </w:rPr>
        <w:t>,</w:t>
      </w:r>
      <w:r w:rsidR="00A63E07" w:rsidRPr="00813D19">
        <w:rPr>
          <w:lang w:val="en-US"/>
        </w:rPr>
        <w:t xml:space="preserve"> but the floor </w:t>
      </w:r>
      <w:r w:rsidR="005F5225" w:rsidRPr="00813D19">
        <w:rPr>
          <w:lang w:val="en-US"/>
        </w:rPr>
        <w:t xml:space="preserve">would also be given </w:t>
      </w:r>
      <w:r w:rsidR="00A63E07" w:rsidRPr="00813D19">
        <w:rPr>
          <w:lang w:val="en-US"/>
        </w:rPr>
        <w:t>to States Parties non-Members of the Committee and o</w:t>
      </w:r>
      <w:r w:rsidR="005F5225" w:rsidRPr="00813D19">
        <w:rPr>
          <w:lang w:val="en-US"/>
        </w:rPr>
        <w:t>ther O</w:t>
      </w:r>
      <w:r w:rsidR="00A63E07" w:rsidRPr="00813D19">
        <w:rPr>
          <w:lang w:val="en-US"/>
        </w:rPr>
        <w:t xml:space="preserve">bservers, </w:t>
      </w:r>
      <w:r w:rsidR="005F5225" w:rsidRPr="00813D19">
        <w:rPr>
          <w:lang w:val="en-US"/>
        </w:rPr>
        <w:t>time permitting</w:t>
      </w:r>
      <w:r w:rsidR="00A63E07" w:rsidRPr="00813D19">
        <w:rPr>
          <w:lang w:val="en-US"/>
        </w:rPr>
        <w:t>.</w:t>
      </w:r>
      <w:r w:rsidR="00B57E8D" w:rsidRPr="00813D19">
        <w:rPr>
          <w:lang w:val="en-US"/>
        </w:rPr>
        <w:t xml:space="preserve"> </w:t>
      </w:r>
      <w:r w:rsidR="005F5225" w:rsidRPr="00813D19">
        <w:rPr>
          <w:lang w:val="en-US"/>
        </w:rPr>
        <w:t xml:space="preserve">However, </w:t>
      </w:r>
      <w:r w:rsidR="00A63E07" w:rsidRPr="00813D19">
        <w:rPr>
          <w:lang w:val="en-US"/>
        </w:rPr>
        <w:t xml:space="preserve">the debates on draft decisions concerning </w:t>
      </w:r>
      <w:r w:rsidR="005F5225" w:rsidRPr="00813D19">
        <w:rPr>
          <w:lang w:val="en-US"/>
        </w:rPr>
        <w:t xml:space="preserve">specific nomination files would be </w:t>
      </w:r>
      <w:r w:rsidR="00A63E07" w:rsidRPr="00813D19">
        <w:rPr>
          <w:lang w:val="en-US"/>
        </w:rPr>
        <w:t>limited to Committee Members.</w:t>
      </w:r>
      <w:r w:rsidR="00B57E8D" w:rsidRPr="00813D19">
        <w:rPr>
          <w:lang w:val="en-US"/>
        </w:rPr>
        <w:t xml:space="preserve"> </w:t>
      </w:r>
      <w:r w:rsidR="005F5225" w:rsidRPr="00813D19">
        <w:rPr>
          <w:lang w:val="en-US"/>
        </w:rPr>
        <w:t xml:space="preserve">The Chairperson also </w:t>
      </w:r>
      <w:r w:rsidR="00A63E07" w:rsidRPr="00813D19">
        <w:rPr>
          <w:lang w:val="en-US"/>
        </w:rPr>
        <w:t>recall</w:t>
      </w:r>
      <w:r w:rsidR="005F5225" w:rsidRPr="00813D19">
        <w:rPr>
          <w:lang w:val="en-US"/>
        </w:rPr>
        <w:t>ed</w:t>
      </w:r>
      <w:r w:rsidR="00A63E07" w:rsidRPr="00813D19">
        <w:rPr>
          <w:lang w:val="en-US"/>
        </w:rPr>
        <w:t xml:space="preserve"> Rule</w:t>
      </w:r>
      <w:r w:rsidR="005F5225" w:rsidRPr="00813D19">
        <w:rPr>
          <w:lang w:val="en-US"/>
        </w:rPr>
        <w:t xml:space="preserve"> 22.4 of the Rules of Procedure whereby</w:t>
      </w:r>
      <w:r w:rsidR="00A63E07" w:rsidRPr="00813D19">
        <w:rPr>
          <w:lang w:val="en-US"/>
        </w:rPr>
        <w:t xml:space="preserve"> submitting States, whether or not a </w:t>
      </w:r>
      <w:r w:rsidR="003E7512">
        <w:rPr>
          <w:lang w:val="en-US"/>
        </w:rPr>
        <w:t>M</w:t>
      </w:r>
      <w:r w:rsidR="00A63E07" w:rsidRPr="00813D19">
        <w:rPr>
          <w:lang w:val="en-US"/>
        </w:rPr>
        <w:t>ember of the Committee, shall not speak to advocate the inclusion of their file but only to provide information in reply to questions raised, if any.</w:t>
      </w:r>
      <w:r w:rsidR="00B57E8D" w:rsidRPr="00813D19">
        <w:rPr>
          <w:lang w:val="en-US"/>
        </w:rPr>
        <w:t xml:space="preserve"> </w:t>
      </w:r>
      <w:r w:rsidR="005F5225" w:rsidRPr="00813D19">
        <w:rPr>
          <w:lang w:val="en-US"/>
        </w:rPr>
        <w:t>The Chairperson took the opportunity to remind Members and O</w:t>
      </w:r>
      <w:r w:rsidR="00A63E07" w:rsidRPr="00813D19">
        <w:rPr>
          <w:lang w:val="en-US"/>
        </w:rPr>
        <w:t xml:space="preserve">bservers that large numbers of people </w:t>
      </w:r>
      <w:r w:rsidR="005F5225" w:rsidRPr="00813D19">
        <w:rPr>
          <w:lang w:val="en-US"/>
        </w:rPr>
        <w:t xml:space="preserve">were </w:t>
      </w:r>
      <w:r w:rsidR="00A63E07" w:rsidRPr="00813D19">
        <w:rPr>
          <w:lang w:val="en-US"/>
        </w:rPr>
        <w:t xml:space="preserve">following </w:t>
      </w:r>
      <w:r w:rsidR="005F5225" w:rsidRPr="00813D19">
        <w:rPr>
          <w:lang w:val="en-US"/>
        </w:rPr>
        <w:t xml:space="preserve">the Committee’s </w:t>
      </w:r>
      <w:r w:rsidR="00A63E07" w:rsidRPr="00813D19">
        <w:rPr>
          <w:lang w:val="en-US"/>
        </w:rPr>
        <w:t xml:space="preserve">work </w:t>
      </w:r>
      <w:r w:rsidR="005F5225" w:rsidRPr="00813D19">
        <w:rPr>
          <w:lang w:val="en-US"/>
        </w:rPr>
        <w:t>through audiocast and</w:t>
      </w:r>
      <w:r w:rsidR="00A63E07" w:rsidRPr="00813D19">
        <w:rPr>
          <w:lang w:val="en-US"/>
        </w:rPr>
        <w:t xml:space="preserve"> videocast</w:t>
      </w:r>
      <w:r w:rsidR="005F5225" w:rsidRPr="00813D19">
        <w:rPr>
          <w:lang w:val="en-US"/>
        </w:rPr>
        <w:t>,</w:t>
      </w:r>
      <w:r w:rsidR="00A63E07" w:rsidRPr="00813D19">
        <w:rPr>
          <w:lang w:val="en-US"/>
        </w:rPr>
        <w:t xml:space="preserve"> or through the news media, and it </w:t>
      </w:r>
      <w:r w:rsidR="005F5225" w:rsidRPr="00813D19">
        <w:rPr>
          <w:lang w:val="en-US"/>
        </w:rPr>
        <w:t xml:space="preserve">was </w:t>
      </w:r>
      <w:r w:rsidR="00A63E07" w:rsidRPr="00813D19">
        <w:rPr>
          <w:lang w:val="en-US"/>
        </w:rPr>
        <w:t xml:space="preserve">therefore important to keep to </w:t>
      </w:r>
      <w:r w:rsidR="005F5225" w:rsidRPr="00813D19">
        <w:rPr>
          <w:lang w:val="en-US"/>
        </w:rPr>
        <w:t xml:space="preserve">the </w:t>
      </w:r>
      <w:r w:rsidR="00A63E07" w:rsidRPr="00813D19">
        <w:rPr>
          <w:lang w:val="en-US"/>
        </w:rPr>
        <w:t>schedule.</w:t>
      </w:r>
      <w:r w:rsidR="00B57E8D" w:rsidRPr="00813D19">
        <w:rPr>
          <w:lang w:val="en-US"/>
        </w:rPr>
        <w:t xml:space="preserve"> </w:t>
      </w:r>
      <w:r w:rsidR="001C7813" w:rsidRPr="00813D19">
        <w:rPr>
          <w:lang w:val="en-US"/>
        </w:rPr>
        <w:t xml:space="preserve">He </w:t>
      </w:r>
      <w:r w:rsidR="005F5225" w:rsidRPr="00813D19">
        <w:rPr>
          <w:lang w:val="en-US"/>
        </w:rPr>
        <w:t xml:space="preserve">then invited the </w:t>
      </w:r>
      <w:r w:rsidR="00A63E07" w:rsidRPr="00813D19">
        <w:rPr>
          <w:lang w:val="en-US"/>
        </w:rPr>
        <w:t>Ra</w:t>
      </w:r>
      <w:r w:rsidR="005F5225" w:rsidRPr="00813D19">
        <w:rPr>
          <w:lang w:val="en-US"/>
        </w:rPr>
        <w:t>pporteur of the Evaluation Body,</w:t>
      </w:r>
      <w:r w:rsidR="00A63E07" w:rsidRPr="00813D19">
        <w:rPr>
          <w:lang w:val="en-US"/>
        </w:rPr>
        <w:t xml:space="preserve"> Ms Kuminkova, </w:t>
      </w:r>
      <w:r w:rsidR="005F5225" w:rsidRPr="00813D19">
        <w:rPr>
          <w:lang w:val="en-US"/>
        </w:rPr>
        <w:t xml:space="preserve">to present </w:t>
      </w:r>
      <w:r w:rsidR="001C7813" w:rsidRPr="00813D19">
        <w:rPr>
          <w:lang w:val="en-US"/>
        </w:rPr>
        <w:t xml:space="preserve">her </w:t>
      </w:r>
      <w:r w:rsidR="005F5225" w:rsidRPr="00813D19">
        <w:rPr>
          <w:lang w:val="en-US"/>
        </w:rPr>
        <w:t>report</w:t>
      </w:r>
      <w:r w:rsidR="00A63E07" w:rsidRPr="00813D19">
        <w:rPr>
          <w:lang w:val="en-US"/>
        </w:rPr>
        <w:t>.</w:t>
      </w:r>
    </w:p>
    <w:p w14:paraId="5D1AE2FE" w14:textId="559B5770" w:rsidR="00977EE1" w:rsidRPr="00813D19" w:rsidRDefault="00FD5B63" w:rsidP="00FD5B63">
      <w:pPr>
        <w:pStyle w:val="Orateurengris"/>
        <w:spacing w:before="120"/>
        <w:ind w:left="709" w:hanging="709"/>
        <w:rPr>
          <w:lang w:val="en-US"/>
        </w:rPr>
      </w:pPr>
      <w:r w:rsidRPr="00813D19">
        <w:rPr>
          <w:lang w:val="en-US"/>
        </w:rPr>
        <w:t xml:space="preserve">The </w:t>
      </w:r>
      <w:r w:rsidR="008162B0" w:rsidRPr="00813D19">
        <w:rPr>
          <w:b/>
          <w:lang w:val="en-US"/>
        </w:rPr>
        <w:t>Rapporteur of the Evaluation Body</w:t>
      </w:r>
      <w:r w:rsidR="008162B0" w:rsidRPr="00813D19">
        <w:rPr>
          <w:lang w:val="en-US"/>
        </w:rPr>
        <w:t xml:space="preserve">, Ms </w:t>
      </w:r>
      <w:r w:rsidRPr="00813D19">
        <w:rPr>
          <w:lang w:val="en-US"/>
        </w:rPr>
        <w:t xml:space="preserve">Eva </w:t>
      </w:r>
      <w:r w:rsidR="008162B0" w:rsidRPr="00813D19">
        <w:rPr>
          <w:lang w:val="en-US"/>
        </w:rPr>
        <w:t xml:space="preserve">Kuminkova, </w:t>
      </w:r>
      <w:r w:rsidR="00A4483E" w:rsidRPr="00813D19">
        <w:rPr>
          <w:lang w:val="en-US"/>
        </w:rPr>
        <w:t xml:space="preserve">presented </w:t>
      </w:r>
      <w:r w:rsidR="008162B0" w:rsidRPr="00813D19">
        <w:rPr>
          <w:lang w:val="en-US"/>
        </w:rPr>
        <w:t xml:space="preserve">the </w:t>
      </w:r>
      <w:r w:rsidR="00A4483E" w:rsidRPr="00813D19">
        <w:rPr>
          <w:lang w:val="en-US"/>
        </w:rPr>
        <w:t xml:space="preserve">final report of the </w:t>
      </w:r>
      <w:r w:rsidR="008162B0" w:rsidRPr="00813D19">
        <w:rPr>
          <w:lang w:val="en-US"/>
        </w:rPr>
        <w:t>Evaluation Body</w:t>
      </w:r>
      <w:r w:rsidR="00A4483E" w:rsidRPr="00813D19">
        <w:rPr>
          <w:lang w:val="en-US"/>
        </w:rPr>
        <w:t>’s work in 2018</w:t>
      </w:r>
      <w:r w:rsidR="00977EE1" w:rsidRPr="00813D19">
        <w:rPr>
          <w:lang w:val="en-US"/>
        </w:rPr>
        <w:t xml:space="preserve"> (</w:t>
      </w:r>
      <w:hyperlink r:id="rId83" w:history="1">
        <w:r w:rsidR="00A4483E" w:rsidRPr="00813D19">
          <w:rPr>
            <w:rStyle w:val="Hyperlink"/>
            <w:lang w:val="en-US"/>
          </w:rPr>
          <w:t>document 10</w:t>
        </w:r>
      </w:hyperlink>
      <w:r w:rsidR="00977EE1" w:rsidRPr="00813D19">
        <w:rPr>
          <w:lang w:val="en-US"/>
        </w:rPr>
        <w:t>)</w:t>
      </w:r>
      <w:r w:rsidR="00A4483E" w:rsidRPr="00813D19">
        <w:rPr>
          <w:lang w:val="en-US"/>
        </w:rPr>
        <w:t xml:space="preserve">, </w:t>
      </w:r>
      <w:r w:rsidR="00977EE1" w:rsidRPr="00813D19">
        <w:rPr>
          <w:lang w:val="en-US"/>
        </w:rPr>
        <w:t>which consisted</w:t>
      </w:r>
      <w:r w:rsidRPr="00813D19">
        <w:rPr>
          <w:lang w:val="en-US"/>
        </w:rPr>
        <w:t xml:space="preserve"> of five parts.</w:t>
      </w:r>
      <w:r w:rsidR="008162B0" w:rsidRPr="00813D19">
        <w:rPr>
          <w:lang w:val="en-US"/>
        </w:rPr>
        <w:t xml:space="preserve"> </w:t>
      </w:r>
      <w:r w:rsidR="00A4483E" w:rsidRPr="00813D19">
        <w:rPr>
          <w:lang w:val="en-US"/>
        </w:rPr>
        <w:t>The o</w:t>
      </w:r>
      <w:r w:rsidR="008162B0" w:rsidRPr="00813D19">
        <w:rPr>
          <w:lang w:val="en-US"/>
        </w:rPr>
        <w:t xml:space="preserve">ther four documents </w:t>
      </w:r>
      <w:r w:rsidR="00977EE1" w:rsidRPr="00813D19">
        <w:rPr>
          <w:lang w:val="en-US"/>
        </w:rPr>
        <w:t xml:space="preserve">were </w:t>
      </w:r>
      <w:r w:rsidR="008162B0" w:rsidRPr="00813D19">
        <w:rPr>
          <w:lang w:val="en-US"/>
        </w:rPr>
        <w:t xml:space="preserve">related to the </w:t>
      </w:r>
      <w:r w:rsidR="00977EE1" w:rsidRPr="00813D19">
        <w:rPr>
          <w:lang w:val="en-US"/>
        </w:rPr>
        <w:t xml:space="preserve">four </w:t>
      </w:r>
      <w:r w:rsidR="008162B0" w:rsidRPr="00813D19">
        <w:rPr>
          <w:lang w:val="en-US"/>
        </w:rPr>
        <w:t>international mechanism</w:t>
      </w:r>
      <w:r w:rsidR="00977EE1" w:rsidRPr="00813D19">
        <w:rPr>
          <w:lang w:val="en-US"/>
        </w:rPr>
        <w:t>s</w:t>
      </w:r>
      <w:r w:rsidR="008162B0" w:rsidRPr="00813D19">
        <w:rPr>
          <w:lang w:val="en-US"/>
        </w:rPr>
        <w:t xml:space="preserve"> of the Convention</w:t>
      </w:r>
      <w:r w:rsidR="00977EE1" w:rsidRPr="00813D19">
        <w:rPr>
          <w:lang w:val="en-US"/>
        </w:rPr>
        <w:t>:</w:t>
      </w:r>
      <w:r w:rsidR="008162B0" w:rsidRPr="00813D19">
        <w:rPr>
          <w:lang w:val="en-US"/>
        </w:rPr>
        <w:t xml:space="preserve"> the Urgent Safeguarding List</w:t>
      </w:r>
      <w:r w:rsidR="00977EE1" w:rsidRPr="00813D19">
        <w:rPr>
          <w:lang w:val="en-US"/>
        </w:rPr>
        <w:t xml:space="preserve"> (</w:t>
      </w:r>
      <w:hyperlink r:id="rId84" w:history="1">
        <w:r w:rsidR="00977EE1" w:rsidRPr="00813D19">
          <w:rPr>
            <w:rStyle w:val="Hyperlink"/>
            <w:lang w:val="en-US"/>
          </w:rPr>
          <w:t>document 10.a</w:t>
        </w:r>
      </w:hyperlink>
      <w:r w:rsidR="00977EE1" w:rsidRPr="00813D19">
        <w:rPr>
          <w:lang w:val="en-US"/>
        </w:rPr>
        <w:t>)</w:t>
      </w:r>
      <w:r w:rsidR="008162B0" w:rsidRPr="00813D19">
        <w:rPr>
          <w:lang w:val="en-US"/>
        </w:rPr>
        <w:t>,</w:t>
      </w:r>
      <w:r w:rsidR="00977EE1" w:rsidRPr="00813D19">
        <w:rPr>
          <w:lang w:val="en-US"/>
        </w:rPr>
        <w:t xml:space="preserve"> the Representative List (</w:t>
      </w:r>
      <w:hyperlink r:id="rId85" w:history="1">
        <w:r w:rsidR="00977EE1" w:rsidRPr="00813D19">
          <w:rPr>
            <w:rStyle w:val="Hyperlink"/>
            <w:lang w:val="en-US"/>
          </w:rPr>
          <w:t>document 10.b</w:t>
        </w:r>
      </w:hyperlink>
      <w:r w:rsidR="00977EE1" w:rsidRPr="00813D19">
        <w:rPr>
          <w:lang w:val="en-US"/>
        </w:rPr>
        <w:t>),</w:t>
      </w:r>
      <w:r w:rsidR="008162B0" w:rsidRPr="00813D19">
        <w:rPr>
          <w:lang w:val="en-US"/>
        </w:rPr>
        <w:t xml:space="preserve"> the Register of Good Safeguarding Practices </w:t>
      </w:r>
      <w:r w:rsidR="00977EE1" w:rsidRPr="00813D19">
        <w:rPr>
          <w:lang w:val="en-US"/>
        </w:rPr>
        <w:t>(</w:t>
      </w:r>
      <w:hyperlink r:id="rId86" w:history="1">
        <w:r w:rsidR="00977EE1" w:rsidRPr="00813D19">
          <w:rPr>
            <w:rStyle w:val="Hyperlink"/>
            <w:lang w:val="en-US"/>
          </w:rPr>
          <w:t>document 10.c</w:t>
        </w:r>
      </w:hyperlink>
      <w:r w:rsidR="00977EE1" w:rsidRPr="00813D19">
        <w:rPr>
          <w:lang w:val="en-US"/>
        </w:rPr>
        <w:t xml:space="preserve">) </w:t>
      </w:r>
      <w:r w:rsidR="008162B0" w:rsidRPr="00813D19">
        <w:rPr>
          <w:lang w:val="en-US"/>
        </w:rPr>
        <w:t xml:space="preserve">and International Assistance </w:t>
      </w:r>
      <w:r w:rsidR="00977EE1" w:rsidRPr="00813D19">
        <w:rPr>
          <w:lang w:val="en-US"/>
        </w:rPr>
        <w:t>(</w:t>
      </w:r>
      <w:hyperlink r:id="rId87" w:history="1">
        <w:r w:rsidR="00977EE1" w:rsidRPr="00813D19">
          <w:rPr>
            <w:rStyle w:val="Hyperlink"/>
            <w:lang w:val="en-US"/>
          </w:rPr>
          <w:t>document 10.d</w:t>
        </w:r>
      </w:hyperlink>
      <w:r w:rsidR="00977EE1" w:rsidRPr="00813D19">
        <w:rPr>
          <w:lang w:val="en-US"/>
        </w:rPr>
        <w:t xml:space="preserve">), which would </w:t>
      </w:r>
      <w:r w:rsidR="008162B0" w:rsidRPr="00813D19">
        <w:rPr>
          <w:lang w:val="en-US"/>
        </w:rPr>
        <w:t>be presented b</w:t>
      </w:r>
      <w:r w:rsidR="00977EE1" w:rsidRPr="00813D19">
        <w:rPr>
          <w:lang w:val="en-US"/>
        </w:rPr>
        <w:t>y the C</w:t>
      </w:r>
      <w:r w:rsidR="008162B0" w:rsidRPr="00813D19">
        <w:rPr>
          <w:lang w:val="en-US"/>
        </w:rPr>
        <w:t>hairperson of</w:t>
      </w:r>
      <w:r w:rsidRPr="00813D19">
        <w:rPr>
          <w:lang w:val="en-US"/>
        </w:rPr>
        <w:t xml:space="preserve"> the </w:t>
      </w:r>
      <w:r w:rsidR="00A4483E" w:rsidRPr="00813D19">
        <w:rPr>
          <w:lang w:val="en-US"/>
        </w:rPr>
        <w:t>Evaluation Body</w:t>
      </w:r>
      <w:r w:rsidRPr="00813D19">
        <w:rPr>
          <w:lang w:val="en-US"/>
        </w:rPr>
        <w:t xml:space="preserve">, Mr. John Moogi Omare. </w:t>
      </w:r>
      <w:r w:rsidR="008162B0" w:rsidRPr="00813D19">
        <w:rPr>
          <w:lang w:val="en-US"/>
        </w:rPr>
        <w:t xml:space="preserve">In this cycle, </w:t>
      </w:r>
      <w:r w:rsidR="007C75FD">
        <w:rPr>
          <w:lang w:val="en-US"/>
        </w:rPr>
        <w:t>fifty</w:t>
      </w:r>
      <w:r w:rsidR="008162B0" w:rsidRPr="00813D19">
        <w:rPr>
          <w:lang w:val="en-US"/>
        </w:rPr>
        <w:t xml:space="preserve"> files </w:t>
      </w:r>
      <w:r w:rsidR="00977EE1" w:rsidRPr="00813D19">
        <w:rPr>
          <w:lang w:val="en-US"/>
        </w:rPr>
        <w:t xml:space="preserve">were </w:t>
      </w:r>
      <w:r w:rsidR="008162B0" w:rsidRPr="00813D19">
        <w:rPr>
          <w:lang w:val="en-US"/>
        </w:rPr>
        <w:t xml:space="preserve">treated and submitted to the Committee for its </w:t>
      </w:r>
      <w:r w:rsidR="007A7126" w:rsidRPr="00813D19">
        <w:rPr>
          <w:lang w:val="en-US"/>
        </w:rPr>
        <w:t>recommendation</w:t>
      </w:r>
      <w:r w:rsidR="001C7813" w:rsidRPr="00813D19">
        <w:rPr>
          <w:lang w:val="en-US"/>
        </w:rPr>
        <w:t>, including six</w:t>
      </w:r>
      <w:r w:rsidR="008162B0" w:rsidRPr="00813D19">
        <w:rPr>
          <w:lang w:val="en-US"/>
        </w:rPr>
        <w:t xml:space="preserve"> multinationa</w:t>
      </w:r>
      <w:r w:rsidR="00977EE1" w:rsidRPr="00813D19">
        <w:rPr>
          <w:lang w:val="en-US"/>
        </w:rPr>
        <w:t>l nominations. One file concerned</w:t>
      </w:r>
      <w:r w:rsidR="008162B0" w:rsidRPr="00813D19">
        <w:rPr>
          <w:lang w:val="en-US"/>
        </w:rPr>
        <w:t xml:space="preserve"> an inscription on an extended basis, eight files </w:t>
      </w:r>
      <w:r w:rsidR="007C75FD">
        <w:rPr>
          <w:lang w:val="en-US"/>
        </w:rPr>
        <w:t>had been</w:t>
      </w:r>
      <w:r w:rsidR="00977EE1" w:rsidRPr="00813D19">
        <w:rPr>
          <w:lang w:val="en-US"/>
        </w:rPr>
        <w:t xml:space="preserve"> </w:t>
      </w:r>
      <w:r w:rsidR="008162B0" w:rsidRPr="00813D19">
        <w:rPr>
          <w:lang w:val="en-US"/>
        </w:rPr>
        <w:t xml:space="preserve">resubmitted after </w:t>
      </w:r>
      <w:r w:rsidR="00977EE1" w:rsidRPr="00813D19">
        <w:rPr>
          <w:lang w:val="en-US"/>
        </w:rPr>
        <w:t>a referral</w:t>
      </w:r>
      <w:r w:rsidR="008162B0" w:rsidRPr="00813D19">
        <w:rPr>
          <w:lang w:val="en-US"/>
        </w:rPr>
        <w:t xml:space="preserve"> </w:t>
      </w:r>
      <w:r w:rsidR="001C7813" w:rsidRPr="00813D19">
        <w:rPr>
          <w:lang w:val="en-US"/>
        </w:rPr>
        <w:t>or non-</w:t>
      </w:r>
      <w:r w:rsidR="00977EE1" w:rsidRPr="00813D19">
        <w:rPr>
          <w:lang w:val="en-US"/>
        </w:rPr>
        <w:t>inscription</w:t>
      </w:r>
      <w:r w:rsidR="008162B0" w:rsidRPr="00813D19">
        <w:rPr>
          <w:lang w:val="en-US"/>
        </w:rPr>
        <w:t xml:space="preserve"> in a previous cyc</w:t>
      </w:r>
      <w:r w:rsidR="00977EE1" w:rsidRPr="00813D19">
        <w:rPr>
          <w:lang w:val="en-US"/>
        </w:rPr>
        <w:t xml:space="preserve">le. The largest proportion </w:t>
      </w:r>
      <w:r w:rsidR="008162B0" w:rsidRPr="00813D19">
        <w:rPr>
          <w:lang w:val="en-US"/>
        </w:rPr>
        <w:t>concern</w:t>
      </w:r>
      <w:r w:rsidR="00977EE1" w:rsidRPr="00813D19">
        <w:rPr>
          <w:lang w:val="en-US"/>
        </w:rPr>
        <w:t>ed</w:t>
      </w:r>
      <w:r w:rsidR="008162B0" w:rsidRPr="00813D19">
        <w:rPr>
          <w:lang w:val="en-US"/>
        </w:rPr>
        <w:t xml:space="preserve"> nominations</w:t>
      </w:r>
      <w:r w:rsidR="00977EE1" w:rsidRPr="00813D19">
        <w:rPr>
          <w:lang w:val="en-US"/>
        </w:rPr>
        <w:t xml:space="preserve"> to the Representative List (80 per cent), </w:t>
      </w:r>
      <w:r w:rsidR="008162B0" w:rsidRPr="00813D19">
        <w:rPr>
          <w:lang w:val="en-US"/>
        </w:rPr>
        <w:t>nominations to the Urgent Safeguarding List</w:t>
      </w:r>
      <w:r w:rsidR="00977EE1" w:rsidRPr="00813D19">
        <w:rPr>
          <w:lang w:val="en-US"/>
        </w:rPr>
        <w:t xml:space="preserve"> (14 per cent)</w:t>
      </w:r>
      <w:r w:rsidR="008162B0" w:rsidRPr="00813D19">
        <w:rPr>
          <w:lang w:val="en-US"/>
        </w:rPr>
        <w:t xml:space="preserve">, </w:t>
      </w:r>
      <w:r w:rsidR="00977EE1" w:rsidRPr="00813D19">
        <w:rPr>
          <w:lang w:val="en-US"/>
        </w:rPr>
        <w:t xml:space="preserve">two </w:t>
      </w:r>
      <w:r w:rsidR="008162B0" w:rsidRPr="00813D19">
        <w:rPr>
          <w:lang w:val="en-US"/>
        </w:rPr>
        <w:t>proposals to the Register of Good Safeguarding Practices</w:t>
      </w:r>
      <w:r w:rsidR="00977EE1" w:rsidRPr="00813D19">
        <w:rPr>
          <w:lang w:val="en-US"/>
        </w:rPr>
        <w:t xml:space="preserve"> (4 per cent)</w:t>
      </w:r>
      <w:r w:rsidR="007A7126" w:rsidRPr="00813D19">
        <w:rPr>
          <w:lang w:val="en-US"/>
        </w:rPr>
        <w:t>,</w:t>
      </w:r>
      <w:r w:rsidR="008162B0" w:rsidRPr="00813D19">
        <w:rPr>
          <w:lang w:val="en-US"/>
        </w:rPr>
        <w:t xml:space="preserve"> and a single International Assistance </w:t>
      </w:r>
      <w:r w:rsidR="002F50EA">
        <w:rPr>
          <w:lang w:val="en-US"/>
        </w:rPr>
        <w:t>r</w:t>
      </w:r>
      <w:r w:rsidR="002F50EA" w:rsidRPr="00813D19">
        <w:rPr>
          <w:lang w:val="en-US"/>
        </w:rPr>
        <w:t>equest</w:t>
      </w:r>
      <w:r w:rsidR="008162B0" w:rsidRPr="00813D19">
        <w:rPr>
          <w:lang w:val="en-US"/>
        </w:rPr>
        <w:t xml:space="preserve">. Out of the </w:t>
      </w:r>
      <w:r w:rsidR="007C75FD">
        <w:rPr>
          <w:lang w:val="en-US"/>
        </w:rPr>
        <w:t>fifty</w:t>
      </w:r>
      <w:r w:rsidR="008162B0" w:rsidRPr="00813D19">
        <w:rPr>
          <w:lang w:val="en-US"/>
        </w:rPr>
        <w:t xml:space="preserve"> files examined, a total of </w:t>
      </w:r>
      <w:r w:rsidR="007C75FD">
        <w:rPr>
          <w:lang w:val="en-US"/>
        </w:rPr>
        <w:t>thirty-five</w:t>
      </w:r>
      <w:r w:rsidR="008162B0" w:rsidRPr="00813D19">
        <w:rPr>
          <w:lang w:val="en-US"/>
        </w:rPr>
        <w:t xml:space="preserve"> files </w:t>
      </w:r>
      <w:r w:rsidR="00977EE1" w:rsidRPr="00813D19">
        <w:rPr>
          <w:lang w:val="en-US"/>
        </w:rPr>
        <w:t xml:space="preserve">were </w:t>
      </w:r>
      <w:r w:rsidR="008162B0" w:rsidRPr="00813D19">
        <w:rPr>
          <w:lang w:val="en-US"/>
        </w:rPr>
        <w:t xml:space="preserve">recommended for inscription, selection or approval, </w:t>
      </w:r>
      <w:r w:rsidR="008F491F">
        <w:rPr>
          <w:lang w:val="en-US"/>
        </w:rPr>
        <w:t>twelve</w:t>
      </w:r>
      <w:r w:rsidR="008162B0" w:rsidRPr="00813D19">
        <w:rPr>
          <w:lang w:val="en-US"/>
        </w:rPr>
        <w:t xml:space="preserve"> files </w:t>
      </w:r>
      <w:r w:rsidR="00977EE1" w:rsidRPr="00813D19">
        <w:rPr>
          <w:lang w:val="en-US"/>
        </w:rPr>
        <w:t xml:space="preserve">were </w:t>
      </w:r>
      <w:r w:rsidR="008162B0" w:rsidRPr="00813D19">
        <w:rPr>
          <w:lang w:val="en-US"/>
        </w:rPr>
        <w:t>recommended for referral</w:t>
      </w:r>
      <w:r w:rsidR="00977EE1" w:rsidRPr="00813D19">
        <w:rPr>
          <w:lang w:val="en-US"/>
        </w:rPr>
        <w:t>,</w:t>
      </w:r>
      <w:r w:rsidR="008162B0" w:rsidRPr="00813D19">
        <w:rPr>
          <w:lang w:val="en-US"/>
        </w:rPr>
        <w:t xml:space="preserve"> and </w:t>
      </w:r>
      <w:r w:rsidR="008F491F">
        <w:rPr>
          <w:lang w:val="en-US"/>
        </w:rPr>
        <w:t>three</w:t>
      </w:r>
      <w:r w:rsidR="008162B0" w:rsidRPr="00813D19">
        <w:rPr>
          <w:lang w:val="en-US"/>
        </w:rPr>
        <w:t xml:space="preserve"> files </w:t>
      </w:r>
      <w:r w:rsidR="00977EE1" w:rsidRPr="00813D19">
        <w:rPr>
          <w:lang w:val="en-US"/>
        </w:rPr>
        <w:t xml:space="preserve">were </w:t>
      </w:r>
      <w:r w:rsidR="008162B0" w:rsidRPr="00813D19">
        <w:rPr>
          <w:lang w:val="en-US"/>
        </w:rPr>
        <w:t>not recommended for inscription, selection or approval.</w:t>
      </w:r>
      <w:r w:rsidR="00977EE1" w:rsidRPr="00813D19">
        <w:rPr>
          <w:lang w:val="en-US"/>
        </w:rPr>
        <w:t xml:space="preserve"> </w:t>
      </w:r>
      <w:r w:rsidR="008162B0" w:rsidRPr="00813D19">
        <w:rPr>
          <w:lang w:val="en-US"/>
        </w:rPr>
        <w:t xml:space="preserve">The </w:t>
      </w:r>
      <w:r w:rsidR="008F491F">
        <w:rPr>
          <w:lang w:val="en-US"/>
        </w:rPr>
        <w:t>twelve</w:t>
      </w:r>
      <w:r w:rsidR="008162B0" w:rsidRPr="00813D19">
        <w:rPr>
          <w:lang w:val="en-US"/>
        </w:rPr>
        <w:t xml:space="preserve"> members of the Evaluation Body met three times in March, June and September. Each member studied every f</w:t>
      </w:r>
      <w:r w:rsidR="00977EE1" w:rsidRPr="00813D19">
        <w:rPr>
          <w:lang w:val="en-US"/>
        </w:rPr>
        <w:t xml:space="preserve">ile so as to obtain </w:t>
      </w:r>
      <w:r w:rsidR="007A7126" w:rsidRPr="00813D19">
        <w:rPr>
          <w:lang w:val="en-US"/>
        </w:rPr>
        <w:t xml:space="preserve">a </w:t>
      </w:r>
      <w:r w:rsidR="008162B0" w:rsidRPr="00813D19">
        <w:rPr>
          <w:lang w:val="en-US"/>
        </w:rPr>
        <w:t xml:space="preserve">complete overview and </w:t>
      </w:r>
      <w:r w:rsidR="00977EE1" w:rsidRPr="00813D19">
        <w:rPr>
          <w:lang w:val="en-US"/>
        </w:rPr>
        <w:t>for consistency</w:t>
      </w:r>
      <w:r w:rsidR="008162B0" w:rsidRPr="00813D19">
        <w:rPr>
          <w:lang w:val="en-US"/>
        </w:rPr>
        <w:t xml:space="preserve">. </w:t>
      </w:r>
      <w:r w:rsidR="00977EE1" w:rsidRPr="00813D19">
        <w:rPr>
          <w:lang w:val="en-US"/>
        </w:rPr>
        <w:t xml:space="preserve">As </w:t>
      </w:r>
      <w:r w:rsidR="008162B0" w:rsidRPr="00813D19">
        <w:rPr>
          <w:lang w:val="en-US"/>
        </w:rPr>
        <w:t xml:space="preserve">only one quarter of </w:t>
      </w:r>
      <w:r w:rsidR="008F491F">
        <w:rPr>
          <w:lang w:val="en-US"/>
        </w:rPr>
        <w:t xml:space="preserve">the </w:t>
      </w:r>
      <w:r w:rsidR="008162B0" w:rsidRPr="00813D19">
        <w:rPr>
          <w:lang w:val="en-US"/>
        </w:rPr>
        <w:t xml:space="preserve">members </w:t>
      </w:r>
      <w:r w:rsidR="008F491F">
        <w:rPr>
          <w:lang w:val="en-US"/>
        </w:rPr>
        <w:t>are</w:t>
      </w:r>
      <w:r w:rsidR="008162B0" w:rsidRPr="00813D19">
        <w:rPr>
          <w:lang w:val="en-US"/>
        </w:rPr>
        <w:t xml:space="preserve"> replaced each year, Evaluation Body members benefited from the exper</w:t>
      </w:r>
      <w:r w:rsidR="00977EE1" w:rsidRPr="00813D19">
        <w:rPr>
          <w:lang w:val="en-US"/>
        </w:rPr>
        <w:t>ience gained in previous cycles</w:t>
      </w:r>
      <w:r w:rsidR="008162B0" w:rsidRPr="00813D19">
        <w:rPr>
          <w:lang w:val="en-US"/>
        </w:rPr>
        <w:t>.</w:t>
      </w:r>
      <w:r w:rsidRPr="00813D19">
        <w:rPr>
          <w:lang w:val="en-US"/>
        </w:rPr>
        <w:t xml:space="preserve"> </w:t>
      </w:r>
      <w:r w:rsidR="008162B0" w:rsidRPr="00813D19">
        <w:rPr>
          <w:lang w:val="en-US"/>
        </w:rPr>
        <w:t xml:space="preserve">After submitting their individual assessments online, members of </w:t>
      </w:r>
      <w:r w:rsidR="001C7813" w:rsidRPr="00813D19">
        <w:rPr>
          <w:lang w:val="en-US"/>
        </w:rPr>
        <w:t xml:space="preserve">the </w:t>
      </w:r>
      <w:r w:rsidR="008162B0" w:rsidRPr="00813D19">
        <w:rPr>
          <w:lang w:val="en-US"/>
        </w:rPr>
        <w:t>Evalu</w:t>
      </w:r>
      <w:r w:rsidR="001C7813" w:rsidRPr="00813D19">
        <w:rPr>
          <w:lang w:val="en-US"/>
        </w:rPr>
        <w:t>ation B</w:t>
      </w:r>
      <w:r w:rsidR="008162B0" w:rsidRPr="00813D19">
        <w:rPr>
          <w:lang w:val="en-US"/>
        </w:rPr>
        <w:t xml:space="preserve">ody met in June to discuss all </w:t>
      </w:r>
      <w:r w:rsidR="00977EE1" w:rsidRPr="00813D19">
        <w:rPr>
          <w:lang w:val="en-US"/>
        </w:rPr>
        <w:t xml:space="preserve">the </w:t>
      </w:r>
      <w:r w:rsidR="008162B0" w:rsidRPr="00813D19">
        <w:rPr>
          <w:lang w:val="en-US"/>
        </w:rPr>
        <w:t>files together. The evaluation of each file usually started with a diversity of op</w:t>
      </w:r>
      <w:r w:rsidR="00977EE1" w:rsidRPr="00813D19">
        <w:rPr>
          <w:lang w:val="en-US"/>
        </w:rPr>
        <w:t>inions, but t</w:t>
      </w:r>
      <w:r w:rsidR="008162B0" w:rsidRPr="00813D19">
        <w:rPr>
          <w:lang w:val="en-US"/>
        </w:rPr>
        <w:t>hrough intensive debates, all twelve members of the Body reach</w:t>
      </w:r>
      <w:r w:rsidR="00977EE1" w:rsidRPr="00813D19">
        <w:rPr>
          <w:lang w:val="en-US"/>
        </w:rPr>
        <w:t>ed</w:t>
      </w:r>
      <w:r w:rsidR="008162B0" w:rsidRPr="00813D19">
        <w:rPr>
          <w:lang w:val="en-US"/>
        </w:rPr>
        <w:t xml:space="preserve"> consensus, </w:t>
      </w:r>
      <w:r w:rsidR="00977EE1" w:rsidRPr="00813D19">
        <w:rPr>
          <w:lang w:val="en-US"/>
        </w:rPr>
        <w:t xml:space="preserve">as </w:t>
      </w:r>
      <w:r w:rsidR="00E41386">
        <w:rPr>
          <w:lang w:val="en-US"/>
        </w:rPr>
        <w:t>presented in this report.</w:t>
      </w:r>
    </w:p>
    <w:p w14:paraId="11A77E29" w14:textId="6CEB3D19" w:rsidR="00FD5B63" w:rsidRPr="00813D19" w:rsidRDefault="00977EE1" w:rsidP="00FD5B63">
      <w:pPr>
        <w:pStyle w:val="Orateurengris"/>
        <w:spacing w:before="120"/>
        <w:ind w:left="709" w:hanging="709"/>
        <w:rPr>
          <w:lang w:val="en-US"/>
        </w:rPr>
      </w:pPr>
      <w:r w:rsidRPr="00813D19">
        <w:rPr>
          <w:lang w:val="en-US"/>
        </w:rPr>
        <w:t xml:space="preserve">The </w:t>
      </w:r>
      <w:r w:rsidRPr="00813D19">
        <w:rPr>
          <w:b/>
          <w:lang w:val="en-US"/>
        </w:rPr>
        <w:t>Rapporteur</w:t>
      </w:r>
      <w:r w:rsidRPr="00813D19">
        <w:rPr>
          <w:lang w:val="en-US"/>
        </w:rPr>
        <w:t xml:space="preserve"> reminded the Committee that membership </w:t>
      </w:r>
      <w:r w:rsidR="008F491F">
        <w:rPr>
          <w:lang w:val="en-US"/>
        </w:rPr>
        <w:t>of</w:t>
      </w:r>
      <w:r w:rsidR="00AE53BF" w:rsidRPr="00813D19">
        <w:rPr>
          <w:lang w:val="en-US"/>
        </w:rPr>
        <w:t xml:space="preserve"> </w:t>
      </w:r>
      <w:r w:rsidRPr="00813D19">
        <w:rPr>
          <w:lang w:val="en-US"/>
        </w:rPr>
        <w:t>the Body respected</w:t>
      </w:r>
      <w:r w:rsidR="008162B0" w:rsidRPr="00813D19">
        <w:rPr>
          <w:lang w:val="en-US"/>
        </w:rPr>
        <w:t xml:space="preserve"> equitable geographic distribution</w:t>
      </w:r>
      <w:r w:rsidRPr="00813D19">
        <w:rPr>
          <w:lang w:val="en-US"/>
        </w:rPr>
        <w:t>,</w:t>
      </w:r>
      <w:r w:rsidR="008162B0" w:rsidRPr="00813D19">
        <w:rPr>
          <w:lang w:val="en-US"/>
        </w:rPr>
        <w:t xml:space="preserve"> allowing its debates to benefit from a wide range of expertise. Although</w:t>
      </w:r>
      <w:r w:rsidRPr="00813D19">
        <w:rPr>
          <w:lang w:val="en-US"/>
        </w:rPr>
        <w:t xml:space="preserve"> the report was drafted by the R</w:t>
      </w:r>
      <w:r w:rsidR="008162B0" w:rsidRPr="00813D19">
        <w:rPr>
          <w:lang w:val="en-US"/>
        </w:rPr>
        <w:t>apporteur, all members of the Body participated in its elaboration.</w:t>
      </w:r>
      <w:r w:rsidR="00FD5B63" w:rsidRPr="00813D19">
        <w:rPr>
          <w:lang w:val="en-US"/>
        </w:rPr>
        <w:t xml:space="preserve"> </w:t>
      </w:r>
      <w:r w:rsidR="008162B0" w:rsidRPr="00813D19">
        <w:rPr>
          <w:lang w:val="en-US"/>
        </w:rPr>
        <w:t>The Evaluation Body strictly adhered to the principle of exclusively evaluating the information and facts contained in the files, and not making any assumptions about information that the State Party had not explicitly articulated.</w:t>
      </w:r>
      <w:r w:rsidR="00FD5B63" w:rsidRPr="00813D19">
        <w:rPr>
          <w:lang w:val="en-US"/>
        </w:rPr>
        <w:t xml:space="preserve"> </w:t>
      </w:r>
      <w:r w:rsidR="008162B0" w:rsidRPr="00813D19">
        <w:rPr>
          <w:lang w:val="en-US"/>
        </w:rPr>
        <w:t xml:space="preserve">When the information needed to assess </w:t>
      </w:r>
      <w:r w:rsidR="00735329" w:rsidRPr="00813D19">
        <w:rPr>
          <w:lang w:val="en-US"/>
        </w:rPr>
        <w:t>a certain criterion</w:t>
      </w:r>
      <w:r w:rsidR="008162B0" w:rsidRPr="00813D19">
        <w:rPr>
          <w:lang w:val="en-US"/>
        </w:rPr>
        <w:t xml:space="preserve"> was lacking, the Body recommended the referral option. </w:t>
      </w:r>
      <w:r w:rsidR="00735329" w:rsidRPr="00813D19">
        <w:rPr>
          <w:lang w:val="en-US"/>
        </w:rPr>
        <w:t>M</w:t>
      </w:r>
      <w:r w:rsidR="008162B0" w:rsidRPr="00813D19">
        <w:rPr>
          <w:lang w:val="en-US"/>
        </w:rPr>
        <w:t>ind</w:t>
      </w:r>
      <w:r w:rsidR="00735329" w:rsidRPr="00813D19">
        <w:rPr>
          <w:lang w:val="en-US"/>
        </w:rPr>
        <w:t>ful</w:t>
      </w:r>
      <w:r w:rsidR="008162B0" w:rsidRPr="00813D19">
        <w:rPr>
          <w:lang w:val="en-US"/>
        </w:rPr>
        <w:t xml:space="preserve"> that </w:t>
      </w:r>
      <w:r w:rsidR="00735329" w:rsidRPr="00813D19">
        <w:rPr>
          <w:lang w:val="en-US"/>
        </w:rPr>
        <w:t>a referral often caused</w:t>
      </w:r>
      <w:r w:rsidR="008162B0" w:rsidRPr="00813D19">
        <w:rPr>
          <w:lang w:val="en-US"/>
        </w:rPr>
        <w:t xml:space="preserve"> disappointment, particularly among the communities concerned, the Body reiterate</w:t>
      </w:r>
      <w:r w:rsidR="00735329" w:rsidRPr="00813D19">
        <w:rPr>
          <w:lang w:val="en-US"/>
        </w:rPr>
        <w:t>d</w:t>
      </w:r>
      <w:r w:rsidR="008162B0" w:rsidRPr="00813D19">
        <w:rPr>
          <w:lang w:val="en-US"/>
        </w:rPr>
        <w:t xml:space="preserve"> that the referral option </w:t>
      </w:r>
      <w:r w:rsidR="008F491F">
        <w:rPr>
          <w:lang w:val="en-US"/>
        </w:rPr>
        <w:t>was</w:t>
      </w:r>
      <w:r w:rsidR="008162B0" w:rsidRPr="00813D19">
        <w:rPr>
          <w:lang w:val="en-US"/>
        </w:rPr>
        <w:t xml:space="preserve"> not a negative assessment of a file. </w:t>
      </w:r>
      <w:r w:rsidR="00735329" w:rsidRPr="00813D19">
        <w:rPr>
          <w:lang w:val="en-US"/>
        </w:rPr>
        <w:t>In fact, it allowed</w:t>
      </w:r>
      <w:r w:rsidR="008162B0" w:rsidRPr="00813D19">
        <w:rPr>
          <w:lang w:val="en-US"/>
        </w:rPr>
        <w:t xml:space="preserve"> the State Party to revisit the file and improve its quality, </w:t>
      </w:r>
      <w:r w:rsidR="00735329" w:rsidRPr="00813D19">
        <w:rPr>
          <w:lang w:val="en-US"/>
        </w:rPr>
        <w:t xml:space="preserve">which would </w:t>
      </w:r>
      <w:r w:rsidR="008162B0" w:rsidRPr="00813D19">
        <w:rPr>
          <w:lang w:val="en-US"/>
        </w:rPr>
        <w:t>cast good light on the work of the States Parties and the Committee</w:t>
      </w:r>
      <w:r w:rsidR="00FD5B63" w:rsidRPr="00813D19">
        <w:rPr>
          <w:lang w:val="en-US"/>
        </w:rPr>
        <w:t xml:space="preserve">. </w:t>
      </w:r>
      <w:r w:rsidR="008162B0" w:rsidRPr="00813D19">
        <w:rPr>
          <w:lang w:val="en-US"/>
        </w:rPr>
        <w:t xml:space="preserve">In 2017, the Evaluation Body used a ‘dual system of draft decisions with two options’ on an exceptional basis for criterion U.5/R.5. This was applied in cases recommended for a referral only because factual information related to </w:t>
      </w:r>
      <w:r w:rsidR="00735329" w:rsidRPr="00813D19">
        <w:rPr>
          <w:lang w:val="en-US"/>
        </w:rPr>
        <w:t xml:space="preserve">the </w:t>
      </w:r>
      <w:r w:rsidR="008162B0" w:rsidRPr="00813D19">
        <w:rPr>
          <w:lang w:val="en-US"/>
        </w:rPr>
        <w:t>inventory was lacking. This year</w:t>
      </w:r>
      <w:r w:rsidR="008F491F">
        <w:rPr>
          <w:lang w:val="en-US"/>
        </w:rPr>
        <w:t>,</w:t>
      </w:r>
      <w:r w:rsidR="008162B0" w:rsidRPr="00813D19">
        <w:rPr>
          <w:lang w:val="en-US"/>
        </w:rPr>
        <w:t xml:space="preserve"> for the first time, the Body </w:t>
      </w:r>
      <w:r w:rsidR="008F491F">
        <w:rPr>
          <w:lang w:val="en-US"/>
        </w:rPr>
        <w:t xml:space="preserve">had </w:t>
      </w:r>
      <w:r w:rsidR="008162B0" w:rsidRPr="00813D19">
        <w:rPr>
          <w:lang w:val="en-US"/>
        </w:rPr>
        <w:t xml:space="preserve">evaluated nomination files benefitting from the new ICH-01 and ICH-02 nomination forms, in which </w:t>
      </w:r>
      <w:r w:rsidR="008F491F">
        <w:rPr>
          <w:lang w:val="en-US"/>
        </w:rPr>
        <w:t>S</w:t>
      </w:r>
      <w:r w:rsidR="008162B0" w:rsidRPr="00813D19">
        <w:rPr>
          <w:lang w:val="en-US"/>
        </w:rPr>
        <w:t xml:space="preserve">ection 5 </w:t>
      </w:r>
      <w:r w:rsidR="00735329" w:rsidRPr="00813D19">
        <w:rPr>
          <w:lang w:val="en-US"/>
        </w:rPr>
        <w:t xml:space="preserve">was </w:t>
      </w:r>
      <w:r w:rsidR="008162B0" w:rsidRPr="00813D19">
        <w:rPr>
          <w:lang w:val="en-US"/>
        </w:rPr>
        <w:t xml:space="preserve">broken down into several subsections. </w:t>
      </w:r>
      <w:r w:rsidR="00735329" w:rsidRPr="00813D19">
        <w:rPr>
          <w:lang w:val="en-US"/>
        </w:rPr>
        <w:t>Consequently, i</w:t>
      </w:r>
      <w:r w:rsidR="008162B0" w:rsidRPr="00813D19">
        <w:rPr>
          <w:lang w:val="en-US"/>
        </w:rPr>
        <w:t xml:space="preserve">t noted substantial improvements in the </w:t>
      </w:r>
      <w:r w:rsidR="00735329" w:rsidRPr="00813D19">
        <w:rPr>
          <w:lang w:val="en-US"/>
        </w:rPr>
        <w:t xml:space="preserve">presentation of information </w:t>
      </w:r>
      <w:r w:rsidR="008162B0" w:rsidRPr="00813D19">
        <w:rPr>
          <w:lang w:val="en-US"/>
        </w:rPr>
        <w:t xml:space="preserve">compared with previous cycles. However, some files still lacked mandatory information, particularly concerning </w:t>
      </w:r>
      <w:r w:rsidR="00735329" w:rsidRPr="00813D19">
        <w:rPr>
          <w:lang w:val="en-US"/>
        </w:rPr>
        <w:t xml:space="preserve">the </w:t>
      </w:r>
      <w:r w:rsidR="008162B0" w:rsidRPr="00813D19">
        <w:rPr>
          <w:lang w:val="en-US"/>
        </w:rPr>
        <w:t xml:space="preserve">periodicity and modality of inventory updating. </w:t>
      </w:r>
      <w:r w:rsidR="00735329" w:rsidRPr="00813D19">
        <w:rPr>
          <w:lang w:val="en-US"/>
        </w:rPr>
        <w:t xml:space="preserve">The Body evaluated criterion U.5/R.5 positively when </w:t>
      </w:r>
      <w:r w:rsidR="008162B0" w:rsidRPr="00813D19">
        <w:rPr>
          <w:lang w:val="en-US"/>
        </w:rPr>
        <w:t xml:space="preserve">most of the information and an inventory extract </w:t>
      </w:r>
      <w:r w:rsidR="00735329" w:rsidRPr="00813D19">
        <w:rPr>
          <w:lang w:val="en-US"/>
        </w:rPr>
        <w:t>were provided.</w:t>
      </w:r>
      <w:r w:rsidR="008162B0" w:rsidRPr="00813D19">
        <w:rPr>
          <w:lang w:val="en-US"/>
        </w:rPr>
        <w:t xml:space="preserve"> </w:t>
      </w:r>
      <w:r w:rsidR="00735329" w:rsidRPr="00813D19">
        <w:rPr>
          <w:lang w:val="en-US"/>
        </w:rPr>
        <w:t xml:space="preserve">However, </w:t>
      </w:r>
      <w:r w:rsidR="008162B0" w:rsidRPr="00813D19">
        <w:rPr>
          <w:lang w:val="en-US"/>
        </w:rPr>
        <w:t>in the draft decision</w:t>
      </w:r>
      <w:r w:rsidR="00735329" w:rsidRPr="00813D19">
        <w:rPr>
          <w:lang w:val="en-US"/>
        </w:rPr>
        <w:t>,</w:t>
      </w:r>
      <w:r w:rsidR="008162B0" w:rsidRPr="00813D19">
        <w:rPr>
          <w:lang w:val="en-US"/>
        </w:rPr>
        <w:t xml:space="preserve"> the Body suggested that </w:t>
      </w:r>
      <w:r w:rsidR="00735329" w:rsidRPr="00813D19">
        <w:rPr>
          <w:lang w:val="en-US"/>
        </w:rPr>
        <w:t>the State Party clearly provide</w:t>
      </w:r>
      <w:r w:rsidR="008162B0" w:rsidRPr="00813D19">
        <w:rPr>
          <w:lang w:val="en-US"/>
        </w:rPr>
        <w:t xml:space="preserve"> the information concerned in its periodic report. As a result of this approach, no nomination was recommended for a referral on the basis of criteri</w:t>
      </w:r>
      <w:r w:rsidR="00735329" w:rsidRPr="00813D19">
        <w:rPr>
          <w:lang w:val="en-US"/>
        </w:rPr>
        <w:t xml:space="preserve">on U.5/R.5 alone, and the reason the ‘dual system of draft decisions with two options’ was considered </w:t>
      </w:r>
      <w:r w:rsidR="008F491F">
        <w:rPr>
          <w:lang w:val="en-US"/>
        </w:rPr>
        <w:t xml:space="preserve">to be </w:t>
      </w:r>
      <w:r w:rsidR="00735329" w:rsidRPr="00813D19">
        <w:rPr>
          <w:lang w:val="en-US"/>
        </w:rPr>
        <w:t>unnecessary in this cycle.</w:t>
      </w:r>
    </w:p>
    <w:p w14:paraId="5A676C12" w14:textId="55751293" w:rsidR="00FD5B63" w:rsidRPr="00813D19" w:rsidRDefault="00FD5B63" w:rsidP="00FD5B63">
      <w:pPr>
        <w:pStyle w:val="Orateurengris"/>
        <w:spacing w:before="120"/>
        <w:ind w:left="709" w:hanging="709"/>
        <w:rPr>
          <w:lang w:val="en-US"/>
        </w:rPr>
      </w:pPr>
      <w:r w:rsidRPr="00813D19">
        <w:rPr>
          <w:lang w:val="en-US"/>
        </w:rPr>
        <w:t xml:space="preserve">The </w:t>
      </w:r>
      <w:r w:rsidRPr="00813D19">
        <w:rPr>
          <w:b/>
          <w:lang w:val="en-US"/>
        </w:rPr>
        <w:t>Rapporteur</w:t>
      </w:r>
      <w:r w:rsidRPr="00813D19">
        <w:rPr>
          <w:lang w:val="en-US"/>
        </w:rPr>
        <w:t xml:space="preserve"> </w:t>
      </w:r>
      <w:r w:rsidR="00AE53BF" w:rsidRPr="00813D19">
        <w:rPr>
          <w:lang w:val="en-US"/>
        </w:rPr>
        <w:t xml:space="preserve">further reported that </w:t>
      </w:r>
      <w:r w:rsidR="008162B0" w:rsidRPr="00813D19">
        <w:rPr>
          <w:lang w:val="en-US"/>
        </w:rPr>
        <w:t xml:space="preserve">the Evaluation Body </w:t>
      </w:r>
      <w:r w:rsidR="008F491F">
        <w:rPr>
          <w:lang w:val="en-US"/>
        </w:rPr>
        <w:t xml:space="preserve">had </w:t>
      </w:r>
      <w:r w:rsidR="00AE53BF" w:rsidRPr="00813D19">
        <w:rPr>
          <w:lang w:val="en-US"/>
        </w:rPr>
        <w:t xml:space="preserve">once </w:t>
      </w:r>
      <w:r w:rsidR="008162B0" w:rsidRPr="00813D19">
        <w:rPr>
          <w:lang w:val="en-US"/>
        </w:rPr>
        <w:t xml:space="preserve">again </w:t>
      </w:r>
      <w:r w:rsidR="00AE53BF" w:rsidRPr="00813D19">
        <w:rPr>
          <w:lang w:val="en-US"/>
        </w:rPr>
        <w:t xml:space="preserve">noted </w:t>
      </w:r>
      <w:r w:rsidR="008162B0" w:rsidRPr="00813D19">
        <w:rPr>
          <w:lang w:val="en-US"/>
        </w:rPr>
        <w:t>that some States Parties found criterion R.2</w:t>
      </w:r>
      <w:r w:rsidR="00AE53BF" w:rsidRPr="00813D19">
        <w:rPr>
          <w:lang w:val="en-US"/>
        </w:rPr>
        <w:t xml:space="preserve"> particularly challenging</w:t>
      </w:r>
      <w:r w:rsidR="008162B0" w:rsidRPr="00813D19">
        <w:rPr>
          <w:lang w:val="en-US"/>
        </w:rPr>
        <w:t xml:space="preserve"> and that </w:t>
      </w:r>
      <w:r w:rsidR="00AE53BF" w:rsidRPr="00813D19">
        <w:rPr>
          <w:lang w:val="en-US"/>
        </w:rPr>
        <w:t xml:space="preserve">its </w:t>
      </w:r>
      <w:r w:rsidR="008162B0" w:rsidRPr="00813D19">
        <w:rPr>
          <w:lang w:val="en-US"/>
        </w:rPr>
        <w:t xml:space="preserve">purpose </w:t>
      </w:r>
      <w:r w:rsidR="00AE53BF" w:rsidRPr="00813D19">
        <w:rPr>
          <w:lang w:val="en-US"/>
        </w:rPr>
        <w:t xml:space="preserve">was </w:t>
      </w:r>
      <w:r w:rsidR="008162B0" w:rsidRPr="00813D19">
        <w:rPr>
          <w:lang w:val="en-US"/>
        </w:rPr>
        <w:t xml:space="preserve">still </w:t>
      </w:r>
      <w:r w:rsidR="00AE53BF" w:rsidRPr="00813D19">
        <w:rPr>
          <w:lang w:val="en-US"/>
        </w:rPr>
        <w:t>un</w:t>
      </w:r>
      <w:r w:rsidR="008162B0" w:rsidRPr="00813D19">
        <w:rPr>
          <w:lang w:val="en-US"/>
        </w:rPr>
        <w:t>clear</w:t>
      </w:r>
      <w:r w:rsidR="00AE53BF" w:rsidRPr="00813D19">
        <w:rPr>
          <w:lang w:val="en-US"/>
        </w:rPr>
        <w:t>,</w:t>
      </w:r>
      <w:r w:rsidR="008162B0" w:rsidRPr="00813D19">
        <w:rPr>
          <w:lang w:val="en-US"/>
        </w:rPr>
        <w:t xml:space="preserve"> even to experienced submitting States. </w:t>
      </w:r>
      <w:r w:rsidR="00AE53BF" w:rsidRPr="00813D19">
        <w:rPr>
          <w:lang w:val="en-US"/>
        </w:rPr>
        <w:t>T</w:t>
      </w:r>
      <w:r w:rsidR="008162B0" w:rsidRPr="00813D19">
        <w:rPr>
          <w:lang w:val="en-US"/>
        </w:rPr>
        <w:t xml:space="preserve">he Body </w:t>
      </w:r>
      <w:r w:rsidR="008F491F">
        <w:rPr>
          <w:lang w:val="en-US"/>
        </w:rPr>
        <w:t>had come</w:t>
      </w:r>
      <w:r w:rsidR="008F491F" w:rsidRPr="00813D19">
        <w:rPr>
          <w:lang w:val="en-US"/>
        </w:rPr>
        <w:t xml:space="preserve"> </w:t>
      </w:r>
      <w:r w:rsidR="008162B0" w:rsidRPr="00813D19">
        <w:rPr>
          <w:lang w:val="en-US"/>
        </w:rPr>
        <w:t xml:space="preserve">to </w:t>
      </w:r>
      <w:r w:rsidR="00AE53BF" w:rsidRPr="00813D19">
        <w:rPr>
          <w:lang w:val="en-US"/>
        </w:rPr>
        <w:t xml:space="preserve">the </w:t>
      </w:r>
      <w:r w:rsidR="008162B0" w:rsidRPr="00813D19">
        <w:rPr>
          <w:lang w:val="en-US"/>
        </w:rPr>
        <w:t xml:space="preserve">conclusion that </w:t>
      </w:r>
      <w:r w:rsidR="00AE53BF" w:rsidRPr="00813D19">
        <w:rPr>
          <w:lang w:val="en-US"/>
        </w:rPr>
        <w:t xml:space="preserve">in </w:t>
      </w:r>
      <w:r w:rsidR="008162B0" w:rsidRPr="00813D19">
        <w:rPr>
          <w:lang w:val="en-US"/>
        </w:rPr>
        <w:t xml:space="preserve">all </w:t>
      </w:r>
      <w:r w:rsidR="00AE53BF" w:rsidRPr="00813D19">
        <w:rPr>
          <w:lang w:val="en-US"/>
        </w:rPr>
        <w:t xml:space="preserve">the </w:t>
      </w:r>
      <w:r w:rsidR="008162B0" w:rsidRPr="00813D19">
        <w:rPr>
          <w:lang w:val="en-US"/>
        </w:rPr>
        <w:t xml:space="preserve">other criteria the State Party </w:t>
      </w:r>
      <w:r w:rsidR="00AE53BF" w:rsidRPr="00813D19">
        <w:rPr>
          <w:lang w:val="en-US"/>
        </w:rPr>
        <w:t xml:space="preserve">was </w:t>
      </w:r>
      <w:r w:rsidR="008162B0" w:rsidRPr="00813D19">
        <w:rPr>
          <w:lang w:val="en-US"/>
        </w:rPr>
        <w:t xml:space="preserve">asked to justify the inscription of an element from </w:t>
      </w:r>
      <w:r w:rsidR="00AE53BF" w:rsidRPr="00813D19">
        <w:rPr>
          <w:lang w:val="en-US"/>
        </w:rPr>
        <w:t xml:space="preserve">a </w:t>
      </w:r>
      <w:r w:rsidR="008162B0" w:rsidRPr="00813D19">
        <w:rPr>
          <w:lang w:val="en-US"/>
        </w:rPr>
        <w:t xml:space="preserve">community perspective, </w:t>
      </w:r>
      <w:r w:rsidR="00AE53BF" w:rsidRPr="00813D19">
        <w:rPr>
          <w:lang w:val="en-US"/>
        </w:rPr>
        <w:t xml:space="preserve">whereas </w:t>
      </w:r>
      <w:r w:rsidR="008162B0" w:rsidRPr="00813D19">
        <w:rPr>
          <w:lang w:val="en-US"/>
        </w:rPr>
        <w:t>in R.2</w:t>
      </w:r>
      <w:r w:rsidR="00AE53BF" w:rsidRPr="00813D19">
        <w:rPr>
          <w:lang w:val="en-US"/>
        </w:rPr>
        <w:t>,</w:t>
      </w:r>
      <w:r w:rsidR="008162B0" w:rsidRPr="00813D19">
        <w:rPr>
          <w:lang w:val="en-US"/>
        </w:rPr>
        <w:t xml:space="preserve"> an external and abstracted point of view </w:t>
      </w:r>
      <w:r w:rsidR="00AE53BF" w:rsidRPr="00813D19">
        <w:rPr>
          <w:lang w:val="en-US"/>
        </w:rPr>
        <w:t xml:space="preserve">was </w:t>
      </w:r>
      <w:r w:rsidR="008162B0" w:rsidRPr="00813D19">
        <w:rPr>
          <w:lang w:val="en-US"/>
        </w:rPr>
        <w:t xml:space="preserve">expected. Instead of explaining how the inscription can promote </w:t>
      </w:r>
      <w:r w:rsidR="00C94A69" w:rsidRPr="00813D19">
        <w:rPr>
          <w:lang w:val="en-US"/>
        </w:rPr>
        <w:t>intangible cultural heritage</w:t>
      </w:r>
      <w:r w:rsidR="008162B0" w:rsidRPr="00813D19">
        <w:rPr>
          <w:lang w:val="en-US"/>
        </w:rPr>
        <w:t xml:space="preserve"> in general and raise awareness outside the community, </w:t>
      </w:r>
      <w:r w:rsidR="00AE53BF" w:rsidRPr="00813D19">
        <w:rPr>
          <w:lang w:val="en-US"/>
        </w:rPr>
        <w:t xml:space="preserve">a </w:t>
      </w:r>
      <w:r w:rsidR="008162B0" w:rsidRPr="00813D19">
        <w:rPr>
          <w:lang w:val="en-US"/>
        </w:rPr>
        <w:t>large proportion of nomination files tend</w:t>
      </w:r>
      <w:r w:rsidR="00AE53BF" w:rsidRPr="00813D19">
        <w:rPr>
          <w:lang w:val="en-US"/>
        </w:rPr>
        <w:t>ed</w:t>
      </w:r>
      <w:r w:rsidR="008162B0" w:rsidRPr="00813D19">
        <w:rPr>
          <w:lang w:val="en-US"/>
        </w:rPr>
        <w:t xml:space="preserve"> to address the impact of the inscription on the element itself</w:t>
      </w:r>
      <w:r w:rsidR="00AE53BF" w:rsidRPr="00813D19">
        <w:rPr>
          <w:lang w:val="en-US"/>
        </w:rPr>
        <w:t xml:space="preserve"> and within its community. </w:t>
      </w:r>
      <w:r w:rsidR="008162B0" w:rsidRPr="00813D19">
        <w:rPr>
          <w:lang w:val="en-US"/>
        </w:rPr>
        <w:t xml:space="preserve">The Body </w:t>
      </w:r>
      <w:r w:rsidR="008F491F">
        <w:rPr>
          <w:lang w:val="en-US"/>
        </w:rPr>
        <w:t xml:space="preserve">had </w:t>
      </w:r>
      <w:r w:rsidR="00AE53BF" w:rsidRPr="00813D19">
        <w:rPr>
          <w:lang w:val="en-US"/>
        </w:rPr>
        <w:t xml:space="preserve">discussed this issue at length </w:t>
      </w:r>
      <w:r w:rsidR="008162B0" w:rsidRPr="00813D19">
        <w:rPr>
          <w:lang w:val="en-US"/>
        </w:rPr>
        <w:t xml:space="preserve">and suggested that the criterion </w:t>
      </w:r>
      <w:r w:rsidR="00236793">
        <w:rPr>
          <w:lang w:val="en-US"/>
        </w:rPr>
        <w:t>was</w:t>
      </w:r>
      <w:r w:rsidR="00AE53BF" w:rsidRPr="00813D19">
        <w:rPr>
          <w:lang w:val="en-US"/>
        </w:rPr>
        <w:t xml:space="preserve"> </w:t>
      </w:r>
      <w:r w:rsidR="008162B0" w:rsidRPr="00813D19">
        <w:rPr>
          <w:lang w:val="en-US"/>
        </w:rPr>
        <w:t xml:space="preserve">directly related to the purpose of the Representative List and </w:t>
      </w:r>
      <w:r w:rsidR="00236793">
        <w:rPr>
          <w:lang w:val="en-US"/>
        </w:rPr>
        <w:t>was</w:t>
      </w:r>
      <w:r w:rsidR="00AE53BF" w:rsidRPr="00813D19">
        <w:rPr>
          <w:lang w:val="en-US"/>
        </w:rPr>
        <w:t xml:space="preserve"> </w:t>
      </w:r>
      <w:r w:rsidR="008162B0" w:rsidRPr="00813D19">
        <w:rPr>
          <w:lang w:val="en-US"/>
        </w:rPr>
        <w:t>therefore highly relevant and important. For these reasons, the Body we</w:t>
      </w:r>
      <w:r w:rsidR="00AE53BF" w:rsidRPr="00813D19">
        <w:rPr>
          <w:lang w:val="en-US"/>
        </w:rPr>
        <w:t>lcomed and encouraged</w:t>
      </w:r>
      <w:r w:rsidR="008162B0" w:rsidRPr="00813D19">
        <w:rPr>
          <w:lang w:val="en-US"/>
        </w:rPr>
        <w:t xml:space="preserve"> the reflection on the nature of the Lists and the relevance of the criteria, particularly criterion R.2.</w:t>
      </w:r>
      <w:r w:rsidRPr="00813D19">
        <w:rPr>
          <w:lang w:val="en-US"/>
        </w:rPr>
        <w:t xml:space="preserve"> </w:t>
      </w:r>
      <w:r w:rsidR="00AE53BF" w:rsidRPr="00813D19">
        <w:rPr>
          <w:lang w:val="en-US"/>
        </w:rPr>
        <w:t xml:space="preserve">The Rapporteur then turned to </w:t>
      </w:r>
      <w:r w:rsidR="008162B0" w:rsidRPr="00813D19">
        <w:rPr>
          <w:lang w:val="en-US"/>
        </w:rPr>
        <w:t>selected cross-cutting issues</w:t>
      </w:r>
      <w:r w:rsidR="00AE53BF" w:rsidRPr="00813D19">
        <w:rPr>
          <w:lang w:val="en-US"/>
        </w:rPr>
        <w:t>,</w:t>
      </w:r>
      <w:r w:rsidR="008162B0" w:rsidRPr="00813D19">
        <w:rPr>
          <w:lang w:val="en-US"/>
        </w:rPr>
        <w:t xml:space="preserve"> which raised particularly serious discussions among Body members.</w:t>
      </w:r>
      <w:r w:rsidRPr="00813D19">
        <w:rPr>
          <w:lang w:val="en-US"/>
        </w:rPr>
        <w:t xml:space="preserve"> </w:t>
      </w:r>
      <w:r w:rsidR="008162B0" w:rsidRPr="00813D19">
        <w:rPr>
          <w:lang w:val="en-US"/>
        </w:rPr>
        <w:t xml:space="preserve">In several cases, the States </w:t>
      </w:r>
      <w:r w:rsidR="00AE53BF" w:rsidRPr="00813D19">
        <w:rPr>
          <w:lang w:val="en-US"/>
        </w:rPr>
        <w:t xml:space="preserve">concerned </w:t>
      </w:r>
      <w:r w:rsidR="008162B0" w:rsidRPr="00813D19">
        <w:rPr>
          <w:lang w:val="en-US"/>
        </w:rPr>
        <w:t>attempted to claim or justify ownership of an element, mostly in sections corresponding to criteria R</w:t>
      </w:r>
      <w:r w:rsidR="00C94A69" w:rsidRPr="00813D19">
        <w:rPr>
          <w:lang w:val="en-US"/>
        </w:rPr>
        <w:t>.</w:t>
      </w:r>
      <w:r w:rsidR="008162B0" w:rsidRPr="00813D19">
        <w:rPr>
          <w:lang w:val="en-US"/>
        </w:rPr>
        <w:t>1/U</w:t>
      </w:r>
      <w:r w:rsidR="00C94A69" w:rsidRPr="00813D19">
        <w:rPr>
          <w:lang w:val="en-US"/>
        </w:rPr>
        <w:t>.</w:t>
      </w:r>
      <w:r w:rsidR="008162B0" w:rsidRPr="00813D19">
        <w:rPr>
          <w:lang w:val="en-US"/>
        </w:rPr>
        <w:t xml:space="preserve">1 or R2. The Body also noted that the titles of nominated elements sometimes </w:t>
      </w:r>
      <w:r w:rsidR="00AE53BF" w:rsidRPr="00813D19">
        <w:rPr>
          <w:lang w:val="en-US"/>
        </w:rPr>
        <w:t>implied claims of ownership</w:t>
      </w:r>
      <w:r w:rsidR="008162B0" w:rsidRPr="00813D19">
        <w:rPr>
          <w:lang w:val="en-US"/>
        </w:rPr>
        <w:t>. In such cases, the Secretariat was asked to propose to the submitting country</w:t>
      </w:r>
      <w:r w:rsidR="00AE53BF" w:rsidRPr="00813D19">
        <w:rPr>
          <w:lang w:val="en-US"/>
        </w:rPr>
        <w:t xml:space="preserve"> a change in the title</w:t>
      </w:r>
      <w:r w:rsidR="008162B0" w:rsidRPr="00813D19">
        <w:rPr>
          <w:lang w:val="en-US"/>
        </w:rPr>
        <w:t xml:space="preserve">, </w:t>
      </w:r>
      <w:r w:rsidR="00AE53BF" w:rsidRPr="00813D19">
        <w:rPr>
          <w:lang w:val="en-US"/>
        </w:rPr>
        <w:t xml:space="preserve">such that it did </w:t>
      </w:r>
      <w:r w:rsidR="008162B0" w:rsidRPr="00813D19">
        <w:rPr>
          <w:lang w:val="en-US"/>
        </w:rPr>
        <w:t xml:space="preserve">not inadvertently provoke sentiments contrary to the Convention’s principle of mutual respect and international cooperation. </w:t>
      </w:r>
      <w:r w:rsidR="00AE53BF" w:rsidRPr="00813D19">
        <w:rPr>
          <w:lang w:val="en-US"/>
        </w:rPr>
        <w:t>S</w:t>
      </w:r>
      <w:r w:rsidR="008162B0" w:rsidRPr="00813D19">
        <w:rPr>
          <w:lang w:val="en-US"/>
        </w:rPr>
        <w:t>pecific</w:t>
      </w:r>
      <w:r w:rsidR="00AE53BF" w:rsidRPr="00813D19">
        <w:rPr>
          <w:lang w:val="en-US"/>
        </w:rPr>
        <w:t xml:space="preserve">ally, </w:t>
      </w:r>
      <w:r w:rsidR="008162B0" w:rsidRPr="00813D19">
        <w:rPr>
          <w:lang w:val="en-US"/>
        </w:rPr>
        <w:t xml:space="preserve">when formulating a title, it </w:t>
      </w:r>
      <w:r w:rsidR="00AE53BF" w:rsidRPr="00813D19">
        <w:rPr>
          <w:lang w:val="en-US"/>
        </w:rPr>
        <w:t xml:space="preserve">was </w:t>
      </w:r>
      <w:r w:rsidR="008162B0" w:rsidRPr="00813D19">
        <w:rPr>
          <w:lang w:val="en-US"/>
        </w:rPr>
        <w:t>generally advisable to identi</w:t>
      </w:r>
      <w:r w:rsidR="00AE53BF" w:rsidRPr="00813D19">
        <w:rPr>
          <w:lang w:val="en-US"/>
        </w:rPr>
        <w:t xml:space="preserve">fy elements as being practised </w:t>
      </w:r>
      <w:r w:rsidR="00AE53BF" w:rsidRPr="00813D19">
        <w:rPr>
          <w:i/>
          <w:lang w:val="en-US"/>
        </w:rPr>
        <w:t>in</w:t>
      </w:r>
      <w:r w:rsidR="00AE53BF" w:rsidRPr="00813D19">
        <w:rPr>
          <w:lang w:val="en-US"/>
        </w:rPr>
        <w:t xml:space="preserve"> a country rather than being </w:t>
      </w:r>
      <w:r w:rsidR="00AE53BF" w:rsidRPr="00813D19">
        <w:rPr>
          <w:i/>
          <w:lang w:val="en-US"/>
        </w:rPr>
        <w:t>of</w:t>
      </w:r>
      <w:r w:rsidR="008162B0" w:rsidRPr="00813D19">
        <w:rPr>
          <w:lang w:val="en-US"/>
        </w:rPr>
        <w:t xml:space="preserve"> a country.</w:t>
      </w:r>
    </w:p>
    <w:p w14:paraId="4635E5F0" w14:textId="1635FCC5" w:rsidR="00FD5B63" w:rsidRPr="00813D19" w:rsidRDefault="00AE53BF" w:rsidP="000C010B">
      <w:pPr>
        <w:pStyle w:val="Orateurengris"/>
        <w:spacing w:before="120"/>
        <w:ind w:left="709" w:hanging="709"/>
        <w:rPr>
          <w:lang w:val="en-US"/>
        </w:rPr>
      </w:pPr>
      <w:r w:rsidRPr="00813D19">
        <w:rPr>
          <w:lang w:val="en-US"/>
        </w:rPr>
        <w:t xml:space="preserve">The </w:t>
      </w:r>
      <w:r w:rsidRPr="00813D19">
        <w:rPr>
          <w:b/>
          <w:lang w:val="en-US"/>
        </w:rPr>
        <w:t>Rapporteur</w:t>
      </w:r>
      <w:r w:rsidRPr="00813D19">
        <w:rPr>
          <w:lang w:val="en-US"/>
        </w:rPr>
        <w:t xml:space="preserve"> also noted, a</w:t>
      </w:r>
      <w:r w:rsidR="008162B0" w:rsidRPr="00813D19">
        <w:rPr>
          <w:lang w:val="en-US"/>
        </w:rPr>
        <w:t xml:space="preserve">s in previous cycles, </w:t>
      </w:r>
      <w:r w:rsidRPr="00813D19">
        <w:rPr>
          <w:lang w:val="en-US"/>
        </w:rPr>
        <w:t xml:space="preserve">that </w:t>
      </w:r>
      <w:r w:rsidR="008162B0" w:rsidRPr="00813D19">
        <w:rPr>
          <w:lang w:val="en-US"/>
        </w:rPr>
        <w:t xml:space="preserve">some nominations showed </w:t>
      </w:r>
      <w:r w:rsidR="008162B0" w:rsidRPr="00813D19">
        <w:rPr>
          <w:u w:val="single"/>
          <w:lang w:val="en-US"/>
        </w:rPr>
        <w:t xml:space="preserve">poor language quality </w:t>
      </w:r>
      <w:r w:rsidR="008162B0" w:rsidRPr="00813D19">
        <w:rPr>
          <w:lang w:val="en-US"/>
        </w:rPr>
        <w:t xml:space="preserve">with many typographical errors and inconsistencies. Considering that </w:t>
      </w:r>
      <w:r w:rsidRPr="00813D19">
        <w:rPr>
          <w:lang w:val="en-US"/>
        </w:rPr>
        <w:t xml:space="preserve">this </w:t>
      </w:r>
      <w:r w:rsidR="008162B0" w:rsidRPr="00813D19">
        <w:rPr>
          <w:lang w:val="en-US"/>
        </w:rPr>
        <w:t>affect</w:t>
      </w:r>
      <w:r w:rsidRPr="00813D19">
        <w:rPr>
          <w:lang w:val="en-US"/>
        </w:rPr>
        <w:t>ed</w:t>
      </w:r>
      <w:r w:rsidR="008162B0" w:rsidRPr="00813D19">
        <w:rPr>
          <w:lang w:val="en-US"/>
        </w:rPr>
        <w:t xml:space="preserve"> the understanding of the element</w:t>
      </w:r>
      <w:r w:rsidR="00445AEA" w:rsidRPr="00813D19">
        <w:rPr>
          <w:lang w:val="en-US"/>
        </w:rPr>
        <w:t>,</w:t>
      </w:r>
      <w:r w:rsidR="008162B0" w:rsidRPr="00813D19">
        <w:rPr>
          <w:lang w:val="en-US"/>
        </w:rPr>
        <w:t xml:space="preserve"> and </w:t>
      </w:r>
      <w:r w:rsidR="00B55B1C" w:rsidRPr="00813D19">
        <w:rPr>
          <w:lang w:val="en-US"/>
        </w:rPr>
        <w:t xml:space="preserve">as </w:t>
      </w:r>
      <w:r w:rsidR="008162B0" w:rsidRPr="00813D19">
        <w:rPr>
          <w:lang w:val="en-US"/>
        </w:rPr>
        <w:t xml:space="preserve">nomination files are made public and serve to promote the Convention, it </w:t>
      </w:r>
      <w:r w:rsidR="00B55B1C" w:rsidRPr="00813D19">
        <w:rPr>
          <w:lang w:val="en-US"/>
        </w:rPr>
        <w:t xml:space="preserve">was </w:t>
      </w:r>
      <w:r w:rsidR="008162B0" w:rsidRPr="00813D19">
        <w:rPr>
          <w:lang w:val="en-US"/>
        </w:rPr>
        <w:t xml:space="preserve">important that States ensure clear and coherent written </w:t>
      </w:r>
      <w:r w:rsidR="00B55B1C" w:rsidRPr="00813D19">
        <w:rPr>
          <w:lang w:val="en-US"/>
        </w:rPr>
        <w:t xml:space="preserve">explanations </w:t>
      </w:r>
      <w:r w:rsidR="008162B0" w:rsidRPr="00813D19">
        <w:rPr>
          <w:lang w:val="en-US"/>
        </w:rPr>
        <w:t>in the files and pay particular attention to correct translation.</w:t>
      </w:r>
      <w:r w:rsidR="00FD5B63" w:rsidRPr="00813D19">
        <w:rPr>
          <w:lang w:val="en-US"/>
        </w:rPr>
        <w:t xml:space="preserve"> </w:t>
      </w:r>
      <w:r w:rsidR="008162B0" w:rsidRPr="00813D19">
        <w:rPr>
          <w:lang w:val="en-US"/>
        </w:rPr>
        <w:t xml:space="preserve">States </w:t>
      </w:r>
      <w:r w:rsidR="00B55B1C" w:rsidRPr="00813D19">
        <w:rPr>
          <w:lang w:val="en-US"/>
        </w:rPr>
        <w:t xml:space="preserve">were </w:t>
      </w:r>
      <w:r w:rsidR="008162B0" w:rsidRPr="00813D19">
        <w:rPr>
          <w:lang w:val="en-US"/>
        </w:rPr>
        <w:t>also reminded not to use expressions implying the immutability, excell</w:t>
      </w:r>
      <w:r w:rsidR="00B55B1C" w:rsidRPr="00813D19">
        <w:rPr>
          <w:lang w:val="en-US"/>
        </w:rPr>
        <w:t xml:space="preserve">ence or uniqueness of elements, such as </w:t>
      </w:r>
      <w:r w:rsidR="008162B0" w:rsidRPr="00813D19">
        <w:rPr>
          <w:lang w:val="en-US"/>
        </w:rPr>
        <w:t xml:space="preserve">‘authenticity’, ‘unique’, ‘original’ or ‘extraordinary’. Such expressions </w:t>
      </w:r>
      <w:r w:rsidR="00B55B1C" w:rsidRPr="00813D19">
        <w:rPr>
          <w:lang w:val="en-US"/>
        </w:rPr>
        <w:t>implied</w:t>
      </w:r>
      <w:r w:rsidR="008162B0" w:rsidRPr="00813D19">
        <w:rPr>
          <w:lang w:val="en-US"/>
        </w:rPr>
        <w:t xml:space="preserve"> </w:t>
      </w:r>
      <w:r w:rsidR="00236793">
        <w:rPr>
          <w:lang w:val="en-US"/>
        </w:rPr>
        <w:t xml:space="preserve">an </w:t>
      </w:r>
      <w:r w:rsidR="008162B0" w:rsidRPr="00813D19">
        <w:rPr>
          <w:lang w:val="en-US"/>
        </w:rPr>
        <w:t xml:space="preserve">externally imposed hierarchy of elements, </w:t>
      </w:r>
      <w:r w:rsidR="00C94A69" w:rsidRPr="00813D19">
        <w:rPr>
          <w:lang w:val="en-US"/>
        </w:rPr>
        <w:t>whereas</w:t>
      </w:r>
      <w:r w:rsidR="008162B0" w:rsidRPr="00813D19">
        <w:rPr>
          <w:lang w:val="en-US"/>
        </w:rPr>
        <w:t xml:space="preserve"> the Convention encourages </w:t>
      </w:r>
      <w:r w:rsidR="00B55B1C" w:rsidRPr="00813D19">
        <w:rPr>
          <w:lang w:val="en-US"/>
        </w:rPr>
        <w:t>equitable expressions</w:t>
      </w:r>
      <w:r w:rsidR="008162B0" w:rsidRPr="00813D19">
        <w:rPr>
          <w:lang w:val="en-US"/>
        </w:rPr>
        <w:t xml:space="preserve">. In several cases, States also proposed safeguarding measures aimed at protecting </w:t>
      </w:r>
      <w:r w:rsidR="00B55B1C" w:rsidRPr="00813D19">
        <w:rPr>
          <w:lang w:val="en-US"/>
        </w:rPr>
        <w:t xml:space="preserve">the </w:t>
      </w:r>
      <w:r w:rsidR="008162B0" w:rsidRPr="00813D19">
        <w:rPr>
          <w:lang w:val="en-US"/>
        </w:rPr>
        <w:t xml:space="preserve">authenticity of an element or </w:t>
      </w:r>
      <w:r w:rsidR="00B55B1C" w:rsidRPr="00813D19">
        <w:rPr>
          <w:lang w:val="en-US"/>
        </w:rPr>
        <w:t>to ensure</w:t>
      </w:r>
      <w:r w:rsidR="008162B0" w:rsidRPr="00813D19">
        <w:rPr>
          <w:lang w:val="en-US"/>
        </w:rPr>
        <w:t xml:space="preserve"> that the element </w:t>
      </w:r>
      <w:r w:rsidR="00B55B1C" w:rsidRPr="00813D19">
        <w:rPr>
          <w:lang w:val="en-US"/>
        </w:rPr>
        <w:t xml:space="preserve">is </w:t>
      </w:r>
      <w:r w:rsidR="008162B0" w:rsidRPr="00813D19">
        <w:rPr>
          <w:lang w:val="en-US"/>
        </w:rPr>
        <w:t xml:space="preserve">conserved and </w:t>
      </w:r>
      <w:r w:rsidR="00B55B1C" w:rsidRPr="00813D19">
        <w:rPr>
          <w:lang w:val="en-US"/>
        </w:rPr>
        <w:t>un</w:t>
      </w:r>
      <w:r w:rsidR="008162B0" w:rsidRPr="00813D19">
        <w:rPr>
          <w:lang w:val="en-US"/>
        </w:rPr>
        <w:t>change</w:t>
      </w:r>
      <w:r w:rsidR="00C94A69" w:rsidRPr="00813D19">
        <w:rPr>
          <w:lang w:val="en-US"/>
        </w:rPr>
        <w:t>d</w:t>
      </w:r>
      <w:r w:rsidR="008162B0" w:rsidRPr="00813D19">
        <w:rPr>
          <w:lang w:val="en-US"/>
        </w:rPr>
        <w:t xml:space="preserve"> in the future. Such </w:t>
      </w:r>
      <w:r w:rsidR="00B55B1C" w:rsidRPr="00813D19">
        <w:rPr>
          <w:lang w:val="en-US"/>
        </w:rPr>
        <w:t xml:space="preserve">an </w:t>
      </w:r>
      <w:r w:rsidR="008162B0" w:rsidRPr="00813D19">
        <w:rPr>
          <w:lang w:val="en-US"/>
        </w:rPr>
        <w:t xml:space="preserve">approach </w:t>
      </w:r>
      <w:r w:rsidR="00B55B1C" w:rsidRPr="00813D19">
        <w:rPr>
          <w:lang w:val="en-US"/>
        </w:rPr>
        <w:t xml:space="preserve">is considered </w:t>
      </w:r>
      <w:r w:rsidR="008162B0" w:rsidRPr="00813D19">
        <w:rPr>
          <w:lang w:val="en-US"/>
        </w:rPr>
        <w:t xml:space="preserve">contrary to the definition of intangible cultural heritage and </w:t>
      </w:r>
      <w:r w:rsidR="00B55B1C" w:rsidRPr="00813D19">
        <w:rPr>
          <w:lang w:val="en-US"/>
        </w:rPr>
        <w:t xml:space="preserve">the </w:t>
      </w:r>
      <w:r w:rsidR="008162B0" w:rsidRPr="00813D19">
        <w:rPr>
          <w:lang w:val="en-US"/>
        </w:rPr>
        <w:t xml:space="preserve">goals of the Convention, which emphasizes </w:t>
      </w:r>
      <w:r w:rsidR="00B55B1C" w:rsidRPr="00813D19">
        <w:rPr>
          <w:lang w:val="en-US"/>
        </w:rPr>
        <w:t xml:space="preserve">the </w:t>
      </w:r>
      <w:r w:rsidR="008162B0" w:rsidRPr="00813D19">
        <w:rPr>
          <w:lang w:val="en-US"/>
        </w:rPr>
        <w:t xml:space="preserve">living, dynamic and ever-changing nature of </w:t>
      </w:r>
      <w:r w:rsidR="00C94A69" w:rsidRPr="00813D19">
        <w:rPr>
          <w:lang w:val="en-US"/>
        </w:rPr>
        <w:t>intangible cultural heritage</w:t>
      </w:r>
      <w:r w:rsidR="008162B0" w:rsidRPr="00813D19">
        <w:rPr>
          <w:lang w:val="en-US"/>
        </w:rPr>
        <w:t xml:space="preserve">, reacting to the needs and preferences of the practitioners. The Evaluation Body </w:t>
      </w:r>
      <w:r w:rsidR="00236793">
        <w:rPr>
          <w:lang w:val="en-US"/>
        </w:rPr>
        <w:t xml:space="preserve">had </w:t>
      </w:r>
      <w:r w:rsidR="008162B0" w:rsidRPr="00813D19">
        <w:rPr>
          <w:lang w:val="en-US"/>
        </w:rPr>
        <w:t>encountered difficulties with nominations o</w:t>
      </w:r>
      <w:r w:rsidR="00235C9C" w:rsidRPr="00813D19">
        <w:rPr>
          <w:lang w:val="en-US"/>
        </w:rPr>
        <w:t>f generally well-known elements</w:t>
      </w:r>
      <w:r w:rsidR="008162B0" w:rsidRPr="00813D19">
        <w:rPr>
          <w:lang w:val="en-US"/>
        </w:rPr>
        <w:t xml:space="preserve"> referring to different concepts not known to the Body</w:t>
      </w:r>
      <w:r w:rsidR="00235C9C" w:rsidRPr="00813D19">
        <w:rPr>
          <w:lang w:val="en-US"/>
        </w:rPr>
        <w:t>’s</w:t>
      </w:r>
      <w:r w:rsidR="008162B0" w:rsidRPr="00813D19">
        <w:rPr>
          <w:lang w:val="en-US"/>
        </w:rPr>
        <w:t xml:space="preserve"> members, and which were not explained in the file. The description of an element should be written in such </w:t>
      </w:r>
      <w:r w:rsidR="006F1139" w:rsidRPr="00813D19">
        <w:rPr>
          <w:lang w:val="en-US"/>
        </w:rPr>
        <w:t xml:space="preserve">a </w:t>
      </w:r>
      <w:r w:rsidR="008162B0" w:rsidRPr="00813D19">
        <w:rPr>
          <w:lang w:val="en-US"/>
        </w:rPr>
        <w:t xml:space="preserve">way that even someone </w:t>
      </w:r>
      <w:r w:rsidR="00442972" w:rsidRPr="00813D19">
        <w:rPr>
          <w:lang w:val="en-US"/>
        </w:rPr>
        <w:t xml:space="preserve">with </w:t>
      </w:r>
      <w:r w:rsidR="008162B0" w:rsidRPr="00813D19">
        <w:rPr>
          <w:lang w:val="en-US"/>
        </w:rPr>
        <w:t>no prior knowledge of it would understand its nature.</w:t>
      </w:r>
      <w:r w:rsidR="00FD5B63" w:rsidRPr="00813D19">
        <w:rPr>
          <w:lang w:val="en-US"/>
        </w:rPr>
        <w:t xml:space="preserve"> </w:t>
      </w:r>
      <w:r w:rsidR="008162B0" w:rsidRPr="00813D19">
        <w:rPr>
          <w:lang w:val="en-US"/>
        </w:rPr>
        <w:t xml:space="preserve">Due to the word limit, States </w:t>
      </w:r>
      <w:r w:rsidR="00442972" w:rsidRPr="00813D19">
        <w:rPr>
          <w:lang w:val="en-US"/>
        </w:rPr>
        <w:t xml:space="preserve">also </w:t>
      </w:r>
      <w:r w:rsidR="008162B0" w:rsidRPr="00813D19">
        <w:rPr>
          <w:lang w:val="en-US"/>
        </w:rPr>
        <w:t>tend</w:t>
      </w:r>
      <w:r w:rsidR="00442972" w:rsidRPr="00813D19">
        <w:rPr>
          <w:lang w:val="en-US"/>
        </w:rPr>
        <w:t xml:space="preserve">ed to use acronyms, but they </w:t>
      </w:r>
      <w:r w:rsidR="008162B0" w:rsidRPr="00813D19">
        <w:rPr>
          <w:lang w:val="en-US"/>
        </w:rPr>
        <w:t xml:space="preserve">should first </w:t>
      </w:r>
      <w:r w:rsidR="00442972" w:rsidRPr="00813D19">
        <w:rPr>
          <w:lang w:val="en-US"/>
        </w:rPr>
        <w:t>be clarified</w:t>
      </w:r>
      <w:r w:rsidR="008162B0" w:rsidRPr="00813D19">
        <w:rPr>
          <w:lang w:val="en-US"/>
        </w:rPr>
        <w:t xml:space="preserve">. </w:t>
      </w:r>
      <w:r w:rsidR="00FD5B63" w:rsidRPr="00813D19">
        <w:rPr>
          <w:lang w:val="en-US"/>
        </w:rPr>
        <w:t xml:space="preserve">With regard to </w:t>
      </w:r>
      <w:r w:rsidR="006F1139" w:rsidRPr="00813D19">
        <w:rPr>
          <w:u w:val="single"/>
          <w:lang w:val="en-US"/>
        </w:rPr>
        <w:t>m</w:t>
      </w:r>
      <w:r w:rsidR="008162B0" w:rsidRPr="00813D19">
        <w:rPr>
          <w:u w:val="single"/>
          <w:lang w:val="en-US"/>
        </w:rPr>
        <w:t>ultinational files</w:t>
      </w:r>
      <w:r w:rsidR="00FD5B63" w:rsidRPr="00813D19">
        <w:rPr>
          <w:lang w:val="en-US"/>
        </w:rPr>
        <w:t>, t</w:t>
      </w:r>
      <w:r w:rsidR="008162B0" w:rsidRPr="00813D19">
        <w:rPr>
          <w:lang w:val="en-US"/>
        </w:rPr>
        <w:t xml:space="preserve">he Evaluation Body </w:t>
      </w:r>
      <w:r w:rsidR="00236793">
        <w:rPr>
          <w:lang w:val="en-US"/>
        </w:rPr>
        <w:t xml:space="preserve">had </w:t>
      </w:r>
      <w:r w:rsidR="008162B0" w:rsidRPr="00813D19">
        <w:rPr>
          <w:lang w:val="en-US"/>
        </w:rPr>
        <w:t>examine</w:t>
      </w:r>
      <w:r w:rsidR="00F27966" w:rsidRPr="00813D19">
        <w:rPr>
          <w:lang w:val="en-US"/>
        </w:rPr>
        <w:t>d</w:t>
      </w:r>
      <w:r w:rsidR="008162B0" w:rsidRPr="00813D19">
        <w:rPr>
          <w:lang w:val="en-US"/>
        </w:rPr>
        <w:t xml:space="preserve"> six multinational</w:t>
      </w:r>
      <w:r w:rsidR="00F27966" w:rsidRPr="00813D19">
        <w:rPr>
          <w:lang w:val="en-US"/>
        </w:rPr>
        <w:t xml:space="preserve"> nominations in the 2018 cycle, and it encouraged States Parties to do their utmost in considering the submission of multinational nominations in the future, given their </w:t>
      </w:r>
      <w:r w:rsidR="008162B0" w:rsidRPr="00813D19">
        <w:rPr>
          <w:lang w:val="en-US"/>
        </w:rPr>
        <w:t xml:space="preserve">largely untapped </w:t>
      </w:r>
      <w:r w:rsidR="00F27966" w:rsidRPr="00813D19">
        <w:rPr>
          <w:lang w:val="en-US"/>
        </w:rPr>
        <w:t>potential</w:t>
      </w:r>
      <w:r w:rsidR="008162B0" w:rsidRPr="00813D19">
        <w:rPr>
          <w:lang w:val="en-US"/>
        </w:rPr>
        <w:t xml:space="preserve">. </w:t>
      </w:r>
      <w:r w:rsidR="00F27966" w:rsidRPr="00813D19">
        <w:rPr>
          <w:lang w:val="en-US"/>
        </w:rPr>
        <w:t xml:space="preserve">The multinational </w:t>
      </w:r>
      <w:r w:rsidR="00C94A69" w:rsidRPr="00813D19">
        <w:rPr>
          <w:lang w:val="en-US"/>
        </w:rPr>
        <w:t xml:space="preserve">file </w:t>
      </w:r>
      <w:r w:rsidR="00F27966" w:rsidRPr="00813D19">
        <w:rPr>
          <w:lang w:val="en-US"/>
        </w:rPr>
        <w:t xml:space="preserve">that joined the element shared by North and South Korea the previous day was a good example of this. </w:t>
      </w:r>
      <w:r w:rsidR="008162B0" w:rsidRPr="00813D19">
        <w:rPr>
          <w:lang w:val="en-US"/>
        </w:rPr>
        <w:t>Preparing a joint</w:t>
      </w:r>
      <w:r w:rsidR="00F27966" w:rsidRPr="00813D19">
        <w:rPr>
          <w:lang w:val="en-US"/>
        </w:rPr>
        <w:t xml:space="preserve"> nomination always requires</w:t>
      </w:r>
      <w:r w:rsidR="008162B0" w:rsidRPr="00813D19">
        <w:rPr>
          <w:lang w:val="en-US"/>
        </w:rPr>
        <w:t xml:space="preserve"> a lot of coordination. Sometimes, these efforts are successful </w:t>
      </w:r>
      <w:r w:rsidR="00F27966" w:rsidRPr="00813D19">
        <w:rPr>
          <w:lang w:val="en-US"/>
        </w:rPr>
        <w:t>in demonstrating</w:t>
      </w:r>
      <w:r w:rsidR="008162B0" w:rsidRPr="00813D19">
        <w:rPr>
          <w:lang w:val="en-US"/>
        </w:rPr>
        <w:t xml:space="preserve"> the principles of international cooperation. </w:t>
      </w:r>
      <w:r w:rsidR="00F27966" w:rsidRPr="00813D19">
        <w:rPr>
          <w:lang w:val="en-US"/>
        </w:rPr>
        <w:t>Occasionally, however,</w:t>
      </w:r>
      <w:r w:rsidR="008162B0" w:rsidRPr="00813D19">
        <w:rPr>
          <w:lang w:val="en-US"/>
        </w:rPr>
        <w:t xml:space="preserve"> collaboration </w:t>
      </w:r>
      <w:r w:rsidR="00E0083E" w:rsidRPr="00813D19">
        <w:rPr>
          <w:lang w:val="en-US"/>
        </w:rPr>
        <w:t>seems</w:t>
      </w:r>
      <w:r w:rsidR="008162B0" w:rsidRPr="00813D19">
        <w:rPr>
          <w:lang w:val="en-US"/>
        </w:rPr>
        <w:t xml:space="preserve"> rather formal and does not reflect upstream joint efforts. </w:t>
      </w:r>
      <w:r w:rsidR="00F27966" w:rsidRPr="00813D19">
        <w:rPr>
          <w:lang w:val="en-US"/>
        </w:rPr>
        <w:t>In some cases, t</w:t>
      </w:r>
      <w:r w:rsidR="008162B0" w:rsidRPr="00813D19">
        <w:rPr>
          <w:lang w:val="en-US"/>
        </w:rPr>
        <w:t xml:space="preserve">he Body </w:t>
      </w:r>
      <w:r w:rsidR="00236793">
        <w:rPr>
          <w:lang w:val="en-US"/>
        </w:rPr>
        <w:t xml:space="preserve">had </w:t>
      </w:r>
      <w:r w:rsidR="00F27966" w:rsidRPr="00813D19">
        <w:rPr>
          <w:lang w:val="en-US"/>
        </w:rPr>
        <w:t>noted</w:t>
      </w:r>
      <w:r w:rsidR="008162B0" w:rsidRPr="00813D19">
        <w:rPr>
          <w:lang w:val="en-US"/>
        </w:rPr>
        <w:t xml:space="preserve"> that the amount and quality of information from each country in </w:t>
      </w:r>
      <w:r w:rsidR="00F27966" w:rsidRPr="00813D19">
        <w:rPr>
          <w:lang w:val="en-US"/>
        </w:rPr>
        <w:t xml:space="preserve">the </w:t>
      </w:r>
      <w:r w:rsidR="008162B0" w:rsidRPr="00813D19">
        <w:rPr>
          <w:lang w:val="en-US"/>
        </w:rPr>
        <w:t>multinational nomination process differ</w:t>
      </w:r>
      <w:r w:rsidR="00F27966" w:rsidRPr="00813D19">
        <w:rPr>
          <w:lang w:val="en-US"/>
        </w:rPr>
        <w:t>ed</w:t>
      </w:r>
      <w:r w:rsidR="00E0083E" w:rsidRPr="00813D19">
        <w:rPr>
          <w:lang w:val="en-US"/>
        </w:rPr>
        <w:t>,</w:t>
      </w:r>
      <w:r w:rsidR="008162B0" w:rsidRPr="00813D19">
        <w:rPr>
          <w:lang w:val="en-US"/>
        </w:rPr>
        <w:t xml:space="preserve"> </w:t>
      </w:r>
      <w:r w:rsidR="00F27966" w:rsidRPr="00813D19">
        <w:rPr>
          <w:lang w:val="en-US"/>
        </w:rPr>
        <w:t xml:space="preserve">such that </w:t>
      </w:r>
      <w:r w:rsidR="008162B0" w:rsidRPr="00813D19">
        <w:rPr>
          <w:lang w:val="en-US"/>
        </w:rPr>
        <w:t>one country’s contribution hinder</w:t>
      </w:r>
      <w:r w:rsidR="00E0083E" w:rsidRPr="00813D19">
        <w:rPr>
          <w:lang w:val="en-US"/>
        </w:rPr>
        <w:t>ed</w:t>
      </w:r>
      <w:r w:rsidR="008162B0" w:rsidRPr="00813D19">
        <w:rPr>
          <w:lang w:val="en-US"/>
        </w:rPr>
        <w:t xml:space="preserve"> the entire nomination and cause</w:t>
      </w:r>
      <w:r w:rsidR="00E0083E" w:rsidRPr="00813D19">
        <w:rPr>
          <w:lang w:val="en-US"/>
        </w:rPr>
        <w:t>d</w:t>
      </w:r>
      <w:r w:rsidR="008162B0" w:rsidRPr="00813D19">
        <w:rPr>
          <w:lang w:val="en-US"/>
        </w:rPr>
        <w:t xml:space="preserve"> disappointment among all the other countries and communities</w:t>
      </w:r>
      <w:r w:rsidR="00E0083E" w:rsidRPr="00813D19">
        <w:rPr>
          <w:lang w:val="en-US"/>
        </w:rPr>
        <w:t xml:space="preserve"> involved</w:t>
      </w:r>
      <w:r w:rsidR="008162B0" w:rsidRPr="00813D19">
        <w:rPr>
          <w:lang w:val="en-US"/>
        </w:rPr>
        <w:t>. States Parties should therefore strive to submit balanced files.</w:t>
      </w:r>
      <w:r w:rsidR="00FD5B63" w:rsidRPr="00813D19">
        <w:rPr>
          <w:lang w:val="en-US"/>
        </w:rPr>
        <w:t xml:space="preserve"> </w:t>
      </w:r>
      <w:r w:rsidR="008162B0" w:rsidRPr="00813D19">
        <w:rPr>
          <w:lang w:val="en-US"/>
        </w:rPr>
        <w:t>Nevertheless, the involvement of communities</w:t>
      </w:r>
      <w:r w:rsidR="006F1139" w:rsidRPr="00813D19">
        <w:rPr>
          <w:lang w:val="en-US"/>
        </w:rPr>
        <w:t>,</w:t>
      </w:r>
      <w:r w:rsidR="008162B0" w:rsidRPr="00813D19">
        <w:rPr>
          <w:lang w:val="en-US"/>
        </w:rPr>
        <w:t xml:space="preserve"> particularly in </w:t>
      </w:r>
      <w:r w:rsidR="00C94A69" w:rsidRPr="00813D19">
        <w:rPr>
          <w:lang w:val="en-US"/>
        </w:rPr>
        <w:t xml:space="preserve">the </w:t>
      </w:r>
      <w:r w:rsidR="008162B0" w:rsidRPr="00813D19">
        <w:rPr>
          <w:lang w:val="en-US"/>
        </w:rPr>
        <w:t>planning and implementation of the safeguarding measures</w:t>
      </w:r>
      <w:r w:rsidR="006F1139" w:rsidRPr="00813D19">
        <w:rPr>
          <w:lang w:val="en-US"/>
        </w:rPr>
        <w:t>,</w:t>
      </w:r>
      <w:r w:rsidR="008162B0" w:rsidRPr="00813D19">
        <w:rPr>
          <w:lang w:val="en-US"/>
        </w:rPr>
        <w:t xml:space="preserve"> must</w:t>
      </w:r>
      <w:r w:rsidR="00C94A69" w:rsidRPr="00813D19">
        <w:rPr>
          <w:lang w:val="en-US"/>
        </w:rPr>
        <w:t xml:space="preserve"> </w:t>
      </w:r>
      <w:r w:rsidR="008162B0" w:rsidRPr="00813D19">
        <w:rPr>
          <w:lang w:val="en-US"/>
        </w:rPr>
        <w:t>in these cases</w:t>
      </w:r>
      <w:r w:rsidR="00C94A69" w:rsidRPr="00813D19">
        <w:rPr>
          <w:lang w:val="en-US"/>
        </w:rPr>
        <w:t xml:space="preserve"> </w:t>
      </w:r>
      <w:r w:rsidR="00E0083E" w:rsidRPr="00813D19">
        <w:rPr>
          <w:lang w:val="en-US"/>
        </w:rPr>
        <w:t xml:space="preserve">be </w:t>
      </w:r>
      <w:r w:rsidR="008162B0" w:rsidRPr="00813D19">
        <w:rPr>
          <w:lang w:val="en-US"/>
        </w:rPr>
        <w:t xml:space="preserve">treated with </w:t>
      </w:r>
      <w:r w:rsidR="00E0083E" w:rsidRPr="00813D19">
        <w:rPr>
          <w:lang w:val="en-US"/>
        </w:rPr>
        <w:t xml:space="preserve">even </w:t>
      </w:r>
      <w:r w:rsidR="00E41386">
        <w:rPr>
          <w:lang w:val="en-US"/>
        </w:rPr>
        <w:t>greater care and attention.</w:t>
      </w:r>
    </w:p>
    <w:p w14:paraId="500F9D0D" w14:textId="6E108CCE" w:rsidR="00331FB4" w:rsidRPr="00813D19" w:rsidRDefault="00E0083E" w:rsidP="00331FB4">
      <w:pPr>
        <w:pStyle w:val="Orateurengris"/>
        <w:spacing w:before="120"/>
        <w:ind w:left="709" w:hanging="709"/>
        <w:rPr>
          <w:lang w:val="en-US"/>
        </w:rPr>
      </w:pPr>
      <w:r w:rsidRPr="00813D19">
        <w:rPr>
          <w:lang w:val="en-US"/>
        </w:rPr>
        <w:t xml:space="preserve">The </w:t>
      </w:r>
      <w:r w:rsidRPr="00813D19">
        <w:rPr>
          <w:b/>
          <w:lang w:val="en-US"/>
        </w:rPr>
        <w:t>Rapporteur</w:t>
      </w:r>
      <w:r w:rsidRPr="00813D19">
        <w:rPr>
          <w:lang w:val="en-US"/>
        </w:rPr>
        <w:t xml:space="preserve"> then turned to the </w:t>
      </w:r>
      <w:r w:rsidR="006F1139" w:rsidRPr="00813D19">
        <w:rPr>
          <w:u w:val="single"/>
          <w:lang w:val="en-US"/>
        </w:rPr>
        <w:t>t</w:t>
      </w:r>
      <w:r w:rsidR="008162B0" w:rsidRPr="00813D19">
        <w:rPr>
          <w:u w:val="single"/>
          <w:lang w:val="en-US"/>
        </w:rPr>
        <w:t>hematic issues</w:t>
      </w:r>
      <w:r w:rsidRPr="00813D19">
        <w:rPr>
          <w:lang w:val="en-US"/>
        </w:rPr>
        <w:t xml:space="preserve"> </w:t>
      </w:r>
      <w:r w:rsidR="008162B0" w:rsidRPr="00813D19">
        <w:rPr>
          <w:lang w:val="en-US"/>
        </w:rPr>
        <w:t xml:space="preserve">debated </w:t>
      </w:r>
      <w:r w:rsidR="00C94A69" w:rsidRPr="00813D19">
        <w:rPr>
          <w:lang w:val="en-US"/>
        </w:rPr>
        <w:t>by</w:t>
      </w:r>
      <w:r w:rsidRPr="00813D19">
        <w:rPr>
          <w:lang w:val="en-US"/>
        </w:rPr>
        <w:t xml:space="preserve"> the Evaluation Body</w:t>
      </w:r>
      <w:r w:rsidR="008162B0" w:rsidRPr="00813D19">
        <w:rPr>
          <w:lang w:val="en-US"/>
        </w:rPr>
        <w:t>.</w:t>
      </w:r>
      <w:r w:rsidR="00FD5B63" w:rsidRPr="00813D19">
        <w:rPr>
          <w:lang w:val="en-US"/>
        </w:rPr>
        <w:t xml:space="preserve"> T</w:t>
      </w:r>
      <w:r w:rsidR="008162B0" w:rsidRPr="00813D19">
        <w:rPr>
          <w:lang w:val="en-US"/>
        </w:rPr>
        <w:t>he Body noticed an increasing number of nominations related to sports</w:t>
      </w:r>
      <w:r w:rsidR="006F1139" w:rsidRPr="00813D19">
        <w:rPr>
          <w:lang w:val="en-US"/>
        </w:rPr>
        <w:t>,</w:t>
      </w:r>
      <w:r w:rsidR="008162B0" w:rsidRPr="00813D19">
        <w:rPr>
          <w:lang w:val="en-US"/>
        </w:rPr>
        <w:t xml:space="preserve"> </w:t>
      </w:r>
      <w:r w:rsidR="00AA23B1" w:rsidRPr="00813D19">
        <w:rPr>
          <w:lang w:val="en-US"/>
        </w:rPr>
        <w:t>discussing</w:t>
      </w:r>
      <w:r w:rsidR="008162B0" w:rsidRPr="00813D19">
        <w:rPr>
          <w:lang w:val="en-US"/>
        </w:rPr>
        <w:t xml:space="preserve"> the boundary between traditional sports and games and</w:t>
      </w:r>
      <w:r w:rsidR="00AA23B1" w:rsidRPr="00813D19">
        <w:rPr>
          <w:lang w:val="en-US"/>
        </w:rPr>
        <w:t xml:space="preserve"> their professional forms. The B</w:t>
      </w:r>
      <w:r w:rsidR="008162B0" w:rsidRPr="00813D19">
        <w:rPr>
          <w:lang w:val="en-US"/>
        </w:rPr>
        <w:t xml:space="preserve">ody was particularly concerned when a State focused on </w:t>
      </w:r>
      <w:r w:rsidR="00AA23B1" w:rsidRPr="00813D19">
        <w:rPr>
          <w:lang w:val="en-US"/>
        </w:rPr>
        <w:t xml:space="preserve">the </w:t>
      </w:r>
      <w:r w:rsidR="008162B0" w:rsidRPr="00813D19">
        <w:rPr>
          <w:lang w:val="en-US"/>
        </w:rPr>
        <w:t xml:space="preserve">rules and system of organization instead of their value as cultural practices and on the community roles. As community-based practices with a clear cultural meaning, traditional sports and games can be considered as expressions of intangible cultural heritage. However, when they become strongly professionalized, it can undermine their status as </w:t>
      </w:r>
      <w:r w:rsidR="00C94A69" w:rsidRPr="00813D19">
        <w:rPr>
          <w:lang w:val="en-US"/>
        </w:rPr>
        <w:t>intangible cultural heritage</w:t>
      </w:r>
      <w:r w:rsidR="008162B0" w:rsidRPr="00813D19">
        <w:rPr>
          <w:lang w:val="en-US"/>
        </w:rPr>
        <w:t>.</w:t>
      </w:r>
      <w:r w:rsidR="00FD5B63" w:rsidRPr="00813D19">
        <w:rPr>
          <w:lang w:val="en-US"/>
        </w:rPr>
        <w:t xml:space="preserve"> </w:t>
      </w:r>
      <w:r w:rsidR="008162B0" w:rsidRPr="00813D19">
        <w:rPr>
          <w:lang w:val="en-US"/>
        </w:rPr>
        <w:t xml:space="preserve">The Body was pleased to see that States </w:t>
      </w:r>
      <w:r w:rsidR="00FD0AA1">
        <w:rPr>
          <w:lang w:val="en-US"/>
        </w:rPr>
        <w:t>were</w:t>
      </w:r>
      <w:r w:rsidR="00FD0AA1" w:rsidRPr="00813D19">
        <w:rPr>
          <w:lang w:val="en-US"/>
        </w:rPr>
        <w:t xml:space="preserve"> </w:t>
      </w:r>
      <w:r w:rsidR="008162B0" w:rsidRPr="00813D19">
        <w:rPr>
          <w:lang w:val="en-US"/>
        </w:rPr>
        <w:t xml:space="preserve">aware of </w:t>
      </w:r>
      <w:r w:rsidR="00AA23B1" w:rsidRPr="00813D19">
        <w:rPr>
          <w:lang w:val="en-US"/>
        </w:rPr>
        <w:t xml:space="preserve">the </w:t>
      </w:r>
      <w:r w:rsidR="008162B0" w:rsidRPr="00813D19">
        <w:rPr>
          <w:lang w:val="en-US"/>
        </w:rPr>
        <w:t>close linkages between intangible heritage and its tangible environment</w:t>
      </w:r>
      <w:r w:rsidR="00AA23B1" w:rsidRPr="00813D19">
        <w:rPr>
          <w:lang w:val="en-US"/>
        </w:rPr>
        <w:t>,</w:t>
      </w:r>
      <w:r w:rsidR="008162B0" w:rsidRPr="00813D19">
        <w:rPr>
          <w:lang w:val="en-US"/>
        </w:rPr>
        <w:t xml:space="preserve"> </w:t>
      </w:r>
      <w:r w:rsidR="00AA23B1" w:rsidRPr="00813D19">
        <w:rPr>
          <w:lang w:val="en-US"/>
        </w:rPr>
        <w:t>deciding</w:t>
      </w:r>
      <w:r w:rsidR="008162B0" w:rsidRPr="00813D19">
        <w:rPr>
          <w:lang w:val="en-US"/>
        </w:rPr>
        <w:t xml:space="preserve"> to safeguard living traditions </w:t>
      </w:r>
      <w:r w:rsidR="00AA23B1" w:rsidRPr="00813D19">
        <w:rPr>
          <w:lang w:val="en-US"/>
        </w:rPr>
        <w:t>in complement</w:t>
      </w:r>
      <w:r w:rsidR="008162B0" w:rsidRPr="00813D19">
        <w:rPr>
          <w:lang w:val="en-US"/>
        </w:rPr>
        <w:t xml:space="preserve"> with the protection of </w:t>
      </w:r>
      <w:r w:rsidR="00AA23B1" w:rsidRPr="00813D19">
        <w:rPr>
          <w:lang w:val="en-US"/>
        </w:rPr>
        <w:t>associated World Heritage s</w:t>
      </w:r>
      <w:r w:rsidR="008162B0" w:rsidRPr="00813D19">
        <w:rPr>
          <w:lang w:val="en-US"/>
        </w:rPr>
        <w:t xml:space="preserve">ites. Unfortunately, in some cases, the safeguarding plans prioritized </w:t>
      </w:r>
      <w:r w:rsidR="00AA23B1" w:rsidRPr="00813D19">
        <w:rPr>
          <w:lang w:val="en-US"/>
        </w:rPr>
        <w:t xml:space="preserve">the </w:t>
      </w:r>
      <w:r w:rsidR="008162B0" w:rsidRPr="00813D19">
        <w:rPr>
          <w:lang w:val="en-US"/>
        </w:rPr>
        <w:t xml:space="preserve">protection of </w:t>
      </w:r>
      <w:r w:rsidR="008162B0" w:rsidRPr="00813D19">
        <w:rPr>
          <w:i/>
          <w:lang w:val="en-US"/>
        </w:rPr>
        <w:t>tangible</w:t>
      </w:r>
      <w:r w:rsidR="008162B0" w:rsidRPr="00813D19">
        <w:rPr>
          <w:lang w:val="en-US"/>
        </w:rPr>
        <w:t xml:space="preserve"> before </w:t>
      </w:r>
      <w:r w:rsidR="008162B0" w:rsidRPr="00813D19">
        <w:rPr>
          <w:i/>
          <w:lang w:val="en-US"/>
        </w:rPr>
        <w:t>intangible</w:t>
      </w:r>
      <w:r w:rsidR="00AA23B1" w:rsidRPr="00813D19">
        <w:rPr>
          <w:lang w:val="en-US"/>
        </w:rPr>
        <w:t xml:space="preserve"> heritage</w:t>
      </w:r>
      <w:r w:rsidR="008162B0" w:rsidRPr="00813D19">
        <w:rPr>
          <w:lang w:val="en-US"/>
        </w:rPr>
        <w:t xml:space="preserve">, </w:t>
      </w:r>
      <w:r w:rsidR="00AA23B1" w:rsidRPr="00813D19">
        <w:rPr>
          <w:lang w:val="en-US"/>
        </w:rPr>
        <w:t>while not considering</w:t>
      </w:r>
      <w:r w:rsidR="008162B0" w:rsidRPr="00813D19">
        <w:rPr>
          <w:lang w:val="en-US"/>
        </w:rPr>
        <w:t xml:space="preserve"> that the 2003 Convention applies a different approach and criteria.</w:t>
      </w:r>
      <w:r w:rsidR="00FD5B63" w:rsidRPr="00813D19">
        <w:rPr>
          <w:lang w:val="en-US"/>
        </w:rPr>
        <w:t xml:space="preserve"> </w:t>
      </w:r>
      <w:r w:rsidR="008162B0" w:rsidRPr="00813D19">
        <w:rPr>
          <w:lang w:val="en-US"/>
        </w:rPr>
        <w:t xml:space="preserve">During the evaluation process, several serious issues linked to the commercialization of intangible cultural heritage </w:t>
      </w:r>
      <w:r w:rsidR="00FD0AA1">
        <w:rPr>
          <w:lang w:val="en-US"/>
        </w:rPr>
        <w:t>had arisen</w:t>
      </w:r>
      <w:r w:rsidR="008162B0" w:rsidRPr="00813D19">
        <w:rPr>
          <w:lang w:val="en-US"/>
        </w:rPr>
        <w:t>, mostly in relation to its promotion.</w:t>
      </w:r>
      <w:r w:rsidR="00FD5B63" w:rsidRPr="00813D19">
        <w:rPr>
          <w:lang w:val="en-US"/>
        </w:rPr>
        <w:t xml:space="preserve"> </w:t>
      </w:r>
      <w:r w:rsidR="008162B0" w:rsidRPr="00813D19">
        <w:rPr>
          <w:lang w:val="en-US"/>
        </w:rPr>
        <w:t xml:space="preserve">The Body expressed concerns when tourism </w:t>
      </w:r>
      <w:r w:rsidR="00AA23B1" w:rsidRPr="00813D19">
        <w:rPr>
          <w:lang w:val="en-US"/>
        </w:rPr>
        <w:t xml:space="preserve">promotion </w:t>
      </w:r>
      <w:r w:rsidR="008162B0" w:rsidRPr="00813D19">
        <w:rPr>
          <w:lang w:val="en-US"/>
        </w:rPr>
        <w:t xml:space="preserve">and commercialization were considered as key </w:t>
      </w:r>
      <w:r w:rsidR="00AA23B1" w:rsidRPr="00813D19">
        <w:rPr>
          <w:lang w:val="en-US"/>
        </w:rPr>
        <w:t xml:space="preserve">safeguarding </w:t>
      </w:r>
      <w:r w:rsidR="008162B0" w:rsidRPr="00813D19">
        <w:rPr>
          <w:lang w:val="en-US"/>
        </w:rPr>
        <w:t xml:space="preserve">objectives. Although sustainable tourism can be an important source of income for custodians, viewing the inscription of an element as a tool for attracting more tourists or creating a leisure park demonstrates a lack of understanding of the principles of the Convention and the objective of its Lists. If negative impacts following an inscription are foreseen, a monitoring mechanism should be designed that </w:t>
      </w:r>
      <w:r w:rsidR="00FD0AA1">
        <w:rPr>
          <w:lang w:val="en-US"/>
        </w:rPr>
        <w:t xml:space="preserve">would </w:t>
      </w:r>
      <w:r w:rsidR="008162B0" w:rsidRPr="00813D19">
        <w:rPr>
          <w:lang w:val="en-US"/>
        </w:rPr>
        <w:t>allow the community to take appropriate measures when excessive numbers of tourists start</w:t>
      </w:r>
      <w:r w:rsidR="00FD0AA1">
        <w:rPr>
          <w:lang w:val="en-US"/>
        </w:rPr>
        <w:t>ed</w:t>
      </w:r>
      <w:r w:rsidR="008162B0" w:rsidRPr="00813D19">
        <w:rPr>
          <w:lang w:val="en-US"/>
        </w:rPr>
        <w:t xml:space="preserve"> negatively influencing the practice. It </w:t>
      </w:r>
      <w:r w:rsidR="00AA23B1" w:rsidRPr="00813D19">
        <w:rPr>
          <w:lang w:val="en-US"/>
        </w:rPr>
        <w:t>was encouraging</w:t>
      </w:r>
      <w:r w:rsidR="008162B0" w:rsidRPr="00813D19">
        <w:rPr>
          <w:lang w:val="en-US"/>
        </w:rPr>
        <w:t xml:space="preserve"> that several nominations included </w:t>
      </w:r>
      <w:r w:rsidR="00AA23B1" w:rsidRPr="00813D19">
        <w:rPr>
          <w:lang w:val="en-US"/>
        </w:rPr>
        <w:t xml:space="preserve">such </w:t>
      </w:r>
      <w:r w:rsidR="008162B0" w:rsidRPr="00813D19">
        <w:rPr>
          <w:lang w:val="en-US"/>
        </w:rPr>
        <w:t>monitoring mechanisms.</w:t>
      </w:r>
      <w:r w:rsidR="00AA23B1" w:rsidRPr="00813D19">
        <w:rPr>
          <w:lang w:val="en-US"/>
        </w:rPr>
        <w:t xml:space="preserve"> </w:t>
      </w:r>
      <w:r w:rsidR="008162B0" w:rsidRPr="00813D19">
        <w:rPr>
          <w:lang w:val="en-US"/>
        </w:rPr>
        <w:t>Some elements, particularly associated with traditional crafts, c</w:t>
      </w:r>
      <w:r w:rsidR="00FD0AA1">
        <w:rPr>
          <w:lang w:val="en-US"/>
        </w:rPr>
        <w:t>ould</w:t>
      </w:r>
      <w:r w:rsidR="008162B0" w:rsidRPr="00813D19">
        <w:rPr>
          <w:lang w:val="en-US"/>
        </w:rPr>
        <w:t xml:space="preserve"> have a strong commercial aspect, which is generally </w:t>
      </w:r>
      <w:r w:rsidR="00C21C1E" w:rsidRPr="00813D19">
        <w:rPr>
          <w:lang w:val="en-US"/>
        </w:rPr>
        <w:t xml:space="preserve">neither </w:t>
      </w:r>
      <w:r w:rsidR="008162B0" w:rsidRPr="00813D19">
        <w:rPr>
          <w:lang w:val="en-US"/>
        </w:rPr>
        <w:t xml:space="preserve">unusual </w:t>
      </w:r>
      <w:r w:rsidR="00C21C1E" w:rsidRPr="00813D19">
        <w:rPr>
          <w:lang w:val="en-US"/>
        </w:rPr>
        <w:t>n</w:t>
      </w:r>
      <w:r w:rsidR="00C94A69" w:rsidRPr="00813D19">
        <w:rPr>
          <w:lang w:val="en-US"/>
        </w:rPr>
        <w:t>or undesirable</w:t>
      </w:r>
      <w:r w:rsidR="008162B0" w:rsidRPr="00813D19">
        <w:rPr>
          <w:lang w:val="en-US"/>
        </w:rPr>
        <w:t xml:space="preserve"> when commercialization provides practitioners with a permanent source of income and thus sustainability. However, nominations should not concentrate primarily on the commercial aspects, particularly in </w:t>
      </w:r>
      <w:r w:rsidR="00C21C1E" w:rsidRPr="00813D19">
        <w:rPr>
          <w:lang w:val="en-US"/>
        </w:rPr>
        <w:t>terms of safeguarding measures, but rather</w:t>
      </w:r>
      <w:r w:rsidR="008162B0" w:rsidRPr="00813D19">
        <w:rPr>
          <w:lang w:val="en-US"/>
        </w:rPr>
        <w:t xml:space="preserve"> highlight their social and cultural roles and features. The inscription should also not be seen as an excellence label granted by </w:t>
      </w:r>
      <w:r w:rsidR="00C21C1E" w:rsidRPr="00813D19">
        <w:rPr>
          <w:lang w:val="en-US"/>
        </w:rPr>
        <w:t>UNESCO</w:t>
      </w:r>
      <w:r w:rsidR="008162B0" w:rsidRPr="00813D19">
        <w:rPr>
          <w:lang w:val="en-US"/>
        </w:rPr>
        <w:t xml:space="preserve"> </w:t>
      </w:r>
      <w:r w:rsidR="00C21C1E" w:rsidRPr="00813D19">
        <w:rPr>
          <w:lang w:val="en-US"/>
        </w:rPr>
        <w:t xml:space="preserve">to </w:t>
      </w:r>
      <w:r w:rsidR="0028045C" w:rsidRPr="00813D19">
        <w:rPr>
          <w:lang w:val="en-US"/>
        </w:rPr>
        <w:t>help promote the products.</w:t>
      </w:r>
      <w:r w:rsidR="00331FB4" w:rsidRPr="00813D19">
        <w:rPr>
          <w:lang w:val="en-US"/>
        </w:rPr>
        <w:t xml:space="preserve"> </w:t>
      </w:r>
      <w:r w:rsidR="00C21C1E" w:rsidRPr="00813D19">
        <w:rPr>
          <w:lang w:val="en-US"/>
        </w:rPr>
        <w:t>I</w:t>
      </w:r>
      <w:r w:rsidR="008162B0" w:rsidRPr="00813D19">
        <w:rPr>
          <w:lang w:val="en-US"/>
        </w:rPr>
        <w:t xml:space="preserve">n several cases, the purposes of the Convention seemed to be confused with other </w:t>
      </w:r>
      <w:r w:rsidR="00C21C1E" w:rsidRPr="00813D19">
        <w:rPr>
          <w:lang w:val="en-US"/>
        </w:rPr>
        <w:t xml:space="preserve">UNESCO </w:t>
      </w:r>
      <w:r w:rsidR="008162B0" w:rsidRPr="00813D19">
        <w:rPr>
          <w:lang w:val="en-US"/>
        </w:rPr>
        <w:t xml:space="preserve">standard-setting instruments in </w:t>
      </w:r>
      <w:r w:rsidR="00331FB4" w:rsidRPr="00813D19">
        <w:rPr>
          <w:lang w:val="en-US"/>
        </w:rPr>
        <w:t xml:space="preserve">the </w:t>
      </w:r>
      <w:r w:rsidR="008162B0" w:rsidRPr="00813D19">
        <w:rPr>
          <w:lang w:val="en-US"/>
        </w:rPr>
        <w:t xml:space="preserve">field of culture, particularly in terms of </w:t>
      </w:r>
      <w:r w:rsidR="00C94A69" w:rsidRPr="00813D19">
        <w:rPr>
          <w:lang w:val="en-US"/>
        </w:rPr>
        <w:t xml:space="preserve">the </w:t>
      </w:r>
      <w:r w:rsidR="008162B0" w:rsidRPr="00813D19">
        <w:rPr>
          <w:lang w:val="en-US"/>
        </w:rPr>
        <w:t>economic significance of nominated elements.</w:t>
      </w:r>
    </w:p>
    <w:p w14:paraId="09D5975F" w14:textId="065DFDD7" w:rsidR="005A1FC1" w:rsidRPr="00813D19" w:rsidRDefault="00C21C1E" w:rsidP="000C010B">
      <w:pPr>
        <w:pStyle w:val="Orateurengris"/>
        <w:spacing w:before="120"/>
        <w:ind w:left="709" w:hanging="709"/>
        <w:rPr>
          <w:lang w:val="en-US"/>
        </w:rPr>
      </w:pPr>
      <w:r w:rsidRPr="00813D19">
        <w:rPr>
          <w:lang w:val="en-US"/>
        </w:rPr>
        <w:t xml:space="preserve">The </w:t>
      </w:r>
      <w:r w:rsidRPr="00813D19">
        <w:rPr>
          <w:b/>
          <w:lang w:val="en-US"/>
        </w:rPr>
        <w:t>Rapporteur</w:t>
      </w:r>
      <w:r w:rsidRPr="00813D19">
        <w:rPr>
          <w:lang w:val="en-US"/>
        </w:rPr>
        <w:t xml:space="preserve"> then turned to </w:t>
      </w:r>
      <w:r w:rsidR="00331FB4" w:rsidRPr="00813D19">
        <w:rPr>
          <w:u w:val="single"/>
          <w:lang w:val="en-US"/>
        </w:rPr>
        <w:t>c</w:t>
      </w:r>
      <w:r w:rsidR="008162B0" w:rsidRPr="00813D19">
        <w:rPr>
          <w:u w:val="single"/>
          <w:lang w:val="en-US"/>
        </w:rPr>
        <w:t>ommunity involvement and consent</w:t>
      </w:r>
      <w:r w:rsidRPr="003221D5">
        <w:rPr>
          <w:lang w:val="en-US"/>
        </w:rPr>
        <w:t>;</w:t>
      </w:r>
      <w:r w:rsidR="00331FB4" w:rsidRPr="00813D19">
        <w:rPr>
          <w:lang w:val="en-US"/>
        </w:rPr>
        <w:t xml:space="preserve"> a</w:t>
      </w:r>
      <w:r w:rsidR="008162B0" w:rsidRPr="00813D19">
        <w:rPr>
          <w:lang w:val="en-US"/>
        </w:rPr>
        <w:t xml:space="preserve">nother major and recurrent issue. First and foremost, </w:t>
      </w:r>
      <w:r w:rsidRPr="00813D19">
        <w:rPr>
          <w:lang w:val="en-US"/>
        </w:rPr>
        <w:t xml:space="preserve">the </w:t>
      </w:r>
      <w:r w:rsidR="008162B0" w:rsidRPr="00813D19">
        <w:rPr>
          <w:lang w:val="en-US"/>
        </w:rPr>
        <w:t xml:space="preserve">communities and practitioners identified in each section of the nomination file should be coherent, </w:t>
      </w:r>
      <w:r w:rsidRPr="00813D19">
        <w:rPr>
          <w:lang w:val="en-US"/>
        </w:rPr>
        <w:t xml:space="preserve">i.e. </w:t>
      </w:r>
      <w:r w:rsidR="008162B0" w:rsidRPr="00813D19">
        <w:rPr>
          <w:lang w:val="en-US"/>
        </w:rPr>
        <w:t xml:space="preserve">the communities identified in </w:t>
      </w:r>
      <w:r w:rsidR="00FD0AA1">
        <w:rPr>
          <w:lang w:val="en-US"/>
        </w:rPr>
        <w:t>S</w:t>
      </w:r>
      <w:r w:rsidR="008162B0" w:rsidRPr="00813D19">
        <w:rPr>
          <w:lang w:val="en-US"/>
        </w:rPr>
        <w:t xml:space="preserve">ection C should also be those involved in safeguarding and expressing consent. States Parties should also bear in mind that criteria U.3/R.3 and U.4/R.4 both </w:t>
      </w:r>
      <w:r w:rsidRPr="00813D19">
        <w:rPr>
          <w:lang w:val="en-US"/>
        </w:rPr>
        <w:t xml:space="preserve">require </w:t>
      </w:r>
      <w:r w:rsidR="008162B0" w:rsidRPr="00813D19">
        <w:rPr>
          <w:lang w:val="en-US"/>
        </w:rPr>
        <w:t>detailed description</w:t>
      </w:r>
      <w:r w:rsidRPr="00813D19">
        <w:rPr>
          <w:lang w:val="en-US"/>
        </w:rPr>
        <w:t>s</w:t>
      </w:r>
      <w:r w:rsidR="008162B0" w:rsidRPr="00813D19">
        <w:rPr>
          <w:lang w:val="en-US"/>
        </w:rPr>
        <w:t xml:space="preserve"> of community participation</w:t>
      </w:r>
      <w:r w:rsidR="00FD0AA1">
        <w:rPr>
          <w:lang w:val="en-US"/>
        </w:rPr>
        <w:t>;</w:t>
      </w:r>
      <w:r w:rsidR="008162B0" w:rsidRPr="00813D19">
        <w:rPr>
          <w:lang w:val="en-US"/>
        </w:rPr>
        <w:t xml:space="preserve"> however, </w:t>
      </w:r>
      <w:r w:rsidRPr="00813D19">
        <w:rPr>
          <w:lang w:val="en-US"/>
        </w:rPr>
        <w:t xml:space="preserve">they are </w:t>
      </w:r>
      <w:r w:rsidR="008162B0" w:rsidRPr="00813D19">
        <w:rPr>
          <w:lang w:val="en-US"/>
        </w:rPr>
        <w:t xml:space="preserve">different </w:t>
      </w:r>
      <w:r w:rsidRPr="00813D19">
        <w:rPr>
          <w:lang w:val="en-US"/>
        </w:rPr>
        <w:t xml:space="preserve">in </w:t>
      </w:r>
      <w:r w:rsidR="008162B0" w:rsidRPr="00813D19">
        <w:rPr>
          <w:lang w:val="en-US"/>
        </w:rPr>
        <w:t xml:space="preserve">context and </w:t>
      </w:r>
      <w:r w:rsidRPr="00813D19">
        <w:rPr>
          <w:lang w:val="en-US"/>
        </w:rPr>
        <w:t xml:space="preserve">perspective, though </w:t>
      </w:r>
      <w:r w:rsidR="008162B0" w:rsidRPr="00813D19">
        <w:rPr>
          <w:lang w:val="en-US"/>
        </w:rPr>
        <w:t>both equally important</w:t>
      </w:r>
      <w:r w:rsidR="00331FB4" w:rsidRPr="00813D19">
        <w:rPr>
          <w:lang w:val="en-US"/>
        </w:rPr>
        <w:t xml:space="preserve">. As </w:t>
      </w:r>
      <w:r w:rsidR="008162B0" w:rsidRPr="00813D19">
        <w:rPr>
          <w:lang w:val="en-US"/>
        </w:rPr>
        <w:t>far as criterion U.3/R.3</w:t>
      </w:r>
      <w:r w:rsidR="00FD0AA1">
        <w:rPr>
          <w:lang w:val="en-US"/>
        </w:rPr>
        <w:t xml:space="preserve"> is concerned</w:t>
      </w:r>
      <w:r w:rsidR="008162B0" w:rsidRPr="00813D19">
        <w:rPr>
          <w:lang w:val="en-US"/>
        </w:rPr>
        <w:t>, the communities and practitioners are expected to be the driving forces of safeguarding measures, not mere beneficiaries of top-down safeguarding.</w:t>
      </w:r>
      <w:r w:rsidR="00331FB4" w:rsidRPr="00813D19">
        <w:rPr>
          <w:lang w:val="en-US"/>
        </w:rPr>
        <w:t xml:space="preserve"> </w:t>
      </w:r>
      <w:r w:rsidR="008162B0" w:rsidRPr="00813D19">
        <w:rPr>
          <w:lang w:val="en-US"/>
        </w:rPr>
        <w:t xml:space="preserve">The Body often encountered situations in which community participation under criterion U.4/R.4 was declared but not demonstrated in the file. Despite long lists of workshops and meetings between stakeholders, the Body was </w:t>
      </w:r>
      <w:r w:rsidRPr="00813D19">
        <w:rPr>
          <w:lang w:val="en-US"/>
        </w:rPr>
        <w:t>un</w:t>
      </w:r>
      <w:r w:rsidR="008162B0" w:rsidRPr="00813D19">
        <w:rPr>
          <w:lang w:val="en-US"/>
        </w:rPr>
        <w:t xml:space="preserve">able to identify the nature of these meetings and </w:t>
      </w:r>
      <w:r w:rsidRPr="00813D19">
        <w:rPr>
          <w:lang w:val="en-US"/>
        </w:rPr>
        <w:t xml:space="preserve">the </w:t>
      </w:r>
      <w:r w:rsidR="008162B0" w:rsidRPr="00813D19">
        <w:rPr>
          <w:lang w:val="en-US"/>
        </w:rPr>
        <w:t xml:space="preserve">kinds of roles the practitioners actually played in the nomination process. This raised doubts </w:t>
      </w:r>
      <w:r w:rsidR="00FD0AA1">
        <w:rPr>
          <w:lang w:val="en-US"/>
        </w:rPr>
        <w:t>as to</w:t>
      </w:r>
      <w:r w:rsidR="008162B0" w:rsidRPr="00813D19">
        <w:rPr>
          <w:lang w:val="en-US"/>
        </w:rPr>
        <w:t xml:space="preserve"> the level of awareness among the communities </w:t>
      </w:r>
      <w:r w:rsidR="00FD0AA1">
        <w:rPr>
          <w:lang w:val="en-US"/>
        </w:rPr>
        <w:t>about</w:t>
      </w:r>
      <w:r w:rsidR="00FD0AA1" w:rsidRPr="00813D19">
        <w:rPr>
          <w:lang w:val="en-US"/>
        </w:rPr>
        <w:t xml:space="preserve"> </w:t>
      </w:r>
      <w:r w:rsidR="008162B0" w:rsidRPr="00813D19">
        <w:rPr>
          <w:lang w:val="en-US"/>
        </w:rPr>
        <w:t xml:space="preserve">the purpose of the nomination, the meaning of inscription, and </w:t>
      </w:r>
      <w:r w:rsidRPr="00813D19">
        <w:rPr>
          <w:lang w:val="en-US"/>
        </w:rPr>
        <w:t>the expression of their</w:t>
      </w:r>
      <w:r w:rsidR="008162B0" w:rsidRPr="00813D19">
        <w:rPr>
          <w:lang w:val="en-US"/>
        </w:rPr>
        <w:t xml:space="preserve"> free, prior and informed consent.</w:t>
      </w:r>
      <w:r w:rsidR="00CA6E5C" w:rsidRPr="00813D19">
        <w:rPr>
          <w:lang w:val="en-US"/>
        </w:rPr>
        <w:t xml:space="preserve"> </w:t>
      </w:r>
      <w:r w:rsidRPr="00813D19">
        <w:rPr>
          <w:lang w:val="en-US"/>
        </w:rPr>
        <w:t>I</w:t>
      </w:r>
      <w:r w:rsidR="008162B0" w:rsidRPr="00813D19">
        <w:rPr>
          <w:lang w:val="en-US"/>
        </w:rPr>
        <w:t xml:space="preserve">ssues </w:t>
      </w:r>
      <w:r w:rsidRPr="00813D19">
        <w:rPr>
          <w:lang w:val="en-US"/>
        </w:rPr>
        <w:t xml:space="preserve">also </w:t>
      </w:r>
      <w:r w:rsidR="008162B0" w:rsidRPr="00813D19">
        <w:rPr>
          <w:lang w:val="en-US"/>
        </w:rPr>
        <w:t xml:space="preserve">arose in relation to </w:t>
      </w:r>
      <w:r w:rsidRPr="00813D19">
        <w:rPr>
          <w:lang w:val="en-US"/>
        </w:rPr>
        <w:t>the form and content of the consent letters</w:t>
      </w:r>
      <w:r w:rsidR="008162B0" w:rsidRPr="00813D19">
        <w:rPr>
          <w:lang w:val="en-US"/>
        </w:rPr>
        <w:t>. The Operational Directives requi</w:t>
      </w:r>
      <w:r w:rsidRPr="00813D19">
        <w:rPr>
          <w:lang w:val="en-US"/>
        </w:rPr>
        <w:t xml:space="preserve">re that a nominated </w:t>
      </w:r>
      <w:r w:rsidR="008162B0" w:rsidRPr="00813D19">
        <w:rPr>
          <w:lang w:val="en-US"/>
        </w:rPr>
        <w:t xml:space="preserve">element </w:t>
      </w:r>
      <w:r w:rsidRPr="00813D19">
        <w:rPr>
          <w:lang w:val="en-US"/>
        </w:rPr>
        <w:t xml:space="preserve">should have </w:t>
      </w:r>
      <w:r w:rsidR="008162B0" w:rsidRPr="00813D19">
        <w:rPr>
          <w:lang w:val="en-US"/>
        </w:rPr>
        <w:t xml:space="preserve">the widest possible participation of the community, group or, if applicable, individuals concerned. As no particular number of expressions of consent </w:t>
      </w:r>
      <w:r w:rsidR="00E868F0" w:rsidRPr="00813D19">
        <w:rPr>
          <w:lang w:val="en-US"/>
        </w:rPr>
        <w:t xml:space="preserve">is </w:t>
      </w:r>
      <w:r w:rsidR="008162B0" w:rsidRPr="00813D19">
        <w:rPr>
          <w:lang w:val="en-US"/>
        </w:rPr>
        <w:t xml:space="preserve">prescribed, the Body studied </w:t>
      </w:r>
      <w:r w:rsidR="00B73522" w:rsidRPr="00813D19">
        <w:rPr>
          <w:lang w:val="en-US"/>
        </w:rPr>
        <w:t xml:space="preserve">their </w:t>
      </w:r>
      <w:r w:rsidR="008162B0" w:rsidRPr="00813D19">
        <w:rPr>
          <w:lang w:val="en-US"/>
        </w:rPr>
        <w:t xml:space="preserve">representativeness, information value and the process </w:t>
      </w:r>
      <w:r w:rsidR="00B73522" w:rsidRPr="00813D19">
        <w:rPr>
          <w:lang w:val="en-US"/>
        </w:rPr>
        <w:t xml:space="preserve">of </w:t>
      </w:r>
      <w:r w:rsidR="008162B0" w:rsidRPr="00813D19">
        <w:rPr>
          <w:lang w:val="en-US"/>
        </w:rPr>
        <w:t xml:space="preserve">acquiring </w:t>
      </w:r>
      <w:r w:rsidR="00B73522" w:rsidRPr="00813D19">
        <w:rPr>
          <w:lang w:val="en-US"/>
        </w:rPr>
        <w:t>consent</w:t>
      </w:r>
      <w:r w:rsidR="008162B0" w:rsidRPr="00813D19">
        <w:rPr>
          <w:lang w:val="en-US"/>
        </w:rPr>
        <w:t>. While diverse expressions</w:t>
      </w:r>
      <w:r w:rsidR="00B73522" w:rsidRPr="00813D19">
        <w:rPr>
          <w:lang w:val="en-US"/>
        </w:rPr>
        <w:t xml:space="preserve"> of informed consent</w:t>
      </w:r>
      <w:r w:rsidR="008162B0" w:rsidRPr="00813D19">
        <w:rPr>
          <w:lang w:val="en-US"/>
        </w:rPr>
        <w:t>, including audiovisu</w:t>
      </w:r>
      <w:r w:rsidR="00B73522" w:rsidRPr="00813D19">
        <w:rPr>
          <w:lang w:val="en-US"/>
        </w:rPr>
        <w:t>al materials, were always welcomed</w:t>
      </w:r>
      <w:r w:rsidR="008162B0" w:rsidRPr="00813D19">
        <w:rPr>
          <w:lang w:val="en-US"/>
        </w:rPr>
        <w:t xml:space="preserve">, </w:t>
      </w:r>
      <w:r w:rsidR="00B73522" w:rsidRPr="00813D19">
        <w:rPr>
          <w:lang w:val="en-US"/>
        </w:rPr>
        <w:t xml:space="preserve">sometimes </w:t>
      </w:r>
      <w:r w:rsidR="008162B0" w:rsidRPr="00813D19">
        <w:rPr>
          <w:lang w:val="en-US"/>
        </w:rPr>
        <w:t xml:space="preserve">standardized letters, petitions and signature sheets could not be considered because they did not demonstrate </w:t>
      </w:r>
      <w:r w:rsidR="00B73522" w:rsidRPr="00813D19">
        <w:rPr>
          <w:lang w:val="en-US"/>
        </w:rPr>
        <w:t xml:space="preserve">whether </w:t>
      </w:r>
      <w:r w:rsidR="008162B0" w:rsidRPr="00813D19">
        <w:rPr>
          <w:lang w:val="en-US"/>
        </w:rPr>
        <w:t xml:space="preserve">the signatories were fully aware of what they were signing. In the 2018 cycle, the Body </w:t>
      </w:r>
      <w:r w:rsidR="00FD0AA1">
        <w:rPr>
          <w:lang w:val="en-US"/>
        </w:rPr>
        <w:t xml:space="preserve">had </w:t>
      </w:r>
      <w:r w:rsidR="008162B0" w:rsidRPr="00813D19">
        <w:rPr>
          <w:lang w:val="en-US"/>
        </w:rPr>
        <w:t>examined several forms of consent from children</w:t>
      </w:r>
      <w:r w:rsidR="00B73522" w:rsidRPr="00813D19">
        <w:rPr>
          <w:lang w:val="en-US"/>
        </w:rPr>
        <w:t>,</w:t>
      </w:r>
      <w:r w:rsidR="008162B0" w:rsidRPr="00813D19">
        <w:rPr>
          <w:lang w:val="en-US"/>
        </w:rPr>
        <w:t xml:space="preserve"> and hence requested the position of UNESCO’s Office of International Standards and Legal Affairs on the involvement of children. Based on its position</w:t>
      </w:r>
      <w:r w:rsidR="00B73522" w:rsidRPr="00813D19">
        <w:rPr>
          <w:lang w:val="en-US"/>
        </w:rPr>
        <w:t>,</w:t>
      </w:r>
      <w:r w:rsidR="008162B0" w:rsidRPr="00813D19">
        <w:rPr>
          <w:lang w:val="en-US"/>
        </w:rPr>
        <w:t xml:space="preserve"> and recalling Decision </w:t>
      </w:r>
      <w:hyperlink r:id="rId88" w:history="1">
        <w:r w:rsidR="008162B0" w:rsidRPr="00813D19">
          <w:rPr>
            <w:rStyle w:val="Hyperlink"/>
            <w:lang w:val="en-US"/>
          </w:rPr>
          <w:t>8.COM 8</w:t>
        </w:r>
      </w:hyperlink>
      <w:r w:rsidR="008162B0" w:rsidRPr="00813D19">
        <w:rPr>
          <w:lang w:val="en-US"/>
        </w:rPr>
        <w:t xml:space="preserve"> (paragraph 16), the Body accepted </w:t>
      </w:r>
      <w:r w:rsidR="00B73522" w:rsidRPr="00813D19">
        <w:rPr>
          <w:lang w:val="en-US"/>
        </w:rPr>
        <w:t xml:space="preserve">the </w:t>
      </w:r>
      <w:r w:rsidR="008162B0" w:rsidRPr="00813D19">
        <w:rPr>
          <w:lang w:val="en-US"/>
        </w:rPr>
        <w:t>consent of minors as a form of attestation suited to the situation of the communities concerned</w:t>
      </w:r>
      <w:r w:rsidR="00B73522" w:rsidRPr="00813D19">
        <w:rPr>
          <w:lang w:val="en-US"/>
        </w:rPr>
        <w:t>,</w:t>
      </w:r>
      <w:r w:rsidR="008162B0" w:rsidRPr="00813D19">
        <w:rPr>
          <w:lang w:val="en-US"/>
        </w:rPr>
        <w:t xml:space="preserve"> and concluded that in such cases information on the context </w:t>
      </w:r>
      <w:r w:rsidR="00B73522" w:rsidRPr="00813D19">
        <w:rPr>
          <w:lang w:val="en-US"/>
        </w:rPr>
        <w:t xml:space="preserve">of such </w:t>
      </w:r>
      <w:r w:rsidR="008162B0" w:rsidRPr="00813D19">
        <w:rPr>
          <w:lang w:val="en-US"/>
        </w:rPr>
        <w:t xml:space="preserve">consent </w:t>
      </w:r>
      <w:r w:rsidR="00B73522" w:rsidRPr="00813D19">
        <w:rPr>
          <w:lang w:val="en-US"/>
        </w:rPr>
        <w:t xml:space="preserve">is </w:t>
      </w:r>
      <w:r w:rsidR="008162B0" w:rsidRPr="00813D19">
        <w:rPr>
          <w:lang w:val="en-US"/>
        </w:rPr>
        <w:t>important and needed.</w:t>
      </w:r>
      <w:r w:rsidR="005A1FC1" w:rsidRPr="00813D19">
        <w:rPr>
          <w:lang w:val="en-US"/>
        </w:rPr>
        <w:t xml:space="preserve"> </w:t>
      </w:r>
      <w:r w:rsidR="008162B0" w:rsidRPr="00813D19">
        <w:rPr>
          <w:lang w:val="en-US"/>
        </w:rPr>
        <w:t xml:space="preserve">In several cases, there was a discrepancy between the content of consent letters in </w:t>
      </w:r>
      <w:r w:rsidR="00B73522" w:rsidRPr="00813D19">
        <w:rPr>
          <w:lang w:val="en-US"/>
        </w:rPr>
        <w:t xml:space="preserve">the </w:t>
      </w:r>
      <w:r w:rsidR="008162B0" w:rsidRPr="00813D19">
        <w:rPr>
          <w:lang w:val="en-US"/>
        </w:rPr>
        <w:t xml:space="preserve">original languages and their </w:t>
      </w:r>
      <w:r w:rsidR="00B73522" w:rsidRPr="00813D19">
        <w:rPr>
          <w:lang w:val="en-US"/>
        </w:rPr>
        <w:t>English or French translations</w:t>
      </w:r>
      <w:r w:rsidR="00FD0AA1">
        <w:rPr>
          <w:lang w:val="en-US"/>
        </w:rPr>
        <w:t>,</w:t>
      </w:r>
      <w:r w:rsidR="00B73522" w:rsidRPr="00813D19">
        <w:rPr>
          <w:lang w:val="en-US"/>
        </w:rPr>
        <w:t xml:space="preserve"> with s</w:t>
      </w:r>
      <w:r w:rsidR="008162B0" w:rsidRPr="00813D19">
        <w:rPr>
          <w:lang w:val="en-US"/>
        </w:rPr>
        <w:t xml:space="preserve">ome </w:t>
      </w:r>
      <w:r w:rsidR="00B73522" w:rsidRPr="00813D19">
        <w:rPr>
          <w:lang w:val="en-US"/>
        </w:rPr>
        <w:t>referring</w:t>
      </w:r>
      <w:r w:rsidR="008162B0" w:rsidRPr="00813D19">
        <w:rPr>
          <w:lang w:val="en-US"/>
        </w:rPr>
        <w:t xml:space="preserve"> to the </w:t>
      </w:r>
      <w:r w:rsidR="00B73522" w:rsidRPr="00813D19">
        <w:rPr>
          <w:lang w:val="en-US"/>
        </w:rPr>
        <w:t>‘</w:t>
      </w:r>
      <w:r w:rsidR="008162B0" w:rsidRPr="00813D19">
        <w:rPr>
          <w:lang w:val="en-US"/>
        </w:rPr>
        <w:t>World Heritage List</w:t>
      </w:r>
      <w:r w:rsidR="00B73522" w:rsidRPr="00813D19">
        <w:rPr>
          <w:lang w:val="en-US"/>
        </w:rPr>
        <w:t>’</w:t>
      </w:r>
      <w:r w:rsidR="008162B0" w:rsidRPr="00813D19">
        <w:rPr>
          <w:lang w:val="en-US"/>
        </w:rPr>
        <w:t xml:space="preserve">, other Lists under the 2003 Convention </w:t>
      </w:r>
      <w:r w:rsidR="00B73522" w:rsidRPr="00813D19">
        <w:rPr>
          <w:lang w:val="en-US"/>
        </w:rPr>
        <w:t xml:space="preserve">other </w:t>
      </w:r>
      <w:r w:rsidR="008162B0" w:rsidRPr="00813D19">
        <w:rPr>
          <w:lang w:val="en-US"/>
        </w:rPr>
        <w:t xml:space="preserve">than the </w:t>
      </w:r>
      <w:r w:rsidR="00B73522" w:rsidRPr="00813D19">
        <w:rPr>
          <w:lang w:val="en-US"/>
        </w:rPr>
        <w:t>actual nominated List,</w:t>
      </w:r>
      <w:r w:rsidR="008162B0" w:rsidRPr="00813D19">
        <w:rPr>
          <w:lang w:val="en-US"/>
        </w:rPr>
        <w:t xml:space="preserve"> or inaccurate expressions like </w:t>
      </w:r>
      <w:r w:rsidR="00B73522" w:rsidRPr="00813D19">
        <w:rPr>
          <w:lang w:val="en-US"/>
        </w:rPr>
        <w:t>‘inscription at UNESCO’</w:t>
      </w:r>
      <w:r w:rsidR="008162B0" w:rsidRPr="00813D19">
        <w:rPr>
          <w:lang w:val="en-US"/>
        </w:rPr>
        <w:t xml:space="preserve">, </w:t>
      </w:r>
      <w:r w:rsidR="00B73522" w:rsidRPr="00813D19">
        <w:rPr>
          <w:lang w:val="en-US"/>
        </w:rPr>
        <w:t>and so on</w:t>
      </w:r>
      <w:r w:rsidR="008162B0" w:rsidRPr="00813D19">
        <w:rPr>
          <w:lang w:val="en-US"/>
        </w:rPr>
        <w:t xml:space="preserve">. The </w:t>
      </w:r>
      <w:r w:rsidR="00B73522" w:rsidRPr="00813D19">
        <w:rPr>
          <w:lang w:val="en-US"/>
        </w:rPr>
        <w:t>Body reminded</w:t>
      </w:r>
      <w:r w:rsidR="008162B0" w:rsidRPr="00813D19">
        <w:rPr>
          <w:lang w:val="en-US"/>
        </w:rPr>
        <w:t xml:space="preserve"> States Parties that they are responsible for the accuracy and quality of their translations and that incorrect references </w:t>
      </w:r>
      <w:r w:rsidR="00B73522" w:rsidRPr="00813D19">
        <w:rPr>
          <w:lang w:val="en-US"/>
        </w:rPr>
        <w:t xml:space="preserve">are not </w:t>
      </w:r>
      <w:r w:rsidR="008162B0" w:rsidRPr="00813D19">
        <w:rPr>
          <w:lang w:val="en-US"/>
        </w:rPr>
        <w:t xml:space="preserve">valid </w:t>
      </w:r>
      <w:r w:rsidR="00B73522" w:rsidRPr="00813D19">
        <w:rPr>
          <w:lang w:val="en-US"/>
        </w:rPr>
        <w:t xml:space="preserve">as </w:t>
      </w:r>
      <w:r w:rsidR="008162B0" w:rsidRPr="00813D19">
        <w:rPr>
          <w:lang w:val="en-US"/>
        </w:rPr>
        <w:t xml:space="preserve">they raise doubts about the </w:t>
      </w:r>
      <w:r w:rsidR="00E41386">
        <w:rPr>
          <w:lang w:val="en-US"/>
        </w:rPr>
        <w:t>informed nature of the consent.</w:t>
      </w:r>
    </w:p>
    <w:p w14:paraId="3BCFA741" w14:textId="5EDFE477" w:rsidR="008162B0" w:rsidRPr="00813D19" w:rsidRDefault="00B73522" w:rsidP="005A1FC1">
      <w:pPr>
        <w:pStyle w:val="Orateurengris"/>
        <w:spacing w:before="120"/>
        <w:ind w:left="709" w:hanging="709"/>
        <w:rPr>
          <w:lang w:val="en-US"/>
        </w:rPr>
      </w:pPr>
      <w:r w:rsidRPr="00813D19">
        <w:rPr>
          <w:lang w:val="en-US"/>
        </w:rPr>
        <w:t xml:space="preserve">The </w:t>
      </w:r>
      <w:r w:rsidRPr="00813D19">
        <w:rPr>
          <w:b/>
          <w:lang w:val="en-US"/>
        </w:rPr>
        <w:t>Rapporteur</w:t>
      </w:r>
      <w:r w:rsidRPr="00813D19">
        <w:rPr>
          <w:lang w:val="en-US"/>
        </w:rPr>
        <w:t xml:space="preserve"> then turned to </w:t>
      </w:r>
      <w:r w:rsidR="005A1FC1" w:rsidRPr="00813D19">
        <w:rPr>
          <w:u w:val="single"/>
          <w:lang w:val="en-US"/>
        </w:rPr>
        <w:t>i</w:t>
      </w:r>
      <w:r w:rsidR="008162B0" w:rsidRPr="00813D19">
        <w:rPr>
          <w:u w:val="single"/>
          <w:lang w:val="en-US"/>
        </w:rPr>
        <w:t>nventories</w:t>
      </w:r>
      <w:r w:rsidR="005A1FC1" w:rsidRPr="00813D19">
        <w:rPr>
          <w:lang w:val="en-US"/>
        </w:rPr>
        <w:t xml:space="preserve">, </w:t>
      </w:r>
      <w:r w:rsidR="000C010B" w:rsidRPr="00813D19">
        <w:rPr>
          <w:lang w:val="en-US"/>
        </w:rPr>
        <w:t xml:space="preserve">noting </w:t>
      </w:r>
      <w:r w:rsidRPr="00813D19">
        <w:rPr>
          <w:lang w:val="en-US"/>
        </w:rPr>
        <w:t xml:space="preserve">that </w:t>
      </w:r>
      <w:r w:rsidR="008162B0" w:rsidRPr="00813D19">
        <w:rPr>
          <w:lang w:val="en-US"/>
        </w:rPr>
        <w:t xml:space="preserve">inventories </w:t>
      </w:r>
      <w:r w:rsidRPr="00813D19">
        <w:rPr>
          <w:lang w:val="en-US"/>
        </w:rPr>
        <w:t xml:space="preserve">under criterion U.5/R.5 </w:t>
      </w:r>
      <w:r w:rsidR="000C010B" w:rsidRPr="00813D19">
        <w:rPr>
          <w:lang w:val="en-US"/>
        </w:rPr>
        <w:t xml:space="preserve">in the 2018 cycle </w:t>
      </w:r>
      <w:r w:rsidR="008162B0" w:rsidRPr="00813D19">
        <w:rPr>
          <w:lang w:val="en-US"/>
        </w:rPr>
        <w:t>were prese</w:t>
      </w:r>
      <w:r w:rsidR="000C010B" w:rsidRPr="00813D19">
        <w:rPr>
          <w:lang w:val="en-US"/>
        </w:rPr>
        <w:t>nted in a diversity of formats</w:t>
      </w:r>
      <w:r w:rsidR="00FD0AA1">
        <w:rPr>
          <w:lang w:val="en-US"/>
        </w:rPr>
        <w:t>,</w:t>
      </w:r>
      <w:r w:rsidR="000C010B" w:rsidRPr="00813D19">
        <w:rPr>
          <w:lang w:val="en-US"/>
        </w:rPr>
        <w:t xml:space="preserve"> such as </w:t>
      </w:r>
      <w:r w:rsidR="008162B0" w:rsidRPr="00813D19">
        <w:rPr>
          <w:lang w:val="en-US"/>
        </w:rPr>
        <w:t>books, lists of resources, sample books</w:t>
      </w:r>
      <w:r w:rsidR="00E47556" w:rsidRPr="00813D19">
        <w:rPr>
          <w:lang w:val="en-US"/>
        </w:rPr>
        <w:t>,</w:t>
      </w:r>
      <w:r w:rsidR="008162B0" w:rsidRPr="00813D19">
        <w:rPr>
          <w:lang w:val="en-US"/>
        </w:rPr>
        <w:t xml:space="preserve"> and so on. Although there </w:t>
      </w:r>
      <w:r w:rsidR="000C010B" w:rsidRPr="00813D19">
        <w:rPr>
          <w:lang w:val="en-US"/>
        </w:rPr>
        <w:t xml:space="preserve">are strict </w:t>
      </w:r>
      <w:r w:rsidR="008162B0" w:rsidRPr="00813D19">
        <w:rPr>
          <w:lang w:val="en-US"/>
        </w:rPr>
        <w:t xml:space="preserve">rules </w:t>
      </w:r>
      <w:r w:rsidR="000C010B" w:rsidRPr="00813D19">
        <w:rPr>
          <w:lang w:val="en-US"/>
        </w:rPr>
        <w:t xml:space="preserve">on the </w:t>
      </w:r>
      <w:r w:rsidR="008162B0" w:rsidRPr="00813D19">
        <w:rPr>
          <w:lang w:val="en-US"/>
        </w:rPr>
        <w:t xml:space="preserve">structure </w:t>
      </w:r>
      <w:r w:rsidR="000C010B" w:rsidRPr="00813D19">
        <w:rPr>
          <w:lang w:val="en-US"/>
        </w:rPr>
        <w:t xml:space="preserve">of </w:t>
      </w:r>
      <w:r w:rsidR="008162B0" w:rsidRPr="00813D19">
        <w:rPr>
          <w:lang w:val="en-US"/>
        </w:rPr>
        <w:t xml:space="preserve">an inventory, inventories </w:t>
      </w:r>
      <w:r w:rsidR="000C010B" w:rsidRPr="00813D19">
        <w:rPr>
          <w:lang w:val="en-US"/>
        </w:rPr>
        <w:t xml:space="preserve">are required </w:t>
      </w:r>
      <w:r w:rsidR="008162B0" w:rsidRPr="00813D19">
        <w:rPr>
          <w:lang w:val="en-US"/>
        </w:rPr>
        <w:t>to include certain information to meet the requirements of Articles 11 and 12 of the Convention, particularly</w:t>
      </w:r>
      <w:r w:rsidR="005A1FC1" w:rsidRPr="00813D19">
        <w:rPr>
          <w:lang w:val="en-US"/>
        </w:rPr>
        <w:t xml:space="preserve">: i) </w:t>
      </w:r>
      <w:r w:rsidR="00E47556" w:rsidRPr="00813D19">
        <w:rPr>
          <w:lang w:val="en-US"/>
        </w:rPr>
        <w:t xml:space="preserve">the </w:t>
      </w:r>
      <w:r w:rsidR="008162B0" w:rsidRPr="00813D19">
        <w:rPr>
          <w:lang w:val="en-US"/>
        </w:rPr>
        <w:t>name and description of an element</w:t>
      </w:r>
      <w:r w:rsidR="005A1FC1" w:rsidRPr="00813D19">
        <w:rPr>
          <w:lang w:val="en-US"/>
        </w:rPr>
        <w:t xml:space="preserve">; ii) </w:t>
      </w:r>
      <w:r w:rsidR="008162B0" w:rsidRPr="00813D19">
        <w:rPr>
          <w:lang w:val="en-US"/>
        </w:rPr>
        <w:t>identification of the practitioners associated with it</w:t>
      </w:r>
      <w:r w:rsidR="005A1FC1" w:rsidRPr="00813D19">
        <w:rPr>
          <w:lang w:val="en-US"/>
        </w:rPr>
        <w:t xml:space="preserve">; iii) </w:t>
      </w:r>
      <w:r w:rsidR="008162B0" w:rsidRPr="00813D19">
        <w:rPr>
          <w:lang w:val="en-US"/>
        </w:rPr>
        <w:t>its geographical scope</w:t>
      </w:r>
      <w:r w:rsidR="005A1FC1" w:rsidRPr="00813D19">
        <w:rPr>
          <w:lang w:val="en-US"/>
        </w:rPr>
        <w:t xml:space="preserve">; iv) </w:t>
      </w:r>
      <w:r w:rsidR="008162B0" w:rsidRPr="00813D19">
        <w:rPr>
          <w:lang w:val="en-US"/>
        </w:rPr>
        <w:t>curren</w:t>
      </w:r>
      <w:r w:rsidR="005A1FC1" w:rsidRPr="00813D19">
        <w:rPr>
          <w:lang w:val="en-US"/>
        </w:rPr>
        <w:t xml:space="preserve">t social and cultural functions; and v) </w:t>
      </w:r>
      <w:r w:rsidR="008162B0" w:rsidRPr="00813D19">
        <w:rPr>
          <w:lang w:val="en-US"/>
        </w:rPr>
        <w:t>viability and modes of transmission</w:t>
      </w:r>
      <w:r w:rsidR="005A1FC1" w:rsidRPr="00813D19">
        <w:rPr>
          <w:lang w:val="en-US"/>
        </w:rPr>
        <w:t xml:space="preserve">. </w:t>
      </w:r>
      <w:r w:rsidR="000C010B" w:rsidRPr="00813D19">
        <w:rPr>
          <w:lang w:val="en-US"/>
        </w:rPr>
        <w:t>T</w:t>
      </w:r>
      <w:r w:rsidR="008162B0" w:rsidRPr="00813D19">
        <w:rPr>
          <w:lang w:val="en-US"/>
        </w:rPr>
        <w:t xml:space="preserve">he Secretariat </w:t>
      </w:r>
      <w:r w:rsidR="000C010B" w:rsidRPr="00813D19">
        <w:rPr>
          <w:lang w:val="en-US"/>
        </w:rPr>
        <w:t xml:space="preserve">had drawn the </w:t>
      </w:r>
      <w:r w:rsidR="008162B0" w:rsidRPr="00813D19">
        <w:rPr>
          <w:lang w:val="en-US"/>
        </w:rPr>
        <w:t>Body’s attention to the ‘Guidance Note on Inventorying Intangible Cultural Heritage’</w:t>
      </w:r>
      <w:r w:rsidR="00077A34" w:rsidRPr="00813D19">
        <w:rPr>
          <w:rStyle w:val="FootnoteReference"/>
          <w:lang w:val="en-US"/>
        </w:rPr>
        <w:footnoteReference w:id="27"/>
      </w:r>
      <w:r w:rsidR="008162B0" w:rsidRPr="00813D19">
        <w:rPr>
          <w:lang w:val="en-US"/>
        </w:rPr>
        <w:t xml:space="preserve">, </w:t>
      </w:r>
      <w:r w:rsidR="000C010B" w:rsidRPr="00813D19">
        <w:rPr>
          <w:lang w:val="en-US"/>
        </w:rPr>
        <w:t xml:space="preserve">which was released </w:t>
      </w:r>
      <w:r w:rsidR="00077A34" w:rsidRPr="00813D19">
        <w:rPr>
          <w:lang w:val="en-US"/>
        </w:rPr>
        <w:t xml:space="preserve">in </w:t>
      </w:r>
      <w:r w:rsidR="000C010B" w:rsidRPr="00813D19">
        <w:rPr>
          <w:lang w:val="en-US"/>
        </w:rPr>
        <w:t xml:space="preserve">spring </w:t>
      </w:r>
      <w:r w:rsidR="00077A34" w:rsidRPr="00813D19">
        <w:rPr>
          <w:lang w:val="en-US"/>
        </w:rPr>
        <w:t xml:space="preserve">2018 </w:t>
      </w:r>
      <w:r w:rsidR="000C010B" w:rsidRPr="00813D19">
        <w:rPr>
          <w:lang w:val="en-US"/>
        </w:rPr>
        <w:t xml:space="preserve">and </w:t>
      </w:r>
      <w:r w:rsidR="00077A34" w:rsidRPr="00813D19">
        <w:rPr>
          <w:lang w:val="en-US"/>
        </w:rPr>
        <w:t xml:space="preserve">was </w:t>
      </w:r>
      <w:r w:rsidR="000C010B" w:rsidRPr="00813D19">
        <w:rPr>
          <w:lang w:val="en-US"/>
        </w:rPr>
        <w:t xml:space="preserve">now </w:t>
      </w:r>
      <w:r w:rsidR="008162B0" w:rsidRPr="00813D19">
        <w:rPr>
          <w:lang w:val="en-US"/>
        </w:rPr>
        <w:t xml:space="preserve">available on the </w:t>
      </w:r>
      <w:hyperlink r:id="rId89" w:history="1">
        <w:r w:rsidR="008162B0" w:rsidRPr="00813D19">
          <w:rPr>
            <w:rStyle w:val="Hyperlink"/>
            <w:lang w:val="en-US"/>
          </w:rPr>
          <w:t>website</w:t>
        </w:r>
      </w:hyperlink>
      <w:r w:rsidR="008162B0" w:rsidRPr="00813D19">
        <w:rPr>
          <w:lang w:val="en-US"/>
        </w:rPr>
        <w:t xml:space="preserve"> of the Convention</w:t>
      </w:r>
      <w:r w:rsidR="000C010B" w:rsidRPr="00813D19">
        <w:rPr>
          <w:lang w:val="en-US"/>
        </w:rPr>
        <w:t>,</w:t>
      </w:r>
      <w:r w:rsidR="008162B0" w:rsidRPr="00813D19">
        <w:rPr>
          <w:lang w:val="en-US"/>
        </w:rPr>
        <w:t xml:space="preserve"> </w:t>
      </w:r>
      <w:r w:rsidR="00E47556" w:rsidRPr="00813D19">
        <w:rPr>
          <w:lang w:val="en-US"/>
        </w:rPr>
        <w:t xml:space="preserve">in </w:t>
      </w:r>
      <w:r w:rsidR="000C010B" w:rsidRPr="00813D19">
        <w:rPr>
          <w:lang w:val="en-US"/>
        </w:rPr>
        <w:t xml:space="preserve">that it </w:t>
      </w:r>
      <w:r w:rsidR="00FD0AA1" w:rsidRPr="00813D19">
        <w:rPr>
          <w:lang w:val="en-US"/>
        </w:rPr>
        <w:t>c</w:t>
      </w:r>
      <w:r w:rsidR="00FD0AA1">
        <w:rPr>
          <w:lang w:val="en-US"/>
        </w:rPr>
        <w:t>ould</w:t>
      </w:r>
      <w:r w:rsidR="00FD0AA1" w:rsidRPr="00813D19">
        <w:rPr>
          <w:lang w:val="en-US"/>
        </w:rPr>
        <w:t xml:space="preserve"> </w:t>
      </w:r>
      <w:r w:rsidR="008162B0" w:rsidRPr="00813D19">
        <w:rPr>
          <w:lang w:val="en-US"/>
        </w:rPr>
        <w:t>aid in the process of designing and developing inventories at the national and local levels.</w:t>
      </w:r>
      <w:r w:rsidR="005A1FC1" w:rsidRPr="00813D19">
        <w:rPr>
          <w:lang w:val="en-US"/>
        </w:rPr>
        <w:t xml:space="preserve"> </w:t>
      </w:r>
      <w:r w:rsidR="00077A34" w:rsidRPr="00813D19">
        <w:rPr>
          <w:lang w:val="en-US"/>
        </w:rPr>
        <w:t xml:space="preserve">The Rapporteur concluded by </w:t>
      </w:r>
      <w:r w:rsidR="008162B0" w:rsidRPr="00813D19">
        <w:rPr>
          <w:lang w:val="en-US"/>
        </w:rPr>
        <w:t>thank</w:t>
      </w:r>
      <w:r w:rsidR="00077A34" w:rsidRPr="00813D19">
        <w:rPr>
          <w:lang w:val="en-US"/>
        </w:rPr>
        <w:t xml:space="preserve">ing the Committee </w:t>
      </w:r>
      <w:r w:rsidR="008162B0" w:rsidRPr="00813D19">
        <w:rPr>
          <w:lang w:val="en-US"/>
        </w:rPr>
        <w:t xml:space="preserve">for entrusting </w:t>
      </w:r>
      <w:r w:rsidR="00077A34" w:rsidRPr="00813D19">
        <w:rPr>
          <w:lang w:val="en-US"/>
        </w:rPr>
        <w:t>the Body with this</w:t>
      </w:r>
      <w:r w:rsidR="008162B0" w:rsidRPr="00813D19">
        <w:rPr>
          <w:lang w:val="en-US"/>
        </w:rPr>
        <w:t xml:space="preserve"> task.</w:t>
      </w:r>
    </w:p>
    <w:p w14:paraId="48E77563" w14:textId="00552E92" w:rsidR="00A63E07" w:rsidRPr="00813D19" w:rsidRDefault="00DA68CF" w:rsidP="005A1FC1">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thanked the Rapporteur for having raised important issues that would inform the </w:t>
      </w:r>
      <w:r w:rsidR="00AE53BF" w:rsidRPr="00813D19">
        <w:rPr>
          <w:lang w:val="en-US"/>
        </w:rPr>
        <w:t>Comm</w:t>
      </w:r>
      <w:r w:rsidR="00E47556" w:rsidRPr="00813D19">
        <w:rPr>
          <w:lang w:val="en-US"/>
        </w:rPr>
        <w:t>ittee’</w:t>
      </w:r>
      <w:r w:rsidR="00AE53BF" w:rsidRPr="00813D19">
        <w:rPr>
          <w:lang w:val="en-US"/>
        </w:rPr>
        <w:t xml:space="preserve">s </w:t>
      </w:r>
      <w:r w:rsidRPr="00813D19">
        <w:rPr>
          <w:lang w:val="en-US"/>
        </w:rPr>
        <w:t>debate</w:t>
      </w:r>
      <w:r w:rsidR="00AE53BF" w:rsidRPr="00813D19">
        <w:rPr>
          <w:lang w:val="en-US"/>
        </w:rPr>
        <w:t>s</w:t>
      </w:r>
      <w:r w:rsidRPr="00813D19">
        <w:rPr>
          <w:lang w:val="en-US"/>
        </w:rPr>
        <w:t>, opening the floor for comment</w:t>
      </w:r>
      <w:r w:rsidR="00E47556" w:rsidRPr="00813D19">
        <w:rPr>
          <w:lang w:val="en-US"/>
        </w:rPr>
        <w:t>s</w:t>
      </w:r>
      <w:r w:rsidR="00E41386">
        <w:rPr>
          <w:lang w:val="en-US"/>
        </w:rPr>
        <w:t>.</w:t>
      </w:r>
    </w:p>
    <w:p w14:paraId="7A7BAC37" w14:textId="75EB2991" w:rsidR="006E7C75" w:rsidRPr="00813D19" w:rsidRDefault="006E7C75" w:rsidP="005A1FC1">
      <w:pPr>
        <w:pStyle w:val="Orateurengris"/>
        <w:spacing w:before="120"/>
        <w:ind w:left="709" w:hanging="709"/>
        <w:rPr>
          <w:lang w:val="en-US"/>
        </w:rPr>
      </w:pPr>
      <w:r w:rsidRPr="00813D19">
        <w:rPr>
          <w:lang w:val="en-US"/>
        </w:rPr>
        <w:t xml:space="preserve">The </w:t>
      </w:r>
      <w:r w:rsidRPr="00813D19">
        <w:rPr>
          <w:b/>
          <w:lang w:val="en-US"/>
        </w:rPr>
        <w:t>delegation of Azerbaijan</w:t>
      </w:r>
      <w:r w:rsidR="00B91F92" w:rsidRPr="00813D19">
        <w:rPr>
          <w:b/>
          <w:lang w:val="en-US"/>
        </w:rPr>
        <w:t xml:space="preserve"> </w:t>
      </w:r>
      <w:r w:rsidR="00B91F92" w:rsidRPr="00813D19">
        <w:rPr>
          <w:lang w:val="en-US"/>
        </w:rPr>
        <w:t>congratulate</w:t>
      </w:r>
      <w:r w:rsidR="003C168D" w:rsidRPr="00813D19">
        <w:rPr>
          <w:lang w:val="en-US"/>
        </w:rPr>
        <w:t>d</w:t>
      </w:r>
      <w:r w:rsidR="00B91F92" w:rsidRPr="00813D19">
        <w:rPr>
          <w:lang w:val="en-US"/>
        </w:rPr>
        <w:t xml:space="preserve"> the Evaluation Body for its hard work and the quality of its repor</w:t>
      </w:r>
      <w:r w:rsidR="003C168D" w:rsidRPr="00813D19">
        <w:rPr>
          <w:lang w:val="en-US"/>
        </w:rPr>
        <w:t>t, recognizing that the report had</w:t>
      </w:r>
      <w:r w:rsidR="00B91F92" w:rsidRPr="00813D19">
        <w:rPr>
          <w:lang w:val="en-US"/>
        </w:rPr>
        <w:t xml:space="preserve"> raised a number of very i</w:t>
      </w:r>
      <w:r w:rsidR="003C168D" w:rsidRPr="00813D19">
        <w:rPr>
          <w:lang w:val="en-US"/>
        </w:rPr>
        <w:t xml:space="preserve">mportant issues and challenges that </w:t>
      </w:r>
      <w:r w:rsidR="00B91F92" w:rsidRPr="00813D19">
        <w:rPr>
          <w:lang w:val="en-US"/>
        </w:rPr>
        <w:t>w</w:t>
      </w:r>
      <w:r w:rsidR="00FD0AA1">
        <w:rPr>
          <w:lang w:val="en-US"/>
        </w:rPr>
        <w:t>ould</w:t>
      </w:r>
      <w:r w:rsidR="00B91F92" w:rsidRPr="00813D19">
        <w:rPr>
          <w:lang w:val="en-US"/>
        </w:rPr>
        <w:t xml:space="preserve"> potentially guide the Committee and the States Parties for years to </w:t>
      </w:r>
      <w:r w:rsidR="003C168D" w:rsidRPr="00813D19">
        <w:rPr>
          <w:lang w:val="en-US"/>
        </w:rPr>
        <w:t>come</w:t>
      </w:r>
      <w:r w:rsidR="00B91F92" w:rsidRPr="00813D19">
        <w:rPr>
          <w:lang w:val="en-US"/>
        </w:rPr>
        <w:t xml:space="preserve">. </w:t>
      </w:r>
      <w:r w:rsidR="003C168D" w:rsidRPr="00813D19">
        <w:rPr>
          <w:lang w:val="en-US"/>
        </w:rPr>
        <w:t xml:space="preserve">It noted </w:t>
      </w:r>
      <w:r w:rsidR="00B91F92" w:rsidRPr="00813D19">
        <w:rPr>
          <w:lang w:val="en-US"/>
        </w:rPr>
        <w:t xml:space="preserve">that </w:t>
      </w:r>
      <w:r w:rsidR="003C168D" w:rsidRPr="00813D19">
        <w:rPr>
          <w:lang w:val="en-US"/>
        </w:rPr>
        <w:t xml:space="preserve">that </w:t>
      </w:r>
      <w:r w:rsidR="00B91F92" w:rsidRPr="00813D19">
        <w:rPr>
          <w:lang w:val="en-US"/>
        </w:rPr>
        <w:t>some States faced serious challen</w:t>
      </w:r>
      <w:r w:rsidR="003C168D" w:rsidRPr="00813D19">
        <w:rPr>
          <w:lang w:val="en-US"/>
        </w:rPr>
        <w:t>ges in describing criterion R.2</w:t>
      </w:r>
      <w:r w:rsidR="00B91F92" w:rsidRPr="00813D19">
        <w:rPr>
          <w:lang w:val="en-US"/>
        </w:rPr>
        <w:t xml:space="preserve"> and </w:t>
      </w:r>
      <w:r w:rsidR="003C168D" w:rsidRPr="00813D19">
        <w:rPr>
          <w:lang w:val="en-US"/>
        </w:rPr>
        <w:t xml:space="preserve">it was </w:t>
      </w:r>
      <w:r w:rsidR="00B91F92" w:rsidRPr="00813D19">
        <w:rPr>
          <w:lang w:val="en-US"/>
        </w:rPr>
        <w:t xml:space="preserve">pleased </w:t>
      </w:r>
      <w:r w:rsidR="003C168D" w:rsidRPr="00813D19">
        <w:rPr>
          <w:lang w:val="en-US"/>
        </w:rPr>
        <w:t>that this issue had</w:t>
      </w:r>
      <w:r w:rsidR="00B91F92" w:rsidRPr="00813D19">
        <w:rPr>
          <w:lang w:val="en-US"/>
        </w:rPr>
        <w:t xml:space="preserve"> been integrated into the agenda of the </w:t>
      </w:r>
      <w:r w:rsidR="003C168D" w:rsidRPr="00813D19">
        <w:rPr>
          <w:lang w:val="en-US"/>
        </w:rPr>
        <w:t>experts</w:t>
      </w:r>
      <w:r w:rsidR="00EA6C2C">
        <w:rPr>
          <w:lang w:val="en-US"/>
        </w:rPr>
        <w:t>’</w:t>
      </w:r>
      <w:r w:rsidR="003C168D" w:rsidRPr="00813D19">
        <w:rPr>
          <w:lang w:val="en-US"/>
        </w:rPr>
        <w:t xml:space="preserve"> </w:t>
      </w:r>
      <w:r w:rsidR="00B91F92" w:rsidRPr="00813D19">
        <w:rPr>
          <w:lang w:val="en-US"/>
        </w:rPr>
        <w:t>meeting and the open-ended intergovernmental working group on</w:t>
      </w:r>
      <w:r w:rsidR="00EA6C2C">
        <w:rPr>
          <w:lang w:val="en-US"/>
        </w:rPr>
        <w:t xml:space="preserve"> the</w:t>
      </w:r>
      <w:r w:rsidR="00B91F92" w:rsidRPr="00813D19">
        <w:rPr>
          <w:lang w:val="en-US"/>
        </w:rPr>
        <w:t xml:space="preserve"> criteria</w:t>
      </w:r>
      <w:r w:rsidR="003C168D" w:rsidRPr="00813D19">
        <w:rPr>
          <w:lang w:val="en-US"/>
        </w:rPr>
        <w:t>,</w:t>
      </w:r>
      <w:r w:rsidR="00B91F92" w:rsidRPr="00813D19">
        <w:rPr>
          <w:lang w:val="en-US"/>
        </w:rPr>
        <w:t xml:space="preserve"> purposes </w:t>
      </w:r>
      <w:r w:rsidR="003C168D" w:rsidRPr="00813D19">
        <w:rPr>
          <w:lang w:val="en-US"/>
        </w:rPr>
        <w:t>and nature of the L</w:t>
      </w:r>
      <w:r w:rsidR="00B91F92" w:rsidRPr="00813D19">
        <w:rPr>
          <w:lang w:val="en-US"/>
        </w:rPr>
        <w:t xml:space="preserve">ists. </w:t>
      </w:r>
      <w:r w:rsidR="003C168D" w:rsidRPr="00813D19">
        <w:rPr>
          <w:lang w:val="en-US"/>
        </w:rPr>
        <w:t xml:space="preserve">The delegation also noted the </w:t>
      </w:r>
      <w:r w:rsidR="00B91F92" w:rsidRPr="00813D19">
        <w:rPr>
          <w:lang w:val="en-US"/>
        </w:rPr>
        <w:t xml:space="preserve">observation that the current cycle of evaluation </w:t>
      </w:r>
      <w:r w:rsidR="00DC3685">
        <w:rPr>
          <w:lang w:val="en-US"/>
        </w:rPr>
        <w:t xml:space="preserve">had </w:t>
      </w:r>
      <w:r w:rsidR="00B91F92" w:rsidRPr="00813D19">
        <w:rPr>
          <w:lang w:val="en-US"/>
        </w:rPr>
        <w:t xml:space="preserve">brought up a series of cases where more detailed information on community representation could have been </w:t>
      </w:r>
      <w:r w:rsidR="003C168D" w:rsidRPr="00813D19">
        <w:rPr>
          <w:lang w:val="en-US"/>
        </w:rPr>
        <w:t xml:space="preserve">beneficial for the nominations, adding that it was indeed essential </w:t>
      </w:r>
      <w:r w:rsidR="00B91F92" w:rsidRPr="00813D19">
        <w:rPr>
          <w:lang w:val="en-US"/>
        </w:rPr>
        <w:t>to explai</w:t>
      </w:r>
      <w:r w:rsidR="003C168D" w:rsidRPr="00813D19">
        <w:rPr>
          <w:lang w:val="en-US"/>
        </w:rPr>
        <w:t>n the way community members had</w:t>
      </w:r>
      <w:r w:rsidR="00B91F92" w:rsidRPr="00813D19">
        <w:rPr>
          <w:lang w:val="en-US"/>
        </w:rPr>
        <w:t xml:space="preserve"> been chosen to represent their entire communities within the framework of the nomination process and give</w:t>
      </w:r>
      <w:r w:rsidR="003C168D" w:rsidRPr="00813D19">
        <w:rPr>
          <w:lang w:val="en-US"/>
        </w:rPr>
        <w:t>n their</w:t>
      </w:r>
      <w:r w:rsidR="00B91F92" w:rsidRPr="00813D19">
        <w:rPr>
          <w:lang w:val="en-US"/>
        </w:rPr>
        <w:t xml:space="preserve"> f</w:t>
      </w:r>
      <w:r w:rsidR="003C168D" w:rsidRPr="00813D19">
        <w:rPr>
          <w:lang w:val="en-US"/>
        </w:rPr>
        <w:t xml:space="preserve">ree, prior and informed consent so that they </w:t>
      </w:r>
      <w:r w:rsidR="00DC3685" w:rsidRPr="00813D19">
        <w:rPr>
          <w:lang w:val="en-US"/>
        </w:rPr>
        <w:t>sp</w:t>
      </w:r>
      <w:r w:rsidR="00DC3685">
        <w:rPr>
          <w:lang w:val="en-US"/>
        </w:rPr>
        <w:t>oke</w:t>
      </w:r>
      <w:r w:rsidR="00DC3685" w:rsidRPr="00813D19">
        <w:rPr>
          <w:lang w:val="en-US"/>
        </w:rPr>
        <w:t xml:space="preserve"> </w:t>
      </w:r>
      <w:r w:rsidR="003C168D" w:rsidRPr="00813D19">
        <w:rPr>
          <w:lang w:val="en-US"/>
        </w:rPr>
        <w:t xml:space="preserve">as legitimate </w:t>
      </w:r>
      <w:r w:rsidR="00B91F92" w:rsidRPr="00813D19">
        <w:rPr>
          <w:lang w:val="en-US"/>
        </w:rPr>
        <w:t>representatives on behalf of the</w:t>
      </w:r>
      <w:r w:rsidR="00E47556" w:rsidRPr="00813D19">
        <w:rPr>
          <w:lang w:val="en-US"/>
        </w:rPr>
        <w:t>ir</w:t>
      </w:r>
      <w:r w:rsidR="003C168D" w:rsidRPr="00813D19">
        <w:rPr>
          <w:lang w:val="en-US"/>
        </w:rPr>
        <w:t xml:space="preserve"> communities. This had</w:t>
      </w:r>
      <w:r w:rsidR="00B91F92" w:rsidRPr="00813D19">
        <w:rPr>
          <w:lang w:val="en-US"/>
        </w:rPr>
        <w:t xml:space="preserve"> been the reas</w:t>
      </w:r>
      <w:r w:rsidR="003C168D" w:rsidRPr="00813D19">
        <w:rPr>
          <w:lang w:val="en-US"/>
        </w:rPr>
        <w:t>on for referrals under criteria</w:t>
      </w:r>
      <w:r w:rsidR="00B91F92" w:rsidRPr="00813D19">
        <w:rPr>
          <w:lang w:val="en-US"/>
        </w:rPr>
        <w:t xml:space="preserve"> 3 and 4 in the case of nominations to both the Representative and </w:t>
      </w:r>
      <w:r w:rsidR="003C168D" w:rsidRPr="00813D19">
        <w:rPr>
          <w:lang w:val="en-US"/>
        </w:rPr>
        <w:t xml:space="preserve">the </w:t>
      </w:r>
      <w:r w:rsidR="00B91F92" w:rsidRPr="00813D19">
        <w:rPr>
          <w:lang w:val="en-US"/>
        </w:rPr>
        <w:t xml:space="preserve">Urgent Safeguarding Lists </w:t>
      </w:r>
      <w:r w:rsidR="00E47556" w:rsidRPr="00813D19">
        <w:rPr>
          <w:lang w:val="en-US"/>
        </w:rPr>
        <w:t xml:space="preserve">in </w:t>
      </w:r>
      <w:r w:rsidR="00B91F92" w:rsidRPr="00813D19">
        <w:rPr>
          <w:lang w:val="en-US"/>
        </w:rPr>
        <w:t xml:space="preserve">the current cycle. </w:t>
      </w:r>
      <w:r w:rsidR="003C168D" w:rsidRPr="00813D19">
        <w:rPr>
          <w:lang w:val="en-US"/>
        </w:rPr>
        <w:t xml:space="preserve">The delegation </w:t>
      </w:r>
      <w:r w:rsidR="00B91F92" w:rsidRPr="00813D19">
        <w:rPr>
          <w:lang w:val="en-US"/>
        </w:rPr>
        <w:t>believe</w:t>
      </w:r>
      <w:r w:rsidR="003C168D" w:rsidRPr="00813D19">
        <w:rPr>
          <w:lang w:val="en-US"/>
        </w:rPr>
        <w:t>d</w:t>
      </w:r>
      <w:r w:rsidR="00B91F92" w:rsidRPr="00813D19">
        <w:rPr>
          <w:lang w:val="en-US"/>
        </w:rPr>
        <w:t xml:space="preserve"> </w:t>
      </w:r>
      <w:r w:rsidR="003C168D" w:rsidRPr="00813D19">
        <w:rPr>
          <w:lang w:val="en-US"/>
        </w:rPr>
        <w:t xml:space="preserve">that </w:t>
      </w:r>
      <w:r w:rsidR="00B91F92" w:rsidRPr="00813D19">
        <w:rPr>
          <w:lang w:val="en-US"/>
        </w:rPr>
        <w:t xml:space="preserve">this could potentially </w:t>
      </w:r>
      <w:r w:rsidR="003C168D" w:rsidRPr="00813D19">
        <w:rPr>
          <w:lang w:val="en-US"/>
        </w:rPr>
        <w:t xml:space="preserve">be </w:t>
      </w:r>
      <w:r w:rsidR="00B91F92" w:rsidRPr="00813D19">
        <w:rPr>
          <w:lang w:val="en-US"/>
        </w:rPr>
        <w:t>avoided in future cycles by integrating a specific</w:t>
      </w:r>
      <w:r w:rsidR="003C168D" w:rsidRPr="00813D19">
        <w:rPr>
          <w:lang w:val="en-US"/>
        </w:rPr>
        <w:t xml:space="preserve"> question in</w:t>
      </w:r>
      <w:r w:rsidR="00DC3685">
        <w:rPr>
          <w:lang w:val="en-US"/>
        </w:rPr>
        <w:t>to</w:t>
      </w:r>
      <w:r w:rsidR="003C168D" w:rsidRPr="00813D19">
        <w:rPr>
          <w:lang w:val="en-US"/>
        </w:rPr>
        <w:t xml:space="preserve"> the nomination for</w:t>
      </w:r>
      <w:r w:rsidR="00B91F92" w:rsidRPr="00813D19">
        <w:rPr>
          <w:lang w:val="en-US"/>
        </w:rPr>
        <w:t xml:space="preserve">ms where States would be asked to explain how certain community members </w:t>
      </w:r>
      <w:r w:rsidR="003C168D" w:rsidRPr="00813D19">
        <w:rPr>
          <w:lang w:val="en-US"/>
        </w:rPr>
        <w:t xml:space="preserve">had </w:t>
      </w:r>
      <w:r w:rsidR="00B91F92" w:rsidRPr="00813D19">
        <w:rPr>
          <w:lang w:val="en-US"/>
        </w:rPr>
        <w:t>been chosen to represent their communities</w:t>
      </w:r>
      <w:r w:rsidR="003C168D" w:rsidRPr="00813D19">
        <w:rPr>
          <w:lang w:val="en-US"/>
        </w:rPr>
        <w:t>,</w:t>
      </w:r>
      <w:r w:rsidR="00B91F92" w:rsidRPr="00813D19">
        <w:rPr>
          <w:lang w:val="en-US"/>
        </w:rPr>
        <w:t xml:space="preserve"> and </w:t>
      </w:r>
      <w:r w:rsidR="003C168D" w:rsidRPr="00813D19">
        <w:rPr>
          <w:lang w:val="en-US"/>
        </w:rPr>
        <w:t xml:space="preserve">it had </w:t>
      </w:r>
      <w:r w:rsidR="00B91F92" w:rsidRPr="00813D19">
        <w:rPr>
          <w:lang w:val="en-US"/>
        </w:rPr>
        <w:t xml:space="preserve">proposed a draft amendment to the decision in this regard. Regarding the examination of criteria R.2 and R.3, </w:t>
      </w:r>
      <w:r w:rsidR="00E47556" w:rsidRPr="00813D19">
        <w:rPr>
          <w:lang w:val="en-US"/>
        </w:rPr>
        <w:t>it was noted</w:t>
      </w:r>
      <w:r w:rsidR="00B91F92" w:rsidRPr="00813D19">
        <w:rPr>
          <w:lang w:val="en-US"/>
        </w:rPr>
        <w:t xml:space="preserve"> that often the draft decisions refer</w:t>
      </w:r>
      <w:r w:rsidR="003C168D" w:rsidRPr="00813D19">
        <w:rPr>
          <w:lang w:val="en-US"/>
        </w:rPr>
        <w:t>red</w:t>
      </w:r>
      <w:r w:rsidR="00B91F92" w:rsidRPr="00813D19">
        <w:rPr>
          <w:lang w:val="en-US"/>
        </w:rPr>
        <w:t xml:space="preserve"> to safeguarding </w:t>
      </w:r>
      <w:r w:rsidR="00B91F92" w:rsidRPr="00813D19">
        <w:rPr>
          <w:i/>
          <w:lang w:val="en-US"/>
        </w:rPr>
        <w:t>plans</w:t>
      </w:r>
      <w:r w:rsidR="003C168D" w:rsidRPr="00813D19">
        <w:rPr>
          <w:lang w:val="en-US"/>
        </w:rPr>
        <w:t>,</w:t>
      </w:r>
      <w:r w:rsidR="00B91F92" w:rsidRPr="00813D19">
        <w:rPr>
          <w:lang w:val="en-US"/>
        </w:rPr>
        <w:t xml:space="preserve"> </w:t>
      </w:r>
      <w:r w:rsidR="003C168D" w:rsidRPr="00813D19">
        <w:rPr>
          <w:lang w:val="en-US"/>
        </w:rPr>
        <w:t xml:space="preserve">whereas </w:t>
      </w:r>
      <w:r w:rsidR="00B91F92" w:rsidRPr="00813D19">
        <w:rPr>
          <w:lang w:val="en-US"/>
        </w:rPr>
        <w:t>criterion R.3 requ</w:t>
      </w:r>
      <w:r w:rsidR="003C168D" w:rsidRPr="00813D19">
        <w:rPr>
          <w:lang w:val="en-US"/>
        </w:rPr>
        <w:t>ired</w:t>
      </w:r>
      <w:r w:rsidR="00B91F92" w:rsidRPr="00813D19">
        <w:rPr>
          <w:lang w:val="en-US"/>
        </w:rPr>
        <w:t xml:space="preserve"> </w:t>
      </w:r>
      <w:r w:rsidR="00B91F92" w:rsidRPr="00813D19">
        <w:rPr>
          <w:i/>
          <w:lang w:val="en-US"/>
        </w:rPr>
        <w:t>measures</w:t>
      </w:r>
      <w:r w:rsidR="00B91F92" w:rsidRPr="00813D19">
        <w:rPr>
          <w:lang w:val="en-US"/>
        </w:rPr>
        <w:t xml:space="preserve"> to be described </w:t>
      </w:r>
      <w:r w:rsidR="003C168D" w:rsidRPr="00813D19">
        <w:rPr>
          <w:lang w:val="en-US"/>
        </w:rPr>
        <w:t xml:space="preserve">as cited </w:t>
      </w:r>
      <w:r w:rsidR="00B91F92" w:rsidRPr="00813D19">
        <w:rPr>
          <w:lang w:val="en-US"/>
        </w:rPr>
        <w:t xml:space="preserve">in the nomination form and paragraph 2 of the Operational Directives. </w:t>
      </w:r>
      <w:r w:rsidR="003C168D" w:rsidRPr="00813D19">
        <w:rPr>
          <w:lang w:val="en-US"/>
        </w:rPr>
        <w:t xml:space="preserve">It was thus important to distinguish </w:t>
      </w:r>
      <w:r w:rsidR="00B91F92" w:rsidRPr="00813D19">
        <w:rPr>
          <w:lang w:val="en-US"/>
        </w:rPr>
        <w:t xml:space="preserve">between </w:t>
      </w:r>
      <w:r w:rsidR="003C168D" w:rsidRPr="00813D19">
        <w:rPr>
          <w:i/>
          <w:lang w:val="en-US"/>
        </w:rPr>
        <w:t>measures</w:t>
      </w:r>
      <w:r w:rsidR="003C168D" w:rsidRPr="00813D19">
        <w:rPr>
          <w:lang w:val="en-US"/>
        </w:rPr>
        <w:t xml:space="preserve"> and </w:t>
      </w:r>
      <w:r w:rsidR="003C168D" w:rsidRPr="00813D19">
        <w:rPr>
          <w:i/>
          <w:lang w:val="en-US"/>
        </w:rPr>
        <w:t>plan</w:t>
      </w:r>
      <w:r w:rsidR="00B91F92" w:rsidRPr="00813D19">
        <w:rPr>
          <w:lang w:val="en-US"/>
        </w:rPr>
        <w:t xml:space="preserve"> for safeguarding</w:t>
      </w:r>
      <w:r w:rsidR="003C168D" w:rsidRPr="00813D19">
        <w:rPr>
          <w:lang w:val="en-US"/>
        </w:rPr>
        <w:t>,</w:t>
      </w:r>
      <w:r w:rsidR="00B91F92" w:rsidRPr="00813D19">
        <w:rPr>
          <w:lang w:val="en-US"/>
        </w:rPr>
        <w:t xml:space="preserve"> </w:t>
      </w:r>
      <w:r w:rsidR="003C168D" w:rsidRPr="00813D19">
        <w:rPr>
          <w:lang w:val="en-US"/>
        </w:rPr>
        <w:t xml:space="preserve">as </w:t>
      </w:r>
      <w:r w:rsidR="00B91F92" w:rsidRPr="00813D19">
        <w:rPr>
          <w:lang w:val="en-US"/>
        </w:rPr>
        <w:t>the nature of crite</w:t>
      </w:r>
      <w:r w:rsidR="003C168D" w:rsidRPr="00813D19">
        <w:rPr>
          <w:lang w:val="en-US"/>
        </w:rPr>
        <w:t>ria in both L</w:t>
      </w:r>
      <w:r w:rsidR="00B91F92" w:rsidRPr="00813D19">
        <w:rPr>
          <w:lang w:val="en-US"/>
        </w:rPr>
        <w:t xml:space="preserve">ists </w:t>
      </w:r>
      <w:r w:rsidR="00DC3685">
        <w:rPr>
          <w:lang w:val="en-US"/>
        </w:rPr>
        <w:t>were</w:t>
      </w:r>
      <w:r w:rsidR="00DC3685" w:rsidRPr="00813D19">
        <w:rPr>
          <w:lang w:val="en-US"/>
        </w:rPr>
        <w:t xml:space="preserve"> </w:t>
      </w:r>
      <w:r w:rsidR="00B91F92" w:rsidRPr="00813D19">
        <w:rPr>
          <w:lang w:val="en-US"/>
        </w:rPr>
        <w:t>different</w:t>
      </w:r>
      <w:r w:rsidR="003C168D" w:rsidRPr="00813D19">
        <w:rPr>
          <w:lang w:val="en-US"/>
        </w:rPr>
        <w:t>,</w:t>
      </w:r>
      <w:r w:rsidR="00B91F92" w:rsidRPr="00813D19">
        <w:rPr>
          <w:lang w:val="en-US"/>
        </w:rPr>
        <w:t xml:space="preserve"> and a draft amendment on this issue</w:t>
      </w:r>
      <w:r w:rsidR="003C168D" w:rsidRPr="00813D19">
        <w:rPr>
          <w:lang w:val="en-US"/>
        </w:rPr>
        <w:t xml:space="preserve"> </w:t>
      </w:r>
      <w:r w:rsidR="00E47556" w:rsidRPr="00813D19">
        <w:rPr>
          <w:lang w:val="en-US"/>
        </w:rPr>
        <w:t xml:space="preserve">was </w:t>
      </w:r>
      <w:r w:rsidR="003C168D" w:rsidRPr="00813D19">
        <w:rPr>
          <w:lang w:val="en-US"/>
        </w:rPr>
        <w:t>proposed</w:t>
      </w:r>
      <w:r w:rsidR="00B91F92" w:rsidRPr="00813D19">
        <w:rPr>
          <w:lang w:val="en-US"/>
        </w:rPr>
        <w:t xml:space="preserve">. Finally, </w:t>
      </w:r>
      <w:r w:rsidR="003C168D" w:rsidRPr="00813D19">
        <w:rPr>
          <w:lang w:val="en-US"/>
        </w:rPr>
        <w:t xml:space="preserve">the </w:t>
      </w:r>
      <w:r w:rsidR="00B91F92" w:rsidRPr="00813D19">
        <w:rPr>
          <w:lang w:val="en-US"/>
        </w:rPr>
        <w:t xml:space="preserve">delegation noted that the Evaluation Body did not present options with </w:t>
      </w:r>
      <w:r w:rsidR="003C168D" w:rsidRPr="00813D19">
        <w:rPr>
          <w:lang w:val="en-US"/>
        </w:rPr>
        <w:t>regard to criterion R.5, as in prev</w:t>
      </w:r>
      <w:r w:rsidR="009D3633">
        <w:rPr>
          <w:lang w:val="en-US"/>
        </w:rPr>
        <w:t>i</w:t>
      </w:r>
      <w:r w:rsidR="003C168D" w:rsidRPr="00813D19">
        <w:rPr>
          <w:lang w:val="en-US"/>
        </w:rPr>
        <w:t xml:space="preserve">ous years, adding that </w:t>
      </w:r>
      <w:r w:rsidR="00B91F92" w:rsidRPr="00813D19">
        <w:rPr>
          <w:lang w:val="en-US"/>
        </w:rPr>
        <w:t xml:space="preserve">a similar approach could still have been applied in </w:t>
      </w:r>
      <w:r w:rsidR="003C168D" w:rsidRPr="00813D19">
        <w:rPr>
          <w:lang w:val="en-US"/>
        </w:rPr>
        <w:t xml:space="preserve">a </w:t>
      </w:r>
      <w:r w:rsidR="00B91F92" w:rsidRPr="00813D19">
        <w:rPr>
          <w:lang w:val="en-US"/>
        </w:rPr>
        <w:t xml:space="preserve">number of nominations </w:t>
      </w:r>
      <w:r w:rsidR="003C168D" w:rsidRPr="00813D19">
        <w:rPr>
          <w:lang w:val="en-US"/>
        </w:rPr>
        <w:t>in this cycle, e</w:t>
      </w:r>
      <w:r w:rsidR="00B91F92" w:rsidRPr="00813D19">
        <w:rPr>
          <w:lang w:val="en-US"/>
        </w:rPr>
        <w:t xml:space="preserve">ven if other criteria within the same files had issues that </w:t>
      </w:r>
      <w:r w:rsidR="003C168D" w:rsidRPr="00813D19">
        <w:rPr>
          <w:lang w:val="en-US"/>
        </w:rPr>
        <w:t xml:space="preserve">required </w:t>
      </w:r>
      <w:r w:rsidR="00E41386">
        <w:rPr>
          <w:lang w:val="en-US"/>
        </w:rPr>
        <w:t>clarification.</w:t>
      </w:r>
    </w:p>
    <w:p w14:paraId="00E380FA" w14:textId="057B355E" w:rsidR="00480128" w:rsidRPr="00813D19" w:rsidRDefault="00CF0FA0" w:rsidP="003C648C">
      <w:pPr>
        <w:pStyle w:val="Orateurengris"/>
        <w:spacing w:before="120"/>
        <w:ind w:left="709" w:hanging="709"/>
        <w:rPr>
          <w:lang w:val="en-US"/>
        </w:rPr>
      </w:pPr>
      <w:r w:rsidRPr="00813D19">
        <w:rPr>
          <w:lang w:val="en-US"/>
        </w:rPr>
        <w:t xml:space="preserve">The </w:t>
      </w:r>
      <w:r w:rsidRPr="00813D19">
        <w:rPr>
          <w:b/>
          <w:lang w:val="en-US"/>
        </w:rPr>
        <w:t>delegation of Senegal</w:t>
      </w:r>
      <w:r w:rsidR="00B91F92" w:rsidRPr="00813D19">
        <w:rPr>
          <w:b/>
          <w:lang w:val="en-US"/>
        </w:rPr>
        <w:t xml:space="preserve"> </w:t>
      </w:r>
      <w:r w:rsidR="003C648C" w:rsidRPr="00813D19">
        <w:rPr>
          <w:lang w:val="en-US"/>
        </w:rPr>
        <w:t>warmly</w:t>
      </w:r>
      <w:r w:rsidR="003C648C" w:rsidRPr="00813D19">
        <w:rPr>
          <w:b/>
          <w:lang w:val="en-US"/>
        </w:rPr>
        <w:t xml:space="preserve"> </w:t>
      </w:r>
      <w:r w:rsidR="00480128" w:rsidRPr="00813D19">
        <w:rPr>
          <w:lang w:val="en-US"/>
        </w:rPr>
        <w:t>congratulate</w:t>
      </w:r>
      <w:r w:rsidR="003C648C" w:rsidRPr="00813D19">
        <w:rPr>
          <w:lang w:val="en-US"/>
        </w:rPr>
        <w:t>d</w:t>
      </w:r>
      <w:r w:rsidR="00480128" w:rsidRPr="00813D19">
        <w:rPr>
          <w:lang w:val="en-US"/>
        </w:rPr>
        <w:t xml:space="preserve"> the </w:t>
      </w:r>
      <w:r w:rsidR="007A3ED6" w:rsidRPr="00813D19">
        <w:rPr>
          <w:lang w:val="en-US"/>
        </w:rPr>
        <w:t xml:space="preserve">Evaluation Body </w:t>
      </w:r>
      <w:r w:rsidR="00480128" w:rsidRPr="00813D19">
        <w:rPr>
          <w:lang w:val="en-US"/>
        </w:rPr>
        <w:t xml:space="preserve">on </w:t>
      </w:r>
      <w:r w:rsidR="00E47556" w:rsidRPr="00813D19">
        <w:rPr>
          <w:lang w:val="en-US"/>
        </w:rPr>
        <w:t>its</w:t>
      </w:r>
      <w:r w:rsidR="00480128" w:rsidRPr="00813D19">
        <w:rPr>
          <w:lang w:val="en-US"/>
        </w:rPr>
        <w:t xml:space="preserve"> work</w:t>
      </w:r>
      <w:r w:rsidR="001E0B6A" w:rsidRPr="00813D19">
        <w:rPr>
          <w:lang w:val="en-US"/>
        </w:rPr>
        <w:t xml:space="preserve">, and for the very </w:t>
      </w:r>
      <w:r w:rsidR="00480128" w:rsidRPr="00813D19">
        <w:rPr>
          <w:lang w:val="en-US"/>
        </w:rPr>
        <w:t xml:space="preserve">detailed </w:t>
      </w:r>
      <w:r w:rsidR="001E0B6A" w:rsidRPr="00813D19">
        <w:rPr>
          <w:lang w:val="en-US"/>
        </w:rPr>
        <w:t xml:space="preserve">report </w:t>
      </w:r>
      <w:r w:rsidR="00480128" w:rsidRPr="00813D19">
        <w:rPr>
          <w:lang w:val="en-US"/>
        </w:rPr>
        <w:t xml:space="preserve">and </w:t>
      </w:r>
      <w:r w:rsidR="00750932" w:rsidRPr="00813D19">
        <w:rPr>
          <w:lang w:val="en-US"/>
        </w:rPr>
        <w:t xml:space="preserve">the </w:t>
      </w:r>
      <w:r w:rsidR="00480128" w:rsidRPr="00813D19">
        <w:rPr>
          <w:lang w:val="en-US"/>
        </w:rPr>
        <w:t xml:space="preserve">many proposals </w:t>
      </w:r>
      <w:r w:rsidR="00750932" w:rsidRPr="00813D19">
        <w:rPr>
          <w:lang w:val="en-US"/>
        </w:rPr>
        <w:t xml:space="preserve">working towards the </w:t>
      </w:r>
      <w:r w:rsidR="00480128" w:rsidRPr="00813D19">
        <w:rPr>
          <w:lang w:val="en-US"/>
        </w:rPr>
        <w:t xml:space="preserve">communication </w:t>
      </w:r>
      <w:r w:rsidR="00750932" w:rsidRPr="00813D19">
        <w:rPr>
          <w:lang w:val="en-US"/>
        </w:rPr>
        <w:t xml:space="preserve">aspect </w:t>
      </w:r>
      <w:r w:rsidR="00480128" w:rsidRPr="00813D19">
        <w:rPr>
          <w:lang w:val="en-US"/>
        </w:rPr>
        <w:t xml:space="preserve">between </w:t>
      </w:r>
      <w:r w:rsidR="00750932" w:rsidRPr="00813D19">
        <w:rPr>
          <w:lang w:val="en-US"/>
        </w:rPr>
        <w:t xml:space="preserve">the </w:t>
      </w:r>
      <w:r w:rsidR="00480128" w:rsidRPr="00813D19">
        <w:rPr>
          <w:lang w:val="en-US"/>
        </w:rPr>
        <w:t>submitting States and the Body. This question w</w:t>
      </w:r>
      <w:r w:rsidR="00DC3685">
        <w:rPr>
          <w:lang w:val="en-US"/>
        </w:rPr>
        <w:t>ould</w:t>
      </w:r>
      <w:r w:rsidR="00480128" w:rsidRPr="00813D19">
        <w:rPr>
          <w:lang w:val="en-US"/>
        </w:rPr>
        <w:t xml:space="preserve"> certainly be taken into account in the working group, especially </w:t>
      </w:r>
      <w:r w:rsidR="00750932" w:rsidRPr="00813D19">
        <w:rPr>
          <w:lang w:val="en-US"/>
        </w:rPr>
        <w:t xml:space="preserve">as it </w:t>
      </w:r>
      <w:r w:rsidR="00DC3685">
        <w:rPr>
          <w:lang w:val="en-US"/>
        </w:rPr>
        <w:t>had been</w:t>
      </w:r>
      <w:r w:rsidR="00750932" w:rsidRPr="00813D19">
        <w:rPr>
          <w:lang w:val="en-US"/>
        </w:rPr>
        <w:t xml:space="preserve"> an ongoing topic </w:t>
      </w:r>
      <w:r w:rsidR="00E47556" w:rsidRPr="00813D19">
        <w:rPr>
          <w:lang w:val="en-US"/>
        </w:rPr>
        <w:t xml:space="preserve">over </w:t>
      </w:r>
      <w:r w:rsidR="00750932" w:rsidRPr="00813D19">
        <w:rPr>
          <w:lang w:val="en-US"/>
        </w:rPr>
        <w:t xml:space="preserve">the past </w:t>
      </w:r>
      <w:r w:rsidR="00480128" w:rsidRPr="00813D19">
        <w:rPr>
          <w:lang w:val="en-US"/>
        </w:rPr>
        <w:t xml:space="preserve">two years. As </w:t>
      </w:r>
      <w:r w:rsidR="00750932" w:rsidRPr="00813D19">
        <w:rPr>
          <w:lang w:val="en-US"/>
        </w:rPr>
        <w:t xml:space="preserve">mentioned by </w:t>
      </w:r>
      <w:r w:rsidR="00480128" w:rsidRPr="00813D19">
        <w:rPr>
          <w:lang w:val="en-US"/>
        </w:rPr>
        <w:t xml:space="preserve">Azerbaijan, criterion R.2 </w:t>
      </w:r>
      <w:r w:rsidR="00750932" w:rsidRPr="00813D19">
        <w:rPr>
          <w:lang w:val="en-US"/>
        </w:rPr>
        <w:t xml:space="preserve">remained </w:t>
      </w:r>
      <w:r w:rsidR="00480128" w:rsidRPr="00813D19">
        <w:rPr>
          <w:lang w:val="en-US"/>
        </w:rPr>
        <w:t>problem</w:t>
      </w:r>
      <w:r w:rsidR="00E47556" w:rsidRPr="00813D19">
        <w:rPr>
          <w:lang w:val="en-US"/>
        </w:rPr>
        <w:t>atic</w:t>
      </w:r>
      <w:r w:rsidR="00480128" w:rsidRPr="00813D19">
        <w:rPr>
          <w:lang w:val="en-US"/>
        </w:rPr>
        <w:t xml:space="preserve">, </w:t>
      </w:r>
      <w:r w:rsidR="00750932" w:rsidRPr="00813D19">
        <w:rPr>
          <w:lang w:val="en-US"/>
        </w:rPr>
        <w:t xml:space="preserve">and the Committee </w:t>
      </w:r>
      <w:r w:rsidR="00DC3685">
        <w:rPr>
          <w:lang w:val="en-US"/>
        </w:rPr>
        <w:t>needed to</w:t>
      </w:r>
      <w:r w:rsidR="00DC3685" w:rsidRPr="00813D19">
        <w:rPr>
          <w:lang w:val="en-US"/>
        </w:rPr>
        <w:t xml:space="preserve"> </w:t>
      </w:r>
      <w:r w:rsidR="00480128" w:rsidRPr="00813D19">
        <w:rPr>
          <w:lang w:val="en-US"/>
        </w:rPr>
        <w:t>work towards a better understanding of this criterion</w:t>
      </w:r>
      <w:r w:rsidR="00750932" w:rsidRPr="00813D19">
        <w:rPr>
          <w:lang w:val="en-US"/>
        </w:rPr>
        <w:t xml:space="preserve"> so that it </w:t>
      </w:r>
      <w:r w:rsidR="00DC3685">
        <w:rPr>
          <w:lang w:val="en-US"/>
        </w:rPr>
        <w:t>was</w:t>
      </w:r>
      <w:r w:rsidR="00750932" w:rsidRPr="00813D19">
        <w:rPr>
          <w:lang w:val="en-US"/>
        </w:rPr>
        <w:t xml:space="preserve"> better justified and</w:t>
      </w:r>
      <w:r w:rsidR="00480128" w:rsidRPr="00813D19">
        <w:rPr>
          <w:lang w:val="en-US"/>
        </w:rPr>
        <w:t xml:space="preserve"> </w:t>
      </w:r>
      <w:r w:rsidR="00750932" w:rsidRPr="00813D19">
        <w:rPr>
          <w:lang w:val="en-US"/>
        </w:rPr>
        <w:t xml:space="preserve">presented </w:t>
      </w:r>
      <w:r w:rsidR="00480128" w:rsidRPr="00813D19">
        <w:rPr>
          <w:lang w:val="en-US"/>
        </w:rPr>
        <w:t xml:space="preserve">in </w:t>
      </w:r>
      <w:r w:rsidR="00750932" w:rsidRPr="00813D19">
        <w:rPr>
          <w:lang w:val="en-US"/>
        </w:rPr>
        <w:t>the nomination files</w:t>
      </w:r>
      <w:r w:rsidR="00480128" w:rsidRPr="00813D19">
        <w:rPr>
          <w:lang w:val="en-US"/>
        </w:rPr>
        <w:t xml:space="preserve">. </w:t>
      </w:r>
      <w:r w:rsidR="00750932" w:rsidRPr="00813D19">
        <w:rPr>
          <w:lang w:val="en-US"/>
        </w:rPr>
        <w:t xml:space="preserve">The delegation also brought up the issue of the </w:t>
      </w:r>
      <w:r w:rsidR="00480128" w:rsidRPr="00813D19">
        <w:rPr>
          <w:lang w:val="en-US"/>
        </w:rPr>
        <w:t xml:space="preserve">names of the elements. </w:t>
      </w:r>
      <w:r w:rsidR="00750932" w:rsidRPr="00813D19">
        <w:rPr>
          <w:lang w:val="en-US"/>
        </w:rPr>
        <w:t xml:space="preserve">In the case </w:t>
      </w:r>
      <w:r w:rsidR="00480128" w:rsidRPr="00813D19">
        <w:rPr>
          <w:lang w:val="en-US"/>
        </w:rPr>
        <w:t>of Africa</w:t>
      </w:r>
      <w:r w:rsidR="00750932" w:rsidRPr="00813D19">
        <w:rPr>
          <w:lang w:val="en-US"/>
        </w:rPr>
        <w:t>,</w:t>
      </w:r>
      <w:r w:rsidR="00480128" w:rsidRPr="00813D19">
        <w:rPr>
          <w:lang w:val="en-US"/>
        </w:rPr>
        <w:t xml:space="preserve"> </w:t>
      </w:r>
      <w:r w:rsidR="00750932" w:rsidRPr="00813D19">
        <w:rPr>
          <w:lang w:val="en-US"/>
        </w:rPr>
        <w:t xml:space="preserve">for example, </w:t>
      </w:r>
      <w:r w:rsidR="00480128" w:rsidRPr="00813D19">
        <w:rPr>
          <w:lang w:val="en-US"/>
        </w:rPr>
        <w:t xml:space="preserve">where borders </w:t>
      </w:r>
      <w:r w:rsidR="00750932" w:rsidRPr="00813D19">
        <w:rPr>
          <w:lang w:val="en-US"/>
        </w:rPr>
        <w:t xml:space="preserve">are </w:t>
      </w:r>
      <w:r w:rsidR="00480128" w:rsidRPr="00813D19">
        <w:rPr>
          <w:lang w:val="en-US"/>
        </w:rPr>
        <w:t>artificial</w:t>
      </w:r>
      <w:r w:rsidR="00750932" w:rsidRPr="00813D19">
        <w:rPr>
          <w:lang w:val="en-US"/>
        </w:rPr>
        <w:t xml:space="preserve"> because of colonization</w:t>
      </w:r>
      <w:r w:rsidR="00480128" w:rsidRPr="00813D19">
        <w:rPr>
          <w:lang w:val="en-US"/>
        </w:rPr>
        <w:t xml:space="preserve">, </w:t>
      </w:r>
      <w:r w:rsidR="00750932" w:rsidRPr="00813D19">
        <w:rPr>
          <w:lang w:val="en-US"/>
        </w:rPr>
        <w:t xml:space="preserve">part of a </w:t>
      </w:r>
      <w:r w:rsidR="00480128" w:rsidRPr="00813D19">
        <w:rPr>
          <w:lang w:val="en-US"/>
        </w:rPr>
        <w:t xml:space="preserve">village </w:t>
      </w:r>
      <w:r w:rsidR="00750932" w:rsidRPr="00813D19">
        <w:rPr>
          <w:lang w:val="en-US"/>
        </w:rPr>
        <w:t xml:space="preserve">may be found in an English-speaking country whereas </w:t>
      </w:r>
      <w:r w:rsidR="00480128" w:rsidRPr="00813D19">
        <w:rPr>
          <w:lang w:val="en-US"/>
        </w:rPr>
        <w:t xml:space="preserve">another part </w:t>
      </w:r>
      <w:r w:rsidR="00750932" w:rsidRPr="00813D19">
        <w:rPr>
          <w:lang w:val="en-US"/>
        </w:rPr>
        <w:t xml:space="preserve">is in another Republic, yet they share the same culture and </w:t>
      </w:r>
      <w:r w:rsidR="00480128" w:rsidRPr="00813D19">
        <w:rPr>
          <w:lang w:val="en-US"/>
        </w:rPr>
        <w:t>rites</w:t>
      </w:r>
      <w:r w:rsidR="00750932" w:rsidRPr="00813D19">
        <w:rPr>
          <w:lang w:val="en-US"/>
        </w:rPr>
        <w:t>,</w:t>
      </w:r>
      <w:r w:rsidR="00480128" w:rsidRPr="00813D19">
        <w:rPr>
          <w:lang w:val="en-US"/>
        </w:rPr>
        <w:t xml:space="preserve"> </w:t>
      </w:r>
      <w:r w:rsidR="00750932" w:rsidRPr="00813D19">
        <w:rPr>
          <w:lang w:val="en-US"/>
        </w:rPr>
        <w:t xml:space="preserve">have the same names and use the </w:t>
      </w:r>
      <w:r w:rsidR="00480128" w:rsidRPr="00813D19">
        <w:rPr>
          <w:lang w:val="en-US"/>
        </w:rPr>
        <w:t>same language.</w:t>
      </w:r>
      <w:r w:rsidR="00750932" w:rsidRPr="00813D19">
        <w:rPr>
          <w:lang w:val="en-US"/>
        </w:rPr>
        <w:t xml:space="preserve"> Joint inscriptions should therefore be encouraged, as </w:t>
      </w:r>
      <w:r w:rsidR="00E47556" w:rsidRPr="00813D19">
        <w:rPr>
          <w:lang w:val="en-US"/>
        </w:rPr>
        <w:t>in</w:t>
      </w:r>
      <w:r w:rsidR="00750932" w:rsidRPr="00813D19">
        <w:rPr>
          <w:lang w:val="en-US"/>
        </w:rPr>
        <w:t xml:space="preserve"> the case </w:t>
      </w:r>
      <w:r w:rsidR="00E47556" w:rsidRPr="00813D19">
        <w:rPr>
          <w:lang w:val="en-US"/>
        </w:rPr>
        <w:t xml:space="preserve">of </w:t>
      </w:r>
      <w:r w:rsidR="00750932" w:rsidRPr="00813D19">
        <w:rPr>
          <w:lang w:val="en-US"/>
        </w:rPr>
        <w:t xml:space="preserve">Senegal </w:t>
      </w:r>
      <w:r w:rsidR="00970969" w:rsidRPr="00813D19">
        <w:rPr>
          <w:lang w:val="en-US"/>
        </w:rPr>
        <w:t>with</w:t>
      </w:r>
      <w:r w:rsidR="00750932" w:rsidRPr="00813D19">
        <w:rPr>
          <w:lang w:val="en-US"/>
        </w:rPr>
        <w:t xml:space="preserve"> Kankurang</w:t>
      </w:r>
      <w:r w:rsidR="00970969" w:rsidRPr="00813D19">
        <w:rPr>
          <w:lang w:val="en-US"/>
        </w:rPr>
        <w:t>, Mandling initiatory rite</w:t>
      </w:r>
      <w:r w:rsidR="00E47556" w:rsidRPr="00813D19">
        <w:rPr>
          <w:lang w:val="en-US"/>
        </w:rPr>
        <w:t xml:space="preserve">, which </w:t>
      </w:r>
      <w:r w:rsidR="00970969" w:rsidRPr="00813D19">
        <w:rPr>
          <w:lang w:val="en-US"/>
        </w:rPr>
        <w:t>joined w</w:t>
      </w:r>
      <w:r w:rsidR="00750932" w:rsidRPr="00813D19">
        <w:rPr>
          <w:lang w:val="en-US"/>
        </w:rPr>
        <w:t xml:space="preserve">ith Gambia, </w:t>
      </w:r>
      <w:r w:rsidR="00970969" w:rsidRPr="00813D19">
        <w:rPr>
          <w:lang w:val="en-US"/>
        </w:rPr>
        <w:t>an autonomous Republic within the boundaries of</w:t>
      </w:r>
      <w:r w:rsidR="00750932" w:rsidRPr="00813D19">
        <w:rPr>
          <w:lang w:val="en-US"/>
        </w:rPr>
        <w:t xml:space="preserve"> Senegal</w:t>
      </w:r>
      <w:r w:rsidR="00970969" w:rsidRPr="00813D19">
        <w:rPr>
          <w:lang w:val="en-US"/>
        </w:rPr>
        <w:t xml:space="preserve">. Thus, </w:t>
      </w:r>
      <w:r w:rsidR="00750932" w:rsidRPr="00813D19">
        <w:rPr>
          <w:lang w:val="en-US"/>
        </w:rPr>
        <w:t xml:space="preserve">cultural continuity knows no boundaries. </w:t>
      </w:r>
      <w:r w:rsidR="00970969" w:rsidRPr="00813D19">
        <w:rPr>
          <w:lang w:val="en-US"/>
        </w:rPr>
        <w:t xml:space="preserve">This is the case </w:t>
      </w:r>
      <w:r w:rsidR="00750932" w:rsidRPr="00813D19">
        <w:rPr>
          <w:lang w:val="en-US"/>
        </w:rPr>
        <w:t xml:space="preserve">in almost all </w:t>
      </w:r>
      <w:r w:rsidR="00970969" w:rsidRPr="00813D19">
        <w:rPr>
          <w:lang w:val="en-US"/>
        </w:rPr>
        <w:t>African S</w:t>
      </w:r>
      <w:r w:rsidR="00750932" w:rsidRPr="00813D19">
        <w:rPr>
          <w:lang w:val="en-US"/>
        </w:rPr>
        <w:t xml:space="preserve">tates, especially in West Africa where </w:t>
      </w:r>
      <w:r w:rsidR="00970969" w:rsidRPr="00813D19">
        <w:rPr>
          <w:lang w:val="en-US"/>
        </w:rPr>
        <w:t>cultural expressions</w:t>
      </w:r>
      <w:r w:rsidR="00750932" w:rsidRPr="00813D19">
        <w:rPr>
          <w:lang w:val="en-US"/>
        </w:rPr>
        <w:t xml:space="preserve"> </w:t>
      </w:r>
      <w:r w:rsidR="00970969" w:rsidRPr="00813D19">
        <w:rPr>
          <w:lang w:val="en-US"/>
        </w:rPr>
        <w:t>share the same name and language</w:t>
      </w:r>
      <w:r w:rsidR="00750932" w:rsidRPr="00813D19">
        <w:rPr>
          <w:lang w:val="en-US"/>
        </w:rPr>
        <w:t xml:space="preserve"> </w:t>
      </w:r>
      <w:r w:rsidR="00970969" w:rsidRPr="00813D19">
        <w:rPr>
          <w:lang w:val="en-US"/>
        </w:rPr>
        <w:t>with</w:t>
      </w:r>
      <w:r w:rsidR="00750932" w:rsidRPr="00813D19">
        <w:rPr>
          <w:lang w:val="en-US"/>
        </w:rPr>
        <w:t xml:space="preserve">in the same ethnic groups. </w:t>
      </w:r>
      <w:r w:rsidR="00970969" w:rsidRPr="00813D19">
        <w:rPr>
          <w:lang w:val="en-US"/>
        </w:rPr>
        <w:t xml:space="preserve">That is </w:t>
      </w:r>
      <w:r w:rsidR="00750932" w:rsidRPr="00813D19">
        <w:rPr>
          <w:lang w:val="en-US"/>
        </w:rPr>
        <w:t xml:space="preserve">why multinational </w:t>
      </w:r>
      <w:r w:rsidR="00970969" w:rsidRPr="00813D19">
        <w:rPr>
          <w:lang w:val="en-US"/>
        </w:rPr>
        <w:t xml:space="preserve">inscriptions should be encouraged, even if </w:t>
      </w:r>
      <w:r w:rsidR="00750932" w:rsidRPr="00813D19">
        <w:rPr>
          <w:lang w:val="en-US"/>
        </w:rPr>
        <w:t>a country de</w:t>
      </w:r>
      <w:r w:rsidR="00E47556" w:rsidRPr="00813D19">
        <w:rPr>
          <w:lang w:val="en-US"/>
        </w:rPr>
        <w:t>cides</w:t>
      </w:r>
      <w:r w:rsidR="00970969" w:rsidRPr="00813D19">
        <w:rPr>
          <w:lang w:val="en-US"/>
        </w:rPr>
        <w:t xml:space="preserve"> to inscribe </w:t>
      </w:r>
      <w:r w:rsidR="007A3ED6" w:rsidRPr="00813D19">
        <w:rPr>
          <w:lang w:val="en-US"/>
        </w:rPr>
        <w:t xml:space="preserve">an element </w:t>
      </w:r>
      <w:r w:rsidR="00970969" w:rsidRPr="00813D19">
        <w:rPr>
          <w:lang w:val="en-US"/>
        </w:rPr>
        <w:t>alone</w:t>
      </w:r>
      <w:r w:rsidR="007A3ED6" w:rsidRPr="00813D19">
        <w:rPr>
          <w:lang w:val="en-US"/>
        </w:rPr>
        <w:t>,</w:t>
      </w:r>
      <w:r w:rsidR="00970969" w:rsidRPr="00813D19">
        <w:rPr>
          <w:lang w:val="en-US"/>
        </w:rPr>
        <w:t xml:space="preserve"> </w:t>
      </w:r>
      <w:r w:rsidR="007A3ED6" w:rsidRPr="00813D19">
        <w:rPr>
          <w:lang w:val="en-US"/>
        </w:rPr>
        <w:t xml:space="preserve">such as </w:t>
      </w:r>
      <w:r w:rsidR="00750932" w:rsidRPr="00813D19">
        <w:rPr>
          <w:lang w:val="en-US"/>
        </w:rPr>
        <w:t>Niger</w:t>
      </w:r>
      <w:r w:rsidR="007A3ED6" w:rsidRPr="00813D19">
        <w:rPr>
          <w:lang w:val="en-US"/>
        </w:rPr>
        <w:t xml:space="preserve"> with </w:t>
      </w:r>
      <w:r w:rsidR="00E47556" w:rsidRPr="00813D19">
        <w:rPr>
          <w:lang w:val="en-US"/>
        </w:rPr>
        <w:t>‘</w:t>
      </w:r>
      <w:r w:rsidR="007A3ED6" w:rsidRPr="00813D19">
        <w:rPr>
          <w:lang w:val="en-US"/>
        </w:rPr>
        <w:t xml:space="preserve">Practices and expressions of </w:t>
      </w:r>
      <w:r w:rsidR="00750932" w:rsidRPr="00813D19">
        <w:rPr>
          <w:lang w:val="en-US"/>
        </w:rPr>
        <w:t>joking relationships</w:t>
      </w:r>
      <w:r w:rsidR="00E47556" w:rsidRPr="00813D19">
        <w:rPr>
          <w:lang w:val="en-US"/>
        </w:rPr>
        <w:t>’</w:t>
      </w:r>
      <w:r w:rsidR="00750932" w:rsidRPr="00813D19">
        <w:rPr>
          <w:lang w:val="en-US"/>
        </w:rPr>
        <w:t xml:space="preserve">, </w:t>
      </w:r>
      <w:r w:rsidR="00E47556" w:rsidRPr="00813D19">
        <w:rPr>
          <w:lang w:val="en-US"/>
        </w:rPr>
        <w:t xml:space="preserve">even though </w:t>
      </w:r>
      <w:r w:rsidR="007A3ED6" w:rsidRPr="00813D19">
        <w:rPr>
          <w:lang w:val="en-US"/>
        </w:rPr>
        <w:t xml:space="preserve">the </w:t>
      </w:r>
      <w:r w:rsidR="00750932" w:rsidRPr="00813D19">
        <w:rPr>
          <w:lang w:val="en-US"/>
        </w:rPr>
        <w:t xml:space="preserve">same element </w:t>
      </w:r>
      <w:r w:rsidR="007A3ED6" w:rsidRPr="00813D19">
        <w:rPr>
          <w:lang w:val="en-US"/>
        </w:rPr>
        <w:t>exists elsewhere</w:t>
      </w:r>
      <w:r w:rsidR="00750932" w:rsidRPr="00813D19">
        <w:rPr>
          <w:lang w:val="en-US"/>
        </w:rPr>
        <w:t xml:space="preserve">. </w:t>
      </w:r>
      <w:r w:rsidR="007A3ED6" w:rsidRPr="00813D19">
        <w:rPr>
          <w:lang w:val="en-US"/>
        </w:rPr>
        <w:t xml:space="preserve">Other Conventions </w:t>
      </w:r>
      <w:r w:rsidR="00750932" w:rsidRPr="00813D19">
        <w:rPr>
          <w:lang w:val="en-US"/>
        </w:rPr>
        <w:t xml:space="preserve">would </w:t>
      </w:r>
      <w:r w:rsidR="007A3ED6" w:rsidRPr="00813D19">
        <w:rPr>
          <w:lang w:val="en-US"/>
        </w:rPr>
        <w:t xml:space="preserve">call it an </w:t>
      </w:r>
      <w:r w:rsidR="00750932" w:rsidRPr="00813D19">
        <w:rPr>
          <w:lang w:val="en-US"/>
        </w:rPr>
        <w:t xml:space="preserve">extension, but in </w:t>
      </w:r>
      <w:r w:rsidR="007A3ED6" w:rsidRPr="00813D19">
        <w:rPr>
          <w:lang w:val="en-US"/>
        </w:rPr>
        <w:t xml:space="preserve">the </w:t>
      </w:r>
      <w:r w:rsidR="00750932" w:rsidRPr="00813D19">
        <w:rPr>
          <w:lang w:val="en-US"/>
        </w:rPr>
        <w:t xml:space="preserve">Convention it </w:t>
      </w:r>
      <w:r w:rsidR="00E47556" w:rsidRPr="00813D19">
        <w:rPr>
          <w:lang w:val="en-US"/>
        </w:rPr>
        <w:t>is not an extension</w:t>
      </w:r>
      <w:r w:rsidR="00750932" w:rsidRPr="00813D19">
        <w:rPr>
          <w:lang w:val="en-US"/>
        </w:rPr>
        <w:t xml:space="preserve"> </w:t>
      </w:r>
      <w:r w:rsidR="007A3ED6" w:rsidRPr="00813D19">
        <w:rPr>
          <w:lang w:val="en-US"/>
        </w:rPr>
        <w:t xml:space="preserve">but a </w:t>
      </w:r>
      <w:r w:rsidR="00750932" w:rsidRPr="00813D19">
        <w:rPr>
          <w:lang w:val="en-US"/>
        </w:rPr>
        <w:t xml:space="preserve">multinational </w:t>
      </w:r>
      <w:r w:rsidR="007A3ED6" w:rsidRPr="00813D19">
        <w:rPr>
          <w:lang w:val="en-US"/>
        </w:rPr>
        <w:t xml:space="preserve">inscription, </w:t>
      </w:r>
      <w:r w:rsidR="00E47556" w:rsidRPr="00813D19">
        <w:rPr>
          <w:lang w:val="en-US"/>
        </w:rPr>
        <w:t xml:space="preserve">i.e. </w:t>
      </w:r>
      <w:r w:rsidR="007A3ED6" w:rsidRPr="00813D19">
        <w:rPr>
          <w:lang w:val="en-US"/>
        </w:rPr>
        <w:t xml:space="preserve">it has the same name </w:t>
      </w:r>
      <w:r w:rsidR="00E41386">
        <w:rPr>
          <w:lang w:val="en-US"/>
        </w:rPr>
        <w:t>in the different communities.</w:t>
      </w:r>
    </w:p>
    <w:p w14:paraId="5CC116A3" w14:textId="32249119" w:rsidR="005F277B" w:rsidRPr="00813D19" w:rsidRDefault="005F277B" w:rsidP="005B1B05">
      <w:pPr>
        <w:pStyle w:val="Orateurengris"/>
        <w:spacing w:before="120"/>
        <w:ind w:left="709" w:hanging="709"/>
        <w:rPr>
          <w:lang w:val="en-US"/>
        </w:rPr>
      </w:pPr>
      <w:r w:rsidRPr="00813D19">
        <w:rPr>
          <w:lang w:val="en-US"/>
        </w:rPr>
        <w:t xml:space="preserve">The </w:t>
      </w:r>
      <w:r w:rsidRPr="00813D19">
        <w:rPr>
          <w:b/>
          <w:lang w:val="en-US"/>
        </w:rPr>
        <w:t>delegation of Colombia</w:t>
      </w:r>
      <w:r w:rsidR="00B91F92" w:rsidRPr="00813D19">
        <w:rPr>
          <w:b/>
          <w:lang w:val="en-US"/>
        </w:rPr>
        <w:t xml:space="preserve"> </w:t>
      </w:r>
      <w:r w:rsidR="00B91F92" w:rsidRPr="00813D19">
        <w:rPr>
          <w:bCs/>
          <w:lang w:val="en-US"/>
        </w:rPr>
        <w:t>congratulate</w:t>
      </w:r>
      <w:r w:rsidR="007A3ED6" w:rsidRPr="00813D19">
        <w:rPr>
          <w:bCs/>
          <w:lang w:val="en-US"/>
        </w:rPr>
        <w:t>d</w:t>
      </w:r>
      <w:r w:rsidR="00B91F92" w:rsidRPr="00813D19">
        <w:rPr>
          <w:bCs/>
          <w:lang w:val="en-US"/>
        </w:rPr>
        <w:t xml:space="preserve"> the Evaluation Body for its </w:t>
      </w:r>
      <w:r w:rsidR="00612477" w:rsidRPr="00813D19">
        <w:rPr>
          <w:bCs/>
          <w:lang w:val="en-US"/>
        </w:rPr>
        <w:t>immense</w:t>
      </w:r>
      <w:r w:rsidR="00B91F92" w:rsidRPr="00813D19">
        <w:rPr>
          <w:bCs/>
          <w:lang w:val="en-US"/>
        </w:rPr>
        <w:t xml:space="preserve"> work and </w:t>
      </w:r>
      <w:r w:rsidR="00CB6CB0" w:rsidRPr="00813D19">
        <w:rPr>
          <w:bCs/>
          <w:lang w:val="en-US"/>
        </w:rPr>
        <w:t xml:space="preserve">for </w:t>
      </w:r>
      <w:r w:rsidR="00B91F92" w:rsidRPr="00813D19">
        <w:rPr>
          <w:bCs/>
          <w:lang w:val="en-US"/>
        </w:rPr>
        <w:t xml:space="preserve">its detailed report </w:t>
      </w:r>
      <w:r w:rsidR="00CB6CB0" w:rsidRPr="00813D19">
        <w:rPr>
          <w:bCs/>
          <w:lang w:val="en-US"/>
        </w:rPr>
        <w:t xml:space="preserve">that drew </w:t>
      </w:r>
      <w:r w:rsidR="00B91F92" w:rsidRPr="00813D19">
        <w:rPr>
          <w:bCs/>
          <w:lang w:val="en-US"/>
        </w:rPr>
        <w:t xml:space="preserve">attention to the social function of </w:t>
      </w:r>
      <w:r w:rsidR="00CB6CB0" w:rsidRPr="00813D19">
        <w:rPr>
          <w:bCs/>
          <w:lang w:val="en-US"/>
        </w:rPr>
        <w:t xml:space="preserve">intangible cultural heritage </w:t>
      </w:r>
      <w:r w:rsidR="00B91F92" w:rsidRPr="00813D19">
        <w:rPr>
          <w:bCs/>
          <w:lang w:val="en-US"/>
        </w:rPr>
        <w:t>above and beyond its commercial dimensions</w:t>
      </w:r>
      <w:r w:rsidR="00CB6CB0" w:rsidRPr="00813D19">
        <w:rPr>
          <w:bCs/>
          <w:lang w:val="en-US"/>
        </w:rPr>
        <w:t>,</w:t>
      </w:r>
      <w:r w:rsidR="00B91F92" w:rsidRPr="00813D19">
        <w:rPr>
          <w:bCs/>
          <w:lang w:val="en-US"/>
        </w:rPr>
        <w:t xml:space="preserve"> which at times benefi</w:t>
      </w:r>
      <w:r w:rsidR="00612477" w:rsidRPr="00813D19">
        <w:rPr>
          <w:bCs/>
          <w:lang w:val="en-US"/>
        </w:rPr>
        <w:t>ted</w:t>
      </w:r>
      <w:r w:rsidR="00B91F92" w:rsidRPr="00813D19">
        <w:rPr>
          <w:bCs/>
          <w:lang w:val="en-US"/>
        </w:rPr>
        <w:t xml:space="preserve"> the communities but </w:t>
      </w:r>
      <w:r w:rsidR="00612477" w:rsidRPr="00813D19">
        <w:rPr>
          <w:bCs/>
          <w:lang w:val="en-US"/>
        </w:rPr>
        <w:t xml:space="preserve">was </w:t>
      </w:r>
      <w:r w:rsidR="00B91F92" w:rsidRPr="00813D19">
        <w:rPr>
          <w:bCs/>
          <w:lang w:val="en-US"/>
        </w:rPr>
        <w:t xml:space="preserve">not the </w:t>
      </w:r>
      <w:r w:rsidR="00CB6CB0" w:rsidRPr="00813D19">
        <w:rPr>
          <w:bCs/>
          <w:lang w:val="en-US"/>
        </w:rPr>
        <w:t xml:space="preserve">sole </w:t>
      </w:r>
      <w:r w:rsidR="00B91F92" w:rsidRPr="00813D19">
        <w:rPr>
          <w:bCs/>
          <w:lang w:val="en-US"/>
        </w:rPr>
        <w:t xml:space="preserve">benefit </w:t>
      </w:r>
      <w:r w:rsidR="00CB6CB0" w:rsidRPr="00813D19">
        <w:rPr>
          <w:bCs/>
          <w:lang w:val="en-US"/>
        </w:rPr>
        <w:t xml:space="preserve">derived by </w:t>
      </w:r>
      <w:r w:rsidR="00B91F92" w:rsidRPr="00813D19">
        <w:rPr>
          <w:bCs/>
          <w:lang w:val="en-US"/>
        </w:rPr>
        <w:t xml:space="preserve">the communities. </w:t>
      </w:r>
      <w:r w:rsidR="00CB6CB0" w:rsidRPr="00813D19">
        <w:rPr>
          <w:bCs/>
          <w:lang w:val="en-US"/>
        </w:rPr>
        <w:t>It also dre</w:t>
      </w:r>
      <w:r w:rsidR="00B91F92" w:rsidRPr="00813D19">
        <w:rPr>
          <w:bCs/>
          <w:lang w:val="en-US"/>
        </w:rPr>
        <w:t xml:space="preserve">w the </w:t>
      </w:r>
      <w:r w:rsidR="00CB6CB0" w:rsidRPr="00813D19">
        <w:rPr>
          <w:bCs/>
          <w:lang w:val="en-US"/>
        </w:rPr>
        <w:t xml:space="preserve">Committee’s </w:t>
      </w:r>
      <w:r w:rsidR="00B91F92" w:rsidRPr="00813D19">
        <w:rPr>
          <w:bCs/>
          <w:lang w:val="en-US"/>
        </w:rPr>
        <w:t xml:space="preserve">attention </w:t>
      </w:r>
      <w:r w:rsidR="00DC3685">
        <w:rPr>
          <w:bCs/>
          <w:lang w:val="en-US"/>
        </w:rPr>
        <w:t>to</w:t>
      </w:r>
      <w:r w:rsidR="00DC3685" w:rsidRPr="00813D19">
        <w:rPr>
          <w:bCs/>
          <w:lang w:val="en-US"/>
        </w:rPr>
        <w:t xml:space="preserve"> </w:t>
      </w:r>
      <w:r w:rsidR="00B91F92" w:rsidRPr="00813D19">
        <w:rPr>
          <w:bCs/>
          <w:lang w:val="en-US"/>
        </w:rPr>
        <w:t xml:space="preserve">the need to include environmental sustainability </w:t>
      </w:r>
      <w:r w:rsidR="00CB6CB0" w:rsidRPr="00813D19">
        <w:rPr>
          <w:bCs/>
          <w:lang w:val="en-US"/>
        </w:rPr>
        <w:t xml:space="preserve">and the gender perspective </w:t>
      </w:r>
      <w:r w:rsidR="00B91F92" w:rsidRPr="00813D19">
        <w:rPr>
          <w:bCs/>
          <w:lang w:val="en-US"/>
        </w:rPr>
        <w:t xml:space="preserve">when </w:t>
      </w:r>
      <w:r w:rsidR="00CB6CB0" w:rsidRPr="00813D19">
        <w:rPr>
          <w:bCs/>
          <w:lang w:val="en-US"/>
        </w:rPr>
        <w:t xml:space="preserve">referring to </w:t>
      </w:r>
      <w:r w:rsidR="00B91F92" w:rsidRPr="00813D19">
        <w:rPr>
          <w:bCs/>
          <w:lang w:val="en-US"/>
        </w:rPr>
        <w:t xml:space="preserve">manifestations of </w:t>
      </w:r>
      <w:r w:rsidR="00CB6CB0" w:rsidRPr="00813D19">
        <w:rPr>
          <w:bCs/>
          <w:lang w:val="en-US"/>
        </w:rPr>
        <w:t xml:space="preserve">intangible cultural heritage </w:t>
      </w:r>
      <w:r w:rsidR="00B91F92" w:rsidRPr="00813D19">
        <w:rPr>
          <w:bCs/>
          <w:lang w:val="en-US"/>
        </w:rPr>
        <w:t xml:space="preserve">and </w:t>
      </w:r>
      <w:r w:rsidR="00CB6CB0" w:rsidRPr="00813D19">
        <w:rPr>
          <w:bCs/>
          <w:lang w:val="en-US"/>
        </w:rPr>
        <w:t xml:space="preserve">their </w:t>
      </w:r>
      <w:r w:rsidR="00B91F92" w:rsidRPr="00813D19">
        <w:rPr>
          <w:bCs/>
          <w:lang w:val="en-US"/>
        </w:rPr>
        <w:t xml:space="preserve">safeguarding. </w:t>
      </w:r>
      <w:r w:rsidR="00B51FB1" w:rsidRPr="00813D19">
        <w:rPr>
          <w:bCs/>
          <w:lang w:val="en-US"/>
        </w:rPr>
        <w:t xml:space="preserve">It </w:t>
      </w:r>
      <w:r w:rsidR="00CB6CB0" w:rsidRPr="00813D19">
        <w:rPr>
          <w:bCs/>
          <w:lang w:val="en-US"/>
        </w:rPr>
        <w:t xml:space="preserve">believed </w:t>
      </w:r>
      <w:r w:rsidR="00B91F92" w:rsidRPr="00813D19">
        <w:rPr>
          <w:bCs/>
          <w:lang w:val="en-US"/>
        </w:rPr>
        <w:t>that those elements</w:t>
      </w:r>
      <w:r w:rsidR="00612477" w:rsidRPr="00813D19">
        <w:rPr>
          <w:bCs/>
          <w:lang w:val="en-US"/>
        </w:rPr>
        <w:t>,</w:t>
      </w:r>
      <w:r w:rsidR="00B91F92" w:rsidRPr="00813D19">
        <w:rPr>
          <w:bCs/>
          <w:lang w:val="en-US"/>
        </w:rPr>
        <w:t xml:space="preserve"> as well as other elements mentioned by the Evaluation Body</w:t>
      </w:r>
      <w:r w:rsidR="00B51FB1" w:rsidRPr="00813D19">
        <w:rPr>
          <w:bCs/>
          <w:lang w:val="en-US"/>
        </w:rPr>
        <w:t>,</w:t>
      </w:r>
      <w:r w:rsidR="00612477" w:rsidRPr="00813D19">
        <w:rPr>
          <w:bCs/>
          <w:lang w:val="en-US"/>
        </w:rPr>
        <w:t xml:space="preserve"> should be made more intersectoral. In this regard, the delegation referred to </w:t>
      </w:r>
      <w:r w:rsidR="00B91F92" w:rsidRPr="00813D19">
        <w:rPr>
          <w:bCs/>
          <w:lang w:val="en-US"/>
        </w:rPr>
        <w:t xml:space="preserve">a </w:t>
      </w:r>
      <w:hyperlink r:id="rId90" w:history="1">
        <w:r w:rsidR="005B1B05" w:rsidRPr="005B1B05">
          <w:rPr>
            <w:rStyle w:val="Hyperlink"/>
            <w:bCs/>
            <w:lang w:val="en-US"/>
          </w:rPr>
          <w:t>side event</w:t>
        </w:r>
      </w:hyperlink>
      <w:r w:rsidR="005B1B05">
        <w:rPr>
          <w:bCs/>
          <w:lang w:val="en-US"/>
        </w:rPr>
        <w:t xml:space="preserve"> to the General Assembly </w:t>
      </w:r>
      <w:r w:rsidR="00612477" w:rsidRPr="003221D5">
        <w:rPr>
          <w:bCs/>
          <w:lang w:val="en-US"/>
        </w:rPr>
        <w:t xml:space="preserve">held </w:t>
      </w:r>
      <w:r w:rsidR="00B91F92" w:rsidRPr="003221D5">
        <w:rPr>
          <w:bCs/>
          <w:lang w:val="en-US"/>
        </w:rPr>
        <w:t>in June</w:t>
      </w:r>
      <w:r w:rsidR="00B91F92" w:rsidRPr="00813D19">
        <w:rPr>
          <w:bCs/>
          <w:lang w:val="en-US"/>
        </w:rPr>
        <w:t xml:space="preserve"> </w:t>
      </w:r>
      <w:r w:rsidR="005B1B05">
        <w:rPr>
          <w:bCs/>
          <w:lang w:val="en-US"/>
        </w:rPr>
        <w:t>2018</w:t>
      </w:r>
      <w:r w:rsidR="00612477" w:rsidRPr="00813D19">
        <w:rPr>
          <w:bCs/>
          <w:lang w:val="en-US"/>
        </w:rPr>
        <w:t xml:space="preserve"> that </w:t>
      </w:r>
      <w:r w:rsidR="00B91F92" w:rsidRPr="00813D19">
        <w:rPr>
          <w:bCs/>
          <w:lang w:val="en-US"/>
        </w:rPr>
        <w:t xml:space="preserve">made the point </w:t>
      </w:r>
      <w:r w:rsidR="00DE44CD" w:rsidRPr="00813D19">
        <w:rPr>
          <w:bCs/>
          <w:lang w:val="en-US"/>
        </w:rPr>
        <w:t xml:space="preserve">of how </w:t>
      </w:r>
      <w:r w:rsidR="00B91F92" w:rsidRPr="00813D19">
        <w:rPr>
          <w:bCs/>
          <w:lang w:val="en-US"/>
        </w:rPr>
        <w:t xml:space="preserve">manifestations of </w:t>
      </w:r>
      <w:r w:rsidR="00DE44CD" w:rsidRPr="00813D19">
        <w:rPr>
          <w:bCs/>
          <w:lang w:val="en-US"/>
        </w:rPr>
        <w:t xml:space="preserve">intangible cultural heritage </w:t>
      </w:r>
      <w:r w:rsidR="00B91F92" w:rsidRPr="00813D19">
        <w:rPr>
          <w:bCs/>
          <w:lang w:val="en-US"/>
        </w:rPr>
        <w:t xml:space="preserve">should be </w:t>
      </w:r>
      <w:r w:rsidR="00DE44CD" w:rsidRPr="00813D19">
        <w:rPr>
          <w:bCs/>
          <w:lang w:val="en-US"/>
        </w:rPr>
        <w:t xml:space="preserve">managed in a way that is </w:t>
      </w:r>
      <w:r w:rsidR="00B91F92" w:rsidRPr="00813D19">
        <w:rPr>
          <w:bCs/>
          <w:lang w:val="en-US"/>
        </w:rPr>
        <w:t xml:space="preserve">related to other elements of the social and political </w:t>
      </w:r>
      <w:r w:rsidR="00DE44CD" w:rsidRPr="00813D19">
        <w:rPr>
          <w:bCs/>
          <w:lang w:val="en-US"/>
        </w:rPr>
        <w:t xml:space="preserve">sphere, as this would </w:t>
      </w:r>
      <w:r w:rsidR="00B91F92" w:rsidRPr="00813D19">
        <w:rPr>
          <w:bCs/>
          <w:lang w:val="en-US"/>
        </w:rPr>
        <w:t xml:space="preserve">generate sustainable safeguarding mechanisms </w:t>
      </w:r>
      <w:r w:rsidR="00DE44CD" w:rsidRPr="00813D19">
        <w:rPr>
          <w:bCs/>
          <w:lang w:val="en-US"/>
        </w:rPr>
        <w:t xml:space="preserve">that </w:t>
      </w:r>
      <w:r w:rsidR="00B91F92" w:rsidRPr="00813D19">
        <w:rPr>
          <w:bCs/>
          <w:lang w:val="en-US"/>
        </w:rPr>
        <w:t>w</w:t>
      </w:r>
      <w:r w:rsidR="00DC3685">
        <w:rPr>
          <w:bCs/>
          <w:lang w:val="en-US"/>
        </w:rPr>
        <w:t>ould</w:t>
      </w:r>
      <w:r w:rsidR="00B91F92" w:rsidRPr="00813D19">
        <w:rPr>
          <w:bCs/>
          <w:lang w:val="en-US"/>
        </w:rPr>
        <w:t xml:space="preserve"> help </w:t>
      </w:r>
      <w:r w:rsidR="00DE44CD" w:rsidRPr="00813D19">
        <w:rPr>
          <w:bCs/>
          <w:lang w:val="en-US"/>
        </w:rPr>
        <w:t xml:space="preserve">the element endure </w:t>
      </w:r>
      <w:r w:rsidR="00B91F92" w:rsidRPr="00813D19">
        <w:rPr>
          <w:bCs/>
          <w:lang w:val="en-US"/>
        </w:rPr>
        <w:t xml:space="preserve">in the communities </w:t>
      </w:r>
      <w:r w:rsidR="00DE44CD" w:rsidRPr="00813D19">
        <w:rPr>
          <w:bCs/>
          <w:lang w:val="en-US"/>
        </w:rPr>
        <w:t xml:space="preserve">in spite of </w:t>
      </w:r>
      <w:r w:rsidR="00B91F92" w:rsidRPr="00813D19">
        <w:rPr>
          <w:bCs/>
          <w:lang w:val="en-US"/>
        </w:rPr>
        <w:t xml:space="preserve">changes that the communities might decide to </w:t>
      </w:r>
      <w:r w:rsidR="00FB131E">
        <w:rPr>
          <w:bCs/>
          <w:lang w:val="en-US"/>
        </w:rPr>
        <w:t>e</w:t>
      </w:r>
      <w:r w:rsidR="00FB131E" w:rsidRPr="00813D19">
        <w:rPr>
          <w:bCs/>
          <w:lang w:val="en-US"/>
        </w:rPr>
        <w:t xml:space="preserve">ffect </w:t>
      </w:r>
      <w:r w:rsidR="00E41386">
        <w:rPr>
          <w:bCs/>
          <w:lang w:val="en-US"/>
        </w:rPr>
        <w:t>on their own cultural heritage.</w:t>
      </w:r>
    </w:p>
    <w:p w14:paraId="481DFE51" w14:textId="78E4F88C" w:rsidR="005F277B" w:rsidRPr="00813D19" w:rsidRDefault="00272A6A" w:rsidP="005A1FC1">
      <w:pPr>
        <w:pStyle w:val="Orateurengris"/>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w:t>
      </w:r>
      <w:r w:rsidR="00B91F92" w:rsidRPr="00813D19">
        <w:rPr>
          <w:lang w:val="en-US"/>
        </w:rPr>
        <w:t>thank</w:t>
      </w:r>
      <w:r w:rsidR="00612477" w:rsidRPr="00813D19">
        <w:rPr>
          <w:lang w:val="en-US"/>
        </w:rPr>
        <w:t>ed</w:t>
      </w:r>
      <w:r w:rsidR="00B91F92" w:rsidRPr="00813D19">
        <w:rPr>
          <w:lang w:val="en-US"/>
        </w:rPr>
        <w:t xml:space="preserve"> the Evaluation Bo</w:t>
      </w:r>
      <w:r w:rsidR="00612477" w:rsidRPr="00813D19">
        <w:rPr>
          <w:lang w:val="en-US"/>
        </w:rPr>
        <w:t xml:space="preserve">dy for its report and hard work, </w:t>
      </w:r>
      <w:r w:rsidR="00B51FB1" w:rsidRPr="00813D19">
        <w:rPr>
          <w:lang w:val="en-US"/>
        </w:rPr>
        <w:t>adding that</w:t>
      </w:r>
      <w:r w:rsidR="00DE44CD" w:rsidRPr="00813D19">
        <w:rPr>
          <w:lang w:val="en-US"/>
        </w:rPr>
        <w:t xml:space="preserve"> </w:t>
      </w:r>
      <w:r w:rsidR="00612477" w:rsidRPr="00813D19">
        <w:rPr>
          <w:lang w:val="en-US"/>
        </w:rPr>
        <w:t xml:space="preserve">it </w:t>
      </w:r>
      <w:r w:rsidR="00B91F92" w:rsidRPr="00813D19">
        <w:rPr>
          <w:lang w:val="en-US"/>
        </w:rPr>
        <w:t>appreciate</w:t>
      </w:r>
      <w:r w:rsidR="00612477" w:rsidRPr="00813D19">
        <w:rPr>
          <w:lang w:val="en-US"/>
        </w:rPr>
        <w:t>d</w:t>
      </w:r>
      <w:r w:rsidR="00B91F92" w:rsidRPr="00813D19">
        <w:rPr>
          <w:lang w:val="en-US"/>
        </w:rPr>
        <w:t xml:space="preserve"> the important issues identified in the report. </w:t>
      </w:r>
      <w:r w:rsidR="00B51FB1" w:rsidRPr="00813D19">
        <w:rPr>
          <w:lang w:val="en-US"/>
        </w:rPr>
        <w:t xml:space="preserve">It </w:t>
      </w:r>
      <w:r w:rsidR="00DE44CD" w:rsidRPr="00813D19">
        <w:rPr>
          <w:lang w:val="en-US"/>
        </w:rPr>
        <w:t>had</w:t>
      </w:r>
      <w:r w:rsidR="00B91F92" w:rsidRPr="00813D19">
        <w:rPr>
          <w:lang w:val="en-US"/>
        </w:rPr>
        <w:t xml:space="preserve"> consistently called for dialogue between the Evaluation Body and the nominating States</w:t>
      </w:r>
      <w:r w:rsidR="00DE44CD" w:rsidRPr="00813D19">
        <w:rPr>
          <w:lang w:val="en-US"/>
        </w:rPr>
        <w:t>,</w:t>
      </w:r>
      <w:r w:rsidR="00B91F92" w:rsidRPr="00813D19">
        <w:rPr>
          <w:lang w:val="en-US"/>
        </w:rPr>
        <w:t xml:space="preserve"> not because </w:t>
      </w:r>
      <w:r w:rsidR="00DE44CD" w:rsidRPr="00813D19">
        <w:rPr>
          <w:lang w:val="en-US"/>
        </w:rPr>
        <w:t xml:space="preserve">it did </w:t>
      </w:r>
      <w:r w:rsidR="00B91F92" w:rsidRPr="00813D19">
        <w:rPr>
          <w:lang w:val="en-US"/>
        </w:rPr>
        <w:t xml:space="preserve">not support or value the work of the Evaluation Body or </w:t>
      </w:r>
      <w:r w:rsidR="00DE44CD" w:rsidRPr="00813D19">
        <w:rPr>
          <w:lang w:val="en-US"/>
        </w:rPr>
        <w:t xml:space="preserve">it wished to </w:t>
      </w:r>
      <w:r w:rsidR="00B91F92" w:rsidRPr="00813D19">
        <w:rPr>
          <w:lang w:val="en-US"/>
        </w:rPr>
        <w:t>chang</w:t>
      </w:r>
      <w:r w:rsidR="00DE44CD" w:rsidRPr="00813D19">
        <w:rPr>
          <w:lang w:val="en-US"/>
        </w:rPr>
        <w:t>e the manner in which it worked</w:t>
      </w:r>
      <w:r w:rsidR="00B91F92" w:rsidRPr="00813D19">
        <w:rPr>
          <w:lang w:val="en-US"/>
        </w:rPr>
        <w:t xml:space="preserve"> </w:t>
      </w:r>
      <w:r w:rsidR="00DE44CD" w:rsidRPr="00813D19">
        <w:rPr>
          <w:lang w:val="en-US"/>
        </w:rPr>
        <w:t xml:space="preserve">to </w:t>
      </w:r>
      <w:r w:rsidR="00B51FB1" w:rsidRPr="00813D19">
        <w:rPr>
          <w:lang w:val="en-US"/>
        </w:rPr>
        <w:t xml:space="preserve">mirror World Heritage, but </w:t>
      </w:r>
      <w:r w:rsidR="00B91F92" w:rsidRPr="00813D19">
        <w:rPr>
          <w:lang w:val="en-US"/>
        </w:rPr>
        <w:t xml:space="preserve">because of all the problems and challenges observed </w:t>
      </w:r>
      <w:r w:rsidR="00DE44CD" w:rsidRPr="00813D19">
        <w:rPr>
          <w:lang w:val="en-US"/>
        </w:rPr>
        <w:t xml:space="preserve">over </w:t>
      </w:r>
      <w:r w:rsidR="00B91F92" w:rsidRPr="00813D19">
        <w:rPr>
          <w:lang w:val="en-US"/>
        </w:rPr>
        <w:t xml:space="preserve">the past three years while </w:t>
      </w:r>
      <w:r w:rsidR="00DE44CD" w:rsidRPr="00813D19">
        <w:rPr>
          <w:lang w:val="en-US"/>
        </w:rPr>
        <w:t>it had served</w:t>
      </w:r>
      <w:r w:rsidR="00B91F92" w:rsidRPr="00813D19">
        <w:rPr>
          <w:lang w:val="en-US"/>
        </w:rPr>
        <w:t xml:space="preserve"> on the Committee. </w:t>
      </w:r>
      <w:r w:rsidR="00DE44CD" w:rsidRPr="00813D19">
        <w:rPr>
          <w:lang w:val="en-US"/>
        </w:rPr>
        <w:t xml:space="preserve">It was clear that there was </w:t>
      </w:r>
      <w:r w:rsidR="00B91F92" w:rsidRPr="00813D19">
        <w:rPr>
          <w:lang w:val="en-US"/>
        </w:rPr>
        <w:t xml:space="preserve">a problem with R.2. Almost all States Parties receiving referrals </w:t>
      </w:r>
      <w:r w:rsidR="00DE44CD" w:rsidRPr="00813D19">
        <w:rPr>
          <w:lang w:val="en-US"/>
        </w:rPr>
        <w:t xml:space="preserve">had </w:t>
      </w:r>
      <w:r w:rsidR="00B91F92" w:rsidRPr="00813D19">
        <w:rPr>
          <w:lang w:val="en-US"/>
        </w:rPr>
        <w:t xml:space="preserve">difficulties with R.2. </w:t>
      </w:r>
      <w:r w:rsidR="00DE44CD" w:rsidRPr="00813D19">
        <w:rPr>
          <w:lang w:val="en-US"/>
        </w:rPr>
        <w:t xml:space="preserve">The delegation </w:t>
      </w:r>
      <w:r w:rsidR="00B91F92" w:rsidRPr="00813D19">
        <w:rPr>
          <w:lang w:val="en-US"/>
        </w:rPr>
        <w:t>also note</w:t>
      </w:r>
      <w:r w:rsidR="00DE44CD" w:rsidRPr="00813D19">
        <w:rPr>
          <w:lang w:val="en-US"/>
        </w:rPr>
        <w:t>d</w:t>
      </w:r>
      <w:r w:rsidR="00B91F92" w:rsidRPr="00813D19">
        <w:rPr>
          <w:lang w:val="en-US"/>
        </w:rPr>
        <w:t xml:space="preserve"> with concern that States Parties, which previously received referrals for nominations, </w:t>
      </w:r>
      <w:r w:rsidR="00DE44CD" w:rsidRPr="00813D19">
        <w:rPr>
          <w:lang w:val="en-US"/>
        </w:rPr>
        <w:t xml:space="preserve">were </w:t>
      </w:r>
      <w:r w:rsidR="00B91F92" w:rsidRPr="00813D19">
        <w:rPr>
          <w:lang w:val="en-US"/>
        </w:rPr>
        <w:t xml:space="preserve">coming back with improved files but still </w:t>
      </w:r>
      <w:r w:rsidR="00DE44CD" w:rsidRPr="00813D19">
        <w:rPr>
          <w:lang w:val="en-US"/>
        </w:rPr>
        <w:t xml:space="preserve">received </w:t>
      </w:r>
      <w:r w:rsidR="00B91F92" w:rsidRPr="00813D19">
        <w:rPr>
          <w:lang w:val="en-US"/>
        </w:rPr>
        <w:t xml:space="preserve">referrals over technical issues, </w:t>
      </w:r>
      <w:r w:rsidR="00DE44CD" w:rsidRPr="00813D19">
        <w:rPr>
          <w:lang w:val="en-US"/>
        </w:rPr>
        <w:t>questions</w:t>
      </w:r>
      <w:r w:rsidR="00B91F92" w:rsidRPr="00813D19">
        <w:rPr>
          <w:lang w:val="en-US"/>
        </w:rPr>
        <w:t xml:space="preserve"> or misperceptions that could easily </w:t>
      </w:r>
      <w:r w:rsidR="00DE44CD" w:rsidRPr="00813D19">
        <w:rPr>
          <w:lang w:val="en-US"/>
        </w:rPr>
        <w:t xml:space="preserve">have been </w:t>
      </w:r>
      <w:r w:rsidR="00B51FB1" w:rsidRPr="00813D19">
        <w:rPr>
          <w:lang w:val="en-US"/>
        </w:rPr>
        <w:t>addressed through dialogue or</w:t>
      </w:r>
      <w:r w:rsidR="00B91F92" w:rsidRPr="00813D19">
        <w:rPr>
          <w:lang w:val="en-US"/>
        </w:rPr>
        <w:t xml:space="preserve"> minor clarifications. Without the opportunity </w:t>
      </w:r>
      <w:r w:rsidR="00DC3685">
        <w:rPr>
          <w:lang w:val="en-US"/>
        </w:rPr>
        <w:t>for</w:t>
      </w:r>
      <w:r w:rsidR="00B91F92" w:rsidRPr="00813D19">
        <w:rPr>
          <w:lang w:val="en-US"/>
        </w:rPr>
        <w:t xml:space="preserve"> a dialogue during the evaluation process</w:t>
      </w:r>
      <w:r w:rsidR="00DE44CD" w:rsidRPr="00813D19">
        <w:rPr>
          <w:lang w:val="en-US"/>
        </w:rPr>
        <w:t>,</w:t>
      </w:r>
      <w:r w:rsidR="00B91F92" w:rsidRPr="00813D19">
        <w:rPr>
          <w:lang w:val="en-US"/>
        </w:rPr>
        <w:t xml:space="preserve"> </w:t>
      </w:r>
      <w:r w:rsidR="00DE44CD" w:rsidRPr="00813D19">
        <w:rPr>
          <w:lang w:val="en-US"/>
        </w:rPr>
        <w:t>the Committee</w:t>
      </w:r>
      <w:r w:rsidR="00B91F92" w:rsidRPr="00813D19">
        <w:rPr>
          <w:lang w:val="en-US"/>
        </w:rPr>
        <w:t xml:space="preserve"> becomes </w:t>
      </w:r>
      <w:r w:rsidR="00DE44CD" w:rsidRPr="00813D19">
        <w:rPr>
          <w:lang w:val="en-US"/>
        </w:rPr>
        <w:t xml:space="preserve">the </w:t>
      </w:r>
      <w:r w:rsidR="00B91F92" w:rsidRPr="00813D19">
        <w:rPr>
          <w:lang w:val="en-US"/>
        </w:rPr>
        <w:t xml:space="preserve">platform for dialogue but at </w:t>
      </w:r>
      <w:r w:rsidR="00DE44CD" w:rsidRPr="00813D19">
        <w:rPr>
          <w:lang w:val="en-US"/>
        </w:rPr>
        <w:t xml:space="preserve">a </w:t>
      </w:r>
      <w:r w:rsidR="00B91F92" w:rsidRPr="00813D19">
        <w:rPr>
          <w:lang w:val="en-US"/>
        </w:rPr>
        <w:t>late stage</w:t>
      </w:r>
      <w:r w:rsidR="00B51FB1" w:rsidRPr="00813D19">
        <w:rPr>
          <w:lang w:val="en-US"/>
        </w:rPr>
        <w:t>,</w:t>
      </w:r>
      <w:r w:rsidR="00B91F92" w:rsidRPr="00813D19">
        <w:rPr>
          <w:lang w:val="en-US"/>
        </w:rPr>
        <w:t xml:space="preserve"> </w:t>
      </w:r>
      <w:r w:rsidR="00DE44CD" w:rsidRPr="00813D19">
        <w:rPr>
          <w:lang w:val="en-US"/>
        </w:rPr>
        <w:t xml:space="preserve">and it was thus </w:t>
      </w:r>
      <w:r w:rsidR="00B91F92" w:rsidRPr="00813D19">
        <w:rPr>
          <w:lang w:val="en-US"/>
        </w:rPr>
        <w:t xml:space="preserve">difficult to contain the political process of lobbying and the high expectations of </w:t>
      </w:r>
      <w:r w:rsidR="00DE44CD" w:rsidRPr="00813D19">
        <w:rPr>
          <w:lang w:val="en-US"/>
        </w:rPr>
        <w:t xml:space="preserve">the </w:t>
      </w:r>
      <w:r w:rsidR="00B91F92" w:rsidRPr="00813D19">
        <w:rPr>
          <w:lang w:val="en-US"/>
        </w:rPr>
        <w:t xml:space="preserve">communities concerned. It would be much better to upstream the dialogue </w:t>
      </w:r>
      <w:r w:rsidR="00DE44CD" w:rsidRPr="00813D19">
        <w:rPr>
          <w:lang w:val="en-US"/>
        </w:rPr>
        <w:t xml:space="preserve">in an expert-driven context, which </w:t>
      </w:r>
      <w:r w:rsidR="00B91F92" w:rsidRPr="00813D19">
        <w:rPr>
          <w:lang w:val="en-US"/>
        </w:rPr>
        <w:t xml:space="preserve">would do much to enhance the trust and confidence in the system and raise the understanding of the Convention among States Parties and </w:t>
      </w:r>
      <w:r w:rsidR="00DE44CD" w:rsidRPr="00813D19">
        <w:rPr>
          <w:lang w:val="en-US"/>
        </w:rPr>
        <w:t xml:space="preserve">the </w:t>
      </w:r>
      <w:r w:rsidR="00B91F92" w:rsidRPr="00813D19">
        <w:rPr>
          <w:lang w:val="en-US"/>
        </w:rPr>
        <w:t xml:space="preserve">communities concerned in a constructive and practical way. </w:t>
      </w:r>
      <w:r w:rsidR="00B51FB1" w:rsidRPr="00813D19">
        <w:rPr>
          <w:lang w:val="en-US"/>
        </w:rPr>
        <w:t>On m</w:t>
      </w:r>
      <w:r w:rsidR="00B91F92" w:rsidRPr="00813D19">
        <w:rPr>
          <w:lang w:val="en-US"/>
        </w:rPr>
        <w:t xml:space="preserve">any </w:t>
      </w:r>
      <w:r w:rsidR="00B51FB1" w:rsidRPr="00813D19">
        <w:rPr>
          <w:lang w:val="en-US"/>
        </w:rPr>
        <w:t>occasions</w:t>
      </w:r>
      <w:r w:rsidR="00DC3685">
        <w:rPr>
          <w:lang w:val="en-US"/>
        </w:rPr>
        <w:t>,</w:t>
      </w:r>
      <w:r w:rsidR="00B51FB1" w:rsidRPr="00813D19">
        <w:rPr>
          <w:lang w:val="en-US"/>
        </w:rPr>
        <w:t xml:space="preserve"> </w:t>
      </w:r>
      <w:r w:rsidR="00B91F92" w:rsidRPr="00813D19">
        <w:rPr>
          <w:lang w:val="en-US"/>
        </w:rPr>
        <w:t xml:space="preserve">it only </w:t>
      </w:r>
      <w:r w:rsidR="00DE44CD" w:rsidRPr="00813D19">
        <w:rPr>
          <w:lang w:val="en-US"/>
        </w:rPr>
        <w:t xml:space="preserve">took </w:t>
      </w:r>
      <w:r w:rsidR="00B91F92" w:rsidRPr="00813D19">
        <w:rPr>
          <w:lang w:val="en-US"/>
        </w:rPr>
        <w:t>a minor explanation to clarify an issue. The report clearly indi</w:t>
      </w:r>
      <w:r w:rsidR="00B51FB1" w:rsidRPr="00813D19">
        <w:rPr>
          <w:lang w:val="en-US"/>
        </w:rPr>
        <w:t>cate</w:t>
      </w:r>
      <w:r w:rsidR="00DE44CD" w:rsidRPr="00813D19">
        <w:rPr>
          <w:lang w:val="en-US"/>
        </w:rPr>
        <w:t>d</w:t>
      </w:r>
      <w:r w:rsidR="00B91F92" w:rsidRPr="00813D19">
        <w:rPr>
          <w:lang w:val="en-US"/>
        </w:rPr>
        <w:t xml:space="preserve"> the utility of dialogue in paragraph 28 concerning the adjustment of the titles of some elements. Hence, </w:t>
      </w:r>
      <w:r w:rsidR="00B51FB1" w:rsidRPr="00813D19">
        <w:rPr>
          <w:lang w:val="en-US"/>
        </w:rPr>
        <w:t xml:space="preserve">the </w:t>
      </w:r>
      <w:r w:rsidR="00B91F92" w:rsidRPr="00813D19">
        <w:rPr>
          <w:lang w:val="en-US"/>
        </w:rPr>
        <w:t xml:space="preserve">working methods of the Evaluation Body </w:t>
      </w:r>
      <w:r w:rsidR="00DC3685">
        <w:rPr>
          <w:lang w:val="en-US"/>
        </w:rPr>
        <w:t>needed to</w:t>
      </w:r>
      <w:r w:rsidR="00DC3685" w:rsidRPr="00813D19">
        <w:rPr>
          <w:lang w:val="en-US"/>
        </w:rPr>
        <w:t xml:space="preserve"> </w:t>
      </w:r>
      <w:r w:rsidR="00B91F92" w:rsidRPr="00813D19">
        <w:rPr>
          <w:lang w:val="en-US"/>
        </w:rPr>
        <w:t>be reviewed and strengthened with a view to allowing</w:t>
      </w:r>
      <w:r w:rsidR="00DC3685">
        <w:rPr>
          <w:lang w:val="en-US"/>
        </w:rPr>
        <w:t xml:space="preserve"> for</w:t>
      </w:r>
      <w:r w:rsidR="00B91F92" w:rsidRPr="00813D19">
        <w:rPr>
          <w:lang w:val="en-US"/>
        </w:rPr>
        <w:t xml:space="preserve"> </w:t>
      </w:r>
      <w:r w:rsidR="00DE44CD" w:rsidRPr="00813D19">
        <w:rPr>
          <w:lang w:val="en-US"/>
        </w:rPr>
        <w:t xml:space="preserve">an </w:t>
      </w:r>
      <w:r w:rsidR="00B91F92" w:rsidRPr="00813D19">
        <w:rPr>
          <w:lang w:val="en-US"/>
        </w:rPr>
        <w:t xml:space="preserve">opportunity for limited dialogue with nominating States. This would enhance credibility in the system and its inclusiveness. </w:t>
      </w:r>
      <w:r w:rsidR="00DE44CD" w:rsidRPr="00813D19">
        <w:rPr>
          <w:lang w:val="en-US"/>
        </w:rPr>
        <w:t xml:space="preserve">The delegation was </w:t>
      </w:r>
      <w:r w:rsidR="00B91F92" w:rsidRPr="00813D19">
        <w:rPr>
          <w:lang w:val="en-US"/>
        </w:rPr>
        <w:t>willing to continue working with the Evaluation Body and the Secretariat to define the most appropriate parameters and procedure</w:t>
      </w:r>
      <w:r w:rsidR="00DE44CD" w:rsidRPr="00813D19">
        <w:rPr>
          <w:lang w:val="en-US"/>
        </w:rPr>
        <w:t>,</w:t>
      </w:r>
      <w:r w:rsidR="00B91F92" w:rsidRPr="00813D19">
        <w:rPr>
          <w:lang w:val="en-US"/>
        </w:rPr>
        <w:t xml:space="preserve"> noting that no one </w:t>
      </w:r>
      <w:r w:rsidR="00DE44CD" w:rsidRPr="00813D19">
        <w:rPr>
          <w:lang w:val="en-US"/>
        </w:rPr>
        <w:t xml:space="preserve">was </w:t>
      </w:r>
      <w:r w:rsidR="00B91F92" w:rsidRPr="00813D19">
        <w:rPr>
          <w:lang w:val="en-US"/>
        </w:rPr>
        <w:t xml:space="preserve">against dialogue. Finally, </w:t>
      </w:r>
      <w:r w:rsidR="00DE44CD" w:rsidRPr="00813D19">
        <w:rPr>
          <w:lang w:val="en-US"/>
        </w:rPr>
        <w:t xml:space="preserve">it had an </w:t>
      </w:r>
      <w:r w:rsidR="00B91F92" w:rsidRPr="00813D19">
        <w:rPr>
          <w:lang w:val="en-US"/>
        </w:rPr>
        <w:t xml:space="preserve">amendment </w:t>
      </w:r>
      <w:r w:rsidR="00DE44CD" w:rsidRPr="00813D19">
        <w:rPr>
          <w:lang w:val="en-US"/>
        </w:rPr>
        <w:t xml:space="preserve">on </w:t>
      </w:r>
      <w:r w:rsidR="00B91F92" w:rsidRPr="00813D19">
        <w:rPr>
          <w:lang w:val="en-US"/>
        </w:rPr>
        <w:t xml:space="preserve">the language of the General Assembly on </w:t>
      </w:r>
      <w:r w:rsidR="00DE44CD" w:rsidRPr="00813D19">
        <w:rPr>
          <w:lang w:val="en-US"/>
        </w:rPr>
        <w:t xml:space="preserve">this </w:t>
      </w:r>
      <w:r w:rsidR="00E41386">
        <w:rPr>
          <w:lang w:val="en-US"/>
        </w:rPr>
        <w:t>issue.</w:t>
      </w:r>
    </w:p>
    <w:p w14:paraId="3DBCA25C" w14:textId="7274CF86" w:rsidR="007B6E7F" w:rsidRPr="00813D19" w:rsidRDefault="007B6E7F" w:rsidP="005A1FC1">
      <w:pPr>
        <w:pStyle w:val="Orateurengris"/>
        <w:spacing w:before="120"/>
        <w:ind w:left="709" w:hanging="709"/>
        <w:rPr>
          <w:lang w:val="en-US"/>
        </w:rPr>
      </w:pPr>
      <w:r w:rsidRPr="00813D19">
        <w:rPr>
          <w:lang w:val="en-US"/>
        </w:rPr>
        <w:t xml:space="preserve">The </w:t>
      </w:r>
      <w:r w:rsidRPr="00813D19">
        <w:rPr>
          <w:b/>
          <w:lang w:val="en-US"/>
        </w:rPr>
        <w:t xml:space="preserve">delegation of Poland </w:t>
      </w:r>
      <w:r w:rsidR="00B91F92" w:rsidRPr="00813D19">
        <w:rPr>
          <w:lang w:val="en-US"/>
        </w:rPr>
        <w:t>express</w:t>
      </w:r>
      <w:r w:rsidR="00F63A8E" w:rsidRPr="00813D19">
        <w:rPr>
          <w:lang w:val="en-US"/>
        </w:rPr>
        <w:t>ed</w:t>
      </w:r>
      <w:r w:rsidR="00B91F92" w:rsidRPr="00813D19">
        <w:rPr>
          <w:lang w:val="en-US"/>
        </w:rPr>
        <w:t xml:space="preserve"> </w:t>
      </w:r>
      <w:r w:rsidR="00F63A8E" w:rsidRPr="00813D19">
        <w:rPr>
          <w:lang w:val="en-US"/>
        </w:rPr>
        <w:t xml:space="preserve">its </w:t>
      </w:r>
      <w:r w:rsidR="00B91F92" w:rsidRPr="00813D19">
        <w:rPr>
          <w:lang w:val="en-US"/>
        </w:rPr>
        <w:t xml:space="preserve">appreciation </w:t>
      </w:r>
      <w:r w:rsidR="00D0239E" w:rsidRPr="00813D19">
        <w:rPr>
          <w:lang w:val="en-US"/>
        </w:rPr>
        <w:t xml:space="preserve">of </w:t>
      </w:r>
      <w:r w:rsidR="00B91F92" w:rsidRPr="00813D19">
        <w:rPr>
          <w:lang w:val="en-US"/>
        </w:rPr>
        <w:t xml:space="preserve">the report and the work done by the Evaluation Body. </w:t>
      </w:r>
      <w:r w:rsidR="00D0239E" w:rsidRPr="00813D19">
        <w:rPr>
          <w:lang w:val="en-US"/>
        </w:rPr>
        <w:t>It understood</w:t>
      </w:r>
      <w:r w:rsidR="00B91F92" w:rsidRPr="00813D19">
        <w:rPr>
          <w:lang w:val="en-US"/>
        </w:rPr>
        <w:t xml:space="preserve"> and underline</w:t>
      </w:r>
      <w:r w:rsidR="00D0239E" w:rsidRPr="00813D19">
        <w:rPr>
          <w:lang w:val="en-US"/>
        </w:rPr>
        <w:t>d</w:t>
      </w:r>
      <w:r w:rsidR="00B91F92" w:rsidRPr="00813D19">
        <w:rPr>
          <w:lang w:val="en-US"/>
        </w:rPr>
        <w:t xml:space="preserve"> the importance of </w:t>
      </w:r>
      <w:r w:rsidR="00D0239E" w:rsidRPr="00813D19">
        <w:rPr>
          <w:lang w:val="en-US"/>
        </w:rPr>
        <w:t xml:space="preserve">the reflection on the nominations process, and </w:t>
      </w:r>
      <w:r w:rsidR="00B91F92" w:rsidRPr="00813D19">
        <w:rPr>
          <w:lang w:val="en-US"/>
        </w:rPr>
        <w:t>share</w:t>
      </w:r>
      <w:r w:rsidR="00D0239E" w:rsidRPr="00813D19">
        <w:rPr>
          <w:lang w:val="en-US"/>
        </w:rPr>
        <w:t>d</w:t>
      </w:r>
      <w:r w:rsidR="00B91F92" w:rsidRPr="00813D19">
        <w:rPr>
          <w:lang w:val="en-US"/>
        </w:rPr>
        <w:t xml:space="preserve"> the opinion expressed by the Philippines of the strong necessity </w:t>
      </w:r>
      <w:r w:rsidR="00D0239E" w:rsidRPr="00813D19">
        <w:rPr>
          <w:lang w:val="en-US"/>
        </w:rPr>
        <w:t xml:space="preserve">for </w:t>
      </w:r>
      <w:r w:rsidR="00B91F92" w:rsidRPr="00813D19">
        <w:rPr>
          <w:lang w:val="en-US"/>
        </w:rPr>
        <w:t xml:space="preserve">dialogue between nominating States and the Evaluation Body. </w:t>
      </w:r>
      <w:r w:rsidR="00D0239E" w:rsidRPr="00813D19">
        <w:rPr>
          <w:lang w:val="en-US"/>
        </w:rPr>
        <w:t xml:space="preserve">The delegation </w:t>
      </w:r>
      <w:r w:rsidR="00B91F92" w:rsidRPr="00813D19">
        <w:rPr>
          <w:lang w:val="en-US"/>
        </w:rPr>
        <w:t>agree</w:t>
      </w:r>
      <w:r w:rsidR="00D0239E" w:rsidRPr="00813D19">
        <w:rPr>
          <w:lang w:val="en-US"/>
        </w:rPr>
        <w:t>d</w:t>
      </w:r>
      <w:r w:rsidR="00B91F92" w:rsidRPr="00813D19">
        <w:rPr>
          <w:lang w:val="en-US"/>
        </w:rPr>
        <w:t xml:space="preserve"> that there </w:t>
      </w:r>
      <w:r w:rsidR="00D0239E" w:rsidRPr="00813D19">
        <w:rPr>
          <w:lang w:val="en-US"/>
        </w:rPr>
        <w:t xml:space="preserve">was </w:t>
      </w:r>
      <w:r w:rsidR="00B91F92" w:rsidRPr="00813D19">
        <w:rPr>
          <w:lang w:val="en-US"/>
        </w:rPr>
        <w:t>a need to undertake a broader reflection on challenges encountered by the Evaluation Body, in particula</w:t>
      </w:r>
      <w:r w:rsidR="00D0239E" w:rsidRPr="00813D19">
        <w:rPr>
          <w:lang w:val="en-US"/>
        </w:rPr>
        <w:t xml:space="preserve">r, in evaluating criterion R.2, adding that it had some </w:t>
      </w:r>
      <w:r w:rsidR="00B91F92" w:rsidRPr="00813D19">
        <w:rPr>
          <w:lang w:val="en-US"/>
        </w:rPr>
        <w:t xml:space="preserve">ideas that </w:t>
      </w:r>
      <w:r w:rsidR="00D0239E" w:rsidRPr="00813D19">
        <w:rPr>
          <w:lang w:val="en-US"/>
        </w:rPr>
        <w:t xml:space="preserve">it would </w:t>
      </w:r>
      <w:r w:rsidR="00B91F92" w:rsidRPr="00813D19">
        <w:rPr>
          <w:lang w:val="en-US"/>
        </w:rPr>
        <w:t xml:space="preserve">share with </w:t>
      </w:r>
      <w:r w:rsidR="00D0239E" w:rsidRPr="00813D19">
        <w:rPr>
          <w:lang w:val="en-US"/>
        </w:rPr>
        <w:t xml:space="preserve">the Committee </w:t>
      </w:r>
      <w:r w:rsidR="00B91F92" w:rsidRPr="00813D19">
        <w:rPr>
          <w:lang w:val="en-US"/>
        </w:rPr>
        <w:t xml:space="preserve">in the near future. </w:t>
      </w:r>
      <w:r w:rsidR="00D0239E" w:rsidRPr="00813D19">
        <w:rPr>
          <w:lang w:val="en-US"/>
        </w:rPr>
        <w:t xml:space="preserve">In the meantime, it sought to hear the </w:t>
      </w:r>
      <w:r w:rsidR="00B91F92" w:rsidRPr="00813D19">
        <w:rPr>
          <w:lang w:val="en-US"/>
        </w:rPr>
        <w:t xml:space="preserve">opinion of the Evaluation Body about possible solutions </w:t>
      </w:r>
      <w:r w:rsidR="00D0239E" w:rsidRPr="00813D19">
        <w:rPr>
          <w:lang w:val="en-US"/>
        </w:rPr>
        <w:t xml:space="preserve">to </w:t>
      </w:r>
      <w:r w:rsidR="00E41386">
        <w:rPr>
          <w:lang w:val="en-US"/>
        </w:rPr>
        <w:t>this problem.</w:t>
      </w:r>
    </w:p>
    <w:p w14:paraId="2DAC388A" w14:textId="213027F7" w:rsidR="00D0239E" w:rsidRPr="00813D19" w:rsidRDefault="005B5112" w:rsidP="005A1FC1">
      <w:pPr>
        <w:pStyle w:val="Orateurengris"/>
        <w:spacing w:before="120"/>
        <w:ind w:left="709" w:hanging="709"/>
        <w:rPr>
          <w:lang w:val="en-US"/>
        </w:rPr>
      </w:pPr>
      <w:r w:rsidRPr="00813D19">
        <w:rPr>
          <w:lang w:val="en-US"/>
        </w:rPr>
        <w:t xml:space="preserve">The </w:t>
      </w:r>
      <w:r w:rsidRPr="00813D19">
        <w:rPr>
          <w:b/>
          <w:lang w:val="en-US"/>
        </w:rPr>
        <w:t>delegation of Cyprus</w:t>
      </w:r>
      <w:r w:rsidR="00B91F92" w:rsidRPr="00813D19">
        <w:rPr>
          <w:b/>
          <w:lang w:val="en-US"/>
        </w:rPr>
        <w:t xml:space="preserve"> </w:t>
      </w:r>
      <w:r w:rsidR="00D0239E" w:rsidRPr="00813D19">
        <w:rPr>
          <w:lang w:val="en-US"/>
        </w:rPr>
        <w:t>support</w:t>
      </w:r>
      <w:r w:rsidR="0040740E" w:rsidRPr="00813D19">
        <w:rPr>
          <w:lang w:val="en-US"/>
        </w:rPr>
        <w:t>ed</w:t>
      </w:r>
      <w:r w:rsidR="00D0239E" w:rsidRPr="00813D19">
        <w:rPr>
          <w:lang w:val="en-US"/>
        </w:rPr>
        <w:t xml:space="preserve"> the </w:t>
      </w:r>
      <w:r w:rsidR="0040740E" w:rsidRPr="00813D19">
        <w:rPr>
          <w:lang w:val="en-US"/>
        </w:rPr>
        <w:t xml:space="preserve">remarks made by </w:t>
      </w:r>
      <w:r w:rsidR="00D0239E" w:rsidRPr="00813D19">
        <w:rPr>
          <w:lang w:val="en-US"/>
        </w:rPr>
        <w:t>the Philippines</w:t>
      </w:r>
      <w:r w:rsidR="0040740E" w:rsidRPr="00813D19">
        <w:rPr>
          <w:lang w:val="en-US"/>
        </w:rPr>
        <w:t xml:space="preserve"> in that it agreed </w:t>
      </w:r>
      <w:r w:rsidR="00D0239E" w:rsidRPr="00813D19">
        <w:rPr>
          <w:lang w:val="en-US"/>
        </w:rPr>
        <w:t xml:space="preserve">with </w:t>
      </w:r>
      <w:r w:rsidR="0040740E" w:rsidRPr="00813D19">
        <w:rPr>
          <w:lang w:val="en-US"/>
        </w:rPr>
        <w:t xml:space="preserve">the </w:t>
      </w:r>
      <w:r w:rsidR="00D0239E" w:rsidRPr="00813D19">
        <w:rPr>
          <w:lang w:val="en-US"/>
        </w:rPr>
        <w:t xml:space="preserve">dialogue between States Parties and the Evaluation Body. </w:t>
      </w:r>
      <w:r w:rsidR="0040740E" w:rsidRPr="00813D19">
        <w:rPr>
          <w:lang w:val="en-US"/>
        </w:rPr>
        <w:t xml:space="preserve">The option of a </w:t>
      </w:r>
      <w:r w:rsidR="00D0239E" w:rsidRPr="00813D19">
        <w:rPr>
          <w:lang w:val="en-US"/>
        </w:rPr>
        <w:t xml:space="preserve">dialogue </w:t>
      </w:r>
      <w:r w:rsidR="0040740E" w:rsidRPr="00813D19">
        <w:rPr>
          <w:lang w:val="en-US"/>
        </w:rPr>
        <w:t>would help avoid</w:t>
      </w:r>
      <w:r w:rsidR="00D0239E" w:rsidRPr="00813D19">
        <w:rPr>
          <w:lang w:val="en-US"/>
        </w:rPr>
        <w:t xml:space="preserve"> certain technical problems </w:t>
      </w:r>
      <w:r w:rsidR="0040740E" w:rsidRPr="00813D19">
        <w:rPr>
          <w:lang w:val="en-US"/>
        </w:rPr>
        <w:t xml:space="preserve">that may arise during </w:t>
      </w:r>
      <w:r w:rsidR="00D0239E" w:rsidRPr="00813D19">
        <w:rPr>
          <w:lang w:val="en-US"/>
        </w:rPr>
        <w:t xml:space="preserve">the examination of a file. </w:t>
      </w:r>
      <w:r w:rsidR="00A94E11" w:rsidRPr="00813D19">
        <w:rPr>
          <w:lang w:val="en-US"/>
        </w:rPr>
        <w:t>The delegation felt that the issue of dialogue between States Parties and the Evaluation Body could also be discussed during the expert meeting</w:t>
      </w:r>
      <w:r w:rsidR="00D0239E" w:rsidRPr="00813D19">
        <w:rPr>
          <w:lang w:val="en-US"/>
        </w:rPr>
        <w:t xml:space="preserve"> and the working group</w:t>
      </w:r>
      <w:r w:rsidR="00A94E11" w:rsidRPr="00813D19">
        <w:rPr>
          <w:lang w:val="en-US"/>
        </w:rPr>
        <w:t xml:space="preserve"> meeting</w:t>
      </w:r>
      <w:r w:rsidR="00D0239E" w:rsidRPr="00813D19">
        <w:rPr>
          <w:lang w:val="en-US"/>
        </w:rPr>
        <w:t>.</w:t>
      </w:r>
    </w:p>
    <w:p w14:paraId="74F5FEB6" w14:textId="2DBCDAD7" w:rsidR="00332497" w:rsidRPr="00813D19" w:rsidRDefault="00332497" w:rsidP="005A1FC1">
      <w:pPr>
        <w:pStyle w:val="Orateurengris"/>
        <w:spacing w:before="120"/>
        <w:ind w:left="709" w:hanging="709"/>
        <w:rPr>
          <w:lang w:val="en-US"/>
        </w:rPr>
      </w:pPr>
      <w:r w:rsidRPr="00813D19">
        <w:rPr>
          <w:lang w:val="en-US"/>
        </w:rPr>
        <w:t xml:space="preserve">The </w:t>
      </w:r>
      <w:r w:rsidRPr="00813D19">
        <w:rPr>
          <w:b/>
          <w:lang w:val="en-US"/>
        </w:rPr>
        <w:t xml:space="preserve">delegation of </w:t>
      </w:r>
      <w:r w:rsidR="00813D19" w:rsidRPr="00813D19">
        <w:rPr>
          <w:b/>
          <w:lang w:val="en-US"/>
        </w:rPr>
        <w:t>Kazakhstan</w:t>
      </w:r>
      <w:r w:rsidRPr="00813D19">
        <w:rPr>
          <w:lang w:val="en-US"/>
        </w:rPr>
        <w:t xml:space="preserve"> </w:t>
      </w:r>
      <w:r w:rsidR="00B91F92" w:rsidRPr="00813D19">
        <w:rPr>
          <w:lang w:val="en-US"/>
        </w:rPr>
        <w:t>commend</w:t>
      </w:r>
      <w:r w:rsidR="00A00434" w:rsidRPr="00813D19">
        <w:rPr>
          <w:lang w:val="en-US"/>
        </w:rPr>
        <w:t>ed</w:t>
      </w:r>
      <w:r w:rsidR="00B91F92" w:rsidRPr="00813D19">
        <w:rPr>
          <w:lang w:val="en-US"/>
        </w:rPr>
        <w:t xml:space="preserve"> the work of the Evaluation Body and the very clear presentation. </w:t>
      </w:r>
      <w:r w:rsidR="00A00434" w:rsidRPr="00813D19">
        <w:rPr>
          <w:lang w:val="en-US"/>
        </w:rPr>
        <w:t xml:space="preserve">It </w:t>
      </w:r>
      <w:r w:rsidR="00B91F92" w:rsidRPr="00813D19">
        <w:rPr>
          <w:lang w:val="en-US"/>
        </w:rPr>
        <w:t>also welcome</w:t>
      </w:r>
      <w:r w:rsidR="00A00434" w:rsidRPr="00813D19">
        <w:rPr>
          <w:lang w:val="en-US"/>
        </w:rPr>
        <w:t>d</w:t>
      </w:r>
      <w:r w:rsidR="00B91F92" w:rsidRPr="00813D19">
        <w:rPr>
          <w:lang w:val="en-US"/>
        </w:rPr>
        <w:t xml:space="preserve"> </w:t>
      </w:r>
      <w:r w:rsidR="00A00434" w:rsidRPr="00813D19">
        <w:rPr>
          <w:lang w:val="en-US"/>
        </w:rPr>
        <w:t>the intention</w:t>
      </w:r>
      <w:r w:rsidR="00B91F92" w:rsidRPr="00813D19">
        <w:rPr>
          <w:lang w:val="en-US"/>
        </w:rPr>
        <w:t xml:space="preserve"> to address </w:t>
      </w:r>
      <w:r w:rsidR="00A00434" w:rsidRPr="00813D19">
        <w:rPr>
          <w:lang w:val="en-US"/>
        </w:rPr>
        <w:t xml:space="preserve">the </w:t>
      </w:r>
      <w:r w:rsidR="00B91F92" w:rsidRPr="00813D19">
        <w:rPr>
          <w:lang w:val="en-US"/>
        </w:rPr>
        <w:t xml:space="preserve">concerns related to the R.2 criterion in reviewing </w:t>
      </w:r>
      <w:r w:rsidR="00F63A8E" w:rsidRPr="00813D19">
        <w:rPr>
          <w:lang w:val="en-US"/>
        </w:rPr>
        <w:t xml:space="preserve">nominations </w:t>
      </w:r>
      <w:r w:rsidR="00B91F92" w:rsidRPr="00813D19">
        <w:rPr>
          <w:lang w:val="en-US"/>
        </w:rPr>
        <w:t>submitted by States Parties</w:t>
      </w:r>
      <w:r w:rsidR="00A00434" w:rsidRPr="00813D19">
        <w:rPr>
          <w:lang w:val="en-US"/>
        </w:rPr>
        <w:t>,</w:t>
      </w:r>
      <w:r w:rsidR="00B91F92" w:rsidRPr="00813D19">
        <w:rPr>
          <w:lang w:val="en-US"/>
        </w:rPr>
        <w:t xml:space="preserve"> as well as </w:t>
      </w:r>
      <w:r w:rsidR="00F63A8E" w:rsidRPr="00813D19">
        <w:rPr>
          <w:lang w:val="en-US"/>
        </w:rPr>
        <w:t xml:space="preserve">to </w:t>
      </w:r>
      <w:r w:rsidR="00B91F92" w:rsidRPr="00813D19">
        <w:rPr>
          <w:lang w:val="en-US"/>
        </w:rPr>
        <w:t xml:space="preserve">share some </w:t>
      </w:r>
      <w:r w:rsidR="00F63A8E" w:rsidRPr="00813D19">
        <w:rPr>
          <w:lang w:val="en-US"/>
        </w:rPr>
        <w:t xml:space="preserve">of the </w:t>
      </w:r>
      <w:r w:rsidR="00B91F92" w:rsidRPr="00813D19">
        <w:rPr>
          <w:lang w:val="en-US"/>
        </w:rPr>
        <w:t xml:space="preserve">concerns expressed by </w:t>
      </w:r>
      <w:r w:rsidR="00F63A8E" w:rsidRPr="00813D19">
        <w:rPr>
          <w:lang w:val="en-US"/>
        </w:rPr>
        <w:t xml:space="preserve">previous </w:t>
      </w:r>
      <w:r w:rsidR="00B91F92" w:rsidRPr="00813D19">
        <w:rPr>
          <w:lang w:val="en-US"/>
        </w:rPr>
        <w:t>speakers relating to a dialogue between States P</w:t>
      </w:r>
      <w:r w:rsidR="00E41386">
        <w:rPr>
          <w:lang w:val="en-US"/>
        </w:rPr>
        <w:t>arties and the Evaluation Body.</w:t>
      </w:r>
    </w:p>
    <w:p w14:paraId="754C25E0" w14:textId="4EDC6B86" w:rsidR="00D90293" w:rsidRPr="00813D19" w:rsidRDefault="00D90293" w:rsidP="005A1FC1">
      <w:pPr>
        <w:pStyle w:val="Orateurengris"/>
        <w:spacing w:before="120"/>
        <w:ind w:left="709" w:hanging="709"/>
        <w:rPr>
          <w:lang w:val="en-US"/>
        </w:rPr>
      </w:pPr>
      <w:r w:rsidRPr="00813D19">
        <w:rPr>
          <w:lang w:val="en-US"/>
        </w:rPr>
        <w:t xml:space="preserve">The </w:t>
      </w:r>
      <w:r w:rsidRPr="00813D19">
        <w:rPr>
          <w:b/>
          <w:lang w:val="en-US"/>
        </w:rPr>
        <w:t>delegation of Austria</w:t>
      </w:r>
      <w:r w:rsidR="00B91F92" w:rsidRPr="00813D19">
        <w:rPr>
          <w:lang w:val="en-US"/>
        </w:rPr>
        <w:t xml:space="preserve"> congratulate</w:t>
      </w:r>
      <w:r w:rsidR="00A00434" w:rsidRPr="00813D19">
        <w:rPr>
          <w:lang w:val="en-US"/>
        </w:rPr>
        <w:t>d</w:t>
      </w:r>
      <w:r w:rsidR="00E46051" w:rsidRPr="00813D19">
        <w:rPr>
          <w:lang w:val="en-US"/>
        </w:rPr>
        <w:t xml:space="preserve"> the </w:t>
      </w:r>
      <w:r w:rsidR="0040740E" w:rsidRPr="00813D19">
        <w:rPr>
          <w:lang w:val="en-US"/>
        </w:rPr>
        <w:t xml:space="preserve">Evaluation Body </w:t>
      </w:r>
      <w:r w:rsidR="00B91F92" w:rsidRPr="00813D19">
        <w:rPr>
          <w:lang w:val="en-US"/>
        </w:rPr>
        <w:t xml:space="preserve">for the coherence of </w:t>
      </w:r>
      <w:r w:rsidR="00873E51" w:rsidRPr="00813D19">
        <w:rPr>
          <w:lang w:val="en-US"/>
        </w:rPr>
        <w:t xml:space="preserve">its </w:t>
      </w:r>
      <w:r w:rsidR="00B91F92" w:rsidRPr="00813D19">
        <w:rPr>
          <w:lang w:val="en-US"/>
        </w:rPr>
        <w:t xml:space="preserve">work and the detailed and insightful report </w:t>
      </w:r>
      <w:r w:rsidR="00873E51" w:rsidRPr="00813D19">
        <w:rPr>
          <w:lang w:val="en-US"/>
        </w:rPr>
        <w:t>that showed</w:t>
      </w:r>
      <w:r w:rsidR="00A753E2" w:rsidRPr="00813D19">
        <w:rPr>
          <w:lang w:val="en-US"/>
        </w:rPr>
        <w:t xml:space="preserve"> how the evaluation of files was an ongoing process,</w:t>
      </w:r>
      <w:r w:rsidR="00B91F92" w:rsidRPr="00813D19">
        <w:rPr>
          <w:lang w:val="en-US"/>
        </w:rPr>
        <w:t xml:space="preserve"> </w:t>
      </w:r>
      <w:r w:rsidR="00B60C8A" w:rsidRPr="00813D19">
        <w:rPr>
          <w:lang w:val="en-US"/>
        </w:rPr>
        <w:t>which evolved</w:t>
      </w:r>
      <w:r w:rsidR="00B91F92" w:rsidRPr="00813D19">
        <w:rPr>
          <w:lang w:val="en-US"/>
        </w:rPr>
        <w:t xml:space="preserve"> over time with experience</w:t>
      </w:r>
      <w:r w:rsidR="00A753E2" w:rsidRPr="00813D19">
        <w:rPr>
          <w:lang w:val="en-US"/>
        </w:rPr>
        <w:t xml:space="preserve">, </w:t>
      </w:r>
      <w:r w:rsidR="00010103" w:rsidRPr="00813D19">
        <w:rPr>
          <w:lang w:val="en-US"/>
        </w:rPr>
        <w:t>and also</w:t>
      </w:r>
      <w:r w:rsidR="00B91F92" w:rsidRPr="00813D19">
        <w:rPr>
          <w:lang w:val="en-US"/>
        </w:rPr>
        <w:t xml:space="preserve"> on the national level. </w:t>
      </w:r>
      <w:r w:rsidR="00A753E2" w:rsidRPr="00813D19">
        <w:rPr>
          <w:lang w:val="en-US"/>
        </w:rPr>
        <w:t xml:space="preserve">The delegation </w:t>
      </w:r>
      <w:r w:rsidR="00B91F92" w:rsidRPr="00813D19">
        <w:rPr>
          <w:lang w:val="en-US"/>
        </w:rPr>
        <w:t xml:space="preserve">took note </w:t>
      </w:r>
      <w:r w:rsidR="00A753E2" w:rsidRPr="00813D19">
        <w:rPr>
          <w:lang w:val="en-US"/>
        </w:rPr>
        <w:t xml:space="preserve">with pleasure </w:t>
      </w:r>
      <w:r w:rsidR="00DC3685">
        <w:rPr>
          <w:lang w:val="en-US"/>
        </w:rPr>
        <w:t xml:space="preserve">of </w:t>
      </w:r>
      <w:r w:rsidR="00B91F92" w:rsidRPr="00813D19">
        <w:rPr>
          <w:lang w:val="en-US"/>
        </w:rPr>
        <w:t xml:space="preserve">the positive effects of the revised form for </w:t>
      </w:r>
      <w:r w:rsidR="00DC3685">
        <w:rPr>
          <w:lang w:val="en-US"/>
        </w:rPr>
        <w:t>S</w:t>
      </w:r>
      <w:r w:rsidR="00B91F92" w:rsidRPr="00813D19">
        <w:rPr>
          <w:lang w:val="en-US"/>
        </w:rPr>
        <w:t>ection 5</w:t>
      </w:r>
      <w:r w:rsidR="00A753E2" w:rsidRPr="00813D19">
        <w:rPr>
          <w:lang w:val="en-US"/>
        </w:rPr>
        <w:t>,</w:t>
      </w:r>
      <w:r w:rsidR="00B91F92" w:rsidRPr="00813D19">
        <w:rPr>
          <w:lang w:val="en-US"/>
        </w:rPr>
        <w:t xml:space="preserve"> as already mentioned</w:t>
      </w:r>
      <w:r w:rsidR="00A753E2" w:rsidRPr="00813D19">
        <w:rPr>
          <w:lang w:val="en-US"/>
        </w:rPr>
        <w:t>,</w:t>
      </w:r>
      <w:r w:rsidR="00B91F92" w:rsidRPr="00813D19">
        <w:rPr>
          <w:lang w:val="en-US"/>
        </w:rPr>
        <w:t xml:space="preserve"> </w:t>
      </w:r>
      <w:r w:rsidR="00DC3685" w:rsidRPr="00813D19">
        <w:rPr>
          <w:lang w:val="en-US"/>
        </w:rPr>
        <w:t>al</w:t>
      </w:r>
      <w:r w:rsidR="00DC3685">
        <w:rPr>
          <w:lang w:val="en-US"/>
        </w:rPr>
        <w:t>though</w:t>
      </w:r>
      <w:r w:rsidR="00DC3685" w:rsidRPr="00813D19">
        <w:rPr>
          <w:lang w:val="en-US"/>
        </w:rPr>
        <w:t xml:space="preserve"> </w:t>
      </w:r>
      <w:r w:rsidR="00B91F92" w:rsidRPr="00813D19">
        <w:rPr>
          <w:lang w:val="en-US"/>
        </w:rPr>
        <w:t xml:space="preserve">criterion 2 </w:t>
      </w:r>
      <w:r w:rsidR="00A753E2" w:rsidRPr="00813D19">
        <w:rPr>
          <w:lang w:val="en-US"/>
        </w:rPr>
        <w:t xml:space="preserve">remained </w:t>
      </w:r>
      <w:r w:rsidR="00B60C8A" w:rsidRPr="00813D19">
        <w:rPr>
          <w:lang w:val="en-US"/>
        </w:rPr>
        <w:t xml:space="preserve">challenging, </w:t>
      </w:r>
      <w:r w:rsidR="00656AD1" w:rsidRPr="00813D19">
        <w:rPr>
          <w:lang w:val="en-US"/>
        </w:rPr>
        <w:t>tho</w:t>
      </w:r>
      <w:r w:rsidR="007338C5" w:rsidRPr="00813D19">
        <w:rPr>
          <w:lang w:val="en-US"/>
        </w:rPr>
        <w:t xml:space="preserve">ugh it </w:t>
      </w:r>
      <w:r w:rsidR="00B91F92" w:rsidRPr="00813D19">
        <w:rPr>
          <w:lang w:val="en-US"/>
        </w:rPr>
        <w:t>w</w:t>
      </w:r>
      <w:r w:rsidR="00DC3685">
        <w:rPr>
          <w:lang w:val="en-US"/>
        </w:rPr>
        <w:t>ould</w:t>
      </w:r>
      <w:r w:rsidR="00B91F92" w:rsidRPr="00813D19">
        <w:rPr>
          <w:lang w:val="en-US"/>
        </w:rPr>
        <w:t xml:space="preserve"> be discussed by the working group</w:t>
      </w:r>
      <w:r w:rsidR="00B60C8A" w:rsidRPr="00813D19">
        <w:rPr>
          <w:lang w:val="en-US"/>
        </w:rPr>
        <w:t>.</w:t>
      </w:r>
      <w:r w:rsidR="00B91F92" w:rsidRPr="00813D19">
        <w:rPr>
          <w:lang w:val="en-US"/>
        </w:rPr>
        <w:t xml:space="preserve"> </w:t>
      </w:r>
      <w:r w:rsidR="00B60C8A" w:rsidRPr="00813D19">
        <w:rPr>
          <w:lang w:val="en-US"/>
        </w:rPr>
        <w:t>However</w:t>
      </w:r>
      <w:r w:rsidR="007338C5" w:rsidRPr="00813D19">
        <w:rPr>
          <w:lang w:val="en-US"/>
        </w:rPr>
        <w:t>,</w:t>
      </w:r>
      <w:r w:rsidR="00B60C8A" w:rsidRPr="00813D19">
        <w:rPr>
          <w:lang w:val="en-US"/>
        </w:rPr>
        <w:t xml:space="preserve"> the Committee </w:t>
      </w:r>
      <w:r w:rsidR="00010103" w:rsidRPr="00813D19">
        <w:rPr>
          <w:lang w:val="en-US"/>
        </w:rPr>
        <w:t>might</w:t>
      </w:r>
      <w:r w:rsidR="00B91F92" w:rsidRPr="00813D19">
        <w:rPr>
          <w:lang w:val="en-US"/>
        </w:rPr>
        <w:t xml:space="preserve"> </w:t>
      </w:r>
      <w:r w:rsidR="00B60C8A" w:rsidRPr="00813D19">
        <w:rPr>
          <w:lang w:val="en-US"/>
        </w:rPr>
        <w:t xml:space="preserve">wish </w:t>
      </w:r>
      <w:r w:rsidR="00B91F92" w:rsidRPr="00813D19">
        <w:rPr>
          <w:lang w:val="en-US"/>
        </w:rPr>
        <w:t xml:space="preserve">to define a set of indicators that would allow </w:t>
      </w:r>
      <w:r w:rsidR="00DC3685">
        <w:rPr>
          <w:lang w:val="en-US"/>
        </w:rPr>
        <w:t xml:space="preserve">for the </w:t>
      </w:r>
      <w:r w:rsidR="00B60C8A" w:rsidRPr="00813D19">
        <w:rPr>
          <w:lang w:val="en-US"/>
        </w:rPr>
        <w:t>measure</w:t>
      </w:r>
      <w:r w:rsidR="00656AD1" w:rsidRPr="00813D19">
        <w:rPr>
          <w:lang w:val="en-US"/>
        </w:rPr>
        <w:t>ment of</w:t>
      </w:r>
      <w:r w:rsidR="00B91F92" w:rsidRPr="00813D19">
        <w:rPr>
          <w:lang w:val="en-US"/>
        </w:rPr>
        <w:t xml:space="preserve"> the impact of inscriptions</w:t>
      </w:r>
      <w:r w:rsidR="00656AD1" w:rsidRPr="00813D19">
        <w:rPr>
          <w:lang w:val="en-US"/>
        </w:rPr>
        <w:t xml:space="preserve">. In this regard, </w:t>
      </w:r>
      <w:r w:rsidR="00B91F92" w:rsidRPr="00813D19">
        <w:rPr>
          <w:lang w:val="en-US"/>
        </w:rPr>
        <w:t xml:space="preserve">the overall results framework and Indicator 15 on the role of </w:t>
      </w:r>
      <w:r w:rsidR="00A753E2" w:rsidRPr="00813D19">
        <w:rPr>
          <w:lang w:val="en-US"/>
        </w:rPr>
        <w:t>intangible cultural heritage</w:t>
      </w:r>
      <w:r w:rsidR="00B91F92" w:rsidRPr="00813D19">
        <w:rPr>
          <w:lang w:val="en-US"/>
        </w:rPr>
        <w:t xml:space="preserve"> in the safeguarding of society</w:t>
      </w:r>
      <w:r w:rsidR="00DC3685">
        <w:rPr>
          <w:lang w:val="en-US"/>
        </w:rPr>
        <w:t>,</w:t>
      </w:r>
      <w:r w:rsidR="00B91F92" w:rsidRPr="00813D19">
        <w:rPr>
          <w:lang w:val="en-US"/>
        </w:rPr>
        <w:t xml:space="preserve"> for example</w:t>
      </w:r>
      <w:r w:rsidR="00656AD1" w:rsidRPr="00813D19">
        <w:rPr>
          <w:lang w:val="en-US"/>
        </w:rPr>
        <w:t>,</w:t>
      </w:r>
      <w:r w:rsidR="00B91F92" w:rsidRPr="00813D19">
        <w:rPr>
          <w:lang w:val="en-US"/>
        </w:rPr>
        <w:t xml:space="preserve"> could be a starting point</w:t>
      </w:r>
      <w:r w:rsidR="00656AD1" w:rsidRPr="00813D19">
        <w:rPr>
          <w:lang w:val="en-US"/>
        </w:rPr>
        <w:t>.</w:t>
      </w:r>
      <w:r w:rsidR="00B91F92" w:rsidRPr="00813D19">
        <w:rPr>
          <w:lang w:val="en-US"/>
        </w:rPr>
        <w:t xml:space="preserve"> </w:t>
      </w:r>
      <w:r w:rsidR="00656AD1" w:rsidRPr="00813D19">
        <w:rPr>
          <w:lang w:val="en-US"/>
        </w:rPr>
        <w:t xml:space="preserve">The delegation </w:t>
      </w:r>
      <w:r w:rsidR="00B91F92" w:rsidRPr="00813D19">
        <w:rPr>
          <w:lang w:val="en-US"/>
        </w:rPr>
        <w:t xml:space="preserve">also </w:t>
      </w:r>
      <w:r w:rsidR="00656AD1" w:rsidRPr="00813D19">
        <w:rPr>
          <w:lang w:val="en-US"/>
        </w:rPr>
        <w:t xml:space="preserve">wished </w:t>
      </w:r>
      <w:r w:rsidR="00B91F92" w:rsidRPr="00813D19">
        <w:rPr>
          <w:lang w:val="en-US"/>
        </w:rPr>
        <w:t>to invite the Evaluation Body to elaborate on ideas regarding criterion</w:t>
      </w:r>
      <w:r w:rsidR="00010103" w:rsidRPr="00813D19">
        <w:rPr>
          <w:lang w:val="en-US"/>
        </w:rPr>
        <w:t xml:space="preserve"> 2</w:t>
      </w:r>
      <w:r w:rsidR="00B91F92" w:rsidRPr="00813D19">
        <w:rPr>
          <w:lang w:val="en-US"/>
        </w:rPr>
        <w:t xml:space="preserve">. </w:t>
      </w:r>
      <w:r w:rsidR="00656AD1" w:rsidRPr="00813D19">
        <w:rPr>
          <w:lang w:val="en-US"/>
        </w:rPr>
        <w:t xml:space="preserve">It </w:t>
      </w:r>
      <w:r w:rsidR="00B91F92" w:rsidRPr="00813D19">
        <w:rPr>
          <w:lang w:val="en-US"/>
        </w:rPr>
        <w:t>note</w:t>
      </w:r>
      <w:r w:rsidR="00656AD1" w:rsidRPr="00813D19">
        <w:rPr>
          <w:lang w:val="en-US"/>
        </w:rPr>
        <w:t>d</w:t>
      </w:r>
      <w:r w:rsidR="00B91F92" w:rsidRPr="00813D19">
        <w:rPr>
          <w:lang w:val="en-US"/>
        </w:rPr>
        <w:t xml:space="preserve"> the Evaluation Body’s comments on files related to crafts in paragraph 39 and</w:t>
      </w:r>
      <w:r w:rsidR="00656AD1" w:rsidRPr="00813D19">
        <w:rPr>
          <w:lang w:val="en-US"/>
        </w:rPr>
        <w:t>,</w:t>
      </w:r>
      <w:r w:rsidR="00B91F92" w:rsidRPr="00813D19">
        <w:rPr>
          <w:lang w:val="en-US"/>
        </w:rPr>
        <w:t xml:space="preserve"> looking at the submitted files</w:t>
      </w:r>
      <w:r w:rsidR="00656AD1" w:rsidRPr="00813D19">
        <w:rPr>
          <w:lang w:val="en-US"/>
        </w:rPr>
        <w:t>,</w:t>
      </w:r>
      <w:r w:rsidR="00B91F92" w:rsidRPr="00813D19">
        <w:rPr>
          <w:lang w:val="en-US"/>
        </w:rPr>
        <w:t xml:space="preserve"> it </w:t>
      </w:r>
      <w:r w:rsidR="00656AD1" w:rsidRPr="00813D19">
        <w:rPr>
          <w:lang w:val="en-US"/>
        </w:rPr>
        <w:t xml:space="preserve">was </w:t>
      </w:r>
      <w:r w:rsidR="00B91F92" w:rsidRPr="00813D19">
        <w:rPr>
          <w:lang w:val="en-US"/>
        </w:rPr>
        <w:t>clear that a lack of visibility or low interest in traditional crafts often pose</w:t>
      </w:r>
      <w:r w:rsidR="00DC3685">
        <w:rPr>
          <w:lang w:val="en-US"/>
        </w:rPr>
        <w:t>d</w:t>
      </w:r>
      <w:r w:rsidR="00B91F92" w:rsidRPr="00813D19">
        <w:rPr>
          <w:lang w:val="en-US"/>
        </w:rPr>
        <w:t xml:space="preserve"> a threat to the viability of the element. Considering that traditional craftsmanship can make a profound contribution to several goals of the 2030 Agenda</w:t>
      </w:r>
      <w:r w:rsidR="00656AD1" w:rsidRPr="00813D19">
        <w:rPr>
          <w:lang w:val="en-US"/>
        </w:rPr>
        <w:t>,</w:t>
      </w:r>
      <w:r w:rsidR="00B91F92" w:rsidRPr="00813D19">
        <w:rPr>
          <w:lang w:val="en-US"/>
        </w:rPr>
        <w:t xml:space="preserve"> </w:t>
      </w:r>
      <w:r w:rsidR="00656AD1" w:rsidRPr="00813D19">
        <w:rPr>
          <w:lang w:val="en-US"/>
        </w:rPr>
        <w:t xml:space="preserve">such as </w:t>
      </w:r>
      <w:r w:rsidR="00B91F92" w:rsidRPr="00813D19">
        <w:rPr>
          <w:lang w:val="en-US"/>
        </w:rPr>
        <w:t>SDG 8 and 12</w:t>
      </w:r>
      <w:r w:rsidR="00656AD1" w:rsidRPr="00813D19">
        <w:rPr>
          <w:lang w:val="en-US"/>
        </w:rPr>
        <w:t>,</w:t>
      </w:r>
      <w:r w:rsidR="00B91F92" w:rsidRPr="00813D19">
        <w:rPr>
          <w:lang w:val="en-US"/>
        </w:rPr>
        <w:t xml:space="preserve"> </w:t>
      </w:r>
      <w:r w:rsidR="00656AD1" w:rsidRPr="00813D19">
        <w:rPr>
          <w:lang w:val="en-US"/>
        </w:rPr>
        <w:t xml:space="preserve">it was </w:t>
      </w:r>
      <w:r w:rsidR="00B91F92" w:rsidRPr="00813D19">
        <w:rPr>
          <w:lang w:val="en-US"/>
        </w:rPr>
        <w:t>hope</w:t>
      </w:r>
      <w:r w:rsidR="00656AD1" w:rsidRPr="00813D19">
        <w:rPr>
          <w:lang w:val="en-US"/>
        </w:rPr>
        <w:t>d</w:t>
      </w:r>
      <w:r w:rsidR="00B91F92" w:rsidRPr="00813D19">
        <w:rPr>
          <w:lang w:val="en-US"/>
        </w:rPr>
        <w:t xml:space="preserve"> that States Parties w</w:t>
      </w:r>
      <w:r w:rsidR="00DC3685">
        <w:rPr>
          <w:lang w:val="en-US"/>
        </w:rPr>
        <w:t>ould</w:t>
      </w:r>
      <w:r w:rsidR="00B91F92" w:rsidRPr="00813D19">
        <w:rPr>
          <w:lang w:val="en-US"/>
        </w:rPr>
        <w:t xml:space="preserve"> continue recognizing, promoting and enhancing </w:t>
      </w:r>
      <w:r w:rsidR="00656AD1" w:rsidRPr="00813D19">
        <w:rPr>
          <w:lang w:val="en-US"/>
        </w:rPr>
        <w:t xml:space="preserve">intangible cultural heritage </w:t>
      </w:r>
      <w:r w:rsidR="00B91F92" w:rsidRPr="00813D19">
        <w:rPr>
          <w:lang w:val="en-US"/>
        </w:rPr>
        <w:t xml:space="preserve">elements </w:t>
      </w:r>
      <w:r w:rsidR="00656AD1" w:rsidRPr="00813D19">
        <w:rPr>
          <w:lang w:val="en-US"/>
        </w:rPr>
        <w:t xml:space="preserve">related to </w:t>
      </w:r>
      <w:r w:rsidR="00B91F92" w:rsidRPr="00813D19">
        <w:rPr>
          <w:lang w:val="en-US"/>
        </w:rPr>
        <w:t xml:space="preserve">the skills and knowledge </w:t>
      </w:r>
      <w:r w:rsidR="00656AD1" w:rsidRPr="00813D19">
        <w:rPr>
          <w:lang w:val="en-US"/>
        </w:rPr>
        <w:t xml:space="preserve">of </w:t>
      </w:r>
      <w:r w:rsidR="00B91F92" w:rsidRPr="00813D19">
        <w:rPr>
          <w:lang w:val="en-US"/>
        </w:rPr>
        <w:t>traditional craftsmanship. Unfortunately</w:t>
      </w:r>
      <w:r w:rsidR="00656AD1" w:rsidRPr="00813D19">
        <w:rPr>
          <w:lang w:val="en-US"/>
        </w:rPr>
        <w:t>,</w:t>
      </w:r>
      <w:r w:rsidR="00B91F92" w:rsidRPr="00813D19">
        <w:rPr>
          <w:lang w:val="en-US"/>
        </w:rPr>
        <w:t xml:space="preserve"> there </w:t>
      </w:r>
      <w:r w:rsidR="00656AD1" w:rsidRPr="00813D19">
        <w:rPr>
          <w:lang w:val="en-US"/>
        </w:rPr>
        <w:t xml:space="preserve">were </w:t>
      </w:r>
      <w:r w:rsidR="00B91F92" w:rsidRPr="00813D19">
        <w:rPr>
          <w:lang w:val="en-US"/>
        </w:rPr>
        <w:t xml:space="preserve">only two proposals for the Register of Good Safeguarding Practices </w:t>
      </w:r>
      <w:r w:rsidR="00656AD1" w:rsidRPr="00813D19">
        <w:rPr>
          <w:lang w:val="en-US"/>
        </w:rPr>
        <w:t xml:space="preserve">in </w:t>
      </w:r>
      <w:r w:rsidR="00B91F92" w:rsidRPr="00813D19">
        <w:rPr>
          <w:lang w:val="en-US"/>
        </w:rPr>
        <w:t>this cycle</w:t>
      </w:r>
      <w:r w:rsidR="00656AD1" w:rsidRPr="00813D19">
        <w:rPr>
          <w:lang w:val="en-US"/>
        </w:rPr>
        <w:t>,</w:t>
      </w:r>
      <w:r w:rsidR="00B91F92" w:rsidRPr="00813D19">
        <w:rPr>
          <w:lang w:val="en-US"/>
        </w:rPr>
        <w:t xml:space="preserve"> </w:t>
      </w:r>
      <w:r w:rsidR="00656AD1" w:rsidRPr="00813D19">
        <w:rPr>
          <w:lang w:val="en-US"/>
        </w:rPr>
        <w:t xml:space="preserve">even though it </w:t>
      </w:r>
      <w:r w:rsidR="00DC3685">
        <w:rPr>
          <w:lang w:val="en-US"/>
        </w:rPr>
        <w:t>was</w:t>
      </w:r>
      <w:r w:rsidR="00B91F92" w:rsidRPr="00813D19">
        <w:rPr>
          <w:lang w:val="en-US"/>
        </w:rPr>
        <w:t xml:space="preserve"> a very valuable and useful register</w:t>
      </w:r>
      <w:r w:rsidR="00656AD1" w:rsidRPr="00813D19">
        <w:rPr>
          <w:lang w:val="en-US"/>
        </w:rPr>
        <w:t>,</w:t>
      </w:r>
      <w:r w:rsidR="00B91F92" w:rsidRPr="00813D19">
        <w:rPr>
          <w:lang w:val="en-US"/>
        </w:rPr>
        <w:t xml:space="preserve"> not only as a source of inspiration for others but also for the communities </w:t>
      </w:r>
      <w:r w:rsidR="00656AD1" w:rsidRPr="00813D19">
        <w:rPr>
          <w:lang w:val="en-US"/>
        </w:rPr>
        <w:t xml:space="preserve">themselves. The Register helps </w:t>
      </w:r>
      <w:r w:rsidR="00B91F92" w:rsidRPr="00813D19">
        <w:rPr>
          <w:lang w:val="en-US"/>
        </w:rPr>
        <w:t>reflect on the nature of the successful safeguarding measures</w:t>
      </w:r>
      <w:r w:rsidR="00656AD1" w:rsidRPr="00813D19">
        <w:rPr>
          <w:lang w:val="en-US"/>
        </w:rPr>
        <w:t>,</w:t>
      </w:r>
      <w:r w:rsidR="00B91F92" w:rsidRPr="00813D19">
        <w:rPr>
          <w:lang w:val="en-US"/>
        </w:rPr>
        <w:t xml:space="preserve"> </w:t>
      </w:r>
      <w:r w:rsidR="00656AD1" w:rsidRPr="00813D19">
        <w:rPr>
          <w:lang w:val="en-US"/>
        </w:rPr>
        <w:t xml:space="preserve">but </w:t>
      </w:r>
      <w:r w:rsidR="00B91F92" w:rsidRPr="00813D19">
        <w:rPr>
          <w:lang w:val="en-US"/>
        </w:rPr>
        <w:t xml:space="preserve">also strengthens community ties and further contributes to the safeguarding of the element. </w:t>
      </w:r>
      <w:r w:rsidR="00656AD1" w:rsidRPr="00813D19">
        <w:rPr>
          <w:lang w:val="en-US"/>
        </w:rPr>
        <w:t xml:space="preserve">The delegation concluded by </w:t>
      </w:r>
      <w:r w:rsidR="00B91F92" w:rsidRPr="00813D19">
        <w:rPr>
          <w:lang w:val="en-US"/>
        </w:rPr>
        <w:t>thank</w:t>
      </w:r>
      <w:r w:rsidR="00656AD1" w:rsidRPr="00813D19">
        <w:rPr>
          <w:lang w:val="en-US"/>
        </w:rPr>
        <w:t>ing</w:t>
      </w:r>
      <w:r w:rsidR="00B91F92" w:rsidRPr="00813D19">
        <w:rPr>
          <w:lang w:val="en-US"/>
        </w:rPr>
        <w:t xml:space="preserve"> the Evaluation Body for its specific recommendation</w:t>
      </w:r>
      <w:r w:rsidR="005527D2" w:rsidRPr="00813D19">
        <w:rPr>
          <w:lang w:val="en-US"/>
        </w:rPr>
        <w:t>s</w:t>
      </w:r>
      <w:r w:rsidR="00B91F92" w:rsidRPr="00813D19">
        <w:rPr>
          <w:lang w:val="en-US"/>
        </w:rPr>
        <w:t xml:space="preserve"> to </w:t>
      </w:r>
      <w:r w:rsidR="00010103" w:rsidRPr="00813D19">
        <w:rPr>
          <w:lang w:val="en-US"/>
        </w:rPr>
        <w:t>su</w:t>
      </w:r>
      <w:r w:rsidR="005527D2" w:rsidRPr="00813D19">
        <w:rPr>
          <w:lang w:val="en-US"/>
        </w:rPr>
        <w:t xml:space="preserve">bmitting </w:t>
      </w:r>
      <w:r w:rsidR="00B91F92" w:rsidRPr="00813D19">
        <w:rPr>
          <w:lang w:val="en-US"/>
        </w:rPr>
        <w:t>States</w:t>
      </w:r>
      <w:r w:rsidR="00656AD1" w:rsidRPr="00813D19">
        <w:rPr>
          <w:lang w:val="en-US"/>
        </w:rPr>
        <w:t>, while clearly identifying</w:t>
      </w:r>
      <w:r w:rsidR="00B91F92" w:rsidRPr="00813D19">
        <w:rPr>
          <w:lang w:val="en-US"/>
        </w:rPr>
        <w:t xml:space="preserve"> those parts of the file that </w:t>
      </w:r>
      <w:r w:rsidR="00656AD1" w:rsidRPr="00813D19">
        <w:rPr>
          <w:lang w:val="en-US"/>
        </w:rPr>
        <w:t xml:space="preserve">could be revisited and improved, which was </w:t>
      </w:r>
      <w:r w:rsidR="00E41386">
        <w:rPr>
          <w:lang w:val="en-US"/>
        </w:rPr>
        <w:t>highly appreciated.</w:t>
      </w:r>
    </w:p>
    <w:p w14:paraId="45CF85C6" w14:textId="527A9002" w:rsidR="00352DEB" w:rsidRPr="00813D19" w:rsidRDefault="00352DEB" w:rsidP="005A1FC1">
      <w:pPr>
        <w:pStyle w:val="Orateurengris"/>
        <w:spacing w:before="120"/>
        <w:ind w:left="709" w:hanging="709"/>
        <w:rPr>
          <w:lang w:val="en-US"/>
        </w:rPr>
      </w:pPr>
      <w:r w:rsidRPr="00813D19">
        <w:rPr>
          <w:lang w:val="en-US"/>
        </w:rPr>
        <w:t xml:space="preserve">The </w:t>
      </w:r>
      <w:r w:rsidRPr="00813D19">
        <w:rPr>
          <w:b/>
          <w:lang w:val="en-US"/>
        </w:rPr>
        <w:t>delegation of Cuba</w:t>
      </w:r>
      <w:r w:rsidR="00B91F92" w:rsidRPr="00813D19">
        <w:rPr>
          <w:b/>
          <w:lang w:val="en-US"/>
        </w:rPr>
        <w:t xml:space="preserve"> </w:t>
      </w:r>
      <w:r w:rsidR="00B91F92" w:rsidRPr="00813D19">
        <w:rPr>
          <w:bCs/>
          <w:lang w:val="en-US"/>
        </w:rPr>
        <w:t>thank</w:t>
      </w:r>
      <w:r w:rsidR="00D0239E" w:rsidRPr="00813D19">
        <w:rPr>
          <w:bCs/>
          <w:lang w:val="en-US"/>
        </w:rPr>
        <w:t>ed</w:t>
      </w:r>
      <w:r w:rsidR="00B91F92" w:rsidRPr="00813D19">
        <w:rPr>
          <w:bCs/>
          <w:lang w:val="en-US"/>
        </w:rPr>
        <w:t xml:space="preserve"> the</w:t>
      </w:r>
      <w:r w:rsidR="0089734C" w:rsidRPr="00813D19">
        <w:rPr>
          <w:bCs/>
          <w:lang w:val="en-US"/>
        </w:rPr>
        <w:t xml:space="preserve"> Evaluation Body for its report, adding that it was </w:t>
      </w:r>
      <w:r w:rsidR="00B91F92" w:rsidRPr="00813D19">
        <w:rPr>
          <w:bCs/>
          <w:lang w:val="en-US"/>
        </w:rPr>
        <w:t xml:space="preserve">satisfied with the fact that </w:t>
      </w:r>
      <w:r w:rsidR="0089734C" w:rsidRPr="00813D19">
        <w:rPr>
          <w:bCs/>
          <w:lang w:val="en-US"/>
        </w:rPr>
        <w:t>dialogue had</w:t>
      </w:r>
      <w:r w:rsidR="00B91F92" w:rsidRPr="00813D19">
        <w:rPr>
          <w:bCs/>
          <w:lang w:val="en-US"/>
        </w:rPr>
        <w:t xml:space="preserve"> improved understanding between the States </w:t>
      </w:r>
      <w:r w:rsidR="0089734C" w:rsidRPr="00813D19">
        <w:rPr>
          <w:bCs/>
          <w:lang w:val="en-US"/>
        </w:rPr>
        <w:t>and the Evaluation Body and that 67 per cent</w:t>
      </w:r>
      <w:r w:rsidR="00B91F92" w:rsidRPr="00813D19">
        <w:rPr>
          <w:bCs/>
          <w:lang w:val="en-US"/>
        </w:rPr>
        <w:t xml:space="preserve"> of the nominations presented were given a favo</w:t>
      </w:r>
      <w:r w:rsidR="00C64B11">
        <w:rPr>
          <w:bCs/>
          <w:lang w:val="en-US"/>
        </w:rPr>
        <w:t>u</w:t>
      </w:r>
      <w:r w:rsidR="00B91F92" w:rsidRPr="00813D19">
        <w:rPr>
          <w:bCs/>
          <w:lang w:val="en-US"/>
        </w:rPr>
        <w:t xml:space="preserve">rable recommendation. </w:t>
      </w:r>
      <w:r w:rsidR="0089734C" w:rsidRPr="00813D19">
        <w:rPr>
          <w:bCs/>
          <w:lang w:val="en-US"/>
        </w:rPr>
        <w:t xml:space="preserve">The delegation conceded that many </w:t>
      </w:r>
      <w:r w:rsidR="00B91F92" w:rsidRPr="00813D19">
        <w:rPr>
          <w:bCs/>
          <w:lang w:val="en-US"/>
        </w:rPr>
        <w:t>things could be improved in the process</w:t>
      </w:r>
      <w:r w:rsidR="0089734C" w:rsidRPr="00813D19">
        <w:rPr>
          <w:bCs/>
          <w:lang w:val="en-US"/>
        </w:rPr>
        <w:t xml:space="preserve">, but </w:t>
      </w:r>
      <w:r w:rsidR="00B91F92" w:rsidRPr="00813D19">
        <w:rPr>
          <w:bCs/>
          <w:lang w:val="en-US"/>
        </w:rPr>
        <w:t>dialogue with States</w:t>
      </w:r>
      <w:r w:rsidR="0089734C" w:rsidRPr="00813D19">
        <w:rPr>
          <w:bCs/>
          <w:lang w:val="en-US"/>
        </w:rPr>
        <w:t xml:space="preserve"> had improved</w:t>
      </w:r>
      <w:r w:rsidR="00B91F92" w:rsidRPr="00813D19">
        <w:rPr>
          <w:bCs/>
          <w:lang w:val="en-US"/>
        </w:rPr>
        <w:t xml:space="preserve">. </w:t>
      </w:r>
      <w:r w:rsidR="0089734C" w:rsidRPr="00813D19">
        <w:rPr>
          <w:bCs/>
          <w:lang w:val="en-US"/>
        </w:rPr>
        <w:t>Thanks to the financial</w:t>
      </w:r>
      <w:r w:rsidR="00B91F92" w:rsidRPr="00813D19">
        <w:rPr>
          <w:bCs/>
          <w:lang w:val="en-US"/>
        </w:rPr>
        <w:t xml:space="preserve"> offer by Japan</w:t>
      </w:r>
      <w:r w:rsidR="0089734C" w:rsidRPr="00813D19">
        <w:rPr>
          <w:bCs/>
          <w:lang w:val="en-US"/>
        </w:rPr>
        <w:t>, the working group</w:t>
      </w:r>
      <w:r w:rsidR="00B91F92" w:rsidRPr="00813D19">
        <w:rPr>
          <w:bCs/>
          <w:lang w:val="en-US"/>
        </w:rPr>
        <w:t xml:space="preserve"> should help improve working methods and procedures in order to achieve </w:t>
      </w:r>
      <w:r w:rsidR="0089734C" w:rsidRPr="00813D19">
        <w:rPr>
          <w:bCs/>
          <w:lang w:val="en-US"/>
        </w:rPr>
        <w:t>the ultimate aim</w:t>
      </w:r>
      <w:r w:rsidR="00B91F92" w:rsidRPr="00813D19">
        <w:rPr>
          <w:bCs/>
          <w:lang w:val="en-US"/>
        </w:rPr>
        <w:t xml:space="preserve">, which </w:t>
      </w:r>
      <w:r w:rsidR="00DE57F2">
        <w:rPr>
          <w:bCs/>
          <w:lang w:val="en-US"/>
        </w:rPr>
        <w:t>was</w:t>
      </w:r>
      <w:r w:rsidR="00B91F92" w:rsidRPr="00813D19">
        <w:rPr>
          <w:bCs/>
          <w:lang w:val="en-US"/>
        </w:rPr>
        <w:t xml:space="preserve"> the safeguarding and protection of </w:t>
      </w:r>
      <w:r w:rsidR="0089734C" w:rsidRPr="00813D19">
        <w:rPr>
          <w:bCs/>
          <w:lang w:val="en-US"/>
        </w:rPr>
        <w:t>intangible cultural heritage</w:t>
      </w:r>
      <w:r w:rsidR="00E41386">
        <w:rPr>
          <w:bCs/>
          <w:lang w:val="en-US"/>
        </w:rPr>
        <w:t>.</w:t>
      </w:r>
    </w:p>
    <w:p w14:paraId="1FE56458" w14:textId="666D79FE" w:rsidR="00352DEB" w:rsidRPr="00813D19" w:rsidRDefault="00450E29" w:rsidP="005A1FC1">
      <w:pPr>
        <w:pStyle w:val="Orateurengris"/>
        <w:spacing w:before="120"/>
        <w:ind w:left="709" w:hanging="709"/>
        <w:rPr>
          <w:lang w:val="en-US"/>
        </w:rPr>
      </w:pPr>
      <w:r w:rsidRPr="00813D19">
        <w:rPr>
          <w:lang w:val="en-US"/>
        </w:rPr>
        <w:t xml:space="preserve">The </w:t>
      </w:r>
      <w:r w:rsidRPr="00813D19">
        <w:rPr>
          <w:b/>
          <w:lang w:val="en-US"/>
        </w:rPr>
        <w:t>delegation of Guatemala</w:t>
      </w:r>
      <w:r w:rsidRPr="00813D19">
        <w:rPr>
          <w:lang w:val="en-US"/>
        </w:rPr>
        <w:t xml:space="preserve"> </w:t>
      </w:r>
      <w:r w:rsidR="00B91F92" w:rsidRPr="00813D19">
        <w:rPr>
          <w:bCs/>
          <w:lang w:val="en-US"/>
        </w:rPr>
        <w:t>congratulate</w:t>
      </w:r>
      <w:r w:rsidR="00873E51" w:rsidRPr="00813D19">
        <w:rPr>
          <w:bCs/>
          <w:lang w:val="en-US"/>
        </w:rPr>
        <w:t>d</w:t>
      </w:r>
      <w:r w:rsidR="00C779CA" w:rsidRPr="00813D19">
        <w:rPr>
          <w:bCs/>
          <w:lang w:val="en-US"/>
        </w:rPr>
        <w:t xml:space="preserve"> the Evaluation Body, noting its </w:t>
      </w:r>
      <w:r w:rsidR="00B91F92" w:rsidRPr="00813D19">
        <w:rPr>
          <w:bCs/>
          <w:lang w:val="en-US"/>
        </w:rPr>
        <w:t>excellent work</w:t>
      </w:r>
      <w:r w:rsidR="00C779CA" w:rsidRPr="00813D19">
        <w:rPr>
          <w:bCs/>
          <w:lang w:val="en-US"/>
        </w:rPr>
        <w:t xml:space="preserve">. However, it believed </w:t>
      </w:r>
      <w:r w:rsidR="00B91F92" w:rsidRPr="00813D19">
        <w:rPr>
          <w:bCs/>
          <w:lang w:val="en-US"/>
        </w:rPr>
        <w:t>that the Convention</w:t>
      </w:r>
      <w:r w:rsidR="00C779CA" w:rsidRPr="00813D19">
        <w:rPr>
          <w:bCs/>
          <w:lang w:val="en-US"/>
        </w:rPr>
        <w:t xml:space="preserve">, which </w:t>
      </w:r>
      <w:r w:rsidR="00B91F92" w:rsidRPr="00813D19">
        <w:rPr>
          <w:bCs/>
          <w:lang w:val="en-US"/>
        </w:rPr>
        <w:t xml:space="preserve">promotes dialogue as a form of understanding between the different stakeholders involved in the safeguarding of </w:t>
      </w:r>
      <w:r w:rsidR="00C779CA" w:rsidRPr="00813D19">
        <w:rPr>
          <w:bCs/>
          <w:lang w:val="en-US"/>
        </w:rPr>
        <w:t xml:space="preserve">intangible cultural heritage, should </w:t>
      </w:r>
      <w:r w:rsidR="00B91F92" w:rsidRPr="00813D19">
        <w:rPr>
          <w:bCs/>
          <w:lang w:val="en-US"/>
        </w:rPr>
        <w:t>fundamental</w:t>
      </w:r>
      <w:r w:rsidR="00C779CA" w:rsidRPr="00813D19">
        <w:rPr>
          <w:bCs/>
          <w:lang w:val="en-US"/>
        </w:rPr>
        <w:t>ly allow</w:t>
      </w:r>
      <w:r w:rsidR="00B91F92" w:rsidRPr="00813D19">
        <w:rPr>
          <w:bCs/>
          <w:lang w:val="en-US"/>
        </w:rPr>
        <w:t xml:space="preserve"> countries to express themselves and be heard. </w:t>
      </w:r>
      <w:r w:rsidR="00C779CA" w:rsidRPr="00813D19">
        <w:rPr>
          <w:bCs/>
          <w:lang w:val="en-US"/>
        </w:rPr>
        <w:t>T</w:t>
      </w:r>
      <w:r w:rsidR="00B91F92" w:rsidRPr="00813D19">
        <w:rPr>
          <w:bCs/>
          <w:lang w:val="en-US"/>
        </w:rPr>
        <w:t xml:space="preserve">he criteria of the Evaluation Body </w:t>
      </w:r>
      <w:r w:rsidR="00C779CA" w:rsidRPr="00813D19">
        <w:rPr>
          <w:bCs/>
          <w:lang w:val="en-US"/>
        </w:rPr>
        <w:t xml:space="preserve">should be respected, </w:t>
      </w:r>
      <w:r w:rsidR="00B91F92" w:rsidRPr="00813D19">
        <w:rPr>
          <w:bCs/>
          <w:lang w:val="en-US"/>
        </w:rPr>
        <w:t xml:space="preserve">but </w:t>
      </w:r>
      <w:r w:rsidR="00C779CA" w:rsidRPr="00813D19">
        <w:rPr>
          <w:bCs/>
          <w:lang w:val="en-US"/>
        </w:rPr>
        <w:t xml:space="preserve">the Committee should </w:t>
      </w:r>
      <w:r w:rsidR="00B91F92" w:rsidRPr="00813D19">
        <w:rPr>
          <w:bCs/>
          <w:lang w:val="en-US"/>
        </w:rPr>
        <w:t xml:space="preserve">also do </w:t>
      </w:r>
      <w:r w:rsidR="00C779CA" w:rsidRPr="00813D19">
        <w:rPr>
          <w:bCs/>
          <w:lang w:val="en-US"/>
        </w:rPr>
        <w:t xml:space="preserve">its </w:t>
      </w:r>
      <w:r w:rsidR="00B91F92" w:rsidRPr="00813D19">
        <w:rPr>
          <w:bCs/>
          <w:lang w:val="en-US"/>
        </w:rPr>
        <w:t xml:space="preserve">utmost to promote dialogue </w:t>
      </w:r>
      <w:r w:rsidR="00C779CA" w:rsidRPr="00813D19">
        <w:rPr>
          <w:bCs/>
          <w:lang w:val="en-US"/>
        </w:rPr>
        <w:t xml:space="preserve">with </w:t>
      </w:r>
      <w:r w:rsidR="00B91F92" w:rsidRPr="00813D19">
        <w:rPr>
          <w:bCs/>
          <w:lang w:val="en-US"/>
        </w:rPr>
        <w:t>t</w:t>
      </w:r>
      <w:r w:rsidR="00A753E2" w:rsidRPr="00813D19">
        <w:rPr>
          <w:bCs/>
          <w:lang w:val="en-US"/>
        </w:rPr>
        <w:t>he States Parties and that meant</w:t>
      </w:r>
      <w:r w:rsidR="00B91F92" w:rsidRPr="00813D19">
        <w:rPr>
          <w:bCs/>
          <w:lang w:val="en-US"/>
        </w:rPr>
        <w:t xml:space="preserve"> </w:t>
      </w:r>
      <w:r w:rsidR="00C779CA" w:rsidRPr="00813D19">
        <w:rPr>
          <w:bCs/>
          <w:lang w:val="en-US"/>
        </w:rPr>
        <w:t xml:space="preserve">allowing submitting </w:t>
      </w:r>
      <w:r w:rsidR="00B91F92" w:rsidRPr="00813D19">
        <w:rPr>
          <w:bCs/>
          <w:lang w:val="en-US"/>
        </w:rPr>
        <w:t xml:space="preserve">States </w:t>
      </w:r>
      <w:r w:rsidR="00C779CA" w:rsidRPr="00813D19">
        <w:rPr>
          <w:bCs/>
          <w:lang w:val="en-US"/>
        </w:rPr>
        <w:t xml:space="preserve">to be </w:t>
      </w:r>
      <w:r w:rsidR="00B91F92" w:rsidRPr="00813D19">
        <w:rPr>
          <w:bCs/>
          <w:lang w:val="en-US"/>
        </w:rPr>
        <w:t xml:space="preserve">heard </w:t>
      </w:r>
      <w:r w:rsidR="00C779CA" w:rsidRPr="00813D19">
        <w:rPr>
          <w:bCs/>
          <w:lang w:val="en-US"/>
        </w:rPr>
        <w:t xml:space="preserve">when </w:t>
      </w:r>
      <w:r w:rsidR="00B91F92" w:rsidRPr="00813D19">
        <w:rPr>
          <w:bCs/>
          <w:lang w:val="en-US"/>
        </w:rPr>
        <w:t xml:space="preserve">clarifications </w:t>
      </w:r>
      <w:r w:rsidR="00DE57F2">
        <w:rPr>
          <w:bCs/>
          <w:lang w:val="en-US"/>
        </w:rPr>
        <w:t>wer</w:t>
      </w:r>
      <w:r w:rsidR="00DE57F2" w:rsidRPr="00813D19">
        <w:rPr>
          <w:bCs/>
          <w:lang w:val="en-US"/>
        </w:rPr>
        <w:t xml:space="preserve">e </w:t>
      </w:r>
      <w:r w:rsidR="00C779CA" w:rsidRPr="00813D19">
        <w:rPr>
          <w:bCs/>
          <w:lang w:val="en-US"/>
        </w:rPr>
        <w:t>required</w:t>
      </w:r>
      <w:r w:rsidR="00B91F92" w:rsidRPr="00813D19">
        <w:rPr>
          <w:bCs/>
          <w:lang w:val="en-US"/>
        </w:rPr>
        <w:t>. Two years ago</w:t>
      </w:r>
      <w:r w:rsidR="00C779CA" w:rsidRPr="00813D19">
        <w:rPr>
          <w:bCs/>
          <w:lang w:val="en-US"/>
        </w:rPr>
        <w:t>,</w:t>
      </w:r>
      <w:r w:rsidR="00B91F92" w:rsidRPr="00813D19">
        <w:rPr>
          <w:bCs/>
          <w:lang w:val="en-US"/>
        </w:rPr>
        <w:t xml:space="preserve"> Guatemala </w:t>
      </w:r>
      <w:r w:rsidR="00C779CA" w:rsidRPr="00813D19">
        <w:rPr>
          <w:bCs/>
          <w:lang w:val="en-US"/>
        </w:rPr>
        <w:t xml:space="preserve">spoke of the necessity for </w:t>
      </w:r>
      <w:r w:rsidR="00B91F92" w:rsidRPr="00813D19">
        <w:rPr>
          <w:bCs/>
          <w:lang w:val="en-US"/>
        </w:rPr>
        <w:t xml:space="preserve">dialogue between the Evaluation Body and the </w:t>
      </w:r>
      <w:r w:rsidR="00C779CA" w:rsidRPr="00813D19">
        <w:rPr>
          <w:bCs/>
          <w:lang w:val="en-US"/>
        </w:rPr>
        <w:t xml:space="preserve">submitting </w:t>
      </w:r>
      <w:r w:rsidR="00B91F92" w:rsidRPr="00813D19">
        <w:rPr>
          <w:bCs/>
          <w:lang w:val="en-US"/>
        </w:rPr>
        <w:t xml:space="preserve">States. It was decided </w:t>
      </w:r>
      <w:r w:rsidR="00C779CA" w:rsidRPr="00813D19">
        <w:rPr>
          <w:bCs/>
          <w:lang w:val="en-US"/>
        </w:rPr>
        <w:t xml:space="preserve">then </w:t>
      </w:r>
      <w:r w:rsidR="00B91F92" w:rsidRPr="00813D19">
        <w:rPr>
          <w:bCs/>
          <w:lang w:val="en-US"/>
        </w:rPr>
        <w:t xml:space="preserve">that </w:t>
      </w:r>
      <w:r w:rsidR="00C779CA" w:rsidRPr="00813D19">
        <w:rPr>
          <w:bCs/>
          <w:lang w:val="en-US"/>
        </w:rPr>
        <w:t xml:space="preserve">it was not yet </w:t>
      </w:r>
      <w:r w:rsidR="00B91F92" w:rsidRPr="00813D19">
        <w:rPr>
          <w:bCs/>
          <w:lang w:val="en-US"/>
        </w:rPr>
        <w:t xml:space="preserve">time to create </w:t>
      </w:r>
      <w:r w:rsidR="00C779CA" w:rsidRPr="00813D19">
        <w:rPr>
          <w:bCs/>
          <w:lang w:val="en-US"/>
        </w:rPr>
        <w:t xml:space="preserve">a </w:t>
      </w:r>
      <w:r w:rsidR="00B91F92" w:rsidRPr="00813D19">
        <w:rPr>
          <w:bCs/>
          <w:lang w:val="en-US"/>
        </w:rPr>
        <w:t xml:space="preserve">mechanism because the necessary conditions </w:t>
      </w:r>
      <w:r w:rsidR="00DE57F2">
        <w:rPr>
          <w:bCs/>
          <w:lang w:val="en-US"/>
        </w:rPr>
        <w:t>had</w:t>
      </w:r>
      <w:r w:rsidR="00DE57F2" w:rsidRPr="00813D19">
        <w:rPr>
          <w:bCs/>
          <w:lang w:val="en-US"/>
        </w:rPr>
        <w:t xml:space="preserve"> </w:t>
      </w:r>
      <w:r w:rsidR="00C779CA" w:rsidRPr="00813D19">
        <w:rPr>
          <w:bCs/>
          <w:lang w:val="en-US"/>
        </w:rPr>
        <w:t xml:space="preserve">not </w:t>
      </w:r>
      <w:r w:rsidR="00DE57F2">
        <w:rPr>
          <w:bCs/>
          <w:lang w:val="en-US"/>
        </w:rPr>
        <w:t xml:space="preserve">been </w:t>
      </w:r>
      <w:r w:rsidR="00C779CA" w:rsidRPr="00813D19">
        <w:rPr>
          <w:bCs/>
          <w:lang w:val="en-US"/>
        </w:rPr>
        <w:t xml:space="preserve">met </w:t>
      </w:r>
      <w:r w:rsidR="00B91F92" w:rsidRPr="00813D19">
        <w:rPr>
          <w:bCs/>
          <w:lang w:val="en-US"/>
        </w:rPr>
        <w:t xml:space="preserve">to implement </w:t>
      </w:r>
      <w:r w:rsidR="00C779CA" w:rsidRPr="00813D19">
        <w:rPr>
          <w:bCs/>
          <w:lang w:val="en-US"/>
        </w:rPr>
        <w:t xml:space="preserve">such </w:t>
      </w:r>
      <w:r w:rsidR="00B91F92" w:rsidRPr="00813D19">
        <w:rPr>
          <w:bCs/>
          <w:lang w:val="en-US"/>
        </w:rPr>
        <w:t xml:space="preserve">an idea. </w:t>
      </w:r>
      <w:r w:rsidR="00C779CA" w:rsidRPr="00813D19">
        <w:rPr>
          <w:bCs/>
          <w:lang w:val="en-US"/>
        </w:rPr>
        <w:t xml:space="preserve">In addition, it was undoubtedly the case that </w:t>
      </w:r>
      <w:r w:rsidR="00B91F92" w:rsidRPr="00813D19">
        <w:rPr>
          <w:bCs/>
          <w:lang w:val="en-US"/>
        </w:rPr>
        <w:t xml:space="preserve">many States Parties to the Convention </w:t>
      </w:r>
      <w:r w:rsidR="00C779CA" w:rsidRPr="00813D19">
        <w:rPr>
          <w:bCs/>
          <w:lang w:val="en-US"/>
        </w:rPr>
        <w:t>require capacity</w:t>
      </w:r>
      <w:r w:rsidR="00DE57F2">
        <w:rPr>
          <w:bCs/>
          <w:lang w:val="en-US"/>
        </w:rPr>
        <w:t xml:space="preserve"> </w:t>
      </w:r>
      <w:r w:rsidR="00C779CA" w:rsidRPr="00813D19">
        <w:rPr>
          <w:bCs/>
          <w:lang w:val="en-US"/>
        </w:rPr>
        <w:t xml:space="preserve">building, </w:t>
      </w:r>
      <w:r w:rsidR="00B91F92" w:rsidRPr="00813D19">
        <w:rPr>
          <w:bCs/>
          <w:lang w:val="en-US"/>
        </w:rPr>
        <w:t xml:space="preserve">including </w:t>
      </w:r>
      <w:r w:rsidR="00C779CA" w:rsidRPr="00813D19">
        <w:rPr>
          <w:bCs/>
          <w:lang w:val="en-US"/>
        </w:rPr>
        <w:t xml:space="preserve">the </w:t>
      </w:r>
      <w:r w:rsidR="00B91F92" w:rsidRPr="00813D19">
        <w:rPr>
          <w:bCs/>
          <w:lang w:val="en-US"/>
        </w:rPr>
        <w:t>capacity to draft nomination files</w:t>
      </w:r>
      <w:r w:rsidR="00C779CA" w:rsidRPr="00813D19">
        <w:rPr>
          <w:bCs/>
          <w:lang w:val="en-US"/>
        </w:rPr>
        <w:t>,</w:t>
      </w:r>
      <w:r w:rsidR="00B91F92" w:rsidRPr="00813D19">
        <w:rPr>
          <w:bCs/>
          <w:lang w:val="en-US"/>
        </w:rPr>
        <w:t xml:space="preserve"> and many experts from the</w:t>
      </w:r>
      <w:r w:rsidR="00C779CA" w:rsidRPr="00813D19">
        <w:rPr>
          <w:bCs/>
          <w:lang w:val="en-US"/>
        </w:rPr>
        <w:t>se</w:t>
      </w:r>
      <w:r w:rsidR="00B91F92" w:rsidRPr="00813D19">
        <w:rPr>
          <w:bCs/>
          <w:lang w:val="en-US"/>
        </w:rPr>
        <w:t xml:space="preserve"> countries continue to face problems interpreting the requirements for </w:t>
      </w:r>
      <w:r w:rsidR="00C779CA" w:rsidRPr="00813D19">
        <w:rPr>
          <w:bCs/>
          <w:lang w:val="en-US"/>
        </w:rPr>
        <w:t xml:space="preserve">recognizing </w:t>
      </w:r>
      <w:r w:rsidR="00B91F92" w:rsidRPr="00813D19">
        <w:rPr>
          <w:bCs/>
          <w:lang w:val="en-US"/>
        </w:rPr>
        <w:t xml:space="preserve">their vast heritage. </w:t>
      </w:r>
      <w:r w:rsidR="00C779CA" w:rsidRPr="00813D19">
        <w:rPr>
          <w:bCs/>
          <w:lang w:val="en-US"/>
        </w:rPr>
        <w:t>T</w:t>
      </w:r>
      <w:r w:rsidR="00B91F92" w:rsidRPr="00813D19">
        <w:rPr>
          <w:bCs/>
          <w:lang w:val="en-US"/>
        </w:rPr>
        <w:t>his could</w:t>
      </w:r>
      <w:r w:rsidR="00C779CA" w:rsidRPr="00813D19">
        <w:rPr>
          <w:bCs/>
          <w:lang w:val="en-US"/>
        </w:rPr>
        <w:t xml:space="preserve"> be seen with certain criteria, </w:t>
      </w:r>
      <w:r w:rsidR="00B91F92" w:rsidRPr="00813D19">
        <w:rPr>
          <w:bCs/>
          <w:lang w:val="en-US"/>
        </w:rPr>
        <w:t>particular</w:t>
      </w:r>
      <w:r w:rsidR="00C779CA" w:rsidRPr="00813D19">
        <w:rPr>
          <w:bCs/>
          <w:lang w:val="en-US"/>
        </w:rPr>
        <w:t xml:space="preserve">ly in </w:t>
      </w:r>
      <w:r w:rsidR="00B91F92" w:rsidRPr="00813D19">
        <w:rPr>
          <w:bCs/>
          <w:lang w:val="en-US"/>
        </w:rPr>
        <w:t xml:space="preserve">R.2, which the Secretary </w:t>
      </w:r>
      <w:r w:rsidR="00C779CA" w:rsidRPr="00813D19">
        <w:rPr>
          <w:bCs/>
          <w:lang w:val="en-US"/>
        </w:rPr>
        <w:t>recognized posed</w:t>
      </w:r>
      <w:r w:rsidR="00B91F92" w:rsidRPr="00813D19">
        <w:rPr>
          <w:bCs/>
          <w:lang w:val="en-US"/>
        </w:rPr>
        <w:t xml:space="preserve"> problems. </w:t>
      </w:r>
      <w:r w:rsidR="00D76726" w:rsidRPr="00813D19">
        <w:rPr>
          <w:bCs/>
          <w:lang w:val="en-US"/>
        </w:rPr>
        <w:t xml:space="preserve">The delegation remarked </w:t>
      </w:r>
      <w:r w:rsidR="00B91F92" w:rsidRPr="00813D19">
        <w:rPr>
          <w:bCs/>
          <w:lang w:val="en-US"/>
        </w:rPr>
        <w:t xml:space="preserve">that </w:t>
      </w:r>
      <w:r w:rsidR="00D76726" w:rsidRPr="00813D19">
        <w:rPr>
          <w:bCs/>
          <w:lang w:val="en-US"/>
        </w:rPr>
        <w:t xml:space="preserve">in </w:t>
      </w:r>
      <w:r w:rsidR="00B91F92" w:rsidRPr="00813D19">
        <w:rPr>
          <w:bCs/>
          <w:lang w:val="en-US"/>
        </w:rPr>
        <w:t xml:space="preserve">most of the nomination files </w:t>
      </w:r>
      <w:r w:rsidR="00D76726" w:rsidRPr="00813D19">
        <w:rPr>
          <w:bCs/>
          <w:lang w:val="en-US"/>
        </w:rPr>
        <w:t xml:space="preserve">considered that did not meet all the criteria, it was criterion </w:t>
      </w:r>
      <w:r w:rsidR="00B91F92" w:rsidRPr="00813D19">
        <w:rPr>
          <w:bCs/>
          <w:lang w:val="en-US"/>
        </w:rPr>
        <w:t xml:space="preserve">R.2 that was at fault. The question </w:t>
      </w:r>
      <w:r w:rsidR="00D76726" w:rsidRPr="00813D19">
        <w:rPr>
          <w:bCs/>
          <w:lang w:val="en-US"/>
        </w:rPr>
        <w:t xml:space="preserve">was thus not </w:t>
      </w:r>
      <w:r w:rsidR="00B91F92" w:rsidRPr="00813D19">
        <w:rPr>
          <w:bCs/>
          <w:lang w:val="en-US"/>
        </w:rPr>
        <w:t xml:space="preserve">how </w:t>
      </w:r>
      <w:r w:rsidR="00B91F92" w:rsidRPr="00813D19">
        <w:rPr>
          <w:bCs/>
          <w:i/>
          <w:lang w:val="en-US"/>
        </w:rPr>
        <w:t>many</w:t>
      </w:r>
      <w:r w:rsidR="00B91F92" w:rsidRPr="00813D19">
        <w:rPr>
          <w:bCs/>
          <w:lang w:val="en-US"/>
        </w:rPr>
        <w:t xml:space="preserve"> criter</w:t>
      </w:r>
      <w:r w:rsidR="00D76726" w:rsidRPr="00813D19">
        <w:rPr>
          <w:bCs/>
          <w:lang w:val="en-US"/>
        </w:rPr>
        <w:t>ia the Evaluation Body considered</w:t>
      </w:r>
      <w:r w:rsidR="00DE57F2">
        <w:rPr>
          <w:bCs/>
          <w:lang w:val="en-US"/>
        </w:rPr>
        <w:t xml:space="preserve"> to be</w:t>
      </w:r>
      <w:r w:rsidR="00CB09F0" w:rsidRPr="00813D19">
        <w:rPr>
          <w:bCs/>
          <w:lang w:val="en-US"/>
        </w:rPr>
        <w:t xml:space="preserve"> </w:t>
      </w:r>
      <w:r w:rsidR="00B91F92" w:rsidRPr="00813D19">
        <w:rPr>
          <w:bCs/>
          <w:lang w:val="en-US"/>
        </w:rPr>
        <w:t>met</w:t>
      </w:r>
      <w:r w:rsidR="00D76726" w:rsidRPr="00813D19">
        <w:rPr>
          <w:bCs/>
          <w:lang w:val="en-US"/>
        </w:rPr>
        <w:t>,</w:t>
      </w:r>
      <w:r w:rsidR="00B91F92" w:rsidRPr="00813D19">
        <w:rPr>
          <w:bCs/>
          <w:lang w:val="en-US"/>
        </w:rPr>
        <w:t xml:space="preserve"> but rather the </w:t>
      </w:r>
      <w:r w:rsidR="00B91F92" w:rsidRPr="00813D19">
        <w:rPr>
          <w:bCs/>
          <w:i/>
          <w:lang w:val="en-US"/>
        </w:rPr>
        <w:t>quality</w:t>
      </w:r>
      <w:r w:rsidR="00B91F92" w:rsidRPr="00813D19">
        <w:rPr>
          <w:bCs/>
          <w:lang w:val="en-US"/>
        </w:rPr>
        <w:t xml:space="preserve"> and content of each one. </w:t>
      </w:r>
      <w:r w:rsidR="00CB09F0" w:rsidRPr="00813D19">
        <w:rPr>
          <w:bCs/>
          <w:lang w:val="en-US"/>
        </w:rPr>
        <w:t xml:space="preserve">The delegation explained that there was </w:t>
      </w:r>
      <w:r w:rsidR="00B91F92" w:rsidRPr="00813D19">
        <w:rPr>
          <w:bCs/>
          <w:lang w:val="en-US"/>
        </w:rPr>
        <w:t xml:space="preserve">no written rule on this </w:t>
      </w:r>
      <w:r w:rsidR="00CB09F0" w:rsidRPr="00813D19">
        <w:rPr>
          <w:bCs/>
          <w:lang w:val="en-US"/>
        </w:rPr>
        <w:t xml:space="preserve">and </w:t>
      </w:r>
      <w:r w:rsidR="00B91F92" w:rsidRPr="00813D19">
        <w:rPr>
          <w:bCs/>
          <w:lang w:val="en-US"/>
        </w:rPr>
        <w:t xml:space="preserve">therefore the </w:t>
      </w:r>
      <w:r w:rsidR="00CB09F0" w:rsidRPr="00813D19">
        <w:rPr>
          <w:bCs/>
          <w:lang w:val="en-US"/>
        </w:rPr>
        <w:t xml:space="preserve">files should </w:t>
      </w:r>
      <w:r w:rsidR="00B91F92" w:rsidRPr="00813D19">
        <w:rPr>
          <w:bCs/>
          <w:lang w:val="en-US"/>
        </w:rPr>
        <w:t>be analy</w:t>
      </w:r>
      <w:r w:rsidR="00DE57F2">
        <w:rPr>
          <w:bCs/>
          <w:lang w:val="en-US"/>
        </w:rPr>
        <w:t>z</w:t>
      </w:r>
      <w:r w:rsidR="00B91F92" w:rsidRPr="00813D19">
        <w:rPr>
          <w:bCs/>
          <w:lang w:val="en-US"/>
        </w:rPr>
        <w:t xml:space="preserve">ed on a </w:t>
      </w:r>
      <w:r w:rsidR="00CB09F0" w:rsidRPr="00813D19">
        <w:rPr>
          <w:bCs/>
          <w:lang w:val="en-US"/>
        </w:rPr>
        <w:t>case</w:t>
      </w:r>
      <w:r w:rsidR="00B91F92" w:rsidRPr="00813D19">
        <w:rPr>
          <w:bCs/>
          <w:lang w:val="en-US"/>
        </w:rPr>
        <w:t>-by-</w:t>
      </w:r>
      <w:r w:rsidR="00CB09F0" w:rsidRPr="00813D19">
        <w:rPr>
          <w:bCs/>
          <w:lang w:val="en-US"/>
        </w:rPr>
        <w:t xml:space="preserve">case </w:t>
      </w:r>
      <w:r w:rsidR="00B91F92" w:rsidRPr="00813D19">
        <w:rPr>
          <w:bCs/>
          <w:lang w:val="en-US"/>
        </w:rPr>
        <w:t xml:space="preserve">basis without establishing a rule that would penalize countries and make it impossible </w:t>
      </w:r>
      <w:r w:rsidR="00CB09F0" w:rsidRPr="00813D19">
        <w:rPr>
          <w:bCs/>
          <w:lang w:val="en-US"/>
        </w:rPr>
        <w:t xml:space="preserve">for them </w:t>
      </w:r>
      <w:r w:rsidR="00B91F92" w:rsidRPr="00813D19">
        <w:rPr>
          <w:bCs/>
          <w:lang w:val="en-US"/>
        </w:rPr>
        <w:t xml:space="preserve">to express themselves. </w:t>
      </w:r>
      <w:r w:rsidR="00F46C6C" w:rsidRPr="00813D19">
        <w:rPr>
          <w:bCs/>
          <w:lang w:val="en-US"/>
        </w:rPr>
        <w:t>A</w:t>
      </w:r>
      <w:r w:rsidR="00B91F92" w:rsidRPr="00813D19">
        <w:rPr>
          <w:bCs/>
          <w:lang w:val="en-US"/>
        </w:rPr>
        <w:t xml:space="preserve">lthough there </w:t>
      </w:r>
      <w:r w:rsidR="00F46C6C" w:rsidRPr="00813D19">
        <w:rPr>
          <w:bCs/>
          <w:lang w:val="en-US"/>
        </w:rPr>
        <w:t xml:space="preserve">were </w:t>
      </w:r>
      <w:r w:rsidR="00B91F92" w:rsidRPr="00813D19">
        <w:rPr>
          <w:bCs/>
          <w:lang w:val="en-US"/>
        </w:rPr>
        <w:t xml:space="preserve">several points that </w:t>
      </w:r>
      <w:r w:rsidR="00F46C6C" w:rsidRPr="00813D19">
        <w:rPr>
          <w:bCs/>
          <w:lang w:val="en-US"/>
        </w:rPr>
        <w:t xml:space="preserve">still had to </w:t>
      </w:r>
      <w:r w:rsidR="00B91F92" w:rsidRPr="00813D19">
        <w:rPr>
          <w:bCs/>
          <w:lang w:val="en-US"/>
        </w:rPr>
        <w:t>work</w:t>
      </w:r>
      <w:r w:rsidR="00F46C6C" w:rsidRPr="00813D19">
        <w:rPr>
          <w:bCs/>
          <w:lang w:val="en-US"/>
        </w:rPr>
        <w:t>ed</w:t>
      </w:r>
      <w:r w:rsidR="00B91F92" w:rsidRPr="00813D19">
        <w:rPr>
          <w:bCs/>
          <w:lang w:val="en-US"/>
        </w:rPr>
        <w:t xml:space="preserve"> out when it </w:t>
      </w:r>
      <w:r w:rsidR="00DE57F2" w:rsidRPr="00813D19">
        <w:rPr>
          <w:bCs/>
          <w:lang w:val="en-US"/>
        </w:rPr>
        <w:t>c</w:t>
      </w:r>
      <w:r w:rsidR="00DE57F2">
        <w:rPr>
          <w:bCs/>
          <w:lang w:val="en-US"/>
        </w:rPr>
        <w:t>ame</w:t>
      </w:r>
      <w:r w:rsidR="00DE57F2" w:rsidRPr="00813D19">
        <w:rPr>
          <w:bCs/>
          <w:lang w:val="en-US"/>
        </w:rPr>
        <w:t xml:space="preserve"> </w:t>
      </w:r>
      <w:r w:rsidR="00B91F92" w:rsidRPr="00813D19">
        <w:rPr>
          <w:bCs/>
          <w:lang w:val="en-US"/>
        </w:rPr>
        <w:t>to evaluating the nomination process</w:t>
      </w:r>
      <w:r w:rsidR="00F46C6C" w:rsidRPr="00813D19">
        <w:rPr>
          <w:bCs/>
          <w:lang w:val="en-US"/>
        </w:rPr>
        <w:t xml:space="preserve">, the delegation believed </w:t>
      </w:r>
      <w:r w:rsidR="00B91F92" w:rsidRPr="00813D19">
        <w:rPr>
          <w:bCs/>
          <w:lang w:val="en-US"/>
        </w:rPr>
        <w:t xml:space="preserve">that if there </w:t>
      </w:r>
      <w:r w:rsidR="00DE57F2">
        <w:rPr>
          <w:bCs/>
          <w:lang w:val="en-US"/>
        </w:rPr>
        <w:t>was</w:t>
      </w:r>
      <w:r w:rsidR="00B91F92" w:rsidRPr="00813D19">
        <w:rPr>
          <w:bCs/>
          <w:lang w:val="en-US"/>
        </w:rPr>
        <w:t xml:space="preserve"> no dialogue </w:t>
      </w:r>
      <w:r w:rsidR="00F46C6C" w:rsidRPr="00813D19">
        <w:rPr>
          <w:bCs/>
          <w:lang w:val="en-US"/>
        </w:rPr>
        <w:t xml:space="preserve">mechanism </w:t>
      </w:r>
      <w:r w:rsidR="00B91F92" w:rsidRPr="00813D19">
        <w:rPr>
          <w:bCs/>
          <w:lang w:val="en-US"/>
        </w:rPr>
        <w:t>making it possible to reformulate the content of a file</w:t>
      </w:r>
      <w:r w:rsidR="00F46C6C" w:rsidRPr="00813D19">
        <w:rPr>
          <w:bCs/>
          <w:lang w:val="en-US"/>
        </w:rPr>
        <w:t xml:space="preserve">, then the Committee should </w:t>
      </w:r>
      <w:r w:rsidR="00B91F92" w:rsidRPr="00813D19">
        <w:rPr>
          <w:bCs/>
          <w:lang w:val="en-US"/>
        </w:rPr>
        <w:t>show flexibility w</w:t>
      </w:r>
      <w:r w:rsidR="00E41386">
        <w:rPr>
          <w:bCs/>
          <w:lang w:val="en-US"/>
        </w:rPr>
        <w:t>hen evaluating the nominations.</w:t>
      </w:r>
    </w:p>
    <w:p w14:paraId="7D0ECEE3" w14:textId="3BAF3957" w:rsidR="00450E29" w:rsidRPr="00813D19" w:rsidRDefault="00965B50" w:rsidP="005A1FC1">
      <w:pPr>
        <w:pStyle w:val="Orateurengris"/>
        <w:spacing w:before="120"/>
        <w:ind w:left="709" w:hanging="709"/>
        <w:rPr>
          <w:lang w:val="en-US"/>
        </w:rPr>
      </w:pPr>
      <w:r w:rsidRPr="00813D19">
        <w:rPr>
          <w:lang w:val="en-US"/>
        </w:rPr>
        <w:t xml:space="preserve">The </w:t>
      </w:r>
      <w:r w:rsidRPr="00813D19">
        <w:rPr>
          <w:b/>
          <w:lang w:val="en-US"/>
        </w:rPr>
        <w:t>delegation of Japan</w:t>
      </w:r>
      <w:r w:rsidR="00B91F92" w:rsidRPr="00813D19">
        <w:rPr>
          <w:b/>
          <w:lang w:val="en-US"/>
        </w:rPr>
        <w:t xml:space="preserve"> </w:t>
      </w:r>
      <w:r w:rsidR="00B91F92" w:rsidRPr="00813D19">
        <w:rPr>
          <w:lang w:val="en-US"/>
        </w:rPr>
        <w:t>appreciate</w:t>
      </w:r>
      <w:r w:rsidR="00F46C6C" w:rsidRPr="00813D19">
        <w:rPr>
          <w:lang w:val="en-US"/>
        </w:rPr>
        <w:t>d the very good brief</w:t>
      </w:r>
      <w:r w:rsidR="00B91F92" w:rsidRPr="00813D19">
        <w:rPr>
          <w:lang w:val="en-US"/>
        </w:rPr>
        <w:t xml:space="preserve"> </w:t>
      </w:r>
      <w:r w:rsidR="00F46C6C" w:rsidRPr="00813D19">
        <w:rPr>
          <w:lang w:val="en-US"/>
        </w:rPr>
        <w:t xml:space="preserve">from </w:t>
      </w:r>
      <w:r w:rsidR="00B91F92" w:rsidRPr="00813D19">
        <w:rPr>
          <w:lang w:val="en-US"/>
        </w:rPr>
        <w:t xml:space="preserve">the Evaluation Body </w:t>
      </w:r>
      <w:r w:rsidR="00F46C6C" w:rsidRPr="00813D19">
        <w:rPr>
          <w:lang w:val="en-US"/>
        </w:rPr>
        <w:t xml:space="preserve">on </w:t>
      </w:r>
      <w:r w:rsidR="00DE57F2">
        <w:rPr>
          <w:lang w:val="en-US"/>
        </w:rPr>
        <w:t xml:space="preserve">the </w:t>
      </w:r>
      <w:r w:rsidR="00F46C6C" w:rsidRPr="00813D19">
        <w:rPr>
          <w:lang w:val="en-US"/>
        </w:rPr>
        <w:t xml:space="preserve">current </w:t>
      </w:r>
      <w:r w:rsidR="00B91F92" w:rsidRPr="00813D19">
        <w:rPr>
          <w:lang w:val="en-US"/>
        </w:rPr>
        <w:t xml:space="preserve">status of the </w:t>
      </w:r>
      <w:r w:rsidR="00DE57F2">
        <w:rPr>
          <w:lang w:val="en-US"/>
        </w:rPr>
        <w:t xml:space="preserve">evaluation </w:t>
      </w:r>
      <w:r w:rsidR="00B91F92" w:rsidRPr="00813D19">
        <w:rPr>
          <w:lang w:val="en-US"/>
        </w:rPr>
        <w:t xml:space="preserve">system. </w:t>
      </w:r>
      <w:r w:rsidR="00E63539" w:rsidRPr="00813D19">
        <w:rPr>
          <w:lang w:val="en-US"/>
        </w:rPr>
        <w:t xml:space="preserve">Having </w:t>
      </w:r>
      <w:r w:rsidR="00B91F92" w:rsidRPr="00813D19">
        <w:rPr>
          <w:lang w:val="en-US"/>
        </w:rPr>
        <w:t>listened very careful</w:t>
      </w:r>
      <w:r w:rsidR="00DE57F2">
        <w:rPr>
          <w:lang w:val="en-US"/>
        </w:rPr>
        <w:t>ly</w:t>
      </w:r>
      <w:r w:rsidR="00B91F92" w:rsidRPr="00813D19">
        <w:rPr>
          <w:lang w:val="en-US"/>
        </w:rPr>
        <w:t xml:space="preserve"> </w:t>
      </w:r>
      <w:r w:rsidR="00E63539" w:rsidRPr="00813D19">
        <w:rPr>
          <w:lang w:val="en-US"/>
        </w:rPr>
        <w:t xml:space="preserve">to </w:t>
      </w:r>
      <w:r w:rsidR="00B91F92" w:rsidRPr="00813D19">
        <w:rPr>
          <w:lang w:val="en-US"/>
        </w:rPr>
        <w:t xml:space="preserve">the comments </w:t>
      </w:r>
      <w:r w:rsidR="00E63539" w:rsidRPr="00813D19">
        <w:rPr>
          <w:lang w:val="en-US"/>
        </w:rPr>
        <w:t xml:space="preserve">from each delegation with interest and appreciation, the delegation remarked that they </w:t>
      </w:r>
      <w:r w:rsidR="00B91F92" w:rsidRPr="00813D19">
        <w:rPr>
          <w:lang w:val="en-US"/>
        </w:rPr>
        <w:t>clearly reflect</w:t>
      </w:r>
      <w:r w:rsidR="00E63539" w:rsidRPr="00813D19">
        <w:rPr>
          <w:lang w:val="en-US"/>
        </w:rPr>
        <w:t>ed</w:t>
      </w:r>
      <w:r w:rsidR="00B91F92" w:rsidRPr="00813D19">
        <w:rPr>
          <w:lang w:val="en-US"/>
        </w:rPr>
        <w:t xml:space="preserve"> the need for </w:t>
      </w:r>
      <w:r w:rsidR="00E63539" w:rsidRPr="00813D19">
        <w:rPr>
          <w:lang w:val="en-US"/>
        </w:rPr>
        <w:t xml:space="preserve">greater </w:t>
      </w:r>
      <w:r w:rsidR="00B91F92" w:rsidRPr="00813D19">
        <w:rPr>
          <w:lang w:val="en-US"/>
        </w:rPr>
        <w:t xml:space="preserve">reflection of the </w:t>
      </w:r>
      <w:r w:rsidR="00E63539" w:rsidRPr="00813D19">
        <w:rPr>
          <w:lang w:val="en-US"/>
        </w:rPr>
        <w:t xml:space="preserve">intangible cultural heritage </w:t>
      </w:r>
      <w:r w:rsidR="00B91F92" w:rsidRPr="00813D19">
        <w:rPr>
          <w:lang w:val="en-US"/>
        </w:rPr>
        <w:t xml:space="preserve">system. </w:t>
      </w:r>
      <w:r w:rsidR="00E63539" w:rsidRPr="00813D19">
        <w:rPr>
          <w:lang w:val="en-US"/>
        </w:rPr>
        <w:t>N</w:t>
      </w:r>
      <w:r w:rsidR="00B91F92" w:rsidRPr="00813D19">
        <w:rPr>
          <w:lang w:val="en-US"/>
        </w:rPr>
        <w:t xml:space="preserve">ot only </w:t>
      </w:r>
      <w:r w:rsidR="00E63539" w:rsidRPr="00813D19">
        <w:rPr>
          <w:lang w:val="en-US"/>
        </w:rPr>
        <w:t xml:space="preserve">should </w:t>
      </w:r>
      <w:r w:rsidR="00B91F92" w:rsidRPr="00813D19">
        <w:rPr>
          <w:lang w:val="en-US"/>
        </w:rPr>
        <w:t xml:space="preserve">the </w:t>
      </w:r>
      <w:r w:rsidR="00F46C6C" w:rsidRPr="00813D19">
        <w:rPr>
          <w:lang w:val="en-US"/>
        </w:rPr>
        <w:t xml:space="preserve">criteria </w:t>
      </w:r>
      <w:r w:rsidR="00E63539" w:rsidRPr="00813D19">
        <w:rPr>
          <w:lang w:val="en-US"/>
        </w:rPr>
        <w:t xml:space="preserve">be discussed, such as </w:t>
      </w:r>
      <w:r w:rsidR="00B91F92" w:rsidRPr="00813D19">
        <w:rPr>
          <w:lang w:val="en-US"/>
        </w:rPr>
        <w:t>criterion R.2</w:t>
      </w:r>
      <w:r w:rsidR="00E63539" w:rsidRPr="00813D19">
        <w:rPr>
          <w:lang w:val="en-US"/>
        </w:rPr>
        <w:t>,</w:t>
      </w:r>
      <w:r w:rsidR="00B91F92" w:rsidRPr="00813D19">
        <w:rPr>
          <w:lang w:val="en-US"/>
        </w:rPr>
        <w:t xml:space="preserve"> </w:t>
      </w:r>
      <w:r w:rsidR="00E63539" w:rsidRPr="00813D19">
        <w:rPr>
          <w:lang w:val="en-US"/>
        </w:rPr>
        <w:t xml:space="preserve">but </w:t>
      </w:r>
      <w:r w:rsidR="00B91F92" w:rsidRPr="00813D19">
        <w:rPr>
          <w:lang w:val="en-US"/>
        </w:rPr>
        <w:t xml:space="preserve">at the same </w:t>
      </w:r>
      <w:r w:rsidR="0025725C">
        <w:rPr>
          <w:lang w:val="en-US"/>
        </w:rPr>
        <w:t xml:space="preserve">time </w:t>
      </w:r>
      <w:r w:rsidR="00E63539" w:rsidRPr="00813D19">
        <w:rPr>
          <w:lang w:val="en-US"/>
        </w:rPr>
        <w:t xml:space="preserve">the </w:t>
      </w:r>
      <w:r w:rsidR="00B91F92" w:rsidRPr="00813D19">
        <w:rPr>
          <w:lang w:val="en-US"/>
        </w:rPr>
        <w:t>mechanisms and procedure</w:t>
      </w:r>
      <w:r w:rsidR="00E63539" w:rsidRPr="00813D19">
        <w:rPr>
          <w:lang w:val="en-US"/>
        </w:rPr>
        <w:t xml:space="preserve"> </w:t>
      </w:r>
      <w:r w:rsidR="00B91F92" w:rsidRPr="00813D19">
        <w:rPr>
          <w:lang w:val="en-US"/>
        </w:rPr>
        <w:t>established ever since the adoption of the Convention</w:t>
      </w:r>
      <w:r w:rsidR="00E63539" w:rsidRPr="00813D19">
        <w:rPr>
          <w:lang w:val="en-US"/>
        </w:rPr>
        <w:t xml:space="preserve"> should also be </w:t>
      </w:r>
      <w:r w:rsidR="00A753E2" w:rsidRPr="00813D19">
        <w:rPr>
          <w:lang w:val="en-US"/>
        </w:rPr>
        <w:t xml:space="preserve">the </w:t>
      </w:r>
      <w:r w:rsidR="00E63539" w:rsidRPr="00813D19">
        <w:rPr>
          <w:lang w:val="en-US"/>
        </w:rPr>
        <w:t>subjects of discussion</w:t>
      </w:r>
      <w:r w:rsidR="00B91F92" w:rsidRPr="00813D19">
        <w:rPr>
          <w:lang w:val="en-US"/>
        </w:rPr>
        <w:t xml:space="preserve">. </w:t>
      </w:r>
      <w:r w:rsidR="00E63539" w:rsidRPr="00813D19">
        <w:rPr>
          <w:lang w:val="en-US"/>
        </w:rPr>
        <w:t xml:space="preserve">As </w:t>
      </w:r>
      <w:r w:rsidR="00B91F92" w:rsidRPr="00813D19">
        <w:rPr>
          <w:lang w:val="en-US"/>
        </w:rPr>
        <w:t xml:space="preserve">suggested </w:t>
      </w:r>
      <w:r w:rsidR="00F46C6C" w:rsidRPr="00813D19">
        <w:rPr>
          <w:lang w:val="en-US"/>
        </w:rPr>
        <w:t xml:space="preserve">in </w:t>
      </w:r>
      <w:r w:rsidR="00E63539" w:rsidRPr="00813D19">
        <w:rPr>
          <w:lang w:val="en-US"/>
        </w:rPr>
        <w:t xml:space="preserve">its </w:t>
      </w:r>
      <w:r w:rsidR="00F46C6C" w:rsidRPr="00813D19">
        <w:rPr>
          <w:lang w:val="en-US"/>
        </w:rPr>
        <w:t xml:space="preserve">statement </w:t>
      </w:r>
      <w:r w:rsidR="00E63539" w:rsidRPr="00813D19">
        <w:rPr>
          <w:lang w:val="en-US"/>
        </w:rPr>
        <w:t xml:space="preserve">the previous day: Was </w:t>
      </w:r>
      <w:r w:rsidR="00B91F92" w:rsidRPr="00813D19">
        <w:rPr>
          <w:lang w:val="en-US"/>
        </w:rPr>
        <w:t xml:space="preserve">it really </w:t>
      </w:r>
      <w:r w:rsidR="00E63539" w:rsidRPr="00813D19">
        <w:rPr>
          <w:lang w:val="en-US"/>
        </w:rPr>
        <w:t xml:space="preserve">so bad </w:t>
      </w:r>
      <w:r w:rsidR="00B91F92" w:rsidRPr="00813D19">
        <w:rPr>
          <w:lang w:val="en-US"/>
        </w:rPr>
        <w:t xml:space="preserve">to refer to other information sources outside of the file? </w:t>
      </w:r>
      <w:r w:rsidR="00E63539" w:rsidRPr="00813D19">
        <w:rPr>
          <w:lang w:val="en-US"/>
        </w:rPr>
        <w:t>D</w:t>
      </w:r>
      <w:r w:rsidR="00DE57F2">
        <w:rPr>
          <w:lang w:val="en-US"/>
        </w:rPr>
        <w:t>id</w:t>
      </w:r>
      <w:r w:rsidR="00E63539" w:rsidRPr="00813D19">
        <w:rPr>
          <w:lang w:val="en-US"/>
        </w:rPr>
        <w:t xml:space="preserve"> </w:t>
      </w:r>
      <w:r w:rsidR="00B91F92" w:rsidRPr="00813D19">
        <w:rPr>
          <w:lang w:val="en-US"/>
        </w:rPr>
        <w:t xml:space="preserve">the concept of </w:t>
      </w:r>
      <w:r w:rsidR="00E63539" w:rsidRPr="00813D19">
        <w:rPr>
          <w:lang w:val="en-US"/>
        </w:rPr>
        <w:t>‘</w:t>
      </w:r>
      <w:r w:rsidR="00B91F92" w:rsidRPr="00813D19">
        <w:rPr>
          <w:lang w:val="en-US"/>
        </w:rPr>
        <w:t>uniqueness</w:t>
      </w:r>
      <w:r w:rsidR="00E63539" w:rsidRPr="00813D19">
        <w:rPr>
          <w:lang w:val="en-US"/>
        </w:rPr>
        <w:t>’</w:t>
      </w:r>
      <w:r w:rsidR="00B91F92" w:rsidRPr="00813D19">
        <w:rPr>
          <w:lang w:val="en-US"/>
        </w:rPr>
        <w:t xml:space="preserve"> and </w:t>
      </w:r>
      <w:r w:rsidR="00E63539" w:rsidRPr="00813D19">
        <w:rPr>
          <w:lang w:val="en-US"/>
        </w:rPr>
        <w:t>‘</w:t>
      </w:r>
      <w:r w:rsidR="00B91F92" w:rsidRPr="00813D19">
        <w:rPr>
          <w:lang w:val="en-US"/>
        </w:rPr>
        <w:t>originality</w:t>
      </w:r>
      <w:r w:rsidR="00E63539" w:rsidRPr="00813D19">
        <w:rPr>
          <w:lang w:val="en-US"/>
        </w:rPr>
        <w:t>’</w:t>
      </w:r>
      <w:r w:rsidR="00B91F92" w:rsidRPr="00813D19">
        <w:rPr>
          <w:lang w:val="en-US"/>
        </w:rPr>
        <w:t xml:space="preserve"> really contradict the definition of </w:t>
      </w:r>
      <w:r w:rsidR="00E63539" w:rsidRPr="00813D19">
        <w:rPr>
          <w:lang w:val="en-US"/>
        </w:rPr>
        <w:t>intangible cultural</w:t>
      </w:r>
      <w:r w:rsidR="00A753E2" w:rsidRPr="00813D19">
        <w:rPr>
          <w:lang w:val="en-US"/>
        </w:rPr>
        <w:t xml:space="preserve"> heritage? The delegation believ</w:t>
      </w:r>
      <w:r w:rsidR="00E63539" w:rsidRPr="00813D19">
        <w:rPr>
          <w:lang w:val="en-US"/>
        </w:rPr>
        <w:t xml:space="preserve">ed that these </w:t>
      </w:r>
      <w:r w:rsidR="00B91F92" w:rsidRPr="00813D19">
        <w:rPr>
          <w:lang w:val="en-US"/>
        </w:rPr>
        <w:t>points should also be very seriously addressed</w:t>
      </w:r>
      <w:r w:rsidR="00E63539" w:rsidRPr="00813D19">
        <w:rPr>
          <w:lang w:val="en-US"/>
        </w:rPr>
        <w:t xml:space="preserve"> in a</w:t>
      </w:r>
      <w:r w:rsidR="00F46C6C" w:rsidRPr="00813D19">
        <w:rPr>
          <w:lang w:val="en-US"/>
        </w:rPr>
        <w:t xml:space="preserve"> </w:t>
      </w:r>
      <w:r w:rsidR="00E63539" w:rsidRPr="00813D19">
        <w:rPr>
          <w:lang w:val="en-US"/>
        </w:rPr>
        <w:t>fundamental and</w:t>
      </w:r>
      <w:r w:rsidR="00B91F92" w:rsidRPr="00813D19">
        <w:rPr>
          <w:lang w:val="en-US"/>
        </w:rPr>
        <w:t xml:space="preserve"> philosophical reflection</w:t>
      </w:r>
      <w:r w:rsidR="00E63539" w:rsidRPr="00813D19">
        <w:rPr>
          <w:lang w:val="en-US"/>
        </w:rPr>
        <w:t xml:space="preserve">, which was </w:t>
      </w:r>
      <w:r w:rsidR="00422267" w:rsidRPr="00813D19">
        <w:rPr>
          <w:lang w:val="en-US"/>
        </w:rPr>
        <w:t>very</w:t>
      </w:r>
      <w:r w:rsidR="00B91F92" w:rsidRPr="00813D19">
        <w:rPr>
          <w:lang w:val="en-US"/>
        </w:rPr>
        <w:t xml:space="preserve"> important at this juncture. </w:t>
      </w:r>
      <w:r w:rsidR="00E63539" w:rsidRPr="00813D19">
        <w:rPr>
          <w:lang w:val="en-US"/>
        </w:rPr>
        <w:t xml:space="preserve">For this reason, Japan was </w:t>
      </w:r>
      <w:r w:rsidR="00B91F92" w:rsidRPr="00813D19">
        <w:rPr>
          <w:lang w:val="en-US"/>
        </w:rPr>
        <w:t xml:space="preserve">ready to sponsor this very important process and </w:t>
      </w:r>
      <w:r w:rsidR="00E63539" w:rsidRPr="00813D19">
        <w:rPr>
          <w:lang w:val="en-US"/>
        </w:rPr>
        <w:t xml:space="preserve">it was </w:t>
      </w:r>
      <w:r w:rsidR="00B91F92" w:rsidRPr="00813D19">
        <w:rPr>
          <w:lang w:val="en-US"/>
        </w:rPr>
        <w:t>a great hono</w:t>
      </w:r>
      <w:r w:rsidR="00C64B11">
        <w:rPr>
          <w:lang w:val="en-US"/>
        </w:rPr>
        <w:t>u</w:t>
      </w:r>
      <w:r w:rsidR="00B91F92" w:rsidRPr="00813D19">
        <w:rPr>
          <w:lang w:val="en-US"/>
        </w:rPr>
        <w:t xml:space="preserve">r to do </w:t>
      </w:r>
      <w:r w:rsidR="00E63539" w:rsidRPr="00813D19">
        <w:rPr>
          <w:lang w:val="en-US"/>
        </w:rPr>
        <w:t>so</w:t>
      </w:r>
      <w:r w:rsidR="00E41386">
        <w:rPr>
          <w:lang w:val="en-US"/>
        </w:rPr>
        <w:t>.</w:t>
      </w:r>
    </w:p>
    <w:p w14:paraId="7ED89A32" w14:textId="745F1D97" w:rsidR="00F577AA" w:rsidRPr="00813D19" w:rsidRDefault="00F577AA" w:rsidP="005A1FC1">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B91F92" w:rsidRPr="00813D19">
        <w:rPr>
          <w:lang w:val="en-US"/>
        </w:rPr>
        <w:t>reiterate</w:t>
      </w:r>
      <w:r w:rsidR="00D07419" w:rsidRPr="00813D19">
        <w:rPr>
          <w:lang w:val="en-US"/>
        </w:rPr>
        <w:t>d</w:t>
      </w:r>
      <w:r w:rsidR="00B91F92" w:rsidRPr="00813D19">
        <w:rPr>
          <w:lang w:val="en-US"/>
        </w:rPr>
        <w:t xml:space="preserve"> thanks to Japan for the support provided </w:t>
      </w:r>
      <w:r w:rsidR="00D07419" w:rsidRPr="00813D19">
        <w:rPr>
          <w:lang w:val="en-US"/>
        </w:rPr>
        <w:t>to the Convention.</w:t>
      </w:r>
    </w:p>
    <w:p w14:paraId="0EF69F8C" w14:textId="2265B6E7" w:rsidR="007E2F51" w:rsidRPr="00813D19" w:rsidRDefault="00965B50" w:rsidP="005A1FC1">
      <w:pPr>
        <w:pStyle w:val="Orateurengris"/>
        <w:spacing w:before="120"/>
        <w:ind w:left="709" w:hanging="709"/>
        <w:rPr>
          <w:lang w:val="en-US"/>
        </w:rPr>
      </w:pPr>
      <w:r w:rsidRPr="00813D19">
        <w:rPr>
          <w:lang w:val="en-US"/>
        </w:rPr>
        <w:t xml:space="preserve">The </w:t>
      </w:r>
      <w:r w:rsidRPr="00813D19">
        <w:rPr>
          <w:b/>
          <w:lang w:val="en-US"/>
        </w:rPr>
        <w:t>delegation of Palestine</w:t>
      </w:r>
      <w:r w:rsidR="00B91F92" w:rsidRPr="00813D19">
        <w:rPr>
          <w:b/>
          <w:lang w:val="en-US"/>
        </w:rPr>
        <w:t xml:space="preserve"> </w:t>
      </w:r>
      <w:r w:rsidR="00B91F92" w:rsidRPr="00813D19">
        <w:rPr>
          <w:bCs/>
          <w:lang w:val="en-US"/>
        </w:rPr>
        <w:t>thank</w:t>
      </w:r>
      <w:r w:rsidR="00E63539" w:rsidRPr="00813D19">
        <w:rPr>
          <w:bCs/>
          <w:lang w:val="en-US"/>
        </w:rPr>
        <w:t>ed</w:t>
      </w:r>
      <w:r w:rsidR="00B91F92" w:rsidRPr="00813D19">
        <w:rPr>
          <w:bCs/>
          <w:lang w:val="en-US"/>
        </w:rPr>
        <w:t xml:space="preserve"> the Evaluation Bod</w:t>
      </w:r>
      <w:r w:rsidR="007E2F51" w:rsidRPr="00813D19">
        <w:rPr>
          <w:bCs/>
          <w:lang w:val="en-US"/>
        </w:rPr>
        <w:t>y for its very detailed report</w:t>
      </w:r>
      <w:r w:rsidR="009E6412" w:rsidRPr="00813D19">
        <w:rPr>
          <w:bCs/>
          <w:lang w:val="en-US"/>
        </w:rPr>
        <w:t>,</w:t>
      </w:r>
      <w:r w:rsidR="007E2F51" w:rsidRPr="00813D19">
        <w:rPr>
          <w:bCs/>
          <w:lang w:val="en-US"/>
        </w:rPr>
        <w:t xml:space="preserve"> and agreed with all </w:t>
      </w:r>
      <w:r w:rsidR="00B91F92" w:rsidRPr="00813D19">
        <w:rPr>
          <w:bCs/>
          <w:lang w:val="en-US"/>
        </w:rPr>
        <w:t xml:space="preserve">the comments </w:t>
      </w:r>
      <w:r w:rsidR="007E2F51" w:rsidRPr="00813D19">
        <w:rPr>
          <w:bCs/>
          <w:lang w:val="en-US"/>
        </w:rPr>
        <w:t>emphasizing</w:t>
      </w:r>
      <w:r w:rsidR="00B91F92" w:rsidRPr="00813D19">
        <w:rPr>
          <w:bCs/>
          <w:lang w:val="en-US"/>
        </w:rPr>
        <w:t xml:space="preserve"> the importance of dia</w:t>
      </w:r>
      <w:r w:rsidR="00422267" w:rsidRPr="00813D19">
        <w:rPr>
          <w:bCs/>
          <w:lang w:val="en-US"/>
        </w:rPr>
        <w:t>logue with the submitting State</w:t>
      </w:r>
      <w:r w:rsidR="00B91F92" w:rsidRPr="00813D19">
        <w:rPr>
          <w:bCs/>
          <w:lang w:val="en-US"/>
        </w:rPr>
        <w:t xml:space="preserve"> </w:t>
      </w:r>
      <w:r w:rsidR="007E2F51" w:rsidRPr="00813D19">
        <w:rPr>
          <w:bCs/>
          <w:lang w:val="en-US"/>
        </w:rPr>
        <w:t xml:space="preserve">when a problem is </w:t>
      </w:r>
      <w:r w:rsidR="00B91F92" w:rsidRPr="00813D19">
        <w:rPr>
          <w:bCs/>
          <w:lang w:val="en-US"/>
        </w:rPr>
        <w:t xml:space="preserve">identified or </w:t>
      </w:r>
      <w:r w:rsidR="007E2F51" w:rsidRPr="00813D19">
        <w:rPr>
          <w:bCs/>
          <w:lang w:val="en-US"/>
        </w:rPr>
        <w:t xml:space="preserve">when there is </w:t>
      </w:r>
      <w:r w:rsidR="00B91F92" w:rsidRPr="00813D19">
        <w:rPr>
          <w:bCs/>
          <w:lang w:val="en-US"/>
        </w:rPr>
        <w:t>a lack of clarity regarding criterion R.2</w:t>
      </w:r>
      <w:r w:rsidR="007E2F51" w:rsidRPr="00813D19">
        <w:rPr>
          <w:bCs/>
          <w:lang w:val="en-US"/>
        </w:rPr>
        <w:t xml:space="preserve">, which </w:t>
      </w:r>
      <w:r w:rsidR="009E6412" w:rsidRPr="00813D19">
        <w:rPr>
          <w:bCs/>
          <w:lang w:val="en-US"/>
        </w:rPr>
        <w:t xml:space="preserve">would be taken up at </w:t>
      </w:r>
      <w:r w:rsidR="007E2F51" w:rsidRPr="00813D19">
        <w:rPr>
          <w:bCs/>
          <w:lang w:val="en-US"/>
        </w:rPr>
        <w:t>the e</w:t>
      </w:r>
      <w:r w:rsidR="00B91F92" w:rsidRPr="00813D19">
        <w:rPr>
          <w:bCs/>
          <w:lang w:val="en-US"/>
        </w:rPr>
        <w:t>xperts</w:t>
      </w:r>
      <w:r w:rsidR="00DE57F2">
        <w:rPr>
          <w:bCs/>
          <w:lang w:val="en-US"/>
        </w:rPr>
        <w:t>’</w:t>
      </w:r>
      <w:r w:rsidR="00B91F92" w:rsidRPr="00813D19">
        <w:rPr>
          <w:bCs/>
          <w:lang w:val="en-US"/>
        </w:rPr>
        <w:t xml:space="preserve"> meeting. </w:t>
      </w:r>
      <w:r w:rsidR="007E2F51" w:rsidRPr="00813D19">
        <w:rPr>
          <w:bCs/>
          <w:lang w:val="en-US"/>
        </w:rPr>
        <w:t xml:space="preserve">The delegation took the opportunity to </w:t>
      </w:r>
      <w:r w:rsidR="00B91F92" w:rsidRPr="00813D19">
        <w:rPr>
          <w:bCs/>
          <w:lang w:val="en-US"/>
        </w:rPr>
        <w:t xml:space="preserve">reiterate </w:t>
      </w:r>
      <w:r w:rsidR="007E2F51" w:rsidRPr="00813D19">
        <w:rPr>
          <w:bCs/>
          <w:lang w:val="en-US"/>
        </w:rPr>
        <w:t xml:space="preserve">its </w:t>
      </w:r>
      <w:r w:rsidR="00B91F92" w:rsidRPr="00813D19">
        <w:rPr>
          <w:bCs/>
          <w:lang w:val="en-US"/>
        </w:rPr>
        <w:t xml:space="preserve">thanks to Japan </w:t>
      </w:r>
      <w:r w:rsidR="007E2F51" w:rsidRPr="00813D19">
        <w:rPr>
          <w:bCs/>
          <w:lang w:val="en-US"/>
        </w:rPr>
        <w:t xml:space="preserve">for lending its </w:t>
      </w:r>
      <w:r w:rsidR="00B91F92" w:rsidRPr="00813D19">
        <w:rPr>
          <w:bCs/>
          <w:lang w:val="en-US"/>
        </w:rPr>
        <w:t xml:space="preserve">great support to the Convention. </w:t>
      </w:r>
      <w:r w:rsidR="009E6412" w:rsidRPr="00813D19">
        <w:rPr>
          <w:bCs/>
          <w:lang w:val="en-US"/>
        </w:rPr>
        <w:t xml:space="preserve">It was clear that everyone agreed that </w:t>
      </w:r>
      <w:r w:rsidR="007E2F51" w:rsidRPr="00813D19">
        <w:rPr>
          <w:bCs/>
          <w:lang w:val="en-US"/>
        </w:rPr>
        <w:t xml:space="preserve">R.2 </w:t>
      </w:r>
      <w:r w:rsidR="00DE57F2">
        <w:rPr>
          <w:bCs/>
          <w:lang w:val="en-US"/>
        </w:rPr>
        <w:t>was</w:t>
      </w:r>
      <w:r w:rsidR="007E2F51" w:rsidRPr="00813D19">
        <w:rPr>
          <w:bCs/>
          <w:lang w:val="en-US"/>
        </w:rPr>
        <w:t xml:space="preserve"> a problem, </w:t>
      </w:r>
      <w:r w:rsidR="006E5D4D" w:rsidRPr="00813D19">
        <w:rPr>
          <w:bCs/>
          <w:lang w:val="en-US"/>
        </w:rPr>
        <w:t xml:space="preserve">but </w:t>
      </w:r>
      <w:r w:rsidR="00422267" w:rsidRPr="00813D19">
        <w:rPr>
          <w:bCs/>
          <w:lang w:val="en-US"/>
        </w:rPr>
        <w:t xml:space="preserve">yet </w:t>
      </w:r>
      <w:r w:rsidR="007E2F51" w:rsidRPr="00813D19">
        <w:rPr>
          <w:bCs/>
          <w:lang w:val="en-US"/>
        </w:rPr>
        <w:t xml:space="preserve">the dialogue </w:t>
      </w:r>
      <w:r w:rsidR="009E6412" w:rsidRPr="00813D19">
        <w:rPr>
          <w:bCs/>
          <w:lang w:val="en-US"/>
        </w:rPr>
        <w:t xml:space="preserve">mechanism </w:t>
      </w:r>
      <w:r w:rsidR="007E2F51" w:rsidRPr="00813D19">
        <w:rPr>
          <w:bCs/>
          <w:lang w:val="en-US"/>
        </w:rPr>
        <w:t>w</w:t>
      </w:r>
      <w:r w:rsidR="00DE57F2">
        <w:rPr>
          <w:bCs/>
          <w:lang w:val="en-US"/>
        </w:rPr>
        <w:t>ould</w:t>
      </w:r>
      <w:r w:rsidR="007E2F51" w:rsidRPr="00813D19">
        <w:rPr>
          <w:bCs/>
          <w:lang w:val="en-US"/>
        </w:rPr>
        <w:t xml:space="preserve"> not be </w:t>
      </w:r>
      <w:r w:rsidR="009E6412" w:rsidRPr="00813D19">
        <w:rPr>
          <w:bCs/>
          <w:lang w:val="en-US"/>
        </w:rPr>
        <w:t xml:space="preserve">ready by </w:t>
      </w:r>
      <w:r w:rsidR="007E2F51" w:rsidRPr="00813D19">
        <w:rPr>
          <w:bCs/>
          <w:lang w:val="en-US"/>
        </w:rPr>
        <w:t xml:space="preserve">the next session. </w:t>
      </w:r>
      <w:r w:rsidR="006E5D4D" w:rsidRPr="00813D19">
        <w:rPr>
          <w:bCs/>
          <w:lang w:val="en-US"/>
        </w:rPr>
        <w:t xml:space="preserve">Thus, how was the Committee going to deal with R.2 </w:t>
      </w:r>
      <w:r w:rsidR="00422267" w:rsidRPr="00813D19">
        <w:rPr>
          <w:bCs/>
          <w:lang w:val="en-US"/>
        </w:rPr>
        <w:t>at</w:t>
      </w:r>
      <w:r w:rsidR="007E2F51" w:rsidRPr="00813D19">
        <w:rPr>
          <w:bCs/>
          <w:lang w:val="en-US"/>
        </w:rPr>
        <w:t xml:space="preserve"> </w:t>
      </w:r>
      <w:r w:rsidR="00422267" w:rsidRPr="00813D19">
        <w:rPr>
          <w:bCs/>
          <w:lang w:val="en-US"/>
        </w:rPr>
        <w:t xml:space="preserve">its </w:t>
      </w:r>
      <w:r w:rsidR="007E2F51" w:rsidRPr="00813D19">
        <w:rPr>
          <w:bCs/>
          <w:lang w:val="en-US"/>
        </w:rPr>
        <w:t>next session</w:t>
      </w:r>
      <w:r w:rsidR="00422267" w:rsidRPr="00813D19">
        <w:rPr>
          <w:bCs/>
          <w:lang w:val="en-US"/>
        </w:rPr>
        <w:t>?</w:t>
      </w:r>
      <w:r w:rsidR="006E5D4D" w:rsidRPr="00813D19">
        <w:rPr>
          <w:bCs/>
          <w:lang w:val="en-US"/>
        </w:rPr>
        <w:t xml:space="preserve"> The delegation understood</w:t>
      </w:r>
      <w:r w:rsidR="007E2F51" w:rsidRPr="00813D19">
        <w:rPr>
          <w:bCs/>
          <w:lang w:val="en-US"/>
        </w:rPr>
        <w:t xml:space="preserve"> that it </w:t>
      </w:r>
      <w:r w:rsidR="006E5D4D" w:rsidRPr="00813D19">
        <w:rPr>
          <w:bCs/>
          <w:lang w:val="en-US"/>
        </w:rPr>
        <w:t xml:space="preserve">was </w:t>
      </w:r>
      <w:r w:rsidR="007E2F51" w:rsidRPr="00813D19">
        <w:rPr>
          <w:bCs/>
          <w:lang w:val="en-US"/>
        </w:rPr>
        <w:t xml:space="preserve">difficult to </w:t>
      </w:r>
      <w:r w:rsidR="006E5D4D" w:rsidRPr="00813D19">
        <w:rPr>
          <w:bCs/>
          <w:lang w:val="en-US"/>
        </w:rPr>
        <w:t xml:space="preserve">introduce </w:t>
      </w:r>
      <w:r w:rsidR="007E2F51" w:rsidRPr="00813D19">
        <w:rPr>
          <w:bCs/>
          <w:lang w:val="en-US"/>
        </w:rPr>
        <w:t>the dual option</w:t>
      </w:r>
      <w:r w:rsidR="00120592" w:rsidRPr="00813D19">
        <w:rPr>
          <w:bCs/>
          <w:lang w:val="en-US"/>
        </w:rPr>
        <w:t>,</w:t>
      </w:r>
      <w:r w:rsidR="007E2F51" w:rsidRPr="00813D19">
        <w:rPr>
          <w:bCs/>
          <w:lang w:val="en-US"/>
        </w:rPr>
        <w:t xml:space="preserve"> as </w:t>
      </w:r>
      <w:r w:rsidR="006E5D4D" w:rsidRPr="00813D19">
        <w:rPr>
          <w:bCs/>
          <w:lang w:val="en-US"/>
        </w:rPr>
        <w:t xml:space="preserve">in the previous session </w:t>
      </w:r>
      <w:r w:rsidR="007E2F51" w:rsidRPr="00813D19">
        <w:rPr>
          <w:bCs/>
          <w:lang w:val="en-US"/>
        </w:rPr>
        <w:t xml:space="preserve">for R.5, </w:t>
      </w:r>
      <w:r w:rsidR="00120592" w:rsidRPr="00813D19">
        <w:rPr>
          <w:bCs/>
          <w:lang w:val="en-US"/>
        </w:rPr>
        <w:t xml:space="preserve">and that </w:t>
      </w:r>
      <w:r w:rsidR="007E2F51" w:rsidRPr="00813D19">
        <w:rPr>
          <w:bCs/>
          <w:lang w:val="en-US"/>
        </w:rPr>
        <w:t xml:space="preserve">experts </w:t>
      </w:r>
      <w:r w:rsidR="00120592" w:rsidRPr="00813D19">
        <w:rPr>
          <w:bCs/>
          <w:lang w:val="en-US"/>
        </w:rPr>
        <w:t xml:space="preserve">were </w:t>
      </w:r>
      <w:r w:rsidR="007E2F51" w:rsidRPr="00813D19">
        <w:rPr>
          <w:bCs/>
          <w:lang w:val="en-US"/>
        </w:rPr>
        <w:t>examining this question,</w:t>
      </w:r>
      <w:r w:rsidR="00120592" w:rsidRPr="00813D19">
        <w:rPr>
          <w:bCs/>
          <w:lang w:val="en-US"/>
        </w:rPr>
        <w:t xml:space="preserve"> even though nothing w</w:t>
      </w:r>
      <w:r w:rsidR="00DE57F2">
        <w:rPr>
          <w:bCs/>
          <w:lang w:val="en-US"/>
        </w:rPr>
        <w:t>ould</w:t>
      </w:r>
      <w:r w:rsidR="00120592" w:rsidRPr="00813D19">
        <w:rPr>
          <w:bCs/>
          <w:lang w:val="en-US"/>
        </w:rPr>
        <w:t xml:space="preserve"> </w:t>
      </w:r>
      <w:r w:rsidR="007E2F51" w:rsidRPr="00813D19">
        <w:rPr>
          <w:bCs/>
          <w:lang w:val="en-US"/>
        </w:rPr>
        <w:t>happen until next September</w:t>
      </w:r>
      <w:r w:rsidR="00422267" w:rsidRPr="00813D19">
        <w:rPr>
          <w:bCs/>
          <w:lang w:val="en-US"/>
        </w:rPr>
        <w:t xml:space="preserve"> 2019. However, </w:t>
      </w:r>
      <w:r w:rsidR="007E2F51" w:rsidRPr="00813D19">
        <w:rPr>
          <w:bCs/>
          <w:lang w:val="en-US"/>
        </w:rPr>
        <w:t>in the meantime</w:t>
      </w:r>
      <w:r w:rsidR="00422267" w:rsidRPr="00813D19">
        <w:rPr>
          <w:bCs/>
          <w:lang w:val="en-US"/>
        </w:rPr>
        <w:t>,</w:t>
      </w:r>
      <w:r w:rsidR="007E2F51" w:rsidRPr="00813D19">
        <w:rPr>
          <w:bCs/>
          <w:lang w:val="en-US"/>
        </w:rPr>
        <w:t xml:space="preserve"> perhaps a working group could be tasked with examining </w:t>
      </w:r>
      <w:r w:rsidR="00120592" w:rsidRPr="00813D19">
        <w:rPr>
          <w:bCs/>
          <w:lang w:val="en-US"/>
        </w:rPr>
        <w:t xml:space="preserve">a solution for R.2 </w:t>
      </w:r>
      <w:r w:rsidR="007E2F51" w:rsidRPr="00813D19">
        <w:rPr>
          <w:bCs/>
          <w:lang w:val="en-US"/>
        </w:rPr>
        <w:t>with the as</w:t>
      </w:r>
      <w:r w:rsidR="00120592" w:rsidRPr="00813D19">
        <w:rPr>
          <w:bCs/>
          <w:lang w:val="en-US"/>
        </w:rPr>
        <w:t>sistance of the Evaluation Body.</w:t>
      </w:r>
    </w:p>
    <w:p w14:paraId="79467CCA" w14:textId="47AE393B" w:rsidR="00F577AA" w:rsidRPr="00813D19" w:rsidRDefault="00F577AA" w:rsidP="005A1FC1">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D64D5F" w:rsidRPr="00813D19">
        <w:rPr>
          <w:bCs/>
          <w:lang w:val="en-US"/>
        </w:rPr>
        <w:t>remarked that the session e</w:t>
      </w:r>
      <w:r w:rsidR="00422267" w:rsidRPr="00813D19">
        <w:rPr>
          <w:bCs/>
          <w:lang w:val="en-US"/>
        </w:rPr>
        <w:t>nded with an important question</w:t>
      </w:r>
      <w:r w:rsidR="00D64D5F" w:rsidRPr="00813D19">
        <w:rPr>
          <w:bCs/>
          <w:lang w:val="en-US"/>
        </w:rPr>
        <w:t xml:space="preserve"> and he thanked all the delegations, inviting the Secretary to make some </w:t>
      </w:r>
      <w:r w:rsidR="00D76726" w:rsidRPr="00813D19">
        <w:rPr>
          <w:bCs/>
          <w:lang w:val="en-US"/>
        </w:rPr>
        <w:t>practical announcements.</w:t>
      </w:r>
    </w:p>
    <w:p w14:paraId="1AB46FC3" w14:textId="72DC3A0E" w:rsidR="00873E51" w:rsidRPr="00813D19" w:rsidRDefault="008F3DE2" w:rsidP="00161A45">
      <w:pPr>
        <w:pStyle w:val="Orateurengris"/>
        <w:spacing w:after="0"/>
        <w:ind w:left="709" w:hanging="709"/>
        <w:rPr>
          <w:lang w:val="en-US"/>
        </w:rPr>
      </w:pPr>
      <w:r w:rsidRPr="00813D19">
        <w:rPr>
          <w:lang w:val="en-US"/>
        </w:rPr>
        <w:t xml:space="preserve">The </w:t>
      </w:r>
      <w:r w:rsidRPr="00813D19">
        <w:rPr>
          <w:b/>
          <w:lang w:val="en-US"/>
        </w:rPr>
        <w:t>Secretary</w:t>
      </w:r>
      <w:r w:rsidRPr="00813D19">
        <w:rPr>
          <w:lang w:val="en-US"/>
        </w:rPr>
        <w:t xml:space="preserve"> </w:t>
      </w:r>
      <w:r w:rsidR="00B91F92" w:rsidRPr="00813D19">
        <w:rPr>
          <w:lang w:val="en-US"/>
        </w:rPr>
        <w:t>remind</w:t>
      </w:r>
      <w:r w:rsidR="00A00434" w:rsidRPr="00813D19">
        <w:rPr>
          <w:lang w:val="en-US"/>
        </w:rPr>
        <w:t>ed</w:t>
      </w:r>
      <w:r w:rsidR="00B91F92" w:rsidRPr="00813D19">
        <w:rPr>
          <w:lang w:val="en-US"/>
        </w:rPr>
        <w:t xml:space="preserve"> the States wish</w:t>
      </w:r>
      <w:r w:rsidR="00A00434" w:rsidRPr="00813D19">
        <w:rPr>
          <w:lang w:val="en-US"/>
        </w:rPr>
        <w:t>ing</w:t>
      </w:r>
      <w:r w:rsidR="00B91F92" w:rsidRPr="00813D19">
        <w:rPr>
          <w:lang w:val="en-US"/>
        </w:rPr>
        <w:t xml:space="preserve"> to hold performances or present audiovisual material </w:t>
      </w:r>
      <w:r w:rsidR="00A00434" w:rsidRPr="00813D19">
        <w:rPr>
          <w:lang w:val="en-US"/>
        </w:rPr>
        <w:t xml:space="preserve">to </w:t>
      </w:r>
      <w:r w:rsidR="00B91F92" w:rsidRPr="00813D19">
        <w:rPr>
          <w:lang w:val="en-US"/>
        </w:rPr>
        <w:t xml:space="preserve">inform the Secretariat in order to facilitate </w:t>
      </w:r>
      <w:r w:rsidR="00A00434" w:rsidRPr="00813D19">
        <w:rPr>
          <w:lang w:val="en-US"/>
        </w:rPr>
        <w:t>their</w:t>
      </w:r>
      <w:r w:rsidR="00E41386">
        <w:rPr>
          <w:lang w:val="en-US"/>
        </w:rPr>
        <w:t xml:space="preserve"> preparation.</w:t>
      </w:r>
    </w:p>
    <w:p w14:paraId="4497E791" w14:textId="5A14CB17" w:rsidR="002E1FB8" w:rsidRPr="00813D19" w:rsidRDefault="002E1FB8" w:rsidP="00E72560">
      <w:pPr>
        <w:pStyle w:val="Orateurengris"/>
        <w:keepNext/>
        <w:numPr>
          <w:ilvl w:val="0"/>
          <w:numId w:val="0"/>
        </w:numPr>
        <w:spacing w:before="240" w:after="240"/>
        <w:ind w:left="709"/>
        <w:jc w:val="center"/>
        <w:outlineLvl w:val="0"/>
        <w:rPr>
          <w:rFonts w:ascii="Helvetica" w:hAnsi="Helvetica" w:cs="Helvetica"/>
          <w:i/>
          <w:iCs/>
          <w:color w:val="000000" w:themeColor="text1"/>
          <w:lang w:val="en-US"/>
        </w:rPr>
      </w:pPr>
      <w:r w:rsidRPr="00813D19">
        <w:rPr>
          <w:rFonts w:ascii="Helvetica" w:hAnsi="Helvetica" w:cs="Helvetica"/>
          <w:i/>
          <w:iCs/>
          <w:color w:val="000000" w:themeColor="text1"/>
          <w:lang w:val="en-US"/>
        </w:rPr>
        <w:t>[Wednesday, 28 November 2018, morning session]</w:t>
      </w:r>
    </w:p>
    <w:p w14:paraId="1D0016B8" w14:textId="33CC611A" w:rsidR="00C10BE2" w:rsidRPr="00813D19" w:rsidRDefault="00701B95" w:rsidP="00E41386">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ITEM 10.a</w:t>
      </w:r>
      <w:r w:rsidR="00C10BE2" w:rsidRPr="00813D19">
        <w:rPr>
          <w:b/>
          <w:color w:val="000000" w:themeColor="text1"/>
          <w:u w:val="single"/>
          <w:lang w:val="en-US"/>
        </w:rPr>
        <w:t xml:space="preserve"> OF THE AGENDA </w:t>
      </w:r>
    </w:p>
    <w:p w14:paraId="39982472" w14:textId="3BF0BACB" w:rsidR="00701B95" w:rsidRPr="00813D19" w:rsidRDefault="00701B95" w:rsidP="005966F6">
      <w:pPr>
        <w:pStyle w:val="Orateurengris"/>
        <w:numPr>
          <w:ilvl w:val="0"/>
          <w:numId w:val="0"/>
        </w:numPr>
        <w:outlineLvl w:val="1"/>
        <w:rPr>
          <w:b/>
          <w:color w:val="000000" w:themeColor="text1"/>
          <w:lang w:val="en-US"/>
        </w:rPr>
      </w:pPr>
      <w:r w:rsidRPr="00813D19">
        <w:rPr>
          <w:b/>
          <w:color w:val="000000" w:themeColor="text1"/>
          <w:lang w:val="en-US"/>
        </w:rPr>
        <w:t>EXAMINATION OF NOMINATIONS FOR INSCRIPTION ON THE LIST OF INTANGIBLE CULTURAL HERITAGE IN NEED OF URGENT SAFEGUARDING</w:t>
      </w:r>
    </w:p>
    <w:p w14:paraId="6635E75D" w14:textId="687A2505" w:rsidR="00C10BE2" w:rsidRPr="00E41386" w:rsidRDefault="00C10BE2" w:rsidP="00E41386">
      <w:pPr>
        <w:pStyle w:val="Orateurengris"/>
        <w:keepNext/>
        <w:numPr>
          <w:ilvl w:val="0"/>
          <w:numId w:val="0"/>
        </w:numPr>
        <w:spacing w:before="120" w:after="0"/>
        <w:ind w:left="709"/>
        <w:rPr>
          <w:rStyle w:val="Hyperlink"/>
          <w:bCs/>
          <w:iCs/>
          <w:color w:val="auto"/>
          <w:u w:val="none"/>
          <w:lang w:val="en-US"/>
        </w:rPr>
      </w:pPr>
      <w:r w:rsidRPr="00813D19">
        <w:rPr>
          <w:b/>
          <w:color w:val="000000" w:themeColor="text1"/>
          <w:lang w:val="en-US"/>
        </w:rPr>
        <w:t>Document:</w:t>
      </w:r>
      <w:r w:rsidRPr="00813D19">
        <w:rPr>
          <w:b/>
          <w:color w:val="000000" w:themeColor="text1"/>
          <w:lang w:val="en-US"/>
        </w:rPr>
        <w:tab/>
      </w:r>
      <w:hyperlink r:id="rId91" w:history="1">
        <w:r w:rsidR="00701B95" w:rsidRPr="00813D19">
          <w:rPr>
            <w:rStyle w:val="Hyperlink"/>
            <w:bCs/>
            <w:i/>
            <w:lang w:val="en-US"/>
          </w:rPr>
          <w:t>ITH/18/13</w:t>
        </w:r>
        <w:r w:rsidRPr="00813D19">
          <w:rPr>
            <w:rStyle w:val="Hyperlink"/>
            <w:bCs/>
            <w:i/>
            <w:lang w:val="en-US"/>
          </w:rPr>
          <w:t>.COM/</w:t>
        </w:r>
        <w:r w:rsidR="00701B95" w:rsidRPr="00813D19">
          <w:rPr>
            <w:rStyle w:val="Hyperlink"/>
            <w:bCs/>
            <w:i/>
            <w:lang w:val="en-US"/>
          </w:rPr>
          <w:t>10.a</w:t>
        </w:r>
      </w:hyperlink>
    </w:p>
    <w:p w14:paraId="252C10C9" w14:textId="5DEF3B83" w:rsidR="009D12B7" w:rsidRPr="00E41386" w:rsidRDefault="000151E5" w:rsidP="00E41386">
      <w:pPr>
        <w:pStyle w:val="Orateurengris"/>
        <w:keepNext/>
        <w:numPr>
          <w:ilvl w:val="0"/>
          <w:numId w:val="0"/>
        </w:numPr>
        <w:spacing w:before="60" w:after="240"/>
        <w:ind w:left="709"/>
        <w:rPr>
          <w:bCs/>
          <w:color w:val="000000" w:themeColor="text1"/>
          <w:lang w:val="en-US"/>
        </w:rPr>
      </w:pPr>
      <w:r w:rsidRPr="00813D19">
        <w:rPr>
          <w:b/>
          <w:color w:val="000000" w:themeColor="text1"/>
          <w:lang w:val="en-US"/>
        </w:rPr>
        <w:t>Files</w:t>
      </w:r>
      <w:r w:rsidR="009D12B7" w:rsidRPr="00813D19">
        <w:rPr>
          <w:b/>
          <w:color w:val="000000" w:themeColor="text1"/>
          <w:lang w:val="en-US"/>
        </w:rPr>
        <w:t xml:space="preserve">: </w:t>
      </w:r>
      <w:r w:rsidRPr="00813D19">
        <w:rPr>
          <w:b/>
          <w:color w:val="000000" w:themeColor="text1"/>
          <w:lang w:val="en-US"/>
        </w:rPr>
        <w:tab/>
      </w:r>
      <w:r w:rsidRPr="00813D19">
        <w:rPr>
          <w:b/>
          <w:color w:val="000000" w:themeColor="text1"/>
          <w:lang w:val="en-US"/>
        </w:rPr>
        <w:tab/>
      </w:r>
      <w:hyperlink r:id="rId92" w:history="1">
        <w:r w:rsidR="009D12B7" w:rsidRPr="00813D19">
          <w:rPr>
            <w:rStyle w:val="Hyperlink"/>
            <w:i/>
            <w:lang w:val="en-US"/>
          </w:rPr>
          <w:t>7</w:t>
        </w:r>
        <w:r w:rsidRPr="00813D19">
          <w:rPr>
            <w:rStyle w:val="Hyperlink"/>
            <w:i/>
            <w:lang w:val="en-US"/>
          </w:rPr>
          <w:t xml:space="preserve"> nominations</w:t>
        </w:r>
      </w:hyperlink>
    </w:p>
    <w:p w14:paraId="6FD284FF" w14:textId="0DCF050B" w:rsidR="00BD2C95" w:rsidRPr="00813D19" w:rsidRDefault="00BD2C95" w:rsidP="000151E5">
      <w:pPr>
        <w:pStyle w:val="Orateurengris"/>
        <w:spacing w:after="0"/>
        <w:ind w:left="709" w:hanging="709"/>
        <w:rPr>
          <w:lang w:val="en-US"/>
        </w:rPr>
      </w:pPr>
      <w:r w:rsidRPr="00813D19">
        <w:rPr>
          <w:color w:val="000000" w:themeColor="text1"/>
          <w:lang w:val="en-US"/>
        </w:rPr>
        <w:t xml:space="preserve">The </w:t>
      </w:r>
      <w:r w:rsidR="00A43503" w:rsidRPr="00813D19">
        <w:rPr>
          <w:b/>
          <w:color w:val="000000" w:themeColor="text1"/>
          <w:lang w:val="en-US"/>
        </w:rPr>
        <w:t>Chairperson</w:t>
      </w:r>
      <w:r w:rsidR="00A43503" w:rsidRPr="00813D19">
        <w:rPr>
          <w:color w:val="000000" w:themeColor="text1"/>
          <w:lang w:val="en-US"/>
        </w:rPr>
        <w:t xml:space="preserve"> </w:t>
      </w:r>
      <w:r w:rsidR="00A43503" w:rsidRPr="00813D19">
        <w:rPr>
          <w:lang w:val="en-US"/>
        </w:rPr>
        <w:t xml:space="preserve">informed the Committee that the Bureau </w:t>
      </w:r>
      <w:r w:rsidR="002A7C2E" w:rsidRPr="00813D19">
        <w:rPr>
          <w:lang w:val="en-US"/>
        </w:rPr>
        <w:t xml:space="preserve">had </w:t>
      </w:r>
      <w:r w:rsidR="00A43503" w:rsidRPr="00813D19">
        <w:rPr>
          <w:lang w:val="en-US"/>
        </w:rPr>
        <w:t xml:space="preserve">met </w:t>
      </w:r>
      <w:r w:rsidR="002A7C2E" w:rsidRPr="00813D19">
        <w:rPr>
          <w:lang w:val="en-US"/>
        </w:rPr>
        <w:t xml:space="preserve">in the </w:t>
      </w:r>
      <w:r w:rsidR="00A43503" w:rsidRPr="00813D19">
        <w:rPr>
          <w:lang w:val="en-US"/>
        </w:rPr>
        <w:t xml:space="preserve">morning and </w:t>
      </w:r>
      <w:r w:rsidR="002A7C2E" w:rsidRPr="00813D19">
        <w:rPr>
          <w:lang w:val="en-US"/>
        </w:rPr>
        <w:t>revised</w:t>
      </w:r>
      <w:r w:rsidR="00A43503" w:rsidRPr="00813D19">
        <w:rPr>
          <w:lang w:val="en-US"/>
        </w:rPr>
        <w:t xml:space="preserve"> </w:t>
      </w:r>
      <w:r w:rsidR="002A7C2E" w:rsidRPr="00813D19">
        <w:rPr>
          <w:lang w:val="en-US"/>
        </w:rPr>
        <w:t xml:space="preserve">the </w:t>
      </w:r>
      <w:r w:rsidR="00A43503" w:rsidRPr="00813D19">
        <w:rPr>
          <w:lang w:val="en-US"/>
        </w:rPr>
        <w:t>tim</w:t>
      </w:r>
      <w:r w:rsidR="00010103" w:rsidRPr="00813D19">
        <w:rPr>
          <w:lang w:val="en-US"/>
        </w:rPr>
        <w:t xml:space="preserve">etable of the Committee’s work. </w:t>
      </w:r>
      <w:r w:rsidR="002A7C2E" w:rsidRPr="00813D19">
        <w:rPr>
          <w:lang w:val="en-US"/>
        </w:rPr>
        <w:t xml:space="preserve">The day’s </w:t>
      </w:r>
      <w:r w:rsidR="00A43503" w:rsidRPr="00813D19">
        <w:rPr>
          <w:lang w:val="en-US"/>
        </w:rPr>
        <w:t xml:space="preserve">session </w:t>
      </w:r>
      <w:r w:rsidR="002A7C2E" w:rsidRPr="00813D19">
        <w:rPr>
          <w:lang w:val="en-US"/>
        </w:rPr>
        <w:t xml:space="preserve">began </w:t>
      </w:r>
      <w:r w:rsidR="00A43503" w:rsidRPr="00813D19">
        <w:rPr>
          <w:lang w:val="en-US"/>
        </w:rPr>
        <w:t xml:space="preserve">with the examination of item 10.a and </w:t>
      </w:r>
      <w:r w:rsidR="007632F3" w:rsidRPr="00813D19">
        <w:rPr>
          <w:lang w:val="en-US"/>
        </w:rPr>
        <w:t xml:space="preserve">would </w:t>
      </w:r>
      <w:r w:rsidR="00A43503" w:rsidRPr="00813D19">
        <w:rPr>
          <w:lang w:val="en-US"/>
        </w:rPr>
        <w:t xml:space="preserve">continue with 10.b. The Secretariat </w:t>
      </w:r>
      <w:r w:rsidR="002A7C2E" w:rsidRPr="00813D19">
        <w:rPr>
          <w:lang w:val="en-US"/>
        </w:rPr>
        <w:t xml:space="preserve">had </w:t>
      </w:r>
      <w:r w:rsidR="00A43503" w:rsidRPr="00813D19">
        <w:rPr>
          <w:lang w:val="en-US"/>
        </w:rPr>
        <w:t>received requests to open nine individual de</w:t>
      </w:r>
      <w:r w:rsidR="002A7C2E" w:rsidRPr="00813D19">
        <w:rPr>
          <w:lang w:val="en-US"/>
        </w:rPr>
        <w:t xml:space="preserve">cisions for debate, and </w:t>
      </w:r>
      <w:r w:rsidR="00A43503" w:rsidRPr="00813D19">
        <w:rPr>
          <w:lang w:val="en-US"/>
        </w:rPr>
        <w:t xml:space="preserve">two States </w:t>
      </w:r>
      <w:r w:rsidR="002A7C2E" w:rsidRPr="00813D19">
        <w:rPr>
          <w:lang w:val="en-US"/>
        </w:rPr>
        <w:t>had withdrawn</w:t>
      </w:r>
      <w:r w:rsidR="00A43503" w:rsidRPr="00813D19">
        <w:rPr>
          <w:lang w:val="en-US"/>
        </w:rPr>
        <w:t xml:space="preserve"> their files: Lao People’s Democratic Republic </w:t>
      </w:r>
      <w:r w:rsidR="00DE57F2">
        <w:rPr>
          <w:lang w:val="en-US"/>
        </w:rPr>
        <w:t xml:space="preserve">had </w:t>
      </w:r>
      <w:r w:rsidR="00A43503" w:rsidRPr="00813D19">
        <w:rPr>
          <w:lang w:val="en-US"/>
        </w:rPr>
        <w:t>withdr</w:t>
      </w:r>
      <w:r w:rsidR="00DE57F2">
        <w:rPr>
          <w:lang w:val="en-US"/>
        </w:rPr>
        <w:t>awn</w:t>
      </w:r>
      <w:r w:rsidR="00A43503" w:rsidRPr="00813D19">
        <w:rPr>
          <w:lang w:val="en-US"/>
        </w:rPr>
        <w:t xml:space="preserve"> ‘Traditional art of Naga weaving’ for inscription on the Representative List (draft decision </w:t>
      </w:r>
      <w:r w:rsidR="002A7C2E" w:rsidRPr="00813D19">
        <w:rPr>
          <w:lang w:val="en-US"/>
        </w:rPr>
        <w:t>13.COM 10.b.22),</w:t>
      </w:r>
      <w:r w:rsidR="00A43503" w:rsidRPr="00813D19">
        <w:rPr>
          <w:lang w:val="en-US"/>
        </w:rPr>
        <w:t xml:space="preserve"> and Saudi Arabia </w:t>
      </w:r>
      <w:r w:rsidR="00DE57F2">
        <w:rPr>
          <w:lang w:val="en-US"/>
        </w:rPr>
        <w:t>had withdrawn</w:t>
      </w:r>
      <w:r w:rsidR="00DE57F2" w:rsidRPr="00813D19">
        <w:rPr>
          <w:lang w:val="en-US"/>
        </w:rPr>
        <w:t xml:space="preserve"> </w:t>
      </w:r>
      <w:r w:rsidR="00A43503" w:rsidRPr="00813D19">
        <w:rPr>
          <w:lang w:val="en-US"/>
        </w:rPr>
        <w:t>‘Al-Janadria, national festival of heritage and culture’ for selection on the Register</w:t>
      </w:r>
      <w:r w:rsidR="002A7C2E" w:rsidRPr="00813D19">
        <w:rPr>
          <w:lang w:val="en-US"/>
        </w:rPr>
        <w:t xml:space="preserve"> of Good Safeguarding Practices</w:t>
      </w:r>
      <w:r w:rsidR="00A43503" w:rsidRPr="00813D19">
        <w:rPr>
          <w:lang w:val="en-US"/>
        </w:rPr>
        <w:t xml:space="preserve"> (draft decision 13.COM 10.c.1). </w:t>
      </w:r>
      <w:r w:rsidR="00A43503" w:rsidRPr="00813D19">
        <w:rPr>
          <w:color w:val="000000" w:themeColor="text1"/>
          <w:lang w:val="en-US"/>
        </w:rPr>
        <w:t>The</w:t>
      </w:r>
      <w:r w:rsidR="00A43503" w:rsidRPr="00813D19">
        <w:rPr>
          <w:b/>
          <w:color w:val="000000" w:themeColor="text1"/>
          <w:lang w:val="en-US"/>
        </w:rPr>
        <w:t xml:space="preserve"> </w:t>
      </w:r>
      <w:r w:rsidRPr="00813D19">
        <w:rPr>
          <w:color w:val="000000" w:themeColor="text1"/>
          <w:lang w:val="en-US"/>
        </w:rPr>
        <w:t xml:space="preserve">Chairperson </w:t>
      </w:r>
      <w:r w:rsidR="002A7C2E" w:rsidRPr="00813D19">
        <w:rPr>
          <w:color w:val="000000" w:themeColor="text1"/>
          <w:lang w:val="en-US"/>
        </w:rPr>
        <w:t xml:space="preserve">then </w:t>
      </w:r>
      <w:r w:rsidRPr="00813D19">
        <w:rPr>
          <w:color w:val="000000" w:themeColor="text1"/>
          <w:lang w:val="en-US"/>
        </w:rPr>
        <w:t xml:space="preserve">turned to the </w:t>
      </w:r>
      <w:r w:rsidR="002E1FB8" w:rsidRPr="00813D19">
        <w:rPr>
          <w:lang w:val="en-US"/>
        </w:rPr>
        <w:t xml:space="preserve">first sub-item 10.a and the examination of nominations </w:t>
      </w:r>
      <w:r w:rsidR="002A7C2E" w:rsidRPr="00813D19">
        <w:rPr>
          <w:lang w:val="en-US"/>
        </w:rPr>
        <w:t>to the Urgent Safeguarding List. T</w:t>
      </w:r>
      <w:r w:rsidR="002E1FB8" w:rsidRPr="00813D19">
        <w:rPr>
          <w:lang w:val="en-US"/>
        </w:rPr>
        <w:t>he Committee would</w:t>
      </w:r>
      <w:r w:rsidR="002E1FB8" w:rsidRPr="00813D19">
        <w:rPr>
          <w:b/>
          <w:lang w:val="en-US"/>
        </w:rPr>
        <w:t xml:space="preserve"> </w:t>
      </w:r>
      <w:r w:rsidR="002E1FB8" w:rsidRPr="00813D19">
        <w:rPr>
          <w:rFonts w:eastAsia="Times"/>
          <w:lang w:val="en-US"/>
        </w:rPr>
        <w:t xml:space="preserve">examine </w:t>
      </w:r>
      <w:r w:rsidR="002A7C2E" w:rsidRPr="00813D19">
        <w:rPr>
          <w:rFonts w:eastAsia="Times"/>
          <w:lang w:val="en-US"/>
        </w:rPr>
        <w:t xml:space="preserve">seven </w:t>
      </w:r>
      <w:r w:rsidR="002E1FB8" w:rsidRPr="00813D19">
        <w:rPr>
          <w:rFonts w:eastAsia="Times"/>
          <w:lang w:val="en-US"/>
        </w:rPr>
        <w:t xml:space="preserve">nominations by Algeria, Azerbaijan, Cambodia, Egypt, Kenya, Pakistan and the Syrian Arab Republic. </w:t>
      </w:r>
      <w:r w:rsidR="00DE57F2">
        <w:rPr>
          <w:rFonts w:eastAsia="Times"/>
          <w:lang w:val="en-US"/>
        </w:rPr>
        <w:t>I</w:t>
      </w:r>
      <w:r w:rsidR="002E1FB8" w:rsidRPr="00813D19">
        <w:rPr>
          <w:rFonts w:eastAsia="Times"/>
          <w:lang w:val="en-US"/>
        </w:rPr>
        <w:t xml:space="preserve">nscription criteria U.1–U.5 </w:t>
      </w:r>
      <w:r w:rsidR="002A7C2E" w:rsidRPr="00813D19">
        <w:rPr>
          <w:rFonts w:eastAsia="Times"/>
          <w:lang w:val="en-US"/>
        </w:rPr>
        <w:t xml:space="preserve">were recalled, </w:t>
      </w:r>
      <w:r w:rsidR="00F97A2E" w:rsidRPr="00813D19">
        <w:rPr>
          <w:rFonts w:eastAsia="Times"/>
          <w:lang w:val="en-US"/>
        </w:rPr>
        <w:t>as the</w:t>
      </w:r>
      <w:r w:rsidR="00DE57F2">
        <w:rPr>
          <w:rFonts w:eastAsia="Times"/>
          <w:lang w:val="en-US"/>
        </w:rPr>
        <w:t>y</w:t>
      </w:r>
      <w:r w:rsidR="00F97A2E" w:rsidRPr="00813D19">
        <w:rPr>
          <w:rFonts w:eastAsia="Times"/>
          <w:lang w:val="en-US"/>
        </w:rPr>
        <w:t xml:space="preserve"> would guide the decisions. T</w:t>
      </w:r>
      <w:r w:rsidR="002A7C2E" w:rsidRPr="00813D19">
        <w:rPr>
          <w:rFonts w:eastAsia="Times"/>
          <w:lang w:val="en-US"/>
        </w:rPr>
        <w:t xml:space="preserve">he Chairperson of the Evaluation Body, </w:t>
      </w:r>
      <w:r w:rsidR="00466C86" w:rsidRPr="00813D19">
        <w:rPr>
          <w:rFonts w:eastAsia="Times"/>
          <w:lang w:val="en-US"/>
        </w:rPr>
        <w:t xml:space="preserve">Mr </w:t>
      </w:r>
      <w:r w:rsidR="002A7C2E" w:rsidRPr="00813D19">
        <w:rPr>
          <w:lang w:val="en-US"/>
        </w:rPr>
        <w:t>John Moogi </w:t>
      </w:r>
      <w:r w:rsidR="00466C86" w:rsidRPr="00813D19">
        <w:rPr>
          <w:rFonts w:eastAsia="Times"/>
          <w:lang w:val="en-US"/>
        </w:rPr>
        <w:t>Omara</w:t>
      </w:r>
      <w:r w:rsidR="00F97A2E" w:rsidRPr="00813D19">
        <w:rPr>
          <w:rFonts w:eastAsia="Times"/>
          <w:lang w:val="en-US"/>
        </w:rPr>
        <w:t>, was invited t</w:t>
      </w:r>
      <w:r w:rsidR="00E41386">
        <w:rPr>
          <w:rFonts w:eastAsia="Times"/>
          <w:lang w:val="en-US"/>
        </w:rPr>
        <w:t>o present the nomination files.</w:t>
      </w:r>
    </w:p>
    <w:p w14:paraId="79E75307" w14:textId="59001662" w:rsidR="00777569" w:rsidRPr="00813D19" w:rsidRDefault="003569F5" w:rsidP="003569F5">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first nomination, </w:t>
      </w:r>
      <w:r w:rsidR="00777569" w:rsidRPr="00813D19">
        <w:rPr>
          <w:b/>
          <w:lang w:val="en-US"/>
        </w:rPr>
        <w:t>Knowledge and skills of the water measurers of the foggaras or water bailiffs of Touat and Tidikelt</w:t>
      </w:r>
      <w:r w:rsidR="00777569" w:rsidRPr="00813D19">
        <w:rPr>
          <w:lang w:val="en-US"/>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10.a.1]</w:t>
      </w:r>
      <w:r w:rsidR="00DE57F2">
        <w:rPr>
          <w:color w:val="000000" w:themeColor="text1"/>
          <w:lang w:val="en-US"/>
        </w:rPr>
        <w:t>,</w:t>
      </w:r>
      <w:r w:rsidRPr="00813D19">
        <w:rPr>
          <w:b/>
          <w:color w:val="000000" w:themeColor="text1"/>
          <w:lang w:val="en-US"/>
        </w:rPr>
        <w:t xml:space="preserve"> </w:t>
      </w:r>
      <w:r w:rsidR="00777569" w:rsidRPr="00813D19">
        <w:rPr>
          <w:lang w:val="en-US"/>
        </w:rPr>
        <w:t xml:space="preserve">submitted by </w:t>
      </w:r>
      <w:r w:rsidR="00777569" w:rsidRPr="00813D19">
        <w:rPr>
          <w:b/>
          <w:lang w:val="en-US"/>
        </w:rPr>
        <w:t>Algeria</w:t>
      </w:r>
      <w:r w:rsidR="00777569" w:rsidRPr="00813D19">
        <w:rPr>
          <w:lang w:val="en-US"/>
        </w:rPr>
        <w:t>.</w:t>
      </w:r>
      <w:r w:rsidRPr="00813D19">
        <w:rPr>
          <w:lang w:val="en-US"/>
        </w:rPr>
        <w:t xml:space="preserve"> </w:t>
      </w:r>
      <w:r w:rsidR="00777569" w:rsidRPr="00813D19">
        <w:rPr>
          <w:lang w:val="en-US"/>
        </w:rPr>
        <w:t>The element concerns the knowledge and skills of the water measurers of the foggaras (system of channels), or water bailiffs, of the ksour (village) communities of Touat and Tidikelt. The water measurers are</w:t>
      </w:r>
      <w:r w:rsidR="00316D51" w:rsidRPr="00813D19">
        <w:rPr>
          <w:lang w:val="en-US"/>
        </w:rPr>
        <w:t xml:space="preserve"> involved in various operations</w:t>
      </w:r>
      <w:r w:rsidR="00777569" w:rsidRPr="00813D19">
        <w:rPr>
          <w:lang w:val="en-US"/>
        </w:rPr>
        <w:t xml:space="preserve"> from calculating water shares to repairing distribution combs and conducting water in the channel. Every foggara connects several categories of social agents and knowledge bearers, including owners, manual workers, accountants and water measurers, but it is the water measurers’ knowledge that appears to be under threat. Currently there is little knowledge transmission and </w:t>
      </w:r>
      <w:r w:rsidR="00DE57F2">
        <w:rPr>
          <w:lang w:val="en-US"/>
        </w:rPr>
        <w:t xml:space="preserve">a </w:t>
      </w:r>
      <w:r w:rsidR="00777569" w:rsidRPr="00813D19">
        <w:rPr>
          <w:lang w:val="en-US"/>
        </w:rPr>
        <w:t>lack of communication between young people and their elders.</w:t>
      </w:r>
      <w:r w:rsidRPr="00813D19">
        <w:rPr>
          <w:lang w:val="en-US"/>
        </w:rPr>
        <w:t xml:space="preserve"> </w:t>
      </w:r>
      <w:r w:rsidR="00777569" w:rsidRPr="00813D19">
        <w:rPr>
          <w:lang w:val="en-US"/>
        </w:rPr>
        <w:t>From the information included in th</w:t>
      </w:r>
      <w:r w:rsidR="00CB28F1" w:rsidRPr="00813D19">
        <w:rPr>
          <w:lang w:val="en-US"/>
        </w:rPr>
        <w:t>e file, the nomination satisfied</w:t>
      </w:r>
      <w:r w:rsidR="00777569" w:rsidRPr="00813D19">
        <w:rPr>
          <w:lang w:val="en-US"/>
        </w:rPr>
        <w:t xml:space="preserve"> criteria U.1, U.2, U.4 and U.5. The element is closely related to the way of life, economy and survival of the desert area of Algeria. The knowledge and skills of the water measurers are closely connected to the historical local land law system, which has been affected by state interventions in oasis agriculture and </w:t>
      </w:r>
      <w:r w:rsidR="00316D51" w:rsidRPr="00813D19">
        <w:rPr>
          <w:lang w:val="en-US"/>
        </w:rPr>
        <w:t xml:space="preserve">the </w:t>
      </w:r>
      <w:r w:rsidR="00777569" w:rsidRPr="00813D19">
        <w:rPr>
          <w:lang w:val="en-US"/>
        </w:rPr>
        <w:t>introduction of technologically advanced underground water extraction methods. Community representatives, members of an association for the protection of the foggaras, students, know</w:t>
      </w:r>
      <w:r w:rsidR="00316D51" w:rsidRPr="00813D19">
        <w:rPr>
          <w:lang w:val="en-US"/>
        </w:rPr>
        <w:t>ledge bearers and practitioners</w:t>
      </w:r>
      <w:r w:rsidR="00777569" w:rsidRPr="00813D19">
        <w:rPr>
          <w:lang w:val="en-US"/>
        </w:rPr>
        <w:t xml:space="preserve"> actively participated in preparing the nomination.</w:t>
      </w:r>
      <w:r w:rsidRPr="00813D19">
        <w:rPr>
          <w:lang w:val="en-US"/>
        </w:rPr>
        <w:t xml:space="preserve"> </w:t>
      </w:r>
      <w:r w:rsidR="00777569" w:rsidRPr="00813D19">
        <w:rPr>
          <w:lang w:val="en-US"/>
        </w:rPr>
        <w:t xml:space="preserve">However, the Evaluation Body considered that the information </w:t>
      </w:r>
      <w:r w:rsidR="00CB28F1" w:rsidRPr="00813D19">
        <w:rPr>
          <w:lang w:val="en-US"/>
        </w:rPr>
        <w:t xml:space="preserve">was </w:t>
      </w:r>
      <w:r w:rsidR="00777569" w:rsidRPr="00813D19">
        <w:rPr>
          <w:lang w:val="en-US"/>
        </w:rPr>
        <w:t>not sufficient to assess criterion U.3.</w:t>
      </w:r>
      <w:r w:rsidRPr="00813D19">
        <w:rPr>
          <w:lang w:val="en-US"/>
        </w:rPr>
        <w:t xml:space="preserve"> </w:t>
      </w:r>
      <w:r w:rsidR="00777569" w:rsidRPr="00813D19">
        <w:rPr>
          <w:lang w:val="en-US"/>
        </w:rPr>
        <w:t xml:space="preserve">Additional information </w:t>
      </w:r>
      <w:r w:rsidR="00CB28F1" w:rsidRPr="00813D19">
        <w:rPr>
          <w:lang w:val="en-US"/>
        </w:rPr>
        <w:t xml:space="preserve">was </w:t>
      </w:r>
      <w:r w:rsidR="00777569" w:rsidRPr="00813D19">
        <w:rPr>
          <w:lang w:val="en-US"/>
        </w:rPr>
        <w:t>required on: how the newly acquired knowledge and skills of trained practitioners w</w:t>
      </w:r>
      <w:r w:rsidR="00DE57F2">
        <w:rPr>
          <w:lang w:val="en-US"/>
        </w:rPr>
        <w:t>ould</w:t>
      </w:r>
      <w:r w:rsidR="00777569" w:rsidRPr="00813D19">
        <w:rPr>
          <w:lang w:val="en-US"/>
        </w:rPr>
        <w:t xml:space="preserve"> be utilized; how the entire knowledge system w</w:t>
      </w:r>
      <w:r w:rsidR="00DE57F2">
        <w:rPr>
          <w:lang w:val="en-US"/>
        </w:rPr>
        <w:t>ould</w:t>
      </w:r>
      <w:r w:rsidR="00777569" w:rsidRPr="00813D19">
        <w:rPr>
          <w:lang w:val="en-US"/>
        </w:rPr>
        <w:t xml:space="preserve"> be safeguarded, as the skills of the water measurers </w:t>
      </w:r>
      <w:r w:rsidR="00DE57F2">
        <w:rPr>
          <w:lang w:val="en-US"/>
        </w:rPr>
        <w:t>were</w:t>
      </w:r>
      <w:r w:rsidR="00DE57F2" w:rsidRPr="00813D19">
        <w:rPr>
          <w:lang w:val="en-US"/>
        </w:rPr>
        <w:t xml:space="preserve"> </w:t>
      </w:r>
      <w:r w:rsidR="00777569" w:rsidRPr="00813D19">
        <w:rPr>
          <w:lang w:val="en-US"/>
        </w:rPr>
        <w:t>not independent of the broader social context of this element; the financing for the safeguarding plan; the commitment of the State Party</w:t>
      </w:r>
      <w:r w:rsidR="00CB28F1" w:rsidRPr="00813D19">
        <w:rPr>
          <w:lang w:val="en-US"/>
        </w:rPr>
        <w:t>;</w:t>
      </w:r>
      <w:r w:rsidR="00777569" w:rsidRPr="00813D19">
        <w:rPr>
          <w:lang w:val="en-US"/>
        </w:rPr>
        <w:t xml:space="preserve"> and the objectives and expected impacts of the proposed safeguarding measures.</w:t>
      </w:r>
      <w:r w:rsidRPr="00813D19">
        <w:rPr>
          <w:lang w:val="en-US"/>
        </w:rPr>
        <w:t xml:space="preserve"> T</w:t>
      </w:r>
      <w:r w:rsidR="00777569" w:rsidRPr="00813D19">
        <w:rPr>
          <w:lang w:val="en-US"/>
        </w:rPr>
        <w:t xml:space="preserve">he Evaluation Body </w:t>
      </w:r>
      <w:r w:rsidRPr="00813D19">
        <w:rPr>
          <w:lang w:val="en-US"/>
        </w:rPr>
        <w:t>thus recommended that the Committee refer</w:t>
      </w:r>
      <w:r w:rsidR="00777569" w:rsidRPr="00813D19">
        <w:rPr>
          <w:lang w:val="en-US"/>
        </w:rPr>
        <w:t xml:space="preserve"> Knowledge and skills of the water measurers of the foggaras or water bailiffs of Touat and Tidikelt to the submitting State.</w:t>
      </w:r>
    </w:p>
    <w:p w14:paraId="461AEC98" w14:textId="60E80F6A" w:rsidR="00F0500B" w:rsidRPr="00813D19" w:rsidRDefault="00F0500B" w:rsidP="003569F5">
      <w:pPr>
        <w:pStyle w:val="Orateurengris"/>
        <w:spacing w:before="120"/>
        <w:ind w:left="709" w:hanging="709"/>
        <w:rPr>
          <w:lang w:val="en-US"/>
        </w:rPr>
      </w:pPr>
      <w:r w:rsidRPr="00813D19">
        <w:rPr>
          <w:lang w:val="en-US"/>
        </w:rPr>
        <w:t xml:space="preserve">The </w:t>
      </w:r>
      <w:r w:rsidRPr="00813D19">
        <w:rPr>
          <w:b/>
          <w:lang w:val="en-US"/>
        </w:rPr>
        <w:t>Chairperson</w:t>
      </w:r>
      <w:r w:rsidR="00CB28F1" w:rsidRPr="00813D19">
        <w:rPr>
          <w:lang w:val="en-US"/>
        </w:rPr>
        <w:t xml:space="preserve"> </w:t>
      </w:r>
      <w:r w:rsidR="00E00839" w:rsidRPr="00813D19">
        <w:rPr>
          <w:lang w:val="en-US"/>
        </w:rPr>
        <w:t>noted</w:t>
      </w:r>
      <w:r w:rsidRPr="00813D19">
        <w:rPr>
          <w:lang w:val="en-US"/>
        </w:rPr>
        <w:t xml:space="preserve"> </w:t>
      </w:r>
      <w:r w:rsidR="00E00839" w:rsidRPr="00813D19">
        <w:rPr>
          <w:lang w:val="en-US"/>
        </w:rPr>
        <w:t xml:space="preserve">that an </w:t>
      </w:r>
      <w:r w:rsidR="00CB28F1" w:rsidRPr="00813D19">
        <w:rPr>
          <w:lang w:val="en-US"/>
        </w:rPr>
        <w:t>amendment</w:t>
      </w:r>
      <w:r w:rsidR="00E00839" w:rsidRPr="00813D19">
        <w:rPr>
          <w:lang w:val="en-US"/>
        </w:rPr>
        <w:t xml:space="preserve"> had been received for this nomination</w:t>
      </w:r>
      <w:r w:rsidR="00CB28F1" w:rsidRPr="00813D19">
        <w:rPr>
          <w:lang w:val="en-US"/>
        </w:rPr>
        <w:t xml:space="preserve">, opening </w:t>
      </w:r>
      <w:r w:rsidRPr="00813D19">
        <w:rPr>
          <w:lang w:val="en-US"/>
        </w:rPr>
        <w:t xml:space="preserve">the floor </w:t>
      </w:r>
      <w:r w:rsidR="003C6DA1" w:rsidRPr="00813D19">
        <w:rPr>
          <w:lang w:val="en-US"/>
        </w:rPr>
        <w:t>for</w:t>
      </w:r>
      <w:r w:rsidRPr="00813D19">
        <w:rPr>
          <w:lang w:val="en-US"/>
        </w:rPr>
        <w:t xml:space="preserve"> comments.</w:t>
      </w:r>
    </w:p>
    <w:p w14:paraId="69B899B3" w14:textId="7F59540E" w:rsidR="004E6B83" w:rsidRPr="00813D19" w:rsidRDefault="00F0500B" w:rsidP="003569F5">
      <w:pPr>
        <w:pStyle w:val="Orateurengris"/>
        <w:spacing w:before="120"/>
        <w:ind w:left="709" w:hanging="709"/>
        <w:rPr>
          <w:lang w:val="en-US"/>
        </w:rPr>
      </w:pPr>
      <w:r w:rsidRPr="00813D19">
        <w:rPr>
          <w:lang w:val="en-US"/>
        </w:rPr>
        <w:t xml:space="preserve">The </w:t>
      </w:r>
      <w:r w:rsidRPr="00813D19">
        <w:rPr>
          <w:b/>
          <w:lang w:val="en-US"/>
        </w:rPr>
        <w:t>delegation of Palestine</w:t>
      </w:r>
      <w:r w:rsidRPr="00813D19">
        <w:rPr>
          <w:lang w:val="en-US"/>
        </w:rPr>
        <w:t xml:space="preserve"> </w:t>
      </w:r>
      <w:r w:rsidR="002559A3" w:rsidRPr="00813D19">
        <w:rPr>
          <w:bCs/>
          <w:lang w:val="en-US"/>
        </w:rPr>
        <w:t>thank</w:t>
      </w:r>
      <w:r w:rsidR="004E6B83" w:rsidRPr="00813D19">
        <w:rPr>
          <w:bCs/>
          <w:lang w:val="en-US"/>
        </w:rPr>
        <w:t>ed</w:t>
      </w:r>
      <w:r w:rsidR="002559A3" w:rsidRPr="00813D19">
        <w:rPr>
          <w:bCs/>
          <w:lang w:val="en-US"/>
        </w:rPr>
        <w:t xml:space="preserve"> the Evaluation Body and the State Party for paying attention to this important element</w:t>
      </w:r>
      <w:r w:rsidR="00316D51" w:rsidRPr="00813D19">
        <w:rPr>
          <w:bCs/>
          <w:lang w:val="en-US"/>
        </w:rPr>
        <w:t xml:space="preserve"> related to water</w:t>
      </w:r>
      <w:r w:rsidR="002559A3" w:rsidRPr="00813D19">
        <w:rPr>
          <w:bCs/>
          <w:lang w:val="en-US"/>
        </w:rPr>
        <w:t xml:space="preserve">, which </w:t>
      </w:r>
      <w:r w:rsidR="004E6B83" w:rsidRPr="00813D19">
        <w:rPr>
          <w:bCs/>
          <w:lang w:val="en-US"/>
        </w:rPr>
        <w:t xml:space="preserve">was indeed at </w:t>
      </w:r>
      <w:r w:rsidR="002559A3" w:rsidRPr="00813D19">
        <w:rPr>
          <w:bCs/>
          <w:lang w:val="en-US"/>
        </w:rPr>
        <w:t xml:space="preserve">risk. </w:t>
      </w:r>
      <w:r w:rsidR="00316D51" w:rsidRPr="00813D19">
        <w:rPr>
          <w:bCs/>
          <w:lang w:val="en-US"/>
        </w:rPr>
        <w:t>W</w:t>
      </w:r>
      <w:r w:rsidR="002559A3" w:rsidRPr="00813D19">
        <w:rPr>
          <w:bCs/>
          <w:lang w:val="en-US"/>
        </w:rPr>
        <w:t>ater is the lifeline of life itself</w:t>
      </w:r>
      <w:r w:rsidR="00316D51" w:rsidRPr="00813D19">
        <w:rPr>
          <w:bCs/>
          <w:lang w:val="en-US"/>
        </w:rPr>
        <w:t>,</w:t>
      </w:r>
      <w:r w:rsidR="002559A3" w:rsidRPr="00813D19">
        <w:rPr>
          <w:bCs/>
          <w:lang w:val="en-US"/>
        </w:rPr>
        <w:t xml:space="preserve"> in Algeria and all over the world. </w:t>
      </w:r>
      <w:r w:rsidR="004E6B83" w:rsidRPr="00813D19">
        <w:rPr>
          <w:bCs/>
          <w:lang w:val="en-US"/>
        </w:rPr>
        <w:t>Noting that R.3 had not been met, the delegation ask</w:t>
      </w:r>
      <w:r w:rsidR="00316D51" w:rsidRPr="00813D19">
        <w:rPr>
          <w:bCs/>
          <w:lang w:val="en-US"/>
        </w:rPr>
        <w:t>ed</w:t>
      </w:r>
      <w:r w:rsidR="004E6B83" w:rsidRPr="00813D19">
        <w:rPr>
          <w:bCs/>
          <w:lang w:val="en-US"/>
        </w:rPr>
        <w:t xml:space="preserve"> the State Party why earlier safeguarding </w:t>
      </w:r>
      <w:r w:rsidR="00DE57F2">
        <w:rPr>
          <w:bCs/>
          <w:lang w:val="en-US"/>
        </w:rPr>
        <w:t>had</w:t>
      </w:r>
      <w:r w:rsidR="004E6B83" w:rsidRPr="00813D19">
        <w:rPr>
          <w:bCs/>
          <w:lang w:val="en-US"/>
        </w:rPr>
        <w:t xml:space="preserve"> focused on infrastructure, and </w:t>
      </w:r>
      <w:r w:rsidR="00316D51" w:rsidRPr="00813D19">
        <w:rPr>
          <w:bCs/>
          <w:lang w:val="en-US"/>
        </w:rPr>
        <w:t>also sought clarity</w:t>
      </w:r>
      <w:r w:rsidR="004E6B83" w:rsidRPr="00813D19">
        <w:rPr>
          <w:bCs/>
          <w:lang w:val="en-US"/>
        </w:rPr>
        <w:t xml:space="preserve"> on the financing of the safeguarding plan as this was </w:t>
      </w:r>
      <w:r w:rsidR="00316D51" w:rsidRPr="00813D19">
        <w:rPr>
          <w:bCs/>
          <w:lang w:val="en-US"/>
        </w:rPr>
        <w:t xml:space="preserve">deemed </w:t>
      </w:r>
      <w:r w:rsidR="00E41386">
        <w:rPr>
          <w:bCs/>
          <w:lang w:val="en-US"/>
        </w:rPr>
        <w:t>unclear.</w:t>
      </w:r>
    </w:p>
    <w:p w14:paraId="15E0FBCB" w14:textId="67A27C15" w:rsidR="004F2E61" w:rsidRPr="00813D19" w:rsidRDefault="004F2E61" w:rsidP="003569F5">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B63D9E" w:rsidRPr="00813D19">
        <w:rPr>
          <w:lang w:val="en-US"/>
        </w:rPr>
        <w:t>invited Algeria to respond.</w:t>
      </w:r>
    </w:p>
    <w:p w14:paraId="6F88B181" w14:textId="1BE99277" w:rsidR="004F2E61" w:rsidRPr="00813D19" w:rsidRDefault="004F2E61" w:rsidP="003569F5">
      <w:pPr>
        <w:pStyle w:val="Orateurengris"/>
        <w:spacing w:before="120"/>
        <w:ind w:left="709" w:hanging="709"/>
        <w:rPr>
          <w:lang w:val="en-US"/>
        </w:rPr>
      </w:pPr>
      <w:r w:rsidRPr="00813D19">
        <w:rPr>
          <w:lang w:val="en-US"/>
        </w:rPr>
        <w:t xml:space="preserve">The </w:t>
      </w:r>
      <w:r w:rsidRPr="00813D19">
        <w:rPr>
          <w:b/>
          <w:lang w:val="en-US"/>
        </w:rPr>
        <w:t xml:space="preserve">delegation of Algeria </w:t>
      </w:r>
      <w:r w:rsidR="00B63D9E" w:rsidRPr="00813D19">
        <w:rPr>
          <w:lang w:val="en-US"/>
        </w:rPr>
        <w:t>asked whether it was possible to group together two or three questions so as to avoid repetitions</w:t>
      </w:r>
      <w:r w:rsidR="00316D51" w:rsidRPr="00813D19">
        <w:rPr>
          <w:lang w:val="en-US"/>
        </w:rPr>
        <w:t>, while</w:t>
      </w:r>
      <w:r w:rsidR="00B63D9E" w:rsidRPr="00813D19">
        <w:rPr>
          <w:lang w:val="en-US"/>
        </w:rPr>
        <w:t xml:space="preserve"> respond</w:t>
      </w:r>
      <w:r w:rsidR="00316D51" w:rsidRPr="00813D19">
        <w:rPr>
          <w:lang w:val="en-US"/>
        </w:rPr>
        <w:t>ing</w:t>
      </w:r>
      <w:r w:rsidR="00B63D9E" w:rsidRPr="00813D19">
        <w:rPr>
          <w:lang w:val="en-US"/>
        </w:rPr>
        <w:t xml:space="preserve"> </w:t>
      </w:r>
      <w:r w:rsidR="00316D51" w:rsidRPr="00813D19">
        <w:rPr>
          <w:lang w:val="en-US"/>
        </w:rPr>
        <w:t xml:space="preserve">to all the questions at </w:t>
      </w:r>
      <w:r w:rsidR="00B63D9E" w:rsidRPr="00813D19">
        <w:rPr>
          <w:lang w:val="en-US"/>
        </w:rPr>
        <w:t>the same time.</w:t>
      </w:r>
    </w:p>
    <w:p w14:paraId="0B281783" w14:textId="5E886E47" w:rsidR="004F2E61" w:rsidRPr="00813D19" w:rsidRDefault="004F2E61" w:rsidP="00B870DF">
      <w:pPr>
        <w:pStyle w:val="Orateurengris"/>
        <w:spacing w:before="120"/>
        <w:ind w:left="709" w:hanging="709"/>
        <w:rPr>
          <w:lang w:val="en-US"/>
        </w:rPr>
      </w:pPr>
      <w:r w:rsidRPr="00813D19">
        <w:rPr>
          <w:lang w:val="en-US"/>
        </w:rPr>
        <w:t xml:space="preserve">The </w:t>
      </w:r>
      <w:r w:rsidRPr="00813D19">
        <w:rPr>
          <w:b/>
          <w:lang w:val="en-US"/>
        </w:rPr>
        <w:t>delegation of Kuwait</w:t>
      </w:r>
      <w:r w:rsidR="002559A3" w:rsidRPr="00813D19">
        <w:rPr>
          <w:b/>
          <w:lang w:val="en-US"/>
        </w:rPr>
        <w:t xml:space="preserve"> </w:t>
      </w:r>
      <w:r w:rsidR="002559A3" w:rsidRPr="00813D19">
        <w:rPr>
          <w:lang w:val="en-US"/>
        </w:rPr>
        <w:t>support</w:t>
      </w:r>
      <w:r w:rsidR="00542332" w:rsidRPr="00813D19">
        <w:rPr>
          <w:lang w:val="en-US"/>
        </w:rPr>
        <w:t>ed</w:t>
      </w:r>
      <w:r w:rsidR="002559A3" w:rsidRPr="00813D19">
        <w:rPr>
          <w:lang w:val="en-US"/>
        </w:rPr>
        <w:t xml:space="preserve"> the draft amendment submitted by Palestine. As </w:t>
      </w:r>
      <w:r w:rsidR="00495144" w:rsidRPr="00813D19">
        <w:rPr>
          <w:lang w:val="en-US"/>
        </w:rPr>
        <w:t xml:space="preserve">explained by </w:t>
      </w:r>
      <w:r w:rsidR="002559A3" w:rsidRPr="00813D19">
        <w:rPr>
          <w:lang w:val="en-US"/>
        </w:rPr>
        <w:t>Palestine</w:t>
      </w:r>
      <w:r w:rsidR="00495144" w:rsidRPr="00813D19">
        <w:rPr>
          <w:lang w:val="en-US"/>
        </w:rPr>
        <w:t>,</w:t>
      </w:r>
      <w:r w:rsidR="002559A3" w:rsidRPr="00813D19">
        <w:rPr>
          <w:lang w:val="en-US"/>
        </w:rPr>
        <w:t xml:space="preserve"> water is a major element</w:t>
      </w:r>
      <w:r w:rsidR="00495144" w:rsidRPr="00813D19">
        <w:rPr>
          <w:lang w:val="en-US"/>
        </w:rPr>
        <w:t>,</w:t>
      </w:r>
      <w:r w:rsidR="002559A3" w:rsidRPr="00813D19">
        <w:rPr>
          <w:lang w:val="en-US"/>
        </w:rPr>
        <w:t xml:space="preserve"> especially in a region where </w:t>
      </w:r>
      <w:r w:rsidR="00495144" w:rsidRPr="00813D19">
        <w:rPr>
          <w:lang w:val="en-US"/>
        </w:rPr>
        <w:t xml:space="preserve">there is a </w:t>
      </w:r>
      <w:r w:rsidR="002559A3" w:rsidRPr="00813D19">
        <w:rPr>
          <w:lang w:val="en-US"/>
        </w:rPr>
        <w:t>lack of water</w:t>
      </w:r>
      <w:r w:rsidR="00495144" w:rsidRPr="00813D19">
        <w:rPr>
          <w:lang w:val="en-US"/>
        </w:rPr>
        <w:t xml:space="preserve">. </w:t>
      </w:r>
      <w:r w:rsidR="002559A3" w:rsidRPr="00992896">
        <w:rPr>
          <w:lang w:val="en-US"/>
        </w:rPr>
        <w:t xml:space="preserve">The </w:t>
      </w:r>
      <w:r w:rsidR="00B870DF" w:rsidRPr="003221D5">
        <w:rPr>
          <w:lang w:val="en-US"/>
        </w:rPr>
        <w:t xml:space="preserve">element </w:t>
      </w:r>
      <w:r w:rsidR="00495144" w:rsidRPr="003221D5">
        <w:rPr>
          <w:lang w:val="en-US"/>
        </w:rPr>
        <w:t xml:space="preserve">had </w:t>
      </w:r>
      <w:r w:rsidR="002559A3" w:rsidRPr="003221D5">
        <w:rPr>
          <w:lang w:val="en-US"/>
        </w:rPr>
        <w:t>been preserved for so many years</w:t>
      </w:r>
      <w:r w:rsidR="002559A3" w:rsidRPr="00813D19">
        <w:rPr>
          <w:lang w:val="en-US"/>
        </w:rPr>
        <w:t xml:space="preserve"> and </w:t>
      </w:r>
      <w:r w:rsidR="00F10BBC">
        <w:rPr>
          <w:lang w:val="en-US"/>
        </w:rPr>
        <w:t xml:space="preserve">it believed </w:t>
      </w:r>
      <w:r w:rsidR="00707C34" w:rsidRPr="00813D19">
        <w:rPr>
          <w:lang w:val="en-US"/>
        </w:rPr>
        <w:t xml:space="preserve">the Committee had </w:t>
      </w:r>
      <w:r w:rsidR="002559A3" w:rsidRPr="00813D19">
        <w:rPr>
          <w:lang w:val="en-US"/>
        </w:rPr>
        <w:t xml:space="preserve">a moral responsibility to </w:t>
      </w:r>
      <w:r w:rsidR="00707C34" w:rsidRPr="00813D19">
        <w:rPr>
          <w:lang w:val="en-US"/>
        </w:rPr>
        <w:t>preserve</w:t>
      </w:r>
      <w:r w:rsidR="002559A3" w:rsidRPr="00813D19">
        <w:rPr>
          <w:lang w:val="en-US"/>
        </w:rPr>
        <w:t xml:space="preserve"> these water measure</w:t>
      </w:r>
      <w:r w:rsidR="00707C34" w:rsidRPr="00813D19">
        <w:rPr>
          <w:lang w:val="en-US"/>
        </w:rPr>
        <w:t>r</w:t>
      </w:r>
      <w:r w:rsidR="002559A3" w:rsidRPr="00813D19">
        <w:rPr>
          <w:lang w:val="en-US"/>
        </w:rPr>
        <w:t xml:space="preserve">s and </w:t>
      </w:r>
      <w:r w:rsidR="00707C34" w:rsidRPr="00813D19">
        <w:rPr>
          <w:lang w:val="en-US"/>
        </w:rPr>
        <w:t xml:space="preserve">the </w:t>
      </w:r>
      <w:r w:rsidR="002559A3" w:rsidRPr="00813D19">
        <w:rPr>
          <w:lang w:val="en-US"/>
        </w:rPr>
        <w:t xml:space="preserve">water skills </w:t>
      </w:r>
      <w:r w:rsidR="00707C34" w:rsidRPr="00813D19">
        <w:rPr>
          <w:lang w:val="en-US"/>
        </w:rPr>
        <w:t xml:space="preserve">for </w:t>
      </w:r>
      <w:r w:rsidR="002559A3" w:rsidRPr="00813D19">
        <w:rPr>
          <w:lang w:val="en-US"/>
        </w:rPr>
        <w:t xml:space="preserve">the </w:t>
      </w:r>
      <w:r w:rsidR="00707C34" w:rsidRPr="00813D19">
        <w:rPr>
          <w:lang w:val="en-US"/>
        </w:rPr>
        <w:t>community</w:t>
      </w:r>
      <w:r w:rsidR="00B878AD" w:rsidRPr="00813D19">
        <w:rPr>
          <w:lang w:val="en-US"/>
        </w:rPr>
        <w:t xml:space="preserve"> now and in the </w:t>
      </w:r>
      <w:r w:rsidR="002559A3" w:rsidRPr="00813D19">
        <w:rPr>
          <w:lang w:val="en-US"/>
        </w:rPr>
        <w:t>future</w:t>
      </w:r>
      <w:r w:rsidR="00B878AD" w:rsidRPr="00813D19">
        <w:rPr>
          <w:lang w:val="en-US"/>
        </w:rPr>
        <w:t>, and</w:t>
      </w:r>
      <w:r w:rsidR="002559A3" w:rsidRPr="00813D19">
        <w:rPr>
          <w:lang w:val="en-US"/>
        </w:rPr>
        <w:t xml:space="preserve"> to appreciate </w:t>
      </w:r>
      <w:r w:rsidR="00B878AD" w:rsidRPr="00813D19">
        <w:rPr>
          <w:lang w:val="en-US"/>
        </w:rPr>
        <w:t>and safeguard this</w:t>
      </w:r>
      <w:r w:rsidR="002559A3" w:rsidRPr="00813D19">
        <w:rPr>
          <w:lang w:val="en-US"/>
        </w:rPr>
        <w:t xml:space="preserve"> water</w:t>
      </w:r>
      <w:r w:rsidR="00707C34" w:rsidRPr="00813D19">
        <w:rPr>
          <w:lang w:val="en-US"/>
        </w:rPr>
        <w:t xml:space="preserve"> system in </w:t>
      </w:r>
      <w:r w:rsidR="00B878AD" w:rsidRPr="00813D19">
        <w:rPr>
          <w:lang w:val="en-US"/>
        </w:rPr>
        <w:t xml:space="preserve">a </w:t>
      </w:r>
      <w:r w:rsidR="002559A3" w:rsidRPr="00813D19">
        <w:rPr>
          <w:lang w:val="en-US"/>
        </w:rPr>
        <w:t xml:space="preserve">region </w:t>
      </w:r>
      <w:r w:rsidR="00707C34" w:rsidRPr="00813D19">
        <w:rPr>
          <w:lang w:val="en-US"/>
        </w:rPr>
        <w:t xml:space="preserve">with low </w:t>
      </w:r>
      <w:r w:rsidR="002559A3" w:rsidRPr="00813D19">
        <w:rPr>
          <w:lang w:val="en-US"/>
        </w:rPr>
        <w:t xml:space="preserve">water resources. </w:t>
      </w:r>
      <w:r w:rsidR="00B878AD" w:rsidRPr="00813D19">
        <w:rPr>
          <w:lang w:val="en-US"/>
        </w:rPr>
        <w:t xml:space="preserve">It also </w:t>
      </w:r>
      <w:r w:rsidR="00707C34" w:rsidRPr="00813D19">
        <w:rPr>
          <w:lang w:val="en-US"/>
        </w:rPr>
        <w:t xml:space="preserve">wished to </w:t>
      </w:r>
      <w:r w:rsidR="00B878AD" w:rsidRPr="00813D19">
        <w:rPr>
          <w:lang w:val="en-US"/>
        </w:rPr>
        <w:t xml:space="preserve">hear </w:t>
      </w:r>
      <w:r w:rsidR="00707C34" w:rsidRPr="00813D19">
        <w:rPr>
          <w:lang w:val="en-US"/>
        </w:rPr>
        <w:t>from</w:t>
      </w:r>
      <w:r w:rsidR="00B878AD" w:rsidRPr="00813D19">
        <w:rPr>
          <w:lang w:val="en-US"/>
        </w:rPr>
        <w:t xml:space="preserve"> Algeria</w:t>
      </w:r>
      <w:r w:rsidR="00E41386">
        <w:rPr>
          <w:lang w:val="en-US"/>
        </w:rPr>
        <w:t>.</w:t>
      </w:r>
    </w:p>
    <w:p w14:paraId="55DD419B" w14:textId="6E193DF7" w:rsidR="00C44EC3" w:rsidRPr="00813D19" w:rsidRDefault="00C44EC3" w:rsidP="003569F5">
      <w:pPr>
        <w:pStyle w:val="Orateurengris"/>
        <w:spacing w:before="120"/>
        <w:ind w:left="709" w:hanging="709"/>
        <w:rPr>
          <w:lang w:val="en-US"/>
        </w:rPr>
      </w:pPr>
      <w:r w:rsidRPr="00813D19">
        <w:rPr>
          <w:lang w:val="en-US"/>
        </w:rPr>
        <w:t xml:space="preserve">The </w:t>
      </w:r>
      <w:r w:rsidRPr="00813D19">
        <w:rPr>
          <w:b/>
          <w:lang w:val="en-US"/>
        </w:rPr>
        <w:t>delegation of the Philippines</w:t>
      </w:r>
      <w:r w:rsidR="003B2715" w:rsidRPr="00813D19">
        <w:rPr>
          <w:b/>
          <w:lang w:val="en-US"/>
        </w:rPr>
        <w:t xml:space="preserve"> </w:t>
      </w:r>
      <w:r w:rsidR="003B2715" w:rsidRPr="00813D19">
        <w:rPr>
          <w:lang w:val="en-US"/>
        </w:rPr>
        <w:t>note</w:t>
      </w:r>
      <w:r w:rsidR="00707C34" w:rsidRPr="00813D19">
        <w:rPr>
          <w:lang w:val="en-US"/>
        </w:rPr>
        <w:t>d</w:t>
      </w:r>
      <w:r w:rsidR="003B2715" w:rsidRPr="00813D19">
        <w:rPr>
          <w:lang w:val="en-US"/>
        </w:rPr>
        <w:t xml:space="preserve"> that this nomination </w:t>
      </w:r>
      <w:r w:rsidR="00DE57F2">
        <w:rPr>
          <w:lang w:val="en-US"/>
        </w:rPr>
        <w:t>had</w:t>
      </w:r>
      <w:r w:rsidR="00DE57F2" w:rsidRPr="00813D19">
        <w:rPr>
          <w:lang w:val="en-US"/>
        </w:rPr>
        <w:t xml:space="preserve"> </w:t>
      </w:r>
      <w:r w:rsidR="003B2715" w:rsidRPr="00813D19">
        <w:rPr>
          <w:lang w:val="en-US"/>
        </w:rPr>
        <w:t xml:space="preserve">previously </w:t>
      </w:r>
      <w:r w:rsidR="00DE57F2">
        <w:rPr>
          <w:lang w:val="en-US"/>
        </w:rPr>
        <w:t xml:space="preserve">been </w:t>
      </w:r>
      <w:r w:rsidR="003B2715" w:rsidRPr="00813D19">
        <w:rPr>
          <w:lang w:val="en-US"/>
        </w:rPr>
        <w:t xml:space="preserve">referred and that the State Party </w:t>
      </w:r>
      <w:r w:rsidR="00707C34" w:rsidRPr="00813D19">
        <w:rPr>
          <w:lang w:val="en-US"/>
        </w:rPr>
        <w:t xml:space="preserve">had </w:t>
      </w:r>
      <w:r w:rsidR="003B2715" w:rsidRPr="00813D19">
        <w:rPr>
          <w:lang w:val="en-US"/>
        </w:rPr>
        <w:t xml:space="preserve">resubmitted </w:t>
      </w:r>
      <w:r w:rsidR="00707C34" w:rsidRPr="00813D19">
        <w:rPr>
          <w:lang w:val="en-US"/>
        </w:rPr>
        <w:t>it</w:t>
      </w:r>
      <w:r w:rsidR="00DE57F2">
        <w:rPr>
          <w:lang w:val="en-US"/>
        </w:rPr>
        <w:t>,</w:t>
      </w:r>
      <w:r w:rsidR="00707C34" w:rsidRPr="00813D19">
        <w:rPr>
          <w:lang w:val="en-US"/>
        </w:rPr>
        <w:t xml:space="preserve"> </w:t>
      </w:r>
      <w:r w:rsidR="003B2715" w:rsidRPr="00813D19">
        <w:rPr>
          <w:lang w:val="en-US"/>
        </w:rPr>
        <w:t xml:space="preserve">taking into account the previous assessment of the Evaluation Body. As a nomination </w:t>
      </w:r>
      <w:r w:rsidR="00B878AD" w:rsidRPr="00813D19">
        <w:rPr>
          <w:lang w:val="en-US"/>
        </w:rPr>
        <w:t>to</w:t>
      </w:r>
      <w:r w:rsidR="003B2715" w:rsidRPr="00813D19">
        <w:rPr>
          <w:lang w:val="en-US"/>
        </w:rPr>
        <w:t xml:space="preserve"> the Urgent Safeguarding List</w:t>
      </w:r>
      <w:r w:rsidR="00707C34" w:rsidRPr="00813D19">
        <w:rPr>
          <w:lang w:val="en-US"/>
        </w:rPr>
        <w:t xml:space="preserve">, the delegation </w:t>
      </w:r>
      <w:r w:rsidR="003B2715" w:rsidRPr="00813D19">
        <w:rPr>
          <w:lang w:val="en-US"/>
        </w:rPr>
        <w:t>believe</w:t>
      </w:r>
      <w:r w:rsidR="00707C34" w:rsidRPr="00813D19">
        <w:rPr>
          <w:lang w:val="en-US"/>
        </w:rPr>
        <w:t>d</w:t>
      </w:r>
      <w:r w:rsidR="003B2715" w:rsidRPr="00813D19">
        <w:rPr>
          <w:lang w:val="en-US"/>
        </w:rPr>
        <w:t xml:space="preserve"> </w:t>
      </w:r>
      <w:r w:rsidR="00707C34" w:rsidRPr="00813D19">
        <w:rPr>
          <w:lang w:val="en-US"/>
        </w:rPr>
        <w:t xml:space="preserve">that </w:t>
      </w:r>
      <w:r w:rsidR="003B2715" w:rsidRPr="00813D19">
        <w:rPr>
          <w:lang w:val="en-US"/>
        </w:rPr>
        <w:t>the Committee should take an inclusive approach</w:t>
      </w:r>
      <w:r w:rsidR="00707C34" w:rsidRPr="00813D19">
        <w:rPr>
          <w:lang w:val="en-US"/>
        </w:rPr>
        <w:t>,</w:t>
      </w:r>
      <w:r w:rsidR="003B2715" w:rsidRPr="00813D19">
        <w:rPr>
          <w:lang w:val="en-US"/>
        </w:rPr>
        <w:t xml:space="preserve"> </w:t>
      </w:r>
      <w:r w:rsidR="00B37F11" w:rsidRPr="00813D19">
        <w:rPr>
          <w:lang w:val="en-US"/>
        </w:rPr>
        <w:t xml:space="preserve">as </w:t>
      </w:r>
      <w:r w:rsidR="003B2715" w:rsidRPr="00813D19">
        <w:rPr>
          <w:lang w:val="en-US"/>
        </w:rPr>
        <w:t xml:space="preserve">the element </w:t>
      </w:r>
      <w:r w:rsidR="00B37F11" w:rsidRPr="00813D19">
        <w:rPr>
          <w:lang w:val="en-US"/>
        </w:rPr>
        <w:t xml:space="preserve">needed </w:t>
      </w:r>
      <w:r w:rsidR="00B878AD" w:rsidRPr="00813D19">
        <w:rPr>
          <w:lang w:val="en-US"/>
        </w:rPr>
        <w:t>support</w:t>
      </w:r>
      <w:r w:rsidR="003B2715" w:rsidRPr="00813D19">
        <w:rPr>
          <w:lang w:val="en-US"/>
        </w:rPr>
        <w:t>. In this regard</w:t>
      </w:r>
      <w:r w:rsidR="00707C34" w:rsidRPr="00813D19">
        <w:rPr>
          <w:lang w:val="en-US"/>
        </w:rPr>
        <w:t>,</w:t>
      </w:r>
      <w:r w:rsidR="003B2715" w:rsidRPr="00813D19">
        <w:rPr>
          <w:lang w:val="en-US"/>
        </w:rPr>
        <w:t xml:space="preserve"> the safeguarding plan presented by the State Party c</w:t>
      </w:r>
      <w:r w:rsidR="00DE57F2">
        <w:rPr>
          <w:lang w:val="en-US"/>
        </w:rPr>
        <w:t>ould</w:t>
      </w:r>
      <w:r w:rsidR="003B2715" w:rsidRPr="00813D19">
        <w:rPr>
          <w:lang w:val="en-US"/>
        </w:rPr>
        <w:t xml:space="preserve"> help promote the viability </w:t>
      </w:r>
      <w:r w:rsidR="00B878AD" w:rsidRPr="00813D19">
        <w:rPr>
          <w:lang w:val="en-US"/>
        </w:rPr>
        <w:t xml:space="preserve">and future transmission </w:t>
      </w:r>
      <w:r w:rsidR="00E30EC2">
        <w:rPr>
          <w:lang w:val="en-US"/>
        </w:rPr>
        <w:t xml:space="preserve">of the element </w:t>
      </w:r>
      <w:r w:rsidR="00B37F11" w:rsidRPr="00813D19">
        <w:rPr>
          <w:lang w:val="en-US"/>
        </w:rPr>
        <w:t xml:space="preserve">as </w:t>
      </w:r>
      <w:r w:rsidR="003B2715" w:rsidRPr="00813D19">
        <w:rPr>
          <w:lang w:val="en-US"/>
        </w:rPr>
        <w:t>it involve</w:t>
      </w:r>
      <w:r w:rsidR="00E30EC2">
        <w:rPr>
          <w:lang w:val="en-US"/>
        </w:rPr>
        <w:t xml:space="preserve">d </w:t>
      </w:r>
      <w:r w:rsidR="003B2715" w:rsidRPr="00813D19">
        <w:rPr>
          <w:lang w:val="en-US"/>
        </w:rPr>
        <w:t xml:space="preserve">the creation of a steering committee that </w:t>
      </w:r>
      <w:r w:rsidR="00E30EC2" w:rsidRPr="00813D19">
        <w:rPr>
          <w:lang w:val="en-US"/>
        </w:rPr>
        <w:t>include</w:t>
      </w:r>
      <w:r w:rsidR="00E30EC2">
        <w:rPr>
          <w:lang w:val="en-US"/>
        </w:rPr>
        <w:t>d</w:t>
      </w:r>
      <w:r w:rsidR="00E30EC2" w:rsidRPr="00813D19">
        <w:rPr>
          <w:lang w:val="en-US"/>
        </w:rPr>
        <w:t xml:space="preserve"> </w:t>
      </w:r>
      <w:r w:rsidR="00B37F11" w:rsidRPr="00813D19">
        <w:rPr>
          <w:lang w:val="en-US"/>
        </w:rPr>
        <w:t xml:space="preserve">the </w:t>
      </w:r>
      <w:r w:rsidR="003B2715" w:rsidRPr="00813D19">
        <w:rPr>
          <w:lang w:val="en-US"/>
        </w:rPr>
        <w:t>main actors dealing with water and land resource management</w:t>
      </w:r>
      <w:r w:rsidR="00707C34" w:rsidRPr="00813D19">
        <w:rPr>
          <w:lang w:val="en-US"/>
        </w:rPr>
        <w:t>,</w:t>
      </w:r>
      <w:r w:rsidR="003B2715" w:rsidRPr="00813D19">
        <w:rPr>
          <w:lang w:val="en-US"/>
        </w:rPr>
        <w:t xml:space="preserve"> including </w:t>
      </w:r>
      <w:r w:rsidR="00B37F11" w:rsidRPr="00813D19">
        <w:rPr>
          <w:lang w:val="en-US"/>
        </w:rPr>
        <w:t>from the G</w:t>
      </w:r>
      <w:r w:rsidR="003B2715" w:rsidRPr="00813D19">
        <w:rPr>
          <w:lang w:val="en-US"/>
        </w:rPr>
        <w:t xml:space="preserve">overnment. </w:t>
      </w:r>
      <w:r w:rsidR="00707C34" w:rsidRPr="00813D19">
        <w:rPr>
          <w:lang w:val="en-US"/>
        </w:rPr>
        <w:t xml:space="preserve">It was </w:t>
      </w:r>
      <w:r w:rsidR="003B2715" w:rsidRPr="00813D19">
        <w:rPr>
          <w:lang w:val="en-US"/>
        </w:rPr>
        <w:t>also observe</w:t>
      </w:r>
      <w:r w:rsidR="00707C34" w:rsidRPr="00813D19">
        <w:rPr>
          <w:lang w:val="en-US"/>
        </w:rPr>
        <w:t>d</w:t>
      </w:r>
      <w:r w:rsidR="003B2715" w:rsidRPr="00813D19">
        <w:rPr>
          <w:lang w:val="en-US"/>
        </w:rPr>
        <w:t xml:space="preserve"> that the local community </w:t>
      </w:r>
      <w:r w:rsidR="00707C34" w:rsidRPr="00813D19">
        <w:rPr>
          <w:lang w:val="en-US"/>
        </w:rPr>
        <w:t xml:space="preserve">participated </w:t>
      </w:r>
      <w:r w:rsidR="003B2715" w:rsidRPr="00813D19">
        <w:rPr>
          <w:lang w:val="en-US"/>
        </w:rPr>
        <w:t xml:space="preserve">in </w:t>
      </w:r>
      <w:r w:rsidR="00B37F11" w:rsidRPr="00813D19">
        <w:rPr>
          <w:lang w:val="en-US"/>
        </w:rPr>
        <w:t xml:space="preserve">certain </w:t>
      </w:r>
      <w:r w:rsidR="003B2715" w:rsidRPr="00813D19">
        <w:rPr>
          <w:lang w:val="en-US"/>
        </w:rPr>
        <w:t xml:space="preserve">aspects of the safeguarding plan. </w:t>
      </w:r>
      <w:r w:rsidR="00707C34" w:rsidRPr="00813D19">
        <w:rPr>
          <w:lang w:val="en-US"/>
        </w:rPr>
        <w:t xml:space="preserve">The delegation </w:t>
      </w:r>
      <w:r w:rsidR="003B2715" w:rsidRPr="00813D19">
        <w:rPr>
          <w:lang w:val="en-US"/>
        </w:rPr>
        <w:t>request</w:t>
      </w:r>
      <w:r w:rsidR="00707C34" w:rsidRPr="00813D19">
        <w:rPr>
          <w:lang w:val="en-US"/>
        </w:rPr>
        <w:t>ed</w:t>
      </w:r>
      <w:r w:rsidR="003B2715" w:rsidRPr="00813D19">
        <w:rPr>
          <w:lang w:val="en-US"/>
        </w:rPr>
        <w:t xml:space="preserve"> that </w:t>
      </w:r>
      <w:r w:rsidR="00B37F11" w:rsidRPr="00813D19">
        <w:rPr>
          <w:lang w:val="en-US"/>
        </w:rPr>
        <w:t xml:space="preserve">Algeria provide </w:t>
      </w:r>
      <w:r w:rsidR="003B2715" w:rsidRPr="00813D19">
        <w:rPr>
          <w:lang w:val="en-US"/>
        </w:rPr>
        <w:t xml:space="preserve">more information on the documentation </w:t>
      </w:r>
      <w:r w:rsidR="00E41386">
        <w:rPr>
          <w:lang w:val="en-US"/>
        </w:rPr>
        <w:t>and awareness-raising measures.</w:t>
      </w:r>
    </w:p>
    <w:p w14:paraId="7C0BCED0" w14:textId="6DF6D5A5" w:rsidR="00707C34" w:rsidRPr="00813D19" w:rsidRDefault="00A04803" w:rsidP="003569F5">
      <w:pPr>
        <w:pStyle w:val="Orateurengris"/>
        <w:spacing w:before="120"/>
        <w:ind w:left="709" w:hanging="709"/>
        <w:rPr>
          <w:lang w:val="en-US"/>
        </w:rPr>
      </w:pPr>
      <w:r w:rsidRPr="00813D19">
        <w:rPr>
          <w:lang w:val="en-US"/>
        </w:rPr>
        <w:t xml:space="preserve">The </w:t>
      </w:r>
      <w:r w:rsidRPr="00813D19">
        <w:rPr>
          <w:b/>
          <w:lang w:val="en-US"/>
        </w:rPr>
        <w:t xml:space="preserve">delegation of Lebanon </w:t>
      </w:r>
      <w:r w:rsidR="00707C34" w:rsidRPr="00813D19">
        <w:rPr>
          <w:lang w:val="en-US"/>
        </w:rPr>
        <w:t xml:space="preserve">emphasized the importance of this element of intangible cultural heritage, an inclusive element that describes the vital role of water </w:t>
      </w:r>
      <w:r w:rsidR="00AF32F5" w:rsidRPr="00813D19">
        <w:rPr>
          <w:lang w:val="en-US"/>
        </w:rPr>
        <w:t>me</w:t>
      </w:r>
      <w:r w:rsidR="003B3A6F" w:rsidRPr="00813D19">
        <w:rPr>
          <w:lang w:val="en-US"/>
        </w:rPr>
        <w:t>a</w:t>
      </w:r>
      <w:r w:rsidR="00AF32F5" w:rsidRPr="00813D19">
        <w:rPr>
          <w:lang w:val="en-US"/>
        </w:rPr>
        <w:t>sure</w:t>
      </w:r>
      <w:r w:rsidR="003B3A6F" w:rsidRPr="00813D19">
        <w:rPr>
          <w:lang w:val="en-US"/>
        </w:rPr>
        <w:t>r</w:t>
      </w:r>
      <w:r w:rsidR="00AF32F5" w:rsidRPr="00813D19">
        <w:rPr>
          <w:lang w:val="en-US"/>
        </w:rPr>
        <w:t>s</w:t>
      </w:r>
      <w:r w:rsidR="00707C34" w:rsidRPr="00813D19">
        <w:rPr>
          <w:lang w:val="en-US"/>
        </w:rPr>
        <w:t xml:space="preserve"> </w:t>
      </w:r>
      <w:r w:rsidR="003B3A6F" w:rsidRPr="00813D19">
        <w:rPr>
          <w:lang w:val="en-US"/>
        </w:rPr>
        <w:t xml:space="preserve">who </w:t>
      </w:r>
      <w:r w:rsidR="00707C34" w:rsidRPr="00813D19">
        <w:rPr>
          <w:lang w:val="en-US"/>
        </w:rPr>
        <w:t xml:space="preserve">are found around the Mediterranean basin, </w:t>
      </w:r>
      <w:r w:rsidR="003F0771" w:rsidRPr="00813D19">
        <w:rPr>
          <w:lang w:val="en-US"/>
        </w:rPr>
        <w:t xml:space="preserve">like water </w:t>
      </w:r>
      <w:r w:rsidR="00707C34" w:rsidRPr="00813D19">
        <w:rPr>
          <w:lang w:val="en-US"/>
        </w:rPr>
        <w:t>guardians</w:t>
      </w:r>
      <w:r w:rsidR="00B37F11" w:rsidRPr="00813D19">
        <w:rPr>
          <w:lang w:val="en-US"/>
        </w:rPr>
        <w:t xml:space="preserve"> in Lebano</w:t>
      </w:r>
      <w:r w:rsidR="003F0771" w:rsidRPr="00813D19">
        <w:rPr>
          <w:lang w:val="en-US"/>
        </w:rPr>
        <w:t>n</w:t>
      </w:r>
      <w:r w:rsidR="00707C34" w:rsidRPr="00813D19">
        <w:rPr>
          <w:lang w:val="en-US"/>
        </w:rPr>
        <w:t xml:space="preserve">. </w:t>
      </w:r>
      <w:r w:rsidR="00B37F11" w:rsidRPr="00813D19">
        <w:rPr>
          <w:lang w:val="en-US"/>
        </w:rPr>
        <w:t xml:space="preserve">It </w:t>
      </w:r>
      <w:r w:rsidR="00707C34" w:rsidRPr="00813D19">
        <w:rPr>
          <w:lang w:val="en-US"/>
        </w:rPr>
        <w:t>request</w:t>
      </w:r>
      <w:r w:rsidR="003F0771" w:rsidRPr="00813D19">
        <w:rPr>
          <w:lang w:val="en-US"/>
        </w:rPr>
        <w:t>ed</w:t>
      </w:r>
      <w:r w:rsidR="00707C34" w:rsidRPr="00813D19">
        <w:rPr>
          <w:lang w:val="en-US"/>
        </w:rPr>
        <w:t xml:space="preserve"> more information </w:t>
      </w:r>
      <w:r w:rsidR="00B37F11" w:rsidRPr="00813D19">
        <w:rPr>
          <w:lang w:val="en-US"/>
        </w:rPr>
        <w:t>on</w:t>
      </w:r>
      <w:r w:rsidR="00707C34" w:rsidRPr="00813D19">
        <w:rPr>
          <w:lang w:val="en-US"/>
        </w:rPr>
        <w:t xml:space="preserve"> the </w:t>
      </w:r>
      <w:r w:rsidR="003F0771" w:rsidRPr="00813D19">
        <w:rPr>
          <w:lang w:val="en-US"/>
        </w:rPr>
        <w:t xml:space="preserve">involvement of the </w:t>
      </w:r>
      <w:r w:rsidR="00707C34" w:rsidRPr="00813D19">
        <w:rPr>
          <w:lang w:val="en-US"/>
        </w:rPr>
        <w:t>local community i</w:t>
      </w:r>
      <w:r w:rsidR="003F0771" w:rsidRPr="00813D19">
        <w:rPr>
          <w:lang w:val="en-US"/>
        </w:rPr>
        <w:t>n the safeguarding process. Moreover, the</w:t>
      </w:r>
      <w:r w:rsidR="00707C34" w:rsidRPr="00813D19">
        <w:rPr>
          <w:lang w:val="en-US"/>
        </w:rPr>
        <w:t xml:space="preserve"> community is present in criterion U.4 as a signatory of the project, but it was not </w:t>
      </w:r>
      <w:r w:rsidR="003F0771" w:rsidRPr="00813D19">
        <w:rPr>
          <w:lang w:val="en-US"/>
        </w:rPr>
        <w:t xml:space="preserve">apparent </w:t>
      </w:r>
      <w:r w:rsidR="00707C34" w:rsidRPr="00813D19">
        <w:rPr>
          <w:lang w:val="en-US"/>
        </w:rPr>
        <w:t xml:space="preserve">in U.3. </w:t>
      </w:r>
      <w:r w:rsidR="00B37F11" w:rsidRPr="00813D19">
        <w:rPr>
          <w:lang w:val="en-US"/>
        </w:rPr>
        <w:t xml:space="preserve">The delegation </w:t>
      </w:r>
      <w:r w:rsidR="003F0771" w:rsidRPr="00813D19">
        <w:rPr>
          <w:lang w:val="en-US"/>
        </w:rPr>
        <w:t xml:space="preserve">also wished to know </w:t>
      </w:r>
      <w:r w:rsidR="00707C34" w:rsidRPr="00813D19">
        <w:rPr>
          <w:lang w:val="en-US"/>
        </w:rPr>
        <w:t xml:space="preserve">how </w:t>
      </w:r>
      <w:r w:rsidR="003F0771" w:rsidRPr="00813D19">
        <w:rPr>
          <w:lang w:val="en-US"/>
        </w:rPr>
        <w:t xml:space="preserve">the </w:t>
      </w:r>
      <w:r w:rsidR="00707C34" w:rsidRPr="00813D19">
        <w:rPr>
          <w:lang w:val="en-US"/>
        </w:rPr>
        <w:t xml:space="preserve">new </w:t>
      </w:r>
      <w:r w:rsidR="003F0771" w:rsidRPr="00813D19">
        <w:rPr>
          <w:lang w:val="en-US"/>
        </w:rPr>
        <w:t xml:space="preserve">acquired </w:t>
      </w:r>
      <w:r w:rsidR="00707C34" w:rsidRPr="00813D19">
        <w:rPr>
          <w:lang w:val="en-US"/>
        </w:rPr>
        <w:t xml:space="preserve">knowledge and </w:t>
      </w:r>
      <w:r w:rsidR="003F0771" w:rsidRPr="00813D19">
        <w:rPr>
          <w:lang w:val="en-US"/>
        </w:rPr>
        <w:t xml:space="preserve">skills would </w:t>
      </w:r>
      <w:r w:rsidR="00707C34" w:rsidRPr="00813D19">
        <w:rPr>
          <w:lang w:val="en-US"/>
        </w:rPr>
        <w:t>be used in the safeguarding plan.</w:t>
      </w:r>
    </w:p>
    <w:p w14:paraId="36390462" w14:textId="09EDA02E" w:rsidR="0033403C" w:rsidRPr="00813D19" w:rsidRDefault="00014449" w:rsidP="003569F5">
      <w:pPr>
        <w:pStyle w:val="Orateurengris"/>
        <w:spacing w:before="120"/>
        <w:ind w:left="709" w:hanging="709"/>
        <w:rPr>
          <w:lang w:val="en-US"/>
        </w:rPr>
      </w:pPr>
      <w:r w:rsidRPr="00813D19">
        <w:rPr>
          <w:lang w:val="en-US"/>
        </w:rPr>
        <w:t xml:space="preserve">The </w:t>
      </w:r>
      <w:r w:rsidRPr="00813D19">
        <w:rPr>
          <w:b/>
          <w:lang w:val="en-US"/>
        </w:rPr>
        <w:t>delegation of Senegal</w:t>
      </w:r>
      <w:r w:rsidR="0033403C" w:rsidRPr="00813D19">
        <w:rPr>
          <w:b/>
          <w:lang w:val="en-US"/>
        </w:rPr>
        <w:t xml:space="preserve"> </w:t>
      </w:r>
      <w:r w:rsidR="0033403C" w:rsidRPr="00813D19">
        <w:rPr>
          <w:lang w:val="en-US"/>
        </w:rPr>
        <w:t xml:space="preserve">thanked the Evaluation Body and congratulated Algeria for this important element on water, the source of life. </w:t>
      </w:r>
      <w:r w:rsidR="00B37F11" w:rsidRPr="00813D19">
        <w:rPr>
          <w:lang w:val="en-US"/>
        </w:rPr>
        <w:t xml:space="preserve">It also </w:t>
      </w:r>
      <w:r w:rsidR="0033403C" w:rsidRPr="00813D19">
        <w:rPr>
          <w:lang w:val="en-US"/>
        </w:rPr>
        <w:t>sought to hear more about the involvement of the community and the transfer of knowledge.</w:t>
      </w:r>
    </w:p>
    <w:p w14:paraId="1026CD6F" w14:textId="6026C562" w:rsidR="00014449" w:rsidRPr="00813D19" w:rsidRDefault="00014449" w:rsidP="003569F5">
      <w:pPr>
        <w:pStyle w:val="Orateurengris"/>
        <w:spacing w:before="120"/>
        <w:ind w:left="709" w:hanging="709"/>
        <w:rPr>
          <w:lang w:val="en-US"/>
        </w:rPr>
      </w:pPr>
      <w:r w:rsidRPr="00813D19">
        <w:rPr>
          <w:lang w:val="en-US"/>
        </w:rPr>
        <w:t xml:space="preserve">The </w:t>
      </w:r>
      <w:r w:rsidRPr="00813D19">
        <w:rPr>
          <w:b/>
          <w:lang w:val="en-US"/>
        </w:rPr>
        <w:t>delegation of Cuba</w:t>
      </w:r>
      <w:r w:rsidR="003B2715" w:rsidRPr="00813D19">
        <w:rPr>
          <w:b/>
          <w:lang w:val="en-US"/>
        </w:rPr>
        <w:t xml:space="preserve"> </w:t>
      </w:r>
      <w:r w:rsidR="003B2715" w:rsidRPr="00813D19">
        <w:rPr>
          <w:bCs/>
          <w:lang w:val="en-US"/>
        </w:rPr>
        <w:t>thank</w:t>
      </w:r>
      <w:r w:rsidR="0033403C" w:rsidRPr="00813D19">
        <w:rPr>
          <w:bCs/>
          <w:lang w:val="en-US"/>
        </w:rPr>
        <w:t>ed</w:t>
      </w:r>
      <w:r w:rsidR="003B2715" w:rsidRPr="00813D19">
        <w:rPr>
          <w:bCs/>
          <w:lang w:val="en-US"/>
        </w:rPr>
        <w:t xml:space="preserve"> the Evaluation Body for the information provided and the evaluation of </w:t>
      </w:r>
      <w:r w:rsidR="0033403C" w:rsidRPr="00813D19">
        <w:rPr>
          <w:bCs/>
          <w:lang w:val="en-US"/>
        </w:rPr>
        <w:t xml:space="preserve">the </w:t>
      </w:r>
      <w:r w:rsidR="00506BAF" w:rsidRPr="00813D19">
        <w:rPr>
          <w:bCs/>
          <w:lang w:val="en-US"/>
        </w:rPr>
        <w:t>file, joining</w:t>
      </w:r>
      <w:r w:rsidR="0033403C" w:rsidRPr="00813D19">
        <w:rPr>
          <w:bCs/>
          <w:lang w:val="en-US"/>
        </w:rPr>
        <w:t xml:space="preserve"> </w:t>
      </w:r>
      <w:r w:rsidR="003B2715" w:rsidRPr="00813D19">
        <w:rPr>
          <w:bCs/>
          <w:lang w:val="en-US"/>
        </w:rPr>
        <w:t xml:space="preserve">previous delegations regarding the amendments presented by Palestine, which </w:t>
      </w:r>
      <w:r w:rsidR="0033403C" w:rsidRPr="00813D19">
        <w:rPr>
          <w:bCs/>
          <w:lang w:val="en-US"/>
        </w:rPr>
        <w:t>it supported</w:t>
      </w:r>
      <w:r w:rsidR="003B2715" w:rsidRPr="00813D19">
        <w:rPr>
          <w:bCs/>
          <w:lang w:val="en-US"/>
        </w:rPr>
        <w:t>. This is a nomination of special importance and significance</w:t>
      </w:r>
      <w:r w:rsidR="0033403C" w:rsidRPr="00813D19">
        <w:rPr>
          <w:bCs/>
          <w:lang w:val="en-US"/>
        </w:rPr>
        <w:t>,</w:t>
      </w:r>
      <w:r w:rsidR="003B2715" w:rsidRPr="00813D19">
        <w:rPr>
          <w:bCs/>
          <w:lang w:val="en-US"/>
        </w:rPr>
        <w:t xml:space="preserve"> especially because of the link between intangible heritage and sustainable development in the </w:t>
      </w:r>
      <w:r w:rsidR="0033403C" w:rsidRPr="00813D19">
        <w:rPr>
          <w:bCs/>
          <w:lang w:val="en-US"/>
        </w:rPr>
        <w:t>domain of water.</w:t>
      </w:r>
      <w:r w:rsidR="003B2715" w:rsidRPr="00813D19">
        <w:rPr>
          <w:bCs/>
          <w:lang w:val="en-US"/>
        </w:rPr>
        <w:t xml:space="preserve"> In the field of management practices and know-how, the sustainable management of water is a fundamental problem </w:t>
      </w:r>
      <w:r w:rsidR="00506BAF" w:rsidRPr="00813D19">
        <w:rPr>
          <w:bCs/>
          <w:lang w:val="en-US"/>
        </w:rPr>
        <w:t xml:space="preserve">in </w:t>
      </w:r>
      <w:r w:rsidR="003B2715" w:rsidRPr="00813D19">
        <w:rPr>
          <w:bCs/>
          <w:lang w:val="en-US"/>
        </w:rPr>
        <w:t>societies</w:t>
      </w:r>
      <w:r w:rsidR="00506BAF" w:rsidRPr="00813D19">
        <w:rPr>
          <w:bCs/>
          <w:lang w:val="en-US"/>
        </w:rPr>
        <w:t xml:space="preserve">, even today, </w:t>
      </w:r>
      <w:r w:rsidR="00062D2F" w:rsidRPr="00813D19">
        <w:rPr>
          <w:bCs/>
          <w:lang w:val="en-US"/>
        </w:rPr>
        <w:t xml:space="preserve">and thus </w:t>
      </w:r>
      <w:r w:rsidR="00B37F11" w:rsidRPr="00813D19">
        <w:rPr>
          <w:bCs/>
          <w:lang w:val="en-US"/>
        </w:rPr>
        <w:t xml:space="preserve">it </w:t>
      </w:r>
      <w:r w:rsidR="00062D2F" w:rsidRPr="00813D19">
        <w:rPr>
          <w:bCs/>
          <w:lang w:val="en-US"/>
        </w:rPr>
        <w:t xml:space="preserve">was </w:t>
      </w:r>
      <w:r w:rsidR="00B37F11" w:rsidRPr="00813D19">
        <w:rPr>
          <w:bCs/>
          <w:lang w:val="en-US"/>
        </w:rPr>
        <w:t xml:space="preserve">vitally </w:t>
      </w:r>
      <w:r w:rsidR="00062D2F" w:rsidRPr="00813D19">
        <w:rPr>
          <w:bCs/>
          <w:lang w:val="en-US"/>
        </w:rPr>
        <w:t>important</w:t>
      </w:r>
      <w:r w:rsidR="003B2715" w:rsidRPr="00813D19">
        <w:rPr>
          <w:bCs/>
          <w:lang w:val="en-US"/>
        </w:rPr>
        <w:t xml:space="preserve"> to </w:t>
      </w:r>
      <w:r w:rsidR="00B37F11" w:rsidRPr="00813D19">
        <w:rPr>
          <w:bCs/>
          <w:lang w:val="en-US"/>
        </w:rPr>
        <w:t>help inscribe</w:t>
      </w:r>
      <w:r w:rsidR="00062D2F" w:rsidRPr="00813D19">
        <w:rPr>
          <w:bCs/>
          <w:lang w:val="en-US"/>
        </w:rPr>
        <w:t xml:space="preserve"> this </w:t>
      </w:r>
      <w:r w:rsidR="003B2715" w:rsidRPr="00813D19">
        <w:rPr>
          <w:bCs/>
          <w:lang w:val="en-US"/>
        </w:rPr>
        <w:t xml:space="preserve">element. </w:t>
      </w:r>
      <w:r w:rsidR="00062D2F" w:rsidRPr="00813D19">
        <w:rPr>
          <w:bCs/>
          <w:lang w:val="en-US"/>
        </w:rPr>
        <w:t xml:space="preserve">The important points </w:t>
      </w:r>
      <w:r w:rsidR="003B2715" w:rsidRPr="00813D19">
        <w:rPr>
          <w:bCs/>
          <w:lang w:val="en-US"/>
        </w:rPr>
        <w:t xml:space="preserve">in the presentation of the file </w:t>
      </w:r>
      <w:r w:rsidR="00062D2F" w:rsidRPr="00813D19">
        <w:rPr>
          <w:bCs/>
          <w:lang w:val="en-US"/>
        </w:rPr>
        <w:t xml:space="preserve">were </w:t>
      </w:r>
      <w:r w:rsidR="00B37F11" w:rsidRPr="00813D19">
        <w:rPr>
          <w:bCs/>
          <w:lang w:val="en-US"/>
        </w:rPr>
        <w:t>linked</w:t>
      </w:r>
      <w:r w:rsidR="003B2715" w:rsidRPr="00813D19">
        <w:rPr>
          <w:bCs/>
          <w:lang w:val="en-US"/>
        </w:rPr>
        <w:t xml:space="preserve"> </w:t>
      </w:r>
      <w:r w:rsidR="00B37F11" w:rsidRPr="00813D19">
        <w:rPr>
          <w:bCs/>
          <w:lang w:val="en-US"/>
        </w:rPr>
        <w:t xml:space="preserve">to </w:t>
      </w:r>
      <w:r w:rsidR="003B2715" w:rsidRPr="00813D19">
        <w:rPr>
          <w:bCs/>
          <w:lang w:val="en-US"/>
        </w:rPr>
        <w:t>the community and the involvement of an aging population</w:t>
      </w:r>
      <w:r w:rsidR="00062D2F" w:rsidRPr="00813D19">
        <w:rPr>
          <w:bCs/>
          <w:lang w:val="en-US"/>
        </w:rPr>
        <w:t>.</w:t>
      </w:r>
      <w:r w:rsidR="003B2715" w:rsidRPr="00813D19">
        <w:rPr>
          <w:bCs/>
          <w:lang w:val="en-US"/>
        </w:rPr>
        <w:t xml:space="preserve"> </w:t>
      </w:r>
      <w:r w:rsidR="00062D2F" w:rsidRPr="00813D19">
        <w:rPr>
          <w:bCs/>
          <w:lang w:val="en-US"/>
        </w:rPr>
        <w:t xml:space="preserve">The </w:t>
      </w:r>
      <w:r w:rsidR="003B2715" w:rsidRPr="00813D19">
        <w:rPr>
          <w:bCs/>
          <w:lang w:val="en-US"/>
        </w:rPr>
        <w:t xml:space="preserve">direct assistance by UNESCO would </w:t>
      </w:r>
      <w:r w:rsidR="00062D2F" w:rsidRPr="00813D19">
        <w:rPr>
          <w:bCs/>
          <w:lang w:val="en-US"/>
        </w:rPr>
        <w:t xml:space="preserve">thus </w:t>
      </w:r>
      <w:r w:rsidR="003B2715" w:rsidRPr="00813D19">
        <w:rPr>
          <w:bCs/>
          <w:lang w:val="en-US"/>
        </w:rPr>
        <w:t>make it poss</w:t>
      </w:r>
      <w:r w:rsidR="00062D2F" w:rsidRPr="00813D19">
        <w:rPr>
          <w:bCs/>
          <w:lang w:val="en-US"/>
        </w:rPr>
        <w:t>ible for the practices and know-</w:t>
      </w:r>
      <w:r w:rsidR="003B2715" w:rsidRPr="00813D19">
        <w:rPr>
          <w:bCs/>
          <w:lang w:val="en-US"/>
        </w:rPr>
        <w:t xml:space="preserve">how to be extended and kept alive in order to protect this </w:t>
      </w:r>
      <w:r w:rsidR="0033403C" w:rsidRPr="00813D19">
        <w:rPr>
          <w:bCs/>
          <w:lang w:val="en-US"/>
        </w:rPr>
        <w:t>intangible cultural heritage</w:t>
      </w:r>
      <w:r w:rsidR="00B37F11" w:rsidRPr="00813D19">
        <w:rPr>
          <w:bCs/>
          <w:lang w:val="en-US"/>
        </w:rPr>
        <w:t xml:space="preserve"> and its water management, which </w:t>
      </w:r>
      <w:r w:rsidR="00062D2F" w:rsidRPr="00813D19">
        <w:rPr>
          <w:bCs/>
          <w:lang w:val="en-US"/>
        </w:rPr>
        <w:t xml:space="preserve">was so </w:t>
      </w:r>
      <w:r w:rsidR="003B2715" w:rsidRPr="00813D19">
        <w:rPr>
          <w:bCs/>
          <w:lang w:val="en-US"/>
        </w:rPr>
        <w:t>impor</w:t>
      </w:r>
      <w:r w:rsidR="00062D2F" w:rsidRPr="00813D19">
        <w:rPr>
          <w:bCs/>
          <w:lang w:val="en-US"/>
        </w:rPr>
        <w:t>tant for the entire Arab region</w:t>
      </w:r>
      <w:r w:rsidR="0033403C" w:rsidRPr="00813D19">
        <w:rPr>
          <w:bCs/>
          <w:lang w:val="en-US"/>
        </w:rPr>
        <w:t>.</w:t>
      </w:r>
    </w:p>
    <w:p w14:paraId="3931B4C0" w14:textId="4AC918AC" w:rsidR="00014449" w:rsidRPr="00813D19" w:rsidRDefault="00062D2F" w:rsidP="003569F5">
      <w:pPr>
        <w:pStyle w:val="Orateurengris"/>
        <w:spacing w:before="120"/>
        <w:ind w:left="709" w:hanging="709"/>
        <w:rPr>
          <w:lang w:val="en-US"/>
        </w:rPr>
      </w:pPr>
      <w:r w:rsidRPr="00813D19">
        <w:rPr>
          <w:lang w:val="en-US"/>
        </w:rPr>
        <w:t>T</w:t>
      </w:r>
      <w:r w:rsidR="00014449" w:rsidRPr="00813D19">
        <w:rPr>
          <w:lang w:val="en-US"/>
        </w:rPr>
        <w:t xml:space="preserve">he </w:t>
      </w:r>
      <w:r w:rsidR="00014449" w:rsidRPr="00813D19">
        <w:rPr>
          <w:b/>
          <w:lang w:val="en-US"/>
        </w:rPr>
        <w:t>delegation of Azerbaijan</w:t>
      </w:r>
      <w:r w:rsidR="003B2715" w:rsidRPr="00813D19">
        <w:rPr>
          <w:b/>
          <w:lang w:val="en-US"/>
        </w:rPr>
        <w:t xml:space="preserve"> </w:t>
      </w:r>
      <w:r w:rsidR="003B2715" w:rsidRPr="00813D19">
        <w:rPr>
          <w:lang w:val="en-US"/>
        </w:rPr>
        <w:t>thank</w:t>
      </w:r>
      <w:r w:rsidRPr="00813D19">
        <w:rPr>
          <w:lang w:val="en-US"/>
        </w:rPr>
        <w:t>ed</w:t>
      </w:r>
      <w:r w:rsidR="003B2715" w:rsidRPr="00813D19">
        <w:rPr>
          <w:lang w:val="en-US"/>
        </w:rPr>
        <w:t xml:space="preserve"> the Evaluation Body for </w:t>
      </w:r>
      <w:r w:rsidRPr="00813D19">
        <w:rPr>
          <w:lang w:val="en-US"/>
        </w:rPr>
        <w:t xml:space="preserve">its </w:t>
      </w:r>
      <w:r w:rsidR="003B2715" w:rsidRPr="00813D19">
        <w:rPr>
          <w:lang w:val="en-US"/>
        </w:rPr>
        <w:t xml:space="preserve">efforts </w:t>
      </w:r>
      <w:r w:rsidRPr="00813D19">
        <w:rPr>
          <w:lang w:val="en-US"/>
        </w:rPr>
        <w:t>in evaluating this file, which presented</w:t>
      </w:r>
      <w:r w:rsidR="003B2715" w:rsidRPr="00813D19">
        <w:rPr>
          <w:lang w:val="en-US"/>
        </w:rPr>
        <w:t xml:space="preserve"> a</w:t>
      </w:r>
      <w:r w:rsidRPr="00813D19">
        <w:rPr>
          <w:lang w:val="en-US"/>
        </w:rPr>
        <w:t>n</w:t>
      </w:r>
      <w:r w:rsidR="003B2715" w:rsidRPr="00813D19">
        <w:rPr>
          <w:lang w:val="en-US"/>
        </w:rPr>
        <w:t xml:space="preserve"> interesting elemen</w:t>
      </w:r>
      <w:r w:rsidRPr="00813D19">
        <w:rPr>
          <w:lang w:val="en-US"/>
        </w:rPr>
        <w:t>t</w:t>
      </w:r>
      <w:r w:rsidR="003B2715" w:rsidRPr="00813D19">
        <w:rPr>
          <w:lang w:val="en-US"/>
        </w:rPr>
        <w:t xml:space="preserve"> </w:t>
      </w:r>
      <w:r w:rsidRPr="00813D19">
        <w:rPr>
          <w:lang w:val="en-US"/>
        </w:rPr>
        <w:t xml:space="preserve">that </w:t>
      </w:r>
      <w:r w:rsidR="00B37F11" w:rsidRPr="00813D19">
        <w:rPr>
          <w:lang w:val="en-US"/>
        </w:rPr>
        <w:t>was</w:t>
      </w:r>
      <w:r w:rsidR="003B2715" w:rsidRPr="00813D19">
        <w:rPr>
          <w:lang w:val="en-US"/>
        </w:rPr>
        <w:t xml:space="preserve"> closely related to the interaction between intangible </w:t>
      </w:r>
      <w:r w:rsidR="00B37F11" w:rsidRPr="00813D19">
        <w:rPr>
          <w:lang w:val="en-US"/>
        </w:rPr>
        <w:t xml:space="preserve">cultural </w:t>
      </w:r>
      <w:r w:rsidR="003B2715" w:rsidRPr="00813D19">
        <w:rPr>
          <w:lang w:val="en-US"/>
        </w:rPr>
        <w:t>heritage and sustainable development and</w:t>
      </w:r>
      <w:r w:rsidRPr="00813D19">
        <w:rPr>
          <w:lang w:val="en-US"/>
        </w:rPr>
        <w:t>,</w:t>
      </w:r>
      <w:r w:rsidR="003B2715" w:rsidRPr="00813D19">
        <w:rPr>
          <w:lang w:val="en-US"/>
        </w:rPr>
        <w:t xml:space="preserve"> notably</w:t>
      </w:r>
      <w:r w:rsidRPr="00813D19">
        <w:rPr>
          <w:lang w:val="en-US"/>
        </w:rPr>
        <w:t>,</w:t>
      </w:r>
      <w:r w:rsidR="003B2715" w:rsidRPr="00813D19">
        <w:rPr>
          <w:lang w:val="en-US"/>
        </w:rPr>
        <w:t xml:space="preserve"> the equitable sharing of natural resources</w:t>
      </w:r>
      <w:r w:rsidRPr="00813D19">
        <w:rPr>
          <w:lang w:val="en-US"/>
        </w:rPr>
        <w:t>,</w:t>
      </w:r>
      <w:r w:rsidR="003B2715" w:rsidRPr="00813D19">
        <w:rPr>
          <w:lang w:val="en-US"/>
        </w:rPr>
        <w:t xml:space="preserve"> </w:t>
      </w:r>
      <w:r w:rsidR="00B37F11" w:rsidRPr="00813D19">
        <w:rPr>
          <w:lang w:val="en-US"/>
        </w:rPr>
        <w:t xml:space="preserve">and </w:t>
      </w:r>
      <w:r w:rsidRPr="00813D19">
        <w:rPr>
          <w:lang w:val="en-US"/>
        </w:rPr>
        <w:t xml:space="preserve">the prevention and resolution of </w:t>
      </w:r>
      <w:r w:rsidR="003B2715" w:rsidRPr="00813D19">
        <w:rPr>
          <w:lang w:val="en-US"/>
        </w:rPr>
        <w:t xml:space="preserve">disputes. </w:t>
      </w:r>
      <w:r w:rsidRPr="00813D19">
        <w:rPr>
          <w:lang w:val="en-US"/>
        </w:rPr>
        <w:t xml:space="preserve">The </w:t>
      </w:r>
      <w:r w:rsidR="003B2715" w:rsidRPr="00813D19">
        <w:rPr>
          <w:lang w:val="en-US"/>
        </w:rPr>
        <w:t>nomination demonstrate</w:t>
      </w:r>
      <w:r w:rsidRPr="00813D19">
        <w:rPr>
          <w:lang w:val="en-US"/>
        </w:rPr>
        <w:t>d</w:t>
      </w:r>
      <w:r w:rsidR="003B2715" w:rsidRPr="00813D19">
        <w:rPr>
          <w:lang w:val="en-US"/>
        </w:rPr>
        <w:t xml:space="preserve"> a close link between </w:t>
      </w:r>
      <w:r w:rsidR="003B2715" w:rsidRPr="00813D19">
        <w:rPr>
          <w:i/>
          <w:lang w:val="en-US"/>
        </w:rPr>
        <w:t>intangible</w:t>
      </w:r>
      <w:r w:rsidR="003B2715" w:rsidRPr="00813D19">
        <w:rPr>
          <w:lang w:val="en-US"/>
        </w:rPr>
        <w:t xml:space="preserve"> and </w:t>
      </w:r>
      <w:r w:rsidR="003B2715" w:rsidRPr="00813D19">
        <w:rPr>
          <w:i/>
          <w:lang w:val="en-US"/>
        </w:rPr>
        <w:t>tangible</w:t>
      </w:r>
      <w:r w:rsidR="003B2715" w:rsidRPr="00813D19">
        <w:rPr>
          <w:lang w:val="en-US"/>
        </w:rPr>
        <w:t xml:space="preserve"> heritage</w:t>
      </w:r>
      <w:r w:rsidR="00B37F11" w:rsidRPr="00813D19">
        <w:rPr>
          <w:lang w:val="en-US"/>
        </w:rPr>
        <w:t>,</w:t>
      </w:r>
      <w:r w:rsidR="003B2715" w:rsidRPr="00813D19">
        <w:rPr>
          <w:lang w:val="en-US"/>
        </w:rPr>
        <w:t xml:space="preserve"> as </w:t>
      </w:r>
      <w:r w:rsidR="00B37F11" w:rsidRPr="00813D19">
        <w:rPr>
          <w:lang w:val="en-US"/>
        </w:rPr>
        <w:t xml:space="preserve">the </w:t>
      </w:r>
      <w:r w:rsidR="003B2715" w:rsidRPr="00813D19">
        <w:rPr>
          <w:lang w:val="en-US"/>
        </w:rPr>
        <w:t>system of foggaras, water wells and channels represent</w:t>
      </w:r>
      <w:r w:rsidRPr="00813D19">
        <w:rPr>
          <w:lang w:val="en-US"/>
        </w:rPr>
        <w:t>ed</w:t>
      </w:r>
      <w:r w:rsidR="003B2715" w:rsidRPr="00813D19">
        <w:rPr>
          <w:lang w:val="en-US"/>
        </w:rPr>
        <w:t xml:space="preserve"> an important aspect of the practice of the element</w:t>
      </w:r>
      <w:r w:rsidR="0084146F">
        <w:rPr>
          <w:lang w:val="en-US"/>
        </w:rPr>
        <w:t>,</w:t>
      </w:r>
      <w:r w:rsidR="003B2715" w:rsidRPr="00813D19">
        <w:rPr>
          <w:lang w:val="en-US"/>
        </w:rPr>
        <w:t xml:space="preserve"> whose viability </w:t>
      </w:r>
      <w:r w:rsidRPr="00813D19">
        <w:rPr>
          <w:lang w:val="en-US"/>
        </w:rPr>
        <w:t xml:space="preserve">was </w:t>
      </w:r>
      <w:r w:rsidR="003B2715" w:rsidRPr="00813D19">
        <w:rPr>
          <w:lang w:val="en-US"/>
        </w:rPr>
        <w:t xml:space="preserve">now under serious threat. Section </w:t>
      </w:r>
      <w:r w:rsidRPr="00813D19">
        <w:rPr>
          <w:lang w:val="en-US"/>
        </w:rPr>
        <w:t>1 of the file in particular explained</w:t>
      </w:r>
      <w:r w:rsidR="003B2715" w:rsidRPr="00813D19">
        <w:rPr>
          <w:lang w:val="en-US"/>
        </w:rPr>
        <w:t xml:space="preserve"> exactly how communities </w:t>
      </w:r>
      <w:r w:rsidRPr="00813D19">
        <w:rPr>
          <w:lang w:val="en-US"/>
        </w:rPr>
        <w:t>safeguarded</w:t>
      </w:r>
      <w:r w:rsidR="003B2715" w:rsidRPr="00813D19">
        <w:rPr>
          <w:lang w:val="en-US"/>
        </w:rPr>
        <w:t xml:space="preserve"> the element in the past</w:t>
      </w:r>
      <w:r w:rsidRPr="00813D19">
        <w:rPr>
          <w:lang w:val="en-US"/>
        </w:rPr>
        <w:t>, as well as</w:t>
      </w:r>
      <w:r w:rsidR="003B2715" w:rsidRPr="00813D19">
        <w:rPr>
          <w:lang w:val="en-US"/>
        </w:rPr>
        <w:t xml:space="preserve"> </w:t>
      </w:r>
      <w:r w:rsidRPr="00813D19">
        <w:rPr>
          <w:lang w:val="en-US"/>
        </w:rPr>
        <w:t xml:space="preserve">the </w:t>
      </w:r>
      <w:r w:rsidR="003B2715" w:rsidRPr="00813D19">
        <w:rPr>
          <w:lang w:val="en-US"/>
        </w:rPr>
        <w:t>role played by water owners, manual workers, accountants and water measurers. Regarding the proposed safeguarding plan</w:t>
      </w:r>
      <w:r w:rsidRPr="00813D19">
        <w:rPr>
          <w:lang w:val="en-US"/>
        </w:rPr>
        <w:t>,</w:t>
      </w:r>
      <w:r w:rsidR="003B2715" w:rsidRPr="00813D19">
        <w:rPr>
          <w:lang w:val="en-US"/>
        </w:rPr>
        <w:t xml:space="preserve"> </w:t>
      </w:r>
      <w:r w:rsidRPr="00813D19">
        <w:rPr>
          <w:lang w:val="en-US"/>
        </w:rPr>
        <w:t xml:space="preserve">the delegation noted </w:t>
      </w:r>
      <w:r w:rsidR="003B2715" w:rsidRPr="00813D19">
        <w:rPr>
          <w:lang w:val="en-US"/>
        </w:rPr>
        <w:t xml:space="preserve">that the plan </w:t>
      </w:r>
      <w:r w:rsidRPr="00813D19">
        <w:rPr>
          <w:lang w:val="en-US"/>
        </w:rPr>
        <w:t xml:space="preserve">did </w:t>
      </w:r>
      <w:r w:rsidR="003B2715" w:rsidRPr="00813D19">
        <w:rPr>
          <w:lang w:val="en-US"/>
        </w:rPr>
        <w:t>not only suggest documenting the practice and training a new generation of water measurers as the main</w:t>
      </w:r>
      <w:r w:rsidRPr="00813D19">
        <w:rPr>
          <w:lang w:val="en-US"/>
        </w:rPr>
        <w:t>lines of the safeguarding plan, it also suggested</w:t>
      </w:r>
      <w:r w:rsidR="003B2715" w:rsidRPr="00813D19">
        <w:rPr>
          <w:lang w:val="en-US"/>
        </w:rPr>
        <w:t xml:space="preserve"> building relationships with stakeholders who also play a role in the practice of the element</w:t>
      </w:r>
      <w:r w:rsidRPr="00813D19">
        <w:rPr>
          <w:lang w:val="en-US"/>
        </w:rPr>
        <w:t>, such as foggaras</w:t>
      </w:r>
      <w:r w:rsidR="003B2715" w:rsidRPr="00813D19">
        <w:rPr>
          <w:lang w:val="en-US"/>
        </w:rPr>
        <w:t xml:space="preserve"> owners and local municipalities. The focus on water measurers </w:t>
      </w:r>
      <w:r w:rsidRPr="00813D19">
        <w:rPr>
          <w:lang w:val="en-US"/>
        </w:rPr>
        <w:t xml:space="preserve">was </w:t>
      </w:r>
      <w:r w:rsidR="003B2715" w:rsidRPr="00813D19">
        <w:rPr>
          <w:lang w:val="en-US"/>
        </w:rPr>
        <w:t xml:space="preserve">also understandable </w:t>
      </w:r>
      <w:r w:rsidRPr="00813D19">
        <w:rPr>
          <w:lang w:val="en-US"/>
        </w:rPr>
        <w:t xml:space="preserve">as </w:t>
      </w:r>
      <w:r w:rsidR="003B2715" w:rsidRPr="00813D19">
        <w:rPr>
          <w:lang w:val="en-US"/>
        </w:rPr>
        <w:t xml:space="preserve">they probably </w:t>
      </w:r>
      <w:r w:rsidRPr="00813D19">
        <w:rPr>
          <w:lang w:val="en-US"/>
        </w:rPr>
        <w:t xml:space="preserve">play </w:t>
      </w:r>
      <w:r w:rsidR="003B2715" w:rsidRPr="00813D19">
        <w:rPr>
          <w:lang w:val="en-US"/>
        </w:rPr>
        <w:t xml:space="preserve">the most important role in the practice of the element. </w:t>
      </w:r>
      <w:r w:rsidRPr="00813D19">
        <w:rPr>
          <w:lang w:val="en-US"/>
        </w:rPr>
        <w:t xml:space="preserve">It was </w:t>
      </w:r>
      <w:r w:rsidR="003B2715" w:rsidRPr="00813D19">
        <w:rPr>
          <w:lang w:val="en-US"/>
        </w:rPr>
        <w:t>also note</w:t>
      </w:r>
      <w:r w:rsidRPr="00813D19">
        <w:rPr>
          <w:lang w:val="en-US"/>
        </w:rPr>
        <w:t>d that a budget had</w:t>
      </w:r>
      <w:r w:rsidR="003B2715" w:rsidRPr="00813D19">
        <w:rPr>
          <w:lang w:val="en-US"/>
        </w:rPr>
        <w:t xml:space="preserve"> been foreseen for the implementation of the plan. Finally, </w:t>
      </w:r>
      <w:r w:rsidRPr="00813D19">
        <w:rPr>
          <w:lang w:val="en-US"/>
        </w:rPr>
        <w:t xml:space="preserve">the delegation </w:t>
      </w:r>
      <w:r w:rsidR="003B2715" w:rsidRPr="00813D19">
        <w:rPr>
          <w:lang w:val="en-US"/>
        </w:rPr>
        <w:t>believe</w:t>
      </w:r>
      <w:r w:rsidRPr="00813D19">
        <w:rPr>
          <w:lang w:val="en-US"/>
        </w:rPr>
        <w:t>d the file provided</w:t>
      </w:r>
      <w:r w:rsidR="003B2715" w:rsidRPr="00813D19">
        <w:rPr>
          <w:lang w:val="en-US"/>
        </w:rPr>
        <w:t xml:space="preserve"> sufficient information on the consideration of a broader social context</w:t>
      </w:r>
      <w:r w:rsidRPr="00813D19">
        <w:rPr>
          <w:lang w:val="en-US"/>
        </w:rPr>
        <w:t>,</w:t>
      </w:r>
      <w:r w:rsidR="003B2715" w:rsidRPr="00813D19">
        <w:rPr>
          <w:lang w:val="en-US"/>
        </w:rPr>
        <w:t xml:space="preserve"> as local municipalities</w:t>
      </w:r>
      <w:r w:rsidRPr="00813D19">
        <w:rPr>
          <w:lang w:val="en-US"/>
        </w:rPr>
        <w:t xml:space="preserve"> rely on the associations of foggaras</w:t>
      </w:r>
      <w:r w:rsidR="003B2715" w:rsidRPr="00813D19">
        <w:rPr>
          <w:lang w:val="en-US"/>
        </w:rPr>
        <w:t xml:space="preserve"> owners to be involved</w:t>
      </w:r>
      <w:r w:rsidR="0068518A" w:rsidRPr="00813D19">
        <w:rPr>
          <w:lang w:val="en-US"/>
        </w:rPr>
        <w:t>,</w:t>
      </w:r>
      <w:r w:rsidR="003B2715" w:rsidRPr="00813D19">
        <w:rPr>
          <w:lang w:val="en-US"/>
        </w:rPr>
        <w:t xml:space="preserve"> </w:t>
      </w:r>
      <w:r w:rsidR="00B37F11" w:rsidRPr="00813D19">
        <w:rPr>
          <w:lang w:val="en-US"/>
        </w:rPr>
        <w:t xml:space="preserve">while mentioning </w:t>
      </w:r>
      <w:r w:rsidR="003B2715" w:rsidRPr="00813D19">
        <w:rPr>
          <w:lang w:val="en-US"/>
        </w:rPr>
        <w:t>awareness-raising activities targeted at the general public. Bearing all this in mind</w:t>
      </w:r>
      <w:r w:rsidR="0068518A" w:rsidRPr="00813D19">
        <w:rPr>
          <w:lang w:val="en-US"/>
        </w:rPr>
        <w:t>,</w:t>
      </w:r>
      <w:r w:rsidR="003B2715" w:rsidRPr="00813D19">
        <w:rPr>
          <w:lang w:val="en-US"/>
        </w:rPr>
        <w:t xml:space="preserve"> </w:t>
      </w:r>
      <w:r w:rsidR="0068518A" w:rsidRPr="00813D19">
        <w:rPr>
          <w:lang w:val="en-US"/>
        </w:rPr>
        <w:t xml:space="preserve">the </w:t>
      </w:r>
      <w:r w:rsidR="003B2715" w:rsidRPr="00813D19">
        <w:rPr>
          <w:lang w:val="en-US"/>
        </w:rPr>
        <w:t>delegation support</w:t>
      </w:r>
      <w:r w:rsidR="0068518A" w:rsidRPr="00813D19">
        <w:rPr>
          <w:lang w:val="en-US"/>
        </w:rPr>
        <w:t>ed</w:t>
      </w:r>
      <w:r w:rsidR="003B2715" w:rsidRPr="00813D19">
        <w:rPr>
          <w:lang w:val="en-US"/>
        </w:rPr>
        <w:t xml:space="preserve"> the positive recom</w:t>
      </w:r>
      <w:r w:rsidR="00E41386">
        <w:rPr>
          <w:lang w:val="en-US"/>
        </w:rPr>
        <w:t>mendation in U.3 for this file.</w:t>
      </w:r>
    </w:p>
    <w:p w14:paraId="37BAC1E4" w14:textId="6583B61F" w:rsidR="00DE3750" w:rsidRPr="00813D19" w:rsidRDefault="00DE3750" w:rsidP="003569F5">
      <w:pPr>
        <w:pStyle w:val="Orateurengris"/>
        <w:spacing w:before="120"/>
        <w:ind w:left="709" w:hanging="709"/>
        <w:rPr>
          <w:lang w:val="en-US"/>
        </w:rPr>
      </w:pPr>
      <w:r w:rsidRPr="00813D19">
        <w:rPr>
          <w:lang w:val="en-US"/>
        </w:rPr>
        <w:t xml:space="preserve">The </w:t>
      </w:r>
      <w:r w:rsidRPr="00813D19">
        <w:rPr>
          <w:b/>
          <w:lang w:val="en-US"/>
        </w:rPr>
        <w:t>delegation of Kazakhstan</w:t>
      </w:r>
      <w:r w:rsidR="003B2715" w:rsidRPr="00813D19">
        <w:rPr>
          <w:b/>
          <w:lang w:val="en-US"/>
        </w:rPr>
        <w:t xml:space="preserve"> </w:t>
      </w:r>
      <w:r w:rsidR="003B2715" w:rsidRPr="00813D19">
        <w:rPr>
          <w:lang w:val="en-US"/>
        </w:rPr>
        <w:t>support</w:t>
      </w:r>
      <w:r w:rsidR="0033403C" w:rsidRPr="00813D19">
        <w:rPr>
          <w:lang w:val="en-US"/>
        </w:rPr>
        <w:t>ed</w:t>
      </w:r>
      <w:r w:rsidR="003B2715" w:rsidRPr="00813D19">
        <w:rPr>
          <w:lang w:val="en-US"/>
        </w:rPr>
        <w:t xml:space="preserve"> Palestine</w:t>
      </w:r>
      <w:r w:rsidR="0033403C" w:rsidRPr="00813D19">
        <w:rPr>
          <w:lang w:val="en-US"/>
        </w:rPr>
        <w:t>’s</w:t>
      </w:r>
      <w:r w:rsidR="003B2715" w:rsidRPr="00813D19">
        <w:rPr>
          <w:lang w:val="en-US"/>
        </w:rPr>
        <w:t xml:space="preserve"> amendment. Considering that most countries </w:t>
      </w:r>
      <w:r w:rsidR="0068518A" w:rsidRPr="00813D19">
        <w:rPr>
          <w:lang w:val="en-US"/>
        </w:rPr>
        <w:t xml:space="preserve">only </w:t>
      </w:r>
      <w:r w:rsidR="003B2715" w:rsidRPr="00813D19">
        <w:rPr>
          <w:lang w:val="en-US"/>
        </w:rPr>
        <w:t xml:space="preserve">recently </w:t>
      </w:r>
      <w:r w:rsidR="0068518A" w:rsidRPr="00813D19">
        <w:rPr>
          <w:lang w:val="en-US"/>
        </w:rPr>
        <w:t>had the opportunity</w:t>
      </w:r>
      <w:r w:rsidR="003B2715" w:rsidRPr="00813D19">
        <w:rPr>
          <w:lang w:val="en-US"/>
        </w:rPr>
        <w:t xml:space="preserve"> to </w:t>
      </w:r>
      <w:r w:rsidR="00813D19" w:rsidRPr="00813D19">
        <w:rPr>
          <w:lang w:val="en-US"/>
        </w:rPr>
        <w:t>offer</w:t>
      </w:r>
      <w:r w:rsidR="003B2715" w:rsidRPr="00813D19">
        <w:rPr>
          <w:lang w:val="en-US"/>
        </w:rPr>
        <w:t xml:space="preserve"> </w:t>
      </w:r>
      <w:r w:rsidR="0068518A" w:rsidRPr="00813D19">
        <w:rPr>
          <w:lang w:val="en-US"/>
        </w:rPr>
        <w:t xml:space="preserve">remote areas </w:t>
      </w:r>
      <w:r w:rsidR="00B37F11" w:rsidRPr="00813D19">
        <w:rPr>
          <w:lang w:val="en-US"/>
        </w:rPr>
        <w:t xml:space="preserve">better </w:t>
      </w:r>
      <w:r w:rsidR="003B2715" w:rsidRPr="00813D19">
        <w:rPr>
          <w:lang w:val="en-US"/>
        </w:rPr>
        <w:t>household facilities</w:t>
      </w:r>
      <w:r w:rsidR="0068518A" w:rsidRPr="00813D19">
        <w:rPr>
          <w:lang w:val="en-US"/>
        </w:rPr>
        <w:t>,</w:t>
      </w:r>
      <w:r w:rsidR="003B2715" w:rsidRPr="00813D19">
        <w:rPr>
          <w:lang w:val="en-US"/>
        </w:rPr>
        <w:t xml:space="preserve"> </w:t>
      </w:r>
      <w:r w:rsidR="0068518A" w:rsidRPr="00813D19">
        <w:rPr>
          <w:lang w:val="en-US"/>
        </w:rPr>
        <w:t xml:space="preserve">such as </w:t>
      </w:r>
      <w:r w:rsidR="003B2715" w:rsidRPr="00813D19">
        <w:rPr>
          <w:lang w:val="en-US"/>
        </w:rPr>
        <w:t>centralized irrigation,</w:t>
      </w:r>
      <w:r w:rsidR="0068518A" w:rsidRPr="00813D19">
        <w:rPr>
          <w:lang w:val="en-US"/>
        </w:rPr>
        <w:t xml:space="preserve"> electricity or heating systems, the delegation understood</w:t>
      </w:r>
      <w:r w:rsidR="003B2715" w:rsidRPr="00813D19">
        <w:rPr>
          <w:lang w:val="en-US"/>
        </w:rPr>
        <w:t xml:space="preserve"> the goodwill </w:t>
      </w:r>
      <w:r w:rsidR="00BD5E40" w:rsidRPr="00813D19">
        <w:rPr>
          <w:lang w:val="en-US"/>
        </w:rPr>
        <w:t xml:space="preserve">of the Government </w:t>
      </w:r>
      <w:r w:rsidR="003B2715" w:rsidRPr="00813D19">
        <w:rPr>
          <w:lang w:val="en-US"/>
        </w:rPr>
        <w:t xml:space="preserve">to improve </w:t>
      </w:r>
      <w:r w:rsidR="00E228BB" w:rsidRPr="00813D19">
        <w:rPr>
          <w:lang w:val="en-US"/>
        </w:rPr>
        <w:t xml:space="preserve">the </w:t>
      </w:r>
      <w:r w:rsidR="003B2715" w:rsidRPr="00813D19">
        <w:rPr>
          <w:lang w:val="en-US"/>
        </w:rPr>
        <w:t xml:space="preserve">living conditions </w:t>
      </w:r>
      <w:r w:rsidR="00E228BB" w:rsidRPr="00813D19">
        <w:rPr>
          <w:lang w:val="en-US"/>
        </w:rPr>
        <w:t xml:space="preserve">of those </w:t>
      </w:r>
      <w:r w:rsidR="0068518A" w:rsidRPr="00813D19">
        <w:rPr>
          <w:lang w:val="en-US"/>
        </w:rPr>
        <w:t xml:space="preserve">living </w:t>
      </w:r>
      <w:r w:rsidR="00B37F11" w:rsidRPr="00813D19">
        <w:rPr>
          <w:lang w:val="en-US"/>
        </w:rPr>
        <w:t>under</w:t>
      </w:r>
      <w:r w:rsidR="003B2715" w:rsidRPr="00813D19">
        <w:rPr>
          <w:lang w:val="en-US"/>
        </w:rPr>
        <w:t xml:space="preserve"> harsh climatic environments. Whenever technology </w:t>
      </w:r>
      <w:r w:rsidR="0068518A" w:rsidRPr="00813D19">
        <w:rPr>
          <w:lang w:val="en-US"/>
        </w:rPr>
        <w:t xml:space="preserve">reaches </w:t>
      </w:r>
      <w:r w:rsidR="003B2715" w:rsidRPr="00813D19">
        <w:rPr>
          <w:lang w:val="en-US"/>
        </w:rPr>
        <w:t>rural areas</w:t>
      </w:r>
      <w:r w:rsidR="0068518A" w:rsidRPr="00813D19">
        <w:rPr>
          <w:lang w:val="en-US"/>
        </w:rPr>
        <w:t>,</w:t>
      </w:r>
      <w:r w:rsidR="003B2715" w:rsidRPr="00813D19">
        <w:rPr>
          <w:lang w:val="en-US"/>
        </w:rPr>
        <w:t xml:space="preserve"> local communities cannot fully </w:t>
      </w:r>
      <w:r w:rsidR="00E228BB" w:rsidRPr="00813D19">
        <w:rPr>
          <w:lang w:val="en-US"/>
        </w:rPr>
        <w:t xml:space="preserve">grasp </w:t>
      </w:r>
      <w:r w:rsidR="003B2715" w:rsidRPr="00813D19">
        <w:rPr>
          <w:lang w:val="en-US"/>
        </w:rPr>
        <w:t>the value of their traditional and sustainable lifestyle</w:t>
      </w:r>
      <w:r w:rsidR="0068518A" w:rsidRPr="00813D19">
        <w:rPr>
          <w:lang w:val="en-US"/>
        </w:rPr>
        <w:t>s</w:t>
      </w:r>
      <w:r w:rsidR="003B2715" w:rsidRPr="00813D19">
        <w:rPr>
          <w:lang w:val="en-US"/>
        </w:rPr>
        <w:t xml:space="preserve"> from the perspective of universal cultural heritage. As a Committee Member</w:t>
      </w:r>
      <w:r w:rsidR="0068518A" w:rsidRPr="00813D19">
        <w:rPr>
          <w:lang w:val="en-US"/>
        </w:rPr>
        <w:t>,</w:t>
      </w:r>
      <w:r w:rsidR="003B2715" w:rsidRPr="00813D19">
        <w:rPr>
          <w:lang w:val="en-US"/>
        </w:rPr>
        <w:t xml:space="preserve"> </w:t>
      </w:r>
      <w:r w:rsidR="0068518A" w:rsidRPr="00813D19">
        <w:rPr>
          <w:lang w:val="en-US"/>
        </w:rPr>
        <w:t xml:space="preserve">the delegation gave </w:t>
      </w:r>
      <w:r w:rsidR="00BD5E40" w:rsidRPr="00813D19">
        <w:rPr>
          <w:lang w:val="en-US"/>
        </w:rPr>
        <w:t xml:space="preserve">the nomination </w:t>
      </w:r>
      <w:r w:rsidR="003B2715" w:rsidRPr="00813D19">
        <w:rPr>
          <w:lang w:val="en-US"/>
        </w:rPr>
        <w:t xml:space="preserve">credit for </w:t>
      </w:r>
      <w:r w:rsidR="0068518A" w:rsidRPr="00813D19">
        <w:rPr>
          <w:lang w:val="en-US"/>
        </w:rPr>
        <w:t xml:space="preserve">its </w:t>
      </w:r>
      <w:r w:rsidR="003B2715" w:rsidRPr="00813D19">
        <w:rPr>
          <w:lang w:val="en-US"/>
        </w:rPr>
        <w:t xml:space="preserve">realistic depiction of </w:t>
      </w:r>
      <w:r w:rsidR="0068518A" w:rsidRPr="00813D19">
        <w:rPr>
          <w:lang w:val="en-US"/>
        </w:rPr>
        <w:t xml:space="preserve">the </w:t>
      </w:r>
      <w:r w:rsidR="003B2715" w:rsidRPr="00813D19">
        <w:rPr>
          <w:lang w:val="en-US"/>
        </w:rPr>
        <w:t xml:space="preserve">situation </w:t>
      </w:r>
      <w:r w:rsidR="0068518A" w:rsidRPr="00813D19">
        <w:rPr>
          <w:lang w:val="en-US"/>
        </w:rPr>
        <w:t>that showed</w:t>
      </w:r>
      <w:r w:rsidR="003B2715" w:rsidRPr="00813D19">
        <w:rPr>
          <w:lang w:val="en-US"/>
        </w:rPr>
        <w:t xml:space="preserve"> sincere concern from </w:t>
      </w:r>
      <w:r w:rsidR="00F66D79" w:rsidRPr="00813D19">
        <w:rPr>
          <w:lang w:val="en-US"/>
        </w:rPr>
        <w:t xml:space="preserve">the community representatives, such as </w:t>
      </w:r>
      <w:r w:rsidR="003B2715" w:rsidRPr="00813D19">
        <w:rPr>
          <w:lang w:val="en-US"/>
        </w:rPr>
        <w:t>the measurers, accountants, students, researchers</w:t>
      </w:r>
      <w:r w:rsidR="00F66D79" w:rsidRPr="00813D19">
        <w:rPr>
          <w:lang w:val="en-US"/>
        </w:rPr>
        <w:t>,</w:t>
      </w:r>
      <w:r w:rsidR="003B2715" w:rsidRPr="00813D19">
        <w:rPr>
          <w:lang w:val="en-US"/>
        </w:rPr>
        <w:t xml:space="preserve"> as well as local and state authorities</w:t>
      </w:r>
      <w:r w:rsidR="00F66D79" w:rsidRPr="00813D19">
        <w:rPr>
          <w:lang w:val="en-US"/>
        </w:rPr>
        <w:t>,</w:t>
      </w:r>
      <w:r w:rsidR="003B2715" w:rsidRPr="00813D19">
        <w:rPr>
          <w:lang w:val="en-US"/>
        </w:rPr>
        <w:t xml:space="preserve"> to find practical, efficient and long-term safeguarding solutions. </w:t>
      </w:r>
      <w:r w:rsidR="00F66D79" w:rsidRPr="00813D19">
        <w:rPr>
          <w:lang w:val="en-US"/>
        </w:rPr>
        <w:t>An a</w:t>
      </w:r>
      <w:r w:rsidR="003B2715" w:rsidRPr="00813D19">
        <w:rPr>
          <w:lang w:val="en-US"/>
        </w:rPr>
        <w:t>ppropriate water supply and land resource management system</w:t>
      </w:r>
      <w:r w:rsidR="00F66D79" w:rsidRPr="00813D19">
        <w:rPr>
          <w:lang w:val="en-US"/>
        </w:rPr>
        <w:t xml:space="preserve"> respecting </w:t>
      </w:r>
      <w:r w:rsidR="003B2715" w:rsidRPr="00813D19">
        <w:rPr>
          <w:lang w:val="en-US"/>
        </w:rPr>
        <w:t xml:space="preserve">traditional forms </w:t>
      </w:r>
      <w:r w:rsidR="00F66D79" w:rsidRPr="00813D19">
        <w:rPr>
          <w:lang w:val="en-US"/>
        </w:rPr>
        <w:t xml:space="preserve">in terms of </w:t>
      </w:r>
      <w:r w:rsidR="003B2715" w:rsidRPr="00813D19">
        <w:rPr>
          <w:lang w:val="en-US"/>
        </w:rPr>
        <w:t>the viability of the element would require serious financial, technical and adm</w:t>
      </w:r>
      <w:r w:rsidR="00BD5E40" w:rsidRPr="00813D19">
        <w:rPr>
          <w:lang w:val="en-US"/>
        </w:rPr>
        <w:t>inistrative resources from both the G</w:t>
      </w:r>
      <w:r w:rsidR="003B2715" w:rsidRPr="00813D19">
        <w:rPr>
          <w:lang w:val="en-US"/>
        </w:rPr>
        <w:t xml:space="preserve">overnment and communities, which </w:t>
      </w:r>
      <w:r w:rsidR="00BD5E40" w:rsidRPr="00813D19">
        <w:rPr>
          <w:lang w:val="en-US"/>
        </w:rPr>
        <w:t>make</w:t>
      </w:r>
      <w:r w:rsidR="00F66D79" w:rsidRPr="00813D19">
        <w:rPr>
          <w:lang w:val="en-US"/>
        </w:rPr>
        <w:t xml:space="preserve"> </w:t>
      </w:r>
      <w:r w:rsidR="003B2715" w:rsidRPr="00813D19">
        <w:rPr>
          <w:lang w:val="en-US"/>
        </w:rPr>
        <w:t xml:space="preserve">inscription on the Urgent Safeguarding List hardly attainable. Bearing in mind that </w:t>
      </w:r>
      <w:r w:rsidR="00F66D79" w:rsidRPr="00813D19">
        <w:rPr>
          <w:lang w:val="en-US"/>
        </w:rPr>
        <w:t xml:space="preserve">the </w:t>
      </w:r>
      <w:r w:rsidR="0084146F">
        <w:rPr>
          <w:lang w:val="en-US"/>
        </w:rPr>
        <w:t xml:space="preserve">survival of the </w:t>
      </w:r>
      <w:r w:rsidR="00F66D79" w:rsidRPr="00813D19">
        <w:rPr>
          <w:lang w:val="en-US"/>
        </w:rPr>
        <w:t>element</w:t>
      </w:r>
      <w:r w:rsidR="003B2715" w:rsidRPr="00813D19">
        <w:rPr>
          <w:lang w:val="en-US"/>
        </w:rPr>
        <w:t xml:space="preserve"> </w:t>
      </w:r>
      <w:r w:rsidR="00F66D79" w:rsidRPr="00813D19">
        <w:rPr>
          <w:lang w:val="en-US"/>
        </w:rPr>
        <w:t xml:space="preserve">was </w:t>
      </w:r>
      <w:r w:rsidR="003B2715" w:rsidRPr="00813D19">
        <w:rPr>
          <w:lang w:val="en-US"/>
        </w:rPr>
        <w:t>threatened by changing traditional lifestyle</w:t>
      </w:r>
      <w:r w:rsidR="00F66D79" w:rsidRPr="00813D19">
        <w:rPr>
          <w:lang w:val="en-US"/>
        </w:rPr>
        <w:t xml:space="preserve">s, the delegation </w:t>
      </w:r>
      <w:r w:rsidR="003B2715" w:rsidRPr="00813D19">
        <w:rPr>
          <w:lang w:val="en-US"/>
        </w:rPr>
        <w:t>support</w:t>
      </w:r>
      <w:r w:rsidR="00BD5E40" w:rsidRPr="00813D19">
        <w:rPr>
          <w:lang w:val="en-US"/>
        </w:rPr>
        <w:t>ed</w:t>
      </w:r>
      <w:r w:rsidR="003B2715" w:rsidRPr="00813D19">
        <w:rPr>
          <w:lang w:val="en-US"/>
        </w:rPr>
        <w:t xml:space="preserve"> inscription on the basis </w:t>
      </w:r>
      <w:r w:rsidR="00F66D79" w:rsidRPr="00813D19">
        <w:rPr>
          <w:lang w:val="en-US"/>
        </w:rPr>
        <w:t xml:space="preserve">of a </w:t>
      </w:r>
      <w:r w:rsidR="003B2715" w:rsidRPr="00813D19">
        <w:rPr>
          <w:lang w:val="en-US"/>
        </w:rPr>
        <w:t xml:space="preserve">more flexible and realistic evaluation of viability for such elements. Inscribing </w:t>
      </w:r>
      <w:r w:rsidR="00F66D79" w:rsidRPr="00813D19">
        <w:rPr>
          <w:lang w:val="en-US"/>
        </w:rPr>
        <w:t>this element—a treasure</w:t>
      </w:r>
      <w:r w:rsidR="003B2715" w:rsidRPr="00813D19">
        <w:rPr>
          <w:lang w:val="en-US"/>
        </w:rPr>
        <w:t xml:space="preserve"> </w:t>
      </w:r>
      <w:r w:rsidR="00F66D79" w:rsidRPr="00813D19">
        <w:rPr>
          <w:lang w:val="en-US"/>
        </w:rPr>
        <w:t xml:space="preserve">of human genius and creativity and </w:t>
      </w:r>
      <w:r w:rsidR="003B2715" w:rsidRPr="00813D19">
        <w:rPr>
          <w:lang w:val="en-US"/>
        </w:rPr>
        <w:t xml:space="preserve">a model of </w:t>
      </w:r>
      <w:r w:rsidR="00F66D79" w:rsidRPr="00813D19">
        <w:rPr>
          <w:lang w:val="en-US"/>
        </w:rPr>
        <w:t xml:space="preserve">an </w:t>
      </w:r>
      <w:r w:rsidR="003B2715" w:rsidRPr="00813D19">
        <w:rPr>
          <w:lang w:val="en-US"/>
        </w:rPr>
        <w:t xml:space="preserve">environmental and </w:t>
      </w:r>
      <w:r w:rsidR="00F66D79" w:rsidRPr="00813D19">
        <w:rPr>
          <w:lang w:val="en-US"/>
        </w:rPr>
        <w:t>socially sustainable livelihood—</w:t>
      </w:r>
      <w:r w:rsidR="003B2715" w:rsidRPr="00813D19">
        <w:rPr>
          <w:lang w:val="en-US"/>
        </w:rPr>
        <w:t>w</w:t>
      </w:r>
      <w:r w:rsidR="0084146F">
        <w:rPr>
          <w:lang w:val="en-US"/>
        </w:rPr>
        <w:t>ould</w:t>
      </w:r>
      <w:r w:rsidR="003B2715" w:rsidRPr="00813D19">
        <w:rPr>
          <w:lang w:val="en-US"/>
        </w:rPr>
        <w:t xml:space="preserve"> breathe new life </w:t>
      </w:r>
      <w:r w:rsidR="00F66D79" w:rsidRPr="00813D19">
        <w:rPr>
          <w:lang w:val="en-US"/>
        </w:rPr>
        <w:t xml:space="preserve">into the </w:t>
      </w:r>
      <w:r w:rsidR="003B2715" w:rsidRPr="00813D19">
        <w:rPr>
          <w:lang w:val="en-US"/>
        </w:rPr>
        <w:t>element</w:t>
      </w:r>
      <w:r w:rsidR="00F66D79" w:rsidRPr="00813D19">
        <w:rPr>
          <w:lang w:val="en-US"/>
        </w:rPr>
        <w:t>’s</w:t>
      </w:r>
      <w:r w:rsidR="003B2715" w:rsidRPr="00813D19">
        <w:rPr>
          <w:lang w:val="en-US"/>
        </w:rPr>
        <w:t xml:space="preserve"> </w:t>
      </w:r>
      <w:r w:rsidR="00F66D79" w:rsidRPr="00813D19">
        <w:rPr>
          <w:lang w:val="en-US"/>
        </w:rPr>
        <w:t xml:space="preserve">future </w:t>
      </w:r>
      <w:r w:rsidR="003B2715" w:rsidRPr="00813D19">
        <w:rPr>
          <w:lang w:val="en-US"/>
        </w:rPr>
        <w:t>survival by attracting comprehensive research, documentation, training and practical application</w:t>
      </w:r>
      <w:r w:rsidR="00F66D79" w:rsidRPr="00813D19">
        <w:rPr>
          <w:lang w:val="en-US"/>
        </w:rPr>
        <w:t>,</w:t>
      </w:r>
      <w:r w:rsidR="003B2715" w:rsidRPr="00813D19">
        <w:rPr>
          <w:lang w:val="en-US"/>
        </w:rPr>
        <w:t xml:space="preserve"> both as a living heritage in Algeria </w:t>
      </w:r>
      <w:r w:rsidR="0084146F">
        <w:rPr>
          <w:lang w:val="en-US"/>
        </w:rPr>
        <w:t>and</w:t>
      </w:r>
      <w:r w:rsidR="003B2715" w:rsidRPr="00813D19">
        <w:rPr>
          <w:lang w:val="en-US"/>
        </w:rPr>
        <w:t xml:space="preserve"> </w:t>
      </w:r>
      <w:r w:rsidR="00BD5E40" w:rsidRPr="00813D19">
        <w:rPr>
          <w:lang w:val="en-US"/>
        </w:rPr>
        <w:t>as an innovative housing project</w:t>
      </w:r>
      <w:r w:rsidR="00E41386">
        <w:rPr>
          <w:lang w:val="en-US"/>
        </w:rPr>
        <w:t xml:space="preserve"> abroad.</w:t>
      </w:r>
    </w:p>
    <w:p w14:paraId="1697EBB7" w14:textId="08EEB768" w:rsidR="00F66D79" w:rsidRPr="00813D19" w:rsidRDefault="00810CE1" w:rsidP="003569F5">
      <w:pPr>
        <w:pStyle w:val="Orateurengris"/>
        <w:spacing w:before="120"/>
        <w:ind w:left="709" w:hanging="709"/>
        <w:rPr>
          <w:lang w:val="en-US"/>
        </w:rPr>
      </w:pPr>
      <w:r w:rsidRPr="00813D19">
        <w:rPr>
          <w:lang w:val="en-US"/>
        </w:rPr>
        <w:t xml:space="preserve">The </w:t>
      </w:r>
      <w:r w:rsidRPr="00813D19">
        <w:rPr>
          <w:b/>
          <w:lang w:val="en-US"/>
        </w:rPr>
        <w:t>delegation of Djibouti</w:t>
      </w:r>
      <w:r w:rsidR="003B2715" w:rsidRPr="00813D19">
        <w:rPr>
          <w:b/>
          <w:lang w:val="en-US"/>
        </w:rPr>
        <w:t xml:space="preserve"> </w:t>
      </w:r>
      <w:r w:rsidR="00F66D79" w:rsidRPr="00813D19">
        <w:rPr>
          <w:lang w:val="en-US"/>
        </w:rPr>
        <w:t xml:space="preserve">congratulated Algeria, as it also recognized the relevance of this traditional know-how related to the distribution of water under difficult climatic conditions. In this context, the Evaluation Body considered that the local community did not appear to have been involved in safeguarding the element as an expression of living heritage and, according to the file, there was a gap between youth and elders in the </w:t>
      </w:r>
      <w:r w:rsidR="0084146F">
        <w:rPr>
          <w:lang w:val="en-US"/>
        </w:rPr>
        <w:t xml:space="preserve">transmission of the </w:t>
      </w:r>
      <w:r w:rsidR="00F66D79" w:rsidRPr="00813D19">
        <w:rPr>
          <w:lang w:val="en-US"/>
        </w:rPr>
        <w:t>element. The delegation sought information on the community’s involvement in safeguarding this element.</w:t>
      </w:r>
    </w:p>
    <w:p w14:paraId="67B044D9" w14:textId="062D3A97" w:rsidR="00810CE1" w:rsidRPr="00813D19" w:rsidRDefault="000E6122" w:rsidP="003569F5">
      <w:pPr>
        <w:pStyle w:val="Orateurengris"/>
        <w:spacing w:before="120"/>
        <w:ind w:left="709" w:hanging="709"/>
        <w:rPr>
          <w:lang w:val="en-US"/>
        </w:rPr>
      </w:pPr>
      <w:r w:rsidRPr="00813D19">
        <w:rPr>
          <w:lang w:val="en-US"/>
        </w:rPr>
        <w:t>T</w:t>
      </w:r>
      <w:r w:rsidR="00BD5E40" w:rsidRPr="00813D19">
        <w:rPr>
          <w:lang w:val="en-US"/>
        </w:rPr>
        <w:t>hanking</w:t>
      </w:r>
      <w:r w:rsidRPr="00813D19">
        <w:rPr>
          <w:lang w:val="en-US"/>
        </w:rPr>
        <w:t xml:space="preserve"> the Evaluation Body, t</w:t>
      </w:r>
      <w:r w:rsidR="00810CE1" w:rsidRPr="00813D19">
        <w:rPr>
          <w:lang w:val="en-US"/>
        </w:rPr>
        <w:t xml:space="preserve">he </w:t>
      </w:r>
      <w:r w:rsidR="00810CE1" w:rsidRPr="00813D19">
        <w:rPr>
          <w:b/>
          <w:lang w:val="en-US"/>
        </w:rPr>
        <w:t>delegation of Jamaica</w:t>
      </w:r>
      <w:r w:rsidR="003B2715" w:rsidRPr="00813D19">
        <w:rPr>
          <w:lang w:val="en-US"/>
        </w:rPr>
        <w:t xml:space="preserve"> </w:t>
      </w:r>
      <w:r w:rsidRPr="00813D19">
        <w:rPr>
          <w:lang w:val="en-US"/>
        </w:rPr>
        <w:t>recognized</w:t>
      </w:r>
      <w:r w:rsidR="003B2715" w:rsidRPr="00813D19">
        <w:rPr>
          <w:lang w:val="en-US"/>
        </w:rPr>
        <w:t xml:space="preserve"> the sign</w:t>
      </w:r>
      <w:r w:rsidRPr="00813D19">
        <w:rPr>
          <w:lang w:val="en-US"/>
        </w:rPr>
        <w:t>ificance of the water measurers</w:t>
      </w:r>
      <w:r w:rsidR="003B2715" w:rsidRPr="00813D19">
        <w:rPr>
          <w:lang w:val="en-US"/>
        </w:rPr>
        <w:t xml:space="preserve"> of the foggaras</w:t>
      </w:r>
      <w:r w:rsidRPr="00813D19">
        <w:rPr>
          <w:lang w:val="en-US"/>
        </w:rPr>
        <w:t xml:space="preserve"> and noted</w:t>
      </w:r>
      <w:r w:rsidR="003B2715" w:rsidRPr="00813D19">
        <w:rPr>
          <w:lang w:val="en-US"/>
        </w:rPr>
        <w:t xml:space="preserve"> that the file </w:t>
      </w:r>
      <w:r w:rsidRPr="00813D19">
        <w:rPr>
          <w:lang w:val="en-US"/>
        </w:rPr>
        <w:t xml:space="preserve">had </w:t>
      </w:r>
      <w:r w:rsidR="003B2715" w:rsidRPr="00813D19">
        <w:rPr>
          <w:lang w:val="en-US"/>
        </w:rPr>
        <w:t xml:space="preserve">adequately satisfied criteria U.1, U.2, U.4 and U.5. in clearly presenting the features of the water measurer </w:t>
      </w:r>
      <w:r w:rsidRPr="00813D19">
        <w:rPr>
          <w:lang w:val="en-US"/>
        </w:rPr>
        <w:t xml:space="preserve">with respect </w:t>
      </w:r>
      <w:r w:rsidR="003B2715" w:rsidRPr="00813D19">
        <w:rPr>
          <w:lang w:val="en-US"/>
        </w:rPr>
        <w:t xml:space="preserve">to the historical community and </w:t>
      </w:r>
      <w:r w:rsidRPr="00813D19">
        <w:rPr>
          <w:lang w:val="en-US"/>
        </w:rPr>
        <w:t xml:space="preserve">their </w:t>
      </w:r>
      <w:r w:rsidR="003B2715" w:rsidRPr="00813D19">
        <w:rPr>
          <w:lang w:val="en-US"/>
        </w:rPr>
        <w:t xml:space="preserve">role in ensuring the survival of the community through </w:t>
      </w:r>
      <w:r w:rsidR="00BD5E40" w:rsidRPr="00813D19">
        <w:rPr>
          <w:lang w:val="en-US"/>
        </w:rPr>
        <w:t xml:space="preserve">the </w:t>
      </w:r>
      <w:r w:rsidR="003B2715" w:rsidRPr="00813D19">
        <w:rPr>
          <w:lang w:val="en-US"/>
        </w:rPr>
        <w:t xml:space="preserve">management of the irrigation system. </w:t>
      </w:r>
      <w:r w:rsidRPr="00813D19">
        <w:rPr>
          <w:lang w:val="en-US"/>
        </w:rPr>
        <w:t xml:space="preserve">The delegation found that </w:t>
      </w:r>
      <w:r w:rsidR="003B2715" w:rsidRPr="00813D19">
        <w:rPr>
          <w:lang w:val="en-US"/>
        </w:rPr>
        <w:t xml:space="preserve">the concerns raised by the Evaluation Body on </w:t>
      </w:r>
      <w:r w:rsidRPr="00813D19">
        <w:rPr>
          <w:lang w:val="en-US"/>
        </w:rPr>
        <w:t xml:space="preserve">the </w:t>
      </w:r>
      <w:r w:rsidR="003B2715" w:rsidRPr="00813D19">
        <w:rPr>
          <w:lang w:val="en-US"/>
        </w:rPr>
        <w:t xml:space="preserve">issues of safeguarding the element and ensuring its viability </w:t>
      </w:r>
      <w:r w:rsidRPr="00813D19">
        <w:rPr>
          <w:lang w:val="en-US"/>
        </w:rPr>
        <w:t xml:space="preserve">could be </w:t>
      </w:r>
      <w:r w:rsidR="003B2715" w:rsidRPr="00813D19">
        <w:rPr>
          <w:lang w:val="en-US"/>
        </w:rPr>
        <w:t>clarified by Algeria</w:t>
      </w:r>
      <w:r w:rsidR="00BD5E40" w:rsidRPr="00813D19">
        <w:rPr>
          <w:lang w:val="en-US"/>
        </w:rPr>
        <w:t>,</w:t>
      </w:r>
      <w:r w:rsidR="003B2715" w:rsidRPr="00813D19">
        <w:rPr>
          <w:lang w:val="en-US"/>
        </w:rPr>
        <w:t xml:space="preserve"> and further clarification of these areas </w:t>
      </w:r>
      <w:r w:rsidRPr="00813D19">
        <w:rPr>
          <w:lang w:val="en-US"/>
        </w:rPr>
        <w:t xml:space="preserve">could </w:t>
      </w:r>
      <w:r w:rsidR="003B2715" w:rsidRPr="00813D19">
        <w:rPr>
          <w:lang w:val="en-US"/>
        </w:rPr>
        <w:t xml:space="preserve">be provided in </w:t>
      </w:r>
      <w:r w:rsidRPr="00813D19">
        <w:rPr>
          <w:lang w:val="en-US"/>
        </w:rPr>
        <w:t xml:space="preserve">the event </w:t>
      </w:r>
      <w:r w:rsidR="0084146F">
        <w:rPr>
          <w:lang w:val="en-US"/>
        </w:rPr>
        <w:t xml:space="preserve">that </w:t>
      </w:r>
      <w:r w:rsidRPr="00813D19">
        <w:rPr>
          <w:lang w:val="en-US"/>
        </w:rPr>
        <w:t xml:space="preserve">the Committee required additional information. It therefore sought to hear </w:t>
      </w:r>
      <w:r w:rsidR="003B2715" w:rsidRPr="00813D19">
        <w:rPr>
          <w:lang w:val="en-US"/>
        </w:rPr>
        <w:t>the State Party address the concerns raised by Palestine</w:t>
      </w:r>
      <w:r w:rsidRPr="00813D19">
        <w:rPr>
          <w:lang w:val="en-US"/>
        </w:rPr>
        <w:t>, adding that it supported</w:t>
      </w:r>
      <w:r w:rsidR="00E41386">
        <w:rPr>
          <w:lang w:val="en-US"/>
        </w:rPr>
        <w:t xml:space="preserve"> the amendment as submitted.</w:t>
      </w:r>
    </w:p>
    <w:p w14:paraId="0197B667" w14:textId="48FEC9BA" w:rsidR="006747B7" w:rsidRPr="00813D19" w:rsidRDefault="006747B7" w:rsidP="003569F5">
      <w:pPr>
        <w:pStyle w:val="Orateurengris"/>
        <w:spacing w:before="120"/>
        <w:ind w:left="709" w:hanging="709"/>
        <w:rPr>
          <w:lang w:val="en-US"/>
        </w:rPr>
      </w:pPr>
      <w:r w:rsidRPr="00813D19">
        <w:rPr>
          <w:lang w:val="en-US"/>
        </w:rPr>
        <w:t xml:space="preserve">The </w:t>
      </w:r>
      <w:r w:rsidRPr="00813D19">
        <w:rPr>
          <w:b/>
          <w:lang w:val="en-US"/>
        </w:rPr>
        <w:t xml:space="preserve">delegation of Algeria </w:t>
      </w:r>
      <w:r w:rsidR="00A24778" w:rsidRPr="00813D19">
        <w:rPr>
          <w:lang w:val="en-US"/>
        </w:rPr>
        <w:t>began by thanking</w:t>
      </w:r>
      <w:r w:rsidR="00A24778" w:rsidRPr="00813D19">
        <w:rPr>
          <w:b/>
          <w:lang w:val="en-US"/>
        </w:rPr>
        <w:t xml:space="preserve"> </w:t>
      </w:r>
      <w:r w:rsidR="00A24778" w:rsidRPr="00813D19">
        <w:rPr>
          <w:lang w:val="en-US"/>
        </w:rPr>
        <w:t>the Members of the Committee for their questions and for the interest shown in this nomination</w:t>
      </w:r>
      <w:r w:rsidR="001327FE" w:rsidRPr="00813D19">
        <w:rPr>
          <w:lang w:val="en-US"/>
        </w:rPr>
        <w:t>,</w:t>
      </w:r>
      <w:r w:rsidR="00A24778" w:rsidRPr="00813D19">
        <w:rPr>
          <w:lang w:val="en-US"/>
        </w:rPr>
        <w:t xml:space="preserve"> </w:t>
      </w:r>
      <w:r w:rsidR="001327FE" w:rsidRPr="00813D19">
        <w:rPr>
          <w:lang w:val="en-US"/>
        </w:rPr>
        <w:t xml:space="preserve">and </w:t>
      </w:r>
      <w:r w:rsidR="00A24778" w:rsidRPr="00813D19">
        <w:rPr>
          <w:lang w:val="en-US"/>
        </w:rPr>
        <w:t>invited his colleague</w:t>
      </w:r>
      <w:r w:rsidR="001327FE" w:rsidRPr="00813D19">
        <w:rPr>
          <w:lang w:val="en-US"/>
        </w:rPr>
        <w:t xml:space="preserve">— who had worked on the nomination file—to </w:t>
      </w:r>
      <w:r w:rsidR="00E41386">
        <w:rPr>
          <w:lang w:val="en-US"/>
        </w:rPr>
        <w:t>respond to the concerns raised.</w:t>
      </w:r>
    </w:p>
    <w:p w14:paraId="0A52D2A4" w14:textId="661390B6" w:rsidR="007808AC" w:rsidRPr="00813D19" w:rsidRDefault="00CE097D" w:rsidP="00BF0BA0">
      <w:pPr>
        <w:pStyle w:val="Orateurengris"/>
        <w:spacing w:before="120"/>
        <w:ind w:left="709" w:hanging="709"/>
        <w:rPr>
          <w:lang w:val="en-US"/>
        </w:rPr>
      </w:pPr>
      <w:r w:rsidRPr="00813D19">
        <w:rPr>
          <w:lang w:val="en-US"/>
        </w:rPr>
        <w:t xml:space="preserve">The </w:t>
      </w:r>
      <w:r w:rsidRPr="00813D19">
        <w:rPr>
          <w:b/>
          <w:lang w:val="en-US"/>
        </w:rPr>
        <w:t>delegation of Algeria</w:t>
      </w:r>
      <w:r w:rsidR="00D2633B" w:rsidRPr="00813D19">
        <w:rPr>
          <w:b/>
          <w:lang w:val="en-US"/>
        </w:rPr>
        <w:t xml:space="preserve"> </w:t>
      </w:r>
      <w:r w:rsidR="00187FE6" w:rsidRPr="00813D19">
        <w:rPr>
          <w:lang w:val="en-US"/>
        </w:rPr>
        <w:t>[second speaker]</w:t>
      </w:r>
      <w:r w:rsidR="006747B7" w:rsidRPr="00813D19">
        <w:rPr>
          <w:b/>
          <w:lang w:val="en-US"/>
        </w:rPr>
        <w:t xml:space="preserve"> </w:t>
      </w:r>
      <w:r w:rsidR="00F86352" w:rsidRPr="00813D19">
        <w:rPr>
          <w:lang w:val="en-US"/>
        </w:rPr>
        <w:t>remarked that there</w:t>
      </w:r>
      <w:r w:rsidR="00F86352" w:rsidRPr="00813D19">
        <w:rPr>
          <w:b/>
          <w:lang w:val="en-US"/>
        </w:rPr>
        <w:t xml:space="preserve"> </w:t>
      </w:r>
      <w:r w:rsidR="00F86352" w:rsidRPr="00813D19">
        <w:rPr>
          <w:lang w:val="en-US"/>
        </w:rPr>
        <w:t>were</w:t>
      </w:r>
      <w:r w:rsidR="00F86352" w:rsidRPr="00813D19">
        <w:rPr>
          <w:b/>
          <w:lang w:val="en-US"/>
        </w:rPr>
        <w:t xml:space="preserve"> </w:t>
      </w:r>
      <w:r w:rsidR="000E6122" w:rsidRPr="00813D19">
        <w:rPr>
          <w:lang w:val="en-US"/>
        </w:rPr>
        <w:t xml:space="preserve">several elements to take into account. </w:t>
      </w:r>
      <w:r w:rsidR="00F86352" w:rsidRPr="00813D19">
        <w:rPr>
          <w:lang w:val="en-US"/>
        </w:rPr>
        <w:t xml:space="preserve">With regard to the </w:t>
      </w:r>
      <w:r w:rsidR="000E6122" w:rsidRPr="00813D19">
        <w:rPr>
          <w:lang w:val="en-US"/>
        </w:rPr>
        <w:t>community</w:t>
      </w:r>
      <w:r w:rsidR="00F86352" w:rsidRPr="00813D19">
        <w:rPr>
          <w:lang w:val="en-US"/>
        </w:rPr>
        <w:t xml:space="preserve"> involvement, the delegation referred to the discussion the previous day on the </w:t>
      </w:r>
      <w:r w:rsidR="000E6122" w:rsidRPr="00813D19">
        <w:rPr>
          <w:lang w:val="en-US"/>
        </w:rPr>
        <w:t>broad and theoretical</w:t>
      </w:r>
      <w:r w:rsidR="00F86352" w:rsidRPr="00813D19">
        <w:rPr>
          <w:lang w:val="en-US"/>
        </w:rPr>
        <w:t xml:space="preserve"> concept of </w:t>
      </w:r>
      <w:r w:rsidR="00125B7B" w:rsidRPr="00813D19">
        <w:rPr>
          <w:lang w:val="en-US"/>
        </w:rPr>
        <w:t>‘</w:t>
      </w:r>
      <w:r w:rsidR="00F86352" w:rsidRPr="00813D19">
        <w:rPr>
          <w:lang w:val="en-US"/>
        </w:rPr>
        <w:t>community</w:t>
      </w:r>
      <w:r w:rsidR="00125B7B" w:rsidRPr="00813D19">
        <w:rPr>
          <w:lang w:val="en-US"/>
        </w:rPr>
        <w:t>’</w:t>
      </w:r>
      <w:r w:rsidR="000E6122" w:rsidRPr="00813D19">
        <w:rPr>
          <w:lang w:val="en-US"/>
        </w:rPr>
        <w:t xml:space="preserve">. In </w:t>
      </w:r>
      <w:r w:rsidR="00F86352" w:rsidRPr="00813D19">
        <w:rPr>
          <w:lang w:val="en-US"/>
        </w:rPr>
        <w:t xml:space="preserve">this </w:t>
      </w:r>
      <w:r w:rsidR="000E6122" w:rsidRPr="00813D19">
        <w:rPr>
          <w:lang w:val="en-US"/>
        </w:rPr>
        <w:t>case</w:t>
      </w:r>
      <w:r w:rsidR="00F86352" w:rsidRPr="00813D19">
        <w:rPr>
          <w:lang w:val="en-US"/>
        </w:rPr>
        <w:t>,</w:t>
      </w:r>
      <w:r w:rsidR="000E6122" w:rsidRPr="00813D19">
        <w:rPr>
          <w:lang w:val="en-US"/>
        </w:rPr>
        <w:t xml:space="preserve"> the members of the communities </w:t>
      </w:r>
      <w:r w:rsidR="00F86352" w:rsidRPr="00813D19">
        <w:rPr>
          <w:lang w:val="en-US"/>
        </w:rPr>
        <w:t xml:space="preserve">were </w:t>
      </w:r>
      <w:r w:rsidR="000E6122" w:rsidRPr="00813D19">
        <w:rPr>
          <w:lang w:val="en-US"/>
        </w:rPr>
        <w:t xml:space="preserve">directly </w:t>
      </w:r>
      <w:r w:rsidR="00F86352" w:rsidRPr="00813D19">
        <w:rPr>
          <w:lang w:val="en-US"/>
        </w:rPr>
        <w:t xml:space="preserve">concerned with the issue </w:t>
      </w:r>
      <w:r w:rsidR="000E6122" w:rsidRPr="00813D19">
        <w:rPr>
          <w:lang w:val="en-US"/>
        </w:rPr>
        <w:t xml:space="preserve">of </w:t>
      </w:r>
      <w:r w:rsidR="00F86352" w:rsidRPr="00813D19">
        <w:rPr>
          <w:lang w:val="en-US"/>
        </w:rPr>
        <w:t xml:space="preserve">water </w:t>
      </w:r>
      <w:r w:rsidR="000E6122" w:rsidRPr="00813D19">
        <w:rPr>
          <w:lang w:val="en-US"/>
        </w:rPr>
        <w:t xml:space="preserve">management </w:t>
      </w:r>
      <w:r w:rsidR="00F86352" w:rsidRPr="00813D19">
        <w:rPr>
          <w:lang w:val="en-US"/>
        </w:rPr>
        <w:t>as they were—</w:t>
      </w:r>
      <w:r w:rsidR="000E6122" w:rsidRPr="00813D19">
        <w:rPr>
          <w:lang w:val="en-US"/>
        </w:rPr>
        <w:t>first</w:t>
      </w:r>
      <w:r w:rsidR="00F86352" w:rsidRPr="00813D19">
        <w:rPr>
          <w:lang w:val="en-US"/>
        </w:rPr>
        <w:t xml:space="preserve"> and foremost—</w:t>
      </w:r>
      <w:r w:rsidR="000E6122" w:rsidRPr="00813D19">
        <w:rPr>
          <w:lang w:val="en-US"/>
        </w:rPr>
        <w:t xml:space="preserve">owners of </w:t>
      </w:r>
      <w:r w:rsidR="00F86352" w:rsidRPr="00813D19">
        <w:rPr>
          <w:lang w:val="en-US"/>
        </w:rPr>
        <w:t xml:space="preserve">the </w:t>
      </w:r>
      <w:r w:rsidR="000E6122" w:rsidRPr="00813D19">
        <w:rPr>
          <w:lang w:val="en-US"/>
        </w:rPr>
        <w:t xml:space="preserve">foggaras. </w:t>
      </w:r>
      <w:r w:rsidR="00F86352" w:rsidRPr="00813D19">
        <w:rPr>
          <w:lang w:val="en-US"/>
        </w:rPr>
        <w:t>F</w:t>
      </w:r>
      <w:r w:rsidR="000E6122" w:rsidRPr="00813D19">
        <w:rPr>
          <w:lang w:val="en-US"/>
        </w:rPr>
        <w:t xml:space="preserve">oggaras </w:t>
      </w:r>
      <w:r w:rsidR="00F86352" w:rsidRPr="00813D19">
        <w:rPr>
          <w:lang w:val="en-US"/>
        </w:rPr>
        <w:t xml:space="preserve">were </w:t>
      </w:r>
      <w:r w:rsidR="000E6122" w:rsidRPr="00813D19">
        <w:rPr>
          <w:lang w:val="en-US"/>
        </w:rPr>
        <w:t xml:space="preserve">private </w:t>
      </w:r>
      <w:r w:rsidR="00F86352" w:rsidRPr="00813D19">
        <w:rPr>
          <w:lang w:val="en-US"/>
        </w:rPr>
        <w:t xml:space="preserve">structures that had been created in the past by groups of </w:t>
      </w:r>
      <w:r w:rsidR="000E6122" w:rsidRPr="00813D19">
        <w:rPr>
          <w:lang w:val="en-US"/>
        </w:rPr>
        <w:t xml:space="preserve">people who built foggaras </w:t>
      </w:r>
      <w:r w:rsidR="00F86352" w:rsidRPr="00813D19">
        <w:rPr>
          <w:lang w:val="en-US"/>
        </w:rPr>
        <w:t xml:space="preserve">to share </w:t>
      </w:r>
      <w:r w:rsidR="000E6122" w:rsidRPr="00813D19">
        <w:rPr>
          <w:lang w:val="en-US"/>
        </w:rPr>
        <w:t>water</w:t>
      </w:r>
      <w:r w:rsidR="00F86352" w:rsidRPr="00813D19">
        <w:rPr>
          <w:lang w:val="en-US"/>
        </w:rPr>
        <w:t xml:space="preserve"> resources,</w:t>
      </w:r>
      <w:r w:rsidR="000E6122" w:rsidRPr="00813D19">
        <w:rPr>
          <w:lang w:val="en-US"/>
        </w:rPr>
        <w:t xml:space="preserve"> </w:t>
      </w:r>
      <w:r w:rsidR="00F86352" w:rsidRPr="00813D19">
        <w:rPr>
          <w:lang w:val="en-US"/>
        </w:rPr>
        <w:t xml:space="preserve">which were later </w:t>
      </w:r>
      <w:r w:rsidR="000E6122" w:rsidRPr="00813D19">
        <w:rPr>
          <w:lang w:val="en-US"/>
        </w:rPr>
        <w:t xml:space="preserve">transmitted from one generation to another. </w:t>
      </w:r>
      <w:r w:rsidR="00F86352" w:rsidRPr="00813D19">
        <w:rPr>
          <w:lang w:val="en-US"/>
        </w:rPr>
        <w:t xml:space="preserve">Moreover, </w:t>
      </w:r>
      <w:r w:rsidR="000E6122" w:rsidRPr="00813D19">
        <w:rPr>
          <w:lang w:val="en-US"/>
        </w:rPr>
        <w:t>these water shares can be sold and bought by others.</w:t>
      </w:r>
      <w:r w:rsidR="00F86352" w:rsidRPr="00813D19">
        <w:rPr>
          <w:lang w:val="en-US"/>
        </w:rPr>
        <w:t xml:space="preserve"> I</w:t>
      </w:r>
      <w:r w:rsidR="00DF5035" w:rsidRPr="00813D19">
        <w:rPr>
          <w:lang w:val="en-US"/>
        </w:rPr>
        <w:t>n</w:t>
      </w:r>
      <w:r w:rsidR="00F86352" w:rsidRPr="00813D19">
        <w:rPr>
          <w:lang w:val="en-US"/>
        </w:rPr>
        <w:t xml:space="preserve"> addition to the owners of the foggaras, </w:t>
      </w:r>
      <w:r w:rsidR="00DF5035" w:rsidRPr="00813D19">
        <w:rPr>
          <w:lang w:val="en-US"/>
        </w:rPr>
        <w:t xml:space="preserve">accountants </w:t>
      </w:r>
      <w:r w:rsidR="000E2BC4" w:rsidRPr="00813D19">
        <w:rPr>
          <w:lang w:val="en-US"/>
        </w:rPr>
        <w:t>kept</w:t>
      </w:r>
      <w:r w:rsidR="00F86352" w:rsidRPr="00813D19">
        <w:rPr>
          <w:lang w:val="en-US"/>
        </w:rPr>
        <w:t xml:space="preserve"> records </w:t>
      </w:r>
      <w:r w:rsidR="00DF5035" w:rsidRPr="00813D19">
        <w:rPr>
          <w:lang w:val="en-US"/>
        </w:rPr>
        <w:t>of all the transac</w:t>
      </w:r>
      <w:r w:rsidR="000E2BC4" w:rsidRPr="00813D19">
        <w:rPr>
          <w:lang w:val="en-US"/>
        </w:rPr>
        <w:t xml:space="preserve">tions (shares bought and sold) that </w:t>
      </w:r>
      <w:r w:rsidR="00DF5035" w:rsidRPr="00813D19">
        <w:rPr>
          <w:lang w:val="en-US"/>
        </w:rPr>
        <w:t>had</w:t>
      </w:r>
      <w:r w:rsidR="00F86352" w:rsidRPr="00813D19">
        <w:rPr>
          <w:lang w:val="en-US"/>
        </w:rPr>
        <w:t xml:space="preserve"> been recorded </w:t>
      </w:r>
      <w:r w:rsidR="00DF5035" w:rsidRPr="00813D19">
        <w:rPr>
          <w:lang w:val="en-US"/>
        </w:rPr>
        <w:t>for generations, even centuries</w:t>
      </w:r>
      <w:r w:rsidR="00F86352" w:rsidRPr="00813D19">
        <w:rPr>
          <w:lang w:val="en-US"/>
        </w:rPr>
        <w:t xml:space="preserve">. </w:t>
      </w:r>
      <w:r w:rsidR="00125B7B" w:rsidRPr="00813D19">
        <w:rPr>
          <w:lang w:val="en-US"/>
        </w:rPr>
        <w:t>T</w:t>
      </w:r>
      <w:r w:rsidR="00F86352" w:rsidRPr="00813D19">
        <w:rPr>
          <w:lang w:val="en-US"/>
        </w:rPr>
        <w:t xml:space="preserve">he third </w:t>
      </w:r>
      <w:r w:rsidR="00DF5035" w:rsidRPr="00813D19">
        <w:rPr>
          <w:lang w:val="en-US"/>
        </w:rPr>
        <w:t>category of stakeholders</w:t>
      </w:r>
      <w:r w:rsidR="00F86352" w:rsidRPr="00813D19">
        <w:rPr>
          <w:lang w:val="en-US"/>
        </w:rPr>
        <w:t xml:space="preserve">, the most important </w:t>
      </w:r>
      <w:r w:rsidR="00DF5035" w:rsidRPr="00813D19">
        <w:rPr>
          <w:lang w:val="en-US"/>
        </w:rPr>
        <w:t xml:space="preserve">in terms of the </w:t>
      </w:r>
      <w:r w:rsidR="00F86352" w:rsidRPr="00813D19">
        <w:rPr>
          <w:lang w:val="en-US"/>
        </w:rPr>
        <w:t xml:space="preserve">project, </w:t>
      </w:r>
      <w:r w:rsidR="00DF5035" w:rsidRPr="00813D19">
        <w:rPr>
          <w:lang w:val="en-US"/>
        </w:rPr>
        <w:t xml:space="preserve">were </w:t>
      </w:r>
      <w:r w:rsidR="00F86352" w:rsidRPr="00813D19">
        <w:rPr>
          <w:lang w:val="en-US"/>
        </w:rPr>
        <w:t xml:space="preserve">the water </w:t>
      </w:r>
      <w:r w:rsidR="00DF5035" w:rsidRPr="00813D19">
        <w:rPr>
          <w:lang w:val="en-US"/>
        </w:rPr>
        <w:t>measurers</w:t>
      </w:r>
      <w:r w:rsidR="00125B7B" w:rsidRPr="00813D19">
        <w:rPr>
          <w:lang w:val="en-US"/>
        </w:rPr>
        <w:t>,</w:t>
      </w:r>
      <w:r w:rsidR="00F86352" w:rsidRPr="00813D19">
        <w:rPr>
          <w:lang w:val="en-US"/>
        </w:rPr>
        <w:t xml:space="preserve"> </w:t>
      </w:r>
      <w:r w:rsidR="00DF5035" w:rsidRPr="00813D19">
        <w:rPr>
          <w:lang w:val="en-US"/>
        </w:rPr>
        <w:t>called K</w:t>
      </w:r>
      <w:r w:rsidR="00F86352" w:rsidRPr="00813D19">
        <w:rPr>
          <w:lang w:val="en-US"/>
        </w:rPr>
        <w:t>iyal</w:t>
      </w:r>
      <w:r w:rsidR="00DF5035" w:rsidRPr="00813D19">
        <w:rPr>
          <w:lang w:val="en-US"/>
        </w:rPr>
        <w:t xml:space="preserve"> al-M</w:t>
      </w:r>
      <w:r w:rsidR="00F86352" w:rsidRPr="00813D19">
        <w:rPr>
          <w:lang w:val="en-US"/>
        </w:rPr>
        <w:t xml:space="preserve">a. </w:t>
      </w:r>
      <w:r w:rsidR="00125B7B" w:rsidRPr="00813D19">
        <w:rPr>
          <w:lang w:val="en-US"/>
        </w:rPr>
        <w:t xml:space="preserve">Hence there were </w:t>
      </w:r>
      <w:r w:rsidR="00F86352" w:rsidRPr="00813D19">
        <w:rPr>
          <w:lang w:val="en-US"/>
        </w:rPr>
        <w:t>three categories of people</w:t>
      </w:r>
      <w:r w:rsidR="00DF5035" w:rsidRPr="00813D19">
        <w:rPr>
          <w:lang w:val="en-US"/>
        </w:rPr>
        <w:t xml:space="preserve"> i</w:t>
      </w:r>
      <w:r w:rsidR="00125B7B" w:rsidRPr="00813D19">
        <w:rPr>
          <w:lang w:val="en-US"/>
        </w:rPr>
        <w:t>nvolved. T</w:t>
      </w:r>
      <w:r w:rsidR="00F86352" w:rsidRPr="00813D19">
        <w:rPr>
          <w:lang w:val="en-US"/>
        </w:rPr>
        <w:t xml:space="preserve">he first part of </w:t>
      </w:r>
      <w:r w:rsidR="00DF5035" w:rsidRPr="00813D19">
        <w:rPr>
          <w:lang w:val="en-US"/>
        </w:rPr>
        <w:t>the work—carried out over a few years—</w:t>
      </w:r>
      <w:r w:rsidR="00125B7B" w:rsidRPr="00813D19">
        <w:rPr>
          <w:lang w:val="en-US"/>
        </w:rPr>
        <w:t xml:space="preserve">involved </w:t>
      </w:r>
      <w:r w:rsidR="00DF5035" w:rsidRPr="00813D19">
        <w:rPr>
          <w:lang w:val="en-US"/>
        </w:rPr>
        <w:t>inventory</w:t>
      </w:r>
      <w:r w:rsidR="00125B7B" w:rsidRPr="00813D19">
        <w:rPr>
          <w:lang w:val="en-US"/>
        </w:rPr>
        <w:t>ing</w:t>
      </w:r>
      <w:r w:rsidR="00DF5035" w:rsidRPr="00813D19">
        <w:rPr>
          <w:lang w:val="en-US"/>
        </w:rPr>
        <w:t xml:space="preserve"> </w:t>
      </w:r>
      <w:r w:rsidR="00125B7B" w:rsidRPr="00813D19">
        <w:rPr>
          <w:lang w:val="en-US"/>
        </w:rPr>
        <w:t>all the</w:t>
      </w:r>
      <w:r w:rsidR="00DF5035" w:rsidRPr="00813D19">
        <w:rPr>
          <w:lang w:val="en-US"/>
        </w:rPr>
        <w:t xml:space="preserve"> </w:t>
      </w:r>
      <w:r w:rsidR="00125B7B" w:rsidRPr="00813D19">
        <w:rPr>
          <w:lang w:val="en-US"/>
        </w:rPr>
        <w:t xml:space="preserve">stakeholders </w:t>
      </w:r>
      <w:r w:rsidR="00F86352" w:rsidRPr="00813D19">
        <w:rPr>
          <w:lang w:val="en-US"/>
        </w:rPr>
        <w:t xml:space="preserve">in </w:t>
      </w:r>
      <w:r w:rsidR="00125B7B" w:rsidRPr="00813D19">
        <w:rPr>
          <w:lang w:val="en-US"/>
        </w:rPr>
        <w:t xml:space="preserve">each </w:t>
      </w:r>
      <w:r w:rsidR="00F86352" w:rsidRPr="00813D19">
        <w:rPr>
          <w:i/>
          <w:lang w:val="en-US"/>
        </w:rPr>
        <w:t>ksar</w:t>
      </w:r>
      <w:r w:rsidR="00F86352" w:rsidRPr="00813D19">
        <w:rPr>
          <w:lang w:val="en-US"/>
        </w:rPr>
        <w:t xml:space="preserve">, </w:t>
      </w:r>
      <w:r w:rsidR="00125B7B" w:rsidRPr="00813D19">
        <w:rPr>
          <w:lang w:val="en-US"/>
        </w:rPr>
        <w:t>the equivalent of a village. Here,</w:t>
      </w:r>
      <w:r w:rsidR="00F86352" w:rsidRPr="00813D19">
        <w:rPr>
          <w:lang w:val="en-US"/>
        </w:rPr>
        <w:t xml:space="preserve"> </w:t>
      </w:r>
      <w:r w:rsidR="00125B7B" w:rsidRPr="00813D19">
        <w:rPr>
          <w:lang w:val="en-US"/>
        </w:rPr>
        <w:t xml:space="preserve">the owners, </w:t>
      </w:r>
      <w:r w:rsidR="00F86352" w:rsidRPr="00813D19">
        <w:rPr>
          <w:lang w:val="en-US"/>
        </w:rPr>
        <w:t>knowledge holders and accountants</w:t>
      </w:r>
      <w:r w:rsidR="00DF5035" w:rsidRPr="00813D19">
        <w:rPr>
          <w:lang w:val="en-US"/>
        </w:rPr>
        <w:t xml:space="preserve"> </w:t>
      </w:r>
      <w:r w:rsidR="00125B7B" w:rsidRPr="00813D19">
        <w:rPr>
          <w:lang w:val="en-US"/>
        </w:rPr>
        <w:t xml:space="preserve">were </w:t>
      </w:r>
      <w:r w:rsidR="00DF5035" w:rsidRPr="00813D19">
        <w:rPr>
          <w:lang w:val="en-US"/>
        </w:rPr>
        <w:t xml:space="preserve">all identified and </w:t>
      </w:r>
      <w:r w:rsidR="00125B7B" w:rsidRPr="00813D19">
        <w:rPr>
          <w:lang w:val="en-US"/>
        </w:rPr>
        <w:t xml:space="preserve">then </w:t>
      </w:r>
      <w:r w:rsidR="00DF5035" w:rsidRPr="00813D19">
        <w:rPr>
          <w:lang w:val="en-US"/>
        </w:rPr>
        <w:t xml:space="preserve">directly involved in the project. The delegation explained that the authorities had worked closely with them, </w:t>
      </w:r>
      <w:r w:rsidR="00125B7B" w:rsidRPr="00813D19">
        <w:rPr>
          <w:lang w:val="en-US"/>
        </w:rPr>
        <w:t xml:space="preserve">even though </w:t>
      </w:r>
      <w:r w:rsidR="00DF5035" w:rsidRPr="00813D19">
        <w:rPr>
          <w:lang w:val="en-US"/>
        </w:rPr>
        <w:t xml:space="preserve">this knowledge and know-how had been more or less marginalized since the 1970s with the intervention of public authorities </w:t>
      </w:r>
      <w:r w:rsidR="00125B7B" w:rsidRPr="00813D19">
        <w:rPr>
          <w:lang w:val="en-US"/>
        </w:rPr>
        <w:t>and</w:t>
      </w:r>
      <w:r w:rsidR="00DF5035" w:rsidRPr="00813D19">
        <w:rPr>
          <w:lang w:val="en-US"/>
        </w:rPr>
        <w:t xml:space="preserve"> </w:t>
      </w:r>
      <w:r w:rsidR="00125B7B" w:rsidRPr="00813D19">
        <w:rPr>
          <w:lang w:val="en-US"/>
        </w:rPr>
        <w:t xml:space="preserve">the </w:t>
      </w:r>
      <w:r w:rsidR="00DF5035" w:rsidRPr="00813D19">
        <w:rPr>
          <w:lang w:val="en-US"/>
        </w:rPr>
        <w:t>imple</w:t>
      </w:r>
      <w:r w:rsidR="00125B7B" w:rsidRPr="00813D19">
        <w:rPr>
          <w:lang w:val="en-US"/>
        </w:rPr>
        <w:t>mentation of</w:t>
      </w:r>
      <w:r w:rsidR="00DF5035" w:rsidRPr="00813D19">
        <w:rPr>
          <w:lang w:val="en-US"/>
        </w:rPr>
        <w:t xml:space="preserve"> modern techniques to access groundwater. However, after </w:t>
      </w:r>
      <w:r w:rsidR="00125B7B" w:rsidRPr="00813D19">
        <w:rPr>
          <w:lang w:val="en-US"/>
        </w:rPr>
        <w:t xml:space="preserve">30–40 </w:t>
      </w:r>
      <w:r w:rsidR="00DF5035" w:rsidRPr="00813D19">
        <w:rPr>
          <w:lang w:val="en-US"/>
        </w:rPr>
        <w:t xml:space="preserve">years of experience, it </w:t>
      </w:r>
      <w:r w:rsidR="007808AC" w:rsidRPr="00813D19">
        <w:rPr>
          <w:lang w:val="en-US"/>
        </w:rPr>
        <w:t xml:space="preserve">had </w:t>
      </w:r>
      <w:r w:rsidR="00813D19" w:rsidRPr="00813D19">
        <w:rPr>
          <w:lang w:val="en-US"/>
        </w:rPr>
        <w:t>become</w:t>
      </w:r>
      <w:r w:rsidR="00DF5035" w:rsidRPr="00813D19">
        <w:rPr>
          <w:lang w:val="en-US"/>
        </w:rPr>
        <w:t xml:space="preserve"> clear that </w:t>
      </w:r>
      <w:r w:rsidR="00F91694" w:rsidRPr="00813D19">
        <w:rPr>
          <w:lang w:val="en-US"/>
        </w:rPr>
        <w:t xml:space="preserve">although </w:t>
      </w:r>
      <w:r w:rsidR="00DF5035" w:rsidRPr="00813D19">
        <w:rPr>
          <w:lang w:val="en-US"/>
        </w:rPr>
        <w:t>the State projects work</w:t>
      </w:r>
      <w:r w:rsidR="00F91694" w:rsidRPr="00813D19">
        <w:rPr>
          <w:lang w:val="en-US"/>
        </w:rPr>
        <w:t xml:space="preserve">ed, </w:t>
      </w:r>
      <w:r w:rsidR="00DF5035" w:rsidRPr="00813D19">
        <w:rPr>
          <w:lang w:val="en-US"/>
        </w:rPr>
        <w:t>the old system of foggaras to access water should not be abandoned.</w:t>
      </w:r>
    </w:p>
    <w:p w14:paraId="2C689565" w14:textId="766C4041" w:rsidR="000E6122" w:rsidRPr="00813D19" w:rsidRDefault="007808AC" w:rsidP="00BF0BA0">
      <w:pPr>
        <w:pStyle w:val="Orateurengris"/>
        <w:spacing w:before="120"/>
        <w:ind w:left="709" w:hanging="709"/>
        <w:rPr>
          <w:lang w:val="en-US"/>
        </w:rPr>
      </w:pPr>
      <w:r w:rsidRPr="00813D19">
        <w:rPr>
          <w:lang w:val="en-US"/>
        </w:rPr>
        <w:t xml:space="preserve">The </w:t>
      </w:r>
      <w:r w:rsidRPr="00813D19">
        <w:rPr>
          <w:b/>
          <w:lang w:val="en-US"/>
        </w:rPr>
        <w:t>delegation of Algeria</w:t>
      </w:r>
      <w:r w:rsidRPr="00813D19">
        <w:rPr>
          <w:lang w:val="en-US"/>
        </w:rPr>
        <w:t xml:space="preserve"> explained that this </w:t>
      </w:r>
      <w:r w:rsidR="00F91694" w:rsidRPr="00813D19">
        <w:rPr>
          <w:lang w:val="en-US"/>
        </w:rPr>
        <w:t xml:space="preserve">traditional </w:t>
      </w:r>
      <w:r w:rsidR="00552D77" w:rsidRPr="00813D19">
        <w:rPr>
          <w:lang w:val="en-US"/>
        </w:rPr>
        <w:t xml:space="preserve">system </w:t>
      </w:r>
      <w:r w:rsidR="00F91694" w:rsidRPr="00813D19">
        <w:rPr>
          <w:lang w:val="en-US"/>
        </w:rPr>
        <w:t>had helped</w:t>
      </w:r>
      <w:r w:rsidR="00552D77" w:rsidRPr="00813D19">
        <w:rPr>
          <w:lang w:val="en-US"/>
        </w:rPr>
        <w:t xml:space="preserve"> maintain </w:t>
      </w:r>
      <w:r w:rsidR="00F91694" w:rsidRPr="00813D19">
        <w:rPr>
          <w:lang w:val="en-US"/>
        </w:rPr>
        <w:t xml:space="preserve">the existing palm groves </w:t>
      </w:r>
      <w:r w:rsidR="005C70AC" w:rsidRPr="00813D19">
        <w:rPr>
          <w:lang w:val="en-US"/>
        </w:rPr>
        <w:t xml:space="preserve">with </w:t>
      </w:r>
      <w:r w:rsidR="00A720CD" w:rsidRPr="00813D19">
        <w:rPr>
          <w:lang w:val="en-US"/>
        </w:rPr>
        <w:t xml:space="preserve">around </w:t>
      </w:r>
      <w:r w:rsidR="00552D77" w:rsidRPr="00813D19">
        <w:rPr>
          <w:lang w:val="en-US"/>
        </w:rPr>
        <w:t xml:space="preserve">300 to 350 palm groves </w:t>
      </w:r>
      <w:r w:rsidR="005C70AC" w:rsidRPr="00813D19">
        <w:rPr>
          <w:lang w:val="en-US"/>
        </w:rPr>
        <w:t xml:space="preserve">currently </w:t>
      </w:r>
      <w:r w:rsidR="00552D77" w:rsidRPr="00813D19">
        <w:rPr>
          <w:lang w:val="en-US"/>
        </w:rPr>
        <w:t>extend</w:t>
      </w:r>
      <w:r w:rsidR="0006442D" w:rsidRPr="00813D19">
        <w:rPr>
          <w:lang w:val="en-US"/>
        </w:rPr>
        <w:t>ed</w:t>
      </w:r>
      <w:r w:rsidR="00F91694" w:rsidRPr="00813D19">
        <w:rPr>
          <w:lang w:val="en-US"/>
        </w:rPr>
        <w:t xml:space="preserve"> </w:t>
      </w:r>
      <w:r w:rsidR="00125B7B" w:rsidRPr="00813D19">
        <w:rPr>
          <w:lang w:val="en-US"/>
        </w:rPr>
        <w:t xml:space="preserve">over </w:t>
      </w:r>
      <w:r w:rsidR="00F91694" w:rsidRPr="00813D19">
        <w:rPr>
          <w:lang w:val="en-US"/>
        </w:rPr>
        <w:t>600 kilomet</w:t>
      </w:r>
      <w:r w:rsidR="00552D77" w:rsidRPr="00813D19">
        <w:rPr>
          <w:lang w:val="en-US"/>
        </w:rPr>
        <w:t>r</w:t>
      </w:r>
      <w:r w:rsidR="00F91694" w:rsidRPr="00813D19">
        <w:rPr>
          <w:lang w:val="en-US"/>
        </w:rPr>
        <w:t>e</w:t>
      </w:r>
      <w:r w:rsidR="00552D77" w:rsidRPr="00813D19">
        <w:rPr>
          <w:lang w:val="en-US"/>
        </w:rPr>
        <w:t xml:space="preserve">s. </w:t>
      </w:r>
      <w:r w:rsidR="00A720CD" w:rsidRPr="00813D19">
        <w:rPr>
          <w:lang w:val="en-US"/>
        </w:rPr>
        <w:t xml:space="preserve">This </w:t>
      </w:r>
      <w:r w:rsidR="00552D77" w:rsidRPr="00813D19">
        <w:rPr>
          <w:lang w:val="en-US"/>
        </w:rPr>
        <w:t xml:space="preserve">project </w:t>
      </w:r>
      <w:r w:rsidR="00A720CD" w:rsidRPr="00813D19">
        <w:rPr>
          <w:lang w:val="en-US"/>
        </w:rPr>
        <w:t xml:space="preserve">was therefore </w:t>
      </w:r>
      <w:r w:rsidR="00552D77" w:rsidRPr="00813D19">
        <w:rPr>
          <w:lang w:val="en-US"/>
        </w:rPr>
        <w:t xml:space="preserve">not </w:t>
      </w:r>
      <w:r w:rsidR="00A720CD" w:rsidRPr="00813D19">
        <w:rPr>
          <w:lang w:val="en-US"/>
        </w:rPr>
        <w:t>in conflict</w:t>
      </w:r>
      <w:r w:rsidR="00552D77" w:rsidRPr="00813D19">
        <w:rPr>
          <w:lang w:val="en-US"/>
        </w:rPr>
        <w:t xml:space="preserve"> </w:t>
      </w:r>
      <w:r w:rsidR="00A720CD" w:rsidRPr="00813D19">
        <w:rPr>
          <w:lang w:val="en-US"/>
        </w:rPr>
        <w:t xml:space="preserve">with </w:t>
      </w:r>
      <w:r w:rsidR="00552D77" w:rsidRPr="00813D19">
        <w:rPr>
          <w:lang w:val="en-US"/>
        </w:rPr>
        <w:t xml:space="preserve">economic development, </w:t>
      </w:r>
      <w:r w:rsidR="0006442D" w:rsidRPr="00813D19">
        <w:rPr>
          <w:lang w:val="en-US"/>
        </w:rPr>
        <w:t xml:space="preserve">and </w:t>
      </w:r>
      <w:r w:rsidR="005C70AC" w:rsidRPr="00813D19">
        <w:rPr>
          <w:lang w:val="en-US"/>
        </w:rPr>
        <w:t>was in fact complementary in that</w:t>
      </w:r>
      <w:r w:rsidR="00A720CD" w:rsidRPr="00813D19">
        <w:rPr>
          <w:lang w:val="en-US"/>
        </w:rPr>
        <w:t xml:space="preserve"> </w:t>
      </w:r>
      <w:r w:rsidR="005C70AC" w:rsidRPr="00813D19">
        <w:rPr>
          <w:lang w:val="en-US"/>
        </w:rPr>
        <w:t>the S</w:t>
      </w:r>
      <w:r w:rsidR="00552D77" w:rsidRPr="00813D19">
        <w:rPr>
          <w:lang w:val="en-US"/>
        </w:rPr>
        <w:t xml:space="preserve">tate </w:t>
      </w:r>
      <w:r w:rsidR="0006442D" w:rsidRPr="00813D19">
        <w:rPr>
          <w:lang w:val="en-US"/>
        </w:rPr>
        <w:t xml:space="preserve">was </w:t>
      </w:r>
      <w:r w:rsidR="00552D77" w:rsidRPr="00813D19">
        <w:rPr>
          <w:lang w:val="en-US"/>
        </w:rPr>
        <w:t xml:space="preserve">allowed to create new farms in isolated places, </w:t>
      </w:r>
      <w:r w:rsidR="005C70AC" w:rsidRPr="00813D19">
        <w:rPr>
          <w:lang w:val="en-US"/>
        </w:rPr>
        <w:t xml:space="preserve">while </w:t>
      </w:r>
      <w:r w:rsidRPr="00813D19">
        <w:rPr>
          <w:lang w:val="en-US"/>
        </w:rPr>
        <w:t xml:space="preserve">the </w:t>
      </w:r>
      <w:r w:rsidR="00552D77" w:rsidRPr="00813D19">
        <w:rPr>
          <w:lang w:val="en-US"/>
        </w:rPr>
        <w:t xml:space="preserve">project </w:t>
      </w:r>
      <w:r w:rsidRPr="00813D19">
        <w:rPr>
          <w:lang w:val="en-US"/>
        </w:rPr>
        <w:t xml:space="preserve">sought </w:t>
      </w:r>
      <w:r w:rsidR="00552D77" w:rsidRPr="00813D19">
        <w:rPr>
          <w:lang w:val="en-US"/>
        </w:rPr>
        <w:t>to continue work</w:t>
      </w:r>
      <w:r w:rsidRPr="00813D19">
        <w:rPr>
          <w:lang w:val="en-US"/>
        </w:rPr>
        <w:t>ing</w:t>
      </w:r>
      <w:r w:rsidR="005C70AC" w:rsidRPr="00813D19">
        <w:rPr>
          <w:lang w:val="en-US"/>
        </w:rPr>
        <w:t xml:space="preserve"> with the knowledge holders (</w:t>
      </w:r>
      <w:r w:rsidR="00552D77" w:rsidRPr="00813D19">
        <w:rPr>
          <w:lang w:val="en-US"/>
        </w:rPr>
        <w:t xml:space="preserve">the owners of </w:t>
      </w:r>
      <w:r w:rsidRPr="00813D19">
        <w:rPr>
          <w:lang w:val="en-US"/>
        </w:rPr>
        <w:t xml:space="preserve">the </w:t>
      </w:r>
      <w:r w:rsidR="005C70AC" w:rsidRPr="00813D19">
        <w:rPr>
          <w:lang w:val="en-US"/>
        </w:rPr>
        <w:t>foggaras)</w:t>
      </w:r>
      <w:r w:rsidR="00552D77" w:rsidRPr="00813D19">
        <w:rPr>
          <w:lang w:val="en-US"/>
        </w:rPr>
        <w:t xml:space="preserve"> </w:t>
      </w:r>
      <w:r w:rsidRPr="00813D19">
        <w:rPr>
          <w:lang w:val="en-US"/>
        </w:rPr>
        <w:t xml:space="preserve">to safeguard </w:t>
      </w:r>
      <w:r w:rsidR="00C612E8" w:rsidRPr="00813D19">
        <w:rPr>
          <w:lang w:val="en-US"/>
        </w:rPr>
        <w:t xml:space="preserve">their </w:t>
      </w:r>
      <w:r w:rsidR="00552D77" w:rsidRPr="00813D19">
        <w:rPr>
          <w:lang w:val="en-US"/>
        </w:rPr>
        <w:t xml:space="preserve">knowledge. </w:t>
      </w:r>
      <w:r w:rsidRPr="00813D19">
        <w:rPr>
          <w:lang w:val="en-US"/>
        </w:rPr>
        <w:t xml:space="preserve">The fear was that if </w:t>
      </w:r>
      <w:r w:rsidR="005C70AC" w:rsidRPr="00813D19">
        <w:rPr>
          <w:lang w:val="en-US"/>
        </w:rPr>
        <w:t xml:space="preserve">the trend </w:t>
      </w:r>
      <w:r w:rsidRPr="00813D19">
        <w:rPr>
          <w:lang w:val="en-US"/>
        </w:rPr>
        <w:t>continued, this</w:t>
      </w:r>
      <w:r w:rsidR="00552D77" w:rsidRPr="00813D19">
        <w:rPr>
          <w:lang w:val="en-US"/>
        </w:rPr>
        <w:t xml:space="preserve"> knowledge </w:t>
      </w:r>
      <w:r w:rsidR="005C70AC" w:rsidRPr="00813D19">
        <w:rPr>
          <w:lang w:val="en-US"/>
        </w:rPr>
        <w:t xml:space="preserve">would </w:t>
      </w:r>
      <w:r w:rsidR="00552D77" w:rsidRPr="00813D19">
        <w:rPr>
          <w:lang w:val="en-US"/>
        </w:rPr>
        <w:t>no longer be transmitted</w:t>
      </w:r>
      <w:r w:rsidRPr="00813D19">
        <w:rPr>
          <w:lang w:val="en-US"/>
        </w:rPr>
        <w:t xml:space="preserve"> in one or two generations</w:t>
      </w:r>
      <w:r w:rsidR="00552D77" w:rsidRPr="00813D19">
        <w:rPr>
          <w:lang w:val="en-US"/>
        </w:rPr>
        <w:t>.</w:t>
      </w:r>
      <w:r w:rsidRPr="00813D19">
        <w:rPr>
          <w:lang w:val="en-US"/>
        </w:rPr>
        <w:t xml:space="preserve"> At present, the average age of the knowledge holders is 55–60 years old, </w:t>
      </w:r>
      <w:r w:rsidR="005C70AC" w:rsidRPr="00813D19">
        <w:rPr>
          <w:lang w:val="en-US"/>
        </w:rPr>
        <w:t xml:space="preserve">with </w:t>
      </w:r>
      <w:r w:rsidRPr="00813D19">
        <w:rPr>
          <w:lang w:val="en-US"/>
        </w:rPr>
        <w:t xml:space="preserve">young people turning towards other professions. The aim of the project was therefore to document the know-how and knowledge of the holders, which </w:t>
      </w:r>
      <w:r w:rsidR="003E2357">
        <w:rPr>
          <w:lang w:val="en-US"/>
        </w:rPr>
        <w:t>was</w:t>
      </w:r>
      <w:r w:rsidRPr="00813D19">
        <w:rPr>
          <w:lang w:val="en-US"/>
        </w:rPr>
        <w:t xml:space="preserve"> empirical and transmitted orally, </w:t>
      </w:r>
      <w:r w:rsidR="00B54543" w:rsidRPr="00813D19">
        <w:rPr>
          <w:lang w:val="en-US"/>
        </w:rPr>
        <w:t xml:space="preserve">so that this traditional knowledge </w:t>
      </w:r>
      <w:r w:rsidR="003E2357">
        <w:rPr>
          <w:lang w:val="en-US"/>
        </w:rPr>
        <w:t>was</w:t>
      </w:r>
      <w:r w:rsidR="003E2357" w:rsidRPr="00813D19">
        <w:rPr>
          <w:lang w:val="en-US"/>
        </w:rPr>
        <w:t xml:space="preserve"> </w:t>
      </w:r>
      <w:r w:rsidRPr="00813D19">
        <w:rPr>
          <w:lang w:val="en-US"/>
        </w:rPr>
        <w:t xml:space="preserve">formally established. The second part of the project </w:t>
      </w:r>
      <w:r w:rsidR="00B54543" w:rsidRPr="00813D19">
        <w:rPr>
          <w:lang w:val="en-US"/>
        </w:rPr>
        <w:t xml:space="preserve">sought </w:t>
      </w:r>
      <w:r w:rsidRPr="00813D19">
        <w:rPr>
          <w:lang w:val="en-US"/>
        </w:rPr>
        <w:t xml:space="preserve">to involve young people, and </w:t>
      </w:r>
      <w:r w:rsidR="00BF0BA0" w:rsidRPr="00813D19">
        <w:rPr>
          <w:lang w:val="en-US"/>
        </w:rPr>
        <w:t>even older pe</w:t>
      </w:r>
      <w:r w:rsidR="00C612E8" w:rsidRPr="00813D19">
        <w:rPr>
          <w:lang w:val="en-US"/>
        </w:rPr>
        <w:t>ople from the age of 40–50</w:t>
      </w:r>
      <w:r w:rsidR="00687BF5" w:rsidRPr="00813D19">
        <w:rPr>
          <w:lang w:val="en-US"/>
        </w:rPr>
        <w:t>,</w:t>
      </w:r>
      <w:r w:rsidR="00BF0BA0" w:rsidRPr="00813D19">
        <w:rPr>
          <w:lang w:val="en-US"/>
        </w:rPr>
        <w:t xml:space="preserve"> who are keen to access this knowledge</w:t>
      </w:r>
      <w:r w:rsidRPr="00813D19">
        <w:rPr>
          <w:lang w:val="en-US"/>
        </w:rPr>
        <w:t xml:space="preserve"> </w:t>
      </w:r>
      <w:r w:rsidR="00BF0BA0" w:rsidRPr="00813D19">
        <w:rPr>
          <w:lang w:val="en-US"/>
        </w:rPr>
        <w:t xml:space="preserve">and who are placed </w:t>
      </w:r>
      <w:r w:rsidRPr="00813D19">
        <w:rPr>
          <w:lang w:val="en-US"/>
        </w:rPr>
        <w:t xml:space="preserve">in direct contact </w:t>
      </w:r>
      <w:r w:rsidR="00BF0BA0" w:rsidRPr="00813D19">
        <w:rPr>
          <w:lang w:val="en-US"/>
        </w:rPr>
        <w:t xml:space="preserve">with </w:t>
      </w:r>
      <w:r w:rsidRPr="00813D19">
        <w:rPr>
          <w:lang w:val="en-US"/>
        </w:rPr>
        <w:t>a number of knowledge transfer wor</w:t>
      </w:r>
      <w:r w:rsidR="00C612E8" w:rsidRPr="00813D19">
        <w:rPr>
          <w:lang w:val="en-US"/>
        </w:rPr>
        <w:t xml:space="preserve">kshops, </w:t>
      </w:r>
      <w:r w:rsidR="006E7B95" w:rsidRPr="00813D19">
        <w:rPr>
          <w:lang w:val="en-US"/>
        </w:rPr>
        <w:t xml:space="preserve">which are </w:t>
      </w:r>
      <w:r w:rsidR="00BF0BA0" w:rsidRPr="00813D19">
        <w:rPr>
          <w:lang w:val="en-US"/>
        </w:rPr>
        <w:t xml:space="preserve">modern </w:t>
      </w:r>
      <w:r w:rsidR="006E7B95" w:rsidRPr="00813D19">
        <w:rPr>
          <w:lang w:val="en-US"/>
        </w:rPr>
        <w:t>and use</w:t>
      </w:r>
      <w:r w:rsidRPr="00813D19">
        <w:rPr>
          <w:lang w:val="en-US"/>
        </w:rPr>
        <w:t xml:space="preserve"> </w:t>
      </w:r>
      <w:r w:rsidR="00687BF5" w:rsidRPr="00813D19">
        <w:rPr>
          <w:lang w:val="en-US"/>
        </w:rPr>
        <w:t>up-to-date</w:t>
      </w:r>
      <w:r w:rsidR="006E7B95" w:rsidRPr="00813D19">
        <w:rPr>
          <w:lang w:val="en-US"/>
        </w:rPr>
        <w:t xml:space="preserve"> </w:t>
      </w:r>
      <w:r w:rsidRPr="00813D19">
        <w:rPr>
          <w:lang w:val="en-US"/>
        </w:rPr>
        <w:t xml:space="preserve">media, video, film, </w:t>
      </w:r>
      <w:r w:rsidR="00BF0BA0" w:rsidRPr="00813D19">
        <w:rPr>
          <w:lang w:val="en-US"/>
        </w:rPr>
        <w:t xml:space="preserve">print </w:t>
      </w:r>
      <w:r w:rsidRPr="00813D19">
        <w:rPr>
          <w:lang w:val="en-US"/>
        </w:rPr>
        <w:t xml:space="preserve">communications, </w:t>
      </w:r>
      <w:r w:rsidR="00BF0BA0" w:rsidRPr="00813D19">
        <w:rPr>
          <w:lang w:val="en-US"/>
        </w:rPr>
        <w:t>and so on</w:t>
      </w:r>
      <w:r w:rsidRPr="00813D19">
        <w:rPr>
          <w:lang w:val="en-US"/>
        </w:rPr>
        <w:t>.</w:t>
      </w:r>
    </w:p>
    <w:p w14:paraId="41262F32" w14:textId="31EA060F" w:rsidR="00A97F6D" w:rsidRPr="00813D19" w:rsidRDefault="006747B7" w:rsidP="00980581">
      <w:pPr>
        <w:pStyle w:val="Orateurengris"/>
        <w:spacing w:before="120"/>
        <w:ind w:left="709" w:hanging="709"/>
        <w:rPr>
          <w:lang w:val="en-US"/>
        </w:rPr>
      </w:pPr>
      <w:r w:rsidRPr="00813D19">
        <w:rPr>
          <w:lang w:val="en-US"/>
        </w:rPr>
        <w:t>Turning to the issue of funding, t</w:t>
      </w:r>
      <w:r w:rsidR="00A97F6D" w:rsidRPr="00813D19">
        <w:rPr>
          <w:lang w:val="en-US"/>
        </w:rPr>
        <w:t xml:space="preserve">he </w:t>
      </w:r>
      <w:r w:rsidR="00A97F6D" w:rsidRPr="00813D19">
        <w:rPr>
          <w:b/>
          <w:lang w:val="en-US"/>
        </w:rPr>
        <w:t>delegation of Algeria</w:t>
      </w:r>
      <w:r w:rsidR="00A97F6D" w:rsidRPr="00813D19">
        <w:rPr>
          <w:lang w:val="en-US"/>
        </w:rPr>
        <w:t xml:space="preserve"> </w:t>
      </w:r>
      <w:r w:rsidR="0001158D" w:rsidRPr="00813D19">
        <w:rPr>
          <w:lang w:val="en-US"/>
        </w:rPr>
        <w:t>[first speaker]</w:t>
      </w:r>
      <w:r w:rsidRPr="00813D19">
        <w:rPr>
          <w:lang w:val="en-US"/>
        </w:rPr>
        <w:t xml:space="preserve"> explained that </w:t>
      </w:r>
      <w:r w:rsidR="00980581" w:rsidRPr="00813D19">
        <w:rPr>
          <w:lang w:val="en-US"/>
        </w:rPr>
        <w:t xml:space="preserve">the Government </w:t>
      </w:r>
      <w:r w:rsidRPr="00813D19">
        <w:rPr>
          <w:lang w:val="en-US"/>
        </w:rPr>
        <w:t xml:space="preserve">had made </w:t>
      </w:r>
      <w:r w:rsidR="00687BF5" w:rsidRPr="00813D19">
        <w:rPr>
          <w:lang w:val="en-US"/>
        </w:rPr>
        <w:t xml:space="preserve">available </w:t>
      </w:r>
      <w:r w:rsidRPr="00813D19">
        <w:rPr>
          <w:lang w:val="en-US"/>
        </w:rPr>
        <w:t>funds</w:t>
      </w:r>
      <w:r w:rsidR="00BF0BA0" w:rsidRPr="00813D19">
        <w:rPr>
          <w:lang w:val="en-US"/>
        </w:rPr>
        <w:t xml:space="preserve"> </w:t>
      </w:r>
      <w:r w:rsidR="00980581" w:rsidRPr="00813D19">
        <w:rPr>
          <w:lang w:val="en-US"/>
        </w:rPr>
        <w:t xml:space="preserve">of more than US$750,000 </w:t>
      </w:r>
      <w:r w:rsidR="00BF0BA0" w:rsidRPr="00813D19">
        <w:rPr>
          <w:lang w:val="en-US"/>
        </w:rPr>
        <w:t xml:space="preserve">to </w:t>
      </w:r>
      <w:r w:rsidRPr="00813D19">
        <w:rPr>
          <w:lang w:val="en-US"/>
        </w:rPr>
        <w:t xml:space="preserve">the </w:t>
      </w:r>
      <w:r w:rsidR="00BF0BA0" w:rsidRPr="00813D19">
        <w:rPr>
          <w:lang w:val="en-US"/>
        </w:rPr>
        <w:t xml:space="preserve">people who </w:t>
      </w:r>
      <w:r w:rsidR="00980581" w:rsidRPr="00813D19">
        <w:rPr>
          <w:lang w:val="en-US"/>
        </w:rPr>
        <w:t>were</w:t>
      </w:r>
      <w:r w:rsidR="00BF0BA0" w:rsidRPr="00813D19">
        <w:rPr>
          <w:lang w:val="en-US"/>
        </w:rPr>
        <w:t xml:space="preserve"> </w:t>
      </w:r>
      <w:r w:rsidRPr="00813D19">
        <w:rPr>
          <w:lang w:val="en-US"/>
        </w:rPr>
        <w:t xml:space="preserve">safeguarding </w:t>
      </w:r>
      <w:r w:rsidR="00687BF5" w:rsidRPr="00813D19">
        <w:rPr>
          <w:lang w:val="en-US"/>
        </w:rPr>
        <w:t xml:space="preserve">the </w:t>
      </w:r>
      <w:r w:rsidR="00980581" w:rsidRPr="00813D19">
        <w:rPr>
          <w:lang w:val="en-US"/>
        </w:rPr>
        <w:t>element</w:t>
      </w:r>
      <w:r w:rsidR="00BF0BA0" w:rsidRPr="00813D19">
        <w:rPr>
          <w:lang w:val="en-US"/>
        </w:rPr>
        <w:t xml:space="preserve"> to carry out th</w:t>
      </w:r>
      <w:r w:rsidR="003E2357">
        <w:rPr>
          <w:lang w:val="en-US"/>
        </w:rPr>
        <w:t>e</w:t>
      </w:r>
      <w:r w:rsidR="00BF0BA0" w:rsidRPr="00813D19">
        <w:rPr>
          <w:lang w:val="en-US"/>
        </w:rPr>
        <w:t xml:space="preserve"> project. </w:t>
      </w:r>
      <w:r w:rsidR="00980581" w:rsidRPr="00813D19">
        <w:rPr>
          <w:lang w:val="en-US"/>
        </w:rPr>
        <w:t xml:space="preserve">Responding to the </w:t>
      </w:r>
      <w:r w:rsidR="00BF0BA0" w:rsidRPr="00813D19">
        <w:rPr>
          <w:lang w:val="en-US"/>
        </w:rPr>
        <w:t xml:space="preserve">specific question </w:t>
      </w:r>
      <w:r w:rsidR="00980581" w:rsidRPr="00813D19">
        <w:rPr>
          <w:lang w:val="en-US"/>
        </w:rPr>
        <w:t xml:space="preserve">on the safeguarding of </w:t>
      </w:r>
      <w:r w:rsidR="00BF0BA0" w:rsidRPr="00813D19">
        <w:rPr>
          <w:lang w:val="en-US"/>
        </w:rPr>
        <w:t xml:space="preserve">the physical </w:t>
      </w:r>
      <w:r w:rsidR="00980581" w:rsidRPr="00813D19">
        <w:rPr>
          <w:lang w:val="en-US"/>
        </w:rPr>
        <w:t xml:space="preserve">structure of the element, the delegation explained that without the physical element, </w:t>
      </w:r>
      <w:r w:rsidR="00BF0BA0" w:rsidRPr="00813D19">
        <w:rPr>
          <w:lang w:val="en-US"/>
        </w:rPr>
        <w:t xml:space="preserve">the empirical knowledge of </w:t>
      </w:r>
      <w:r w:rsidR="00980581" w:rsidRPr="00813D19">
        <w:rPr>
          <w:lang w:val="en-US"/>
        </w:rPr>
        <w:t xml:space="preserve">the foggaras </w:t>
      </w:r>
      <w:r w:rsidR="00BF0BA0" w:rsidRPr="00813D19">
        <w:rPr>
          <w:lang w:val="en-US"/>
        </w:rPr>
        <w:t xml:space="preserve">would </w:t>
      </w:r>
      <w:r w:rsidR="00980581" w:rsidRPr="00813D19">
        <w:rPr>
          <w:lang w:val="en-US"/>
        </w:rPr>
        <w:t xml:space="preserve">become obsolete as it </w:t>
      </w:r>
      <w:r w:rsidR="00BF0BA0" w:rsidRPr="00813D19">
        <w:rPr>
          <w:lang w:val="en-US"/>
        </w:rPr>
        <w:t>serve</w:t>
      </w:r>
      <w:r w:rsidR="008A71D2" w:rsidRPr="00813D19">
        <w:rPr>
          <w:lang w:val="en-US"/>
        </w:rPr>
        <w:t>d</w:t>
      </w:r>
      <w:r w:rsidR="00BF0BA0" w:rsidRPr="00813D19">
        <w:rPr>
          <w:lang w:val="en-US"/>
        </w:rPr>
        <w:t xml:space="preserve"> no purpose; </w:t>
      </w:r>
      <w:r w:rsidR="00980581" w:rsidRPr="00813D19">
        <w:rPr>
          <w:lang w:val="en-US"/>
        </w:rPr>
        <w:t>like a musician</w:t>
      </w:r>
      <w:r w:rsidR="00BF0BA0" w:rsidRPr="00813D19">
        <w:rPr>
          <w:lang w:val="en-US"/>
        </w:rPr>
        <w:t xml:space="preserve"> </w:t>
      </w:r>
      <w:r w:rsidR="00980581" w:rsidRPr="00813D19">
        <w:rPr>
          <w:lang w:val="en-US"/>
        </w:rPr>
        <w:t xml:space="preserve">without its </w:t>
      </w:r>
      <w:r w:rsidR="00BF0BA0" w:rsidRPr="00813D19">
        <w:rPr>
          <w:lang w:val="en-US"/>
        </w:rPr>
        <w:t xml:space="preserve">instrument. </w:t>
      </w:r>
      <w:r w:rsidR="008A71D2" w:rsidRPr="00813D19">
        <w:rPr>
          <w:lang w:val="en-US"/>
        </w:rPr>
        <w:t xml:space="preserve">It was </w:t>
      </w:r>
      <w:r w:rsidR="00980581" w:rsidRPr="00813D19">
        <w:rPr>
          <w:lang w:val="en-US"/>
        </w:rPr>
        <w:t xml:space="preserve">hoped that the information provided had </w:t>
      </w:r>
      <w:r w:rsidR="00687BF5" w:rsidRPr="00813D19">
        <w:rPr>
          <w:lang w:val="en-US"/>
        </w:rPr>
        <w:t xml:space="preserve">responded to </w:t>
      </w:r>
      <w:r w:rsidR="00980581" w:rsidRPr="00813D19">
        <w:rPr>
          <w:lang w:val="en-US"/>
        </w:rPr>
        <w:t>the questions</w:t>
      </w:r>
      <w:r w:rsidR="00E41386">
        <w:rPr>
          <w:lang w:val="en-US"/>
        </w:rPr>
        <w:t>.</w:t>
      </w:r>
    </w:p>
    <w:p w14:paraId="74BE95D1" w14:textId="3ED2354B" w:rsidR="00E52F4F" w:rsidRPr="00813D19" w:rsidRDefault="00872A1E" w:rsidP="00B870DF">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turned to the draft decision on </w:t>
      </w:r>
      <w:r w:rsidR="00F66D79" w:rsidRPr="00813D19">
        <w:rPr>
          <w:lang w:val="en-US"/>
        </w:rPr>
        <w:t>a paragraph-by-paragraph basis, and p</w:t>
      </w:r>
      <w:r w:rsidRPr="00813D19">
        <w:rPr>
          <w:lang w:val="en-US"/>
        </w:rPr>
        <w:t xml:space="preserve">aragraphs 1 and 2 were duly adopted. Palestine </w:t>
      </w:r>
      <w:r w:rsidR="00F10BBC">
        <w:rPr>
          <w:lang w:val="en-US"/>
        </w:rPr>
        <w:t xml:space="preserve">had </w:t>
      </w:r>
      <w:r w:rsidR="00CB28F1" w:rsidRPr="00813D19">
        <w:rPr>
          <w:lang w:val="en-US"/>
        </w:rPr>
        <w:t>submitted a</w:t>
      </w:r>
      <w:r w:rsidRPr="00813D19">
        <w:rPr>
          <w:lang w:val="en-US"/>
        </w:rPr>
        <w:t>n amendment in paragraph 3</w:t>
      </w:r>
      <w:r w:rsidR="00020E80" w:rsidRPr="00813D19">
        <w:rPr>
          <w:lang w:val="en-US"/>
        </w:rPr>
        <w:t xml:space="preserve"> [</w:t>
      </w:r>
      <w:r w:rsidR="00CA69BE" w:rsidRPr="00813D19">
        <w:rPr>
          <w:lang w:val="en-US"/>
        </w:rPr>
        <w:t>further deciding</w:t>
      </w:r>
      <w:r w:rsidR="00020E80" w:rsidRPr="00813D19">
        <w:rPr>
          <w:lang w:val="en-US"/>
        </w:rPr>
        <w:t xml:space="preserve"> that criterion U.3 was met]</w:t>
      </w:r>
      <w:r w:rsidRPr="00813D19">
        <w:rPr>
          <w:lang w:val="en-US"/>
        </w:rPr>
        <w:t>.</w:t>
      </w:r>
      <w:r w:rsidR="009A448A" w:rsidRPr="00813D19">
        <w:rPr>
          <w:lang w:val="en-US"/>
        </w:rPr>
        <w:t xml:space="preserve"> </w:t>
      </w:r>
      <w:r w:rsidRPr="00813D19">
        <w:rPr>
          <w:lang w:val="en-US"/>
        </w:rPr>
        <w:t>The delegation</w:t>
      </w:r>
      <w:r w:rsidR="00F66D79" w:rsidRPr="00813D19">
        <w:rPr>
          <w:lang w:val="en-US"/>
        </w:rPr>
        <w:t>s</w:t>
      </w:r>
      <w:r w:rsidRPr="00813D19">
        <w:rPr>
          <w:lang w:val="en-US"/>
        </w:rPr>
        <w:t xml:space="preserve"> of</w:t>
      </w:r>
      <w:r w:rsidRPr="00813D19">
        <w:rPr>
          <w:b/>
          <w:lang w:val="en-US"/>
        </w:rPr>
        <w:t xml:space="preserve"> Zambia, Senegal</w:t>
      </w:r>
      <w:r w:rsidR="004574F9" w:rsidRPr="00813D19">
        <w:rPr>
          <w:b/>
          <w:lang w:val="en-US"/>
        </w:rPr>
        <w:t>,</w:t>
      </w:r>
      <w:r w:rsidRPr="00813D19">
        <w:rPr>
          <w:lang w:val="en-US"/>
        </w:rPr>
        <w:t xml:space="preserve"> </w:t>
      </w:r>
      <w:r w:rsidR="00CA69BE" w:rsidRPr="00813D19">
        <w:rPr>
          <w:b/>
          <w:lang w:val="en-US"/>
        </w:rPr>
        <w:t>Kuwait</w:t>
      </w:r>
      <w:r w:rsidR="009A448A" w:rsidRPr="00813D19">
        <w:rPr>
          <w:b/>
          <w:lang w:val="en-US"/>
        </w:rPr>
        <w:t xml:space="preserve">, </w:t>
      </w:r>
      <w:r w:rsidR="00E52F4F" w:rsidRPr="00813D19">
        <w:rPr>
          <w:b/>
          <w:lang w:val="en-US"/>
        </w:rPr>
        <w:t>Djibouti</w:t>
      </w:r>
      <w:r w:rsidR="003E2357">
        <w:rPr>
          <w:b/>
          <w:lang w:val="en-US"/>
        </w:rPr>
        <w:t>,</w:t>
      </w:r>
      <w:r w:rsidR="00E52F4F" w:rsidRPr="00813D19">
        <w:rPr>
          <w:b/>
          <w:lang w:val="en-US"/>
        </w:rPr>
        <w:t xml:space="preserve"> </w:t>
      </w:r>
      <w:r w:rsidR="00CE3645" w:rsidRPr="00813D19">
        <w:rPr>
          <w:b/>
          <w:lang w:val="en-US"/>
        </w:rPr>
        <w:t>Cuba</w:t>
      </w:r>
      <w:r w:rsidR="003E2357">
        <w:rPr>
          <w:b/>
          <w:lang w:val="en-US"/>
        </w:rPr>
        <w:t>,</w:t>
      </w:r>
      <w:r w:rsidR="00CE3645" w:rsidRPr="00813D19">
        <w:rPr>
          <w:b/>
          <w:lang w:val="en-US"/>
        </w:rPr>
        <w:t xml:space="preserve"> Togo</w:t>
      </w:r>
      <w:r w:rsidR="003E2357">
        <w:rPr>
          <w:b/>
          <w:lang w:val="en-US"/>
        </w:rPr>
        <w:t>, the</w:t>
      </w:r>
      <w:r w:rsidR="00CE3645" w:rsidRPr="00813D19">
        <w:rPr>
          <w:b/>
          <w:lang w:val="en-US"/>
        </w:rPr>
        <w:t xml:space="preserve"> Philippines, </w:t>
      </w:r>
      <w:r w:rsidR="009A448A" w:rsidRPr="00813D19">
        <w:rPr>
          <w:b/>
          <w:lang w:val="en-US"/>
        </w:rPr>
        <w:t>Poland</w:t>
      </w:r>
      <w:r w:rsidR="003E2357">
        <w:rPr>
          <w:b/>
          <w:lang w:val="en-US"/>
        </w:rPr>
        <w:t>,</w:t>
      </w:r>
      <w:r w:rsidR="009A448A" w:rsidRPr="00813D19">
        <w:rPr>
          <w:b/>
          <w:lang w:val="en-US"/>
        </w:rPr>
        <w:t xml:space="preserve"> </w:t>
      </w:r>
      <w:r w:rsidR="00CE3645" w:rsidRPr="00813D19">
        <w:rPr>
          <w:b/>
          <w:lang w:val="en-US"/>
        </w:rPr>
        <w:t>Kazakhstan, Lebanon</w:t>
      </w:r>
      <w:r w:rsidR="003E2357">
        <w:rPr>
          <w:b/>
          <w:lang w:val="en-US"/>
        </w:rPr>
        <w:t xml:space="preserve"> and</w:t>
      </w:r>
      <w:r w:rsidR="00CE3645" w:rsidRPr="00813D19">
        <w:rPr>
          <w:b/>
          <w:lang w:val="en-US"/>
        </w:rPr>
        <w:t xml:space="preserve"> </w:t>
      </w:r>
      <w:r w:rsidR="009A448A" w:rsidRPr="00813D19">
        <w:rPr>
          <w:b/>
          <w:lang w:val="en-US"/>
        </w:rPr>
        <w:t xml:space="preserve">Jamaica </w:t>
      </w:r>
      <w:r w:rsidRPr="00813D19">
        <w:rPr>
          <w:lang w:val="en-US"/>
        </w:rPr>
        <w:t>supported the amendment</w:t>
      </w:r>
      <w:r w:rsidR="00F66D79" w:rsidRPr="00813D19">
        <w:rPr>
          <w:lang w:val="en-US"/>
        </w:rPr>
        <w:t xml:space="preserve"> in paragraph 3</w:t>
      </w:r>
      <w:r w:rsidR="00E52F4F" w:rsidRPr="00813D19">
        <w:rPr>
          <w:lang w:val="en-US"/>
        </w:rPr>
        <w:t>, which was duly adopted as amended. Palestine proposed an amendment in paragraph 4</w:t>
      </w:r>
      <w:r w:rsidR="00CA69BE" w:rsidRPr="00813D19">
        <w:rPr>
          <w:lang w:val="en-US"/>
        </w:rPr>
        <w:t xml:space="preserve"> [inscribing the element on the Urgent Safeguarding List], which received the active support of </w:t>
      </w:r>
      <w:r w:rsidR="00CA69BE" w:rsidRPr="00813D19">
        <w:rPr>
          <w:b/>
          <w:lang w:val="en-US"/>
        </w:rPr>
        <w:t>Cuba</w:t>
      </w:r>
      <w:r w:rsidR="00CA69BE" w:rsidRPr="00813D19">
        <w:rPr>
          <w:lang w:val="en-US"/>
        </w:rPr>
        <w:t xml:space="preserve">, </w:t>
      </w:r>
      <w:r w:rsidR="00CA69BE" w:rsidRPr="00813D19">
        <w:rPr>
          <w:b/>
          <w:lang w:val="en-US"/>
        </w:rPr>
        <w:t>Cyprus</w:t>
      </w:r>
      <w:r w:rsidR="00CA69BE" w:rsidRPr="00813D19">
        <w:rPr>
          <w:lang w:val="en-US"/>
        </w:rPr>
        <w:t xml:space="preserve">, </w:t>
      </w:r>
      <w:r w:rsidR="00CA69BE" w:rsidRPr="00813D19">
        <w:rPr>
          <w:b/>
          <w:lang w:val="en-US"/>
        </w:rPr>
        <w:t>Djibouti</w:t>
      </w:r>
      <w:r w:rsidR="00CA69BE" w:rsidRPr="00813D19">
        <w:rPr>
          <w:lang w:val="en-US"/>
        </w:rPr>
        <w:t xml:space="preserve">, </w:t>
      </w:r>
      <w:r w:rsidR="00CA69BE" w:rsidRPr="00813D19">
        <w:rPr>
          <w:b/>
          <w:lang w:val="en-US"/>
        </w:rPr>
        <w:t>Jamaica</w:t>
      </w:r>
      <w:r w:rsidR="00CA69BE" w:rsidRPr="00813D19">
        <w:rPr>
          <w:lang w:val="en-US"/>
        </w:rPr>
        <w:t xml:space="preserve">, </w:t>
      </w:r>
      <w:r w:rsidR="00CA69BE" w:rsidRPr="00813D19">
        <w:rPr>
          <w:b/>
          <w:lang w:val="en-US"/>
        </w:rPr>
        <w:t>Kazakhstan</w:t>
      </w:r>
      <w:r w:rsidR="00CA69BE" w:rsidRPr="00813D19">
        <w:rPr>
          <w:lang w:val="en-US"/>
        </w:rPr>
        <w:t xml:space="preserve">, </w:t>
      </w:r>
      <w:r w:rsidR="00CA69BE" w:rsidRPr="00813D19">
        <w:rPr>
          <w:b/>
          <w:lang w:val="en-US"/>
        </w:rPr>
        <w:t>Kuwait</w:t>
      </w:r>
      <w:r w:rsidR="00CA69BE" w:rsidRPr="00813D19">
        <w:rPr>
          <w:lang w:val="en-US"/>
        </w:rPr>
        <w:t xml:space="preserve">, </w:t>
      </w:r>
      <w:r w:rsidR="00CA69BE" w:rsidRPr="00813D19">
        <w:rPr>
          <w:b/>
          <w:lang w:val="en-US"/>
        </w:rPr>
        <w:t>Lebanon</w:t>
      </w:r>
      <w:r w:rsidR="00CA69BE" w:rsidRPr="00813D19">
        <w:rPr>
          <w:lang w:val="en-US"/>
        </w:rPr>
        <w:t xml:space="preserve">, the </w:t>
      </w:r>
      <w:r w:rsidR="00CA69BE" w:rsidRPr="00813D19">
        <w:rPr>
          <w:b/>
          <w:lang w:val="en-US"/>
        </w:rPr>
        <w:t>Philippines</w:t>
      </w:r>
      <w:r w:rsidR="00CA69BE" w:rsidRPr="00813D19">
        <w:rPr>
          <w:lang w:val="en-US"/>
        </w:rPr>
        <w:t xml:space="preserve">, </w:t>
      </w:r>
      <w:r w:rsidR="00CA69BE" w:rsidRPr="00813D19">
        <w:rPr>
          <w:b/>
          <w:lang w:val="en-US"/>
        </w:rPr>
        <w:t>Poland</w:t>
      </w:r>
      <w:r w:rsidR="00CA69BE" w:rsidRPr="00813D19">
        <w:rPr>
          <w:lang w:val="en-US"/>
        </w:rPr>
        <w:t xml:space="preserve">, </w:t>
      </w:r>
      <w:r w:rsidR="00CA69BE" w:rsidRPr="00813D19">
        <w:rPr>
          <w:b/>
          <w:lang w:val="en-US"/>
        </w:rPr>
        <w:t>Senegal</w:t>
      </w:r>
      <w:r w:rsidR="00CA69BE" w:rsidRPr="00813D19">
        <w:rPr>
          <w:lang w:val="en-US"/>
        </w:rPr>
        <w:t xml:space="preserve">, </w:t>
      </w:r>
      <w:r w:rsidR="00CA69BE" w:rsidRPr="00813D19">
        <w:rPr>
          <w:b/>
          <w:lang w:val="en-US"/>
        </w:rPr>
        <w:t>Togo</w:t>
      </w:r>
      <w:r w:rsidR="00CA69BE" w:rsidRPr="00813D19">
        <w:rPr>
          <w:lang w:val="en-US"/>
        </w:rPr>
        <w:t xml:space="preserve"> and </w:t>
      </w:r>
      <w:r w:rsidR="00CA69BE" w:rsidRPr="00813D19">
        <w:rPr>
          <w:b/>
          <w:lang w:val="en-US"/>
        </w:rPr>
        <w:t>Zambia</w:t>
      </w:r>
      <w:r w:rsidR="00E41386">
        <w:rPr>
          <w:lang w:val="en-US"/>
        </w:rPr>
        <w:t>.</w:t>
      </w:r>
    </w:p>
    <w:p w14:paraId="7AD4F935" w14:textId="1CD4217E" w:rsidR="00872A1E" w:rsidRPr="00813D19" w:rsidRDefault="00E52F4F" w:rsidP="00E52F4F">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CA69BE" w:rsidRPr="00813D19">
        <w:rPr>
          <w:lang w:val="en-US"/>
        </w:rPr>
        <w:t>pronounced p</w:t>
      </w:r>
      <w:r w:rsidRPr="00813D19">
        <w:rPr>
          <w:lang w:val="en-US"/>
        </w:rPr>
        <w:t>ara</w:t>
      </w:r>
      <w:r w:rsidR="00E41386">
        <w:rPr>
          <w:lang w:val="en-US"/>
        </w:rPr>
        <w:t>graphs 4, 5 and 6 duly adopted.</w:t>
      </w:r>
    </w:p>
    <w:p w14:paraId="39FD1C5B" w14:textId="665944FF" w:rsidR="00C44EC3" w:rsidRPr="00813D19" w:rsidRDefault="002E7C57" w:rsidP="003569F5">
      <w:pPr>
        <w:pStyle w:val="Orateurengris"/>
        <w:spacing w:before="120"/>
        <w:ind w:left="709" w:hanging="709"/>
        <w:rPr>
          <w:lang w:val="en-US"/>
        </w:rPr>
      </w:pPr>
      <w:r w:rsidRPr="00813D19">
        <w:rPr>
          <w:lang w:val="en-US"/>
        </w:rPr>
        <w:t>Turning to the draft decision as a whole, and w</w:t>
      </w:r>
      <w:r w:rsidR="00014449" w:rsidRPr="00813D19">
        <w:rPr>
          <w:lang w:val="en-US"/>
        </w:rPr>
        <w:t xml:space="preserve">ith no further comments or objections, </w:t>
      </w:r>
      <w:r w:rsidR="00014449" w:rsidRPr="00813D19">
        <w:rPr>
          <w:rFonts w:eastAsia="Calibri"/>
          <w:b/>
          <w:color w:val="000000" w:themeColor="text1"/>
          <w:lang w:val="en-US"/>
        </w:rPr>
        <w:t xml:space="preserve">the Chairperson declared Decision </w:t>
      </w:r>
      <w:hyperlink r:id="rId93" w:history="1">
        <w:r w:rsidR="00014449" w:rsidRPr="00813D19">
          <w:rPr>
            <w:rStyle w:val="Hyperlink"/>
            <w:b/>
            <w:lang w:val="en-US"/>
          </w:rPr>
          <w:t>13.COM 10.a.1</w:t>
        </w:r>
      </w:hyperlink>
      <w:r w:rsidR="00014449" w:rsidRPr="00813D19">
        <w:rPr>
          <w:b/>
          <w:color w:val="000000" w:themeColor="text1"/>
          <w:lang w:val="en-US"/>
        </w:rPr>
        <w:t xml:space="preserve"> </w:t>
      </w:r>
      <w:r w:rsidR="00014449" w:rsidRPr="00813D19">
        <w:rPr>
          <w:rFonts w:eastAsia="Calibri"/>
          <w:b/>
          <w:color w:val="000000" w:themeColor="text1"/>
          <w:lang w:val="en-US"/>
        </w:rPr>
        <w:t xml:space="preserve">adopted </w:t>
      </w:r>
      <w:r w:rsidR="00014449" w:rsidRPr="00813D19">
        <w:rPr>
          <w:b/>
          <w:color w:val="000000" w:themeColor="text1"/>
          <w:lang w:val="en-US"/>
        </w:rPr>
        <w:t xml:space="preserve">to inscribe </w:t>
      </w:r>
      <w:r w:rsidR="00014449" w:rsidRPr="00813D19">
        <w:rPr>
          <w:b/>
          <w:lang w:val="en-US"/>
        </w:rPr>
        <w:t>Knowledge and skills of the water measurers of the foggaras or water bailiffs of Touat and Tidikelt</w:t>
      </w:r>
      <w:r w:rsidR="00014449" w:rsidRPr="00813D19">
        <w:rPr>
          <w:lang w:val="en-US"/>
        </w:rPr>
        <w:t xml:space="preserve"> </w:t>
      </w:r>
      <w:r w:rsidR="00014449" w:rsidRPr="00813D19">
        <w:rPr>
          <w:b/>
          <w:color w:val="000000" w:themeColor="text1"/>
          <w:lang w:val="en-US"/>
        </w:rPr>
        <w:t xml:space="preserve">on </w:t>
      </w:r>
      <w:r w:rsidR="00014449" w:rsidRPr="00813D19">
        <w:rPr>
          <w:b/>
          <w:bCs/>
          <w:color w:val="000000" w:themeColor="text1"/>
          <w:lang w:val="en-US"/>
        </w:rPr>
        <w:t>the Urgent Safeguarding List</w:t>
      </w:r>
      <w:r w:rsidR="00014449" w:rsidRPr="00E41386">
        <w:rPr>
          <w:color w:val="000000" w:themeColor="text1"/>
          <w:lang w:val="en-US"/>
        </w:rPr>
        <w:t>.</w:t>
      </w:r>
    </w:p>
    <w:p w14:paraId="5A2B15B8" w14:textId="57DECC8E" w:rsidR="00607BE2" w:rsidRPr="00813D19" w:rsidRDefault="00607BE2" w:rsidP="006A6285">
      <w:pPr>
        <w:pStyle w:val="Orateurengris"/>
        <w:spacing w:before="120"/>
        <w:ind w:left="709" w:hanging="709"/>
        <w:rPr>
          <w:lang w:val="en-US"/>
        </w:rPr>
      </w:pPr>
      <w:r w:rsidRPr="00813D19">
        <w:rPr>
          <w:lang w:val="en-US"/>
        </w:rPr>
        <w:t xml:space="preserve">The </w:t>
      </w:r>
      <w:r w:rsidRPr="00813D19">
        <w:rPr>
          <w:b/>
          <w:lang w:val="en-US"/>
        </w:rPr>
        <w:t>delegation of Algeria</w:t>
      </w:r>
      <w:r w:rsidR="005F7AC4" w:rsidRPr="00813D19">
        <w:rPr>
          <w:b/>
          <w:lang w:val="en-US"/>
        </w:rPr>
        <w:t xml:space="preserve"> </w:t>
      </w:r>
      <w:r w:rsidR="00E12016" w:rsidRPr="00813D19">
        <w:rPr>
          <w:lang w:val="en-US"/>
        </w:rPr>
        <w:t xml:space="preserve">began by thanking the Committee for </w:t>
      </w:r>
      <w:r w:rsidR="008A71D2" w:rsidRPr="00813D19">
        <w:rPr>
          <w:lang w:val="en-US"/>
        </w:rPr>
        <w:t xml:space="preserve">its </w:t>
      </w:r>
      <w:r w:rsidR="00E12016" w:rsidRPr="00813D19">
        <w:rPr>
          <w:lang w:val="en-US"/>
        </w:rPr>
        <w:t xml:space="preserve">support, and especially </w:t>
      </w:r>
      <w:r w:rsidR="006C38A7" w:rsidRPr="00813D19">
        <w:rPr>
          <w:lang w:val="en-US"/>
        </w:rPr>
        <w:t>for</w:t>
      </w:r>
      <w:r w:rsidR="00E12016" w:rsidRPr="00813D19">
        <w:rPr>
          <w:lang w:val="en-US"/>
        </w:rPr>
        <w:t xml:space="preserve"> understanding this important issue for Algeria and for the community. It believed that sustainable development, and the development of sustainable agriculture in particular, c</w:t>
      </w:r>
      <w:r w:rsidR="003E2357">
        <w:rPr>
          <w:lang w:val="en-US"/>
        </w:rPr>
        <w:t>ould</w:t>
      </w:r>
      <w:r w:rsidR="00E12016" w:rsidRPr="00813D19">
        <w:rPr>
          <w:lang w:val="en-US"/>
        </w:rPr>
        <w:t xml:space="preserve"> only be achi</w:t>
      </w:r>
      <w:r w:rsidR="006C38A7" w:rsidRPr="00813D19">
        <w:rPr>
          <w:lang w:val="en-US"/>
        </w:rPr>
        <w:t>e</w:t>
      </w:r>
      <w:r w:rsidR="00E12016" w:rsidRPr="00813D19">
        <w:rPr>
          <w:lang w:val="en-US"/>
        </w:rPr>
        <w:t xml:space="preserve">ved through the protection of ancient customs, the old ways of our fathers, grandfathers and ancestors in their approach to the rational use of resources, especially water. Water springs from life, and that was why the element </w:t>
      </w:r>
      <w:r w:rsidR="006C38A7" w:rsidRPr="00813D19">
        <w:rPr>
          <w:lang w:val="en-US"/>
        </w:rPr>
        <w:t xml:space="preserve">now </w:t>
      </w:r>
      <w:r w:rsidR="00E12016" w:rsidRPr="00813D19">
        <w:rPr>
          <w:lang w:val="en-US"/>
        </w:rPr>
        <w:t>inscribed was so emblematic</w:t>
      </w:r>
      <w:r w:rsidR="006C38A7" w:rsidRPr="00813D19">
        <w:rPr>
          <w:lang w:val="en-US"/>
        </w:rPr>
        <w:t>.</w:t>
      </w:r>
      <w:r w:rsidR="00E12016" w:rsidRPr="00813D19">
        <w:rPr>
          <w:lang w:val="en-US"/>
        </w:rPr>
        <w:t xml:space="preserve"> Algeria pledge</w:t>
      </w:r>
      <w:r w:rsidR="006C38A7" w:rsidRPr="00813D19">
        <w:rPr>
          <w:lang w:val="en-US"/>
        </w:rPr>
        <w:t>d</w:t>
      </w:r>
      <w:r w:rsidR="00E12016" w:rsidRPr="00813D19">
        <w:rPr>
          <w:lang w:val="en-US"/>
        </w:rPr>
        <w:t xml:space="preserve"> to do everything possible to safeguard this element, promote it</w:t>
      </w:r>
      <w:r w:rsidR="006C38A7" w:rsidRPr="00813D19">
        <w:rPr>
          <w:lang w:val="en-US"/>
        </w:rPr>
        <w:t>,</w:t>
      </w:r>
      <w:r w:rsidR="00E12016" w:rsidRPr="00813D19">
        <w:rPr>
          <w:lang w:val="en-US"/>
        </w:rPr>
        <w:t xml:space="preserve"> and perhaps one day return to the Committee to see the element </w:t>
      </w:r>
      <w:r w:rsidR="006C38A7" w:rsidRPr="00813D19">
        <w:rPr>
          <w:lang w:val="en-US"/>
        </w:rPr>
        <w:t>transferred t</w:t>
      </w:r>
      <w:r w:rsidR="00E12016" w:rsidRPr="00813D19">
        <w:rPr>
          <w:lang w:val="en-US"/>
        </w:rPr>
        <w:t xml:space="preserve">o the Representative List, </w:t>
      </w:r>
      <w:r w:rsidR="006C38A7" w:rsidRPr="00813D19">
        <w:rPr>
          <w:lang w:val="en-US"/>
        </w:rPr>
        <w:t xml:space="preserve">or </w:t>
      </w:r>
      <w:r w:rsidR="00E12016" w:rsidRPr="00813D19">
        <w:rPr>
          <w:lang w:val="en-US"/>
        </w:rPr>
        <w:t xml:space="preserve">perhaps the Register of Good Safeguarding Practices. The delegation thanked the Evaluation Body for its truly impressive work, for having understood the nature of the file, and for their recommendations, which it </w:t>
      </w:r>
      <w:r w:rsidR="006C38A7" w:rsidRPr="00813D19">
        <w:rPr>
          <w:lang w:val="en-US"/>
        </w:rPr>
        <w:t xml:space="preserve">was </w:t>
      </w:r>
      <w:r w:rsidR="00E12016" w:rsidRPr="00813D19">
        <w:rPr>
          <w:lang w:val="en-US"/>
        </w:rPr>
        <w:t>committed to implement</w:t>
      </w:r>
      <w:r w:rsidR="003E2357">
        <w:rPr>
          <w:lang w:val="en-US"/>
        </w:rPr>
        <w:t>ing</w:t>
      </w:r>
      <w:r w:rsidR="00E12016" w:rsidRPr="00813D19">
        <w:rPr>
          <w:lang w:val="en-US"/>
        </w:rPr>
        <w:t xml:space="preserve"> to strengthen its action </w:t>
      </w:r>
      <w:r w:rsidR="006C38A7" w:rsidRPr="00813D19">
        <w:rPr>
          <w:lang w:val="en-US"/>
        </w:rPr>
        <w:t>in this regard</w:t>
      </w:r>
      <w:r w:rsidR="00E12016" w:rsidRPr="00813D19">
        <w:rPr>
          <w:lang w:val="en-US"/>
        </w:rPr>
        <w:t xml:space="preserve">. Finally, </w:t>
      </w:r>
      <w:r w:rsidR="006C38A7" w:rsidRPr="00813D19">
        <w:rPr>
          <w:lang w:val="en-US"/>
        </w:rPr>
        <w:t xml:space="preserve">on behalf of the entire communities of Touat and Tidikelt, </w:t>
      </w:r>
      <w:r w:rsidR="00E12016" w:rsidRPr="00813D19">
        <w:rPr>
          <w:lang w:val="en-US"/>
        </w:rPr>
        <w:t xml:space="preserve">it thanked the Secretariat for </w:t>
      </w:r>
      <w:r w:rsidR="006C38A7" w:rsidRPr="00813D19">
        <w:rPr>
          <w:lang w:val="en-US"/>
        </w:rPr>
        <w:t xml:space="preserve">its </w:t>
      </w:r>
      <w:r w:rsidR="00E12016" w:rsidRPr="00813D19">
        <w:rPr>
          <w:lang w:val="en-US"/>
        </w:rPr>
        <w:t xml:space="preserve">invaluable assistance in the management of this file, with special thanks to the Chairperson for the manner in which he </w:t>
      </w:r>
      <w:r w:rsidR="006C38A7" w:rsidRPr="00813D19">
        <w:rPr>
          <w:lang w:val="en-US"/>
        </w:rPr>
        <w:t xml:space="preserve">was </w:t>
      </w:r>
      <w:r w:rsidR="00E12016" w:rsidRPr="00813D19">
        <w:rPr>
          <w:lang w:val="en-US"/>
        </w:rPr>
        <w:t>conduct</w:t>
      </w:r>
      <w:r w:rsidR="006C38A7" w:rsidRPr="00813D19">
        <w:rPr>
          <w:lang w:val="en-US"/>
        </w:rPr>
        <w:t>ing</w:t>
      </w:r>
      <w:r w:rsidR="00E12016" w:rsidRPr="00813D19">
        <w:rPr>
          <w:lang w:val="en-US"/>
        </w:rPr>
        <w:t xml:space="preserve"> the Committee’s work, and especially Mauritius for hosting and organizing this important event.</w:t>
      </w:r>
    </w:p>
    <w:p w14:paraId="0CD0DDF6" w14:textId="5B805D74" w:rsidR="00231ED6" w:rsidRPr="00813D19" w:rsidRDefault="003569F5" w:rsidP="00231ED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 </w:t>
      </w:r>
      <w:r w:rsidRPr="00813D19">
        <w:rPr>
          <w:b/>
          <w:lang w:val="en-US"/>
        </w:rPr>
        <w:t>Yalli (Kochari, Tenzere), traditional group dances of Nakhchivan</w:t>
      </w:r>
      <w:r w:rsidRPr="00813D19">
        <w:rPr>
          <w:lang w:val="en-US"/>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10.a.2]</w:t>
      </w:r>
      <w:r w:rsidR="003E2357">
        <w:rPr>
          <w:color w:val="000000" w:themeColor="text1"/>
          <w:lang w:val="en-US"/>
        </w:rPr>
        <w:t>,</w:t>
      </w:r>
      <w:r w:rsidRPr="00813D19">
        <w:rPr>
          <w:b/>
          <w:color w:val="000000" w:themeColor="text1"/>
          <w:lang w:val="en-US"/>
        </w:rPr>
        <w:t xml:space="preserve"> </w:t>
      </w:r>
      <w:r w:rsidRPr="00813D19">
        <w:rPr>
          <w:lang w:val="en-US"/>
        </w:rPr>
        <w:t xml:space="preserve">submitted by </w:t>
      </w:r>
      <w:r w:rsidRPr="00813D19">
        <w:rPr>
          <w:b/>
          <w:lang w:val="en-US"/>
        </w:rPr>
        <w:t>Azerbaijan</w:t>
      </w:r>
      <w:r w:rsidRPr="00813D19">
        <w:rPr>
          <w:lang w:val="en-US"/>
        </w:rPr>
        <w:t xml:space="preserve">. Yalli, traditional group dances, are dance expressions based exclusively on collective performances. Until the mid-twentieth century, yalli </w:t>
      </w:r>
      <w:r w:rsidR="003D35CE" w:rsidRPr="00813D19">
        <w:rPr>
          <w:lang w:val="en-US"/>
        </w:rPr>
        <w:t>were</w:t>
      </w:r>
      <w:r w:rsidRPr="00813D19">
        <w:rPr>
          <w:lang w:val="en-US"/>
        </w:rPr>
        <w:t xml:space="preserve"> widely practised</w:t>
      </w:r>
      <w:r w:rsidR="003D35CE" w:rsidRPr="00813D19">
        <w:rPr>
          <w:lang w:val="en-US"/>
        </w:rPr>
        <w:t>,</w:t>
      </w:r>
      <w:r w:rsidRPr="00813D19">
        <w:rPr>
          <w:lang w:val="en-US"/>
        </w:rPr>
        <w:t xml:space="preserve"> but several factors such as </w:t>
      </w:r>
      <w:r w:rsidR="003E2357">
        <w:rPr>
          <w:lang w:val="en-US"/>
        </w:rPr>
        <w:t xml:space="preserve">the </w:t>
      </w:r>
      <w:r w:rsidRPr="00813D19">
        <w:rPr>
          <w:lang w:val="en-US"/>
        </w:rPr>
        <w:t>gradual loss of social functions for certain types of yalli, a preference for staged performances, labo</w:t>
      </w:r>
      <w:r w:rsidR="00FB131E">
        <w:rPr>
          <w:lang w:val="en-US"/>
        </w:rPr>
        <w:t>u</w:t>
      </w:r>
      <w:r w:rsidRPr="00813D19">
        <w:rPr>
          <w:lang w:val="en-US"/>
        </w:rPr>
        <w:t>r migration and the economic crises of the late 1980s and early 1990s, a shift from informal to formal transmission, and a drast</w:t>
      </w:r>
      <w:r w:rsidR="006C38A7" w:rsidRPr="00813D19">
        <w:rPr>
          <w:lang w:val="en-US"/>
        </w:rPr>
        <w:t>ic simplification of the dances had</w:t>
      </w:r>
      <w:r w:rsidRPr="00813D19">
        <w:rPr>
          <w:lang w:val="en-US"/>
        </w:rPr>
        <w:t xml:space="preserve"> impacted the transmission of the practice. From the information included in th</w:t>
      </w:r>
      <w:r w:rsidR="003D35CE" w:rsidRPr="00813D19">
        <w:rPr>
          <w:lang w:val="en-US"/>
        </w:rPr>
        <w:t>e file, the nomination satisfied</w:t>
      </w:r>
      <w:r w:rsidRPr="00813D19">
        <w:rPr>
          <w:lang w:val="en-US"/>
        </w:rPr>
        <w:t xml:space="preserve"> all five criteria. The Evaluation Body considered that Yalli (Kochari, Tenzere), traditional group dances of Nakhchivan</w:t>
      </w:r>
      <w:r w:rsidR="003E2357">
        <w:rPr>
          <w:lang w:val="en-US"/>
        </w:rPr>
        <w:t>,</w:t>
      </w:r>
      <w:r w:rsidRPr="00813D19">
        <w:rPr>
          <w:lang w:val="en-US"/>
        </w:rPr>
        <w:t xml:space="preserve"> symbolize energy, solidarity and the rhythm of life, reinforcing social cohesion and friendship. Due to </w:t>
      </w:r>
      <w:r w:rsidR="003E2357">
        <w:rPr>
          <w:lang w:val="en-US"/>
        </w:rPr>
        <w:t xml:space="preserve">the </w:t>
      </w:r>
      <w:r w:rsidRPr="00813D19">
        <w:rPr>
          <w:lang w:val="en-US"/>
        </w:rPr>
        <w:t xml:space="preserve">loss of </w:t>
      </w:r>
      <w:r w:rsidR="003D35CE" w:rsidRPr="00813D19">
        <w:rPr>
          <w:lang w:val="en-US"/>
        </w:rPr>
        <w:t>variety, the use of homogenized,</w:t>
      </w:r>
      <w:r w:rsidRPr="00813D19">
        <w:rPr>
          <w:lang w:val="en-US"/>
        </w:rPr>
        <w:t xml:space="preserve"> simplified forms, the gradual loss of different roles of practitioners and social functions of the dances, the prevalence of stage performances and the young generation’s preference for other types of entertainment in urban contexts, its practice continue</w:t>
      </w:r>
      <w:r w:rsidR="003E2357">
        <w:rPr>
          <w:lang w:val="en-US"/>
        </w:rPr>
        <w:t>d</w:t>
      </w:r>
      <w:r w:rsidRPr="00813D19">
        <w:rPr>
          <w:lang w:val="en-US"/>
        </w:rPr>
        <w:t xml:space="preserve"> to decline. The proposed safeguarding plan </w:t>
      </w:r>
      <w:r w:rsidR="003D35CE" w:rsidRPr="00813D19">
        <w:rPr>
          <w:lang w:val="en-US"/>
        </w:rPr>
        <w:t xml:space="preserve">was </w:t>
      </w:r>
      <w:r w:rsidRPr="00813D19">
        <w:rPr>
          <w:lang w:val="en-US"/>
        </w:rPr>
        <w:t>well-conceived with clear objectives</w:t>
      </w:r>
      <w:r w:rsidR="003D35CE" w:rsidRPr="00813D19">
        <w:rPr>
          <w:lang w:val="en-US"/>
        </w:rPr>
        <w:t>,</w:t>
      </w:r>
      <w:r w:rsidRPr="00813D19">
        <w:rPr>
          <w:lang w:val="en-US"/>
        </w:rPr>
        <w:t xml:space="preserve"> reflecting the identified needs and budget with </w:t>
      </w:r>
      <w:r w:rsidR="006C38A7" w:rsidRPr="00813D19">
        <w:rPr>
          <w:lang w:val="en-US"/>
        </w:rPr>
        <w:t xml:space="preserve">the </w:t>
      </w:r>
      <w:r w:rsidRPr="00813D19">
        <w:rPr>
          <w:lang w:val="en-US"/>
        </w:rPr>
        <w:t>aim of creating favo</w:t>
      </w:r>
      <w:r w:rsidR="00C64B11">
        <w:rPr>
          <w:lang w:val="en-US"/>
        </w:rPr>
        <w:t>u</w:t>
      </w:r>
      <w:r w:rsidRPr="00813D19">
        <w:rPr>
          <w:lang w:val="en-US"/>
        </w:rPr>
        <w:t xml:space="preserve">rable conditions to </w:t>
      </w:r>
      <w:r w:rsidR="006C38A7" w:rsidRPr="00813D19">
        <w:rPr>
          <w:lang w:val="en-US"/>
        </w:rPr>
        <w:t>transmit yalli and sustain the</w:t>
      </w:r>
      <w:r w:rsidRPr="00813D19">
        <w:rPr>
          <w:lang w:val="en-US"/>
        </w:rPr>
        <w:t xml:space="preserve"> practice in the future. The practitioners, communities and stakeholders were involved in the nomination process through consultations in a working group. The Evaluation Body recommended that the Committee inscribe Yalli (Kochari, Tenzere), traditional group dances of Nakhchivan</w:t>
      </w:r>
      <w:r w:rsidR="003E2357">
        <w:rPr>
          <w:lang w:val="en-US"/>
        </w:rPr>
        <w:t>,</w:t>
      </w:r>
      <w:r w:rsidRPr="00813D19">
        <w:rPr>
          <w:lang w:val="en-US"/>
        </w:rPr>
        <w:t xml:space="preserve"> on the Urgent Safeguarding List.</w:t>
      </w:r>
    </w:p>
    <w:p w14:paraId="65F5FF6B" w14:textId="78CCE8FA" w:rsidR="00A826DC" w:rsidRPr="00813D19" w:rsidRDefault="00CF37B4" w:rsidP="00A826DC">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an amendment had been received for this </w:t>
      </w:r>
      <w:r w:rsidR="00E00839" w:rsidRPr="00813D19">
        <w:rPr>
          <w:lang w:val="en-US"/>
        </w:rPr>
        <w:t>nomination</w:t>
      </w:r>
      <w:r w:rsidR="00A826DC" w:rsidRPr="00813D19">
        <w:rPr>
          <w:lang w:val="en-US"/>
        </w:rPr>
        <w:t xml:space="preserve">, </w:t>
      </w:r>
      <w:r w:rsidR="005E5DF4" w:rsidRPr="00813D19">
        <w:rPr>
          <w:lang w:val="en-US"/>
        </w:rPr>
        <w:t>inviting the Secretary to present the amendment</w:t>
      </w:r>
      <w:r w:rsidR="00A826DC" w:rsidRPr="00813D19">
        <w:rPr>
          <w:lang w:val="en-US"/>
        </w:rPr>
        <w:t>.</w:t>
      </w:r>
    </w:p>
    <w:p w14:paraId="07C08BC0" w14:textId="668E12C4" w:rsidR="00CF37B4" w:rsidRPr="00813D19" w:rsidRDefault="00CF37B4" w:rsidP="00231ED6">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5E5DF4" w:rsidRPr="00813D19">
        <w:rPr>
          <w:lang w:val="en-US"/>
        </w:rPr>
        <w:t xml:space="preserve">explained </w:t>
      </w:r>
      <w:r w:rsidR="005E5DF4" w:rsidRPr="00813D19">
        <w:rPr>
          <w:bCs/>
          <w:lang w:val="en-US"/>
        </w:rPr>
        <w:t xml:space="preserve">that </w:t>
      </w:r>
      <w:r w:rsidR="00374917" w:rsidRPr="00813D19">
        <w:rPr>
          <w:bCs/>
          <w:lang w:val="en-US"/>
        </w:rPr>
        <w:t xml:space="preserve">an amendment </w:t>
      </w:r>
      <w:r w:rsidR="005E5DF4" w:rsidRPr="00813D19">
        <w:rPr>
          <w:bCs/>
          <w:lang w:val="en-US"/>
        </w:rPr>
        <w:t xml:space="preserve">had been proposed on this file, and asked the </w:t>
      </w:r>
      <w:r w:rsidR="00374917" w:rsidRPr="00813D19">
        <w:rPr>
          <w:bCs/>
          <w:lang w:val="en-US"/>
        </w:rPr>
        <w:t xml:space="preserve">Committee to take note </w:t>
      </w:r>
      <w:r w:rsidR="005E5DF4" w:rsidRPr="00813D19">
        <w:rPr>
          <w:bCs/>
          <w:lang w:val="en-US"/>
        </w:rPr>
        <w:t>that as a result of the good</w:t>
      </w:r>
      <w:r w:rsidR="00374917" w:rsidRPr="00813D19">
        <w:rPr>
          <w:bCs/>
          <w:lang w:val="en-US"/>
        </w:rPr>
        <w:t xml:space="preserve">will of the parties </w:t>
      </w:r>
      <w:r w:rsidR="005E5DF4" w:rsidRPr="00813D19">
        <w:rPr>
          <w:bCs/>
          <w:lang w:val="en-US"/>
        </w:rPr>
        <w:t xml:space="preserve">concerned, the </w:t>
      </w:r>
      <w:r w:rsidR="00374917" w:rsidRPr="00813D19">
        <w:rPr>
          <w:bCs/>
          <w:lang w:val="en-US"/>
        </w:rPr>
        <w:t>Secretariat</w:t>
      </w:r>
      <w:r w:rsidR="005E5DF4" w:rsidRPr="00813D19">
        <w:rPr>
          <w:bCs/>
          <w:lang w:val="en-US"/>
        </w:rPr>
        <w:t xml:space="preserve"> proposed an additional paragraph </w:t>
      </w:r>
      <w:r w:rsidR="008946DD" w:rsidRPr="00813D19">
        <w:rPr>
          <w:bCs/>
          <w:lang w:val="en-US"/>
        </w:rPr>
        <w:t xml:space="preserve">[5] </w:t>
      </w:r>
      <w:r w:rsidR="005E5DF4" w:rsidRPr="00813D19">
        <w:rPr>
          <w:bCs/>
          <w:lang w:val="en-US"/>
        </w:rPr>
        <w:t xml:space="preserve">to the </w:t>
      </w:r>
      <w:r w:rsidR="00374917" w:rsidRPr="00813D19">
        <w:rPr>
          <w:bCs/>
          <w:lang w:val="en-US"/>
        </w:rPr>
        <w:t>draft decision</w:t>
      </w:r>
      <w:r w:rsidR="005E5DF4" w:rsidRPr="00813D19">
        <w:rPr>
          <w:bCs/>
          <w:lang w:val="en-US"/>
        </w:rPr>
        <w:t>,</w:t>
      </w:r>
      <w:r w:rsidR="00374917" w:rsidRPr="00813D19">
        <w:rPr>
          <w:bCs/>
          <w:lang w:val="en-US"/>
        </w:rPr>
        <w:t xml:space="preserve"> reflecting language that has been used in the past</w:t>
      </w:r>
      <w:r w:rsidR="005E5DF4" w:rsidRPr="00813D19">
        <w:rPr>
          <w:bCs/>
          <w:lang w:val="en-US"/>
        </w:rPr>
        <w:t>, which would read, ‘</w:t>
      </w:r>
      <w:r w:rsidR="00374917" w:rsidRPr="00813D19">
        <w:rPr>
          <w:bCs/>
          <w:lang w:val="en-US"/>
        </w:rPr>
        <w:t>takes note that the heritage of traditional group dances is shared by communities in the region and beyond</w:t>
      </w:r>
      <w:r w:rsidR="008946DD" w:rsidRPr="00813D19">
        <w:rPr>
          <w:bCs/>
          <w:lang w:val="en-US"/>
        </w:rPr>
        <w:t>’. The Secretariat hoped</w:t>
      </w:r>
      <w:r w:rsidR="00374917" w:rsidRPr="00813D19">
        <w:rPr>
          <w:bCs/>
          <w:lang w:val="en-US"/>
        </w:rPr>
        <w:t xml:space="preserve"> that Committee Members </w:t>
      </w:r>
      <w:r w:rsidR="008946DD" w:rsidRPr="00813D19">
        <w:rPr>
          <w:bCs/>
          <w:lang w:val="en-US"/>
        </w:rPr>
        <w:t>would agree</w:t>
      </w:r>
      <w:r w:rsidR="00374917" w:rsidRPr="00813D19">
        <w:rPr>
          <w:bCs/>
          <w:lang w:val="en-US"/>
        </w:rPr>
        <w:t xml:space="preserve"> to </w:t>
      </w:r>
      <w:r w:rsidR="008946DD" w:rsidRPr="00813D19">
        <w:rPr>
          <w:bCs/>
          <w:lang w:val="en-US"/>
        </w:rPr>
        <w:t>this amendment.</w:t>
      </w:r>
    </w:p>
    <w:p w14:paraId="6C8FE0B2" w14:textId="3F6CE9BD" w:rsidR="003F266D" w:rsidRPr="00813D19" w:rsidRDefault="003F266D" w:rsidP="00231ED6">
      <w:pPr>
        <w:pStyle w:val="Orateurengris"/>
        <w:spacing w:before="120"/>
        <w:ind w:left="709" w:hanging="709"/>
        <w:rPr>
          <w:lang w:val="en-US"/>
        </w:rPr>
      </w:pPr>
      <w:r w:rsidRPr="00813D19">
        <w:rPr>
          <w:bCs/>
          <w:lang w:val="en-US"/>
        </w:rPr>
        <w:t xml:space="preserve">The </w:t>
      </w:r>
      <w:r w:rsidRPr="00813D19">
        <w:rPr>
          <w:b/>
          <w:bCs/>
          <w:lang w:val="en-US"/>
        </w:rPr>
        <w:t xml:space="preserve">Chairperson </w:t>
      </w:r>
      <w:r w:rsidR="006747B7" w:rsidRPr="00813D19">
        <w:rPr>
          <w:bCs/>
          <w:lang w:val="en-US"/>
        </w:rPr>
        <w:t xml:space="preserve">thanked the </w:t>
      </w:r>
      <w:r w:rsidRPr="00813D19">
        <w:rPr>
          <w:bCs/>
          <w:lang w:val="en-US"/>
        </w:rPr>
        <w:t xml:space="preserve">Secretary for </w:t>
      </w:r>
      <w:r w:rsidR="006747B7" w:rsidRPr="00813D19">
        <w:rPr>
          <w:bCs/>
          <w:lang w:val="en-US"/>
        </w:rPr>
        <w:t xml:space="preserve">the </w:t>
      </w:r>
      <w:r w:rsidR="006C38A7" w:rsidRPr="00813D19">
        <w:rPr>
          <w:bCs/>
          <w:lang w:val="en-US"/>
        </w:rPr>
        <w:t>clarification</w:t>
      </w:r>
      <w:r w:rsidR="008946DD" w:rsidRPr="00813D19">
        <w:rPr>
          <w:bCs/>
          <w:lang w:val="en-US"/>
        </w:rPr>
        <w:t xml:space="preserve"> and turned to the </w:t>
      </w:r>
      <w:r w:rsidRPr="00813D19">
        <w:rPr>
          <w:bCs/>
          <w:lang w:val="en-US"/>
        </w:rPr>
        <w:t>adopt</w:t>
      </w:r>
      <w:r w:rsidR="008946DD" w:rsidRPr="00813D19">
        <w:rPr>
          <w:bCs/>
          <w:lang w:val="en-US"/>
        </w:rPr>
        <w:t>ion of</w:t>
      </w:r>
      <w:r w:rsidRPr="00813D19">
        <w:rPr>
          <w:bCs/>
          <w:lang w:val="en-US"/>
        </w:rPr>
        <w:t xml:space="preserve"> the decision </w:t>
      </w:r>
      <w:r w:rsidR="008946DD" w:rsidRPr="00813D19">
        <w:rPr>
          <w:bCs/>
          <w:lang w:val="en-US"/>
        </w:rPr>
        <w:t xml:space="preserve">on a </w:t>
      </w:r>
      <w:r w:rsidRPr="00813D19">
        <w:rPr>
          <w:bCs/>
          <w:lang w:val="en-US"/>
        </w:rPr>
        <w:t>paragraph-by-paragraph</w:t>
      </w:r>
      <w:r w:rsidR="008946DD" w:rsidRPr="00813D19">
        <w:rPr>
          <w:bCs/>
          <w:lang w:val="en-US"/>
        </w:rPr>
        <w:t xml:space="preserve"> basis.</w:t>
      </w:r>
    </w:p>
    <w:p w14:paraId="42011324" w14:textId="105C8B74" w:rsidR="00CF37B4" w:rsidRPr="00813D19" w:rsidRDefault="00CF37B4" w:rsidP="00231ED6">
      <w:pPr>
        <w:pStyle w:val="Orateurengris"/>
        <w:spacing w:before="120"/>
        <w:ind w:left="709" w:hanging="709"/>
        <w:rPr>
          <w:lang w:val="en-US"/>
        </w:rPr>
      </w:pPr>
      <w:r w:rsidRPr="00813D19">
        <w:rPr>
          <w:lang w:val="en-US"/>
        </w:rPr>
        <w:t xml:space="preserve">The </w:t>
      </w:r>
      <w:r w:rsidRPr="00813D19">
        <w:rPr>
          <w:b/>
          <w:lang w:val="en-US"/>
        </w:rPr>
        <w:t>delegation of Palestine</w:t>
      </w:r>
      <w:r w:rsidR="00374917" w:rsidRPr="00813D19">
        <w:rPr>
          <w:b/>
          <w:lang w:val="en-US"/>
        </w:rPr>
        <w:t xml:space="preserve"> </w:t>
      </w:r>
      <w:r w:rsidR="008946DD" w:rsidRPr="00813D19">
        <w:rPr>
          <w:lang w:val="en-US"/>
        </w:rPr>
        <w:t>asked</w:t>
      </w:r>
      <w:r w:rsidR="008946DD" w:rsidRPr="00813D19">
        <w:rPr>
          <w:b/>
          <w:lang w:val="en-US"/>
        </w:rPr>
        <w:t xml:space="preserve"> </w:t>
      </w:r>
      <w:r w:rsidR="008946DD" w:rsidRPr="00813D19">
        <w:rPr>
          <w:lang w:val="en-US"/>
        </w:rPr>
        <w:t>whether</w:t>
      </w:r>
      <w:r w:rsidR="008946DD" w:rsidRPr="00813D19">
        <w:rPr>
          <w:b/>
          <w:lang w:val="en-US"/>
        </w:rPr>
        <w:t xml:space="preserve"> </w:t>
      </w:r>
      <w:r w:rsidR="008946DD" w:rsidRPr="00813D19">
        <w:rPr>
          <w:bCs/>
          <w:lang w:val="en-US"/>
        </w:rPr>
        <w:t>the draft decision could be adopted</w:t>
      </w:r>
      <w:r w:rsidR="00374917" w:rsidRPr="00813D19">
        <w:rPr>
          <w:bCs/>
          <w:lang w:val="en-US"/>
        </w:rPr>
        <w:t xml:space="preserve"> </w:t>
      </w:r>
      <w:r w:rsidR="00E41386">
        <w:rPr>
          <w:bCs/>
          <w:lang w:val="en-US"/>
        </w:rPr>
        <w:t>as a whole.</w:t>
      </w:r>
    </w:p>
    <w:p w14:paraId="5B3FA166" w14:textId="19A0FA10" w:rsidR="00CF37B4" w:rsidRPr="00813D19" w:rsidRDefault="00CF37B4" w:rsidP="00231ED6">
      <w:pPr>
        <w:pStyle w:val="Orateurengris"/>
        <w:spacing w:before="120"/>
        <w:ind w:left="709" w:hanging="709"/>
        <w:rPr>
          <w:lang w:val="en-US"/>
        </w:rPr>
      </w:pPr>
      <w:r w:rsidRPr="00813D19">
        <w:rPr>
          <w:lang w:val="en-US"/>
        </w:rPr>
        <w:t xml:space="preserve">The </w:t>
      </w:r>
      <w:r w:rsidRPr="00813D19">
        <w:rPr>
          <w:b/>
          <w:lang w:val="en-US"/>
        </w:rPr>
        <w:t>delegation of Cuba</w:t>
      </w:r>
      <w:r w:rsidR="003F266D" w:rsidRPr="00813D19">
        <w:rPr>
          <w:b/>
          <w:lang w:val="en-US"/>
        </w:rPr>
        <w:t xml:space="preserve"> </w:t>
      </w:r>
      <w:r w:rsidR="003F266D" w:rsidRPr="00813D19">
        <w:rPr>
          <w:bCs/>
          <w:lang w:val="en-US"/>
        </w:rPr>
        <w:t>support</w:t>
      </w:r>
      <w:r w:rsidR="008946DD" w:rsidRPr="00813D19">
        <w:rPr>
          <w:bCs/>
          <w:lang w:val="en-US"/>
        </w:rPr>
        <w:t>ed</w:t>
      </w:r>
      <w:r w:rsidR="003F266D" w:rsidRPr="00813D19">
        <w:rPr>
          <w:bCs/>
          <w:lang w:val="en-US"/>
        </w:rPr>
        <w:t xml:space="preserve"> the proposal by </w:t>
      </w:r>
      <w:r w:rsidR="008946DD" w:rsidRPr="00813D19">
        <w:rPr>
          <w:bCs/>
          <w:lang w:val="en-US"/>
        </w:rPr>
        <w:t>Palestine.</w:t>
      </w:r>
    </w:p>
    <w:p w14:paraId="04A9042F" w14:textId="0DB83062" w:rsidR="005F7AC4" w:rsidRPr="00813D19" w:rsidRDefault="008946DD" w:rsidP="007379A9">
      <w:pPr>
        <w:pStyle w:val="Orateurengris"/>
        <w:spacing w:before="120"/>
        <w:ind w:left="709" w:hanging="709"/>
        <w:rPr>
          <w:lang w:val="en-US"/>
        </w:rPr>
      </w:pPr>
      <w:r w:rsidRPr="00813D19">
        <w:rPr>
          <w:rFonts w:eastAsia="Calibri"/>
          <w:color w:val="000000" w:themeColor="text1"/>
          <w:lang w:val="en-US"/>
        </w:rPr>
        <w:t xml:space="preserve">With no comments or objections, </w:t>
      </w:r>
      <w:r w:rsidR="00CF37B4" w:rsidRPr="00813D19">
        <w:rPr>
          <w:rFonts w:eastAsia="Calibri"/>
          <w:color w:val="000000" w:themeColor="text1"/>
          <w:lang w:val="en-US"/>
        </w:rPr>
        <w:t>the</w:t>
      </w:r>
      <w:r w:rsidR="00CF37B4" w:rsidRPr="00813D19">
        <w:rPr>
          <w:rFonts w:eastAsia="Calibri"/>
          <w:b/>
          <w:color w:val="000000" w:themeColor="text1"/>
          <w:lang w:val="en-US"/>
        </w:rPr>
        <w:t xml:space="preserve"> Chairperson declared </w:t>
      </w:r>
      <w:r w:rsidR="005F7AC4" w:rsidRPr="00813D19">
        <w:rPr>
          <w:rFonts w:eastAsia="Calibri"/>
          <w:b/>
          <w:color w:val="000000" w:themeColor="text1"/>
          <w:lang w:val="en-US"/>
        </w:rPr>
        <w:t xml:space="preserve">Decision </w:t>
      </w:r>
      <w:hyperlink r:id="rId94" w:history="1">
        <w:r w:rsidR="005F7AC4" w:rsidRPr="00813D19">
          <w:rPr>
            <w:rStyle w:val="Hyperlink"/>
            <w:b/>
            <w:lang w:val="en-US"/>
          </w:rPr>
          <w:t>13.COM 10.a.2</w:t>
        </w:r>
      </w:hyperlink>
      <w:r w:rsidR="005F7AC4" w:rsidRPr="00813D19">
        <w:rPr>
          <w:b/>
          <w:color w:val="000000" w:themeColor="text1"/>
          <w:lang w:val="en-US"/>
        </w:rPr>
        <w:t xml:space="preserve"> </w:t>
      </w:r>
      <w:r w:rsidR="005F7AC4" w:rsidRPr="00813D19">
        <w:rPr>
          <w:rFonts w:eastAsia="Calibri"/>
          <w:b/>
          <w:color w:val="000000" w:themeColor="text1"/>
          <w:lang w:val="en-US"/>
        </w:rPr>
        <w:t xml:space="preserve">adopted </w:t>
      </w:r>
      <w:r w:rsidR="005F7AC4" w:rsidRPr="00813D19">
        <w:rPr>
          <w:b/>
          <w:color w:val="000000" w:themeColor="text1"/>
          <w:lang w:val="en-US"/>
        </w:rPr>
        <w:t xml:space="preserve">to inscribe </w:t>
      </w:r>
      <w:r w:rsidR="005F7AC4" w:rsidRPr="00813D19">
        <w:rPr>
          <w:b/>
          <w:lang w:val="en-US"/>
        </w:rPr>
        <w:t>Yalli (Kochari, Tenzere), traditional group dances of Nakhchivan</w:t>
      </w:r>
      <w:r w:rsidR="003E2357">
        <w:rPr>
          <w:b/>
          <w:lang w:val="en-US"/>
        </w:rPr>
        <w:t>,</w:t>
      </w:r>
      <w:r w:rsidR="005F7AC4" w:rsidRPr="00813D19">
        <w:rPr>
          <w:lang w:val="en-US"/>
        </w:rPr>
        <w:t xml:space="preserve"> </w:t>
      </w:r>
      <w:r w:rsidR="005F7AC4" w:rsidRPr="00813D19">
        <w:rPr>
          <w:b/>
          <w:color w:val="000000" w:themeColor="text1"/>
          <w:lang w:val="en-US"/>
        </w:rPr>
        <w:t xml:space="preserve">on </w:t>
      </w:r>
      <w:r w:rsidR="005F7AC4" w:rsidRPr="00813D19">
        <w:rPr>
          <w:b/>
          <w:bCs/>
          <w:color w:val="000000" w:themeColor="text1"/>
          <w:lang w:val="en-US"/>
        </w:rPr>
        <w:t>the Urgent Safeguarding List</w:t>
      </w:r>
      <w:r w:rsidR="007379A9" w:rsidRPr="00E41386">
        <w:rPr>
          <w:color w:val="000000" w:themeColor="text1"/>
          <w:lang w:val="en-US"/>
        </w:rPr>
        <w:t>.</w:t>
      </w:r>
    </w:p>
    <w:p w14:paraId="2C9F5630" w14:textId="41852C37" w:rsidR="00CF37B4" w:rsidRPr="00813D19" w:rsidRDefault="00CF37B4" w:rsidP="007379A9">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Armenia</w:t>
      </w:r>
      <w:r w:rsidR="008946DD" w:rsidRPr="00813D19">
        <w:rPr>
          <w:bCs/>
          <w:lang w:val="en-US"/>
        </w:rPr>
        <w:t xml:space="preserve"> disassociated</w:t>
      </w:r>
      <w:r w:rsidR="003F266D" w:rsidRPr="00813D19">
        <w:rPr>
          <w:bCs/>
          <w:lang w:val="en-US"/>
        </w:rPr>
        <w:t xml:space="preserve"> from the draft decision adopted. Certain elements of intangible cultural heritage are quite common in a number of States</w:t>
      </w:r>
      <w:r w:rsidR="008946DD" w:rsidRPr="00813D19">
        <w:rPr>
          <w:bCs/>
          <w:lang w:val="en-US"/>
        </w:rPr>
        <w:t>,</w:t>
      </w:r>
      <w:r w:rsidR="003F266D" w:rsidRPr="00813D19">
        <w:rPr>
          <w:bCs/>
          <w:lang w:val="en-US"/>
        </w:rPr>
        <w:t xml:space="preserve"> especially in neighbo</w:t>
      </w:r>
      <w:r w:rsidR="00FB131E">
        <w:rPr>
          <w:bCs/>
          <w:lang w:val="en-US"/>
        </w:rPr>
        <w:t>u</w:t>
      </w:r>
      <w:r w:rsidR="003F266D" w:rsidRPr="00813D19">
        <w:rPr>
          <w:bCs/>
          <w:lang w:val="en-US"/>
        </w:rPr>
        <w:t>ring ones</w:t>
      </w:r>
      <w:r w:rsidR="008946DD" w:rsidRPr="00813D19">
        <w:rPr>
          <w:bCs/>
          <w:lang w:val="en-US"/>
        </w:rPr>
        <w:t xml:space="preserve">, and </w:t>
      </w:r>
      <w:r w:rsidR="003F266D" w:rsidRPr="00813D19">
        <w:rPr>
          <w:bCs/>
          <w:lang w:val="en-US"/>
        </w:rPr>
        <w:t xml:space="preserve">cannot be bound within State borders. Unfortunately, a number of cases </w:t>
      </w:r>
      <w:r w:rsidR="003E2357">
        <w:rPr>
          <w:bCs/>
          <w:lang w:val="en-US"/>
        </w:rPr>
        <w:t>had seen</w:t>
      </w:r>
      <w:r w:rsidR="003E2357" w:rsidRPr="00813D19">
        <w:rPr>
          <w:bCs/>
          <w:lang w:val="en-US"/>
        </w:rPr>
        <w:t xml:space="preserve"> </w:t>
      </w:r>
      <w:r w:rsidR="003F266D" w:rsidRPr="00813D19">
        <w:rPr>
          <w:bCs/>
          <w:lang w:val="en-US"/>
        </w:rPr>
        <w:t xml:space="preserve">attempts made to privatize one element or another. </w:t>
      </w:r>
      <w:r w:rsidR="008946DD" w:rsidRPr="00813D19">
        <w:rPr>
          <w:bCs/>
          <w:lang w:val="en-US"/>
        </w:rPr>
        <w:t xml:space="preserve">There were </w:t>
      </w:r>
      <w:r w:rsidR="003F266D" w:rsidRPr="00813D19">
        <w:rPr>
          <w:bCs/>
          <w:lang w:val="en-US"/>
        </w:rPr>
        <w:t xml:space="preserve">also </w:t>
      </w:r>
      <w:r w:rsidR="008946DD" w:rsidRPr="00813D19">
        <w:rPr>
          <w:bCs/>
          <w:lang w:val="en-US"/>
        </w:rPr>
        <w:t xml:space="preserve">cases of </w:t>
      </w:r>
      <w:r w:rsidR="003F266D" w:rsidRPr="00813D19">
        <w:rPr>
          <w:bCs/>
          <w:lang w:val="en-US"/>
        </w:rPr>
        <w:t>a form of envy when a neighbo</w:t>
      </w:r>
      <w:r w:rsidR="008946DD" w:rsidRPr="00813D19">
        <w:rPr>
          <w:bCs/>
          <w:lang w:val="en-US"/>
        </w:rPr>
        <w:t>u</w:t>
      </w:r>
      <w:r w:rsidR="003F266D" w:rsidRPr="00813D19">
        <w:rPr>
          <w:bCs/>
          <w:lang w:val="en-US"/>
        </w:rPr>
        <w:t xml:space="preserve">ring State </w:t>
      </w:r>
      <w:r w:rsidR="008946DD" w:rsidRPr="00813D19">
        <w:rPr>
          <w:bCs/>
          <w:lang w:val="en-US"/>
        </w:rPr>
        <w:t>replicated</w:t>
      </w:r>
      <w:r w:rsidR="003F266D" w:rsidRPr="00813D19">
        <w:rPr>
          <w:bCs/>
          <w:lang w:val="en-US"/>
        </w:rPr>
        <w:t xml:space="preserve"> almost every nomination of another file. It </w:t>
      </w:r>
      <w:r w:rsidR="008946DD" w:rsidRPr="00813D19">
        <w:rPr>
          <w:bCs/>
          <w:lang w:val="en-US"/>
        </w:rPr>
        <w:t xml:space="preserve">was thus </w:t>
      </w:r>
      <w:r w:rsidR="003F266D" w:rsidRPr="00813D19">
        <w:rPr>
          <w:bCs/>
          <w:lang w:val="en-US"/>
        </w:rPr>
        <w:t xml:space="preserve">imperative to assert that </w:t>
      </w:r>
      <w:r w:rsidR="008946DD" w:rsidRPr="00813D19">
        <w:rPr>
          <w:bCs/>
          <w:lang w:val="en-US"/>
        </w:rPr>
        <w:t xml:space="preserve">an </w:t>
      </w:r>
      <w:r w:rsidR="003F266D" w:rsidRPr="00813D19">
        <w:rPr>
          <w:bCs/>
          <w:lang w:val="en-US"/>
        </w:rPr>
        <w:t>envious approach of a neighbo</w:t>
      </w:r>
      <w:r w:rsidR="00FB131E">
        <w:rPr>
          <w:bCs/>
          <w:lang w:val="en-US"/>
        </w:rPr>
        <w:t>u</w:t>
      </w:r>
      <w:r w:rsidR="003F266D" w:rsidRPr="00813D19">
        <w:rPr>
          <w:bCs/>
          <w:lang w:val="en-US"/>
        </w:rPr>
        <w:t xml:space="preserve">ring State that </w:t>
      </w:r>
      <w:r w:rsidR="008946DD" w:rsidRPr="00813D19">
        <w:rPr>
          <w:bCs/>
          <w:lang w:val="en-US"/>
        </w:rPr>
        <w:t xml:space="preserve">attempts </w:t>
      </w:r>
      <w:r w:rsidR="003F266D" w:rsidRPr="00813D19">
        <w:rPr>
          <w:bCs/>
          <w:lang w:val="en-US"/>
        </w:rPr>
        <w:t xml:space="preserve">to reject others’ intangible cultural heritage in order to prove its own </w:t>
      </w:r>
      <w:r w:rsidR="008946DD" w:rsidRPr="00813D19">
        <w:rPr>
          <w:bCs/>
          <w:lang w:val="en-US"/>
        </w:rPr>
        <w:t xml:space="preserve">is </w:t>
      </w:r>
      <w:r w:rsidR="003F266D" w:rsidRPr="00813D19">
        <w:rPr>
          <w:bCs/>
          <w:lang w:val="en-US"/>
        </w:rPr>
        <w:t xml:space="preserve">not only pitiful but also very dangerous for the Convention and for the deliberations of the Committee. Contrary to the purpose and spirit of </w:t>
      </w:r>
      <w:r w:rsidR="008946DD" w:rsidRPr="00813D19">
        <w:rPr>
          <w:bCs/>
          <w:lang w:val="en-US"/>
        </w:rPr>
        <w:t xml:space="preserve">UNESCO, Azerbaijan continued politicizing this framework, </w:t>
      </w:r>
      <w:r w:rsidR="003F266D" w:rsidRPr="00813D19">
        <w:rPr>
          <w:bCs/>
          <w:lang w:val="en-US"/>
        </w:rPr>
        <w:t>using it to present its unlimited and groundless claims for every piece of history and culture in the region. Following th</w:t>
      </w:r>
      <w:r w:rsidR="008946DD" w:rsidRPr="00813D19">
        <w:rPr>
          <w:bCs/>
          <w:lang w:val="en-US"/>
        </w:rPr>
        <w:t>e submission of the nomination ‘K</w:t>
      </w:r>
      <w:r w:rsidR="003F266D" w:rsidRPr="00813D19">
        <w:rPr>
          <w:bCs/>
          <w:lang w:val="en-US"/>
        </w:rPr>
        <w:t>ochari</w:t>
      </w:r>
      <w:r w:rsidR="008946DD" w:rsidRPr="00813D19">
        <w:rPr>
          <w:bCs/>
          <w:lang w:val="en-US"/>
        </w:rPr>
        <w:t>,</w:t>
      </w:r>
      <w:r w:rsidR="003F266D" w:rsidRPr="00813D19">
        <w:rPr>
          <w:bCs/>
          <w:lang w:val="en-US"/>
        </w:rPr>
        <w:t xml:space="preserve"> traditional group dance</w:t>
      </w:r>
      <w:r w:rsidR="008946DD" w:rsidRPr="00813D19">
        <w:rPr>
          <w:bCs/>
          <w:lang w:val="en-US"/>
        </w:rPr>
        <w:t>’</w:t>
      </w:r>
      <w:r w:rsidR="003F266D" w:rsidRPr="00813D19">
        <w:rPr>
          <w:bCs/>
          <w:lang w:val="en-US"/>
        </w:rPr>
        <w:t xml:space="preserve"> by Armenia in 2014 </w:t>
      </w:r>
      <w:r w:rsidR="008946DD" w:rsidRPr="00813D19">
        <w:rPr>
          <w:bCs/>
          <w:lang w:val="en-US"/>
        </w:rPr>
        <w:t xml:space="preserve">and </w:t>
      </w:r>
      <w:r w:rsidR="003F266D" w:rsidRPr="00813D19">
        <w:rPr>
          <w:bCs/>
          <w:lang w:val="en-US"/>
        </w:rPr>
        <w:t>inscribed in 2017</w:t>
      </w:r>
      <w:r w:rsidR="008946DD" w:rsidRPr="00813D19">
        <w:rPr>
          <w:bCs/>
          <w:lang w:val="en-US"/>
        </w:rPr>
        <w:t>, a follow</w:t>
      </w:r>
      <w:r w:rsidR="003F266D" w:rsidRPr="00813D19">
        <w:rPr>
          <w:bCs/>
          <w:lang w:val="en-US"/>
        </w:rPr>
        <w:t xml:space="preserve">-up action by Azerbaijan was </w:t>
      </w:r>
      <w:r w:rsidR="008946DD" w:rsidRPr="00813D19">
        <w:rPr>
          <w:bCs/>
          <w:lang w:val="en-US"/>
        </w:rPr>
        <w:t>to submit</w:t>
      </w:r>
      <w:r w:rsidR="003F266D" w:rsidRPr="00813D19">
        <w:rPr>
          <w:bCs/>
          <w:lang w:val="en-US"/>
        </w:rPr>
        <w:t xml:space="preserve"> a replica nomination </w:t>
      </w:r>
      <w:r w:rsidR="008946DD" w:rsidRPr="00813D19">
        <w:rPr>
          <w:bCs/>
          <w:lang w:val="en-US"/>
        </w:rPr>
        <w:t>‘</w:t>
      </w:r>
      <w:r w:rsidR="008946DD" w:rsidRPr="00813D19">
        <w:rPr>
          <w:lang w:val="en-US"/>
        </w:rPr>
        <w:t>Y</w:t>
      </w:r>
      <w:r w:rsidR="003F266D" w:rsidRPr="00813D19">
        <w:rPr>
          <w:lang w:val="en-US"/>
        </w:rPr>
        <w:t>alli (Kochari, Tenzere), traditional group dances of Nakhchivan</w:t>
      </w:r>
      <w:r w:rsidR="008946DD" w:rsidRPr="00813D19">
        <w:rPr>
          <w:lang w:val="en-US"/>
        </w:rPr>
        <w:t>’</w:t>
      </w:r>
      <w:r w:rsidR="003F266D" w:rsidRPr="00813D19">
        <w:rPr>
          <w:lang w:val="en-US"/>
        </w:rPr>
        <w:t xml:space="preserve"> for inscription on the </w:t>
      </w:r>
      <w:r w:rsidR="008946DD" w:rsidRPr="00813D19">
        <w:rPr>
          <w:lang w:val="en-US"/>
        </w:rPr>
        <w:t>Urgent Safeguarding List</w:t>
      </w:r>
      <w:r w:rsidR="003F266D" w:rsidRPr="00813D19">
        <w:rPr>
          <w:lang w:val="en-US"/>
        </w:rPr>
        <w:t xml:space="preserve">. The title </w:t>
      </w:r>
      <w:r w:rsidR="008946DD" w:rsidRPr="00813D19">
        <w:rPr>
          <w:lang w:val="en-US"/>
        </w:rPr>
        <w:t xml:space="preserve">itself was </w:t>
      </w:r>
      <w:r w:rsidR="003F266D" w:rsidRPr="00813D19">
        <w:rPr>
          <w:lang w:val="en-US"/>
        </w:rPr>
        <w:t>a clear example of provocation. Kochari is intentionally mentioned in the title</w:t>
      </w:r>
      <w:r w:rsidR="00ED01DE" w:rsidRPr="00813D19">
        <w:rPr>
          <w:lang w:val="en-US"/>
        </w:rPr>
        <w:t>,</w:t>
      </w:r>
      <w:r w:rsidR="003F266D" w:rsidRPr="00813D19">
        <w:rPr>
          <w:lang w:val="en-US"/>
        </w:rPr>
        <w:t xml:space="preserve"> </w:t>
      </w:r>
      <w:r w:rsidR="00ED01DE" w:rsidRPr="00813D19">
        <w:rPr>
          <w:lang w:val="en-US"/>
        </w:rPr>
        <w:t xml:space="preserve">even </w:t>
      </w:r>
      <w:r w:rsidR="003F266D" w:rsidRPr="00813D19">
        <w:rPr>
          <w:lang w:val="en-US"/>
        </w:rPr>
        <w:t xml:space="preserve">though there are more than </w:t>
      </w:r>
      <w:r w:rsidR="003E2357">
        <w:rPr>
          <w:lang w:val="en-US"/>
        </w:rPr>
        <w:t>eighteen</w:t>
      </w:r>
      <w:r w:rsidR="003F266D" w:rsidRPr="00813D19">
        <w:rPr>
          <w:lang w:val="en-US"/>
        </w:rPr>
        <w:t xml:space="preserve"> types of yalli as stated</w:t>
      </w:r>
      <w:r w:rsidR="00ED01DE" w:rsidRPr="00813D19">
        <w:rPr>
          <w:lang w:val="en-US"/>
        </w:rPr>
        <w:t>,</w:t>
      </w:r>
      <w:r w:rsidR="003F266D" w:rsidRPr="00813D19">
        <w:rPr>
          <w:lang w:val="en-US"/>
        </w:rPr>
        <w:t xml:space="preserve"> and more than </w:t>
      </w:r>
      <w:r w:rsidR="003E2357">
        <w:rPr>
          <w:lang w:val="en-US"/>
        </w:rPr>
        <w:t>sixty-three</w:t>
      </w:r>
      <w:r w:rsidR="003E2357" w:rsidRPr="00813D19">
        <w:rPr>
          <w:lang w:val="en-US"/>
        </w:rPr>
        <w:t xml:space="preserve"> </w:t>
      </w:r>
      <w:r w:rsidR="003F266D" w:rsidRPr="00813D19">
        <w:rPr>
          <w:lang w:val="en-US"/>
        </w:rPr>
        <w:t xml:space="preserve">forgotten types of yalli. It </w:t>
      </w:r>
      <w:r w:rsidR="00ED01DE" w:rsidRPr="00813D19">
        <w:rPr>
          <w:lang w:val="en-US"/>
        </w:rPr>
        <w:t xml:space="preserve">was noted </w:t>
      </w:r>
      <w:r w:rsidR="003F266D" w:rsidRPr="00813D19">
        <w:rPr>
          <w:lang w:val="en-US"/>
        </w:rPr>
        <w:t>that based on historical sources and data</w:t>
      </w:r>
      <w:r w:rsidR="00ED01DE" w:rsidRPr="00813D19">
        <w:rPr>
          <w:lang w:val="en-US"/>
        </w:rPr>
        <w:t>,</w:t>
      </w:r>
      <w:r w:rsidR="003F266D" w:rsidRPr="00813D19">
        <w:rPr>
          <w:lang w:val="en-US"/>
        </w:rPr>
        <w:t xml:space="preserve"> group dances had been a wide and diverse practice am</w:t>
      </w:r>
      <w:r w:rsidR="00805B55" w:rsidRPr="00813D19">
        <w:rPr>
          <w:lang w:val="en-US"/>
        </w:rPr>
        <w:t>ong Armenia, Kurdish and Yazidi</w:t>
      </w:r>
      <w:r w:rsidR="003F266D" w:rsidRPr="00813D19">
        <w:rPr>
          <w:lang w:val="en-US"/>
        </w:rPr>
        <w:t xml:space="preserve"> communities in Nakhchivan until the middle of the 20</w:t>
      </w:r>
      <w:r w:rsidR="003F266D" w:rsidRPr="00813D19">
        <w:rPr>
          <w:vertAlign w:val="superscript"/>
          <w:lang w:val="en-US"/>
        </w:rPr>
        <w:t>th</w:t>
      </w:r>
      <w:r w:rsidR="00ED01DE" w:rsidRPr="00813D19">
        <w:rPr>
          <w:lang w:val="en-US"/>
        </w:rPr>
        <w:t xml:space="preserve"> </w:t>
      </w:r>
      <w:r w:rsidR="003F266D" w:rsidRPr="00813D19">
        <w:rPr>
          <w:lang w:val="en-US"/>
        </w:rPr>
        <w:t xml:space="preserve">century. Referring to the arguments </w:t>
      </w:r>
      <w:r w:rsidR="00ED01DE" w:rsidRPr="00813D19">
        <w:rPr>
          <w:lang w:val="en-US"/>
        </w:rPr>
        <w:t xml:space="preserve">on page 5 </w:t>
      </w:r>
      <w:r w:rsidR="003F266D" w:rsidRPr="00813D19">
        <w:rPr>
          <w:lang w:val="en-US"/>
        </w:rPr>
        <w:t xml:space="preserve">in the nomination file, </w:t>
      </w:r>
      <w:r w:rsidR="00ED01DE" w:rsidRPr="00813D19">
        <w:rPr>
          <w:lang w:val="en-US"/>
        </w:rPr>
        <w:t xml:space="preserve">the </w:t>
      </w:r>
      <w:r w:rsidR="003F266D" w:rsidRPr="00813D19">
        <w:rPr>
          <w:lang w:val="en-US"/>
        </w:rPr>
        <w:t>gradual decrease in the number of practitioners resulted from forced migration from the middle of the 20</w:t>
      </w:r>
      <w:r w:rsidR="003F266D" w:rsidRPr="00813D19">
        <w:rPr>
          <w:vertAlign w:val="superscript"/>
          <w:lang w:val="en-US"/>
        </w:rPr>
        <w:t>th</w:t>
      </w:r>
      <w:r w:rsidR="00ED01DE" w:rsidRPr="00813D19">
        <w:rPr>
          <w:lang w:val="en-US"/>
        </w:rPr>
        <w:t xml:space="preserve"> </w:t>
      </w:r>
      <w:r w:rsidR="003F266D" w:rsidRPr="00813D19">
        <w:rPr>
          <w:lang w:val="en-US"/>
        </w:rPr>
        <w:t xml:space="preserve">century. </w:t>
      </w:r>
      <w:r w:rsidR="00ED01DE" w:rsidRPr="00813D19">
        <w:rPr>
          <w:lang w:val="en-US"/>
        </w:rPr>
        <w:t xml:space="preserve">However, </w:t>
      </w:r>
      <w:r w:rsidR="003F266D" w:rsidRPr="00813D19">
        <w:rPr>
          <w:lang w:val="en-US"/>
        </w:rPr>
        <w:t xml:space="preserve">the State Party failed to pay due attention to those communities </w:t>
      </w:r>
      <w:r w:rsidR="00ED01DE" w:rsidRPr="00813D19">
        <w:rPr>
          <w:lang w:val="en-US"/>
        </w:rPr>
        <w:t xml:space="preserve">that </w:t>
      </w:r>
      <w:r w:rsidR="003F266D" w:rsidRPr="00813D19">
        <w:rPr>
          <w:lang w:val="en-US"/>
        </w:rPr>
        <w:t xml:space="preserve">no longer exist in the particular region </w:t>
      </w:r>
      <w:r w:rsidR="004B1E1B" w:rsidRPr="00813D19">
        <w:rPr>
          <w:lang w:val="en-US"/>
        </w:rPr>
        <w:t>or</w:t>
      </w:r>
      <w:r w:rsidR="003F266D" w:rsidRPr="00813D19">
        <w:rPr>
          <w:lang w:val="en-US"/>
        </w:rPr>
        <w:t xml:space="preserve"> </w:t>
      </w:r>
      <w:r w:rsidR="003E2357">
        <w:rPr>
          <w:lang w:val="en-US"/>
        </w:rPr>
        <w:t xml:space="preserve">to </w:t>
      </w:r>
      <w:r w:rsidR="003F266D" w:rsidRPr="00813D19">
        <w:rPr>
          <w:lang w:val="en-US"/>
        </w:rPr>
        <w:t xml:space="preserve">mention that </w:t>
      </w:r>
      <w:r w:rsidR="00805B55" w:rsidRPr="00813D19">
        <w:rPr>
          <w:lang w:val="en-US"/>
        </w:rPr>
        <w:t xml:space="preserve">the </w:t>
      </w:r>
      <w:r w:rsidR="003F266D" w:rsidRPr="00813D19">
        <w:rPr>
          <w:lang w:val="en-US"/>
        </w:rPr>
        <w:t>main</w:t>
      </w:r>
      <w:r w:rsidR="00805B55" w:rsidRPr="00813D19">
        <w:rPr>
          <w:lang w:val="en-US"/>
        </w:rPr>
        <w:t xml:space="preserve"> </w:t>
      </w:r>
      <w:r w:rsidR="003F266D" w:rsidRPr="00813D19">
        <w:rPr>
          <w:lang w:val="en-US"/>
        </w:rPr>
        <w:t>community</w:t>
      </w:r>
      <w:r w:rsidR="00805B55" w:rsidRPr="00813D19">
        <w:rPr>
          <w:lang w:val="en-US"/>
        </w:rPr>
        <w:t>,</w:t>
      </w:r>
      <w:r w:rsidR="003F266D" w:rsidRPr="00813D19">
        <w:rPr>
          <w:lang w:val="en-US"/>
        </w:rPr>
        <w:t xml:space="preserve"> </w:t>
      </w:r>
      <w:r w:rsidR="00805B55" w:rsidRPr="00813D19">
        <w:rPr>
          <w:lang w:val="en-US"/>
        </w:rPr>
        <w:t xml:space="preserve">the </w:t>
      </w:r>
      <w:r w:rsidR="003F266D" w:rsidRPr="00813D19">
        <w:rPr>
          <w:lang w:val="en-US"/>
        </w:rPr>
        <w:t>Armenia</w:t>
      </w:r>
      <w:r w:rsidR="00805B55" w:rsidRPr="00813D19">
        <w:rPr>
          <w:lang w:val="en-US"/>
        </w:rPr>
        <w:t>n</w:t>
      </w:r>
      <w:r w:rsidR="003F266D" w:rsidRPr="00813D19">
        <w:rPr>
          <w:lang w:val="en-US"/>
        </w:rPr>
        <w:t xml:space="preserve"> community</w:t>
      </w:r>
      <w:r w:rsidR="004B1E1B" w:rsidRPr="00813D19">
        <w:rPr>
          <w:lang w:val="en-US"/>
        </w:rPr>
        <w:t>,</w:t>
      </w:r>
      <w:r w:rsidR="00805B55" w:rsidRPr="00813D19">
        <w:rPr>
          <w:lang w:val="en-US"/>
        </w:rPr>
        <w:t xml:space="preserve"> practis</w:t>
      </w:r>
      <w:r w:rsidR="003F266D" w:rsidRPr="00813D19">
        <w:rPr>
          <w:lang w:val="en-US"/>
        </w:rPr>
        <w:t xml:space="preserve">ing </w:t>
      </w:r>
      <w:r w:rsidR="00805B55" w:rsidRPr="00813D19">
        <w:rPr>
          <w:lang w:val="en-US"/>
        </w:rPr>
        <w:t>the kochari element had</w:t>
      </w:r>
      <w:r w:rsidR="003F266D" w:rsidRPr="00813D19">
        <w:rPr>
          <w:lang w:val="en-US"/>
        </w:rPr>
        <w:t xml:space="preserve"> been forced to flee the autonomous region since the middle of the 20</w:t>
      </w:r>
      <w:r w:rsidR="003F266D" w:rsidRPr="00813D19">
        <w:rPr>
          <w:vertAlign w:val="superscript"/>
          <w:lang w:val="en-US"/>
        </w:rPr>
        <w:t>th</w:t>
      </w:r>
      <w:r w:rsidR="00805B55" w:rsidRPr="00813D19">
        <w:rPr>
          <w:lang w:val="en-US"/>
        </w:rPr>
        <w:t xml:space="preserve"> </w:t>
      </w:r>
      <w:r w:rsidR="003F266D" w:rsidRPr="00813D19">
        <w:rPr>
          <w:lang w:val="en-US"/>
        </w:rPr>
        <w:t>century. Significant demographic shifts</w:t>
      </w:r>
      <w:r w:rsidR="00805B55" w:rsidRPr="00813D19">
        <w:rPr>
          <w:lang w:val="en-US"/>
        </w:rPr>
        <w:t>,</w:t>
      </w:r>
      <w:r w:rsidR="003F266D" w:rsidRPr="00813D19">
        <w:rPr>
          <w:lang w:val="en-US"/>
        </w:rPr>
        <w:t xml:space="preserve"> in particular forced migration and ethnic cleansing of the Armenian community</w:t>
      </w:r>
      <w:r w:rsidR="00805B55" w:rsidRPr="00813D19">
        <w:rPr>
          <w:lang w:val="en-US"/>
        </w:rPr>
        <w:t>,</w:t>
      </w:r>
      <w:r w:rsidR="003F266D" w:rsidRPr="00813D19">
        <w:rPr>
          <w:lang w:val="en-US"/>
        </w:rPr>
        <w:t xml:space="preserve"> </w:t>
      </w:r>
      <w:r w:rsidR="00805B55" w:rsidRPr="00813D19">
        <w:rPr>
          <w:lang w:val="en-US"/>
        </w:rPr>
        <w:t>w</w:t>
      </w:r>
      <w:r w:rsidR="003E2357">
        <w:rPr>
          <w:lang w:val="en-US"/>
        </w:rPr>
        <w:t>ere</w:t>
      </w:r>
      <w:r w:rsidR="00805B55" w:rsidRPr="00813D19">
        <w:rPr>
          <w:lang w:val="en-US"/>
        </w:rPr>
        <w:t xml:space="preserve"> </w:t>
      </w:r>
      <w:r w:rsidR="003F266D" w:rsidRPr="00813D19">
        <w:rPr>
          <w:lang w:val="en-US"/>
        </w:rPr>
        <w:t>the reason for the decrease in the number of practitioner</w:t>
      </w:r>
      <w:r w:rsidR="00805B55" w:rsidRPr="00813D19">
        <w:rPr>
          <w:lang w:val="en-US"/>
        </w:rPr>
        <w:t xml:space="preserve">s. </w:t>
      </w:r>
      <w:r w:rsidR="003F266D" w:rsidRPr="00813D19">
        <w:rPr>
          <w:bCs/>
          <w:lang w:val="en-US"/>
        </w:rPr>
        <w:t>A</w:t>
      </w:r>
      <w:r w:rsidR="00805B55" w:rsidRPr="00813D19">
        <w:rPr>
          <w:bCs/>
          <w:lang w:val="en-US"/>
        </w:rPr>
        <w:t>lthough the tradition of practis</w:t>
      </w:r>
      <w:r w:rsidR="003F266D" w:rsidRPr="00813D19">
        <w:rPr>
          <w:bCs/>
          <w:lang w:val="en-US"/>
        </w:rPr>
        <w:t>ing group dances is vitally shared by many countries in the world</w:t>
      </w:r>
      <w:r w:rsidR="00805B55" w:rsidRPr="00813D19">
        <w:rPr>
          <w:bCs/>
          <w:lang w:val="en-US"/>
        </w:rPr>
        <w:t>,</w:t>
      </w:r>
      <w:r w:rsidR="003F266D" w:rsidRPr="00813D19">
        <w:rPr>
          <w:bCs/>
          <w:lang w:val="en-US"/>
        </w:rPr>
        <w:t xml:space="preserve"> the culture of dancing kochari in Armenia</w:t>
      </w:r>
      <w:r w:rsidR="00805B55" w:rsidRPr="00813D19">
        <w:rPr>
          <w:bCs/>
          <w:lang w:val="en-US"/>
        </w:rPr>
        <w:t>,</w:t>
      </w:r>
      <w:r w:rsidR="003F266D" w:rsidRPr="00813D19">
        <w:rPr>
          <w:bCs/>
          <w:lang w:val="en-US"/>
        </w:rPr>
        <w:t xml:space="preserve"> with all its components, social functions, techniques, meaning and variety of cultural expressions</w:t>
      </w:r>
      <w:r w:rsidR="00805B55" w:rsidRPr="00813D19">
        <w:rPr>
          <w:bCs/>
          <w:lang w:val="en-US"/>
        </w:rPr>
        <w:t>,</w:t>
      </w:r>
      <w:r w:rsidR="003F266D" w:rsidRPr="00813D19">
        <w:rPr>
          <w:bCs/>
          <w:lang w:val="en-US"/>
        </w:rPr>
        <w:t xml:space="preserve"> differs considerably from</w:t>
      </w:r>
      <w:r w:rsidR="00805B55" w:rsidRPr="00813D19">
        <w:rPr>
          <w:bCs/>
          <w:lang w:val="en-US"/>
        </w:rPr>
        <w:t xml:space="preserve"> similar dances.</w:t>
      </w:r>
    </w:p>
    <w:p w14:paraId="02BD989B" w14:textId="2CFE1BFD" w:rsidR="00805B55" w:rsidRPr="00813D19" w:rsidRDefault="00805B55" w:rsidP="007379A9">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reiterated </w:t>
      </w:r>
      <w:r w:rsidR="003E2357">
        <w:rPr>
          <w:rFonts w:eastAsia="Calibri"/>
          <w:color w:val="000000" w:themeColor="text1"/>
          <w:lang w:val="en-US"/>
        </w:rPr>
        <w:t>their</w:t>
      </w:r>
      <w:r w:rsidR="00E41386">
        <w:rPr>
          <w:rFonts w:eastAsia="Calibri"/>
          <w:color w:val="000000" w:themeColor="text1"/>
          <w:lang w:val="en-US"/>
        </w:rPr>
        <w:t xml:space="preserve"> congratulations to Azerbaijan.</w:t>
      </w:r>
    </w:p>
    <w:p w14:paraId="53DB6D9A" w14:textId="4C33D4CE" w:rsidR="00C95766" w:rsidRPr="00813D19" w:rsidRDefault="00256C1F" w:rsidP="00805B55">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Azerbaijan</w:t>
      </w:r>
      <w:r w:rsidR="003F266D" w:rsidRPr="00813D19">
        <w:rPr>
          <w:rFonts w:eastAsia="Calibri"/>
          <w:color w:val="000000" w:themeColor="text1"/>
          <w:lang w:val="en-US"/>
        </w:rPr>
        <w:t xml:space="preserve"> </w:t>
      </w:r>
      <w:r w:rsidR="00805B55" w:rsidRPr="00813D19">
        <w:rPr>
          <w:rFonts w:eastAsia="Calibri"/>
          <w:color w:val="000000" w:themeColor="text1"/>
          <w:lang w:val="en-US"/>
        </w:rPr>
        <w:t xml:space="preserve">did not wish to </w:t>
      </w:r>
      <w:r w:rsidR="003F266D" w:rsidRPr="00813D19">
        <w:rPr>
          <w:lang w:val="en-US"/>
        </w:rPr>
        <w:t xml:space="preserve">repeat </w:t>
      </w:r>
      <w:r w:rsidR="00805B55" w:rsidRPr="00813D19">
        <w:rPr>
          <w:lang w:val="en-US"/>
        </w:rPr>
        <w:t>the content of its letter</w:t>
      </w:r>
      <w:r w:rsidR="003F266D" w:rsidRPr="00813D19">
        <w:rPr>
          <w:lang w:val="en-US"/>
        </w:rPr>
        <w:t xml:space="preserve"> to the Assistant Director-General</w:t>
      </w:r>
      <w:r w:rsidR="00805B55" w:rsidRPr="00813D19">
        <w:rPr>
          <w:lang w:val="en-US"/>
        </w:rPr>
        <w:t xml:space="preserve"> in reply to all the allegations</w:t>
      </w:r>
      <w:r w:rsidR="003F266D" w:rsidRPr="00813D19">
        <w:rPr>
          <w:lang w:val="en-US"/>
        </w:rPr>
        <w:t xml:space="preserve"> raised by </w:t>
      </w:r>
      <w:r w:rsidR="00805B55" w:rsidRPr="00813D19">
        <w:rPr>
          <w:lang w:val="en-US"/>
        </w:rPr>
        <w:t>Armenia</w:t>
      </w:r>
      <w:r w:rsidR="003F266D" w:rsidRPr="00813D19">
        <w:rPr>
          <w:lang w:val="en-US"/>
        </w:rPr>
        <w:t xml:space="preserve">, </w:t>
      </w:r>
      <w:r w:rsidR="00805B55" w:rsidRPr="00813D19">
        <w:rPr>
          <w:lang w:val="en-US"/>
        </w:rPr>
        <w:t xml:space="preserve">when </w:t>
      </w:r>
      <w:r w:rsidR="00813D19" w:rsidRPr="00813D19">
        <w:rPr>
          <w:lang w:val="en-US"/>
        </w:rPr>
        <w:t>unfortunately</w:t>
      </w:r>
      <w:r w:rsidR="00805B55" w:rsidRPr="00813D19">
        <w:rPr>
          <w:lang w:val="en-US"/>
        </w:rPr>
        <w:t xml:space="preserve"> the Committee </w:t>
      </w:r>
      <w:r w:rsidR="003F266D" w:rsidRPr="00813D19">
        <w:rPr>
          <w:lang w:val="en-US"/>
        </w:rPr>
        <w:t xml:space="preserve">regretfully </w:t>
      </w:r>
      <w:r w:rsidR="00805B55" w:rsidRPr="00813D19">
        <w:rPr>
          <w:lang w:val="en-US"/>
        </w:rPr>
        <w:t xml:space="preserve">witnessed </w:t>
      </w:r>
      <w:r w:rsidR="003F266D" w:rsidRPr="00813D19">
        <w:rPr>
          <w:lang w:val="en-US"/>
        </w:rPr>
        <w:t xml:space="preserve">evidence that one State Party </w:t>
      </w:r>
      <w:r w:rsidR="00805B55" w:rsidRPr="00813D19">
        <w:rPr>
          <w:lang w:val="en-US"/>
        </w:rPr>
        <w:t xml:space="preserve">was </w:t>
      </w:r>
      <w:r w:rsidR="003F266D" w:rsidRPr="00813D19">
        <w:rPr>
          <w:lang w:val="en-US"/>
        </w:rPr>
        <w:t xml:space="preserve">trying to misuse its membership </w:t>
      </w:r>
      <w:r w:rsidR="00805B55" w:rsidRPr="00813D19">
        <w:rPr>
          <w:lang w:val="en-US"/>
        </w:rPr>
        <w:t xml:space="preserve">for political purposes despite the </w:t>
      </w:r>
      <w:r w:rsidR="003F266D" w:rsidRPr="00813D19">
        <w:rPr>
          <w:lang w:val="en-US"/>
        </w:rPr>
        <w:t>tough negotiations an</w:t>
      </w:r>
      <w:r w:rsidR="00805B55" w:rsidRPr="00813D19">
        <w:rPr>
          <w:lang w:val="en-US"/>
        </w:rPr>
        <w:t>d efforts from the Secretariat and the Committee</w:t>
      </w:r>
      <w:r w:rsidR="003F266D" w:rsidRPr="00813D19">
        <w:rPr>
          <w:lang w:val="en-US"/>
        </w:rPr>
        <w:t xml:space="preserve"> to find </w:t>
      </w:r>
      <w:r w:rsidR="00805B55" w:rsidRPr="00813D19">
        <w:rPr>
          <w:lang w:val="en-US"/>
        </w:rPr>
        <w:t>a compromise in</w:t>
      </w:r>
      <w:r w:rsidR="003F266D" w:rsidRPr="00813D19">
        <w:rPr>
          <w:lang w:val="en-US"/>
        </w:rPr>
        <w:t xml:space="preserve"> language on the draft decision. </w:t>
      </w:r>
      <w:r w:rsidR="00805B55" w:rsidRPr="00813D19">
        <w:rPr>
          <w:lang w:val="en-US"/>
        </w:rPr>
        <w:t xml:space="preserve">Thus, despite the </w:t>
      </w:r>
      <w:r w:rsidR="003F266D" w:rsidRPr="00813D19">
        <w:rPr>
          <w:lang w:val="en-US"/>
        </w:rPr>
        <w:t xml:space="preserve">compromise and </w:t>
      </w:r>
      <w:r w:rsidR="00805B55" w:rsidRPr="00813D19">
        <w:rPr>
          <w:lang w:val="en-US"/>
        </w:rPr>
        <w:t xml:space="preserve">the </w:t>
      </w:r>
      <w:r w:rsidR="003F266D" w:rsidRPr="00813D19">
        <w:rPr>
          <w:lang w:val="en-US"/>
        </w:rPr>
        <w:t xml:space="preserve">flexibility </w:t>
      </w:r>
      <w:r w:rsidR="004B1E1B" w:rsidRPr="00813D19">
        <w:rPr>
          <w:lang w:val="en-US"/>
        </w:rPr>
        <w:t>shown, accus</w:t>
      </w:r>
      <w:r w:rsidR="00805B55" w:rsidRPr="00813D19">
        <w:rPr>
          <w:lang w:val="en-US"/>
        </w:rPr>
        <w:t>a</w:t>
      </w:r>
      <w:r w:rsidR="004B1E1B" w:rsidRPr="00813D19">
        <w:rPr>
          <w:lang w:val="en-US"/>
        </w:rPr>
        <w:t>t</w:t>
      </w:r>
      <w:r w:rsidR="00805B55" w:rsidRPr="00813D19">
        <w:rPr>
          <w:lang w:val="en-US"/>
        </w:rPr>
        <w:t xml:space="preserve">ions were still being levelled </w:t>
      </w:r>
      <w:r w:rsidR="003F266D" w:rsidRPr="00813D19">
        <w:rPr>
          <w:lang w:val="en-US"/>
        </w:rPr>
        <w:t>against</w:t>
      </w:r>
      <w:r w:rsidR="004B1E1B" w:rsidRPr="00813D19">
        <w:rPr>
          <w:lang w:val="en-US"/>
        </w:rPr>
        <w:t xml:space="preserve"> Azerbaijan that called</w:t>
      </w:r>
      <w:r w:rsidR="00805B55" w:rsidRPr="00813D19">
        <w:rPr>
          <w:lang w:val="en-US"/>
        </w:rPr>
        <w:t xml:space="preserve"> for an end </w:t>
      </w:r>
      <w:r w:rsidR="003F266D" w:rsidRPr="00813D19">
        <w:rPr>
          <w:lang w:val="en-US"/>
        </w:rPr>
        <w:t xml:space="preserve">to this kind </w:t>
      </w:r>
      <w:r w:rsidR="00805B55" w:rsidRPr="00813D19">
        <w:rPr>
          <w:lang w:val="en-US"/>
        </w:rPr>
        <w:t xml:space="preserve">of </w:t>
      </w:r>
      <w:r w:rsidR="003F266D" w:rsidRPr="00813D19">
        <w:rPr>
          <w:lang w:val="en-US"/>
        </w:rPr>
        <w:t xml:space="preserve">unethical behaviour in </w:t>
      </w:r>
      <w:r w:rsidR="00805B55" w:rsidRPr="00813D19">
        <w:rPr>
          <w:lang w:val="en-US"/>
        </w:rPr>
        <w:t xml:space="preserve">the Committee </w:t>
      </w:r>
      <w:r w:rsidR="004B1E1B" w:rsidRPr="00813D19">
        <w:rPr>
          <w:lang w:val="en-US"/>
        </w:rPr>
        <w:t xml:space="preserve">and the </w:t>
      </w:r>
      <w:r w:rsidR="003F266D" w:rsidRPr="00813D19">
        <w:rPr>
          <w:lang w:val="en-US"/>
        </w:rPr>
        <w:t>pronounce</w:t>
      </w:r>
      <w:r w:rsidR="004B1E1B" w:rsidRPr="00813D19">
        <w:rPr>
          <w:lang w:val="en-US"/>
        </w:rPr>
        <w:t>ment</w:t>
      </w:r>
      <w:r w:rsidR="003F266D" w:rsidRPr="00813D19">
        <w:rPr>
          <w:lang w:val="en-US"/>
        </w:rPr>
        <w:t xml:space="preserve"> </w:t>
      </w:r>
      <w:r w:rsidR="004B1E1B" w:rsidRPr="00813D19">
        <w:rPr>
          <w:lang w:val="en-US"/>
        </w:rPr>
        <w:t xml:space="preserve">of </w:t>
      </w:r>
      <w:r w:rsidR="003F266D" w:rsidRPr="00813D19">
        <w:rPr>
          <w:lang w:val="en-US"/>
        </w:rPr>
        <w:t xml:space="preserve">statements for </w:t>
      </w:r>
      <w:r w:rsidR="00E9618A" w:rsidRPr="00813D19">
        <w:rPr>
          <w:lang w:val="en-US"/>
        </w:rPr>
        <w:t>domestic consumption. The delegation explained that e</w:t>
      </w:r>
      <w:r w:rsidR="003F266D" w:rsidRPr="00813D19">
        <w:rPr>
          <w:lang w:val="en-US"/>
        </w:rPr>
        <w:t xml:space="preserve">very year </w:t>
      </w:r>
      <w:r w:rsidR="00E9618A" w:rsidRPr="00813D19">
        <w:rPr>
          <w:lang w:val="en-US"/>
        </w:rPr>
        <w:t xml:space="preserve">Azerbaijan </w:t>
      </w:r>
      <w:r w:rsidR="003F266D" w:rsidRPr="00813D19">
        <w:rPr>
          <w:lang w:val="en-US"/>
        </w:rPr>
        <w:t>show</w:t>
      </w:r>
      <w:r w:rsidR="00E9618A" w:rsidRPr="00813D19">
        <w:rPr>
          <w:lang w:val="en-US"/>
        </w:rPr>
        <w:t xml:space="preserve">ed flexibility on this issue, with </w:t>
      </w:r>
      <w:r w:rsidR="003F266D" w:rsidRPr="00813D19">
        <w:rPr>
          <w:lang w:val="en-US"/>
        </w:rPr>
        <w:t>webcast</w:t>
      </w:r>
      <w:r w:rsidR="00E9618A" w:rsidRPr="00813D19">
        <w:rPr>
          <w:lang w:val="en-US"/>
        </w:rPr>
        <w:t>s</w:t>
      </w:r>
      <w:r w:rsidR="003F266D" w:rsidRPr="00813D19">
        <w:rPr>
          <w:lang w:val="en-US"/>
        </w:rPr>
        <w:t xml:space="preserve"> </w:t>
      </w:r>
      <w:r w:rsidR="00E9618A" w:rsidRPr="00813D19">
        <w:rPr>
          <w:lang w:val="en-US"/>
        </w:rPr>
        <w:t xml:space="preserve">showing that it </w:t>
      </w:r>
      <w:r w:rsidR="003F266D" w:rsidRPr="00813D19">
        <w:rPr>
          <w:lang w:val="en-US"/>
        </w:rPr>
        <w:t>accept</w:t>
      </w:r>
      <w:r w:rsidR="00E9618A" w:rsidRPr="00813D19">
        <w:rPr>
          <w:lang w:val="en-US"/>
        </w:rPr>
        <w:t>s</w:t>
      </w:r>
      <w:r w:rsidR="003F266D" w:rsidRPr="00813D19">
        <w:rPr>
          <w:lang w:val="en-US"/>
        </w:rPr>
        <w:t xml:space="preserve"> the constructive approach </w:t>
      </w:r>
      <w:r w:rsidR="00E9618A" w:rsidRPr="00813D19">
        <w:rPr>
          <w:lang w:val="en-US"/>
        </w:rPr>
        <w:t xml:space="preserve">shown by the Committee Members and </w:t>
      </w:r>
      <w:r w:rsidR="003F266D" w:rsidRPr="00813D19">
        <w:rPr>
          <w:lang w:val="en-US"/>
        </w:rPr>
        <w:t>the efforts of the Secretariat</w:t>
      </w:r>
      <w:r w:rsidR="00E9618A" w:rsidRPr="00813D19">
        <w:rPr>
          <w:lang w:val="en-US"/>
        </w:rPr>
        <w:t>.</w:t>
      </w:r>
      <w:r w:rsidR="003F266D" w:rsidRPr="00813D19">
        <w:rPr>
          <w:lang w:val="en-US"/>
        </w:rPr>
        <w:t xml:space="preserve"> </w:t>
      </w:r>
      <w:r w:rsidR="00E9618A" w:rsidRPr="00813D19">
        <w:rPr>
          <w:lang w:val="en-US"/>
        </w:rPr>
        <w:t>I</w:t>
      </w:r>
      <w:r w:rsidR="003F266D" w:rsidRPr="00813D19">
        <w:rPr>
          <w:lang w:val="en-US"/>
        </w:rPr>
        <w:t xml:space="preserve">n </w:t>
      </w:r>
      <w:r w:rsidR="00E9618A" w:rsidRPr="00813D19">
        <w:rPr>
          <w:lang w:val="en-US"/>
        </w:rPr>
        <w:t xml:space="preserve">return, it received aggressive accusations and </w:t>
      </w:r>
      <w:r w:rsidR="003F266D" w:rsidRPr="00813D19">
        <w:rPr>
          <w:lang w:val="en-US"/>
        </w:rPr>
        <w:t>allegations about politicization</w:t>
      </w:r>
      <w:r w:rsidR="00E9618A" w:rsidRPr="00813D19">
        <w:rPr>
          <w:lang w:val="en-US"/>
        </w:rPr>
        <w:t>,</w:t>
      </w:r>
      <w:r w:rsidR="003F266D" w:rsidRPr="00813D19">
        <w:rPr>
          <w:lang w:val="en-US"/>
        </w:rPr>
        <w:t xml:space="preserve"> </w:t>
      </w:r>
      <w:r w:rsidR="00E9618A" w:rsidRPr="00813D19">
        <w:rPr>
          <w:lang w:val="en-US"/>
        </w:rPr>
        <w:t xml:space="preserve">when—on the contrary—it was </w:t>
      </w:r>
      <w:r w:rsidR="003F266D" w:rsidRPr="00813D19">
        <w:rPr>
          <w:lang w:val="en-US"/>
        </w:rPr>
        <w:t>always in favo</w:t>
      </w:r>
      <w:r w:rsidR="00C64B11">
        <w:rPr>
          <w:lang w:val="en-US"/>
        </w:rPr>
        <w:t>u</w:t>
      </w:r>
      <w:r w:rsidR="003F266D" w:rsidRPr="00813D19">
        <w:rPr>
          <w:lang w:val="en-US"/>
        </w:rPr>
        <w:t xml:space="preserve">r of regional cooperation. </w:t>
      </w:r>
      <w:r w:rsidR="00E9618A" w:rsidRPr="00813D19">
        <w:rPr>
          <w:lang w:val="en-US"/>
        </w:rPr>
        <w:t>L</w:t>
      </w:r>
      <w:r w:rsidR="003F266D" w:rsidRPr="00813D19">
        <w:rPr>
          <w:lang w:val="en-US"/>
        </w:rPr>
        <w:t>ook</w:t>
      </w:r>
      <w:r w:rsidR="00E9618A" w:rsidRPr="00813D19">
        <w:rPr>
          <w:lang w:val="en-US"/>
        </w:rPr>
        <w:t>ing</w:t>
      </w:r>
      <w:r w:rsidR="003F266D" w:rsidRPr="00813D19">
        <w:rPr>
          <w:lang w:val="en-US"/>
        </w:rPr>
        <w:t xml:space="preserve"> at the nominatio</w:t>
      </w:r>
      <w:r w:rsidR="00E9618A" w:rsidRPr="00813D19">
        <w:rPr>
          <w:lang w:val="en-US"/>
        </w:rPr>
        <w:t xml:space="preserve">ns presented by both countries, the delegation noted that Armenia, </w:t>
      </w:r>
      <w:r w:rsidR="000F0F5F">
        <w:rPr>
          <w:lang w:val="en-US"/>
        </w:rPr>
        <w:t>despite</w:t>
      </w:r>
      <w:r w:rsidR="000F0F5F" w:rsidRPr="00813D19">
        <w:rPr>
          <w:lang w:val="en-US"/>
        </w:rPr>
        <w:t xml:space="preserve"> </w:t>
      </w:r>
      <w:r w:rsidR="003F266D" w:rsidRPr="00813D19">
        <w:rPr>
          <w:lang w:val="en-US"/>
        </w:rPr>
        <w:t>advocating for regional cooperation</w:t>
      </w:r>
      <w:r w:rsidR="00E9618A" w:rsidRPr="00813D19">
        <w:rPr>
          <w:lang w:val="en-US"/>
        </w:rPr>
        <w:t>,</w:t>
      </w:r>
      <w:r w:rsidR="003F266D" w:rsidRPr="00813D19">
        <w:rPr>
          <w:lang w:val="en-US"/>
        </w:rPr>
        <w:t xml:space="preserve"> </w:t>
      </w:r>
      <w:r w:rsidR="004B1E1B" w:rsidRPr="00813D19">
        <w:rPr>
          <w:lang w:val="en-US"/>
        </w:rPr>
        <w:t xml:space="preserve">did not have a </w:t>
      </w:r>
      <w:r w:rsidR="003F266D" w:rsidRPr="00813D19">
        <w:rPr>
          <w:lang w:val="en-US"/>
        </w:rPr>
        <w:t>single multinational nomination</w:t>
      </w:r>
      <w:r w:rsidR="004B1E1B" w:rsidRPr="00813D19">
        <w:rPr>
          <w:lang w:val="en-US"/>
        </w:rPr>
        <w:t>,</w:t>
      </w:r>
      <w:r w:rsidR="003F266D" w:rsidRPr="00813D19">
        <w:rPr>
          <w:lang w:val="en-US"/>
        </w:rPr>
        <w:t xml:space="preserve"> </w:t>
      </w:r>
      <w:r w:rsidR="00C95766" w:rsidRPr="00813D19">
        <w:rPr>
          <w:lang w:val="en-US"/>
        </w:rPr>
        <w:t>whereas</w:t>
      </w:r>
      <w:r w:rsidR="00E9618A" w:rsidRPr="00813D19">
        <w:rPr>
          <w:lang w:val="en-US"/>
        </w:rPr>
        <w:t xml:space="preserve"> Azerbaijan had</w:t>
      </w:r>
      <w:r w:rsidR="003F266D" w:rsidRPr="00813D19">
        <w:rPr>
          <w:lang w:val="en-US"/>
        </w:rPr>
        <w:t xml:space="preserve"> three multinational nominations</w:t>
      </w:r>
      <w:r w:rsidR="00E41386">
        <w:rPr>
          <w:lang w:val="en-US"/>
        </w:rPr>
        <w:t>.</w:t>
      </w:r>
    </w:p>
    <w:p w14:paraId="297EA6E0" w14:textId="09B8D411" w:rsidR="00256C1F" w:rsidRPr="00813D19" w:rsidRDefault="00C95766" w:rsidP="00805B55">
      <w:pPr>
        <w:pStyle w:val="Orateurengris"/>
        <w:spacing w:before="120"/>
        <w:ind w:left="709" w:hanging="709"/>
        <w:rPr>
          <w:lang w:val="en-US"/>
        </w:rPr>
      </w:pPr>
      <w:r w:rsidRPr="00813D19">
        <w:rPr>
          <w:lang w:val="en-US"/>
        </w:rPr>
        <w:t xml:space="preserve">The </w:t>
      </w:r>
      <w:r w:rsidRPr="00813D19">
        <w:rPr>
          <w:b/>
          <w:lang w:val="en-US"/>
        </w:rPr>
        <w:t xml:space="preserve">delegation of </w:t>
      </w:r>
      <w:r w:rsidR="003F266D" w:rsidRPr="00813D19">
        <w:rPr>
          <w:b/>
          <w:lang w:val="en-US"/>
        </w:rPr>
        <w:t>Azerbaijan</w:t>
      </w:r>
      <w:r w:rsidR="003F266D" w:rsidRPr="00813D19">
        <w:rPr>
          <w:lang w:val="en-US"/>
        </w:rPr>
        <w:t xml:space="preserve"> thank</w:t>
      </w:r>
      <w:r w:rsidRPr="00813D19">
        <w:rPr>
          <w:lang w:val="en-US"/>
        </w:rPr>
        <w:t xml:space="preserve">ed the Committee </w:t>
      </w:r>
      <w:r w:rsidR="003F266D" w:rsidRPr="00813D19">
        <w:rPr>
          <w:lang w:val="en-US"/>
        </w:rPr>
        <w:t>for inscribing Yalli (Kochari, Tenzere), traditional group dances of Nakhchivan</w:t>
      </w:r>
      <w:r w:rsidR="000F0F5F">
        <w:rPr>
          <w:lang w:val="en-US"/>
        </w:rPr>
        <w:t>,</w:t>
      </w:r>
      <w:r w:rsidR="003F266D" w:rsidRPr="00813D19">
        <w:rPr>
          <w:lang w:val="en-US"/>
        </w:rPr>
        <w:t xml:space="preserve"> on the Urgent Safeguarding List</w:t>
      </w:r>
      <w:r w:rsidRPr="00813D19">
        <w:rPr>
          <w:lang w:val="en-US"/>
        </w:rPr>
        <w:t>,</w:t>
      </w:r>
      <w:r w:rsidR="003F266D" w:rsidRPr="00813D19">
        <w:rPr>
          <w:lang w:val="en-US"/>
        </w:rPr>
        <w:t xml:space="preserve"> and commend</w:t>
      </w:r>
      <w:r w:rsidRPr="00813D19">
        <w:rPr>
          <w:lang w:val="en-US"/>
        </w:rPr>
        <w:t>ed</w:t>
      </w:r>
      <w:r w:rsidR="003F266D" w:rsidRPr="00813D19">
        <w:rPr>
          <w:lang w:val="en-US"/>
        </w:rPr>
        <w:t xml:space="preserve"> the Evaluation Body for the evaluation of </w:t>
      </w:r>
      <w:r w:rsidRPr="00813D19">
        <w:rPr>
          <w:lang w:val="en-US"/>
        </w:rPr>
        <w:t xml:space="preserve">the </w:t>
      </w:r>
      <w:r w:rsidR="003F266D" w:rsidRPr="00813D19">
        <w:rPr>
          <w:lang w:val="en-US"/>
        </w:rPr>
        <w:t xml:space="preserve">file. This </w:t>
      </w:r>
      <w:r w:rsidRPr="00813D19">
        <w:rPr>
          <w:lang w:val="en-US"/>
        </w:rPr>
        <w:t>was</w:t>
      </w:r>
      <w:r w:rsidR="003F266D" w:rsidRPr="00813D19">
        <w:rPr>
          <w:lang w:val="en-US"/>
        </w:rPr>
        <w:t xml:space="preserve"> the second inscription of Azerbaijan on the Urgent Safeguarding List and the first inscription of an </w:t>
      </w:r>
      <w:r w:rsidRPr="00813D19">
        <w:rPr>
          <w:lang w:val="en-US"/>
        </w:rPr>
        <w:t xml:space="preserve">intangible cultural heritage </w:t>
      </w:r>
      <w:r w:rsidR="003F266D" w:rsidRPr="00813D19">
        <w:rPr>
          <w:lang w:val="en-US"/>
        </w:rPr>
        <w:t xml:space="preserve">element from Nakhchivan. </w:t>
      </w:r>
      <w:r w:rsidRPr="00813D19">
        <w:rPr>
          <w:lang w:val="en-US"/>
        </w:rPr>
        <w:t xml:space="preserve">It </w:t>
      </w:r>
      <w:r w:rsidR="003F266D" w:rsidRPr="00813D19">
        <w:rPr>
          <w:lang w:val="en-US"/>
        </w:rPr>
        <w:t>believe</w:t>
      </w:r>
      <w:r w:rsidRPr="00813D19">
        <w:rPr>
          <w:lang w:val="en-US"/>
        </w:rPr>
        <w:t xml:space="preserve">d that it </w:t>
      </w:r>
      <w:r w:rsidR="003F266D" w:rsidRPr="00813D19">
        <w:rPr>
          <w:lang w:val="en-US"/>
        </w:rPr>
        <w:t>w</w:t>
      </w:r>
      <w:r w:rsidR="000F0F5F">
        <w:rPr>
          <w:lang w:val="en-US"/>
        </w:rPr>
        <w:t>ould</w:t>
      </w:r>
      <w:r w:rsidR="003F266D" w:rsidRPr="00813D19">
        <w:rPr>
          <w:lang w:val="en-US"/>
        </w:rPr>
        <w:t xml:space="preserve"> raise awareness about other forms of </w:t>
      </w:r>
      <w:r w:rsidRPr="00813D19">
        <w:rPr>
          <w:lang w:val="en-US"/>
        </w:rPr>
        <w:t xml:space="preserve">intangible cultural heritage </w:t>
      </w:r>
      <w:r w:rsidR="003F266D" w:rsidRPr="00813D19">
        <w:rPr>
          <w:lang w:val="en-US"/>
        </w:rPr>
        <w:t>in this particular region of Azerbaijan, an exclave. Communities in Nakhchivan perceive</w:t>
      </w:r>
      <w:r w:rsidR="000F0F5F">
        <w:rPr>
          <w:lang w:val="en-US"/>
        </w:rPr>
        <w:t>d</w:t>
      </w:r>
      <w:r w:rsidR="003F266D" w:rsidRPr="00813D19">
        <w:rPr>
          <w:lang w:val="en-US"/>
        </w:rPr>
        <w:t xml:space="preserve"> the yalli dances as one of the most important aspects of their heritage that </w:t>
      </w:r>
      <w:r w:rsidR="000F0F5F">
        <w:rPr>
          <w:lang w:val="en-US"/>
        </w:rPr>
        <w:t xml:space="preserve">have </w:t>
      </w:r>
      <w:r w:rsidR="003F266D" w:rsidRPr="00813D19">
        <w:rPr>
          <w:lang w:val="en-US"/>
        </w:rPr>
        <w:t>reach</w:t>
      </w:r>
      <w:r w:rsidR="000F0F5F">
        <w:rPr>
          <w:lang w:val="en-US"/>
        </w:rPr>
        <w:t>ed</w:t>
      </w:r>
      <w:r w:rsidR="003F266D" w:rsidRPr="00813D19">
        <w:rPr>
          <w:lang w:val="en-US"/>
        </w:rPr>
        <w:t xml:space="preserve"> us today</w:t>
      </w:r>
      <w:r w:rsidR="000F0F5F">
        <w:rPr>
          <w:lang w:val="en-US"/>
        </w:rPr>
        <w:t>,</w:t>
      </w:r>
      <w:r w:rsidR="003F266D" w:rsidRPr="00813D19">
        <w:rPr>
          <w:lang w:val="en-US"/>
        </w:rPr>
        <w:t xml:space="preserve"> despite the challenges the communities have faced in the past. They are performed </w:t>
      </w:r>
      <w:r w:rsidR="000F0F5F">
        <w:rPr>
          <w:lang w:val="en-US"/>
        </w:rPr>
        <w:t>on</w:t>
      </w:r>
      <w:r w:rsidR="003F266D" w:rsidRPr="00813D19">
        <w:rPr>
          <w:lang w:val="en-US"/>
        </w:rPr>
        <w:t xml:space="preserve"> various social and cultural occasions that represent a part of </w:t>
      </w:r>
      <w:r w:rsidR="001B2395" w:rsidRPr="00813D19">
        <w:rPr>
          <w:lang w:val="en-US"/>
        </w:rPr>
        <w:t xml:space="preserve">the </w:t>
      </w:r>
      <w:r w:rsidR="003F266D" w:rsidRPr="00813D19">
        <w:rPr>
          <w:lang w:val="en-US"/>
        </w:rPr>
        <w:t xml:space="preserve">identity </w:t>
      </w:r>
      <w:r w:rsidR="001B2395" w:rsidRPr="00813D19">
        <w:rPr>
          <w:lang w:val="en-US"/>
        </w:rPr>
        <w:t xml:space="preserve">of </w:t>
      </w:r>
      <w:r w:rsidR="003F266D" w:rsidRPr="00813D19">
        <w:rPr>
          <w:lang w:val="en-US"/>
        </w:rPr>
        <w:t>the communities in Nakhchivan. These dances promote feelings of friendship, sharing and belonging to the community</w:t>
      </w:r>
      <w:r w:rsidR="001B2395" w:rsidRPr="00813D19">
        <w:rPr>
          <w:lang w:val="en-US"/>
        </w:rPr>
        <w:t>,</w:t>
      </w:r>
      <w:r w:rsidR="003F266D" w:rsidRPr="00813D19">
        <w:rPr>
          <w:lang w:val="en-US"/>
        </w:rPr>
        <w:t xml:space="preserve"> as well as gender equality</w:t>
      </w:r>
      <w:r w:rsidR="004B1E1B" w:rsidRPr="00813D19">
        <w:rPr>
          <w:lang w:val="en-US"/>
        </w:rPr>
        <w:t>,</w:t>
      </w:r>
      <w:r w:rsidR="003F266D" w:rsidRPr="00813D19">
        <w:rPr>
          <w:lang w:val="en-US"/>
        </w:rPr>
        <w:t xml:space="preserve"> </w:t>
      </w:r>
      <w:r w:rsidR="001B2395" w:rsidRPr="00813D19">
        <w:rPr>
          <w:lang w:val="en-US"/>
        </w:rPr>
        <w:t xml:space="preserve">as </w:t>
      </w:r>
      <w:r w:rsidR="003F266D" w:rsidRPr="00813D19">
        <w:rPr>
          <w:lang w:val="en-US"/>
        </w:rPr>
        <w:t xml:space="preserve">they are also performed in mixed forms. </w:t>
      </w:r>
      <w:r w:rsidR="001B2395" w:rsidRPr="00813D19">
        <w:rPr>
          <w:lang w:val="en-US"/>
        </w:rPr>
        <w:t xml:space="preserve">The delegation </w:t>
      </w:r>
      <w:r w:rsidR="003F266D" w:rsidRPr="00813D19">
        <w:rPr>
          <w:lang w:val="en-US"/>
        </w:rPr>
        <w:t>thank</w:t>
      </w:r>
      <w:r w:rsidR="001B2395" w:rsidRPr="00813D19">
        <w:rPr>
          <w:lang w:val="en-US"/>
        </w:rPr>
        <w:t>ed</w:t>
      </w:r>
      <w:r w:rsidR="003F266D" w:rsidRPr="00813D19">
        <w:rPr>
          <w:lang w:val="en-US"/>
        </w:rPr>
        <w:t xml:space="preserve"> all </w:t>
      </w:r>
      <w:r w:rsidR="001B2395" w:rsidRPr="00813D19">
        <w:rPr>
          <w:lang w:val="en-US"/>
        </w:rPr>
        <w:t xml:space="preserve">the </w:t>
      </w:r>
      <w:r w:rsidR="003F266D" w:rsidRPr="00813D19">
        <w:rPr>
          <w:lang w:val="en-US"/>
        </w:rPr>
        <w:t xml:space="preserve">stakeholders involved in the preparation of </w:t>
      </w:r>
      <w:r w:rsidR="001B2395" w:rsidRPr="00813D19">
        <w:rPr>
          <w:lang w:val="en-US"/>
        </w:rPr>
        <w:t xml:space="preserve">the </w:t>
      </w:r>
      <w:r w:rsidR="003F266D" w:rsidRPr="00813D19">
        <w:rPr>
          <w:lang w:val="en-US"/>
        </w:rPr>
        <w:t>file</w:t>
      </w:r>
      <w:r w:rsidR="001B2395" w:rsidRPr="00813D19">
        <w:rPr>
          <w:lang w:val="en-US"/>
        </w:rPr>
        <w:t>,</w:t>
      </w:r>
      <w:r w:rsidR="003F266D" w:rsidRPr="00813D19">
        <w:rPr>
          <w:lang w:val="en-US"/>
        </w:rPr>
        <w:t xml:space="preserve"> especially the Supreme Consul of Nakhchivan, Nakhchivan Ministry of Culture, Sharur Folk</w:t>
      </w:r>
      <w:r w:rsidR="004B1E1B" w:rsidRPr="00813D19">
        <w:rPr>
          <w:lang w:val="en-US"/>
        </w:rPr>
        <w:t xml:space="preserve"> Yalli Dance Ensemble, </w:t>
      </w:r>
      <w:r w:rsidR="00813D19" w:rsidRPr="00813D19">
        <w:rPr>
          <w:lang w:val="en-US"/>
        </w:rPr>
        <w:t>children’s</w:t>
      </w:r>
      <w:r w:rsidR="003F266D" w:rsidRPr="00813D19">
        <w:rPr>
          <w:lang w:val="en-US"/>
        </w:rPr>
        <w:t xml:space="preserve"> schools</w:t>
      </w:r>
      <w:r w:rsidR="001B2395" w:rsidRPr="00813D19">
        <w:rPr>
          <w:lang w:val="en-US"/>
        </w:rPr>
        <w:t>,</w:t>
      </w:r>
      <w:r w:rsidR="003F266D" w:rsidRPr="00813D19">
        <w:rPr>
          <w:lang w:val="en-US"/>
        </w:rPr>
        <w:t xml:space="preserve"> as well individual dancers and practitioners who made a huge effort to focus on the safeguarding of yalli dances</w:t>
      </w:r>
      <w:r w:rsidR="001B2395" w:rsidRPr="00813D19">
        <w:rPr>
          <w:lang w:val="en-US"/>
        </w:rPr>
        <w:t>,</w:t>
      </w:r>
      <w:r w:rsidR="003F266D" w:rsidRPr="00813D19">
        <w:rPr>
          <w:lang w:val="en-US"/>
        </w:rPr>
        <w:t xml:space="preserve"> and most importantly</w:t>
      </w:r>
      <w:r w:rsidR="001B2395" w:rsidRPr="00813D19">
        <w:rPr>
          <w:lang w:val="en-US"/>
        </w:rPr>
        <w:t xml:space="preserve"> K</w:t>
      </w:r>
      <w:r w:rsidR="003F266D" w:rsidRPr="00813D19">
        <w:rPr>
          <w:lang w:val="en-US"/>
        </w:rPr>
        <w:t>ochari and Tenzere</w:t>
      </w:r>
      <w:r w:rsidR="00D200A9">
        <w:rPr>
          <w:lang w:val="en-US"/>
        </w:rPr>
        <w:t>, and</w:t>
      </w:r>
      <w:r w:rsidR="003F266D" w:rsidRPr="00813D19">
        <w:rPr>
          <w:lang w:val="en-US"/>
        </w:rPr>
        <w:t xml:space="preserve"> </w:t>
      </w:r>
      <w:r w:rsidR="001B2395" w:rsidRPr="00813D19">
        <w:rPr>
          <w:lang w:val="en-US"/>
        </w:rPr>
        <w:t xml:space="preserve">that </w:t>
      </w:r>
      <w:r w:rsidR="003F266D" w:rsidRPr="00813D19">
        <w:rPr>
          <w:lang w:val="en-US"/>
        </w:rPr>
        <w:t>w</w:t>
      </w:r>
      <w:r w:rsidR="000F0F5F">
        <w:rPr>
          <w:lang w:val="en-US"/>
        </w:rPr>
        <w:t>ould</w:t>
      </w:r>
      <w:r w:rsidR="003F266D" w:rsidRPr="00813D19">
        <w:rPr>
          <w:lang w:val="en-US"/>
        </w:rPr>
        <w:t xml:space="preserve"> now partner to safeguard the element in the most effective way. </w:t>
      </w:r>
      <w:r w:rsidR="001B2395" w:rsidRPr="00813D19">
        <w:rPr>
          <w:lang w:val="en-US"/>
        </w:rPr>
        <w:t xml:space="preserve">A short </w:t>
      </w:r>
      <w:r w:rsidR="003F266D" w:rsidRPr="00813D19">
        <w:rPr>
          <w:lang w:val="en-US"/>
        </w:rPr>
        <w:t>video prep</w:t>
      </w:r>
      <w:r w:rsidR="001B2395" w:rsidRPr="00813D19">
        <w:rPr>
          <w:lang w:val="en-US"/>
        </w:rPr>
        <w:t>ared by the Ministry of Culture</w:t>
      </w:r>
      <w:r w:rsidR="003F266D" w:rsidRPr="00813D19">
        <w:rPr>
          <w:lang w:val="en-US"/>
        </w:rPr>
        <w:t xml:space="preserve"> </w:t>
      </w:r>
      <w:r w:rsidR="001B2395" w:rsidRPr="00813D19">
        <w:rPr>
          <w:lang w:val="en-US"/>
        </w:rPr>
        <w:t xml:space="preserve">on how the </w:t>
      </w:r>
      <w:r w:rsidR="003F266D" w:rsidRPr="00813D19">
        <w:rPr>
          <w:lang w:val="en-US"/>
        </w:rPr>
        <w:t>dance plays a social role in Nakhchivan and in Azerbaijan</w:t>
      </w:r>
      <w:r w:rsidR="001B2395" w:rsidRPr="00813D19">
        <w:rPr>
          <w:lang w:val="en-US"/>
        </w:rPr>
        <w:t xml:space="preserve"> was projected</w:t>
      </w:r>
      <w:r w:rsidR="00E41386">
        <w:rPr>
          <w:lang w:val="en-US"/>
        </w:rPr>
        <w:t>.</w:t>
      </w:r>
    </w:p>
    <w:p w14:paraId="1063502C" w14:textId="435B1250" w:rsidR="003569F5" w:rsidRPr="00813D19" w:rsidRDefault="00231ED6" w:rsidP="00231ED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0F0F5F">
        <w:rPr>
          <w:color w:val="000000" w:themeColor="text1"/>
          <w:lang w:val="en-US"/>
        </w:rPr>
        <w:t>,</w:t>
      </w:r>
      <w:r w:rsidRPr="00813D19">
        <w:rPr>
          <w:color w:val="000000" w:themeColor="text1"/>
          <w:lang w:val="en-US"/>
        </w:rPr>
        <w:t xml:space="preserve"> </w:t>
      </w:r>
      <w:r w:rsidRPr="00813D19">
        <w:rPr>
          <w:b/>
          <w:lang w:val="en-US"/>
        </w:rPr>
        <w:t>Lkhon Khol Wat Svay Andet</w:t>
      </w:r>
      <w:r w:rsidRPr="00813D19">
        <w:rPr>
          <w:lang w:val="en-US"/>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10.a.3]</w:t>
      </w:r>
      <w:r w:rsidR="000F0F5F">
        <w:rPr>
          <w:color w:val="000000" w:themeColor="text1"/>
          <w:lang w:val="en-US"/>
        </w:rPr>
        <w:t>,</w:t>
      </w:r>
      <w:r w:rsidRPr="00813D19">
        <w:rPr>
          <w:b/>
          <w:color w:val="000000" w:themeColor="text1"/>
          <w:lang w:val="en-US"/>
        </w:rPr>
        <w:t xml:space="preserve"> </w:t>
      </w:r>
      <w:r w:rsidRPr="00813D19">
        <w:rPr>
          <w:lang w:val="en-US"/>
        </w:rPr>
        <w:t xml:space="preserve">submitted by </w:t>
      </w:r>
      <w:r w:rsidRPr="00813D19">
        <w:rPr>
          <w:b/>
          <w:lang w:val="en-US"/>
        </w:rPr>
        <w:t>Cambodia</w:t>
      </w:r>
      <w:r w:rsidRPr="00813D19">
        <w:rPr>
          <w:lang w:val="en-US"/>
        </w:rPr>
        <w:t xml:space="preserve">. </w:t>
      </w:r>
      <w:r w:rsidR="003569F5" w:rsidRPr="00813D19">
        <w:rPr>
          <w:lang w:val="en-US"/>
        </w:rPr>
        <w:t>Lkhon Khol Wat Svay Andet is practised in one community surrounding a Buddhist monastery, Wat Svay Andet</w:t>
      </w:r>
      <w:r w:rsidR="002E6BC0" w:rsidRPr="00813D19">
        <w:rPr>
          <w:lang w:val="en-US"/>
        </w:rPr>
        <w:t>,</w:t>
      </w:r>
      <w:r w:rsidR="003569F5" w:rsidRPr="00813D19">
        <w:rPr>
          <w:lang w:val="en-US"/>
        </w:rPr>
        <w:t xml:space="preserve"> and is performed by men wearing masks to the accompaniment of a traditional orchestra and melodious recitation. After generations of transmission, however, several factors now threaten the viability of the element, including environmental factors, insufficient resources, economic migr</w:t>
      </w:r>
      <w:r w:rsidR="002E6BC0" w:rsidRPr="00813D19">
        <w:rPr>
          <w:lang w:val="en-US"/>
        </w:rPr>
        <w:t xml:space="preserve">ation from the community and a </w:t>
      </w:r>
      <w:r w:rsidR="000F0F5F">
        <w:rPr>
          <w:lang w:val="en-US"/>
        </w:rPr>
        <w:t>fourteen</w:t>
      </w:r>
      <w:r w:rsidR="003569F5" w:rsidRPr="00813D19">
        <w:rPr>
          <w:lang w:val="en-US"/>
        </w:rPr>
        <w:t>-year break in transmission from 1970 to 1984 due to war and the Khmer Rouge regime.</w:t>
      </w:r>
      <w:r w:rsidRPr="00813D19">
        <w:rPr>
          <w:lang w:val="en-US"/>
        </w:rPr>
        <w:t xml:space="preserve"> </w:t>
      </w:r>
      <w:r w:rsidR="003569F5" w:rsidRPr="00813D19">
        <w:rPr>
          <w:lang w:val="en-US"/>
        </w:rPr>
        <w:t>From the information included in th</w:t>
      </w:r>
      <w:r w:rsidR="002E6BC0" w:rsidRPr="00813D19">
        <w:rPr>
          <w:lang w:val="en-US"/>
        </w:rPr>
        <w:t>e file, the nomination satisfied</w:t>
      </w:r>
      <w:r w:rsidR="003569F5" w:rsidRPr="00813D19">
        <w:rPr>
          <w:lang w:val="en-US"/>
        </w:rPr>
        <w:t xml:space="preserve"> criteria U.1, U.2, U.4 and U.5. Lkhon Khol Wat Svay Andet is a prayer for happiness and prosperity, especially rain and a good harvest, and is also considered </w:t>
      </w:r>
      <w:r w:rsidR="000F0F5F">
        <w:rPr>
          <w:lang w:val="en-US"/>
        </w:rPr>
        <w:t xml:space="preserve">to be </w:t>
      </w:r>
      <w:r w:rsidR="003569F5" w:rsidRPr="00813D19">
        <w:rPr>
          <w:lang w:val="en-US"/>
        </w:rPr>
        <w:t>a powerful tool to ward off calamities and diseases. The ritual practice of Lkhon Khol Wat Svay Andet unites the local lay population of the Ta Skor and Peam Ta Ek villages with the Buddhist monas</w:t>
      </w:r>
      <w:r w:rsidR="002E6BC0" w:rsidRPr="00813D19">
        <w:rPr>
          <w:lang w:val="en-US"/>
        </w:rPr>
        <w:t>tic community at Wat Svay Andet</w:t>
      </w:r>
      <w:r w:rsidR="003569F5" w:rsidRPr="00813D19">
        <w:rPr>
          <w:lang w:val="en-US"/>
        </w:rPr>
        <w:t xml:space="preserve"> where it has a deep spiritual meaning and social relevance. Although the last five masters of the Lkhon Khol contin</w:t>
      </w:r>
      <w:r w:rsidR="002E6BC0" w:rsidRPr="00813D19">
        <w:rPr>
          <w:lang w:val="en-US"/>
        </w:rPr>
        <w:t>ue transmitting their knowledge,</w:t>
      </w:r>
      <w:r w:rsidR="003569F5" w:rsidRPr="00813D19">
        <w:rPr>
          <w:lang w:val="en-US"/>
        </w:rPr>
        <w:t xml:space="preserve"> </w:t>
      </w:r>
      <w:r w:rsidR="002E6BC0" w:rsidRPr="00813D19">
        <w:rPr>
          <w:lang w:val="en-US"/>
        </w:rPr>
        <w:t xml:space="preserve">the </w:t>
      </w:r>
      <w:r w:rsidR="003569F5" w:rsidRPr="00813D19">
        <w:rPr>
          <w:lang w:val="en-US"/>
        </w:rPr>
        <w:t xml:space="preserve">majority of them are over </w:t>
      </w:r>
      <w:r w:rsidR="000F0F5F">
        <w:rPr>
          <w:lang w:val="en-US"/>
        </w:rPr>
        <w:t>seventy</w:t>
      </w:r>
      <w:r w:rsidR="002E6BC0" w:rsidRPr="00813D19">
        <w:rPr>
          <w:lang w:val="en-US"/>
        </w:rPr>
        <w:t xml:space="preserve"> </w:t>
      </w:r>
      <w:r w:rsidR="003569F5" w:rsidRPr="00813D19">
        <w:rPr>
          <w:lang w:val="en-US"/>
        </w:rPr>
        <w:t>years old and some are critically ill. The Ministry of Culture and Fine Arts established a working group to cooperate with the local community during the preparation of the nomination file.</w:t>
      </w:r>
      <w:r w:rsidRPr="00813D19">
        <w:rPr>
          <w:lang w:val="en-US"/>
        </w:rPr>
        <w:t xml:space="preserve"> </w:t>
      </w:r>
      <w:r w:rsidR="003569F5" w:rsidRPr="00813D19">
        <w:rPr>
          <w:lang w:val="en-US"/>
        </w:rPr>
        <w:t xml:space="preserve">However, the Evaluation Body considered that the information </w:t>
      </w:r>
      <w:r w:rsidR="002E6BC0" w:rsidRPr="00813D19">
        <w:rPr>
          <w:lang w:val="en-US"/>
        </w:rPr>
        <w:t xml:space="preserve">was </w:t>
      </w:r>
      <w:r w:rsidR="003569F5" w:rsidRPr="00813D19">
        <w:rPr>
          <w:lang w:val="en-US"/>
        </w:rPr>
        <w:t>not sufficient to assess criteri</w:t>
      </w:r>
      <w:r w:rsidR="000F0F5F">
        <w:rPr>
          <w:lang w:val="en-US"/>
        </w:rPr>
        <w:t>on</w:t>
      </w:r>
      <w:r w:rsidR="003569F5" w:rsidRPr="00813D19">
        <w:rPr>
          <w:lang w:val="en-US"/>
        </w:rPr>
        <w:t xml:space="preserve"> U.3.</w:t>
      </w:r>
      <w:r w:rsidRPr="00813D19">
        <w:rPr>
          <w:lang w:val="en-US"/>
        </w:rPr>
        <w:t xml:space="preserve"> </w:t>
      </w:r>
      <w:r w:rsidR="003569F5" w:rsidRPr="00813D19">
        <w:rPr>
          <w:lang w:val="en-US"/>
        </w:rPr>
        <w:t xml:space="preserve">While the Body </w:t>
      </w:r>
      <w:r w:rsidR="002E6BC0" w:rsidRPr="00813D19">
        <w:rPr>
          <w:lang w:val="en-US"/>
        </w:rPr>
        <w:t>considered</w:t>
      </w:r>
      <w:r w:rsidR="003569F5" w:rsidRPr="00813D19">
        <w:rPr>
          <w:lang w:val="en-US"/>
        </w:rPr>
        <w:t xml:space="preserve"> that the safeguarding strategy </w:t>
      </w:r>
      <w:r w:rsidR="00F14B59" w:rsidRPr="00813D19">
        <w:rPr>
          <w:lang w:val="en-US"/>
        </w:rPr>
        <w:t>did</w:t>
      </w:r>
      <w:r w:rsidR="003569F5" w:rsidRPr="00813D19">
        <w:rPr>
          <w:lang w:val="en-US"/>
        </w:rPr>
        <w:t xml:space="preserve"> not seem to require large financial inputs, a clearly defined budget supporting its implementation </w:t>
      </w:r>
      <w:r w:rsidR="00F14B59" w:rsidRPr="00813D19">
        <w:rPr>
          <w:lang w:val="en-US"/>
        </w:rPr>
        <w:t>was</w:t>
      </w:r>
      <w:r w:rsidR="003569F5" w:rsidRPr="00813D19">
        <w:rPr>
          <w:lang w:val="en-US"/>
        </w:rPr>
        <w:t xml:space="preserve"> completely missing.</w:t>
      </w:r>
      <w:r w:rsidRPr="00813D19">
        <w:rPr>
          <w:lang w:val="en-US"/>
        </w:rPr>
        <w:t xml:space="preserve"> T</w:t>
      </w:r>
      <w:r w:rsidR="003569F5" w:rsidRPr="00813D19">
        <w:rPr>
          <w:lang w:val="en-US"/>
        </w:rPr>
        <w:t xml:space="preserve">he Evaluation Body </w:t>
      </w:r>
      <w:r w:rsidRPr="00813D19">
        <w:rPr>
          <w:lang w:val="en-US"/>
        </w:rPr>
        <w:t>thus recommended</w:t>
      </w:r>
      <w:r w:rsidR="003569F5" w:rsidRPr="00813D19">
        <w:rPr>
          <w:lang w:val="en-US"/>
        </w:rPr>
        <w:t xml:space="preserve"> that the Committee </w:t>
      </w:r>
      <w:r w:rsidRPr="00813D19">
        <w:rPr>
          <w:lang w:val="en-US"/>
        </w:rPr>
        <w:t>refer</w:t>
      </w:r>
      <w:r w:rsidR="003569F5" w:rsidRPr="00813D19">
        <w:rPr>
          <w:lang w:val="en-US"/>
        </w:rPr>
        <w:t xml:space="preserve"> Lkhon Khol Wat Svay Andet to the submitting State.</w:t>
      </w:r>
    </w:p>
    <w:p w14:paraId="02D0D124" w14:textId="280AAA13" w:rsidR="0016402F" w:rsidRPr="00813D19" w:rsidRDefault="0016402F" w:rsidP="00C55E73">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w:t>
      </w:r>
      <w:r w:rsidR="009404BC" w:rsidRPr="00813D19">
        <w:rPr>
          <w:rFonts w:eastAsia="Calibri"/>
          <w:color w:val="000000" w:themeColor="text1"/>
          <w:lang w:val="en-US"/>
        </w:rPr>
        <w:t xml:space="preserve">thanked the Chairperson of the Evaluation Body </w:t>
      </w:r>
      <w:r w:rsidR="003F266D" w:rsidRPr="00813D19">
        <w:rPr>
          <w:bCs/>
          <w:lang w:val="en-US"/>
        </w:rPr>
        <w:t xml:space="preserve">for </w:t>
      </w:r>
      <w:r w:rsidR="009404BC" w:rsidRPr="00813D19">
        <w:rPr>
          <w:bCs/>
          <w:lang w:val="en-US"/>
        </w:rPr>
        <w:t xml:space="preserve">the </w:t>
      </w:r>
      <w:r w:rsidR="003F266D" w:rsidRPr="00813D19">
        <w:rPr>
          <w:bCs/>
          <w:lang w:val="en-US"/>
        </w:rPr>
        <w:t xml:space="preserve">detailed explanation of the different issues raised during the evaluation of </w:t>
      </w:r>
      <w:r w:rsidR="009404BC" w:rsidRPr="00813D19">
        <w:rPr>
          <w:bCs/>
          <w:lang w:val="en-US"/>
        </w:rPr>
        <w:t xml:space="preserve">the </w:t>
      </w:r>
      <w:r w:rsidR="003F266D" w:rsidRPr="00813D19">
        <w:rPr>
          <w:bCs/>
          <w:lang w:val="en-US"/>
        </w:rPr>
        <w:t xml:space="preserve">file. </w:t>
      </w:r>
      <w:r w:rsidR="004B1E1B" w:rsidRPr="00813D19">
        <w:rPr>
          <w:bCs/>
          <w:lang w:val="en-US"/>
        </w:rPr>
        <w:t xml:space="preserve">It was </w:t>
      </w:r>
      <w:r w:rsidRPr="00813D19">
        <w:rPr>
          <w:rFonts w:eastAsia="Calibri"/>
          <w:color w:val="000000" w:themeColor="text1"/>
          <w:lang w:val="en-US"/>
        </w:rPr>
        <w:t xml:space="preserve">noted that amendments had been received </w:t>
      </w:r>
      <w:r w:rsidR="00E00839" w:rsidRPr="00813D19">
        <w:rPr>
          <w:rFonts w:eastAsia="Calibri"/>
          <w:color w:val="000000" w:themeColor="text1"/>
          <w:lang w:val="en-US"/>
        </w:rPr>
        <w:t>for</w:t>
      </w:r>
      <w:r w:rsidRPr="00813D19">
        <w:rPr>
          <w:rFonts w:eastAsia="Calibri"/>
          <w:color w:val="000000" w:themeColor="text1"/>
          <w:lang w:val="en-US"/>
        </w:rPr>
        <w:t xml:space="preserve"> this nomination</w:t>
      </w:r>
      <w:r w:rsidR="00A826DC" w:rsidRPr="00813D19">
        <w:rPr>
          <w:rFonts w:eastAsia="Calibri"/>
          <w:color w:val="000000" w:themeColor="text1"/>
          <w:lang w:val="en-US"/>
        </w:rPr>
        <w:t xml:space="preserve">, </w:t>
      </w:r>
      <w:r w:rsidR="004B1E1B" w:rsidRPr="00813D19">
        <w:rPr>
          <w:rFonts w:eastAsia="Calibri"/>
          <w:color w:val="000000" w:themeColor="text1"/>
          <w:lang w:val="en-US"/>
        </w:rPr>
        <w:t xml:space="preserve">and the floor </w:t>
      </w:r>
      <w:r w:rsidR="004B1E1B" w:rsidRPr="00813D19">
        <w:rPr>
          <w:lang w:val="en-US"/>
        </w:rPr>
        <w:t xml:space="preserve">was opened </w:t>
      </w:r>
      <w:r w:rsidR="00A826DC" w:rsidRPr="00813D19">
        <w:rPr>
          <w:lang w:val="en-US"/>
        </w:rPr>
        <w:t>for comments.</w:t>
      </w:r>
    </w:p>
    <w:p w14:paraId="415D8714" w14:textId="7A76CCEB" w:rsidR="008B445C" w:rsidRPr="00813D19" w:rsidRDefault="0016402F" w:rsidP="008B445C">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the Philippines</w:t>
      </w:r>
      <w:r w:rsidR="003F266D" w:rsidRPr="00813D19">
        <w:rPr>
          <w:rFonts w:eastAsia="Calibri"/>
          <w:b/>
          <w:color w:val="000000" w:themeColor="text1"/>
          <w:lang w:val="en-US"/>
        </w:rPr>
        <w:t xml:space="preserve"> </w:t>
      </w:r>
      <w:r w:rsidR="003F266D" w:rsidRPr="00813D19">
        <w:rPr>
          <w:lang w:val="en-US"/>
        </w:rPr>
        <w:t xml:space="preserve">requested that </w:t>
      </w:r>
      <w:r w:rsidR="00F5742F" w:rsidRPr="00813D19">
        <w:rPr>
          <w:lang w:val="en-US"/>
        </w:rPr>
        <w:t xml:space="preserve">the </w:t>
      </w:r>
      <w:r w:rsidR="003F266D" w:rsidRPr="00813D19">
        <w:rPr>
          <w:lang w:val="en-US"/>
        </w:rPr>
        <w:t>file be open</w:t>
      </w:r>
      <w:r w:rsidR="00F5742F" w:rsidRPr="00813D19">
        <w:rPr>
          <w:lang w:val="en-US"/>
        </w:rPr>
        <w:t>ed</w:t>
      </w:r>
      <w:r w:rsidR="003F266D" w:rsidRPr="00813D19">
        <w:rPr>
          <w:lang w:val="en-US"/>
        </w:rPr>
        <w:t xml:space="preserve"> for discussion because </w:t>
      </w:r>
      <w:r w:rsidR="00F5742F" w:rsidRPr="00813D19">
        <w:rPr>
          <w:lang w:val="en-US"/>
        </w:rPr>
        <w:t xml:space="preserve">it believed that the </w:t>
      </w:r>
      <w:r w:rsidR="003F266D" w:rsidRPr="00813D19">
        <w:rPr>
          <w:lang w:val="en-US"/>
        </w:rPr>
        <w:t xml:space="preserve">element should not be referred back to the State Party </w:t>
      </w:r>
      <w:r w:rsidR="00F5742F" w:rsidRPr="00813D19">
        <w:rPr>
          <w:lang w:val="en-US"/>
        </w:rPr>
        <w:t>when the missing information had</w:t>
      </w:r>
      <w:r w:rsidR="003F266D" w:rsidRPr="00813D19">
        <w:rPr>
          <w:lang w:val="en-US"/>
        </w:rPr>
        <w:t xml:space="preserve"> been duly provided to the Committee</w:t>
      </w:r>
      <w:r w:rsidR="004B1E1B" w:rsidRPr="00813D19">
        <w:rPr>
          <w:lang w:val="en-US"/>
        </w:rPr>
        <w:t xml:space="preserve"> by Cambodia</w:t>
      </w:r>
      <w:r w:rsidR="00F5742F" w:rsidRPr="00813D19">
        <w:rPr>
          <w:lang w:val="en-US"/>
        </w:rPr>
        <w:t>. This only emphasized</w:t>
      </w:r>
      <w:r w:rsidR="003F266D" w:rsidRPr="00813D19">
        <w:rPr>
          <w:lang w:val="en-US"/>
        </w:rPr>
        <w:t xml:space="preserve"> the need for a dialogue between nominating States and the Evaluation Body in instances when a </w:t>
      </w:r>
      <w:r w:rsidR="00F5742F" w:rsidRPr="00813D19">
        <w:rPr>
          <w:lang w:val="en-US"/>
        </w:rPr>
        <w:t xml:space="preserve">minor </w:t>
      </w:r>
      <w:r w:rsidR="003F266D" w:rsidRPr="00813D19">
        <w:rPr>
          <w:lang w:val="en-US"/>
        </w:rPr>
        <w:t xml:space="preserve">clarification or additional information </w:t>
      </w:r>
      <w:r w:rsidR="00F5742F" w:rsidRPr="00813D19">
        <w:rPr>
          <w:lang w:val="en-US"/>
        </w:rPr>
        <w:t xml:space="preserve">could </w:t>
      </w:r>
      <w:r w:rsidR="003F266D" w:rsidRPr="00813D19">
        <w:rPr>
          <w:lang w:val="en-US"/>
        </w:rPr>
        <w:t xml:space="preserve">complete the picture needed by the Evaluation Body to finalize its recommendation. For it </w:t>
      </w:r>
      <w:r w:rsidR="00F5742F" w:rsidRPr="00813D19">
        <w:rPr>
          <w:lang w:val="en-US"/>
        </w:rPr>
        <w:t xml:space="preserve">was </w:t>
      </w:r>
      <w:r w:rsidR="003F266D" w:rsidRPr="00813D19">
        <w:rPr>
          <w:lang w:val="en-US"/>
        </w:rPr>
        <w:t xml:space="preserve">apparent in the nomination </w:t>
      </w:r>
      <w:r w:rsidR="00F5742F" w:rsidRPr="00813D19">
        <w:rPr>
          <w:lang w:val="en-US"/>
        </w:rPr>
        <w:t xml:space="preserve">file </w:t>
      </w:r>
      <w:r w:rsidR="003F266D" w:rsidRPr="00813D19">
        <w:rPr>
          <w:lang w:val="en-US"/>
        </w:rPr>
        <w:t xml:space="preserve">and the report of the Evaluation Body that the element merits urgent safeguarding and that the measures proposed </w:t>
      </w:r>
      <w:r w:rsidR="00F5742F" w:rsidRPr="00813D19">
        <w:rPr>
          <w:lang w:val="en-US"/>
        </w:rPr>
        <w:t xml:space="preserve">were </w:t>
      </w:r>
      <w:r w:rsidR="003F266D" w:rsidRPr="00813D19">
        <w:rPr>
          <w:lang w:val="en-US"/>
        </w:rPr>
        <w:t xml:space="preserve">very clear and thorough. The element is highly important as a practice of the Buddhist monastery community </w:t>
      </w:r>
      <w:r w:rsidR="00F5742F" w:rsidRPr="00813D19">
        <w:rPr>
          <w:lang w:val="en-US"/>
        </w:rPr>
        <w:t xml:space="preserve">and </w:t>
      </w:r>
      <w:r w:rsidR="003F266D" w:rsidRPr="00813D19">
        <w:rPr>
          <w:lang w:val="en-US"/>
        </w:rPr>
        <w:t xml:space="preserve">a source of spiritual meaning and social relevance. Thus, </w:t>
      </w:r>
      <w:r w:rsidR="00F5742F" w:rsidRPr="00813D19">
        <w:rPr>
          <w:lang w:val="en-US"/>
        </w:rPr>
        <w:t xml:space="preserve">the delegation </w:t>
      </w:r>
      <w:r w:rsidR="003F266D" w:rsidRPr="00813D19">
        <w:rPr>
          <w:lang w:val="en-US"/>
        </w:rPr>
        <w:t>request</w:t>
      </w:r>
      <w:r w:rsidR="00F5742F" w:rsidRPr="00813D19">
        <w:rPr>
          <w:lang w:val="en-US"/>
        </w:rPr>
        <w:t>ed</w:t>
      </w:r>
      <w:r w:rsidR="003F266D" w:rsidRPr="00813D19">
        <w:rPr>
          <w:lang w:val="en-US"/>
        </w:rPr>
        <w:t xml:space="preserve"> that the</w:t>
      </w:r>
      <w:r w:rsidR="00F5742F" w:rsidRPr="00813D19">
        <w:rPr>
          <w:lang w:val="en-US"/>
        </w:rPr>
        <w:t xml:space="preserve"> State Party be given the floor to</w:t>
      </w:r>
      <w:r w:rsidR="003F266D" w:rsidRPr="00813D19">
        <w:rPr>
          <w:lang w:val="en-US"/>
        </w:rPr>
        <w:t xml:space="preserve"> provide further information on the b</w:t>
      </w:r>
      <w:r w:rsidR="00F5742F" w:rsidRPr="00813D19">
        <w:rPr>
          <w:lang w:val="en-US"/>
        </w:rPr>
        <w:t xml:space="preserve">udget of the safeguarding plan, adding that it had </w:t>
      </w:r>
      <w:r w:rsidR="003F266D" w:rsidRPr="00813D19">
        <w:rPr>
          <w:lang w:val="en-US"/>
        </w:rPr>
        <w:t>submitted amendments to the draft decision</w:t>
      </w:r>
      <w:r w:rsidR="00F5742F" w:rsidRPr="00813D19">
        <w:rPr>
          <w:lang w:val="en-US"/>
        </w:rPr>
        <w:t xml:space="preserve"> together with a number of Committee Members</w:t>
      </w:r>
      <w:r w:rsidR="00E41386">
        <w:rPr>
          <w:lang w:val="en-US"/>
        </w:rPr>
        <w:t>.</w:t>
      </w:r>
    </w:p>
    <w:p w14:paraId="4AF005AE" w14:textId="049812C4" w:rsidR="008B445C" w:rsidRPr="00813D19" w:rsidRDefault="007C518A" w:rsidP="00992A2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w:t>
      </w:r>
      <w:r w:rsidR="00F5742F" w:rsidRPr="00813D19">
        <w:rPr>
          <w:rFonts w:eastAsia="Calibri"/>
          <w:color w:val="000000" w:themeColor="text1"/>
          <w:lang w:val="en-US"/>
        </w:rPr>
        <w:t xml:space="preserve">took note of the </w:t>
      </w:r>
      <w:r w:rsidR="003F266D" w:rsidRPr="00813D19">
        <w:rPr>
          <w:bCs/>
          <w:lang w:val="en-US"/>
        </w:rPr>
        <w:t>Committee Members wish</w:t>
      </w:r>
      <w:r w:rsidR="00F5742F" w:rsidRPr="00813D19">
        <w:rPr>
          <w:bCs/>
          <w:lang w:val="en-US"/>
        </w:rPr>
        <w:t>ing to intervene.</w:t>
      </w:r>
    </w:p>
    <w:p w14:paraId="34DB1722" w14:textId="35614194" w:rsidR="008B445C" w:rsidRPr="00813D19" w:rsidRDefault="008B445C" w:rsidP="00992A2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Palestine</w:t>
      </w:r>
      <w:r w:rsidR="003F266D" w:rsidRPr="00813D19">
        <w:rPr>
          <w:bCs/>
          <w:lang w:val="en-US"/>
        </w:rPr>
        <w:t xml:space="preserve"> agree</w:t>
      </w:r>
      <w:r w:rsidR="001069D8" w:rsidRPr="00813D19">
        <w:rPr>
          <w:bCs/>
          <w:lang w:val="en-US"/>
        </w:rPr>
        <w:t>d</w:t>
      </w:r>
      <w:r w:rsidR="003F266D" w:rsidRPr="00813D19">
        <w:rPr>
          <w:bCs/>
          <w:lang w:val="en-US"/>
        </w:rPr>
        <w:t xml:space="preserve"> with </w:t>
      </w:r>
      <w:r w:rsidR="001069D8" w:rsidRPr="00813D19">
        <w:rPr>
          <w:bCs/>
          <w:lang w:val="en-US"/>
        </w:rPr>
        <w:t xml:space="preserve">the comments made by the </w:t>
      </w:r>
      <w:r w:rsidR="003F266D" w:rsidRPr="00813D19">
        <w:rPr>
          <w:bCs/>
          <w:lang w:val="en-US"/>
        </w:rPr>
        <w:t>Philippines</w:t>
      </w:r>
      <w:r w:rsidR="006447E7" w:rsidRPr="00813D19">
        <w:rPr>
          <w:bCs/>
          <w:lang w:val="en-US"/>
        </w:rPr>
        <w:t xml:space="preserve"> and thanked </w:t>
      </w:r>
      <w:r w:rsidR="003F266D" w:rsidRPr="00813D19">
        <w:rPr>
          <w:bCs/>
          <w:lang w:val="en-US"/>
        </w:rPr>
        <w:t>the Evaluation Body for its work</w:t>
      </w:r>
      <w:r w:rsidR="006447E7" w:rsidRPr="00813D19">
        <w:rPr>
          <w:bCs/>
          <w:lang w:val="en-US"/>
        </w:rPr>
        <w:t>,</w:t>
      </w:r>
      <w:r w:rsidR="003F266D" w:rsidRPr="00813D19">
        <w:rPr>
          <w:bCs/>
          <w:lang w:val="en-US"/>
        </w:rPr>
        <w:t xml:space="preserve"> particularly concerning this particular element</w:t>
      </w:r>
      <w:r w:rsidR="006447E7" w:rsidRPr="00813D19">
        <w:rPr>
          <w:bCs/>
          <w:lang w:val="en-US"/>
        </w:rPr>
        <w:t xml:space="preserve">. It  noted that the file had </w:t>
      </w:r>
      <w:r w:rsidR="003F266D" w:rsidRPr="00813D19">
        <w:rPr>
          <w:bCs/>
          <w:lang w:val="en-US"/>
        </w:rPr>
        <w:t>satisfied most of the criteria</w:t>
      </w:r>
      <w:r w:rsidR="006447E7" w:rsidRPr="00813D19">
        <w:rPr>
          <w:bCs/>
          <w:lang w:val="en-US"/>
        </w:rPr>
        <w:t>,</w:t>
      </w:r>
      <w:r w:rsidR="003F266D" w:rsidRPr="00813D19">
        <w:rPr>
          <w:bCs/>
          <w:lang w:val="en-US"/>
        </w:rPr>
        <w:t xml:space="preserve"> </w:t>
      </w:r>
      <w:r w:rsidR="006447E7" w:rsidRPr="00813D19">
        <w:rPr>
          <w:bCs/>
          <w:lang w:val="en-US"/>
        </w:rPr>
        <w:t xml:space="preserve">and </w:t>
      </w:r>
      <w:r w:rsidR="003F266D" w:rsidRPr="00813D19">
        <w:rPr>
          <w:bCs/>
          <w:lang w:val="en-US"/>
        </w:rPr>
        <w:t xml:space="preserve">even </w:t>
      </w:r>
      <w:r w:rsidR="006447E7" w:rsidRPr="00813D19">
        <w:rPr>
          <w:bCs/>
          <w:lang w:val="en-US"/>
        </w:rPr>
        <w:t xml:space="preserve">in </w:t>
      </w:r>
      <w:r w:rsidR="003F266D" w:rsidRPr="00813D19">
        <w:rPr>
          <w:bCs/>
          <w:lang w:val="en-US"/>
        </w:rPr>
        <w:t xml:space="preserve">U.3 </w:t>
      </w:r>
      <w:r w:rsidR="006447E7" w:rsidRPr="00813D19">
        <w:rPr>
          <w:bCs/>
          <w:lang w:val="en-US"/>
        </w:rPr>
        <w:t xml:space="preserve">it was noted </w:t>
      </w:r>
      <w:r w:rsidR="003F266D" w:rsidRPr="00813D19">
        <w:rPr>
          <w:bCs/>
          <w:lang w:val="en-US"/>
        </w:rPr>
        <w:t xml:space="preserve">that the safeguarding plan </w:t>
      </w:r>
      <w:r w:rsidR="006447E7" w:rsidRPr="00813D19">
        <w:rPr>
          <w:bCs/>
          <w:lang w:val="en-US"/>
        </w:rPr>
        <w:t xml:space="preserve">was </w:t>
      </w:r>
      <w:r w:rsidR="003F266D" w:rsidRPr="00813D19">
        <w:rPr>
          <w:bCs/>
          <w:lang w:val="en-US"/>
        </w:rPr>
        <w:t xml:space="preserve">clear and solid, </w:t>
      </w:r>
      <w:r w:rsidR="006447E7" w:rsidRPr="00813D19">
        <w:rPr>
          <w:bCs/>
          <w:lang w:val="en-US"/>
        </w:rPr>
        <w:t>and it clearly supported</w:t>
      </w:r>
      <w:r w:rsidR="003F266D" w:rsidRPr="00813D19">
        <w:rPr>
          <w:bCs/>
          <w:lang w:val="en-US"/>
        </w:rPr>
        <w:t xml:space="preserve"> the role of local communities in </w:t>
      </w:r>
      <w:r w:rsidR="006447E7" w:rsidRPr="00813D19">
        <w:rPr>
          <w:bCs/>
          <w:lang w:val="en-US"/>
        </w:rPr>
        <w:t xml:space="preserve">the </w:t>
      </w:r>
      <w:r w:rsidR="003F266D" w:rsidRPr="00813D19">
        <w:rPr>
          <w:bCs/>
          <w:lang w:val="en-US"/>
        </w:rPr>
        <w:t xml:space="preserve">safeguarding plan. The cost of the safeguarding plan </w:t>
      </w:r>
      <w:r w:rsidR="006447E7" w:rsidRPr="00813D19">
        <w:rPr>
          <w:bCs/>
          <w:lang w:val="en-US"/>
        </w:rPr>
        <w:t xml:space="preserve">was </w:t>
      </w:r>
      <w:r w:rsidR="003F266D" w:rsidRPr="00813D19">
        <w:rPr>
          <w:bCs/>
          <w:lang w:val="en-US"/>
        </w:rPr>
        <w:t>not excessive either</w:t>
      </w:r>
      <w:r w:rsidR="006447E7" w:rsidRPr="00813D19">
        <w:rPr>
          <w:bCs/>
          <w:lang w:val="en-US"/>
        </w:rPr>
        <w:t>,</w:t>
      </w:r>
      <w:r w:rsidR="003F266D" w:rsidRPr="00813D19">
        <w:rPr>
          <w:bCs/>
          <w:lang w:val="en-US"/>
        </w:rPr>
        <w:t xml:space="preserve"> but there </w:t>
      </w:r>
      <w:r w:rsidR="006447E7" w:rsidRPr="00813D19">
        <w:rPr>
          <w:bCs/>
          <w:lang w:val="en-US"/>
        </w:rPr>
        <w:t xml:space="preserve">was no clear budget, which was </w:t>
      </w:r>
      <w:r w:rsidR="003F266D" w:rsidRPr="00813D19">
        <w:rPr>
          <w:bCs/>
          <w:lang w:val="en-US"/>
        </w:rPr>
        <w:t>the only negative aspect in the evaluation</w:t>
      </w:r>
      <w:r w:rsidR="006447E7" w:rsidRPr="00813D19">
        <w:rPr>
          <w:bCs/>
          <w:lang w:val="en-US"/>
        </w:rPr>
        <w:t>.</w:t>
      </w:r>
      <w:r w:rsidR="003F266D" w:rsidRPr="00813D19">
        <w:rPr>
          <w:bCs/>
          <w:lang w:val="en-US"/>
        </w:rPr>
        <w:t xml:space="preserve"> </w:t>
      </w:r>
      <w:r w:rsidR="006447E7" w:rsidRPr="00813D19">
        <w:rPr>
          <w:bCs/>
          <w:lang w:val="en-US"/>
        </w:rPr>
        <w:t>The delegation therefore asked the State Party to provide so</w:t>
      </w:r>
      <w:r w:rsidR="00E41386">
        <w:rPr>
          <w:bCs/>
          <w:lang w:val="en-US"/>
        </w:rPr>
        <w:t>me clarification on this point.</w:t>
      </w:r>
    </w:p>
    <w:p w14:paraId="6DB62C9E" w14:textId="2F76B315" w:rsidR="00431C20" w:rsidRPr="00813D19" w:rsidRDefault="00431C20" w:rsidP="00992A2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China</w:t>
      </w:r>
      <w:r w:rsidR="003F266D" w:rsidRPr="00813D19">
        <w:rPr>
          <w:rFonts w:eastAsia="Calibri"/>
          <w:b/>
          <w:color w:val="000000" w:themeColor="text1"/>
          <w:lang w:val="en-US"/>
        </w:rPr>
        <w:t xml:space="preserve"> </w:t>
      </w:r>
      <w:r w:rsidR="003F266D" w:rsidRPr="00813D19">
        <w:rPr>
          <w:lang w:val="en-US"/>
        </w:rPr>
        <w:t>thank</w:t>
      </w:r>
      <w:r w:rsidR="006447E7" w:rsidRPr="00813D19">
        <w:rPr>
          <w:lang w:val="en-US"/>
        </w:rPr>
        <w:t>ed</w:t>
      </w:r>
      <w:r w:rsidR="003F266D" w:rsidRPr="00813D19">
        <w:rPr>
          <w:lang w:val="en-US"/>
        </w:rPr>
        <w:t xml:space="preserve"> the Evaluation Body for its efforts on the evaluation of this nomination. According to the draft decision</w:t>
      </w:r>
      <w:r w:rsidR="00167419" w:rsidRPr="00813D19">
        <w:rPr>
          <w:lang w:val="en-US"/>
        </w:rPr>
        <w:t>,</w:t>
      </w:r>
      <w:r w:rsidR="003F266D" w:rsidRPr="00813D19">
        <w:rPr>
          <w:lang w:val="en-US"/>
        </w:rPr>
        <w:t xml:space="preserve"> the information included in this file </w:t>
      </w:r>
      <w:r w:rsidR="00167419" w:rsidRPr="00813D19">
        <w:rPr>
          <w:lang w:val="en-US"/>
        </w:rPr>
        <w:t xml:space="preserve">was </w:t>
      </w:r>
      <w:r w:rsidR="003F266D" w:rsidRPr="00813D19">
        <w:rPr>
          <w:lang w:val="en-US"/>
        </w:rPr>
        <w:t xml:space="preserve">not sufficient to satisfy criterion U.3. </w:t>
      </w:r>
      <w:r w:rsidR="00167419" w:rsidRPr="00813D19">
        <w:rPr>
          <w:lang w:val="en-US"/>
        </w:rPr>
        <w:t>However, w</w:t>
      </w:r>
      <w:r w:rsidR="003F266D" w:rsidRPr="00813D19">
        <w:rPr>
          <w:lang w:val="en-US"/>
        </w:rPr>
        <w:t xml:space="preserve">hen </w:t>
      </w:r>
      <w:r w:rsidR="00167419" w:rsidRPr="00813D19">
        <w:rPr>
          <w:lang w:val="en-US"/>
        </w:rPr>
        <w:t xml:space="preserve">it </w:t>
      </w:r>
      <w:r w:rsidR="003F266D" w:rsidRPr="00813D19">
        <w:rPr>
          <w:lang w:val="en-US"/>
        </w:rPr>
        <w:t>look</w:t>
      </w:r>
      <w:r w:rsidR="00167419" w:rsidRPr="00813D19">
        <w:rPr>
          <w:lang w:val="en-US"/>
        </w:rPr>
        <w:t>ed</w:t>
      </w:r>
      <w:r w:rsidR="003F266D" w:rsidRPr="00813D19">
        <w:rPr>
          <w:lang w:val="en-US"/>
        </w:rPr>
        <w:t xml:space="preserve"> through the nomination file</w:t>
      </w:r>
      <w:r w:rsidR="00167419" w:rsidRPr="00813D19">
        <w:rPr>
          <w:lang w:val="en-US"/>
        </w:rPr>
        <w:t>,</w:t>
      </w:r>
      <w:r w:rsidR="003F266D" w:rsidRPr="00813D19">
        <w:rPr>
          <w:lang w:val="en-US"/>
        </w:rPr>
        <w:t xml:space="preserve"> </w:t>
      </w:r>
      <w:r w:rsidR="00167419" w:rsidRPr="00813D19">
        <w:rPr>
          <w:lang w:val="en-US"/>
        </w:rPr>
        <w:t xml:space="preserve">it </w:t>
      </w:r>
      <w:r w:rsidR="003F266D" w:rsidRPr="00813D19">
        <w:rPr>
          <w:lang w:val="en-US"/>
        </w:rPr>
        <w:t xml:space="preserve">noticed that </w:t>
      </w:r>
      <w:r w:rsidR="00865717">
        <w:rPr>
          <w:lang w:val="en-US"/>
        </w:rPr>
        <w:t>S</w:t>
      </w:r>
      <w:r w:rsidR="003F266D" w:rsidRPr="00813D19">
        <w:rPr>
          <w:lang w:val="en-US"/>
        </w:rPr>
        <w:t xml:space="preserve">ection 3.b </w:t>
      </w:r>
      <w:r w:rsidR="00167419" w:rsidRPr="00813D19">
        <w:rPr>
          <w:lang w:val="en-US"/>
        </w:rPr>
        <w:t xml:space="preserve">on </w:t>
      </w:r>
      <w:r w:rsidR="003F266D" w:rsidRPr="00813D19">
        <w:rPr>
          <w:lang w:val="en-US"/>
        </w:rPr>
        <w:t xml:space="preserve">the proposed safeguarding plan stated several times that resources </w:t>
      </w:r>
      <w:r w:rsidR="00167419" w:rsidRPr="00813D19">
        <w:rPr>
          <w:lang w:val="en-US"/>
        </w:rPr>
        <w:t xml:space="preserve">came </w:t>
      </w:r>
      <w:r w:rsidR="003F266D" w:rsidRPr="00813D19">
        <w:rPr>
          <w:lang w:val="en-US"/>
        </w:rPr>
        <w:t>from both within the community and the Ministry of Culture and Fine Arts</w:t>
      </w:r>
      <w:r w:rsidR="00167419" w:rsidRPr="00813D19">
        <w:rPr>
          <w:lang w:val="en-US"/>
        </w:rPr>
        <w:t>,</w:t>
      </w:r>
      <w:r w:rsidR="003F266D" w:rsidRPr="00813D19">
        <w:rPr>
          <w:lang w:val="en-US"/>
        </w:rPr>
        <w:t xml:space="preserve"> and other partners </w:t>
      </w:r>
      <w:r w:rsidR="00167419" w:rsidRPr="00813D19">
        <w:rPr>
          <w:lang w:val="en-US"/>
        </w:rPr>
        <w:t xml:space="preserve">were also </w:t>
      </w:r>
      <w:r w:rsidR="003F266D" w:rsidRPr="00813D19">
        <w:rPr>
          <w:lang w:val="en-US"/>
        </w:rPr>
        <w:t xml:space="preserve">playing a supportive role </w:t>
      </w:r>
      <w:r w:rsidR="00167419" w:rsidRPr="00813D19">
        <w:rPr>
          <w:lang w:val="en-US"/>
        </w:rPr>
        <w:t xml:space="preserve">by </w:t>
      </w:r>
      <w:r w:rsidR="003F266D" w:rsidRPr="00813D19">
        <w:rPr>
          <w:lang w:val="en-US"/>
        </w:rPr>
        <w:t xml:space="preserve">providing both financial and in-kind support. </w:t>
      </w:r>
      <w:r w:rsidR="00167419" w:rsidRPr="00813D19">
        <w:rPr>
          <w:lang w:val="en-US"/>
        </w:rPr>
        <w:t xml:space="preserve">It was also noted that </w:t>
      </w:r>
      <w:r w:rsidR="003F266D" w:rsidRPr="00813D19">
        <w:rPr>
          <w:lang w:val="en-US"/>
        </w:rPr>
        <w:t xml:space="preserve">available sources for the implementation of the safeguarding plan </w:t>
      </w:r>
      <w:r w:rsidR="00167419" w:rsidRPr="00813D19">
        <w:rPr>
          <w:lang w:val="en-US"/>
        </w:rPr>
        <w:t xml:space="preserve">came </w:t>
      </w:r>
      <w:r w:rsidR="003F266D" w:rsidRPr="00813D19">
        <w:rPr>
          <w:lang w:val="en-US"/>
        </w:rPr>
        <w:t>from the commitments of the different stakeholders</w:t>
      </w:r>
      <w:r w:rsidR="00167419" w:rsidRPr="00813D19">
        <w:rPr>
          <w:lang w:val="en-US"/>
        </w:rPr>
        <w:t>.</w:t>
      </w:r>
      <w:r w:rsidR="003F266D" w:rsidRPr="00813D19">
        <w:rPr>
          <w:lang w:val="en-US"/>
        </w:rPr>
        <w:t xml:space="preserve"> </w:t>
      </w:r>
      <w:r w:rsidR="00167419" w:rsidRPr="00813D19">
        <w:rPr>
          <w:lang w:val="en-US"/>
        </w:rPr>
        <w:t xml:space="preserve">Thus, </w:t>
      </w:r>
      <w:r w:rsidR="003F266D" w:rsidRPr="00813D19">
        <w:rPr>
          <w:lang w:val="en-US"/>
        </w:rPr>
        <w:t>given this context</w:t>
      </w:r>
      <w:r w:rsidR="00167419" w:rsidRPr="00813D19">
        <w:rPr>
          <w:lang w:val="en-US"/>
        </w:rPr>
        <w:t xml:space="preserve">, the delegation </w:t>
      </w:r>
      <w:r w:rsidR="003F266D" w:rsidRPr="00813D19">
        <w:rPr>
          <w:lang w:val="en-US"/>
        </w:rPr>
        <w:t>request</w:t>
      </w:r>
      <w:r w:rsidR="00167419" w:rsidRPr="00813D19">
        <w:rPr>
          <w:lang w:val="en-US"/>
        </w:rPr>
        <w:t>ed</w:t>
      </w:r>
      <w:r w:rsidR="003F266D" w:rsidRPr="00813D19">
        <w:rPr>
          <w:lang w:val="en-US"/>
        </w:rPr>
        <w:t xml:space="preserve"> </w:t>
      </w:r>
      <w:r w:rsidR="00865717">
        <w:rPr>
          <w:lang w:val="en-US"/>
        </w:rPr>
        <w:t xml:space="preserve">that </w:t>
      </w:r>
      <w:r w:rsidR="003F266D" w:rsidRPr="00813D19">
        <w:rPr>
          <w:lang w:val="en-US"/>
        </w:rPr>
        <w:t xml:space="preserve">the submitting State </w:t>
      </w:r>
      <w:r w:rsidR="00167419" w:rsidRPr="00813D19">
        <w:rPr>
          <w:lang w:val="en-US"/>
        </w:rPr>
        <w:t xml:space="preserve">provide </w:t>
      </w:r>
      <w:r w:rsidR="003F266D" w:rsidRPr="00813D19">
        <w:rPr>
          <w:lang w:val="en-US"/>
        </w:rPr>
        <w:t>so</w:t>
      </w:r>
      <w:r w:rsidR="00E41386">
        <w:rPr>
          <w:lang w:val="en-US"/>
        </w:rPr>
        <w:t>me clarification on this point.</w:t>
      </w:r>
    </w:p>
    <w:p w14:paraId="1BF8BD0E" w14:textId="7C03A565" w:rsidR="0095337A" w:rsidRPr="00813D19" w:rsidRDefault="0095337A" w:rsidP="00992A2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Poland</w:t>
      </w:r>
      <w:r w:rsidR="003F266D" w:rsidRPr="00813D19">
        <w:rPr>
          <w:rFonts w:eastAsia="Calibri"/>
          <w:b/>
          <w:color w:val="000000" w:themeColor="text1"/>
          <w:lang w:val="en-US"/>
        </w:rPr>
        <w:t xml:space="preserve"> </w:t>
      </w:r>
      <w:r w:rsidR="003F266D" w:rsidRPr="00813D19">
        <w:rPr>
          <w:lang w:val="en-US"/>
        </w:rPr>
        <w:t>agree</w:t>
      </w:r>
      <w:r w:rsidR="00167419" w:rsidRPr="00813D19">
        <w:rPr>
          <w:lang w:val="en-US"/>
        </w:rPr>
        <w:t>d</w:t>
      </w:r>
      <w:r w:rsidR="003F266D" w:rsidRPr="00813D19">
        <w:rPr>
          <w:lang w:val="en-US"/>
        </w:rPr>
        <w:t xml:space="preserve"> with the amendments proposed by the Philippines</w:t>
      </w:r>
      <w:r w:rsidR="00167419" w:rsidRPr="00813D19">
        <w:rPr>
          <w:lang w:val="en-US"/>
        </w:rPr>
        <w:t>,</w:t>
      </w:r>
      <w:r w:rsidR="003F266D" w:rsidRPr="00813D19">
        <w:rPr>
          <w:lang w:val="en-US"/>
        </w:rPr>
        <w:t xml:space="preserve"> stressing that the purpose of the </w:t>
      </w:r>
      <w:r w:rsidR="00167419" w:rsidRPr="00813D19">
        <w:rPr>
          <w:lang w:val="en-US"/>
        </w:rPr>
        <w:t xml:space="preserve">Urgent Safeguarding List was </w:t>
      </w:r>
      <w:r w:rsidR="003F266D" w:rsidRPr="00813D19">
        <w:rPr>
          <w:lang w:val="en-US"/>
        </w:rPr>
        <w:t xml:space="preserve">to prevent the element from </w:t>
      </w:r>
      <w:r w:rsidR="00167419" w:rsidRPr="00813D19">
        <w:rPr>
          <w:lang w:val="en-US"/>
        </w:rPr>
        <w:t>imminent</w:t>
      </w:r>
      <w:r w:rsidR="003F266D" w:rsidRPr="00813D19">
        <w:rPr>
          <w:lang w:val="en-US"/>
        </w:rPr>
        <w:t xml:space="preserve"> threats and eventual extinction. As </w:t>
      </w:r>
      <w:r w:rsidR="00167419" w:rsidRPr="00813D19">
        <w:rPr>
          <w:lang w:val="en-US"/>
        </w:rPr>
        <w:t>Cambodia’s</w:t>
      </w:r>
      <w:r w:rsidR="003F266D" w:rsidRPr="00813D19">
        <w:rPr>
          <w:lang w:val="en-US"/>
        </w:rPr>
        <w:t xml:space="preserve"> nomination file pointed out</w:t>
      </w:r>
      <w:r w:rsidR="00167419" w:rsidRPr="00813D19">
        <w:rPr>
          <w:lang w:val="en-US"/>
        </w:rPr>
        <w:t>,</w:t>
      </w:r>
      <w:r w:rsidR="003F266D" w:rsidRPr="00813D19">
        <w:rPr>
          <w:lang w:val="en-US"/>
        </w:rPr>
        <w:t xml:space="preserve"> the element </w:t>
      </w:r>
      <w:r w:rsidR="00167419" w:rsidRPr="00813D19">
        <w:rPr>
          <w:lang w:val="en-US"/>
        </w:rPr>
        <w:t xml:space="preserve">was </w:t>
      </w:r>
      <w:r w:rsidR="003F266D" w:rsidRPr="00813D19">
        <w:rPr>
          <w:lang w:val="en-US"/>
        </w:rPr>
        <w:t xml:space="preserve">threatened </w:t>
      </w:r>
      <w:r w:rsidR="00167419" w:rsidRPr="00813D19">
        <w:rPr>
          <w:lang w:val="en-US"/>
        </w:rPr>
        <w:t xml:space="preserve">due to the consequences of the </w:t>
      </w:r>
      <w:r w:rsidR="003F266D" w:rsidRPr="00813D19">
        <w:rPr>
          <w:lang w:val="en-US"/>
        </w:rPr>
        <w:t xml:space="preserve">aging </w:t>
      </w:r>
      <w:r w:rsidR="00167419" w:rsidRPr="00813D19">
        <w:rPr>
          <w:lang w:val="en-US"/>
        </w:rPr>
        <w:t xml:space="preserve">population of </w:t>
      </w:r>
      <w:r w:rsidR="003F266D" w:rsidRPr="00813D19">
        <w:rPr>
          <w:lang w:val="en-US"/>
        </w:rPr>
        <w:t xml:space="preserve">bearers. </w:t>
      </w:r>
      <w:r w:rsidR="00167419" w:rsidRPr="00813D19">
        <w:rPr>
          <w:lang w:val="en-US"/>
        </w:rPr>
        <w:t xml:space="preserve">Thus, </w:t>
      </w:r>
      <w:r w:rsidR="003F266D" w:rsidRPr="00813D19">
        <w:rPr>
          <w:lang w:val="en-US"/>
        </w:rPr>
        <w:t xml:space="preserve">the element </w:t>
      </w:r>
      <w:r w:rsidR="00167419" w:rsidRPr="00813D19">
        <w:rPr>
          <w:lang w:val="en-US"/>
        </w:rPr>
        <w:t xml:space="preserve">required inscription </w:t>
      </w:r>
      <w:r w:rsidR="003F266D" w:rsidRPr="00813D19">
        <w:rPr>
          <w:lang w:val="en-US"/>
        </w:rPr>
        <w:t>on an urgent basis</w:t>
      </w:r>
      <w:r w:rsidR="00167419" w:rsidRPr="00813D19">
        <w:rPr>
          <w:lang w:val="en-US"/>
        </w:rPr>
        <w:t xml:space="preserve">, as </w:t>
      </w:r>
      <w:r w:rsidR="003F266D" w:rsidRPr="00813D19">
        <w:rPr>
          <w:lang w:val="en-US"/>
        </w:rPr>
        <w:t xml:space="preserve">leaving the element without international assistance </w:t>
      </w:r>
      <w:r w:rsidR="00167419" w:rsidRPr="00813D19">
        <w:rPr>
          <w:lang w:val="en-US"/>
        </w:rPr>
        <w:t xml:space="preserve">would </w:t>
      </w:r>
      <w:r w:rsidR="003F266D" w:rsidRPr="00813D19">
        <w:rPr>
          <w:lang w:val="en-US"/>
        </w:rPr>
        <w:t xml:space="preserve">be against the spirit and objectives of the Convention. </w:t>
      </w:r>
      <w:r w:rsidR="00167419" w:rsidRPr="00813D19">
        <w:rPr>
          <w:lang w:val="en-US"/>
        </w:rPr>
        <w:t xml:space="preserve">The delegation hoped that </w:t>
      </w:r>
      <w:r w:rsidR="003F266D" w:rsidRPr="00813D19">
        <w:rPr>
          <w:lang w:val="en-US"/>
        </w:rPr>
        <w:t xml:space="preserve">the clarification </w:t>
      </w:r>
      <w:r w:rsidR="00167419" w:rsidRPr="00813D19">
        <w:rPr>
          <w:lang w:val="en-US"/>
        </w:rPr>
        <w:t xml:space="preserve">by </w:t>
      </w:r>
      <w:r w:rsidR="003F266D" w:rsidRPr="00813D19">
        <w:rPr>
          <w:lang w:val="en-US"/>
        </w:rPr>
        <w:t xml:space="preserve">the State Party </w:t>
      </w:r>
      <w:r w:rsidR="00167419" w:rsidRPr="00813D19">
        <w:rPr>
          <w:lang w:val="en-US"/>
        </w:rPr>
        <w:t xml:space="preserve">would </w:t>
      </w:r>
      <w:r w:rsidR="003F266D" w:rsidRPr="00813D19">
        <w:rPr>
          <w:lang w:val="en-US"/>
        </w:rPr>
        <w:t>complete the nomination file and enable the Committee to decide in favo</w:t>
      </w:r>
      <w:r w:rsidR="00C64B11">
        <w:rPr>
          <w:lang w:val="en-US"/>
        </w:rPr>
        <w:t>u</w:t>
      </w:r>
      <w:r w:rsidR="003F266D" w:rsidRPr="00813D19">
        <w:rPr>
          <w:lang w:val="en-US"/>
        </w:rPr>
        <w:t xml:space="preserve">r of </w:t>
      </w:r>
      <w:r w:rsidR="00167419" w:rsidRPr="00813D19">
        <w:rPr>
          <w:lang w:val="en-US"/>
        </w:rPr>
        <w:t xml:space="preserve">the </w:t>
      </w:r>
      <w:r w:rsidR="00B71B0F">
        <w:rPr>
          <w:lang w:val="en-US"/>
        </w:rPr>
        <w:t xml:space="preserve">inscription of the </w:t>
      </w:r>
      <w:r w:rsidR="00167419" w:rsidRPr="00813D19">
        <w:rPr>
          <w:lang w:val="en-US"/>
        </w:rPr>
        <w:t>element</w:t>
      </w:r>
      <w:r w:rsidR="00E41386">
        <w:rPr>
          <w:lang w:val="en-US"/>
        </w:rPr>
        <w:t>.</w:t>
      </w:r>
    </w:p>
    <w:p w14:paraId="2A660313" w14:textId="69F27DAF" w:rsidR="00D55830" w:rsidRPr="00813D19" w:rsidRDefault="00003370" w:rsidP="00992A2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Senegal</w:t>
      </w:r>
      <w:r w:rsidR="003F266D" w:rsidRPr="00813D19">
        <w:rPr>
          <w:rFonts w:eastAsia="Calibri"/>
          <w:b/>
          <w:color w:val="000000" w:themeColor="text1"/>
          <w:lang w:val="en-US"/>
        </w:rPr>
        <w:t xml:space="preserve"> </w:t>
      </w:r>
      <w:r w:rsidR="00D55830" w:rsidRPr="00813D19">
        <w:rPr>
          <w:rFonts w:eastAsia="Calibri"/>
          <w:color w:val="000000" w:themeColor="text1"/>
          <w:lang w:val="en-US"/>
        </w:rPr>
        <w:t xml:space="preserve">thanked the Evaluation Body for its extremely important work and congratulated the submitting State on this very important file linked to Buddhism, as reflected in the colourful display demonstrating a wealth of cultural expressions related to agrarian rites, including the cycle of rice cultivation. The only negative point raised by the Evaluation Body concerned the budget, and the delegation asked that the submitting State be given the opportunity to provide the </w:t>
      </w:r>
      <w:r w:rsidR="00813D19" w:rsidRPr="00813D19">
        <w:rPr>
          <w:rFonts w:eastAsia="Calibri"/>
          <w:color w:val="000000" w:themeColor="text1"/>
          <w:lang w:val="en-US"/>
        </w:rPr>
        <w:t>necessary</w:t>
      </w:r>
      <w:r w:rsidR="00D55830" w:rsidRPr="00813D19">
        <w:rPr>
          <w:rFonts w:eastAsia="Calibri"/>
          <w:color w:val="000000" w:themeColor="text1"/>
          <w:lang w:val="en-US"/>
        </w:rPr>
        <w:t xml:space="preserve"> information.</w:t>
      </w:r>
    </w:p>
    <w:p w14:paraId="0C5592FF" w14:textId="32ED2042" w:rsidR="00281318" w:rsidRPr="00813D19" w:rsidRDefault="00281318" w:rsidP="00992A2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Zambia</w:t>
      </w:r>
      <w:r w:rsidR="003F266D" w:rsidRPr="00813D19">
        <w:rPr>
          <w:lang w:val="en-US"/>
        </w:rPr>
        <w:t xml:space="preserve"> </w:t>
      </w:r>
      <w:r w:rsidR="00D55830" w:rsidRPr="00813D19">
        <w:rPr>
          <w:lang w:val="en-US"/>
        </w:rPr>
        <w:t xml:space="preserve">supported </w:t>
      </w:r>
      <w:r w:rsidR="003F266D" w:rsidRPr="00813D19">
        <w:rPr>
          <w:lang w:val="en-US"/>
        </w:rPr>
        <w:t xml:space="preserve">the amendment by the Philippines </w:t>
      </w:r>
      <w:r w:rsidR="00D55830" w:rsidRPr="00813D19">
        <w:rPr>
          <w:lang w:val="en-US"/>
        </w:rPr>
        <w:t>in favo</w:t>
      </w:r>
      <w:r w:rsidR="00C64B11">
        <w:rPr>
          <w:lang w:val="en-US"/>
        </w:rPr>
        <w:t>u</w:t>
      </w:r>
      <w:r w:rsidR="00D55830" w:rsidRPr="00813D19">
        <w:rPr>
          <w:lang w:val="en-US"/>
        </w:rPr>
        <w:t xml:space="preserve">r of </w:t>
      </w:r>
      <w:r w:rsidR="003F266D" w:rsidRPr="00813D19">
        <w:rPr>
          <w:lang w:val="en-US"/>
        </w:rPr>
        <w:t xml:space="preserve">Cambodia’s </w:t>
      </w:r>
      <w:r w:rsidR="00D55830" w:rsidRPr="00813D19">
        <w:rPr>
          <w:lang w:val="en-US"/>
        </w:rPr>
        <w:t xml:space="preserve">inscription </w:t>
      </w:r>
      <w:r w:rsidR="003F266D" w:rsidRPr="00813D19">
        <w:rPr>
          <w:lang w:val="en-US"/>
        </w:rPr>
        <w:t xml:space="preserve">to the Urgent Safeguarding List. As </w:t>
      </w:r>
      <w:r w:rsidR="00D55830" w:rsidRPr="00813D19">
        <w:rPr>
          <w:lang w:val="en-US"/>
        </w:rPr>
        <w:t xml:space="preserve">already </w:t>
      </w:r>
      <w:r w:rsidR="003F266D" w:rsidRPr="00813D19">
        <w:rPr>
          <w:lang w:val="en-US"/>
        </w:rPr>
        <w:t>noted</w:t>
      </w:r>
      <w:r w:rsidR="00D55830" w:rsidRPr="00813D19">
        <w:rPr>
          <w:lang w:val="en-US"/>
        </w:rPr>
        <w:t>,</w:t>
      </w:r>
      <w:r w:rsidR="003F266D" w:rsidRPr="00813D19">
        <w:rPr>
          <w:lang w:val="en-US"/>
        </w:rPr>
        <w:t xml:space="preserve"> there </w:t>
      </w:r>
      <w:r w:rsidR="00D55830" w:rsidRPr="00813D19">
        <w:rPr>
          <w:lang w:val="en-US"/>
        </w:rPr>
        <w:t xml:space="preserve">were </w:t>
      </w:r>
      <w:r w:rsidR="003F266D" w:rsidRPr="00813D19">
        <w:rPr>
          <w:lang w:val="en-US"/>
        </w:rPr>
        <w:t xml:space="preserve">a number of </w:t>
      </w:r>
      <w:r w:rsidR="00D55830" w:rsidRPr="00813D19">
        <w:rPr>
          <w:lang w:val="en-US"/>
        </w:rPr>
        <w:t xml:space="preserve">cited </w:t>
      </w:r>
      <w:r w:rsidR="003F266D" w:rsidRPr="00813D19">
        <w:rPr>
          <w:lang w:val="en-US"/>
        </w:rPr>
        <w:t>threat</w:t>
      </w:r>
      <w:r w:rsidR="00D55830" w:rsidRPr="00813D19">
        <w:rPr>
          <w:lang w:val="en-US"/>
        </w:rPr>
        <w:t>s</w:t>
      </w:r>
      <w:r w:rsidR="003F266D" w:rsidRPr="00813D19">
        <w:rPr>
          <w:lang w:val="en-US"/>
        </w:rPr>
        <w:t xml:space="preserve"> to the element, </w:t>
      </w:r>
      <w:r w:rsidR="00D55830" w:rsidRPr="00813D19">
        <w:rPr>
          <w:lang w:val="en-US"/>
        </w:rPr>
        <w:t xml:space="preserve">such as migration and </w:t>
      </w:r>
      <w:r w:rsidR="003F266D" w:rsidRPr="00813D19">
        <w:rPr>
          <w:lang w:val="en-US"/>
        </w:rPr>
        <w:t>environment</w:t>
      </w:r>
      <w:r w:rsidR="00D55830" w:rsidRPr="00813D19">
        <w:rPr>
          <w:lang w:val="en-US"/>
        </w:rPr>
        <w:t>al</w:t>
      </w:r>
      <w:r w:rsidR="003F266D" w:rsidRPr="00813D19">
        <w:rPr>
          <w:lang w:val="en-US"/>
        </w:rPr>
        <w:t xml:space="preserve"> and economic </w:t>
      </w:r>
      <w:r w:rsidR="00D55830" w:rsidRPr="00813D19">
        <w:rPr>
          <w:lang w:val="en-US"/>
        </w:rPr>
        <w:t>concerns,</w:t>
      </w:r>
      <w:r w:rsidR="003F266D" w:rsidRPr="00813D19">
        <w:rPr>
          <w:lang w:val="en-US"/>
        </w:rPr>
        <w:t xml:space="preserve"> </w:t>
      </w:r>
      <w:r w:rsidR="00D55830" w:rsidRPr="00813D19">
        <w:rPr>
          <w:lang w:val="en-US"/>
        </w:rPr>
        <w:t xml:space="preserve">while in criterion U.3, which also </w:t>
      </w:r>
      <w:r w:rsidR="003F266D" w:rsidRPr="00813D19">
        <w:rPr>
          <w:lang w:val="en-US"/>
        </w:rPr>
        <w:t xml:space="preserve">deals with the community, </w:t>
      </w:r>
      <w:r w:rsidR="00D55830" w:rsidRPr="00813D19">
        <w:rPr>
          <w:lang w:val="en-US"/>
        </w:rPr>
        <w:t xml:space="preserve">the submitting State </w:t>
      </w:r>
      <w:r w:rsidR="003F266D" w:rsidRPr="00813D19">
        <w:rPr>
          <w:lang w:val="en-US"/>
        </w:rPr>
        <w:t xml:space="preserve">mentioned a number of </w:t>
      </w:r>
      <w:r w:rsidR="00D55830" w:rsidRPr="00813D19">
        <w:rPr>
          <w:lang w:val="en-US"/>
        </w:rPr>
        <w:t xml:space="preserve">points that—in the delegation’s opinion—appeared </w:t>
      </w:r>
      <w:r w:rsidR="003F266D" w:rsidRPr="00813D19">
        <w:rPr>
          <w:lang w:val="en-US"/>
        </w:rPr>
        <w:t xml:space="preserve">to satisfy </w:t>
      </w:r>
      <w:r w:rsidR="00D55830" w:rsidRPr="00813D19">
        <w:rPr>
          <w:lang w:val="en-US"/>
        </w:rPr>
        <w:t xml:space="preserve">U.3. It therefore </w:t>
      </w:r>
      <w:r w:rsidR="003F266D" w:rsidRPr="00813D19">
        <w:rPr>
          <w:lang w:val="en-US"/>
        </w:rPr>
        <w:t>support</w:t>
      </w:r>
      <w:r w:rsidR="00D55830" w:rsidRPr="00813D19">
        <w:rPr>
          <w:lang w:val="en-US"/>
        </w:rPr>
        <w:t>ed</w:t>
      </w:r>
      <w:r w:rsidR="003F266D" w:rsidRPr="00813D19">
        <w:rPr>
          <w:lang w:val="en-US"/>
        </w:rPr>
        <w:t xml:space="preserve"> the Philippine</w:t>
      </w:r>
      <w:r w:rsidR="00D55830" w:rsidRPr="00813D19">
        <w:rPr>
          <w:lang w:val="en-US"/>
        </w:rPr>
        <w:t>s’</w:t>
      </w:r>
      <w:r w:rsidR="003F266D" w:rsidRPr="00813D19">
        <w:rPr>
          <w:lang w:val="en-US"/>
        </w:rPr>
        <w:t xml:space="preserve"> amendment </w:t>
      </w:r>
      <w:r w:rsidR="00D55830" w:rsidRPr="00813D19">
        <w:rPr>
          <w:lang w:val="en-US"/>
        </w:rPr>
        <w:t xml:space="preserve">and the inscription of </w:t>
      </w:r>
      <w:r w:rsidR="00E41386">
        <w:rPr>
          <w:lang w:val="en-US"/>
        </w:rPr>
        <w:t>the element.</w:t>
      </w:r>
    </w:p>
    <w:p w14:paraId="3B8ACD09" w14:textId="03B7E082" w:rsidR="00281318" w:rsidRPr="00813D19" w:rsidRDefault="00281318" w:rsidP="00992A2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Kazakhstan</w:t>
      </w:r>
      <w:r w:rsidR="003F266D" w:rsidRPr="00813D19">
        <w:rPr>
          <w:rFonts w:eastAsia="Calibri"/>
          <w:b/>
          <w:color w:val="000000" w:themeColor="text1"/>
          <w:lang w:val="en-US"/>
        </w:rPr>
        <w:t xml:space="preserve"> </w:t>
      </w:r>
      <w:r w:rsidR="003F266D" w:rsidRPr="00813D19">
        <w:rPr>
          <w:lang w:val="en-US"/>
        </w:rPr>
        <w:t>support</w:t>
      </w:r>
      <w:r w:rsidR="00A62876" w:rsidRPr="00813D19">
        <w:rPr>
          <w:lang w:val="en-US"/>
        </w:rPr>
        <w:t>ed the Philippine</w:t>
      </w:r>
      <w:r w:rsidR="003F266D" w:rsidRPr="00813D19">
        <w:rPr>
          <w:lang w:val="en-US"/>
        </w:rPr>
        <w:t>s</w:t>
      </w:r>
      <w:r w:rsidR="00B71B0F">
        <w:rPr>
          <w:lang w:val="en-US"/>
        </w:rPr>
        <w:t>’</w:t>
      </w:r>
      <w:r w:rsidR="003F266D" w:rsidRPr="00813D19">
        <w:rPr>
          <w:lang w:val="en-US"/>
        </w:rPr>
        <w:t xml:space="preserve"> amendment</w:t>
      </w:r>
      <w:r w:rsidR="00A62876" w:rsidRPr="00813D19">
        <w:rPr>
          <w:lang w:val="en-US"/>
        </w:rPr>
        <w:t>, adding that t</w:t>
      </w:r>
      <w:r w:rsidR="003F266D" w:rsidRPr="00813D19">
        <w:rPr>
          <w:lang w:val="en-US"/>
        </w:rPr>
        <w:t xml:space="preserve">he spiritual nature of Lkhon Khol theatrical performance and its geographic concentration into villages near Wat Svay Andet monastery </w:t>
      </w:r>
      <w:r w:rsidR="00A62876" w:rsidRPr="00813D19">
        <w:rPr>
          <w:lang w:val="en-US"/>
        </w:rPr>
        <w:t xml:space="preserve">placed </w:t>
      </w:r>
      <w:r w:rsidR="003F266D" w:rsidRPr="00813D19">
        <w:rPr>
          <w:lang w:val="en-US"/>
        </w:rPr>
        <w:t>the survival of the element in the hands of the community</w:t>
      </w:r>
      <w:r w:rsidR="00A62876" w:rsidRPr="00813D19">
        <w:rPr>
          <w:lang w:val="en-US"/>
        </w:rPr>
        <w:t>,</w:t>
      </w:r>
      <w:r w:rsidR="003F266D" w:rsidRPr="00813D19">
        <w:rPr>
          <w:lang w:val="en-US"/>
        </w:rPr>
        <w:t xml:space="preserve"> and it </w:t>
      </w:r>
      <w:r w:rsidR="00A62876" w:rsidRPr="00813D19">
        <w:rPr>
          <w:lang w:val="en-US"/>
        </w:rPr>
        <w:t xml:space="preserve">was </w:t>
      </w:r>
      <w:r w:rsidR="003F266D" w:rsidRPr="00813D19">
        <w:rPr>
          <w:lang w:val="en-US"/>
        </w:rPr>
        <w:t>the community’s wish</w:t>
      </w:r>
      <w:r w:rsidR="00A62876" w:rsidRPr="00813D19">
        <w:rPr>
          <w:lang w:val="en-US"/>
        </w:rPr>
        <w:t>,</w:t>
      </w:r>
      <w:r w:rsidR="003F266D" w:rsidRPr="00813D19">
        <w:rPr>
          <w:lang w:val="en-US"/>
        </w:rPr>
        <w:t xml:space="preserve"> as </w:t>
      </w:r>
      <w:r w:rsidR="00A62876" w:rsidRPr="00813D19">
        <w:rPr>
          <w:lang w:val="en-US"/>
        </w:rPr>
        <w:t xml:space="preserve">stated in the file, </w:t>
      </w:r>
      <w:r w:rsidR="003F266D" w:rsidRPr="00813D19">
        <w:rPr>
          <w:lang w:val="en-US"/>
        </w:rPr>
        <w:t>to focus on intangible and creativ</w:t>
      </w:r>
      <w:r w:rsidR="00481B19" w:rsidRPr="00813D19">
        <w:rPr>
          <w:lang w:val="en-US"/>
        </w:rPr>
        <w:t>e safeguarding measures like net</w:t>
      </w:r>
      <w:r w:rsidR="003F266D" w:rsidRPr="00813D19">
        <w:rPr>
          <w:lang w:val="en-US"/>
        </w:rPr>
        <w:t xml:space="preserve">working, training and fundraising. </w:t>
      </w:r>
      <w:r w:rsidR="00481B19" w:rsidRPr="00813D19">
        <w:rPr>
          <w:lang w:val="en-US"/>
        </w:rPr>
        <w:t>The b</w:t>
      </w:r>
      <w:r w:rsidR="003F266D" w:rsidRPr="00813D19">
        <w:rPr>
          <w:lang w:val="en-US"/>
        </w:rPr>
        <w:t xml:space="preserve">udget allocated </w:t>
      </w:r>
      <w:r w:rsidR="00481B19" w:rsidRPr="00813D19">
        <w:rPr>
          <w:lang w:val="en-US"/>
        </w:rPr>
        <w:t xml:space="preserve">via the </w:t>
      </w:r>
      <w:r w:rsidR="003F266D" w:rsidRPr="00813D19">
        <w:rPr>
          <w:lang w:val="en-US"/>
        </w:rPr>
        <w:t xml:space="preserve">national Living Human Treasures programme </w:t>
      </w:r>
      <w:r w:rsidR="00481B19" w:rsidRPr="00813D19">
        <w:rPr>
          <w:lang w:val="en-US"/>
        </w:rPr>
        <w:t xml:space="preserve">provided </w:t>
      </w:r>
      <w:r w:rsidR="003F266D" w:rsidRPr="00813D19">
        <w:rPr>
          <w:lang w:val="en-US"/>
        </w:rPr>
        <w:t>regular financial allowances for local monks</w:t>
      </w:r>
      <w:r w:rsidR="00481B19" w:rsidRPr="00813D19">
        <w:rPr>
          <w:lang w:val="en-US"/>
        </w:rPr>
        <w:t>,</w:t>
      </w:r>
      <w:r w:rsidR="003F266D" w:rsidRPr="00813D19">
        <w:rPr>
          <w:lang w:val="en-US"/>
        </w:rPr>
        <w:t xml:space="preserve"> and </w:t>
      </w:r>
      <w:r w:rsidR="00481B19" w:rsidRPr="00813D19">
        <w:rPr>
          <w:lang w:val="en-US"/>
        </w:rPr>
        <w:t xml:space="preserve">the hiring of </w:t>
      </w:r>
      <w:r w:rsidR="003F266D" w:rsidRPr="00813D19">
        <w:rPr>
          <w:lang w:val="en-US"/>
        </w:rPr>
        <w:t>a focal point seem</w:t>
      </w:r>
      <w:r w:rsidR="00481B19" w:rsidRPr="00813D19">
        <w:rPr>
          <w:lang w:val="en-US"/>
        </w:rPr>
        <w:t>ed</w:t>
      </w:r>
      <w:r w:rsidR="003F266D" w:rsidRPr="00813D19">
        <w:rPr>
          <w:lang w:val="en-US"/>
        </w:rPr>
        <w:t xml:space="preserve"> to satisfy the community’s requirement for municipal support. In this regard</w:t>
      </w:r>
      <w:r w:rsidR="00613C68" w:rsidRPr="00813D19">
        <w:rPr>
          <w:lang w:val="en-US"/>
        </w:rPr>
        <w:t>,</w:t>
      </w:r>
      <w:r w:rsidR="003F266D" w:rsidRPr="00813D19">
        <w:rPr>
          <w:lang w:val="en-US"/>
        </w:rPr>
        <w:t xml:space="preserve"> </w:t>
      </w:r>
      <w:r w:rsidR="00613C68" w:rsidRPr="00813D19">
        <w:rPr>
          <w:lang w:val="en-US"/>
        </w:rPr>
        <w:t>it found Cambodia’s</w:t>
      </w:r>
      <w:r w:rsidR="003F266D" w:rsidRPr="00813D19">
        <w:rPr>
          <w:lang w:val="en-US"/>
        </w:rPr>
        <w:t xml:space="preserve"> nomin</w:t>
      </w:r>
      <w:r w:rsidR="004B1E1B" w:rsidRPr="00813D19">
        <w:rPr>
          <w:lang w:val="en-US"/>
        </w:rPr>
        <w:t>ation distinct</w:t>
      </w:r>
      <w:r w:rsidR="00613C68" w:rsidRPr="00813D19">
        <w:rPr>
          <w:lang w:val="en-US"/>
        </w:rPr>
        <w:t xml:space="preserve">ly interesting, </w:t>
      </w:r>
      <w:r w:rsidR="003F266D" w:rsidRPr="00813D19">
        <w:rPr>
          <w:lang w:val="en-US"/>
        </w:rPr>
        <w:t xml:space="preserve">setting a good </w:t>
      </w:r>
      <w:r w:rsidR="00613C68" w:rsidRPr="00813D19">
        <w:rPr>
          <w:lang w:val="en-US"/>
        </w:rPr>
        <w:t xml:space="preserve">example of community spirit in </w:t>
      </w:r>
      <w:r w:rsidR="003F266D" w:rsidRPr="00813D19">
        <w:rPr>
          <w:lang w:val="en-US"/>
        </w:rPr>
        <w:t xml:space="preserve">the role of </w:t>
      </w:r>
      <w:r w:rsidR="00613C68" w:rsidRPr="00813D19">
        <w:rPr>
          <w:lang w:val="en-US"/>
        </w:rPr>
        <w:t xml:space="preserve">the </w:t>
      </w:r>
      <w:r w:rsidR="003F266D" w:rsidRPr="00813D19">
        <w:rPr>
          <w:lang w:val="en-US"/>
        </w:rPr>
        <w:t>elderly populati</w:t>
      </w:r>
      <w:r w:rsidR="00E41386">
        <w:rPr>
          <w:lang w:val="en-US"/>
        </w:rPr>
        <w:t>on in safeguarding the element.</w:t>
      </w:r>
    </w:p>
    <w:p w14:paraId="0EA6F9ED" w14:textId="3DE67CA2" w:rsidR="00281318" w:rsidRPr="00813D19" w:rsidRDefault="00BF6BA6" w:rsidP="00992A2A">
      <w:pPr>
        <w:pStyle w:val="Orateurengris"/>
        <w:spacing w:before="120"/>
        <w:ind w:left="709" w:hanging="709"/>
        <w:rPr>
          <w:lang w:val="en-US"/>
        </w:rPr>
      </w:pPr>
      <w:r w:rsidRPr="00813D19">
        <w:rPr>
          <w:lang w:val="en-US"/>
        </w:rPr>
        <w:t xml:space="preserve">The </w:t>
      </w:r>
      <w:r w:rsidRPr="00813D19">
        <w:rPr>
          <w:b/>
          <w:lang w:val="en-US"/>
        </w:rPr>
        <w:t>delegation of Azerbaijan</w:t>
      </w:r>
      <w:r w:rsidR="003F266D" w:rsidRPr="00813D19">
        <w:rPr>
          <w:b/>
          <w:lang w:val="en-US"/>
        </w:rPr>
        <w:t xml:space="preserve"> </w:t>
      </w:r>
      <w:r w:rsidR="003F266D" w:rsidRPr="00813D19">
        <w:rPr>
          <w:lang w:val="en-US"/>
        </w:rPr>
        <w:t>commend</w:t>
      </w:r>
      <w:r w:rsidR="00481B19" w:rsidRPr="00813D19">
        <w:rPr>
          <w:lang w:val="en-US"/>
        </w:rPr>
        <w:t>ed Cambodia</w:t>
      </w:r>
      <w:r w:rsidR="003F266D" w:rsidRPr="00813D19">
        <w:rPr>
          <w:lang w:val="en-US"/>
        </w:rPr>
        <w:t xml:space="preserve"> for the nomination </w:t>
      </w:r>
      <w:r w:rsidR="00481B19" w:rsidRPr="00813D19">
        <w:rPr>
          <w:lang w:val="en-US"/>
        </w:rPr>
        <w:t xml:space="preserve">of </w:t>
      </w:r>
      <w:r w:rsidR="003F266D" w:rsidRPr="00813D19">
        <w:rPr>
          <w:lang w:val="en-US"/>
        </w:rPr>
        <w:t>this vibrant and di</w:t>
      </w:r>
      <w:r w:rsidR="00613C68" w:rsidRPr="00813D19">
        <w:rPr>
          <w:lang w:val="en-US"/>
        </w:rPr>
        <w:t xml:space="preserve">verse element whose practice was </w:t>
      </w:r>
      <w:r w:rsidR="003F266D" w:rsidRPr="00813D19">
        <w:rPr>
          <w:lang w:val="en-US"/>
        </w:rPr>
        <w:t xml:space="preserve">continued and maintained primarily by rural practitioners </w:t>
      </w:r>
      <w:r w:rsidR="00613C68" w:rsidRPr="00813D19">
        <w:rPr>
          <w:lang w:val="en-US"/>
        </w:rPr>
        <w:t>for the value and well-</w:t>
      </w:r>
      <w:r w:rsidR="003F266D" w:rsidRPr="00813D19">
        <w:rPr>
          <w:lang w:val="en-US"/>
        </w:rPr>
        <w:t xml:space="preserve">being this element </w:t>
      </w:r>
      <w:r w:rsidR="005C7011" w:rsidRPr="00813D19">
        <w:rPr>
          <w:lang w:val="en-US"/>
        </w:rPr>
        <w:t>brought</w:t>
      </w:r>
      <w:r w:rsidR="003F266D" w:rsidRPr="00813D19">
        <w:rPr>
          <w:lang w:val="en-US"/>
        </w:rPr>
        <w:t xml:space="preserve"> to the community. </w:t>
      </w:r>
      <w:r w:rsidR="00613C68" w:rsidRPr="00813D19">
        <w:rPr>
          <w:lang w:val="en-US"/>
        </w:rPr>
        <w:t xml:space="preserve">With regard to </w:t>
      </w:r>
      <w:r w:rsidR="003F266D" w:rsidRPr="00813D19">
        <w:rPr>
          <w:lang w:val="en-US"/>
        </w:rPr>
        <w:t>criterion U.3</w:t>
      </w:r>
      <w:r w:rsidR="00613C68" w:rsidRPr="00813D19">
        <w:rPr>
          <w:lang w:val="en-US"/>
        </w:rPr>
        <w:t xml:space="preserve">, it </w:t>
      </w:r>
      <w:r w:rsidR="003F266D" w:rsidRPr="00813D19">
        <w:rPr>
          <w:lang w:val="en-US"/>
        </w:rPr>
        <w:t>note</w:t>
      </w:r>
      <w:r w:rsidR="00613C68" w:rsidRPr="00813D19">
        <w:rPr>
          <w:lang w:val="en-US"/>
        </w:rPr>
        <w:t>d</w:t>
      </w:r>
      <w:r w:rsidR="003F266D" w:rsidRPr="00813D19">
        <w:rPr>
          <w:lang w:val="en-US"/>
        </w:rPr>
        <w:t xml:space="preserve"> with great appreciation the description of the past and current safeguarding measures</w:t>
      </w:r>
      <w:r w:rsidR="00E62E4B" w:rsidRPr="00813D19">
        <w:rPr>
          <w:lang w:val="en-US"/>
        </w:rPr>
        <w:t xml:space="preserve"> under </w:t>
      </w:r>
      <w:r w:rsidR="00B71B0F">
        <w:rPr>
          <w:lang w:val="en-US"/>
        </w:rPr>
        <w:t>S</w:t>
      </w:r>
      <w:r w:rsidR="00E62E4B" w:rsidRPr="00813D19">
        <w:rPr>
          <w:lang w:val="en-US"/>
        </w:rPr>
        <w:t>ection</w:t>
      </w:r>
      <w:r w:rsidR="00613C68" w:rsidRPr="00813D19">
        <w:rPr>
          <w:lang w:val="en-US"/>
        </w:rPr>
        <w:t xml:space="preserve"> 3.a, which showed</w:t>
      </w:r>
      <w:r w:rsidR="00E62E4B" w:rsidRPr="00813D19">
        <w:rPr>
          <w:lang w:val="en-US"/>
        </w:rPr>
        <w:t xml:space="preserve"> a balanced approach from both</w:t>
      </w:r>
      <w:r w:rsidR="003F266D" w:rsidRPr="00813D19">
        <w:rPr>
          <w:lang w:val="en-US"/>
        </w:rPr>
        <w:t xml:space="preserve"> the consenting community and the national authorities toward</w:t>
      </w:r>
      <w:r w:rsidR="00613C68" w:rsidRPr="00813D19">
        <w:rPr>
          <w:lang w:val="en-US"/>
        </w:rPr>
        <w:t>s</w:t>
      </w:r>
      <w:r w:rsidR="003F266D" w:rsidRPr="00813D19">
        <w:rPr>
          <w:lang w:val="en-US"/>
        </w:rPr>
        <w:t xml:space="preserve"> safeguarding this element</w:t>
      </w:r>
      <w:r w:rsidR="00E62E4B" w:rsidRPr="00813D19">
        <w:rPr>
          <w:lang w:val="en-US"/>
        </w:rPr>
        <w:t>, which</w:t>
      </w:r>
      <w:r w:rsidR="003F266D" w:rsidRPr="00813D19">
        <w:rPr>
          <w:lang w:val="en-US"/>
        </w:rPr>
        <w:t xml:space="preserve"> </w:t>
      </w:r>
      <w:r w:rsidR="00613C68" w:rsidRPr="00813D19">
        <w:rPr>
          <w:lang w:val="en-US"/>
        </w:rPr>
        <w:t xml:space="preserve">was </w:t>
      </w:r>
      <w:r w:rsidR="003F266D" w:rsidRPr="00813D19">
        <w:rPr>
          <w:lang w:val="en-US"/>
        </w:rPr>
        <w:t xml:space="preserve">threatened by a number of external and internal factors. With regard to the second part of this criterion </w:t>
      </w:r>
      <w:r w:rsidR="00613C68" w:rsidRPr="00813D19">
        <w:rPr>
          <w:lang w:val="en-US"/>
        </w:rPr>
        <w:t xml:space="preserve">in </w:t>
      </w:r>
      <w:r w:rsidR="00B71B0F">
        <w:rPr>
          <w:lang w:val="en-US"/>
        </w:rPr>
        <w:t>S</w:t>
      </w:r>
      <w:r w:rsidR="003F266D" w:rsidRPr="00813D19">
        <w:rPr>
          <w:lang w:val="en-US"/>
        </w:rPr>
        <w:t>ection 3.b. and the missing b</w:t>
      </w:r>
      <w:r w:rsidR="00613C68" w:rsidRPr="00813D19">
        <w:rPr>
          <w:lang w:val="en-US"/>
        </w:rPr>
        <w:t xml:space="preserve">udget for the safeguarding plan, </w:t>
      </w:r>
      <w:r w:rsidR="003F266D" w:rsidRPr="00813D19">
        <w:rPr>
          <w:lang w:val="en-US"/>
        </w:rPr>
        <w:t xml:space="preserve">as raised by the Evaluation Body, </w:t>
      </w:r>
      <w:r w:rsidR="00613C68" w:rsidRPr="00813D19">
        <w:rPr>
          <w:lang w:val="en-US"/>
        </w:rPr>
        <w:t xml:space="preserve">it was </w:t>
      </w:r>
      <w:r w:rsidR="003F266D" w:rsidRPr="00813D19">
        <w:rPr>
          <w:lang w:val="en-US"/>
        </w:rPr>
        <w:t>note</w:t>
      </w:r>
      <w:r w:rsidR="00613C68" w:rsidRPr="00813D19">
        <w:rPr>
          <w:lang w:val="en-US"/>
        </w:rPr>
        <w:t>d</w:t>
      </w:r>
      <w:r w:rsidR="003F266D" w:rsidRPr="00813D19">
        <w:rPr>
          <w:lang w:val="en-US"/>
        </w:rPr>
        <w:t xml:space="preserve"> that the nomination </w:t>
      </w:r>
      <w:r w:rsidR="00D32B4D" w:rsidRPr="00813D19">
        <w:rPr>
          <w:lang w:val="en-US"/>
        </w:rPr>
        <w:t xml:space="preserve">did mention financial and structural  support provided by </w:t>
      </w:r>
      <w:r w:rsidR="003F266D" w:rsidRPr="00813D19">
        <w:rPr>
          <w:lang w:val="en-US"/>
        </w:rPr>
        <w:t xml:space="preserve">the Ministry of Culture of Cambodia, </w:t>
      </w:r>
      <w:r w:rsidR="00D32B4D" w:rsidRPr="00813D19">
        <w:rPr>
          <w:lang w:val="en-US"/>
        </w:rPr>
        <w:t xml:space="preserve">the </w:t>
      </w:r>
      <w:r w:rsidR="003F266D" w:rsidRPr="00813D19">
        <w:rPr>
          <w:lang w:val="en-US"/>
        </w:rPr>
        <w:t xml:space="preserve">Ministry of Culture and Fine Arts and other partners to strengthen the efforts of the community. Finally, </w:t>
      </w:r>
      <w:r w:rsidR="00D32B4D" w:rsidRPr="00813D19">
        <w:rPr>
          <w:lang w:val="en-US"/>
        </w:rPr>
        <w:t xml:space="preserve">the delegation also noted </w:t>
      </w:r>
      <w:r w:rsidR="003F266D" w:rsidRPr="00813D19">
        <w:rPr>
          <w:lang w:val="en-US"/>
        </w:rPr>
        <w:t>in the nomination form under this section the possibility of in-ki</w:t>
      </w:r>
      <w:r w:rsidR="00D32B4D" w:rsidRPr="00813D19">
        <w:rPr>
          <w:lang w:val="en-US"/>
        </w:rPr>
        <w:t>nd community inputs, which seemed</w:t>
      </w:r>
      <w:r w:rsidR="003F266D" w:rsidRPr="00813D19">
        <w:rPr>
          <w:lang w:val="en-US"/>
        </w:rPr>
        <w:t xml:space="preserve"> to be the cas</w:t>
      </w:r>
      <w:r w:rsidR="00D32B4D" w:rsidRPr="00813D19">
        <w:rPr>
          <w:lang w:val="en-US"/>
        </w:rPr>
        <w:t xml:space="preserve">e in this particular nomination, </w:t>
      </w:r>
      <w:r w:rsidR="003F266D" w:rsidRPr="00813D19">
        <w:rPr>
          <w:lang w:val="en-US"/>
        </w:rPr>
        <w:t xml:space="preserve">as safeguarding of this element very much </w:t>
      </w:r>
      <w:r w:rsidR="00D32B4D" w:rsidRPr="00813D19">
        <w:rPr>
          <w:lang w:val="en-US"/>
        </w:rPr>
        <w:t xml:space="preserve">relied </w:t>
      </w:r>
      <w:r w:rsidR="003F266D" w:rsidRPr="00813D19">
        <w:rPr>
          <w:lang w:val="en-US"/>
        </w:rPr>
        <w:t xml:space="preserve">on the communities themselves. </w:t>
      </w:r>
      <w:r w:rsidR="00D32B4D" w:rsidRPr="00813D19">
        <w:rPr>
          <w:lang w:val="en-US"/>
        </w:rPr>
        <w:t>With this in mind</w:t>
      </w:r>
      <w:r w:rsidR="003F266D" w:rsidRPr="00813D19">
        <w:rPr>
          <w:lang w:val="en-US"/>
        </w:rPr>
        <w:t xml:space="preserve">, Azerbaijan </w:t>
      </w:r>
      <w:r w:rsidR="00D32B4D" w:rsidRPr="00813D19">
        <w:rPr>
          <w:lang w:val="en-US"/>
        </w:rPr>
        <w:t xml:space="preserve">believed that </w:t>
      </w:r>
      <w:r w:rsidR="003F266D" w:rsidRPr="00813D19">
        <w:rPr>
          <w:lang w:val="en-US"/>
        </w:rPr>
        <w:t xml:space="preserve">this criterion </w:t>
      </w:r>
      <w:r w:rsidR="00D32B4D" w:rsidRPr="00813D19">
        <w:rPr>
          <w:lang w:val="en-US"/>
        </w:rPr>
        <w:t xml:space="preserve">was </w:t>
      </w:r>
      <w:r w:rsidR="003F266D" w:rsidRPr="00813D19">
        <w:rPr>
          <w:lang w:val="en-US"/>
        </w:rPr>
        <w:t>met</w:t>
      </w:r>
      <w:r w:rsidR="00D32B4D" w:rsidRPr="00813D19">
        <w:rPr>
          <w:lang w:val="en-US"/>
        </w:rPr>
        <w:t>,</w:t>
      </w:r>
      <w:r w:rsidR="003F266D" w:rsidRPr="00813D19">
        <w:rPr>
          <w:lang w:val="en-US"/>
        </w:rPr>
        <w:t xml:space="preserve"> eve</w:t>
      </w:r>
      <w:r w:rsidR="00D32B4D" w:rsidRPr="00813D19">
        <w:rPr>
          <w:lang w:val="en-US"/>
        </w:rPr>
        <w:t xml:space="preserve">n if a clear budget estimate had not been provided, as there were </w:t>
      </w:r>
      <w:r w:rsidR="003F266D" w:rsidRPr="00813D19">
        <w:rPr>
          <w:lang w:val="en-US"/>
        </w:rPr>
        <w:t xml:space="preserve">numerous instances </w:t>
      </w:r>
      <w:r w:rsidR="00D32B4D" w:rsidRPr="00813D19">
        <w:rPr>
          <w:lang w:val="en-US"/>
        </w:rPr>
        <w:t xml:space="preserve">of a </w:t>
      </w:r>
      <w:r w:rsidR="003F266D" w:rsidRPr="00813D19">
        <w:rPr>
          <w:lang w:val="en-US"/>
        </w:rPr>
        <w:t xml:space="preserve">clear commitment </w:t>
      </w:r>
      <w:r w:rsidR="00D32B4D" w:rsidRPr="00813D19">
        <w:rPr>
          <w:lang w:val="en-US"/>
        </w:rPr>
        <w:t xml:space="preserve">by </w:t>
      </w:r>
      <w:r w:rsidR="003F266D" w:rsidRPr="00813D19">
        <w:rPr>
          <w:lang w:val="en-US"/>
        </w:rPr>
        <w:t xml:space="preserve">the State </w:t>
      </w:r>
      <w:r w:rsidR="00D32B4D" w:rsidRPr="00813D19">
        <w:rPr>
          <w:lang w:val="en-US"/>
        </w:rPr>
        <w:t>to provide,</w:t>
      </w:r>
      <w:r w:rsidR="003F266D" w:rsidRPr="00813D19">
        <w:rPr>
          <w:lang w:val="en-US"/>
        </w:rPr>
        <w:t xml:space="preserve"> secure or use existing mechanisms to provide financial resources</w:t>
      </w:r>
      <w:r w:rsidR="00E41386">
        <w:rPr>
          <w:lang w:val="en-US"/>
        </w:rPr>
        <w:t>.</w:t>
      </w:r>
    </w:p>
    <w:p w14:paraId="26203A30" w14:textId="43AD7F8A" w:rsidR="000E1855" w:rsidRPr="00813D19" w:rsidRDefault="000E1855" w:rsidP="00992A2A">
      <w:pPr>
        <w:pStyle w:val="Orateurengris"/>
        <w:spacing w:before="120"/>
        <w:ind w:left="709" w:hanging="709"/>
        <w:rPr>
          <w:lang w:val="en-US"/>
        </w:rPr>
      </w:pPr>
      <w:r w:rsidRPr="00813D19">
        <w:rPr>
          <w:lang w:val="en-US"/>
        </w:rPr>
        <w:t xml:space="preserve">The </w:t>
      </w:r>
      <w:r w:rsidRPr="00813D19">
        <w:rPr>
          <w:b/>
          <w:lang w:val="en-US"/>
        </w:rPr>
        <w:t>delegation of Kuwait</w:t>
      </w:r>
      <w:r w:rsidR="003F266D" w:rsidRPr="00813D19">
        <w:rPr>
          <w:b/>
          <w:lang w:val="en-US"/>
        </w:rPr>
        <w:t xml:space="preserve"> </w:t>
      </w:r>
      <w:r w:rsidR="003F266D" w:rsidRPr="00813D19">
        <w:rPr>
          <w:lang w:val="en-US"/>
        </w:rPr>
        <w:t>thank</w:t>
      </w:r>
      <w:r w:rsidR="00D32B4D" w:rsidRPr="00813D19">
        <w:rPr>
          <w:lang w:val="en-US"/>
        </w:rPr>
        <w:t>ed</w:t>
      </w:r>
      <w:r w:rsidR="003F266D" w:rsidRPr="00813D19">
        <w:rPr>
          <w:lang w:val="en-US"/>
        </w:rPr>
        <w:t xml:space="preserve"> the Evaluation Body for </w:t>
      </w:r>
      <w:r w:rsidR="00D32B4D" w:rsidRPr="00813D19">
        <w:rPr>
          <w:lang w:val="en-US"/>
        </w:rPr>
        <w:t xml:space="preserve">its </w:t>
      </w:r>
      <w:r w:rsidR="003F266D" w:rsidRPr="00813D19">
        <w:rPr>
          <w:lang w:val="en-US"/>
        </w:rPr>
        <w:t xml:space="preserve">great </w:t>
      </w:r>
      <w:r w:rsidR="00E62E4B" w:rsidRPr="00813D19">
        <w:rPr>
          <w:lang w:val="en-US"/>
        </w:rPr>
        <w:t>work on this file</w:t>
      </w:r>
      <w:r w:rsidR="00D32B4D" w:rsidRPr="00813D19">
        <w:rPr>
          <w:lang w:val="en-US"/>
        </w:rPr>
        <w:t xml:space="preserve">, and </w:t>
      </w:r>
      <w:r w:rsidR="003F266D" w:rsidRPr="00813D19">
        <w:rPr>
          <w:lang w:val="en-US"/>
        </w:rPr>
        <w:t>congratulate</w:t>
      </w:r>
      <w:r w:rsidR="00D32B4D" w:rsidRPr="00813D19">
        <w:rPr>
          <w:lang w:val="en-US"/>
        </w:rPr>
        <w:t>d</w:t>
      </w:r>
      <w:r w:rsidR="003F266D" w:rsidRPr="00813D19">
        <w:rPr>
          <w:lang w:val="en-US"/>
        </w:rPr>
        <w:t xml:space="preserve"> the State Party for </w:t>
      </w:r>
      <w:r w:rsidR="00D32B4D" w:rsidRPr="00813D19">
        <w:rPr>
          <w:lang w:val="en-US"/>
        </w:rPr>
        <w:t xml:space="preserve">the excellent </w:t>
      </w:r>
      <w:r w:rsidR="003F266D" w:rsidRPr="00813D19">
        <w:rPr>
          <w:lang w:val="en-US"/>
        </w:rPr>
        <w:t xml:space="preserve">file </w:t>
      </w:r>
      <w:r w:rsidR="00D32B4D" w:rsidRPr="00813D19">
        <w:rPr>
          <w:lang w:val="en-US"/>
        </w:rPr>
        <w:t xml:space="preserve">that </w:t>
      </w:r>
      <w:r w:rsidR="003F266D" w:rsidRPr="00813D19">
        <w:rPr>
          <w:lang w:val="en-US"/>
        </w:rPr>
        <w:t xml:space="preserve">clearly </w:t>
      </w:r>
      <w:r w:rsidR="00D32B4D" w:rsidRPr="00813D19">
        <w:rPr>
          <w:lang w:val="en-US"/>
        </w:rPr>
        <w:t>showed</w:t>
      </w:r>
      <w:r w:rsidR="003F266D" w:rsidRPr="00813D19">
        <w:rPr>
          <w:lang w:val="en-US"/>
        </w:rPr>
        <w:t xml:space="preserve"> the involvement </w:t>
      </w:r>
      <w:r w:rsidR="00D32B4D" w:rsidRPr="00813D19">
        <w:rPr>
          <w:lang w:val="en-US"/>
        </w:rPr>
        <w:t xml:space="preserve">of </w:t>
      </w:r>
      <w:r w:rsidR="003F266D" w:rsidRPr="00813D19">
        <w:rPr>
          <w:lang w:val="en-US"/>
        </w:rPr>
        <w:t xml:space="preserve">the community in both the administration of this file and also </w:t>
      </w:r>
      <w:r w:rsidR="00D32B4D" w:rsidRPr="00813D19">
        <w:rPr>
          <w:lang w:val="en-US"/>
        </w:rPr>
        <w:t xml:space="preserve">through the </w:t>
      </w:r>
      <w:r w:rsidR="003F266D" w:rsidRPr="00813D19">
        <w:rPr>
          <w:lang w:val="en-US"/>
        </w:rPr>
        <w:t xml:space="preserve">financial </w:t>
      </w:r>
      <w:r w:rsidR="00D32B4D" w:rsidRPr="00813D19">
        <w:rPr>
          <w:lang w:val="en-US"/>
        </w:rPr>
        <w:t xml:space="preserve">aspect over </w:t>
      </w:r>
      <w:r w:rsidR="003F266D" w:rsidRPr="00813D19">
        <w:rPr>
          <w:lang w:val="en-US"/>
        </w:rPr>
        <w:t xml:space="preserve">the coming years. </w:t>
      </w:r>
      <w:r w:rsidR="00D32B4D" w:rsidRPr="00813D19">
        <w:rPr>
          <w:lang w:val="en-US"/>
        </w:rPr>
        <w:t xml:space="preserve">The delegation understood that the </w:t>
      </w:r>
      <w:r w:rsidR="003F266D" w:rsidRPr="00813D19">
        <w:rPr>
          <w:lang w:val="en-US"/>
        </w:rPr>
        <w:t>d</w:t>
      </w:r>
      <w:r w:rsidR="00D32B4D" w:rsidRPr="00813D19">
        <w:rPr>
          <w:lang w:val="en-US"/>
        </w:rPr>
        <w:t>etailed b</w:t>
      </w:r>
      <w:r w:rsidR="00E62E4B" w:rsidRPr="00813D19">
        <w:rPr>
          <w:lang w:val="en-US"/>
        </w:rPr>
        <w:t xml:space="preserve">udget in </w:t>
      </w:r>
      <w:r w:rsidR="00B71B0F">
        <w:rPr>
          <w:lang w:val="en-US"/>
        </w:rPr>
        <w:t>S</w:t>
      </w:r>
      <w:r w:rsidR="00B71B0F" w:rsidRPr="00813D19">
        <w:rPr>
          <w:lang w:val="en-US"/>
        </w:rPr>
        <w:t xml:space="preserve">ection </w:t>
      </w:r>
      <w:r w:rsidR="00E62E4B" w:rsidRPr="00813D19">
        <w:rPr>
          <w:lang w:val="en-US"/>
        </w:rPr>
        <w:t>3.b was missing</w:t>
      </w:r>
      <w:r w:rsidR="00D32B4D" w:rsidRPr="00813D19">
        <w:rPr>
          <w:lang w:val="en-US"/>
        </w:rPr>
        <w:t xml:space="preserve"> and it awaited the </w:t>
      </w:r>
      <w:r w:rsidR="003F266D" w:rsidRPr="00813D19">
        <w:rPr>
          <w:lang w:val="en-US"/>
        </w:rPr>
        <w:t>State Party</w:t>
      </w:r>
      <w:r w:rsidR="00D32B4D" w:rsidRPr="00813D19">
        <w:rPr>
          <w:lang w:val="en-US"/>
        </w:rPr>
        <w:t xml:space="preserve">’s clarification on this minor point. Nevertheless, it was </w:t>
      </w:r>
      <w:r w:rsidR="003F266D" w:rsidRPr="00813D19">
        <w:rPr>
          <w:lang w:val="en-US"/>
        </w:rPr>
        <w:t>in favo</w:t>
      </w:r>
      <w:r w:rsidR="00C64B11">
        <w:rPr>
          <w:lang w:val="en-US"/>
        </w:rPr>
        <w:t>u</w:t>
      </w:r>
      <w:r w:rsidR="003F266D" w:rsidRPr="00813D19">
        <w:rPr>
          <w:lang w:val="en-US"/>
        </w:rPr>
        <w:t xml:space="preserve">r </w:t>
      </w:r>
      <w:r w:rsidR="00D32B4D" w:rsidRPr="00813D19">
        <w:rPr>
          <w:lang w:val="en-US"/>
        </w:rPr>
        <w:t xml:space="preserve">of </w:t>
      </w:r>
      <w:r w:rsidR="003F266D" w:rsidRPr="00813D19">
        <w:rPr>
          <w:lang w:val="en-US"/>
        </w:rPr>
        <w:t xml:space="preserve">inscribing this file and </w:t>
      </w:r>
      <w:r w:rsidR="00D32B4D" w:rsidRPr="00813D19">
        <w:rPr>
          <w:lang w:val="en-US"/>
        </w:rPr>
        <w:t xml:space="preserve">it </w:t>
      </w:r>
      <w:r w:rsidR="003F266D" w:rsidRPr="00813D19">
        <w:rPr>
          <w:lang w:val="en-US"/>
        </w:rPr>
        <w:t>thank</w:t>
      </w:r>
      <w:r w:rsidR="00D32B4D" w:rsidRPr="00813D19">
        <w:rPr>
          <w:lang w:val="en-US"/>
        </w:rPr>
        <w:t>ed</w:t>
      </w:r>
      <w:r w:rsidR="003F266D" w:rsidRPr="00813D19">
        <w:rPr>
          <w:lang w:val="en-US"/>
        </w:rPr>
        <w:t xml:space="preserve"> the Philippi</w:t>
      </w:r>
      <w:r w:rsidR="00E41386">
        <w:rPr>
          <w:lang w:val="en-US"/>
        </w:rPr>
        <w:t>nes for opening the discussion.</w:t>
      </w:r>
    </w:p>
    <w:p w14:paraId="12A42997" w14:textId="179B8D98" w:rsidR="00937570" w:rsidRPr="00813D19" w:rsidRDefault="00937570" w:rsidP="00992A2A">
      <w:pPr>
        <w:pStyle w:val="Orateurengris"/>
        <w:spacing w:before="120"/>
        <w:ind w:left="709" w:hanging="709"/>
        <w:rPr>
          <w:lang w:val="en-US"/>
        </w:rPr>
      </w:pPr>
      <w:r w:rsidRPr="00813D19">
        <w:rPr>
          <w:lang w:val="en-US"/>
        </w:rPr>
        <w:t xml:space="preserve">The </w:t>
      </w:r>
      <w:r w:rsidRPr="00813D19">
        <w:rPr>
          <w:b/>
          <w:lang w:val="en-US"/>
        </w:rPr>
        <w:t>delegation of Lebanon</w:t>
      </w:r>
      <w:r w:rsidR="003F266D" w:rsidRPr="00813D19">
        <w:rPr>
          <w:b/>
          <w:lang w:val="en-US"/>
        </w:rPr>
        <w:t xml:space="preserve"> </w:t>
      </w:r>
      <w:r w:rsidR="003F266D" w:rsidRPr="00813D19">
        <w:rPr>
          <w:bCs/>
          <w:lang w:val="en-US"/>
        </w:rPr>
        <w:t>express</w:t>
      </w:r>
      <w:r w:rsidR="00D32B4D" w:rsidRPr="00813D19">
        <w:rPr>
          <w:bCs/>
          <w:lang w:val="en-US"/>
        </w:rPr>
        <w:t>ed</w:t>
      </w:r>
      <w:r w:rsidR="003F266D" w:rsidRPr="00813D19">
        <w:rPr>
          <w:bCs/>
          <w:lang w:val="en-US"/>
        </w:rPr>
        <w:t xml:space="preserve"> support </w:t>
      </w:r>
      <w:r w:rsidR="00D32B4D" w:rsidRPr="00813D19">
        <w:rPr>
          <w:bCs/>
          <w:lang w:val="en-US"/>
        </w:rPr>
        <w:t xml:space="preserve">for </w:t>
      </w:r>
      <w:r w:rsidR="003F266D" w:rsidRPr="00813D19">
        <w:rPr>
          <w:bCs/>
          <w:lang w:val="en-US"/>
        </w:rPr>
        <w:t>the amendments proposed by the Philippines and thank</w:t>
      </w:r>
      <w:r w:rsidR="00D32B4D" w:rsidRPr="00813D19">
        <w:rPr>
          <w:bCs/>
          <w:lang w:val="en-US"/>
        </w:rPr>
        <w:t>ed the Evaluation Body.</w:t>
      </w:r>
    </w:p>
    <w:p w14:paraId="1471C397" w14:textId="57705BE7" w:rsidR="00937570" w:rsidRPr="00813D19" w:rsidRDefault="00937570" w:rsidP="00992A2A">
      <w:pPr>
        <w:pStyle w:val="Orateurengris"/>
        <w:spacing w:before="120"/>
        <w:ind w:left="709" w:hanging="709"/>
        <w:rPr>
          <w:lang w:val="en-US"/>
        </w:rPr>
      </w:pPr>
      <w:r w:rsidRPr="00813D19">
        <w:rPr>
          <w:lang w:val="en-US"/>
        </w:rPr>
        <w:t xml:space="preserve">The </w:t>
      </w:r>
      <w:r w:rsidRPr="00813D19">
        <w:rPr>
          <w:b/>
          <w:lang w:val="en-US"/>
        </w:rPr>
        <w:t>delegation of Japan</w:t>
      </w:r>
      <w:r w:rsidR="003F266D" w:rsidRPr="00813D19">
        <w:rPr>
          <w:b/>
          <w:lang w:val="en-US"/>
        </w:rPr>
        <w:t xml:space="preserve"> </w:t>
      </w:r>
      <w:r w:rsidR="003F266D" w:rsidRPr="00813D19">
        <w:rPr>
          <w:lang w:val="en-US"/>
        </w:rPr>
        <w:t>appreciate</w:t>
      </w:r>
      <w:r w:rsidR="00D32B4D" w:rsidRPr="00813D19">
        <w:rPr>
          <w:lang w:val="en-US"/>
        </w:rPr>
        <w:t>d</w:t>
      </w:r>
      <w:r w:rsidR="003F266D" w:rsidRPr="00813D19">
        <w:rPr>
          <w:lang w:val="en-US"/>
        </w:rPr>
        <w:t xml:space="preserve"> the</w:t>
      </w:r>
      <w:r w:rsidR="00D32B4D" w:rsidRPr="00813D19">
        <w:rPr>
          <w:lang w:val="en-US"/>
        </w:rPr>
        <w:t xml:space="preserve"> efforts by the Evaluation Body and </w:t>
      </w:r>
      <w:r w:rsidR="00B71B0F">
        <w:rPr>
          <w:lang w:val="en-US"/>
        </w:rPr>
        <w:t>greatly appreciated and</w:t>
      </w:r>
      <w:r w:rsidR="00B71B0F" w:rsidRPr="00813D19">
        <w:rPr>
          <w:lang w:val="en-US"/>
        </w:rPr>
        <w:t xml:space="preserve"> </w:t>
      </w:r>
      <w:r w:rsidR="003F266D" w:rsidRPr="00813D19">
        <w:rPr>
          <w:lang w:val="en-US"/>
        </w:rPr>
        <w:t>recognize</w:t>
      </w:r>
      <w:r w:rsidR="00D32B4D" w:rsidRPr="00813D19">
        <w:rPr>
          <w:lang w:val="en-US"/>
        </w:rPr>
        <w:t>d</w:t>
      </w:r>
      <w:r w:rsidR="003F266D" w:rsidRPr="00813D19">
        <w:rPr>
          <w:lang w:val="en-US"/>
        </w:rPr>
        <w:t xml:space="preserve"> the value of the Buddhist culture</w:t>
      </w:r>
      <w:r w:rsidR="00D32B4D" w:rsidRPr="00813D19">
        <w:rPr>
          <w:lang w:val="en-US"/>
        </w:rPr>
        <w:t>,</w:t>
      </w:r>
      <w:r w:rsidR="003F266D" w:rsidRPr="00813D19">
        <w:rPr>
          <w:lang w:val="en-US"/>
        </w:rPr>
        <w:t xml:space="preserve"> </w:t>
      </w:r>
      <w:r w:rsidR="00D32B4D" w:rsidRPr="00813D19">
        <w:rPr>
          <w:lang w:val="en-US"/>
        </w:rPr>
        <w:t xml:space="preserve">with </w:t>
      </w:r>
      <w:r w:rsidR="003F266D" w:rsidRPr="00813D19">
        <w:rPr>
          <w:lang w:val="en-US"/>
        </w:rPr>
        <w:t xml:space="preserve">which </w:t>
      </w:r>
      <w:r w:rsidR="00D32B4D" w:rsidRPr="00813D19">
        <w:rPr>
          <w:lang w:val="en-US"/>
        </w:rPr>
        <w:t xml:space="preserve">it had a </w:t>
      </w:r>
      <w:r w:rsidR="003F266D" w:rsidRPr="00813D19">
        <w:rPr>
          <w:lang w:val="en-US"/>
        </w:rPr>
        <w:t xml:space="preserve">very strong </w:t>
      </w:r>
      <w:r w:rsidR="00D32B4D" w:rsidRPr="00813D19">
        <w:rPr>
          <w:lang w:val="en-US"/>
        </w:rPr>
        <w:t>affinity</w:t>
      </w:r>
      <w:r w:rsidR="003F266D" w:rsidRPr="00813D19">
        <w:rPr>
          <w:lang w:val="en-US"/>
        </w:rPr>
        <w:t xml:space="preserve">. </w:t>
      </w:r>
      <w:r w:rsidR="00D32B4D" w:rsidRPr="00813D19">
        <w:rPr>
          <w:lang w:val="en-US"/>
        </w:rPr>
        <w:t>T</w:t>
      </w:r>
      <w:r w:rsidR="003F266D" w:rsidRPr="00813D19">
        <w:rPr>
          <w:lang w:val="en-US"/>
        </w:rPr>
        <w:t xml:space="preserve">he file </w:t>
      </w:r>
      <w:r w:rsidR="00D32B4D" w:rsidRPr="00813D19">
        <w:rPr>
          <w:lang w:val="en-US"/>
        </w:rPr>
        <w:t xml:space="preserve">was </w:t>
      </w:r>
      <w:r w:rsidR="003F266D" w:rsidRPr="00813D19">
        <w:rPr>
          <w:lang w:val="en-US"/>
        </w:rPr>
        <w:t>very well</w:t>
      </w:r>
      <w:r w:rsidR="00B71B0F">
        <w:rPr>
          <w:lang w:val="en-US"/>
        </w:rPr>
        <w:t>-</w:t>
      </w:r>
      <w:r w:rsidR="003F266D" w:rsidRPr="00813D19">
        <w:rPr>
          <w:lang w:val="en-US"/>
        </w:rPr>
        <w:t>prepared in general</w:t>
      </w:r>
      <w:r w:rsidR="00D32B4D" w:rsidRPr="00813D19">
        <w:rPr>
          <w:lang w:val="en-US"/>
        </w:rPr>
        <w:t>,</w:t>
      </w:r>
      <w:r w:rsidR="003F266D" w:rsidRPr="00813D19">
        <w:rPr>
          <w:lang w:val="en-US"/>
        </w:rPr>
        <w:t xml:space="preserve"> except for the </w:t>
      </w:r>
      <w:r w:rsidR="00D32B4D" w:rsidRPr="00813D19">
        <w:rPr>
          <w:lang w:val="en-US"/>
        </w:rPr>
        <w:t>budget section</w:t>
      </w:r>
      <w:r w:rsidR="003F266D" w:rsidRPr="00813D19">
        <w:rPr>
          <w:lang w:val="en-US"/>
        </w:rPr>
        <w:t xml:space="preserve">. </w:t>
      </w:r>
      <w:r w:rsidR="00D32B4D" w:rsidRPr="00813D19">
        <w:rPr>
          <w:lang w:val="en-US"/>
        </w:rPr>
        <w:t xml:space="preserve">Thus, should the </w:t>
      </w:r>
      <w:r w:rsidR="00813D19" w:rsidRPr="00813D19">
        <w:rPr>
          <w:lang w:val="en-US"/>
        </w:rPr>
        <w:t>submitting</w:t>
      </w:r>
      <w:r w:rsidR="00D32B4D" w:rsidRPr="00813D19">
        <w:rPr>
          <w:lang w:val="en-US"/>
        </w:rPr>
        <w:t xml:space="preserve"> State </w:t>
      </w:r>
      <w:r w:rsidR="003F266D" w:rsidRPr="00813D19">
        <w:rPr>
          <w:lang w:val="en-US"/>
        </w:rPr>
        <w:t xml:space="preserve">provide good information </w:t>
      </w:r>
      <w:r w:rsidR="00C33CB7" w:rsidRPr="00813D19">
        <w:rPr>
          <w:lang w:val="en-US"/>
        </w:rPr>
        <w:t xml:space="preserve">on </w:t>
      </w:r>
      <w:r w:rsidR="003F266D" w:rsidRPr="00813D19">
        <w:rPr>
          <w:lang w:val="en-US"/>
        </w:rPr>
        <w:t>the budget</w:t>
      </w:r>
      <w:r w:rsidR="00C33CB7" w:rsidRPr="00813D19">
        <w:rPr>
          <w:lang w:val="en-US"/>
        </w:rPr>
        <w:t xml:space="preserve">, </w:t>
      </w:r>
      <w:r w:rsidR="003F266D" w:rsidRPr="00813D19">
        <w:rPr>
          <w:lang w:val="en-US"/>
        </w:rPr>
        <w:t xml:space="preserve">there </w:t>
      </w:r>
      <w:r w:rsidR="00C33CB7" w:rsidRPr="00813D19">
        <w:rPr>
          <w:lang w:val="en-US"/>
        </w:rPr>
        <w:t xml:space="preserve">was </w:t>
      </w:r>
      <w:r w:rsidR="003F266D" w:rsidRPr="00813D19">
        <w:rPr>
          <w:lang w:val="en-US"/>
        </w:rPr>
        <w:t xml:space="preserve">no reason not </w:t>
      </w:r>
      <w:r w:rsidR="00C33CB7" w:rsidRPr="00813D19">
        <w:rPr>
          <w:lang w:val="en-US"/>
        </w:rPr>
        <w:t xml:space="preserve">to </w:t>
      </w:r>
      <w:r w:rsidR="003F266D" w:rsidRPr="00813D19">
        <w:rPr>
          <w:lang w:val="en-US"/>
        </w:rPr>
        <w:t xml:space="preserve">inscribe this </w:t>
      </w:r>
      <w:r w:rsidR="00C33CB7" w:rsidRPr="00813D19">
        <w:rPr>
          <w:lang w:val="en-US"/>
        </w:rPr>
        <w:t>element. I</w:t>
      </w:r>
      <w:r w:rsidR="003F266D" w:rsidRPr="00813D19">
        <w:rPr>
          <w:lang w:val="en-US"/>
        </w:rPr>
        <w:t xml:space="preserve">n that </w:t>
      </w:r>
      <w:r w:rsidR="00C33CB7" w:rsidRPr="00813D19">
        <w:rPr>
          <w:lang w:val="en-US"/>
        </w:rPr>
        <w:t xml:space="preserve">sense, the delegation </w:t>
      </w:r>
      <w:r w:rsidR="003F266D" w:rsidRPr="00813D19">
        <w:rPr>
          <w:lang w:val="en-US"/>
        </w:rPr>
        <w:t>support</w:t>
      </w:r>
      <w:r w:rsidR="00C33CB7" w:rsidRPr="00813D19">
        <w:rPr>
          <w:lang w:val="en-US"/>
        </w:rPr>
        <w:t>ed</w:t>
      </w:r>
      <w:r w:rsidR="003F266D" w:rsidRPr="00813D19">
        <w:rPr>
          <w:lang w:val="en-US"/>
        </w:rPr>
        <w:t xml:space="preserve"> </w:t>
      </w:r>
      <w:r w:rsidR="00C33CB7" w:rsidRPr="00813D19">
        <w:rPr>
          <w:lang w:val="en-US"/>
        </w:rPr>
        <w:t>the Philippines</w:t>
      </w:r>
      <w:r w:rsidR="00B71B0F">
        <w:rPr>
          <w:lang w:val="en-US"/>
        </w:rPr>
        <w:t>’</w:t>
      </w:r>
      <w:r w:rsidR="00C33CB7" w:rsidRPr="00813D19">
        <w:rPr>
          <w:lang w:val="en-US"/>
        </w:rPr>
        <w:t xml:space="preserve"> </w:t>
      </w:r>
      <w:r w:rsidR="00E41386">
        <w:rPr>
          <w:lang w:val="en-US"/>
        </w:rPr>
        <w:t>amendment.</w:t>
      </w:r>
    </w:p>
    <w:p w14:paraId="402732FD" w14:textId="02ABB298" w:rsidR="007961FF" w:rsidRPr="00813D19" w:rsidRDefault="007961FF" w:rsidP="00992A2A">
      <w:pPr>
        <w:pStyle w:val="Orateurengris"/>
        <w:spacing w:before="120"/>
        <w:ind w:left="709" w:hanging="709"/>
        <w:rPr>
          <w:lang w:val="en-US"/>
        </w:rPr>
      </w:pPr>
      <w:r w:rsidRPr="00813D19">
        <w:rPr>
          <w:lang w:val="en-US"/>
        </w:rPr>
        <w:t xml:space="preserve">The </w:t>
      </w:r>
      <w:r w:rsidRPr="00813D19">
        <w:rPr>
          <w:b/>
          <w:lang w:val="en-US"/>
        </w:rPr>
        <w:t>delegation of Armenia</w:t>
      </w:r>
      <w:r w:rsidRPr="00813D19">
        <w:rPr>
          <w:lang w:val="en-US"/>
        </w:rPr>
        <w:t xml:space="preserve"> </w:t>
      </w:r>
      <w:r w:rsidR="00C33CB7" w:rsidRPr="00813D19">
        <w:rPr>
          <w:lang w:val="en-US"/>
        </w:rPr>
        <w:t>commended</w:t>
      </w:r>
      <w:r w:rsidR="003F266D" w:rsidRPr="00813D19">
        <w:rPr>
          <w:lang w:val="en-US"/>
        </w:rPr>
        <w:t xml:space="preserve"> Cambodia for the nomination and ask</w:t>
      </w:r>
      <w:r w:rsidR="00C33CB7" w:rsidRPr="00813D19">
        <w:rPr>
          <w:lang w:val="en-US"/>
        </w:rPr>
        <w:t>ed</w:t>
      </w:r>
      <w:r w:rsidR="003F266D" w:rsidRPr="00813D19">
        <w:rPr>
          <w:lang w:val="en-US"/>
        </w:rPr>
        <w:t xml:space="preserve"> </w:t>
      </w:r>
      <w:r w:rsidR="00C33CB7" w:rsidRPr="00813D19">
        <w:rPr>
          <w:lang w:val="en-US"/>
        </w:rPr>
        <w:t xml:space="preserve">that the </w:t>
      </w:r>
      <w:r w:rsidR="003F266D" w:rsidRPr="00813D19">
        <w:rPr>
          <w:lang w:val="en-US"/>
        </w:rPr>
        <w:t xml:space="preserve">State duly provide clarification </w:t>
      </w:r>
      <w:r w:rsidR="00C33CB7" w:rsidRPr="00813D19">
        <w:rPr>
          <w:lang w:val="en-US"/>
        </w:rPr>
        <w:t xml:space="preserve">so as </w:t>
      </w:r>
      <w:r w:rsidR="003F266D" w:rsidRPr="00813D19">
        <w:rPr>
          <w:lang w:val="en-US"/>
        </w:rPr>
        <w:t xml:space="preserve">to </w:t>
      </w:r>
      <w:r w:rsidR="00C33CB7" w:rsidRPr="00813D19">
        <w:rPr>
          <w:lang w:val="en-US"/>
        </w:rPr>
        <w:t xml:space="preserve">further consider </w:t>
      </w:r>
      <w:r w:rsidR="003F266D" w:rsidRPr="00813D19">
        <w:rPr>
          <w:lang w:val="en-US"/>
        </w:rPr>
        <w:t xml:space="preserve">the element for </w:t>
      </w:r>
      <w:r w:rsidR="00E41386">
        <w:rPr>
          <w:lang w:val="en-US"/>
        </w:rPr>
        <w:t>inscription.</w:t>
      </w:r>
    </w:p>
    <w:p w14:paraId="24B1C06E" w14:textId="0C828197" w:rsidR="007F47D9" w:rsidRPr="00813D19" w:rsidRDefault="007F47D9" w:rsidP="00992A2A">
      <w:pPr>
        <w:pStyle w:val="Orateurengris"/>
        <w:spacing w:before="120"/>
        <w:ind w:left="709" w:hanging="709"/>
        <w:rPr>
          <w:lang w:val="en-US"/>
        </w:rPr>
      </w:pPr>
      <w:r w:rsidRPr="00813D19">
        <w:rPr>
          <w:lang w:val="en-US"/>
        </w:rPr>
        <w:t xml:space="preserve">The </w:t>
      </w:r>
      <w:r w:rsidRPr="00813D19">
        <w:rPr>
          <w:b/>
          <w:lang w:val="en-US"/>
        </w:rPr>
        <w:t>delegation of Colombia</w:t>
      </w:r>
      <w:r w:rsidR="003F266D" w:rsidRPr="00813D19">
        <w:rPr>
          <w:b/>
          <w:lang w:val="en-US"/>
        </w:rPr>
        <w:t xml:space="preserve"> </w:t>
      </w:r>
      <w:r w:rsidR="003F266D" w:rsidRPr="00813D19">
        <w:rPr>
          <w:bCs/>
          <w:lang w:val="en-US"/>
        </w:rPr>
        <w:t>thank</w:t>
      </w:r>
      <w:r w:rsidR="00C33CB7" w:rsidRPr="00813D19">
        <w:rPr>
          <w:bCs/>
          <w:lang w:val="en-US"/>
        </w:rPr>
        <w:t>ed</w:t>
      </w:r>
      <w:r w:rsidR="003F266D" w:rsidRPr="00813D19">
        <w:rPr>
          <w:bCs/>
          <w:lang w:val="en-US"/>
        </w:rPr>
        <w:t xml:space="preserve"> Cambodia for its file and particularly the fact that </w:t>
      </w:r>
      <w:r w:rsidR="00C33CB7" w:rsidRPr="00813D19">
        <w:rPr>
          <w:bCs/>
          <w:lang w:val="en-US"/>
        </w:rPr>
        <w:t xml:space="preserve">it </w:t>
      </w:r>
      <w:r w:rsidR="00E62E4B" w:rsidRPr="00813D19">
        <w:rPr>
          <w:bCs/>
          <w:lang w:val="en-US"/>
        </w:rPr>
        <w:t xml:space="preserve">had </w:t>
      </w:r>
      <w:r w:rsidR="003F266D" w:rsidRPr="00813D19">
        <w:rPr>
          <w:bCs/>
          <w:lang w:val="en-US"/>
        </w:rPr>
        <w:t>work</w:t>
      </w:r>
      <w:r w:rsidR="00C33CB7" w:rsidRPr="00813D19">
        <w:rPr>
          <w:bCs/>
          <w:lang w:val="en-US"/>
        </w:rPr>
        <w:t>ed hand-in-</w:t>
      </w:r>
      <w:r w:rsidR="003F266D" w:rsidRPr="00813D19">
        <w:rPr>
          <w:bCs/>
          <w:lang w:val="en-US"/>
        </w:rPr>
        <w:t>hand with the communities</w:t>
      </w:r>
      <w:r w:rsidR="00C33CB7" w:rsidRPr="00813D19">
        <w:rPr>
          <w:bCs/>
          <w:lang w:val="en-US"/>
        </w:rPr>
        <w:t>,</w:t>
      </w:r>
      <w:r w:rsidR="003F266D" w:rsidRPr="00813D19">
        <w:rPr>
          <w:bCs/>
          <w:lang w:val="en-US"/>
        </w:rPr>
        <w:t xml:space="preserve"> </w:t>
      </w:r>
      <w:r w:rsidR="00C33CB7" w:rsidRPr="00813D19">
        <w:rPr>
          <w:bCs/>
          <w:lang w:val="en-US"/>
        </w:rPr>
        <w:t xml:space="preserve">making this </w:t>
      </w:r>
      <w:r w:rsidR="003F266D" w:rsidRPr="00813D19">
        <w:rPr>
          <w:bCs/>
          <w:lang w:val="en-US"/>
        </w:rPr>
        <w:t>a very technically qualified file</w:t>
      </w:r>
      <w:r w:rsidR="00C33CB7" w:rsidRPr="00813D19">
        <w:rPr>
          <w:bCs/>
          <w:lang w:val="en-US"/>
        </w:rPr>
        <w:t xml:space="preserve">. The delegation therefore </w:t>
      </w:r>
      <w:r w:rsidR="003F266D" w:rsidRPr="00813D19">
        <w:rPr>
          <w:bCs/>
          <w:lang w:val="en-US"/>
        </w:rPr>
        <w:t>support</w:t>
      </w:r>
      <w:r w:rsidR="00C33CB7" w:rsidRPr="00813D19">
        <w:rPr>
          <w:bCs/>
          <w:lang w:val="en-US"/>
        </w:rPr>
        <w:t>ed the Philippine</w:t>
      </w:r>
      <w:r w:rsidR="003F266D" w:rsidRPr="00813D19">
        <w:rPr>
          <w:bCs/>
          <w:lang w:val="en-US"/>
        </w:rPr>
        <w:t>s</w:t>
      </w:r>
      <w:r w:rsidR="00B71B0F">
        <w:rPr>
          <w:bCs/>
          <w:lang w:val="en-US"/>
        </w:rPr>
        <w:t>’</w:t>
      </w:r>
      <w:r w:rsidR="003F266D" w:rsidRPr="00813D19">
        <w:rPr>
          <w:bCs/>
          <w:lang w:val="en-US"/>
        </w:rPr>
        <w:t xml:space="preserve"> amendment</w:t>
      </w:r>
      <w:r w:rsidR="00C33CB7" w:rsidRPr="00813D19">
        <w:rPr>
          <w:bCs/>
          <w:lang w:val="en-US"/>
        </w:rPr>
        <w:t>,</w:t>
      </w:r>
      <w:r w:rsidR="003F266D" w:rsidRPr="00813D19">
        <w:rPr>
          <w:bCs/>
          <w:lang w:val="en-US"/>
        </w:rPr>
        <w:t xml:space="preserve"> ask</w:t>
      </w:r>
      <w:r w:rsidR="00C33CB7" w:rsidRPr="00813D19">
        <w:rPr>
          <w:bCs/>
          <w:lang w:val="en-US"/>
        </w:rPr>
        <w:t>ing</w:t>
      </w:r>
      <w:r w:rsidR="003F266D" w:rsidRPr="00813D19">
        <w:rPr>
          <w:bCs/>
          <w:lang w:val="en-US"/>
        </w:rPr>
        <w:t xml:space="preserve"> Cambodia </w:t>
      </w:r>
      <w:r w:rsidR="00C33CB7" w:rsidRPr="00813D19">
        <w:rPr>
          <w:bCs/>
          <w:lang w:val="en-US"/>
        </w:rPr>
        <w:t xml:space="preserve">to provide </w:t>
      </w:r>
      <w:r w:rsidR="003F266D" w:rsidRPr="00813D19">
        <w:rPr>
          <w:bCs/>
          <w:lang w:val="en-US"/>
        </w:rPr>
        <w:t xml:space="preserve">more clarity </w:t>
      </w:r>
      <w:r w:rsidR="00C33CB7" w:rsidRPr="00813D19">
        <w:rPr>
          <w:bCs/>
          <w:lang w:val="en-US"/>
        </w:rPr>
        <w:t>on</w:t>
      </w:r>
      <w:r w:rsidR="00E41386">
        <w:rPr>
          <w:bCs/>
          <w:lang w:val="en-US"/>
        </w:rPr>
        <w:t xml:space="preserve"> the budget.</w:t>
      </w:r>
    </w:p>
    <w:p w14:paraId="5407299B" w14:textId="45DFE30E" w:rsidR="007F47D9" w:rsidRPr="00813D19" w:rsidRDefault="003F266D" w:rsidP="00992A2A">
      <w:pPr>
        <w:pStyle w:val="Orateurengris"/>
        <w:spacing w:before="120"/>
        <w:ind w:left="709" w:hanging="709"/>
        <w:rPr>
          <w:lang w:val="en-US"/>
        </w:rPr>
      </w:pPr>
      <w:r w:rsidRPr="00813D19">
        <w:rPr>
          <w:lang w:val="en-US"/>
        </w:rPr>
        <w:t xml:space="preserve">The </w:t>
      </w:r>
      <w:r w:rsidRPr="00813D19">
        <w:rPr>
          <w:b/>
          <w:lang w:val="en-US"/>
        </w:rPr>
        <w:t>delegation of Cuba</w:t>
      </w:r>
      <w:r w:rsidR="00F508B9" w:rsidRPr="00813D19">
        <w:rPr>
          <w:b/>
          <w:lang w:val="en-US"/>
        </w:rPr>
        <w:t xml:space="preserve"> </w:t>
      </w:r>
      <w:r w:rsidR="00F508B9" w:rsidRPr="00813D19">
        <w:rPr>
          <w:bCs/>
          <w:lang w:val="en-US"/>
        </w:rPr>
        <w:t>join</w:t>
      </w:r>
      <w:r w:rsidR="00C33CB7" w:rsidRPr="00813D19">
        <w:rPr>
          <w:bCs/>
          <w:lang w:val="en-US"/>
        </w:rPr>
        <w:t>ed</w:t>
      </w:r>
      <w:r w:rsidR="00F508B9" w:rsidRPr="00813D19">
        <w:rPr>
          <w:bCs/>
          <w:lang w:val="en-US"/>
        </w:rPr>
        <w:t xml:space="preserve"> the previous delegations in thanking the Philippines for the amendments</w:t>
      </w:r>
      <w:r w:rsidR="00C33CB7" w:rsidRPr="00813D19">
        <w:rPr>
          <w:bCs/>
          <w:lang w:val="en-US"/>
        </w:rPr>
        <w:t xml:space="preserve">, which it </w:t>
      </w:r>
      <w:r w:rsidR="00F508B9" w:rsidRPr="00813D19">
        <w:rPr>
          <w:bCs/>
          <w:lang w:val="en-US"/>
        </w:rPr>
        <w:t>support</w:t>
      </w:r>
      <w:r w:rsidR="00C33CB7" w:rsidRPr="00813D19">
        <w:rPr>
          <w:bCs/>
          <w:lang w:val="en-US"/>
        </w:rPr>
        <w:t>ed</w:t>
      </w:r>
      <w:r w:rsidR="00E41386">
        <w:rPr>
          <w:bCs/>
          <w:lang w:val="en-US"/>
        </w:rPr>
        <w:t>.</w:t>
      </w:r>
    </w:p>
    <w:p w14:paraId="39023578" w14:textId="5455CF66" w:rsidR="003F266D" w:rsidRPr="00813D19" w:rsidRDefault="00F508B9" w:rsidP="00992A2A">
      <w:pPr>
        <w:pStyle w:val="Orateurengris"/>
        <w:spacing w:before="120"/>
        <w:ind w:left="709" w:hanging="709"/>
        <w:rPr>
          <w:lang w:val="en-US"/>
        </w:rPr>
      </w:pPr>
      <w:r w:rsidRPr="00813D19">
        <w:rPr>
          <w:lang w:val="en-US"/>
        </w:rPr>
        <w:t xml:space="preserve">The </w:t>
      </w:r>
      <w:r w:rsidRPr="00813D19">
        <w:rPr>
          <w:b/>
          <w:lang w:val="en-US"/>
        </w:rPr>
        <w:t>delegation of Guatemala</w:t>
      </w:r>
      <w:r w:rsidR="00C33CB7" w:rsidRPr="00813D19">
        <w:rPr>
          <w:lang w:val="en-US"/>
        </w:rPr>
        <w:t xml:space="preserve"> </w:t>
      </w:r>
      <w:r w:rsidR="0077567E" w:rsidRPr="00813D19">
        <w:rPr>
          <w:lang w:val="en-US"/>
        </w:rPr>
        <w:t xml:space="preserve">remarked that </w:t>
      </w:r>
      <w:r w:rsidR="0077567E" w:rsidRPr="00813D19">
        <w:rPr>
          <w:bCs/>
          <w:lang w:val="en-US"/>
        </w:rPr>
        <w:t xml:space="preserve">Cambodia had presented a good file, </w:t>
      </w:r>
      <w:r w:rsidR="00E62E4B" w:rsidRPr="00813D19">
        <w:rPr>
          <w:bCs/>
          <w:lang w:val="en-US"/>
        </w:rPr>
        <w:t xml:space="preserve">adding that the </w:t>
      </w:r>
      <w:r w:rsidR="0077567E" w:rsidRPr="00813D19">
        <w:rPr>
          <w:bCs/>
          <w:lang w:val="en-US"/>
        </w:rPr>
        <w:t xml:space="preserve">missing </w:t>
      </w:r>
      <w:r w:rsidR="00E62E4B" w:rsidRPr="00813D19">
        <w:rPr>
          <w:bCs/>
          <w:lang w:val="en-US"/>
        </w:rPr>
        <w:t xml:space="preserve">part was </w:t>
      </w:r>
      <w:r w:rsidRPr="00813D19">
        <w:rPr>
          <w:bCs/>
          <w:lang w:val="en-US"/>
        </w:rPr>
        <w:t xml:space="preserve">not </w:t>
      </w:r>
      <w:r w:rsidR="0077567E" w:rsidRPr="00813D19">
        <w:rPr>
          <w:bCs/>
          <w:lang w:val="en-US"/>
        </w:rPr>
        <w:t xml:space="preserve">of a </w:t>
      </w:r>
      <w:r w:rsidRPr="00813D19">
        <w:rPr>
          <w:bCs/>
          <w:lang w:val="en-US"/>
        </w:rPr>
        <w:t xml:space="preserve">substantive </w:t>
      </w:r>
      <w:r w:rsidR="0077567E" w:rsidRPr="00813D19">
        <w:rPr>
          <w:bCs/>
          <w:lang w:val="en-US"/>
        </w:rPr>
        <w:t xml:space="preserve">nature and </w:t>
      </w:r>
      <w:r w:rsidR="00B71B0F">
        <w:rPr>
          <w:bCs/>
          <w:lang w:val="en-US"/>
        </w:rPr>
        <w:t xml:space="preserve">it </w:t>
      </w:r>
      <w:r w:rsidR="00E62E4B" w:rsidRPr="00813D19">
        <w:rPr>
          <w:bCs/>
          <w:lang w:val="en-US"/>
        </w:rPr>
        <w:t>therefore</w:t>
      </w:r>
      <w:r w:rsidR="0077567E" w:rsidRPr="00813D19">
        <w:rPr>
          <w:bCs/>
          <w:lang w:val="en-US"/>
        </w:rPr>
        <w:t xml:space="preserve"> </w:t>
      </w:r>
      <w:r w:rsidRPr="00813D19">
        <w:rPr>
          <w:bCs/>
          <w:lang w:val="en-US"/>
        </w:rPr>
        <w:t>support</w:t>
      </w:r>
      <w:r w:rsidR="0077567E" w:rsidRPr="00813D19">
        <w:rPr>
          <w:bCs/>
          <w:lang w:val="en-US"/>
        </w:rPr>
        <w:t>ed</w:t>
      </w:r>
      <w:r w:rsidRPr="00813D19">
        <w:rPr>
          <w:bCs/>
          <w:lang w:val="en-US"/>
        </w:rPr>
        <w:t xml:space="preserve"> the amendment </w:t>
      </w:r>
      <w:r w:rsidR="0077567E" w:rsidRPr="00813D19">
        <w:rPr>
          <w:bCs/>
          <w:lang w:val="en-US"/>
        </w:rPr>
        <w:t xml:space="preserve">by the Philippines and the inscription </w:t>
      </w:r>
      <w:r w:rsidR="00B71B0F">
        <w:rPr>
          <w:bCs/>
          <w:lang w:val="en-US"/>
        </w:rPr>
        <w:t xml:space="preserve">of the element </w:t>
      </w:r>
      <w:r w:rsidRPr="00813D19">
        <w:rPr>
          <w:bCs/>
          <w:lang w:val="en-US"/>
        </w:rPr>
        <w:t>on the Urgent Safeguarding L</w:t>
      </w:r>
      <w:r w:rsidR="00E41386">
        <w:rPr>
          <w:bCs/>
          <w:lang w:val="en-US"/>
        </w:rPr>
        <w:t>ist.</w:t>
      </w:r>
    </w:p>
    <w:p w14:paraId="739E9A05" w14:textId="60045D7F" w:rsidR="0077567E" w:rsidRPr="00813D19" w:rsidRDefault="00F508B9" w:rsidP="00F508B9">
      <w:pPr>
        <w:pStyle w:val="Orateurengris"/>
        <w:spacing w:before="120"/>
        <w:ind w:left="709" w:hanging="709"/>
        <w:rPr>
          <w:lang w:val="en-US"/>
        </w:rPr>
      </w:pPr>
      <w:r w:rsidRPr="00813D19">
        <w:rPr>
          <w:lang w:val="en-US"/>
        </w:rPr>
        <w:t xml:space="preserve">The </w:t>
      </w:r>
      <w:r w:rsidRPr="00813D19">
        <w:rPr>
          <w:b/>
          <w:lang w:val="en-US"/>
        </w:rPr>
        <w:t xml:space="preserve">delegation of Cyprus </w:t>
      </w:r>
      <w:r w:rsidR="0077567E" w:rsidRPr="00813D19">
        <w:rPr>
          <w:lang w:val="en-US"/>
        </w:rPr>
        <w:t>was in favo</w:t>
      </w:r>
      <w:r w:rsidR="00C64B11">
        <w:rPr>
          <w:lang w:val="en-US"/>
        </w:rPr>
        <w:t>u</w:t>
      </w:r>
      <w:r w:rsidR="0077567E" w:rsidRPr="00813D19">
        <w:rPr>
          <w:lang w:val="en-US"/>
        </w:rPr>
        <w:t xml:space="preserve">r of giving the floor to </w:t>
      </w:r>
      <w:r w:rsidR="00D03662" w:rsidRPr="00813D19">
        <w:rPr>
          <w:lang w:val="en-US"/>
        </w:rPr>
        <w:t xml:space="preserve">Cambodia, and proposed that instead of giving the </w:t>
      </w:r>
      <w:r w:rsidR="0077567E" w:rsidRPr="00813D19">
        <w:rPr>
          <w:lang w:val="en-US"/>
        </w:rPr>
        <w:t xml:space="preserve">floor to all </w:t>
      </w:r>
      <w:r w:rsidR="00D03662" w:rsidRPr="00813D19">
        <w:rPr>
          <w:lang w:val="en-US"/>
        </w:rPr>
        <w:t>the Members they</w:t>
      </w:r>
      <w:r w:rsidR="0077567E" w:rsidRPr="00813D19">
        <w:rPr>
          <w:lang w:val="en-US"/>
        </w:rPr>
        <w:t xml:space="preserve"> simply indicate </w:t>
      </w:r>
      <w:r w:rsidR="00D03662" w:rsidRPr="00813D19">
        <w:rPr>
          <w:lang w:val="en-US"/>
        </w:rPr>
        <w:t xml:space="preserve">that they agree to support </w:t>
      </w:r>
      <w:r w:rsidR="0077567E" w:rsidRPr="00813D19">
        <w:rPr>
          <w:lang w:val="en-US"/>
        </w:rPr>
        <w:t xml:space="preserve">to </w:t>
      </w:r>
      <w:r w:rsidR="00E62E4B" w:rsidRPr="00813D19">
        <w:rPr>
          <w:lang w:val="en-US"/>
        </w:rPr>
        <w:t xml:space="preserve">save </w:t>
      </w:r>
      <w:r w:rsidR="0077567E" w:rsidRPr="00813D19">
        <w:rPr>
          <w:lang w:val="en-US"/>
        </w:rPr>
        <w:t>time.</w:t>
      </w:r>
    </w:p>
    <w:p w14:paraId="65850004" w14:textId="02AE7C36" w:rsidR="00126861" w:rsidRPr="00813D19" w:rsidRDefault="00D2314D" w:rsidP="00126861">
      <w:pPr>
        <w:pStyle w:val="Orateurengris"/>
        <w:spacing w:before="120"/>
        <w:ind w:left="709" w:hanging="709"/>
        <w:rPr>
          <w:lang w:val="en-US"/>
        </w:rPr>
      </w:pPr>
      <w:r w:rsidRPr="00813D19">
        <w:rPr>
          <w:lang w:val="en-US"/>
        </w:rPr>
        <w:t xml:space="preserve">The </w:t>
      </w:r>
      <w:r w:rsidRPr="00813D19">
        <w:rPr>
          <w:b/>
          <w:lang w:val="en-US"/>
        </w:rPr>
        <w:t>delegation of Cambodia</w:t>
      </w:r>
      <w:r w:rsidR="00F508B9" w:rsidRPr="00813D19">
        <w:rPr>
          <w:b/>
          <w:lang w:val="en-US"/>
        </w:rPr>
        <w:t xml:space="preserve"> </w:t>
      </w:r>
      <w:r w:rsidR="00126861" w:rsidRPr="00813D19">
        <w:rPr>
          <w:lang w:val="en-US"/>
        </w:rPr>
        <w:t>began by</w:t>
      </w:r>
      <w:r w:rsidR="00126861" w:rsidRPr="00813D19">
        <w:rPr>
          <w:b/>
          <w:lang w:val="en-US"/>
        </w:rPr>
        <w:t xml:space="preserve"> </w:t>
      </w:r>
      <w:r w:rsidR="00D03662" w:rsidRPr="00813D19">
        <w:rPr>
          <w:lang w:val="en-US"/>
        </w:rPr>
        <w:t>thank</w:t>
      </w:r>
      <w:r w:rsidR="0079347F" w:rsidRPr="00813D19">
        <w:rPr>
          <w:lang w:val="en-US"/>
        </w:rPr>
        <w:t>ing</w:t>
      </w:r>
      <w:r w:rsidR="00D03662" w:rsidRPr="00813D19">
        <w:rPr>
          <w:lang w:val="en-US"/>
        </w:rPr>
        <w:t xml:space="preserve"> the Government of Mauritius </w:t>
      </w:r>
      <w:r w:rsidR="0079347F" w:rsidRPr="00813D19">
        <w:rPr>
          <w:lang w:val="en-US"/>
        </w:rPr>
        <w:t>for hosting and organizing</w:t>
      </w:r>
      <w:r w:rsidR="00D03662" w:rsidRPr="00813D19">
        <w:rPr>
          <w:lang w:val="en-US"/>
        </w:rPr>
        <w:t xml:space="preserve"> the Committee </w:t>
      </w:r>
      <w:r w:rsidR="0079347F" w:rsidRPr="00813D19">
        <w:rPr>
          <w:lang w:val="en-US"/>
        </w:rPr>
        <w:t xml:space="preserve">meeting </w:t>
      </w:r>
      <w:r w:rsidR="00D03662" w:rsidRPr="00813D19">
        <w:rPr>
          <w:lang w:val="en-US"/>
        </w:rPr>
        <w:t xml:space="preserve">in a beautiful country with very rich cultural diversity. </w:t>
      </w:r>
      <w:r w:rsidR="0079347F" w:rsidRPr="00813D19">
        <w:rPr>
          <w:lang w:val="en-US"/>
        </w:rPr>
        <w:t xml:space="preserve">It </w:t>
      </w:r>
      <w:r w:rsidR="00D03662" w:rsidRPr="00813D19">
        <w:rPr>
          <w:lang w:val="en-US"/>
        </w:rPr>
        <w:t>express</w:t>
      </w:r>
      <w:r w:rsidR="0079347F" w:rsidRPr="00813D19">
        <w:rPr>
          <w:lang w:val="en-US"/>
        </w:rPr>
        <w:t>ed</w:t>
      </w:r>
      <w:r w:rsidR="00B71B0F">
        <w:rPr>
          <w:lang w:val="en-US"/>
        </w:rPr>
        <w:t xml:space="preserve"> its</w:t>
      </w:r>
      <w:r w:rsidR="00D03662" w:rsidRPr="00813D19">
        <w:rPr>
          <w:lang w:val="en-US"/>
        </w:rPr>
        <w:t xml:space="preserve"> thanks to the Secretariat for </w:t>
      </w:r>
      <w:r w:rsidR="00E62E4B" w:rsidRPr="00813D19">
        <w:rPr>
          <w:lang w:val="en-US"/>
        </w:rPr>
        <w:t xml:space="preserve">its </w:t>
      </w:r>
      <w:r w:rsidR="00D03662" w:rsidRPr="00813D19">
        <w:rPr>
          <w:lang w:val="en-US"/>
        </w:rPr>
        <w:t xml:space="preserve">work in providing </w:t>
      </w:r>
      <w:r w:rsidR="0079347F" w:rsidRPr="00813D19">
        <w:rPr>
          <w:lang w:val="en-US"/>
        </w:rPr>
        <w:t xml:space="preserve">the very good working documents, </w:t>
      </w:r>
      <w:r w:rsidR="00E62E4B" w:rsidRPr="00813D19">
        <w:rPr>
          <w:lang w:val="en-US"/>
        </w:rPr>
        <w:t xml:space="preserve">as well as </w:t>
      </w:r>
      <w:r w:rsidR="0079347F" w:rsidRPr="00813D19">
        <w:rPr>
          <w:lang w:val="en-US"/>
        </w:rPr>
        <w:t>the M</w:t>
      </w:r>
      <w:r w:rsidR="00D03662" w:rsidRPr="00813D19">
        <w:rPr>
          <w:lang w:val="en-US"/>
        </w:rPr>
        <w:t xml:space="preserve">embers of the Committee for their tireless work to improve the implementation of </w:t>
      </w:r>
      <w:r w:rsidR="0079347F" w:rsidRPr="00813D19">
        <w:rPr>
          <w:lang w:val="en-US"/>
        </w:rPr>
        <w:t xml:space="preserve">the </w:t>
      </w:r>
      <w:r w:rsidR="00D03662" w:rsidRPr="00813D19">
        <w:rPr>
          <w:lang w:val="en-US"/>
        </w:rPr>
        <w:t>Convention at each session.</w:t>
      </w:r>
    </w:p>
    <w:p w14:paraId="2F361A49" w14:textId="0B10905B" w:rsidR="00D2314D" w:rsidRPr="00813D19" w:rsidRDefault="00126861" w:rsidP="00126861">
      <w:pPr>
        <w:pStyle w:val="Orateurengris"/>
        <w:spacing w:before="120"/>
        <w:ind w:left="709" w:hanging="709"/>
        <w:rPr>
          <w:lang w:val="en-US"/>
        </w:rPr>
      </w:pPr>
      <w:r w:rsidRPr="00813D19">
        <w:rPr>
          <w:lang w:val="en-US"/>
        </w:rPr>
        <w:t xml:space="preserve">The </w:t>
      </w:r>
      <w:r w:rsidRPr="00813D19">
        <w:rPr>
          <w:b/>
          <w:lang w:val="en-US"/>
        </w:rPr>
        <w:t xml:space="preserve">delegation of Cambodia </w:t>
      </w:r>
      <w:r w:rsidR="00E62E4B" w:rsidRPr="00813D19">
        <w:rPr>
          <w:lang w:val="en-US"/>
        </w:rPr>
        <w:t>[second speaker]</w:t>
      </w:r>
      <w:r w:rsidR="0079347F" w:rsidRPr="00813D19">
        <w:rPr>
          <w:b/>
          <w:lang w:val="en-US"/>
        </w:rPr>
        <w:t xml:space="preserve"> </w:t>
      </w:r>
      <w:r w:rsidR="00F508B9" w:rsidRPr="00813D19">
        <w:rPr>
          <w:bCs/>
          <w:lang w:val="en-US"/>
        </w:rPr>
        <w:t>appreciate</w:t>
      </w:r>
      <w:r w:rsidR="00430F0C" w:rsidRPr="00813D19">
        <w:rPr>
          <w:bCs/>
          <w:lang w:val="en-US"/>
        </w:rPr>
        <w:t>d</w:t>
      </w:r>
      <w:r w:rsidR="00F508B9" w:rsidRPr="00813D19">
        <w:rPr>
          <w:bCs/>
          <w:lang w:val="en-US"/>
        </w:rPr>
        <w:t xml:space="preserve"> the as</w:t>
      </w:r>
      <w:r w:rsidR="00E62E4B" w:rsidRPr="00813D19">
        <w:rPr>
          <w:bCs/>
          <w:lang w:val="en-US"/>
        </w:rPr>
        <w:t>sessment of the Evaluation Body</w:t>
      </w:r>
      <w:r w:rsidR="00F508B9" w:rsidRPr="00813D19">
        <w:rPr>
          <w:bCs/>
          <w:lang w:val="en-US"/>
        </w:rPr>
        <w:t xml:space="preserve"> </w:t>
      </w:r>
      <w:r w:rsidR="00E62E4B" w:rsidRPr="00813D19">
        <w:rPr>
          <w:bCs/>
          <w:lang w:val="en-US"/>
        </w:rPr>
        <w:t xml:space="preserve">that </w:t>
      </w:r>
      <w:r w:rsidR="00B71B0F">
        <w:rPr>
          <w:bCs/>
          <w:lang w:val="en-US"/>
        </w:rPr>
        <w:t xml:space="preserve">had </w:t>
      </w:r>
      <w:r w:rsidR="00F508B9" w:rsidRPr="00813D19">
        <w:rPr>
          <w:bCs/>
          <w:lang w:val="en-US"/>
        </w:rPr>
        <w:t xml:space="preserve">expressed a positive opinion on all criteria, except </w:t>
      </w:r>
      <w:r w:rsidR="00430F0C" w:rsidRPr="00813D19">
        <w:rPr>
          <w:bCs/>
          <w:lang w:val="en-US"/>
        </w:rPr>
        <w:t xml:space="preserve">for criterion U.3, which </w:t>
      </w:r>
      <w:r w:rsidR="00F508B9" w:rsidRPr="00813D19">
        <w:rPr>
          <w:bCs/>
          <w:lang w:val="en-US"/>
        </w:rPr>
        <w:t xml:space="preserve">was due to a technical misinterpretation. </w:t>
      </w:r>
      <w:r w:rsidR="00430F0C" w:rsidRPr="00813D19">
        <w:rPr>
          <w:bCs/>
          <w:lang w:val="en-US"/>
        </w:rPr>
        <w:t>The delegation wished to clarify</w:t>
      </w:r>
      <w:r w:rsidR="00F508B9" w:rsidRPr="00813D19">
        <w:rPr>
          <w:bCs/>
          <w:lang w:val="en-US"/>
        </w:rPr>
        <w:t xml:space="preserve"> and assure the Committee that the five-year</w:t>
      </w:r>
      <w:r w:rsidR="00430F0C" w:rsidRPr="00813D19">
        <w:rPr>
          <w:bCs/>
          <w:lang w:val="en-US"/>
        </w:rPr>
        <w:t xml:space="preserve"> safeguarding plan 2018–</w:t>
      </w:r>
      <w:r w:rsidR="00F508B9" w:rsidRPr="00813D19">
        <w:rPr>
          <w:bCs/>
          <w:lang w:val="en-US"/>
        </w:rPr>
        <w:t>2022 in the nomination file was articulated on the basis of the firm budget commitments</w:t>
      </w:r>
      <w:r w:rsidR="00E62E4B" w:rsidRPr="00813D19">
        <w:rPr>
          <w:bCs/>
          <w:lang w:val="en-US"/>
        </w:rPr>
        <w:t xml:space="preserve"> from all stakeholders, G</w:t>
      </w:r>
      <w:r w:rsidR="00F508B9" w:rsidRPr="00813D19">
        <w:rPr>
          <w:bCs/>
          <w:lang w:val="en-US"/>
        </w:rPr>
        <w:t>overnment, communities and partners. In relation to their respective activities</w:t>
      </w:r>
      <w:r w:rsidR="00430F0C" w:rsidRPr="00813D19">
        <w:rPr>
          <w:bCs/>
          <w:lang w:val="en-US"/>
        </w:rPr>
        <w:t>,</w:t>
      </w:r>
      <w:r w:rsidR="00F508B9" w:rsidRPr="00813D19">
        <w:rPr>
          <w:bCs/>
          <w:lang w:val="en-US"/>
        </w:rPr>
        <w:t xml:space="preserve"> that budget </w:t>
      </w:r>
      <w:r w:rsidR="00430F0C" w:rsidRPr="00813D19">
        <w:rPr>
          <w:bCs/>
          <w:lang w:val="en-US"/>
        </w:rPr>
        <w:t xml:space="preserve">is assessed annually after </w:t>
      </w:r>
      <w:r w:rsidR="00F508B9" w:rsidRPr="00813D19">
        <w:rPr>
          <w:bCs/>
          <w:lang w:val="en-US"/>
        </w:rPr>
        <w:t xml:space="preserve">the activity is </w:t>
      </w:r>
      <w:r w:rsidR="00430F0C" w:rsidRPr="00813D19">
        <w:rPr>
          <w:bCs/>
          <w:lang w:val="en-US"/>
        </w:rPr>
        <w:t>completed</w:t>
      </w:r>
      <w:r w:rsidR="00F508B9" w:rsidRPr="00813D19">
        <w:rPr>
          <w:bCs/>
          <w:lang w:val="en-US"/>
        </w:rPr>
        <w:t xml:space="preserve">. It was </w:t>
      </w:r>
      <w:r w:rsidR="00430F0C" w:rsidRPr="00813D19">
        <w:rPr>
          <w:bCs/>
          <w:lang w:val="en-US"/>
        </w:rPr>
        <w:t xml:space="preserve">on this basis of understanding </w:t>
      </w:r>
      <w:r w:rsidR="00F508B9" w:rsidRPr="00813D19">
        <w:rPr>
          <w:bCs/>
          <w:lang w:val="en-US"/>
        </w:rPr>
        <w:t>that a clear</w:t>
      </w:r>
      <w:r w:rsidR="00CA77D0">
        <w:rPr>
          <w:bCs/>
          <w:lang w:val="en-US"/>
        </w:rPr>
        <w:t>ly</w:t>
      </w:r>
      <w:r w:rsidR="00F508B9" w:rsidRPr="00813D19">
        <w:rPr>
          <w:bCs/>
          <w:lang w:val="en-US"/>
        </w:rPr>
        <w:t xml:space="preserve"> defined budget was missing from </w:t>
      </w:r>
      <w:r w:rsidR="00430F0C" w:rsidRPr="00813D19">
        <w:rPr>
          <w:bCs/>
          <w:lang w:val="en-US"/>
        </w:rPr>
        <w:t xml:space="preserve">the </w:t>
      </w:r>
      <w:r w:rsidR="00F508B9" w:rsidRPr="00834936">
        <w:rPr>
          <w:bCs/>
          <w:lang w:val="en-US"/>
        </w:rPr>
        <w:t xml:space="preserve">nomination file. </w:t>
      </w:r>
      <w:r w:rsidR="00430F0C" w:rsidRPr="00834936">
        <w:rPr>
          <w:bCs/>
          <w:lang w:val="en-US"/>
        </w:rPr>
        <w:t xml:space="preserve">In </w:t>
      </w:r>
      <w:r w:rsidR="00F508B9" w:rsidRPr="008C034A">
        <w:rPr>
          <w:bCs/>
          <w:lang w:val="en-US"/>
        </w:rPr>
        <w:t>this regard</w:t>
      </w:r>
      <w:r w:rsidR="00430F0C" w:rsidRPr="00CA77D0">
        <w:rPr>
          <w:bCs/>
          <w:lang w:val="en-US"/>
        </w:rPr>
        <w:t>, Cambodia</w:t>
      </w:r>
      <w:r w:rsidR="00F508B9" w:rsidRPr="00CA77D0">
        <w:rPr>
          <w:bCs/>
          <w:lang w:val="en-US"/>
        </w:rPr>
        <w:t xml:space="preserve"> </w:t>
      </w:r>
      <w:r w:rsidR="00CA77D0" w:rsidRPr="00CA77D0">
        <w:rPr>
          <w:bCs/>
          <w:lang w:val="en-US"/>
        </w:rPr>
        <w:t xml:space="preserve">had </w:t>
      </w:r>
      <w:r w:rsidR="00F508B9" w:rsidRPr="00CA77D0">
        <w:rPr>
          <w:bCs/>
          <w:lang w:val="en-US"/>
        </w:rPr>
        <w:t xml:space="preserve">prepared an </w:t>
      </w:r>
      <w:r w:rsidR="00571BE4" w:rsidRPr="00CA77D0">
        <w:rPr>
          <w:bCs/>
          <w:i/>
          <w:lang w:val="en-US"/>
        </w:rPr>
        <w:t>aide-</w:t>
      </w:r>
      <w:r w:rsidR="00F508B9" w:rsidRPr="00CA77D0">
        <w:rPr>
          <w:bCs/>
          <w:i/>
          <w:lang w:val="en-US"/>
        </w:rPr>
        <w:t>memoire</w:t>
      </w:r>
      <w:r w:rsidR="00F508B9" w:rsidRPr="00CA77D0">
        <w:rPr>
          <w:bCs/>
          <w:lang w:val="en-US"/>
        </w:rPr>
        <w:t xml:space="preserve"> with a clear budget breakdown </w:t>
      </w:r>
      <w:r w:rsidR="00430F0C" w:rsidRPr="00CA77D0">
        <w:rPr>
          <w:bCs/>
          <w:lang w:val="en-US"/>
        </w:rPr>
        <w:t xml:space="preserve">for </w:t>
      </w:r>
      <w:r w:rsidR="00F508B9" w:rsidRPr="00CA77D0">
        <w:rPr>
          <w:bCs/>
          <w:lang w:val="en-US"/>
        </w:rPr>
        <w:t xml:space="preserve">the Committee. </w:t>
      </w:r>
      <w:r w:rsidR="00430F0C" w:rsidRPr="00CA77D0">
        <w:rPr>
          <w:bCs/>
          <w:lang w:val="en-US"/>
        </w:rPr>
        <w:t xml:space="preserve">It was </w:t>
      </w:r>
      <w:r w:rsidR="00F508B9" w:rsidRPr="00CA77D0">
        <w:rPr>
          <w:bCs/>
          <w:lang w:val="en-US"/>
        </w:rPr>
        <w:t xml:space="preserve">also pleased to inform the Committee that those </w:t>
      </w:r>
      <w:r w:rsidR="00430F0C" w:rsidRPr="00CA77D0">
        <w:rPr>
          <w:bCs/>
          <w:lang w:val="en-US"/>
        </w:rPr>
        <w:t xml:space="preserve">stated </w:t>
      </w:r>
      <w:r w:rsidR="00F508B9" w:rsidRPr="00CA77D0">
        <w:rPr>
          <w:bCs/>
          <w:lang w:val="en-US"/>
        </w:rPr>
        <w:t>commitments</w:t>
      </w:r>
      <w:r w:rsidR="00430F0C" w:rsidRPr="00CA77D0">
        <w:rPr>
          <w:bCs/>
          <w:lang w:val="en-US"/>
        </w:rPr>
        <w:t>,</w:t>
      </w:r>
      <w:r w:rsidR="00F508B9" w:rsidRPr="00CA77D0">
        <w:rPr>
          <w:bCs/>
          <w:lang w:val="en-US"/>
        </w:rPr>
        <w:t xml:space="preserve"> since the submission </w:t>
      </w:r>
      <w:r w:rsidR="00430F0C" w:rsidRPr="00CA77D0">
        <w:rPr>
          <w:bCs/>
          <w:lang w:val="en-US"/>
        </w:rPr>
        <w:t xml:space="preserve">of the file, </w:t>
      </w:r>
      <w:r w:rsidR="00CA77D0" w:rsidRPr="003221D5">
        <w:rPr>
          <w:bCs/>
          <w:lang w:val="en-US"/>
        </w:rPr>
        <w:t xml:space="preserve">had </w:t>
      </w:r>
      <w:r w:rsidR="00430F0C" w:rsidRPr="00834936">
        <w:rPr>
          <w:bCs/>
          <w:lang w:val="en-US"/>
        </w:rPr>
        <w:t xml:space="preserve">allowed two elements </w:t>
      </w:r>
      <w:r w:rsidR="00F508B9" w:rsidRPr="008C034A">
        <w:rPr>
          <w:bCs/>
          <w:lang w:val="en-US"/>
        </w:rPr>
        <w:t xml:space="preserve">identified as urgent </w:t>
      </w:r>
      <w:r w:rsidR="00430F0C" w:rsidRPr="00CA77D0">
        <w:rPr>
          <w:bCs/>
          <w:lang w:val="en-US"/>
        </w:rPr>
        <w:t xml:space="preserve">in the file, </w:t>
      </w:r>
      <w:r w:rsidR="00F508B9" w:rsidRPr="00CA77D0">
        <w:rPr>
          <w:bCs/>
          <w:lang w:val="en-US"/>
        </w:rPr>
        <w:t>namely</w:t>
      </w:r>
      <w:r w:rsidR="00430F0C" w:rsidRPr="00CA77D0">
        <w:rPr>
          <w:bCs/>
          <w:lang w:val="en-US"/>
        </w:rPr>
        <w:t>,</w:t>
      </w:r>
      <w:r w:rsidR="00F508B9" w:rsidRPr="00CA77D0">
        <w:rPr>
          <w:bCs/>
          <w:lang w:val="en-US"/>
        </w:rPr>
        <w:t xml:space="preserve"> the </w:t>
      </w:r>
      <w:r w:rsidR="00430F0C" w:rsidRPr="00CA77D0">
        <w:rPr>
          <w:bCs/>
          <w:lang w:val="en-US"/>
        </w:rPr>
        <w:t xml:space="preserve">stage performance and </w:t>
      </w:r>
      <w:r w:rsidR="00F508B9" w:rsidRPr="00CA77D0">
        <w:rPr>
          <w:bCs/>
          <w:lang w:val="en-US"/>
        </w:rPr>
        <w:t>a set of costumes</w:t>
      </w:r>
      <w:r w:rsidR="00430F0C" w:rsidRPr="00CA77D0">
        <w:rPr>
          <w:bCs/>
          <w:lang w:val="en-US"/>
        </w:rPr>
        <w:t>,</w:t>
      </w:r>
      <w:r w:rsidR="00E62E4B" w:rsidRPr="00CA77D0">
        <w:rPr>
          <w:bCs/>
          <w:lang w:val="en-US"/>
        </w:rPr>
        <w:t xml:space="preserve"> </w:t>
      </w:r>
      <w:r w:rsidR="00CA77D0" w:rsidRPr="003221D5">
        <w:rPr>
          <w:bCs/>
          <w:lang w:val="en-US"/>
        </w:rPr>
        <w:t xml:space="preserve">to </w:t>
      </w:r>
      <w:r w:rsidR="00F508B9" w:rsidRPr="00834936">
        <w:rPr>
          <w:bCs/>
          <w:lang w:val="en-US"/>
        </w:rPr>
        <w:t>already be</w:t>
      </w:r>
      <w:r w:rsidR="00F508B9" w:rsidRPr="008C034A">
        <w:rPr>
          <w:bCs/>
          <w:lang w:val="en-US"/>
        </w:rPr>
        <w:t xml:space="preserve"> provided </w:t>
      </w:r>
      <w:r w:rsidR="005A1AF7" w:rsidRPr="00CA77D0">
        <w:rPr>
          <w:bCs/>
          <w:lang w:val="en-US"/>
        </w:rPr>
        <w:t xml:space="preserve">[with funds] </w:t>
      </w:r>
      <w:r w:rsidR="00F508B9" w:rsidRPr="00CA77D0">
        <w:rPr>
          <w:bCs/>
          <w:lang w:val="en-US"/>
        </w:rPr>
        <w:t xml:space="preserve">thanks to </w:t>
      </w:r>
      <w:r w:rsidR="00E62E4B" w:rsidRPr="00CA77D0">
        <w:rPr>
          <w:bCs/>
          <w:lang w:val="en-US"/>
        </w:rPr>
        <w:t xml:space="preserve">the </w:t>
      </w:r>
      <w:r w:rsidR="00F508B9" w:rsidRPr="00CA77D0">
        <w:rPr>
          <w:bCs/>
          <w:lang w:val="en-US"/>
        </w:rPr>
        <w:t>initiatives taken by the local community</w:t>
      </w:r>
      <w:r w:rsidR="005A1AF7" w:rsidRPr="00CA77D0">
        <w:rPr>
          <w:bCs/>
          <w:lang w:val="en-US"/>
        </w:rPr>
        <w:t>,</w:t>
      </w:r>
      <w:r w:rsidR="00F508B9" w:rsidRPr="00CA77D0">
        <w:rPr>
          <w:bCs/>
          <w:lang w:val="en-US"/>
        </w:rPr>
        <w:t xml:space="preserve"> together with </w:t>
      </w:r>
      <w:r w:rsidR="00E62E4B" w:rsidRPr="00CA77D0">
        <w:rPr>
          <w:bCs/>
          <w:lang w:val="en-US"/>
        </w:rPr>
        <w:t xml:space="preserve">the </w:t>
      </w:r>
      <w:r w:rsidR="00F508B9" w:rsidRPr="00CA77D0">
        <w:rPr>
          <w:bCs/>
          <w:lang w:val="en-US"/>
        </w:rPr>
        <w:t xml:space="preserve">financial support </w:t>
      </w:r>
      <w:r w:rsidR="00E62E4B" w:rsidRPr="00CA77D0">
        <w:rPr>
          <w:bCs/>
          <w:lang w:val="en-US"/>
        </w:rPr>
        <w:t>of</w:t>
      </w:r>
      <w:r w:rsidR="00F508B9" w:rsidRPr="00CA77D0">
        <w:rPr>
          <w:bCs/>
          <w:lang w:val="en-US"/>
        </w:rPr>
        <w:t xml:space="preserve"> the Ministry of Cultur</w:t>
      </w:r>
      <w:r w:rsidR="00E62E4B" w:rsidRPr="00CA77D0">
        <w:rPr>
          <w:bCs/>
          <w:lang w:val="en-US"/>
        </w:rPr>
        <w:t>e and Fine Arts</w:t>
      </w:r>
      <w:r w:rsidR="00CA77D0">
        <w:rPr>
          <w:bCs/>
          <w:lang w:val="en-US"/>
        </w:rPr>
        <w:t>,</w:t>
      </w:r>
      <w:r w:rsidR="00E62E4B" w:rsidRPr="00834936">
        <w:rPr>
          <w:bCs/>
          <w:lang w:val="en-US"/>
        </w:rPr>
        <w:t xml:space="preserve"> totalling</w:t>
      </w:r>
      <w:r w:rsidR="00F508B9" w:rsidRPr="00834936">
        <w:rPr>
          <w:bCs/>
          <w:lang w:val="en-US"/>
        </w:rPr>
        <w:t xml:space="preserve"> more than </w:t>
      </w:r>
      <w:r w:rsidR="00430F0C" w:rsidRPr="008C034A">
        <w:rPr>
          <w:bCs/>
          <w:lang w:val="en-US"/>
        </w:rPr>
        <w:t>US</w:t>
      </w:r>
      <w:r w:rsidR="00E62E4B" w:rsidRPr="00CA77D0">
        <w:rPr>
          <w:bCs/>
          <w:lang w:val="en-US"/>
        </w:rPr>
        <w:t>$75,000;</w:t>
      </w:r>
      <w:r w:rsidR="005A1AF7" w:rsidRPr="00CA77D0">
        <w:rPr>
          <w:bCs/>
          <w:lang w:val="en-US"/>
        </w:rPr>
        <w:t xml:space="preserve"> a </w:t>
      </w:r>
      <w:r w:rsidR="00813D19" w:rsidRPr="00CA77D0">
        <w:rPr>
          <w:bCs/>
          <w:lang w:val="en-US"/>
        </w:rPr>
        <w:t>testament</w:t>
      </w:r>
      <w:r w:rsidR="00F508B9" w:rsidRPr="00CA77D0">
        <w:rPr>
          <w:bCs/>
          <w:lang w:val="en-US"/>
        </w:rPr>
        <w:t xml:space="preserve"> </w:t>
      </w:r>
      <w:r w:rsidR="005A1AF7" w:rsidRPr="00CA77D0">
        <w:rPr>
          <w:bCs/>
          <w:lang w:val="en-US"/>
        </w:rPr>
        <w:t>to</w:t>
      </w:r>
      <w:r w:rsidR="005A1AF7" w:rsidRPr="00813D19">
        <w:rPr>
          <w:bCs/>
          <w:lang w:val="en-US"/>
        </w:rPr>
        <w:t xml:space="preserve"> </w:t>
      </w:r>
      <w:r w:rsidR="00F508B9" w:rsidRPr="00813D19">
        <w:rPr>
          <w:bCs/>
          <w:lang w:val="en-US"/>
        </w:rPr>
        <w:t xml:space="preserve">the strong </w:t>
      </w:r>
      <w:r w:rsidR="005A1AF7" w:rsidRPr="00813D19">
        <w:rPr>
          <w:bCs/>
          <w:lang w:val="en-US"/>
        </w:rPr>
        <w:t xml:space="preserve">commitment of </w:t>
      </w:r>
      <w:r w:rsidR="00F508B9" w:rsidRPr="00813D19">
        <w:rPr>
          <w:bCs/>
          <w:lang w:val="en-US"/>
        </w:rPr>
        <w:t xml:space="preserve">the communities and all </w:t>
      </w:r>
      <w:r w:rsidR="00E62E4B" w:rsidRPr="00813D19">
        <w:rPr>
          <w:bCs/>
          <w:lang w:val="en-US"/>
        </w:rPr>
        <w:t xml:space="preserve">the stakeholders to </w:t>
      </w:r>
      <w:r w:rsidR="00F508B9" w:rsidRPr="00813D19">
        <w:rPr>
          <w:bCs/>
          <w:lang w:val="en-US"/>
        </w:rPr>
        <w:t>reinvigorating this treasured form. Cambodia assure</w:t>
      </w:r>
      <w:r w:rsidR="005A1AF7" w:rsidRPr="00813D19">
        <w:rPr>
          <w:bCs/>
          <w:lang w:val="en-US"/>
        </w:rPr>
        <w:t>d</w:t>
      </w:r>
      <w:r w:rsidR="00F508B9" w:rsidRPr="00813D19">
        <w:rPr>
          <w:bCs/>
          <w:lang w:val="en-US"/>
        </w:rPr>
        <w:t xml:space="preserve"> the Committee that </w:t>
      </w:r>
      <w:r w:rsidR="005A1AF7" w:rsidRPr="00813D19">
        <w:rPr>
          <w:bCs/>
          <w:lang w:val="en-US"/>
        </w:rPr>
        <w:t xml:space="preserve">it </w:t>
      </w:r>
      <w:r w:rsidR="00E62E4B" w:rsidRPr="00813D19">
        <w:rPr>
          <w:bCs/>
          <w:lang w:val="en-US"/>
        </w:rPr>
        <w:t xml:space="preserve">was </w:t>
      </w:r>
      <w:r w:rsidR="00F508B9" w:rsidRPr="00813D19">
        <w:rPr>
          <w:bCs/>
          <w:lang w:val="en-US"/>
        </w:rPr>
        <w:t xml:space="preserve">fully engaged </w:t>
      </w:r>
      <w:r w:rsidR="005A1AF7" w:rsidRPr="00813D19">
        <w:rPr>
          <w:bCs/>
          <w:lang w:val="en-US"/>
        </w:rPr>
        <w:t>and committed to providing</w:t>
      </w:r>
      <w:r w:rsidR="00F508B9" w:rsidRPr="00813D19">
        <w:rPr>
          <w:bCs/>
          <w:lang w:val="en-US"/>
        </w:rPr>
        <w:t xml:space="preserve"> all </w:t>
      </w:r>
      <w:r w:rsidR="005A1AF7" w:rsidRPr="00813D19">
        <w:rPr>
          <w:bCs/>
          <w:lang w:val="en-US"/>
        </w:rPr>
        <w:t xml:space="preserve">the </w:t>
      </w:r>
      <w:r w:rsidR="00F508B9" w:rsidRPr="00813D19">
        <w:rPr>
          <w:bCs/>
          <w:lang w:val="en-US"/>
        </w:rPr>
        <w:t xml:space="preserve">necessary </w:t>
      </w:r>
      <w:r w:rsidR="005A1AF7" w:rsidRPr="00813D19">
        <w:rPr>
          <w:bCs/>
          <w:lang w:val="en-US"/>
        </w:rPr>
        <w:t xml:space="preserve">financial, human and </w:t>
      </w:r>
      <w:r w:rsidR="00F508B9" w:rsidRPr="00813D19">
        <w:rPr>
          <w:bCs/>
          <w:lang w:val="en-US"/>
        </w:rPr>
        <w:t xml:space="preserve">material </w:t>
      </w:r>
      <w:r w:rsidR="005A1AF7" w:rsidRPr="00813D19">
        <w:rPr>
          <w:bCs/>
          <w:lang w:val="en-US"/>
        </w:rPr>
        <w:t xml:space="preserve">means </w:t>
      </w:r>
      <w:r w:rsidR="00F508B9" w:rsidRPr="00813D19">
        <w:rPr>
          <w:bCs/>
          <w:lang w:val="en-US"/>
        </w:rPr>
        <w:t xml:space="preserve">to safeguard the </w:t>
      </w:r>
      <w:r w:rsidR="00F508B9" w:rsidRPr="00813D19">
        <w:rPr>
          <w:lang w:val="en-US"/>
        </w:rPr>
        <w:t xml:space="preserve">Lkhon Khol Wat Svay Andet for generations to come. </w:t>
      </w:r>
      <w:r w:rsidR="005A1AF7" w:rsidRPr="00813D19">
        <w:rPr>
          <w:lang w:val="en-US"/>
        </w:rPr>
        <w:t xml:space="preserve">The delegation thanked the Committee for allowing this </w:t>
      </w:r>
      <w:r w:rsidR="00F508B9" w:rsidRPr="00813D19">
        <w:rPr>
          <w:lang w:val="en-US"/>
        </w:rPr>
        <w:t>clarification and expression of commitment</w:t>
      </w:r>
      <w:r w:rsidRPr="00813D19">
        <w:rPr>
          <w:lang w:val="en-US"/>
        </w:rPr>
        <w:t>.</w:t>
      </w:r>
    </w:p>
    <w:p w14:paraId="4C39EE59" w14:textId="4C0E96B9" w:rsidR="00F14B59" w:rsidRPr="00813D19" w:rsidRDefault="008B445C" w:rsidP="00431C20">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w:t>
      </w:r>
      <w:r w:rsidR="00F14B59" w:rsidRPr="00813D19">
        <w:rPr>
          <w:rFonts w:eastAsia="Calibri"/>
          <w:color w:val="000000" w:themeColor="text1"/>
          <w:lang w:val="en-US"/>
        </w:rPr>
        <w:t>turned to the draft decision on a paragraph-b</w:t>
      </w:r>
      <w:r w:rsidR="00126861" w:rsidRPr="00813D19">
        <w:rPr>
          <w:rFonts w:eastAsia="Calibri"/>
          <w:color w:val="000000" w:themeColor="text1"/>
          <w:lang w:val="en-US"/>
        </w:rPr>
        <w:t>y-paragraph basis, and p</w:t>
      </w:r>
      <w:r w:rsidR="00012979" w:rsidRPr="00813D19">
        <w:rPr>
          <w:rFonts w:eastAsia="Calibri"/>
          <w:color w:val="000000" w:themeColor="text1"/>
          <w:lang w:val="en-US"/>
        </w:rPr>
        <w:t xml:space="preserve">aragraphs 1 and 2 were duly adopted. The amendment </w:t>
      </w:r>
      <w:r w:rsidR="00E62E4B" w:rsidRPr="00813D19">
        <w:rPr>
          <w:rFonts w:eastAsia="Calibri"/>
          <w:color w:val="000000" w:themeColor="text1"/>
          <w:lang w:val="en-US"/>
        </w:rPr>
        <w:t xml:space="preserve">by </w:t>
      </w:r>
      <w:r w:rsidR="00F4642B" w:rsidRPr="00813D19">
        <w:rPr>
          <w:rFonts w:eastAsia="Calibri"/>
          <w:color w:val="000000" w:themeColor="text1"/>
          <w:lang w:val="en-US"/>
        </w:rPr>
        <w:t xml:space="preserve">the Philippines </w:t>
      </w:r>
      <w:r w:rsidR="00012979" w:rsidRPr="00813D19">
        <w:rPr>
          <w:rFonts w:eastAsia="Calibri"/>
          <w:color w:val="000000" w:themeColor="text1"/>
          <w:lang w:val="en-US"/>
        </w:rPr>
        <w:t>was introduced in paragraph 3</w:t>
      </w:r>
      <w:r w:rsidR="005A1AF7" w:rsidRPr="00813D19">
        <w:rPr>
          <w:rFonts w:eastAsia="Calibri"/>
          <w:color w:val="000000" w:themeColor="text1"/>
          <w:lang w:val="en-US"/>
        </w:rPr>
        <w:t xml:space="preserve"> [further deciding that criterion U.3 was met]</w:t>
      </w:r>
      <w:r w:rsidR="00012979" w:rsidRPr="00813D19">
        <w:rPr>
          <w:rFonts w:eastAsia="Calibri"/>
          <w:color w:val="000000" w:themeColor="text1"/>
          <w:lang w:val="en-US"/>
        </w:rPr>
        <w:t>.</w:t>
      </w:r>
    </w:p>
    <w:p w14:paraId="005D871E" w14:textId="609BE5E5" w:rsidR="00012979" w:rsidRPr="00813D19" w:rsidRDefault="00012979" w:rsidP="00431C20">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Palestine</w:t>
      </w:r>
      <w:r w:rsidR="00F508B9" w:rsidRPr="00813D19">
        <w:rPr>
          <w:rFonts w:eastAsia="Calibri"/>
          <w:b/>
          <w:color w:val="000000" w:themeColor="text1"/>
          <w:lang w:val="en-US"/>
        </w:rPr>
        <w:t xml:space="preserve"> </w:t>
      </w:r>
      <w:r w:rsidR="00F508B9" w:rsidRPr="00813D19">
        <w:rPr>
          <w:bCs/>
          <w:lang w:val="en-US"/>
        </w:rPr>
        <w:t>support</w:t>
      </w:r>
      <w:r w:rsidR="005A1AF7" w:rsidRPr="00813D19">
        <w:rPr>
          <w:bCs/>
          <w:lang w:val="en-US"/>
        </w:rPr>
        <w:t>ed</w:t>
      </w:r>
      <w:r w:rsidR="00F508B9" w:rsidRPr="00813D19">
        <w:rPr>
          <w:bCs/>
          <w:lang w:val="en-US"/>
        </w:rPr>
        <w:t xml:space="preserve"> </w:t>
      </w:r>
      <w:r w:rsidR="005A1AF7" w:rsidRPr="00813D19">
        <w:rPr>
          <w:bCs/>
          <w:lang w:val="en-US"/>
        </w:rPr>
        <w:t xml:space="preserve">all the </w:t>
      </w:r>
      <w:r w:rsidR="00F508B9" w:rsidRPr="00813D19">
        <w:rPr>
          <w:bCs/>
          <w:lang w:val="en-US"/>
        </w:rPr>
        <w:t>amendment</w:t>
      </w:r>
      <w:r w:rsidR="005A1AF7" w:rsidRPr="00813D19">
        <w:rPr>
          <w:bCs/>
          <w:lang w:val="en-US"/>
        </w:rPr>
        <w:t>s</w:t>
      </w:r>
      <w:r w:rsidR="00F508B9" w:rsidRPr="00813D19">
        <w:rPr>
          <w:bCs/>
          <w:lang w:val="en-US"/>
        </w:rPr>
        <w:t xml:space="preserve"> proposed </w:t>
      </w:r>
      <w:r w:rsidR="00E41386">
        <w:rPr>
          <w:bCs/>
          <w:lang w:val="en-US"/>
        </w:rPr>
        <w:t>by the Philippines.</w:t>
      </w:r>
    </w:p>
    <w:p w14:paraId="761F4F03" w14:textId="7A2C7FDC" w:rsidR="00992A2A" w:rsidRPr="00813D19" w:rsidRDefault="00012979" w:rsidP="00012979">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noted </w:t>
      </w:r>
      <w:r w:rsidR="003939B1" w:rsidRPr="00813D19">
        <w:rPr>
          <w:rFonts w:eastAsia="Calibri"/>
          <w:color w:val="000000" w:themeColor="text1"/>
          <w:lang w:val="en-US"/>
        </w:rPr>
        <w:t xml:space="preserve">the </w:t>
      </w:r>
      <w:r w:rsidRPr="00813D19">
        <w:rPr>
          <w:rFonts w:eastAsia="Calibri"/>
          <w:color w:val="000000" w:themeColor="text1"/>
          <w:lang w:val="en-US"/>
        </w:rPr>
        <w:t xml:space="preserve">broad support from </w:t>
      </w:r>
      <w:r w:rsidR="005A1AF7" w:rsidRPr="002827E3">
        <w:rPr>
          <w:b/>
          <w:bCs/>
          <w:lang w:val="en-US"/>
        </w:rPr>
        <w:t>Cyprus, Kuwait, Japan, Senegal, Djibouti, Zambia, Kazakhstan, Togo, China, Colombia, Armenia, Azerbaijan, Lebanon, Kuwait, Guatemala, Poland, Jamaica, Cuba, Zambia and Sri Lanka</w:t>
      </w:r>
      <w:r w:rsidR="005A1AF7" w:rsidRPr="00813D19">
        <w:rPr>
          <w:bCs/>
          <w:lang w:val="en-US"/>
        </w:rPr>
        <w:t xml:space="preserve">. </w:t>
      </w:r>
      <w:r w:rsidR="003939B1" w:rsidRPr="00813D19">
        <w:rPr>
          <w:bCs/>
          <w:lang w:val="en-US"/>
        </w:rPr>
        <w:t>Turning to the adoption of the draft decision as a whole</w:t>
      </w:r>
      <w:r w:rsidR="005A1AF7" w:rsidRPr="00813D19">
        <w:rPr>
          <w:bCs/>
          <w:lang w:val="en-US"/>
        </w:rPr>
        <w:t xml:space="preserve">, </w:t>
      </w:r>
      <w:r w:rsidR="00992A2A" w:rsidRPr="00813D19">
        <w:rPr>
          <w:rFonts w:eastAsia="Calibri"/>
          <w:color w:val="000000" w:themeColor="text1"/>
          <w:lang w:val="en-US"/>
        </w:rPr>
        <w:t>the</w:t>
      </w:r>
      <w:r w:rsidR="00992A2A" w:rsidRPr="00813D19">
        <w:rPr>
          <w:rFonts w:eastAsia="Calibri"/>
          <w:b/>
          <w:color w:val="000000" w:themeColor="text1"/>
          <w:lang w:val="en-US"/>
        </w:rPr>
        <w:t xml:space="preserve"> Chairperson declared Decision </w:t>
      </w:r>
      <w:hyperlink r:id="rId95" w:history="1">
        <w:r w:rsidR="00992A2A" w:rsidRPr="00813D19">
          <w:rPr>
            <w:rStyle w:val="Hyperlink"/>
            <w:b/>
            <w:lang w:val="en-US"/>
          </w:rPr>
          <w:t>13.COM 10.a.3</w:t>
        </w:r>
      </w:hyperlink>
      <w:r w:rsidR="00992A2A" w:rsidRPr="00813D19">
        <w:rPr>
          <w:b/>
          <w:color w:val="000000" w:themeColor="text1"/>
          <w:lang w:val="en-US"/>
        </w:rPr>
        <w:t xml:space="preserve"> </w:t>
      </w:r>
      <w:r w:rsidR="00992A2A" w:rsidRPr="00813D19">
        <w:rPr>
          <w:rFonts w:eastAsia="Calibri"/>
          <w:b/>
          <w:color w:val="000000" w:themeColor="text1"/>
          <w:lang w:val="en-US"/>
        </w:rPr>
        <w:t xml:space="preserve">adopted </w:t>
      </w:r>
      <w:r w:rsidR="00992A2A" w:rsidRPr="00813D19">
        <w:rPr>
          <w:b/>
          <w:color w:val="000000" w:themeColor="text1"/>
          <w:lang w:val="en-US"/>
        </w:rPr>
        <w:t xml:space="preserve">to inscribe </w:t>
      </w:r>
      <w:r w:rsidR="00992A2A" w:rsidRPr="00813D19">
        <w:rPr>
          <w:b/>
          <w:lang w:val="en-US"/>
        </w:rPr>
        <w:t>Lkhon Khol Wat Svay Andet</w:t>
      </w:r>
      <w:r w:rsidR="00992A2A" w:rsidRPr="00813D19">
        <w:rPr>
          <w:lang w:val="en-US"/>
        </w:rPr>
        <w:t xml:space="preserve"> </w:t>
      </w:r>
      <w:r w:rsidR="00992A2A" w:rsidRPr="00813D19">
        <w:rPr>
          <w:b/>
          <w:color w:val="000000" w:themeColor="text1"/>
          <w:lang w:val="en-US"/>
        </w:rPr>
        <w:t xml:space="preserve">on </w:t>
      </w:r>
      <w:r w:rsidR="00992A2A" w:rsidRPr="00813D19">
        <w:rPr>
          <w:b/>
          <w:bCs/>
          <w:color w:val="000000" w:themeColor="text1"/>
          <w:lang w:val="en-US"/>
        </w:rPr>
        <w:t>the Urgent Safeguarding List</w:t>
      </w:r>
      <w:r w:rsidR="00992A2A" w:rsidRPr="00E41386">
        <w:rPr>
          <w:color w:val="000000" w:themeColor="text1"/>
          <w:lang w:val="en-US"/>
        </w:rPr>
        <w:t>.</w:t>
      </w:r>
    </w:p>
    <w:p w14:paraId="278FABB9" w14:textId="3E321288" w:rsidR="005A1AF7" w:rsidRPr="00813D19" w:rsidRDefault="00012979" w:rsidP="00012979">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Cambodia</w:t>
      </w:r>
      <w:r w:rsidR="00F508B9" w:rsidRPr="00813D19">
        <w:rPr>
          <w:rFonts w:eastAsia="Calibri"/>
          <w:b/>
          <w:color w:val="000000" w:themeColor="text1"/>
          <w:lang w:val="en-US"/>
        </w:rPr>
        <w:t xml:space="preserve"> </w:t>
      </w:r>
      <w:r w:rsidR="003939B1" w:rsidRPr="00813D19">
        <w:rPr>
          <w:rFonts w:eastAsia="Calibri"/>
          <w:color w:val="000000" w:themeColor="text1"/>
          <w:lang w:val="en-US"/>
        </w:rPr>
        <w:t xml:space="preserve">spoke of </w:t>
      </w:r>
      <w:r w:rsidR="00E62E4B" w:rsidRPr="00813D19">
        <w:rPr>
          <w:rFonts w:eastAsia="Calibri"/>
          <w:color w:val="000000" w:themeColor="text1"/>
          <w:lang w:val="en-US"/>
        </w:rPr>
        <w:t>this</w:t>
      </w:r>
      <w:r w:rsidR="003939B1" w:rsidRPr="00813D19">
        <w:rPr>
          <w:rFonts w:eastAsia="Calibri"/>
          <w:b/>
          <w:color w:val="000000" w:themeColor="text1"/>
          <w:lang w:val="en-US"/>
        </w:rPr>
        <w:t xml:space="preserve"> </w:t>
      </w:r>
      <w:r w:rsidR="003939B1" w:rsidRPr="00813D19">
        <w:rPr>
          <w:rFonts w:eastAsia="Calibri"/>
          <w:color w:val="000000" w:themeColor="text1"/>
          <w:lang w:val="en-US"/>
        </w:rPr>
        <w:t xml:space="preserve">moment of joy and pride </w:t>
      </w:r>
      <w:r w:rsidR="005A1AF7" w:rsidRPr="00813D19">
        <w:rPr>
          <w:rFonts w:eastAsia="Calibri"/>
          <w:color w:val="000000" w:themeColor="text1"/>
          <w:lang w:val="en-US"/>
        </w:rPr>
        <w:t xml:space="preserve">for Cambodia and especially for </w:t>
      </w:r>
      <w:r w:rsidR="003939B1" w:rsidRPr="00813D19">
        <w:rPr>
          <w:rFonts w:eastAsia="Calibri"/>
          <w:color w:val="000000" w:themeColor="text1"/>
          <w:lang w:val="en-US"/>
        </w:rPr>
        <w:t>the community of Wat Svay Andet</w:t>
      </w:r>
      <w:r w:rsidR="005A1AF7" w:rsidRPr="00813D19">
        <w:rPr>
          <w:rFonts w:eastAsia="Calibri"/>
          <w:color w:val="000000" w:themeColor="text1"/>
          <w:lang w:val="en-US"/>
        </w:rPr>
        <w:t xml:space="preserve"> to see this fifth element of </w:t>
      </w:r>
      <w:r w:rsidR="003939B1" w:rsidRPr="00813D19">
        <w:rPr>
          <w:rFonts w:eastAsia="Calibri"/>
          <w:color w:val="000000" w:themeColor="text1"/>
          <w:lang w:val="en-US"/>
        </w:rPr>
        <w:t xml:space="preserve">its </w:t>
      </w:r>
      <w:r w:rsidR="005A1AF7" w:rsidRPr="00813D19">
        <w:rPr>
          <w:rFonts w:eastAsia="Calibri"/>
          <w:color w:val="000000" w:themeColor="text1"/>
          <w:lang w:val="en-US"/>
        </w:rPr>
        <w:t xml:space="preserve">intangible cultural heritage on this </w:t>
      </w:r>
      <w:r w:rsidR="003939B1" w:rsidRPr="00813D19">
        <w:rPr>
          <w:rFonts w:eastAsia="Calibri"/>
          <w:color w:val="000000" w:themeColor="text1"/>
          <w:lang w:val="en-US"/>
        </w:rPr>
        <w:t>L</w:t>
      </w:r>
      <w:r w:rsidR="005A1AF7" w:rsidRPr="00813D19">
        <w:rPr>
          <w:rFonts w:eastAsia="Calibri"/>
          <w:color w:val="000000" w:themeColor="text1"/>
          <w:lang w:val="en-US"/>
        </w:rPr>
        <w:t xml:space="preserve">ist. On behalf of the Royal Government of Cambodia and the communities concerned, Cambodia thanked the Committee for </w:t>
      </w:r>
      <w:r w:rsidR="003939B1" w:rsidRPr="00813D19">
        <w:rPr>
          <w:rFonts w:eastAsia="Calibri"/>
          <w:color w:val="000000" w:themeColor="text1"/>
          <w:lang w:val="en-US"/>
        </w:rPr>
        <w:t xml:space="preserve">its decision to inscribe </w:t>
      </w:r>
      <w:r w:rsidR="003939B1" w:rsidRPr="00813D19">
        <w:rPr>
          <w:lang w:val="en-US"/>
        </w:rPr>
        <w:t xml:space="preserve">Lkhon Khol Wat Svay Andet </w:t>
      </w:r>
      <w:r w:rsidR="003939B1" w:rsidRPr="00813D19">
        <w:rPr>
          <w:rFonts w:eastAsia="Calibri"/>
          <w:color w:val="000000" w:themeColor="text1"/>
          <w:lang w:val="en-US"/>
        </w:rPr>
        <w:t>on the Urgent Safeguarding List, which would encourage</w:t>
      </w:r>
      <w:r w:rsidR="005A1AF7" w:rsidRPr="00813D19">
        <w:rPr>
          <w:rFonts w:eastAsia="Calibri"/>
          <w:color w:val="000000" w:themeColor="text1"/>
          <w:lang w:val="en-US"/>
        </w:rPr>
        <w:t xml:space="preserve"> the development of this form of Cambodian cultural expression.</w:t>
      </w:r>
      <w:r w:rsidR="003939B1" w:rsidRPr="00813D19">
        <w:rPr>
          <w:rFonts w:eastAsia="Calibri"/>
          <w:color w:val="000000" w:themeColor="text1"/>
          <w:lang w:val="en-US"/>
        </w:rPr>
        <w:t xml:space="preserve"> Cambodia </w:t>
      </w:r>
      <w:r w:rsidR="00CA77D0">
        <w:rPr>
          <w:rFonts w:eastAsia="Calibri"/>
          <w:color w:val="000000" w:themeColor="text1"/>
          <w:lang w:val="en-US"/>
        </w:rPr>
        <w:t>was</w:t>
      </w:r>
      <w:r w:rsidR="003939B1" w:rsidRPr="00813D19">
        <w:rPr>
          <w:rFonts w:eastAsia="Calibri"/>
          <w:color w:val="000000" w:themeColor="text1"/>
          <w:lang w:val="en-US"/>
        </w:rPr>
        <w:t xml:space="preserve"> aware of its responsibility to assist communities in the implementation of the safeguarding plan. Many activities were already underway and the country considered this element </w:t>
      </w:r>
      <w:r w:rsidR="00CA77D0">
        <w:rPr>
          <w:rFonts w:eastAsia="Calibri"/>
          <w:color w:val="000000" w:themeColor="text1"/>
          <w:lang w:val="en-US"/>
        </w:rPr>
        <w:t>to be</w:t>
      </w:r>
      <w:r w:rsidR="003939B1" w:rsidRPr="00813D19">
        <w:rPr>
          <w:rFonts w:eastAsia="Calibri"/>
          <w:color w:val="000000" w:themeColor="text1"/>
          <w:lang w:val="en-US"/>
        </w:rPr>
        <w:t xml:space="preserve"> a reflection of its cultural identity. </w:t>
      </w:r>
      <w:r w:rsidR="00E62E4B" w:rsidRPr="00813D19">
        <w:rPr>
          <w:rFonts w:eastAsia="Calibri"/>
          <w:color w:val="000000" w:themeColor="text1"/>
          <w:lang w:val="en-US"/>
        </w:rPr>
        <w:t xml:space="preserve">It </w:t>
      </w:r>
      <w:r w:rsidR="003939B1" w:rsidRPr="00813D19">
        <w:rPr>
          <w:rFonts w:eastAsia="Calibri"/>
          <w:color w:val="000000" w:themeColor="text1"/>
          <w:lang w:val="en-US"/>
        </w:rPr>
        <w:t xml:space="preserve">assured the Committee that this inscription </w:t>
      </w:r>
      <w:r w:rsidR="00CA77D0">
        <w:rPr>
          <w:rFonts w:eastAsia="Calibri"/>
          <w:color w:val="000000" w:themeColor="text1"/>
          <w:lang w:val="en-US"/>
        </w:rPr>
        <w:t>would</w:t>
      </w:r>
      <w:r w:rsidR="00CA77D0" w:rsidRPr="00813D19">
        <w:rPr>
          <w:rFonts w:eastAsia="Calibri"/>
          <w:color w:val="000000" w:themeColor="text1"/>
          <w:lang w:val="en-US"/>
        </w:rPr>
        <w:t xml:space="preserve"> </w:t>
      </w:r>
      <w:r w:rsidR="003939B1" w:rsidRPr="00813D19">
        <w:rPr>
          <w:rFonts w:eastAsia="Calibri"/>
          <w:color w:val="000000" w:themeColor="text1"/>
          <w:lang w:val="en-US"/>
        </w:rPr>
        <w:t xml:space="preserve">create </w:t>
      </w:r>
      <w:r w:rsidR="00CA77D0">
        <w:rPr>
          <w:rFonts w:eastAsia="Calibri"/>
          <w:color w:val="000000" w:themeColor="text1"/>
          <w:lang w:val="en-US"/>
        </w:rPr>
        <w:t xml:space="preserve">a </w:t>
      </w:r>
      <w:r w:rsidR="003939B1" w:rsidRPr="00813D19">
        <w:rPr>
          <w:rFonts w:eastAsia="Calibri"/>
          <w:color w:val="000000" w:themeColor="text1"/>
          <w:lang w:val="en-US"/>
        </w:rPr>
        <w:t xml:space="preserve">positive synergy between communities and other stakeholders, which </w:t>
      </w:r>
      <w:r w:rsidR="00CA77D0" w:rsidRPr="00813D19">
        <w:rPr>
          <w:rFonts w:eastAsia="Calibri"/>
          <w:color w:val="000000" w:themeColor="text1"/>
          <w:lang w:val="en-US"/>
        </w:rPr>
        <w:t>w</w:t>
      </w:r>
      <w:r w:rsidR="00CA77D0">
        <w:rPr>
          <w:rFonts w:eastAsia="Calibri"/>
          <w:color w:val="000000" w:themeColor="text1"/>
          <w:lang w:val="en-US"/>
        </w:rPr>
        <w:t>ould</w:t>
      </w:r>
      <w:r w:rsidR="00CA77D0" w:rsidRPr="00813D19">
        <w:rPr>
          <w:rFonts w:eastAsia="Calibri"/>
          <w:color w:val="000000" w:themeColor="text1"/>
          <w:lang w:val="en-US"/>
        </w:rPr>
        <w:t xml:space="preserve"> </w:t>
      </w:r>
      <w:r w:rsidR="003939B1" w:rsidRPr="00813D19">
        <w:rPr>
          <w:rFonts w:eastAsia="Calibri"/>
          <w:color w:val="000000" w:themeColor="text1"/>
          <w:lang w:val="en-US"/>
        </w:rPr>
        <w:t xml:space="preserve">greatly support the safeguarding efforts and ensure the viability of the element. Cambodia regarded this session as a major step in the contribution of intangible </w:t>
      </w:r>
      <w:r w:rsidR="00F85557" w:rsidRPr="00813D19">
        <w:rPr>
          <w:rFonts w:eastAsia="Calibri"/>
          <w:color w:val="000000" w:themeColor="text1"/>
          <w:lang w:val="en-US"/>
        </w:rPr>
        <w:t xml:space="preserve">cultural </w:t>
      </w:r>
      <w:r w:rsidR="003939B1" w:rsidRPr="00813D19">
        <w:rPr>
          <w:rFonts w:eastAsia="Calibri"/>
          <w:color w:val="000000" w:themeColor="text1"/>
          <w:lang w:val="en-US"/>
        </w:rPr>
        <w:t xml:space="preserve">heritage </w:t>
      </w:r>
      <w:r w:rsidR="00CA77D0">
        <w:rPr>
          <w:rFonts w:eastAsia="Calibri"/>
          <w:color w:val="000000" w:themeColor="text1"/>
          <w:lang w:val="en-US"/>
        </w:rPr>
        <w:t>to</w:t>
      </w:r>
      <w:r w:rsidR="00F85557" w:rsidRPr="00813D19">
        <w:rPr>
          <w:rFonts w:eastAsia="Calibri"/>
          <w:color w:val="000000" w:themeColor="text1"/>
          <w:lang w:val="en-US"/>
        </w:rPr>
        <w:t xml:space="preserve"> </w:t>
      </w:r>
      <w:r w:rsidR="00E41386">
        <w:rPr>
          <w:rFonts w:eastAsia="Calibri"/>
          <w:color w:val="000000" w:themeColor="text1"/>
          <w:lang w:val="en-US"/>
        </w:rPr>
        <w:t>preserving cultural diversity.</w:t>
      </w:r>
    </w:p>
    <w:p w14:paraId="69C20B22" w14:textId="25C9F317" w:rsidR="003D7F14" w:rsidRPr="00813D19" w:rsidRDefault="003939B1" w:rsidP="00012979">
      <w:pPr>
        <w:pStyle w:val="Orateurengris"/>
        <w:spacing w:before="120"/>
        <w:ind w:left="709" w:hanging="709"/>
        <w:rPr>
          <w:lang w:val="en-US"/>
        </w:rPr>
      </w:pPr>
      <w:r w:rsidRPr="00813D19">
        <w:rPr>
          <w:rFonts w:eastAsia="Calibri"/>
          <w:color w:val="000000" w:themeColor="text1"/>
          <w:lang w:val="en-US"/>
        </w:rPr>
        <w:t>Thanking Cambodia once again, t</w:t>
      </w:r>
      <w:r w:rsidR="003D7F14" w:rsidRPr="00813D19">
        <w:rPr>
          <w:rFonts w:eastAsia="Calibri"/>
          <w:color w:val="000000" w:themeColor="text1"/>
          <w:lang w:val="en-US"/>
        </w:rPr>
        <w:t xml:space="preserve">he </w:t>
      </w:r>
      <w:r w:rsidR="003D7F14" w:rsidRPr="00813D19">
        <w:rPr>
          <w:rFonts w:eastAsia="Calibri"/>
          <w:b/>
          <w:color w:val="000000" w:themeColor="text1"/>
          <w:lang w:val="en-US"/>
        </w:rPr>
        <w:t>Chairperson</w:t>
      </w:r>
      <w:r w:rsidR="003D7F14" w:rsidRPr="00813D19">
        <w:rPr>
          <w:rFonts w:eastAsia="Calibri"/>
          <w:color w:val="000000" w:themeColor="text1"/>
          <w:lang w:val="en-US"/>
        </w:rPr>
        <w:t xml:space="preserve"> </w:t>
      </w:r>
      <w:r w:rsidRPr="00813D19">
        <w:rPr>
          <w:rFonts w:eastAsia="Calibri"/>
          <w:color w:val="000000" w:themeColor="text1"/>
          <w:lang w:val="en-US"/>
        </w:rPr>
        <w:t xml:space="preserve">then turned to the </w:t>
      </w:r>
      <w:r w:rsidRPr="00813D19">
        <w:rPr>
          <w:bCs/>
          <w:lang w:val="en-US"/>
        </w:rPr>
        <w:t>next nomination submitted by Egypt.</w:t>
      </w:r>
    </w:p>
    <w:p w14:paraId="5B12DA4A" w14:textId="21FDBAC2" w:rsidR="00231ED6" w:rsidRPr="00813D19" w:rsidRDefault="00231ED6" w:rsidP="00231ED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CA77D0">
        <w:rPr>
          <w:color w:val="000000" w:themeColor="text1"/>
          <w:lang w:val="en-US"/>
        </w:rPr>
        <w:t>,</w:t>
      </w:r>
      <w:r w:rsidR="003D7F14" w:rsidRPr="00813D19">
        <w:rPr>
          <w:color w:val="000000" w:themeColor="text1"/>
          <w:lang w:val="en-US"/>
        </w:rPr>
        <w:t xml:space="preserve"> </w:t>
      </w:r>
      <w:r w:rsidRPr="00813D19">
        <w:rPr>
          <w:b/>
          <w:lang w:val="en-US"/>
        </w:rPr>
        <w:t>Traditional hand puppetry</w:t>
      </w:r>
      <w:r w:rsidRPr="00813D19">
        <w:rPr>
          <w:lang w:val="en-US"/>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10.a.4]</w:t>
      </w:r>
      <w:r w:rsidR="00CA77D0">
        <w:rPr>
          <w:color w:val="000000" w:themeColor="text1"/>
          <w:lang w:val="en-US"/>
        </w:rPr>
        <w:t>,</w:t>
      </w:r>
      <w:r w:rsidRPr="00813D19">
        <w:rPr>
          <w:b/>
          <w:color w:val="000000" w:themeColor="text1"/>
          <w:lang w:val="en-US"/>
        </w:rPr>
        <w:t xml:space="preserve"> </w:t>
      </w:r>
      <w:r w:rsidRPr="00813D19">
        <w:rPr>
          <w:lang w:val="en-US"/>
        </w:rPr>
        <w:t xml:space="preserve">submitted by </w:t>
      </w:r>
      <w:r w:rsidRPr="00813D19">
        <w:rPr>
          <w:b/>
          <w:lang w:val="en-US"/>
        </w:rPr>
        <w:t>Egypt</w:t>
      </w:r>
      <w:r w:rsidRPr="00813D19">
        <w:rPr>
          <w:lang w:val="en-US"/>
        </w:rPr>
        <w:t>. Al-Aragoz is an old form of Egyptian theatre using traditional hand puppetry. The viability of the practice is threatened by the changing social, political, legal and cultural circumstances of its enactment, such as laws concerning public gatherings, the rise of religious radicalism, an overall decrease in interest among younger generations, and the advanced age of its active practitioners. From the information included in th</w:t>
      </w:r>
      <w:r w:rsidR="00AF64DD" w:rsidRPr="00813D19">
        <w:rPr>
          <w:lang w:val="en-US"/>
        </w:rPr>
        <w:t>e file, the nomination satisfied</w:t>
      </w:r>
      <w:r w:rsidRPr="00813D19">
        <w:rPr>
          <w:lang w:val="en-US"/>
        </w:rPr>
        <w:t xml:space="preserve"> all five criteria. The Evaluation Body considered that Traditional hand puppetry transmits moral principles, social norms and cultural values, addresses family relations and conveys messages about negative social behavio</w:t>
      </w:r>
      <w:r w:rsidR="00A84307">
        <w:rPr>
          <w:lang w:val="en-US"/>
        </w:rPr>
        <w:t>u</w:t>
      </w:r>
      <w:r w:rsidRPr="00813D19">
        <w:rPr>
          <w:lang w:val="en-US"/>
        </w:rPr>
        <w:t xml:space="preserve">r and other topical issues. Efforts to safeguard the element include the identification and description of its contemporary state, scientific research and related publications. Through a series of meetings and training sessions, Aragoz practitioners and three NGOs </w:t>
      </w:r>
      <w:r w:rsidR="00CA77D0">
        <w:rPr>
          <w:lang w:val="en-US"/>
        </w:rPr>
        <w:t xml:space="preserve">had </w:t>
      </w:r>
      <w:r w:rsidRPr="00813D19">
        <w:rPr>
          <w:lang w:val="en-US"/>
        </w:rPr>
        <w:t>identified the element and provided their free, prior and informed consent to the nomination. The Evaluation Body recommended that the Committee inscribe Traditional hand puppetry on the Urgent Safeguarding List.</w:t>
      </w:r>
    </w:p>
    <w:p w14:paraId="3BAF694E" w14:textId="3B14A06A" w:rsidR="008B5485" w:rsidRPr="00813D19" w:rsidRDefault="008B5485" w:rsidP="00231ED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noted that no amendment</w:t>
      </w:r>
      <w:r w:rsidR="001A4023" w:rsidRPr="00813D19">
        <w:rPr>
          <w:color w:val="000000" w:themeColor="text1"/>
          <w:lang w:val="en-US"/>
        </w:rPr>
        <w:t>s</w:t>
      </w:r>
      <w:r w:rsidRPr="00813D19">
        <w:rPr>
          <w:color w:val="000000" w:themeColor="text1"/>
          <w:lang w:val="en-US"/>
        </w:rPr>
        <w:t xml:space="preserve"> had been received for this nomination.</w:t>
      </w:r>
    </w:p>
    <w:p w14:paraId="04B2EA9C" w14:textId="1DF265AB" w:rsidR="008B5485" w:rsidRPr="00813D19" w:rsidRDefault="008B5485" w:rsidP="00231ED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delegation of Kuwait</w:t>
      </w:r>
      <w:r w:rsidRPr="00813D19">
        <w:rPr>
          <w:color w:val="000000" w:themeColor="text1"/>
          <w:lang w:val="en-US"/>
        </w:rPr>
        <w:t xml:space="preserve"> </w:t>
      </w:r>
      <w:r w:rsidR="00B421D2" w:rsidRPr="00813D19">
        <w:rPr>
          <w:bCs/>
          <w:lang w:val="en-US"/>
        </w:rPr>
        <w:t>thank</w:t>
      </w:r>
      <w:r w:rsidR="007C244B" w:rsidRPr="00813D19">
        <w:rPr>
          <w:bCs/>
          <w:lang w:val="en-US"/>
        </w:rPr>
        <w:t>ed</w:t>
      </w:r>
      <w:r w:rsidR="00B421D2" w:rsidRPr="00813D19">
        <w:rPr>
          <w:bCs/>
          <w:lang w:val="en-US"/>
        </w:rPr>
        <w:t xml:space="preserve"> the Evaluation Body for its work and for their analysis of this par</w:t>
      </w:r>
      <w:r w:rsidR="007C244B" w:rsidRPr="00813D19">
        <w:rPr>
          <w:bCs/>
          <w:lang w:val="en-US"/>
        </w:rPr>
        <w:t xml:space="preserve">ticular dossier. It </w:t>
      </w:r>
      <w:r w:rsidR="00B421D2" w:rsidRPr="00813D19">
        <w:rPr>
          <w:bCs/>
          <w:lang w:val="en-US"/>
        </w:rPr>
        <w:t>congratulate</w:t>
      </w:r>
      <w:r w:rsidR="007C244B" w:rsidRPr="00813D19">
        <w:rPr>
          <w:bCs/>
          <w:lang w:val="en-US"/>
        </w:rPr>
        <w:t>d</w:t>
      </w:r>
      <w:r w:rsidR="00B421D2" w:rsidRPr="00813D19">
        <w:rPr>
          <w:bCs/>
          <w:lang w:val="en-US"/>
        </w:rPr>
        <w:t xml:space="preserve"> Egypt and all the other countries in the region for this inscription because </w:t>
      </w:r>
      <w:r w:rsidR="007C244B" w:rsidRPr="00813D19">
        <w:rPr>
          <w:bCs/>
          <w:lang w:val="en-US"/>
        </w:rPr>
        <w:t xml:space="preserve">it is </w:t>
      </w:r>
      <w:r w:rsidR="00B421D2" w:rsidRPr="00813D19">
        <w:rPr>
          <w:bCs/>
          <w:lang w:val="en-US"/>
        </w:rPr>
        <w:t xml:space="preserve">a vital element from a cultural perspective. </w:t>
      </w:r>
      <w:r w:rsidR="007C244B" w:rsidRPr="00813D19">
        <w:rPr>
          <w:bCs/>
          <w:lang w:val="en-US"/>
        </w:rPr>
        <w:t xml:space="preserve">As stated, there </w:t>
      </w:r>
      <w:r w:rsidR="00ED2D24" w:rsidRPr="00813D19">
        <w:rPr>
          <w:bCs/>
          <w:lang w:val="en-US"/>
        </w:rPr>
        <w:t xml:space="preserve">were </w:t>
      </w:r>
      <w:r w:rsidR="00B421D2" w:rsidRPr="00813D19">
        <w:rPr>
          <w:bCs/>
          <w:lang w:val="en-US"/>
        </w:rPr>
        <w:t xml:space="preserve">threats </w:t>
      </w:r>
      <w:r w:rsidR="00ED2D24" w:rsidRPr="00813D19">
        <w:rPr>
          <w:bCs/>
          <w:lang w:val="en-US"/>
        </w:rPr>
        <w:t>faci</w:t>
      </w:r>
      <w:r w:rsidR="007C244B" w:rsidRPr="00813D19">
        <w:rPr>
          <w:bCs/>
          <w:lang w:val="en-US"/>
        </w:rPr>
        <w:t xml:space="preserve">ng this </w:t>
      </w:r>
      <w:r w:rsidR="00B421D2" w:rsidRPr="00813D19">
        <w:rPr>
          <w:bCs/>
          <w:lang w:val="en-US"/>
        </w:rPr>
        <w:t>element</w:t>
      </w:r>
      <w:r w:rsidR="00ED2D24" w:rsidRPr="00813D19">
        <w:rPr>
          <w:bCs/>
          <w:lang w:val="en-US"/>
        </w:rPr>
        <w:t>,</w:t>
      </w:r>
      <w:r w:rsidR="00B421D2" w:rsidRPr="00813D19">
        <w:rPr>
          <w:bCs/>
          <w:lang w:val="en-US"/>
        </w:rPr>
        <w:t xml:space="preserve"> </w:t>
      </w:r>
      <w:r w:rsidR="00ED2D24" w:rsidRPr="00813D19">
        <w:rPr>
          <w:bCs/>
          <w:lang w:val="en-US"/>
        </w:rPr>
        <w:t xml:space="preserve">but </w:t>
      </w:r>
      <w:r w:rsidR="007C244B" w:rsidRPr="00813D19">
        <w:rPr>
          <w:bCs/>
          <w:lang w:val="en-US"/>
        </w:rPr>
        <w:t>Egypt,</w:t>
      </w:r>
      <w:r w:rsidR="00B421D2" w:rsidRPr="00813D19">
        <w:rPr>
          <w:bCs/>
          <w:lang w:val="en-US"/>
        </w:rPr>
        <w:t xml:space="preserve"> with its bearers and </w:t>
      </w:r>
      <w:r w:rsidR="007C244B" w:rsidRPr="00813D19">
        <w:rPr>
          <w:bCs/>
          <w:lang w:val="en-US"/>
        </w:rPr>
        <w:t xml:space="preserve">the </w:t>
      </w:r>
      <w:r w:rsidR="00B421D2" w:rsidRPr="00813D19">
        <w:rPr>
          <w:bCs/>
          <w:lang w:val="en-US"/>
        </w:rPr>
        <w:t>communities concerned</w:t>
      </w:r>
      <w:r w:rsidR="007C244B" w:rsidRPr="00813D19">
        <w:rPr>
          <w:bCs/>
          <w:lang w:val="en-US"/>
        </w:rPr>
        <w:t>,</w:t>
      </w:r>
      <w:r w:rsidR="00B421D2" w:rsidRPr="00813D19">
        <w:rPr>
          <w:bCs/>
          <w:lang w:val="en-US"/>
        </w:rPr>
        <w:t xml:space="preserve"> </w:t>
      </w:r>
      <w:r w:rsidR="00ED2D24" w:rsidRPr="00813D19">
        <w:rPr>
          <w:bCs/>
          <w:lang w:val="en-US"/>
        </w:rPr>
        <w:t>w</w:t>
      </w:r>
      <w:r w:rsidR="00CA77D0">
        <w:rPr>
          <w:bCs/>
          <w:lang w:val="en-US"/>
        </w:rPr>
        <w:t>as</w:t>
      </w:r>
      <w:r w:rsidR="00ED2D24" w:rsidRPr="00813D19">
        <w:rPr>
          <w:bCs/>
          <w:lang w:val="en-US"/>
        </w:rPr>
        <w:t xml:space="preserve"> </w:t>
      </w:r>
      <w:r w:rsidR="00B421D2" w:rsidRPr="00813D19">
        <w:rPr>
          <w:bCs/>
          <w:lang w:val="en-US"/>
        </w:rPr>
        <w:t>committed to taking the necessary measures t</w:t>
      </w:r>
      <w:r w:rsidR="00E41386">
        <w:rPr>
          <w:bCs/>
          <w:lang w:val="en-US"/>
        </w:rPr>
        <w:t>o protect this living heritage.</w:t>
      </w:r>
    </w:p>
    <w:p w14:paraId="4EFDF72D" w14:textId="773305A5" w:rsidR="008B5485" w:rsidRPr="00813D19" w:rsidRDefault="008B5485" w:rsidP="00231ED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delegation of Colombia</w:t>
      </w:r>
      <w:r w:rsidR="00B421D2" w:rsidRPr="00813D19">
        <w:rPr>
          <w:b/>
          <w:color w:val="000000" w:themeColor="text1"/>
          <w:lang w:val="en-US"/>
        </w:rPr>
        <w:t xml:space="preserve"> </w:t>
      </w:r>
      <w:r w:rsidR="00B421D2" w:rsidRPr="00813D19">
        <w:rPr>
          <w:bCs/>
          <w:lang w:val="en-US"/>
        </w:rPr>
        <w:t>commend</w:t>
      </w:r>
      <w:r w:rsidR="007C244B" w:rsidRPr="00813D19">
        <w:rPr>
          <w:bCs/>
          <w:lang w:val="en-US"/>
        </w:rPr>
        <w:t>ed</w:t>
      </w:r>
      <w:r w:rsidR="00B421D2" w:rsidRPr="00813D19">
        <w:rPr>
          <w:bCs/>
          <w:lang w:val="en-US"/>
        </w:rPr>
        <w:t xml:space="preserve"> </w:t>
      </w:r>
      <w:r w:rsidR="00ED2D24" w:rsidRPr="00813D19">
        <w:rPr>
          <w:bCs/>
          <w:lang w:val="en-US"/>
        </w:rPr>
        <w:t xml:space="preserve">and congratulated </w:t>
      </w:r>
      <w:r w:rsidR="00B421D2" w:rsidRPr="00813D19">
        <w:rPr>
          <w:bCs/>
          <w:lang w:val="en-US"/>
        </w:rPr>
        <w:t>Egypt for the work behind this high</w:t>
      </w:r>
      <w:r w:rsidR="00CA77D0">
        <w:rPr>
          <w:bCs/>
          <w:lang w:val="en-US"/>
        </w:rPr>
        <w:t>-</w:t>
      </w:r>
      <w:r w:rsidR="007C244B" w:rsidRPr="00813D19">
        <w:rPr>
          <w:bCs/>
          <w:lang w:val="en-US"/>
        </w:rPr>
        <w:t>quality nomination file</w:t>
      </w:r>
      <w:r w:rsidR="00ED2D24" w:rsidRPr="00813D19">
        <w:rPr>
          <w:bCs/>
          <w:lang w:val="en-US"/>
        </w:rPr>
        <w:t xml:space="preserve"> and</w:t>
      </w:r>
      <w:r w:rsidR="007C244B" w:rsidRPr="00813D19">
        <w:rPr>
          <w:bCs/>
          <w:lang w:val="en-US"/>
        </w:rPr>
        <w:t xml:space="preserve"> </w:t>
      </w:r>
      <w:r w:rsidR="00B421D2" w:rsidRPr="00813D19">
        <w:rPr>
          <w:bCs/>
          <w:lang w:val="en-US"/>
        </w:rPr>
        <w:t xml:space="preserve">for maintaining this living heritage in such good health despite the threats </w:t>
      </w:r>
      <w:r w:rsidR="007C244B" w:rsidRPr="00813D19">
        <w:rPr>
          <w:bCs/>
          <w:lang w:val="en-US"/>
        </w:rPr>
        <w:t xml:space="preserve">faced, which </w:t>
      </w:r>
      <w:r w:rsidR="00ED2D24" w:rsidRPr="00813D19">
        <w:rPr>
          <w:bCs/>
          <w:lang w:val="en-US"/>
        </w:rPr>
        <w:t xml:space="preserve">only </w:t>
      </w:r>
      <w:r w:rsidR="007C244B" w:rsidRPr="00813D19">
        <w:rPr>
          <w:bCs/>
          <w:lang w:val="en-US"/>
        </w:rPr>
        <w:t xml:space="preserve">demonstrated the State’s </w:t>
      </w:r>
      <w:r w:rsidR="00E41386">
        <w:rPr>
          <w:bCs/>
          <w:lang w:val="en-US"/>
        </w:rPr>
        <w:t>deep commitment.</w:t>
      </w:r>
    </w:p>
    <w:p w14:paraId="515D288C" w14:textId="56C51ACD" w:rsidR="008B5485" w:rsidRPr="00813D19" w:rsidRDefault="008B5485" w:rsidP="00231ED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delegation of Palestine</w:t>
      </w:r>
      <w:r w:rsidR="00B421D2" w:rsidRPr="00813D19">
        <w:rPr>
          <w:b/>
          <w:color w:val="000000" w:themeColor="text1"/>
          <w:lang w:val="en-US"/>
        </w:rPr>
        <w:t xml:space="preserve"> </w:t>
      </w:r>
      <w:r w:rsidR="00B421D2" w:rsidRPr="00813D19">
        <w:rPr>
          <w:bCs/>
          <w:lang w:val="en-US"/>
        </w:rPr>
        <w:t>extend</w:t>
      </w:r>
      <w:r w:rsidR="007C244B" w:rsidRPr="00813D19">
        <w:rPr>
          <w:bCs/>
          <w:lang w:val="en-US"/>
        </w:rPr>
        <w:t>ed</w:t>
      </w:r>
      <w:r w:rsidR="00B421D2" w:rsidRPr="00813D19">
        <w:rPr>
          <w:bCs/>
          <w:lang w:val="en-US"/>
        </w:rPr>
        <w:t xml:space="preserve"> </w:t>
      </w:r>
      <w:r w:rsidR="00CA77D0">
        <w:rPr>
          <w:bCs/>
          <w:lang w:val="en-US"/>
        </w:rPr>
        <w:t xml:space="preserve">its </w:t>
      </w:r>
      <w:r w:rsidR="00B421D2" w:rsidRPr="00813D19">
        <w:rPr>
          <w:bCs/>
          <w:lang w:val="en-US"/>
        </w:rPr>
        <w:t>thanks to Egypt and the Evaluation Bod</w:t>
      </w:r>
      <w:r w:rsidR="00F14C5A" w:rsidRPr="00813D19">
        <w:rPr>
          <w:bCs/>
          <w:lang w:val="en-US"/>
        </w:rPr>
        <w:t xml:space="preserve">y for all the work undertaken, thanking </w:t>
      </w:r>
      <w:r w:rsidR="00B421D2" w:rsidRPr="00813D19">
        <w:rPr>
          <w:bCs/>
          <w:lang w:val="en-US"/>
        </w:rPr>
        <w:t>the State Party for safeguarding this traditional hand puppetry element</w:t>
      </w:r>
      <w:r w:rsidR="00F14C5A" w:rsidRPr="00813D19">
        <w:rPr>
          <w:bCs/>
          <w:lang w:val="en-US"/>
        </w:rPr>
        <w:t>,</w:t>
      </w:r>
      <w:r w:rsidR="00B421D2" w:rsidRPr="00813D19">
        <w:rPr>
          <w:bCs/>
          <w:lang w:val="en-US"/>
        </w:rPr>
        <w:t xml:space="preserve"> which </w:t>
      </w:r>
      <w:r w:rsidR="00F14C5A" w:rsidRPr="00813D19">
        <w:rPr>
          <w:bCs/>
          <w:lang w:val="en-US"/>
        </w:rPr>
        <w:t xml:space="preserve">is a </w:t>
      </w:r>
      <w:r w:rsidR="00B421D2" w:rsidRPr="00813D19">
        <w:rPr>
          <w:bCs/>
          <w:lang w:val="en-US"/>
        </w:rPr>
        <w:t>deep</w:t>
      </w:r>
      <w:r w:rsidR="00F14C5A" w:rsidRPr="00813D19">
        <w:rPr>
          <w:bCs/>
          <w:lang w:val="en-US"/>
        </w:rPr>
        <w:t xml:space="preserve">ly </w:t>
      </w:r>
      <w:r w:rsidR="00B421D2" w:rsidRPr="00813D19">
        <w:rPr>
          <w:bCs/>
          <w:lang w:val="en-US"/>
        </w:rPr>
        <w:t xml:space="preserve">rooted part of the culture </w:t>
      </w:r>
      <w:r w:rsidR="00F14C5A" w:rsidRPr="00813D19">
        <w:rPr>
          <w:bCs/>
          <w:lang w:val="en-US"/>
        </w:rPr>
        <w:t xml:space="preserve">of </w:t>
      </w:r>
      <w:r w:rsidR="00B421D2" w:rsidRPr="00813D19">
        <w:rPr>
          <w:bCs/>
          <w:lang w:val="en-US"/>
        </w:rPr>
        <w:t xml:space="preserve">the region and which </w:t>
      </w:r>
      <w:r w:rsidR="00F14C5A" w:rsidRPr="00813D19">
        <w:rPr>
          <w:bCs/>
          <w:lang w:val="en-US"/>
        </w:rPr>
        <w:t xml:space="preserve">is </w:t>
      </w:r>
      <w:r w:rsidR="00E41386">
        <w:rPr>
          <w:bCs/>
          <w:lang w:val="en-US"/>
        </w:rPr>
        <w:t>unfortunately under threat.</w:t>
      </w:r>
    </w:p>
    <w:p w14:paraId="7F60E951" w14:textId="2EBF7110" w:rsidR="003D7F14" w:rsidRPr="00813D19" w:rsidRDefault="003D7F14" w:rsidP="00231ED6">
      <w:pPr>
        <w:pStyle w:val="Orateurengris"/>
        <w:spacing w:before="120"/>
        <w:ind w:left="709" w:hanging="709"/>
        <w:rPr>
          <w:lang w:val="en-US"/>
        </w:rPr>
      </w:pPr>
      <w:r w:rsidRPr="00813D19">
        <w:rPr>
          <w:rFonts w:eastAsia="Calibri"/>
          <w:color w:val="000000" w:themeColor="text1"/>
          <w:lang w:val="en-US"/>
        </w:rPr>
        <w:t>Turning to the draft decision as a whole, the</w:t>
      </w:r>
      <w:r w:rsidRPr="00813D19">
        <w:rPr>
          <w:rFonts w:eastAsia="Calibri"/>
          <w:b/>
          <w:color w:val="000000" w:themeColor="text1"/>
          <w:lang w:val="en-US"/>
        </w:rPr>
        <w:t xml:space="preserve"> Chairperson declared Decision </w:t>
      </w:r>
      <w:hyperlink r:id="rId96" w:history="1">
        <w:r w:rsidRPr="00813D19">
          <w:rPr>
            <w:rStyle w:val="Hyperlink"/>
            <w:b/>
            <w:lang w:val="en-US"/>
          </w:rPr>
          <w:t>13.COM 10.a.4</w:t>
        </w:r>
      </w:hyperlink>
      <w:r w:rsidRPr="00813D19">
        <w:rPr>
          <w:b/>
          <w:color w:val="000000" w:themeColor="text1"/>
          <w:lang w:val="en-US"/>
        </w:rPr>
        <w:t xml:space="preserve"> </w:t>
      </w:r>
      <w:r w:rsidRPr="00813D19">
        <w:rPr>
          <w:rFonts w:eastAsia="Calibri"/>
          <w:b/>
          <w:color w:val="000000" w:themeColor="text1"/>
          <w:lang w:val="en-US"/>
        </w:rPr>
        <w:t xml:space="preserve">adopted </w:t>
      </w:r>
      <w:r w:rsidRPr="00813D19">
        <w:rPr>
          <w:b/>
          <w:color w:val="000000" w:themeColor="text1"/>
          <w:lang w:val="en-US"/>
        </w:rPr>
        <w:t xml:space="preserve">to inscribe </w:t>
      </w:r>
      <w:r w:rsidRPr="00813D19">
        <w:rPr>
          <w:b/>
          <w:lang w:val="en-US"/>
        </w:rPr>
        <w:t>Traditional hand puppetry</w:t>
      </w:r>
      <w:r w:rsidRPr="00813D19">
        <w:rPr>
          <w:lang w:val="en-US"/>
        </w:rPr>
        <w:t xml:space="preserve"> </w:t>
      </w:r>
      <w:r w:rsidRPr="00813D19">
        <w:rPr>
          <w:b/>
          <w:color w:val="000000" w:themeColor="text1"/>
          <w:lang w:val="en-US"/>
        </w:rPr>
        <w:t xml:space="preserve">on </w:t>
      </w:r>
      <w:r w:rsidRPr="00813D19">
        <w:rPr>
          <w:b/>
          <w:bCs/>
          <w:color w:val="000000" w:themeColor="text1"/>
          <w:lang w:val="en-US"/>
        </w:rPr>
        <w:t>the Urgent Safeguarding List</w:t>
      </w:r>
      <w:r w:rsidRPr="00E41386">
        <w:rPr>
          <w:color w:val="000000" w:themeColor="text1"/>
          <w:lang w:val="en-US"/>
        </w:rPr>
        <w:t>.</w:t>
      </w:r>
    </w:p>
    <w:p w14:paraId="0E21DBE6" w14:textId="542F5A31" w:rsidR="008038AA" w:rsidRPr="00813D19" w:rsidRDefault="00ED5E49" w:rsidP="008038AA">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Egypt</w:t>
      </w:r>
      <w:r w:rsidR="00B421D2" w:rsidRPr="00813D19">
        <w:rPr>
          <w:rFonts w:eastAsia="Calibri"/>
          <w:color w:val="000000" w:themeColor="text1"/>
          <w:lang w:val="en-US"/>
        </w:rPr>
        <w:t xml:space="preserve"> </w:t>
      </w:r>
      <w:r w:rsidR="00B421D2" w:rsidRPr="00813D19">
        <w:rPr>
          <w:bCs/>
          <w:lang w:val="en-US"/>
        </w:rPr>
        <w:t>thank</w:t>
      </w:r>
      <w:r w:rsidR="00F14C5A" w:rsidRPr="00813D19">
        <w:rPr>
          <w:bCs/>
          <w:lang w:val="en-US"/>
        </w:rPr>
        <w:t>ed</w:t>
      </w:r>
      <w:r w:rsidR="00B421D2" w:rsidRPr="00813D19">
        <w:rPr>
          <w:bCs/>
          <w:lang w:val="en-US"/>
        </w:rPr>
        <w:t xml:space="preserve"> the Committee and the Evaluation Body for the comprehensive assessment of </w:t>
      </w:r>
      <w:r w:rsidR="00ED2D24" w:rsidRPr="00813D19">
        <w:rPr>
          <w:bCs/>
          <w:lang w:val="en-US"/>
        </w:rPr>
        <w:t>its</w:t>
      </w:r>
      <w:r w:rsidR="00B421D2" w:rsidRPr="00813D19">
        <w:rPr>
          <w:bCs/>
          <w:lang w:val="en-US"/>
        </w:rPr>
        <w:t xml:space="preserve"> nomination file, which </w:t>
      </w:r>
      <w:r w:rsidR="00CA77D0">
        <w:rPr>
          <w:bCs/>
          <w:lang w:val="en-US"/>
        </w:rPr>
        <w:t>had been</w:t>
      </w:r>
      <w:r w:rsidR="00B421D2" w:rsidRPr="00813D19">
        <w:rPr>
          <w:bCs/>
          <w:lang w:val="en-US"/>
        </w:rPr>
        <w:t xml:space="preserve"> submitted for the first time in 2014. A lot of effort </w:t>
      </w:r>
      <w:r w:rsidR="00CA77D0">
        <w:rPr>
          <w:bCs/>
          <w:lang w:val="en-US"/>
        </w:rPr>
        <w:t>had been</w:t>
      </w:r>
      <w:r w:rsidR="00B421D2" w:rsidRPr="00813D19">
        <w:rPr>
          <w:bCs/>
          <w:lang w:val="en-US"/>
        </w:rPr>
        <w:t xml:space="preserve"> made to close all the identified gaps in the file</w:t>
      </w:r>
      <w:r w:rsidR="00F14C5A" w:rsidRPr="00813D19">
        <w:rPr>
          <w:bCs/>
          <w:lang w:val="en-US"/>
        </w:rPr>
        <w:t>,</w:t>
      </w:r>
      <w:r w:rsidR="00B421D2" w:rsidRPr="00813D19">
        <w:rPr>
          <w:bCs/>
          <w:lang w:val="en-US"/>
        </w:rPr>
        <w:t xml:space="preserve"> and </w:t>
      </w:r>
      <w:r w:rsidR="00F14C5A" w:rsidRPr="00813D19">
        <w:rPr>
          <w:bCs/>
          <w:lang w:val="en-US"/>
        </w:rPr>
        <w:t xml:space="preserve">it </w:t>
      </w:r>
      <w:r w:rsidR="00CA77D0">
        <w:rPr>
          <w:bCs/>
          <w:lang w:val="en-US"/>
        </w:rPr>
        <w:t>had been</w:t>
      </w:r>
      <w:r w:rsidR="00CA77D0" w:rsidRPr="00813D19">
        <w:rPr>
          <w:bCs/>
          <w:lang w:val="en-US"/>
        </w:rPr>
        <w:t xml:space="preserve"> </w:t>
      </w:r>
      <w:r w:rsidR="00F14C5A" w:rsidRPr="00813D19">
        <w:rPr>
          <w:bCs/>
          <w:lang w:val="en-US"/>
        </w:rPr>
        <w:t xml:space="preserve">resubmitted in </w:t>
      </w:r>
      <w:r w:rsidR="00B421D2" w:rsidRPr="00813D19">
        <w:rPr>
          <w:bCs/>
          <w:lang w:val="en-US"/>
        </w:rPr>
        <w:t xml:space="preserve">September 2017. </w:t>
      </w:r>
      <w:r w:rsidR="00F14C5A" w:rsidRPr="00813D19">
        <w:rPr>
          <w:bCs/>
          <w:lang w:val="en-US"/>
        </w:rPr>
        <w:t xml:space="preserve">The </w:t>
      </w:r>
      <w:r w:rsidR="00B421D2" w:rsidRPr="00813D19">
        <w:rPr>
          <w:bCs/>
          <w:lang w:val="en-US"/>
        </w:rPr>
        <w:t>effort taken by the community provided an opportunity to compile a successful nomination file. The Al-Aragoz is an old form of theatre performed in Egypt that uses traditional hand puppetry</w:t>
      </w:r>
      <w:r w:rsidR="00F14C5A" w:rsidRPr="00813D19">
        <w:rPr>
          <w:bCs/>
          <w:lang w:val="en-US"/>
        </w:rPr>
        <w:t>,</w:t>
      </w:r>
      <w:r w:rsidR="00B421D2" w:rsidRPr="00813D19">
        <w:rPr>
          <w:bCs/>
          <w:lang w:val="en-US"/>
        </w:rPr>
        <w:t xml:space="preserve"> and is passed </w:t>
      </w:r>
      <w:r w:rsidR="00CA77D0">
        <w:rPr>
          <w:bCs/>
          <w:lang w:val="en-US"/>
        </w:rPr>
        <w:t xml:space="preserve">on </w:t>
      </w:r>
      <w:r w:rsidR="00B421D2" w:rsidRPr="00813D19">
        <w:rPr>
          <w:bCs/>
          <w:lang w:val="en-US"/>
        </w:rPr>
        <w:t>orally from one generation to another. Regrettably</w:t>
      </w:r>
      <w:r w:rsidR="00F14C5A" w:rsidRPr="00813D19">
        <w:rPr>
          <w:bCs/>
          <w:lang w:val="en-US"/>
        </w:rPr>
        <w:t>,</w:t>
      </w:r>
      <w:r w:rsidR="00B421D2" w:rsidRPr="00813D19">
        <w:rPr>
          <w:bCs/>
          <w:lang w:val="en-US"/>
        </w:rPr>
        <w:t xml:space="preserve"> the number of surviving practitioners has dwindled and regular performances </w:t>
      </w:r>
      <w:r w:rsidR="00CA77D0">
        <w:rPr>
          <w:bCs/>
          <w:lang w:val="en-US"/>
        </w:rPr>
        <w:t>were now</w:t>
      </w:r>
      <w:r w:rsidR="00B421D2" w:rsidRPr="00813D19">
        <w:rPr>
          <w:bCs/>
          <w:lang w:val="en-US"/>
        </w:rPr>
        <w:t xml:space="preserve"> limited</w:t>
      </w:r>
      <w:r w:rsidR="00F14C5A" w:rsidRPr="00813D19">
        <w:rPr>
          <w:bCs/>
          <w:lang w:val="en-US"/>
        </w:rPr>
        <w:t>,</w:t>
      </w:r>
      <w:r w:rsidR="00B421D2" w:rsidRPr="00813D19">
        <w:rPr>
          <w:bCs/>
          <w:lang w:val="en-US"/>
        </w:rPr>
        <w:t xml:space="preserve"> thus affecting the smooth transmission of th</w:t>
      </w:r>
      <w:r w:rsidR="00CA77D0">
        <w:rPr>
          <w:bCs/>
          <w:lang w:val="en-US"/>
        </w:rPr>
        <w:t>e</w:t>
      </w:r>
      <w:r w:rsidR="00B421D2" w:rsidRPr="00813D19">
        <w:rPr>
          <w:bCs/>
          <w:lang w:val="en-US"/>
        </w:rPr>
        <w:t xml:space="preserve"> </w:t>
      </w:r>
      <w:r w:rsidR="00F14C5A" w:rsidRPr="00813D19">
        <w:rPr>
          <w:bCs/>
          <w:lang w:val="en-US"/>
        </w:rPr>
        <w:t xml:space="preserve">element </w:t>
      </w:r>
      <w:r w:rsidR="00B421D2" w:rsidRPr="00813D19">
        <w:rPr>
          <w:bCs/>
          <w:lang w:val="en-US"/>
        </w:rPr>
        <w:t>to future generations. In this regard</w:t>
      </w:r>
      <w:r w:rsidR="00F14C5A" w:rsidRPr="00813D19">
        <w:rPr>
          <w:bCs/>
          <w:lang w:val="en-US"/>
        </w:rPr>
        <w:t xml:space="preserve">, the delegation </w:t>
      </w:r>
      <w:r w:rsidR="00B421D2" w:rsidRPr="00813D19">
        <w:rPr>
          <w:bCs/>
          <w:lang w:val="en-US"/>
        </w:rPr>
        <w:t>express</w:t>
      </w:r>
      <w:r w:rsidR="00F14C5A" w:rsidRPr="00813D19">
        <w:rPr>
          <w:bCs/>
          <w:lang w:val="en-US"/>
        </w:rPr>
        <w:t>ed</w:t>
      </w:r>
      <w:r w:rsidR="00B421D2" w:rsidRPr="00813D19">
        <w:rPr>
          <w:bCs/>
          <w:lang w:val="en-US"/>
        </w:rPr>
        <w:t xml:space="preserve"> sincere appreciation for the role undertaken by the practitioners to keep this performing art alive. </w:t>
      </w:r>
      <w:r w:rsidR="00F14C5A" w:rsidRPr="00813D19">
        <w:rPr>
          <w:bCs/>
          <w:lang w:val="en-US"/>
        </w:rPr>
        <w:t xml:space="preserve">As </w:t>
      </w:r>
      <w:r w:rsidR="00B421D2" w:rsidRPr="00813D19">
        <w:rPr>
          <w:bCs/>
          <w:lang w:val="en-US"/>
        </w:rPr>
        <w:t xml:space="preserve">the communities </w:t>
      </w:r>
      <w:r w:rsidR="00CA77D0">
        <w:rPr>
          <w:bCs/>
          <w:lang w:val="en-US"/>
        </w:rPr>
        <w:t xml:space="preserve">concerned </w:t>
      </w:r>
      <w:r w:rsidR="00B421D2" w:rsidRPr="00813D19">
        <w:rPr>
          <w:bCs/>
          <w:lang w:val="en-US"/>
        </w:rPr>
        <w:t xml:space="preserve">consider Al-Aragoz </w:t>
      </w:r>
      <w:r w:rsidR="00CA77D0">
        <w:rPr>
          <w:bCs/>
          <w:lang w:val="en-US"/>
        </w:rPr>
        <w:t xml:space="preserve">to be </w:t>
      </w:r>
      <w:r w:rsidR="00B421D2" w:rsidRPr="00813D19">
        <w:rPr>
          <w:bCs/>
          <w:lang w:val="en-US"/>
        </w:rPr>
        <w:t>an integral part of their cultural heritage</w:t>
      </w:r>
      <w:r w:rsidR="00F14C5A" w:rsidRPr="00813D19">
        <w:rPr>
          <w:bCs/>
          <w:lang w:val="en-US"/>
        </w:rPr>
        <w:t>,</w:t>
      </w:r>
      <w:r w:rsidR="00B421D2" w:rsidRPr="00813D19">
        <w:rPr>
          <w:bCs/>
          <w:lang w:val="en-US"/>
        </w:rPr>
        <w:t xml:space="preserve"> they</w:t>
      </w:r>
      <w:r w:rsidR="00CA77D0">
        <w:rPr>
          <w:bCs/>
          <w:lang w:val="en-US"/>
        </w:rPr>
        <w:t xml:space="preserve"> had</w:t>
      </w:r>
      <w:r w:rsidR="00B421D2" w:rsidRPr="00813D19">
        <w:rPr>
          <w:bCs/>
          <w:lang w:val="en-US"/>
        </w:rPr>
        <w:t xml:space="preserve"> wholeheartedly participated in the process of preparing the file</w:t>
      </w:r>
      <w:r w:rsidR="00F14C5A" w:rsidRPr="00813D19">
        <w:rPr>
          <w:bCs/>
          <w:lang w:val="en-US"/>
        </w:rPr>
        <w:t>,</w:t>
      </w:r>
      <w:r w:rsidR="00B421D2" w:rsidRPr="00813D19">
        <w:rPr>
          <w:bCs/>
          <w:lang w:val="en-US"/>
        </w:rPr>
        <w:t xml:space="preserve"> including the identification of past and current safeguarding measures</w:t>
      </w:r>
      <w:r w:rsidR="00F14C5A" w:rsidRPr="00813D19">
        <w:rPr>
          <w:bCs/>
          <w:lang w:val="en-US"/>
        </w:rPr>
        <w:t>,</w:t>
      </w:r>
      <w:r w:rsidR="00B421D2" w:rsidRPr="00813D19">
        <w:rPr>
          <w:bCs/>
          <w:lang w:val="en-US"/>
        </w:rPr>
        <w:t xml:space="preserve"> in addition </w:t>
      </w:r>
      <w:r w:rsidR="00F14C5A" w:rsidRPr="00813D19">
        <w:rPr>
          <w:bCs/>
          <w:lang w:val="en-US"/>
        </w:rPr>
        <w:t xml:space="preserve">to the suggested plan submitted, </w:t>
      </w:r>
      <w:r w:rsidR="00B421D2" w:rsidRPr="00813D19">
        <w:rPr>
          <w:bCs/>
          <w:lang w:val="en-US"/>
        </w:rPr>
        <w:t xml:space="preserve">which </w:t>
      </w:r>
      <w:r w:rsidR="00001FF8">
        <w:rPr>
          <w:bCs/>
          <w:lang w:val="en-US"/>
        </w:rPr>
        <w:t>would</w:t>
      </w:r>
      <w:r w:rsidR="00001FF8" w:rsidRPr="00813D19">
        <w:rPr>
          <w:bCs/>
          <w:lang w:val="en-US"/>
        </w:rPr>
        <w:t xml:space="preserve"> </w:t>
      </w:r>
      <w:r w:rsidR="00B421D2" w:rsidRPr="00813D19">
        <w:rPr>
          <w:bCs/>
          <w:lang w:val="en-US"/>
        </w:rPr>
        <w:t xml:space="preserve">be implemented following inscription. Egypt </w:t>
      </w:r>
      <w:r w:rsidR="00F14C5A" w:rsidRPr="00813D19">
        <w:rPr>
          <w:bCs/>
          <w:lang w:val="en-US"/>
        </w:rPr>
        <w:t xml:space="preserve">was </w:t>
      </w:r>
      <w:r w:rsidR="00B421D2" w:rsidRPr="00813D19">
        <w:rPr>
          <w:bCs/>
          <w:lang w:val="en-US"/>
        </w:rPr>
        <w:t xml:space="preserve">indeed delighted to receive this decision to inscribe </w:t>
      </w:r>
      <w:r w:rsidR="00F14C5A" w:rsidRPr="00813D19">
        <w:rPr>
          <w:bCs/>
          <w:lang w:val="en-US"/>
        </w:rPr>
        <w:t>T</w:t>
      </w:r>
      <w:r w:rsidR="00B421D2" w:rsidRPr="00813D19">
        <w:rPr>
          <w:bCs/>
          <w:lang w:val="en-US"/>
        </w:rPr>
        <w:t>raditional hand puppetry on the Urgent Safeguarding List, which w</w:t>
      </w:r>
      <w:r w:rsidR="00001FF8">
        <w:rPr>
          <w:bCs/>
          <w:lang w:val="en-US"/>
        </w:rPr>
        <w:t>ould</w:t>
      </w:r>
      <w:r w:rsidR="00B421D2" w:rsidRPr="00813D19">
        <w:rPr>
          <w:bCs/>
          <w:lang w:val="en-US"/>
        </w:rPr>
        <w:t xml:space="preserve"> undoubtedly create a positive atmosp</w:t>
      </w:r>
      <w:r w:rsidR="00F14C5A" w:rsidRPr="00813D19">
        <w:rPr>
          <w:bCs/>
          <w:lang w:val="en-US"/>
        </w:rPr>
        <w:t xml:space="preserve">here in the community concerned, but </w:t>
      </w:r>
      <w:r w:rsidR="00B421D2" w:rsidRPr="00813D19">
        <w:rPr>
          <w:bCs/>
          <w:lang w:val="en-US"/>
        </w:rPr>
        <w:t xml:space="preserve">also raise awareness about intangible cultural heritage in general. </w:t>
      </w:r>
      <w:r w:rsidR="00F14C5A" w:rsidRPr="00813D19">
        <w:rPr>
          <w:bCs/>
          <w:lang w:val="en-US"/>
        </w:rPr>
        <w:t xml:space="preserve">The delegation </w:t>
      </w:r>
      <w:r w:rsidR="00B421D2" w:rsidRPr="00813D19">
        <w:rPr>
          <w:bCs/>
          <w:lang w:val="en-US"/>
        </w:rPr>
        <w:t>reiterate</w:t>
      </w:r>
      <w:r w:rsidR="00F14C5A" w:rsidRPr="00813D19">
        <w:rPr>
          <w:bCs/>
          <w:lang w:val="en-US"/>
        </w:rPr>
        <w:t>d</w:t>
      </w:r>
      <w:r w:rsidR="00B421D2" w:rsidRPr="00813D19">
        <w:rPr>
          <w:bCs/>
          <w:lang w:val="en-US"/>
        </w:rPr>
        <w:t xml:space="preserve"> </w:t>
      </w:r>
      <w:r w:rsidR="00F14C5A" w:rsidRPr="00813D19">
        <w:rPr>
          <w:bCs/>
          <w:lang w:val="en-US"/>
        </w:rPr>
        <w:t xml:space="preserve">its </w:t>
      </w:r>
      <w:r w:rsidR="00B421D2" w:rsidRPr="00813D19">
        <w:rPr>
          <w:bCs/>
          <w:lang w:val="en-US"/>
        </w:rPr>
        <w:t>sincere appreciation</w:t>
      </w:r>
      <w:r w:rsidR="00F14C5A" w:rsidRPr="00813D19">
        <w:rPr>
          <w:bCs/>
          <w:lang w:val="en-US"/>
        </w:rPr>
        <w:t xml:space="preserve"> of the Chairperson and congratulated</w:t>
      </w:r>
      <w:r w:rsidR="00B421D2" w:rsidRPr="00813D19">
        <w:rPr>
          <w:bCs/>
          <w:lang w:val="en-US"/>
        </w:rPr>
        <w:t xml:space="preserve"> </w:t>
      </w:r>
      <w:r w:rsidR="00F14C5A" w:rsidRPr="00813D19">
        <w:rPr>
          <w:bCs/>
          <w:lang w:val="en-US"/>
        </w:rPr>
        <w:t xml:space="preserve">him </w:t>
      </w:r>
      <w:r w:rsidR="00B421D2" w:rsidRPr="00813D19">
        <w:rPr>
          <w:bCs/>
          <w:lang w:val="en-US"/>
        </w:rPr>
        <w:t>for th</w:t>
      </w:r>
      <w:r w:rsidR="00F14C5A" w:rsidRPr="00813D19">
        <w:rPr>
          <w:bCs/>
          <w:lang w:val="en-US"/>
        </w:rPr>
        <w:t>e excellent organization of the</w:t>
      </w:r>
      <w:r w:rsidR="00B421D2" w:rsidRPr="00813D19">
        <w:rPr>
          <w:bCs/>
          <w:lang w:val="en-US"/>
        </w:rPr>
        <w:t xml:space="preserve"> meeting and </w:t>
      </w:r>
      <w:r w:rsidR="00F14C5A" w:rsidRPr="00813D19">
        <w:rPr>
          <w:bCs/>
          <w:lang w:val="en-US"/>
        </w:rPr>
        <w:t xml:space="preserve">the </w:t>
      </w:r>
      <w:r w:rsidR="00B421D2" w:rsidRPr="00813D19">
        <w:rPr>
          <w:bCs/>
          <w:lang w:val="en-US"/>
        </w:rPr>
        <w:t>generous hospitality pr</w:t>
      </w:r>
      <w:r w:rsidR="00E41386">
        <w:rPr>
          <w:bCs/>
          <w:lang w:val="en-US"/>
        </w:rPr>
        <w:t>ovided to all the participants.</w:t>
      </w:r>
    </w:p>
    <w:p w14:paraId="0C0ACBD5" w14:textId="11111E2B" w:rsidR="001104CC" w:rsidRPr="00813D19" w:rsidRDefault="001104CC" w:rsidP="00D3548C">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3D7F14" w:rsidRPr="00813D19">
        <w:rPr>
          <w:color w:val="000000" w:themeColor="text1"/>
          <w:lang w:val="en-US"/>
        </w:rPr>
        <w:t xml:space="preserve">noted that the </w:t>
      </w:r>
      <w:r w:rsidRPr="00813D19">
        <w:rPr>
          <w:lang w:val="en-US"/>
        </w:rPr>
        <w:t xml:space="preserve">next nomination </w:t>
      </w:r>
      <w:r w:rsidR="003D7F14" w:rsidRPr="00813D19">
        <w:rPr>
          <w:lang w:val="en-US"/>
        </w:rPr>
        <w:t xml:space="preserve">was </w:t>
      </w:r>
      <w:r w:rsidRPr="00813D19">
        <w:rPr>
          <w:lang w:val="en-US"/>
        </w:rPr>
        <w:t>submitted by Kenya. A</w:t>
      </w:r>
      <w:r w:rsidR="003D7F14" w:rsidRPr="00813D19">
        <w:rPr>
          <w:lang w:val="en-US"/>
        </w:rPr>
        <w:t>s had</w:t>
      </w:r>
      <w:r w:rsidRPr="00813D19">
        <w:rPr>
          <w:lang w:val="en-US"/>
        </w:rPr>
        <w:t xml:space="preserve"> been the practice in the past, </w:t>
      </w:r>
      <w:r w:rsidR="003D7F14" w:rsidRPr="00813D19">
        <w:rPr>
          <w:lang w:val="en-US"/>
        </w:rPr>
        <w:t xml:space="preserve">a </w:t>
      </w:r>
      <w:r w:rsidRPr="00813D19">
        <w:rPr>
          <w:lang w:val="en-US"/>
        </w:rPr>
        <w:t xml:space="preserve">member of the </w:t>
      </w:r>
      <w:r w:rsidR="0081379A" w:rsidRPr="00813D19">
        <w:rPr>
          <w:lang w:val="en-US"/>
        </w:rPr>
        <w:t xml:space="preserve">Evaluation Body </w:t>
      </w:r>
      <w:r w:rsidR="003D7F14" w:rsidRPr="00813D19">
        <w:rPr>
          <w:lang w:val="en-US"/>
        </w:rPr>
        <w:t xml:space="preserve">does </w:t>
      </w:r>
      <w:r w:rsidRPr="00813D19">
        <w:rPr>
          <w:lang w:val="en-US"/>
        </w:rPr>
        <w:t xml:space="preserve">not participate in the evaluation of </w:t>
      </w:r>
      <w:r w:rsidR="003D7F14" w:rsidRPr="00813D19">
        <w:rPr>
          <w:lang w:val="en-US"/>
        </w:rPr>
        <w:t xml:space="preserve">the </w:t>
      </w:r>
      <w:r w:rsidRPr="00813D19">
        <w:rPr>
          <w:lang w:val="en-US"/>
        </w:rPr>
        <w:t xml:space="preserve">nomination submitted by the country of domiciliation of the </w:t>
      </w:r>
      <w:r w:rsidR="003D7F14" w:rsidRPr="00813D19">
        <w:rPr>
          <w:lang w:val="en-US"/>
        </w:rPr>
        <w:t xml:space="preserve">NGO </w:t>
      </w:r>
      <w:r w:rsidRPr="00813D19">
        <w:rPr>
          <w:lang w:val="en-US"/>
        </w:rPr>
        <w:t>he/she represents or by the country of nationality.</w:t>
      </w:r>
      <w:r w:rsidR="00D3548C" w:rsidRPr="00813D19">
        <w:rPr>
          <w:lang w:val="en-US"/>
        </w:rPr>
        <w:t xml:space="preserve"> The floor was thus </w:t>
      </w:r>
      <w:r w:rsidRPr="00813D19">
        <w:rPr>
          <w:lang w:val="en-US"/>
        </w:rPr>
        <w:t>give</w:t>
      </w:r>
      <w:r w:rsidR="00D3548C" w:rsidRPr="00813D19">
        <w:rPr>
          <w:lang w:val="en-US"/>
        </w:rPr>
        <w:t>n</w:t>
      </w:r>
      <w:r w:rsidRPr="00813D19">
        <w:rPr>
          <w:lang w:val="en-US"/>
        </w:rPr>
        <w:t xml:space="preserve"> to Mr Eivind Falk, Vice-Chairperson of the Evaluation Body, </w:t>
      </w:r>
      <w:r w:rsidR="00D3548C" w:rsidRPr="00813D19">
        <w:rPr>
          <w:lang w:val="en-US"/>
        </w:rPr>
        <w:t xml:space="preserve">to share the Evaluation Body’s </w:t>
      </w:r>
      <w:r w:rsidRPr="00813D19">
        <w:rPr>
          <w:lang w:val="en-US"/>
        </w:rPr>
        <w:t>findings on this nomination</w:t>
      </w:r>
      <w:r w:rsidR="00D3548C" w:rsidRPr="00813D19">
        <w:rPr>
          <w:lang w:val="en-US"/>
        </w:rPr>
        <w:t>.</w:t>
      </w:r>
    </w:p>
    <w:p w14:paraId="27BD0CB8" w14:textId="31FD5801" w:rsidR="00396821" w:rsidRPr="00813D19" w:rsidRDefault="00396821" w:rsidP="00E41386">
      <w:pPr>
        <w:pStyle w:val="Orateurengris"/>
        <w:numPr>
          <w:ilvl w:val="0"/>
          <w:numId w:val="0"/>
        </w:numPr>
        <w:spacing w:before="240" w:after="240"/>
        <w:jc w:val="center"/>
        <w:rPr>
          <w:i/>
          <w:lang w:val="en-US"/>
        </w:rPr>
      </w:pPr>
      <w:r w:rsidRPr="00813D19">
        <w:rPr>
          <w:i/>
          <w:color w:val="000000" w:themeColor="text1"/>
          <w:lang w:val="en-US"/>
        </w:rPr>
        <w:t>[The Vice-Cha</w:t>
      </w:r>
      <w:r w:rsidR="007C244B" w:rsidRPr="00813D19">
        <w:rPr>
          <w:i/>
          <w:color w:val="000000" w:themeColor="text1"/>
          <w:lang w:val="en-US"/>
        </w:rPr>
        <w:t>irperson presented the file subm</w:t>
      </w:r>
      <w:r w:rsidRPr="00813D19">
        <w:rPr>
          <w:i/>
          <w:color w:val="000000" w:themeColor="text1"/>
          <w:lang w:val="en-US"/>
        </w:rPr>
        <w:t>itted by Kenya]</w:t>
      </w:r>
    </w:p>
    <w:p w14:paraId="58BF86FD" w14:textId="32355007" w:rsidR="00CE097D" w:rsidRPr="00813D19" w:rsidRDefault="001104CC" w:rsidP="00CE097D">
      <w:pPr>
        <w:pStyle w:val="Orateurengris"/>
        <w:spacing w:before="120"/>
        <w:ind w:left="709" w:hanging="709"/>
        <w:rPr>
          <w:lang w:val="en-US"/>
        </w:rPr>
      </w:pPr>
      <w:r w:rsidRPr="00813D19">
        <w:rPr>
          <w:color w:val="000000" w:themeColor="text1"/>
          <w:lang w:val="en-US"/>
        </w:rPr>
        <w:t xml:space="preserve">The </w:t>
      </w:r>
      <w:r w:rsidR="00A6153C" w:rsidRPr="00813D19">
        <w:rPr>
          <w:b/>
          <w:color w:val="000000" w:themeColor="text1"/>
          <w:lang w:val="en-US"/>
        </w:rPr>
        <w:t>Vice-</w:t>
      </w:r>
      <w:r w:rsidRPr="00813D19">
        <w:rPr>
          <w:b/>
          <w:color w:val="000000" w:themeColor="text1"/>
          <w:lang w:val="en-US"/>
        </w:rPr>
        <w:t>Chairperson of the Evaluation Body</w:t>
      </w:r>
      <w:r w:rsidRPr="00813D19">
        <w:rPr>
          <w:color w:val="000000" w:themeColor="text1"/>
          <w:lang w:val="en-US"/>
        </w:rPr>
        <w:t xml:space="preserve"> turned to the next nomination, </w:t>
      </w:r>
      <w:r w:rsidR="00D3548C" w:rsidRPr="00813D19">
        <w:rPr>
          <w:rFonts w:eastAsia="Malgun Gothic"/>
          <w:b/>
          <w:lang w:val="en-US" w:eastAsia="ko-KR"/>
        </w:rPr>
        <w:t>Enkipaata, Eunoto and Olng’esherr, three male rites of passage of the Maasai community</w:t>
      </w:r>
      <w:r w:rsidR="00D3548C" w:rsidRPr="00813D19">
        <w:rPr>
          <w:color w:val="000000" w:themeColor="text1"/>
          <w:lang w:val="en-US"/>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10.a</w:t>
      </w:r>
      <w:r w:rsidR="00D3548C" w:rsidRPr="00813D19">
        <w:rPr>
          <w:color w:val="000000" w:themeColor="text1"/>
          <w:lang w:val="en-US"/>
        </w:rPr>
        <w:t>.5</w:t>
      </w:r>
      <w:r w:rsidRPr="00813D19">
        <w:rPr>
          <w:color w:val="000000" w:themeColor="text1"/>
          <w:lang w:val="en-US"/>
        </w:rPr>
        <w:t>]</w:t>
      </w:r>
      <w:r w:rsidR="00001FF8">
        <w:rPr>
          <w:color w:val="000000" w:themeColor="text1"/>
          <w:lang w:val="en-US"/>
        </w:rPr>
        <w:t>,</w:t>
      </w:r>
      <w:r w:rsidRPr="00813D19">
        <w:rPr>
          <w:b/>
          <w:color w:val="000000" w:themeColor="text1"/>
          <w:lang w:val="en-US"/>
        </w:rPr>
        <w:t xml:space="preserve"> </w:t>
      </w:r>
      <w:r w:rsidRPr="00813D19">
        <w:rPr>
          <w:lang w:val="en-US"/>
        </w:rPr>
        <w:t xml:space="preserve">submitted by </w:t>
      </w:r>
      <w:r w:rsidR="00D3548C" w:rsidRPr="00813D19">
        <w:rPr>
          <w:b/>
          <w:lang w:val="en-US"/>
        </w:rPr>
        <w:t>Kenya</w:t>
      </w:r>
      <w:r w:rsidRPr="00813D19">
        <w:rPr>
          <w:lang w:val="en-US"/>
        </w:rPr>
        <w:t>.</w:t>
      </w:r>
      <w:r w:rsidR="00810CE1" w:rsidRPr="00813D19">
        <w:rPr>
          <w:rFonts w:ascii="Helvetica" w:hAnsi="Helvetica" w:cs="Helvetica"/>
          <w:i/>
          <w:iCs/>
          <w:color w:val="000000" w:themeColor="text1"/>
          <w:lang w:val="en-US"/>
        </w:rPr>
        <w:t xml:space="preserve"> </w:t>
      </w:r>
      <w:r w:rsidR="00810CE1" w:rsidRPr="00813D19">
        <w:rPr>
          <w:lang w:val="en-US"/>
        </w:rPr>
        <w:t>Enkipaata is the induction of boys leading to initiation. Eunoto is the shaving of the morans, paving the way to adulthood. Olng’esherr is the meat-eating ceremony that marks the end of moranism and the beginning of eldership. From the information included in th</w:t>
      </w:r>
      <w:r w:rsidR="00FA44DB" w:rsidRPr="00813D19">
        <w:rPr>
          <w:lang w:val="en-US"/>
        </w:rPr>
        <w:t>e file, the nomination satisfied</w:t>
      </w:r>
      <w:r w:rsidR="00810CE1" w:rsidRPr="00813D19">
        <w:rPr>
          <w:lang w:val="en-US"/>
        </w:rPr>
        <w:t xml:space="preserve"> all five criteria. Through the practice, young men acquire the knowledge, skills and social values needed to become respected and responsible members of the community, and to understand and fulfil their role in society. Knowledge concerning Maasai culture is transmitted to new generations together with the three rites. However, the practice appears to be rapidly declining due to the fast emergence of agriculture as a main source of income, reforms of the land tenure system and the impact of climate change. The safeguarding plan draws on a project co-funded by the government of Kenya, </w:t>
      </w:r>
      <w:r w:rsidR="00BC0F59" w:rsidRPr="00813D19">
        <w:rPr>
          <w:lang w:val="en-US"/>
        </w:rPr>
        <w:t>the Maasai community and UNESCO</w:t>
      </w:r>
      <w:r w:rsidR="00810CE1" w:rsidRPr="00813D19">
        <w:rPr>
          <w:lang w:val="en-US"/>
        </w:rPr>
        <w:t xml:space="preserve"> based on capacity building and training participants from all nine clans in community-based inventorying. </w:t>
      </w:r>
      <w:r w:rsidR="00396821" w:rsidRPr="00813D19">
        <w:rPr>
          <w:lang w:val="en-US"/>
        </w:rPr>
        <w:t>The file attested</w:t>
      </w:r>
      <w:r w:rsidR="00810CE1" w:rsidRPr="00813D19">
        <w:rPr>
          <w:lang w:val="en-US"/>
        </w:rPr>
        <w:t xml:space="preserve"> to an active dialogue and cooperation among the Maasai community, the Department of Culture, the Cultural Initiative for Biodiversity Conservation, the Maasai Cultural Heritage and other stakeholders throughout the nomination process. The Evaluation Body recommended that the Committee inscribe Enkipaata, Eunoto and Olng’esherr, three male rites of passage of the Maasai community on the Urgent Safeguarding List.</w:t>
      </w:r>
    </w:p>
    <w:p w14:paraId="307F8206" w14:textId="5D8024A9" w:rsidR="001A4023" w:rsidRPr="00813D19" w:rsidRDefault="001A4023" w:rsidP="001A4023">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noted that no amendments had been received for this nomination.</w:t>
      </w:r>
    </w:p>
    <w:p w14:paraId="4D62DD1F" w14:textId="12AC3318" w:rsidR="00CE097D" w:rsidRPr="00813D19" w:rsidRDefault="0060430C" w:rsidP="00CE097D">
      <w:pPr>
        <w:pStyle w:val="Orateurengris"/>
        <w:spacing w:before="120"/>
        <w:ind w:left="709" w:hanging="709"/>
        <w:rPr>
          <w:lang w:val="en-US"/>
        </w:rPr>
      </w:pPr>
      <w:r w:rsidRPr="00813D19">
        <w:rPr>
          <w:rFonts w:eastAsia="Calibri"/>
          <w:color w:val="000000" w:themeColor="text1"/>
          <w:lang w:val="en-US"/>
        </w:rPr>
        <w:t>Turning to the draft decision as a whole,</w:t>
      </w:r>
      <w:r w:rsidR="00766463" w:rsidRPr="00813D19">
        <w:rPr>
          <w:rFonts w:eastAsia="Calibri"/>
          <w:color w:val="000000" w:themeColor="text1"/>
          <w:lang w:val="en-US"/>
        </w:rPr>
        <w:t xml:space="preserve"> </w:t>
      </w:r>
      <w:r w:rsidR="00810CE1" w:rsidRPr="00813D19">
        <w:rPr>
          <w:lang w:val="en-US"/>
        </w:rPr>
        <w:t xml:space="preserve">the </w:t>
      </w:r>
      <w:r w:rsidR="00810CE1" w:rsidRPr="00813D19">
        <w:rPr>
          <w:b/>
          <w:lang w:val="en-US"/>
        </w:rPr>
        <w:t>Chairperson</w:t>
      </w:r>
      <w:r w:rsidR="00810CE1" w:rsidRPr="00813D19">
        <w:rPr>
          <w:lang w:val="en-US"/>
        </w:rPr>
        <w:t xml:space="preserve"> </w:t>
      </w:r>
      <w:r w:rsidR="00810CE1" w:rsidRPr="00813D19">
        <w:rPr>
          <w:b/>
          <w:lang w:val="en-US"/>
        </w:rPr>
        <w:t xml:space="preserve">declared Decision </w:t>
      </w:r>
      <w:hyperlink r:id="rId97" w:history="1">
        <w:r w:rsidR="00810CE1" w:rsidRPr="00813D19">
          <w:rPr>
            <w:rStyle w:val="Hyperlink"/>
            <w:b/>
            <w:lang w:val="en-US"/>
          </w:rPr>
          <w:t>13.</w:t>
        </w:r>
        <w:r w:rsidR="00396821" w:rsidRPr="00813D19">
          <w:rPr>
            <w:rStyle w:val="Hyperlink"/>
            <w:b/>
            <w:lang w:val="en-US"/>
          </w:rPr>
          <w:t>COM 10.a.5</w:t>
        </w:r>
      </w:hyperlink>
      <w:r w:rsidR="00396821" w:rsidRPr="00813D19">
        <w:rPr>
          <w:b/>
          <w:lang w:val="en-US"/>
        </w:rPr>
        <w:t xml:space="preserve"> adopted to inscribe </w:t>
      </w:r>
      <w:r w:rsidR="00810CE1" w:rsidRPr="00813D19">
        <w:rPr>
          <w:b/>
          <w:lang w:val="en-US"/>
        </w:rPr>
        <w:t xml:space="preserve">Enkipaata, Eunoto and Olng’esherr, three male rites of </w:t>
      </w:r>
      <w:r w:rsidR="00396821" w:rsidRPr="00813D19">
        <w:rPr>
          <w:b/>
          <w:lang w:val="en-US"/>
        </w:rPr>
        <w:t>passage of the Maasai community</w:t>
      </w:r>
      <w:r w:rsidR="00810CE1" w:rsidRPr="00813D19">
        <w:rPr>
          <w:b/>
          <w:lang w:val="en-US"/>
        </w:rPr>
        <w:t xml:space="preserve"> on the Urgent Safeguarding List</w:t>
      </w:r>
      <w:r w:rsidR="00810CE1" w:rsidRPr="00E41386">
        <w:rPr>
          <w:bCs/>
          <w:lang w:val="en-US"/>
        </w:rPr>
        <w:t>.</w:t>
      </w:r>
    </w:p>
    <w:p w14:paraId="5B72D5A1" w14:textId="2041642A" w:rsidR="00A6153C" w:rsidRPr="00813D19" w:rsidRDefault="00A6153C" w:rsidP="00CE097D">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Kenya</w:t>
      </w:r>
      <w:r w:rsidR="00B421D2" w:rsidRPr="00813D19">
        <w:rPr>
          <w:rFonts w:eastAsia="Calibri"/>
          <w:b/>
          <w:color w:val="000000" w:themeColor="text1"/>
          <w:lang w:val="en-US"/>
        </w:rPr>
        <w:t xml:space="preserve"> </w:t>
      </w:r>
      <w:r w:rsidR="00F14C5A" w:rsidRPr="00813D19">
        <w:rPr>
          <w:rFonts w:eastAsia="Calibri"/>
          <w:color w:val="000000" w:themeColor="text1"/>
          <w:lang w:val="en-US"/>
        </w:rPr>
        <w:t xml:space="preserve">remarked that </w:t>
      </w:r>
      <w:r w:rsidR="00B421D2" w:rsidRPr="00813D19">
        <w:rPr>
          <w:lang w:val="en-US"/>
        </w:rPr>
        <w:t xml:space="preserve">the inscription of Enkipaata, Eunoto and Olng'esherr, three male rites of passage of the Maasai community on the </w:t>
      </w:r>
      <w:r w:rsidR="00F14C5A" w:rsidRPr="00813D19">
        <w:rPr>
          <w:lang w:val="en-US"/>
        </w:rPr>
        <w:t>Urgent Safeguarding List marked</w:t>
      </w:r>
      <w:r w:rsidR="00B421D2" w:rsidRPr="00813D19">
        <w:rPr>
          <w:lang w:val="en-US"/>
        </w:rPr>
        <w:t xml:space="preserve"> one of the happiest moments in the history of </w:t>
      </w:r>
      <w:r w:rsidR="00F14C5A" w:rsidRPr="00813D19">
        <w:rPr>
          <w:lang w:val="en-US"/>
        </w:rPr>
        <w:t xml:space="preserve">the </w:t>
      </w:r>
      <w:r w:rsidR="00B421D2" w:rsidRPr="00813D19">
        <w:rPr>
          <w:lang w:val="en-US"/>
        </w:rPr>
        <w:t xml:space="preserve">implementation </w:t>
      </w:r>
      <w:r w:rsidR="00F14C5A" w:rsidRPr="00813D19">
        <w:rPr>
          <w:lang w:val="en-US"/>
        </w:rPr>
        <w:t xml:space="preserve">of the </w:t>
      </w:r>
      <w:r w:rsidR="00B421D2" w:rsidRPr="00813D19">
        <w:rPr>
          <w:lang w:val="en-US"/>
        </w:rPr>
        <w:t xml:space="preserve">Convention in Kenya. </w:t>
      </w:r>
      <w:r w:rsidR="00F14C5A" w:rsidRPr="00813D19">
        <w:rPr>
          <w:lang w:val="en-US"/>
        </w:rPr>
        <w:t xml:space="preserve">The delegation </w:t>
      </w:r>
      <w:r w:rsidR="00B421D2" w:rsidRPr="00813D19">
        <w:rPr>
          <w:lang w:val="en-US"/>
        </w:rPr>
        <w:t>thank</w:t>
      </w:r>
      <w:r w:rsidR="00F14C5A" w:rsidRPr="00813D19">
        <w:rPr>
          <w:lang w:val="en-US"/>
        </w:rPr>
        <w:t>ed</w:t>
      </w:r>
      <w:r w:rsidR="00B421D2" w:rsidRPr="00813D19">
        <w:rPr>
          <w:lang w:val="en-US"/>
        </w:rPr>
        <w:t xml:space="preserve"> the Evaluation Body and the Committee for </w:t>
      </w:r>
      <w:r w:rsidR="00F14C5A" w:rsidRPr="00813D19">
        <w:rPr>
          <w:lang w:val="en-US"/>
        </w:rPr>
        <w:t xml:space="preserve">the </w:t>
      </w:r>
      <w:r w:rsidR="00B421D2" w:rsidRPr="00813D19">
        <w:rPr>
          <w:lang w:val="en-US"/>
        </w:rPr>
        <w:t>opportunity to share with the world this great</w:t>
      </w:r>
      <w:r w:rsidR="00001FF8">
        <w:rPr>
          <w:lang w:val="en-US"/>
        </w:rPr>
        <w:t xml:space="preserve"> element of</w:t>
      </w:r>
      <w:r w:rsidR="00B421D2" w:rsidRPr="00813D19">
        <w:rPr>
          <w:lang w:val="en-US"/>
        </w:rPr>
        <w:t xml:space="preserve"> </w:t>
      </w:r>
      <w:r w:rsidR="00F14C5A" w:rsidRPr="00813D19">
        <w:rPr>
          <w:lang w:val="en-US"/>
        </w:rPr>
        <w:t>intangible cultural heritage,</w:t>
      </w:r>
      <w:r w:rsidR="00B421D2" w:rsidRPr="00813D19">
        <w:rPr>
          <w:lang w:val="en-US"/>
        </w:rPr>
        <w:t xml:space="preserve"> as well as </w:t>
      </w:r>
      <w:r w:rsidR="00F14C5A" w:rsidRPr="00813D19">
        <w:rPr>
          <w:lang w:val="en-US"/>
        </w:rPr>
        <w:t xml:space="preserve">the </w:t>
      </w:r>
      <w:r w:rsidR="00B421D2" w:rsidRPr="00813D19">
        <w:rPr>
          <w:lang w:val="en-US"/>
        </w:rPr>
        <w:t xml:space="preserve">financial assistance </w:t>
      </w:r>
      <w:r w:rsidR="00F14C5A" w:rsidRPr="00813D19">
        <w:rPr>
          <w:lang w:val="en-US"/>
        </w:rPr>
        <w:t>received to safeguard</w:t>
      </w:r>
      <w:r w:rsidR="00B421D2" w:rsidRPr="00813D19">
        <w:rPr>
          <w:lang w:val="en-US"/>
        </w:rPr>
        <w:t xml:space="preserve"> the element. This </w:t>
      </w:r>
      <w:r w:rsidR="00F14C5A" w:rsidRPr="00813D19">
        <w:rPr>
          <w:lang w:val="en-US"/>
        </w:rPr>
        <w:t xml:space="preserve">was Kenya’s </w:t>
      </w:r>
      <w:r w:rsidR="00B421D2" w:rsidRPr="00813D19">
        <w:rPr>
          <w:lang w:val="en-US"/>
        </w:rPr>
        <w:t xml:space="preserve">third </w:t>
      </w:r>
      <w:r w:rsidR="00F14C5A" w:rsidRPr="00813D19">
        <w:rPr>
          <w:lang w:val="en-US"/>
        </w:rPr>
        <w:t xml:space="preserve">inscribed </w:t>
      </w:r>
      <w:r w:rsidR="00B421D2" w:rsidRPr="00813D19">
        <w:rPr>
          <w:lang w:val="en-US"/>
        </w:rPr>
        <w:t>element</w:t>
      </w:r>
      <w:r w:rsidR="00413CE3" w:rsidRPr="00813D19">
        <w:rPr>
          <w:lang w:val="en-US"/>
        </w:rPr>
        <w:t>, which include</w:t>
      </w:r>
      <w:r w:rsidR="00001FF8">
        <w:rPr>
          <w:lang w:val="en-US"/>
        </w:rPr>
        <w:t>d</w:t>
      </w:r>
      <w:r w:rsidR="00413CE3" w:rsidRPr="00813D19">
        <w:rPr>
          <w:lang w:val="en-US"/>
        </w:rPr>
        <w:t xml:space="preserve"> ‘T</w:t>
      </w:r>
      <w:r w:rsidR="00B421D2" w:rsidRPr="00813D19">
        <w:rPr>
          <w:lang w:val="en-US"/>
        </w:rPr>
        <w:t>raditions and practices associated with the</w:t>
      </w:r>
      <w:r w:rsidR="00F14C5A" w:rsidRPr="00813D19">
        <w:rPr>
          <w:lang w:val="en-US"/>
        </w:rPr>
        <w:t xml:space="preserve"> K</w:t>
      </w:r>
      <w:r w:rsidR="00B421D2" w:rsidRPr="00813D19">
        <w:rPr>
          <w:lang w:val="en-US"/>
        </w:rPr>
        <w:t>ayas in the sacred forests of the Mijikenda</w:t>
      </w:r>
      <w:r w:rsidR="00413CE3" w:rsidRPr="00813D19">
        <w:rPr>
          <w:lang w:val="en-US"/>
        </w:rPr>
        <w:t>’</w:t>
      </w:r>
      <w:r w:rsidR="00B421D2" w:rsidRPr="00813D19">
        <w:rPr>
          <w:lang w:val="en-US"/>
        </w:rPr>
        <w:t xml:space="preserve"> and the </w:t>
      </w:r>
      <w:r w:rsidR="00413CE3" w:rsidRPr="00813D19">
        <w:rPr>
          <w:lang w:val="en-US"/>
        </w:rPr>
        <w:t>‘</w:t>
      </w:r>
      <w:r w:rsidR="00B421D2" w:rsidRPr="00813D19">
        <w:rPr>
          <w:lang w:val="en-US"/>
        </w:rPr>
        <w:t>Isukuti dance of Isukha and Idakho communities of Western Kenya</w:t>
      </w:r>
      <w:r w:rsidR="00413CE3" w:rsidRPr="00813D19">
        <w:rPr>
          <w:lang w:val="en-US"/>
        </w:rPr>
        <w:t>’. Kenya highly values</w:t>
      </w:r>
      <w:r w:rsidR="00B421D2" w:rsidRPr="00813D19">
        <w:rPr>
          <w:lang w:val="en-US"/>
        </w:rPr>
        <w:t xml:space="preserve"> its intangible heritage and has put in place mechanisms towards its safeguarding and transmission through the implementation of </w:t>
      </w:r>
      <w:r w:rsidR="00413CE3" w:rsidRPr="00813D19">
        <w:rPr>
          <w:lang w:val="en-US"/>
        </w:rPr>
        <w:t>the Convention. This</w:t>
      </w:r>
      <w:r w:rsidR="00B421D2" w:rsidRPr="00813D19">
        <w:rPr>
          <w:lang w:val="en-US"/>
        </w:rPr>
        <w:t xml:space="preserve"> inscription </w:t>
      </w:r>
      <w:r w:rsidR="00413CE3" w:rsidRPr="00813D19">
        <w:rPr>
          <w:lang w:val="en-US"/>
        </w:rPr>
        <w:t xml:space="preserve">was </w:t>
      </w:r>
      <w:r w:rsidR="00B421D2" w:rsidRPr="00813D19">
        <w:rPr>
          <w:lang w:val="en-US"/>
        </w:rPr>
        <w:t xml:space="preserve">therefore a milestone for Kenya as it </w:t>
      </w:r>
      <w:r w:rsidR="00413CE3" w:rsidRPr="00813D19">
        <w:rPr>
          <w:lang w:val="en-US"/>
        </w:rPr>
        <w:t xml:space="preserve">gave </w:t>
      </w:r>
      <w:r w:rsidR="00B421D2" w:rsidRPr="00813D19">
        <w:rPr>
          <w:lang w:val="en-US"/>
        </w:rPr>
        <w:t>the Maasai community renewed energy for its promotion and safeguarding. The Maasai are made up of nine related sections that all share this common heritage. T</w:t>
      </w:r>
      <w:r w:rsidR="00001FF8">
        <w:rPr>
          <w:lang w:val="en-US"/>
        </w:rPr>
        <w:t>he t</w:t>
      </w:r>
      <w:r w:rsidR="00B421D2" w:rsidRPr="00813D19">
        <w:rPr>
          <w:lang w:val="en-US"/>
        </w:rPr>
        <w:t xml:space="preserve">hree male rites of passage of Enkipaata, Eunoto and Olng'esherr </w:t>
      </w:r>
      <w:r w:rsidR="00413CE3" w:rsidRPr="00813D19">
        <w:rPr>
          <w:lang w:val="en-US"/>
        </w:rPr>
        <w:t xml:space="preserve">gives them a sense of identity and </w:t>
      </w:r>
      <w:r w:rsidR="00B421D2" w:rsidRPr="00813D19">
        <w:rPr>
          <w:lang w:val="en-US"/>
        </w:rPr>
        <w:t>pride</w:t>
      </w:r>
      <w:r w:rsidR="00413CE3" w:rsidRPr="00813D19">
        <w:rPr>
          <w:lang w:val="en-US"/>
        </w:rPr>
        <w:t>,</w:t>
      </w:r>
      <w:r w:rsidR="00B421D2" w:rsidRPr="00813D19">
        <w:rPr>
          <w:lang w:val="en-US"/>
        </w:rPr>
        <w:t xml:space="preserve"> and promoted traditional systems of governance, decision-making and responsibility among the Maasai. This heritage has been so outstanding to the extent of endearing the Maasai as a formidable community in the transmission and safeguarding of its intangible cultural heritage among Kenyan communities. Kenya </w:t>
      </w:r>
      <w:r w:rsidR="00413CE3" w:rsidRPr="00813D19">
        <w:rPr>
          <w:lang w:val="en-US"/>
        </w:rPr>
        <w:t xml:space="preserve">was </w:t>
      </w:r>
      <w:r w:rsidR="00813D19" w:rsidRPr="00813D19">
        <w:rPr>
          <w:lang w:val="en-US"/>
        </w:rPr>
        <w:t>committed</w:t>
      </w:r>
      <w:r w:rsidR="00B421D2" w:rsidRPr="00813D19">
        <w:rPr>
          <w:lang w:val="en-US"/>
        </w:rPr>
        <w:t xml:space="preserve"> </w:t>
      </w:r>
      <w:r w:rsidR="00413CE3" w:rsidRPr="00813D19">
        <w:rPr>
          <w:lang w:val="en-US"/>
        </w:rPr>
        <w:t xml:space="preserve">to </w:t>
      </w:r>
      <w:r w:rsidR="00B421D2" w:rsidRPr="00813D19">
        <w:rPr>
          <w:lang w:val="en-US"/>
        </w:rPr>
        <w:t xml:space="preserve">the promotion, preservation and safeguarding </w:t>
      </w:r>
      <w:r w:rsidR="00413CE3" w:rsidRPr="00813D19">
        <w:rPr>
          <w:lang w:val="en-US"/>
        </w:rPr>
        <w:t xml:space="preserve">of </w:t>
      </w:r>
      <w:r w:rsidR="00B421D2" w:rsidRPr="00813D19">
        <w:rPr>
          <w:lang w:val="en-US"/>
        </w:rPr>
        <w:t xml:space="preserve">the cultural heritage of its diverse communities in addition to the inscribed elements. </w:t>
      </w:r>
      <w:r w:rsidR="00413CE3" w:rsidRPr="00813D19">
        <w:rPr>
          <w:lang w:val="en-US"/>
        </w:rPr>
        <w:t xml:space="preserve">The delegation </w:t>
      </w:r>
      <w:r w:rsidR="00B421D2" w:rsidRPr="00813D19">
        <w:rPr>
          <w:lang w:val="en-US"/>
        </w:rPr>
        <w:t>invite</w:t>
      </w:r>
      <w:r w:rsidR="00413CE3" w:rsidRPr="00813D19">
        <w:rPr>
          <w:lang w:val="en-US"/>
        </w:rPr>
        <w:t>d</w:t>
      </w:r>
      <w:r w:rsidR="00B421D2" w:rsidRPr="00813D19">
        <w:rPr>
          <w:lang w:val="en-US"/>
        </w:rPr>
        <w:t xml:space="preserve"> the international community to visit the Kenyan Maasai in Kajiado and Narok counties </w:t>
      </w:r>
      <w:r w:rsidR="00413CE3" w:rsidRPr="00813D19">
        <w:rPr>
          <w:lang w:val="en-US"/>
        </w:rPr>
        <w:t xml:space="preserve">in the </w:t>
      </w:r>
      <w:r w:rsidR="00B421D2" w:rsidRPr="00813D19">
        <w:rPr>
          <w:lang w:val="en-US"/>
        </w:rPr>
        <w:t xml:space="preserve">beginning </w:t>
      </w:r>
      <w:r w:rsidR="00413CE3" w:rsidRPr="00813D19">
        <w:rPr>
          <w:lang w:val="en-US"/>
        </w:rPr>
        <w:t xml:space="preserve">of </w:t>
      </w:r>
      <w:r w:rsidR="00B421D2" w:rsidRPr="00813D19">
        <w:rPr>
          <w:lang w:val="en-US"/>
        </w:rPr>
        <w:t xml:space="preserve">April </w:t>
      </w:r>
      <w:r w:rsidR="00413CE3" w:rsidRPr="00813D19">
        <w:rPr>
          <w:lang w:val="en-US"/>
        </w:rPr>
        <w:t xml:space="preserve">2019 when </w:t>
      </w:r>
      <w:r w:rsidR="00B421D2" w:rsidRPr="00813D19">
        <w:rPr>
          <w:lang w:val="en-US"/>
        </w:rPr>
        <w:t xml:space="preserve">the celebrations of the Enkipaata, Eunoto and Olng'esherr ceremonies </w:t>
      </w:r>
      <w:r w:rsidR="00413CE3" w:rsidRPr="00813D19">
        <w:rPr>
          <w:lang w:val="en-US"/>
        </w:rPr>
        <w:t xml:space="preserve">take place so as to experience </w:t>
      </w:r>
      <w:r w:rsidR="00B421D2" w:rsidRPr="00813D19">
        <w:rPr>
          <w:lang w:val="en-US"/>
        </w:rPr>
        <w:t xml:space="preserve">first-hand this outstanding </w:t>
      </w:r>
      <w:r w:rsidR="00413CE3" w:rsidRPr="00813D19">
        <w:rPr>
          <w:lang w:val="en-US"/>
        </w:rPr>
        <w:t>element.</w:t>
      </w:r>
      <w:r w:rsidR="00B421D2" w:rsidRPr="00813D19">
        <w:rPr>
          <w:lang w:val="en-US"/>
        </w:rPr>
        <w:t xml:space="preserve"> </w:t>
      </w:r>
      <w:r w:rsidR="00413CE3" w:rsidRPr="00813D19">
        <w:rPr>
          <w:lang w:val="en-US"/>
        </w:rPr>
        <w:t xml:space="preserve">The delegation </w:t>
      </w:r>
      <w:r w:rsidR="00B421D2" w:rsidRPr="00813D19">
        <w:rPr>
          <w:lang w:val="en-US"/>
        </w:rPr>
        <w:t>invite</w:t>
      </w:r>
      <w:r w:rsidR="00413CE3" w:rsidRPr="00813D19">
        <w:rPr>
          <w:lang w:val="en-US"/>
        </w:rPr>
        <w:t>d</w:t>
      </w:r>
      <w:r w:rsidR="00B421D2" w:rsidRPr="00813D19">
        <w:rPr>
          <w:lang w:val="en-US"/>
        </w:rPr>
        <w:t xml:space="preserve"> tour operators and tourists to Kenya to consider adding </w:t>
      </w:r>
      <w:r w:rsidR="0099518D" w:rsidRPr="00813D19">
        <w:rPr>
          <w:lang w:val="en-US"/>
        </w:rPr>
        <w:t xml:space="preserve">the element </w:t>
      </w:r>
      <w:r w:rsidR="00001FF8">
        <w:rPr>
          <w:lang w:val="en-US"/>
        </w:rPr>
        <w:t>to</w:t>
      </w:r>
      <w:r w:rsidR="0099518D" w:rsidRPr="00813D19">
        <w:rPr>
          <w:lang w:val="en-US"/>
        </w:rPr>
        <w:t xml:space="preserve"> their travel itineraries, assuring </w:t>
      </w:r>
      <w:r w:rsidR="00B421D2" w:rsidRPr="00813D19">
        <w:rPr>
          <w:lang w:val="en-US"/>
        </w:rPr>
        <w:t>the Committee that Kenya ha</w:t>
      </w:r>
      <w:r w:rsidR="00001FF8">
        <w:rPr>
          <w:lang w:val="en-US"/>
        </w:rPr>
        <w:t>d</w:t>
      </w:r>
      <w:r w:rsidR="00B421D2" w:rsidRPr="00813D19">
        <w:rPr>
          <w:lang w:val="en-US"/>
        </w:rPr>
        <w:t xml:space="preserve"> a sustainable tourism management strategy to ensure no over-commercialization of </w:t>
      </w:r>
      <w:r w:rsidR="0099518D" w:rsidRPr="00813D19">
        <w:rPr>
          <w:lang w:val="en-US"/>
        </w:rPr>
        <w:t xml:space="preserve">its </w:t>
      </w:r>
      <w:r w:rsidR="00B421D2" w:rsidRPr="00813D19">
        <w:rPr>
          <w:lang w:val="en-US"/>
        </w:rPr>
        <w:t>intangible cultural heritage as a result of increased tourism</w:t>
      </w:r>
      <w:r w:rsidR="00E41386">
        <w:rPr>
          <w:lang w:val="en-US"/>
        </w:rPr>
        <w:t xml:space="preserve"> activities around the element.</w:t>
      </w:r>
    </w:p>
    <w:p w14:paraId="6CC3FCE7" w14:textId="295AD059" w:rsidR="00DE4963" w:rsidRPr="00813D19" w:rsidRDefault="00DE4963" w:rsidP="00E41386">
      <w:pPr>
        <w:pStyle w:val="Orateurengris"/>
        <w:numPr>
          <w:ilvl w:val="0"/>
          <w:numId w:val="0"/>
        </w:numPr>
        <w:spacing w:before="240" w:after="240"/>
        <w:jc w:val="center"/>
        <w:rPr>
          <w:i/>
          <w:lang w:val="en-US"/>
        </w:rPr>
      </w:pPr>
      <w:r w:rsidRPr="00813D19">
        <w:rPr>
          <w:i/>
          <w:lang w:val="en-US"/>
        </w:rPr>
        <w:t>[</w:t>
      </w:r>
      <w:r w:rsidR="00327E99" w:rsidRPr="00813D19">
        <w:rPr>
          <w:i/>
          <w:lang w:val="en-US"/>
        </w:rPr>
        <w:t>A short f</w:t>
      </w:r>
      <w:r w:rsidRPr="00813D19">
        <w:rPr>
          <w:i/>
          <w:lang w:val="en-US"/>
        </w:rPr>
        <w:t xml:space="preserve">ilm on the </w:t>
      </w:r>
      <w:r w:rsidR="00F32781" w:rsidRPr="00813D19">
        <w:rPr>
          <w:i/>
          <w:lang w:val="en-US"/>
        </w:rPr>
        <w:t>Enkipaata, Eunoto and Olng’esherr rites</w:t>
      </w:r>
      <w:r w:rsidR="00327E99" w:rsidRPr="00813D19">
        <w:rPr>
          <w:i/>
          <w:lang w:val="en-US"/>
        </w:rPr>
        <w:t xml:space="preserve"> was projected</w:t>
      </w:r>
      <w:r w:rsidRPr="00813D19">
        <w:rPr>
          <w:i/>
          <w:lang w:val="en-US"/>
        </w:rPr>
        <w:t>]</w:t>
      </w:r>
    </w:p>
    <w:p w14:paraId="32238578" w14:textId="6FB599BA" w:rsidR="00396821" w:rsidRPr="00813D19" w:rsidRDefault="00CE097D" w:rsidP="00CE097D">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A6153C" w:rsidRPr="00813D19">
        <w:rPr>
          <w:lang w:val="en-US"/>
        </w:rPr>
        <w:t xml:space="preserve">thanked </w:t>
      </w:r>
      <w:r w:rsidRPr="00813D19">
        <w:rPr>
          <w:lang w:val="en-US"/>
        </w:rPr>
        <w:t>Mr </w:t>
      </w:r>
      <w:r w:rsidR="00A6153C" w:rsidRPr="00813D19">
        <w:rPr>
          <w:lang w:val="en-US"/>
        </w:rPr>
        <w:t xml:space="preserve">Eivind </w:t>
      </w:r>
      <w:r w:rsidR="0099518D" w:rsidRPr="00813D19">
        <w:rPr>
          <w:lang w:val="en-US"/>
        </w:rPr>
        <w:t>Falk</w:t>
      </w:r>
      <w:r w:rsidR="00CC1799" w:rsidRPr="00813D19">
        <w:rPr>
          <w:lang w:val="en-US"/>
        </w:rPr>
        <w:t xml:space="preserve"> for </w:t>
      </w:r>
      <w:r w:rsidR="00813D19" w:rsidRPr="00813D19">
        <w:rPr>
          <w:lang w:val="en-US"/>
        </w:rPr>
        <w:t>the</w:t>
      </w:r>
      <w:r w:rsidR="00CC1799" w:rsidRPr="00813D19">
        <w:rPr>
          <w:lang w:val="en-US"/>
        </w:rPr>
        <w:t xml:space="preserve"> presentation</w:t>
      </w:r>
      <w:r w:rsidR="0099518D" w:rsidRPr="00813D19">
        <w:rPr>
          <w:lang w:val="en-US"/>
        </w:rPr>
        <w:t>.</w:t>
      </w:r>
    </w:p>
    <w:p w14:paraId="33E55D31" w14:textId="147B4D22" w:rsidR="00CE097D" w:rsidRPr="00813D19" w:rsidRDefault="00396821" w:rsidP="00E41386">
      <w:pPr>
        <w:pStyle w:val="Orateurengris"/>
        <w:numPr>
          <w:ilvl w:val="0"/>
          <w:numId w:val="0"/>
        </w:numPr>
        <w:spacing w:before="240" w:after="240"/>
        <w:jc w:val="center"/>
        <w:rPr>
          <w:i/>
          <w:lang w:val="en-US"/>
        </w:rPr>
      </w:pPr>
      <w:r w:rsidRPr="00813D19">
        <w:rPr>
          <w:i/>
          <w:lang w:val="en-US"/>
        </w:rPr>
        <w:t>[T</w:t>
      </w:r>
      <w:r w:rsidR="00CE097D" w:rsidRPr="00813D19">
        <w:rPr>
          <w:i/>
          <w:lang w:val="en-US"/>
        </w:rPr>
        <w:t>he Chairperson of the Evaluation</w:t>
      </w:r>
      <w:r w:rsidR="00DE4963" w:rsidRPr="00813D19">
        <w:rPr>
          <w:i/>
          <w:lang w:val="en-US"/>
        </w:rPr>
        <w:t xml:space="preserve"> </w:t>
      </w:r>
      <w:r w:rsidRPr="00813D19">
        <w:rPr>
          <w:i/>
          <w:lang w:val="en-US"/>
        </w:rPr>
        <w:t>Body reprised his role]</w:t>
      </w:r>
    </w:p>
    <w:p w14:paraId="1BB85489" w14:textId="07AC567C" w:rsidR="00092054" w:rsidRPr="00813D19" w:rsidRDefault="00CE097D" w:rsidP="00092054">
      <w:pPr>
        <w:pStyle w:val="Orateurengris"/>
        <w:spacing w:before="120"/>
        <w:ind w:left="709" w:hanging="709"/>
        <w:rPr>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 of the Evaluation Body</w:t>
      </w:r>
      <w:r w:rsidRPr="00813D19">
        <w:rPr>
          <w:color w:val="000000" w:themeColor="text1"/>
          <w:lang w:val="en-US"/>
        </w:rPr>
        <w:t xml:space="preserve"> turned to the next nomination</w:t>
      </w:r>
      <w:r w:rsidR="00001FF8">
        <w:rPr>
          <w:color w:val="000000" w:themeColor="text1"/>
          <w:lang w:val="en-US"/>
        </w:rPr>
        <w:t>,</w:t>
      </w:r>
      <w:r w:rsidRPr="00813D19">
        <w:rPr>
          <w:color w:val="000000" w:themeColor="text1"/>
          <w:lang w:val="en-US"/>
        </w:rPr>
        <w:t xml:space="preserve"> </w:t>
      </w:r>
      <w:r w:rsidRPr="00813D19">
        <w:rPr>
          <w:rFonts w:eastAsia="Malgun Gothic"/>
          <w:b/>
          <w:lang w:val="en-US" w:eastAsia="ko-KR"/>
        </w:rPr>
        <w:t>Suri Jagek (observing the sun), traditional meteorological and astronomical practice based on the observation of the sun, moon and stars in reference to the local topography</w:t>
      </w:r>
      <w:r w:rsidRPr="00813D19">
        <w:rPr>
          <w:rFonts w:eastAsia="Malgun Gothic"/>
          <w:lang w:val="en-US" w:eastAsia="ko-KR"/>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10.a.6]</w:t>
      </w:r>
      <w:r w:rsidR="00001FF8">
        <w:rPr>
          <w:color w:val="000000" w:themeColor="text1"/>
          <w:lang w:val="en-US"/>
        </w:rPr>
        <w:t>,</w:t>
      </w:r>
      <w:r w:rsidRPr="00813D19">
        <w:rPr>
          <w:b/>
          <w:color w:val="000000" w:themeColor="text1"/>
          <w:lang w:val="en-US"/>
        </w:rPr>
        <w:t xml:space="preserve"> </w:t>
      </w:r>
      <w:r w:rsidRPr="00813D19">
        <w:rPr>
          <w:lang w:val="en-US"/>
        </w:rPr>
        <w:t xml:space="preserve">submitted by </w:t>
      </w:r>
      <w:r w:rsidRPr="00813D19">
        <w:rPr>
          <w:b/>
          <w:lang w:val="en-US"/>
        </w:rPr>
        <w:t>Pakistan</w:t>
      </w:r>
      <w:r w:rsidRPr="00813D19">
        <w:rPr>
          <w:lang w:val="en-US"/>
        </w:rPr>
        <w:t>.</w:t>
      </w:r>
      <w:r w:rsidR="00092054" w:rsidRPr="00813D19">
        <w:rPr>
          <w:lang w:val="en-US"/>
        </w:rPr>
        <w:t xml:space="preserve"> </w:t>
      </w:r>
      <w:r w:rsidR="00396821" w:rsidRPr="00813D19">
        <w:rPr>
          <w:lang w:val="en-US"/>
        </w:rPr>
        <w:t>Suri Jagek</w:t>
      </w:r>
      <w:r w:rsidR="00092054" w:rsidRPr="00813D19">
        <w:rPr>
          <w:lang w:val="en-US"/>
        </w:rPr>
        <w:t xml:space="preserve"> is the traditional Kalasha meteorological and astronomica</w:t>
      </w:r>
      <w:r w:rsidR="00396821" w:rsidRPr="00813D19">
        <w:rPr>
          <w:lang w:val="en-US"/>
        </w:rPr>
        <w:t>l knowledge system and practice</w:t>
      </w:r>
      <w:r w:rsidR="00092054" w:rsidRPr="00813D19">
        <w:rPr>
          <w:lang w:val="en-US"/>
        </w:rPr>
        <w:t xml:space="preserve"> based on the observation of the sun, moon, stars and shadows with respect to the local topography. The system is repeatedly referenced to allow the Kalasha people to predict the appropriate time for sowing seeds, animal husbandry and natural calamities. It is also used to govern the Kalasha calendar by determining the dates of important social events, festivals, feasts and religious ceremonies. However, with the advent of the digital age, people are increasingly opting for more technologically ‘advanced’ means of predicting weather conditions. From the information included in th</w:t>
      </w:r>
      <w:r w:rsidR="00396821" w:rsidRPr="00813D19">
        <w:rPr>
          <w:lang w:val="en-US"/>
        </w:rPr>
        <w:t>e file, the nomination satisfied</w:t>
      </w:r>
      <w:r w:rsidR="00092054" w:rsidRPr="00813D19">
        <w:rPr>
          <w:lang w:val="en-US"/>
        </w:rPr>
        <w:t xml:space="preserve"> all five criteria. The Evaluation Body considered that</w:t>
      </w:r>
      <w:r w:rsidR="00001FF8">
        <w:rPr>
          <w:lang w:val="en-US"/>
        </w:rPr>
        <w:t>,</w:t>
      </w:r>
      <w:r w:rsidR="00092054" w:rsidRPr="00813D19">
        <w:rPr>
          <w:lang w:val="en-US"/>
        </w:rPr>
        <w:t xml:space="preserve"> despite modernization and new global forecasting methods, Suri Jagek still plays an important role in the life of the Kalasha community, comprising fundamental knowledge that helps sustain their way of life. Suri Jagek strengthens solidarity among people and reinforces a sense of identity by pointing towards shared histories and deeply rooted cultural connections. The viability and transmission of the element rest on an innovative transfer of information through storytelling, particularly when the community gathers to observe the rising and setting sun. Th</w:t>
      </w:r>
      <w:r w:rsidR="00396821" w:rsidRPr="00813D19">
        <w:rPr>
          <w:lang w:val="en-US"/>
        </w:rPr>
        <w:t>e proposed safeguarding plan had</w:t>
      </w:r>
      <w:r w:rsidR="00092054" w:rsidRPr="00813D19">
        <w:rPr>
          <w:lang w:val="en-US"/>
        </w:rPr>
        <w:t xml:space="preserve"> been carefully p</w:t>
      </w:r>
      <w:r w:rsidR="00396821" w:rsidRPr="00813D19">
        <w:rPr>
          <w:lang w:val="en-US"/>
        </w:rPr>
        <w:t>repared and clearly demonstrated</w:t>
      </w:r>
      <w:r w:rsidR="00092054" w:rsidRPr="00813D19">
        <w:rPr>
          <w:lang w:val="en-US"/>
        </w:rPr>
        <w:t xml:space="preserve"> community participation. The nomination involved the widest possible participation of members of the Kalasha community, academics, NGOs and the Pakistani </w:t>
      </w:r>
      <w:r w:rsidR="002F50EA">
        <w:rPr>
          <w:lang w:val="en-US"/>
        </w:rPr>
        <w:t>G</w:t>
      </w:r>
      <w:r w:rsidR="002F50EA" w:rsidRPr="00813D19">
        <w:rPr>
          <w:lang w:val="en-US"/>
        </w:rPr>
        <w:t>overnment</w:t>
      </w:r>
      <w:r w:rsidR="00092054" w:rsidRPr="00813D19">
        <w:rPr>
          <w:lang w:val="en-US"/>
        </w:rPr>
        <w:t>. The Evaluation Body commended the State Party for submitting a well-</w:t>
      </w:r>
      <w:r w:rsidR="00101AAC" w:rsidRPr="00813D19">
        <w:rPr>
          <w:lang w:val="en-US"/>
        </w:rPr>
        <w:t>prepared file. It further wished</w:t>
      </w:r>
      <w:r w:rsidR="00092054" w:rsidRPr="00813D19">
        <w:rPr>
          <w:lang w:val="en-US"/>
        </w:rPr>
        <w:t xml:space="preserve"> to remind </w:t>
      </w:r>
      <w:r w:rsidR="004F3083" w:rsidRPr="00813D19">
        <w:rPr>
          <w:lang w:val="en-US"/>
        </w:rPr>
        <w:t>Pakistan</w:t>
      </w:r>
      <w:r w:rsidR="00092054" w:rsidRPr="00813D19">
        <w:rPr>
          <w:lang w:val="en-US"/>
        </w:rPr>
        <w:t xml:space="preserve"> that updating is an important part of the inventorying process and inv</w:t>
      </w:r>
      <w:r w:rsidR="00B047A4" w:rsidRPr="00813D19">
        <w:rPr>
          <w:lang w:val="en-US"/>
        </w:rPr>
        <w:t>ited</w:t>
      </w:r>
      <w:r w:rsidR="00092054" w:rsidRPr="00813D19">
        <w:rPr>
          <w:lang w:val="en-US"/>
        </w:rPr>
        <w:t xml:space="preserve"> it to include detailed information concerning this aspect in its next periodic report. The Evaluation Body recommended that the Committee inscribe Suri Jagek (observing the sun), traditional meteorological and astronomical practice based on the observation of the sun, moon and stars in reference to the local topography on the Urgent Safeguarding List.</w:t>
      </w:r>
    </w:p>
    <w:p w14:paraId="06E08D3C" w14:textId="55214D10" w:rsidR="00766463" w:rsidRPr="00813D19" w:rsidRDefault="00766463" w:rsidP="00766463">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noted that no amendments had been received for this nomination.</w:t>
      </w:r>
    </w:p>
    <w:p w14:paraId="3D4844AA" w14:textId="05379184" w:rsidR="00930341" w:rsidRPr="00813D19" w:rsidRDefault="00A6153C" w:rsidP="00930341">
      <w:pPr>
        <w:pStyle w:val="Orateurengris"/>
        <w:spacing w:before="120"/>
        <w:ind w:left="709" w:hanging="709"/>
        <w:rPr>
          <w:lang w:val="en-US"/>
        </w:rPr>
      </w:pPr>
      <w:r w:rsidRPr="00813D19">
        <w:rPr>
          <w:rFonts w:eastAsia="Calibri"/>
          <w:color w:val="000000" w:themeColor="text1"/>
          <w:lang w:val="en-US"/>
        </w:rPr>
        <w:t>Turning to the draft decision as a whole</w:t>
      </w:r>
      <w:r w:rsidR="00766463" w:rsidRPr="00813D19">
        <w:rPr>
          <w:lang w:val="en-US"/>
        </w:rPr>
        <w:t xml:space="preserve">, </w:t>
      </w:r>
      <w:r w:rsidR="00930341" w:rsidRPr="00813D19">
        <w:rPr>
          <w:lang w:val="en-US"/>
        </w:rPr>
        <w:t xml:space="preserve">the </w:t>
      </w:r>
      <w:r w:rsidR="00930341" w:rsidRPr="00813D19">
        <w:rPr>
          <w:b/>
          <w:lang w:val="en-US"/>
        </w:rPr>
        <w:t>Chairperson</w:t>
      </w:r>
      <w:r w:rsidR="00930341" w:rsidRPr="00813D19">
        <w:rPr>
          <w:lang w:val="en-US"/>
        </w:rPr>
        <w:t xml:space="preserve"> </w:t>
      </w:r>
      <w:r w:rsidR="00930341" w:rsidRPr="00813D19">
        <w:rPr>
          <w:b/>
          <w:lang w:val="en-US"/>
        </w:rPr>
        <w:t xml:space="preserve">declared Decision </w:t>
      </w:r>
      <w:hyperlink r:id="rId98" w:history="1">
        <w:r w:rsidR="00930341" w:rsidRPr="00813D19">
          <w:rPr>
            <w:rStyle w:val="Hyperlink"/>
            <w:b/>
            <w:lang w:val="en-US"/>
          </w:rPr>
          <w:t>13.COM 10.a.6</w:t>
        </w:r>
        <w:r w:rsidR="00EB6CE8" w:rsidRPr="00813D19">
          <w:rPr>
            <w:rStyle w:val="Hyperlink"/>
            <w:b/>
            <w:lang w:val="en-US"/>
          </w:rPr>
          <w:t xml:space="preserve"> adopted</w:t>
        </w:r>
      </w:hyperlink>
      <w:r w:rsidR="00EB6CE8" w:rsidRPr="00813D19">
        <w:rPr>
          <w:b/>
          <w:lang w:val="en-US"/>
        </w:rPr>
        <w:t xml:space="preserve"> to inscribe </w:t>
      </w:r>
      <w:r w:rsidR="00930341" w:rsidRPr="00813D19">
        <w:rPr>
          <w:rFonts w:eastAsia="Malgun Gothic"/>
          <w:b/>
          <w:lang w:val="en-US" w:eastAsia="ko-KR"/>
        </w:rPr>
        <w:t>Suri Jagek (observing the sun), traditional meteorological and astronomical practice based on the observation of the sun, moon and stars in reference to the local topography</w:t>
      </w:r>
      <w:r w:rsidR="00930341" w:rsidRPr="00813D19">
        <w:rPr>
          <w:rFonts w:eastAsia="Malgun Gothic"/>
          <w:lang w:val="en-US" w:eastAsia="ko-KR"/>
        </w:rPr>
        <w:t xml:space="preserve"> </w:t>
      </w:r>
      <w:r w:rsidR="00930341" w:rsidRPr="00813D19">
        <w:rPr>
          <w:b/>
          <w:lang w:val="en-US"/>
        </w:rPr>
        <w:t>on the Urgent Safeguarding List</w:t>
      </w:r>
      <w:r w:rsidR="00930341" w:rsidRPr="00E41386">
        <w:rPr>
          <w:bCs/>
          <w:lang w:val="en-US"/>
        </w:rPr>
        <w:t>.</w:t>
      </w:r>
    </w:p>
    <w:p w14:paraId="29223322" w14:textId="5A3A6E80" w:rsidR="00766463" w:rsidRPr="00813D19" w:rsidRDefault="00766463" w:rsidP="00930341">
      <w:pPr>
        <w:pStyle w:val="Orateurengris"/>
        <w:spacing w:before="120"/>
        <w:ind w:left="709" w:hanging="709"/>
        <w:rPr>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Pakistan</w:t>
      </w:r>
      <w:r w:rsidR="00B421D2" w:rsidRPr="00813D19">
        <w:rPr>
          <w:rFonts w:eastAsia="Calibri"/>
          <w:b/>
          <w:color w:val="000000" w:themeColor="text1"/>
          <w:lang w:val="en-US"/>
        </w:rPr>
        <w:t xml:space="preserve"> </w:t>
      </w:r>
      <w:r w:rsidR="00B421D2" w:rsidRPr="00813D19">
        <w:rPr>
          <w:lang w:val="en-US"/>
        </w:rPr>
        <w:t>express</w:t>
      </w:r>
      <w:r w:rsidR="0099518D" w:rsidRPr="00813D19">
        <w:rPr>
          <w:lang w:val="en-US"/>
        </w:rPr>
        <w:t>ed</w:t>
      </w:r>
      <w:r w:rsidR="00B421D2" w:rsidRPr="00813D19">
        <w:rPr>
          <w:lang w:val="en-US"/>
        </w:rPr>
        <w:t xml:space="preserve"> </w:t>
      </w:r>
      <w:r w:rsidR="00001FF8">
        <w:rPr>
          <w:lang w:val="en-US"/>
        </w:rPr>
        <w:t xml:space="preserve">its </w:t>
      </w:r>
      <w:r w:rsidR="00B421D2" w:rsidRPr="00813D19">
        <w:rPr>
          <w:lang w:val="en-US"/>
        </w:rPr>
        <w:t xml:space="preserve">gratitude to the Committee for </w:t>
      </w:r>
      <w:r w:rsidR="0099518D" w:rsidRPr="00813D19">
        <w:rPr>
          <w:lang w:val="en-US"/>
        </w:rPr>
        <w:t xml:space="preserve">the </w:t>
      </w:r>
      <w:r w:rsidR="00B421D2" w:rsidRPr="00813D19">
        <w:rPr>
          <w:lang w:val="en-US"/>
        </w:rPr>
        <w:t xml:space="preserve">inscription of Suri Jagek tradition on the </w:t>
      </w:r>
      <w:r w:rsidR="0099518D" w:rsidRPr="00813D19">
        <w:rPr>
          <w:lang w:val="en-US"/>
        </w:rPr>
        <w:t xml:space="preserve">Urgent Safeguarding List, and took the </w:t>
      </w:r>
      <w:r w:rsidR="00B421D2" w:rsidRPr="00813D19">
        <w:rPr>
          <w:lang w:val="en-US"/>
        </w:rPr>
        <w:t xml:space="preserve">opportunity to convey </w:t>
      </w:r>
      <w:r w:rsidR="00001FF8">
        <w:rPr>
          <w:lang w:val="en-US"/>
        </w:rPr>
        <w:t xml:space="preserve">its </w:t>
      </w:r>
      <w:r w:rsidR="00B421D2" w:rsidRPr="00813D19">
        <w:rPr>
          <w:lang w:val="en-US"/>
        </w:rPr>
        <w:t xml:space="preserve">immense appreciation to the Evaluation Body and the Secretariat </w:t>
      </w:r>
      <w:r w:rsidR="0099518D" w:rsidRPr="00813D19">
        <w:rPr>
          <w:lang w:val="en-US"/>
        </w:rPr>
        <w:t xml:space="preserve">for their </w:t>
      </w:r>
      <w:r w:rsidR="00B421D2" w:rsidRPr="00813D19">
        <w:rPr>
          <w:lang w:val="en-US"/>
        </w:rPr>
        <w:t xml:space="preserve">valuable support in achieving this milestone. This practice plays a pivotal role in the Kalasha community as a significant social event </w:t>
      </w:r>
      <w:r w:rsidR="00B875EA" w:rsidRPr="00813D19">
        <w:rPr>
          <w:lang w:val="en-US"/>
        </w:rPr>
        <w:t xml:space="preserve">at </w:t>
      </w:r>
      <w:r w:rsidR="00B421D2" w:rsidRPr="00813D19">
        <w:rPr>
          <w:lang w:val="en-US"/>
        </w:rPr>
        <w:t xml:space="preserve">festivals, feasts, rituals, </w:t>
      </w:r>
      <w:r w:rsidR="00B875EA" w:rsidRPr="00813D19">
        <w:rPr>
          <w:lang w:val="en-US"/>
        </w:rPr>
        <w:t xml:space="preserve">and </w:t>
      </w:r>
      <w:r w:rsidR="00B421D2" w:rsidRPr="00813D19">
        <w:rPr>
          <w:lang w:val="en-US"/>
        </w:rPr>
        <w:t>animal husbandry and farming practices are governed through this age-old practice. It is also used to forecast weather</w:t>
      </w:r>
      <w:r w:rsidR="00B875EA" w:rsidRPr="00813D19">
        <w:rPr>
          <w:lang w:val="en-US"/>
        </w:rPr>
        <w:t xml:space="preserve"> and predict natural disasters. </w:t>
      </w:r>
      <w:r w:rsidR="00B421D2" w:rsidRPr="00813D19">
        <w:rPr>
          <w:lang w:val="en-US"/>
        </w:rPr>
        <w:t xml:space="preserve">This </w:t>
      </w:r>
      <w:r w:rsidR="00B875EA" w:rsidRPr="00813D19">
        <w:rPr>
          <w:lang w:val="en-US"/>
        </w:rPr>
        <w:t xml:space="preserve">was </w:t>
      </w:r>
      <w:r w:rsidR="00B421D2" w:rsidRPr="00813D19">
        <w:rPr>
          <w:lang w:val="en-US"/>
        </w:rPr>
        <w:t xml:space="preserve">Pakistan’s first </w:t>
      </w:r>
      <w:r w:rsidR="00B875EA" w:rsidRPr="00813D19">
        <w:rPr>
          <w:lang w:val="en-US"/>
        </w:rPr>
        <w:t>i</w:t>
      </w:r>
      <w:r w:rsidR="00B421D2" w:rsidRPr="00813D19">
        <w:rPr>
          <w:lang w:val="en-US"/>
        </w:rPr>
        <w:t xml:space="preserve">ndependent </w:t>
      </w:r>
      <w:r w:rsidR="00B875EA" w:rsidRPr="00813D19">
        <w:rPr>
          <w:lang w:val="en-US"/>
        </w:rPr>
        <w:t>inscription, with the joint inscriptions of F</w:t>
      </w:r>
      <w:r w:rsidR="00B421D2" w:rsidRPr="00813D19">
        <w:rPr>
          <w:lang w:val="en-US"/>
        </w:rPr>
        <w:t xml:space="preserve">alconry and Nawrouz, which are </w:t>
      </w:r>
      <w:r w:rsidR="00B875EA" w:rsidRPr="00813D19">
        <w:rPr>
          <w:lang w:val="en-US"/>
        </w:rPr>
        <w:t xml:space="preserve">both </w:t>
      </w:r>
      <w:r w:rsidR="00B421D2" w:rsidRPr="00813D19">
        <w:rPr>
          <w:lang w:val="en-US"/>
        </w:rPr>
        <w:t xml:space="preserve">inscribed on the Representative List as multinational nominations. Suri Jagek </w:t>
      </w:r>
      <w:r w:rsidR="00B875EA" w:rsidRPr="00813D19">
        <w:rPr>
          <w:lang w:val="en-US"/>
        </w:rPr>
        <w:t xml:space="preserve">is </w:t>
      </w:r>
      <w:r w:rsidR="00B421D2" w:rsidRPr="00813D19">
        <w:rPr>
          <w:lang w:val="en-US"/>
        </w:rPr>
        <w:t>a fast disappearing element of indigenous Kalasha knowledge of nature and the universe</w:t>
      </w:r>
      <w:r w:rsidR="00B875EA" w:rsidRPr="00813D19">
        <w:rPr>
          <w:lang w:val="en-US"/>
        </w:rPr>
        <w:t>,</w:t>
      </w:r>
      <w:r w:rsidR="00B421D2" w:rsidRPr="00813D19">
        <w:rPr>
          <w:lang w:val="en-US"/>
        </w:rPr>
        <w:t xml:space="preserve"> and was </w:t>
      </w:r>
      <w:r w:rsidR="00B875EA" w:rsidRPr="00813D19">
        <w:rPr>
          <w:lang w:val="en-US"/>
        </w:rPr>
        <w:t xml:space="preserve">therefore </w:t>
      </w:r>
      <w:r w:rsidR="00B421D2" w:rsidRPr="00813D19">
        <w:rPr>
          <w:lang w:val="en-US"/>
        </w:rPr>
        <w:t xml:space="preserve">proposed on the </w:t>
      </w:r>
      <w:r w:rsidR="00B875EA" w:rsidRPr="00813D19">
        <w:rPr>
          <w:lang w:val="en-US"/>
        </w:rPr>
        <w:t>Urgent Safeguarding List</w:t>
      </w:r>
      <w:r w:rsidR="00B421D2" w:rsidRPr="00813D19">
        <w:rPr>
          <w:lang w:val="en-US"/>
        </w:rPr>
        <w:t xml:space="preserve">. This vital tradition </w:t>
      </w:r>
      <w:r w:rsidR="00001FF8">
        <w:rPr>
          <w:lang w:val="en-US"/>
        </w:rPr>
        <w:t>would</w:t>
      </w:r>
      <w:r w:rsidR="00001FF8" w:rsidRPr="00813D19">
        <w:rPr>
          <w:lang w:val="en-US"/>
        </w:rPr>
        <w:t xml:space="preserve"> </w:t>
      </w:r>
      <w:r w:rsidR="00B421D2" w:rsidRPr="00813D19">
        <w:rPr>
          <w:lang w:val="en-US"/>
        </w:rPr>
        <w:t xml:space="preserve">now be protected as part of </w:t>
      </w:r>
      <w:r w:rsidR="00001FF8">
        <w:rPr>
          <w:lang w:val="en-US"/>
        </w:rPr>
        <w:t xml:space="preserve">the </w:t>
      </w:r>
      <w:r w:rsidR="00B421D2" w:rsidRPr="00813D19">
        <w:rPr>
          <w:lang w:val="en-US"/>
        </w:rPr>
        <w:t xml:space="preserve">shared human heritage </w:t>
      </w:r>
      <w:r w:rsidR="00001FF8">
        <w:rPr>
          <w:lang w:val="en-US"/>
        </w:rPr>
        <w:t>of</w:t>
      </w:r>
      <w:r w:rsidR="00B875EA" w:rsidRPr="00813D19">
        <w:rPr>
          <w:lang w:val="en-US"/>
        </w:rPr>
        <w:t xml:space="preserve"> </w:t>
      </w:r>
      <w:r w:rsidR="00B421D2" w:rsidRPr="00813D19">
        <w:rPr>
          <w:lang w:val="en-US"/>
        </w:rPr>
        <w:t>the entire world</w:t>
      </w:r>
      <w:r w:rsidR="00B875EA" w:rsidRPr="00813D19">
        <w:rPr>
          <w:lang w:val="en-US"/>
        </w:rPr>
        <w:t>,</w:t>
      </w:r>
      <w:r w:rsidR="00B421D2" w:rsidRPr="00813D19">
        <w:rPr>
          <w:lang w:val="en-US"/>
        </w:rPr>
        <w:t xml:space="preserve"> and </w:t>
      </w:r>
      <w:r w:rsidR="00B875EA" w:rsidRPr="00813D19">
        <w:rPr>
          <w:lang w:val="en-US"/>
        </w:rPr>
        <w:t xml:space="preserve">it </w:t>
      </w:r>
      <w:r w:rsidR="00001FF8">
        <w:rPr>
          <w:lang w:val="en-US"/>
        </w:rPr>
        <w:t xml:space="preserve">would </w:t>
      </w:r>
      <w:r w:rsidR="00B421D2" w:rsidRPr="00813D19">
        <w:rPr>
          <w:lang w:val="en-US"/>
        </w:rPr>
        <w:t>continue to serve its sp</w:t>
      </w:r>
      <w:r w:rsidR="00B875EA" w:rsidRPr="00813D19">
        <w:rPr>
          <w:lang w:val="en-US"/>
        </w:rPr>
        <w:t>iritual and utilitarian purpose</w:t>
      </w:r>
      <w:r w:rsidR="00B421D2" w:rsidRPr="00813D19">
        <w:rPr>
          <w:lang w:val="en-US"/>
        </w:rPr>
        <w:t xml:space="preserve">. </w:t>
      </w:r>
      <w:r w:rsidR="00B875EA" w:rsidRPr="00813D19">
        <w:rPr>
          <w:lang w:val="en-US"/>
        </w:rPr>
        <w:t xml:space="preserve">As </w:t>
      </w:r>
      <w:r w:rsidR="00001FF8">
        <w:rPr>
          <w:lang w:val="en-US"/>
        </w:rPr>
        <w:t xml:space="preserve">a </w:t>
      </w:r>
      <w:r w:rsidR="00B421D2" w:rsidRPr="00813D19">
        <w:rPr>
          <w:lang w:val="en-US"/>
        </w:rPr>
        <w:t xml:space="preserve">party to </w:t>
      </w:r>
      <w:r w:rsidR="00B875EA" w:rsidRPr="00813D19">
        <w:rPr>
          <w:lang w:val="en-US"/>
        </w:rPr>
        <w:t>the Convention, Pakistan subscribed</w:t>
      </w:r>
      <w:r w:rsidR="00B421D2" w:rsidRPr="00813D19">
        <w:rPr>
          <w:lang w:val="en-US"/>
        </w:rPr>
        <w:t xml:space="preserve"> to its provisions and </w:t>
      </w:r>
      <w:r w:rsidR="008A5143" w:rsidRPr="00813D19">
        <w:rPr>
          <w:lang w:val="en-US"/>
        </w:rPr>
        <w:t>was</w:t>
      </w:r>
      <w:r w:rsidR="00B421D2" w:rsidRPr="00813D19">
        <w:rPr>
          <w:lang w:val="en-US"/>
        </w:rPr>
        <w:t xml:space="preserve"> committed to the preservation of it</w:t>
      </w:r>
      <w:r w:rsidR="00B875EA" w:rsidRPr="00813D19">
        <w:rPr>
          <w:lang w:val="en-US"/>
        </w:rPr>
        <w:t>s intangible cultural heritage, adding</w:t>
      </w:r>
      <w:r w:rsidR="00001FF8">
        <w:rPr>
          <w:lang w:val="en-US"/>
        </w:rPr>
        <w:t>a</w:t>
      </w:r>
      <w:r w:rsidR="00B875EA" w:rsidRPr="00813D19">
        <w:rPr>
          <w:lang w:val="en-US"/>
        </w:rPr>
        <w:t xml:space="preserve"> that </w:t>
      </w:r>
      <w:r w:rsidR="00B421D2" w:rsidRPr="00813D19">
        <w:rPr>
          <w:lang w:val="en-US"/>
        </w:rPr>
        <w:t xml:space="preserve">UNESCO is the only international organization that can pride itself </w:t>
      </w:r>
      <w:r w:rsidR="00001FF8">
        <w:rPr>
          <w:lang w:val="en-US"/>
        </w:rPr>
        <w:t>o</w:t>
      </w:r>
      <w:r w:rsidR="00B421D2" w:rsidRPr="00813D19">
        <w:rPr>
          <w:lang w:val="en-US"/>
        </w:rPr>
        <w:t>n holding this immensely important mandate of building peace in the minds men and women through education, culture, science and communications. Traditional p</w:t>
      </w:r>
      <w:r w:rsidR="00B875EA" w:rsidRPr="00813D19">
        <w:rPr>
          <w:lang w:val="en-US"/>
        </w:rPr>
        <w:t>ractices add value to our everyday lives, and h</w:t>
      </w:r>
      <w:r w:rsidR="00B421D2" w:rsidRPr="00813D19">
        <w:rPr>
          <w:lang w:val="en-US"/>
        </w:rPr>
        <w:t xml:space="preserve">eritage constitutes a national identity and a source of cohesion in an age of bewildering change. Listing culture at the heart of development policy is a priority of </w:t>
      </w:r>
      <w:r w:rsidR="00B875EA" w:rsidRPr="00813D19">
        <w:rPr>
          <w:lang w:val="en-US"/>
        </w:rPr>
        <w:t xml:space="preserve">the </w:t>
      </w:r>
      <w:r w:rsidR="00B421D2" w:rsidRPr="00813D19">
        <w:rPr>
          <w:lang w:val="en-US"/>
        </w:rPr>
        <w:t xml:space="preserve">government and an essential investment in </w:t>
      </w:r>
      <w:r w:rsidR="00B875EA" w:rsidRPr="00813D19">
        <w:rPr>
          <w:lang w:val="en-US"/>
        </w:rPr>
        <w:t>its future</w:t>
      </w:r>
      <w:r w:rsidR="00E41386">
        <w:rPr>
          <w:lang w:val="en-US"/>
        </w:rPr>
        <w:t>.</w:t>
      </w:r>
    </w:p>
    <w:p w14:paraId="0E061950" w14:textId="5A2015D5" w:rsidR="00901DEE" w:rsidRPr="00813D19" w:rsidRDefault="00901DEE" w:rsidP="00E41386">
      <w:pPr>
        <w:pStyle w:val="Orateurengris"/>
        <w:numPr>
          <w:ilvl w:val="0"/>
          <w:numId w:val="0"/>
        </w:numPr>
        <w:spacing w:before="240" w:after="240"/>
        <w:ind w:left="567" w:hanging="567"/>
        <w:jc w:val="center"/>
        <w:rPr>
          <w:i/>
          <w:lang w:val="en-US"/>
        </w:rPr>
      </w:pPr>
      <w:r w:rsidRPr="00813D19">
        <w:rPr>
          <w:i/>
          <w:lang w:val="en-US"/>
        </w:rPr>
        <w:t xml:space="preserve">[A short film on </w:t>
      </w:r>
      <w:r w:rsidRPr="00813D19">
        <w:rPr>
          <w:rFonts w:eastAsia="Malgun Gothic"/>
          <w:i/>
          <w:lang w:val="en-US" w:eastAsia="ko-KR"/>
        </w:rPr>
        <w:t xml:space="preserve">Suri Jagek </w:t>
      </w:r>
      <w:r w:rsidRPr="00813D19">
        <w:rPr>
          <w:i/>
          <w:lang w:val="en-US"/>
        </w:rPr>
        <w:t>was projected]</w:t>
      </w:r>
    </w:p>
    <w:p w14:paraId="42104BF2" w14:textId="61297810" w:rsidR="00B421D2" w:rsidRPr="00813D19" w:rsidRDefault="00B421D2" w:rsidP="00F82F8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F14C5A" w:rsidRPr="00813D19">
        <w:rPr>
          <w:lang w:val="en-US"/>
        </w:rPr>
        <w:t xml:space="preserve">congratulated </w:t>
      </w:r>
      <w:r w:rsidRPr="00813D19">
        <w:rPr>
          <w:bCs/>
          <w:lang w:val="en-US"/>
        </w:rPr>
        <w:t xml:space="preserve">Pakistan and </w:t>
      </w:r>
      <w:r w:rsidR="00F14C5A" w:rsidRPr="00813D19">
        <w:rPr>
          <w:bCs/>
          <w:lang w:val="en-US"/>
        </w:rPr>
        <w:t xml:space="preserve">turned to the </w:t>
      </w:r>
      <w:r w:rsidRPr="00813D19">
        <w:rPr>
          <w:bCs/>
          <w:lang w:val="en-US"/>
        </w:rPr>
        <w:t>last nomination under item 10.a</w:t>
      </w:r>
      <w:r w:rsidR="00F14C5A" w:rsidRPr="00813D19">
        <w:rPr>
          <w:bCs/>
          <w:lang w:val="en-US"/>
        </w:rPr>
        <w:t>.</w:t>
      </w:r>
    </w:p>
    <w:p w14:paraId="2CD0D0C7" w14:textId="27C2EC8D" w:rsidR="00F82F8A" w:rsidRPr="00813D19" w:rsidRDefault="00D80196" w:rsidP="00F82F8A">
      <w:pPr>
        <w:pStyle w:val="Orateurengris"/>
        <w:spacing w:before="120"/>
        <w:ind w:left="709" w:hanging="709"/>
        <w:rPr>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 of the Evaluation Body</w:t>
      </w:r>
      <w:r w:rsidRPr="00813D19">
        <w:rPr>
          <w:color w:val="000000" w:themeColor="text1"/>
          <w:lang w:val="en-US"/>
        </w:rPr>
        <w:t xml:space="preserve"> turned to the next nomination</w:t>
      </w:r>
      <w:r w:rsidR="00001FF8">
        <w:rPr>
          <w:color w:val="000000" w:themeColor="text1"/>
          <w:lang w:val="en-US"/>
        </w:rPr>
        <w:t>,</w:t>
      </w:r>
      <w:r w:rsidRPr="00813D19">
        <w:rPr>
          <w:color w:val="000000" w:themeColor="text1"/>
          <w:lang w:val="en-US"/>
        </w:rPr>
        <w:t xml:space="preserve"> </w:t>
      </w:r>
      <w:r w:rsidRPr="00813D19">
        <w:rPr>
          <w:rFonts w:eastAsia="Malgun Gothic"/>
          <w:b/>
          <w:lang w:val="en-US" w:eastAsia="ko-KR"/>
        </w:rPr>
        <w:t xml:space="preserve">Shadow play </w:t>
      </w:r>
      <w:r w:rsidRPr="00813D19">
        <w:rPr>
          <w:rFonts w:eastAsia="Malgun Gothic"/>
          <w:lang w:val="en-US" w:eastAsia="ko-KR"/>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10.a.7]</w:t>
      </w:r>
      <w:r w:rsidR="00001FF8">
        <w:rPr>
          <w:color w:val="000000" w:themeColor="text1"/>
          <w:lang w:val="en-US"/>
        </w:rPr>
        <w:t>,</w:t>
      </w:r>
      <w:r w:rsidRPr="00813D19">
        <w:rPr>
          <w:b/>
          <w:color w:val="000000" w:themeColor="text1"/>
          <w:lang w:val="en-US"/>
        </w:rPr>
        <w:t xml:space="preserve"> </w:t>
      </w:r>
      <w:r w:rsidRPr="00813D19">
        <w:rPr>
          <w:lang w:val="en-US"/>
        </w:rPr>
        <w:t xml:space="preserve">submitted by </w:t>
      </w:r>
      <w:r w:rsidR="008A5143" w:rsidRPr="00813D19">
        <w:rPr>
          <w:lang w:val="en-US"/>
        </w:rPr>
        <w:t xml:space="preserve">the </w:t>
      </w:r>
      <w:r w:rsidRPr="00813D19">
        <w:rPr>
          <w:b/>
          <w:lang w:val="en-US"/>
        </w:rPr>
        <w:t>Syrian Arab Republic</w:t>
      </w:r>
      <w:r w:rsidRPr="00813D19">
        <w:rPr>
          <w:lang w:val="en-US"/>
        </w:rPr>
        <w:t>.</w:t>
      </w:r>
      <w:r w:rsidR="00F82F8A" w:rsidRPr="00813D19">
        <w:rPr>
          <w:lang w:val="en-US"/>
        </w:rPr>
        <w:t xml:space="preserve"> Shadow play is a traditional art consisting of handmade puppets moving behind a thin translucent curtain or screen inside a dark theatre, now practised mainly in Damascus. Performances in popular cafes have waned and are now mostly confined to festivals, special holidays and theatres. From the information included in th</w:t>
      </w:r>
      <w:r w:rsidR="00B06583" w:rsidRPr="00813D19">
        <w:rPr>
          <w:lang w:val="en-US"/>
        </w:rPr>
        <w:t>e file, the nomination satisfied</w:t>
      </w:r>
      <w:r w:rsidR="00F82F8A" w:rsidRPr="00813D19">
        <w:rPr>
          <w:lang w:val="en-US"/>
        </w:rPr>
        <w:t xml:space="preserve"> all five criteria. The Evaluation Body considered Shadow play </w:t>
      </w:r>
      <w:r w:rsidR="00834936">
        <w:rPr>
          <w:lang w:val="en-US"/>
        </w:rPr>
        <w:t xml:space="preserve">to be </w:t>
      </w:r>
      <w:r w:rsidR="00F82F8A" w:rsidRPr="00813D19">
        <w:rPr>
          <w:lang w:val="en-US"/>
        </w:rPr>
        <w:t>a popular Syrian traditional performing art with a deep social and cultural meaning which conveys social, religious and political content</w:t>
      </w:r>
      <w:r w:rsidR="003C6DA1" w:rsidRPr="00813D19">
        <w:rPr>
          <w:lang w:val="en-US"/>
        </w:rPr>
        <w:t>,</w:t>
      </w:r>
      <w:r w:rsidR="00F82F8A" w:rsidRPr="00813D19">
        <w:rPr>
          <w:lang w:val="en-US"/>
        </w:rPr>
        <w:t xml:space="preserve"> and teaches people about proper social behaviour through satire. </w:t>
      </w:r>
      <w:r w:rsidR="00222BCC" w:rsidRPr="00813D19">
        <w:rPr>
          <w:lang w:val="en-US"/>
        </w:rPr>
        <w:t xml:space="preserve">Its </w:t>
      </w:r>
      <w:r w:rsidR="00F82F8A" w:rsidRPr="00813D19">
        <w:rPr>
          <w:lang w:val="en-US"/>
        </w:rPr>
        <w:t xml:space="preserve">practice and popularity </w:t>
      </w:r>
      <w:r w:rsidR="00222BCC" w:rsidRPr="00813D19">
        <w:rPr>
          <w:lang w:val="en-US"/>
        </w:rPr>
        <w:t>have</w:t>
      </w:r>
      <w:r w:rsidR="00F82F8A" w:rsidRPr="00813D19">
        <w:rPr>
          <w:lang w:val="en-US"/>
        </w:rPr>
        <w:t xml:space="preserve"> been declining since the 1940s due to modern technology and new forms of entertainment. The propose</w:t>
      </w:r>
      <w:r w:rsidR="003C6DA1" w:rsidRPr="00813D19">
        <w:rPr>
          <w:lang w:val="en-US"/>
        </w:rPr>
        <w:t>d safeguarding measures included</w:t>
      </w:r>
      <w:r w:rsidR="00834936">
        <w:rPr>
          <w:lang w:val="en-US"/>
        </w:rPr>
        <w:t>:</w:t>
      </w:r>
      <w:r w:rsidR="00F82F8A" w:rsidRPr="00813D19">
        <w:rPr>
          <w:lang w:val="en-US"/>
        </w:rPr>
        <w:t xml:space="preserve"> training new puppeteers; increasing performances; participation in international festivals; documentation; transmitting knowledge; launching a website; r</w:t>
      </w:r>
      <w:r w:rsidR="003C6DA1" w:rsidRPr="00813D19">
        <w:rPr>
          <w:lang w:val="en-US"/>
        </w:rPr>
        <w:t xml:space="preserve">eturning performances to cafes; </w:t>
      </w:r>
      <w:r w:rsidR="00F82F8A" w:rsidRPr="00813D19">
        <w:rPr>
          <w:lang w:val="en-US"/>
        </w:rPr>
        <w:t>networking</w:t>
      </w:r>
      <w:r w:rsidR="003C6DA1" w:rsidRPr="00813D19">
        <w:rPr>
          <w:lang w:val="en-US"/>
        </w:rPr>
        <w:t>;</w:t>
      </w:r>
      <w:r w:rsidR="00F82F8A" w:rsidRPr="00813D19">
        <w:rPr>
          <w:lang w:val="en-US"/>
        </w:rPr>
        <w:t xml:space="preserve"> and building a legislative framework to manage living heritage. The nomination was drawn up by governmental organizations in partnership with artists, cultural associations and civil society organizations. The Evaluation Body recommended that the Committee inscribe Shadow play on </w:t>
      </w:r>
      <w:r w:rsidR="00222BCC" w:rsidRPr="00813D19">
        <w:rPr>
          <w:lang w:val="en-US"/>
        </w:rPr>
        <w:t xml:space="preserve">the </w:t>
      </w:r>
      <w:r w:rsidR="00F82F8A" w:rsidRPr="00813D19">
        <w:rPr>
          <w:lang w:val="en-US"/>
        </w:rPr>
        <w:t>Urgent Safeguarding List.</w:t>
      </w:r>
    </w:p>
    <w:p w14:paraId="245C8428" w14:textId="77777777" w:rsidR="00B06583" w:rsidRPr="00813D19" w:rsidRDefault="00B06583" w:rsidP="00B06583">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noted that no amendments had been received for this nomination.</w:t>
      </w:r>
    </w:p>
    <w:p w14:paraId="62BFABCF" w14:textId="699C45DD" w:rsidR="00F82F8A" w:rsidRPr="00813D19" w:rsidRDefault="00B06583" w:rsidP="00F82F8A">
      <w:pPr>
        <w:pStyle w:val="Orateurengris"/>
        <w:spacing w:before="120"/>
        <w:ind w:left="709" w:hanging="709"/>
        <w:rPr>
          <w:lang w:val="en-US"/>
        </w:rPr>
      </w:pPr>
      <w:r w:rsidRPr="00813D19">
        <w:rPr>
          <w:rFonts w:eastAsia="Calibri"/>
          <w:color w:val="000000" w:themeColor="text1"/>
          <w:lang w:val="en-US"/>
        </w:rPr>
        <w:t>Turning to the draft decision as a whole,</w:t>
      </w:r>
      <w:r w:rsidRPr="00813D19">
        <w:rPr>
          <w:lang w:val="en-US"/>
        </w:rPr>
        <w:t xml:space="preserve"> </w:t>
      </w:r>
      <w:r w:rsidR="00F82F8A" w:rsidRPr="00813D19">
        <w:rPr>
          <w:lang w:val="en-US"/>
        </w:rPr>
        <w:t xml:space="preserve">the </w:t>
      </w:r>
      <w:r w:rsidR="00F82F8A" w:rsidRPr="00813D19">
        <w:rPr>
          <w:b/>
          <w:lang w:val="en-US"/>
        </w:rPr>
        <w:t>Chairperson</w:t>
      </w:r>
      <w:r w:rsidR="00F82F8A" w:rsidRPr="00813D19">
        <w:rPr>
          <w:lang w:val="en-US"/>
        </w:rPr>
        <w:t xml:space="preserve"> </w:t>
      </w:r>
      <w:r w:rsidR="00F82F8A" w:rsidRPr="00813D19">
        <w:rPr>
          <w:b/>
          <w:lang w:val="en-US"/>
        </w:rPr>
        <w:t xml:space="preserve">declared Decision </w:t>
      </w:r>
      <w:hyperlink r:id="rId99" w:history="1">
        <w:r w:rsidR="00F82F8A" w:rsidRPr="00813D19">
          <w:rPr>
            <w:rStyle w:val="Hyperlink"/>
            <w:b/>
            <w:lang w:val="en-US"/>
          </w:rPr>
          <w:t>13.COM 10.a.7</w:t>
        </w:r>
      </w:hyperlink>
      <w:r w:rsidR="003C6DA1" w:rsidRPr="00813D19">
        <w:rPr>
          <w:b/>
          <w:lang w:val="en-US"/>
        </w:rPr>
        <w:t xml:space="preserve"> adopted to inscribe Shadow play</w:t>
      </w:r>
      <w:r w:rsidR="00F82F8A" w:rsidRPr="00813D19">
        <w:rPr>
          <w:b/>
          <w:lang w:val="en-US"/>
        </w:rPr>
        <w:t xml:space="preserve"> on the Urgent Safeguarding List</w:t>
      </w:r>
      <w:r w:rsidR="00F82F8A" w:rsidRPr="00E41386">
        <w:rPr>
          <w:bCs/>
          <w:lang w:val="en-US"/>
        </w:rPr>
        <w:t>.</w:t>
      </w:r>
    </w:p>
    <w:p w14:paraId="193B96FC" w14:textId="0EAE1844" w:rsidR="00AA30B3" w:rsidRPr="00813D19" w:rsidRDefault="00F01573" w:rsidP="00AA30B3">
      <w:pPr>
        <w:pStyle w:val="Orateurengris"/>
        <w:spacing w:before="120"/>
        <w:ind w:left="709" w:hanging="709"/>
        <w:rPr>
          <w:i/>
          <w:lang w:val="en-US"/>
        </w:rPr>
      </w:pPr>
      <w:r w:rsidRPr="00813D19">
        <w:rPr>
          <w:lang w:val="en-US"/>
        </w:rPr>
        <w:t xml:space="preserve">The </w:t>
      </w:r>
      <w:r w:rsidRPr="00813D19">
        <w:rPr>
          <w:b/>
          <w:lang w:val="en-US"/>
        </w:rPr>
        <w:t>delegation of the Syrian Arab Republic</w:t>
      </w:r>
      <w:r w:rsidRPr="00813D19">
        <w:rPr>
          <w:lang w:val="en-US"/>
        </w:rPr>
        <w:t xml:space="preserve"> </w:t>
      </w:r>
      <w:r w:rsidR="00B421D2" w:rsidRPr="00813D19">
        <w:rPr>
          <w:lang w:val="en-US"/>
        </w:rPr>
        <w:t>express</w:t>
      </w:r>
      <w:r w:rsidR="00AA30B3" w:rsidRPr="00813D19">
        <w:rPr>
          <w:lang w:val="en-US"/>
        </w:rPr>
        <w:t>ed</w:t>
      </w:r>
      <w:r w:rsidR="00B421D2" w:rsidRPr="00813D19">
        <w:rPr>
          <w:lang w:val="en-US"/>
        </w:rPr>
        <w:t xml:space="preserve"> </w:t>
      </w:r>
      <w:r w:rsidR="00834936">
        <w:rPr>
          <w:lang w:val="en-US"/>
        </w:rPr>
        <w:t xml:space="preserve">its </w:t>
      </w:r>
      <w:r w:rsidR="00B421D2" w:rsidRPr="00813D19">
        <w:rPr>
          <w:lang w:val="en-US"/>
        </w:rPr>
        <w:t xml:space="preserve">gratitude to Mauritius for </w:t>
      </w:r>
      <w:r w:rsidR="00AA30B3" w:rsidRPr="00813D19">
        <w:rPr>
          <w:lang w:val="en-US"/>
        </w:rPr>
        <w:t xml:space="preserve">its much-appreciated hospitality, the </w:t>
      </w:r>
      <w:r w:rsidR="00B421D2" w:rsidRPr="00813D19">
        <w:rPr>
          <w:lang w:val="en-US"/>
        </w:rPr>
        <w:t xml:space="preserve">Secretary, </w:t>
      </w:r>
      <w:r w:rsidR="00AA30B3" w:rsidRPr="00813D19">
        <w:rPr>
          <w:lang w:val="en-US"/>
        </w:rPr>
        <w:t xml:space="preserve">the </w:t>
      </w:r>
      <w:r w:rsidR="00B421D2" w:rsidRPr="00813D19">
        <w:rPr>
          <w:lang w:val="en-US"/>
        </w:rPr>
        <w:t>Committee Members, delegates, Observers and NGO repre</w:t>
      </w:r>
      <w:r w:rsidR="00B7592A" w:rsidRPr="00813D19">
        <w:rPr>
          <w:lang w:val="en-US"/>
        </w:rPr>
        <w:t>sentatives</w:t>
      </w:r>
      <w:r w:rsidR="00B421D2" w:rsidRPr="00813D19">
        <w:rPr>
          <w:lang w:val="en-US"/>
        </w:rPr>
        <w:t xml:space="preserve"> on behalf of the Syrian people</w:t>
      </w:r>
      <w:r w:rsidR="00AA30B3" w:rsidRPr="00813D19">
        <w:rPr>
          <w:lang w:val="en-US"/>
        </w:rPr>
        <w:t xml:space="preserve"> </w:t>
      </w:r>
      <w:r w:rsidR="00B421D2" w:rsidRPr="00813D19">
        <w:rPr>
          <w:lang w:val="en-US"/>
        </w:rPr>
        <w:t xml:space="preserve">for the </w:t>
      </w:r>
      <w:r w:rsidR="00AA30B3" w:rsidRPr="00813D19">
        <w:rPr>
          <w:lang w:val="en-US"/>
        </w:rPr>
        <w:t>positive inscription of S</w:t>
      </w:r>
      <w:r w:rsidR="00B421D2" w:rsidRPr="00813D19">
        <w:rPr>
          <w:lang w:val="en-US"/>
        </w:rPr>
        <w:t xml:space="preserve">hadow play </w:t>
      </w:r>
      <w:r w:rsidR="00834936">
        <w:rPr>
          <w:lang w:val="en-US"/>
        </w:rPr>
        <w:t>on</w:t>
      </w:r>
      <w:r w:rsidR="00B421D2" w:rsidRPr="00813D19">
        <w:rPr>
          <w:lang w:val="en-US"/>
        </w:rPr>
        <w:t xml:space="preserve"> the </w:t>
      </w:r>
      <w:r w:rsidR="00AA30B3" w:rsidRPr="00813D19">
        <w:rPr>
          <w:lang w:val="en-US"/>
        </w:rPr>
        <w:t>Urgent Safeguarding List</w:t>
      </w:r>
      <w:r w:rsidR="00B421D2" w:rsidRPr="00813D19">
        <w:rPr>
          <w:lang w:val="en-US"/>
        </w:rPr>
        <w:t xml:space="preserve">. Shadow play is an element </w:t>
      </w:r>
      <w:r w:rsidR="00834936">
        <w:rPr>
          <w:lang w:val="en-US"/>
        </w:rPr>
        <w:t xml:space="preserve">that is </w:t>
      </w:r>
      <w:r w:rsidR="00B421D2" w:rsidRPr="00813D19">
        <w:rPr>
          <w:lang w:val="en-US"/>
        </w:rPr>
        <w:t xml:space="preserve">deeply </w:t>
      </w:r>
      <w:r w:rsidR="00AA30B3" w:rsidRPr="00813D19">
        <w:rPr>
          <w:lang w:val="en-US"/>
        </w:rPr>
        <w:t>embedded in</w:t>
      </w:r>
      <w:r w:rsidR="00B421D2" w:rsidRPr="00813D19">
        <w:rPr>
          <w:lang w:val="en-US"/>
        </w:rPr>
        <w:t xml:space="preserve"> the memory and traditions of the Syrian people. It has </w:t>
      </w:r>
      <w:r w:rsidR="00AA30B3" w:rsidRPr="00813D19">
        <w:rPr>
          <w:lang w:val="en-US"/>
        </w:rPr>
        <w:t xml:space="preserve">been </w:t>
      </w:r>
      <w:r w:rsidR="00B421D2" w:rsidRPr="00813D19">
        <w:rPr>
          <w:lang w:val="en-US"/>
        </w:rPr>
        <w:t>lifted and transformed to represent more than the puppeteer and his screen. It is an example of how living heritage helps communities build social bonds between each other, how they connect with each other</w:t>
      </w:r>
      <w:r w:rsidR="00AA30B3" w:rsidRPr="00813D19">
        <w:rPr>
          <w:lang w:val="en-US"/>
        </w:rPr>
        <w:t>,</w:t>
      </w:r>
      <w:r w:rsidR="00B421D2" w:rsidRPr="00813D19">
        <w:rPr>
          <w:lang w:val="en-US"/>
        </w:rPr>
        <w:t xml:space="preserve"> and how they express their thoughts, opinions, feelings and grievances. In challenging circumstances, however, especially in war and displacement, the cultural heritage of communities is directly threatened</w:t>
      </w:r>
      <w:r w:rsidR="00AA30B3" w:rsidRPr="00813D19">
        <w:rPr>
          <w:lang w:val="en-US"/>
        </w:rPr>
        <w:t>,</w:t>
      </w:r>
      <w:r w:rsidR="00B421D2" w:rsidRPr="00813D19">
        <w:rPr>
          <w:lang w:val="en-US"/>
        </w:rPr>
        <w:t xml:space="preserve"> and therefore it is vital for national and international efforts to come together to safeguard this heritage within the spirit of the Convention. The Syrian Arab Republic</w:t>
      </w:r>
      <w:r w:rsidR="00AA30B3" w:rsidRPr="00813D19">
        <w:rPr>
          <w:lang w:val="en-US"/>
        </w:rPr>
        <w:t>,</w:t>
      </w:r>
      <w:r w:rsidR="00B421D2" w:rsidRPr="00813D19">
        <w:rPr>
          <w:lang w:val="en-US"/>
        </w:rPr>
        <w:t xml:space="preserve"> including its government institutions, civil society organizations and local communities</w:t>
      </w:r>
      <w:r w:rsidR="00AA30B3" w:rsidRPr="00813D19">
        <w:rPr>
          <w:lang w:val="en-US"/>
        </w:rPr>
        <w:t>,</w:t>
      </w:r>
      <w:r w:rsidR="00B421D2" w:rsidRPr="00813D19">
        <w:rPr>
          <w:lang w:val="en-US"/>
        </w:rPr>
        <w:t xml:space="preserve"> </w:t>
      </w:r>
      <w:r w:rsidR="00AA30B3" w:rsidRPr="00813D19">
        <w:rPr>
          <w:lang w:val="en-US"/>
        </w:rPr>
        <w:t xml:space="preserve">were </w:t>
      </w:r>
      <w:r w:rsidR="00B421D2" w:rsidRPr="00813D19">
        <w:rPr>
          <w:lang w:val="en-US"/>
        </w:rPr>
        <w:t xml:space="preserve">committed to safeguarding this element </w:t>
      </w:r>
      <w:r w:rsidR="00AA30B3" w:rsidRPr="00813D19">
        <w:rPr>
          <w:lang w:val="en-US"/>
        </w:rPr>
        <w:t xml:space="preserve">and </w:t>
      </w:r>
      <w:r w:rsidR="00B421D2" w:rsidRPr="00813D19">
        <w:rPr>
          <w:lang w:val="en-US"/>
        </w:rPr>
        <w:t>to guarantee</w:t>
      </w:r>
      <w:r w:rsidR="00834936">
        <w:rPr>
          <w:lang w:val="en-US"/>
        </w:rPr>
        <w:t>ing</w:t>
      </w:r>
      <w:r w:rsidR="00B421D2" w:rsidRPr="00813D19">
        <w:rPr>
          <w:lang w:val="en-US"/>
        </w:rPr>
        <w:t xml:space="preserve"> its trans</w:t>
      </w:r>
      <w:r w:rsidR="00AA30B3" w:rsidRPr="00813D19">
        <w:rPr>
          <w:lang w:val="en-US"/>
        </w:rPr>
        <w:t xml:space="preserve">mission to future generations. The delegation </w:t>
      </w:r>
      <w:r w:rsidR="00B421D2" w:rsidRPr="00813D19">
        <w:rPr>
          <w:lang w:val="en-US"/>
        </w:rPr>
        <w:t>pledge</w:t>
      </w:r>
      <w:r w:rsidR="00AA30B3" w:rsidRPr="00813D19">
        <w:rPr>
          <w:lang w:val="en-US"/>
        </w:rPr>
        <w:t>d</w:t>
      </w:r>
      <w:r w:rsidR="00B421D2" w:rsidRPr="00813D19">
        <w:rPr>
          <w:lang w:val="en-US"/>
        </w:rPr>
        <w:t xml:space="preserve"> </w:t>
      </w:r>
      <w:r w:rsidR="00AA30B3" w:rsidRPr="00813D19">
        <w:rPr>
          <w:lang w:val="en-US"/>
        </w:rPr>
        <w:t xml:space="preserve">its </w:t>
      </w:r>
      <w:r w:rsidR="00B421D2" w:rsidRPr="00813D19">
        <w:rPr>
          <w:lang w:val="en-US"/>
        </w:rPr>
        <w:t xml:space="preserve">commitment to the implementation </w:t>
      </w:r>
      <w:r w:rsidR="00AA30B3" w:rsidRPr="00813D19">
        <w:rPr>
          <w:lang w:val="en-US"/>
        </w:rPr>
        <w:t xml:space="preserve">of </w:t>
      </w:r>
      <w:r w:rsidR="00B421D2" w:rsidRPr="00813D19">
        <w:rPr>
          <w:lang w:val="en-US"/>
        </w:rPr>
        <w:t>the four-year safeguarding plan outlined in the nomination file</w:t>
      </w:r>
      <w:r w:rsidR="00AA30B3" w:rsidRPr="00813D19">
        <w:rPr>
          <w:lang w:val="en-US"/>
        </w:rPr>
        <w:t>,</w:t>
      </w:r>
      <w:r w:rsidR="00B421D2" w:rsidRPr="00813D19">
        <w:rPr>
          <w:lang w:val="en-US"/>
        </w:rPr>
        <w:t xml:space="preserve"> which was prepared with the direct participation of Syria’s last active puppeteer. </w:t>
      </w:r>
      <w:r w:rsidR="00AA30B3" w:rsidRPr="00813D19">
        <w:rPr>
          <w:lang w:val="en-US"/>
        </w:rPr>
        <w:t xml:space="preserve">The delegation </w:t>
      </w:r>
      <w:r w:rsidR="00B421D2" w:rsidRPr="00813D19">
        <w:rPr>
          <w:lang w:val="en-US"/>
        </w:rPr>
        <w:t>thank</w:t>
      </w:r>
      <w:r w:rsidR="00AA30B3" w:rsidRPr="00813D19">
        <w:rPr>
          <w:lang w:val="en-US"/>
        </w:rPr>
        <w:t>ed</w:t>
      </w:r>
      <w:r w:rsidR="00B421D2" w:rsidRPr="00813D19">
        <w:rPr>
          <w:lang w:val="en-US"/>
        </w:rPr>
        <w:t xml:space="preserve"> the Evaluation Body for </w:t>
      </w:r>
      <w:r w:rsidR="00AA30B3" w:rsidRPr="00813D19">
        <w:rPr>
          <w:lang w:val="en-US"/>
        </w:rPr>
        <w:t xml:space="preserve">its </w:t>
      </w:r>
      <w:r w:rsidR="00B421D2" w:rsidRPr="00813D19">
        <w:rPr>
          <w:lang w:val="en-US"/>
        </w:rPr>
        <w:t xml:space="preserve">professional work and </w:t>
      </w:r>
      <w:r w:rsidR="00AA30B3" w:rsidRPr="00813D19">
        <w:rPr>
          <w:lang w:val="en-US"/>
        </w:rPr>
        <w:t xml:space="preserve">took </w:t>
      </w:r>
      <w:r w:rsidR="00B421D2" w:rsidRPr="00813D19">
        <w:rPr>
          <w:lang w:val="en-US"/>
        </w:rPr>
        <w:t xml:space="preserve">note of the recommendations included in </w:t>
      </w:r>
      <w:r w:rsidR="00AA30B3" w:rsidRPr="00813D19">
        <w:rPr>
          <w:lang w:val="en-US"/>
        </w:rPr>
        <w:t xml:space="preserve">its </w:t>
      </w:r>
      <w:r w:rsidR="00B421D2" w:rsidRPr="00813D19">
        <w:rPr>
          <w:lang w:val="en-US"/>
        </w:rPr>
        <w:t xml:space="preserve">assessment. </w:t>
      </w:r>
      <w:r w:rsidR="00AA30B3" w:rsidRPr="00813D19">
        <w:rPr>
          <w:lang w:val="en-US"/>
        </w:rPr>
        <w:t xml:space="preserve">It thanked the Committee for </w:t>
      </w:r>
      <w:r w:rsidR="00B421D2" w:rsidRPr="00813D19">
        <w:rPr>
          <w:lang w:val="en-US"/>
        </w:rPr>
        <w:t xml:space="preserve">the opportunity for </w:t>
      </w:r>
      <w:r w:rsidR="00AA30B3" w:rsidRPr="00813D19">
        <w:rPr>
          <w:lang w:val="en-US"/>
        </w:rPr>
        <w:t xml:space="preserve">its </w:t>
      </w:r>
      <w:r w:rsidR="00B421D2" w:rsidRPr="00813D19">
        <w:rPr>
          <w:lang w:val="en-US"/>
        </w:rPr>
        <w:t>communities to celebrate their cultural identity, to enhance their safeguarding efforts of shadow play</w:t>
      </w:r>
      <w:r w:rsidR="00AA30B3" w:rsidRPr="00813D19">
        <w:rPr>
          <w:lang w:val="en-US"/>
        </w:rPr>
        <w:t>,</w:t>
      </w:r>
      <w:r w:rsidR="00B421D2" w:rsidRPr="00813D19">
        <w:rPr>
          <w:lang w:val="en-US"/>
        </w:rPr>
        <w:t xml:space="preserve"> and support the transmission and continu</w:t>
      </w:r>
      <w:r w:rsidR="00E41386">
        <w:rPr>
          <w:lang w:val="en-US"/>
        </w:rPr>
        <w:t>ation of their living heritage.</w:t>
      </w:r>
    </w:p>
    <w:p w14:paraId="1EF8111F" w14:textId="1360378A" w:rsidR="00A90FC5" w:rsidRPr="00813D19" w:rsidRDefault="00A90FC5" w:rsidP="00E41386">
      <w:pPr>
        <w:pStyle w:val="Orateurengris"/>
        <w:numPr>
          <w:ilvl w:val="0"/>
          <w:numId w:val="0"/>
        </w:numPr>
        <w:spacing w:before="240" w:after="240"/>
        <w:jc w:val="center"/>
        <w:rPr>
          <w:i/>
          <w:lang w:val="en-US"/>
        </w:rPr>
      </w:pPr>
      <w:r w:rsidRPr="00813D19">
        <w:rPr>
          <w:i/>
          <w:lang w:val="en-US"/>
        </w:rPr>
        <w:t>[</w:t>
      </w:r>
      <w:r w:rsidR="00632D18" w:rsidRPr="00813D19">
        <w:rPr>
          <w:i/>
          <w:lang w:val="en-US"/>
        </w:rPr>
        <w:t>A s</w:t>
      </w:r>
      <w:r w:rsidR="004F3083" w:rsidRPr="00813D19">
        <w:rPr>
          <w:i/>
          <w:lang w:val="en-US"/>
        </w:rPr>
        <w:t>hort f</w:t>
      </w:r>
      <w:r w:rsidRPr="00813D19">
        <w:rPr>
          <w:i/>
          <w:lang w:val="en-US"/>
        </w:rPr>
        <w:t xml:space="preserve">ilm on </w:t>
      </w:r>
      <w:r w:rsidR="00910D00" w:rsidRPr="00813D19">
        <w:rPr>
          <w:i/>
          <w:lang w:val="en-US"/>
        </w:rPr>
        <w:t>Shadow play</w:t>
      </w:r>
      <w:r w:rsidR="00632D18" w:rsidRPr="00813D19">
        <w:rPr>
          <w:i/>
          <w:lang w:val="en-US"/>
        </w:rPr>
        <w:t xml:space="preserve"> was projected</w:t>
      </w:r>
      <w:r w:rsidRPr="00813D19">
        <w:rPr>
          <w:i/>
          <w:lang w:val="en-US"/>
        </w:rPr>
        <w:t>]</w:t>
      </w:r>
    </w:p>
    <w:p w14:paraId="0934C0D9" w14:textId="5F1E082D" w:rsidR="00701B95" w:rsidRPr="00813D19" w:rsidRDefault="00701B95" w:rsidP="00E41386">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10.b OF THE AGENDA </w:t>
      </w:r>
    </w:p>
    <w:p w14:paraId="47D706B2" w14:textId="2EB16277" w:rsidR="00701B95" w:rsidRPr="00813D19" w:rsidRDefault="00701B95" w:rsidP="005966F6">
      <w:pPr>
        <w:pStyle w:val="Orateurengris"/>
        <w:numPr>
          <w:ilvl w:val="0"/>
          <w:numId w:val="0"/>
        </w:numPr>
        <w:outlineLvl w:val="1"/>
        <w:rPr>
          <w:b/>
          <w:color w:val="000000" w:themeColor="text1"/>
          <w:lang w:val="en-US"/>
        </w:rPr>
      </w:pPr>
      <w:r w:rsidRPr="00813D19">
        <w:rPr>
          <w:b/>
          <w:color w:val="000000" w:themeColor="text1"/>
          <w:lang w:val="en-US"/>
        </w:rPr>
        <w:t xml:space="preserve">EXAMINATION OF NOMINATIONS FOR INSCRIPTION ON THE REPRESENTATIVE LIST OF </w:t>
      </w:r>
      <w:r w:rsidR="00FE7E54" w:rsidRPr="00813D19">
        <w:rPr>
          <w:b/>
          <w:color w:val="000000" w:themeColor="text1"/>
          <w:lang w:val="en-US"/>
        </w:rPr>
        <w:t xml:space="preserve">THE </w:t>
      </w:r>
      <w:r w:rsidRPr="00813D19">
        <w:rPr>
          <w:b/>
          <w:color w:val="000000" w:themeColor="text1"/>
          <w:lang w:val="en-US"/>
        </w:rPr>
        <w:t>INTANGIBLE CULTURAL HERITAGE OF HUMANITY</w:t>
      </w:r>
    </w:p>
    <w:p w14:paraId="1F28A78B" w14:textId="20B963B6" w:rsidR="00701B95" w:rsidRPr="00813D19" w:rsidRDefault="00701B95" w:rsidP="00E41386">
      <w:pPr>
        <w:pStyle w:val="Orateurengris"/>
        <w:keepNext/>
        <w:numPr>
          <w:ilvl w:val="0"/>
          <w:numId w:val="0"/>
        </w:numPr>
        <w:spacing w:before="120" w:after="0"/>
        <w:ind w:left="709"/>
        <w:rPr>
          <w:bCs/>
          <w:i/>
          <w:lang w:val="en-US"/>
        </w:rPr>
      </w:pPr>
      <w:r w:rsidRPr="00813D19">
        <w:rPr>
          <w:b/>
          <w:color w:val="000000" w:themeColor="text1"/>
          <w:lang w:val="en-US"/>
        </w:rPr>
        <w:t>Document:</w:t>
      </w:r>
      <w:r w:rsidRPr="00813D19">
        <w:rPr>
          <w:b/>
          <w:color w:val="000000" w:themeColor="text1"/>
          <w:lang w:val="en-US"/>
        </w:rPr>
        <w:tab/>
      </w:r>
      <w:hyperlink r:id="rId100" w:history="1">
        <w:r w:rsidRPr="00813D19">
          <w:rPr>
            <w:rStyle w:val="Hyperlink"/>
            <w:bCs/>
            <w:i/>
            <w:lang w:val="en-US"/>
          </w:rPr>
          <w:t>ITH/18/13.COM/10.</w:t>
        </w:r>
        <w:r w:rsidR="00FE7E54" w:rsidRPr="00813D19">
          <w:rPr>
            <w:rStyle w:val="Hyperlink"/>
            <w:bCs/>
            <w:i/>
            <w:lang w:val="en-US"/>
          </w:rPr>
          <w:t>b</w:t>
        </w:r>
        <w:r w:rsidR="009D12B7" w:rsidRPr="00813D19">
          <w:rPr>
            <w:rStyle w:val="Hyperlink"/>
            <w:bCs/>
            <w:i/>
            <w:lang w:val="en-US"/>
          </w:rPr>
          <w:t>+Add.2</w:t>
        </w:r>
      </w:hyperlink>
    </w:p>
    <w:p w14:paraId="6B2015DD" w14:textId="3607B8FE" w:rsidR="009D12B7" w:rsidRPr="00813D19" w:rsidRDefault="009D12B7" w:rsidP="00E41386">
      <w:pPr>
        <w:pStyle w:val="Orateurengris"/>
        <w:keepNext/>
        <w:numPr>
          <w:ilvl w:val="0"/>
          <w:numId w:val="0"/>
        </w:numPr>
        <w:spacing w:after="240"/>
        <w:ind w:left="709"/>
        <w:rPr>
          <w:bCs/>
          <w:i/>
          <w:color w:val="000000" w:themeColor="text1"/>
          <w:lang w:val="en-US"/>
        </w:rPr>
      </w:pPr>
      <w:r w:rsidRPr="00813D19">
        <w:rPr>
          <w:b/>
          <w:color w:val="000000" w:themeColor="text1"/>
          <w:lang w:val="en-US"/>
        </w:rPr>
        <w:t>Files:</w:t>
      </w:r>
      <w:r w:rsidRPr="00813D19">
        <w:rPr>
          <w:bCs/>
          <w:i/>
          <w:color w:val="000000" w:themeColor="text1"/>
          <w:lang w:val="en-US"/>
        </w:rPr>
        <w:t xml:space="preserve"> </w:t>
      </w:r>
      <w:r w:rsidRPr="00813D19">
        <w:rPr>
          <w:bCs/>
          <w:i/>
          <w:color w:val="000000" w:themeColor="text1"/>
          <w:lang w:val="en-US"/>
        </w:rPr>
        <w:tab/>
      </w:r>
      <w:r w:rsidRPr="00813D19">
        <w:rPr>
          <w:bCs/>
          <w:i/>
          <w:color w:val="000000" w:themeColor="text1"/>
          <w:lang w:val="en-US"/>
        </w:rPr>
        <w:tab/>
      </w:r>
      <w:hyperlink r:id="rId101" w:history="1">
        <w:r w:rsidRPr="00813D19">
          <w:rPr>
            <w:rStyle w:val="Hyperlink"/>
            <w:bCs/>
            <w:i/>
            <w:lang w:val="en-US"/>
          </w:rPr>
          <w:t>40 nominations</w:t>
        </w:r>
      </w:hyperlink>
    </w:p>
    <w:p w14:paraId="3CE4D476" w14:textId="524B985A" w:rsidR="00910D00" w:rsidRPr="00813D19" w:rsidRDefault="00910D00" w:rsidP="009D12B7">
      <w:pPr>
        <w:pStyle w:val="Orateurengris"/>
        <w:spacing w:after="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then move</w:t>
      </w:r>
      <w:r w:rsidR="00A826DC" w:rsidRPr="00813D19">
        <w:rPr>
          <w:rFonts w:eastAsia="Calibri"/>
          <w:color w:val="000000" w:themeColor="text1"/>
          <w:lang w:val="en-US"/>
        </w:rPr>
        <w:t>d</w:t>
      </w:r>
      <w:r w:rsidRPr="00813D19">
        <w:rPr>
          <w:rFonts w:eastAsia="Calibri"/>
          <w:color w:val="000000" w:themeColor="text1"/>
          <w:lang w:val="en-US"/>
        </w:rPr>
        <w:t xml:space="preserve"> to sub-item 10.b and the examination of nominations for inscription on the Representative List. As </w:t>
      </w:r>
      <w:r w:rsidR="00A826DC" w:rsidRPr="00813D19">
        <w:rPr>
          <w:rFonts w:eastAsia="Calibri"/>
          <w:color w:val="000000" w:themeColor="text1"/>
          <w:lang w:val="en-US"/>
        </w:rPr>
        <w:t xml:space="preserve">the Committee had </w:t>
      </w:r>
      <w:r w:rsidRPr="00813D19">
        <w:rPr>
          <w:rFonts w:eastAsia="Calibri"/>
          <w:color w:val="000000" w:themeColor="text1"/>
          <w:lang w:val="en-US"/>
        </w:rPr>
        <w:t xml:space="preserve">already examined the joint inscription submitted by the Democratic People’s Republic of Korea and the Republic of Korea, </w:t>
      </w:r>
      <w:r w:rsidR="00BB3DA5" w:rsidRPr="00813D19">
        <w:rPr>
          <w:rFonts w:eastAsia="Calibri"/>
          <w:color w:val="000000" w:themeColor="text1"/>
          <w:lang w:val="en-US"/>
        </w:rPr>
        <w:t xml:space="preserve">and </w:t>
      </w:r>
      <w:r w:rsidRPr="00813D19">
        <w:rPr>
          <w:rFonts w:eastAsia="Calibri"/>
          <w:color w:val="000000" w:themeColor="text1"/>
          <w:lang w:val="en-US"/>
        </w:rPr>
        <w:t xml:space="preserve">Lao People’s Republic </w:t>
      </w:r>
      <w:r w:rsidR="00A826DC" w:rsidRPr="00813D19">
        <w:rPr>
          <w:rFonts w:eastAsia="Calibri"/>
          <w:color w:val="000000" w:themeColor="text1"/>
          <w:lang w:val="en-US"/>
        </w:rPr>
        <w:t>had withdra</w:t>
      </w:r>
      <w:r w:rsidRPr="00813D19">
        <w:rPr>
          <w:rFonts w:eastAsia="Calibri"/>
          <w:color w:val="000000" w:themeColor="text1"/>
          <w:lang w:val="en-US"/>
        </w:rPr>
        <w:t>w</w:t>
      </w:r>
      <w:r w:rsidR="00A826DC" w:rsidRPr="00813D19">
        <w:rPr>
          <w:rFonts w:eastAsia="Calibri"/>
          <w:color w:val="000000" w:themeColor="text1"/>
          <w:lang w:val="en-US"/>
        </w:rPr>
        <w:t>n</w:t>
      </w:r>
      <w:r w:rsidRPr="00813D19">
        <w:rPr>
          <w:rFonts w:eastAsia="Calibri"/>
          <w:color w:val="000000" w:themeColor="text1"/>
          <w:lang w:val="en-US"/>
        </w:rPr>
        <w:t xml:space="preserve"> its</w:t>
      </w:r>
      <w:r w:rsidR="00A826DC" w:rsidRPr="00813D19">
        <w:rPr>
          <w:rFonts w:eastAsia="Calibri"/>
          <w:color w:val="000000" w:themeColor="text1"/>
          <w:lang w:val="en-US"/>
        </w:rPr>
        <w:t xml:space="preserve"> file, </w:t>
      </w:r>
      <w:r w:rsidR="00BB3DA5" w:rsidRPr="00813D19">
        <w:rPr>
          <w:rFonts w:eastAsia="Calibri"/>
          <w:color w:val="000000" w:themeColor="text1"/>
          <w:lang w:val="en-US"/>
        </w:rPr>
        <w:t xml:space="preserve">there were only </w:t>
      </w:r>
      <w:r w:rsidR="00834936">
        <w:rPr>
          <w:rFonts w:eastAsia="Calibri"/>
          <w:color w:val="000000" w:themeColor="text1"/>
          <w:lang w:val="en-US"/>
        </w:rPr>
        <w:t>thirty-seven</w:t>
      </w:r>
      <w:r w:rsidRPr="00813D19">
        <w:rPr>
          <w:rFonts w:eastAsia="Calibri"/>
          <w:color w:val="000000" w:themeColor="text1"/>
          <w:lang w:val="en-US"/>
        </w:rPr>
        <w:t xml:space="preserve"> nominations </w:t>
      </w:r>
      <w:r w:rsidR="00A826DC" w:rsidRPr="00813D19">
        <w:rPr>
          <w:rFonts w:eastAsia="Calibri"/>
          <w:color w:val="000000" w:themeColor="text1"/>
          <w:lang w:val="en-US"/>
        </w:rPr>
        <w:t>for examination</w:t>
      </w:r>
      <w:r w:rsidRPr="00813D19">
        <w:rPr>
          <w:rFonts w:eastAsia="Calibri"/>
          <w:color w:val="000000" w:themeColor="text1"/>
          <w:lang w:val="en-US"/>
        </w:rPr>
        <w:t xml:space="preserve">. </w:t>
      </w:r>
      <w:r w:rsidRPr="00813D19">
        <w:rPr>
          <w:rFonts w:eastAsia="Times"/>
          <w:lang w:val="en-US"/>
        </w:rPr>
        <w:t>The Chairperson reca</w:t>
      </w:r>
      <w:r w:rsidR="00A826DC" w:rsidRPr="00813D19">
        <w:rPr>
          <w:rFonts w:eastAsia="Times"/>
          <w:lang w:val="en-US"/>
        </w:rPr>
        <w:t>lled</w:t>
      </w:r>
      <w:r w:rsidRPr="00813D19">
        <w:rPr>
          <w:rFonts w:eastAsia="Times"/>
          <w:lang w:val="en-US"/>
        </w:rPr>
        <w:t xml:space="preserve"> inscription criteria R.1–R.5 that would guide the decisions, inviting </w:t>
      </w:r>
      <w:r w:rsidR="00A826DC" w:rsidRPr="00813D19">
        <w:rPr>
          <w:rFonts w:eastAsia="Times"/>
          <w:lang w:val="en-US"/>
        </w:rPr>
        <w:t>the Cha</w:t>
      </w:r>
      <w:r w:rsidR="00BB3DA5" w:rsidRPr="00813D19">
        <w:rPr>
          <w:rFonts w:eastAsia="Times"/>
          <w:lang w:val="en-US"/>
        </w:rPr>
        <w:t>irperson of the Evaluation Body</w:t>
      </w:r>
      <w:r w:rsidR="00A826DC" w:rsidRPr="00813D19">
        <w:rPr>
          <w:rFonts w:eastAsia="Times"/>
          <w:lang w:val="en-US"/>
        </w:rPr>
        <w:t xml:space="preserve"> to </w:t>
      </w:r>
      <w:r w:rsidRPr="00813D19">
        <w:rPr>
          <w:rFonts w:eastAsia="Times"/>
          <w:lang w:val="en-US"/>
        </w:rPr>
        <w:t>present the nomination files.</w:t>
      </w:r>
    </w:p>
    <w:p w14:paraId="6CAD62D8" w14:textId="0B90BD2E" w:rsidR="00B975C6" w:rsidRPr="00813D19" w:rsidRDefault="00910D00" w:rsidP="00B975C6">
      <w:pPr>
        <w:pStyle w:val="Orateurengris"/>
        <w:spacing w:before="120"/>
        <w:ind w:left="709" w:hanging="709"/>
        <w:rPr>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 of the Evaluation Body</w:t>
      </w:r>
      <w:r w:rsidRPr="00813D19">
        <w:rPr>
          <w:color w:val="000000" w:themeColor="text1"/>
          <w:lang w:val="en-US"/>
        </w:rPr>
        <w:t xml:space="preserve"> turned to the first nomination</w:t>
      </w:r>
      <w:r w:rsidR="00834936">
        <w:rPr>
          <w:color w:val="000000" w:themeColor="text1"/>
          <w:lang w:val="en-US"/>
        </w:rPr>
        <w:t>,</w:t>
      </w:r>
      <w:r w:rsidRPr="00813D19">
        <w:rPr>
          <w:color w:val="000000" w:themeColor="text1"/>
          <w:lang w:val="en-US"/>
        </w:rPr>
        <w:t xml:space="preserve"> </w:t>
      </w:r>
      <w:r w:rsidRPr="00813D19">
        <w:rPr>
          <w:rFonts w:eastAsia="Malgun Gothic"/>
          <w:b/>
          <w:lang w:val="en-US" w:eastAsia="ko-KR"/>
        </w:rPr>
        <w:t xml:space="preserve">Chamamé </w:t>
      </w:r>
      <w:r w:rsidRPr="00813D19">
        <w:rPr>
          <w:rFonts w:eastAsia="Malgun Gothic"/>
          <w:lang w:val="en-US" w:eastAsia="ko-KR"/>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10.b.1]</w:t>
      </w:r>
      <w:r w:rsidR="00834936">
        <w:rPr>
          <w:color w:val="000000" w:themeColor="text1"/>
          <w:lang w:val="en-US"/>
        </w:rPr>
        <w:t>,</w:t>
      </w:r>
      <w:r w:rsidRPr="00813D19">
        <w:rPr>
          <w:b/>
          <w:color w:val="000000" w:themeColor="text1"/>
          <w:lang w:val="en-US"/>
        </w:rPr>
        <w:t xml:space="preserve"> </w:t>
      </w:r>
      <w:r w:rsidRPr="00813D19">
        <w:rPr>
          <w:lang w:val="en-US"/>
        </w:rPr>
        <w:t xml:space="preserve">submitted by </w:t>
      </w:r>
      <w:r w:rsidRPr="00813D19">
        <w:rPr>
          <w:b/>
          <w:lang w:val="en-US"/>
        </w:rPr>
        <w:t>Argentina</w:t>
      </w:r>
      <w:r w:rsidRPr="00813D19">
        <w:rPr>
          <w:lang w:val="en-US"/>
        </w:rPr>
        <w:t>.</w:t>
      </w:r>
      <w:r w:rsidR="00A23A7A" w:rsidRPr="00813D19">
        <w:rPr>
          <w:lang w:val="en-US"/>
        </w:rPr>
        <w:t xml:space="preserve"> </w:t>
      </w:r>
      <w:r w:rsidR="00B975C6" w:rsidRPr="00813D19">
        <w:rPr>
          <w:lang w:val="en-US"/>
        </w:rPr>
        <w:t>Chamamé, a musical genre originating in the province of Corrientes, is the product of a cultural symbiosis comprising Guaraní, African-American and European elements. It is danced, played and enjoyed by people of all social spheres and generations during family, civic, popular and religious celebrations and festivals. From the information included in th</w:t>
      </w:r>
      <w:r w:rsidR="00ED6A68" w:rsidRPr="00813D19">
        <w:rPr>
          <w:lang w:val="en-US"/>
        </w:rPr>
        <w:t>e file, the nomination satisfied</w:t>
      </w:r>
      <w:r w:rsidR="00B975C6" w:rsidRPr="00813D19">
        <w:rPr>
          <w:lang w:val="en-US"/>
        </w:rPr>
        <w:t xml:space="preserve"> criteria R.1 and R.3. The Evaluation Body considered Chamamé </w:t>
      </w:r>
      <w:r w:rsidR="00834936">
        <w:rPr>
          <w:lang w:val="en-US"/>
        </w:rPr>
        <w:t>to be</w:t>
      </w:r>
      <w:r w:rsidR="00B975C6" w:rsidRPr="00813D19">
        <w:rPr>
          <w:lang w:val="en-US"/>
        </w:rPr>
        <w:t xml:space="preserve"> a cultural expression that brings together people of different cultures, generations, religions and social classes. A wide range of safeguarding measures </w:t>
      </w:r>
      <w:r w:rsidR="00ED6A68" w:rsidRPr="00813D19">
        <w:rPr>
          <w:lang w:val="en-US"/>
        </w:rPr>
        <w:t xml:space="preserve">was </w:t>
      </w:r>
      <w:r w:rsidR="00B975C6" w:rsidRPr="00813D19">
        <w:rPr>
          <w:lang w:val="en-US"/>
        </w:rPr>
        <w:t>proposed, including the repair and maintenance of musical instruments, the integration of Chamamé into education</w:t>
      </w:r>
      <w:r w:rsidR="00ED6A68" w:rsidRPr="00813D19">
        <w:rPr>
          <w:lang w:val="en-US"/>
        </w:rPr>
        <w:t>,</w:t>
      </w:r>
      <w:r w:rsidR="00B975C6" w:rsidRPr="00813D19">
        <w:rPr>
          <w:lang w:val="en-US"/>
        </w:rPr>
        <w:t xml:space="preserve"> and setting up an interpretation centre in Corrientes. </w:t>
      </w:r>
      <w:r w:rsidR="00B975C6" w:rsidRPr="00813D19">
        <w:rPr>
          <w:noProof/>
          <w:lang w:val="en-US"/>
        </w:rPr>
        <w:t xml:space="preserve">However, the Evaluation Body considered that the information </w:t>
      </w:r>
      <w:r w:rsidR="00ED6A68" w:rsidRPr="00813D19">
        <w:rPr>
          <w:noProof/>
          <w:lang w:val="en-US"/>
        </w:rPr>
        <w:t xml:space="preserve">was </w:t>
      </w:r>
      <w:r w:rsidR="00B975C6" w:rsidRPr="00813D19">
        <w:rPr>
          <w:noProof/>
          <w:lang w:val="en-US"/>
        </w:rPr>
        <w:t>not sufficient to assess criteria R.2, R.4 and R.5.</w:t>
      </w:r>
      <w:r w:rsidR="00ED6A68" w:rsidRPr="00813D19">
        <w:rPr>
          <w:lang w:val="en-US"/>
        </w:rPr>
        <w:t xml:space="preserve"> The file concentrated</w:t>
      </w:r>
      <w:r w:rsidR="00B975C6" w:rsidRPr="00813D19">
        <w:rPr>
          <w:lang w:val="en-US"/>
        </w:rPr>
        <w:t xml:space="preserve"> exclusively on increasing the visibility of the element itself, while making inappropriate references to its uniqueness without demonstrating how the inscription could contribute to raising awareness of intangible cultural heritage in general. A long list of different meetings related to the nomination process </w:t>
      </w:r>
      <w:r w:rsidR="00ED6A68" w:rsidRPr="00813D19">
        <w:rPr>
          <w:lang w:val="en-US"/>
        </w:rPr>
        <w:t xml:space="preserve">was </w:t>
      </w:r>
      <w:r w:rsidR="00B975C6" w:rsidRPr="00813D19">
        <w:rPr>
          <w:lang w:val="en-US"/>
        </w:rPr>
        <w:t xml:space="preserve">provided, but there </w:t>
      </w:r>
      <w:r w:rsidR="00ED6A68" w:rsidRPr="00813D19">
        <w:rPr>
          <w:lang w:val="en-US"/>
        </w:rPr>
        <w:t xml:space="preserve">was </w:t>
      </w:r>
      <w:r w:rsidR="00B975C6" w:rsidRPr="00813D19">
        <w:rPr>
          <w:lang w:val="en-US"/>
        </w:rPr>
        <w:t xml:space="preserve">no clear description </w:t>
      </w:r>
      <w:r w:rsidR="00834936">
        <w:rPr>
          <w:lang w:val="en-US"/>
        </w:rPr>
        <w:t>of</w:t>
      </w:r>
      <w:r w:rsidR="00B975C6" w:rsidRPr="00813D19">
        <w:rPr>
          <w:lang w:val="en-US"/>
        </w:rPr>
        <w:t xml:space="preserve"> the nature or mechanisms of involving communities. Evidence related to the inclusion of the element in an inventory </w:t>
      </w:r>
      <w:r w:rsidR="00ED6A68" w:rsidRPr="00813D19">
        <w:rPr>
          <w:lang w:val="en-US"/>
        </w:rPr>
        <w:t xml:space="preserve">was </w:t>
      </w:r>
      <w:r w:rsidR="00B975C6" w:rsidRPr="00813D19">
        <w:rPr>
          <w:lang w:val="en-US"/>
        </w:rPr>
        <w:t>incoherent. The information provided refer</w:t>
      </w:r>
      <w:r w:rsidR="00ED6A68" w:rsidRPr="00813D19">
        <w:rPr>
          <w:lang w:val="en-US"/>
        </w:rPr>
        <w:t>red</w:t>
      </w:r>
      <w:r w:rsidR="00B975C6" w:rsidRPr="00813D19">
        <w:rPr>
          <w:lang w:val="en-US"/>
        </w:rPr>
        <w:t xml:space="preserve"> to several different inventory mechanisms in an unclear and scattered manner. Basic information such as the date of inclusion </w:t>
      </w:r>
      <w:r w:rsidR="00B975C6" w:rsidRPr="00813D19">
        <w:rPr>
          <w:rFonts w:eastAsia="SimSun"/>
          <w:lang w:val="en-US"/>
        </w:rPr>
        <w:t>of the element in the inventory</w:t>
      </w:r>
      <w:r w:rsidR="00B975C6" w:rsidRPr="00813D19">
        <w:rPr>
          <w:lang w:val="en-US"/>
        </w:rPr>
        <w:t xml:space="preserve">, how the inventory is regularly updated </w:t>
      </w:r>
      <w:r w:rsidR="00B975C6" w:rsidRPr="00813D19">
        <w:rPr>
          <w:rFonts w:eastAsia="SimSun"/>
          <w:lang w:val="en-US"/>
        </w:rPr>
        <w:t xml:space="preserve">and </w:t>
      </w:r>
      <w:r w:rsidR="00ED6A68" w:rsidRPr="00813D19">
        <w:rPr>
          <w:rFonts w:eastAsia="SimSun"/>
          <w:lang w:val="en-US"/>
        </w:rPr>
        <w:t xml:space="preserve">the </w:t>
      </w:r>
      <w:r w:rsidR="00B975C6" w:rsidRPr="00813D19">
        <w:rPr>
          <w:rFonts w:eastAsia="SimSun"/>
          <w:lang w:val="en-US"/>
        </w:rPr>
        <w:t>modality of updating</w:t>
      </w:r>
      <w:r w:rsidR="00B975C6" w:rsidRPr="00813D19">
        <w:rPr>
          <w:lang w:val="en-US"/>
        </w:rPr>
        <w:t xml:space="preserve"> </w:t>
      </w:r>
      <w:r w:rsidR="00ED6A68" w:rsidRPr="00813D19">
        <w:rPr>
          <w:lang w:val="en-US"/>
        </w:rPr>
        <w:t xml:space="preserve">was </w:t>
      </w:r>
      <w:r w:rsidR="00B975C6" w:rsidRPr="00813D19">
        <w:rPr>
          <w:lang w:val="en-US"/>
        </w:rPr>
        <w:t>also missing. Therefore, the Evaluation</w:t>
      </w:r>
      <w:r w:rsidR="00ED6A68" w:rsidRPr="00813D19">
        <w:rPr>
          <w:lang w:val="en-US"/>
        </w:rPr>
        <w:t xml:space="preserve"> Body recommended that the Committee refer</w:t>
      </w:r>
      <w:r w:rsidR="00B975C6" w:rsidRPr="00813D19">
        <w:rPr>
          <w:lang w:val="en-US"/>
        </w:rPr>
        <w:t xml:space="preserve"> Chamamé to the submitting State.</w:t>
      </w:r>
    </w:p>
    <w:p w14:paraId="605C6F3F" w14:textId="448BD751" w:rsidR="007F4091" w:rsidRPr="00813D19" w:rsidRDefault="007F4091"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Chairperson</w:t>
      </w:r>
      <w:r w:rsidRPr="00813D19">
        <w:rPr>
          <w:lang w:val="en-US"/>
        </w:rPr>
        <w:t xml:space="preserve"> noted that amendments had been received for this nomination, </w:t>
      </w:r>
      <w:r w:rsidR="00A826DC" w:rsidRPr="00813D19">
        <w:rPr>
          <w:lang w:val="en-US"/>
        </w:rPr>
        <w:t>opening</w:t>
      </w:r>
      <w:r w:rsidRPr="00813D19">
        <w:rPr>
          <w:lang w:val="en-US"/>
        </w:rPr>
        <w:t xml:space="preserve"> the floor for comments.</w:t>
      </w:r>
    </w:p>
    <w:p w14:paraId="1A8CADC6" w14:textId="4AB6442F" w:rsidR="007F4091" w:rsidRPr="00813D19" w:rsidRDefault="007F4091"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Guatemala</w:t>
      </w:r>
      <w:r w:rsidRPr="00813D19">
        <w:rPr>
          <w:lang w:val="en-US"/>
        </w:rPr>
        <w:t xml:space="preserve"> </w:t>
      </w:r>
      <w:r w:rsidR="00E14E51" w:rsidRPr="00813D19">
        <w:rPr>
          <w:lang w:val="en-US"/>
        </w:rPr>
        <w:t xml:space="preserve">remarked that </w:t>
      </w:r>
      <w:r w:rsidR="00B421D2" w:rsidRPr="00813D19">
        <w:rPr>
          <w:bCs/>
          <w:lang w:val="en-US"/>
        </w:rPr>
        <w:t xml:space="preserve">dialogue </w:t>
      </w:r>
      <w:r w:rsidR="00834936">
        <w:rPr>
          <w:bCs/>
          <w:lang w:val="en-US"/>
        </w:rPr>
        <w:t>was</w:t>
      </w:r>
      <w:r w:rsidR="00E14E51" w:rsidRPr="00813D19">
        <w:rPr>
          <w:bCs/>
          <w:lang w:val="en-US"/>
        </w:rPr>
        <w:t xml:space="preserve"> </w:t>
      </w:r>
      <w:r w:rsidR="00B421D2" w:rsidRPr="00813D19">
        <w:rPr>
          <w:bCs/>
          <w:lang w:val="en-US"/>
        </w:rPr>
        <w:t xml:space="preserve">important in this </w:t>
      </w:r>
      <w:r w:rsidR="00E14E51" w:rsidRPr="00813D19">
        <w:rPr>
          <w:bCs/>
          <w:lang w:val="en-US"/>
        </w:rPr>
        <w:t xml:space="preserve">Committee, </w:t>
      </w:r>
      <w:r w:rsidR="00E14E51" w:rsidRPr="00813D19">
        <w:rPr>
          <w:lang w:val="en-US"/>
        </w:rPr>
        <w:t xml:space="preserve">as previously discussed, </w:t>
      </w:r>
      <w:r w:rsidR="00E14E51" w:rsidRPr="00813D19">
        <w:rPr>
          <w:bCs/>
          <w:lang w:val="en-US"/>
        </w:rPr>
        <w:t>as it provided</w:t>
      </w:r>
      <w:r w:rsidR="00B421D2" w:rsidRPr="00813D19">
        <w:rPr>
          <w:bCs/>
          <w:lang w:val="en-US"/>
        </w:rPr>
        <w:t xml:space="preserve"> an opportunity for the </w:t>
      </w:r>
      <w:r w:rsidR="00E14E51" w:rsidRPr="00813D19">
        <w:rPr>
          <w:bCs/>
          <w:lang w:val="en-US"/>
        </w:rPr>
        <w:t xml:space="preserve">submitting </w:t>
      </w:r>
      <w:r w:rsidR="00B421D2" w:rsidRPr="00813D19">
        <w:rPr>
          <w:bCs/>
          <w:lang w:val="en-US"/>
        </w:rPr>
        <w:t>States to express themselves. In this case</w:t>
      </w:r>
      <w:r w:rsidR="00E14E51" w:rsidRPr="00813D19">
        <w:rPr>
          <w:bCs/>
          <w:lang w:val="en-US"/>
        </w:rPr>
        <w:t xml:space="preserve">, the delegation </w:t>
      </w:r>
      <w:r w:rsidR="00B421D2" w:rsidRPr="00813D19">
        <w:rPr>
          <w:bCs/>
          <w:lang w:val="en-US"/>
        </w:rPr>
        <w:t>request</w:t>
      </w:r>
      <w:r w:rsidR="00E14E51" w:rsidRPr="00813D19">
        <w:rPr>
          <w:bCs/>
          <w:lang w:val="en-US"/>
        </w:rPr>
        <w:t>ed</w:t>
      </w:r>
      <w:r w:rsidR="00B421D2" w:rsidRPr="00813D19">
        <w:rPr>
          <w:bCs/>
          <w:lang w:val="en-US"/>
        </w:rPr>
        <w:t xml:space="preserve"> that the submitting State be allowed to speak in order </w:t>
      </w:r>
      <w:r w:rsidR="00E14E51" w:rsidRPr="00813D19">
        <w:rPr>
          <w:bCs/>
          <w:lang w:val="en-US"/>
        </w:rPr>
        <w:t xml:space="preserve">that it </w:t>
      </w:r>
      <w:r w:rsidR="00B421D2" w:rsidRPr="00813D19">
        <w:rPr>
          <w:bCs/>
          <w:lang w:val="en-US"/>
        </w:rPr>
        <w:t xml:space="preserve">explain some of the </w:t>
      </w:r>
      <w:r w:rsidR="00E14E51" w:rsidRPr="00813D19">
        <w:rPr>
          <w:bCs/>
          <w:lang w:val="en-US"/>
        </w:rPr>
        <w:t>issues, which were perhaps</w:t>
      </w:r>
      <w:r w:rsidR="00B421D2" w:rsidRPr="00813D19">
        <w:rPr>
          <w:bCs/>
          <w:lang w:val="en-US"/>
        </w:rPr>
        <w:t xml:space="preserve"> </w:t>
      </w:r>
      <w:r w:rsidR="00E14E51" w:rsidRPr="00813D19">
        <w:rPr>
          <w:bCs/>
          <w:lang w:val="en-US"/>
        </w:rPr>
        <w:t>un</w:t>
      </w:r>
      <w:r w:rsidR="00B421D2" w:rsidRPr="00813D19">
        <w:rPr>
          <w:bCs/>
          <w:lang w:val="en-US"/>
        </w:rPr>
        <w:t xml:space="preserve">clear or which the Evaluation Body did not interpret </w:t>
      </w:r>
      <w:r w:rsidR="00E14E51" w:rsidRPr="00813D19">
        <w:rPr>
          <w:bCs/>
          <w:lang w:val="en-US"/>
        </w:rPr>
        <w:t xml:space="preserve">in the way that </w:t>
      </w:r>
      <w:r w:rsidR="00BB3DA5" w:rsidRPr="00813D19">
        <w:rPr>
          <w:bCs/>
          <w:lang w:val="en-US"/>
        </w:rPr>
        <w:t xml:space="preserve">the </w:t>
      </w:r>
      <w:r w:rsidR="00E14E51" w:rsidRPr="00813D19">
        <w:rPr>
          <w:bCs/>
          <w:lang w:val="en-US"/>
        </w:rPr>
        <w:t xml:space="preserve">submitting </w:t>
      </w:r>
      <w:r w:rsidR="00E41386">
        <w:rPr>
          <w:bCs/>
          <w:lang w:val="en-US"/>
        </w:rPr>
        <w:t>State would have hoped.</w:t>
      </w:r>
    </w:p>
    <w:p w14:paraId="4E880894" w14:textId="4D629AF0" w:rsidR="007F4091" w:rsidRPr="00813D19" w:rsidRDefault="007F4091"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China</w:t>
      </w:r>
      <w:r w:rsidR="00E14E51" w:rsidRPr="00813D19">
        <w:rPr>
          <w:b/>
          <w:lang w:val="en-US"/>
        </w:rPr>
        <w:t xml:space="preserve"> </w:t>
      </w:r>
      <w:r w:rsidR="007D1B30" w:rsidRPr="00813D19">
        <w:rPr>
          <w:lang w:val="en-US"/>
        </w:rPr>
        <w:t>appreciate</w:t>
      </w:r>
      <w:r w:rsidR="00E14E51" w:rsidRPr="00813D19">
        <w:rPr>
          <w:lang w:val="en-US"/>
        </w:rPr>
        <w:t>d</w:t>
      </w:r>
      <w:r w:rsidR="007D1B30" w:rsidRPr="00813D19">
        <w:rPr>
          <w:lang w:val="en-US"/>
        </w:rPr>
        <w:t xml:space="preserve"> the efforts of the Evaluation Body on this nomination</w:t>
      </w:r>
      <w:r w:rsidR="00E14E51" w:rsidRPr="00813D19">
        <w:rPr>
          <w:lang w:val="en-US"/>
        </w:rPr>
        <w:t>, thanking</w:t>
      </w:r>
      <w:r w:rsidR="007D1B30" w:rsidRPr="00813D19">
        <w:rPr>
          <w:lang w:val="en-US"/>
        </w:rPr>
        <w:t xml:space="preserve"> the submitting State. </w:t>
      </w:r>
      <w:r w:rsidR="00E14E51" w:rsidRPr="00813D19">
        <w:rPr>
          <w:lang w:val="en-US"/>
        </w:rPr>
        <w:t xml:space="preserve">It noted </w:t>
      </w:r>
      <w:r w:rsidR="007D1B30" w:rsidRPr="00813D19">
        <w:rPr>
          <w:lang w:val="en-US"/>
        </w:rPr>
        <w:t xml:space="preserve">that the nomination file </w:t>
      </w:r>
      <w:r w:rsidR="00E14E51" w:rsidRPr="00813D19">
        <w:rPr>
          <w:lang w:val="en-US"/>
        </w:rPr>
        <w:t xml:space="preserve">under </w:t>
      </w:r>
      <w:r w:rsidR="00834936">
        <w:rPr>
          <w:lang w:val="en-US"/>
        </w:rPr>
        <w:t>S</w:t>
      </w:r>
      <w:r w:rsidR="00E14E51" w:rsidRPr="00813D19">
        <w:rPr>
          <w:lang w:val="en-US"/>
        </w:rPr>
        <w:t>ection 4.a on</w:t>
      </w:r>
      <w:r w:rsidR="007D1B30" w:rsidRPr="00813D19">
        <w:rPr>
          <w:lang w:val="en-US"/>
        </w:rPr>
        <w:t xml:space="preserve"> the participation of the communities </w:t>
      </w:r>
      <w:r w:rsidR="00E14E51" w:rsidRPr="00813D19">
        <w:rPr>
          <w:lang w:val="en-US"/>
        </w:rPr>
        <w:t>mentioned</w:t>
      </w:r>
      <w:r w:rsidR="007D1B30" w:rsidRPr="00813D19">
        <w:rPr>
          <w:lang w:val="en-US"/>
        </w:rPr>
        <w:t xml:space="preserve"> the active participation of the communities by listing a series of events and activities</w:t>
      </w:r>
      <w:r w:rsidR="00E14E51" w:rsidRPr="00813D19">
        <w:rPr>
          <w:lang w:val="en-US"/>
        </w:rPr>
        <w:t xml:space="preserve">. The delegation </w:t>
      </w:r>
      <w:r w:rsidR="007D1B30" w:rsidRPr="00813D19">
        <w:rPr>
          <w:lang w:val="en-US"/>
        </w:rPr>
        <w:t>request</w:t>
      </w:r>
      <w:r w:rsidR="00E14E51" w:rsidRPr="00813D19">
        <w:rPr>
          <w:lang w:val="en-US"/>
        </w:rPr>
        <w:t>ed</w:t>
      </w:r>
      <w:r w:rsidR="007D1B30" w:rsidRPr="00813D19">
        <w:rPr>
          <w:lang w:val="en-US"/>
        </w:rPr>
        <w:t xml:space="preserve"> further clarification from the </w:t>
      </w:r>
      <w:r w:rsidR="00E41386">
        <w:rPr>
          <w:lang w:val="en-US"/>
        </w:rPr>
        <w:t>submitting State on this issue.</w:t>
      </w:r>
    </w:p>
    <w:p w14:paraId="74BAF7F1" w14:textId="312A0AA9" w:rsidR="000C5A26" w:rsidRPr="00813D19" w:rsidRDefault="000C5A26"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Poland</w:t>
      </w:r>
      <w:r w:rsidR="007D1B30" w:rsidRPr="00813D19">
        <w:rPr>
          <w:b/>
          <w:lang w:val="en-US"/>
        </w:rPr>
        <w:t xml:space="preserve"> </w:t>
      </w:r>
      <w:r w:rsidR="00E14E51" w:rsidRPr="00813D19">
        <w:rPr>
          <w:lang w:val="en-US"/>
        </w:rPr>
        <w:t>appreciated</w:t>
      </w:r>
      <w:r w:rsidR="007D1B30" w:rsidRPr="00813D19">
        <w:rPr>
          <w:lang w:val="en-US"/>
        </w:rPr>
        <w:t xml:space="preserve"> the recommendations prepared by the Evaluation Body. However, in light of </w:t>
      </w:r>
      <w:r w:rsidR="00E14E51" w:rsidRPr="00813D19">
        <w:rPr>
          <w:lang w:val="en-US"/>
        </w:rPr>
        <w:t xml:space="preserve">the previous day’s </w:t>
      </w:r>
      <w:r w:rsidR="007D1B30" w:rsidRPr="00813D19">
        <w:rPr>
          <w:lang w:val="en-US"/>
        </w:rPr>
        <w:t>discussion concerning dialogue</w:t>
      </w:r>
      <w:r w:rsidR="00E14E51" w:rsidRPr="00813D19">
        <w:rPr>
          <w:lang w:val="en-US"/>
        </w:rPr>
        <w:t>,</w:t>
      </w:r>
      <w:r w:rsidR="007D1B30" w:rsidRPr="00813D19">
        <w:rPr>
          <w:lang w:val="en-US"/>
        </w:rPr>
        <w:t xml:space="preserve"> </w:t>
      </w:r>
      <w:r w:rsidR="00E14E51" w:rsidRPr="00813D19">
        <w:rPr>
          <w:lang w:val="en-US"/>
        </w:rPr>
        <w:t xml:space="preserve">it wished to </w:t>
      </w:r>
      <w:r w:rsidR="007D1B30" w:rsidRPr="00813D19">
        <w:rPr>
          <w:lang w:val="en-US"/>
        </w:rPr>
        <w:t>ask the State Party for clarification on a few points concerning the criteria mentioned by the Evaluation Body</w:t>
      </w:r>
      <w:r w:rsidR="00E14E51" w:rsidRPr="00813D19">
        <w:rPr>
          <w:lang w:val="en-US"/>
        </w:rPr>
        <w:t xml:space="preserve">, </w:t>
      </w:r>
      <w:r w:rsidR="00813D19" w:rsidRPr="00813D19">
        <w:rPr>
          <w:lang w:val="en-US"/>
        </w:rPr>
        <w:t>adding</w:t>
      </w:r>
      <w:r w:rsidR="00E14E51" w:rsidRPr="00813D19">
        <w:rPr>
          <w:lang w:val="en-US"/>
        </w:rPr>
        <w:t xml:space="preserve"> that it appeared that not every argument</w:t>
      </w:r>
      <w:r w:rsidR="007D1B30" w:rsidRPr="00813D19">
        <w:rPr>
          <w:lang w:val="en-US"/>
        </w:rPr>
        <w:t xml:space="preserve"> </w:t>
      </w:r>
      <w:r w:rsidR="00E14E51" w:rsidRPr="00813D19">
        <w:rPr>
          <w:lang w:val="en-US"/>
        </w:rPr>
        <w:t xml:space="preserve">was </w:t>
      </w:r>
      <w:r w:rsidR="007D1B30" w:rsidRPr="00813D19">
        <w:rPr>
          <w:lang w:val="en-US"/>
        </w:rPr>
        <w:t>taken into account by the Evaluation Body</w:t>
      </w:r>
      <w:r w:rsidR="00BB3DA5" w:rsidRPr="00813D19">
        <w:rPr>
          <w:lang w:val="en-US"/>
        </w:rPr>
        <w:t xml:space="preserve">, which </w:t>
      </w:r>
      <w:r w:rsidR="00E14E51" w:rsidRPr="00813D19">
        <w:rPr>
          <w:lang w:val="en-US"/>
        </w:rPr>
        <w:t xml:space="preserve">the </w:t>
      </w:r>
      <w:r w:rsidR="007D1B30" w:rsidRPr="00813D19">
        <w:rPr>
          <w:lang w:val="en-US"/>
        </w:rPr>
        <w:t xml:space="preserve">State Party </w:t>
      </w:r>
      <w:r w:rsidR="00E14E51" w:rsidRPr="00813D19">
        <w:rPr>
          <w:lang w:val="en-US"/>
        </w:rPr>
        <w:t xml:space="preserve">could provide </w:t>
      </w:r>
      <w:r w:rsidR="00E41386">
        <w:rPr>
          <w:lang w:val="en-US"/>
        </w:rPr>
        <w:t>in this case.</w:t>
      </w:r>
    </w:p>
    <w:p w14:paraId="281E3EB8" w14:textId="5ADEB730" w:rsidR="000C5A26" w:rsidRPr="00813D19" w:rsidRDefault="000C5A26"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Colombia</w:t>
      </w:r>
      <w:r w:rsidR="007D1B30" w:rsidRPr="00813D19">
        <w:rPr>
          <w:b/>
          <w:lang w:val="en-US"/>
        </w:rPr>
        <w:t xml:space="preserve"> </w:t>
      </w:r>
      <w:r w:rsidR="007D1B30" w:rsidRPr="00813D19">
        <w:rPr>
          <w:lang w:val="en-US"/>
        </w:rPr>
        <w:t>thank</w:t>
      </w:r>
      <w:r w:rsidR="00E14E51" w:rsidRPr="00813D19">
        <w:rPr>
          <w:lang w:val="en-US"/>
        </w:rPr>
        <w:t>ed</w:t>
      </w:r>
      <w:r w:rsidR="007D1B30" w:rsidRPr="00813D19">
        <w:rPr>
          <w:lang w:val="en-US"/>
        </w:rPr>
        <w:t xml:space="preserve"> the Evaluation Body for </w:t>
      </w:r>
      <w:r w:rsidR="00E14E51" w:rsidRPr="00813D19">
        <w:rPr>
          <w:lang w:val="en-US"/>
        </w:rPr>
        <w:t xml:space="preserve">its </w:t>
      </w:r>
      <w:r w:rsidR="00BB3DA5" w:rsidRPr="00813D19">
        <w:rPr>
          <w:lang w:val="en-US"/>
        </w:rPr>
        <w:t xml:space="preserve">work on this file. </w:t>
      </w:r>
      <w:r w:rsidR="00E14E51" w:rsidRPr="00813D19">
        <w:rPr>
          <w:lang w:val="en-US"/>
        </w:rPr>
        <w:t xml:space="preserve">It also </w:t>
      </w:r>
      <w:r w:rsidR="007D1B30" w:rsidRPr="00813D19">
        <w:rPr>
          <w:lang w:val="en-US"/>
        </w:rPr>
        <w:t>thank</w:t>
      </w:r>
      <w:r w:rsidR="00E14E51" w:rsidRPr="00813D19">
        <w:rPr>
          <w:lang w:val="en-US"/>
        </w:rPr>
        <w:t>ed</w:t>
      </w:r>
      <w:r w:rsidR="007D1B30" w:rsidRPr="00813D19">
        <w:rPr>
          <w:lang w:val="en-US"/>
        </w:rPr>
        <w:t xml:space="preserve"> Argentina for protecting and recognizing Chamamé, which is a cultural manifestation inherent to the province of Corrientes. This is a product of symbiosis between the Guaraní indigenous population, the European population and the African population, which since the 17</w:t>
      </w:r>
      <w:r w:rsidR="007D1B30" w:rsidRPr="00813D19">
        <w:rPr>
          <w:vertAlign w:val="superscript"/>
          <w:lang w:val="en-US"/>
        </w:rPr>
        <w:t>th</w:t>
      </w:r>
      <w:r w:rsidR="00E14E51" w:rsidRPr="00813D19">
        <w:rPr>
          <w:lang w:val="en-US"/>
        </w:rPr>
        <w:t xml:space="preserve"> century had</w:t>
      </w:r>
      <w:r w:rsidR="007D1B30" w:rsidRPr="00813D19">
        <w:rPr>
          <w:lang w:val="en-US"/>
        </w:rPr>
        <w:t xml:space="preserve"> been set up and </w:t>
      </w:r>
      <w:r w:rsidR="00E14E51" w:rsidRPr="00813D19">
        <w:rPr>
          <w:lang w:val="en-US"/>
        </w:rPr>
        <w:t>managed by the Jesuit missionaries</w:t>
      </w:r>
      <w:r w:rsidR="00BB3DA5" w:rsidRPr="00813D19">
        <w:rPr>
          <w:lang w:val="en-US"/>
        </w:rPr>
        <w:t xml:space="preserve">, </w:t>
      </w:r>
      <w:r w:rsidR="00E14E51" w:rsidRPr="00813D19">
        <w:rPr>
          <w:lang w:val="en-US"/>
        </w:rPr>
        <w:t>sharing</w:t>
      </w:r>
      <w:r w:rsidR="007D1B30" w:rsidRPr="00813D19">
        <w:rPr>
          <w:lang w:val="en-US"/>
        </w:rPr>
        <w:t xml:space="preserve"> a common history in South America between several countries </w:t>
      </w:r>
      <w:r w:rsidR="00E14E51" w:rsidRPr="00813D19">
        <w:rPr>
          <w:lang w:val="en-US"/>
        </w:rPr>
        <w:t xml:space="preserve">such as </w:t>
      </w:r>
      <w:r w:rsidR="007D1B30" w:rsidRPr="00813D19">
        <w:rPr>
          <w:lang w:val="en-US"/>
        </w:rPr>
        <w:t>Paraguay, Bolivia and Colombia. This is manifested in several</w:t>
      </w:r>
      <w:r w:rsidR="00E14E51" w:rsidRPr="00813D19">
        <w:rPr>
          <w:lang w:val="en-US"/>
        </w:rPr>
        <w:t>,</w:t>
      </w:r>
      <w:r w:rsidR="007D1B30" w:rsidRPr="00813D19">
        <w:rPr>
          <w:lang w:val="en-US"/>
        </w:rPr>
        <w:t xml:space="preserve"> very </w:t>
      </w:r>
      <w:r w:rsidR="00E14E51" w:rsidRPr="00813D19">
        <w:rPr>
          <w:lang w:val="en-US"/>
        </w:rPr>
        <w:t>specific ways in South America, f</w:t>
      </w:r>
      <w:r w:rsidR="007D1B30" w:rsidRPr="00813D19">
        <w:rPr>
          <w:lang w:val="en-US"/>
        </w:rPr>
        <w:t xml:space="preserve">or example, </w:t>
      </w:r>
      <w:r w:rsidR="00E14E51" w:rsidRPr="00813D19">
        <w:rPr>
          <w:lang w:val="en-US"/>
        </w:rPr>
        <w:t xml:space="preserve">in </w:t>
      </w:r>
      <w:r w:rsidR="007D1B30" w:rsidRPr="00813D19">
        <w:rPr>
          <w:lang w:val="en-US"/>
        </w:rPr>
        <w:t xml:space="preserve">the use of instruments like the guitar, violin or the harp. </w:t>
      </w:r>
      <w:r w:rsidR="00E14E51" w:rsidRPr="00813D19">
        <w:rPr>
          <w:lang w:val="en-US"/>
        </w:rPr>
        <w:t>T</w:t>
      </w:r>
      <w:r w:rsidR="007D1B30" w:rsidRPr="00813D19">
        <w:rPr>
          <w:lang w:val="en-US"/>
        </w:rPr>
        <w:t xml:space="preserve">he </w:t>
      </w:r>
      <w:r w:rsidR="00E14E51" w:rsidRPr="00813D19">
        <w:rPr>
          <w:lang w:val="en-US"/>
        </w:rPr>
        <w:t xml:space="preserve">nomination </w:t>
      </w:r>
      <w:r w:rsidR="007D1B30" w:rsidRPr="00813D19">
        <w:rPr>
          <w:lang w:val="en-US"/>
        </w:rPr>
        <w:t>file</w:t>
      </w:r>
      <w:r w:rsidR="00E14E51" w:rsidRPr="00813D19">
        <w:rPr>
          <w:lang w:val="en-US"/>
        </w:rPr>
        <w:t xml:space="preserve"> stated</w:t>
      </w:r>
      <w:r w:rsidR="007D1B30" w:rsidRPr="00813D19">
        <w:rPr>
          <w:lang w:val="en-US"/>
        </w:rPr>
        <w:t xml:space="preserve"> that </w:t>
      </w:r>
      <w:r w:rsidR="00E14E51" w:rsidRPr="00813D19">
        <w:rPr>
          <w:lang w:val="en-US"/>
        </w:rPr>
        <w:t xml:space="preserve">the element had </w:t>
      </w:r>
      <w:r w:rsidR="007D1B30" w:rsidRPr="00813D19">
        <w:rPr>
          <w:lang w:val="en-US"/>
        </w:rPr>
        <w:t>been inscribed on the intangible heritage list of the province of Corrientes</w:t>
      </w:r>
      <w:r w:rsidR="00834936">
        <w:rPr>
          <w:lang w:val="en-US"/>
        </w:rPr>
        <w:t>;</w:t>
      </w:r>
      <w:r w:rsidR="007D1B30" w:rsidRPr="00813D19">
        <w:rPr>
          <w:lang w:val="en-US"/>
        </w:rPr>
        <w:t xml:space="preserve"> however, the information contained in the sixth section </w:t>
      </w:r>
      <w:r w:rsidR="00E14E51" w:rsidRPr="00813D19">
        <w:rPr>
          <w:lang w:val="en-US"/>
        </w:rPr>
        <w:t>[of the file] referred</w:t>
      </w:r>
      <w:r w:rsidR="007D1B30" w:rsidRPr="00813D19">
        <w:rPr>
          <w:lang w:val="en-US"/>
        </w:rPr>
        <w:t xml:space="preserve"> to different mechanisms, including several laws and the List of Intangible Heritage of MERCOSUR. The information on the date of inclusion of the element or how the inventory</w:t>
      </w:r>
      <w:r w:rsidR="00E14E51" w:rsidRPr="00813D19">
        <w:rPr>
          <w:lang w:val="en-US"/>
        </w:rPr>
        <w:t xml:space="preserve"> is updated on a periodic basis</w:t>
      </w:r>
      <w:r w:rsidR="007D1B30" w:rsidRPr="00813D19">
        <w:rPr>
          <w:lang w:val="en-US"/>
        </w:rPr>
        <w:t xml:space="preserve"> </w:t>
      </w:r>
      <w:r w:rsidR="00E14E51" w:rsidRPr="00813D19">
        <w:rPr>
          <w:lang w:val="en-US"/>
        </w:rPr>
        <w:t xml:space="preserve">was </w:t>
      </w:r>
      <w:r w:rsidR="007D1B30" w:rsidRPr="00813D19">
        <w:rPr>
          <w:lang w:val="en-US"/>
        </w:rPr>
        <w:t xml:space="preserve">not included </w:t>
      </w:r>
      <w:r w:rsidR="00E14E51" w:rsidRPr="00813D19">
        <w:rPr>
          <w:lang w:val="en-US"/>
        </w:rPr>
        <w:t xml:space="preserve">in the </w:t>
      </w:r>
      <w:r w:rsidR="007D1B30" w:rsidRPr="00813D19">
        <w:rPr>
          <w:lang w:val="en-US"/>
        </w:rPr>
        <w:t>file</w:t>
      </w:r>
      <w:r w:rsidR="00E14E51" w:rsidRPr="00813D19">
        <w:rPr>
          <w:lang w:val="en-US"/>
        </w:rPr>
        <w:t>. Thus, o</w:t>
      </w:r>
      <w:r w:rsidR="007D1B30" w:rsidRPr="00813D19">
        <w:rPr>
          <w:lang w:val="en-US"/>
        </w:rPr>
        <w:t>n the basis of the information provided</w:t>
      </w:r>
      <w:r w:rsidR="00E14E51" w:rsidRPr="00813D19">
        <w:rPr>
          <w:lang w:val="en-US"/>
        </w:rPr>
        <w:t>,</w:t>
      </w:r>
      <w:r w:rsidR="007D1B30" w:rsidRPr="00813D19">
        <w:rPr>
          <w:lang w:val="en-US"/>
        </w:rPr>
        <w:t xml:space="preserve"> </w:t>
      </w:r>
      <w:r w:rsidR="00E14E51" w:rsidRPr="00813D19">
        <w:rPr>
          <w:lang w:val="en-US"/>
        </w:rPr>
        <w:t xml:space="preserve">the Committee </w:t>
      </w:r>
      <w:r w:rsidR="00BB3DA5" w:rsidRPr="00813D19">
        <w:rPr>
          <w:lang w:val="en-US"/>
        </w:rPr>
        <w:t>could not</w:t>
      </w:r>
      <w:r w:rsidR="007D1B30" w:rsidRPr="00813D19">
        <w:rPr>
          <w:lang w:val="en-US"/>
        </w:rPr>
        <w:t xml:space="preserve"> conclude whether the Chamamé is properly inventoried. </w:t>
      </w:r>
      <w:r w:rsidR="00E14E51" w:rsidRPr="00813D19">
        <w:rPr>
          <w:lang w:val="en-US"/>
        </w:rPr>
        <w:t xml:space="preserve">For this reason, </w:t>
      </w:r>
      <w:r w:rsidR="007D1B30" w:rsidRPr="00813D19">
        <w:rPr>
          <w:lang w:val="en-US"/>
        </w:rPr>
        <w:t xml:space="preserve">Argentina </w:t>
      </w:r>
      <w:r w:rsidR="00BB3DA5" w:rsidRPr="00813D19">
        <w:rPr>
          <w:lang w:val="en-US"/>
        </w:rPr>
        <w:t>was asked to shed light on these</w:t>
      </w:r>
      <w:r w:rsidR="00E14E51" w:rsidRPr="00813D19">
        <w:rPr>
          <w:lang w:val="en-US"/>
        </w:rPr>
        <w:t xml:space="preserve"> issue</w:t>
      </w:r>
      <w:r w:rsidR="00BB3DA5" w:rsidRPr="00813D19">
        <w:rPr>
          <w:lang w:val="en-US"/>
        </w:rPr>
        <w:t>s</w:t>
      </w:r>
      <w:r w:rsidR="00E41386">
        <w:rPr>
          <w:lang w:val="en-US"/>
        </w:rPr>
        <w:t>.</w:t>
      </w:r>
    </w:p>
    <w:p w14:paraId="74920334" w14:textId="3A7B7DA5" w:rsidR="000C5A26" w:rsidRPr="00813D19" w:rsidRDefault="000C5A26"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Kazakhstan</w:t>
      </w:r>
      <w:r w:rsidR="007D1B30" w:rsidRPr="00813D19">
        <w:rPr>
          <w:b/>
          <w:lang w:val="en-US"/>
        </w:rPr>
        <w:t xml:space="preserve"> </w:t>
      </w:r>
      <w:r w:rsidR="00E14E51" w:rsidRPr="00813D19">
        <w:rPr>
          <w:lang w:val="en-US"/>
        </w:rPr>
        <w:t>appreciated</w:t>
      </w:r>
      <w:r w:rsidR="007D1B30" w:rsidRPr="00813D19">
        <w:rPr>
          <w:lang w:val="en-US"/>
        </w:rPr>
        <w:t xml:space="preserve"> the work of the Evaluation Body </w:t>
      </w:r>
      <w:r w:rsidR="00E14E51" w:rsidRPr="00813D19">
        <w:rPr>
          <w:lang w:val="en-US"/>
        </w:rPr>
        <w:t xml:space="preserve">and </w:t>
      </w:r>
      <w:r w:rsidR="007D1B30" w:rsidRPr="00813D19">
        <w:rPr>
          <w:lang w:val="en-US"/>
        </w:rPr>
        <w:t xml:space="preserve">also the State Party for a very interesting nomination. </w:t>
      </w:r>
      <w:r w:rsidR="00696E9F" w:rsidRPr="00813D19">
        <w:rPr>
          <w:lang w:val="en-US"/>
        </w:rPr>
        <w:t>It was noted that t</w:t>
      </w:r>
      <w:r w:rsidR="007D1B30" w:rsidRPr="00813D19">
        <w:rPr>
          <w:lang w:val="en-US"/>
        </w:rPr>
        <w:t xml:space="preserve">he tradition of Chamamé </w:t>
      </w:r>
      <w:r w:rsidR="00E14E51" w:rsidRPr="00813D19">
        <w:rPr>
          <w:lang w:val="en-US"/>
        </w:rPr>
        <w:t>is hugely important</w:t>
      </w:r>
      <w:r w:rsidR="007D1B30" w:rsidRPr="00813D19">
        <w:rPr>
          <w:lang w:val="en-US"/>
        </w:rPr>
        <w:t xml:space="preserve"> for the people of Argentina and</w:t>
      </w:r>
      <w:r w:rsidR="00E14E51" w:rsidRPr="00813D19">
        <w:rPr>
          <w:lang w:val="en-US"/>
        </w:rPr>
        <w:t>,</w:t>
      </w:r>
      <w:r w:rsidR="007D1B30" w:rsidRPr="00813D19">
        <w:rPr>
          <w:lang w:val="en-US"/>
        </w:rPr>
        <w:t xml:space="preserve"> in fact, is considered </w:t>
      </w:r>
      <w:r w:rsidR="00834936">
        <w:rPr>
          <w:lang w:val="en-US"/>
        </w:rPr>
        <w:t xml:space="preserve">as </w:t>
      </w:r>
      <w:r w:rsidR="007D1B30" w:rsidRPr="00813D19">
        <w:rPr>
          <w:lang w:val="en-US"/>
        </w:rPr>
        <w:t xml:space="preserve">one of the central elements of their cultural identity of no less importance </w:t>
      </w:r>
      <w:r w:rsidR="00696E9F" w:rsidRPr="00813D19">
        <w:rPr>
          <w:lang w:val="en-US"/>
        </w:rPr>
        <w:t>than the world</w:t>
      </w:r>
      <w:r w:rsidR="00834936">
        <w:rPr>
          <w:lang w:val="en-US"/>
        </w:rPr>
        <w:t>-</w:t>
      </w:r>
      <w:r w:rsidR="00696E9F" w:rsidRPr="00813D19">
        <w:rPr>
          <w:lang w:val="en-US"/>
        </w:rPr>
        <w:t>famous T</w:t>
      </w:r>
      <w:r w:rsidR="007D1B30" w:rsidRPr="00813D19">
        <w:rPr>
          <w:lang w:val="en-US"/>
        </w:rPr>
        <w:t xml:space="preserve">ango. </w:t>
      </w:r>
      <w:r w:rsidR="00696E9F" w:rsidRPr="00813D19">
        <w:rPr>
          <w:lang w:val="en-US"/>
        </w:rPr>
        <w:t xml:space="preserve">It was also noted </w:t>
      </w:r>
      <w:r w:rsidR="007D1B30" w:rsidRPr="00813D19">
        <w:rPr>
          <w:lang w:val="en-US"/>
        </w:rPr>
        <w:t>that some of the Evaluation Body’s more negative conclusions seem</w:t>
      </w:r>
      <w:r w:rsidR="00834936">
        <w:rPr>
          <w:lang w:val="en-US"/>
        </w:rPr>
        <w:t>ed</w:t>
      </w:r>
      <w:r w:rsidR="007D1B30" w:rsidRPr="00813D19">
        <w:rPr>
          <w:lang w:val="en-US"/>
        </w:rPr>
        <w:t xml:space="preserve"> to be more technical </w:t>
      </w:r>
      <w:r w:rsidR="00696E9F" w:rsidRPr="00813D19">
        <w:rPr>
          <w:lang w:val="en-US"/>
        </w:rPr>
        <w:t xml:space="preserve">in </w:t>
      </w:r>
      <w:r w:rsidR="007D1B30" w:rsidRPr="00813D19">
        <w:rPr>
          <w:lang w:val="en-US"/>
        </w:rPr>
        <w:t>nature</w:t>
      </w:r>
      <w:r w:rsidR="00696E9F" w:rsidRPr="00813D19">
        <w:rPr>
          <w:lang w:val="en-US"/>
        </w:rPr>
        <w:t>,</w:t>
      </w:r>
      <w:r w:rsidR="007D1B30" w:rsidRPr="00813D19">
        <w:rPr>
          <w:lang w:val="en-US"/>
        </w:rPr>
        <w:t xml:space="preserve"> </w:t>
      </w:r>
      <w:r w:rsidR="00696E9F" w:rsidRPr="00813D19">
        <w:rPr>
          <w:lang w:val="en-US"/>
        </w:rPr>
        <w:t xml:space="preserve">which could be clarified by the </w:t>
      </w:r>
      <w:r w:rsidR="007D1B30" w:rsidRPr="00813D19">
        <w:rPr>
          <w:lang w:val="en-US"/>
        </w:rPr>
        <w:t xml:space="preserve">State Party. Given </w:t>
      </w:r>
      <w:r w:rsidR="00696E9F" w:rsidRPr="00813D19">
        <w:rPr>
          <w:lang w:val="en-US"/>
        </w:rPr>
        <w:t xml:space="preserve">the </w:t>
      </w:r>
      <w:r w:rsidR="00813D19" w:rsidRPr="00813D19">
        <w:rPr>
          <w:lang w:val="en-US"/>
        </w:rPr>
        <w:t>well-known</w:t>
      </w:r>
      <w:r w:rsidR="007D1B30" w:rsidRPr="00813D19">
        <w:rPr>
          <w:lang w:val="en-US"/>
        </w:rPr>
        <w:t xml:space="preserve"> challenges related to the absence of </w:t>
      </w:r>
      <w:r w:rsidR="00696E9F" w:rsidRPr="00813D19">
        <w:rPr>
          <w:lang w:val="en-US"/>
        </w:rPr>
        <w:t xml:space="preserve">a </w:t>
      </w:r>
      <w:r w:rsidR="007D1B30" w:rsidRPr="00813D19">
        <w:rPr>
          <w:lang w:val="en-US"/>
        </w:rPr>
        <w:t>dialogue mechanism between States Parties and the Evaluation Body</w:t>
      </w:r>
      <w:r w:rsidR="00696E9F" w:rsidRPr="00813D19">
        <w:rPr>
          <w:lang w:val="en-US"/>
        </w:rPr>
        <w:t xml:space="preserve">, the delegation believed that this file deserved </w:t>
      </w:r>
      <w:r w:rsidR="007D1B30" w:rsidRPr="00813D19">
        <w:rPr>
          <w:lang w:val="en-US"/>
        </w:rPr>
        <w:t xml:space="preserve">close </w:t>
      </w:r>
      <w:r w:rsidR="00696E9F" w:rsidRPr="00813D19">
        <w:rPr>
          <w:lang w:val="en-US"/>
        </w:rPr>
        <w:t>examination</w:t>
      </w:r>
      <w:r w:rsidR="007D1B30" w:rsidRPr="00813D19">
        <w:rPr>
          <w:lang w:val="en-US"/>
        </w:rPr>
        <w:t>. In this regard</w:t>
      </w:r>
      <w:r w:rsidR="00696E9F" w:rsidRPr="00813D19">
        <w:rPr>
          <w:lang w:val="en-US"/>
        </w:rPr>
        <w:t>,</w:t>
      </w:r>
      <w:r w:rsidR="007D1B30" w:rsidRPr="00813D19">
        <w:rPr>
          <w:lang w:val="en-US"/>
        </w:rPr>
        <w:t xml:space="preserve"> </w:t>
      </w:r>
      <w:r w:rsidR="00696E9F" w:rsidRPr="00813D19">
        <w:rPr>
          <w:lang w:val="en-US"/>
        </w:rPr>
        <w:t xml:space="preserve">it </w:t>
      </w:r>
      <w:r w:rsidR="007D1B30" w:rsidRPr="00813D19">
        <w:rPr>
          <w:lang w:val="en-US"/>
        </w:rPr>
        <w:t xml:space="preserve">would appreciate </w:t>
      </w:r>
      <w:r w:rsidR="00696E9F" w:rsidRPr="00813D19">
        <w:rPr>
          <w:lang w:val="en-US"/>
        </w:rPr>
        <w:t xml:space="preserve">the State Party’s response on how </w:t>
      </w:r>
      <w:r w:rsidR="007D1B30" w:rsidRPr="00813D19">
        <w:rPr>
          <w:lang w:val="en-US"/>
        </w:rPr>
        <w:t xml:space="preserve">inscription of Chamamé </w:t>
      </w:r>
      <w:r w:rsidR="00696E9F" w:rsidRPr="00813D19">
        <w:rPr>
          <w:lang w:val="en-US"/>
        </w:rPr>
        <w:t xml:space="preserve">would </w:t>
      </w:r>
      <w:r w:rsidR="007D1B30" w:rsidRPr="00813D19">
        <w:rPr>
          <w:lang w:val="en-US"/>
        </w:rPr>
        <w:t xml:space="preserve">contribute to greater visibility </w:t>
      </w:r>
      <w:r w:rsidR="00696E9F" w:rsidRPr="00813D19">
        <w:rPr>
          <w:lang w:val="en-US"/>
        </w:rPr>
        <w:t>and raise awareness</w:t>
      </w:r>
      <w:r w:rsidR="00AA7018">
        <w:rPr>
          <w:lang w:val="en-US"/>
        </w:rPr>
        <w:t xml:space="preserve"> about</w:t>
      </w:r>
      <w:r w:rsidR="00696E9F" w:rsidRPr="00813D19">
        <w:rPr>
          <w:lang w:val="en-US"/>
        </w:rPr>
        <w:t xml:space="preserve"> </w:t>
      </w:r>
      <w:r w:rsidR="007D1B30" w:rsidRPr="00813D19">
        <w:rPr>
          <w:lang w:val="en-US"/>
        </w:rPr>
        <w:t xml:space="preserve">intangible </w:t>
      </w:r>
      <w:r w:rsidR="00696E9F" w:rsidRPr="00813D19">
        <w:rPr>
          <w:lang w:val="en-US"/>
        </w:rPr>
        <w:t xml:space="preserve">cultural </w:t>
      </w:r>
      <w:r w:rsidR="007D1B30" w:rsidRPr="00813D19">
        <w:rPr>
          <w:lang w:val="en-US"/>
        </w:rPr>
        <w:t>heritage in general</w:t>
      </w:r>
      <w:r w:rsidR="00696E9F" w:rsidRPr="00813D19">
        <w:rPr>
          <w:lang w:val="en-US"/>
        </w:rPr>
        <w:t>.</w:t>
      </w:r>
    </w:p>
    <w:p w14:paraId="7533C6A8" w14:textId="23A07AE7" w:rsidR="00BF2902" w:rsidRPr="00813D19" w:rsidRDefault="00BF2902"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Armenia</w:t>
      </w:r>
      <w:r w:rsidR="007D1B30" w:rsidRPr="00813D19">
        <w:rPr>
          <w:b/>
          <w:lang w:val="en-US"/>
        </w:rPr>
        <w:t xml:space="preserve"> </w:t>
      </w:r>
      <w:r w:rsidR="007D1B30" w:rsidRPr="00813D19">
        <w:rPr>
          <w:lang w:val="en-US"/>
        </w:rPr>
        <w:t>thank</w:t>
      </w:r>
      <w:r w:rsidR="00696E9F" w:rsidRPr="00813D19">
        <w:rPr>
          <w:lang w:val="en-US"/>
        </w:rPr>
        <w:t>ed</w:t>
      </w:r>
      <w:r w:rsidR="007D1B30" w:rsidRPr="00813D19">
        <w:rPr>
          <w:lang w:val="en-US"/>
        </w:rPr>
        <w:t xml:space="preserve"> the Evaluation Body for </w:t>
      </w:r>
      <w:r w:rsidR="00696E9F" w:rsidRPr="00813D19">
        <w:rPr>
          <w:lang w:val="en-US"/>
        </w:rPr>
        <w:t xml:space="preserve">its </w:t>
      </w:r>
      <w:r w:rsidR="007D1B30" w:rsidRPr="00813D19">
        <w:rPr>
          <w:lang w:val="en-US"/>
        </w:rPr>
        <w:t>work and also commend</w:t>
      </w:r>
      <w:r w:rsidR="00696E9F" w:rsidRPr="00813D19">
        <w:rPr>
          <w:lang w:val="en-US"/>
        </w:rPr>
        <w:t>ed</w:t>
      </w:r>
      <w:r w:rsidR="007D1B30" w:rsidRPr="00813D19">
        <w:rPr>
          <w:lang w:val="en-US"/>
        </w:rPr>
        <w:t xml:space="preserve"> Argentina for the </w:t>
      </w:r>
      <w:r w:rsidR="00696E9F" w:rsidRPr="00813D19">
        <w:rPr>
          <w:lang w:val="en-US"/>
        </w:rPr>
        <w:t xml:space="preserve">interesting </w:t>
      </w:r>
      <w:r w:rsidR="007D1B30" w:rsidRPr="00813D19">
        <w:rPr>
          <w:lang w:val="en-US"/>
        </w:rPr>
        <w:t xml:space="preserve">Chamamé </w:t>
      </w:r>
      <w:r w:rsidR="00696E9F" w:rsidRPr="00813D19">
        <w:rPr>
          <w:lang w:val="en-US"/>
        </w:rPr>
        <w:t>file</w:t>
      </w:r>
      <w:r w:rsidR="007D1B30" w:rsidRPr="00813D19">
        <w:rPr>
          <w:lang w:val="en-US"/>
        </w:rPr>
        <w:t xml:space="preserve">. </w:t>
      </w:r>
      <w:r w:rsidR="00696E9F" w:rsidRPr="00813D19">
        <w:rPr>
          <w:lang w:val="en-US"/>
        </w:rPr>
        <w:t xml:space="preserve">It joined </w:t>
      </w:r>
      <w:r w:rsidR="007D1B30" w:rsidRPr="00813D19">
        <w:rPr>
          <w:lang w:val="en-US"/>
        </w:rPr>
        <w:t xml:space="preserve">Colombia </w:t>
      </w:r>
      <w:r w:rsidR="00696E9F" w:rsidRPr="00813D19">
        <w:rPr>
          <w:lang w:val="en-US"/>
        </w:rPr>
        <w:t xml:space="preserve">in </w:t>
      </w:r>
      <w:r w:rsidR="007D1B30" w:rsidRPr="00813D19">
        <w:rPr>
          <w:lang w:val="en-US"/>
        </w:rPr>
        <w:t>ask</w:t>
      </w:r>
      <w:r w:rsidR="00074C7E" w:rsidRPr="00813D19">
        <w:rPr>
          <w:lang w:val="en-US"/>
        </w:rPr>
        <w:t>ing</w:t>
      </w:r>
      <w:r w:rsidR="007D1B30" w:rsidRPr="00813D19">
        <w:rPr>
          <w:lang w:val="en-US"/>
        </w:rPr>
        <w:t xml:space="preserve"> </w:t>
      </w:r>
      <w:r w:rsidR="00074C7E" w:rsidRPr="00813D19">
        <w:rPr>
          <w:lang w:val="en-US"/>
        </w:rPr>
        <w:t xml:space="preserve">to allow </w:t>
      </w:r>
      <w:r w:rsidR="007D1B30" w:rsidRPr="00813D19">
        <w:rPr>
          <w:lang w:val="en-US"/>
        </w:rPr>
        <w:t xml:space="preserve">Argentina </w:t>
      </w:r>
      <w:r w:rsidR="00074C7E" w:rsidRPr="00813D19">
        <w:rPr>
          <w:lang w:val="en-US"/>
        </w:rPr>
        <w:t xml:space="preserve">to </w:t>
      </w:r>
      <w:r w:rsidR="00BB3DA5" w:rsidRPr="00813D19">
        <w:rPr>
          <w:lang w:val="en-US"/>
        </w:rPr>
        <w:t>r</w:t>
      </w:r>
      <w:r w:rsidR="00074C7E" w:rsidRPr="00813D19">
        <w:rPr>
          <w:lang w:val="en-US"/>
        </w:rPr>
        <w:t xml:space="preserve">espond to the question on the inventory as, </w:t>
      </w:r>
      <w:r w:rsidR="007D1B30" w:rsidRPr="00813D19">
        <w:rPr>
          <w:lang w:val="en-US"/>
        </w:rPr>
        <w:t xml:space="preserve">based on the information provided, </w:t>
      </w:r>
      <w:r w:rsidR="00074C7E" w:rsidRPr="00813D19">
        <w:rPr>
          <w:lang w:val="en-US"/>
        </w:rPr>
        <w:t xml:space="preserve">it was </w:t>
      </w:r>
      <w:r w:rsidR="007D1B30" w:rsidRPr="00813D19">
        <w:rPr>
          <w:lang w:val="en-US"/>
        </w:rPr>
        <w:t xml:space="preserve">difficult to assess whether Chamamé </w:t>
      </w:r>
      <w:r w:rsidR="00074C7E" w:rsidRPr="00813D19">
        <w:rPr>
          <w:lang w:val="en-US"/>
        </w:rPr>
        <w:t xml:space="preserve">was </w:t>
      </w:r>
      <w:r w:rsidR="007D1B30" w:rsidRPr="00813D19">
        <w:rPr>
          <w:lang w:val="en-US"/>
        </w:rPr>
        <w:t>included in an inventory in compliance with Articles 11 and 12 of the Convention</w:t>
      </w:r>
      <w:r w:rsidR="00074C7E" w:rsidRPr="00813D19">
        <w:rPr>
          <w:lang w:val="en-US"/>
        </w:rPr>
        <w:t>,</w:t>
      </w:r>
      <w:r w:rsidR="007D1B30" w:rsidRPr="00813D19">
        <w:rPr>
          <w:lang w:val="en-US"/>
        </w:rPr>
        <w:t xml:space="preserve"> or whether there </w:t>
      </w:r>
      <w:r w:rsidR="00074C7E" w:rsidRPr="00813D19">
        <w:rPr>
          <w:lang w:val="en-US"/>
        </w:rPr>
        <w:t xml:space="preserve">was </w:t>
      </w:r>
      <w:r w:rsidR="007D1B30" w:rsidRPr="00813D19">
        <w:rPr>
          <w:lang w:val="en-US"/>
        </w:rPr>
        <w:t>a technical misunderstanding</w:t>
      </w:r>
      <w:r w:rsidR="00074C7E" w:rsidRPr="00813D19">
        <w:rPr>
          <w:lang w:val="en-US"/>
        </w:rPr>
        <w:t>.</w:t>
      </w:r>
    </w:p>
    <w:p w14:paraId="5FFF9CF8" w14:textId="65C46C1C" w:rsidR="00D71CE6" w:rsidRPr="00813D19" w:rsidRDefault="00D71CE6"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Azerbaijan</w:t>
      </w:r>
      <w:r w:rsidR="007D1B30" w:rsidRPr="00813D19">
        <w:rPr>
          <w:b/>
          <w:lang w:val="en-US"/>
        </w:rPr>
        <w:t xml:space="preserve"> </w:t>
      </w:r>
      <w:r w:rsidR="007D1B30" w:rsidRPr="00813D19">
        <w:rPr>
          <w:lang w:val="en-US"/>
        </w:rPr>
        <w:t>thank</w:t>
      </w:r>
      <w:r w:rsidR="00C46CA4" w:rsidRPr="00813D19">
        <w:rPr>
          <w:lang w:val="en-US"/>
        </w:rPr>
        <w:t>ed</w:t>
      </w:r>
      <w:r w:rsidR="007D1B30" w:rsidRPr="00813D19">
        <w:rPr>
          <w:lang w:val="en-US"/>
        </w:rPr>
        <w:t xml:space="preserve"> Argentina for </w:t>
      </w:r>
      <w:r w:rsidR="00C46CA4" w:rsidRPr="00813D19">
        <w:rPr>
          <w:lang w:val="en-US"/>
        </w:rPr>
        <w:t xml:space="preserve">submitting the Chamamé file, </w:t>
      </w:r>
      <w:r w:rsidR="007D1B30" w:rsidRPr="00813D19">
        <w:rPr>
          <w:lang w:val="en-US"/>
        </w:rPr>
        <w:t>an expression of</w:t>
      </w:r>
      <w:r w:rsidR="00C46CA4" w:rsidRPr="00813D19">
        <w:rPr>
          <w:lang w:val="en-US"/>
        </w:rPr>
        <w:t xml:space="preserve"> vibrant culture that represented</w:t>
      </w:r>
      <w:r w:rsidR="007D1B30" w:rsidRPr="00813D19">
        <w:rPr>
          <w:lang w:val="en-US"/>
        </w:rPr>
        <w:t xml:space="preserve"> several cultural traditions in itself and </w:t>
      </w:r>
      <w:r w:rsidR="00C46CA4" w:rsidRPr="00813D19">
        <w:rPr>
          <w:lang w:val="en-US"/>
        </w:rPr>
        <w:t xml:space="preserve">brought </w:t>
      </w:r>
      <w:r w:rsidR="007D1B30" w:rsidRPr="00813D19">
        <w:rPr>
          <w:lang w:val="en-US"/>
        </w:rPr>
        <w:t xml:space="preserve">together people of different cultures, generations and religions. </w:t>
      </w:r>
      <w:r w:rsidR="00C46CA4" w:rsidRPr="00813D19">
        <w:rPr>
          <w:lang w:val="en-US"/>
        </w:rPr>
        <w:t xml:space="preserve">It </w:t>
      </w:r>
      <w:r w:rsidR="007D1B30" w:rsidRPr="00813D19">
        <w:rPr>
          <w:lang w:val="en-US"/>
        </w:rPr>
        <w:t>particularly note</w:t>
      </w:r>
      <w:r w:rsidR="00C46CA4" w:rsidRPr="00813D19">
        <w:rPr>
          <w:lang w:val="en-US"/>
        </w:rPr>
        <w:t>d</w:t>
      </w:r>
      <w:r w:rsidR="007D1B30" w:rsidRPr="00813D19">
        <w:rPr>
          <w:lang w:val="en-US"/>
        </w:rPr>
        <w:t xml:space="preserve"> the involvement of persons with disabilities in the practice, which </w:t>
      </w:r>
      <w:r w:rsidR="00C46CA4" w:rsidRPr="00813D19">
        <w:rPr>
          <w:lang w:val="en-US"/>
        </w:rPr>
        <w:t xml:space="preserve">was </w:t>
      </w:r>
      <w:r w:rsidR="007D1B30" w:rsidRPr="00813D19">
        <w:rPr>
          <w:lang w:val="en-US"/>
        </w:rPr>
        <w:t>one of the strengths of this element. With regard to criterion R.2</w:t>
      </w:r>
      <w:r w:rsidR="00C46CA4" w:rsidRPr="00813D19">
        <w:rPr>
          <w:lang w:val="en-US"/>
        </w:rPr>
        <w:t xml:space="preserve">, the delegation remarked that the Committee was once </w:t>
      </w:r>
      <w:r w:rsidR="007D1B30" w:rsidRPr="00813D19">
        <w:rPr>
          <w:lang w:val="en-US"/>
        </w:rPr>
        <w:t xml:space="preserve">again confronted with a situation </w:t>
      </w:r>
      <w:r w:rsidR="00C46CA4" w:rsidRPr="00813D19">
        <w:rPr>
          <w:lang w:val="en-US"/>
        </w:rPr>
        <w:t>where the submitting State faced</w:t>
      </w:r>
      <w:r w:rsidR="007D1B30" w:rsidRPr="00813D19">
        <w:rPr>
          <w:lang w:val="en-US"/>
        </w:rPr>
        <w:t xml:space="preserve"> difficulties </w:t>
      </w:r>
      <w:r w:rsidR="00C46CA4" w:rsidRPr="00813D19">
        <w:rPr>
          <w:lang w:val="en-US"/>
        </w:rPr>
        <w:t xml:space="preserve">in </w:t>
      </w:r>
      <w:r w:rsidR="007D1B30" w:rsidRPr="00813D19">
        <w:rPr>
          <w:lang w:val="en-US"/>
        </w:rPr>
        <w:t>adequately respond</w:t>
      </w:r>
      <w:r w:rsidR="00C46CA4" w:rsidRPr="00813D19">
        <w:rPr>
          <w:lang w:val="en-US"/>
        </w:rPr>
        <w:t>ing</w:t>
      </w:r>
      <w:r w:rsidR="007D1B30" w:rsidRPr="00813D19">
        <w:rPr>
          <w:lang w:val="en-US"/>
        </w:rPr>
        <w:t xml:space="preserve"> to the criterion. </w:t>
      </w:r>
      <w:r w:rsidR="00C46CA4" w:rsidRPr="00813D19">
        <w:rPr>
          <w:lang w:val="en-US"/>
        </w:rPr>
        <w:t xml:space="preserve">It </w:t>
      </w:r>
      <w:r w:rsidR="007D1B30" w:rsidRPr="00813D19">
        <w:rPr>
          <w:lang w:val="en-US"/>
        </w:rPr>
        <w:t>partially agree</w:t>
      </w:r>
      <w:r w:rsidR="00C46CA4" w:rsidRPr="00813D19">
        <w:rPr>
          <w:lang w:val="en-US"/>
        </w:rPr>
        <w:t>d</w:t>
      </w:r>
      <w:r w:rsidR="007D1B30" w:rsidRPr="00813D19">
        <w:rPr>
          <w:lang w:val="en-US"/>
        </w:rPr>
        <w:t xml:space="preserve"> with the </w:t>
      </w:r>
      <w:r w:rsidR="00C46CA4" w:rsidRPr="00813D19">
        <w:rPr>
          <w:lang w:val="en-US"/>
        </w:rPr>
        <w:t>opinion of the Evaluation Body in that t</w:t>
      </w:r>
      <w:r w:rsidR="007D1B30" w:rsidRPr="00813D19">
        <w:rPr>
          <w:lang w:val="en-US"/>
        </w:rPr>
        <w:t xml:space="preserve">he response to </w:t>
      </w:r>
      <w:r w:rsidR="00AA7018">
        <w:rPr>
          <w:lang w:val="en-US"/>
        </w:rPr>
        <w:t>S</w:t>
      </w:r>
      <w:r w:rsidR="007D1B30" w:rsidRPr="00813D19">
        <w:rPr>
          <w:lang w:val="en-US"/>
        </w:rPr>
        <w:t xml:space="preserve">ection 2 in the nomination file could have been better formulated. </w:t>
      </w:r>
      <w:r w:rsidR="00C46CA4" w:rsidRPr="00813D19">
        <w:rPr>
          <w:lang w:val="en-US"/>
        </w:rPr>
        <w:t xml:space="preserve">The delegation wished </w:t>
      </w:r>
      <w:r w:rsidR="007D1B30" w:rsidRPr="00813D19">
        <w:rPr>
          <w:lang w:val="en-US"/>
        </w:rPr>
        <w:t>to hear from Argentina on how it belie</w:t>
      </w:r>
      <w:r w:rsidR="00C46CA4" w:rsidRPr="00813D19">
        <w:rPr>
          <w:lang w:val="en-US"/>
        </w:rPr>
        <w:t>ved</w:t>
      </w:r>
      <w:r w:rsidR="007D1B30" w:rsidRPr="00813D19">
        <w:rPr>
          <w:lang w:val="en-US"/>
        </w:rPr>
        <w:t xml:space="preserve"> the nomination would support the visibility of intangible heritage in general</w:t>
      </w:r>
      <w:r w:rsidR="00C46CA4" w:rsidRPr="00813D19">
        <w:rPr>
          <w:lang w:val="en-US"/>
        </w:rPr>
        <w:t>,</w:t>
      </w:r>
      <w:r w:rsidR="007D1B30" w:rsidRPr="00813D19">
        <w:rPr>
          <w:lang w:val="en-US"/>
        </w:rPr>
        <w:t xml:space="preserve"> and </w:t>
      </w:r>
      <w:r w:rsidR="00C46CA4" w:rsidRPr="00813D19">
        <w:rPr>
          <w:lang w:val="en-US"/>
        </w:rPr>
        <w:t xml:space="preserve">it </w:t>
      </w:r>
      <w:r w:rsidR="007D1B30" w:rsidRPr="00813D19">
        <w:rPr>
          <w:lang w:val="en-US"/>
        </w:rPr>
        <w:t xml:space="preserve">would be ready </w:t>
      </w:r>
      <w:r w:rsidR="00C46CA4" w:rsidRPr="00813D19">
        <w:rPr>
          <w:lang w:val="en-US"/>
        </w:rPr>
        <w:t xml:space="preserve">to revisit </w:t>
      </w:r>
      <w:r w:rsidR="007D1B30" w:rsidRPr="00813D19">
        <w:rPr>
          <w:lang w:val="en-US"/>
        </w:rPr>
        <w:t xml:space="preserve">the recommendation proposed by the Evaluation Body in that </w:t>
      </w:r>
      <w:r w:rsidR="00C46CA4" w:rsidRPr="00813D19">
        <w:rPr>
          <w:lang w:val="en-US"/>
        </w:rPr>
        <w:t>case</w:t>
      </w:r>
      <w:r w:rsidR="007D1B30" w:rsidRPr="00813D19">
        <w:rPr>
          <w:lang w:val="en-US"/>
        </w:rPr>
        <w:t>. Regarding criterion R.4</w:t>
      </w:r>
      <w:r w:rsidR="00C46CA4" w:rsidRPr="00813D19">
        <w:rPr>
          <w:lang w:val="en-US"/>
        </w:rPr>
        <w:t>,</w:t>
      </w:r>
      <w:r w:rsidR="007D1B30" w:rsidRPr="00813D19">
        <w:rPr>
          <w:lang w:val="en-US"/>
        </w:rPr>
        <w:t xml:space="preserve"> </w:t>
      </w:r>
      <w:r w:rsidR="00C46CA4" w:rsidRPr="00813D19">
        <w:rPr>
          <w:lang w:val="en-US"/>
        </w:rPr>
        <w:t xml:space="preserve">the delegation </w:t>
      </w:r>
      <w:r w:rsidR="007D1B30" w:rsidRPr="00813D19">
        <w:rPr>
          <w:lang w:val="en-US"/>
        </w:rPr>
        <w:t>thank</w:t>
      </w:r>
      <w:r w:rsidR="00C46CA4" w:rsidRPr="00813D19">
        <w:rPr>
          <w:lang w:val="en-US"/>
        </w:rPr>
        <w:t>ed</w:t>
      </w:r>
      <w:r w:rsidR="007D1B30" w:rsidRPr="00813D19">
        <w:rPr>
          <w:lang w:val="en-US"/>
        </w:rPr>
        <w:t xml:space="preserve"> the Evaluation Body for </w:t>
      </w:r>
      <w:r w:rsidR="00C46CA4" w:rsidRPr="00813D19">
        <w:rPr>
          <w:lang w:val="en-US"/>
        </w:rPr>
        <w:t xml:space="preserve">its </w:t>
      </w:r>
      <w:r w:rsidR="007D1B30" w:rsidRPr="00813D19">
        <w:rPr>
          <w:lang w:val="en-US"/>
        </w:rPr>
        <w:t xml:space="preserve">detailed evaluation. The information provided in the form of community consent letters </w:t>
      </w:r>
      <w:r w:rsidR="00C46CA4" w:rsidRPr="00813D19">
        <w:rPr>
          <w:lang w:val="en-US"/>
        </w:rPr>
        <w:t xml:space="preserve">was </w:t>
      </w:r>
      <w:r w:rsidR="007D1B30" w:rsidRPr="00813D19">
        <w:rPr>
          <w:lang w:val="en-US"/>
        </w:rPr>
        <w:t xml:space="preserve">indeed very limited. However, </w:t>
      </w:r>
      <w:r w:rsidR="00C46CA4" w:rsidRPr="00813D19">
        <w:rPr>
          <w:lang w:val="en-US"/>
        </w:rPr>
        <w:t xml:space="preserve">the </w:t>
      </w:r>
      <w:r w:rsidR="007D1B30" w:rsidRPr="00813D19">
        <w:rPr>
          <w:lang w:val="en-US"/>
        </w:rPr>
        <w:t xml:space="preserve">delegation </w:t>
      </w:r>
      <w:r w:rsidR="00BB3DA5" w:rsidRPr="00813D19">
        <w:rPr>
          <w:lang w:val="en-US"/>
        </w:rPr>
        <w:t>be</w:t>
      </w:r>
      <w:r w:rsidR="00C46CA4" w:rsidRPr="00813D19">
        <w:rPr>
          <w:lang w:val="en-US"/>
        </w:rPr>
        <w:t>li</w:t>
      </w:r>
      <w:r w:rsidR="00BB3DA5" w:rsidRPr="00813D19">
        <w:rPr>
          <w:lang w:val="en-US"/>
        </w:rPr>
        <w:t>e</w:t>
      </w:r>
      <w:r w:rsidR="00C46CA4" w:rsidRPr="00813D19">
        <w:rPr>
          <w:lang w:val="en-US"/>
        </w:rPr>
        <w:t xml:space="preserve">ved that </w:t>
      </w:r>
      <w:r w:rsidR="007D1B30" w:rsidRPr="00813D19">
        <w:rPr>
          <w:lang w:val="en-US"/>
        </w:rPr>
        <w:t xml:space="preserve">not all the consent letters </w:t>
      </w:r>
      <w:r w:rsidR="00C46CA4" w:rsidRPr="00813D19">
        <w:rPr>
          <w:lang w:val="en-US"/>
        </w:rPr>
        <w:t xml:space="preserve">had been submitted by the State, </w:t>
      </w:r>
      <w:r w:rsidR="00BB3DA5" w:rsidRPr="00813D19">
        <w:rPr>
          <w:lang w:val="en-US"/>
        </w:rPr>
        <w:t xml:space="preserve">and </w:t>
      </w:r>
      <w:r w:rsidR="00C46CA4" w:rsidRPr="00813D19">
        <w:rPr>
          <w:lang w:val="en-US"/>
        </w:rPr>
        <w:t xml:space="preserve">on </w:t>
      </w:r>
      <w:r w:rsidR="007D1B30" w:rsidRPr="00813D19">
        <w:rPr>
          <w:lang w:val="en-US"/>
        </w:rPr>
        <w:t xml:space="preserve">the website </w:t>
      </w:r>
      <w:r w:rsidR="00C46CA4" w:rsidRPr="00813D19">
        <w:rPr>
          <w:lang w:val="en-US"/>
        </w:rPr>
        <w:t>http://</w:t>
      </w:r>
      <w:r w:rsidR="007D1B30" w:rsidRPr="00813D19">
        <w:rPr>
          <w:lang w:val="en-US"/>
        </w:rPr>
        <w:t>chamameargentina.org</w:t>
      </w:r>
      <w:r w:rsidR="00BB3DA5" w:rsidRPr="00813D19">
        <w:rPr>
          <w:lang w:val="en-US"/>
        </w:rPr>
        <w:t>—</w:t>
      </w:r>
      <w:r w:rsidR="007D1B30" w:rsidRPr="00813D19">
        <w:rPr>
          <w:lang w:val="en-US"/>
        </w:rPr>
        <w:t>mentioned in th</w:t>
      </w:r>
      <w:r w:rsidR="00BB3DA5" w:rsidRPr="00813D19">
        <w:rPr>
          <w:lang w:val="en-US"/>
        </w:rPr>
        <w:t>e nomination—</w:t>
      </w:r>
      <w:r w:rsidR="00C46CA4" w:rsidRPr="00813D19">
        <w:rPr>
          <w:lang w:val="en-US"/>
        </w:rPr>
        <w:t>it indeed contained</w:t>
      </w:r>
      <w:r w:rsidR="007D1B30" w:rsidRPr="00813D19">
        <w:rPr>
          <w:lang w:val="en-US"/>
        </w:rPr>
        <w:t xml:space="preserve"> at least </w:t>
      </w:r>
      <w:r w:rsidR="00AA7018">
        <w:rPr>
          <w:lang w:val="en-US"/>
        </w:rPr>
        <w:t>sixty</w:t>
      </w:r>
      <w:r w:rsidR="007D1B30" w:rsidRPr="00813D19">
        <w:rPr>
          <w:lang w:val="en-US"/>
        </w:rPr>
        <w:t xml:space="preserve"> pages of letters that express</w:t>
      </w:r>
      <w:r w:rsidR="00C46CA4" w:rsidRPr="00813D19">
        <w:rPr>
          <w:lang w:val="en-US"/>
        </w:rPr>
        <w:t xml:space="preserve">ed consent to the nomination, leading to the belief that this </w:t>
      </w:r>
      <w:r w:rsidR="007D1B30" w:rsidRPr="00813D19">
        <w:rPr>
          <w:lang w:val="en-US"/>
        </w:rPr>
        <w:t xml:space="preserve">might be a technical </w:t>
      </w:r>
      <w:r w:rsidR="00C46CA4" w:rsidRPr="00813D19">
        <w:rPr>
          <w:lang w:val="en-US"/>
        </w:rPr>
        <w:t>issue</w:t>
      </w:r>
      <w:r w:rsidR="007D1B30" w:rsidRPr="00813D19">
        <w:rPr>
          <w:lang w:val="en-US"/>
        </w:rPr>
        <w:t xml:space="preserve">. Regarding criterion R.5, the date of inclusion </w:t>
      </w:r>
      <w:r w:rsidR="00C46CA4" w:rsidRPr="00813D19">
        <w:rPr>
          <w:lang w:val="en-US"/>
        </w:rPr>
        <w:t xml:space="preserve">on an </w:t>
      </w:r>
      <w:r w:rsidR="007D1B30" w:rsidRPr="00813D19">
        <w:rPr>
          <w:lang w:val="en-US"/>
        </w:rPr>
        <w:t xml:space="preserve">inventory </w:t>
      </w:r>
      <w:r w:rsidR="00C46CA4" w:rsidRPr="00813D19">
        <w:rPr>
          <w:lang w:val="en-US"/>
        </w:rPr>
        <w:t xml:space="preserve">was indeed provided, though it was </w:t>
      </w:r>
      <w:r w:rsidR="007D1B30" w:rsidRPr="00813D19">
        <w:rPr>
          <w:lang w:val="en-US"/>
        </w:rPr>
        <w:t xml:space="preserve">not reflected in the form but rather in the inventory extract attached </w:t>
      </w:r>
      <w:r w:rsidR="00C46CA4" w:rsidRPr="00813D19">
        <w:rPr>
          <w:lang w:val="en-US"/>
        </w:rPr>
        <w:t xml:space="preserve">dated </w:t>
      </w:r>
      <w:r w:rsidR="007D1B30" w:rsidRPr="00813D19">
        <w:rPr>
          <w:lang w:val="en-US"/>
        </w:rPr>
        <w:t>6 January 2017. In that sense</w:t>
      </w:r>
      <w:r w:rsidR="00C46CA4" w:rsidRPr="00813D19">
        <w:rPr>
          <w:lang w:val="en-US"/>
        </w:rPr>
        <w:t>,</w:t>
      </w:r>
      <w:r w:rsidR="007D1B30" w:rsidRPr="00813D19">
        <w:rPr>
          <w:lang w:val="en-US"/>
        </w:rPr>
        <w:t xml:space="preserve"> </w:t>
      </w:r>
      <w:r w:rsidR="00C46CA4" w:rsidRPr="00813D19">
        <w:rPr>
          <w:lang w:val="en-US"/>
        </w:rPr>
        <w:t xml:space="preserve">the delegation </w:t>
      </w:r>
      <w:r w:rsidR="007D1B30" w:rsidRPr="00813D19">
        <w:rPr>
          <w:lang w:val="en-US"/>
        </w:rPr>
        <w:t>remind</w:t>
      </w:r>
      <w:r w:rsidR="00C46CA4" w:rsidRPr="00813D19">
        <w:rPr>
          <w:lang w:val="en-US"/>
        </w:rPr>
        <w:t>ed</w:t>
      </w:r>
      <w:r w:rsidR="007D1B30" w:rsidRPr="00813D19">
        <w:rPr>
          <w:lang w:val="en-US"/>
        </w:rPr>
        <w:t xml:space="preserve"> the Committee of </w:t>
      </w:r>
      <w:r w:rsidR="00C46CA4" w:rsidRPr="00813D19">
        <w:rPr>
          <w:lang w:val="en-US"/>
        </w:rPr>
        <w:t xml:space="preserve">paragraph 21 in </w:t>
      </w:r>
      <w:r w:rsidR="007D1B30" w:rsidRPr="00813D19">
        <w:rPr>
          <w:lang w:val="en-US"/>
        </w:rPr>
        <w:t xml:space="preserve">Decision </w:t>
      </w:r>
      <w:hyperlink r:id="rId102" w:history="1">
        <w:r w:rsidR="007D1B30" w:rsidRPr="00813D19">
          <w:rPr>
            <w:rStyle w:val="Hyperlink"/>
            <w:lang w:val="en-US"/>
          </w:rPr>
          <w:t>10.COM 10</w:t>
        </w:r>
      </w:hyperlink>
      <w:r w:rsidR="007D1B30" w:rsidRPr="00813D19">
        <w:rPr>
          <w:lang w:val="en-US"/>
        </w:rPr>
        <w:t xml:space="preserve"> </w:t>
      </w:r>
      <w:r w:rsidR="00C46CA4" w:rsidRPr="00813D19">
        <w:rPr>
          <w:lang w:val="en-US"/>
        </w:rPr>
        <w:t>stating</w:t>
      </w:r>
      <w:r w:rsidR="007D1B30" w:rsidRPr="00813D19">
        <w:rPr>
          <w:lang w:val="en-US"/>
        </w:rPr>
        <w:t xml:space="preserve"> that the relevant extracts of inventories and the corresponding section in the nomination </w:t>
      </w:r>
      <w:r w:rsidR="00C46CA4" w:rsidRPr="00813D19">
        <w:rPr>
          <w:lang w:val="en-US"/>
        </w:rPr>
        <w:t xml:space="preserve">form </w:t>
      </w:r>
      <w:r w:rsidR="007D1B30" w:rsidRPr="00813D19">
        <w:rPr>
          <w:lang w:val="en-US"/>
        </w:rPr>
        <w:t>should be consi</w:t>
      </w:r>
      <w:r w:rsidR="00C46CA4" w:rsidRPr="00813D19">
        <w:rPr>
          <w:lang w:val="en-US"/>
        </w:rPr>
        <w:t>dered together and complement</w:t>
      </w:r>
      <w:r w:rsidR="007D1B30" w:rsidRPr="00813D19">
        <w:rPr>
          <w:lang w:val="en-US"/>
        </w:rPr>
        <w:t xml:space="preserve"> each other for the purpose</w:t>
      </w:r>
      <w:r w:rsidR="00C46CA4" w:rsidRPr="00813D19">
        <w:rPr>
          <w:lang w:val="en-US"/>
        </w:rPr>
        <w:t>s</w:t>
      </w:r>
      <w:r w:rsidR="007D1B30" w:rsidRPr="00813D19">
        <w:rPr>
          <w:lang w:val="en-US"/>
        </w:rPr>
        <w:t xml:space="preserve"> of </w:t>
      </w:r>
      <w:r w:rsidR="00C46CA4" w:rsidRPr="00813D19">
        <w:rPr>
          <w:lang w:val="en-US"/>
        </w:rPr>
        <w:t xml:space="preserve">the </w:t>
      </w:r>
      <w:r w:rsidR="005A5615" w:rsidRPr="00813D19">
        <w:rPr>
          <w:lang w:val="en-US"/>
        </w:rPr>
        <w:t xml:space="preserve">evaluation; </w:t>
      </w:r>
      <w:r w:rsidR="007D1B30" w:rsidRPr="00813D19">
        <w:rPr>
          <w:lang w:val="en-US"/>
        </w:rPr>
        <w:t xml:space="preserve">an important principle </w:t>
      </w:r>
      <w:r w:rsidR="005A5615" w:rsidRPr="00813D19">
        <w:rPr>
          <w:lang w:val="en-US"/>
        </w:rPr>
        <w:t xml:space="preserve">that </w:t>
      </w:r>
      <w:r w:rsidR="00C46CA4" w:rsidRPr="00813D19">
        <w:rPr>
          <w:lang w:val="en-US"/>
        </w:rPr>
        <w:t xml:space="preserve">should </w:t>
      </w:r>
      <w:r w:rsidR="007D1B30" w:rsidRPr="00813D19">
        <w:rPr>
          <w:lang w:val="en-US"/>
        </w:rPr>
        <w:t xml:space="preserve">be applied in the future. The </w:t>
      </w:r>
      <w:r w:rsidR="00B40AE7" w:rsidRPr="00813D19">
        <w:rPr>
          <w:lang w:val="en-US"/>
        </w:rPr>
        <w:t xml:space="preserve">remaining information on criterion R.5, </w:t>
      </w:r>
      <w:r w:rsidR="007D1B30" w:rsidRPr="00813D19">
        <w:rPr>
          <w:lang w:val="en-US"/>
        </w:rPr>
        <w:t xml:space="preserve">such as community participation and </w:t>
      </w:r>
      <w:r w:rsidR="00B40AE7" w:rsidRPr="00813D19">
        <w:rPr>
          <w:lang w:val="en-US"/>
        </w:rPr>
        <w:t xml:space="preserve">the </w:t>
      </w:r>
      <w:r w:rsidR="007D1B30" w:rsidRPr="00813D19">
        <w:rPr>
          <w:lang w:val="en-US"/>
        </w:rPr>
        <w:t xml:space="preserve">updating of </w:t>
      </w:r>
      <w:r w:rsidR="00B40AE7" w:rsidRPr="00813D19">
        <w:rPr>
          <w:lang w:val="en-US"/>
        </w:rPr>
        <w:t xml:space="preserve">the </w:t>
      </w:r>
      <w:r w:rsidR="007D1B30" w:rsidRPr="00813D19">
        <w:rPr>
          <w:lang w:val="en-US"/>
        </w:rPr>
        <w:t>inventory</w:t>
      </w:r>
      <w:r w:rsidR="00B40AE7" w:rsidRPr="00813D19">
        <w:rPr>
          <w:lang w:val="en-US"/>
        </w:rPr>
        <w:t>,</w:t>
      </w:r>
      <w:r w:rsidR="007D1B30" w:rsidRPr="00813D19">
        <w:rPr>
          <w:lang w:val="en-US"/>
        </w:rPr>
        <w:t xml:space="preserve"> </w:t>
      </w:r>
      <w:r w:rsidR="00B40AE7" w:rsidRPr="00813D19">
        <w:rPr>
          <w:lang w:val="en-US"/>
        </w:rPr>
        <w:t xml:space="preserve">could </w:t>
      </w:r>
      <w:r w:rsidR="007D1B30" w:rsidRPr="00813D19">
        <w:rPr>
          <w:lang w:val="en-US"/>
        </w:rPr>
        <w:t xml:space="preserve">also be found in the form and the inventory extract. </w:t>
      </w:r>
      <w:r w:rsidR="00B40AE7" w:rsidRPr="00813D19">
        <w:rPr>
          <w:lang w:val="en-US"/>
        </w:rPr>
        <w:t xml:space="preserve">For these reasons, the delegation did not </w:t>
      </w:r>
      <w:r w:rsidR="007D1B30" w:rsidRPr="00813D19">
        <w:rPr>
          <w:lang w:val="en-US"/>
        </w:rPr>
        <w:t>find reasons for referring the file on this criterion and would sup</w:t>
      </w:r>
      <w:r w:rsidR="00E41386">
        <w:rPr>
          <w:lang w:val="en-US"/>
        </w:rPr>
        <w:t>port a positive recommendation.</w:t>
      </w:r>
    </w:p>
    <w:p w14:paraId="4E24E67A" w14:textId="3B745B45" w:rsidR="00124F17" w:rsidRPr="00813D19" w:rsidRDefault="00124F17"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Cuba</w:t>
      </w:r>
      <w:r w:rsidR="007D1B30" w:rsidRPr="00813D19">
        <w:rPr>
          <w:b/>
          <w:lang w:val="en-US"/>
        </w:rPr>
        <w:t xml:space="preserve"> </w:t>
      </w:r>
      <w:r w:rsidR="007D1B30" w:rsidRPr="00813D19">
        <w:rPr>
          <w:bCs/>
          <w:lang w:val="en-US"/>
        </w:rPr>
        <w:t>thank</w:t>
      </w:r>
      <w:r w:rsidR="00B40AE7" w:rsidRPr="00813D19">
        <w:rPr>
          <w:bCs/>
          <w:lang w:val="en-US"/>
        </w:rPr>
        <w:t>ed</w:t>
      </w:r>
      <w:r w:rsidR="007D1B30" w:rsidRPr="00813D19">
        <w:rPr>
          <w:bCs/>
          <w:lang w:val="en-US"/>
        </w:rPr>
        <w:t xml:space="preserve"> the Evaluation Body for the information contained in the assessment</w:t>
      </w:r>
      <w:r w:rsidR="00B40AE7" w:rsidRPr="00813D19">
        <w:rPr>
          <w:bCs/>
          <w:lang w:val="en-US"/>
        </w:rPr>
        <w:t>,</w:t>
      </w:r>
      <w:r w:rsidR="007D1B30" w:rsidRPr="00813D19">
        <w:rPr>
          <w:bCs/>
          <w:lang w:val="en-US"/>
        </w:rPr>
        <w:t xml:space="preserve"> as well as the State Party. As already mentioned by </w:t>
      </w:r>
      <w:r w:rsidR="00B40AE7" w:rsidRPr="00813D19">
        <w:rPr>
          <w:bCs/>
          <w:lang w:val="en-US"/>
        </w:rPr>
        <w:t xml:space="preserve">some </w:t>
      </w:r>
      <w:r w:rsidR="007D1B30" w:rsidRPr="00813D19">
        <w:rPr>
          <w:bCs/>
          <w:lang w:val="en-US"/>
        </w:rPr>
        <w:t>Members of the Committee</w:t>
      </w:r>
      <w:r w:rsidR="00B40AE7" w:rsidRPr="00813D19">
        <w:rPr>
          <w:bCs/>
          <w:lang w:val="en-US"/>
        </w:rPr>
        <w:t>,</w:t>
      </w:r>
      <w:r w:rsidR="007D1B30" w:rsidRPr="00813D19">
        <w:rPr>
          <w:bCs/>
          <w:lang w:val="en-US"/>
        </w:rPr>
        <w:t xml:space="preserve"> </w:t>
      </w:r>
      <w:r w:rsidR="00B40AE7" w:rsidRPr="00813D19">
        <w:rPr>
          <w:bCs/>
          <w:lang w:val="en-US"/>
        </w:rPr>
        <w:t xml:space="preserve">the delegation once again </w:t>
      </w:r>
      <w:r w:rsidR="005A5615" w:rsidRPr="00813D19">
        <w:rPr>
          <w:bCs/>
          <w:lang w:val="en-US"/>
        </w:rPr>
        <w:t>dre</w:t>
      </w:r>
      <w:r w:rsidR="007D1B30" w:rsidRPr="00813D19">
        <w:rPr>
          <w:bCs/>
          <w:lang w:val="en-US"/>
        </w:rPr>
        <w:t xml:space="preserve">w attention to the fact that the file </w:t>
      </w:r>
      <w:r w:rsidR="00B40AE7" w:rsidRPr="00813D19">
        <w:rPr>
          <w:bCs/>
          <w:lang w:val="en-US"/>
        </w:rPr>
        <w:t xml:space="preserve">encountered issues </w:t>
      </w:r>
      <w:r w:rsidR="005A5615" w:rsidRPr="00813D19">
        <w:rPr>
          <w:bCs/>
          <w:lang w:val="en-US"/>
        </w:rPr>
        <w:t xml:space="preserve">in </w:t>
      </w:r>
      <w:r w:rsidR="00B40AE7" w:rsidRPr="00813D19">
        <w:rPr>
          <w:bCs/>
          <w:lang w:val="en-US"/>
        </w:rPr>
        <w:t xml:space="preserve">R.2 and R.5, which underscored </w:t>
      </w:r>
      <w:r w:rsidR="007D1B30" w:rsidRPr="00813D19">
        <w:rPr>
          <w:bCs/>
          <w:lang w:val="en-US"/>
        </w:rPr>
        <w:t xml:space="preserve">the need to reflect further on these criteria and how they are </w:t>
      </w:r>
      <w:r w:rsidR="00B40AE7" w:rsidRPr="00813D19">
        <w:rPr>
          <w:bCs/>
          <w:lang w:val="en-US"/>
        </w:rPr>
        <w:t xml:space="preserve">specifically </w:t>
      </w:r>
      <w:r w:rsidR="007D1B30" w:rsidRPr="00813D19">
        <w:rPr>
          <w:bCs/>
          <w:lang w:val="en-US"/>
        </w:rPr>
        <w:t xml:space="preserve">used. </w:t>
      </w:r>
      <w:r w:rsidR="00B40AE7" w:rsidRPr="00813D19">
        <w:rPr>
          <w:bCs/>
          <w:lang w:val="en-US"/>
        </w:rPr>
        <w:t xml:space="preserve">Indeed, </w:t>
      </w:r>
      <w:r w:rsidR="007D1B30" w:rsidRPr="00813D19">
        <w:rPr>
          <w:bCs/>
          <w:lang w:val="en-US"/>
        </w:rPr>
        <w:t xml:space="preserve">there is </w:t>
      </w:r>
      <w:r w:rsidR="00B40AE7" w:rsidRPr="00813D19">
        <w:rPr>
          <w:bCs/>
          <w:lang w:val="en-US"/>
        </w:rPr>
        <w:t>room for interpretation and such ambiguity needed</w:t>
      </w:r>
      <w:r w:rsidR="007D1B30" w:rsidRPr="00813D19">
        <w:rPr>
          <w:bCs/>
          <w:lang w:val="en-US"/>
        </w:rPr>
        <w:t xml:space="preserve"> to be </w:t>
      </w:r>
      <w:r w:rsidR="00B40AE7" w:rsidRPr="00813D19">
        <w:rPr>
          <w:bCs/>
          <w:lang w:val="en-US"/>
        </w:rPr>
        <w:t>clarified</w:t>
      </w:r>
      <w:r w:rsidR="007D1B30" w:rsidRPr="00813D19">
        <w:rPr>
          <w:bCs/>
          <w:lang w:val="en-US"/>
        </w:rPr>
        <w:t xml:space="preserve">. </w:t>
      </w:r>
      <w:r w:rsidR="00B40AE7" w:rsidRPr="00813D19">
        <w:rPr>
          <w:bCs/>
          <w:lang w:val="en-US"/>
        </w:rPr>
        <w:t xml:space="preserve">With regard to </w:t>
      </w:r>
      <w:r w:rsidR="002D14F3" w:rsidRPr="00813D19">
        <w:rPr>
          <w:bCs/>
          <w:lang w:val="en-US"/>
        </w:rPr>
        <w:t xml:space="preserve">R.4 in particular, the delegation noted a discrepancy between how </w:t>
      </w:r>
      <w:r w:rsidR="007D1B30" w:rsidRPr="00813D19">
        <w:rPr>
          <w:bCs/>
          <w:lang w:val="en-US"/>
        </w:rPr>
        <w:t>the criteri</w:t>
      </w:r>
      <w:r w:rsidR="008C034A">
        <w:rPr>
          <w:bCs/>
          <w:lang w:val="en-US"/>
        </w:rPr>
        <w:t>on</w:t>
      </w:r>
      <w:r w:rsidR="007D1B30" w:rsidRPr="00813D19">
        <w:rPr>
          <w:bCs/>
          <w:lang w:val="en-US"/>
        </w:rPr>
        <w:t xml:space="preserve"> </w:t>
      </w:r>
      <w:r w:rsidR="002D14F3" w:rsidRPr="00813D19">
        <w:rPr>
          <w:bCs/>
          <w:lang w:val="en-US"/>
        </w:rPr>
        <w:t xml:space="preserve">was </w:t>
      </w:r>
      <w:r w:rsidR="007D1B30" w:rsidRPr="00813D19">
        <w:rPr>
          <w:bCs/>
          <w:lang w:val="en-US"/>
        </w:rPr>
        <w:t xml:space="preserve">used by the State Party in </w:t>
      </w:r>
      <w:r w:rsidR="002D14F3" w:rsidRPr="00813D19">
        <w:rPr>
          <w:bCs/>
          <w:lang w:val="en-US"/>
        </w:rPr>
        <w:t xml:space="preserve">the file </w:t>
      </w:r>
      <w:r w:rsidR="007D1B30" w:rsidRPr="00813D19">
        <w:rPr>
          <w:bCs/>
          <w:lang w:val="en-US"/>
        </w:rPr>
        <w:t xml:space="preserve">and </w:t>
      </w:r>
      <w:r w:rsidR="002D14F3" w:rsidRPr="00813D19">
        <w:rPr>
          <w:bCs/>
          <w:lang w:val="en-US"/>
        </w:rPr>
        <w:t xml:space="preserve">how it was </w:t>
      </w:r>
      <w:r w:rsidR="007D1B30" w:rsidRPr="00813D19">
        <w:rPr>
          <w:bCs/>
          <w:lang w:val="en-US"/>
        </w:rPr>
        <w:t>assessed by the Evaluation Body</w:t>
      </w:r>
      <w:r w:rsidR="008C034A">
        <w:rPr>
          <w:bCs/>
          <w:lang w:val="en-US"/>
        </w:rPr>
        <w:t>,</w:t>
      </w:r>
      <w:r w:rsidR="007D1B30" w:rsidRPr="00813D19">
        <w:rPr>
          <w:bCs/>
          <w:lang w:val="en-US"/>
        </w:rPr>
        <w:t xml:space="preserve"> </w:t>
      </w:r>
      <w:r w:rsidR="002D14F3" w:rsidRPr="00813D19">
        <w:rPr>
          <w:bCs/>
          <w:lang w:val="en-US"/>
        </w:rPr>
        <w:t>whose interpretation would need to aligned. Thus, it was pertinent to allow both parties to clarify</w:t>
      </w:r>
      <w:r w:rsidR="007D1B30" w:rsidRPr="00813D19">
        <w:rPr>
          <w:bCs/>
          <w:lang w:val="en-US"/>
        </w:rPr>
        <w:t xml:space="preserve"> </w:t>
      </w:r>
      <w:r w:rsidR="002D14F3" w:rsidRPr="00813D19">
        <w:rPr>
          <w:bCs/>
          <w:lang w:val="en-US"/>
        </w:rPr>
        <w:t xml:space="preserve">this issue </w:t>
      </w:r>
      <w:r w:rsidR="005A5615" w:rsidRPr="00813D19">
        <w:rPr>
          <w:bCs/>
          <w:lang w:val="en-US"/>
        </w:rPr>
        <w:t>to</w:t>
      </w:r>
      <w:r w:rsidR="007D1B30" w:rsidRPr="00813D19">
        <w:rPr>
          <w:bCs/>
          <w:lang w:val="en-US"/>
        </w:rPr>
        <w:t xml:space="preserve"> enable </w:t>
      </w:r>
      <w:r w:rsidR="005A5615" w:rsidRPr="00813D19">
        <w:rPr>
          <w:bCs/>
          <w:lang w:val="en-US"/>
        </w:rPr>
        <w:t>the Committee to ma</w:t>
      </w:r>
      <w:r w:rsidR="007D1B30" w:rsidRPr="00813D19">
        <w:rPr>
          <w:bCs/>
          <w:lang w:val="en-US"/>
        </w:rPr>
        <w:t>ke an objective decision.</w:t>
      </w:r>
    </w:p>
    <w:p w14:paraId="22CB2C0A" w14:textId="79DE2B86" w:rsidR="00124F17" w:rsidRPr="00813D19" w:rsidRDefault="00124F17"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Kuwait</w:t>
      </w:r>
      <w:r w:rsidR="007D1B30" w:rsidRPr="00813D19">
        <w:rPr>
          <w:rFonts w:eastAsia="Calibri"/>
          <w:b/>
          <w:color w:val="000000" w:themeColor="text1"/>
          <w:lang w:val="en-US"/>
        </w:rPr>
        <w:t xml:space="preserve"> </w:t>
      </w:r>
      <w:r w:rsidR="007D1B30" w:rsidRPr="00813D19">
        <w:rPr>
          <w:lang w:val="en-US"/>
        </w:rPr>
        <w:t>thank</w:t>
      </w:r>
      <w:r w:rsidR="00CB6DDF" w:rsidRPr="00813D19">
        <w:rPr>
          <w:lang w:val="en-US"/>
        </w:rPr>
        <w:t>ed</w:t>
      </w:r>
      <w:r w:rsidR="007D1B30" w:rsidRPr="00813D19">
        <w:rPr>
          <w:lang w:val="en-US"/>
        </w:rPr>
        <w:t xml:space="preserve"> the Evaluation Body for the </w:t>
      </w:r>
      <w:r w:rsidR="00CB6DDF" w:rsidRPr="00813D19">
        <w:rPr>
          <w:lang w:val="en-US"/>
        </w:rPr>
        <w:t xml:space="preserve">work accomplished </w:t>
      </w:r>
      <w:r w:rsidR="007D1B30" w:rsidRPr="00813D19">
        <w:rPr>
          <w:lang w:val="en-US"/>
        </w:rPr>
        <w:t xml:space="preserve">and also the State Party for submitting this important file </w:t>
      </w:r>
      <w:r w:rsidR="00CB6DDF" w:rsidRPr="00813D19">
        <w:rPr>
          <w:lang w:val="en-US"/>
        </w:rPr>
        <w:t xml:space="preserve">on </w:t>
      </w:r>
      <w:r w:rsidR="007D1B30" w:rsidRPr="00813D19">
        <w:rPr>
          <w:lang w:val="en-US"/>
        </w:rPr>
        <w:t>the Chamamé</w:t>
      </w:r>
      <w:r w:rsidR="00CB6DDF" w:rsidRPr="00813D19">
        <w:rPr>
          <w:lang w:val="en-US"/>
        </w:rPr>
        <w:t>,</w:t>
      </w:r>
      <w:r w:rsidR="007D1B30" w:rsidRPr="00813D19">
        <w:rPr>
          <w:lang w:val="en-US"/>
        </w:rPr>
        <w:t xml:space="preserve"> </w:t>
      </w:r>
      <w:r w:rsidR="00CB6DDF" w:rsidRPr="00813D19">
        <w:rPr>
          <w:lang w:val="en-US"/>
        </w:rPr>
        <w:t xml:space="preserve">adding that </w:t>
      </w:r>
      <w:r w:rsidR="007D1B30" w:rsidRPr="00813D19">
        <w:rPr>
          <w:lang w:val="en-US"/>
        </w:rPr>
        <w:t xml:space="preserve">music always </w:t>
      </w:r>
      <w:r w:rsidR="00CB6DDF" w:rsidRPr="00813D19">
        <w:rPr>
          <w:lang w:val="en-US"/>
        </w:rPr>
        <w:t xml:space="preserve">brought people together. It is a living </w:t>
      </w:r>
      <w:r w:rsidR="008C034A">
        <w:rPr>
          <w:lang w:val="en-US"/>
        </w:rPr>
        <w:t xml:space="preserve">form of </w:t>
      </w:r>
      <w:r w:rsidR="00CB6DDF" w:rsidRPr="00813D19">
        <w:rPr>
          <w:lang w:val="en-US"/>
        </w:rPr>
        <w:t xml:space="preserve">heritage, </w:t>
      </w:r>
      <w:r w:rsidR="007D1B30" w:rsidRPr="00813D19">
        <w:rPr>
          <w:lang w:val="en-US"/>
        </w:rPr>
        <w:t xml:space="preserve">especially in a </w:t>
      </w:r>
      <w:r w:rsidR="00CB6DDF" w:rsidRPr="00813D19">
        <w:rPr>
          <w:lang w:val="en-US"/>
        </w:rPr>
        <w:t xml:space="preserve">multiethnic place that had seen </w:t>
      </w:r>
      <w:r w:rsidR="007D1B30" w:rsidRPr="00813D19">
        <w:rPr>
          <w:lang w:val="en-US"/>
        </w:rPr>
        <w:t xml:space="preserve">a lot of migration </w:t>
      </w:r>
      <w:r w:rsidR="008C034A">
        <w:rPr>
          <w:lang w:val="en-US"/>
        </w:rPr>
        <w:t>over</w:t>
      </w:r>
      <w:r w:rsidR="008C034A" w:rsidRPr="00813D19">
        <w:rPr>
          <w:lang w:val="en-US"/>
        </w:rPr>
        <w:t xml:space="preserve"> </w:t>
      </w:r>
      <w:r w:rsidR="007D1B30" w:rsidRPr="00813D19">
        <w:rPr>
          <w:lang w:val="en-US"/>
        </w:rPr>
        <w:t xml:space="preserve">the years. </w:t>
      </w:r>
      <w:r w:rsidR="00CB6DDF" w:rsidRPr="00813D19">
        <w:rPr>
          <w:lang w:val="en-US"/>
        </w:rPr>
        <w:t>K</w:t>
      </w:r>
      <w:r w:rsidR="007D1B30" w:rsidRPr="00813D19">
        <w:rPr>
          <w:lang w:val="en-US"/>
        </w:rPr>
        <w:t xml:space="preserve">eeping this tradition and music alive </w:t>
      </w:r>
      <w:r w:rsidR="00CB6DDF" w:rsidRPr="00813D19">
        <w:rPr>
          <w:lang w:val="en-US"/>
        </w:rPr>
        <w:t xml:space="preserve">was thus </w:t>
      </w:r>
      <w:r w:rsidR="007D1B30" w:rsidRPr="00813D19">
        <w:rPr>
          <w:lang w:val="en-US"/>
        </w:rPr>
        <w:t xml:space="preserve">an important </w:t>
      </w:r>
      <w:r w:rsidR="00CB6DDF" w:rsidRPr="00813D19">
        <w:rPr>
          <w:lang w:val="en-US"/>
        </w:rPr>
        <w:t>consideration</w:t>
      </w:r>
      <w:r w:rsidR="007D1B30" w:rsidRPr="00813D19">
        <w:rPr>
          <w:lang w:val="en-US"/>
        </w:rPr>
        <w:t xml:space="preserve">. </w:t>
      </w:r>
      <w:r w:rsidR="00CB6DDF" w:rsidRPr="00813D19">
        <w:rPr>
          <w:lang w:val="en-US"/>
        </w:rPr>
        <w:t xml:space="preserve">Owing to a lack of interpretation of the documentation submitted, </w:t>
      </w:r>
      <w:r w:rsidR="007D1B30" w:rsidRPr="00813D19">
        <w:rPr>
          <w:lang w:val="en-US"/>
        </w:rPr>
        <w:t xml:space="preserve">some clarification </w:t>
      </w:r>
      <w:r w:rsidR="00CB6DDF" w:rsidRPr="00813D19">
        <w:rPr>
          <w:lang w:val="en-US"/>
        </w:rPr>
        <w:t xml:space="preserve">was required on some of the technical issues that were apparent. For this reason, the </w:t>
      </w:r>
      <w:r w:rsidR="007D1B30" w:rsidRPr="00813D19">
        <w:rPr>
          <w:lang w:val="en-US"/>
        </w:rPr>
        <w:t xml:space="preserve">State Party </w:t>
      </w:r>
      <w:r w:rsidR="00CB6DDF" w:rsidRPr="00813D19">
        <w:rPr>
          <w:lang w:val="en-US"/>
        </w:rPr>
        <w:t xml:space="preserve">should </w:t>
      </w:r>
      <w:r w:rsidR="007D1B30" w:rsidRPr="00813D19">
        <w:rPr>
          <w:lang w:val="en-US"/>
        </w:rPr>
        <w:t xml:space="preserve">clarify the </w:t>
      </w:r>
      <w:r w:rsidR="00CB6DDF" w:rsidRPr="00813D19">
        <w:rPr>
          <w:lang w:val="en-US"/>
        </w:rPr>
        <w:t xml:space="preserve">issues raised </w:t>
      </w:r>
      <w:r w:rsidR="007D1B30" w:rsidRPr="00813D19">
        <w:rPr>
          <w:lang w:val="en-US"/>
        </w:rPr>
        <w:t xml:space="preserve">by the Evaluation Body </w:t>
      </w:r>
      <w:r w:rsidR="00CB6DDF" w:rsidRPr="00813D19">
        <w:rPr>
          <w:lang w:val="en-US"/>
        </w:rPr>
        <w:t xml:space="preserve">so as to </w:t>
      </w:r>
      <w:r w:rsidR="007D1B30" w:rsidRPr="00813D19">
        <w:rPr>
          <w:lang w:val="en-US"/>
        </w:rPr>
        <w:t xml:space="preserve">have a more positive </w:t>
      </w:r>
      <w:r w:rsidR="00CB6DDF" w:rsidRPr="00813D19">
        <w:rPr>
          <w:lang w:val="en-US"/>
        </w:rPr>
        <w:t xml:space="preserve">outcome for this file, as it was </w:t>
      </w:r>
      <w:r w:rsidR="007D1B30" w:rsidRPr="00813D19">
        <w:rPr>
          <w:lang w:val="en-US"/>
        </w:rPr>
        <w:t xml:space="preserve">a really good file that </w:t>
      </w:r>
      <w:r w:rsidR="00CB6DDF" w:rsidRPr="00813D19">
        <w:rPr>
          <w:lang w:val="en-US"/>
        </w:rPr>
        <w:t xml:space="preserve">brought </w:t>
      </w:r>
      <w:r w:rsidR="00E41386">
        <w:rPr>
          <w:lang w:val="en-US"/>
        </w:rPr>
        <w:t>people together.</w:t>
      </w:r>
    </w:p>
    <w:p w14:paraId="551E63EA" w14:textId="5B389C21" w:rsidR="00124F17" w:rsidRPr="00813D19" w:rsidRDefault="00124F17"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Austria</w:t>
      </w:r>
      <w:r w:rsidR="007D1B30" w:rsidRPr="00813D19">
        <w:rPr>
          <w:rFonts w:eastAsia="Calibri"/>
          <w:b/>
          <w:color w:val="000000" w:themeColor="text1"/>
          <w:lang w:val="en-US"/>
        </w:rPr>
        <w:t xml:space="preserve"> </w:t>
      </w:r>
      <w:r w:rsidR="00CB6DDF" w:rsidRPr="00813D19">
        <w:rPr>
          <w:lang w:val="en-US"/>
        </w:rPr>
        <w:t xml:space="preserve">had </w:t>
      </w:r>
      <w:r w:rsidR="007D1B30" w:rsidRPr="00813D19">
        <w:rPr>
          <w:lang w:val="en-US"/>
        </w:rPr>
        <w:t xml:space="preserve">read the file several times and </w:t>
      </w:r>
      <w:r w:rsidR="00CB6DDF" w:rsidRPr="00813D19">
        <w:rPr>
          <w:lang w:val="en-US"/>
        </w:rPr>
        <w:t xml:space="preserve">admitted to having reached the </w:t>
      </w:r>
      <w:r w:rsidR="007D1B30" w:rsidRPr="00813D19">
        <w:rPr>
          <w:lang w:val="en-US"/>
        </w:rPr>
        <w:t>same conclusion as the Evaluation Body</w:t>
      </w:r>
      <w:r w:rsidR="00CB6DDF" w:rsidRPr="00813D19">
        <w:rPr>
          <w:lang w:val="en-US"/>
        </w:rPr>
        <w:t xml:space="preserve"> on almost every criterion</w:t>
      </w:r>
      <w:r w:rsidR="007D1B30" w:rsidRPr="00813D19">
        <w:rPr>
          <w:lang w:val="en-US"/>
        </w:rPr>
        <w:t xml:space="preserve">. </w:t>
      </w:r>
      <w:r w:rsidR="00CB6DDF" w:rsidRPr="00813D19">
        <w:rPr>
          <w:lang w:val="en-US"/>
        </w:rPr>
        <w:t>It sought to hear from the Evaluation Body</w:t>
      </w:r>
      <w:r w:rsidR="007D1B30" w:rsidRPr="00813D19">
        <w:rPr>
          <w:lang w:val="en-US"/>
        </w:rPr>
        <w:t xml:space="preserve"> </w:t>
      </w:r>
      <w:r w:rsidR="00CB6DDF" w:rsidRPr="00813D19">
        <w:rPr>
          <w:lang w:val="en-US"/>
        </w:rPr>
        <w:t xml:space="preserve">concerning </w:t>
      </w:r>
      <w:r w:rsidR="007D1B30" w:rsidRPr="00813D19">
        <w:rPr>
          <w:lang w:val="en-US"/>
        </w:rPr>
        <w:t xml:space="preserve">the use of social and mass media </w:t>
      </w:r>
      <w:r w:rsidR="00CB6DDF" w:rsidRPr="00813D19">
        <w:rPr>
          <w:lang w:val="en-US"/>
        </w:rPr>
        <w:t xml:space="preserve">because the element appeared to have a very large community and the approach of involving them through the use of social media and </w:t>
      </w:r>
      <w:r w:rsidR="007D1B30" w:rsidRPr="00813D19">
        <w:rPr>
          <w:lang w:val="en-US"/>
        </w:rPr>
        <w:t xml:space="preserve">a reflection forum online </w:t>
      </w:r>
      <w:r w:rsidR="00CB6DDF" w:rsidRPr="00813D19">
        <w:rPr>
          <w:lang w:val="en-US"/>
        </w:rPr>
        <w:t xml:space="preserve">was interesting. The delegation thus wondered whether </w:t>
      </w:r>
      <w:r w:rsidR="007D1B30" w:rsidRPr="00813D19">
        <w:rPr>
          <w:lang w:val="en-US"/>
        </w:rPr>
        <w:t xml:space="preserve">the Evaluation Body could elaborate on how they </w:t>
      </w:r>
      <w:r w:rsidR="008C034A">
        <w:rPr>
          <w:lang w:val="en-US"/>
        </w:rPr>
        <w:t>had come</w:t>
      </w:r>
      <w:r w:rsidR="008C034A" w:rsidRPr="00813D19">
        <w:rPr>
          <w:lang w:val="en-US"/>
        </w:rPr>
        <w:t xml:space="preserve"> </w:t>
      </w:r>
      <w:r w:rsidR="007D1B30" w:rsidRPr="00813D19">
        <w:rPr>
          <w:lang w:val="en-US"/>
        </w:rPr>
        <w:t xml:space="preserve">to this decision under </w:t>
      </w:r>
      <w:r w:rsidR="00CB6DDF" w:rsidRPr="00813D19">
        <w:rPr>
          <w:lang w:val="en-US"/>
        </w:rPr>
        <w:t>R.</w:t>
      </w:r>
      <w:r w:rsidR="007D1B30" w:rsidRPr="00813D19">
        <w:rPr>
          <w:lang w:val="en-US"/>
        </w:rPr>
        <w:t>4</w:t>
      </w:r>
      <w:r w:rsidR="00CB6DDF" w:rsidRPr="00813D19">
        <w:rPr>
          <w:lang w:val="en-US"/>
        </w:rPr>
        <w:t>,</w:t>
      </w:r>
      <w:r w:rsidR="007D1B30" w:rsidRPr="00813D19">
        <w:rPr>
          <w:lang w:val="en-US"/>
        </w:rPr>
        <w:t xml:space="preserve"> and in general </w:t>
      </w:r>
      <w:r w:rsidR="00CB6DDF" w:rsidRPr="00813D19">
        <w:rPr>
          <w:lang w:val="en-US"/>
        </w:rPr>
        <w:t xml:space="preserve">whether </w:t>
      </w:r>
      <w:r w:rsidR="007D1B30" w:rsidRPr="00813D19">
        <w:rPr>
          <w:lang w:val="en-US"/>
        </w:rPr>
        <w:t>a dedicated website</w:t>
      </w:r>
      <w:r w:rsidR="00CB6DDF" w:rsidRPr="00813D19">
        <w:rPr>
          <w:lang w:val="en-US"/>
        </w:rPr>
        <w:t xml:space="preserve">, as </w:t>
      </w:r>
      <w:r w:rsidR="007D1B30" w:rsidRPr="00813D19">
        <w:rPr>
          <w:lang w:val="en-US"/>
        </w:rPr>
        <w:t>mentioned in the form</w:t>
      </w:r>
      <w:r w:rsidR="00CB6DDF" w:rsidRPr="00813D19">
        <w:rPr>
          <w:lang w:val="en-US"/>
        </w:rPr>
        <w:t>,</w:t>
      </w:r>
      <w:r w:rsidR="007D1B30" w:rsidRPr="00813D19">
        <w:rPr>
          <w:lang w:val="en-US"/>
        </w:rPr>
        <w:t xml:space="preserve"> </w:t>
      </w:r>
      <w:r w:rsidR="00CB6DDF" w:rsidRPr="00813D19">
        <w:rPr>
          <w:lang w:val="en-US"/>
        </w:rPr>
        <w:t xml:space="preserve">was consulted. This would also clarify the issue in </w:t>
      </w:r>
      <w:r w:rsidR="00E41386">
        <w:rPr>
          <w:lang w:val="en-US"/>
        </w:rPr>
        <w:t>future nominations.</w:t>
      </w:r>
    </w:p>
    <w:p w14:paraId="2235AF82" w14:textId="25CA7FEC" w:rsidR="0092396A" w:rsidRPr="00813D19" w:rsidRDefault="00B17EE7"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Senegal</w:t>
      </w:r>
      <w:r w:rsidR="007D1B30" w:rsidRPr="00813D19">
        <w:rPr>
          <w:rFonts w:eastAsia="Calibri"/>
          <w:b/>
          <w:color w:val="000000" w:themeColor="text1"/>
          <w:lang w:val="en-US"/>
        </w:rPr>
        <w:t xml:space="preserve"> </w:t>
      </w:r>
      <w:r w:rsidR="0092396A" w:rsidRPr="00813D19">
        <w:rPr>
          <w:rFonts w:eastAsia="Calibri"/>
          <w:color w:val="000000" w:themeColor="text1"/>
          <w:lang w:val="en-US"/>
        </w:rPr>
        <w:t xml:space="preserve">thanked the Evaluation Body for its extremely important work and joined the other Members who expressed the wish to allow the submitting State to provide the explanations </w:t>
      </w:r>
      <w:r w:rsidR="008C034A" w:rsidRPr="00813D19">
        <w:rPr>
          <w:rFonts w:eastAsia="Calibri"/>
          <w:color w:val="000000" w:themeColor="text1"/>
          <w:lang w:val="en-US"/>
        </w:rPr>
        <w:t>ne</w:t>
      </w:r>
      <w:r w:rsidR="008C034A">
        <w:rPr>
          <w:rFonts w:eastAsia="Calibri"/>
          <w:color w:val="000000" w:themeColor="text1"/>
          <w:lang w:val="en-US"/>
        </w:rPr>
        <w:t>eded</w:t>
      </w:r>
      <w:r w:rsidR="008C034A" w:rsidRPr="00813D19">
        <w:rPr>
          <w:rFonts w:eastAsia="Calibri"/>
          <w:color w:val="000000" w:themeColor="text1"/>
          <w:lang w:val="en-US"/>
        </w:rPr>
        <w:t xml:space="preserve"> </w:t>
      </w:r>
      <w:r w:rsidR="00E41386">
        <w:rPr>
          <w:rFonts w:eastAsia="Calibri"/>
          <w:color w:val="000000" w:themeColor="text1"/>
          <w:lang w:val="en-US"/>
        </w:rPr>
        <w:t>to decide on the nomination.</w:t>
      </w:r>
    </w:p>
    <w:p w14:paraId="2ED045AA" w14:textId="3EC1EEE0" w:rsidR="00B17EE7" w:rsidRPr="00813D19" w:rsidRDefault="00B17EE7"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Jamaica</w:t>
      </w:r>
      <w:r w:rsidR="007D1B30" w:rsidRPr="00813D19">
        <w:rPr>
          <w:rFonts w:eastAsia="Calibri"/>
          <w:b/>
          <w:color w:val="000000" w:themeColor="text1"/>
          <w:lang w:val="en-US"/>
        </w:rPr>
        <w:t xml:space="preserve"> </w:t>
      </w:r>
      <w:r w:rsidR="0092396A" w:rsidRPr="00813D19">
        <w:rPr>
          <w:lang w:val="en-US"/>
        </w:rPr>
        <w:t>recognized</w:t>
      </w:r>
      <w:r w:rsidR="007D1B30" w:rsidRPr="00813D19">
        <w:rPr>
          <w:lang w:val="en-US"/>
        </w:rPr>
        <w:t xml:space="preserve"> that </w:t>
      </w:r>
      <w:r w:rsidR="0092396A" w:rsidRPr="00813D19">
        <w:rPr>
          <w:lang w:val="en-US"/>
        </w:rPr>
        <w:t>R.</w:t>
      </w:r>
      <w:r w:rsidR="007D1B30" w:rsidRPr="00813D19">
        <w:rPr>
          <w:lang w:val="en-US"/>
        </w:rPr>
        <w:t xml:space="preserve">1 and </w:t>
      </w:r>
      <w:r w:rsidR="0092396A" w:rsidRPr="00813D19">
        <w:rPr>
          <w:lang w:val="en-US"/>
        </w:rPr>
        <w:t>R.</w:t>
      </w:r>
      <w:r w:rsidR="007D1B30" w:rsidRPr="00813D19">
        <w:rPr>
          <w:lang w:val="en-US"/>
        </w:rPr>
        <w:t xml:space="preserve">3 </w:t>
      </w:r>
      <w:r w:rsidR="0092396A" w:rsidRPr="00813D19">
        <w:rPr>
          <w:lang w:val="en-US"/>
        </w:rPr>
        <w:t xml:space="preserve">had </w:t>
      </w:r>
      <w:r w:rsidR="007D1B30" w:rsidRPr="00813D19">
        <w:rPr>
          <w:lang w:val="en-US"/>
        </w:rPr>
        <w:t>been adequa</w:t>
      </w:r>
      <w:r w:rsidR="0092396A" w:rsidRPr="00813D19">
        <w:rPr>
          <w:lang w:val="en-US"/>
        </w:rPr>
        <w:t>tely met in</w:t>
      </w:r>
      <w:r w:rsidR="005A5615" w:rsidRPr="00813D19">
        <w:rPr>
          <w:lang w:val="en-US"/>
        </w:rPr>
        <w:t xml:space="preserve"> the nomination file, but it also </w:t>
      </w:r>
      <w:r w:rsidR="007D1B30" w:rsidRPr="00813D19">
        <w:rPr>
          <w:lang w:val="en-US"/>
        </w:rPr>
        <w:t>note</w:t>
      </w:r>
      <w:r w:rsidR="0092396A" w:rsidRPr="00813D19">
        <w:rPr>
          <w:lang w:val="en-US"/>
        </w:rPr>
        <w:t>d</w:t>
      </w:r>
      <w:r w:rsidR="007D1B30" w:rsidRPr="00813D19">
        <w:rPr>
          <w:lang w:val="en-US"/>
        </w:rPr>
        <w:t xml:space="preserve"> </w:t>
      </w:r>
      <w:r w:rsidR="0092396A" w:rsidRPr="00813D19">
        <w:rPr>
          <w:lang w:val="en-US"/>
        </w:rPr>
        <w:t xml:space="preserve">the </w:t>
      </w:r>
      <w:r w:rsidR="007D1B30" w:rsidRPr="00813D19">
        <w:rPr>
          <w:lang w:val="en-US"/>
        </w:rPr>
        <w:t xml:space="preserve">concerns raised by the Evaluation Body in relation to R.2, R.4 and R.5. </w:t>
      </w:r>
      <w:r w:rsidR="0092396A" w:rsidRPr="00813D19">
        <w:rPr>
          <w:lang w:val="en-US"/>
        </w:rPr>
        <w:t xml:space="preserve">It </w:t>
      </w:r>
      <w:r w:rsidR="007D1B30" w:rsidRPr="00813D19">
        <w:rPr>
          <w:lang w:val="en-US"/>
        </w:rPr>
        <w:t>support</w:t>
      </w:r>
      <w:r w:rsidR="0092396A" w:rsidRPr="00813D19">
        <w:rPr>
          <w:lang w:val="en-US"/>
        </w:rPr>
        <w:t>ed</w:t>
      </w:r>
      <w:r w:rsidR="007D1B30" w:rsidRPr="00813D19">
        <w:rPr>
          <w:lang w:val="en-US"/>
        </w:rPr>
        <w:t xml:space="preserve"> the position of Cuba, Senegal and Kuwait that the State Party </w:t>
      </w:r>
      <w:r w:rsidR="008C034A">
        <w:rPr>
          <w:lang w:val="en-US"/>
        </w:rPr>
        <w:t xml:space="preserve">should </w:t>
      </w:r>
      <w:r w:rsidR="007D1B30" w:rsidRPr="00813D19">
        <w:rPr>
          <w:lang w:val="en-US"/>
        </w:rPr>
        <w:t xml:space="preserve">be given the opportunity to address the concerns related to the </w:t>
      </w:r>
      <w:r w:rsidR="0092396A" w:rsidRPr="00813D19">
        <w:rPr>
          <w:lang w:val="en-US"/>
        </w:rPr>
        <w:t xml:space="preserve">element’s </w:t>
      </w:r>
      <w:r w:rsidR="007D1B30" w:rsidRPr="00813D19">
        <w:rPr>
          <w:lang w:val="en-US"/>
        </w:rPr>
        <w:t xml:space="preserve">contribution to </w:t>
      </w:r>
      <w:r w:rsidR="0092396A" w:rsidRPr="00813D19">
        <w:rPr>
          <w:lang w:val="en-US"/>
        </w:rPr>
        <w:t xml:space="preserve">intangible heritage </w:t>
      </w:r>
      <w:r w:rsidR="007D1B30" w:rsidRPr="00813D19">
        <w:rPr>
          <w:lang w:val="en-US"/>
        </w:rPr>
        <w:t xml:space="preserve">in general, </w:t>
      </w:r>
      <w:r w:rsidR="0092396A" w:rsidRPr="00813D19">
        <w:rPr>
          <w:lang w:val="en-US"/>
        </w:rPr>
        <w:t xml:space="preserve">on </w:t>
      </w:r>
      <w:r w:rsidR="007D1B30" w:rsidRPr="00813D19">
        <w:rPr>
          <w:lang w:val="en-US"/>
        </w:rPr>
        <w:t>community involvement and the presence of an invent</w:t>
      </w:r>
      <w:r w:rsidR="0092396A" w:rsidRPr="00813D19">
        <w:rPr>
          <w:lang w:val="en-US"/>
        </w:rPr>
        <w:t>ory.</w:t>
      </w:r>
    </w:p>
    <w:p w14:paraId="68F38A9D" w14:textId="649A43B8" w:rsidR="00B17EE7" w:rsidRPr="00813D19" w:rsidRDefault="00B17EE7"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Lebanon</w:t>
      </w:r>
      <w:r w:rsidR="007D1B30" w:rsidRPr="00813D19">
        <w:rPr>
          <w:rFonts w:eastAsia="Calibri"/>
          <w:b/>
          <w:color w:val="000000" w:themeColor="text1"/>
          <w:lang w:val="en-US"/>
        </w:rPr>
        <w:t xml:space="preserve"> </w:t>
      </w:r>
      <w:r w:rsidR="0092396A" w:rsidRPr="00813D19">
        <w:rPr>
          <w:bCs/>
          <w:lang w:val="en-US"/>
        </w:rPr>
        <w:t>thanked</w:t>
      </w:r>
      <w:r w:rsidR="007D1B30" w:rsidRPr="00813D19">
        <w:rPr>
          <w:bCs/>
          <w:lang w:val="en-US"/>
        </w:rPr>
        <w:t xml:space="preserve"> the Evaluation Body for </w:t>
      </w:r>
      <w:r w:rsidR="0092396A" w:rsidRPr="00813D19">
        <w:rPr>
          <w:bCs/>
          <w:lang w:val="en-US"/>
        </w:rPr>
        <w:t>its work, noting that it appeared</w:t>
      </w:r>
      <w:r w:rsidR="007D1B30" w:rsidRPr="00813D19">
        <w:rPr>
          <w:bCs/>
          <w:lang w:val="en-US"/>
        </w:rPr>
        <w:t xml:space="preserve"> </w:t>
      </w:r>
      <w:r w:rsidR="0092396A" w:rsidRPr="00813D19">
        <w:rPr>
          <w:bCs/>
          <w:lang w:val="en-US"/>
        </w:rPr>
        <w:t xml:space="preserve">to have been </w:t>
      </w:r>
      <w:r w:rsidR="007D1B30" w:rsidRPr="00813D19">
        <w:rPr>
          <w:bCs/>
          <w:lang w:val="en-US"/>
        </w:rPr>
        <w:t xml:space="preserve">a difficult case. </w:t>
      </w:r>
      <w:r w:rsidR="00813D19" w:rsidRPr="00813D19">
        <w:rPr>
          <w:bCs/>
          <w:lang w:val="en-US"/>
        </w:rPr>
        <w:t>Nevertheless</w:t>
      </w:r>
      <w:r w:rsidR="0092396A" w:rsidRPr="00813D19">
        <w:rPr>
          <w:bCs/>
          <w:lang w:val="en-US"/>
        </w:rPr>
        <w:t xml:space="preserve">, </w:t>
      </w:r>
      <w:r w:rsidR="007D1B30" w:rsidRPr="00813D19">
        <w:rPr>
          <w:bCs/>
          <w:lang w:val="en-US"/>
        </w:rPr>
        <w:t>on the basis of dialogue</w:t>
      </w:r>
      <w:r w:rsidR="0092396A" w:rsidRPr="00813D19">
        <w:rPr>
          <w:bCs/>
          <w:lang w:val="en-US"/>
        </w:rPr>
        <w:t>,</w:t>
      </w:r>
      <w:r w:rsidR="007D1B30" w:rsidRPr="00813D19">
        <w:rPr>
          <w:bCs/>
          <w:lang w:val="en-US"/>
        </w:rPr>
        <w:t xml:space="preserve"> </w:t>
      </w:r>
      <w:r w:rsidR="0092396A" w:rsidRPr="00813D19">
        <w:rPr>
          <w:bCs/>
          <w:lang w:val="en-US"/>
        </w:rPr>
        <w:t xml:space="preserve">it was </w:t>
      </w:r>
      <w:r w:rsidR="007D1B30" w:rsidRPr="00813D19">
        <w:rPr>
          <w:bCs/>
          <w:lang w:val="en-US"/>
        </w:rPr>
        <w:t xml:space="preserve">important to </w:t>
      </w:r>
      <w:r w:rsidR="008C034A">
        <w:rPr>
          <w:bCs/>
          <w:lang w:val="en-US"/>
        </w:rPr>
        <w:t>give</w:t>
      </w:r>
      <w:r w:rsidR="008C034A" w:rsidRPr="00813D19">
        <w:rPr>
          <w:bCs/>
          <w:lang w:val="en-US"/>
        </w:rPr>
        <w:t xml:space="preserve"> </w:t>
      </w:r>
      <w:r w:rsidR="007D1B30" w:rsidRPr="00813D19">
        <w:rPr>
          <w:bCs/>
          <w:lang w:val="en-US"/>
        </w:rPr>
        <w:t>the submitting Party a chance to fill in the gaps</w:t>
      </w:r>
      <w:r w:rsidR="0092396A" w:rsidRPr="00813D19">
        <w:rPr>
          <w:bCs/>
          <w:lang w:val="en-US"/>
        </w:rPr>
        <w:t>.</w:t>
      </w:r>
    </w:p>
    <w:p w14:paraId="58A4D106" w14:textId="770A8BB4" w:rsidR="00B17EE7" w:rsidRPr="00813D19" w:rsidRDefault="00B17EE7"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92396A" w:rsidRPr="00813D19">
        <w:rPr>
          <w:rFonts w:eastAsia="Calibri"/>
          <w:color w:val="000000" w:themeColor="text1"/>
          <w:lang w:val="en-US"/>
        </w:rPr>
        <w:t xml:space="preserve">thanked </w:t>
      </w:r>
      <w:r w:rsidR="0092396A" w:rsidRPr="00813D19">
        <w:rPr>
          <w:bCs/>
          <w:lang w:val="en-US"/>
        </w:rPr>
        <w:t xml:space="preserve">the </w:t>
      </w:r>
      <w:r w:rsidR="005A5615" w:rsidRPr="00813D19">
        <w:rPr>
          <w:bCs/>
          <w:lang w:val="en-US"/>
        </w:rPr>
        <w:t xml:space="preserve">Committee </w:t>
      </w:r>
      <w:r w:rsidR="0092396A" w:rsidRPr="00813D19">
        <w:rPr>
          <w:bCs/>
          <w:lang w:val="en-US"/>
        </w:rPr>
        <w:t xml:space="preserve">Members, and first gave the </w:t>
      </w:r>
      <w:r w:rsidR="007D1B30" w:rsidRPr="00813D19">
        <w:rPr>
          <w:bCs/>
          <w:lang w:val="en-US"/>
        </w:rPr>
        <w:t xml:space="preserve">floor to the Evaluation Body to respond to certain issues that </w:t>
      </w:r>
      <w:r w:rsidR="0092396A" w:rsidRPr="00813D19">
        <w:rPr>
          <w:bCs/>
          <w:lang w:val="en-US"/>
        </w:rPr>
        <w:t xml:space="preserve">were </w:t>
      </w:r>
      <w:r w:rsidR="007D1B30" w:rsidRPr="00813D19">
        <w:rPr>
          <w:bCs/>
          <w:lang w:val="en-US"/>
        </w:rPr>
        <w:t xml:space="preserve">raised, </w:t>
      </w:r>
      <w:r w:rsidR="0092396A" w:rsidRPr="00813D19">
        <w:rPr>
          <w:bCs/>
          <w:lang w:val="en-US"/>
        </w:rPr>
        <w:t xml:space="preserve">particularly the </w:t>
      </w:r>
      <w:r w:rsidR="007D1B30" w:rsidRPr="00813D19">
        <w:rPr>
          <w:bCs/>
          <w:lang w:val="en-US"/>
        </w:rPr>
        <w:t>question raised by Austria</w:t>
      </w:r>
      <w:r w:rsidR="0092396A" w:rsidRPr="00813D19">
        <w:rPr>
          <w:bCs/>
          <w:lang w:val="en-US"/>
        </w:rPr>
        <w:t>,</w:t>
      </w:r>
      <w:r w:rsidR="007D1B30" w:rsidRPr="00813D19">
        <w:rPr>
          <w:bCs/>
          <w:lang w:val="en-US"/>
        </w:rPr>
        <w:t xml:space="preserve"> </w:t>
      </w:r>
      <w:r w:rsidR="0092396A" w:rsidRPr="00813D19">
        <w:rPr>
          <w:bCs/>
          <w:lang w:val="en-US"/>
        </w:rPr>
        <w:t>before giving the floor to Argentina.</w:t>
      </w:r>
    </w:p>
    <w:p w14:paraId="64A24AFE" w14:textId="2517BF35" w:rsidR="00B17EE7" w:rsidRPr="00813D19" w:rsidRDefault="0092396A" w:rsidP="007F4091">
      <w:pPr>
        <w:pStyle w:val="Orateurengris"/>
        <w:spacing w:before="120"/>
        <w:ind w:left="709" w:hanging="709"/>
        <w:rPr>
          <w:rFonts w:eastAsia="Calibri"/>
          <w:color w:val="000000" w:themeColor="text1"/>
          <w:lang w:val="en-US"/>
        </w:rPr>
      </w:pPr>
      <w:r w:rsidRPr="00813D19">
        <w:rPr>
          <w:bCs/>
          <w:lang w:val="en-US"/>
        </w:rPr>
        <w:t>Responding to the issue raised by Austria,</w:t>
      </w:r>
      <w:r w:rsidRPr="00813D19">
        <w:rPr>
          <w:rFonts w:eastAsia="Calibri"/>
          <w:color w:val="000000" w:themeColor="text1"/>
          <w:lang w:val="en-US"/>
        </w:rPr>
        <w:t xml:space="preserve"> t</w:t>
      </w:r>
      <w:r w:rsidR="00B17EE7" w:rsidRPr="00813D19">
        <w:rPr>
          <w:rFonts w:eastAsia="Calibri"/>
          <w:color w:val="000000" w:themeColor="text1"/>
          <w:lang w:val="en-US"/>
        </w:rPr>
        <w:t>he</w:t>
      </w:r>
      <w:r w:rsidR="00B17EE7" w:rsidRPr="00813D19">
        <w:rPr>
          <w:rFonts w:eastAsia="Calibri"/>
          <w:b/>
          <w:color w:val="000000" w:themeColor="text1"/>
          <w:lang w:val="en-US"/>
        </w:rPr>
        <w:t xml:space="preserve"> Chairperson of the Evaluation Body</w:t>
      </w:r>
      <w:r w:rsidRPr="00813D19">
        <w:rPr>
          <w:bCs/>
          <w:lang w:val="en-US"/>
        </w:rPr>
        <w:t xml:space="preserve"> explained that in addition to </w:t>
      </w:r>
      <w:r w:rsidR="007D1B30" w:rsidRPr="00813D19">
        <w:rPr>
          <w:bCs/>
          <w:lang w:val="en-US"/>
        </w:rPr>
        <w:t>the four consents that were submitted in the file</w:t>
      </w:r>
      <w:r w:rsidRPr="00813D19">
        <w:rPr>
          <w:bCs/>
          <w:lang w:val="en-US"/>
        </w:rPr>
        <w:t xml:space="preserve">, the Evaluation Body also visited the </w:t>
      </w:r>
      <w:r w:rsidR="007D1B30" w:rsidRPr="00813D19">
        <w:rPr>
          <w:bCs/>
          <w:lang w:val="en-US"/>
        </w:rPr>
        <w:t xml:space="preserve">website </w:t>
      </w:r>
      <w:r w:rsidRPr="00813D19">
        <w:rPr>
          <w:bCs/>
          <w:lang w:val="en-US"/>
        </w:rPr>
        <w:t xml:space="preserve">that </w:t>
      </w:r>
      <w:r w:rsidR="005A5615" w:rsidRPr="00813D19">
        <w:rPr>
          <w:bCs/>
          <w:lang w:val="en-US"/>
        </w:rPr>
        <w:t>had</w:t>
      </w:r>
      <w:r w:rsidRPr="00813D19">
        <w:rPr>
          <w:bCs/>
          <w:lang w:val="en-US"/>
        </w:rPr>
        <w:t xml:space="preserve"> </w:t>
      </w:r>
      <w:r w:rsidR="005A5615" w:rsidRPr="00813D19">
        <w:rPr>
          <w:bCs/>
          <w:lang w:val="en-US"/>
        </w:rPr>
        <w:t xml:space="preserve">been </w:t>
      </w:r>
      <w:r w:rsidRPr="00813D19">
        <w:rPr>
          <w:bCs/>
          <w:lang w:val="en-US"/>
        </w:rPr>
        <w:t xml:space="preserve">indicated, and where quite </w:t>
      </w:r>
      <w:r w:rsidR="007D1B30" w:rsidRPr="00813D19">
        <w:rPr>
          <w:bCs/>
          <w:lang w:val="en-US"/>
        </w:rPr>
        <w:t xml:space="preserve">a number of other consents were </w:t>
      </w:r>
      <w:r w:rsidR="007530D8" w:rsidRPr="00813D19">
        <w:rPr>
          <w:bCs/>
          <w:lang w:val="en-US"/>
        </w:rPr>
        <w:t>available.</w:t>
      </w:r>
      <w:r w:rsidR="007D1B30" w:rsidRPr="00813D19">
        <w:rPr>
          <w:bCs/>
          <w:lang w:val="en-US"/>
        </w:rPr>
        <w:t xml:space="preserve"> </w:t>
      </w:r>
      <w:r w:rsidRPr="00813D19">
        <w:rPr>
          <w:bCs/>
          <w:lang w:val="en-US"/>
        </w:rPr>
        <w:t>However, the Chairperson recalled that R.</w:t>
      </w:r>
      <w:r w:rsidR="007D1B30" w:rsidRPr="00813D19">
        <w:rPr>
          <w:bCs/>
          <w:lang w:val="en-US"/>
        </w:rPr>
        <w:t xml:space="preserve">4 </w:t>
      </w:r>
      <w:r w:rsidRPr="00813D19">
        <w:rPr>
          <w:bCs/>
          <w:lang w:val="en-US"/>
        </w:rPr>
        <w:t xml:space="preserve">was </w:t>
      </w:r>
      <w:r w:rsidR="007D1B30" w:rsidRPr="00813D19">
        <w:rPr>
          <w:bCs/>
          <w:lang w:val="en-US"/>
        </w:rPr>
        <w:t xml:space="preserve">not </w:t>
      </w:r>
      <w:r w:rsidR="007530D8" w:rsidRPr="00813D19">
        <w:rPr>
          <w:bCs/>
          <w:lang w:val="en-US"/>
        </w:rPr>
        <w:t xml:space="preserve">solely about consent as </w:t>
      </w:r>
      <w:r w:rsidRPr="00813D19">
        <w:rPr>
          <w:bCs/>
          <w:lang w:val="en-US"/>
        </w:rPr>
        <w:t>t</w:t>
      </w:r>
      <w:r w:rsidR="007D1B30" w:rsidRPr="00813D19">
        <w:rPr>
          <w:bCs/>
          <w:lang w:val="en-US"/>
        </w:rPr>
        <w:t xml:space="preserve">here </w:t>
      </w:r>
      <w:r w:rsidRPr="00813D19">
        <w:rPr>
          <w:bCs/>
          <w:lang w:val="en-US"/>
        </w:rPr>
        <w:t xml:space="preserve">were </w:t>
      </w:r>
      <w:r w:rsidR="007D1B30" w:rsidRPr="00813D19">
        <w:rPr>
          <w:bCs/>
          <w:lang w:val="en-US"/>
        </w:rPr>
        <w:t>several other aspects</w:t>
      </w:r>
      <w:r w:rsidR="005A5615" w:rsidRPr="00813D19">
        <w:rPr>
          <w:bCs/>
          <w:lang w:val="en-US"/>
        </w:rPr>
        <w:t xml:space="preserve"> contained</w:t>
      </w:r>
      <w:r w:rsidR="007D1B30" w:rsidRPr="00813D19">
        <w:rPr>
          <w:bCs/>
          <w:lang w:val="en-US"/>
        </w:rPr>
        <w:t xml:space="preserve"> within </w:t>
      </w:r>
      <w:r w:rsidRPr="00813D19">
        <w:rPr>
          <w:bCs/>
          <w:lang w:val="en-US"/>
        </w:rPr>
        <w:t xml:space="preserve">R.4, </w:t>
      </w:r>
      <w:r w:rsidR="007D1B30" w:rsidRPr="00813D19">
        <w:rPr>
          <w:bCs/>
          <w:lang w:val="en-US"/>
        </w:rPr>
        <w:t>including the mechanism</w:t>
      </w:r>
      <w:r w:rsidR="00240EF5" w:rsidRPr="00813D19">
        <w:rPr>
          <w:bCs/>
          <w:lang w:val="en-US"/>
        </w:rPr>
        <w:t xml:space="preserve">s of involving the communities and </w:t>
      </w:r>
      <w:r w:rsidR="007D1B30" w:rsidRPr="00813D19">
        <w:rPr>
          <w:bCs/>
          <w:lang w:val="en-US"/>
        </w:rPr>
        <w:t>the nature of their participation</w:t>
      </w:r>
      <w:r w:rsidR="00240EF5" w:rsidRPr="00813D19">
        <w:rPr>
          <w:bCs/>
          <w:lang w:val="en-US"/>
        </w:rPr>
        <w:t>.</w:t>
      </w:r>
      <w:r w:rsidR="007D1B30" w:rsidRPr="00813D19">
        <w:rPr>
          <w:bCs/>
          <w:lang w:val="en-US"/>
        </w:rPr>
        <w:t xml:space="preserve"> </w:t>
      </w:r>
      <w:r w:rsidR="00240EF5" w:rsidRPr="00813D19">
        <w:rPr>
          <w:bCs/>
          <w:lang w:val="en-US"/>
        </w:rPr>
        <w:t>T</w:t>
      </w:r>
      <w:r w:rsidR="007D1B30" w:rsidRPr="00813D19">
        <w:rPr>
          <w:bCs/>
          <w:lang w:val="en-US"/>
        </w:rPr>
        <w:t xml:space="preserve">here </w:t>
      </w:r>
      <w:r w:rsidR="00240EF5" w:rsidRPr="00813D19">
        <w:rPr>
          <w:bCs/>
          <w:lang w:val="en-US"/>
        </w:rPr>
        <w:t xml:space="preserve">was </w:t>
      </w:r>
      <w:r w:rsidR="007D1B30" w:rsidRPr="00813D19">
        <w:rPr>
          <w:bCs/>
          <w:lang w:val="en-US"/>
        </w:rPr>
        <w:t xml:space="preserve">also </w:t>
      </w:r>
      <w:r w:rsidR="008C034A">
        <w:rPr>
          <w:bCs/>
          <w:lang w:val="en-US"/>
        </w:rPr>
        <w:t>S</w:t>
      </w:r>
      <w:r w:rsidR="00240EF5" w:rsidRPr="00813D19">
        <w:rPr>
          <w:bCs/>
          <w:lang w:val="en-US"/>
        </w:rPr>
        <w:t xml:space="preserve">ection </w:t>
      </w:r>
      <w:r w:rsidR="007530D8" w:rsidRPr="00813D19">
        <w:rPr>
          <w:bCs/>
          <w:lang w:val="en-US"/>
        </w:rPr>
        <w:t>4.c</w:t>
      </w:r>
      <w:r w:rsidR="00240EF5" w:rsidRPr="00813D19">
        <w:rPr>
          <w:bCs/>
          <w:lang w:val="en-US"/>
        </w:rPr>
        <w:t xml:space="preserve"> that </w:t>
      </w:r>
      <w:r w:rsidR="007530D8" w:rsidRPr="00813D19">
        <w:rPr>
          <w:bCs/>
          <w:lang w:val="en-US"/>
        </w:rPr>
        <w:t xml:space="preserve">sought </w:t>
      </w:r>
      <w:r w:rsidR="007D1B30" w:rsidRPr="00813D19">
        <w:rPr>
          <w:bCs/>
          <w:lang w:val="en-US"/>
        </w:rPr>
        <w:t xml:space="preserve">a clear statement </w:t>
      </w:r>
      <w:r w:rsidR="007530D8" w:rsidRPr="00813D19">
        <w:rPr>
          <w:bCs/>
          <w:lang w:val="en-US"/>
        </w:rPr>
        <w:t xml:space="preserve">on the </w:t>
      </w:r>
      <w:r w:rsidR="007D1B30" w:rsidRPr="00813D19">
        <w:rPr>
          <w:bCs/>
          <w:lang w:val="en-US"/>
        </w:rPr>
        <w:t xml:space="preserve">respect for customary practices. </w:t>
      </w:r>
      <w:r w:rsidR="007530D8" w:rsidRPr="00813D19">
        <w:rPr>
          <w:bCs/>
          <w:lang w:val="en-US"/>
        </w:rPr>
        <w:t>These were the aspects</w:t>
      </w:r>
      <w:r w:rsidR="007D1B30" w:rsidRPr="00813D19">
        <w:rPr>
          <w:bCs/>
          <w:lang w:val="en-US"/>
        </w:rPr>
        <w:t xml:space="preserve"> </w:t>
      </w:r>
      <w:r w:rsidR="007530D8" w:rsidRPr="00813D19">
        <w:rPr>
          <w:bCs/>
          <w:lang w:val="en-US"/>
        </w:rPr>
        <w:t xml:space="preserve">that </w:t>
      </w:r>
      <w:r w:rsidR="008C034A">
        <w:rPr>
          <w:bCs/>
          <w:lang w:val="en-US"/>
        </w:rPr>
        <w:t xml:space="preserve">had </w:t>
      </w:r>
      <w:r w:rsidR="005A5615" w:rsidRPr="00813D19">
        <w:rPr>
          <w:bCs/>
          <w:lang w:val="en-US"/>
        </w:rPr>
        <w:t xml:space="preserve">led </w:t>
      </w:r>
      <w:r w:rsidR="007530D8" w:rsidRPr="00813D19">
        <w:rPr>
          <w:bCs/>
          <w:lang w:val="en-US"/>
        </w:rPr>
        <w:t xml:space="preserve">the Evaluation Body </w:t>
      </w:r>
      <w:r w:rsidR="005A5615" w:rsidRPr="00813D19">
        <w:rPr>
          <w:bCs/>
          <w:lang w:val="en-US"/>
        </w:rPr>
        <w:t xml:space="preserve">to reach </w:t>
      </w:r>
      <w:r w:rsidR="008C034A">
        <w:rPr>
          <w:bCs/>
          <w:lang w:val="en-US"/>
        </w:rPr>
        <w:t>a c</w:t>
      </w:r>
      <w:r w:rsidR="005A5615" w:rsidRPr="00813D19">
        <w:rPr>
          <w:bCs/>
          <w:lang w:val="en-US"/>
        </w:rPr>
        <w:t>onsensus th</w:t>
      </w:r>
      <w:r w:rsidR="008C034A">
        <w:rPr>
          <w:bCs/>
          <w:lang w:val="en-US"/>
        </w:rPr>
        <w:t>a</w:t>
      </w:r>
      <w:r w:rsidR="005A5615" w:rsidRPr="00813D19">
        <w:rPr>
          <w:bCs/>
          <w:lang w:val="en-US"/>
        </w:rPr>
        <w:t xml:space="preserve">t the </w:t>
      </w:r>
      <w:r w:rsidR="007D1B30" w:rsidRPr="00813D19">
        <w:rPr>
          <w:bCs/>
          <w:lang w:val="en-US"/>
        </w:rPr>
        <w:t>criterion</w:t>
      </w:r>
      <w:r w:rsidR="005A5615" w:rsidRPr="00813D19">
        <w:rPr>
          <w:bCs/>
          <w:lang w:val="en-US"/>
        </w:rPr>
        <w:t xml:space="preserve"> was not fully met</w:t>
      </w:r>
      <w:r w:rsidR="007D1B30" w:rsidRPr="00813D19">
        <w:rPr>
          <w:bCs/>
          <w:lang w:val="en-US"/>
        </w:rPr>
        <w:t xml:space="preserve">. Although they </w:t>
      </w:r>
      <w:r w:rsidR="007530D8" w:rsidRPr="00813D19">
        <w:rPr>
          <w:bCs/>
          <w:lang w:val="en-US"/>
        </w:rPr>
        <w:t xml:space="preserve">appear minor, they were some </w:t>
      </w:r>
      <w:r w:rsidR="007D1B30" w:rsidRPr="00813D19">
        <w:rPr>
          <w:bCs/>
          <w:lang w:val="en-US"/>
        </w:rPr>
        <w:t xml:space="preserve">of the aspects that </w:t>
      </w:r>
      <w:r w:rsidR="007530D8" w:rsidRPr="00813D19">
        <w:rPr>
          <w:bCs/>
          <w:lang w:val="en-US"/>
        </w:rPr>
        <w:t xml:space="preserve">were </w:t>
      </w:r>
      <w:r w:rsidR="007D1B30" w:rsidRPr="00813D19">
        <w:rPr>
          <w:bCs/>
          <w:lang w:val="en-US"/>
        </w:rPr>
        <w:t>require</w:t>
      </w:r>
      <w:r w:rsidR="007530D8" w:rsidRPr="00813D19">
        <w:rPr>
          <w:bCs/>
          <w:lang w:val="en-US"/>
        </w:rPr>
        <w:t>d</w:t>
      </w:r>
      <w:r w:rsidR="007D1B30" w:rsidRPr="00813D19">
        <w:rPr>
          <w:bCs/>
          <w:lang w:val="en-US"/>
        </w:rPr>
        <w:t xml:space="preserve"> </w:t>
      </w:r>
      <w:r w:rsidR="007530D8" w:rsidRPr="00813D19">
        <w:rPr>
          <w:bCs/>
          <w:lang w:val="en-US"/>
        </w:rPr>
        <w:t xml:space="preserve">for the </w:t>
      </w:r>
      <w:r w:rsidR="007D1B30" w:rsidRPr="00813D19">
        <w:rPr>
          <w:bCs/>
          <w:lang w:val="en-US"/>
        </w:rPr>
        <w:t xml:space="preserve">criterion to be met </w:t>
      </w:r>
      <w:r w:rsidR="007530D8" w:rsidRPr="00813D19">
        <w:rPr>
          <w:bCs/>
          <w:lang w:val="en-US"/>
        </w:rPr>
        <w:t xml:space="preserve">when </w:t>
      </w:r>
      <w:r w:rsidR="007D1B30" w:rsidRPr="00813D19">
        <w:rPr>
          <w:bCs/>
          <w:lang w:val="en-US"/>
        </w:rPr>
        <w:t>go</w:t>
      </w:r>
      <w:r w:rsidR="007530D8" w:rsidRPr="00813D19">
        <w:rPr>
          <w:bCs/>
          <w:lang w:val="en-US"/>
        </w:rPr>
        <w:t>ing through the form section</w:t>
      </w:r>
      <w:r w:rsidR="008C034A">
        <w:rPr>
          <w:bCs/>
          <w:lang w:val="en-US"/>
        </w:rPr>
        <w:t xml:space="preserve"> </w:t>
      </w:r>
      <w:r w:rsidR="007530D8" w:rsidRPr="00813D19">
        <w:rPr>
          <w:bCs/>
          <w:lang w:val="en-US"/>
        </w:rPr>
        <w:t>by</w:t>
      </w:r>
      <w:r w:rsidR="008C034A">
        <w:rPr>
          <w:bCs/>
          <w:lang w:val="en-US"/>
        </w:rPr>
        <w:t xml:space="preserve"> </w:t>
      </w:r>
      <w:r w:rsidR="007D1B30" w:rsidRPr="00813D19">
        <w:rPr>
          <w:bCs/>
          <w:lang w:val="en-US"/>
        </w:rPr>
        <w:t>section</w:t>
      </w:r>
      <w:r w:rsidR="00E41386">
        <w:rPr>
          <w:bCs/>
          <w:lang w:val="en-US"/>
        </w:rPr>
        <w:t>.</w:t>
      </w:r>
    </w:p>
    <w:p w14:paraId="44B83584" w14:textId="09155E85" w:rsidR="00B17EE7" w:rsidRPr="00813D19" w:rsidRDefault="00B17EE7"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F21A48" w:rsidRPr="00813D19">
        <w:rPr>
          <w:rFonts w:eastAsia="Calibri"/>
          <w:color w:val="000000" w:themeColor="text1"/>
          <w:lang w:val="en-US"/>
        </w:rPr>
        <w:t xml:space="preserve">gave the floor to </w:t>
      </w:r>
      <w:r w:rsidR="007D1B30" w:rsidRPr="00813D19">
        <w:rPr>
          <w:bCs/>
          <w:lang w:val="en-US"/>
        </w:rPr>
        <w:t>Argentina to respond to the queries</w:t>
      </w:r>
      <w:r w:rsidR="00F21A48" w:rsidRPr="00813D19">
        <w:rPr>
          <w:bCs/>
          <w:lang w:val="en-US"/>
        </w:rPr>
        <w:t>.</w:t>
      </w:r>
    </w:p>
    <w:p w14:paraId="4A21A96C" w14:textId="1B0F23C1" w:rsidR="00EA3B5D" w:rsidRPr="00813D19" w:rsidRDefault="00B17EE7" w:rsidP="000B2336">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Argentina</w:t>
      </w:r>
      <w:r w:rsidR="007D1B30" w:rsidRPr="00813D19">
        <w:rPr>
          <w:rFonts w:eastAsia="Calibri"/>
          <w:b/>
          <w:color w:val="000000" w:themeColor="text1"/>
          <w:lang w:val="en-US"/>
        </w:rPr>
        <w:t xml:space="preserve"> </w:t>
      </w:r>
      <w:r w:rsidR="007530D8" w:rsidRPr="00813D19">
        <w:rPr>
          <w:rFonts w:eastAsia="Calibri"/>
          <w:color w:val="000000" w:themeColor="text1"/>
          <w:lang w:val="en-US"/>
        </w:rPr>
        <w:t xml:space="preserve">began by </w:t>
      </w:r>
      <w:r w:rsidR="007D1B30" w:rsidRPr="00813D19">
        <w:rPr>
          <w:lang w:val="en-US"/>
        </w:rPr>
        <w:t>thank</w:t>
      </w:r>
      <w:r w:rsidR="007530D8" w:rsidRPr="00813D19">
        <w:rPr>
          <w:lang w:val="en-US"/>
        </w:rPr>
        <w:t>ing the G</w:t>
      </w:r>
      <w:r w:rsidR="007D1B30" w:rsidRPr="00813D19">
        <w:rPr>
          <w:lang w:val="en-US"/>
        </w:rPr>
        <w:t xml:space="preserve">overnment and authorities of Mauritius for </w:t>
      </w:r>
      <w:r w:rsidR="007530D8" w:rsidRPr="00813D19">
        <w:rPr>
          <w:lang w:val="en-US"/>
        </w:rPr>
        <w:t xml:space="preserve">organizing </w:t>
      </w:r>
      <w:r w:rsidR="007D1B30" w:rsidRPr="00813D19">
        <w:rPr>
          <w:lang w:val="en-US"/>
        </w:rPr>
        <w:t xml:space="preserve">this meeting </w:t>
      </w:r>
      <w:r w:rsidR="007530D8" w:rsidRPr="00813D19">
        <w:rPr>
          <w:lang w:val="en-US"/>
        </w:rPr>
        <w:t xml:space="preserve">and for the first-hand experience of its </w:t>
      </w:r>
      <w:r w:rsidR="007D1B30" w:rsidRPr="00813D19">
        <w:rPr>
          <w:lang w:val="en-US"/>
        </w:rPr>
        <w:t xml:space="preserve">hospitality and cultural heritage. </w:t>
      </w:r>
      <w:r w:rsidR="0063355F" w:rsidRPr="00813D19">
        <w:rPr>
          <w:lang w:val="en-US"/>
        </w:rPr>
        <w:t xml:space="preserve">The delegation cited </w:t>
      </w:r>
      <w:r w:rsidR="008B100B" w:rsidRPr="00813D19">
        <w:rPr>
          <w:lang w:val="en-US"/>
        </w:rPr>
        <w:t xml:space="preserve">Mr José </w:t>
      </w:r>
      <w:r w:rsidR="007D1B30" w:rsidRPr="00813D19">
        <w:rPr>
          <w:lang w:val="en-US"/>
        </w:rPr>
        <w:t>Ortega</w:t>
      </w:r>
      <w:r w:rsidR="008B100B" w:rsidRPr="00813D19">
        <w:rPr>
          <w:lang w:val="en-US"/>
        </w:rPr>
        <w:t xml:space="preserve"> y Gasset</w:t>
      </w:r>
      <w:r w:rsidR="0063355F" w:rsidRPr="00813D19">
        <w:rPr>
          <w:lang w:val="en-US"/>
        </w:rPr>
        <w:t xml:space="preserve">, </w:t>
      </w:r>
      <w:r w:rsidR="001407A3" w:rsidRPr="00813D19">
        <w:rPr>
          <w:lang w:val="en-US"/>
        </w:rPr>
        <w:t xml:space="preserve">Mr Koichiro </w:t>
      </w:r>
      <w:r w:rsidR="007D1B30" w:rsidRPr="00813D19">
        <w:rPr>
          <w:lang w:val="en-US"/>
        </w:rPr>
        <w:t>Matsuura</w:t>
      </w:r>
      <w:r w:rsidR="008B100B" w:rsidRPr="00813D19">
        <w:rPr>
          <w:lang w:val="en-US"/>
        </w:rPr>
        <w:t xml:space="preserve"> and </w:t>
      </w:r>
      <w:r w:rsidR="001407A3" w:rsidRPr="00813D19">
        <w:rPr>
          <w:lang w:val="en-US"/>
        </w:rPr>
        <w:t>Mr</w:t>
      </w:r>
      <w:r w:rsidR="000B2336">
        <w:rPr>
          <w:lang w:val="en-US"/>
        </w:rPr>
        <w:t> </w:t>
      </w:r>
      <w:r w:rsidR="001407A3" w:rsidRPr="00813D19">
        <w:rPr>
          <w:lang w:val="en-US"/>
        </w:rPr>
        <w:t xml:space="preserve">Mohammed </w:t>
      </w:r>
      <w:r w:rsidR="00EA3B5D" w:rsidRPr="00813D19">
        <w:rPr>
          <w:lang w:val="en-US"/>
        </w:rPr>
        <w:t>Bedjaoui</w:t>
      </w:r>
      <w:r w:rsidR="008B100B" w:rsidRPr="00813D19">
        <w:rPr>
          <w:lang w:val="en-US"/>
        </w:rPr>
        <w:t xml:space="preserve"> as persons </w:t>
      </w:r>
      <w:r w:rsidR="009D3633">
        <w:rPr>
          <w:lang w:val="en-US"/>
        </w:rPr>
        <w:t>who</w:t>
      </w:r>
      <w:r w:rsidR="008B100B" w:rsidRPr="00813D19">
        <w:rPr>
          <w:lang w:val="en-US"/>
        </w:rPr>
        <w:t xml:space="preserve"> would </w:t>
      </w:r>
      <w:r w:rsidR="00EA3B5D" w:rsidRPr="00813D19">
        <w:rPr>
          <w:lang w:val="en-US"/>
        </w:rPr>
        <w:t>have understood the significa</w:t>
      </w:r>
      <w:r w:rsidR="00E41386">
        <w:rPr>
          <w:lang w:val="en-US"/>
        </w:rPr>
        <w:t>nce and importance of dialogue.</w:t>
      </w:r>
    </w:p>
    <w:p w14:paraId="672E69D4" w14:textId="77777777" w:rsidR="00EA3B5D" w:rsidRPr="00813D19" w:rsidRDefault="00EA3B5D"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Chairperson</w:t>
      </w:r>
      <w:r w:rsidRPr="00813D19">
        <w:rPr>
          <w:lang w:val="en-US"/>
        </w:rPr>
        <w:t xml:space="preserve"> asked Argentina to respond directly to the points raised by the Committee.</w:t>
      </w:r>
    </w:p>
    <w:p w14:paraId="5AC087DC" w14:textId="33BA60CF" w:rsidR="005B5953" w:rsidRPr="00813D19" w:rsidRDefault="00EA3B5D"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Argentina</w:t>
      </w:r>
      <w:r w:rsidRPr="00813D19">
        <w:rPr>
          <w:lang w:val="en-US"/>
        </w:rPr>
        <w:t xml:space="preserve"> </w:t>
      </w:r>
      <w:r w:rsidR="009B22AA" w:rsidRPr="00813D19">
        <w:rPr>
          <w:lang w:val="en-US"/>
        </w:rPr>
        <w:t xml:space="preserve">explained that its introduction was to </w:t>
      </w:r>
      <w:r w:rsidR="00895FD2" w:rsidRPr="00813D19">
        <w:rPr>
          <w:lang w:val="en-US"/>
        </w:rPr>
        <w:t xml:space="preserve">emphasize </w:t>
      </w:r>
      <w:r w:rsidR="009B22AA" w:rsidRPr="00813D19">
        <w:rPr>
          <w:lang w:val="en-US"/>
        </w:rPr>
        <w:t xml:space="preserve">the importance of </w:t>
      </w:r>
      <w:r w:rsidR="00895FD2" w:rsidRPr="00813D19">
        <w:rPr>
          <w:lang w:val="en-US"/>
        </w:rPr>
        <w:t>communicating</w:t>
      </w:r>
      <w:r w:rsidR="009B22AA" w:rsidRPr="00813D19">
        <w:rPr>
          <w:lang w:val="en-US"/>
        </w:rPr>
        <w:t xml:space="preserve">. It greatly </w:t>
      </w:r>
      <w:r w:rsidR="007D1B30" w:rsidRPr="00813D19">
        <w:rPr>
          <w:lang w:val="en-US"/>
        </w:rPr>
        <w:t>apprec</w:t>
      </w:r>
      <w:r w:rsidR="009B22AA" w:rsidRPr="00813D19">
        <w:rPr>
          <w:lang w:val="en-US"/>
        </w:rPr>
        <w:t xml:space="preserve">iated the Evaluation Body’s work, but it would have wished to have been able to communicate </w:t>
      </w:r>
      <w:r w:rsidR="00ED567D" w:rsidRPr="00813D19">
        <w:rPr>
          <w:lang w:val="en-US"/>
        </w:rPr>
        <w:t xml:space="preserve">beforehand </w:t>
      </w:r>
      <w:r w:rsidR="00895FD2" w:rsidRPr="00813D19">
        <w:rPr>
          <w:lang w:val="en-US"/>
        </w:rPr>
        <w:t xml:space="preserve">with </w:t>
      </w:r>
      <w:r w:rsidR="009B22AA" w:rsidRPr="00813D19">
        <w:rPr>
          <w:lang w:val="en-US"/>
        </w:rPr>
        <w:t xml:space="preserve">the Evaluation Body by email or </w:t>
      </w:r>
      <w:r w:rsidR="007D1B30" w:rsidRPr="00813D19">
        <w:rPr>
          <w:lang w:val="en-US"/>
        </w:rPr>
        <w:t>telephone</w:t>
      </w:r>
      <w:r w:rsidR="009B22AA" w:rsidRPr="00813D19">
        <w:rPr>
          <w:lang w:val="en-US"/>
        </w:rPr>
        <w:t xml:space="preserve">, which would have been the best way to </w:t>
      </w:r>
      <w:r w:rsidR="00895FD2" w:rsidRPr="00813D19">
        <w:rPr>
          <w:lang w:val="en-US"/>
        </w:rPr>
        <w:t>clarify</w:t>
      </w:r>
      <w:r w:rsidR="007D1B30" w:rsidRPr="00813D19">
        <w:rPr>
          <w:lang w:val="en-US"/>
        </w:rPr>
        <w:t xml:space="preserve"> these points prior to </w:t>
      </w:r>
      <w:r w:rsidR="009B22AA" w:rsidRPr="00813D19">
        <w:rPr>
          <w:lang w:val="en-US"/>
        </w:rPr>
        <w:t xml:space="preserve">the present session. </w:t>
      </w:r>
      <w:r w:rsidR="00ED567D" w:rsidRPr="00813D19">
        <w:rPr>
          <w:lang w:val="en-US"/>
        </w:rPr>
        <w:t>D</w:t>
      </w:r>
      <w:r w:rsidR="007D1B30" w:rsidRPr="00813D19">
        <w:rPr>
          <w:lang w:val="en-US"/>
        </w:rPr>
        <w:t xml:space="preserve">ialogue </w:t>
      </w:r>
      <w:r w:rsidR="00782D2A">
        <w:rPr>
          <w:lang w:val="en-US"/>
        </w:rPr>
        <w:t>was</w:t>
      </w:r>
      <w:r w:rsidR="007D1B30" w:rsidRPr="00813D19">
        <w:rPr>
          <w:lang w:val="en-US"/>
        </w:rPr>
        <w:t xml:space="preserve"> of </w:t>
      </w:r>
      <w:r w:rsidR="009B22AA" w:rsidRPr="00813D19">
        <w:rPr>
          <w:lang w:val="en-US"/>
        </w:rPr>
        <w:t xml:space="preserve">the </w:t>
      </w:r>
      <w:r w:rsidR="008B100B" w:rsidRPr="00813D19">
        <w:rPr>
          <w:lang w:val="en-US"/>
        </w:rPr>
        <w:t xml:space="preserve">utmost importance and Argentina had always been ready to provide the responses necessary. </w:t>
      </w:r>
      <w:r w:rsidR="009B22AA" w:rsidRPr="00813D19">
        <w:rPr>
          <w:lang w:val="en-US"/>
        </w:rPr>
        <w:t>The delegation further explained that the</w:t>
      </w:r>
      <w:r w:rsidR="007D1B30" w:rsidRPr="00813D19">
        <w:rPr>
          <w:lang w:val="en-US"/>
        </w:rPr>
        <w:t xml:space="preserve"> communities </w:t>
      </w:r>
      <w:r w:rsidR="009B22AA" w:rsidRPr="00813D19">
        <w:rPr>
          <w:lang w:val="en-US"/>
        </w:rPr>
        <w:t xml:space="preserve">concerned speak Spanish and </w:t>
      </w:r>
      <w:r w:rsidR="007D1B30" w:rsidRPr="00813D19">
        <w:rPr>
          <w:lang w:val="en-US"/>
        </w:rPr>
        <w:t>Guaraní,</w:t>
      </w:r>
      <w:r w:rsidR="009B22AA" w:rsidRPr="00813D19">
        <w:rPr>
          <w:lang w:val="en-US"/>
        </w:rPr>
        <w:t xml:space="preserve"> </w:t>
      </w:r>
      <w:r w:rsidR="00895FD2" w:rsidRPr="00813D19">
        <w:rPr>
          <w:lang w:val="en-US"/>
        </w:rPr>
        <w:t xml:space="preserve">the </w:t>
      </w:r>
      <w:r w:rsidR="007D1B30" w:rsidRPr="00813D19">
        <w:rPr>
          <w:lang w:val="en-US"/>
        </w:rPr>
        <w:t xml:space="preserve">official language of the Corrientes province </w:t>
      </w:r>
      <w:r w:rsidR="00F35C39" w:rsidRPr="00813D19">
        <w:rPr>
          <w:lang w:val="en-US"/>
        </w:rPr>
        <w:t xml:space="preserve">and also in </w:t>
      </w:r>
      <w:r w:rsidR="007D1B30" w:rsidRPr="00813D19">
        <w:rPr>
          <w:lang w:val="en-US"/>
        </w:rPr>
        <w:t xml:space="preserve">the </w:t>
      </w:r>
      <w:r w:rsidR="00F35C39" w:rsidRPr="00813D19">
        <w:rPr>
          <w:lang w:val="en-US"/>
        </w:rPr>
        <w:t>constitution of Paraguay</w:t>
      </w:r>
      <w:r w:rsidR="009B22AA" w:rsidRPr="00813D19">
        <w:rPr>
          <w:lang w:val="en-US"/>
        </w:rPr>
        <w:t>,</w:t>
      </w:r>
      <w:r w:rsidR="007D1B30" w:rsidRPr="00813D19">
        <w:rPr>
          <w:lang w:val="en-US"/>
        </w:rPr>
        <w:t xml:space="preserve"> </w:t>
      </w:r>
      <w:r w:rsidR="009B22AA" w:rsidRPr="00813D19">
        <w:rPr>
          <w:lang w:val="en-US"/>
        </w:rPr>
        <w:t xml:space="preserve">which </w:t>
      </w:r>
      <w:r w:rsidR="00F35C39" w:rsidRPr="00813D19">
        <w:rPr>
          <w:lang w:val="en-US"/>
        </w:rPr>
        <w:t xml:space="preserve">is </w:t>
      </w:r>
      <w:r w:rsidR="009B22AA" w:rsidRPr="00813D19">
        <w:rPr>
          <w:lang w:val="en-US"/>
        </w:rPr>
        <w:t xml:space="preserve">not </w:t>
      </w:r>
      <w:r w:rsidR="008B100B" w:rsidRPr="00813D19">
        <w:rPr>
          <w:lang w:val="en-US"/>
        </w:rPr>
        <w:t>simply</w:t>
      </w:r>
      <w:r w:rsidR="009B22AA" w:rsidRPr="00813D19">
        <w:rPr>
          <w:lang w:val="en-US"/>
        </w:rPr>
        <w:t xml:space="preserve"> understood</w:t>
      </w:r>
      <w:r w:rsidR="007D1B30" w:rsidRPr="00813D19">
        <w:rPr>
          <w:lang w:val="en-US"/>
        </w:rPr>
        <w:t xml:space="preserve"> </w:t>
      </w:r>
      <w:r w:rsidR="00895FD2" w:rsidRPr="00813D19">
        <w:rPr>
          <w:lang w:val="en-US"/>
        </w:rPr>
        <w:t>such that its translation</w:t>
      </w:r>
      <w:r w:rsidR="009B22AA" w:rsidRPr="00813D19">
        <w:rPr>
          <w:lang w:val="en-US"/>
        </w:rPr>
        <w:t xml:space="preserve"> into </w:t>
      </w:r>
      <w:r w:rsidR="007D1B30" w:rsidRPr="00813D19">
        <w:rPr>
          <w:lang w:val="en-US"/>
        </w:rPr>
        <w:t xml:space="preserve">French or English </w:t>
      </w:r>
      <w:r w:rsidR="009B22AA" w:rsidRPr="00813D19">
        <w:rPr>
          <w:lang w:val="en-US"/>
        </w:rPr>
        <w:t>made</w:t>
      </w:r>
      <w:r w:rsidR="00782D2A">
        <w:rPr>
          <w:lang w:val="en-US"/>
        </w:rPr>
        <w:t xml:space="preserve"> the</w:t>
      </w:r>
      <w:r w:rsidR="009B22AA" w:rsidRPr="00813D19">
        <w:rPr>
          <w:lang w:val="en-US"/>
        </w:rPr>
        <w:t xml:space="preserve"> </w:t>
      </w:r>
      <w:r w:rsidR="008B100B" w:rsidRPr="00813D19">
        <w:rPr>
          <w:lang w:val="en-US"/>
        </w:rPr>
        <w:t xml:space="preserve">drafting of the nomination form, which is limited in scope, </w:t>
      </w:r>
      <w:r w:rsidR="009B22AA" w:rsidRPr="00813D19">
        <w:rPr>
          <w:lang w:val="en-US"/>
        </w:rPr>
        <w:t xml:space="preserve">linguistically, </w:t>
      </w:r>
      <w:r w:rsidR="007D1B30" w:rsidRPr="00813D19">
        <w:rPr>
          <w:lang w:val="en-US"/>
        </w:rPr>
        <w:t xml:space="preserve">culturally </w:t>
      </w:r>
      <w:r w:rsidR="009B22AA" w:rsidRPr="00813D19">
        <w:rPr>
          <w:lang w:val="en-US"/>
        </w:rPr>
        <w:t xml:space="preserve">and </w:t>
      </w:r>
      <w:r w:rsidR="007D1B30" w:rsidRPr="00813D19">
        <w:rPr>
          <w:lang w:val="en-US"/>
        </w:rPr>
        <w:t xml:space="preserve">procedurally </w:t>
      </w:r>
      <w:r w:rsidR="009B22AA" w:rsidRPr="00813D19">
        <w:rPr>
          <w:lang w:val="en-US"/>
        </w:rPr>
        <w:t xml:space="preserve">more </w:t>
      </w:r>
      <w:r w:rsidR="007D1B30" w:rsidRPr="00813D19">
        <w:rPr>
          <w:lang w:val="en-US"/>
        </w:rPr>
        <w:t xml:space="preserve">difficult. </w:t>
      </w:r>
      <w:r w:rsidR="00F35C39" w:rsidRPr="00813D19">
        <w:rPr>
          <w:lang w:val="en-US"/>
        </w:rPr>
        <w:t xml:space="preserve">Moreover, providing </w:t>
      </w:r>
      <w:r w:rsidR="007D1B30" w:rsidRPr="00813D19">
        <w:rPr>
          <w:lang w:val="en-US"/>
        </w:rPr>
        <w:t xml:space="preserve">all the information required </w:t>
      </w:r>
      <w:r w:rsidR="00F35C39" w:rsidRPr="00813D19">
        <w:rPr>
          <w:lang w:val="en-US"/>
        </w:rPr>
        <w:t xml:space="preserve">in the nomination </w:t>
      </w:r>
      <w:r w:rsidR="007D1B30" w:rsidRPr="00813D19">
        <w:rPr>
          <w:lang w:val="en-US"/>
        </w:rPr>
        <w:t>form</w:t>
      </w:r>
      <w:r w:rsidR="00F35C39" w:rsidRPr="00813D19">
        <w:rPr>
          <w:lang w:val="en-US"/>
        </w:rPr>
        <w:t xml:space="preserve"> to include and recognize </w:t>
      </w:r>
      <w:r w:rsidR="00895FD2" w:rsidRPr="00813D19">
        <w:rPr>
          <w:lang w:val="en-US"/>
        </w:rPr>
        <w:t xml:space="preserve">each </w:t>
      </w:r>
      <w:r w:rsidR="007D1B30" w:rsidRPr="00813D19">
        <w:rPr>
          <w:lang w:val="en-US"/>
        </w:rPr>
        <w:t>of the different communities and groups, where they held workshops, who took part</w:t>
      </w:r>
      <w:r w:rsidR="00F35C39" w:rsidRPr="00813D19">
        <w:rPr>
          <w:lang w:val="en-US"/>
        </w:rPr>
        <w:t>, and</w:t>
      </w:r>
      <w:r w:rsidR="007D1B30" w:rsidRPr="00813D19">
        <w:rPr>
          <w:lang w:val="en-US"/>
        </w:rPr>
        <w:t xml:space="preserve"> </w:t>
      </w:r>
      <w:r w:rsidR="00F35C39" w:rsidRPr="00813D19">
        <w:rPr>
          <w:lang w:val="en-US"/>
        </w:rPr>
        <w:t xml:space="preserve">on </w:t>
      </w:r>
      <w:r w:rsidR="00895FD2" w:rsidRPr="00813D19">
        <w:rPr>
          <w:lang w:val="en-US"/>
        </w:rPr>
        <w:t xml:space="preserve">what dates was deemed </w:t>
      </w:r>
      <w:r w:rsidR="007D1B30" w:rsidRPr="00813D19">
        <w:rPr>
          <w:lang w:val="en-US"/>
        </w:rPr>
        <w:t xml:space="preserve">impossible. </w:t>
      </w:r>
      <w:r w:rsidR="00895FD2" w:rsidRPr="00813D19">
        <w:rPr>
          <w:lang w:val="en-US"/>
        </w:rPr>
        <w:t xml:space="preserve">The delegation highlighted </w:t>
      </w:r>
      <w:r w:rsidR="007D1B30" w:rsidRPr="00813D19">
        <w:rPr>
          <w:lang w:val="en-US"/>
        </w:rPr>
        <w:t xml:space="preserve">certain key sentences that </w:t>
      </w:r>
      <w:r w:rsidR="008B100B" w:rsidRPr="00813D19">
        <w:rPr>
          <w:lang w:val="en-US"/>
        </w:rPr>
        <w:t xml:space="preserve">drew particular attention. </w:t>
      </w:r>
      <w:r w:rsidR="007D1B30" w:rsidRPr="00813D19">
        <w:rPr>
          <w:lang w:val="en-US"/>
        </w:rPr>
        <w:t xml:space="preserve">For example, </w:t>
      </w:r>
      <w:r w:rsidR="005B5953" w:rsidRPr="00813D19">
        <w:rPr>
          <w:lang w:val="en-US"/>
        </w:rPr>
        <w:t xml:space="preserve">only </w:t>
      </w:r>
      <w:r w:rsidR="007D1B30" w:rsidRPr="00813D19">
        <w:rPr>
          <w:lang w:val="en-US"/>
        </w:rPr>
        <w:t xml:space="preserve">four </w:t>
      </w:r>
      <w:r w:rsidR="00045DA6" w:rsidRPr="00813D19">
        <w:rPr>
          <w:lang w:val="en-US"/>
        </w:rPr>
        <w:t>different consent letters</w:t>
      </w:r>
      <w:r w:rsidR="00895FD2" w:rsidRPr="00813D19">
        <w:rPr>
          <w:lang w:val="en-US"/>
        </w:rPr>
        <w:t xml:space="preserve"> </w:t>
      </w:r>
      <w:r w:rsidR="005B5953" w:rsidRPr="00813D19">
        <w:rPr>
          <w:lang w:val="en-US"/>
        </w:rPr>
        <w:t xml:space="preserve">had been submitted because </w:t>
      </w:r>
      <w:r w:rsidR="00895FD2" w:rsidRPr="00813D19">
        <w:rPr>
          <w:lang w:val="en-US"/>
        </w:rPr>
        <w:t xml:space="preserve">it was unclear how </w:t>
      </w:r>
      <w:r w:rsidR="007D1B30" w:rsidRPr="00813D19">
        <w:rPr>
          <w:lang w:val="en-US"/>
        </w:rPr>
        <w:t xml:space="preserve">many </w:t>
      </w:r>
      <w:r w:rsidR="00895FD2" w:rsidRPr="00813D19">
        <w:rPr>
          <w:lang w:val="en-US"/>
        </w:rPr>
        <w:t xml:space="preserve">were </w:t>
      </w:r>
      <w:r w:rsidR="007D1B30" w:rsidRPr="00813D19">
        <w:rPr>
          <w:lang w:val="en-US"/>
        </w:rPr>
        <w:t>need</w:t>
      </w:r>
      <w:r w:rsidR="00E25206" w:rsidRPr="00813D19">
        <w:rPr>
          <w:lang w:val="en-US"/>
        </w:rPr>
        <w:t>ed; one or four thousand?</w:t>
      </w:r>
      <w:r w:rsidR="007D1B30" w:rsidRPr="00813D19">
        <w:rPr>
          <w:lang w:val="en-US"/>
        </w:rPr>
        <w:t xml:space="preserve"> </w:t>
      </w:r>
      <w:r w:rsidR="00E25206" w:rsidRPr="00813D19">
        <w:rPr>
          <w:lang w:val="en-US"/>
        </w:rPr>
        <w:t xml:space="preserve">The delegation explained that it had been </w:t>
      </w:r>
      <w:r w:rsidR="007D1B30" w:rsidRPr="00813D19">
        <w:rPr>
          <w:lang w:val="en-US"/>
        </w:rPr>
        <w:t xml:space="preserve">working on </w:t>
      </w:r>
      <w:r w:rsidR="00E25206" w:rsidRPr="00813D19">
        <w:rPr>
          <w:lang w:val="en-US"/>
        </w:rPr>
        <w:t xml:space="preserve">the nomination </w:t>
      </w:r>
      <w:r w:rsidR="007D1B30" w:rsidRPr="00813D19">
        <w:rPr>
          <w:lang w:val="en-US"/>
        </w:rPr>
        <w:t xml:space="preserve">file </w:t>
      </w:r>
      <w:r w:rsidR="00E25206" w:rsidRPr="00813D19">
        <w:rPr>
          <w:lang w:val="en-US"/>
        </w:rPr>
        <w:t xml:space="preserve">for years </w:t>
      </w:r>
      <w:r w:rsidR="007D1B30" w:rsidRPr="00813D19">
        <w:rPr>
          <w:lang w:val="en-US"/>
        </w:rPr>
        <w:t xml:space="preserve">and </w:t>
      </w:r>
      <w:r w:rsidR="00E25206" w:rsidRPr="00813D19">
        <w:rPr>
          <w:lang w:val="en-US"/>
        </w:rPr>
        <w:t>that it had provided four consent signatures</w:t>
      </w:r>
      <w:r w:rsidR="007D1B30" w:rsidRPr="00813D19">
        <w:rPr>
          <w:lang w:val="en-US"/>
        </w:rPr>
        <w:t xml:space="preserve"> as an example</w:t>
      </w:r>
      <w:r w:rsidR="00E25206" w:rsidRPr="00813D19">
        <w:rPr>
          <w:lang w:val="en-US"/>
        </w:rPr>
        <w:t>,</w:t>
      </w:r>
      <w:r w:rsidR="007D1B30" w:rsidRPr="00813D19">
        <w:rPr>
          <w:lang w:val="en-US"/>
        </w:rPr>
        <w:t xml:space="preserve"> </w:t>
      </w:r>
      <w:r w:rsidR="008B100B" w:rsidRPr="00813D19">
        <w:rPr>
          <w:lang w:val="en-US"/>
        </w:rPr>
        <w:t xml:space="preserve">not least because the section only allowed for 150 words, </w:t>
      </w:r>
      <w:r w:rsidR="007D1B30" w:rsidRPr="00813D19">
        <w:rPr>
          <w:lang w:val="en-US"/>
        </w:rPr>
        <w:t xml:space="preserve">but </w:t>
      </w:r>
      <w:r w:rsidR="00E25206" w:rsidRPr="00813D19">
        <w:rPr>
          <w:lang w:val="en-US"/>
        </w:rPr>
        <w:t xml:space="preserve">behind each of the </w:t>
      </w:r>
      <w:r w:rsidR="007D1B30" w:rsidRPr="00813D19">
        <w:rPr>
          <w:lang w:val="en-US"/>
        </w:rPr>
        <w:t xml:space="preserve">four </w:t>
      </w:r>
      <w:r w:rsidR="00E25206" w:rsidRPr="00813D19">
        <w:rPr>
          <w:lang w:val="en-US"/>
        </w:rPr>
        <w:t xml:space="preserve">signatures </w:t>
      </w:r>
      <w:r w:rsidR="007D1B30" w:rsidRPr="00813D19">
        <w:rPr>
          <w:lang w:val="en-US"/>
        </w:rPr>
        <w:t xml:space="preserve">were hundreds if not thousands </w:t>
      </w:r>
      <w:r w:rsidR="00E25206" w:rsidRPr="00813D19">
        <w:rPr>
          <w:lang w:val="en-US"/>
        </w:rPr>
        <w:t xml:space="preserve">of </w:t>
      </w:r>
      <w:r w:rsidR="00045DA6" w:rsidRPr="00813D19">
        <w:rPr>
          <w:lang w:val="en-US"/>
        </w:rPr>
        <w:t xml:space="preserve">letters of </w:t>
      </w:r>
      <w:r w:rsidR="00E25206" w:rsidRPr="00813D19">
        <w:rPr>
          <w:lang w:val="en-US"/>
        </w:rPr>
        <w:t xml:space="preserve">consent </w:t>
      </w:r>
      <w:r w:rsidR="008B100B" w:rsidRPr="00813D19">
        <w:rPr>
          <w:lang w:val="en-US"/>
        </w:rPr>
        <w:t xml:space="preserve">with their dates of submission </w:t>
      </w:r>
      <w:r w:rsidR="006860C5" w:rsidRPr="00813D19">
        <w:rPr>
          <w:lang w:val="en-US"/>
        </w:rPr>
        <w:t xml:space="preserve">that </w:t>
      </w:r>
      <w:r w:rsidR="007D1B30" w:rsidRPr="00813D19">
        <w:rPr>
          <w:lang w:val="en-US"/>
        </w:rPr>
        <w:t xml:space="preserve">can be seen on </w:t>
      </w:r>
      <w:r w:rsidR="006860C5" w:rsidRPr="00813D19">
        <w:rPr>
          <w:lang w:val="en-US"/>
        </w:rPr>
        <w:t>the Chamamé website</w:t>
      </w:r>
      <w:r w:rsidR="007D1B30" w:rsidRPr="00813D19">
        <w:rPr>
          <w:lang w:val="en-US"/>
        </w:rPr>
        <w:t xml:space="preserve">. </w:t>
      </w:r>
      <w:r w:rsidR="008B100B" w:rsidRPr="00813D19">
        <w:rPr>
          <w:lang w:val="en-US"/>
        </w:rPr>
        <w:t>T</w:t>
      </w:r>
      <w:r w:rsidR="006860C5" w:rsidRPr="00813D19">
        <w:rPr>
          <w:lang w:val="en-US"/>
        </w:rPr>
        <w:t xml:space="preserve">he delegation further explained </w:t>
      </w:r>
      <w:r w:rsidR="005B5953" w:rsidRPr="00813D19">
        <w:rPr>
          <w:lang w:val="en-US"/>
        </w:rPr>
        <w:t xml:space="preserve">that it was very </w:t>
      </w:r>
      <w:r w:rsidR="007D1B30" w:rsidRPr="00813D19">
        <w:rPr>
          <w:lang w:val="en-US"/>
        </w:rPr>
        <w:t xml:space="preserve">involved </w:t>
      </w:r>
      <w:r w:rsidR="005B5953" w:rsidRPr="00813D19">
        <w:rPr>
          <w:lang w:val="en-US"/>
        </w:rPr>
        <w:t xml:space="preserve">in </w:t>
      </w:r>
      <w:r w:rsidR="007D1B30" w:rsidRPr="00813D19">
        <w:rPr>
          <w:lang w:val="en-US"/>
        </w:rPr>
        <w:t xml:space="preserve">all the work </w:t>
      </w:r>
      <w:r w:rsidR="005B5953" w:rsidRPr="00813D19">
        <w:rPr>
          <w:lang w:val="en-US"/>
        </w:rPr>
        <w:t xml:space="preserve">undertaken by </w:t>
      </w:r>
      <w:r w:rsidR="007D1B30" w:rsidRPr="00813D19">
        <w:rPr>
          <w:lang w:val="en-US"/>
        </w:rPr>
        <w:t>UNESCO</w:t>
      </w:r>
      <w:r w:rsidR="008B100B" w:rsidRPr="00813D19">
        <w:rPr>
          <w:lang w:val="en-US"/>
        </w:rPr>
        <w:t xml:space="preserve">, which consistently advocated for the use of </w:t>
      </w:r>
      <w:r w:rsidR="007D1B30" w:rsidRPr="00813D19">
        <w:rPr>
          <w:lang w:val="en-US"/>
        </w:rPr>
        <w:t xml:space="preserve">ICTs </w:t>
      </w:r>
      <w:r w:rsidR="005B5953" w:rsidRPr="00813D19">
        <w:rPr>
          <w:lang w:val="en-US"/>
        </w:rPr>
        <w:t xml:space="preserve">as </w:t>
      </w:r>
      <w:r w:rsidR="007D1B30" w:rsidRPr="00813D19">
        <w:rPr>
          <w:lang w:val="en-US"/>
        </w:rPr>
        <w:t>a modern way of communicating</w:t>
      </w:r>
      <w:r w:rsidR="005B5953" w:rsidRPr="00813D19">
        <w:rPr>
          <w:lang w:val="en-US"/>
        </w:rPr>
        <w:t>. Ho</w:t>
      </w:r>
      <w:r w:rsidR="008B100B" w:rsidRPr="00813D19">
        <w:rPr>
          <w:lang w:val="en-US"/>
        </w:rPr>
        <w:t>wever, in the examination of this</w:t>
      </w:r>
      <w:r w:rsidR="005B5953" w:rsidRPr="00813D19">
        <w:rPr>
          <w:lang w:val="en-US"/>
        </w:rPr>
        <w:t xml:space="preserve"> </w:t>
      </w:r>
      <w:r w:rsidR="008B100B" w:rsidRPr="00813D19">
        <w:rPr>
          <w:lang w:val="en-US"/>
        </w:rPr>
        <w:t xml:space="preserve">nomination </w:t>
      </w:r>
      <w:r w:rsidR="007D1B30" w:rsidRPr="00813D19">
        <w:rPr>
          <w:lang w:val="en-US"/>
        </w:rPr>
        <w:t>file</w:t>
      </w:r>
      <w:r w:rsidR="005B5953" w:rsidRPr="00813D19">
        <w:rPr>
          <w:lang w:val="en-US"/>
        </w:rPr>
        <w:t>,</w:t>
      </w:r>
      <w:r w:rsidR="007D1B30" w:rsidRPr="00813D19">
        <w:rPr>
          <w:lang w:val="en-US"/>
        </w:rPr>
        <w:t xml:space="preserve"> it appeared that everything had to be </w:t>
      </w:r>
      <w:r w:rsidR="00692814" w:rsidRPr="00813D19">
        <w:rPr>
          <w:lang w:val="en-US"/>
        </w:rPr>
        <w:t xml:space="preserve">provided </w:t>
      </w:r>
      <w:r w:rsidR="007D1B30" w:rsidRPr="00813D19">
        <w:rPr>
          <w:lang w:val="en-US"/>
        </w:rPr>
        <w:t>on paper</w:t>
      </w:r>
      <w:r w:rsidR="005B5953" w:rsidRPr="00813D19">
        <w:rPr>
          <w:lang w:val="en-US"/>
        </w:rPr>
        <w:t xml:space="preserve">. The drafters </w:t>
      </w:r>
      <w:r w:rsidR="007D1B30" w:rsidRPr="00813D19">
        <w:rPr>
          <w:lang w:val="en-US"/>
        </w:rPr>
        <w:t>had used ICTs</w:t>
      </w:r>
      <w:r w:rsidR="00692814" w:rsidRPr="00813D19">
        <w:rPr>
          <w:lang w:val="en-US"/>
        </w:rPr>
        <w:t>,</w:t>
      </w:r>
      <w:r w:rsidR="007D1B30" w:rsidRPr="00813D19">
        <w:rPr>
          <w:lang w:val="en-US"/>
        </w:rPr>
        <w:t xml:space="preserve"> and the </w:t>
      </w:r>
      <w:r w:rsidR="005B5953" w:rsidRPr="00813D19">
        <w:rPr>
          <w:lang w:val="en-US"/>
        </w:rPr>
        <w:t>dedicated website perfectly illustrated</w:t>
      </w:r>
      <w:r w:rsidR="007D1B30" w:rsidRPr="00813D19">
        <w:rPr>
          <w:lang w:val="en-US"/>
        </w:rPr>
        <w:t xml:space="preserve"> the wealth of information</w:t>
      </w:r>
      <w:r w:rsidR="005B5953" w:rsidRPr="00813D19">
        <w:rPr>
          <w:lang w:val="en-US"/>
        </w:rPr>
        <w:t xml:space="preserve"> required</w:t>
      </w:r>
      <w:r w:rsidR="007D1B30" w:rsidRPr="00813D19">
        <w:rPr>
          <w:lang w:val="en-US"/>
        </w:rPr>
        <w:t xml:space="preserve">. </w:t>
      </w:r>
      <w:r w:rsidR="005B5953" w:rsidRPr="00813D19">
        <w:rPr>
          <w:lang w:val="en-US"/>
        </w:rPr>
        <w:t>The delegation wondered</w:t>
      </w:r>
      <w:r w:rsidR="007D1B30" w:rsidRPr="00813D19">
        <w:rPr>
          <w:lang w:val="en-US"/>
        </w:rPr>
        <w:t xml:space="preserve"> </w:t>
      </w:r>
      <w:r w:rsidR="005B5953" w:rsidRPr="00813D19">
        <w:rPr>
          <w:lang w:val="en-US"/>
        </w:rPr>
        <w:t xml:space="preserve">whether the Secretariat </w:t>
      </w:r>
      <w:r w:rsidR="007D1B30" w:rsidRPr="00813D19">
        <w:rPr>
          <w:lang w:val="en-US"/>
        </w:rPr>
        <w:t xml:space="preserve">could </w:t>
      </w:r>
      <w:r w:rsidR="005B5953" w:rsidRPr="00813D19">
        <w:rPr>
          <w:lang w:val="en-US"/>
        </w:rPr>
        <w:t xml:space="preserve">project the website onto the </w:t>
      </w:r>
      <w:r w:rsidR="007D1B30" w:rsidRPr="00813D19">
        <w:rPr>
          <w:lang w:val="en-US"/>
        </w:rPr>
        <w:t xml:space="preserve">screen </w:t>
      </w:r>
      <w:r w:rsidR="005B5953" w:rsidRPr="00813D19">
        <w:rPr>
          <w:lang w:val="en-US"/>
        </w:rPr>
        <w:t xml:space="preserve">in order that </w:t>
      </w:r>
      <w:r w:rsidR="007D1B30" w:rsidRPr="00813D19">
        <w:rPr>
          <w:lang w:val="en-US"/>
        </w:rPr>
        <w:t xml:space="preserve">everyone </w:t>
      </w:r>
      <w:r w:rsidR="005B5953" w:rsidRPr="00813D19">
        <w:rPr>
          <w:lang w:val="en-US"/>
        </w:rPr>
        <w:t>could see the information contained on</w:t>
      </w:r>
      <w:r w:rsidR="00692814" w:rsidRPr="00813D19">
        <w:rPr>
          <w:lang w:val="en-US"/>
        </w:rPr>
        <w:t>line</w:t>
      </w:r>
      <w:r w:rsidR="005B5953" w:rsidRPr="00813D19">
        <w:rPr>
          <w:lang w:val="en-US"/>
        </w:rPr>
        <w:t xml:space="preserve">, adding that this would </w:t>
      </w:r>
      <w:r w:rsidR="007D1B30" w:rsidRPr="00813D19">
        <w:rPr>
          <w:lang w:val="en-US"/>
        </w:rPr>
        <w:t xml:space="preserve">surely allay any concerns </w:t>
      </w:r>
      <w:r w:rsidR="005B5953" w:rsidRPr="00813D19">
        <w:rPr>
          <w:lang w:val="en-US"/>
        </w:rPr>
        <w:t xml:space="preserve">regarding </w:t>
      </w:r>
      <w:r w:rsidR="007D1B30" w:rsidRPr="00813D19">
        <w:rPr>
          <w:lang w:val="en-US"/>
        </w:rPr>
        <w:t>the information and the number of signatur</w:t>
      </w:r>
      <w:r w:rsidR="00E41386">
        <w:rPr>
          <w:lang w:val="en-US"/>
        </w:rPr>
        <w:t>es required.</w:t>
      </w:r>
    </w:p>
    <w:p w14:paraId="72838F5A" w14:textId="0DC2014B" w:rsidR="00B17EE7" w:rsidRPr="00813D19" w:rsidRDefault="005B5953"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Argentina</w:t>
      </w:r>
      <w:r w:rsidRPr="00813D19">
        <w:rPr>
          <w:lang w:val="en-US"/>
        </w:rPr>
        <w:t xml:space="preserve"> referred to R.</w:t>
      </w:r>
      <w:r w:rsidR="007D1B30" w:rsidRPr="00813D19">
        <w:rPr>
          <w:lang w:val="en-US"/>
        </w:rPr>
        <w:t xml:space="preserve">2 </w:t>
      </w:r>
      <w:r w:rsidRPr="00813D19">
        <w:rPr>
          <w:lang w:val="en-US"/>
        </w:rPr>
        <w:t xml:space="preserve">and the several concerns </w:t>
      </w:r>
      <w:r w:rsidR="00692814" w:rsidRPr="00813D19">
        <w:rPr>
          <w:lang w:val="en-US"/>
        </w:rPr>
        <w:t>raised</w:t>
      </w:r>
      <w:r w:rsidR="007D1B30" w:rsidRPr="00813D19">
        <w:rPr>
          <w:lang w:val="en-US"/>
        </w:rPr>
        <w:t xml:space="preserve"> </w:t>
      </w:r>
      <w:r w:rsidR="00692814" w:rsidRPr="00813D19">
        <w:rPr>
          <w:lang w:val="en-US"/>
        </w:rPr>
        <w:t xml:space="preserve">on </w:t>
      </w:r>
      <w:r w:rsidR="00901E82" w:rsidRPr="00813D19">
        <w:rPr>
          <w:lang w:val="en-US"/>
        </w:rPr>
        <w:t xml:space="preserve">the </w:t>
      </w:r>
      <w:r w:rsidR="007D1B30" w:rsidRPr="00813D19">
        <w:rPr>
          <w:lang w:val="en-US"/>
        </w:rPr>
        <w:t xml:space="preserve">visibility of </w:t>
      </w:r>
      <w:r w:rsidRPr="00813D19">
        <w:rPr>
          <w:lang w:val="en-US"/>
        </w:rPr>
        <w:t xml:space="preserve">intangible cultural heritage </w:t>
      </w:r>
      <w:r w:rsidR="00901E82" w:rsidRPr="00813D19">
        <w:rPr>
          <w:lang w:val="en-US"/>
        </w:rPr>
        <w:t xml:space="preserve">in general, explaining that the drafters had </w:t>
      </w:r>
      <w:r w:rsidR="007D1B30" w:rsidRPr="00813D19">
        <w:rPr>
          <w:lang w:val="en-US"/>
        </w:rPr>
        <w:t>worked with women, children, elders</w:t>
      </w:r>
      <w:r w:rsidR="006746A3">
        <w:rPr>
          <w:lang w:val="en-US"/>
        </w:rPr>
        <w:t xml:space="preserve"> </w:t>
      </w:r>
      <w:r w:rsidR="00901E82" w:rsidRPr="00813D19">
        <w:rPr>
          <w:lang w:val="en-US"/>
        </w:rPr>
        <w:t xml:space="preserve">and </w:t>
      </w:r>
      <w:r w:rsidR="007D1B30" w:rsidRPr="00813D19">
        <w:rPr>
          <w:lang w:val="en-US"/>
        </w:rPr>
        <w:t xml:space="preserve">all </w:t>
      </w:r>
      <w:r w:rsidR="00901E82" w:rsidRPr="00813D19">
        <w:rPr>
          <w:lang w:val="en-US"/>
        </w:rPr>
        <w:t xml:space="preserve">manner </w:t>
      </w:r>
      <w:r w:rsidR="007D1B30" w:rsidRPr="00813D19">
        <w:rPr>
          <w:lang w:val="en-US"/>
        </w:rPr>
        <w:t xml:space="preserve">of associations and bodies </w:t>
      </w:r>
      <w:r w:rsidR="00901E82" w:rsidRPr="00813D19">
        <w:rPr>
          <w:lang w:val="en-US"/>
        </w:rPr>
        <w:t xml:space="preserve">who </w:t>
      </w:r>
      <w:r w:rsidR="00692814" w:rsidRPr="00813D19">
        <w:rPr>
          <w:lang w:val="en-US"/>
        </w:rPr>
        <w:t xml:space="preserve">had participated </w:t>
      </w:r>
      <w:r w:rsidR="006746A3">
        <w:rPr>
          <w:lang w:val="en-US"/>
        </w:rPr>
        <w:t>i</w:t>
      </w:r>
      <w:r w:rsidR="00692814" w:rsidRPr="00813D19">
        <w:rPr>
          <w:lang w:val="en-US"/>
        </w:rPr>
        <w:t xml:space="preserve">n drafting the nomination file, as they </w:t>
      </w:r>
      <w:r w:rsidR="00901E82" w:rsidRPr="00813D19">
        <w:rPr>
          <w:lang w:val="en-US"/>
        </w:rPr>
        <w:t xml:space="preserve">were </w:t>
      </w:r>
      <w:r w:rsidR="00692814" w:rsidRPr="00813D19">
        <w:rPr>
          <w:lang w:val="en-US"/>
        </w:rPr>
        <w:t xml:space="preserve">all </w:t>
      </w:r>
      <w:r w:rsidR="007D1B30" w:rsidRPr="00813D19">
        <w:rPr>
          <w:lang w:val="en-US"/>
        </w:rPr>
        <w:t xml:space="preserve">naturally proud of the prospect of </w:t>
      </w:r>
      <w:r w:rsidR="00967F20" w:rsidRPr="00813D19">
        <w:rPr>
          <w:lang w:val="en-US"/>
        </w:rPr>
        <w:t>inscrip</w:t>
      </w:r>
      <w:r w:rsidR="00901E82" w:rsidRPr="00813D19">
        <w:rPr>
          <w:lang w:val="en-US"/>
        </w:rPr>
        <w:t xml:space="preserve">tion. The delegation </w:t>
      </w:r>
      <w:r w:rsidR="00692814" w:rsidRPr="00813D19">
        <w:rPr>
          <w:lang w:val="en-US"/>
        </w:rPr>
        <w:t xml:space="preserve">added </w:t>
      </w:r>
      <w:r w:rsidR="00901E82" w:rsidRPr="00813D19">
        <w:rPr>
          <w:lang w:val="en-US"/>
        </w:rPr>
        <w:t xml:space="preserve">that </w:t>
      </w:r>
      <w:r w:rsidR="007D1B30" w:rsidRPr="00813D19">
        <w:rPr>
          <w:lang w:val="en-US"/>
        </w:rPr>
        <w:t xml:space="preserve">there </w:t>
      </w:r>
      <w:r w:rsidR="00901E82" w:rsidRPr="00813D19">
        <w:rPr>
          <w:lang w:val="en-US"/>
        </w:rPr>
        <w:t xml:space="preserve">may have been </w:t>
      </w:r>
      <w:r w:rsidR="007D1B30" w:rsidRPr="00813D19">
        <w:rPr>
          <w:lang w:val="en-US"/>
        </w:rPr>
        <w:t xml:space="preserve">some confusion between </w:t>
      </w:r>
      <w:r w:rsidR="00901E82" w:rsidRPr="00813D19">
        <w:rPr>
          <w:lang w:val="en-US"/>
        </w:rPr>
        <w:t xml:space="preserve">the 2003 </w:t>
      </w:r>
      <w:r w:rsidR="007D1B30" w:rsidRPr="00813D19">
        <w:rPr>
          <w:lang w:val="en-US"/>
        </w:rPr>
        <w:t xml:space="preserve">Convention and the 1972 </w:t>
      </w:r>
      <w:r w:rsidR="00901E82" w:rsidRPr="00813D19">
        <w:rPr>
          <w:lang w:val="en-US"/>
        </w:rPr>
        <w:t xml:space="preserve">Convention, but everyone </w:t>
      </w:r>
      <w:r w:rsidR="007D1B30" w:rsidRPr="00813D19">
        <w:rPr>
          <w:lang w:val="en-US"/>
        </w:rPr>
        <w:t xml:space="preserve">working on the inscriptions </w:t>
      </w:r>
      <w:r w:rsidR="00901E82" w:rsidRPr="00813D19">
        <w:rPr>
          <w:lang w:val="en-US"/>
        </w:rPr>
        <w:t xml:space="preserve">understood </w:t>
      </w:r>
      <w:r w:rsidR="00967F20" w:rsidRPr="00813D19">
        <w:rPr>
          <w:lang w:val="en-US"/>
        </w:rPr>
        <w:t>the importance</w:t>
      </w:r>
      <w:r w:rsidR="00901E82" w:rsidRPr="00813D19">
        <w:rPr>
          <w:lang w:val="en-US"/>
        </w:rPr>
        <w:t xml:space="preserve"> </w:t>
      </w:r>
      <w:r w:rsidR="00967F20" w:rsidRPr="00813D19">
        <w:rPr>
          <w:lang w:val="en-US"/>
        </w:rPr>
        <w:t xml:space="preserve">of </w:t>
      </w:r>
      <w:r w:rsidR="00901E82" w:rsidRPr="00813D19">
        <w:rPr>
          <w:lang w:val="en-US"/>
        </w:rPr>
        <w:t>clarify</w:t>
      </w:r>
      <w:r w:rsidR="00967F20" w:rsidRPr="00813D19">
        <w:rPr>
          <w:lang w:val="en-US"/>
        </w:rPr>
        <w:t>ing</w:t>
      </w:r>
      <w:r w:rsidR="007D1B30" w:rsidRPr="00813D19">
        <w:rPr>
          <w:lang w:val="en-US"/>
        </w:rPr>
        <w:t xml:space="preserve"> why </w:t>
      </w:r>
      <w:r w:rsidR="00901E82" w:rsidRPr="00813D19">
        <w:rPr>
          <w:lang w:val="en-US"/>
        </w:rPr>
        <w:t xml:space="preserve">intangible cultural heritage </w:t>
      </w:r>
      <w:r w:rsidR="007D1B30" w:rsidRPr="00813D19">
        <w:rPr>
          <w:lang w:val="en-US"/>
        </w:rPr>
        <w:t xml:space="preserve">in general </w:t>
      </w:r>
      <w:r w:rsidR="00967F20" w:rsidRPr="00813D19">
        <w:rPr>
          <w:lang w:val="en-US"/>
        </w:rPr>
        <w:t xml:space="preserve">was </w:t>
      </w:r>
      <w:r w:rsidR="007D1B30" w:rsidRPr="00813D19">
        <w:rPr>
          <w:lang w:val="en-US"/>
        </w:rPr>
        <w:t>of great importance</w:t>
      </w:r>
      <w:r w:rsidR="00901E82" w:rsidRPr="00813D19">
        <w:rPr>
          <w:lang w:val="en-US"/>
        </w:rPr>
        <w:t xml:space="preserve">. Moreover, </w:t>
      </w:r>
      <w:r w:rsidR="007D1B30" w:rsidRPr="00813D19">
        <w:rPr>
          <w:lang w:val="en-US"/>
        </w:rPr>
        <w:t xml:space="preserve">the </w:t>
      </w:r>
      <w:r w:rsidR="00901E82" w:rsidRPr="00813D19">
        <w:rPr>
          <w:lang w:val="en-US"/>
        </w:rPr>
        <w:t xml:space="preserve">issue </w:t>
      </w:r>
      <w:r w:rsidR="00967F20" w:rsidRPr="00813D19">
        <w:rPr>
          <w:lang w:val="en-US"/>
        </w:rPr>
        <w:t xml:space="preserve">of criterion </w:t>
      </w:r>
      <w:r w:rsidR="007D1B30" w:rsidRPr="00813D19">
        <w:rPr>
          <w:lang w:val="en-US"/>
        </w:rPr>
        <w:t xml:space="preserve">R.2 </w:t>
      </w:r>
      <w:r w:rsidR="00967F20" w:rsidRPr="00813D19">
        <w:rPr>
          <w:lang w:val="en-US"/>
        </w:rPr>
        <w:t xml:space="preserve">was </w:t>
      </w:r>
      <w:r w:rsidR="007D1B30" w:rsidRPr="00813D19">
        <w:rPr>
          <w:lang w:val="en-US"/>
        </w:rPr>
        <w:t xml:space="preserve">a question of comprehension and capacity. </w:t>
      </w:r>
      <w:r w:rsidR="00967F20" w:rsidRPr="00813D19">
        <w:rPr>
          <w:lang w:val="en-US"/>
        </w:rPr>
        <w:t xml:space="preserve">It was thus </w:t>
      </w:r>
      <w:r w:rsidR="007D1B30" w:rsidRPr="00813D19">
        <w:rPr>
          <w:lang w:val="en-US"/>
        </w:rPr>
        <w:t xml:space="preserve">important to ensure that </w:t>
      </w:r>
      <w:r w:rsidR="00967F20" w:rsidRPr="00813D19">
        <w:rPr>
          <w:lang w:val="en-US"/>
        </w:rPr>
        <w:t>everyone understood</w:t>
      </w:r>
      <w:r w:rsidR="007D1B30" w:rsidRPr="00813D19">
        <w:rPr>
          <w:lang w:val="en-US"/>
        </w:rPr>
        <w:t xml:space="preserve"> </w:t>
      </w:r>
      <w:r w:rsidR="00692814" w:rsidRPr="00813D19">
        <w:rPr>
          <w:lang w:val="en-US"/>
        </w:rPr>
        <w:t>the purpose of R.2</w:t>
      </w:r>
      <w:r w:rsidR="00045DA6" w:rsidRPr="00813D19">
        <w:rPr>
          <w:lang w:val="en-US"/>
        </w:rPr>
        <w:t>,</w:t>
      </w:r>
      <w:r w:rsidR="00692814" w:rsidRPr="00813D19">
        <w:rPr>
          <w:lang w:val="en-US"/>
        </w:rPr>
        <w:t xml:space="preserve"> af</w:t>
      </w:r>
      <w:r w:rsidR="00967F20" w:rsidRPr="00813D19">
        <w:rPr>
          <w:lang w:val="en-US"/>
        </w:rPr>
        <w:t>t</w:t>
      </w:r>
      <w:r w:rsidR="00692814" w:rsidRPr="00813D19">
        <w:rPr>
          <w:lang w:val="en-US"/>
        </w:rPr>
        <w:t>e</w:t>
      </w:r>
      <w:r w:rsidR="00967F20" w:rsidRPr="00813D19">
        <w:rPr>
          <w:lang w:val="en-US"/>
        </w:rPr>
        <w:t xml:space="preserve">r which it </w:t>
      </w:r>
      <w:r w:rsidR="007D1B30" w:rsidRPr="00813D19">
        <w:rPr>
          <w:lang w:val="en-US"/>
        </w:rPr>
        <w:t>w</w:t>
      </w:r>
      <w:r w:rsidR="006746A3">
        <w:rPr>
          <w:lang w:val="en-US"/>
        </w:rPr>
        <w:t>ould</w:t>
      </w:r>
      <w:r w:rsidR="007D1B30" w:rsidRPr="00813D19">
        <w:rPr>
          <w:lang w:val="en-US"/>
        </w:rPr>
        <w:t xml:space="preserve"> </w:t>
      </w:r>
      <w:r w:rsidR="00967F20" w:rsidRPr="00813D19">
        <w:rPr>
          <w:lang w:val="en-US"/>
        </w:rPr>
        <w:t xml:space="preserve">be easier </w:t>
      </w:r>
      <w:r w:rsidR="006746A3">
        <w:rPr>
          <w:lang w:val="en-US"/>
        </w:rPr>
        <w:t xml:space="preserve">to </w:t>
      </w:r>
      <w:r w:rsidR="007D1B30" w:rsidRPr="00813D19">
        <w:rPr>
          <w:lang w:val="en-US"/>
        </w:rPr>
        <w:t xml:space="preserve">come up with better proposals </w:t>
      </w:r>
      <w:r w:rsidR="00967F20" w:rsidRPr="00813D19">
        <w:rPr>
          <w:lang w:val="en-US"/>
        </w:rPr>
        <w:t xml:space="preserve">that </w:t>
      </w:r>
      <w:r w:rsidR="007D1B30" w:rsidRPr="00813D19">
        <w:rPr>
          <w:lang w:val="en-US"/>
        </w:rPr>
        <w:t xml:space="preserve">comply with R.2 in the future. </w:t>
      </w:r>
      <w:r w:rsidR="00967F20" w:rsidRPr="00813D19">
        <w:rPr>
          <w:lang w:val="en-US"/>
        </w:rPr>
        <w:t>Nevertheless, the pride of these practis</w:t>
      </w:r>
      <w:r w:rsidR="007D1B30" w:rsidRPr="00813D19">
        <w:rPr>
          <w:lang w:val="en-US"/>
        </w:rPr>
        <w:t xml:space="preserve">ing communities </w:t>
      </w:r>
      <w:r w:rsidR="00692814" w:rsidRPr="00813D19">
        <w:rPr>
          <w:lang w:val="en-US"/>
        </w:rPr>
        <w:t>meant that they used words such as ‘unique’</w:t>
      </w:r>
      <w:r w:rsidR="007D2F04" w:rsidRPr="00813D19">
        <w:rPr>
          <w:lang w:val="en-US"/>
        </w:rPr>
        <w:t xml:space="preserve">, </w:t>
      </w:r>
      <w:r w:rsidR="00692814" w:rsidRPr="00813D19">
        <w:rPr>
          <w:lang w:val="en-US"/>
        </w:rPr>
        <w:t xml:space="preserve">‘exclusive’ </w:t>
      </w:r>
      <w:r w:rsidR="007D2F04" w:rsidRPr="00813D19">
        <w:rPr>
          <w:lang w:val="en-US"/>
        </w:rPr>
        <w:t xml:space="preserve">and ‘exceptional’ </w:t>
      </w:r>
      <w:r w:rsidR="00692814" w:rsidRPr="00813D19">
        <w:rPr>
          <w:lang w:val="en-US"/>
        </w:rPr>
        <w:t xml:space="preserve">to describe </w:t>
      </w:r>
      <w:r w:rsidR="007D1B30" w:rsidRPr="00813D19">
        <w:rPr>
          <w:lang w:val="en-US"/>
        </w:rPr>
        <w:t xml:space="preserve">the unique nature of </w:t>
      </w:r>
      <w:r w:rsidR="00967F20" w:rsidRPr="00813D19">
        <w:rPr>
          <w:lang w:val="en-US"/>
        </w:rPr>
        <w:t>their intangible cultural heritage</w:t>
      </w:r>
      <w:r w:rsidR="00692814" w:rsidRPr="00813D19">
        <w:rPr>
          <w:lang w:val="en-US"/>
        </w:rPr>
        <w:t xml:space="preserve">, which </w:t>
      </w:r>
      <w:r w:rsidR="00967F20" w:rsidRPr="00813D19">
        <w:rPr>
          <w:lang w:val="en-US"/>
        </w:rPr>
        <w:t xml:space="preserve">was </w:t>
      </w:r>
      <w:r w:rsidR="00692814" w:rsidRPr="00813D19">
        <w:rPr>
          <w:lang w:val="en-US"/>
        </w:rPr>
        <w:t xml:space="preserve">perfectly understandable. The communities </w:t>
      </w:r>
      <w:r w:rsidR="007D2F04" w:rsidRPr="00813D19">
        <w:rPr>
          <w:lang w:val="en-US"/>
        </w:rPr>
        <w:t xml:space="preserve">could indeed be asked to express their culture in a different way, but they </w:t>
      </w:r>
      <w:r w:rsidR="00967F20" w:rsidRPr="00813D19">
        <w:rPr>
          <w:lang w:val="en-US"/>
        </w:rPr>
        <w:t xml:space="preserve">should not be </w:t>
      </w:r>
      <w:r w:rsidR="00692814" w:rsidRPr="00813D19">
        <w:rPr>
          <w:lang w:val="en-US"/>
        </w:rPr>
        <w:t xml:space="preserve">denied pride in their element because they are unable to interpret the language </w:t>
      </w:r>
      <w:r w:rsidR="007D2F04" w:rsidRPr="00813D19">
        <w:rPr>
          <w:lang w:val="en-US"/>
        </w:rPr>
        <w:t xml:space="preserve">required to explain </w:t>
      </w:r>
      <w:r w:rsidR="00E1668B" w:rsidRPr="00813D19">
        <w:rPr>
          <w:lang w:val="en-US"/>
        </w:rPr>
        <w:t xml:space="preserve">how the element would </w:t>
      </w:r>
      <w:r w:rsidR="007D2F04" w:rsidRPr="00813D19">
        <w:rPr>
          <w:lang w:val="en-US"/>
        </w:rPr>
        <w:t xml:space="preserve">increase </w:t>
      </w:r>
      <w:r w:rsidR="00E1668B" w:rsidRPr="00813D19">
        <w:rPr>
          <w:lang w:val="en-US"/>
        </w:rPr>
        <w:t xml:space="preserve">the </w:t>
      </w:r>
      <w:r w:rsidR="007D1B30" w:rsidRPr="00813D19">
        <w:rPr>
          <w:lang w:val="en-US"/>
        </w:rPr>
        <w:t xml:space="preserve">visibility of </w:t>
      </w:r>
      <w:r w:rsidR="00967F20" w:rsidRPr="00813D19">
        <w:rPr>
          <w:lang w:val="en-US"/>
        </w:rPr>
        <w:t xml:space="preserve">intangible cultural heritage </w:t>
      </w:r>
      <w:r w:rsidR="007D1B30" w:rsidRPr="00813D19">
        <w:rPr>
          <w:lang w:val="en-US"/>
        </w:rPr>
        <w:t xml:space="preserve">in general. </w:t>
      </w:r>
      <w:r w:rsidR="00967F20" w:rsidRPr="00813D19">
        <w:rPr>
          <w:lang w:val="en-US"/>
        </w:rPr>
        <w:t xml:space="preserve">The Committee should therefore </w:t>
      </w:r>
      <w:r w:rsidR="007D1B30" w:rsidRPr="00813D19">
        <w:rPr>
          <w:lang w:val="en-US"/>
        </w:rPr>
        <w:t xml:space="preserve">bear in mind the </w:t>
      </w:r>
      <w:r w:rsidR="00967F20" w:rsidRPr="00813D19">
        <w:rPr>
          <w:lang w:val="en-US"/>
        </w:rPr>
        <w:t xml:space="preserve">community’s </w:t>
      </w:r>
      <w:r w:rsidR="007D1B30" w:rsidRPr="00813D19">
        <w:rPr>
          <w:lang w:val="en-US"/>
        </w:rPr>
        <w:t xml:space="preserve">perspective. </w:t>
      </w:r>
      <w:r w:rsidR="00967F20" w:rsidRPr="00813D19">
        <w:rPr>
          <w:lang w:val="en-US"/>
        </w:rPr>
        <w:t xml:space="preserve">With regard to the </w:t>
      </w:r>
      <w:r w:rsidR="007D1B30" w:rsidRPr="00813D19">
        <w:rPr>
          <w:lang w:val="en-US"/>
        </w:rPr>
        <w:t xml:space="preserve">other issues raised, </w:t>
      </w:r>
      <w:r w:rsidR="007D2F04" w:rsidRPr="00813D19">
        <w:rPr>
          <w:lang w:val="en-US"/>
        </w:rPr>
        <w:t>the delegation further explained that the inscription of Chamamé in the inventory allowed other elements to be inscribed</w:t>
      </w:r>
      <w:r w:rsidR="002E4897" w:rsidRPr="00813D19">
        <w:rPr>
          <w:lang w:val="en-US"/>
        </w:rPr>
        <w:t xml:space="preserve">, which in turn enabled </w:t>
      </w:r>
      <w:r w:rsidR="007D1B30" w:rsidRPr="00813D19">
        <w:rPr>
          <w:lang w:val="en-US"/>
        </w:rPr>
        <w:t xml:space="preserve">the communities </w:t>
      </w:r>
      <w:r w:rsidR="007D2F04" w:rsidRPr="00813D19">
        <w:rPr>
          <w:lang w:val="en-US"/>
        </w:rPr>
        <w:t xml:space="preserve">to participate, engage and </w:t>
      </w:r>
      <w:r w:rsidR="007D1B30" w:rsidRPr="00813D19">
        <w:rPr>
          <w:lang w:val="en-US"/>
        </w:rPr>
        <w:t xml:space="preserve">learn more about </w:t>
      </w:r>
      <w:r w:rsidR="007D2F04" w:rsidRPr="00813D19">
        <w:rPr>
          <w:lang w:val="en-US"/>
        </w:rPr>
        <w:t xml:space="preserve">intangible cultural heritage in general. The delegation conceded that the procedure could be improved upon and it was </w:t>
      </w:r>
      <w:r w:rsidR="007D1B30" w:rsidRPr="00813D19">
        <w:rPr>
          <w:lang w:val="en-US"/>
        </w:rPr>
        <w:t xml:space="preserve">perfectly </w:t>
      </w:r>
      <w:r w:rsidR="007D2F04" w:rsidRPr="00813D19">
        <w:rPr>
          <w:lang w:val="en-US"/>
        </w:rPr>
        <w:t xml:space="preserve">willing </w:t>
      </w:r>
      <w:r w:rsidR="007D1B30" w:rsidRPr="00813D19">
        <w:rPr>
          <w:lang w:val="en-US"/>
        </w:rPr>
        <w:t xml:space="preserve">to demonstrate the results stemming from the </w:t>
      </w:r>
      <w:r w:rsidR="007D2F04" w:rsidRPr="00813D19">
        <w:rPr>
          <w:lang w:val="en-US"/>
        </w:rPr>
        <w:t xml:space="preserve">criteria and </w:t>
      </w:r>
      <w:r w:rsidR="007D1B30" w:rsidRPr="00813D19">
        <w:rPr>
          <w:lang w:val="en-US"/>
        </w:rPr>
        <w:t xml:space="preserve">inscription </w:t>
      </w:r>
      <w:r w:rsidR="002E4897" w:rsidRPr="00813D19">
        <w:rPr>
          <w:lang w:val="en-US"/>
        </w:rPr>
        <w:t xml:space="preserve">in the periodic reports, which would also demonstrate the </w:t>
      </w:r>
      <w:r w:rsidR="007D1B30" w:rsidRPr="00813D19">
        <w:rPr>
          <w:lang w:val="en-US"/>
        </w:rPr>
        <w:t>pride of the communities</w:t>
      </w:r>
      <w:r w:rsidR="006746A3">
        <w:rPr>
          <w:lang w:val="en-US"/>
        </w:rPr>
        <w:t>,</w:t>
      </w:r>
      <w:r w:rsidR="002E4897" w:rsidRPr="00813D19">
        <w:rPr>
          <w:lang w:val="en-US"/>
        </w:rPr>
        <w:t xml:space="preserve"> </w:t>
      </w:r>
      <w:r w:rsidR="006746A3">
        <w:rPr>
          <w:lang w:val="en-US"/>
        </w:rPr>
        <w:t>which</w:t>
      </w:r>
      <w:r w:rsidR="006746A3" w:rsidRPr="00813D19">
        <w:rPr>
          <w:lang w:val="en-US"/>
        </w:rPr>
        <w:t xml:space="preserve"> </w:t>
      </w:r>
      <w:r w:rsidR="002E4897" w:rsidRPr="00813D19">
        <w:rPr>
          <w:lang w:val="en-US"/>
        </w:rPr>
        <w:t>should also be taken into consideration</w:t>
      </w:r>
      <w:r w:rsidR="007D1B30" w:rsidRPr="00813D19">
        <w:rPr>
          <w:lang w:val="en-US"/>
        </w:rPr>
        <w:t xml:space="preserve">. </w:t>
      </w:r>
      <w:r w:rsidR="002E4897" w:rsidRPr="00813D19">
        <w:rPr>
          <w:lang w:val="en-US"/>
        </w:rPr>
        <w:t>Moreover, UNESCO need</w:t>
      </w:r>
      <w:r w:rsidR="003F35A2">
        <w:rPr>
          <w:lang w:val="en-US"/>
        </w:rPr>
        <w:t>ed</w:t>
      </w:r>
      <w:r w:rsidR="007D1B30" w:rsidRPr="00813D19">
        <w:rPr>
          <w:lang w:val="en-US"/>
        </w:rPr>
        <w:t xml:space="preserve"> to </w:t>
      </w:r>
      <w:r w:rsidR="002E4897" w:rsidRPr="00813D19">
        <w:rPr>
          <w:lang w:val="en-US"/>
        </w:rPr>
        <w:t xml:space="preserve">approach the communities more closely, just as </w:t>
      </w:r>
      <w:r w:rsidR="007D1B30" w:rsidRPr="00813D19">
        <w:rPr>
          <w:lang w:val="en-US"/>
        </w:rPr>
        <w:t xml:space="preserve">the </w:t>
      </w:r>
      <w:r w:rsidR="002E4897" w:rsidRPr="00813D19">
        <w:rPr>
          <w:lang w:val="en-US"/>
        </w:rPr>
        <w:t xml:space="preserve">communities </w:t>
      </w:r>
      <w:r w:rsidR="007D1B30" w:rsidRPr="00813D19">
        <w:rPr>
          <w:lang w:val="en-US"/>
        </w:rPr>
        <w:t>need</w:t>
      </w:r>
      <w:r w:rsidR="003F35A2">
        <w:rPr>
          <w:lang w:val="en-US"/>
        </w:rPr>
        <w:t>ed</w:t>
      </w:r>
      <w:r w:rsidR="007D1B30" w:rsidRPr="00813D19">
        <w:rPr>
          <w:lang w:val="en-US"/>
        </w:rPr>
        <w:t xml:space="preserve"> to </w:t>
      </w:r>
      <w:r w:rsidR="002E4897" w:rsidRPr="00813D19">
        <w:rPr>
          <w:lang w:val="en-US"/>
        </w:rPr>
        <w:t xml:space="preserve">approach </w:t>
      </w:r>
      <w:r w:rsidR="007D1B30" w:rsidRPr="00813D19">
        <w:rPr>
          <w:lang w:val="en-US"/>
        </w:rPr>
        <w:t>UNESCO and the Convention</w:t>
      </w:r>
      <w:r w:rsidR="002E4897" w:rsidRPr="00813D19">
        <w:rPr>
          <w:lang w:val="en-US"/>
        </w:rPr>
        <w:t xml:space="preserve"> in the case of inscription. Nevertheless, there should be respect for their </w:t>
      </w:r>
      <w:r w:rsidR="007D1B30" w:rsidRPr="00813D19">
        <w:rPr>
          <w:lang w:val="en-US"/>
        </w:rPr>
        <w:t xml:space="preserve">culture </w:t>
      </w:r>
      <w:r w:rsidR="002E4897" w:rsidRPr="00813D19">
        <w:rPr>
          <w:lang w:val="en-US"/>
        </w:rPr>
        <w:t xml:space="preserve">by not </w:t>
      </w:r>
      <w:r w:rsidR="007D1B30" w:rsidRPr="00813D19">
        <w:rPr>
          <w:lang w:val="en-US"/>
        </w:rPr>
        <w:t>focus</w:t>
      </w:r>
      <w:r w:rsidR="002E4897" w:rsidRPr="00813D19">
        <w:rPr>
          <w:lang w:val="en-US"/>
        </w:rPr>
        <w:t>ing</w:t>
      </w:r>
      <w:r w:rsidR="007D1B30" w:rsidRPr="00813D19">
        <w:rPr>
          <w:lang w:val="en-US"/>
        </w:rPr>
        <w:t xml:space="preserve"> on </w:t>
      </w:r>
      <w:r w:rsidR="002E4897" w:rsidRPr="00813D19">
        <w:rPr>
          <w:lang w:val="en-US"/>
        </w:rPr>
        <w:t xml:space="preserve">asking for the impossible and </w:t>
      </w:r>
      <w:r w:rsidR="008A2774" w:rsidRPr="00813D19">
        <w:rPr>
          <w:lang w:val="en-US"/>
        </w:rPr>
        <w:t>reproaching</w:t>
      </w:r>
      <w:r w:rsidR="007D1B30" w:rsidRPr="00813D19">
        <w:rPr>
          <w:lang w:val="en-US"/>
        </w:rPr>
        <w:t xml:space="preserve"> </w:t>
      </w:r>
      <w:r w:rsidR="002E4897" w:rsidRPr="00813D19">
        <w:rPr>
          <w:lang w:val="en-US"/>
        </w:rPr>
        <w:t xml:space="preserve">the communities </w:t>
      </w:r>
      <w:r w:rsidR="007D1B30" w:rsidRPr="00813D19">
        <w:rPr>
          <w:lang w:val="en-US"/>
        </w:rPr>
        <w:t xml:space="preserve">for </w:t>
      </w:r>
      <w:r w:rsidR="002E4897" w:rsidRPr="00813D19">
        <w:rPr>
          <w:lang w:val="en-US"/>
        </w:rPr>
        <w:t xml:space="preserve">their </w:t>
      </w:r>
      <w:r w:rsidR="007D1B30" w:rsidRPr="00813D19">
        <w:rPr>
          <w:lang w:val="en-US"/>
        </w:rPr>
        <w:t>shortcomings</w:t>
      </w:r>
      <w:r w:rsidR="002E4897" w:rsidRPr="00813D19">
        <w:rPr>
          <w:lang w:val="en-US"/>
        </w:rPr>
        <w:t xml:space="preserve">. Instead, they should be </w:t>
      </w:r>
      <w:r w:rsidR="007D1B30" w:rsidRPr="00813D19">
        <w:rPr>
          <w:lang w:val="en-US"/>
        </w:rPr>
        <w:t>give</w:t>
      </w:r>
      <w:r w:rsidR="002E4897" w:rsidRPr="00813D19">
        <w:rPr>
          <w:lang w:val="en-US"/>
        </w:rPr>
        <w:t>n</w:t>
      </w:r>
      <w:r w:rsidR="007D1B30" w:rsidRPr="00813D19">
        <w:rPr>
          <w:lang w:val="en-US"/>
        </w:rPr>
        <w:t xml:space="preserve"> </w:t>
      </w:r>
      <w:r w:rsidR="002E4897" w:rsidRPr="00813D19">
        <w:rPr>
          <w:lang w:val="en-US"/>
        </w:rPr>
        <w:t xml:space="preserve">the </w:t>
      </w:r>
      <w:r w:rsidR="007D1B30" w:rsidRPr="00813D19">
        <w:rPr>
          <w:lang w:val="en-US"/>
        </w:rPr>
        <w:t xml:space="preserve">opportunity </w:t>
      </w:r>
      <w:r w:rsidR="002E4897" w:rsidRPr="00813D19">
        <w:rPr>
          <w:lang w:val="en-US"/>
        </w:rPr>
        <w:t xml:space="preserve">to inscribe </w:t>
      </w:r>
      <w:r w:rsidR="007D1B30" w:rsidRPr="00813D19">
        <w:rPr>
          <w:lang w:val="en-US"/>
        </w:rPr>
        <w:t>these practices</w:t>
      </w:r>
      <w:r w:rsidR="003F35A2">
        <w:rPr>
          <w:lang w:val="en-US"/>
        </w:rPr>
        <w:t>,</w:t>
      </w:r>
      <w:r w:rsidR="007D1B30" w:rsidRPr="00813D19">
        <w:rPr>
          <w:lang w:val="en-US"/>
        </w:rPr>
        <w:t xml:space="preserve"> </w:t>
      </w:r>
      <w:r w:rsidR="003F35A2">
        <w:rPr>
          <w:lang w:val="en-US"/>
        </w:rPr>
        <w:t>which</w:t>
      </w:r>
      <w:r w:rsidR="003F35A2" w:rsidRPr="00813D19">
        <w:rPr>
          <w:lang w:val="en-US"/>
        </w:rPr>
        <w:t xml:space="preserve"> </w:t>
      </w:r>
      <w:r w:rsidR="008A2774" w:rsidRPr="00813D19">
        <w:rPr>
          <w:lang w:val="en-US"/>
        </w:rPr>
        <w:t xml:space="preserve">are </w:t>
      </w:r>
      <w:r w:rsidR="007D1B30" w:rsidRPr="00813D19">
        <w:rPr>
          <w:lang w:val="en-US"/>
        </w:rPr>
        <w:t xml:space="preserve">important for </w:t>
      </w:r>
      <w:r w:rsidR="002E4897" w:rsidRPr="00813D19">
        <w:rPr>
          <w:lang w:val="en-US"/>
        </w:rPr>
        <w:t xml:space="preserve">the </w:t>
      </w:r>
      <w:r w:rsidR="007D1B30" w:rsidRPr="00813D19">
        <w:rPr>
          <w:lang w:val="en-US"/>
        </w:rPr>
        <w:t xml:space="preserve">country, the communities </w:t>
      </w:r>
      <w:r w:rsidR="008A2774" w:rsidRPr="00813D19">
        <w:rPr>
          <w:lang w:val="en-US"/>
        </w:rPr>
        <w:t xml:space="preserve">concerned </w:t>
      </w:r>
      <w:r w:rsidR="007D1B30" w:rsidRPr="00813D19">
        <w:rPr>
          <w:lang w:val="en-US"/>
        </w:rPr>
        <w:t xml:space="preserve">and for the </w:t>
      </w:r>
      <w:r w:rsidR="002E4897" w:rsidRPr="00813D19">
        <w:rPr>
          <w:lang w:val="en-US"/>
        </w:rPr>
        <w:t xml:space="preserve">region </w:t>
      </w:r>
      <w:r w:rsidR="007D1B30" w:rsidRPr="00813D19">
        <w:rPr>
          <w:lang w:val="en-US"/>
        </w:rPr>
        <w:t xml:space="preserve">more widely. </w:t>
      </w:r>
      <w:r w:rsidR="002E4897" w:rsidRPr="00813D19">
        <w:rPr>
          <w:lang w:val="en-US"/>
        </w:rPr>
        <w:t xml:space="preserve">It would serve to unite the communities </w:t>
      </w:r>
      <w:r w:rsidR="008A2774" w:rsidRPr="00813D19">
        <w:rPr>
          <w:lang w:val="en-US"/>
        </w:rPr>
        <w:t>throughout Argentina</w:t>
      </w:r>
      <w:r w:rsidR="002E4897" w:rsidRPr="00813D19">
        <w:rPr>
          <w:lang w:val="en-US"/>
        </w:rPr>
        <w:t xml:space="preserve">, as well as the communities </w:t>
      </w:r>
      <w:r w:rsidR="008A2774" w:rsidRPr="00813D19">
        <w:rPr>
          <w:lang w:val="en-US"/>
        </w:rPr>
        <w:t>that immigrated to o</w:t>
      </w:r>
      <w:r w:rsidR="002E4897" w:rsidRPr="00813D19">
        <w:rPr>
          <w:lang w:val="en-US"/>
        </w:rPr>
        <w:t xml:space="preserve">ther parts of South America. </w:t>
      </w:r>
      <w:r w:rsidR="007D1B30" w:rsidRPr="00813D19">
        <w:rPr>
          <w:lang w:val="en-US"/>
        </w:rPr>
        <w:t xml:space="preserve">As concerns </w:t>
      </w:r>
      <w:r w:rsidR="008A2774" w:rsidRPr="00813D19">
        <w:rPr>
          <w:lang w:val="en-US"/>
        </w:rPr>
        <w:t xml:space="preserve">criterion </w:t>
      </w:r>
      <w:r w:rsidR="007D1B30" w:rsidRPr="00813D19">
        <w:rPr>
          <w:lang w:val="en-US"/>
        </w:rPr>
        <w:t xml:space="preserve">R.4, </w:t>
      </w:r>
      <w:r w:rsidR="008A2774" w:rsidRPr="00813D19">
        <w:rPr>
          <w:lang w:val="en-US"/>
        </w:rPr>
        <w:t xml:space="preserve">it was noted that the nomination file had focused on providing consent from a small number of </w:t>
      </w:r>
      <w:r w:rsidR="007D1B30" w:rsidRPr="00813D19">
        <w:rPr>
          <w:lang w:val="en-US"/>
        </w:rPr>
        <w:t>individual</w:t>
      </w:r>
      <w:r w:rsidR="008A2774" w:rsidRPr="00813D19">
        <w:rPr>
          <w:lang w:val="en-US"/>
        </w:rPr>
        <w:t xml:space="preserve">s. The delegation explained that the form was very limited in space and </w:t>
      </w:r>
      <w:r w:rsidR="007D1B30" w:rsidRPr="00813D19">
        <w:rPr>
          <w:lang w:val="en-US"/>
        </w:rPr>
        <w:t>scope</w:t>
      </w:r>
      <w:r w:rsidR="00782CD2">
        <w:rPr>
          <w:lang w:val="en-US"/>
        </w:rPr>
        <w:t>,</w:t>
      </w:r>
      <w:r w:rsidR="007D1B30" w:rsidRPr="00813D19">
        <w:rPr>
          <w:lang w:val="en-US"/>
        </w:rPr>
        <w:t xml:space="preserve"> </w:t>
      </w:r>
      <w:r w:rsidR="008A2774" w:rsidRPr="00813D19">
        <w:rPr>
          <w:lang w:val="en-US"/>
        </w:rPr>
        <w:t>with very few instructions on what was required</w:t>
      </w:r>
      <w:r w:rsidR="007D1B30" w:rsidRPr="00813D19">
        <w:rPr>
          <w:lang w:val="en-US"/>
        </w:rPr>
        <w:t>.</w:t>
      </w:r>
    </w:p>
    <w:p w14:paraId="5238F726" w14:textId="71240FE3" w:rsidR="00515B14" w:rsidRPr="00813D19" w:rsidRDefault="00402BA3"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Noting the time, t</w:t>
      </w:r>
      <w:r w:rsidR="00515B14" w:rsidRPr="00813D19">
        <w:rPr>
          <w:rFonts w:eastAsia="Calibri"/>
          <w:color w:val="000000" w:themeColor="text1"/>
          <w:lang w:val="en-US"/>
        </w:rPr>
        <w:t>he</w:t>
      </w:r>
      <w:r w:rsidR="00515B14" w:rsidRPr="00813D19">
        <w:rPr>
          <w:rFonts w:eastAsia="Calibri"/>
          <w:b/>
          <w:color w:val="000000" w:themeColor="text1"/>
          <w:lang w:val="en-US"/>
        </w:rPr>
        <w:t xml:space="preserve"> Chairperson </w:t>
      </w:r>
      <w:r w:rsidR="003C00CD" w:rsidRPr="00813D19">
        <w:rPr>
          <w:bCs/>
          <w:lang w:val="en-US"/>
        </w:rPr>
        <w:t>remind</w:t>
      </w:r>
      <w:r w:rsidRPr="00813D19">
        <w:rPr>
          <w:bCs/>
          <w:lang w:val="en-US"/>
        </w:rPr>
        <w:t xml:space="preserve">ed Argentina </w:t>
      </w:r>
      <w:r w:rsidR="00D31AD8" w:rsidRPr="00813D19">
        <w:rPr>
          <w:bCs/>
          <w:lang w:val="en-US"/>
        </w:rPr>
        <w:t>of</w:t>
      </w:r>
      <w:r w:rsidRPr="00813D19">
        <w:rPr>
          <w:bCs/>
          <w:lang w:val="en-US"/>
        </w:rPr>
        <w:t xml:space="preserve"> </w:t>
      </w:r>
      <w:r w:rsidR="00D31AD8" w:rsidRPr="00813D19">
        <w:rPr>
          <w:bCs/>
          <w:lang w:val="en-US"/>
        </w:rPr>
        <w:t xml:space="preserve">Rule 22.4 that </w:t>
      </w:r>
      <w:r w:rsidRPr="00813D19">
        <w:rPr>
          <w:bCs/>
          <w:lang w:val="en-US"/>
        </w:rPr>
        <w:t xml:space="preserve">only </w:t>
      </w:r>
      <w:r w:rsidR="003C00CD" w:rsidRPr="00813D19">
        <w:rPr>
          <w:bCs/>
          <w:lang w:val="en-US"/>
        </w:rPr>
        <w:t xml:space="preserve">information to the questions raised by Committee Members </w:t>
      </w:r>
      <w:r w:rsidRPr="00813D19">
        <w:rPr>
          <w:bCs/>
          <w:lang w:val="en-US"/>
        </w:rPr>
        <w:t xml:space="preserve">should be provided, asking the delegation to remain </w:t>
      </w:r>
      <w:r w:rsidR="003C00CD" w:rsidRPr="00813D19">
        <w:rPr>
          <w:bCs/>
          <w:lang w:val="en-US"/>
        </w:rPr>
        <w:t xml:space="preserve">precise </w:t>
      </w:r>
      <w:r w:rsidRPr="00813D19">
        <w:rPr>
          <w:bCs/>
          <w:lang w:val="en-US"/>
        </w:rPr>
        <w:t>on the explanation under R</w:t>
      </w:r>
      <w:r w:rsidR="00E41386">
        <w:rPr>
          <w:bCs/>
          <w:lang w:val="en-US"/>
        </w:rPr>
        <w:t>.4.</w:t>
      </w:r>
    </w:p>
    <w:p w14:paraId="2A52E96B" w14:textId="0E7760CC" w:rsidR="005A5615" w:rsidRPr="00813D19" w:rsidRDefault="003C00CD" w:rsidP="008A2774">
      <w:pPr>
        <w:pStyle w:val="Orateurengris"/>
        <w:spacing w:before="120"/>
        <w:ind w:left="709" w:hanging="709"/>
        <w:rPr>
          <w:rFonts w:eastAsia="Calibri"/>
          <w:color w:val="000000" w:themeColor="text1"/>
          <w:lang w:val="en-US"/>
        </w:rPr>
      </w:pPr>
      <w:r w:rsidRPr="00813D19">
        <w:rPr>
          <w:bCs/>
          <w:lang w:val="en-US"/>
        </w:rPr>
        <w:t xml:space="preserve">The </w:t>
      </w:r>
      <w:r w:rsidRPr="00813D19">
        <w:rPr>
          <w:b/>
          <w:bCs/>
          <w:lang w:val="en-US"/>
        </w:rPr>
        <w:t xml:space="preserve">delegation of Argentina </w:t>
      </w:r>
      <w:r w:rsidR="008A2774" w:rsidRPr="00813D19">
        <w:rPr>
          <w:bCs/>
          <w:lang w:val="en-US"/>
        </w:rPr>
        <w:t>remarked that</w:t>
      </w:r>
      <w:r w:rsidR="008A2774" w:rsidRPr="00813D19">
        <w:rPr>
          <w:b/>
          <w:bCs/>
          <w:lang w:val="en-US"/>
        </w:rPr>
        <w:t xml:space="preserve"> </w:t>
      </w:r>
      <w:r w:rsidR="008A2774" w:rsidRPr="00813D19">
        <w:rPr>
          <w:bCs/>
          <w:lang w:val="en-US"/>
        </w:rPr>
        <w:t xml:space="preserve">it had been asked to explain </w:t>
      </w:r>
      <w:r w:rsidRPr="00813D19">
        <w:rPr>
          <w:bCs/>
          <w:lang w:val="en-US"/>
        </w:rPr>
        <w:t>different aspects of the Convention</w:t>
      </w:r>
      <w:r w:rsidR="005E100D">
        <w:rPr>
          <w:bCs/>
          <w:lang w:val="en-US"/>
        </w:rPr>
        <w:t>,</w:t>
      </w:r>
      <w:r w:rsidRPr="00813D19">
        <w:rPr>
          <w:bCs/>
          <w:lang w:val="en-US"/>
        </w:rPr>
        <w:t xml:space="preserve"> </w:t>
      </w:r>
      <w:r w:rsidR="008A2774" w:rsidRPr="00813D19">
        <w:rPr>
          <w:bCs/>
          <w:lang w:val="en-US"/>
        </w:rPr>
        <w:t xml:space="preserve">hence its detailed explanations, but it was ready to respond </w:t>
      </w:r>
      <w:r w:rsidRPr="00813D19">
        <w:rPr>
          <w:bCs/>
          <w:lang w:val="en-US"/>
        </w:rPr>
        <w:t xml:space="preserve">more </w:t>
      </w:r>
      <w:r w:rsidR="008A2774" w:rsidRPr="00813D19">
        <w:rPr>
          <w:bCs/>
          <w:lang w:val="en-US"/>
        </w:rPr>
        <w:t xml:space="preserve">specifically to the </w:t>
      </w:r>
      <w:r w:rsidRPr="00813D19">
        <w:rPr>
          <w:bCs/>
          <w:lang w:val="en-US"/>
        </w:rPr>
        <w:t>questions</w:t>
      </w:r>
      <w:r w:rsidR="008A2774" w:rsidRPr="00813D19">
        <w:rPr>
          <w:bCs/>
          <w:lang w:val="en-US"/>
        </w:rPr>
        <w:t xml:space="preserve"> raised</w:t>
      </w:r>
      <w:r w:rsidRPr="00813D19">
        <w:rPr>
          <w:bCs/>
          <w:lang w:val="en-US"/>
        </w:rPr>
        <w:t xml:space="preserve">. </w:t>
      </w:r>
      <w:r w:rsidR="008A2774" w:rsidRPr="00813D19">
        <w:rPr>
          <w:bCs/>
          <w:lang w:val="en-US"/>
        </w:rPr>
        <w:t xml:space="preserve">The delegation referred to </w:t>
      </w:r>
      <w:r w:rsidRPr="00813D19">
        <w:rPr>
          <w:bCs/>
          <w:lang w:val="en-US"/>
        </w:rPr>
        <w:t xml:space="preserve">the dedicated webpage </w:t>
      </w:r>
      <w:r w:rsidR="008A2774" w:rsidRPr="00813D19">
        <w:rPr>
          <w:bCs/>
          <w:lang w:val="en-US"/>
        </w:rPr>
        <w:t xml:space="preserve">on Chamamé </w:t>
      </w:r>
      <w:r w:rsidRPr="00813D19">
        <w:rPr>
          <w:bCs/>
          <w:lang w:val="en-US"/>
        </w:rPr>
        <w:t xml:space="preserve">where </w:t>
      </w:r>
      <w:r w:rsidR="008A2774" w:rsidRPr="00813D19">
        <w:rPr>
          <w:bCs/>
          <w:lang w:val="en-US"/>
        </w:rPr>
        <w:t xml:space="preserve">the </w:t>
      </w:r>
      <w:r w:rsidRPr="00813D19">
        <w:rPr>
          <w:bCs/>
          <w:lang w:val="en-US"/>
        </w:rPr>
        <w:t xml:space="preserve">very broad participation </w:t>
      </w:r>
      <w:r w:rsidR="008A2774" w:rsidRPr="00813D19">
        <w:rPr>
          <w:bCs/>
          <w:lang w:val="en-US"/>
        </w:rPr>
        <w:t xml:space="preserve">of </w:t>
      </w:r>
      <w:r w:rsidRPr="00813D19">
        <w:rPr>
          <w:bCs/>
          <w:lang w:val="en-US"/>
        </w:rPr>
        <w:t xml:space="preserve">these communities </w:t>
      </w:r>
      <w:r w:rsidR="008A2774" w:rsidRPr="00813D19">
        <w:rPr>
          <w:bCs/>
          <w:lang w:val="en-US"/>
        </w:rPr>
        <w:t>and the workshops held were very clearly indicated</w:t>
      </w:r>
      <w:r w:rsidRPr="00813D19">
        <w:rPr>
          <w:bCs/>
          <w:lang w:val="en-US"/>
        </w:rPr>
        <w:t xml:space="preserve">. </w:t>
      </w:r>
      <w:r w:rsidR="00B4149B" w:rsidRPr="00813D19">
        <w:rPr>
          <w:bCs/>
          <w:lang w:val="en-US"/>
        </w:rPr>
        <w:t xml:space="preserve">Moreover, workshops </w:t>
      </w:r>
      <w:r w:rsidR="005E100D">
        <w:rPr>
          <w:bCs/>
          <w:lang w:val="en-US"/>
        </w:rPr>
        <w:t>had been</w:t>
      </w:r>
      <w:r w:rsidR="005E100D" w:rsidRPr="00813D19">
        <w:rPr>
          <w:bCs/>
          <w:lang w:val="en-US"/>
        </w:rPr>
        <w:t xml:space="preserve"> </w:t>
      </w:r>
      <w:r w:rsidR="00B4149B" w:rsidRPr="00813D19">
        <w:rPr>
          <w:bCs/>
          <w:lang w:val="en-US"/>
        </w:rPr>
        <w:t xml:space="preserve">held in 2016, </w:t>
      </w:r>
      <w:r w:rsidRPr="00813D19">
        <w:rPr>
          <w:bCs/>
          <w:lang w:val="en-US"/>
        </w:rPr>
        <w:t xml:space="preserve">2017 </w:t>
      </w:r>
      <w:r w:rsidR="00B4149B" w:rsidRPr="00813D19">
        <w:rPr>
          <w:bCs/>
          <w:lang w:val="en-US"/>
        </w:rPr>
        <w:t xml:space="preserve">and into </w:t>
      </w:r>
      <w:r w:rsidRPr="00813D19">
        <w:rPr>
          <w:bCs/>
          <w:lang w:val="en-US"/>
        </w:rPr>
        <w:t>2018</w:t>
      </w:r>
      <w:r w:rsidR="0037516A" w:rsidRPr="00813D19">
        <w:rPr>
          <w:bCs/>
          <w:lang w:val="en-US"/>
        </w:rPr>
        <w:t>,</w:t>
      </w:r>
      <w:r w:rsidRPr="00813D19">
        <w:rPr>
          <w:bCs/>
          <w:lang w:val="en-US"/>
        </w:rPr>
        <w:t xml:space="preserve"> </w:t>
      </w:r>
      <w:r w:rsidR="0037516A" w:rsidRPr="00813D19">
        <w:rPr>
          <w:bCs/>
          <w:lang w:val="en-US"/>
        </w:rPr>
        <w:t xml:space="preserve">which </w:t>
      </w:r>
      <w:r w:rsidR="00B4149B" w:rsidRPr="00813D19">
        <w:rPr>
          <w:bCs/>
          <w:lang w:val="en-US"/>
        </w:rPr>
        <w:t>continued this work</w:t>
      </w:r>
      <w:r w:rsidR="0037516A" w:rsidRPr="00813D19">
        <w:rPr>
          <w:bCs/>
          <w:lang w:val="en-US"/>
        </w:rPr>
        <w:t xml:space="preserve"> and </w:t>
      </w:r>
      <w:r w:rsidR="00B4149B" w:rsidRPr="00813D19">
        <w:rPr>
          <w:bCs/>
          <w:lang w:val="en-US"/>
        </w:rPr>
        <w:t>directly involved the Chamamé communities</w:t>
      </w:r>
      <w:r w:rsidR="0037516A" w:rsidRPr="00813D19">
        <w:rPr>
          <w:bCs/>
          <w:lang w:val="en-US"/>
        </w:rPr>
        <w:t>;</w:t>
      </w:r>
      <w:r w:rsidR="00B4149B" w:rsidRPr="00813D19">
        <w:rPr>
          <w:bCs/>
          <w:lang w:val="en-US"/>
        </w:rPr>
        <w:t xml:space="preserve"> </w:t>
      </w:r>
      <w:r w:rsidR="0037516A" w:rsidRPr="00813D19">
        <w:rPr>
          <w:bCs/>
          <w:lang w:val="en-US"/>
        </w:rPr>
        <w:t xml:space="preserve">work that </w:t>
      </w:r>
      <w:r w:rsidR="00B4149B" w:rsidRPr="00813D19">
        <w:rPr>
          <w:bCs/>
          <w:lang w:val="en-US"/>
        </w:rPr>
        <w:t xml:space="preserve">never ceased with workshops still being </w:t>
      </w:r>
      <w:r w:rsidRPr="00813D19">
        <w:rPr>
          <w:bCs/>
          <w:lang w:val="en-US"/>
        </w:rPr>
        <w:t>run</w:t>
      </w:r>
      <w:r w:rsidR="0037516A" w:rsidRPr="00813D19">
        <w:rPr>
          <w:bCs/>
          <w:lang w:val="en-US"/>
        </w:rPr>
        <w:t xml:space="preserve"> in Argentina</w:t>
      </w:r>
      <w:r w:rsidR="00B4149B" w:rsidRPr="00813D19">
        <w:rPr>
          <w:bCs/>
          <w:lang w:val="en-US"/>
        </w:rPr>
        <w:t xml:space="preserve">. For this reason, it was difficult to extrapolate figures, but this </w:t>
      </w:r>
      <w:r w:rsidRPr="00813D19">
        <w:rPr>
          <w:bCs/>
          <w:lang w:val="en-US"/>
        </w:rPr>
        <w:t xml:space="preserve">information </w:t>
      </w:r>
      <w:r w:rsidR="005E100D">
        <w:rPr>
          <w:bCs/>
          <w:lang w:val="en-US"/>
        </w:rPr>
        <w:t>was</w:t>
      </w:r>
      <w:r w:rsidR="005E100D" w:rsidRPr="00813D19">
        <w:rPr>
          <w:bCs/>
          <w:lang w:val="en-US"/>
        </w:rPr>
        <w:t xml:space="preserve"> </w:t>
      </w:r>
      <w:r w:rsidRPr="00813D19">
        <w:rPr>
          <w:bCs/>
          <w:lang w:val="en-US"/>
        </w:rPr>
        <w:t xml:space="preserve">available on the website. </w:t>
      </w:r>
      <w:r w:rsidR="00B4149B" w:rsidRPr="00813D19">
        <w:rPr>
          <w:bCs/>
          <w:lang w:val="en-US"/>
        </w:rPr>
        <w:t xml:space="preserve">With regard to the letters of consent, the delegation explained that more than </w:t>
      </w:r>
      <w:r w:rsidRPr="00813D19">
        <w:rPr>
          <w:bCs/>
          <w:lang w:val="en-US"/>
        </w:rPr>
        <w:t xml:space="preserve">1,000 forms </w:t>
      </w:r>
      <w:r w:rsidR="00B4149B" w:rsidRPr="00813D19">
        <w:rPr>
          <w:bCs/>
          <w:lang w:val="en-US"/>
        </w:rPr>
        <w:t>had been submitted, adding that the drafters had chosen this methodology b</w:t>
      </w:r>
      <w:r w:rsidRPr="00813D19">
        <w:rPr>
          <w:bCs/>
          <w:lang w:val="en-US"/>
        </w:rPr>
        <w:t xml:space="preserve">ecause there </w:t>
      </w:r>
      <w:r w:rsidR="00B4149B" w:rsidRPr="00813D19">
        <w:rPr>
          <w:bCs/>
          <w:lang w:val="en-US"/>
        </w:rPr>
        <w:t xml:space="preserve">were no </w:t>
      </w:r>
      <w:r w:rsidRPr="00813D19">
        <w:rPr>
          <w:bCs/>
          <w:lang w:val="en-US"/>
        </w:rPr>
        <w:t>clear guideline</w:t>
      </w:r>
      <w:r w:rsidR="00B4149B" w:rsidRPr="00813D19">
        <w:rPr>
          <w:bCs/>
          <w:lang w:val="en-US"/>
        </w:rPr>
        <w:t>s</w:t>
      </w:r>
      <w:r w:rsidRPr="00813D19">
        <w:rPr>
          <w:bCs/>
          <w:lang w:val="en-US"/>
        </w:rPr>
        <w:t xml:space="preserve"> </w:t>
      </w:r>
      <w:r w:rsidR="00B4149B" w:rsidRPr="00813D19">
        <w:rPr>
          <w:bCs/>
          <w:lang w:val="en-US"/>
        </w:rPr>
        <w:t xml:space="preserve">on how </w:t>
      </w:r>
      <w:r w:rsidRPr="00813D19">
        <w:rPr>
          <w:bCs/>
          <w:lang w:val="en-US"/>
        </w:rPr>
        <w:t xml:space="preserve">to </w:t>
      </w:r>
      <w:r w:rsidR="00B4149B" w:rsidRPr="00813D19">
        <w:rPr>
          <w:bCs/>
          <w:lang w:val="en-US"/>
        </w:rPr>
        <w:t xml:space="preserve">complete </w:t>
      </w:r>
      <w:r w:rsidRPr="00813D19">
        <w:rPr>
          <w:bCs/>
          <w:lang w:val="en-US"/>
        </w:rPr>
        <w:t>form</w:t>
      </w:r>
      <w:r w:rsidR="00B4149B" w:rsidRPr="00813D19">
        <w:rPr>
          <w:bCs/>
          <w:lang w:val="en-US"/>
        </w:rPr>
        <w:t>s</w:t>
      </w:r>
      <w:r w:rsidRPr="00813D19">
        <w:rPr>
          <w:bCs/>
          <w:lang w:val="en-US"/>
        </w:rPr>
        <w:t xml:space="preserve"> and how </w:t>
      </w:r>
      <w:r w:rsidR="00B4149B" w:rsidRPr="00813D19">
        <w:rPr>
          <w:bCs/>
          <w:lang w:val="en-US"/>
        </w:rPr>
        <w:t xml:space="preserve">consent should be </w:t>
      </w:r>
      <w:r w:rsidRPr="00813D19">
        <w:rPr>
          <w:bCs/>
          <w:lang w:val="en-US"/>
        </w:rPr>
        <w:t>express</w:t>
      </w:r>
      <w:r w:rsidR="00B4149B" w:rsidRPr="00813D19">
        <w:rPr>
          <w:bCs/>
          <w:lang w:val="en-US"/>
        </w:rPr>
        <w:t>ed. The drafters had thus chosen to submit four letters, representing four groups of consent, when in truth it represented thousands of letters</w:t>
      </w:r>
      <w:r w:rsidR="00227732" w:rsidRPr="00813D19">
        <w:rPr>
          <w:bCs/>
          <w:lang w:val="en-US"/>
        </w:rPr>
        <w:t xml:space="preserve"> </w:t>
      </w:r>
      <w:r w:rsidR="0037516A" w:rsidRPr="00813D19">
        <w:rPr>
          <w:bCs/>
          <w:lang w:val="en-US"/>
        </w:rPr>
        <w:t xml:space="preserve">showing </w:t>
      </w:r>
      <w:r w:rsidR="00227732" w:rsidRPr="00813D19">
        <w:rPr>
          <w:bCs/>
          <w:lang w:val="en-US"/>
        </w:rPr>
        <w:t xml:space="preserve">the full </w:t>
      </w:r>
      <w:r w:rsidRPr="00813D19">
        <w:rPr>
          <w:bCs/>
          <w:lang w:val="en-US"/>
        </w:rPr>
        <w:t xml:space="preserve">support of </w:t>
      </w:r>
      <w:r w:rsidR="00227732" w:rsidRPr="00813D19">
        <w:rPr>
          <w:bCs/>
          <w:lang w:val="en-US"/>
        </w:rPr>
        <w:t xml:space="preserve">all the </w:t>
      </w:r>
      <w:r w:rsidRPr="00813D19">
        <w:rPr>
          <w:bCs/>
          <w:lang w:val="en-US"/>
        </w:rPr>
        <w:t>communities</w:t>
      </w:r>
      <w:r w:rsidR="00916FA5" w:rsidRPr="00813D19">
        <w:rPr>
          <w:bCs/>
          <w:lang w:val="en-US"/>
        </w:rPr>
        <w:t xml:space="preserve"> concerned</w:t>
      </w:r>
      <w:r w:rsidRPr="00813D19">
        <w:rPr>
          <w:bCs/>
          <w:lang w:val="en-US"/>
        </w:rPr>
        <w:t xml:space="preserve">. Chamamé is an integral part of the Corrientes culture and </w:t>
      </w:r>
      <w:r w:rsidR="00227732" w:rsidRPr="00813D19">
        <w:rPr>
          <w:bCs/>
          <w:lang w:val="en-US"/>
        </w:rPr>
        <w:t xml:space="preserve">throughout the </w:t>
      </w:r>
      <w:r w:rsidRPr="00813D19">
        <w:rPr>
          <w:bCs/>
          <w:lang w:val="en-US"/>
        </w:rPr>
        <w:t>country</w:t>
      </w:r>
      <w:r w:rsidR="00227732" w:rsidRPr="00813D19">
        <w:rPr>
          <w:bCs/>
          <w:lang w:val="en-US"/>
        </w:rPr>
        <w:t>,</w:t>
      </w:r>
      <w:r w:rsidRPr="00813D19">
        <w:rPr>
          <w:bCs/>
          <w:lang w:val="en-US"/>
        </w:rPr>
        <w:t xml:space="preserve"> and the </w:t>
      </w:r>
      <w:r w:rsidR="00227732" w:rsidRPr="00813D19">
        <w:rPr>
          <w:bCs/>
          <w:lang w:val="en-US"/>
        </w:rPr>
        <w:t xml:space="preserve">entire </w:t>
      </w:r>
      <w:r w:rsidR="0037516A" w:rsidRPr="00813D19">
        <w:rPr>
          <w:bCs/>
          <w:lang w:val="en-US"/>
        </w:rPr>
        <w:t xml:space="preserve">community </w:t>
      </w:r>
      <w:r w:rsidR="003F35A2">
        <w:rPr>
          <w:bCs/>
          <w:lang w:val="en-US"/>
        </w:rPr>
        <w:t>had taken</w:t>
      </w:r>
      <w:r w:rsidR="003F35A2" w:rsidRPr="00813D19">
        <w:rPr>
          <w:bCs/>
          <w:lang w:val="en-US"/>
        </w:rPr>
        <w:t xml:space="preserve"> </w:t>
      </w:r>
      <w:r w:rsidRPr="00813D19">
        <w:rPr>
          <w:bCs/>
          <w:lang w:val="en-US"/>
        </w:rPr>
        <w:t xml:space="preserve">part </w:t>
      </w:r>
      <w:r w:rsidR="0037516A" w:rsidRPr="00813D19">
        <w:rPr>
          <w:bCs/>
          <w:lang w:val="en-US"/>
        </w:rPr>
        <w:t xml:space="preserve">and had submitted </w:t>
      </w:r>
      <w:r w:rsidRPr="00813D19">
        <w:rPr>
          <w:bCs/>
          <w:lang w:val="en-US"/>
        </w:rPr>
        <w:t>thousand</w:t>
      </w:r>
      <w:r w:rsidR="00227732" w:rsidRPr="00813D19">
        <w:rPr>
          <w:bCs/>
          <w:lang w:val="en-US"/>
        </w:rPr>
        <w:t>s</w:t>
      </w:r>
      <w:r w:rsidRPr="00813D19">
        <w:rPr>
          <w:bCs/>
          <w:lang w:val="en-US"/>
        </w:rPr>
        <w:t xml:space="preserve"> </w:t>
      </w:r>
      <w:r w:rsidR="00227732" w:rsidRPr="00813D19">
        <w:rPr>
          <w:bCs/>
          <w:lang w:val="en-US"/>
        </w:rPr>
        <w:t xml:space="preserve">of signed letters, even though only a </w:t>
      </w:r>
      <w:r w:rsidRPr="00813D19">
        <w:rPr>
          <w:bCs/>
          <w:lang w:val="en-US"/>
        </w:rPr>
        <w:t xml:space="preserve">representative sample </w:t>
      </w:r>
      <w:r w:rsidR="00227732" w:rsidRPr="00813D19">
        <w:rPr>
          <w:bCs/>
          <w:lang w:val="en-US"/>
        </w:rPr>
        <w:t xml:space="preserve">was </w:t>
      </w:r>
      <w:r w:rsidR="0037516A" w:rsidRPr="00813D19">
        <w:rPr>
          <w:bCs/>
          <w:lang w:val="en-US"/>
        </w:rPr>
        <w:t>provided</w:t>
      </w:r>
      <w:r w:rsidRPr="00813D19">
        <w:rPr>
          <w:bCs/>
          <w:lang w:val="en-US"/>
        </w:rPr>
        <w:t xml:space="preserve">. </w:t>
      </w:r>
      <w:r w:rsidR="00227732" w:rsidRPr="00813D19">
        <w:rPr>
          <w:bCs/>
          <w:lang w:val="en-US"/>
        </w:rPr>
        <w:t xml:space="preserve">With regard to the noted register of intangible cultural heritage, the delegation made </w:t>
      </w:r>
      <w:r w:rsidR="00E1263F">
        <w:rPr>
          <w:bCs/>
          <w:lang w:val="en-US"/>
        </w:rPr>
        <w:t xml:space="preserve">it </w:t>
      </w:r>
      <w:r w:rsidR="00227732" w:rsidRPr="00813D19">
        <w:rPr>
          <w:bCs/>
          <w:lang w:val="en-US"/>
        </w:rPr>
        <w:t xml:space="preserve">clear that the register </w:t>
      </w:r>
      <w:r w:rsidR="00E1263F">
        <w:rPr>
          <w:bCs/>
          <w:lang w:val="en-US"/>
        </w:rPr>
        <w:t xml:space="preserve">was </w:t>
      </w:r>
      <w:r w:rsidR="00227732" w:rsidRPr="00813D19">
        <w:rPr>
          <w:bCs/>
          <w:lang w:val="en-US"/>
        </w:rPr>
        <w:t xml:space="preserve">in fact the inventory. </w:t>
      </w:r>
      <w:r w:rsidRPr="00813D19">
        <w:rPr>
          <w:bCs/>
          <w:lang w:val="en-US"/>
        </w:rPr>
        <w:t xml:space="preserve">The delegation </w:t>
      </w:r>
      <w:r w:rsidR="00227732" w:rsidRPr="00813D19">
        <w:rPr>
          <w:bCs/>
          <w:lang w:val="en-US"/>
        </w:rPr>
        <w:t xml:space="preserve">recalled </w:t>
      </w:r>
      <w:r w:rsidRPr="00813D19">
        <w:rPr>
          <w:bCs/>
          <w:lang w:val="en-US"/>
        </w:rPr>
        <w:t>Article 12</w:t>
      </w:r>
      <w:r w:rsidR="0037516A" w:rsidRPr="00813D19">
        <w:rPr>
          <w:bCs/>
          <w:lang w:val="en-US"/>
        </w:rPr>
        <w:t xml:space="preserve"> of the Convention, which </w:t>
      </w:r>
      <w:r w:rsidR="00227732" w:rsidRPr="00813D19">
        <w:rPr>
          <w:bCs/>
          <w:lang w:val="en-US"/>
        </w:rPr>
        <w:t xml:space="preserve">clearly stated that </w:t>
      </w:r>
      <w:r w:rsidR="0037516A" w:rsidRPr="00813D19">
        <w:rPr>
          <w:bCs/>
          <w:lang w:val="en-US"/>
        </w:rPr>
        <w:t>a national</w:t>
      </w:r>
      <w:r w:rsidRPr="00813D19">
        <w:rPr>
          <w:bCs/>
          <w:lang w:val="en-US"/>
        </w:rPr>
        <w:t xml:space="preserve"> inventory </w:t>
      </w:r>
      <w:r w:rsidR="00227732" w:rsidRPr="00813D19">
        <w:rPr>
          <w:bCs/>
          <w:lang w:val="en-US"/>
        </w:rPr>
        <w:t xml:space="preserve">should be drawn up in a manner geared to its own situation, and as a federal nation, </w:t>
      </w:r>
      <w:r w:rsidR="0037516A" w:rsidRPr="00813D19">
        <w:rPr>
          <w:bCs/>
          <w:lang w:val="en-US"/>
        </w:rPr>
        <w:t>each province had</w:t>
      </w:r>
      <w:r w:rsidRPr="00813D19">
        <w:rPr>
          <w:bCs/>
          <w:lang w:val="en-US"/>
        </w:rPr>
        <w:t xml:space="preserve"> the </w:t>
      </w:r>
      <w:r w:rsidR="00227732" w:rsidRPr="00813D19">
        <w:rPr>
          <w:bCs/>
          <w:lang w:val="en-US"/>
        </w:rPr>
        <w:t xml:space="preserve">right </w:t>
      </w:r>
      <w:r w:rsidRPr="00813D19">
        <w:rPr>
          <w:bCs/>
          <w:lang w:val="en-US"/>
        </w:rPr>
        <w:t>to draf</w:t>
      </w:r>
      <w:r w:rsidR="00227732" w:rsidRPr="00813D19">
        <w:rPr>
          <w:bCs/>
          <w:lang w:val="en-US"/>
        </w:rPr>
        <w:t xml:space="preserve">t its own regional constitution. Hence, </w:t>
      </w:r>
      <w:r w:rsidRPr="00813D19">
        <w:rPr>
          <w:bCs/>
          <w:lang w:val="en-US"/>
        </w:rPr>
        <w:t xml:space="preserve">Resolution 1553 </w:t>
      </w:r>
      <w:r w:rsidR="00227732" w:rsidRPr="00813D19">
        <w:rPr>
          <w:bCs/>
          <w:lang w:val="en-US"/>
        </w:rPr>
        <w:t xml:space="preserve">established the </w:t>
      </w:r>
      <w:r w:rsidR="003D7EBE" w:rsidRPr="00813D19">
        <w:rPr>
          <w:bCs/>
          <w:lang w:val="en-US"/>
        </w:rPr>
        <w:t xml:space="preserve">institute that </w:t>
      </w:r>
      <w:r w:rsidR="00227732" w:rsidRPr="00813D19">
        <w:rPr>
          <w:bCs/>
          <w:lang w:val="en-US"/>
        </w:rPr>
        <w:t>register</w:t>
      </w:r>
      <w:r w:rsidR="003D7EBE" w:rsidRPr="00813D19">
        <w:rPr>
          <w:bCs/>
          <w:lang w:val="en-US"/>
        </w:rPr>
        <w:t>s</w:t>
      </w:r>
      <w:r w:rsidR="00227732" w:rsidRPr="00813D19">
        <w:rPr>
          <w:bCs/>
          <w:lang w:val="en-US"/>
        </w:rPr>
        <w:t xml:space="preserve"> intangible cultural heritage in which the element was inventoried</w:t>
      </w:r>
      <w:r w:rsidRPr="00813D19">
        <w:rPr>
          <w:bCs/>
          <w:lang w:val="en-US"/>
        </w:rPr>
        <w:t xml:space="preserve">. </w:t>
      </w:r>
      <w:r w:rsidR="00227732" w:rsidRPr="00813D19">
        <w:rPr>
          <w:bCs/>
          <w:lang w:val="en-US"/>
        </w:rPr>
        <w:t xml:space="preserve">The cited resolution was thus not referring to </w:t>
      </w:r>
      <w:r w:rsidR="003D7EBE" w:rsidRPr="00813D19">
        <w:rPr>
          <w:bCs/>
          <w:lang w:val="en-US"/>
        </w:rPr>
        <w:t xml:space="preserve">law but specifically to </w:t>
      </w:r>
      <w:r w:rsidRPr="00813D19">
        <w:rPr>
          <w:bCs/>
          <w:lang w:val="en-US"/>
        </w:rPr>
        <w:t xml:space="preserve">the </w:t>
      </w:r>
      <w:r w:rsidR="003D7EBE" w:rsidRPr="00813D19">
        <w:rPr>
          <w:bCs/>
          <w:lang w:val="en-US"/>
        </w:rPr>
        <w:t xml:space="preserve">inventory, which </w:t>
      </w:r>
      <w:r w:rsidR="0037516A" w:rsidRPr="00813D19">
        <w:rPr>
          <w:bCs/>
          <w:lang w:val="en-US"/>
        </w:rPr>
        <w:t xml:space="preserve">was </w:t>
      </w:r>
      <w:r w:rsidR="003D7EBE" w:rsidRPr="00813D19">
        <w:rPr>
          <w:bCs/>
          <w:lang w:val="en-US"/>
        </w:rPr>
        <w:t xml:space="preserve">also registered in MERCOSUR under this reference. Moreover, there was a typo in the form in Spanish, which should read ‘registro’ instead of ‘registo’ owing to the fact that </w:t>
      </w:r>
      <w:r w:rsidRPr="00813D19">
        <w:rPr>
          <w:bCs/>
          <w:lang w:val="en-US"/>
        </w:rPr>
        <w:t xml:space="preserve">it </w:t>
      </w:r>
      <w:r w:rsidR="003F35A2">
        <w:rPr>
          <w:bCs/>
          <w:lang w:val="en-US"/>
        </w:rPr>
        <w:t>had been</w:t>
      </w:r>
      <w:r w:rsidR="003F35A2" w:rsidRPr="00813D19">
        <w:rPr>
          <w:bCs/>
          <w:lang w:val="en-US"/>
        </w:rPr>
        <w:t xml:space="preserve"> </w:t>
      </w:r>
      <w:r w:rsidR="003D7EBE" w:rsidRPr="00813D19">
        <w:rPr>
          <w:lang w:val="en-US"/>
        </w:rPr>
        <w:t xml:space="preserve">translated into Spanish </w:t>
      </w:r>
      <w:r w:rsidR="003D7EBE" w:rsidRPr="00813D19">
        <w:rPr>
          <w:bCs/>
          <w:lang w:val="en-US"/>
        </w:rPr>
        <w:t xml:space="preserve">from </w:t>
      </w:r>
      <w:r w:rsidRPr="00813D19">
        <w:rPr>
          <w:lang w:val="en-US"/>
        </w:rPr>
        <w:t>Guaraní</w:t>
      </w:r>
      <w:r w:rsidR="003D7EBE" w:rsidRPr="00813D19">
        <w:rPr>
          <w:lang w:val="en-US"/>
        </w:rPr>
        <w:t xml:space="preserve">, the language of the people of </w:t>
      </w:r>
      <w:r w:rsidRPr="00813D19">
        <w:rPr>
          <w:lang w:val="en-US"/>
        </w:rPr>
        <w:t>Chamamé</w:t>
      </w:r>
      <w:r w:rsidR="003D7EBE" w:rsidRPr="00813D19">
        <w:rPr>
          <w:lang w:val="en-US"/>
        </w:rPr>
        <w:t xml:space="preserve">. The delegation </w:t>
      </w:r>
      <w:r w:rsidR="0037516A" w:rsidRPr="00813D19">
        <w:rPr>
          <w:lang w:val="en-US"/>
        </w:rPr>
        <w:t xml:space="preserve">understood the time limit, but </w:t>
      </w:r>
      <w:r w:rsidR="00916FA5" w:rsidRPr="00813D19">
        <w:rPr>
          <w:lang w:val="en-US"/>
        </w:rPr>
        <w:t xml:space="preserve">it </w:t>
      </w:r>
      <w:r w:rsidR="003D7EBE" w:rsidRPr="00813D19">
        <w:rPr>
          <w:lang w:val="en-US"/>
        </w:rPr>
        <w:t>was available to answer any further questions in more detail if required</w:t>
      </w:r>
      <w:r w:rsidR="00E41386">
        <w:rPr>
          <w:lang w:val="en-US"/>
        </w:rPr>
        <w:t>.</w:t>
      </w:r>
    </w:p>
    <w:p w14:paraId="2CD2B7E3" w14:textId="77B5A8E7" w:rsidR="005A5615" w:rsidRPr="00813D19" w:rsidRDefault="005A5615" w:rsidP="005A5615">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b/>
          <w:lang w:val="en-US"/>
        </w:rPr>
        <w:t>Chairperson</w:t>
      </w:r>
      <w:r w:rsidRPr="00813D19">
        <w:rPr>
          <w:lang w:val="en-US"/>
        </w:rPr>
        <w:t xml:space="preserve"> thanked Argentina, adding that a decision on the draft decision would be taken after lunch, </w:t>
      </w:r>
      <w:r w:rsidR="003F35A2">
        <w:rPr>
          <w:lang w:val="en-US"/>
        </w:rPr>
        <w:t xml:space="preserve">and </w:t>
      </w:r>
      <w:r w:rsidRPr="00813D19">
        <w:rPr>
          <w:lang w:val="en-US"/>
        </w:rPr>
        <w:t>inviting the Secretary to make</w:t>
      </w:r>
      <w:r w:rsidR="00E41386">
        <w:rPr>
          <w:lang w:val="en-US"/>
        </w:rPr>
        <w:t xml:space="preserve"> a few practical announcements.</w:t>
      </w:r>
    </w:p>
    <w:p w14:paraId="26ACC51F" w14:textId="4F4C0D05" w:rsidR="00515B14" w:rsidRPr="00813D19" w:rsidRDefault="00515B14" w:rsidP="00BA14F9">
      <w:pPr>
        <w:pStyle w:val="Orateurengris"/>
        <w:spacing w:after="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Secretary </w:t>
      </w:r>
      <w:r w:rsidR="005A5615" w:rsidRPr="00813D19">
        <w:rPr>
          <w:rFonts w:eastAsia="Calibri"/>
          <w:color w:val="000000" w:themeColor="text1"/>
          <w:lang w:val="en-US"/>
        </w:rPr>
        <w:t xml:space="preserve">announced </w:t>
      </w:r>
      <w:r w:rsidR="005A5615" w:rsidRPr="00813D19">
        <w:rPr>
          <w:bCs/>
          <w:lang w:val="en-US"/>
        </w:rPr>
        <w:t>a seminar</w:t>
      </w:r>
      <w:r w:rsidR="003C00CD" w:rsidRPr="00813D19">
        <w:rPr>
          <w:bCs/>
          <w:lang w:val="en-US"/>
        </w:rPr>
        <w:t xml:space="preserve"> </w:t>
      </w:r>
      <w:r w:rsidR="003C00CD" w:rsidRPr="00F10BBC">
        <w:rPr>
          <w:bCs/>
          <w:lang w:val="en-US"/>
        </w:rPr>
        <w:t xml:space="preserve">taking place during </w:t>
      </w:r>
      <w:r w:rsidR="00F10BBC" w:rsidRPr="003221D5">
        <w:rPr>
          <w:bCs/>
          <w:lang w:val="en-US"/>
        </w:rPr>
        <w:t xml:space="preserve">lunch </w:t>
      </w:r>
      <w:r w:rsidR="005A5615" w:rsidRPr="00F10BBC">
        <w:rPr>
          <w:bCs/>
          <w:lang w:val="en-US"/>
        </w:rPr>
        <w:t>organized by</w:t>
      </w:r>
      <w:r w:rsidR="005A5615" w:rsidRPr="00813D19">
        <w:rPr>
          <w:bCs/>
          <w:lang w:val="en-US"/>
        </w:rPr>
        <w:t xml:space="preserve"> </w:t>
      </w:r>
      <w:r w:rsidR="003C00CD" w:rsidRPr="00813D19">
        <w:rPr>
          <w:bCs/>
          <w:lang w:val="en-US"/>
        </w:rPr>
        <w:t>the M</w:t>
      </w:r>
      <w:r w:rsidR="005A5615" w:rsidRPr="00813D19">
        <w:rPr>
          <w:bCs/>
          <w:lang w:val="en-US"/>
        </w:rPr>
        <w:t xml:space="preserve">inistry of Culture of Colombia on </w:t>
      </w:r>
      <w:r w:rsidR="003C00CD" w:rsidRPr="00813D19">
        <w:rPr>
          <w:bCs/>
          <w:lang w:val="en-US"/>
        </w:rPr>
        <w:t>Intangible Cult</w:t>
      </w:r>
      <w:r w:rsidR="005A5615" w:rsidRPr="00813D19">
        <w:rPr>
          <w:bCs/>
          <w:lang w:val="en-US"/>
        </w:rPr>
        <w:t>ural Heritage in Urban Contexts. A</w:t>
      </w:r>
      <w:r w:rsidR="003C00CD" w:rsidRPr="00813D19">
        <w:rPr>
          <w:bCs/>
          <w:lang w:val="en-US"/>
        </w:rPr>
        <w:t xml:space="preserve"> meeting of the Arab Group</w:t>
      </w:r>
      <w:r w:rsidR="005A5615" w:rsidRPr="00813D19">
        <w:rPr>
          <w:bCs/>
          <w:lang w:val="en-US"/>
        </w:rPr>
        <w:t xml:space="preserve"> was also being held</w:t>
      </w:r>
      <w:r w:rsidR="00E41386">
        <w:rPr>
          <w:bCs/>
          <w:lang w:val="en-US"/>
        </w:rPr>
        <w:t>.</w:t>
      </w:r>
    </w:p>
    <w:p w14:paraId="5B175D96" w14:textId="1F13036A" w:rsidR="00A732A1" w:rsidRPr="00813D19" w:rsidRDefault="00A732A1" w:rsidP="00E41386">
      <w:pPr>
        <w:pStyle w:val="Orateurengris"/>
        <w:keepNext/>
        <w:numPr>
          <w:ilvl w:val="0"/>
          <w:numId w:val="0"/>
        </w:numPr>
        <w:spacing w:before="240" w:after="240"/>
        <w:ind w:left="709"/>
        <w:jc w:val="center"/>
        <w:outlineLvl w:val="0"/>
        <w:rPr>
          <w:rFonts w:ascii="Helvetica" w:hAnsi="Helvetica" w:cs="Helvetica"/>
          <w:i/>
          <w:iCs/>
          <w:color w:val="000000" w:themeColor="text1"/>
          <w:lang w:val="en-US"/>
        </w:rPr>
      </w:pPr>
      <w:r w:rsidRPr="00813D19">
        <w:rPr>
          <w:rFonts w:ascii="Helvetica" w:hAnsi="Helvetica" w:cs="Helvetica"/>
          <w:i/>
          <w:iCs/>
          <w:color w:val="000000" w:themeColor="text1"/>
          <w:lang w:val="en-US"/>
        </w:rPr>
        <w:t>[Wednesday, 28 November 2018, afternoon session]</w:t>
      </w:r>
    </w:p>
    <w:p w14:paraId="7563230E" w14:textId="2CC1F648" w:rsidR="00A26ED2" w:rsidRPr="00813D19" w:rsidRDefault="00A26ED2" w:rsidP="00E72560">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10.b OF THE AGENDA </w:t>
      </w:r>
      <w:r w:rsidR="00653DDC" w:rsidRPr="00813D19">
        <w:rPr>
          <w:b/>
          <w:color w:val="000000" w:themeColor="text1"/>
          <w:u w:val="single"/>
          <w:lang w:val="en-US"/>
        </w:rPr>
        <w:t>[CONT.]</w:t>
      </w:r>
    </w:p>
    <w:p w14:paraId="3776B693" w14:textId="024B3365" w:rsidR="00A732A1" w:rsidRPr="00813D19" w:rsidRDefault="00A26ED2" w:rsidP="005966F6">
      <w:pPr>
        <w:pStyle w:val="Orateurengris"/>
        <w:numPr>
          <w:ilvl w:val="0"/>
          <w:numId w:val="0"/>
        </w:numPr>
        <w:spacing w:after="240"/>
        <w:outlineLvl w:val="1"/>
        <w:rPr>
          <w:b/>
          <w:color w:val="000000" w:themeColor="text1"/>
          <w:lang w:val="en-US"/>
        </w:rPr>
      </w:pPr>
      <w:r w:rsidRPr="00813D19">
        <w:rPr>
          <w:b/>
          <w:color w:val="000000" w:themeColor="text1"/>
          <w:lang w:val="en-US"/>
        </w:rPr>
        <w:t>EXAMINATION OF NOMINATIONS FOR INSCRIPTION ON THE REPRESENTATIVE LIST OF THE INTANGIBLE CULTURAL HERITAGE OF HUMANITY</w:t>
      </w:r>
    </w:p>
    <w:p w14:paraId="04A154BA" w14:textId="14C925D0" w:rsidR="00615896" w:rsidRPr="00813D19" w:rsidRDefault="0096516E" w:rsidP="007C3FE7">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9B1604" w:rsidRPr="00813D19">
        <w:rPr>
          <w:lang w:val="en-US"/>
        </w:rPr>
        <w:t>resume</w:t>
      </w:r>
      <w:r w:rsidR="00615896" w:rsidRPr="00813D19">
        <w:rPr>
          <w:lang w:val="en-US"/>
        </w:rPr>
        <w:t>d</w:t>
      </w:r>
      <w:r w:rsidR="009B1604" w:rsidRPr="00813D19">
        <w:rPr>
          <w:lang w:val="en-US"/>
        </w:rPr>
        <w:t xml:space="preserve"> </w:t>
      </w:r>
      <w:r w:rsidR="00615896" w:rsidRPr="00813D19">
        <w:rPr>
          <w:lang w:val="en-US"/>
        </w:rPr>
        <w:t xml:space="preserve">the session, recalling that Argentina had provided </w:t>
      </w:r>
      <w:r w:rsidR="009B1604" w:rsidRPr="00813D19">
        <w:rPr>
          <w:lang w:val="en-US"/>
        </w:rPr>
        <w:t>clarification</w:t>
      </w:r>
      <w:r w:rsidR="00615896" w:rsidRPr="00813D19">
        <w:rPr>
          <w:lang w:val="en-US"/>
        </w:rPr>
        <w:t>s</w:t>
      </w:r>
      <w:r w:rsidR="009B1604" w:rsidRPr="00813D19">
        <w:rPr>
          <w:lang w:val="en-US"/>
        </w:rPr>
        <w:t xml:space="preserve"> </w:t>
      </w:r>
      <w:r w:rsidR="00615896" w:rsidRPr="00813D19">
        <w:rPr>
          <w:lang w:val="en-US"/>
        </w:rPr>
        <w:t xml:space="preserve">to </w:t>
      </w:r>
      <w:r w:rsidR="009B1604" w:rsidRPr="00813D19">
        <w:rPr>
          <w:lang w:val="en-US"/>
        </w:rPr>
        <w:t xml:space="preserve">the questions raised by </w:t>
      </w:r>
      <w:r w:rsidR="00615896" w:rsidRPr="00813D19">
        <w:rPr>
          <w:lang w:val="en-US"/>
        </w:rPr>
        <w:t xml:space="preserve">the </w:t>
      </w:r>
      <w:r w:rsidR="009B1604" w:rsidRPr="00813D19">
        <w:rPr>
          <w:lang w:val="en-US"/>
        </w:rPr>
        <w:t>Committee</w:t>
      </w:r>
      <w:r w:rsidR="00615896" w:rsidRPr="00813D19">
        <w:rPr>
          <w:lang w:val="en-US"/>
        </w:rPr>
        <w:t xml:space="preserve">, and turned </w:t>
      </w:r>
      <w:r w:rsidR="009B1604" w:rsidRPr="00813D19">
        <w:rPr>
          <w:lang w:val="en-US"/>
        </w:rPr>
        <w:t xml:space="preserve">to the adoption of </w:t>
      </w:r>
      <w:r w:rsidR="00615896" w:rsidRPr="00813D19">
        <w:rPr>
          <w:lang w:val="en-US"/>
        </w:rPr>
        <w:t xml:space="preserve">draft </w:t>
      </w:r>
      <w:r w:rsidR="009B1604" w:rsidRPr="00813D19">
        <w:rPr>
          <w:lang w:val="en-US"/>
        </w:rPr>
        <w:t xml:space="preserve">decision </w:t>
      </w:r>
      <w:r w:rsidR="00615896" w:rsidRPr="00813D19">
        <w:rPr>
          <w:lang w:val="en-US"/>
        </w:rPr>
        <w:t xml:space="preserve">13.COM 10.b.1 on a </w:t>
      </w:r>
      <w:r w:rsidR="009B1604" w:rsidRPr="00813D19">
        <w:rPr>
          <w:lang w:val="en-US"/>
        </w:rPr>
        <w:t>paragraph-by-paragraph</w:t>
      </w:r>
      <w:r w:rsidR="00615896" w:rsidRPr="00813D19">
        <w:rPr>
          <w:lang w:val="en-US"/>
        </w:rPr>
        <w:t xml:space="preserve"> basis</w:t>
      </w:r>
      <w:r w:rsidR="009B1604" w:rsidRPr="00813D19">
        <w:rPr>
          <w:lang w:val="en-US"/>
        </w:rPr>
        <w:t xml:space="preserve">. </w:t>
      </w:r>
      <w:r w:rsidR="00615896" w:rsidRPr="00813D19">
        <w:rPr>
          <w:lang w:val="en-US"/>
        </w:rPr>
        <w:t>Paragraphs 1 and 2 were duly adopted. Guatemala had presented an amendment to paragraph 3 [that further decides that the criteria R.2, R.4 and R.5 were met].</w:t>
      </w:r>
    </w:p>
    <w:p w14:paraId="173436C8" w14:textId="2DD64CDB" w:rsidR="0096516E" w:rsidRPr="00813D19" w:rsidRDefault="0096516E"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 xml:space="preserve">delegation of Colombia </w:t>
      </w:r>
      <w:r w:rsidRPr="00813D19">
        <w:rPr>
          <w:lang w:val="en-US"/>
        </w:rPr>
        <w:t>supported the amendment</w:t>
      </w:r>
      <w:r w:rsidR="00653DDC" w:rsidRPr="00813D19">
        <w:rPr>
          <w:lang w:val="en-US"/>
        </w:rPr>
        <w:t xml:space="preserve"> presented by Guatemala</w:t>
      </w:r>
      <w:r w:rsidRPr="00813D19">
        <w:rPr>
          <w:lang w:val="en-US"/>
        </w:rPr>
        <w:t>.</w:t>
      </w:r>
    </w:p>
    <w:p w14:paraId="2CB90F43" w14:textId="78E72E00" w:rsidR="006B5F91" w:rsidRPr="00813D19" w:rsidRDefault="0096516E" w:rsidP="00615896">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w:t>
      </w:r>
      <w:r w:rsidR="00653DDC" w:rsidRPr="00813D19">
        <w:rPr>
          <w:b/>
          <w:lang w:val="en-US"/>
        </w:rPr>
        <w:t>s</w:t>
      </w:r>
      <w:r w:rsidRPr="00813D19">
        <w:rPr>
          <w:b/>
          <w:lang w:val="en-US"/>
        </w:rPr>
        <w:t xml:space="preserve"> of </w:t>
      </w:r>
      <w:r w:rsidR="00813D19" w:rsidRPr="00813D19">
        <w:rPr>
          <w:b/>
          <w:lang w:val="en-US"/>
        </w:rPr>
        <w:t>Kazakhstan</w:t>
      </w:r>
      <w:r w:rsidRPr="00813D19">
        <w:rPr>
          <w:lang w:val="en-US"/>
        </w:rPr>
        <w:t xml:space="preserve"> </w:t>
      </w:r>
      <w:r w:rsidR="00615896" w:rsidRPr="00813D19">
        <w:rPr>
          <w:rFonts w:eastAsia="Calibri"/>
          <w:color w:val="000000" w:themeColor="text1"/>
          <w:lang w:val="en-US"/>
        </w:rPr>
        <w:t xml:space="preserve">and </w:t>
      </w:r>
      <w:r w:rsidR="006B5F91" w:rsidRPr="00813D19">
        <w:rPr>
          <w:b/>
          <w:lang w:val="en-US"/>
        </w:rPr>
        <w:t>Poland</w:t>
      </w:r>
      <w:r w:rsidR="006B5F91" w:rsidRPr="00813D19">
        <w:rPr>
          <w:lang w:val="en-US"/>
        </w:rPr>
        <w:t xml:space="preserve"> </w:t>
      </w:r>
      <w:r w:rsidR="00615896" w:rsidRPr="00813D19">
        <w:rPr>
          <w:lang w:val="en-US"/>
        </w:rPr>
        <w:t>supported the amendment.</w:t>
      </w:r>
    </w:p>
    <w:p w14:paraId="4061FFDD" w14:textId="6C400B51" w:rsidR="0096516E" w:rsidRPr="00813D19" w:rsidRDefault="0096516E"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the Netherlands</w:t>
      </w:r>
      <w:r w:rsidRPr="00813D19">
        <w:rPr>
          <w:lang w:val="en-US"/>
        </w:rPr>
        <w:t xml:space="preserve"> </w:t>
      </w:r>
      <w:r w:rsidR="006B5F91" w:rsidRPr="00813D19">
        <w:rPr>
          <w:lang w:val="en-US"/>
        </w:rPr>
        <w:t>thank</w:t>
      </w:r>
      <w:r w:rsidR="004E2154" w:rsidRPr="00813D19">
        <w:rPr>
          <w:lang w:val="en-US"/>
        </w:rPr>
        <w:t>ed</w:t>
      </w:r>
      <w:r w:rsidR="006B5F91" w:rsidRPr="00813D19">
        <w:rPr>
          <w:lang w:val="en-US"/>
        </w:rPr>
        <w:t xml:space="preserve"> the Evaluation Body f</w:t>
      </w:r>
      <w:r w:rsidR="004E2154" w:rsidRPr="00813D19">
        <w:rPr>
          <w:lang w:val="en-US"/>
        </w:rPr>
        <w:t xml:space="preserve">or the evaluation of this file, and </w:t>
      </w:r>
      <w:r w:rsidR="006B5F91" w:rsidRPr="00813D19">
        <w:rPr>
          <w:lang w:val="en-US"/>
        </w:rPr>
        <w:t xml:space="preserve">the State Party for its elaborate answer. </w:t>
      </w:r>
      <w:r w:rsidR="004E2154" w:rsidRPr="00813D19">
        <w:rPr>
          <w:lang w:val="en-US"/>
        </w:rPr>
        <w:t xml:space="preserve">However, it wished to </w:t>
      </w:r>
      <w:r w:rsidR="006B5F91" w:rsidRPr="00813D19">
        <w:rPr>
          <w:lang w:val="en-US"/>
        </w:rPr>
        <w:t xml:space="preserve">refer to paragraph 22.4 of the Rules of Procedure in which it </w:t>
      </w:r>
      <w:r w:rsidR="003F35A2">
        <w:rPr>
          <w:lang w:val="en-US"/>
        </w:rPr>
        <w:t>was</w:t>
      </w:r>
      <w:r w:rsidR="006B5F91" w:rsidRPr="00813D19">
        <w:rPr>
          <w:lang w:val="en-US"/>
        </w:rPr>
        <w:t xml:space="preserve"> stated that </w:t>
      </w:r>
      <w:r w:rsidR="004E2154" w:rsidRPr="00813D19">
        <w:rPr>
          <w:lang w:val="en-US"/>
        </w:rPr>
        <w:t>“</w:t>
      </w:r>
      <w:r w:rsidR="006B5F91" w:rsidRPr="00813D19">
        <w:rPr>
          <w:lang w:val="en-US"/>
        </w:rPr>
        <w:t xml:space="preserve">representatives of a State Party shall not speak to advocate the inclusion </w:t>
      </w:r>
      <w:r w:rsidR="004E2154" w:rsidRPr="00813D19">
        <w:rPr>
          <w:lang w:val="en-US"/>
        </w:rPr>
        <w:t xml:space="preserve">in </w:t>
      </w:r>
      <w:r w:rsidR="006B5F91" w:rsidRPr="00813D19">
        <w:rPr>
          <w:lang w:val="en-US"/>
        </w:rPr>
        <w:t>the list but should only provide information in reply to questions raised</w:t>
      </w:r>
      <w:r w:rsidR="004E2154" w:rsidRPr="00813D19">
        <w:rPr>
          <w:lang w:val="en-US"/>
        </w:rPr>
        <w:t>”</w:t>
      </w:r>
      <w:r w:rsidR="006B5F91" w:rsidRPr="00813D19">
        <w:rPr>
          <w:lang w:val="en-US"/>
        </w:rPr>
        <w:t xml:space="preserve">. The Netherlands </w:t>
      </w:r>
      <w:r w:rsidR="00653DDC" w:rsidRPr="00813D19">
        <w:rPr>
          <w:lang w:val="en-US"/>
        </w:rPr>
        <w:t>felt</w:t>
      </w:r>
      <w:r w:rsidR="006B5F91" w:rsidRPr="00813D19">
        <w:rPr>
          <w:lang w:val="en-US"/>
        </w:rPr>
        <w:t xml:space="preserve"> that the Committee should follow the Rules of Procedure</w:t>
      </w:r>
      <w:r w:rsidR="004E2154" w:rsidRPr="00813D19">
        <w:rPr>
          <w:lang w:val="en-US"/>
        </w:rPr>
        <w:t>,</w:t>
      </w:r>
      <w:r w:rsidR="006B5F91" w:rsidRPr="00813D19">
        <w:rPr>
          <w:lang w:val="en-US"/>
        </w:rPr>
        <w:t xml:space="preserve"> and as much as possible</w:t>
      </w:r>
      <w:r w:rsidR="004E2154" w:rsidRPr="00813D19">
        <w:rPr>
          <w:lang w:val="en-US"/>
        </w:rPr>
        <w:t>,</w:t>
      </w:r>
      <w:r w:rsidR="006B5F91" w:rsidRPr="00813D19">
        <w:rPr>
          <w:lang w:val="en-US"/>
        </w:rPr>
        <w:t xml:space="preserve"> the advice of the Evaluation Body for </w:t>
      </w:r>
      <w:r w:rsidR="00653DDC" w:rsidRPr="00813D19">
        <w:rPr>
          <w:lang w:val="en-US"/>
        </w:rPr>
        <w:t xml:space="preserve">the </w:t>
      </w:r>
      <w:r w:rsidR="006B5F91" w:rsidRPr="00813D19">
        <w:rPr>
          <w:lang w:val="en-US"/>
        </w:rPr>
        <w:t xml:space="preserve">benefit of improving the quality of files. </w:t>
      </w:r>
      <w:r w:rsidR="004E2154" w:rsidRPr="00813D19">
        <w:rPr>
          <w:lang w:val="en-US"/>
        </w:rPr>
        <w:t xml:space="preserve">The delegation </w:t>
      </w:r>
      <w:r w:rsidR="006B5F91" w:rsidRPr="00813D19">
        <w:rPr>
          <w:lang w:val="en-US"/>
        </w:rPr>
        <w:t>reiterate</w:t>
      </w:r>
      <w:r w:rsidR="004E2154" w:rsidRPr="00813D19">
        <w:rPr>
          <w:lang w:val="en-US"/>
        </w:rPr>
        <w:t>d</w:t>
      </w:r>
      <w:r w:rsidR="006B5F91" w:rsidRPr="00813D19">
        <w:rPr>
          <w:lang w:val="en-US"/>
        </w:rPr>
        <w:t xml:space="preserve"> that </w:t>
      </w:r>
      <w:r w:rsidR="004E2154" w:rsidRPr="00813D19">
        <w:rPr>
          <w:lang w:val="en-US"/>
        </w:rPr>
        <w:t xml:space="preserve">it was </w:t>
      </w:r>
      <w:r w:rsidR="006B5F91" w:rsidRPr="00813D19">
        <w:rPr>
          <w:lang w:val="en-US"/>
        </w:rPr>
        <w:t>in no way discussing t</w:t>
      </w:r>
      <w:r w:rsidR="004E2154" w:rsidRPr="00813D19">
        <w:rPr>
          <w:lang w:val="en-US"/>
        </w:rPr>
        <w:t xml:space="preserve">he value of the element itself, but rather </w:t>
      </w:r>
      <w:r w:rsidR="006B5F91" w:rsidRPr="00813D19">
        <w:rPr>
          <w:lang w:val="en-US"/>
        </w:rPr>
        <w:t xml:space="preserve">the file at hand. In that respect, </w:t>
      </w:r>
      <w:r w:rsidR="004E2154" w:rsidRPr="00813D19">
        <w:rPr>
          <w:lang w:val="en-US"/>
        </w:rPr>
        <w:t xml:space="preserve">it </w:t>
      </w:r>
      <w:r w:rsidR="006B5F91" w:rsidRPr="00813D19">
        <w:rPr>
          <w:lang w:val="en-US"/>
        </w:rPr>
        <w:t>welcome</w:t>
      </w:r>
      <w:r w:rsidR="004E2154" w:rsidRPr="00813D19">
        <w:rPr>
          <w:lang w:val="en-US"/>
        </w:rPr>
        <w:t>d</w:t>
      </w:r>
      <w:r w:rsidR="006B5F91" w:rsidRPr="00813D19">
        <w:rPr>
          <w:lang w:val="en-US"/>
        </w:rPr>
        <w:t xml:space="preserve"> the remarks of the Evaluation Body on the referral option </w:t>
      </w:r>
      <w:r w:rsidR="004E2154" w:rsidRPr="00813D19">
        <w:rPr>
          <w:lang w:val="en-US"/>
        </w:rPr>
        <w:t xml:space="preserve">to </w:t>
      </w:r>
      <w:r w:rsidR="006B5F91" w:rsidRPr="00813D19">
        <w:rPr>
          <w:lang w:val="en-US"/>
        </w:rPr>
        <w:t xml:space="preserve">give the State Party the opportunity to revisit the file and improve its quality so that each file </w:t>
      </w:r>
      <w:r w:rsidR="00E1263F" w:rsidRPr="00813D19">
        <w:rPr>
          <w:lang w:val="en-US"/>
        </w:rPr>
        <w:t>c</w:t>
      </w:r>
      <w:r w:rsidR="00E1263F">
        <w:rPr>
          <w:lang w:val="en-US"/>
        </w:rPr>
        <w:t>ould</w:t>
      </w:r>
      <w:r w:rsidR="00E1263F" w:rsidRPr="00813D19">
        <w:rPr>
          <w:lang w:val="en-US"/>
        </w:rPr>
        <w:t xml:space="preserve"> </w:t>
      </w:r>
      <w:r w:rsidR="006B5F91" w:rsidRPr="00813D19">
        <w:rPr>
          <w:lang w:val="en-US"/>
        </w:rPr>
        <w:t xml:space="preserve">serve as a showcase of intangible </w:t>
      </w:r>
      <w:r w:rsidR="004E2154" w:rsidRPr="00813D19">
        <w:rPr>
          <w:lang w:val="en-US"/>
        </w:rPr>
        <w:t xml:space="preserve">cultural </w:t>
      </w:r>
      <w:r w:rsidR="006B5F91" w:rsidRPr="00813D19">
        <w:rPr>
          <w:lang w:val="en-US"/>
        </w:rPr>
        <w:t xml:space="preserve">heritage. </w:t>
      </w:r>
      <w:r w:rsidR="00653DDC" w:rsidRPr="00813D19">
        <w:rPr>
          <w:lang w:val="en-US"/>
        </w:rPr>
        <w:t xml:space="preserve">It </w:t>
      </w:r>
      <w:r w:rsidR="006B5F91" w:rsidRPr="00813D19">
        <w:rPr>
          <w:lang w:val="en-US"/>
        </w:rPr>
        <w:t xml:space="preserve">therefore </w:t>
      </w:r>
      <w:r w:rsidR="004E2154" w:rsidRPr="00813D19">
        <w:rPr>
          <w:lang w:val="en-US"/>
        </w:rPr>
        <w:t xml:space="preserve">did </w:t>
      </w:r>
      <w:r w:rsidR="006B5F91" w:rsidRPr="00813D19">
        <w:rPr>
          <w:lang w:val="en-US"/>
        </w:rPr>
        <w:t>not support the a</w:t>
      </w:r>
      <w:r w:rsidR="004E2154" w:rsidRPr="00813D19">
        <w:rPr>
          <w:lang w:val="en-US"/>
        </w:rPr>
        <w:t>mendment proposed by Guatemala.</w:t>
      </w:r>
    </w:p>
    <w:p w14:paraId="5D3BF586" w14:textId="5390A8E1" w:rsidR="004424DA" w:rsidRPr="00813D19" w:rsidRDefault="00F56130"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Kuwait</w:t>
      </w:r>
      <w:r w:rsidRPr="00813D19">
        <w:rPr>
          <w:lang w:val="en-US"/>
        </w:rPr>
        <w:t xml:space="preserve"> </w:t>
      </w:r>
      <w:r w:rsidR="004E2154" w:rsidRPr="00813D19">
        <w:rPr>
          <w:lang w:val="en-US"/>
        </w:rPr>
        <w:t xml:space="preserve">wished to </w:t>
      </w:r>
      <w:r w:rsidRPr="00813D19">
        <w:rPr>
          <w:lang w:val="en-US"/>
        </w:rPr>
        <w:t xml:space="preserve">add its support </w:t>
      </w:r>
      <w:r w:rsidR="00653DDC" w:rsidRPr="00813D19">
        <w:rPr>
          <w:lang w:val="en-US"/>
        </w:rPr>
        <w:t>to</w:t>
      </w:r>
      <w:r w:rsidR="00E72560">
        <w:rPr>
          <w:lang w:val="en-US"/>
        </w:rPr>
        <w:t xml:space="preserve"> Guatemala’s amendment.</w:t>
      </w:r>
    </w:p>
    <w:p w14:paraId="28AAF8CF" w14:textId="2B8781E6" w:rsidR="00F56130" w:rsidRPr="00813D19" w:rsidRDefault="00F56130"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 xml:space="preserve">delegation of Armenia </w:t>
      </w:r>
      <w:r w:rsidR="004E2154" w:rsidRPr="00813D19">
        <w:rPr>
          <w:lang w:val="en-US"/>
        </w:rPr>
        <w:t>joined the proposal by Guatemala.</w:t>
      </w:r>
    </w:p>
    <w:p w14:paraId="1B878395" w14:textId="24296CDA" w:rsidR="004424DA" w:rsidRPr="00813D19" w:rsidRDefault="004424DA" w:rsidP="003D14B6">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Austria</w:t>
      </w:r>
      <w:r w:rsidR="00F56130" w:rsidRPr="00813D19">
        <w:rPr>
          <w:b/>
          <w:lang w:val="en-US"/>
        </w:rPr>
        <w:t xml:space="preserve"> </w:t>
      </w:r>
      <w:r w:rsidR="004E2154" w:rsidRPr="00813D19">
        <w:rPr>
          <w:lang w:val="en-US"/>
        </w:rPr>
        <w:t xml:space="preserve">thanked </w:t>
      </w:r>
      <w:r w:rsidR="00F56130" w:rsidRPr="00813D19">
        <w:rPr>
          <w:lang w:val="en-US"/>
        </w:rPr>
        <w:t xml:space="preserve">Argentina for the information </w:t>
      </w:r>
      <w:r w:rsidR="004E2154" w:rsidRPr="00813D19">
        <w:rPr>
          <w:lang w:val="en-US"/>
        </w:rPr>
        <w:t xml:space="preserve">provided, </w:t>
      </w:r>
      <w:r w:rsidR="00F56130" w:rsidRPr="00813D19">
        <w:rPr>
          <w:lang w:val="en-US"/>
        </w:rPr>
        <w:t>but based on the file and the information</w:t>
      </w:r>
      <w:r w:rsidR="00653DDC" w:rsidRPr="00813D19">
        <w:rPr>
          <w:lang w:val="en-US"/>
        </w:rPr>
        <w:t xml:space="preserve"> provided</w:t>
      </w:r>
      <w:r w:rsidR="00F56130" w:rsidRPr="00813D19">
        <w:rPr>
          <w:lang w:val="en-US"/>
        </w:rPr>
        <w:t xml:space="preserve">, </w:t>
      </w:r>
      <w:r w:rsidR="004E2154" w:rsidRPr="00813D19">
        <w:rPr>
          <w:lang w:val="en-US"/>
        </w:rPr>
        <w:t>some elements were still un</w:t>
      </w:r>
      <w:r w:rsidR="00F56130" w:rsidRPr="00813D19">
        <w:rPr>
          <w:lang w:val="en-US"/>
        </w:rPr>
        <w:t>clear</w:t>
      </w:r>
      <w:r w:rsidR="004E2154" w:rsidRPr="00813D19">
        <w:rPr>
          <w:lang w:val="en-US"/>
        </w:rPr>
        <w:t>. For this reason, Austria supported</w:t>
      </w:r>
      <w:r w:rsidR="00F56130" w:rsidRPr="00813D19">
        <w:rPr>
          <w:lang w:val="en-US"/>
        </w:rPr>
        <w:t xml:space="preserve"> the </w:t>
      </w:r>
      <w:r w:rsidR="004E2154" w:rsidRPr="00813D19">
        <w:rPr>
          <w:lang w:val="en-US"/>
        </w:rPr>
        <w:t xml:space="preserve">position of the </w:t>
      </w:r>
      <w:r w:rsidR="00E72560">
        <w:rPr>
          <w:lang w:val="en-US"/>
        </w:rPr>
        <w:t>Netherlands.</w:t>
      </w:r>
    </w:p>
    <w:p w14:paraId="79AB84AB" w14:textId="72A1499C" w:rsidR="004424DA" w:rsidRPr="00813D19" w:rsidRDefault="004424DA"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delegation of Palestine</w:t>
      </w:r>
      <w:r w:rsidR="00F56130" w:rsidRPr="00813D19">
        <w:rPr>
          <w:b/>
          <w:lang w:val="en-US"/>
        </w:rPr>
        <w:t xml:space="preserve"> </w:t>
      </w:r>
      <w:r w:rsidR="004E2154" w:rsidRPr="00813D19">
        <w:rPr>
          <w:lang w:val="en-US"/>
        </w:rPr>
        <w:t xml:space="preserve">asked the Chairperson to allow the </w:t>
      </w:r>
      <w:r w:rsidR="00F56130" w:rsidRPr="00813D19">
        <w:rPr>
          <w:lang w:val="en-US"/>
        </w:rPr>
        <w:t xml:space="preserve">Evaluation Body </w:t>
      </w:r>
      <w:r w:rsidR="004E2154" w:rsidRPr="00813D19">
        <w:rPr>
          <w:lang w:val="en-US"/>
        </w:rPr>
        <w:t xml:space="preserve">to respond to the explanations provided by </w:t>
      </w:r>
      <w:r w:rsidR="00F56130" w:rsidRPr="00813D19">
        <w:rPr>
          <w:lang w:val="en-US"/>
        </w:rPr>
        <w:t xml:space="preserve">Argentina </w:t>
      </w:r>
      <w:r w:rsidR="004E2154" w:rsidRPr="00813D19">
        <w:rPr>
          <w:lang w:val="en-US"/>
        </w:rPr>
        <w:t xml:space="preserve">to determine whether or not the </w:t>
      </w:r>
      <w:r w:rsidR="00F56130" w:rsidRPr="00813D19">
        <w:rPr>
          <w:lang w:val="en-US"/>
        </w:rPr>
        <w:t>clarification</w:t>
      </w:r>
      <w:r w:rsidR="004E2154" w:rsidRPr="00813D19">
        <w:rPr>
          <w:lang w:val="en-US"/>
        </w:rPr>
        <w:t xml:space="preserve">s provided </w:t>
      </w:r>
      <w:r w:rsidR="00653DDC" w:rsidRPr="00813D19">
        <w:rPr>
          <w:lang w:val="en-US"/>
        </w:rPr>
        <w:t xml:space="preserve">had </w:t>
      </w:r>
      <w:r w:rsidR="00E72560">
        <w:rPr>
          <w:lang w:val="en-US"/>
        </w:rPr>
        <w:t>allayed its concerns.</w:t>
      </w:r>
    </w:p>
    <w:p w14:paraId="72BC7FC4" w14:textId="745AB0B2" w:rsidR="004424DA" w:rsidRPr="00813D19" w:rsidRDefault="004424DA"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 xml:space="preserve">delegation of </w:t>
      </w:r>
      <w:r w:rsidR="00F56130" w:rsidRPr="00813D19">
        <w:rPr>
          <w:b/>
          <w:lang w:val="en-US"/>
        </w:rPr>
        <w:t>Lebanon</w:t>
      </w:r>
      <w:r w:rsidR="004E2154" w:rsidRPr="00813D19">
        <w:rPr>
          <w:lang w:val="en-US"/>
        </w:rPr>
        <w:t xml:space="preserve"> seconded the proposal by P</w:t>
      </w:r>
      <w:r w:rsidR="00E72560">
        <w:rPr>
          <w:lang w:val="en-US"/>
        </w:rPr>
        <w:t>alestine and thanked Argentina.</w:t>
      </w:r>
    </w:p>
    <w:p w14:paraId="54FC2F78" w14:textId="6FFF1823" w:rsidR="004424DA" w:rsidRPr="00813D19" w:rsidRDefault="006C553D" w:rsidP="007F4091">
      <w:pPr>
        <w:pStyle w:val="Orateurengris"/>
        <w:spacing w:before="120"/>
        <w:ind w:left="709" w:hanging="709"/>
        <w:rPr>
          <w:rFonts w:eastAsia="Calibri"/>
          <w:color w:val="000000" w:themeColor="text1"/>
          <w:lang w:val="en-US"/>
        </w:rPr>
      </w:pPr>
      <w:r w:rsidRPr="00813D19">
        <w:rPr>
          <w:lang w:val="en-US"/>
        </w:rPr>
        <w:t xml:space="preserve">The </w:t>
      </w:r>
      <w:r w:rsidRPr="00813D19">
        <w:rPr>
          <w:b/>
          <w:lang w:val="en-US"/>
        </w:rPr>
        <w:t>Chairperson of the Evaluation Body</w:t>
      </w:r>
      <w:r w:rsidRPr="00813D19">
        <w:rPr>
          <w:lang w:val="en-US"/>
        </w:rPr>
        <w:t xml:space="preserve"> </w:t>
      </w:r>
      <w:r w:rsidR="004E2154" w:rsidRPr="00813D19">
        <w:rPr>
          <w:lang w:val="en-US"/>
        </w:rPr>
        <w:t xml:space="preserve">reiterated that the </w:t>
      </w:r>
      <w:r w:rsidR="00F56130" w:rsidRPr="00813D19">
        <w:rPr>
          <w:lang w:val="en-US"/>
        </w:rPr>
        <w:t xml:space="preserve">work of the Evaluation Body is to </w:t>
      </w:r>
      <w:r w:rsidR="00FA6AF4" w:rsidRPr="00813D19">
        <w:rPr>
          <w:lang w:val="en-US"/>
        </w:rPr>
        <w:t>process</w:t>
      </w:r>
      <w:r w:rsidR="00E1263F">
        <w:rPr>
          <w:lang w:val="en-US"/>
        </w:rPr>
        <w:t xml:space="preserve"> the</w:t>
      </w:r>
      <w:r w:rsidR="00F56130" w:rsidRPr="00813D19">
        <w:rPr>
          <w:lang w:val="en-US"/>
        </w:rPr>
        <w:t xml:space="preserve"> information contained in the file</w:t>
      </w:r>
      <w:r w:rsidR="004E2154" w:rsidRPr="00813D19">
        <w:rPr>
          <w:lang w:val="en-US"/>
        </w:rPr>
        <w:t>.</w:t>
      </w:r>
      <w:r w:rsidR="00F56130" w:rsidRPr="00813D19">
        <w:rPr>
          <w:lang w:val="en-US"/>
        </w:rPr>
        <w:t xml:space="preserve"> </w:t>
      </w:r>
      <w:r w:rsidR="004E2154" w:rsidRPr="00813D19">
        <w:rPr>
          <w:lang w:val="en-US"/>
        </w:rPr>
        <w:t>W</w:t>
      </w:r>
      <w:r w:rsidR="00F56130" w:rsidRPr="00813D19">
        <w:rPr>
          <w:lang w:val="en-US"/>
        </w:rPr>
        <w:t xml:space="preserve">hen </w:t>
      </w:r>
      <w:r w:rsidR="004E2154" w:rsidRPr="00813D19">
        <w:rPr>
          <w:lang w:val="en-US"/>
        </w:rPr>
        <w:t xml:space="preserve">it </w:t>
      </w:r>
      <w:r w:rsidR="00F56130" w:rsidRPr="00813D19">
        <w:rPr>
          <w:lang w:val="en-US"/>
        </w:rPr>
        <w:t>examine</w:t>
      </w:r>
      <w:r w:rsidR="004E2154" w:rsidRPr="00813D19">
        <w:rPr>
          <w:lang w:val="en-US"/>
        </w:rPr>
        <w:t>d</w:t>
      </w:r>
      <w:r w:rsidR="00F56130" w:rsidRPr="00813D19">
        <w:rPr>
          <w:lang w:val="en-US"/>
        </w:rPr>
        <w:t xml:space="preserve"> this file</w:t>
      </w:r>
      <w:r w:rsidR="004E2154" w:rsidRPr="00813D19">
        <w:rPr>
          <w:lang w:val="en-US"/>
        </w:rPr>
        <w:t>,</w:t>
      </w:r>
      <w:r w:rsidR="00F56130" w:rsidRPr="00813D19">
        <w:rPr>
          <w:lang w:val="en-US"/>
        </w:rPr>
        <w:t xml:space="preserve"> </w:t>
      </w:r>
      <w:r w:rsidR="00FA6AF4" w:rsidRPr="00813D19">
        <w:rPr>
          <w:lang w:val="en-US"/>
        </w:rPr>
        <w:t xml:space="preserve">the Body </w:t>
      </w:r>
      <w:r w:rsidR="00C23E5C" w:rsidRPr="00813D19">
        <w:rPr>
          <w:lang w:val="en-US"/>
        </w:rPr>
        <w:t>concluded</w:t>
      </w:r>
      <w:r w:rsidR="00F56130" w:rsidRPr="00813D19">
        <w:rPr>
          <w:lang w:val="en-US"/>
        </w:rPr>
        <w:t xml:space="preserve"> that </w:t>
      </w:r>
      <w:r w:rsidR="00E71E8D" w:rsidRPr="00813D19">
        <w:rPr>
          <w:lang w:val="en-US"/>
        </w:rPr>
        <w:t xml:space="preserve">some </w:t>
      </w:r>
      <w:r w:rsidR="00F56130" w:rsidRPr="00813D19">
        <w:rPr>
          <w:lang w:val="en-US"/>
        </w:rPr>
        <w:t xml:space="preserve">criteria were met </w:t>
      </w:r>
      <w:r w:rsidR="00E71E8D" w:rsidRPr="00813D19">
        <w:rPr>
          <w:lang w:val="en-US"/>
        </w:rPr>
        <w:t xml:space="preserve">while others </w:t>
      </w:r>
      <w:r w:rsidR="00F56130" w:rsidRPr="00813D19">
        <w:rPr>
          <w:lang w:val="en-US"/>
        </w:rPr>
        <w:t>were not met</w:t>
      </w:r>
      <w:r w:rsidR="00E71E8D" w:rsidRPr="00813D19">
        <w:rPr>
          <w:lang w:val="en-US"/>
        </w:rPr>
        <w:t>,</w:t>
      </w:r>
      <w:r w:rsidR="00F56130" w:rsidRPr="00813D19">
        <w:rPr>
          <w:lang w:val="en-US"/>
        </w:rPr>
        <w:t xml:space="preserve"> meaning there was </w:t>
      </w:r>
      <w:r w:rsidR="00E71E8D" w:rsidRPr="00813D19">
        <w:rPr>
          <w:lang w:val="en-US"/>
        </w:rPr>
        <w:t xml:space="preserve">a </w:t>
      </w:r>
      <w:r w:rsidR="00F56130" w:rsidRPr="00813D19">
        <w:rPr>
          <w:lang w:val="en-US"/>
        </w:rPr>
        <w:t xml:space="preserve">lack of information required to </w:t>
      </w:r>
      <w:r w:rsidR="00E71E8D" w:rsidRPr="00813D19">
        <w:rPr>
          <w:lang w:val="en-US"/>
        </w:rPr>
        <w:t xml:space="preserve">help determine </w:t>
      </w:r>
      <w:r w:rsidR="00F56130" w:rsidRPr="00813D19">
        <w:rPr>
          <w:lang w:val="en-US"/>
        </w:rPr>
        <w:t xml:space="preserve">whether </w:t>
      </w:r>
      <w:r w:rsidR="00C23E5C" w:rsidRPr="00813D19">
        <w:rPr>
          <w:lang w:val="en-US"/>
        </w:rPr>
        <w:t xml:space="preserve">some of the </w:t>
      </w:r>
      <w:r w:rsidR="00F56130" w:rsidRPr="00813D19">
        <w:rPr>
          <w:lang w:val="en-US"/>
        </w:rPr>
        <w:t xml:space="preserve">criteria </w:t>
      </w:r>
      <w:r w:rsidR="00E71E8D" w:rsidRPr="00813D19">
        <w:rPr>
          <w:lang w:val="en-US"/>
        </w:rPr>
        <w:t xml:space="preserve">were indeed </w:t>
      </w:r>
      <w:r w:rsidR="00653DDC" w:rsidRPr="00813D19">
        <w:rPr>
          <w:lang w:val="en-US"/>
        </w:rPr>
        <w:t>satisfied</w:t>
      </w:r>
      <w:r w:rsidR="00E71E8D" w:rsidRPr="00813D19">
        <w:rPr>
          <w:lang w:val="en-US"/>
        </w:rPr>
        <w:t xml:space="preserve">. The explanation </w:t>
      </w:r>
      <w:r w:rsidR="00653DDC" w:rsidRPr="00813D19">
        <w:rPr>
          <w:lang w:val="en-US"/>
        </w:rPr>
        <w:t xml:space="preserve">provided </w:t>
      </w:r>
      <w:r w:rsidR="00E71E8D" w:rsidRPr="00813D19">
        <w:rPr>
          <w:lang w:val="en-US"/>
        </w:rPr>
        <w:t xml:space="preserve">by </w:t>
      </w:r>
      <w:r w:rsidR="00F56130" w:rsidRPr="00813D19">
        <w:rPr>
          <w:lang w:val="en-US"/>
        </w:rPr>
        <w:t xml:space="preserve">Argentina </w:t>
      </w:r>
      <w:r w:rsidR="00E71E8D" w:rsidRPr="00813D19">
        <w:rPr>
          <w:lang w:val="en-US"/>
        </w:rPr>
        <w:t>was no</w:t>
      </w:r>
      <w:r w:rsidR="00F56130" w:rsidRPr="00813D19">
        <w:rPr>
          <w:lang w:val="en-US"/>
        </w:rPr>
        <w:t xml:space="preserve"> different </w:t>
      </w:r>
      <w:r w:rsidR="00E1263F">
        <w:rPr>
          <w:lang w:val="en-US"/>
        </w:rPr>
        <w:t>from</w:t>
      </w:r>
      <w:r w:rsidR="00E1263F" w:rsidRPr="00813D19">
        <w:rPr>
          <w:lang w:val="en-US"/>
        </w:rPr>
        <w:t xml:space="preserve"> </w:t>
      </w:r>
      <w:r w:rsidR="00F56130" w:rsidRPr="00813D19">
        <w:rPr>
          <w:lang w:val="en-US"/>
        </w:rPr>
        <w:t xml:space="preserve">the information </w:t>
      </w:r>
      <w:r w:rsidR="00653DDC" w:rsidRPr="00813D19">
        <w:rPr>
          <w:lang w:val="en-US"/>
        </w:rPr>
        <w:t xml:space="preserve">contained </w:t>
      </w:r>
      <w:r w:rsidR="00E71E8D" w:rsidRPr="00813D19">
        <w:rPr>
          <w:lang w:val="en-US"/>
        </w:rPr>
        <w:t xml:space="preserve">in the file in that </w:t>
      </w:r>
      <w:r w:rsidR="007C0BDF" w:rsidRPr="00813D19">
        <w:rPr>
          <w:lang w:val="en-US"/>
        </w:rPr>
        <w:t>it</w:t>
      </w:r>
      <w:r w:rsidR="00E71E8D" w:rsidRPr="00813D19">
        <w:rPr>
          <w:lang w:val="en-US"/>
        </w:rPr>
        <w:t xml:space="preserve"> emphasized</w:t>
      </w:r>
      <w:r w:rsidR="00F56130" w:rsidRPr="00813D19">
        <w:rPr>
          <w:lang w:val="en-US"/>
        </w:rPr>
        <w:t xml:space="preserve"> </w:t>
      </w:r>
      <w:r w:rsidR="00E71E8D" w:rsidRPr="00813D19">
        <w:rPr>
          <w:lang w:val="en-US"/>
        </w:rPr>
        <w:t>information that could be found via the web</w:t>
      </w:r>
      <w:r w:rsidR="00F56130" w:rsidRPr="00813D19">
        <w:rPr>
          <w:lang w:val="en-US"/>
        </w:rPr>
        <w:t>link</w:t>
      </w:r>
      <w:r w:rsidR="00E71E8D" w:rsidRPr="00813D19">
        <w:rPr>
          <w:lang w:val="en-US"/>
        </w:rPr>
        <w:t xml:space="preserve"> and that </w:t>
      </w:r>
      <w:r w:rsidR="00F56130" w:rsidRPr="00813D19">
        <w:rPr>
          <w:lang w:val="en-US"/>
        </w:rPr>
        <w:t xml:space="preserve">the date of the inventory </w:t>
      </w:r>
      <w:r w:rsidR="00E71E8D" w:rsidRPr="00813D19">
        <w:rPr>
          <w:lang w:val="en-US"/>
        </w:rPr>
        <w:t xml:space="preserve">could also be </w:t>
      </w:r>
      <w:r w:rsidR="00653DDC" w:rsidRPr="00813D19">
        <w:rPr>
          <w:lang w:val="en-US"/>
        </w:rPr>
        <w:t xml:space="preserve">found </w:t>
      </w:r>
      <w:r w:rsidR="00F56130" w:rsidRPr="00813D19">
        <w:rPr>
          <w:lang w:val="en-US"/>
        </w:rPr>
        <w:t>on the website</w:t>
      </w:r>
      <w:r w:rsidR="00E71E8D" w:rsidRPr="00813D19">
        <w:rPr>
          <w:lang w:val="en-US"/>
        </w:rPr>
        <w:t xml:space="preserve">. However, the </w:t>
      </w:r>
      <w:r w:rsidR="00F56130" w:rsidRPr="00813D19">
        <w:rPr>
          <w:lang w:val="en-US"/>
        </w:rPr>
        <w:t xml:space="preserve">information </w:t>
      </w:r>
      <w:r w:rsidR="00E71E8D" w:rsidRPr="00813D19">
        <w:rPr>
          <w:lang w:val="en-US"/>
        </w:rPr>
        <w:t xml:space="preserve">in </w:t>
      </w:r>
      <w:r w:rsidR="00F56130" w:rsidRPr="00813D19">
        <w:rPr>
          <w:lang w:val="en-US"/>
        </w:rPr>
        <w:t xml:space="preserve">the file </w:t>
      </w:r>
      <w:r w:rsidR="00E71E8D" w:rsidRPr="00813D19">
        <w:rPr>
          <w:lang w:val="en-US"/>
        </w:rPr>
        <w:t xml:space="preserve">was </w:t>
      </w:r>
      <w:r w:rsidR="00F56130" w:rsidRPr="00813D19">
        <w:rPr>
          <w:lang w:val="en-US"/>
        </w:rPr>
        <w:t xml:space="preserve">not sufficient for </w:t>
      </w:r>
      <w:r w:rsidR="00E71E8D" w:rsidRPr="00813D19">
        <w:rPr>
          <w:lang w:val="en-US"/>
        </w:rPr>
        <w:t xml:space="preserve">the Body </w:t>
      </w:r>
      <w:r w:rsidR="00F56130" w:rsidRPr="00813D19">
        <w:rPr>
          <w:lang w:val="en-US"/>
        </w:rPr>
        <w:t xml:space="preserve">to determine </w:t>
      </w:r>
      <w:r w:rsidR="00E71E8D" w:rsidRPr="00813D19">
        <w:rPr>
          <w:lang w:val="en-US"/>
        </w:rPr>
        <w:t xml:space="preserve">whether the </w:t>
      </w:r>
      <w:r w:rsidR="00F56130" w:rsidRPr="00813D19">
        <w:rPr>
          <w:lang w:val="en-US"/>
        </w:rPr>
        <w:t>criterion was met</w:t>
      </w:r>
      <w:r w:rsidR="00E71E8D" w:rsidRPr="00813D19">
        <w:rPr>
          <w:lang w:val="en-US"/>
        </w:rPr>
        <w:t>,</w:t>
      </w:r>
      <w:r w:rsidR="00F56130" w:rsidRPr="00813D19">
        <w:rPr>
          <w:lang w:val="en-US"/>
        </w:rPr>
        <w:t xml:space="preserve"> even with the explanation </w:t>
      </w:r>
      <w:r w:rsidR="00E71E8D" w:rsidRPr="00813D19">
        <w:rPr>
          <w:lang w:val="en-US"/>
        </w:rPr>
        <w:t>given</w:t>
      </w:r>
      <w:r w:rsidR="00F56130" w:rsidRPr="00813D19">
        <w:rPr>
          <w:lang w:val="en-US"/>
        </w:rPr>
        <w:t xml:space="preserve">. </w:t>
      </w:r>
      <w:r w:rsidR="00E71E8D" w:rsidRPr="00813D19">
        <w:rPr>
          <w:lang w:val="en-US"/>
        </w:rPr>
        <w:t xml:space="preserve">The Evaluation Body thus maintained its </w:t>
      </w:r>
      <w:r w:rsidR="00E72560">
        <w:rPr>
          <w:lang w:val="en-US"/>
        </w:rPr>
        <w:t>position.</w:t>
      </w:r>
    </w:p>
    <w:p w14:paraId="2F543B8B" w14:textId="12215538" w:rsidR="006C553D" w:rsidRPr="00813D19" w:rsidRDefault="00BA4935"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Noting that the amendment</w:t>
      </w:r>
      <w:r w:rsidR="0031048F" w:rsidRPr="00813D19">
        <w:rPr>
          <w:rFonts w:eastAsia="Calibri"/>
          <w:color w:val="000000" w:themeColor="text1"/>
          <w:lang w:val="en-US"/>
        </w:rPr>
        <w:t xml:space="preserve"> by Guatemala did not receive broad consensus</w:t>
      </w:r>
      <w:r w:rsidRPr="00813D19">
        <w:rPr>
          <w:rFonts w:eastAsia="Calibri"/>
          <w:color w:val="000000" w:themeColor="text1"/>
          <w:lang w:val="en-US"/>
        </w:rPr>
        <w:t>, t</w:t>
      </w:r>
      <w:r w:rsidR="006C553D" w:rsidRPr="00813D19">
        <w:rPr>
          <w:rFonts w:eastAsia="Calibri"/>
          <w:color w:val="000000" w:themeColor="text1"/>
          <w:lang w:val="en-US"/>
        </w:rPr>
        <w:t xml:space="preserve">he </w:t>
      </w:r>
      <w:r w:rsidR="006C553D" w:rsidRPr="00813D19">
        <w:rPr>
          <w:rFonts w:eastAsia="Calibri"/>
          <w:b/>
          <w:color w:val="000000" w:themeColor="text1"/>
          <w:lang w:val="en-US"/>
        </w:rPr>
        <w:t>Chairperson</w:t>
      </w:r>
      <w:r w:rsidR="006C553D" w:rsidRPr="00813D19">
        <w:rPr>
          <w:rFonts w:eastAsia="Calibri"/>
          <w:color w:val="000000" w:themeColor="text1"/>
          <w:lang w:val="en-US"/>
        </w:rPr>
        <w:t xml:space="preserve"> </w:t>
      </w:r>
      <w:r w:rsidRPr="00813D19">
        <w:rPr>
          <w:rFonts w:eastAsia="Calibri"/>
          <w:color w:val="000000" w:themeColor="text1"/>
          <w:lang w:val="en-US"/>
        </w:rPr>
        <w:t>returned to the original parag</w:t>
      </w:r>
      <w:r w:rsidR="00E72560">
        <w:rPr>
          <w:rFonts w:eastAsia="Calibri"/>
          <w:color w:val="000000" w:themeColor="text1"/>
          <w:lang w:val="en-US"/>
        </w:rPr>
        <w:t>raph 3, which was duly adopted.</w:t>
      </w:r>
    </w:p>
    <w:p w14:paraId="114F9135" w14:textId="2046D89A" w:rsidR="00BA4935" w:rsidRPr="00813D19" w:rsidRDefault="00BA4935"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 xml:space="preserve">delegation of Colombia </w:t>
      </w:r>
      <w:r w:rsidRPr="00813D19">
        <w:rPr>
          <w:rFonts w:eastAsia="Calibri"/>
          <w:color w:val="000000" w:themeColor="text1"/>
          <w:lang w:val="en-US"/>
        </w:rPr>
        <w:t>supported the amendment by Guatemala</w:t>
      </w:r>
      <w:r w:rsidR="00067599" w:rsidRPr="00813D19">
        <w:rPr>
          <w:rFonts w:eastAsia="Calibri"/>
          <w:color w:val="000000" w:themeColor="text1"/>
          <w:lang w:val="en-US"/>
        </w:rPr>
        <w:t xml:space="preserve"> in paragraph 4</w:t>
      </w:r>
      <w:r w:rsidRPr="00813D19">
        <w:rPr>
          <w:rFonts w:eastAsia="Calibri"/>
          <w:color w:val="000000" w:themeColor="text1"/>
          <w:lang w:val="en-US"/>
        </w:rPr>
        <w:t>.</w:t>
      </w:r>
    </w:p>
    <w:p w14:paraId="1B7C315E" w14:textId="18FF97D2" w:rsidR="00BA4935" w:rsidRPr="00813D19" w:rsidRDefault="00BA4935"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remarked that since the original paragraph 3 had been adopted</w:t>
      </w:r>
      <w:r w:rsidR="00067599" w:rsidRPr="00813D19">
        <w:rPr>
          <w:rFonts w:eastAsia="Calibri"/>
          <w:color w:val="000000" w:themeColor="text1"/>
          <w:lang w:val="en-US"/>
        </w:rPr>
        <w:t xml:space="preserve"> [the named criteria were not met]</w:t>
      </w:r>
      <w:r w:rsidRPr="00813D19">
        <w:rPr>
          <w:rFonts w:eastAsia="Calibri"/>
          <w:color w:val="000000" w:themeColor="text1"/>
          <w:lang w:val="en-US"/>
        </w:rPr>
        <w:t>, the current amendment in paragra</w:t>
      </w:r>
      <w:r w:rsidR="00067599" w:rsidRPr="00813D19">
        <w:rPr>
          <w:rFonts w:eastAsia="Calibri"/>
          <w:color w:val="000000" w:themeColor="text1"/>
          <w:lang w:val="en-US"/>
        </w:rPr>
        <w:t xml:space="preserve">ph 4 </w:t>
      </w:r>
      <w:r w:rsidR="00BA14F9" w:rsidRPr="00813D19">
        <w:rPr>
          <w:rFonts w:eastAsia="Calibri"/>
          <w:color w:val="000000" w:themeColor="text1"/>
          <w:lang w:val="en-US"/>
        </w:rPr>
        <w:t xml:space="preserve">[to inscribe the element] </w:t>
      </w:r>
      <w:r w:rsidR="00067599" w:rsidRPr="00813D19">
        <w:rPr>
          <w:rFonts w:eastAsia="Calibri"/>
          <w:color w:val="000000" w:themeColor="text1"/>
          <w:lang w:val="en-US"/>
        </w:rPr>
        <w:t xml:space="preserve">could not ordinarily stand </w:t>
      </w:r>
      <w:r w:rsidRPr="00813D19">
        <w:rPr>
          <w:rFonts w:eastAsia="Calibri"/>
          <w:color w:val="000000" w:themeColor="text1"/>
          <w:lang w:val="en-US"/>
        </w:rPr>
        <w:t>alone</w:t>
      </w:r>
      <w:r w:rsidR="00BA14F9" w:rsidRPr="00813D19">
        <w:rPr>
          <w:rFonts w:eastAsia="Calibri"/>
          <w:color w:val="000000" w:themeColor="text1"/>
          <w:lang w:val="en-US"/>
        </w:rPr>
        <w:t>.</w:t>
      </w:r>
    </w:p>
    <w:p w14:paraId="1E33D094" w14:textId="68D38249" w:rsidR="006C553D" w:rsidRPr="00813D19" w:rsidRDefault="00BA4935"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Secretary</w:t>
      </w:r>
      <w:r w:rsidR="00F56130" w:rsidRPr="00813D19">
        <w:rPr>
          <w:rFonts w:eastAsia="Calibri"/>
          <w:color w:val="000000" w:themeColor="text1"/>
          <w:lang w:val="en-US"/>
        </w:rPr>
        <w:t xml:space="preserve"> </w:t>
      </w:r>
      <w:r w:rsidR="00067599" w:rsidRPr="00813D19">
        <w:rPr>
          <w:rFonts w:eastAsia="Calibri"/>
          <w:color w:val="000000" w:themeColor="text1"/>
          <w:lang w:val="en-US"/>
        </w:rPr>
        <w:t>reminded the Committee that</w:t>
      </w:r>
      <w:r w:rsidR="00653DDC" w:rsidRPr="00813D19">
        <w:rPr>
          <w:rFonts w:eastAsia="Calibri"/>
          <w:color w:val="000000" w:themeColor="text1"/>
          <w:lang w:val="en-US"/>
        </w:rPr>
        <w:t xml:space="preserve">, </w:t>
      </w:r>
      <w:r w:rsidR="00067599" w:rsidRPr="00813D19">
        <w:rPr>
          <w:bCs/>
          <w:lang w:val="en-US"/>
        </w:rPr>
        <w:t>according to the Operational Directives</w:t>
      </w:r>
      <w:r w:rsidR="00653DDC" w:rsidRPr="00813D19">
        <w:rPr>
          <w:bCs/>
          <w:lang w:val="en-US"/>
        </w:rPr>
        <w:t xml:space="preserve">, </w:t>
      </w:r>
      <w:r w:rsidR="00F56130" w:rsidRPr="00813D19">
        <w:rPr>
          <w:bCs/>
          <w:lang w:val="en-US"/>
        </w:rPr>
        <w:t xml:space="preserve">an element </w:t>
      </w:r>
      <w:r w:rsidR="00067599" w:rsidRPr="00813D19">
        <w:rPr>
          <w:bCs/>
          <w:lang w:val="en-US"/>
        </w:rPr>
        <w:t xml:space="preserve">must satisfy </w:t>
      </w:r>
      <w:r w:rsidR="00F56130" w:rsidRPr="00813D19">
        <w:rPr>
          <w:bCs/>
          <w:lang w:val="en-US"/>
        </w:rPr>
        <w:t xml:space="preserve">all five criteria </w:t>
      </w:r>
      <w:r w:rsidR="00E72560">
        <w:rPr>
          <w:bCs/>
          <w:lang w:val="en-US"/>
        </w:rPr>
        <w:t>to be inscribed.</w:t>
      </w:r>
    </w:p>
    <w:p w14:paraId="6F879263" w14:textId="02F618D2" w:rsidR="00BA4935" w:rsidRPr="00813D19" w:rsidRDefault="00BA4935"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the Netherlands</w:t>
      </w:r>
      <w:r w:rsidRPr="00813D19">
        <w:rPr>
          <w:rFonts w:eastAsia="Calibri"/>
          <w:color w:val="000000" w:themeColor="text1"/>
          <w:lang w:val="en-US"/>
        </w:rPr>
        <w:t xml:space="preserve"> repeated that it </w:t>
      </w:r>
      <w:r w:rsidR="00E72560">
        <w:rPr>
          <w:rFonts w:eastAsia="Calibri"/>
          <w:color w:val="000000" w:themeColor="text1"/>
          <w:lang w:val="en-US"/>
        </w:rPr>
        <w:t>did not support the amendments.</w:t>
      </w:r>
    </w:p>
    <w:p w14:paraId="32E5407B" w14:textId="2DEBBB93" w:rsidR="00BA4935" w:rsidRPr="00813D19" w:rsidRDefault="00BA4935"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Not</w:t>
      </w:r>
      <w:r w:rsidR="00067599" w:rsidRPr="00813D19">
        <w:rPr>
          <w:rFonts w:eastAsia="Calibri"/>
          <w:color w:val="000000" w:themeColor="text1"/>
          <w:lang w:val="en-US"/>
        </w:rPr>
        <w:t>ing that there was no</w:t>
      </w:r>
      <w:r w:rsidRPr="00813D19">
        <w:rPr>
          <w:rFonts w:eastAsia="Calibri"/>
          <w:color w:val="000000" w:themeColor="text1"/>
          <w:lang w:val="en-US"/>
        </w:rPr>
        <w:t xml:space="preserve"> broad support for the amendment, the </w:t>
      </w:r>
      <w:r w:rsidRPr="00813D19">
        <w:rPr>
          <w:rFonts w:eastAsia="Calibri"/>
          <w:b/>
          <w:color w:val="000000" w:themeColor="text1"/>
          <w:lang w:val="en-US"/>
        </w:rPr>
        <w:t>Chairperson</w:t>
      </w:r>
      <w:r w:rsidRPr="00813D19">
        <w:rPr>
          <w:rFonts w:eastAsia="Calibri"/>
          <w:color w:val="000000" w:themeColor="text1"/>
          <w:lang w:val="en-US"/>
        </w:rPr>
        <w:t xml:space="preserve"> returned to the original parag</w:t>
      </w:r>
      <w:r w:rsidR="00E72560">
        <w:rPr>
          <w:rFonts w:eastAsia="Calibri"/>
          <w:color w:val="000000" w:themeColor="text1"/>
          <w:lang w:val="en-US"/>
        </w:rPr>
        <w:t>raph 4, which was duly adopted.</w:t>
      </w:r>
    </w:p>
    <w:p w14:paraId="48D41E2C" w14:textId="7E88DD50" w:rsidR="00BA4935" w:rsidRPr="00813D19" w:rsidRDefault="00BA4935"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Cuba</w:t>
      </w:r>
      <w:r w:rsidR="003D14B6" w:rsidRPr="00813D19">
        <w:rPr>
          <w:rFonts w:eastAsia="Calibri"/>
          <w:b/>
          <w:color w:val="000000" w:themeColor="text1"/>
          <w:lang w:val="en-US"/>
        </w:rPr>
        <w:t xml:space="preserve"> </w:t>
      </w:r>
      <w:r w:rsidR="00A81459" w:rsidRPr="00813D19">
        <w:rPr>
          <w:bCs/>
          <w:lang w:val="en-US"/>
        </w:rPr>
        <w:t>had</w:t>
      </w:r>
      <w:r w:rsidR="003D14B6" w:rsidRPr="00813D19">
        <w:rPr>
          <w:bCs/>
          <w:lang w:val="en-US"/>
        </w:rPr>
        <w:t xml:space="preserve"> been following the </w:t>
      </w:r>
      <w:r w:rsidR="00A81459" w:rsidRPr="00813D19">
        <w:rPr>
          <w:bCs/>
          <w:lang w:val="en-US"/>
        </w:rPr>
        <w:t xml:space="preserve">discussion, </w:t>
      </w:r>
      <w:r w:rsidR="00653DDC" w:rsidRPr="00813D19">
        <w:rPr>
          <w:bCs/>
          <w:lang w:val="en-US"/>
        </w:rPr>
        <w:t xml:space="preserve">noting </w:t>
      </w:r>
      <w:r w:rsidR="00A81459" w:rsidRPr="00813D19">
        <w:rPr>
          <w:bCs/>
          <w:lang w:val="en-US"/>
        </w:rPr>
        <w:t>that this nomination had</w:t>
      </w:r>
      <w:r w:rsidR="003D14B6" w:rsidRPr="00813D19">
        <w:rPr>
          <w:bCs/>
          <w:lang w:val="en-US"/>
        </w:rPr>
        <w:t xml:space="preserve"> given rise to </w:t>
      </w:r>
      <w:r w:rsidR="00A81459" w:rsidRPr="00813D19">
        <w:rPr>
          <w:bCs/>
          <w:lang w:val="en-US"/>
        </w:rPr>
        <w:t xml:space="preserve">protracted </w:t>
      </w:r>
      <w:r w:rsidR="003D14B6" w:rsidRPr="00813D19">
        <w:rPr>
          <w:bCs/>
          <w:lang w:val="en-US"/>
        </w:rPr>
        <w:t>negotiations within the Committee</w:t>
      </w:r>
      <w:r w:rsidR="00A81459" w:rsidRPr="00813D19">
        <w:rPr>
          <w:bCs/>
          <w:lang w:val="en-US"/>
        </w:rPr>
        <w:t>,</w:t>
      </w:r>
      <w:r w:rsidR="003D14B6" w:rsidRPr="00813D19">
        <w:rPr>
          <w:bCs/>
          <w:lang w:val="en-US"/>
        </w:rPr>
        <w:t xml:space="preserve"> perhaps owing to some of the details regarding </w:t>
      </w:r>
      <w:r w:rsidR="00A81459" w:rsidRPr="00813D19">
        <w:rPr>
          <w:bCs/>
          <w:lang w:val="en-US"/>
        </w:rPr>
        <w:t>R.</w:t>
      </w:r>
      <w:r w:rsidR="003D14B6" w:rsidRPr="00813D19">
        <w:rPr>
          <w:bCs/>
          <w:lang w:val="en-US"/>
        </w:rPr>
        <w:t xml:space="preserve">2 and </w:t>
      </w:r>
      <w:r w:rsidR="00A81459" w:rsidRPr="00813D19">
        <w:rPr>
          <w:bCs/>
          <w:lang w:val="en-US"/>
        </w:rPr>
        <w:t>R.</w:t>
      </w:r>
      <w:r w:rsidR="003D14B6" w:rsidRPr="00813D19">
        <w:rPr>
          <w:bCs/>
          <w:lang w:val="en-US"/>
        </w:rPr>
        <w:t xml:space="preserve">5 or perhaps </w:t>
      </w:r>
      <w:r w:rsidR="00A81459" w:rsidRPr="00813D19">
        <w:rPr>
          <w:bCs/>
          <w:lang w:val="en-US"/>
        </w:rPr>
        <w:t xml:space="preserve">due to </w:t>
      </w:r>
      <w:r w:rsidR="003D14B6" w:rsidRPr="00813D19">
        <w:rPr>
          <w:bCs/>
          <w:lang w:val="en-US"/>
        </w:rPr>
        <w:t xml:space="preserve">some incongruence with </w:t>
      </w:r>
      <w:r w:rsidR="00A81459" w:rsidRPr="00813D19">
        <w:rPr>
          <w:bCs/>
          <w:lang w:val="en-US"/>
        </w:rPr>
        <w:t>R.</w:t>
      </w:r>
      <w:r w:rsidR="003D14B6" w:rsidRPr="00813D19">
        <w:rPr>
          <w:bCs/>
          <w:lang w:val="en-US"/>
        </w:rPr>
        <w:t xml:space="preserve"> 4. </w:t>
      </w:r>
      <w:r w:rsidR="00A81459" w:rsidRPr="00813D19">
        <w:rPr>
          <w:bCs/>
          <w:lang w:val="en-US"/>
        </w:rPr>
        <w:t xml:space="preserve">The delegation asked </w:t>
      </w:r>
      <w:r w:rsidR="003D14B6" w:rsidRPr="00813D19">
        <w:rPr>
          <w:bCs/>
          <w:lang w:val="en-US"/>
        </w:rPr>
        <w:t xml:space="preserve">the Secretariat </w:t>
      </w:r>
      <w:r w:rsidR="00A81459" w:rsidRPr="00813D19">
        <w:rPr>
          <w:bCs/>
          <w:lang w:val="en-US"/>
        </w:rPr>
        <w:t xml:space="preserve">whether </w:t>
      </w:r>
      <w:r w:rsidR="00653DDC" w:rsidRPr="00813D19">
        <w:rPr>
          <w:bCs/>
          <w:lang w:val="en-US"/>
        </w:rPr>
        <w:t xml:space="preserve">in the spirit of dialogue </w:t>
      </w:r>
      <w:r w:rsidR="003D14B6" w:rsidRPr="00813D19">
        <w:rPr>
          <w:bCs/>
          <w:lang w:val="en-US"/>
        </w:rPr>
        <w:t xml:space="preserve">there </w:t>
      </w:r>
      <w:r w:rsidR="00A81459" w:rsidRPr="00813D19">
        <w:rPr>
          <w:bCs/>
          <w:lang w:val="en-US"/>
        </w:rPr>
        <w:t xml:space="preserve">was </w:t>
      </w:r>
      <w:r w:rsidR="003D14B6" w:rsidRPr="00813D19">
        <w:rPr>
          <w:bCs/>
          <w:lang w:val="en-US"/>
        </w:rPr>
        <w:t xml:space="preserve">a way to </w:t>
      </w:r>
      <w:r w:rsidR="00A81459" w:rsidRPr="00813D19">
        <w:rPr>
          <w:bCs/>
          <w:lang w:val="en-US"/>
        </w:rPr>
        <w:t xml:space="preserve">allow the nomination </w:t>
      </w:r>
      <w:r w:rsidR="00472342" w:rsidRPr="00813D19">
        <w:rPr>
          <w:bCs/>
          <w:lang w:val="en-US"/>
        </w:rPr>
        <w:t xml:space="preserve">to be resubmitted </w:t>
      </w:r>
      <w:r w:rsidR="000178B0" w:rsidRPr="00813D19">
        <w:rPr>
          <w:bCs/>
          <w:lang w:val="en-US"/>
        </w:rPr>
        <w:t xml:space="preserve">earlier than in </w:t>
      </w:r>
      <w:r w:rsidR="003D14B6" w:rsidRPr="00813D19">
        <w:rPr>
          <w:bCs/>
          <w:lang w:val="en-US"/>
        </w:rPr>
        <w:t>two years</w:t>
      </w:r>
      <w:r w:rsidR="00E1263F">
        <w:rPr>
          <w:bCs/>
          <w:lang w:val="en-US"/>
        </w:rPr>
        <w:t>’</w:t>
      </w:r>
      <w:r w:rsidR="00472342" w:rsidRPr="00813D19">
        <w:rPr>
          <w:bCs/>
          <w:lang w:val="en-US"/>
        </w:rPr>
        <w:t xml:space="preserve"> </w:t>
      </w:r>
      <w:r w:rsidR="000178B0" w:rsidRPr="00813D19">
        <w:rPr>
          <w:bCs/>
          <w:lang w:val="en-US"/>
        </w:rPr>
        <w:t>time</w:t>
      </w:r>
      <w:r w:rsidR="003D14B6" w:rsidRPr="00813D19">
        <w:rPr>
          <w:bCs/>
          <w:lang w:val="en-US"/>
        </w:rPr>
        <w:t xml:space="preserve">. </w:t>
      </w:r>
      <w:r w:rsidR="00472342" w:rsidRPr="00813D19">
        <w:rPr>
          <w:bCs/>
          <w:lang w:val="en-US"/>
        </w:rPr>
        <w:t xml:space="preserve">It did not wish to run </w:t>
      </w:r>
      <w:r w:rsidR="000178B0" w:rsidRPr="00813D19">
        <w:rPr>
          <w:bCs/>
          <w:lang w:val="en-US"/>
        </w:rPr>
        <w:t xml:space="preserve">against </w:t>
      </w:r>
      <w:r w:rsidR="003D14B6" w:rsidRPr="00813D19">
        <w:rPr>
          <w:bCs/>
          <w:lang w:val="en-US"/>
        </w:rPr>
        <w:t xml:space="preserve">the procedure </w:t>
      </w:r>
      <w:r w:rsidR="00472342" w:rsidRPr="00813D19">
        <w:rPr>
          <w:bCs/>
          <w:lang w:val="en-US"/>
        </w:rPr>
        <w:t xml:space="preserve">in place, </w:t>
      </w:r>
      <w:r w:rsidR="003D14B6" w:rsidRPr="00813D19">
        <w:rPr>
          <w:bCs/>
          <w:lang w:val="en-US"/>
        </w:rPr>
        <w:t xml:space="preserve">but at least in the written </w:t>
      </w:r>
      <w:r w:rsidR="000178B0" w:rsidRPr="00813D19">
        <w:rPr>
          <w:bCs/>
          <w:lang w:val="en-US"/>
        </w:rPr>
        <w:t xml:space="preserve">and </w:t>
      </w:r>
      <w:r w:rsidR="003D14B6" w:rsidRPr="00813D19">
        <w:rPr>
          <w:bCs/>
          <w:lang w:val="en-US"/>
        </w:rPr>
        <w:t xml:space="preserve">oral report </w:t>
      </w:r>
      <w:r w:rsidR="000178B0" w:rsidRPr="00813D19">
        <w:rPr>
          <w:bCs/>
          <w:lang w:val="en-US"/>
        </w:rPr>
        <w:t xml:space="preserve">it could mention </w:t>
      </w:r>
      <w:r w:rsidR="003D14B6" w:rsidRPr="00813D19">
        <w:rPr>
          <w:bCs/>
          <w:lang w:val="en-US"/>
        </w:rPr>
        <w:t xml:space="preserve">the possibility for the Bureau or the Evaluation Body to reconsider this </w:t>
      </w:r>
      <w:r w:rsidR="000178B0" w:rsidRPr="00813D19">
        <w:rPr>
          <w:bCs/>
          <w:lang w:val="en-US"/>
        </w:rPr>
        <w:t xml:space="preserve">nomination </w:t>
      </w:r>
      <w:r w:rsidR="003D14B6" w:rsidRPr="00813D19">
        <w:rPr>
          <w:bCs/>
          <w:lang w:val="en-US"/>
        </w:rPr>
        <w:t xml:space="preserve">in </w:t>
      </w:r>
      <w:r w:rsidR="000178B0" w:rsidRPr="00813D19">
        <w:rPr>
          <w:bCs/>
          <w:lang w:val="en-US"/>
        </w:rPr>
        <w:t xml:space="preserve">order to gather the information that was considered </w:t>
      </w:r>
      <w:r w:rsidR="00E1263F">
        <w:rPr>
          <w:bCs/>
          <w:lang w:val="en-US"/>
        </w:rPr>
        <w:t xml:space="preserve">to be </w:t>
      </w:r>
      <w:r w:rsidR="000178B0" w:rsidRPr="00813D19">
        <w:rPr>
          <w:bCs/>
          <w:lang w:val="en-US"/>
        </w:rPr>
        <w:t xml:space="preserve">insufficient by </w:t>
      </w:r>
      <w:r w:rsidR="003D14B6" w:rsidRPr="00813D19">
        <w:rPr>
          <w:bCs/>
          <w:lang w:val="en-US"/>
        </w:rPr>
        <w:t xml:space="preserve">some </w:t>
      </w:r>
      <w:r w:rsidR="00E72560">
        <w:rPr>
          <w:bCs/>
          <w:lang w:val="en-US"/>
        </w:rPr>
        <w:t>Members during this session.</w:t>
      </w:r>
    </w:p>
    <w:p w14:paraId="7AA4EA7E" w14:textId="08600189" w:rsidR="000178B0" w:rsidRPr="00813D19" w:rsidRDefault="00573534"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000178B0" w:rsidRPr="00813D19">
        <w:rPr>
          <w:rFonts w:eastAsia="Calibri"/>
          <w:b/>
          <w:color w:val="000000" w:themeColor="text1"/>
          <w:lang w:val="en-US"/>
        </w:rPr>
        <w:t xml:space="preserve"> delegations of Colombia </w:t>
      </w:r>
      <w:r w:rsidR="000178B0" w:rsidRPr="00813D19">
        <w:rPr>
          <w:rFonts w:eastAsia="Calibri"/>
          <w:color w:val="000000" w:themeColor="text1"/>
          <w:lang w:val="en-US"/>
        </w:rPr>
        <w:t>and</w:t>
      </w:r>
      <w:r w:rsidRPr="00813D19">
        <w:rPr>
          <w:rFonts w:eastAsia="Calibri"/>
          <w:b/>
          <w:color w:val="000000" w:themeColor="text1"/>
          <w:lang w:val="en-US"/>
        </w:rPr>
        <w:t xml:space="preserve"> </w:t>
      </w:r>
      <w:r w:rsidR="00B92B58" w:rsidRPr="00813D19">
        <w:rPr>
          <w:rFonts w:eastAsia="Calibri"/>
          <w:b/>
          <w:color w:val="000000" w:themeColor="text1"/>
          <w:lang w:val="en-US"/>
        </w:rPr>
        <w:t>Palestine</w:t>
      </w:r>
      <w:r w:rsidR="000178B0" w:rsidRPr="00813D19">
        <w:rPr>
          <w:rFonts w:eastAsia="Calibri"/>
          <w:b/>
          <w:color w:val="000000" w:themeColor="text1"/>
          <w:lang w:val="en-US"/>
        </w:rPr>
        <w:t xml:space="preserve"> </w:t>
      </w:r>
      <w:r w:rsidR="000178B0" w:rsidRPr="00813D19">
        <w:rPr>
          <w:rFonts w:eastAsia="Calibri"/>
          <w:color w:val="000000" w:themeColor="text1"/>
          <w:lang w:val="en-US"/>
        </w:rPr>
        <w:t>supported the remarks made by Cuba.</w:t>
      </w:r>
    </w:p>
    <w:p w14:paraId="50270088" w14:textId="164FC192" w:rsidR="000178B0" w:rsidRPr="00813D19" w:rsidRDefault="000178B0" w:rsidP="00BA4935">
      <w:pPr>
        <w:pStyle w:val="Orateurengris"/>
        <w:spacing w:before="120"/>
        <w:ind w:left="709" w:hanging="709"/>
        <w:rPr>
          <w:rFonts w:eastAsia="Calibri"/>
          <w:color w:val="000000" w:themeColor="text1"/>
          <w:lang w:val="en-US"/>
        </w:rPr>
      </w:pPr>
      <w:r w:rsidRPr="00813D19">
        <w:rPr>
          <w:bCs/>
          <w:lang w:val="en-US"/>
        </w:rPr>
        <w:t xml:space="preserve">The </w:t>
      </w:r>
      <w:r w:rsidRPr="00813D19">
        <w:rPr>
          <w:b/>
          <w:bCs/>
          <w:lang w:val="en-US"/>
        </w:rPr>
        <w:t>Chairperson</w:t>
      </w:r>
      <w:r w:rsidRPr="00813D19">
        <w:rPr>
          <w:bCs/>
          <w:lang w:val="en-US"/>
        </w:rPr>
        <w:t xml:space="preserve"> recalled </w:t>
      </w:r>
      <w:r w:rsidR="00FC373F" w:rsidRPr="00813D19">
        <w:rPr>
          <w:bCs/>
          <w:lang w:val="en-US"/>
        </w:rPr>
        <w:t xml:space="preserve">an </w:t>
      </w:r>
      <w:r w:rsidRPr="00813D19">
        <w:rPr>
          <w:bCs/>
          <w:lang w:val="en-US"/>
        </w:rPr>
        <w:t xml:space="preserve">earlier suggestion </w:t>
      </w:r>
      <w:r w:rsidR="00FC373F" w:rsidRPr="00813D19">
        <w:rPr>
          <w:bCs/>
          <w:lang w:val="en-US"/>
        </w:rPr>
        <w:t xml:space="preserve">by Cyprus </w:t>
      </w:r>
      <w:r w:rsidRPr="00813D19">
        <w:rPr>
          <w:bCs/>
          <w:lang w:val="en-US"/>
        </w:rPr>
        <w:t xml:space="preserve">that Committee Members supporting a particular position should say so </w:t>
      </w:r>
      <w:r w:rsidR="00FC373F" w:rsidRPr="00813D19">
        <w:rPr>
          <w:bCs/>
          <w:lang w:val="en-US"/>
        </w:rPr>
        <w:t xml:space="preserve">right away </w:t>
      </w:r>
      <w:r w:rsidRPr="00813D19">
        <w:rPr>
          <w:bCs/>
          <w:lang w:val="en-US"/>
        </w:rPr>
        <w:t>in order to save time.</w:t>
      </w:r>
    </w:p>
    <w:p w14:paraId="3D4563F7" w14:textId="5184AB11" w:rsidR="00573534" w:rsidRPr="00813D19" w:rsidRDefault="000178B0"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w:t>
      </w:r>
      <w:r w:rsidR="000953A7">
        <w:rPr>
          <w:rFonts w:eastAsia="Calibri"/>
          <w:b/>
          <w:color w:val="000000" w:themeColor="text1"/>
          <w:lang w:val="en-US"/>
        </w:rPr>
        <w:t xml:space="preserve">the </w:t>
      </w:r>
      <w:r w:rsidR="00573534" w:rsidRPr="00813D19">
        <w:rPr>
          <w:rFonts w:eastAsia="Calibri"/>
          <w:b/>
          <w:color w:val="000000" w:themeColor="text1"/>
          <w:lang w:val="en-US"/>
        </w:rPr>
        <w:t xml:space="preserve">Philippines </w:t>
      </w:r>
      <w:r w:rsidRPr="00813D19">
        <w:rPr>
          <w:rFonts w:eastAsia="Calibri"/>
          <w:color w:val="000000" w:themeColor="text1"/>
          <w:lang w:val="en-US"/>
        </w:rPr>
        <w:t>also supported the remarks by Cuba.</w:t>
      </w:r>
    </w:p>
    <w:p w14:paraId="69969CEB" w14:textId="4E579189" w:rsidR="000178B0" w:rsidRPr="00813D19" w:rsidRDefault="00573534"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Cyprus </w:t>
      </w:r>
      <w:r w:rsidR="000178B0" w:rsidRPr="00813D19">
        <w:rPr>
          <w:rFonts w:eastAsia="Calibri"/>
          <w:color w:val="000000" w:themeColor="text1"/>
          <w:lang w:val="en-US"/>
        </w:rPr>
        <w:t>agree</w:t>
      </w:r>
      <w:r w:rsidR="003D1093" w:rsidRPr="00813D19">
        <w:rPr>
          <w:rFonts w:eastAsia="Calibri"/>
          <w:color w:val="000000" w:themeColor="text1"/>
          <w:lang w:val="en-US"/>
        </w:rPr>
        <w:t>d</w:t>
      </w:r>
      <w:r w:rsidR="000178B0" w:rsidRPr="00813D19">
        <w:rPr>
          <w:rFonts w:eastAsia="Calibri"/>
          <w:color w:val="000000" w:themeColor="text1"/>
          <w:lang w:val="en-US"/>
        </w:rPr>
        <w:t xml:space="preserve"> with </w:t>
      </w:r>
      <w:r w:rsidR="00EC2F59" w:rsidRPr="00813D19">
        <w:rPr>
          <w:rFonts w:eastAsia="Calibri"/>
          <w:color w:val="000000" w:themeColor="text1"/>
          <w:lang w:val="en-US"/>
        </w:rPr>
        <w:t>the comm</w:t>
      </w:r>
      <w:r w:rsidR="003D1093" w:rsidRPr="00813D19">
        <w:rPr>
          <w:rFonts w:eastAsia="Calibri"/>
          <w:color w:val="000000" w:themeColor="text1"/>
          <w:lang w:val="en-US"/>
        </w:rPr>
        <w:t>e</w:t>
      </w:r>
      <w:r w:rsidR="00EC2F59" w:rsidRPr="00813D19">
        <w:rPr>
          <w:rFonts w:eastAsia="Calibri"/>
          <w:color w:val="000000" w:themeColor="text1"/>
          <w:lang w:val="en-US"/>
        </w:rPr>
        <w:t>n</w:t>
      </w:r>
      <w:r w:rsidR="003D1093" w:rsidRPr="00813D19">
        <w:rPr>
          <w:rFonts w:eastAsia="Calibri"/>
          <w:color w:val="000000" w:themeColor="text1"/>
          <w:lang w:val="en-US"/>
        </w:rPr>
        <w:t xml:space="preserve">ts made by </w:t>
      </w:r>
      <w:r w:rsidR="00FC373F" w:rsidRPr="00813D19">
        <w:rPr>
          <w:rFonts w:eastAsia="Calibri"/>
          <w:color w:val="000000" w:themeColor="text1"/>
          <w:lang w:val="en-US"/>
        </w:rPr>
        <w:t>Cuba</w:t>
      </w:r>
      <w:r w:rsidR="000178B0" w:rsidRPr="00813D19">
        <w:rPr>
          <w:rFonts w:eastAsia="Calibri"/>
          <w:color w:val="000000" w:themeColor="text1"/>
          <w:lang w:val="en-US"/>
        </w:rPr>
        <w:t xml:space="preserve"> </w:t>
      </w:r>
      <w:r w:rsidR="00FC373F" w:rsidRPr="00813D19">
        <w:rPr>
          <w:rFonts w:eastAsia="Calibri"/>
          <w:color w:val="000000" w:themeColor="text1"/>
          <w:lang w:val="en-US"/>
        </w:rPr>
        <w:t>and recalled that in the Bureau meeting the previous day, the Members</w:t>
      </w:r>
      <w:r w:rsidR="00E1263F">
        <w:rPr>
          <w:rFonts w:eastAsia="Calibri"/>
          <w:color w:val="000000" w:themeColor="text1"/>
          <w:lang w:val="en-US"/>
        </w:rPr>
        <w:t xml:space="preserve"> had</w:t>
      </w:r>
      <w:r w:rsidR="00FC373F" w:rsidRPr="00813D19">
        <w:rPr>
          <w:rFonts w:eastAsia="Calibri"/>
          <w:color w:val="000000" w:themeColor="text1"/>
          <w:lang w:val="en-US"/>
        </w:rPr>
        <w:t xml:space="preserve"> agreed that the floor </w:t>
      </w:r>
      <w:r w:rsidR="000178B0" w:rsidRPr="00813D19">
        <w:rPr>
          <w:rFonts w:eastAsia="Calibri"/>
          <w:color w:val="000000" w:themeColor="text1"/>
          <w:lang w:val="en-US"/>
        </w:rPr>
        <w:t xml:space="preserve">could </w:t>
      </w:r>
      <w:r w:rsidR="00FC373F" w:rsidRPr="00813D19">
        <w:rPr>
          <w:rFonts w:eastAsia="Calibri"/>
          <w:color w:val="000000" w:themeColor="text1"/>
          <w:lang w:val="en-US"/>
        </w:rPr>
        <w:t xml:space="preserve">be </w:t>
      </w:r>
      <w:r w:rsidR="000178B0" w:rsidRPr="00813D19">
        <w:rPr>
          <w:rFonts w:eastAsia="Calibri"/>
          <w:color w:val="000000" w:themeColor="text1"/>
          <w:lang w:val="en-US"/>
        </w:rPr>
        <w:t>give</w:t>
      </w:r>
      <w:r w:rsidR="00FC373F" w:rsidRPr="00813D19">
        <w:rPr>
          <w:rFonts w:eastAsia="Calibri"/>
          <w:color w:val="000000" w:themeColor="text1"/>
          <w:lang w:val="en-US"/>
        </w:rPr>
        <w:t>n</w:t>
      </w:r>
      <w:r w:rsidR="000178B0" w:rsidRPr="00813D19">
        <w:rPr>
          <w:rFonts w:eastAsia="Calibri"/>
          <w:color w:val="000000" w:themeColor="text1"/>
          <w:lang w:val="en-US"/>
        </w:rPr>
        <w:t xml:space="preserve"> to a Member State to open </w:t>
      </w:r>
      <w:r w:rsidR="00FC373F" w:rsidRPr="00813D19">
        <w:rPr>
          <w:rFonts w:eastAsia="Calibri"/>
          <w:color w:val="000000" w:themeColor="text1"/>
          <w:lang w:val="en-US"/>
        </w:rPr>
        <w:t xml:space="preserve">a </w:t>
      </w:r>
      <w:r w:rsidR="000178B0" w:rsidRPr="00813D19">
        <w:rPr>
          <w:rFonts w:eastAsia="Calibri"/>
          <w:color w:val="000000" w:themeColor="text1"/>
          <w:lang w:val="en-US"/>
        </w:rPr>
        <w:t xml:space="preserve">file, but </w:t>
      </w:r>
      <w:r w:rsidR="00FC373F" w:rsidRPr="00813D19">
        <w:rPr>
          <w:rFonts w:eastAsia="Calibri"/>
          <w:color w:val="000000" w:themeColor="text1"/>
          <w:lang w:val="en-US"/>
        </w:rPr>
        <w:t xml:space="preserve">the Committee would not </w:t>
      </w:r>
      <w:r w:rsidR="000178B0" w:rsidRPr="00813D19">
        <w:rPr>
          <w:rFonts w:eastAsia="Calibri"/>
          <w:color w:val="000000" w:themeColor="text1"/>
          <w:lang w:val="en-US"/>
        </w:rPr>
        <w:t xml:space="preserve">normally accept </w:t>
      </w:r>
      <w:r w:rsidR="00AE4DC9" w:rsidRPr="00813D19">
        <w:rPr>
          <w:rFonts w:eastAsia="Calibri"/>
          <w:color w:val="000000" w:themeColor="text1"/>
          <w:lang w:val="en-US"/>
        </w:rPr>
        <w:t xml:space="preserve">any </w:t>
      </w:r>
      <w:r w:rsidR="000178B0" w:rsidRPr="00813D19">
        <w:rPr>
          <w:rFonts w:eastAsia="Calibri"/>
          <w:color w:val="000000" w:themeColor="text1"/>
          <w:lang w:val="en-US"/>
        </w:rPr>
        <w:t xml:space="preserve">amendments </w:t>
      </w:r>
      <w:r w:rsidR="00FC373F" w:rsidRPr="00813D19">
        <w:rPr>
          <w:rFonts w:eastAsia="Calibri"/>
          <w:color w:val="000000" w:themeColor="text1"/>
          <w:lang w:val="en-US"/>
        </w:rPr>
        <w:t>at this stage</w:t>
      </w:r>
      <w:r w:rsidR="000178B0" w:rsidRPr="00813D19">
        <w:rPr>
          <w:rFonts w:eastAsia="Calibri"/>
          <w:color w:val="000000" w:themeColor="text1"/>
          <w:lang w:val="en-US"/>
        </w:rPr>
        <w:t xml:space="preserve">. </w:t>
      </w:r>
      <w:r w:rsidR="00FC373F" w:rsidRPr="00813D19">
        <w:rPr>
          <w:rFonts w:eastAsia="Calibri"/>
          <w:color w:val="000000" w:themeColor="text1"/>
          <w:lang w:val="en-US"/>
        </w:rPr>
        <w:t xml:space="preserve">Argentina had been given the opportunity to speak, but the nomination file </w:t>
      </w:r>
      <w:r w:rsidR="00E1263F">
        <w:rPr>
          <w:rFonts w:eastAsia="Calibri"/>
          <w:color w:val="000000" w:themeColor="text1"/>
          <w:lang w:val="en-US"/>
        </w:rPr>
        <w:t>would</w:t>
      </w:r>
      <w:r w:rsidR="00E1263F" w:rsidRPr="00813D19">
        <w:rPr>
          <w:rFonts w:eastAsia="Calibri"/>
          <w:color w:val="000000" w:themeColor="text1"/>
          <w:lang w:val="en-US"/>
        </w:rPr>
        <w:t xml:space="preserve"> </w:t>
      </w:r>
      <w:r w:rsidR="00FC373F" w:rsidRPr="00813D19">
        <w:rPr>
          <w:rFonts w:eastAsia="Calibri"/>
          <w:color w:val="000000" w:themeColor="text1"/>
          <w:lang w:val="en-US"/>
        </w:rPr>
        <w:t xml:space="preserve">be referred and not inscribed in the current cycle. It was hoped that the same approach would be applied to all the </w:t>
      </w:r>
      <w:r w:rsidR="000178B0" w:rsidRPr="00813D19">
        <w:rPr>
          <w:rFonts w:eastAsia="Calibri"/>
          <w:color w:val="000000" w:themeColor="text1"/>
          <w:lang w:val="en-US"/>
        </w:rPr>
        <w:t>other files.</w:t>
      </w:r>
    </w:p>
    <w:p w14:paraId="25610D20" w14:textId="30814DEE" w:rsidR="00B92B58" w:rsidRPr="00813D19" w:rsidRDefault="00B92B58"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FC373F" w:rsidRPr="00813D19">
        <w:rPr>
          <w:rFonts w:eastAsia="Calibri"/>
          <w:color w:val="000000" w:themeColor="text1"/>
          <w:lang w:val="en-US"/>
        </w:rPr>
        <w:t xml:space="preserve">thanked </w:t>
      </w:r>
      <w:r w:rsidR="00FC373F" w:rsidRPr="00813D19">
        <w:rPr>
          <w:bCs/>
          <w:lang w:val="en-US"/>
        </w:rPr>
        <w:t xml:space="preserve">Cyprus for this clarification and noted the request from Cuba, which was </w:t>
      </w:r>
      <w:r w:rsidR="00504ACC" w:rsidRPr="00813D19">
        <w:rPr>
          <w:bCs/>
          <w:lang w:val="en-US"/>
        </w:rPr>
        <w:t>supported by three Members</w:t>
      </w:r>
      <w:r w:rsidR="00FC373F" w:rsidRPr="00813D19">
        <w:rPr>
          <w:bCs/>
          <w:lang w:val="en-US"/>
        </w:rPr>
        <w:t xml:space="preserve"> of the Committee</w:t>
      </w:r>
      <w:r w:rsidR="00504ACC" w:rsidRPr="00813D19">
        <w:rPr>
          <w:bCs/>
          <w:lang w:val="en-US"/>
        </w:rPr>
        <w:t xml:space="preserve">. </w:t>
      </w:r>
      <w:r w:rsidR="00FC373F" w:rsidRPr="00813D19">
        <w:rPr>
          <w:bCs/>
          <w:lang w:val="en-US"/>
        </w:rPr>
        <w:t xml:space="preserve">The </w:t>
      </w:r>
      <w:r w:rsidR="00653DDC" w:rsidRPr="00813D19">
        <w:rPr>
          <w:bCs/>
          <w:lang w:val="en-US"/>
        </w:rPr>
        <w:t xml:space="preserve">Secretary was </w:t>
      </w:r>
      <w:r w:rsidR="00FC373F" w:rsidRPr="00813D19">
        <w:rPr>
          <w:bCs/>
          <w:lang w:val="en-US"/>
        </w:rPr>
        <w:t xml:space="preserve">invited to voice </w:t>
      </w:r>
      <w:r w:rsidR="00E72560">
        <w:rPr>
          <w:bCs/>
          <w:lang w:val="en-US"/>
        </w:rPr>
        <w:t>his views on the situation.</w:t>
      </w:r>
    </w:p>
    <w:p w14:paraId="04AE0323" w14:textId="10771E1F" w:rsidR="00B92B58" w:rsidRPr="00813D19" w:rsidRDefault="00B92B58"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Secretary </w:t>
      </w:r>
      <w:r w:rsidR="00AE4DC9" w:rsidRPr="00813D19">
        <w:rPr>
          <w:rFonts w:eastAsia="Calibri"/>
          <w:color w:val="000000" w:themeColor="text1"/>
          <w:lang w:val="en-US"/>
        </w:rPr>
        <w:t>remarked that the</w:t>
      </w:r>
      <w:r w:rsidR="00AE4DC9" w:rsidRPr="00813D19">
        <w:rPr>
          <w:rFonts w:eastAsia="Calibri"/>
          <w:b/>
          <w:color w:val="000000" w:themeColor="text1"/>
          <w:lang w:val="en-US"/>
        </w:rPr>
        <w:t xml:space="preserve"> </w:t>
      </w:r>
      <w:r w:rsidR="00AE4DC9" w:rsidRPr="00813D19">
        <w:rPr>
          <w:bCs/>
          <w:lang w:val="en-US"/>
        </w:rPr>
        <w:t xml:space="preserve">Committee was in </w:t>
      </w:r>
      <w:r w:rsidR="00504ACC" w:rsidRPr="00813D19">
        <w:rPr>
          <w:bCs/>
          <w:lang w:val="en-US"/>
        </w:rPr>
        <w:t xml:space="preserve">a little bit of a legal and procedural bind. </w:t>
      </w:r>
      <w:r w:rsidR="00AE4DC9" w:rsidRPr="00813D19">
        <w:rPr>
          <w:bCs/>
          <w:lang w:val="en-US"/>
        </w:rPr>
        <w:t>He fully understood</w:t>
      </w:r>
      <w:r w:rsidR="00504ACC" w:rsidRPr="00813D19">
        <w:rPr>
          <w:bCs/>
          <w:lang w:val="en-US"/>
        </w:rPr>
        <w:t xml:space="preserve"> the desire to see these kinds of referrals </w:t>
      </w:r>
      <w:r w:rsidR="00AE4DC9" w:rsidRPr="00813D19">
        <w:rPr>
          <w:bCs/>
          <w:lang w:val="en-US"/>
        </w:rPr>
        <w:t xml:space="preserve">return </w:t>
      </w:r>
      <w:r w:rsidR="00653DDC" w:rsidRPr="00813D19">
        <w:rPr>
          <w:bCs/>
          <w:lang w:val="en-US"/>
        </w:rPr>
        <w:t xml:space="preserve">to the Committee </w:t>
      </w:r>
      <w:r w:rsidR="00504ACC" w:rsidRPr="00813D19">
        <w:rPr>
          <w:bCs/>
          <w:lang w:val="en-US"/>
        </w:rPr>
        <w:t xml:space="preserve">in the </w:t>
      </w:r>
      <w:r w:rsidR="00AE4DC9" w:rsidRPr="00813D19">
        <w:rPr>
          <w:bCs/>
          <w:lang w:val="en-US"/>
        </w:rPr>
        <w:t>following year</w:t>
      </w:r>
      <w:r w:rsidR="00504ACC" w:rsidRPr="00813D19">
        <w:rPr>
          <w:bCs/>
          <w:lang w:val="en-US"/>
        </w:rPr>
        <w:t xml:space="preserve">. Nevertheless, </w:t>
      </w:r>
      <w:r w:rsidR="00AE4DC9" w:rsidRPr="00813D19">
        <w:rPr>
          <w:bCs/>
          <w:lang w:val="en-US"/>
        </w:rPr>
        <w:t xml:space="preserve">the Committee was </w:t>
      </w:r>
      <w:r w:rsidR="00504ACC" w:rsidRPr="00813D19">
        <w:rPr>
          <w:bCs/>
          <w:lang w:val="en-US"/>
        </w:rPr>
        <w:t xml:space="preserve">bound by </w:t>
      </w:r>
      <w:r w:rsidR="00AE4DC9" w:rsidRPr="00813D19">
        <w:rPr>
          <w:bCs/>
          <w:lang w:val="en-US"/>
        </w:rPr>
        <w:t xml:space="preserve">the </w:t>
      </w:r>
      <w:r w:rsidR="00504ACC" w:rsidRPr="00813D19">
        <w:rPr>
          <w:bCs/>
          <w:lang w:val="en-US"/>
        </w:rPr>
        <w:t>Operational Directives esta</w:t>
      </w:r>
      <w:r w:rsidR="00653DDC" w:rsidRPr="00813D19">
        <w:rPr>
          <w:bCs/>
          <w:lang w:val="en-US"/>
        </w:rPr>
        <w:t xml:space="preserve">blished by the General Assembly, particularly in Operational Directive 36, which </w:t>
      </w:r>
      <w:r w:rsidR="00AE4DC9" w:rsidRPr="00813D19">
        <w:rPr>
          <w:bCs/>
          <w:lang w:val="en-US"/>
        </w:rPr>
        <w:t xml:space="preserve">states </w:t>
      </w:r>
      <w:r w:rsidR="00504ACC" w:rsidRPr="00813D19">
        <w:rPr>
          <w:bCs/>
          <w:lang w:val="en-US"/>
        </w:rPr>
        <w:t xml:space="preserve">that </w:t>
      </w:r>
      <w:r w:rsidR="00AE4DC9" w:rsidRPr="00813D19">
        <w:rPr>
          <w:bCs/>
          <w:lang w:val="en-US"/>
        </w:rPr>
        <w:t>“</w:t>
      </w:r>
      <w:r w:rsidR="00504ACC" w:rsidRPr="00813D19">
        <w:rPr>
          <w:bCs/>
          <w:lang w:val="en-US"/>
        </w:rPr>
        <w:t>nominations, proposals or requests that the Committee decides not to inscribe, select or approve or to refer to the submitting States for additional information may be resubmitted to the Committee for examination during a following cycle after having been updated and supplemented</w:t>
      </w:r>
      <w:r w:rsidR="00AE4DC9" w:rsidRPr="00813D19">
        <w:rPr>
          <w:bCs/>
          <w:lang w:val="en-US"/>
        </w:rPr>
        <w:t>”</w:t>
      </w:r>
      <w:r w:rsidR="00504ACC" w:rsidRPr="00813D19">
        <w:rPr>
          <w:bCs/>
          <w:lang w:val="en-US"/>
        </w:rPr>
        <w:t xml:space="preserve">. </w:t>
      </w:r>
      <w:r w:rsidR="00AE4DC9" w:rsidRPr="00813D19">
        <w:rPr>
          <w:bCs/>
          <w:lang w:val="en-US"/>
        </w:rPr>
        <w:t xml:space="preserve">Thus, the </w:t>
      </w:r>
      <w:r w:rsidR="00504ACC" w:rsidRPr="00813D19">
        <w:rPr>
          <w:bCs/>
          <w:lang w:val="en-US"/>
        </w:rPr>
        <w:t xml:space="preserve">current understanding of the rules </w:t>
      </w:r>
      <w:r w:rsidR="00AE4DC9" w:rsidRPr="00813D19">
        <w:rPr>
          <w:bCs/>
          <w:lang w:val="en-US"/>
        </w:rPr>
        <w:t xml:space="preserve">did </w:t>
      </w:r>
      <w:r w:rsidR="00504ACC" w:rsidRPr="00813D19">
        <w:rPr>
          <w:bCs/>
          <w:lang w:val="en-US"/>
        </w:rPr>
        <w:t xml:space="preserve">not actually allow </w:t>
      </w:r>
      <w:r w:rsidR="00AE4DC9" w:rsidRPr="00813D19">
        <w:rPr>
          <w:bCs/>
          <w:lang w:val="en-US"/>
        </w:rPr>
        <w:t>for the file to be returned next year</w:t>
      </w:r>
      <w:r w:rsidR="00504ACC" w:rsidRPr="00813D19">
        <w:rPr>
          <w:bCs/>
          <w:lang w:val="en-US"/>
        </w:rPr>
        <w:t xml:space="preserve">. </w:t>
      </w:r>
      <w:r w:rsidR="00AE4DC9" w:rsidRPr="00813D19">
        <w:rPr>
          <w:bCs/>
          <w:lang w:val="en-US"/>
        </w:rPr>
        <w:t xml:space="preserve">Nevertheless, the Secretary was </w:t>
      </w:r>
      <w:r w:rsidR="00504ACC" w:rsidRPr="00813D19">
        <w:rPr>
          <w:bCs/>
          <w:lang w:val="en-US"/>
        </w:rPr>
        <w:t xml:space="preserve">willing to look for </w:t>
      </w:r>
      <w:r w:rsidR="00AE4DC9" w:rsidRPr="00813D19">
        <w:rPr>
          <w:bCs/>
          <w:lang w:val="en-US"/>
        </w:rPr>
        <w:t>an interpretation</w:t>
      </w:r>
      <w:r w:rsidR="00504ACC" w:rsidRPr="00813D19">
        <w:rPr>
          <w:bCs/>
          <w:lang w:val="en-US"/>
        </w:rPr>
        <w:t xml:space="preserve"> that would allow </w:t>
      </w:r>
      <w:r w:rsidR="00AE4DC9" w:rsidRPr="00813D19">
        <w:rPr>
          <w:bCs/>
          <w:lang w:val="en-US"/>
        </w:rPr>
        <w:t xml:space="preserve">for such a situation, as the Secretariat was not </w:t>
      </w:r>
      <w:r w:rsidR="00504ACC" w:rsidRPr="00813D19">
        <w:rPr>
          <w:bCs/>
          <w:lang w:val="en-US"/>
        </w:rPr>
        <w:t>nec</w:t>
      </w:r>
      <w:r w:rsidR="00A30389" w:rsidRPr="00813D19">
        <w:rPr>
          <w:bCs/>
          <w:lang w:val="en-US"/>
        </w:rPr>
        <w:t>essarily against the idea. The R</w:t>
      </w:r>
      <w:r w:rsidR="00504ACC" w:rsidRPr="00813D19">
        <w:rPr>
          <w:bCs/>
          <w:lang w:val="en-US"/>
        </w:rPr>
        <w:t xml:space="preserve">ules as they </w:t>
      </w:r>
      <w:r w:rsidR="00AE4DC9" w:rsidRPr="00813D19">
        <w:rPr>
          <w:bCs/>
          <w:lang w:val="en-US"/>
        </w:rPr>
        <w:t xml:space="preserve">stood </w:t>
      </w:r>
      <w:r w:rsidR="00504ACC" w:rsidRPr="00813D19">
        <w:rPr>
          <w:bCs/>
          <w:lang w:val="en-US"/>
        </w:rPr>
        <w:t xml:space="preserve">in the Operational Directives and to </w:t>
      </w:r>
      <w:r w:rsidR="00AE4DC9" w:rsidRPr="00813D19">
        <w:rPr>
          <w:bCs/>
          <w:lang w:val="en-US"/>
        </w:rPr>
        <w:t xml:space="preserve">the Secretariat’s </w:t>
      </w:r>
      <w:r w:rsidR="00504ACC" w:rsidRPr="00813D19">
        <w:rPr>
          <w:bCs/>
          <w:lang w:val="en-US"/>
        </w:rPr>
        <w:t xml:space="preserve">understanding </w:t>
      </w:r>
      <w:r w:rsidR="00E1263F" w:rsidRPr="00813D19">
        <w:rPr>
          <w:bCs/>
          <w:lang w:val="en-US"/>
        </w:rPr>
        <w:t>w</w:t>
      </w:r>
      <w:r w:rsidR="00E1263F">
        <w:rPr>
          <w:bCs/>
          <w:lang w:val="en-US"/>
        </w:rPr>
        <w:t>ere</w:t>
      </w:r>
      <w:r w:rsidR="00E1263F" w:rsidRPr="00813D19">
        <w:rPr>
          <w:bCs/>
          <w:lang w:val="en-US"/>
        </w:rPr>
        <w:t xml:space="preserve"> </w:t>
      </w:r>
      <w:r w:rsidR="00AE4DC9" w:rsidRPr="00813D19">
        <w:rPr>
          <w:bCs/>
          <w:lang w:val="en-US"/>
        </w:rPr>
        <w:t xml:space="preserve">that they did </w:t>
      </w:r>
      <w:r w:rsidR="00504ACC" w:rsidRPr="00813D19">
        <w:rPr>
          <w:bCs/>
          <w:lang w:val="en-US"/>
        </w:rPr>
        <w:t>not ac</w:t>
      </w:r>
      <w:r w:rsidR="00AE4DC9" w:rsidRPr="00813D19">
        <w:rPr>
          <w:bCs/>
          <w:lang w:val="en-US"/>
        </w:rPr>
        <w:t xml:space="preserve">tually permit such a procedure </w:t>
      </w:r>
      <w:r w:rsidR="00504ACC" w:rsidRPr="00813D19">
        <w:rPr>
          <w:bCs/>
          <w:lang w:val="en-US"/>
        </w:rPr>
        <w:t xml:space="preserve">whether through the Bureau or </w:t>
      </w:r>
      <w:r w:rsidR="00AE4DC9" w:rsidRPr="00813D19">
        <w:rPr>
          <w:bCs/>
          <w:lang w:val="en-US"/>
        </w:rPr>
        <w:t xml:space="preserve">another course. In any case, </w:t>
      </w:r>
      <w:r w:rsidR="00504ACC" w:rsidRPr="00813D19">
        <w:rPr>
          <w:bCs/>
          <w:lang w:val="en-US"/>
        </w:rPr>
        <w:t>a proper lega</w:t>
      </w:r>
      <w:r w:rsidR="00AE4DC9" w:rsidRPr="00813D19">
        <w:rPr>
          <w:bCs/>
          <w:lang w:val="en-US"/>
        </w:rPr>
        <w:t>l interpretation of the rules would be necessary</w:t>
      </w:r>
      <w:r w:rsidR="00653DDC" w:rsidRPr="00813D19">
        <w:rPr>
          <w:bCs/>
          <w:lang w:val="en-US"/>
        </w:rPr>
        <w:t>,</w:t>
      </w:r>
      <w:r w:rsidR="00AE4DC9" w:rsidRPr="00813D19">
        <w:rPr>
          <w:bCs/>
          <w:lang w:val="en-US"/>
        </w:rPr>
        <w:t xml:space="preserve"> but the current </w:t>
      </w:r>
      <w:r w:rsidR="00504ACC" w:rsidRPr="00813D19">
        <w:rPr>
          <w:bCs/>
          <w:lang w:val="en-US"/>
        </w:rPr>
        <w:t xml:space="preserve">interpretation </w:t>
      </w:r>
      <w:r w:rsidR="00AE4DC9" w:rsidRPr="00813D19">
        <w:rPr>
          <w:bCs/>
          <w:lang w:val="en-US"/>
        </w:rPr>
        <w:t xml:space="preserve">did not </w:t>
      </w:r>
      <w:r w:rsidR="00504ACC" w:rsidRPr="00813D19">
        <w:rPr>
          <w:bCs/>
          <w:lang w:val="en-US"/>
        </w:rPr>
        <w:t>unfortun</w:t>
      </w:r>
      <w:r w:rsidR="00E72560">
        <w:rPr>
          <w:bCs/>
          <w:lang w:val="en-US"/>
        </w:rPr>
        <w:t>ately allow for this to happen.</w:t>
      </w:r>
    </w:p>
    <w:p w14:paraId="04CF4AC3" w14:textId="639AD32B" w:rsidR="00BC46FC" w:rsidRPr="00813D19" w:rsidRDefault="00BC46FC"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Lebanon</w:t>
      </w:r>
      <w:r w:rsidR="00504ACC" w:rsidRPr="00813D19">
        <w:rPr>
          <w:rFonts w:eastAsia="Calibri"/>
          <w:b/>
          <w:color w:val="000000" w:themeColor="text1"/>
          <w:lang w:val="en-US"/>
        </w:rPr>
        <w:t xml:space="preserve"> </w:t>
      </w:r>
      <w:r w:rsidR="00504ACC" w:rsidRPr="00813D19">
        <w:rPr>
          <w:lang w:val="en-US"/>
        </w:rPr>
        <w:t>encourage</w:t>
      </w:r>
      <w:r w:rsidR="00A30389" w:rsidRPr="00813D19">
        <w:rPr>
          <w:lang w:val="en-US"/>
        </w:rPr>
        <w:t>d</w:t>
      </w:r>
      <w:r w:rsidR="00504ACC" w:rsidRPr="00813D19">
        <w:rPr>
          <w:lang w:val="en-US"/>
        </w:rPr>
        <w:t xml:space="preserve"> </w:t>
      </w:r>
      <w:r w:rsidR="00A30389" w:rsidRPr="00813D19">
        <w:rPr>
          <w:lang w:val="en-US"/>
        </w:rPr>
        <w:t xml:space="preserve">the interpretation of </w:t>
      </w:r>
      <w:r w:rsidR="00504ACC" w:rsidRPr="00813D19">
        <w:rPr>
          <w:lang w:val="en-US"/>
        </w:rPr>
        <w:t xml:space="preserve">the Rules to see </w:t>
      </w:r>
      <w:r w:rsidR="00A30389" w:rsidRPr="00813D19">
        <w:rPr>
          <w:lang w:val="en-US"/>
        </w:rPr>
        <w:t xml:space="preserve">whether </w:t>
      </w:r>
      <w:r w:rsidR="00C42893" w:rsidRPr="00813D19">
        <w:rPr>
          <w:lang w:val="en-US"/>
        </w:rPr>
        <w:t>the Committee—in fairness to some deserving files—could allow some countries to re</w:t>
      </w:r>
      <w:r w:rsidR="00504ACC" w:rsidRPr="00813D19">
        <w:rPr>
          <w:lang w:val="en-US"/>
        </w:rPr>
        <w:t xml:space="preserve">submit </w:t>
      </w:r>
      <w:r w:rsidR="00C42893" w:rsidRPr="00813D19">
        <w:rPr>
          <w:lang w:val="en-US"/>
        </w:rPr>
        <w:t>their nominations in the following year</w:t>
      </w:r>
      <w:r w:rsidR="00E72560">
        <w:rPr>
          <w:lang w:val="en-US"/>
        </w:rPr>
        <w:t>.</w:t>
      </w:r>
    </w:p>
    <w:p w14:paraId="2780D734" w14:textId="44CB4D93" w:rsidR="00BC46FC" w:rsidRPr="00813D19" w:rsidRDefault="00BC46FC"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w:t>
      </w:r>
      <w:r w:rsidR="00504ACC" w:rsidRPr="00813D19">
        <w:rPr>
          <w:b/>
          <w:bCs/>
          <w:lang w:val="en-US"/>
        </w:rPr>
        <w:t>Colombia</w:t>
      </w:r>
      <w:r w:rsidR="00504ACC" w:rsidRPr="00813D19">
        <w:rPr>
          <w:bCs/>
          <w:lang w:val="en-US"/>
        </w:rPr>
        <w:t xml:space="preserve"> would be very interested in this </w:t>
      </w:r>
      <w:r w:rsidR="00104F52" w:rsidRPr="00813D19">
        <w:rPr>
          <w:bCs/>
          <w:lang w:val="en-US"/>
        </w:rPr>
        <w:t>option, which would recognize</w:t>
      </w:r>
      <w:r w:rsidR="00504ACC" w:rsidRPr="00813D19">
        <w:rPr>
          <w:bCs/>
          <w:lang w:val="en-US"/>
        </w:rPr>
        <w:t xml:space="preserve"> the hard </w:t>
      </w:r>
      <w:r w:rsidR="00104F52" w:rsidRPr="00813D19">
        <w:rPr>
          <w:bCs/>
          <w:lang w:val="en-US"/>
        </w:rPr>
        <w:t>work carried out by the community and its deep involvement in the nomination</w:t>
      </w:r>
      <w:r w:rsidR="00504ACC" w:rsidRPr="00813D19">
        <w:rPr>
          <w:bCs/>
          <w:lang w:val="en-US"/>
        </w:rPr>
        <w:t xml:space="preserve">. </w:t>
      </w:r>
      <w:r w:rsidR="00104F52" w:rsidRPr="00813D19">
        <w:rPr>
          <w:bCs/>
          <w:lang w:val="en-US"/>
        </w:rPr>
        <w:t xml:space="preserve">It is </w:t>
      </w:r>
      <w:r w:rsidR="00504ACC" w:rsidRPr="00813D19">
        <w:rPr>
          <w:bCs/>
          <w:lang w:val="en-US"/>
        </w:rPr>
        <w:t xml:space="preserve">the people that make the Chamamé and </w:t>
      </w:r>
      <w:r w:rsidR="00653DDC" w:rsidRPr="00813D19">
        <w:rPr>
          <w:bCs/>
          <w:lang w:val="en-US"/>
        </w:rPr>
        <w:t xml:space="preserve">the delegation </w:t>
      </w:r>
      <w:r w:rsidR="00104F52" w:rsidRPr="00813D19">
        <w:rPr>
          <w:bCs/>
          <w:lang w:val="en-US"/>
        </w:rPr>
        <w:t xml:space="preserve">sought to </w:t>
      </w:r>
      <w:r w:rsidR="00504ACC" w:rsidRPr="00813D19">
        <w:rPr>
          <w:bCs/>
          <w:lang w:val="en-US"/>
        </w:rPr>
        <w:t xml:space="preserve">send </w:t>
      </w:r>
      <w:r w:rsidR="00104F52" w:rsidRPr="00813D19">
        <w:rPr>
          <w:bCs/>
          <w:lang w:val="en-US"/>
        </w:rPr>
        <w:t>a positive message</w:t>
      </w:r>
      <w:r w:rsidR="00504ACC" w:rsidRPr="00813D19">
        <w:rPr>
          <w:bCs/>
          <w:lang w:val="en-US"/>
        </w:rPr>
        <w:t xml:space="preserve"> of encouragement </w:t>
      </w:r>
      <w:r w:rsidR="00104F52" w:rsidRPr="00813D19">
        <w:rPr>
          <w:bCs/>
          <w:lang w:val="en-US"/>
        </w:rPr>
        <w:t xml:space="preserve">to the communities involved </w:t>
      </w:r>
      <w:r w:rsidR="00504ACC" w:rsidRPr="00813D19">
        <w:rPr>
          <w:bCs/>
          <w:lang w:val="en-US"/>
        </w:rPr>
        <w:t xml:space="preserve">to </w:t>
      </w:r>
      <w:r w:rsidR="00104F52" w:rsidRPr="00813D19">
        <w:rPr>
          <w:bCs/>
          <w:lang w:val="en-US"/>
        </w:rPr>
        <w:t xml:space="preserve">encourage them to continue with </w:t>
      </w:r>
      <w:r w:rsidR="00504ACC" w:rsidRPr="00813D19">
        <w:rPr>
          <w:bCs/>
          <w:lang w:val="en-US"/>
        </w:rPr>
        <w:t xml:space="preserve">this </w:t>
      </w:r>
      <w:r w:rsidR="00104F52" w:rsidRPr="00813D19">
        <w:rPr>
          <w:bCs/>
          <w:lang w:val="en-US"/>
        </w:rPr>
        <w:t xml:space="preserve">nomination so that it would </w:t>
      </w:r>
      <w:r w:rsidR="00010015" w:rsidRPr="00813D19">
        <w:rPr>
          <w:bCs/>
          <w:lang w:val="en-US"/>
        </w:rPr>
        <w:t xml:space="preserve">have the required quality to </w:t>
      </w:r>
      <w:r w:rsidR="00104F52" w:rsidRPr="00813D19">
        <w:rPr>
          <w:bCs/>
          <w:lang w:val="en-US"/>
        </w:rPr>
        <w:t xml:space="preserve">receive </w:t>
      </w:r>
      <w:r w:rsidR="00504ACC" w:rsidRPr="00813D19">
        <w:rPr>
          <w:bCs/>
          <w:lang w:val="en-US"/>
        </w:rPr>
        <w:t xml:space="preserve">support </w:t>
      </w:r>
      <w:r w:rsidR="00104F52" w:rsidRPr="00813D19">
        <w:rPr>
          <w:bCs/>
          <w:lang w:val="en-US"/>
        </w:rPr>
        <w:t xml:space="preserve">at its </w:t>
      </w:r>
      <w:r w:rsidR="00504ACC" w:rsidRPr="00813D19">
        <w:rPr>
          <w:bCs/>
          <w:lang w:val="en-US"/>
        </w:rPr>
        <w:t xml:space="preserve">next </w:t>
      </w:r>
      <w:r w:rsidR="00104F52" w:rsidRPr="00813D19">
        <w:rPr>
          <w:bCs/>
          <w:lang w:val="en-US"/>
        </w:rPr>
        <w:t>submission</w:t>
      </w:r>
      <w:r w:rsidR="00504ACC" w:rsidRPr="00813D19">
        <w:rPr>
          <w:bCs/>
          <w:lang w:val="en-US"/>
        </w:rPr>
        <w:t xml:space="preserve">. </w:t>
      </w:r>
      <w:r w:rsidR="00010015" w:rsidRPr="00813D19">
        <w:rPr>
          <w:bCs/>
          <w:lang w:val="en-US"/>
        </w:rPr>
        <w:t xml:space="preserve">The delegation proposed some wording in this regard, which would read, ‘recognized the work of the </w:t>
      </w:r>
      <w:r w:rsidR="00504ACC" w:rsidRPr="00813D19">
        <w:rPr>
          <w:bCs/>
          <w:lang w:val="en-US"/>
        </w:rPr>
        <w:t xml:space="preserve">community and </w:t>
      </w:r>
      <w:r w:rsidR="00010015" w:rsidRPr="00813D19">
        <w:rPr>
          <w:bCs/>
          <w:lang w:val="en-US"/>
        </w:rPr>
        <w:t>encouraged</w:t>
      </w:r>
      <w:r w:rsidR="00504ACC" w:rsidRPr="00813D19">
        <w:rPr>
          <w:bCs/>
          <w:lang w:val="en-US"/>
        </w:rPr>
        <w:t xml:space="preserve"> </w:t>
      </w:r>
      <w:r w:rsidR="00010015" w:rsidRPr="00813D19">
        <w:rPr>
          <w:bCs/>
          <w:lang w:val="en-US"/>
        </w:rPr>
        <w:t xml:space="preserve">them to </w:t>
      </w:r>
      <w:r w:rsidR="00504ACC" w:rsidRPr="00813D19">
        <w:rPr>
          <w:bCs/>
          <w:lang w:val="en-US"/>
        </w:rPr>
        <w:t>continue</w:t>
      </w:r>
      <w:r w:rsidR="00E72560">
        <w:rPr>
          <w:bCs/>
          <w:lang w:val="en-US"/>
        </w:rPr>
        <w:t xml:space="preserve"> in this direction’.</w:t>
      </w:r>
    </w:p>
    <w:p w14:paraId="7A873AE3" w14:textId="23122401" w:rsidR="00D62E36" w:rsidRPr="00813D19" w:rsidRDefault="00D62E36"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010015" w:rsidRPr="00813D19">
        <w:rPr>
          <w:rFonts w:eastAsia="Calibri"/>
          <w:color w:val="000000" w:themeColor="text1"/>
          <w:lang w:val="en-US"/>
        </w:rPr>
        <w:t>asked Colombia to provide the Secretariat with the written amendment.</w:t>
      </w:r>
    </w:p>
    <w:p w14:paraId="1DC64D91" w14:textId="466BD0BA" w:rsidR="00605528" w:rsidRPr="00813D19" w:rsidRDefault="00D62E36"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Palestine</w:t>
      </w:r>
      <w:r w:rsidR="008A3663" w:rsidRPr="00813D19">
        <w:rPr>
          <w:rFonts w:eastAsia="Calibri"/>
          <w:b/>
          <w:color w:val="000000" w:themeColor="text1"/>
          <w:lang w:val="en-US"/>
        </w:rPr>
        <w:t xml:space="preserve"> </w:t>
      </w:r>
      <w:r w:rsidR="00010015" w:rsidRPr="00813D19">
        <w:rPr>
          <w:rFonts w:eastAsia="Calibri"/>
          <w:color w:val="000000" w:themeColor="text1"/>
          <w:lang w:val="en-US"/>
        </w:rPr>
        <w:t xml:space="preserve">regretted </w:t>
      </w:r>
      <w:r w:rsidR="00010015" w:rsidRPr="00813D19">
        <w:rPr>
          <w:bCs/>
          <w:lang w:val="en-US"/>
        </w:rPr>
        <w:t xml:space="preserve">the absence of the Legal Adviser and sought an explanation from the </w:t>
      </w:r>
      <w:r w:rsidR="00504ACC" w:rsidRPr="00813D19">
        <w:rPr>
          <w:bCs/>
          <w:lang w:val="en-US"/>
        </w:rPr>
        <w:t xml:space="preserve">Secretariat </w:t>
      </w:r>
      <w:r w:rsidR="00010015" w:rsidRPr="00813D19">
        <w:rPr>
          <w:bCs/>
          <w:lang w:val="en-US"/>
        </w:rPr>
        <w:t>in this regard</w:t>
      </w:r>
      <w:r w:rsidR="00504ACC" w:rsidRPr="00813D19">
        <w:rPr>
          <w:bCs/>
          <w:lang w:val="en-US"/>
        </w:rPr>
        <w:t xml:space="preserve">. </w:t>
      </w:r>
      <w:r w:rsidR="00010015" w:rsidRPr="00813D19">
        <w:rPr>
          <w:bCs/>
          <w:lang w:val="en-US"/>
        </w:rPr>
        <w:t xml:space="preserve">More importantly, it fully </w:t>
      </w:r>
      <w:r w:rsidR="00504ACC" w:rsidRPr="00813D19">
        <w:rPr>
          <w:bCs/>
          <w:lang w:val="en-US"/>
        </w:rPr>
        <w:t>agree</w:t>
      </w:r>
      <w:r w:rsidR="00010015" w:rsidRPr="00813D19">
        <w:rPr>
          <w:bCs/>
          <w:lang w:val="en-US"/>
        </w:rPr>
        <w:t>d</w:t>
      </w:r>
      <w:r w:rsidR="00504ACC" w:rsidRPr="00813D19">
        <w:rPr>
          <w:bCs/>
          <w:lang w:val="en-US"/>
        </w:rPr>
        <w:t xml:space="preserve"> with the Secretariat regarding the Operational Guidelines and </w:t>
      </w:r>
      <w:r w:rsidR="00010015" w:rsidRPr="00813D19">
        <w:rPr>
          <w:bCs/>
          <w:lang w:val="en-US"/>
        </w:rPr>
        <w:t xml:space="preserve">the </w:t>
      </w:r>
      <w:r w:rsidR="00504ACC" w:rsidRPr="00813D19">
        <w:rPr>
          <w:bCs/>
          <w:lang w:val="en-US"/>
        </w:rPr>
        <w:t xml:space="preserve">Rules </w:t>
      </w:r>
      <w:r w:rsidR="00010015" w:rsidRPr="00813D19">
        <w:rPr>
          <w:bCs/>
          <w:lang w:val="en-US"/>
        </w:rPr>
        <w:t xml:space="preserve">of Procedure, </w:t>
      </w:r>
      <w:r w:rsidR="00504ACC" w:rsidRPr="00813D19">
        <w:rPr>
          <w:bCs/>
          <w:lang w:val="en-US"/>
        </w:rPr>
        <w:t xml:space="preserve">but </w:t>
      </w:r>
      <w:r w:rsidR="00010015" w:rsidRPr="00813D19">
        <w:rPr>
          <w:bCs/>
          <w:lang w:val="en-US"/>
        </w:rPr>
        <w:t xml:space="preserve">at the same time </w:t>
      </w:r>
      <w:r w:rsidR="00504ACC" w:rsidRPr="00813D19">
        <w:rPr>
          <w:bCs/>
          <w:lang w:val="en-US"/>
        </w:rPr>
        <w:t xml:space="preserve">there </w:t>
      </w:r>
      <w:r w:rsidR="00010015" w:rsidRPr="00813D19">
        <w:rPr>
          <w:bCs/>
          <w:lang w:val="en-US"/>
        </w:rPr>
        <w:t xml:space="preserve">were </w:t>
      </w:r>
      <w:r w:rsidR="00504ACC" w:rsidRPr="00813D19">
        <w:rPr>
          <w:bCs/>
          <w:lang w:val="en-US"/>
        </w:rPr>
        <w:t>some exceptions</w:t>
      </w:r>
      <w:r w:rsidR="00010015" w:rsidRPr="00813D19">
        <w:rPr>
          <w:bCs/>
          <w:lang w:val="en-US"/>
        </w:rPr>
        <w:t xml:space="preserve">, as </w:t>
      </w:r>
      <w:r w:rsidR="00E1263F">
        <w:rPr>
          <w:bCs/>
          <w:lang w:val="en-US"/>
        </w:rPr>
        <w:t xml:space="preserve">had been </w:t>
      </w:r>
      <w:r w:rsidR="00010015" w:rsidRPr="00813D19">
        <w:rPr>
          <w:bCs/>
          <w:lang w:val="en-US"/>
        </w:rPr>
        <w:t>seen</w:t>
      </w:r>
      <w:r w:rsidR="00E1263F">
        <w:rPr>
          <w:bCs/>
          <w:lang w:val="en-US"/>
        </w:rPr>
        <w:t>,</w:t>
      </w:r>
      <w:r w:rsidR="00010015" w:rsidRPr="00813D19">
        <w:rPr>
          <w:bCs/>
          <w:lang w:val="en-US"/>
        </w:rPr>
        <w:t xml:space="preserve"> for example</w:t>
      </w:r>
      <w:r w:rsidR="00E1263F">
        <w:rPr>
          <w:bCs/>
          <w:lang w:val="en-US"/>
        </w:rPr>
        <w:t>,</w:t>
      </w:r>
      <w:r w:rsidR="00010015" w:rsidRPr="00813D19">
        <w:rPr>
          <w:bCs/>
          <w:lang w:val="en-US"/>
        </w:rPr>
        <w:t xml:space="preserve"> </w:t>
      </w:r>
      <w:r w:rsidR="00504ACC" w:rsidRPr="00813D19">
        <w:rPr>
          <w:bCs/>
          <w:lang w:val="en-US"/>
        </w:rPr>
        <w:t xml:space="preserve">at the opening of </w:t>
      </w:r>
      <w:r w:rsidR="00010015" w:rsidRPr="00813D19">
        <w:rPr>
          <w:bCs/>
          <w:lang w:val="en-US"/>
        </w:rPr>
        <w:t xml:space="preserve">the </w:t>
      </w:r>
      <w:r w:rsidR="00504ACC" w:rsidRPr="00813D19">
        <w:rPr>
          <w:bCs/>
          <w:lang w:val="en-US"/>
        </w:rPr>
        <w:t>session</w:t>
      </w:r>
      <w:r w:rsidR="00653DDC" w:rsidRPr="00813D19">
        <w:rPr>
          <w:bCs/>
          <w:lang w:val="en-US"/>
        </w:rPr>
        <w:t xml:space="preserve"> [with the case of Korea]</w:t>
      </w:r>
      <w:r w:rsidR="00010015" w:rsidRPr="00813D19">
        <w:rPr>
          <w:bCs/>
          <w:lang w:val="en-US"/>
        </w:rPr>
        <w:t xml:space="preserve">, which was supported by </w:t>
      </w:r>
      <w:r w:rsidR="00504ACC" w:rsidRPr="00813D19">
        <w:rPr>
          <w:bCs/>
          <w:lang w:val="en-US"/>
        </w:rPr>
        <w:t xml:space="preserve">all the Committee Members. </w:t>
      </w:r>
      <w:r w:rsidR="00010015" w:rsidRPr="00813D19">
        <w:rPr>
          <w:bCs/>
          <w:lang w:val="en-US"/>
        </w:rPr>
        <w:t xml:space="preserve">The delegation therefore asked whether </w:t>
      </w:r>
      <w:r w:rsidR="008F5F0E" w:rsidRPr="00813D19">
        <w:rPr>
          <w:bCs/>
          <w:lang w:val="en-US"/>
        </w:rPr>
        <w:t>the Committee could follow this exception for this element, w</w:t>
      </w:r>
      <w:r w:rsidR="00653DDC" w:rsidRPr="00813D19">
        <w:rPr>
          <w:bCs/>
          <w:lang w:val="en-US"/>
        </w:rPr>
        <w:t>hich would have to be unanimous,</w:t>
      </w:r>
      <w:r w:rsidR="008F5F0E" w:rsidRPr="00813D19">
        <w:rPr>
          <w:bCs/>
          <w:lang w:val="en-US"/>
        </w:rPr>
        <w:t xml:space="preserve"> in </w:t>
      </w:r>
      <w:r w:rsidR="00504ACC" w:rsidRPr="00813D19">
        <w:rPr>
          <w:bCs/>
          <w:lang w:val="en-US"/>
        </w:rPr>
        <w:t xml:space="preserve">the interest of the communities concerned and also </w:t>
      </w:r>
      <w:r w:rsidR="008F5F0E" w:rsidRPr="00813D19">
        <w:rPr>
          <w:bCs/>
          <w:lang w:val="en-US"/>
        </w:rPr>
        <w:t xml:space="preserve">for </w:t>
      </w:r>
      <w:r w:rsidR="00504ACC" w:rsidRPr="00813D19">
        <w:rPr>
          <w:bCs/>
          <w:lang w:val="en-US"/>
        </w:rPr>
        <w:t>the country to safe</w:t>
      </w:r>
      <w:r w:rsidR="00E72560">
        <w:rPr>
          <w:bCs/>
          <w:lang w:val="en-US"/>
        </w:rPr>
        <w:t>guard and promote this element.</w:t>
      </w:r>
    </w:p>
    <w:p w14:paraId="0BD61852" w14:textId="6CE35748" w:rsidR="00C03C11" w:rsidRPr="00813D19" w:rsidRDefault="00605528"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Guatemala</w:t>
      </w:r>
      <w:r w:rsidR="00504ACC" w:rsidRPr="00813D19">
        <w:rPr>
          <w:rFonts w:eastAsia="Calibri"/>
          <w:b/>
          <w:color w:val="000000" w:themeColor="text1"/>
          <w:lang w:val="en-US"/>
        </w:rPr>
        <w:t xml:space="preserve"> </w:t>
      </w:r>
      <w:r w:rsidR="008F5F0E" w:rsidRPr="00813D19">
        <w:rPr>
          <w:rFonts w:eastAsia="Calibri"/>
          <w:color w:val="000000" w:themeColor="text1"/>
          <w:lang w:val="en-US"/>
        </w:rPr>
        <w:t xml:space="preserve">regretted </w:t>
      </w:r>
      <w:r w:rsidR="00815742">
        <w:rPr>
          <w:bCs/>
          <w:lang w:val="en-US"/>
        </w:rPr>
        <w:t>seeing</w:t>
      </w:r>
      <w:r w:rsidR="00504ACC" w:rsidRPr="00813D19">
        <w:rPr>
          <w:bCs/>
          <w:lang w:val="en-US"/>
        </w:rPr>
        <w:t xml:space="preserve"> the direction this discussion </w:t>
      </w:r>
      <w:r w:rsidR="008F5F0E" w:rsidRPr="00813D19">
        <w:rPr>
          <w:bCs/>
          <w:lang w:val="en-US"/>
        </w:rPr>
        <w:t xml:space="preserve">was </w:t>
      </w:r>
      <w:r w:rsidR="00504ACC" w:rsidRPr="00813D19">
        <w:rPr>
          <w:bCs/>
          <w:lang w:val="en-US"/>
        </w:rPr>
        <w:t>taking. Nonetheless</w:t>
      </w:r>
      <w:r w:rsidR="008F5F0E" w:rsidRPr="00813D19">
        <w:rPr>
          <w:bCs/>
          <w:lang w:val="en-US"/>
        </w:rPr>
        <w:t>,</w:t>
      </w:r>
      <w:r w:rsidR="00504ACC" w:rsidRPr="00813D19">
        <w:rPr>
          <w:bCs/>
          <w:lang w:val="en-US"/>
        </w:rPr>
        <w:t xml:space="preserve"> </w:t>
      </w:r>
      <w:r w:rsidR="008F5F0E" w:rsidRPr="00813D19">
        <w:rPr>
          <w:bCs/>
          <w:lang w:val="en-US"/>
        </w:rPr>
        <w:t xml:space="preserve">it </w:t>
      </w:r>
      <w:r w:rsidR="00504ACC" w:rsidRPr="00813D19">
        <w:rPr>
          <w:bCs/>
          <w:lang w:val="en-US"/>
        </w:rPr>
        <w:t>thank</w:t>
      </w:r>
      <w:r w:rsidR="008F5F0E" w:rsidRPr="00813D19">
        <w:rPr>
          <w:bCs/>
          <w:lang w:val="en-US"/>
        </w:rPr>
        <w:t xml:space="preserve">ed the Chairperson </w:t>
      </w:r>
      <w:r w:rsidR="00504ACC" w:rsidRPr="00813D19">
        <w:rPr>
          <w:bCs/>
          <w:lang w:val="en-US"/>
        </w:rPr>
        <w:t xml:space="preserve">for </w:t>
      </w:r>
      <w:r w:rsidR="00B81134" w:rsidRPr="00813D19">
        <w:rPr>
          <w:bCs/>
          <w:lang w:val="en-US"/>
        </w:rPr>
        <w:t xml:space="preserve">giving </w:t>
      </w:r>
      <w:r w:rsidR="008F5F0E" w:rsidRPr="00813D19">
        <w:rPr>
          <w:bCs/>
          <w:lang w:val="en-US"/>
        </w:rPr>
        <w:t xml:space="preserve">Argentina </w:t>
      </w:r>
      <w:r w:rsidR="00B81134" w:rsidRPr="00813D19">
        <w:rPr>
          <w:bCs/>
          <w:lang w:val="en-US"/>
        </w:rPr>
        <w:t xml:space="preserve">the opportunity </w:t>
      </w:r>
      <w:r w:rsidR="008F5F0E" w:rsidRPr="00813D19">
        <w:rPr>
          <w:bCs/>
          <w:lang w:val="en-US"/>
        </w:rPr>
        <w:t>to engage in</w:t>
      </w:r>
      <w:r w:rsidR="00504ACC" w:rsidRPr="00813D19">
        <w:rPr>
          <w:bCs/>
          <w:lang w:val="en-US"/>
        </w:rPr>
        <w:t xml:space="preserve"> dialogue. </w:t>
      </w:r>
      <w:r w:rsidR="00B81134" w:rsidRPr="00813D19">
        <w:rPr>
          <w:bCs/>
          <w:lang w:val="en-US"/>
        </w:rPr>
        <w:t xml:space="preserve">It surmised that </w:t>
      </w:r>
      <w:r w:rsidR="00504ACC" w:rsidRPr="00813D19">
        <w:rPr>
          <w:bCs/>
          <w:lang w:val="en-US"/>
        </w:rPr>
        <w:t xml:space="preserve">the lunch break was </w:t>
      </w:r>
      <w:r w:rsidR="00B81134" w:rsidRPr="00813D19">
        <w:rPr>
          <w:bCs/>
          <w:lang w:val="en-US"/>
        </w:rPr>
        <w:t xml:space="preserve">perhaps </w:t>
      </w:r>
      <w:r w:rsidR="00504ACC" w:rsidRPr="00813D19">
        <w:rPr>
          <w:bCs/>
          <w:lang w:val="en-US"/>
        </w:rPr>
        <w:t>detrimental to the dynamic</w:t>
      </w:r>
      <w:r w:rsidR="00B81134" w:rsidRPr="00813D19">
        <w:rPr>
          <w:bCs/>
          <w:lang w:val="en-US"/>
        </w:rPr>
        <w:t>,</w:t>
      </w:r>
      <w:r w:rsidR="00504ACC" w:rsidRPr="00813D19">
        <w:rPr>
          <w:bCs/>
          <w:lang w:val="en-US"/>
        </w:rPr>
        <w:t xml:space="preserve"> </w:t>
      </w:r>
      <w:r w:rsidR="00B81134" w:rsidRPr="00813D19">
        <w:rPr>
          <w:bCs/>
          <w:lang w:val="en-US"/>
        </w:rPr>
        <w:t>and it was hoped that there would have been an opportunity to ask a couple or</w:t>
      </w:r>
      <w:r w:rsidR="00504ACC" w:rsidRPr="00813D19">
        <w:rPr>
          <w:bCs/>
          <w:lang w:val="en-US"/>
        </w:rPr>
        <w:t xml:space="preserve"> more questions</w:t>
      </w:r>
      <w:r w:rsidR="00B81134" w:rsidRPr="00813D19">
        <w:rPr>
          <w:bCs/>
          <w:lang w:val="en-US"/>
        </w:rPr>
        <w:t xml:space="preserve"> so that Argentina could be allowed to </w:t>
      </w:r>
      <w:r w:rsidR="00504ACC" w:rsidRPr="00813D19">
        <w:rPr>
          <w:bCs/>
          <w:lang w:val="en-US"/>
        </w:rPr>
        <w:t xml:space="preserve">speak again. </w:t>
      </w:r>
      <w:r w:rsidR="00B81134" w:rsidRPr="00813D19">
        <w:rPr>
          <w:bCs/>
          <w:lang w:val="en-US"/>
        </w:rPr>
        <w:t xml:space="preserve">Noting that there was </w:t>
      </w:r>
      <w:r w:rsidR="00504ACC" w:rsidRPr="00813D19">
        <w:rPr>
          <w:bCs/>
          <w:lang w:val="en-US"/>
        </w:rPr>
        <w:t>no consensus among the Members of the Committee</w:t>
      </w:r>
      <w:r w:rsidR="00B81134" w:rsidRPr="00813D19">
        <w:rPr>
          <w:bCs/>
          <w:lang w:val="en-US"/>
        </w:rPr>
        <w:t xml:space="preserve">, the delegation </w:t>
      </w:r>
      <w:r w:rsidR="00504ACC" w:rsidRPr="00813D19">
        <w:rPr>
          <w:bCs/>
          <w:lang w:val="en-US"/>
        </w:rPr>
        <w:t>thank</w:t>
      </w:r>
      <w:r w:rsidR="00B81134" w:rsidRPr="00813D19">
        <w:rPr>
          <w:bCs/>
          <w:lang w:val="en-US"/>
        </w:rPr>
        <w:t>ed</w:t>
      </w:r>
      <w:r w:rsidR="00504ACC" w:rsidRPr="00813D19">
        <w:rPr>
          <w:bCs/>
          <w:lang w:val="en-US"/>
        </w:rPr>
        <w:t xml:space="preserve"> </w:t>
      </w:r>
      <w:r w:rsidR="002F7754" w:rsidRPr="00813D19">
        <w:rPr>
          <w:bCs/>
          <w:lang w:val="en-US"/>
        </w:rPr>
        <w:t xml:space="preserve">both </w:t>
      </w:r>
      <w:r w:rsidR="00504ACC" w:rsidRPr="00813D19">
        <w:rPr>
          <w:bCs/>
          <w:lang w:val="en-US"/>
        </w:rPr>
        <w:t>Argentina</w:t>
      </w:r>
      <w:r w:rsidR="00B81134" w:rsidRPr="00813D19">
        <w:rPr>
          <w:bCs/>
          <w:lang w:val="en-US"/>
        </w:rPr>
        <w:t xml:space="preserve"> and the </w:t>
      </w:r>
      <w:r w:rsidR="00504ACC" w:rsidRPr="00813D19">
        <w:rPr>
          <w:bCs/>
          <w:lang w:val="en-US"/>
        </w:rPr>
        <w:t>communities</w:t>
      </w:r>
      <w:r w:rsidR="00B81134" w:rsidRPr="00813D19">
        <w:rPr>
          <w:bCs/>
          <w:lang w:val="en-US"/>
        </w:rPr>
        <w:t xml:space="preserve"> </w:t>
      </w:r>
      <w:r w:rsidR="00504ACC" w:rsidRPr="00813D19">
        <w:rPr>
          <w:bCs/>
          <w:lang w:val="en-US"/>
        </w:rPr>
        <w:t xml:space="preserve">for </w:t>
      </w:r>
      <w:r w:rsidR="00B81134" w:rsidRPr="00813D19">
        <w:rPr>
          <w:bCs/>
          <w:lang w:val="en-US"/>
        </w:rPr>
        <w:t xml:space="preserve">this </w:t>
      </w:r>
      <w:r w:rsidR="00504ACC" w:rsidRPr="00813D19">
        <w:rPr>
          <w:bCs/>
          <w:lang w:val="en-US"/>
        </w:rPr>
        <w:t>initiative</w:t>
      </w:r>
      <w:r w:rsidR="002F7754" w:rsidRPr="00813D19">
        <w:rPr>
          <w:bCs/>
          <w:lang w:val="en-US"/>
        </w:rPr>
        <w:t>,</w:t>
      </w:r>
      <w:r w:rsidR="00504ACC" w:rsidRPr="00813D19">
        <w:rPr>
          <w:bCs/>
          <w:lang w:val="en-US"/>
        </w:rPr>
        <w:t xml:space="preserve"> </w:t>
      </w:r>
      <w:r w:rsidR="002F7754" w:rsidRPr="00813D19">
        <w:rPr>
          <w:bCs/>
          <w:lang w:val="en-US"/>
        </w:rPr>
        <w:t xml:space="preserve">and for the acknowledged involvement of the community </w:t>
      </w:r>
      <w:r w:rsidR="00504ACC" w:rsidRPr="00813D19">
        <w:rPr>
          <w:bCs/>
          <w:lang w:val="en-US"/>
        </w:rPr>
        <w:t>in this process</w:t>
      </w:r>
      <w:r w:rsidR="002F7754" w:rsidRPr="00813D19">
        <w:rPr>
          <w:bCs/>
          <w:lang w:val="en-US"/>
        </w:rPr>
        <w:t xml:space="preserve">. Moreover, the </w:t>
      </w:r>
      <w:r w:rsidR="00504ACC" w:rsidRPr="00813D19">
        <w:rPr>
          <w:bCs/>
          <w:lang w:val="en-US"/>
        </w:rPr>
        <w:t xml:space="preserve">community </w:t>
      </w:r>
      <w:r w:rsidR="002F7754" w:rsidRPr="00813D19">
        <w:rPr>
          <w:bCs/>
          <w:lang w:val="en-US"/>
        </w:rPr>
        <w:t xml:space="preserve">was </w:t>
      </w:r>
      <w:r w:rsidR="00504ACC" w:rsidRPr="00813D19">
        <w:rPr>
          <w:bCs/>
          <w:lang w:val="en-US"/>
        </w:rPr>
        <w:t xml:space="preserve">eagerly awaiting the results of </w:t>
      </w:r>
      <w:r w:rsidR="002F7754" w:rsidRPr="00813D19">
        <w:rPr>
          <w:bCs/>
          <w:lang w:val="en-US"/>
        </w:rPr>
        <w:t>the Committee</w:t>
      </w:r>
      <w:r w:rsidR="00504ACC" w:rsidRPr="00813D19">
        <w:rPr>
          <w:bCs/>
          <w:lang w:val="en-US"/>
        </w:rPr>
        <w:t xml:space="preserve">. </w:t>
      </w:r>
      <w:r w:rsidR="002F7754" w:rsidRPr="00813D19">
        <w:rPr>
          <w:bCs/>
          <w:lang w:val="en-US"/>
        </w:rPr>
        <w:t xml:space="preserve">The delegation was sympathetic to how </w:t>
      </w:r>
      <w:r w:rsidR="00504ACC" w:rsidRPr="00813D19">
        <w:rPr>
          <w:bCs/>
          <w:lang w:val="en-US"/>
        </w:rPr>
        <w:t xml:space="preserve">people </w:t>
      </w:r>
      <w:r w:rsidR="002F7754" w:rsidRPr="00813D19">
        <w:rPr>
          <w:bCs/>
          <w:lang w:val="en-US"/>
        </w:rPr>
        <w:t xml:space="preserve">and the community </w:t>
      </w:r>
      <w:r w:rsidR="00853685" w:rsidRPr="00813D19">
        <w:rPr>
          <w:bCs/>
          <w:lang w:val="en-US"/>
        </w:rPr>
        <w:t>would feel</w:t>
      </w:r>
      <w:r w:rsidR="00504ACC" w:rsidRPr="00813D19">
        <w:rPr>
          <w:bCs/>
          <w:lang w:val="en-US"/>
        </w:rPr>
        <w:t xml:space="preserve">, </w:t>
      </w:r>
      <w:r w:rsidR="002F7754" w:rsidRPr="00813D19">
        <w:rPr>
          <w:bCs/>
          <w:lang w:val="en-US"/>
        </w:rPr>
        <w:t xml:space="preserve">i.e. </w:t>
      </w:r>
      <w:r w:rsidR="00504ACC" w:rsidRPr="00813D19">
        <w:rPr>
          <w:bCs/>
          <w:lang w:val="en-US"/>
        </w:rPr>
        <w:t>people who practi</w:t>
      </w:r>
      <w:r w:rsidR="00815742">
        <w:rPr>
          <w:bCs/>
          <w:lang w:val="en-US"/>
        </w:rPr>
        <w:t>s</w:t>
      </w:r>
      <w:r w:rsidR="00504ACC" w:rsidRPr="00813D19">
        <w:rPr>
          <w:bCs/>
          <w:lang w:val="en-US"/>
        </w:rPr>
        <w:t>e the different expressions of cultural heritage</w:t>
      </w:r>
      <w:r w:rsidR="002F7754" w:rsidRPr="00813D19">
        <w:rPr>
          <w:bCs/>
          <w:lang w:val="en-US"/>
        </w:rPr>
        <w:t>,</w:t>
      </w:r>
      <w:r w:rsidR="00504ACC" w:rsidRPr="00813D19">
        <w:rPr>
          <w:bCs/>
          <w:lang w:val="en-US"/>
        </w:rPr>
        <w:t xml:space="preserve"> but </w:t>
      </w:r>
      <w:r w:rsidR="002F7754" w:rsidRPr="00813D19">
        <w:rPr>
          <w:bCs/>
          <w:lang w:val="en-US"/>
        </w:rPr>
        <w:t xml:space="preserve">who </w:t>
      </w:r>
      <w:r w:rsidR="00504ACC" w:rsidRPr="00813D19">
        <w:rPr>
          <w:bCs/>
          <w:lang w:val="en-US"/>
        </w:rPr>
        <w:t xml:space="preserve">unfortunately have to come before </w:t>
      </w:r>
      <w:r w:rsidR="002F7754" w:rsidRPr="00813D19">
        <w:rPr>
          <w:bCs/>
          <w:lang w:val="en-US"/>
        </w:rPr>
        <w:t>the Committee</w:t>
      </w:r>
      <w:r w:rsidR="00504ACC" w:rsidRPr="00813D19">
        <w:rPr>
          <w:bCs/>
          <w:lang w:val="en-US"/>
        </w:rPr>
        <w:t xml:space="preserve">. </w:t>
      </w:r>
      <w:r w:rsidR="002F7754" w:rsidRPr="00813D19">
        <w:rPr>
          <w:bCs/>
          <w:lang w:val="en-US"/>
        </w:rPr>
        <w:t>The R</w:t>
      </w:r>
      <w:r w:rsidR="00504ACC" w:rsidRPr="00813D19">
        <w:rPr>
          <w:bCs/>
          <w:lang w:val="en-US"/>
        </w:rPr>
        <w:t xml:space="preserve">ules </w:t>
      </w:r>
      <w:r w:rsidR="002F7754" w:rsidRPr="00813D19">
        <w:rPr>
          <w:bCs/>
          <w:lang w:val="en-US"/>
        </w:rPr>
        <w:t xml:space="preserve">exist and the Committee must </w:t>
      </w:r>
      <w:r w:rsidR="00504ACC" w:rsidRPr="00813D19">
        <w:rPr>
          <w:bCs/>
          <w:lang w:val="en-US"/>
        </w:rPr>
        <w:t>respect them</w:t>
      </w:r>
      <w:r w:rsidR="002F7754" w:rsidRPr="00813D19">
        <w:rPr>
          <w:bCs/>
          <w:lang w:val="en-US"/>
        </w:rPr>
        <w:t>,</w:t>
      </w:r>
      <w:r w:rsidR="00504ACC" w:rsidRPr="00813D19">
        <w:rPr>
          <w:bCs/>
          <w:lang w:val="en-US"/>
        </w:rPr>
        <w:t xml:space="preserve"> but </w:t>
      </w:r>
      <w:r w:rsidR="00853685" w:rsidRPr="00813D19">
        <w:rPr>
          <w:bCs/>
          <w:lang w:val="en-US"/>
        </w:rPr>
        <w:t xml:space="preserve">it </w:t>
      </w:r>
      <w:r w:rsidR="002F7754" w:rsidRPr="00813D19">
        <w:rPr>
          <w:bCs/>
          <w:lang w:val="en-US"/>
        </w:rPr>
        <w:t xml:space="preserve">recognized </w:t>
      </w:r>
      <w:r w:rsidR="00504ACC" w:rsidRPr="00813D19">
        <w:rPr>
          <w:bCs/>
          <w:lang w:val="en-US"/>
        </w:rPr>
        <w:t xml:space="preserve">that the community </w:t>
      </w:r>
      <w:r w:rsidR="002F7754" w:rsidRPr="00813D19">
        <w:rPr>
          <w:bCs/>
          <w:lang w:val="en-US"/>
        </w:rPr>
        <w:t>would not receive</w:t>
      </w:r>
      <w:r w:rsidR="00504ACC" w:rsidRPr="00813D19">
        <w:rPr>
          <w:bCs/>
          <w:lang w:val="en-US"/>
        </w:rPr>
        <w:t xml:space="preserve"> </w:t>
      </w:r>
      <w:r w:rsidR="002F7754" w:rsidRPr="00813D19">
        <w:rPr>
          <w:bCs/>
          <w:lang w:val="en-US"/>
        </w:rPr>
        <w:t xml:space="preserve">the </w:t>
      </w:r>
      <w:r w:rsidR="00504ACC" w:rsidRPr="00813D19">
        <w:rPr>
          <w:bCs/>
          <w:lang w:val="en-US"/>
        </w:rPr>
        <w:t xml:space="preserve">recognition </w:t>
      </w:r>
      <w:r w:rsidR="002F7754" w:rsidRPr="00813D19">
        <w:rPr>
          <w:bCs/>
          <w:lang w:val="en-US"/>
        </w:rPr>
        <w:t xml:space="preserve">it sought, which </w:t>
      </w:r>
      <w:r w:rsidR="00866968" w:rsidRPr="00813D19">
        <w:rPr>
          <w:bCs/>
          <w:lang w:val="en-US"/>
        </w:rPr>
        <w:t>was an</w:t>
      </w:r>
      <w:r w:rsidR="00504ACC" w:rsidRPr="00813D19">
        <w:rPr>
          <w:bCs/>
          <w:lang w:val="en-US"/>
        </w:rPr>
        <w:t xml:space="preserve"> inscription on the Representative List. </w:t>
      </w:r>
      <w:r w:rsidR="00866968" w:rsidRPr="00813D19">
        <w:rPr>
          <w:bCs/>
          <w:lang w:val="en-US"/>
        </w:rPr>
        <w:t xml:space="preserve">It was </w:t>
      </w:r>
      <w:r w:rsidR="002F7754" w:rsidRPr="00813D19">
        <w:rPr>
          <w:bCs/>
          <w:lang w:val="en-US"/>
        </w:rPr>
        <w:t xml:space="preserve">thus </w:t>
      </w:r>
      <w:r w:rsidR="00504ACC" w:rsidRPr="00813D19">
        <w:rPr>
          <w:bCs/>
          <w:lang w:val="en-US"/>
        </w:rPr>
        <w:t>hope</w:t>
      </w:r>
      <w:r w:rsidR="002F7754" w:rsidRPr="00813D19">
        <w:rPr>
          <w:bCs/>
          <w:lang w:val="en-US"/>
        </w:rPr>
        <w:t>d</w:t>
      </w:r>
      <w:r w:rsidR="00504ACC" w:rsidRPr="00813D19">
        <w:rPr>
          <w:bCs/>
          <w:lang w:val="en-US"/>
        </w:rPr>
        <w:t xml:space="preserve"> that the </w:t>
      </w:r>
      <w:r w:rsidR="002F7754" w:rsidRPr="00813D19">
        <w:rPr>
          <w:bCs/>
          <w:lang w:val="en-US"/>
        </w:rPr>
        <w:t>role of the communities</w:t>
      </w:r>
      <w:r w:rsidR="00504ACC" w:rsidRPr="00813D19">
        <w:rPr>
          <w:bCs/>
          <w:lang w:val="en-US"/>
        </w:rPr>
        <w:t xml:space="preserve"> </w:t>
      </w:r>
      <w:r w:rsidR="00815742">
        <w:rPr>
          <w:bCs/>
          <w:lang w:val="en-US"/>
        </w:rPr>
        <w:t>would be</w:t>
      </w:r>
      <w:r w:rsidR="00815742" w:rsidRPr="00813D19">
        <w:rPr>
          <w:bCs/>
          <w:lang w:val="en-US"/>
        </w:rPr>
        <w:t xml:space="preserve"> </w:t>
      </w:r>
      <w:r w:rsidR="00504ACC" w:rsidRPr="00813D19">
        <w:rPr>
          <w:bCs/>
          <w:lang w:val="en-US"/>
        </w:rPr>
        <w:t xml:space="preserve">acknowledged and </w:t>
      </w:r>
      <w:r w:rsidR="00866968" w:rsidRPr="00813D19">
        <w:rPr>
          <w:bCs/>
          <w:lang w:val="en-US"/>
        </w:rPr>
        <w:t xml:space="preserve">that </w:t>
      </w:r>
      <w:r w:rsidR="00504ACC" w:rsidRPr="00813D19">
        <w:rPr>
          <w:bCs/>
          <w:lang w:val="en-US"/>
        </w:rPr>
        <w:t xml:space="preserve">the cycle </w:t>
      </w:r>
      <w:r w:rsidR="00815742" w:rsidRPr="00813D19">
        <w:rPr>
          <w:bCs/>
          <w:lang w:val="en-US"/>
        </w:rPr>
        <w:t>w</w:t>
      </w:r>
      <w:r w:rsidR="00815742">
        <w:rPr>
          <w:bCs/>
          <w:lang w:val="en-US"/>
        </w:rPr>
        <w:t>ould be</w:t>
      </w:r>
      <w:r w:rsidR="00815742" w:rsidRPr="00813D19">
        <w:rPr>
          <w:bCs/>
          <w:lang w:val="en-US"/>
        </w:rPr>
        <w:t xml:space="preserve"> </w:t>
      </w:r>
      <w:r w:rsidR="00504ACC" w:rsidRPr="00813D19">
        <w:rPr>
          <w:bCs/>
          <w:lang w:val="en-US"/>
        </w:rPr>
        <w:t xml:space="preserve">abridged so that Argentina </w:t>
      </w:r>
      <w:r w:rsidR="00815742">
        <w:rPr>
          <w:bCs/>
          <w:lang w:val="en-US"/>
        </w:rPr>
        <w:t>c</w:t>
      </w:r>
      <w:r w:rsidR="00815742" w:rsidRPr="00813D19">
        <w:rPr>
          <w:bCs/>
          <w:lang w:val="en-US"/>
        </w:rPr>
        <w:t xml:space="preserve">ould </w:t>
      </w:r>
      <w:r w:rsidR="00853685" w:rsidRPr="00813D19">
        <w:rPr>
          <w:bCs/>
          <w:lang w:val="en-US"/>
        </w:rPr>
        <w:t>earn</w:t>
      </w:r>
      <w:r w:rsidR="00504ACC" w:rsidRPr="00813D19">
        <w:rPr>
          <w:bCs/>
          <w:lang w:val="en-US"/>
        </w:rPr>
        <w:t xml:space="preserve"> recognition as </w:t>
      </w:r>
      <w:r w:rsidR="002F7754" w:rsidRPr="00813D19">
        <w:rPr>
          <w:bCs/>
          <w:lang w:val="en-US"/>
        </w:rPr>
        <w:t xml:space="preserve">early </w:t>
      </w:r>
      <w:r w:rsidR="00E72560">
        <w:rPr>
          <w:bCs/>
          <w:lang w:val="en-US"/>
        </w:rPr>
        <w:t>as possible.</w:t>
      </w:r>
    </w:p>
    <w:p w14:paraId="67794A22" w14:textId="689864C2" w:rsidR="00D62E36" w:rsidRPr="00813D19" w:rsidRDefault="00866968" w:rsidP="00BA4935">
      <w:pPr>
        <w:pStyle w:val="Orateurengris"/>
        <w:spacing w:before="120"/>
        <w:ind w:left="709" w:hanging="709"/>
        <w:rPr>
          <w:rFonts w:eastAsia="Calibri"/>
          <w:color w:val="000000" w:themeColor="text1"/>
          <w:lang w:val="en-US"/>
        </w:rPr>
      </w:pPr>
      <w:r w:rsidRPr="00813D19">
        <w:rPr>
          <w:bCs/>
          <w:lang w:val="en-US"/>
        </w:rPr>
        <w:t xml:space="preserve">Responding to the comment by Guatemala, </w:t>
      </w:r>
      <w:r w:rsidRPr="00813D19">
        <w:rPr>
          <w:rFonts w:eastAsia="Calibri"/>
          <w:color w:val="000000" w:themeColor="text1"/>
          <w:lang w:val="en-US"/>
        </w:rPr>
        <w:t>t</w:t>
      </w:r>
      <w:r w:rsidR="00C03C11" w:rsidRPr="00813D19">
        <w:rPr>
          <w:rFonts w:eastAsia="Calibri"/>
          <w:color w:val="000000" w:themeColor="text1"/>
          <w:lang w:val="en-US"/>
        </w:rPr>
        <w:t>he</w:t>
      </w:r>
      <w:r w:rsidR="00C03C11" w:rsidRPr="00813D19">
        <w:rPr>
          <w:rFonts w:eastAsia="Calibri"/>
          <w:b/>
          <w:color w:val="000000" w:themeColor="text1"/>
          <w:lang w:val="en-US"/>
        </w:rPr>
        <w:t xml:space="preserve"> Chairperson </w:t>
      </w:r>
      <w:r w:rsidR="003546EB" w:rsidRPr="00813D19">
        <w:rPr>
          <w:rFonts w:eastAsia="Calibri"/>
          <w:color w:val="000000" w:themeColor="text1"/>
          <w:lang w:val="en-US"/>
        </w:rPr>
        <w:t>wished to make clear at this early juncture in the examination of the files</w:t>
      </w:r>
      <w:r w:rsidR="003546EB" w:rsidRPr="00813D19">
        <w:rPr>
          <w:rFonts w:eastAsia="Calibri"/>
          <w:b/>
          <w:color w:val="000000" w:themeColor="text1"/>
          <w:lang w:val="en-US"/>
        </w:rPr>
        <w:t xml:space="preserve"> </w:t>
      </w:r>
      <w:r w:rsidRPr="00813D19">
        <w:rPr>
          <w:rFonts w:eastAsia="Calibri"/>
          <w:color w:val="000000" w:themeColor="text1"/>
          <w:lang w:val="en-US"/>
        </w:rPr>
        <w:t>that</w:t>
      </w:r>
      <w:r w:rsidRPr="00813D19">
        <w:rPr>
          <w:rFonts w:eastAsia="Calibri"/>
          <w:b/>
          <w:color w:val="000000" w:themeColor="text1"/>
          <w:lang w:val="en-US"/>
        </w:rPr>
        <w:t xml:space="preserve"> </w:t>
      </w:r>
      <w:r w:rsidRPr="00813D19">
        <w:rPr>
          <w:rFonts w:eastAsia="Calibri"/>
          <w:color w:val="000000" w:themeColor="text1"/>
          <w:lang w:val="en-US"/>
        </w:rPr>
        <w:t xml:space="preserve">the session </w:t>
      </w:r>
      <w:r w:rsidR="00D563CD" w:rsidRPr="00813D19">
        <w:rPr>
          <w:rFonts w:eastAsia="Calibri"/>
          <w:color w:val="000000" w:themeColor="text1"/>
          <w:lang w:val="en-US"/>
        </w:rPr>
        <w:t xml:space="preserve">had run </w:t>
      </w:r>
      <w:r w:rsidRPr="00813D19">
        <w:rPr>
          <w:rFonts w:eastAsia="Calibri"/>
          <w:color w:val="000000" w:themeColor="text1"/>
          <w:lang w:val="en-US"/>
        </w:rPr>
        <w:t>out of time</w:t>
      </w:r>
      <w:r w:rsidR="00D563CD" w:rsidRPr="00813D19">
        <w:rPr>
          <w:rFonts w:eastAsia="Calibri"/>
          <w:color w:val="000000" w:themeColor="text1"/>
          <w:lang w:val="en-US"/>
        </w:rPr>
        <w:t>,</w:t>
      </w:r>
      <w:r w:rsidRPr="00813D19">
        <w:rPr>
          <w:rFonts w:eastAsia="Calibri"/>
          <w:color w:val="000000" w:themeColor="text1"/>
          <w:lang w:val="en-US"/>
        </w:rPr>
        <w:t xml:space="preserve"> </w:t>
      </w:r>
      <w:r w:rsidR="00D563CD" w:rsidRPr="00813D19">
        <w:rPr>
          <w:rFonts w:eastAsia="Calibri"/>
          <w:color w:val="000000" w:themeColor="text1"/>
          <w:lang w:val="en-US"/>
        </w:rPr>
        <w:t xml:space="preserve">and </w:t>
      </w:r>
      <w:r w:rsidRPr="00813D19">
        <w:rPr>
          <w:rFonts w:eastAsia="Calibri"/>
          <w:color w:val="000000" w:themeColor="text1"/>
          <w:lang w:val="en-US"/>
        </w:rPr>
        <w:t xml:space="preserve">that </w:t>
      </w:r>
      <w:r w:rsidR="00504ACC" w:rsidRPr="00813D19">
        <w:rPr>
          <w:bCs/>
          <w:lang w:val="en-US"/>
        </w:rPr>
        <w:t xml:space="preserve">Argentina </w:t>
      </w:r>
      <w:r w:rsidRPr="00813D19">
        <w:rPr>
          <w:bCs/>
          <w:lang w:val="en-US"/>
        </w:rPr>
        <w:t xml:space="preserve">had been </w:t>
      </w:r>
      <w:r w:rsidR="00504ACC" w:rsidRPr="00813D19">
        <w:rPr>
          <w:bCs/>
          <w:lang w:val="en-US"/>
        </w:rPr>
        <w:t xml:space="preserve">given more than </w:t>
      </w:r>
      <w:r w:rsidR="00815742">
        <w:rPr>
          <w:bCs/>
          <w:lang w:val="en-US"/>
        </w:rPr>
        <w:t>fifteen</w:t>
      </w:r>
      <w:r w:rsidR="00815742" w:rsidRPr="00813D19">
        <w:rPr>
          <w:bCs/>
          <w:lang w:val="en-US"/>
        </w:rPr>
        <w:t xml:space="preserve"> </w:t>
      </w:r>
      <w:r w:rsidR="00504ACC" w:rsidRPr="00813D19">
        <w:rPr>
          <w:bCs/>
          <w:lang w:val="en-US"/>
        </w:rPr>
        <w:t xml:space="preserve">minutes to </w:t>
      </w:r>
      <w:r w:rsidR="00853685" w:rsidRPr="00813D19">
        <w:rPr>
          <w:bCs/>
          <w:lang w:val="en-US"/>
        </w:rPr>
        <w:t>speak</w:t>
      </w:r>
      <w:r w:rsidR="00D563CD" w:rsidRPr="00813D19">
        <w:rPr>
          <w:bCs/>
          <w:lang w:val="en-US"/>
        </w:rPr>
        <w:t xml:space="preserve">. Moreover, </w:t>
      </w:r>
      <w:r w:rsidR="003546EB" w:rsidRPr="00813D19">
        <w:rPr>
          <w:bCs/>
          <w:lang w:val="en-US"/>
        </w:rPr>
        <w:t xml:space="preserve">the Chairperson </w:t>
      </w:r>
      <w:r w:rsidR="00D563CD" w:rsidRPr="00813D19">
        <w:rPr>
          <w:bCs/>
          <w:lang w:val="en-US"/>
        </w:rPr>
        <w:t xml:space="preserve">had intervened </w:t>
      </w:r>
      <w:r w:rsidR="00504ACC" w:rsidRPr="00813D19">
        <w:rPr>
          <w:bCs/>
          <w:lang w:val="en-US"/>
        </w:rPr>
        <w:t xml:space="preserve">on more than two occasions </w:t>
      </w:r>
      <w:r w:rsidR="00D563CD" w:rsidRPr="00813D19">
        <w:rPr>
          <w:bCs/>
          <w:lang w:val="en-US"/>
        </w:rPr>
        <w:t xml:space="preserve">to </w:t>
      </w:r>
      <w:r w:rsidR="003546EB" w:rsidRPr="00813D19">
        <w:rPr>
          <w:bCs/>
          <w:lang w:val="en-US"/>
        </w:rPr>
        <w:t xml:space="preserve">stress the need for Argentina </w:t>
      </w:r>
      <w:r w:rsidR="00504ACC" w:rsidRPr="00813D19">
        <w:rPr>
          <w:bCs/>
          <w:lang w:val="en-US"/>
        </w:rPr>
        <w:t xml:space="preserve">to </w:t>
      </w:r>
      <w:r w:rsidR="003546EB" w:rsidRPr="00813D19">
        <w:rPr>
          <w:bCs/>
          <w:lang w:val="en-US"/>
        </w:rPr>
        <w:t xml:space="preserve">respond directly to </w:t>
      </w:r>
      <w:r w:rsidR="00504ACC" w:rsidRPr="00813D19">
        <w:rPr>
          <w:bCs/>
          <w:lang w:val="en-US"/>
        </w:rPr>
        <w:t>the queries</w:t>
      </w:r>
      <w:r w:rsidR="003546EB" w:rsidRPr="00813D19">
        <w:rPr>
          <w:bCs/>
          <w:lang w:val="en-US"/>
        </w:rPr>
        <w:t xml:space="preserve">, which </w:t>
      </w:r>
      <w:r w:rsidR="00853685" w:rsidRPr="00813D19">
        <w:rPr>
          <w:bCs/>
          <w:lang w:val="en-US"/>
        </w:rPr>
        <w:t>had</w:t>
      </w:r>
      <w:r w:rsidR="003546EB" w:rsidRPr="00813D19">
        <w:rPr>
          <w:bCs/>
          <w:lang w:val="en-US"/>
        </w:rPr>
        <w:t xml:space="preserve"> also </w:t>
      </w:r>
      <w:r w:rsidR="00853685" w:rsidRPr="00813D19">
        <w:rPr>
          <w:bCs/>
          <w:lang w:val="en-US"/>
        </w:rPr>
        <w:t xml:space="preserve">been </w:t>
      </w:r>
      <w:r w:rsidR="003546EB" w:rsidRPr="00813D19">
        <w:rPr>
          <w:bCs/>
          <w:lang w:val="en-US"/>
        </w:rPr>
        <w:t xml:space="preserve">emphasized </w:t>
      </w:r>
      <w:r w:rsidR="00504ACC" w:rsidRPr="00813D19">
        <w:rPr>
          <w:bCs/>
          <w:lang w:val="en-US"/>
        </w:rPr>
        <w:t>by the Netherlands</w:t>
      </w:r>
      <w:r w:rsidR="003546EB" w:rsidRPr="00813D19">
        <w:rPr>
          <w:bCs/>
          <w:lang w:val="en-US"/>
        </w:rPr>
        <w:t>.</w:t>
      </w:r>
    </w:p>
    <w:p w14:paraId="22C11574" w14:textId="0BE259CB" w:rsidR="007511DB" w:rsidRPr="00813D19" w:rsidRDefault="007511DB" w:rsidP="00524D5A">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Cuba</w:t>
      </w:r>
      <w:r w:rsidR="00504ACC" w:rsidRPr="00813D19">
        <w:rPr>
          <w:rFonts w:eastAsia="Calibri"/>
          <w:b/>
          <w:color w:val="000000" w:themeColor="text1"/>
          <w:lang w:val="en-US"/>
        </w:rPr>
        <w:t xml:space="preserve"> </w:t>
      </w:r>
      <w:r w:rsidR="003546EB" w:rsidRPr="00813D19">
        <w:rPr>
          <w:bCs/>
          <w:lang w:val="en-US"/>
        </w:rPr>
        <w:t>thanked</w:t>
      </w:r>
      <w:r w:rsidR="00504ACC" w:rsidRPr="00813D19">
        <w:rPr>
          <w:bCs/>
          <w:lang w:val="en-US"/>
        </w:rPr>
        <w:t xml:space="preserve"> </w:t>
      </w:r>
      <w:r w:rsidR="00112229" w:rsidRPr="00813D19">
        <w:rPr>
          <w:bCs/>
          <w:lang w:val="en-US"/>
        </w:rPr>
        <w:t xml:space="preserve">the Secretariat </w:t>
      </w:r>
      <w:r w:rsidR="00504ACC" w:rsidRPr="00813D19">
        <w:rPr>
          <w:bCs/>
          <w:lang w:val="en-US"/>
        </w:rPr>
        <w:t xml:space="preserve">for </w:t>
      </w:r>
      <w:r w:rsidR="00112229" w:rsidRPr="00813D19">
        <w:rPr>
          <w:bCs/>
          <w:lang w:val="en-US"/>
        </w:rPr>
        <w:t xml:space="preserve">its </w:t>
      </w:r>
      <w:r w:rsidR="00504ACC" w:rsidRPr="00813D19">
        <w:rPr>
          <w:bCs/>
          <w:lang w:val="en-US"/>
        </w:rPr>
        <w:t>explanation</w:t>
      </w:r>
      <w:r w:rsidR="00112229" w:rsidRPr="00813D19">
        <w:rPr>
          <w:bCs/>
          <w:lang w:val="en-US"/>
        </w:rPr>
        <w:t>, adding that it understood</w:t>
      </w:r>
      <w:r w:rsidR="00504ACC" w:rsidRPr="00813D19">
        <w:rPr>
          <w:bCs/>
          <w:lang w:val="en-US"/>
        </w:rPr>
        <w:t xml:space="preserve"> that </w:t>
      </w:r>
      <w:r w:rsidR="00112229" w:rsidRPr="00813D19">
        <w:rPr>
          <w:bCs/>
          <w:lang w:val="en-US"/>
        </w:rPr>
        <w:t xml:space="preserve">the Committee had to respect the legal framework, </w:t>
      </w:r>
      <w:r w:rsidR="00504ACC" w:rsidRPr="00813D19">
        <w:rPr>
          <w:bCs/>
          <w:lang w:val="en-US"/>
        </w:rPr>
        <w:t xml:space="preserve">the Operational Directives and the Rules of the Convention. </w:t>
      </w:r>
      <w:r w:rsidR="00112229" w:rsidRPr="00813D19">
        <w:rPr>
          <w:bCs/>
          <w:lang w:val="en-US"/>
        </w:rPr>
        <w:t>Neverth</w:t>
      </w:r>
      <w:r w:rsidR="00524D5A" w:rsidRPr="00813D19">
        <w:rPr>
          <w:bCs/>
          <w:lang w:val="en-US"/>
        </w:rPr>
        <w:t>e</w:t>
      </w:r>
      <w:r w:rsidR="00112229" w:rsidRPr="00813D19">
        <w:rPr>
          <w:bCs/>
          <w:lang w:val="en-US"/>
        </w:rPr>
        <w:t xml:space="preserve">less, it was important </w:t>
      </w:r>
      <w:r w:rsidR="00524D5A" w:rsidRPr="00813D19">
        <w:rPr>
          <w:bCs/>
          <w:lang w:val="en-US"/>
        </w:rPr>
        <w:t xml:space="preserve">to </w:t>
      </w:r>
      <w:r w:rsidR="00815742" w:rsidRPr="00813D19">
        <w:rPr>
          <w:bCs/>
          <w:lang w:val="en-US"/>
        </w:rPr>
        <w:t xml:space="preserve">also </w:t>
      </w:r>
      <w:r w:rsidR="00524D5A" w:rsidRPr="00813D19">
        <w:rPr>
          <w:bCs/>
          <w:lang w:val="en-US"/>
        </w:rPr>
        <w:t xml:space="preserve">bear in mind that the Convention was currently at a time </w:t>
      </w:r>
      <w:r w:rsidR="00504ACC" w:rsidRPr="00813D19">
        <w:rPr>
          <w:bCs/>
          <w:lang w:val="en-US"/>
        </w:rPr>
        <w:t>of reflection</w:t>
      </w:r>
      <w:r w:rsidR="00524D5A" w:rsidRPr="00813D19">
        <w:rPr>
          <w:bCs/>
          <w:lang w:val="en-US"/>
        </w:rPr>
        <w:t>; as a living Convention</w:t>
      </w:r>
      <w:r w:rsidR="00815742">
        <w:rPr>
          <w:bCs/>
          <w:lang w:val="en-US"/>
        </w:rPr>
        <w:t>,</w:t>
      </w:r>
      <w:r w:rsidR="00524D5A" w:rsidRPr="00813D19">
        <w:rPr>
          <w:bCs/>
          <w:lang w:val="en-US"/>
        </w:rPr>
        <w:t xml:space="preserve"> it </w:t>
      </w:r>
      <w:r w:rsidR="00815742">
        <w:rPr>
          <w:bCs/>
          <w:lang w:val="en-US"/>
        </w:rPr>
        <w:t>would</w:t>
      </w:r>
      <w:r w:rsidR="00815742" w:rsidRPr="00813D19">
        <w:rPr>
          <w:bCs/>
          <w:lang w:val="en-US"/>
        </w:rPr>
        <w:t xml:space="preserve"> </w:t>
      </w:r>
      <w:r w:rsidR="00524D5A" w:rsidRPr="00813D19">
        <w:rPr>
          <w:bCs/>
          <w:lang w:val="en-US"/>
        </w:rPr>
        <w:t>continue to evolve</w:t>
      </w:r>
      <w:r w:rsidR="00504ACC" w:rsidRPr="00813D19">
        <w:rPr>
          <w:bCs/>
          <w:lang w:val="en-US"/>
        </w:rPr>
        <w:t xml:space="preserve">. </w:t>
      </w:r>
      <w:r w:rsidR="00524D5A" w:rsidRPr="00813D19">
        <w:rPr>
          <w:bCs/>
          <w:lang w:val="en-US"/>
        </w:rPr>
        <w:t xml:space="preserve">The delegation wondered whether the Bureau could provide an </w:t>
      </w:r>
      <w:r w:rsidR="00504ACC" w:rsidRPr="00813D19">
        <w:rPr>
          <w:bCs/>
          <w:lang w:val="en-US"/>
        </w:rPr>
        <w:t xml:space="preserve">option </w:t>
      </w:r>
      <w:r w:rsidR="00524D5A" w:rsidRPr="00813D19">
        <w:rPr>
          <w:bCs/>
          <w:lang w:val="en-US"/>
        </w:rPr>
        <w:t>based on the</w:t>
      </w:r>
      <w:r w:rsidR="00504ACC" w:rsidRPr="00813D19">
        <w:rPr>
          <w:bCs/>
          <w:lang w:val="en-US"/>
        </w:rPr>
        <w:t xml:space="preserve"> specificities and the symbolism of this </w:t>
      </w:r>
      <w:r w:rsidR="00524D5A" w:rsidRPr="00813D19">
        <w:rPr>
          <w:bCs/>
          <w:lang w:val="en-US"/>
        </w:rPr>
        <w:t xml:space="preserve">particular case—on the understanding that the Committee had to follow the rules—as it </w:t>
      </w:r>
      <w:r w:rsidR="00853685" w:rsidRPr="00813D19">
        <w:rPr>
          <w:bCs/>
          <w:lang w:val="en-US"/>
        </w:rPr>
        <w:t xml:space="preserve">not only </w:t>
      </w:r>
      <w:r w:rsidR="00524D5A" w:rsidRPr="00813D19">
        <w:rPr>
          <w:bCs/>
          <w:lang w:val="en-US"/>
        </w:rPr>
        <w:t xml:space="preserve">affected </w:t>
      </w:r>
      <w:r w:rsidR="00504ACC" w:rsidRPr="00813D19">
        <w:rPr>
          <w:bCs/>
          <w:lang w:val="en-US"/>
        </w:rPr>
        <w:t>Argentina</w:t>
      </w:r>
      <w:r w:rsidR="00524D5A" w:rsidRPr="00813D19">
        <w:rPr>
          <w:bCs/>
          <w:lang w:val="en-US"/>
        </w:rPr>
        <w:t>,</w:t>
      </w:r>
      <w:r w:rsidR="00504ACC" w:rsidRPr="00813D19">
        <w:rPr>
          <w:bCs/>
          <w:lang w:val="en-US"/>
        </w:rPr>
        <w:t xml:space="preserve"> but </w:t>
      </w:r>
      <w:r w:rsidR="00524D5A" w:rsidRPr="00813D19">
        <w:rPr>
          <w:bCs/>
          <w:lang w:val="en-US"/>
        </w:rPr>
        <w:t xml:space="preserve">had </w:t>
      </w:r>
      <w:r w:rsidR="00504ACC" w:rsidRPr="00813D19">
        <w:rPr>
          <w:bCs/>
          <w:lang w:val="en-US"/>
        </w:rPr>
        <w:t xml:space="preserve">wider implications for the </w:t>
      </w:r>
      <w:r w:rsidR="00524D5A" w:rsidRPr="00813D19">
        <w:rPr>
          <w:bCs/>
          <w:lang w:val="en-US"/>
        </w:rPr>
        <w:t xml:space="preserve">entire </w:t>
      </w:r>
      <w:r w:rsidR="00504ACC" w:rsidRPr="00813D19">
        <w:rPr>
          <w:bCs/>
          <w:lang w:val="en-US"/>
        </w:rPr>
        <w:t xml:space="preserve">region. </w:t>
      </w:r>
      <w:r w:rsidR="00524D5A" w:rsidRPr="00813D19">
        <w:rPr>
          <w:bCs/>
          <w:lang w:val="en-US"/>
        </w:rPr>
        <w:t xml:space="preserve">Thus, could the Bureau </w:t>
      </w:r>
      <w:r w:rsidR="00504ACC" w:rsidRPr="00813D19">
        <w:rPr>
          <w:bCs/>
          <w:lang w:val="en-US"/>
        </w:rPr>
        <w:t xml:space="preserve">come up with a solution </w:t>
      </w:r>
      <w:r w:rsidR="00524D5A" w:rsidRPr="00813D19">
        <w:rPr>
          <w:bCs/>
          <w:lang w:val="en-US"/>
        </w:rPr>
        <w:t xml:space="preserve">that </w:t>
      </w:r>
      <w:r w:rsidR="00504ACC" w:rsidRPr="00813D19">
        <w:rPr>
          <w:bCs/>
          <w:lang w:val="en-US"/>
        </w:rPr>
        <w:t xml:space="preserve">on the one hand </w:t>
      </w:r>
      <w:r w:rsidR="00815742" w:rsidRPr="00813D19">
        <w:rPr>
          <w:bCs/>
          <w:lang w:val="en-US"/>
        </w:rPr>
        <w:t>respect</w:t>
      </w:r>
      <w:r w:rsidR="00815742">
        <w:rPr>
          <w:bCs/>
          <w:lang w:val="en-US"/>
        </w:rPr>
        <w:t>ed</w:t>
      </w:r>
      <w:r w:rsidR="00815742" w:rsidRPr="00813D19">
        <w:rPr>
          <w:bCs/>
          <w:lang w:val="en-US"/>
        </w:rPr>
        <w:t xml:space="preserve"> </w:t>
      </w:r>
      <w:r w:rsidR="00524D5A" w:rsidRPr="00813D19">
        <w:rPr>
          <w:bCs/>
          <w:lang w:val="en-US"/>
        </w:rPr>
        <w:t xml:space="preserve">the </w:t>
      </w:r>
      <w:r w:rsidR="00853685" w:rsidRPr="00813D19">
        <w:rPr>
          <w:bCs/>
          <w:lang w:val="en-US"/>
        </w:rPr>
        <w:t>legal framework, without</w:t>
      </w:r>
      <w:r w:rsidR="00504ACC" w:rsidRPr="00813D19">
        <w:rPr>
          <w:bCs/>
          <w:lang w:val="en-US"/>
        </w:rPr>
        <w:t xml:space="preserve"> set</w:t>
      </w:r>
      <w:r w:rsidR="00524D5A" w:rsidRPr="00813D19">
        <w:rPr>
          <w:bCs/>
          <w:lang w:val="en-US"/>
        </w:rPr>
        <w:t>ting</w:t>
      </w:r>
      <w:r w:rsidR="00504ACC" w:rsidRPr="00813D19">
        <w:rPr>
          <w:bCs/>
          <w:lang w:val="en-US"/>
        </w:rPr>
        <w:t xml:space="preserve"> a precedent</w:t>
      </w:r>
      <w:r w:rsidR="00524D5A" w:rsidRPr="00813D19">
        <w:rPr>
          <w:bCs/>
          <w:lang w:val="en-US"/>
        </w:rPr>
        <w:t>, and on the other hand offered</w:t>
      </w:r>
      <w:r w:rsidR="00504ACC" w:rsidRPr="00813D19">
        <w:rPr>
          <w:bCs/>
          <w:lang w:val="en-US"/>
        </w:rPr>
        <w:t xml:space="preserve"> more flexibility </w:t>
      </w:r>
      <w:r w:rsidR="00524D5A" w:rsidRPr="00813D19">
        <w:rPr>
          <w:bCs/>
          <w:lang w:val="en-US"/>
        </w:rPr>
        <w:t>in Argentina</w:t>
      </w:r>
      <w:r w:rsidR="00853685" w:rsidRPr="00813D19">
        <w:rPr>
          <w:bCs/>
          <w:lang w:val="en-US"/>
        </w:rPr>
        <w:t>’s</w:t>
      </w:r>
      <w:r w:rsidR="00524D5A" w:rsidRPr="00813D19">
        <w:rPr>
          <w:bCs/>
          <w:lang w:val="en-US"/>
        </w:rPr>
        <w:t xml:space="preserve"> </w:t>
      </w:r>
      <w:r w:rsidR="00504ACC" w:rsidRPr="00813D19">
        <w:rPr>
          <w:bCs/>
          <w:lang w:val="en-US"/>
        </w:rPr>
        <w:t>case</w:t>
      </w:r>
      <w:r w:rsidR="00815742">
        <w:rPr>
          <w:bCs/>
          <w:lang w:val="en-US"/>
        </w:rPr>
        <w:t>?</w:t>
      </w:r>
    </w:p>
    <w:p w14:paraId="0C16FCB6" w14:textId="5A8F377F" w:rsidR="00193558" w:rsidRPr="00813D19" w:rsidRDefault="00A921CD" w:rsidP="00193558">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F33EF1" w:rsidRPr="00813D19">
        <w:rPr>
          <w:rFonts w:eastAsia="Calibri"/>
          <w:color w:val="000000" w:themeColor="text1"/>
          <w:lang w:val="en-US"/>
        </w:rPr>
        <w:t xml:space="preserve">noted the remarks by </w:t>
      </w:r>
      <w:r w:rsidR="00F33EF1" w:rsidRPr="00813D19">
        <w:rPr>
          <w:bCs/>
          <w:lang w:val="en-US"/>
        </w:rPr>
        <w:t xml:space="preserve">Cuba, and informed the Committee that the Legal </w:t>
      </w:r>
      <w:r w:rsidR="00A84307" w:rsidRPr="00813D19">
        <w:rPr>
          <w:bCs/>
          <w:lang w:val="en-US"/>
        </w:rPr>
        <w:t>Advis</w:t>
      </w:r>
      <w:r w:rsidR="00A84307">
        <w:rPr>
          <w:bCs/>
          <w:lang w:val="en-US"/>
        </w:rPr>
        <w:t>e</w:t>
      </w:r>
      <w:r w:rsidR="00A84307" w:rsidRPr="00813D19">
        <w:rPr>
          <w:bCs/>
          <w:lang w:val="en-US"/>
        </w:rPr>
        <w:t xml:space="preserve">r </w:t>
      </w:r>
      <w:r w:rsidR="00853685" w:rsidRPr="00813D19">
        <w:rPr>
          <w:bCs/>
          <w:lang w:val="en-US"/>
        </w:rPr>
        <w:t>was present and would soo</w:t>
      </w:r>
      <w:r w:rsidR="00F33EF1" w:rsidRPr="00813D19">
        <w:rPr>
          <w:bCs/>
          <w:lang w:val="en-US"/>
        </w:rPr>
        <w:t>n share his views on the situation. In the meantime, the Chairperson asked Colombia to present its amendment</w:t>
      </w:r>
      <w:r w:rsidR="00504ACC" w:rsidRPr="00813D19">
        <w:rPr>
          <w:bCs/>
          <w:lang w:val="en-US"/>
        </w:rPr>
        <w:t>.</w:t>
      </w:r>
    </w:p>
    <w:p w14:paraId="4513426F" w14:textId="4350F627" w:rsidR="00FB25EE" w:rsidRPr="00813D19" w:rsidRDefault="00BC5700" w:rsidP="00193558">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Colombia </w:t>
      </w:r>
      <w:r w:rsidRPr="00813D19">
        <w:rPr>
          <w:rFonts w:eastAsia="Calibri"/>
          <w:color w:val="000000" w:themeColor="text1"/>
          <w:lang w:val="en-US"/>
        </w:rPr>
        <w:t xml:space="preserve">proposed </w:t>
      </w:r>
      <w:r w:rsidR="00F33EF1" w:rsidRPr="00813D19">
        <w:rPr>
          <w:rFonts w:eastAsia="Calibri"/>
          <w:color w:val="000000" w:themeColor="text1"/>
          <w:lang w:val="en-US"/>
        </w:rPr>
        <w:t>the followin</w:t>
      </w:r>
      <w:r w:rsidR="00F33EF1" w:rsidRPr="00813D19">
        <w:rPr>
          <w:bCs/>
          <w:lang w:val="en-US"/>
        </w:rPr>
        <w:t>g wording</w:t>
      </w:r>
      <w:r w:rsidR="00815742">
        <w:rPr>
          <w:bCs/>
          <w:lang w:val="en-US"/>
        </w:rPr>
        <w:t>:</w:t>
      </w:r>
      <w:r w:rsidR="00F33EF1" w:rsidRPr="00813D19">
        <w:rPr>
          <w:bCs/>
          <w:lang w:val="en-US"/>
        </w:rPr>
        <w:t xml:space="preserve"> ‘</w:t>
      </w:r>
      <w:r w:rsidR="00193558" w:rsidRPr="00813D19">
        <w:rPr>
          <w:bCs/>
          <w:lang w:val="en-US"/>
        </w:rPr>
        <w:t>Recognizes the hard work and commitment of the associate communities and related institutions in the elaboration of the file, and looks forward to a future consideration of the file’.</w:t>
      </w:r>
    </w:p>
    <w:p w14:paraId="71881CD8" w14:textId="4C4B0BE2" w:rsidR="00FB25EE" w:rsidRPr="00813D19" w:rsidRDefault="00FB25EE" w:rsidP="00BA4935">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193558" w:rsidRPr="00813D19">
        <w:rPr>
          <w:rFonts w:eastAsia="Calibri"/>
          <w:color w:val="000000" w:themeColor="text1"/>
          <w:lang w:val="en-US"/>
        </w:rPr>
        <w:t>noted that</w:t>
      </w:r>
      <w:r w:rsidR="00193558" w:rsidRPr="00813D19">
        <w:rPr>
          <w:rFonts w:eastAsia="Calibri"/>
          <w:b/>
          <w:color w:val="000000" w:themeColor="text1"/>
          <w:lang w:val="en-US"/>
        </w:rPr>
        <w:t xml:space="preserve"> </w:t>
      </w:r>
      <w:r w:rsidR="00815742" w:rsidRPr="003221D5">
        <w:rPr>
          <w:rFonts w:eastAsia="Calibri"/>
          <w:color w:val="000000" w:themeColor="text1"/>
          <w:lang w:val="en-US"/>
        </w:rPr>
        <w:t xml:space="preserve">the </w:t>
      </w:r>
      <w:r w:rsidR="00193558" w:rsidRPr="00813D19">
        <w:rPr>
          <w:bCs/>
          <w:lang w:val="en-US"/>
        </w:rPr>
        <w:t>amendment appeared as a new paragraph 5.</w:t>
      </w:r>
    </w:p>
    <w:p w14:paraId="415EE4B9" w14:textId="1400090B" w:rsidR="00FB25EE" w:rsidRPr="00813D19" w:rsidRDefault="00FB25EE"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Palestine</w:t>
      </w:r>
      <w:r w:rsidRPr="00813D19">
        <w:rPr>
          <w:rFonts w:eastAsia="Calibri"/>
          <w:color w:val="000000" w:themeColor="text1"/>
          <w:lang w:val="en-US"/>
        </w:rPr>
        <w:t xml:space="preserve"> supported the wording presented by Colombia and the opinion of Cuba, and wished to hear from the Legal </w:t>
      </w:r>
      <w:r w:rsidR="00A84307" w:rsidRPr="00813D19">
        <w:rPr>
          <w:rFonts w:eastAsia="Calibri"/>
          <w:color w:val="000000" w:themeColor="text1"/>
          <w:lang w:val="en-US"/>
        </w:rPr>
        <w:t>Advis</w:t>
      </w:r>
      <w:r w:rsidR="00A84307">
        <w:rPr>
          <w:rFonts w:eastAsia="Calibri"/>
          <w:color w:val="000000" w:themeColor="text1"/>
          <w:lang w:val="en-US"/>
        </w:rPr>
        <w:t>e</w:t>
      </w:r>
      <w:r w:rsidR="00A84307" w:rsidRPr="00813D19">
        <w:rPr>
          <w:rFonts w:eastAsia="Calibri"/>
          <w:color w:val="000000" w:themeColor="text1"/>
          <w:lang w:val="en-US"/>
        </w:rPr>
        <w:t>r</w:t>
      </w:r>
      <w:r w:rsidR="00E72560">
        <w:rPr>
          <w:rFonts w:eastAsia="Calibri"/>
          <w:color w:val="000000" w:themeColor="text1"/>
          <w:lang w:val="en-US"/>
        </w:rPr>
        <w:t>.</w:t>
      </w:r>
    </w:p>
    <w:p w14:paraId="58CF2305" w14:textId="00B56706" w:rsidR="00193558" w:rsidRPr="00813D19" w:rsidRDefault="00FB25EE"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Poland</w:t>
      </w:r>
      <w:r w:rsidR="00193558" w:rsidRPr="00813D19">
        <w:rPr>
          <w:rFonts w:eastAsia="Calibri"/>
          <w:b/>
          <w:color w:val="000000" w:themeColor="text1"/>
          <w:lang w:val="en-US"/>
        </w:rPr>
        <w:t xml:space="preserve"> </w:t>
      </w:r>
      <w:r w:rsidR="00853685" w:rsidRPr="00813D19">
        <w:rPr>
          <w:lang w:val="en-US"/>
        </w:rPr>
        <w:t>supported the</w:t>
      </w:r>
      <w:r w:rsidR="00193558" w:rsidRPr="00813D19">
        <w:rPr>
          <w:lang w:val="en-US"/>
        </w:rPr>
        <w:t xml:space="preserve"> amendment, having in mind that the community deserved such </w:t>
      </w:r>
      <w:r w:rsidR="00815742">
        <w:rPr>
          <w:lang w:val="en-US"/>
        </w:rPr>
        <w:t xml:space="preserve">a </w:t>
      </w:r>
      <w:r w:rsidR="00E72560">
        <w:rPr>
          <w:lang w:val="en-US"/>
        </w:rPr>
        <w:t>wording.</w:t>
      </w:r>
    </w:p>
    <w:p w14:paraId="57CDE9FD" w14:textId="090CDF32" w:rsidR="00193558" w:rsidRPr="00813D19" w:rsidRDefault="00193558"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w:t>
      </w:r>
      <w:r w:rsidR="000953A7">
        <w:rPr>
          <w:rFonts w:eastAsia="Calibri"/>
          <w:b/>
          <w:color w:val="000000" w:themeColor="text1"/>
          <w:lang w:val="en-US"/>
        </w:rPr>
        <w:t xml:space="preserve">the </w:t>
      </w:r>
      <w:r w:rsidRPr="00813D19">
        <w:rPr>
          <w:rFonts w:eastAsia="Calibri"/>
          <w:b/>
          <w:color w:val="000000" w:themeColor="text1"/>
          <w:lang w:val="en-US"/>
        </w:rPr>
        <w:t xml:space="preserve">Philippines </w:t>
      </w:r>
      <w:r w:rsidRPr="00813D19">
        <w:rPr>
          <w:rFonts w:eastAsia="Calibri"/>
          <w:color w:val="000000" w:themeColor="text1"/>
          <w:lang w:val="en-US"/>
        </w:rPr>
        <w:t>also supported the amendment, adding that it had worked with Cuba and Colombia on the proposal.</w:t>
      </w:r>
    </w:p>
    <w:p w14:paraId="79624C56" w14:textId="60679A6D" w:rsidR="00FB25EE" w:rsidRPr="00813D19" w:rsidRDefault="00193558"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delegations of </w:t>
      </w:r>
      <w:r w:rsidR="00FB25EE" w:rsidRPr="00813D19">
        <w:rPr>
          <w:rFonts w:eastAsia="Calibri"/>
          <w:b/>
          <w:color w:val="000000" w:themeColor="text1"/>
          <w:lang w:val="en-US"/>
        </w:rPr>
        <w:t xml:space="preserve">Lebanon, Kuwait, Azerbaijan, Kazakhstan, Cyprus, Senegal, Jamaica, Japan, </w:t>
      </w:r>
      <w:r w:rsidR="00815742">
        <w:rPr>
          <w:rFonts w:eastAsia="Calibri"/>
          <w:b/>
          <w:color w:val="000000" w:themeColor="text1"/>
          <w:lang w:val="en-US"/>
        </w:rPr>
        <w:t xml:space="preserve">the </w:t>
      </w:r>
      <w:r w:rsidR="00FB25EE" w:rsidRPr="00813D19">
        <w:rPr>
          <w:rFonts w:eastAsia="Calibri"/>
          <w:b/>
          <w:color w:val="000000" w:themeColor="text1"/>
          <w:lang w:val="en-US"/>
        </w:rPr>
        <w:t>Netherlands, China, Austria, Guat</w:t>
      </w:r>
      <w:r w:rsidR="00623426" w:rsidRPr="00813D19">
        <w:rPr>
          <w:rFonts w:eastAsia="Calibri"/>
          <w:b/>
          <w:color w:val="000000" w:themeColor="text1"/>
          <w:lang w:val="en-US"/>
        </w:rPr>
        <w:t>emala, Sri Lanka, Armenia</w:t>
      </w:r>
      <w:r w:rsidR="00815742">
        <w:rPr>
          <w:rFonts w:eastAsia="Calibri"/>
          <w:b/>
          <w:color w:val="000000" w:themeColor="text1"/>
          <w:lang w:val="en-US"/>
        </w:rPr>
        <w:t xml:space="preserve"> and</w:t>
      </w:r>
      <w:r w:rsidR="00623426" w:rsidRPr="00813D19">
        <w:rPr>
          <w:rFonts w:eastAsia="Calibri"/>
          <w:b/>
          <w:color w:val="000000" w:themeColor="text1"/>
          <w:lang w:val="en-US"/>
        </w:rPr>
        <w:t xml:space="preserve"> Togo </w:t>
      </w:r>
      <w:r w:rsidR="00623426" w:rsidRPr="00813D19">
        <w:rPr>
          <w:rFonts w:eastAsia="Calibri"/>
          <w:color w:val="000000" w:themeColor="text1"/>
          <w:lang w:val="en-US"/>
        </w:rPr>
        <w:t>supported the amendment</w:t>
      </w:r>
      <w:r w:rsidRPr="00813D19">
        <w:rPr>
          <w:rFonts w:eastAsia="Calibri"/>
          <w:color w:val="000000" w:themeColor="text1"/>
          <w:lang w:val="en-US"/>
        </w:rPr>
        <w:t xml:space="preserve"> proposed by Colombia</w:t>
      </w:r>
      <w:r w:rsidR="00623426" w:rsidRPr="00813D19">
        <w:rPr>
          <w:rFonts w:eastAsia="Calibri"/>
          <w:color w:val="000000" w:themeColor="text1"/>
          <w:lang w:val="en-US"/>
        </w:rPr>
        <w:t>.</w:t>
      </w:r>
    </w:p>
    <w:p w14:paraId="21358B32" w14:textId="0FD9676D" w:rsidR="00FB25EE" w:rsidRPr="00813D19" w:rsidRDefault="00FB25EE"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Pr="00813D19">
        <w:rPr>
          <w:rFonts w:eastAsia="Calibri"/>
          <w:color w:val="000000" w:themeColor="text1"/>
          <w:lang w:val="en-US"/>
        </w:rPr>
        <w:t xml:space="preserve">noted </w:t>
      </w:r>
      <w:r w:rsidR="00193558" w:rsidRPr="00813D19">
        <w:rPr>
          <w:rFonts w:eastAsia="Calibri"/>
          <w:color w:val="000000" w:themeColor="text1"/>
          <w:lang w:val="en-US"/>
        </w:rPr>
        <w:t xml:space="preserve">the </w:t>
      </w:r>
      <w:r w:rsidRPr="00813D19">
        <w:rPr>
          <w:rFonts w:eastAsia="Calibri"/>
          <w:color w:val="000000" w:themeColor="text1"/>
          <w:lang w:val="en-US"/>
        </w:rPr>
        <w:t xml:space="preserve">broad support </w:t>
      </w:r>
      <w:r w:rsidR="00193558" w:rsidRPr="00813D19">
        <w:rPr>
          <w:rFonts w:eastAsia="Calibri"/>
          <w:color w:val="000000" w:themeColor="text1"/>
          <w:lang w:val="en-US"/>
        </w:rPr>
        <w:t xml:space="preserve">received for paragraph 5, which was </w:t>
      </w:r>
      <w:r w:rsidRPr="00813D19">
        <w:rPr>
          <w:rFonts w:eastAsia="Calibri"/>
          <w:color w:val="000000" w:themeColor="text1"/>
          <w:lang w:val="en-US"/>
        </w:rPr>
        <w:t>duly adopted.</w:t>
      </w:r>
    </w:p>
    <w:p w14:paraId="24BF302D" w14:textId="5D9BF8C8" w:rsidR="00FB25EE" w:rsidRPr="00813D19" w:rsidRDefault="00FB25EE"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w:t>
      </w:r>
      <w:r w:rsidR="00193558" w:rsidRPr="00813D19">
        <w:rPr>
          <w:rFonts w:eastAsia="Calibri"/>
          <w:color w:val="000000" w:themeColor="text1"/>
          <w:lang w:val="en-US"/>
        </w:rPr>
        <w:t xml:space="preserve">invited the </w:t>
      </w:r>
      <w:r w:rsidR="00193558" w:rsidRPr="00813D19">
        <w:rPr>
          <w:bCs/>
          <w:lang w:val="en-US"/>
        </w:rPr>
        <w:t xml:space="preserve">Legal </w:t>
      </w:r>
      <w:r w:rsidR="00A84307" w:rsidRPr="00813D19">
        <w:rPr>
          <w:bCs/>
          <w:lang w:val="en-US"/>
        </w:rPr>
        <w:t>Advis</w:t>
      </w:r>
      <w:r w:rsidR="00A84307">
        <w:rPr>
          <w:bCs/>
          <w:lang w:val="en-US"/>
        </w:rPr>
        <w:t>e</w:t>
      </w:r>
      <w:r w:rsidR="00A84307" w:rsidRPr="00813D19">
        <w:rPr>
          <w:bCs/>
          <w:lang w:val="en-US"/>
        </w:rPr>
        <w:t xml:space="preserve">r </w:t>
      </w:r>
      <w:r w:rsidR="00193558" w:rsidRPr="00813D19">
        <w:rPr>
          <w:bCs/>
          <w:lang w:val="en-US"/>
        </w:rPr>
        <w:t xml:space="preserve">to pronounce on the </w:t>
      </w:r>
      <w:r w:rsidR="00623426" w:rsidRPr="00813D19">
        <w:rPr>
          <w:bCs/>
          <w:lang w:val="en-US"/>
        </w:rPr>
        <w:t xml:space="preserve">suggestion </w:t>
      </w:r>
      <w:r w:rsidR="00193558" w:rsidRPr="00813D19">
        <w:rPr>
          <w:bCs/>
          <w:lang w:val="en-US"/>
        </w:rPr>
        <w:t xml:space="preserve">by </w:t>
      </w:r>
      <w:r w:rsidR="00623426" w:rsidRPr="00813D19">
        <w:rPr>
          <w:bCs/>
          <w:lang w:val="en-US"/>
        </w:rPr>
        <w:t xml:space="preserve">Cuba </w:t>
      </w:r>
      <w:r w:rsidR="00193558" w:rsidRPr="00813D19">
        <w:rPr>
          <w:bCs/>
          <w:lang w:val="en-US"/>
        </w:rPr>
        <w:t xml:space="preserve">to consider </w:t>
      </w:r>
      <w:r w:rsidR="00623426" w:rsidRPr="00813D19">
        <w:rPr>
          <w:bCs/>
          <w:lang w:val="en-US"/>
        </w:rPr>
        <w:t>how to deal with this referral</w:t>
      </w:r>
      <w:r w:rsidR="00193558" w:rsidRPr="00813D19">
        <w:rPr>
          <w:bCs/>
          <w:lang w:val="en-US"/>
        </w:rPr>
        <w:t>,</w:t>
      </w:r>
      <w:r w:rsidR="00623426" w:rsidRPr="00813D19">
        <w:rPr>
          <w:bCs/>
          <w:lang w:val="en-US"/>
        </w:rPr>
        <w:t xml:space="preserve"> and whether there </w:t>
      </w:r>
      <w:r w:rsidR="00193558" w:rsidRPr="00813D19">
        <w:rPr>
          <w:bCs/>
          <w:lang w:val="en-US"/>
        </w:rPr>
        <w:t>was a possibility—</w:t>
      </w:r>
      <w:r w:rsidR="00623426" w:rsidRPr="00813D19">
        <w:rPr>
          <w:bCs/>
          <w:lang w:val="en-US"/>
        </w:rPr>
        <w:t xml:space="preserve">with the consent of </w:t>
      </w:r>
      <w:r w:rsidR="000339BE">
        <w:rPr>
          <w:bCs/>
          <w:lang w:val="en-US"/>
        </w:rPr>
        <w:t xml:space="preserve">the </w:t>
      </w:r>
      <w:r w:rsidR="00623426" w:rsidRPr="00813D19">
        <w:rPr>
          <w:bCs/>
          <w:lang w:val="en-US"/>
        </w:rPr>
        <w:t>Committee Members</w:t>
      </w:r>
      <w:r w:rsidR="00193558" w:rsidRPr="00813D19">
        <w:rPr>
          <w:bCs/>
          <w:lang w:val="en-US"/>
        </w:rPr>
        <w:t>—</w:t>
      </w:r>
      <w:r w:rsidR="00623426" w:rsidRPr="00813D19">
        <w:rPr>
          <w:bCs/>
          <w:lang w:val="en-US"/>
        </w:rPr>
        <w:t xml:space="preserve">to have this file referred </w:t>
      </w:r>
      <w:r w:rsidR="00193558" w:rsidRPr="00813D19">
        <w:rPr>
          <w:bCs/>
          <w:lang w:val="en-US"/>
        </w:rPr>
        <w:t>prior to the two</w:t>
      </w:r>
      <w:r w:rsidR="000339BE">
        <w:rPr>
          <w:bCs/>
          <w:lang w:val="en-US"/>
        </w:rPr>
        <w:t>-</w:t>
      </w:r>
      <w:r w:rsidR="00193558" w:rsidRPr="00813D19">
        <w:rPr>
          <w:bCs/>
          <w:lang w:val="en-US"/>
        </w:rPr>
        <w:t>year hiatus</w:t>
      </w:r>
      <w:r w:rsidR="00E72560">
        <w:rPr>
          <w:bCs/>
          <w:lang w:val="en-US"/>
        </w:rPr>
        <w:t>.</w:t>
      </w:r>
    </w:p>
    <w:p w14:paraId="041EE705" w14:textId="794592FD" w:rsidR="00FB25EE" w:rsidRPr="00813D19" w:rsidRDefault="00FB25EE"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Legal </w:t>
      </w:r>
      <w:r w:rsidR="00A84307" w:rsidRPr="00813D19">
        <w:rPr>
          <w:rFonts w:eastAsia="Calibri"/>
          <w:b/>
          <w:color w:val="000000" w:themeColor="text1"/>
          <w:lang w:val="en-US"/>
        </w:rPr>
        <w:t>Advis</w:t>
      </w:r>
      <w:r w:rsidR="00A84307">
        <w:rPr>
          <w:rFonts w:eastAsia="Calibri"/>
          <w:b/>
          <w:color w:val="000000" w:themeColor="text1"/>
          <w:lang w:val="en-US"/>
        </w:rPr>
        <w:t>e</w:t>
      </w:r>
      <w:r w:rsidR="00A84307" w:rsidRPr="00813D19">
        <w:rPr>
          <w:rFonts w:eastAsia="Calibri"/>
          <w:b/>
          <w:color w:val="000000" w:themeColor="text1"/>
          <w:lang w:val="en-US"/>
        </w:rPr>
        <w:t>r</w:t>
      </w:r>
      <w:r w:rsidR="00A84307" w:rsidRPr="00813D19">
        <w:rPr>
          <w:rFonts w:eastAsia="Calibri"/>
          <w:color w:val="000000" w:themeColor="text1"/>
          <w:lang w:val="en-US"/>
        </w:rPr>
        <w:t xml:space="preserve"> </w:t>
      </w:r>
      <w:r w:rsidR="00623426" w:rsidRPr="00813D19">
        <w:rPr>
          <w:bCs/>
          <w:lang w:val="en-US"/>
        </w:rPr>
        <w:t>thank</w:t>
      </w:r>
      <w:r w:rsidR="00193558" w:rsidRPr="00813D19">
        <w:rPr>
          <w:bCs/>
          <w:lang w:val="en-US"/>
        </w:rPr>
        <w:t>ed</w:t>
      </w:r>
      <w:r w:rsidR="00623426" w:rsidRPr="00813D19">
        <w:rPr>
          <w:bCs/>
          <w:lang w:val="en-US"/>
        </w:rPr>
        <w:t xml:space="preserve"> </w:t>
      </w:r>
      <w:r w:rsidR="00853685" w:rsidRPr="00813D19">
        <w:rPr>
          <w:bCs/>
          <w:lang w:val="en-US"/>
        </w:rPr>
        <w:t xml:space="preserve">the Committee </w:t>
      </w:r>
      <w:r w:rsidR="00623426" w:rsidRPr="00813D19">
        <w:rPr>
          <w:bCs/>
          <w:lang w:val="en-US"/>
        </w:rPr>
        <w:t xml:space="preserve">for allowing </w:t>
      </w:r>
      <w:r w:rsidR="003A1E02" w:rsidRPr="00813D19">
        <w:rPr>
          <w:bCs/>
          <w:lang w:val="en-US"/>
        </w:rPr>
        <w:t xml:space="preserve">him </w:t>
      </w:r>
      <w:r w:rsidR="00623426" w:rsidRPr="00813D19">
        <w:rPr>
          <w:bCs/>
          <w:lang w:val="en-US"/>
        </w:rPr>
        <w:t xml:space="preserve">time to look into this matter. </w:t>
      </w:r>
      <w:r w:rsidR="003A1E02" w:rsidRPr="00813D19">
        <w:rPr>
          <w:bCs/>
          <w:lang w:val="en-US"/>
        </w:rPr>
        <w:t>He understood that the Secretariat had</w:t>
      </w:r>
      <w:r w:rsidR="00623426" w:rsidRPr="00813D19">
        <w:rPr>
          <w:bCs/>
          <w:lang w:val="en-US"/>
        </w:rPr>
        <w:t xml:space="preserve"> already provided advice </w:t>
      </w:r>
      <w:r w:rsidR="001C2308" w:rsidRPr="00813D19">
        <w:rPr>
          <w:bCs/>
          <w:lang w:val="en-US"/>
        </w:rPr>
        <w:t xml:space="preserve">and an interpretation </w:t>
      </w:r>
      <w:r w:rsidR="00623426" w:rsidRPr="00813D19">
        <w:rPr>
          <w:bCs/>
          <w:lang w:val="en-US"/>
        </w:rPr>
        <w:t xml:space="preserve">on this </w:t>
      </w:r>
      <w:r w:rsidR="003A1E02" w:rsidRPr="00813D19">
        <w:rPr>
          <w:bCs/>
          <w:lang w:val="en-US"/>
        </w:rPr>
        <w:t>issue</w:t>
      </w:r>
      <w:r w:rsidR="00623426" w:rsidRPr="00813D19">
        <w:rPr>
          <w:bCs/>
          <w:lang w:val="en-US"/>
        </w:rPr>
        <w:t xml:space="preserve">, which </w:t>
      </w:r>
      <w:r w:rsidR="001C2308" w:rsidRPr="00813D19">
        <w:rPr>
          <w:bCs/>
          <w:lang w:val="en-US"/>
        </w:rPr>
        <w:t xml:space="preserve">he </w:t>
      </w:r>
      <w:r w:rsidR="00623426" w:rsidRPr="00813D19">
        <w:rPr>
          <w:bCs/>
          <w:lang w:val="en-US"/>
        </w:rPr>
        <w:t>support</w:t>
      </w:r>
      <w:r w:rsidR="001C2308" w:rsidRPr="00813D19">
        <w:rPr>
          <w:bCs/>
          <w:lang w:val="en-US"/>
        </w:rPr>
        <w:t>ed</w:t>
      </w:r>
      <w:r w:rsidR="00623426" w:rsidRPr="00813D19">
        <w:rPr>
          <w:bCs/>
          <w:lang w:val="en-US"/>
        </w:rPr>
        <w:t xml:space="preserve"> from a legal standpoint. </w:t>
      </w:r>
      <w:r w:rsidR="001C2308" w:rsidRPr="00813D19">
        <w:rPr>
          <w:bCs/>
          <w:lang w:val="en-US"/>
        </w:rPr>
        <w:t>I</w:t>
      </w:r>
      <w:r w:rsidR="00623426" w:rsidRPr="00813D19">
        <w:rPr>
          <w:bCs/>
          <w:lang w:val="en-US"/>
        </w:rPr>
        <w:t>n this regard</w:t>
      </w:r>
      <w:r w:rsidR="001C2308" w:rsidRPr="00813D19">
        <w:rPr>
          <w:bCs/>
          <w:lang w:val="en-US"/>
        </w:rPr>
        <w:t xml:space="preserve">, the Legal </w:t>
      </w:r>
      <w:r w:rsidR="00A84307" w:rsidRPr="00813D19">
        <w:rPr>
          <w:bCs/>
          <w:lang w:val="en-US"/>
        </w:rPr>
        <w:t>Advis</w:t>
      </w:r>
      <w:r w:rsidR="00A84307">
        <w:rPr>
          <w:bCs/>
          <w:lang w:val="en-US"/>
        </w:rPr>
        <w:t>e</w:t>
      </w:r>
      <w:r w:rsidR="00A84307" w:rsidRPr="00813D19">
        <w:rPr>
          <w:bCs/>
          <w:lang w:val="en-US"/>
        </w:rPr>
        <w:t xml:space="preserve">r </w:t>
      </w:r>
      <w:r w:rsidR="00623426" w:rsidRPr="00813D19">
        <w:rPr>
          <w:bCs/>
          <w:lang w:val="en-US"/>
        </w:rPr>
        <w:t>refer</w:t>
      </w:r>
      <w:r w:rsidR="001C2308" w:rsidRPr="00813D19">
        <w:rPr>
          <w:bCs/>
          <w:lang w:val="en-US"/>
        </w:rPr>
        <w:t>red</w:t>
      </w:r>
      <w:r w:rsidR="00623426" w:rsidRPr="00813D19">
        <w:rPr>
          <w:bCs/>
          <w:lang w:val="en-US"/>
        </w:rPr>
        <w:t xml:space="preserve"> to Article 36 of the Operational Directives</w:t>
      </w:r>
      <w:r w:rsidR="000339BE">
        <w:rPr>
          <w:bCs/>
          <w:lang w:val="en-US"/>
        </w:rPr>
        <w:t>,</w:t>
      </w:r>
      <w:r w:rsidR="00623426" w:rsidRPr="00813D19">
        <w:rPr>
          <w:bCs/>
          <w:lang w:val="en-US"/>
        </w:rPr>
        <w:t xml:space="preserve"> according to which </w:t>
      </w:r>
      <w:r w:rsidR="001C2308" w:rsidRPr="00813D19">
        <w:rPr>
          <w:bCs/>
          <w:lang w:val="en-US"/>
        </w:rPr>
        <w:t>“</w:t>
      </w:r>
      <w:r w:rsidR="00623426" w:rsidRPr="00813D19">
        <w:rPr>
          <w:bCs/>
          <w:lang w:val="en-US"/>
        </w:rPr>
        <w:t>nominations</w:t>
      </w:r>
      <w:r w:rsidR="001C2308" w:rsidRPr="00813D19">
        <w:rPr>
          <w:bCs/>
          <w:lang w:val="en-US"/>
        </w:rPr>
        <w:t>,</w:t>
      </w:r>
      <w:r w:rsidR="00623426" w:rsidRPr="00813D19">
        <w:rPr>
          <w:bCs/>
          <w:lang w:val="en-US"/>
        </w:rPr>
        <w:t xml:space="preserve"> proposals</w:t>
      </w:r>
      <w:r w:rsidR="001C2308" w:rsidRPr="00813D19">
        <w:rPr>
          <w:bCs/>
          <w:lang w:val="en-US"/>
        </w:rPr>
        <w:t>,</w:t>
      </w:r>
      <w:r w:rsidR="00623426" w:rsidRPr="00813D19">
        <w:rPr>
          <w:bCs/>
          <w:lang w:val="en-US"/>
        </w:rPr>
        <w:t xml:space="preserve"> requests that the Committee decides not to inscribe, select, approve or refer to the submitting State for additional information may be resubmitted to the Committee for re-examination during a following cycle after having been updated and supplemented</w:t>
      </w:r>
      <w:r w:rsidR="001C2308" w:rsidRPr="00813D19">
        <w:rPr>
          <w:bCs/>
          <w:lang w:val="en-US"/>
        </w:rPr>
        <w:t>”</w:t>
      </w:r>
      <w:r w:rsidR="00623426" w:rsidRPr="00813D19">
        <w:rPr>
          <w:bCs/>
          <w:lang w:val="en-US"/>
        </w:rPr>
        <w:t xml:space="preserve">. </w:t>
      </w:r>
      <w:r w:rsidR="001C2308" w:rsidRPr="00813D19">
        <w:rPr>
          <w:bCs/>
          <w:lang w:val="en-US"/>
        </w:rPr>
        <w:t xml:space="preserve">He </w:t>
      </w:r>
      <w:r w:rsidR="00623426" w:rsidRPr="00813D19">
        <w:rPr>
          <w:bCs/>
          <w:lang w:val="en-US"/>
        </w:rPr>
        <w:t>agree</w:t>
      </w:r>
      <w:r w:rsidR="001C2308" w:rsidRPr="00813D19">
        <w:rPr>
          <w:bCs/>
          <w:lang w:val="en-US"/>
        </w:rPr>
        <w:t>d</w:t>
      </w:r>
      <w:r w:rsidR="00623426" w:rsidRPr="00813D19">
        <w:rPr>
          <w:bCs/>
          <w:lang w:val="en-US"/>
        </w:rPr>
        <w:t xml:space="preserve"> with the Secretariat that there </w:t>
      </w:r>
      <w:r w:rsidR="000339BE">
        <w:rPr>
          <w:bCs/>
          <w:lang w:val="en-US"/>
        </w:rPr>
        <w:t>was</w:t>
      </w:r>
      <w:r w:rsidR="000339BE" w:rsidRPr="00813D19">
        <w:rPr>
          <w:bCs/>
          <w:lang w:val="en-US"/>
        </w:rPr>
        <w:t xml:space="preserve"> </w:t>
      </w:r>
      <w:r w:rsidR="00623426" w:rsidRPr="00813D19">
        <w:rPr>
          <w:bCs/>
          <w:lang w:val="en-US"/>
        </w:rPr>
        <w:t xml:space="preserve">no provision to actually suspend this rule and that the Operational Directives </w:t>
      </w:r>
      <w:r w:rsidR="001C2308" w:rsidRPr="00813D19">
        <w:rPr>
          <w:bCs/>
          <w:lang w:val="en-US"/>
        </w:rPr>
        <w:t xml:space="preserve">had </w:t>
      </w:r>
      <w:r w:rsidR="00623426" w:rsidRPr="00813D19">
        <w:rPr>
          <w:bCs/>
          <w:lang w:val="en-US"/>
        </w:rPr>
        <w:t>been approved by the</w:t>
      </w:r>
      <w:r w:rsidR="00E72560">
        <w:rPr>
          <w:bCs/>
          <w:lang w:val="en-US"/>
        </w:rPr>
        <w:t xml:space="preserve"> General Assembly.</w:t>
      </w:r>
    </w:p>
    <w:p w14:paraId="2322DE97" w14:textId="0E84C4F9" w:rsidR="00721C0C" w:rsidRPr="00813D19" w:rsidRDefault="00721C0C"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w:t>
      </w:r>
      <w:r w:rsidR="001C2308" w:rsidRPr="00813D19">
        <w:rPr>
          <w:bCs/>
          <w:lang w:val="en-US"/>
        </w:rPr>
        <w:t xml:space="preserve">thanked the Legal </w:t>
      </w:r>
      <w:r w:rsidR="00A84307" w:rsidRPr="00813D19">
        <w:rPr>
          <w:bCs/>
          <w:lang w:val="en-US"/>
        </w:rPr>
        <w:t>Advis</w:t>
      </w:r>
      <w:r w:rsidR="00A84307">
        <w:rPr>
          <w:bCs/>
          <w:lang w:val="en-US"/>
        </w:rPr>
        <w:t>e</w:t>
      </w:r>
      <w:r w:rsidR="00A84307" w:rsidRPr="00813D19">
        <w:rPr>
          <w:bCs/>
          <w:lang w:val="en-US"/>
        </w:rPr>
        <w:t xml:space="preserve">r </w:t>
      </w:r>
      <w:r w:rsidR="00623426" w:rsidRPr="00813D19">
        <w:rPr>
          <w:bCs/>
          <w:lang w:val="en-US"/>
        </w:rPr>
        <w:t>for enlightening the Co</w:t>
      </w:r>
      <w:r w:rsidR="001C2308" w:rsidRPr="00813D19">
        <w:rPr>
          <w:bCs/>
          <w:lang w:val="en-US"/>
        </w:rPr>
        <w:t>mmittee on the situation.</w:t>
      </w:r>
    </w:p>
    <w:p w14:paraId="0E172520" w14:textId="42A69209" w:rsidR="00D55ED6" w:rsidRPr="00813D19" w:rsidRDefault="00D55ED6"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Cuba</w:t>
      </w:r>
      <w:r w:rsidR="00623426" w:rsidRPr="00813D19">
        <w:rPr>
          <w:rFonts w:eastAsia="Calibri"/>
          <w:b/>
          <w:color w:val="000000" w:themeColor="text1"/>
          <w:lang w:val="en-US"/>
        </w:rPr>
        <w:t xml:space="preserve"> </w:t>
      </w:r>
      <w:r w:rsidR="00B07AFC" w:rsidRPr="00813D19">
        <w:rPr>
          <w:rFonts w:eastAsia="Calibri"/>
          <w:color w:val="000000" w:themeColor="text1"/>
          <w:lang w:val="en-US"/>
        </w:rPr>
        <w:t>remarked that</w:t>
      </w:r>
      <w:r w:rsidR="00B07AFC" w:rsidRPr="00813D19">
        <w:rPr>
          <w:rFonts w:eastAsia="Calibri"/>
          <w:b/>
          <w:color w:val="000000" w:themeColor="text1"/>
          <w:lang w:val="en-US"/>
        </w:rPr>
        <w:t xml:space="preserve"> </w:t>
      </w:r>
      <w:r w:rsidR="00B07AFC" w:rsidRPr="00813D19">
        <w:rPr>
          <w:bCs/>
          <w:lang w:val="en-US"/>
        </w:rPr>
        <w:t>i</w:t>
      </w:r>
      <w:r w:rsidR="00623426" w:rsidRPr="00813D19">
        <w:rPr>
          <w:bCs/>
          <w:lang w:val="en-US"/>
        </w:rPr>
        <w:t xml:space="preserve">n similar situations in other Conventions </w:t>
      </w:r>
      <w:r w:rsidR="00BA44D4" w:rsidRPr="00813D19">
        <w:rPr>
          <w:bCs/>
          <w:lang w:val="en-US"/>
        </w:rPr>
        <w:t xml:space="preserve">in </w:t>
      </w:r>
      <w:r w:rsidR="00623426" w:rsidRPr="00813D19">
        <w:rPr>
          <w:bCs/>
          <w:lang w:val="en-US"/>
        </w:rPr>
        <w:t>UNESCO</w:t>
      </w:r>
      <w:r w:rsidR="000339BE">
        <w:rPr>
          <w:bCs/>
          <w:lang w:val="en-US"/>
        </w:rPr>
        <w:t>,</w:t>
      </w:r>
      <w:r w:rsidR="00623426" w:rsidRPr="00813D19">
        <w:rPr>
          <w:bCs/>
          <w:lang w:val="en-US"/>
        </w:rPr>
        <w:t xml:space="preserve"> and particular</w:t>
      </w:r>
      <w:r w:rsidR="00BA44D4" w:rsidRPr="00813D19">
        <w:rPr>
          <w:bCs/>
          <w:lang w:val="en-US"/>
        </w:rPr>
        <w:t>ly</w:t>
      </w:r>
      <w:r w:rsidR="00623426" w:rsidRPr="00813D19">
        <w:rPr>
          <w:bCs/>
          <w:lang w:val="en-US"/>
        </w:rPr>
        <w:t xml:space="preserve"> World Heritage</w:t>
      </w:r>
      <w:r w:rsidR="00BA44D4" w:rsidRPr="00813D19">
        <w:rPr>
          <w:bCs/>
          <w:lang w:val="en-US"/>
        </w:rPr>
        <w:t>,</w:t>
      </w:r>
      <w:r w:rsidR="00623426" w:rsidRPr="00813D19">
        <w:rPr>
          <w:bCs/>
          <w:lang w:val="en-US"/>
        </w:rPr>
        <w:t xml:space="preserve"> </w:t>
      </w:r>
      <w:r w:rsidR="00BA44D4" w:rsidRPr="00813D19">
        <w:rPr>
          <w:bCs/>
          <w:lang w:val="en-US"/>
        </w:rPr>
        <w:t xml:space="preserve">there </w:t>
      </w:r>
      <w:r w:rsidR="000339BE">
        <w:rPr>
          <w:bCs/>
          <w:lang w:val="en-US"/>
        </w:rPr>
        <w:t>had been</w:t>
      </w:r>
      <w:r w:rsidR="00BA44D4" w:rsidRPr="00813D19">
        <w:rPr>
          <w:bCs/>
          <w:lang w:val="en-US"/>
        </w:rPr>
        <w:t xml:space="preserve"> </w:t>
      </w:r>
      <w:r w:rsidR="00623426" w:rsidRPr="00813D19">
        <w:rPr>
          <w:bCs/>
          <w:lang w:val="en-US"/>
        </w:rPr>
        <w:t xml:space="preserve">occasions in the course of discussions </w:t>
      </w:r>
      <w:r w:rsidR="00BA44D4" w:rsidRPr="00813D19">
        <w:rPr>
          <w:bCs/>
          <w:lang w:val="en-US"/>
        </w:rPr>
        <w:t xml:space="preserve">when </w:t>
      </w:r>
      <w:r w:rsidR="00623426" w:rsidRPr="00813D19">
        <w:rPr>
          <w:bCs/>
          <w:lang w:val="en-US"/>
        </w:rPr>
        <w:t>one of the alternative wordings</w:t>
      </w:r>
      <w:r w:rsidR="00BA44D4" w:rsidRPr="00813D19">
        <w:rPr>
          <w:bCs/>
          <w:lang w:val="en-US"/>
        </w:rPr>
        <w:t xml:space="preserve"> </w:t>
      </w:r>
      <w:r w:rsidR="000339BE">
        <w:rPr>
          <w:bCs/>
          <w:lang w:val="en-US"/>
        </w:rPr>
        <w:t>had been</w:t>
      </w:r>
      <w:r w:rsidR="000339BE" w:rsidRPr="00813D19">
        <w:rPr>
          <w:bCs/>
          <w:lang w:val="en-US"/>
        </w:rPr>
        <w:t xml:space="preserve"> </w:t>
      </w:r>
      <w:r w:rsidR="00BA44D4" w:rsidRPr="00813D19">
        <w:rPr>
          <w:bCs/>
          <w:lang w:val="en-US"/>
        </w:rPr>
        <w:t xml:space="preserve">used that was </w:t>
      </w:r>
      <w:r w:rsidR="00623426" w:rsidRPr="00813D19">
        <w:rPr>
          <w:bCs/>
          <w:lang w:val="en-US"/>
        </w:rPr>
        <w:t xml:space="preserve">not actually a decision to inscribe or not inscribe. </w:t>
      </w:r>
      <w:r w:rsidR="00BA44D4" w:rsidRPr="00813D19">
        <w:rPr>
          <w:bCs/>
          <w:lang w:val="en-US"/>
        </w:rPr>
        <w:t xml:space="preserve">It was </w:t>
      </w:r>
      <w:r w:rsidR="00623426" w:rsidRPr="00813D19">
        <w:rPr>
          <w:bCs/>
          <w:lang w:val="en-US"/>
        </w:rPr>
        <w:t xml:space="preserve">clear </w:t>
      </w:r>
      <w:r w:rsidR="00BA44D4" w:rsidRPr="00813D19">
        <w:rPr>
          <w:bCs/>
          <w:lang w:val="en-US"/>
        </w:rPr>
        <w:t xml:space="preserve">in paragraph 4 </w:t>
      </w:r>
      <w:r w:rsidR="00623426" w:rsidRPr="00813D19">
        <w:rPr>
          <w:bCs/>
          <w:lang w:val="en-US"/>
        </w:rPr>
        <w:t xml:space="preserve">that </w:t>
      </w:r>
      <w:r w:rsidR="00BA44D4" w:rsidRPr="00813D19">
        <w:rPr>
          <w:bCs/>
          <w:lang w:val="en-US"/>
        </w:rPr>
        <w:t xml:space="preserve">the Committee was </w:t>
      </w:r>
      <w:r w:rsidR="00623426" w:rsidRPr="00813D19">
        <w:rPr>
          <w:bCs/>
          <w:lang w:val="en-US"/>
        </w:rPr>
        <w:t>not inscribing</w:t>
      </w:r>
      <w:r w:rsidR="00BA44D4" w:rsidRPr="00813D19">
        <w:rPr>
          <w:bCs/>
          <w:lang w:val="en-US"/>
        </w:rPr>
        <w:t xml:space="preserve"> the element</w:t>
      </w:r>
      <w:r w:rsidR="00623426" w:rsidRPr="00813D19">
        <w:rPr>
          <w:bCs/>
          <w:lang w:val="en-US"/>
        </w:rPr>
        <w:t xml:space="preserve">. </w:t>
      </w:r>
      <w:r w:rsidR="00BA44D4" w:rsidRPr="00813D19">
        <w:rPr>
          <w:bCs/>
          <w:lang w:val="en-US"/>
        </w:rPr>
        <w:t xml:space="preserve">Thus, the Committee could perhaps </w:t>
      </w:r>
      <w:r w:rsidR="00623426" w:rsidRPr="00813D19">
        <w:rPr>
          <w:bCs/>
          <w:lang w:val="en-US"/>
        </w:rPr>
        <w:t>use alte</w:t>
      </w:r>
      <w:r w:rsidR="00BA44D4" w:rsidRPr="00813D19">
        <w:rPr>
          <w:bCs/>
          <w:lang w:val="en-US"/>
        </w:rPr>
        <w:t xml:space="preserve">rnative language or </w:t>
      </w:r>
      <w:r w:rsidR="00623426" w:rsidRPr="00813D19">
        <w:rPr>
          <w:bCs/>
          <w:lang w:val="en-US"/>
        </w:rPr>
        <w:t>find other wording inspired by the Operat</w:t>
      </w:r>
      <w:r w:rsidR="00BA44D4" w:rsidRPr="00813D19">
        <w:rPr>
          <w:bCs/>
          <w:lang w:val="en-US"/>
        </w:rPr>
        <w:t xml:space="preserve">ional Directives in this regard, thereby keeping it </w:t>
      </w:r>
      <w:r w:rsidR="00623426" w:rsidRPr="00813D19">
        <w:rPr>
          <w:bCs/>
          <w:lang w:val="en-US"/>
        </w:rPr>
        <w:t>more general. In this way</w:t>
      </w:r>
      <w:r w:rsidR="00BA44D4" w:rsidRPr="00813D19">
        <w:rPr>
          <w:bCs/>
          <w:lang w:val="en-US"/>
        </w:rPr>
        <w:t xml:space="preserve">, </w:t>
      </w:r>
      <w:r w:rsidR="000339BE">
        <w:rPr>
          <w:bCs/>
          <w:lang w:val="en-US"/>
        </w:rPr>
        <w:t xml:space="preserve">it would </w:t>
      </w:r>
      <w:r w:rsidR="00853685" w:rsidRPr="00813D19">
        <w:rPr>
          <w:bCs/>
          <w:lang w:val="en-US"/>
        </w:rPr>
        <w:t xml:space="preserve">open up </w:t>
      </w:r>
      <w:r w:rsidR="00BA44D4" w:rsidRPr="00813D19">
        <w:rPr>
          <w:bCs/>
          <w:lang w:val="en-US"/>
        </w:rPr>
        <w:t xml:space="preserve">some </w:t>
      </w:r>
      <w:r w:rsidR="00623426" w:rsidRPr="00813D19">
        <w:rPr>
          <w:bCs/>
          <w:lang w:val="en-US"/>
        </w:rPr>
        <w:t xml:space="preserve">flexibility </w:t>
      </w:r>
      <w:r w:rsidR="00BA44D4" w:rsidRPr="00813D19">
        <w:rPr>
          <w:bCs/>
          <w:lang w:val="en-US"/>
        </w:rPr>
        <w:t xml:space="preserve">from a legal perspective. In this </w:t>
      </w:r>
      <w:r w:rsidR="00C51E80" w:rsidRPr="00813D19">
        <w:rPr>
          <w:bCs/>
          <w:lang w:val="en-US"/>
        </w:rPr>
        <w:t>r</w:t>
      </w:r>
      <w:r w:rsidR="00BA44D4" w:rsidRPr="00813D19">
        <w:rPr>
          <w:bCs/>
          <w:lang w:val="en-US"/>
        </w:rPr>
        <w:t xml:space="preserve">egard, the delegation wondered whether the </w:t>
      </w:r>
      <w:r w:rsidR="00623426" w:rsidRPr="00813D19">
        <w:rPr>
          <w:bCs/>
          <w:lang w:val="en-US"/>
        </w:rPr>
        <w:t xml:space="preserve">Bureau or the Secretariat could look into </w:t>
      </w:r>
      <w:r w:rsidR="00EF5E3E">
        <w:rPr>
          <w:bCs/>
          <w:lang w:val="en-US"/>
        </w:rPr>
        <w:t xml:space="preserve">an </w:t>
      </w:r>
      <w:r w:rsidR="00BA44D4" w:rsidRPr="00813D19">
        <w:rPr>
          <w:bCs/>
          <w:lang w:val="en-US"/>
        </w:rPr>
        <w:t xml:space="preserve">alternative wording </w:t>
      </w:r>
      <w:r w:rsidR="00623426" w:rsidRPr="00813D19">
        <w:rPr>
          <w:bCs/>
          <w:lang w:val="en-US"/>
        </w:rPr>
        <w:t xml:space="preserve">that would enable </w:t>
      </w:r>
      <w:r w:rsidR="00BA44D4" w:rsidRPr="00813D19">
        <w:rPr>
          <w:bCs/>
          <w:lang w:val="en-US"/>
        </w:rPr>
        <w:t xml:space="preserve">the Committee to </w:t>
      </w:r>
      <w:r w:rsidR="00623426" w:rsidRPr="00813D19">
        <w:rPr>
          <w:bCs/>
          <w:lang w:val="en-US"/>
        </w:rPr>
        <w:t xml:space="preserve">get </w:t>
      </w:r>
      <w:r w:rsidR="00C51E80" w:rsidRPr="00813D19">
        <w:rPr>
          <w:bCs/>
          <w:lang w:val="en-US"/>
        </w:rPr>
        <w:t xml:space="preserve">out of </w:t>
      </w:r>
      <w:r w:rsidR="00623426" w:rsidRPr="00813D19">
        <w:rPr>
          <w:bCs/>
          <w:lang w:val="en-US"/>
        </w:rPr>
        <w:t xml:space="preserve">the impasse. </w:t>
      </w:r>
      <w:r w:rsidR="00C51E80" w:rsidRPr="00813D19">
        <w:rPr>
          <w:bCs/>
          <w:lang w:val="en-US"/>
        </w:rPr>
        <w:t xml:space="preserve">Without wishing to extend the debate, </w:t>
      </w:r>
      <w:r w:rsidR="00853685" w:rsidRPr="00813D19">
        <w:rPr>
          <w:bCs/>
          <w:lang w:val="en-US"/>
        </w:rPr>
        <w:t xml:space="preserve">it </w:t>
      </w:r>
      <w:r w:rsidR="00C51E80" w:rsidRPr="00813D19">
        <w:rPr>
          <w:bCs/>
          <w:lang w:val="en-US"/>
        </w:rPr>
        <w:t>wondered</w:t>
      </w:r>
      <w:r w:rsidR="00623426" w:rsidRPr="00813D19">
        <w:rPr>
          <w:bCs/>
          <w:lang w:val="en-US"/>
        </w:rPr>
        <w:t xml:space="preserve"> </w:t>
      </w:r>
      <w:r w:rsidR="00C51E80" w:rsidRPr="00813D19">
        <w:rPr>
          <w:bCs/>
          <w:lang w:val="en-US"/>
        </w:rPr>
        <w:t xml:space="preserve">whether there was a way to </w:t>
      </w:r>
      <w:r w:rsidR="00623426" w:rsidRPr="00813D19">
        <w:rPr>
          <w:bCs/>
          <w:lang w:val="en-US"/>
        </w:rPr>
        <w:t xml:space="preserve">work </w:t>
      </w:r>
      <w:r w:rsidR="00C51E80" w:rsidRPr="00813D19">
        <w:rPr>
          <w:bCs/>
          <w:lang w:val="en-US"/>
        </w:rPr>
        <w:t xml:space="preserve">around </w:t>
      </w:r>
      <w:r w:rsidR="00623426" w:rsidRPr="00813D19">
        <w:rPr>
          <w:bCs/>
          <w:lang w:val="en-US"/>
        </w:rPr>
        <w:t xml:space="preserve">the Operational Directives </w:t>
      </w:r>
      <w:r w:rsidR="00C51E80" w:rsidRPr="00813D19">
        <w:rPr>
          <w:bCs/>
          <w:lang w:val="en-US"/>
        </w:rPr>
        <w:t>so that it did not refer to one of the</w:t>
      </w:r>
      <w:r w:rsidR="00623426" w:rsidRPr="00813D19">
        <w:rPr>
          <w:bCs/>
          <w:lang w:val="en-US"/>
        </w:rPr>
        <w:t xml:space="preserve"> </w:t>
      </w:r>
      <w:r w:rsidR="00C51E80" w:rsidRPr="00813D19">
        <w:rPr>
          <w:bCs/>
          <w:lang w:val="en-US"/>
        </w:rPr>
        <w:t>four stated categories [inscribe, select, approve or refer].</w:t>
      </w:r>
    </w:p>
    <w:p w14:paraId="6016FF17" w14:textId="7926ED92" w:rsidR="00F27C3C" w:rsidRPr="00813D19" w:rsidRDefault="00F27C3C"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C51E80" w:rsidRPr="00813D19">
        <w:rPr>
          <w:rFonts w:eastAsia="Calibri"/>
          <w:color w:val="000000" w:themeColor="text1"/>
          <w:lang w:val="en-US"/>
        </w:rPr>
        <w:t>remar</w:t>
      </w:r>
      <w:r w:rsidR="001C2308" w:rsidRPr="00813D19">
        <w:rPr>
          <w:rFonts w:eastAsia="Calibri"/>
          <w:color w:val="000000" w:themeColor="text1"/>
          <w:lang w:val="en-US"/>
        </w:rPr>
        <w:t xml:space="preserve">ked that the Committee had already </w:t>
      </w:r>
      <w:r w:rsidR="00BA44D4" w:rsidRPr="00813D19">
        <w:rPr>
          <w:rFonts w:eastAsia="Calibri"/>
          <w:color w:val="000000" w:themeColor="text1"/>
          <w:lang w:val="en-US"/>
        </w:rPr>
        <w:t xml:space="preserve">adopted </w:t>
      </w:r>
      <w:r w:rsidR="00E72560">
        <w:rPr>
          <w:bCs/>
          <w:lang w:val="en-US"/>
        </w:rPr>
        <w:t>paragraph 4.</w:t>
      </w:r>
    </w:p>
    <w:p w14:paraId="1E1F7EE1" w14:textId="6826F6E8" w:rsidR="00F27C3C" w:rsidRPr="00813D19" w:rsidRDefault="00F27C3C"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Cuba </w:t>
      </w:r>
      <w:r w:rsidR="00C51E80" w:rsidRPr="00813D19">
        <w:rPr>
          <w:rFonts w:eastAsia="Calibri"/>
          <w:color w:val="000000" w:themeColor="text1"/>
          <w:lang w:val="en-US"/>
        </w:rPr>
        <w:t>remarked that this</w:t>
      </w:r>
      <w:r w:rsidR="00C51E80" w:rsidRPr="00813D19">
        <w:rPr>
          <w:rFonts w:eastAsia="Calibri"/>
          <w:b/>
          <w:color w:val="000000" w:themeColor="text1"/>
          <w:lang w:val="en-US"/>
        </w:rPr>
        <w:t xml:space="preserve"> </w:t>
      </w:r>
      <w:r w:rsidR="00131039" w:rsidRPr="00813D19">
        <w:rPr>
          <w:bCs/>
          <w:lang w:val="en-US"/>
        </w:rPr>
        <w:t>sessi</w:t>
      </w:r>
      <w:r w:rsidR="00C51E80" w:rsidRPr="00813D19">
        <w:rPr>
          <w:bCs/>
          <w:lang w:val="en-US"/>
        </w:rPr>
        <w:t>on had</w:t>
      </w:r>
      <w:r w:rsidR="00131039" w:rsidRPr="00813D19">
        <w:rPr>
          <w:bCs/>
          <w:lang w:val="en-US"/>
        </w:rPr>
        <w:t xml:space="preserve"> already borne witness to a few </w:t>
      </w:r>
      <w:r w:rsidR="00C51E80" w:rsidRPr="00813D19">
        <w:rPr>
          <w:bCs/>
          <w:lang w:val="en-US"/>
        </w:rPr>
        <w:t>departures from</w:t>
      </w:r>
      <w:r w:rsidR="00131039" w:rsidRPr="00813D19">
        <w:rPr>
          <w:bCs/>
          <w:lang w:val="en-US"/>
        </w:rPr>
        <w:t xml:space="preserve"> </w:t>
      </w:r>
      <w:r w:rsidR="00C51E80" w:rsidRPr="00813D19">
        <w:rPr>
          <w:bCs/>
          <w:lang w:val="en-US"/>
        </w:rPr>
        <w:t xml:space="preserve">the standard procedure, and it was not advocating a </w:t>
      </w:r>
      <w:r w:rsidR="00131039" w:rsidRPr="00813D19">
        <w:rPr>
          <w:bCs/>
          <w:lang w:val="en-US"/>
        </w:rPr>
        <w:t xml:space="preserve">breach </w:t>
      </w:r>
      <w:r w:rsidR="00C51E80" w:rsidRPr="00813D19">
        <w:rPr>
          <w:bCs/>
          <w:lang w:val="en-US"/>
        </w:rPr>
        <w:t xml:space="preserve">of the </w:t>
      </w:r>
      <w:r w:rsidR="00131039" w:rsidRPr="00813D19">
        <w:rPr>
          <w:bCs/>
          <w:lang w:val="en-US"/>
        </w:rPr>
        <w:t xml:space="preserve">rules </w:t>
      </w:r>
      <w:r w:rsidR="00C51E80" w:rsidRPr="00813D19">
        <w:rPr>
          <w:bCs/>
          <w:lang w:val="en-US"/>
        </w:rPr>
        <w:t xml:space="preserve">but rather an alternative wording </w:t>
      </w:r>
      <w:r w:rsidR="00131039" w:rsidRPr="00813D19">
        <w:rPr>
          <w:bCs/>
          <w:lang w:val="en-US"/>
        </w:rPr>
        <w:t>in the spirit of cooperation</w:t>
      </w:r>
      <w:r w:rsidR="00C51E80" w:rsidRPr="00813D19">
        <w:rPr>
          <w:bCs/>
          <w:lang w:val="en-US"/>
        </w:rPr>
        <w:t xml:space="preserve"> that could </w:t>
      </w:r>
      <w:r w:rsidR="00853685" w:rsidRPr="00813D19">
        <w:rPr>
          <w:bCs/>
          <w:lang w:val="en-US"/>
        </w:rPr>
        <w:t>re</w:t>
      </w:r>
      <w:r w:rsidR="00C51E80" w:rsidRPr="00813D19">
        <w:rPr>
          <w:bCs/>
          <w:lang w:val="en-US"/>
        </w:rPr>
        <w:t>solve the issue</w:t>
      </w:r>
      <w:r w:rsidR="00E72560">
        <w:rPr>
          <w:bCs/>
          <w:lang w:val="en-US"/>
        </w:rPr>
        <w:t>.</w:t>
      </w:r>
    </w:p>
    <w:p w14:paraId="3796ACC6" w14:textId="4AAB2A9A" w:rsidR="00131039" w:rsidRPr="00813D19" w:rsidRDefault="00131039" w:rsidP="007F4091">
      <w:pPr>
        <w:pStyle w:val="Orateurengris"/>
        <w:spacing w:before="120"/>
        <w:ind w:left="709" w:hanging="709"/>
        <w:rPr>
          <w:rFonts w:eastAsia="Calibri"/>
          <w:color w:val="000000" w:themeColor="text1"/>
          <w:lang w:val="en-US"/>
        </w:rPr>
      </w:pPr>
      <w:r w:rsidRPr="00813D19">
        <w:rPr>
          <w:bCs/>
          <w:lang w:val="en-US"/>
        </w:rPr>
        <w:t xml:space="preserve">The </w:t>
      </w:r>
      <w:r w:rsidRPr="00813D19">
        <w:rPr>
          <w:b/>
          <w:bCs/>
          <w:lang w:val="en-US"/>
        </w:rPr>
        <w:t>Chairperson</w:t>
      </w:r>
      <w:r w:rsidRPr="00813D19">
        <w:rPr>
          <w:bCs/>
          <w:lang w:val="en-US"/>
        </w:rPr>
        <w:t xml:space="preserve"> </w:t>
      </w:r>
      <w:r w:rsidR="00C51E80" w:rsidRPr="00813D19">
        <w:rPr>
          <w:bCs/>
          <w:lang w:val="en-US"/>
        </w:rPr>
        <w:t>took note of the sentiment among the</w:t>
      </w:r>
      <w:r w:rsidRPr="00813D19">
        <w:rPr>
          <w:bCs/>
          <w:lang w:val="en-US"/>
        </w:rPr>
        <w:t xml:space="preserve"> Committee Members and also the </w:t>
      </w:r>
      <w:r w:rsidR="00C51E80" w:rsidRPr="00813D19">
        <w:rPr>
          <w:bCs/>
          <w:lang w:val="en-US"/>
        </w:rPr>
        <w:t xml:space="preserve">advice </w:t>
      </w:r>
      <w:r w:rsidR="00853685" w:rsidRPr="00813D19">
        <w:rPr>
          <w:bCs/>
          <w:lang w:val="en-US"/>
        </w:rPr>
        <w:t>given by the Legal Adviser</w:t>
      </w:r>
      <w:r w:rsidRPr="00813D19">
        <w:rPr>
          <w:bCs/>
          <w:lang w:val="en-US"/>
        </w:rPr>
        <w:t xml:space="preserve"> </w:t>
      </w:r>
      <w:r w:rsidR="00C51E80" w:rsidRPr="00813D19">
        <w:rPr>
          <w:bCs/>
          <w:lang w:val="en-US"/>
        </w:rPr>
        <w:t xml:space="preserve">as to the best way forward. The Chairperson invited the Secretary to share his views on whether </w:t>
      </w:r>
      <w:r w:rsidR="006539D3" w:rsidRPr="00813D19">
        <w:rPr>
          <w:bCs/>
          <w:lang w:val="en-US"/>
        </w:rPr>
        <w:t xml:space="preserve">other </w:t>
      </w:r>
      <w:r w:rsidR="00C51E80" w:rsidRPr="00813D19">
        <w:rPr>
          <w:bCs/>
          <w:lang w:val="en-US"/>
        </w:rPr>
        <w:t>options could be explored.</w:t>
      </w:r>
    </w:p>
    <w:p w14:paraId="3D759A1C" w14:textId="63D20B49" w:rsidR="002314E5" w:rsidRPr="00813D19" w:rsidRDefault="002314E5"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Secretary </w:t>
      </w:r>
      <w:r w:rsidR="00106FC7" w:rsidRPr="00813D19">
        <w:rPr>
          <w:rFonts w:eastAsia="Calibri"/>
          <w:color w:val="000000" w:themeColor="text1"/>
          <w:lang w:val="en-US"/>
        </w:rPr>
        <w:t xml:space="preserve">was uncertain </w:t>
      </w:r>
      <w:r w:rsidR="00131039" w:rsidRPr="00813D19">
        <w:rPr>
          <w:bCs/>
          <w:lang w:val="en-US"/>
        </w:rPr>
        <w:t xml:space="preserve">of </w:t>
      </w:r>
      <w:r w:rsidR="00106FC7" w:rsidRPr="00813D19">
        <w:rPr>
          <w:bCs/>
          <w:lang w:val="en-US"/>
        </w:rPr>
        <w:t xml:space="preserve">the </w:t>
      </w:r>
      <w:r w:rsidR="00131039" w:rsidRPr="00813D19">
        <w:rPr>
          <w:bCs/>
          <w:lang w:val="en-US"/>
        </w:rPr>
        <w:t>various op</w:t>
      </w:r>
      <w:r w:rsidR="00B85FCF" w:rsidRPr="00813D19">
        <w:rPr>
          <w:bCs/>
          <w:lang w:val="en-US"/>
        </w:rPr>
        <w:t xml:space="preserve">tions available, adding that these </w:t>
      </w:r>
      <w:r w:rsidR="00131039" w:rsidRPr="00813D19">
        <w:rPr>
          <w:bCs/>
          <w:lang w:val="en-US"/>
        </w:rPr>
        <w:t xml:space="preserve">issues </w:t>
      </w:r>
      <w:r w:rsidR="00B85FCF" w:rsidRPr="00813D19">
        <w:rPr>
          <w:bCs/>
          <w:lang w:val="en-US"/>
        </w:rPr>
        <w:t xml:space="preserve">had </w:t>
      </w:r>
      <w:r w:rsidR="00131039" w:rsidRPr="00813D19">
        <w:rPr>
          <w:bCs/>
          <w:lang w:val="en-US"/>
        </w:rPr>
        <w:t>come up during some of the discussions of the informal working group</w:t>
      </w:r>
      <w:r w:rsidR="00B85FCF" w:rsidRPr="00813D19">
        <w:rPr>
          <w:bCs/>
          <w:lang w:val="en-US"/>
        </w:rPr>
        <w:t>,</w:t>
      </w:r>
      <w:r w:rsidR="00131039" w:rsidRPr="00813D19">
        <w:rPr>
          <w:bCs/>
          <w:lang w:val="en-US"/>
        </w:rPr>
        <w:t xml:space="preserve"> and </w:t>
      </w:r>
      <w:r w:rsidR="00B85FCF" w:rsidRPr="00813D19">
        <w:rPr>
          <w:bCs/>
          <w:lang w:val="en-US"/>
        </w:rPr>
        <w:t xml:space="preserve">it </w:t>
      </w:r>
      <w:r w:rsidR="00131039" w:rsidRPr="00813D19">
        <w:rPr>
          <w:bCs/>
          <w:lang w:val="en-US"/>
        </w:rPr>
        <w:t>did look for options</w:t>
      </w:r>
      <w:r w:rsidR="00B85FCF" w:rsidRPr="00813D19">
        <w:rPr>
          <w:bCs/>
          <w:lang w:val="en-US"/>
        </w:rPr>
        <w:t xml:space="preserve"> but could not find </w:t>
      </w:r>
      <w:r w:rsidR="00131039" w:rsidRPr="00813D19">
        <w:rPr>
          <w:bCs/>
          <w:lang w:val="en-US"/>
        </w:rPr>
        <w:t>any</w:t>
      </w:r>
      <w:r w:rsidR="00B85FCF" w:rsidRPr="00813D19">
        <w:rPr>
          <w:bCs/>
          <w:lang w:val="en-US"/>
        </w:rPr>
        <w:t xml:space="preserve"> in this regard</w:t>
      </w:r>
      <w:r w:rsidR="00131039" w:rsidRPr="00813D19">
        <w:rPr>
          <w:bCs/>
          <w:lang w:val="en-US"/>
        </w:rPr>
        <w:t xml:space="preserve">. </w:t>
      </w:r>
      <w:r w:rsidR="00B85FCF" w:rsidRPr="00813D19">
        <w:rPr>
          <w:bCs/>
          <w:lang w:val="en-US"/>
        </w:rPr>
        <w:t xml:space="preserve">The Secretary </w:t>
      </w:r>
      <w:r w:rsidR="00813D19" w:rsidRPr="00813D19">
        <w:rPr>
          <w:bCs/>
          <w:lang w:val="en-US"/>
        </w:rPr>
        <w:t>reminded</w:t>
      </w:r>
      <w:r w:rsidR="00B85FCF" w:rsidRPr="00813D19">
        <w:rPr>
          <w:bCs/>
          <w:lang w:val="en-US"/>
        </w:rPr>
        <w:t xml:space="preserve"> the Committee that </w:t>
      </w:r>
      <w:r w:rsidR="00131039" w:rsidRPr="00813D19">
        <w:rPr>
          <w:bCs/>
          <w:lang w:val="en-US"/>
        </w:rPr>
        <w:t xml:space="preserve">paragraph </w:t>
      </w:r>
      <w:r w:rsidR="00B85FCF" w:rsidRPr="00813D19">
        <w:rPr>
          <w:bCs/>
          <w:lang w:val="en-US"/>
        </w:rPr>
        <w:t xml:space="preserve">4 had already been adopted, and that </w:t>
      </w:r>
      <w:r w:rsidR="00131039" w:rsidRPr="00813D19">
        <w:rPr>
          <w:bCs/>
          <w:lang w:val="en-US"/>
        </w:rPr>
        <w:t xml:space="preserve">the Operational Directives in this Convention </w:t>
      </w:r>
      <w:r w:rsidR="00B85FCF" w:rsidRPr="00813D19">
        <w:rPr>
          <w:bCs/>
          <w:lang w:val="en-US"/>
        </w:rPr>
        <w:t xml:space="preserve">were </w:t>
      </w:r>
      <w:r w:rsidR="00131039" w:rsidRPr="00813D19">
        <w:rPr>
          <w:bCs/>
          <w:lang w:val="en-US"/>
        </w:rPr>
        <w:t>estab</w:t>
      </w:r>
      <w:r w:rsidR="00853685" w:rsidRPr="00813D19">
        <w:rPr>
          <w:bCs/>
          <w:lang w:val="en-US"/>
        </w:rPr>
        <w:t>lished by the General Assembly; i</w:t>
      </w:r>
      <w:r w:rsidR="00131039" w:rsidRPr="00813D19">
        <w:rPr>
          <w:bCs/>
          <w:lang w:val="en-US"/>
        </w:rPr>
        <w:t>n the 1972 Convention</w:t>
      </w:r>
      <w:r w:rsidR="00B85FCF" w:rsidRPr="00813D19">
        <w:rPr>
          <w:bCs/>
          <w:lang w:val="en-US"/>
        </w:rPr>
        <w:t>, the Committee had</w:t>
      </w:r>
      <w:r w:rsidR="00131039" w:rsidRPr="00813D19">
        <w:rPr>
          <w:bCs/>
          <w:lang w:val="en-US"/>
        </w:rPr>
        <w:t xml:space="preserve"> </w:t>
      </w:r>
      <w:r w:rsidR="00B85FCF" w:rsidRPr="00813D19">
        <w:rPr>
          <w:bCs/>
          <w:lang w:val="en-US"/>
        </w:rPr>
        <w:t xml:space="preserve">the </w:t>
      </w:r>
      <w:r w:rsidR="00131039" w:rsidRPr="00813D19">
        <w:rPr>
          <w:bCs/>
          <w:lang w:val="en-US"/>
        </w:rPr>
        <w:t>authority over them</w:t>
      </w:r>
      <w:r w:rsidR="00B85FCF" w:rsidRPr="00813D19">
        <w:rPr>
          <w:bCs/>
          <w:lang w:val="en-US"/>
        </w:rPr>
        <w:t>.</w:t>
      </w:r>
      <w:r w:rsidR="00131039" w:rsidRPr="00813D19">
        <w:rPr>
          <w:bCs/>
          <w:lang w:val="en-US"/>
        </w:rPr>
        <w:t xml:space="preserve"> </w:t>
      </w:r>
      <w:r w:rsidR="00B85FCF" w:rsidRPr="00813D19">
        <w:rPr>
          <w:bCs/>
          <w:lang w:val="en-US"/>
        </w:rPr>
        <w:t xml:space="preserve">The Secretary was willing to hear </w:t>
      </w:r>
      <w:r w:rsidR="00131039" w:rsidRPr="00813D19">
        <w:rPr>
          <w:bCs/>
          <w:lang w:val="en-US"/>
        </w:rPr>
        <w:t>suggestion</w:t>
      </w:r>
      <w:r w:rsidR="00B85FCF" w:rsidRPr="00813D19">
        <w:rPr>
          <w:bCs/>
          <w:lang w:val="en-US"/>
        </w:rPr>
        <w:t>s,</w:t>
      </w:r>
      <w:r w:rsidR="00131039" w:rsidRPr="00813D19">
        <w:rPr>
          <w:bCs/>
          <w:lang w:val="en-US"/>
        </w:rPr>
        <w:t xml:space="preserve"> </w:t>
      </w:r>
      <w:r w:rsidR="00853685" w:rsidRPr="00813D19">
        <w:rPr>
          <w:bCs/>
          <w:lang w:val="en-US"/>
        </w:rPr>
        <w:t xml:space="preserve">adding that </w:t>
      </w:r>
      <w:r w:rsidR="00131039" w:rsidRPr="00813D19">
        <w:rPr>
          <w:bCs/>
          <w:lang w:val="en-US"/>
        </w:rPr>
        <w:t xml:space="preserve">an extra paragraph </w:t>
      </w:r>
      <w:r w:rsidR="00B85FCF" w:rsidRPr="00813D19">
        <w:rPr>
          <w:bCs/>
          <w:lang w:val="en-US"/>
        </w:rPr>
        <w:t xml:space="preserve">or particular wording in the chapeau decision could then be </w:t>
      </w:r>
      <w:r w:rsidR="00131039" w:rsidRPr="00813D19">
        <w:rPr>
          <w:bCs/>
          <w:lang w:val="en-US"/>
        </w:rPr>
        <w:t>explore</w:t>
      </w:r>
      <w:r w:rsidR="00B85FCF" w:rsidRPr="00813D19">
        <w:rPr>
          <w:bCs/>
          <w:lang w:val="en-US"/>
        </w:rPr>
        <w:t>d</w:t>
      </w:r>
      <w:r w:rsidR="00131039" w:rsidRPr="00813D19">
        <w:rPr>
          <w:bCs/>
          <w:lang w:val="en-US"/>
        </w:rPr>
        <w:t xml:space="preserve"> </w:t>
      </w:r>
      <w:r w:rsidR="00853685" w:rsidRPr="00813D19">
        <w:rPr>
          <w:bCs/>
          <w:lang w:val="en-US"/>
        </w:rPr>
        <w:t>from a legal perspective</w:t>
      </w:r>
      <w:r w:rsidR="00B85FCF" w:rsidRPr="00813D19">
        <w:rPr>
          <w:bCs/>
          <w:lang w:val="en-US"/>
        </w:rPr>
        <w:t>,</w:t>
      </w:r>
      <w:r w:rsidR="00131039" w:rsidRPr="00813D19">
        <w:rPr>
          <w:bCs/>
          <w:lang w:val="en-US"/>
        </w:rPr>
        <w:t xml:space="preserve"> but </w:t>
      </w:r>
      <w:r w:rsidR="00853685" w:rsidRPr="00813D19">
        <w:rPr>
          <w:bCs/>
          <w:lang w:val="en-US"/>
        </w:rPr>
        <w:t xml:space="preserve">that </w:t>
      </w:r>
      <w:r w:rsidR="00B85FCF" w:rsidRPr="00813D19">
        <w:rPr>
          <w:bCs/>
          <w:lang w:val="en-US"/>
        </w:rPr>
        <w:t xml:space="preserve">currently there were no </w:t>
      </w:r>
      <w:r w:rsidR="00131039" w:rsidRPr="00813D19">
        <w:rPr>
          <w:bCs/>
          <w:lang w:val="en-US"/>
        </w:rPr>
        <w:t>option</w:t>
      </w:r>
      <w:r w:rsidR="00B85FCF" w:rsidRPr="00813D19">
        <w:rPr>
          <w:bCs/>
          <w:lang w:val="en-US"/>
        </w:rPr>
        <w:t>s</w:t>
      </w:r>
      <w:r w:rsidR="00131039" w:rsidRPr="00813D19">
        <w:rPr>
          <w:bCs/>
          <w:lang w:val="en-US"/>
        </w:rPr>
        <w:t xml:space="preserve"> </w:t>
      </w:r>
      <w:r w:rsidR="00B85FCF" w:rsidRPr="00813D19">
        <w:rPr>
          <w:bCs/>
          <w:lang w:val="en-US"/>
        </w:rPr>
        <w:t>available. T</w:t>
      </w:r>
      <w:r w:rsidR="00131039" w:rsidRPr="00813D19">
        <w:rPr>
          <w:bCs/>
          <w:lang w:val="en-US"/>
        </w:rPr>
        <w:t xml:space="preserve">his </w:t>
      </w:r>
      <w:r w:rsidR="00B85FCF" w:rsidRPr="00813D19">
        <w:rPr>
          <w:bCs/>
          <w:lang w:val="en-US"/>
        </w:rPr>
        <w:t xml:space="preserve">was </w:t>
      </w:r>
      <w:r w:rsidR="00131039" w:rsidRPr="00813D19">
        <w:rPr>
          <w:bCs/>
          <w:lang w:val="en-US"/>
        </w:rPr>
        <w:t xml:space="preserve">clearly part of </w:t>
      </w:r>
      <w:r w:rsidR="00B85FCF" w:rsidRPr="00813D19">
        <w:rPr>
          <w:bCs/>
          <w:lang w:val="en-US"/>
        </w:rPr>
        <w:t xml:space="preserve">ongoing </w:t>
      </w:r>
      <w:r w:rsidR="00131039" w:rsidRPr="00813D19">
        <w:rPr>
          <w:bCs/>
          <w:lang w:val="en-US"/>
        </w:rPr>
        <w:t xml:space="preserve">discussions about dialogue and looking at </w:t>
      </w:r>
      <w:r w:rsidR="00B85FCF" w:rsidRPr="00813D19">
        <w:rPr>
          <w:bCs/>
          <w:lang w:val="en-US"/>
        </w:rPr>
        <w:t xml:space="preserve">the </w:t>
      </w:r>
      <w:r w:rsidR="00131039" w:rsidRPr="00813D19">
        <w:rPr>
          <w:bCs/>
          <w:lang w:val="en-US"/>
        </w:rPr>
        <w:t xml:space="preserve">different ways of </w:t>
      </w:r>
      <w:r w:rsidR="004A0731" w:rsidRPr="00813D19">
        <w:rPr>
          <w:bCs/>
          <w:lang w:val="en-US"/>
        </w:rPr>
        <w:t xml:space="preserve">facilitating dialogue and </w:t>
      </w:r>
      <w:r w:rsidR="00131039" w:rsidRPr="00813D19">
        <w:rPr>
          <w:bCs/>
          <w:lang w:val="en-US"/>
        </w:rPr>
        <w:t xml:space="preserve">to have the option of </w:t>
      </w:r>
      <w:r w:rsidR="004A0731" w:rsidRPr="00813D19">
        <w:rPr>
          <w:bCs/>
          <w:lang w:val="en-US"/>
        </w:rPr>
        <w:t xml:space="preserve">a </w:t>
      </w:r>
      <w:r w:rsidR="00131039" w:rsidRPr="00813D19">
        <w:rPr>
          <w:bCs/>
          <w:lang w:val="en-US"/>
        </w:rPr>
        <w:t xml:space="preserve">one-year referral. </w:t>
      </w:r>
      <w:r w:rsidR="004A0731" w:rsidRPr="00813D19">
        <w:rPr>
          <w:bCs/>
          <w:lang w:val="en-US"/>
        </w:rPr>
        <w:t xml:space="preserve">The Secretary firmly pointed out that the </w:t>
      </w:r>
      <w:r w:rsidR="00131039" w:rsidRPr="00813D19">
        <w:rPr>
          <w:bCs/>
          <w:lang w:val="en-US"/>
        </w:rPr>
        <w:t xml:space="preserve">language </w:t>
      </w:r>
      <w:r w:rsidR="004A0731" w:rsidRPr="00813D19">
        <w:rPr>
          <w:bCs/>
          <w:lang w:val="en-US"/>
        </w:rPr>
        <w:t>in the decision was not ‘</w:t>
      </w:r>
      <w:r w:rsidR="00131039" w:rsidRPr="00813D19">
        <w:rPr>
          <w:bCs/>
          <w:lang w:val="en-US"/>
        </w:rPr>
        <w:t>not to inscribe</w:t>
      </w:r>
      <w:r w:rsidR="004A0731" w:rsidRPr="00813D19">
        <w:rPr>
          <w:bCs/>
          <w:lang w:val="en-US"/>
        </w:rPr>
        <w:t>’</w:t>
      </w:r>
      <w:r w:rsidR="00131039" w:rsidRPr="00813D19">
        <w:rPr>
          <w:bCs/>
          <w:lang w:val="en-US"/>
        </w:rPr>
        <w:t xml:space="preserve">, </w:t>
      </w:r>
      <w:r w:rsidR="00853685" w:rsidRPr="00813D19">
        <w:rPr>
          <w:bCs/>
          <w:lang w:val="en-US"/>
        </w:rPr>
        <w:t xml:space="preserve">i.e. </w:t>
      </w:r>
      <w:r w:rsidR="004A0731" w:rsidRPr="00813D19">
        <w:rPr>
          <w:bCs/>
          <w:lang w:val="en-US"/>
        </w:rPr>
        <w:t xml:space="preserve">the file was not being rejected by the Committee, it was </w:t>
      </w:r>
      <w:r w:rsidR="00EF5E3E">
        <w:rPr>
          <w:bCs/>
          <w:lang w:val="en-US"/>
        </w:rPr>
        <w:t xml:space="preserve">a </w:t>
      </w:r>
      <w:r w:rsidR="00E72560">
        <w:rPr>
          <w:bCs/>
          <w:lang w:val="en-US"/>
        </w:rPr>
        <w:t>referral.</w:t>
      </w:r>
    </w:p>
    <w:p w14:paraId="77D48342" w14:textId="0B3D38B1" w:rsidR="00C949DD" w:rsidRPr="00813D19" w:rsidRDefault="004A0731" w:rsidP="007F4091">
      <w:pPr>
        <w:pStyle w:val="Orateurengris"/>
        <w:spacing w:before="120"/>
        <w:ind w:left="709" w:hanging="709"/>
        <w:rPr>
          <w:rFonts w:eastAsia="Calibri"/>
          <w:color w:val="000000" w:themeColor="text1"/>
          <w:lang w:val="en-US"/>
        </w:rPr>
      </w:pPr>
      <w:r w:rsidRPr="00813D19">
        <w:rPr>
          <w:rFonts w:eastAsia="Calibri"/>
          <w:color w:val="000000" w:themeColor="text1"/>
          <w:lang w:val="en-US"/>
        </w:rPr>
        <w:t>Given the sentiment in the room, t</w:t>
      </w:r>
      <w:r w:rsidR="00C949DD" w:rsidRPr="00813D19">
        <w:rPr>
          <w:rFonts w:eastAsia="Calibri"/>
          <w:color w:val="000000" w:themeColor="text1"/>
          <w:lang w:val="en-US"/>
        </w:rPr>
        <w:t>he</w:t>
      </w:r>
      <w:r w:rsidR="00C949DD" w:rsidRPr="00813D19">
        <w:rPr>
          <w:rFonts w:eastAsia="Calibri"/>
          <w:b/>
          <w:color w:val="000000" w:themeColor="text1"/>
          <w:lang w:val="en-US"/>
        </w:rPr>
        <w:t xml:space="preserve"> Chairperson </w:t>
      </w:r>
      <w:r w:rsidRPr="00813D19">
        <w:rPr>
          <w:rFonts w:eastAsia="Calibri"/>
          <w:color w:val="000000" w:themeColor="text1"/>
          <w:lang w:val="en-US"/>
        </w:rPr>
        <w:t xml:space="preserve">suggested suspending the decision </w:t>
      </w:r>
      <w:r w:rsidR="00131039" w:rsidRPr="00813D19">
        <w:rPr>
          <w:bCs/>
          <w:lang w:val="en-US"/>
        </w:rPr>
        <w:t>at this juncture and proceed</w:t>
      </w:r>
      <w:r w:rsidR="00EF5E3E">
        <w:rPr>
          <w:bCs/>
          <w:lang w:val="en-US"/>
        </w:rPr>
        <w:t>ing</w:t>
      </w:r>
      <w:r w:rsidR="00131039" w:rsidRPr="00813D19">
        <w:rPr>
          <w:bCs/>
          <w:lang w:val="en-US"/>
        </w:rPr>
        <w:t xml:space="preserve"> </w:t>
      </w:r>
      <w:r w:rsidRPr="00813D19">
        <w:rPr>
          <w:bCs/>
          <w:lang w:val="en-US"/>
        </w:rPr>
        <w:t xml:space="preserve">with the </w:t>
      </w:r>
      <w:r w:rsidR="00131039" w:rsidRPr="00813D19">
        <w:rPr>
          <w:bCs/>
          <w:lang w:val="en-US"/>
        </w:rPr>
        <w:t xml:space="preserve">other </w:t>
      </w:r>
      <w:r w:rsidRPr="00813D19">
        <w:rPr>
          <w:bCs/>
          <w:lang w:val="en-US"/>
        </w:rPr>
        <w:t>nominations</w:t>
      </w:r>
      <w:r w:rsidR="00853685" w:rsidRPr="00813D19">
        <w:rPr>
          <w:bCs/>
          <w:lang w:val="en-US"/>
        </w:rPr>
        <w:t>,</w:t>
      </w:r>
      <w:r w:rsidRPr="00813D19">
        <w:rPr>
          <w:bCs/>
          <w:lang w:val="en-US"/>
        </w:rPr>
        <w:t xml:space="preserve"> </w:t>
      </w:r>
      <w:r w:rsidR="00131039" w:rsidRPr="00813D19">
        <w:rPr>
          <w:bCs/>
          <w:lang w:val="en-US"/>
        </w:rPr>
        <w:t xml:space="preserve">by which time </w:t>
      </w:r>
      <w:r w:rsidR="00853685" w:rsidRPr="00813D19">
        <w:rPr>
          <w:bCs/>
          <w:lang w:val="en-US"/>
        </w:rPr>
        <w:t>a possible means out of the sit</w:t>
      </w:r>
      <w:r w:rsidRPr="00813D19">
        <w:rPr>
          <w:bCs/>
          <w:lang w:val="en-US"/>
        </w:rPr>
        <w:t>u</w:t>
      </w:r>
      <w:r w:rsidR="00853685" w:rsidRPr="00813D19">
        <w:rPr>
          <w:bCs/>
          <w:lang w:val="en-US"/>
        </w:rPr>
        <w:t>a</w:t>
      </w:r>
      <w:r w:rsidR="00E72560">
        <w:rPr>
          <w:bCs/>
          <w:lang w:val="en-US"/>
        </w:rPr>
        <w:t>tion could be explored.</w:t>
      </w:r>
    </w:p>
    <w:p w14:paraId="6145AC62" w14:textId="1A937CF6" w:rsidR="00C8775F" w:rsidRPr="00813D19" w:rsidRDefault="00C8775F" w:rsidP="00C8775F">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Colombia</w:t>
      </w:r>
      <w:r w:rsidR="00131039" w:rsidRPr="00813D19">
        <w:rPr>
          <w:rFonts w:eastAsia="Calibri"/>
          <w:b/>
          <w:color w:val="000000" w:themeColor="text1"/>
          <w:lang w:val="en-US"/>
        </w:rPr>
        <w:t xml:space="preserve"> </w:t>
      </w:r>
      <w:r w:rsidR="006539D3" w:rsidRPr="00813D19">
        <w:rPr>
          <w:rFonts w:eastAsia="Calibri"/>
          <w:color w:val="000000" w:themeColor="text1"/>
          <w:lang w:val="en-US"/>
        </w:rPr>
        <w:t xml:space="preserve">thanked the </w:t>
      </w:r>
      <w:r w:rsidR="00131039" w:rsidRPr="00813D19">
        <w:rPr>
          <w:bCs/>
          <w:lang w:val="en-US"/>
        </w:rPr>
        <w:t>Chairper</w:t>
      </w:r>
      <w:r w:rsidR="004A0731" w:rsidRPr="00813D19">
        <w:rPr>
          <w:bCs/>
          <w:lang w:val="en-US"/>
        </w:rPr>
        <w:t xml:space="preserve">son for enabling this dialogue, adding that it supported </w:t>
      </w:r>
      <w:r w:rsidR="00131039" w:rsidRPr="00813D19">
        <w:rPr>
          <w:bCs/>
          <w:lang w:val="en-US"/>
        </w:rPr>
        <w:t>Cuba</w:t>
      </w:r>
      <w:r w:rsidR="004A0731" w:rsidRPr="00813D19">
        <w:rPr>
          <w:bCs/>
          <w:lang w:val="en-US"/>
        </w:rPr>
        <w:t>’s remarks</w:t>
      </w:r>
      <w:r w:rsidR="00131039" w:rsidRPr="00813D19">
        <w:rPr>
          <w:bCs/>
          <w:lang w:val="en-US"/>
        </w:rPr>
        <w:t xml:space="preserve"> </w:t>
      </w:r>
      <w:r w:rsidR="004A0731" w:rsidRPr="00813D19">
        <w:rPr>
          <w:bCs/>
          <w:lang w:val="en-US"/>
        </w:rPr>
        <w:t>and shared the same request</w:t>
      </w:r>
      <w:r w:rsidR="00131039" w:rsidRPr="00813D19">
        <w:rPr>
          <w:bCs/>
          <w:lang w:val="en-US"/>
        </w:rPr>
        <w:t xml:space="preserve">. In other words, </w:t>
      </w:r>
      <w:r w:rsidR="004A0731" w:rsidRPr="00813D19">
        <w:rPr>
          <w:bCs/>
          <w:lang w:val="en-US"/>
        </w:rPr>
        <w:t xml:space="preserve">it would also </w:t>
      </w:r>
      <w:r w:rsidR="00131039" w:rsidRPr="00813D19">
        <w:rPr>
          <w:bCs/>
          <w:lang w:val="en-US"/>
        </w:rPr>
        <w:t>like to work</w:t>
      </w:r>
      <w:r w:rsidR="004A0731" w:rsidRPr="00813D19">
        <w:rPr>
          <w:bCs/>
          <w:lang w:val="en-US"/>
        </w:rPr>
        <w:t xml:space="preserve"> towards a solution that enabled</w:t>
      </w:r>
      <w:r w:rsidR="00131039" w:rsidRPr="00813D19">
        <w:rPr>
          <w:bCs/>
          <w:lang w:val="en-US"/>
        </w:rPr>
        <w:t xml:space="preserve"> a one-year referral</w:t>
      </w:r>
      <w:r w:rsidR="004A0731" w:rsidRPr="00813D19">
        <w:rPr>
          <w:bCs/>
          <w:lang w:val="en-US"/>
        </w:rPr>
        <w:t>,</w:t>
      </w:r>
      <w:r w:rsidR="00131039" w:rsidRPr="00813D19">
        <w:rPr>
          <w:bCs/>
          <w:lang w:val="en-US"/>
        </w:rPr>
        <w:t xml:space="preserve"> and </w:t>
      </w:r>
      <w:r w:rsidR="004A0731" w:rsidRPr="00813D19">
        <w:rPr>
          <w:bCs/>
          <w:lang w:val="en-US"/>
        </w:rPr>
        <w:t xml:space="preserve">it </w:t>
      </w:r>
      <w:r w:rsidR="00131039" w:rsidRPr="00813D19">
        <w:rPr>
          <w:bCs/>
          <w:lang w:val="en-US"/>
        </w:rPr>
        <w:t xml:space="preserve">would like to work closely with Argentina to ensure that in </w:t>
      </w:r>
      <w:r w:rsidR="004A0731" w:rsidRPr="00813D19">
        <w:rPr>
          <w:bCs/>
          <w:lang w:val="en-US"/>
        </w:rPr>
        <w:t xml:space="preserve">this </w:t>
      </w:r>
      <w:r w:rsidR="00131039" w:rsidRPr="00813D19">
        <w:rPr>
          <w:bCs/>
          <w:lang w:val="en-US"/>
        </w:rPr>
        <w:t>short timeframe</w:t>
      </w:r>
      <w:r w:rsidR="004A0731" w:rsidRPr="00813D19">
        <w:rPr>
          <w:bCs/>
          <w:lang w:val="en-US"/>
        </w:rPr>
        <w:t xml:space="preserve"> the nomination could </w:t>
      </w:r>
      <w:r w:rsidR="00131039" w:rsidRPr="00813D19">
        <w:rPr>
          <w:bCs/>
          <w:lang w:val="en-US"/>
        </w:rPr>
        <w:t>satisfy all th</w:t>
      </w:r>
      <w:r w:rsidR="00E72560">
        <w:rPr>
          <w:bCs/>
          <w:lang w:val="en-US"/>
        </w:rPr>
        <w:t>e requirements for inscription.</w:t>
      </w:r>
    </w:p>
    <w:p w14:paraId="2414C864" w14:textId="7B9F7920" w:rsidR="00F63597" w:rsidRPr="00813D19" w:rsidRDefault="00F63597" w:rsidP="00C8775F">
      <w:pPr>
        <w:pStyle w:val="Orateurengris"/>
        <w:spacing w:before="120"/>
        <w:ind w:left="709" w:hanging="709"/>
        <w:rPr>
          <w:rFonts w:eastAsia="Calibri"/>
          <w:color w:val="000000" w:themeColor="text1"/>
          <w:lang w:val="en-US"/>
        </w:rPr>
      </w:pPr>
      <w:r w:rsidRPr="00813D19">
        <w:rPr>
          <w:bCs/>
          <w:lang w:val="en-US"/>
        </w:rPr>
        <w:t xml:space="preserve">The </w:t>
      </w:r>
      <w:r w:rsidRPr="00813D19">
        <w:rPr>
          <w:b/>
          <w:bCs/>
          <w:lang w:val="en-US"/>
        </w:rPr>
        <w:t>Chairperson</w:t>
      </w:r>
      <w:r w:rsidRPr="00813D19">
        <w:rPr>
          <w:bCs/>
          <w:lang w:val="en-US"/>
        </w:rPr>
        <w:t xml:space="preserve"> </w:t>
      </w:r>
      <w:r w:rsidR="00974D56" w:rsidRPr="00813D19">
        <w:rPr>
          <w:bCs/>
          <w:lang w:val="en-US"/>
        </w:rPr>
        <w:t xml:space="preserve">noted that the Committee wished to move forward to draft decision </w:t>
      </w:r>
      <w:r w:rsidRPr="00813D19">
        <w:rPr>
          <w:bCs/>
          <w:lang w:val="en-US"/>
        </w:rPr>
        <w:t xml:space="preserve">10.b.2 and </w:t>
      </w:r>
      <w:r w:rsidR="00974D56" w:rsidRPr="00813D19">
        <w:rPr>
          <w:bCs/>
          <w:lang w:val="en-US"/>
        </w:rPr>
        <w:t xml:space="preserve">return later </w:t>
      </w:r>
      <w:r w:rsidR="00A85D5F" w:rsidRPr="00813D19">
        <w:rPr>
          <w:bCs/>
          <w:lang w:val="en-US"/>
        </w:rPr>
        <w:t xml:space="preserve">to 10.b.1, inviting the Secretary </w:t>
      </w:r>
      <w:r w:rsidR="00E72560">
        <w:rPr>
          <w:bCs/>
          <w:lang w:val="en-US"/>
        </w:rPr>
        <w:t>to clarify the next steps.</w:t>
      </w:r>
    </w:p>
    <w:p w14:paraId="6C43661E" w14:textId="18B0CC50" w:rsidR="00F63597" w:rsidRPr="00813D19" w:rsidRDefault="00DF3E05" w:rsidP="00F63597">
      <w:pPr>
        <w:pStyle w:val="Orateurengris"/>
        <w:spacing w:before="120"/>
        <w:ind w:left="709" w:hanging="709"/>
        <w:rPr>
          <w:rFonts w:eastAsia="Calibri"/>
          <w:color w:val="000000" w:themeColor="text1"/>
          <w:lang w:val="en-US"/>
        </w:rPr>
      </w:pPr>
      <w:r w:rsidRPr="00813D19">
        <w:rPr>
          <w:bCs/>
          <w:lang w:val="en-US"/>
        </w:rPr>
        <w:t>Having received a</w:t>
      </w:r>
      <w:r w:rsidRPr="00813D19">
        <w:rPr>
          <w:b/>
          <w:bCs/>
          <w:lang w:val="en-US"/>
        </w:rPr>
        <w:t xml:space="preserve"> </w:t>
      </w:r>
      <w:r w:rsidRPr="00813D19">
        <w:rPr>
          <w:bCs/>
          <w:lang w:val="en-US"/>
        </w:rPr>
        <w:t>specific request, t</w:t>
      </w:r>
      <w:r w:rsidR="00F63597" w:rsidRPr="00813D19">
        <w:rPr>
          <w:bCs/>
          <w:lang w:val="en-US"/>
        </w:rPr>
        <w:t xml:space="preserve">he </w:t>
      </w:r>
      <w:r w:rsidR="00F63597" w:rsidRPr="00813D19">
        <w:rPr>
          <w:b/>
          <w:bCs/>
          <w:lang w:val="en-US"/>
        </w:rPr>
        <w:t>Secretary</w:t>
      </w:r>
      <w:r w:rsidRPr="00813D19">
        <w:rPr>
          <w:bCs/>
          <w:lang w:val="en-US"/>
        </w:rPr>
        <w:t xml:space="preserve"> </w:t>
      </w:r>
      <w:r w:rsidR="00957D5B" w:rsidRPr="00813D19">
        <w:rPr>
          <w:bCs/>
          <w:lang w:val="en-US"/>
        </w:rPr>
        <w:t xml:space="preserve">explained that the Secretariat would </w:t>
      </w:r>
      <w:r w:rsidRPr="00813D19">
        <w:rPr>
          <w:bCs/>
          <w:lang w:val="en-US"/>
        </w:rPr>
        <w:t xml:space="preserve">need time to look </w:t>
      </w:r>
      <w:r w:rsidR="00957D5B" w:rsidRPr="00813D19">
        <w:rPr>
          <w:bCs/>
          <w:lang w:val="en-US"/>
        </w:rPr>
        <w:t xml:space="preserve">once more </w:t>
      </w:r>
      <w:r w:rsidRPr="00813D19">
        <w:rPr>
          <w:bCs/>
          <w:lang w:val="en-US"/>
        </w:rPr>
        <w:t xml:space="preserve">into </w:t>
      </w:r>
      <w:r w:rsidR="00853685" w:rsidRPr="00813D19">
        <w:rPr>
          <w:bCs/>
          <w:lang w:val="en-US"/>
        </w:rPr>
        <w:t>possible options</w:t>
      </w:r>
      <w:r w:rsidR="00957D5B" w:rsidRPr="00813D19">
        <w:rPr>
          <w:bCs/>
          <w:lang w:val="en-US"/>
        </w:rPr>
        <w:t xml:space="preserve"> by </w:t>
      </w:r>
      <w:r w:rsidR="00F63597" w:rsidRPr="00813D19">
        <w:rPr>
          <w:bCs/>
          <w:lang w:val="en-US"/>
        </w:rPr>
        <w:t>work</w:t>
      </w:r>
      <w:r w:rsidR="00957D5B" w:rsidRPr="00813D19">
        <w:rPr>
          <w:bCs/>
          <w:lang w:val="en-US"/>
        </w:rPr>
        <w:t xml:space="preserve">ing with the Legal </w:t>
      </w:r>
      <w:r w:rsidR="00A84307" w:rsidRPr="00813D19">
        <w:rPr>
          <w:bCs/>
          <w:lang w:val="en-US"/>
        </w:rPr>
        <w:t>Advis</w:t>
      </w:r>
      <w:r w:rsidR="00A84307">
        <w:rPr>
          <w:bCs/>
          <w:lang w:val="en-US"/>
        </w:rPr>
        <w:t>e</w:t>
      </w:r>
      <w:r w:rsidR="00A84307" w:rsidRPr="00813D19">
        <w:rPr>
          <w:bCs/>
          <w:lang w:val="en-US"/>
        </w:rPr>
        <w:t>r</w:t>
      </w:r>
      <w:r w:rsidR="00E552DD" w:rsidRPr="00813D19">
        <w:rPr>
          <w:bCs/>
          <w:lang w:val="en-US"/>
        </w:rPr>
        <w:t>.</w:t>
      </w:r>
    </w:p>
    <w:p w14:paraId="01E1C5D6" w14:textId="3364AC73" w:rsidR="00C8775F" w:rsidRPr="00813D19" w:rsidRDefault="00C8775F" w:rsidP="00C8775F">
      <w:pPr>
        <w:pStyle w:val="Orateurengris"/>
        <w:spacing w:before="120"/>
        <w:ind w:left="709" w:hanging="709"/>
        <w:rPr>
          <w:rFonts w:eastAsia="Calibri"/>
          <w:color w:val="000000" w:themeColor="text1"/>
          <w:lang w:val="en-US"/>
        </w:rPr>
      </w:pPr>
      <w:r w:rsidRPr="00813D19">
        <w:rPr>
          <w:rFonts w:eastAsia="Calibri"/>
          <w:color w:val="000000" w:themeColor="text1"/>
          <w:lang w:val="en-US"/>
        </w:rPr>
        <w:t>The</w:t>
      </w:r>
      <w:r w:rsidRPr="00813D19">
        <w:rPr>
          <w:rFonts w:eastAsia="Calibri"/>
          <w:b/>
          <w:color w:val="000000" w:themeColor="text1"/>
          <w:lang w:val="en-US"/>
        </w:rPr>
        <w:t xml:space="preserve"> Chairperson </w:t>
      </w:r>
      <w:r w:rsidR="00E552DD" w:rsidRPr="00813D19">
        <w:rPr>
          <w:rFonts w:eastAsia="Calibri"/>
          <w:color w:val="000000" w:themeColor="text1"/>
          <w:lang w:val="en-US"/>
        </w:rPr>
        <w:t>suggested</w:t>
      </w:r>
      <w:r w:rsidR="00E552DD" w:rsidRPr="00813D19">
        <w:rPr>
          <w:rFonts w:eastAsia="Calibri"/>
          <w:b/>
          <w:color w:val="000000" w:themeColor="text1"/>
          <w:lang w:val="en-US"/>
        </w:rPr>
        <w:t xml:space="preserve"> </w:t>
      </w:r>
      <w:r w:rsidR="00E552DD" w:rsidRPr="00813D19">
        <w:rPr>
          <w:rFonts w:eastAsia="Calibri"/>
          <w:color w:val="000000" w:themeColor="text1"/>
          <w:lang w:val="en-US"/>
        </w:rPr>
        <w:t>suspend</w:t>
      </w:r>
      <w:r w:rsidR="00EF5E3E">
        <w:rPr>
          <w:rFonts w:eastAsia="Calibri"/>
          <w:color w:val="000000" w:themeColor="text1"/>
          <w:lang w:val="en-US"/>
        </w:rPr>
        <w:t>ing</w:t>
      </w:r>
      <w:r w:rsidRPr="00813D19">
        <w:rPr>
          <w:rFonts w:eastAsia="Calibri"/>
          <w:color w:val="000000" w:themeColor="text1"/>
          <w:lang w:val="en-US"/>
        </w:rPr>
        <w:t xml:space="preserve"> the examination of draft decision </w:t>
      </w:r>
      <w:r w:rsidR="00853685" w:rsidRPr="00813D19">
        <w:rPr>
          <w:rFonts w:eastAsia="Calibri"/>
          <w:color w:val="000000" w:themeColor="text1"/>
          <w:lang w:val="en-US"/>
        </w:rPr>
        <w:t>13.COM 10.b.1</w:t>
      </w:r>
      <w:r w:rsidR="00801F52" w:rsidRPr="00813D19">
        <w:rPr>
          <w:rFonts w:eastAsia="Calibri"/>
          <w:color w:val="000000" w:themeColor="text1"/>
          <w:lang w:val="en-US"/>
        </w:rPr>
        <w:t xml:space="preserve"> for consul</w:t>
      </w:r>
      <w:r w:rsidR="00E552DD" w:rsidRPr="00813D19">
        <w:rPr>
          <w:rFonts w:eastAsia="Calibri"/>
          <w:color w:val="000000" w:themeColor="text1"/>
          <w:lang w:val="en-US"/>
        </w:rPr>
        <w:t>t</w:t>
      </w:r>
      <w:r w:rsidR="00801F52" w:rsidRPr="00813D19">
        <w:rPr>
          <w:rFonts w:eastAsia="Calibri"/>
          <w:color w:val="000000" w:themeColor="text1"/>
          <w:lang w:val="en-US"/>
        </w:rPr>
        <w:t>ation and explor</w:t>
      </w:r>
      <w:r w:rsidR="00EF5E3E">
        <w:rPr>
          <w:rFonts w:eastAsia="Calibri"/>
          <w:color w:val="000000" w:themeColor="text1"/>
          <w:lang w:val="en-US"/>
        </w:rPr>
        <w:t>ing</w:t>
      </w:r>
      <w:r w:rsidR="00801F52" w:rsidRPr="00813D19">
        <w:rPr>
          <w:rFonts w:eastAsia="Calibri"/>
          <w:color w:val="000000" w:themeColor="text1"/>
          <w:lang w:val="en-US"/>
        </w:rPr>
        <w:t xml:space="preserve"> </w:t>
      </w:r>
      <w:r w:rsidR="00FD1788" w:rsidRPr="00813D19">
        <w:rPr>
          <w:rFonts w:eastAsia="Calibri"/>
          <w:color w:val="000000" w:themeColor="text1"/>
          <w:lang w:val="en-US"/>
        </w:rPr>
        <w:t>options for a one-year referral, as suggested by Cuba.</w:t>
      </w:r>
      <w:r w:rsidR="00801F52" w:rsidRPr="00813D19">
        <w:rPr>
          <w:rFonts w:eastAsia="Calibri"/>
          <w:color w:val="000000" w:themeColor="text1"/>
          <w:lang w:val="en-US"/>
        </w:rPr>
        <w:t xml:space="preserve"> </w:t>
      </w:r>
      <w:r w:rsidR="00E552DD" w:rsidRPr="00813D19">
        <w:rPr>
          <w:rFonts w:eastAsia="Calibri"/>
          <w:color w:val="000000" w:themeColor="text1"/>
          <w:lang w:val="en-US"/>
        </w:rPr>
        <w:t xml:space="preserve">He then turned to the </w:t>
      </w:r>
      <w:r w:rsidR="00E552DD" w:rsidRPr="00813D19">
        <w:rPr>
          <w:bCs/>
          <w:lang w:val="en-US"/>
        </w:rPr>
        <w:t xml:space="preserve">next </w:t>
      </w:r>
      <w:r w:rsidR="00F63597" w:rsidRPr="00813D19">
        <w:rPr>
          <w:bCs/>
          <w:lang w:val="en-US"/>
        </w:rPr>
        <w:t xml:space="preserve">nomination </w:t>
      </w:r>
      <w:r w:rsidR="00E552DD" w:rsidRPr="00813D19">
        <w:rPr>
          <w:bCs/>
          <w:lang w:val="en-US"/>
        </w:rPr>
        <w:t xml:space="preserve">submitted by </w:t>
      </w:r>
      <w:r w:rsidR="00F63597" w:rsidRPr="00813D19">
        <w:rPr>
          <w:bCs/>
          <w:lang w:val="en-US"/>
        </w:rPr>
        <w:t>Austria, Czechia, Germany, Hungary and Slovakia regarding the nomination of Blaudruck/Modrotisk/Kékfestés/Modrotlač, resist block printing and indigo dyeing in Europe</w:t>
      </w:r>
      <w:r w:rsidR="00E552DD" w:rsidRPr="00813D19">
        <w:rPr>
          <w:bCs/>
          <w:lang w:val="en-US"/>
        </w:rPr>
        <w:t>.</w:t>
      </w:r>
    </w:p>
    <w:p w14:paraId="7443B879" w14:textId="383876DE" w:rsidR="008B4DCF" w:rsidRPr="00813D19" w:rsidRDefault="007F4091" w:rsidP="00EE6C7B">
      <w:pPr>
        <w:pStyle w:val="Orateurengris"/>
        <w:spacing w:before="120"/>
        <w:ind w:left="709" w:hanging="709"/>
        <w:rPr>
          <w:rFonts w:eastAsia="Calibri"/>
          <w:color w:val="000000" w:themeColor="text1"/>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 of the Evaluation Body</w:t>
      </w:r>
      <w:r w:rsidRPr="00813D19">
        <w:rPr>
          <w:color w:val="000000" w:themeColor="text1"/>
          <w:lang w:val="en-US"/>
        </w:rPr>
        <w:t xml:space="preserve"> turned to the next nomination</w:t>
      </w:r>
      <w:r w:rsidR="00EF5E3E">
        <w:rPr>
          <w:color w:val="000000" w:themeColor="text1"/>
          <w:lang w:val="en-US"/>
        </w:rPr>
        <w:t>,</w:t>
      </w:r>
      <w:r w:rsidRPr="00813D19">
        <w:rPr>
          <w:color w:val="000000" w:themeColor="text1"/>
          <w:lang w:val="en-US"/>
        </w:rPr>
        <w:t xml:space="preserve"> </w:t>
      </w:r>
      <w:r w:rsidRPr="00813D19">
        <w:rPr>
          <w:b/>
          <w:color w:val="000000" w:themeColor="text1"/>
          <w:lang w:val="en-US"/>
        </w:rPr>
        <w:t>Blaudruck/Modrotisk/Kékfestés/Modrotlač, resist block printing and indigo dyeing in Europe</w:t>
      </w:r>
      <w:r w:rsidRPr="00813D19">
        <w:rPr>
          <w:rFonts w:eastAsia="Calibri"/>
          <w:color w:val="000000" w:themeColor="text1"/>
          <w:lang w:val="en-US"/>
        </w:rPr>
        <w:t xml:space="preserve">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10.b.2],</w:t>
      </w:r>
      <w:r w:rsidRPr="00E72560">
        <w:rPr>
          <w:bCs/>
          <w:color w:val="000000" w:themeColor="text1"/>
          <w:lang w:val="en-US"/>
        </w:rPr>
        <w:t xml:space="preserve"> </w:t>
      </w:r>
      <w:r w:rsidRPr="00813D19">
        <w:rPr>
          <w:lang w:val="en-US"/>
        </w:rPr>
        <w:t xml:space="preserve">submitted by </w:t>
      </w:r>
      <w:r w:rsidRPr="00813D19">
        <w:rPr>
          <w:b/>
          <w:lang w:val="en-US"/>
        </w:rPr>
        <w:t>Austria, Czechia, Germany, Hungary</w:t>
      </w:r>
      <w:r w:rsidR="00EF5E3E">
        <w:rPr>
          <w:b/>
          <w:lang w:val="en-US"/>
        </w:rPr>
        <w:t xml:space="preserve"> and</w:t>
      </w:r>
      <w:r w:rsidRPr="00813D19">
        <w:rPr>
          <w:b/>
          <w:lang w:val="en-US"/>
        </w:rPr>
        <w:t xml:space="preserve"> Slovakia</w:t>
      </w:r>
      <w:r w:rsidRPr="00813D19">
        <w:rPr>
          <w:lang w:val="en-US"/>
        </w:rPr>
        <w:t xml:space="preserve">. </w:t>
      </w:r>
      <w:r w:rsidR="00EE6C7B" w:rsidRPr="00813D19">
        <w:rPr>
          <w:lang w:val="en-US"/>
        </w:rPr>
        <w:t>Blaudruck/Modrotisk/Kékfestés/Modrotlač is a practice of printing a dye-resistant paste onto a cloth before dyeing over it with indigo dye. The paste prevents the dye from penetrating the design, thus ensuring the applied design remains white or undyed after the dyeing process. From the information included in the file, the nomi</w:t>
      </w:r>
      <w:r w:rsidR="008B4DCF" w:rsidRPr="00813D19">
        <w:rPr>
          <w:lang w:val="en-US"/>
        </w:rPr>
        <w:t>nation satisfied</w:t>
      </w:r>
      <w:r w:rsidR="00EE6C7B" w:rsidRPr="00813D19">
        <w:rPr>
          <w:lang w:val="en-US"/>
        </w:rPr>
        <w:t xml:space="preserve"> all five criteria. The Evaluation Body considered that Blaudruck/Modrotisk/Kékfestés/Modrotlač has a strong regional diversity reflected in the patterns and technical skills comprising a set of techniques that are continuously recreated through experimental workshops, open-source approaches and new technologies. The element boosts a constant recreation of traditional motifs and skills by highlighting the intrinsic link established between living heritage and a diverse range of fields such as history, biology, chemistry, art and design. T</w:t>
      </w:r>
      <w:r w:rsidR="008B4DCF" w:rsidRPr="00813D19">
        <w:rPr>
          <w:lang w:val="en-US"/>
        </w:rPr>
        <w:t>he safeguarding measures focused</w:t>
      </w:r>
      <w:r w:rsidR="00EE6C7B" w:rsidRPr="00813D19">
        <w:rPr>
          <w:lang w:val="en-US"/>
        </w:rPr>
        <w:t xml:space="preserve"> on</w:t>
      </w:r>
      <w:r w:rsidR="00EF5E3E">
        <w:rPr>
          <w:lang w:val="en-US"/>
        </w:rPr>
        <w:t xml:space="preserve"> the</w:t>
      </w:r>
      <w:r w:rsidR="00EE6C7B" w:rsidRPr="00813D19">
        <w:rPr>
          <w:lang w:val="en-US"/>
        </w:rPr>
        <w:t xml:space="preserve"> transmission, protection, documentation and promotion of the element through educational programmes. The communities concerned and a wide range of stakeholders actively participated in the nomination process through workshops. The Evaluation Body commend</w:t>
      </w:r>
      <w:r w:rsidR="008B4DCF" w:rsidRPr="00813D19">
        <w:rPr>
          <w:lang w:val="en-US"/>
        </w:rPr>
        <w:t>ed</w:t>
      </w:r>
      <w:r w:rsidR="00EE6C7B" w:rsidRPr="00813D19">
        <w:rPr>
          <w:lang w:val="en-US"/>
        </w:rPr>
        <w:t xml:space="preserve"> the States Parties for </w:t>
      </w:r>
      <w:r w:rsidR="008B4DCF" w:rsidRPr="00813D19">
        <w:rPr>
          <w:lang w:val="en-US"/>
        </w:rPr>
        <w:t xml:space="preserve">the </w:t>
      </w:r>
      <w:r w:rsidR="00EE6C7B" w:rsidRPr="00813D19">
        <w:rPr>
          <w:lang w:val="en-US"/>
        </w:rPr>
        <w:t>excellent file</w:t>
      </w:r>
      <w:r w:rsidR="00EF5E3E">
        <w:rPr>
          <w:lang w:val="en-US"/>
        </w:rPr>
        <w:t>,</w:t>
      </w:r>
      <w:r w:rsidR="00EE6C7B" w:rsidRPr="00813D19">
        <w:rPr>
          <w:lang w:val="en-US"/>
        </w:rPr>
        <w:t xml:space="preserve"> whe</w:t>
      </w:r>
      <w:r w:rsidR="008B4DCF" w:rsidRPr="00813D19">
        <w:rPr>
          <w:lang w:val="en-US"/>
        </w:rPr>
        <w:t>re each submitting State appeared</w:t>
      </w:r>
      <w:r w:rsidR="00EE6C7B" w:rsidRPr="00813D19">
        <w:rPr>
          <w:lang w:val="en-US"/>
        </w:rPr>
        <w:t xml:space="preserve"> to have c</w:t>
      </w:r>
      <w:r w:rsidR="008B4DCF" w:rsidRPr="00813D19">
        <w:rPr>
          <w:lang w:val="en-US"/>
        </w:rPr>
        <w:t>ontributed in a balanced manner, demonstrating</w:t>
      </w:r>
      <w:r w:rsidR="00EE6C7B" w:rsidRPr="00813D19">
        <w:rPr>
          <w:lang w:val="en-US"/>
        </w:rPr>
        <w:t xml:space="preserve"> active networking among </w:t>
      </w:r>
      <w:r w:rsidR="008B4DCF" w:rsidRPr="00813D19">
        <w:rPr>
          <w:lang w:val="en-US"/>
        </w:rPr>
        <w:t xml:space="preserve">the </w:t>
      </w:r>
      <w:r w:rsidR="00EE6C7B" w:rsidRPr="00813D19">
        <w:rPr>
          <w:lang w:val="en-US"/>
        </w:rPr>
        <w:t>communities in the preparation of the nomination and the overall safeguarding of the element</w:t>
      </w:r>
      <w:r w:rsidR="008B4DCF" w:rsidRPr="00813D19">
        <w:rPr>
          <w:lang w:val="en-US"/>
        </w:rPr>
        <w:t>. The Evaluation Body recommended</w:t>
      </w:r>
      <w:r w:rsidR="00EE6C7B" w:rsidRPr="00813D19">
        <w:rPr>
          <w:lang w:val="en-US"/>
        </w:rPr>
        <w:t xml:space="preserve"> that the Committee inscribe </w:t>
      </w:r>
      <w:r w:rsidR="00EE6C7B" w:rsidRPr="00813D19">
        <w:rPr>
          <w:bCs/>
          <w:lang w:val="en-US"/>
        </w:rPr>
        <w:t>Blaudruck/Modrotisk/Kékfestés/Modrotlač, resist block printing and indigo dyeing in Europe</w:t>
      </w:r>
      <w:r w:rsidR="00EE6C7B" w:rsidRPr="00813D19">
        <w:rPr>
          <w:lang w:val="en-US"/>
        </w:rPr>
        <w:t xml:space="preserve"> on the Representative List.</w:t>
      </w:r>
    </w:p>
    <w:p w14:paraId="763C07CF" w14:textId="76B31952" w:rsidR="008B4DCF" w:rsidRPr="00813D19" w:rsidRDefault="008B4DCF" w:rsidP="008B4DCF">
      <w:pPr>
        <w:pStyle w:val="Orateurengris"/>
        <w:spacing w:before="120"/>
        <w:ind w:left="709" w:hanging="709"/>
        <w:rPr>
          <w:lang w:val="en-US"/>
        </w:rPr>
      </w:pPr>
      <w:r w:rsidRPr="00813D19">
        <w:rPr>
          <w:lang w:val="en-US"/>
        </w:rPr>
        <w:t>T</w:t>
      </w:r>
      <w:r w:rsidR="00FD1788" w:rsidRPr="00813D19">
        <w:rPr>
          <w:lang w:val="en-US"/>
        </w:rPr>
        <w:t xml:space="preserve">he </w:t>
      </w:r>
      <w:r w:rsidR="00FD1788" w:rsidRPr="00813D19">
        <w:rPr>
          <w:b/>
          <w:lang w:val="en-US"/>
        </w:rPr>
        <w:t>Chairperson</w:t>
      </w:r>
      <w:r w:rsidR="00FD1788" w:rsidRPr="00813D19">
        <w:rPr>
          <w:lang w:val="en-US"/>
        </w:rPr>
        <w:t xml:space="preserve"> </w:t>
      </w:r>
      <w:r w:rsidRPr="00813D19">
        <w:rPr>
          <w:lang w:val="en-US"/>
        </w:rPr>
        <w:t xml:space="preserve">noted that no amendments had been received </w:t>
      </w:r>
      <w:r w:rsidRPr="00813D19">
        <w:rPr>
          <w:color w:val="000000" w:themeColor="text1"/>
          <w:lang w:val="en-US"/>
        </w:rPr>
        <w:t>for this nomination.</w:t>
      </w:r>
    </w:p>
    <w:p w14:paraId="6A7EF819" w14:textId="6934FA3D" w:rsidR="00FD1788" w:rsidRPr="00813D19" w:rsidRDefault="008B4DCF" w:rsidP="008B4DCF">
      <w:pPr>
        <w:pStyle w:val="Orateurengris"/>
        <w:spacing w:before="120"/>
        <w:ind w:left="709" w:hanging="709"/>
        <w:rPr>
          <w:rFonts w:eastAsia="Calibri"/>
          <w:color w:val="000000" w:themeColor="text1"/>
          <w:lang w:val="en-US"/>
        </w:rPr>
      </w:pPr>
      <w:r w:rsidRPr="00813D19">
        <w:rPr>
          <w:rFonts w:eastAsia="Calibri"/>
          <w:color w:val="000000" w:themeColor="text1"/>
          <w:lang w:val="en-US"/>
        </w:rPr>
        <w:t>Turning to the draft decision as a whole,</w:t>
      </w:r>
      <w:r w:rsidRPr="00813D19">
        <w:rPr>
          <w:lang w:val="en-US"/>
        </w:rPr>
        <w:t xml:space="preserve"> </w:t>
      </w:r>
      <w:r w:rsidR="00FD1788" w:rsidRPr="00813D19">
        <w:rPr>
          <w:lang w:val="en-US"/>
        </w:rPr>
        <w:t xml:space="preserve">the </w:t>
      </w:r>
      <w:r w:rsidR="00FD1788" w:rsidRPr="00813D19">
        <w:rPr>
          <w:b/>
          <w:lang w:val="en-US"/>
        </w:rPr>
        <w:t xml:space="preserve">Chairperson declared Decision </w:t>
      </w:r>
      <w:hyperlink r:id="rId103" w:history="1">
        <w:r w:rsidR="00FD1788" w:rsidRPr="00813D19">
          <w:rPr>
            <w:rStyle w:val="Hyperlink"/>
            <w:b/>
            <w:lang w:val="en-US"/>
          </w:rPr>
          <w:t>13.COM</w:t>
        </w:r>
        <w:r w:rsidR="00992896">
          <w:rPr>
            <w:rStyle w:val="Hyperlink"/>
            <w:b/>
            <w:lang w:val="en-US"/>
          </w:rPr>
          <w:t> </w:t>
        </w:r>
        <w:r w:rsidR="00FD1788" w:rsidRPr="00813D19">
          <w:rPr>
            <w:rStyle w:val="Hyperlink"/>
            <w:b/>
            <w:lang w:val="en-US"/>
          </w:rPr>
          <w:t>10.b.2</w:t>
        </w:r>
      </w:hyperlink>
      <w:r w:rsidR="00FD1788" w:rsidRPr="00813D19">
        <w:rPr>
          <w:b/>
          <w:lang w:val="en-US"/>
        </w:rPr>
        <w:t xml:space="preserve"> adopted</w:t>
      </w:r>
      <w:r w:rsidR="008D19BA" w:rsidRPr="00813D19">
        <w:rPr>
          <w:b/>
          <w:lang w:val="en-US"/>
        </w:rPr>
        <w:t xml:space="preserve"> to inscribe </w:t>
      </w:r>
      <w:r w:rsidR="008D19BA" w:rsidRPr="00813D19">
        <w:rPr>
          <w:b/>
          <w:color w:val="000000" w:themeColor="text1"/>
          <w:lang w:val="en-US"/>
        </w:rPr>
        <w:t>Blaudruck/Modrotisk/Kékfestés/Modrotlač, resist block printing and indigo dyeing in Europe</w:t>
      </w:r>
      <w:r w:rsidR="008D19BA" w:rsidRPr="00813D19">
        <w:rPr>
          <w:rFonts w:eastAsia="Calibri"/>
          <w:color w:val="000000" w:themeColor="text1"/>
          <w:lang w:val="en-US"/>
        </w:rPr>
        <w:t xml:space="preserve"> </w:t>
      </w:r>
      <w:r w:rsidR="008D19BA" w:rsidRPr="00813D19">
        <w:rPr>
          <w:b/>
          <w:snapToGrid/>
          <w:color w:val="000000" w:themeColor="text1"/>
          <w:lang w:val="en-US"/>
        </w:rPr>
        <w:t>on the Representative List</w:t>
      </w:r>
      <w:r w:rsidR="008D19BA" w:rsidRPr="00E72560">
        <w:rPr>
          <w:bCs/>
          <w:snapToGrid/>
          <w:color w:val="000000" w:themeColor="text1"/>
          <w:lang w:val="en-US"/>
        </w:rPr>
        <w:t>.</w:t>
      </w:r>
    </w:p>
    <w:p w14:paraId="3D2FEC1A" w14:textId="3070DCF7" w:rsidR="00FD1788" w:rsidRPr="00813D19" w:rsidRDefault="00FD1788" w:rsidP="000C5A26">
      <w:pPr>
        <w:pStyle w:val="Orateurengris"/>
        <w:spacing w:before="120"/>
        <w:ind w:left="709" w:hanging="709"/>
        <w:rPr>
          <w:rFonts w:eastAsia="Times New Roman"/>
          <w:lang w:val="en-US"/>
        </w:rPr>
      </w:pPr>
      <w:r w:rsidRPr="00813D19">
        <w:rPr>
          <w:lang w:val="en-US"/>
        </w:rPr>
        <w:t xml:space="preserve">The </w:t>
      </w:r>
      <w:r w:rsidRPr="00813D19">
        <w:rPr>
          <w:b/>
          <w:lang w:val="en-US"/>
        </w:rPr>
        <w:t>delegation of</w:t>
      </w:r>
      <w:r w:rsidRPr="00813D19">
        <w:rPr>
          <w:lang w:val="en-US"/>
        </w:rPr>
        <w:t xml:space="preserve"> </w:t>
      </w:r>
      <w:r w:rsidRPr="00813D19">
        <w:rPr>
          <w:b/>
          <w:lang w:val="en-US"/>
        </w:rPr>
        <w:t>Czechia</w:t>
      </w:r>
      <w:r w:rsidR="00F63597" w:rsidRPr="00813D19">
        <w:rPr>
          <w:b/>
          <w:lang w:val="en-US"/>
        </w:rPr>
        <w:t xml:space="preserve"> </w:t>
      </w:r>
      <w:r w:rsidR="00F63597" w:rsidRPr="00813D19">
        <w:rPr>
          <w:lang w:val="en-US"/>
        </w:rPr>
        <w:t>thank</w:t>
      </w:r>
      <w:r w:rsidR="008F5F0E" w:rsidRPr="00813D19">
        <w:rPr>
          <w:lang w:val="en-US"/>
        </w:rPr>
        <w:t>ed</w:t>
      </w:r>
      <w:r w:rsidR="00F63597" w:rsidRPr="00813D19">
        <w:rPr>
          <w:lang w:val="en-US"/>
        </w:rPr>
        <w:t xml:space="preserve"> the host country for organizing </w:t>
      </w:r>
      <w:r w:rsidR="008F5F0E" w:rsidRPr="00813D19">
        <w:rPr>
          <w:lang w:val="en-US"/>
        </w:rPr>
        <w:t xml:space="preserve">the </w:t>
      </w:r>
      <w:r w:rsidR="00F63597" w:rsidRPr="00813D19">
        <w:rPr>
          <w:lang w:val="en-US"/>
        </w:rPr>
        <w:t xml:space="preserve">session </w:t>
      </w:r>
      <w:r w:rsidR="00E552DD" w:rsidRPr="00813D19">
        <w:rPr>
          <w:lang w:val="en-US"/>
        </w:rPr>
        <w:t xml:space="preserve">and the </w:t>
      </w:r>
      <w:r w:rsidR="00F63597" w:rsidRPr="00813D19">
        <w:rPr>
          <w:lang w:val="en-US"/>
        </w:rPr>
        <w:t xml:space="preserve">warm hospitality. </w:t>
      </w:r>
      <w:r w:rsidR="00E552DD" w:rsidRPr="00813D19">
        <w:rPr>
          <w:lang w:val="en-US"/>
        </w:rPr>
        <w:t xml:space="preserve">It was </w:t>
      </w:r>
      <w:r w:rsidR="00F63597" w:rsidRPr="00813D19">
        <w:rPr>
          <w:lang w:val="en-US"/>
        </w:rPr>
        <w:t xml:space="preserve">very happy that the blue print </w:t>
      </w:r>
      <w:r w:rsidR="00EF5E3E" w:rsidRPr="00813D19">
        <w:rPr>
          <w:lang w:val="en-US"/>
        </w:rPr>
        <w:t>ha</w:t>
      </w:r>
      <w:r w:rsidR="00EF5E3E">
        <w:rPr>
          <w:lang w:val="en-US"/>
        </w:rPr>
        <w:t>d</w:t>
      </w:r>
      <w:r w:rsidR="00EF5E3E" w:rsidRPr="00813D19">
        <w:rPr>
          <w:lang w:val="en-US"/>
        </w:rPr>
        <w:t xml:space="preserve"> </w:t>
      </w:r>
      <w:r w:rsidR="00F63597" w:rsidRPr="00813D19">
        <w:rPr>
          <w:lang w:val="en-US"/>
        </w:rPr>
        <w:t xml:space="preserve">been added to the </w:t>
      </w:r>
      <w:r w:rsidR="00F63597" w:rsidRPr="00813D19">
        <w:rPr>
          <w:bCs/>
          <w:lang w:val="en-US"/>
        </w:rPr>
        <w:t xml:space="preserve">Representative </w:t>
      </w:r>
      <w:r w:rsidR="00F63597" w:rsidRPr="00813D19">
        <w:rPr>
          <w:lang w:val="en-US"/>
        </w:rPr>
        <w:t>List</w:t>
      </w:r>
      <w:r w:rsidR="00E552DD" w:rsidRPr="00813D19">
        <w:rPr>
          <w:lang w:val="en-US"/>
        </w:rPr>
        <w:t>, adding that l</w:t>
      </w:r>
      <w:r w:rsidR="00F63597" w:rsidRPr="00813D19">
        <w:rPr>
          <w:lang w:val="en-US"/>
        </w:rPr>
        <w:t>iving heritage</w:t>
      </w:r>
      <w:r w:rsidR="00E552DD" w:rsidRPr="00813D19">
        <w:rPr>
          <w:lang w:val="en-US"/>
        </w:rPr>
        <w:t>,</w:t>
      </w:r>
      <w:r w:rsidR="00F63597" w:rsidRPr="00813D19">
        <w:rPr>
          <w:lang w:val="en-US"/>
        </w:rPr>
        <w:t xml:space="preserve"> including traditional craftsmanship</w:t>
      </w:r>
      <w:r w:rsidR="00E552DD" w:rsidRPr="00813D19">
        <w:rPr>
          <w:lang w:val="en-US"/>
        </w:rPr>
        <w:t>,</w:t>
      </w:r>
      <w:r w:rsidR="00F63597" w:rsidRPr="00813D19">
        <w:rPr>
          <w:lang w:val="en-US"/>
        </w:rPr>
        <w:t xml:space="preserve"> </w:t>
      </w:r>
      <w:r w:rsidR="00E552DD" w:rsidRPr="00813D19">
        <w:rPr>
          <w:lang w:val="en-US"/>
        </w:rPr>
        <w:t xml:space="preserve">knew no </w:t>
      </w:r>
      <w:r w:rsidR="00F63597" w:rsidRPr="00813D19">
        <w:rPr>
          <w:lang w:val="en-US"/>
        </w:rPr>
        <w:t xml:space="preserve">borders and </w:t>
      </w:r>
      <w:r w:rsidR="00E552DD" w:rsidRPr="00813D19">
        <w:rPr>
          <w:lang w:val="en-US"/>
        </w:rPr>
        <w:t xml:space="preserve">it was </w:t>
      </w:r>
      <w:r w:rsidR="00F63597" w:rsidRPr="00813D19">
        <w:rPr>
          <w:lang w:val="en-US"/>
        </w:rPr>
        <w:t xml:space="preserve">very proud that </w:t>
      </w:r>
      <w:r w:rsidR="00E552DD" w:rsidRPr="00813D19">
        <w:rPr>
          <w:lang w:val="en-US"/>
        </w:rPr>
        <w:t xml:space="preserve">the </w:t>
      </w:r>
      <w:r w:rsidR="00F63597" w:rsidRPr="00813D19">
        <w:rPr>
          <w:lang w:val="en-US"/>
        </w:rPr>
        <w:t>jo</w:t>
      </w:r>
      <w:r w:rsidR="00E552DD" w:rsidRPr="00813D19">
        <w:rPr>
          <w:lang w:val="en-US"/>
        </w:rPr>
        <w:t>int transboundary nomination had</w:t>
      </w:r>
      <w:r w:rsidR="00F63597" w:rsidRPr="00813D19">
        <w:rPr>
          <w:lang w:val="en-US"/>
        </w:rPr>
        <w:t xml:space="preserve"> been developed by five neighbo</w:t>
      </w:r>
      <w:r w:rsidR="00E552DD" w:rsidRPr="00813D19">
        <w:rPr>
          <w:lang w:val="en-US"/>
        </w:rPr>
        <w:t>u</w:t>
      </w:r>
      <w:r w:rsidR="00F63597" w:rsidRPr="00813D19">
        <w:rPr>
          <w:lang w:val="en-US"/>
        </w:rPr>
        <w:t xml:space="preserve">ring countries </w:t>
      </w:r>
      <w:r w:rsidR="00E552DD" w:rsidRPr="00813D19">
        <w:rPr>
          <w:lang w:val="en-US"/>
        </w:rPr>
        <w:t xml:space="preserve">in </w:t>
      </w:r>
      <w:r w:rsidR="00F63597" w:rsidRPr="00813D19">
        <w:rPr>
          <w:lang w:val="en-US"/>
        </w:rPr>
        <w:t>the heart of Europe. The involvement of all stakeholders, the exchanges between the blue print communities</w:t>
      </w:r>
      <w:r w:rsidR="00E552DD" w:rsidRPr="00813D19">
        <w:rPr>
          <w:lang w:val="en-US"/>
        </w:rPr>
        <w:t>,</w:t>
      </w:r>
      <w:r w:rsidR="00F63597" w:rsidRPr="00813D19">
        <w:rPr>
          <w:lang w:val="en-US"/>
        </w:rPr>
        <w:t xml:space="preserve"> and the support and promotion of this element </w:t>
      </w:r>
      <w:r w:rsidR="00E552DD" w:rsidRPr="00813D19">
        <w:rPr>
          <w:lang w:val="en-US"/>
        </w:rPr>
        <w:t xml:space="preserve">at the </w:t>
      </w:r>
      <w:r w:rsidR="00F63597" w:rsidRPr="00813D19">
        <w:rPr>
          <w:lang w:val="en-US"/>
        </w:rPr>
        <w:t xml:space="preserve">regional and State levels </w:t>
      </w:r>
      <w:r w:rsidR="00E552DD" w:rsidRPr="00813D19">
        <w:rPr>
          <w:lang w:val="en-US"/>
        </w:rPr>
        <w:t xml:space="preserve">had </w:t>
      </w:r>
      <w:r w:rsidR="00F63597" w:rsidRPr="00813D19">
        <w:rPr>
          <w:lang w:val="en-US"/>
        </w:rPr>
        <w:t>been the basis for successful international cooperation</w:t>
      </w:r>
      <w:r w:rsidR="00EF5E3E">
        <w:rPr>
          <w:lang w:val="en-US"/>
        </w:rPr>
        <w:t>,</w:t>
      </w:r>
      <w:r w:rsidR="00F63597" w:rsidRPr="00813D19">
        <w:rPr>
          <w:lang w:val="en-US"/>
        </w:rPr>
        <w:t xml:space="preserve"> for which </w:t>
      </w:r>
      <w:r w:rsidR="00E552DD" w:rsidRPr="00813D19">
        <w:rPr>
          <w:lang w:val="en-US"/>
        </w:rPr>
        <w:t xml:space="preserve">it </w:t>
      </w:r>
      <w:r w:rsidR="00F63597" w:rsidRPr="00813D19">
        <w:rPr>
          <w:lang w:val="en-US"/>
        </w:rPr>
        <w:t>extend</w:t>
      </w:r>
      <w:r w:rsidR="00E552DD" w:rsidRPr="00813D19">
        <w:rPr>
          <w:lang w:val="en-US"/>
        </w:rPr>
        <w:t>ed</w:t>
      </w:r>
      <w:r w:rsidR="00F63597" w:rsidRPr="00813D19">
        <w:rPr>
          <w:lang w:val="en-US"/>
        </w:rPr>
        <w:t xml:space="preserve"> </w:t>
      </w:r>
      <w:r w:rsidR="00EF5E3E">
        <w:rPr>
          <w:lang w:val="en-US"/>
        </w:rPr>
        <w:t xml:space="preserve">its </w:t>
      </w:r>
      <w:r w:rsidR="00F63597" w:rsidRPr="00813D19">
        <w:rPr>
          <w:lang w:val="en-US"/>
        </w:rPr>
        <w:t>since</w:t>
      </w:r>
      <w:r w:rsidR="00E552DD" w:rsidRPr="00813D19">
        <w:rPr>
          <w:lang w:val="en-US"/>
        </w:rPr>
        <w:t>re thanks to all.</w:t>
      </w:r>
    </w:p>
    <w:p w14:paraId="1B5AF014" w14:textId="74D9AB4C" w:rsidR="008859FA" w:rsidRPr="00813D19" w:rsidRDefault="008859FA" w:rsidP="000C5A26">
      <w:pPr>
        <w:pStyle w:val="Orateurengris"/>
        <w:spacing w:before="120"/>
        <w:ind w:left="709" w:hanging="709"/>
        <w:rPr>
          <w:rFonts w:eastAsia="Times New Roman"/>
          <w:lang w:val="en-US"/>
        </w:rPr>
      </w:pPr>
      <w:r w:rsidRPr="00813D19">
        <w:rPr>
          <w:lang w:val="en-US"/>
        </w:rPr>
        <w:t xml:space="preserve">The </w:t>
      </w:r>
      <w:r w:rsidRPr="00813D19">
        <w:rPr>
          <w:b/>
          <w:lang w:val="en-US"/>
        </w:rPr>
        <w:t>delegation of Germany</w:t>
      </w:r>
      <w:r w:rsidR="00D91CCF" w:rsidRPr="00813D19">
        <w:rPr>
          <w:b/>
          <w:lang w:val="en-US"/>
        </w:rPr>
        <w:t xml:space="preserve"> </w:t>
      </w:r>
      <w:r w:rsidR="00E552DD" w:rsidRPr="00813D19">
        <w:rPr>
          <w:lang w:val="en-US"/>
        </w:rPr>
        <w:t>remarked that</w:t>
      </w:r>
      <w:r w:rsidR="00E552DD" w:rsidRPr="00813D19">
        <w:rPr>
          <w:b/>
          <w:lang w:val="en-US"/>
        </w:rPr>
        <w:t xml:space="preserve"> </w:t>
      </w:r>
      <w:r w:rsidR="00C42671" w:rsidRPr="00813D19">
        <w:rPr>
          <w:lang w:val="en-US"/>
        </w:rPr>
        <w:t>b</w:t>
      </w:r>
      <w:r w:rsidR="00D91CCF" w:rsidRPr="00813D19">
        <w:rPr>
          <w:lang w:val="en-US"/>
        </w:rPr>
        <w:t>lue print</w:t>
      </w:r>
      <w:r w:rsidR="00C42671" w:rsidRPr="00813D19">
        <w:rPr>
          <w:lang w:val="en-US"/>
        </w:rPr>
        <w:t>,</w:t>
      </w:r>
      <w:r w:rsidR="00D91CCF" w:rsidRPr="00813D19">
        <w:rPr>
          <w:lang w:val="en-US"/>
        </w:rPr>
        <w:t xml:space="preserve"> also called blue dyeing</w:t>
      </w:r>
      <w:r w:rsidR="00C42671" w:rsidRPr="00813D19">
        <w:rPr>
          <w:lang w:val="en-US"/>
        </w:rPr>
        <w:t>,</w:t>
      </w:r>
      <w:r w:rsidR="003B473A" w:rsidRPr="00813D19">
        <w:rPr>
          <w:lang w:val="en-US"/>
        </w:rPr>
        <w:t xml:space="preserve"> </w:t>
      </w:r>
      <w:r w:rsidR="00EF5E3E">
        <w:rPr>
          <w:lang w:val="en-US"/>
        </w:rPr>
        <w:t>was</w:t>
      </w:r>
      <w:r w:rsidR="00EF5E3E" w:rsidRPr="00813D19">
        <w:rPr>
          <w:lang w:val="en-US"/>
        </w:rPr>
        <w:t xml:space="preserve"> </w:t>
      </w:r>
      <w:r w:rsidR="003B473A" w:rsidRPr="00813D19">
        <w:rPr>
          <w:lang w:val="en-US"/>
        </w:rPr>
        <w:t>a phenomenon that connected</w:t>
      </w:r>
      <w:r w:rsidR="00D91CCF" w:rsidRPr="00813D19">
        <w:rPr>
          <w:lang w:val="en-US"/>
        </w:rPr>
        <w:t xml:space="preserve"> five submitting </w:t>
      </w:r>
      <w:r w:rsidR="00C42671" w:rsidRPr="00813D19">
        <w:rPr>
          <w:lang w:val="en-US"/>
        </w:rPr>
        <w:t xml:space="preserve">States </w:t>
      </w:r>
      <w:r w:rsidR="00D91CCF" w:rsidRPr="00813D19">
        <w:rPr>
          <w:lang w:val="en-US"/>
        </w:rPr>
        <w:t xml:space="preserve">and </w:t>
      </w:r>
      <w:r w:rsidR="00C42671" w:rsidRPr="00813D19">
        <w:rPr>
          <w:lang w:val="en-US"/>
        </w:rPr>
        <w:t xml:space="preserve">their </w:t>
      </w:r>
      <w:r w:rsidR="00D91CCF" w:rsidRPr="00813D19">
        <w:rPr>
          <w:lang w:val="en-US"/>
        </w:rPr>
        <w:t>commu</w:t>
      </w:r>
      <w:r w:rsidR="003B473A" w:rsidRPr="00813D19">
        <w:rPr>
          <w:lang w:val="en-US"/>
        </w:rPr>
        <w:t>nities. It perfectly illustrated</w:t>
      </w:r>
      <w:r w:rsidR="00D91CCF" w:rsidRPr="00813D19">
        <w:rPr>
          <w:lang w:val="en-US"/>
        </w:rPr>
        <w:t xml:space="preserve"> how intangible cultural heritage is shared across borders and how it can </w:t>
      </w:r>
      <w:r w:rsidR="00C42671" w:rsidRPr="00813D19">
        <w:rPr>
          <w:lang w:val="en-US"/>
        </w:rPr>
        <w:t xml:space="preserve">serve as </w:t>
      </w:r>
      <w:r w:rsidR="00D91CCF" w:rsidRPr="00813D19">
        <w:rPr>
          <w:lang w:val="en-US"/>
        </w:rPr>
        <w:t>a spring</w:t>
      </w:r>
      <w:r w:rsidR="009D3633">
        <w:rPr>
          <w:lang w:val="en-US"/>
        </w:rPr>
        <w:t>b</w:t>
      </w:r>
      <w:r w:rsidR="00C42671" w:rsidRPr="00813D19">
        <w:rPr>
          <w:lang w:val="en-US"/>
        </w:rPr>
        <w:t>oard</w:t>
      </w:r>
      <w:r w:rsidR="00D91CCF" w:rsidRPr="00813D19">
        <w:rPr>
          <w:lang w:val="en-US"/>
        </w:rPr>
        <w:t xml:space="preserve"> for international </w:t>
      </w:r>
      <w:r w:rsidR="00C42671" w:rsidRPr="00813D19">
        <w:rPr>
          <w:lang w:val="en-US"/>
        </w:rPr>
        <w:t>cooperation and mutual respect.</w:t>
      </w:r>
    </w:p>
    <w:p w14:paraId="0A6355E7" w14:textId="15737ED5" w:rsidR="008859FA" w:rsidRPr="00813D19" w:rsidRDefault="008859FA" w:rsidP="000C5A26">
      <w:pPr>
        <w:pStyle w:val="Orateurengris"/>
        <w:spacing w:before="120"/>
        <w:ind w:left="709" w:hanging="709"/>
        <w:rPr>
          <w:rFonts w:eastAsia="Times New Roman"/>
          <w:lang w:val="en-US"/>
        </w:rPr>
      </w:pPr>
      <w:r w:rsidRPr="00813D19">
        <w:rPr>
          <w:lang w:val="en-US"/>
        </w:rPr>
        <w:t xml:space="preserve">The </w:t>
      </w:r>
      <w:r w:rsidRPr="00813D19">
        <w:rPr>
          <w:b/>
          <w:lang w:val="en-US"/>
        </w:rPr>
        <w:t>delegation of</w:t>
      </w:r>
      <w:r w:rsidRPr="00813D19">
        <w:rPr>
          <w:lang w:val="en-US"/>
        </w:rPr>
        <w:t xml:space="preserve"> </w:t>
      </w:r>
      <w:r w:rsidRPr="00813D19">
        <w:rPr>
          <w:b/>
          <w:lang w:val="en-US"/>
        </w:rPr>
        <w:t>Hungary</w:t>
      </w:r>
      <w:r w:rsidRPr="00813D19">
        <w:rPr>
          <w:lang w:val="en-US"/>
        </w:rPr>
        <w:t xml:space="preserve"> </w:t>
      </w:r>
      <w:r w:rsidR="00C42671" w:rsidRPr="00813D19">
        <w:rPr>
          <w:lang w:val="en-US"/>
        </w:rPr>
        <w:t xml:space="preserve">explained that the </w:t>
      </w:r>
      <w:r w:rsidR="00D91CCF" w:rsidRPr="00813D19">
        <w:rPr>
          <w:lang w:val="en-US"/>
        </w:rPr>
        <w:t>multinational nomination provided an opportunity for blue dyers and experts to deepen cooperation among the five countries</w:t>
      </w:r>
      <w:r w:rsidR="00C42671" w:rsidRPr="00813D19">
        <w:rPr>
          <w:lang w:val="en-US"/>
        </w:rPr>
        <w:t>,</w:t>
      </w:r>
      <w:r w:rsidR="00D91CCF" w:rsidRPr="00813D19">
        <w:rPr>
          <w:lang w:val="en-US"/>
        </w:rPr>
        <w:t xml:space="preserve"> culminating in </w:t>
      </w:r>
      <w:r w:rsidR="00EF5E3E">
        <w:rPr>
          <w:lang w:val="en-US"/>
        </w:rPr>
        <w:t xml:space="preserve">a </w:t>
      </w:r>
      <w:r w:rsidR="00D91CCF" w:rsidRPr="00813D19">
        <w:rPr>
          <w:lang w:val="en-US"/>
        </w:rPr>
        <w:t>renewed commitment to safeguard</w:t>
      </w:r>
      <w:r w:rsidR="00EF5E3E">
        <w:rPr>
          <w:lang w:val="en-US"/>
        </w:rPr>
        <w:t>ing</w:t>
      </w:r>
      <w:r w:rsidR="00D91CCF" w:rsidRPr="00813D19">
        <w:rPr>
          <w:lang w:val="en-US"/>
        </w:rPr>
        <w:t xml:space="preserve"> this common heritage. Since </w:t>
      </w:r>
      <w:r w:rsidR="00C42671" w:rsidRPr="00813D19">
        <w:rPr>
          <w:lang w:val="en-US"/>
        </w:rPr>
        <w:t xml:space="preserve">the </w:t>
      </w:r>
      <w:r w:rsidR="00D91CCF" w:rsidRPr="00813D19">
        <w:rPr>
          <w:lang w:val="en-US"/>
        </w:rPr>
        <w:t>blue dyeing tradition is mostly transmitted within the fam</w:t>
      </w:r>
      <w:r w:rsidR="00C42671" w:rsidRPr="00813D19">
        <w:rPr>
          <w:lang w:val="en-US"/>
        </w:rPr>
        <w:t>ily, i</w:t>
      </w:r>
      <w:r w:rsidR="00D91CCF" w:rsidRPr="00813D19">
        <w:rPr>
          <w:lang w:val="en-US"/>
        </w:rPr>
        <w:t xml:space="preserve">ts survival depends on family workshops. At the </w:t>
      </w:r>
      <w:r w:rsidR="00C42671" w:rsidRPr="00813D19">
        <w:rPr>
          <w:lang w:val="en-US"/>
        </w:rPr>
        <w:t>national level, museums and NGOs</w:t>
      </w:r>
      <w:r w:rsidR="00D91CCF" w:rsidRPr="00813D19">
        <w:rPr>
          <w:lang w:val="en-US"/>
        </w:rPr>
        <w:t xml:space="preserve"> support these workshops</w:t>
      </w:r>
      <w:r w:rsidR="00C42671" w:rsidRPr="00813D19">
        <w:rPr>
          <w:lang w:val="en-US"/>
        </w:rPr>
        <w:t>,</w:t>
      </w:r>
      <w:r w:rsidR="00D91CCF" w:rsidRPr="00813D19">
        <w:rPr>
          <w:lang w:val="en-US"/>
        </w:rPr>
        <w:t xml:space="preserve"> </w:t>
      </w:r>
      <w:r w:rsidR="00C42671" w:rsidRPr="00813D19">
        <w:rPr>
          <w:lang w:val="en-US"/>
        </w:rPr>
        <w:t xml:space="preserve">while </w:t>
      </w:r>
      <w:r w:rsidR="00D91CCF" w:rsidRPr="00813D19">
        <w:rPr>
          <w:lang w:val="en-US"/>
        </w:rPr>
        <w:t xml:space="preserve">national and local festivals, exhibitions and shows provide networking opportunities for masters. Textile designers </w:t>
      </w:r>
      <w:r w:rsidR="00C42671" w:rsidRPr="00813D19">
        <w:rPr>
          <w:lang w:val="en-US"/>
        </w:rPr>
        <w:t xml:space="preserve">also </w:t>
      </w:r>
      <w:r w:rsidR="00D91CCF" w:rsidRPr="00813D19">
        <w:rPr>
          <w:lang w:val="en-US"/>
        </w:rPr>
        <w:t xml:space="preserve">have a crucial role to play in making blue dye products attractive </w:t>
      </w:r>
      <w:r w:rsidR="00C42671" w:rsidRPr="00813D19">
        <w:rPr>
          <w:lang w:val="en-US"/>
        </w:rPr>
        <w:t xml:space="preserve">to youth </w:t>
      </w:r>
      <w:r w:rsidR="00D91CCF" w:rsidRPr="00813D19">
        <w:rPr>
          <w:lang w:val="en-US"/>
        </w:rPr>
        <w:t xml:space="preserve">so that future generations </w:t>
      </w:r>
      <w:r w:rsidR="00EF5E3E">
        <w:rPr>
          <w:lang w:val="en-US"/>
        </w:rPr>
        <w:t>can</w:t>
      </w:r>
      <w:r w:rsidR="00EF5E3E" w:rsidRPr="00813D19">
        <w:rPr>
          <w:lang w:val="en-US"/>
        </w:rPr>
        <w:t xml:space="preserve"> </w:t>
      </w:r>
      <w:r w:rsidR="00D91CCF" w:rsidRPr="00813D19">
        <w:rPr>
          <w:lang w:val="en-US"/>
        </w:rPr>
        <w:t>apprecia</w:t>
      </w:r>
      <w:r w:rsidR="00C42671" w:rsidRPr="00813D19">
        <w:rPr>
          <w:lang w:val="en-US"/>
        </w:rPr>
        <w:t>te the value of this tradition.</w:t>
      </w:r>
    </w:p>
    <w:p w14:paraId="494CA280" w14:textId="77777777" w:rsidR="003E4A1A" w:rsidRPr="00813D19" w:rsidRDefault="008859FA" w:rsidP="003E4A1A">
      <w:pPr>
        <w:pStyle w:val="Orateurengris"/>
        <w:spacing w:before="120"/>
        <w:ind w:left="709" w:hanging="709"/>
        <w:rPr>
          <w:rFonts w:eastAsia="Times New Roman"/>
          <w:lang w:val="en-US"/>
        </w:rPr>
      </w:pPr>
      <w:r w:rsidRPr="00813D19">
        <w:rPr>
          <w:rFonts w:eastAsia="Times New Roman"/>
          <w:lang w:val="en-US"/>
        </w:rPr>
        <w:t xml:space="preserve">The </w:t>
      </w:r>
      <w:r w:rsidRPr="00813D19">
        <w:rPr>
          <w:rFonts w:eastAsia="Times New Roman"/>
          <w:b/>
          <w:lang w:val="en-US"/>
        </w:rPr>
        <w:t>delegation of</w:t>
      </w:r>
      <w:r w:rsidRPr="00813D19">
        <w:rPr>
          <w:rFonts w:eastAsia="Times New Roman"/>
          <w:lang w:val="en-US"/>
        </w:rPr>
        <w:t xml:space="preserve"> </w:t>
      </w:r>
      <w:r w:rsidRPr="00813D19">
        <w:rPr>
          <w:rFonts w:eastAsia="Times New Roman"/>
          <w:b/>
          <w:lang w:val="en-US"/>
        </w:rPr>
        <w:t>Slovakia</w:t>
      </w:r>
      <w:r w:rsidR="00D91CCF" w:rsidRPr="00813D19">
        <w:rPr>
          <w:rFonts w:eastAsia="Times New Roman"/>
          <w:b/>
          <w:lang w:val="en-US"/>
        </w:rPr>
        <w:t xml:space="preserve"> </w:t>
      </w:r>
      <w:r w:rsidR="00D91CCF" w:rsidRPr="00813D19">
        <w:rPr>
          <w:lang w:val="en-US"/>
        </w:rPr>
        <w:t>highlight</w:t>
      </w:r>
      <w:r w:rsidR="00C42671" w:rsidRPr="00813D19">
        <w:rPr>
          <w:lang w:val="en-US"/>
        </w:rPr>
        <w:t>ed</w:t>
      </w:r>
      <w:r w:rsidR="00D91CCF" w:rsidRPr="00813D19">
        <w:rPr>
          <w:lang w:val="en-US"/>
        </w:rPr>
        <w:t xml:space="preserve"> the communities of practitioners from all States Parties whose sense of identity as blue printing masters </w:t>
      </w:r>
      <w:r w:rsidR="00C42671" w:rsidRPr="00813D19">
        <w:rPr>
          <w:lang w:val="en-US"/>
        </w:rPr>
        <w:t xml:space="preserve">had </w:t>
      </w:r>
      <w:r w:rsidR="00D91CCF" w:rsidRPr="00813D19">
        <w:rPr>
          <w:lang w:val="en-US"/>
        </w:rPr>
        <w:t xml:space="preserve">been strengthened through the nomination process. </w:t>
      </w:r>
      <w:r w:rsidR="00C42671" w:rsidRPr="00813D19">
        <w:rPr>
          <w:lang w:val="en-US"/>
        </w:rPr>
        <w:t xml:space="preserve">The different </w:t>
      </w:r>
      <w:r w:rsidR="00D91CCF" w:rsidRPr="00813D19">
        <w:rPr>
          <w:lang w:val="en-US"/>
        </w:rPr>
        <w:t xml:space="preserve">communities </w:t>
      </w:r>
      <w:r w:rsidR="00C42671" w:rsidRPr="00813D19">
        <w:rPr>
          <w:lang w:val="en-US"/>
        </w:rPr>
        <w:t xml:space="preserve">had </w:t>
      </w:r>
      <w:r w:rsidR="00D91CCF" w:rsidRPr="00813D19">
        <w:rPr>
          <w:lang w:val="en-US"/>
        </w:rPr>
        <w:t>become one community</w:t>
      </w:r>
      <w:r w:rsidR="00C42671" w:rsidRPr="00813D19">
        <w:rPr>
          <w:lang w:val="en-US"/>
        </w:rPr>
        <w:t>,</w:t>
      </w:r>
      <w:r w:rsidR="00D91CCF" w:rsidRPr="00813D19">
        <w:rPr>
          <w:lang w:val="en-US"/>
        </w:rPr>
        <w:t xml:space="preserve"> and they continue</w:t>
      </w:r>
      <w:r w:rsidR="00C42671" w:rsidRPr="00813D19">
        <w:rPr>
          <w:lang w:val="en-US"/>
        </w:rPr>
        <w:t>d</w:t>
      </w:r>
      <w:r w:rsidR="00D91CCF" w:rsidRPr="00813D19">
        <w:rPr>
          <w:lang w:val="en-US"/>
        </w:rPr>
        <w:t xml:space="preserve"> to cooperate on various levels. Moreover, the</w:t>
      </w:r>
      <w:r w:rsidR="00C42671" w:rsidRPr="00813D19">
        <w:rPr>
          <w:lang w:val="en-US"/>
        </w:rPr>
        <w:t>y</w:t>
      </w:r>
      <w:r w:rsidR="00D91CCF" w:rsidRPr="00813D19">
        <w:rPr>
          <w:lang w:val="en-US"/>
        </w:rPr>
        <w:t xml:space="preserve"> </w:t>
      </w:r>
      <w:r w:rsidR="00C42671" w:rsidRPr="00813D19">
        <w:rPr>
          <w:lang w:val="en-US"/>
        </w:rPr>
        <w:t xml:space="preserve">consider </w:t>
      </w:r>
      <w:r w:rsidR="00D91CCF" w:rsidRPr="00813D19">
        <w:rPr>
          <w:lang w:val="en-US"/>
        </w:rPr>
        <w:t xml:space="preserve">themselves </w:t>
      </w:r>
      <w:r w:rsidR="00C42671" w:rsidRPr="00813D19">
        <w:rPr>
          <w:lang w:val="en-US"/>
        </w:rPr>
        <w:t xml:space="preserve">as part of a </w:t>
      </w:r>
      <w:r w:rsidR="00D91CCF" w:rsidRPr="00813D19">
        <w:rPr>
          <w:lang w:val="en-US"/>
        </w:rPr>
        <w:t>family</w:t>
      </w:r>
      <w:r w:rsidR="00C42671" w:rsidRPr="00813D19">
        <w:rPr>
          <w:lang w:val="en-US"/>
        </w:rPr>
        <w:t>,</w:t>
      </w:r>
      <w:r w:rsidR="00D91CCF" w:rsidRPr="00813D19">
        <w:rPr>
          <w:lang w:val="en-US"/>
        </w:rPr>
        <w:t xml:space="preserve"> which is important </w:t>
      </w:r>
      <w:r w:rsidR="00C42671" w:rsidRPr="00813D19">
        <w:rPr>
          <w:lang w:val="en-US"/>
        </w:rPr>
        <w:t xml:space="preserve">as in </w:t>
      </w:r>
      <w:r w:rsidR="00D91CCF" w:rsidRPr="00813D19">
        <w:rPr>
          <w:lang w:val="en-US"/>
        </w:rPr>
        <w:t xml:space="preserve">most of the countries </w:t>
      </w:r>
      <w:r w:rsidR="00C42671" w:rsidRPr="00813D19">
        <w:rPr>
          <w:lang w:val="en-US"/>
        </w:rPr>
        <w:t xml:space="preserve">there are only </w:t>
      </w:r>
      <w:r w:rsidR="00D91CCF" w:rsidRPr="00813D19">
        <w:rPr>
          <w:lang w:val="en-US"/>
        </w:rPr>
        <w:t>a few workshops or ev</w:t>
      </w:r>
      <w:r w:rsidR="00C42671" w:rsidRPr="00813D19">
        <w:rPr>
          <w:lang w:val="en-US"/>
        </w:rPr>
        <w:t>en just one single master left.</w:t>
      </w:r>
    </w:p>
    <w:p w14:paraId="45A8F84D" w14:textId="5375D35F" w:rsidR="003E4A1A" w:rsidRPr="00813D19" w:rsidRDefault="008859FA" w:rsidP="003E4A1A">
      <w:pPr>
        <w:pStyle w:val="Orateurengris"/>
        <w:spacing w:before="120"/>
        <w:ind w:left="709" w:hanging="709"/>
        <w:rPr>
          <w:rFonts w:eastAsia="Times New Roman"/>
          <w:lang w:val="en-US"/>
        </w:rPr>
      </w:pPr>
      <w:r w:rsidRPr="00813D19">
        <w:rPr>
          <w:rFonts w:eastAsia="Times New Roman"/>
          <w:lang w:val="en-US"/>
        </w:rPr>
        <w:t xml:space="preserve">The </w:t>
      </w:r>
      <w:r w:rsidRPr="00813D19">
        <w:rPr>
          <w:rFonts w:eastAsia="Times New Roman"/>
          <w:b/>
          <w:lang w:val="en-US"/>
        </w:rPr>
        <w:t>delegation of</w:t>
      </w:r>
      <w:r w:rsidRPr="00813D19">
        <w:rPr>
          <w:rFonts w:eastAsia="Times New Roman"/>
          <w:lang w:val="en-US"/>
        </w:rPr>
        <w:t xml:space="preserve"> </w:t>
      </w:r>
      <w:r w:rsidRPr="00813D19">
        <w:rPr>
          <w:rFonts w:eastAsia="Times New Roman"/>
          <w:b/>
          <w:lang w:val="en-US"/>
        </w:rPr>
        <w:t>Austria</w:t>
      </w:r>
      <w:r w:rsidRPr="00813D19">
        <w:rPr>
          <w:rFonts w:eastAsia="Times New Roman"/>
          <w:lang w:val="en-US"/>
        </w:rPr>
        <w:t xml:space="preserve"> </w:t>
      </w:r>
      <w:r w:rsidR="00D91CCF" w:rsidRPr="00813D19">
        <w:rPr>
          <w:lang w:val="en-US"/>
        </w:rPr>
        <w:t>hope</w:t>
      </w:r>
      <w:r w:rsidR="003E4A1A" w:rsidRPr="00813D19">
        <w:rPr>
          <w:lang w:val="en-US"/>
        </w:rPr>
        <w:t>d</w:t>
      </w:r>
      <w:r w:rsidR="00D91CCF" w:rsidRPr="00813D19">
        <w:rPr>
          <w:lang w:val="en-US"/>
        </w:rPr>
        <w:t xml:space="preserve"> that the strengthened visibility of the element </w:t>
      </w:r>
      <w:r w:rsidR="00EF5E3E">
        <w:rPr>
          <w:lang w:val="en-US"/>
        </w:rPr>
        <w:t xml:space="preserve">would </w:t>
      </w:r>
      <w:r w:rsidR="00D91CCF" w:rsidRPr="00813D19">
        <w:rPr>
          <w:lang w:val="en-US"/>
        </w:rPr>
        <w:t xml:space="preserve">continue to inspire and connect </w:t>
      </w:r>
      <w:r w:rsidR="003E4A1A" w:rsidRPr="00813D19">
        <w:rPr>
          <w:lang w:val="en-US"/>
        </w:rPr>
        <w:t xml:space="preserve">others </w:t>
      </w:r>
      <w:r w:rsidR="00D91CCF" w:rsidRPr="00813D19">
        <w:rPr>
          <w:lang w:val="en-US"/>
        </w:rPr>
        <w:t>in order to further the element</w:t>
      </w:r>
      <w:r w:rsidR="003E4A1A" w:rsidRPr="00813D19">
        <w:rPr>
          <w:lang w:val="en-US"/>
        </w:rPr>
        <w:t>,</w:t>
      </w:r>
      <w:r w:rsidR="00D91CCF" w:rsidRPr="00813D19">
        <w:rPr>
          <w:lang w:val="en-US"/>
        </w:rPr>
        <w:t xml:space="preserve"> and to foster dialogue and cooperation</w:t>
      </w:r>
      <w:r w:rsidR="003E4A1A" w:rsidRPr="00813D19">
        <w:rPr>
          <w:lang w:val="en-US"/>
        </w:rPr>
        <w:t xml:space="preserve">. It hoped that </w:t>
      </w:r>
      <w:r w:rsidR="00D91CCF" w:rsidRPr="00813D19">
        <w:rPr>
          <w:lang w:val="en-US"/>
        </w:rPr>
        <w:t xml:space="preserve">many </w:t>
      </w:r>
      <w:r w:rsidR="003E4A1A" w:rsidRPr="00813D19">
        <w:rPr>
          <w:lang w:val="en-US"/>
        </w:rPr>
        <w:t xml:space="preserve">other </w:t>
      </w:r>
      <w:r w:rsidR="00D91CCF" w:rsidRPr="00813D19">
        <w:rPr>
          <w:lang w:val="en-US"/>
        </w:rPr>
        <w:t xml:space="preserve">countries </w:t>
      </w:r>
      <w:r w:rsidR="00EF5E3E">
        <w:rPr>
          <w:lang w:val="en-US"/>
        </w:rPr>
        <w:t>would</w:t>
      </w:r>
      <w:r w:rsidR="00EF5E3E" w:rsidRPr="00813D19">
        <w:rPr>
          <w:lang w:val="en-US"/>
        </w:rPr>
        <w:t xml:space="preserve"> </w:t>
      </w:r>
      <w:r w:rsidR="00D91CCF" w:rsidRPr="00813D19">
        <w:rPr>
          <w:lang w:val="en-US"/>
        </w:rPr>
        <w:t xml:space="preserve">follow </w:t>
      </w:r>
      <w:r w:rsidR="003E4A1A" w:rsidRPr="00813D19">
        <w:rPr>
          <w:lang w:val="en-US"/>
        </w:rPr>
        <w:t xml:space="preserve">the </w:t>
      </w:r>
      <w:r w:rsidR="00D91CCF" w:rsidRPr="00813D19">
        <w:rPr>
          <w:lang w:val="en-US"/>
        </w:rPr>
        <w:t xml:space="preserve">invitation to participate in an international exhibition of indigo textiles </w:t>
      </w:r>
      <w:r w:rsidR="003E4A1A" w:rsidRPr="00813D19">
        <w:rPr>
          <w:lang w:val="en-US"/>
        </w:rPr>
        <w:t xml:space="preserve">that </w:t>
      </w:r>
      <w:r w:rsidR="00EF5E3E" w:rsidRPr="00813D19">
        <w:rPr>
          <w:lang w:val="en-US"/>
        </w:rPr>
        <w:t>w</w:t>
      </w:r>
      <w:r w:rsidR="00EF5E3E">
        <w:rPr>
          <w:lang w:val="en-US"/>
        </w:rPr>
        <w:t>ould</w:t>
      </w:r>
      <w:r w:rsidR="00EF5E3E" w:rsidRPr="00813D19">
        <w:rPr>
          <w:lang w:val="en-US"/>
        </w:rPr>
        <w:t xml:space="preserve"> </w:t>
      </w:r>
      <w:r w:rsidR="00D91CCF" w:rsidRPr="00813D19">
        <w:rPr>
          <w:lang w:val="en-US"/>
        </w:rPr>
        <w:t>illustrate the wide range of sustainable blue dyeing techniques developed by generations of artisans in m</w:t>
      </w:r>
      <w:r w:rsidR="003E4A1A" w:rsidRPr="00813D19">
        <w:rPr>
          <w:lang w:val="en-US"/>
        </w:rPr>
        <w:t>any countries around the world.</w:t>
      </w:r>
    </w:p>
    <w:p w14:paraId="380CE2CE" w14:textId="3667033E" w:rsidR="00403760" w:rsidRPr="00813D19" w:rsidRDefault="00403760" w:rsidP="00E72560">
      <w:pPr>
        <w:pStyle w:val="Orateurengris"/>
        <w:numPr>
          <w:ilvl w:val="0"/>
          <w:numId w:val="0"/>
        </w:numPr>
        <w:spacing w:before="240" w:after="240"/>
        <w:jc w:val="center"/>
        <w:rPr>
          <w:rFonts w:eastAsia="Times New Roman"/>
          <w:lang w:val="en-US"/>
        </w:rPr>
      </w:pPr>
      <w:r w:rsidRPr="00813D19">
        <w:rPr>
          <w:i/>
          <w:lang w:val="en-US"/>
        </w:rPr>
        <w:t>[</w:t>
      </w:r>
      <w:r w:rsidR="00BA14F9" w:rsidRPr="00813D19">
        <w:rPr>
          <w:i/>
          <w:lang w:val="en-US"/>
        </w:rPr>
        <w:t>A s</w:t>
      </w:r>
      <w:r w:rsidRPr="00813D19">
        <w:rPr>
          <w:i/>
          <w:lang w:val="en-US"/>
        </w:rPr>
        <w:t>hort film on resist block printing and indigo dyeing</w:t>
      </w:r>
      <w:r w:rsidR="00BA14F9" w:rsidRPr="00813D19">
        <w:rPr>
          <w:i/>
          <w:lang w:val="en-US"/>
        </w:rPr>
        <w:t xml:space="preserve"> was projected</w:t>
      </w:r>
      <w:r w:rsidRPr="00813D19">
        <w:rPr>
          <w:i/>
          <w:lang w:val="en-US"/>
        </w:rPr>
        <w:t>]</w:t>
      </w:r>
    </w:p>
    <w:p w14:paraId="64587462" w14:textId="217D66A2" w:rsidR="00CB3F5F" w:rsidRPr="00E72560" w:rsidRDefault="00CB3F5F" w:rsidP="000C5A26">
      <w:pPr>
        <w:pStyle w:val="Orateurengris"/>
        <w:spacing w:before="120"/>
        <w:ind w:left="709" w:hanging="709"/>
        <w:rPr>
          <w:rFonts w:eastAsia="Times New Roman"/>
          <w:lang w:val="en-US"/>
        </w:rPr>
      </w:pPr>
      <w:r w:rsidRPr="00813D19">
        <w:rPr>
          <w:lang w:val="en-US"/>
        </w:rPr>
        <w:t xml:space="preserve">The </w:t>
      </w:r>
      <w:r w:rsidRPr="00813D19">
        <w:rPr>
          <w:b/>
          <w:lang w:val="en-US"/>
        </w:rPr>
        <w:t>Chairperson</w:t>
      </w:r>
      <w:r w:rsidRPr="00813D19">
        <w:rPr>
          <w:lang w:val="en-US"/>
        </w:rPr>
        <w:t xml:space="preserve"> </w:t>
      </w:r>
      <w:r w:rsidR="00C42671" w:rsidRPr="00813D19">
        <w:rPr>
          <w:bCs/>
          <w:lang w:val="en-US"/>
        </w:rPr>
        <w:t>congratulated</w:t>
      </w:r>
      <w:r w:rsidR="00D91CCF" w:rsidRPr="00813D19">
        <w:rPr>
          <w:bCs/>
          <w:lang w:val="en-US"/>
        </w:rPr>
        <w:t xml:space="preserve"> </w:t>
      </w:r>
      <w:r w:rsidR="00C42671" w:rsidRPr="00813D19">
        <w:rPr>
          <w:bCs/>
          <w:lang w:val="en-US"/>
        </w:rPr>
        <w:t xml:space="preserve">the States and then turned to </w:t>
      </w:r>
      <w:r w:rsidR="00D91CCF" w:rsidRPr="00813D19">
        <w:rPr>
          <w:bCs/>
          <w:lang w:val="en-US"/>
        </w:rPr>
        <w:t xml:space="preserve">the examination of the nomination of </w:t>
      </w:r>
      <w:r w:rsidR="00D91CCF" w:rsidRPr="00813D19">
        <w:rPr>
          <w:lang w:val="en-US"/>
        </w:rPr>
        <w:t xml:space="preserve">Heritage of Dede Qorqud/Korkyt Ata/Dede Korkut, epic culture, folk tales and music </w:t>
      </w:r>
      <w:r w:rsidR="003B473A" w:rsidRPr="00813D19">
        <w:rPr>
          <w:lang w:val="en-US"/>
        </w:rPr>
        <w:t xml:space="preserve">in </w:t>
      </w:r>
      <w:r w:rsidR="00D91CCF" w:rsidRPr="00813D19">
        <w:rPr>
          <w:lang w:val="en-US"/>
        </w:rPr>
        <w:t>a joint submission by Aze</w:t>
      </w:r>
      <w:r w:rsidR="00E72560">
        <w:rPr>
          <w:lang w:val="en-US"/>
        </w:rPr>
        <w:t>rbaijan, Kazakhstan and Turkey.</w:t>
      </w:r>
    </w:p>
    <w:p w14:paraId="22C49567" w14:textId="642B1AD1" w:rsidR="000A650F" w:rsidRPr="00813D19" w:rsidRDefault="000C5A26" w:rsidP="00E72560">
      <w:pPr>
        <w:pStyle w:val="Orateurengris"/>
        <w:spacing w:before="120"/>
        <w:ind w:left="709" w:hanging="709"/>
        <w:rPr>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 of the Evaluation Body</w:t>
      </w:r>
      <w:r w:rsidRPr="00813D19">
        <w:rPr>
          <w:color w:val="000000" w:themeColor="text1"/>
          <w:lang w:val="en-US"/>
        </w:rPr>
        <w:t xml:space="preserve"> turned to the next nomination</w:t>
      </w:r>
      <w:r w:rsidR="00234330">
        <w:rPr>
          <w:color w:val="000000" w:themeColor="text1"/>
          <w:lang w:val="en-US"/>
        </w:rPr>
        <w:t>,</w:t>
      </w:r>
      <w:r w:rsidRPr="00813D19">
        <w:rPr>
          <w:color w:val="000000" w:themeColor="text1"/>
          <w:lang w:val="en-US"/>
        </w:rPr>
        <w:t xml:space="preserve"> </w:t>
      </w:r>
      <w:r w:rsidRPr="00813D19">
        <w:rPr>
          <w:b/>
          <w:snapToGrid/>
          <w:color w:val="000000" w:themeColor="text1"/>
          <w:lang w:val="en-US"/>
        </w:rPr>
        <w:t>Heritage of Dede Qorqud/Korkyt Ata/Dede Korkut, epic culture, folk tales and musi</w:t>
      </w:r>
      <w:r w:rsidR="00124F17" w:rsidRPr="00813D19">
        <w:rPr>
          <w:b/>
          <w:snapToGrid/>
          <w:color w:val="000000" w:themeColor="text1"/>
          <w:lang w:val="en-US"/>
        </w:rPr>
        <w:t>c</w:t>
      </w:r>
      <w:r w:rsidRPr="00813D19">
        <w:rPr>
          <w:color w:val="000000" w:themeColor="text1"/>
          <w:lang w:val="en-US"/>
        </w:rPr>
        <w:t xml:space="preserve"> [draft decision</w:t>
      </w:r>
      <w:r w:rsidRPr="00813D19">
        <w:rPr>
          <w:b/>
          <w:color w:val="000000" w:themeColor="text1"/>
          <w:lang w:val="en-US"/>
        </w:rPr>
        <w:t xml:space="preserve"> </w:t>
      </w:r>
      <w:r w:rsidRPr="00813D19">
        <w:rPr>
          <w:color w:val="000000" w:themeColor="text1"/>
          <w:lang w:val="en-US"/>
        </w:rPr>
        <w:t>13.COM 10.b.3]</w:t>
      </w:r>
      <w:r w:rsidR="00234330">
        <w:rPr>
          <w:color w:val="000000" w:themeColor="text1"/>
          <w:lang w:val="en-US"/>
        </w:rPr>
        <w:t>,</w:t>
      </w:r>
      <w:r w:rsidRPr="00E72560">
        <w:rPr>
          <w:bCs/>
          <w:color w:val="000000" w:themeColor="text1"/>
          <w:lang w:val="en-US"/>
        </w:rPr>
        <w:t xml:space="preserve"> </w:t>
      </w:r>
      <w:r w:rsidRPr="00813D19">
        <w:rPr>
          <w:lang w:val="en-US"/>
        </w:rPr>
        <w:t xml:space="preserve">submitted by </w:t>
      </w:r>
      <w:r w:rsidRPr="00813D19">
        <w:rPr>
          <w:b/>
          <w:lang w:val="en-US"/>
        </w:rPr>
        <w:t>Azerbaijan, Kazakhstan</w:t>
      </w:r>
      <w:r w:rsidR="00234330">
        <w:rPr>
          <w:b/>
          <w:lang w:val="en-US"/>
        </w:rPr>
        <w:t xml:space="preserve"> and</w:t>
      </w:r>
      <w:r w:rsidRPr="00813D19">
        <w:rPr>
          <w:b/>
          <w:lang w:val="en-US"/>
        </w:rPr>
        <w:t xml:space="preserve"> Turkey</w:t>
      </w:r>
      <w:r w:rsidRPr="00813D19">
        <w:rPr>
          <w:lang w:val="en-US"/>
        </w:rPr>
        <w:t xml:space="preserve">. </w:t>
      </w:r>
      <w:r w:rsidR="000A650F" w:rsidRPr="00813D19">
        <w:rPr>
          <w:lang w:val="en-US"/>
        </w:rPr>
        <w:t xml:space="preserve">The Heritage of Dede Qorqud is centred on </w:t>
      </w:r>
      <w:r w:rsidR="00234330">
        <w:rPr>
          <w:lang w:val="en-US"/>
        </w:rPr>
        <w:t>twelve</w:t>
      </w:r>
      <w:r w:rsidR="00234330" w:rsidRPr="00813D19">
        <w:rPr>
          <w:lang w:val="en-US"/>
        </w:rPr>
        <w:t xml:space="preserve"> </w:t>
      </w:r>
      <w:r w:rsidR="000A650F" w:rsidRPr="00813D19">
        <w:rPr>
          <w:lang w:val="en-US"/>
        </w:rPr>
        <w:t>heroic legends, stories and tales</w:t>
      </w:r>
      <w:r w:rsidR="00267F4D" w:rsidRPr="00813D19">
        <w:rPr>
          <w:lang w:val="en-US"/>
        </w:rPr>
        <w:t>,</w:t>
      </w:r>
      <w:r w:rsidR="000A650F" w:rsidRPr="00813D19">
        <w:rPr>
          <w:lang w:val="en-US"/>
        </w:rPr>
        <w:t xml:space="preserve"> and </w:t>
      </w:r>
      <w:r w:rsidR="00234330">
        <w:rPr>
          <w:lang w:val="en-US"/>
        </w:rPr>
        <w:t>thirteen</w:t>
      </w:r>
      <w:r w:rsidR="00267F4D" w:rsidRPr="00813D19">
        <w:rPr>
          <w:lang w:val="en-US"/>
        </w:rPr>
        <w:t xml:space="preserve"> </w:t>
      </w:r>
      <w:r w:rsidR="000A650F" w:rsidRPr="00813D19">
        <w:rPr>
          <w:lang w:val="en-US"/>
        </w:rPr>
        <w:t>traditional musical compositions shared and transmitted across the generations through oral expressions, performing arts, cultural codes and musical compositions. It is practised and sustained by the community concerned on a wide variety of occasions during family events</w:t>
      </w:r>
      <w:r w:rsidR="00234330">
        <w:rPr>
          <w:lang w:val="en-US"/>
        </w:rPr>
        <w:t xml:space="preserve"> and</w:t>
      </w:r>
      <w:r w:rsidR="000A650F" w:rsidRPr="00813D19">
        <w:rPr>
          <w:lang w:val="en-US"/>
        </w:rPr>
        <w:t xml:space="preserve"> national and international festivals. From the information included in th</w:t>
      </w:r>
      <w:r w:rsidR="005559D7" w:rsidRPr="00813D19">
        <w:rPr>
          <w:lang w:val="en-US"/>
        </w:rPr>
        <w:t>e file, the nomination satisfied</w:t>
      </w:r>
      <w:r w:rsidR="000A650F" w:rsidRPr="00813D19">
        <w:rPr>
          <w:lang w:val="en-US"/>
        </w:rPr>
        <w:t xml:space="preserve"> all five criteria. The Evaluation Body considered that Heritage of Dede Qorqud conveys the history and common values of Turkic-speaking communities, thereby contributing to their sense of identity and belonging. The element symbolizes a strong tool for transferring the values of courage, mutual respect and tolerance to younger generations as it stimulates exchanges and enhances intercultural cooperation among countries which identify themselves with the cross-border practice. The proposed shared safeguarding plan involved close cooperation between the communities of practitioners represented by relevant NGOs and state authorities to be implemented jointly and at the national level. The nomination was initiated by the communities and bearers in collaboration with NGOs and national authorities during various discussions through a series of working group meetings. The Evaluation Body </w:t>
      </w:r>
      <w:r w:rsidR="005559D7" w:rsidRPr="00813D19">
        <w:rPr>
          <w:lang w:val="en-US"/>
        </w:rPr>
        <w:t>took</w:t>
      </w:r>
      <w:r w:rsidR="000A650F" w:rsidRPr="00813D19">
        <w:rPr>
          <w:lang w:val="en-US"/>
        </w:rPr>
        <w:t xml:space="preserve"> note of the speed of the nomination process (six weeks) desc</w:t>
      </w:r>
      <w:r w:rsidR="005559D7" w:rsidRPr="00813D19">
        <w:rPr>
          <w:lang w:val="en-US"/>
        </w:rPr>
        <w:t>ribed in the file and encouraged</w:t>
      </w:r>
      <w:r w:rsidR="000A650F" w:rsidRPr="00813D19">
        <w:rPr>
          <w:lang w:val="en-US"/>
        </w:rPr>
        <w:t xml:space="preserve"> submitting States, for future nominations, to allow sufficient time for deep and wide community participation in the process.</w:t>
      </w:r>
      <w:r w:rsidR="005559D7" w:rsidRPr="00813D19">
        <w:rPr>
          <w:lang w:val="en-US"/>
        </w:rPr>
        <w:t xml:space="preserve"> The Evaluation Body recommended</w:t>
      </w:r>
      <w:r w:rsidR="000A650F" w:rsidRPr="00813D19">
        <w:rPr>
          <w:lang w:val="en-US"/>
        </w:rPr>
        <w:t xml:space="preserve"> that the Committee inscribe Heritage of Dede</w:t>
      </w:r>
      <w:r w:rsidR="00E72560">
        <w:rPr>
          <w:lang w:val="en-US"/>
        </w:rPr>
        <w:t xml:space="preserve"> </w:t>
      </w:r>
      <w:r w:rsidR="000A650F" w:rsidRPr="00813D19">
        <w:rPr>
          <w:lang w:val="en-US"/>
        </w:rPr>
        <w:t>Qorqud/Korkyt</w:t>
      </w:r>
      <w:r w:rsidR="00E72560">
        <w:rPr>
          <w:lang w:val="en-US"/>
        </w:rPr>
        <w:t xml:space="preserve"> </w:t>
      </w:r>
      <w:r w:rsidR="000A650F" w:rsidRPr="00813D19">
        <w:rPr>
          <w:lang w:val="en-US"/>
        </w:rPr>
        <w:t>Ata/Dede</w:t>
      </w:r>
      <w:r w:rsidR="00E72560">
        <w:rPr>
          <w:lang w:val="en-US"/>
        </w:rPr>
        <w:t xml:space="preserve"> </w:t>
      </w:r>
      <w:r w:rsidR="000A650F" w:rsidRPr="00813D19">
        <w:rPr>
          <w:lang w:val="en-US"/>
        </w:rPr>
        <w:t>Korkut, epic culture, folk tales and music on the Representative List.</w:t>
      </w:r>
    </w:p>
    <w:p w14:paraId="4BFF3E50" w14:textId="77777777" w:rsidR="00EC4A94" w:rsidRPr="00813D19" w:rsidRDefault="00EC4A94" w:rsidP="00EC4A94">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745CE941" w14:textId="5EB034AB" w:rsidR="00DF7D7B" w:rsidRPr="00E72560" w:rsidRDefault="00DF7D7B" w:rsidP="003E4A1A">
      <w:pPr>
        <w:pStyle w:val="Orateurengris"/>
        <w:spacing w:before="120"/>
        <w:ind w:left="709" w:hanging="709"/>
        <w:rPr>
          <w:rFonts w:eastAsia="Times New Roman"/>
          <w:lang w:val="en-US"/>
        </w:rPr>
      </w:pPr>
      <w:r w:rsidRPr="00813D19">
        <w:rPr>
          <w:lang w:val="en-US"/>
        </w:rPr>
        <w:t xml:space="preserve">The </w:t>
      </w:r>
      <w:r w:rsidRPr="00813D19">
        <w:rPr>
          <w:b/>
          <w:lang w:val="en-US"/>
        </w:rPr>
        <w:t>delegation of Armenia</w:t>
      </w:r>
      <w:r w:rsidR="00AD1458" w:rsidRPr="00813D19">
        <w:rPr>
          <w:b/>
          <w:lang w:val="en-US"/>
        </w:rPr>
        <w:t xml:space="preserve"> </w:t>
      </w:r>
      <w:r w:rsidR="003E4A1A" w:rsidRPr="00813D19">
        <w:rPr>
          <w:lang w:val="en-US"/>
        </w:rPr>
        <w:t>regretted</w:t>
      </w:r>
      <w:r w:rsidR="003E4A1A" w:rsidRPr="00813D19">
        <w:rPr>
          <w:rFonts w:ascii="Times New Roman" w:eastAsia="Times New Roman" w:hAnsi="Times New Roman" w:cs="Times New Roman"/>
          <w:sz w:val="24"/>
          <w:szCs w:val="24"/>
          <w:lang w:val="en-US"/>
        </w:rPr>
        <w:t xml:space="preserve"> </w:t>
      </w:r>
      <w:r w:rsidR="003E4A1A" w:rsidRPr="00813D19">
        <w:rPr>
          <w:lang w:val="en-US"/>
        </w:rPr>
        <w:t xml:space="preserve">to </w:t>
      </w:r>
      <w:r w:rsidR="001E2E17" w:rsidRPr="00813D19">
        <w:rPr>
          <w:lang w:val="en-US"/>
        </w:rPr>
        <w:t>have to take the floor again</w:t>
      </w:r>
      <w:r w:rsidR="003E4A1A" w:rsidRPr="00813D19">
        <w:rPr>
          <w:lang w:val="en-US"/>
        </w:rPr>
        <w:t xml:space="preserve"> but wished </w:t>
      </w:r>
      <w:r w:rsidR="001E2E17" w:rsidRPr="00813D19">
        <w:rPr>
          <w:lang w:val="en-US"/>
        </w:rPr>
        <w:t xml:space="preserve">to make </w:t>
      </w:r>
      <w:r w:rsidR="003E4A1A" w:rsidRPr="00813D19">
        <w:rPr>
          <w:lang w:val="en-US"/>
        </w:rPr>
        <w:t xml:space="preserve">a </w:t>
      </w:r>
      <w:r w:rsidR="001E2E17" w:rsidRPr="00813D19">
        <w:rPr>
          <w:lang w:val="en-US"/>
        </w:rPr>
        <w:t>statement rega</w:t>
      </w:r>
      <w:r w:rsidR="003E4A1A" w:rsidRPr="00813D19">
        <w:rPr>
          <w:lang w:val="en-US"/>
        </w:rPr>
        <w:t xml:space="preserve">rding </w:t>
      </w:r>
      <w:r w:rsidR="001E2E17" w:rsidRPr="00813D19">
        <w:rPr>
          <w:lang w:val="en-US"/>
        </w:rPr>
        <w:t xml:space="preserve">the content submitted by Azerbaijan </w:t>
      </w:r>
      <w:r w:rsidR="003E4A1A" w:rsidRPr="00813D19">
        <w:rPr>
          <w:lang w:val="en-US"/>
        </w:rPr>
        <w:t>in paragraph d. and paragraph 5 (vi</w:t>
      </w:r>
      <w:r w:rsidR="001E2E17" w:rsidRPr="00813D19">
        <w:rPr>
          <w:lang w:val="en-US"/>
        </w:rPr>
        <w:t>)</w:t>
      </w:r>
      <w:r w:rsidR="00BB75DB" w:rsidRPr="00813D19">
        <w:rPr>
          <w:lang w:val="en-US"/>
        </w:rPr>
        <w:t xml:space="preserve"> of the nomination form</w:t>
      </w:r>
      <w:r w:rsidR="001E2E17" w:rsidRPr="00813D19">
        <w:rPr>
          <w:lang w:val="en-US"/>
        </w:rPr>
        <w:t xml:space="preserve">. The provocative reference to some regions </w:t>
      </w:r>
      <w:r w:rsidR="00234330">
        <w:rPr>
          <w:lang w:val="en-US"/>
        </w:rPr>
        <w:t>t</w:t>
      </w:r>
      <w:r w:rsidR="001E2E17" w:rsidRPr="00813D19">
        <w:rPr>
          <w:lang w:val="en-US"/>
        </w:rPr>
        <w:t>herein</w:t>
      </w:r>
      <w:r w:rsidR="003E4A1A" w:rsidRPr="00813D19">
        <w:rPr>
          <w:lang w:val="en-US"/>
        </w:rPr>
        <w:t>,</w:t>
      </w:r>
      <w:r w:rsidR="001E2E17" w:rsidRPr="00813D19">
        <w:rPr>
          <w:lang w:val="en-US"/>
        </w:rPr>
        <w:t xml:space="preserve"> </w:t>
      </w:r>
      <w:r w:rsidR="003E4A1A" w:rsidRPr="00813D19">
        <w:rPr>
          <w:lang w:val="en-US"/>
        </w:rPr>
        <w:t xml:space="preserve">Karabakh </w:t>
      </w:r>
      <w:r w:rsidR="001E2E17" w:rsidRPr="00813D19">
        <w:rPr>
          <w:lang w:val="en-US"/>
        </w:rPr>
        <w:t>and others</w:t>
      </w:r>
      <w:r w:rsidR="003E4A1A" w:rsidRPr="00813D19">
        <w:rPr>
          <w:lang w:val="en-US"/>
        </w:rPr>
        <w:t>,</w:t>
      </w:r>
      <w:r w:rsidR="001E2E17" w:rsidRPr="00813D19">
        <w:rPr>
          <w:lang w:val="en-US"/>
        </w:rPr>
        <w:t xml:space="preserve"> </w:t>
      </w:r>
      <w:r w:rsidR="003E4A1A" w:rsidRPr="00813D19">
        <w:rPr>
          <w:lang w:val="en-US"/>
        </w:rPr>
        <w:t>gave</w:t>
      </w:r>
      <w:r w:rsidR="001E2E17" w:rsidRPr="00813D19">
        <w:rPr>
          <w:lang w:val="en-US"/>
        </w:rPr>
        <w:t xml:space="preserve"> a clear political connotation to the Azerbaijani part of the nomination</w:t>
      </w:r>
      <w:r w:rsidR="003E4A1A" w:rsidRPr="00813D19">
        <w:rPr>
          <w:lang w:val="en-US"/>
        </w:rPr>
        <w:t>,</w:t>
      </w:r>
      <w:r w:rsidR="001E2E17" w:rsidRPr="00813D19">
        <w:rPr>
          <w:lang w:val="en-US"/>
        </w:rPr>
        <w:t xml:space="preserve"> thus revealing </w:t>
      </w:r>
      <w:r w:rsidR="003E4A1A" w:rsidRPr="00813D19">
        <w:rPr>
          <w:lang w:val="en-US"/>
        </w:rPr>
        <w:t>its real motivation. It was mentioned that the element is practis</w:t>
      </w:r>
      <w:r w:rsidR="001E2E17" w:rsidRPr="00813D19">
        <w:rPr>
          <w:lang w:val="en-US"/>
        </w:rPr>
        <w:t xml:space="preserve">ed and transmitted by communities in this region and that the file was prepared with the participation of </w:t>
      </w:r>
      <w:r w:rsidR="003E4A1A" w:rsidRPr="00813D19">
        <w:rPr>
          <w:lang w:val="en-US"/>
        </w:rPr>
        <w:t xml:space="preserve">a </w:t>
      </w:r>
      <w:r w:rsidR="001E2E17" w:rsidRPr="00813D19">
        <w:rPr>
          <w:lang w:val="en-US"/>
        </w:rPr>
        <w:t>number of these communities</w:t>
      </w:r>
      <w:r w:rsidR="003E4A1A" w:rsidRPr="00813D19">
        <w:rPr>
          <w:lang w:val="en-US"/>
        </w:rPr>
        <w:t>,</w:t>
      </w:r>
      <w:r w:rsidR="001E2E17" w:rsidRPr="00813D19">
        <w:rPr>
          <w:lang w:val="en-US"/>
        </w:rPr>
        <w:t xml:space="preserve"> but </w:t>
      </w:r>
      <w:r w:rsidR="00234330">
        <w:rPr>
          <w:lang w:val="en-US"/>
        </w:rPr>
        <w:t xml:space="preserve">it only </w:t>
      </w:r>
      <w:r w:rsidR="001E2E17" w:rsidRPr="00813D19">
        <w:rPr>
          <w:lang w:val="en-US"/>
        </w:rPr>
        <w:t xml:space="preserve">presents </w:t>
      </w:r>
      <w:r w:rsidR="00234330">
        <w:rPr>
          <w:lang w:val="en-US"/>
        </w:rPr>
        <w:t>the</w:t>
      </w:r>
      <w:r w:rsidR="00234330" w:rsidRPr="00813D19">
        <w:rPr>
          <w:lang w:val="en-US"/>
        </w:rPr>
        <w:t xml:space="preserve"> </w:t>
      </w:r>
      <w:r w:rsidR="001E2E17" w:rsidRPr="00813D19">
        <w:rPr>
          <w:lang w:val="en-US"/>
        </w:rPr>
        <w:t>consent letters of three NGOs and none from the communities</w:t>
      </w:r>
      <w:r w:rsidR="00234330" w:rsidRPr="00234330">
        <w:rPr>
          <w:lang w:val="en-US"/>
        </w:rPr>
        <w:t xml:space="preserve"> </w:t>
      </w:r>
      <w:r w:rsidR="00234330" w:rsidRPr="00813D19">
        <w:rPr>
          <w:lang w:val="en-US"/>
        </w:rPr>
        <w:t>mentioned</w:t>
      </w:r>
      <w:r w:rsidR="001E2E17" w:rsidRPr="00813D19">
        <w:rPr>
          <w:lang w:val="en-US"/>
        </w:rPr>
        <w:t xml:space="preserve">. With due respect to the </w:t>
      </w:r>
      <w:r w:rsidR="003E4A1A" w:rsidRPr="00813D19">
        <w:rPr>
          <w:lang w:val="en-US"/>
        </w:rPr>
        <w:t xml:space="preserve">experts </w:t>
      </w:r>
      <w:r w:rsidR="001E2E17" w:rsidRPr="00813D19">
        <w:rPr>
          <w:lang w:val="en-US"/>
        </w:rPr>
        <w:t>of the Evaluation Body</w:t>
      </w:r>
      <w:r w:rsidR="003E4A1A" w:rsidRPr="00813D19">
        <w:rPr>
          <w:lang w:val="en-US"/>
        </w:rPr>
        <w:t>,</w:t>
      </w:r>
      <w:r w:rsidR="001E2E17" w:rsidRPr="00813D19">
        <w:rPr>
          <w:lang w:val="en-US"/>
        </w:rPr>
        <w:t xml:space="preserve"> </w:t>
      </w:r>
      <w:r w:rsidR="003E4A1A" w:rsidRPr="00813D19">
        <w:rPr>
          <w:lang w:val="en-US"/>
        </w:rPr>
        <w:t xml:space="preserve">the delegation </w:t>
      </w:r>
      <w:r w:rsidR="001E2E17" w:rsidRPr="00813D19">
        <w:rPr>
          <w:lang w:val="en-US"/>
        </w:rPr>
        <w:t>encourage</w:t>
      </w:r>
      <w:r w:rsidR="003E4A1A" w:rsidRPr="00813D19">
        <w:rPr>
          <w:lang w:val="en-US"/>
        </w:rPr>
        <w:t>d</w:t>
      </w:r>
      <w:r w:rsidR="001E2E17" w:rsidRPr="00813D19">
        <w:rPr>
          <w:lang w:val="en-US"/>
        </w:rPr>
        <w:t xml:space="preserve"> them to carefully examine community involvement, </w:t>
      </w:r>
      <w:r w:rsidR="003E4A1A" w:rsidRPr="00813D19">
        <w:rPr>
          <w:lang w:val="en-US"/>
        </w:rPr>
        <w:t xml:space="preserve">the </w:t>
      </w:r>
      <w:r w:rsidR="001E2E17" w:rsidRPr="00813D19">
        <w:rPr>
          <w:lang w:val="en-US"/>
        </w:rPr>
        <w:t>absence of the consent letters</w:t>
      </w:r>
      <w:r w:rsidR="003E4A1A" w:rsidRPr="00813D19">
        <w:rPr>
          <w:lang w:val="en-US"/>
        </w:rPr>
        <w:t>,</w:t>
      </w:r>
      <w:r w:rsidR="001E2E17" w:rsidRPr="00813D19">
        <w:rPr>
          <w:lang w:val="en-US"/>
        </w:rPr>
        <w:t xml:space="preserve"> and other very sensitive issues </w:t>
      </w:r>
      <w:r w:rsidR="003E4A1A" w:rsidRPr="00813D19">
        <w:rPr>
          <w:lang w:val="en-US"/>
        </w:rPr>
        <w:t xml:space="preserve">when </w:t>
      </w:r>
      <w:r w:rsidR="001E2E17" w:rsidRPr="00813D19">
        <w:rPr>
          <w:lang w:val="en-US"/>
        </w:rPr>
        <w:t>considering file</w:t>
      </w:r>
      <w:r w:rsidR="00D80337" w:rsidRPr="00813D19">
        <w:rPr>
          <w:lang w:val="en-US"/>
        </w:rPr>
        <w:t>s</w:t>
      </w:r>
      <w:r w:rsidR="001E2E17" w:rsidRPr="00813D19">
        <w:rPr>
          <w:lang w:val="en-US"/>
        </w:rPr>
        <w:t>. Unfortunately</w:t>
      </w:r>
      <w:r w:rsidR="003E4A1A" w:rsidRPr="00813D19">
        <w:rPr>
          <w:lang w:val="en-US"/>
        </w:rPr>
        <w:t>,</w:t>
      </w:r>
      <w:r w:rsidR="001E2E17" w:rsidRPr="00813D19">
        <w:rPr>
          <w:lang w:val="en-US"/>
        </w:rPr>
        <w:t xml:space="preserve"> this issue </w:t>
      </w:r>
      <w:r w:rsidR="00234330">
        <w:rPr>
          <w:lang w:val="en-US"/>
        </w:rPr>
        <w:t>would</w:t>
      </w:r>
      <w:r w:rsidR="00234330" w:rsidRPr="00813D19">
        <w:rPr>
          <w:lang w:val="en-US"/>
        </w:rPr>
        <w:t xml:space="preserve"> </w:t>
      </w:r>
      <w:r w:rsidR="00AA74C3" w:rsidRPr="00813D19">
        <w:rPr>
          <w:lang w:val="en-US"/>
        </w:rPr>
        <w:t>result</w:t>
      </w:r>
      <w:r w:rsidR="001E2E17" w:rsidRPr="00813D19">
        <w:rPr>
          <w:lang w:val="en-US"/>
        </w:rPr>
        <w:t xml:space="preserve"> in future political and biased reports and </w:t>
      </w:r>
      <w:r w:rsidR="00AA74C3" w:rsidRPr="00813D19">
        <w:rPr>
          <w:lang w:val="en-US"/>
        </w:rPr>
        <w:t xml:space="preserve">an </w:t>
      </w:r>
      <w:r w:rsidR="001E2E17" w:rsidRPr="00813D19">
        <w:rPr>
          <w:lang w:val="en-US"/>
        </w:rPr>
        <w:t xml:space="preserve">overall misuse of the UNESCO platform for extending dividing lines as a sphere of culture </w:t>
      </w:r>
      <w:r w:rsidR="00AA74C3" w:rsidRPr="00813D19">
        <w:rPr>
          <w:lang w:val="en-US"/>
        </w:rPr>
        <w:t xml:space="preserve">and </w:t>
      </w:r>
      <w:r w:rsidR="001E2E17" w:rsidRPr="00813D19">
        <w:rPr>
          <w:lang w:val="en-US"/>
        </w:rPr>
        <w:t xml:space="preserve">for building bridges of peace. </w:t>
      </w:r>
      <w:r w:rsidR="003E4A1A" w:rsidRPr="00813D19">
        <w:rPr>
          <w:lang w:val="en-US"/>
        </w:rPr>
        <w:t xml:space="preserve">The delegation was </w:t>
      </w:r>
      <w:r w:rsidR="001E2E17" w:rsidRPr="00813D19">
        <w:rPr>
          <w:lang w:val="en-US"/>
        </w:rPr>
        <w:t xml:space="preserve">surprised to see inconsistency and factual errors in </w:t>
      </w:r>
      <w:r w:rsidR="003E4A1A" w:rsidRPr="00813D19">
        <w:rPr>
          <w:lang w:val="en-US"/>
        </w:rPr>
        <w:t xml:space="preserve">the </w:t>
      </w:r>
      <w:r w:rsidR="001E2E17" w:rsidRPr="00813D19">
        <w:rPr>
          <w:lang w:val="en-US"/>
        </w:rPr>
        <w:t>n</w:t>
      </w:r>
      <w:r w:rsidR="003E4A1A" w:rsidRPr="00813D19">
        <w:rPr>
          <w:lang w:val="en-US"/>
        </w:rPr>
        <w:t xml:space="preserve">ominations and reports of this State in </w:t>
      </w:r>
      <w:r w:rsidR="001E2E17" w:rsidRPr="00813D19">
        <w:rPr>
          <w:lang w:val="en-US"/>
        </w:rPr>
        <w:t xml:space="preserve">areas they claim </w:t>
      </w:r>
      <w:r w:rsidR="003E4A1A" w:rsidRPr="00813D19">
        <w:rPr>
          <w:lang w:val="en-US"/>
        </w:rPr>
        <w:t xml:space="preserve">to </w:t>
      </w:r>
      <w:r w:rsidR="001E2E17" w:rsidRPr="00813D19">
        <w:rPr>
          <w:lang w:val="en-US"/>
        </w:rPr>
        <w:t>have no access</w:t>
      </w:r>
      <w:r w:rsidR="00AA74C3" w:rsidRPr="00813D19">
        <w:rPr>
          <w:lang w:val="en-US"/>
        </w:rPr>
        <w:t>,</w:t>
      </w:r>
      <w:r w:rsidR="001E2E17" w:rsidRPr="00813D19">
        <w:rPr>
          <w:lang w:val="en-US"/>
        </w:rPr>
        <w:t xml:space="preserve"> </w:t>
      </w:r>
      <w:r w:rsidR="00AA74C3" w:rsidRPr="00813D19">
        <w:rPr>
          <w:lang w:val="en-US"/>
        </w:rPr>
        <w:t xml:space="preserve">as </w:t>
      </w:r>
      <w:r w:rsidR="001E2E17" w:rsidRPr="00813D19">
        <w:rPr>
          <w:lang w:val="en-US"/>
        </w:rPr>
        <w:t>mentioned in their Chovqan report</w:t>
      </w:r>
      <w:r w:rsidR="00AA74C3" w:rsidRPr="00813D19">
        <w:rPr>
          <w:lang w:val="en-US"/>
        </w:rPr>
        <w:t>,</w:t>
      </w:r>
      <w:r w:rsidR="001E2E17" w:rsidRPr="00813D19">
        <w:rPr>
          <w:lang w:val="en-US"/>
        </w:rPr>
        <w:t xml:space="preserve"> </w:t>
      </w:r>
      <w:r w:rsidR="00AA74C3" w:rsidRPr="00813D19">
        <w:rPr>
          <w:lang w:val="en-US"/>
        </w:rPr>
        <w:t xml:space="preserve">but now </w:t>
      </w:r>
      <w:r w:rsidR="001E2E17" w:rsidRPr="00813D19">
        <w:rPr>
          <w:lang w:val="en-US"/>
        </w:rPr>
        <w:t>present</w:t>
      </w:r>
      <w:r w:rsidR="00AA74C3" w:rsidRPr="00813D19">
        <w:rPr>
          <w:lang w:val="en-US"/>
        </w:rPr>
        <w:t>ed</w:t>
      </w:r>
      <w:r w:rsidR="001E2E17" w:rsidRPr="00813D19">
        <w:rPr>
          <w:lang w:val="en-US"/>
        </w:rPr>
        <w:t xml:space="preserve"> the participation and involv</w:t>
      </w:r>
      <w:r w:rsidR="00D80337" w:rsidRPr="00813D19">
        <w:rPr>
          <w:lang w:val="en-US"/>
        </w:rPr>
        <w:t>ement of these communities. The delegation remarked that [</w:t>
      </w:r>
      <w:r w:rsidR="00813D19" w:rsidRPr="00813D19">
        <w:rPr>
          <w:lang w:val="en-US"/>
        </w:rPr>
        <w:t>Azerbaijan</w:t>
      </w:r>
      <w:r w:rsidR="00D80337" w:rsidRPr="00813D19">
        <w:rPr>
          <w:lang w:val="en-US"/>
        </w:rPr>
        <w:t xml:space="preserve">] </w:t>
      </w:r>
      <w:r w:rsidR="001E2E17" w:rsidRPr="00813D19">
        <w:rPr>
          <w:lang w:val="en-US"/>
        </w:rPr>
        <w:t>need</w:t>
      </w:r>
      <w:r w:rsidR="00AA74C3" w:rsidRPr="00813D19">
        <w:rPr>
          <w:lang w:val="en-US"/>
        </w:rPr>
        <w:t>ed</w:t>
      </w:r>
      <w:r w:rsidR="001E2E17" w:rsidRPr="00813D19">
        <w:rPr>
          <w:lang w:val="en-US"/>
        </w:rPr>
        <w:t xml:space="preserve"> to make up </w:t>
      </w:r>
      <w:r w:rsidR="00D80337" w:rsidRPr="00813D19">
        <w:rPr>
          <w:lang w:val="en-US"/>
        </w:rPr>
        <w:t xml:space="preserve">its </w:t>
      </w:r>
      <w:r w:rsidR="001E2E17" w:rsidRPr="00813D19">
        <w:rPr>
          <w:lang w:val="en-US"/>
        </w:rPr>
        <w:t xml:space="preserve">mind and </w:t>
      </w:r>
      <w:r w:rsidR="00D80337" w:rsidRPr="00813D19">
        <w:rPr>
          <w:lang w:val="en-US"/>
        </w:rPr>
        <w:t xml:space="preserve">cease </w:t>
      </w:r>
      <w:r w:rsidR="001E2E17" w:rsidRPr="00813D19">
        <w:rPr>
          <w:lang w:val="en-US"/>
        </w:rPr>
        <w:t xml:space="preserve">manipulating the Committee and the Evaluation Body </w:t>
      </w:r>
      <w:r w:rsidR="00D80337" w:rsidRPr="00813D19">
        <w:rPr>
          <w:lang w:val="en-US"/>
        </w:rPr>
        <w:t xml:space="preserve">by </w:t>
      </w:r>
      <w:r w:rsidR="001E2E17" w:rsidRPr="00813D19">
        <w:rPr>
          <w:lang w:val="en-US"/>
        </w:rPr>
        <w:t xml:space="preserve">falsifying the facts. </w:t>
      </w:r>
      <w:r w:rsidR="00D80337" w:rsidRPr="00813D19">
        <w:rPr>
          <w:lang w:val="en-US"/>
        </w:rPr>
        <w:t xml:space="preserve">It </w:t>
      </w:r>
      <w:r w:rsidR="001E2E17" w:rsidRPr="00813D19">
        <w:rPr>
          <w:lang w:val="en-US"/>
        </w:rPr>
        <w:t>note</w:t>
      </w:r>
      <w:r w:rsidR="00AA74C3" w:rsidRPr="00813D19">
        <w:rPr>
          <w:lang w:val="en-US"/>
        </w:rPr>
        <w:t>d</w:t>
      </w:r>
      <w:r w:rsidR="001E2E17" w:rsidRPr="00813D19">
        <w:rPr>
          <w:lang w:val="en-US"/>
        </w:rPr>
        <w:t xml:space="preserve"> that this nominat</w:t>
      </w:r>
      <w:r w:rsidR="00AA74C3" w:rsidRPr="00813D19">
        <w:rPr>
          <w:lang w:val="en-US"/>
        </w:rPr>
        <w:t>ion contained</w:t>
      </w:r>
      <w:r w:rsidR="001E2E17" w:rsidRPr="00813D19">
        <w:rPr>
          <w:lang w:val="en-US"/>
        </w:rPr>
        <w:t xml:space="preserve"> politicized and very sensitive sections, which </w:t>
      </w:r>
      <w:r w:rsidR="00234330">
        <w:rPr>
          <w:lang w:val="en-US"/>
        </w:rPr>
        <w:t>would</w:t>
      </w:r>
      <w:r w:rsidR="00234330" w:rsidRPr="00813D19">
        <w:rPr>
          <w:lang w:val="en-US"/>
        </w:rPr>
        <w:t xml:space="preserve"> </w:t>
      </w:r>
      <w:r w:rsidR="001E2E17" w:rsidRPr="00813D19">
        <w:rPr>
          <w:lang w:val="en-US"/>
        </w:rPr>
        <w:t xml:space="preserve">result in the </w:t>
      </w:r>
      <w:r w:rsidR="00AA74C3" w:rsidRPr="00813D19">
        <w:rPr>
          <w:lang w:val="en-US"/>
        </w:rPr>
        <w:t xml:space="preserve">future </w:t>
      </w:r>
      <w:r w:rsidR="001E2E17" w:rsidRPr="00813D19">
        <w:rPr>
          <w:lang w:val="en-US"/>
        </w:rPr>
        <w:t xml:space="preserve">presentation of ungrounded, false, inappropriate political </w:t>
      </w:r>
      <w:r w:rsidR="00AA74C3" w:rsidRPr="00813D19">
        <w:rPr>
          <w:lang w:val="en-US"/>
        </w:rPr>
        <w:t>reporting,</w:t>
      </w:r>
      <w:r w:rsidR="001E2E17" w:rsidRPr="00813D19">
        <w:rPr>
          <w:lang w:val="en-US"/>
        </w:rPr>
        <w:t xml:space="preserve"> further complicating UNESCO’s agenda. Armenia rei</w:t>
      </w:r>
      <w:r w:rsidR="00AA74C3" w:rsidRPr="00813D19">
        <w:rPr>
          <w:lang w:val="en-US"/>
        </w:rPr>
        <w:t>terated</w:t>
      </w:r>
      <w:r w:rsidR="001E2E17" w:rsidRPr="00813D19">
        <w:rPr>
          <w:lang w:val="en-US"/>
        </w:rPr>
        <w:t xml:space="preserve"> its position on </w:t>
      </w:r>
      <w:r w:rsidR="00AA74C3" w:rsidRPr="00813D19">
        <w:rPr>
          <w:lang w:val="en-US"/>
        </w:rPr>
        <w:t>the unacceptable</w:t>
      </w:r>
      <w:r w:rsidR="001E2E17" w:rsidRPr="00813D19">
        <w:rPr>
          <w:lang w:val="en-US"/>
        </w:rPr>
        <w:t xml:space="preserve"> </w:t>
      </w:r>
      <w:r w:rsidR="00AA74C3" w:rsidRPr="00813D19">
        <w:rPr>
          <w:lang w:val="en-US"/>
        </w:rPr>
        <w:t xml:space="preserve">nature </w:t>
      </w:r>
      <w:r w:rsidR="001E2E17" w:rsidRPr="00813D19">
        <w:rPr>
          <w:lang w:val="en-US"/>
        </w:rPr>
        <w:t xml:space="preserve">of misusing UNESCO to promote conflict-related perceptions. </w:t>
      </w:r>
      <w:r w:rsidR="00AA74C3" w:rsidRPr="00813D19">
        <w:rPr>
          <w:lang w:val="en-US"/>
        </w:rPr>
        <w:t xml:space="preserve">It </w:t>
      </w:r>
      <w:r w:rsidR="001E2E17" w:rsidRPr="00813D19">
        <w:rPr>
          <w:lang w:val="en-US"/>
        </w:rPr>
        <w:t>kindly ask</w:t>
      </w:r>
      <w:r w:rsidR="00AA74C3" w:rsidRPr="00813D19">
        <w:rPr>
          <w:lang w:val="en-US"/>
        </w:rPr>
        <w:t>ed</w:t>
      </w:r>
      <w:r w:rsidR="001E2E17" w:rsidRPr="00813D19">
        <w:rPr>
          <w:lang w:val="en-US"/>
        </w:rPr>
        <w:t xml:space="preserve"> the Secretariat to officially take note of </w:t>
      </w:r>
      <w:r w:rsidR="00AA74C3" w:rsidRPr="00813D19">
        <w:rPr>
          <w:lang w:val="en-US"/>
        </w:rPr>
        <w:t xml:space="preserve">its </w:t>
      </w:r>
      <w:r w:rsidR="001E2E17" w:rsidRPr="00813D19">
        <w:rPr>
          <w:lang w:val="en-US"/>
        </w:rPr>
        <w:t xml:space="preserve">position and include </w:t>
      </w:r>
      <w:r w:rsidR="00AA74C3" w:rsidRPr="00813D19">
        <w:rPr>
          <w:lang w:val="en-US"/>
        </w:rPr>
        <w:t xml:space="preserve">its </w:t>
      </w:r>
      <w:r w:rsidR="001E2E17" w:rsidRPr="00813D19">
        <w:rPr>
          <w:lang w:val="en-US"/>
        </w:rPr>
        <w:t>s</w:t>
      </w:r>
      <w:r w:rsidR="00AA74C3" w:rsidRPr="00813D19">
        <w:rPr>
          <w:lang w:val="en-US"/>
        </w:rPr>
        <w:t xml:space="preserve">tatement in the </w:t>
      </w:r>
      <w:r w:rsidR="00AA74C3" w:rsidRPr="00E72560">
        <w:rPr>
          <w:lang w:val="en-US"/>
        </w:rPr>
        <w:t xml:space="preserve">summary records, </w:t>
      </w:r>
      <w:r w:rsidR="00D80337" w:rsidRPr="00E72560">
        <w:rPr>
          <w:lang w:val="en-US"/>
        </w:rPr>
        <w:t xml:space="preserve">as well as </w:t>
      </w:r>
      <w:r w:rsidR="00AA74C3" w:rsidRPr="00E72560">
        <w:rPr>
          <w:lang w:val="en-US"/>
        </w:rPr>
        <w:t xml:space="preserve">its </w:t>
      </w:r>
      <w:r w:rsidR="001E2E17" w:rsidRPr="00E72560">
        <w:rPr>
          <w:lang w:val="en-US"/>
        </w:rPr>
        <w:t>reject</w:t>
      </w:r>
      <w:r w:rsidR="00AA74C3" w:rsidRPr="00E72560">
        <w:rPr>
          <w:lang w:val="en-US"/>
        </w:rPr>
        <w:t>ion of</w:t>
      </w:r>
      <w:r w:rsidR="001E2E17" w:rsidRPr="00E72560">
        <w:rPr>
          <w:lang w:val="en-US"/>
        </w:rPr>
        <w:t xml:space="preserve"> the draft decision </w:t>
      </w:r>
      <w:r w:rsidR="00AA74C3" w:rsidRPr="00E72560">
        <w:rPr>
          <w:lang w:val="en-US"/>
        </w:rPr>
        <w:t xml:space="preserve">for </w:t>
      </w:r>
      <w:r w:rsidR="001E2E17" w:rsidRPr="00E72560">
        <w:rPr>
          <w:lang w:val="en-US"/>
        </w:rPr>
        <w:t>the above</w:t>
      </w:r>
      <w:r w:rsidR="00A84307" w:rsidRPr="00E72560">
        <w:rPr>
          <w:lang w:val="en-US"/>
        </w:rPr>
        <w:t>-</w:t>
      </w:r>
      <w:r w:rsidR="00E72560">
        <w:rPr>
          <w:lang w:val="en-US"/>
        </w:rPr>
        <w:t>mentioned reasons only.</w:t>
      </w:r>
    </w:p>
    <w:p w14:paraId="24946494" w14:textId="41A5BC46" w:rsidR="00C06F49" w:rsidRPr="00E72560" w:rsidRDefault="00C06F49" w:rsidP="008D19BA">
      <w:pPr>
        <w:pStyle w:val="Orateurengris"/>
        <w:spacing w:before="120"/>
        <w:ind w:left="709" w:hanging="709"/>
        <w:rPr>
          <w:rFonts w:eastAsia="Times New Roman"/>
          <w:lang w:val="en-US"/>
        </w:rPr>
      </w:pPr>
      <w:r w:rsidRPr="00E72560">
        <w:rPr>
          <w:lang w:val="en-US"/>
        </w:rPr>
        <w:t xml:space="preserve">The </w:t>
      </w:r>
      <w:r w:rsidRPr="00E72560">
        <w:rPr>
          <w:b/>
          <w:lang w:val="en-US"/>
        </w:rPr>
        <w:t>Chairperson</w:t>
      </w:r>
      <w:r w:rsidRPr="00E72560">
        <w:rPr>
          <w:lang w:val="en-US"/>
        </w:rPr>
        <w:t xml:space="preserve"> took note of the statement by Armenia.</w:t>
      </w:r>
    </w:p>
    <w:p w14:paraId="3387DDB9" w14:textId="28E16FDF" w:rsidR="008D19BA" w:rsidRPr="00E72560" w:rsidRDefault="00EC4A94" w:rsidP="008D19BA">
      <w:pPr>
        <w:pStyle w:val="Orateurengris"/>
        <w:spacing w:before="120"/>
        <w:ind w:left="709" w:hanging="709"/>
        <w:rPr>
          <w:rFonts w:eastAsia="Times New Roman"/>
          <w:lang w:val="en-US"/>
        </w:rPr>
      </w:pPr>
      <w:r w:rsidRPr="00E72560">
        <w:rPr>
          <w:rFonts w:eastAsia="Calibri"/>
          <w:color w:val="000000" w:themeColor="text1"/>
          <w:lang w:val="en-US"/>
        </w:rPr>
        <w:t>Turning to the draft decision as a whole,</w:t>
      </w:r>
      <w:r w:rsidRPr="00E72560">
        <w:rPr>
          <w:lang w:val="en-US"/>
        </w:rPr>
        <w:t xml:space="preserve"> </w:t>
      </w:r>
      <w:r w:rsidR="008D19BA" w:rsidRPr="00E72560">
        <w:rPr>
          <w:lang w:val="en-US"/>
        </w:rPr>
        <w:t xml:space="preserve">the </w:t>
      </w:r>
      <w:r w:rsidR="008D19BA" w:rsidRPr="00E72560">
        <w:rPr>
          <w:b/>
          <w:lang w:val="en-US"/>
        </w:rPr>
        <w:t xml:space="preserve">Chairperson declared Decision </w:t>
      </w:r>
      <w:hyperlink r:id="rId104" w:history="1">
        <w:r w:rsidR="008D19BA" w:rsidRPr="00E72560">
          <w:rPr>
            <w:rStyle w:val="Hyperlink"/>
            <w:b/>
            <w:lang w:val="en-US"/>
          </w:rPr>
          <w:t>13.COM</w:t>
        </w:r>
        <w:r w:rsidR="00992896">
          <w:rPr>
            <w:rStyle w:val="Hyperlink"/>
            <w:b/>
            <w:lang w:val="en-US"/>
          </w:rPr>
          <w:t> </w:t>
        </w:r>
        <w:r w:rsidR="008D19BA" w:rsidRPr="00E72560">
          <w:rPr>
            <w:rStyle w:val="Hyperlink"/>
            <w:b/>
            <w:lang w:val="en-US"/>
          </w:rPr>
          <w:t>10.b.3</w:t>
        </w:r>
      </w:hyperlink>
      <w:r w:rsidR="008D19BA" w:rsidRPr="00E72560">
        <w:rPr>
          <w:b/>
          <w:lang w:val="en-US"/>
        </w:rPr>
        <w:t xml:space="preserve"> adopted to inscribe </w:t>
      </w:r>
      <w:r w:rsidR="008D19BA" w:rsidRPr="00E72560">
        <w:rPr>
          <w:b/>
          <w:snapToGrid/>
          <w:color w:val="000000" w:themeColor="text1"/>
          <w:lang w:val="en-US"/>
        </w:rPr>
        <w:t>Heritage of Dede Qorqud/Korkyt Ata/Dede Korkut, epic culture, folk tales and mu</w:t>
      </w:r>
      <w:r w:rsidR="00E72560">
        <w:rPr>
          <w:b/>
          <w:snapToGrid/>
          <w:color w:val="000000" w:themeColor="text1"/>
          <w:lang w:val="en-US"/>
        </w:rPr>
        <w:t>sic on the Representative List</w:t>
      </w:r>
      <w:r w:rsidR="00E72560" w:rsidRPr="00E72560">
        <w:rPr>
          <w:bCs/>
          <w:snapToGrid/>
          <w:color w:val="000000" w:themeColor="text1"/>
          <w:lang w:val="en-US"/>
        </w:rPr>
        <w:t>.</w:t>
      </w:r>
    </w:p>
    <w:p w14:paraId="0E34A479" w14:textId="41FD21DE" w:rsidR="00C06F49" w:rsidRPr="00E72560" w:rsidRDefault="00C06F49" w:rsidP="00E72560">
      <w:pPr>
        <w:pStyle w:val="Orateurengris"/>
        <w:spacing w:before="120"/>
        <w:ind w:left="709" w:hanging="709"/>
        <w:rPr>
          <w:rFonts w:eastAsia="Times New Roman"/>
          <w:lang w:val="en-US"/>
        </w:rPr>
      </w:pPr>
      <w:r w:rsidRPr="00813D19">
        <w:rPr>
          <w:lang w:val="en-US"/>
        </w:rPr>
        <w:t xml:space="preserve">The </w:t>
      </w:r>
      <w:r w:rsidRPr="00813D19">
        <w:rPr>
          <w:b/>
          <w:lang w:val="en-US"/>
        </w:rPr>
        <w:t>delegation of Azerbaijan</w:t>
      </w:r>
      <w:r w:rsidR="001E2E17" w:rsidRPr="00813D19">
        <w:rPr>
          <w:b/>
          <w:lang w:val="en-US"/>
        </w:rPr>
        <w:t xml:space="preserve"> </w:t>
      </w:r>
      <w:r w:rsidR="00BB75DB" w:rsidRPr="00813D19">
        <w:rPr>
          <w:lang w:val="en-US"/>
        </w:rPr>
        <w:t>did not wish</w:t>
      </w:r>
      <w:r w:rsidR="00BB75DB" w:rsidRPr="00813D19">
        <w:rPr>
          <w:b/>
          <w:lang w:val="en-US"/>
        </w:rPr>
        <w:t xml:space="preserve"> </w:t>
      </w:r>
      <w:r w:rsidR="001E2E17" w:rsidRPr="00813D19">
        <w:rPr>
          <w:lang w:val="en-US"/>
        </w:rPr>
        <w:t xml:space="preserve">to respond </w:t>
      </w:r>
      <w:r w:rsidR="00BB75DB" w:rsidRPr="00813D19">
        <w:rPr>
          <w:lang w:val="en-US"/>
        </w:rPr>
        <w:t xml:space="preserve">to the allegations, leaving </w:t>
      </w:r>
      <w:r w:rsidR="001E2E17" w:rsidRPr="00813D19">
        <w:rPr>
          <w:lang w:val="en-US"/>
        </w:rPr>
        <w:t xml:space="preserve">it </w:t>
      </w:r>
      <w:r w:rsidR="00BB75DB" w:rsidRPr="00813D19">
        <w:rPr>
          <w:lang w:val="en-US"/>
        </w:rPr>
        <w:t xml:space="preserve">to </w:t>
      </w:r>
      <w:r w:rsidR="001E2E17" w:rsidRPr="00813D19">
        <w:rPr>
          <w:lang w:val="en-US"/>
        </w:rPr>
        <w:t xml:space="preserve">the Committee to judge. </w:t>
      </w:r>
      <w:r w:rsidR="00BB75DB" w:rsidRPr="00813D19">
        <w:rPr>
          <w:lang w:val="en-US"/>
        </w:rPr>
        <w:t xml:space="preserve">It </w:t>
      </w:r>
      <w:r w:rsidR="001E2E17" w:rsidRPr="00813D19">
        <w:rPr>
          <w:lang w:val="en-US"/>
        </w:rPr>
        <w:t>express</w:t>
      </w:r>
      <w:r w:rsidR="00BB75DB" w:rsidRPr="00813D19">
        <w:rPr>
          <w:lang w:val="en-US"/>
        </w:rPr>
        <w:t>ed</w:t>
      </w:r>
      <w:r w:rsidR="001E2E17" w:rsidRPr="00813D19">
        <w:rPr>
          <w:lang w:val="en-US"/>
        </w:rPr>
        <w:t xml:space="preserve"> deep gratitude to the Evaluation Body and to the Committee for inscribing this heritage of the Dede Qorqud on the Representative List. </w:t>
      </w:r>
      <w:r w:rsidR="00BB75DB" w:rsidRPr="00813D19">
        <w:rPr>
          <w:lang w:val="en-US"/>
        </w:rPr>
        <w:t xml:space="preserve">The delegation </w:t>
      </w:r>
      <w:r w:rsidR="001E2E17" w:rsidRPr="00813D19">
        <w:rPr>
          <w:lang w:val="en-US"/>
        </w:rPr>
        <w:t>appreciate</w:t>
      </w:r>
      <w:r w:rsidR="00D80337" w:rsidRPr="00813D19">
        <w:rPr>
          <w:lang w:val="en-US"/>
        </w:rPr>
        <w:t>d</w:t>
      </w:r>
      <w:r w:rsidR="001E2E17" w:rsidRPr="00813D19">
        <w:rPr>
          <w:lang w:val="en-US"/>
        </w:rPr>
        <w:t xml:space="preserve"> the efforts of Kazakhstan and Turkey for the excellent cooperation in the preparation of this excellent multinational n</w:t>
      </w:r>
      <w:r w:rsidR="00BB75DB" w:rsidRPr="00813D19">
        <w:rPr>
          <w:lang w:val="en-US"/>
        </w:rPr>
        <w:t>omination, which again testified</w:t>
      </w:r>
      <w:r w:rsidR="001E2E17" w:rsidRPr="00813D19">
        <w:rPr>
          <w:lang w:val="en-US"/>
        </w:rPr>
        <w:t xml:space="preserve"> that regional cooperation and cultural heritage </w:t>
      </w:r>
      <w:r w:rsidR="00BB75DB" w:rsidRPr="00813D19">
        <w:rPr>
          <w:lang w:val="en-US"/>
        </w:rPr>
        <w:t xml:space="preserve">brought </w:t>
      </w:r>
      <w:r w:rsidR="001E2E17" w:rsidRPr="00813D19">
        <w:rPr>
          <w:lang w:val="en-US"/>
        </w:rPr>
        <w:t xml:space="preserve">communities together. The inscription of the Dede Qorqud heritage </w:t>
      </w:r>
      <w:r w:rsidR="00234330">
        <w:rPr>
          <w:lang w:val="en-US"/>
        </w:rPr>
        <w:t>would</w:t>
      </w:r>
      <w:r w:rsidR="00234330" w:rsidRPr="00813D19">
        <w:rPr>
          <w:lang w:val="en-US"/>
        </w:rPr>
        <w:t xml:space="preserve"> </w:t>
      </w:r>
      <w:r w:rsidR="001E2E17" w:rsidRPr="00813D19">
        <w:rPr>
          <w:lang w:val="en-US"/>
        </w:rPr>
        <w:t xml:space="preserve">allow for greater dialogue between the communities of </w:t>
      </w:r>
      <w:r w:rsidR="00BB75DB" w:rsidRPr="00813D19">
        <w:rPr>
          <w:lang w:val="en-US"/>
        </w:rPr>
        <w:t xml:space="preserve">the </w:t>
      </w:r>
      <w:r w:rsidR="001E2E17" w:rsidRPr="00813D19">
        <w:rPr>
          <w:lang w:val="en-US"/>
        </w:rPr>
        <w:t>submitting States</w:t>
      </w:r>
      <w:r w:rsidR="00BB75DB" w:rsidRPr="00813D19">
        <w:rPr>
          <w:lang w:val="en-US"/>
        </w:rPr>
        <w:t>,</w:t>
      </w:r>
      <w:r w:rsidR="001E2E17" w:rsidRPr="00813D19">
        <w:rPr>
          <w:lang w:val="en-US"/>
        </w:rPr>
        <w:t xml:space="preserve"> as many people of all ages identify themselves with this heritage. Dede Qorqud celebrates the unity and diversity of their heritage for the sake of peace and mutual respect. This inscription </w:t>
      </w:r>
      <w:r w:rsidR="00234330">
        <w:rPr>
          <w:lang w:val="en-US"/>
        </w:rPr>
        <w:t>would</w:t>
      </w:r>
      <w:r w:rsidR="00234330" w:rsidRPr="00813D19">
        <w:rPr>
          <w:lang w:val="en-US"/>
        </w:rPr>
        <w:t xml:space="preserve"> </w:t>
      </w:r>
      <w:r w:rsidR="001E2E17" w:rsidRPr="00813D19">
        <w:rPr>
          <w:lang w:val="en-US"/>
        </w:rPr>
        <w:t>stimulate further exchanges between countries and enh</w:t>
      </w:r>
      <w:r w:rsidR="00BB75DB" w:rsidRPr="00813D19">
        <w:rPr>
          <w:lang w:val="en-US"/>
        </w:rPr>
        <w:t xml:space="preserve">ance intercultural cooperation; </w:t>
      </w:r>
      <w:r w:rsidR="001E2E17" w:rsidRPr="00813D19">
        <w:rPr>
          <w:lang w:val="en-US"/>
        </w:rPr>
        <w:t xml:space="preserve">one of the core principles of the Convention. It </w:t>
      </w:r>
      <w:r w:rsidR="00234330">
        <w:rPr>
          <w:lang w:val="en-US"/>
        </w:rPr>
        <w:t>was</w:t>
      </w:r>
      <w:r w:rsidR="00234330" w:rsidRPr="00813D19">
        <w:rPr>
          <w:lang w:val="en-US"/>
        </w:rPr>
        <w:t xml:space="preserve"> </w:t>
      </w:r>
      <w:r w:rsidR="001E2E17" w:rsidRPr="00813D19">
        <w:rPr>
          <w:lang w:val="en-US"/>
        </w:rPr>
        <w:t xml:space="preserve">a moment of particular pride for </w:t>
      </w:r>
      <w:r w:rsidR="00BB75DB" w:rsidRPr="00813D19">
        <w:rPr>
          <w:lang w:val="en-US"/>
        </w:rPr>
        <w:t xml:space="preserve">Azerbaijan </w:t>
      </w:r>
      <w:r w:rsidR="001E2E17" w:rsidRPr="00813D19">
        <w:rPr>
          <w:lang w:val="en-US"/>
        </w:rPr>
        <w:t xml:space="preserve">as the legends and tales of the Dede Qorqud still resonate in the memory of many Azerbaijanis. </w:t>
      </w:r>
      <w:r w:rsidR="00BB75DB" w:rsidRPr="00813D19">
        <w:rPr>
          <w:lang w:val="en-US"/>
        </w:rPr>
        <w:t xml:space="preserve">The </w:t>
      </w:r>
      <w:r w:rsidR="001E2E17" w:rsidRPr="00813D19">
        <w:rPr>
          <w:lang w:val="en-US"/>
        </w:rPr>
        <w:t>Dede Qorqud epic promotes family values, the role of women in society, sharing, solidarity, hospitality, fairness and honesty</w:t>
      </w:r>
      <w:r w:rsidR="00BB75DB" w:rsidRPr="00813D19">
        <w:rPr>
          <w:lang w:val="en-US"/>
        </w:rPr>
        <w:t>,</w:t>
      </w:r>
      <w:r w:rsidR="001E2E17" w:rsidRPr="00813D19">
        <w:rPr>
          <w:lang w:val="en-US"/>
        </w:rPr>
        <w:t xml:space="preserve"> and this</w:t>
      </w:r>
      <w:r w:rsidR="00772EB0" w:rsidRPr="00813D19">
        <w:rPr>
          <w:lang w:val="en-US"/>
        </w:rPr>
        <w:t xml:space="preserve"> inscription is a tribute to tho</w:t>
      </w:r>
      <w:r w:rsidR="001E2E17" w:rsidRPr="00813D19">
        <w:rPr>
          <w:lang w:val="en-US"/>
        </w:rPr>
        <w:t xml:space="preserve">se values and traditions. </w:t>
      </w:r>
      <w:r w:rsidR="00BB75DB" w:rsidRPr="00813D19">
        <w:rPr>
          <w:lang w:val="en-US"/>
        </w:rPr>
        <w:t xml:space="preserve">The delegation </w:t>
      </w:r>
      <w:r w:rsidR="001E2E17" w:rsidRPr="00813D19">
        <w:rPr>
          <w:lang w:val="en-US"/>
        </w:rPr>
        <w:t>thank</w:t>
      </w:r>
      <w:r w:rsidR="00BB75DB" w:rsidRPr="00813D19">
        <w:rPr>
          <w:lang w:val="en-US"/>
        </w:rPr>
        <w:t>ed</w:t>
      </w:r>
      <w:r w:rsidR="001E2E17" w:rsidRPr="00813D19">
        <w:rPr>
          <w:lang w:val="en-US"/>
        </w:rPr>
        <w:t xml:space="preserve"> the Committee and </w:t>
      </w:r>
      <w:r w:rsidR="00BB75DB" w:rsidRPr="00813D19">
        <w:rPr>
          <w:lang w:val="en-US"/>
        </w:rPr>
        <w:t xml:space="preserve">the </w:t>
      </w:r>
      <w:r w:rsidR="001E2E17" w:rsidRPr="00813D19">
        <w:rPr>
          <w:lang w:val="en-US"/>
        </w:rPr>
        <w:t xml:space="preserve">Evaluation Body for this excellent </w:t>
      </w:r>
      <w:r w:rsidR="00BB75DB" w:rsidRPr="00813D19">
        <w:rPr>
          <w:lang w:val="en-US"/>
        </w:rPr>
        <w:t xml:space="preserve">work </w:t>
      </w:r>
      <w:r w:rsidR="001E2E17" w:rsidRPr="00813D19">
        <w:rPr>
          <w:lang w:val="en-US"/>
        </w:rPr>
        <w:t xml:space="preserve">and </w:t>
      </w:r>
      <w:r w:rsidR="00234330">
        <w:rPr>
          <w:lang w:val="en-US"/>
        </w:rPr>
        <w:t xml:space="preserve">the </w:t>
      </w:r>
      <w:r w:rsidR="001E2E17" w:rsidRPr="00813D19">
        <w:rPr>
          <w:lang w:val="en-US"/>
        </w:rPr>
        <w:t>careful analysis of this multinational nomination</w:t>
      </w:r>
      <w:r w:rsidR="00BB75DB" w:rsidRPr="00813D19">
        <w:rPr>
          <w:lang w:val="en-US"/>
        </w:rPr>
        <w:t>,</w:t>
      </w:r>
      <w:r w:rsidR="001E2E17" w:rsidRPr="00813D19">
        <w:rPr>
          <w:lang w:val="en-US"/>
        </w:rPr>
        <w:t xml:space="preserve"> and </w:t>
      </w:r>
      <w:r w:rsidR="00BB75DB" w:rsidRPr="00813D19">
        <w:rPr>
          <w:lang w:val="en-US"/>
        </w:rPr>
        <w:t xml:space="preserve">it </w:t>
      </w:r>
      <w:r w:rsidR="001E2E17" w:rsidRPr="00813D19">
        <w:rPr>
          <w:lang w:val="en-US"/>
        </w:rPr>
        <w:t>look</w:t>
      </w:r>
      <w:r w:rsidR="00BB75DB" w:rsidRPr="00813D19">
        <w:rPr>
          <w:lang w:val="en-US"/>
        </w:rPr>
        <w:t>ed</w:t>
      </w:r>
      <w:r w:rsidR="001E2E17" w:rsidRPr="00813D19">
        <w:rPr>
          <w:lang w:val="en-US"/>
        </w:rPr>
        <w:t xml:space="preserve"> forward to other joint nominations with the countries of </w:t>
      </w:r>
      <w:r w:rsidR="00BB75DB" w:rsidRPr="00813D19">
        <w:rPr>
          <w:lang w:val="en-US"/>
        </w:rPr>
        <w:t xml:space="preserve">the </w:t>
      </w:r>
      <w:r w:rsidR="001E2E17" w:rsidRPr="00813D19">
        <w:rPr>
          <w:lang w:val="en-US"/>
        </w:rPr>
        <w:t>region.</w:t>
      </w:r>
    </w:p>
    <w:p w14:paraId="0D0A3339" w14:textId="21AD1063" w:rsidR="00FD6E01" w:rsidRPr="00E72560" w:rsidRDefault="00FD6E01" w:rsidP="008D19BA">
      <w:pPr>
        <w:pStyle w:val="Orateurengris"/>
        <w:spacing w:before="120"/>
        <w:ind w:left="709" w:hanging="709"/>
        <w:rPr>
          <w:rFonts w:eastAsia="Times New Roman"/>
          <w:lang w:val="en-US"/>
        </w:rPr>
      </w:pPr>
      <w:r w:rsidRPr="00E72560">
        <w:rPr>
          <w:lang w:val="en-US"/>
        </w:rPr>
        <w:t xml:space="preserve">The </w:t>
      </w:r>
      <w:r w:rsidRPr="00E72560">
        <w:rPr>
          <w:b/>
          <w:lang w:val="en-US"/>
        </w:rPr>
        <w:t>delegation of Turkey</w:t>
      </w:r>
      <w:r w:rsidR="001E2E17" w:rsidRPr="00E72560">
        <w:rPr>
          <w:b/>
          <w:lang w:val="en-US"/>
        </w:rPr>
        <w:t xml:space="preserve"> </w:t>
      </w:r>
      <w:r w:rsidR="001E2E17" w:rsidRPr="00E72560">
        <w:rPr>
          <w:lang w:val="en-US"/>
        </w:rPr>
        <w:t>thank</w:t>
      </w:r>
      <w:r w:rsidR="00690434" w:rsidRPr="00E72560">
        <w:rPr>
          <w:lang w:val="en-US"/>
        </w:rPr>
        <w:t>ed</w:t>
      </w:r>
      <w:r w:rsidR="001E2E17" w:rsidRPr="00E72560">
        <w:rPr>
          <w:lang w:val="en-US"/>
        </w:rPr>
        <w:t xml:space="preserve"> Mauritius for </w:t>
      </w:r>
      <w:r w:rsidR="00772EB0" w:rsidRPr="00E72560">
        <w:rPr>
          <w:lang w:val="en-US"/>
        </w:rPr>
        <w:t>its</w:t>
      </w:r>
      <w:r w:rsidR="001E2E17" w:rsidRPr="00E72560">
        <w:rPr>
          <w:lang w:val="en-US"/>
        </w:rPr>
        <w:t xml:space="preserve"> warm welcome and congratulate</w:t>
      </w:r>
      <w:r w:rsidR="00690434" w:rsidRPr="00E72560">
        <w:rPr>
          <w:lang w:val="en-US"/>
        </w:rPr>
        <w:t xml:space="preserve">d the Chairperson </w:t>
      </w:r>
      <w:r w:rsidR="001E2E17" w:rsidRPr="00E72560">
        <w:rPr>
          <w:lang w:val="en-US"/>
        </w:rPr>
        <w:t xml:space="preserve">on </w:t>
      </w:r>
      <w:r w:rsidR="00690434" w:rsidRPr="00E72560">
        <w:rPr>
          <w:lang w:val="en-US"/>
        </w:rPr>
        <w:t xml:space="preserve">his </w:t>
      </w:r>
      <w:r w:rsidR="001E2E17" w:rsidRPr="00E72560">
        <w:rPr>
          <w:lang w:val="en-US"/>
        </w:rPr>
        <w:t xml:space="preserve">successful efforts. Dede </w:t>
      </w:r>
      <w:r w:rsidR="00C13F71" w:rsidRPr="00E72560">
        <w:rPr>
          <w:lang w:val="en-US"/>
        </w:rPr>
        <w:t>Korkut</w:t>
      </w:r>
      <w:r w:rsidR="001E2E17" w:rsidRPr="00E72560">
        <w:rPr>
          <w:lang w:val="en-US"/>
        </w:rPr>
        <w:t xml:space="preserve"> culture is still kept alive in Turkey today with its wide expression of </w:t>
      </w:r>
      <w:r w:rsidR="00C13F71" w:rsidRPr="00E72560">
        <w:rPr>
          <w:lang w:val="en-US"/>
        </w:rPr>
        <w:t xml:space="preserve">composition, </w:t>
      </w:r>
      <w:r w:rsidR="001E2E17" w:rsidRPr="00E72560">
        <w:rPr>
          <w:lang w:val="en-US"/>
        </w:rPr>
        <w:t xml:space="preserve">music tradition, various beliefs and social practices. </w:t>
      </w:r>
      <w:r w:rsidR="00C13F71" w:rsidRPr="00E72560">
        <w:rPr>
          <w:lang w:val="en-US"/>
        </w:rPr>
        <w:t xml:space="preserve">Dede Korkut epics mention </w:t>
      </w:r>
      <w:r w:rsidR="001E2E17" w:rsidRPr="00E72560">
        <w:rPr>
          <w:lang w:val="en-US"/>
        </w:rPr>
        <w:t>generosity, hospitality, brave</w:t>
      </w:r>
      <w:r w:rsidR="00C13F71" w:rsidRPr="00E72560">
        <w:rPr>
          <w:lang w:val="en-US"/>
        </w:rPr>
        <w:t xml:space="preserve">ry, mercy and </w:t>
      </w:r>
      <w:r w:rsidR="001E2E17" w:rsidRPr="00E72560">
        <w:rPr>
          <w:lang w:val="en-US"/>
        </w:rPr>
        <w:t>solidarity</w:t>
      </w:r>
      <w:r w:rsidR="00C13F71" w:rsidRPr="00E72560">
        <w:rPr>
          <w:lang w:val="en-US"/>
        </w:rPr>
        <w:t>,</w:t>
      </w:r>
      <w:r w:rsidR="001E2E17" w:rsidRPr="00E72560">
        <w:rPr>
          <w:lang w:val="en-US"/>
        </w:rPr>
        <w:t xml:space="preserve"> </w:t>
      </w:r>
      <w:r w:rsidR="00C13F71" w:rsidRPr="00E72560">
        <w:rPr>
          <w:lang w:val="en-US"/>
        </w:rPr>
        <w:t xml:space="preserve">and play </w:t>
      </w:r>
      <w:r w:rsidR="001E2E17" w:rsidRPr="00E72560">
        <w:rPr>
          <w:lang w:val="en-US"/>
        </w:rPr>
        <w:t xml:space="preserve">an important role </w:t>
      </w:r>
      <w:r w:rsidR="00C13F71" w:rsidRPr="00E72560">
        <w:rPr>
          <w:lang w:val="en-US"/>
        </w:rPr>
        <w:t xml:space="preserve">in </w:t>
      </w:r>
      <w:r w:rsidR="001E2E17" w:rsidRPr="00E72560">
        <w:rPr>
          <w:lang w:val="en-US"/>
        </w:rPr>
        <w:t xml:space="preserve">cultural dialogue, mutual understanding and building peace between all segments of society. Dede </w:t>
      </w:r>
      <w:r w:rsidR="00C13F71" w:rsidRPr="00E72560">
        <w:rPr>
          <w:lang w:val="en-US"/>
        </w:rPr>
        <w:t>Korkut culture is still practis</w:t>
      </w:r>
      <w:r w:rsidR="001E2E17" w:rsidRPr="00E72560">
        <w:rPr>
          <w:lang w:val="en-US"/>
        </w:rPr>
        <w:t xml:space="preserve">ed in </w:t>
      </w:r>
      <w:r w:rsidR="00C13F71" w:rsidRPr="00E72560">
        <w:rPr>
          <w:lang w:val="en-US"/>
        </w:rPr>
        <w:t xml:space="preserve">all </w:t>
      </w:r>
      <w:r w:rsidR="001E2E17" w:rsidRPr="00E72560">
        <w:rPr>
          <w:lang w:val="en-US"/>
        </w:rPr>
        <w:t>geographical location</w:t>
      </w:r>
      <w:r w:rsidR="00C13F71" w:rsidRPr="00E72560">
        <w:rPr>
          <w:lang w:val="en-US"/>
        </w:rPr>
        <w:t>s</w:t>
      </w:r>
      <w:r w:rsidR="001E2E17" w:rsidRPr="00E72560">
        <w:rPr>
          <w:lang w:val="en-US"/>
        </w:rPr>
        <w:t xml:space="preserve"> in Turkey</w:t>
      </w:r>
      <w:r w:rsidR="00C13F71" w:rsidRPr="00E72560">
        <w:rPr>
          <w:lang w:val="en-US"/>
        </w:rPr>
        <w:t>,</w:t>
      </w:r>
      <w:r w:rsidR="001E2E17" w:rsidRPr="00E72560">
        <w:rPr>
          <w:lang w:val="en-US"/>
        </w:rPr>
        <w:t xml:space="preserve"> therefore the delegation </w:t>
      </w:r>
      <w:r w:rsidR="00C13F71" w:rsidRPr="00E72560">
        <w:rPr>
          <w:lang w:val="en-US"/>
        </w:rPr>
        <w:t>thanked</w:t>
      </w:r>
      <w:r w:rsidR="001E2E17" w:rsidRPr="00E72560">
        <w:rPr>
          <w:lang w:val="en-US"/>
        </w:rPr>
        <w:t xml:space="preserve"> the Committee and the Evaluation Body</w:t>
      </w:r>
      <w:r w:rsidR="00C13F71" w:rsidRPr="00E72560">
        <w:rPr>
          <w:lang w:val="en-US"/>
        </w:rPr>
        <w:t xml:space="preserve"> on behalf of the Turkish people</w:t>
      </w:r>
      <w:r w:rsidR="001E2E17" w:rsidRPr="00E72560">
        <w:rPr>
          <w:lang w:val="en-US"/>
        </w:rPr>
        <w:t xml:space="preserve">. </w:t>
      </w:r>
      <w:r w:rsidR="00C13F71" w:rsidRPr="00E72560">
        <w:rPr>
          <w:lang w:val="en-US"/>
        </w:rPr>
        <w:t xml:space="preserve">It </w:t>
      </w:r>
      <w:r w:rsidR="001E2E17" w:rsidRPr="00E72560">
        <w:rPr>
          <w:lang w:val="en-US"/>
        </w:rPr>
        <w:t>thank</w:t>
      </w:r>
      <w:r w:rsidR="00C13F71" w:rsidRPr="00E72560">
        <w:rPr>
          <w:lang w:val="en-US"/>
        </w:rPr>
        <w:t>ed</w:t>
      </w:r>
      <w:r w:rsidR="001E2E17" w:rsidRPr="00E72560">
        <w:rPr>
          <w:lang w:val="en-US"/>
        </w:rPr>
        <w:t xml:space="preserve"> </w:t>
      </w:r>
      <w:r w:rsidR="00C13F71" w:rsidRPr="00E72560">
        <w:rPr>
          <w:lang w:val="en-US"/>
        </w:rPr>
        <w:t xml:space="preserve">the </w:t>
      </w:r>
      <w:r w:rsidR="001E2E17" w:rsidRPr="00E72560">
        <w:rPr>
          <w:lang w:val="en-US"/>
        </w:rPr>
        <w:t>stakeholders, Azerbaijan and Kazakhstan for the great efforts in the preparation of the nomination file. Finally, the delegation hope</w:t>
      </w:r>
      <w:r w:rsidR="00C13F71" w:rsidRPr="00E72560">
        <w:rPr>
          <w:lang w:val="en-US"/>
        </w:rPr>
        <w:t>d</w:t>
      </w:r>
      <w:r w:rsidR="001E2E17" w:rsidRPr="00E72560">
        <w:rPr>
          <w:lang w:val="en-US"/>
        </w:rPr>
        <w:t xml:space="preserve"> that inscription </w:t>
      </w:r>
      <w:r w:rsidR="009425D1" w:rsidRPr="00E72560">
        <w:rPr>
          <w:lang w:val="en-US"/>
        </w:rPr>
        <w:t xml:space="preserve">would </w:t>
      </w:r>
      <w:r w:rsidR="001E2E17" w:rsidRPr="00E72560">
        <w:rPr>
          <w:lang w:val="en-US"/>
        </w:rPr>
        <w:t>support the visibility of the Convention and not just Turkic-speaking communities</w:t>
      </w:r>
      <w:r w:rsidR="00C13F71" w:rsidRPr="00E72560">
        <w:rPr>
          <w:lang w:val="en-US"/>
        </w:rPr>
        <w:t>,</w:t>
      </w:r>
      <w:r w:rsidR="001E2E17" w:rsidRPr="00E72560">
        <w:rPr>
          <w:lang w:val="en-US"/>
        </w:rPr>
        <w:t xml:space="preserve"> </w:t>
      </w:r>
      <w:r w:rsidR="00C13F71" w:rsidRPr="00E72560">
        <w:rPr>
          <w:lang w:val="en-US"/>
        </w:rPr>
        <w:t xml:space="preserve">and </w:t>
      </w:r>
      <w:r w:rsidR="001E2E17" w:rsidRPr="00E72560">
        <w:rPr>
          <w:lang w:val="en-US"/>
        </w:rPr>
        <w:t xml:space="preserve">also increase dialogue and create interaction opportunities among all </w:t>
      </w:r>
      <w:r w:rsidR="00C13F71" w:rsidRPr="00E72560">
        <w:rPr>
          <w:lang w:val="en-US"/>
        </w:rPr>
        <w:t xml:space="preserve">the </w:t>
      </w:r>
      <w:r w:rsidR="001E2E17" w:rsidRPr="00E72560">
        <w:rPr>
          <w:lang w:val="en-US"/>
        </w:rPr>
        <w:t xml:space="preserve">bearers and practitioners who are related to </w:t>
      </w:r>
      <w:r w:rsidR="00C13F71" w:rsidRPr="00E72560">
        <w:rPr>
          <w:lang w:val="en-US"/>
        </w:rPr>
        <w:t xml:space="preserve">this </w:t>
      </w:r>
      <w:r w:rsidR="00E72560">
        <w:rPr>
          <w:lang w:val="en-US"/>
        </w:rPr>
        <w:t>epic culture in the world.</w:t>
      </w:r>
    </w:p>
    <w:p w14:paraId="652C2DE9" w14:textId="32A55C0D" w:rsidR="008E3362" w:rsidRPr="00E72560" w:rsidRDefault="008E3362" w:rsidP="008D19BA">
      <w:pPr>
        <w:pStyle w:val="Orateurengris"/>
        <w:spacing w:before="120"/>
        <w:ind w:left="709" w:hanging="709"/>
        <w:rPr>
          <w:rFonts w:eastAsia="Times New Roman"/>
          <w:lang w:val="en-US"/>
        </w:rPr>
      </w:pPr>
      <w:r w:rsidRPr="00E72560">
        <w:rPr>
          <w:lang w:val="en-US"/>
        </w:rPr>
        <w:t xml:space="preserve">The </w:t>
      </w:r>
      <w:r w:rsidRPr="00E72560">
        <w:rPr>
          <w:b/>
          <w:lang w:val="en-US"/>
        </w:rPr>
        <w:t>delegation of Kazakhstan</w:t>
      </w:r>
      <w:r w:rsidR="001E2E17" w:rsidRPr="00E72560">
        <w:rPr>
          <w:b/>
          <w:lang w:val="en-US"/>
        </w:rPr>
        <w:t xml:space="preserve"> </w:t>
      </w:r>
      <w:r w:rsidR="00C13F71" w:rsidRPr="00E72560">
        <w:rPr>
          <w:lang w:val="en-US"/>
        </w:rPr>
        <w:t>thanked</w:t>
      </w:r>
      <w:r w:rsidR="001E2E17" w:rsidRPr="00E72560">
        <w:rPr>
          <w:lang w:val="en-US"/>
        </w:rPr>
        <w:t xml:space="preserve"> everyone for </w:t>
      </w:r>
      <w:r w:rsidR="00C13F71" w:rsidRPr="00E72560">
        <w:rPr>
          <w:lang w:val="en-US"/>
        </w:rPr>
        <w:t xml:space="preserve">their </w:t>
      </w:r>
      <w:r w:rsidR="001E2E17" w:rsidRPr="00E72560">
        <w:rPr>
          <w:lang w:val="en-US"/>
        </w:rPr>
        <w:t>kind support</w:t>
      </w:r>
      <w:r w:rsidR="00C13F71" w:rsidRPr="00E72560">
        <w:rPr>
          <w:lang w:val="en-US"/>
        </w:rPr>
        <w:t>,</w:t>
      </w:r>
      <w:r w:rsidR="001E2E17" w:rsidRPr="00E72560">
        <w:rPr>
          <w:lang w:val="en-US"/>
        </w:rPr>
        <w:t xml:space="preserve"> as well as Azerbaijan and Turkey for their valuable collaboration and work on this nomination. </w:t>
      </w:r>
      <w:r w:rsidR="00ED2F63" w:rsidRPr="00E72560">
        <w:rPr>
          <w:lang w:val="en-US"/>
        </w:rPr>
        <w:t xml:space="preserve">The delegation gave </w:t>
      </w:r>
      <w:r w:rsidR="001E2E17" w:rsidRPr="00E72560">
        <w:rPr>
          <w:lang w:val="en-US"/>
        </w:rPr>
        <w:t xml:space="preserve">the floor to a representative from the region </w:t>
      </w:r>
      <w:r w:rsidR="00ED2F63" w:rsidRPr="00E72560">
        <w:rPr>
          <w:lang w:val="en-US"/>
        </w:rPr>
        <w:t xml:space="preserve">who is </w:t>
      </w:r>
      <w:r w:rsidR="001E2E17" w:rsidRPr="00E72560">
        <w:rPr>
          <w:lang w:val="en-US"/>
        </w:rPr>
        <w:t xml:space="preserve">strongly associated with </w:t>
      </w:r>
      <w:r w:rsidR="00772EB0" w:rsidRPr="00E72560">
        <w:rPr>
          <w:lang w:val="en-US"/>
        </w:rPr>
        <w:t xml:space="preserve">the </w:t>
      </w:r>
      <w:r w:rsidR="001E2E17" w:rsidRPr="00E72560">
        <w:rPr>
          <w:lang w:val="en-US"/>
        </w:rPr>
        <w:t xml:space="preserve">Korkyt Ata heritage. </w:t>
      </w:r>
      <w:r w:rsidR="00ED2F63" w:rsidRPr="00E72560">
        <w:rPr>
          <w:lang w:val="en-US"/>
        </w:rPr>
        <w:t xml:space="preserve">A </w:t>
      </w:r>
      <w:r w:rsidR="00ED2F63" w:rsidRPr="00E72560">
        <w:rPr>
          <w:b/>
          <w:lang w:val="en-US"/>
        </w:rPr>
        <w:t>Representative</w:t>
      </w:r>
      <w:r w:rsidR="00ED2F63" w:rsidRPr="00E72560">
        <w:rPr>
          <w:lang w:val="en-US"/>
        </w:rPr>
        <w:t xml:space="preserve"> of the community [translated from local language] </w:t>
      </w:r>
      <w:r w:rsidR="001E2E17" w:rsidRPr="00E72560">
        <w:rPr>
          <w:lang w:val="en-US"/>
        </w:rPr>
        <w:t>represent</w:t>
      </w:r>
      <w:r w:rsidR="00ED2F63" w:rsidRPr="00E72560">
        <w:rPr>
          <w:lang w:val="en-US"/>
        </w:rPr>
        <w:t>ed</w:t>
      </w:r>
      <w:r w:rsidR="001E2E17" w:rsidRPr="00E72560">
        <w:rPr>
          <w:lang w:val="en-US"/>
        </w:rPr>
        <w:t xml:space="preserve"> </w:t>
      </w:r>
      <w:r w:rsidR="001E2E17" w:rsidRPr="00E72560">
        <w:rPr>
          <w:bCs/>
          <w:lang w:val="en-US"/>
        </w:rPr>
        <w:t>Kyzylorda Oblast</w:t>
      </w:r>
      <w:r w:rsidR="00772EB0" w:rsidRPr="00E72560">
        <w:rPr>
          <w:bCs/>
          <w:lang w:val="en-US"/>
        </w:rPr>
        <w:t>,</w:t>
      </w:r>
      <w:r w:rsidR="001E2E17" w:rsidRPr="00E72560">
        <w:rPr>
          <w:bCs/>
          <w:lang w:val="en-US"/>
        </w:rPr>
        <w:t xml:space="preserve"> a r</w:t>
      </w:r>
      <w:r w:rsidR="001E2E17" w:rsidRPr="00E72560">
        <w:rPr>
          <w:lang w:val="en-US"/>
        </w:rPr>
        <w:t xml:space="preserve">egion in the southeast west of Kazakhstan along the great Central Asian river of </w:t>
      </w:r>
      <w:r w:rsidR="001E2E17" w:rsidRPr="00E72560">
        <w:rPr>
          <w:bCs/>
          <w:lang w:val="en-US"/>
        </w:rPr>
        <w:t xml:space="preserve">Syr Darya </w:t>
      </w:r>
      <w:r w:rsidR="00ED2F63" w:rsidRPr="00E72560">
        <w:rPr>
          <w:bCs/>
          <w:lang w:val="en-US"/>
        </w:rPr>
        <w:t xml:space="preserve">where people </w:t>
      </w:r>
      <w:r w:rsidR="001E2E17" w:rsidRPr="00E72560">
        <w:rPr>
          <w:bCs/>
          <w:lang w:val="en-US"/>
        </w:rPr>
        <w:t xml:space="preserve">consider </w:t>
      </w:r>
      <w:r w:rsidR="00772EB0" w:rsidRPr="00E72560">
        <w:rPr>
          <w:bCs/>
          <w:lang w:val="en-US"/>
        </w:rPr>
        <w:t xml:space="preserve">it as </w:t>
      </w:r>
      <w:r w:rsidR="001E2E17" w:rsidRPr="00E72560">
        <w:rPr>
          <w:bCs/>
          <w:lang w:val="en-US"/>
        </w:rPr>
        <w:t xml:space="preserve">a place of origin for </w:t>
      </w:r>
      <w:r w:rsidR="001E2E17" w:rsidRPr="00E72560">
        <w:rPr>
          <w:lang w:val="en-US"/>
        </w:rPr>
        <w:t>Korkyt Ata</w:t>
      </w:r>
      <w:r w:rsidR="00ED2F63" w:rsidRPr="00E72560">
        <w:rPr>
          <w:lang w:val="en-US"/>
        </w:rPr>
        <w:t>,</w:t>
      </w:r>
      <w:r w:rsidR="001E2E17" w:rsidRPr="00E72560">
        <w:rPr>
          <w:lang w:val="en-US"/>
        </w:rPr>
        <w:t xml:space="preserve"> also known as Dede Qorqud. </w:t>
      </w:r>
      <w:r w:rsidR="00ED2F63" w:rsidRPr="00E72560">
        <w:rPr>
          <w:lang w:val="en-US"/>
        </w:rPr>
        <w:t xml:space="preserve">The community </w:t>
      </w:r>
      <w:r w:rsidR="001E2E17" w:rsidRPr="00E72560">
        <w:rPr>
          <w:lang w:val="en-US"/>
        </w:rPr>
        <w:t>sincerely appreciate</w:t>
      </w:r>
      <w:r w:rsidR="00ED2F63" w:rsidRPr="00E72560">
        <w:rPr>
          <w:lang w:val="en-US"/>
        </w:rPr>
        <w:t>d</w:t>
      </w:r>
      <w:r w:rsidR="001E2E17" w:rsidRPr="00E72560">
        <w:rPr>
          <w:lang w:val="en-US"/>
        </w:rPr>
        <w:t xml:space="preserve"> th</w:t>
      </w:r>
      <w:r w:rsidR="00ED2F63" w:rsidRPr="00E72560">
        <w:rPr>
          <w:lang w:val="en-US"/>
        </w:rPr>
        <w:t>e inclusion of Korkyt’s legacy on</w:t>
      </w:r>
      <w:r w:rsidR="001E2E17" w:rsidRPr="00E72560">
        <w:rPr>
          <w:lang w:val="en-US"/>
        </w:rPr>
        <w:t xml:space="preserve"> the Representative List. Kazakhs consider Korkyt Ata to be an inventor of </w:t>
      </w:r>
      <w:r w:rsidR="00146575" w:rsidRPr="00E72560">
        <w:rPr>
          <w:lang w:val="en-US"/>
        </w:rPr>
        <w:t>k</w:t>
      </w:r>
      <w:r w:rsidR="001E2E17" w:rsidRPr="00E72560">
        <w:rPr>
          <w:lang w:val="en-US"/>
        </w:rPr>
        <w:t>obyz, which is one of the world’s oldest string instrument</w:t>
      </w:r>
      <w:r w:rsidR="00CE20A4" w:rsidRPr="00E72560">
        <w:rPr>
          <w:lang w:val="en-US"/>
        </w:rPr>
        <w:t>s</w:t>
      </w:r>
      <w:r w:rsidR="001E2E17" w:rsidRPr="00E72560">
        <w:rPr>
          <w:lang w:val="en-US"/>
        </w:rPr>
        <w:t xml:space="preserve">. </w:t>
      </w:r>
      <w:r w:rsidR="00ED2F63" w:rsidRPr="00E72560">
        <w:rPr>
          <w:lang w:val="en-US"/>
        </w:rPr>
        <w:t xml:space="preserve">A brief performance </w:t>
      </w:r>
      <w:r w:rsidR="001E2E17" w:rsidRPr="00E72560">
        <w:rPr>
          <w:lang w:val="en-US"/>
        </w:rPr>
        <w:t xml:space="preserve">from one of Korkyt Ata’s compositions </w:t>
      </w:r>
      <w:r w:rsidR="00ED2F63" w:rsidRPr="00E72560">
        <w:rPr>
          <w:lang w:val="en-US"/>
        </w:rPr>
        <w:t xml:space="preserve">was </w:t>
      </w:r>
      <w:r w:rsidR="001E2E17" w:rsidRPr="00E72560">
        <w:rPr>
          <w:lang w:val="en-US"/>
        </w:rPr>
        <w:t xml:space="preserve">played by one of </w:t>
      </w:r>
      <w:r w:rsidR="00ED2F63" w:rsidRPr="00E72560">
        <w:rPr>
          <w:lang w:val="en-US"/>
        </w:rPr>
        <w:t xml:space="preserve">the </w:t>
      </w:r>
      <w:r w:rsidR="001E2E17" w:rsidRPr="00E72560">
        <w:rPr>
          <w:lang w:val="en-US"/>
        </w:rPr>
        <w:t>region’s prominent performers of kobyz</w:t>
      </w:r>
      <w:r w:rsidR="00146575" w:rsidRPr="00E72560">
        <w:rPr>
          <w:lang w:val="en-US"/>
        </w:rPr>
        <w:t>.</w:t>
      </w:r>
    </w:p>
    <w:p w14:paraId="4E19A7BE" w14:textId="6FE2D0A8" w:rsidR="00246D2B" w:rsidRPr="00E72560" w:rsidRDefault="00246D2B" w:rsidP="00E72560">
      <w:pPr>
        <w:pStyle w:val="Orateurengris"/>
        <w:numPr>
          <w:ilvl w:val="0"/>
          <w:numId w:val="0"/>
        </w:numPr>
        <w:spacing w:before="240" w:after="240"/>
        <w:jc w:val="center"/>
        <w:rPr>
          <w:rFonts w:eastAsia="Times New Roman"/>
          <w:i/>
          <w:lang w:val="en-US"/>
        </w:rPr>
      </w:pPr>
      <w:r w:rsidRPr="00E72560">
        <w:rPr>
          <w:i/>
          <w:lang w:val="en-US"/>
        </w:rPr>
        <w:t>[Performance</w:t>
      </w:r>
      <w:r w:rsidR="00146575" w:rsidRPr="00E72560">
        <w:rPr>
          <w:i/>
          <w:lang w:val="en-US"/>
        </w:rPr>
        <w:t xml:space="preserve"> of Korkyt Ata</w:t>
      </w:r>
      <w:r w:rsidR="00F82F74" w:rsidRPr="00E72560">
        <w:rPr>
          <w:i/>
          <w:lang w:val="en-US"/>
        </w:rPr>
        <w:t>]</w:t>
      </w:r>
    </w:p>
    <w:p w14:paraId="3474B39F" w14:textId="350E3D35" w:rsidR="00F82F74" w:rsidRPr="00813D19" w:rsidRDefault="000C5A26" w:rsidP="00A93B03">
      <w:pPr>
        <w:pStyle w:val="Orateurengris"/>
        <w:spacing w:before="120"/>
        <w:ind w:left="709" w:hanging="709"/>
        <w:rPr>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 of the Evaluation Body</w:t>
      </w:r>
      <w:r w:rsidRPr="00813D19">
        <w:rPr>
          <w:color w:val="000000" w:themeColor="text1"/>
          <w:lang w:val="en-US"/>
        </w:rPr>
        <w:t xml:space="preserve"> turned to the next nomination</w:t>
      </w:r>
      <w:r w:rsidR="00CE20A4">
        <w:rPr>
          <w:color w:val="000000" w:themeColor="text1"/>
          <w:lang w:val="en-US"/>
        </w:rPr>
        <w:t>,</w:t>
      </w:r>
      <w:r w:rsidRPr="00813D19">
        <w:rPr>
          <w:b/>
          <w:color w:val="000000" w:themeColor="text1"/>
          <w:lang w:val="en-US"/>
        </w:rPr>
        <w:t xml:space="preserve"> Strawcraft in the Bahamas</w:t>
      </w:r>
      <w:r w:rsidRPr="00813D19">
        <w:rPr>
          <w:color w:val="000000" w:themeColor="text1"/>
          <w:lang w:val="en-US"/>
        </w:rPr>
        <w:t xml:space="preserve"> [draft decision</w:t>
      </w:r>
      <w:r w:rsidRPr="00813D19">
        <w:rPr>
          <w:b/>
          <w:color w:val="000000" w:themeColor="text1"/>
          <w:lang w:val="en-US"/>
        </w:rPr>
        <w:t xml:space="preserve"> </w:t>
      </w:r>
      <w:r w:rsidRPr="00813D19">
        <w:rPr>
          <w:color w:val="000000" w:themeColor="text1"/>
          <w:lang w:val="en-US"/>
        </w:rPr>
        <w:t>13.COM 10.b.4]</w:t>
      </w:r>
      <w:r w:rsidR="00CE20A4">
        <w:rPr>
          <w:color w:val="000000" w:themeColor="text1"/>
          <w:lang w:val="en-US"/>
        </w:rPr>
        <w:t>,</w:t>
      </w:r>
      <w:r w:rsidRPr="00813D19">
        <w:rPr>
          <w:b/>
          <w:color w:val="000000" w:themeColor="text1"/>
          <w:lang w:val="en-US"/>
        </w:rPr>
        <w:t xml:space="preserve"> </w:t>
      </w:r>
      <w:r w:rsidRPr="00813D19">
        <w:rPr>
          <w:lang w:val="en-US"/>
        </w:rPr>
        <w:t>submitted by</w:t>
      </w:r>
      <w:r w:rsidR="00CE20A4">
        <w:rPr>
          <w:lang w:val="en-US"/>
        </w:rPr>
        <w:t xml:space="preserve"> the</w:t>
      </w:r>
      <w:r w:rsidRPr="00813D19">
        <w:rPr>
          <w:lang w:val="en-US"/>
        </w:rPr>
        <w:t xml:space="preserve"> </w:t>
      </w:r>
      <w:r w:rsidRPr="00813D19">
        <w:rPr>
          <w:b/>
          <w:lang w:val="en-US"/>
        </w:rPr>
        <w:t>Bahamas</w:t>
      </w:r>
      <w:r w:rsidRPr="00813D19">
        <w:rPr>
          <w:lang w:val="en-US"/>
        </w:rPr>
        <w:t xml:space="preserve">. </w:t>
      </w:r>
      <w:r w:rsidR="005559D7" w:rsidRPr="00813D19">
        <w:rPr>
          <w:lang w:val="en-US"/>
        </w:rPr>
        <w:t>The straw craft in the Bahamas</w:t>
      </w:r>
      <w:r w:rsidR="006C190B" w:rsidRPr="00813D19">
        <w:rPr>
          <w:lang w:val="en-US"/>
        </w:rPr>
        <w:t xml:space="preserve"> involves the hand production of straw craft plaits and weaves by local inhabitants, using traditional plaiting and weaving methods. Strawcraft in the Bahamas is considered </w:t>
      </w:r>
      <w:r w:rsidR="00CE20A4">
        <w:rPr>
          <w:lang w:val="en-US"/>
        </w:rPr>
        <w:t xml:space="preserve">to be </w:t>
      </w:r>
      <w:r w:rsidR="006C190B" w:rsidRPr="00813D19">
        <w:rPr>
          <w:lang w:val="en-US"/>
        </w:rPr>
        <w:t>a dynamic component of the resourceful, resilient spirit of Bahamians and has played an intricate role in the economy of the islands.</w:t>
      </w:r>
      <w:r w:rsidR="00A93B03" w:rsidRPr="00813D19">
        <w:rPr>
          <w:lang w:val="en-US"/>
        </w:rPr>
        <w:t xml:space="preserve"> </w:t>
      </w:r>
      <w:r w:rsidR="006C190B" w:rsidRPr="00813D19">
        <w:rPr>
          <w:lang w:val="en-US"/>
        </w:rPr>
        <w:t xml:space="preserve">From the information included in the file, the nomination </w:t>
      </w:r>
      <w:r w:rsidR="005559D7" w:rsidRPr="00813D19">
        <w:rPr>
          <w:lang w:val="en-US"/>
        </w:rPr>
        <w:t>did</w:t>
      </w:r>
      <w:r w:rsidR="006C190B" w:rsidRPr="00813D19">
        <w:rPr>
          <w:lang w:val="en-US"/>
        </w:rPr>
        <w:t xml:space="preserve"> not sufficient</w:t>
      </w:r>
      <w:r w:rsidR="005559D7" w:rsidRPr="00813D19">
        <w:rPr>
          <w:lang w:val="en-US"/>
        </w:rPr>
        <w:t>ly</w:t>
      </w:r>
      <w:r w:rsidR="006C190B" w:rsidRPr="00813D19">
        <w:rPr>
          <w:lang w:val="en-US"/>
        </w:rPr>
        <w:t xml:space="preserve"> satisfy criteria R.1, R.2, R.3 and R.4. Instead of explaining the cultural significance of</w:t>
      </w:r>
      <w:r w:rsidR="005559D7" w:rsidRPr="00813D19">
        <w:rPr>
          <w:lang w:val="en-US"/>
        </w:rPr>
        <w:t xml:space="preserve"> the practice, the file stressed</w:t>
      </w:r>
      <w:r w:rsidR="006C190B" w:rsidRPr="00813D19">
        <w:rPr>
          <w:lang w:val="en-US"/>
        </w:rPr>
        <w:t xml:space="preserve"> its economic dimension and its role as a product of a creativ</w:t>
      </w:r>
      <w:r w:rsidR="005559D7" w:rsidRPr="00813D19">
        <w:rPr>
          <w:lang w:val="en-US"/>
        </w:rPr>
        <w:t>e industry. It also concentrated</w:t>
      </w:r>
      <w:r w:rsidR="006C190B" w:rsidRPr="00813D19">
        <w:rPr>
          <w:lang w:val="en-US"/>
        </w:rPr>
        <w:t xml:space="preserve"> on promoting the craft as a staple brand of the country and a source of pride, rather than explaining how its inscription could raise the visibility of living heritage in general, encourage dialogue among communities and promote respect for cultural diversity and creativity. The safeguarding plan </w:t>
      </w:r>
      <w:r w:rsidR="005559D7" w:rsidRPr="00813D19">
        <w:rPr>
          <w:lang w:val="en-US"/>
        </w:rPr>
        <w:t xml:space="preserve">did </w:t>
      </w:r>
      <w:r w:rsidR="006C190B" w:rsidRPr="00813D19">
        <w:rPr>
          <w:lang w:val="en-US"/>
        </w:rPr>
        <w:t xml:space="preserve">not reflect the unstable situation of the straw craft as </w:t>
      </w:r>
      <w:r w:rsidR="005559D7" w:rsidRPr="00813D19">
        <w:rPr>
          <w:lang w:val="en-US"/>
        </w:rPr>
        <w:t xml:space="preserve">concerned by </w:t>
      </w:r>
      <w:r w:rsidR="006C190B" w:rsidRPr="00813D19">
        <w:rPr>
          <w:lang w:val="en-US"/>
        </w:rPr>
        <w:t>its cultural and social meanings</w:t>
      </w:r>
      <w:r w:rsidR="005559D7" w:rsidRPr="00813D19">
        <w:rPr>
          <w:lang w:val="en-US"/>
        </w:rPr>
        <w:t>,</w:t>
      </w:r>
      <w:r w:rsidR="006C190B" w:rsidRPr="00813D19">
        <w:rPr>
          <w:lang w:val="en-US"/>
        </w:rPr>
        <w:t xml:space="preserve"> and transmission to future generations</w:t>
      </w:r>
      <w:r w:rsidR="005559D7" w:rsidRPr="00813D19">
        <w:rPr>
          <w:lang w:val="en-US"/>
        </w:rPr>
        <w:t>. Instead, it appeared</w:t>
      </w:r>
      <w:r w:rsidR="006C190B" w:rsidRPr="00813D19">
        <w:rPr>
          <w:lang w:val="en-US"/>
        </w:rPr>
        <w:t xml:space="preserve"> to promote the </w:t>
      </w:r>
      <w:r w:rsidR="005559D7" w:rsidRPr="00813D19">
        <w:rPr>
          <w:lang w:val="en-US"/>
        </w:rPr>
        <w:t>element as an economic activity, involving</w:t>
      </w:r>
      <w:r w:rsidR="006C190B" w:rsidRPr="00813D19">
        <w:rPr>
          <w:lang w:val="en-US"/>
        </w:rPr>
        <w:t xml:space="preserve"> the production and mar</w:t>
      </w:r>
      <w:r w:rsidR="005559D7" w:rsidRPr="00813D19">
        <w:rPr>
          <w:lang w:val="en-US"/>
        </w:rPr>
        <w:t>keting of crafts. The file failed</w:t>
      </w:r>
      <w:r w:rsidR="006C190B" w:rsidRPr="00813D19">
        <w:rPr>
          <w:lang w:val="en-US"/>
        </w:rPr>
        <w:t xml:space="preserve"> to demonstrate how practitioners and local communities </w:t>
      </w:r>
      <w:r w:rsidR="00CE20A4">
        <w:rPr>
          <w:lang w:val="en-US"/>
        </w:rPr>
        <w:t xml:space="preserve">had </w:t>
      </w:r>
      <w:r w:rsidR="006C190B" w:rsidRPr="00813D19">
        <w:rPr>
          <w:lang w:val="en-US"/>
        </w:rPr>
        <w:t xml:space="preserve">participated in preparing the safeguarding plan, how they </w:t>
      </w:r>
      <w:r w:rsidR="00CE20A4">
        <w:rPr>
          <w:lang w:val="en-US"/>
        </w:rPr>
        <w:t>would</w:t>
      </w:r>
      <w:r w:rsidR="00CE20A4" w:rsidRPr="00813D19">
        <w:rPr>
          <w:lang w:val="en-US"/>
        </w:rPr>
        <w:t xml:space="preserve"> </w:t>
      </w:r>
      <w:r w:rsidR="006C190B" w:rsidRPr="00813D19">
        <w:rPr>
          <w:lang w:val="en-US"/>
        </w:rPr>
        <w:t>be involved in its implementation</w:t>
      </w:r>
      <w:r w:rsidR="005559D7" w:rsidRPr="00813D19">
        <w:rPr>
          <w:lang w:val="en-US"/>
        </w:rPr>
        <w:t>,</w:t>
      </w:r>
      <w:r w:rsidR="006C190B" w:rsidRPr="00813D19">
        <w:rPr>
          <w:lang w:val="en-US"/>
        </w:rPr>
        <w:t xml:space="preserve"> and how they</w:t>
      </w:r>
      <w:r w:rsidR="00CE20A4">
        <w:rPr>
          <w:lang w:val="en-US"/>
        </w:rPr>
        <w:t xml:space="preserve"> had</w:t>
      </w:r>
      <w:r w:rsidR="006C190B" w:rsidRPr="00813D19">
        <w:rPr>
          <w:lang w:val="en-US"/>
        </w:rPr>
        <w:t xml:space="preserve"> participated in the nomination process.</w:t>
      </w:r>
      <w:r w:rsidR="00A93B03" w:rsidRPr="00813D19">
        <w:rPr>
          <w:noProof/>
          <w:lang w:val="en-US"/>
        </w:rPr>
        <w:t xml:space="preserve"> </w:t>
      </w:r>
      <w:r w:rsidR="006C190B" w:rsidRPr="00813D19">
        <w:rPr>
          <w:noProof/>
          <w:lang w:val="en-US"/>
        </w:rPr>
        <w:t>Further</w:t>
      </w:r>
      <w:r w:rsidR="00CE20A4">
        <w:rPr>
          <w:noProof/>
          <w:lang w:val="en-US"/>
        </w:rPr>
        <w:t>more</w:t>
      </w:r>
      <w:r w:rsidR="005559D7" w:rsidRPr="00813D19">
        <w:rPr>
          <w:noProof/>
          <w:lang w:val="en-US"/>
        </w:rPr>
        <w:t>,</w:t>
      </w:r>
      <w:r w:rsidR="006C190B" w:rsidRPr="00813D19">
        <w:rPr>
          <w:noProof/>
          <w:lang w:val="en-US"/>
        </w:rPr>
        <w:t xml:space="preserve"> the Evaluation Body considered that the information </w:t>
      </w:r>
      <w:r w:rsidR="005559D7" w:rsidRPr="00813D19">
        <w:rPr>
          <w:lang w:val="en-US"/>
        </w:rPr>
        <w:t xml:space="preserve">did </w:t>
      </w:r>
      <w:r w:rsidR="006C190B" w:rsidRPr="00813D19">
        <w:rPr>
          <w:lang w:val="en-US"/>
        </w:rPr>
        <w:t xml:space="preserve">not satisfy </w:t>
      </w:r>
      <w:r w:rsidR="005559D7" w:rsidRPr="00813D19">
        <w:rPr>
          <w:noProof/>
          <w:lang w:val="en-US"/>
        </w:rPr>
        <w:t>criterion</w:t>
      </w:r>
      <w:r w:rsidR="006C190B" w:rsidRPr="00813D19">
        <w:rPr>
          <w:noProof/>
          <w:lang w:val="en-US"/>
        </w:rPr>
        <w:t xml:space="preserve"> R.5.</w:t>
      </w:r>
      <w:r w:rsidR="00A93B03" w:rsidRPr="00813D19">
        <w:rPr>
          <w:noProof/>
          <w:lang w:val="en-US"/>
        </w:rPr>
        <w:t xml:space="preserve"> </w:t>
      </w:r>
      <w:r w:rsidR="006C190B" w:rsidRPr="00813D19">
        <w:rPr>
          <w:noProof/>
          <w:lang w:val="en-US"/>
        </w:rPr>
        <w:t>Although</w:t>
      </w:r>
      <w:r w:rsidR="006C190B" w:rsidRPr="00813D19">
        <w:rPr>
          <w:noProof/>
          <w:color w:val="FF0000"/>
          <w:lang w:val="en-US"/>
        </w:rPr>
        <w:t xml:space="preserve"> </w:t>
      </w:r>
      <w:r w:rsidR="005559D7" w:rsidRPr="00813D19">
        <w:rPr>
          <w:lang w:val="en-US"/>
        </w:rPr>
        <w:t xml:space="preserve">the State </w:t>
      </w:r>
      <w:r w:rsidR="00CE20A4">
        <w:rPr>
          <w:lang w:val="en-US"/>
        </w:rPr>
        <w:t xml:space="preserve">had </w:t>
      </w:r>
      <w:r w:rsidR="006C190B" w:rsidRPr="00813D19">
        <w:rPr>
          <w:lang w:val="en-US"/>
        </w:rPr>
        <w:t xml:space="preserve">declared its interest in safeguarding </w:t>
      </w:r>
      <w:r w:rsidR="00CE20A4">
        <w:rPr>
          <w:lang w:val="en-US"/>
        </w:rPr>
        <w:t xml:space="preserve">the </w:t>
      </w:r>
      <w:r w:rsidR="006C190B" w:rsidRPr="00813D19">
        <w:rPr>
          <w:lang w:val="en-US"/>
        </w:rPr>
        <w:t xml:space="preserve">straw craft as an important element of intangible cultural heritage through the Straw Market Authority Act since 2011, the State </w:t>
      </w:r>
      <w:r w:rsidR="005559D7" w:rsidRPr="00813D19">
        <w:rPr>
          <w:lang w:val="en-US"/>
        </w:rPr>
        <w:t xml:space="preserve">Party did </w:t>
      </w:r>
      <w:r w:rsidR="006C190B" w:rsidRPr="00813D19">
        <w:rPr>
          <w:lang w:val="en-US"/>
        </w:rPr>
        <w:t>not manage an inventory in accordance with Articles 11 and 12 of the Convention.</w:t>
      </w:r>
      <w:r w:rsidR="00A93B03" w:rsidRPr="00813D19">
        <w:rPr>
          <w:lang w:val="en-US"/>
        </w:rPr>
        <w:t xml:space="preserve"> </w:t>
      </w:r>
      <w:r w:rsidR="006C190B" w:rsidRPr="00813D19">
        <w:rPr>
          <w:lang w:val="en-US"/>
        </w:rPr>
        <w:t>Therefore</w:t>
      </w:r>
      <w:r w:rsidR="005559D7" w:rsidRPr="00813D19">
        <w:rPr>
          <w:lang w:val="en-US"/>
        </w:rPr>
        <w:t>, the Evaluation Body recommended</w:t>
      </w:r>
      <w:r w:rsidR="006C190B" w:rsidRPr="00813D19">
        <w:rPr>
          <w:lang w:val="en-US"/>
        </w:rPr>
        <w:t xml:space="preserve"> </w:t>
      </w:r>
      <w:r w:rsidR="006C190B" w:rsidRPr="00813D19">
        <w:rPr>
          <w:bCs/>
          <w:lang w:val="en-US"/>
        </w:rPr>
        <w:t xml:space="preserve">not to inscribe </w:t>
      </w:r>
      <w:r w:rsidR="006C190B" w:rsidRPr="00813D19">
        <w:rPr>
          <w:lang w:val="en-US"/>
        </w:rPr>
        <w:t>Strawcraft in the Bahamas.</w:t>
      </w:r>
    </w:p>
    <w:p w14:paraId="5119193B" w14:textId="77777777" w:rsidR="005559D7" w:rsidRPr="00813D19" w:rsidRDefault="005559D7" w:rsidP="005559D7">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6EE35CF7" w14:textId="7E4EF5D0" w:rsidR="00D26EFF" w:rsidRPr="00E72560" w:rsidRDefault="005559D7" w:rsidP="005559D7">
      <w:pPr>
        <w:pStyle w:val="Orateurengris"/>
        <w:spacing w:before="120"/>
        <w:ind w:left="709" w:hanging="709"/>
        <w:rPr>
          <w:rFonts w:eastAsia="Times New Roman"/>
          <w:lang w:val="en-US"/>
        </w:rPr>
      </w:pPr>
      <w:r w:rsidRPr="00813D19">
        <w:rPr>
          <w:rFonts w:eastAsia="Calibri"/>
          <w:color w:val="000000" w:themeColor="text1"/>
          <w:lang w:val="en-US"/>
        </w:rPr>
        <w:t>Turning to the draft decision as a whole,</w:t>
      </w:r>
      <w:r w:rsidRPr="00813D19">
        <w:rPr>
          <w:lang w:val="en-US"/>
        </w:rPr>
        <w:t xml:space="preserve"> </w:t>
      </w:r>
      <w:r w:rsidR="00D26EFF" w:rsidRPr="00813D19">
        <w:rPr>
          <w:lang w:val="en-US"/>
        </w:rPr>
        <w:t xml:space="preserve">the </w:t>
      </w:r>
      <w:r w:rsidR="00D26EFF" w:rsidRPr="00813D19">
        <w:rPr>
          <w:b/>
          <w:lang w:val="en-US"/>
        </w:rPr>
        <w:t xml:space="preserve">Chairperson declared Decision </w:t>
      </w:r>
      <w:hyperlink r:id="rId105" w:history="1">
        <w:r w:rsidR="00D26EFF" w:rsidRPr="00813D19">
          <w:rPr>
            <w:rStyle w:val="Hyperlink"/>
            <w:b/>
            <w:lang w:val="en-US"/>
          </w:rPr>
          <w:t>13.COM</w:t>
        </w:r>
        <w:r w:rsidR="00992896">
          <w:rPr>
            <w:rStyle w:val="Hyperlink"/>
            <w:b/>
            <w:lang w:val="en-US"/>
          </w:rPr>
          <w:t> </w:t>
        </w:r>
        <w:r w:rsidR="00D26EFF" w:rsidRPr="00813D19">
          <w:rPr>
            <w:rStyle w:val="Hyperlink"/>
            <w:b/>
            <w:lang w:val="en-US"/>
          </w:rPr>
          <w:t>10.b.4</w:t>
        </w:r>
      </w:hyperlink>
      <w:r w:rsidR="00D26EFF" w:rsidRPr="00813D19">
        <w:rPr>
          <w:b/>
          <w:lang w:val="en-US"/>
        </w:rPr>
        <w:t xml:space="preserve"> adopted not to inscribe </w:t>
      </w:r>
      <w:r w:rsidR="00D26EFF" w:rsidRPr="00813D19">
        <w:rPr>
          <w:b/>
          <w:color w:val="000000" w:themeColor="text1"/>
          <w:lang w:val="en-US"/>
        </w:rPr>
        <w:t>Strawcraft in the Bahamas</w:t>
      </w:r>
      <w:r w:rsidR="00D26EFF" w:rsidRPr="00813D19">
        <w:rPr>
          <w:color w:val="000000" w:themeColor="text1"/>
          <w:lang w:val="en-US"/>
        </w:rPr>
        <w:t xml:space="preserve"> </w:t>
      </w:r>
      <w:r w:rsidR="00D26EFF" w:rsidRPr="00813D19">
        <w:rPr>
          <w:b/>
          <w:snapToGrid/>
          <w:color w:val="000000" w:themeColor="text1"/>
          <w:lang w:val="en-US"/>
        </w:rPr>
        <w:t>on the Representative List</w:t>
      </w:r>
      <w:r w:rsidR="00D26EFF" w:rsidRPr="00E72560">
        <w:rPr>
          <w:bCs/>
          <w:snapToGrid/>
          <w:color w:val="000000" w:themeColor="text1"/>
          <w:lang w:val="en-US"/>
        </w:rPr>
        <w:t>.</w:t>
      </w:r>
    </w:p>
    <w:p w14:paraId="58019BDF" w14:textId="48664157" w:rsidR="00E55753" w:rsidRPr="00813D19" w:rsidRDefault="000C5A26" w:rsidP="00E55753">
      <w:pPr>
        <w:pStyle w:val="Orateurengris"/>
        <w:spacing w:before="120"/>
        <w:ind w:left="709" w:hanging="709"/>
        <w:rPr>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 of the Evaluation Body</w:t>
      </w:r>
      <w:r w:rsidRPr="00813D19">
        <w:rPr>
          <w:color w:val="000000" w:themeColor="text1"/>
          <w:lang w:val="en-US"/>
        </w:rPr>
        <w:t xml:space="preserve"> turned to the next nomination</w:t>
      </w:r>
      <w:r w:rsidR="00CE20A4">
        <w:rPr>
          <w:color w:val="000000" w:themeColor="text1"/>
          <w:lang w:val="en-US"/>
        </w:rPr>
        <w:t>,</w:t>
      </w:r>
      <w:r w:rsidRPr="00813D19">
        <w:rPr>
          <w:b/>
          <w:color w:val="000000" w:themeColor="text1"/>
          <w:lang w:val="en-US"/>
        </w:rPr>
        <w:t xml:space="preserve"> Rickshaws and rickshaw painting in Dhaka </w:t>
      </w:r>
      <w:r w:rsidRPr="00813D19">
        <w:rPr>
          <w:color w:val="000000" w:themeColor="text1"/>
          <w:lang w:val="en-US"/>
        </w:rPr>
        <w:t>[draft decision</w:t>
      </w:r>
      <w:r w:rsidRPr="00813D19">
        <w:rPr>
          <w:b/>
          <w:color w:val="000000" w:themeColor="text1"/>
          <w:lang w:val="en-US"/>
        </w:rPr>
        <w:t xml:space="preserve"> </w:t>
      </w:r>
      <w:r w:rsidRPr="00813D19">
        <w:rPr>
          <w:color w:val="000000" w:themeColor="text1"/>
          <w:lang w:val="en-US"/>
        </w:rPr>
        <w:t>13.COM 10.b.5]</w:t>
      </w:r>
      <w:r w:rsidR="00CE20A4">
        <w:rPr>
          <w:color w:val="000000" w:themeColor="text1"/>
          <w:lang w:val="en-US"/>
        </w:rPr>
        <w:t>,</w:t>
      </w:r>
      <w:r w:rsidRPr="00813D19">
        <w:rPr>
          <w:b/>
          <w:color w:val="000000" w:themeColor="text1"/>
          <w:lang w:val="en-US"/>
        </w:rPr>
        <w:t xml:space="preserve"> </w:t>
      </w:r>
      <w:r w:rsidRPr="00813D19">
        <w:rPr>
          <w:lang w:val="en-US"/>
        </w:rPr>
        <w:t xml:space="preserve">submitted by </w:t>
      </w:r>
      <w:r w:rsidRPr="00813D19">
        <w:rPr>
          <w:b/>
          <w:lang w:val="en-US"/>
        </w:rPr>
        <w:t>Bangladesh</w:t>
      </w:r>
      <w:r w:rsidRPr="00813D19">
        <w:rPr>
          <w:lang w:val="en-US"/>
        </w:rPr>
        <w:t xml:space="preserve">. </w:t>
      </w:r>
      <w:r w:rsidR="00E55753" w:rsidRPr="00813D19">
        <w:rPr>
          <w:lang w:val="en-US"/>
        </w:rPr>
        <w:t xml:space="preserve">Rickshaw craftsmanship is a traditional practice of fashioning and decorating the rickshaw, a human-propelled mode of transport on three wheels. The element is part of </w:t>
      </w:r>
      <w:r w:rsidR="00322955" w:rsidRPr="00813D19">
        <w:rPr>
          <w:lang w:val="en-US"/>
        </w:rPr>
        <w:t xml:space="preserve">Dhaka City’s cultural tradition, </w:t>
      </w:r>
      <w:r w:rsidR="00E55753" w:rsidRPr="00813D19">
        <w:rPr>
          <w:lang w:val="en-US"/>
        </w:rPr>
        <w:t>which not only provides the communities, groups and individuals concerned with a steady source of income and employment, but also offers them a sense of pride, unity and continuity. From the information included in th</w:t>
      </w:r>
      <w:r w:rsidR="00322955" w:rsidRPr="00813D19">
        <w:rPr>
          <w:lang w:val="en-US"/>
        </w:rPr>
        <w:t>e file, the nomination satisfied criterion</w:t>
      </w:r>
      <w:r w:rsidR="00E55753" w:rsidRPr="00813D19">
        <w:rPr>
          <w:lang w:val="en-US"/>
        </w:rPr>
        <w:t xml:space="preserve"> R.1. The Evaluation Body considered that</w:t>
      </w:r>
      <w:r w:rsidR="00E55753" w:rsidRPr="00813D19">
        <w:rPr>
          <w:b/>
          <w:lang w:val="en-US"/>
        </w:rPr>
        <w:t xml:space="preserve"> </w:t>
      </w:r>
      <w:r w:rsidR="00E55753" w:rsidRPr="00813D19">
        <w:rPr>
          <w:lang w:val="en-US"/>
        </w:rPr>
        <w:t>Rickshaws and rickshaw painting in Dhaka constitute</w:t>
      </w:r>
      <w:r w:rsidR="00322955" w:rsidRPr="00813D19">
        <w:rPr>
          <w:lang w:val="en-US"/>
        </w:rPr>
        <w:t>s</w:t>
      </w:r>
      <w:r w:rsidR="00E55753" w:rsidRPr="00813D19">
        <w:rPr>
          <w:lang w:val="en-US"/>
        </w:rPr>
        <w:t xml:space="preserve"> a significant part of the city’s cultural tradition</w:t>
      </w:r>
      <w:r w:rsidR="00322955" w:rsidRPr="00813D19">
        <w:rPr>
          <w:lang w:val="en-US"/>
        </w:rPr>
        <w:t>,</w:t>
      </w:r>
      <w:r w:rsidR="00E55753" w:rsidRPr="00813D19">
        <w:rPr>
          <w:lang w:val="en-US"/>
        </w:rPr>
        <w:t xml:space="preserve"> which simultaneously embodies important cultural meanings through the creative depiction of symbols, natural sceneries, historical events and contemporary themes. As an environment-friendly means of transportation, rickshaws also contribute to sustainable development.</w:t>
      </w:r>
      <w:r w:rsidR="00E55753" w:rsidRPr="00813D19">
        <w:rPr>
          <w:noProof/>
          <w:lang w:val="en-US"/>
        </w:rPr>
        <w:t xml:space="preserve"> However, the Evaluation Body considered that the information </w:t>
      </w:r>
      <w:r w:rsidR="00322955" w:rsidRPr="00813D19">
        <w:rPr>
          <w:noProof/>
          <w:lang w:val="en-US"/>
        </w:rPr>
        <w:t xml:space="preserve">was </w:t>
      </w:r>
      <w:r w:rsidR="00E55753" w:rsidRPr="00813D19">
        <w:rPr>
          <w:noProof/>
          <w:lang w:val="en-US"/>
        </w:rPr>
        <w:t>not sufficient to assess criteria R.2, R.3, R.4 and R.5.</w:t>
      </w:r>
      <w:r w:rsidR="00322955" w:rsidRPr="00813D19">
        <w:rPr>
          <w:lang w:val="en-US"/>
        </w:rPr>
        <w:t xml:space="preserve"> The file failed</w:t>
      </w:r>
      <w:r w:rsidR="00E55753" w:rsidRPr="00813D19">
        <w:rPr>
          <w:lang w:val="en-US"/>
        </w:rPr>
        <w:t xml:space="preserve"> to clearly demonstrate how the inscription would contribute to encouraging dialogue among communities and to raising awareness of the importance of intangible cultural heritage in general at the local, national and international levels. The safeguarding measures concentrate</w:t>
      </w:r>
      <w:r w:rsidR="00322955" w:rsidRPr="00813D19">
        <w:rPr>
          <w:lang w:val="en-US"/>
        </w:rPr>
        <w:t>d</w:t>
      </w:r>
      <w:r w:rsidR="00E55753" w:rsidRPr="00813D19">
        <w:rPr>
          <w:lang w:val="en-US"/>
        </w:rPr>
        <w:t xml:space="preserve"> primarily on </w:t>
      </w:r>
      <w:r w:rsidR="00322955" w:rsidRPr="00813D19">
        <w:rPr>
          <w:lang w:val="en-US"/>
        </w:rPr>
        <w:t xml:space="preserve">the </w:t>
      </w:r>
      <w:r w:rsidR="00E55753" w:rsidRPr="00813D19">
        <w:rPr>
          <w:lang w:val="en-US"/>
        </w:rPr>
        <w:t>tan</w:t>
      </w:r>
      <w:r w:rsidR="008D1D39" w:rsidRPr="00813D19">
        <w:rPr>
          <w:lang w:val="en-US"/>
        </w:rPr>
        <w:t>gible components of the element</w:t>
      </w:r>
      <w:r w:rsidR="00E55753" w:rsidRPr="00813D19">
        <w:rPr>
          <w:lang w:val="en-US"/>
        </w:rPr>
        <w:t xml:space="preserve"> </w:t>
      </w:r>
      <w:r w:rsidR="00322955" w:rsidRPr="00813D19">
        <w:rPr>
          <w:lang w:val="en-US"/>
        </w:rPr>
        <w:t xml:space="preserve">and </w:t>
      </w:r>
      <w:r w:rsidR="00E55753" w:rsidRPr="00813D19">
        <w:rPr>
          <w:lang w:val="en-US"/>
        </w:rPr>
        <w:t xml:space="preserve">its documentation and promotion, while less attention </w:t>
      </w:r>
      <w:r w:rsidR="00322955" w:rsidRPr="00813D19">
        <w:rPr>
          <w:lang w:val="en-US"/>
        </w:rPr>
        <w:t xml:space="preserve">was </w:t>
      </w:r>
      <w:r w:rsidR="00E55753" w:rsidRPr="00813D19">
        <w:rPr>
          <w:lang w:val="en-US"/>
        </w:rPr>
        <w:t>paid to safeguarding its social and cultural meanings.</w:t>
      </w:r>
      <w:r w:rsidR="00E55753" w:rsidRPr="00813D19">
        <w:rPr>
          <w:bCs/>
          <w:lang w:val="en-US"/>
        </w:rPr>
        <w:t xml:space="preserve"> </w:t>
      </w:r>
      <w:r w:rsidR="00E55753" w:rsidRPr="00813D19">
        <w:rPr>
          <w:lang w:val="en-US"/>
        </w:rPr>
        <w:t xml:space="preserve">It </w:t>
      </w:r>
      <w:r w:rsidR="00322955" w:rsidRPr="00813D19">
        <w:rPr>
          <w:lang w:val="en-US"/>
        </w:rPr>
        <w:t>was un</w:t>
      </w:r>
      <w:r w:rsidR="00E55753" w:rsidRPr="00813D19">
        <w:rPr>
          <w:lang w:val="en-US"/>
        </w:rPr>
        <w:t xml:space="preserve">clear how the </w:t>
      </w:r>
      <w:r w:rsidR="00E55753" w:rsidRPr="00813D19">
        <w:rPr>
          <w:bCs/>
          <w:lang w:val="en-US"/>
        </w:rPr>
        <w:t xml:space="preserve">communities were involved in </w:t>
      </w:r>
      <w:r w:rsidR="00322955" w:rsidRPr="00813D19">
        <w:rPr>
          <w:lang w:val="en-US"/>
        </w:rPr>
        <w:t xml:space="preserve">identifying and </w:t>
      </w:r>
      <w:r w:rsidR="00E55753" w:rsidRPr="00813D19">
        <w:rPr>
          <w:lang w:val="en-US"/>
        </w:rPr>
        <w:t>defining the element</w:t>
      </w:r>
      <w:r w:rsidR="00322955" w:rsidRPr="00813D19">
        <w:rPr>
          <w:lang w:val="en-US"/>
        </w:rPr>
        <w:t>,</w:t>
      </w:r>
      <w:r w:rsidR="00E55753" w:rsidRPr="00813D19">
        <w:rPr>
          <w:lang w:val="en-US"/>
        </w:rPr>
        <w:t xml:space="preserve"> </w:t>
      </w:r>
      <w:r w:rsidR="00322955" w:rsidRPr="00813D19">
        <w:rPr>
          <w:lang w:val="en-US"/>
        </w:rPr>
        <w:t xml:space="preserve">as well as </w:t>
      </w:r>
      <w:r w:rsidR="00E55753" w:rsidRPr="00813D19">
        <w:rPr>
          <w:bCs/>
          <w:lang w:val="en-US"/>
        </w:rPr>
        <w:t xml:space="preserve">their participation in the </w:t>
      </w:r>
      <w:r w:rsidR="00E55753" w:rsidRPr="00813D19">
        <w:rPr>
          <w:lang w:val="en-US"/>
        </w:rPr>
        <w:t>nomination process. Further</w:t>
      </w:r>
      <w:r w:rsidR="00CE20A4">
        <w:rPr>
          <w:lang w:val="en-US"/>
        </w:rPr>
        <w:t>more</w:t>
      </w:r>
      <w:r w:rsidR="00E55753" w:rsidRPr="00813D19">
        <w:rPr>
          <w:lang w:val="en-US"/>
        </w:rPr>
        <w:t xml:space="preserve">, the regular updating mechanism, including its mode, periodicity and community participation, </w:t>
      </w:r>
      <w:r w:rsidR="001B72CE" w:rsidRPr="00813D19">
        <w:rPr>
          <w:lang w:val="en-US"/>
        </w:rPr>
        <w:t xml:space="preserve">was </w:t>
      </w:r>
      <w:r w:rsidR="00E55753" w:rsidRPr="00813D19">
        <w:rPr>
          <w:lang w:val="en-US"/>
        </w:rPr>
        <w:t>not explained. Therefore, t</w:t>
      </w:r>
      <w:r w:rsidR="001B72CE" w:rsidRPr="00813D19">
        <w:rPr>
          <w:lang w:val="en-US"/>
        </w:rPr>
        <w:t>he Evaluation Body recommended</w:t>
      </w:r>
      <w:r w:rsidR="00E55753" w:rsidRPr="00813D19">
        <w:rPr>
          <w:lang w:val="en-US"/>
        </w:rPr>
        <w:t xml:space="preserve"> that the Committee </w:t>
      </w:r>
      <w:r w:rsidR="00322955" w:rsidRPr="00813D19">
        <w:rPr>
          <w:lang w:val="en-US"/>
        </w:rPr>
        <w:t>refer</w:t>
      </w:r>
      <w:r w:rsidR="00E55753" w:rsidRPr="00813D19">
        <w:rPr>
          <w:lang w:val="en-US"/>
        </w:rPr>
        <w:t xml:space="preserve"> Rickshaws and rickshaw painting in</w:t>
      </w:r>
      <w:r w:rsidR="00E72560">
        <w:rPr>
          <w:lang w:val="en-US"/>
        </w:rPr>
        <w:t xml:space="preserve"> Dhaka to the submitting State.</w:t>
      </w:r>
    </w:p>
    <w:p w14:paraId="77B5D527" w14:textId="4A436F47" w:rsidR="00D11DE9" w:rsidRPr="00E72560" w:rsidRDefault="00D11DE9" w:rsidP="00D719F0">
      <w:pPr>
        <w:pStyle w:val="Orateurengris"/>
        <w:spacing w:before="120"/>
        <w:ind w:left="709" w:hanging="709"/>
        <w:rPr>
          <w:rFonts w:eastAsia="Times New Roman"/>
          <w:lang w:val="en-US"/>
        </w:rPr>
      </w:pPr>
      <w:r w:rsidRPr="00813D19">
        <w:rPr>
          <w:lang w:val="en-US"/>
        </w:rPr>
        <w:t xml:space="preserve">The </w:t>
      </w:r>
      <w:r w:rsidRPr="00813D19">
        <w:rPr>
          <w:b/>
          <w:lang w:val="en-US"/>
        </w:rPr>
        <w:t>Chairperson</w:t>
      </w:r>
      <w:r w:rsidRPr="00813D19">
        <w:rPr>
          <w:lang w:val="en-US"/>
        </w:rPr>
        <w:t xml:space="preserve"> noted that n</w:t>
      </w:r>
      <w:r w:rsidR="00D719F0" w:rsidRPr="00813D19">
        <w:rPr>
          <w:lang w:val="en-US"/>
        </w:rPr>
        <w:t xml:space="preserve">o amendments </w:t>
      </w:r>
      <w:r w:rsidR="00CE20A4">
        <w:rPr>
          <w:lang w:val="en-US"/>
        </w:rPr>
        <w:t>had been</w:t>
      </w:r>
      <w:r w:rsidR="00CE20A4" w:rsidRPr="00813D19">
        <w:rPr>
          <w:lang w:val="en-US"/>
        </w:rPr>
        <w:t xml:space="preserve"> </w:t>
      </w:r>
      <w:r w:rsidR="00D719F0" w:rsidRPr="00813D19">
        <w:rPr>
          <w:lang w:val="en-US"/>
        </w:rPr>
        <w:t>received,</w:t>
      </w:r>
      <w:r w:rsidRPr="00813D19">
        <w:rPr>
          <w:lang w:val="en-US"/>
        </w:rPr>
        <w:t xml:space="preserve"> but a request to open the debate </w:t>
      </w:r>
      <w:r w:rsidR="00CE20A4">
        <w:rPr>
          <w:lang w:val="en-US"/>
        </w:rPr>
        <w:t xml:space="preserve">had been </w:t>
      </w:r>
      <w:r w:rsidRPr="00813D19">
        <w:rPr>
          <w:lang w:val="en-US"/>
        </w:rPr>
        <w:t xml:space="preserve">received by Sri </w:t>
      </w:r>
      <w:r w:rsidRPr="00E72560">
        <w:rPr>
          <w:lang w:val="en-US"/>
        </w:rPr>
        <w:t>Lanka.</w:t>
      </w:r>
    </w:p>
    <w:p w14:paraId="1DD11B35" w14:textId="4C81E246" w:rsidR="00D11DE9" w:rsidRPr="00E72560" w:rsidRDefault="00D11DE9" w:rsidP="00D719F0">
      <w:pPr>
        <w:pStyle w:val="Orateurengris"/>
        <w:spacing w:before="120"/>
        <w:ind w:left="709" w:hanging="709"/>
        <w:rPr>
          <w:rFonts w:eastAsia="Times New Roman"/>
          <w:lang w:val="en-US"/>
        </w:rPr>
      </w:pPr>
      <w:r w:rsidRPr="00E72560">
        <w:rPr>
          <w:lang w:val="en-US"/>
        </w:rPr>
        <w:t xml:space="preserve">The </w:t>
      </w:r>
      <w:r w:rsidRPr="00E72560">
        <w:rPr>
          <w:b/>
          <w:lang w:val="en-US"/>
        </w:rPr>
        <w:t>delegation of Sri Lanka</w:t>
      </w:r>
      <w:r w:rsidRPr="00E72560">
        <w:rPr>
          <w:lang w:val="en-US"/>
        </w:rPr>
        <w:t xml:space="preserve"> </w:t>
      </w:r>
      <w:r w:rsidR="001E2E17" w:rsidRPr="00E72560">
        <w:rPr>
          <w:lang w:val="en-US"/>
        </w:rPr>
        <w:t>thank</w:t>
      </w:r>
      <w:r w:rsidR="00146575" w:rsidRPr="00E72560">
        <w:rPr>
          <w:lang w:val="en-US"/>
        </w:rPr>
        <w:t>ed</w:t>
      </w:r>
      <w:r w:rsidR="001E2E17" w:rsidRPr="00E72560">
        <w:rPr>
          <w:lang w:val="en-US"/>
        </w:rPr>
        <w:t xml:space="preserve"> Mauritius for </w:t>
      </w:r>
      <w:r w:rsidR="008D1D39" w:rsidRPr="00E72560">
        <w:rPr>
          <w:lang w:val="en-US"/>
        </w:rPr>
        <w:t>its</w:t>
      </w:r>
      <w:r w:rsidR="001E2E17" w:rsidRPr="00E72560">
        <w:rPr>
          <w:lang w:val="en-US"/>
        </w:rPr>
        <w:t xml:space="preserve"> </w:t>
      </w:r>
      <w:r w:rsidR="008D1D39" w:rsidRPr="00E72560">
        <w:rPr>
          <w:lang w:val="en-US"/>
        </w:rPr>
        <w:t xml:space="preserve">wonderful </w:t>
      </w:r>
      <w:r w:rsidR="001E2E17" w:rsidRPr="00E72560">
        <w:rPr>
          <w:lang w:val="en-US"/>
        </w:rPr>
        <w:t xml:space="preserve">welcome and </w:t>
      </w:r>
      <w:r w:rsidR="00813D19" w:rsidRPr="00E72560">
        <w:rPr>
          <w:lang w:val="en-US"/>
        </w:rPr>
        <w:t>organization</w:t>
      </w:r>
      <w:r w:rsidR="001E2E17" w:rsidRPr="00E72560">
        <w:rPr>
          <w:lang w:val="en-US"/>
        </w:rPr>
        <w:t xml:space="preserve">. </w:t>
      </w:r>
      <w:r w:rsidR="00146575" w:rsidRPr="00E72560">
        <w:rPr>
          <w:lang w:val="en-US"/>
        </w:rPr>
        <w:t xml:space="preserve">It </w:t>
      </w:r>
      <w:r w:rsidR="001E2E17" w:rsidRPr="00E72560">
        <w:rPr>
          <w:lang w:val="en-US"/>
        </w:rPr>
        <w:t>also thank</w:t>
      </w:r>
      <w:r w:rsidR="00146575" w:rsidRPr="00E72560">
        <w:rPr>
          <w:lang w:val="en-US"/>
        </w:rPr>
        <w:t>ed</w:t>
      </w:r>
      <w:r w:rsidR="001E2E17" w:rsidRPr="00E72560">
        <w:rPr>
          <w:lang w:val="en-US"/>
        </w:rPr>
        <w:t xml:space="preserve"> </w:t>
      </w:r>
      <w:r w:rsidR="00CE20A4" w:rsidRPr="00E72560">
        <w:rPr>
          <w:lang w:val="en-US"/>
        </w:rPr>
        <w:t xml:space="preserve">the </w:t>
      </w:r>
      <w:r w:rsidR="001E2E17" w:rsidRPr="00E72560">
        <w:rPr>
          <w:lang w:val="en-US"/>
        </w:rPr>
        <w:t>Member States for elec</w:t>
      </w:r>
      <w:r w:rsidR="00146575" w:rsidRPr="00E72560">
        <w:rPr>
          <w:lang w:val="en-US"/>
        </w:rPr>
        <w:t xml:space="preserve">ting Sri Lanka to the Committee, and </w:t>
      </w:r>
      <w:r w:rsidR="001E2E17" w:rsidRPr="00E72560">
        <w:rPr>
          <w:lang w:val="en-US"/>
        </w:rPr>
        <w:t xml:space="preserve">the Secretariat for providing assistance to help </w:t>
      </w:r>
      <w:r w:rsidR="00146575" w:rsidRPr="00E72560">
        <w:rPr>
          <w:lang w:val="en-US"/>
        </w:rPr>
        <w:t xml:space="preserve">its </w:t>
      </w:r>
      <w:r w:rsidR="001E2E17" w:rsidRPr="00E72560">
        <w:rPr>
          <w:lang w:val="en-US"/>
        </w:rPr>
        <w:t xml:space="preserve">expert </w:t>
      </w:r>
      <w:r w:rsidR="00146575" w:rsidRPr="00E72560">
        <w:rPr>
          <w:lang w:val="en-US"/>
        </w:rPr>
        <w:t xml:space="preserve">attend </w:t>
      </w:r>
      <w:r w:rsidR="001E2E17" w:rsidRPr="00E72560">
        <w:rPr>
          <w:lang w:val="en-US"/>
        </w:rPr>
        <w:t xml:space="preserve">this meeting. </w:t>
      </w:r>
      <w:r w:rsidR="00146575" w:rsidRPr="00E72560">
        <w:rPr>
          <w:lang w:val="en-US"/>
        </w:rPr>
        <w:t xml:space="preserve">The delegation had </w:t>
      </w:r>
      <w:r w:rsidR="001E2E17" w:rsidRPr="00E72560">
        <w:rPr>
          <w:lang w:val="en-US"/>
        </w:rPr>
        <w:t xml:space="preserve">proposed that the nomination be open for discussion. </w:t>
      </w:r>
      <w:r w:rsidR="00146575" w:rsidRPr="00E72560">
        <w:rPr>
          <w:lang w:val="en-US"/>
        </w:rPr>
        <w:t xml:space="preserve">It very much </w:t>
      </w:r>
      <w:r w:rsidR="001E2E17" w:rsidRPr="00E72560">
        <w:rPr>
          <w:lang w:val="en-US"/>
        </w:rPr>
        <w:t>appreciate</w:t>
      </w:r>
      <w:r w:rsidR="00146575" w:rsidRPr="00E72560">
        <w:rPr>
          <w:lang w:val="en-US"/>
        </w:rPr>
        <w:t>d</w:t>
      </w:r>
      <w:r w:rsidR="001E2E17" w:rsidRPr="00E72560">
        <w:rPr>
          <w:lang w:val="en-US"/>
        </w:rPr>
        <w:t xml:space="preserve"> the Evaluation Body</w:t>
      </w:r>
      <w:r w:rsidR="00CE20A4" w:rsidRPr="00E72560">
        <w:rPr>
          <w:lang w:val="en-US"/>
        </w:rPr>
        <w:t>’s</w:t>
      </w:r>
      <w:r w:rsidR="001E2E17" w:rsidRPr="00E72560">
        <w:rPr>
          <w:lang w:val="en-US"/>
        </w:rPr>
        <w:t xml:space="preserve"> thorough and rigorous analysis of the nomination</w:t>
      </w:r>
      <w:r w:rsidR="00146575" w:rsidRPr="00E72560">
        <w:rPr>
          <w:lang w:val="en-US"/>
        </w:rPr>
        <w:t xml:space="preserve">, and it did </w:t>
      </w:r>
      <w:r w:rsidR="001E2E17" w:rsidRPr="00E72560">
        <w:rPr>
          <w:lang w:val="en-US"/>
        </w:rPr>
        <w:t xml:space="preserve">not to question or challenge </w:t>
      </w:r>
      <w:r w:rsidR="00146575" w:rsidRPr="00E72560">
        <w:rPr>
          <w:lang w:val="en-US"/>
        </w:rPr>
        <w:t xml:space="preserve">the </w:t>
      </w:r>
      <w:r w:rsidR="001E2E17" w:rsidRPr="00E72560">
        <w:rPr>
          <w:lang w:val="en-US"/>
        </w:rPr>
        <w:t>decision</w:t>
      </w:r>
      <w:r w:rsidR="00146575" w:rsidRPr="00E72560">
        <w:rPr>
          <w:lang w:val="en-US"/>
        </w:rPr>
        <w:t>,</w:t>
      </w:r>
      <w:r w:rsidR="001E2E17" w:rsidRPr="00E72560">
        <w:rPr>
          <w:lang w:val="en-US"/>
        </w:rPr>
        <w:t xml:space="preserve"> </w:t>
      </w:r>
      <w:r w:rsidR="00146575" w:rsidRPr="00E72560">
        <w:rPr>
          <w:lang w:val="en-US"/>
        </w:rPr>
        <w:t xml:space="preserve">as no </w:t>
      </w:r>
      <w:r w:rsidR="001E2E17" w:rsidRPr="00E72560">
        <w:rPr>
          <w:lang w:val="en-US"/>
        </w:rPr>
        <w:t xml:space="preserve">amendments </w:t>
      </w:r>
      <w:r w:rsidR="00CE20A4" w:rsidRPr="00E72560">
        <w:rPr>
          <w:lang w:val="en-US"/>
        </w:rPr>
        <w:t xml:space="preserve">had been </w:t>
      </w:r>
      <w:r w:rsidR="00146575" w:rsidRPr="00E72560">
        <w:rPr>
          <w:lang w:val="en-US"/>
        </w:rPr>
        <w:t xml:space="preserve">proposed </w:t>
      </w:r>
      <w:r w:rsidR="001E2E17" w:rsidRPr="00E72560">
        <w:rPr>
          <w:lang w:val="en-US"/>
        </w:rPr>
        <w:t xml:space="preserve">to the decision. </w:t>
      </w:r>
      <w:r w:rsidR="008D1D39" w:rsidRPr="00E72560">
        <w:rPr>
          <w:lang w:val="en-US"/>
        </w:rPr>
        <w:t xml:space="preserve">It </w:t>
      </w:r>
      <w:r w:rsidR="00146575" w:rsidRPr="00E72560">
        <w:rPr>
          <w:lang w:val="en-US"/>
        </w:rPr>
        <w:t>understood</w:t>
      </w:r>
      <w:r w:rsidR="001E2E17" w:rsidRPr="00E72560">
        <w:rPr>
          <w:lang w:val="en-US"/>
        </w:rPr>
        <w:t xml:space="preserve"> that </w:t>
      </w:r>
      <w:r w:rsidR="008D1D39" w:rsidRPr="00E72560">
        <w:rPr>
          <w:lang w:val="en-US"/>
        </w:rPr>
        <w:t xml:space="preserve">the element represented a vital form of art and a </w:t>
      </w:r>
      <w:r w:rsidR="001E2E17" w:rsidRPr="00E72560">
        <w:rPr>
          <w:lang w:val="en-US"/>
        </w:rPr>
        <w:t xml:space="preserve">way of life </w:t>
      </w:r>
      <w:r w:rsidR="008D1D39" w:rsidRPr="00E72560">
        <w:rPr>
          <w:lang w:val="en-US"/>
        </w:rPr>
        <w:t xml:space="preserve">for </w:t>
      </w:r>
      <w:r w:rsidR="001E2E17" w:rsidRPr="00E72560">
        <w:rPr>
          <w:lang w:val="en-US"/>
        </w:rPr>
        <w:t>the ur</w:t>
      </w:r>
      <w:r w:rsidR="008D1D39" w:rsidRPr="00E72560">
        <w:rPr>
          <w:lang w:val="en-US"/>
        </w:rPr>
        <w:t xml:space="preserve">ban working class of Bangladesh, </w:t>
      </w:r>
      <w:r w:rsidR="001E2E17" w:rsidRPr="00E72560">
        <w:rPr>
          <w:lang w:val="en-US"/>
        </w:rPr>
        <w:t>c</w:t>
      </w:r>
      <w:r w:rsidR="008D1D39" w:rsidRPr="00E72560">
        <w:rPr>
          <w:lang w:val="en-US"/>
        </w:rPr>
        <w:t>ontributing</w:t>
      </w:r>
      <w:r w:rsidR="001E2E17" w:rsidRPr="00E72560">
        <w:rPr>
          <w:lang w:val="en-US"/>
        </w:rPr>
        <w:t xml:space="preserve"> to the rich diversity of </w:t>
      </w:r>
      <w:r w:rsidR="00146575" w:rsidRPr="00E72560">
        <w:rPr>
          <w:lang w:val="en-US"/>
        </w:rPr>
        <w:t xml:space="preserve">Bangladeshi </w:t>
      </w:r>
      <w:r w:rsidR="001E2E17" w:rsidRPr="00E72560">
        <w:rPr>
          <w:lang w:val="en-US"/>
        </w:rPr>
        <w:t>living culture</w:t>
      </w:r>
      <w:r w:rsidR="00146575" w:rsidRPr="00E72560">
        <w:rPr>
          <w:lang w:val="en-US"/>
        </w:rPr>
        <w:t>. As the nominating party had</w:t>
      </w:r>
      <w:r w:rsidR="001E2E17" w:rsidRPr="00E72560">
        <w:rPr>
          <w:lang w:val="en-US"/>
        </w:rPr>
        <w:t xml:space="preserve"> communicated some concerns</w:t>
      </w:r>
      <w:r w:rsidR="00146575" w:rsidRPr="00E72560">
        <w:rPr>
          <w:lang w:val="en-US"/>
        </w:rPr>
        <w:t xml:space="preserve">, the delegation believed </w:t>
      </w:r>
      <w:r w:rsidR="001E2E17" w:rsidRPr="00E72560">
        <w:rPr>
          <w:lang w:val="en-US"/>
        </w:rPr>
        <w:t xml:space="preserve">that opening up the file for discussion </w:t>
      </w:r>
      <w:r w:rsidR="00146575" w:rsidRPr="00E72560">
        <w:rPr>
          <w:lang w:val="en-US"/>
        </w:rPr>
        <w:t>would present an opportunity for Members of the C</w:t>
      </w:r>
      <w:r w:rsidR="001E2E17" w:rsidRPr="00E72560">
        <w:rPr>
          <w:lang w:val="en-US"/>
        </w:rPr>
        <w:t xml:space="preserve">ommittee to exercise their views. </w:t>
      </w:r>
      <w:r w:rsidR="00146575" w:rsidRPr="00E72560">
        <w:rPr>
          <w:lang w:val="en-US"/>
        </w:rPr>
        <w:t xml:space="preserve">It was </w:t>
      </w:r>
      <w:r w:rsidR="001E2E17" w:rsidRPr="00E72560">
        <w:rPr>
          <w:lang w:val="en-US"/>
        </w:rPr>
        <w:t>sincerely hope</w:t>
      </w:r>
      <w:r w:rsidR="00146575" w:rsidRPr="00E72560">
        <w:rPr>
          <w:lang w:val="en-US"/>
        </w:rPr>
        <w:t>d</w:t>
      </w:r>
      <w:r w:rsidR="001E2E17" w:rsidRPr="00E72560">
        <w:rPr>
          <w:lang w:val="en-US"/>
        </w:rPr>
        <w:t xml:space="preserve"> that a dialogue </w:t>
      </w:r>
      <w:r w:rsidR="00CE20A4" w:rsidRPr="00E72560">
        <w:rPr>
          <w:lang w:val="en-US"/>
        </w:rPr>
        <w:t xml:space="preserve">would </w:t>
      </w:r>
      <w:r w:rsidR="001E2E17" w:rsidRPr="00E72560">
        <w:rPr>
          <w:lang w:val="en-US"/>
        </w:rPr>
        <w:t xml:space="preserve">help the </w:t>
      </w:r>
      <w:r w:rsidR="00146575" w:rsidRPr="00E72560">
        <w:rPr>
          <w:lang w:val="en-US"/>
        </w:rPr>
        <w:t xml:space="preserve">submitting State to revisit the nomination, and </w:t>
      </w:r>
      <w:r w:rsidR="008D1D39" w:rsidRPr="00E72560">
        <w:rPr>
          <w:lang w:val="en-US"/>
        </w:rPr>
        <w:t xml:space="preserve">it </w:t>
      </w:r>
      <w:r w:rsidR="001E2E17" w:rsidRPr="00E72560">
        <w:rPr>
          <w:lang w:val="en-US"/>
        </w:rPr>
        <w:t>request</w:t>
      </w:r>
      <w:r w:rsidR="00146575" w:rsidRPr="00E72560">
        <w:rPr>
          <w:lang w:val="en-US"/>
        </w:rPr>
        <w:t>ed</w:t>
      </w:r>
      <w:r w:rsidR="001E2E17" w:rsidRPr="00E72560">
        <w:rPr>
          <w:lang w:val="en-US"/>
        </w:rPr>
        <w:t xml:space="preserve"> that Bangladesh be given the floor to express </w:t>
      </w:r>
      <w:r w:rsidR="008D1D39" w:rsidRPr="00E72560">
        <w:rPr>
          <w:lang w:val="en-US"/>
        </w:rPr>
        <w:t xml:space="preserve">its </w:t>
      </w:r>
      <w:r w:rsidR="00E72560">
        <w:rPr>
          <w:lang w:val="en-US"/>
        </w:rPr>
        <w:t>views on R.2, R.3, R.4 and R.5.</w:t>
      </w:r>
    </w:p>
    <w:p w14:paraId="31ADE928" w14:textId="297BD1FE" w:rsidR="0075633C" w:rsidRPr="00E72560" w:rsidRDefault="0075633C" w:rsidP="00D719F0">
      <w:pPr>
        <w:pStyle w:val="Orateurengris"/>
        <w:spacing w:before="120"/>
        <w:ind w:left="709" w:hanging="709"/>
        <w:rPr>
          <w:rFonts w:eastAsia="Times New Roman"/>
          <w:lang w:val="en-US"/>
        </w:rPr>
      </w:pPr>
      <w:r w:rsidRPr="00E72560">
        <w:rPr>
          <w:lang w:val="en-US"/>
        </w:rPr>
        <w:t xml:space="preserve">The </w:t>
      </w:r>
      <w:r w:rsidRPr="00E72560">
        <w:rPr>
          <w:b/>
          <w:lang w:val="en-US"/>
        </w:rPr>
        <w:t>delegation of Palestine</w:t>
      </w:r>
      <w:r w:rsidR="001E2E17" w:rsidRPr="00E72560">
        <w:rPr>
          <w:b/>
          <w:lang w:val="en-US"/>
        </w:rPr>
        <w:t xml:space="preserve"> </w:t>
      </w:r>
      <w:r w:rsidR="001E2E17" w:rsidRPr="00E72560">
        <w:rPr>
          <w:bCs/>
          <w:lang w:val="en-US"/>
        </w:rPr>
        <w:t>recall</w:t>
      </w:r>
      <w:r w:rsidR="00146575" w:rsidRPr="00E72560">
        <w:rPr>
          <w:bCs/>
          <w:lang w:val="en-US"/>
        </w:rPr>
        <w:t>ed</w:t>
      </w:r>
      <w:r w:rsidR="001E2E17" w:rsidRPr="00E72560">
        <w:rPr>
          <w:bCs/>
          <w:lang w:val="en-US"/>
        </w:rPr>
        <w:t xml:space="preserve"> that what </w:t>
      </w:r>
      <w:r w:rsidR="00CE20A4" w:rsidRPr="00E72560">
        <w:rPr>
          <w:bCs/>
          <w:lang w:val="en-US"/>
        </w:rPr>
        <w:t xml:space="preserve">had </w:t>
      </w:r>
      <w:r w:rsidR="001E2E17" w:rsidRPr="00E72560">
        <w:rPr>
          <w:bCs/>
          <w:lang w:val="en-US"/>
        </w:rPr>
        <w:t xml:space="preserve">happened </w:t>
      </w:r>
      <w:r w:rsidR="00146575" w:rsidRPr="00E72560">
        <w:rPr>
          <w:bCs/>
          <w:lang w:val="en-US"/>
        </w:rPr>
        <w:t xml:space="preserve">in </w:t>
      </w:r>
      <w:r w:rsidR="00813D19" w:rsidRPr="00E72560">
        <w:rPr>
          <w:bCs/>
          <w:lang w:val="en-US"/>
        </w:rPr>
        <w:t>Argentina’s</w:t>
      </w:r>
      <w:r w:rsidR="001E2E17" w:rsidRPr="00E72560">
        <w:rPr>
          <w:bCs/>
          <w:lang w:val="en-US"/>
        </w:rPr>
        <w:t xml:space="preserve"> case </w:t>
      </w:r>
      <w:r w:rsidR="00146575" w:rsidRPr="00E72560">
        <w:rPr>
          <w:bCs/>
          <w:lang w:val="en-US"/>
        </w:rPr>
        <w:t xml:space="preserve">and generally in cases such as these was </w:t>
      </w:r>
      <w:r w:rsidR="001E2E17" w:rsidRPr="00E72560">
        <w:rPr>
          <w:bCs/>
          <w:lang w:val="en-US"/>
        </w:rPr>
        <w:t>the result of a lack of dialogue</w:t>
      </w:r>
      <w:r w:rsidR="00146575" w:rsidRPr="00E72560">
        <w:rPr>
          <w:bCs/>
          <w:lang w:val="en-US"/>
        </w:rPr>
        <w:t xml:space="preserve">, which showed the </w:t>
      </w:r>
      <w:r w:rsidR="001E2E17" w:rsidRPr="00E72560">
        <w:rPr>
          <w:bCs/>
          <w:lang w:val="en-US"/>
        </w:rPr>
        <w:t>serious</w:t>
      </w:r>
      <w:r w:rsidR="00146575" w:rsidRPr="00E72560">
        <w:rPr>
          <w:bCs/>
          <w:lang w:val="en-US"/>
        </w:rPr>
        <w:t xml:space="preserve">ness of the </w:t>
      </w:r>
      <w:r w:rsidR="001E2E17" w:rsidRPr="00E72560">
        <w:rPr>
          <w:bCs/>
          <w:lang w:val="en-US"/>
        </w:rPr>
        <w:t xml:space="preserve">problem and how vital dialogue </w:t>
      </w:r>
      <w:r w:rsidR="008D1D39" w:rsidRPr="00E72560">
        <w:rPr>
          <w:bCs/>
          <w:lang w:val="en-US"/>
        </w:rPr>
        <w:t xml:space="preserve">was </w:t>
      </w:r>
      <w:r w:rsidR="001E2E17" w:rsidRPr="00E72560">
        <w:rPr>
          <w:bCs/>
          <w:lang w:val="en-US"/>
        </w:rPr>
        <w:t>between the States Parties and the Evaluation Body</w:t>
      </w:r>
      <w:r w:rsidR="00146575" w:rsidRPr="00E72560">
        <w:rPr>
          <w:bCs/>
          <w:lang w:val="en-US"/>
        </w:rPr>
        <w:t xml:space="preserve">. For this reason, it </w:t>
      </w:r>
      <w:r w:rsidR="001E2E17" w:rsidRPr="00E72560">
        <w:rPr>
          <w:bCs/>
          <w:lang w:val="en-US"/>
        </w:rPr>
        <w:t>support</w:t>
      </w:r>
      <w:r w:rsidR="00146575" w:rsidRPr="00E72560">
        <w:rPr>
          <w:bCs/>
          <w:lang w:val="en-US"/>
        </w:rPr>
        <w:t>ed</w:t>
      </w:r>
      <w:r w:rsidR="001E2E17" w:rsidRPr="00E72560">
        <w:rPr>
          <w:bCs/>
          <w:lang w:val="en-US"/>
        </w:rPr>
        <w:t xml:space="preserve"> the proposal </w:t>
      </w:r>
      <w:r w:rsidR="00146575" w:rsidRPr="00E72560">
        <w:rPr>
          <w:bCs/>
          <w:lang w:val="en-US"/>
        </w:rPr>
        <w:t xml:space="preserve">by </w:t>
      </w:r>
      <w:r w:rsidR="001E2E17" w:rsidRPr="00E72560">
        <w:rPr>
          <w:bCs/>
          <w:lang w:val="en-US"/>
        </w:rPr>
        <w:t xml:space="preserve">Sri Lanka to open </w:t>
      </w:r>
      <w:r w:rsidR="00146575" w:rsidRPr="00E72560">
        <w:rPr>
          <w:bCs/>
          <w:lang w:val="en-US"/>
        </w:rPr>
        <w:t xml:space="preserve">the </w:t>
      </w:r>
      <w:r w:rsidR="001E2E17" w:rsidRPr="00E72560">
        <w:rPr>
          <w:bCs/>
          <w:lang w:val="en-US"/>
        </w:rPr>
        <w:t xml:space="preserve">discussion on this particular </w:t>
      </w:r>
      <w:r w:rsidR="00146575" w:rsidRPr="00E72560">
        <w:rPr>
          <w:bCs/>
          <w:lang w:val="en-US"/>
        </w:rPr>
        <w:t>file</w:t>
      </w:r>
      <w:r w:rsidR="001E2E17" w:rsidRPr="00E72560">
        <w:rPr>
          <w:bCs/>
          <w:lang w:val="en-US"/>
        </w:rPr>
        <w:t xml:space="preserve">. </w:t>
      </w:r>
      <w:r w:rsidR="00146575" w:rsidRPr="00E72560">
        <w:rPr>
          <w:bCs/>
          <w:lang w:val="en-US"/>
        </w:rPr>
        <w:t xml:space="preserve">Recalling the remarks by </w:t>
      </w:r>
      <w:r w:rsidR="001E2E17" w:rsidRPr="00E72560">
        <w:rPr>
          <w:bCs/>
          <w:lang w:val="en-US"/>
        </w:rPr>
        <w:t xml:space="preserve">Cyprus </w:t>
      </w:r>
      <w:r w:rsidR="00146575" w:rsidRPr="00E72560">
        <w:rPr>
          <w:bCs/>
          <w:lang w:val="en-US"/>
        </w:rPr>
        <w:t xml:space="preserve">on the </w:t>
      </w:r>
      <w:r w:rsidR="001E2E17" w:rsidRPr="00E72560">
        <w:rPr>
          <w:bCs/>
          <w:lang w:val="en-US"/>
        </w:rPr>
        <w:t xml:space="preserve">agreement to open </w:t>
      </w:r>
      <w:r w:rsidR="00146575" w:rsidRPr="00E72560">
        <w:rPr>
          <w:bCs/>
          <w:lang w:val="en-US"/>
        </w:rPr>
        <w:t xml:space="preserve">a </w:t>
      </w:r>
      <w:r w:rsidR="001E2E17" w:rsidRPr="00E72560">
        <w:rPr>
          <w:bCs/>
          <w:lang w:val="en-US"/>
        </w:rPr>
        <w:t>discus</w:t>
      </w:r>
      <w:r w:rsidR="00146575" w:rsidRPr="00E72560">
        <w:rPr>
          <w:bCs/>
          <w:lang w:val="en-US"/>
        </w:rPr>
        <w:t xml:space="preserve">sion whenever a country requested it was </w:t>
      </w:r>
      <w:r w:rsidR="001E2E17" w:rsidRPr="00E72560">
        <w:rPr>
          <w:bCs/>
          <w:lang w:val="en-US"/>
        </w:rPr>
        <w:t>surely the result of a lack of dialogue between the submitting State and the Evaluation Body</w:t>
      </w:r>
      <w:r w:rsidR="00146575" w:rsidRPr="00E72560">
        <w:rPr>
          <w:bCs/>
          <w:lang w:val="en-US"/>
        </w:rPr>
        <w:t>.</w:t>
      </w:r>
      <w:r w:rsidR="001E2E17" w:rsidRPr="00E72560">
        <w:rPr>
          <w:bCs/>
          <w:lang w:val="en-US"/>
        </w:rPr>
        <w:t xml:space="preserve"> </w:t>
      </w:r>
      <w:r w:rsidR="00813D19" w:rsidRPr="00E72560">
        <w:rPr>
          <w:bCs/>
          <w:lang w:val="en-US"/>
        </w:rPr>
        <w:t>Nevertheless</w:t>
      </w:r>
      <w:r w:rsidR="00146575" w:rsidRPr="00E72560">
        <w:rPr>
          <w:bCs/>
          <w:lang w:val="en-US"/>
        </w:rPr>
        <w:t xml:space="preserve">, although the </w:t>
      </w:r>
      <w:r w:rsidR="001E2E17" w:rsidRPr="00E72560">
        <w:rPr>
          <w:bCs/>
          <w:lang w:val="en-US"/>
        </w:rPr>
        <w:t xml:space="preserve">discussion </w:t>
      </w:r>
      <w:r w:rsidR="00146575" w:rsidRPr="00E72560">
        <w:rPr>
          <w:bCs/>
          <w:lang w:val="en-US"/>
        </w:rPr>
        <w:t xml:space="preserve">was </w:t>
      </w:r>
      <w:r w:rsidR="001E2E17" w:rsidRPr="00E72560">
        <w:rPr>
          <w:bCs/>
          <w:lang w:val="en-US"/>
        </w:rPr>
        <w:t>open</w:t>
      </w:r>
      <w:r w:rsidR="00146575" w:rsidRPr="00E72560">
        <w:rPr>
          <w:bCs/>
          <w:lang w:val="en-US"/>
        </w:rPr>
        <w:t xml:space="preserve">, the delegation asked the Committee to </w:t>
      </w:r>
      <w:r w:rsidR="001E2E17" w:rsidRPr="00E72560">
        <w:rPr>
          <w:bCs/>
          <w:lang w:val="en-US"/>
        </w:rPr>
        <w:t xml:space="preserve">abstain from submitting proposed amendments for cases </w:t>
      </w:r>
      <w:r w:rsidR="00146575" w:rsidRPr="00E72560">
        <w:rPr>
          <w:bCs/>
          <w:lang w:val="en-US"/>
        </w:rPr>
        <w:t xml:space="preserve">where </w:t>
      </w:r>
      <w:r w:rsidR="001E2E17" w:rsidRPr="00E72560">
        <w:rPr>
          <w:bCs/>
          <w:lang w:val="en-US"/>
        </w:rPr>
        <w:t xml:space="preserve">there </w:t>
      </w:r>
      <w:r w:rsidR="008D1D39" w:rsidRPr="00E72560">
        <w:rPr>
          <w:bCs/>
          <w:lang w:val="en-US"/>
        </w:rPr>
        <w:t>were</w:t>
      </w:r>
      <w:r w:rsidR="001E2E17" w:rsidRPr="00E72560">
        <w:rPr>
          <w:bCs/>
          <w:lang w:val="en-US"/>
        </w:rPr>
        <w:t xml:space="preserve"> more than two criteri</w:t>
      </w:r>
      <w:r w:rsidR="00E72560">
        <w:rPr>
          <w:bCs/>
          <w:lang w:val="en-US"/>
        </w:rPr>
        <w:t>a resulting in non-inscription.</w:t>
      </w:r>
    </w:p>
    <w:p w14:paraId="31300B0E" w14:textId="07D178F1" w:rsidR="00926F75" w:rsidRPr="00E72560" w:rsidRDefault="00926F75" w:rsidP="00D719F0">
      <w:pPr>
        <w:pStyle w:val="Orateurengris"/>
        <w:spacing w:before="120"/>
        <w:ind w:left="709" w:hanging="709"/>
        <w:rPr>
          <w:rFonts w:eastAsia="Times New Roman"/>
          <w:lang w:val="en-US"/>
        </w:rPr>
      </w:pPr>
      <w:r w:rsidRPr="00E72560">
        <w:rPr>
          <w:lang w:val="en-US"/>
        </w:rPr>
        <w:t xml:space="preserve">The </w:t>
      </w:r>
      <w:r w:rsidRPr="00E72560">
        <w:rPr>
          <w:b/>
          <w:lang w:val="en-US"/>
        </w:rPr>
        <w:t xml:space="preserve">delegation of </w:t>
      </w:r>
      <w:r w:rsidR="00813D19" w:rsidRPr="00E72560">
        <w:rPr>
          <w:b/>
          <w:lang w:val="en-US"/>
        </w:rPr>
        <w:t>Kazakhstan</w:t>
      </w:r>
      <w:r w:rsidRPr="00E72560">
        <w:rPr>
          <w:lang w:val="en-US"/>
        </w:rPr>
        <w:t xml:space="preserve"> </w:t>
      </w:r>
      <w:r w:rsidR="00813D19" w:rsidRPr="00E72560">
        <w:rPr>
          <w:lang w:val="en-US"/>
        </w:rPr>
        <w:t>acknowledged</w:t>
      </w:r>
      <w:r w:rsidR="001A45DF" w:rsidRPr="00E72560">
        <w:rPr>
          <w:lang w:val="en-US"/>
        </w:rPr>
        <w:t xml:space="preserve"> the shortcomings of </w:t>
      </w:r>
      <w:r w:rsidR="001E2E17" w:rsidRPr="00E72560">
        <w:rPr>
          <w:lang w:val="en-US"/>
        </w:rPr>
        <w:t>the file, which were raised by the Evaluation Body</w:t>
      </w:r>
      <w:r w:rsidR="001A45DF" w:rsidRPr="00E72560">
        <w:rPr>
          <w:lang w:val="en-US"/>
        </w:rPr>
        <w:t>,</w:t>
      </w:r>
      <w:r w:rsidR="001E2E17" w:rsidRPr="00E72560">
        <w:rPr>
          <w:lang w:val="en-US"/>
        </w:rPr>
        <w:t xml:space="preserve"> </w:t>
      </w:r>
      <w:r w:rsidR="001A45DF" w:rsidRPr="00E72560">
        <w:rPr>
          <w:lang w:val="en-US"/>
        </w:rPr>
        <w:t xml:space="preserve">but </w:t>
      </w:r>
      <w:r w:rsidR="001E2E17" w:rsidRPr="00E72560">
        <w:rPr>
          <w:lang w:val="en-US"/>
        </w:rPr>
        <w:t>regard</w:t>
      </w:r>
      <w:r w:rsidR="001A45DF" w:rsidRPr="00E72560">
        <w:rPr>
          <w:lang w:val="en-US"/>
        </w:rPr>
        <w:t>ed</w:t>
      </w:r>
      <w:r w:rsidR="001E2E17" w:rsidRPr="00E72560">
        <w:rPr>
          <w:lang w:val="en-US"/>
        </w:rPr>
        <w:t xml:space="preserve"> the nomination itself as very interesting and valuable</w:t>
      </w:r>
      <w:r w:rsidR="001A45DF" w:rsidRPr="00E72560">
        <w:rPr>
          <w:lang w:val="en-US"/>
        </w:rPr>
        <w:t xml:space="preserve">. It </w:t>
      </w:r>
      <w:r w:rsidR="001E2E17" w:rsidRPr="00E72560">
        <w:rPr>
          <w:lang w:val="en-US"/>
        </w:rPr>
        <w:t>therefore support</w:t>
      </w:r>
      <w:r w:rsidR="001A45DF" w:rsidRPr="00E72560">
        <w:rPr>
          <w:lang w:val="en-US"/>
        </w:rPr>
        <w:t>ed</w:t>
      </w:r>
      <w:r w:rsidR="001E2E17" w:rsidRPr="00E72560">
        <w:rPr>
          <w:lang w:val="en-US"/>
        </w:rPr>
        <w:t xml:space="preserve"> Sri Lanka’s proposal to open the file for debate. In this regard</w:t>
      </w:r>
      <w:r w:rsidR="001A45DF" w:rsidRPr="00E72560">
        <w:rPr>
          <w:lang w:val="en-US"/>
        </w:rPr>
        <w:t>,</w:t>
      </w:r>
      <w:r w:rsidR="001E2E17" w:rsidRPr="00E72560">
        <w:rPr>
          <w:lang w:val="en-US"/>
        </w:rPr>
        <w:t xml:space="preserve"> </w:t>
      </w:r>
      <w:r w:rsidR="001A45DF" w:rsidRPr="00E72560">
        <w:rPr>
          <w:lang w:val="en-US"/>
        </w:rPr>
        <w:t>the delegation sought to hear the State Party’s response</w:t>
      </w:r>
      <w:r w:rsidR="001E2E17" w:rsidRPr="00E72560">
        <w:rPr>
          <w:lang w:val="en-US"/>
        </w:rPr>
        <w:t xml:space="preserve"> to the comments of the Evaluation Body</w:t>
      </w:r>
      <w:r w:rsidR="001A45DF" w:rsidRPr="00E72560">
        <w:rPr>
          <w:lang w:val="en-US"/>
        </w:rPr>
        <w:t>,</w:t>
      </w:r>
      <w:r w:rsidR="001E2E17" w:rsidRPr="00E72560">
        <w:rPr>
          <w:lang w:val="en-US"/>
        </w:rPr>
        <w:t xml:space="preserve"> especially in regard to the particip</w:t>
      </w:r>
      <w:r w:rsidR="001A45DF" w:rsidRPr="00E72560">
        <w:rPr>
          <w:lang w:val="en-US"/>
        </w:rPr>
        <w:t>ation of the communities practising this element.</w:t>
      </w:r>
    </w:p>
    <w:p w14:paraId="250EA672" w14:textId="2670D054" w:rsidR="004E3C2F" w:rsidRPr="00E72560" w:rsidRDefault="004E3C2F" w:rsidP="00D719F0">
      <w:pPr>
        <w:pStyle w:val="Orateurengris"/>
        <w:spacing w:before="120"/>
        <w:ind w:left="709" w:hanging="709"/>
        <w:rPr>
          <w:rFonts w:eastAsia="Times New Roman"/>
          <w:lang w:val="en-US"/>
        </w:rPr>
      </w:pPr>
      <w:r w:rsidRPr="00E72560">
        <w:rPr>
          <w:lang w:val="en-US"/>
        </w:rPr>
        <w:t xml:space="preserve">The </w:t>
      </w:r>
      <w:r w:rsidRPr="00E72560">
        <w:rPr>
          <w:b/>
          <w:lang w:val="en-US"/>
        </w:rPr>
        <w:t>delegation of the Philippines</w:t>
      </w:r>
      <w:r w:rsidR="001E2E17" w:rsidRPr="00E72560">
        <w:rPr>
          <w:b/>
          <w:lang w:val="en-US"/>
        </w:rPr>
        <w:t xml:space="preserve"> </w:t>
      </w:r>
      <w:r w:rsidR="001A45DF" w:rsidRPr="00E72560">
        <w:rPr>
          <w:lang w:val="en-US"/>
        </w:rPr>
        <w:t>remarked that</w:t>
      </w:r>
      <w:r w:rsidR="001A45DF" w:rsidRPr="00E72560">
        <w:rPr>
          <w:b/>
          <w:lang w:val="en-US"/>
        </w:rPr>
        <w:t xml:space="preserve"> </w:t>
      </w:r>
      <w:r w:rsidR="001A45DF" w:rsidRPr="00E72560">
        <w:rPr>
          <w:lang w:val="en-US"/>
        </w:rPr>
        <w:t xml:space="preserve">like </w:t>
      </w:r>
      <w:r w:rsidR="001E2E17" w:rsidRPr="00E72560">
        <w:rPr>
          <w:lang w:val="en-US"/>
        </w:rPr>
        <w:t xml:space="preserve">other files that </w:t>
      </w:r>
      <w:r w:rsidR="001A45DF" w:rsidRPr="00E72560">
        <w:rPr>
          <w:lang w:val="en-US"/>
        </w:rPr>
        <w:t xml:space="preserve">had </w:t>
      </w:r>
      <w:r w:rsidR="001E2E17" w:rsidRPr="00E72560">
        <w:rPr>
          <w:lang w:val="en-US"/>
        </w:rPr>
        <w:t>received referral recommendations fro</w:t>
      </w:r>
      <w:r w:rsidR="001A45DF" w:rsidRPr="00E72560">
        <w:rPr>
          <w:lang w:val="en-US"/>
        </w:rPr>
        <w:t>m the Evaluation Body</w:t>
      </w:r>
      <w:r w:rsidR="00CB0527" w:rsidRPr="00E72560">
        <w:rPr>
          <w:lang w:val="en-US"/>
        </w:rPr>
        <w:t>,</w:t>
      </w:r>
      <w:r w:rsidR="001A45DF" w:rsidRPr="00E72560">
        <w:rPr>
          <w:lang w:val="en-US"/>
        </w:rPr>
        <w:t xml:space="preserve"> it appeared</w:t>
      </w:r>
      <w:r w:rsidR="001E2E17" w:rsidRPr="00E72560">
        <w:rPr>
          <w:lang w:val="en-US"/>
        </w:rPr>
        <w:t xml:space="preserve"> that the State Party had </w:t>
      </w:r>
      <w:r w:rsidR="002A74FC" w:rsidRPr="00E72560">
        <w:rPr>
          <w:lang w:val="en-US"/>
        </w:rPr>
        <w:t xml:space="preserve">had </w:t>
      </w:r>
      <w:r w:rsidR="001E2E17" w:rsidRPr="00E72560">
        <w:rPr>
          <w:lang w:val="en-US"/>
        </w:rPr>
        <w:t>a difficult time provid</w:t>
      </w:r>
      <w:r w:rsidR="002A74FC" w:rsidRPr="00E72560">
        <w:rPr>
          <w:lang w:val="en-US"/>
        </w:rPr>
        <w:t>ing</w:t>
      </w:r>
      <w:r w:rsidR="001E2E17" w:rsidRPr="00E72560">
        <w:rPr>
          <w:lang w:val="en-US"/>
        </w:rPr>
        <w:t xml:space="preserve"> a clear answer on R.2. </w:t>
      </w:r>
      <w:r w:rsidR="001A45DF" w:rsidRPr="00E72560">
        <w:rPr>
          <w:lang w:val="en-US"/>
        </w:rPr>
        <w:t xml:space="preserve">The delegation </w:t>
      </w:r>
      <w:r w:rsidR="001E2E17" w:rsidRPr="00E72560">
        <w:rPr>
          <w:lang w:val="en-US"/>
        </w:rPr>
        <w:t>reiterate</w:t>
      </w:r>
      <w:r w:rsidR="001A45DF" w:rsidRPr="00E72560">
        <w:rPr>
          <w:lang w:val="en-US"/>
        </w:rPr>
        <w:t>d</w:t>
      </w:r>
      <w:r w:rsidR="001E2E17" w:rsidRPr="00E72560">
        <w:rPr>
          <w:lang w:val="en-US"/>
        </w:rPr>
        <w:t xml:space="preserve"> </w:t>
      </w:r>
      <w:r w:rsidR="001A45DF" w:rsidRPr="00E72560">
        <w:rPr>
          <w:lang w:val="en-US"/>
        </w:rPr>
        <w:t xml:space="preserve">its </w:t>
      </w:r>
      <w:r w:rsidR="001E2E17" w:rsidRPr="00E72560">
        <w:rPr>
          <w:lang w:val="en-US"/>
        </w:rPr>
        <w:t xml:space="preserve">support for </w:t>
      </w:r>
      <w:r w:rsidR="001A45DF" w:rsidRPr="00E72560">
        <w:rPr>
          <w:lang w:val="en-US"/>
        </w:rPr>
        <w:t xml:space="preserve">the </w:t>
      </w:r>
      <w:r w:rsidR="001E2E17" w:rsidRPr="00E72560">
        <w:rPr>
          <w:lang w:val="en-US"/>
        </w:rPr>
        <w:t>review and reformulation of criterion R.2</w:t>
      </w:r>
      <w:r w:rsidR="001A45DF" w:rsidRPr="00E72560">
        <w:rPr>
          <w:lang w:val="en-US"/>
        </w:rPr>
        <w:t>,</w:t>
      </w:r>
      <w:r w:rsidR="001E2E17" w:rsidRPr="00E72560">
        <w:rPr>
          <w:lang w:val="en-US"/>
        </w:rPr>
        <w:t xml:space="preserve"> and </w:t>
      </w:r>
      <w:r w:rsidR="001A45DF" w:rsidRPr="00E72560">
        <w:rPr>
          <w:lang w:val="en-US"/>
        </w:rPr>
        <w:t xml:space="preserve">owing </w:t>
      </w:r>
      <w:r w:rsidR="001E2E17" w:rsidRPr="00E72560">
        <w:rPr>
          <w:lang w:val="en-US"/>
        </w:rPr>
        <w:t>to the limit in the number of words per answer</w:t>
      </w:r>
      <w:r w:rsidR="001A45DF" w:rsidRPr="00E72560">
        <w:rPr>
          <w:lang w:val="en-US"/>
        </w:rPr>
        <w:t>,</w:t>
      </w:r>
      <w:r w:rsidR="001E2E17" w:rsidRPr="00E72560">
        <w:rPr>
          <w:lang w:val="en-US"/>
        </w:rPr>
        <w:t xml:space="preserve"> the State Party was </w:t>
      </w:r>
      <w:r w:rsidR="001A45DF" w:rsidRPr="00E72560">
        <w:rPr>
          <w:lang w:val="en-US"/>
        </w:rPr>
        <w:t xml:space="preserve">unable </w:t>
      </w:r>
      <w:r w:rsidR="001E2E17" w:rsidRPr="00E72560">
        <w:rPr>
          <w:lang w:val="en-US"/>
        </w:rPr>
        <w:t xml:space="preserve">to elaborate comprehensive responses to R.3, R.4 and R.5. </w:t>
      </w:r>
      <w:r w:rsidR="001A45DF" w:rsidRPr="00E72560">
        <w:rPr>
          <w:lang w:val="en-US"/>
        </w:rPr>
        <w:t xml:space="preserve">Moreover, </w:t>
      </w:r>
      <w:r w:rsidR="001E2E17" w:rsidRPr="00E72560">
        <w:rPr>
          <w:lang w:val="en-US"/>
        </w:rPr>
        <w:t xml:space="preserve">matters related to the consent of the communities and </w:t>
      </w:r>
      <w:r w:rsidR="001A45DF" w:rsidRPr="00E72560">
        <w:rPr>
          <w:lang w:val="en-US"/>
        </w:rPr>
        <w:t xml:space="preserve">the </w:t>
      </w:r>
      <w:r w:rsidR="001E2E17" w:rsidRPr="00E72560">
        <w:rPr>
          <w:lang w:val="en-US"/>
        </w:rPr>
        <w:t>inventory could be addressed upstream in a technical manner. For example, the State Party could have been reminded at an earlier stage to secure an updated expression of consent from communities and not resubmit the 2013 consent form. On R.5</w:t>
      </w:r>
      <w:r w:rsidR="001A45DF" w:rsidRPr="00E72560">
        <w:rPr>
          <w:lang w:val="en-US"/>
        </w:rPr>
        <w:t>,</w:t>
      </w:r>
      <w:r w:rsidR="001E2E17" w:rsidRPr="00E72560">
        <w:rPr>
          <w:lang w:val="en-US"/>
        </w:rPr>
        <w:t xml:space="preserve"> the State Party </w:t>
      </w:r>
      <w:r w:rsidR="001A45DF" w:rsidRPr="00E72560">
        <w:rPr>
          <w:lang w:val="en-US"/>
        </w:rPr>
        <w:t xml:space="preserve">could have been </w:t>
      </w:r>
      <w:r w:rsidR="001E2E17" w:rsidRPr="00E72560">
        <w:rPr>
          <w:lang w:val="en-US"/>
        </w:rPr>
        <w:t xml:space="preserve">provided </w:t>
      </w:r>
      <w:r w:rsidR="001A45DF" w:rsidRPr="00E72560">
        <w:rPr>
          <w:lang w:val="en-US"/>
        </w:rPr>
        <w:t xml:space="preserve">with </w:t>
      </w:r>
      <w:r w:rsidR="001E2E17" w:rsidRPr="00E72560">
        <w:rPr>
          <w:lang w:val="en-US"/>
        </w:rPr>
        <w:t>clearer guidance on inventorie</w:t>
      </w:r>
      <w:r w:rsidR="001A45DF" w:rsidRPr="00E72560">
        <w:rPr>
          <w:lang w:val="en-US"/>
        </w:rPr>
        <w:t>s through dialogue and capacity</w:t>
      </w:r>
      <w:r w:rsidR="002A74FC" w:rsidRPr="00E72560">
        <w:rPr>
          <w:lang w:val="en-US"/>
        </w:rPr>
        <w:t xml:space="preserve"> </w:t>
      </w:r>
      <w:r w:rsidR="001A45DF" w:rsidRPr="00E72560">
        <w:rPr>
          <w:lang w:val="en-US"/>
        </w:rPr>
        <w:t xml:space="preserve">building, and it </w:t>
      </w:r>
      <w:r w:rsidR="001E2E17" w:rsidRPr="00E72560">
        <w:rPr>
          <w:lang w:val="en-US"/>
        </w:rPr>
        <w:t>may wish to submit requests for International Assistance in this regard. On R.3</w:t>
      </w:r>
      <w:r w:rsidR="001A45DF" w:rsidRPr="00E72560">
        <w:rPr>
          <w:lang w:val="en-US"/>
        </w:rPr>
        <w:t xml:space="preserve">, </w:t>
      </w:r>
      <w:r w:rsidR="00DD02C1" w:rsidRPr="00E72560">
        <w:rPr>
          <w:lang w:val="en-US"/>
        </w:rPr>
        <w:t xml:space="preserve">it </w:t>
      </w:r>
      <w:r w:rsidR="001E2E17" w:rsidRPr="00E72560">
        <w:rPr>
          <w:lang w:val="en-US"/>
        </w:rPr>
        <w:t>share</w:t>
      </w:r>
      <w:r w:rsidR="00DD02C1" w:rsidRPr="00E72560">
        <w:rPr>
          <w:lang w:val="en-US"/>
        </w:rPr>
        <w:t>d</w:t>
      </w:r>
      <w:r w:rsidR="001E2E17" w:rsidRPr="00E72560">
        <w:rPr>
          <w:lang w:val="en-US"/>
        </w:rPr>
        <w:t xml:space="preserve"> the view that a more detailed plan with a timeline and budget estimate could be useful. In conclusion, </w:t>
      </w:r>
      <w:r w:rsidR="001A45DF" w:rsidRPr="00E72560">
        <w:rPr>
          <w:lang w:val="en-US"/>
        </w:rPr>
        <w:t xml:space="preserve">it </w:t>
      </w:r>
      <w:r w:rsidR="001E2E17" w:rsidRPr="00E72560">
        <w:rPr>
          <w:lang w:val="en-US"/>
        </w:rPr>
        <w:t>agree</w:t>
      </w:r>
      <w:r w:rsidR="00DD02C1" w:rsidRPr="00E72560">
        <w:rPr>
          <w:lang w:val="en-US"/>
        </w:rPr>
        <w:t>d</w:t>
      </w:r>
      <w:r w:rsidR="001E2E17" w:rsidRPr="00E72560">
        <w:rPr>
          <w:lang w:val="en-US"/>
        </w:rPr>
        <w:t xml:space="preserve"> that Rickshaw a</w:t>
      </w:r>
      <w:r w:rsidR="001A45DF" w:rsidRPr="00E72560">
        <w:rPr>
          <w:lang w:val="en-US"/>
        </w:rPr>
        <w:t xml:space="preserve">nd rickshaw painting constituted intangible cultural heritage, and it </w:t>
      </w:r>
      <w:r w:rsidR="001E2E17" w:rsidRPr="00E72560">
        <w:rPr>
          <w:lang w:val="en-US"/>
        </w:rPr>
        <w:t>concur</w:t>
      </w:r>
      <w:r w:rsidR="001A45DF" w:rsidRPr="00E72560">
        <w:rPr>
          <w:lang w:val="en-US"/>
        </w:rPr>
        <w:t>red</w:t>
      </w:r>
      <w:r w:rsidR="001E2E17" w:rsidRPr="00E72560">
        <w:rPr>
          <w:lang w:val="en-US"/>
        </w:rPr>
        <w:t xml:space="preserve"> with the recommendation of the Evaluation Body to refer the nomination of the element at this time so that the State Party </w:t>
      </w:r>
      <w:r w:rsidR="002A74FC" w:rsidRPr="00E72560">
        <w:rPr>
          <w:lang w:val="en-US"/>
        </w:rPr>
        <w:t xml:space="preserve">could </w:t>
      </w:r>
      <w:r w:rsidR="001E2E17" w:rsidRPr="00E72560">
        <w:rPr>
          <w:lang w:val="en-US"/>
        </w:rPr>
        <w:t xml:space="preserve">further improve the nomination with a view to its future inscription. </w:t>
      </w:r>
      <w:r w:rsidR="00DD02C1" w:rsidRPr="00E72560">
        <w:rPr>
          <w:lang w:val="en-US"/>
        </w:rPr>
        <w:t xml:space="preserve">It </w:t>
      </w:r>
      <w:r w:rsidR="001E2E17" w:rsidRPr="00E72560">
        <w:rPr>
          <w:lang w:val="en-US"/>
        </w:rPr>
        <w:t>support</w:t>
      </w:r>
      <w:r w:rsidR="001A45DF" w:rsidRPr="00E72560">
        <w:rPr>
          <w:lang w:val="en-US"/>
        </w:rPr>
        <w:t>ed</w:t>
      </w:r>
      <w:r w:rsidR="001E2E17" w:rsidRPr="00E72560">
        <w:rPr>
          <w:lang w:val="en-US"/>
        </w:rPr>
        <w:t xml:space="preserve"> the request for the State Party to take the fl</w:t>
      </w:r>
      <w:r w:rsidR="00E72560">
        <w:rPr>
          <w:lang w:val="en-US"/>
        </w:rPr>
        <w:t>oor.</w:t>
      </w:r>
    </w:p>
    <w:p w14:paraId="1CFC5878" w14:textId="0751382F" w:rsidR="007E44F5" w:rsidRPr="00E72560" w:rsidRDefault="007E44F5" w:rsidP="00D719F0">
      <w:pPr>
        <w:pStyle w:val="Orateurengris"/>
        <w:spacing w:before="120"/>
        <w:ind w:left="709" w:hanging="709"/>
        <w:rPr>
          <w:rFonts w:eastAsia="Times New Roman"/>
          <w:lang w:val="en-US"/>
        </w:rPr>
      </w:pPr>
      <w:r w:rsidRPr="00E72560">
        <w:rPr>
          <w:lang w:val="en-US"/>
        </w:rPr>
        <w:t xml:space="preserve">The </w:t>
      </w:r>
      <w:r w:rsidRPr="00E72560">
        <w:rPr>
          <w:b/>
          <w:lang w:val="en-US"/>
        </w:rPr>
        <w:t>delegation of Japan</w:t>
      </w:r>
      <w:r w:rsidRPr="00E72560">
        <w:rPr>
          <w:lang w:val="en-US"/>
        </w:rPr>
        <w:t xml:space="preserve"> </w:t>
      </w:r>
      <w:r w:rsidR="001E2E17" w:rsidRPr="00E72560">
        <w:rPr>
          <w:lang w:val="en-US"/>
        </w:rPr>
        <w:t>express</w:t>
      </w:r>
      <w:r w:rsidR="001A45DF" w:rsidRPr="00E72560">
        <w:rPr>
          <w:lang w:val="en-US"/>
        </w:rPr>
        <w:t>ed</w:t>
      </w:r>
      <w:r w:rsidR="001E2E17" w:rsidRPr="00E72560">
        <w:rPr>
          <w:lang w:val="en-US"/>
        </w:rPr>
        <w:t xml:space="preserve"> strong sympathy </w:t>
      </w:r>
      <w:r w:rsidR="002A74FC" w:rsidRPr="00E72560">
        <w:rPr>
          <w:lang w:val="en-US"/>
        </w:rPr>
        <w:t xml:space="preserve">with </w:t>
      </w:r>
      <w:r w:rsidR="001E2E17" w:rsidRPr="00E72560">
        <w:rPr>
          <w:lang w:val="en-US"/>
        </w:rPr>
        <w:t xml:space="preserve">Bangladesh and </w:t>
      </w:r>
      <w:r w:rsidR="001A45DF" w:rsidRPr="00E72560">
        <w:rPr>
          <w:lang w:val="en-US"/>
        </w:rPr>
        <w:t xml:space="preserve">a </w:t>
      </w:r>
      <w:r w:rsidR="001E2E17" w:rsidRPr="00E72560">
        <w:rPr>
          <w:lang w:val="en-US"/>
        </w:rPr>
        <w:t>high appreciation of the value of this element</w:t>
      </w:r>
      <w:r w:rsidR="001A45DF" w:rsidRPr="00E72560">
        <w:rPr>
          <w:lang w:val="en-US"/>
        </w:rPr>
        <w:t xml:space="preserve">, adding that </w:t>
      </w:r>
      <w:r w:rsidR="001E2E17" w:rsidRPr="00E72560">
        <w:rPr>
          <w:lang w:val="en-US"/>
        </w:rPr>
        <w:t xml:space="preserve">rickshaw </w:t>
      </w:r>
      <w:r w:rsidR="001A45DF" w:rsidRPr="00E72560">
        <w:rPr>
          <w:lang w:val="en-US"/>
        </w:rPr>
        <w:t>is also a Japanese word in that ‘rick’ means power and ‘shaw’</w:t>
      </w:r>
      <w:r w:rsidR="001E2E17" w:rsidRPr="00E72560">
        <w:rPr>
          <w:lang w:val="en-US"/>
        </w:rPr>
        <w:t xml:space="preserve"> means vehicle. </w:t>
      </w:r>
      <w:r w:rsidR="001A45DF" w:rsidRPr="00E72560">
        <w:rPr>
          <w:lang w:val="en-US"/>
        </w:rPr>
        <w:t>In Japanese</w:t>
      </w:r>
      <w:r w:rsidR="002A74FC" w:rsidRPr="00E72560">
        <w:rPr>
          <w:lang w:val="en-US"/>
        </w:rPr>
        <w:t>,</w:t>
      </w:r>
      <w:r w:rsidR="001A45DF" w:rsidRPr="00E72560">
        <w:rPr>
          <w:lang w:val="en-US"/>
        </w:rPr>
        <w:t xml:space="preserve"> it is called </w:t>
      </w:r>
      <w:r w:rsidR="001E2E17" w:rsidRPr="00E72560">
        <w:rPr>
          <w:bCs/>
          <w:i/>
          <w:lang w:val="en-US"/>
        </w:rPr>
        <w:t>jinrikisha</w:t>
      </w:r>
      <w:r w:rsidR="001A45DF" w:rsidRPr="00E72560">
        <w:rPr>
          <w:bCs/>
          <w:i/>
          <w:lang w:val="en-US"/>
        </w:rPr>
        <w:t>,</w:t>
      </w:r>
      <w:r w:rsidR="001E2E17" w:rsidRPr="00E72560">
        <w:rPr>
          <w:bCs/>
          <w:lang w:val="en-US"/>
        </w:rPr>
        <w:t xml:space="preserve"> </w:t>
      </w:r>
      <w:r w:rsidR="001A45DF" w:rsidRPr="00E72560">
        <w:rPr>
          <w:bCs/>
          <w:lang w:val="en-US"/>
        </w:rPr>
        <w:t>where ‘jin’</w:t>
      </w:r>
      <w:r w:rsidR="001E2E17" w:rsidRPr="00E72560">
        <w:rPr>
          <w:bCs/>
          <w:lang w:val="en-US"/>
        </w:rPr>
        <w:t xml:space="preserve"> means human</w:t>
      </w:r>
      <w:r w:rsidR="001A45DF" w:rsidRPr="00E72560">
        <w:rPr>
          <w:bCs/>
          <w:lang w:val="en-US"/>
        </w:rPr>
        <w:t xml:space="preserve">, i.e. </w:t>
      </w:r>
      <w:r w:rsidR="001E2E17" w:rsidRPr="00E72560">
        <w:rPr>
          <w:bCs/>
          <w:lang w:val="en-US"/>
        </w:rPr>
        <w:t xml:space="preserve">a human-powered vehicle. </w:t>
      </w:r>
      <w:r w:rsidR="00C46B9F" w:rsidRPr="00E72560">
        <w:rPr>
          <w:bCs/>
          <w:lang w:val="en-US"/>
        </w:rPr>
        <w:t>The delegation remarked that t</w:t>
      </w:r>
      <w:r w:rsidR="001E2E17" w:rsidRPr="00E72560">
        <w:rPr>
          <w:bCs/>
          <w:lang w:val="en-US"/>
        </w:rPr>
        <w:t xml:space="preserve">his case </w:t>
      </w:r>
      <w:r w:rsidR="00C46B9F" w:rsidRPr="00E72560">
        <w:rPr>
          <w:bCs/>
          <w:lang w:val="en-US"/>
        </w:rPr>
        <w:t xml:space="preserve">gave </w:t>
      </w:r>
      <w:r w:rsidR="00EF7861" w:rsidRPr="00E72560">
        <w:rPr>
          <w:bCs/>
          <w:lang w:val="en-US"/>
        </w:rPr>
        <w:t xml:space="preserve">many reasons </w:t>
      </w:r>
      <w:r w:rsidR="001E2E17" w:rsidRPr="00E72560">
        <w:rPr>
          <w:bCs/>
          <w:lang w:val="en-US"/>
        </w:rPr>
        <w:t xml:space="preserve">to address </w:t>
      </w:r>
      <w:r w:rsidR="00EF7861" w:rsidRPr="00E72560">
        <w:rPr>
          <w:bCs/>
          <w:lang w:val="en-US"/>
        </w:rPr>
        <w:t xml:space="preserve">the process of reflection and it </w:t>
      </w:r>
      <w:r w:rsidR="001E2E17" w:rsidRPr="00E72560">
        <w:rPr>
          <w:bCs/>
          <w:lang w:val="en-US"/>
        </w:rPr>
        <w:t>agree</w:t>
      </w:r>
      <w:r w:rsidR="00EF7861" w:rsidRPr="00E72560">
        <w:rPr>
          <w:bCs/>
          <w:lang w:val="en-US"/>
        </w:rPr>
        <w:t>d</w:t>
      </w:r>
      <w:r w:rsidR="001E2E17" w:rsidRPr="00E72560">
        <w:rPr>
          <w:bCs/>
          <w:lang w:val="en-US"/>
        </w:rPr>
        <w:t xml:space="preserve"> with Palestine that </w:t>
      </w:r>
      <w:r w:rsidR="00EF7861" w:rsidRPr="00E72560">
        <w:rPr>
          <w:bCs/>
          <w:lang w:val="en-US"/>
        </w:rPr>
        <w:t xml:space="preserve">the issue of dialogue </w:t>
      </w:r>
      <w:r w:rsidR="001E2E17" w:rsidRPr="00E72560">
        <w:rPr>
          <w:bCs/>
          <w:lang w:val="en-US"/>
        </w:rPr>
        <w:t xml:space="preserve">should </w:t>
      </w:r>
      <w:r w:rsidR="00EF7861" w:rsidRPr="00E72560">
        <w:rPr>
          <w:bCs/>
          <w:lang w:val="en-US"/>
        </w:rPr>
        <w:t xml:space="preserve">be </w:t>
      </w:r>
      <w:r w:rsidR="001E2E17" w:rsidRPr="00E72560">
        <w:rPr>
          <w:bCs/>
          <w:lang w:val="en-US"/>
        </w:rPr>
        <w:t>address</w:t>
      </w:r>
      <w:r w:rsidR="00EF7861" w:rsidRPr="00E72560">
        <w:rPr>
          <w:bCs/>
          <w:lang w:val="en-US"/>
        </w:rPr>
        <w:t>ed</w:t>
      </w:r>
      <w:r w:rsidR="001E2E17" w:rsidRPr="00E72560">
        <w:rPr>
          <w:bCs/>
          <w:lang w:val="en-US"/>
        </w:rPr>
        <w:t xml:space="preserve">. </w:t>
      </w:r>
      <w:r w:rsidR="00EF7861" w:rsidRPr="00E72560">
        <w:rPr>
          <w:bCs/>
          <w:lang w:val="en-US"/>
        </w:rPr>
        <w:t>O</w:t>
      </w:r>
      <w:r w:rsidR="001E2E17" w:rsidRPr="00E72560">
        <w:rPr>
          <w:bCs/>
          <w:lang w:val="en-US"/>
        </w:rPr>
        <w:t xml:space="preserve">nce again, the point </w:t>
      </w:r>
      <w:r w:rsidR="00EF7861" w:rsidRPr="00E72560">
        <w:rPr>
          <w:bCs/>
          <w:lang w:val="en-US"/>
        </w:rPr>
        <w:t xml:space="preserve">of whether the Evaluation Body should be allowed access to </w:t>
      </w:r>
      <w:r w:rsidR="002A74FC" w:rsidRPr="00E72560">
        <w:rPr>
          <w:bCs/>
          <w:lang w:val="en-US"/>
        </w:rPr>
        <w:t xml:space="preserve">internet </w:t>
      </w:r>
      <w:r w:rsidR="00EF7861" w:rsidRPr="00E72560">
        <w:rPr>
          <w:bCs/>
          <w:lang w:val="en-US"/>
        </w:rPr>
        <w:t xml:space="preserve">information should be </w:t>
      </w:r>
      <w:r w:rsidR="00DD02C1" w:rsidRPr="00E72560">
        <w:rPr>
          <w:bCs/>
          <w:lang w:val="en-US"/>
        </w:rPr>
        <w:t xml:space="preserve">determined </w:t>
      </w:r>
      <w:r w:rsidR="001E2E17" w:rsidRPr="00E72560">
        <w:rPr>
          <w:bCs/>
          <w:lang w:val="en-US"/>
        </w:rPr>
        <w:t xml:space="preserve">in the </w:t>
      </w:r>
      <w:r w:rsidR="002A74FC" w:rsidRPr="00E72560">
        <w:rPr>
          <w:bCs/>
          <w:lang w:val="en-US"/>
        </w:rPr>
        <w:t xml:space="preserve">reflection </w:t>
      </w:r>
      <w:r w:rsidR="001E2E17" w:rsidRPr="00E72560">
        <w:rPr>
          <w:bCs/>
          <w:lang w:val="en-US"/>
        </w:rPr>
        <w:t xml:space="preserve">process </w:t>
      </w:r>
      <w:r w:rsidR="00DD02C1" w:rsidRPr="00E72560">
        <w:rPr>
          <w:bCs/>
          <w:lang w:val="en-US"/>
        </w:rPr>
        <w:t>and</w:t>
      </w:r>
      <w:r w:rsidR="001E2E17" w:rsidRPr="00E72560">
        <w:rPr>
          <w:bCs/>
          <w:lang w:val="en-US"/>
        </w:rPr>
        <w:t xml:space="preserve"> in the modality of the evaluation</w:t>
      </w:r>
      <w:r w:rsidR="00EF7861" w:rsidRPr="00E72560">
        <w:rPr>
          <w:bCs/>
          <w:lang w:val="en-US"/>
        </w:rPr>
        <w:t>,</w:t>
      </w:r>
      <w:r w:rsidR="001E2E17" w:rsidRPr="00E72560">
        <w:rPr>
          <w:bCs/>
          <w:lang w:val="en-US"/>
        </w:rPr>
        <w:t xml:space="preserve"> </w:t>
      </w:r>
      <w:r w:rsidR="00EF7861" w:rsidRPr="00E72560">
        <w:rPr>
          <w:bCs/>
          <w:lang w:val="en-US"/>
        </w:rPr>
        <w:t xml:space="preserve">as well as </w:t>
      </w:r>
      <w:r w:rsidR="00BB6B57" w:rsidRPr="00E72560">
        <w:rPr>
          <w:bCs/>
          <w:lang w:val="en-US"/>
        </w:rPr>
        <w:t>many other points</w:t>
      </w:r>
      <w:r w:rsidR="00EF7861" w:rsidRPr="00E72560">
        <w:rPr>
          <w:bCs/>
          <w:lang w:val="en-US"/>
        </w:rPr>
        <w:t xml:space="preserve">, </w:t>
      </w:r>
      <w:r w:rsidR="00BB6B57" w:rsidRPr="00E72560">
        <w:rPr>
          <w:bCs/>
          <w:lang w:val="en-US"/>
        </w:rPr>
        <w:t xml:space="preserve">such as </w:t>
      </w:r>
      <w:r w:rsidR="001E2E17" w:rsidRPr="00E72560">
        <w:rPr>
          <w:bCs/>
          <w:lang w:val="en-US"/>
        </w:rPr>
        <w:t>the modality of dialogue and consultation</w:t>
      </w:r>
      <w:r w:rsidR="00EF7861" w:rsidRPr="00E72560">
        <w:rPr>
          <w:bCs/>
          <w:lang w:val="en-US"/>
        </w:rPr>
        <w:t>,</w:t>
      </w:r>
      <w:r w:rsidR="001E2E17" w:rsidRPr="00E72560">
        <w:rPr>
          <w:bCs/>
          <w:lang w:val="en-US"/>
        </w:rPr>
        <w:t xml:space="preserve"> as well as the instructions given to the Evaluation Body based on the Operational Guidelines and </w:t>
      </w:r>
      <w:r w:rsidR="004722FA" w:rsidRPr="00E72560">
        <w:rPr>
          <w:bCs/>
          <w:lang w:val="en-US"/>
        </w:rPr>
        <w:t xml:space="preserve">the </w:t>
      </w:r>
      <w:r w:rsidR="00571BE4" w:rsidRPr="00E72560">
        <w:rPr>
          <w:bCs/>
          <w:i/>
          <w:lang w:val="en-US"/>
        </w:rPr>
        <w:t>aide-</w:t>
      </w:r>
      <w:r w:rsidR="004722FA" w:rsidRPr="00E72560">
        <w:rPr>
          <w:bCs/>
          <w:i/>
          <w:lang w:val="en-US"/>
        </w:rPr>
        <w:t>memoire</w:t>
      </w:r>
      <w:r w:rsidR="008E6B91" w:rsidRPr="003221D5">
        <w:rPr>
          <w:rStyle w:val="FootnoteReference"/>
          <w:bCs/>
          <w:lang w:val="en-US"/>
        </w:rPr>
        <w:footnoteReference w:id="28"/>
      </w:r>
      <w:r w:rsidR="004722FA" w:rsidRPr="00E72560">
        <w:rPr>
          <w:bCs/>
          <w:lang w:val="en-US"/>
        </w:rPr>
        <w:t>.</w:t>
      </w:r>
    </w:p>
    <w:p w14:paraId="16730003" w14:textId="20D404F2" w:rsidR="00EC26D9" w:rsidRPr="00813D19" w:rsidRDefault="00EC26D9" w:rsidP="00D719F0">
      <w:pPr>
        <w:pStyle w:val="Orateurengris"/>
        <w:spacing w:before="120"/>
        <w:ind w:left="709" w:hanging="709"/>
        <w:rPr>
          <w:lang w:val="en-US"/>
        </w:rPr>
      </w:pPr>
      <w:r w:rsidRPr="00E72560">
        <w:rPr>
          <w:lang w:val="en-US"/>
        </w:rPr>
        <w:t xml:space="preserve">The </w:t>
      </w:r>
      <w:r w:rsidRPr="00E72560">
        <w:rPr>
          <w:b/>
          <w:lang w:val="en-US"/>
        </w:rPr>
        <w:t xml:space="preserve">delegation of </w:t>
      </w:r>
      <w:r w:rsidR="001E40ED" w:rsidRPr="00E72560">
        <w:rPr>
          <w:b/>
          <w:lang w:val="en-US"/>
        </w:rPr>
        <w:t>Azerbaijan</w:t>
      </w:r>
      <w:r w:rsidR="001E40ED" w:rsidRPr="00E72560">
        <w:rPr>
          <w:lang w:val="en-US"/>
        </w:rPr>
        <w:t xml:space="preserve"> </w:t>
      </w:r>
      <w:r w:rsidR="001E2E17" w:rsidRPr="00E72560">
        <w:rPr>
          <w:lang w:val="en-US"/>
        </w:rPr>
        <w:t>thank</w:t>
      </w:r>
      <w:r w:rsidR="001A45DF" w:rsidRPr="00E72560">
        <w:rPr>
          <w:lang w:val="en-US"/>
        </w:rPr>
        <w:t>ed</w:t>
      </w:r>
      <w:r w:rsidR="001E2E17" w:rsidRPr="00E72560">
        <w:rPr>
          <w:lang w:val="en-US"/>
        </w:rPr>
        <w:t xml:space="preserve"> Bangladesh for submitting this file on the vibrant heritage of rickshaws and rickshaw painting in Dhaka. </w:t>
      </w:r>
      <w:r w:rsidR="00082333" w:rsidRPr="00E72560">
        <w:rPr>
          <w:lang w:val="en-US"/>
        </w:rPr>
        <w:t xml:space="preserve">It </w:t>
      </w:r>
      <w:r w:rsidR="001E2E17" w:rsidRPr="00E72560">
        <w:rPr>
          <w:lang w:val="en-US"/>
        </w:rPr>
        <w:t xml:space="preserve">was particularly interested to discover an example of folk art and craftsmanship that </w:t>
      </w:r>
      <w:r w:rsidR="00082333" w:rsidRPr="00E72560">
        <w:rPr>
          <w:lang w:val="en-US"/>
        </w:rPr>
        <w:t xml:space="preserve">had </w:t>
      </w:r>
      <w:r w:rsidR="001E2E17" w:rsidRPr="00E72560">
        <w:rPr>
          <w:lang w:val="en-US"/>
        </w:rPr>
        <w:t xml:space="preserve">been transmitted from generation to generation in an urban setting. </w:t>
      </w:r>
      <w:r w:rsidR="00082333" w:rsidRPr="00E72560">
        <w:rPr>
          <w:lang w:val="en-US"/>
        </w:rPr>
        <w:t xml:space="preserve">The delegation </w:t>
      </w:r>
      <w:r w:rsidR="001E2E17" w:rsidRPr="00E72560">
        <w:rPr>
          <w:lang w:val="en-US"/>
        </w:rPr>
        <w:t>also note</w:t>
      </w:r>
      <w:r w:rsidR="00082333" w:rsidRPr="00E72560">
        <w:rPr>
          <w:lang w:val="en-US"/>
        </w:rPr>
        <w:t>d</w:t>
      </w:r>
      <w:r w:rsidR="001E2E17" w:rsidRPr="00E72560">
        <w:rPr>
          <w:lang w:val="en-US"/>
        </w:rPr>
        <w:t xml:space="preserve"> with appreciation the environmental aspect of this urban heritage</w:t>
      </w:r>
      <w:r w:rsidR="00082333" w:rsidRPr="00E72560">
        <w:rPr>
          <w:lang w:val="en-US"/>
        </w:rPr>
        <w:t>,</w:t>
      </w:r>
      <w:r w:rsidR="001E2E17" w:rsidRPr="00E72560">
        <w:rPr>
          <w:lang w:val="en-US"/>
        </w:rPr>
        <w:t xml:space="preserve"> as the rickshaw </w:t>
      </w:r>
      <w:r w:rsidR="00082333" w:rsidRPr="00E72560">
        <w:rPr>
          <w:lang w:val="en-US"/>
        </w:rPr>
        <w:t>w</w:t>
      </w:r>
      <w:r w:rsidR="002A74FC" w:rsidRPr="00E72560">
        <w:rPr>
          <w:lang w:val="en-US"/>
        </w:rPr>
        <w:t>as</w:t>
      </w:r>
      <w:r w:rsidR="00082333" w:rsidRPr="00E72560">
        <w:rPr>
          <w:lang w:val="en-US"/>
        </w:rPr>
        <w:t xml:space="preserve"> </w:t>
      </w:r>
      <w:r w:rsidR="001E2E17" w:rsidRPr="00E72560">
        <w:rPr>
          <w:lang w:val="en-US"/>
        </w:rPr>
        <w:t>indeed a very environmental</w:t>
      </w:r>
      <w:r w:rsidR="008E6B91" w:rsidRPr="00E72560">
        <w:rPr>
          <w:lang w:val="en-US"/>
        </w:rPr>
        <w:t>ly</w:t>
      </w:r>
      <w:r w:rsidR="001E2E17" w:rsidRPr="00E72560">
        <w:rPr>
          <w:lang w:val="en-US"/>
        </w:rPr>
        <w:t>-friendly mode of transport</w:t>
      </w:r>
      <w:r w:rsidR="00082333" w:rsidRPr="00E72560">
        <w:rPr>
          <w:lang w:val="en-US"/>
        </w:rPr>
        <w:t>,</w:t>
      </w:r>
      <w:r w:rsidR="001E2E17" w:rsidRPr="00E72560">
        <w:rPr>
          <w:lang w:val="en-US"/>
        </w:rPr>
        <w:t xml:space="preserve"> and it </w:t>
      </w:r>
      <w:r w:rsidR="00082333" w:rsidRPr="00E72560">
        <w:rPr>
          <w:lang w:val="en-US"/>
        </w:rPr>
        <w:t xml:space="preserve">was thus </w:t>
      </w:r>
      <w:r w:rsidR="001E2E17" w:rsidRPr="00E72560">
        <w:rPr>
          <w:lang w:val="en-US"/>
        </w:rPr>
        <w:t>interesting to see the case where culture cont</w:t>
      </w:r>
      <w:r w:rsidR="00082333" w:rsidRPr="00E72560">
        <w:rPr>
          <w:lang w:val="en-US"/>
        </w:rPr>
        <w:t>ributed</w:t>
      </w:r>
      <w:r w:rsidR="001E2E17" w:rsidRPr="00E72560">
        <w:rPr>
          <w:lang w:val="en-US"/>
        </w:rPr>
        <w:t xml:space="preserve"> to environmental sustainability. Regarding criteria R.2 and R.3</w:t>
      </w:r>
      <w:r w:rsidR="00082333" w:rsidRPr="00E72560">
        <w:rPr>
          <w:lang w:val="en-US"/>
        </w:rPr>
        <w:t>,</w:t>
      </w:r>
      <w:r w:rsidR="001E2E17" w:rsidRPr="00E72560">
        <w:rPr>
          <w:lang w:val="en-US"/>
        </w:rPr>
        <w:t xml:space="preserve"> </w:t>
      </w:r>
      <w:r w:rsidR="008E6B91" w:rsidRPr="00E72560">
        <w:rPr>
          <w:lang w:val="en-US"/>
        </w:rPr>
        <w:t xml:space="preserve">it wished </w:t>
      </w:r>
      <w:r w:rsidR="001E2E17" w:rsidRPr="00E72560">
        <w:rPr>
          <w:lang w:val="en-US"/>
        </w:rPr>
        <w:t>to hear from the State Party. Regarding criterion R.4</w:t>
      </w:r>
      <w:r w:rsidR="00082333" w:rsidRPr="00E72560">
        <w:rPr>
          <w:lang w:val="en-US"/>
        </w:rPr>
        <w:t>,</w:t>
      </w:r>
      <w:r w:rsidR="001E2E17" w:rsidRPr="00E72560">
        <w:rPr>
          <w:lang w:val="en-US"/>
        </w:rPr>
        <w:t xml:space="preserve"> </w:t>
      </w:r>
      <w:r w:rsidR="00082333" w:rsidRPr="00E72560">
        <w:rPr>
          <w:lang w:val="en-US"/>
        </w:rPr>
        <w:t>after careful study,</w:t>
      </w:r>
      <w:r w:rsidR="001E2E17" w:rsidRPr="00E72560">
        <w:rPr>
          <w:lang w:val="en-US"/>
        </w:rPr>
        <w:t xml:space="preserve"> </w:t>
      </w:r>
      <w:r w:rsidR="00082333" w:rsidRPr="00E72560">
        <w:rPr>
          <w:lang w:val="en-US"/>
        </w:rPr>
        <w:t xml:space="preserve">although it </w:t>
      </w:r>
      <w:r w:rsidR="001E2E17" w:rsidRPr="00E72560">
        <w:rPr>
          <w:lang w:val="en-US"/>
        </w:rPr>
        <w:t>agree</w:t>
      </w:r>
      <w:r w:rsidR="00082333" w:rsidRPr="00E72560">
        <w:rPr>
          <w:lang w:val="en-US"/>
        </w:rPr>
        <w:t>d</w:t>
      </w:r>
      <w:r w:rsidR="001E2E17" w:rsidRPr="00E72560">
        <w:rPr>
          <w:lang w:val="en-US"/>
        </w:rPr>
        <w:t xml:space="preserve"> that more structured and detailed information on each of the subsections could have been provided</w:t>
      </w:r>
      <w:r w:rsidR="00082333" w:rsidRPr="00E72560">
        <w:rPr>
          <w:lang w:val="en-US"/>
        </w:rPr>
        <w:t>,</w:t>
      </w:r>
      <w:r w:rsidR="001E2E17" w:rsidRPr="00E72560">
        <w:rPr>
          <w:lang w:val="en-US"/>
        </w:rPr>
        <w:t xml:space="preserve"> </w:t>
      </w:r>
      <w:r w:rsidR="00082333" w:rsidRPr="00E72560">
        <w:rPr>
          <w:lang w:val="en-US"/>
        </w:rPr>
        <w:t xml:space="preserve">the delegation </w:t>
      </w:r>
      <w:r w:rsidR="001E2E17" w:rsidRPr="00E72560">
        <w:rPr>
          <w:lang w:val="en-US"/>
        </w:rPr>
        <w:t>found some information that could possibly respond to the concerns</w:t>
      </w:r>
      <w:r w:rsidR="00AF51D1" w:rsidRPr="00E72560">
        <w:rPr>
          <w:lang w:val="en-US"/>
        </w:rPr>
        <w:t xml:space="preserve"> raised by the Evaluation Body. The delegation recalled that t</w:t>
      </w:r>
      <w:r w:rsidR="001E2E17" w:rsidRPr="00E72560">
        <w:rPr>
          <w:lang w:val="en-US"/>
        </w:rPr>
        <w:t>he issue of who is entitled to r</w:t>
      </w:r>
      <w:r w:rsidR="00AF51D1" w:rsidRPr="00E72560">
        <w:rPr>
          <w:lang w:val="en-US"/>
        </w:rPr>
        <w:t>epresent communities and why had</w:t>
      </w:r>
      <w:r w:rsidR="001E2E17" w:rsidRPr="00E72560">
        <w:rPr>
          <w:lang w:val="en-US"/>
        </w:rPr>
        <w:t xml:space="preserve"> been debated by the Committee many times during its previous sessions. </w:t>
      </w:r>
      <w:r w:rsidR="00AF51D1" w:rsidRPr="00E72560">
        <w:rPr>
          <w:lang w:val="en-US"/>
        </w:rPr>
        <w:t xml:space="preserve">In both </w:t>
      </w:r>
      <w:r w:rsidR="002A74FC" w:rsidRPr="00E72560">
        <w:rPr>
          <w:lang w:val="en-US"/>
        </w:rPr>
        <w:t xml:space="preserve">Sections </w:t>
      </w:r>
      <w:r w:rsidR="00AF51D1" w:rsidRPr="00E72560">
        <w:rPr>
          <w:lang w:val="en-US"/>
        </w:rPr>
        <w:t>4.</w:t>
      </w:r>
      <w:r w:rsidR="001E2E17" w:rsidRPr="00E72560">
        <w:rPr>
          <w:lang w:val="en-US"/>
        </w:rPr>
        <w:t xml:space="preserve">a and </w:t>
      </w:r>
      <w:r w:rsidR="00AF51D1" w:rsidRPr="00E72560">
        <w:rPr>
          <w:lang w:val="en-US"/>
        </w:rPr>
        <w:t>4.</w:t>
      </w:r>
      <w:r w:rsidR="001E2E17" w:rsidRPr="00E72560">
        <w:rPr>
          <w:lang w:val="en-US"/>
        </w:rPr>
        <w:t xml:space="preserve">b, </w:t>
      </w:r>
      <w:r w:rsidR="008E6B91" w:rsidRPr="00E72560">
        <w:rPr>
          <w:lang w:val="en-US"/>
        </w:rPr>
        <w:t xml:space="preserve">it </w:t>
      </w:r>
      <w:r w:rsidR="00AF51D1" w:rsidRPr="00E72560">
        <w:rPr>
          <w:lang w:val="en-US"/>
        </w:rPr>
        <w:t xml:space="preserve">found </w:t>
      </w:r>
      <w:r w:rsidR="001E2E17" w:rsidRPr="00E72560">
        <w:rPr>
          <w:lang w:val="en-US"/>
        </w:rPr>
        <w:t>the information on community participation complementary</w:t>
      </w:r>
      <w:r w:rsidR="008E6B91" w:rsidRPr="00E72560">
        <w:rPr>
          <w:lang w:val="en-US"/>
        </w:rPr>
        <w:t>,</w:t>
      </w:r>
      <w:r w:rsidR="001E2E17" w:rsidRPr="00E72560">
        <w:rPr>
          <w:lang w:val="en-US"/>
        </w:rPr>
        <w:t xml:space="preserve"> </w:t>
      </w:r>
      <w:r w:rsidR="008E6B91" w:rsidRPr="00E72560">
        <w:rPr>
          <w:lang w:val="en-US"/>
        </w:rPr>
        <w:t xml:space="preserve">adding that it </w:t>
      </w:r>
      <w:r w:rsidR="001E2E17" w:rsidRPr="00E72560">
        <w:rPr>
          <w:lang w:val="en-US"/>
        </w:rPr>
        <w:t>tend</w:t>
      </w:r>
      <w:r w:rsidR="008E6B91" w:rsidRPr="00E72560">
        <w:rPr>
          <w:lang w:val="en-US"/>
        </w:rPr>
        <w:t>ed</w:t>
      </w:r>
      <w:r w:rsidR="001E2E17" w:rsidRPr="00E72560">
        <w:rPr>
          <w:lang w:val="en-US"/>
        </w:rPr>
        <w:t xml:space="preserve"> to interpret</w:t>
      </w:r>
      <w:r w:rsidR="001E2E17" w:rsidRPr="00813D19">
        <w:rPr>
          <w:lang w:val="en-US"/>
        </w:rPr>
        <w:t xml:space="preserve"> the representatives of the Dhaka City Rickshaw Hood Body Maker Welfare Association and the Association of the Rickshaw Artists</w:t>
      </w:r>
      <w:r w:rsidR="008E6B91" w:rsidRPr="00813D19">
        <w:rPr>
          <w:lang w:val="en-US"/>
        </w:rPr>
        <w:t>,</w:t>
      </w:r>
      <w:r w:rsidR="001E2E17" w:rsidRPr="00813D19">
        <w:rPr>
          <w:lang w:val="en-US"/>
        </w:rPr>
        <w:t xml:space="preserve"> from whom consent letters </w:t>
      </w:r>
      <w:r w:rsidR="002273DE" w:rsidRPr="00813D19">
        <w:rPr>
          <w:lang w:val="en-US"/>
        </w:rPr>
        <w:t xml:space="preserve">had </w:t>
      </w:r>
      <w:r w:rsidR="001E2E17" w:rsidRPr="00813D19">
        <w:rPr>
          <w:lang w:val="en-US"/>
        </w:rPr>
        <w:t>been provided</w:t>
      </w:r>
      <w:r w:rsidR="002273DE" w:rsidRPr="00813D19">
        <w:rPr>
          <w:lang w:val="en-US"/>
        </w:rPr>
        <w:t>,</w:t>
      </w:r>
      <w:r w:rsidR="001E2E17" w:rsidRPr="00813D19">
        <w:rPr>
          <w:lang w:val="en-US"/>
        </w:rPr>
        <w:t xml:space="preserve"> </w:t>
      </w:r>
      <w:r w:rsidR="008E6B91" w:rsidRPr="00813D19">
        <w:rPr>
          <w:lang w:val="en-US"/>
        </w:rPr>
        <w:t xml:space="preserve">as </w:t>
      </w:r>
      <w:r w:rsidR="001E2E17" w:rsidRPr="00813D19">
        <w:rPr>
          <w:lang w:val="en-US"/>
        </w:rPr>
        <w:t xml:space="preserve">the ones referred to in </w:t>
      </w:r>
      <w:r w:rsidR="00EB03A3">
        <w:rPr>
          <w:lang w:val="en-US"/>
        </w:rPr>
        <w:t>S</w:t>
      </w:r>
      <w:r w:rsidR="00EB03A3" w:rsidRPr="00813D19">
        <w:rPr>
          <w:lang w:val="en-US"/>
        </w:rPr>
        <w:t xml:space="preserve">ection </w:t>
      </w:r>
      <w:r w:rsidR="001E2E17" w:rsidRPr="00813D19">
        <w:rPr>
          <w:lang w:val="en-US"/>
        </w:rPr>
        <w:t xml:space="preserve">4.a. and </w:t>
      </w:r>
      <w:r w:rsidR="00EB03A3">
        <w:rPr>
          <w:lang w:val="en-US"/>
        </w:rPr>
        <w:t xml:space="preserve">who </w:t>
      </w:r>
      <w:r w:rsidR="001E2E17" w:rsidRPr="00813D19">
        <w:rPr>
          <w:lang w:val="en-US"/>
        </w:rPr>
        <w:t xml:space="preserve">indeed </w:t>
      </w:r>
      <w:r w:rsidR="008E6B91" w:rsidRPr="00813D19">
        <w:rPr>
          <w:lang w:val="en-US"/>
        </w:rPr>
        <w:t xml:space="preserve">were the ones </w:t>
      </w:r>
      <w:r w:rsidR="001E2E17" w:rsidRPr="00813D19">
        <w:rPr>
          <w:lang w:val="en-US"/>
        </w:rPr>
        <w:t>representing the community. With regard to the issues of community participation</w:t>
      </w:r>
      <w:r w:rsidR="002273DE" w:rsidRPr="00813D19">
        <w:rPr>
          <w:lang w:val="en-US"/>
        </w:rPr>
        <w:t>,</w:t>
      </w:r>
      <w:r w:rsidR="001E2E17" w:rsidRPr="00813D19">
        <w:rPr>
          <w:lang w:val="en-US"/>
        </w:rPr>
        <w:t xml:space="preserve"> </w:t>
      </w:r>
      <w:r w:rsidR="002273DE" w:rsidRPr="00813D19">
        <w:rPr>
          <w:lang w:val="en-US"/>
        </w:rPr>
        <w:t xml:space="preserve">the </w:t>
      </w:r>
      <w:r w:rsidR="001E2E17" w:rsidRPr="00813D19">
        <w:rPr>
          <w:lang w:val="en-US"/>
        </w:rPr>
        <w:t xml:space="preserve">delegation considered that some parts of the information provided under section 5 were quite relevant to the concerns raised by the Evaluation Body. This section </w:t>
      </w:r>
      <w:r w:rsidR="002273DE" w:rsidRPr="00813D19">
        <w:rPr>
          <w:lang w:val="en-US"/>
        </w:rPr>
        <w:t>spoke</w:t>
      </w:r>
      <w:r w:rsidR="00EB03A3">
        <w:rPr>
          <w:lang w:val="en-US"/>
        </w:rPr>
        <w:t>,</w:t>
      </w:r>
      <w:r w:rsidR="002273DE" w:rsidRPr="00813D19">
        <w:rPr>
          <w:lang w:val="en-US"/>
        </w:rPr>
        <w:t xml:space="preserve"> </w:t>
      </w:r>
      <w:r w:rsidR="001E2E17" w:rsidRPr="00813D19">
        <w:rPr>
          <w:lang w:val="en-US"/>
        </w:rPr>
        <w:t>in particular</w:t>
      </w:r>
      <w:r w:rsidR="00EB03A3">
        <w:rPr>
          <w:lang w:val="en-US"/>
        </w:rPr>
        <w:t>,</w:t>
      </w:r>
      <w:r w:rsidR="001E2E17" w:rsidRPr="00813D19">
        <w:rPr>
          <w:lang w:val="en-US"/>
        </w:rPr>
        <w:t xml:space="preserve"> </w:t>
      </w:r>
      <w:r w:rsidR="002273DE" w:rsidRPr="00813D19">
        <w:rPr>
          <w:lang w:val="en-US"/>
        </w:rPr>
        <w:t xml:space="preserve">of </w:t>
      </w:r>
      <w:r w:rsidR="001E2E17" w:rsidRPr="00813D19">
        <w:rPr>
          <w:lang w:val="en-US"/>
        </w:rPr>
        <w:t>the approach of experts to undertake intensive fieldwork</w:t>
      </w:r>
      <w:r w:rsidR="002273DE" w:rsidRPr="00813D19">
        <w:rPr>
          <w:lang w:val="en-US"/>
        </w:rPr>
        <w:t>,</w:t>
      </w:r>
      <w:r w:rsidR="001E2E17" w:rsidRPr="00813D19">
        <w:rPr>
          <w:lang w:val="en-US"/>
        </w:rPr>
        <w:t xml:space="preserve"> while carrying</w:t>
      </w:r>
      <w:r w:rsidR="002273DE" w:rsidRPr="00813D19">
        <w:rPr>
          <w:lang w:val="en-US"/>
        </w:rPr>
        <w:t xml:space="preserve"> out inventorying, which implied</w:t>
      </w:r>
      <w:r w:rsidR="001E2E17" w:rsidRPr="00813D19">
        <w:rPr>
          <w:lang w:val="en-US"/>
        </w:rPr>
        <w:t xml:space="preserve"> direct contact and dialogue with the bearers and practitioners. </w:t>
      </w:r>
      <w:r w:rsidR="002273DE" w:rsidRPr="00813D19">
        <w:rPr>
          <w:lang w:val="en-US"/>
        </w:rPr>
        <w:t xml:space="preserve">It </w:t>
      </w:r>
      <w:r w:rsidR="001E2E17" w:rsidRPr="00813D19">
        <w:rPr>
          <w:lang w:val="en-US"/>
        </w:rPr>
        <w:t>believe</w:t>
      </w:r>
      <w:r w:rsidR="002273DE" w:rsidRPr="00813D19">
        <w:rPr>
          <w:lang w:val="en-US"/>
        </w:rPr>
        <w:t>d</w:t>
      </w:r>
      <w:r w:rsidR="001E2E17" w:rsidRPr="00813D19">
        <w:rPr>
          <w:lang w:val="en-US"/>
        </w:rPr>
        <w:t xml:space="preserve"> </w:t>
      </w:r>
      <w:r w:rsidR="002273DE" w:rsidRPr="00813D19">
        <w:rPr>
          <w:lang w:val="en-US"/>
        </w:rPr>
        <w:t xml:space="preserve">that </w:t>
      </w:r>
      <w:r w:rsidR="001E2E17" w:rsidRPr="00813D19">
        <w:rPr>
          <w:lang w:val="en-US"/>
        </w:rPr>
        <w:t xml:space="preserve">this information </w:t>
      </w:r>
      <w:r w:rsidR="002273DE" w:rsidRPr="00813D19">
        <w:rPr>
          <w:lang w:val="en-US"/>
        </w:rPr>
        <w:t xml:space="preserve">was </w:t>
      </w:r>
      <w:r w:rsidR="001E2E17" w:rsidRPr="00813D19">
        <w:rPr>
          <w:lang w:val="en-US"/>
        </w:rPr>
        <w:t xml:space="preserve">sufficient. This being said, </w:t>
      </w:r>
      <w:r w:rsidR="00082333" w:rsidRPr="00813D19">
        <w:rPr>
          <w:lang w:val="en-US"/>
        </w:rPr>
        <w:t xml:space="preserve">the </w:t>
      </w:r>
      <w:r w:rsidR="001E2E17" w:rsidRPr="00813D19">
        <w:rPr>
          <w:lang w:val="en-US"/>
        </w:rPr>
        <w:t>delegation support</w:t>
      </w:r>
      <w:r w:rsidR="00082333" w:rsidRPr="00813D19">
        <w:rPr>
          <w:lang w:val="en-US"/>
        </w:rPr>
        <w:t>ed</w:t>
      </w:r>
      <w:r w:rsidR="001E2E17" w:rsidRPr="00813D19">
        <w:rPr>
          <w:lang w:val="en-US"/>
        </w:rPr>
        <w:t xml:space="preserve"> changing the draft decision under criterion </w:t>
      </w:r>
      <w:r w:rsidR="002273DE" w:rsidRPr="00813D19">
        <w:rPr>
          <w:lang w:val="en-US"/>
        </w:rPr>
        <w:t xml:space="preserve">R.4 </w:t>
      </w:r>
      <w:r w:rsidR="001E2E17" w:rsidRPr="00813D19">
        <w:rPr>
          <w:lang w:val="en-US"/>
        </w:rPr>
        <w:t xml:space="preserve">from </w:t>
      </w:r>
      <w:r w:rsidR="00EB03A3">
        <w:rPr>
          <w:lang w:val="en-US"/>
        </w:rPr>
        <w:t xml:space="preserve">a </w:t>
      </w:r>
      <w:r w:rsidR="00E72560">
        <w:rPr>
          <w:lang w:val="en-US"/>
        </w:rPr>
        <w:t>referral to positive.</w:t>
      </w:r>
    </w:p>
    <w:p w14:paraId="0BBC1046" w14:textId="712369AC" w:rsidR="00CF2AFB" w:rsidRPr="00813D19" w:rsidRDefault="00CF2AFB" w:rsidP="00D719F0">
      <w:pPr>
        <w:pStyle w:val="Orateurengris"/>
        <w:spacing w:before="120"/>
        <w:ind w:left="709" w:hanging="709"/>
        <w:rPr>
          <w:lang w:val="en-US"/>
        </w:rPr>
      </w:pPr>
      <w:r w:rsidRPr="00813D19">
        <w:rPr>
          <w:lang w:val="en-US"/>
        </w:rPr>
        <w:t xml:space="preserve">The </w:t>
      </w:r>
      <w:r w:rsidRPr="00813D19">
        <w:rPr>
          <w:b/>
          <w:lang w:val="en-US"/>
        </w:rPr>
        <w:t>delegation of China</w:t>
      </w:r>
      <w:r w:rsidR="001E2E17" w:rsidRPr="00813D19">
        <w:rPr>
          <w:b/>
          <w:lang w:val="en-US"/>
        </w:rPr>
        <w:t xml:space="preserve"> </w:t>
      </w:r>
      <w:r w:rsidR="00EA3580" w:rsidRPr="00813D19">
        <w:rPr>
          <w:lang w:val="en-US"/>
        </w:rPr>
        <w:t xml:space="preserve">did </w:t>
      </w:r>
      <w:r w:rsidR="001E2E17" w:rsidRPr="00813D19">
        <w:rPr>
          <w:lang w:val="en-US"/>
        </w:rPr>
        <w:t xml:space="preserve">not </w:t>
      </w:r>
      <w:r w:rsidR="00EB03A3">
        <w:rPr>
          <w:lang w:val="en-US"/>
        </w:rPr>
        <w:t>intend</w:t>
      </w:r>
      <w:r w:rsidR="001E2E17" w:rsidRPr="00813D19">
        <w:rPr>
          <w:lang w:val="en-US"/>
        </w:rPr>
        <w:t xml:space="preserve"> to return </w:t>
      </w:r>
      <w:r w:rsidR="008E6B91" w:rsidRPr="00813D19">
        <w:rPr>
          <w:lang w:val="en-US"/>
        </w:rPr>
        <w:t xml:space="preserve">to </w:t>
      </w:r>
      <w:r w:rsidR="001E2E17" w:rsidRPr="00813D19">
        <w:rPr>
          <w:lang w:val="en-US"/>
        </w:rPr>
        <w:t xml:space="preserve">the evaluation </w:t>
      </w:r>
      <w:r w:rsidR="00082333" w:rsidRPr="00813D19">
        <w:rPr>
          <w:lang w:val="en-US"/>
        </w:rPr>
        <w:t xml:space="preserve">made </w:t>
      </w:r>
      <w:r w:rsidR="001E2E17" w:rsidRPr="00813D19">
        <w:rPr>
          <w:lang w:val="en-US"/>
        </w:rPr>
        <w:t>by the Evaluation Body</w:t>
      </w:r>
      <w:r w:rsidR="00082333" w:rsidRPr="00813D19">
        <w:rPr>
          <w:lang w:val="en-US"/>
        </w:rPr>
        <w:t>,</w:t>
      </w:r>
      <w:r w:rsidR="001E2E17" w:rsidRPr="00813D19">
        <w:rPr>
          <w:lang w:val="en-US"/>
        </w:rPr>
        <w:t xml:space="preserve"> but </w:t>
      </w:r>
      <w:r w:rsidR="00082333" w:rsidRPr="00813D19">
        <w:rPr>
          <w:lang w:val="en-US"/>
        </w:rPr>
        <w:t xml:space="preserve">it did </w:t>
      </w:r>
      <w:r w:rsidR="001E2E17" w:rsidRPr="00813D19">
        <w:rPr>
          <w:lang w:val="en-US"/>
        </w:rPr>
        <w:t>have some very interesting observations. According to the description of the element</w:t>
      </w:r>
      <w:r w:rsidR="00082333" w:rsidRPr="00813D19">
        <w:rPr>
          <w:lang w:val="en-US"/>
        </w:rPr>
        <w:t>,</w:t>
      </w:r>
      <w:r w:rsidR="001E2E17" w:rsidRPr="00813D19">
        <w:rPr>
          <w:lang w:val="en-US"/>
        </w:rPr>
        <w:t xml:space="preserve"> it </w:t>
      </w:r>
      <w:r w:rsidR="00EB03A3" w:rsidRPr="00813D19">
        <w:rPr>
          <w:lang w:val="en-US"/>
        </w:rPr>
        <w:t>ha</w:t>
      </w:r>
      <w:r w:rsidR="00EB03A3">
        <w:rPr>
          <w:lang w:val="en-US"/>
        </w:rPr>
        <w:t>d</w:t>
      </w:r>
      <w:r w:rsidR="00EB03A3" w:rsidRPr="00813D19">
        <w:rPr>
          <w:lang w:val="en-US"/>
        </w:rPr>
        <w:t xml:space="preserve"> </w:t>
      </w:r>
      <w:r w:rsidR="001E2E17" w:rsidRPr="00813D19">
        <w:rPr>
          <w:lang w:val="en-US"/>
        </w:rPr>
        <w:t>already become an established part of the city’s cultural tradition</w:t>
      </w:r>
      <w:r w:rsidR="00082333" w:rsidRPr="00813D19">
        <w:rPr>
          <w:lang w:val="en-US"/>
        </w:rPr>
        <w:t>,</w:t>
      </w:r>
      <w:r w:rsidR="001E2E17" w:rsidRPr="00813D19">
        <w:rPr>
          <w:lang w:val="en-US"/>
        </w:rPr>
        <w:t xml:space="preserve"> creating a feature of urban life in Dhaka City. This </w:t>
      </w:r>
      <w:r w:rsidR="00082333" w:rsidRPr="00813D19">
        <w:rPr>
          <w:lang w:val="en-US"/>
        </w:rPr>
        <w:t xml:space="preserve">recalled </w:t>
      </w:r>
      <w:r w:rsidR="001E2E17" w:rsidRPr="00813D19">
        <w:rPr>
          <w:lang w:val="en-US"/>
        </w:rPr>
        <w:t xml:space="preserve">one of the </w:t>
      </w:r>
      <w:r w:rsidR="00082333" w:rsidRPr="00813D19">
        <w:rPr>
          <w:lang w:val="en-US"/>
        </w:rPr>
        <w:t xml:space="preserve">discussion </w:t>
      </w:r>
      <w:r w:rsidR="001E2E17" w:rsidRPr="00813D19">
        <w:rPr>
          <w:lang w:val="en-US"/>
        </w:rPr>
        <w:t xml:space="preserve">topics </w:t>
      </w:r>
      <w:r w:rsidR="00082333" w:rsidRPr="00813D19">
        <w:rPr>
          <w:lang w:val="en-US"/>
        </w:rPr>
        <w:t xml:space="preserve">during </w:t>
      </w:r>
      <w:r w:rsidR="001E2E17" w:rsidRPr="00813D19">
        <w:rPr>
          <w:lang w:val="en-US"/>
        </w:rPr>
        <w:t xml:space="preserve">the </w:t>
      </w:r>
      <w:r w:rsidR="00082333" w:rsidRPr="00813D19">
        <w:rPr>
          <w:lang w:val="en-US"/>
        </w:rPr>
        <w:t xml:space="preserve">present session on intangible cultural heritage </w:t>
      </w:r>
      <w:r w:rsidR="001E2E17" w:rsidRPr="00813D19">
        <w:rPr>
          <w:lang w:val="en-US"/>
        </w:rPr>
        <w:t>in urban context</w:t>
      </w:r>
      <w:r w:rsidR="00082333" w:rsidRPr="00813D19">
        <w:rPr>
          <w:lang w:val="en-US"/>
        </w:rPr>
        <w:t>s</w:t>
      </w:r>
      <w:r w:rsidR="001E2E17" w:rsidRPr="00813D19">
        <w:rPr>
          <w:lang w:val="en-US"/>
        </w:rPr>
        <w:t xml:space="preserve">. </w:t>
      </w:r>
      <w:r w:rsidR="005140F1" w:rsidRPr="00813D19">
        <w:rPr>
          <w:lang w:val="en-US"/>
        </w:rPr>
        <w:t xml:space="preserve">It </w:t>
      </w:r>
      <w:r w:rsidR="001E2E17" w:rsidRPr="00813D19">
        <w:rPr>
          <w:lang w:val="en-US"/>
        </w:rPr>
        <w:t>agree</w:t>
      </w:r>
      <w:r w:rsidR="00082333" w:rsidRPr="00813D19">
        <w:rPr>
          <w:lang w:val="en-US"/>
        </w:rPr>
        <w:t>d</w:t>
      </w:r>
      <w:r w:rsidR="001E2E17" w:rsidRPr="00813D19">
        <w:rPr>
          <w:lang w:val="en-US"/>
        </w:rPr>
        <w:t xml:space="preserve"> with </w:t>
      </w:r>
      <w:r w:rsidR="00082333" w:rsidRPr="00813D19">
        <w:rPr>
          <w:lang w:val="en-US"/>
        </w:rPr>
        <w:t xml:space="preserve">the </w:t>
      </w:r>
      <w:r w:rsidR="001E2E17" w:rsidRPr="00813D19">
        <w:rPr>
          <w:lang w:val="en-US"/>
        </w:rPr>
        <w:t xml:space="preserve">Philippines and Palestine that the submitting State </w:t>
      </w:r>
      <w:r w:rsidR="00082333" w:rsidRPr="00813D19">
        <w:rPr>
          <w:lang w:val="en-US"/>
        </w:rPr>
        <w:t xml:space="preserve">required </w:t>
      </w:r>
      <w:r w:rsidR="001E2E17" w:rsidRPr="00813D19">
        <w:rPr>
          <w:lang w:val="en-US"/>
        </w:rPr>
        <w:t xml:space="preserve">more time </w:t>
      </w:r>
      <w:r w:rsidR="00EB03A3">
        <w:rPr>
          <w:lang w:val="en-US"/>
        </w:rPr>
        <w:t>to</w:t>
      </w:r>
      <w:r w:rsidR="00082333" w:rsidRPr="00813D19">
        <w:rPr>
          <w:lang w:val="en-US"/>
        </w:rPr>
        <w:t xml:space="preserve"> enhance capacity</w:t>
      </w:r>
      <w:r w:rsidR="00EB03A3">
        <w:rPr>
          <w:lang w:val="en-US"/>
        </w:rPr>
        <w:t xml:space="preserve"> </w:t>
      </w:r>
      <w:r w:rsidR="005140F1" w:rsidRPr="00813D19">
        <w:rPr>
          <w:lang w:val="en-US"/>
        </w:rPr>
        <w:t xml:space="preserve">building, </w:t>
      </w:r>
      <w:r w:rsidR="00082333" w:rsidRPr="00813D19">
        <w:rPr>
          <w:lang w:val="en-US"/>
        </w:rPr>
        <w:t xml:space="preserve">so that </w:t>
      </w:r>
      <w:r w:rsidR="005140F1" w:rsidRPr="00813D19">
        <w:rPr>
          <w:lang w:val="en-US"/>
        </w:rPr>
        <w:t xml:space="preserve">its </w:t>
      </w:r>
      <w:r w:rsidR="00082333" w:rsidRPr="00813D19">
        <w:rPr>
          <w:lang w:val="en-US"/>
        </w:rPr>
        <w:t xml:space="preserve">nomination file </w:t>
      </w:r>
      <w:r w:rsidR="001E2E17" w:rsidRPr="00813D19">
        <w:rPr>
          <w:lang w:val="en-US"/>
        </w:rPr>
        <w:t xml:space="preserve">could be considered </w:t>
      </w:r>
      <w:r w:rsidR="00082333" w:rsidRPr="00813D19">
        <w:rPr>
          <w:lang w:val="en-US"/>
        </w:rPr>
        <w:t xml:space="preserve">in a </w:t>
      </w:r>
      <w:r w:rsidR="00E72560">
        <w:rPr>
          <w:lang w:val="en-US"/>
        </w:rPr>
        <w:t>future cycle.</w:t>
      </w:r>
    </w:p>
    <w:p w14:paraId="65AF3843" w14:textId="7699D761" w:rsidR="00E64D6F" w:rsidRPr="00813D19" w:rsidRDefault="00E64D6F" w:rsidP="00D719F0">
      <w:pPr>
        <w:pStyle w:val="Orateurengris"/>
        <w:spacing w:before="120"/>
        <w:ind w:left="709" w:hanging="709"/>
        <w:rPr>
          <w:lang w:val="en-US"/>
        </w:rPr>
      </w:pPr>
      <w:r w:rsidRPr="00813D19">
        <w:rPr>
          <w:lang w:val="en-US"/>
        </w:rPr>
        <w:t xml:space="preserve">The </w:t>
      </w:r>
      <w:r w:rsidRPr="00813D19">
        <w:rPr>
          <w:b/>
          <w:lang w:val="en-US"/>
        </w:rPr>
        <w:t>delegation of Lebanon</w:t>
      </w:r>
      <w:r w:rsidRPr="00813D19">
        <w:rPr>
          <w:lang w:val="en-US"/>
        </w:rPr>
        <w:t xml:space="preserve"> </w:t>
      </w:r>
      <w:r w:rsidR="001E2E17" w:rsidRPr="00813D19">
        <w:rPr>
          <w:bCs/>
          <w:lang w:val="en-US"/>
        </w:rPr>
        <w:t>stress</w:t>
      </w:r>
      <w:r w:rsidR="00082333" w:rsidRPr="00813D19">
        <w:rPr>
          <w:bCs/>
          <w:lang w:val="en-US"/>
        </w:rPr>
        <w:t>ed</w:t>
      </w:r>
      <w:r w:rsidR="001E2E17" w:rsidRPr="00813D19">
        <w:rPr>
          <w:bCs/>
          <w:lang w:val="en-US"/>
        </w:rPr>
        <w:t xml:space="preserve"> the need for dialogue as there </w:t>
      </w:r>
      <w:r w:rsidR="00082333" w:rsidRPr="00813D19">
        <w:rPr>
          <w:bCs/>
          <w:lang w:val="en-US"/>
        </w:rPr>
        <w:t xml:space="preserve">was </w:t>
      </w:r>
      <w:r w:rsidR="001E2E17" w:rsidRPr="00813D19">
        <w:rPr>
          <w:bCs/>
          <w:lang w:val="en-US"/>
        </w:rPr>
        <w:t xml:space="preserve">not enough communication between the submitting States </w:t>
      </w:r>
      <w:r w:rsidR="00082333" w:rsidRPr="00813D19">
        <w:rPr>
          <w:bCs/>
          <w:lang w:val="en-US"/>
        </w:rPr>
        <w:t xml:space="preserve">and </w:t>
      </w:r>
      <w:r w:rsidR="001E2E17" w:rsidRPr="00813D19">
        <w:rPr>
          <w:bCs/>
          <w:lang w:val="en-US"/>
        </w:rPr>
        <w:t>the Evaluation Body</w:t>
      </w:r>
      <w:r w:rsidR="00082333" w:rsidRPr="00813D19">
        <w:rPr>
          <w:bCs/>
          <w:lang w:val="en-US"/>
        </w:rPr>
        <w:t xml:space="preserve"> for some of the files, adding that hopefully</w:t>
      </w:r>
      <w:r w:rsidR="001E2E17" w:rsidRPr="00813D19">
        <w:rPr>
          <w:bCs/>
          <w:lang w:val="en-US"/>
        </w:rPr>
        <w:t xml:space="preserve"> </w:t>
      </w:r>
      <w:r w:rsidR="00082333" w:rsidRPr="00813D19">
        <w:rPr>
          <w:bCs/>
          <w:lang w:val="en-US"/>
        </w:rPr>
        <w:t xml:space="preserve">the Committee </w:t>
      </w:r>
      <w:r w:rsidR="00EB03A3">
        <w:rPr>
          <w:bCs/>
          <w:lang w:val="en-US"/>
        </w:rPr>
        <w:t>would</w:t>
      </w:r>
      <w:r w:rsidR="00EB03A3" w:rsidRPr="00813D19">
        <w:rPr>
          <w:bCs/>
          <w:lang w:val="en-US"/>
        </w:rPr>
        <w:t xml:space="preserve"> </w:t>
      </w:r>
      <w:r w:rsidR="001E2E17" w:rsidRPr="00813D19">
        <w:rPr>
          <w:bCs/>
          <w:lang w:val="en-US"/>
        </w:rPr>
        <w:t xml:space="preserve">find </w:t>
      </w:r>
      <w:r w:rsidR="00E72560">
        <w:rPr>
          <w:bCs/>
          <w:lang w:val="en-US"/>
        </w:rPr>
        <w:t>a way to improve the situation.</w:t>
      </w:r>
    </w:p>
    <w:p w14:paraId="62DEC2F2" w14:textId="08321CF4" w:rsidR="00757C16" w:rsidRPr="00813D19" w:rsidRDefault="00757C16" w:rsidP="00D719F0">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082333" w:rsidRPr="00813D19">
        <w:rPr>
          <w:lang w:val="en-US"/>
        </w:rPr>
        <w:t xml:space="preserve">thanked </w:t>
      </w:r>
      <w:r w:rsidR="00082333" w:rsidRPr="00813D19">
        <w:rPr>
          <w:bCs/>
          <w:lang w:val="en-US"/>
        </w:rPr>
        <w:t xml:space="preserve">the </w:t>
      </w:r>
      <w:r w:rsidR="001E2E17" w:rsidRPr="00813D19">
        <w:rPr>
          <w:bCs/>
          <w:lang w:val="en-US"/>
        </w:rPr>
        <w:t xml:space="preserve">Committee Members who </w:t>
      </w:r>
      <w:r w:rsidR="00EB03A3">
        <w:rPr>
          <w:bCs/>
          <w:lang w:val="en-US"/>
        </w:rPr>
        <w:t xml:space="preserve">had </w:t>
      </w:r>
      <w:r w:rsidR="001E2E17" w:rsidRPr="00813D19">
        <w:rPr>
          <w:bCs/>
          <w:lang w:val="en-US"/>
        </w:rPr>
        <w:t>intervened and who</w:t>
      </w:r>
      <w:r w:rsidR="00EB03A3">
        <w:rPr>
          <w:bCs/>
          <w:lang w:val="en-US"/>
        </w:rPr>
        <w:t xml:space="preserve">  had</w:t>
      </w:r>
      <w:r w:rsidR="001E2E17" w:rsidRPr="00813D19">
        <w:rPr>
          <w:bCs/>
          <w:lang w:val="en-US"/>
        </w:rPr>
        <w:t xml:space="preserve"> expressed their </w:t>
      </w:r>
      <w:r w:rsidR="005140F1" w:rsidRPr="00813D19">
        <w:rPr>
          <w:bCs/>
          <w:lang w:val="en-US"/>
        </w:rPr>
        <w:t>views on the need for dialogue, inviting</w:t>
      </w:r>
      <w:r w:rsidR="00082333" w:rsidRPr="00813D19">
        <w:rPr>
          <w:bCs/>
          <w:lang w:val="en-US"/>
        </w:rPr>
        <w:t xml:space="preserve"> </w:t>
      </w:r>
      <w:r w:rsidR="001E2E17" w:rsidRPr="00813D19">
        <w:rPr>
          <w:bCs/>
          <w:lang w:val="en-US"/>
        </w:rPr>
        <w:t xml:space="preserve">Bangladesh </w:t>
      </w:r>
      <w:r w:rsidR="00082333" w:rsidRPr="00813D19">
        <w:rPr>
          <w:bCs/>
          <w:lang w:val="en-US"/>
        </w:rPr>
        <w:t>to respond.</w:t>
      </w:r>
    </w:p>
    <w:p w14:paraId="0D500225" w14:textId="19D3F648" w:rsidR="002811B7" w:rsidRPr="00813D19" w:rsidRDefault="00757C16" w:rsidP="00D719F0">
      <w:pPr>
        <w:pStyle w:val="Orateurengris"/>
        <w:spacing w:before="120"/>
        <w:ind w:left="709" w:hanging="709"/>
        <w:rPr>
          <w:lang w:val="en-US"/>
        </w:rPr>
      </w:pPr>
      <w:r w:rsidRPr="00813D19">
        <w:rPr>
          <w:lang w:val="en-US"/>
        </w:rPr>
        <w:t xml:space="preserve">The </w:t>
      </w:r>
      <w:r w:rsidRPr="00813D19">
        <w:rPr>
          <w:b/>
          <w:lang w:val="en-US"/>
        </w:rPr>
        <w:t>delegation of Bangladesh</w:t>
      </w:r>
      <w:r w:rsidRPr="00813D19">
        <w:rPr>
          <w:lang w:val="en-US"/>
        </w:rPr>
        <w:t xml:space="preserve"> </w:t>
      </w:r>
      <w:r w:rsidR="00557868" w:rsidRPr="00813D19">
        <w:rPr>
          <w:lang w:val="en-US"/>
        </w:rPr>
        <w:t>t</w:t>
      </w:r>
      <w:r w:rsidR="001E2E17" w:rsidRPr="00813D19">
        <w:rPr>
          <w:lang w:val="en-US"/>
        </w:rPr>
        <w:t>hank</w:t>
      </w:r>
      <w:r w:rsidR="00557868" w:rsidRPr="00813D19">
        <w:rPr>
          <w:lang w:val="en-US"/>
        </w:rPr>
        <w:t>ed</w:t>
      </w:r>
      <w:r w:rsidR="001E2E17" w:rsidRPr="00813D19">
        <w:rPr>
          <w:lang w:val="en-US"/>
        </w:rPr>
        <w:t xml:space="preserve"> the Committee for allowing </w:t>
      </w:r>
      <w:r w:rsidR="005140F1" w:rsidRPr="00813D19">
        <w:rPr>
          <w:lang w:val="en-US"/>
        </w:rPr>
        <w:t xml:space="preserve">it </w:t>
      </w:r>
      <w:r w:rsidR="001E2E17" w:rsidRPr="00813D19">
        <w:rPr>
          <w:lang w:val="en-US"/>
        </w:rPr>
        <w:t xml:space="preserve">this opportunity to share </w:t>
      </w:r>
      <w:r w:rsidR="00557868" w:rsidRPr="00813D19">
        <w:rPr>
          <w:lang w:val="en-US"/>
        </w:rPr>
        <w:t xml:space="preserve">its </w:t>
      </w:r>
      <w:r w:rsidR="001E2E17" w:rsidRPr="00813D19">
        <w:rPr>
          <w:lang w:val="en-US"/>
        </w:rPr>
        <w:t>thoughts on the Ev</w:t>
      </w:r>
      <w:r w:rsidR="00557868" w:rsidRPr="00813D19">
        <w:rPr>
          <w:lang w:val="en-US"/>
        </w:rPr>
        <w:t xml:space="preserve">aluation Body’s recommendation, noting that </w:t>
      </w:r>
      <w:r w:rsidR="005140F1" w:rsidRPr="00813D19">
        <w:rPr>
          <w:lang w:val="en-US"/>
        </w:rPr>
        <w:t>the Body</w:t>
      </w:r>
      <w:r w:rsidR="00557868" w:rsidRPr="00813D19">
        <w:rPr>
          <w:lang w:val="en-US"/>
        </w:rPr>
        <w:t xml:space="preserve"> had done </w:t>
      </w:r>
      <w:r w:rsidR="001E2E17" w:rsidRPr="00813D19">
        <w:rPr>
          <w:lang w:val="en-US"/>
        </w:rPr>
        <w:t xml:space="preserve">a very thorough job with all </w:t>
      </w:r>
      <w:r w:rsidR="005140F1" w:rsidRPr="00813D19">
        <w:rPr>
          <w:lang w:val="en-US"/>
        </w:rPr>
        <w:t xml:space="preserve">the </w:t>
      </w:r>
      <w:r w:rsidR="001E2E17" w:rsidRPr="00813D19">
        <w:rPr>
          <w:lang w:val="en-US"/>
        </w:rPr>
        <w:t xml:space="preserve">files submitted for its consideration. </w:t>
      </w:r>
      <w:r w:rsidR="005140F1" w:rsidRPr="00813D19">
        <w:rPr>
          <w:lang w:val="en-US"/>
        </w:rPr>
        <w:t xml:space="preserve">The delegation </w:t>
      </w:r>
      <w:r w:rsidR="00557868" w:rsidRPr="00813D19">
        <w:rPr>
          <w:lang w:val="en-US"/>
        </w:rPr>
        <w:t xml:space="preserve">had </w:t>
      </w:r>
      <w:r w:rsidR="001E2E17" w:rsidRPr="00813D19">
        <w:rPr>
          <w:lang w:val="en-US"/>
        </w:rPr>
        <w:t>full confidence and faith in the work of the Evaluation Body</w:t>
      </w:r>
      <w:r w:rsidR="00557868" w:rsidRPr="00813D19">
        <w:rPr>
          <w:lang w:val="en-US"/>
        </w:rPr>
        <w:t>, noting their diligence</w:t>
      </w:r>
      <w:r w:rsidR="00EB03A3">
        <w:rPr>
          <w:lang w:val="en-US"/>
        </w:rPr>
        <w:t>, as</w:t>
      </w:r>
      <w:r w:rsidR="00557868" w:rsidRPr="00813D19">
        <w:rPr>
          <w:lang w:val="en-US"/>
        </w:rPr>
        <w:t xml:space="preserve"> </w:t>
      </w:r>
      <w:r w:rsidR="001E2E17" w:rsidRPr="00813D19">
        <w:rPr>
          <w:lang w:val="en-US"/>
        </w:rPr>
        <w:t xml:space="preserve">demonstrated </w:t>
      </w:r>
      <w:r w:rsidR="00557868" w:rsidRPr="00813D19">
        <w:rPr>
          <w:lang w:val="en-US"/>
        </w:rPr>
        <w:t xml:space="preserve">by </w:t>
      </w:r>
      <w:r w:rsidR="001E2E17" w:rsidRPr="00813D19">
        <w:rPr>
          <w:lang w:val="en-US"/>
        </w:rPr>
        <w:t xml:space="preserve">the </w:t>
      </w:r>
      <w:r w:rsidR="00557868" w:rsidRPr="00813D19">
        <w:rPr>
          <w:lang w:val="en-US"/>
        </w:rPr>
        <w:t>fact that 70 per cent</w:t>
      </w:r>
      <w:r w:rsidR="001E2E17" w:rsidRPr="00813D19">
        <w:rPr>
          <w:lang w:val="en-US"/>
        </w:rPr>
        <w:t xml:space="preserve"> of the files </w:t>
      </w:r>
      <w:r w:rsidR="00EB03A3">
        <w:rPr>
          <w:lang w:val="en-US"/>
        </w:rPr>
        <w:t xml:space="preserve">had </w:t>
      </w:r>
      <w:r w:rsidR="00557868" w:rsidRPr="00813D19">
        <w:rPr>
          <w:lang w:val="en-US"/>
        </w:rPr>
        <w:t xml:space="preserve">received a </w:t>
      </w:r>
      <w:r w:rsidR="001E2E17" w:rsidRPr="00813D19">
        <w:rPr>
          <w:lang w:val="en-US"/>
        </w:rPr>
        <w:t xml:space="preserve">positive </w:t>
      </w:r>
      <w:r w:rsidR="00557868" w:rsidRPr="00813D19">
        <w:rPr>
          <w:lang w:val="en-US"/>
        </w:rPr>
        <w:t>recommendation</w:t>
      </w:r>
      <w:r w:rsidR="001E2E17" w:rsidRPr="00813D19">
        <w:rPr>
          <w:lang w:val="en-US"/>
        </w:rPr>
        <w:t xml:space="preserve">. </w:t>
      </w:r>
      <w:r w:rsidR="005140F1" w:rsidRPr="00813D19">
        <w:rPr>
          <w:lang w:val="en-US"/>
        </w:rPr>
        <w:t xml:space="preserve">It </w:t>
      </w:r>
      <w:r w:rsidR="00557868" w:rsidRPr="00813D19">
        <w:rPr>
          <w:lang w:val="en-US"/>
        </w:rPr>
        <w:t xml:space="preserve">was </w:t>
      </w:r>
      <w:r w:rsidR="001E2E17" w:rsidRPr="00813D19">
        <w:rPr>
          <w:lang w:val="en-US"/>
        </w:rPr>
        <w:t xml:space="preserve">also very grateful to the Members of the Committee </w:t>
      </w:r>
      <w:r w:rsidR="00557868" w:rsidRPr="00813D19">
        <w:rPr>
          <w:lang w:val="en-US"/>
        </w:rPr>
        <w:t xml:space="preserve">for having </w:t>
      </w:r>
      <w:r w:rsidR="001E2E17" w:rsidRPr="00813D19">
        <w:rPr>
          <w:lang w:val="en-US"/>
        </w:rPr>
        <w:t xml:space="preserve">raised certain pertinent questions with regard to </w:t>
      </w:r>
      <w:r w:rsidR="00774165" w:rsidRPr="00813D19">
        <w:rPr>
          <w:lang w:val="en-US"/>
        </w:rPr>
        <w:t xml:space="preserve">its </w:t>
      </w:r>
      <w:r w:rsidR="005140F1" w:rsidRPr="00813D19">
        <w:rPr>
          <w:lang w:val="en-US"/>
        </w:rPr>
        <w:t xml:space="preserve">own </w:t>
      </w:r>
      <w:r w:rsidR="001E2E17" w:rsidRPr="00813D19">
        <w:rPr>
          <w:lang w:val="en-US"/>
        </w:rPr>
        <w:t xml:space="preserve">submission. </w:t>
      </w:r>
      <w:r w:rsidR="005140F1" w:rsidRPr="00813D19">
        <w:rPr>
          <w:lang w:val="en-US"/>
        </w:rPr>
        <w:t xml:space="preserve">The delegation </w:t>
      </w:r>
      <w:r w:rsidR="001E2E17" w:rsidRPr="00813D19">
        <w:rPr>
          <w:lang w:val="en-US"/>
        </w:rPr>
        <w:t>believe</w:t>
      </w:r>
      <w:r w:rsidR="00774165" w:rsidRPr="00813D19">
        <w:rPr>
          <w:lang w:val="en-US"/>
        </w:rPr>
        <w:t>d</w:t>
      </w:r>
      <w:r w:rsidR="001E2E17" w:rsidRPr="00813D19">
        <w:rPr>
          <w:lang w:val="en-US"/>
        </w:rPr>
        <w:t xml:space="preserve"> </w:t>
      </w:r>
      <w:r w:rsidR="00774165" w:rsidRPr="00813D19">
        <w:rPr>
          <w:lang w:val="en-US"/>
        </w:rPr>
        <w:t xml:space="preserve">that </w:t>
      </w:r>
      <w:r w:rsidR="001E2E17" w:rsidRPr="00813D19">
        <w:rPr>
          <w:lang w:val="en-US"/>
        </w:rPr>
        <w:t xml:space="preserve">the </w:t>
      </w:r>
      <w:r w:rsidR="00774165" w:rsidRPr="00813D19">
        <w:rPr>
          <w:lang w:val="en-US"/>
        </w:rPr>
        <w:t xml:space="preserve">discussion </w:t>
      </w:r>
      <w:r w:rsidR="00EB03A3" w:rsidRPr="00813D19">
        <w:rPr>
          <w:lang w:val="en-US"/>
        </w:rPr>
        <w:t>o</w:t>
      </w:r>
      <w:r w:rsidR="00EB03A3">
        <w:rPr>
          <w:lang w:val="en-US"/>
        </w:rPr>
        <w:t>ver</w:t>
      </w:r>
      <w:r w:rsidR="00EB03A3" w:rsidRPr="00813D19">
        <w:rPr>
          <w:lang w:val="en-US"/>
        </w:rPr>
        <w:t xml:space="preserve"> </w:t>
      </w:r>
      <w:r w:rsidR="00774165" w:rsidRPr="00813D19">
        <w:rPr>
          <w:lang w:val="en-US"/>
        </w:rPr>
        <w:t xml:space="preserve">the </w:t>
      </w:r>
      <w:r w:rsidR="005140F1" w:rsidRPr="00813D19">
        <w:rPr>
          <w:lang w:val="en-US"/>
        </w:rPr>
        <w:t>past two day</w:t>
      </w:r>
      <w:r w:rsidR="001E2E17" w:rsidRPr="00813D19">
        <w:rPr>
          <w:lang w:val="en-US"/>
        </w:rPr>
        <w:t xml:space="preserve">s on the issue of reporting </w:t>
      </w:r>
      <w:r w:rsidR="00774165" w:rsidRPr="00813D19">
        <w:rPr>
          <w:lang w:val="en-US"/>
        </w:rPr>
        <w:t xml:space="preserve">and </w:t>
      </w:r>
      <w:r w:rsidR="001E2E17" w:rsidRPr="00813D19">
        <w:rPr>
          <w:lang w:val="en-US"/>
        </w:rPr>
        <w:t xml:space="preserve">the absence of dialogue </w:t>
      </w:r>
      <w:r w:rsidR="00774165" w:rsidRPr="00813D19">
        <w:rPr>
          <w:lang w:val="en-US"/>
        </w:rPr>
        <w:t>clearly revealed a major element</w:t>
      </w:r>
      <w:r w:rsidR="001E2E17" w:rsidRPr="00813D19">
        <w:rPr>
          <w:lang w:val="en-US"/>
        </w:rPr>
        <w:t xml:space="preserve"> </w:t>
      </w:r>
      <w:r w:rsidR="00774165" w:rsidRPr="00813D19">
        <w:rPr>
          <w:lang w:val="en-US"/>
        </w:rPr>
        <w:t xml:space="preserve">that </w:t>
      </w:r>
      <w:r w:rsidR="001E2E17" w:rsidRPr="00813D19">
        <w:rPr>
          <w:lang w:val="en-US"/>
        </w:rPr>
        <w:t xml:space="preserve">could possibly bridge the gap between the Evaluation Body and the submitting State. There </w:t>
      </w:r>
      <w:r w:rsidR="00774165" w:rsidRPr="00813D19">
        <w:rPr>
          <w:lang w:val="en-US"/>
        </w:rPr>
        <w:t>was also a strong need for capacity</w:t>
      </w:r>
      <w:r w:rsidR="00EB03A3">
        <w:rPr>
          <w:lang w:val="en-US"/>
        </w:rPr>
        <w:t xml:space="preserve"> </w:t>
      </w:r>
      <w:r w:rsidR="001E2E17" w:rsidRPr="00813D19">
        <w:rPr>
          <w:lang w:val="en-US"/>
        </w:rPr>
        <w:t xml:space="preserve">building in many of </w:t>
      </w:r>
      <w:r w:rsidR="005140F1" w:rsidRPr="00813D19">
        <w:rPr>
          <w:lang w:val="en-US"/>
        </w:rPr>
        <w:t xml:space="preserve">the </w:t>
      </w:r>
      <w:r w:rsidR="001E2E17" w:rsidRPr="00813D19">
        <w:rPr>
          <w:lang w:val="en-US"/>
        </w:rPr>
        <w:t xml:space="preserve">countries where submissions </w:t>
      </w:r>
      <w:r w:rsidR="005140F1" w:rsidRPr="00813D19">
        <w:rPr>
          <w:lang w:val="en-US"/>
        </w:rPr>
        <w:t xml:space="preserve">did </w:t>
      </w:r>
      <w:r w:rsidR="001E2E17" w:rsidRPr="00813D19">
        <w:rPr>
          <w:lang w:val="en-US"/>
        </w:rPr>
        <w:t xml:space="preserve">not meet the exact language </w:t>
      </w:r>
      <w:r w:rsidR="00774165" w:rsidRPr="00813D19">
        <w:rPr>
          <w:lang w:val="en-US"/>
        </w:rPr>
        <w:t>at times</w:t>
      </w:r>
      <w:r w:rsidR="001E2E17" w:rsidRPr="00813D19">
        <w:rPr>
          <w:lang w:val="en-US"/>
        </w:rPr>
        <w:t xml:space="preserve"> or </w:t>
      </w:r>
      <w:r w:rsidR="00774165" w:rsidRPr="00813D19">
        <w:rPr>
          <w:lang w:val="en-US"/>
        </w:rPr>
        <w:t xml:space="preserve">manage </w:t>
      </w:r>
      <w:r w:rsidR="001E2E17" w:rsidRPr="00813D19">
        <w:rPr>
          <w:lang w:val="en-US"/>
        </w:rPr>
        <w:t xml:space="preserve">the technicalities of </w:t>
      </w:r>
      <w:r w:rsidR="00774165" w:rsidRPr="00813D19">
        <w:rPr>
          <w:lang w:val="en-US"/>
        </w:rPr>
        <w:t>the submission</w:t>
      </w:r>
      <w:r w:rsidR="001E2E17" w:rsidRPr="00813D19">
        <w:rPr>
          <w:lang w:val="en-US"/>
        </w:rPr>
        <w:t xml:space="preserve">. A few of the </w:t>
      </w:r>
      <w:r w:rsidR="00E8473B" w:rsidRPr="00813D19">
        <w:rPr>
          <w:lang w:val="en-US"/>
        </w:rPr>
        <w:t xml:space="preserve">remarks by </w:t>
      </w:r>
      <w:r w:rsidR="001E2E17" w:rsidRPr="00813D19">
        <w:rPr>
          <w:lang w:val="en-US"/>
        </w:rPr>
        <w:t xml:space="preserve">the Evaluation Body </w:t>
      </w:r>
      <w:r w:rsidR="00EB03A3" w:rsidRPr="00813D19">
        <w:rPr>
          <w:lang w:val="en-US"/>
        </w:rPr>
        <w:t>w</w:t>
      </w:r>
      <w:r w:rsidR="00EB03A3">
        <w:rPr>
          <w:lang w:val="en-US"/>
        </w:rPr>
        <w:t xml:space="preserve">ere </w:t>
      </w:r>
      <w:r w:rsidR="00E8473B" w:rsidRPr="00813D19">
        <w:rPr>
          <w:lang w:val="en-US"/>
        </w:rPr>
        <w:t xml:space="preserve">solid </w:t>
      </w:r>
      <w:r w:rsidR="005140F1" w:rsidRPr="00813D19">
        <w:rPr>
          <w:lang w:val="en-US"/>
        </w:rPr>
        <w:t xml:space="preserve">and </w:t>
      </w:r>
      <w:r w:rsidR="001E2E17" w:rsidRPr="00813D19">
        <w:rPr>
          <w:lang w:val="en-US"/>
        </w:rPr>
        <w:t>strong</w:t>
      </w:r>
      <w:r w:rsidR="00E8473B" w:rsidRPr="00813D19">
        <w:rPr>
          <w:lang w:val="en-US"/>
        </w:rPr>
        <w:t>, b</w:t>
      </w:r>
      <w:r w:rsidR="001E2E17" w:rsidRPr="00813D19">
        <w:rPr>
          <w:lang w:val="en-US"/>
        </w:rPr>
        <w:t xml:space="preserve">ut some </w:t>
      </w:r>
      <w:r w:rsidR="00E8473B" w:rsidRPr="00813D19">
        <w:rPr>
          <w:lang w:val="en-US"/>
        </w:rPr>
        <w:t xml:space="preserve">had </w:t>
      </w:r>
      <w:r w:rsidR="001E2E17" w:rsidRPr="00813D19">
        <w:rPr>
          <w:lang w:val="en-US"/>
        </w:rPr>
        <w:t xml:space="preserve">been very minor, for example, the </w:t>
      </w:r>
      <w:r w:rsidR="00E8473B" w:rsidRPr="00813D19">
        <w:rPr>
          <w:lang w:val="en-US"/>
        </w:rPr>
        <w:t xml:space="preserve">issue </w:t>
      </w:r>
      <w:r w:rsidR="005140F1" w:rsidRPr="00813D19">
        <w:rPr>
          <w:lang w:val="en-US"/>
        </w:rPr>
        <w:t>raised with regard to R.3, R.4</w:t>
      </w:r>
      <w:r w:rsidR="001E2E17" w:rsidRPr="00813D19">
        <w:rPr>
          <w:lang w:val="en-US"/>
        </w:rPr>
        <w:t xml:space="preserve"> </w:t>
      </w:r>
      <w:r w:rsidR="00E8473B" w:rsidRPr="00813D19">
        <w:rPr>
          <w:lang w:val="en-US"/>
        </w:rPr>
        <w:t xml:space="preserve">and the backdated consent of the </w:t>
      </w:r>
      <w:r w:rsidR="001E2E17" w:rsidRPr="00813D19">
        <w:rPr>
          <w:lang w:val="en-US"/>
        </w:rPr>
        <w:t xml:space="preserve">community. </w:t>
      </w:r>
      <w:r w:rsidR="00E8473B" w:rsidRPr="00813D19">
        <w:rPr>
          <w:lang w:val="en-US"/>
        </w:rPr>
        <w:t xml:space="preserve">The delegation explained that the nomination </w:t>
      </w:r>
      <w:r w:rsidR="00EB03A3">
        <w:rPr>
          <w:lang w:val="en-US"/>
        </w:rPr>
        <w:t>had</w:t>
      </w:r>
      <w:r w:rsidR="00EB03A3" w:rsidRPr="00813D19">
        <w:rPr>
          <w:lang w:val="en-US"/>
        </w:rPr>
        <w:t xml:space="preserve"> </w:t>
      </w:r>
      <w:r w:rsidR="001E2E17" w:rsidRPr="00813D19">
        <w:rPr>
          <w:lang w:val="en-US"/>
        </w:rPr>
        <w:t>first</w:t>
      </w:r>
      <w:r w:rsidR="00EB03A3">
        <w:rPr>
          <w:lang w:val="en-US"/>
        </w:rPr>
        <w:t xml:space="preserve"> been</w:t>
      </w:r>
      <w:r w:rsidR="001E2E17" w:rsidRPr="00813D19">
        <w:rPr>
          <w:lang w:val="en-US"/>
        </w:rPr>
        <w:t xml:space="preserve"> </w:t>
      </w:r>
      <w:r w:rsidR="00E8473B" w:rsidRPr="00813D19">
        <w:rPr>
          <w:lang w:val="en-US"/>
        </w:rPr>
        <w:t xml:space="preserve">filed </w:t>
      </w:r>
      <w:r w:rsidR="001E2E17" w:rsidRPr="00813D19">
        <w:rPr>
          <w:lang w:val="en-US"/>
        </w:rPr>
        <w:t xml:space="preserve">in 2013, </w:t>
      </w:r>
      <w:r w:rsidR="00E8473B" w:rsidRPr="00813D19">
        <w:rPr>
          <w:lang w:val="en-US"/>
        </w:rPr>
        <w:t xml:space="preserve">and later </w:t>
      </w:r>
      <w:r w:rsidR="001E2E17" w:rsidRPr="00813D19">
        <w:rPr>
          <w:lang w:val="en-US"/>
        </w:rPr>
        <w:t>resubmit</w:t>
      </w:r>
      <w:r w:rsidR="00E8473B" w:rsidRPr="00813D19">
        <w:rPr>
          <w:lang w:val="en-US"/>
        </w:rPr>
        <w:t>ted</w:t>
      </w:r>
      <w:r w:rsidR="001E2E17" w:rsidRPr="00813D19">
        <w:rPr>
          <w:lang w:val="en-US"/>
        </w:rPr>
        <w:t xml:space="preserve"> in 2017</w:t>
      </w:r>
      <w:r w:rsidR="00E8473B" w:rsidRPr="00813D19">
        <w:rPr>
          <w:lang w:val="en-US"/>
        </w:rPr>
        <w:t>.</w:t>
      </w:r>
      <w:r w:rsidR="001E2E17" w:rsidRPr="00813D19">
        <w:rPr>
          <w:lang w:val="en-US"/>
        </w:rPr>
        <w:t xml:space="preserve"> </w:t>
      </w:r>
      <w:r w:rsidR="00E8473B" w:rsidRPr="00813D19">
        <w:rPr>
          <w:lang w:val="en-US"/>
        </w:rPr>
        <w:t>W</w:t>
      </w:r>
      <w:r w:rsidR="001E2E17" w:rsidRPr="00813D19">
        <w:rPr>
          <w:lang w:val="en-US"/>
        </w:rPr>
        <w:t>hen the submission was made</w:t>
      </w:r>
      <w:r w:rsidR="00E8473B" w:rsidRPr="00813D19">
        <w:rPr>
          <w:lang w:val="en-US"/>
        </w:rPr>
        <w:t>,</w:t>
      </w:r>
      <w:r w:rsidR="001E2E17" w:rsidRPr="00813D19">
        <w:rPr>
          <w:lang w:val="en-US"/>
        </w:rPr>
        <w:t xml:space="preserve"> </w:t>
      </w:r>
      <w:r w:rsidR="002811B7" w:rsidRPr="00813D19">
        <w:rPr>
          <w:lang w:val="en-US"/>
        </w:rPr>
        <w:t>Bangladesh</w:t>
      </w:r>
      <w:r w:rsidR="00E8473B" w:rsidRPr="00813D19">
        <w:rPr>
          <w:lang w:val="en-US"/>
        </w:rPr>
        <w:t xml:space="preserve"> </w:t>
      </w:r>
      <w:r w:rsidR="001E2E17" w:rsidRPr="00813D19">
        <w:rPr>
          <w:lang w:val="en-US"/>
        </w:rPr>
        <w:t xml:space="preserve">was clearly advised that if there </w:t>
      </w:r>
      <w:r w:rsidR="00E8473B" w:rsidRPr="00813D19">
        <w:rPr>
          <w:lang w:val="en-US"/>
        </w:rPr>
        <w:t xml:space="preserve">were </w:t>
      </w:r>
      <w:r w:rsidR="001E2E17" w:rsidRPr="00813D19">
        <w:rPr>
          <w:lang w:val="en-US"/>
        </w:rPr>
        <w:t>no substantial revision</w:t>
      </w:r>
      <w:r w:rsidR="00E8473B" w:rsidRPr="00813D19">
        <w:rPr>
          <w:lang w:val="en-US"/>
        </w:rPr>
        <w:t>s</w:t>
      </w:r>
      <w:r w:rsidR="001E2E17" w:rsidRPr="00813D19">
        <w:rPr>
          <w:lang w:val="en-US"/>
        </w:rPr>
        <w:t xml:space="preserve"> to the documentation</w:t>
      </w:r>
      <w:r w:rsidR="00EB03A3">
        <w:rPr>
          <w:lang w:val="en-US"/>
        </w:rPr>
        <w:t>,</w:t>
      </w:r>
      <w:r w:rsidR="001E2E17" w:rsidRPr="00813D19">
        <w:rPr>
          <w:lang w:val="en-US"/>
        </w:rPr>
        <w:t xml:space="preserve"> </w:t>
      </w:r>
      <w:r w:rsidR="00E8473B" w:rsidRPr="00813D19">
        <w:rPr>
          <w:lang w:val="en-US"/>
        </w:rPr>
        <w:t xml:space="preserve">it did </w:t>
      </w:r>
      <w:r w:rsidR="001E2E17" w:rsidRPr="00813D19">
        <w:rPr>
          <w:lang w:val="en-US"/>
        </w:rPr>
        <w:t>not need to provide new documentation. The consent letters given by the community representatives were the same group of people holding the same position in 2017</w:t>
      </w:r>
      <w:r w:rsidR="005140F1" w:rsidRPr="00813D19">
        <w:rPr>
          <w:lang w:val="en-US"/>
        </w:rPr>
        <w:t>,</w:t>
      </w:r>
      <w:r w:rsidR="001E2E17" w:rsidRPr="00813D19">
        <w:rPr>
          <w:lang w:val="en-US"/>
        </w:rPr>
        <w:t xml:space="preserve"> so </w:t>
      </w:r>
      <w:r w:rsidR="00E8473B" w:rsidRPr="00813D19">
        <w:rPr>
          <w:lang w:val="en-US"/>
        </w:rPr>
        <w:t xml:space="preserve">it was </w:t>
      </w:r>
      <w:r w:rsidR="001E2E17" w:rsidRPr="00813D19">
        <w:rPr>
          <w:lang w:val="en-US"/>
        </w:rPr>
        <w:t xml:space="preserve">felt </w:t>
      </w:r>
      <w:r w:rsidR="00E8473B" w:rsidRPr="00813D19">
        <w:rPr>
          <w:lang w:val="en-US"/>
        </w:rPr>
        <w:t xml:space="preserve">that there was no </w:t>
      </w:r>
      <w:r w:rsidR="001E2E17" w:rsidRPr="00813D19">
        <w:rPr>
          <w:lang w:val="en-US"/>
        </w:rPr>
        <w:t>need to obtain fresh consent letter</w:t>
      </w:r>
      <w:r w:rsidR="005140F1" w:rsidRPr="00813D19">
        <w:rPr>
          <w:lang w:val="en-US"/>
        </w:rPr>
        <w:t>s</w:t>
      </w:r>
      <w:r w:rsidR="001E2E17" w:rsidRPr="00813D19">
        <w:rPr>
          <w:lang w:val="en-US"/>
        </w:rPr>
        <w:t xml:space="preserve">. </w:t>
      </w:r>
      <w:r w:rsidR="00E8473B" w:rsidRPr="00813D19">
        <w:rPr>
          <w:lang w:val="en-US"/>
        </w:rPr>
        <w:t xml:space="preserve">Although </w:t>
      </w:r>
      <w:r w:rsidR="001E2E17" w:rsidRPr="00813D19">
        <w:rPr>
          <w:lang w:val="en-US"/>
        </w:rPr>
        <w:t>trivial</w:t>
      </w:r>
      <w:r w:rsidR="002811B7" w:rsidRPr="00813D19">
        <w:rPr>
          <w:lang w:val="en-US"/>
        </w:rPr>
        <w:t xml:space="preserve">, this </w:t>
      </w:r>
      <w:r w:rsidR="001E2E17" w:rsidRPr="00813D19">
        <w:rPr>
          <w:lang w:val="en-US"/>
        </w:rPr>
        <w:t xml:space="preserve">issue </w:t>
      </w:r>
      <w:r w:rsidR="002811B7" w:rsidRPr="00813D19">
        <w:rPr>
          <w:lang w:val="en-US"/>
        </w:rPr>
        <w:t xml:space="preserve">became </w:t>
      </w:r>
      <w:r w:rsidR="001E2E17" w:rsidRPr="00813D19">
        <w:rPr>
          <w:lang w:val="en-US"/>
        </w:rPr>
        <w:t xml:space="preserve">very significant when the Evaluation Body </w:t>
      </w:r>
      <w:r w:rsidR="002811B7" w:rsidRPr="00813D19">
        <w:rPr>
          <w:lang w:val="en-US"/>
        </w:rPr>
        <w:t xml:space="preserve">considered </w:t>
      </w:r>
      <w:r w:rsidR="001E2E17" w:rsidRPr="00813D19">
        <w:rPr>
          <w:lang w:val="en-US"/>
        </w:rPr>
        <w:t xml:space="preserve">the file, </w:t>
      </w:r>
      <w:r w:rsidR="002811B7" w:rsidRPr="00813D19">
        <w:rPr>
          <w:lang w:val="en-US"/>
        </w:rPr>
        <w:t xml:space="preserve">and </w:t>
      </w:r>
      <w:r w:rsidR="001E2E17" w:rsidRPr="00813D19">
        <w:rPr>
          <w:lang w:val="en-US"/>
        </w:rPr>
        <w:t>100</w:t>
      </w:r>
      <w:r w:rsidR="002811B7" w:rsidRPr="00813D19">
        <w:rPr>
          <w:lang w:val="en-US"/>
        </w:rPr>
        <w:t>–150 words</w:t>
      </w:r>
      <w:r w:rsidR="001E2E17" w:rsidRPr="00813D19">
        <w:rPr>
          <w:lang w:val="en-US"/>
        </w:rPr>
        <w:t xml:space="preserve"> at times </w:t>
      </w:r>
      <w:r w:rsidR="002811B7" w:rsidRPr="00813D19">
        <w:rPr>
          <w:lang w:val="en-US"/>
        </w:rPr>
        <w:t xml:space="preserve">made it </w:t>
      </w:r>
      <w:r w:rsidR="001E2E17" w:rsidRPr="00813D19">
        <w:rPr>
          <w:lang w:val="en-US"/>
        </w:rPr>
        <w:t xml:space="preserve">very difficult to </w:t>
      </w:r>
      <w:r w:rsidR="002811B7" w:rsidRPr="00813D19">
        <w:rPr>
          <w:lang w:val="en-US"/>
        </w:rPr>
        <w:t xml:space="preserve">summarize in a very concise way, particularly as </w:t>
      </w:r>
      <w:r w:rsidR="001E2E17" w:rsidRPr="00813D19">
        <w:rPr>
          <w:lang w:val="en-US"/>
        </w:rPr>
        <w:t xml:space="preserve">English is not </w:t>
      </w:r>
      <w:r w:rsidR="005140F1" w:rsidRPr="00813D19">
        <w:rPr>
          <w:lang w:val="en-US"/>
        </w:rPr>
        <w:t xml:space="preserve">a </w:t>
      </w:r>
      <w:r w:rsidR="001E2E17" w:rsidRPr="00813D19">
        <w:rPr>
          <w:lang w:val="en-US"/>
        </w:rPr>
        <w:t xml:space="preserve">native language. </w:t>
      </w:r>
      <w:r w:rsidR="002811B7" w:rsidRPr="00813D19">
        <w:rPr>
          <w:lang w:val="en-US"/>
        </w:rPr>
        <w:t xml:space="preserve">Regarding the </w:t>
      </w:r>
      <w:r w:rsidR="001E2E17" w:rsidRPr="00813D19">
        <w:rPr>
          <w:lang w:val="en-US"/>
        </w:rPr>
        <w:t>national inventory</w:t>
      </w:r>
      <w:r w:rsidR="002811B7" w:rsidRPr="00813D19">
        <w:rPr>
          <w:lang w:val="en-US"/>
        </w:rPr>
        <w:t>,</w:t>
      </w:r>
      <w:r w:rsidR="001E2E17" w:rsidRPr="00813D19">
        <w:rPr>
          <w:lang w:val="en-US"/>
        </w:rPr>
        <w:t xml:space="preserve"> </w:t>
      </w:r>
      <w:r w:rsidR="002811B7" w:rsidRPr="00813D19">
        <w:rPr>
          <w:lang w:val="en-US"/>
        </w:rPr>
        <w:t xml:space="preserve">which was </w:t>
      </w:r>
      <w:r w:rsidR="001E2E17" w:rsidRPr="00813D19">
        <w:rPr>
          <w:lang w:val="en-US"/>
        </w:rPr>
        <w:t xml:space="preserve">based on an earlier inventory and </w:t>
      </w:r>
      <w:r w:rsidR="002811B7" w:rsidRPr="00813D19">
        <w:rPr>
          <w:lang w:val="en-US"/>
        </w:rPr>
        <w:t xml:space="preserve">not updated, the delegation further explained that an </w:t>
      </w:r>
      <w:r w:rsidR="001E2E17" w:rsidRPr="00813D19">
        <w:rPr>
          <w:lang w:val="en-US"/>
        </w:rPr>
        <w:t xml:space="preserve">altogether fresh study </w:t>
      </w:r>
      <w:r w:rsidR="002811B7" w:rsidRPr="00813D19">
        <w:rPr>
          <w:lang w:val="en-US"/>
        </w:rPr>
        <w:t>had been carried out in 2015–</w:t>
      </w:r>
      <w:r w:rsidR="001E2E17" w:rsidRPr="00813D19">
        <w:rPr>
          <w:lang w:val="en-US"/>
        </w:rPr>
        <w:t>2</w:t>
      </w:r>
      <w:r w:rsidR="00E72560">
        <w:rPr>
          <w:lang w:val="en-US"/>
        </w:rPr>
        <w:t>016 and then submitted in 2017.</w:t>
      </w:r>
    </w:p>
    <w:p w14:paraId="28652C4C" w14:textId="4240AB70" w:rsidR="00757C16" w:rsidRPr="00813D19" w:rsidRDefault="002811B7" w:rsidP="00D719F0">
      <w:pPr>
        <w:pStyle w:val="Orateurengris"/>
        <w:spacing w:before="120"/>
        <w:ind w:left="709" w:hanging="709"/>
        <w:rPr>
          <w:lang w:val="en-US"/>
        </w:rPr>
      </w:pPr>
      <w:r w:rsidRPr="00813D19">
        <w:rPr>
          <w:lang w:val="en-US"/>
        </w:rPr>
        <w:t xml:space="preserve">The </w:t>
      </w:r>
      <w:r w:rsidRPr="00813D19">
        <w:rPr>
          <w:b/>
          <w:lang w:val="en-US"/>
        </w:rPr>
        <w:t>delegation of Bangladesh</w:t>
      </w:r>
      <w:r w:rsidRPr="00813D19">
        <w:rPr>
          <w:lang w:val="en-US"/>
        </w:rPr>
        <w:t xml:space="preserve"> </w:t>
      </w:r>
      <w:r w:rsidR="00677F9F" w:rsidRPr="00813D19">
        <w:rPr>
          <w:lang w:val="en-US"/>
        </w:rPr>
        <w:t xml:space="preserve">believed that these </w:t>
      </w:r>
      <w:r w:rsidR="001E2E17" w:rsidRPr="00813D19">
        <w:rPr>
          <w:lang w:val="en-US"/>
        </w:rPr>
        <w:t xml:space="preserve">minor </w:t>
      </w:r>
      <w:r w:rsidR="00677F9F" w:rsidRPr="00813D19">
        <w:rPr>
          <w:lang w:val="en-US"/>
        </w:rPr>
        <w:t xml:space="preserve">issues </w:t>
      </w:r>
      <w:r w:rsidR="001E2E17" w:rsidRPr="00813D19">
        <w:rPr>
          <w:lang w:val="en-US"/>
        </w:rPr>
        <w:t>could have been clarified</w:t>
      </w:r>
      <w:r w:rsidR="00677F9F" w:rsidRPr="00813D19">
        <w:rPr>
          <w:lang w:val="en-US"/>
        </w:rPr>
        <w:t xml:space="preserve"> earlier</w:t>
      </w:r>
      <w:r w:rsidR="001E2E17" w:rsidRPr="00813D19">
        <w:rPr>
          <w:lang w:val="en-US"/>
        </w:rPr>
        <w:t xml:space="preserve"> </w:t>
      </w:r>
      <w:r w:rsidR="00677F9F" w:rsidRPr="00813D19">
        <w:rPr>
          <w:lang w:val="en-US"/>
        </w:rPr>
        <w:t xml:space="preserve">and better </w:t>
      </w:r>
      <w:r w:rsidR="001E2E17" w:rsidRPr="00813D19">
        <w:rPr>
          <w:lang w:val="en-US"/>
        </w:rPr>
        <w:t xml:space="preserve">explained </w:t>
      </w:r>
      <w:r w:rsidR="00677F9F" w:rsidRPr="00813D19">
        <w:rPr>
          <w:lang w:val="en-US"/>
        </w:rPr>
        <w:t xml:space="preserve">so that it </w:t>
      </w:r>
      <w:r w:rsidR="001E2E17" w:rsidRPr="00813D19">
        <w:rPr>
          <w:lang w:val="en-US"/>
        </w:rPr>
        <w:t xml:space="preserve">would </w:t>
      </w:r>
      <w:r w:rsidR="00677F9F" w:rsidRPr="00813D19">
        <w:rPr>
          <w:lang w:val="en-US"/>
        </w:rPr>
        <w:t xml:space="preserve">have </w:t>
      </w:r>
      <w:r w:rsidR="001E2E17" w:rsidRPr="00813D19">
        <w:rPr>
          <w:lang w:val="en-US"/>
        </w:rPr>
        <w:t xml:space="preserve">been better off </w:t>
      </w:r>
      <w:r w:rsidR="00677F9F" w:rsidRPr="00813D19">
        <w:rPr>
          <w:lang w:val="en-US"/>
        </w:rPr>
        <w:t xml:space="preserve">with </w:t>
      </w:r>
      <w:r w:rsidR="001E2E17" w:rsidRPr="00813D19">
        <w:rPr>
          <w:lang w:val="en-US"/>
        </w:rPr>
        <w:t>two observations rather than four. Bangladesh place</w:t>
      </w:r>
      <w:r w:rsidR="00677F9F" w:rsidRPr="00813D19">
        <w:rPr>
          <w:lang w:val="en-US"/>
        </w:rPr>
        <w:t>d</w:t>
      </w:r>
      <w:r w:rsidR="001E2E17" w:rsidRPr="00813D19">
        <w:rPr>
          <w:lang w:val="en-US"/>
        </w:rPr>
        <w:t xml:space="preserve"> great importance on </w:t>
      </w:r>
      <w:r w:rsidR="00677F9F" w:rsidRPr="00813D19">
        <w:rPr>
          <w:lang w:val="en-US"/>
        </w:rPr>
        <w:t xml:space="preserve">the </w:t>
      </w:r>
      <w:r w:rsidR="0043603E" w:rsidRPr="00813D19">
        <w:rPr>
          <w:lang w:val="en-US"/>
        </w:rPr>
        <w:t>Convention,</w:t>
      </w:r>
      <w:r w:rsidR="001E2E17" w:rsidRPr="00813D19">
        <w:rPr>
          <w:lang w:val="en-US"/>
        </w:rPr>
        <w:t xml:space="preserve"> being </w:t>
      </w:r>
      <w:r w:rsidR="00EB03A3">
        <w:rPr>
          <w:lang w:val="en-US"/>
        </w:rPr>
        <w:t xml:space="preserve">the </w:t>
      </w:r>
      <w:r w:rsidR="001E2E17" w:rsidRPr="00813D19">
        <w:rPr>
          <w:lang w:val="en-US"/>
        </w:rPr>
        <w:t xml:space="preserve">signatory to eight </w:t>
      </w:r>
      <w:r w:rsidR="0043603E" w:rsidRPr="00813D19">
        <w:rPr>
          <w:lang w:val="en-US"/>
        </w:rPr>
        <w:t>Conventions, and it had great</w:t>
      </w:r>
      <w:r w:rsidR="001E2E17" w:rsidRPr="00813D19">
        <w:rPr>
          <w:lang w:val="en-US"/>
        </w:rPr>
        <w:t xml:space="preserve"> awareness </w:t>
      </w:r>
      <w:r w:rsidR="0043603E" w:rsidRPr="00813D19">
        <w:rPr>
          <w:lang w:val="en-US"/>
        </w:rPr>
        <w:t xml:space="preserve">of </w:t>
      </w:r>
      <w:r w:rsidR="001E2E17" w:rsidRPr="00813D19">
        <w:rPr>
          <w:lang w:val="en-US"/>
        </w:rPr>
        <w:t>the safeguarding of these national elements</w:t>
      </w:r>
      <w:r w:rsidR="0043603E" w:rsidRPr="00813D19">
        <w:rPr>
          <w:lang w:val="en-US"/>
        </w:rPr>
        <w:t>,</w:t>
      </w:r>
      <w:r w:rsidR="001E2E17" w:rsidRPr="00813D19">
        <w:rPr>
          <w:lang w:val="en-US"/>
        </w:rPr>
        <w:t xml:space="preserve"> which</w:t>
      </w:r>
      <w:r w:rsidR="00EB03A3">
        <w:rPr>
          <w:lang w:val="en-US"/>
        </w:rPr>
        <w:t>,</w:t>
      </w:r>
      <w:r w:rsidR="001E2E17" w:rsidRPr="00813D19">
        <w:rPr>
          <w:lang w:val="en-US"/>
        </w:rPr>
        <w:t xml:space="preserve"> once registered </w:t>
      </w:r>
      <w:r w:rsidR="0043603E" w:rsidRPr="00813D19">
        <w:rPr>
          <w:lang w:val="en-US"/>
        </w:rPr>
        <w:t xml:space="preserve">on the </w:t>
      </w:r>
      <w:r w:rsidR="001E2E17" w:rsidRPr="00813D19">
        <w:rPr>
          <w:lang w:val="en-US"/>
        </w:rPr>
        <w:t>List</w:t>
      </w:r>
      <w:r w:rsidR="0043603E" w:rsidRPr="00813D19">
        <w:rPr>
          <w:lang w:val="en-US"/>
        </w:rPr>
        <w:t>s</w:t>
      </w:r>
      <w:r w:rsidR="001E2E17" w:rsidRPr="00813D19">
        <w:rPr>
          <w:lang w:val="en-US"/>
        </w:rPr>
        <w:t xml:space="preserve"> of Intangible Cultural Heritage</w:t>
      </w:r>
      <w:r w:rsidR="00EB03A3">
        <w:rPr>
          <w:lang w:val="en-US"/>
        </w:rPr>
        <w:t>,</w:t>
      </w:r>
      <w:r w:rsidR="001E2E17" w:rsidRPr="00813D19">
        <w:rPr>
          <w:lang w:val="en-US"/>
        </w:rPr>
        <w:t xml:space="preserve"> would provide greater visibility and create a greater sense of responsibility and awareness both on the part of the community </w:t>
      </w:r>
      <w:r w:rsidR="00EB03A3">
        <w:rPr>
          <w:lang w:val="en-US"/>
        </w:rPr>
        <w:t>and</w:t>
      </w:r>
      <w:r w:rsidR="001E2E17" w:rsidRPr="00813D19">
        <w:rPr>
          <w:lang w:val="en-US"/>
        </w:rPr>
        <w:t xml:space="preserve"> the State to provide safeguard</w:t>
      </w:r>
      <w:r w:rsidR="005140F1" w:rsidRPr="00813D19">
        <w:rPr>
          <w:lang w:val="en-US"/>
        </w:rPr>
        <w:t>ing</w:t>
      </w:r>
      <w:r w:rsidR="001E2E17" w:rsidRPr="00813D19">
        <w:rPr>
          <w:lang w:val="en-US"/>
        </w:rPr>
        <w:t xml:space="preserve"> for its continuity. </w:t>
      </w:r>
      <w:r w:rsidR="0043603E" w:rsidRPr="00813D19">
        <w:rPr>
          <w:lang w:val="en-US"/>
        </w:rPr>
        <w:t xml:space="preserve">The delegation was well aware </w:t>
      </w:r>
      <w:r w:rsidR="001E2E17" w:rsidRPr="00813D19">
        <w:rPr>
          <w:lang w:val="en-US"/>
        </w:rPr>
        <w:t xml:space="preserve">of the four deficiencies in the file, </w:t>
      </w:r>
      <w:r w:rsidR="0043603E" w:rsidRPr="00813D19">
        <w:rPr>
          <w:lang w:val="en-US"/>
        </w:rPr>
        <w:t xml:space="preserve">and it did not </w:t>
      </w:r>
      <w:r w:rsidR="001E2E17" w:rsidRPr="00813D19">
        <w:rPr>
          <w:lang w:val="en-US"/>
        </w:rPr>
        <w:t>seek any amendment</w:t>
      </w:r>
      <w:r w:rsidR="0043603E" w:rsidRPr="00813D19">
        <w:rPr>
          <w:lang w:val="en-US"/>
        </w:rPr>
        <w:t>s</w:t>
      </w:r>
      <w:r w:rsidR="001E2E17" w:rsidRPr="00813D19">
        <w:rPr>
          <w:lang w:val="en-US"/>
        </w:rPr>
        <w:t xml:space="preserve"> for the simple fact that </w:t>
      </w:r>
      <w:r w:rsidR="0043603E" w:rsidRPr="00813D19">
        <w:rPr>
          <w:lang w:val="en-US"/>
        </w:rPr>
        <w:t xml:space="preserve">it wished </w:t>
      </w:r>
      <w:r w:rsidR="001E2E17" w:rsidRPr="00813D19">
        <w:rPr>
          <w:lang w:val="en-US"/>
        </w:rPr>
        <w:t xml:space="preserve">to improve </w:t>
      </w:r>
      <w:r w:rsidR="0043603E" w:rsidRPr="00813D19">
        <w:rPr>
          <w:lang w:val="en-US"/>
        </w:rPr>
        <w:t xml:space="preserve">the </w:t>
      </w:r>
      <w:r w:rsidR="001E2E17" w:rsidRPr="00813D19">
        <w:rPr>
          <w:lang w:val="en-US"/>
        </w:rPr>
        <w:t>file for the next cycle</w:t>
      </w:r>
      <w:r w:rsidR="0043603E" w:rsidRPr="00813D19">
        <w:rPr>
          <w:lang w:val="en-US"/>
        </w:rPr>
        <w:t xml:space="preserve">. </w:t>
      </w:r>
      <w:r w:rsidR="00813D19" w:rsidRPr="00813D19">
        <w:rPr>
          <w:lang w:val="en-US"/>
        </w:rPr>
        <w:t>Nevertheless</w:t>
      </w:r>
      <w:r w:rsidR="0043603E" w:rsidRPr="00813D19">
        <w:rPr>
          <w:lang w:val="en-US"/>
        </w:rPr>
        <w:t xml:space="preserve">, it reiterated the serious </w:t>
      </w:r>
      <w:r w:rsidR="001E2E17" w:rsidRPr="00813D19">
        <w:rPr>
          <w:lang w:val="en-US"/>
        </w:rPr>
        <w:t>need for dialogue</w:t>
      </w:r>
      <w:r w:rsidR="0043603E" w:rsidRPr="00813D19">
        <w:rPr>
          <w:lang w:val="en-US"/>
        </w:rPr>
        <w:t>,</w:t>
      </w:r>
      <w:r w:rsidR="001E2E17" w:rsidRPr="00813D19">
        <w:rPr>
          <w:lang w:val="en-US"/>
        </w:rPr>
        <w:t xml:space="preserve"> </w:t>
      </w:r>
      <w:r w:rsidR="0043603E" w:rsidRPr="00813D19">
        <w:rPr>
          <w:lang w:val="en-US"/>
        </w:rPr>
        <w:t>as well as for capacity</w:t>
      </w:r>
      <w:r w:rsidR="00EB03A3">
        <w:rPr>
          <w:lang w:val="en-US"/>
        </w:rPr>
        <w:t xml:space="preserve"> </w:t>
      </w:r>
      <w:r w:rsidR="001E2E17" w:rsidRPr="00813D19">
        <w:rPr>
          <w:lang w:val="en-US"/>
        </w:rPr>
        <w:t>building</w:t>
      </w:r>
      <w:r w:rsidR="005140F1" w:rsidRPr="00813D19">
        <w:rPr>
          <w:lang w:val="en-US"/>
        </w:rPr>
        <w:t>,</w:t>
      </w:r>
      <w:r w:rsidR="001E2E17" w:rsidRPr="00813D19">
        <w:rPr>
          <w:lang w:val="en-US"/>
        </w:rPr>
        <w:t xml:space="preserve"> both in terms of understanding the criteria </w:t>
      </w:r>
      <w:r w:rsidR="00EB03A3">
        <w:rPr>
          <w:lang w:val="en-US"/>
        </w:rPr>
        <w:t>and</w:t>
      </w:r>
      <w:r w:rsidR="0043603E" w:rsidRPr="00813D19">
        <w:rPr>
          <w:lang w:val="en-US"/>
        </w:rPr>
        <w:t xml:space="preserve"> to receive </w:t>
      </w:r>
      <w:r w:rsidR="001E2E17" w:rsidRPr="00813D19">
        <w:rPr>
          <w:lang w:val="en-US"/>
        </w:rPr>
        <w:t xml:space="preserve">support from the Secretariat, </w:t>
      </w:r>
      <w:r w:rsidR="0043603E" w:rsidRPr="00813D19">
        <w:rPr>
          <w:lang w:val="en-US"/>
        </w:rPr>
        <w:t xml:space="preserve">the Evaluation Body and </w:t>
      </w:r>
      <w:r w:rsidR="001E2E17" w:rsidRPr="00813D19">
        <w:rPr>
          <w:lang w:val="en-US"/>
        </w:rPr>
        <w:t xml:space="preserve">the international community to improve </w:t>
      </w:r>
      <w:r w:rsidR="0043603E" w:rsidRPr="00813D19">
        <w:rPr>
          <w:lang w:val="en-US"/>
        </w:rPr>
        <w:t xml:space="preserve">its </w:t>
      </w:r>
      <w:r w:rsidR="001E2E17" w:rsidRPr="00813D19">
        <w:rPr>
          <w:lang w:val="en-US"/>
        </w:rPr>
        <w:t>capacit</w:t>
      </w:r>
      <w:r w:rsidR="00EB03A3">
        <w:rPr>
          <w:lang w:val="en-US"/>
        </w:rPr>
        <w:t>ies</w:t>
      </w:r>
      <w:r w:rsidR="001E2E17" w:rsidRPr="00813D19">
        <w:rPr>
          <w:lang w:val="en-US"/>
        </w:rPr>
        <w:t xml:space="preserve"> </w:t>
      </w:r>
      <w:r w:rsidR="0043603E" w:rsidRPr="00813D19">
        <w:rPr>
          <w:lang w:val="en-US"/>
        </w:rPr>
        <w:t xml:space="preserve">and hence </w:t>
      </w:r>
      <w:r w:rsidR="005140F1" w:rsidRPr="00813D19">
        <w:rPr>
          <w:lang w:val="en-US"/>
        </w:rPr>
        <w:t xml:space="preserve">its </w:t>
      </w:r>
      <w:r w:rsidR="0043603E" w:rsidRPr="00813D19">
        <w:rPr>
          <w:lang w:val="en-US"/>
        </w:rPr>
        <w:t>nominations</w:t>
      </w:r>
      <w:r w:rsidR="001E2E17" w:rsidRPr="00813D19">
        <w:rPr>
          <w:lang w:val="en-US"/>
        </w:rPr>
        <w:t xml:space="preserve">. </w:t>
      </w:r>
      <w:r w:rsidR="0043603E" w:rsidRPr="00813D19">
        <w:rPr>
          <w:lang w:val="en-US"/>
        </w:rPr>
        <w:t xml:space="preserve">The delegation </w:t>
      </w:r>
      <w:r w:rsidR="001E2E17" w:rsidRPr="00813D19">
        <w:rPr>
          <w:lang w:val="en-US"/>
        </w:rPr>
        <w:t>thank</w:t>
      </w:r>
      <w:r w:rsidR="0043603E" w:rsidRPr="00813D19">
        <w:rPr>
          <w:lang w:val="en-US"/>
        </w:rPr>
        <w:t>ed</w:t>
      </w:r>
      <w:r w:rsidR="001E2E17" w:rsidRPr="00813D19">
        <w:rPr>
          <w:lang w:val="en-US"/>
        </w:rPr>
        <w:t xml:space="preserve"> the Committee </w:t>
      </w:r>
      <w:r w:rsidR="0043603E" w:rsidRPr="00813D19">
        <w:rPr>
          <w:lang w:val="en-US"/>
        </w:rPr>
        <w:t xml:space="preserve">for allowing it to present its </w:t>
      </w:r>
      <w:r w:rsidR="001E2E17" w:rsidRPr="00813D19">
        <w:rPr>
          <w:lang w:val="en-US"/>
        </w:rPr>
        <w:t>point</w:t>
      </w:r>
      <w:r w:rsidR="0043603E" w:rsidRPr="00813D19">
        <w:rPr>
          <w:lang w:val="en-US"/>
        </w:rPr>
        <w:t xml:space="preserve">s, and it </w:t>
      </w:r>
      <w:r w:rsidR="001E2E17" w:rsidRPr="00813D19">
        <w:rPr>
          <w:lang w:val="en-US"/>
        </w:rPr>
        <w:t>hope</w:t>
      </w:r>
      <w:r w:rsidR="0043603E" w:rsidRPr="00813D19">
        <w:rPr>
          <w:lang w:val="en-US"/>
        </w:rPr>
        <w:t>d</w:t>
      </w:r>
      <w:r w:rsidR="001E2E17" w:rsidRPr="00813D19">
        <w:rPr>
          <w:lang w:val="en-US"/>
        </w:rPr>
        <w:t xml:space="preserve"> to come back in the next</w:t>
      </w:r>
      <w:r w:rsidR="0043603E" w:rsidRPr="00813D19">
        <w:rPr>
          <w:lang w:val="en-US"/>
        </w:rPr>
        <w:t xml:space="preserve"> cycle with a better submission</w:t>
      </w:r>
      <w:r w:rsidR="00E72560">
        <w:rPr>
          <w:lang w:val="en-US"/>
        </w:rPr>
        <w:t>.</w:t>
      </w:r>
    </w:p>
    <w:p w14:paraId="29742DCB" w14:textId="45FDC98B" w:rsidR="00D719F0" w:rsidRPr="00E72560" w:rsidRDefault="002311CC" w:rsidP="002811B7">
      <w:pPr>
        <w:pStyle w:val="Orateurengris"/>
        <w:spacing w:before="120"/>
        <w:ind w:left="709" w:hanging="709"/>
        <w:rPr>
          <w:rFonts w:eastAsia="Times New Roman"/>
          <w:bCs/>
          <w:lang w:val="en-US"/>
        </w:rPr>
      </w:pPr>
      <w:r w:rsidRPr="00813D19">
        <w:rPr>
          <w:lang w:val="en-US"/>
        </w:rPr>
        <w:t xml:space="preserve">The </w:t>
      </w:r>
      <w:r w:rsidRPr="00813D19">
        <w:rPr>
          <w:b/>
          <w:lang w:val="en-US"/>
        </w:rPr>
        <w:t>Chairperson</w:t>
      </w:r>
      <w:r w:rsidRPr="00813D19">
        <w:rPr>
          <w:lang w:val="en-US"/>
        </w:rPr>
        <w:t xml:space="preserve"> </w:t>
      </w:r>
      <w:r w:rsidR="001A45DF" w:rsidRPr="00813D19">
        <w:rPr>
          <w:bCs/>
          <w:lang w:val="en-US"/>
        </w:rPr>
        <w:t xml:space="preserve">thanked </w:t>
      </w:r>
      <w:r w:rsidR="00803EA7" w:rsidRPr="00813D19">
        <w:rPr>
          <w:bCs/>
          <w:lang w:val="en-US"/>
        </w:rPr>
        <w:t xml:space="preserve">Bangladesh for putting </w:t>
      </w:r>
      <w:r w:rsidR="001A45DF" w:rsidRPr="00813D19">
        <w:rPr>
          <w:bCs/>
          <w:lang w:val="en-US"/>
        </w:rPr>
        <w:t xml:space="preserve">its </w:t>
      </w:r>
      <w:r w:rsidR="002811B7" w:rsidRPr="00813D19">
        <w:rPr>
          <w:bCs/>
          <w:lang w:val="en-US"/>
        </w:rPr>
        <w:t xml:space="preserve">case forward, </w:t>
      </w:r>
      <w:r w:rsidR="005140F1" w:rsidRPr="00813D19">
        <w:rPr>
          <w:bCs/>
          <w:lang w:val="en-US"/>
        </w:rPr>
        <w:t xml:space="preserve">adding that </w:t>
      </w:r>
      <w:r w:rsidR="002811B7" w:rsidRPr="00813D19">
        <w:rPr>
          <w:bCs/>
          <w:lang w:val="en-US"/>
        </w:rPr>
        <w:t xml:space="preserve">the Committee </w:t>
      </w:r>
      <w:r w:rsidR="005140F1" w:rsidRPr="00813D19">
        <w:rPr>
          <w:bCs/>
          <w:lang w:val="en-US"/>
        </w:rPr>
        <w:t xml:space="preserve">had taken note, and he </w:t>
      </w:r>
      <w:r w:rsidR="002811B7" w:rsidRPr="00813D19">
        <w:rPr>
          <w:bCs/>
          <w:lang w:val="en-US"/>
        </w:rPr>
        <w:t xml:space="preserve">hoped the nomination would be successful </w:t>
      </w:r>
      <w:r w:rsidR="00803EA7" w:rsidRPr="00813D19">
        <w:rPr>
          <w:bCs/>
          <w:lang w:val="en-US"/>
        </w:rPr>
        <w:t xml:space="preserve">next time. </w:t>
      </w:r>
      <w:r w:rsidR="005140F1" w:rsidRPr="00813D19">
        <w:rPr>
          <w:b/>
          <w:lang w:val="en-US"/>
        </w:rPr>
        <w:t>T</w:t>
      </w:r>
      <w:r w:rsidR="00D719F0" w:rsidRPr="00813D19">
        <w:rPr>
          <w:b/>
          <w:lang w:val="en-US"/>
        </w:rPr>
        <w:t>he</w:t>
      </w:r>
      <w:r w:rsidR="00D719F0" w:rsidRPr="00813D19">
        <w:rPr>
          <w:lang w:val="en-US"/>
        </w:rPr>
        <w:t xml:space="preserve"> </w:t>
      </w:r>
      <w:r w:rsidR="00D719F0" w:rsidRPr="00813D19">
        <w:rPr>
          <w:b/>
          <w:lang w:val="en-US"/>
        </w:rPr>
        <w:t xml:space="preserve">Chairperson declared Decision </w:t>
      </w:r>
      <w:hyperlink r:id="rId106" w:history="1">
        <w:r w:rsidR="00D719F0" w:rsidRPr="00813D19">
          <w:rPr>
            <w:rStyle w:val="Hyperlink"/>
            <w:b/>
            <w:lang w:val="en-US"/>
          </w:rPr>
          <w:t>13.COM 10.b.5</w:t>
        </w:r>
      </w:hyperlink>
      <w:r w:rsidR="00D719F0" w:rsidRPr="00813D19">
        <w:rPr>
          <w:b/>
          <w:lang w:val="en-US"/>
        </w:rPr>
        <w:t xml:space="preserve"> adopted to </w:t>
      </w:r>
      <w:r w:rsidR="00D11DE9" w:rsidRPr="00813D19">
        <w:rPr>
          <w:b/>
          <w:lang w:val="en-US"/>
        </w:rPr>
        <w:t xml:space="preserve">refer </w:t>
      </w:r>
      <w:r w:rsidR="00D719F0" w:rsidRPr="00813D19">
        <w:rPr>
          <w:b/>
          <w:color w:val="000000" w:themeColor="text1"/>
          <w:lang w:val="en-US"/>
        </w:rPr>
        <w:t xml:space="preserve">Rickshaws and rickshaw painting in Dhaka </w:t>
      </w:r>
      <w:r w:rsidR="00D11DE9" w:rsidRPr="00813D19">
        <w:rPr>
          <w:b/>
          <w:color w:val="000000" w:themeColor="text1"/>
          <w:lang w:val="en-US"/>
        </w:rPr>
        <w:t>to the submitting State</w:t>
      </w:r>
      <w:r w:rsidR="00D719F0" w:rsidRPr="00E72560">
        <w:rPr>
          <w:bCs/>
          <w:snapToGrid/>
          <w:color w:val="000000" w:themeColor="text1"/>
          <w:lang w:val="en-US"/>
        </w:rPr>
        <w:t>.</w:t>
      </w:r>
    </w:p>
    <w:p w14:paraId="76D5A95A" w14:textId="16E739FA" w:rsidR="000E292B" w:rsidRPr="00813D19" w:rsidRDefault="000C5A26" w:rsidP="0099289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EB03A3">
        <w:rPr>
          <w:color w:val="000000" w:themeColor="text1"/>
          <w:lang w:val="en-US"/>
        </w:rPr>
        <w:t>,</w:t>
      </w:r>
      <w:r w:rsidRPr="00813D19">
        <w:rPr>
          <w:color w:val="000000" w:themeColor="text1"/>
          <w:lang w:val="en-US"/>
        </w:rPr>
        <w:t xml:space="preserve"> </w:t>
      </w:r>
      <w:r w:rsidRPr="00813D19">
        <w:rPr>
          <w:b/>
          <w:color w:val="000000" w:themeColor="text1"/>
          <w:lang w:val="en-US"/>
        </w:rPr>
        <w:t>Celebration in honor of the Budslaŭ icon of Our Lady</w:t>
      </w:r>
      <w:r w:rsidRPr="00813D19">
        <w:rPr>
          <w:color w:val="000000" w:themeColor="text1"/>
          <w:lang w:val="en-US"/>
        </w:rPr>
        <w:t xml:space="preserve"> [draft decision 13.COM 10.b.6]</w:t>
      </w:r>
      <w:r w:rsidR="00EB03A3">
        <w:rPr>
          <w:color w:val="000000" w:themeColor="text1"/>
          <w:lang w:val="en-US"/>
        </w:rPr>
        <w:t>,</w:t>
      </w:r>
      <w:r w:rsidRPr="00813D19">
        <w:rPr>
          <w:color w:val="000000" w:themeColor="text1"/>
          <w:lang w:val="en-US"/>
        </w:rPr>
        <w:t xml:space="preserve"> submitted by </w:t>
      </w:r>
      <w:r w:rsidRPr="00813D19">
        <w:rPr>
          <w:b/>
          <w:color w:val="000000" w:themeColor="text1"/>
          <w:lang w:val="en-US"/>
        </w:rPr>
        <w:t>Belarus</w:t>
      </w:r>
      <w:r w:rsidRPr="00813D19">
        <w:rPr>
          <w:color w:val="000000" w:themeColor="text1"/>
          <w:lang w:val="en-US"/>
        </w:rPr>
        <w:t xml:space="preserve">. </w:t>
      </w:r>
      <w:r w:rsidR="000E292B" w:rsidRPr="00813D19">
        <w:rPr>
          <w:lang w:val="en-US"/>
        </w:rPr>
        <w:t xml:space="preserve">Since the seventeenth century, every year on the first weekend of July, tens of thousands of pilgrims from all over Belarus and other countries </w:t>
      </w:r>
      <w:r w:rsidR="00EB03A3">
        <w:rPr>
          <w:lang w:val="en-US"/>
        </w:rPr>
        <w:t xml:space="preserve">have </w:t>
      </w:r>
      <w:r w:rsidR="000E292B" w:rsidRPr="00813D19">
        <w:rPr>
          <w:lang w:val="en-US"/>
        </w:rPr>
        <w:t>participate</w:t>
      </w:r>
      <w:r w:rsidR="00EB03A3">
        <w:rPr>
          <w:lang w:val="en-US"/>
        </w:rPr>
        <w:t>d</w:t>
      </w:r>
      <w:r w:rsidR="000E292B" w:rsidRPr="00813D19">
        <w:rPr>
          <w:lang w:val="en-US"/>
        </w:rPr>
        <w:t xml:space="preserve"> i</w:t>
      </w:r>
      <w:r w:rsidR="005140F1" w:rsidRPr="00813D19">
        <w:rPr>
          <w:lang w:val="en-US"/>
        </w:rPr>
        <w:t>n the celebrations Budslaŭ Fest</w:t>
      </w:r>
      <w:r w:rsidR="000E292B" w:rsidRPr="00813D19">
        <w:rPr>
          <w:lang w:val="en-US"/>
        </w:rPr>
        <w:t xml:space="preserve"> in honour of the Budslaŭ icon of Our Lady. From the information included in th</w:t>
      </w:r>
      <w:r w:rsidR="001B72CE" w:rsidRPr="00813D19">
        <w:rPr>
          <w:lang w:val="en-US"/>
        </w:rPr>
        <w:t>e file, the nomination satisfied</w:t>
      </w:r>
      <w:r w:rsidR="000E292B" w:rsidRPr="00813D19">
        <w:rPr>
          <w:lang w:val="en-US"/>
        </w:rPr>
        <w:t xml:space="preserve"> all five criteria. The Evaluation Body considered Celebration in honour of the Budslaŭ icon of Our Lady </w:t>
      </w:r>
      <w:r w:rsidR="00EB03A3">
        <w:rPr>
          <w:lang w:val="en-US"/>
        </w:rPr>
        <w:t>to be</w:t>
      </w:r>
      <w:r w:rsidR="00EB03A3" w:rsidRPr="00813D19">
        <w:rPr>
          <w:b/>
          <w:lang w:val="en-US"/>
        </w:rPr>
        <w:t xml:space="preserve"> </w:t>
      </w:r>
      <w:r w:rsidR="000E292B" w:rsidRPr="00813D19">
        <w:rPr>
          <w:lang w:val="en-US"/>
        </w:rPr>
        <w:t xml:space="preserve">an important religious and cultural event which unites people of different backgrounds and age groups. The Budslaŭ Fest represents a general tradition of tolerance and mutual respect, which could be inspirational internationally, </w:t>
      </w:r>
      <w:r w:rsidR="001B72CE" w:rsidRPr="00813D19">
        <w:rPr>
          <w:lang w:val="en-US"/>
        </w:rPr>
        <w:t xml:space="preserve">and </w:t>
      </w:r>
      <w:r w:rsidR="000E292B" w:rsidRPr="00813D19">
        <w:rPr>
          <w:lang w:val="en-US"/>
        </w:rPr>
        <w:t>hence would enhance intercultural and interfaith dialogue and promote cultural diversity. The pro</w:t>
      </w:r>
      <w:r w:rsidR="001B72CE" w:rsidRPr="00813D19">
        <w:rPr>
          <w:lang w:val="en-US"/>
        </w:rPr>
        <w:t xml:space="preserve">posed safeguarding measures </w:t>
      </w:r>
      <w:r w:rsidR="005140F1" w:rsidRPr="00813D19">
        <w:rPr>
          <w:lang w:val="en-US"/>
        </w:rPr>
        <w:t xml:space="preserve">are </w:t>
      </w:r>
      <w:r w:rsidR="001B72CE" w:rsidRPr="00813D19">
        <w:rPr>
          <w:lang w:val="en-US"/>
        </w:rPr>
        <w:t>aimed</w:t>
      </w:r>
      <w:r w:rsidR="000E292B" w:rsidRPr="00813D19">
        <w:rPr>
          <w:lang w:val="en-US"/>
        </w:rPr>
        <w:t xml:space="preserve"> at documenting and disseminating information concerning the element, especially among children and youth. The nomination file was prepared with the active participation of the local community, pilgrims, experts </w:t>
      </w:r>
      <w:r w:rsidR="005140F1" w:rsidRPr="00813D19">
        <w:rPr>
          <w:lang w:val="en-US"/>
        </w:rPr>
        <w:t>and other relevant stakeholders</w:t>
      </w:r>
      <w:r w:rsidR="000E292B" w:rsidRPr="00813D19">
        <w:rPr>
          <w:lang w:val="en-US"/>
        </w:rPr>
        <w:t xml:space="preserve"> who </w:t>
      </w:r>
      <w:r w:rsidR="00EB03A3">
        <w:rPr>
          <w:lang w:val="en-US"/>
        </w:rPr>
        <w:t>had partaken</w:t>
      </w:r>
      <w:r w:rsidR="00EB03A3" w:rsidRPr="00813D19">
        <w:rPr>
          <w:lang w:val="en-US"/>
        </w:rPr>
        <w:t xml:space="preserve"> </w:t>
      </w:r>
      <w:r w:rsidR="000E292B" w:rsidRPr="00813D19">
        <w:rPr>
          <w:lang w:val="en-US"/>
        </w:rPr>
        <w:t xml:space="preserve">in a series of roundtable discussions. The Evaluation Body </w:t>
      </w:r>
      <w:r w:rsidR="000E292B" w:rsidRPr="00813D19">
        <w:rPr>
          <w:noProof/>
          <w:lang w:val="en-US"/>
        </w:rPr>
        <w:t>commend</w:t>
      </w:r>
      <w:r w:rsidR="001B72CE" w:rsidRPr="00813D19">
        <w:rPr>
          <w:noProof/>
          <w:lang w:val="en-US"/>
        </w:rPr>
        <w:t>ed</w:t>
      </w:r>
      <w:r w:rsidR="000E292B" w:rsidRPr="00813D19">
        <w:rPr>
          <w:noProof/>
          <w:lang w:val="en-US"/>
        </w:rPr>
        <w:t xml:space="preserve"> the State Party for the improved file following </w:t>
      </w:r>
      <w:r w:rsidR="001B72CE" w:rsidRPr="00813D19">
        <w:rPr>
          <w:noProof/>
          <w:lang w:val="en-US"/>
        </w:rPr>
        <w:t xml:space="preserve">a </w:t>
      </w:r>
      <w:r w:rsidR="000E292B" w:rsidRPr="00813D19">
        <w:rPr>
          <w:noProof/>
          <w:lang w:val="en-US"/>
        </w:rPr>
        <w:t>referral in 2016.</w:t>
      </w:r>
      <w:r w:rsidR="001B72CE" w:rsidRPr="00813D19">
        <w:rPr>
          <w:lang w:val="en-US"/>
        </w:rPr>
        <w:t xml:space="preserve"> The Evaluation Body recommended</w:t>
      </w:r>
      <w:r w:rsidR="000E292B" w:rsidRPr="00813D19">
        <w:rPr>
          <w:lang w:val="en-US"/>
        </w:rPr>
        <w:t xml:space="preserve"> that the Committee inscribe Celebration in honour of the Budslaŭ icon of Our Lady (Budslaŭ fest) on the Representative List.</w:t>
      </w:r>
    </w:p>
    <w:p w14:paraId="41E1E45B" w14:textId="77777777" w:rsidR="001B72CE" w:rsidRPr="00813D19" w:rsidRDefault="001B72CE" w:rsidP="001B72C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323150F1" w14:textId="3FA7EEF5" w:rsidR="003E6279" w:rsidRPr="00E72560" w:rsidRDefault="001B72CE" w:rsidP="001B72CE">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w:t>
      </w:r>
      <w:r w:rsidR="003E6279" w:rsidRPr="00813D19">
        <w:rPr>
          <w:lang w:val="en-US"/>
        </w:rPr>
        <w:t xml:space="preserve">the </w:t>
      </w:r>
      <w:r w:rsidR="003E6279" w:rsidRPr="00813D19">
        <w:rPr>
          <w:b/>
          <w:lang w:val="en-US"/>
        </w:rPr>
        <w:t xml:space="preserve">Chairperson declared Decision </w:t>
      </w:r>
      <w:hyperlink r:id="rId107" w:history="1">
        <w:r w:rsidR="003E6279" w:rsidRPr="00813D19">
          <w:rPr>
            <w:rStyle w:val="Hyperlink"/>
            <w:b/>
            <w:lang w:val="en-US"/>
          </w:rPr>
          <w:t>13.COM</w:t>
        </w:r>
        <w:r w:rsidR="00992896">
          <w:rPr>
            <w:rStyle w:val="Hyperlink"/>
            <w:b/>
            <w:lang w:val="en-US"/>
          </w:rPr>
          <w:t> </w:t>
        </w:r>
        <w:r w:rsidR="003E6279" w:rsidRPr="00813D19">
          <w:rPr>
            <w:rStyle w:val="Hyperlink"/>
            <w:b/>
            <w:lang w:val="en-US"/>
          </w:rPr>
          <w:t>10.b.6</w:t>
        </w:r>
      </w:hyperlink>
      <w:r w:rsidR="003E6279" w:rsidRPr="00813D19">
        <w:rPr>
          <w:b/>
          <w:lang w:val="en-US"/>
        </w:rPr>
        <w:t xml:space="preserve"> adopted to inscribe </w:t>
      </w:r>
      <w:r w:rsidR="003E6279" w:rsidRPr="00813D19">
        <w:rPr>
          <w:b/>
          <w:color w:val="000000" w:themeColor="text1"/>
          <w:lang w:val="en-US"/>
        </w:rPr>
        <w:t xml:space="preserve">Celebration in honor of the Budslaŭ icon of Our Lady </w:t>
      </w:r>
      <w:r w:rsidRPr="00813D19">
        <w:rPr>
          <w:b/>
          <w:color w:val="000000" w:themeColor="text1"/>
          <w:lang w:val="en-US"/>
        </w:rPr>
        <w:t>on</w:t>
      </w:r>
      <w:r w:rsidR="003E6279" w:rsidRPr="00813D19">
        <w:rPr>
          <w:b/>
          <w:color w:val="000000" w:themeColor="text1"/>
          <w:lang w:val="en-US"/>
        </w:rPr>
        <w:t xml:space="preserve"> the Representative List</w:t>
      </w:r>
      <w:r w:rsidR="003E6279" w:rsidRPr="00E72560">
        <w:rPr>
          <w:bCs/>
          <w:snapToGrid/>
          <w:color w:val="000000" w:themeColor="text1"/>
          <w:lang w:val="en-US"/>
        </w:rPr>
        <w:t>.</w:t>
      </w:r>
    </w:p>
    <w:p w14:paraId="77FDC4E6" w14:textId="2886FD41" w:rsidR="003E6279" w:rsidRPr="00E72560" w:rsidRDefault="003E6279" w:rsidP="003E6279">
      <w:pPr>
        <w:pStyle w:val="Orateurengris"/>
        <w:spacing w:before="120"/>
        <w:ind w:left="709" w:hanging="709"/>
        <w:rPr>
          <w:rFonts w:eastAsia="Times New Roman"/>
          <w:lang w:val="en-US"/>
        </w:rPr>
      </w:pPr>
      <w:r w:rsidRPr="00813D19">
        <w:rPr>
          <w:lang w:val="en-US"/>
        </w:rPr>
        <w:t xml:space="preserve">The </w:t>
      </w:r>
      <w:r w:rsidRPr="00813D19">
        <w:rPr>
          <w:b/>
          <w:lang w:val="en-US"/>
        </w:rPr>
        <w:t>delegation of Belarus</w:t>
      </w:r>
      <w:r w:rsidR="00803EA7" w:rsidRPr="00813D19">
        <w:rPr>
          <w:b/>
          <w:lang w:val="en-US"/>
        </w:rPr>
        <w:t xml:space="preserve"> </w:t>
      </w:r>
      <w:r w:rsidR="002F100C" w:rsidRPr="00813D19">
        <w:rPr>
          <w:lang w:val="en-US"/>
        </w:rPr>
        <w:t>spoke</w:t>
      </w:r>
      <w:r w:rsidR="002F100C" w:rsidRPr="00813D19">
        <w:rPr>
          <w:b/>
          <w:lang w:val="en-US"/>
        </w:rPr>
        <w:t xml:space="preserve"> </w:t>
      </w:r>
      <w:r w:rsidR="00803EA7" w:rsidRPr="00813D19">
        <w:rPr>
          <w:lang w:val="en-US"/>
        </w:rPr>
        <w:t>on be</w:t>
      </w:r>
      <w:r w:rsidR="002F100C" w:rsidRPr="00813D19">
        <w:rPr>
          <w:lang w:val="en-US"/>
        </w:rPr>
        <w:t xml:space="preserve">half of the Minister of Culture, the </w:t>
      </w:r>
      <w:r w:rsidR="00803EA7" w:rsidRPr="00813D19">
        <w:rPr>
          <w:lang w:val="en-US"/>
        </w:rPr>
        <w:t>National Commission for UNESCO</w:t>
      </w:r>
      <w:r w:rsidR="002F100C" w:rsidRPr="00813D19">
        <w:rPr>
          <w:lang w:val="en-US"/>
        </w:rPr>
        <w:t>,</w:t>
      </w:r>
      <w:r w:rsidR="00803EA7" w:rsidRPr="00813D19">
        <w:rPr>
          <w:lang w:val="en-US"/>
        </w:rPr>
        <w:t xml:space="preserve"> and</w:t>
      </w:r>
      <w:r w:rsidR="00EB03A3">
        <w:rPr>
          <w:lang w:val="en-US"/>
        </w:rPr>
        <w:t>,</w:t>
      </w:r>
      <w:r w:rsidR="00803EA7" w:rsidRPr="00813D19">
        <w:rPr>
          <w:lang w:val="en-US"/>
        </w:rPr>
        <w:t xml:space="preserve"> most importantly</w:t>
      </w:r>
      <w:r w:rsidR="002F100C" w:rsidRPr="00813D19">
        <w:rPr>
          <w:lang w:val="en-US"/>
        </w:rPr>
        <w:t>,</w:t>
      </w:r>
      <w:r w:rsidR="00803EA7" w:rsidRPr="00813D19">
        <w:rPr>
          <w:lang w:val="en-US"/>
        </w:rPr>
        <w:t xml:space="preserve"> the </w:t>
      </w:r>
      <w:r w:rsidR="002F100C" w:rsidRPr="00813D19">
        <w:rPr>
          <w:lang w:val="en-US"/>
        </w:rPr>
        <w:t xml:space="preserve">intangible cultural heritage </w:t>
      </w:r>
      <w:r w:rsidR="00803EA7" w:rsidRPr="00813D19">
        <w:rPr>
          <w:lang w:val="en-US"/>
        </w:rPr>
        <w:t xml:space="preserve">festival, </w:t>
      </w:r>
      <w:r w:rsidR="00803EA7" w:rsidRPr="00813D19">
        <w:rPr>
          <w:bCs/>
          <w:lang w:val="en-US"/>
        </w:rPr>
        <w:t xml:space="preserve">Budslaŭ villages and the numerous pilgrims </w:t>
      </w:r>
      <w:r w:rsidR="002F100C" w:rsidRPr="00813D19">
        <w:rPr>
          <w:bCs/>
          <w:lang w:val="en-US"/>
        </w:rPr>
        <w:t xml:space="preserve">to </w:t>
      </w:r>
      <w:r w:rsidR="00803EA7" w:rsidRPr="00813D19">
        <w:rPr>
          <w:bCs/>
          <w:lang w:val="en-US"/>
        </w:rPr>
        <w:t xml:space="preserve">express gratitude to the Committee, </w:t>
      </w:r>
      <w:r w:rsidR="002F100C" w:rsidRPr="00813D19">
        <w:rPr>
          <w:bCs/>
          <w:lang w:val="en-US"/>
        </w:rPr>
        <w:t xml:space="preserve">the </w:t>
      </w:r>
      <w:r w:rsidR="00803EA7" w:rsidRPr="00813D19">
        <w:rPr>
          <w:bCs/>
          <w:lang w:val="en-US"/>
        </w:rPr>
        <w:t xml:space="preserve">Evaluation Body and </w:t>
      </w:r>
      <w:r w:rsidR="00EB03A3">
        <w:rPr>
          <w:bCs/>
          <w:lang w:val="en-US"/>
        </w:rPr>
        <w:t xml:space="preserve">the </w:t>
      </w:r>
      <w:r w:rsidR="00803EA7" w:rsidRPr="00813D19">
        <w:rPr>
          <w:bCs/>
          <w:lang w:val="en-US"/>
        </w:rPr>
        <w:t>Secretariat for the support and confidence demonstrate</w:t>
      </w:r>
      <w:r w:rsidR="002F100C" w:rsidRPr="00813D19">
        <w:rPr>
          <w:bCs/>
          <w:lang w:val="en-US"/>
        </w:rPr>
        <w:t>d</w:t>
      </w:r>
      <w:r w:rsidR="00803EA7" w:rsidRPr="00813D19">
        <w:rPr>
          <w:bCs/>
          <w:lang w:val="en-US"/>
        </w:rPr>
        <w:t xml:space="preserve"> </w:t>
      </w:r>
      <w:r w:rsidR="002F100C" w:rsidRPr="00813D19">
        <w:rPr>
          <w:bCs/>
          <w:lang w:val="en-US"/>
        </w:rPr>
        <w:t xml:space="preserve">with regard to the Belarusian nomination, whose </w:t>
      </w:r>
      <w:r w:rsidR="00803EA7" w:rsidRPr="00813D19">
        <w:rPr>
          <w:bCs/>
          <w:lang w:val="en-US"/>
        </w:rPr>
        <w:t xml:space="preserve">international recognition </w:t>
      </w:r>
      <w:r w:rsidR="002F100C" w:rsidRPr="00813D19">
        <w:rPr>
          <w:bCs/>
          <w:lang w:val="en-US"/>
        </w:rPr>
        <w:t xml:space="preserve">was a </w:t>
      </w:r>
      <w:r w:rsidR="00803EA7" w:rsidRPr="00813D19">
        <w:rPr>
          <w:bCs/>
          <w:lang w:val="en-US"/>
        </w:rPr>
        <w:t xml:space="preserve">considerable </w:t>
      </w:r>
      <w:r w:rsidR="002F100C" w:rsidRPr="00813D19">
        <w:rPr>
          <w:bCs/>
          <w:lang w:val="en-US"/>
        </w:rPr>
        <w:t xml:space="preserve">accomplishment </w:t>
      </w:r>
      <w:r w:rsidR="00803EA7" w:rsidRPr="00813D19">
        <w:rPr>
          <w:bCs/>
          <w:lang w:val="en-US"/>
        </w:rPr>
        <w:t xml:space="preserve">for Belarus. The Budslaŭ icon of Our Lady is most important </w:t>
      </w:r>
      <w:r w:rsidR="002F100C" w:rsidRPr="00813D19">
        <w:rPr>
          <w:bCs/>
          <w:lang w:val="en-US"/>
        </w:rPr>
        <w:t xml:space="preserve">for </w:t>
      </w:r>
      <w:r w:rsidR="00803EA7" w:rsidRPr="00813D19">
        <w:rPr>
          <w:bCs/>
          <w:lang w:val="en-US"/>
        </w:rPr>
        <w:t xml:space="preserve">all Belarusian people and one of the symbols of </w:t>
      </w:r>
      <w:r w:rsidR="002F100C" w:rsidRPr="00813D19">
        <w:rPr>
          <w:bCs/>
          <w:lang w:val="en-US"/>
        </w:rPr>
        <w:t xml:space="preserve">their </w:t>
      </w:r>
      <w:r w:rsidR="00803EA7" w:rsidRPr="00813D19">
        <w:rPr>
          <w:bCs/>
          <w:lang w:val="en-US"/>
        </w:rPr>
        <w:t xml:space="preserve">identity. The celebration of Budslaŭ always takes place in an atmosphere </w:t>
      </w:r>
      <w:r w:rsidR="002F100C" w:rsidRPr="00813D19">
        <w:rPr>
          <w:bCs/>
          <w:lang w:val="en-US"/>
        </w:rPr>
        <w:t xml:space="preserve">of universal respect and unity, involving </w:t>
      </w:r>
      <w:r w:rsidR="00803EA7" w:rsidRPr="00813D19">
        <w:rPr>
          <w:bCs/>
          <w:lang w:val="en-US"/>
        </w:rPr>
        <w:t xml:space="preserve">different groups of society irrespective of religion, social status, gender </w:t>
      </w:r>
      <w:r w:rsidR="002F100C" w:rsidRPr="00813D19">
        <w:rPr>
          <w:bCs/>
          <w:lang w:val="en-US"/>
        </w:rPr>
        <w:t>and so on</w:t>
      </w:r>
      <w:r w:rsidR="00803EA7" w:rsidRPr="00813D19">
        <w:rPr>
          <w:bCs/>
          <w:lang w:val="en-US"/>
        </w:rPr>
        <w:t>. Every July</w:t>
      </w:r>
      <w:r w:rsidR="002F100C" w:rsidRPr="00813D19">
        <w:rPr>
          <w:bCs/>
          <w:lang w:val="en-US"/>
        </w:rPr>
        <w:t>,</w:t>
      </w:r>
      <w:r w:rsidR="00803EA7" w:rsidRPr="00813D19">
        <w:rPr>
          <w:bCs/>
          <w:lang w:val="en-US"/>
        </w:rPr>
        <w:t xml:space="preserve"> thousands of pilgrims</w:t>
      </w:r>
      <w:r w:rsidR="002F100C" w:rsidRPr="00813D19">
        <w:rPr>
          <w:bCs/>
          <w:lang w:val="en-US"/>
        </w:rPr>
        <w:t>,</w:t>
      </w:r>
      <w:r w:rsidR="00803EA7" w:rsidRPr="00813D19">
        <w:rPr>
          <w:bCs/>
          <w:lang w:val="en-US"/>
        </w:rPr>
        <w:t xml:space="preserve"> including young people</w:t>
      </w:r>
      <w:r w:rsidR="002F100C" w:rsidRPr="00813D19">
        <w:rPr>
          <w:bCs/>
          <w:lang w:val="en-US"/>
        </w:rPr>
        <w:t>,</w:t>
      </w:r>
      <w:r w:rsidR="00803EA7" w:rsidRPr="00813D19">
        <w:rPr>
          <w:bCs/>
          <w:lang w:val="en-US"/>
        </w:rPr>
        <w:t xml:space="preserve"> hurry to visit Budslaŭ to participate in the significant ceremony. This tradition has existed since the 17</w:t>
      </w:r>
      <w:r w:rsidR="00803EA7" w:rsidRPr="00813D19">
        <w:rPr>
          <w:bCs/>
          <w:vertAlign w:val="superscript"/>
          <w:lang w:val="en-US"/>
        </w:rPr>
        <w:t>th</w:t>
      </w:r>
      <w:r w:rsidR="002F100C" w:rsidRPr="00813D19">
        <w:rPr>
          <w:bCs/>
          <w:lang w:val="en-US"/>
        </w:rPr>
        <w:t xml:space="preserve"> century and </w:t>
      </w:r>
      <w:r w:rsidR="00EB03A3">
        <w:rPr>
          <w:bCs/>
          <w:lang w:val="en-US"/>
        </w:rPr>
        <w:t xml:space="preserve">has </w:t>
      </w:r>
      <w:r w:rsidR="002F100C" w:rsidRPr="00813D19">
        <w:rPr>
          <w:bCs/>
          <w:lang w:val="en-US"/>
        </w:rPr>
        <w:t>continued</w:t>
      </w:r>
      <w:r w:rsidR="00803EA7" w:rsidRPr="00813D19">
        <w:rPr>
          <w:bCs/>
          <w:lang w:val="en-US"/>
        </w:rPr>
        <w:t xml:space="preserve"> to </w:t>
      </w:r>
      <w:r w:rsidR="002F100C" w:rsidRPr="00813D19">
        <w:rPr>
          <w:bCs/>
          <w:lang w:val="en-US"/>
        </w:rPr>
        <w:t xml:space="preserve">be </w:t>
      </w:r>
      <w:r w:rsidR="00803EA7" w:rsidRPr="00813D19">
        <w:rPr>
          <w:bCs/>
          <w:lang w:val="en-US"/>
        </w:rPr>
        <w:t>transmit</w:t>
      </w:r>
      <w:r w:rsidR="002F100C" w:rsidRPr="00813D19">
        <w:rPr>
          <w:bCs/>
          <w:lang w:val="en-US"/>
        </w:rPr>
        <w:t>ted</w:t>
      </w:r>
      <w:r w:rsidR="00803EA7" w:rsidRPr="00813D19">
        <w:rPr>
          <w:bCs/>
          <w:lang w:val="en-US"/>
        </w:rPr>
        <w:t xml:space="preserve"> from generation to generation. Friendliness and mutual understanding among visitors of this land correspond to the Belarusian tradition of tolerance and avoidance of any religious </w:t>
      </w:r>
      <w:r w:rsidR="002F100C" w:rsidRPr="00813D19">
        <w:rPr>
          <w:bCs/>
          <w:lang w:val="en-US"/>
        </w:rPr>
        <w:t xml:space="preserve">or </w:t>
      </w:r>
      <w:r w:rsidR="00803EA7" w:rsidRPr="00813D19">
        <w:rPr>
          <w:bCs/>
          <w:lang w:val="en-US"/>
        </w:rPr>
        <w:t>social conflicts. Today</w:t>
      </w:r>
      <w:r w:rsidR="002F100C" w:rsidRPr="00813D19">
        <w:rPr>
          <w:bCs/>
          <w:lang w:val="en-US"/>
        </w:rPr>
        <w:t>,</w:t>
      </w:r>
      <w:r w:rsidR="00803EA7" w:rsidRPr="00813D19">
        <w:rPr>
          <w:bCs/>
          <w:lang w:val="en-US"/>
        </w:rPr>
        <w:t xml:space="preserve"> the light that comes from the Belarusian shrine expands to all people, </w:t>
      </w:r>
      <w:r w:rsidR="002F100C" w:rsidRPr="00813D19">
        <w:rPr>
          <w:bCs/>
          <w:lang w:val="en-US"/>
        </w:rPr>
        <w:t>bringing</w:t>
      </w:r>
      <w:r w:rsidR="00803EA7" w:rsidRPr="00813D19">
        <w:rPr>
          <w:bCs/>
          <w:lang w:val="en-US"/>
        </w:rPr>
        <w:t xml:space="preserve"> goodness, love and peace. This is </w:t>
      </w:r>
      <w:r w:rsidR="002F100C" w:rsidRPr="00813D19">
        <w:rPr>
          <w:bCs/>
          <w:lang w:val="en-US"/>
        </w:rPr>
        <w:t xml:space="preserve">the </w:t>
      </w:r>
      <w:r w:rsidR="00803EA7" w:rsidRPr="00813D19">
        <w:rPr>
          <w:bCs/>
          <w:lang w:val="en-US"/>
        </w:rPr>
        <w:t>contribution of Belarus to the mosaic</w:t>
      </w:r>
      <w:r w:rsidR="00E72560">
        <w:rPr>
          <w:bCs/>
          <w:lang w:val="en-US"/>
        </w:rPr>
        <w:t xml:space="preserve"> of common culture of humanity.</w:t>
      </w:r>
    </w:p>
    <w:p w14:paraId="3FB6F2A6" w14:textId="07D97277" w:rsidR="004569C4" w:rsidRPr="00813D19" w:rsidRDefault="00124F17" w:rsidP="00124F17">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EB03A3">
        <w:rPr>
          <w:color w:val="000000" w:themeColor="text1"/>
          <w:lang w:val="en-US"/>
        </w:rPr>
        <w:t>,</w:t>
      </w:r>
      <w:r w:rsidRPr="00813D19">
        <w:rPr>
          <w:color w:val="000000" w:themeColor="text1"/>
          <w:lang w:val="en-US"/>
        </w:rPr>
        <w:t xml:space="preserve"> </w:t>
      </w:r>
      <w:r w:rsidRPr="00813D19">
        <w:rPr>
          <w:b/>
          <w:color w:val="000000" w:themeColor="text1"/>
          <w:lang w:val="en-US"/>
        </w:rPr>
        <w:t>Picking of iva grass on Ozren mountain</w:t>
      </w:r>
      <w:r w:rsidRPr="00813D19">
        <w:rPr>
          <w:color w:val="000000" w:themeColor="text1"/>
          <w:lang w:val="en-US"/>
        </w:rPr>
        <w:t xml:space="preserve"> [draft decision 13.COM 10.b.7]</w:t>
      </w:r>
      <w:r w:rsidR="00EB03A3">
        <w:rPr>
          <w:color w:val="000000" w:themeColor="text1"/>
          <w:lang w:val="en-US"/>
        </w:rPr>
        <w:t>,</w:t>
      </w:r>
      <w:r w:rsidRPr="00813D19">
        <w:rPr>
          <w:color w:val="000000" w:themeColor="text1"/>
          <w:lang w:val="en-US"/>
        </w:rPr>
        <w:t xml:space="preserve"> submitted by </w:t>
      </w:r>
      <w:r w:rsidRPr="00813D19">
        <w:rPr>
          <w:b/>
          <w:color w:val="000000" w:themeColor="text1"/>
          <w:lang w:val="en-US"/>
        </w:rPr>
        <w:t>Bosnia and Herzegovina</w:t>
      </w:r>
      <w:r w:rsidRPr="00813D19">
        <w:rPr>
          <w:color w:val="000000" w:themeColor="text1"/>
          <w:lang w:val="en-US"/>
        </w:rPr>
        <w:t xml:space="preserve">. </w:t>
      </w:r>
      <w:r w:rsidR="005140F1" w:rsidRPr="00813D19">
        <w:rPr>
          <w:lang w:val="en-US"/>
        </w:rPr>
        <w:t>Each year</w:t>
      </w:r>
      <w:r w:rsidR="004569C4" w:rsidRPr="00813D19">
        <w:rPr>
          <w:lang w:val="en-US"/>
        </w:rPr>
        <w:t xml:space="preserve"> on 11 September, the day of the beheading of St. John the Baptist, inhabitants of all social, gender and age groups from villages around Ozren </w:t>
      </w:r>
      <w:r w:rsidR="002F50EA">
        <w:rPr>
          <w:lang w:val="en-US"/>
        </w:rPr>
        <w:t>m</w:t>
      </w:r>
      <w:r w:rsidR="002F50EA" w:rsidRPr="00813D19">
        <w:rPr>
          <w:lang w:val="en-US"/>
        </w:rPr>
        <w:t xml:space="preserve">ountain </w:t>
      </w:r>
      <w:r w:rsidR="004569C4" w:rsidRPr="00813D19">
        <w:rPr>
          <w:lang w:val="en-US"/>
        </w:rPr>
        <w:t>go to Gostilij to pick iva grass. Iva is consumed as a tea, soaked in brandy or mixed with honey both for its curative and preventive effect</w:t>
      </w:r>
      <w:r w:rsidR="00EB03A3">
        <w:rPr>
          <w:lang w:val="en-US"/>
        </w:rPr>
        <w:t>s</w:t>
      </w:r>
      <w:r w:rsidR="004569C4" w:rsidRPr="00813D19">
        <w:rPr>
          <w:lang w:val="en-US"/>
        </w:rPr>
        <w:t>. From the information included in th</w:t>
      </w:r>
      <w:r w:rsidR="000D22EC" w:rsidRPr="00813D19">
        <w:rPr>
          <w:lang w:val="en-US"/>
        </w:rPr>
        <w:t>e file, the nomination satisfied</w:t>
      </w:r>
      <w:r w:rsidR="004569C4" w:rsidRPr="00813D19">
        <w:rPr>
          <w:lang w:val="en-US"/>
        </w:rPr>
        <w:t xml:space="preserve"> all five criteria. The Evaluation Body considered that</w:t>
      </w:r>
      <w:r w:rsidR="004569C4" w:rsidRPr="00813D19">
        <w:rPr>
          <w:b/>
          <w:lang w:val="en-US"/>
        </w:rPr>
        <w:t xml:space="preserve"> </w:t>
      </w:r>
      <w:r w:rsidR="004569C4" w:rsidRPr="00813D19">
        <w:rPr>
          <w:lang w:val="en-US"/>
        </w:rPr>
        <w:t xml:space="preserve">Picking of iva grass on Ozren mountain, initially carried out for medicinal purposes, served different social, cultural and integrating functions. Iva grass products are used to prevent and heal illnesses and are also served to guests and used as symbolic gifts. The involvement, interaction and joint efforts of different associations and groups during the picking of iva grass on Ozren mountain enhances dialogue among communities. The Sokol Club, a local NGO, strives to protect the area from any negative effects stemming from tourism and excessive numbers. The declaration of Gostilij as a protected cultural landscape </w:t>
      </w:r>
      <w:r w:rsidR="00EB03A3">
        <w:rPr>
          <w:lang w:val="en-US"/>
        </w:rPr>
        <w:t>would</w:t>
      </w:r>
      <w:r w:rsidR="00EB03A3" w:rsidRPr="00813D19">
        <w:rPr>
          <w:lang w:val="en-US"/>
        </w:rPr>
        <w:t xml:space="preserve"> </w:t>
      </w:r>
      <w:r w:rsidR="004569C4" w:rsidRPr="00813D19">
        <w:rPr>
          <w:lang w:val="en-US"/>
        </w:rPr>
        <w:t>ensure the lasting protection of the natural settings. The nomination process was community-driven</w:t>
      </w:r>
      <w:r w:rsidR="00EB03A3">
        <w:rPr>
          <w:lang w:val="en-US"/>
        </w:rPr>
        <w:t>,</w:t>
      </w:r>
      <w:r w:rsidR="004569C4" w:rsidRPr="00813D19">
        <w:rPr>
          <w:lang w:val="en-US"/>
        </w:rPr>
        <w:t xml:space="preserve"> led by local NGOs that regularly participate in the event and oversee its sustainable practice. The Evaluation Body remind</w:t>
      </w:r>
      <w:r w:rsidR="000D22EC" w:rsidRPr="00813D19">
        <w:rPr>
          <w:lang w:val="en-US"/>
        </w:rPr>
        <w:t>ed</w:t>
      </w:r>
      <w:r w:rsidR="004569C4" w:rsidRPr="00813D19">
        <w:rPr>
          <w:lang w:val="en-US"/>
        </w:rPr>
        <w:t xml:space="preserve"> the State Party to be aware of the possible negative effects of mass participation and </w:t>
      </w:r>
      <w:r w:rsidR="000D22EC" w:rsidRPr="00813D19">
        <w:rPr>
          <w:lang w:val="en-US"/>
        </w:rPr>
        <w:t xml:space="preserve">to </w:t>
      </w:r>
      <w:r w:rsidR="004569C4" w:rsidRPr="00813D19">
        <w:rPr>
          <w:lang w:val="en-US"/>
        </w:rPr>
        <w:t xml:space="preserve">develop a plan to prevent the risks caused </w:t>
      </w:r>
      <w:r w:rsidR="000D22EC" w:rsidRPr="00813D19">
        <w:rPr>
          <w:lang w:val="en-US"/>
        </w:rPr>
        <w:t>by the expected rise in tourism.</w:t>
      </w:r>
      <w:r w:rsidR="004569C4" w:rsidRPr="00813D19">
        <w:rPr>
          <w:lang w:val="en-US"/>
        </w:rPr>
        <w:t xml:space="preserve"> The Evaluation Body further remind</w:t>
      </w:r>
      <w:r w:rsidR="000D22EC" w:rsidRPr="00813D19">
        <w:rPr>
          <w:lang w:val="en-US"/>
        </w:rPr>
        <w:t>ed</w:t>
      </w:r>
      <w:r w:rsidR="004569C4" w:rsidRPr="00813D19">
        <w:rPr>
          <w:lang w:val="en-US"/>
        </w:rPr>
        <w:t xml:space="preserve"> the State Party that updating is an important part of the inventorying proce</w:t>
      </w:r>
      <w:r w:rsidR="000D22EC" w:rsidRPr="00813D19">
        <w:rPr>
          <w:lang w:val="en-US"/>
        </w:rPr>
        <w:t>ss and invited</w:t>
      </w:r>
      <w:r w:rsidR="004569C4" w:rsidRPr="00813D19">
        <w:rPr>
          <w:lang w:val="en-US"/>
        </w:rPr>
        <w:t xml:space="preserve"> it to include detailed information concerning this aspect in its next periodic report</w:t>
      </w:r>
      <w:r w:rsidR="000D22EC" w:rsidRPr="00813D19">
        <w:rPr>
          <w:lang w:val="en-US"/>
        </w:rPr>
        <w:t>. The Evaluation Body recommended</w:t>
      </w:r>
      <w:r w:rsidR="004569C4" w:rsidRPr="00813D19">
        <w:rPr>
          <w:lang w:val="en-US"/>
        </w:rPr>
        <w:t xml:space="preserve"> that the Committee inscribe Picking of iva grass on Ozren mountain on the Representative List.</w:t>
      </w:r>
    </w:p>
    <w:p w14:paraId="329F1DF5" w14:textId="77777777" w:rsidR="000D22EC" w:rsidRPr="00813D19" w:rsidRDefault="000D22EC" w:rsidP="000D22EC">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28DF4CD8" w14:textId="3C0903DE" w:rsidR="00926529" w:rsidRPr="00E72560" w:rsidRDefault="000D22EC" w:rsidP="000D22EC">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w:t>
      </w:r>
      <w:r w:rsidR="00FB061C" w:rsidRPr="00813D19">
        <w:rPr>
          <w:lang w:val="en-US"/>
        </w:rPr>
        <w:t xml:space="preserve">the </w:t>
      </w:r>
      <w:r w:rsidR="00FB061C" w:rsidRPr="00813D19">
        <w:rPr>
          <w:b/>
          <w:lang w:val="en-US"/>
        </w:rPr>
        <w:t xml:space="preserve">Chairperson declared Decision </w:t>
      </w:r>
      <w:hyperlink r:id="rId108" w:history="1">
        <w:r w:rsidR="00FB061C" w:rsidRPr="00813D19">
          <w:rPr>
            <w:rStyle w:val="Hyperlink"/>
            <w:b/>
            <w:lang w:val="en-US"/>
          </w:rPr>
          <w:t>13.COM</w:t>
        </w:r>
        <w:r w:rsidR="00992896">
          <w:rPr>
            <w:rStyle w:val="Hyperlink"/>
            <w:b/>
            <w:lang w:val="en-US"/>
          </w:rPr>
          <w:t> </w:t>
        </w:r>
        <w:r w:rsidR="00FB061C" w:rsidRPr="00813D19">
          <w:rPr>
            <w:rStyle w:val="Hyperlink"/>
            <w:b/>
            <w:lang w:val="en-US"/>
          </w:rPr>
          <w:t>10.b.7</w:t>
        </w:r>
      </w:hyperlink>
      <w:r w:rsidR="00FB061C" w:rsidRPr="00813D19">
        <w:rPr>
          <w:b/>
          <w:lang w:val="en-US"/>
        </w:rPr>
        <w:t xml:space="preserve"> adopted to inscribe </w:t>
      </w:r>
      <w:r w:rsidR="00FB061C" w:rsidRPr="00813D19">
        <w:rPr>
          <w:b/>
          <w:color w:val="000000" w:themeColor="text1"/>
          <w:lang w:val="en-US"/>
        </w:rPr>
        <w:t>Picking of iva grass on Ozren mountain</w:t>
      </w:r>
      <w:r w:rsidR="00FB061C" w:rsidRPr="00813D19">
        <w:rPr>
          <w:color w:val="000000" w:themeColor="text1"/>
          <w:lang w:val="en-US"/>
        </w:rPr>
        <w:t xml:space="preserve"> </w:t>
      </w:r>
      <w:r w:rsidR="003F461D" w:rsidRPr="00813D19">
        <w:rPr>
          <w:b/>
          <w:color w:val="000000" w:themeColor="text1"/>
          <w:lang w:val="en-US"/>
        </w:rPr>
        <w:t>on</w:t>
      </w:r>
      <w:r w:rsidR="00FB061C" w:rsidRPr="00813D19">
        <w:rPr>
          <w:b/>
          <w:color w:val="000000" w:themeColor="text1"/>
          <w:lang w:val="en-US"/>
        </w:rPr>
        <w:t xml:space="preserve"> the Representative List</w:t>
      </w:r>
      <w:r w:rsidR="00FB061C" w:rsidRPr="00E72560">
        <w:rPr>
          <w:bCs/>
          <w:snapToGrid/>
          <w:color w:val="000000" w:themeColor="text1"/>
          <w:lang w:val="en-US"/>
        </w:rPr>
        <w:t>.</w:t>
      </w:r>
    </w:p>
    <w:p w14:paraId="1C26A3CE" w14:textId="5449EEF7" w:rsidR="002F3223" w:rsidRPr="00813D19" w:rsidRDefault="002F3223" w:rsidP="002F3223">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Bosnia and Herzegovina</w:t>
      </w:r>
      <w:r w:rsidR="00803EA7" w:rsidRPr="00813D19">
        <w:rPr>
          <w:b/>
          <w:color w:val="000000" w:themeColor="text1"/>
          <w:lang w:val="en-US"/>
        </w:rPr>
        <w:t xml:space="preserve"> </w:t>
      </w:r>
      <w:r w:rsidR="002F100C" w:rsidRPr="00813D19">
        <w:rPr>
          <w:color w:val="000000" w:themeColor="text1"/>
          <w:lang w:val="en-US"/>
        </w:rPr>
        <w:t xml:space="preserve">spoke </w:t>
      </w:r>
      <w:r w:rsidR="00803EA7" w:rsidRPr="00813D19">
        <w:rPr>
          <w:lang w:val="en-US"/>
        </w:rPr>
        <w:t>on behalf of the State Commission for Cooperation with UNESCO and the Ministry of Civil</w:t>
      </w:r>
      <w:r w:rsidR="002F100C" w:rsidRPr="00813D19">
        <w:rPr>
          <w:lang w:val="en-US"/>
        </w:rPr>
        <w:t xml:space="preserve"> Affairs of Bosnia</w:t>
      </w:r>
      <w:r w:rsidR="00A84307">
        <w:rPr>
          <w:lang w:val="en-US"/>
        </w:rPr>
        <w:t>-</w:t>
      </w:r>
      <w:r w:rsidR="002F100C" w:rsidRPr="00813D19">
        <w:rPr>
          <w:lang w:val="en-US"/>
        </w:rPr>
        <w:t xml:space="preserve">Herzegovina to </w:t>
      </w:r>
      <w:r w:rsidR="00803EA7" w:rsidRPr="00813D19">
        <w:rPr>
          <w:lang w:val="en-US"/>
        </w:rPr>
        <w:t xml:space="preserve">thank </w:t>
      </w:r>
      <w:r w:rsidR="002F100C" w:rsidRPr="00813D19">
        <w:rPr>
          <w:lang w:val="en-US"/>
        </w:rPr>
        <w:t xml:space="preserve">the Committee </w:t>
      </w:r>
      <w:r w:rsidR="00803EA7" w:rsidRPr="00813D19">
        <w:rPr>
          <w:lang w:val="en-US"/>
        </w:rPr>
        <w:t xml:space="preserve">for </w:t>
      </w:r>
      <w:r w:rsidR="002F100C" w:rsidRPr="00813D19">
        <w:rPr>
          <w:lang w:val="en-US"/>
        </w:rPr>
        <w:t xml:space="preserve">its </w:t>
      </w:r>
      <w:r w:rsidR="00803EA7" w:rsidRPr="00813D19">
        <w:rPr>
          <w:lang w:val="en-US"/>
        </w:rPr>
        <w:t xml:space="preserve">decision to inscribe the element on the </w:t>
      </w:r>
      <w:r w:rsidR="00803EA7" w:rsidRPr="00813D19">
        <w:rPr>
          <w:bCs/>
          <w:lang w:val="en-US"/>
        </w:rPr>
        <w:t xml:space="preserve">Representative List. </w:t>
      </w:r>
      <w:r w:rsidR="002F100C" w:rsidRPr="00813D19">
        <w:rPr>
          <w:bCs/>
          <w:lang w:val="en-US"/>
        </w:rPr>
        <w:t>T</w:t>
      </w:r>
      <w:r w:rsidR="00803EA7" w:rsidRPr="00813D19">
        <w:rPr>
          <w:bCs/>
          <w:lang w:val="en-US"/>
        </w:rPr>
        <w:t xml:space="preserve">his </w:t>
      </w:r>
      <w:r w:rsidR="002F100C" w:rsidRPr="00813D19">
        <w:rPr>
          <w:bCs/>
          <w:lang w:val="en-US"/>
        </w:rPr>
        <w:t xml:space="preserve">was </w:t>
      </w:r>
      <w:r w:rsidR="00803EA7" w:rsidRPr="00813D19">
        <w:rPr>
          <w:bCs/>
          <w:lang w:val="en-US"/>
        </w:rPr>
        <w:t>a very important an</w:t>
      </w:r>
      <w:r w:rsidR="00EB03A3">
        <w:rPr>
          <w:bCs/>
          <w:lang w:val="en-US"/>
        </w:rPr>
        <w:t>d</w:t>
      </w:r>
      <w:r w:rsidR="00803EA7" w:rsidRPr="00813D19">
        <w:rPr>
          <w:bCs/>
          <w:lang w:val="en-US"/>
        </w:rPr>
        <w:t xml:space="preserve"> very special moment</w:t>
      </w:r>
      <w:r w:rsidR="002F100C" w:rsidRPr="00813D19">
        <w:rPr>
          <w:bCs/>
          <w:lang w:val="en-US"/>
        </w:rPr>
        <w:t>,</w:t>
      </w:r>
      <w:r w:rsidR="00803EA7" w:rsidRPr="00813D19">
        <w:rPr>
          <w:bCs/>
          <w:lang w:val="en-US"/>
        </w:rPr>
        <w:t xml:space="preserve"> especially for all </w:t>
      </w:r>
      <w:r w:rsidR="002F100C" w:rsidRPr="00813D19">
        <w:rPr>
          <w:bCs/>
          <w:lang w:val="en-US"/>
        </w:rPr>
        <w:t xml:space="preserve">the </w:t>
      </w:r>
      <w:r w:rsidR="00803EA7" w:rsidRPr="00813D19">
        <w:rPr>
          <w:bCs/>
          <w:lang w:val="en-US"/>
        </w:rPr>
        <w:t xml:space="preserve">inhabitants of Ozren mountain who </w:t>
      </w:r>
      <w:r w:rsidR="00EB03A3">
        <w:rPr>
          <w:bCs/>
          <w:lang w:val="en-US"/>
        </w:rPr>
        <w:t>have</w:t>
      </w:r>
      <w:r w:rsidR="00803EA7" w:rsidRPr="00813D19">
        <w:rPr>
          <w:bCs/>
          <w:lang w:val="en-US"/>
        </w:rPr>
        <w:t xml:space="preserve"> </w:t>
      </w:r>
      <w:r w:rsidR="002F100C" w:rsidRPr="00813D19">
        <w:rPr>
          <w:bCs/>
          <w:lang w:val="en-US"/>
        </w:rPr>
        <w:t>practis</w:t>
      </w:r>
      <w:r w:rsidR="00803EA7" w:rsidRPr="00813D19">
        <w:rPr>
          <w:bCs/>
          <w:lang w:val="en-US"/>
        </w:rPr>
        <w:t>e</w:t>
      </w:r>
      <w:r w:rsidR="00EB03A3">
        <w:rPr>
          <w:bCs/>
          <w:lang w:val="en-US"/>
        </w:rPr>
        <w:t>d</w:t>
      </w:r>
      <w:r w:rsidR="00803EA7" w:rsidRPr="00813D19">
        <w:rPr>
          <w:bCs/>
          <w:lang w:val="en-US"/>
        </w:rPr>
        <w:t xml:space="preserve"> this element</w:t>
      </w:r>
      <w:r w:rsidR="00EB03A3">
        <w:rPr>
          <w:bCs/>
          <w:lang w:val="en-US"/>
        </w:rPr>
        <w:t xml:space="preserve"> over the generations</w:t>
      </w:r>
      <w:r w:rsidR="00803EA7" w:rsidRPr="00813D19">
        <w:rPr>
          <w:bCs/>
          <w:lang w:val="en-US"/>
        </w:rPr>
        <w:t xml:space="preserve">. This is the third element from Bosnia and Herzegovina </w:t>
      </w:r>
      <w:r w:rsidR="00EB03A3">
        <w:rPr>
          <w:bCs/>
          <w:lang w:val="en-US"/>
        </w:rPr>
        <w:t xml:space="preserve">to be </w:t>
      </w:r>
      <w:r w:rsidR="00803EA7" w:rsidRPr="00813D19">
        <w:rPr>
          <w:bCs/>
          <w:lang w:val="en-US"/>
        </w:rPr>
        <w:t>inscribed on the Representative List</w:t>
      </w:r>
      <w:r w:rsidR="00EB03A3">
        <w:rPr>
          <w:bCs/>
          <w:lang w:val="en-US"/>
        </w:rPr>
        <w:t>,</w:t>
      </w:r>
      <w:r w:rsidR="00803EA7" w:rsidRPr="00813D19">
        <w:rPr>
          <w:bCs/>
          <w:lang w:val="en-US"/>
        </w:rPr>
        <w:t xml:space="preserve"> </w:t>
      </w:r>
      <w:r w:rsidR="002F100C" w:rsidRPr="00813D19">
        <w:rPr>
          <w:bCs/>
          <w:lang w:val="en-US"/>
        </w:rPr>
        <w:t>for which i</w:t>
      </w:r>
      <w:r w:rsidR="00996D9E" w:rsidRPr="00813D19">
        <w:rPr>
          <w:bCs/>
          <w:lang w:val="en-US"/>
        </w:rPr>
        <w:t>t was proud. The delegation too</w:t>
      </w:r>
      <w:r w:rsidR="002F100C" w:rsidRPr="00813D19">
        <w:rPr>
          <w:bCs/>
          <w:lang w:val="en-US"/>
        </w:rPr>
        <w:t xml:space="preserve">k the </w:t>
      </w:r>
      <w:r w:rsidR="00803EA7" w:rsidRPr="00813D19">
        <w:rPr>
          <w:bCs/>
          <w:lang w:val="en-US"/>
        </w:rPr>
        <w:t xml:space="preserve">opportunity to express </w:t>
      </w:r>
      <w:r w:rsidR="002F100C" w:rsidRPr="00813D19">
        <w:rPr>
          <w:bCs/>
          <w:lang w:val="en-US"/>
        </w:rPr>
        <w:t xml:space="preserve">gratitude to all, adding that the </w:t>
      </w:r>
      <w:r w:rsidR="00803EA7" w:rsidRPr="00813D19">
        <w:rPr>
          <w:bCs/>
          <w:lang w:val="en-US"/>
        </w:rPr>
        <w:t xml:space="preserve">decision </w:t>
      </w:r>
      <w:r w:rsidR="00EB03A3">
        <w:rPr>
          <w:bCs/>
          <w:lang w:val="en-US"/>
        </w:rPr>
        <w:t>would</w:t>
      </w:r>
      <w:r w:rsidR="00EB03A3" w:rsidRPr="00813D19">
        <w:rPr>
          <w:bCs/>
          <w:lang w:val="en-US"/>
        </w:rPr>
        <w:t xml:space="preserve"> </w:t>
      </w:r>
      <w:r w:rsidR="00803EA7" w:rsidRPr="00813D19">
        <w:rPr>
          <w:bCs/>
          <w:lang w:val="en-US"/>
        </w:rPr>
        <w:t xml:space="preserve">contribute to the promotion of this element and its transmission to future generations. </w:t>
      </w:r>
      <w:r w:rsidR="002F100C" w:rsidRPr="00813D19">
        <w:rPr>
          <w:bCs/>
          <w:lang w:val="en-US"/>
        </w:rPr>
        <w:t xml:space="preserve">It also </w:t>
      </w:r>
      <w:r w:rsidR="00803EA7" w:rsidRPr="00813D19">
        <w:rPr>
          <w:bCs/>
          <w:lang w:val="en-US"/>
        </w:rPr>
        <w:t>confirm</w:t>
      </w:r>
      <w:r w:rsidR="002F100C" w:rsidRPr="00813D19">
        <w:rPr>
          <w:bCs/>
          <w:lang w:val="en-US"/>
        </w:rPr>
        <w:t>ed</w:t>
      </w:r>
      <w:r w:rsidR="00803EA7" w:rsidRPr="00813D19">
        <w:rPr>
          <w:bCs/>
          <w:lang w:val="en-US"/>
        </w:rPr>
        <w:t xml:space="preserve"> </w:t>
      </w:r>
      <w:r w:rsidR="002F100C" w:rsidRPr="00813D19">
        <w:rPr>
          <w:bCs/>
          <w:lang w:val="en-US"/>
        </w:rPr>
        <w:t xml:space="preserve">its </w:t>
      </w:r>
      <w:r w:rsidR="00803EA7" w:rsidRPr="00813D19">
        <w:rPr>
          <w:bCs/>
          <w:lang w:val="en-US"/>
        </w:rPr>
        <w:t xml:space="preserve">strong commitment to the </w:t>
      </w:r>
      <w:r w:rsidR="002F100C" w:rsidRPr="00813D19">
        <w:rPr>
          <w:bCs/>
          <w:lang w:val="en-US"/>
        </w:rPr>
        <w:t xml:space="preserve">implementation of this decision, the </w:t>
      </w:r>
      <w:r w:rsidR="00803EA7" w:rsidRPr="00813D19">
        <w:rPr>
          <w:bCs/>
          <w:lang w:val="en-US"/>
        </w:rPr>
        <w:t xml:space="preserve">recommendations of the Committee and the provisions of the Convention. </w:t>
      </w:r>
      <w:r w:rsidR="002F100C" w:rsidRPr="00813D19">
        <w:rPr>
          <w:bCs/>
          <w:lang w:val="en-US"/>
        </w:rPr>
        <w:t xml:space="preserve">The delegation </w:t>
      </w:r>
      <w:r w:rsidR="00803EA7" w:rsidRPr="00813D19">
        <w:rPr>
          <w:bCs/>
          <w:lang w:val="en-US"/>
        </w:rPr>
        <w:t>thank</w:t>
      </w:r>
      <w:r w:rsidR="002F100C" w:rsidRPr="00813D19">
        <w:rPr>
          <w:bCs/>
          <w:lang w:val="en-US"/>
        </w:rPr>
        <w:t>ed</w:t>
      </w:r>
      <w:r w:rsidR="00803EA7" w:rsidRPr="00813D19">
        <w:rPr>
          <w:bCs/>
          <w:lang w:val="en-US"/>
        </w:rPr>
        <w:t xml:space="preserve"> </w:t>
      </w:r>
      <w:r w:rsidR="002F100C" w:rsidRPr="00813D19">
        <w:rPr>
          <w:bCs/>
          <w:lang w:val="en-US"/>
        </w:rPr>
        <w:t xml:space="preserve">the </w:t>
      </w:r>
      <w:r w:rsidR="00803EA7" w:rsidRPr="00813D19">
        <w:rPr>
          <w:bCs/>
          <w:lang w:val="en-US"/>
        </w:rPr>
        <w:t xml:space="preserve">host for their hospitality and </w:t>
      </w:r>
      <w:r w:rsidR="002F100C" w:rsidRPr="00813D19">
        <w:rPr>
          <w:bCs/>
          <w:lang w:val="en-US"/>
        </w:rPr>
        <w:t>congratulated the Chairperson on the excellent organization of</w:t>
      </w:r>
      <w:r w:rsidR="00803EA7" w:rsidRPr="00813D19">
        <w:rPr>
          <w:bCs/>
          <w:lang w:val="en-US"/>
        </w:rPr>
        <w:t xml:space="preserve"> </w:t>
      </w:r>
      <w:r w:rsidR="002F100C" w:rsidRPr="00813D19">
        <w:rPr>
          <w:bCs/>
          <w:lang w:val="en-US"/>
        </w:rPr>
        <w:t>the session</w:t>
      </w:r>
      <w:r w:rsidR="00E72560">
        <w:rPr>
          <w:bCs/>
          <w:lang w:val="en-US"/>
        </w:rPr>
        <w:t>.</w:t>
      </w:r>
    </w:p>
    <w:p w14:paraId="121F0C64" w14:textId="537AAFF5" w:rsidR="00D9262D" w:rsidRPr="00813D19" w:rsidRDefault="00124F17" w:rsidP="0064618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EB03A3">
        <w:rPr>
          <w:color w:val="000000" w:themeColor="text1"/>
          <w:lang w:val="en-US"/>
        </w:rPr>
        <w:t>,</w:t>
      </w:r>
      <w:r w:rsidRPr="00813D19">
        <w:rPr>
          <w:color w:val="000000" w:themeColor="text1"/>
          <w:lang w:val="en-US"/>
        </w:rPr>
        <w:t xml:space="preserve"> </w:t>
      </w:r>
      <w:r w:rsidRPr="00813D19">
        <w:rPr>
          <w:b/>
          <w:color w:val="000000" w:themeColor="text1"/>
          <w:lang w:val="en-US"/>
        </w:rPr>
        <w:t>Lum medicinal bathing of Sowa Rigpa, knowledge and practices concerning life, health and illness prevention and treatment among the Tibetan people in China</w:t>
      </w:r>
      <w:r w:rsidRPr="00813D19">
        <w:rPr>
          <w:color w:val="000000" w:themeColor="text1"/>
          <w:lang w:val="en-US"/>
        </w:rPr>
        <w:t xml:space="preserve"> [draft decision 13.COM</w:t>
      </w:r>
      <w:r w:rsidR="00992896">
        <w:rPr>
          <w:color w:val="000000" w:themeColor="text1"/>
          <w:lang w:val="en-US"/>
        </w:rPr>
        <w:t> </w:t>
      </w:r>
      <w:r w:rsidRPr="00813D19">
        <w:rPr>
          <w:color w:val="000000" w:themeColor="text1"/>
          <w:lang w:val="en-US"/>
        </w:rPr>
        <w:t>10.b.8]</w:t>
      </w:r>
      <w:r w:rsidR="00EB03A3">
        <w:rPr>
          <w:color w:val="000000" w:themeColor="text1"/>
          <w:lang w:val="en-US"/>
        </w:rPr>
        <w:t>,</w:t>
      </w:r>
      <w:r w:rsidRPr="00813D19">
        <w:rPr>
          <w:color w:val="000000" w:themeColor="text1"/>
          <w:lang w:val="en-US"/>
        </w:rPr>
        <w:t xml:space="preserve"> submitted by </w:t>
      </w:r>
      <w:r w:rsidRPr="00813D19">
        <w:rPr>
          <w:b/>
          <w:color w:val="000000" w:themeColor="text1"/>
          <w:lang w:val="en-US"/>
        </w:rPr>
        <w:t>China</w:t>
      </w:r>
      <w:r w:rsidRPr="00813D19">
        <w:rPr>
          <w:color w:val="000000" w:themeColor="text1"/>
          <w:lang w:val="en-US"/>
        </w:rPr>
        <w:t xml:space="preserve">. </w:t>
      </w:r>
      <w:r w:rsidR="00BA14F9" w:rsidRPr="00813D19">
        <w:rPr>
          <w:lang w:val="en-US"/>
        </w:rPr>
        <w:t>Lum</w:t>
      </w:r>
      <w:r w:rsidR="00D9262D" w:rsidRPr="00813D19">
        <w:rPr>
          <w:lang w:val="en-US"/>
        </w:rPr>
        <w:t xml:space="preserve"> is the traditional knowledge and practices of bathing in natural hot springs, herbal water or steam to adjust the balance of the body and mind, ensure health and treat illness. The element plays a key role in improving health conditions, fostering a social code of behaviour and promoting respect for nature. From the information included in the file, the </w:t>
      </w:r>
      <w:r w:rsidR="00936625" w:rsidRPr="00813D19">
        <w:rPr>
          <w:lang w:val="en-US"/>
        </w:rPr>
        <w:t>nomination satisfied</w:t>
      </w:r>
      <w:r w:rsidR="00D9262D" w:rsidRPr="00813D19">
        <w:rPr>
          <w:lang w:val="en-US"/>
        </w:rPr>
        <w:t xml:space="preserve"> all five criteria. The Evaluation Body considered Lum medicinal bathing of Sowa Rigpa, knowledge and practices concerning life, health and illness prevention and treatment among the Tibetan people in China </w:t>
      </w:r>
      <w:r w:rsidR="00DC2A0C">
        <w:rPr>
          <w:lang w:val="en-US"/>
        </w:rPr>
        <w:t>to be</w:t>
      </w:r>
      <w:r w:rsidR="00D9262D" w:rsidRPr="00813D19">
        <w:rPr>
          <w:lang w:val="en-US"/>
        </w:rPr>
        <w:t xml:space="preserve"> a complex medicinal practice originating in a </w:t>
      </w:r>
      <w:r w:rsidR="00996D9E" w:rsidRPr="00813D19">
        <w:rPr>
          <w:lang w:val="en-US"/>
        </w:rPr>
        <w:t>traditional environment that had</w:t>
      </w:r>
      <w:r w:rsidR="00D9262D" w:rsidRPr="00813D19">
        <w:rPr>
          <w:lang w:val="en-US"/>
        </w:rPr>
        <w:t xml:space="preserve"> evolved to become a respected part of institutionalized medicine in Tibet and several other provinces in China. The element is an important part of the daily life of the Tibetan people that fosters respect for social cohesion, inspire</w:t>
      </w:r>
      <w:r w:rsidR="00936625" w:rsidRPr="00813D19">
        <w:rPr>
          <w:lang w:val="en-US"/>
        </w:rPr>
        <w:t>s</w:t>
      </w:r>
      <w:r w:rsidR="00D9262D" w:rsidRPr="00813D19">
        <w:rPr>
          <w:lang w:val="en-US"/>
        </w:rPr>
        <w:t xml:space="preserve"> dialogue among other communities about practices associated with health, prevention and the treatment of illnesses</w:t>
      </w:r>
      <w:r w:rsidR="004255FF" w:rsidRPr="00813D19">
        <w:rPr>
          <w:lang w:val="en-US"/>
        </w:rPr>
        <w:t>,</w:t>
      </w:r>
      <w:r w:rsidR="00D9262D" w:rsidRPr="00813D19">
        <w:rPr>
          <w:lang w:val="en-US"/>
        </w:rPr>
        <w:t xml:space="preserve"> and encourages the sustainable management of natural resources. The safeguarding measures proposed clearly respond</w:t>
      </w:r>
      <w:r w:rsidR="00996D9E" w:rsidRPr="00813D19">
        <w:rPr>
          <w:lang w:val="en-US"/>
        </w:rPr>
        <w:t>ed</w:t>
      </w:r>
      <w:r w:rsidR="00D9262D" w:rsidRPr="00813D19">
        <w:rPr>
          <w:lang w:val="en-US"/>
        </w:rPr>
        <w:t xml:space="preserve"> to the identified needs</w:t>
      </w:r>
      <w:r w:rsidR="004255FF" w:rsidRPr="00813D19">
        <w:rPr>
          <w:lang w:val="en-US"/>
        </w:rPr>
        <w:t>,</w:t>
      </w:r>
      <w:r w:rsidR="00D9262D" w:rsidRPr="00813D19">
        <w:rPr>
          <w:lang w:val="en-US"/>
        </w:rPr>
        <w:t xml:space="preserve"> </w:t>
      </w:r>
      <w:r w:rsidR="004255FF" w:rsidRPr="00813D19">
        <w:rPr>
          <w:lang w:val="en-US"/>
        </w:rPr>
        <w:t xml:space="preserve">and </w:t>
      </w:r>
      <w:r w:rsidR="00DC2A0C">
        <w:rPr>
          <w:lang w:val="en-US"/>
        </w:rPr>
        <w:t xml:space="preserve">the </w:t>
      </w:r>
      <w:r w:rsidR="00D9262D" w:rsidRPr="00813D19">
        <w:rPr>
          <w:lang w:val="en-US"/>
        </w:rPr>
        <w:t>documentation, research and promotional activities supplement</w:t>
      </w:r>
      <w:r w:rsidR="00996D9E" w:rsidRPr="00813D19">
        <w:rPr>
          <w:lang w:val="en-US"/>
        </w:rPr>
        <w:t>ed</w:t>
      </w:r>
      <w:r w:rsidR="00D9262D" w:rsidRPr="00813D19">
        <w:rPr>
          <w:lang w:val="en-US"/>
        </w:rPr>
        <w:t xml:space="preserve"> the measures to ensure the viability of the element. The communities, individual bearers, experts and research institutions </w:t>
      </w:r>
      <w:r w:rsidR="00DC2A0C">
        <w:rPr>
          <w:lang w:val="en-US"/>
        </w:rPr>
        <w:t xml:space="preserve">concerned had </w:t>
      </w:r>
      <w:r w:rsidR="00D9262D" w:rsidRPr="00813D19">
        <w:rPr>
          <w:lang w:val="en-US"/>
        </w:rPr>
        <w:t>participated actively in the preparation of the nomination file through workshops and working meetings. The Evaluation Body commend</w:t>
      </w:r>
      <w:r w:rsidR="004255FF" w:rsidRPr="00813D19">
        <w:rPr>
          <w:lang w:val="en-US"/>
        </w:rPr>
        <w:t>ed</w:t>
      </w:r>
      <w:r w:rsidR="00D9262D" w:rsidRPr="00813D19">
        <w:rPr>
          <w:lang w:val="en-US"/>
        </w:rPr>
        <w:t xml:space="preserve"> the State Party for s</w:t>
      </w:r>
      <w:r w:rsidR="004255FF" w:rsidRPr="00813D19">
        <w:rPr>
          <w:lang w:val="en-US"/>
        </w:rPr>
        <w:t>ubmitting a file that underlined</w:t>
      </w:r>
      <w:r w:rsidR="00D9262D" w:rsidRPr="00813D19">
        <w:rPr>
          <w:lang w:val="en-US"/>
        </w:rPr>
        <w:t xml:space="preserve"> the importance of traditional knowledge concerning nature and the universe</w:t>
      </w:r>
      <w:r w:rsidR="004255FF" w:rsidRPr="00813D19">
        <w:rPr>
          <w:lang w:val="en-US"/>
        </w:rPr>
        <w:t>,</w:t>
      </w:r>
      <w:r w:rsidR="00D9262D" w:rsidRPr="00813D19">
        <w:rPr>
          <w:lang w:val="en-US"/>
        </w:rPr>
        <w:t xml:space="preserve"> </w:t>
      </w:r>
      <w:r w:rsidR="004255FF" w:rsidRPr="00813D19">
        <w:rPr>
          <w:lang w:val="en-US"/>
        </w:rPr>
        <w:t>offering</w:t>
      </w:r>
      <w:r w:rsidR="00D9262D" w:rsidRPr="00813D19">
        <w:rPr>
          <w:lang w:val="en-US"/>
        </w:rPr>
        <w:t xml:space="preserve"> a positive example of the sustainable relationship between human beings and their environment</w:t>
      </w:r>
      <w:r w:rsidR="004255FF" w:rsidRPr="00813D19">
        <w:rPr>
          <w:lang w:val="en-US"/>
        </w:rPr>
        <w:t>. The Evaluation Body recommended</w:t>
      </w:r>
      <w:r w:rsidR="00D9262D" w:rsidRPr="00813D19">
        <w:rPr>
          <w:lang w:val="en-US"/>
        </w:rPr>
        <w:t xml:space="preserve"> that the Committee inscribe Lum medicinal bathing of Sowa Rigpa, knowledge and practices concerning life, health and illness prevention and treatment among the Tibetan people in Ch</w:t>
      </w:r>
      <w:r w:rsidR="00E72560">
        <w:rPr>
          <w:lang w:val="en-US"/>
        </w:rPr>
        <w:t>ina on the Representative List.</w:t>
      </w:r>
    </w:p>
    <w:p w14:paraId="0899C3D8" w14:textId="77777777" w:rsidR="000D22EC" w:rsidRPr="00813D19" w:rsidRDefault="000D22EC" w:rsidP="000D22EC">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48B31ECF" w14:textId="24BD37ED" w:rsidR="003F461D" w:rsidRPr="00E72560" w:rsidRDefault="000D22EC" w:rsidP="000D22EC">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w:t>
      </w:r>
      <w:r w:rsidR="003F461D" w:rsidRPr="00813D19">
        <w:rPr>
          <w:lang w:val="en-US"/>
        </w:rPr>
        <w:t xml:space="preserve">the </w:t>
      </w:r>
      <w:r w:rsidR="003F461D" w:rsidRPr="00813D19">
        <w:rPr>
          <w:b/>
          <w:lang w:val="en-US"/>
        </w:rPr>
        <w:t xml:space="preserve">Chairperson declared Decision </w:t>
      </w:r>
      <w:hyperlink r:id="rId109" w:history="1">
        <w:r w:rsidR="003F461D" w:rsidRPr="00813D19">
          <w:rPr>
            <w:rStyle w:val="Hyperlink"/>
            <w:b/>
            <w:lang w:val="en-US"/>
          </w:rPr>
          <w:t>13.COM</w:t>
        </w:r>
        <w:r w:rsidR="00992896">
          <w:rPr>
            <w:rStyle w:val="Hyperlink"/>
            <w:b/>
            <w:lang w:val="en-US"/>
          </w:rPr>
          <w:t> </w:t>
        </w:r>
        <w:r w:rsidR="003F461D" w:rsidRPr="00813D19">
          <w:rPr>
            <w:rStyle w:val="Hyperlink"/>
            <w:b/>
            <w:lang w:val="en-US"/>
          </w:rPr>
          <w:t>10.b.8</w:t>
        </w:r>
      </w:hyperlink>
      <w:r w:rsidR="003F461D" w:rsidRPr="00813D19">
        <w:rPr>
          <w:b/>
          <w:lang w:val="en-US"/>
        </w:rPr>
        <w:t xml:space="preserve"> adopted to inscribe </w:t>
      </w:r>
      <w:r w:rsidR="003F461D" w:rsidRPr="00813D19">
        <w:rPr>
          <w:b/>
          <w:color w:val="000000" w:themeColor="text1"/>
          <w:lang w:val="en-US"/>
        </w:rPr>
        <w:t>Lum medicinal bathing of Sowa Rigpa, knowledge and practices concerning life, health and illness prevention and treatment among the Tibetan people in China</w:t>
      </w:r>
      <w:r w:rsidR="003F461D" w:rsidRPr="00813D19">
        <w:rPr>
          <w:color w:val="000000" w:themeColor="text1"/>
          <w:lang w:val="en-US"/>
        </w:rPr>
        <w:t xml:space="preserve"> </w:t>
      </w:r>
      <w:r w:rsidR="003F461D" w:rsidRPr="00813D19">
        <w:rPr>
          <w:b/>
          <w:color w:val="000000" w:themeColor="text1"/>
          <w:lang w:val="en-US"/>
        </w:rPr>
        <w:t>on the Representative List</w:t>
      </w:r>
      <w:r w:rsidR="003F461D" w:rsidRPr="00E72560">
        <w:rPr>
          <w:bCs/>
          <w:snapToGrid/>
          <w:color w:val="000000" w:themeColor="text1"/>
          <w:lang w:val="en-US"/>
        </w:rPr>
        <w:t>.</w:t>
      </w:r>
    </w:p>
    <w:p w14:paraId="141F1EF6" w14:textId="00C3FBEE" w:rsidR="003E0DD1" w:rsidRPr="00E72560" w:rsidRDefault="003E0DD1" w:rsidP="00E72560">
      <w:pPr>
        <w:pStyle w:val="Orateurengris"/>
        <w:spacing w:before="120"/>
        <w:ind w:left="709" w:hanging="709"/>
        <w:rPr>
          <w:rFonts w:eastAsia="Times New Roman"/>
          <w:lang w:val="en-US"/>
        </w:rPr>
      </w:pPr>
      <w:r w:rsidRPr="00813D19">
        <w:rPr>
          <w:lang w:val="en-US"/>
        </w:rPr>
        <w:t xml:space="preserve">The </w:t>
      </w:r>
      <w:r w:rsidRPr="00813D19">
        <w:rPr>
          <w:b/>
          <w:lang w:val="en-US"/>
        </w:rPr>
        <w:t>delegation of Chin</w:t>
      </w:r>
      <w:r w:rsidR="00803EA7" w:rsidRPr="00813D19">
        <w:rPr>
          <w:b/>
          <w:lang w:val="en-US"/>
        </w:rPr>
        <w:t xml:space="preserve">a </w:t>
      </w:r>
      <w:r w:rsidR="00165A60" w:rsidRPr="00813D19">
        <w:rPr>
          <w:lang w:val="en-US"/>
        </w:rPr>
        <w:t>introduced the Vice-M</w:t>
      </w:r>
      <w:r w:rsidR="00803EA7" w:rsidRPr="00813D19">
        <w:rPr>
          <w:lang w:val="en-US"/>
        </w:rPr>
        <w:t xml:space="preserve">inister </w:t>
      </w:r>
      <w:r w:rsidR="00165A60" w:rsidRPr="00813D19">
        <w:rPr>
          <w:lang w:val="en-US"/>
        </w:rPr>
        <w:t xml:space="preserve">for </w:t>
      </w:r>
      <w:r w:rsidR="00803EA7" w:rsidRPr="00813D19">
        <w:rPr>
          <w:lang w:val="en-US"/>
        </w:rPr>
        <w:t>Culture and Tourism [</w:t>
      </w:r>
      <w:r w:rsidR="00165A60" w:rsidRPr="00813D19">
        <w:rPr>
          <w:lang w:val="en-US"/>
        </w:rPr>
        <w:t xml:space="preserve">translation from Chinese]. The Vice-Minister </w:t>
      </w:r>
      <w:r w:rsidR="00803EA7" w:rsidRPr="00813D19">
        <w:rPr>
          <w:lang w:val="en-US"/>
        </w:rPr>
        <w:t>express</w:t>
      </w:r>
      <w:r w:rsidR="007321A1" w:rsidRPr="00813D19">
        <w:rPr>
          <w:lang w:val="en-US"/>
        </w:rPr>
        <w:t>ed</w:t>
      </w:r>
      <w:r w:rsidR="00803EA7" w:rsidRPr="00813D19">
        <w:rPr>
          <w:lang w:val="en-US"/>
        </w:rPr>
        <w:t xml:space="preserve"> sincere gratitude to all the Committee Members, the Evaluation Body and the Secretariat for </w:t>
      </w:r>
      <w:r w:rsidR="007321A1" w:rsidRPr="00813D19">
        <w:rPr>
          <w:lang w:val="en-US"/>
        </w:rPr>
        <w:t xml:space="preserve">their </w:t>
      </w:r>
      <w:r w:rsidR="00803EA7" w:rsidRPr="00813D19">
        <w:rPr>
          <w:lang w:val="en-US"/>
        </w:rPr>
        <w:t xml:space="preserve">great efforts and contributions </w:t>
      </w:r>
      <w:r w:rsidR="00DC2A0C">
        <w:rPr>
          <w:lang w:val="en-US"/>
        </w:rPr>
        <w:t>to</w:t>
      </w:r>
      <w:r w:rsidR="00DC2A0C" w:rsidRPr="00813D19">
        <w:rPr>
          <w:lang w:val="en-US"/>
        </w:rPr>
        <w:t xml:space="preserve"> </w:t>
      </w:r>
      <w:r w:rsidR="00803EA7" w:rsidRPr="00813D19">
        <w:rPr>
          <w:lang w:val="en-US"/>
        </w:rPr>
        <w:t xml:space="preserve">the evaluation, examination and inscription of the element on the Representative List. This </w:t>
      </w:r>
      <w:r w:rsidR="00DC2A0C">
        <w:rPr>
          <w:lang w:val="en-US"/>
        </w:rPr>
        <w:t>was</w:t>
      </w:r>
      <w:r w:rsidR="00DC2A0C" w:rsidRPr="00813D19">
        <w:rPr>
          <w:lang w:val="en-US"/>
        </w:rPr>
        <w:t xml:space="preserve"> </w:t>
      </w:r>
      <w:r w:rsidR="00803EA7" w:rsidRPr="00813D19">
        <w:rPr>
          <w:lang w:val="en-US"/>
        </w:rPr>
        <w:t>the fourth inscribed element of China in the domain of knowledge and practices concerning nature and the universe. Lum medicinal bathing of Sowa Rigpa is knowledge and pr</w:t>
      </w:r>
      <w:r w:rsidR="007321A1" w:rsidRPr="00813D19">
        <w:rPr>
          <w:lang w:val="en-US"/>
        </w:rPr>
        <w:t xml:space="preserve">actices concerning life, health, </w:t>
      </w:r>
      <w:r w:rsidR="00803EA7" w:rsidRPr="00813D19">
        <w:rPr>
          <w:lang w:val="en-US"/>
        </w:rPr>
        <w:t>illness prevention and treatment among the Tibetan people in China</w:t>
      </w:r>
      <w:r w:rsidR="007321A1" w:rsidRPr="00813D19">
        <w:rPr>
          <w:lang w:val="en-US"/>
        </w:rPr>
        <w:t>,</w:t>
      </w:r>
      <w:r w:rsidR="00803EA7" w:rsidRPr="00813D19">
        <w:rPr>
          <w:lang w:val="en-US"/>
        </w:rPr>
        <w:t xml:space="preserve"> co</w:t>
      </w:r>
      <w:r w:rsidR="007321A1" w:rsidRPr="00813D19">
        <w:rPr>
          <w:lang w:val="en-US"/>
        </w:rPr>
        <w:t>mmonly practised in their every</w:t>
      </w:r>
      <w:r w:rsidR="00803EA7" w:rsidRPr="00813D19">
        <w:rPr>
          <w:lang w:val="en-US"/>
        </w:rPr>
        <w:t xml:space="preserve">day </w:t>
      </w:r>
      <w:r w:rsidR="00DC2A0C" w:rsidRPr="00813D19">
        <w:rPr>
          <w:lang w:val="en-US"/>
        </w:rPr>
        <w:t>li</w:t>
      </w:r>
      <w:r w:rsidR="00DC2A0C">
        <w:rPr>
          <w:lang w:val="en-US"/>
        </w:rPr>
        <w:t>ves</w:t>
      </w:r>
      <w:r w:rsidR="00803EA7" w:rsidRPr="00813D19">
        <w:rPr>
          <w:lang w:val="en-US"/>
        </w:rPr>
        <w:t>. The element embodies folk experiences in illness prevention and treatment</w:t>
      </w:r>
      <w:r w:rsidR="007321A1" w:rsidRPr="00813D19">
        <w:rPr>
          <w:lang w:val="en-US"/>
        </w:rPr>
        <w:t>,</w:t>
      </w:r>
      <w:r w:rsidR="00803EA7" w:rsidRPr="00813D19">
        <w:rPr>
          <w:lang w:val="en-US"/>
        </w:rPr>
        <w:t xml:space="preserve"> and reflects the transmission and development of traditional Tibetan medicinal theories in present</w:t>
      </w:r>
      <w:r w:rsidR="00DC2A0C">
        <w:rPr>
          <w:lang w:val="en-US"/>
        </w:rPr>
        <w:t>-</w:t>
      </w:r>
      <w:r w:rsidR="00803EA7" w:rsidRPr="00813D19">
        <w:rPr>
          <w:lang w:val="en-US"/>
        </w:rPr>
        <w:t xml:space="preserve">day health practice. </w:t>
      </w:r>
      <w:r w:rsidR="007321A1" w:rsidRPr="00813D19">
        <w:rPr>
          <w:lang w:val="en-US"/>
        </w:rPr>
        <w:t xml:space="preserve">It </w:t>
      </w:r>
      <w:r w:rsidR="00803EA7" w:rsidRPr="00813D19">
        <w:rPr>
          <w:lang w:val="en-US"/>
        </w:rPr>
        <w:t>believe</w:t>
      </w:r>
      <w:r w:rsidR="007321A1" w:rsidRPr="00813D19">
        <w:rPr>
          <w:lang w:val="en-US"/>
        </w:rPr>
        <w:t>d</w:t>
      </w:r>
      <w:r w:rsidR="00803EA7" w:rsidRPr="00813D19">
        <w:rPr>
          <w:lang w:val="en-US"/>
        </w:rPr>
        <w:t xml:space="preserve"> that its inscription on the Representative List </w:t>
      </w:r>
      <w:r w:rsidR="00DC2A0C">
        <w:rPr>
          <w:lang w:val="en-US"/>
        </w:rPr>
        <w:t>would</w:t>
      </w:r>
      <w:r w:rsidR="00DC2A0C" w:rsidRPr="00813D19">
        <w:rPr>
          <w:lang w:val="en-US"/>
        </w:rPr>
        <w:t xml:space="preserve"> </w:t>
      </w:r>
      <w:r w:rsidR="00803EA7" w:rsidRPr="00813D19">
        <w:rPr>
          <w:lang w:val="en-US"/>
        </w:rPr>
        <w:t>contribute to enhancing the visibility and awareness of the significance of intangible cultural heritage to inspire dialogue among different nations on life, health and respect for natu</w:t>
      </w:r>
      <w:r w:rsidR="007321A1" w:rsidRPr="00813D19">
        <w:rPr>
          <w:lang w:val="en-US"/>
        </w:rPr>
        <w:t>re. The inscription demonstrated</w:t>
      </w:r>
      <w:r w:rsidR="00803EA7" w:rsidRPr="00813D19">
        <w:rPr>
          <w:lang w:val="en-US"/>
        </w:rPr>
        <w:t xml:space="preserve"> the global attention to the importance of traditional knowledge and practices. China </w:t>
      </w:r>
      <w:r w:rsidR="00DC2A0C">
        <w:rPr>
          <w:lang w:val="en-US"/>
        </w:rPr>
        <w:t>would</w:t>
      </w:r>
      <w:r w:rsidR="00DC2A0C" w:rsidRPr="00813D19">
        <w:rPr>
          <w:lang w:val="en-US"/>
        </w:rPr>
        <w:t xml:space="preserve"> </w:t>
      </w:r>
      <w:r w:rsidR="00803EA7" w:rsidRPr="00813D19">
        <w:rPr>
          <w:lang w:val="en-US"/>
        </w:rPr>
        <w:t>work hard to fulfil its safegu</w:t>
      </w:r>
      <w:r w:rsidR="007321A1" w:rsidRPr="00813D19">
        <w:rPr>
          <w:lang w:val="en-US"/>
        </w:rPr>
        <w:t xml:space="preserve">arding commitment and </w:t>
      </w:r>
      <w:r w:rsidR="00DC2A0C">
        <w:rPr>
          <w:lang w:val="en-US"/>
        </w:rPr>
        <w:t>would</w:t>
      </w:r>
      <w:r w:rsidR="00DC2A0C" w:rsidRPr="00813D19">
        <w:rPr>
          <w:lang w:val="en-US"/>
        </w:rPr>
        <w:t xml:space="preserve"> </w:t>
      </w:r>
      <w:r w:rsidR="00803EA7" w:rsidRPr="00813D19">
        <w:rPr>
          <w:lang w:val="en-US"/>
        </w:rPr>
        <w:t xml:space="preserve">spare no effort </w:t>
      </w:r>
      <w:r w:rsidR="00DC2A0C">
        <w:rPr>
          <w:lang w:val="en-US"/>
        </w:rPr>
        <w:t xml:space="preserve">in </w:t>
      </w:r>
      <w:r w:rsidR="00803EA7" w:rsidRPr="00813D19">
        <w:rPr>
          <w:lang w:val="en-US"/>
        </w:rPr>
        <w:t>ensur</w:t>
      </w:r>
      <w:r w:rsidR="00DC2A0C">
        <w:rPr>
          <w:lang w:val="en-US"/>
        </w:rPr>
        <w:t>ing</w:t>
      </w:r>
      <w:r w:rsidR="00803EA7" w:rsidRPr="00813D19">
        <w:rPr>
          <w:lang w:val="en-US"/>
        </w:rPr>
        <w:t xml:space="preserve"> the sustained viability and frequent practice and transmission of the element so that a wider range of the communities and people would benefit from this valuable traditional knowledge and practice.</w:t>
      </w:r>
    </w:p>
    <w:p w14:paraId="41693112" w14:textId="55CB8448" w:rsidR="00246378" w:rsidRPr="00813D19" w:rsidRDefault="00B17EE7" w:rsidP="006D4A65">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DC2A0C">
        <w:rPr>
          <w:color w:val="000000" w:themeColor="text1"/>
          <w:lang w:val="en-US"/>
        </w:rPr>
        <w:t>,</w:t>
      </w:r>
      <w:r w:rsidRPr="00813D19">
        <w:rPr>
          <w:color w:val="000000" w:themeColor="text1"/>
          <w:lang w:val="en-US"/>
        </w:rPr>
        <w:t xml:space="preserve"> </w:t>
      </w:r>
      <w:r w:rsidRPr="00813D19">
        <w:rPr>
          <w:b/>
          <w:color w:val="000000" w:themeColor="text1"/>
          <w:lang w:val="en-US"/>
        </w:rPr>
        <w:t>Međimurska popevka, a folksong from Međimurje</w:t>
      </w:r>
      <w:r w:rsidRPr="00813D19">
        <w:rPr>
          <w:color w:val="000000" w:themeColor="text1"/>
          <w:lang w:val="en-US"/>
        </w:rPr>
        <w:t xml:space="preserve"> [draft decision 13.COM 10.b.9]</w:t>
      </w:r>
      <w:r w:rsidR="00DC2A0C">
        <w:rPr>
          <w:color w:val="000000" w:themeColor="text1"/>
          <w:lang w:val="en-US"/>
        </w:rPr>
        <w:t>,</w:t>
      </w:r>
      <w:r w:rsidRPr="00813D19">
        <w:rPr>
          <w:color w:val="000000" w:themeColor="text1"/>
          <w:lang w:val="en-US"/>
        </w:rPr>
        <w:t xml:space="preserve"> submitted by </w:t>
      </w:r>
      <w:r w:rsidRPr="00813D19">
        <w:rPr>
          <w:b/>
          <w:color w:val="000000" w:themeColor="text1"/>
          <w:lang w:val="en-US"/>
        </w:rPr>
        <w:t>Croatia</w:t>
      </w:r>
      <w:r w:rsidRPr="00813D19">
        <w:rPr>
          <w:color w:val="000000" w:themeColor="text1"/>
          <w:lang w:val="en-US"/>
        </w:rPr>
        <w:t>.</w:t>
      </w:r>
      <w:r w:rsidR="006D4A65" w:rsidRPr="00813D19">
        <w:rPr>
          <w:lang w:val="en-US"/>
        </w:rPr>
        <w:t xml:space="preserve"> Međimurska popevka, a folksong from the Međimurje region, was historically predominantly a soloist vocal genre practised by women</w:t>
      </w:r>
      <w:r w:rsidR="004255FF" w:rsidRPr="00813D19">
        <w:rPr>
          <w:lang w:val="en-US"/>
        </w:rPr>
        <w:t>, but nowadays</w:t>
      </w:r>
      <w:r w:rsidR="006D4A65" w:rsidRPr="00813D19">
        <w:rPr>
          <w:lang w:val="en-US"/>
        </w:rPr>
        <w:t xml:space="preserve"> </w:t>
      </w:r>
      <w:r w:rsidR="00DC2A0C">
        <w:rPr>
          <w:lang w:val="en-US"/>
        </w:rPr>
        <w:t xml:space="preserve">it </w:t>
      </w:r>
      <w:r w:rsidR="006D4A65" w:rsidRPr="00813D19">
        <w:rPr>
          <w:lang w:val="en-US"/>
        </w:rPr>
        <w:t>is performed by individuals and groups, men and women. It is practised in a broad range of social contexts, from solitary music-making to family and community happenings, work gatherings, religious events, and performances within and outside of Međimurje. From the information included in th</w:t>
      </w:r>
      <w:r w:rsidR="004255FF" w:rsidRPr="00813D19">
        <w:rPr>
          <w:lang w:val="en-US"/>
        </w:rPr>
        <w:t>e file, the nomination satisfied</w:t>
      </w:r>
      <w:r w:rsidR="006D4A65" w:rsidRPr="00813D19">
        <w:rPr>
          <w:lang w:val="en-US"/>
        </w:rPr>
        <w:t xml:space="preserve"> all five criteria. The Evaluation Body considered that</w:t>
      </w:r>
      <w:r w:rsidR="006D4A65" w:rsidRPr="00813D19">
        <w:rPr>
          <w:b/>
          <w:lang w:val="en-US"/>
        </w:rPr>
        <w:t xml:space="preserve"> </w:t>
      </w:r>
      <w:r w:rsidR="006D4A65" w:rsidRPr="00813D19">
        <w:rPr>
          <w:lang w:val="en-US"/>
        </w:rPr>
        <w:t>Međimurska popevka, a folksong from Međimurje is a natural, regular part of the everyday lives of inhabitants of the Međimurje region, accompanying day-to-day activities as well as festive and ceremonial events. The element represents values shared and common to intangible cultural heritage that can only be transmitted through music. T</w:t>
      </w:r>
      <w:r w:rsidR="004255FF" w:rsidRPr="00813D19">
        <w:rPr>
          <w:lang w:val="en-US"/>
        </w:rPr>
        <w:t>he safeguarding measures focused</w:t>
      </w:r>
      <w:r w:rsidR="006D4A65" w:rsidRPr="00813D19">
        <w:rPr>
          <w:lang w:val="en-US"/>
        </w:rPr>
        <w:t xml:space="preserve"> on community-driven educational activities, continuous field research and the systematic archiving of the collected material. All the major stakeholders were involved </w:t>
      </w:r>
      <w:r w:rsidR="004255FF" w:rsidRPr="00813D19">
        <w:rPr>
          <w:lang w:val="en-US"/>
        </w:rPr>
        <w:t xml:space="preserve">in </w:t>
      </w:r>
      <w:r w:rsidR="006D4A65" w:rsidRPr="00813D19">
        <w:rPr>
          <w:lang w:val="en-US"/>
        </w:rPr>
        <w:t>nominating the file together with the researchers and experts from the Ministry of Culture</w:t>
      </w:r>
      <w:r w:rsidR="004255FF" w:rsidRPr="00813D19">
        <w:rPr>
          <w:lang w:val="en-US"/>
        </w:rPr>
        <w:t>. The Evaluation Body recommended</w:t>
      </w:r>
      <w:r w:rsidR="006D4A65" w:rsidRPr="00813D19">
        <w:rPr>
          <w:lang w:val="en-US"/>
        </w:rPr>
        <w:t xml:space="preserve"> that the Committee inscribe Međimurska popevka, a folksong from Međimurje on the Representative List.</w:t>
      </w:r>
    </w:p>
    <w:p w14:paraId="7F54084F" w14:textId="77777777" w:rsidR="000D22EC" w:rsidRPr="00813D19" w:rsidRDefault="000D22EC" w:rsidP="000D22EC">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2873EA4E" w14:textId="79A476FB" w:rsidR="00B17EE7" w:rsidRPr="00E72560" w:rsidRDefault="000D22EC" w:rsidP="000D22EC">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w:t>
      </w:r>
      <w:r w:rsidR="00302473" w:rsidRPr="00813D19">
        <w:rPr>
          <w:lang w:val="en-US"/>
        </w:rPr>
        <w:t xml:space="preserve">the </w:t>
      </w:r>
      <w:r w:rsidR="00302473" w:rsidRPr="00813D19">
        <w:rPr>
          <w:b/>
          <w:lang w:val="en-US"/>
        </w:rPr>
        <w:t xml:space="preserve">Chairperson declared Decision </w:t>
      </w:r>
      <w:hyperlink r:id="rId110" w:history="1">
        <w:r w:rsidR="00302473" w:rsidRPr="00813D19">
          <w:rPr>
            <w:rStyle w:val="Hyperlink"/>
            <w:b/>
            <w:lang w:val="en-US"/>
          </w:rPr>
          <w:t>13.COM</w:t>
        </w:r>
        <w:r w:rsidR="00992896">
          <w:rPr>
            <w:rStyle w:val="Hyperlink"/>
            <w:b/>
            <w:lang w:val="en-US"/>
          </w:rPr>
          <w:t> </w:t>
        </w:r>
        <w:r w:rsidR="00302473" w:rsidRPr="00813D19">
          <w:rPr>
            <w:rStyle w:val="Hyperlink"/>
            <w:b/>
            <w:lang w:val="en-US"/>
          </w:rPr>
          <w:t>10.b.9</w:t>
        </w:r>
      </w:hyperlink>
      <w:r w:rsidR="00302473" w:rsidRPr="00813D19">
        <w:rPr>
          <w:b/>
          <w:lang w:val="en-US"/>
        </w:rPr>
        <w:t xml:space="preserve"> adopted to inscribe </w:t>
      </w:r>
      <w:r w:rsidR="00302473" w:rsidRPr="00813D19">
        <w:rPr>
          <w:b/>
          <w:color w:val="000000" w:themeColor="text1"/>
          <w:lang w:val="en-US"/>
        </w:rPr>
        <w:t>Međimurska popevka, a folksong from Međimurje</w:t>
      </w:r>
      <w:r w:rsidR="00302473" w:rsidRPr="00813D19">
        <w:rPr>
          <w:color w:val="000000" w:themeColor="text1"/>
          <w:lang w:val="en-US"/>
        </w:rPr>
        <w:t xml:space="preserve"> </w:t>
      </w:r>
      <w:r w:rsidR="00302473" w:rsidRPr="00813D19">
        <w:rPr>
          <w:b/>
          <w:color w:val="000000" w:themeColor="text1"/>
          <w:lang w:val="en-US"/>
        </w:rPr>
        <w:t>on the Representative List</w:t>
      </w:r>
      <w:r w:rsidR="00302473" w:rsidRPr="00E72560">
        <w:rPr>
          <w:bCs/>
          <w:snapToGrid/>
          <w:color w:val="000000" w:themeColor="text1"/>
          <w:lang w:val="en-US"/>
        </w:rPr>
        <w:t>.</w:t>
      </w:r>
    </w:p>
    <w:p w14:paraId="1EA5F7CF" w14:textId="35756AC1" w:rsidR="00302473" w:rsidRPr="00E72560" w:rsidRDefault="00302473" w:rsidP="00302473">
      <w:pPr>
        <w:pStyle w:val="Orateurengris"/>
        <w:spacing w:before="120"/>
        <w:ind w:left="709" w:hanging="709"/>
        <w:rPr>
          <w:rFonts w:eastAsia="Times New Roman"/>
          <w:lang w:val="en-US"/>
        </w:rPr>
      </w:pPr>
      <w:r w:rsidRPr="00813D19">
        <w:rPr>
          <w:lang w:val="en-US"/>
        </w:rPr>
        <w:t xml:space="preserve">The </w:t>
      </w:r>
      <w:r w:rsidRPr="00813D19">
        <w:rPr>
          <w:b/>
          <w:lang w:val="en-US"/>
        </w:rPr>
        <w:t>delegation of Croatia</w:t>
      </w:r>
      <w:r w:rsidR="00803EA7" w:rsidRPr="00813D19">
        <w:rPr>
          <w:b/>
          <w:lang w:val="en-US"/>
        </w:rPr>
        <w:t xml:space="preserve"> </w:t>
      </w:r>
      <w:r w:rsidR="00803EA7" w:rsidRPr="00813D19">
        <w:rPr>
          <w:lang w:val="en-US"/>
        </w:rPr>
        <w:t>thank</w:t>
      </w:r>
      <w:r w:rsidR="007321A1" w:rsidRPr="00813D19">
        <w:rPr>
          <w:lang w:val="en-US"/>
        </w:rPr>
        <w:t>ed</w:t>
      </w:r>
      <w:r w:rsidR="00803EA7" w:rsidRPr="00813D19">
        <w:rPr>
          <w:lang w:val="en-US"/>
        </w:rPr>
        <w:t xml:space="preserve"> </w:t>
      </w:r>
      <w:r w:rsidR="007321A1" w:rsidRPr="00813D19">
        <w:rPr>
          <w:lang w:val="en-US"/>
        </w:rPr>
        <w:t xml:space="preserve">the </w:t>
      </w:r>
      <w:r w:rsidR="00803EA7" w:rsidRPr="00813D19">
        <w:rPr>
          <w:lang w:val="en-US"/>
        </w:rPr>
        <w:t xml:space="preserve">delegates and </w:t>
      </w:r>
      <w:r w:rsidR="007321A1" w:rsidRPr="00813D19">
        <w:rPr>
          <w:lang w:val="en-US"/>
        </w:rPr>
        <w:t xml:space="preserve">the Committee, adding that it was important </w:t>
      </w:r>
      <w:r w:rsidR="00803EA7" w:rsidRPr="00813D19">
        <w:rPr>
          <w:lang w:val="en-US"/>
        </w:rPr>
        <w:t xml:space="preserve">not </w:t>
      </w:r>
      <w:r w:rsidR="007321A1" w:rsidRPr="00813D19">
        <w:rPr>
          <w:lang w:val="en-US"/>
        </w:rPr>
        <w:t xml:space="preserve">to </w:t>
      </w:r>
      <w:r w:rsidR="00803EA7" w:rsidRPr="00813D19">
        <w:rPr>
          <w:lang w:val="en-US"/>
        </w:rPr>
        <w:t>forget that groups and</w:t>
      </w:r>
      <w:r w:rsidR="007321A1" w:rsidRPr="00813D19">
        <w:rPr>
          <w:lang w:val="en-US"/>
        </w:rPr>
        <w:t>,</w:t>
      </w:r>
      <w:r w:rsidR="00803EA7" w:rsidRPr="00813D19">
        <w:rPr>
          <w:lang w:val="en-US"/>
        </w:rPr>
        <w:t xml:space="preserve"> in many cases</w:t>
      </w:r>
      <w:r w:rsidR="007321A1" w:rsidRPr="00813D19">
        <w:rPr>
          <w:lang w:val="en-US"/>
        </w:rPr>
        <w:t>,</w:t>
      </w:r>
      <w:r w:rsidR="00803EA7" w:rsidRPr="00813D19">
        <w:rPr>
          <w:lang w:val="en-US"/>
        </w:rPr>
        <w:t xml:space="preserve"> individuals play an important role in the production, safeguarding, maintenance and recreation of intangible cultural heritage</w:t>
      </w:r>
      <w:r w:rsidR="007321A1" w:rsidRPr="00813D19">
        <w:rPr>
          <w:lang w:val="en-US"/>
        </w:rPr>
        <w:t xml:space="preserve">, which </w:t>
      </w:r>
      <w:r w:rsidR="00803EA7" w:rsidRPr="00813D19">
        <w:rPr>
          <w:lang w:val="en-US"/>
        </w:rPr>
        <w:t xml:space="preserve">enrich cultural diversity and human creativity </w:t>
      </w:r>
      <w:r w:rsidR="007321A1" w:rsidRPr="00813D19">
        <w:rPr>
          <w:lang w:val="en-US"/>
        </w:rPr>
        <w:t xml:space="preserve">in </w:t>
      </w:r>
      <w:r w:rsidR="00803EA7" w:rsidRPr="00813D19">
        <w:rPr>
          <w:lang w:val="en-US"/>
        </w:rPr>
        <w:t>the world. Međimurska popevka</w:t>
      </w:r>
      <w:r w:rsidR="00DC2A0C">
        <w:rPr>
          <w:lang w:val="en-US"/>
        </w:rPr>
        <w:t>,</w:t>
      </w:r>
      <w:r w:rsidR="00803EA7" w:rsidRPr="00813D19">
        <w:rPr>
          <w:lang w:val="en-US"/>
        </w:rPr>
        <w:t xml:space="preserve"> in its richness and variability</w:t>
      </w:r>
      <w:r w:rsidR="00DC2A0C">
        <w:rPr>
          <w:lang w:val="en-US"/>
        </w:rPr>
        <w:t>,</w:t>
      </w:r>
      <w:r w:rsidR="00803EA7" w:rsidRPr="00813D19">
        <w:rPr>
          <w:lang w:val="en-US"/>
        </w:rPr>
        <w:t xml:space="preserve"> represents values common to intangible cultural heritage in general. In particular</w:t>
      </w:r>
      <w:r w:rsidR="007321A1" w:rsidRPr="00813D19">
        <w:rPr>
          <w:lang w:val="en-US"/>
        </w:rPr>
        <w:t>,</w:t>
      </w:r>
      <w:r w:rsidR="00803EA7" w:rsidRPr="00813D19">
        <w:rPr>
          <w:lang w:val="en-US"/>
        </w:rPr>
        <w:t xml:space="preserve"> it concerns the meaning of life and rhythm that can only be transmitted through music. Popevka is a natural, regular part of </w:t>
      </w:r>
      <w:r w:rsidR="007321A1" w:rsidRPr="00813D19">
        <w:rPr>
          <w:lang w:val="en-US"/>
        </w:rPr>
        <w:t xml:space="preserve">the </w:t>
      </w:r>
      <w:r w:rsidR="00803EA7" w:rsidRPr="00813D19">
        <w:rPr>
          <w:lang w:val="en-US"/>
        </w:rPr>
        <w:t>everyday li</w:t>
      </w:r>
      <w:r w:rsidR="00DC2A0C">
        <w:rPr>
          <w:lang w:val="en-US"/>
        </w:rPr>
        <w:t xml:space="preserve">ves </w:t>
      </w:r>
      <w:r w:rsidR="00803EA7" w:rsidRPr="00813D19">
        <w:rPr>
          <w:lang w:val="en-US"/>
        </w:rPr>
        <w:t>of inhabitants of the Međimurje region</w:t>
      </w:r>
      <w:r w:rsidR="007321A1" w:rsidRPr="00813D19">
        <w:rPr>
          <w:lang w:val="en-US"/>
        </w:rPr>
        <w:t>,</w:t>
      </w:r>
      <w:r w:rsidR="00803EA7" w:rsidRPr="00813D19">
        <w:rPr>
          <w:lang w:val="en-US"/>
        </w:rPr>
        <w:t xml:space="preserve"> accompanying day-to-day activities</w:t>
      </w:r>
      <w:r w:rsidR="007321A1" w:rsidRPr="00813D19">
        <w:rPr>
          <w:lang w:val="en-US"/>
        </w:rPr>
        <w:t>,</w:t>
      </w:r>
      <w:r w:rsidR="00803EA7" w:rsidRPr="00813D19">
        <w:rPr>
          <w:lang w:val="en-US"/>
        </w:rPr>
        <w:t xml:space="preserve"> as well as festive and ceremonial events. As a living tradition, the element has evolved in terms of performance styles and performers’ gender. However, women remain the central tradition bearers, bearing primary responsibility for the transmission </w:t>
      </w:r>
      <w:r w:rsidR="007321A1" w:rsidRPr="00813D19">
        <w:rPr>
          <w:lang w:val="en-US"/>
        </w:rPr>
        <w:t>of the element.</w:t>
      </w:r>
    </w:p>
    <w:p w14:paraId="07620097" w14:textId="2F826AC7" w:rsidR="0002768E" w:rsidRPr="00E72560" w:rsidRDefault="0002768E" w:rsidP="00302473">
      <w:pPr>
        <w:pStyle w:val="Orateurengris"/>
        <w:spacing w:before="120"/>
        <w:ind w:left="709" w:hanging="709"/>
        <w:rPr>
          <w:rFonts w:eastAsia="Times New Roman"/>
          <w:lang w:val="en-US"/>
        </w:rPr>
      </w:pPr>
      <w:r w:rsidRPr="00E72560">
        <w:rPr>
          <w:lang w:val="en-US"/>
        </w:rPr>
        <w:t xml:space="preserve">The </w:t>
      </w:r>
      <w:r w:rsidRPr="00E72560">
        <w:rPr>
          <w:b/>
          <w:lang w:val="en-US"/>
        </w:rPr>
        <w:t xml:space="preserve">delegation of Croatia </w:t>
      </w:r>
      <w:r w:rsidR="006A59CA" w:rsidRPr="00E72560">
        <w:rPr>
          <w:lang w:val="en-US"/>
        </w:rPr>
        <w:t>[second speaker]</w:t>
      </w:r>
      <w:r w:rsidR="00803EA7" w:rsidRPr="00E72560">
        <w:rPr>
          <w:b/>
          <w:lang w:val="en-US"/>
        </w:rPr>
        <w:t xml:space="preserve"> </w:t>
      </w:r>
      <w:r w:rsidR="00803EA7" w:rsidRPr="00E72560">
        <w:rPr>
          <w:lang w:val="en-US"/>
        </w:rPr>
        <w:t>thank</w:t>
      </w:r>
      <w:r w:rsidR="007321A1" w:rsidRPr="00E72560">
        <w:rPr>
          <w:lang w:val="en-US"/>
        </w:rPr>
        <w:t>ed</w:t>
      </w:r>
      <w:r w:rsidR="00803EA7" w:rsidRPr="00E72560">
        <w:rPr>
          <w:lang w:val="en-US"/>
        </w:rPr>
        <w:t xml:space="preserve"> </w:t>
      </w:r>
      <w:r w:rsidR="007321A1" w:rsidRPr="00E72560">
        <w:rPr>
          <w:lang w:val="en-US"/>
        </w:rPr>
        <w:t xml:space="preserve">the Chairperson </w:t>
      </w:r>
      <w:r w:rsidR="00803EA7" w:rsidRPr="00E72560">
        <w:rPr>
          <w:lang w:val="en-US"/>
        </w:rPr>
        <w:t xml:space="preserve">for </w:t>
      </w:r>
      <w:r w:rsidR="007321A1" w:rsidRPr="00E72560">
        <w:rPr>
          <w:lang w:val="en-US"/>
        </w:rPr>
        <w:t xml:space="preserve">the </w:t>
      </w:r>
      <w:r w:rsidR="00803EA7" w:rsidRPr="00E72560">
        <w:rPr>
          <w:lang w:val="en-US"/>
        </w:rPr>
        <w:t xml:space="preserve">warm hospitality </w:t>
      </w:r>
      <w:r w:rsidR="00DC2A0C" w:rsidRPr="00E72560">
        <w:rPr>
          <w:lang w:val="en-US"/>
        </w:rPr>
        <w:t xml:space="preserve">in </w:t>
      </w:r>
      <w:r w:rsidR="00803EA7" w:rsidRPr="00E72560">
        <w:rPr>
          <w:lang w:val="en-US"/>
        </w:rPr>
        <w:t xml:space="preserve">beautiful Mauritius. </w:t>
      </w:r>
      <w:r w:rsidR="00DC2A0C" w:rsidRPr="00E72560">
        <w:rPr>
          <w:lang w:val="en-US"/>
        </w:rPr>
        <w:t xml:space="preserve">The people </w:t>
      </w:r>
      <w:r w:rsidR="00803EA7" w:rsidRPr="00E72560">
        <w:rPr>
          <w:lang w:val="en-US"/>
        </w:rPr>
        <w:t xml:space="preserve">and bearers of Međimurska popevka </w:t>
      </w:r>
      <w:r w:rsidR="00DC2A0C" w:rsidRPr="00E72560">
        <w:rPr>
          <w:lang w:val="en-US"/>
        </w:rPr>
        <w:t xml:space="preserve">would </w:t>
      </w:r>
      <w:r w:rsidR="00803EA7" w:rsidRPr="00E72560">
        <w:rPr>
          <w:lang w:val="en-US"/>
        </w:rPr>
        <w:t xml:space="preserve">be very happy and even more motivated to safeguard and transmit </w:t>
      </w:r>
      <w:r w:rsidR="007321A1" w:rsidRPr="00E72560">
        <w:rPr>
          <w:lang w:val="en-US"/>
        </w:rPr>
        <w:t xml:space="preserve">the element </w:t>
      </w:r>
      <w:r w:rsidR="00803EA7" w:rsidRPr="00E72560">
        <w:rPr>
          <w:lang w:val="en-US"/>
        </w:rPr>
        <w:t>to future generations</w:t>
      </w:r>
      <w:r w:rsidR="007321A1" w:rsidRPr="00E72560">
        <w:rPr>
          <w:lang w:val="en-US"/>
        </w:rPr>
        <w:t>,</w:t>
      </w:r>
      <w:r w:rsidR="00803EA7" w:rsidRPr="00E72560">
        <w:rPr>
          <w:lang w:val="en-US"/>
        </w:rPr>
        <w:t xml:space="preserve"> and</w:t>
      </w:r>
      <w:r w:rsidR="007321A1" w:rsidRPr="00E72560">
        <w:rPr>
          <w:lang w:val="en-US"/>
        </w:rPr>
        <w:t>—as we say in Croatia—</w:t>
      </w:r>
      <w:r w:rsidR="00803EA7" w:rsidRPr="00E72560">
        <w:rPr>
          <w:lang w:val="en-US"/>
        </w:rPr>
        <w:t xml:space="preserve">the best way to say thank you is </w:t>
      </w:r>
      <w:r w:rsidR="00DC2A0C" w:rsidRPr="00E72560">
        <w:rPr>
          <w:lang w:val="en-US"/>
        </w:rPr>
        <w:t xml:space="preserve">through </w:t>
      </w:r>
      <w:r w:rsidR="00803EA7" w:rsidRPr="00E72560">
        <w:rPr>
          <w:lang w:val="en-US"/>
        </w:rPr>
        <w:t>song.</w:t>
      </w:r>
    </w:p>
    <w:p w14:paraId="68027139" w14:textId="087AF453" w:rsidR="001408C7" w:rsidRPr="00E72560" w:rsidRDefault="001408C7" w:rsidP="001408C7">
      <w:pPr>
        <w:pStyle w:val="Orateurengris"/>
        <w:numPr>
          <w:ilvl w:val="0"/>
          <w:numId w:val="0"/>
        </w:numPr>
        <w:spacing w:before="120"/>
        <w:jc w:val="center"/>
        <w:rPr>
          <w:rFonts w:eastAsia="Times New Roman"/>
          <w:i/>
          <w:lang w:val="en-US"/>
        </w:rPr>
      </w:pPr>
      <w:r w:rsidRPr="00E72560">
        <w:rPr>
          <w:i/>
          <w:lang w:val="en-US"/>
        </w:rPr>
        <w:t>[</w:t>
      </w:r>
      <w:r w:rsidR="00BA14F9" w:rsidRPr="00E72560">
        <w:rPr>
          <w:i/>
          <w:lang w:val="en-US"/>
        </w:rPr>
        <w:t>A s</w:t>
      </w:r>
      <w:r w:rsidR="003F6C06" w:rsidRPr="00E72560">
        <w:rPr>
          <w:i/>
          <w:lang w:val="en-US"/>
        </w:rPr>
        <w:t>hort f</w:t>
      </w:r>
      <w:r w:rsidRPr="00E72560">
        <w:rPr>
          <w:i/>
          <w:lang w:val="en-US"/>
        </w:rPr>
        <w:t xml:space="preserve">ilm on </w:t>
      </w:r>
      <w:r w:rsidRPr="00E72560">
        <w:rPr>
          <w:i/>
          <w:color w:val="000000" w:themeColor="text1"/>
          <w:lang w:val="en-US"/>
        </w:rPr>
        <w:t>Međimurska popevka</w:t>
      </w:r>
      <w:r w:rsidR="00341DDB" w:rsidRPr="00E72560">
        <w:rPr>
          <w:i/>
          <w:color w:val="000000" w:themeColor="text1"/>
          <w:lang w:val="en-US"/>
        </w:rPr>
        <w:t xml:space="preserve"> folksong</w:t>
      </w:r>
      <w:r w:rsidR="00BA14F9" w:rsidRPr="00E72560">
        <w:rPr>
          <w:i/>
          <w:color w:val="000000" w:themeColor="text1"/>
          <w:lang w:val="en-US"/>
        </w:rPr>
        <w:t xml:space="preserve"> was projected</w:t>
      </w:r>
      <w:r w:rsidRPr="00E72560">
        <w:rPr>
          <w:i/>
          <w:color w:val="000000" w:themeColor="text1"/>
          <w:lang w:val="en-US"/>
        </w:rPr>
        <w:t>]</w:t>
      </w:r>
    </w:p>
    <w:p w14:paraId="164DFBB9" w14:textId="0560EB48" w:rsidR="00B17EE7" w:rsidRPr="00813D19" w:rsidRDefault="00B17EE7" w:rsidP="00C3093A">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DC2A0C">
        <w:rPr>
          <w:color w:val="000000" w:themeColor="text1"/>
          <w:lang w:val="en-US"/>
        </w:rPr>
        <w:t>,</w:t>
      </w:r>
      <w:r w:rsidRPr="00813D19">
        <w:rPr>
          <w:color w:val="000000" w:themeColor="text1"/>
          <w:lang w:val="en-US"/>
        </w:rPr>
        <w:t xml:space="preserve"> </w:t>
      </w:r>
      <w:r w:rsidR="001408C7" w:rsidRPr="00813D19">
        <w:rPr>
          <w:b/>
          <w:color w:val="000000" w:themeColor="text1"/>
          <w:lang w:val="en-US"/>
        </w:rPr>
        <w:t>Art of stonewalling, knowledge and techniques</w:t>
      </w:r>
      <w:r w:rsidR="001408C7" w:rsidRPr="00813D19">
        <w:rPr>
          <w:color w:val="000000" w:themeColor="text1"/>
          <w:lang w:val="en-US"/>
        </w:rPr>
        <w:t xml:space="preserve"> </w:t>
      </w:r>
      <w:r w:rsidRPr="00813D19">
        <w:rPr>
          <w:color w:val="000000" w:themeColor="text1"/>
          <w:lang w:val="en-US"/>
        </w:rPr>
        <w:t>[draft decision 13.COM 10.b.10]</w:t>
      </w:r>
      <w:r w:rsidR="00DC2A0C">
        <w:rPr>
          <w:color w:val="000000" w:themeColor="text1"/>
          <w:lang w:val="en-US"/>
        </w:rPr>
        <w:t>,</w:t>
      </w:r>
      <w:r w:rsidRPr="00813D19">
        <w:rPr>
          <w:color w:val="000000" w:themeColor="text1"/>
          <w:lang w:val="en-US"/>
        </w:rPr>
        <w:t xml:space="preserve"> submitted by </w:t>
      </w:r>
      <w:r w:rsidRPr="00813D19">
        <w:rPr>
          <w:b/>
          <w:color w:val="000000" w:themeColor="text1"/>
          <w:lang w:val="en-US"/>
        </w:rPr>
        <w:t>Croatia</w:t>
      </w:r>
      <w:r w:rsidRPr="00813D19">
        <w:rPr>
          <w:color w:val="000000" w:themeColor="text1"/>
          <w:lang w:val="en-US"/>
        </w:rPr>
        <w:t xml:space="preserve">, </w:t>
      </w:r>
      <w:r w:rsidRPr="00813D19">
        <w:rPr>
          <w:b/>
          <w:color w:val="000000" w:themeColor="text1"/>
          <w:lang w:val="en-US"/>
        </w:rPr>
        <w:t xml:space="preserve">Cyprus, France, </w:t>
      </w:r>
      <w:r w:rsidR="00C3093A" w:rsidRPr="00813D19">
        <w:rPr>
          <w:b/>
          <w:color w:val="000000" w:themeColor="text1"/>
          <w:lang w:val="en-US"/>
        </w:rPr>
        <w:t xml:space="preserve">Greece, Italy, Slovenia, Spain and </w:t>
      </w:r>
      <w:r w:rsidRPr="00813D19">
        <w:rPr>
          <w:b/>
          <w:color w:val="000000" w:themeColor="text1"/>
          <w:lang w:val="en-US"/>
        </w:rPr>
        <w:t>Switzerland.</w:t>
      </w:r>
      <w:r w:rsidRPr="00813D19">
        <w:rPr>
          <w:color w:val="000000" w:themeColor="text1"/>
          <w:lang w:val="en-US"/>
        </w:rPr>
        <w:t xml:space="preserve"> </w:t>
      </w:r>
      <w:r w:rsidR="00C3093A" w:rsidRPr="00813D19">
        <w:rPr>
          <w:lang w:val="en-US"/>
        </w:rPr>
        <w:t>The art of dry stonewalling concerns the know</w:t>
      </w:r>
      <w:r w:rsidR="00DC2A0C">
        <w:rPr>
          <w:lang w:val="en-US"/>
        </w:rPr>
        <w:t>-</w:t>
      </w:r>
      <w:r w:rsidR="00C3093A" w:rsidRPr="00813D19">
        <w:rPr>
          <w:lang w:val="en-US"/>
        </w:rPr>
        <w:t xml:space="preserve">how related to making stone constructions by </w:t>
      </w:r>
      <w:r w:rsidR="006A59CA" w:rsidRPr="00813D19">
        <w:rPr>
          <w:lang w:val="en-US"/>
        </w:rPr>
        <w:t>stacking stones upon each other</w:t>
      </w:r>
      <w:r w:rsidR="00C3093A" w:rsidRPr="00813D19">
        <w:rPr>
          <w:lang w:val="en-US"/>
        </w:rPr>
        <w:t xml:space="preserve"> without using any other materials except sometimes dry soil. The stability of the structures is ensured through the careful selection and placement of the stones</w:t>
      </w:r>
      <w:r w:rsidR="006A59CA" w:rsidRPr="00813D19">
        <w:rPr>
          <w:lang w:val="en-US"/>
        </w:rPr>
        <w:t>,</w:t>
      </w:r>
      <w:r w:rsidR="00C3093A" w:rsidRPr="00813D19">
        <w:rPr>
          <w:lang w:val="en-US"/>
        </w:rPr>
        <w:t xml:space="preserve"> and </w:t>
      </w:r>
      <w:r w:rsidR="006A59CA" w:rsidRPr="00813D19">
        <w:rPr>
          <w:lang w:val="en-US"/>
        </w:rPr>
        <w:t xml:space="preserve">they </w:t>
      </w:r>
      <w:r w:rsidR="00C3093A" w:rsidRPr="00813D19">
        <w:rPr>
          <w:lang w:val="en-US"/>
        </w:rPr>
        <w:t>play a vital role in preventing landslides, floods and avalanches, and in combating erosion and desertification of the land. From the information included in th</w:t>
      </w:r>
      <w:r w:rsidR="006A59CA" w:rsidRPr="00813D19">
        <w:rPr>
          <w:lang w:val="en-US"/>
        </w:rPr>
        <w:t>e file, the nomination satisfied</w:t>
      </w:r>
      <w:r w:rsidR="00C3093A" w:rsidRPr="00813D19">
        <w:rPr>
          <w:lang w:val="en-US"/>
        </w:rPr>
        <w:t xml:space="preserve"> all five criteria for inscription. The Evaluation Body considered the Art of dry stone walling, knowledge and techniques </w:t>
      </w:r>
      <w:r w:rsidR="00DC2A0C">
        <w:rPr>
          <w:lang w:val="en-US"/>
        </w:rPr>
        <w:t xml:space="preserve">to be </w:t>
      </w:r>
      <w:r w:rsidR="00C3093A" w:rsidRPr="00813D19">
        <w:rPr>
          <w:lang w:val="en-US"/>
        </w:rPr>
        <w:t xml:space="preserve">a living tradition, which has become increasingly well-developed for the sake of the sustainable management of cultural heritage, agricultural land, human dwellings and their environment. The art of dry stone combines a widespread technique that promotes the shared nature of traditional know-how, which illustrates the fundamental role of intangible cultural heritage in the creation and maintenance of the living environment. The proposed safeguarding plan in all the submitting States focuses primarily on the protection of existing dry stone monuments and sites with the involvement of all the stakeholders, communities and their associations. The safeguarding plan and entire nomination file </w:t>
      </w:r>
      <w:r w:rsidR="00DC2A0C" w:rsidRPr="00813D19">
        <w:rPr>
          <w:lang w:val="en-US"/>
        </w:rPr>
        <w:t>w</w:t>
      </w:r>
      <w:r w:rsidR="00DC2A0C">
        <w:rPr>
          <w:lang w:val="en-US"/>
        </w:rPr>
        <w:t>ere</w:t>
      </w:r>
      <w:r w:rsidR="00DC2A0C" w:rsidRPr="00813D19">
        <w:rPr>
          <w:lang w:val="en-US"/>
        </w:rPr>
        <w:t xml:space="preserve"> </w:t>
      </w:r>
      <w:r w:rsidR="00C3093A" w:rsidRPr="00813D19">
        <w:rPr>
          <w:lang w:val="en-US"/>
        </w:rPr>
        <w:t>the result of intensive discussions among the communities and relevant organizat</w:t>
      </w:r>
      <w:r w:rsidR="006A59CA" w:rsidRPr="00813D19">
        <w:rPr>
          <w:lang w:val="en-US"/>
        </w:rPr>
        <w:t>ions. The Evaluation Body wished</w:t>
      </w:r>
      <w:r w:rsidR="00C3093A" w:rsidRPr="00813D19">
        <w:rPr>
          <w:lang w:val="en-US"/>
        </w:rPr>
        <w:t xml:space="preserve"> to </w:t>
      </w:r>
      <w:r w:rsidR="00C3093A" w:rsidRPr="00813D19">
        <w:rPr>
          <w:bCs/>
          <w:lang w:val="en-US"/>
        </w:rPr>
        <w:t xml:space="preserve">commend the States Parties for submitting an exemplary file, prepared with </w:t>
      </w:r>
      <w:r w:rsidR="006A59CA" w:rsidRPr="00813D19">
        <w:rPr>
          <w:bCs/>
          <w:lang w:val="en-US"/>
        </w:rPr>
        <w:t>the utmost care, which testified</w:t>
      </w:r>
      <w:r w:rsidR="00C3093A" w:rsidRPr="00813D19">
        <w:rPr>
          <w:bCs/>
          <w:lang w:val="en-US"/>
        </w:rPr>
        <w:t xml:space="preserve"> to the spirit of the Convention in terms of international cooperation</w:t>
      </w:r>
      <w:r w:rsidR="00C3093A" w:rsidRPr="00813D19">
        <w:rPr>
          <w:lang w:val="en-US"/>
        </w:rPr>
        <w:t>.</w:t>
      </w:r>
      <w:r w:rsidR="006A59CA" w:rsidRPr="00813D19">
        <w:rPr>
          <w:lang w:val="en-US"/>
        </w:rPr>
        <w:t xml:space="preserve"> The Evaluation Body recommended</w:t>
      </w:r>
      <w:r w:rsidR="00C3093A" w:rsidRPr="00813D19">
        <w:rPr>
          <w:lang w:val="en-US"/>
        </w:rPr>
        <w:t xml:space="preserve"> that the Committee inscribe Art of dry stone walling, knowledge and techniques on the Representative List.</w:t>
      </w:r>
    </w:p>
    <w:p w14:paraId="067D96C5" w14:textId="77777777" w:rsidR="00C3093A" w:rsidRPr="00813D19" w:rsidRDefault="00C3093A" w:rsidP="00C3093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1A77356C" w14:textId="722ED789" w:rsidR="00A36C9C" w:rsidRPr="00E72560" w:rsidRDefault="00C3093A" w:rsidP="00C3093A">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w:t>
      </w:r>
      <w:r w:rsidR="00A36C9C" w:rsidRPr="00813D19">
        <w:rPr>
          <w:lang w:val="en-US"/>
        </w:rPr>
        <w:t xml:space="preserve">the </w:t>
      </w:r>
      <w:r w:rsidR="00A36C9C" w:rsidRPr="00813D19">
        <w:rPr>
          <w:b/>
          <w:lang w:val="en-US"/>
        </w:rPr>
        <w:t xml:space="preserve">Chairperson declared Decision </w:t>
      </w:r>
      <w:hyperlink r:id="rId111" w:history="1">
        <w:r w:rsidR="00A36C9C" w:rsidRPr="00813D19">
          <w:rPr>
            <w:rStyle w:val="Hyperlink"/>
            <w:b/>
            <w:lang w:val="en-US"/>
          </w:rPr>
          <w:t>13.COM</w:t>
        </w:r>
        <w:r w:rsidR="00992896">
          <w:rPr>
            <w:rStyle w:val="Hyperlink"/>
            <w:b/>
            <w:lang w:val="en-US"/>
          </w:rPr>
          <w:t> </w:t>
        </w:r>
        <w:r w:rsidR="00A36C9C" w:rsidRPr="00813D19">
          <w:rPr>
            <w:rStyle w:val="Hyperlink"/>
            <w:b/>
            <w:lang w:val="en-US"/>
          </w:rPr>
          <w:t>10.b.10</w:t>
        </w:r>
      </w:hyperlink>
      <w:r w:rsidR="00A36C9C" w:rsidRPr="00813D19">
        <w:rPr>
          <w:b/>
          <w:lang w:val="en-US"/>
        </w:rPr>
        <w:t xml:space="preserve"> adopted to inscribe </w:t>
      </w:r>
      <w:r w:rsidR="00A36C9C" w:rsidRPr="00813D19">
        <w:rPr>
          <w:b/>
          <w:color w:val="000000" w:themeColor="text1"/>
          <w:lang w:val="en-US"/>
        </w:rPr>
        <w:t>Art of stonewalling, knowledge and techniques</w:t>
      </w:r>
      <w:r w:rsidR="00A36C9C" w:rsidRPr="00813D19">
        <w:rPr>
          <w:color w:val="000000" w:themeColor="text1"/>
          <w:lang w:val="en-US"/>
        </w:rPr>
        <w:t xml:space="preserve"> </w:t>
      </w:r>
      <w:r w:rsidR="00A36C9C" w:rsidRPr="00813D19">
        <w:rPr>
          <w:b/>
          <w:color w:val="000000" w:themeColor="text1"/>
          <w:lang w:val="en-US"/>
        </w:rPr>
        <w:t>on the Representative List</w:t>
      </w:r>
      <w:r w:rsidR="00A36C9C" w:rsidRPr="00E72560">
        <w:rPr>
          <w:bCs/>
          <w:snapToGrid/>
          <w:color w:val="000000" w:themeColor="text1"/>
          <w:lang w:val="en-US"/>
        </w:rPr>
        <w:t>.</w:t>
      </w:r>
    </w:p>
    <w:p w14:paraId="72377836" w14:textId="0A0F8D52" w:rsidR="007E4430" w:rsidRPr="00E72560" w:rsidRDefault="007E4430" w:rsidP="00C3093A">
      <w:pPr>
        <w:pStyle w:val="Orateurengris"/>
        <w:spacing w:before="120"/>
        <w:ind w:left="709" w:hanging="709"/>
        <w:rPr>
          <w:rFonts w:eastAsia="Times New Roman"/>
          <w:lang w:val="en-US"/>
        </w:rPr>
      </w:pPr>
      <w:r w:rsidRPr="00813D19">
        <w:rPr>
          <w:bCs/>
          <w:lang w:val="en-US"/>
        </w:rPr>
        <w:t xml:space="preserve">The </w:t>
      </w:r>
      <w:r w:rsidRPr="00813D19">
        <w:rPr>
          <w:b/>
          <w:bCs/>
          <w:lang w:val="en-US"/>
        </w:rPr>
        <w:t>Chairperson</w:t>
      </w:r>
      <w:r w:rsidRPr="00813D19">
        <w:rPr>
          <w:bCs/>
          <w:lang w:val="en-US"/>
        </w:rPr>
        <w:t xml:space="preserve"> congratulated the large cultural family joined together, noting that Greece had the privilege </w:t>
      </w:r>
      <w:r w:rsidR="007511F6">
        <w:rPr>
          <w:bCs/>
          <w:lang w:val="en-US"/>
        </w:rPr>
        <w:t>of</w:t>
      </w:r>
      <w:r w:rsidR="007511F6" w:rsidRPr="00813D19">
        <w:rPr>
          <w:bCs/>
          <w:lang w:val="en-US"/>
        </w:rPr>
        <w:t xml:space="preserve"> </w:t>
      </w:r>
      <w:r w:rsidRPr="00813D19">
        <w:rPr>
          <w:bCs/>
          <w:lang w:val="en-US"/>
        </w:rPr>
        <w:t>talk</w:t>
      </w:r>
      <w:r w:rsidR="007511F6">
        <w:rPr>
          <w:bCs/>
          <w:lang w:val="en-US"/>
        </w:rPr>
        <w:t>ing</w:t>
      </w:r>
      <w:r w:rsidRPr="00813D19">
        <w:rPr>
          <w:bCs/>
          <w:lang w:val="en-US"/>
        </w:rPr>
        <w:t xml:space="preserve"> on behalf of all the submitting countries.</w:t>
      </w:r>
    </w:p>
    <w:p w14:paraId="00BEC066" w14:textId="7330EBEB" w:rsidR="0015579E" w:rsidRPr="00E72560" w:rsidRDefault="0015579E" w:rsidP="00A36C9C">
      <w:pPr>
        <w:pStyle w:val="Orateurengris"/>
        <w:spacing w:before="120"/>
        <w:ind w:left="709" w:hanging="709"/>
        <w:rPr>
          <w:rFonts w:eastAsia="Times New Roman"/>
          <w:lang w:val="en-US"/>
        </w:rPr>
      </w:pPr>
      <w:r w:rsidRPr="00813D19">
        <w:rPr>
          <w:lang w:val="en-US"/>
        </w:rPr>
        <w:t xml:space="preserve">The </w:t>
      </w:r>
      <w:r w:rsidRPr="00813D19">
        <w:rPr>
          <w:b/>
          <w:lang w:val="en-US"/>
        </w:rPr>
        <w:t>delegation of Greece</w:t>
      </w:r>
      <w:r w:rsidRPr="00813D19">
        <w:rPr>
          <w:lang w:val="en-US"/>
        </w:rPr>
        <w:t xml:space="preserve"> </w:t>
      </w:r>
      <w:r w:rsidR="007E4430" w:rsidRPr="00813D19">
        <w:rPr>
          <w:lang w:val="en-US"/>
        </w:rPr>
        <w:t xml:space="preserve">spoke </w:t>
      </w:r>
      <w:r w:rsidR="009E70F1" w:rsidRPr="00813D19">
        <w:rPr>
          <w:lang w:val="en-US"/>
        </w:rPr>
        <w:t xml:space="preserve">on behalf of the communities of practitioners of </w:t>
      </w:r>
      <w:r w:rsidR="007E4430" w:rsidRPr="00813D19">
        <w:rPr>
          <w:lang w:val="en-US"/>
        </w:rPr>
        <w:t xml:space="preserve">the eight States and </w:t>
      </w:r>
      <w:r w:rsidR="009E70F1" w:rsidRPr="00813D19">
        <w:rPr>
          <w:lang w:val="en-US"/>
        </w:rPr>
        <w:t xml:space="preserve">the NGOs that </w:t>
      </w:r>
      <w:r w:rsidR="007511F6">
        <w:rPr>
          <w:lang w:val="en-US"/>
        </w:rPr>
        <w:t xml:space="preserve">had </w:t>
      </w:r>
      <w:r w:rsidR="009E70F1" w:rsidRPr="00813D19">
        <w:rPr>
          <w:lang w:val="en-US"/>
        </w:rPr>
        <w:t>helped</w:t>
      </w:r>
      <w:r w:rsidR="007511F6">
        <w:rPr>
          <w:lang w:val="en-US"/>
        </w:rPr>
        <w:t xml:space="preserve"> with</w:t>
      </w:r>
      <w:r w:rsidR="009E70F1" w:rsidRPr="00813D19">
        <w:rPr>
          <w:lang w:val="en-US"/>
        </w:rPr>
        <w:t xml:space="preserve"> the submission of this nomination file</w:t>
      </w:r>
      <w:r w:rsidR="007E4430" w:rsidRPr="00813D19">
        <w:rPr>
          <w:lang w:val="en-US"/>
        </w:rPr>
        <w:t>,</w:t>
      </w:r>
      <w:r w:rsidR="009E70F1" w:rsidRPr="00813D19">
        <w:rPr>
          <w:lang w:val="en-US"/>
        </w:rPr>
        <w:t xml:space="preserve"> to thank </w:t>
      </w:r>
      <w:r w:rsidR="007E4430" w:rsidRPr="00813D19">
        <w:rPr>
          <w:lang w:val="en-US"/>
        </w:rPr>
        <w:t xml:space="preserve">the Evaluation Body </w:t>
      </w:r>
      <w:r w:rsidR="009E70F1" w:rsidRPr="00813D19">
        <w:rPr>
          <w:lang w:val="en-US"/>
        </w:rPr>
        <w:t xml:space="preserve">for </w:t>
      </w:r>
      <w:r w:rsidR="007E4430" w:rsidRPr="00813D19">
        <w:rPr>
          <w:lang w:val="en-US"/>
        </w:rPr>
        <w:t xml:space="preserve">its </w:t>
      </w:r>
      <w:r w:rsidR="009E70F1" w:rsidRPr="00813D19">
        <w:rPr>
          <w:lang w:val="en-US"/>
        </w:rPr>
        <w:t xml:space="preserve">thorough examination of </w:t>
      </w:r>
      <w:r w:rsidR="007E4430" w:rsidRPr="00813D19">
        <w:rPr>
          <w:lang w:val="en-US"/>
        </w:rPr>
        <w:t xml:space="preserve">the </w:t>
      </w:r>
      <w:r w:rsidR="009E70F1" w:rsidRPr="00813D19">
        <w:rPr>
          <w:lang w:val="en-US"/>
        </w:rPr>
        <w:t>co</w:t>
      </w:r>
      <w:r w:rsidR="002E49D9" w:rsidRPr="00813D19">
        <w:rPr>
          <w:lang w:val="en-US"/>
        </w:rPr>
        <w:t>mmon file and the very positive</w:t>
      </w:r>
      <w:r w:rsidR="007E4430" w:rsidRPr="00813D19">
        <w:rPr>
          <w:lang w:val="en-US"/>
        </w:rPr>
        <w:t xml:space="preserve"> evaluation of its merits, for which it was hono</w:t>
      </w:r>
      <w:r w:rsidR="00FB131E">
        <w:rPr>
          <w:lang w:val="en-US"/>
        </w:rPr>
        <w:t>u</w:t>
      </w:r>
      <w:r w:rsidR="007E4430" w:rsidRPr="00813D19">
        <w:rPr>
          <w:lang w:val="en-US"/>
        </w:rPr>
        <w:t xml:space="preserve">red. It </w:t>
      </w:r>
      <w:r w:rsidR="009E70F1" w:rsidRPr="00813D19">
        <w:rPr>
          <w:lang w:val="en-US"/>
        </w:rPr>
        <w:t>also thank</w:t>
      </w:r>
      <w:r w:rsidR="007E4430" w:rsidRPr="00813D19">
        <w:rPr>
          <w:lang w:val="en-US"/>
        </w:rPr>
        <w:t>ed</w:t>
      </w:r>
      <w:r w:rsidR="009E70F1" w:rsidRPr="00813D19">
        <w:rPr>
          <w:lang w:val="en-US"/>
        </w:rPr>
        <w:t xml:space="preserve"> Mauritius for the warm hospitality in making this meeting possible. The eight States Parties</w:t>
      </w:r>
      <w:r w:rsidR="007E4430" w:rsidRPr="00813D19">
        <w:rPr>
          <w:lang w:val="en-US"/>
        </w:rPr>
        <w:t xml:space="preserve"> (</w:t>
      </w:r>
      <w:r w:rsidR="009E70F1" w:rsidRPr="00813D19">
        <w:rPr>
          <w:bCs/>
          <w:lang w:val="en-US"/>
        </w:rPr>
        <w:t>Croatia, Cyprus, France, Greece, Italy, Slovenia, Spain and Switzerland</w:t>
      </w:r>
      <w:r w:rsidR="007E4430" w:rsidRPr="00813D19">
        <w:rPr>
          <w:bCs/>
          <w:lang w:val="en-US"/>
        </w:rPr>
        <w:t>)</w:t>
      </w:r>
      <w:r w:rsidR="009E70F1" w:rsidRPr="00813D19">
        <w:rPr>
          <w:bCs/>
          <w:lang w:val="en-US"/>
        </w:rPr>
        <w:t xml:space="preserve"> regard</w:t>
      </w:r>
      <w:r w:rsidR="007511F6">
        <w:rPr>
          <w:bCs/>
          <w:lang w:val="en-US"/>
        </w:rPr>
        <w:t>ed</w:t>
      </w:r>
      <w:r w:rsidR="009E70F1" w:rsidRPr="00813D19">
        <w:rPr>
          <w:bCs/>
          <w:lang w:val="en-US"/>
        </w:rPr>
        <w:t xml:space="preserve"> this humble building technique as an exemplary manifestation of the potential that traditional knowledge presents for </w:t>
      </w:r>
      <w:r w:rsidR="007E4430" w:rsidRPr="00813D19">
        <w:rPr>
          <w:bCs/>
          <w:lang w:val="en-US"/>
        </w:rPr>
        <w:t xml:space="preserve">the </w:t>
      </w:r>
      <w:r w:rsidR="009E70F1" w:rsidRPr="00813D19">
        <w:rPr>
          <w:bCs/>
          <w:lang w:val="en-US"/>
        </w:rPr>
        <w:t>management of natural resources in an environmentally</w:t>
      </w:r>
      <w:r w:rsidR="007511F6">
        <w:rPr>
          <w:bCs/>
          <w:lang w:val="en-US"/>
        </w:rPr>
        <w:t>-</w:t>
      </w:r>
      <w:r w:rsidR="009E70F1" w:rsidRPr="00813D19">
        <w:rPr>
          <w:bCs/>
          <w:lang w:val="en-US"/>
        </w:rPr>
        <w:t xml:space="preserve">responsible manner. In </w:t>
      </w:r>
      <w:r w:rsidR="00A130A6">
        <w:rPr>
          <w:bCs/>
          <w:lang w:val="en-US"/>
        </w:rPr>
        <w:t>all the</w:t>
      </w:r>
      <w:r w:rsidR="009E70F1" w:rsidRPr="00813D19">
        <w:rPr>
          <w:bCs/>
          <w:lang w:val="en-US"/>
        </w:rPr>
        <w:t xml:space="preserve"> regions of </w:t>
      </w:r>
      <w:r w:rsidR="007E4430" w:rsidRPr="00813D19">
        <w:rPr>
          <w:bCs/>
          <w:lang w:val="en-US"/>
        </w:rPr>
        <w:t xml:space="preserve">the </w:t>
      </w:r>
      <w:r w:rsidR="009E70F1" w:rsidRPr="00813D19">
        <w:rPr>
          <w:bCs/>
          <w:lang w:val="en-US"/>
        </w:rPr>
        <w:t>eight States</w:t>
      </w:r>
      <w:r w:rsidR="007E4430" w:rsidRPr="00813D19">
        <w:rPr>
          <w:bCs/>
          <w:lang w:val="en-US"/>
        </w:rPr>
        <w:t>,</w:t>
      </w:r>
      <w:r w:rsidR="009E70F1" w:rsidRPr="00813D19">
        <w:rPr>
          <w:bCs/>
          <w:lang w:val="en-US"/>
        </w:rPr>
        <w:t xml:space="preserve"> knowledge of the specific weather patterns, geological conditions and local stone i</w:t>
      </w:r>
      <w:r w:rsidR="007E4430" w:rsidRPr="00813D19">
        <w:rPr>
          <w:bCs/>
          <w:lang w:val="en-US"/>
        </w:rPr>
        <w:t>s fundamental for the practice</w:t>
      </w:r>
      <w:r w:rsidR="009E70F1" w:rsidRPr="00813D19">
        <w:rPr>
          <w:bCs/>
          <w:lang w:val="en-US"/>
        </w:rPr>
        <w:t xml:space="preserve"> of the element</w:t>
      </w:r>
      <w:r w:rsidR="007E4430" w:rsidRPr="00813D19">
        <w:rPr>
          <w:bCs/>
          <w:lang w:val="en-US"/>
        </w:rPr>
        <w:t>,</w:t>
      </w:r>
      <w:r w:rsidR="009E70F1" w:rsidRPr="00813D19">
        <w:rPr>
          <w:bCs/>
          <w:lang w:val="en-US"/>
        </w:rPr>
        <w:t xml:space="preserve"> and this knowledge is acquired mainly through non-formal ed</w:t>
      </w:r>
      <w:r w:rsidR="007E4430" w:rsidRPr="00813D19">
        <w:rPr>
          <w:bCs/>
          <w:lang w:val="en-US"/>
        </w:rPr>
        <w:t>ucation and</w:t>
      </w:r>
      <w:r w:rsidR="009E70F1" w:rsidRPr="00813D19">
        <w:rPr>
          <w:bCs/>
          <w:lang w:val="en-US"/>
        </w:rPr>
        <w:t xml:space="preserve"> transmitted</w:t>
      </w:r>
      <w:r w:rsidR="007511F6" w:rsidRPr="007511F6">
        <w:rPr>
          <w:bCs/>
          <w:lang w:val="en-US"/>
        </w:rPr>
        <w:t xml:space="preserve"> </w:t>
      </w:r>
      <w:r w:rsidR="007511F6" w:rsidRPr="00813D19">
        <w:rPr>
          <w:bCs/>
          <w:lang w:val="en-US"/>
        </w:rPr>
        <w:t>orally</w:t>
      </w:r>
      <w:r w:rsidR="009E70F1" w:rsidRPr="00813D19">
        <w:rPr>
          <w:bCs/>
          <w:lang w:val="en-US"/>
        </w:rPr>
        <w:t>. Nevertheless, in some cases</w:t>
      </w:r>
      <w:r w:rsidR="007E4430" w:rsidRPr="00813D19">
        <w:rPr>
          <w:bCs/>
          <w:lang w:val="en-US"/>
        </w:rPr>
        <w:t>,</w:t>
      </w:r>
      <w:r w:rsidR="009E70F1" w:rsidRPr="00813D19">
        <w:rPr>
          <w:bCs/>
          <w:lang w:val="en-US"/>
        </w:rPr>
        <w:t xml:space="preserve"> it </w:t>
      </w:r>
      <w:r w:rsidR="007511F6">
        <w:rPr>
          <w:bCs/>
          <w:lang w:val="en-US"/>
        </w:rPr>
        <w:t>was</w:t>
      </w:r>
      <w:r w:rsidR="007511F6" w:rsidRPr="00813D19">
        <w:rPr>
          <w:bCs/>
          <w:lang w:val="en-US"/>
        </w:rPr>
        <w:t xml:space="preserve"> </w:t>
      </w:r>
      <w:r w:rsidR="009E70F1" w:rsidRPr="00813D19">
        <w:rPr>
          <w:bCs/>
          <w:lang w:val="en-US"/>
        </w:rPr>
        <w:t>almost as accurate as the data and analysis of natural scientists and as reliable as the structures made by highly trained architects and engineers. At the same time</w:t>
      </w:r>
      <w:r w:rsidR="007E4430" w:rsidRPr="00813D19">
        <w:rPr>
          <w:bCs/>
          <w:lang w:val="en-US"/>
        </w:rPr>
        <w:t>,</w:t>
      </w:r>
      <w:r w:rsidR="009E70F1" w:rsidRPr="00813D19">
        <w:rPr>
          <w:bCs/>
          <w:lang w:val="en-US"/>
        </w:rPr>
        <w:t xml:space="preserve"> building new dry stone works and repairing the old ones fosters the formation of strong communal bonds among practitioners. </w:t>
      </w:r>
      <w:r w:rsidR="007E4430" w:rsidRPr="00813D19">
        <w:rPr>
          <w:bCs/>
          <w:lang w:val="en-US"/>
        </w:rPr>
        <w:t>The file indeed elaborated</w:t>
      </w:r>
      <w:r w:rsidR="009E70F1" w:rsidRPr="00813D19">
        <w:rPr>
          <w:bCs/>
          <w:lang w:val="en-US"/>
        </w:rPr>
        <w:t xml:space="preserve"> on the many merits </w:t>
      </w:r>
      <w:r w:rsidR="007E4430" w:rsidRPr="00813D19">
        <w:rPr>
          <w:bCs/>
          <w:lang w:val="en-US"/>
        </w:rPr>
        <w:t xml:space="preserve">of </w:t>
      </w:r>
      <w:r w:rsidR="009E70F1" w:rsidRPr="00813D19">
        <w:rPr>
          <w:bCs/>
          <w:lang w:val="en-US"/>
        </w:rPr>
        <w:t xml:space="preserve">the art of dry stone walling for </w:t>
      </w:r>
      <w:r w:rsidR="007E4430" w:rsidRPr="00813D19">
        <w:rPr>
          <w:bCs/>
          <w:lang w:val="en-US"/>
        </w:rPr>
        <w:t xml:space="preserve">the </w:t>
      </w:r>
      <w:r w:rsidR="009E70F1" w:rsidRPr="00813D19">
        <w:rPr>
          <w:bCs/>
          <w:lang w:val="en-US"/>
        </w:rPr>
        <w:t>sustainable management of natural resources</w:t>
      </w:r>
      <w:r w:rsidR="007E4430" w:rsidRPr="00813D19">
        <w:rPr>
          <w:bCs/>
          <w:lang w:val="en-US"/>
        </w:rPr>
        <w:t>,</w:t>
      </w:r>
      <w:r w:rsidR="009E70F1" w:rsidRPr="00813D19">
        <w:rPr>
          <w:bCs/>
          <w:lang w:val="en-US"/>
        </w:rPr>
        <w:t xml:space="preserve"> as well as for social cohesion. </w:t>
      </w:r>
      <w:r w:rsidR="007E4430" w:rsidRPr="00813D19">
        <w:rPr>
          <w:bCs/>
          <w:lang w:val="en-US"/>
        </w:rPr>
        <w:t xml:space="preserve">The delegation </w:t>
      </w:r>
      <w:r w:rsidR="009E70F1" w:rsidRPr="00813D19">
        <w:rPr>
          <w:bCs/>
          <w:lang w:val="en-US"/>
        </w:rPr>
        <w:t>invite</w:t>
      </w:r>
      <w:r w:rsidR="007E4430" w:rsidRPr="00813D19">
        <w:rPr>
          <w:bCs/>
          <w:lang w:val="en-US"/>
        </w:rPr>
        <w:t>d</w:t>
      </w:r>
      <w:r w:rsidR="009E70F1" w:rsidRPr="00813D19">
        <w:rPr>
          <w:bCs/>
          <w:lang w:val="en-US"/>
        </w:rPr>
        <w:t xml:space="preserve"> </w:t>
      </w:r>
      <w:r w:rsidR="007E4430" w:rsidRPr="00813D19">
        <w:rPr>
          <w:bCs/>
          <w:lang w:val="en-US"/>
        </w:rPr>
        <w:t xml:space="preserve">the delegates </w:t>
      </w:r>
      <w:r w:rsidR="009E70F1" w:rsidRPr="00813D19">
        <w:rPr>
          <w:bCs/>
          <w:lang w:val="en-US"/>
        </w:rPr>
        <w:t xml:space="preserve">to </w:t>
      </w:r>
      <w:r w:rsidR="007511F6">
        <w:rPr>
          <w:bCs/>
          <w:lang w:val="en-US"/>
        </w:rPr>
        <w:t>take</w:t>
      </w:r>
      <w:r w:rsidR="007511F6" w:rsidRPr="00813D19">
        <w:rPr>
          <w:bCs/>
          <w:lang w:val="en-US"/>
        </w:rPr>
        <w:t xml:space="preserve"> </w:t>
      </w:r>
      <w:r w:rsidR="009E70F1" w:rsidRPr="00813D19">
        <w:rPr>
          <w:bCs/>
          <w:lang w:val="en-US"/>
        </w:rPr>
        <w:t xml:space="preserve">a closer look at the documentation and </w:t>
      </w:r>
      <w:r w:rsidR="007E4430" w:rsidRPr="00813D19">
        <w:rPr>
          <w:bCs/>
          <w:lang w:val="en-US"/>
        </w:rPr>
        <w:t xml:space="preserve">was sure that other delegates would </w:t>
      </w:r>
      <w:r w:rsidR="009E70F1" w:rsidRPr="00813D19">
        <w:rPr>
          <w:bCs/>
          <w:lang w:val="en-US"/>
        </w:rPr>
        <w:t xml:space="preserve">realize </w:t>
      </w:r>
      <w:r w:rsidR="007E4430" w:rsidRPr="00813D19">
        <w:rPr>
          <w:bCs/>
          <w:lang w:val="en-US"/>
        </w:rPr>
        <w:t xml:space="preserve">the </w:t>
      </w:r>
      <w:r w:rsidR="009E70F1" w:rsidRPr="00813D19">
        <w:rPr>
          <w:bCs/>
          <w:lang w:val="en-US"/>
        </w:rPr>
        <w:t xml:space="preserve">practice </w:t>
      </w:r>
      <w:r w:rsidR="007E4430" w:rsidRPr="00813D19">
        <w:rPr>
          <w:bCs/>
          <w:lang w:val="en-US"/>
        </w:rPr>
        <w:t xml:space="preserve">of </w:t>
      </w:r>
      <w:r w:rsidR="009E70F1" w:rsidRPr="00813D19">
        <w:rPr>
          <w:bCs/>
          <w:lang w:val="en-US"/>
        </w:rPr>
        <w:t xml:space="preserve">dry stone walling </w:t>
      </w:r>
      <w:r w:rsidR="007E4430" w:rsidRPr="00813D19">
        <w:rPr>
          <w:bCs/>
          <w:lang w:val="en-US"/>
        </w:rPr>
        <w:t>in their own communities</w:t>
      </w:r>
      <w:r w:rsidR="009E70F1" w:rsidRPr="00813D19">
        <w:rPr>
          <w:bCs/>
          <w:lang w:val="en-US"/>
        </w:rPr>
        <w:t>. On behalf of the communities of the bearers in all eight States Parties</w:t>
      </w:r>
      <w:r w:rsidR="007E4430" w:rsidRPr="00813D19">
        <w:rPr>
          <w:bCs/>
          <w:lang w:val="en-US"/>
        </w:rPr>
        <w:t>,</w:t>
      </w:r>
      <w:r w:rsidR="009E70F1" w:rsidRPr="00813D19">
        <w:rPr>
          <w:bCs/>
          <w:lang w:val="en-US"/>
        </w:rPr>
        <w:t xml:space="preserve"> </w:t>
      </w:r>
      <w:r w:rsidR="007E4430" w:rsidRPr="00813D19">
        <w:rPr>
          <w:bCs/>
          <w:lang w:val="en-US"/>
        </w:rPr>
        <w:t xml:space="preserve">the delegation </w:t>
      </w:r>
      <w:r w:rsidR="009E70F1" w:rsidRPr="00813D19">
        <w:rPr>
          <w:bCs/>
          <w:lang w:val="en-US"/>
        </w:rPr>
        <w:t>invite</w:t>
      </w:r>
      <w:r w:rsidR="007E4430" w:rsidRPr="00813D19">
        <w:rPr>
          <w:bCs/>
          <w:lang w:val="en-US"/>
        </w:rPr>
        <w:t>d</w:t>
      </w:r>
      <w:r w:rsidR="009E70F1" w:rsidRPr="00813D19">
        <w:rPr>
          <w:bCs/>
          <w:lang w:val="en-US"/>
        </w:rPr>
        <w:t xml:space="preserve"> </w:t>
      </w:r>
      <w:r w:rsidR="007E4430" w:rsidRPr="00813D19">
        <w:rPr>
          <w:bCs/>
          <w:lang w:val="en-US"/>
        </w:rPr>
        <w:t xml:space="preserve">delegates </w:t>
      </w:r>
      <w:r w:rsidR="009E70F1" w:rsidRPr="00813D19">
        <w:rPr>
          <w:bCs/>
          <w:lang w:val="en-US"/>
        </w:rPr>
        <w:t xml:space="preserve">to participate in the next cycle in an enlargement of the inscribed element so that the inscription </w:t>
      </w:r>
      <w:r w:rsidR="007511F6">
        <w:rPr>
          <w:bCs/>
          <w:lang w:val="en-US"/>
        </w:rPr>
        <w:t>wou</w:t>
      </w:r>
      <w:r w:rsidR="007511F6" w:rsidRPr="00813D19">
        <w:rPr>
          <w:bCs/>
          <w:lang w:val="en-US"/>
        </w:rPr>
        <w:t>l</w:t>
      </w:r>
      <w:r w:rsidR="007511F6">
        <w:rPr>
          <w:bCs/>
          <w:lang w:val="en-US"/>
        </w:rPr>
        <w:t>d</w:t>
      </w:r>
      <w:r w:rsidR="007511F6" w:rsidRPr="00813D19">
        <w:rPr>
          <w:bCs/>
          <w:lang w:val="en-US"/>
        </w:rPr>
        <w:t xml:space="preserve"> </w:t>
      </w:r>
      <w:r w:rsidR="007E4430" w:rsidRPr="00813D19">
        <w:rPr>
          <w:bCs/>
          <w:lang w:val="en-US"/>
        </w:rPr>
        <w:t>reflect the</w:t>
      </w:r>
      <w:r w:rsidR="009E70F1" w:rsidRPr="00813D19">
        <w:rPr>
          <w:bCs/>
          <w:lang w:val="en-US"/>
        </w:rPr>
        <w:t xml:space="preserve"> </w:t>
      </w:r>
      <w:r w:rsidR="007E4430" w:rsidRPr="00813D19">
        <w:rPr>
          <w:bCs/>
          <w:lang w:val="en-US"/>
        </w:rPr>
        <w:t>ubiquity of the</w:t>
      </w:r>
      <w:r w:rsidR="009E70F1" w:rsidRPr="00813D19">
        <w:rPr>
          <w:bCs/>
          <w:lang w:val="en-US"/>
        </w:rPr>
        <w:t xml:space="preserve"> art of dry stone walling almost all over the world. </w:t>
      </w:r>
      <w:r w:rsidR="007E4430" w:rsidRPr="00813D19">
        <w:rPr>
          <w:bCs/>
          <w:lang w:val="en-US"/>
        </w:rPr>
        <w:t xml:space="preserve">The delegation </w:t>
      </w:r>
      <w:r w:rsidR="009E70F1" w:rsidRPr="00813D19">
        <w:rPr>
          <w:bCs/>
          <w:lang w:val="en-US"/>
        </w:rPr>
        <w:t>invite</w:t>
      </w:r>
      <w:r w:rsidR="007E4430" w:rsidRPr="00813D19">
        <w:rPr>
          <w:bCs/>
          <w:lang w:val="en-US"/>
        </w:rPr>
        <w:t xml:space="preserve">d the delegates </w:t>
      </w:r>
      <w:r w:rsidR="009E70F1" w:rsidRPr="00813D19">
        <w:rPr>
          <w:bCs/>
          <w:lang w:val="en-US"/>
        </w:rPr>
        <w:t xml:space="preserve">to watch a very short </w:t>
      </w:r>
      <w:r w:rsidR="009E70F1" w:rsidRPr="00E72560">
        <w:rPr>
          <w:bCs/>
          <w:lang w:val="en-US"/>
        </w:rPr>
        <w:t>movie created by participants in the 16</w:t>
      </w:r>
      <w:r w:rsidR="009E70F1" w:rsidRPr="003221D5">
        <w:rPr>
          <w:bCs/>
          <w:lang w:val="en-US"/>
        </w:rPr>
        <w:t>th</w:t>
      </w:r>
      <w:r w:rsidR="009E70F1" w:rsidRPr="00E72560">
        <w:rPr>
          <w:bCs/>
          <w:lang w:val="en-US"/>
        </w:rPr>
        <w:t xml:space="preserve"> </w:t>
      </w:r>
      <w:r w:rsidR="00DA5601" w:rsidRPr="00E72560">
        <w:rPr>
          <w:bCs/>
          <w:lang w:val="en-US"/>
        </w:rPr>
        <w:t xml:space="preserve">SPS </w:t>
      </w:r>
      <w:r w:rsidR="00A05944" w:rsidRPr="00E72560">
        <w:rPr>
          <w:bCs/>
          <w:lang w:val="en-US"/>
        </w:rPr>
        <w:t xml:space="preserve">International Congress on </w:t>
      </w:r>
      <w:r w:rsidR="00DA5601" w:rsidRPr="00E72560">
        <w:rPr>
          <w:bCs/>
          <w:lang w:val="en-US"/>
        </w:rPr>
        <w:t>Dry Stone Walling</w:t>
      </w:r>
      <w:r w:rsidR="00A05944" w:rsidRPr="00E72560">
        <w:rPr>
          <w:bCs/>
          <w:lang w:val="en-US"/>
        </w:rPr>
        <w:t xml:space="preserve">, </w:t>
      </w:r>
      <w:r w:rsidR="009E70F1" w:rsidRPr="00E72560">
        <w:rPr>
          <w:bCs/>
          <w:lang w:val="en-US"/>
        </w:rPr>
        <w:t xml:space="preserve">the biggest </w:t>
      </w:r>
      <w:r w:rsidR="007E4430" w:rsidRPr="00E72560">
        <w:rPr>
          <w:bCs/>
          <w:lang w:val="en-US"/>
        </w:rPr>
        <w:t xml:space="preserve">collaborating </w:t>
      </w:r>
      <w:r w:rsidR="009E70F1" w:rsidRPr="00E72560">
        <w:rPr>
          <w:bCs/>
          <w:lang w:val="en-US"/>
        </w:rPr>
        <w:t>international NGO</w:t>
      </w:r>
      <w:r w:rsidR="007E4430" w:rsidRPr="00E72560">
        <w:rPr>
          <w:bCs/>
          <w:lang w:val="en-US"/>
        </w:rPr>
        <w:t xml:space="preserve">, which </w:t>
      </w:r>
      <w:r w:rsidR="007511F6" w:rsidRPr="00E72560">
        <w:rPr>
          <w:bCs/>
          <w:lang w:val="en-US"/>
        </w:rPr>
        <w:t xml:space="preserve">had taken </w:t>
      </w:r>
      <w:r w:rsidR="009E70F1" w:rsidRPr="00E72560">
        <w:rPr>
          <w:bCs/>
          <w:lang w:val="en-US"/>
        </w:rPr>
        <w:t xml:space="preserve">place in Menorca in October </w:t>
      </w:r>
      <w:r w:rsidR="007E4430" w:rsidRPr="00E72560">
        <w:rPr>
          <w:bCs/>
          <w:lang w:val="en-US"/>
        </w:rPr>
        <w:t>2017.</w:t>
      </w:r>
    </w:p>
    <w:p w14:paraId="1A48D7CE" w14:textId="7CE469AF" w:rsidR="000C32CA" w:rsidRPr="00E72560" w:rsidRDefault="003B65E0" w:rsidP="00E72560">
      <w:pPr>
        <w:pStyle w:val="Orateurengris"/>
        <w:numPr>
          <w:ilvl w:val="0"/>
          <w:numId w:val="0"/>
        </w:numPr>
        <w:spacing w:before="240" w:after="240"/>
        <w:ind w:left="567" w:hanging="567"/>
        <w:jc w:val="center"/>
        <w:rPr>
          <w:rFonts w:eastAsia="Times New Roman"/>
          <w:i/>
          <w:lang w:val="en-US"/>
        </w:rPr>
      </w:pPr>
      <w:r w:rsidRPr="00E72560">
        <w:rPr>
          <w:i/>
          <w:lang w:val="en-US"/>
        </w:rPr>
        <w:t>[</w:t>
      </w:r>
      <w:r w:rsidR="00BA14F9" w:rsidRPr="00E72560">
        <w:rPr>
          <w:i/>
          <w:lang w:val="en-US"/>
        </w:rPr>
        <w:t>A short f</w:t>
      </w:r>
      <w:r w:rsidRPr="00E72560">
        <w:rPr>
          <w:i/>
          <w:lang w:val="en-US"/>
        </w:rPr>
        <w:t>ilm of</w:t>
      </w:r>
      <w:r w:rsidR="000C32CA" w:rsidRPr="00E72560">
        <w:rPr>
          <w:i/>
          <w:lang w:val="en-US"/>
        </w:rPr>
        <w:t xml:space="preserve"> </w:t>
      </w:r>
      <w:r w:rsidRPr="00E72560">
        <w:rPr>
          <w:i/>
          <w:lang w:val="en-US"/>
        </w:rPr>
        <w:t xml:space="preserve">bearers of the </w:t>
      </w:r>
      <w:r w:rsidR="00BA14F9" w:rsidRPr="00E72560">
        <w:rPr>
          <w:i/>
          <w:color w:val="000000" w:themeColor="text1"/>
          <w:lang w:val="en-US"/>
        </w:rPr>
        <w:t>Art of stonewalling was projected</w:t>
      </w:r>
      <w:r w:rsidR="000C32CA" w:rsidRPr="00E72560">
        <w:rPr>
          <w:i/>
          <w:lang w:val="en-US"/>
        </w:rPr>
        <w:t>]</w:t>
      </w:r>
    </w:p>
    <w:p w14:paraId="641A775B" w14:textId="429EF649" w:rsidR="00CE316F" w:rsidRPr="00E72560" w:rsidRDefault="00B17EE7" w:rsidP="00BE6431">
      <w:pPr>
        <w:pStyle w:val="Orateurengris"/>
        <w:spacing w:before="120"/>
        <w:ind w:left="709" w:hanging="709"/>
        <w:rPr>
          <w:rFonts w:eastAsia="Times New Roman"/>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7511F6">
        <w:rPr>
          <w:color w:val="000000" w:themeColor="text1"/>
          <w:lang w:val="en-US"/>
        </w:rPr>
        <w:t>,</w:t>
      </w:r>
      <w:r w:rsidRPr="00813D19">
        <w:rPr>
          <w:color w:val="000000" w:themeColor="text1"/>
          <w:lang w:val="en-US"/>
        </w:rPr>
        <w:t xml:space="preserve"> </w:t>
      </w:r>
      <w:r w:rsidRPr="00813D19">
        <w:rPr>
          <w:b/>
          <w:color w:val="000000" w:themeColor="text1"/>
          <w:lang w:val="en-US"/>
        </w:rPr>
        <w:t xml:space="preserve">Festivity of Las Parrandas in the centre of Cuba </w:t>
      </w:r>
      <w:r w:rsidRPr="00813D19">
        <w:rPr>
          <w:color w:val="000000" w:themeColor="text1"/>
          <w:lang w:val="en-US"/>
        </w:rPr>
        <w:t>[draft decision 13.COM 10.b.11]</w:t>
      </w:r>
      <w:r w:rsidR="007511F6">
        <w:rPr>
          <w:color w:val="000000" w:themeColor="text1"/>
          <w:lang w:val="en-US"/>
        </w:rPr>
        <w:t>,</w:t>
      </w:r>
      <w:r w:rsidRPr="00813D19">
        <w:rPr>
          <w:color w:val="000000" w:themeColor="text1"/>
          <w:lang w:val="en-US"/>
        </w:rPr>
        <w:t xml:space="preserve"> submitted by </w:t>
      </w:r>
      <w:r w:rsidRPr="00813D19">
        <w:rPr>
          <w:b/>
          <w:color w:val="000000" w:themeColor="text1"/>
          <w:lang w:val="en-US"/>
        </w:rPr>
        <w:t>Cuba</w:t>
      </w:r>
      <w:r w:rsidRPr="00813D19">
        <w:rPr>
          <w:color w:val="000000" w:themeColor="text1"/>
          <w:lang w:val="en-US"/>
        </w:rPr>
        <w:t>.</w:t>
      </w:r>
      <w:r w:rsidR="00BE6431" w:rsidRPr="00813D19">
        <w:rPr>
          <w:color w:val="000000" w:themeColor="text1"/>
          <w:lang w:val="en-US"/>
        </w:rPr>
        <w:t xml:space="preserve"> </w:t>
      </w:r>
      <w:r w:rsidR="00BE6431" w:rsidRPr="00813D19">
        <w:rPr>
          <w:lang w:val="en-US"/>
        </w:rPr>
        <w:t xml:space="preserve">Festivity of Las Parrandas was held for the first time in 1820 in the town of Remedios. It is now celebrated by </w:t>
      </w:r>
      <w:r w:rsidR="007511F6">
        <w:rPr>
          <w:lang w:val="en-US"/>
        </w:rPr>
        <w:t>eighteen</w:t>
      </w:r>
      <w:r w:rsidR="007511F6" w:rsidRPr="00813D19">
        <w:rPr>
          <w:lang w:val="en-US"/>
        </w:rPr>
        <w:t xml:space="preserve"> </w:t>
      </w:r>
      <w:r w:rsidR="00BE6431" w:rsidRPr="00813D19">
        <w:rPr>
          <w:lang w:val="en-US"/>
        </w:rPr>
        <w:t xml:space="preserve">communities in the centre of Cuba, mostly taking place towards the final months of the year. Everyone in the </w:t>
      </w:r>
      <w:r w:rsidR="007511F6">
        <w:rPr>
          <w:lang w:val="en-US"/>
        </w:rPr>
        <w:t xml:space="preserve">eighteen </w:t>
      </w:r>
      <w:r w:rsidR="00BE6431" w:rsidRPr="00813D19">
        <w:rPr>
          <w:lang w:val="en-US"/>
        </w:rPr>
        <w:t>communities, regardless of their social class, gender, age, rel</w:t>
      </w:r>
      <w:r w:rsidR="00312A01" w:rsidRPr="00813D19">
        <w:rPr>
          <w:lang w:val="en-US"/>
        </w:rPr>
        <w:t>igion, profession or background</w:t>
      </w:r>
      <w:r w:rsidR="007511F6">
        <w:rPr>
          <w:lang w:val="en-US"/>
        </w:rPr>
        <w:t>,</w:t>
      </w:r>
      <w:r w:rsidR="00BE6431" w:rsidRPr="00813D19">
        <w:rPr>
          <w:lang w:val="en-US"/>
        </w:rPr>
        <w:t xml:space="preserve"> is involved in the festivities. From the information included in th</w:t>
      </w:r>
      <w:r w:rsidR="007B73B9" w:rsidRPr="00813D19">
        <w:rPr>
          <w:lang w:val="en-US"/>
        </w:rPr>
        <w:t>e file, the nomination satisfied</w:t>
      </w:r>
      <w:r w:rsidR="00BE6431" w:rsidRPr="00813D19">
        <w:rPr>
          <w:lang w:val="en-US"/>
        </w:rPr>
        <w:t xml:space="preserve"> all five criteria. The Evaluation Body considered that</w:t>
      </w:r>
      <w:r w:rsidR="00BE6431" w:rsidRPr="00813D19">
        <w:rPr>
          <w:b/>
          <w:lang w:val="en-US"/>
        </w:rPr>
        <w:t xml:space="preserve"> </w:t>
      </w:r>
      <w:r w:rsidR="00BE6431" w:rsidRPr="00813D19">
        <w:rPr>
          <w:lang w:val="en-US"/>
        </w:rPr>
        <w:t>Festivity of Las Parrandas in the centre of Cuba involves many different categories of practitioners, whose strong identification with the element is demonstrated every year through their innovative creation of floats, decorations and other associated art</w:t>
      </w:r>
      <w:r w:rsidR="007B73B9" w:rsidRPr="00813D19">
        <w:rPr>
          <w:lang w:val="en-US"/>
        </w:rPr>
        <w:t>efacts. The element demonstrated</w:t>
      </w:r>
      <w:r w:rsidR="00BE6431" w:rsidRPr="00813D19">
        <w:rPr>
          <w:lang w:val="en-US"/>
        </w:rPr>
        <w:t xml:space="preserve"> the potential of intangible cultural heritage to integrate different skills, professions and cultural expressions aimed at facilitating intergenerational communication and cultural dialogue. A coherent set of </w:t>
      </w:r>
      <w:r w:rsidR="007B73B9" w:rsidRPr="00813D19">
        <w:rPr>
          <w:lang w:val="en-US"/>
        </w:rPr>
        <w:t xml:space="preserve">proposed </w:t>
      </w:r>
      <w:r w:rsidR="00BE6431" w:rsidRPr="00813D19">
        <w:rPr>
          <w:lang w:val="en-US"/>
        </w:rPr>
        <w:t xml:space="preserve">safeguarding measures </w:t>
      </w:r>
      <w:r w:rsidR="007B73B9" w:rsidRPr="00813D19">
        <w:rPr>
          <w:lang w:val="en-US"/>
        </w:rPr>
        <w:t>include</w:t>
      </w:r>
      <w:r w:rsidR="007511F6">
        <w:rPr>
          <w:lang w:val="en-US"/>
        </w:rPr>
        <w:t>d</w:t>
      </w:r>
      <w:r w:rsidR="00BE6431" w:rsidRPr="00813D19">
        <w:rPr>
          <w:lang w:val="en-US"/>
        </w:rPr>
        <w:t xml:space="preserve"> documentation, in-depth research into the social and cultural context of the element, and popularization and promotional activities. The practitioners </w:t>
      </w:r>
      <w:r w:rsidR="007511F6">
        <w:rPr>
          <w:lang w:val="en-US"/>
        </w:rPr>
        <w:t xml:space="preserve">had </w:t>
      </w:r>
      <w:r w:rsidR="00BE6431" w:rsidRPr="00813D19">
        <w:rPr>
          <w:lang w:val="en-US"/>
        </w:rPr>
        <w:t>initiated the nomination process and actively participated through workshops and educational activities. The Evaluation Body remind</w:t>
      </w:r>
      <w:r w:rsidR="007B73B9" w:rsidRPr="00813D19">
        <w:rPr>
          <w:lang w:val="en-US"/>
        </w:rPr>
        <w:t>ed</w:t>
      </w:r>
      <w:r w:rsidR="00BE6431" w:rsidRPr="00813D19">
        <w:rPr>
          <w:lang w:val="en-US"/>
        </w:rPr>
        <w:t xml:space="preserve"> the State Party that updating is an important part of the </w:t>
      </w:r>
      <w:r w:rsidR="007B73B9" w:rsidRPr="00813D19">
        <w:rPr>
          <w:lang w:val="en-US"/>
        </w:rPr>
        <w:t>inventorying process and invited</w:t>
      </w:r>
      <w:r w:rsidR="00BE6431" w:rsidRPr="00813D19">
        <w:rPr>
          <w:lang w:val="en-US"/>
        </w:rPr>
        <w:t xml:space="preserve"> it to include detailed information concerning this aspect in its next periodic report. </w:t>
      </w:r>
      <w:r w:rsidR="007B73B9" w:rsidRPr="00813D19">
        <w:rPr>
          <w:lang w:val="en-US"/>
        </w:rPr>
        <w:t>The Evaluation Body recommended</w:t>
      </w:r>
      <w:r w:rsidR="00BE6431" w:rsidRPr="00813D19">
        <w:rPr>
          <w:lang w:val="en-US"/>
        </w:rPr>
        <w:t xml:space="preserve"> that the Committee inscribe Festivity of Las Parrandas in the centre of Cuba on the Representative </w:t>
      </w:r>
      <w:r w:rsidR="00BE6431" w:rsidRPr="00E72560">
        <w:rPr>
          <w:lang w:val="en-US"/>
        </w:rPr>
        <w:t>List.</w:t>
      </w:r>
    </w:p>
    <w:p w14:paraId="13A8B694" w14:textId="77777777" w:rsidR="00BE6431" w:rsidRPr="00E72560" w:rsidRDefault="00BE6431" w:rsidP="00BE6431">
      <w:pPr>
        <w:pStyle w:val="Orateurengris"/>
        <w:spacing w:before="120"/>
        <w:ind w:left="709" w:hanging="709"/>
        <w:rPr>
          <w:lang w:val="en-US"/>
        </w:rPr>
      </w:pPr>
      <w:r w:rsidRPr="00E72560">
        <w:rPr>
          <w:lang w:val="en-US"/>
        </w:rPr>
        <w:t xml:space="preserve">The </w:t>
      </w:r>
      <w:r w:rsidRPr="00E72560">
        <w:rPr>
          <w:b/>
          <w:lang w:val="en-US"/>
        </w:rPr>
        <w:t>Chairperson</w:t>
      </w:r>
      <w:r w:rsidRPr="00E72560">
        <w:rPr>
          <w:lang w:val="en-US"/>
        </w:rPr>
        <w:t xml:space="preserve"> noted that no amendments had been received </w:t>
      </w:r>
      <w:r w:rsidRPr="00E72560">
        <w:rPr>
          <w:color w:val="000000" w:themeColor="text1"/>
          <w:lang w:val="en-US"/>
        </w:rPr>
        <w:t>for this nomination.</w:t>
      </w:r>
    </w:p>
    <w:p w14:paraId="4BF13A6E" w14:textId="675B285B" w:rsidR="00217D68" w:rsidRPr="00E72560" w:rsidRDefault="00BE6431" w:rsidP="00BE6431">
      <w:pPr>
        <w:pStyle w:val="Orateurengris"/>
        <w:spacing w:before="120"/>
        <w:ind w:left="709" w:hanging="709"/>
        <w:rPr>
          <w:rFonts w:eastAsia="Times New Roman"/>
          <w:lang w:val="en-US"/>
        </w:rPr>
      </w:pPr>
      <w:r w:rsidRPr="00E72560">
        <w:rPr>
          <w:rFonts w:eastAsia="Calibri"/>
          <w:color w:val="000000" w:themeColor="text1"/>
          <w:lang w:val="en-US"/>
        </w:rPr>
        <w:t>Turning to the draft decision as a whole,</w:t>
      </w:r>
      <w:r w:rsidRPr="00E72560">
        <w:rPr>
          <w:lang w:val="en-US"/>
        </w:rPr>
        <w:t xml:space="preserve"> the </w:t>
      </w:r>
      <w:r w:rsidR="00217D68" w:rsidRPr="00E72560">
        <w:rPr>
          <w:b/>
          <w:lang w:val="en-US"/>
        </w:rPr>
        <w:t xml:space="preserve">Chairperson declared Decision </w:t>
      </w:r>
      <w:hyperlink r:id="rId112" w:history="1">
        <w:r w:rsidR="00217D68" w:rsidRPr="00E72560">
          <w:rPr>
            <w:rStyle w:val="Hyperlink"/>
            <w:b/>
            <w:lang w:val="en-US"/>
          </w:rPr>
          <w:t>13.COM</w:t>
        </w:r>
        <w:r w:rsidR="00992896">
          <w:rPr>
            <w:rStyle w:val="Hyperlink"/>
            <w:b/>
            <w:lang w:val="en-US"/>
          </w:rPr>
          <w:t> </w:t>
        </w:r>
        <w:r w:rsidR="00217D68" w:rsidRPr="00E72560">
          <w:rPr>
            <w:rStyle w:val="Hyperlink"/>
            <w:b/>
            <w:lang w:val="en-US"/>
          </w:rPr>
          <w:t>10.b.11</w:t>
        </w:r>
      </w:hyperlink>
      <w:r w:rsidR="00217D68" w:rsidRPr="00E72560">
        <w:rPr>
          <w:b/>
          <w:lang w:val="en-US"/>
        </w:rPr>
        <w:t xml:space="preserve"> adopted to inscribe </w:t>
      </w:r>
      <w:r w:rsidR="00217D68" w:rsidRPr="00E72560">
        <w:rPr>
          <w:b/>
          <w:color w:val="000000" w:themeColor="text1"/>
          <w:lang w:val="en-US"/>
        </w:rPr>
        <w:t>Festivity of Las Parrandas in the centre of Cuba on the Representative List</w:t>
      </w:r>
      <w:r w:rsidR="00217D68" w:rsidRPr="00E72560">
        <w:rPr>
          <w:bCs/>
          <w:snapToGrid/>
          <w:color w:val="000000" w:themeColor="text1"/>
          <w:lang w:val="en-US"/>
        </w:rPr>
        <w:t>.</w:t>
      </w:r>
    </w:p>
    <w:p w14:paraId="49968D80" w14:textId="48EBE22D" w:rsidR="00217D68" w:rsidRPr="00813D19" w:rsidRDefault="00D223C6" w:rsidP="00B17EE7">
      <w:pPr>
        <w:pStyle w:val="Orateurengris"/>
        <w:spacing w:before="120"/>
        <w:ind w:left="709" w:hanging="709"/>
        <w:rPr>
          <w:lang w:val="en-US"/>
        </w:rPr>
      </w:pPr>
      <w:r w:rsidRPr="00E72560">
        <w:rPr>
          <w:lang w:val="en-US"/>
        </w:rPr>
        <w:t xml:space="preserve">The </w:t>
      </w:r>
      <w:r w:rsidRPr="00E72560">
        <w:rPr>
          <w:b/>
          <w:lang w:val="en-US"/>
        </w:rPr>
        <w:t>delegation of Cuba</w:t>
      </w:r>
      <w:r w:rsidR="00A62A91" w:rsidRPr="00E72560">
        <w:rPr>
          <w:b/>
          <w:lang w:val="en-US"/>
        </w:rPr>
        <w:t xml:space="preserve"> </w:t>
      </w:r>
      <w:r w:rsidR="004E4D51" w:rsidRPr="00E72560">
        <w:rPr>
          <w:lang w:val="en-US"/>
        </w:rPr>
        <w:t>was</w:t>
      </w:r>
      <w:r w:rsidR="004E4D51" w:rsidRPr="00E72560">
        <w:rPr>
          <w:b/>
          <w:lang w:val="en-US"/>
        </w:rPr>
        <w:t xml:space="preserve"> </w:t>
      </w:r>
      <w:r w:rsidR="009E70F1" w:rsidRPr="00E72560">
        <w:rPr>
          <w:bCs/>
          <w:lang w:val="en-US"/>
        </w:rPr>
        <w:t>particul</w:t>
      </w:r>
      <w:r w:rsidR="004E4D51" w:rsidRPr="00E72560">
        <w:rPr>
          <w:bCs/>
          <w:lang w:val="en-US"/>
        </w:rPr>
        <w:t>arly gratified</w:t>
      </w:r>
      <w:r w:rsidR="009E70F1" w:rsidRPr="00E72560">
        <w:rPr>
          <w:bCs/>
          <w:lang w:val="en-US"/>
        </w:rPr>
        <w:t xml:space="preserve"> </w:t>
      </w:r>
      <w:r w:rsidR="007511F6" w:rsidRPr="00E72560">
        <w:rPr>
          <w:bCs/>
          <w:lang w:val="en-US"/>
        </w:rPr>
        <w:t xml:space="preserve">by </w:t>
      </w:r>
      <w:r w:rsidR="004E4D51" w:rsidRPr="00E72560">
        <w:rPr>
          <w:bCs/>
          <w:lang w:val="en-US"/>
        </w:rPr>
        <w:t xml:space="preserve">the </w:t>
      </w:r>
      <w:r w:rsidR="009E70F1" w:rsidRPr="00E72560">
        <w:rPr>
          <w:bCs/>
          <w:lang w:val="en-US"/>
        </w:rPr>
        <w:t xml:space="preserve">very good news </w:t>
      </w:r>
      <w:r w:rsidR="004E4D51" w:rsidRPr="00E72560">
        <w:rPr>
          <w:bCs/>
          <w:lang w:val="en-US"/>
        </w:rPr>
        <w:t xml:space="preserve">to have the </w:t>
      </w:r>
      <w:r w:rsidR="00B771D9" w:rsidRPr="00E72560">
        <w:rPr>
          <w:bCs/>
          <w:lang w:val="en-US"/>
        </w:rPr>
        <w:t xml:space="preserve">element </w:t>
      </w:r>
      <w:r w:rsidR="004E4D51" w:rsidRPr="00E72560">
        <w:rPr>
          <w:bCs/>
          <w:lang w:val="en-US"/>
        </w:rPr>
        <w:t>inscribed</w:t>
      </w:r>
      <w:r w:rsidR="009E70F1" w:rsidRPr="00E72560">
        <w:rPr>
          <w:bCs/>
          <w:lang w:val="en-US"/>
        </w:rPr>
        <w:t xml:space="preserve"> </w:t>
      </w:r>
      <w:r w:rsidR="00B771D9" w:rsidRPr="00E72560">
        <w:rPr>
          <w:bCs/>
          <w:lang w:val="en-US"/>
        </w:rPr>
        <w:t xml:space="preserve">on </w:t>
      </w:r>
      <w:r w:rsidR="009E70F1" w:rsidRPr="00E72560">
        <w:rPr>
          <w:bCs/>
          <w:lang w:val="en-US"/>
        </w:rPr>
        <w:t>the Representative List. These festivities promote the cultural identity of the central Cuban communities characterized by the friendly rivalry between the two different districts. These festivities have become a place for cultural dialogue</w:t>
      </w:r>
      <w:r w:rsidR="00B771D9" w:rsidRPr="00E72560">
        <w:rPr>
          <w:bCs/>
          <w:lang w:val="en-US"/>
        </w:rPr>
        <w:t xml:space="preserve"> and</w:t>
      </w:r>
      <w:r w:rsidR="009E70F1" w:rsidRPr="00E72560">
        <w:rPr>
          <w:bCs/>
          <w:lang w:val="en-US"/>
        </w:rPr>
        <w:t xml:space="preserve"> for affirming one’s identity. </w:t>
      </w:r>
      <w:r w:rsidR="009E70F1" w:rsidRPr="00E72560">
        <w:rPr>
          <w:lang w:val="en-US"/>
        </w:rPr>
        <w:t xml:space="preserve">Las Parrandas </w:t>
      </w:r>
      <w:r w:rsidR="00B771D9" w:rsidRPr="00E72560">
        <w:rPr>
          <w:lang w:val="en-US"/>
        </w:rPr>
        <w:t xml:space="preserve">is </w:t>
      </w:r>
      <w:r w:rsidR="009E70F1" w:rsidRPr="00E72560">
        <w:rPr>
          <w:lang w:val="en-US"/>
        </w:rPr>
        <w:t xml:space="preserve">a particularly popular festival organized by and for the people. The number of supporters, their involvement in designing and preparing the decorations, the floats and all the other paraphernalia involve </w:t>
      </w:r>
      <w:r w:rsidR="00B771D9" w:rsidRPr="00E72560">
        <w:rPr>
          <w:lang w:val="en-US"/>
        </w:rPr>
        <w:t>everyone</w:t>
      </w:r>
      <w:r w:rsidR="009E70F1" w:rsidRPr="00E72560">
        <w:rPr>
          <w:lang w:val="en-US"/>
        </w:rPr>
        <w:t xml:space="preserve">. It is </w:t>
      </w:r>
      <w:r w:rsidR="006751A7" w:rsidRPr="00E72560">
        <w:rPr>
          <w:lang w:val="en-US"/>
        </w:rPr>
        <w:t>a</w:t>
      </w:r>
      <w:r w:rsidR="009E70F1" w:rsidRPr="00E72560">
        <w:rPr>
          <w:lang w:val="en-US"/>
        </w:rPr>
        <w:t xml:space="preserve"> major fiesta in which </w:t>
      </w:r>
      <w:r w:rsidR="00B771D9" w:rsidRPr="00E72560">
        <w:rPr>
          <w:lang w:val="en-US"/>
        </w:rPr>
        <w:t xml:space="preserve">there is </w:t>
      </w:r>
      <w:r w:rsidR="009E70F1" w:rsidRPr="00E72560">
        <w:rPr>
          <w:lang w:val="en-US"/>
        </w:rPr>
        <w:t>music, dance and the replicas of monuments</w:t>
      </w:r>
      <w:r w:rsidR="00B771D9" w:rsidRPr="00E72560">
        <w:rPr>
          <w:lang w:val="en-US"/>
        </w:rPr>
        <w:t>,</w:t>
      </w:r>
      <w:r w:rsidR="009E70F1" w:rsidRPr="00E72560">
        <w:rPr>
          <w:lang w:val="en-US"/>
        </w:rPr>
        <w:t xml:space="preserve"> and costumes for </w:t>
      </w:r>
      <w:r w:rsidR="007511F6" w:rsidRPr="00E72560">
        <w:rPr>
          <w:lang w:val="en-US"/>
        </w:rPr>
        <w:t>everyone</w:t>
      </w:r>
      <w:r w:rsidR="009E70F1" w:rsidRPr="00E72560">
        <w:rPr>
          <w:lang w:val="en-US"/>
        </w:rPr>
        <w:t xml:space="preserve"> who </w:t>
      </w:r>
      <w:r w:rsidR="007511F6" w:rsidRPr="00E72560">
        <w:rPr>
          <w:lang w:val="en-US"/>
        </w:rPr>
        <w:t xml:space="preserve">would </w:t>
      </w:r>
      <w:r w:rsidR="009E70F1" w:rsidRPr="00E72560">
        <w:rPr>
          <w:lang w:val="en-US"/>
        </w:rPr>
        <w:t xml:space="preserve">be taking part in the procession. </w:t>
      </w:r>
      <w:r w:rsidR="00B771D9" w:rsidRPr="00E72560">
        <w:rPr>
          <w:lang w:val="en-US"/>
        </w:rPr>
        <w:t xml:space="preserve">Every </w:t>
      </w:r>
      <w:r w:rsidR="009E70F1" w:rsidRPr="00E72560">
        <w:rPr>
          <w:lang w:val="en-US"/>
        </w:rPr>
        <w:t xml:space="preserve">group makes some kind of allegorical statement about what is </w:t>
      </w:r>
      <w:r w:rsidR="00B771D9" w:rsidRPr="00E72560">
        <w:rPr>
          <w:lang w:val="en-US"/>
        </w:rPr>
        <w:t xml:space="preserve">happening </w:t>
      </w:r>
      <w:r w:rsidR="009E70F1" w:rsidRPr="00E72560">
        <w:rPr>
          <w:lang w:val="en-US"/>
        </w:rPr>
        <w:t>in the district and it is a place</w:t>
      </w:r>
      <w:r w:rsidR="009E70F1" w:rsidRPr="00813D19">
        <w:rPr>
          <w:lang w:val="en-US"/>
        </w:rPr>
        <w:t xml:space="preserve"> for coming together, for dia</w:t>
      </w:r>
      <w:r w:rsidR="00B771D9" w:rsidRPr="00813D19">
        <w:rPr>
          <w:lang w:val="en-US"/>
        </w:rPr>
        <w:t>logue and tolerance in the cent</w:t>
      </w:r>
      <w:r w:rsidR="009E70F1" w:rsidRPr="00813D19">
        <w:rPr>
          <w:lang w:val="en-US"/>
        </w:rPr>
        <w:t>r</w:t>
      </w:r>
      <w:r w:rsidR="00B771D9" w:rsidRPr="00813D19">
        <w:rPr>
          <w:lang w:val="en-US"/>
        </w:rPr>
        <w:t>e</w:t>
      </w:r>
      <w:r w:rsidR="009E70F1" w:rsidRPr="00813D19">
        <w:rPr>
          <w:lang w:val="en-US"/>
        </w:rPr>
        <w:t xml:space="preserve"> of Cuba. The fireworks are launched throughout the celebrations </w:t>
      </w:r>
      <w:r w:rsidR="00B771D9" w:rsidRPr="00813D19">
        <w:rPr>
          <w:lang w:val="en-US"/>
        </w:rPr>
        <w:t xml:space="preserve">and </w:t>
      </w:r>
      <w:r w:rsidR="009E70F1" w:rsidRPr="00813D19">
        <w:rPr>
          <w:lang w:val="en-US"/>
        </w:rPr>
        <w:t xml:space="preserve">are a major part of the fun. All </w:t>
      </w:r>
      <w:r w:rsidR="00B771D9" w:rsidRPr="00813D19">
        <w:rPr>
          <w:lang w:val="en-US"/>
        </w:rPr>
        <w:t>those who have made this success</w:t>
      </w:r>
      <w:r w:rsidR="009E70F1" w:rsidRPr="00813D19">
        <w:rPr>
          <w:lang w:val="en-US"/>
        </w:rPr>
        <w:t xml:space="preserve"> possible deserve</w:t>
      </w:r>
      <w:r w:rsidR="00B771D9" w:rsidRPr="00813D19">
        <w:rPr>
          <w:lang w:val="en-US"/>
        </w:rPr>
        <w:t>d</w:t>
      </w:r>
      <w:r w:rsidR="009E70F1" w:rsidRPr="00813D19">
        <w:rPr>
          <w:lang w:val="en-US"/>
        </w:rPr>
        <w:t xml:space="preserve"> thanks</w:t>
      </w:r>
      <w:r w:rsidR="00B771D9" w:rsidRPr="00813D19">
        <w:rPr>
          <w:lang w:val="en-US"/>
        </w:rPr>
        <w:t>;</w:t>
      </w:r>
      <w:r w:rsidR="009E70F1" w:rsidRPr="00813D19">
        <w:rPr>
          <w:lang w:val="en-US"/>
        </w:rPr>
        <w:t xml:space="preserve"> from those who offered their support to the project </w:t>
      </w:r>
      <w:r w:rsidR="00B771D9" w:rsidRPr="00813D19">
        <w:rPr>
          <w:lang w:val="en-US"/>
        </w:rPr>
        <w:t xml:space="preserve">to </w:t>
      </w:r>
      <w:r w:rsidR="009E70F1" w:rsidRPr="00813D19">
        <w:rPr>
          <w:lang w:val="en-US"/>
        </w:rPr>
        <w:t xml:space="preserve">those who </w:t>
      </w:r>
      <w:r w:rsidR="006751A7" w:rsidRPr="00813D19">
        <w:rPr>
          <w:lang w:val="en-US"/>
        </w:rPr>
        <w:t xml:space="preserve">were </w:t>
      </w:r>
      <w:r w:rsidR="00B771D9" w:rsidRPr="00813D19">
        <w:rPr>
          <w:lang w:val="en-US"/>
        </w:rPr>
        <w:t>involved at the grassroots level, and a</w:t>
      </w:r>
      <w:r w:rsidR="009E70F1" w:rsidRPr="00813D19">
        <w:rPr>
          <w:lang w:val="en-US"/>
        </w:rPr>
        <w:t>ll the people, institutions and</w:t>
      </w:r>
      <w:r w:rsidR="00B771D9" w:rsidRPr="00813D19">
        <w:rPr>
          <w:lang w:val="en-US"/>
        </w:rPr>
        <w:t>,</w:t>
      </w:r>
      <w:r w:rsidR="009E70F1" w:rsidRPr="00813D19">
        <w:rPr>
          <w:lang w:val="en-US"/>
        </w:rPr>
        <w:t xml:space="preserve"> in particular</w:t>
      </w:r>
      <w:r w:rsidR="00B771D9" w:rsidRPr="00813D19">
        <w:rPr>
          <w:lang w:val="en-US"/>
        </w:rPr>
        <w:t>,</w:t>
      </w:r>
      <w:r w:rsidR="009E70F1" w:rsidRPr="00813D19">
        <w:rPr>
          <w:lang w:val="en-US"/>
        </w:rPr>
        <w:t xml:space="preserve"> the board of Las Parrandas who </w:t>
      </w:r>
      <w:r w:rsidR="00B771D9" w:rsidRPr="00813D19">
        <w:rPr>
          <w:lang w:val="en-US"/>
        </w:rPr>
        <w:t>strongly supported this inscription</w:t>
      </w:r>
      <w:r w:rsidR="00E72560">
        <w:rPr>
          <w:lang w:val="en-US"/>
        </w:rPr>
        <w:t>.</w:t>
      </w:r>
    </w:p>
    <w:p w14:paraId="579D16FF" w14:textId="0354893A" w:rsidR="00B42B93" w:rsidRPr="00813D19" w:rsidRDefault="00B42B93" w:rsidP="00E72560">
      <w:pPr>
        <w:pStyle w:val="Orateurengris"/>
        <w:numPr>
          <w:ilvl w:val="0"/>
          <w:numId w:val="0"/>
        </w:numPr>
        <w:spacing w:before="240" w:after="240"/>
        <w:jc w:val="center"/>
        <w:rPr>
          <w:i/>
          <w:lang w:val="en-US"/>
        </w:rPr>
      </w:pPr>
      <w:r w:rsidRPr="00813D19">
        <w:rPr>
          <w:i/>
          <w:lang w:val="en-US"/>
        </w:rPr>
        <w:t>[</w:t>
      </w:r>
      <w:r w:rsidR="00BA14F9" w:rsidRPr="00813D19">
        <w:rPr>
          <w:i/>
          <w:lang w:val="en-US"/>
        </w:rPr>
        <w:t>A short f</w:t>
      </w:r>
      <w:r w:rsidRPr="00813D19">
        <w:rPr>
          <w:i/>
          <w:lang w:val="en-US"/>
        </w:rPr>
        <w:t xml:space="preserve">ilm of </w:t>
      </w:r>
      <w:r w:rsidR="00BE6431" w:rsidRPr="00813D19">
        <w:rPr>
          <w:i/>
          <w:lang w:val="en-US"/>
        </w:rPr>
        <w:t xml:space="preserve">the </w:t>
      </w:r>
      <w:r w:rsidRPr="00813D19">
        <w:rPr>
          <w:i/>
          <w:color w:val="000000" w:themeColor="text1"/>
          <w:lang w:val="en-US"/>
        </w:rPr>
        <w:t>Festivity of Las Parrandas</w:t>
      </w:r>
      <w:r w:rsidR="00BA14F9" w:rsidRPr="00813D19">
        <w:rPr>
          <w:i/>
          <w:color w:val="000000" w:themeColor="text1"/>
          <w:lang w:val="en-US"/>
        </w:rPr>
        <w:t xml:space="preserve"> was projected</w:t>
      </w:r>
      <w:r w:rsidRPr="00813D19">
        <w:rPr>
          <w:i/>
          <w:color w:val="000000" w:themeColor="text1"/>
          <w:lang w:val="en-US"/>
        </w:rPr>
        <w:t>]</w:t>
      </w:r>
    </w:p>
    <w:p w14:paraId="680E442B" w14:textId="0468C64A" w:rsidR="00AF4210" w:rsidRPr="00E72560" w:rsidRDefault="00B17EE7" w:rsidP="00AF4210">
      <w:pPr>
        <w:pStyle w:val="Orateurengris"/>
        <w:spacing w:before="120"/>
        <w:ind w:left="709" w:hanging="709"/>
        <w:rPr>
          <w:rFonts w:eastAsia="Times New Roman"/>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712889">
        <w:rPr>
          <w:color w:val="000000" w:themeColor="text1"/>
          <w:lang w:val="en-US"/>
        </w:rPr>
        <w:t>,</w:t>
      </w:r>
      <w:r w:rsidRPr="00813D19">
        <w:rPr>
          <w:color w:val="000000" w:themeColor="text1"/>
          <w:lang w:val="en-US"/>
        </w:rPr>
        <w:t xml:space="preserve"> </w:t>
      </w:r>
      <w:r w:rsidRPr="00813D19">
        <w:rPr>
          <w:b/>
          <w:color w:val="000000" w:themeColor="text1"/>
          <w:lang w:val="en-US"/>
        </w:rPr>
        <w:t xml:space="preserve">Handmade production of Christmas tree decorations from blown glass beads </w:t>
      </w:r>
      <w:r w:rsidRPr="00813D19">
        <w:rPr>
          <w:color w:val="000000" w:themeColor="text1"/>
          <w:lang w:val="en-US"/>
        </w:rPr>
        <w:t>[draft decision 13.COM 10.b.12]</w:t>
      </w:r>
      <w:r w:rsidR="00712889">
        <w:rPr>
          <w:color w:val="000000" w:themeColor="text1"/>
          <w:lang w:val="en-US"/>
        </w:rPr>
        <w:t>,</w:t>
      </w:r>
      <w:r w:rsidRPr="00813D19">
        <w:rPr>
          <w:color w:val="000000" w:themeColor="text1"/>
          <w:lang w:val="en-US"/>
        </w:rPr>
        <w:t xml:space="preserve"> submitted by </w:t>
      </w:r>
      <w:r w:rsidRPr="00813D19">
        <w:rPr>
          <w:b/>
          <w:color w:val="000000" w:themeColor="text1"/>
          <w:lang w:val="en-US"/>
        </w:rPr>
        <w:t>Czechia</w:t>
      </w:r>
      <w:r w:rsidRPr="00813D19">
        <w:rPr>
          <w:color w:val="000000" w:themeColor="text1"/>
          <w:lang w:val="en-US"/>
        </w:rPr>
        <w:t xml:space="preserve">. </w:t>
      </w:r>
      <w:r w:rsidR="00AF4210" w:rsidRPr="00813D19">
        <w:rPr>
          <w:lang w:val="en-US"/>
        </w:rPr>
        <w:t>The handmade production of Christmas tree decorations from blown glass beads is a traditional practice connected with gl</w:t>
      </w:r>
      <w:r w:rsidR="004914E1" w:rsidRPr="00813D19">
        <w:rPr>
          <w:lang w:val="en-US"/>
        </w:rPr>
        <w:t>ass production in North Bohemia</w:t>
      </w:r>
      <w:r w:rsidR="00AF4210" w:rsidRPr="00813D19">
        <w:rPr>
          <w:lang w:val="en-US"/>
        </w:rPr>
        <w:t xml:space="preserve"> where blown glass beads have been produced since the late eighteenth century. Besides providing bearers with a source of income, the practice strengthens family relations and encourages intergenerational relationships. From the information included in the file, the nomin</w:t>
      </w:r>
      <w:r w:rsidR="00FC22FC" w:rsidRPr="00813D19">
        <w:rPr>
          <w:lang w:val="en-US"/>
        </w:rPr>
        <w:t>ation satisfied</w:t>
      </w:r>
      <w:r w:rsidR="00AF4210" w:rsidRPr="00813D19">
        <w:rPr>
          <w:lang w:val="en-US"/>
        </w:rPr>
        <w:t xml:space="preserve"> criteria R.3 and R.5. The submitting State </w:t>
      </w:r>
      <w:r w:rsidR="00FC22FC" w:rsidRPr="00813D19">
        <w:rPr>
          <w:lang w:val="en-US"/>
        </w:rPr>
        <w:t xml:space="preserve">had </w:t>
      </w:r>
      <w:r w:rsidR="00AF4210" w:rsidRPr="00813D19">
        <w:rPr>
          <w:lang w:val="en-US"/>
        </w:rPr>
        <w:t xml:space="preserve">demonstrated how the viability of the element </w:t>
      </w:r>
      <w:r w:rsidR="00712889">
        <w:rPr>
          <w:lang w:val="en-US"/>
        </w:rPr>
        <w:t>was</w:t>
      </w:r>
      <w:r w:rsidR="00712889" w:rsidRPr="00813D19">
        <w:rPr>
          <w:lang w:val="en-US"/>
        </w:rPr>
        <w:t xml:space="preserve"> </w:t>
      </w:r>
      <w:r w:rsidR="00AF4210" w:rsidRPr="00813D19">
        <w:rPr>
          <w:lang w:val="en-US"/>
        </w:rPr>
        <w:t>being ensured through a variety of safeguarding measures, ranging from inventorying initiatives to exhibitions and awarenes</w:t>
      </w:r>
      <w:r w:rsidR="00FC22FC" w:rsidRPr="00813D19">
        <w:rPr>
          <w:lang w:val="en-US"/>
        </w:rPr>
        <w:t>s-raising. The file demonstrated</w:t>
      </w:r>
      <w:r w:rsidR="00AF4210" w:rsidRPr="00813D19">
        <w:rPr>
          <w:lang w:val="en-US"/>
        </w:rPr>
        <w:t xml:space="preserve"> the State’s commitment to supporting the safeguarding of the element, through </w:t>
      </w:r>
      <w:r w:rsidR="00712889">
        <w:rPr>
          <w:lang w:val="en-US"/>
        </w:rPr>
        <w:t xml:space="preserve">the </w:t>
      </w:r>
      <w:r w:rsidR="00AF4210" w:rsidRPr="00813D19">
        <w:rPr>
          <w:lang w:val="en-US"/>
        </w:rPr>
        <w:t xml:space="preserve">provision of financial resources and </w:t>
      </w:r>
      <w:r w:rsidR="00FC22FC" w:rsidRPr="00813D19">
        <w:rPr>
          <w:lang w:val="en-US"/>
        </w:rPr>
        <w:t xml:space="preserve">the </w:t>
      </w:r>
      <w:r w:rsidR="00AF4210" w:rsidRPr="00813D19">
        <w:rPr>
          <w:lang w:val="en-US"/>
        </w:rPr>
        <w:t>development of a policy framework. The element was identified with the participation of the communities concerned.</w:t>
      </w:r>
      <w:r w:rsidR="00AF4210" w:rsidRPr="00813D19">
        <w:rPr>
          <w:noProof/>
          <w:lang w:val="en-US"/>
        </w:rPr>
        <w:t xml:space="preserve"> However, the Evaluation Body considered that the information </w:t>
      </w:r>
      <w:r w:rsidR="00FC22FC" w:rsidRPr="00813D19">
        <w:rPr>
          <w:noProof/>
          <w:lang w:val="en-US"/>
        </w:rPr>
        <w:t>was</w:t>
      </w:r>
      <w:r w:rsidR="00AF4210" w:rsidRPr="00813D19">
        <w:rPr>
          <w:noProof/>
          <w:lang w:val="en-US"/>
        </w:rPr>
        <w:t xml:space="preserve"> not sufficient to assess criteria R.1, R.2 and R.4.</w:t>
      </w:r>
      <w:r w:rsidR="007818C9" w:rsidRPr="00813D19">
        <w:rPr>
          <w:lang w:val="en-US"/>
        </w:rPr>
        <w:t xml:space="preserve"> </w:t>
      </w:r>
      <w:r w:rsidR="00AF4210" w:rsidRPr="00813D19">
        <w:rPr>
          <w:lang w:val="en-US"/>
        </w:rPr>
        <w:t xml:space="preserve">The description of the element </w:t>
      </w:r>
      <w:r w:rsidR="00FC22FC" w:rsidRPr="00813D19">
        <w:rPr>
          <w:lang w:val="en-US"/>
        </w:rPr>
        <w:t xml:space="preserve">made </w:t>
      </w:r>
      <w:r w:rsidR="00AF4210" w:rsidRPr="00813D19">
        <w:rPr>
          <w:lang w:val="en-US"/>
        </w:rPr>
        <w:t xml:space="preserve">frequent reference to a ‘parent factory’, which </w:t>
      </w:r>
      <w:r w:rsidR="00712889">
        <w:rPr>
          <w:lang w:val="en-US"/>
        </w:rPr>
        <w:t>was</w:t>
      </w:r>
      <w:r w:rsidR="00712889" w:rsidRPr="00813D19">
        <w:rPr>
          <w:lang w:val="en-US"/>
        </w:rPr>
        <w:t xml:space="preserve"> </w:t>
      </w:r>
      <w:r w:rsidR="00AF4210" w:rsidRPr="00813D19">
        <w:rPr>
          <w:lang w:val="en-US"/>
        </w:rPr>
        <w:t>presented as the main intermediary between practitioners and the wider public, without any explanation of the relations between the tradition bearers</w:t>
      </w:r>
      <w:r w:rsidR="00FC22FC" w:rsidRPr="00813D19">
        <w:rPr>
          <w:lang w:val="en-US"/>
        </w:rPr>
        <w:t xml:space="preserve"> and the factory. The file failed</w:t>
      </w:r>
      <w:r w:rsidR="00AF4210" w:rsidRPr="00813D19">
        <w:rPr>
          <w:lang w:val="en-US"/>
        </w:rPr>
        <w:t xml:space="preserve"> to present the nature and functi</w:t>
      </w:r>
      <w:r w:rsidR="00FC22FC" w:rsidRPr="00813D19">
        <w:rPr>
          <w:lang w:val="en-US"/>
        </w:rPr>
        <w:t>on of this factory, which raised</w:t>
      </w:r>
      <w:r w:rsidR="00AF4210" w:rsidRPr="00813D19">
        <w:rPr>
          <w:lang w:val="en-US"/>
        </w:rPr>
        <w:t xml:space="preserve"> severe concerns as to the risk of a monopoly of the practice by o</w:t>
      </w:r>
      <w:r w:rsidR="00FC22FC" w:rsidRPr="00813D19">
        <w:rPr>
          <w:lang w:val="en-US"/>
        </w:rPr>
        <w:t>ne entity. The nomination placed</w:t>
      </w:r>
      <w:r w:rsidR="00AF4210" w:rsidRPr="00813D19">
        <w:rPr>
          <w:lang w:val="en-US"/>
        </w:rPr>
        <w:t xml:space="preserve"> a heavy emphasis on the commercial and business aspects of the practice</w:t>
      </w:r>
      <w:r w:rsidR="00FC22FC" w:rsidRPr="00813D19">
        <w:rPr>
          <w:lang w:val="en-US"/>
        </w:rPr>
        <w:t>,</w:t>
      </w:r>
      <w:r w:rsidR="00AF4210" w:rsidRPr="00813D19">
        <w:rPr>
          <w:lang w:val="en-US"/>
        </w:rPr>
        <w:t xml:space="preserve"> which </w:t>
      </w:r>
      <w:r w:rsidR="00712889">
        <w:rPr>
          <w:lang w:val="en-US"/>
        </w:rPr>
        <w:t>was</w:t>
      </w:r>
      <w:r w:rsidR="00712889" w:rsidRPr="00813D19">
        <w:rPr>
          <w:lang w:val="en-US"/>
        </w:rPr>
        <w:t xml:space="preserve"> </w:t>
      </w:r>
      <w:r w:rsidR="00AF4210" w:rsidRPr="00813D19">
        <w:rPr>
          <w:lang w:val="en-US"/>
        </w:rPr>
        <w:t xml:space="preserve">detrimental to </w:t>
      </w:r>
      <w:r w:rsidR="00FC22FC" w:rsidRPr="00813D19">
        <w:rPr>
          <w:lang w:val="en-US"/>
        </w:rPr>
        <w:t xml:space="preserve">the </w:t>
      </w:r>
      <w:r w:rsidR="00AF4210" w:rsidRPr="00813D19">
        <w:rPr>
          <w:lang w:val="en-US"/>
        </w:rPr>
        <w:t xml:space="preserve">promotion of the social and cultural functions of the element. Furthermore, the file </w:t>
      </w:r>
      <w:r w:rsidR="00FC22FC" w:rsidRPr="00813D19">
        <w:rPr>
          <w:lang w:val="en-US"/>
        </w:rPr>
        <w:t xml:space="preserve">did </w:t>
      </w:r>
      <w:r w:rsidR="00AF4210" w:rsidRPr="00813D19">
        <w:rPr>
          <w:lang w:val="en-US"/>
        </w:rPr>
        <w:t xml:space="preserve">not demonstrate how inscription would contribute to the visibility of </w:t>
      </w:r>
      <w:r w:rsidR="00F04927" w:rsidRPr="00813D19">
        <w:rPr>
          <w:lang w:val="en-US"/>
        </w:rPr>
        <w:t>intangible cultural heritage</w:t>
      </w:r>
      <w:r w:rsidR="00AF4210" w:rsidRPr="00813D19">
        <w:rPr>
          <w:lang w:val="en-US"/>
        </w:rPr>
        <w:t xml:space="preserve"> in g</w:t>
      </w:r>
      <w:r w:rsidR="00FC22FC" w:rsidRPr="00813D19">
        <w:rPr>
          <w:lang w:val="en-US"/>
        </w:rPr>
        <w:t>eneral. Although the file stated</w:t>
      </w:r>
      <w:r w:rsidR="00AF4210" w:rsidRPr="00813D19">
        <w:rPr>
          <w:lang w:val="en-US"/>
        </w:rPr>
        <w:t xml:space="preserve"> that practitioners </w:t>
      </w:r>
      <w:r w:rsidR="00FC22FC" w:rsidRPr="00813D19">
        <w:rPr>
          <w:lang w:val="en-US"/>
        </w:rPr>
        <w:t xml:space="preserve">had </w:t>
      </w:r>
      <w:r w:rsidR="00AF4210" w:rsidRPr="00813D19">
        <w:rPr>
          <w:lang w:val="en-US"/>
        </w:rPr>
        <w:t xml:space="preserve">participated in the preparation of the nomination, it </w:t>
      </w:r>
      <w:r w:rsidR="00FC22FC" w:rsidRPr="00813D19">
        <w:rPr>
          <w:lang w:val="en-US"/>
        </w:rPr>
        <w:t xml:space="preserve">did </w:t>
      </w:r>
      <w:r w:rsidR="00AF4210" w:rsidRPr="00813D19">
        <w:rPr>
          <w:lang w:val="en-US"/>
        </w:rPr>
        <w:t xml:space="preserve">not provide sufficient information to understand their exact role in the process, as </w:t>
      </w:r>
      <w:r w:rsidR="00FC22FC" w:rsidRPr="00813D19">
        <w:rPr>
          <w:lang w:val="en-US"/>
        </w:rPr>
        <w:t>participation seemed</w:t>
      </w:r>
      <w:r w:rsidR="00AF4210" w:rsidRPr="00813D19">
        <w:rPr>
          <w:lang w:val="en-US"/>
        </w:rPr>
        <w:t xml:space="preserve"> to have been achieved at all times through a parent factory as the main broker. In addition, no consent from the parent factory was provided, </w:t>
      </w:r>
      <w:r w:rsidR="00FC22FC" w:rsidRPr="00813D19">
        <w:rPr>
          <w:lang w:val="en-US"/>
        </w:rPr>
        <w:t xml:space="preserve">even though it was </w:t>
      </w:r>
      <w:r w:rsidR="00AF4210" w:rsidRPr="00813D19">
        <w:rPr>
          <w:lang w:val="en-US"/>
        </w:rPr>
        <w:t>presented as a key stakeholder.</w:t>
      </w:r>
      <w:r w:rsidR="007818C9" w:rsidRPr="00813D19">
        <w:rPr>
          <w:lang w:val="en-US"/>
        </w:rPr>
        <w:t xml:space="preserve"> </w:t>
      </w:r>
      <w:r w:rsidR="00AF4210" w:rsidRPr="00813D19">
        <w:rPr>
          <w:lang w:val="en-US"/>
        </w:rPr>
        <w:t>Therefore</w:t>
      </w:r>
      <w:r w:rsidR="00FC22FC" w:rsidRPr="00813D19">
        <w:rPr>
          <w:lang w:val="en-US"/>
        </w:rPr>
        <w:t>, the Evaluation Body recommended that the Committee refer</w:t>
      </w:r>
      <w:r w:rsidR="00AF4210" w:rsidRPr="00813D19">
        <w:rPr>
          <w:lang w:val="en-US"/>
        </w:rPr>
        <w:t xml:space="preserve"> Handmade production of Christmas tree decorations from blown glass beads to the submitting State.</w:t>
      </w:r>
    </w:p>
    <w:p w14:paraId="4CBB7505" w14:textId="428BA999" w:rsidR="00DD6415" w:rsidRPr="00813D19" w:rsidRDefault="00DD6415" w:rsidP="00192D08">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Pr="00813D19">
        <w:rPr>
          <w:lang w:val="en-US"/>
        </w:rPr>
        <w:t xml:space="preserve">noted that no amendments </w:t>
      </w:r>
      <w:r w:rsidR="00712889">
        <w:rPr>
          <w:lang w:val="en-US"/>
        </w:rPr>
        <w:t>had been</w:t>
      </w:r>
      <w:r w:rsidR="00712889" w:rsidRPr="00813D19">
        <w:rPr>
          <w:lang w:val="en-US"/>
        </w:rPr>
        <w:t xml:space="preserve"> </w:t>
      </w:r>
      <w:r w:rsidRPr="00813D19">
        <w:rPr>
          <w:lang w:val="en-US"/>
        </w:rPr>
        <w:t xml:space="preserve">received, but </w:t>
      </w:r>
      <w:r w:rsidR="007B73B9" w:rsidRPr="00813D19">
        <w:rPr>
          <w:lang w:val="en-US"/>
        </w:rPr>
        <w:t xml:space="preserve">Poland requested </w:t>
      </w:r>
      <w:r w:rsidR="00FC22FC" w:rsidRPr="00813D19">
        <w:rPr>
          <w:lang w:val="en-US"/>
        </w:rPr>
        <w:t>to</w:t>
      </w:r>
      <w:r w:rsidRPr="00813D19">
        <w:rPr>
          <w:lang w:val="en-US"/>
        </w:rPr>
        <w:t xml:space="preserve"> o</w:t>
      </w:r>
      <w:r w:rsidR="00FC22FC" w:rsidRPr="00813D19">
        <w:rPr>
          <w:lang w:val="en-US"/>
        </w:rPr>
        <w:t>pen</w:t>
      </w:r>
      <w:r w:rsidRPr="00813D19">
        <w:rPr>
          <w:lang w:val="en-US"/>
        </w:rPr>
        <w:t xml:space="preserve"> </w:t>
      </w:r>
      <w:r w:rsidR="00CE316F" w:rsidRPr="00813D19">
        <w:rPr>
          <w:lang w:val="en-US"/>
        </w:rPr>
        <w:t xml:space="preserve">the </w:t>
      </w:r>
      <w:r w:rsidRPr="00813D19">
        <w:rPr>
          <w:lang w:val="en-US"/>
        </w:rPr>
        <w:t>debate.</w:t>
      </w:r>
    </w:p>
    <w:p w14:paraId="69842D50" w14:textId="4409D5F8" w:rsidR="00DD6415" w:rsidRPr="00813D19" w:rsidRDefault="00DD6415" w:rsidP="00192D08">
      <w:pPr>
        <w:pStyle w:val="Orateurengris"/>
        <w:spacing w:before="120"/>
        <w:ind w:left="709" w:hanging="709"/>
        <w:rPr>
          <w:lang w:val="en-US"/>
        </w:rPr>
      </w:pPr>
      <w:r w:rsidRPr="00813D19">
        <w:rPr>
          <w:lang w:val="en-US"/>
        </w:rPr>
        <w:t xml:space="preserve">The </w:t>
      </w:r>
      <w:r w:rsidR="00FD4140" w:rsidRPr="00813D19">
        <w:rPr>
          <w:b/>
          <w:lang w:val="en-US"/>
        </w:rPr>
        <w:t>delegation of Poland</w:t>
      </w:r>
      <w:r w:rsidR="009E70F1" w:rsidRPr="00813D19">
        <w:rPr>
          <w:b/>
          <w:lang w:val="en-US"/>
        </w:rPr>
        <w:t xml:space="preserve"> </w:t>
      </w:r>
      <w:r w:rsidR="00B771D9" w:rsidRPr="00813D19">
        <w:rPr>
          <w:lang w:val="en-US"/>
        </w:rPr>
        <w:t>had</w:t>
      </w:r>
      <w:r w:rsidR="009E70F1" w:rsidRPr="00813D19">
        <w:rPr>
          <w:lang w:val="en-US"/>
        </w:rPr>
        <w:t xml:space="preserve"> asked to open the discussion on the nomination </w:t>
      </w:r>
      <w:r w:rsidR="00B771D9" w:rsidRPr="00813D19">
        <w:rPr>
          <w:lang w:val="en-US"/>
        </w:rPr>
        <w:t xml:space="preserve">as it was </w:t>
      </w:r>
      <w:r w:rsidR="009E70F1" w:rsidRPr="00813D19">
        <w:rPr>
          <w:bCs/>
          <w:lang w:val="en-US"/>
        </w:rPr>
        <w:t xml:space="preserve">convinced that the State </w:t>
      </w:r>
      <w:r w:rsidR="00B771D9" w:rsidRPr="00813D19">
        <w:rPr>
          <w:bCs/>
          <w:lang w:val="en-US"/>
        </w:rPr>
        <w:t xml:space="preserve">Party should be given </w:t>
      </w:r>
      <w:r w:rsidR="009E70F1" w:rsidRPr="00813D19">
        <w:rPr>
          <w:bCs/>
          <w:lang w:val="en-US"/>
        </w:rPr>
        <w:t xml:space="preserve">the opportunity to share additional information on the nomination file. </w:t>
      </w:r>
      <w:r w:rsidR="00B771D9" w:rsidRPr="00813D19">
        <w:rPr>
          <w:bCs/>
          <w:lang w:val="en-US"/>
        </w:rPr>
        <w:t>S</w:t>
      </w:r>
      <w:r w:rsidR="009E70F1" w:rsidRPr="00813D19">
        <w:rPr>
          <w:bCs/>
          <w:lang w:val="en-US"/>
        </w:rPr>
        <w:t>peaking</w:t>
      </w:r>
      <w:r w:rsidR="00B771D9" w:rsidRPr="00813D19">
        <w:rPr>
          <w:bCs/>
          <w:lang w:val="en-US"/>
        </w:rPr>
        <w:t xml:space="preserve"> frankly</w:t>
      </w:r>
      <w:r w:rsidR="009E70F1" w:rsidRPr="00813D19">
        <w:rPr>
          <w:bCs/>
          <w:lang w:val="en-US"/>
        </w:rPr>
        <w:t xml:space="preserve">, knowing the expertise of </w:t>
      </w:r>
      <w:r w:rsidR="00B771D9" w:rsidRPr="00813D19">
        <w:rPr>
          <w:bCs/>
          <w:lang w:val="en-US"/>
        </w:rPr>
        <w:t xml:space="preserve">the </w:t>
      </w:r>
      <w:r w:rsidR="009E70F1" w:rsidRPr="00813D19">
        <w:rPr>
          <w:bCs/>
          <w:lang w:val="en-US"/>
        </w:rPr>
        <w:t>Czech colleagues</w:t>
      </w:r>
      <w:r w:rsidR="00B771D9" w:rsidRPr="00813D19">
        <w:rPr>
          <w:bCs/>
          <w:lang w:val="en-US"/>
        </w:rPr>
        <w:t>,</w:t>
      </w:r>
      <w:r w:rsidR="009E70F1" w:rsidRPr="00813D19">
        <w:rPr>
          <w:bCs/>
          <w:lang w:val="en-US"/>
        </w:rPr>
        <w:t xml:space="preserve"> </w:t>
      </w:r>
      <w:r w:rsidR="00B771D9" w:rsidRPr="00813D19">
        <w:rPr>
          <w:bCs/>
          <w:lang w:val="en-US"/>
        </w:rPr>
        <w:t xml:space="preserve">it was </w:t>
      </w:r>
      <w:r w:rsidR="009E70F1" w:rsidRPr="00813D19">
        <w:rPr>
          <w:bCs/>
          <w:lang w:val="en-US"/>
        </w:rPr>
        <w:t xml:space="preserve">surprised that three of five criteria </w:t>
      </w:r>
      <w:r w:rsidR="00B771D9" w:rsidRPr="00813D19">
        <w:rPr>
          <w:bCs/>
          <w:lang w:val="en-US"/>
        </w:rPr>
        <w:t xml:space="preserve">were not met, and it sought clarity on </w:t>
      </w:r>
      <w:r w:rsidR="00712889">
        <w:rPr>
          <w:bCs/>
          <w:lang w:val="en-US"/>
        </w:rPr>
        <w:t xml:space="preserve">the </w:t>
      </w:r>
      <w:r w:rsidR="00B771D9" w:rsidRPr="00813D19">
        <w:rPr>
          <w:bCs/>
          <w:lang w:val="en-US"/>
        </w:rPr>
        <w:t>relations between the ‘parent factory’</w:t>
      </w:r>
      <w:r w:rsidR="009E70F1" w:rsidRPr="00813D19">
        <w:rPr>
          <w:bCs/>
          <w:lang w:val="en-US"/>
        </w:rPr>
        <w:t xml:space="preserve"> and the tradition bearers</w:t>
      </w:r>
      <w:r w:rsidR="00B771D9" w:rsidRPr="00813D19">
        <w:rPr>
          <w:bCs/>
          <w:lang w:val="en-US"/>
        </w:rPr>
        <w:t>,</w:t>
      </w:r>
      <w:r w:rsidR="009E70F1" w:rsidRPr="00813D19">
        <w:rPr>
          <w:bCs/>
          <w:lang w:val="en-US"/>
        </w:rPr>
        <w:t xml:space="preserve"> as well as how the selling of these decorations contribute</w:t>
      </w:r>
      <w:r w:rsidR="00F04927" w:rsidRPr="00813D19">
        <w:rPr>
          <w:bCs/>
          <w:lang w:val="en-US"/>
        </w:rPr>
        <w:t>d</w:t>
      </w:r>
      <w:r w:rsidR="009E70F1" w:rsidRPr="00813D19">
        <w:rPr>
          <w:bCs/>
          <w:lang w:val="en-US"/>
        </w:rPr>
        <w:t xml:space="preserve"> to the sustainable development of the </w:t>
      </w:r>
      <w:r w:rsidR="00E72560">
        <w:rPr>
          <w:bCs/>
          <w:lang w:val="en-US"/>
        </w:rPr>
        <w:t>community and of this practice.</w:t>
      </w:r>
    </w:p>
    <w:p w14:paraId="3C10385B" w14:textId="3918BCA6" w:rsidR="00FD4140" w:rsidRPr="00813D19" w:rsidRDefault="00BD7C9F" w:rsidP="00192D08">
      <w:pPr>
        <w:pStyle w:val="Orateurengris"/>
        <w:spacing w:before="120"/>
        <w:ind w:left="709" w:hanging="709"/>
        <w:rPr>
          <w:lang w:val="en-US"/>
        </w:rPr>
      </w:pPr>
      <w:r w:rsidRPr="00813D19">
        <w:rPr>
          <w:lang w:val="en-US"/>
        </w:rPr>
        <w:t xml:space="preserve">The </w:t>
      </w:r>
      <w:r w:rsidRPr="00813D19">
        <w:rPr>
          <w:b/>
          <w:lang w:val="en-US"/>
        </w:rPr>
        <w:t>delegation of Kazakhstan</w:t>
      </w:r>
      <w:r w:rsidR="00F4677C" w:rsidRPr="00813D19">
        <w:rPr>
          <w:b/>
          <w:lang w:val="en-US"/>
        </w:rPr>
        <w:t xml:space="preserve"> </w:t>
      </w:r>
      <w:r w:rsidR="00F4677C" w:rsidRPr="00813D19">
        <w:rPr>
          <w:lang w:val="en-US"/>
        </w:rPr>
        <w:t>support</w:t>
      </w:r>
      <w:r w:rsidR="00B771D9" w:rsidRPr="00813D19">
        <w:rPr>
          <w:lang w:val="en-US"/>
        </w:rPr>
        <w:t>ed</w:t>
      </w:r>
      <w:r w:rsidR="00F4677C" w:rsidRPr="00813D19">
        <w:rPr>
          <w:lang w:val="en-US"/>
        </w:rPr>
        <w:t xml:space="preserve"> Poland’s proposal to open the file for discussion. Representing both rural artisans in Czechia and a renowned brand of Bohemian glass blowing traditions</w:t>
      </w:r>
      <w:r w:rsidR="0078468F" w:rsidRPr="00813D19">
        <w:rPr>
          <w:lang w:val="en-US"/>
        </w:rPr>
        <w:t xml:space="preserve">, the delegation found </w:t>
      </w:r>
      <w:r w:rsidR="00F04927" w:rsidRPr="00813D19">
        <w:rPr>
          <w:lang w:val="en-US"/>
        </w:rPr>
        <w:t>the element satisfied</w:t>
      </w:r>
      <w:r w:rsidR="00F4677C" w:rsidRPr="00813D19">
        <w:rPr>
          <w:lang w:val="en-US"/>
        </w:rPr>
        <w:t xml:space="preserve"> most if not all </w:t>
      </w:r>
      <w:r w:rsidR="0078468F" w:rsidRPr="00813D19">
        <w:rPr>
          <w:lang w:val="en-US"/>
        </w:rPr>
        <w:t xml:space="preserve">the </w:t>
      </w:r>
      <w:r w:rsidR="00F4677C" w:rsidRPr="00813D19">
        <w:rPr>
          <w:lang w:val="en-US"/>
        </w:rPr>
        <w:t xml:space="preserve">Convention requirements for </w:t>
      </w:r>
      <w:r w:rsidR="0078468F" w:rsidRPr="00813D19">
        <w:rPr>
          <w:lang w:val="en-US"/>
        </w:rPr>
        <w:t>intangible cultural heritage</w:t>
      </w:r>
      <w:r w:rsidR="00F4677C" w:rsidRPr="00813D19">
        <w:rPr>
          <w:lang w:val="en-US"/>
        </w:rPr>
        <w:t>. Considering the general struggle many artisans and artists face in advertising and selling their products</w:t>
      </w:r>
      <w:r w:rsidR="0078468F" w:rsidRPr="00813D19">
        <w:rPr>
          <w:lang w:val="en-US"/>
        </w:rPr>
        <w:t>,</w:t>
      </w:r>
      <w:r w:rsidR="00F4677C" w:rsidRPr="00813D19">
        <w:rPr>
          <w:lang w:val="en-US"/>
        </w:rPr>
        <w:t xml:space="preserve"> </w:t>
      </w:r>
      <w:r w:rsidR="0078468F" w:rsidRPr="00813D19">
        <w:rPr>
          <w:lang w:val="en-US"/>
        </w:rPr>
        <w:t xml:space="preserve">it found </w:t>
      </w:r>
      <w:r w:rsidR="00F4677C" w:rsidRPr="00813D19">
        <w:rPr>
          <w:lang w:val="en-US"/>
        </w:rPr>
        <w:t xml:space="preserve">the role of the mediator factory as a distributor quite helpful and not really jeopardizing the viability of the element. </w:t>
      </w:r>
      <w:r w:rsidR="0078468F" w:rsidRPr="00813D19">
        <w:rPr>
          <w:lang w:val="en-US"/>
        </w:rPr>
        <w:t>As state</w:t>
      </w:r>
      <w:r w:rsidR="00F04927" w:rsidRPr="00813D19">
        <w:rPr>
          <w:lang w:val="en-US"/>
        </w:rPr>
        <w:t>d</w:t>
      </w:r>
      <w:r w:rsidR="0078468F" w:rsidRPr="00813D19">
        <w:rPr>
          <w:lang w:val="en-US"/>
        </w:rPr>
        <w:t xml:space="preserve"> in the nomination, </w:t>
      </w:r>
      <w:r w:rsidR="00F4677C" w:rsidRPr="00813D19">
        <w:rPr>
          <w:lang w:val="en-US"/>
        </w:rPr>
        <w:t xml:space="preserve">the artisans </w:t>
      </w:r>
      <w:r w:rsidR="0078468F" w:rsidRPr="00813D19">
        <w:rPr>
          <w:lang w:val="en-US"/>
        </w:rPr>
        <w:t>are free to organize</w:t>
      </w:r>
      <w:r w:rsidR="00F4677C" w:rsidRPr="00813D19">
        <w:rPr>
          <w:lang w:val="en-US"/>
        </w:rPr>
        <w:t xml:space="preserve"> their home-based workshops</w:t>
      </w:r>
      <w:r w:rsidR="0078468F" w:rsidRPr="00813D19">
        <w:rPr>
          <w:lang w:val="en-US"/>
        </w:rPr>
        <w:t>,</w:t>
      </w:r>
      <w:r w:rsidR="00F4677C" w:rsidRPr="00813D19">
        <w:rPr>
          <w:lang w:val="en-US"/>
        </w:rPr>
        <w:t xml:space="preserve"> managing their working hours, creating and inventing new designs</w:t>
      </w:r>
      <w:r w:rsidR="0078468F" w:rsidRPr="00813D19">
        <w:rPr>
          <w:lang w:val="en-US"/>
        </w:rPr>
        <w:t>,</w:t>
      </w:r>
      <w:r w:rsidR="00F4677C" w:rsidRPr="00813D19">
        <w:rPr>
          <w:lang w:val="en-US"/>
        </w:rPr>
        <w:t xml:space="preserve"> as well as transmitting skills within their families and their communities. </w:t>
      </w:r>
      <w:r w:rsidR="0078468F" w:rsidRPr="00813D19">
        <w:rPr>
          <w:lang w:val="en-US"/>
        </w:rPr>
        <w:t>T</w:t>
      </w:r>
      <w:r w:rsidR="00F04927" w:rsidRPr="00813D19">
        <w:rPr>
          <w:lang w:val="en-US"/>
        </w:rPr>
        <w:t>h</w:t>
      </w:r>
      <w:r w:rsidR="0078468F" w:rsidRPr="00813D19">
        <w:rPr>
          <w:lang w:val="en-US"/>
        </w:rPr>
        <w:t xml:space="preserve">us, </w:t>
      </w:r>
      <w:r w:rsidR="00F4677C" w:rsidRPr="00813D19">
        <w:rPr>
          <w:lang w:val="en-US"/>
        </w:rPr>
        <w:t xml:space="preserve">the principle of commission and cooperation via the distribution factory </w:t>
      </w:r>
      <w:r w:rsidR="00D42475" w:rsidRPr="00813D19">
        <w:rPr>
          <w:lang w:val="en-US"/>
        </w:rPr>
        <w:t>c</w:t>
      </w:r>
      <w:r w:rsidR="00D42475">
        <w:rPr>
          <w:lang w:val="en-US"/>
        </w:rPr>
        <w:t>ould</w:t>
      </w:r>
      <w:r w:rsidR="00D42475" w:rsidRPr="00813D19">
        <w:rPr>
          <w:lang w:val="en-US"/>
        </w:rPr>
        <w:t xml:space="preserve"> </w:t>
      </w:r>
      <w:r w:rsidR="00F4677C" w:rsidRPr="00813D19">
        <w:rPr>
          <w:lang w:val="en-US"/>
        </w:rPr>
        <w:t xml:space="preserve">be perceived as an instrument to support local handicrafts by </w:t>
      </w:r>
      <w:r w:rsidR="0078468F" w:rsidRPr="00813D19">
        <w:rPr>
          <w:lang w:val="en-US"/>
        </w:rPr>
        <w:t xml:space="preserve">identifying </w:t>
      </w:r>
      <w:r w:rsidR="00F4677C" w:rsidRPr="00813D19">
        <w:rPr>
          <w:lang w:val="en-US"/>
        </w:rPr>
        <w:t xml:space="preserve">the customer market, providing </w:t>
      </w:r>
      <w:r w:rsidR="0078468F" w:rsidRPr="00813D19">
        <w:rPr>
          <w:lang w:val="en-US"/>
        </w:rPr>
        <w:t xml:space="preserve">a </w:t>
      </w:r>
      <w:r w:rsidR="00F4677C" w:rsidRPr="00813D19">
        <w:rPr>
          <w:lang w:val="en-US"/>
        </w:rPr>
        <w:t xml:space="preserve">regular income for </w:t>
      </w:r>
      <w:r w:rsidR="0078468F" w:rsidRPr="00813D19">
        <w:rPr>
          <w:lang w:val="en-US"/>
        </w:rPr>
        <w:t xml:space="preserve">the </w:t>
      </w:r>
      <w:r w:rsidR="00F4677C" w:rsidRPr="00813D19">
        <w:rPr>
          <w:lang w:val="en-US"/>
        </w:rPr>
        <w:t>craftspeople, maintaining quality standards</w:t>
      </w:r>
      <w:r w:rsidR="0078468F" w:rsidRPr="00813D19">
        <w:rPr>
          <w:lang w:val="en-US"/>
        </w:rPr>
        <w:t>,</w:t>
      </w:r>
      <w:r w:rsidR="00F4677C" w:rsidRPr="00813D19">
        <w:rPr>
          <w:lang w:val="en-US"/>
        </w:rPr>
        <w:t xml:space="preserve"> and popularizing workshop courses among users. In this regard</w:t>
      </w:r>
      <w:r w:rsidR="0078468F" w:rsidRPr="00813D19">
        <w:rPr>
          <w:lang w:val="en-US"/>
        </w:rPr>
        <w:t>,</w:t>
      </w:r>
      <w:r w:rsidR="00F4677C" w:rsidRPr="00813D19">
        <w:rPr>
          <w:lang w:val="en-US"/>
        </w:rPr>
        <w:t xml:space="preserve"> </w:t>
      </w:r>
      <w:r w:rsidR="0078468F" w:rsidRPr="00813D19">
        <w:rPr>
          <w:lang w:val="en-US"/>
        </w:rPr>
        <w:t xml:space="preserve">the delegation asked </w:t>
      </w:r>
      <w:r w:rsidR="00F4677C" w:rsidRPr="00813D19">
        <w:rPr>
          <w:lang w:val="en-US"/>
        </w:rPr>
        <w:t>the State Party how they would explain the role of the factory</w:t>
      </w:r>
      <w:r w:rsidR="0078468F" w:rsidRPr="00813D19">
        <w:rPr>
          <w:lang w:val="en-US"/>
        </w:rPr>
        <w:t>,</w:t>
      </w:r>
      <w:r w:rsidR="00F4677C" w:rsidRPr="00813D19">
        <w:rPr>
          <w:lang w:val="en-US"/>
        </w:rPr>
        <w:t xml:space="preserve"> and what improvements they </w:t>
      </w:r>
      <w:r w:rsidR="00F04927" w:rsidRPr="00813D19">
        <w:rPr>
          <w:lang w:val="en-US"/>
        </w:rPr>
        <w:t xml:space="preserve">would </w:t>
      </w:r>
      <w:r w:rsidR="00F4677C" w:rsidRPr="00813D19">
        <w:rPr>
          <w:lang w:val="en-US"/>
        </w:rPr>
        <w:t xml:space="preserve">propose to the nomination in case </w:t>
      </w:r>
      <w:r w:rsidR="0078468F" w:rsidRPr="00813D19">
        <w:rPr>
          <w:lang w:val="en-US"/>
        </w:rPr>
        <w:t>it was un</w:t>
      </w:r>
      <w:r w:rsidR="00F4677C" w:rsidRPr="00813D19">
        <w:rPr>
          <w:lang w:val="en-US"/>
        </w:rPr>
        <w:t>succe</w:t>
      </w:r>
      <w:r w:rsidR="00E72560">
        <w:rPr>
          <w:lang w:val="en-US"/>
        </w:rPr>
        <w:t>ssful in this nomination cycle.</w:t>
      </w:r>
    </w:p>
    <w:p w14:paraId="6016AAFF" w14:textId="4DF1EE4A" w:rsidR="00700368" w:rsidRPr="00813D19" w:rsidRDefault="00700368" w:rsidP="00192D08">
      <w:pPr>
        <w:pStyle w:val="Orateurengris"/>
        <w:spacing w:before="120"/>
        <w:ind w:left="709" w:hanging="709"/>
        <w:rPr>
          <w:lang w:val="en-US"/>
        </w:rPr>
      </w:pPr>
      <w:r w:rsidRPr="00813D19">
        <w:rPr>
          <w:lang w:val="en-US"/>
        </w:rPr>
        <w:t xml:space="preserve">The </w:t>
      </w:r>
      <w:r w:rsidRPr="00813D19">
        <w:rPr>
          <w:b/>
          <w:lang w:val="en-US"/>
        </w:rPr>
        <w:t>delegation of Palestine</w:t>
      </w:r>
      <w:r w:rsidR="00F4677C" w:rsidRPr="00813D19">
        <w:rPr>
          <w:b/>
          <w:lang w:val="en-US"/>
        </w:rPr>
        <w:t xml:space="preserve"> </w:t>
      </w:r>
      <w:r w:rsidR="00F4677C" w:rsidRPr="00813D19">
        <w:rPr>
          <w:bCs/>
          <w:lang w:val="en-US"/>
        </w:rPr>
        <w:t>support</w:t>
      </w:r>
      <w:r w:rsidR="00E766D8" w:rsidRPr="00813D19">
        <w:rPr>
          <w:bCs/>
          <w:lang w:val="en-US"/>
        </w:rPr>
        <w:t>ed</w:t>
      </w:r>
      <w:r w:rsidR="00F4677C" w:rsidRPr="00813D19">
        <w:rPr>
          <w:bCs/>
          <w:lang w:val="en-US"/>
        </w:rPr>
        <w:t xml:space="preserve"> the two interventions from Poland and Kazakhstan</w:t>
      </w:r>
      <w:r w:rsidR="00E766D8" w:rsidRPr="00813D19">
        <w:rPr>
          <w:bCs/>
          <w:lang w:val="en-US"/>
        </w:rPr>
        <w:t>,</w:t>
      </w:r>
      <w:r w:rsidR="00F4677C" w:rsidRPr="00813D19">
        <w:rPr>
          <w:bCs/>
          <w:lang w:val="en-US"/>
        </w:rPr>
        <w:t xml:space="preserve"> and thank</w:t>
      </w:r>
      <w:r w:rsidR="00E766D8" w:rsidRPr="00813D19">
        <w:rPr>
          <w:bCs/>
          <w:lang w:val="en-US"/>
        </w:rPr>
        <w:t>ed</w:t>
      </w:r>
      <w:r w:rsidR="00F4677C" w:rsidRPr="00813D19">
        <w:rPr>
          <w:bCs/>
          <w:lang w:val="en-US"/>
        </w:rPr>
        <w:t xml:space="preserve"> Czechia for presenting </w:t>
      </w:r>
      <w:r w:rsidR="00E766D8" w:rsidRPr="00813D19">
        <w:rPr>
          <w:bCs/>
          <w:lang w:val="en-US"/>
        </w:rPr>
        <w:t xml:space="preserve">this </w:t>
      </w:r>
      <w:r w:rsidR="00F4677C" w:rsidRPr="00813D19">
        <w:rPr>
          <w:bCs/>
          <w:lang w:val="en-US"/>
        </w:rPr>
        <w:t>element at this session</w:t>
      </w:r>
      <w:r w:rsidR="00E766D8" w:rsidRPr="00813D19">
        <w:rPr>
          <w:bCs/>
          <w:lang w:val="en-US"/>
        </w:rPr>
        <w:t>, noting that there were</w:t>
      </w:r>
      <w:r w:rsidR="00F4677C" w:rsidRPr="00813D19">
        <w:rPr>
          <w:bCs/>
          <w:lang w:val="en-US"/>
        </w:rPr>
        <w:t xml:space="preserve"> tw</w:t>
      </w:r>
      <w:r w:rsidR="00F04927" w:rsidRPr="00813D19">
        <w:rPr>
          <w:bCs/>
          <w:lang w:val="en-US"/>
        </w:rPr>
        <w:t xml:space="preserve">o elements related to Christmas, </w:t>
      </w:r>
      <w:r w:rsidR="00E766D8" w:rsidRPr="00813D19">
        <w:rPr>
          <w:bCs/>
          <w:lang w:val="en-US"/>
        </w:rPr>
        <w:t xml:space="preserve">both </w:t>
      </w:r>
      <w:r w:rsidR="00F04927" w:rsidRPr="00813D19">
        <w:rPr>
          <w:bCs/>
          <w:lang w:val="en-US"/>
        </w:rPr>
        <w:t xml:space="preserve">of which were </w:t>
      </w:r>
      <w:r w:rsidR="00E72560">
        <w:rPr>
          <w:bCs/>
          <w:lang w:val="en-US"/>
        </w:rPr>
        <w:t>fantastic.</w:t>
      </w:r>
    </w:p>
    <w:p w14:paraId="29C96803" w14:textId="6B4D311E" w:rsidR="006D01F7" w:rsidRPr="00813D19" w:rsidRDefault="005B1023" w:rsidP="00192D08">
      <w:pPr>
        <w:pStyle w:val="Orateurengris"/>
        <w:spacing w:before="120"/>
        <w:ind w:left="709" w:hanging="709"/>
        <w:rPr>
          <w:lang w:val="en-US"/>
        </w:rPr>
      </w:pPr>
      <w:r w:rsidRPr="00813D19">
        <w:rPr>
          <w:lang w:val="en-US"/>
        </w:rPr>
        <w:t xml:space="preserve">The </w:t>
      </w:r>
      <w:r w:rsidRPr="00813D19">
        <w:rPr>
          <w:b/>
          <w:lang w:val="en-US"/>
        </w:rPr>
        <w:t>delegation of Czechia</w:t>
      </w:r>
      <w:r w:rsidR="00E766D8" w:rsidRPr="00813D19">
        <w:rPr>
          <w:lang w:val="en-US"/>
        </w:rPr>
        <w:t xml:space="preserve"> was</w:t>
      </w:r>
      <w:r w:rsidR="00380A8D" w:rsidRPr="00813D19">
        <w:rPr>
          <w:lang w:val="en-US"/>
        </w:rPr>
        <w:t xml:space="preserve"> grateful for the opportunity to comment on </w:t>
      </w:r>
      <w:r w:rsidR="006D01F7" w:rsidRPr="00813D19">
        <w:rPr>
          <w:lang w:val="en-US"/>
        </w:rPr>
        <w:t xml:space="preserve">the nomination and thanked </w:t>
      </w:r>
      <w:r w:rsidR="00380A8D" w:rsidRPr="00813D19">
        <w:rPr>
          <w:lang w:val="en-US"/>
        </w:rPr>
        <w:t>the Evaluation Body</w:t>
      </w:r>
      <w:r w:rsidR="006D01F7" w:rsidRPr="00813D19">
        <w:rPr>
          <w:lang w:val="en-US"/>
        </w:rPr>
        <w:t xml:space="preserve"> and </w:t>
      </w:r>
      <w:r w:rsidR="00380A8D" w:rsidRPr="00813D19">
        <w:rPr>
          <w:lang w:val="en-US"/>
        </w:rPr>
        <w:t xml:space="preserve">the Committee Members for the detailed evaluation of </w:t>
      </w:r>
      <w:r w:rsidR="006D01F7" w:rsidRPr="00813D19">
        <w:rPr>
          <w:lang w:val="en-US"/>
        </w:rPr>
        <w:t xml:space="preserve">its </w:t>
      </w:r>
      <w:r w:rsidR="00380A8D" w:rsidRPr="00813D19">
        <w:rPr>
          <w:lang w:val="en-US"/>
        </w:rPr>
        <w:t xml:space="preserve">file. </w:t>
      </w:r>
      <w:r w:rsidR="006D01F7" w:rsidRPr="00813D19">
        <w:rPr>
          <w:lang w:val="en-US"/>
        </w:rPr>
        <w:t xml:space="preserve">The delegation </w:t>
      </w:r>
      <w:r w:rsidR="00380A8D" w:rsidRPr="00813D19">
        <w:rPr>
          <w:lang w:val="en-US"/>
        </w:rPr>
        <w:t>confirm</w:t>
      </w:r>
      <w:r w:rsidR="006D01F7" w:rsidRPr="00813D19">
        <w:rPr>
          <w:lang w:val="en-US"/>
        </w:rPr>
        <w:t>ed</w:t>
      </w:r>
      <w:r w:rsidR="00380A8D" w:rsidRPr="00813D19">
        <w:rPr>
          <w:lang w:val="en-US"/>
        </w:rPr>
        <w:t xml:space="preserve"> that if three criteria appear</w:t>
      </w:r>
      <w:r w:rsidR="006D01F7" w:rsidRPr="00813D19">
        <w:rPr>
          <w:lang w:val="en-US"/>
        </w:rPr>
        <w:t>ed</w:t>
      </w:r>
      <w:r w:rsidR="00380A8D" w:rsidRPr="00813D19">
        <w:rPr>
          <w:lang w:val="en-US"/>
        </w:rPr>
        <w:t xml:space="preserve"> not to have been met in the eyes of the Evaluation Body</w:t>
      </w:r>
      <w:r w:rsidR="006D01F7" w:rsidRPr="00813D19">
        <w:rPr>
          <w:lang w:val="en-US"/>
        </w:rPr>
        <w:t>,</w:t>
      </w:r>
      <w:r w:rsidR="00380A8D" w:rsidRPr="00813D19">
        <w:rPr>
          <w:lang w:val="en-US"/>
        </w:rPr>
        <w:t xml:space="preserve"> </w:t>
      </w:r>
      <w:r w:rsidR="006D01F7" w:rsidRPr="00813D19">
        <w:rPr>
          <w:lang w:val="en-US"/>
        </w:rPr>
        <w:t xml:space="preserve">then it was </w:t>
      </w:r>
      <w:r w:rsidR="00380A8D" w:rsidRPr="00813D19">
        <w:rPr>
          <w:lang w:val="en-US"/>
        </w:rPr>
        <w:t>due to a combination of inaccurate formulations and misunderstanding</w:t>
      </w:r>
      <w:r w:rsidR="00F04927" w:rsidRPr="00813D19">
        <w:rPr>
          <w:lang w:val="en-US"/>
        </w:rPr>
        <w:t>,</w:t>
      </w:r>
      <w:r w:rsidR="00380A8D" w:rsidRPr="00813D19">
        <w:rPr>
          <w:lang w:val="en-US"/>
        </w:rPr>
        <w:t xml:space="preserve"> which </w:t>
      </w:r>
      <w:r w:rsidR="006D01F7" w:rsidRPr="00813D19">
        <w:rPr>
          <w:lang w:val="en-US"/>
        </w:rPr>
        <w:t xml:space="preserve">it </w:t>
      </w:r>
      <w:r w:rsidR="00380A8D" w:rsidRPr="00813D19">
        <w:rPr>
          <w:lang w:val="en-US"/>
        </w:rPr>
        <w:t>very much regret</w:t>
      </w:r>
      <w:r w:rsidR="006D01F7" w:rsidRPr="00813D19">
        <w:rPr>
          <w:lang w:val="en-US"/>
        </w:rPr>
        <w:t>ted</w:t>
      </w:r>
      <w:r w:rsidR="00380A8D" w:rsidRPr="00813D19">
        <w:rPr>
          <w:lang w:val="en-US"/>
        </w:rPr>
        <w:t xml:space="preserve">. </w:t>
      </w:r>
      <w:r w:rsidR="006D01F7" w:rsidRPr="00813D19">
        <w:rPr>
          <w:lang w:val="en-US"/>
        </w:rPr>
        <w:t xml:space="preserve">It had </w:t>
      </w:r>
      <w:r w:rsidR="00380A8D" w:rsidRPr="00813D19">
        <w:rPr>
          <w:lang w:val="en-US"/>
        </w:rPr>
        <w:t xml:space="preserve">acted in good faith that the information entered in the form was </w:t>
      </w:r>
      <w:r w:rsidR="006D01F7" w:rsidRPr="00813D19">
        <w:rPr>
          <w:lang w:val="en-US"/>
        </w:rPr>
        <w:t xml:space="preserve">sufficiently clear and obvious, and had done its </w:t>
      </w:r>
      <w:r w:rsidR="00380A8D" w:rsidRPr="00813D19">
        <w:rPr>
          <w:lang w:val="en-US"/>
        </w:rPr>
        <w:t xml:space="preserve">utmost to ensure that the most comprehensive response to the R.1 criterion </w:t>
      </w:r>
      <w:r w:rsidR="006D01F7" w:rsidRPr="00813D19">
        <w:rPr>
          <w:lang w:val="en-US"/>
        </w:rPr>
        <w:t xml:space="preserve">was </w:t>
      </w:r>
      <w:r w:rsidR="00813D19" w:rsidRPr="00813D19">
        <w:rPr>
          <w:lang w:val="en-US"/>
        </w:rPr>
        <w:t>provided</w:t>
      </w:r>
      <w:r w:rsidR="006D01F7" w:rsidRPr="00813D19">
        <w:rPr>
          <w:lang w:val="en-US"/>
        </w:rPr>
        <w:t xml:space="preserve"> </w:t>
      </w:r>
      <w:r w:rsidR="00380A8D" w:rsidRPr="00813D19">
        <w:rPr>
          <w:lang w:val="en-US"/>
        </w:rPr>
        <w:t>and accurately described</w:t>
      </w:r>
      <w:r w:rsidR="00F04927" w:rsidRPr="00813D19">
        <w:rPr>
          <w:lang w:val="en-US"/>
        </w:rPr>
        <w:t>,</w:t>
      </w:r>
      <w:r w:rsidR="00380A8D" w:rsidRPr="00813D19">
        <w:rPr>
          <w:lang w:val="en-US"/>
        </w:rPr>
        <w:t xml:space="preserve"> how this factory</w:t>
      </w:r>
      <w:r w:rsidR="006D01F7" w:rsidRPr="00813D19">
        <w:rPr>
          <w:lang w:val="en-US"/>
        </w:rPr>
        <w:t xml:space="preserve">, </w:t>
      </w:r>
      <w:r w:rsidR="00380A8D" w:rsidRPr="00813D19">
        <w:rPr>
          <w:lang w:val="en-US"/>
        </w:rPr>
        <w:t>more of a family workshop</w:t>
      </w:r>
      <w:r w:rsidR="006D01F7" w:rsidRPr="00813D19">
        <w:rPr>
          <w:lang w:val="en-US"/>
        </w:rPr>
        <w:t>,</w:t>
      </w:r>
      <w:r w:rsidR="00380A8D" w:rsidRPr="00813D19">
        <w:rPr>
          <w:lang w:val="en-US"/>
        </w:rPr>
        <w:t xml:space="preserve"> operates with a typical manufacturing division of labo</w:t>
      </w:r>
      <w:r w:rsidR="006D01F7" w:rsidRPr="00813D19">
        <w:rPr>
          <w:lang w:val="en-US"/>
        </w:rPr>
        <w:t>u</w:t>
      </w:r>
      <w:r w:rsidR="00380A8D" w:rsidRPr="00813D19">
        <w:rPr>
          <w:lang w:val="en-US"/>
        </w:rPr>
        <w:t xml:space="preserve">r with individual manufacturers working at home. </w:t>
      </w:r>
      <w:r w:rsidR="006D01F7" w:rsidRPr="00813D19">
        <w:rPr>
          <w:lang w:val="en-US"/>
        </w:rPr>
        <w:t xml:space="preserve">The delegation </w:t>
      </w:r>
      <w:r w:rsidR="00380A8D" w:rsidRPr="00813D19">
        <w:rPr>
          <w:lang w:val="en-US"/>
        </w:rPr>
        <w:t>assure</w:t>
      </w:r>
      <w:r w:rsidR="00F04927" w:rsidRPr="00813D19">
        <w:rPr>
          <w:lang w:val="en-US"/>
        </w:rPr>
        <w:t>d</w:t>
      </w:r>
      <w:r w:rsidR="00380A8D" w:rsidRPr="00813D19">
        <w:rPr>
          <w:lang w:val="en-US"/>
        </w:rPr>
        <w:t xml:space="preserve"> </w:t>
      </w:r>
      <w:r w:rsidR="006D01F7" w:rsidRPr="00813D19">
        <w:rPr>
          <w:lang w:val="en-US"/>
        </w:rPr>
        <w:t xml:space="preserve">the Committee that there </w:t>
      </w:r>
      <w:r w:rsidR="00D42475">
        <w:rPr>
          <w:lang w:val="en-US"/>
        </w:rPr>
        <w:t>was</w:t>
      </w:r>
      <w:r w:rsidR="00D42475" w:rsidRPr="00813D19">
        <w:rPr>
          <w:lang w:val="en-US"/>
        </w:rPr>
        <w:t xml:space="preserve"> </w:t>
      </w:r>
      <w:r w:rsidR="006D01F7" w:rsidRPr="00813D19">
        <w:rPr>
          <w:lang w:val="en-US"/>
        </w:rPr>
        <w:t>no</w:t>
      </w:r>
      <w:r w:rsidR="00380A8D" w:rsidRPr="00813D19">
        <w:rPr>
          <w:lang w:val="en-US"/>
        </w:rPr>
        <w:t xml:space="preserve"> monopoly </w:t>
      </w:r>
      <w:r w:rsidR="00D42475" w:rsidRPr="00813D19">
        <w:rPr>
          <w:lang w:val="en-US"/>
        </w:rPr>
        <w:t>o</w:t>
      </w:r>
      <w:r w:rsidR="00D42475">
        <w:rPr>
          <w:lang w:val="en-US"/>
        </w:rPr>
        <w:t xml:space="preserve">ver </w:t>
      </w:r>
      <w:r w:rsidR="006D01F7" w:rsidRPr="00813D19">
        <w:rPr>
          <w:lang w:val="en-US"/>
        </w:rPr>
        <w:t xml:space="preserve">the </w:t>
      </w:r>
      <w:r w:rsidR="00380A8D" w:rsidRPr="00813D19">
        <w:rPr>
          <w:lang w:val="en-US"/>
        </w:rPr>
        <w:t>production of this particular kind of Christmas decorations</w:t>
      </w:r>
      <w:r w:rsidR="006D01F7" w:rsidRPr="00813D19">
        <w:rPr>
          <w:lang w:val="en-US"/>
        </w:rPr>
        <w:t>,</w:t>
      </w:r>
      <w:r w:rsidR="00380A8D" w:rsidRPr="00813D19">
        <w:rPr>
          <w:lang w:val="en-US"/>
        </w:rPr>
        <w:t xml:space="preserve"> but </w:t>
      </w:r>
      <w:r w:rsidR="006D01F7" w:rsidRPr="00813D19">
        <w:rPr>
          <w:lang w:val="en-US"/>
        </w:rPr>
        <w:t xml:space="preserve">that it is </w:t>
      </w:r>
      <w:r w:rsidR="00380A8D" w:rsidRPr="00813D19">
        <w:rPr>
          <w:lang w:val="en-US"/>
        </w:rPr>
        <w:t xml:space="preserve">a workshop like those that existed in the region half a century ago. This </w:t>
      </w:r>
      <w:r w:rsidR="006D01F7" w:rsidRPr="00813D19">
        <w:rPr>
          <w:lang w:val="en-US"/>
        </w:rPr>
        <w:t xml:space="preserve">was </w:t>
      </w:r>
      <w:r w:rsidR="00380A8D" w:rsidRPr="00813D19">
        <w:rPr>
          <w:lang w:val="en-US"/>
        </w:rPr>
        <w:t xml:space="preserve">the only one that prevented the </w:t>
      </w:r>
      <w:r w:rsidR="00380A8D" w:rsidRPr="00813D19">
        <w:rPr>
          <w:i/>
          <w:lang w:val="en-US"/>
        </w:rPr>
        <w:t xml:space="preserve">savoir-faire </w:t>
      </w:r>
      <w:r w:rsidR="00380A8D" w:rsidRPr="00813D19">
        <w:rPr>
          <w:lang w:val="en-US"/>
        </w:rPr>
        <w:t>from being forgotten</w:t>
      </w:r>
      <w:r w:rsidR="006D01F7" w:rsidRPr="00813D19">
        <w:rPr>
          <w:lang w:val="en-US"/>
        </w:rPr>
        <w:t>,</w:t>
      </w:r>
      <w:r w:rsidR="00380A8D" w:rsidRPr="00813D19">
        <w:rPr>
          <w:lang w:val="en-US"/>
        </w:rPr>
        <w:t xml:space="preserve"> and </w:t>
      </w:r>
      <w:r w:rsidR="006D01F7" w:rsidRPr="00813D19">
        <w:rPr>
          <w:lang w:val="en-US"/>
        </w:rPr>
        <w:t xml:space="preserve">it </w:t>
      </w:r>
      <w:r w:rsidR="00380A8D" w:rsidRPr="00813D19">
        <w:rPr>
          <w:lang w:val="en-US"/>
        </w:rPr>
        <w:t xml:space="preserve">succeeded in preserving and handing on </w:t>
      </w:r>
      <w:r w:rsidR="006D01F7" w:rsidRPr="00813D19">
        <w:rPr>
          <w:lang w:val="en-US"/>
        </w:rPr>
        <w:t xml:space="preserve">this </w:t>
      </w:r>
      <w:r w:rsidR="006D01F7" w:rsidRPr="00813D19">
        <w:rPr>
          <w:i/>
          <w:lang w:val="en-US"/>
        </w:rPr>
        <w:t>savoir-faire</w:t>
      </w:r>
      <w:r w:rsidR="006D01F7" w:rsidRPr="00813D19">
        <w:rPr>
          <w:lang w:val="en-US"/>
        </w:rPr>
        <w:t xml:space="preserve"> to future generations</w:t>
      </w:r>
      <w:r w:rsidR="00380A8D" w:rsidRPr="00813D19">
        <w:rPr>
          <w:lang w:val="en-US"/>
        </w:rPr>
        <w:t xml:space="preserve"> through patient work with individual practitioners. It is </w:t>
      </w:r>
      <w:r w:rsidR="006D01F7" w:rsidRPr="00813D19">
        <w:rPr>
          <w:lang w:val="en-US"/>
        </w:rPr>
        <w:t xml:space="preserve">a </w:t>
      </w:r>
      <w:r w:rsidR="00380A8D" w:rsidRPr="00813D19">
        <w:rPr>
          <w:lang w:val="en-US"/>
        </w:rPr>
        <w:t>guardian of local patterns that were preserved from the past</w:t>
      </w:r>
      <w:r w:rsidR="006D01F7" w:rsidRPr="00813D19">
        <w:rPr>
          <w:lang w:val="en-US"/>
        </w:rPr>
        <w:t>,</w:t>
      </w:r>
      <w:r w:rsidR="00380A8D" w:rsidRPr="00813D19">
        <w:rPr>
          <w:lang w:val="en-US"/>
        </w:rPr>
        <w:t xml:space="preserve"> but it </w:t>
      </w:r>
      <w:r w:rsidR="006D01F7" w:rsidRPr="00813D19">
        <w:rPr>
          <w:lang w:val="en-US"/>
        </w:rPr>
        <w:t xml:space="preserve">also </w:t>
      </w:r>
      <w:r w:rsidR="00380A8D" w:rsidRPr="00813D19">
        <w:rPr>
          <w:lang w:val="en-US"/>
        </w:rPr>
        <w:t xml:space="preserve">allows the creativity of individuals so </w:t>
      </w:r>
      <w:r w:rsidR="00F04927" w:rsidRPr="00813D19">
        <w:rPr>
          <w:lang w:val="en-US"/>
        </w:rPr>
        <w:t xml:space="preserve">that </w:t>
      </w:r>
      <w:r w:rsidR="00380A8D" w:rsidRPr="00813D19">
        <w:rPr>
          <w:lang w:val="en-US"/>
        </w:rPr>
        <w:t>the element is not trapped in conservative forms but is constantly changing</w:t>
      </w:r>
      <w:r w:rsidR="006D01F7" w:rsidRPr="00813D19">
        <w:rPr>
          <w:lang w:val="en-US"/>
        </w:rPr>
        <w:t xml:space="preserve">. The workshop is not licensed, and </w:t>
      </w:r>
      <w:r w:rsidR="00380A8D" w:rsidRPr="00813D19">
        <w:rPr>
          <w:lang w:val="en-US"/>
        </w:rPr>
        <w:t xml:space="preserve">it </w:t>
      </w:r>
      <w:r w:rsidR="00F04927" w:rsidRPr="00813D19">
        <w:rPr>
          <w:lang w:val="en-US"/>
        </w:rPr>
        <w:t xml:space="preserve">did </w:t>
      </w:r>
      <w:r w:rsidR="00380A8D" w:rsidRPr="00813D19">
        <w:rPr>
          <w:lang w:val="en-US"/>
        </w:rPr>
        <w:t>not prevent anyone else interested in operating this type of production</w:t>
      </w:r>
      <w:r w:rsidR="006D01F7" w:rsidRPr="00813D19">
        <w:rPr>
          <w:lang w:val="en-US"/>
        </w:rPr>
        <w:t xml:space="preserve"> from doing so</w:t>
      </w:r>
      <w:r w:rsidR="00380A8D" w:rsidRPr="00813D19">
        <w:rPr>
          <w:lang w:val="en-US"/>
        </w:rPr>
        <w:t>. On the</w:t>
      </w:r>
      <w:r w:rsidR="00F04927" w:rsidRPr="00813D19">
        <w:rPr>
          <w:lang w:val="en-US"/>
        </w:rPr>
        <w:t xml:space="preserve"> contrary, the workshop provided</w:t>
      </w:r>
      <w:r w:rsidR="00E72560">
        <w:rPr>
          <w:lang w:val="en-US"/>
        </w:rPr>
        <w:t xml:space="preserve"> products for hobby production.</w:t>
      </w:r>
    </w:p>
    <w:p w14:paraId="3C3E3CC6" w14:textId="093FDC39" w:rsidR="005B1023" w:rsidRPr="00813D19" w:rsidRDefault="006D01F7" w:rsidP="00192D08">
      <w:pPr>
        <w:pStyle w:val="Orateurengris"/>
        <w:spacing w:before="120"/>
        <w:ind w:left="709" w:hanging="709"/>
        <w:rPr>
          <w:lang w:val="en-US"/>
        </w:rPr>
      </w:pPr>
      <w:r w:rsidRPr="00813D19">
        <w:rPr>
          <w:lang w:val="en-US"/>
        </w:rPr>
        <w:t xml:space="preserve">With regard to criterion R.2, the </w:t>
      </w:r>
      <w:r w:rsidRPr="00813D19">
        <w:rPr>
          <w:b/>
          <w:lang w:val="en-US"/>
        </w:rPr>
        <w:t>delegation of Czechia</w:t>
      </w:r>
      <w:r w:rsidRPr="00813D19">
        <w:rPr>
          <w:lang w:val="en-US"/>
        </w:rPr>
        <w:t xml:space="preserve"> </w:t>
      </w:r>
      <w:r w:rsidR="00CA19E2" w:rsidRPr="00813D19">
        <w:rPr>
          <w:lang w:val="en-US"/>
        </w:rPr>
        <w:t xml:space="preserve">remarked that it had </w:t>
      </w:r>
      <w:r w:rsidR="00380A8D" w:rsidRPr="00813D19">
        <w:rPr>
          <w:lang w:val="en-US"/>
        </w:rPr>
        <w:t>replied truthfully</w:t>
      </w:r>
      <w:r w:rsidR="00CA19E2" w:rsidRPr="00813D19">
        <w:rPr>
          <w:lang w:val="en-US"/>
        </w:rPr>
        <w:t xml:space="preserve"> with regard to the </w:t>
      </w:r>
      <w:r w:rsidR="00380A8D" w:rsidRPr="00813D19">
        <w:rPr>
          <w:lang w:val="en-US"/>
        </w:rPr>
        <w:t xml:space="preserve">media attention </w:t>
      </w:r>
      <w:r w:rsidR="00CA19E2" w:rsidRPr="00813D19">
        <w:rPr>
          <w:lang w:val="en-US"/>
        </w:rPr>
        <w:t xml:space="preserve">given </w:t>
      </w:r>
      <w:r w:rsidR="00380A8D" w:rsidRPr="00813D19">
        <w:rPr>
          <w:lang w:val="en-US"/>
        </w:rPr>
        <w:t xml:space="preserve">to inscriptions on the Representative List </w:t>
      </w:r>
      <w:r w:rsidR="00CA19E2" w:rsidRPr="00813D19">
        <w:rPr>
          <w:lang w:val="en-US"/>
        </w:rPr>
        <w:t xml:space="preserve">in the Czech Republic that </w:t>
      </w:r>
      <w:r w:rsidR="00380A8D" w:rsidRPr="00813D19">
        <w:rPr>
          <w:lang w:val="en-US"/>
        </w:rPr>
        <w:t>encourages public interest in the area of intangible cultural heritage, particularly concerning this element</w:t>
      </w:r>
      <w:r w:rsidR="00CA19E2" w:rsidRPr="00813D19">
        <w:rPr>
          <w:lang w:val="en-US"/>
        </w:rPr>
        <w:t>,</w:t>
      </w:r>
      <w:r w:rsidR="00380A8D" w:rsidRPr="00813D19">
        <w:rPr>
          <w:lang w:val="en-US"/>
        </w:rPr>
        <w:t xml:space="preserve"> which is associated in </w:t>
      </w:r>
      <w:r w:rsidR="00CA19E2" w:rsidRPr="00813D19">
        <w:rPr>
          <w:lang w:val="en-US"/>
        </w:rPr>
        <w:t xml:space="preserve">the </w:t>
      </w:r>
      <w:r w:rsidR="00380A8D" w:rsidRPr="00813D19">
        <w:rPr>
          <w:lang w:val="en-US"/>
        </w:rPr>
        <w:t>country with the general sharing of traditional Christmas rituals. This element cannot therefore simply be seen as a commercial good</w:t>
      </w:r>
      <w:r w:rsidR="00F04927" w:rsidRPr="00813D19">
        <w:rPr>
          <w:lang w:val="en-US"/>
        </w:rPr>
        <w:t>,</w:t>
      </w:r>
      <w:r w:rsidR="00380A8D" w:rsidRPr="00813D19">
        <w:rPr>
          <w:lang w:val="en-US"/>
        </w:rPr>
        <w:t xml:space="preserve"> </w:t>
      </w:r>
      <w:r w:rsidR="00CA19E2" w:rsidRPr="00813D19">
        <w:rPr>
          <w:lang w:val="en-US"/>
        </w:rPr>
        <w:t xml:space="preserve">as </w:t>
      </w:r>
      <w:r w:rsidR="00380A8D" w:rsidRPr="00813D19">
        <w:rPr>
          <w:lang w:val="en-US"/>
        </w:rPr>
        <w:t xml:space="preserve">its role as a Christmas symbol </w:t>
      </w:r>
      <w:r w:rsidR="00CA19E2" w:rsidRPr="00813D19">
        <w:rPr>
          <w:lang w:val="en-US"/>
        </w:rPr>
        <w:t xml:space="preserve">was </w:t>
      </w:r>
      <w:r w:rsidR="00380A8D" w:rsidRPr="00813D19">
        <w:rPr>
          <w:lang w:val="en-US"/>
        </w:rPr>
        <w:t xml:space="preserve">far </w:t>
      </w:r>
      <w:r w:rsidR="00CA19E2" w:rsidRPr="00813D19">
        <w:rPr>
          <w:lang w:val="en-US"/>
        </w:rPr>
        <w:t>greater,</w:t>
      </w:r>
      <w:r w:rsidR="00380A8D" w:rsidRPr="00813D19">
        <w:rPr>
          <w:lang w:val="en-US"/>
        </w:rPr>
        <w:t xml:space="preserve"> which </w:t>
      </w:r>
      <w:r w:rsidR="00CA19E2" w:rsidRPr="00813D19">
        <w:rPr>
          <w:lang w:val="en-US"/>
        </w:rPr>
        <w:t xml:space="preserve">the nomination form failed to sufficiently </w:t>
      </w:r>
      <w:r w:rsidR="00813D19" w:rsidRPr="00813D19">
        <w:rPr>
          <w:lang w:val="en-US"/>
        </w:rPr>
        <w:t>emphasize</w:t>
      </w:r>
      <w:r w:rsidR="00380A8D" w:rsidRPr="00813D19">
        <w:rPr>
          <w:lang w:val="en-US"/>
        </w:rPr>
        <w:t>. The Representative List could be enriched by another element of the cale</w:t>
      </w:r>
      <w:r w:rsidR="00F04927" w:rsidRPr="00813D19">
        <w:rPr>
          <w:lang w:val="en-US"/>
        </w:rPr>
        <w:t>n</w:t>
      </w:r>
      <w:r w:rsidR="00380A8D" w:rsidRPr="00813D19">
        <w:rPr>
          <w:lang w:val="en-US"/>
        </w:rPr>
        <w:t>dar or New Year rituals</w:t>
      </w:r>
      <w:r w:rsidR="00CA19E2" w:rsidRPr="00813D19">
        <w:rPr>
          <w:lang w:val="en-US"/>
        </w:rPr>
        <w:t>,</w:t>
      </w:r>
      <w:r w:rsidR="00380A8D" w:rsidRPr="00813D19">
        <w:rPr>
          <w:lang w:val="en-US"/>
        </w:rPr>
        <w:t xml:space="preserve"> in this case</w:t>
      </w:r>
      <w:r w:rsidR="00CA19E2" w:rsidRPr="00813D19">
        <w:rPr>
          <w:lang w:val="en-US"/>
        </w:rPr>
        <w:t>,</w:t>
      </w:r>
      <w:r w:rsidR="00380A8D" w:rsidRPr="00813D19">
        <w:rPr>
          <w:lang w:val="en-US"/>
        </w:rPr>
        <w:t xml:space="preserve"> reflecting traditional Central European Christmas practices. The connection between the vitally known element and the Representative List </w:t>
      </w:r>
      <w:r w:rsidR="00D42475">
        <w:rPr>
          <w:lang w:val="en-US"/>
        </w:rPr>
        <w:t>would</w:t>
      </w:r>
      <w:r w:rsidR="00D42475" w:rsidRPr="00813D19">
        <w:rPr>
          <w:lang w:val="en-US"/>
        </w:rPr>
        <w:t xml:space="preserve"> </w:t>
      </w:r>
      <w:r w:rsidR="00380A8D" w:rsidRPr="00813D19">
        <w:rPr>
          <w:lang w:val="en-US"/>
        </w:rPr>
        <w:t xml:space="preserve">of course raise interest in intangible cultural heritage. The fact that </w:t>
      </w:r>
      <w:r w:rsidR="00CA19E2" w:rsidRPr="00813D19">
        <w:rPr>
          <w:lang w:val="en-US"/>
        </w:rPr>
        <w:t>this element represented glass craft,</w:t>
      </w:r>
      <w:r w:rsidR="00380A8D" w:rsidRPr="00813D19">
        <w:rPr>
          <w:lang w:val="en-US"/>
        </w:rPr>
        <w:t xml:space="preserve"> a technology that </w:t>
      </w:r>
      <w:r w:rsidR="00D42475" w:rsidRPr="00813D19">
        <w:rPr>
          <w:lang w:val="en-US"/>
        </w:rPr>
        <w:t>d</w:t>
      </w:r>
      <w:r w:rsidR="00D42475">
        <w:rPr>
          <w:lang w:val="en-US"/>
        </w:rPr>
        <w:t>id</w:t>
      </w:r>
      <w:r w:rsidR="00D42475" w:rsidRPr="00813D19">
        <w:rPr>
          <w:lang w:val="en-US"/>
        </w:rPr>
        <w:t xml:space="preserve"> </w:t>
      </w:r>
      <w:r w:rsidR="00380A8D" w:rsidRPr="00813D19">
        <w:rPr>
          <w:lang w:val="en-US"/>
        </w:rPr>
        <w:t>not yet appear on the List</w:t>
      </w:r>
      <w:r w:rsidR="00CA19E2" w:rsidRPr="00813D19">
        <w:rPr>
          <w:lang w:val="en-US"/>
        </w:rPr>
        <w:t>,</w:t>
      </w:r>
      <w:r w:rsidR="00380A8D" w:rsidRPr="00813D19">
        <w:rPr>
          <w:lang w:val="en-US"/>
        </w:rPr>
        <w:t xml:space="preserve"> would also </w:t>
      </w:r>
      <w:r w:rsidR="00CA19E2" w:rsidRPr="00813D19">
        <w:rPr>
          <w:lang w:val="en-US"/>
        </w:rPr>
        <w:t xml:space="preserve">have </w:t>
      </w:r>
      <w:r w:rsidR="00380A8D" w:rsidRPr="00813D19">
        <w:rPr>
          <w:lang w:val="en-US"/>
        </w:rPr>
        <w:t>contribute</w:t>
      </w:r>
      <w:r w:rsidR="00CA19E2" w:rsidRPr="00813D19">
        <w:rPr>
          <w:lang w:val="en-US"/>
        </w:rPr>
        <w:t>d</w:t>
      </w:r>
      <w:r w:rsidR="00380A8D" w:rsidRPr="00813D19">
        <w:rPr>
          <w:lang w:val="en-US"/>
        </w:rPr>
        <w:t xml:space="preserve"> to its greater diversity. </w:t>
      </w:r>
      <w:r w:rsidR="00CA19E2" w:rsidRPr="00813D19">
        <w:rPr>
          <w:lang w:val="en-US"/>
        </w:rPr>
        <w:t xml:space="preserve">With regard to </w:t>
      </w:r>
      <w:r w:rsidR="00380A8D" w:rsidRPr="00813D19">
        <w:rPr>
          <w:lang w:val="en-US"/>
        </w:rPr>
        <w:t>R.4</w:t>
      </w:r>
      <w:r w:rsidR="00CA19E2" w:rsidRPr="00813D19">
        <w:rPr>
          <w:lang w:val="en-US"/>
        </w:rPr>
        <w:t>,</w:t>
      </w:r>
      <w:r w:rsidR="00380A8D" w:rsidRPr="00813D19">
        <w:rPr>
          <w:lang w:val="en-US"/>
        </w:rPr>
        <w:t xml:space="preserve"> there </w:t>
      </w:r>
      <w:r w:rsidR="0043541D" w:rsidRPr="00813D19">
        <w:rPr>
          <w:lang w:val="en-US"/>
        </w:rPr>
        <w:t xml:space="preserve">was </w:t>
      </w:r>
      <w:r w:rsidR="00380A8D" w:rsidRPr="00813D19">
        <w:rPr>
          <w:lang w:val="en-US"/>
        </w:rPr>
        <w:t xml:space="preserve">probably some misunderstanding because both representatives of the family workshop </w:t>
      </w:r>
      <w:r w:rsidR="0043541D" w:rsidRPr="00813D19">
        <w:rPr>
          <w:lang w:val="en-US"/>
        </w:rPr>
        <w:t xml:space="preserve">were </w:t>
      </w:r>
      <w:r w:rsidR="00380A8D" w:rsidRPr="00813D19">
        <w:rPr>
          <w:lang w:val="en-US"/>
        </w:rPr>
        <w:t>not only among the signatories consenting to the nomination</w:t>
      </w:r>
      <w:r w:rsidR="0043541D" w:rsidRPr="00813D19">
        <w:rPr>
          <w:lang w:val="en-US"/>
        </w:rPr>
        <w:t>,</w:t>
      </w:r>
      <w:r w:rsidR="00380A8D" w:rsidRPr="00813D19">
        <w:rPr>
          <w:lang w:val="en-US"/>
        </w:rPr>
        <w:t xml:space="preserve"> as spokespeople for the other bearers</w:t>
      </w:r>
      <w:r w:rsidR="0043541D" w:rsidRPr="00813D19">
        <w:rPr>
          <w:lang w:val="en-US"/>
        </w:rPr>
        <w:t>,</w:t>
      </w:r>
      <w:r w:rsidR="00380A8D" w:rsidRPr="00813D19">
        <w:rPr>
          <w:lang w:val="en-US"/>
        </w:rPr>
        <w:t xml:space="preserve"> but also </w:t>
      </w:r>
      <w:r w:rsidR="0043541D" w:rsidRPr="00813D19">
        <w:rPr>
          <w:lang w:val="en-US"/>
        </w:rPr>
        <w:t xml:space="preserve">the </w:t>
      </w:r>
      <w:r w:rsidR="00380A8D" w:rsidRPr="00813D19">
        <w:rPr>
          <w:lang w:val="en-US"/>
        </w:rPr>
        <w:t>guides to the film</w:t>
      </w:r>
      <w:r w:rsidR="0043541D" w:rsidRPr="00813D19">
        <w:rPr>
          <w:lang w:val="en-US"/>
        </w:rPr>
        <w:t>,</w:t>
      </w:r>
      <w:r w:rsidR="00380A8D" w:rsidRPr="00813D19">
        <w:rPr>
          <w:lang w:val="en-US"/>
        </w:rPr>
        <w:t xml:space="preserve"> which </w:t>
      </w:r>
      <w:r w:rsidR="0043541D" w:rsidRPr="00813D19">
        <w:rPr>
          <w:lang w:val="en-US"/>
        </w:rPr>
        <w:t xml:space="preserve">was </w:t>
      </w:r>
      <w:r w:rsidR="00380A8D" w:rsidRPr="00813D19">
        <w:rPr>
          <w:lang w:val="en-US"/>
        </w:rPr>
        <w:t>part of the documentation. For these reasons</w:t>
      </w:r>
      <w:r w:rsidR="0043541D" w:rsidRPr="00813D19">
        <w:rPr>
          <w:lang w:val="en-US"/>
        </w:rPr>
        <w:t xml:space="preserve">, </w:t>
      </w:r>
      <w:r w:rsidR="00380A8D" w:rsidRPr="00813D19">
        <w:rPr>
          <w:lang w:val="en-US"/>
        </w:rPr>
        <w:t xml:space="preserve">it was important for </w:t>
      </w:r>
      <w:r w:rsidR="0043541D" w:rsidRPr="00813D19">
        <w:rPr>
          <w:lang w:val="en-US"/>
        </w:rPr>
        <w:t xml:space="preserve">the delegation </w:t>
      </w:r>
      <w:r w:rsidR="00380A8D" w:rsidRPr="00813D19">
        <w:rPr>
          <w:lang w:val="en-US"/>
        </w:rPr>
        <w:t xml:space="preserve">to be able to address </w:t>
      </w:r>
      <w:r w:rsidR="0043541D" w:rsidRPr="00813D19">
        <w:rPr>
          <w:lang w:val="en-US"/>
        </w:rPr>
        <w:t xml:space="preserve">the concerns </w:t>
      </w:r>
      <w:r w:rsidR="00380A8D" w:rsidRPr="00813D19">
        <w:rPr>
          <w:lang w:val="en-US"/>
        </w:rPr>
        <w:t xml:space="preserve">because </w:t>
      </w:r>
      <w:r w:rsidR="0043541D" w:rsidRPr="00813D19">
        <w:rPr>
          <w:lang w:val="en-US"/>
        </w:rPr>
        <w:t xml:space="preserve">it </w:t>
      </w:r>
      <w:r w:rsidR="00380A8D" w:rsidRPr="00813D19">
        <w:rPr>
          <w:lang w:val="en-US"/>
        </w:rPr>
        <w:t>believe</w:t>
      </w:r>
      <w:r w:rsidR="0043541D" w:rsidRPr="00813D19">
        <w:rPr>
          <w:lang w:val="en-US"/>
        </w:rPr>
        <w:t>d</w:t>
      </w:r>
      <w:r w:rsidR="00380A8D" w:rsidRPr="00813D19">
        <w:rPr>
          <w:lang w:val="en-US"/>
        </w:rPr>
        <w:t xml:space="preserve"> that </w:t>
      </w:r>
      <w:r w:rsidR="0043541D" w:rsidRPr="00813D19">
        <w:rPr>
          <w:lang w:val="en-US"/>
        </w:rPr>
        <w:t xml:space="preserve">the </w:t>
      </w:r>
      <w:r w:rsidR="00380A8D" w:rsidRPr="00813D19">
        <w:rPr>
          <w:lang w:val="en-US"/>
        </w:rPr>
        <w:t xml:space="preserve">element </w:t>
      </w:r>
      <w:r w:rsidR="00D42475">
        <w:rPr>
          <w:lang w:val="en-US"/>
        </w:rPr>
        <w:t>was</w:t>
      </w:r>
      <w:r w:rsidR="00D42475" w:rsidRPr="00813D19">
        <w:rPr>
          <w:lang w:val="en-US"/>
        </w:rPr>
        <w:t xml:space="preserve"> </w:t>
      </w:r>
      <w:r w:rsidR="00380A8D" w:rsidRPr="00813D19">
        <w:rPr>
          <w:lang w:val="en-US"/>
        </w:rPr>
        <w:t xml:space="preserve">an obvious part of intangible cultural heritage and could be of real benefit to the Representative List. However, </w:t>
      </w:r>
      <w:r w:rsidR="0043541D" w:rsidRPr="00813D19">
        <w:rPr>
          <w:lang w:val="en-US"/>
        </w:rPr>
        <w:t xml:space="preserve">it </w:t>
      </w:r>
      <w:r w:rsidR="00380A8D" w:rsidRPr="00813D19">
        <w:rPr>
          <w:lang w:val="en-US"/>
        </w:rPr>
        <w:t>fully respect</w:t>
      </w:r>
      <w:r w:rsidR="0043541D" w:rsidRPr="00813D19">
        <w:rPr>
          <w:lang w:val="en-US"/>
        </w:rPr>
        <w:t>ed</w:t>
      </w:r>
      <w:r w:rsidR="00380A8D" w:rsidRPr="00813D19">
        <w:rPr>
          <w:lang w:val="en-US"/>
        </w:rPr>
        <w:t xml:space="preserve"> the work of the Evaluation Body and </w:t>
      </w:r>
      <w:r w:rsidR="00F04927" w:rsidRPr="00813D19">
        <w:rPr>
          <w:lang w:val="en-US"/>
        </w:rPr>
        <w:t xml:space="preserve">was </w:t>
      </w:r>
      <w:r w:rsidR="00380A8D" w:rsidRPr="00813D19">
        <w:rPr>
          <w:lang w:val="en-US"/>
        </w:rPr>
        <w:t xml:space="preserve">prepared to clarify </w:t>
      </w:r>
      <w:r w:rsidR="0043541D" w:rsidRPr="00813D19">
        <w:rPr>
          <w:lang w:val="en-US"/>
        </w:rPr>
        <w:t xml:space="preserve">the </w:t>
      </w:r>
      <w:r w:rsidR="00380A8D" w:rsidRPr="00813D19">
        <w:rPr>
          <w:lang w:val="en-US"/>
        </w:rPr>
        <w:t xml:space="preserve">arguments and resubmit the revised nomination </w:t>
      </w:r>
      <w:r w:rsidR="00F04927" w:rsidRPr="00813D19">
        <w:rPr>
          <w:lang w:val="en-US"/>
        </w:rPr>
        <w:t xml:space="preserve">in </w:t>
      </w:r>
      <w:r w:rsidR="00E72560">
        <w:rPr>
          <w:lang w:val="en-US"/>
        </w:rPr>
        <w:t>the next cycle.</w:t>
      </w:r>
    </w:p>
    <w:p w14:paraId="63CF4B10" w14:textId="71F02DC7" w:rsidR="002833F8" w:rsidRPr="00E72560" w:rsidRDefault="002274AF" w:rsidP="002274AF">
      <w:pPr>
        <w:pStyle w:val="Orateurengris"/>
        <w:spacing w:before="120"/>
        <w:ind w:left="709" w:hanging="709"/>
        <w:rPr>
          <w:rFonts w:eastAsia="Times New Roman"/>
          <w:lang w:val="en-US"/>
        </w:rPr>
      </w:pPr>
      <w:r w:rsidRPr="00813D19">
        <w:rPr>
          <w:lang w:val="en-US"/>
        </w:rPr>
        <w:t xml:space="preserve">The </w:t>
      </w:r>
      <w:r w:rsidRPr="00813D19">
        <w:rPr>
          <w:b/>
          <w:lang w:val="en-US"/>
        </w:rPr>
        <w:t>Chairperson</w:t>
      </w:r>
      <w:r w:rsidRPr="00813D19">
        <w:rPr>
          <w:lang w:val="en-US"/>
        </w:rPr>
        <w:t xml:space="preserve"> proposed adopt</w:t>
      </w:r>
      <w:r w:rsidR="00D42475">
        <w:rPr>
          <w:lang w:val="en-US"/>
        </w:rPr>
        <w:t>ing</w:t>
      </w:r>
      <w:r w:rsidRPr="00813D19">
        <w:rPr>
          <w:lang w:val="en-US"/>
        </w:rPr>
        <w:t xml:space="preserve"> the draft decision as a whole</w:t>
      </w:r>
      <w:r w:rsidR="00E72560">
        <w:rPr>
          <w:lang w:val="en-US"/>
        </w:rPr>
        <w:t>.</w:t>
      </w:r>
    </w:p>
    <w:p w14:paraId="046CF704" w14:textId="11478AF5" w:rsidR="002833F8" w:rsidRPr="00E72560" w:rsidRDefault="002833F8" w:rsidP="002274AF">
      <w:pPr>
        <w:pStyle w:val="Orateurengris"/>
        <w:spacing w:before="120"/>
        <w:ind w:left="709" w:hanging="709"/>
        <w:rPr>
          <w:rFonts w:eastAsia="Times New Roman"/>
          <w:lang w:val="en-US"/>
        </w:rPr>
      </w:pPr>
      <w:r w:rsidRPr="00813D19">
        <w:rPr>
          <w:lang w:val="en-US"/>
        </w:rPr>
        <w:t xml:space="preserve">The </w:t>
      </w:r>
      <w:r w:rsidRPr="00813D19">
        <w:rPr>
          <w:b/>
          <w:lang w:val="en-US"/>
        </w:rPr>
        <w:t>delegation of Poland</w:t>
      </w:r>
      <w:r w:rsidR="006D01F7" w:rsidRPr="00813D19">
        <w:rPr>
          <w:b/>
          <w:lang w:val="en-US"/>
        </w:rPr>
        <w:t xml:space="preserve"> </w:t>
      </w:r>
      <w:r w:rsidR="006D01F7" w:rsidRPr="00813D19">
        <w:rPr>
          <w:lang w:val="en-US"/>
        </w:rPr>
        <w:t>wished to hear</w:t>
      </w:r>
      <w:r w:rsidR="006D01F7" w:rsidRPr="00813D19">
        <w:rPr>
          <w:b/>
          <w:lang w:val="en-US"/>
        </w:rPr>
        <w:t xml:space="preserve"> </w:t>
      </w:r>
      <w:r w:rsidR="006D01F7" w:rsidRPr="00813D19">
        <w:rPr>
          <w:lang w:val="en-US"/>
        </w:rPr>
        <w:t xml:space="preserve">the </w:t>
      </w:r>
      <w:r w:rsidR="00380A8D" w:rsidRPr="00813D19">
        <w:rPr>
          <w:lang w:val="en-US"/>
        </w:rPr>
        <w:t xml:space="preserve">response </w:t>
      </w:r>
      <w:r w:rsidR="006D01F7" w:rsidRPr="00813D19">
        <w:rPr>
          <w:lang w:val="en-US"/>
        </w:rPr>
        <w:t xml:space="preserve">of the Evaluation Body </w:t>
      </w:r>
      <w:r w:rsidR="00380A8D" w:rsidRPr="00813D19">
        <w:rPr>
          <w:lang w:val="en-US"/>
        </w:rPr>
        <w:t>on the stat</w:t>
      </w:r>
      <w:r w:rsidR="006D01F7" w:rsidRPr="00813D19">
        <w:rPr>
          <w:lang w:val="en-US"/>
        </w:rPr>
        <w:t>ement just presented by Czechia</w:t>
      </w:r>
      <w:r w:rsidR="006D01F7" w:rsidRPr="00E72560">
        <w:rPr>
          <w:lang w:val="en-US"/>
        </w:rPr>
        <w:t>.</w:t>
      </w:r>
    </w:p>
    <w:p w14:paraId="7B8B9130" w14:textId="2619188A" w:rsidR="00984417" w:rsidRPr="00E72560" w:rsidRDefault="00984417" w:rsidP="002274AF">
      <w:pPr>
        <w:pStyle w:val="Orateurengris"/>
        <w:spacing w:before="120"/>
        <w:ind w:left="709" w:hanging="709"/>
        <w:rPr>
          <w:rFonts w:eastAsia="Times New Roman"/>
          <w:lang w:val="en-US"/>
        </w:rPr>
      </w:pPr>
      <w:r w:rsidRPr="00813D19">
        <w:rPr>
          <w:lang w:val="en-US"/>
        </w:rPr>
        <w:t xml:space="preserve">The </w:t>
      </w:r>
      <w:r w:rsidRPr="00813D19">
        <w:rPr>
          <w:b/>
          <w:lang w:val="en-US"/>
        </w:rPr>
        <w:t>Chairperson of the Evaluation Body</w:t>
      </w:r>
      <w:r w:rsidRPr="00813D19">
        <w:rPr>
          <w:lang w:val="en-US"/>
        </w:rPr>
        <w:t xml:space="preserve"> </w:t>
      </w:r>
      <w:r w:rsidR="0043541D" w:rsidRPr="00813D19">
        <w:rPr>
          <w:lang w:val="en-US"/>
        </w:rPr>
        <w:t>explained that this file</w:t>
      </w:r>
      <w:r w:rsidR="00380A8D" w:rsidRPr="00813D19">
        <w:rPr>
          <w:lang w:val="en-US"/>
        </w:rPr>
        <w:t xml:space="preserve"> did not clearly explain how the ot</w:t>
      </w:r>
      <w:r w:rsidR="00BA14F9" w:rsidRPr="00813D19">
        <w:rPr>
          <w:lang w:val="en-US"/>
        </w:rPr>
        <w:t>her stakeholders were involved</w:t>
      </w:r>
      <w:r w:rsidR="0043541D" w:rsidRPr="00813D19">
        <w:rPr>
          <w:lang w:val="en-US"/>
        </w:rPr>
        <w:t xml:space="preserve"> as </w:t>
      </w:r>
      <w:r w:rsidR="00380A8D" w:rsidRPr="00813D19">
        <w:rPr>
          <w:lang w:val="en-US"/>
        </w:rPr>
        <w:t xml:space="preserve">the factory </w:t>
      </w:r>
      <w:r w:rsidR="0043541D" w:rsidRPr="00813D19">
        <w:rPr>
          <w:lang w:val="en-US"/>
        </w:rPr>
        <w:t>appeared to play</w:t>
      </w:r>
      <w:r w:rsidR="00380A8D" w:rsidRPr="00813D19">
        <w:rPr>
          <w:lang w:val="en-US"/>
        </w:rPr>
        <w:t xml:space="preserve"> a very </w:t>
      </w:r>
      <w:r w:rsidR="0043541D" w:rsidRPr="00813D19">
        <w:rPr>
          <w:lang w:val="en-US"/>
        </w:rPr>
        <w:t xml:space="preserve">central </w:t>
      </w:r>
      <w:r w:rsidR="00380A8D" w:rsidRPr="00813D19">
        <w:rPr>
          <w:lang w:val="en-US"/>
        </w:rPr>
        <w:t>role</w:t>
      </w:r>
      <w:r w:rsidR="0043541D" w:rsidRPr="00813D19">
        <w:rPr>
          <w:lang w:val="en-US"/>
        </w:rPr>
        <w:t>,</w:t>
      </w:r>
      <w:r w:rsidR="00380A8D" w:rsidRPr="00813D19">
        <w:rPr>
          <w:lang w:val="en-US"/>
        </w:rPr>
        <w:t xml:space="preserve"> and </w:t>
      </w:r>
      <w:r w:rsidR="0043541D" w:rsidRPr="00813D19">
        <w:rPr>
          <w:lang w:val="en-US"/>
        </w:rPr>
        <w:t xml:space="preserve">the Body was unable to identify </w:t>
      </w:r>
      <w:r w:rsidR="00380A8D" w:rsidRPr="00813D19">
        <w:rPr>
          <w:lang w:val="en-US"/>
        </w:rPr>
        <w:t xml:space="preserve">where </w:t>
      </w:r>
      <w:r w:rsidR="0043541D" w:rsidRPr="00813D19">
        <w:rPr>
          <w:lang w:val="en-US"/>
        </w:rPr>
        <w:t xml:space="preserve">they had given </w:t>
      </w:r>
      <w:r w:rsidR="00380A8D" w:rsidRPr="00813D19">
        <w:rPr>
          <w:lang w:val="en-US"/>
        </w:rPr>
        <w:t>consent</w:t>
      </w:r>
      <w:r w:rsidR="0043541D" w:rsidRPr="00813D19">
        <w:rPr>
          <w:lang w:val="en-US"/>
        </w:rPr>
        <w:t xml:space="preserve"> in the form</w:t>
      </w:r>
      <w:r w:rsidR="00380A8D" w:rsidRPr="00813D19">
        <w:rPr>
          <w:lang w:val="en-US"/>
        </w:rPr>
        <w:t>. At the same time</w:t>
      </w:r>
      <w:r w:rsidR="0043541D" w:rsidRPr="00813D19">
        <w:rPr>
          <w:lang w:val="en-US"/>
        </w:rPr>
        <w:t>,</w:t>
      </w:r>
      <w:r w:rsidR="00380A8D" w:rsidRPr="00813D19">
        <w:rPr>
          <w:lang w:val="en-US"/>
        </w:rPr>
        <w:t xml:space="preserve"> criterion R.2 </w:t>
      </w:r>
      <w:r w:rsidR="0043541D" w:rsidRPr="00813D19">
        <w:rPr>
          <w:lang w:val="en-US"/>
        </w:rPr>
        <w:t xml:space="preserve">was unclear </w:t>
      </w:r>
      <w:r w:rsidR="00380A8D" w:rsidRPr="00813D19">
        <w:rPr>
          <w:lang w:val="en-US"/>
        </w:rPr>
        <w:t xml:space="preserve">in terms of raising the visibility of this element. </w:t>
      </w:r>
      <w:r w:rsidR="0043541D" w:rsidRPr="00813D19">
        <w:rPr>
          <w:lang w:val="en-US"/>
        </w:rPr>
        <w:t xml:space="preserve">The Chairperson took the opportunity to </w:t>
      </w:r>
      <w:r w:rsidR="00380A8D" w:rsidRPr="00813D19">
        <w:rPr>
          <w:lang w:val="en-US"/>
        </w:rPr>
        <w:t xml:space="preserve">echo </w:t>
      </w:r>
      <w:r w:rsidR="0043541D" w:rsidRPr="00813D19">
        <w:rPr>
          <w:lang w:val="en-US"/>
        </w:rPr>
        <w:t xml:space="preserve">the remarks by the Secretariat in that </w:t>
      </w:r>
      <w:r w:rsidR="00380A8D" w:rsidRPr="00813D19">
        <w:rPr>
          <w:lang w:val="en-US"/>
        </w:rPr>
        <w:t xml:space="preserve">a referral </w:t>
      </w:r>
      <w:r w:rsidR="0043541D" w:rsidRPr="00813D19">
        <w:rPr>
          <w:lang w:val="en-US"/>
        </w:rPr>
        <w:t>to a nomination</w:t>
      </w:r>
      <w:r w:rsidR="00380A8D" w:rsidRPr="00813D19">
        <w:rPr>
          <w:lang w:val="en-US"/>
        </w:rPr>
        <w:t xml:space="preserve"> </w:t>
      </w:r>
      <w:r w:rsidR="00CC11DC" w:rsidRPr="00813D19">
        <w:rPr>
          <w:lang w:val="en-US"/>
        </w:rPr>
        <w:t>was</w:t>
      </w:r>
      <w:r w:rsidR="00380A8D" w:rsidRPr="00813D19">
        <w:rPr>
          <w:lang w:val="en-US"/>
        </w:rPr>
        <w:t xml:space="preserve"> not a rejection. The information contained in the file was </w:t>
      </w:r>
      <w:r w:rsidR="0043541D" w:rsidRPr="00813D19">
        <w:rPr>
          <w:lang w:val="en-US"/>
        </w:rPr>
        <w:t xml:space="preserve">simply </w:t>
      </w:r>
      <w:r w:rsidR="00380A8D" w:rsidRPr="00813D19">
        <w:rPr>
          <w:lang w:val="en-US"/>
        </w:rPr>
        <w:t xml:space="preserve">not sufficient to enable </w:t>
      </w:r>
      <w:r w:rsidR="0043541D" w:rsidRPr="00813D19">
        <w:rPr>
          <w:lang w:val="en-US"/>
        </w:rPr>
        <w:t xml:space="preserve">the Body </w:t>
      </w:r>
      <w:r w:rsidR="00380A8D" w:rsidRPr="00813D19">
        <w:rPr>
          <w:lang w:val="en-US"/>
        </w:rPr>
        <w:t xml:space="preserve">to determine that </w:t>
      </w:r>
      <w:r w:rsidR="0043541D" w:rsidRPr="00813D19">
        <w:rPr>
          <w:lang w:val="en-US"/>
        </w:rPr>
        <w:t xml:space="preserve">the file </w:t>
      </w:r>
      <w:r w:rsidR="00380A8D" w:rsidRPr="00813D19">
        <w:rPr>
          <w:lang w:val="en-US"/>
        </w:rPr>
        <w:t xml:space="preserve">satisfied </w:t>
      </w:r>
      <w:r w:rsidR="0043541D" w:rsidRPr="00813D19">
        <w:rPr>
          <w:lang w:val="en-US"/>
        </w:rPr>
        <w:t xml:space="preserve">all the </w:t>
      </w:r>
      <w:r w:rsidR="00380A8D" w:rsidRPr="00813D19">
        <w:rPr>
          <w:lang w:val="en-US"/>
        </w:rPr>
        <w:t>criteria</w:t>
      </w:r>
      <w:r w:rsidR="0043541D" w:rsidRPr="00813D19">
        <w:rPr>
          <w:lang w:val="en-US"/>
        </w:rPr>
        <w:t xml:space="preserve">, hence </w:t>
      </w:r>
      <w:r w:rsidR="00CC11DC" w:rsidRPr="00813D19">
        <w:rPr>
          <w:lang w:val="en-US"/>
        </w:rPr>
        <w:t xml:space="preserve">its </w:t>
      </w:r>
      <w:r w:rsidR="00E72560">
        <w:rPr>
          <w:lang w:val="en-US"/>
        </w:rPr>
        <w:t>recommendation.</w:t>
      </w:r>
    </w:p>
    <w:p w14:paraId="337BB432" w14:textId="03C577F1" w:rsidR="00E9418E" w:rsidRPr="00E72560" w:rsidRDefault="00E9418E" w:rsidP="002274AF">
      <w:pPr>
        <w:pStyle w:val="Orateurengris"/>
        <w:spacing w:before="120"/>
        <w:ind w:left="709" w:hanging="709"/>
        <w:rPr>
          <w:rFonts w:eastAsia="Times New Roman"/>
          <w:lang w:val="en-US"/>
        </w:rPr>
      </w:pPr>
      <w:r w:rsidRPr="00E72560">
        <w:rPr>
          <w:lang w:val="en-US"/>
        </w:rPr>
        <w:t xml:space="preserve">The </w:t>
      </w:r>
      <w:r w:rsidRPr="00E72560">
        <w:rPr>
          <w:b/>
          <w:lang w:val="en-US"/>
        </w:rPr>
        <w:t>delegation of Palestine</w:t>
      </w:r>
      <w:r w:rsidRPr="00E72560">
        <w:rPr>
          <w:lang w:val="en-US"/>
        </w:rPr>
        <w:t xml:space="preserve"> </w:t>
      </w:r>
      <w:r w:rsidR="008D5471" w:rsidRPr="00E72560">
        <w:rPr>
          <w:bCs/>
          <w:lang w:val="en-US"/>
        </w:rPr>
        <w:t xml:space="preserve">thanked </w:t>
      </w:r>
      <w:r w:rsidR="00380A8D" w:rsidRPr="00E72560">
        <w:rPr>
          <w:bCs/>
          <w:lang w:val="en-US"/>
        </w:rPr>
        <w:t xml:space="preserve">Poland for </w:t>
      </w:r>
      <w:r w:rsidR="008D5471" w:rsidRPr="00E72560">
        <w:rPr>
          <w:bCs/>
          <w:lang w:val="en-US"/>
        </w:rPr>
        <w:t xml:space="preserve">its </w:t>
      </w:r>
      <w:r w:rsidR="00380A8D" w:rsidRPr="00E72560">
        <w:rPr>
          <w:bCs/>
          <w:lang w:val="en-US"/>
        </w:rPr>
        <w:t xml:space="preserve">question </w:t>
      </w:r>
      <w:r w:rsidR="008D5471" w:rsidRPr="00E72560">
        <w:rPr>
          <w:bCs/>
          <w:lang w:val="en-US"/>
        </w:rPr>
        <w:t xml:space="preserve">and the Evaluation Body, expressing </w:t>
      </w:r>
      <w:r w:rsidR="009A1557" w:rsidRPr="00E72560">
        <w:rPr>
          <w:bCs/>
          <w:lang w:val="en-US"/>
        </w:rPr>
        <w:t xml:space="preserve">its </w:t>
      </w:r>
      <w:r w:rsidR="00380A8D" w:rsidRPr="00E72560">
        <w:rPr>
          <w:bCs/>
          <w:lang w:val="en-US"/>
        </w:rPr>
        <w:t>sincere thanks to the elegant way Czechia</w:t>
      </w:r>
      <w:r w:rsidR="009A1557" w:rsidRPr="00E72560">
        <w:rPr>
          <w:bCs/>
          <w:lang w:val="en-US"/>
        </w:rPr>
        <w:t xml:space="preserve"> had</w:t>
      </w:r>
      <w:r w:rsidR="00380A8D" w:rsidRPr="00E72560">
        <w:rPr>
          <w:bCs/>
          <w:lang w:val="en-US"/>
        </w:rPr>
        <w:t xml:space="preserve"> dealt with </w:t>
      </w:r>
      <w:r w:rsidR="008D5471" w:rsidRPr="00E72560">
        <w:rPr>
          <w:bCs/>
          <w:lang w:val="en-US"/>
        </w:rPr>
        <w:t xml:space="preserve">its </w:t>
      </w:r>
      <w:r w:rsidR="00E72560">
        <w:rPr>
          <w:bCs/>
          <w:lang w:val="en-US"/>
        </w:rPr>
        <w:t>file.</w:t>
      </w:r>
    </w:p>
    <w:p w14:paraId="57ECD89A" w14:textId="2BCF39AE" w:rsidR="002274AF" w:rsidRPr="00E72560" w:rsidRDefault="002274AF" w:rsidP="002274AF">
      <w:pPr>
        <w:pStyle w:val="Orateurengris"/>
        <w:spacing w:before="120"/>
        <w:ind w:left="709" w:hanging="709"/>
        <w:rPr>
          <w:rFonts w:eastAsia="Times New Roman"/>
          <w:bCs/>
          <w:lang w:val="en-US"/>
        </w:rPr>
      </w:pPr>
      <w:r w:rsidRPr="00813D19">
        <w:rPr>
          <w:lang w:val="en-US"/>
        </w:rPr>
        <w:t xml:space="preserve">With no further comments or objections, the </w:t>
      </w:r>
      <w:r w:rsidRPr="00813D19">
        <w:rPr>
          <w:b/>
          <w:lang w:val="en-US"/>
        </w:rPr>
        <w:t xml:space="preserve">Chairperson declared Decision </w:t>
      </w:r>
      <w:hyperlink r:id="rId113" w:history="1">
        <w:r w:rsidRPr="00813D19">
          <w:rPr>
            <w:rStyle w:val="Hyperlink"/>
            <w:b/>
            <w:lang w:val="en-US"/>
          </w:rPr>
          <w:t>13.COM</w:t>
        </w:r>
        <w:r w:rsidR="00992896">
          <w:rPr>
            <w:rStyle w:val="Hyperlink"/>
            <w:b/>
            <w:lang w:val="en-US"/>
          </w:rPr>
          <w:t> </w:t>
        </w:r>
        <w:r w:rsidRPr="00813D19">
          <w:rPr>
            <w:rStyle w:val="Hyperlink"/>
            <w:b/>
            <w:lang w:val="en-US"/>
          </w:rPr>
          <w:t>10.b.12</w:t>
        </w:r>
      </w:hyperlink>
      <w:r w:rsidRPr="00813D19">
        <w:rPr>
          <w:b/>
          <w:lang w:val="en-US"/>
        </w:rPr>
        <w:t xml:space="preserve"> adopted to refer </w:t>
      </w:r>
      <w:r w:rsidRPr="00813D19">
        <w:rPr>
          <w:b/>
          <w:color w:val="000000" w:themeColor="text1"/>
          <w:lang w:val="en-US"/>
        </w:rPr>
        <w:t>Handmade production of Christmas tree decorations from blown glass beads to the submitting State</w:t>
      </w:r>
      <w:r w:rsidRPr="00E72560">
        <w:rPr>
          <w:bCs/>
          <w:snapToGrid/>
          <w:color w:val="000000" w:themeColor="text1"/>
          <w:lang w:val="en-US"/>
        </w:rPr>
        <w:t>.</w:t>
      </w:r>
    </w:p>
    <w:p w14:paraId="721E5DF0" w14:textId="11E51676" w:rsidR="00F32BC1" w:rsidRPr="00813D19" w:rsidRDefault="00FD6E01" w:rsidP="00F32BC1">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Pr="00813D19">
        <w:rPr>
          <w:b/>
          <w:color w:val="000000" w:themeColor="text1"/>
          <w:lang w:val="en-US"/>
        </w:rPr>
        <w:t>of the Evaluation Body</w:t>
      </w:r>
      <w:r w:rsidRPr="00813D19">
        <w:rPr>
          <w:color w:val="000000" w:themeColor="text1"/>
          <w:lang w:val="en-US"/>
        </w:rPr>
        <w:t xml:space="preserve"> turned to the next nomination</w:t>
      </w:r>
      <w:r w:rsidR="009A1557">
        <w:rPr>
          <w:color w:val="000000" w:themeColor="text1"/>
          <w:lang w:val="en-US"/>
        </w:rPr>
        <w:t>,</w:t>
      </w:r>
      <w:r w:rsidRPr="00813D19">
        <w:rPr>
          <w:color w:val="000000" w:themeColor="text1"/>
          <w:lang w:val="en-US"/>
        </w:rPr>
        <w:t xml:space="preserve"> </w:t>
      </w:r>
      <w:r w:rsidRPr="00813D19">
        <w:rPr>
          <w:b/>
          <w:color w:val="000000" w:themeColor="text1"/>
          <w:lang w:val="en-US"/>
        </w:rPr>
        <w:t>The skills related to perfume in Pays de Grasse: the cultivation of perfume plants, the knowledge and processing of natural raw materials, and the art of perfume composition</w:t>
      </w:r>
      <w:r w:rsidRPr="00813D19">
        <w:rPr>
          <w:color w:val="000000" w:themeColor="text1"/>
          <w:lang w:val="en-US"/>
        </w:rPr>
        <w:t xml:space="preserve"> [draft decision 13.COM 10.b.14]</w:t>
      </w:r>
      <w:r w:rsidR="009A1557">
        <w:rPr>
          <w:color w:val="000000" w:themeColor="text1"/>
          <w:lang w:val="en-US"/>
        </w:rPr>
        <w:t>,</w:t>
      </w:r>
      <w:r w:rsidRPr="00813D19">
        <w:rPr>
          <w:color w:val="000000" w:themeColor="text1"/>
          <w:lang w:val="en-US"/>
        </w:rPr>
        <w:t xml:space="preserve"> submitted by </w:t>
      </w:r>
      <w:r w:rsidRPr="00813D19">
        <w:rPr>
          <w:b/>
          <w:color w:val="000000" w:themeColor="text1"/>
          <w:lang w:val="en-US"/>
        </w:rPr>
        <w:t>France</w:t>
      </w:r>
      <w:r w:rsidRPr="00813D19">
        <w:rPr>
          <w:color w:val="000000" w:themeColor="text1"/>
          <w:lang w:val="en-US"/>
        </w:rPr>
        <w:t xml:space="preserve">. </w:t>
      </w:r>
      <w:r w:rsidR="00F32BC1" w:rsidRPr="00813D19">
        <w:rPr>
          <w:lang w:val="en-US"/>
        </w:rPr>
        <w:t>The skills related to pe</w:t>
      </w:r>
      <w:r w:rsidR="00CE316F" w:rsidRPr="00813D19">
        <w:rPr>
          <w:lang w:val="en-US"/>
        </w:rPr>
        <w:t>rfume in Pays de Grasse entail</w:t>
      </w:r>
      <w:r w:rsidR="00F32BC1" w:rsidRPr="00813D19">
        <w:rPr>
          <w:lang w:val="en-US"/>
        </w:rPr>
        <w:t xml:space="preserve"> th</w:t>
      </w:r>
      <w:r w:rsidR="00CE316F" w:rsidRPr="00813D19">
        <w:rPr>
          <w:lang w:val="en-US"/>
        </w:rPr>
        <w:t>e cultivation of perfume plants,</w:t>
      </w:r>
      <w:r w:rsidR="00F32BC1" w:rsidRPr="00813D19">
        <w:rPr>
          <w:lang w:val="en-US"/>
        </w:rPr>
        <w:t xml:space="preserve"> the knowledge and proc</w:t>
      </w:r>
      <w:r w:rsidR="00CE316F" w:rsidRPr="00813D19">
        <w:rPr>
          <w:lang w:val="en-US"/>
        </w:rPr>
        <w:t>essing of natural raw materials,</w:t>
      </w:r>
      <w:r w:rsidR="00F32BC1" w:rsidRPr="00813D19">
        <w:rPr>
          <w:lang w:val="en-US"/>
        </w:rPr>
        <w:t xml:space="preserve"> and the art of perfume composition. The practice involves a wide range of communities and groups. Perfume forges social bonds and provides an important source of seasonal labo</w:t>
      </w:r>
      <w:r w:rsidR="00FB131E">
        <w:rPr>
          <w:lang w:val="en-US"/>
        </w:rPr>
        <w:t>u</w:t>
      </w:r>
      <w:r w:rsidR="00F32BC1" w:rsidRPr="00813D19">
        <w:rPr>
          <w:lang w:val="en-US"/>
        </w:rPr>
        <w:t>r. From the information included in th</w:t>
      </w:r>
      <w:r w:rsidR="00CE316F" w:rsidRPr="00813D19">
        <w:rPr>
          <w:lang w:val="en-US"/>
        </w:rPr>
        <w:t>e file, the nomination satisfied</w:t>
      </w:r>
      <w:r w:rsidR="00F32BC1" w:rsidRPr="00813D19">
        <w:rPr>
          <w:lang w:val="en-US"/>
        </w:rPr>
        <w:t xml:space="preserve"> all five criteria. The Evaluation Body considered the skills related to perfume production in Pays de Grasse </w:t>
      </w:r>
      <w:r w:rsidR="009A1557">
        <w:rPr>
          <w:lang w:val="en-US"/>
        </w:rPr>
        <w:t>to be</w:t>
      </w:r>
      <w:r w:rsidR="009A1557" w:rsidRPr="00813D19">
        <w:rPr>
          <w:lang w:val="en-US"/>
        </w:rPr>
        <w:t xml:space="preserve"> </w:t>
      </w:r>
      <w:r w:rsidR="00F32BC1" w:rsidRPr="00813D19">
        <w:rPr>
          <w:lang w:val="en-US"/>
        </w:rPr>
        <w:t>transmitted by three groups of interrelated, interdependent traditional bearers, thereby creating social bonds a</w:t>
      </w:r>
      <w:r w:rsidR="00CE316F" w:rsidRPr="00813D19">
        <w:rPr>
          <w:lang w:val="en-US"/>
        </w:rPr>
        <w:t xml:space="preserve">cross society and generations. </w:t>
      </w:r>
      <w:r w:rsidR="00F32BC1" w:rsidRPr="00813D19">
        <w:rPr>
          <w:lang w:val="en-US"/>
        </w:rPr>
        <w:t>The practice encourages cultural dialogue with other communities and serves as a symbol of the community’s identity. The community of practitioners, traditional bearers and other relevant stakeholders widely supported the nomination process. The Evaluation Body invite</w:t>
      </w:r>
      <w:r w:rsidR="00CE316F" w:rsidRPr="00813D19">
        <w:rPr>
          <w:lang w:val="en-US"/>
        </w:rPr>
        <w:t>d</w:t>
      </w:r>
      <w:r w:rsidR="00F32BC1" w:rsidRPr="00813D19">
        <w:rPr>
          <w:lang w:val="en-US"/>
        </w:rPr>
        <w:t xml:space="preserve"> the State Party to take into consideration the high risk of over-commercializati</w:t>
      </w:r>
      <w:r w:rsidR="00CE316F" w:rsidRPr="00813D19">
        <w:rPr>
          <w:lang w:val="en-US"/>
        </w:rPr>
        <w:t>on of the element and encouraged</w:t>
      </w:r>
      <w:r w:rsidR="00F32BC1" w:rsidRPr="00813D19">
        <w:rPr>
          <w:lang w:val="en-US"/>
        </w:rPr>
        <w:t xml:space="preserve"> it to remain focused on the cultural and social aspects of the element when planning and implementing the safeguarding measures</w:t>
      </w:r>
      <w:r w:rsidR="00CE316F" w:rsidRPr="00813D19">
        <w:rPr>
          <w:lang w:val="en-US"/>
        </w:rPr>
        <w:t>. The Evaluation Body recommended</w:t>
      </w:r>
      <w:r w:rsidR="00F32BC1" w:rsidRPr="00813D19">
        <w:rPr>
          <w:lang w:val="en-US"/>
        </w:rPr>
        <w:t xml:space="preserve"> that the Committee inscribe the skills related to perfume in Pays de Grasse: the cultivation of perfume plants, the knowledge and processing of natural raw materials, and the art of perfume composition on the Representative List.</w:t>
      </w:r>
    </w:p>
    <w:p w14:paraId="4090ADFD" w14:textId="77777777" w:rsidR="007B73B9" w:rsidRPr="00813D19" w:rsidRDefault="007B73B9" w:rsidP="007B73B9">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032297E9" w14:textId="1C9B6A89" w:rsidR="00380A8D" w:rsidRPr="00E72560" w:rsidRDefault="007B73B9" w:rsidP="00380A8D">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DF11F2" w:rsidRPr="00813D19">
        <w:rPr>
          <w:b/>
          <w:lang w:val="en-US"/>
        </w:rPr>
        <w:t xml:space="preserve">Chairperson declared Decision </w:t>
      </w:r>
      <w:hyperlink r:id="rId114" w:history="1">
        <w:r w:rsidR="00DF11F2" w:rsidRPr="00813D19">
          <w:rPr>
            <w:rStyle w:val="Hyperlink"/>
            <w:b/>
            <w:lang w:val="en-US"/>
          </w:rPr>
          <w:t>13.COM</w:t>
        </w:r>
        <w:r w:rsidR="00992896">
          <w:rPr>
            <w:rStyle w:val="Hyperlink"/>
            <w:b/>
            <w:lang w:val="en-US"/>
          </w:rPr>
          <w:t> </w:t>
        </w:r>
        <w:r w:rsidR="00DF11F2" w:rsidRPr="00813D19">
          <w:rPr>
            <w:rStyle w:val="Hyperlink"/>
            <w:b/>
            <w:lang w:val="en-US"/>
          </w:rPr>
          <w:t>10.b.1</w:t>
        </w:r>
        <w:r w:rsidR="007728AC" w:rsidRPr="00813D19">
          <w:rPr>
            <w:rStyle w:val="Hyperlink"/>
            <w:b/>
            <w:lang w:val="en-US"/>
          </w:rPr>
          <w:t>4</w:t>
        </w:r>
      </w:hyperlink>
      <w:r w:rsidR="00DF11F2" w:rsidRPr="00813D19">
        <w:rPr>
          <w:b/>
          <w:lang w:val="en-US"/>
        </w:rPr>
        <w:t xml:space="preserve"> adopted to inscribe </w:t>
      </w:r>
      <w:r w:rsidR="007728AC" w:rsidRPr="00813D19">
        <w:rPr>
          <w:b/>
          <w:color w:val="000000" w:themeColor="text1"/>
          <w:lang w:val="en-US"/>
        </w:rPr>
        <w:t>The skills related to perfume in Pays de Grasse: the cultivation of perfume plants, the knowledge and processing of natural raw materials, and the art of perfume composition</w:t>
      </w:r>
      <w:r w:rsidR="007728AC" w:rsidRPr="00813D19">
        <w:rPr>
          <w:color w:val="000000" w:themeColor="text1"/>
          <w:lang w:val="en-US"/>
        </w:rPr>
        <w:t xml:space="preserve"> </w:t>
      </w:r>
      <w:r w:rsidR="00DF11F2" w:rsidRPr="00813D19">
        <w:rPr>
          <w:b/>
          <w:color w:val="000000" w:themeColor="text1"/>
          <w:lang w:val="en-US"/>
        </w:rPr>
        <w:t>on the Representative List</w:t>
      </w:r>
      <w:r w:rsidR="00DF11F2" w:rsidRPr="00E72560">
        <w:rPr>
          <w:bCs/>
          <w:snapToGrid/>
          <w:color w:val="000000" w:themeColor="text1"/>
          <w:lang w:val="en-US"/>
        </w:rPr>
        <w:t>.</w:t>
      </w:r>
    </w:p>
    <w:p w14:paraId="12555D29" w14:textId="724EDC2D" w:rsidR="00EC6DFB" w:rsidRPr="00E72560" w:rsidRDefault="00380A8D" w:rsidP="00380A8D">
      <w:pPr>
        <w:pStyle w:val="Orateurengris"/>
        <w:spacing w:before="120"/>
        <w:ind w:left="709" w:hanging="709"/>
        <w:rPr>
          <w:rFonts w:eastAsia="Times New Roman"/>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France</w:t>
      </w:r>
      <w:r w:rsidRPr="00813D19">
        <w:rPr>
          <w:rFonts w:eastAsia="Calibri"/>
          <w:color w:val="000000" w:themeColor="text1"/>
          <w:lang w:val="en-US"/>
        </w:rPr>
        <w:t xml:space="preserve"> </w:t>
      </w:r>
      <w:r w:rsidR="00EC6DFB" w:rsidRPr="00813D19">
        <w:rPr>
          <w:rFonts w:eastAsia="Calibri"/>
          <w:color w:val="000000" w:themeColor="text1"/>
          <w:lang w:val="en-US"/>
        </w:rPr>
        <w:t xml:space="preserve">thanked the Chairperson </w:t>
      </w:r>
      <w:r w:rsidR="0087667B" w:rsidRPr="00813D19">
        <w:rPr>
          <w:rFonts w:eastAsia="Calibri"/>
          <w:color w:val="000000" w:themeColor="text1"/>
          <w:lang w:val="en-US"/>
        </w:rPr>
        <w:t xml:space="preserve">for his remarkable chairing, </w:t>
      </w:r>
      <w:r w:rsidR="00EC6DFB" w:rsidRPr="00813D19">
        <w:rPr>
          <w:rFonts w:eastAsia="Calibri"/>
          <w:color w:val="000000" w:themeColor="text1"/>
          <w:lang w:val="en-US"/>
        </w:rPr>
        <w:t>UNESCO for the inscription of France’s 17</w:t>
      </w:r>
      <w:r w:rsidR="00EC6DFB" w:rsidRPr="003221D5">
        <w:rPr>
          <w:rFonts w:eastAsia="Calibri"/>
          <w:color w:val="000000" w:themeColor="text1"/>
          <w:lang w:val="en-US"/>
        </w:rPr>
        <w:t>th</w:t>
      </w:r>
      <w:r w:rsidR="00EC6DFB" w:rsidRPr="00B837A7">
        <w:rPr>
          <w:rFonts w:eastAsia="Calibri"/>
          <w:color w:val="000000" w:themeColor="text1"/>
          <w:lang w:val="en-US"/>
        </w:rPr>
        <w:t xml:space="preserve"> </w:t>
      </w:r>
      <w:r w:rsidR="00EC6DFB" w:rsidRPr="00813D19">
        <w:rPr>
          <w:rFonts w:eastAsia="Calibri"/>
          <w:color w:val="000000" w:themeColor="text1"/>
          <w:lang w:val="en-US"/>
        </w:rPr>
        <w:t>element of intangible cultural</w:t>
      </w:r>
      <w:r w:rsidR="0087667B" w:rsidRPr="00813D19">
        <w:rPr>
          <w:rFonts w:eastAsia="Calibri"/>
          <w:color w:val="000000" w:themeColor="text1"/>
          <w:lang w:val="en-US"/>
        </w:rPr>
        <w:t xml:space="preserve"> heritage, </w:t>
      </w:r>
      <w:r w:rsidR="00EC6DFB" w:rsidRPr="00813D19">
        <w:rPr>
          <w:rFonts w:eastAsia="Calibri"/>
          <w:color w:val="000000" w:themeColor="text1"/>
          <w:lang w:val="en-US"/>
        </w:rPr>
        <w:t xml:space="preserve">the Committee and </w:t>
      </w:r>
      <w:r w:rsidR="0087667B" w:rsidRPr="00813D19">
        <w:rPr>
          <w:rFonts w:eastAsia="Calibri"/>
          <w:color w:val="000000" w:themeColor="text1"/>
          <w:lang w:val="en-US"/>
        </w:rPr>
        <w:t xml:space="preserve">the </w:t>
      </w:r>
      <w:r w:rsidR="00C414A2" w:rsidRPr="00813D19">
        <w:rPr>
          <w:rFonts w:eastAsia="Calibri"/>
          <w:color w:val="000000" w:themeColor="text1"/>
          <w:lang w:val="en-US"/>
        </w:rPr>
        <w:t>Evaluation Body, giving the floo</w:t>
      </w:r>
      <w:r w:rsidR="0087667B" w:rsidRPr="00813D19">
        <w:rPr>
          <w:rFonts w:eastAsia="Calibri"/>
          <w:color w:val="000000" w:themeColor="text1"/>
          <w:lang w:val="en-US"/>
        </w:rPr>
        <w:t xml:space="preserve">r </w:t>
      </w:r>
      <w:r w:rsidR="00EC6DFB" w:rsidRPr="00813D19">
        <w:rPr>
          <w:rFonts w:eastAsia="Calibri"/>
          <w:color w:val="000000" w:themeColor="text1"/>
          <w:lang w:val="en-US"/>
        </w:rPr>
        <w:t xml:space="preserve">to </w:t>
      </w:r>
      <w:r w:rsidR="00534B49" w:rsidRPr="00813D19">
        <w:rPr>
          <w:rFonts w:eastAsia="Calibri"/>
          <w:color w:val="000000" w:themeColor="text1"/>
          <w:lang w:val="en-US"/>
        </w:rPr>
        <w:t xml:space="preserve">the </w:t>
      </w:r>
      <w:r w:rsidR="00EC6DFB" w:rsidRPr="00813D19">
        <w:rPr>
          <w:rFonts w:eastAsia="Calibri"/>
          <w:color w:val="000000" w:themeColor="text1"/>
          <w:lang w:val="en-US"/>
        </w:rPr>
        <w:t xml:space="preserve">Senator </w:t>
      </w:r>
      <w:r w:rsidR="00534B49" w:rsidRPr="00813D19">
        <w:rPr>
          <w:rFonts w:eastAsia="Calibri"/>
          <w:color w:val="000000" w:themeColor="text1"/>
          <w:lang w:val="en-US"/>
        </w:rPr>
        <w:t xml:space="preserve">of the region, </w:t>
      </w:r>
      <w:r w:rsidR="00C414A2" w:rsidRPr="00813D19">
        <w:rPr>
          <w:rFonts w:eastAsia="Calibri"/>
          <w:color w:val="000000" w:themeColor="text1"/>
          <w:lang w:val="en-US"/>
        </w:rPr>
        <w:t xml:space="preserve">Mr Jean-Pierre </w:t>
      </w:r>
      <w:r w:rsidR="00EC6DFB" w:rsidRPr="00813D19">
        <w:rPr>
          <w:rFonts w:eastAsia="Calibri"/>
          <w:color w:val="000000" w:themeColor="text1"/>
          <w:lang w:val="en-US"/>
        </w:rPr>
        <w:t>Leleux</w:t>
      </w:r>
      <w:r w:rsidR="00E72560">
        <w:rPr>
          <w:rFonts w:eastAsia="Calibri"/>
          <w:color w:val="000000" w:themeColor="text1"/>
          <w:lang w:val="en-US"/>
        </w:rPr>
        <w:t>.</w:t>
      </w:r>
    </w:p>
    <w:p w14:paraId="6326FCC8" w14:textId="118D78E6" w:rsidR="00C414A2" w:rsidRPr="00E72560" w:rsidRDefault="008A0371" w:rsidP="00E72560">
      <w:pPr>
        <w:pStyle w:val="Orateurengris"/>
        <w:spacing w:before="120"/>
        <w:ind w:left="709" w:hanging="709"/>
        <w:rPr>
          <w:rFonts w:eastAsia="Times New Roman"/>
          <w:lang w:val="en-US"/>
        </w:rPr>
      </w:pPr>
      <w:r w:rsidRPr="00813D19">
        <w:rPr>
          <w:rFonts w:eastAsia="Calibri"/>
          <w:color w:val="000000" w:themeColor="text1"/>
          <w:lang w:val="en-US"/>
        </w:rPr>
        <w:t>The</w:t>
      </w:r>
      <w:r w:rsidRPr="00813D19">
        <w:rPr>
          <w:rFonts w:eastAsia="Calibri"/>
          <w:b/>
          <w:color w:val="000000" w:themeColor="text1"/>
          <w:lang w:val="en-US"/>
        </w:rPr>
        <w:t xml:space="preserve"> delegation of France</w:t>
      </w:r>
      <w:r w:rsidR="00534B49" w:rsidRPr="00813D19">
        <w:rPr>
          <w:rFonts w:eastAsia="Calibri"/>
          <w:color w:val="000000" w:themeColor="text1"/>
          <w:lang w:val="en-US"/>
        </w:rPr>
        <w:t>, Senator</w:t>
      </w:r>
      <w:r w:rsidR="00534B49" w:rsidRPr="00813D19">
        <w:rPr>
          <w:rFonts w:eastAsia="Calibri"/>
          <w:b/>
          <w:color w:val="000000" w:themeColor="text1"/>
          <w:lang w:val="en-US"/>
        </w:rPr>
        <w:t xml:space="preserve"> </w:t>
      </w:r>
      <w:r w:rsidR="00534B49" w:rsidRPr="00813D19">
        <w:rPr>
          <w:rFonts w:eastAsia="Calibri"/>
          <w:color w:val="000000" w:themeColor="text1"/>
          <w:lang w:val="en-US"/>
        </w:rPr>
        <w:t xml:space="preserve">Jean-Pierre Leleux, </w:t>
      </w:r>
      <w:r w:rsidR="00C414A2" w:rsidRPr="00813D19">
        <w:rPr>
          <w:rFonts w:eastAsia="Calibri"/>
          <w:color w:val="000000" w:themeColor="text1"/>
          <w:lang w:val="en-US"/>
        </w:rPr>
        <w:t xml:space="preserve">spoke of the element as </w:t>
      </w:r>
      <w:r w:rsidR="00027F33">
        <w:rPr>
          <w:rFonts w:eastAsia="Calibri"/>
          <w:color w:val="000000" w:themeColor="text1"/>
          <w:lang w:val="en-US"/>
        </w:rPr>
        <w:t xml:space="preserve">being </w:t>
      </w:r>
      <w:r w:rsidR="00C414A2" w:rsidRPr="00813D19">
        <w:rPr>
          <w:rFonts w:eastAsia="Calibri"/>
          <w:color w:val="000000" w:themeColor="text1"/>
          <w:lang w:val="en-US"/>
        </w:rPr>
        <w:t>characterized by its values of universality, conviviality and dialogue, elevating the spirit by the beauty it inspires, and humanity needs beauty to survive. The perfume is a symbol of dreams, sharing</w:t>
      </w:r>
      <w:r w:rsidR="00027F33">
        <w:rPr>
          <w:rFonts w:eastAsia="Calibri"/>
          <w:color w:val="000000" w:themeColor="text1"/>
          <w:lang w:val="en-US"/>
        </w:rPr>
        <w:t xml:space="preserve"> and </w:t>
      </w:r>
      <w:r w:rsidR="00C414A2" w:rsidRPr="00813D19">
        <w:rPr>
          <w:rFonts w:eastAsia="Calibri"/>
          <w:color w:val="000000" w:themeColor="text1"/>
          <w:lang w:val="en-US"/>
        </w:rPr>
        <w:t xml:space="preserve">offering; a gift of nature in the service of a subtle and universal connection between people, a language that transcends </w:t>
      </w:r>
      <w:r w:rsidR="00534B49" w:rsidRPr="00813D19">
        <w:rPr>
          <w:rFonts w:eastAsia="Calibri"/>
          <w:color w:val="000000" w:themeColor="text1"/>
          <w:lang w:val="en-US"/>
        </w:rPr>
        <w:t>prose</w:t>
      </w:r>
      <w:r w:rsidR="00C414A2" w:rsidRPr="00813D19">
        <w:rPr>
          <w:rFonts w:eastAsia="Calibri"/>
          <w:color w:val="000000" w:themeColor="text1"/>
          <w:lang w:val="en-US"/>
        </w:rPr>
        <w:t>, cultures, races, religions and peoples. These are the values of Grasse, a depository of know-how passed down from generation to generation, and which plays a major role in social mediation, relationships between families, mediation in schools, hospitals, prisons, and a pedagogical vector of social integration for young autistic adults who cultivate roses, jasmine and tubers in a specialized institute. The element is a factor of intercultural dialogue between communities of European gatherers, Gypsies and North Africans, at the service of international dialogue. In the ten years since the process began</w:t>
      </w:r>
      <w:r w:rsidR="00534B49" w:rsidRPr="00813D19">
        <w:rPr>
          <w:rFonts w:eastAsia="Calibri"/>
          <w:color w:val="000000" w:themeColor="text1"/>
          <w:lang w:val="en-US"/>
        </w:rPr>
        <w:t>,</w:t>
      </w:r>
      <w:r w:rsidR="00C414A2" w:rsidRPr="00813D19">
        <w:rPr>
          <w:rFonts w:eastAsia="Calibri"/>
          <w:color w:val="000000" w:themeColor="text1"/>
          <w:lang w:val="en-US"/>
        </w:rPr>
        <w:t xml:space="preserve"> the association </w:t>
      </w:r>
      <w:r w:rsidR="00027F33">
        <w:rPr>
          <w:rFonts w:eastAsia="Calibri"/>
          <w:color w:val="000000" w:themeColor="text1"/>
          <w:lang w:val="en-US"/>
        </w:rPr>
        <w:t>had been</w:t>
      </w:r>
      <w:r w:rsidR="00027F33" w:rsidRPr="00813D19">
        <w:rPr>
          <w:rFonts w:eastAsia="Calibri"/>
          <w:color w:val="000000" w:themeColor="text1"/>
          <w:lang w:val="en-US"/>
        </w:rPr>
        <w:t xml:space="preserve"> </w:t>
      </w:r>
      <w:r w:rsidR="00C414A2" w:rsidRPr="00813D19">
        <w:rPr>
          <w:rFonts w:eastAsia="Calibri"/>
          <w:color w:val="000000" w:themeColor="text1"/>
          <w:lang w:val="en-US"/>
        </w:rPr>
        <w:t xml:space="preserve">able to establish </w:t>
      </w:r>
      <w:r w:rsidR="00027F33">
        <w:rPr>
          <w:rFonts w:eastAsia="Calibri"/>
          <w:color w:val="000000" w:themeColor="text1"/>
          <w:lang w:val="en-US"/>
        </w:rPr>
        <w:t xml:space="preserve">a </w:t>
      </w:r>
      <w:r w:rsidR="00C414A2" w:rsidRPr="00813D19">
        <w:rPr>
          <w:rFonts w:eastAsia="Calibri"/>
          <w:color w:val="000000" w:themeColor="text1"/>
          <w:lang w:val="en-US"/>
        </w:rPr>
        <w:t xml:space="preserve">wonderful relationship with the communities in many countries of the world: Bulgaria, India, Egypt, China, Korea, Japan, Senegal, and many others. Many safeguarding measures </w:t>
      </w:r>
      <w:r w:rsidR="00534B49" w:rsidRPr="00813D19">
        <w:rPr>
          <w:rFonts w:eastAsia="Calibri"/>
          <w:color w:val="000000" w:themeColor="text1"/>
          <w:lang w:val="en-US"/>
        </w:rPr>
        <w:t xml:space="preserve">had </w:t>
      </w:r>
      <w:r w:rsidR="00C414A2" w:rsidRPr="00813D19">
        <w:rPr>
          <w:rFonts w:eastAsia="Calibri"/>
          <w:color w:val="000000" w:themeColor="text1"/>
          <w:lang w:val="en-US"/>
        </w:rPr>
        <w:t xml:space="preserve">already been launched, including the extension of agricultural areas in local urban planning, the installation of training and transmission facilities, </w:t>
      </w:r>
      <w:r w:rsidR="004D7AF9" w:rsidRPr="00813D19">
        <w:rPr>
          <w:rFonts w:eastAsia="Calibri"/>
          <w:color w:val="000000" w:themeColor="text1"/>
          <w:lang w:val="en-US"/>
        </w:rPr>
        <w:t xml:space="preserve">and </w:t>
      </w:r>
      <w:r w:rsidR="00E80BFF" w:rsidRPr="00813D19">
        <w:rPr>
          <w:rFonts w:eastAsia="Calibri"/>
          <w:color w:val="000000" w:themeColor="text1"/>
          <w:lang w:val="en-US"/>
        </w:rPr>
        <w:t xml:space="preserve">the establishment of a UNESCO Chair at </w:t>
      </w:r>
      <w:r w:rsidR="00C414A2" w:rsidRPr="00813D19">
        <w:rPr>
          <w:rFonts w:eastAsia="Calibri"/>
          <w:color w:val="000000" w:themeColor="text1"/>
          <w:lang w:val="en-US"/>
        </w:rPr>
        <w:t>the</w:t>
      </w:r>
      <w:r w:rsidR="00E80BFF" w:rsidRPr="00813D19">
        <w:rPr>
          <w:rFonts w:eastAsia="Calibri"/>
          <w:color w:val="000000" w:themeColor="text1"/>
          <w:lang w:val="en-US"/>
        </w:rPr>
        <w:t xml:space="preserve"> University of Nice-Côte d'Azur</w:t>
      </w:r>
      <w:r w:rsidR="00C414A2" w:rsidRPr="00813D19">
        <w:rPr>
          <w:rFonts w:eastAsia="Calibri"/>
          <w:color w:val="000000" w:themeColor="text1"/>
          <w:lang w:val="en-US"/>
        </w:rPr>
        <w:t xml:space="preserve"> in partnership with Indian and Algerian universities. </w:t>
      </w:r>
      <w:r w:rsidR="00E80BFF" w:rsidRPr="00813D19">
        <w:rPr>
          <w:rFonts w:eastAsia="Calibri"/>
          <w:color w:val="000000" w:themeColor="text1"/>
          <w:lang w:val="en-US"/>
        </w:rPr>
        <w:t>O</w:t>
      </w:r>
      <w:r w:rsidR="00C414A2" w:rsidRPr="00813D19">
        <w:rPr>
          <w:rFonts w:eastAsia="Calibri"/>
          <w:color w:val="000000" w:themeColor="text1"/>
          <w:lang w:val="en-US"/>
        </w:rPr>
        <w:t xml:space="preserve">n behalf of the Living Heritage of the </w:t>
      </w:r>
      <w:r w:rsidR="00756E8F" w:rsidRPr="00813D19">
        <w:rPr>
          <w:rFonts w:eastAsia="Calibri"/>
          <w:color w:val="000000" w:themeColor="text1"/>
          <w:lang w:val="en-US"/>
        </w:rPr>
        <w:t xml:space="preserve">Region of </w:t>
      </w:r>
      <w:r w:rsidR="00C414A2" w:rsidRPr="00813D19">
        <w:rPr>
          <w:rFonts w:eastAsia="Calibri"/>
          <w:color w:val="000000" w:themeColor="text1"/>
          <w:lang w:val="en-US"/>
        </w:rPr>
        <w:t>Grasse</w:t>
      </w:r>
      <w:r w:rsidR="00756E8F" w:rsidRPr="00813D19">
        <w:rPr>
          <w:rFonts w:eastAsia="Calibri"/>
          <w:color w:val="000000" w:themeColor="text1"/>
          <w:lang w:val="en-US"/>
        </w:rPr>
        <w:t xml:space="preserve"> (APVPG), the</w:t>
      </w:r>
      <w:r w:rsidR="00C414A2" w:rsidRPr="00813D19">
        <w:rPr>
          <w:rFonts w:eastAsia="Calibri"/>
          <w:color w:val="000000" w:themeColor="text1"/>
          <w:lang w:val="en-US"/>
        </w:rPr>
        <w:t xml:space="preserve"> practitioners and </w:t>
      </w:r>
      <w:r w:rsidR="00756E8F" w:rsidRPr="00813D19">
        <w:rPr>
          <w:rFonts w:eastAsia="Calibri"/>
          <w:color w:val="000000" w:themeColor="text1"/>
          <w:lang w:val="en-US"/>
        </w:rPr>
        <w:t xml:space="preserve">the </w:t>
      </w:r>
      <w:r w:rsidR="00C414A2" w:rsidRPr="00813D19">
        <w:rPr>
          <w:rFonts w:eastAsia="Calibri"/>
          <w:color w:val="000000" w:themeColor="text1"/>
          <w:lang w:val="en-US"/>
        </w:rPr>
        <w:t>entire</w:t>
      </w:r>
      <w:r w:rsidR="00534B49" w:rsidRPr="00813D19">
        <w:rPr>
          <w:rFonts w:eastAsia="Calibri"/>
          <w:color w:val="000000" w:themeColor="text1"/>
          <w:lang w:val="en-US"/>
        </w:rPr>
        <w:t xml:space="preserve"> </w:t>
      </w:r>
      <w:r w:rsidR="00756E8F" w:rsidRPr="00813D19">
        <w:rPr>
          <w:rFonts w:eastAsia="Calibri"/>
          <w:color w:val="000000" w:themeColor="text1"/>
          <w:lang w:val="en-US"/>
        </w:rPr>
        <w:t xml:space="preserve">region, the Senator </w:t>
      </w:r>
      <w:r w:rsidR="00C414A2" w:rsidRPr="00813D19">
        <w:rPr>
          <w:rFonts w:eastAsia="Calibri"/>
          <w:color w:val="000000" w:themeColor="text1"/>
          <w:lang w:val="en-US"/>
        </w:rPr>
        <w:t>thank</w:t>
      </w:r>
      <w:r w:rsidR="00756E8F" w:rsidRPr="00813D19">
        <w:rPr>
          <w:rFonts w:eastAsia="Calibri"/>
          <w:color w:val="000000" w:themeColor="text1"/>
          <w:lang w:val="en-US"/>
        </w:rPr>
        <w:t>ed</w:t>
      </w:r>
      <w:r w:rsidR="00C414A2" w:rsidRPr="00813D19">
        <w:rPr>
          <w:rFonts w:eastAsia="Calibri"/>
          <w:color w:val="000000" w:themeColor="text1"/>
          <w:lang w:val="en-US"/>
        </w:rPr>
        <w:t xml:space="preserve"> the Committee, </w:t>
      </w:r>
      <w:r w:rsidR="00756E8F" w:rsidRPr="00813D19">
        <w:rPr>
          <w:rFonts w:eastAsia="Calibri"/>
          <w:color w:val="000000" w:themeColor="text1"/>
          <w:lang w:val="en-US"/>
        </w:rPr>
        <w:t xml:space="preserve">all the States Parties </w:t>
      </w:r>
      <w:r w:rsidR="00C414A2" w:rsidRPr="00813D19">
        <w:rPr>
          <w:rFonts w:eastAsia="Calibri"/>
          <w:color w:val="000000" w:themeColor="text1"/>
          <w:lang w:val="en-US"/>
        </w:rPr>
        <w:t xml:space="preserve">that supported </w:t>
      </w:r>
      <w:r w:rsidR="00756E8F" w:rsidRPr="00813D19">
        <w:rPr>
          <w:rFonts w:eastAsia="Calibri"/>
          <w:color w:val="000000" w:themeColor="text1"/>
          <w:lang w:val="en-US"/>
        </w:rPr>
        <w:t xml:space="preserve">its </w:t>
      </w:r>
      <w:r w:rsidR="00C414A2" w:rsidRPr="00813D19">
        <w:rPr>
          <w:rFonts w:eastAsia="Calibri"/>
          <w:color w:val="000000" w:themeColor="text1"/>
          <w:lang w:val="en-US"/>
        </w:rPr>
        <w:t>approach, the Ministry of Culture</w:t>
      </w:r>
      <w:r w:rsidR="00534B49" w:rsidRPr="00813D19">
        <w:rPr>
          <w:rFonts w:eastAsia="Calibri"/>
          <w:color w:val="000000" w:themeColor="text1"/>
          <w:lang w:val="en-US"/>
        </w:rPr>
        <w:t>,</w:t>
      </w:r>
      <w:r w:rsidR="00C414A2" w:rsidRPr="00813D19">
        <w:rPr>
          <w:rFonts w:eastAsia="Calibri"/>
          <w:color w:val="000000" w:themeColor="text1"/>
          <w:lang w:val="en-US"/>
        </w:rPr>
        <w:t xml:space="preserve"> an</w:t>
      </w:r>
      <w:r w:rsidR="00756E8F" w:rsidRPr="00813D19">
        <w:rPr>
          <w:rFonts w:eastAsia="Calibri"/>
          <w:color w:val="000000" w:themeColor="text1"/>
          <w:lang w:val="en-US"/>
        </w:rPr>
        <w:t xml:space="preserve">d </w:t>
      </w:r>
      <w:r w:rsidR="00C414A2" w:rsidRPr="00813D19">
        <w:rPr>
          <w:rFonts w:eastAsia="Calibri"/>
          <w:color w:val="000000" w:themeColor="text1"/>
          <w:lang w:val="en-US"/>
        </w:rPr>
        <w:t xml:space="preserve">the Ambassador of France to UNESCO, </w:t>
      </w:r>
      <w:r w:rsidR="00756E8F" w:rsidRPr="00813D19">
        <w:rPr>
          <w:rFonts w:eastAsia="Calibri"/>
          <w:color w:val="000000" w:themeColor="text1"/>
          <w:lang w:val="en-US"/>
        </w:rPr>
        <w:t xml:space="preserve">Mr </w:t>
      </w:r>
      <w:r w:rsidR="00C414A2" w:rsidRPr="00813D19">
        <w:rPr>
          <w:rFonts w:eastAsia="Calibri"/>
          <w:color w:val="000000" w:themeColor="text1"/>
          <w:lang w:val="en-US"/>
        </w:rPr>
        <w:t>Laurent Stefanini</w:t>
      </w:r>
      <w:r w:rsidR="00C414A2" w:rsidRPr="00E72560">
        <w:rPr>
          <w:rFonts w:eastAsia="Calibri"/>
          <w:color w:val="000000" w:themeColor="text1"/>
          <w:lang w:val="en-US"/>
        </w:rPr>
        <w:t>.</w:t>
      </w:r>
    </w:p>
    <w:p w14:paraId="7CE8E23E" w14:textId="7963A173" w:rsidR="00CC2048" w:rsidRPr="00813D19" w:rsidRDefault="00CC2048" w:rsidP="00E72560">
      <w:pPr>
        <w:pStyle w:val="Orateurengris"/>
        <w:numPr>
          <w:ilvl w:val="0"/>
          <w:numId w:val="0"/>
        </w:numPr>
        <w:spacing w:before="240" w:after="240"/>
        <w:jc w:val="center"/>
        <w:rPr>
          <w:i/>
          <w:lang w:val="en-US"/>
        </w:rPr>
      </w:pPr>
      <w:r w:rsidRPr="00813D19">
        <w:rPr>
          <w:i/>
          <w:lang w:val="en-US"/>
        </w:rPr>
        <w:t>[</w:t>
      </w:r>
      <w:r w:rsidR="00BA14F9" w:rsidRPr="00813D19">
        <w:rPr>
          <w:i/>
          <w:lang w:val="en-US"/>
        </w:rPr>
        <w:t>A short f</w:t>
      </w:r>
      <w:r w:rsidRPr="00813D19">
        <w:rPr>
          <w:i/>
          <w:lang w:val="en-US"/>
        </w:rPr>
        <w:t xml:space="preserve">ilm of </w:t>
      </w:r>
      <w:r w:rsidRPr="00813D19">
        <w:rPr>
          <w:i/>
          <w:color w:val="000000" w:themeColor="text1"/>
          <w:lang w:val="en-US"/>
        </w:rPr>
        <w:t>the skills related to perfume in Pays de Grasse</w:t>
      </w:r>
      <w:r w:rsidR="00BA14F9" w:rsidRPr="00813D19">
        <w:rPr>
          <w:i/>
          <w:color w:val="000000" w:themeColor="text1"/>
          <w:lang w:val="en-US"/>
        </w:rPr>
        <w:t xml:space="preserve"> was projected</w:t>
      </w:r>
      <w:r w:rsidRPr="00813D19">
        <w:rPr>
          <w:i/>
          <w:lang w:val="en-US"/>
        </w:rPr>
        <w:t>]</w:t>
      </w:r>
    </w:p>
    <w:p w14:paraId="2E5BE8A6" w14:textId="5C5CDB6F" w:rsidR="00A23A7A" w:rsidRPr="00813D19" w:rsidRDefault="00583CF4" w:rsidP="00447AB4">
      <w:pPr>
        <w:pStyle w:val="Orateurengris"/>
        <w:spacing w:before="120"/>
        <w:ind w:left="709" w:hanging="709"/>
        <w:rPr>
          <w:rFonts w:eastAsia="Calibri"/>
          <w:color w:val="000000" w:themeColor="text1"/>
          <w:lang w:val="en-US"/>
        </w:rPr>
      </w:pPr>
      <w:r w:rsidRPr="00813D19">
        <w:rPr>
          <w:rFonts w:eastAsia="Calibri"/>
          <w:color w:val="000000" w:themeColor="text1"/>
          <w:lang w:val="en-US"/>
        </w:rPr>
        <w:t xml:space="preserve">The </w:t>
      </w:r>
      <w:r w:rsidRPr="00813D19">
        <w:rPr>
          <w:rFonts w:eastAsia="Calibri"/>
          <w:b/>
          <w:color w:val="000000" w:themeColor="text1"/>
          <w:lang w:val="en-US"/>
        </w:rPr>
        <w:t>Chairperson</w:t>
      </w:r>
      <w:r w:rsidRPr="00813D19">
        <w:rPr>
          <w:rFonts w:eastAsia="Calibri"/>
          <w:color w:val="000000" w:themeColor="text1"/>
          <w:lang w:val="en-US"/>
        </w:rPr>
        <w:t xml:space="preserve"> </w:t>
      </w:r>
      <w:r w:rsidR="00756E8F" w:rsidRPr="00813D19">
        <w:rPr>
          <w:rFonts w:eastAsia="Calibri"/>
          <w:color w:val="000000" w:themeColor="text1"/>
          <w:lang w:val="en-US"/>
        </w:rPr>
        <w:t xml:space="preserve">congratulated </w:t>
      </w:r>
      <w:r w:rsidR="00756E8F" w:rsidRPr="00813D19">
        <w:rPr>
          <w:bCs/>
          <w:lang w:val="en-US"/>
        </w:rPr>
        <w:t xml:space="preserve">France, adjourning the </w:t>
      </w:r>
      <w:r w:rsidR="00380A8D" w:rsidRPr="00813D19">
        <w:rPr>
          <w:bCs/>
          <w:lang w:val="en-US"/>
        </w:rPr>
        <w:t xml:space="preserve">session </w:t>
      </w:r>
      <w:r w:rsidR="00756E8F" w:rsidRPr="00813D19">
        <w:rPr>
          <w:bCs/>
          <w:lang w:val="en-US"/>
        </w:rPr>
        <w:t xml:space="preserve">and inviting the Secretary </w:t>
      </w:r>
      <w:r w:rsidR="00380A8D" w:rsidRPr="00813D19">
        <w:rPr>
          <w:bCs/>
          <w:lang w:val="en-US"/>
        </w:rPr>
        <w:t xml:space="preserve">to </w:t>
      </w:r>
      <w:r w:rsidR="00756E8F" w:rsidRPr="00813D19">
        <w:rPr>
          <w:bCs/>
          <w:lang w:val="en-US"/>
        </w:rPr>
        <w:t>present a few practical announcements.</w:t>
      </w:r>
    </w:p>
    <w:p w14:paraId="1F10B15C" w14:textId="0D7D9788" w:rsidR="00756E8F" w:rsidRPr="00813D19" w:rsidRDefault="00D1583F" w:rsidP="00534B49">
      <w:pPr>
        <w:pStyle w:val="Orateurengris"/>
        <w:spacing w:after="0"/>
        <w:ind w:left="709" w:hanging="709"/>
        <w:rPr>
          <w:bCs/>
          <w:lang w:val="en-US"/>
        </w:rPr>
      </w:pPr>
      <w:r w:rsidRPr="00813D19">
        <w:rPr>
          <w:rFonts w:eastAsia="Calibri"/>
          <w:color w:val="000000" w:themeColor="text1"/>
          <w:lang w:val="en-US"/>
        </w:rPr>
        <w:t xml:space="preserve">The </w:t>
      </w:r>
      <w:r w:rsidRPr="00813D19">
        <w:rPr>
          <w:rFonts w:eastAsia="Calibri"/>
          <w:b/>
          <w:color w:val="000000" w:themeColor="text1"/>
          <w:lang w:val="en-US"/>
        </w:rPr>
        <w:t>Secretary</w:t>
      </w:r>
      <w:r w:rsidRPr="00813D19">
        <w:rPr>
          <w:rFonts w:eastAsia="Calibri"/>
          <w:color w:val="000000" w:themeColor="text1"/>
          <w:lang w:val="en-US"/>
        </w:rPr>
        <w:t xml:space="preserve"> </w:t>
      </w:r>
      <w:r w:rsidR="00756E8F" w:rsidRPr="00813D19">
        <w:rPr>
          <w:rFonts w:eastAsia="Calibri"/>
          <w:color w:val="000000" w:themeColor="text1"/>
          <w:lang w:val="en-US"/>
        </w:rPr>
        <w:t xml:space="preserve">informed the Committee that the </w:t>
      </w:r>
      <w:r w:rsidR="0070024C" w:rsidRPr="00813D19">
        <w:rPr>
          <w:bCs/>
          <w:lang w:val="en-US"/>
        </w:rPr>
        <w:t>ICHNGO</w:t>
      </w:r>
      <w:r w:rsidR="00380A8D" w:rsidRPr="00813D19">
        <w:rPr>
          <w:bCs/>
          <w:lang w:val="en-US"/>
        </w:rPr>
        <w:t xml:space="preserve"> Forum </w:t>
      </w:r>
      <w:r w:rsidR="00756E8F" w:rsidRPr="00813D19">
        <w:rPr>
          <w:bCs/>
          <w:lang w:val="en-US"/>
        </w:rPr>
        <w:t xml:space="preserve">would be holding a plenary </w:t>
      </w:r>
      <w:r w:rsidR="00380A8D" w:rsidRPr="00813D19">
        <w:rPr>
          <w:bCs/>
          <w:lang w:val="en-US"/>
        </w:rPr>
        <w:t xml:space="preserve">session for elections </w:t>
      </w:r>
      <w:r w:rsidR="00756E8F" w:rsidRPr="00813D19">
        <w:rPr>
          <w:bCs/>
          <w:lang w:val="en-US"/>
        </w:rPr>
        <w:t xml:space="preserve">to its steering committee, inviting </w:t>
      </w:r>
      <w:r w:rsidR="00380A8D" w:rsidRPr="00813D19">
        <w:rPr>
          <w:bCs/>
          <w:lang w:val="en-US"/>
        </w:rPr>
        <w:t xml:space="preserve">States </w:t>
      </w:r>
      <w:r w:rsidR="00756E8F" w:rsidRPr="00813D19">
        <w:rPr>
          <w:bCs/>
          <w:lang w:val="en-US"/>
        </w:rPr>
        <w:t xml:space="preserve">wishing to hold </w:t>
      </w:r>
      <w:r w:rsidR="00380A8D" w:rsidRPr="00813D19">
        <w:rPr>
          <w:bCs/>
          <w:lang w:val="en-US"/>
        </w:rPr>
        <w:t>performances or present</w:t>
      </w:r>
      <w:r w:rsidR="00756E8F" w:rsidRPr="00813D19">
        <w:rPr>
          <w:bCs/>
          <w:lang w:val="en-US"/>
        </w:rPr>
        <w:t>ing</w:t>
      </w:r>
      <w:r w:rsidR="00380A8D" w:rsidRPr="00813D19">
        <w:rPr>
          <w:bCs/>
          <w:lang w:val="en-US"/>
        </w:rPr>
        <w:t xml:space="preserve"> audiovisual material </w:t>
      </w:r>
      <w:r w:rsidR="00E72560">
        <w:rPr>
          <w:bCs/>
          <w:lang w:val="en-US"/>
        </w:rPr>
        <w:t>to inform the Secretariat.</w:t>
      </w:r>
    </w:p>
    <w:p w14:paraId="44D70F1F" w14:textId="5E70DE47" w:rsidR="00D96648" w:rsidRPr="00813D19" w:rsidRDefault="00D96648" w:rsidP="00E72560">
      <w:pPr>
        <w:pStyle w:val="Orateurengris"/>
        <w:keepNext/>
        <w:numPr>
          <w:ilvl w:val="0"/>
          <w:numId w:val="0"/>
        </w:numPr>
        <w:spacing w:before="240" w:after="240"/>
        <w:ind w:left="567" w:hanging="567"/>
        <w:jc w:val="center"/>
        <w:outlineLvl w:val="0"/>
        <w:rPr>
          <w:i/>
          <w:lang w:val="en-US"/>
        </w:rPr>
      </w:pPr>
      <w:r w:rsidRPr="00813D19">
        <w:rPr>
          <w:i/>
          <w:lang w:val="en-US"/>
        </w:rPr>
        <w:t>[</w:t>
      </w:r>
      <w:r w:rsidR="00FE2736" w:rsidRPr="00813D19">
        <w:rPr>
          <w:i/>
          <w:lang w:val="en-US"/>
        </w:rPr>
        <w:t>Thursday</w:t>
      </w:r>
      <w:r w:rsidRPr="00813D19">
        <w:rPr>
          <w:i/>
          <w:lang w:val="en-US"/>
        </w:rPr>
        <w:t>, 29 November 2018, morning session]</w:t>
      </w:r>
    </w:p>
    <w:p w14:paraId="5DBB7955" w14:textId="5CF4128A" w:rsidR="00FE2736" w:rsidRPr="00813D19" w:rsidRDefault="00534B49" w:rsidP="00E72560">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ITEM 10.b OF THE AGENDA [CONT.]</w:t>
      </w:r>
    </w:p>
    <w:p w14:paraId="7C2A8FD6" w14:textId="77777777" w:rsidR="00FE2736" w:rsidRPr="00813D19" w:rsidRDefault="00FE2736" w:rsidP="005966F6">
      <w:pPr>
        <w:pStyle w:val="Orateurengris"/>
        <w:numPr>
          <w:ilvl w:val="0"/>
          <w:numId w:val="0"/>
        </w:numPr>
        <w:spacing w:after="240"/>
        <w:outlineLvl w:val="1"/>
        <w:rPr>
          <w:b/>
          <w:color w:val="000000" w:themeColor="text1"/>
          <w:lang w:val="en-US"/>
        </w:rPr>
      </w:pPr>
      <w:r w:rsidRPr="00813D19">
        <w:rPr>
          <w:b/>
          <w:color w:val="000000" w:themeColor="text1"/>
          <w:lang w:val="en-US"/>
        </w:rPr>
        <w:t>EXAMINATION OF NOMINATIONS FOR INSCRIPTION ON THE REPRESENTATIVE LIST OF THE INTANGIBLE CULTURAL HERITAGE OF HUMANITY</w:t>
      </w:r>
    </w:p>
    <w:p w14:paraId="3EA4F0E7" w14:textId="5486D9E4" w:rsidR="009821B7" w:rsidRPr="00813D19" w:rsidRDefault="00FC0050" w:rsidP="007C3FE7">
      <w:pPr>
        <w:pStyle w:val="Orateurengris"/>
        <w:spacing w:after="0"/>
        <w:ind w:left="709" w:hanging="709"/>
        <w:rPr>
          <w:color w:val="000000" w:themeColor="text1"/>
          <w:lang w:val="en-US"/>
        </w:rPr>
      </w:pPr>
      <w:r w:rsidRPr="00813D19">
        <w:rPr>
          <w:color w:val="000000" w:themeColor="text1"/>
          <w:lang w:val="en-US"/>
        </w:rPr>
        <w:t>Greeting  the delegates, t</w:t>
      </w:r>
      <w:r w:rsidR="009821B7" w:rsidRPr="00813D19">
        <w:rPr>
          <w:color w:val="000000" w:themeColor="text1"/>
          <w:lang w:val="en-US"/>
        </w:rPr>
        <w:t xml:space="preserve">he </w:t>
      </w:r>
      <w:r w:rsidR="009821B7" w:rsidRPr="00813D19">
        <w:rPr>
          <w:b/>
          <w:color w:val="000000" w:themeColor="text1"/>
          <w:lang w:val="en-US"/>
        </w:rPr>
        <w:t>Chairperson</w:t>
      </w:r>
      <w:r w:rsidR="009821B7" w:rsidRPr="00813D19">
        <w:rPr>
          <w:color w:val="000000" w:themeColor="text1"/>
          <w:lang w:val="en-US"/>
        </w:rPr>
        <w:t xml:space="preserve"> </w:t>
      </w:r>
      <w:r w:rsidR="0001389A" w:rsidRPr="00813D19">
        <w:rPr>
          <w:bCs/>
          <w:lang w:val="en-US"/>
        </w:rPr>
        <w:t>inform</w:t>
      </w:r>
      <w:r w:rsidRPr="00813D19">
        <w:rPr>
          <w:bCs/>
          <w:lang w:val="en-US"/>
        </w:rPr>
        <w:t xml:space="preserve">ed the Committee that the </w:t>
      </w:r>
      <w:r w:rsidR="0001389A" w:rsidRPr="00813D19">
        <w:rPr>
          <w:bCs/>
          <w:lang w:val="en-US"/>
        </w:rPr>
        <w:t xml:space="preserve">Bureau </w:t>
      </w:r>
      <w:r w:rsidR="00252F13">
        <w:rPr>
          <w:bCs/>
          <w:lang w:val="en-US"/>
        </w:rPr>
        <w:t xml:space="preserve">had </w:t>
      </w:r>
      <w:r w:rsidRPr="00813D19">
        <w:rPr>
          <w:bCs/>
          <w:lang w:val="en-US"/>
        </w:rPr>
        <w:t xml:space="preserve">met in the </w:t>
      </w:r>
      <w:r w:rsidR="0001389A" w:rsidRPr="00813D19">
        <w:rPr>
          <w:bCs/>
          <w:lang w:val="en-US"/>
        </w:rPr>
        <w:t xml:space="preserve">morning </w:t>
      </w:r>
      <w:r w:rsidRPr="00813D19">
        <w:rPr>
          <w:bCs/>
          <w:lang w:val="en-US"/>
        </w:rPr>
        <w:t>to discuss</w:t>
      </w:r>
      <w:r w:rsidR="0001389A" w:rsidRPr="00813D19">
        <w:rPr>
          <w:bCs/>
          <w:lang w:val="en-US"/>
        </w:rPr>
        <w:t xml:space="preserve"> the organization of </w:t>
      </w:r>
      <w:r w:rsidRPr="00813D19">
        <w:rPr>
          <w:bCs/>
          <w:lang w:val="en-US"/>
        </w:rPr>
        <w:t xml:space="preserve">the </w:t>
      </w:r>
      <w:r w:rsidR="0001389A" w:rsidRPr="00813D19">
        <w:rPr>
          <w:bCs/>
          <w:lang w:val="en-US"/>
        </w:rPr>
        <w:t xml:space="preserve">work in the coming days. </w:t>
      </w:r>
      <w:r w:rsidRPr="00813D19">
        <w:rPr>
          <w:bCs/>
          <w:lang w:val="en-US"/>
        </w:rPr>
        <w:t xml:space="preserve">The </w:t>
      </w:r>
      <w:r w:rsidR="0001389A" w:rsidRPr="00813D19">
        <w:rPr>
          <w:bCs/>
          <w:lang w:val="en-US"/>
        </w:rPr>
        <w:t xml:space="preserve">examination of draft decision 10.b.1 </w:t>
      </w:r>
      <w:r w:rsidRPr="00813D19">
        <w:rPr>
          <w:bCs/>
          <w:lang w:val="en-US"/>
        </w:rPr>
        <w:t xml:space="preserve">had </w:t>
      </w:r>
      <w:r w:rsidR="008459F2" w:rsidRPr="00813D19">
        <w:rPr>
          <w:bCs/>
          <w:lang w:val="en-US"/>
        </w:rPr>
        <w:t>been opened</w:t>
      </w:r>
      <w:r w:rsidRPr="00813D19">
        <w:rPr>
          <w:bCs/>
          <w:lang w:val="en-US"/>
        </w:rPr>
        <w:t xml:space="preserve">, </w:t>
      </w:r>
      <w:r w:rsidR="0001389A" w:rsidRPr="00813D19">
        <w:rPr>
          <w:bCs/>
          <w:lang w:val="en-US"/>
        </w:rPr>
        <w:t xml:space="preserve">but </w:t>
      </w:r>
      <w:r w:rsidRPr="00813D19">
        <w:rPr>
          <w:bCs/>
          <w:lang w:val="en-US"/>
        </w:rPr>
        <w:t xml:space="preserve">the Committee </w:t>
      </w:r>
      <w:r w:rsidR="00252F13">
        <w:rPr>
          <w:bCs/>
          <w:lang w:val="en-US"/>
        </w:rPr>
        <w:t xml:space="preserve">had </w:t>
      </w:r>
      <w:r w:rsidR="0001389A" w:rsidRPr="00813D19">
        <w:rPr>
          <w:bCs/>
          <w:lang w:val="en-US"/>
        </w:rPr>
        <w:t xml:space="preserve">decided to suspend it and </w:t>
      </w:r>
      <w:r w:rsidRPr="00813D19">
        <w:rPr>
          <w:bCs/>
          <w:lang w:val="en-US"/>
        </w:rPr>
        <w:t>return to it in the present session</w:t>
      </w:r>
      <w:r w:rsidR="0001389A" w:rsidRPr="00813D19">
        <w:rPr>
          <w:bCs/>
          <w:lang w:val="en-US"/>
        </w:rPr>
        <w:t xml:space="preserve"> </w:t>
      </w:r>
      <w:r w:rsidRPr="00813D19">
        <w:rPr>
          <w:bCs/>
          <w:lang w:val="en-US"/>
        </w:rPr>
        <w:t xml:space="preserve">so that the </w:t>
      </w:r>
      <w:r w:rsidR="0001389A" w:rsidRPr="00813D19">
        <w:rPr>
          <w:bCs/>
          <w:lang w:val="en-US"/>
        </w:rPr>
        <w:t xml:space="preserve">Secretariat </w:t>
      </w:r>
      <w:r w:rsidRPr="00813D19">
        <w:rPr>
          <w:bCs/>
          <w:lang w:val="en-US"/>
        </w:rPr>
        <w:t xml:space="preserve">could </w:t>
      </w:r>
      <w:r w:rsidR="0001389A" w:rsidRPr="00813D19">
        <w:rPr>
          <w:bCs/>
          <w:lang w:val="en-US"/>
        </w:rPr>
        <w:t xml:space="preserve">reflect on a creative procedure that would allow the file concerned to be examined by the Committee </w:t>
      </w:r>
      <w:r w:rsidRPr="00813D19">
        <w:rPr>
          <w:bCs/>
          <w:lang w:val="en-US"/>
        </w:rPr>
        <w:t>in 2019</w:t>
      </w:r>
      <w:r w:rsidR="0001389A" w:rsidRPr="00813D19">
        <w:rPr>
          <w:bCs/>
          <w:lang w:val="en-US"/>
        </w:rPr>
        <w:t xml:space="preserve">. </w:t>
      </w:r>
      <w:r w:rsidRPr="00813D19">
        <w:rPr>
          <w:bCs/>
          <w:lang w:val="en-US"/>
        </w:rPr>
        <w:t>The Chairperson therefore invited the Secretary to present its</w:t>
      </w:r>
      <w:r w:rsidR="0001389A" w:rsidRPr="00813D19">
        <w:rPr>
          <w:bCs/>
          <w:lang w:val="en-US"/>
        </w:rPr>
        <w:t xml:space="preserve"> </w:t>
      </w:r>
      <w:r w:rsidRPr="00813D19">
        <w:rPr>
          <w:bCs/>
          <w:lang w:val="en-US"/>
        </w:rPr>
        <w:t>proposal.</w:t>
      </w:r>
    </w:p>
    <w:p w14:paraId="2C1B8640" w14:textId="460505FF" w:rsidR="00B459FF" w:rsidRPr="00813D19" w:rsidRDefault="000A64B2" w:rsidP="00DF1EF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FC0050" w:rsidRPr="00813D19">
        <w:rPr>
          <w:color w:val="000000" w:themeColor="text1"/>
          <w:lang w:val="en-US"/>
        </w:rPr>
        <w:t xml:space="preserve">recalled that the </w:t>
      </w:r>
      <w:r w:rsidR="0001389A" w:rsidRPr="00813D19">
        <w:rPr>
          <w:bCs/>
          <w:lang w:val="en-US"/>
        </w:rPr>
        <w:t xml:space="preserve">Committee </w:t>
      </w:r>
      <w:r w:rsidR="00252F13">
        <w:rPr>
          <w:bCs/>
          <w:lang w:val="en-US"/>
        </w:rPr>
        <w:t xml:space="preserve">had </w:t>
      </w:r>
      <w:r w:rsidR="0001389A" w:rsidRPr="00813D19">
        <w:rPr>
          <w:bCs/>
          <w:lang w:val="en-US"/>
        </w:rPr>
        <w:t xml:space="preserve">decided under item 6 to initiate a global reflection on the listing mechanisms of the Convention, which would notably include preliminary meetings and the convening of an open-ended intergovernmental working group provisionally foreseen in 2021. However, many Members </w:t>
      </w:r>
      <w:r w:rsidR="00252F13">
        <w:rPr>
          <w:bCs/>
          <w:lang w:val="en-US"/>
        </w:rPr>
        <w:t xml:space="preserve">had </w:t>
      </w:r>
      <w:r w:rsidR="0001389A" w:rsidRPr="00813D19">
        <w:rPr>
          <w:bCs/>
          <w:lang w:val="en-US"/>
        </w:rPr>
        <w:t>raised concerns about the length of the reflection process</w:t>
      </w:r>
      <w:r w:rsidR="00252F13">
        <w:rPr>
          <w:bCs/>
          <w:lang w:val="en-US"/>
        </w:rPr>
        <w:t>,</w:t>
      </w:r>
      <w:r w:rsidR="0001389A" w:rsidRPr="00813D19">
        <w:rPr>
          <w:bCs/>
          <w:lang w:val="en-US"/>
        </w:rPr>
        <w:t xml:space="preserve"> foreseen </w:t>
      </w:r>
      <w:r w:rsidR="00710376" w:rsidRPr="00813D19">
        <w:rPr>
          <w:bCs/>
          <w:lang w:val="en-US"/>
        </w:rPr>
        <w:t>for completion</w:t>
      </w:r>
      <w:r w:rsidR="0001389A" w:rsidRPr="00813D19">
        <w:rPr>
          <w:bCs/>
          <w:lang w:val="en-US"/>
        </w:rPr>
        <w:t xml:space="preserve"> in 2022. Members also repeatedly expressed the need to introduce a dialogue between submitting States and the Evaluation Body. Taking note of these discussions</w:t>
      </w:r>
      <w:r w:rsidR="00710376" w:rsidRPr="00813D19">
        <w:rPr>
          <w:bCs/>
          <w:lang w:val="en-US"/>
        </w:rPr>
        <w:t>,</w:t>
      </w:r>
      <w:r w:rsidR="0001389A" w:rsidRPr="00813D19">
        <w:rPr>
          <w:bCs/>
          <w:lang w:val="en-US"/>
        </w:rPr>
        <w:t xml:space="preserve"> the Secretariat </w:t>
      </w:r>
      <w:r w:rsidR="00710376" w:rsidRPr="00813D19">
        <w:rPr>
          <w:bCs/>
          <w:lang w:val="en-US"/>
        </w:rPr>
        <w:t>propose</w:t>
      </w:r>
      <w:r w:rsidR="00534B49" w:rsidRPr="00813D19">
        <w:rPr>
          <w:bCs/>
          <w:lang w:val="en-US"/>
        </w:rPr>
        <w:t>d</w:t>
      </w:r>
      <w:r w:rsidR="00710376" w:rsidRPr="00813D19">
        <w:rPr>
          <w:bCs/>
          <w:lang w:val="en-US"/>
        </w:rPr>
        <w:t>—on an experimental basis—</w:t>
      </w:r>
      <w:r w:rsidR="0001389A" w:rsidRPr="00813D19">
        <w:rPr>
          <w:bCs/>
          <w:lang w:val="en-US"/>
        </w:rPr>
        <w:t>a preliminary dialogue procedure that could serve the current needs</w:t>
      </w:r>
      <w:r w:rsidR="00710376" w:rsidRPr="00813D19">
        <w:rPr>
          <w:bCs/>
          <w:lang w:val="en-US"/>
        </w:rPr>
        <w:t>,</w:t>
      </w:r>
      <w:r w:rsidR="0001389A" w:rsidRPr="00813D19">
        <w:rPr>
          <w:bCs/>
          <w:lang w:val="en-US"/>
        </w:rPr>
        <w:t xml:space="preserve"> while also contributing and providing insights to the global reflection. At the same time</w:t>
      </w:r>
      <w:r w:rsidR="00710376" w:rsidRPr="00813D19">
        <w:rPr>
          <w:bCs/>
          <w:lang w:val="en-US"/>
        </w:rPr>
        <w:t>,</w:t>
      </w:r>
      <w:r w:rsidR="0001389A" w:rsidRPr="00813D19">
        <w:rPr>
          <w:bCs/>
          <w:lang w:val="en-US"/>
        </w:rPr>
        <w:t xml:space="preserve"> as mentioned by the Chairperson, the Committee </w:t>
      </w:r>
      <w:r w:rsidR="00252F13">
        <w:rPr>
          <w:bCs/>
          <w:lang w:val="en-US"/>
        </w:rPr>
        <w:t xml:space="preserve">had </w:t>
      </w:r>
      <w:r w:rsidR="0001389A" w:rsidRPr="00813D19">
        <w:rPr>
          <w:bCs/>
          <w:lang w:val="en-US"/>
        </w:rPr>
        <w:t xml:space="preserve">suspended the examination of the file Chamamé submitted by Argentina and asked the Secretariat to </w:t>
      </w:r>
      <w:r w:rsidR="00710376" w:rsidRPr="00813D19">
        <w:rPr>
          <w:bCs/>
          <w:lang w:val="en-US"/>
        </w:rPr>
        <w:t xml:space="preserve">creatively </w:t>
      </w:r>
      <w:r w:rsidR="0001389A" w:rsidRPr="00813D19">
        <w:rPr>
          <w:bCs/>
          <w:lang w:val="en-US"/>
        </w:rPr>
        <w:t xml:space="preserve">reflect </w:t>
      </w:r>
      <w:r w:rsidR="00252F13">
        <w:rPr>
          <w:bCs/>
          <w:lang w:val="en-US"/>
        </w:rPr>
        <w:t>on</w:t>
      </w:r>
      <w:r w:rsidR="00252F13" w:rsidRPr="00813D19">
        <w:rPr>
          <w:bCs/>
          <w:lang w:val="en-US"/>
        </w:rPr>
        <w:t xml:space="preserve"> </w:t>
      </w:r>
      <w:r w:rsidR="00710376" w:rsidRPr="00813D19">
        <w:rPr>
          <w:bCs/>
          <w:lang w:val="en-US"/>
        </w:rPr>
        <w:t xml:space="preserve">a way that would </w:t>
      </w:r>
      <w:r w:rsidR="0001389A" w:rsidRPr="00813D19">
        <w:rPr>
          <w:bCs/>
          <w:lang w:val="en-US"/>
        </w:rPr>
        <w:t>allow this file to b</w:t>
      </w:r>
      <w:r w:rsidR="00710376" w:rsidRPr="00813D19">
        <w:rPr>
          <w:bCs/>
          <w:lang w:val="en-US"/>
        </w:rPr>
        <w:t>e</w:t>
      </w:r>
      <w:r w:rsidR="0001389A" w:rsidRPr="00813D19">
        <w:rPr>
          <w:bCs/>
          <w:lang w:val="en-US"/>
        </w:rPr>
        <w:t xml:space="preserve"> examined by the Committee</w:t>
      </w:r>
      <w:r w:rsidR="00710376" w:rsidRPr="00813D19">
        <w:rPr>
          <w:bCs/>
          <w:lang w:val="en-US"/>
        </w:rPr>
        <w:t xml:space="preserve"> in 2019</w:t>
      </w:r>
      <w:r w:rsidR="0001389A" w:rsidRPr="00813D19">
        <w:rPr>
          <w:bCs/>
          <w:lang w:val="en-US"/>
        </w:rPr>
        <w:t>. In response to the Committee’s request</w:t>
      </w:r>
      <w:r w:rsidR="00B459FF" w:rsidRPr="00813D19">
        <w:rPr>
          <w:bCs/>
          <w:lang w:val="en-US"/>
        </w:rPr>
        <w:t>,</w:t>
      </w:r>
      <w:r w:rsidR="0001389A" w:rsidRPr="00813D19">
        <w:rPr>
          <w:bCs/>
          <w:lang w:val="en-US"/>
        </w:rPr>
        <w:t xml:space="preserve"> and taking note of the responses by Bangladesh and Czechia to the questions posed on their respective files</w:t>
      </w:r>
      <w:r w:rsidR="00B459FF" w:rsidRPr="00813D19">
        <w:rPr>
          <w:bCs/>
          <w:lang w:val="en-US"/>
        </w:rPr>
        <w:t>, the Secretariat highlighted</w:t>
      </w:r>
      <w:r w:rsidR="0001389A" w:rsidRPr="00813D19">
        <w:rPr>
          <w:bCs/>
          <w:lang w:val="en-US"/>
        </w:rPr>
        <w:t xml:space="preserve"> that any experimental procedure on a preliminary dialogue mechanism should </w:t>
      </w:r>
      <w:r w:rsidR="00B459FF" w:rsidRPr="00813D19">
        <w:rPr>
          <w:bCs/>
          <w:lang w:val="en-US"/>
        </w:rPr>
        <w:t xml:space="preserve">also </w:t>
      </w:r>
      <w:r w:rsidR="0001389A" w:rsidRPr="00813D19">
        <w:rPr>
          <w:bCs/>
          <w:lang w:val="en-US"/>
        </w:rPr>
        <w:t xml:space="preserve">apply to all nominations referred by the Committee </w:t>
      </w:r>
      <w:r w:rsidR="00534B49" w:rsidRPr="00813D19">
        <w:rPr>
          <w:bCs/>
          <w:lang w:val="en-US"/>
        </w:rPr>
        <w:t>in</w:t>
      </w:r>
      <w:r w:rsidR="0001389A" w:rsidRPr="00813D19">
        <w:rPr>
          <w:bCs/>
          <w:lang w:val="en-US"/>
        </w:rPr>
        <w:t xml:space="preserve"> </w:t>
      </w:r>
      <w:r w:rsidR="00B459FF" w:rsidRPr="00813D19">
        <w:rPr>
          <w:bCs/>
          <w:lang w:val="en-US"/>
        </w:rPr>
        <w:t xml:space="preserve">the current session so as </w:t>
      </w:r>
      <w:r w:rsidR="0001389A" w:rsidRPr="00813D19">
        <w:rPr>
          <w:bCs/>
          <w:lang w:val="en-US"/>
        </w:rPr>
        <w:t>to take into account the primacy of the principles of consistency and fairness in the treatment of nomina</w:t>
      </w:r>
      <w:r w:rsidR="00E72560">
        <w:rPr>
          <w:bCs/>
          <w:lang w:val="en-US"/>
        </w:rPr>
        <w:t>tions among all States Parties.</w:t>
      </w:r>
    </w:p>
    <w:p w14:paraId="59AB8A42" w14:textId="19107424" w:rsidR="000A64B2" w:rsidRPr="00813D19" w:rsidRDefault="00BF27FE" w:rsidP="00DF1EFC">
      <w:pPr>
        <w:pStyle w:val="Orateurengris"/>
        <w:spacing w:before="120"/>
        <w:ind w:left="709" w:hanging="709"/>
        <w:rPr>
          <w:color w:val="000000" w:themeColor="text1"/>
          <w:lang w:val="en-US"/>
        </w:rPr>
      </w:pPr>
      <w:r w:rsidRPr="00813D19">
        <w:rPr>
          <w:bCs/>
          <w:lang w:val="en-US"/>
        </w:rPr>
        <w:t>However</w:t>
      </w:r>
      <w:r w:rsidR="0001389A" w:rsidRPr="00813D19">
        <w:rPr>
          <w:bCs/>
          <w:lang w:val="en-US"/>
        </w:rPr>
        <w:t xml:space="preserve">, </w:t>
      </w:r>
      <w:r w:rsidR="00B459FF" w:rsidRPr="00813D19">
        <w:rPr>
          <w:bCs/>
          <w:lang w:val="en-US"/>
        </w:rPr>
        <w:t xml:space="preserve">the </w:t>
      </w:r>
      <w:r w:rsidR="00B459FF" w:rsidRPr="00813D19">
        <w:rPr>
          <w:b/>
          <w:bCs/>
          <w:lang w:val="en-US"/>
        </w:rPr>
        <w:t>Secretary</w:t>
      </w:r>
      <w:r w:rsidR="0001389A" w:rsidRPr="00813D19">
        <w:rPr>
          <w:bCs/>
          <w:lang w:val="en-US"/>
        </w:rPr>
        <w:t xml:space="preserve"> </w:t>
      </w:r>
      <w:r w:rsidRPr="00813D19">
        <w:rPr>
          <w:bCs/>
          <w:lang w:val="en-US"/>
        </w:rPr>
        <w:t>explained that the proposal still posed</w:t>
      </w:r>
      <w:r w:rsidR="0001389A" w:rsidRPr="00813D19">
        <w:rPr>
          <w:bCs/>
          <w:lang w:val="en-US"/>
        </w:rPr>
        <w:t xml:space="preserve"> some questions in relation to paragraphs 36 and 54 of the Operational Directives</w:t>
      </w:r>
      <w:r w:rsidRPr="00813D19">
        <w:rPr>
          <w:bCs/>
          <w:lang w:val="en-US"/>
        </w:rPr>
        <w:t>,</w:t>
      </w:r>
      <w:r w:rsidR="0001389A" w:rsidRPr="00813D19">
        <w:rPr>
          <w:bCs/>
          <w:lang w:val="en-US"/>
        </w:rPr>
        <w:t xml:space="preserve"> relating to the examination of files and the overview of procedures. In that sense</w:t>
      </w:r>
      <w:r w:rsidRPr="00813D19">
        <w:rPr>
          <w:bCs/>
          <w:lang w:val="en-US"/>
        </w:rPr>
        <w:t>,</w:t>
      </w:r>
      <w:r w:rsidR="0001389A" w:rsidRPr="00813D19">
        <w:rPr>
          <w:bCs/>
          <w:lang w:val="en-US"/>
        </w:rPr>
        <w:t xml:space="preserve"> should the Committee decide to go down this path</w:t>
      </w:r>
      <w:r w:rsidRPr="00813D19">
        <w:rPr>
          <w:bCs/>
          <w:lang w:val="en-US"/>
        </w:rPr>
        <w:t>,</w:t>
      </w:r>
      <w:r w:rsidR="0001389A" w:rsidRPr="00813D19">
        <w:rPr>
          <w:bCs/>
          <w:lang w:val="en-US"/>
        </w:rPr>
        <w:t xml:space="preserve"> </w:t>
      </w:r>
      <w:r w:rsidRPr="00813D19">
        <w:rPr>
          <w:bCs/>
          <w:lang w:val="en-US"/>
        </w:rPr>
        <w:t xml:space="preserve">the Secretariat was of the </w:t>
      </w:r>
      <w:r w:rsidR="0001389A" w:rsidRPr="00813D19">
        <w:rPr>
          <w:bCs/>
          <w:lang w:val="en-US"/>
        </w:rPr>
        <w:t>understanding that the Committee would need to be bound by the truly experi</w:t>
      </w:r>
      <w:r w:rsidRPr="00813D19">
        <w:rPr>
          <w:bCs/>
          <w:lang w:val="en-US"/>
        </w:rPr>
        <w:t xml:space="preserve">mental nature of this decision and that it </w:t>
      </w:r>
      <w:r w:rsidR="0001389A" w:rsidRPr="00813D19">
        <w:rPr>
          <w:bCs/>
          <w:lang w:val="en-US"/>
        </w:rPr>
        <w:t>acknowledge</w:t>
      </w:r>
      <w:r w:rsidRPr="00813D19">
        <w:rPr>
          <w:bCs/>
          <w:lang w:val="en-US"/>
        </w:rPr>
        <w:t>d</w:t>
      </w:r>
      <w:r w:rsidR="0001389A" w:rsidRPr="00813D19">
        <w:rPr>
          <w:bCs/>
          <w:lang w:val="en-US"/>
        </w:rPr>
        <w:t xml:space="preserve"> responsibility for this process until the matter </w:t>
      </w:r>
      <w:r w:rsidRPr="00813D19">
        <w:rPr>
          <w:bCs/>
          <w:lang w:val="en-US"/>
        </w:rPr>
        <w:t xml:space="preserve">was </w:t>
      </w:r>
      <w:r w:rsidR="0001389A" w:rsidRPr="00813D19">
        <w:rPr>
          <w:bCs/>
          <w:lang w:val="en-US"/>
        </w:rPr>
        <w:t xml:space="preserve">brought for discussion at the </w:t>
      </w:r>
      <w:r w:rsidRPr="00813D19">
        <w:rPr>
          <w:bCs/>
          <w:lang w:val="en-US"/>
        </w:rPr>
        <w:t>next session of the General Assembly</w:t>
      </w:r>
      <w:r w:rsidR="0001389A" w:rsidRPr="00813D19">
        <w:rPr>
          <w:bCs/>
          <w:lang w:val="en-US"/>
        </w:rPr>
        <w:t xml:space="preserve"> in 2020. </w:t>
      </w:r>
      <w:r w:rsidR="00813D19" w:rsidRPr="00813D19">
        <w:rPr>
          <w:bCs/>
          <w:lang w:val="en-US"/>
        </w:rPr>
        <w:t>At the same time, two States, namely Saudi Arabia and the Lao People’s Democratic Republic</w:t>
      </w:r>
      <w:r w:rsidR="00252F13">
        <w:rPr>
          <w:bCs/>
          <w:lang w:val="en-US"/>
        </w:rPr>
        <w:t>,</w:t>
      </w:r>
      <w:r w:rsidR="00813D19" w:rsidRPr="00813D19">
        <w:rPr>
          <w:bCs/>
          <w:lang w:val="en-US"/>
        </w:rPr>
        <w:t xml:space="preserve"> had withdrawn their files, and </w:t>
      </w:r>
      <w:r w:rsidR="00813D19">
        <w:rPr>
          <w:bCs/>
          <w:lang w:val="en-US"/>
        </w:rPr>
        <w:t>should</w:t>
      </w:r>
      <w:r w:rsidR="00813D19" w:rsidRPr="00813D19">
        <w:rPr>
          <w:bCs/>
          <w:lang w:val="en-US"/>
        </w:rPr>
        <w:t xml:space="preserve"> </w:t>
      </w:r>
      <w:r w:rsidR="00252F13">
        <w:rPr>
          <w:bCs/>
          <w:lang w:val="en-US"/>
        </w:rPr>
        <w:t xml:space="preserve">therefore </w:t>
      </w:r>
      <w:r w:rsidR="00813D19" w:rsidRPr="00813D19">
        <w:rPr>
          <w:bCs/>
          <w:lang w:val="en-US"/>
        </w:rPr>
        <w:t xml:space="preserve">have the opportunity to cancel their withdrawals based on the primacy of the principles of consistency and fairness, and given that item 10 was still open for discussion. </w:t>
      </w:r>
      <w:r w:rsidR="00FB4FC9" w:rsidRPr="00813D19">
        <w:rPr>
          <w:bCs/>
          <w:lang w:val="en-US"/>
        </w:rPr>
        <w:t>The</w:t>
      </w:r>
      <w:r w:rsidR="00252F13">
        <w:rPr>
          <w:bCs/>
          <w:lang w:val="en-US"/>
        </w:rPr>
        <w:t xml:space="preserve"> Secretariat’s</w:t>
      </w:r>
      <w:r w:rsidR="00FB4FC9" w:rsidRPr="00813D19">
        <w:rPr>
          <w:bCs/>
          <w:lang w:val="en-US"/>
        </w:rPr>
        <w:t xml:space="preserve"> </w:t>
      </w:r>
      <w:r w:rsidR="0001389A" w:rsidRPr="00813D19">
        <w:rPr>
          <w:bCs/>
          <w:lang w:val="en-US"/>
        </w:rPr>
        <w:t xml:space="preserve">proposal </w:t>
      </w:r>
      <w:r w:rsidR="00FB4FC9" w:rsidRPr="00813D19">
        <w:rPr>
          <w:bCs/>
          <w:lang w:val="en-US"/>
        </w:rPr>
        <w:t xml:space="preserve">was </w:t>
      </w:r>
      <w:r w:rsidR="0001389A" w:rsidRPr="00813D19">
        <w:rPr>
          <w:bCs/>
          <w:lang w:val="en-US"/>
        </w:rPr>
        <w:t xml:space="preserve">as follows: States whose files were or </w:t>
      </w:r>
      <w:r w:rsidR="00252F13">
        <w:rPr>
          <w:bCs/>
          <w:lang w:val="en-US"/>
        </w:rPr>
        <w:t>would</w:t>
      </w:r>
      <w:r w:rsidR="00252F13" w:rsidRPr="00813D19">
        <w:rPr>
          <w:bCs/>
          <w:lang w:val="en-US"/>
        </w:rPr>
        <w:t xml:space="preserve"> </w:t>
      </w:r>
      <w:r w:rsidR="0001389A" w:rsidRPr="00813D19">
        <w:rPr>
          <w:bCs/>
          <w:lang w:val="en-US"/>
        </w:rPr>
        <w:t xml:space="preserve">be referred at the current session could submit to the Secretariat clarifications prior to the first meeting of the Evaluation Body foreseen at the end of February </w:t>
      </w:r>
      <w:r w:rsidR="00725C0A" w:rsidRPr="00813D19">
        <w:rPr>
          <w:bCs/>
          <w:lang w:val="en-US"/>
        </w:rPr>
        <w:t xml:space="preserve">in 2019 </w:t>
      </w:r>
      <w:r w:rsidR="0001389A" w:rsidRPr="00813D19">
        <w:rPr>
          <w:bCs/>
          <w:lang w:val="en-US"/>
        </w:rPr>
        <w:t xml:space="preserve">should they wish. These clarifications should respond to the concerns of the Committee and the Evaluation Body on those referred criteria and must be submitted in the two working languages of the Committee, English or French. The word count should not exceed the total word limit set in the nomination form for the criterion concerned. The Secretariat </w:t>
      </w:r>
      <w:r w:rsidR="00252F13">
        <w:rPr>
          <w:bCs/>
          <w:lang w:val="en-US"/>
        </w:rPr>
        <w:t>would</w:t>
      </w:r>
      <w:r w:rsidR="00252F13" w:rsidRPr="00813D19">
        <w:rPr>
          <w:bCs/>
          <w:lang w:val="en-US"/>
        </w:rPr>
        <w:t xml:space="preserve"> </w:t>
      </w:r>
      <w:r w:rsidR="0001389A" w:rsidRPr="00813D19">
        <w:rPr>
          <w:bCs/>
          <w:lang w:val="en-US"/>
        </w:rPr>
        <w:t xml:space="preserve">register and acknowledge receipt of the clarifications received. It </w:t>
      </w:r>
      <w:r w:rsidR="00252F13">
        <w:rPr>
          <w:bCs/>
          <w:lang w:val="en-US"/>
        </w:rPr>
        <w:t xml:space="preserve">would </w:t>
      </w:r>
      <w:r w:rsidR="0001389A" w:rsidRPr="00813D19">
        <w:rPr>
          <w:bCs/>
          <w:lang w:val="en-US"/>
        </w:rPr>
        <w:t xml:space="preserve">not check if the information </w:t>
      </w:r>
      <w:r w:rsidR="00252F13">
        <w:rPr>
          <w:bCs/>
          <w:lang w:val="en-US"/>
        </w:rPr>
        <w:t xml:space="preserve">was </w:t>
      </w:r>
      <w:r w:rsidR="0001389A" w:rsidRPr="00813D19">
        <w:rPr>
          <w:bCs/>
          <w:lang w:val="en-US"/>
        </w:rPr>
        <w:t>complete. The Secretariat w</w:t>
      </w:r>
      <w:r w:rsidR="00252F13">
        <w:rPr>
          <w:bCs/>
          <w:lang w:val="en-US"/>
        </w:rPr>
        <w:t>ould</w:t>
      </w:r>
      <w:r w:rsidR="0001389A" w:rsidRPr="00813D19">
        <w:rPr>
          <w:bCs/>
          <w:lang w:val="en-US"/>
        </w:rPr>
        <w:t xml:space="preserve"> then forward the clarifications to the Evaluation Body, which </w:t>
      </w:r>
      <w:r w:rsidR="00252F13">
        <w:rPr>
          <w:bCs/>
          <w:lang w:val="en-US"/>
        </w:rPr>
        <w:t>would</w:t>
      </w:r>
      <w:r w:rsidR="00252F13" w:rsidRPr="00813D19">
        <w:rPr>
          <w:bCs/>
          <w:lang w:val="en-US"/>
        </w:rPr>
        <w:t xml:space="preserve"> </w:t>
      </w:r>
      <w:r w:rsidR="0001389A" w:rsidRPr="00813D19">
        <w:rPr>
          <w:bCs/>
          <w:lang w:val="en-US"/>
        </w:rPr>
        <w:t xml:space="preserve">assess these against its original recommendations on those criteria and review their initial recommendation on the basis of the clarifications received. The files concerned </w:t>
      </w:r>
      <w:r w:rsidR="00252F13">
        <w:rPr>
          <w:bCs/>
          <w:lang w:val="en-US"/>
        </w:rPr>
        <w:t>would</w:t>
      </w:r>
      <w:r w:rsidR="00252F13" w:rsidRPr="00813D19">
        <w:rPr>
          <w:bCs/>
          <w:lang w:val="en-US"/>
        </w:rPr>
        <w:t xml:space="preserve"> </w:t>
      </w:r>
      <w:r w:rsidR="00725C0A" w:rsidRPr="00813D19">
        <w:rPr>
          <w:bCs/>
          <w:lang w:val="en-US"/>
        </w:rPr>
        <w:t xml:space="preserve">then </w:t>
      </w:r>
      <w:r w:rsidR="0001389A" w:rsidRPr="00813D19">
        <w:rPr>
          <w:bCs/>
          <w:lang w:val="en-US"/>
        </w:rPr>
        <w:t xml:space="preserve">be re-examined by the Committee at its fourteenth session </w:t>
      </w:r>
      <w:r w:rsidR="008E2B35" w:rsidRPr="00813D19">
        <w:rPr>
          <w:bCs/>
          <w:lang w:val="en-US"/>
        </w:rPr>
        <w:t xml:space="preserve">in 2019 </w:t>
      </w:r>
      <w:r w:rsidR="0001389A" w:rsidRPr="00813D19">
        <w:rPr>
          <w:bCs/>
          <w:lang w:val="en-US"/>
        </w:rPr>
        <w:t xml:space="preserve">and therefore </w:t>
      </w:r>
      <w:r w:rsidR="008E2B35" w:rsidRPr="00813D19">
        <w:rPr>
          <w:bCs/>
          <w:lang w:val="en-US"/>
        </w:rPr>
        <w:t xml:space="preserve">would </w:t>
      </w:r>
      <w:r w:rsidR="0001389A" w:rsidRPr="00813D19">
        <w:rPr>
          <w:bCs/>
          <w:lang w:val="en-US"/>
        </w:rPr>
        <w:t xml:space="preserve">not </w:t>
      </w:r>
      <w:r w:rsidR="008E2B35" w:rsidRPr="00813D19">
        <w:rPr>
          <w:bCs/>
          <w:lang w:val="en-US"/>
        </w:rPr>
        <w:t xml:space="preserve">be </w:t>
      </w:r>
      <w:r w:rsidR="0001389A" w:rsidRPr="00813D19">
        <w:rPr>
          <w:bCs/>
          <w:lang w:val="en-US"/>
        </w:rPr>
        <w:t xml:space="preserve">considered as newly submitted files. </w:t>
      </w:r>
      <w:r w:rsidR="00725C0A" w:rsidRPr="00813D19">
        <w:rPr>
          <w:bCs/>
          <w:lang w:val="en-US"/>
        </w:rPr>
        <w:t>T</w:t>
      </w:r>
      <w:r w:rsidR="0001389A" w:rsidRPr="00813D19">
        <w:rPr>
          <w:bCs/>
          <w:lang w:val="en-US"/>
        </w:rPr>
        <w:t xml:space="preserve">he Committee would need to review this procedure for discussion at </w:t>
      </w:r>
      <w:r w:rsidR="00725C0A" w:rsidRPr="00813D19">
        <w:rPr>
          <w:bCs/>
          <w:lang w:val="en-US"/>
        </w:rPr>
        <w:t xml:space="preserve">the </w:t>
      </w:r>
      <w:r w:rsidR="0001389A" w:rsidRPr="00813D19">
        <w:rPr>
          <w:bCs/>
          <w:lang w:val="en-US"/>
        </w:rPr>
        <w:t xml:space="preserve">eighth session of the General Assembly in 2020. These files would be considered above the adopted overall ceiling for the 2019 cycle and </w:t>
      </w:r>
      <w:r w:rsidR="008E2B35" w:rsidRPr="00813D19">
        <w:rPr>
          <w:bCs/>
          <w:lang w:val="en-US"/>
        </w:rPr>
        <w:t>would</w:t>
      </w:r>
      <w:r w:rsidR="0001389A" w:rsidRPr="00813D19">
        <w:rPr>
          <w:bCs/>
          <w:lang w:val="en-US"/>
        </w:rPr>
        <w:t xml:space="preserve"> not count in the</w:t>
      </w:r>
      <w:r w:rsidR="00E72560">
        <w:rPr>
          <w:bCs/>
          <w:lang w:val="en-US"/>
        </w:rPr>
        <w:t xml:space="preserve"> quota of the States concerned.</w:t>
      </w:r>
    </w:p>
    <w:p w14:paraId="1496C9FC" w14:textId="7EE82FDC" w:rsidR="007C0A16" w:rsidRPr="00813D19" w:rsidRDefault="007C0A16" w:rsidP="00DF1EF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710376" w:rsidRPr="00813D19">
        <w:rPr>
          <w:color w:val="000000" w:themeColor="text1"/>
          <w:lang w:val="en-US"/>
        </w:rPr>
        <w:t xml:space="preserve">thanked the </w:t>
      </w:r>
      <w:r w:rsidR="0001389A" w:rsidRPr="00813D19">
        <w:rPr>
          <w:bCs/>
          <w:lang w:val="en-US"/>
        </w:rPr>
        <w:t xml:space="preserve">Secretary for </w:t>
      </w:r>
      <w:r w:rsidR="00710376" w:rsidRPr="00813D19">
        <w:rPr>
          <w:bCs/>
          <w:lang w:val="en-US"/>
        </w:rPr>
        <w:t xml:space="preserve">the reflection </w:t>
      </w:r>
      <w:r w:rsidR="0001389A" w:rsidRPr="00813D19">
        <w:rPr>
          <w:bCs/>
          <w:lang w:val="en-US"/>
        </w:rPr>
        <w:t xml:space="preserve">on this very sensitive issue and also for the spirit of openness and flexibility to resolve </w:t>
      </w:r>
      <w:r w:rsidR="00725C0A" w:rsidRPr="00813D19">
        <w:rPr>
          <w:bCs/>
          <w:lang w:val="en-US"/>
        </w:rPr>
        <w:t xml:space="preserve">the issue </w:t>
      </w:r>
      <w:r w:rsidR="0001389A" w:rsidRPr="00813D19">
        <w:rPr>
          <w:bCs/>
          <w:lang w:val="en-US"/>
        </w:rPr>
        <w:t xml:space="preserve">raised by various Members of </w:t>
      </w:r>
      <w:r w:rsidR="00725C0A" w:rsidRPr="00813D19">
        <w:rPr>
          <w:bCs/>
          <w:lang w:val="en-US"/>
        </w:rPr>
        <w:t xml:space="preserve">the </w:t>
      </w:r>
      <w:r w:rsidR="0001389A" w:rsidRPr="00813D19">
        <w:rPr>
          <w:bCs/>
          <w:lang w:val="en-US"/>
        </w:rPr>
        <w:t xml:space="preserve">Committee. </w:t>
      </w:r>
      <w:r w:rsidR="00725C0A" w:rsidRPr="00813D19">
        <w:rPr>
          <w:bCs/>
          <w:lang w:val="en-US"/>
        </w:rPr>
        <w:t xml:space="preserve">The Chairperson took </w:t>
      </w:r>
      <w:r w:rsidR="0001389A" w:rsidRPr="00813D19">
        <w:rPr>
          <w:bCs/>
          <w:lang w:val="en-US"/>
        </w:rPr>
        <w:t>this opportunity to underline</w:t>
      </w:r>
      <w:r w:rsidR="00725C0A" w:rsidRPr="00813D19">
        <w:rPr>
          <w:bCs/>
          <w:lang w:val="en-US"/>
        </w:rPr>
        <w:t>,</w:t>
      </w:r>
      <w:r w:rsidR="0001389A" w:rsidRPr="00813D19">
        <w:rPr>
          <w:bCs/>
          <w:lang w:val="en-US"/>
        </w:rPr>
        <w:t xml:space="preserve"> as explained by the Secretariat, </w:t>
      </w:r>
      <w:r w:rsidR="00725C0A" w:rsidRPr="00813D19">
        <w:rPr>
          <w:bCs/>
          <w:lang w:val="en-US"/>
        </w:rPr>
        <w:t xml:space="preserve">that </w:t>
      </w:r>
      <w:r w:rsidR="0001389A" w:rsidRPr="00813D19">
        <w:rPr>
          <w:bCs/>
          <w:lang w:val="en-US"/>
        </w:rPr>
        <w:t xml:space="preserve">this procedure </w:t>
      </w:r>
      <w:r w:rsidR="00725C0A" w:rsidRPr="00813D19">
        <w:rPr>
          <w:bCs/>
          <w:lang w:val="en-US"/>
        </w:rPr>
        <w:t xml:space="preserve">was </w:t>
      </w:r>
      <w:r w:rsidR="0001389A" w:rsidRPr="00813D19">
        <w:rPr>
          <w:bCs/>
          <w:lang w:val="en-US"/>
        </w:rPr>
        <w:t xml:space="preserve">not foreseen by the current Operational Directives and </w:t>
      </w:r>
      <w:r w:rsidR="00725C0A" w:rsidRPr="00813D19">
        <w:rPr>
          <w:bCs/>
          <w:lang w:val="en-US"/>
        </w:rPr>
        <w:t xml:space="preserve">that the </w:t>
      </w:r>
      <w:r w:rsidR="0001389A" w:rsidRPr="00813D19">
        <w:rPr>
          <w:bCs/>
          <w:lang w:val="en-US"/>
        </w:rPr>
        <w:t xml:space="preserve">Committee </w:t>
      </w:r>
      <w:r w:rsidR="00725C0A" w:rsidRPr="00813D19">
        <w:rPr>
          <w:bCs/>
          <w:lang w:val="en-US"/>
        </w:rPr>
        <w:t xml:space="preserve">would </w:t>
      </w:r>
      <w:r w:rsidR="0001389A" w:rsidRPr="00813D19">
        <w:rPr>
          <w:bCs/>
          <w:lang w:val="en-US"/>
        </w:rPr>
        <w:t xml:space="preserve">remain accountable to all States Parties to the Convention as a General Assembly. Bureau members were asked to undertake consultations on this matter. </w:t>
      </w:r>
      <w:r w:rsidR="00725C0A" w:rsidRPr="00813D19">
        <w:rPr>
          <w:bCs/>
          <w:lang w:val="en-US"/>
        </w:rPr>
        <w:t>The Chairperson proposed suspend</w:t>
      </w:r>
      <w:r w:rsidR="00252F13">
        <w:rPr>
          <w:bCs/>
          <w:lang w:val="en-US"/>
        </w:rPr>
        <w:t xml:space="preserve">ing </w:t>
      </w:r>
      <w:r w:rsidR="00725C0A" w:rsidRPr="00813D19">
        <w:rPr>
          <w:bCs/>
          <w:lang w:val="en-US"/>
        </w:rPr>
        <w:t xml:space="preserve">the </w:t>
      </w:r>
      <w:r w:rsidR="0001389A" w:rsidRPr="00813D19">
        <w:rPr>
          <w:bCs/>
          <w:lang w:val="en-US"/>
        </w:rPr>
        <w:t>discuss</w:t>
      </w:r>
      <w:r w:rsidR="00725C0A" w:rsidRPr="00813D19">
        <w:rPr>
          <w:bCs/>
          <w:lang w:val="en-US"/>
        </w:rPr>
        <w:t xml:space="preserve">ion on this matter until the time of the overall decision </w:t>
      </w:r>
      <w:r w:rsidR="0001389A" w:rsidRPr="00813D19">
        <w:rPr>
          <w:bCs/>
          <w:lang w:val="en-US"/>
        </w:rPr>
        <w:t xml:space="preserve">13.COM. </w:t>
      </w:r>
      <w:r w:rsidR="00725C0A" w:rsidRPr="00813D19">
        <w:rPr>
          <w:bCs/>
          <w:lang w:val="en-US"/>
        </w:rPr>
        <w:t>The session therefore resumed with draft decision 10.b.15.</w:t>
      </w:r>
    </w:p>
    <w:p w14:paraId="2FA645D5" w14:textId="0288F815" w:rsidR="00DF1EFC" w:rsidRPr="00813D19" w:rsidRDefault="00583CF4" w:rsidP="00DF1EF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252F13">
        <w:rPr>
          <w:color w:val="000000" w:themeColor="text1"/>
          <w:lang w:val="en-US"/>
        </w:rPr>
        <w:t>,</w:t>
      </w:r>
      <w:r w:rsidRPr="00813D19">
        <w:rPr>
          <w:color w:val="000000" w:themeColor="text1"/>
          <w:lang w:val="en-US"/>
        </w:rPr>
        <w:t xml:space="preserve"> </w:t>
      </w:r>
      <w:r w:rsidRPr="00813D19">
        <w:rPr>
          <w:b/>
          <w:color w:val="000000" w:themeColor="text1"/>
          <w:lang w:val="en-US"/>
        </w:rPr>
        <w:t xml:space="preserve">Chidaoba, wrestling in Georgia </w:t>
      </w:r>
      <w:r w:rsidRPr="00813D19">
        <w:rPr>
          <w:color w:val="000000" w:themeColor="text1"/>
          <w:lang w:val="en-US"/>
        </w:rPr>
        <w:t>[draft decision 13.COM 10.b.15]</w:t>
      </w:r>
      <w:r w:rsidR="00252F13">
        <w:rPr>
          <w:color w:val="000000" w:themeColor="text1"/>
          <w:lang w:val="en-US"/>
        </w:rPr>
        <w:t>,</w:t>
      </w:r>
      <w:r w:rsidRPr="00813D19">
        <w:rPr>
          <w:color w:val="000000" w:themeColor="text1"/>
          <w:lang w:val="en-US"/>
        </w:rPr>
        <w:t xml:space="preserve"> submitted by </w:t>
      </w:r>
      <w:r w:rsidRPr="00813D19">
        <w:rPr>
          <w:b/>
          <w:color w:val="000000" w:themeColor="text1"/>
          <w:lang w:val="en-US"/>
        </w:rPr>
        <w:t>Georgia</w:t>
      </w:r>
      <w:r w:rsidRPr="00813D19">
        <w:rPr>
          <w:color w:val="000000" w:themeColor="text1"/>
          <w:lang w:val="en-US"/>
        </w:rPr>
        <w:t xml:space="preserve">. </w:t>
      </w:r>
      <w:r w:rsidR="00DF1EFC" w:rsidRPr="00813D19">
        <w:rPr>
          <w:lang w:val="en-US"/>
        </w:rPr>
        <w:t>Chidaoba (wrestling) is an ancient form of martial art practised by a large proportion of the male population throughout all the regions, villages and communities of Georgia. The practice encourages a healthy lifestyle and plays an important role in intercultural dialogue.</w:t>
      </w:r>
      <w:r w:rsidR="00DF1EFC" w:rsidRPr="00813D19">
        <w:rPr>
          <w:color w:val="000000" w:themeColor="text1"/>
          <w:lang w:val="en-US"/>
        </w:rPr>
        <w:t xml:space="preserve"> </w:t>
      </w:r>
      <w:r w:rsidR="00DF1EFC" w:rsidRPr="00813D19">
        <w:rPr>
          <w:lang w:val="en-US"/>
        </w:rPr>
        <w:t>From the information included in th</w:t>
      </w:r>
      <w:r w:rsidR="00E819AD" w:rsidRPr="00813D19">
        <w:rPr>
          <w:lang w:val="en-US"/>
        </w:rPr>
        <w:t>e file, the nomination satisfied</w:t>
      </w:r>
      <w:r w:rsidR="00DF1EFC" w:rsidRPr="00813D19">
        <w:rPr>
          <w:lang w:val="en-US"/>
        </w:rPr>
        <w:t xml:space="preserve"> all five criteria. The Evaluation Body considered that</w:t>
      </w:r>
      <w:r w:rsidR="00DF1EFC" w:rsidRPr="00813D19">
        <w:rPr>
          <w:b/>
          <w:lang w:val="en-US"/>
        </w:rPr>
        <w:t xml:space="preserve"> </w:t>
      </w:r>
      <w:r w:rsidR="00DF1EFC" w:rsidRPr="00813D19">
        <w:rPr>
          <w:lang w:val="en-US"/>
        </w:rPr>
        <w:t>Chidaoba, wrestling in Georgia serves an important cultural function in the country</w:t>
      </w:r>
      <w:r w:rsidR="00252F13">
        <w:rPr>
          <w:lang w:val="en-US"/>
        </w:rPr>
        <w:t>,</w:t>
      </w:r>
      <w:r w:rsidR="00DF1EFC" w:rsidRPr="00813D19">
        <w:rPr>
          <w:lang w:val="en-US"/>
        </w:rPr>
        <w:t xml:space="preserve"> extending beyond the sporting performance. It promotes friendship and respect among people</w:t>
      </w:r>
      <w:r w:rsidR="0056419A" w:rsidRPr="00813D19">
        <w:rPr>
          <w:lang w:val="en-US"/>
        </w:rPr>
        <w:t>,</w:t>
      </w:r>
      <w:r w:rsidR="00DF1EFC" w:rsidRPr="00813D19">
        <w:rPr>
          <w:lang w:val="en-US"/>
        </w:rPr>
        <w:t xml:space="preserve"> and Georgians recognize it as an important symbol of their identity. The element would also promote human creativity by highlighting how resourceful wrestlers must be in combining different holds and making quick decisions. The proposed safeguarding measures include</w:t>
      </w:r>
      <w:r w:rsidR="00153B42" w:rsidRPr="00813D19">
        <w:rPr>
          <w:lang w:val="en-US"/>
        </w:rPr>
        <w:t>d</w:t>
      </w:r>
      <w:r w:rsidR="00DF1EFC" w:rsidRPr="00813D19">
        <w:rPr>
          <w:lang w:val="en-US"/>
        </w:rPr>
        <w:t xml:space="preserve"> adjusting the national legal</w:t>
      </w:r>
      <w:r w:rsidR="0056419A" w:rsidRPr="00813D19">
        <w:rPr>
          <w:lang w:val="en-US"/>
        </w:rPr>
        <w:t xml:space="preserve"> framework for sports and games,</w:t>
      </w:r>
      <w:r w:rsidR="00DF1EFC" w:rsidRPr="00813D19">
        <w:rPr>
          <w:lang w:val="en-US"/>
        </w:rPr>
        <w:t xml:space="preserve"> integrating wrestl</w:t>
      </w:r>
      <w:r w:rsidR="0056419A" w:rsidRPr="00813D19">
        <w:rPr>
          <w:lang w:val="en-US"/>
        </w:rPr>
        <w:t>ing into the educational system,</w:t>
      </w:r>
      <w:r w:rsidR="00DF1EFC" w:rsidRPr="00813D19">
        <w:rPr>
          <w:lang w:val="en-US"/>
        </w:rPr>
        <w:t xml:space="preserve"> providing training and </w:t>
      </w:r>
      <w:r w:rsidR="0056419A" w:rsidRPr="00813D19">
        <w:rPr>
          <w:lang w:val="en-US"/>
        </w:rPr>
        <w:t>coaching within the communities,</w:t>
      </w:r>
      <w:r w:rsidR="00DF1EFC" w:rsidRPr="00813D19">
        <w:rPr>
          <w:lang w:val="en-US"/>
        </w:rPr>
        <w:t xml:space="preserve"> improving the infrastructure</w:t>
      </w:r>
      <w:r w:rsidR="0056419A" w:rsidRPr="00813D19">
        <w:rPr>
          <w:lang w:val="en-US"/>
        </w:rPr>
        <w:t xml:space="preserve"> needed to organize tournaments,</w:t>
      </w:r>
      <w:r w:rsidR="00DF1EFC" w:rsidRPr="00813D19">
        <w:rPr>
          <w:lang w:val="en-US"/>
        </w:rPr>
        <w:t xml:space="preserve"> promoting accompanying expressions such as</w:t>
      </w:r>
      <w:r w:rsidR="0056419A" w:rsidRPr="00813D19">
        <w:rPr>
          <w:lang w:val="en-US"/>
        </w:rPr>
        <w:t xml:space="preserve"> music, dance or costume-making,</w:t>
      </w:r>
      <w:r w:rsidR="00DF1EFC" w:rsidRPr="00813D19">
        <w:rPr>
          <w:lang w:val="en-US"/>
        </w:rPr>
        <w:t xml:space="preserve"> and establishing a specialized museum devoted to Chidaoba. The identification and nomination of Chidaoba was done by local community and practitioners, represented by the National Federation of Georgian Wrestling, researchers and other experts.</w:t>
      </w:r>
      <w:r w:rsidR="00DF1EFC" w:rsidRPr="00813D19">
        <w:rPr>
          <w:color w:val="FF0000"/>
          <w:lang w:val="en-US"/>
        </w:rPr>
        <w:t xml:space="preserve"> </w:t>
      </w:r>
      <w:r w:rsidR="00DF1EFC" w:rsidRPr="00813D19">
        <w:rPr>
          <w:lang w:val="en-US"/>
        </w:rPr>
        <w:t>The Evaluation Body commended the State Party for its precise description of community participation, including the division of gender roles and responsibilities.</w:t>
      </w:r>
      <w:r w:rsidR="00DF1EFC" w:rsidRPr="00813D19">
        <w:rPr>
          <w:color w:val="000000" w:themeColor="text1"/>
          <w:lang w:val="en-US"/>
        </w:rPr>
        <w:t xml:space="preserve"> </w:t>
      </w:r>
      <w:r w:rsidR="00DF1EFC" w:rsidRPr="00813D19">
        <w:rPr>
          <w:lang w:val="en-US"/>
        </w:rPr>
        <w:t>The Evaluation Body recommended that the Committee inscribe Chidaoba, wrestling in Georgia on the Representative List.</w:t>
      </w:r>
    </w:p>
    <w:p w14:paraId="77BCBC16" w14:textId="77777777" w:rsidR="0056419A" w:rsidRPr="00813D19" w:rsidRDefault="0056419A" w:rsidP="0056419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3C9F24B4" w14:textId="2C810355" w:rsidR="006402E8" w:rsidRPr="00E72560" w:rsidRDefault="0056419A" w:rsidP="0056419A">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6402E8" w:rsidRPr="00813D19">
        <w:rPr>
          <w:b/>
          <w:lang w:val="en-US"/>
        </w:rPr>
        <w:t xml:space="preserve">Chairperson declared Decision </w:t>
      </w:r>
      <w:hyperlink r:id="rId115" w:history="1">
        <w:r w:rsidR="006402E8" w:rsidRPr="00813D19">
          <w:rPr>
            <w:rStyle w:val="Hyperlink"/>
            <w:b/>
            <w:lang w:val="en-US"/>
          </w:rPr>
          <w:t>13.COM</w:t>
        </w:r>
        <w:r w:rsidR="00992896">
          <w:rPr>
            <w:rStyle w:val="Hyperlink"/>
            <w:b/>
            <w:lang w:val="en-US"/>
          </w:rPr>
          <w:t> </w:t>
        </w:r>
        <w:r w:rsidR="006402E8" w:rsidRPr="00813D19">
          <w:rPr>
            <w:rStyle w:val="Hyperlink"/>
            <w:b/>
            <w:lang w:val="en-US"/>
          </w:rPr>
          <w:t>10.b.15</w:t>
        </w:r>
      </w:hyperlink>
      <w:r w:rsidR="006402E8" w:rsidRPr="00813D19">
        <w:rPr>
          <w:b/>
          <w:lang w:val="en-US"/>
        </w:rPr>
        <w:t xml:space="preserve"> adopted to inscribe </w:t>
      </w:r>
      <w:r w:rsidR="006402E8" w:rsidRPr="00813D19">
        <w:rPr>
          <w:b/>
          <w:color w:val="000000" w:themeColor="text1"/>
          <w:lang w:val="en-US"/>
        </w:rPr>
        <w:t>Chidaoba, wrestling in Georgia on the Representative List</w:t>
      </w:r>
      <w:r w:rsidR="006402E8" w:rsidRPr="00E72560">
        <w:rPr>
          <w:bCs/>
          <w:snapToGrid/>
          <w:color w:val="000000" w:themeColor="text1"/>
          <w:lang w:val="en-US"/>
        </w:rPr>
        <w:t>.</w:t>
      </w:r>
    </w:p>
    <w:p w14:paraId="2545739F" w14:textId="73A7F19E" w:rsidR="00D04A67" w:rsidRPr="00E72560" w:rsidRDefault="00D04A67" w:rsidP="006402E8">
      <w:pPr>
        <w:pStyle w:val="Orateurengris"/>
        <w:spacing w:before="120"/>
        <w:ind w:left="709" w:hanging="709"/>
        <w:rPr>
          <w:rFonts w:eastAsia="Times New Roman"/>
          <w:lang w:val="en-US"/>
        </w:rPr>
      </w:pPr>
      <w:r w:rsidRPr="00813D19">
        <w:rPr>
          <w:lang w:val="en-US"/>
        </w:rPr>
        <w:t xml:space="preserve">The </w:t>
      </w:r>
      <w:r w:rsidRPr="00813D19">
        <w:rPr>
          <w:b/>
          <w:lang w:val="en-US"/>
        </w:rPr>
        <w:t>delegation of Georgia</w:t>
      </w:r>
      <w:r w:rsidR="001F77DE" w:rsidRPr="00813D19">
        <w:rPr>
          <w:b/>
          <w:lang w:val="en-US"/>
        </w:rPr>
        <w:t xml:space="preserve"> </w:t>
      </w:r>
      <w:r w:rsidR="00857A95" w:rsidRPr="00813D19">
        <w:rPr>
          <w:lang w:val="en-US"/>
        </w:rPr>
        <w:t xml:space="preserve">spoke </w:t>
      </w:r>
      <w:r w:rsidR="001F77DE" w:rsidRPr="00813D19">
        <w:rPr>
          <w:bCs/>
          <w:lang w:val="en-US"/>
        </w:rPr>
        <w:t xml:space="preserve">on behalf of all </w:t>
      </w:r>
      <w:r w:rsidR="00252F13">
        <w:rPr>
          <w:bCs/>
          <w:lang w:val="en-US"/>
        </w:rPr>
        <w:t>the</w:t>
      </w:r>
      <w:r w:rsidR="00252F13" w:rsidRPr="00813D19">
        <w:rPr>
          <w:bCs/>
          <w:lang w:val="en-US"/>
        </w:rPr>
        <w:t xml:space="preserve"> </w:t>
      </w:r>
      <w:r w:rsidR="001F77DE" w:rsidRPr="00813D19">
        <w:rPr>
          <w:bCs/>
          <w:lang w:val="en-US"/>
        </w:rPr>
        <w:t xml:space="preserve">communities, groups and individuals </w:t>
      </w:r>
      <w:r w:rsidR="00252F13">
        <w:rPr>
          <w:bCs/>
          <w:lang w:val="en-US"/>
        </w:rPr>
        <w:t xml:space="preserve">involved </w:t>
      </w:r>
      <w:r w:rsidR="001F77DE" w:rsidRPr="00813D19">
        <w:rPr>
          <w:bCs/>
          <w:lang w:val="en-US"/>
        </w:rPr>
        <w:t xml:space="preserve">who considered </w:t>
      </w:r>
      <w:r w:rsidR="001F77DE" w:rsidRPr="00813D19">
        <w:rPr>
          <w:lang w:val="en-US"/>
        </w:rPr>
        <w:t xml:space="preserve">Chidaoba, Georgian wrestling as an inseparable part of </w:t>
      </w:r>
      <w:r w:rsidR="00857A95" w:rsidRPr="00813D19">
        <w:rPr>
          <w:lang w:val="en-US"/>
        </w:rPr>
        <w:t xml:space="preserve">their </w:t>
      </w:r>
      <w:r w:rsidR="001F77DE" w:rsidRPr="00813D19">
        <w:rPr>
          <w:lang w:val="en-US"/>
        </w:rPr>
        <w:t>cultural identity</w:t>
      </w:r>
      <w:r w:rsidR="00857A95" w:rsidRPr="00813D19">
        <w:rPr>
          <w:lang w:val="en-US"/>
        </w:rPr>
        <w:t xml:space="preserve">. The delegation </w:t>
      </w:r>
      <w:r w:rsidR="001F77DE" w:rsidRPr="00813D19">
        <w:rPr>
          <w:lang w:val="en-US"/>
        </w:rPr>
        <w:t>convey</w:t>
      </w:r>
      <w:r w:rsidR="00857A95" w:rsidRPr="00813D19">
        <w:rPr>
          <w:lang w:val="en-US"/>
        </w:rPr>
        <w:t>ed</w:t>
      </w:r>
      <w:r w:rsidR="001F77DE" w:rsidRPr="00813D19">
        <w:rPr>
          <w:lang w:val="en-US"/>
        </w:rPr>
        <w:t xml:space="preserve"> </w:t>
      </w:r>
      <w:r w:rsidR="00252F13">
        <w:rPr>
          <w:lang w:val="en-US"/>
        </w:rPr>
        <w:t xml:space="preserve">its </w:t>
      </w:r>
      <w:r w:rsidR="001F77DE" w:rsidRPr="00813D19">
        <w:rPr>
          <w:lang w:val="en-US"/>
        </w:rPr>
        <w:t xml:space="preserve">gratitude to </w:t>
      </w:r>
      <w:r w:rsidR="00857A95" w:rsidRPr="00813D19">
        <w:rPr>
          <w:lang w:val="en-US"/>
        </w:rPr>
        <w:t xml:space="preserve">the </w:t>
      </w:r>
      <w:r w:rsidR="001F77DE" w:rsidRPr="00813D19">
        <w:rPr>
          <w:lang w:val="en-US"/>
        </w:rPr>
        <w:t xml:space="preserve">Committee, the Secretariat, the Evaluation Body and to all the people whose hard work and devotion </w:t>
      </w:r>
      <w:r w:rsidR="00252F13">
        <w:rPr>
          <w:lang w:val="en-US"/>
        </w:rPr>
        <w:t xml:space="preserve">had </w:t>
      </w:r>
      <w:r w:rsidR="001F77DE" w:rsidRPr="00813D19">
        <w:rPr>
          <w:lang w:val="en-US"/>
        </w:rPr>
        <w:t xml:space="preserve">contributed to the success of this nomination. Chidaoba bears an important cultural function and has great </w:t>
      </w:r>
      <w:r w:rsidR="00857A95" w:rsidRPr="00813D19">
        <w:rPr>
          <w:lang w:val="en-US"/>
        </w:rPr>
        <w:t>social value in Georgia, combining</w:t>
      </w:r>
      <w:r w:rsidR="001F77DE" w:rsidRPr="00813D19">
        <w:rPr>
          <w:lang w:val="en-US"/>
        </w:rPr>
        <w:t xml:space="preserve"> the elements of wrestling, music, dance and special dressing traditions. This element promotes ties between generations, encourages mutual respect</w:t>
      </w:r>
      <w:r w:rsidR="00857A95" w:rsidRPr="00813D19">
        <w:rPr>
          <w:lang w:val="en-US"/>
        </w:rPr>
        <w:t>,</w:t>
      </w:r>
      <w:r w:rsidR="001F77DE" w:rsidRPr="00813D19">
        <w:rPr>
          <w:lang w:val="en-US"/>
        </w:rPr>
        <w:t xml:space="preserve"> and is widely spread among various religious and ethnic communities. </w:t>
      </w:r>
      <w:r w:rsidR="00857A95" w:rsidRPr="00813D19">
        <w:rPr>
          <w:lang w:val="en-US"/>
        </w:rPr>
        <w:t xml:space="preserve">The delegation </w:t>
      </w:r>
      <w:r w:rsidR="001F77DE" w:rsidRPr="00813D19">
        <w:rPr>
          <w:lang w:val="en-US"/>
        </w:rPr>
        <w:t>believe</w:t>
      </w:r>
      <w:r w:rsidR="00857A95" w:rsidRPr="00813D19">
        <w:rPr>
          <w:lang w:val="en-US"/>
        </w:rPr>
        <w:t>d</w:t>
      </w:r>
      <w:r w:rsidR="001F77DE" w:rsidRPr="00813D19">
        <w:rPr>
          <w:lang w:val="en-US"/>
        </w:rPr>
        <w:t xml:space="preserve"> that this new inscription </w:t>
      </w:r>
      <w:r w:rsidR="00252F13">
        <w:rPr>
          <w:lang w:val="en-US"/>
        </w:rPr>
        <w:t xml:space="preserve">would </w:t>
      </w:r>
      <w:r w:rsidR="001F77DE" w:rsidRPr="00813D19">
        <w:rPr>
          <w:lang w:val="en-US"/>
        </w:rPr>
        <w:t xml:space="preserve">greatly contribute to the </w:t>
      </w:r>
      <w:r w:rsidR="00857A95" w:rsidRPr="00813D19">
        <w:rPr>
          <w:lang w:val="en-US"/>
        </w:rPr>
        <w:t xml:space="preserve">wealth </w:t>
      </w:r>
      <w:r w:rsidR="001F77DE" w:rsidRPr="00813D19">
        <w:rPr>
          <w:lang w:val="en-US"/>
        </w:rPr>
        <w:t xml:space="preserve">and diversity of intangible </w:t>
      </w:r>
      <w:r w:rsidR="00857A95" w:rsidRPr="00813D19">
        <w:rPr>
          <w:lang w:val="en-US"/>
        </w:rPr>
        <w:t xml:space="preserve">cultural </w:t>
      </w:r>
      <w:r w:rsidR="001F77DE" w:rsidRPr="00813D19">
        <w:rPr>
          <w:lang w:val="en-US"/>
        </w:rPr>
        <w:t xml:space="preserve">heritage and be vitally important for the preservation and further promotion of this element </w:t>
      </w:r>
      <w:r w:rsidR="00252F13">
        <w:rPr>
          <w:lang w:val="en-US"/>
        </w:rPr>
        <w:t>at</w:t>
      </w:r>
      <w:r w:rsidR="00252F13" w:rsidRPr="00813D19">
        <w:rPr>
          <w:lang w:val="en-US"/>
        </w:rPr>
        <w:t xml:space="preserve"> </w:t>
      </w:r>
      <w:r w:rsidR="00857A95" w:rsidRPr="00813D19">
        <w:rPr>
          <w:lang w:val="en-US"/>
        </w:rPr>
        <w:t xml:space="preserve">both </w:t>
      </w:r>
      <w:r w:rsidR="00252F13">
        <w:rPr>
          <w:lang w:val="en-US"/>
        </w:rPr>
        <w:t xml:space="preserve">the </w:t>
      </w:r>
      <w:r w:rsidR="001F77DE" w:rsidRPr="00813D19">
        <w:rPr>
          <w:lang w:val="en-US"/>
        </w:rPr>
        <w:t>national and international levels. Chidaoba is the fourth element from Georgia on the Representative List</w:t>
      </w:r>
      <w:r w:rsidR="00857A95" w:rsidRPr="00813D19">
        <w:rPr>
          <w:lang w:val="en-US"/>
        </w:rPr>
        <w:t>,</w:t>
      </w:r>
      <w:r w:rsidR="001F77DE" w:rsidRPr="00813D19">
        <w:rPr>
          <w:lang w:val="en-US"/>
        </w:rPr>
        <w:t xml:space="preserve"> and every new inscription d</w:t>
      </w:r>
      <w:r w:rsidR="00857A95" w:rsidRPr="00813D19">
        <w:rPr>
          <w:lang w:val="en-US"/>
        </w:rPr>
        <w:t>ramatically increased</w:t>
      </w:r>
      <w:r w:rsidR="001F77DE" w:rsidRPr="00813D19">
        <w:rPr>
          <w:lang w:val="en-US"/>
        </w:rPr>
        <w:t xml:space="preserve"> awareness </w:t>
      </w:r>
      <w:r w:rsidR="00252F13">
        <w:rPr>
          <w:lang w:val="en-US"/>
        </w:rPr>
        <w:t>about</w:t>
      </w:r>
      <w:r w:rsidR="001F77DE" w:rsidRPr="00813D19">
        <w:rPr>
          <w:lang w:val="en-US"/>
        </w:rPr>
        <w:t xml:space="preserve"> </w:t>
      </w:r>
      <w:r w:rsidR="00857A95" w:rsidRPr="00813D19">
        <w:rPr>
          <w:lang w:val="en-US"/>
        </w:rPr>
        <w:t>intangible cultural heritage in the country, highlighting</w:t>
      </w:r>
      <w:r w:rsidR="001F77DE" w:rsidRPr="00813D19">
        <w:rPr>
          <w:lang w:val="en-US"/>
        </w:rPr>
        <w:t xml:space="preserve"> the exceptional value of the Convention, </w:t>
      </w:r>
      <w:r w:rsidR="00857A95" w:rsidRPr="00813D19">
        <w:rPr>
          <w:lang w:val="en-US"/>
        </w:rPr>
        <w:t xml:space="preserve">while promoting </w:t>
      </w:r>
      <w:r w:rsidR="001F77DE" w:rsidRPr="00813D19">
        <w:rPr>
          <w:lang w:val="en-US"/>
        </w:rPr>
        <w:t xml:space="preserve">sustainable protection, </w:t>
      </w:r>
      <w:r w:rsidR="00857A95" w:rsidRPr="00813D19">
        <w:rPr>
          <w:lang w:val="en-US"/>
        </w:rPr>
        <w:t xml:space="preserve">the </w:t>
      </w:r>
      <w:r w:rsidR="001F77DE" w:rsidRPr="00813D19">
        <w:rPr>
          <w:lang w:val="en-US"/>
        </w:rPr>
        <w:t>transmission and viability of the intangible heritage</w:t>
      </w:r>
      <w:r w:rsidR="008045B5" w:rsidRPr="00813D19">
        <w:rPr>
          <w:lang w:val="en-US"/>
        </w:rPr>
        <w:t>,</w:t>
      </w:r>
      <w:r w:rsidR="001F77DE" w:rsidRPr="00813D19">
        <w:rPr>
          <w:lang w:val="en-US"/>
        </w:rPr>
        <w:t xml:space="preserve"> as well as ensuring diversity of cultural expressions. </w:t>
      </w:r>
      <w:r w:rsidR="00857A95" w:rsidRPr="00813D19">
        <w:rPr>
          <w:lang w:val="en-US"/>
        </w:rPr>
        <w:t xml:space="preserve">The delegation </w:t>
      </w:r>
      <w:r w:rsidR="001F77DE" w:rsidRPr="00813D19">
        <w:rPr>
          <w:lang w:val="en-US"/>
        </w:rPr>
        <w:t>congratulate</w:t>
      </w:r>
      <w:r w:rsidR="00857A95" w:rsidRPr="00813D19">
        <w:rPr>
          <w:lang w:val="en-US"/>
        </w:rPr>
        <w:t>d</w:t>
      </w:r>
      <w:r w:rsidR="001F77DE" w:rsidRPr="00813D19">
        <w:rPr>
          <w:lang w:val="en-US"/>
        </w:rPr>
        <w:t xml:space="preserve"> all the communities in Georgia who consider this element as </w:t>
      </w:r>
      <w:r w:rsidR="00857A95" w:rsidRPr="00813D19">
        <w:rPr>
          <w:lang w:val="en-US"/>
        </w:rPr>
        <w:t xml:space="preserve">part of </w:t>
      </w:r>
      <w:r w:rsidR="001F77DE" w:rsidRPr="00813D19">
        <w:rPr>
          <w:lang w:val="en-US"/>
        </w:rPr>
        <w:t>their cultural inheritance</w:t>
      </w:r>
      <w:r w:rsidR="00857A95" w:rsidRPr="00813D19">
        <w:rPr>
          <w:lang w:val="en-US"/>
        </w:rPr>
        <w:t>,</w:t>
      </w:r>
      <w:r w:rsidR="001F77DE" w:rsidRPr="00813D19">
        <w:rPr>
          <w:lang w:val="en-US"/>
        </w:rPr>
        <w:t xml:space="preserve"> and extend</w:t>
      </w:r>
      <w:r w:rsidR="00857A95" w:rsidRPr="00813D19">
        <w:rPr>
          <w:lang w:val="en-US"/>
        </w:rPr>
        <w:t>ed</w:t>
      </w:r>
      <w:r w:rsidR="001F77DE" w:rsidRPr="00813D19">
        <w:rPr>
          <w:lang w:val="en-US"/>
        </w:rPr>
        <w:t xml:space="preserve"> </w:t>
      </w:r>
      <w:r w:rsidR="00252F13">
        <w:rPr>
          <w:lang w:val="en-US"/>
        </w:rPr>
        <w:t xml:space="preserve">its </w:t>
      </w:r>
      <w:r w:rsidR="001F77DE" w:rsidRPr="00813D19">
        <w:rPr>
          <w:lang w:val="en-US"/>
        </w:rPr>
        <w:t xml:space="preserve">gratitude to the host country for their hospitality and excellent organization of this </w:t>
      </w:r>
      <w:r w:rsidR="00857A95" w:rsidRPr="00813D19">
        <w:rPr>
          <w:lang w:val="en-US"/>
        </w:rPr>
        <w:t>meeting</w:t>
      </w:r>
      <w:r w:rsidR="00E72560">
        <w:rPr>
          <w:lang w:val="en-US"/>
        </w:rPr>
        <w:t>.</w:t>
      </w:r>
    </w:p>
    <w:p w14:paraId="79A9DAC6" w14:textId="0CED25ED" w:rsidR="00C15D93" w:rsidRPr="00813D19" w:rsidRDefault="00C15D93" w:rsidP="00DF1EF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252F13">
        <w:rPr>
          <w:color w:val="000000" w:themeColor="text1"/>
          <w:lang w:val="en-US"/>
        </w:rPr>
        <w:t>,</w:t>
      </w:r>
      <w:r w:rsidRPr="00813D19">
        <w:rPr>
          <w:color w:val="000000" w:themeColor="text1"/>
          <w:lang w:val="en-US"/>
        </w:rPr>
        <w:t xml:space="preserve"> </w:t>
      </w:r>
      <w:r w:rsidR="00CB1562" w:rsidRPr="00813D19">
        <w:rPr>
          <w:b/>
          <w:color w:val="000000" w:themeColor="text1"/>
          <w:lang w:val="en-US"/>
        </w:rPr>
        <w:t>Pantun Malay o</w:t>
      </w:r>
      <w:r w:rsidRPr="00813D19">
        <w:rPr>
          <w:b/>
          <w:color w:val="000000" w:themeColor="text1"/>
          <w:lang w:val="en-US"/>
        </w:rPr>
        <w:t xml:space="preserve">ral tradition </w:t>
      </w:r>
      <w:r w:rsidRPr="00813D19">
        <w:rPr>
          <w:color w:val="000000" w:themeColor="text1"/>
          <w:lang w:val="en-US"/>
        </w:rPr>
        <w:t>[draft decision 13.COM 10.b.16]</w:t>
      </w:r>
      <w:r w:rsidR="00252F13">
        <w:rPr>
          <w:color w:val="000000" w:themeColor="text1"/>
          <w:lang w:val="en-US"/>
        </w:rPr>
        <w:t>,</w:t>
      </w:r>
      <w:r w:rsidRPr="00813D19">
        <w:rPr>
          <w:color w:val="000000" w:themeColor="text1"/>
          <w:lang w:val="en-US"/>
        </w:rPr>
        <w:t xml:space="preserve"> submitted by </w:t>
      </w:r>
      <w:r w:rsidRPr="00813D19">
        <w:rPr>
          <w:b/>
          <w:color w:val="000000" w:themeColor="text1"/>
          <w:lang w:val="en-US"/>
        </w:rPr>
        <w:t>Indonesia</w:t>
      </w:r>
      <w:r w:rsidRPr="00813D19">
        <w:rPr>
          <w:color w:val="000000" w:themeColor="text1"/>
          <w:lang w:val="en-US"/>
        </w:rPr>
        <w:t xml:space="preserve"> </w:t>
      </w:r>
      <w:r w:rsidR="0056419A" w:rsidRPr="00813D19">
        <w:rPr>
          <w:b/>
          <w:color w:val="000000" w:themeColor="text1"/>
          <w:lang w:val="en-US"/>
        </w:rPr>
        <w:t>and</w:t>
      </w:r>
      <w:r w:rsidR="0056419A" w:rsidRPr="00813D19">
        <w:rPr>
          <w:color w:val="000000" w:themeColor="text1"/>
          <w:lang w:val="en-US"/>
        </w:rPr>
        <w:t xml:space="preserve"> </w:t>
      </w:r>
      <w:r w:rsidRPr="00813D19">
        <w:rPr>
          <w:b/>
          <w:color w:val="000000" w:themeColor="text1"/>
          <w:lang w:val="en-US"/>
        </w:rPr>
        <w:t>Malaysia</w:t>
      </w:r>
      <w:r w:rsidRPr="00813D19">
        <w:rPr>
          <w:color w:val="000000" w:themeColor="text1"/>
          <w:lang w:val="en-US"/>
        </w:rPr>
        <w:t xml:space="preserve">. </w:t>
      </w:r>
      <w:r w:rsidR="00DF1EFC" w:rsidRPr="00813D19">
        <w:rPr>
          <w:lang w:val="en-US"/>
        </w:rPr>
        <w:t>Pantun, Malay oral tradition is a poetic form most commonly dealing with the subject of love. Pantun is considered as the soul that brings together the various communities and aspects of Malay life, describing ideas and thoughts central to the local wisdom of its people. From the information included in th</w:t>
      </w:r>
      <w:r w:rsidR="0056419A" w:rsidRPr="00813D19">
        <w:rPr>
          <w:lang w:val="en-US"/>
        </w:rPr>
        <w:t>e file, the nomination satisfied criterion</w:t>
      </w:r>
      <w:r w:rsidR="00DF1EFC" w:rsidRPr="00813D19">
        <w:rPr>
          <w:lang w:val="en-US"/>
        </w:rPr>
        <w:t xml:space="preserve"> R.1. Pantun conveys social content as well as important moral and religious values, </w:t>
      </w:r>
      <w:r w:rsidR="0056419A" w:rsidRPr="00813D19">
        <w:rPr>
          <w:lang w:val="en-US"/>
        </w:rPr>
        <w:t xml:space="preserve">and </w:t>
      </w:r>
      <w:r w:rsidR="00DF1EFC" w:rsidRPr="00813D19">
        <w:rPr>
          <w:lang w:val="en-US"/>
        </w:rPr>
        <w:t>serves as a means of communication and an instrument of guidance and support for its practitioners.</w:t>
      </w:r>
      <w:r w:rsidR="00DF1EFC" w:rsidRPr="00813D19">
        <w:rPr>
          <w:color w:val="000000" w:themeColor="text1"/>
          <w:lang w:val="en-US"/>
        </w:rPr>
        <w:t xml:space="preserve"> </w:t>
      </w:r>
      <w:r w:rsidR="00DF1EFC" w:rsidRPr="00813D19">
        <w:rPr>
          <w:noProof/>
          <w:lang w:val="en-US"/>
        </w:rPr>
        <w:t xml:space="preserve">However, the Evaluation Body considered that the information </w:t>
      </w:r>
      <w:r w:rsidR="0056419A" w:rsidRPr="00813D19">
        <w:rPr>
          <w:noProof/>
          <w:lang w:val="en-US"/>
        </w:rPr>
        <w:t xml:space="preserve">was </w:t>
      </w:r>
      <w:r w:rsidR="00DF1EFC" w:rsidRPr="00813D19">
        <w:rPr>
          <w:noProof/>
          <w:lang w:val="en-US"/>
        </w:rPr>
        <w:t xml:space="preserve">not sufficient to assess criteria R.2, </w:t>
      </w:r>
      <w:r w:rsidR="00DF1EFC" w:rsidRPr="00813D19">
        <w:rPr>
          <w:lang w:val="en-US"/>
        </w:rPr>
        <w:t xml:space="preserve">R.3, </w:t>
      </w:r>
      <w:r w:rsidR="00DF1EFC" w:rsidRPr="00813D19">
        <w:rPr>
          <w:noProof/>
          <w:lang w:val="en-US"/>
        </w:rPr>
        <w:t>R.4 and R.5.</w:t>
      </w:r>
      <w:r w:rsidR="00DF1EFC" w:rsidRPr="00813D19">
        <w:rPr>
          <w:color w:val="000000" w:themeColor="text1"/>
          <w:lang w:val="en-US"/>
        </w:rPr>
        <w:t xml:space="preserve"> </w:t>
      </w:r>
      <w:r w:rsidR="0056419A" w:rsidRPr="00813D19">
        <w:rPr>
          <w:lang w:val="en-US"/>
        </w:rPr>
        <w:t xml:space="preserve">The file mostly focused </w:t>
      </w:r>
      <w:r w:rsidR="00DF1EFC" w:rsidRPr="00813D19">
        <w:rPr>
          <w:lang w:val="en-US"/>
        </w:rPr>
        <w:t>on the expected benefits of the inscription for the element and its community of practitioners, failing to explain how it could raise awareness about intangible cultural heritage in gen</w:t>
      </w:r>
      <w:r w:rsidR="00527651" w:rsidRPr="00813D19">
        <w:rPr>
          <w:lang w:val="en-US"/>
        </w:rPr>
        <w:t>eral</w:t>
      </w:r>
      <w:r w:rsidR="00DF1EFC" w:rsidRPr="00813D19">
        <w:rPr>
          <w:lang w:val="en-US"/>
        </w:rPr>
        <w:t xml:space="preserve"> or how it could promote cultural diversity. Safeguarding measures </w:t>
      </w:r>
      <w:r w:rsidR="0056419A" w:rsidRPr="00813D19">
        <w:rPr>
          <w:lang w:val="en-US"/>
        </w:rPr>
        <w:t xml:space="preserve">were </w:t>
      </w:r>
      <w:r w:rsidR="00DF1EFC" w:rsidRPr="00813D19">
        <w:rPr>
          <w:lang w:val="en-US"/>
        </w:rPr>
        <w:t xml:space="preserve">mostly state-organized, disregarding community participation. There </w:t>
      </w:r>
      <w:r w:rsidR="0056419A" w:rsidRPr="00813D19">
        <w:rPr>
          <w:lang w:val="en-US"/>
        </w:rPr>
        <w:t xml:space="preserve">were </w:t>
      </w:r>
      <w:r w:rsidR="00DF1EFC" w:rsidRPr="00813D19">
        <w:rPr>
          <w:lang w:val="en-US"/>
        </w:rPr>
        <w:t>significant differences between the safeguarding plans submitted by Malay</w:t>
      </w:r>
      <w:r w:rsidR="0056419A" w:rsidRPr="00813D19">
        <w:rPr>
          <w:lang w:val="en-US"/>
        </w:rPr>
        <w:t>sia and Indonesia, which implied</w:t>
      </w:r>
      <w:r w:rsidR="00DF1EFC" w:rsidRPr="00813D19">
        <w:rPr>
          <w:lang w:val="en-US"/>
        </w:rPr>
        <w:t xml:space="preserve"> insufficient collaboration between the States. Although the fil</w:t>
      </w:r>
      <w:r w:rsidR="0056419A" w:rsidRPr="00813D19">
        <w:rPr>
          <w:lang w:val="en-US"/>
        </w:rPr>
        <w:t>e described</w:t>
      </w:r>
      <w:r w:rsidR="00DF1EFC" w:rsidRPr="00813D19">
        <w:rPr>
          <w:lang w:val="en-US"/>
        </w:rPr>
        <w:t xml:space="preserve"> multiple meetings held between governmental authorities, researchers, communities and NGOs, the nature of these meetings </w:t>
      </w:r>
      <w:r w:rsidR="0056419A" w:rsidRPr="00813D19">
        <w:rPr>
          <w:lang w:val="en-US"/>
        </w:rPr>
        <w:t xml:space="preserve">was </w:t>
      </w:r>
      <w:r w:rsidR="00DF1EFC" w:rsidRPr="00813D19">
        <w:rPr>
          <w:lang w:val="en-US"/>
        </w:rPr>
        <w:t xml:space="preserve">unknown and community participation </w:t>
      </w:r>
      <w:r w:rsidR="0056419A" w:rsidRPr="00813D19">
        <w:rPr>
          <w:lang w:val="en-US"/>
        </w:rPr>
        <w:t xml:space="preserve">was </w:t>
      </w:r>
      <w:r w:rsidR="00DF1EFC" w:rsidRPr="00813D19">
        <w:rPr>
          <w:lang w:val="en-US"/>
        </w:rPr>
        <w:t xml:space="preserve">lacking since their relation to the nomination process </w:t>
      </w:r>
      <w:r w:rsidR="0056419A" w:rsidRPr="00813D19">
        <w:rPr>
          <w:lang w:val="en-US"/>
        </w:rPr>
        <w:t xml:space="preserve">was </w:t>
      </w:r>
      <w:r w:rsidR="00DF1EFC" w:rsidRPr="00813D19">
        <w:rPr>
          <w:lang w:val="en-US"/>
        </w:rPr>
        <w:t xml:space="preserve">unclear. Though the element is included in two inventories of intangible cultural heritage present in the territories of the submitting States, </w:t>
      </w:r>
      <w:r w:rsidR="0056419A" w:rsidRPr="00813D19">
        <w:rPr>
          <w:lang w:val="en-US"/>
        </w:rPr>
        <w:t xml:space="preserve">the </w:t>
      </w:r>
      <w:r w:rsidR="00DF1EFC" w:rsidRPr="00813D19">
        <w:rPr>
          <w:lang w:val="en-US"/>
        </w:rPr>
        <w:t xml:space="preserve">information </w:t>
      </w:r>
      <w:r w:rsidR="0056419A" w:rsidRPr="00813D19">
        <w:rPr>
          <w:lang w:val="en-US"/>
        </w:rPr>
        <w:t xml:space="preserve">on </w:t>
      </w:r>
      <w:r w:rsidR="00DF1EFC" w:rsidRPr="00813D19">
        <w:rPr>
          <w:lang w:val="en-US"/>
        </w:rPr>
        <w:t xml:space="preserve">how the inventories are updated and the communities’ participation in the inventory process </w:t>
      </w:r>
      <w:r w:rsidR="0056419A" w:rsidRPr="00813D19">
        <w:rPr>
          <w:lang w:val="en-US"/>
        </w:rPr>
        <w:t>was un</w:t>
      </w:r>
      <w:r w:rsidR="00DF1EFC" w:rsidRPr="00813D19">
        <w:rPr>
          <w:lang w:val="en-US"/>
        </w:rPr>
        <w:t>clear.</w:t>
      </w:r>
      <w:r w:rsidR="00DF1EFC" w:rsidRPr="00813D19">
        <w:rPr>
          <w:color w:val="000000" w:themeColor="text1"/>
          <w:lang w:val="en-US"/>
        </w:rPr>
        <w:t xml:space="preserve"> </w:t>
      </w:r>
      <w:r w:rsidR="00DF1EFC" w:rsidRPr="00813D19">
        <w:rPr>
          <w:lang w:val="en-US"/>
        </w:rPr>
        <w:t>Therefore</w:t>
      </w:r>
      <w:r w:rsidR="0056419A" w:rsidRPr="00813D19">
        <w:rPr>
          <w:lang w:val="en-US"/>
        </w:rPr>
        <w:t>, the Evaluation Body recommended that the Committee refer</w:t>
      </w:r>
      <w:r w:rsidR="00DF1EFC" w:rsidRPr="00813D19">
        <w:rPr>
          <w:lang w:val="en-US"/>
        </w:rPr>
        <w:t xml:space="preserve"> Pantun, Malay oral tradition to the submitting State</w:t>
      </w:r>
      <w:r w:rsidR="0056419A" w:rsidRPr="00813D19">
        <w:rPr>
          <w:lang w:val="en-US"/>
        </w:rPr>
        <w:t>s</w:t>
      </w:r>
      <w:r w:rsidR="00DF1EFC" w:rsidRPr="00813D19">
        <w:rPr>
          <w:lang w:val="en-US"/>
        </w:rPr>
        <w:t>.</w:t>
      </w:r>
    </w:p>
    <w:p w14:paraId="7D5410A9" w14:textId="77777777" w:rsidR="00466CAD" w:rsidRPr="00813D19" w:rsidRDefault="00466CAD" w:rsidP="00466CAD">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1D4A150E" w14:textId="00D49B64" w:rsidR="00B57664" w:rsidRPr="00E72560" w:rsidRDefault="00466CAD" w:rsidP="00EF7D2E">
      <w:pPr>
        <w:pStyle w:val="Orateurengris"/>
        <w:spacing w:before="120"/>
        <w:ind w:left="709" w:hanging="709"/>
        <w:rPr>
          <w:bCs/>
          <w:color w:val="000000" w:themeColor="text1"/>
          <w:lang w:val="en-US"/>
        </w:rPr>
      </w:pPr>
      <w:r w:rsidRPr="00813D19">
        <w:rPr>
          <w:rFonts w:eastAsia="Calibri"/>
          <w:color w:val="000000" w:themeColor="text1"/>
          <w:lang w:val="en-US"/>
        </w:rPr>
        <w:t>Turning to the draft decision as a whole,</w:t>
      </w:r>
      <w:r w:rsidRPr="00813D19">
        <w:rPr>
          <w:lang w:val="en-US"/>
        </w:rPr>
        <w:t xml:space="preserve"> the </w:t>
      </w:r>
      <w:r w:rsidR="00B57664" w:rsidRPr="00813D19">
        <w:rPr>
          <w:b/>
          <w:lang w:val="en-US"/>
        </w:rPr>
        <w:t xml:space="preserve">Chairperson declared Decision </w:t>
      </w:r>
      <w:hyperlink r:id="rId116" w:history="1">
        <w:r w:rsidR="00B57664" w:rsidRPr="00813D19">
          <w:rPr>
            <w:rStyle w:val="Hyperlink"/>
            <w:b/>
            <w:lang w:val="en-US"/>
          </w:rPr>
          <w:t>13.COM</w:t>
        </w:r>
        <w:r w:rsidR="00992896">
          <w:rPr>
            <w:rStyle w:val="Hyperlink"/>
            <w:b/>
            <w:lang w:val="en-US"/>
          </w:rPr>
          <w:t> </w:t>
        </w:r>
        <w:r w:rsidR="00B57664" w:rsidRPr="00813D19">
          <w:rPr>
            <w:rStyle w:val="Hyperlink"/>
            <w:b/>
            <w:lang w:val="en-US"/>
          </w:rPr>
          <w:t>10.b.16</w:t>
        </w:r>
      </w:hyperlink>
      <w:r w:rsidR="00B57664" w:rsidRPr="00813D19">
        <w:rPr>
          <w:b/>
          <w:lang w:val="en-US"/>
        </w:rPr>
        <w:t xml:space="preserve"> adopted to refer </w:t>
      </w:r>
      <w:r w:rsidR="00B57664" w:rsidRPr="00813D19">
        <w:rPr>
          <w:b/>
          <w:color w:val="000000" w:themeColor="text1"/>
          <w:lang w:val="en-US"/>
        </w:rPr>
        <w:t>Pantun Malay oral tradition to the submitting State</w:t>
      </w:r>
      <w:r w:rsidRPr="00813D19">
        <w:rPr>
          <w:b/>
          <w:color w:val="000000" w:themeColor="text1"/>
          <w:lang w:val="en-US"/>
        </w:rPr>
        <w:t>s</w:t>
      </w:r>
      <w:r w:rsidR="00B57664" w:rsidRPr="00E72560">
        <w:rPr>
          <w:bCs/>
          <w:snapToGrid/>
          <w:color w:val="000000" w:themeColor="text1"/>
          <w:lang w:val="en-US"/>
        </w:rPr>
        <w:t>.</w:t>
      </w:r>
    </w:p>
    <w:p w14:paraId="4D5A1B75" w14:textId="4285B14F" w:rsidR="00A45338" w:rsidRPr="00813D19" w:rsidRDefault="00C15D93" w:rsidP="00A45338">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252F13">
        <w:rPr>
          <w:color w:val="000000" w:themeColor="text1"/>
          <w:lang w:val="en-US"/>
        </w:rPr>
        <w:t>,</w:t>
      </w:r>
      <w:r w:rsidRPr="00813D19">
        <w:rPr>
          <w:color w:val="000000" w:themeColor="text1"/>
          <w:lang w:val="en-US"/>
        </w:rPr>
        <w:t xml:space="preserve"> </w:t>
      </w:r>
      <w:r w:rsidRPr="00813D19">
        <w:rPr>
          <w:b/>
          <w:color w:val="000000" w:themeColor="text1"/>
          <w:lang w:val="en-US"/>
        </w:rPr>
        <w:t xml:space="preserve">Hurling </w:t>
      </w:r>
      <w:r w:rsidRPr="00813D19">
        <w:rPr>
          <w:color w:val="000000" w:themeColor="text1"/>
          <w:lang w:val="en-US"/>
        </w:rPr>
        <w:t>[draft decision 13.COM 10.b.17]</w:t>
      </w:r>
      <w:r w:rsidR="00252F13">
        <w:rPr>
          <w:color w:val="000000" w:themeColor="text1"/>
          <w:lang w:val="en-US"/>
        </w:rPr>
        <w:t>,</w:t>
      </w:r>
      <w:r w:rsidRPr="00813D19">
        <w:rPr>
          <w:color w:val="000000" w:themeColor="text1"/>
          <w:lang w:val="en-US"/>
        </w:rPr>
        <w:t xml:space="preserve"> submitted by </w:t>
      </w:r>
      <w:r w:rsidRPr="00813D19">
        <w:rPr>
          <w:b/>
          <w:color w:val="000000" w:themeColor="text1"/>
          <w:lang w:val="en-US"/>
        </w:rPr>
        <w:t>Ireland</w:t>
      </w:r>
      <w:r w:rsidR="00A45338" w:rsidRPr="00813D19">
        <w:rPr>
          <w:color w:val="000000" w:themeColor="text1"/>
          <w:lang w:val="en-US"/>
        </w:rPr>
        <w:t xml:space="preserve">. </w:t>
      </w:r>
      <w:r w:rsidR="00A45338" w:rsidRPr="00813D19">
        <w:rPr>
          <w:lang w:val="en-US"/>
        </w:rPr>
        <w:t xml:space="preserve">Hurling, or Camogie (a form of Hurling played by women), is a field game played by two teams which dates back 2,000 years and features strongly in Irish mythology. It is played throughout the island of Ireland, as well as overseas. Hurling is considered </w:t>
      </w:r>
      <w:r w:rsidR="00252F13">
        <w:rPr>
          <w:lang w:val="en-US"/>
        </w:rPr>
        <w:t xml:space="preserve">as </w:t>
      </w:r>
      <w:r w:rsidR="00A45338" w:rsidRPr="00813D19">
        <w:rPr>
          <w:lang w:val="en-US"/>
        </w:rPr>
        <w:t>an intrinsic part of Irish culture and plays a central role in promoting health and well</w:t>
      </w:r>
      <w:r w:rsidR="00527651" w:rsidRPr="00813D19">
        <w:rPr>
          <w:lang w:val="en-US"/>
        </w:rPr>
        <w:t>-</w:t>
      </w:r>
      <w:r w:rsidR="00A45338" w:rsidRPr="00813D19">
        <w:rPr>
          <w:lang w:val="en-US"/>
        </w:rPr>
        <w:t>being, inclusiveness and team spirit.</w:t>
      </w:r>
      <w:r w:rsidR="00A45338" w:rsidRPr="00813D19">
        <w:rPr>
          <w:color w:val="000000" w:themeColor="text1"/>
          <w:lang w:val="en-US"/>
        </w:rPr>
        <w:t xml:space="preserve"> </w:t>
      </w:r>
      <w:r w:rsidR="00A45338" w:rsidRPr="00813D19">
        <w:rPr>
          <w:lang w:val="en-US"/>
        </w:rPr>
        <w:t>From the information included in th</w:t>
      </w:r>
      <w:r w:rsidR="00EF5D55" w:rsidRPr="00813D19">
        <w:rPr>
          <w:lang w:val="en-US"/>
        </w:rPr>
        <w:t>e file, the nomination satisfied</w:t>
      </w:r>
      <w:r w:rsidR="00A45338" w:rsidRPr="00813D19">
        <w:rPr>
          <w:lang w:val="en-US"/>
        </w:rPr>
        <w:t xml:space="preserve"> all five criteria. The Evaluation Body considered that</w:t>
      </w:r>
      <w:r w:rsidR="00A45338" w:rsidRPr="00813D19">
        <w:rPr>
          <w:b/>
          <w:lang w:val="en-US"/>
        </w:rPr>
        <w:t xml:space="preserve"> </w:t>
      </w:r>
      <w:r w:rsidR="00A45338" w:rsidRPr="00813D19">
        <w:rPr>
          <w:lang w:val="en-US"/>
        </w:rPr>
        <w:t>Hurling provides Irish people with a strong sense of identity. The game has been practised across Ireland as well as in many other countries</w:t>
      </w:r>
      <w:r w:rsidR="00EF5D55" w:rsidRPr="00813D19">
        <w:rPr>
          <w:lang w:val="en-US"/>
        </w:rPr>
        <w:t>,</w:t>
      </w:r>
      <w:r w:rsidR="00A45338" w:rsidRPr="00813D19">
        <w:rPr>
          <w:lang w:val="en-US"/>
        </w:rPr>
        <w:t xml:space="preserve"> and it has the potential to promote dialogue among different communities. The communities and groups were involved in planning the proposed safeguarding </w:t>
      </w:r>
      <w:r w:rsidR="00EF5D55" w:rsidRPr="00813D19">
        <w:rPr>
          <w:lang w:val="en-US"/>
        </w:rPr>
        <w:t>measures, which included</w:t>
      </w:r>
      <w:r w:rsidR="00A45338" w:rsidRPr="00813D19">
        <w:rPr>
          <w:lang w:val="en-US"/>
        </w:rPr>
        <w:t xml:space="preserve"> </w:t>
      </w:r>
      <w:r w:rsidR="00EF5D55" w:rsidRPr="00813D19">
        <w:rPr>
          <w:lang w:val="en-US"/>
        </w:rPr>
        <w:t xml:space="preserve">the </w:t>
      </w:r>
      <w:r w:rsidR="00A45338" w:rsidRPr="00813D19">
        <w:rPr>
          <w:lang w:val="en-US"/>
        </w:rPr>
        <w:t>dissemination of knowledge primaril</w:t>
      </w:r>
      <w:r w:rsidR="00EF5D55" w:rsidRPr="00813D19">
        <w:rPr>
          <w:lang w:val="en-US"/>
        </w:rPr>
        <w:t>y within the educational system</w:t>
      </w:r>
      <w:r w:rsidR="00A45338" w:rsidRPr="00813D19">
        <w:rPr>
          <w:lang w:val="en-US"/>
        </w:rPr>
        <w:t xml:space="preserve"> </w:t>
      </w:r>
      <w:r w:rsidR="00EF5D55" w:rsidRPr="00813D19">
        <w:rPr>
          <w:lang w:val="en-US"/>
        </w:rPr>
        <w:t xml:space="preserve">and </w:t>
      </w:r>
      <w:r w:rsidR="00A45338" w:rsidRPr="00813D19">
        <w:rPr>
          <w:lang w:val="en-US"/>
        </w:rPr>
        <w:t xml:space="preserve">in a dedicated museum, through online platforms, workshops and courses, </w:t>
      </w:r>
      <w:r w:rsidR="00EF5D55" w:rsidRPr="00813D19">
        <w:rPr>
          <w:lang w:val="en-US"/>
        </w:rPr>
        <w:t xml:space="preserve">and </w:t>
      </w:r>
      <w:r w:rsidR="00A45338" w:rsidRPr="00813D19">
        <w:rPr>
          <w:lang w:val="en-US"/>
        </w:rPr>
        <w:t>in-depth research and documentation. The nomination was initiated and prepared by institutions representing the community of practitioners, consisting mostly of volunteers.</w:t>
      </w:r>
      <w:r w:rsidR="00A45338" w:rsidRPr="00813D19">
        <w:rPr>
          <w:color w:val="000000" w:themeColor="text1"/>
          <w:lang w:val="en-US"/>
        </w:rPr>
        <w:t xml:space="preserve"> </w:t>
      </w:r>
      <w:r w:rsidR="00A45338" w:rsidRPr="00813D19">
        <w:rPr>
          <w:lang w:val="en-US"/>
        </w:rPr>
        <w:t>The Evaluation Body remind</w:t>
      </w:r>
      <w:r w:rsidR="00EF5D55" w:rsidRPr="00813D19">
        <w:rPr>
          <w:lang w:val="en-US"/>
        </w:rPr>
        <w:t>ed</w:t>
      </w:r>
      <w:r w:rsidR="00A45338" w:rsidRPr="00813D19">
        <w:rPr>
          <w:lang w:val="en-US"/>
        </w:rPr>
        <w:t xml:space="preserve"> the State Party that updating is an important part of the </w:t>
      </w:r>
      <w:r w:rsidR="00EF5D55" w:rsidRPr="00813D19">
        <w:rPr>
          <w:lang w:val="en-US"/>
        </w:rPr>
        <w:t>inventorying process and invited</w:t>
      </w:r>
      <w:r w:rsidR="00A45338" w:rsidRPr="00813D19">
        <w:rPr>
          <w:lang w:val="en-US"/>
        </w:rPr>
        <w:t xml:space="preserve"> it to include detailed information concerning this aspect in its next periodic report.</w:t>
      </w:r>
      <w:r w:rsidR="00A45338" w:rsidRPr="00813D19">
        <w:rPr>
          <w:color w:val="000000" w:themeColor="text1"/>
          <w:lang w:val="en-US"/>
        </w:rPr>
        <w:t xml:space="preserve"> </w:t>
      </w:r>
      <w:r w:rsidR="00EF7D2E" w:rsidRPr="00813D19">
        <w:rPr>
          <w:lang w:val="en-US"/>
        </w:rPr>
        <w:t>The Evaluation Body recommended</w:t>
      </w:r>
      <w:r w:rsidR="00A45338" w:rsidRPr="00813D19">
        <w:rPr>
          <w:lang w:val="en-US"/>
        </w:rPr>
        <w:t xml:space="preserve"> that the Committee inscribe Hurling on the Representative List.</w:t>
      </w:r>
    </w:p>
    <w:p w14:paraId="6F1EE133" w14:textId="77777777" w:rsidR="00466CAD" w:rsidRPr="00813D19" w:rsidRDefault="00466CAD" w:rsidP="00466CAD">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2CC68C3E" w14:textId="7759F7D5" w:rsidR="00EC3BCF" w:rsidRPr="00E72560" w:rsidRDefault="00466CAD" w:rsidP="00466CAD">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EC3BCF" w:rsidRPr="00813D19">
        <w:rPr>
          <w:b/>
          <w:lang w:val="en-US"/>
        </w:rPr>
        <w:t xml:space="preserve">Chairperson declared Decision </w:t>
      </w:r>
      <w:hyperlink r:id="rId117" w:history="1">
        <w:r w:rsidR="00EC3BCF" w:rsidRPr="00813D19">
          <w:rPr>
            <w:rStyle w:val="Hyperlink"/>
            <w:b/>
            <w:lang w:val="en-US"/>
          </w:rPr>
          <w:t>13.COM</w:t>
        </w:r>
        <w:r w:rsidR="00992896">
          <w:rPr>
            <w:rStyle w:val="Hyperlink"/>
            <w:b/>
            <w:lang w:val="en-US"/>
          </w:rPr>
          <w:t> </w:t>
        </w:r>
        <w:r w:rsidR="00EC3BCF" w:rsidRPr="00813D19">
          <w:rPr>
            <w:rStyle w:val="Hyperlink"/>
            <w:b/>
            <w:lang w:val="en-US"/>
          </w:rPr>
          <w:t>10.b.17</w:t>
        </w:r>
      </w:hyperlink>
      <w:r w:rsidR="00EC3BCF" w:rsidRPr="00813D19">
        <w:rPr>
          <w:b/>
          <w:lang w:val="en-US"/>
        </w:rPr>
        <w:t xml:space="preserve"> adopted to inscribe </w:t>
      </w:r>
      <w:r w:rsidR="00EC3BCF" w:rsidRPr="00813D19">
        <w:rPr>
          <w:b/>
          <w:color w:val="000000" w:themeColor="text1"/>
          <w:lang w:val="en-US"/>
        </w:rPr>
        <w:t>Hurling on the Representative List</w:t>
      </w:r>
      <w:r w:rsidR="00EC3BCF" w:rsidRPr="00E72560">
        <w:rPr>
          <w:bCs/>
          <w:snapToGrid/>
          <w:color w:val="000000" w:themeColor="text1"/>
          <w:lang w:val="en-US"/>
        </w:rPr>
        <w:t>.</w:t>
      </w:r>
    </w:p>
    <w:p w14:paraId="71B5519E" w14:textId="22DE62EC" w:rsidR="00CA7AC0" w:rsidRPr="00E72560" w:rsidRDefault="0002071C" w:rsidP="00CA7AC0">
      <w:pPr>
        <w:pStyle w:val="Orateurengris"/>
        <w:spacing w:before="120"/>
        <w:ind w:left="709" w:hanging="709"/>
        <w:rPr>
          <w:rFonts w:eastAsia="Times New Roman"/>
          <w:iCs/>
          <w:lang w:val="en-US"/>
        </w:rPr>
      </w:pPr>
      <w:r w:rsidRPr="00813D19">
        <w:rPr>
          <w:lang w:val="en-US"/>
        </w:rPr>
        <w:t xml:space="preserve">The </w:t>
      </w:r>
      <w:r w:rsidRPr="00813D19">
        <w:rPr>
          <w:b/>
          <w:lang w:val="en-US"/>
        </w:rPr>
        <w:t>delegation of Ireland</w:t>
      </w:r>
      <w:r w:rsidR="001F77DE" w:rsidRPr="00813D19">
        <w:rPr>
          <w:b/>
          <w:lang w:val="en-US"/>
        </w:rPr>
        <w:t xml:space="preserve"> </w:t>
      </w:r>
      <w:r w:rsidR="001F77DE" w:rsidRPr="00813D19">
        <w:rPr>
          <w:bCs/>
          <w:lang w:val="en-US"/>
        </w:rPr>
        <w:t>thank</w:t>
      </w:r>
      <w:r w:rsidR="00857A95" w:rsidRPr="00813D19">
        <w:rPr>
          <w:bCs/>
          <w:lang w:val="en-US"/>
        </w:rPr>
        <w:t>ed</w:t>
      </w:r>
      <w:r w:rsidR="001F77DE" w:rsidRPr="00813D19">
        <w:rPr>
          <w:bCs/>
          <w:lang w:val="en-US"/>
        </w:rPr>
        <w:t xml:space="preserve"> the Members of the Committee, the Secretariat and the Evaluation Body for their efforts on </w:t>
      </w:r>
      <w:r w:rsidR="00CA7AC0" w:rsidRPr="00813D19">
        <w:rPr>
          <w:bCs/>
          <w:lang w:val="en-US"/>
        </w:rPr>
        <w:t>the inscription of</w:t>
      </w:r>
      <w:r w:rsidR="001F77DE" w:rsidRPr="00813D19">
        <w:rPr>
          <w:bCs/>
          <w:lang w:val="en-US"/>
        </w:rPr>
        <w:t xml:space="preserve"> hurling. Ireland </w:t>
      </w:r>
      <w:r w:rsidR="00CA7AC0" w:rsidRPr="00813D19">
        <w:rPr>
          <w:bCs/>
          <w:lang w:val="en-US"/>
        </w:rPr>
        <w:t xml:space="preserve">was </w:t>
      </w:r>
      <w:r w:rsidR="001F77DE" w:rsidRPr="00813D19">
        <w:rPr>
          <w:bCs/>
          <w:lang w:val="en-US"/>
        </w:rPr>
        <w:t>deeply hono</w:t>
      </w:r>
      <w:r w:rsidR="00FB131E">
        <w:rPr>
          <w:bCs/>
          <w:lang w:val="en-US"/>
        </w:rPr>
        <w:t>u</w:t>
      </w:r>
      <w:r w:rsidR="001F77DE" w:rsidRPr="00813D19">
        <w:rPr>
          <w:bCs/>
          <w:lang w:val="en-US"/>
        </w:rPr>
        <w:t xml:space="preserve">red to have hurling inscribed as </w:t>
      </w:r>
      <w:r w:rsidR="00857A95" w:rsidRPr="00813D19">
        <w:rPr>
          <w:bCs/>
          <w:lang w:val="en-US"/>
        </w:rPr>
        <w:t xml:space="preserve">its </w:t>
      </w:r>
      <w:r w:rsidR="001F77DE" w:rsidRPr="00813D19">
        <w:rPr>
          <w:bCs/>
          <w:lang w:val="en-US"/>
        </w:rPr>
        <w:t>second element on the Representative List</w:t>
      </w:r>
      <w:r w:rsidR="00CA7AC0" w:rsidRPr="00813D19">
        <w:rPr>
          <w:lang w:val="en-US"/>
        </w:rPr>
        <w:t>. It understood</w:t>
      </w:r>
      <w:r w:rsidR="001F77DE" w:rsidRPr="00813D19">
        <w:rPr>
          <w:lang w:val="en-US"/>
        </w:rPr>
        <w:t xml:space="preserve"> the importance of safeguarding and passing on living culture in its many forms</w:t>
      </w:r>
      <w:r w:rsidR="00CA7AC0" w:rsidRPr="00813D19">
        <w:rPr>
          <w:lang w:val="en-US"/>
        </w:rPr>
        <w:t>,</w:t>
      </w:r>
      <w:r w:rsidR="001F77DE" w:rsidRPr="00813D19">
        <w:rPr>
          <w:lang w:val="en-US"/>
        </w:rPr>
        <w:t xml:space="preserve"> and </w:t>
      </w:r>
      <w:r w:rsidR="00183502" w:rsidRPr="00813D19">
        <w:rPr>
          <w:lang w:val="en-US"/>
        </w:rPr>
        <w:t>ha</w:t>
      </w:r>
      <w:r w:rsidR="00183502">
        <w:rPr>
          <w:lang w:val="en-US"/>
        </w:rPr>
        <w:t>d</w:t>
      </w:r>
      <w:r w:rsidR="00183502" w:rsidRPr="00813D19">
        <w:rPr>
          <w:lang w:val="en-US"/>
        </w:rPr>
        <w:t xml:space="preserve"> </w:t>
      </w:r>
      <w:r w:rsidR="001F77DE" w:rsidRPr="00813D19">
        <w:rPr>
          <w:lang w:val="en-US"/>
        </w:rPr>
        <w:t xml:space="preserve">always been proud to share </w:t>
      </w:r>
      <w:r w:rsidR="00CA7AC0" w:rsidRPr="00813D19">
        <w:rPr>
          <w:lang w:val="en-US"/>
        </w:rPr>
        <w:t xml:space="preserve">its </w:t>
      </w:r>
      <w:r w:rsidR="001F77DE" w:rsidRPr="00813D19">
        <w:rPr>
          <w:lang w:val="en-US"/>
        </w:rPr>
        <w:t>culture around the world. Hurling is a game played not only all over Ireland</w:t>
      </w:r>
      <w:r w:rsidR="00CA7AC0" w:rsidRPr="00813D19">
        <w:rPr>
          <w:lang w:val="en-US"/>
        </w:rPr>
        <w:t>,</w:t>
      </w:r>
      <w:r w:rsidR="001F77DE" w:rsidRPr="00813D19">
        <w:rPr>
          <w:lang w:val="en-US"/>
        </w:rPr>
        <w:t xml:space="preserve"> but also in almost </w:t>
      </w:r>
      <w:r w:rsidR="00BD2B34">
        <w:rPr>
          <w:lang w:val="en-US"/>
        </w:rPr>
        <w:t>forty</w:t>
      </w:r>
      <w:r w:rsidR="00BD2B34" w:rsidRPr="00813D19">
        <w:rPr>
          <w:lang w:val="en-US"/>
        </w:rPr>
        <w:t xml:space="preserve"> </w:t>
      </w:r>
      <w:r w:rsidR="001F77DE" w:rsidRPr="00813D19">
        <w:rPr>
          <w:lang w:val="en-US"/>
        </w:rPr>
        <w:t xml:space="preserve">countries around the world. </w:t>
      </w:r>
      <w:r w:rsidR="00CA7AC0" w:rsidRPr="00813D19">
        <w:rPr>
          <w:lang w:val="en-US"/>
        </w:rPr>
        <w:t xml:space="preserve">The delegation </w:t>
      </w:r>
      <w:r w:rsidR="001F77DE" w:rsidRPr="00813D19">
        <w:rPr>
          <w:lang w:val="en-US"/>
        </w:rPr>
        <w:t>thank</w:t>
      </w:r>
      <w:r w:rsidR="00CA7AC0" w:rsidRPr="00813D19">
        <w:rPr>
          <w:lang w:val="en-US"/>
        </w:rPr>
        <w:t>ed</w:t>
      </w:r>
      <w:r w:rsidR="001F77DE" w:rsidRPr="00813D19">
        <w:rPr>
          <w:lang w:val="en-US"/>
        </w:rPr>
        <w:t xml:space="preserve"> the Gaelic Athletic Association and the Camogie Association, the bearers of traditional hurling</w:t>
      </w:r>
      <w:r w:rsidR="00CA7AC0" w:rsidRPr="00813D19">
        <w:rPr>
          <w:lang w:val="en-US"/>
        </w:rPr>
        <w:t>,</w:t>
      </w:r>
      <w:r w:rsidR="001F77DE" w:rsidRPr="00813D19">
        <w:rPr>
          <w:lang w:val="en-US"/>
        </w:rPr>
        <w:t xml:space="preserve"> whose involvement </w:t>
      </w:r>
      <w:r w:rsidR="00CA7AC0" w:rsidRPr="00813D19">
        <w:rPr>
          <w:lang w:val="en-US"/>
        </w:rPr>
        <w:t>in this nomination process had</w:t>
      </w:r>
      <w:r w:rsidR="001F77DE" w:rsidRPr="00813D19">
        <w:rPr>
          <w:lang w:val="en-US"/>
        </w:rPr>
        <w:t xml:space="preserve"> been instrumental to its success. For more than 100 years</w:t>
      </w:r>
      <w:r w:rsidR="00CA7AC0" w:rsidRPr="00813D19">
        <w:rPr>
          <w:lang w:val="en-US"/>
        </w:rPr>
        <w:t>,</w:t>
      </w:r>
      <w:r w:rsidR="001F77DE" w:rsidRPr="00813D19">
        <w:rPr>
          <w:lang w:val="en-US"/>
        </w:rPr>
        <w:t xml:space="preserve"> these organizations have been committed to maintaining, strengthening and developing this ancient tradition. The game of hurling dates back well over 1,000 years and </w:t>
      </w:r>
      <w:r w:rsidR="00CA7AC0" w:rsidRPr="00813D19">
        <w:rPr>
          <w:lang w:val="en-US"/>
        </w:rPr>
        <w:t xml:space="preserve">now </w:t>
      </w:r>
      <w:r w:rsidR="001F77DE" w:rsidRPr="00813D19">
        <w:rPr>
          <w:lang w:val="en-US"/>
        </w:rPr>
        <w:t>its continuity and transmission to new generations under the UNESCO listing</w:t>
      </w:r>
      <w:r w:rsidR="00CA7AC0" w:rsidRPr="00813D19">
        <w:rPr>
          <w:lang w:val="en-US"/>
        </w:rPr>
        <w:t xml:space="preserve"> </w:t>
      </w:r>
      <w:r w:rsidR="00183502">
        <w:rPr>
          <w:lang w:val="en-US"/>
        </w:rPr>
        <w:t>would</w:t>
      </w:r>
      <w:r w:rsidR="00183502" w:rsidRPr="00813D19">
        <w:rPr>
          <w:lang w:val="en-US"/>
        </w:rPr>
        <w:t xml:space="preserve"> </w:t>
      </w:r>
      <w:r w:rsidR="00CA7AC0" w:rsidRPr="00813D19">
        <w:rPr>
          <w:lang w:val="en-US"/>
        </w:rPr>
        <w:t>be celebrated. Ireland looked</w:t>
      </w:r>
      <w:r w:rsidR="001F77DE" w:rsidRPr="00813D19">
        <w:rPr>
          <w:lang w:val="en-US"/>
        </w:rPr>
        <w:t xml:space="preserve"> forward to </w:t>
      </w:r>
      <w:r w:rsidR="00183502">
        <w:rPr>
          <w:lang w:val="en-US"/>
        </w:rPr>
        <w:t xml:space="preserve">an </w:t>
      </w:r>
      <w:r w:rsidR="001F77DE" w:rsidRPr="00813D19">
        <w:rPr>
          <w:lang w:val="en-US"/>
        </w:rPr>
        <w:t xml:space="preserve">ongoing and deepening engagement with the Convention and with UNESCO as a whole. </w:t>
      </w:r>
      <w:r w:rsidR="00CA7AC0" w:rsidRPr="00813D19">
        <w:rPr>
          <w:lang w:val="en-US"/>
        </w:rPr>
        <w:t xml:space="preserve">It was </w:t>
      </w:r>
      <w:r w:rsidR="001F77DE" w:rsidRPr="00813D19">
        <w:rPr>
          <w:lang w:val="en-US"/>
        </w:rPr>
        <w:t>truly hono</w:t>
      </w:r>
      <w:r w:rsidR="00FB131E">
        <w:rPr>
          <w:lang w:val="en-US"/>
        </w:rPr>
        <w:t>u</w:t>
      </w:r>
      <w:r w:rsidR="001F77DE" w:rsidRPr="00813D19">
        <w:rPr>
          <w:lang w:val="en-US"/>
        </w:rPr>
        <w:t xml:space="preserve">red and grateful to have </w:t>
      </w:r>
      <w:r w:rsidR="00CA7AC0" w:rsidRPr="00813D19">
        <w:rPr>
          <w:lang w:val="en-US"/>
        </w:rPr>
        <w:t xml:space="preserve">its </w:t>
      </w:r>
      <w:r w:rsidR="001F77DE" w:rsidRPr="00813D19">
        <w:rPr>
          <w:lang w:val="en-US"/>
        </w:rPr>
        <w:t>cultural heritage recognized</w:t>
      </w:r>
      <w:r w:rsidR="00CA7AC0" w:rsidRPr="00813D19">
        <w:rPr>
          <w:lang w:val="en-US"/>
        </w:rPr>
        <w:t>,</w:t>
      </w:r>
      <w:r w:rsidR="001F77DE" w:rsidRPr="00813D19">
        <w:rPr>
          <w:lang w:val="en-US"/>
        </w:rPr>
        <w:t xml:space="preserve"> alongside other precious tr</w:t>
      </w:r>
      <w:r w:rsidR="00CA7AC0" w:rsidRPr="00813D19">
        <w:rPr>
          <w:lang w:val="en-US"/>
        </w:rPr>
        <w:t xml:space="preserve">aditions from around the </w:t>
      </w:r>
      <w:r w:rsidR="00CA7AC0" w:rsidRPr="00E72560">
        <w:rPr>
          <w:lang w:val="en-US"/>
        </w:rPr>
        <w:t>world.</w:t>
      </w:r>
    </w:p>
    <w:p w14:paraId="13E6FA76" w14:textId="4B2318E2" w:rsidR="00792EBE" w:rsidRPr="00E72560" w:rsidRDefault="00792EBE" w:rsidP="00E72560">
      <w:pPr>
        <w:pStyle w:val="Orateurengris"/>
        <w:numPr>
          <w:ilvl w:val="0"/>
          <w:numId w:val="0"/>
        </w:numPr>
        <w:spacing w:before="240" w:after="240"/>
        <w:jc w:val="center"/>
        <w:rPr>
          <w:rFonts w:eastAsia="Times New Roman"/>
          <w:iCs/>
          <w:lang w:val="en-US"/>
        </w:rPr>
      </w:pPr>
      <w:r w:rsidRPr="00813D19">
        <w:rPr>
          <w:i/>
          <w:lang w:val="en-US"/>
        </w:rPr>
        <w:t xml:space="preserve">[A </w:t>
      </w:r>
      <w:r w:rsidR="008459F2" w:rsidRPr="00813D19">
        <w:rPr>
          <w:i/>
          <w:lang w:val="en-US"/>
        </w:rPr>
        <w:t xml:space="preserve">short film on </w:t>
      </w:r>
      <w:r w:rsidR="008459F2" w:rsidRPr="00E72560">
        <w:rPr>
          <w:i/>
          <w:lang w:val="en-US"/>
        </w:rPr>
        <w:t>H</w:t>
      </w:r>
      <w:r w:rsidRPr="00E72560">
        <w:rPr>
          <w:i/>
          <w:lang w:val="en-US"/>
        </w:rPr>
        <w:t>urling was projected]</w:t>
      </w:r>
    </w:p>
    <w:p w14:paraId="79E94540" w14:textId="235D00ED" w:rsidR="00BB0ECD" w:rsidRPr="00813D19" w:rsidRDefault="00C15D93"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183502">
        <w:rPr>
          <w:color w:val="000000" w:themeColor="text1"/>
          <w:lang w:val="en-US"/>
        </w:rPr>
        <w:t>,</w:t>
      </w:r>
      <w:r w:rsidRPr="00813D19">
        <w:rPr>
          <w:color w:val="000000" w:themeColor="text1"/>
          <w:lang w:val="en-US"/>
        </w:rPr>
        <w:t xml:space="preserve"> </w:t>
      </w:r>
      <w:r w:rsidRPr="00813D19">
        <w:rPr>
          <w:b/>
          <w:color w:val="000000" w:themeColor="text1"/>
          <w:lang w:val="en-US"/>
        </w:rPr>
        <w:t xml:space="preserve">Reggae music of Jamaica </w:t>
      </w:r>
      <w:r w:rsidRPr="00813D19">
        <w:rPr>
          <w:color w:val="000000" w:themeColor="text1"/>
          <w:lang w:val="en-US"/>
        </w:rPr>
        <w:t>[draft decision 13.COM 10.b.18]</w:t>
      </w:r>
      <w:r w:rsidR="00183502">
        <w:rPr>
          <w:color w:val="000000" w:themeColor="text1"/>
          <w:lang w:val="en-US"/>
        </w:rPr>
        <w:t>,</w:t>
      </w:r>
      <w:r w:rsidRPr="00813D19">
        <w:rPr>
          <w:color w:val="000000" w:themeColor="text1"/>
          <w:lang w:val="en-US"/>
        </w:rPr>
        <w:t xml:space="preserve"> submitted by </w:t>
      </w:r>
      <w:r w:rsidRPr="00813D19">
        <w:rPr>
          <w:b/>
          <w:color w:val="000000" w:themeColor="text1"/>
          <w:lang w:val="en-US"/>
        </w:rPr>
        <w:t>Jamaica</w:t>
      </w:r>
      <w:r w:rsidR="00BB0ECD" w:rsidRPr="00813D19">
        <w:rPr>
          <w:color w:val="000000" w:themeColor="text1"/>
          <w:lang w:val="en-US"/>
        </w:rPr>
        <w:t xml:space="preserve">. </w:t>
      </w:r>
      <w:r w:rsidR="00BB0ECD" w:rsidRPr="00813D19">
        <w:rPr>
          <w:lang w:val="en-US"/>
        </w:rPr>
        <w:t xml:space="preserve">Reggae music of Jamaica originated as the voice of marginalized groups, mainly in </w:t>
      </w:r>
      <w:r w:rsidR="002F50EA">
        <w:rPr>
          <w:lang w:val="en-US"/>
        </w:rPr>
        <w:t>w</w:t>
      </w:r>
      <w:r w:rsidR="002F50EA" w:rsidRPr="00813D19">
        <w:rPr>
          <w:lang w:val="en-US"/>
        </w:rPr>
        <w:t xml:space="preserve">estern </w:t>
      </w:r>
      <w:r w:rsidR="00BB0ECD" w:rsidRPr="00813D19">
        <w:rPr>
          <w:lang w:val="en-US"/>
        </w:rPr>
        <w:t>Kingston. However, nowadays the music is played and embraced by a wide cross-section of society, including various genders, ethnic and religious groups</w:t>
      </w:r>
      <w:r w:rsidR="00AA4C20" w:rsidRPr="00813D19">
        <w:rPr>
          <w:lang w:val="en-US"/>
        </w:rPr>
        <w:t>,</w:t>
      </w:r>
      <w:r w:rsidR="00BB0ECD" w:rsidRPr="00813D19">
        <w:rPr>
          <w:lang w:val="en-US"/>
        </w:rPr>
        <w:t xml:space="preserve"> </w:t>
      </w:r>
      <w:r w:rsidR="00183502">
        <w:rPr>
          <w:lang w:val="en-US"/>
        </w:rPr>
        <w:t>while</w:t>
      </w:r>
      <w:r w:rsidR="00183502" w:rsidRPr="00813D19">
        <w:rPr>
          <w:lang w:val="en-US"/>
        </w:rPr>
        <w:t xml:space="preserve"> </w:t>
      </w:r>
      <w:r w:rsidR="00BB0ECD" w:rsidRPr="00813D19">
        <w:rPr>
          <w:lang w:val="en-US"/>
        </w:rPr>
        <w:t>continu</w:t>
      </w:r>
      <w:r w:rsidR="00183502">
        <w:rPr>
          <w:lang w:val="en-US"/>
        </w:rPr>
        <w:t>ing</w:t>
      </w:r>
      <w:r w:rsidR="00BB0ECD" w:rsidRPr="00813D19">
        <w:rPr>
          <w:lang w:val="en-US"/>
        </w:rPr>
        <w:t xml:space="preserve"> to act as a voice for all. From the information included in th</w:t>
      </w:r>
      <w:r w:rsidR="00AA4C20" w:rsidRPr="00813D19">
        <w:rPr>
          <w:lang w:val="en-US"/>
        </w:rPr>
        <w:t>e file, the nomination satisfied</w:t>
      </w:r>
      <w:r w:rsidR="00BB0ECD" w:rsidRPr="00813D19">
        <w:rPr>
          <w:lang w:val="en-US"/>
        </w:rPr>
        <w:t xml:space="preserve"> criteria R.1, R.3 and R</w:t>
      </w:r>
      <w:r w:rsidR="00EF7D2E" w:rsidRPr="00813D19">
        <w:rPr>
          <w:lang w:val="en-US"/>
        </w:rPr>
        <w:t>.</w:t>
      </w:r>
      <w:r w:rsidR="00BB0ECD" w:rsidRPr="00813D19">
        <w:rPr>
          <w:lang w:val="en-US"/>
        </w:rPr>
        <w:t xml:space="preserve">4. </w:t>
      </w:r>
      <w:r w:rsidR="00AA4C20" w:rsidRPr="00813D19">
        <w:rPr>
          <w:lang w:val="en-US"/>
        </w:rPr>
        <w:t>The file demonstrated</w:t>
      </w:r>
      <w:r w:rsidR="00BB0ECD" w:rsidRPr="00813D19">
        <w:rPr>
          <w:lang w:val="en-US"/>
        </w:rPr>
        <w:t xml:space="preserve"> that Reggae music plays a significant role in the life of musical communities and Jamaican society in general. The music gives creative expression to their belief systems, hopes and aspirations for the future, and serves as a very important factor of identity among the Rastafarian community. The viability of the element is ensured through transmission, research and awareness-raising activities. A wide range of relevant stakeholders led by a national technical committee were involved in the preparation of the nomination file.</w:t>
      </w:r>
      <w:r w:rsidR="00BB0ECD" w:rsidRPr="00813D19">
        <w:rPr>
          <w:color w:val="000000" w:themeColor="text1"/>
          <w:lang w:val="en-US"/>
        </w:rPr>
        <w:t xml:space="preserve"> </w:t>
      </w:r>
      <w:r w:rsidR="00BB0ECD" w:rsidRPr="00813D19">
        <w:rPr>
          <w:noProof/>
          <w:lang w:val="en-US"/>
        </w:rPr>
        <w:t xml:space="preserve">However, the Evaluation Body considered that the information </w:t>
      </w:r>
      <w:r w:rsidR="00B82F87" w:rsidRPr="00813D19">
        <w:rPr>
          <w:noProof/>
          <w:lang w:val="en-US"/>
        </w:rPr>
        <w:t xml:space="preserve">was </w:t>
      </w:r>
      <w:r w:rsidR="00BB0ECD" w:rsidRPr="00813D19">
        <w:rPr>
          <w:noProof/>
          <w:lang w:val="en-US"/>
        </w:rPr>
        <w:t>not sufficient to assess criteria R.2 and R.5.</w:t>
      </w:r>
      <w:r w:rsidR="00BB0ECD" w:rsidRPr="00813D19">
        <w:rPr>
          <w:color w:val="000000" w:themeColor="text1"/>
          <w:lang w:val="en-US"/>
        </w:rPr>
        <w:t xml:space="preserve"> </w:t>
      </w:r>
      <w:r w:rsidR="00BB0ECD" w:rsidRPr="00813D19">
        <w:rPr>
          <w:lang w:val="en-US"/>
        </w:rPr>
        <w:t>Despite the potential of the element as a tool for promoting dialogue among people and appreciating cultural diversity among ethnic groups worldw</w:t>
      </w:r>
      <w:r w:rsidR="00184190" w:rsidRPr="00813D19">
        <w:rPr>
          <w:lang w:val="en-US"/>
        </w:rPr>
        <w:t>ide, the nomination concentrated on the historical background</w:t>
      </w:r>
      <w:r w:rsidR="00BB0ECD" w:rsidRPr="00813D19">
        <w:rPr>
          <w:lang w:val="en-US"/>
        </w:rPr>
        <w:t xml:space="preserve"> highlighting Jamaica’s international recognition as the original birthplace of Reggae instead of contributing to a better understanding and improving the visibility of intangible cultural heritage in general. The file </w:t>
      </w:r>
      <w:r w:rsidR="00184190" w:rsidRPr="00813D19">
        <w:rPr>
          <w:lang w:val="en-US"/>
        </w:rPr>
        <w:t xml:space="preserve">did </w:t>
      </w:r>
      <w:r w:rsidR="00BB0ECD" w:rsidRPr="00813D19">
        <w:rPr>
          <w:lang w:val="en-US"/>
        </w:rPr>
        <w:t xml:space="preserve">not demonstrate how the inventory </w:t>
      </w:r>
      <w:r w:rsidR="00184190" w:rsidRPr="00813D19">
        <w:rPr>
          <w:lang w:val="en-US"/>
        </w:rPr>
        <w:t xml:space="preserve">was </w:t>
      </w:r>
      <w:r w:rsidR="00BB0ECD" w:rsidRPr="00813D19">
        <w:rPr>
          <w:lang w:val="en-US"/>
        </w:rPr>
        <w:t xml:space="preserve">maintained, </w:t>
      </w:r>
      <w:r w:rsidR="00184190" w:rsidRPr="00813D19">
        <w:rPr>
          <w:lang w:val="en-US"/>
        </w:rPr>
        <w:t xml:space="preserve">nor </w:t>
      </w:r>
      <w:r w:rsidR="00BB0ECD" w:rsidRPr="00813D19">
        <w:rPr>
          <w:lang w:val="en-US"/>
        </w:rPr>
        <w:t>the involvement of the communities, groups and relevant NGOs in the inventorying process and informati</w:t>
      </w:r>
      <w:r w:rsidR="00184190" w:rsidRPr="00813D19">
        <w:rPr>
          <w:lang w:val="en-US"/>
        </w:rPr>
        <w:t>on on the frequency of updating.</w:t>
      </w:r>
      <w:r w:rsidR="00BB0ECD" w:rsidRPr="00813D19">
        <w:rPr>
          <w:lang w:val="en-US"/>
        </w:rPr>
        <w:t xml:space="preserve"> </w:t>
      </w:r>
      <w:r w:rsidR="00184190" w:rsidRPr="00813D19">
        <w:rPr>
          <w:lang w:val="en-US"/>
        </w:rPr>
        <w:t>T</w:t>
      </w:r>
      <w:r w:rsidR="00BB0ECD" w:rsidRPr="00813D19">
        <w:rPr>
          <w:lang w:val="en-US"/>
        </w:rPr>
        <w:t xml:space="preserve">he reference number and name(s) of the element in </w:t>
      </w:r>
      <w:r w:rsidR="00184190" w:rsidRPr="00813D19">
        <w:rPr>
          <w:lang w:val="en-US"/>
        </w:rPr>
        <w:t xml:space="preserve">the </w:t>
      </w:r>
      <w:r w:rsidR="00BB0ECD" w:rsidRPr="00813D19">
        <w:rPr>
          <w:lang w:val="en-US"/>
        </w:rPr>
        <w:t xml:space="preserve">inventory </w:t>
      </w:r>
      <w:r w:rsidR="00184190" w:rsidRPr="00813D19">
        <w:rPr>
          <w:lang w:val="en-US"/>
        </w:rPr>
        <w:t xml:space="preserve">were </w:t>
      </w:r>
      <w:r w:rsidR="00BB0ECD" w:rsidRPr="00813D19">
        <w:rPr>
          <w:lang w:val="en-US"/>
        </w:rPr>
        <w:t>also missing.</w:t>
      </w:r>
      <w:r w:rsidR="002D3A5B" w:rsidRPr="00813D19">
        <w:rPr>
          <w:color w:val="000000" w:themeColor="text1"/>
          <w:lang w:val="en-US"/>
        </w:rPr>
        <w:t xml:space="preserve"> </w:t>
      </w:r>
      <w:r w:rsidR="00BB0ECD" w:rsidRPr="00813D19">
        <w:rPr>
          <w:lang w:val="en-US"/>
        </w:rPr>
        <w:t>Therefore, t</w:t>
      </w:r>
      <w:r w:rsidR="00184190" w:rsidRPr="00813D19">
        <w:rPr>
          <w:lang w:val="en-US"/>
        </w:rPr>
        <w:t>he Evaluation Body recommended</w:t>
      </w:r>
      <w:r w:rsidR="00BB0ECD" w:rsidRPr="00813D19">
        <w:rPr>
          <w:lang w:val="en-US"/>
        </w:rPr>
        <w:t xml:space="preserve"> that the Committee </w:t>
      </w:r>
      <w:r w:rsidR="00184190" w:rsidRPr="00813D19">
        <w:rPr>
          <w:lang w:val="en-US"/>
        </w:rPr>
        <w:t>refer</w:t>
      </w:r>
      <w:r w:rsidR="00BB0ECD" w:rsidRPr="00813D19">
        <w:rPr>
          <w:lang w:val="en-US"/>
        </w:rPr>
        <w:t xml:space="preserve"> Reggae music of Jamaica to the submitting State.</w:t>
      </w:r>
    </w:p>
    <w:p w14:paraId="5FAAD85B" w14:textId="7362AC5E" w:rsidR="00750BB7" w:rsidRPr="00813D19" w:rsidRDefault="00750BB7"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received an amendment </w:t>
      </w:r>
      <w:r w:rsidR="00184190" w:rsidRPr="00813D19">
        <w:rPr>
          <w:color w:val="000000" w:themeColor="text1"/>
          <w:lang w:val="en-US"/>
        </w:rPr>
        <w:t xml:space="preserve">by Cuba and Palestine, </w:t>
      </w:r>
      <w:r w:rsidR="008459F2" w:rsidRPr="00813D19">
        <w:rPr>
          <w:color w:val="000000" w:themeColor="text1"/>
          <w:lang w:val="en-US"/>
        </w:rPr>
        <w:t>as well as</w:t>
      </w:r>
      <w:r w:rsidR="00E72560">
        <w:rPr>
          <w:color w:val="000000" w:themeColor="text1"/>
          <w:lang w:val="en-US"/>
        </w:rPr>
        <w:t xml:space="preserve"> a request to open the debate.</w:t>
      </w:r>
    </w:p>
    <w:p w14:paraId="1EA3C49D" w14:textId="63F36159" w:rsidR="00750BB7" w:rsidRPr="00813D19" w:rsidRDefault="00750BB7"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940BD4" w:rsidRPr="00813D19">
        <w:rPr>
          <w:color w:val="000000" w:themeColor="text1"/>
          <w:lang w:val="en-US"/>
        </w:rPr>
        <w:t xml:space="preserve"> </w:t>
      </w:r>
      <w:r w:rsidR="00BF27FE" w:rsidRPr="00813D19">
        <w:rPr>
          <w:color w:val="000000" w:themeColor="text1"/>
          <w:lang w:val="en-US"/>
        </w:rPr>
        <w:t>asked that</w:t>
      </w:r>
      <w:r w:rsidR="00E72560">
        <w:rPr>
          <w:color w:val="000000" w:themeColor="text1"/>
          <w:lang w:val="en-US"/>
        </w:rPr>
        <w:t xml:space="preserve"> Cuba be first given the floor.</w:t>
      </w:r>
    </w:p>
    <w:p w14:paraId="5AA390CC" w14:textId="7AC38FA0" w:rsidR="00750BB7" w:rsidRPr="00813D19" w:rsidRDefault="00446320" w:rsidP="002D3A5B">
      <w:pPr>
        <w:pStyle w:val="Orateurengris"/>
        <w:spacing w:before="120"/>
        <w:ind w:left="709" w:hanging="709"/>
        <w:rPr>
          <w:color w:val="000000" w:themeColor="text1"/>
          <w:lang w:val="en-US"/>
        </w:rPr>
      </w:pPr>
      <w:r w:rsidRPr="00813D19">
        <w:rPr>
          <w:bCs/>
          <w:lang w:val="en-US"/>
        </w:rPr>
        <w:t>Thanking Palestin</w:t>
      </w:r>
      <w:r w:rsidRPr="00813D19">
        <w:rPr>
          <w:color w:val="000000" w:themeColor="text1"/>
          <w:lang w:val="en-US"/>
        </w:rPr>
        <w:t>e, t</w:t>
      </w:r>
      <w:r w:rsidR="00750BB7" w:rsidRPr="00813D19">
        <w:rPr>
          <w:color w:val="000000" w:themeColor="text1"/>
          <w:lang w:val="en-US"/>
        </w:rPr>
        <w:t xml:space="preserve">he </w:t>
      </w:r>
      <w:r w:rsidR="00750BB7" w:rsidRPr="00813D19">
        <w:rPr>
          <w:b/>
          <w:color w:val="000000" w:themeColor="text1"/>
          <w:lang w:val="en-US"/>
        </w:rPr>
        <w:t>delegation of Cuba</w:t>
      </w:r>
      <w:r w:rsidRPr="00813D19">
        <w:rPr>
          <w:bCs/>
          <w:lang w:val="en-US"/>
        </w:rPr>
        <w:t xml:space="preserve"> remarked that this was </w:t>
      </w:r>
      <w:r w:rsidR="00940BD4" w:rsidRPr="00813D19">
        <w:rPr>
          <w:bCs/>
          <w:lang w:val="en-US"/>
        </w:rPr>
        <w:t xml:space="preserve">a very special nomination for </w:t>
      </w:r>
      <w:r w:rsidRPr="00813D19">
        <w:rPr>
          <w:bCs/>
          <w:lang w:val="en-US"/>
        </w:rPr>
        <w:t>Cuba and</w:t>
      </w:r>
      <w:r w:rsidR="00940BD4" w:rsidRPr="00813D19">
        <w:rPr>
          <w:bCs/>
          <w:lang w:val="en-US"/>
        </w:rPr>
        <w:t xml:space="preserve"> </w:t>
      </w:r>
      <w:r w:rsidRPr="00813D19">
        <w:rPr>
          <w:bCs/>
          <w:lang w:val="en-US"/>
        </w:rPr>
        <w:t xml:space="preserve">all </w:t>
      </w:r>
      <w:r w:rsidR="00940BD4" w:rsidRPr="00813D19">
        <w:rPr>
          <w:bCs/>
          <w:lang w:val="en-US"/>
        </w:rPr>
        <w:t>Caribbean countries and the Latin America</w:t>
      </w:r>
      <w:r w:rsidRPr="00813D19">
        <w:rPr>
          <w:bCs/>
          <w:lang w:val="en-US"/>
        </w:rPr>
        <w:t>n</w:t>
      </w:r>
      <w:r w:rsidR="00940BD4" w:rsidRPr="00813D19">
        <w:rPr>
          <w:bCs/>
          <w:lang w:val="en-US"/>
        </w:rPr>
        <w:t xml:space="preserve"> region. </w:t>
      </w:r>
      <w:r w:rsidRPr="00813D19">
        <w:rPr>
          <w:bCs/>
          <w:lang w:val="en-US"/>
        </w:rPr>
        <w:t xml:space="preserve">Having carefully read the file, it noted </w:t>
      </w:r>
      <w:r w:rsidR="00940BD4" w:rsidRPr="00813D19">
        <w:rPr>
          <w:bCs/>
          <w:lang w:val="en-US"/>
        </w:rPr>
        <w:t xml:space="preserve">once again </w:t>
      </w:r>
      <w:r w:rsidRPr="00813D19">
        <w:rPr>
          <w:bCs/>
          <w:lang w:val="en-US"/>
        </w:rPr>
        <w:t xml:space="preserve">the </w:t>
      </w:r>
      <w:r w:rsidR="00940BD4" w:rsidRPr="00813D19">
        <w:rPr>
          <w:bCs/>
          <w:lang w:val="en-US"/>
        </w:rPr>
        <w:t xml:space="preserve">difficulties that </w:t>
      </w:r>
      <w:r w:rsidR="000E1154" w:rsidRPr="00813D19">
        <w:rPr>
          <w:bCs/>
          <w:lang w:val="en-US"/>
        </w:rPr>
        <w:t xml:space="preserve">crop up </w:t>
      </w:r>
      <w:r w:rsidR="00940BD4" w:rsidRPr="00813D19">
        <w:rPr>
          <w:bCs/>
          <w:lang w:val="en-US"/>
        </w:rPr>
        <w:t xml:space="preserve">time and again in various nominations </w:t>
      </w:r>
      <w:r w:rsidR="000E1154" w:rsidRPr="00813D19">
        <w:rPr>
          <w:bCs/>
          <w:lang w:val="en-US"/>
        </w:rPr>
        <w:t xml:space="preserve">concerning </w:t>
      </w:r>
      <w:r w:rsidR="00940BD4" w:rsidRPr="00813D19">
        <w:rPr>
          <w:bCs/>
          <w:lang w:val="en-US"/>
        </w:rPr>
        <w:t xml:space="preserve">criteria </w:t>
      </w:r>
      <w:r w:rsidRPr="00813D19">
        <w:rPr>
          <w:bCs/>
          <w:lang w:val="en-US"/>
        </w:rPr>
        <w:t>R.</w:t>
      </w:r>
      <w:r w:rsidR="00940BD4" w:rsidRPr="00813D19">
        <w:rPr>
          <w:bCs/>
          <w:lang w:val="en-US"/>
        </w:rPr>
        <w:t xml:space="preserve">2 and </w:t>
      </w:r>
      <w:r w:rsidRPr="00813D19">
        <w:rPr>
          <w:bCs/>
          <w:lang w:val="en-US"/>
        </w:rPr>
        <w:t>R.</w:t>
      </w:r>
      <w:r w:rsidR="00940BD4" w:rsidRPr="00813D19">
        <w:rPr>
          <w:bCs/>
          <w:lang w:val="en-US"/>
        </w:rPr>
        <w:t xml:space="preserve">5. </w:t>
      </w:r>
      <w:r w:rsidR="000E1154" w:rsidRPr="00813D19">
        <w:rPr>
          <w:bCs/>
          <w:lang w:val="en-US"/>
        </w:rPr>
        <w:t>The delegation was of the opinion</w:t>
      </w:r>
      <w:r w:rsidR="00940BD4" w:rsidRPr="00813D19">
        <w:rPr>
          <w:bCs/>
          <w:lang w:val="en-US"/>
        </w:rPr>
        <w:t xml:space="preserve"> </w:t>
      </w:r>
      <w:r w:rsidR="000E1154" w:rsidRPr="00813D19">
        <w:rPr>
          <w:bCs/>
          <w:lang w:val="en-US"/>
        </w:rPr>
        <w:t xml:space="preserve">that in R.2, </w:t>
      </w:r>
      <w:r w:rsidR="0073314F" w:rsidRPr="00813D19">
        <w:rPr>
          <w:bCs/>
          <w:lang w:val="en-US"/>
        </w:rPr>
        <w:t>r</w:t>
      </w:r>
      <w:r w:rsidR="00940BD4" w:rsidRPr="00813D19">
        <w:rPr>
          <w:bCs/>
          <w:lang w:val="en-US"/>
        </w:rPr>
        <w:t xml:space="preserve">eggae is a tool, a vehicle for dialogue towards peace, understanding and tolerance </w:t>
      </w:r>
      <w:r w:rsidR="000E1154" w:rsidRPr="00813D19">
        <w:rPr>
          <w:bCs/>
          <w:lang w:val="en-US"/>
        </w:rPr>
        <w:t>through music, dance and culture. It is</w:t>
      </w:r>
      <w:r w:rsidR="00940BD4" w:rsidRPr="00813D19">
        <w:rPr>
          <w:bCs/>
          <w:lang w:val="en-US"/>
        </w:rPr>
        <w:t xml:space="preserve"> a symbol of unity and diversity that works towards social inclusion</w:t>
      </w:r>
      <w:r w:rsidR="000E1154" w:rsidRPr="00813D19">
        <w:rPr>
          <w:bCs/>
          <w:lang w:val="en-US"/>
        </w:rPr>
        <w:t>,</w:t>
      </w:r>
      <w:r w:rsidR="00940BD4" w:rsidRPr="00813D19">
        <w:rPr>
          <w:bCs/>
          <w:lang w:val="en-US"/>
        </w:rPr>
        <w:t xml:space="preserve"> </w:t>
      </w:r>
      <w:r w:rsidR="000E1154" w:rsidRPr="00813D19">
        <w:rPr>
          <w:bCs/>
          <w:lang w:val="en-US"/>
        </w:rPr>
        <w:t xml:space="preserve">which </w:t>
      </w:r>
      <w:r w:rsidR="00940BD4" w:rsidRPr="00813D19">
        <w:rPr>
          <w:bCs/>
          <w:lang w:val="en-US"/>
        </w:rPr>
        <w:t>today is an essential path towards reaching true sustainable development. Its very message, which is transmitted by its incredible visual and auditory nature, goes beyond the borders of Jamaica, the Caribbean and the African region</w:t>
      </w:r>
      <w:r w:rsidR="000E1154" w:rsidRPr="00813D19">
        <w:rPr>
          <w:bCs/>
          <w:lang w:val="en-US"/>
        </w:rPr>
        <w:t>,</w:t>
      </w:r>
      <w:r w:rsidR="00940BD4" w:rsidRPr="00813D19">
        <w:rPr>
          <w:bCs/>
          <w:lang w:val="en-US"/>
        </w:rPr>
        <w:t xml:space="preserve"> and </w:t>
      </w:r>
      <w:r w:rsidR="000E1154" w:rsidRPr="00813D19">
        <w:rPr>
          <w:bCs/>
          <w:lang w:val="en-US"/>
        </w:rPr>
        <w:t xml:space="preserve">touches </w:t>
      </w:r>
      <w:r w:rsidR="00940BD4" w:rsidRPr="00813D19">
        <w:rPr>
          <w:bCs/>
          <w:lang w:val="en-US"/>
        </w:rPr>
        <w:t xml:space="preserve">the entire world. </w:t>
      </w:r>
      <w:r w:rsidR="000E1154" w:rsidRPr="00813D19">
        <w:rPr>
          <w:bCs/>
          <w:lang w:val="en-US"/>
        </w:rPr>
        <w:t xml:space="preserve">The delegation </w:t>
      </w:r>
      <w:r w:rsidR="00940BD4" w:rsidRPr="00813D19">
        <w:rPr>
          <w:bCs/>
          <w:lang w:val="en-US"/>
        </w:rPr>
        <w:t>believe</w:t>
      </w:r>
      <w:r w:rsidR="000E1154" w:rsidRPr="00813D19">
        <w:rPr>
          <w:bCs/>
          <w:lang w:val="en-US"/>
        </w:rPr>
        <w:t>d</w:t>
      </w:r>
      <w:r w:rsidR="00940BD4" w:rsidRPr="00813D19">
        <w:rPr>
          <w:bCs/>
          <w:lang w:val="en-US"/>
        </w:rPr>
        <w:t xml:space="preserve"> that the contribution made by reggae towards the visibility of the Convention </w:t>
      </w:r>
      <w:r w:rsidR="000E1154" w:rsidRPr="00813D19">
        <w:rPr>
          <w:bCs/>
          <w:lang w:val="en-US"/>
        </w:rPr>
        <w:t xml:space="preserve">was </w:t>
      </w:r>
      <w:r w:rsidR="00940BD4" w:rsidRPr="00813D19">
        <w:rPr>
          <w:bCs/>
          <w:lang w:val="en-US"/>
        </w:rPr>
        <w:t xml:space="preserve">quite clear in </w:t>
      </w:r>
      <w:r w:rsidR="000E1154" w:rsidRPr="00813D19">
        <w:rPr>
          <w:bCs/>
          <w:lang w:val="en-US"/>
        </w:rPr>
        <w:t xml:space="preserve">that </w:t>
      </w:r>
      <w:r w:rsidR="00940BD4" w:rsidRPr="00813D19">
        <w:rPr>
          <w:bCs/>
          <w:lang w:val="en-US"/>
        </w:rPr>
        <w:t xml:space="preserve">it has a strong global impact </w:t>
      </w:r>
      <w:r w:rsidR="000E1154" w:rsidRPr="00813D19">
        <w:rPr>
          <w:bCs/>
          <w:lang w:val="en-US"/>
        </w:rPr>
        <w:t xml:space="preserve">in its message about the need for dialogue and </w:t>
      </w:r>
      <w:r w:rsidR="00940BD4" w:rsidRPr="00813D19">
        <w:rPr>
          <w:bCs/>
          <w:lang w:val="en-US"/>
        </w:rPr>
        <w:t xml:space="preserve">mutual understanding, </w:t>
      </w:r>
      <w:r w:rsidR="000E1154" w:rsidRPr="00813D19">
        <w:rPr>
          <w:bCs/>
          <w:lang w:val="en-US"/>
        </w:rPr>
        <w:t xml:space="preserve">for </w:t>
      </w:r>
      <w:r w:rsidR="00940BD4" w:rsidRPr="00813D19">
        <w:rPr>
          <w:bCs/>
          <w:lang w:val="en-US"/>
        </w:rPr>
        <w:t>understand</w:t>
      </w:r>
      <w:r w:rsidR="000E1154" w:rsidRPr="00813D19">
        <w:rPr>
          <w:bCs/>
          <w:lang w:val="en-US"/>
        </w:rPr>
        <w:t>ing</w:t>
      </w:r>
      <w:r w:rsidR="00940BD4" w:rsidRPr="00813D19">
        <w:rPr>
          <w:bCs/>
          <w:lang w:val="en-US"/>
        </w:rPr>
        <w:t xml:space="preserve"> that </w:t>
      </w:r>
      <w:r w:rsidR="000E1154" w:rsidRPr="00813D19">
        <w:rPr>
          <w:bCs/>
          <w:lang w:val="en-US"/>
        </w:rPr>
        <w:t xml:space="preserve">the world is </w:t>
      </w:r>
      <w:r w:rsidR="00940BD4" w:rsidRPr="00813D19">
        <w:rPr>
          <w:bCs/>
          <w:lang w:val="en-US"/>
        </w:rPr>
        <w:t xml:space="preserve">diverse but </w:t>
      </w:r>
      <w:r w:rsidR="000E1154" w:rsidRPr="00813D19">
        <w:rPr>
          <w:bCs/>
          <w:lang w:val="en-US"/>
        </w:rPr>
        <w:t xml:space="preserve">based on respect, </w:t>
      </w:r>
      <w:r w:rsidR="00940BD4" w:rsidRPr="00813D19">
        <w:rPr>
          <w:bCs/>
          <w:lang w:val="en-US"/>
        </w:rPr>
        <w:t xml:space="preserve">a constructive fight for resistance, for going beyond differences. </w:t>
      </w:r>
      <w:r w:rsidR="000E1154" w:rsidRPr="00813D19">
        <w:rPr>
          <w:bCs/>
          <w:lang w:val="en-US"/>
        </w:rPr>
        <w:t xml:space="preserve">In this regard, the delegation had </w:t>
      </w:r>
      <w:r w:rsidR="00940BD4" w:rsidRPr="00813D19">
        <w:rPr>
          <w:bCs/>
          <w:lang w:val="en-US"/>
        </w:rPr>
        <w:t xml:space="preserve">submitted a </w:t>
      </w:r>
      <w:r w:rsidR="000E1154" w:rsidRPr="00813D19">
        <w:rPr>
          <w:bCs/>
          <w:lang w:val="en-US"/>
        </w:rPr>
        <w:t xml:space="preserve">number </w:t>
      </w:r>
      <w:r w:rsidR="00940BD4" w:rsidRPr="00813D19">
        <w:rPr>
          <w:bCs/>
          <w:lang w:val="en-US"/>
        </w:rPr>
        <w:t xml:space="preserve">of amendments to </w:t>
      </w:r>
      <w:r w:rsidR="000E1154" w:rsidRPr="00813D19">
        <w:rPr>
          <w:bCs/>
          <w:lang w:val="en-US"/>
        </w:rPr>
        <w:t xml:space="preserve">support the </w:t>
      </w:r>
      <w:r w:rsidR="00183502">
        <w:rPr>
          <w:bCs/>
          <w:lang w:val="en-US"/>
        </w:rPr>
        <w:t xml:space="preserve">inscription of the </w:t>
      </w:r>
      <w:r w:rsidR="00940BD4" w:rsidRPr="00813D19">
        <w:rPr>
          <w:bCs/>
          <w:lang w:val="en-US"/>
        </w:rPr>
        <w:t>nomination on the Representative List</w:t>
      </w:r>
      <w:r w:rsidR="00940BD4" w:rsidRPr="00813D19">
        <w:rPr>
          <w:lang w:val="en-US"/>
        </w:rPr>
        <w:t xml:space="preserve">. </w:t>
      </w:r>
      <w:r w:rsidR="00471689" w:rsidRPr="00813D19">
        <w:rPr>
          <w:lang w:val="en-US"/>
        </w:rPr>
        <w:t xml:space="preserve">It asked </w:t>
      </w:r>
      <w:r w:rsidR="00940BD4" w:rsidRPr="00813D19">
        <w:rPr>
          <w:lang w:val="en-US"/>
        </w:rPr>
        <w:t xml:space="preserve">the Committee to </w:t>
      </w:r>
      <w:r w:rsidR="00471689" w:rsidRPr="00813D19">
        <w:rPr>
          <w:lang w:val="en-US"/>
        </w:rPr>
        <w:t xml:space="preserve">allow </w:t>
      </w:r>
      <w:r w:rsidR="00940BD4" w:rsidRPr="00813D19">
        <w:rPr>
          <w:lang w:val="en-US"/>
        </w:rPr>
        <w:t xml:space="preserve">the submitting State </w:t>
      </w:r>
      <w:r w:rsidR="00471689" w:rsidRPr="00813D19">
        <w:rPr>
          <w:lang w:val="en-US"/>
        </w:rPr>
        <w:t xml:space="preserve">to provide </w:t>
      </w:r>
      <w:r w:rsidR="00940BD4" w:rsidRPr="00813D19">
        <w:rPr>
          <w:lang w:val="en-US"/>
        </w:rPr>
        <w:t xml:space="preserve">more information </w:t>
      </w:r>
      <w:r w:rsidR="00471689" w:rsidRPr="00813D19">
        <w:rPr>
          <w:lang w:val="en-US"/>
        </w:rPr>
        <w:t>on R.</w:t>
      </w:r>
      <w:r w:rsidR="00940BD4" w:rsidRPr="00813D19">
        <w:rPr>
          <w:lang w:val="en-US"/>
        </w:rPr>
        <w:t xml:space="preserve">2 and </w:t>
      </w:r>
      <w:r w:rsidR="00471689" w:rsidRPr="00813D19">
        <w:rPr>
          <w:lang w:val="en-US"/>
        </w:rPr>
        <w:t xml:space="preserve">R.5, and </w:t>
      </w:r>
      <w:r w:rsidR="00940BD4" w:rsidRPr="00813D19">
        <w:rPr>
          <w:lang w:val="en-US"/>
        </w:rPr>
        <w:t>thank</w:t>
      </w:r>
      <w:r w:rsidR="00471689" w:rsidRPr="00813D19">
        <w:rPr>
          <w:lang w:val="en-US"/>
        </w:rPr>
        <w:t>ed</w:t>
      </w:r>
      <w:r w:rsidR="00940BD4" w:rsidRPr="00813D19">
        <w:rPr>
          <w:lang w:val="en-US"/>
        </w:rPr>
        <w:t xml:space="preserve"> the Evaluation Body for the information </w:t>
      </w:r>
      <w:r w:rsidR="00471689" w:rsidRPr="00813D19">
        <w:rPr>
          <w:lang w:val="en-US"/>
        </w:rPr>
        <w:t>provided</w:t>
      </w:r>
      <w:r w:rsidR="00E72560">
        <w:rPr>
          <w:lang w:val="en-US"/>
        </w:rPr>
        <w:t>.</w:t>
      </w:r>
    </w:p>
    <w:p w14:paraId="7C9502D9" w14:textId="797926FF" w:rsidR="00645105" w:rsidRPr="00813D19" w:rsidRDefault="00645105" w:rsidP="00471689">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C0245A" w:rsidRPr="00813D19">
        <w:rPr>
          <w:bCs/>
          <w:lang w:val="en-US"/>
        </w:rPr>
        <w:t xml:space="preserve"> </w:t>
      </w:r>
      <w:r w:rsidR="00471689" w:rsidRPr="00813D19">
        <w:rPr>
          <w:bCs/>
          <w:lang w:val="en-US"/>
        </w:rPr>
        <w:t>thanked Cuba for its eloquence and pertinent presentation</w:t>
      </w:r>
      <w:r w:rsidR="00183502">
        <w:rPr>
          <w:bCs/>
          <w:lang w:val="en-US"/>
        </w:rPr>
        <w:t>,</w:t>
      </w:r>
      <w:r w:rsidR="00471689" w:rsidRPr="00813D19">
        <w:rPr>
          <w:bCs/>
          <w:lang w:val="en-US"/>
        </w:rPr>
        <w:t xml:space="preserve"> </w:t>
      </w:r>
      <w:r w:rsidR="00183502">
        <w:rPr>
          <w:bCs/>
          <w:lang w:val="en-US"/>
        </w:rPr>
        <w:t>the</w:t>
      </w:r>
      <w:r w:rsidR="00183502" w:rsidRPr="00813D19">
        <w:rPr>
          <w:bCs/>
          <w:lang w:val="en-US"/>
        </w:rPr>
        <w:t xml:space="preserve"> </w:t>
      </w:r>
      <w:r w:rsidR="00471689" w:rsidRPr="00813D19">
        <w:rPr>
          <w:bCs/>
          <w:lang w:val="en-US"/>
        </w:rPr>
        <w:t xml:space="preserve">sentiment </w:t>
      </w:r>
      <w:r w:rsidR="00183502">
        <w:rPr>
          <w:bCs/>
          <w:lang w:val="en-US"/>
        </w:rPr>
        <w:t xml:space="preserve">of which </w:t>
      </w:r>
      <w:r w:rsidR="00471689" w:rsidRPr="00813D19">
        <w:rPr>
          <w:bCs/>
          <w:lang w:val="en-US"/>
        </w:rPr>
        <w:t>it shared</w:t>
      </w:r>
      <w:r w:rsidR="0049105C" w:rsidRPr="00813D19">
        <w:rPr>
          <w:bCs/>
          <w:lang w:val="en-US"/>
        </w:rPr>
        <w:t xml:space="preserve">, adding that this </w:t>
      </w:r>
      <w:r w:rsidR="00C0245A" w:rsidRPr="00813D19">
        <w:rPr>
          <w:bCs/>
          <w:lang w:val="en-US"/>
        </w:rPr>
        <w:t xml:space="preserve">element deserved to be on the List </w:t>
      </w:r>
      <w:r w:rsidR="0049105C" w:rsidRPr="00813D19">
        <w:rPr>
          <w:bCs/>
          <w:lang w:val="en-US"/>
        </w:rPr>
        <w:t>years ago and</w:t>
      </w:r>
      <w:r w:rsidR="00183502">
        <w:rPr>
          <w:bCs/>
          <w:lang w:val="en-US"/>
        </w:rPr>
        <w:t xml:space="preserve"> it</w:t>
      </w:r>
      <w:r w:rsidR="0049105C" w:rsidRPr="00813D19">
        <w:rPr>
          <w:bCs/>
          <w:lang w:val="en-US"/>
        </w:rPr>
        <w:t xml:space="preserve"> was surprised that it had taken so long. Regarding </w:t>
      </w:r>
      <w:r w:rsidR="00C0245A" w:rsidRPr="00813D19">
        <w:rPr>
          <w:bCs/>
          <w:lang w:val="en-US"/>
        </w:rPr>
        <w:t>R.5</w:t>
      </w:r>
      <w:r w:rsidR="0049105C" w:rsidRPr="00813D19">
        <w:rPr>
          <w:bCs/>
          <w:lang w:val="en-US"/>
        </w:rPr>
        <w:t xml:space="preserve">, the delegation wished to hear from Jamaica, as the </w:t>
      </w:r>
      <w:r w:rsidR="00C0245A" w:rsidRPr="00813D19">
        <w:rPr>
          <w:bCs/>
          <w:lang w:val="en-US"/>
        </w:rPr>
        <w:t xml:space="preserve">Evaluation Body </w:t>
      </w:r>
      <w:r w:rsidR="0049105C" w:rsidRPr="00813D19">
        <w:rPr>
          <w:bCs/>
          <w:lang w:val="en-US"/>
        </w:rPr>
        <w:t xml:space="preserve">had stated </w:t>
      </w:r>
      <w:r w:rsidR="00C0245A" w:rsidRPr="00813D19">
        <w:rPr>
          <w:bCs/>
          <w:lang w:val="en-US"/>
        </w:rPr>
        <w:t xml:space="preserve">that there </w:t>
      </w:r>
      <w:r w:rsidR="0049105C" w:rsidRPr="00813D19">
        <w:rPr>
          <w:bCs/>
          <w:lang w:val="en-US"/>
        </w:rPr>
        <w:t xml:space="preserve">was </w:t>
      </w:r>
      <w:r w:rsidR="00C0245A" w:rsidRPr="00813D19">
        <w:rPr>
          <w:bCs/>
          <w:lang w:val="en-US"/>
        </w:rPr>
        <w:t xml:space="preserve">no clear explanation of the involvement of communities and stakeholders in the inventorying process. </w:t>
      </w:r>
      <w:r w:rsidR="0049105C" w:rsidRPr="00813D19">
        <w:rPr>
          <w:bCs/>
          <w:lang w:val="en-US"/>
        </w:rPr>
        <w:t xml:space="preserve">Regarding </w:t>
      </w:r>
      <w:r w:rsidR="00C0245A" w:rsidRPr="00813D19">
        <w:rPr>
          <w:bCs/>
          <w:lang w:val="en-US"/>
        </w:rPr>
        <w:t>R.2</w:t>
      </w:r>
      <w:r w:rsidR="0049105C" w:rsidRPr="00813D19">
        <w:rPr>
          <w:bCs/>
          <w:lang w:val="en-US"/>
        </w:rPr>
        <w:t>,</w:t>
      </w:r>
      <w:r w:rsidR="00C0245A" w:rsidRPr="00813D19">
        <w:rPr>
          <w:bCs/>
          <w:lang w:val="en-US"/>
        </w:rPr>
        <w:t xml:space="preserve"> in addition to </w:t>
      </w:r>
      <w:r w:rsidR="0049105C" w:rsidRPr="00813D19">
        <w:rPr>
          <w:bCs/>
          <w:lang w:val="en-US"/>
        </w:rPr>
        <w:t xml:space="preserve">the remarks from </w:t>
      </w:r>
      <w:r w:rsidR="00C0245A" w:rsidRPr="00813D19">
        <w:rPr>
          <w:bCs/>
          <w:lang w:val="en-US"/>
        </w:rPr>
        <w:t>Cuba</w:t>
      </w:r>
      <w:r w:rsidR="0049105C" w:rsidRPr="00813D19">
        <w:rPr>
          <w:bCs/>
          <w:lang w:val="en-US"/>
        </w:rPr>
        <w:t xml:space="preserve">, it was </w:t>
      </w:r>
      <w:r w:rsidR="00C0245A" w:rsidRPr="00813D19">
        <w:rPr>
          <w:bCs/>
          <w:lang w:val="en-US"/>
        </w:rPr>
        <w:t xml:space="preserve">clear </w:t>
      </w:r>
      <w:r w:rsidR="0049105C" w:rsidRPr="00813D19">
        <w:rPr>
          <w:bCs/>
          <w:lang w:val="en-US"/>
        </w:rPr>
        <w:t>to everyone</w:t>
      </w:r>
      <w:r w:rsidR="00C0245A" w:rsidRPr="00813D19">
        <w:rPr>
          <w:bCs/>
          <w:lang w:val="en-US"/>
        </w:rPr>
        <w:t xml:space="preserve"> that reggae music contribute</w:t>
      </w:r>
      <w:r w:rsidR="0049105C" w:rsidRPr="00813D19">
        <w:rPr>
          <w:bCs/>
          <w:lang w:val="en-US"/>
        </w:rPr>
        <w:t>d</w:t>
      </w:r>
      <w:r w:rsidR="00C0245A" w:rsidRPr="00813D19">
        <w:rPr>
          <w:bCs/>
          <w:lang w:val="en-US"/>
        </w:rPr>
        <w:t xml:space="preserve"> </w:t>
      </w:r>
      <w:r w:rsidR="0049105C" w:rsidRPr="00813D19">
        <w:rPr>
          <w:bCs/>
          <w:lang w:val="en-US"/>
        </w:rPr>
        <w:t xml:space="preserve">to </w:t>
      </w:r>
      <w:r w:rsidR="00C0245A" w:rsidRPr="00813D19">
        <w:rPr>
          <w:bCs/>
          <w:lang w:val="en-US"/>
        </w:rPr>
        <w:t xml:space="preserve">raising awareness and </w:t>
      </w:r>
      <w:r w:rsidR="000A0555" w:rsidRPr="00813D19">
        <w:rPr>
          <w:bCs/>
          <w:lang w:val="en-US"/>
        </w:rPr>
        <w:t xml:space="preserve">the </w:t>
      </w:r>
      <w:r w:rsidR="00C0245A" w:rsidRPr="00813D19">
        <w:rPr>
          <w:bCs/>
          <w:lang w:val="en-US"/>
        </w:rPr>
        <w:t xml:space="preserve">visibility of </w:t>
      </w:r>
      <w:r w:rsidR="0049105C" w:rsidRPr="00813D19">
        <w:rPr>
          <w:bCs/>
          <w:lang w:val="en-US"/>
        </w:rPr>
        <w:t xml:space="preserve">intangible cultural heritage </w:t>
      </w:r>
      <w:r w:rsidR="00C0245A" w:rsidRPr="00813D19">
        <w:rPr>
          <w:bCs/>
          <w:lang w:val="en-US"/>
        </w:rPr>
        <w:t>in general</w:t>
      </w:r>
      <w:r w:rsidR="000A0555" w:rsidRPr="00813D19">
        <w:rPr>
          <w:bCs/>
          <w:lang w:val="en-US"/>
        </w:rPr>
        <w:t xml:space="preserve"> and of </w:t>
      </w:r>
      <w:r w:rsidR="00C0245A" w:rsidRPr="00813D19">
        <w:rPr>
          <w:bCs/>
          <w:lang w:val="en-US"/>
        </w:rPr>
        <w:t>the Convention</w:t>
      </w:r>
      <w:r w:rsidR="000A0555" w:rsidRPr="00813D19">
        <w:rPr>
          <w:bCs/>
          <w:lang w:val="en-US"/>
        </w:rPr>
        <w:t>,</w:t>
      </w:r>
      <w:r w:rsidR="00C0245A" w:rsidRPr="00813D19">
        <w:rPr>
          <w:bCs/>
          <w:lang w:val="en-US"/>
        </w:rPr>
        <w:t xml:space="preserve"> </w:t>
      </w:r>
      <w:r w:rsidR="000A0555" w:rsidRPr="00813D19">
        <w:rPr>
          <w:bCs/>
          <w:lang w:val="en-US"/>
        </w:rPr>
        <w:t xml:space="preserve">even more so </w:t>
      </w:r>
      <w:r w:rsidR="0049105C" w:rsidRPr="00813D19">
        <w:rPr>
          <w:bCs/>
          <w:lang w:val="en-US"/>
        </w:rPr>
        <w:t>than UNESCO itself</w:t>
      </w:r>
      <w:r w:rsidR="00E72560">
        <w:rPr>
          <w:bCs/>
          <w:lang w:val="en-US"/>
        </w:rPr>
        <w:t>.</w:t>
      </w:r>
    </w:p>
    <w:p w14:paraId="3AAFD3DE" w14:textId="7E391F12" w:rsidR="00645105" w:rsidRPr="00813D19" w:rsidRDefault="0075134E"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Colombia</w:t>
      </w:r>
      <w:r w:rsidR="00C0245A" w:rsidRPr="00813D19">
        <w:rPr>
          <w:b/>
          <w:color w:val="000000" w:themeColor="text1"/>
          <w:lang w:val="en-US"/>
        </w:rPr>
        <w:t xml:space="preserve"> </w:t>
      </w:r>
      <w:r w:rsidR="00C0245A" w:rsidRPr="00813D19">
        <w:rPr>
          <w:bCs/>
          <w:lang w:val="en-US"/>
        </w:rPr>
        <w:t>believe</w:t>
      </w:r>
      <w:r w:rsidR="0049105C" w:rsidRPr="00813D19">
        <w:rPr>
          <w:bCs/>
          <w:lang w:val="en-US"/>
        </w:rPr>
        <w:t>d</w:t>
      </w:r>
      <w:r w:rsidR="00C0245A" w:rsidRPr="00813D19">
        <w:rPr>
          <w:bCs/>
          <w:lang w:val="en-US"/>
        </w:rPr>
        <w:t xml:space="preserve"> </w:t>
      </w:r>
      <w:r w:rsidR="0049105C" w:rsidRPr="00813D19">
        <w:rPr>
          <w:bCs/>
          <w:lang w:val="en-US"/>
        </w:rPr>
        <w:t xml:space="preserve">that </w:t>
      </w:r>
      <w:r w:rsidR="00C0245A" w:rsidRPr="00813D19">
        <w:rPr>
          <w:bCs/>
          <w:lang w:val="en-US"/>
        </w:rPr>
        <w:t xml:space="preserve">reggae </w:t>
      </w:r>
      <w:r w:rsidR="0049105C" w:rsidRPr="00813D19">
        <w:rPr>
          <w:bCs/>
          <w:lang w:val="en-US"/>
        </w:rPr>
        <w:t xml:space="preserve">was </w:t>
      </w:r>
      <w:r w:rsidR="00C0245A" w:rsidRPr="00813D19">
        <w:rPr>
          <w:bCs/>
          <w:lang w:val="en-US"/>
        </w:rPr>
        <w:t xml:space="preserve">not only an expression of Jamaican culture but </w:t>
      </w:r>
      <w:r w:rsidR="006F57A2" w:rsidRPr="00813D19">
        <w:rPr>
          <w:bCs/>
          <w:lang w:val="en-US"/>
        </w:rPr>
        <w:t xml:space="preserve">also </w:t>
      </w:r>
      <w:r w:rsidR="0049105C" w:rsidRPr="00813D19">
        <w:rPr>
          <w:bCs/>
          <w:lang w:val="en-US"/>
        </w:rPr>
        <w:t xml:space="preserve">the entire world, creating </w:t>
      </w:r>
      <w:r w:rsidR="00A30FB3" w:rsidRPr="00813D19">
        <w:rPr>
          <w:bCs/>
          <w:lang w:val="en-US"/>
        </w:rPr>
        <w:t xml:space="preserve">a sense of </w:t>
      </w:r>
      <w:r w:rsidR="0049105C" w:rsidRPr="00813D19">
        <w:rPr>
          <w:bCs/>
          <w:lang w:val="en-US"/>
        </w:rPr>
        <w:t>living together a</w:t>
      </w:r>
      <w:r w:rsidR="00A30FB3" w:rsidRPr="00813D19">
        <w:rPr>
          <w:bCs/>
          <w:lang w:val="en-US"/>
        </w:rPr>
        <w:t xml:space="preserve">nd tolerance among communities. </w:t>
      </w:r>
      <w:r w:rsidR="006F57A2" w:rsidRPr="00813D19">
        <w:rPr>
          <w:bCs/>
          <w:lang w:val="en-US"/>
        </w:rPr>
        <w:t xml:space="preserve">The delegation believed that </w:t>
      </w:r>
      <w:r w:rsidR="00C0245A" w:rsidRPr="00813D19">
        <w:rPr>
          <w:bCs/>
          <w:lang w:val="en-US"/>
        </w:rPr>
        <w:t xml:space="preserve">Jamaica </w:t>
      </w:r>
      <w:r w:rsidR="00A30FB3" w:rsidRPr="00813D19">
        <w:rPr>
          <w:bCs/>
          <w:lang w:val="en-US"/>
        </w:rPr>
        <w:t xml:space="preserve">should be </w:t>
      </w:r>
      <w:r w:rsidR="006F57A2" w:rsidRPr="00813D19">
        <w:rPr>
          <w:bCs/>
          <w:lang w:val="en-US"/>
        </w:rPr>
        <w:t xml:space="preserve">given the chance </w:t>
      </w:r>
      <w:r w:rsidR="00C0245A" w:rsidRPr="00813D19">
        <w:rPr>
          <w:bCs/>
          <w:lang w:val="en-US"/>
        </w:rPr>
        <w:t xml:space="preserve">to clarify certain points </w:t>
      </w:r>
      <w:r w:rsidR="00A30FB3" w:rsidRPr="00813D19">
        <w:rPr>
          <w:bCs/>
          <w:lang w:val="en-US"/>
        </w:rPr>
        <w:t>and provide the information</w:t>
      </w:r>
      <w:r w:rsidR="00C0245A" w:rsidRPr="00813D19">
        <w:rPr>
          <w:bCs/>
          <w:lang w:val="en-US"/>
        </w:rPr>
        <w:t xml:space="preserve"> </w:t>
      </w:r>
      <w:r w:rsidR="00A30FB3" w:rsidRPr="00813D19">
        <w:rPr>
          <w:bCs/>
          <w:lang w:val="en-US"/>
        </w:rPr>
        <w:t xml:space="preserve">that </w:t>
      </w:r>
      <w:r w:rsidR="00C0245A" w:rsidRPr="00813D19">
        <w:rPr>
          <w:bCs/>
          <w:lang w:val="en-US"/>
        </w:rPr>
        <w:t>may not hav</w:t>
      </w:r>
      <w:r w:rsidR="00E72560">
        <w:rPr>
          <w:bCs/>
          <w:lang w:val="en-US"/>
        </w:rPr>
        <w:t>e appeared clearly in the file.</w:t>
      </w:r>
    </w:p>
    <w:p w14:paraId="65B68CCF" w14:textId="24D66203" w:rsidR="001235C7" w:rsidRPr="00813D19" w:rsidRDefault="001F728D" w:rsidP="001235C7">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Kazakhstan</w:t>
      </w:r>
      <w:r w:rsidR="00C0245A" w:rsidRPr="00813D19">
        <w:rPr>
          <w:b/>
          <w:color w:val="000000" w:themeColor="text1"/>
          <w:lang w:val="en-US"/>
        </w:rPr>
        <w:t xml:space="preserve"> </w:t>
      </w:r>
      <w:r w:rsidR="00C0245A" w:rsidRPr="00813D19">
        <w:rPr>
          <w:bCs/>
          <w:lang w:val="en-US"/>
        </w:rPr>
        <w:t>join</w:t>
      </w:r>
      <w:r w:rsidR="00A30FB3" w:rsidRPr="00813D19">
        <w:rPr>
          <w:bCs/>
          <w:lang w:val="en-US"/>
        </w:rPr>
        <w:t>ed</w:t>
      </w:r>
      <w:r w:rsidR="00C0245A" w:rsidRPr="00813D19">
        <w:rPr>
          <w:bCs/>
          <w:lang w:val="en-US"/>
        </w:rPr>
        <w:t xml:space="preserve"> fellow Committee Members in supporting </w:t>
      </w:r>
      <w:r w:rsidR="006F57A2" w:rsidRPr="00813D19">
        <w:rPr>
          <w:bCs/>
          <w:lang w:val="en-US"/>
        </w:rPr>
        <w:t xml:space="preserve">the discussion on this </w:t>
      </w:r>
      <w:r w:rsidR="009D349A" w:rsidRPr="00813D19">
        <w:rPr>
          <w:bCs/>
          <w:lang w:val="en-US"/>
        </w:rPr>
        <w:t xml:space="preserve">file, adding that </w:t>
      </w:r>
      <w:r w:rsidR="00C0245A" w:rsidRPr="00813D19">
        <w:rPr>
          <w:bCs/>
          <w:lang w:val="en-US"/>
        </w:rPr>
        <w:t>prior to inscription to the Representative List</w:t>
      </w:r>
      <w:r w:rsidR="009D349A" w:rsidRPr="00813D19">
        <w:rPr>
          <w:bCs/>
          <w:lang w:val="en-US"/>
        </w:rPr>
        <w:t>,</w:t>
      </w:r>
      <w:r w:rsidR="009D349A" w:rsidRPr="00813D19">
        <w:rPr>
          <w:lang w:val="en-US"/>
        </w:rPr>
        <w:t xml:space="preserve"> reggae already represented</w:t>
      </w:r>
      <w:r w:rsidR="00C0245A" w:rsidRPr="00813D19">
        <w:rPr>
          <w:lang w:val="en-US"/>
        </w:rPr>
        <w:t xml:space="preserve"> global music and </w:t>
      </w:r>
      <w:r w:rsidR="009D349A" w:rsidRPr="00813D19">
        <w:rPr>
          <w:lang w:val="en-US"/>
        </w:rPr>
        <w:t>a political phenomenon,</w:t>
      </w:r>
      <w:r w:rsidR="00C0245A" w:rsidRPr="00813D19">
        <w:rPr>
          <w:lang w:val="en-US"/>
        </w:rPr>
        <w:t xml:space="preserve"> shaping Jamaican cultural identity. Its existence in a variety of forms</w:t>
      </w:r>
      <w:r w:rsidR="009D349A" w:rsidRPr="00813D19">
        <w:rPr>
          <w:lang w:val="en-US"/>
        </w:rPr>
        <w:t>,</w:t>
      </w:r>
      <w:r w:rsidR="00C0245A" w:rsidRPr="00813D19">
        <w:rPr>
          <w:lang w:val="en-US"/>
        </w:rPr>
        <w:t xml:space="preserve"> like female reggae music addressing women’s rights</w:t>
      </w:r>
      <w:r w:rsidR="009D349A" w:rsidRPr="00813D19">
        <w:rPr>
          <w:lang w:val="en-US"/>
        </w:rPr>
        <w:t>,</w:t>
      </w:r>
      <w:r w:rsidR="00C0245A" w:rsidRPr="00813D19">
        <w:rPr>
          <w:lang w:val="en-US"/>
        </w:rPr>
        <w:t xml:space="preserve"> </w:t>
      </w:r>
      <w:r w:rsidR="002A1852" w:rsidRPr="00813D19">
        <w:rPr>
          <w:lang w:val="en-US"/>
        </w:rPr>
        <w:t>indicate</w:t>
      </w:r>
      <w:r w:rsidR="002A1852">
        <w:rPr>
          <w:lang w:val="en-US"/>
        </w:rPr>
        <w:t>d</w:t>
      </w:r>
      <w:r w:rsidR="002A1852" w:rsidRPr="00813D19">
        <w:rPr>
          <w:lang w:val="en-US"/>
        </w:rPr>
        <w:t xml:space="preserve"> </w:t>
      </w:r>
      <w:r w:rsidR="00C0245A" w:rsidRPr="00813D19">
        <w:rPr>
          <w:lang w:val="en-US"/>
        </w:rPr>
        <w:t xml:space="preserve">high visibility and viability </w:t>
      </w:r>
      <w:r w:rsidR="00813D19" w:rsidRPr="00813D19">
        <w:rPr>
          <w:lang w:val="en-US"/>
        </w:rPr>
        <w:t>within</w:t>
      </w:r>
      <w:r w:rsidR="009D349A" w:rsidRPr="00813D19">
        <w:rPr>
          <w:lang w:val="en-US"/>
        </w:rPr>
        <w:t xml:space="preserve"> </w:t>
      </w:r>
      <w:r w:rsidR="00C0245A" w:rsidRPr="00813D19">
        <w:rPr>
          <w:lang w:val="en-US"/>
        </w:rPr>
        <w:t>the communities</w:t>
      </w:r>
      <w:r w:rsidR="006F57A2" w:rsidRPr="00813D19">
        <w:rPr>
          <w:lang w:val="en-US"/>
        </w:rPr>
        <w:t xml:space="preserve"> concerned</w:t>
      </w:r>
      <w:r w:rsidR="00C0245A" w:rsidRPr="00813D19">
        <w:rPr>
          <w:lang w:val="en-US"/>
        </w:rPr>
        <w:t>. Open access, easy interpretation and active transmission on an everyday basis naturally sustain the element and popularize it worldwide. National safeguarding measures listed in the nomination file</w:t>
      </w:r>
      <w:r w:rsidR="009D349A" w:rsidRPr="00813D19">
        <w:rPr>
          <w:lang w:val="en-US"/>
        </w:rPr>
        <w:t>,</w:t>
      </w:r>
      <w:r w:rsidR="00C0245A" w:rsidRPr="00813D19">
        <w:rPr>
          <w:lang w:val="en-US"/>
        </w:rPr>
        <w:t xml:space="preserve"> like documenting, archiving and legal protection</w:t>
      </w:r>
      <w:r w:rsidR="006F57A2" w:rsidRPr="00813D19">
        <w:rPr>
          <w:lang w:val="en-US"/>
        </w:rPr>
        <w:t>,</w:t>
      </w:r>
      <w:r w:rsidR="00C0245A" w:rsidRPr="00813D19">
        <w:rPr>
          <w:lang w:val="en-US"/>
        </w:rPr>
        <w:t xml:space="preserve"> shall complement existing knowledge and information on reggae music. </w:t>
      </w:r>
      <w:r w:rsidR="009D349A" w:rsidRPr="00813D19">
        <w:rPr>
          <w:lang w:val="en-US"/>
        </w:rPr>
        <w:t>C</w:t>
      </w:r>
      <w:r w:rsidR="00C0245A" w:rsidRPr="00813D19">
        <w:rPr>
          <w:lang w:val="en-US"/>
        </w:rPr>
        <w:t>onsidering the scope of the element</w:t>
      </w:r>
      <w:r w:rsidR="009D349A" w:rsidRPr="00813D19">
        <w:rPr>
          <w:lang w:val="en-US"/>
        </w:rPr>
        <w:t xml:space="preserve">, the delegation believed that </w:t>
      </w:r>
      <w:r w:rsidR="00C0245A" w:rsidRPr="00813D19">
        <w:rPr>
          <w:lang w:val="en-US"/>
        </w:rPr>
        <w:t>R.</w:t>
      </w:r>
      <w:r w:rsidR="001235C7" w:rsidRPr="00813D19">
        <w:rPr>
          <w:lang w:val="en-US"/>
        </w:rPr>
        <w:t>2</w:t>
      </w:r>
      <w:r w:rsidR="00C0245A" w:rsidRPr="00813D19">
        <w:rPr>
          <w:lang w:val="en-US"/>
        </w:rPr>
        <w:t xml:space="preserve"> could have been met. </w:t>
      </w:r>
      <w:r w:rsidR="009D349A" w:rsidRPr="00813D19">
        <w:rPr>
          <w:lang w:val="en-US"/>
        </w:rPr>
        <w:t xml:space="preserve">Regarding </w:t>
      </w:r>
      <w:r w:rsidR="00C0245A" w:rsidRPr="00813D19">
        <w:rPr>
          <w:lang w:val="en-US"/>
        </w:rPr>
        <w:t>R.5</w:t>
      </w:r>
      <w:r w:rsidR="009D349A" w:rsidRPr="00813D19">
        <w:rPr>
          <w:lang w:val="en-US"/>
        </w:rPr>
        <w:t xml:space="preserve">, </w:t>
      </w:r>
      <w:r w:rsidR="006F57A2" w:rsidRPr="00813D19">
        <w:rPr>
          <w:lang w:val="en-US"/>
        </w:rPr>
        <w:t xml:space="preserve">it </w:t>
      </w:r>
      <w:r w:rsidR="009D349A" w:rsidRPr="00813D19">
        <w:rPr>
          <w:lang w:val="en-US"/>
        </w:rPr>
        <w:t>sought to hear from Jamaica</w:t>
      </w:r>
      <w:r w:rsidR="00C0245A" w:rsidRPr="00813D19">
        <w:rPr>
          <w:lang w:val="en-US"/>
        </w:rPr>
        <w:t xml:space="preserve"> to clarify the inconsistencies </w:t>
      </w:r>
      <w:r w:rsidR="009D349A" w:rsidRPr="00813D19">
        <w:rPr>
          <w:lang w:val="en-US"/>
        </w:rPr>
        <w:t xml:space="preserve">on the issue of the </w:t>
      </w:r>
      <w:r w:rsidR="00E72560">
        <w:rPr>
          <w:lang w:val="en-US"/>
        </w:rPr>
        <w:t>inventory.</w:t>
      </w:r>
    </w:p>
    <w:p w14:paraId="4AA4F5B5" w14:textId="0130FDBE" w:rsidR="001235C7" w:rsidRPr="00813D19" w:rsidRDefault="001235C7" w:rsidP="001235C7">
      <w:pPr>
        <w:pStyle w:val="Orateurengris"/>
        <w:spacing w:before="12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concurred that the purpose was to seek clarification</w:t>
      </w:r>
      <w:r w:rsidR="00E72560">
        <w:rPr>
          <w:lang w:val="en-US"/>
        </w:rPr>
        <w:t xml:space="preserve"> from Jamaica.</w:t>
      </w:r>
    </w:p>
    <w:p w14:paraId="2A980D84" w14:textId="4557C4E2" w:rsidR="002221AC" w:rsidRPr="00813D19" w:rsidRDefault="004B6D0D"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Azerbaijan</w:t>
      </w:r>
      <w:r w:rsidR="00C0245A" w:rsidRPr="00813D19">
        <w:rPr>
          <w:b/>
          <w:color w:val="000000" w:themeColor="text1"/>
          <w:lang w:val="en-US"/>
        </w:rPr>
        <w:t xml:space="preserve"> </w:t>
      </w:r>
      <w:r w:rsidR="00C0245A" w:rsidRPr="00813D19">
        <w:rPr>
          <w:bCs/>
          <w:lang w:val="en-US"/>
        </w:rPr>
        <w:t>commend</w:t>
      </w:r>
      <w:r w:rsidR="001235C7" w:rsidRPr="00813D19">
        <w:rPr>
          <w:bCs/>
          <w:lang w:val="en-US"/>
        </w:rPr>
        <w:t>ed</w:t>
      </w:r>
      <w:r w:rsidR="00C0245A" w:rsidRPr="00813D19">
        <w:rPr>
          <w:bCs/>
          <w:lang w:val="en-US"/>
        </w:rPr>
        <w:t xml:space="preserve"> Jamaica for submitting its first nomination since 2008, a very vibrant element known </w:t>
      </w:r>
      <w:r w:rsidR="001235C7" w:rsidRPr="00813D19">
        <w:rPr>
          <w:bCs/>
          <w:lang w:val="en-US"/>
        </w:rPr>
        <w:t xml:space="preserve">widely </w:t>
      </w:r>
      <w:r w:rsidR="00C0245A" w:rsidRPr="00813D19">
        <w:rPr>
          <w:bCs/>
          <w:lang w:val="en-US"/>
        </w:rPr>
        <w:t xml:space="preserve">beyond Jamaica and the Caribbean. </w:t>
      </w:r>
      <w:r w:rsidR="001235C7" w:rsidRPr="00813D19">
        <w:rPr>
          <w:bCs/>
          <w:lang w:val="en-US"/>
        </w:rPr>
        <w:t xml:space="preserve">It also </w:t>
      </w:r>
      <w:r w:rsidR="00C0245A" w:rsidRPr="00813D19">
        <w:rPr>
          <w:bCs/>
          <w:lang w:val="en-US"/>
        </w:rPr>
        <w:t>thank</w:t>
      </w:r>
      <w:r w:rsidR="001235C7" w:rsidRPr="00813D19">
        <w:rPr>
          <w:bCs/>
          <w:lang w:val="en-US"/>
        </w:rPr>
        <w:t>ed</w:t>
      </w:r>
      <w:r w:rsidR="00C0245A" w:rsidRPr="00813D19">
        <w:rPr>
          <w:bCs/>
          <w:lang w:val="en-US"/>
        </w:rPr>
        <w:t xml:space="preserve"> the Evaluation Body for the th</w:t>
      </w:r>
      <w:r w:rsidR="001235C7" w:rsidRPr="00813D19">
        <w:rPr>
          <w:bCs/>
          <w:lang w:val="en-US"/>
        </w:rPr>
        <w:t>orough examination of the file, adding that it partially shared</w:t>
      </w:r>
      <w:r w:rsidR="00C0245A" w:rsidRPr="00813D19">
        <w:rPr>
          <w:bCs/>
          <w:lang w:val="en-US"/>
        </w:rPr>
        <w:t xml:space="preserve"> the </w:t>
      </w:r>
      <w:r w:rsidR="001235C7" w:rsidRPr="00813D19">
        <w:rPr>
          <w:bCs/>
          <w:lang w:val="en-US"/>
        </w:rPr>
        <w:t xml:space="preserve">findings </w:t>
      </w:r>
      <w:r w:rsidR="00C0245A" w:rsidRPr="00813D19">
        <w:rPr>
          <w:bCs/>
          <w:lang w:val="en-US"/>
        </w:rPr>
        <w:t xml:space="preserve">of the Evaluation Body. </w:t>
      </w:r>
      <w:r w:rsidR="006F57A2" w:rsidRPr="00813D19">
        <w:rPr>
          <w:bCs/>
          <w:lang w:val="en-US"/>
        </w:rPr>
        <w:t>It conceded that t</w:t>
      </w:r>
      <w:r w:rsidR="00C0245A" w:rsidRPr="00813D19">
        <w:rPr>
          <w:bCs/>
          <w:lang w:val="en-US"/>
        </w:rPr>
        <w:t xml:space="preserve">he contribution of the </w:t>
      </w:r>
      <w:r w:rsidR="006F57A2" w:rsidRPr="00813D19">
        <w:rPr>
          <w:bCs/>
          <w:lang w:val="en-US"/>
        </w:rPr>
        <w:t xml:space="preserve">element </w:t>
      </w:r>
      <w:r w:rsidR="002A1852">
        <w:rPr>
          <w:bCs/>
          <w:lang w:val="en-US"/>
        </w:rPr>
        <w:t>to</w:t>
      </w:r>
      <w:r w:rsidR="002A1852" w:rsidRPr="00813D19">
        <w:rPr>
          <w:bCs/>
          <w:lang w:val="en-US"/>
        </w:rPr>
        <w:t xml:space="preserve"> </w:t>
      </w:r>
      <w:r w:rsidR="00C0245A" w:rsidRPr="00813D19">
        <w:rPr>
          <w:bCs/>
          <w:lang w:val="en-US"/>
        </w:rPr>
        <w:t xml:space="preserve">promoting the visibility of </w:t>
      </w:r>
      <w:r w:rsidR="001235C7" w:rsidRPr="00813D19">
        <w:rPr>
          <w:bCs/>
          <w:lang w:val="en-US"/>
        </w:rPr>
        <w:t xml:space="preserve">intangible cultural heritage </w:t>
      </w:r>
      <w:r w:rsidR="00C0245A" w:rsidRPr="00813D19">
        <w:rPr>
          <w:bCs/>
          <w:lang w:val="en-US"/>
        </w:rPr>
        <w:t>in general could have been better explained</w:t>
      </w:r>
      <w:r w:rsidR="001235C7" w:rsidRPr="00813D19">
        <w:rPr>
          <w:bCs/>
          <w:lang w:val="en-US"/>
        </w:rPr>
        <w:t>,</w:t>
      </w:r>
      <w:r w:rsidR="00C0245A" w:rsidRPr="00813D19">
        <w:rPr>
          <w:bCs/>
          <w:lang w:val="en-US"/>
        </w:rPr>
        <w:t xml:space="preserve"> and most of the </w:t>
      </w:r>
      <w:r w:rsidR="001235C7" w:rsidRPr="00813D19">
        <w:rPr>
          <w:bCs/>
          <w:lang w:val="en-US"/>
        </w:rPr>
        <w:t xml:space="preserve">explanation under </w:t>
      </w:r>
      <w:r w:rsidR="00C0245A" w:rsidRPr="00813D19">
        <w:rPr>
          <w:bCs/>
          <w:lang w:val="en-US"/>
        </w:rPr>
        <w:t xml:space="preserve">R.2 </w:t>
      </w:r>
      <w:r w:rsidR="001235C7" w:rsidRPr="00813D19">
        <w:rPr>
          <w:bCs/>
          <w:lang w:val="en-US"/>
        </w:rPr>
        <w:t xml:space="preserve">did not appear to </w:t>
      </w:r>
      <w:r w:rsidR="00C0245A" w:rsidRPr="00813D19">
        <w:rPr>
          <w:bCs/>
          <w:lang w:val="en-US"/>
        </w:rPr>
        <w:t xml:space="preserve">answer the question. </w:t>
      </w:r>
      <w:r w:rsidR="001235C7" w:rsidRPr="00813D19">
        <w:rPr>
          <w:bCs/>
          <w:lang w:val="en-US"/>
        </w:rPr>
        <w:t xml:space="preserve">The delegation drew </w:t>
      </w:r>
      <w:r w:rsidR="00C0245A" w:rsidRPr="00813D19">
        <w:rPr>
          <w:bCs/>
          <w:lang w:val="en-US"/>
        </w:rPr>
        <w:t xml:space="preserve">the </w:t>
      </w:r>
      <w:r w:rsidR="001235C7" w:rsidRPr="00813D19">
        <w:rPr>
          <w:bCs/>
          <w:lang w:val="en-US"/>
        </w:rPr>
        <w:t xml:space="preserve">Committee’s </w:t>
      </w:r>
      <w:r w:rsidR="00C0245A" w:rsidRPr="00813D19">
        <w:rPr>
          <w:bCs/>
          <w:lang w:val="en-US"/>
        </w:rPr>
        <w:t>attention</w:t>
      </w:r>
      <w:r w:rsidR="002A1852">
        <w:rPr>
          <w:bCs/>
          <w:lang w:val="en-US"/>
        </w:rPr>
        <w:t>, however,</w:t>
      </w:r>
      <w:r w:rsidR="00C0245A" w:rsidRPr="00813D19">
        <w:rPr>
          <w:bCs/>
          <w:lang w:val="en-US"/>
        </w:rPr>
        <w:t xml:space="preserve"> to the first phrase in this section, which was also taken into account by the Evaluation Body in its recommendation </w:t>
      </w:r>
      <w:r w:rsidR="001235C7" w:rsidRPr="00813D19">
        <w:rPr>
          <w:bCs/>
          <w:lang w:val="en-US"/>
        </w:rPr>
        <w:t xml:space="preserve">on </w:t>
      </w:r>
      <w:r w:rsidR="00C0245A" w:rsidRPr="00813D19">
        <w:rPr>
          <w:bCs/>
          <w:lang w:val="en-US"/>
        </w:rPr>
        <w:t>the role of reggae as a “facilitator for dialogue and appreciation of cultural diversity among racial and ethnic groups worldwide</w:t>
      </w:r>
      <w:r w:rsidR="001235C7" w:rsidRPr="00813D19">
        <w:rPr>
          <w:bCs/>
          <w:lang w:val="en-US"/>
        </w:rPr>
        <w:t>”.</w:t>
      </w:r>
      <w:r w:rsidR="00C0245A" w:rsidRPr="00813D19">
        <w:rPr>
          <w:bCs/>
          <w:lang w:val="en-US"/>
        </w:rPr>
        <w:t xml:space="preserve"> </w:t>
      </w:r>
      <w:r w:rsidR="001235C7" w:rsidRPr="00813D19">
        <w:rPr>
          <w:bCs/>
          <w:lang w:val="en-US"/>
        </w:rPr>
        <w:t xml:space="preserve">The </w:t>
      </w:r>
      <w:r w:rsidR="00C0245A" w:rsidRPr="00813D19">
        <w:rPr>
          <w:bCs/>
          <w:lang w:val="en-US"/>
        </w:rPr>
        <w:t>delega</w:t>
      </w:r>
      <w:r w:rsidR="001235C7" w:rsidRPr="00813D19">
        <w:rPr>
          <w:bCs/>
          <w:lang w:val="en-US"/>
        </w:rPr>
        <w:t>tion believed</w:t>
      </w:r>
      <w:r w:rsidR="00C0245A" w:rsidRPr="00813D19">
        <w:rPr>
          <w:bCs/>
          <w:lang w:val="en-US"/>
        </w:rPr>
        <w:t xml:space="preserve"> that </w:t>
      </w:r>
      <w:r w:rsidR="00100CEB" w:rsidRPr="00813D19">
        <w:rPr>
          <w:bCs/>
          <w:lang w:val="en-US"/>
        </w:rPr>
        <w:t>the State Party had</w:t>
      </w:r>
      <w:r w:rsidR="00C0245A" w:rsidRPr="00813D19">
        <w:rPr>
          <w:bCs/>
          <w:lang w:val="en-US"/>
        </w:rPr>
        <w:t xml:space="preserve"> attempted to shed light on its vision </w:t>
      </w:r>
      <w:r w:rsidR="002A1852" w:rsidRPr="00813D19">
        <w:rPr>
          <w:bCs/>
          <w:lang w:val="en-US"/>
        </w:rPr>
        <w:t>o</w:t>
      </w:r>
      <w:r w:rsidR="002A1852">
        <w:rPr>
          <w:bCs/>
          <w:lang w:val="en-US"/>
        </w:rPr>
        <w:t>f</w:t>
      </w:r>
      <w:r w:rsidR="002A1852" w:rsidRPr="00813D19">
        <w:rPr>
          <w:bCs/>
          <w:lang w:val="en-US"/>
        </w:rPr>
        <w:t xml:space="preserve"> </w:t>
      </w:r>
      <w:r w:rsidR="00C0245A" w:rsidRPr="00813D19">
        <w:rPr>
          <w:bCs/>
          <w:lang w:val="en-US"/>
        </w:rPr>
        <w:t xml:space="preserve">how the inscription would contribute to raising awareness about </w:t>
      </w:r>
      <w:r w:rsidR="00100CEB" w:rsidRPr="00813D19">
        <w:rPr>
          <w:bCs/>
          <w:lang w:val="en-US"/>
        </w:rPr>
        <w:t xml:space="preserve">intangible cultural heritage </w:t>
      </w:r>
      <w:r w:rsidR="00C0245A" w:rsidRPr="00813D19">
        <w:rPr>
          <w:bCs/>
          <w:lang w:val="en-US"/>
        </w:rPr>
        <w:t>in general</w:t>
      </w:r>
      <w:r w:rsidR="00100CEB" w:rsidRPr="00813D19">
        <w:rPr>
          <w:bCs/>
          <w:lang w:val="en-US"/>
        </w:rPr>
        <w:t>,</w:t>
      </w:r>
      <w:r w:rsidR="00C0245A" w:rsidRPr="00813D19">
        <w:rPr>
          <w:bCs/>
          <w:lang w:val="en-US"/>
        </w:rPr>
        <w:t xml:space="preserve"> while referring to </w:t>
      </w:r>
      <w:r w:rsidR="00100CEB" w:rsidRPr="00813D19">
        <w:rPr>
          <w:bCs/>
          <w:lang w:val="en-US"/>
        </w:rPr>
        <w:t xml:space="preserve">intangible cultural heritage </w:t>
      </w:r>
      <w:r w:rsidR="00C0245A" w:rsidRPr="00813D19">
        <w:rPr>
          <w:bCs/>
          <w:lang w:val="en-US"/>
        </w:rPr>
        <w:t xml:space="preserve">as an appreciation of cultural diversity. </w:t>
      </w:r>
      <w:r w:rsidR="006F57A2" w:rsidRPr="00813D19">
        <w:rPr>
          <w:bCs/>
          <w:lang w:val="en-US"/>
        </w:rPr>
        <w:t xml:space="preserve">It </w:t>
      </w:r>
      <w:r w:rsidR="00C0245A" w:rsidRPr="00813D19">
        <w:rPr>
          <w:bCs/>
          <w:lang w:val="en-US"/>
        </w:rPr>
        <w:t xml:space="preserve">also </w:t>
      </w:r>
      <w:r w:rsidR="00100CEB" w:rsidRPr="00813D19">
        <w:rPr>
          <w:bCs/>
          <w:lang w:val="en-US"/>
        </w:rPr>
        <w:t xml:space="preserve">drew </w:t>
      </w:r>
      <w:r w:rsidR="00C0245A" w:rsidRPr="00813D19">
        <w:rPr>
          <w:bCs/>
          <w:lang w:val="en-US"/>
        </w:rPr>
        <w:t>attention to the stateme</w:t>
      </w:r>
      <w:r w:rsidR="006F57A2" w:rsidRPr="00813D19">
        <w:rPr>
          <w:bCs/>
          <w:lang w:val="en-US"/>
        </w:rPr>
        <w:t xml:space="preserve">nt in another section, R.2 (ii), </w:t>
      </w:r>
      <w:r w:rsidR="002A1852">
        <w:rPr>
          <w:bCs/>
          <w:lang w:val="en-US"/>
        </w:rPr>
        <w:t>that</w:t>
      </w:r>
      <w:r w:rsidR="00100CEB" w:rsidRPr="00813D19">
        <w:rPr>
          <w:bCs/>
          <w:lang w:val="en-US"/>
        </w:rPr>
        <w:t xml:space="preserve">, </w:t>
      </w:r>
      <w:r w:rsidR="00C0245A" w:rsidRPr="00813D19">
        <w:rPr>
          <w:bCs/>
          <w:lang w:val="en-US"/>
        </w:rPr>
        <w:t>“inscription will serve to add to the existing body of Caribbean elements to the Representative List and increase the visibility of these various local and diaspora communities who have contributed to its formation while highlighting their creative genius</w:t>
      </w:r>
      <w:r w:rsidR="00100CEB" w:rsidRPr="00813D19">
        <w:rPr>
          <w:bCs/>
          <w:lang w:val="en-US"/>
        </w:rPr>
        <w:t>”.</w:t>
      </w:r>
      <w:r w:rsidR="00C0245A" w:rsidRPr="00813D19">
        <w:rPr>
          <w:bCs/>
          <w:lang w:val="en-US"/>
        </w:rPr>
        <w:t xml:space="preserve"> Here</w:t>
      </w:r>
      <w:r w:rsidR="00100CEB" w:rsidRPr="00813D19">
        <w:rPr>
          <w:bCs/>
          <w:lang w:val="en-US"/>
        </w:rPr>
        <w:t>,</w:t>
      </w:r>
      <w:r w:rsidR="00C0245A" w:rsidRPr="00813D19">
        <w:rPr>
          <w:bCs/>
          <w:lang w:val="en-US"/>
        </w:rPr>
        <w:t xml:space="preserve"> the inscription </w:t>
      </w:r>
      <w:r w:rsidR="00100CEB" w:rsidRPr="00813D19">
        <w:rPr>
          <w:bCs/>
          <w:lang w:val="en-US"/>
        </w:rPr>
        <w:t xml:space="preserve">was </w:t>
      </w:r>
      <w:r w:rsidR="00C0245A" w:rsidRPr="00813D19">
        <w:rPr>
          <w:bCs/>
          <w:lang w:val="en-US"/>
        </w:rPr>
        <w:t xml:space="preserve">said to be a way to increase the visibility of Caribbean </w:t>
      </w:r>
      <w:r w:rsidR="002221AC" w:rsidRPr="00813D19">
        <w:rPr>
          <w:bCs/>
          <w:lang w:val="en-US"/>
        </w:rPr>
        <w:t xml:space="preserve">intangible cultural heritage </w:t>
      </w:r>
      <w:r w:rsidR="00C0245A" w:rsidRPr="00813D19">
        <w:rPr>
          <w:bCs/>
          <w:lang w:val="en-US"/>
        </w:rPr>
        <w:t>in general among local and diaspo</w:t>
      </w:r>
      <w:r w:rsidR="002221AC" w:rsidRPr="00813D19">
        <w:rPr>
          <w:bCs/>
          <w:lang w:val="en-US"/>
        </w:rPr>
        <w:t xml:space="preserve">ra communities, which was </w:t>
      </w:r>
      <w:r w:rsidR="00C0245A" w:rsidRPr="00813D19">
        <w:rPr>
          <w:bCs/>
          <w:lang w:val="en-US"/>
        </w:rPr>
        <w:t>valuable information. Considering this</w:t>
      </w:r>
      <w:r w:rsidR="002221AC" w:rsidRPr="00813D19">
        <w:rPr>
          <w:bCs/>
          <w:lang w:val="en-US"/>
        </w:rPr>
        <w:t>,</w:t>
      </w:r>
      <w:r w:rsidR="00C0245A" w:rsidRPr="00813D19">
        <w:rPr>
          <w:bCs/>
          <w:lang w:val="en-US"/>
        </w:rPr>
        <w:t xml:space="preserve"> </w:t>
      </w:r>
      <w:r w:rsidR="002221AC" w:rsidRPr="00813D19">
        <w:rPr>
          <w:bCs/>
          <w:lang w:val="en-US"/>
        </w:rPr>
        <w:t xml:space="preserve">the </w:t>
      </w:r>
      <w:r w:rsidR="00C0245A" w:rsidRPr="00813D19">
        <w:rPr>
          <w:bCs/>
          <w:lang w:val="en-US"/>
        </w:rPr>
        <w:t>delegation tend</w:t>
      </w:r>
      <w:r w:rsidR="002221AC" w:rsidRPr="00813D19">
        <w:rPr>
          <w:bCs/>
          <w:lang w:val="en-US"/>
        </w:rPr>
        <w:t>ed</w:t>
      </w:r>
      <w:r w:rsidR="00C0245A" w:rsidRPr="00813D19">
        <w:rPr>
          <w:bCs/>
          <w:lang w:val="en-US"/>
        </w:rPr>
        <w:t xml:space="preserve"> to support a positive recommendation</w:t>
      </w:r>
      <w:r w:rsidR="002221AC" w:rsidRPr="00813D19">
        <w:rPr>
          <w:bCs/>
          <w:lang w:val="en-US"/>
        </w:rPr>
        <w:t>,</w:t>
      </w:r>
      <w:r w:rsidR="00C0245A" w:rsidRPr="00813D19">
        <w:rPr>
          <w:bCs/>
          <w:lang w:val="en-US"/>
        </w:rPr>
        <w:t xml:space="preserve"> </w:t>
      </w:r>
      <w:r w:rsidR="002221AC" w:rsidRPr="00813D19">
        <w:rPr>
          <w:bCs/>
          <w:lang w:val="en-US"/>
        </w:rPr>
        <w:t xml:space="preserve">while also taking </w:t>
      </w:r>
      <w:r w:rsidR="00C0245A" w:rsidRPr="00813D19">
        <w:rPr>
          <w:bCs/>
          <w:lang w:val="en-US"/>
        </w:rPr>
        <w:t>into account the fact that many countries encounter</w:t>
      </w:r>
      <w:r w:rsidR="002221AC" w:rsidRPr="00813D19">
        <w:rPr>
          <w:bCs/>
          <w:lang w:val="en-US"/>
        </w:rPr>
        <w:t>ed</w:t>
      </w:r>
      <w:r w:rsidR="00C0245A" w:rsidRPr="00813D19">
        <w:rPr>
          <w:bCs/>
          <w:lang w:val="en-US"/>
        </w:rPr>
        <w:t xml:space="preserve"> difficulties </w:t>
      </w:r>
      <w:r w:rsidR="002221AC" w:rsidRPr="00813D19">
        <w:rPr>
          <w:bCs/>
          <w:lang w:val="en-US"/>
        </w:rPr>
        <w:t>in R.2.</w:t>
      </w:r>
    </w:p>
    <w:p w14:paraId="4F15FA3D" w14:textId="10CAC49F" w:rsidR="004B6D0D" w:rsidRPr="00813D19" w:rsidRDefault="002221AC" w:rsidP="002D3A5B">
      <w:pPr>
        <w:pStyle w:val="Orateurengris"/>
        <w:spacing w:before="120"/>
        <w:ind w:left="709" w:hanging="709"/>
        <w:rPr>
          <w:color w:val="000000" w:themeColor="text1"/>
          <w:lang w:val="en-US"/>
        </w:rPr>
      </w:pPr>
      <w:r w:rsidRPr="00813D19">
        <w:rPr>
          <w:bCs/>
          <w:lang w:val="en-US"/>
        </w:rPr>
        <w:t xml:space="preserve">Regarding </w:t>
      </w:r>
      <w:r w:rsidR="00C0245A" w:rsidRPr="00813D19">
        <w:rPr>
          <w:bCs/>
          <w:lang w:val="en-US"/>
        </w:rPr>
        <w:t>R.5</w:t>
      </w:r>
      <w:r w:rsidRPr="00813D19">
        <w:rPr>
          <w:bCs/>
          <w:lang w:val="en-US"/>
        </w:rPr>
        <w:t>,</w:t>
      </w:r>
      <w:r w:rsidR="00C0245A" w:rsidRPr="00813D19">
        <w:rPr>
          <w:bCs/>
          <w:lang w:val="en-US"/>
        </w:rPr>
        <w:t xml:space="preserve"> the </w:t>
      </w:r>
      <w:r w:rsidR="00C0245A" w:rsidRPr="00813D19">
        <w:rPr>
          <w:b/>
          <w:bCs/>
          <w:lang w:val="en-US"/>
        </w:rPr>
        <w:t xml:space="preserve">delegation </w:t>
      </w:r>
      <w:r w:rsidRPr="00813D19">
        <w:rPr>
          <w:b/>
          <w:bCs/>
          <w:lang w:val="en-US"/>
        </w:rPr>
        <w:t>of Azerbaijan</w:t>
      </w:r>
      <w:r w:rsidRPr="00813D19">
        <w:rPr>
          <w:bCs/>
          <w:lang w:val="en-US"/>
        </w:rPr>
        <w:t xml:space="preserve"> </w:t>
      </w:r>
      <w:r w:rsidR="00C0245A" w:rsidRPr="00813D19">
        <w:rPr>
          <w:bCs/>
          <w:lang w:val="en-US"/>
        </w:rPr>
        <w:t xml:space="preserve">carefully studied the </w:t>
      </w:r>
      <w:r w:rsidRPr="00813D19">
        <w:rPr>
          <w:bCs/>
          <w:lang w:val="en-US"/>
        </w:rPr>
        <w:t>ev</w:t>
      </w:r>
      <w:r w:rsidR="006F57A2" w:rsidRPr="00813D19">
        <w:rPr>
          <w:bCs/>
          <w:lang w:val="en-US"/>
        </w:rPr>
        <w:t>aluation by the Evaluation Body</w:t>
      </w:r>
      <w:r w:rsidRPr="00813D19">
        <w:rPr>
          <w:bCs/>
          <w:lang w:val="en-US"/>
        </w:rPr>
        <w:t xml:space="preserve"> and appreciated</w:t>
      </w:r>
      <w:r w:rsidR="00C0245A" w:rsidRPr="00813D19">
        <w:rPr>
          <w:bCs/>
          <w:lang w:val="en-US"/>
        </w:rPr>
        <w:t xml:space="preserve"> the fact that Jamaica</w:t>
      </w:r>
      <w:r w:rsidR="00B26214" w:rsidRPr="00813D19">
        <w:rPr>
          <w:bCs/>
          <w:lang w:val="en-US"/>
        </w:rPr>
        <w:t xml:space="preserve"> had already </w:t>
      </w:r>
      <w:r w:rsidR="00C0245A" w:rsidRPr="00813D19">
        <w:rPr>
          <w:bCs/>
          <w:lang w:val="en-US"/>
        </w:rPr>
        <w:t>started to document reggae music as early as 1977</w:t>
      </w:r>
      <w:r w:rsidRPr="00813D19">
        <w:rPr>
          <w:bCs/>
          <w:lang w:val="en-US"/>
        </w:rPr>
        <w:t>,</w:t>
      </w:r>
      <w:r w:rsidR="00C0245A" w:rsidRPr="00813D19">
        <w:rPr>
          <w:bCs/>
          <w:lang w:val="en-US"/>
        </w:rPr>
        <w:t xml:space="preserve"> long before the Convention was adopted. While understanding the Evaluation Body</w:t>
      </w:r>
      <w:r w:rsidR="00B26214" w:rsidRPr="00813D19">
        <w:rPr>
          <w:bCs/>
          <w:lang w:val="en-US"/>
        </w:rPr>
        <w:t xml:space="preserve">’s reservations </w:t>
      </w:r>
      <w:r w:rsidR="006F57A2" w:rsidRPr="00813D19">
        <w:rPr>
          <w:bCs/>
          <w:lang w:val="en-US"/>
        </w:rPr>
        <w:t>in</w:t>
      </w:r>
      <w:r w:rsidR="002A1852">
        <w:rPr>
          <w:bCs/>
          <w:lang w:val="en-US"/>
        </w:rPr>
        <w:t xml:space="preserve"> relation to</w:t>
      </w:r>
      <w:r w:rsidR="006F57A2" w:rsidRPr="00813D19">
        <w:rPr>
          <w:bCs/>
          <w:lang w:val="en-US"/>
        </w:rPr>
        <w:t xml:space="preserve"> </w:t>
      </w:r>
      <w:r w:rsidR="00C0245A" w:rsidRPr="00813D19">
        <w:rPr>
          <w:bCs/>
          <w:lang w:val="en-US"/>
        </w:rPr>
        <w:t>this criterion</w:t>
      </w:r>
      <w:r w:rsidR="00B26214" w:rsidRPr="00813D19">
        <w:rPr>
          <w:bCs/>
          <w:lang w:val="en-US"/>
        </w:rPr>
        <w:t xml:space="preserve">, the delegation </w:t>
      </w:r>
      <w:r w:rsidR="002A1852">
        <w:rPr>
          <w:bCs/>
          <w:lang w:val="en-US"/>
        </w:rPr>
        <w:t>nonetheless</w:t>
      </w:r>
      <w:r w:rsidR="00C0245A" w:rsidRPr="00813D19">
        <w:rPr>
          <w:bCs/>
          <w:lang w:val="en-US"/>
        </w:rPr>
        <w:t xml:space="preserve"> remind</w:t>
      </w:r>
      <w:r w:rsidR="00B26214" w:rsidRPr="00813D19">
        <w:rPr>
          <w:bCs/>
          <w:lang w:val="en-US"/>
        </w:rPr>
        <w:t>ed</w:t>
      </w:r>
      <w:r w:rsidR="00C0245A" w:rsidRPr="00813D19">
        <w:rPr>
          <w:bCs/>
          <w:lang w:val="en-US"/>
        </w:rPr>
        <w:t xml:space="preserve"> the Committee that inventorying </w:t>
      </w:r>
      <w:r w:rsidR="00B26214" w:rsidRPr="00813D19">
        <w:rPr>
          <w:bCs/>
          <w:lang w:val="en-US"/>
        </w:rPr>
        <w:t xml:space="preserve">was </w:t>
      </w:r>
      <w:r w:rsidR="00C0245A" w:rsidRPr="00813D19">
        <w:rPr>
          <w:bCs/>
          <w:lang w:val="en-US"/>
        </w:rPr>
        <w:t xml:space="preserve">supposed to be </w:t>
      </w:r>
      <w:r w:rsidR="00B26214" w:rsidRPr="00813D19">
        <w:rPr>
          <w:bCs/>
          <w:lang w:val="en-US"/>
        </w:rPr>
        <w:t xml:space="preserve">established </w:t>
      </w:r>
      <w:r w:rsidR="00C0245A" w:rsidRPr="00813D19">
        <w:rPr>
          <w:bCs/>
          <w:lang w:val="en-US"/>
        </w:rPr>
        <w:t xml:space="preserve">and updated in </w:t>
      </w:r>
      <w:r w:rsidR="002A1852">
        <w:rPr>
          <w:bCs/>
          <w:lang w:val="en-US"/>
        </w:rPr>
        <w:t>a</w:t>
      </w:r>
      <w:r w:rsidR="002A1852" w:rsidRPr="00813D19">
        <w:rPr>
          <w:bCs/>
          <w:lang w:val="en-US"/>
        </w:rPr>
        <w:t xml:space="preserve"> </w:t>
      </w:r>
      <w:r w:rsidR="00C0245A" w:rsidRPr="00813D19">
        <w:rPr>
          <w:bCs/>
          <w:lang w:val="en-US"/>
        </w:rPr>
        <w:t>manner geared to</w:t>
      </w:r>
      <w:r w:rsidR="002A1852">
        <w:rPr>
          <w:bCs/>
          <w:lang w:val="en-US"/>
        </w:rPr>
        <w:t>wards</w:t>
      </w:r>
      <w:r w:rsidR="00C0245A" w:rsidRPr="00813D19">
        <w:rPr>
          <w:bCs/>
          <w:lang w:val="en-US"/>
        </w:rPr>
        <w:t xml:space="preserve"> </w:t>
      </w:r>
      <w:r w:rsidR="002A1852">
        <w:rPr>
          <w:bCs/>
          <w:lang w:val="en-US"/>
        </w:rPr>
        <w:t>the</w:t>
      </w:r>
      <w:r w:rsidR="002A1852" w:rsidRPr="00813D19">
        <w:rPr>
          <w:bCs/>
          <w:lang w:val="en-US"/>
        </w:rPr>
        <w:t xml:space="preserve"> </w:t>
      </w:r>
      <w:r w:rsidR="00B26214" w:rsidRPr="00813D19">
        <w:rPr>
          <w:bCs/>
          <w:lang w:val="en-US"/>
        </w:rPr>
        <w:t xml:space="preserve">State Party’s </w:t>
      </w:r>
      <w:r w:rsidR="00C0245A" w:rsidRPr="00813D19">
        <w:rPr>
          <w:bCs/>
          <w:lang w:val="en-US"/>
        </w:rPr>
        <w:t>own situation</w:t>
      </w:r>
      <w:r w:rsidR="00B26214" w:rsidRPr="00813D19">
        <w:rPr>
          <w:bCs/>
          <w:lang w:val="en-US"/>
        </w:rPr>
        <w:t>,</w:t>
      </w:r>
      <w:r w:rsidR="00C0245A" w:rsidRPr="00813D19">
        <w:rPr>
          <w:bCs/>
          <w:lang w:val="en-US"/>
        </w:rPr>
        <w:t xml:space="preserve"> as stipulated </w:t>
      </w:r>
      <w:r w:rsidR="006F57A2" w:rsidRPr="00813D19">
        <w:rPr>
          <w:bCs/>
          <w:lang w:val="en-US"/>
        </w:rPr>
        <w:t xml:space="preserve">in </w:t>
      </w:r>
      <w:r w:rsidR="00C0245A" w:rsidRPr="00813D19">
        <w:rPr>
          <w:bCs/>
          <w:lang w:val="en-US"/>
        </w:rPr>
        <w:t xml:space="preserve">Article 12.1 of the Convention. </w:t>
      </w:r>
      <w:r w:rsidR="00B26214" w:rsidRPr="00813D19">
        <w:rPr>
          <w:bCs/>
          <w:lang w:val="en-US"/>
        </w:rPr>
        <w:t xml:space="preserve">It was of the </w:t>
      </w:r>
      <w:r w:rsidR="00C0245A" w:rsidRPr="00813D19">
        <w:rPr>
          <w:bCs/>
          <w:lang w:val="en-US"/>
        </w:rPr>
        <w:t>view</w:t>
      </w:r>
      <w:r w:rsidR="00B26214" w:rsidRPr="00813D19">
        <w:rPr>
          <w:bCs/>
          <w:lang w:val="en-US"/>
        </w:rPr>
        <w:t xml:space="preserve"> that</w:t>
      </w:r>
      <w:r w:rsidR="00C0245A" w:rsidRPr="00813D19">
        <w:rPr>
          <w:bCs/>
          <w:lang w:val="en-US"/>
        </w:rPr>
        <w:t xml:space="preserve"> the contextual manner of building inventories </w:t>
      </w:r>
      <w:r w:rsidR="00B26214" w:rsidRPr="00813D19">
        <w:rPr>
          <w:bCs/>
          <w:lang w:val="en-US"/>
        </w:rPr>
        <w:t xml:space="preserve">could </w:t>
      </w:r>
      <w:r w:rsidR="00C0245A" w:rsidRPr="00813D19">
        <w:rPr>
          <w:bCs/>
          <w:lang w:val="en-US"/>
        </w:rPr>
        <w:t xml:space="preserve">also be reflected in the way inventories </w:t>
      </w:r>
      <w:r w:rsidR="00B26214" w:rsidRPr="00813D19">
        <w:rPr>
          <w:bCs/>
          <w:lang w:val="en-US"/>
        </w:rPr>
        <w:t xml:space="preserve">were </w:t>
      </w:r>
      <w:r w:rsidR="00C0245A" w:rsidRPr="00813D19">
        <w:rPr>
          <w:bCs/>
          <w:lang w:val="en-US"/>
        </w:rPr>
        <w:t>named and referred to. In many countries</w:t>
      </w:r>
      <w:r w:rsidR="00B26214" w:rsidRPr="00813D19">
        <w:rPr>
          <w:bCs/>
          <w:lang w:val="en-US"/>
        </w:rPr>
        <w:t>,</w:t>
      </w:r>
      <w:r w:rsidR="00C0245A" w:rsidRPr="00813D19">
        <w:rPr>
          <w:bCs/>
          <w:lang w:val="en-US"/>
        </w:rPr>
        <w:t xml:space="preserve"> </w:t>
      </w:r>
      <w:r w:rsidR="00B26214" w:rsidRPr="00813D19">
        <w:rPr>
          <w:bCs/>
          <w:lang w:val="en-US"/>
        </w:rPr>
        <w:t>‘</w:t>
      </w:r>
      <w:r w:rsidR="00C0245A" w:rsidRPr="00813D19">
        <w:rPr>
          <w:bCs/>
          <w:lang w:val="en-US"/>
        </w:rPr>
        <w:t>inventory</w:t>
      </w:r>
      <w:r w:rsidR="00B26214" w:rsidRPr="00813D19">
        <w:rPr>
          <w:bCs/>
          <w:lang w:val="en-US"/>
        </w:rPr>
        <w:t xml:space="preserve">’ is used, </w:t>
      </w:r>
      <w:r w:rsidR="00C0245A" w:rsidRPr="00813D19">
        <w:rPr>
          <w:bCs/>
          <w:lang w:val="en-US"/>
        </w:rPr>
        <w:t xml:space="preserve">while </w:t>
      </w:r>
      <w:r w:rsidR="00B26214" w:rsidRPr="00813D19">
        <w:rPr>
          <w:bCs/>
          <w:lang w:val="en-US"/>
        </w:rPr>
        <w:t xml:space="preserve">in </w:t>
      </w:r>
      <w:r w:rsidR="00C0245A" w:rsidRPr="00813D19">
        <w:rPr>
          <w:bCs/>
          <w:lang w:val="en-US"/>
        </w:rPr>
        <w:t xml:space="preserve">others </w:t>
      </w:r>
      <w:r w:rsidR="00B26214" w:rsidRPr="00813D19">
        <w:rPr>
          <w:bCs/>
          <w:lang w:val="en-US"/>
        </w:rPr>
        <w:t>‘</w:t>
      </w:r>
      <w:r w:rsidR="00C0245A" w:rsidRPr="00813D19">
        <w:rPr>
          <w:bCs/>
          <w:lang w:val="en-US"/>
        </w:rPr>
        <w:t>database</w:t>
      </w:r>
      <w:r w:rsidR="00B26214" w:rsidRPr="00813D19">
        <w:rPr>
          <w:bCs/>
          <w:lang w:val="en-US"/>
        </w:rPr>
        <w:t>’</w:t>
      </w:r>
      <w:r w:rsidR="00C0245A" w:rsidRPr="00813D19">
        <w:rPr>
          <w:bCs/>
          <w:lang w:val="en-US"/>
        </w:rPr>
        <w:t xml:space="preserve"> or </w:t>
      </w:r>
      <w:r w:rsidR="00B26214" w:rsidRPr="00813D19">
        <w:rPr>
          <w:bCs/>
          <w:lang w:val="en-US"/>
        </w:rPr>
        <w:t>‘</w:t>
      </w:r>
      <w:r w:rsidR="00C0245A" w:rsidRPr="00813D19">
        <w:rPr>
          <w:bCs/>
          <w:lang w:val="en-US"/>
        </w:rPr>
        <w:t>catalog</w:t>
      </w:r>
      <w:r w:rsidR="00100CEB" w:rsidRPr="00813D19">
        <w:rPr>
          <w:bCs/>
          <w:lang w:val="en-US"/>
        </w:rPr>
        <w:t>ue</w:t>
      </w:r>
      <w:r w:rsidR="00B26214" w:rsidRPr="00813D19">
        <w:rPr>
          <w:bCs/>
          <w:lang w:val="en-US"/>
        </w:rPr>
        <w:t xml:space="preserve">’ is preferred, </w:t>
      </w:r>
      <w:r w:rsidR="00C0245A" w:rsidRPr="00813D19">
        <w:rPr>
          <w:bCs/>
          <w:lang w:val="en-US"/>
        </w:rPr>
        <w:t xml:space="preserve"> which is fine as long as </w:t>
      </w:r>
      <w:r w:rsidR="00B26214" w:rsidRPr="00813D19">
        <w:rPr>
          <w:bCs/>
          <w:lang w:val="en-US"/>
        </w:rPr>
        <w:t xml:space="preserve">it abided by </w:t>
      </w:r>
      <w:r w:rsidR="00C0245A" w:rsidRPr="00813D19">
        <w:rPr>
          <w:bCs/>
          <w:lang w:val="en-US"/>
        </w:rPr>
        <w:t>the principles of the Convention</w:t>
      </w:r>
      <w:r w:rsidR="00B26214" w:rsidRPr="00813D19">
        <w:rPr>
          <w:bCs/>
          <w:lang w:val="en-US"/>
        </w:rPr>
        <w:t>. This also concerned</w:t>
      </w:r>
      <w:r w:rsidR="00C0245A" w:rsidRPr="00813D19">
        <w:rPr>
          <w:bCs/>
          <w:lang w:val="en-US"/>
        </w:rPr>
        <w:t xml:space="preserve"> referencing</w:t>
      </w:r>
      <w:r w:rsidR="00B26214" w:rsidRPr="00813D19">
        <w:rPr>
          <w:bCs/>
          <w:lang w:val="en-US"/>
        </w:rPr>
        <w:t>, which also seemed</w:t>
      </w:r>
      <w:r w:rsidR="00C0245A" w:rsidRPr="00813D19">
        <w:rPr>
          <w:bCs/>
          <w:lang w:val="en-US"/>
        </w:rPr>
        <w:t xml:space="preserve"> to be done in </w:t>
      </w:r>
      <w:r w:rsidR="00B26214" w:rsidRPr="00813D19">
        <w:rPr>
          <w:bCs/>
          <w:lang w:val="en-US"/>
        </w:rPr>
        <w:t xml:space="preserve">Jamaica in </w:t>
      </w:r>
      <w:r w:rsidR="00C0245A" w:rsidRPr="00813D19">
        <w:rPr>
          <w:bCs/>
          <w:lang w:val="en-US"/>
        </w:rPr>
        <w:t xml:space="preserve">a manner </w:t>
      </w:r>
      <w:r w:rsidR="00B26214" w:rsidRPr="00813D19">
        <w:rPr>
          <w:bCs/>
          <w:lang w:val="en-US"/>
        </w:rPr>
        <w:t xml:space="preserve">adopted </w:t>
      </w:r>
      <w:r w:rsidR="00C0245A" w:rsidRPr="00813D19">
        <w:rPr>
          <w:bCs/>
          <w:lang w:val="en-US"/>
        </w:rPr>
        <w:t xml:space="preserve">long ago. Finally, </w:t>
      </w:r>
      <w:r w:rsidR="00B26214" w:rsidRPr="00813D19">
        <w:rPr>
          <w:bCs/>
          <w:lang w:val="en-US"/>
        </w:rPr>
        <w:t xml:space="preserve">the delegation found that in section R.5, </w:t>
      </w:r>
      <w:r w:rsidR="00C0245A" w:rsidRPr="00813D19">
        <w:rPr>
          <w:bCs/>
          <w:lang w:val="en-US"/>
        </w:rPr>
        <w:t xml:space="preserve">the State </w:t>
      </w:r>
      <w:r w:rsidR="00B26214" w:rsidRPr="00813D19">
        <w:rPr>
          <w:bCs/>
          <w:lang w:val="en-US"/>
        </w:rPr>
        <w:t xml:space="preserve">spoke </w:t>
      </w:r>
      <w:r w:rsidR="00C0245A" w:rsidRPr="00813D19">
        <w:rPr>
          <w:bCs/>
          <w:lang w:val="en-US"/>
        </w:rPr>
        <w:t xml:space="preserve">about updating through cataloging, classifying and updating materials related to the element. </w:t>
      </w:r>
      <w:r w:rsidR="00B26214" w:rsidRPr="00813D19">
        <w:rPr>
          <w:bCs/>
          <w:lang w:val="en-US"/>
        </w:rPr>
        <w:t>C</w:t>
      </w:r>
      <w:r w:rsidR="00C0245A" w:rsidRPr="00813D19">
        <w:rPr>
          <w:bCs/>
          <w:lang w:val="en-US"/>
        </w:rPr>
        <w:t xml:space="preserve">oncerning the participation of communities </w:t>
      </w:r>
      <w:r w:rsidR="00B26214" w:rsidRPr="00813D19">
        <w:rPr>
          <w:bCs/>
          <w:lang w:val="en-US"/>
        </w:rPr>
        <w:t xml:space="preserve">in the inventory, </w:t>
      </w:r>
      <w:r w:rsidR="002A1852">
        <w:rPr>
          <w:bCs/>
          <w:lang w:val="en-US"/>
        </w:rPr>
        <w:t>S</w:t>
      </w:r>
      <w:r w:rsidR="002A1852" w:rsidRPr="00813D19">
        <w:rPr>
          <w:bCs/>
          <w:lang w:val="en-US"/>
        </w:rPr>
        <w:t xml:space="preserve">ection </w:t>
      </w:r>
      <w:r w:rsidR="00B26214" w:rsidRPr="00813D19">
        <w:rPr>
          <w:bCs/>
          <w:lang w:val="en-US"/>
        </w:rPr>
        <w:t>5 (vi) mentioned</w:t>
      </w:r>
      <w:r w:rsidR="00C0245A" w:rsidRPr="00813D19">
        <w:rPr>
          <w:bCs/>
          <w:lang w:val="en-US"/>
        </w:rPr>
        <w:t xml:space="preserve"> a</w:t>
      </w:r>
      <w:r w:rsidR="00C0245A" w:rsidRPr="00813D19">
        <w:rPr>
          <w:lang w:val="en-US"/>
        </w:rPr>
        <w:t xml:space="preserve"> national technical committee under the auspices of the Ministry of Culture, Gender, Entertainment &amp; Sport</w:t>
      </w:r>
      <w:r w:rsidR="00B26214" w:rsidRPr="00813D19">
        <w:rPr>
          <w:lang w:val="en-US"/>
        </w:rPr>
        <w:t>, which included</w:t>
      </w:r>
      <w:r w:rsidR="00C0245A" w:rsidRPr="00813D19">
        <w:rPr>
          <w:lang w:val="en-US"/>
        </w:rPr>
        <w:t xml:space="preserve"> </w:t>
      </w:r>
      <w:r w:rsidR="00B26214" w:rsidRPr="00813D19">
        <w:rPr>
          <w:lang w:val="en-US"/>
        </w:rPr>
        <w:t xml:space="preserve">the </w:t>
      </w:r>
      <w:r w:rsidR="00C0245A" w:rsidRPr="00813D19">
        <w:rPr>
          <w:lang w:val="en-US"/>
        </w:rPr>
        <w:t xml:space="preserve">communities, groups and </w:t>
      </w:r>
      <w:r w:rsidR="00B26214" w:rsidRPr="00813D19">
        <w:rPr>
          <w:lang w:val="en-US"/>
        </w:rPr>
        <w:t xml:space="preserve">NGOs who were </w:t>
      </w:r>
      <w:r w:rsidR="00C0245A" w:rsidRPr="00813D19">
        <w:rPr>
          <w:lang w:val="en-US"/>
        </w:rPr>
        <w:t>directly involved in the recording, practice, documentation</w:t>
      </w:r>
      <w:r w:rsidR="00B26214" w:rsidRPr="00813D19">
        <w:rPr>
          <w:lang w:val="en-US"/>
        </w:rPr>
        <w:t>, research and archiving of reggae m</w:t>
      </w:r>
      <w:r w:rsidR="00C0245A" w:rsidRPr="00813D19">
        <w:rPr>
          <w:lang w:val="en-US"/>
        </w:rPr>
        <w:t xml:space="preserve">usic. </w:t>
      </w:r>
      <w:r w:rsidR="000D2843" w:rsidRPr="00813D19">
        <w:rPr>
          <w:lang w:val="en-US"/>
        </w:rPr>
        <w:t xml:space="preserve">The </w:t>
      </w:r>
      <w:r w:rsidR="00C0245A" w:rsidRPr="00813D19">
        <w:rPr>
          <w:lang w:val="en-US"/>
        </w:rPr>
        <w:t xml:space="preserve">delegation </w:t>
      </w:r>
      <w:r w:rsidR="000D2843" w:rsidRPr="00813D19">
        <w:rPr>
          <w:lang w:val="en-US"/>
        </w:rPr>
        <w:t xml:space="preserve">thus concluded that there was </w:t>
      </w:r>
      <w:r w:rsidR="00C0245A" w:rsidRPr="00813D19">
        <w:rPr>
          <w:lang w:val="en-US"/>
        </w:rPr>
        <w:t xml:space="preserve">sufficient information </w:t>
      </w:r>
      <w:r w:rsidR="000D2843" w:rsidRPr="00813D19">
        <w:rPr>
          <w:lang w:val="en-US"/>
        </w:rPr>
        <w:t xml:space="preserve">to change the </w:t>
      </w:r>
      <w:r w:rsidR="00C0245A" w:rsidRPr="00813D19">
        <w:rPr>
          <w:lang w:val="en-US"/>
        </w:rPr>
        <w:t>referral to a p</w:t>
      </w:r>
      <w:r w:rsidR="00E72560">
        <w:rPr>
          <w:lang w:val="en-US"/>
        </w:rPr>
        <w:t>ositive recommendation for R.5.</w:t>
      </w:r>
    </w:p>
    <w:p w14:paraId="3020C926" w14:textId="21A4FF34" w:rsidR="00B54F1F" w:rsidRPr="00813D19" w:rsidRDefault="00B54F1F"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Poland</w:t>
      </w:r>
      <w:r w:rsidR="00C0245A" w:rsidRPr="00813D19">
        <w:rPr>
          <w:b/>
          <w:color w:val="000000" w:themeColor="text1"/>
          <w:lang w:val="en-US"/>
        </w:rPr>
        <w:t xml:space="preserve"> </w:t>
      </w:r>
      <w:r w:rsidR="000D2843" w:rsidRPr="00813D19">
        <w:rPr>
          <w:bCs/>
          <w:lang w:val="en-US"/>
        </w:rPr>
        <w:t xml:space="preserve">wished to share its </w:t>
      </w:r>
      <w:r w:rsidR="00C0245A" w:rsidRPr="00813D19">
        <w:rPr>
          <w:bCs/>
          <w:lang w:val="en-US"/>
        </w:rPr>
        <w:t>observation</w:t>
      </w:r>
      <w:r w:rsidR="000D2843" w:rsidRPr="00813D19">
        <w:rPr>
          <w:bCs/>
          <w:lang w:val="en-US"/>
        </w:rPr>
        <w:t>s</w:t>
      </w:r>
      <w:r w:rsidR="00C0245A" w:rsidRPr="00813D19">
        <w:rPr>
          <w:bCs/>
          <w:lang w:val="en-US"/>
        </w:rPr>
        <w:t xml:space="preserve"> </w:t>
      </w:r>
      <w:r w:rsidR="000D2843" w:rsidRPr="00813D19">
        <w:rPr>
          <w:bCs/>
          <w:lang w:val="en-US"/>
        </w:rPr>
        <w:t xml:space="preserve">on the nomination, adding that in </w:t>
      </w:r>
      <w:r w:rsidR="00C0245A" w:rsidRPr="00813D19">
        <w:rPr>
          <w:bCs/>
          <w:lang w:val="en-US"/>
        </w:rPr>
        <w:t xml:space="preserve">R.2, as </w:t>
      </w:r>
      <w:r w:rsidR="000D2843" w:rsidRPr="00813D19">
        <w:rPr>
          <w:bCs/>
          <w:lang w:val="en-US"/>
        </w:rPr>
        <w:t xml:space="preserve">had </w:t>
      </w:r>
      <w:r w:rsidR="00395235" w:rsidRPr="00813D19">
        <w:rPr>
          <w:bCs/>
          <w:lang w:val="en-US"/>
        </w:rPr>
        <w:t xml:space="preserve">already </w:t>
      </w:r>
      <w:r w:rsidR="00C0245A" w:rsidRPr="00813D19">
        <w:rPr>
          <w:bCs/>
          <w:lang w:val="en-US"/>
        </w:rPr>
        <w:t xml:space="preserve">been </w:t>
      </w:r>
      <w:r w:rsidR="000D2843" w:rsidRPr="00813D19">
        <w:rPr>
          <w:bCs/>
          <w:lang w:val="en-US"/>
        </w:rPr>
        <w:t>stated</w:t>
      </w:r>
      <w:r w:rsidR="00C0245A" w:rsidRPr="00813D19">
        <w:rPr>
          <w:bCs/>
          <w:lang w:val="en-US"/>
        </w:rPr>
        <w:t xml:space="preserve">, </w:t>
      </w:r>
      <w:r w:rsidR="000D2843" w:rsidRPr="00813D19">
        <w:rPr>
          <w:bCs/>
          <w:lang w:val="en-US"/>
        </w:rPr>
        <w:t xml:space="preserve">the </w:t>
      </w:r>
      <w:r w:rsidR="00C0245A" w:rsidRPr="00813D19">
        <w:rPr>
          <w:bCs/>
          <w:lang w:val="en-US"/>
        </w:rPr>
        <w:t xml:space="preserve">inscription of reggae </w:t>
      </w:r>
      <w:r w:rsidR="000D2843" w:rsidRPr="00813D19">
        <w:rPr>
          <w:bCs/>
          <w:lang w:val="en-US"/>
        </w:rPr>
        <w:t xml:space="preserve">would </w:t>
      </w:r>
      <w:r w:rsidR="00C0245A" w:rsidRPr="00813D19">
        <w:rPr>
          <w:bCs/>
          <w:lang w:val="en-US"/>
        </w:rPr>
        <w:t xml:space="preserve">obviously contribute to enhancing </w:t>
      </w:r>
      <w:r w:rsidR="000D2843" w:rsidRPr="00813D19">
        <w:rPr>
          <w:bCs/>
          <w:lang w:val="en-US"/>
        </w:rPr>
        <w:t xml:space="preserve">the </w:t>
      </w:r>
      <w:r w:rsidR="00C0245A" w:rsidRPr="00813D19">
        <w:rPr>
          <w:bCs/>
          <w:lang w:val="en-US"/>
        </w:rPr>
        <w:t xml:space="preserve">visibility of </w:t>
      </w:r>
      <w:r w:rsidR="000D2843" w:rsidRPr="00813D19">
        <w:rPr>
          <w:bCs/>
          <w:lang w:val="en-US"/>
        </w:rPr>
        <w:t xml:space="preserve">intangible cultural heritage </w:t>
      </w:r>
      <w:r w:rsidR="00C0245A" w:rsidRPr="00813D19">
        <w:rPr>
          <w:bCs/>
          <w:lang w:val="en-US"/>
        </w:rPr>
        <w:t>in general</w:t>
      </w:r>
      <w:r w:rsidR="000D2843" w:rsidRPr="00813D19">
        <w:rPr>
          <w:bCs/>
          <w:lang w:val="en-US"/>
        </w:rPr>
        <w:t>,</w:t>
      </w:r>
      <w:r w:rsidR="00C0245A" w:rsidRPr="00813D19">
        <w:rPr>
          <w:bCs/>
          <w:lang w:val="en-US"/>
        </w:rPr>
        <w:t xml:space="preserve"> as this music </w:t>
      </w:r>
      <w:r w:rsidR="000D2843" w:rsidRPr="00813D19">
        <w:rPr>
          <w:bCs/>
          <w:lang w:val="en-US"/>
        </w:rPr>
        <w:t xml:space="preserve">was </w:t>
      </w:r>
      <w:r w:rsidR="00C0245A" w:rsidRPr="00813D19">
        <w:rPr>
          <w:bCs/>
          <w:lang w:val="en-US"/>
        </w:rPr>
        <w:t xml:space="preserve">already a global phenomenon. The main message of reggae music in the </w:t>
      </w:r>
      <w:r w:rsidR="000D2843" w:rsidRPr="00813D19">
        <w:rPr>
          <w:bCs/>
          <w:lang w:val="en-US"/>
        </w:rPr>
        <w:t xml:space="preserve">lyrics </w:t>
      </w:r>
      <w:r w:rsidR="00C0245A" w:rsidRPr="00813D19">
        <w:rPr>
          <w:bCs/>
          <w:lang w:val="en-US"/>
        </w:rPr>
        <w:t xml:space="preserve">of reggae is </w:t>
      </w:r>
      <w:r w:rsidR="000D2843" w:rsidRPr="00813D19">
        <w:rPr>
          <w:bCs/>
          <w:lang w:val="en-US"/>
        </w:rPr>
        <w:t xml:space="preserve">the </w:t>
      </w:r>
      <w:r w:rsidR="00C0245A" w:rsidRPr="00813D19">
        <w:rPr>
          <w:bCs/>
          <w:lang w:val="en-US"/>
        </w:rPr>
        <w:t xml:space="preserve">inclusion of all social actors, freedom and cooperation. This message </w:t>
      </w:r>
      <w:r w:rsidR="000D2843" w:rsidRPr="00813D19">
        <w:rPr>
          <w:bCs/>
          <w:lang w:val="en-US"/>
        </w:rPr>
        <w:t xml:space="preserve">was </w:t>
      </w:r>
      <w:r w:rsidR="00C0245A" w:rsidRPr="00813D19">
        <w:rPr>
          <w:bCs/>
          <w:lang w:val="en-US"/>
        </w:rPr>
        <w:t xml:space="preserve">also a source of inspiration for the Polish solidarity movement. </w:t>
      </w:r>
      <w:r w:rsidR="000D2843" w:rsidRPr="00813D19">
        <w:rPr>
          <w:bCs/>
          <w:lang w:val="en-US"/>
        </w:rPr>
        <w:t xml:space="preserve">The delegation </w:t>
      </w:r>
      <w:r w:rsidR="00C0245A" w:rsidRPr="00813D19">
        <w:rPr>
          <w:bCs/>
          <w:lang w:val="en-US"/>
        </w:rPr>
        <w:t>strongly believe</w:t>
      </w:r>
      <w:r w:rsidR="000D2843" w:rsidRPr="00813D19">
        <w:rPr>
          <w:bCs/>
          <w:lang w:val="en-US"/>
        </w:rPr>
        <w:t>d</w:t>
      </w:r>
      <w:r w:rsidR="00C0245A" w:rsidRPr="00813D19">
        <w:rPr>
          <w:bCs/>
          <w:lang w:val="en-US"/>
        </w:rPr>
        <w:t xml:space="preserve"> that this nomination </w:t>
      </w:r>
      <w:r w:rsidR="004B76D9">
        <w:rPr>
          <w:bCs/>
          <w:lang w:val="en-US"/>
        </w:rPr>
        <w:t>would</w:t>
      </w:r>
      <w:r w:rsidR="004B76D9" w:rsidRPr="00813D19">
        <w:rPr>
          <w:bCs/>
          <w:lang w:val="en-US"/>
        </w:rPr>
        <w:t xml:space="preserve"> </w:t>
      </w:r>
      <w:r w:rsidR="00C0245A" w:rsidRPr="00813D19">
        <w:rPr>
          <w:bCs/>
          <w:lang w:val="en-US"/>
        </w:rPr>
        <w:t xml:space="preserve">contribute to raising awareness about </w:t>
      </w:r>
      <w:r w:rsidR="000D2843" w:rsidRPr="00813D19">
        <w:rPr>
          <w:bCs/>
          <w:lang w:val="en-US"/>
        </w:rPr>
        <w:t xml:space="preserve">intangible cultural heritage </w:t>
      </w:r>
      <w:r w:rsidR="00395235" w:rsidRPr="00813D19">
        <w:rPr>
          <w:bCs/>
          <w:lang w:val="en-US"/>
        </w:rPr>
        <w:t xml:space="preserve">throughout </w:t>
      </w:r>
      <w:r w:rsidR="000D2843" w:rsidRPr="00813D19">
        <w:rPr>
          <w:bCs/>
          <w:lang w:val="en-US"/>
        </w:rPr>
        <w:t xml:space="preserve">the world, and that </w:t>
      </w:r>
      <w:r w:rsidR="00C0245A" w:rsidRPr="00813D19">
        <w:rPr>
          <w:bCs/>
          <w:lang w:val="en-US"/>
        </w:rPr>
        <w:t xml:space="preserve">reggae bearers in Jamaica </w:t>
      </w:r>
      <w:r w:rsidR="000D2843" w:rsidRPr="00813D19">
        <w:rPr>
          <w:bCs/>
          <w:lang w:val="en-US"/>
        </w:rPr>
        <w:t xml:space="preserve">were </w:t>
      </w:r>
      <w:r w:rsidR="00C0245A" w:rsidRPr="00813D19">
        <w:rPr>
          <w:bCs/>
          <w:lang w:val="en-US"/>
        </w:rPr>
        <w:t>fully entitled to express their happiness and pride that this music was born in Jamaica</w:t>
      </w:r>
      <w:r w:rsidR="000D2843" w:rsidRPr="00813D19">
        <w:rPr>
          <w:bCs/>
          <w:lang w:val="en-US"/>
        </w:rPr>
        <w:t xml:space="preserve"> whose </w:t>
      </w:r>
      <w:r w:rsidR="00C0245A" w:rsidRPr="00813D19">
        <w:rPr>
          <w:bCs/>
          <w:lang w:val="en-US"/>
        </w:rPr>
        <w:t xml:space="preserve">joy </w:t>
      </w:r>
      <w:r w:rsidR="000D2843" w:rsidRPr="00813D19">
        <w:rPr>
          <w:bCs/>
          <w:lang w:val="en-US"/>
        </w:rPr>
        <w:t xml:space="preserve">had an </w:t>
      </w:r>
      <w:r w:rsidR="00C0245A" w:rsidRPr="00813D19">
        <w:rPr>
          <w:bCs/>
          <w:lang w:val="en-US"/>
        </w:rPr>
        <w:t>inclusive</w:t>
      </w:r>
      <w:r w:rsidR="000D2843" w:rsidRPr="00813D19">
        <w:rPr>
          <w:bCs/>
          <w:lang w:val="en-US"/>
        </w:rPr>
        <w:t>,</w:t>
      </w:r>
      <w:r w:rsidR="00C0245A" w:rsidRPr="00813D19">
        <w:rPr>
          <w:bCs/>
          <w:lang w:val="en-US"/>
        </w:rPr>
        <w:t xml:space="preserve"> not exclusive</w:t>
      </w:r>
      <w:r w:rsidR="000D2843" w:rsidRPr="00813D19">
        <w:rPr>
          <w:bCs/>
          <w:lang w:val="en-US"/>
        </w:rPr>
        <w:t>,</w:t>
      </w:r>
      <w:r w:rsidR="00C0245A" w:rsidRPr="00813D19">
        <w:rPr>
          <w:bCs/>
          <w:lang w:val="en-US"/>
        </w:rPr>
        <w:t xml:space="preserve"> character. </w:t>
      </w:r>
      <w:r w:rsidR="000D2843" w:rsidRPr="00813D19">
        <w:rPr>
          <w:bCs/>
          <w:lang w:val="en-US"/>
        </w:rPr>
        <w:t>The delegation understood</w:t>
      </w:r>
      <w:r w:rsidR="00C0245A" w:rsidRPr="00813D19">
        <w:rPr>
          <w:bCs/>
          <w:lang w:val="en-US"/>
        </w:rPr>
        <w:t xml:space="preserve"> that the language and terminology used </w:t>
      </w:r>
      <w:r w:rsidR="000D2843" w:rsidRPr="00813D19">
        <w:rPr>
          <w:bCs/>
          <w:lang w:val="en-US"/>
        </w:rPr>
        <w:t xml:space="preserve">by </w:t>
      </w:r>
      <w:r w:rsidR="00C0245A" w:rsidRPr="00813D19">
        <w:rPr>
          <w:bCs/>
          <w:lang w:val="en-US"/>
        </w:rPr>
        <w:t xml:space="preserve">UNESCO might not </w:t>
      </w:r>
      <w:r w:rsidR="000D2843" w:rsidRPr="00813D19">
        <w:rPr>
          <w:bCs/>
          <w:lang w:val="en-US"/>
        </w:rPr>
        <w:t xml:space="preserve">be </w:t>
      </w:r>
      <w:r w:rsidR="00C0245A" w:rsidRPr="00813D19">
        <w:rPr>
          <w:bCs/>
          <w:lang w:val="en-US"/>
        </w:rPr>
        <w:t xml:space="preserve">known by </w:t>
      </w:r>
      <w:r w:rsidR="00395235" w:rsidRPr="00813D19">
        <w:rPr>
          <w:bCs/>
          <w:lang w:val="en-US"/>
        </w:rPr>
        <w:t xml:space="preserve">the </w:t>
      </w:r>
      <w:r w:rsidR="00C0245A" w:rsidRPr="00813D19">
        <w:rPr>
          <w:bCs/>
          <w:lang w:val="en-US"/>
        </w:rPr>
        <w:t>local communities</w:t>
      </w:r>
      <w:r w:rsidR="000D2843" w:rsidRPr="00813D19">
        <w:rPr>
          <w:bCs/>
          <w:lang w:val="en-US"/>
        </w:rPr>
        <w:t>,</w:t>
      </w:r>
      <w:r w:rsidR="00C0245A" w:rsidRPr="00813D19">
        <w:rPr>
          <w:bCs/>
          <w:lang w:val="en-US"/>
        </w:rPr>
        <w:t xml:space="preserve"> and </w:t>
      </w:r>
      <w:r w:rsidR="000D2843" w:rsidRPr="00813D19">
        <w:rPr>
          <w:bCs/>
          <w:lang w:val="en-US"/>
        </w:rPr>
        <w:t xml:space="preserve">it did not </w:t>
      </w:r>
      <w:r w:rsidR="00C0245A" w:rsidRPr="00813D19">
        <w:rPr>
          <w:bCs/>
          <w:lang w:val="en-US"/>
        </w:rPr>
        <w:t xml:space="preserve">expect any bearers to be experts in </w:t>
      </w:r>
      <w:r w:rsidR="000D2843" w:rsidRPr="00813D19">
        <w:rPr>
          <w:bCs/>
          <w:lang w:val="en-US"/>
        </w:rPr>
        <w:t xml:space="preserve">intangible cultural heritage </w:t>
      </w:r>
      <w:r w:rsidR="00C0245A" w:rsidRPr="00813D19">
        <w:rPr>
          <w:bCs/>
          <w:lang w:val="en-US"/>
        </w:rPr>
        <w:t xml:space="preserve">terminology. </w:t>
      </w:r>
      <w:r w:rsidR="000D2843" w:rsidRPr="00813D19">
        <w:rPr>
          <w:bCs/>
          <w:lang w:val="en-US"/>
        </w:rPr>
        <w:t xml:space="preserve">Regarding </w:t>
      </w:r>
      <w:r w:rsidR="00C0245A" w:rsidRPr="00813D19">
        <w:rPr>
          <w:bCs/>
          <w:lang w:val="en-US"/>
        </w:rPr>
        <w:t xml:space="preserve">R.5, the character of the inventory </w:t>
      </w:r>
      <w:r w:rsidR="000D2843" w:rsidRPr="00813D19">
        <w:rPr>
          <w:bCs/>
          <w:lang w:val="en-US"/>
        </w:rPr>
        <w:t xml:space="preserve">was </w:t>
      </w:r>
      <w:r w:rsidR="00C0245A" w:rsidRPr="00813D19">
        <w:rPr>
          <w:bCs/>
          <w:lang w:val="en-US"/>
        </w:rPr>
        <w:t xml:space="preserve">clearly explained in the periodic reports submitted by Jamaica </w:t>
      </w:r>
      <w:r w:rsidR="000D2843" w:rsidRPr="00813D19">
        <w:rPr>
          <w:bCs/>
          <w:lang w:val="en-US"/>
        </w:rPr>
        <w:t xml:space="preserve">and </w:t>
      </w:r>
      <w:r w:rsidR="00C0245A" w:rsidRPr="00813D19">
        <w:rPr>
          <w:bCs/>
          <w:lang w:val="en-US"/>
        </w:rPr>
        <w:t xml:space="preserve">adopted on Monday. </w:t>
      </w:r>
      <w:r w:rsidR="00395235" w:rsidRPr="00813D19">
        <w:rPr>
          <w:bCs/>
          <w:lang w:val="en-US"/>
        </w:rPr>
        <w:t xml:space="preserve">However, </w:t>
      </w:r>
      <w:r w:rsidR="00C0245A" w:rsidRPr="00813D19">
        <w:rPr>
          <w:bCs/>
          <w:lang w:val="en-US"/>
        </w:rPr>
        <w:t xml:space="preserve">perhaps </w:t>
      </w:r>
      <w:r w:rsidR="000D2843" w:rsidRPr="00813D19">
        <w:rPr>
          <w:bCs/>
          <w:lang w:val="en-US"/>
        </w:rPr>
        <w:t xml:space="preserve">the </w:t>
      </w:r>
      <w:r w:rsidR="00C0245A" w:rsidRPr="00813D19">
        <w:rPr>
          <w:bCs/>
          <w:lang w:val="en-US"/>
        </w:rPr>
        <w:t xml:space="preserve">role and methodology </w:t>
      </w:r>
      <w:r w:rsidR="000D2843" w:rsidRPr="00813D19">
        <w:rPr>
          <w:bCs/>
          <w:lang w:val="en-US"/>
        </w:rPr>
        <w:t xml:space="preserve">of the inventory </w:t>
      </w:r>
      <w:r w:rsidR="00C0245A" w:rsidRPr="00813D19">
        <w:rPr>
          <w:bCs/>
          <w:lang w:val="en-US"/>
        </w:rPr>
        <w:t>could have been better explained</w:t>
      </w:r>
      <w:r w:rsidR="000D2843" w:rsidRPr="00813D19">
        <w:rPr>
          <w:bCs/>
          <w:lang w:val="en-US"/>
        </w:rPr>
        <w:t xml:space="preserve"> in the nomination form</w:t>
      </w:r>
      <w:r w:rsidR="00395235" w:rsidRPr="00813D19">
        <w:rPr>
          <w:bCs/>
          <w:lang w:val="en-US"/>
        </w:rPr>
        <w:t xml:space="preserve">. Nevertheless, </w:t>
      </w:r>
      <w:r w:rsidR="000D2843" w:rsidRPr="00813D19">
        <w:rPr>
          <w:bCs/>
          <w:lang w:val="en-US"/>
        </w:rPr>
        <w:t xml:space="preserve">the </w:t>
      </w:r>
      <w:r w:rsidR="00C0245A" w:rsidRPr="00813D19">
        <w:rPr>
          <w:bCs/>
          <w:lang w:val="en-US"/>
        </w:rPr>
        <w:t xml:space="preserve">thorough information presented by Jamaica in </w:t>
      </w:r>
      <w:r w:rsidR="000D2843" w:rsidRPr="00813D19">
        <w:rPr>
          <w:bCs/>
          <w:lang w:val="en-US"/>
        </w:rPr>
        <w:t xml:space="preserve">its </w:t>
      </w:r>
      <w:r w:rsidR="00C0245A" w:rsidRPr="00813D19">
        <w:rPr>
          <w:bCs/>
          <w:lang w:val="en-US"/>
        </w:rPr>
        <w:t xml:space="preserve">report </w:t>
      </w:r>
      <w:r w:rsidR="000D2843" w:rsidRPr="00813D19">
        <w:rPr>
          <w:bCs/>
          <w:lang w:val="en-US"/>
        </w:rPr>
        <w:t xml:space="preserve">should be taken </w:t>
      </w:r>
      <w:r w:rsidR="00C0245A" w:rsidRPr="00813D19">
        <w:rPr>
          <w:bCs/>
          <w:lang w:val="en-US"/>
        </w:rPr>
        <w:t>into account. Moreover, in paragraph 14 of the general report</w:t>
      </w:r>
      <w:r w:rsidR="000D2843" w:rsidRPr="00813D19">
        <w:rPr>
          <w:bCs/>
          <w:lang w:val="en-US"/>
        </w:rPr>
        <w:t>,</w:t>
      </w:r>
      <w:r w:rsidR="00C0245A" w:rsidRPr="00813D19">
        <w:rPr>
          <w:bCs/>
          <w:lang w:val="en-US"/>
        </w:rPr>
        <w:t xml:space="preserve"> summarizing the submitted periodic reports</w:t>
      </w:r>
      <w:r w:rsidR="000D2843" w:rsidRPr="00813D19">
        <w:rPr>
          <w:bCs/>
          <w:lang w:val="en-US"/>
        </w:rPr>
        <w:t>,</w:t>
      </w:r>
      <w:r w:rsidR="00C0245A" w:rsidRPr="00813D19">
        <w:rPr>
          <w:bCs/>
          <w:lang w:val="en-US"/>
        </w:rPr>
        <w:t xml:space="preserve"> </w:t>
      </w:r>
      <w:r w:rsidR="000D2843" w:rsidRPr="00813D19">
        <w:rPr>
          <w:bCs/>
          <w:lang w:val="en-US"/>
        </w:rPr>
        <w:t xml:space="preserve">the </w:t>
      </w:r>
      <w:r w:rsidR="00C0245A" w:rsidRPr="00813D19">
        <w:rPr>
          <w:bCs/>
          <w:lang w:val="en-US"/>
        </w:rPr>
        <w:t xml:space="preserve">Jamaican inventory </w:t>
      </w:r>
      <w:r w:rsidR="000D2843" w:rsidRPr="00813D19">
        <w:rPr>
          <w:bCs/>
          <w:lang w:val="en-US"/>
        </w:rPr>
        <w:t xml:space="preserve">was </w:t>
      </w:r>
      <w:r w:rsidR="00C0245A" w:rsidRPr="00813D19">
        <w:rPr>
          <w:bCs/>
          <w:lang w:val="en-US"/>
        </w:rPr>
        <w:t xml:space="preserve">considered </w:t>
      </w:r>
      <w:r w:rsidR="004B76D9">
        <w:rPr>
          <w:bCs/>
          <w:lang w:val="en-US"/>
        </w:rPr>
        <w:t>to</w:t>
      </w:r>
      <w:r w:rsidR="004B76D9" w:rsidRPr="00813D19">
        <w:rPr>
          <w:bCs/>
          <w:lang w:val="en-US"/>
        </w:rPr>
        <w:t xml:space="preserve"> </w:t>
      </w:r>
      <w:r w:rsidR="00C0245A" w:rsidRPr="00813D19">
        <w:rPr>
          <w:bCs/>
          <w:lang w:val="en-US"/>
        </w:rPr>
        <w:t>assist communities in establishing databases relevant to their own lo</w:t>
      </w:r>
      <w:r w:rsidR="00E72560">
        <w:rPr>
          <w:bCs/>
          <w:lang w:val="en-US"/>
        </w:rPr>
        <w:t>cal situations.</w:t>
      </w:r>
    </w:p>
    <w:p w14:paraId="6CF9E00F" w14:textId="51DF311A" w:rsidR="006D0BC0" w:rsidRPr="00813D19" w:rsidRDefault="003D14CF" w:rsidP="003D14CF">
      <w:pPr>
        <w:pStyle w:val="Orateurengris"/>
        <w:spacing w:before="120"/>
        <w:ind w:left="709" w:hanging="709"/>
        <w:rPr>
          <w:color w:val="000000" w:themeColor="text1"/>
          <w:lang w:val="en-US"/>
        </w:rPr>
      </w:pPr>
      <w:r w:rsidRPr="00813D19">
        <w:rPr>
          <w:color w:val="000000" w:themeColor="text1"/>
          <w:lang w:val="en-US"/>
        </w:rPr>
        <w:t>Congratulating the Evaluation Body, t</w:t>
      </w:r>
      <w:r w:rsidR="00A531CF" w:rsidRPr="00813D19">
        <w:rPr>
          <w:color w:val="000000" w:themeColor="text1"/>
          <w:lang w:val="en-US"/>
        </w:rPr>
        <w:t>he</w:t>
      </w:r>
      <w:r w:rsidR="00A531CF" w:rsidRPr="00813D19">
        <w:rPr>
          <w:b/>
          <w:color w:val="000000" w:themeColor="text1"/>
          <w:lang w:val="en-US"/>
        </w:rPr>
        <w:t xml:space="preserve"> delegation of Senegal</w:t>
      </w:r>
      <w:r w:rsidR="00C0245A" w:rsidRPr="00813D19">
        <w:rPr>
          <w:b/>
          <w:color w:val="000000" w:themeColor="text1"/>
          <w:lang w:val="en-US"/>
        </w:rPr>
        <w:t xml:space="preserve"> </w:t>
      </w:r>
      <w:r w:rsidRPr="00813D19">
        <w:rPr>
          <w:color w:val="000000" w:themeColor="text1"/>
          <w:lang w:val="en-US"/>
        </w:rPr>
        <w:t xml:space="preserve">also spoke of criterion R.2 and how it had been problematic </w:t>
      </w:r>
      <w:r w:rsidR="006D0BC0" w:rsidRPr="00813D19">
        <w:rPr>
          <w:color w:val="000000" w:themeColor="text1"/>
          <w:lang w:val="en-US"/>
        </w:rPr>
        <w:t xml:space="preserve">for a long time. </w:t>
      </w:r>
      <w:r w:rsidRPr="00813D19">
        <w:rPr>
          <w:color w:val="000000" w:themeColor="text1"/>
          <w:lang w:val="en-US"/>
        </w:rPr>
        <w:t xml:space="preserve">Regarding </w:t>
      </w:r>
      <w:r w:rsidR="006D0BC0" w:rsidRPr="00813D19">
        <w:rPr>
          <w:color w:val="000000" w:themeColor="text1"/>
          <w:lang w:val="en-US"/>
        </w:rPr>
        <w:t xml:space="preserve">the </w:t>
      </w:r>
      <w:r w:rsidR="005215CF" w:rsidRPr="00813D19">
        <w:rPr>
          <w:color w:val="000000" w:themeColor="text1"/>
          <w:lang w:val="en-US"/>
        </w:rPr>
        <w:t xml:space="preserve">role </w:t>
      </w:r>
      <w:r w:rsidRPr="00813D19">
        <w:rPr>
          <w:color w:val="000000" w:themeColor="text1"/>
          <w:lang w:val="en-US"/>
        </w:rPr>
        <w:t xml:space="preserve">played by </w:t>
      </w:r>
      <w:r w:rsidR="006D0BC0" w:rsidRPr="00813D19">
        <w:rPr>
          <w:color w:val="000000" w:themeColor="text1"/>
          <w:lang w:val="en-US"/>
        </w:rPr>
        <w:t>reggae in the expression of cultural diversit</w:t>
      </w:r>
      <w:r w:rsidRPr="00813D19">
        <w:rPr>
          <w:color w:val="000000" w:themeColor="text1"/>
          <w:lang w:val="en-US"/>
        </w:rPr>
        <w:t>y, the rapprochement of peoples</w:t>
      </w:r>
      <w:r w:rsidR="006D0BC0" w:rsidRPr="00813D19">
        <w:rPr>
          <w:color w:val="000000" w:themeColor="text1"/>
          <w:lang w:val="en-US"/>
        </w:rPr>
        <w:t xml:space="preserve"> </w:t>
      </w:r>
      <w:r w:rsidRPr="00813D19">
        <w:rPr>
          <w:color w:val="000000" w:themeColor="text1"/>
          <w:lang w:val="en-US"/>
        </w:rPr>
        <w:t xml:space="preserve">and cultural </w:t>
      </w:r>
      <w:r w:rsidR="006D0BC0" w:rsidRPr="00813D19">
        <w:rPr>
          <w:color w:val="000000" w:themeColor="text1"/>
          <w:lang w:val="en-US"/>
        </w:rPr>
        <w:t>dialogue</w:t>
      </w:r>
      <w:r w:rsidRPr="00813D19">
        <w:rPr>
          <w:color w:val="000000" w:themeColor="text1"/>
          <w:lang w:val="en-US"/>
        </w:rPr>
        <w:t xml:space="preserve">, </w:t>
      </w:r>
      <w:r w:rsidR="005215CF" w:rsidRPr="00813D19">
        <w:rPr>
          <w:color w:val="000000" w:themeColor="text1"/>
          <w:lang w:val="en-US"/>
        </w:rPr>
        <w:t xml:space="preserve">the </w:t>
      </w:r>
      <w:r w:rsidRPr="00813D19">
        <w:rPr>
          <w:color w:val="000000" w:themeColor="text1"/>
          <w:lang w:val="en-US"/>
        </w:rPr>
        <w:t xml:space="preserve">delegation expressed the view that </w:t>
      </w:r>
      <w:r w:rsidR="006D0BC0" w:rsidRPr="00813D19">
        <w:rPr>
          <w:color w:val="000000" w:themeColor="text1"/>
          <w:lang w:val="en-US"/>
        </w:rPr>
        <w:t xml:space="preserve">reggae </w:t>
      </w:r>
      <w:r w:rsidRPr="00813D19">
        <w:rPr>
          <w:color w:val="000000" w:themeColor="text1"/>
          <w:lang w:val="en-US"/>
        </w:rPr>
        <w:t xml:space="preserve">was more than </w:t>
      </w:r>
      <w:r w:rsidR="005215CF" w:rsidRPr="00813D19">
        <w:rPr>
          <w:color w:val="000000" w:themeColor="text1"/>
          <w:lang w:val="en-US"/>
        </w:rPr>
        <w:t xml:space="preserve">a movement or </w:t>
      </w:r>
      <w:r w:rsidR="006D0BC0" w:rsidRPr="00813D19">
        <w:rPr>
          <w:color w:val="000000" w:themeColor="text1"/>
          <w:lang w:val="en-US"/>
        </w:rPr>
        <w:t>a musical genre that conquered the world by its melodies</w:t>
      </w:r>
      <w:r w:rsidR="004B76D9">
        <w:rPr>
          <w:color w:val="000000" w:themeColor="text1"/>
          <w:lang w:val="en-US"/>
        </w:rPr>
        <w:t>;</w:t>
      </w:r>
      <w:r w:rsidRPr="00813D19">
        <w:rPr>
          <w:color w:val="000000" w:themeColor="text1"/>
          <w:lang w:val="en-US"/>
        </w:rPr>
        <w:t xml:space="preserve"> r</w:t>
      </w:r>
      <w:r w:rsidR="006D0BC0" w:rsidRPr="00813D19">
        <w:rPr>
          <w:color w:val="000000" w:themeColor="text1"/>
          <w:lang w:val="en-US"/>
        </w:rPr>
        <w:t xml:space="preserve">eggae </w:t>
      </w:r>
      <w:r w:rsidR="005215CF" w:rsidRPr="00813D19">
        <w:rPr>
          <w:color w:val="000000" w:themeColor="text1"/>
          <w:lang w:val="en-US"/>
        </w:rPr>
        <w:t xml:space="preserve">also </w:t>
      </w:r>
      <w:r w:rsidRPr="00813D19">
        <w:rPr>
          <w:color w:val="000000" w:themeColor="text1"/>
          <w:lang w:val="en-US"/>
        </w:rPr>
        <w:t>preached</w:t>
      </w:r>
      <w:r w:rsidR="006D0BC0" w:rsidRPr="00813D19">
        <w:rPr>
          <w:color w:val="000000" w:themeColor="text1"/>
          <w:lang w:val="en-US"/>
        </w:rPr>
        <w:t xml:space="preserve"> peace, </w:t>
      </w:r>
      <w:r w:rsidRPr="00813D19">
        <w:rPr>
          <w:color w:val="000000" w:themeColor="text1"/>
          <w:lang w:val="en-US"/>
        </w:rPr>
        <w:t xml:space="preserve">love and </w:t>
      </w:r>
      <w:r w:rsidR="006D0BC0" w:rsidRPr="00813D19">
        <w:rPr>
          <w:color w:val="000000" w:themeColor="text1"/>
          <w:lang w:val="en-US"/>
        </w:rPr>
        <w:t>unity</w:t>
      </w:r>
      <w:r w:rsidRPr="00813D19">
        <w:rPr>
          <w:color w:val="000000" w:themeColor="text1"/>
          <w:lang w:val="en-US"/>
        </w:rPr>
        <w:t xml:space="preserve">, and where there was conflict and </w:t>
      </w:r>
      <w:r w:rsidR="006D0BC0" w:rsidRPr="00813D19">
        <w:rPr>
          <w:color w:val="000000" w:themeColor="text1"/>
          <w:lang w:val="en-US"/>
        </w:rPr>
        <w:t>extreme d</w:t>
      </w:r>
      <w:r w:rsidRPr="00813D19">
        <w:rPr>
          <w:color w:val="000000" w:themeColor="text1"/>
          <w:lang w:val="en-US"/>
        </w:rPr>
        <w:t>iversity—</w:t>
      </w:r>
      <w:r w:rsidR="006D0BC0" w:rsidRPr="00813D19">
        <w:rPr>
          <w:color w:val="000000" w:themeColor="text1"/>
          <w:lang w:val="en-US"/>
        </w:rPr>
        <w:t>in Jamaica</w:t>
      </w:r>
      <w:r w:rsidRPr="00813D19">
        <w:rPr>
          <w:color w:val="000000" w:themeColor="text1"/>
          <w:lang w:val="en-US"/>
        </w:rPr>
        <w:t xml:space="preserve"> even—</w:t>
      </w:r>
      <w:r w:rsidR="006D0BC0" w:rsidRPr="00813D19">
        <w:rPr>
          <w:color w:val="000000" w:themeColor="text1"/>
          <w:lang w:val="en-US"/>
        </w:rPr>
        <w:t xml:space="preserve">reggae </w:t>
      </w:r>
      <w:r w:rsidRPr="00813D19">
        <w:rPr>
          <w:color w:val="000000" w:themeColor="text1"/>
          <w:lang w:val="en-US"/>
        </w:rPr>
        <w:t>re</w:t>
      </w:r>
      <w:r w:rsidR="006D0BC0" w:rsidRPr="00813D19">
        <w:rPr>
          <w:color w:val="000000" w:themeColor="text1"/>
          <w:lang w:val="en-US"/>
        </w:rPr>
        <w:t>solved it.</w:t>
      </w:r>
      <w:r w:rsidR="006D0BC0" w:rsidRPr="00813D19">
        <w:rPr>
          <w:b/>
          <w:color w:val="000000" w:themeColor="text1"/>
          <w:lang w:val="en-US"/>
        </w:rPr>
        <w:t xml:space="preserve"> </w:t>
      </w:r>
      <w:r w:rsidR="005215CF" w:rsidRPr="00813D19">
        <w:rPr>
          <w:color w:val="000000" w:themeColor="text1"/>
          <w:lang w:val="en-US"/>
        </w:rPr>
        <w:t>The lyrics, “</w:t>
      </w:r>
      <w:r w:rsidRPr="00813D19">
        <w:rPr>
          <w:color w:val="000000" w:themeColor="text1"/>
          <w:lang w:val="en-US"/>
        </w:rPr>
        <w:t>One love, one heart, let'</w:t>
      </w:r>
      <w:r w:rsidR="005215CF" w:rsidRPr="00813D19">
        <w:rPr>
          <w:color w:val="000000" w:themeColor="text1"/>
          <w:lang w:val="en-US"/>
        </w:rPr>
        <w:t>s get together and feel alright”</w:t>
      </w:r>
      <w:r w:rsidR="004B76D9">
        <w:rPr>
          <w:color w:val="000000" w:themeColor="text1"/>
          <w:lang w:val="en-US"/>
        </w:rPr>
        <w:t>,</w:t>
      </w:r>
      <w:r w:rsidR="005215CF" w:rsidRPr="00813D19">
        <w:rPr>
          <w:color w:val="000000" w:themeColor="text1"/>
          <w:lang w:val="en-US"/>
        </w:rPr>
        <w:t xml:space="preserve"> as sung by </w:t>
      </w:r>
      <w:r w:rsidR="00395235" w:rsidRPr="00813D19">
        <w:rPr>
          <w:color w:val="000000" w:themeColor="text1"/>
          <w:lang w:val="en-US"/>
        </w:rPr>
        <w:t xml:space="preserve">Bob </w:t>
      </w:r>
      <w:r w:rsidRPr="00813D19">
        <w:rPr>
          <w:color w:val="000000" w:themeColor="text1"/>
          <w:lang w:val="en-US"/>
        </w:rPr>
        <w:t>Marley</w:t>
      </w:r>
      <w:r w:rsidR="005215CF" w:rsidRPr="00813D19">
        <w:rPr>
          <w:color w:val="000000" w:themeColor="text1"/>
          <w:lang w:val="en-US"/>
        </w:rPr>
        <w:t>,</w:t>
      </w:r>
      <w:r w:rsidRPr="00813D19">
        <w:rPr>
          <w:color w:val="000000" w:themeColor="text1"/>
          <w:lang w:val="en-US"/>
        </w:rPr>
        <w:t xml:space="preserve"> reconcile</w:t>
      </w:r>
      <w:r w:rsidR="005215CF" w:rsidRPr="00813D19">
        <w:rPr>
          <w:color w:val="000000" w:themeColor="text1"/>
          <w:lang w:val="en-US"/>
        </w:rPr>
        <w:t>d</w:t>
      </w:r>
      <w:r w:rsidRPr="00813D19">
        <w:rPr>
          <w:color w:val="000000" w:themeColor="text1"/>
          <w:lang w:val="en-US"/>
        </w:rPr>
        <w:t xml:space="preserve"> politics in Jamaica</w:t>
      </w:r>
      <w:r w:rsidR="005215CF" w:rsidRPr="00813D19">
        <w:rPr>
          <w:color w:val="000000" w:themeColor="text1"/>
          <w:lang w:val="en-US"/>
        </w:rPr>
        <w:t>. Africa had</w:t>
      </w:r>
      <w:r w:rsidRPr="00813D19">
        <w:rPr>
          <w:color w:val="000000" w:themeColor="text1"/>
          <w:lang w:val="en-US"/>
        </w:rPr>
        <w:t xml:space="preserve"> another relationship with reggae, because reggae </w:t>
      </w:r>
      <w:r w:rsidR="005215CF" w:rsidRPr="00813D19">
        <w:rPr>
          <w:color w:val="000000" w:themeColor="text1"/>
          <w:lang w:val="en-US"/>
        </w:rPr>
        <w:t>invoked</w:t>
      </w:r>
      <w:r w:rsidR="00395235" w:rsidRPr="00813D19">
        <w:rPr>
          <w:color w:val="000000" w:themeColor="text1"/>
          <w:lang w:val="en-US"/>
        </w:rPr>
        <w:t xml:space="preserve"> historical elements of Nubia</w:t>
      </w:r>
      <w:r w:rsidRPr="00813D19">
        <w:rPr>
          <w:color w:val="000000" w:themeColor="text1"/>
          <w:lang w:val="en-US"/>
        </w:rPr>
        <w:t xml:space="preserve"> from Ethiopia. </w:t>
      </w:r>
      <w:r w:rsidR="005215CF" w:rsidRPr="00813D19">
        <w:rPr>
          <w:color w:val="000000" w:themeColor="text1"/>
          <w:lang w:val="en-US"/>
        </w:rPr>
        <w:t xml:space="preserve">Reggae </w:t>
      </w:r>
      <w:r w:rsidRPr="00813D19">
        <w:rPr>
          <w:color w:val="000000" w:themeColor="text1"/>
          <w:lang w:val="en-US"/>
        </w:rPr>
        <w:t xml:space="preserve">had </w:t>
      </w:r>
      <w:r w:rsidR="005215CF" w:rsidRPr="00813D19">
        <w:rPr>
          <w:color w:val="000000" w:themeColor="text1"/>
          <w:lang w:val="en-US"/>
        </w:rPr>
        <w:t>in fact become a rallying cry in Africa</w:t>
      </w:r>
      <w:r w:rsidRPr="00813D19">
        <w:rPr>
          <w:color w:val="000000" w:themeColor="text1"/>
          <w:lang w:val="en-US"/>
        </w:rPr>
        <w:t xml:space="preserve"> for African unity, </w:t>
      </w:r>
      <w:r w:rsidR="005215CF" w:rsidRPr="00813D19">
        <w:rPr>
          <w:color w:val="000000" w:themeColor="text1"/>
          <w:lang w:val="en-US"/>
        </w:rPr>
        <w:t>“</w:t>
      </w:r>
      <w:r w:rsidRPr="00813D19">
        <w:rPr>
          <w:color w:val="000000" w:themeColor="text1"/>
          <w:lang w:val="en-US"/>
        </w:rPr>
        <w:t>Africa must unite</w:t>
      </w:r>
      <w:r w:rsidR="005215CF" w:rsidRPr="00813D19">
        <w:rPr>
          <w:color w:val="000000" w:themeColor="text1"/>
          <w:lang w:val="en-US"/>
        </w:rPr>
        <w:t xml:space="preserve">”, which was contained in reggae. The delegation explained that </w:t>
      </w:r>
      <w:r w:rsidRPr="00813D19">
        <w:rPr>
          <w:color w:val="000000" w:themeColor="text1"/>
          <w:lang w:val="en-US"/>
        </w:rPr>
        <w:t>in Senegal</w:t>
      </w:r>
      <w:r w:rsidR="005215CF" w:rsidRPr="00813D19">
        <w:rPr>
          <w:color w:val="000000" w:themeColor="text1"/>
          <w:lang w:val="en-US"/>
        </w:rPr>
        <w:t>,</w:t>
      </w:r>
      <w:r w:rsidRPr="00813D19">
        <w:rPr>
          <w:color w:val="000000" w:themeColor="text1"/>
          <w:lang w:val="en-US"/>
        </w:rPr>
        <w:t xml:space="preserve"> as in all African countries, </w:t>
      </w:r>
      <w:r w:rsidR="005215CF" w:rsidRPr="00813D19">
        <w:rPr>
          <w:color w:val="000000" w:themeColor="text1"/>
          <w:lang w:val="en-US"/>
        </w:rPr>
        <w:t xml:space="preserve">reggae provided </w:t>
      </w:r>
      <w:r w:rsidRPr="00813D19">
        <w:rPr>
          <w:color w:val="000000" w:themeColor="text1"/>
          <w:lang w:val="en-US"/>
        </w:rPr>
        <w:t xml:space="preserve">a sense of belonging </w:t>
      </w:r>
      <w:r w:rsidR="005215CF" w:rsidRPr="00813D19">
        <w:rPr>
          <w:color w:val="000000" w:themeColor="text1"/>
          <w:lang w:val="en-US"/>
        </w:rPr>
        <w:t xml:space="preserve">to </w:t>
      </w:r>
      <w:r w:rsidRPr="00813D19">
        <w:rPr>
          <w:color w:val="000000" w:themeColor="text1"/>
          <w:lang w:val="en-US"/>
        </w:rPr>
        <w:t xml:space="preserve">a </w:t>
      </w:r>
      <w:r w:rsidR="005215CF" w:rsidRPr="00813D19">
        <w:rPr>
          <w:color w:val="000000" w:themeColor="text1"/>
          <w:lang w:val="en-US"/>
        </w:rPr>
        <w:t xml:space="preserve">diverse </w:t>
      </w:r>
      <w:r w:rsidR="00813D19" w:rsidRPr="00813D19">
        <w:rPr>
          <w:color w:val="000000" w:themeColor="text1"/>
          <w:lang w:val="en-US"/>
        </w:rPr>
        <w:t>culture</w:t>
      </w:r>
      <w:r w:rsidRPr="00813D19">
        <w:rPr>
          <w:color w:val="000000" w:themeColor="text1"/>
          <w:lang w:val="en-US"/>
        </w:rPr>
        <w:t xml:space="preserve">, to a </w:t>
      </w:r>
      <w:r w:rsidR="005215CF" w:rsidRPr="00813D19">
        <w:rPr>
          <w:color w:val="000000" w:themeColor="text1"/>
          <w:lang w:val="en-US"/>
        </w:rPr>
        <w:t xml:space="preserve">message addressed to the world here in </w:t>
      </w:r>
      <w:r w:rsidRPr="00813D19">
        <w:rPr>
          <w:color w:val="000000" w:themeColor="text1"/>
          <w:lang w:val="en-US"/>
        </w:rPr>
        <w:t xml:space="preserve">Port Louis. </w:t>
      </w:r>
      <w:r w:rsidR="00D86DC9" w:rsidRPr="00813D19">
        <w:rPr>
          <w:color w:val="000000" w:themeColor="text1"/>
          <w:lang w:val="en-US"/>
        </w:rPr>
        <w:t xml:space="preserve">The delegation advocated </w:t>
      </w:r>
      <w:r w:rsidR="004B76D9">
        <w:rPr>
          <w:color w:val="000000" w:themeColor="text1"/>
          <w:lang w:val="en-US"/>
        </w:rPr>
        <w:t xml:space="preserve">for </w:t>
      </w:r>
      <w:r w:rsidR="00395235" w:rsidRPr="00813D19">
        <w:rPr>
          <w:color w:val="000000" w:themeColor="text1"/>
          <w:lang w:val="en-US"/>
        </w:rPr>
        <w:t xml:space="preserve">the </w:t>
      </w:r>
      <w:r w:rsidR="00D86DC9" w:rsidRPr="00813D19">
        <w:rPr>
          <w:color w:val="000000" w:themeColor="text1"/>
          <w:lang w:val="en-US"/>
        </w:rPr>
        <w:t xml:space="preserve">inscription </w:t>
      </w:r>
      <w:r w:rsidR="00395235" w:rsidRPr="00813D19">
        <w:rPr>
          <w:color w:val="000000" w:themeColor="text1"/>
          <w:lang w:val="en-US"/>
        </w:rPr>
        <w:t xml:space="preserve">of reggae </w:t>
      </w:r>
      <w:r w:rsidR="00D86DC9" w:rsidRPr="00813D19">
        <w:rPr>
          <w:color w:val="000000" w:themeColor="text1"/>
          <w:lang w:val="en-US"/>
        </w:rPr>
        <w:t xml:space="preserve">on </w:t>
      </w:r>
      <w:r w:rsidRPr="00813D19">
        <w:rPr>
          <w:color w:val="000000" w:themeColor="text1"/>
          <w:lang w:val="en-US"/>
        </w:rPr>
        <w:t>the Representative Heritage List</w:t>
      </w:r>
      <w:r w:rsidR="00D86DC9" w:rsidRPr="00813D19">
        <w:rPr>
          <w:color w:val="000000" w:themeColor="text1"/>
          <w:lang w:val="en-US"/>
        </w:rPr>
        <w:t xml:space="preserve"> with the words of </w:t>
      </w:r>
      <w:r w:rsidRPr="00813D19">
        <w:rPr>
          <w:color w:val="000000" w:themeColor="text1"/>
          <w:lang w:val="en-US"/>
        </w:rPr>
        <w:t xml:space="preserve">Bob Marley, </w:t>
      </w:r>
      <w:r w:rsidR="00D86DC9" w:rsidRPr="00813D19">
        <w:rPr>
          <w:color w:val="000000" w:themeColor="text1"/>
          <w:lang w:val="en-US"/>
        </w:rPr>
        <w:t>“</w:t>
      </w:r>
      <w:r w:rsidRPr="00813D19">
        <w:rPr>
          <w:color w:val="000000" w:themeColor="text1"/>
          <w:lang w:val="en-US"/>
        </w:rPr>
        <w:t>Do not live so that your presence is noticed, b</w:t>
      </w:r>
      <w:r w:rsidR="00D86DC9" w:rsidRPr="00813D19">
        <w:rPr>
          <w:color w:val="000000" w:themeColor="text1"/>
          <w:lang w:val="en-US"/>
        </w:rPr>
        <w:t xml:space="preserve">ut so that your absence is felt”, adding that although he was no longer among us, </w:t>
      </w:r>
      <w:r w:rsidRPr="00813D19">
        <w:rPr>
          <w:color w:val="000000" w:themeColor="text1"/>
          <w:lang w:val="en-US"/>
        </w:rPr>
        <w:t xml:space="preserve">his absence </w:t>
      </w:r>
      <w:r w:rsidR="00D86DC9" w:rsidRPr="00813D19">
        <w:rPr>
          <w:color w:val="000000" w:themeColor="text1"/>
          <w:lang w:val="en-US"/>
        </w:rPr>
        <w:t xml:space="preserve">would </w:t>
      </w:r>
      <w:r w:rsidRPr="00813D19">
        <w:rPr>
          <w:color w:val="000000" w:themeColor="text1"/>
          <w:lang w:val="en-US"/>
        </w:rPr>
        <w:t xml:space="preserve">be felt through </w:t>
      </w:r>
      <w:r w:rsidR="00D86DC9" w:rsidRPr="00813D19">
        <w:rPr>
          <w:color w:val="000000" w:themeColor="text1"/>
          <w:lang w:val="en-US"/>
        </w:rPr>
        <w:t>this inscription</w:t>
      </w:r>
      <w:r w:rsidRPr="00813D19">
        <w:rPr>
          <w:color w:val="000000" w:themeColor="text1"/>
          <w:lang w:val="en-US"/>
        </w:rPr>
        <w:t xml:space="preserve">. </w:t>
      </w:r>
      <w:r w:rsidR="00D86DC9" w:rsidRPr="00813D19">
        <w:rPr>
          <w:color w:val="000000" w:themeColor="text1"/>
          <w:lang w:val="en-US"/>
        </w:rPr>
        <w:t xml:space="preserve">The delegation thus </w:t>
      </w:r>
      <w:r w:rsidRPr="00813D19">
        <w:rPr>
          <w:color w:val="000000" w:themeColor="text1"/>
          <w:lang w:val="en-US"/>
        </w:rPr>
        <w:t>associate</w:t>
      </w:r>
      <w:r w:rsidR="00395235" w:rsidRPr="00813D19">
        <w:rPr>
          <w:color w:val="000000" w:themeColor="text1"/>
          <w:lang w:val="en-US"/>
        </w:rPr>
        <w:t>d</w:t>
      </w:r>
      <w:r w:rsidRPr="00813D19">
        <w:rPr>
          <w:color w:val="000000" w:themeColor="text1"/>
          <w:lang w:val="en-US"/>
        </w:rPr>
        <w:t xml:space="preserve"> with the amendment </w:t>
      </w:r>
      <w:r w:rsidR="00D86DC9" w:rsidRPr="00813D19">
        <w:rPr>
          <w:color w:val="000000" w:themeColor="text1"/>
          <w:lang w:val="en-US"/>
        </w:rPr>
        <w:t xml:space="preserve">by </w:t>
      </w:r>
      <w:r w:rsidRPr="00813D19">
        <w:rPr>
          <w:color w:val="000000" w:themeColor="text1"/>
          <w:lang w:val="en-US"/>
        </w:rPr>
        <w:t>Cuba and Palestine.</w:t>
      </w:r>
    </w:p>
    <w:p w14:paraId="7D991779" w14:textId="6809FD02" w:rsidR="006D0BC0" w:rsidRPr="00813D19" w:rsidRDefault="006D0BC0" w:rsidP="002D3A5B">
      <w:pPr>
        <w:pStyle w:val="Orateurengris"/>
        <w:spacing w:before="120"/>
        <w:ind w:left="709" w:hanging="709"/>
        <w:rPr>
          <w:color w:val="000000" w:themeColor="text1"/>
          <w:lang w:val="en-US"/>
        </w:rPr>
      </w:pPr>
      <w:r w:rsidRPr="00813D19">
        <w:rPr>
          <w:bCs/>
          <w:lang w:val="en-US"/>
        </w:rPr>
        <w:t xml:space="preserve">The </w:t>
      </w:r>
      <w:r w:rsidRPr="00813D19">
        <w:rPr>
          <w:b/>
          <w:bCs/>
          <w:lang w:val="en-US"/>
        </w:rPr>
        <w:t>Chairperson</w:t>
      </w:r>
      <w:r w:rsidRPr="00813D19">
        <w:rPr>
          <w:bCs/>
          <w:lang w:val="en-US"/>
        </w:rPr>
        <w:t xml:space="preserve"> thanked Sene</w:t>
      </w:r>
      <w:r w:rsidR="00E72560">
        <w:rPr>
          <w:bCs/>
          <w:lang w:val="en-US"/>
        </w:rPr>
        <w:t>gal for its emotive statement.</w:t>
      </w:r>
    </w:p>
    <w:p w14:paraId="5BA85DE5" w14:textId="589EE9CC" w:rsidR="00A531CF" w:rsidRPr="00813D19" w:rsidRDefault="00A531CF"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w:t>
      </w:r>
      <w:r w:rsidR="00C0245A" w:rsidRPr="00813D19">
        <w:rPr>
          <w:b/>
          <w:color w:val="000000" w:themeColor="text1"/>
          <w:lang w:val="en-US"/>
        </w:rPr>
        <w:t xml:space="preserve"> </w:t>
      </w:r>
      <w:r w:rsidR="005215CF" w:rsidRPr="00813D19">
        <w:rPr>
          <w:bCs/>
          <w:lang w:val="en-US"/>
        </w:rPr>
        <w:t xml:space="preserve">remarked that </w:t>
      </w:r>
      <w:r w:rsidR="004B76D9">
        <w:rPr>
          <w:bCs/>
          <w:lang w:val="en-US"/>
        </w:rPr>
        <w:t xml:space="preserve">the significance of </w:t>
      </w:r>
      <w:r w:rsidR="00C0245A" w:rsidRPr="00813D19">
        <w:rPr>
          <w:bCs/>
          <w:lang w:val="en-US"/>
        </w:rPr>
        <w:t>reggae music</w:t>
      </w:r>
      <w:r w:rsidR="004B76D9">
        <w:rPr>
          <w:bCs/>
          <w:lang w:val="en-US"/>
        </w:rPr>
        <w:t xml:space="preserve"> </w:t>
      </w:r>
      <w:r w:rsidR="00C0245A" w:rsidRPr="00813D19">
        <w:rPr>
          <w:bCs/>
          <w:lang w:val="en-US"/>
        </w:rPr>
        <w:t xml:space="preserve">as intangible cultural heritage </w:t>
      </w:r>
      <w:r w:rsidR="00071B2E" w:rsidRPr="00813D19">
        <w:rPr>
          <w:bCs/>
          <w:lang w:val="en-US"/>
        </w:rPr>
        <w:t xml:space="preserve">was </w:t>
      </w:r>
      <w:r w:rsidR="00C0245A" w:rsidRPr="00813D19">
        <w:rPr>
          <w:bCs/>
          <w:lang w:val="en-US"/>
        </w:rPr>
        <w:t xml:space="preserve">apparent around the world and </w:t>
      </w:r>
      <w:r w:rsidR="00071B2E" w:rsidRPr="00813D19">
        <w:rPr>
          <w:bCs/>
          <w:lang w:val="en-US"/>
        </w:rPr>
        <w:t xml:space="preserve">could not </w:t>
      </w:r>
      <w:r w:rsidR="00C0245A" w:rsidRPr="00813D19">
        <w:rPr>
          <w:bCs/>
          <w:lang w:val="en-US"/>
        </w:rPr>
        <w:t xml:space="preserve">be denied. While </w:t>
      </w:r>
      <w:r w:rsidR="00071B2E" w:rsidRPr="00813D19">
        <w:rPr>
          <w:bCs/>
          <w:lang w:val="en-US"/>
        </w:rPr>
        <w:t>it understood</w:t>
      </w:r>
      <w:r w:rsidR="00C0245A" w:rsidRPr="00813D19">
        <w:rPr>
          <w:bCs/>
          <w:lang w:val="en-US"/>
        </w:rPr>
        <w:t xml:space="preserve"> </w:t>
      </w:r>
      <w:r w:rsidR="00071B2E" w:rsidRPr="00813D19">
        <w:rPr>
          <w:bCs/>
          <w:lang w:val="en-US"/>
        </w:rPr>
        <w:t xml:space="preserve">that </w:t>
      </w:r>
      <w:r w:rsidR="00C0245A" w:rsidRPr="00813D19">
        <w:rPr>
          <w:bCs/>
          <w:lang w:val="en-US"/>
        </w:rPr>
        <w:t xml:space="preserve">the Evaluation Body </w:t>
      </w:r>
      <w:r w:rsidR="00071B2E" w:rsidRPr="00813D19">
        <w:rPr>
          <w:bCs/>
          <w:lang w:val="en-US"/>
        </w:rPr>
        <w:t>limited</w:t>
      </w:r>
      <w:r w:rsidR="00C0245A" w:rsidRPr="00813D19">
        <w:rPr>
          <w:bCs/>
          <w:lang w:val="en-US"/>
        </w:rPr>
        <w:t xml:space="preserve"> itself to the answers provided by the State Party in the nomination form, it </w:t>
      </w:r>
      <w:r w:rsidR="00071B2E" w:rsidRPr="00813D19">
        <w:rPr>
          <w:bCs/>
          <w:lang w:val="en-US"/>
        </w:rPr>
        <w:t>was difficult to fathom a</w:t>
      </w:r>
      <w:r w:rsidR="00C0245A" w:rsidRPr="00813D19">
        <w:rPr>
          <w:bCs/>
          <w:lang w:val="en-US"/>
        </w:rPr>
        <w:t xml:space="preserve"> Representative List without reggae. </w:t>
      </w:r>
      <w:r w:rsidR="00071B2E" w:rsidRPr="00813D19">
        <w:rPr>
          <w:bCs/>
          <w:lang w:val="en-US"/>
        </w:rPr>
        <w:t xml:space="preserve">The delegation </w:t>
      </w:r>
      <w:r w:rsidR="00C0245A" w:rsidRPr="00813D19">
        <w:rPr>
          <w:bCs/>
          <w:lang w:val="en-US"/>
        </w:rPr>
        <w:t>note</w:t>
      </w:r>
      <w:r w:rsidR="00071B2E" w:rsidRPr="00813D19">
        <w:rPr>
          <w:bCs/>
          <w:lang w:val="en-US"/>
        </w:rPr>
        <w:t>d</w:t>
      </w:r>
      <w:r w:rsidR="00C0245A" w:rsidRPr="00813D19">
        <w:rPr>
          <w:bCs/>
          <w:lang w:val="en-US"/>
        </w:rPr>
        <w:t xml:space="preserve"> issues pertaining to R.2 and R.5</w:t>
      </w:r>
      <w:r w:rsidR="00071B2E" w:rsidRPr="00813D19">
        <w:rPr>
          <w:bCs/>
          <w:lang w:val="en-US"/>
        </w:rPr>
        <w:t xml:space="preserve">, which </w:t>
      </w:r>
      <w:r w:rsidR="00C0245A" w:rsidRPr="00813D19">
        <w:rPr>
          <w:bCs/>
          <w:lang w:val="en-US"/>
        </w:rPr>
        <w:t>remain</w:t>
      </w:r>
      <w:r w:rsidR="004B76D9">
        <w:rPr>
          <w:bCs/>
          <w:lang w:val="en-US"/>
        </w:rPr>
        <w:t>ed</w:t>
      </w:r>
      <w:r w:rsidR="00C0245A" w:rsidRPr="00813D19">
        <w:rPr>
          <w:bCs/>
          <w:lang w:val="en-US"/>
        </w:rPr>
        <w:t xml:space="preserve"> challenging. </w:t>
      </w:r>
      <w:r w:rsidR="00071B2E" w:rsidRPr="00813D19">
        <w:rPr>
          <w:bCs/>
          <w:lang w:val="en-US"/>
        </w:rPr>
        <w:t xml:space="preserve">Criterion </w:t>
      </w:r>
      <w:r w:rsidR="00C0245A" w:rsidRPr="00813D19">
        <w:rPr>
          <w:bCs/>
          <w:lang w:val="en-US"/>
        </w:rPr>
        <w:t xml:space="preserve">R.2 </w:t>
      </w:r>
      <w:r w:rsidR="00071B2E" w:rsidRPr="00813D19">
        <w:rPr>
          <w:bCs/>
          <w:lang w:val="en-US"/>
        </w:rPr>
        <w:t xml:space="preserve">was </w:t>
      </w:r>
      <w:r w:rsidR="00C0245A" w:rsidRPr="00813D19">
        <w:rPr>
          <w:bCs/>
          <w:lang w:val="en-US"/>
        </w:rPr>
        <w:t xml:space="preserve">a difficult question to answer when States Parties </w:t>
      </w:r>
      <w:r w:rsidR="004B76D9">
        <w:rPr>
          <w:bCs/>
          <w:lang w:val="en-US"/>
        </w:rPr>
        <w:t>were</w:t>
      </w:r>
      <w:r w:rsidR="004B76D9" w:rsidRPr="00813D19">
        <w:rPr>
          <w:bCs/>
          <w:lang w:val="en-US"/>
        </w:rPr>
        <w:t xml:space="preserve"> </w:t>
      </w:r>
      <w:r w:rsidR="00C0245A" w:rsidRPr="00813D19">
        <w:rPr>
          <w:bCs/>
          <w:lang w:val="en-US"/>
        </w:rPr>
        <w:t xml:space="preserve">asked to assess the impact of the inscription of a specific element on the visibility of </w:t>
      </w:r>
      <w:r w:rsidR="00071B2E" w:rsidRPr="00813D19">
        <w:rPr>
          <w:bCs/>
          <w:lang w:val="en-US"/>
        </w:rPr>
        <w:t xml:space="preserve">intangible cultural heritage </w:t>
      </w:r>
      <w:r w:rsidR="00C0245A" w:rsidRPr="00813D19">
        <w:rPr>
          <w:bCs/>
          <w:lang w:val="en-US"/>
        </w:rPr>
        <w:t>in general</w:t>
      </w:r>
      <w:r w:rsidR="00071B2E" w:rsidRPr="00813D19">
        <w:rPr>
          <w:bCs/>
          <w:lang w:val="en-US"/>
        </w:rPr>
        <w:t xml:space="preserve">, even though the answer is </w:t>
      </w:r>
      <w:r w:rsidR="00813D19" w:rsidRPr="00813D19">
        <w:rPr>
          <w:bCs/>
          <w:lang w:val="en-US"/>
        </w:rPr>
        <w:t>self-evident</w:t>
      </w:r>
      <w:r w:rsidR="00C0245A" w:rsidRPr="00813D19">
        <w:rPr>
          <w:bCs/>
          <w:lang w:val="en-US"/>
        </w:rPr>
        <w:t xml:space="preserve"> that the inscription of reggae would have a positive impact on the recognition of </w:t>
      </w:r>
      <w:r w:rsidR="00071B2E" w:rsidRPr="00813D19">
        <w:rPr>
          <w:bCs/>
          <w:lang w:val="en-US"/>
        </w:rPr>
        <w:t xml:space="preserve">intangible cultural heritage </w:t>
      </w:r>
      <w:r w:rsidR="00C0245A" w:rsidRPr="00813D19">
        <w:rPr>
          <w:bCs/>
          <w:lang w:val="en-US"/>
        </w:rPr>
        <w:t>as a whole</w:t>
      </w:r>
      <w:r w:rsidR="00071B2E" w:rsidRPr="00813D19">
        <w:rPr>
          <w:bCs/>
          <w:lang w:val="en-US"/>
        </w:rPr>
        <w:t xml:space="preserve">, even if not </w:t>
      </w:r>
      <w:r w:rsidR="00C0245A" w:rsidRPr="00813D19">
        <w:rPr>
          <w:bCs/>
          <w:lang w:val="en-US"/>
        </w:rPr>
        <w:t xml:space="preserve">clearly </w:t>
      </w:r>
      <w:r w:rsidR="00071B2E" w:rsidRPr="00813D19">
        <w:rPr>
          <w:bCs/>
          <w:lang w:val="en-US"/>
        </w:rPr>
        <w:t>spelled</w:t>
      </w:r>
      <w:r w:rsidR="00C0245A" w:rsidRPr="00813D19">
        <w:rPr>
          <w:bCs/>
          <w:lang w:val="en-US"/>
        </w:rPr>
        <w:t xml:space="preserve"> out in the nomination dossier. Hence, </w:t>
      </w:r>
      <w:r w:rsidR="00395235" w:rsidRPr="00813D19">
        <w:rPr>
          <w:bCs/>
          <w:lang w:val="en-US"/>
        </w:rPr>
        <w:t xml:space="preserve">it was felt </w:t>
      </w:r>
      <w:r w:rsidR="00C0245A" w:rsidRPr="00813D19">
        <w:rPr>
          <w:bCs/>
          <w:lang w:val="en-US"/>
        </w:rPr>
        <w:t xml:space="preserve">that the State Party </w:t>
      </w:r>
      <w:r w:rsidR="00071B2E" w:rsidRPr="00813D19">
        <w:rPr>
          <w:bCs/>
          <w:lang w:val="en-US"/>
        </w:rPr>
        <w:t xml:space="preserve">should be given </w:t>
      </w:r>
      <w:r w:rsidR="00C0245A" w:rsidRPr="00813D19">
        <w:rPr>
          <w:bCs/>
          <w:lang w:val="en-US"/>
        </w:rPr>
        <w:t xml:space="preserve">an opportunity to </w:t>
      </w:r>
      <w:r w:rsidR="00071B2E" w:rsidRPr="00813D19">
        <w:rPr>
          <w:bCs/>
          <w:lang w:val="en-US"/>
        </w:rPr>
        <w:t xml:space="preserve">respond to the </w:t>
      </w:r>
      <w:r w:rsidR="00C0245A" w:rsidRPr="00813D19">
        <w:rPr>
          <w:bCs/>
          <w:lang w:val="en-US"/>
        </w:rPr>
        <w:t>Evaluation Body. Again, had there been an opportunity for dialogue</w:t>
      </w:r>
      <w:r w:rsidR="00071B2E" w:rsidRPr="00813D19">
        <w:rPr>
          <w:bCs/>
          <w:lang w:val="en-US"/>
        </w:rPr>
        <w:t xml:space="preserve"> </w:t>
      </w:r>
      <w:r w:rsidR="00C0245A" w:rsidRPr="00813D19">
        <w:rPr>
          <w:bCs/>
          <w:lang w:val="en-US"/>
        </w:rPr>
        <w:t xml:space="preserve">between the State Party and the Evaluation Body </w:t>
      </w:r>
      <w:r w:rsidR="00071B2E" w:rsidRPr="00813D19">
        <w:rPr>
          <w:bCs/>
          <w:lang w:val="en-US"/>
        </w:rPr>
        <w:t xml:space="preserve">prior to </w:t>
      </w:r>
      <w:r w:rsidR="00C0245A" w:rsidRPr="00813D19">
        <w:rPr>
          <w:bCs/>
          <w:lang w:val="en-US"/>
        </w:rPr>
        <w:t>the Committee session</w:t>
      </w:r>
      <w:r w:rsidR="00071B2E" w:rsidRPr="00813D19">
        <w:rPr>
          <w:bCs/>
          <w:lang w:val="en-US"/>
        </w:rPr>
        <w:t>,</w:t>
      </w:r>
      <w:r w:rsidR="00C0245A" w:rsidRPr="00813D19">
        <w:rPr>
          <w:bCs/>
          <w:lang w:val="en-US"/>
        </w:rPr>
        <w:t xml:space="preserve"> </w:t>
      </w:r>
      <w:r w:rsidR="00071B2E" w:rsidRPr="00813D19">
        <w:rPr>
          <w:bCs/>
          <w:lang w:val="en-US"/>
        </w:rPr>
        <w:t xml:space="preserve">the Committee </w:t>
      </w:r>
      <w:r w:rsidR="00C0245A" w:rsidRPr="00813D19">
        <w:rPr>
          <w:bCs/>
          <w:lang w:val="en-US"/>
        </w:rPr>
        <w:t>would not have</w:t>
      </w:r>
      <w:r w:rsidR="004B76D9">
        <w:rPr>
          <w:bCs/>
          <w:lang w:val="en-US"/>
        </w:rPr>
        <w:t xml:space="preserve"> had</w:t>
      </w:r>
      <w:r w:rsidR="00C0245A" w:rsidRPr="00813D19">
        <w:rPr>
          <w:bCs/>
          <w:lang w:val="en-US"/>
        </w:rPr>
        <w:t xml:space="preserve"> to go through this </w:t>
      </w:r>
      <w:r w:rsidR="00071B2E" w:rsidRPr="00813D19">
        <w:rPr>
          <w:bCs/>
          <w:lang w:val="en-US"/>
        </w:rPr>
        <w:t xml:space="preserve">process </w:t>
      </w:r>
      <w:r w:rsidR="00C0245A" w:rsidRPr="00813D19">
        <w:rPr>
          <w:bCs/>
          <w:lang w:val="en-US"/>
        </w:rPr>
        <w:t xml:space="preserve">and waste precious time. </w:t>
      </w:r>
      <w:r w:rsidR="00071B2E" w:rsidRPr="00813D19">
        <w:rPr>
          <w:bCs/>
          <w:lang w:val="en-US"/>
        </w:rPr>
        <w:t xml:space="preserve">All the </w:t>
      </w:r>
      <w:r w:rsidR="00C0245A" w:rsidRPr="00813D19">
        <w:rPr>
          <w:bCs/>
          <w:lang w:val="en-US"/>
        </w:rPr>
        <w:t xml:space="preserve">Committee </w:t>
      </w:r>
      <w:r w:rsidR="00071B2E" w:rsidRPr="00813D19">
        <w:rPr>
          <w:bCs/>
          <w:lang w:val="en-US"/>
        </w:rPr>
        <w:t xml:space="preserve">Members </w:t>
      </w:r>
      <w:r w:rsidR="00C0245A" w:rsidRPr="00813D19">
        <w:rPr>
          <w:bCs/>
          <w:lang w:val="en-US"/>
        </w:rPr>
        <w:t>recognize</w:t>
      </w:r>
      <w:r w:rsidR="00395235" w:rsidRPr="00813D19">
        <w:rPr>
          <w:bCs/>
          <w:lang w:val="en-US"/>
        </w:rPr>
        <w:t>d</w:t>
      </w:r>
      <w:r w:rsidR="00C0245A" w:rsidRPr="00813D19">
        <w:rPr>
          <w:bCs/>
          <w:lang w:val="en-US"/>
        </w:rPr>
        <w:t xml:space="preserve"> that the Representative List would only be enriched </w:t>
      </w:r>
      <w:r w:rsidR="004B76D9">
        <w:rPr>
          <w:bCs/>
          <w:lang w:val="en-US"/>
        </w:rPr>
        <w:t>by</w:t>
      </w:r>
      <w:r w:rsidR="004B76D9" w:rsidRPr="00813D19">
        <w:rPr>
          <w:bCs/>
          <w:lang w:val="en-US"/>
        </w:rPr>
        <w:t xml:space="preserve"> </w:t>
      </w:r>
      <w:r w:rsidR="00C0245A" w:rsidRPr="00813D19">
        <w:rPr>
          <w:bCs/>
          <w:lang w:val="en-US"/>
        </w:rPr>
        <w:t xml:space="preserve">the addition of reggae. </w:t>
      </w:r>
      <w:r w:rsidR="00071B2E" w:rsidRPr="00813D19">
        <w:rPr>
          <w:bCs/>
          <w:lang w:val="en-US"/>
        </w:rPr>
        <w:t xml:space="preserve">Regarding </w:t>
      </w:r>
      <w:r w:rsidR="00C0245A" w:rsidRPr="00813D19">
        <w:rPr>
          <w:bCs/>
          <w:lang w:val="en-US"/>
        </w:rPr>
        <w:t>R.5</w:t>
      </w:r>
      <w:r w:rsidR="00071B2E" w:rsidRPr="00813D19">
        <w:rPr>
          <w:bCs/>
          <w:lang w:val="en-US"/>
        </w:rPr>
        <w:t>,</w:t>
      </w:r>
      <w:r w:rsidR="00C0245A" w:rsidRPr="00813D19">
        <w:rPr>
          <w:bCs/>
          <w:lang w:val="en-US"/>
        </w:rPr>
        <w:t xml:space="preserve"> the State Party indicated that </w:t>
      </w:r>
      <w:r w:rsidR="00071B2E" w:rsidRPr="00813D19">
        <w:rPr>
          <w:bCs/>
          <w:lang w:val="en-US"/>
        </w:rPr>
        <w:t xml:space="preserve">the inventory is listed in an Automated Catalogue of </w:t>
      </w:r>
      <w:r w:rsidR="00C0245A" w:rsidRPr="00813D19">
        <w:rPr>
          <w:bCs/>
          <w:lang w:val="en-US"/>
        </w:rPr>
        <w:t xml:space="preserve">the Africa Caribbean Institute of Jamaica, which is the focal point for </w:t>
      </w:r>
      <w:r w:rsidR="00071B2E" w:rsidRPr="00813D19">
        <w:rPr>
          <w:bCs/>
          <w:lang w:val="en-US"/>
        </w:rPr>
        <w:t xml:space="preserve">intangible cultural heritage </w:t>
      </w:r>
      <w:r w:rsidR="00C0245A" w:rsidRPr="00813D19">
        <w:rPr>
          <w:bCs/>
          <w:lang w:val="en-US"/>
        </w:rPr>
        <w:t xml:space="preserve">in Jamaica. It also indicated that the inventory </w:t>
      </w:r>
      <w:r w:rsidR="00071B2E" w:rsidRPr="00813D19">
        <w:rPr>
          <w:bCs/>
          <w:lang w:val="en-US"/>
        </w:rPr>
        <w:t xml:space="preserve">was </w:t>
      </w:r>
      <w:r w:rsidR="00C0245A" w:rsidRPr="00813D19">
        <w:rPr>
          <w:bCs/>
          <w:lang w:val="en-US"/>
        </w:rPr>
        <w:t xml:space="preserve">being reviewed and updated. </w:t>
      </w:r>
      <w:r w:rsidR="00071B2E" w:rsidRPr="00813D19">
        <w:rPr>
          <w:bCs/>
          <w:lang w:val="en-US"/>
        </w:rPr>
        <w:t xml:space="preserve">In this regard, the delegation wished to </w:t>
      </w:r>
      <w:r w:rsidR="00C0245A" w:rsidRPr="00813D19">
        <w:rPr>
          <w:bCs/>
          <w:lang w:val="en-US"/>
        </w:rPr>
        <w:t xml:space="preserve">hear from the Evaluation Body </w:t>
      </w:r>
      <w:r w:rsidR="00395235" w:rsidRPr="00813D19">
        <w:rPr>
          <w:bCs/>
          <w:lang w:val="en-US"/>
        </w:rPr>
        <w:t xml:space="preserve">as to </w:t>
      </w:r>
      <w:r w:rsidR="00C0245A" w:rsidRPr="00813D19">
        <w:rPr>
          <w:bCs/>
          <w:lang w:val="en-US"/>
        </w:rPr>
        <w:t xml:space="preserve">why they had concerns </w:t>
      </w:r>
      <w:r w:rsidR="004B76D9">
        <w:rPr>
          <w:bCs/>
          <w:lang w:val="en-US"/>
        </w:rPr>
        <w:t>about</w:t>
      </w:r>
      <w:r w:rsidR="004B76D9" w:rsidRPr="00813D19">
        <w:rPr>
          <w:bCs/>
          <w:lang w:val="en-US"/>
        </w:rPr>
        <w:t xml:space="preserve"> </w:t>
      </w:r>
      <w:r w:rsidR="00C0245A" w:rsidRPr="00813D19">
        <w:rPr>
          <w:bCs/>
          <w:lang w:val="en-US"/>
        </w:rPr>
        <w:t>the answer pro</w:t>
      </w:r>
      <w:r w:rsidR="00071B2E" w:rsidRPr="00813D19">
        <w:rPr>
          <w:bCs/>
          <w:lang w:val="en-US"/>
        </w:rPr>
        <w:t xml:space="preserve">vided </w:t>
      </w:r>
      <w:r w:rsidR="00395235" w:rsidRPr="00813D19">
        <w:rPr>
          <w:bCs/>
          <w:lang w:val="en-US"/>
        </w:rPr>
        <w:t xml:space="preserve">in </w:t>
      </w:r>
      <w:r w:rsidR="00071B2E" w:rsidRPr="00813D19">
        <w:rPr>
          <w:bCs/>
          <w:lang w:val="en-US"/>
        </w:rPr>
        <w:t>R.5.</w:t>
      </w:r>
    </w:p>
    <w:p w14:paraId="2E3632C3" w14:textId="637C2D45" w:rsidR="00F83F3C" w:rsidRPr="00813D19" w:rsidRDefault="00F83F3C"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Guatemala </w:t>
      </w:r>
      <w:r w:rsidR="00C0245A" w:rsidRPr="00813D19">
        <w:rPr>
          <w:bCs/>
          <w:lang w:val="en-US"/>
        </w:rPr>
        <w:t>support</w:t>
      </w:r>
      <w:r w:rsidR="00395235" w:rsidRPr="00813D19">
        <w:rPr>
          <w:bCs/>
          <w:lang w:val="en-US"/>
        </w:rPr>
        <w:t>ed</w:t>
      </w:r>
      <w:r w:rsidR="00C0245A" w:rsidRPr="00813D19">
        <w:rPr>
          <w:bCs/>
          <w:lang w:val="en-US"/>
        </w:rPr>
        <w:t xml:space="preserve"> the statements made by Cuba to give Jamaica the opportunity to </w:t>
      </w:r>
      <w:r w:rsidR="00395235" w:rsidRPr="00813D19">
        <w:rPr>
          <w:bCs/>
          <w:lang w:val="en-US"/>
        </w:rPr>
        <w:t>explain</w:t>
      </w:r>
      <w:r w:rsidR="00C0245A" w:rsidRPr="00813D19">
        <w:rPr>
          <w:bCs/>
          <w:lang w:val="en-US"/>
        </w:rPr>
        <w:t xml:space="preserve"> and expand </w:t>
      </w:r>
      <w:r w:rsidR="00727AD3" w:rsidRPr="00813D19">
        <w:rPr>
          <w:bCs/>
          <w:lang w:val="en-US"/>
        </w:rPr>
        <w:t xml:space="preserve">on </w:t>
      </w:r>
      <w:r w:rsidR="00C0245A" w:rsidRPr="00813D19">
        <w:rPr>
          <w:bCs/>
          <w:lang w:val="en-US"/>
        </w:rPr>
        <w:t>the information</w:t>
      </w:r>
      <w:r w:rsidR="00727AD3" w:rsidRPr="00813D19">
        <w:rPr>
          <w:bCs/>
          <w:lang w:val="en-US"/>
        </w:rPr>
        <w:t xml:space="preserve"> provided</w:t>
      </w:r>
      <w:r w:rsidR="00C0245A" w:rsidRPr="00813D19">
        <w:rPr>
          <w:bCs/>
          <w:lang w:val="en-US"/>
        </w:rPr>
        <w:t xml:space="preserve">. One important thing to keep in mind in this particular case </w:t>
      </w:r>
      <w:r w:rsidR="00727AD3" w:rsidRPr="00813D19">
        <w:rPr>
          <w:bCs/>
          <w:lang w:val="en-US"/>
        </w:rPr>
        <w:t xml:space="preserve">was </w:t>
      </w:r>
      <w:r w:rsidR="00C0245A" w:rsidRPr="00813D19">
        <w:rPr>
          <w:bCs/>
          <w:lang w:val="en-US"/>
        </w:rPr>
        <w:t xml:space="preserve">the </w:t>
      </w:r>
      <w:r w:rsidR="00727AD3" w:rsidRPr="00813D19">
        <w:rPr>
          <w:bCs/>
          <w:lang w:val="en-US"/>
        </w:rPr>
        <w:t xml:space="preserve">broad </w:t>
      </w:r>
      <w:r w:rsidR="00C0245A" w:rsidRPr="00813D19">
        <w:rPr>
          <w:bCs/>
          <w:lang w:val="en-US"/>
        </w:rPr>
        <w:t>participation of communities</w:t>
      </w:r>
      <w:r w:rsidR="00727AD3" w:rsidRPr="00813D19">
        <w:rPr>
          <w:bCs/>
          <w:lang w:val="en-US"/>
        </w:rPr>
        <w:t xml:space="preserve">, which was very present in the file. In this way, </w:t>
      </w:r>
      <w:r w:rsidR="00813D19" w:rsidRPr="00813D19">
        <w:rPr>
          <w:bCs/>
          <w:lang w:val="en-US"/>
        </w:rPr>
        <w:t>Guatemala</w:t>
      </w:r>
      <w:r w:rsidR="00727AD3" w:rsidRPr="00813D19">
        <w:rPr>
          <w:bCs/>
          <w:lang w:val="en-US"/>
        </w:rPr>
        <w:t xml:space="preserve"> acknowledged the </w:t>
      </w:r>
      <w:r w:rsidR="00C0245A" w:rsidRPr="00813D19">
        <w:rPr>
          <w:bCs/>
          <w:lang w:val="en-US"/>
        </w:rPr>
        <w:t xml:space="preserve">value </w:t>
      </w:r>
      <w:r w:rsidR="00727AD3" w:rsidRPr="00813D19">
        <w:rPr>
          <w:bCs/>
          <w:lang w:val="en-US"/>
        </w:rPr>
        <w:t xml:space="preserve">of </w:t>
      </w:r>
      <w:r w:rsidR="00C0245A" w:rsidRPr="00813D19">
        <w:rPr>
          <w:bCs/>
          <w:lang w:val="en-US"/>
        </w:rPr>
        <w:t xml:space="preserve">Jamaica’s </w:t>
      </w:r>
      <w:r w:rsidR="00727AD3" w:rsidRPr="00813D19">
        <w:rPr>
          <w:bCs/>
          <w:lang w:val="en-US"/>
        </w:rPr>
        <w:t>file</w:t>
      </w:r>
      <w:r w:rsidR="00E72560">
        <w:rPr>
          <w:bCs/>
          <w:lang w:val="en-US"/>
        </w:rPr>
        <w:t>.</w:t>
      </w:r>
    </w:p>
    <w:p w14:paraId="7C11C149" w14:textId="2DE19B11" w:rsidR="00BC197D" w:rsidRPr="00813D19" w:rsidRDefault="00BC197D"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Armenia</w:t>
      </w:r>
      <w:r w:rsidR="001859CB" w:rsidRPr="00813D19">
        <w:rPr>
          <w:color w:val="000000" w:themeColor="text1"/>
          <w:lang w:val="en-US"/>
        </w:rPr>
        <w:t xml:space="preserve"> </w:t>
      </w:r>
      <w:r w:rsidR="001859CB" w:rsidRPr="00813D19">
        <w:rPr>
          <w:bCs/>
          <w:lang w:val="en-US"/>
        </w:rPr>
        <w:t>join</w:t>
      </w:r>
      <w:r w:rsidR="009378C3" w:rsidRPr="00813D19">
        <w:rPr>
          <w:bCs/>
          <w:lang w:val="en-US"/>
        </w:rPr>
        <w:t>ed</w:t>
      </w:r>
      <w:r w:rsidR="001859CB" w:rsidRPr="00813D19">
        <w:rPr>
          <w:bCs/>
          <w:lang w:val="en-US"/>
        </w:rPr>
        <w:t xml:space="preserve"> the positive ambience and quote</w:t>
      </w:r>
      <w:r w:rsidR="009378C3" w:rsidRPr="00813D19">
        <w:rPr>
          <w:bCs/>
          <w:lang w:val="en-US"/>
        </w:rPr>
        <w:t>d</w:t>
      </w:r>
      <w:r w:rsidR="001859CB" w:rsidRPr="00813D19">
        <w:rPr>
          <w:bCs/>
          <w:lang w:val="en-US"/>
        </w:rPr>
        <w:t xml:space="preserve"> the </w:t>
      </w:r>
      <w:r w:rsidR="00073727" w:rsidRPr="00813D19">
        <w:rPr>
          <w:bCs/>
          <w:lang w:val="en-US"/>
        </w:rPr>
        <w:t xml:space="preserve">words of </w:t>
      </w:r>
      <w:r w:rsidR="001859CB" w:rsidRPr="00813D19">
        <w:rPr>
          <w:bCs/>
          <w:lang w:val="en-US"/>
        </w:rPr>
        <w:t>UNESCO</w:t>
      </w:r>
      <w:r w:rsidR="004B76D9">
        <w:rPr>
          <w:bCs/>
          <w:lang w:val="en-US"/>
        </w:rPr>
        <w:t>:</w:t>
      </w:r>
      <w:r w:rsidR="001859CB" w:rsidRPr="00813D19">
        <w:rPr>
          <w:bCs/>
          <w:lang w:val="en-US"/>
        </w:rPr>
        <w:t xml:space="preserve"> “since wars begin in the minds of men and women</w:t>
      </w:r>
      <w:r w:rsidR="00073727" w:rsidRPr="00813D19">
        <w:rPr>
          <w:bCs/>
          <w:lang w:val="en-US"/>
        </w:rPr>
        <w:t>,</w:t>
      </w:r>
      <w:r w:rsidR="001859CB" w:rsidRPr="00813D19">
        <w:rPr>
          <w:bCs/>
          <w:lang w:val="en-US"/>
        </w:rPr>
        <w:t xml:space="preserve"> it is in the minds of men and women that the defenses of peace must be constructed.” </w:t>
      </w:r>
      <w:r w:rsidR="00073727" w:rsidRPr="00813D19">
        <w:rPr>
          <w:bCs/>
          <w:lang w:val="en-US"/>
        </w:rPr>
        <w:t xml:space="preserve">Thus, </w:t>
      </w:r>
      <w:r w:rsidR="001859CB" w:rsidRPr="00813D19">
        <w:rPr>
          <w:bCs/>
          <w:lang w:val="en-US"/>
        </w:rPr>
        <w:t>in line with these words</w:t>
      </w:r>
      <w:r w:rsidR="00073727" w:rsidRPr="00813D19">
        <w:rPr>
          <w:bCs/>
          <w:lang w:val="en-US"/>
        </w:rPr>
        <w:t xml:space="preserve">, the delegation </w:t>
      </w:r>
      <w:r w:rsidR="001859CB" w:rsidRPr="00813D19">
        <w:rPr>
          <w:bCs/>
          <w:lang w:val="en-US"/>
        </w:rPr>
        <w:t>express</w:t>
      </w:r>
      <w:r w:rsidR="00073727" w:rsidRPr="00813D19">
        <w:rPr>
          <w:bCs/>
          <w:lang w:val="en-US"/>
        </w:rPr>
        <w:t>ed</w:t>
      </w:r>
      <w:r w:rsidR="001859CB" w:rsidRPr="00813D19">
        <w:rPr>
          <w:bCs/>
          <w:lang w:val="en-US"/>
        </w:rPr>
        <w:t xml:space="preserve"> </w:t>
      </w:r>
      <w:r w:rsidR="004B76D9">
        <w:rPr>
          <w:bCs/>
          <w:lang w:val="en-US"/>
        </w:rPr>
        <w:t xml:space="preserve">its </w:t>
      </w:r>
      <w:r w:rsidR="001859CB" w:rsidRPr="00813D19">
        <w:rPr>
          <w:bCs/>
          <w:lang w:val="en-US"/>
        </w:rPr>
        <w:t>gratitude to Palestine and Cuba for introducing the draft amendments</w:t>
      </w:r>
      <w:r w:rsidR="00073727" w:rsidRPr="00813D19">
        <w:rPr>
          <w:bCs/>
          <w:lang w:val="en-US"/>
        </w:rPr>
        <w:t>,</w:t>
      </w:r>
      <w:r w:rsidR="001859CB" w:rsidRPr="00813D19">
        <w:rPr>
          <w:bCs/>
          <w:lang w:val="en-US"/>
        </w:rPr>
        <w:t xml:space="preserve"> and join</w:t>
      </w:r>
      <w:r w:rsidR="00073727" w:rsidRPr="00813D19">
        <w:rPr>
          <w:bCs/>
          <w:lang w:val="en-US"/>
        </w:rPr>
        <w:t>ed</w:t>
      </w:r>
      <w:r w:rsidR="001859CB" w:rsidRPr="00813D19">
        <w:rPr>
          <w:bCs/>
          <w:lang w:val="en-US"/>
        </w:rPr>
        <w:t xml:space="preserve"> the previous speakers to </w:t>
      </w:r>
      <w:r w:rsidR="00073727" w:rsidRPr="00813D19">
        <w:rPr>
          <w:bCs/>
          <w:lang w:val="en-US"/>
        </w:rPr>
        <w:t>allow Jamaica</w:t>
      </w:r>
      <w:r w:rsidR="001859CB" w:rsidRPr="00813D19">
        <w:rPr>
          <w:bCs/>
          <w:lang w:val="en-US"/>
        </w:rPr>
        <w:t xml:space="preserve"> to make the clarifications </w:t>
      </w:r>
      <w:r w:rsidR="00727AD3" w:rsidRPr="00813D19">
        <w:rPr>
          <w:bCs/>
          <w:lang w:val="en-US"/>
        </w:rPr>
        <w:t xml:space="preserve">necessary </w:t>
      </w:r>
      <w:r w:rsidR="001859CB" w:rsidRPr="00813D19">
        <w:rPr>
          <w:bCs/>
          <w:lang w:val="en-US"/>
        </w:rPr>
        <w:t xml:space="preserve">for </w:t>
      </w:r>
      <w:r w:rsidR="00073727" w:rsidRPr="00813D19">
        <w:rPr>
          <w:bCs/>
          <w:lang w:val="en-US"/>
        </w:rPr>
        <w:t xml:space="preserve">a positive outcome </w:t>
      </w:r>
      <w:r w:rsidR="001859CB" w:rsidRPr="00813D19">
        <w:rPr>
          <w:bCs/>
          <w:lang w:val="en-US"/>
        </w:rPr>
        <w:t>because music enhance</w:t>
      </w:r>
      <w:r w:rsidR="00073727" w:rsidRPr="00813D19">
        <w:rPr>
          <w:bCs/>
          <w:lang w:val="en-US"/>
        </w:rPr>
        <w:t xml:space="preserve">d cultural dialogue and the </w:t>
      </w:r>
      <w:r w:rsidR="001859CB" w:rsidRPr="00813D19">
        <w:rPr>
          <w:bCs/>
          <w:lang w:val="en-US"/>
        </w:rPr>
        <w:t xml:space="preserve">exchanges between </w:t>
      </w:r>
      <w:r w:rsidR="00073727" w:rsidRPr="00813D19">
        <w:rPr>
          <w:bCs/>
          <w:lang w:val="en-US"/>
        </w:rPr>
        <w:t xml:space="preserve">people </w:t>
      </w:r>
      <w:r w:rsidR="00E72560">
        <w:rPr>
          <w:bCs/>
          <w:lang w:val="en-US"/>
        </w:rPr>
        <w:t>without leaving anyone behind.</w:t>
      </w:r>
    </w:p>
    <w:p w14:paraId="60C0E981" w14:textId="5F9BBA4E" w:rsidR="009F3065" w:rsidRPr="00813D19" w:rsidRDefault="009F3065"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Zambia</w:t>
      </w:r>
      <w:r w:rsidR="001859CB" w:rsidRPr="00813D19">
        <w:rPr>
          <w:b/>
          <w:color w:val="000000" w:themeColor="text1"/>
          <w:lang w:val="en-US"/>
        </w:rPr>
        <w:t xml:space="preserve"> </w:t>
      </w:r>
      <w:r w:rsidR="001859CB" w:rsidRPr="00813D19">
        <w:rPr>
          <w:bCs/>
          <w:lang w:val="en-US"/>
        </w:rPr>
        <w:t>join</w:t>
      </w:r>
      <w:r w:rsidR="00073727" w:rsidRPr="00813D19">
        <w:rPr>
          <w:bCs/>
          <w:lang w:val="en-US"/>
        </w:rPr>
        <w:t>ed</w:t>
      </w:r>
      <w:r w:rsidR="001859CB" w:rsidRPr="00813D19">
        <w:rPr>
          <w:bCs/>
          <w:lang w:val="en-US"/>
        </w:rPr>
        <w:t xml:space="preserve"> </w:t>
      </w:r>
      <w:r w:rsidR="00073727" w:rsidRPr="00813D19">
        <w:rPr>
          <w:bCs/>
          <w:lang w:val="en-US"/>
        </w:rPr>
        <w:t xml:space="preserve">the </w:t>
      </w:r>
      <w:r w:rsidR="001859CB" w:rsidRPr="00813D19">
        <w:rPr>
          <w:bCs/>
          <w:lang w:val="en-US"/>
        </w:rPr>
        <w:t xml:space="preserve">other Members of </w:t>
      </w:r>
      <w:r w:rsidR="00073727" w:rsidRPr="00813D19">
        <w:rPr>
          <w:bCs/>
          <w:lang w:val="en-US"/>
        </w:rPr>
        <w:t xml:space="preserve">the </w:t>
      </w:r>
      <w:r w:rsidR="001859CB" w:rsidRPr="00813D19">
        <w:rPr>
          <w:bCs/>
          <w:lang w:val="en-US"/>
        </w:rPr>
        <w:t xml:space="preserve">Committee to congratulate the Evaluation Body on the job well done </w:t>
      </w:r>
      <w:r w:rsidR="00073727" w:rsidRPr="00813D19">
        <w:rPr>
          <w:bCs/>
          <w:lang w:val="en-US"/>
        </w:rPr>
        <w:t xml:space="preserve">on </w:t>
      </w:r>
      <w:r w:rsidR="001859CB" w:rsidRPr="00813D19">
        <w:rPr>
          <w:bCs/>
          <w:lang w:val="en-US"/>
        </w:rPr>
        <w:t xml:space="preserve">this particular file. As a Member </w:t>
      </w:r>
      <w:r w:rsidR="00727AD3" w:rsidRPr="00813D19">
        <w:rPr>
          <w:bCs/>
          <w:lang w:val="en-US"/>
        </w:rPr>
        <w:t xml:space="preserve">of the Committee that had </w:t>
      </w:r>
      <w:r w:rsidR="001859CB" w:rsidRPr="00813D19">
        <w:rPr>
          <w:bCs/>
          <w:lang w:val="en-US"/>
        </w:rPr>
        <w:t>that spoke</w:t>
      </w:r>
      <w:r w:rsidR="00727AD3" w:rsidRPr="00813D19">
        <w:rPr>
          <w:bCs/>
          <w:lang w:val="en-US"/>
        </w:rPr>
        <w:t>n</w:t>
      </w:r>
      <w:r w:rsidR="001859CB" w:rsidRPr="00813D19">
        <w:rPr>
          <w:bCs/>
          <w:lang w:val="en-US"/>
        </w:rPr>
        <w:t xml:space="preserve"> strongly in support of the recommendation to establish dialogue between the Evaluation Body and the submitting States during the eleventh session in Addis Ababa, it </w:t>
      </w:r>
      <w:r w:rsidR="00627075" w:rsidRPr="00813D19">
        <w:rPr>
          <w:bCs/>
          <w:lang w:val="en-US"/>
        </w:rPr>
        <w:t>was satisfied</w:t>
      </w:r>
      <w:r w:rsidR="001859CB" w:rsidRPr="00813D19">
        <w:rPr>
          <w:bCs/>
          <w:lang w:val="en-US"/>
        </w:rPr>
        <w:t xml:space="preserve"> to read from this report that dialogue was one of the working procedures adopted by the Secretariat prior to submitting their files to the Evaluation Body. </w:t>
      </w:r>
      <w:r w:rsidR="00627075" w:rsidRPr="00813D19">
        <w:rPr>
          <w:bCs/>
          <w:lang w:val="en-US"/>
        </w:rPr>
        <w:t xml:space="preserve">The delegation </w:t>
      </w:r>
      <w:r w:rsidR="001859CB" w:rsidRPr="00813D19">
        <w:rPr>
          <w:bCs/>
          <w:lang w:val="en-US"/>
        </w:rPr>
        <w:t>believe</w:t>
      </w:r>
      <w:r w:rsidR="00627075" w:rsidRPr="00813D19">
        <w:rPr>
          <w:bCs/>
          <w:lang w:val="en-US"/>
        </w:rPr>
        <w:t>d this had</w:t>
      </w:r>
      <w:r w:rsidR="001859CB" w:rsidRPr="00813D19">
        <w:rPr>
          <w:bCs/>
          <w:lang w:val="en-US"/>
        </w:rPr>
        <w:t xml:space="preserve"> led to an increase in the number of successful submissions</w:t>
      </w:r>
      <w:r w:rsidR="00627075" w:rsidRPr="00813D19">
        <w:rPr>
          <w:bCs/>
          <w:lang w:val="en-US"/>
        </w:rPr>
        <w:t>,</w:t>
      </w:r>
      <w:r w:rsidR="001859CB" w:rsidRPr="00813D19">
        <w:rPr>
          <w:bCs/>
          <w:lang w:val="en-US"/>
        </w:rPr>
        <w:t xml:space="preserve"> in term</w:t>
      </w:r>
      <w:r w:rsidR="00627075" w:rsidRPr="00813D19">
        <w:rPr>
          <w:bCs/>
          <w:lang w:val="en-US"/>
        </w:rPr>
        <w:t xml:space="preserve">s of proposals and nominations, and was thus a </w:t>
      </w:r>
      <w:r w:rsidR="001859CB" w:rsidRPr="00813D19">
        <w:rPr>
          <w:bCs/>
          <w:lang w:val="en-US"/>
        </w:rPr>
        <w:t>step in the right direction</w:t>
      </w:r>
      <w:r w:rsidR="00627075" w:rsidRPr="00813D19">
        <w:rPr>
          <w:bCs/>
          <w:lang w:val="en-US"/>
        </w:rPr>
        <w:t xml:space="preserve">, adding that it would </w:t>
      </w:r>
      <w:r w:rsidR="001859CB" w:rsidRPr="00813D19">
        <w:rPr>
          <w:bCs/>
          <w:lang w:val="en-US"/>
        </w:rPr>
        <w:t xml:space="preserve">like to see this escalated to the engagement between </w:t>
      </w:r>
      <w:r w:rsidR="00627075" w:rsidRPr="00813D19">
        <w:rPr>
          <w:bCs/>
          <w:lang w:val="en-US"/>
        </w:rPr>
        <w:t xml:space="preserve">the </w:t>
      </w:r>
      <w:r w:rsidR="001859CB" w:rsidRPr="00813D19">
        <w:rPr>
          <w:bCs/>
          <w:lang w:val="en-US"/>
        </w:rPr>
        <w:t>su</w:t>
      </w:r>
      <w:r w:rsidR="00627075" w:rsidRPr="00813D19">
        <w:rPr>
          <w:bCs/>
          <w:lang w:val="en-US"/>
        </w:rPr>
        <w:t>bmitting State</w:t>
      </w:r>
      <w:r w:rsidR="001859CB" w:rsidRPr="00813D19">
        <w:rPr>
          <w:bCs/>
          <w:lang w:val="en-US"/>
        </w:rPr>
        <w:t xml:space="preserve"> and the Evaluation Body. </w:t>
      </w:r>
      <w:r w:rsidR="00627075" w:rsidRPr="00813D19">
        <w:rPr>
          <w:bCs/>
          <w:lang w:val="en-US"/>
        </w:rPr>
        <w:t>It was</w:t>
      </w:r>
      <w:r w:rsidR="004B76D9">
        <w:rPr>
          <w:bCs/>
          <w:lang w:val="en-US"/>
        </w:rPr>
        <w:t>,</w:t>
      </w:r>
      <w:r w:rsidR="00627075" w:rsidRPr="00813D19">
        <w:rPr>
          <w:bCs/>
          <w:lang w:val="en-US"/>
        </w:rPr>
        <w:t xml:space="preserve"> however</w:t>
      </w:r>
      <w:r w:rsidR="004B76D9">
        <w:rPr>
          <w:bCs/>
          <w:lang w:val="en-US"/>
        </w:rPr>
        <w:t>,</w:t>
      </w:r>
      <w:r w:rsidR="001859CB" w:rsidRPr="00813D19">
        <w:rPr>
          <w:bCs/>
          <w:lang w:val="en-US"/>
        </w:rPr>
        <w:t xml:space="preserve"> concerned that a reasonable number of submitting States still seem</w:t>
      </w:r>
      <w:r w:rsidR="00627075" w:rsidRPr="00813D19">
        <w:rPr>
          <w:bCs/>
          <w:lang w:val="en-US"/>
        </w:rPr>
        <w:t>ed</w:t>
      </w:r>
      <w:r w:rsidR="001859CB" w:rsidRPr="00813D19">
        <w:rPr>
          <w:bCs/>
          <w:lang w:val="en-US"/>
        </w:rPr>
        <w:t xml:space="preserve"> to struggle to understand the meaning of </w:t>
      </w:r>
      <w:r w:rsidR="00627075" w:rsidRPr="00813D19">
        <w:rPr>
          <w:bCs/>
          <w:lang w:val="en-US"/>
        </w:rPr>
        <w:t xml:space="preserve">R. 2 and U.2 in particular. </w:t>
      </w:r>
      <w:r w:rsidR="001859CB" w:rsidRPr="00813D19">
        <w:rPr>
          <w:bCs/>
          <w:lang w:val="en-US"/>
        </w:rPr>
        <w:t xml:space="preserve">From </w:t>
      </w:r>
      <w:r w:rsidR="00627075" w:rsidRPr="00813D19">
        <w:rPr>
          <w:bCs/>
          <w:lang w:val="en-US"/>
        </w:rPr>
        <w:t xml:space="preserve">its </w:t>
      </w:r>
      <w:r w:rsidR="001859CB" w:rsidRPr="00813D19">
        <w:rPr>
          <w:bCs/>
          <w:lang w:val="en-US"/>
        </w:rPr>
        <w:t>analysis of referrals related to R.2</w:t>
      </w:r>
      <w:r w:rsidR="00627075" w:rsidRPr="00813D19">
        <w:rPr>
          <w:bCs/>
          <w:lang w:val="en-US"/>
        </w:rPr>
        <w:t>,</w:t>
      </w:r>
      <w:r w:rsidR="001859CB" w:rsidRPr="00813D19">
        <w:rPr>
          <w:bCs/>
          <w:lang w:val="en-US"/>
        </w:rPr>
        <w:t xml:space="preserve"> </w:t>
      </w:r>
      <w:r w:rsidR="00627075" w:rsidRPr="00813D19">
        <w:rPr>
          <w:bCs/>
          <w:lang w:val="en-US"/>
        </w:rPr>
        <w:t xml:space="preserve">it seemed that </w:t>
      </w:r>
      <w:r w:rsidR="001859CB" w:rsidRPr="00813D19">
        <w:rPr>
          <w:bCs/>
          <w:lang w:val="en-US"/>
        </w:rPr>
        <w:t xml:space="preserve">the Evaluation Body might need to </w:t>
      </w:r>
      <w:r w:rsidR="00627075" w:rsidRPr="00813D19">
        <w:rPr>
          <w:bCs/>
          <w:lang w:val="en-US"/>
        </w:rPr>
        <w:t>further clarify what it required</w:t>
      </w:r>
      <w:r w:rsidR="001859CB" w:rsidRPr="00813D19">
        <w:rPr>
          <w:bCs/>
          <w:lang w:val="en-US"/>
        </w:rPr>
        <w:t xml:space="preserve"> from </w:t>
      </w:r>
      <w:r w:rsidR="00727AD3" w:rsidRPr="00813D19">
        <w:rPr>
          <w:bCs/>
          <w:lang w:val="en-US"/>
        </w:rPr>
        <w:t xml:space="preserve">submitting </w:t>
      </w:r>
      <w:r w:rsidR="001859CB" w:rsidRPr="00813D19">
        <w:rPr>
          <w:bCs/>
          <w:lang w:val="en-US"/>
        </w:rPr>
        <w:t xml:space="preserve">States. </w:t>
      </w:r>
      <w:r w:rsidR="00627075" w:rsidRPr="00813D19">
        <w:rPr>
          <w:bCs/>
          <w:lang w:val="en-US"/>
        </w:rPr>
        <w:t xml:space="preserve">Was </w:t>
      </w:r>
      <w:r w:rsidR="001859CB" w:rsidRPr="00813D19">
        <w:rPr>
          <w:bCs/>
          <w:lang w:val="en-US"/>
        </w:rPr>
        <w:t>it to state how visible and significant an element is</w:t>
      </w:r>
      <w:r w:rsidR="00627075" w:rsidRPr="00813D19">
        <w:rPr>
          <w:bCs/>
          <w:lang w:val="en-US"/>
        </w:rPr>
        <w:t>?</w:t>
      </w:r>
      <w:r w:rsidR="001859CB" w:rsidRPr="00813D19">
        <w:rPr>
          <w:bCs/>
          <w:lang w:val="en-US"/>
        </w:rPr>
        <w:t xml:space="preserve"> </w:t>
      </w:r>
      <w:r w:rsidR="00727AD3" w:rsidRPr="00813D19">
        <w:rPr>
          <w:bCs/>
          <w:lang w:val="en-US"/>
        </w:rPr>
        <w:t>Or h</w:t>
      </w:r>
      <w:r w:rsidR="001859CB" w:rsidRPr="00813D19">
        <w:rPr>
          <w:bCs/>
          <w:lang w:val="en-US"/>
        </w:rPr>
        <w:t xml:space="preserve">ow the inscription </w:t>
      </w:r>
      <w:r w:rsidR="004B76D9" w:rsidRPr="00813D19">
        <w:rPr>
          <w:bCs/>
          <w:lang w:val="en-US"/>
        </w:rPr>
        <w:t>w</w:t>
      </w:r>
      <w:r w:rsidR="004B76D9">
        <w:rPr>
          <w:bCs/>
          <w:lang w:val="en-US"/>
        </w:rPr>
        <w:t>ould</w:t>
      </w:r>
      <w:r w:rsidR="004B76D9" w:rsidRPr="00813D19">
        <w:rPr>
          <w:bCs/>
          <w:lang w:val="en-US"/>
        </w:rPr>
        <w:t xml:space="preserve"> </w:t>
      </w:r>
      <w:r w:rsidR="001859CB" w:rsidRPr="00813D19">
        <w:rPr>
          <w:bCs/>
          <w:lang w:val="en-US"/>
        </w:rPr>
        <w:t xml:space="preserve">specifically enhance </w:t>
      </w:r>
      <w:r w:rsidR="00627075" w:rsidRPr="00813D19">
        <w:rPr>
          <w:bCs/>
          <w:lang w:val="en-US"/>
        </w:rPr>
        <w:t xml:space="preserve">its </w:t>
      </w:r>
      <w:r w:rsidR="001859CB" w:rsidRPr="00813D19">
        <w:rPr>
          <w:bCs/>
          <w:lang w:val="en-US"/>
        </w:rPr>
        <w:t xml:space="preserve">visibility or significance? </w:t>
      </w:r>
      <w:r w:rsidR="0026785F" w:rsidRPr="00813D19">
        <w:rPr>
          <w:bCs/>
          <w:lang w:val="en-US"/>
        </w:rPr>
        <w:t xml:space="preserve">In order to determine </w:t>
      </w:r>
      <w:r w:rsidR="001859CB" w:rsidRPr="00813D19">
        <w:rPr>
          <w:bCs/>
          <w:lang w:val="en-US"/>
        </w:rPr>
        <w:t xml:space="preserve">how </w:t>
      </w:r>
      <w:r w:rsidR="0026785F" w:rsidRPr="00813D19">
        <w:rPr>
          <w:bCs/>
          <w:lang w:val="en-US"/>
        </w:rPr>
        <w:t xml:space="preserve">a </w:t>
      </w:r>
      <w:r w:rsidR="001859CB" w:rsidRPr="00813D19">
        <w:rPr>
          <w:bCs/>
          <w:lang w:val="en-US"/>
        </w:rPr>
        <w:t xml:space="preserve">particular inscription </w:t>
      </w:r>
      <w:r w:rsidR="0026785F" w:rsidRPr="00813D19">
        <w:rPr>
          <w:bCs/>
          <w:lang w:val="en-US"/>
        </w:rPr>
        <w:t xml:space="preserve">was </w:t>
      </w:r>
      <w:r w:rsidR="001859CB" w:rsidRPr="00813D19">
        <w:rPr>
          <w:bCs/>
          <w:lang w:val="en-US"/>
        </w:rPr>
        <w:t xml:space="preserve">going to enhance the visibility or significance of </w:t>
      </w:r>
      <w:r w:rsidR="0026785F" w:rsidRPr="00813D19">
        <w:rPr>
          <w:bCs/>
          <w:lang w:val="en-US"/>
        </w:rPr>
        <w:t xml:space="preserve">intangible cultural heritage, the Evaluation Body </w:t>
      </w:r>
      <w:r w:rsidR="00D02CCD" w:rsidRPr="00813D19">
        <w:rPr>
          <w:bCs/>
          <w:lang w:val="en-US"/>
        </w:rPr>
        <w:t xml:space="preserve">should clearly indicate what was required </w:t>
      </w:r>
      <w:r w:rsidR="001859CB" w:rsidRPr="00813D19">
        <w:rPr>
          <w:bCs/>
          <w:lang w:val="en-US"/>
        </w:rPr>
        <w:t xml:space="preserve">in that regard. </w:t>
      </w:r>
      <w:r w:rsidR="00D02CCD" w:rsidRPr="00813D19">
        <w:rPr>
          <w:bCs/>
          <w:lang w:val="en-US"/>
        </w:rPr>
        <w:t>O</w:t>
      </w:r>
      <w:r w:rsidR="001859CB" w:rsidRPr="00813D19">
        <w:rPr>
          <w:bCs/>
          <w:lang w:val="en-US"/>
        </w:rPr>
        <w:t xml:space="preserve">nce </w:t>
      </w:r>
      <w:r w:rsidR="00D02CCD" w:rsidRPr="00813D19">
        <w:rPr>
          <w:bCs/>
          <w:lang w:val="en-US"/>
        </w:rPr>
        <w:t>ascertained,</w:t>
      </w:r>
      <w:r w:rsidR="00727AD3" w:rsidRPr="00813D19">
        <w:rPr>
          <w:bCs/>
          <w:lang w:val="en-US"/>
        </w:rPr>
        <w:t xml:space="preserve"> </w:t>
      </w:r>
      <w:r w:rsidR="001859CB" w:rsidRPr="00813D19">
        <w:rPr>
          <w:bCs/>
          <w:lang w:val="en-US"/>
        </w:rPr>
        <w:t xml:space="preserve">few States </w:t>
      </w:r>
      <w:r w:rsidR="004B76D9">
        <w:rPr>
          <w:bCs/>
          <w:lang w:val="en-US"/>
        </w:rPr>
        <w:t>would</w:t>
      </w:r>
      <w:r w:rsidR="004B76D9" w:rsidRPr="00813D19">
        <w:rPr>
          <w:bCs/>
          <w:lang w:val="en-US"/>
        </w:rPr>
        <w:t xml:space="preserve"> </w:t>
      </w:r>
      <w:r w:rsidR="001859CB" w:rsidRPr="00813D19">
        <w:rPr>
          <w:bCs/>
          <w:lang w:val="en-US"/>
        </w:rPr>
        <w:t xml:space="preserve">have a problem understanding or addressing this criterion. With these observations, </w:t>
      </w:r>
      <w:r w:rsidR="00D02CCD" w:rsidRPr="00813D19">
        <w:rPr>
          <w:bCs/>
          <w:lang w:val="en-US"/>
        </w:rPr>
        <w:t xml:space="preserve">the </w:t>
      </w:r>
      <w:r w:rsidR="001859CB" w:rsidRPr="00813D19">
        <w:rPr>
          <w:bCs/>
          <w:lang w:val="en-US"/>
        </w:rPr>
        <w:t>delegation support</w:t>
      </w:r>
      <w:r w:rsidR="00D02CCD" w:rsidRPr="00813D19">
        <w:rPr>
          <w:bCs/>
          <w:lang w:val="en-US"/>
        </w:rPr>
        <w:t>ed</w:t>
      </w:r>
      <w:r w:rsidR="001859CB" w:rsidRPr="00813D19">
        <w:rPr>
          <w:bCs/>
          <w:lang w:val="en-US"/>
        </w:rPr>
        <w:t xml:space="preserve"> the proposal by Cuba and Palestine to inscribe </w:t>
      </w:r>
      <w:r w:rsidR="002F50EA">
        <w:rPr>
          <w:bCs/>
          <w:lang w:val="en-US"/>
        </w:rPr>
        <w:t>R</w:t>
      </w:r>
      <w:r w:rsidR="002F50EA" w:rsidRPr="00813D19">
        <w:rPr>
          <w:bCs/>
          <w:lang w:val="en-US"/>
        </w:rPr>
        <w:t xml:space="preserve">eggae </w:t>
      </w:r>
      <w:r w:rsidR="001859CB" w:rsidRPr="00813D19">
        <w:rPr>
          <w:bCs/>
          <w:lang w:val="en-US"/>
        </w:rPr>
        <w:t xml:space="preserve">on the </w:t>
      </w:r>
      <w:r w:rsidR="00073727" w:rsidRPr="00813D19">
        <w:rPr>
          <w:lang w:val="en-US"/>
        </w:rPr>
        <w:t>Representative List.</w:t>
      </w:r>
    </w:p>
    <w:p w14:paraId="7324A018" w14:textId="74472D08" w:rsidR="00D02CCD" w:rsidRPr="00813D19" w:rsidRDefault="00AF4210"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Togo</w:t>
      </w:r>
      <w:r w:rsidR="001859CB" w:rsidRPr="00813D19">
        <w:rPr>
          <w:b/>
          <w:color w:val="000000" w:themeColor="text1"/>
          <w:lang w:val="en-US"/>
        </w:rPr>
        <w:t xml:space="preserve"> </w:t>
      </w:r>
      <w:r w:rsidR="00D02CCD" w:rsidRPr="00813D19">
        <w:rPr>
          <w:color w:val="000000" w:themeColor="text1"/>
          <w:lang w:val="en-US"/>
        </w:rPr>
        <w:t>thank</w:t>
      </w:r>
      <w:r w:rsidR="004F554E" w:rsidRPr="00813D19">
        <w:rPr>
          <w:color w:val="000000" w:themeColor="text1"/>
          <w:lang w:val="en-US"/>
        </w:rPr>
        <w:t>ed</w:t>
      </w:r>
      <w:r w:rsidR="00D02CCD" w:rsidRPr="00813D19">
        <w:rPr>
          <w:color w:val="000000" w:themeColor="text1"/>
          <w:lang w:val="en-US"/>
        </w:rPr>
        <w:t xml:space="preserve"> the Evaluation Body and the State Party for submitting this </w:t>
      </w:r>
      <w:r w:rsidR="004F554E" w:rsidRPr="00813D19">
        <w:rPr>
          <w:color w:val="000000" w:themeColor="text1"/>
          <w:lang w:val="en-US"/>
        </w:rPr>
        <w:t xml:space="preserve">element, adding that it was </w:t>
      </w:r>
      <w:r w:rsidR="00727AD3" w:rsidRPr="00813D19">
        <w:rPr>
          <w:color w:val="000000" w:themeColor="text1"/>
          <w:lang w:val="en-US"/>
        </w:rPr>
        <w:t>well</w:t>
      </w:r>
      <w:r w:rsidR="004B76D9">
        <w:rPr>
          <w:color w:val="000000" w:themeColor="text1"/>
          <w:lang w:val="en-US"/>
        </w:rPr>
        <w:t>-</w:t>
      </w:r>
      <w:r w:rsidR="00D02CCD" w:rsidRPr="00813D19">
        <w:rPr>
          <w:color w:val="000000" w:themeColor="text1"/>
          <w:lang w:val="en-US"/>
        </w:rPr>
        <w:t xml:space="preserve">known that reggae is a unifying factor. As </w:t>
      </w:r>
      <w:r w:rsidR="004F554E" w:rsidRPr="00813D19">
        <w:rPr>
          <w:color w:val="000000" w:themeColor="text1"/>
          <w:lang w:val="en-US"/>
        </w:rPr>
        <w:t xml:space="preserve">mentioned by </w:t>
      </w:r>
      <w:r w:rsidR="00D02CCD" w:rsidRPr="00813D19">
        <w:rPr>
          <w:color w:val="000000" w:themeColor="text1"/>
          <w:lang w:val="en-US"/>
        </w:rPr>
        <w:t xml:space="preserve">Senegal, Palestine and Cuba, </w:t>
      </w:r>
      <w:r w:rsidR="004F554E" w:rsidRPr="00813D19">
        <w:rPr>
          <w:color w:val="000000" w:themeColor="text1"/>
          <w:lang w:val="en-US"/>
        </w:rPr>
        <w:t xml:space="preserve">the delegation was </w:t>
      </w:r>
      <w:r w:rsidR="00D02CCD" w:rsidRPr="00813D19">
        <w:rPr>
          <w:color w:val="000000" w:themeColor="text1"/>
          <w:lang w:val="en-US"/>
        </w:rPr>
        <w:t xml:space="preserve">delighted that this element </w:t>
      </w:r>
      <w:r w:rsidR="004F554E" w:rsidRPr="00813D19">
        <w:rPr>
          <w:color w:val="000000" w:themeColor="text1"/>
          <w:lang w:val="en-US"/>
        </w:rPr>
        <w:t xml:space="preserve">was </w:t>
      </w:r>
      <w:r w:rsidR="00D02CCD" w:rsidRPr="00813D19">
        <w:rPr>
          <w:color w:val="000000" w:themeColor="text1"/>
          <w:lang w:val="en-US"/>
        </w:rPr>
        <w:t>being presented</w:t>
      </w:r>
      <w:r w:rsidR="00727AD3" w:rsidRPr="00813D19">
        <w:rPr>
          <w:color w:val="000000" w:themeColor="text1"/>
          <w:lang w:val="en-US"/>
        </w:rPr>
        <w:t>,</w:t>
      </w:r>
      <w:r w:rsidR="00D02CCD" w:rsidRPr="00813D19">
        <w:rPr>
          <w:color w:val="000000" w:themeColor="text1"/>
          <w:lang w:val="en-US"/>
        </w:rPr>
        <w:t xml:space="preserve"> and </w:t>
      </w:r>
      <w:r w:rsidR="004F554E" w:rsidRPr="00813D19">
        <w:rPr>
          <w:color w:val="000000" w:themeColor="text1"/>
          <w:lang w:val="en-US"/>
        </w:rPr>
        <w:t xml:space="preserve">it </w:t>
      </w:r>
      <w:r w:rsidR="00D02CCD" w:rsidRPr="00813D19">
        <w:rPr>
          <w:color w:val="000000" w:themeColor="text1"/>
          <w:lang w:val="en-US"/>
        </w:rPr>
        <w:t>support</w:t>
      </w:r>
      <w:r w:rsidR="004F554E" w:rsidRPr="00813D19">
        <w:rPr>
          <w:color w:val="000000" w:themeColor="text1"/>
          <w:lang w:val="en-US"/>
        </w:rPr>
        <w:t>ed</w:t>
      </w:r>
      <w:r w:rsidR="00D02CCD" w:rsidRPr="00813D19">
        <w:rPr>
          <w:color w:val="000000" w:themeColor="text1"/>
          <w:lang w:val="en-US"/>
        </w:rPr>
        <w:t xml:space="preserve"> </w:t>
      </w:r>
      <w:r w:rsidR="004F554E" w:rsidRPr="00813D19">
        <w:rPr>
          <w:color w:val="000000" w:themeColor="text1"/>
          <w:lang w:val="en-US"/>
        </w:rPr>
        <w:t>its inscription. A</w:t>
      </w:r>
      <w:r w:rsidR="00D02CCD" w:rsidRPr="00813D19">
        <w:rPr>
          <w:color w:val="000000" w:themeColor="text1"/>
          <w:lang w:val="en-US"/>
        </w:rPr>
        <w:t>lready in our childhood</w:t>
      </w:r>
      <w:r w:rsidR="00727AD3" w:rsidRPr="00813D19">
        <w:rPr>
          <w:color w:val="000000" w:themeColor="text1"/>
          <w:lang w:val="en-US"/>
        </w:rPr>
        <w:t>s</w:t>
      </w:r>
      <w:r w:rsidR="004F554E" w:rsidRPr="00813D19">
        <w:rPr>
          <w:color w:val="000000" w:themeColor="text1"/>
          <w:lang w:val="en-US"/>
        </w:rPr>
        <w:t>,</w:t>
      </w:r>
      <w:r w:rsidR="00D02CCD" w:rsidRPr="00813D19">
        <w:rPr>
          <w:color w:val="000000" w:themeColor="text1"/>
          <w:lang w:val="en-US"/>
        </w:rPr>
        <w:t xml:space="preserve"> reggae made everyone </w:t>
      </w:r>
      <w:r w:rsidR="004F554E" w:rsidRPr="00813D19">
        <w:rPr>
          <w:color w:val="000000" w:themeColor="text1"/>
          <w:lang w:val="en-US"/>
        </w:rPr>
        <w:t>dance, crossing boundaries and</w:t>
      </w:r>
      <w:r w:rsidR="004B76D9">
        <w:rPr>
          <w:color w:val="000000" w:themeColor="text1"/>
          <w:lang w:val="en-US"/>
        </w:rPr>
        <w:t xml:space="preserve"> acting as</w:t>
      </w:r>
      <w:r w:rsidR="00E72560">
        <w:rPr>
          <w:color w:val="000000" w:themeColor="text1"/>
          <w:lang w:val="en-US"/>
        </w:rPr>
        <w:t xml:space="preserve"> a force for unity.</w:t>
      </w:r>
    </w:p>
    <w:p w14:paraId="2D713932" w14:textId="64C04DF8" w:rsidR="002F41E5" w:rsidRPr="00813D19" w:rsidRDefault="002F41E5"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Japan</w:t>
      </w:r>
      <w:r w:rsidR="001859CB" w:rsidRPr="00813D19">
        <w:rPr>
          <w:b/>
          <w:color w:val="000000" w:themeColor="text1"/>
          <w:lang w:val="en-US"/>
        </w:rPr>
        <w:t xml:space="preserve"> </w:t>
      </w:r>
      <w:r w:rsidR="001859CB" w:rsidRPr="00813D19">
        <w:rPr>
          <w:bCs/>
          <w:lang w:val="en-US"/>
        </w:rPr>
        <w:t>join</w:t>
      </w:r>
      <w:r w:rsidR="004F554E" w:rsidRPr="00813D19">
        <w:rPr>
          <w:bCs/>
          <w:lang w:val="en-US"/>
        </w:rPr>
        <w:t>ed</w:t>
      </w:r>
      <w:r w:rsidR="001859CB" w:rsidRPr="00813D19">
        <w:rPr>
          <w:bCs/>
          <w:lang w:val="en-US"/>
        </w:rPr>
        <w:t xml:space="preserve"> the positive ambience of the many other countries. Needless to say</w:t>
      </w:r>
      <w:r w:rsidR="004F554E" w:rsidRPr="00813D19">
        <w:rPr>
          <w:bCs/>
          <w:lang w:val="en-US"/>
        </w:rPr>
        <w:t>,</w:t>
      </w:r>
      <w:r w:rsidR="001859CB" w:rsidRPr="00813D19">
        <w:rPr>
          <w:bCs/>
          <w:lang w:val="en-US"/>
        </w:rPr>
        <w:t xml:space="preserve"> reggae </w:t>
      </w:r>
      <w:r w:rsidR="003F35A2">
        <w:rPr>
          <w:bCs/>
          <w:lang w:val="en-US"/>
        </w:rPr>
        <w:t>was</w:t>
      </w:r>
      <w:r w:rsidR="003F35A2" w:rsidRPr="00813D19">
        <w:rPr>
          <w:bCs/>
          <w:lang w:val="en-US"/>
        </w:rPr>
        <w:t xml:space="preserve"> </w:t>
      </w:r>
      <w:r w:rsidR="001859CB" w:rsidRPr="00813D19">
        <w:rPr>
          <w:bCs/>
          <w:lang w:val="en-US"/>
        </w:rPr>
        <w:t>well</w:t>
      </w:r>
      <w:r w:rsidR="003F35A2">
        <w:rPr>
          <w:bCs/>
          <w:lang w:val="en-US"/>
        </w:rPr>
        <w:t>-</w:t>
      </w:r>
      <w:r w:rsidR="001859CB" w:rsidRPr="00813D19">
        <w:rPr>
          <w:bCs/>
          <w:lang w:val="en-US"/>
        </w:rPr>
        <w:t>accepted by the internatio</w:t>
      </w:r>
      <w:r w:rsidR="004F554E" w:rsidRPr="00813D19">
        <w:rPr>
          <w:bCs/>
          <w:lang w:val="en-US"/>
        </w:rPr>
        <w:t xml:space="preserve">nal community and loved by so many, including </w:t>
      </w:r>
      <w:r w:rsidR="00727AD3" w:rsidRPr="00813D19">
        <w:rPr>
          <w:bCs/>
          <w:lang w:val="en-US"/>
        </w:rPr>
        <w:t xml:space="preserve">in </w:t>
      </w:r>
      <w:r w:rsidR="001859CB" w:rsidRPr="00813D19">
        <w:rPr>
          <w:bCs/>
          <w:lang w:val="en-US"/>
        </w:rPr>
        <w:t xml:space="preserve">Japan. </w:t>
      </w:r>
      <w:r w:rsidR="004F554E" w:rsidRPr="00813D19">
        <w:rPr>
          <w:bCs/>
          <w:lang w:val="en-US"/>
        </w:rPr>
        <w:t xml:space="preserve">The delegation [on a personal note] </w:t>
      </w:r>
      <w:r w:rsidR="00727AD3" w:rsidRPr="00813D19">
        <w:rPr>
          <w:bCs/>
          <w:lang w:val="en-US"/>
        </w:rPr>
        <w:t>ha</w:t>
      </w:r>
      <w:r w:rsidR="003F35A2">
        <w:rPr>
          <w:bCs/>
          <w:lang w:val="en-US"/>
        </w:rPr>
        <w:t>d</w:t>
      </w:r>
      <w:r w:rsidR="00727AD3" w:rsidRPr="00813D19">
        <w:rPr>
          <w:bCs/>
          <w:lang w:val="en-US"/>
        </w:rPr>
        <w:t xml:space="preserve"> </w:t>
      </w:r>
      <w:r w:rsidR="004F554E" w:rsidRPr="00813D19">
        <w:rPr>
          <w:bCs/>
          <w:lang w:val="en-US"/>
        </w:rPr>
        <w:t xml:space="preserve">loved reggae music for a </w:t>
      </w:r>
      <w:r w:rsidR="00727AD3" w:rsidRPr="00813D19">
        <w:rPr>
          <w:bCs/>
          <w:lang w:val="en-US"/>
        </w:rPr>
        <w:t xml:space="preserve">very </w:t>
      </w:r>
      <w:r w:rsidR="004F554E" w:rsidRPr="00813D19">
        <w:rPr>
          <w:bCs/>
          <w:lang w:val="en-US"/>
        </w:rPr>
        <w:t>long t</w:t>
      </w:r>
      <w:r w:rsidR="001859CB" w:rsidRPr="00813D19">
        <w:rPr>
          <w:bCs/>
          <w:lang w:val="en-US"/>
        </w:rPr>
        <w:t xml:space="preserve">ime. </w:t>
      </w:r>
      <w:r w:rsidR="004F554E" w:rsidRPr="00813D19">
        <w:rPr>
          <w:bCs/>
          <w:lang w:val="en-US"/>
        </w:rPr>
        <w:t xml:space="preserve">Having </w:t>
      </w:r>
      <w:r w:rsidR="001859CB" w:rsidRPr="00813D19">
        <w:rPr>
          <w:bCs/>
          <w:lang w:val="en-US"/>
        </w:rPr>
        <w:t>checked the file</w:t>
      </w:r>
      <w:r w:rsidR="004F554E" w:rsidRPr="00813D19">
        <w:rPr>
          <w:bCs/>
          <w:lang w:val="en-US"/>
        </w:rPr>
        <w:t xml:space="preserve">, </w:t>
      </w:r>
      <w:r w:rsidR="00727AD3" w:rsidRPr="00813D19">
        <w:rPr>
          <w:bCs/>
          <w:lang w:val="en-US"/>
        </w:rPr>
        <w:t xml:space="preserve">the delegation </w:t>
      </w:r>
      <w:r w:rsidR="004F554E" w:rsidRPr="00813D19">
        <w:rPr>
          <w:bCs/>
          <w:lang w:val="en-US"/>
        </w:rPr>
        <w:t>believed that the form in R.</w:t>
      </w:r>
      <w:r w:rsidR="001859CB" w:rsidRPr="00813D19">
        <w:rPr>
          <w:bCs/>
          <w:lang w:val="en-US"/>
        </w:rPr>
        <w:t xml:space="preserve">2 </w:t>
      </w:r>
      <w:r w:rsidR="004F554E" w:rsidRPr="00813D19">
        <w:rPr>
          <w:bCs/>
          <w:lang w:val="en-US"/>
        </w:rPr>
        <w:t>correctly pointed</w:t>
      </w:r>
      <w:r w:rsidR="001859CB" w:rsidRPr="00813D19">
        <w:rPr>
          <w:bCs/>
          <w:lang w:val="en-US"/>
        </w:rPr>
        <w:t xml:space="preserve"> out the role of regga</w:t>
      </w:r>
      <w:r w:rsidR="004F554E" w:rsidRPr="00813D19">
        <w:rPr>
          <w:bCs/>
          <w:lang w:val="en-US"/>
        </w:rPr>
        <w:t xml:space="preserve">e as a facilitator of dialogue, and as such, </w:t>
      </w:r>
      <w:r w:rsidR="00727AD3" w:rsidRPr="00813D19">
        <w:rPr>
          <w:bCs/>
          <w:lang w:val="en-US"/>
        </w:rPr>
        <w:t xml:space="preserve">the file </w:t>
      </w:r>
      <w:r w:rsidR="004F554E" w:rsidRPr="00813D19">
        <w:rPr>
          <w:bCs/>
          <w:lang w:val="en-US"/>
        </w:rPr>
        <w:t xml:space="preserve">had </w:t>
      </w:r>
      <w:r w:rsidR="001859CB" w:rsidRPr="00813D19">
        <w:rPr>
          <w:bCs/>
          <w:lang w:val="en-US"/>
        </w:rPr>
        <w:t xml:space="preserve">met this criterion. </w:t>
      </w:r>
      <w:r w:rsidR="004F554E" w:rsidRPr="00813D19">
        <w:rPr>
          <w:bCs/>
          <w:lang w:val="en-US"/>
        </w:rPr>
        <w:t xml:space="preserve">Regarding R.5, it </w:t>
      </w:r>
      <w:r w:rsidR="001859CB" w:rsidRPr="00813D19">
        <w:rPr>
          <w:bCs/>
          <w:lang w:val="en-US"/>
        </w:rPr>
        <w:t xml:space="preserve">already </w:t>
      </w:r>
      <w:r w:rsidR="004F554E" w:rsidRPr="00813D19">
        <w:rPr>
          <w:bCs/>
          <w:lang w:val="en-US"/>
        </w:rPr>
        <w:t xml:space="preserve">noted the very </w:t>
      </w:r>
      <w:r w:rsidR="001859CB" w:rsidRPr="00813D19">
        <w:rPr>
          <w:bCs/>
          <w:lang w:val="en-US"/>
        </w:rPr>
        <w:t>good support</w:t>
      </w:r>
      <w:r w:rsidR="00727AD3" w:rsidRPr="00813D19">
        <w:rPr>
          <w:bCs/>
          <w:lang w:val="en-US"/>
        </w:rPr>
        <w:t>,</w:t>
      </w:r>
      <w:r w:rsidR="001859CB" w:rsidRPr="00813D19">
        <w:rPr>
          <w:bCs/>
          <w:lang w:val="en-US"/>
        </w:rPr>
        <w:t xml:space="preserve"> </w:t>
      </w:r>
      <w:r w:rsidR="004F554E" w:rsidRPr="00813D19">
        <w:rPr>
          <w:bCs/>
          <w:lang w:val="en-US"/>
        </w:rPr>
        <w:t xml:space="preserve">and it </w:t>
      </w:r>
      <w:r w:rsidR="001859CB" w:rsidRPr="00813D19">
        <w:rPr>
          <w:bCs/>
          <w:lang w:val="en-US"/>
        </w:rPr>
        <w:t>look</w:t>
      </w:r>
      <w:r w:rsidR="004F554E" w:rsidRPr="00813D19">
        <w:rPr>
          <w:bCs/>
          <w:lang w:val="en-US"/>
        </w:rPr>
        <w:t>ed</w:t>
      </w:r>
      <w:r w:rsidR="001859CB" w:rsidRPr="00813D19">
        <w:rPr>
          <w:bCs/>
          <w:lang w:val="en-US"/>
        </w:rPr>
        <w:t xml:space="preserve"> forward to hearing a very positive and convi</w:t>
      </w:r>
      <w:r w:rsidR="00E72560">
        <w:rPr>
          <w:bCs/>
          <w:lang w:val="en-US"/>
        </w:rPr>
        <w:t>ncing explanation from Jamaica.</w:t>
      </w:r>
    </w:p>
    <w:p w14:paraId="516A388F" w14:textId="2A036A7D" w:rsidR="002F41E5" w:rsidRPr="00813D19" w:rsidRDefault="00613C29"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Lebanon </w:t>
      </w:r>
      <w:r w:rsidR="00C711C0" w:rsidRPr="00813D19">
        <w:rPr>
          <w:color w:val="000000" w:themeColor="text1"/>
          <w:lang w:val="en-US"/>
        </w:rPr>
        <w:t>spoke of</w:t>
      </w:r>
      <w:r w:rsidR="00C711C0" w:rsidRPr="00813D19">
        <w:rPr>
          <w:b/>
          <w:color w:val="000000" w:themeColor="text1"/>
          <w:lang w:val="en-US"/>
        </w:rPr>
        <w:t xml:space="preserve"> </w:t>
      </w:r>
      <w:r w:rsidR="00C711C0" w:rsidRPr="00813D19">
        <w:rPr>
          <w:bCs/>
          <w:lang w:val="en-US"/>
        </w:rPr>
        <w:t xml:space="preserve">reggae as </w:t>
      </w:r>
      <w:r w:rsidR="001859CB" w:rsidRPr="00813D19">
        <w:rPr>
          <w:bCs/>
          <w:lang w:val="en-US"/>
        </w:rPr>
        <w:t>internationa</w:t>
      </w:r>
      <w:r w:rsidR="00C711C0" w:rsidRPr="00813D19">
        <w:rPr>
          <w:bCs/>
          <w:lang w:val="en-US"/>
        </w:rPr>
        <w:t xml:space="preserve">l music that touches </w:t>
      </w:r>
      <w:r w:rsidR="00727AD3" w:rsidRPr="00813D19">
        <w:rPr>
          <w:bCs/>
          <w:lang w:val="en-US"/>
        </w:rPr>
        <w:t>hearts</w:t>
      </w:r>
      <w:r w:rsidR="00C711C0" w:rsidRPr="00813D19">
        <w:rPr>
          <w:bCs/>
          <w:lang w:val="en-US"/>
        </w:rPr>
        <w:t xml:space="preserve"> </w:t>
      </w:r>
      <w:r w:rsidR="00727AD3" w:rsidRPr="00813D19">
        <w:rPr>
          <w:bCs/>
          <w:lang w:val="en-US"/>
        </w:rPr>
        <w:t xml:space="preserve">and it thanked </w:t>
      </w:r>
      <w:r w:rsidR="001859CB" w:rsidRPr="00813D19">
        <w:rPr>
          <w:bCs/>
          <w:lang w:val="en-US"/>
        </w:rPr>
        <w:t xml:space="preserve">the countries </w:t>
      </w:r>
      <w:r w:rsidR="00C711C0" w:rsidRPr="00813D19">
        <w:rPr>
          <w:bCs/>
          <w:lang w:val="en-US"/>
        </w:rPr>
        <w:t xml:space="preserve">for submitting the amendments, </w:t>
      </w:r>
      <w:r w:rsidR="00727AD3" w:rsidRPr="00813D19">
        <w:rPr>
          <w:bCs/>
          <w:lang w:val="en-US"/>
        </w:rPr>
        <w:t xml:space="preserve">which it </w:t>
      </w:r>
      <w:r w:rsidR="001859CB" w:rsidRPr="00813D19">
        <w:rPr>
          <w:bCs/>
          <w:lang w:val="en-US"/>
        </w:rPr>
        <w:t>support</w:t>
      </w:r>
      <w:r w:rsidR="00C711C0" w:rsidRPr="00813D19">
        <w:rPr>
          <w:bCs/>
          <w:lang w:val="en-US"/>
        </w:rPr>
        <w:t>ed</w:t>
      </w:r>
      <w:r w:rsidR="00727AD3" w:rsidRPr="00813D19">
        <w:rPr>
          <w:bCs/>
          <w:lang w:val="en-US"/>
        </w:rPr>
        <w:t xml:space="preserve">, </w:t>
      </w:r>
      <w:r w:rsidR="00C711C0" w:rsidRPr="00813D19">
        <w:rPr>
          <w:bCs/>
          <w:lang w:val="en-US"/>
        </w:rPr>
        <w:t xml:space="preserve">but </w:t>
      </w:r>
      <w:r w:rsidR="00727AD3" w:rsidRPr="00813D19">
        <w:rPr>
          <w:bCs/>
          <w:lang w:val="en-US"/>
        </w:rPr>
        <w:t xml:space="preserve">it </w:t>
      </w:r>
      <w:r w:rsidR="00C711C0" w:rsidRPr="00813D19">
        <w:rPr>
          <w:bCs/>
          <w:lang w:val="en-US"/>
        </w:rPr>
        <w:t xml:space="preserve">also wished to hear </w:t>
      </w:r>
      <w:r w:rsidR="00727AD3" w:rsidRPr="00813D19">
        <w:rPr>
          <w:bCs/>
          <w:lang w:val="en-US"/>
        </w:rPr>
        <w:t xml:space="preserve">Jamaica’s </w:t>
      </w:r>
      <w:r w:rsidR="00C711C0" w:rsidRPr="00813D19">
        <w:rPr>
          <w:bCs/>
          <w:lang w:val="en-US"/>
        </w:rPr>
        <w:t>explanations</w:t>
      </w:r>
      <w:r w:rsidR="00E72560">
        <w:rPr>
          <w:bCs/>
          <w:lang w:val="en-US"/>
        </w:rPr>
        <w:t>.</w:t>
      </w:r>
    </w:p>
    <w:p w14:paraId="1E5F88B3" w14:textId="7B93A582" w:rsidR="002A6D8D" w:rsidRPr="00813D19" w:rsidRDefault="00D00739"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Cameroon</w:t>
      </w:r>
      <w:r w:rsidR="001859CB" w:rsidRPr="00813D19">
        <w:rPr>
          <w:b/>
          <w:color w:val="000000" w:themeColor="text1"/>
          <w:lang w:val="en-US"/>
        </w:rPr>
        <w:t xml:space="preserve"> </w:t>
      </w:r>
      <w:r w:rsidR="002A6D8D" w:rsidRPr="00813D19">
        <w:rPr>
          <w:color w:val="000000" w:themeColor="text1"/>
          <w:lang w:val="en-US"/>
        </w:rPr>
        <w:t xml:space="preserve">thanked Mauritius for the arrangements made for the </w:t>
      </w:r>
      <w:r w:rsidR="00B56CD5" w:rsidRPr="00813D19">
        <w:rPr>
          <w:color w:val="000000" w:themeColor="text1"/>
          <w:lang w:val="en-US"/>
        </w:rPr>
        <w:t xml:space="preserve">session, </w:t>
      </w:r>
      <w:r w:rsidR="002A6D8D" w:rsidRPr="00813D19">
        <w:rPr>
          <w:color w:val="000000" w:themeColor="text1"/>
          <w:lang w:val="en-US"/>
        </w:rPr>
        <w:t xml:space="preserve">the </w:t>
      </w:r>
      <w:r w:rsidR="00C01238" w:rsidRPr="00813D19">
        <w:rPr>
          <w:color w:val="000000" w:themeColor="text1"/>
          <w:lang w:val="en-US"/>
        </w:rPr>
        <w:t xml:space="preserve">Chairperson for his chairing of the Committee’s </w:t>
      </w:r>
      <w:r w:rsidR="002A6D8D" w:rsidRPr="00813D19">
        <w:rPr>
          <w:color w:val="000000" w:themeColor="text1"/>
          <w:lang w:val="en-US"/>
        </w:rPr>
        <w:t xml:space="preserve">work, </w:t>
      </w:r>
      <w:r w:rsidR="00B56CD5" w:rsidRPr="00813D19">
        <w:rPr>
          <w:color w:val="000000" w:themeColor="text1"/>
          <w:lang w:val="en-US"/>
        </w:rPr>
        <w:t xml:space="preserve">and </w:t>
      </w:r>
      <w:r w:rsidR="00C01238" w:rsidRPr="00813D19">
        <w:rPr>
          <w:color w:val="000000" w:themeColor="text1"/>
          <w:lang w:val="en-US"/>
        </w:rPr>
        <w:t>the S</w:t>
      </w:r>
      <w:r w:rsidR="002A6D8D" w:rsidRPr="00813D19">
        <w:rPr>
          <w:color w:val="000000" w:themeColor="text1"/>
          <w:lang w:val="en-US"/>
        </w:rPr>
        <w:t xml:space="preserve">ecretariat </w:t>
      </w:r>
      <w:r w:rsidR="00C01238" w:rsidRPr="00813D19">
        <w:rPr>
          <w:color w:val="000000" w:themeColor="text1"/>
          <w:lang w:val="en-US"/>
        </w:rPr>
        <w:t>for the q</w:t>
      </w:r>
      <w:r w:rsidR="002A6D8D" w:rsidRPr="00813D19">
        <w:rPr>
          <w:color w:val="000000" w:themeColor="text1"/>
          <w:lang w:val="en-US"/>
        </w:rPr>
        <w:t xml:space="preserve">uality of </w:t>
      </w:r>
      <w:r w:rsidR="00C01238" w:rsidRPr="00813D19">
        <w:rPr>
          <w:color w:val="000000" w:themeColor="text1"/>
          <w:lang w:val="en-US"/>
        </w:rPr>
        <w:t>the d</w:t>
      </w:r>
      <w:r w:rsidR="002A6D8D" w:rsidRPr="00813D19">
        <w:rPr>
          <w:color w:val="000000" w:themeColor="text1"/>
          <w:lang w:val="en-US"/>
        </w:rPr>
        <w:t>ocuments. Cameroon join</w:t>
      </w:r>
      <w:r w:rsidR="00C01238" w:rsidRPr="00813D19">
        <w:rPr>
          <w:color w:val="000000" w:themeColor="text1"/>
          <w:lang w:val="en-US"/>
        </w:rPr>
        <w:t>ed</w:t>
      </w:r>
      <w:r w:rsidR="002A6D8D" w:rsidRPr="00813D19">
        <w:rPr>
          <w:color w:val="000000" w:themeColor="text1"/>
          <w:lang w:val="en-US"/>
        </w:rPr>
        <w:t xml:space="preserve"> the other delegations</w:t>
      </w:r>
      <w:r w:rsidR="00C01238" w:rsidRPr="00813D19">
        <w:rPr>
          <w:color w:val="000000" w:themeColor="text1"/>
          <w:lang w:val="en-US"/>
        </w:rPr>
        <w:t xml:space="preserve"> in their remarks</w:t>
      </w:r>
      <w:r w:rsidR="002A6D8D" w:rsidRPr="00813D19">
        <w:rPr>
          <w:color w:val="000000" w:themeColor="text1"/>
          <w:lang w:val="en-US"/>
        </w:rPr>
        <w:t xml:space="preserve">, notably Cuba and Palestine, </w:t>
      </w:r>
      <w:r w:rsidR="00B56CD5" w:rsidRPr="00813D19">
        <w:rPr>
          <w:color w:val="000000" w:themeColor="text1"/>
          <w:lang w:val="en-US"/>
        </w:rPr>
        <w:t xml:space="preserve">on </w:t>
      </w:r>
      <w:r w:rsidR="00C01238" w:rsidRPr="00813D19">
        <w:rPr>
          <w:color w:val="000000" w:themeColor="text1"/>
          <w:lang w:val="en-US"/>
        </w:rPr>
        <w:t>this unifying element of reggae</w:t>
      </w:r>
      <w:r w:rsidR="00666879" w:rsidRPr="00813D19">
        <w:rPr>
          <w:color w:val="000000" w:themeColor="text1"/>
          <w:lang w:val="en-US"/>
        </w:rPr>
        <w:t xml:space="preserve">. It also sought to have </w:t>
      </w:r>
      <w:r w:rsidR="002A6D8D" w:rsidRPr="00813D19">
        <w:rPr>
          <w:color w:val="000000" w:themeColor="text1"/>
          <w:lang w:val="en-US"/>
        </w:rPr>
        <w:t xml:space="preserve">more </w:t>
      </w:r>
      <w:r w:rsidR="00C01238" w:rsidRPr="00813D19">
        <w:rPr>
          <w:color w:val="000000" w:themeColor="text1"/>
          <w:lang w:val="en-US"/>
        </w:rPr>
        <w:t xml:space="preserve">information </w:t>
      </w:r>
      <w:r w:rsidR="002A6D8D" w:rsidRPr="00813D19">
        <w:rPr>
          <w:color w:val="000000" w:themeColor="text1"/>
          <w:lang w:val="en-US"/>
        </w:rPr>
        <w:t xml:space="preserve">from the State Party. </w:t>
      </w:r>
      <w:r w:rsidR="00C01238" w:rsidRPr="00813D19">
        <w:rPr>
          <w:color w:val="000000" w:themeColor="text1"/>
          <w:lang w:val="en-US"/>
        </w:rPr>
        <w:t xml:space="preserve">The delegation agreed with Senegal that </w:t>
      </w:r>
      <w:r w:rsidR="002A6D8D" w:rsidRPr="00813D19">
        <w:rPr>
          <w:color w:val="000000" w:themeColor="text1"/>
          <w:lang w:val="en-US"/>
        </w:rPr>
        <w:t xml:space="preserve">reggae should already </w:t>
      </w:r>
      <w:r w:rsidR="00C01238" w:rsidRPr="00813D19">
        <w:rPr>
          <w:color w:val="000000" w:themeColor="text1"/>
          <w:lang w:val="en-US"/>
        </w:rPr>
        <w:t xml:space="preserve">have been inscribed </w:t>
      </w:r>
      <w:r w:rsidR="002A6D8D" w:rsidRPr="00813D19">
        <w:rPr>
          <w:color w:val="000000" w:themeColor="text1"/>
          <w:lang w:val="en-US"/>
        </w:rPr>
        <w:t>as intangible</w:t>
      </w:r>
      <w:r w:rsidR="00666879" w:rsidRPr="00813D19">
        <w:rPr>
          <w:color w:val="000000" w:themeColor="text1"/>
          <w:lang w:val="en-US"/>
        </w:rPr>
        <w:t xml:space="preserve"> cultural heritage of humanity, and it hoped </w:t>
      </w:r>
      <w:r w:rsidR="002A6D8D" w:rsidRPr="00813D19">
        <w:rPr>
          <w:color w:val="000000" w:themeColor="text1"/>
          <w:lang w:val="en-US"/>
        </w:rPr>
        <w:t xml:space="preserve">that </w:t>
      </w:r>
      <w:r w:rsidR="00C01238" w:rsidRPr="00813D19">
        <w:rPr>
          <w:color w:val="000000" w:themeColor="text1"/>
          <w:lang w:val="en-US"/>
        </w:rPr>
        <w:t xml:space="preserve">Jamaica would </w:t>
      </w:r>
      <w:r w:rsidR="002A6D8D" w:rsidRPr="00813D19">
        <w:rPr>
          <w:color w:val="000000" w:themeColor="text1"/>
          <w:lang w:val="en-US"/>
        </w:rPr>
        <w:t xml:space="preserve">provide </w:t>
      </w:r>
      <w:r w:rsidR="00C01238" w:rsidRPr="00813D19">
        <w:rPr>
          <w:color w:val="000000" w:themeColor="text1"/>
          <w:lang w:val="en-US"/>
        </w:rPr>
        <w:t xml:space="preserve">the </w:t>
      </w:r>
      <w:r w:rsidR="002A6D8D" w:rsidRPr="00813D19">
        <w:rPr>
          <w:color w:val="000000" w:themeColor="text1"/>
          <w:lang w:val="en-US"/>
        </w:rPr>
        <w:t xml:space="preserve">explanations </w:t>
      </w:r>
      <w:r w:rsidR="00C01238" w:rsidRPr="00813D19">
        <w:rPr>
          <w:color w:val="000000" w:themeColor="text1"/>
          <w:lang w:val="en-US"/>
        </w:rPr>
        <w:t xml:space="preserve">required to inscribe </w:t>
      </w:r>
      <w:r w:rsidR="002A6D8D" w:rsidRPr="00813D19">
        <w:rPr>
          <w:color w:val="000000" w:themeColor="text1"/>
          <w:lang w:val="en-US"/>
        </w:rPr>
        <w:t>this very important element for peace in the w</w:t>
      </w:r>
      <w:r w:rsidR="00666879" w:rsidRPr="00813D19">
        <w:rPr>
          <w:color w:val="000000" w:themeColor="text1"/>
          <w:lang w:val="en-US"/>
        </w:rPr>
        <w:t>orld</w:t>
      </w:r>
      <w:r w:rsidR="002A6D8D" w:rsidRPr="00813D19">
        <w:rPr>
          <w:color w:val="000000" w:themeColor="text1"/>
          <w:lang w:val="en-US"/>
        </w:rPr>
        <w:t>.</w:t>
      </w:r>
    </w:p>
    <w:p w14:paraId="78994704" w14:textId="5D74E68B" w:rsidR="00796BA7" w:rsidRPr="00813D19" w:rsidRDefault="00A717EF"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Djibouti </w:t>
      </w:r>
      <w:r w:rsidR="00796BA7" w:rsidRPr="00813D19">
        <w:rPr>
          <w:color w:val="000000" w:themeColor="text1"/>
          <w:lang w:val="en-US"/>
        </w:rPr>
        <w:t>congratulated the Evaluation Body for the excellent work done, characterized by its technical approach and know-how. Indeed,</w:t>
      </w:r>
      <w:r w:rsidR="00666879" w:rsidRPr="00813D19">
        <w:rPr>
          <w:color w:val="000000" w:themeColor="text1"/>
          <w:lang w:val="en-US"/>
        </w:rPr>
        <w:t xml:space="preserve"> the Evaluation Body constituted</w:t>
      </w:r>
      <w:r w:rsidR="00796BA7" w:rsidRPr="00813D19">
        <w:rPr>
          <w:color w:val="000000" w:themeColor="text1"/>
          <w:lang w:val="en-US"/>
        </w:rPr>
        <w:t xml:space="preserve"> the fundamental pillar of credibility </w:t>
      </w:r>
      <w:r w:rsidR="00666879" w:rsidRPr="00813D19">
        <w:rPr>
          <w:color w:val="000000" w:themeColor="text1"/>
          <w:lang w:val="en-US"/>
        </w:rPr>
        <w:t>with</w:t>
      </w:r>
      <w:r w:rsidR="00796BA7" w:rsidRPr="00813D19">
        <w:rPr>
          <w:color w:val="000000" w:themeColor="text1"/>
          <w:lang w:val="en-US"/>
        </w:rPr>
        <w:t xml:space="preserve"> regard to the examination of files. At this stage, the delegation stressed the importance of addressing criterion R.2, which required clarification and further development, as well as the need for cap</w:t>
      </w:r>
      <w:r w:rsidR="00666879" w:rsidRPr="00813D19">
        <w:rPr>
          <w:color w:val="000000" w:themeColor="text1"/>
          <w:lang w:val="en-US"/>
        </w:rPr>
        <w:t>ac</w:t>
      </w:r>
      <w:r w:rsidR="00796BA7" w:rsidRPr="00813D19">
        <w:rPr>
          <w:color w:val="000000" w:themeColor="text1"/>
          <w:lang w:val="en-US"/>
        </w:rPr>
        <w:t>ity</w:t>
      </w:r>
      <w:r w:rsidR="004B76D9">
        <w:rPr>
          <w:color w:val="000000" w:themeColor="text1"/>
          <w:lang w:val="en-US"/>
        </w:rPr>
        <w:t xml:space="preserve"> </w:t>
      </w:r>
      <w:r w:rsidR="00796BA7" w:rsidRPr="00813D19">
        <w:rPr>
          <w:color w:val="000000" w:themeColor="text1"/>
          <w:lang w:val="en-US"/>
        </w:rPr>
        <w:t xml:space="preserve">building at the level of the communities and the States Parties. Regarding criterion R.2, it agreed with the various remarks made in this sense. With regard to the file by Jamaica on reggae, </w:t>
      </w:r>
      <w:r w:rsidR="00666879" w:rsidRPr="00813D19">
        <w:rPr>
          <w:color w:val="000000" w:themeColor="text1"/>
          <w:lang w:val="en-US"/>
        </w:rPr>
        <w:t xml:space="preserve">it </w:t>
      </w:r>
      <w:r w:rsidR="00796BA7" w:rsidRPr="00813D19">
        <w:rPr>
          <w:color w:val="000000" w:themeColor="text1"/>
          <w:lang w:val="en-US"/>
        </w:rPr>
        <w:t xml:space="preserve">believed that the file should have been </w:t>
      </w:r>
      <w:r w:rsidR="00666879" w:rsidRPr="00813D19">
        <w:rPr>
          <w:color w:val="000000" w:themeColor="text1"/>
          <w:lang w:val="en-US"/>
        </w:rPr>
        <w:t xml:space="preserve">submitted </w:t>
      </w:r>
      <w:r w:rsidR="00796BA7" w:rsidRPr="00813D19">
        <w:rPr>
          <w:color w:val="000000" w:themeColor="text1"/>
          <w:lang w:val="en-US"/>
        </w:rPr>
        <w:t>a long time ago and already inscribed on the Representative List</w:t>
      </w:r>
      <w:r w:rsidR="003F35A2">
        <w:rPr>
          <w:color w:val="000000" w:themeColor="text1"/>
          <w:lang w:val="en-US"/>
        </w:rPr>
        <w:t xml:space="preserve">; </w:t>
      </w:r>
      <w:r w:rsidR="00796BA7" w:rsidRPr="00813D19">
        <w:rPr>
          <w:color w:val="000000" w:themeColor="text1"/>
          <w:lang w:val="en-US"/>
        </w:rPr>
        <w:t xml:space="preserve">it thought </w:t>
      </w:r>
      <w:r w:rsidR="003F35A2">
        <w:rPr>
          <w:color w:val="000000" w:themeColor="text1"/>
          <w:lang w:val="en-US"/>
        </w:rPr>
        <w:t xml:space="preserve">it </w:t>
      </w:r>
      <w:r w:rsidR="00796BA7" w:rsidRPr="00813D19">
        <w:rPr>
          <w:color w:val="000000" w:themeColor="text1"/>
          <w:lang w:val="en-US"/>
        </w:rPr>
        <w:t>had been inscribed in 2011. The delegation therefore supported all the previous interventions relative to the inscription of th</w:t>
      </w:r>
      <w:r w:rsidR="003F35A2">
        <w:rPr>
          <w:color w:val="000000" w:themeColor="text1"/>
          <w:lang w:val="en-US"/>
        </w:rPr>
        <w:t>e</w:t>
      </w:r>
      <w:r w:rsidR="00796BA7" w:rsidRPr="00813D19">
        <w:rPr>
          <w:color w:val="000000" w:themeColor="text1"/>
          <w:lang w:val="en-US"/>
        </w:rPr>
        <w:t xml:space="preserve"> element.</w:t>
      </w:r>
    </w:p>
    <w:p w14:paraId="30BA531F" w14:textId="19625124" w:rsidR="005A3CE0" w:rsidRPr="00813D19" w:rsidRDefault="005A3CE0"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Cyprus</w:t>
      </w:r>
      <w:r w:rsidR="001859CB" w:rsidRPr="00813D19">
        <w:rPr>
          <w:b/>
          <w:color w:val="000000" w:themeColor="text1"/>
          <w:lang w:val="en-US"/>
        </w:rPr>
        <w:t xml:space="preserve"> </w:t>
      </w:r>
      <w:r w:rsidR="00C711C0" w:rsidRPr="00813D19">
        <w:rPr>
          <w:bCs/>
          <w:lang w:val="en-US"/>
        </w:rPr>
        <w:t>supported</w:t>
      </w:r>
      <w:r w:rsidR="001859CB" w:rsidRPr="00813D19">
        <w:rPr>
          <w:bCs/>
          <w:lang w:val="en-US"/>
        </w:rPr>
        <w:t xml:space="preserve"> the amendments</w:t>
      </w:r>
      <w:r w:rsidR="00E72560">
        <w:rPr>
          <w:bCs/>
          <w:lang w:val="en-US"/>
        </w:rPr>
        <w:t xml:space="preserve"> for the inscription of reggae.</w:t>
      </w:r>
    </w:p>
    <w:p w14:paraId="60B4744B" w14:textId="103E75F1" w:rsidR="00326AED" w:rsidRPr="00813D19" w:rsidRDefault="00326AED"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Kuwait</w:t>
      </w:r>
      <w:r w:rsidR="001859CB" w:rsidRPr="00813D19">
        <w:rPr>
          <w:bCs/>
          <w:lang w:val="en-US"/>
        </w:rPr>
        <w:t xml:space="preserve"> also agree</w:t>
      </w:r>
      <w:r w:rsidR="00C711C0" w:rsidRPr="00813D19">
        <w:rPr>
          <w:bCs/>
          <w:lang w:val="en-US"/>
        </w:rPr>
        <w:t>d</w:t>
      </w:r>
      <w:r w:rsidR="001859CB" w:rsidRPr="00813D19">
        <w:rPr>
          <w:bCs/>
          <w:lang w:val="en-US"/>
        </w:rPr>
        <w:t xml:space="preserve"> with the proposa</w:t>
      </w:r>
      <w:r w:rsidR="00C711C0" w:rsidRPr="00813D19">
        <w:rPr>
          <w:bCs/>
          <w:lang w:val="en-US"/>
        </w:rPr>
        <w:t xml:space="preserve">l by Cuba and the other Members, </w:t>
      </w:r>
      <w:r w:rsidR="001859CB" w:rsidRPr="00813D19">
        <w:rPr>
          <w:bCs/>
          <w:lang w:val="en-US"/>
        </w:rPr>
        <w:t xml:space="preserve">and </w:t>
      </w:r>
      <w:r w:rsidR="00666879" w:rsidRPr="00813D19">
        <w:rPr>
          <w:bCs/>
          <w:lang w:val="en-US"/>
        </w:rPr>
        <w:t>wished to h</w:t>
      </w:r>
      <w:r w:rsidR="00C711C0" w:rsidRPr="00813D19">
        <w:rPr>
          <w:bCs/>
          <w:lang w:val="en-US"/>
        </w:rPr>
        <w:t>e</w:t>
      </w:r>
      <w:r w:rsidR="00666879" w:rsidRPr="00813D19">
        <w:rPr>
          <w:bCs/>
          <w:lang w:val="en-US"/>
        </w:rPr>
        <w:t>a</w:t>
      </w:r>
      <w:r w:rsidR="00C711C0" w:rsidRPr="00813D19">
        <w:rPr>
          <w:bCs/>
          <w:lang w:val="en-US"/>
        </w:rPr>
        <w:t xml:space="preserve">r about </w:t>
      </w:r>
      <w:r w:rsidR="001859CB" w:rsidRPr="00813D19">
        <w:rPr>
          <w:bCs/>
          <w:lang w:val="en-US"/>
        </w:rPr>
        <w:t>the inventory</w:t>
      </w:r>
      <w:r w:rsidR="00E72560">
        <w:rPr>
          <w:bCs/>
          <w:lang w:val="en-US"/>
        </w:rPr>
        <w:t xml:space="preserve"> from the submitting State.</w:t>
      </w:r>
    </w:p>
    <w:p w14:paraId="6E770711" w14:textId="3F2DBC00" w:rsidR="00307A73" w:rsidRPr="00813D19" w:rsidRDefault="00307A73"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China</w:t>
      </w:r>
      <w:r w:rsidR="001859CB" w:rsidRPr="00813D19">
        <w:rPr>
          <w:b/>
          <w:color w:val="000000" w:themeColor="text1"/>
          <w:lang w:val="en-US"/>
        </w:rPr>
        <w:t xml:space="preserve"> </w:t>
      </w:r>
      <w:r w:rsidR="002A6D8D" w:rsidRPr="00813D19">
        <w:rPr>
          <w:bCs/>
          <w:lang w:val="en-US"/>
        </w:rPr>
        <w:t xml:space="preserve">followed </w:t>
      </w:r>
      <w:r w:rsidR="001859CB" w:rsidRPr="00813D19">
        <w:rPr>
          <w:bCs/>
          <w:lang w:val="en-US"/>
        </w:rPr>
        <w:t xml:space="preserve">the interventions by the Committee Members </w:t>
      </w:r>
      <w:r w:rsidR="00666879" w:rsidRPr="00813D19">
        <w:rPr>
          <w:bCs/>
          <w:lang w:val="en-US"/>
        </w:rPr>
        <w:t>in appreciating</w:t>
      </w:r>
      <w:r w:rsidR="001859CB" w:rsidRPr="00813D19">
        <w:rPr>
          <w:bCs/>
          <w:lang w:val="en-US"/>
        </w:rPr>
        <w:t xml:space="preserve"> this valuable element</w:t>
      </w:r>
      <w:r w:rsidR="003E4323" w:rsidRPr="00813D19">
        <w:rPr>
          <w:bCs/>
          <w:lang w:val="en-US"/>
        </w:rPr>
        <w:t xml:space="preserve">, adding that </w:t>
      </w:r>
      <w:r w:rsidR="001859CB" w:rsidRPr="00813D19">
        <w:rPr>
          <w:bCs/>
          <w:lang w:val="en-US"/>
        </w:rPr>
        <w:t xml:space="preserve">all these interventions </w:t>
      </w:r>
      <w:r w:rsidR="003E4323" w:rsidRPr="00813D19">
        <w:rPr>
          <w:bCs/>
          <w:lang w:val="en-US"/>
        </w:rPr>
        <w:t xml:space="preserve">held </w:t>
      </w:r>
      <w:r w:rsidR="001859CB" w:rsidRPr="00813D19">
        <w:rPr>
          <w:bCs/>
          <w:lang w:val="en-US"/>
        </w:rPr>
        <w:t xml:space="preserve">a common understanding that the Evaluation Body’s work </w:t>
      </w:r>
      <w:r w:rsidR="003E4323" w:rsidRPr="00813D19">
        <w:rPr>
          <w:bCs/>
          <w:lang w:val="en-US"/>
        </w:rPr>
        <w:t xml:space="preserve">was </w:t>
      </w:r>
      <w:r w:rsidR="001859CB" w:rsidRPr="00813D19">
        <w:rPr>
          <w:bCs/>
          <w:lang w:val="en-US"/>
        </w:rPr>
        <w:t xml:space="preserve">based on the </w:t>
      </w:r>
      <w:r w:rsidR="003E4323" w:rsidRPr="00813D19">
        <w:rPr>
          <w:bCs/>
          <w:lang w:val="en-US"/>
        </w:rPr>
        <w:t xml:space="preserve">material </w:t>
      </w:r>
      <w:r w:rsidR="001859CB" w:rsidRPr="00813D19">
        <w:rPr>
          <w:bCs/>
          <w:lang w:val="en-US"/>
        </w:rPr>
        <w:t xml:space="preserve">submitted </w:t>
      </w:r>
      <w:r w:rsidR="003E4323" w:rsidRPr="00813D19">
        <w:rPr>
          <w:bCs/>
          <w:lang w:val="en-US"/>
        </w:rPr>
        <w:t>in the nomination file by the State</w:t>
      </w:r>
      <w:r w:rsidR="001859CB" w:rsidRPr="00813D19">
        <w:rPr>
          <w:bCs/>
          <w:lang w:val="en-US"/>
        </w:rPr>
        <w:t xml:space="preserve"> Party. </w:t>
      </w:r>
      <w:r w:rsidR="003E4323" w:rsidRPr="00813D19">
        <w:rPr>
          <w:bCs/>
          <w:lang w:val="en-US"/>
        </w:rPr>
        <w:t>G</w:t>
      </w:r>
      <w:r w:rsidR="001859CB" w:rsidRPr="00813D19">
        <w:rPr>
          <w:bCs/>
          <w:lang w:val="en-US"/>
        </w:rPr>
        <w:t>iven that context</w:t>
      </w:r>
      <w:r w:rsidR="003E4323" w:rsidRPr="00813D19">
        <w:rPr>
          <w:bCs/>
          <w:lang w:val="en-US"/>
        </w:rPr>
        <w:t>,</w:t>
      </w:r>
      <w:r w:rsidR="001859CB" w:rsidRPr="00813D19">
        <w:rPr>
          <w:bCs/>
          <w:lang w:val="en-US"/>
        </w:rPr>
        <w:t xml:space="preserve"> </w:t>
      </w:r>
      <w:r w:rsidR="003E4323" w:rsidRPr="00813D19">
        <w:rPr>
          <w:bCs/>
          <w:lang w:val="en-US"/>
        </w:rPr>
        <w:t xml:space="preserve">the </w:t>
      </w:r>
      <w:r w:rsidR="001859CB" w:rsidRPr="00813D19">
        <w:rPr>
          <w:bCs/>
          <w:lang w:val="en-US"/>
        </w:rPr>
        <w:t xml:space="preserve">comments or recommendations </w:t>
      </w:r>
      <w:r w:rsidR="00666879" w:rsidRPr="00813D19">
        <w:rPr>
          <w:bCs/>
          <w:lang w:val="en-US"/>
        </w:rPr>
        <w:t xml:space="preserve">by the Evaluation Body </w:t>
      </w:r>
      <w:r w:rsidR="003E4323" w:rsidRPr="00813D19">
        <w:rPr>
          <w:bCs/>
          <w:lang w:val="en-US"/>
        </w:rPr>
        <w:t xml:space="preserve">did not </w:t>
      </w:r>
      <w:r w:rsidR="00666879" w:rsidRPr="00813D19">
        <w:rPr>
          <w:bCs/>
          <w:lang w:val="en-US"/>
        </w:rPr>
        <w:t xml:space="preserve">attempt to </w:t>
      </w:r>
      <w:r w:rsidR="001859CB" w:rsidRPr="00813D19">
        <w:rPr>
          <w:bCs/>
          <w:lang w:val="en-US"/>
        </w:rPr>
        <w:t>judge the value o</w:t>
      </w:r>
      <w:r w:rsidR="003E4323" w:rsidRPr="00813D19">
        <w:rPr>
          <w:bCs/>
          <w:lang w:val="en-US"/>
        </w:rPr>
        <w:t>f the nominated element</w:t>
      </w:r>
      <w:r w:rsidR="00666879" w:rsidRPr="00813D19">
        <w:rPr>
          <w:bCs/>
          <w:lang w:val="en-US"/>
        </w:rPr>
        <w:t>, but</w:t>
      </w:r>
      <w:r w:rsidR="003E4323" w:rsidRPr="00813D19">
        <w:rPr>
          <w:bCs/>
          <w:lang w:val="en-US"/>
        </w:rPr>
        <w:t xml:space="preserve"> </w:t>
      </w:r>
      <w:r w:rsidR="001A7CD1" w:rsidRPr="00813D19">
        <w:rPr>
          <w:bCs/>
          <w:lang w:val="en-US"/>
        </w:rPr>
        <w:t>w</w:t>
      </w:r>
      <w:r w:rsidR="001A7CD1">
        <w:rPr>
          <w:bCs/>
          <w:lang w:val="en-US"/>
        </w:rPr>
        <w:t xml:space="preserve">ere </w:t>
      </w:r>
      <w:r w:rsidR="003E4323" w:rsidRPr="00813D19">
        <w:rPr>
          <w:bCs/>
          <w:lang w:val="en-US"/>
        </w:rPr>
        <w:t xml:space="preserve">solely based on a </w:t>
      </w:r>
      <w:r w:rsidR="001859CB" w:rsidRPr="00813D19">
        <w:rPr>
          <w:bCs/>
          <w:lang w:val="en-US"/>
        </w:rPr>
        <w:t xml:space="preserve">technical evaluation. </w:t>
      </w:r>
      <w:r w:rsidR="003E4323" w:rsidRPr="00813D19">
        <w:rPr>
          <w:bCs/>
          <w:lang w:val="en-US"/>
        </w:rPr>
        <w:t xml:space="preserve">It </w:t>
      </w:r>
      <w:r w:rsidR="001859CB" w:rsidRPr="00813D19">
        <w:rPr>
          <w:bCs/>
          <w:lang w:val="en-US"/>
        </w:rPr>
        <w:t>believe</w:t>
      </w:r>
      <w:r w:rsidR="003E4323" w:rsidRPr="00813D19">
        <w:rPr>
          <w:bCs/>
          <w:lang w:val="en-US"/>
        </w:rPr>
        <w:t>d that reggae music had</w:t>
      </w:r>
      <w:r w:rsidR="001859CB" w:rsidRPr="00813D19">
        <w:rPr>
          <w:bCs/>
          <w:lang w:val="en-US"/>
        </w:rPr>
        <w:t xml:space="preserve"> numerous m</w:t>
      </w:r>
      <w:r w:rsidR="00666879" w:rsidRPr="00813D19">
        <w:rPr>
          <w:bCs/>
          <w:lang w:val="en-US"/>
        </w:rPr>
        <w:t xml:space="preserve">usical influences in the region, </w:t>
      </w:r>
      <w:r w:rsidR="001859CB" w:rsidRPr="00813D19">
        <w:rPr>
          <w:bCs/>
          <w:lang w:val="en-US"/>
        </w:rPr>
        <w:t xml:space="preserve">even </w:t>
      </w:r>
      <w:r w:rsidR="00666879" w:rsidRPr="00813D19">
        <w:rPr>
          <w:bCs/>
          <w:lang w:val="en-US"/>
        </w:rPr>
        <w:t xml:space="preserve">in </w:t>
      </w:r>
      <w:r w:rsidR="001859CB" w:rsidRPr="00813D19">
        <w:rPr>
          <w:bCs/>
          <w:lang w:val="en-US"/>
        </w:rPr>
        <w:t>the world</w:t>
      </w:r>
      <w:r w:rsidR="003E4323" w:rsidRPr="00813D19">
        <w:rPr>
          <w:bCs/>
          <w:lang w:val="en-US"/>
        </w:rPr>
        <w:t>,</w:t>
      </w:r>
      <w:r w:rsidR="001859CB" w:rsidRPr="00813D19">
        <w:rPr>
          <w:bCs/>
          <w:lang w:val="en-US"/>
        </w:rPr>
        <w:t xml:space="preserve"> </w:t>
      </w:r>
      <w:r w:rsidR="00666879" w:rsidRPr="00813D19">
        <w:rPr>
          <w:bCs/>
          <w:lang w:val="en-US"/>
        </w:rPr>
        <w:t xml:space="preserve">and </w:t>
      </w:r>
      <w:r w:rsidR="001859CB" w:rsidRPr="00813D19">
        <w:rPr>
          <w:bCs/>
          <w:lang w:val="en-US"/>
        </w:rPr>
        <w:t xml:space="preserve">in that case </w:t>
      </w:r>
      <w:r w:rsidR="003E4323" w:rsidRPr="00813D19">
        <w:rPr>
          <w:bCs/>
          <w:lang w:val="en-US"/>
        </w:rPr>
        <w:t xml:space="preserve">it </w:t>
      </w:r>
      <w:r w:rsidR="001859CB" w:rsidRPr="00813D19">
        <w:rPr>
          <w:bCs/>
          <w:lang w:val="en-US"/>
        </w:rPr>
        <w:t>agree</w:t>
      </w:r>
      <w:r w:rsidR="003E4323" w:rsidRPr="00813D19">
        <w:rPr>
          <w:bCs/>
          <w:lang w:val="en-US"/>
        </w:rPr>
        <w:t>d</w:t>
      </w:r>
      <w:r w:rsidR="001859CB" w:rsidRPr="00813D19">
        <w:rPr>
          <w:bCs/>
          <w:lang w:val="en-US"/>
        </w:rPr>
        <w:t xml:space="preserve"> with </w:t>
      </w:r>
      <w:r w:rsidR="003E4323" w:rsidRPr="00813D19">
        <w:rPr>
          <w:bCs/>
          <w:lang w:val="en-US"/>
        </w:rPr>
        <w:t xml:space="preserve">the </w:t>
      </w:r>
      <w:r w:rsidR="001859CB" w:rsidRPr="00813D19">
        <w:rPr>
          <w:bCs/>
          <w:lang w:val="en-US"/>
        </w:rPr>
        <w:t xml:space="preserve">other Members to request </w:t>
      </w:r>
      <w:r w:rsidR="003E4323" w:rsidRPr="00813D19">
        <w:rPr>
          <w:bCs/>
          <w:lang w:val="en-US"/>
        </w:rPr>
        <w:t xml:space="preserve">that </w:t>
      </w:r>
      <w:r w:rsidR="00666879" w:rsidRPr="00813D19">
        <w:rPr>
          <w:bCs/>
          <w:lang w:val="en-US"/>
        </w:rPr>
        <w:t xml:space="preserve">Jamaica </w:t>
      </w:r>
      <w:r w:rsidR="001859CB" w:rsidRPr="00813D19">
        <w:rPr>
          <w:bCs/>
          <w:lang w:val="en-US"/>
        </w:rPr>
        <w:t xml:space="preserve">be given </w:t>
      </w:r>
      <w:r w:rsidR="00666879" w:rsidRPr="00813D19">
        <w:rPr>
          <w:bCs/>
          <w:lang w:val="en-US"/>
        </w:rPr>
        <w:t xml:space="preserve">the floor </w:t>
      </w:r>
      <w:r w:rsidR="00E72560">
        <w:rPr>
          <w:bCs/>
          <w:lang w:val="en-US"/>
        </w:rPr>
        <w:t>for further clarifications.</w:t>
      </w:r>
    </w:p>
    <w:p w14:paraId="08A3C93E" w14:textId="528536B2" w:rsidR="00171A63" w:rsidRPr="00813D19" w:rsidRDefault="00171A63"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0953A7">
        <w:rPr>
          <w:b/>
          <w:color w:val="000000" w:themeColor="text1"/>
          <w:lang w:val="en-US"/>
        </w:rPr>
        <w:t xml:space="preserve">the </w:t>
      </w:r>
      <w:r w:rsidRPr="00813D19">
        <w:rPr>
          <w:b/>
          <w:color w:val="000000" w:themeColor="text1"/>
          <w:lang w:val="en-US"/>
        </w:rPr>
        <w:t>Netherlands</w:t>
      </w:r>
      <w:r w:rsidR="001859CB" w:rsidRPr="00813D19">
        <w:rPr>
          <w:b/>
          <w:color w:val="000000" w:themeColor="text1"/>
          <w:lang w:val="en-US"/>
        </w:rPr>
        <w:t xml:space="preserve"> </w:t>
      </w:r>
      <w:r w:rsidR="001859CB" w:rsidRPr="00813D19">
        <w:rPr>
          <w:bCs/>
          <w:lang w:val="en-US"/>
        </w:rPr>
        <w:t>share</w:t>
      </w:r>
      <w:r w:rsidR="003E4323" w:rsidRPr="00813D19">
        <w:rPr>
          <w:bCs/>
          <w:lang w:val="en-US"/>
        </w:rPr>
        <w:t>d the sentiment</w:t>
      </w:r>
      <w:r w:rsidR="001859CB" w:rsidRPr="00813D19">
        <w:rPr>
          <w:bCs/>
          <w:lang w:val="en-US"/>
        </w:rPr>
        <w:t xml:space="preserve"> in the room that reggae is a very in</w:t>
      </w:r>
      <w:r w:rsidR="00666879" w:rsidRPr="00813D19">
        <w:rPr>
          <w:bCs/>
          <w:lang w:val="en-US"/>
        </w:rPr>
        <w:t>teresting and unifying element</w:t>
      </w:r>
      <w:r w:rsidR="001859CB" w:rsidRPr="00813D19">
        <w:rPr>
          <w:bCs/>
          <w:lang w:val="en-US"/>
        </w:rPr>
        <w:t xml:space="preserve">. </w:t>
      </w:r>
      <w:r w:rsidR="003E4323" w:rsidRPr="00813D19">
        <w:rPr>
          <w:bCs/>
          <w:lang w:val="en-US"/>
        </w:rPr>
        <w:t xml:space="preserve">As remarked on by </w:t>
      </w:r>
      <w:r w:rsidR="001859CB" w:rsidRPr="00813D19">
        <w:rPr>
          <w:bCs/>
          <w:lang w:val="en-US"/>
        </w:rPr>
        <w:t>other Committee Members</w:t>
      </w:r>
      <w:r w:rsidR="003E4323" w:rsidRPr="00813D19">
        <w:rPr>
          <w:bCs/>
          <w:lang w:val="en-US"/>
        </w:rPr>
        <w:t>,</w:t>
      </w:r>
      <w:r w:rsidR="001859CB" w:rsidRPr="00813D19">
        <w:rPr>
          <w:bCs/>
          <w:lang w:val="en-US"/>
        </w:rPr>
        <w:t xml:space="preserve"> many nominating States experience</w:t>
      </w:r>
      <w:r w:rsidR="00666879" w:rsidRPr="00813D19">
        <w:rPr>
          <w:bCs/>
          <w:lang w:val="en-US"/>
        </w:rPr>
        <w:t>d</w:t>
      </w:r>
      <w:r w:rsidR="001859CB" w:rsidRPr="00813D19">
        <w:rPr>
          <w:bCs/>
          <w:lang w:val="en-US"/>
        </w:rPr>
        <w:t xml:space="preserve"> difficulties with R.2. The Evaluation Body states that the community of practitioners who identify with the element should be at the forefront of any action undertaken to safeguard and raise the visibility of the element</w:t>
      </w:r>
      <w:r w:rsidR="003E4323" w:rsidRPr="00813D19">
        <w:rPr>
          <w:bCs/>
          <w:lang w:val="en-US"/>
        </w:rPr>
        <w:t>,</w:t>
      </w:r>
      <w:r w:rsidR="001859CB" w:rsidRPr="00813D19">
        <w:rPr>
          <w:bCs/>
          <w:lang w:val="en-US"/>
        </w:rPr>
        <w:t xml:space="preserve"> and </w:t>
      </w:r>
      <w:r w:rsidR="003E4323" w:rsidRPr="00813D19">
        <w:rPr>
          <w:bCs/>
          <w:lang w:val="en-US"/>
        </w:rPr>
        <w:t xml:space="preserve">it </w:t>
      </w:r>
      <w:r w:rsidR="001859CB" w:rsidRPr="00813D19">
        <w:rPr>
          <w:bCs/>
          <w:lang w:val="en-US"/>
        </w:rPr>
        <w:t>ask</w:t>
      </w:r>
      <w:r w:rsidR="003E4323" w:rsidRPr="00813D19">
        <w:rPr>
          <w:bCs/>
          <w:lang w:val="en-US"/>
        </w:rPr>
        <w:t>ed</w:t>
      </w:r>
      <w:r w:rsidR="001859CB" w:rsidRPr="00813D19">
        <w:rPr>
          <w:bCs/>
          <w:lang w:val="en-US"/>
        </w:rPr>
        <w:t xml:space="preserve"> the Evaluation Body to elaborate more on </w:t>
      </w:r>
      <w:r w:rsidR="003E4323" w:rsidRPr="00813D19">
        <w:rPr>
          <w:bCs/>
          <w:lang w:val="en-US"/>
        </w:rPr>
        <w:t xml:space="preserve">its </w:t>
      </w:r>
      <w:r w:rsidR="00E72560">
        <w:rPr>
          <w:bCs/>
          <w:lang w:val="en-US"/>
        </w:rPr>
        <w:t>conclusion on R.2.</w:t>
      </w:r>
    </w:p>
    <w:p w14:paraId="7EC1A677" w14:textId="5892223E" w:rsidR="008A616E" w:rsidRPr="00813D19" w:rsidRDefault="008A616E"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Austria</w:t>
      </w:r>
      <w:r w:rsidR="001859CB" w:rsidRPr="00813D19">
        <w:rPr>
          <w:b/>
          <w:color w:val="000000" w:themeColor="text1"/>
          <w:lang w:val="en-US"/>
        </w:rPr>
        <w:t xml:space="preserve"> </w:t>
      </w:r>
      <w:r w:rsidR="003E4323" w:rsidRPr="00813D19">
        <w:rPr>
          <w:bCs/>
          <w:lang w:val="en-US"/>
        </w:rPr>
        <w:t xml:space="preserve">wished </w:t>
      </w:r>
      <w:r w:rsidR="001859CB" w:rsidRPr="00813D19">
        <w:rPr>
          <w:bCs/>
          <w:lang w:val="en-US"/>
        </w:rPr>
        <w:t xml:space="preserve">to ask the State Party </w:t>
      </w:r>
      <w:r w:rsidR="003E4323" w:rsidRPr="00813D19">
        <w:rPr>
          <w:bCs/>
          <w:lang w:val="en-US"/>
        </w:rPr>
        <w:t xml:space="preserve">about </w:t>
      </w:r>
      <w:r w:rsidR="001859CB" w:rsidRPr="00813D19">
        <w:rPr>
          <w:bCs/>
          <w:lang w:val="en-US"/>
        </w:rPr>
        <w:t xml:space="preserve">one sentence under R.5 where it </w:t>
      </w:r>
      <w:r w:rsidR="003E4323" w:rsidRPr="00813D19">
        <w:rPr>
          <w:bCs/>
          <w:lang w:val="en-US"/>
        </w:rPr>
        <w:t xml:space="preserve">stated that </w:t>
      </w:r>
      <w:r w:rsidR="001859CB" w:rsidRPr="00813D19">
        <w:rPr>
          <w:bCs/>
          <w:lang w:val="en-US"/>
        </w:rPr>
        <w:t xml:space="preserve">the inventory </w:t>
      </w:r>
      <w:r w:rsidR="003E4323" w:rsidRPr="00813D19">
        <w:rPr>
          <w:bCs/>
          <w:lang w:val="en-US"/>
        </w:rPr>
        <w:t xml:space="preserve">was </w:t>
      </w:r>
      <w:r w:rsidR="001859CB" w:rsidRPr="00813D19">
        <w:rPr>
          <w:bCs/>
          <w:lang w:val="en-US"/>
        </w:rPr>
        <w:t>currently being reviewed and updated in keeping with the guidelines of the Convention</w:t>
      </w:r>
      <w:r w:rsidR="003E4323" w:rsidRPr="00813D19">
        <w:rPr>
          <w:bCs/>
          <w:lang w:val="en-US"/>
        </w:rPr>
        <w:t xml:space="preserve">. The delegation explained that </w:t>
      </w:r>
      <w:r w:rsidR="00C41E71" w:rsidRPr="00813D19">
        <w:rPr>
          <w:bCs/>
          <w:lang w:val="en-US"/>
        </w:rPr>
        <w:t xml:space="preserve">it </w:t>
      </w:r>
      <w:r w:rsidR="001859CB" w:rsidRPr="00813D19">
        <w:rPr>
          <w:bCs/>
          <w:lang w:val="en-US"/>
        </w:rPr>
        <w:t xml:space="preserve">had a look at R.5 and also the report of the State Party submitted </w:t>
      </w:r>
      <w:r w:rsidR="00C41E71" w:rsidRPr="00813D19">
        <w:rPr>
          <w:bCs/>
          <w:lang w:val="en-US"/>
        </w:rPr>
        <w:t>in 2018</w:t>
      </w:r>
      <w:r w:rsidR="00EA1198" w:rsidRPr="00813D19">
        <w:rPr>
          <w:bCs/>
          <w:lang w:val="en-US"/>
        </w:rPr>
        <w:t xml:space="preserve">, which </w:t>
      </w:r>
      <w:r w:rsidR="00666879" w:rsidRPr="00813D19">
        <w:rPr>
          <w:bCs/>
          <w:lang w:val="en-US"/>
        </w:rPr>
        <w:t xml:space="preserve">had </w:t>
      </w:r>
      <w:r w:rsidR="001859CB" w:rsidRPr="00813D19">
        <w:rPr>
          <w:bCs/>
          <w:lang w:val="en-US"/>
        </w:rPr>
        <w:t xml:space="preserve">already </w:t>
      </w:r>
      <w:r w:rsidR="00666879" w:rsidRPr="00813D19">
        <w:rPr>
          <w:bCs/>
          <w:lang w:val="en-US"/>
        </w:rPr>
        <w:t xml:space="preserve">been </w:t>
      </w:r>
      <w:r w:rsidR="001859CB" w:rsidRPr="00813D19">
        <w:rPr>
          <w:bCs/>
          <w:lang w:val="en-US"/>
        </w:rPr>
        <w:t>dealt with under item 7.a</w:t>
      </w:r>
      <w:r w:rsidR="00EA1198" w:rsidRPr="00813D19">
        <w:rPr>
          <w:bCs/>
          <w:lang w:val="en-US"/>
        </w:rPr>
        <w:t>,</w:t>
      </w:r>
      <w:r w:rsidR="001859CB" w:rsidRPr="00813D19">
        <w:rPr>
          <w:bCs/>
          <w:lang w:val="en-US"/>
        </w:rPr>
        <w:t xml:space="preserve"> </w:t>
      </w:r>
      <w:r w:rsidR="00EA1198" w:rsidRPr="00813D19">
        <w:rPr>
          <w:bCs/>
          <w:lang w:val="en-US"/>
        </w:rPr>
        <w:t>noting that Jamaica seemed</w:t>
      </w:r>
      <w:r w:rsidR="001859CB" w:rsidRPr="00813D19">
        <w:rPr>
          <w:bCs/>
          <w:lang w:val="en-US"/>
        </w:rPr>
        <w:t xml:space="preserve"> to </w:t>
      </w:r>
      <w:r w:rsidR="00EA1198" w:rsidRPr="00813D19">
        <w:rPr>
          <w:bCs/>
          <w:lang w:val="en-US"/>
        </w:rPr>
        <w:t xml:space="preserve">have </w:t>
      </w:r>
      <w:r w:rsidR="001859CB" w:rsidRPr="00813D19">
        <w:rPr>
          <w:bCs/>
          <w:lang w:val="en-US"/>
        </w:rPr>
        <w:t>a very complex inventorying process</w:t>
      </w:r>
      <w:r w:rsidR="00EA1198" w:rsidRPr="00813D19">
        <w:rPr>
          <w:bCs/>
          <w:lang w:val="en-US"/>
        </w:rPr>
        <w:t xml:space="preserve">. </w:t>
      </w:r>
      <w:r w:rsidR="00666879" w:rsidRPr="00813D19">
        <w:rPr>
          <w:bCs/>
          <w:lang w:val="en-US"/>
        </w:rPr>
        <w:t>Furthermore</w:t>
      </w:r>
      <w:r w:rsidR="00EA1198" w:rsidRPr="00813D19">
        <w:rPr>
          <w:bCs/>
          <w:lang w:val="en-US"/>
        </w:rPr>
        <w:t xml:space="preserve">, </w:t>
      </w:r>
      <w:r w:rsidR="001A7CD1">
        <w:rPr>
          <w:bCs/>
          <w:lang w:val="en-US"/>
        </w:rPr>
        <w:t>as per</w:t>
      </w:r>
      <w:r w:rsidR="001A7CD1" w:rsidRPr="00813D19">
        <w:rPr>
          <w:bCs/>
          <w:lang w:val="en-US"/>
        </w:rPr>
        <w:t xml:space="preserve"> </w:t>
      </w:r>
      <w:r w:rsidR="001859CB" w:rsidRPr="00813D19">
        <w:rPr>
          <w:bCs/>
          <w:lang w:val="en-US"/>
        </w:rPr>
        <w:t xml:space="preserve">Article 12 </w:t>
      </w:r>
      <w:r w:rsidR="00EA1198" w:rsidRPr="00813D19">
        <w:rPr>
          <w:bCs/>
          <w:lang w:val="en-US"/>
        </w:rPr>
        <w:t xml:space="preserve">of the Convention, </w:t>
      </w:r>
      <w:r w:rsidR="001859CB" w:rsidRPr="00813D19">
        <w:rPr>
          <w:bCs/>
          <w:lang w:val="en-US"/>
        </w:rPr>
        <w:t>each Party should draw up an inventory in a manner geared to its own situation</w:t>
      </w:r>
      <w:r w:rsidR="00666879" w:rsidRPr="00813D19">
        <w:rPr>
          <w:bCs/>
          <w:lang w:val="en-US"/>
        </w:rPr>
        <w:t>. The delegation thus asked Jamaica</w:t>
      </w:r>
      <w:r w:rsidR="00EA1198" w:rsidRPr="00813D19">
        <w:rPr>
          <w:bCs/>
          <w:lang w:val="en-US"/>
        </w:rPr>
        <w:t xml:space="preserve"> </w:t>
      </w:r>
      <w:r w:rsidR="00666879" w:rsidRPr="00813D19">
        <w:rPr>
          <w:bCs/>
          <w:lang w:val="en-US"/>
        </w:rPr>
        <w:t xml:space="preserve">to </w:t>
      </w:r>
      <w:r w:rsidR="001859CB" w:rsidRPr="00813D19">
        <w:rPr>
          <w:bCs/>
          <w:lang w:val="en-US"/>
        </w:rPr>
        <w:t xml:space="preserve">explain the inventorying process and how </w:t>
      </w:r>
      <w:r w:rsidR="00EA1198" w:rsidRPr="00813D19">
        <w:rPr>
          <w:bCs/>
          <w:lang w:val="en-US"/>
        </w:rPr>
        <w:t xml:space="preserve">in particular </w:t>
      </w:r>
      <w:r w:rsidR="001859CB" w:rsidRPr="00813D19">
        <w:rPr>
          <w:bCs/>
          <w:lang w:val="en-US"/>
        </w:rPr>
        <w:t xml:space="preserve">the community and groups </w:t>
      </w:r>
      <w:r w:rsidR="00EA1198" w:rsidRPr="00813D19">
        <w:rPr>
          <w:bCs/>
          <w:lang w:val="en-US"/>
        </w:rPr>
        <w:t xml:space="preserve">were </w:t>
      </w:r>
      <w:r w:rsidR="001859CB" w:rsidRPr="00813D19">
        <w:rPr>
          <w:bCs/>
          <w:lang w:val="en-US"/>
        </w:rPr>
        <w:t>involv</w:t>
      </w:r>
      <w:r w:rsidR="00E72560">
        <w:rPr>
          <w:bCs/>
          <w:lang w:val="en-US"/>
        </w:rPr>
        <w:t>ed in the inventorying process.</w:t>
      </w:r>
    </w:p>
    <w:p w14:paraId="0FF76E54" w14:textId="75CC5C07" w:rsidR="00C55921" w:rsidRPr="00813D19" w:rsidRDefault="00C55921"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Sri Lanka</w:t>
      </w:r>
      <w:r w:rsidR="001859CB" w:rsidRPr="00813D19">
        <w:rPr>
          <w:b/>
          <w:color w:val="000000" w:themeColor="text1"/>
          <w:lang w:val="en-US"/>
        </w:rPr>
        <w:t xml:space="preserve"> </w:t>
      </w:r>
      <w:r w:rsidR="00C711C0" w:rsidRPr="00813D19">
        <w:rPr>
          <w:bCs/>
          <w:lang w:val="en-US"/>
        </w:rPr>
        <w:t>agreed</w:t>
      </w:r>
      <w:r w:rsidR="001859CB" w:rsidRPr="00813D19">
        <w:rPr>
          <w:bCs/>
          <w:lang w:val="en-US"/>
        </w:rPr>
        <w:t xml:space="preserve"> with the sentiments expressed by the othe</w:t>
      </w:r>
      <w:r w:rsidR="00C711C0" w:rsidRPr="00813D19">
        <w:rPr>
          <w:bCs/>
          <w:lang w:val="en-US"/>
        </w:rPr>
        <w:t>r Committee Members and supported</w:t>
      </w:r>
      <w:r w:rsidR="001859CB" w:rsidRPr="00813D19">
        <w:rPr>
          <w:bCs/>
          <w:lang w:val="en-US"/>
        </w:rPr>
        <w:t xml:space="preserve"> the amen</w:t>
      </w:r>
      <w:r w:rsidR="00C711C0" w:rsidRPr="00813D19">
        <w:rPr>
          <w:bCs/>
          <w:lang w:val="en-US"/>
        </w:rPr>
        <w:t>dments.</w:t>
      </w:r>
    </w:p>
    <w:p w14:paraId="69743091" w14:textId="793880FB" w:rsidR="00704074" w:rsidRPr="00813D19" w:rsidRDefault="00704074" w:rsidP="002D3A5B">
      <w:pPr>
        <w:pStyle w:val="Orateurengris"/>
        <w:spacing w:before="120"/>
        <w:ind w:left="709" w:hanging="709"/>
        <w:rPr>
          <w:color w:val="000000" w:themeColor="text1"/>
          <w:lang w:val="en-US"/>
        </w:rPr>
      </w:pPr>
      <w:r w:rsidRPr="00813D19">
        <w:rPr>
          <w:bCs/>
          <w:lang w:val="en-US"/>
        </w:rPr>
        <w:t xml:space="preserve">The </w:t>
      </w:r>
      <w:r w:rsidRPr="00813D19">
        <w:rPr>
          <w:b/>
          <w:bCs/>
          <w:lang w:val="en-US"/>
        </w:rPr>
        <w:t>Chairperson</w:t>
      </w:r>
      <w:r w:rsidRPr="00813D19">
        <w:rPr>
          <w:bCs/>
          <w:lang w:val="en-US"/>
        </w:rPr>
        <w:t xml:space="preserve"> invited Jamaica to clarify the issues raised.</w:t>
      </w:r>
    </w:p>
    <w:p w14:paraId="781D4739" w14:textId="4D193262" w:rsidR="003B51E4" w:rsidRPr="00813D19" w:rsidRDefault="00914003"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Jamaica</w:t>
      </w:r>
      <w:r w:rsidR="00C711C0" w:rsidRPr="00813D19">
        <w:rPr>
          <w:b/>
          <w:color w:val="000000" w:themeColor="text1"/>
          <w:lang w:val="en-US"/>
        </w:rPr>
        <w:t xml:space="preserve"> </w:t>
      </w:r>
      <w:r w:rsidR="00C711C0" w:rsidRPr="00813D19">
        <w:rPr>
          <w:bCs/>
          <w:lang w:val="en-US"/>
        </w:rPr>
        <w:t>welcomed</w:t>
      </w:r>
      <w:r w:rsidR="007A530A" w:rsidRPr="00813D19">
        <w:rPr>
          <w:bCs/>
          <w:lang w:val="en-US"/>
        </w:rPr>
        <w:t xml:space="preserve"> this opportunity to respond to the Evaluation Body in relation to criteria R.2 and R.5. </w:t>
      </w:r>
      <w:r w:rsidR="000E3178" w:rsidRPr="00813D19">
        <w:rPr>
          <w:bCs/>
          <w:lang w:val="en-US"/>
        </w:rPr>
        <w:t xml:space="preserve">Regarding </w:t>
      </w:r>
      <w:r w:rsidR="007A530A" w:rsidRPr="00813D19">
        <w:rPr>
          <w:bCs/>
          <w:lang w:val="en-US"/>
        </w:rPr>
        <w:t xml:space="preserve">R.2, in terms </w:t>
      </w:r>
      <w:r w:rsidR="000E3178" w:rsidRPr="00813D19">
        <w:rPr>
          <w:bCs/>
          <w:lang w:val="en-US"/>
        </w:rPr>
        <w:t xml:space="preserve">of </w:t>
      </w:r>
      <w:r w:rsidR="0008407D" w:rsidRPr="00813D19">
        <w:rPr>
          <w:bCs/>
          <w:lang w:val="en-US"/>
        </w:rPr>
        <w:t>how the element had</w:t>
      </w:r>
      <w:r w:rsidR="007A530A" w:rsidRPr="00813D19">
        <w:rPr>
          <w:bCs/>
          <w:lang w:val="en-US"/>
        </w:rPr>
        <w:t xml:space="preserve"> inspired and </w:t>
      </w:r>
      <w:r w:rsidR="001A7CD1" w:rsidRPr="00813D19">
        <w:rPr>
          <w:bCs/>
          <w:lang w:val="en-US"/>
        </w:rPr>
        <w:t>c</w:t>
      </w:r>
      <w:r w:rsidR="001A7CD1">
        <w:rPr>
          <w:bCs/>
          <w:lang w:val="en-US"/>
        </w:rPr>
        <w:t xml:space="preserve">ould </w:t>
      </w:r>
      <w:r w:rsidR="007A530A" w:rsidRPr="00813D19">
        <w:rPr>
          <w:bCs/>
          <w:lang w:val="en-US"/>
        </w:rPr>
        <w:t>foster better understanding</w:t>
      </w:r>
      <w:r w:rsidR="000E3178" w:rsidRPr="00813D19">
        <w:rPr>
          <w:bCs/>
          <w:lang w:val="en-US"/>
        </w:rPr>
        <w:t>,</w:t>
      </w:r>
      <w:r w:rsidR="007A530A" w:rsidRPr="00813D19">
        <w:rPr>
          <w:bCs/>
          <w:lang w:val="en-US"/>
        </w:rPr>
        <w:t xml:space="preserve"> reggae music has influenced and inspired many other major musical genres worldwide</w:t>
      </w:r>
      <w:r w:rsidR="000E3178" w:rsidRPr="00813D19">
        <w:rPr>
          <w:bCs/>
          <w:lang w:val="en-US"/>
        </w:rPr>
        <w:t>,</w:t>
      </w:r>
      <w:r w:rsidR="007A530A" w:rsidRPr="00813D19">
        <w:rPr>
          <w:bCs/>
          <w:lang w:val="en-US"/>
        </w:rPr>
        <w:t xml:space="preserve"> such as pinoy in the Philippines, reggaeton in Latin America, reggaerajah in India,</w:t>
      </w:r>
      <w:r w:rsidR="001A7CD1">
        <w:rPr>
          <w:bCs/>
          <w:lang w:val="en-US"/>
        </w:rPr>
        <w:t xml:space="preserve"> and</w:t>
      </w:r>
      <w:r w:rsidR="007A530A" w:rsidRPr="00813D19">
        <w:rPr>
          <w:bCs/>
          <w:lang w:val="en-US"/>
        </w:rPr>
        <w:t xml:space="preserve"> Hawaiian reggae in Hawaii. The birth of these genres bear</w:t>
      </w:r>
      <w:r w:rsidR="001A7CD1">
        <w:rPr>
          <w:bCs/>
          <w:lang w:val="en-US"/>
        </w:rPr>
        <w:t>s</w:t>
      </w:r>
      <w:r w:rsidR="007A530A" w:rsidRPr="00813D19">
        <w:rPr>
          <w:bCs/>
          <w:lang w:val="en-US"/>
        </w:rPr>
        <w:t xml:space="preserve"> evidence </w:t>
      </w:r>
      <w:r w:rsidR="001A7CD1">
        <w:rPr>
          <w:bCs/>
          <w:lang w:val="en-US"/>
        </w:rPr>
        <w:t>of</w:t>
      </w:r>
      <w:r w:rsidR="001A7CD1" w:rsidRPr="00813D19">
        <w:rPr>
          <w:bCs/>
          <w:lang w:val="en-US"/>
        </w:rPr>
        <w:t xml:space="preserve"> </w:t>
      </w:r>
      <w:r w:rsidR="007A530A" w:rsidRPr="00813D19">
        <w:rPr>
          <w:bCs/>
          <w:lang w:val="en-US"/>
        </w:rPr>
        <w:t xml:space="preserve">the strength of the oral, literary traditions, knowledge and practices embodied in reggae music itself, </w:t>
      </w:r>
      <w:r w:rsidR="00F0661C" w:rsidRPr="00813D19">
        <w:rPr>
          <w:bCs/>
          <w:lang w:val="en-US"/>
        </w:rPr>
        <w:t xml:space="preserve">and which </w:t>
      </w:r>
      <w:r w:rsidR="007A530A" w:rsidRPr="00813D19">
        <w:rPr>
          <w:bCs/>
          <w:lang w:val="en-US"/>
        </w:rPr>
        <w:t xml:space="preserve">inspired other intangible cultural heritage elements such as dub and dub poetry. Dub technique and style originated in Jamaican reggae around the 1970s when </w:t>
      </w:r>
      <w:r w:rsidR="001A7CD1">
        <w:rPr>
          <w:bCs/>
          <w:lang w:val="en-US"/>
        </w:rPr>
        <w:t xml:space="preserve">the </w:t>
      </w:r>
      <w:r w:rsidR="007A530A" w:rsidRPr="00813D19">
        <w:rPr>
          <w:bCs/>
          <w:lang w:val="en-US"/>
        </w:rPr>
        <w:t>Roland Space Echo was used to produce echo and delay effects. In terms of initiatives and programmes in support of the element</w:t>
      </w:r>
      <w:r w:rsidR="00F0661C" w:rsidRPr="00813D19">
        <w:rPr>
          <w:bCs/>
          <w:lang w:val="en-US"/>
        </w:rPr>
        <w:t>,</w:t>
      </w:r>
      <w:r w:rsidR="007A530A" w:rsidRPr="00813D19">
        <w:rPr>
          <w:bCs/>
          <w:lang w:val="en-US"/>
        </w:rPr>
        <w:t xml:space="preserve"> formal academic programmes in reggae music have been established in territories</w:t>
      </w:r>
      <w:r w:rsidR="00C50CAF" w:rsidRPr="00813D19">
        <w:rPr>
          <w:bCs/>
          <w:lang w:val="en-US"/>
        </w:rPr>
        <w:t>,</w:t>
      </w:r>
      <w:r w:rsidR="007A530A" w:rsidRPr="00813D19">
        <w:rPr>
          <w:bCs/>
          <w:lang w:val="en-US"/>
        </w:rPr>
        <w:t xml:space="preserve"> through such organizations as the Edn</w:t>
      </w:r>
      <w:r w:rsidR="00F0661C" w:rsidRPr="00813D19">
        <w:rPr>
          <w:bCs/>
          <w:lang w:val="en-US"/>
        </w:rPr>
        <w:t>a Manley College of the Visual and</w:t>
      </w:r>
      <w:r w:rsidR="007A530A" w:rsidRPr="00813D19">
        <w:rPr>
          <w:bCs/>
          <w:lang w:val="en-US"/>
        </w:rPr>
        <w:t xml:space="preserve"> Performing Arts, the Reggae Studies Unit at the University of West Indies, </w:t>
      </w:r>
      <w:r w:rsidR="00F0661C" w:rsidRPr="00813D19">
        <w:rPr>
          <w:bCs/>
          <w:lang w:val="en-US"/>
        </w:rPr>
        <w:t xml:space="preserve">and </w:t>
      </w:r>
      <w:r w:rsidR="007A530A" w:rsidRPr="00813D19">
        <w:rPr>
          <w:bCs/>
          <w:lang w:val="en-US"/>
        </w:rPr>
        <w:t xml:space="preserve">the Alpha Academy that caters to young students. Internationally, academic programmes and reggae music are offered at the prestigious Berklee School of Music in Boston and Musicians Institute in California. International conferences are also staged and improve the visibility of the element and </w:t>
      </w:r>
      <w:r w:rsidR="00F0661C" w:rsidRPr="00813D19">
        <w:rPr>
          <w:bCs/>
          <w:lang w:val="en-US"/>
        </w:rPr>
        <w:t xml:space="preserve">intangible cultural heritage </w:t>
      </w:r>
      <w:r w:rsidR="007A530A" w:rsidRPr="00813D19">
        <w:rPr>
          <w:bCs/>
          <w:lang w:val="en-US"/>
        </w:rPr>
        <w:t>in general. The State Party is constantly engaged in the element and facilitating global dialogue to promote cultural diversity and</w:t>
      </w:r>
      <w:r w:rsidR="00F0661C" w:rsidRPr="00813D19">
        <w:rPr>
          <w:bCs/>
          <w:lang w:val="en-US"/>
        </w:rPr>
        <w:t>,</w:t>
      </w:r>
      <w:r w:rsidR="007A530A" w:rsidRPr="00813D19">
        <w:rPr>
          <w:bCs/>
          <w:lang w:val="en-US"/>
        </w:rPr>
        <w:t xml:space="preserve"> as such</w:t>
      </w:r>
      <w:r w:rsidR="00F0661C" w:rsidRPr="00813D19">
        <w:rPr>
          <w:bCs/>
          <w:lang w:val="en-US"/>
        </w:rPr>
        <w:t>,</w:t>
      </w:r>
      <w:r w:rsidR="007A530A" w:rsidRPr="00813D19">
        <w:rPr>
          <w:bCs/>
          <w:lang w:val="en-US"/>
        </w:rPr>
        <w:t xml:space="preserve"> </w:t>
      </w:r>
      <w:r w:rsidR="00F0661C" w:rsidRPr="00813D19">
        <w:rPr>
          <w:bCs/>
          <w:lang w:val="en-US"/>
        </w:rPr>
        <w:t xml:space="preserve">it has </w:t>
      </w:r>
      <w:r w:rsidR="007A530A" w:rsidRPr="00813D19">
        <w:rPr>
          <w:bCs/>
          <w:lang w:val="en-US"/>
        </w:rPr>
        <w:t xml:space="preserve">hosted and </w:t>
      </w:r>
      <w:r w:rsidR="00F0661C" w:rsidRPr="00813D19">
        <w:rPr>
          <w:bCs/>
          <w:lang w:val="en-US"/>
        </w:rPr>
        <w:t xml:space="preserve">is </w:t>
      </w:r>
      <w:r w:rsidR="007A530A" w:rsidRPr="00813D19">
        <w:rPr>
          <w:bCs/>
          <w:lang w:val="en-US"/>
        </w:rPr>
        <w:t>in the process of hosting international conferences</w:t>
      </w:r>
      <w:r w:rsidR="00F0661C" w:rsidRPr="00813D19">
        <w:rPr>
          <w:bCs/>
          <w:lang w:val="en-US"/>
        </w:rPr>
        <w:t>,</w:t>
      </w:r>
      <w:r w:rsidR="007A530A" w:rsidRPr="00813D19">
        <w:rPr>
          <w:bCs/>
          <w:lang w:val="en-US"/>
        </w:rPr>
        <w:t xml:space="preserve"> such as the 15</w:t>
      </w:r>
      <w:r w:rsidR="007A530A" w:rsidRPr="003221D5">
        <w:rPr>
          <w:bCs/>
          <w:lang w:val="en-US"/>
        </w:rPr>
        <w:t>th</w:t>
      </w:r>
      <w:r w:rsidR="007A530A" w:rsidRPr="00813D19">
        <w:rPr>
          <w:bCs/>
          <w:lang w:val="en-US"/>
        </w:rPr>
        <w:t xml:space="preserve"> International Island Festivals and Music Tourism Conference</w:t>
      </w:r>
      <w:r w:rsidR="00F0661C" w:rsidRPr="00813D19">
        <w:rPr>
          <w:bCs/>
          <w:lang w:val="en-US"/>
        </w:rPr>
        <w:t>,</w:t>
      </w:r>
      <w:r w:rsidR="007A530A" w:rsidRPr="00813D19">
        <w:rPr>
          <w:bCs/>
          <w:lang w:val="en-US"/>
        </w:rPr>
        <w:t xml:space="preserve"> </w:t>
      </w:r>
      <w:r w:rsidR="00F0661C" w:rsidRPr="00813D19">
        <w:rPr>
          <w:bCs/>
          <w:lang w:val="en-US"/>
        </w:rPr>
        <w:t xml:space="preserve">to </w:t>
      </w:r>
      <w:r w:rsidR="007A530A" w:rsidRPr="00813D19">
        <w:rPr>
          <w:bCs/>
          <w:lang w:val="en-US"/>
        </w:rPr>
        <w:t xml:space="preserve">be held in July 2019 in Jamaica. </w:t>
      </w:r>
      <w:r w:rsidR="00F0661C" w:rsidRPr="00813D19">
        <w:rPr>
          <w:bCs/>
          <w:lang w:val="en-US"/>
        </w:rPr>
        <w:t xml:space="preserve">The delegation </w:t>
      </w:r>
      <w:r w:rsidR="007A530A" w:rsidRPr="00813D19">
        <w:rPr>
          <w:bCs/>
          <w:lang w:val="en-US"/>
        </w:rPr>
        <w:t>also point</w:t>
      </w:r>
      <w:r w:rsidR="00F0661C" w:rsidRPr="00813D19">
        <w:rPr>
          <w:bCs/>
          <w:lang w:val="en-US"/>
        </w:rPr>
        <w:t>ed</w:t>
      </w:r>
      <w:r w:rsidR="007A530A" w:rsidRPr="00813D19">
        <w:rPr>
          <w:bCs/>
          <w:lang w:val="en-US"/>
        </w:rPr>
        <w:t xml:space="preserve"> out </w:t>
      </w:r>
      <w:r w:rsidR="00F0661C" w:rsidRPr="00813D19">
        <w:rPr>
          <w:bCs/>
          <w:lang w:val="en-US"/>
        </w:rPr>
        <w:t xml:space="preserve">that </w:t>
      </w:r>
      <w:r w:rsidR="007A530A" w:rsidRPr="00813D19">
        <w:rPr>
          <w:bCs/>
          <w:lang w:val="en-US"/>
        </w:rPr>
        <w:t>UNESCO selected Kingston, Jamaica</w:t>
      </w:r>
      <w:r w:rsidR="00F0661C" w:rsidRPr="00813D19">
        <w:rPr>
          <w:bCs/>
          <w:lang w:val="en-US"/>
        </w:rPr>
        <w:t>,</w:t>
      </w:r>
      <w:r w:rsidR="007A530A" w:rsidRPr="00813D19">
        <w:rPr>
          <w:bCs/>
          <w:lang w:val="en-US"/>
        </w:rPr>
        <w:t xml:space="preserve"> as one of three pilot projects </w:t>
      </w:r>
      <w:r w:rsidR="00F0661C" w:rsidRPr="00813D19">
        <w:rPr>
          <w:bCs/>
          <w:lang w:val="en-US"/>
        </w:rPr>
        <w:t xml:space="preserve">to hold </w:t>
      </w:r>
      <w:r w:rsidR="007A530A" w:rsidRPr="00813D19">
        <w:rPr>
          <w:bCs/>
          <w:lang w:val="en-US"/>
        </w:rPr>
        <w:t xml:space="preserve">a series of workshops on intangible cultural heritage and creativity for sustainable cities, community-based inventories and </w:t>
      </w:r>
      <w:r w:rsidR="001A7CD1">
        <w:rPr>
          <w:bCs/>
          <w:lang w:val="en-US"/>
        </w:rPr>
        <w:t xml:space="preserve">the </w:t>
      </w:r>
      <w:r w:rsidR="007A530A" w:rsidRPr="00813D19">
        <w:rPr>
          <w:bCs/>
          <w:lang w:val="en-US"/>
        </w:rPr>
        <w:t>analysis of intangible c</w:t>
      </w:r>
      <w:r w:rsidR="00F0661C" w:rsidRPr="00813D19">
        <w:rPr>
          <w:bCs/>
          <w:lang w:val="en-US"/>
        </w:rPr>
        <w:t>ultural heritage in urban areas, commencing</w:t>
      </w:r>
      <w:r w:rsidR="007A530A" w:rsidRPr="00813D19">
        <w:rPr>
          <w:bCs/>
          <w:lang w:val="en-US"/>
        </w:rPr>
        <w:t xml:space="preserve"> in early 2019. Communiti</w:t>
      </w:r>
      <w:r w:rsidR="003B51E4" w:rsidRPr="00813D19">
        <w:rPr>
          <w:bCs/>
          <w:lang w:val="en-US"/>
        </w:rPr>
        <w:t>es where reggae music is practis</w:t>
      </w:r>
      <w:r w:rsidR="007A530A" w:rsidRPr="00813D19">
        <w:rPr>
          <w:bCs/>
          <w:lang w:val="en-US"/>
        </w:rPr>
        <w:t>ed and recorded</w:t>
      </w:r>
      <w:r w:rsidR="003B51E4" w:rsidRPr="00813D19">
        <w:rPr>
          <w:bCs/>
          <w:lang w:val="en-US"/>
        </w:rPr>
        <w:t>,</w:t>
      </w:r>
      <w:r w:rsidR="007A530A" w:rsidRPr="00813D19">
        <w:rPr>
          <w:bCs/>
          <w:lang w:val="en-US"/>
        </w:rPr>
        <w:t xml:space="preserve"> such as Trench Town, western Kingston</w:t>
      </w:r>
      <w:r w:rsidR="003B51E4" w:rsidRPr="00813D19">
        <w:rPr>
          <w:bCs/>
          <w:lang w:val="en-US"/>
        </w:rPr>
        <w:t>,</w:t>
      </w:r>
      <w:r w:rsidR="007A530A" w:rsidRPr="00813D19">
        <w:rPr>
          <w:bCs/>
          <w:lang w:val="en-US"/>
        </w:rPr>
        <w:t xml:space="preserve"> where Bob Marley lived</w:t>
      </w:r>
      <w:r w:rsidR="003B51E4" w:rsidRPr="00813D19">
        <w:rPr>
          <w:bCs/>
          <w:lang w:val="en-US"/>
        </w:rPr>
        <w:t>,</w:t>
      </w:r>
      <w:r w:rsidR="007A530A" w:rsidRPr="00813D19">
        <w:rPr>
          <w:bCs/>
          <w:lang w:val="en-US"/>
        </w:rPr>
        <w:t xml:space="preserve"> will be venues for community-based inventory</w:t>
      </w:r>
      <w:r w:rsidR="001A7CD1">
        <w:rPr>
          <w:bCs/>
          <w:lang w:val="en-US"/>
        </w:rPr>
        <w:t>ing</w:t>
      </w:r>
      <w:r w:rsidR="007A530A" w:rsidRPr="00813D19">
        <w:rPr>
          <w:bCs/>
          <w:lang w:val="en-US"/>
        </w:rPr>
        <w:t xml:space="preserve">. This complements the fact that Kingston was designated a creative city of music by UNESCO on 11 December 2015, and is recognized worldwide as </w:t>
      </w:r>
      <w:r w:rsidR="00E72560">
        <w:rPr>
          <w:bCs/>
          <w:lang w:val="en-US"/>
        </w:rPr>
        <w:t>the birthplace of reggae music.</w:t>
      </w:r>
    </w:p>
    <w:p w14:paraId="2DEB099F" w14:textId="05CB0C1B" w:rsidR="00AB7BA5" w:rsidRPr="00813D19" w:rsidRDefault="003B51E4"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Jamaica</w:t>
      </w:r>
      <w:r w:rsidRPr="00813D19">
        <w:rPr>
          <w:color w:val="000000" w:themeColor="text1"/>
          <w:lang w:val="en-US"/>
        </w:rPr>
        <w:t xml:space="preserve"> </w:t>
      </w:r>
      <w:r w:rsidRPr="00813D19">
        <w:rPr>
          <w:bCs/>
          <w:lang w:val="en-US"/>
        </w:rPr>
        <w:t>explained that s</w:t>
      </w:r>
      <w:r w:rsidR="007A530A" w:rsidRPr="00813D19">
        <w:rPr>
          <w:bCs/>
          <w:lang w:val="en-US"/>
        </w:rPr>
        <w:t>ince 2012</w:t>
      </w:r>
      <w:r w:rsidRPr="00813D19">
        <w:rPr>
          <w:bCs/>
          <w:lang w:val="en-US"/>
        </w:rPr>
        <w:t>,</w:t>
      </w:r>
      <w:r w:rsidR="007A530A" w:rsidRPr="00813D19">
        <w:rPr>
          <w:bCs/>
          <w:lang w:val="en-US"/>
        </w:rPr>
        <w:t xml:space="preserve"> the African Caribbean Institute of Jamaica/Jamaica Memory Bank, the national focal point for </w:t>
      </w:r>
      <w:r w:rsidRPr="00813D19">
        <w:rPr>
          <w:bCs/>
          <w:lang w:val="en-US"/>
        </w:rPr>
        <w:t xml:space="preserve">intangible cultural heritage </w:t>
      </w:r>
      <w:r w:rsidR="007A530A" w:rsidRPr="00813D19">
        <w:rPr>
          <w:bCs/>
          <w:lang w:val="en-US"/>
        </w:rPr>
        <w:t>in Jamaica</w:t>
      </w:r>
      <w:r w:rsidRPr="00813D19">
        <w:rPr>
          <w:bCs/>
          <w:lang w:val="en-US"/>
        </w:rPr>
        <w:t>,</w:t>
      </w:r>
      <w:r w:rsidR="00C50CAF" w:rsidRPr="00813D19">
        <w:rPr>
          <w:bCs/>
          <w:lang w:val="en-US"/>
        </w:rPr>
        <w:t xml:space="preserve"> had</w:t>
      </w:r>
      <w:r w:rsidR="007A530A" w:rsidRPr="00813D19">
        <w:rPr>
          <w:bCs/>
          <w:lang w:val="en-US"/>
        </w:rPr>
        <w:t xml:space="preserve"> facilitated stakeholder networks comprising members of the Kumina, Rastafarian, Revival, East Indian, Chinese and Maroon communities</w:t>
      </w:r>
      <w:r w:rsidRPr="00813D19">
        <w:rPr>
          <w:bCs/>
          <w:lang w:val="en-US"/>
        </w:rPr>
        <w:t>,</w:t>
      </w:r>
      <w:r w:rsidR="007A530A" w:rsidRPr="00813D19">
        <w:rPr>
          <w:bCs/>
          <w:lang w:val="en-US"/>
        </w:rPr>
        <w:t xml:space="preserve"> to name a few. This network has facilitated greater dialogue among traditional communities in a spirit of tolerance and mutual respect</w:t>
      </w:r>
      <w:r w:rsidRPr="00813D19">
        <w:rPr>
          <w:bCs/>
          <w:lang w:val="en-US"/>
        </w:rPr>
        <w:t>,</w:t>
      </w:r>
      <w:r w:rsidR="007A530A" w:rsidRPr="00813D19">
        <w:rPr>
          <w:bCs/>
          <w:lang w:val="en-US"/>
        </w:rPr>
        <w:t xml:space="preserve"> and </w:t>
      </w:r>
      <w:r w:rsidR="001A7CD1" w:rsidRPr="00813D19">
        <w:rPr>
          <w:bCs/>
          <w:lang w:val="en-US"/>
        </w:rPr>
        <w:t>ha</w:t>
      </w:r>
      <w:r w:rsidR="001A7CD1">
        <w:rPr>
          <w:bCs/>
          <w:lang w:val="en-US"/>
        </w:rPr>
        <w:t>d</w:t>
      </w:r>
      <w:r w:rsidR="001A7CD1" w:rsidRPr="00813D19">
        <w:rPr>
          <w:bCs/>
          <w:lang w:val="en-US"/>
        </w:rPr>
        <w:t xml:space="preserve"> </w:t>
      </w:r>
      <w:r w:rsidR="007A530A" w:rsidRPr="00813D19">
        <w:rPr>
          <w:bCs/>
          <w:lang w:val="en-US"/>
        </w:rPr>
        <w:t>encouraged the visibility of local cultural elements. In February 2008</w:t>
      </w:r>
      <w:r w:rsidRPr="00813D19">
        <w:rPr>
          <w:bCs/>
          <w:lang w:val="en-US"/>
        </w:rPr>
        <w:t>,</w:t>
      </w:r>
      <w:r w:rsidR="007A530A" w:rsidRPr="00813D19">
        <w:rPr>
          <w:bCs/>
          <w:lang w:val="en-US"/>
        </w:rPr>
        <w:t xml:space="preserve"> </w:t>
      </w:r>
      <w:r w:rsidRPr="00813D19">
        <w:rPr>
          <w:bCs/>
          <w:lang w:val="en-US"/>
        </w:rPr>
        <w:t xml:space="preserve">Jamaica </w:t>
      </w:r>
      <w:r w:rsidR="007A530A" w:rsidRPr="00813D19">
        <w:rPr>
          <w:bCs/>
          <w:lang w:val="en-US"/>
        </w:rPr>
        <w:t xml:space="preserve">designated </w:t>
      </w:r>
      <w:r w:rsidRPr="00813D19">
        <w:rPr>
          <w:bCs/>
          <w:lang w:val="en-US"/>
        </w:rPr>
        <w:t>the month of February–</w:t>
      </w:r>
      <w:r w:rsidR="007A530A" w:rsidRPr="00813D19">
        <w:rPr>
          <w:bCs/>
          <w:lang w:val="en-US"/>
        </w:rPr>
        <w:t>incidentally the birth month of Bob Marley and the crown</w:t>
      </w:r>
      <w:r w:rsidRPr="00813D19">
        <w:rPr>
          <w:bCs/>
          <w:lang w:val="en-US"/>
        </w:rPr>
        <w:t xml:space="preserve"> prince of reggae, Dennis Brown—</w:t>
      </w:r>
      <w:r w:rsidR="007A530A" w:rsidRPr="00813D19">
        <w:rPr>
          <w:bCs/>
          <w:lang w:val="en-US"/>
        </w:rPr>
        <w:t>as reggae month. During that month</w:t>
      </w:r>
      <w:r w:rsidRPr="00813D19">
        <w:rPr>
          <w:bCs/>
          <w:lang w:val="en-US"/>
        </w:rPr>
        <w:t>,</w:t>
      </w:r>
      <w:r w:rsidR="007A530A" w:rsidRPr="00813D19">
        <w:rPr>
          <w:bCs/>
          <w:lang w:val="en-US"/>
        </w:rPr>
        <w:t xml:space="preserve"> there is </w:t>
      </w:r>
      <w:r w:rsidR="001A7CD1">
        <w:rPr>
          <w:bCs/>
          <w:lang w:val="en-US"/>
        </w:rPr>
        <w:t xml:space="preserve">an </w:t>
      </w:r>
      <w:r w:rsidR="007A530A" w:rsidRPr="00813D19">
        <w:rPr>
          <w:bCs/>
          <w:lang w:val="en-US"/>
        </w:rPr>
        <w:t xml:space="preserve">intensification </w:t>
      </w:r>
      <w:r w:rsidR="001A7CD1">
        <w:rPr>
          <w:bCs/>
          <w:lang w:val="en-US"/>
        </w:rPr>
        <w:t>of</w:t>
      </w:r>
      <w:r w:rsidR="001A7CD1" w:rsidRPr="00813D19">
        <w:rPr>
          <w:bCs/>
          <w:lang w:val="en-US"/>
        </w:rPr>
        <w:t xml:space="preserve"> </w:t>
      </w:r>
      <w:r w:rsidR="007A530A" w:rsidRPr="00813D19">
        <w:rPr>
          <w:bCs/>
          <w:lang w:val="en-US"/>
        </w:rPr>
        <w:t xml:space="preserve">the engagement of the public both locally and internationally in cultural programmes throughout various communities </w:t>
      </w:r>
      <w:r w:rsidRPr="00813D19">
        <w:rPr>
          <w:bCs/>
          <w:lang w:val="en-US"/>
        </w:rPr>
        <w:t xml:space="preserve">around </w:t>
      </w:r>
      <w:r w:rsidR="007A530A" w:rsidRPr="00813D19">
        <w:rPr>
          <w:bCs/>
          <w:lang w:val="en-US"/>
        </w:rPr>
        <w:t>reggae. The Jamaica Reggae Museum</w:t>
      </w:r>
      <w:r w:rsidR="001A7CD1">
        <w:rPr>
          <w:bCs/>
          <w:lang w:val="en-US"/>
        </w:rPr>
        <w:t>,</w:t>
      </w:r>
      <w:r w:rsidR="00AB7BA5" w:rsidRPr="00813D19">
        <w:rPr>
          <w:bCs/>
          <w:lang w:val="en-US"/>
        </w:rPr>
        <w:t xml:space="preserve"> for example, hosts its annual Ground N</w:t>
      </w:r>
      <w:r w:rsidR="007A530A" w:rsidRPr="00813D19">
        <w:rPr>
          <w:bCs/>
          <w:lang w:val="en-US"/>
        </w:rPr>
        <w:t>ation series</w:t>
      </w:r>
      <w:r w:rsidR="00AB7BA5" w:rsidRPr="00813D19">
        <w:rPr>
          <w:bCs/>
          <w:lang w:val="en-US"/>
        </w:rPr>
        <w:t>,</w:t>
      </w:r>
      <w:r w:rsidR="007A530A" w:rsidRPr="00813D19">
        <w:rPr>
          <w:bCs/>
          <w:lang w:val="en-US"/>
        </w:rPr>
        <w:t xml:space="preserve"> and reggae practitioners make presentations in the industry associations lecture series. Also</w:t>
      </w:r>
      <w:r w:rsidR="00AB7BA5" w:rsidRPr="00813D19">
        <w:rPr>
          <w:bCs/>
          <w:lang w:val="en-US"/>
        </w:rPr>
        <w:t>,</w:t>
      </w:r>
      <w:r w:rsidR="007A530A" w:rsidRPr="00813D19">
        <w:rPr>
          <w:bCs/>
          <w:lang w:val="en-US"/>
        </w:rPr>
        <w:t xml:space="preserve"> the annual Bob Marley lecture is staged with the cooperation of the Bob Marley Foundation. It </w:t>
      </w:r>
      <w:r w:rsidR="00AB7BA5" w:rsidRPr="00813D19">
        <w:rPr>
          <w:bCs/>
          <w:lang w:val="en-US"/>
        </w:rPr>
        <w:t xml:space="preserve">was </w:t>
      </w:r>
      <w:r w:rsidR="007A530A" w:rsidRPr="00813D19">
        <w:rPr>
          <w:bCs/>
          <w:lang w:val="en-US"/>
        </w:rPr>
        <w:t>noteworthy that iconic exponents of reggae music</w:t>
      </w:r>
      <w:r w:rsidR="00AB7BA5" w:rsidRPr="00813D19">
        <w:rPr>
          <w:bCs/>
          <w:lang w:val="en-US"/>
        </w:rPr>
        <w:t>,</w:t>
      </w:r>
      <w:r w:rsidR="007A530A" w:rsidRPr="00813D19">
        <w:rPr>
          <w:bCs/>
          <w:lang w:val="en-US"/>
        </w:rPr>
        <w:t xml:space="preserve"> including Peter Tosh and Bob Marley</w:t>
      </w:r>
      <w:r w:rsidR="00AB7BA5" w:rsidRPr="00813D19">
        <w:rPr>
          <w:bCs/>
          <w:lang w:val="en-US"/>
        </w:rPr>
        <w:t>,</w:t>
      </w:r>
      <w:r w:rsidR="007A530A" w:rsidRPr="00813D19">
        <w:rPr>
          <w:bCs/>
          <w:lang w:val="en-US"/>
        </w:rPr>
        <w:t xml:space="preserve"> were members of the Rastafarian faith. In recognition of the contribution of Rastafari to reggae music</w:t>
      </w:r>
      <w:r w:rsidR="00AB7BA5" w:rsidRPr="00813D19">
        <w:rPr>
          <w:bCs/>
          <w:lang w:val="en-US"/>
        </w:rPr>
        <w:t>,</w:t>
      </w:r>
      <w:r w:rsidR="007A530A" w:rsidRPr="00813D19">
        <w:rPr>
          <w:bCs/>
          <w:lang w:val="en-US"/>
        </w:rPr>
        <w:t xml:space="preserve"> and the fact that super stars Jimmy Cliff and Bunny Wailer celebrate their b</w:t>
      </w:r>
      <w:r w:rsidR="00C50CAF" w:rsidRPr="00813D19">
        <w:rPr>
          <w:bCs/>
          <w:lang w:val="en-US"/>
        </w:rPr>
        <w:t>irthdays in the month of April—</w:t>
      </w:r>
      <w:r w:rsidR="007A530A" w:rsidRPr="00813D19">
        <w:rPr>
          <w:bCs/>
          <w:lang w:val="en-US"/>
        </w:rPr>
        <w:t xml:space="preserve">the month Jamaica also celebrates the anniversary of the visit of his imperial majesty Haile Selassie I and the spiritual </w:t>
      </w:r>
      <w:r w:rsidR="00C50CAF" w:rsidRPr="00813D19">
        <w:rPr>
          <w:bCs/>
          <w:lang w:val="en-US"/>
        </w:rPr>
        <w:t>head of Rastafari to the island—</w:t>
      </w:r>
      <w:r w:rsidR="00AB7BA5" w:rsidRPr="00813D19">
        <w:rPr>
          <w:bCs/>
          <w:lang w:val="en-US"/>
        </w:rPr>
        <w:t xml:space="preserve"> Jamaica </w:t>
      </w:r>
      <w:r w:rsidR="007A530A" w:rsidRPr="00813D19">
        <w:rPr>
          <w:bCs/>
          <w:lang w:val="en-US"/>
        </w:rPr>
        <w:t>obs</w:t>
      </w:r>
      <w:r w:rsidR="00E72560">
        <w:rPr>
          <w:bCs/>
          <w:lang w:val="en-US"/>
        </w:rPr>
        <w:t>erves April as Rastafari month.</w:t>
      </w:r>
    </w:p>
    <w:p w14:paraId="646B7807" w14:textId="067CD551" w:rsidR="00914003" w:rsidRPr="00813D19" w:rsidRDefault="00AB7BA5" w:rsidP="002D3A5B">
      <w:pPr>
        <w:pStyle w:val="Orateurengris"/>
        <w:spacing w:before="120"/>
        <w:ind w:left="709" w:hanging="709"/>
        <w:rPr>
          <w:color w:val="000000" w:themeColor="text1"/>
          <w:lang w:val="en-US"/>
        </w:rPr>
      </w:pPr>
      <w:r w:rsidRPr="00813D19">
        <w:rPr>
          <w:color w:val="000000" w:themeColor="text1"/>
          <w:lang w:val="en-US"/>
        </w:rPr>
        <w:t xml:space="preserve">Regarding </w:t>
      </w:r>
      <w:r w:rsidR="007A530A" w:rsidRPr="00813D19">
        <w:rPr>
          <w:bCs/>
          <w:lang w:val="en-US"/>
        </w:rPr>
        <w:t xml:space="preserve">criterion </w:t>
      </w:r>
      <w:r w:rsidRPr="00813D19">
        <w:rPr>
          <w:bCs/>
          <w:lang w:val="en-US"/>
        </w:rPr>
        <w:t>R.</w:t>
      </w:r>
      <w:r w:rsidR="007A530A" w:rsidRPr="00813D19">
        <w:rPr>
          <w:bCs/>
          <w:lang w:val="en-US"/>
        </w:rPr>
        <w:t>5</w:t>
      </w:r>
      <w:r w:rsidRPr="00813D19">
        <w:rPr>
          <w:bCs/>
          <w:lang w:val="en-US"/>
        </w:rPr>
        <w:t xml:space="preserve">, the </w:t>
      </w:r>
      <w:r w:rsidRPr="00813D19">
        <w:rPr>
          <w:b/>
          <w:bCs/>
          <w:lang w:val="en-US"/>
        </w:rPr>
        <w:t>delegation of Jamaica</w:t>
      </w:r>
      <w:r w:rsidRPr="00813D19">
        <w:rPr>
          <w:bCs/>
          <w:lang w:val="en-US"/>
        </w:rPr>
        <w:t xml:space="preserve"> further explained </w:t>
      </w:r>
      <w:r w:rsidR="007A530A" w:rsidRPr="00813D19">
        <w:rPr>
          <w:bCs/>
          <w:lang w:val="en-US"/>
        </w:rPr>
        <w:t>that the African Caribbean Institute of Jamaica/Jamaica Memory Bank, the national focal point for the implementation of the Convention</w:t>
      </w:r>
      <w:r w:rsidRPr="00813D19">
        <w:rPr>
          <w:bCs/>
          <w:lang w:val="en-US"/>
        </w:rPr>
        <w:t>,</w:t>
      </w:r>
      <w:r w:rsidR="007A530A" w:rsidRPr="00813D19">
        <w:rPr>
          <w:bCs/>
          <w:lang w:val="en-US"/>
        </w:rPr>
        <w:t xml:space="preserve"> maintains and updates an inventory on reggae among other intangible cultural heritage elements</w:t>
      </w:r>
      <w:r w:rsidRPr="00813D19">
        <w:rPr>
          <w:bCs/>
          <w:lang w:val="en-US"/>
        </w:rPr>
        <w:t>,</w:t>
      </w:r>
      <w:r w:rsidR="007A530A" w:rsidRPr="00813D19">
        <w:rPr>
          <w:bCs/>
          <w:lang w:val="en-US"/>
        </w:rPr>
        <w:t xml:space="preserve"> and</w:t>
      </w:r>
      <w:r w:rsidR="008E217E" w:rsidRPr="00813D19">
        <w:rPr>
          <w:bCs/>
          <w:lang w:val="en-US"/>
        </w:rPr>
        <w:t xml:space="preserve"> the inventory can be viewed on</w:t>
      </w:r>
      <w:r w:rsidR="007A530A" w:rsidRPr="00813D19">
        <w:rPr>
          <w:bCs/>
          <w:lang w:val="en-US"/>
        </w:rPr>
        <w:t>line and</w:t>
      </w:r>
      <w:r w:rsidR="008E217E" w:rsidRPr="00813D19">
        <w:rPr>
          <w:bCs/>
          <w:lang w:val="en-US"/>
        </w:rPr>
        <w:t xml:space="preserve"> is </w:t>
      </w:r>
      <w:r w:rsidR="007A530A" w:rsidRPr="00813D19">
        <w:rPr>
          <w:bCs/>
          <w:lang w:val="en-US"/>
        </w:rPr>
        <w:t>updated b</w:t>
      </w:r>
      <w:r w:rsidR="008E217E" w:rsidRPr="00813D19">
        <w:rPr>
          <w:bCs/>
          <w:lang w:val="en-US"/>
        </w:rPr>
        <w:t>i</w:t>
      </w:r>
      <w:r w:rsidR="007A530A" w:rsidRPr="00813D19">
        <w:rPr>
          <w:bCs/>
          <w:lang w:val="en-US"/>
        </w:rPr>
        <w:t>-</w:t>
      </w:r>
      <w:r w:rsidR="008E217E" w:rsidRPr="00813D19">
        <w:rPr>
          <w:bCs/>
          <w:lang w:val="en-US"/>
        </w:rPr>
        <w:t xml:space="preserve">monthly and reviewed annually. Jamaica was currently </w:t>
      </w:r>
      <w:r w:rsidR="007A530A" w:rsidRPr="00813D19">
        <w:rPr>
          <w:bCs/>
          <w:lang w:val="en-US"/>
        </w:rPr>
        <w:t>in the process of a major overhaul of the inventory</w:t>
      </w:r>
      <w:r w:rsidR="008E217E" w:rsidRPr="00813D19">
        <w:rPr>
          <w:bCs/>
          <w:lang w:val="en-US"/>
        </w:rPr>
        <w:t>,</w:t>
      </w:r>
      <w:r w:rsidR="007A530A" w:rsidRPr="00813D19">
        <w:rPr>
          <w:bCs/>
          <w:lang w:val="en-US"/>
        </w:rPr>
        <w:t xml:space="preserve"> taking into account </w:t>
      </w:r>
      <w:r w:rsidR="008E217E" w:rsidRPr="00813D19">
        <w:rPr>
          <w:bCs/>
          <w:lang w:val="en-US"/>
        </w:rPr>
        <w:t xml:space="preserve">its </w:t>
      </w:r>
      <w:r w:rsidR="007A530A" w:rsidRPr="00813D19">
        <w:rPr>
          <w:bCs/>
          <w:lang w:val="en-US"/>
        </w:rPr>
        <w:t>current needs</w:t>
      </w:r>
      <w:r w:rsidR="008E217E" w:rsidRPr="00813D19">
        <w:rPr>
          <w:bCs/>
          <w:lang w:val="en-US"/>
        </w:rPr>
        <w:t>,</w:t>
      </w:r>
      <w:r w:rsidR="007A530A" w:rsidRPr="00813D19">
        <w:rPr>
          <w:bCs/>
          <w:lang w:val="en-US"/>
        </w:rPr>
        <w:t xml:space="preserve"> as well as being mindful of the requirements of R.5. Jamaica’s Legal Deposit Act requires that all locally produced material on the element be deposited at the National Library of Jamaica, which itself also maintains an inventory of intangible cultural heritage. This ensures the upgrade and constant maintenance of </w:t>
      </w:r>
      <w:r w:rsidR="008E217E" w:rsidRPr="00813D19">
        <w:rPr>
          <w:bCs/>
          <w:lang w:val="en-US"/>
        </w:rPr>
        <w:t xml:space="preserve">the inventory, </w:t>
      </w:r>
      <w:r w:rsidR="007A530A" w:rsidRPr="00813D19">
        <w:rPr>
          <w:bCs/>
          <w:lang w:val="en-US"/>
        </w:rPr>
        <w:t xml:space="preserve">as well as other </w:t>
      </w:r>
      <w:r w:rsidR="008E217E" w:rsidRPr="00813D19">
        <w:rPr>
          <w:bCs/>
          <w:lang w:val="en-US"/>
        </w:rPr>
        <w:t xml:space="preserve">intangible cultural heritage </w:t>
      </w:r>
      <w:r w:rsidR="007A530A" w:rsidRPr="00813D19">
        <w:rPr>
          <w:bCs/>
          <w:lang w:val="en-US"/>
        </w:rPr>
        <w:t xml:space="preserve">elements present in the </w:t>
      </w:r>
      <w:r w:rsidR="008E217E" w:rsidRPr="00813D19">
        <w:rPr>
          <w:bCs/>
          <w:lang w:val="en-US"/>
        </w:rPr>
        <w:t>country</w:t>
      </w:r>
      <w:r w:rsidR="007A530A" w:rsidRPr="00813D19">
        <w:rPr>
          <w:bCs/>
          <w:lang w:val="en-US"/>
        </w:rPr>
        <w:t xml:space="preserve">. Communities have created and continue to maintain and update </w:t>
      </w:r>
      <w:r w:rsidR="008E217E" w:rsidRPr="00813D19">
        <w:rPr>
          <w:bCs/>
          <w:lang w:val="en-US"/>
        </w:rPr>
        <w:t xml:space="preserve">the </w:t>
      </w:r>
      <w:r w:rsidR="007A530A" w:rsidRPr="00813D19">
        <w:rPr>
          <w:bCs/>
          <w:lang w:val="en-US"/>
        </w:rPr>
        <w:t>record and music inventory of recording studios. This includes</w:t>
      </w:r>
      <w:r w:rsidR="008E217E" w:rsidRPr="00813D19">
        <w:rPr>
          <w:bCs/>
          <w:lang w:val="en-US"/>
        </w:rPr>
        <w:t>,</w:t>
      </w:r>
      <w:r w:rsidR="007A530A" w:rsidRPr="00813D19">
        <w:rPr>
          <w:bCs/>
          <w:lang w:val="en-US"/>
        </w:rPr>
        <w:t xml:space="preserve"> but is not limited to</w:t>
      </w:r>
      <w:r w:rsidR="00B837A7">
        <w:rPr>
          <w:bCs/>
          <w:lang w:val="en-US"/>
        </w:rPr>
        <w:t>,</w:t>
      </w:r>
      <w:r w:rsidR="007A530A" w:rsidRPr="00813D19">
        <w:rPr>
          <w:bCs/>
          <w:lang w:val="en-US"/>
        </w:rPr>
        <w:t xml:space="preserve"> the </w:t>
      </w:r>
      <w:r w:rsidR="008E217E" w:rsidRPr="00813D19">
        <w:rPr>
          <w:bCs/>
          <w:lang w:val="en-US"/>
        </w:rPr>
        <w:t>recording studios of King Jammy</w:t>
      </w:r>
      <w:r w:rsidR="007A530A" w:rsidRPr="00813D19">
        <w:rPr>
          <w:bCs/>
          <w:lang w:val="en-US"/>
        </w:rPr>
        <w:t xml:space="preserve">, </w:t>
      </w:r>
      <w:r w:rsidR="008E217E" w:rsidRPr="00813D19">
        <w:rPr>
          <w:bCs/>
          <w:lang w:val="en-US"/>
        </w:rPr>
        <w:t xml:space="preserve">the </w:t>
      </w:r>
      <w:r w:rsidR="007A530A" w:rsidRPr="00813D19">
        <w:rPr>
          <w:bCs/>
          <w:lang w:val="en-US"/>
        </w:rPr>
        <w:t>Bob Marley Foundation and Tuff Gong. In the inner city community of Trench Town</w:t>
      </w:r>
      <w:r w:rsidR="008E217E" w:rsidRPr="00813D19">
        <w:rPr>
          <w:bCs/>
          <w:lang w:val="en-US"/>
        </w:rPr>
        <w:t>,</w:t>
      </w:r>
      <w:r w:rsidR="007A530A" w:rsidRPr="00813D19">
        <w:rPr>
          <w:bCs/>
          <w:lang w:val="en-US"/>
        </w:rPr>
        <w:t xml:space="preserve"> the birthplace of reggae music</w:t>
      </w:r>
      <w:r w:rsidR="008E217E" w:rsidRPr="00813D19">
        <w:rPr>
          <w:bCs/>
          <w:lang w:val="en-US"/>
        </w:rPr>
        <w:t>,</w:t>
      </w:r>
      <w:r w:rsidR="007A530A" w:rsidRPr="00813D19">
        <w:rPr>
          <w:bCs/>
          <w:lang w:val="en-US"/>
        </w:rPr>
        <w:t xml:space="preserve"> a state</w:t>
      </w:r>
      <w:r w:rsidR="00B837A7">
        <w:rPr>
          <w:bCs/>
          <w:lang w:val="en-US"/>
        </w:rPr>
        <w:t>-</w:t>
      </w:r>
      <w:r w:rsidR="007A530A" w:rsidRPr="00813D19">
        <w:rPr>
          <w:bCs/>
          <w:lang w:val="en-US"/>
        </w:rPr>
        <w:t>of</w:t>
      </w:r>
      <w:r w:rsidR="00B837A7">
        <w:rPr>
          <w:bCs/>
          <w:lang w:val="en-US"/>
        </w:rPr>
        <w:t>-</w:t>
      </w:r>
      <w:r w:rsidR="007A530A" w:rsidRPr="00813D19">
        <w:rPr>
          <w:bCs/>
          <w:lang w:val="en-US"/>
        </w:rPr>
        <w:t>the</w:t>
      </w:r>
      <w:r w:rsidR="00B837A7">
        <w:rPr>
          <w:bCs/>
          <w:lang w:val="en-US"/>
        </w:rPr>
        <w:t>-</w:t>
      </w:r>
      <w:r w:rsidR="007A530A" w:rsidRPr="00813D19">
        <w:rPr>
          <w:bCs/>
          <w:lang w:val="en-US"/>
        </w:rPr>
        <w:t>art community studio</w:t>
      </w:r>
      <w:r w:rsidR="008E217E" w:rsidRPr="00813D19">
        <w:rPr>
          <w:bCs/>
          <w:lang w:val="en-US"/>
        </w:rPr>
        <w:t>,</w:t>
      </w:r>
      <w:r w:rsidR="007A530A" w:rsidRPr="00813D19">
        <w:rPr>
          <w:bCs/>
          <w:lang w:val="en-US"/>
        </w:rPr>
        <w:t xml:space="preserve"> </w:t>
      </w:r>
      <w:r w:rsidR="008E217E" w:rsidRPr="00813D19">
        <w:rPr>
          <w:bCs/>
          <w:lang w:val="en-US"/>
        </w:rPr>
        <w:t>the Jamaica Music Institute (</w:t>
      </w:r>
      <w:r w:rsidR="007A530A" w:rsidRPr="00813D19">
        <w:rPr>
          <w:bCs/>
          <w:lang w:val="en-US"/>
        </w:rPr>
        <w:t>JaMIN</w:t>
      </w:r>
      <w:r w:rsidR="008E217E" w:rsidRPr="00813D19">
        <w:rPr>
          <w:bCs/>
          <w:lang w:val="en-US"/>
        </w:rPr>
        <w:t>)</w:t>
      </w:r>
      <w:r w:rsidR="00B837A7">
        <w:rPr>
          <w:bCs/>
          <w:lang w:val="en-US"/>
        </w:rPr>
        <w:t>,</w:t>
      </w:r>
      <w:r w:rsidR="007A530A" w:rsidRPr="00813D19">
        <w:rPr>
          <w:bCs/>
          <w:lang w:val="en-US"/>
        </w:rPr>
        <w:t xml:space="preserve"> was opened in February 2012. Various inventories under the element are also housed at the Edna Manley College of the Visual and Performing Arts, the Bob Marley Museum, the Peter Tosh Museum and the Jamaica Museum, which are accessible to the public and to practitioners. UNESC</w:t>
      </w:r>
      <w:r w:rsidR="00DD40F3" w:rsidRPr="00813D19">
        <w:rPr>
          <w:bCs/>
          <w:lang w:val="en-US"/>
        </w:rPr>
        <w:t>O’s series of workshops on Heritage and C</w:t>
      </w:r>
      <w:r w:rsidR="007A530A" w:rsidRPr="00813D19">
        <w:rPr>
          <w:bCs/>
          <w:lang w:val="en-US"/>
        </w:rPr>
        <w:t>reativity f</w:t>
      </w:r>
      <w:r w:rsidR="00DD40F3" w:rsidRPr="00813D19">
        <w:rPr>
          <w:bCs/>
          <w:lang w:val="en-US"/>
        </w:rPr>
        <w:t>or Sustainable Cities C</w:t>
      </w:r>
      <w:r w:rsidR="00C50CAF" w:rsidRPr="00813D19">
        <w:rPr>
          <w:bCs/>
          <w:lang w:val="en-US"/>
        </w:rPr>
        <w:t>ommunity-</w:t>
      </w:r>
      <w:r w:rsidR="00DD40F3" w:rsidRPr="00813D19">
        <w:rPr>
          <w:bCs/>
          <w:lang w:val="en-US"/>
        </w:rPr>
        <w:t>based I</w:t>
      </w:r>
      <w:r w:rsidR="007A530A" w:rsidRPr="00813D19">
        <w:rPr>
          <w:bCs/>
          <w:lang w:val="en-US"/>
        </w:rPr>
        <w:t>nventory project will al</w:t>
      </w:r>
      <w:r w:rsidR="00C50CAF" w:rsidRPr="00813D19">
        <w:rPr>
          <w:bCs/>
          <w:lang w:val="en-US"/>
        </w:rPr>
        <w:t>so reinforce specific community-</w:t>
      </w:r>
      <w:r w:rsidR="007A530A" w:rsidRPr="00813D19">
        <w:rPr>
          <w:bCs/>
          <w:lang w:val="en-US"/>
        </w:rPr>
        <w:t>based inventories in the western Kingston region</w:t>
      </w:r>
      <w:r w:rsidR="008E217E" w:rsidRPr="00813D19">
        <w:rPr>
          <w:bCs/>
          <w:lang w:val="en-US"/>
        </w:rPr>
        <w:t>, and will be used to further ‘inventorize’</w:t>
      </w:r>
      <w:r w:rsidR="007A530A" w:rsidRPr="00813D19">
        <w:rPr>
          <w:bCs/>
          <w:lang w:val="en-US"/>
        </w:rPr>
        <w:t xml:space="preserve"> the element. </w:t>
      </w:r>
      <w:r w:rsidR="008E217E" w:rsidRPr="00813D19">
        <w:rPr>
          <w:bCs/>
          <w:lang w:val="en-US"/>
        </w:rPr>
        <w:t>I</w:t>
      </w:r>
      <w:r w:rsidR="007A530A" w:rsidRPr="00813D19">
        <w:rPr>
          <w:bCs/>
          <w:lang w:val="en-US"/>
        </w:rPr>
        <w:t>n terms of the visibility of the element</w:t>
      </w:r>
      <w:r w:rsidR="008E217E" w:rsidRPr="00813D19">
        <w:rPr>
          <w:bCs/>
          <w:lang w:val="en-US"/>
        </w:rPr>
        <w:t>,</w:t>
      </w:r>
      <w:r w:rsidR="007A530A" w:rsidRPr="00813D19">
        <w:rPr>
          <w:bCs/>
          <w:lang w:val="en-US"/>
        </w:rPr>
        <w:t xml:space="preserve"> </w:t>
      </w:r>
      <w:r w:rsidR="008E217E" w:rsidRPr="00813D19">
        <w:rPr>
          <w:bCs/>
          <w:lang w:val="en-US"/>
        </w:rPr>
        <w:t xml:space="preserve">it was noted that </w:t>
      </w:r>
      <w:r w:rsidR="007A530A" w:rsidRPr="00813D19">
        <w:rPr>
          <w:bCs/>
          <w:lang w:val="en-US"/>
        </w:rPr>
        <w:t>the Smithsonian Institution put on a major exhibition on reggae</w:t>
      </w:r>
      <w:r w:rsidR="008E217E" w:rsidRPr="00813D19">
        <w:rPr>
          <w:bCs/>
          <w:lang w:val="en-US"/>
        </w:rPr>
        <w:t xml:space="preserve"> a few years ago</w:t>
      </w:r>
      <w:r w:rsidR="007A530A" w:rsidRPr="00813D19">
        <w:rPr>
          <w:bCs/>
          <w:lang w:val="en-US"/>
        </w:rPr>
        <w:t xml:space="preserve">, </w:t>
      </w:r>
      <w:r w:rsidR="008E217E" w:rsidRPr="00813D19">
        <w:rPr>
          <w:bCs/>
          <w:lang w:val="en-US"/>
        </w:rPr>
        <w:t>highlighting</w:t>
      </w:r>
      <w:r w:rsidR="007A530A" w:rsidRPr="00813D19">
        <w:rPr>
          <w:bCs/>
          <w:lang w:val="en-US"/>
        </w:rPr>
        <w:t xml:space="preserve"> the</w:t>
      </w:r>
      <w:r w:rsidR="008E217E" w:rsidRPr="00813D19">
        <w:rPr>
          <w:bCs/>
          <w:lang w:val="en-US"/>
        </w:rPr>
        <w:t xml:space="preserve"> importance of the element. The</w:t>
      </w:r>
      <w:r w:rsidR="007A530A" w:rsidRPr="00813D19">
        <w:rPr>
          <w:bCs/>
          <w:lang w:val="en-US"/>
        </w:rPr>
        <w:t xml:space="preserve"> Jamaica Jamaica</w:t>
      </w:r>
      <w:r w:rsidR="008E217E" w:rsidRPr="00813D19">
        <w:rPr>
          <w:bCs/>
          <w:lang w:val="en-US"/>
        </w:rPr>
        <w:t>!</w:t>
      </w:r>
      <w:r w:rsidR="007A530A" w:rsidRPr="00813D19">
        <w:rPr>
          <w:bCs/>
          <w:lang w:val="en-US"/>
        </w:rPr>
        <w:t xml:space="preserve"> </w:t>
      </w:r>
      <w:r w:rsidR="008E217E" w:rsidRPr="00813D19">
        <w:rPr>
          <w:bCs/>
          <w:lang w:val="en-US"/>
        </w:rPr>
        <w:t>E</w:t>
      </w:r>
      <w:r w:rsidR="007A530A" w:rsidRPr="00813D19">
        <w:rPr>
          <w:bCs/>
          <w:lang w:val="en-US"/>
        </w:rPr>
        <w:t>xhibition</w:t>
      </w:r>
      <w:r w:rsidR="008E217E" w:rsidRPr="00813D19">
        <w:rPr>
          <w:bCs/>
          <w:lang w:val="en-US"/>
        </w:rPr>
        <w:t xml:space="preserve"> </w:t>
      </w:r>
      <w:r w:rsidR="007A530A" w:rsidRPr="00813D19">
        <w:rPr>
          <w:bCs/>
          <w:lang w:val="en-US"/>
        </w:rPr>
        <w:t xml:space="preserve">was mounted in France and Brazil, which also demonstrates the visibility of the element and its attractiveness to other </w:t>
      </w:r>
      <w:r w:rsidR="008E217E" w:rsidRPr="00813D19">
        <w:rPr>
          <w:bCs/>
          <w:lang w:val="en-US"/>
        </w:rPr>
        <w:t>countries</w:t>
      </w:r>
      <w:r w:rsidR="007A530A" w:rsidRPr="00813D19">
        <w:rPr>
          <w:bCs/>
          <w:lang w:val="en-US"/>
        </w:rPr>
        <w:t xml:space="preserve">. </w:t>
      </w:r>
      <w:r w:rsidR="00F059E0" w:rsidRPr="00813D19">
        <w:rPr>
          <w:bCs/>
          <w:lang w:val="en-US"/>
        </w:rPr>
        <w:t xml:space="preserve">Thus, the </w:t>
      </w:r>
      <w:r w:rsidR="007A530A" w:rsidRPr="00813D19">
        <w:rPr>
          <w:bCs/>
          <w:lang w:val="en-US"/>
        </w:rPr>
        <w:t xml:space="preserve">inscription of </w:t>
      </w:r>
      <w:r w:rsidR="002F50EA">
        <w:rPr>
          <w:bCs/>
          <w:lang w:val="en-US"/>
        </w:rPr>
        <w:t>R</w:t>
      </w:r>
      <w:r w:rsidR="007A530A" w:rsidRPr="00813D19">
        <w:rPr>
          <w:bCs/>
          <w:lang w:val="en-US"/>
        </w:rPr>
        <w:t>eggae</w:t>
      </w:r>
      <w:r w:rsidR="00B837A7">
        <w:rPr>
          <w:bCs/>
          <w:lang w:val="en-US"/>
        </w:rPr>
        <w:t xml:space="preserve"> on</w:t>
      </w:r>
      <w:r w:rsidR="007A530A" w:rsidRPr="00813D19">
        <w:rPr>
          <w:bCs/>
          <w:lang w:val="en-US"/>
        </w:rPr>
        <w:t xml:space="preserve"> the Representative List </w:t>
      </w:r>
      <w:r w:rsidR="00B837A7" w:rsidRPr="00813D19">
        <w:rPr>
          <w:bCs/>
          <w:lang w:val="en-US"/>
        </w:rPr>
        <w:t>w</w:t>
      </w:r>
      <w:r w:rsidR="00B837A7">
        <w:rPr>
          <w:bCs/>
          <w:lang w:val="en-US"/>
        </w:rPr>
        <w:t>ould</w:t>
      </w:r>
      <w:r w:rsidR="00B837A7" w:rsidRPr="00813D19">
        <w:rPr>
          <w:bCs/>
          <w:lang w:val="en-US"/>
        </w:rPr>
        <w:t xml:space="preserve"> </w:t>
      </w:r>
      <w:r w:rsidR="007A530A" w:rsidRPr="00813D19">
        <w:rPr>
          <w:bCs/>
          <w:lang w:val="en-US"/>
        </w:rPr>
        <w:t>raise visibility</w:t>
      </w:r>
      <w:r w:rsidR="00F059E0" w:rsidRPr="00813D19">
        <w:rPr>
          <w:bCs/>
          <w:lang w:val="en-US"/>
        </w:rPr>
        <w:t>,</w:t>
      </w:r>
      <w:r w:rsidR="007A530A" w:rsidRPr="00813D19">
        <w:rPr>
          <w:bCs/>
          <w:lang w:val="en-US"/>
        </w:rPr>
        <w:t xml:space="preserve"> not only of the element but also of the Convention as a whole</w:t>
      </w:r>
      <w:r w:rsidR="00F059E0" w:rsidRPr="00813D19">
        <w:rPr>
          <w:bCs/>
          <w:lang w:val="en-US"/>
        </w:rPr>
        <w:t>,</w:t>
      </w:r>
      <w:r w:rsidR="007A530A" w:rsidRPr="00813D19">
        <w:rPr>
          <w:bCs/>
          <w:lang w:val="en-US"/>
        </w:rPr>
        <w:t xml:space="preserve"> and in doing so </w:t>
      </w:r>
      <w:r w:rsidR="00B837A7">
        <w:rPr>
          <w:bCs/>
          <w:lang w:val="en-US"/>
        </w:rPr>
        <w:t xml:space="preserve">would </w:t>
      </w:r>
      <w:r w:rsidR="007A530A" w:rsidRPr="00813D19">
        <w:rPr>
          <w:bCs/>
          <w:lang w:val="en-US"/>
        </w:rPr>
        <w:t xml:space="preserve">raise awareness </w:t>
      </w:r>
      <w:r w:rsidR="00B837A7">
        <w:rPr>
          <w:bCs/>
          <w:lang w:val="en-US"/>
        </w:rPr>
        <w:t>about</w:t>
      </w:r>
      <w:r w:rsidR="00B837A7" w:rsidRPr="00813D19">
        <w:rPr>
          <w:bCs/>
          <w:lang w:val="en-US"/>
        </w:rPr>
        <w:t xml:space="preserve"> </w:t>
      </w:r>
      <w:r w:rsidR="00E72560">
        <w:rPr>
          <w:bCs/>
          <w:lang w:val="en-US"/>
        </w:rPr>
        <w:t>other elements worldwide.</w:t>
      </w:r>
    </w:p>
    <w:p w14:paraId="27E2643C" w14:textId="4821CCC4" w:rsidR="006A719B" w:rsidRPr="00813D19" w:rsidRDefault="006A719B"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AF28FC" w:rsidRPr="00813D19">
        <w:rPr>
          <w:color w:val="000000" w:themeColor="text1"/>
          <w:lang w:val="en-US"/>
        </w:rPr>
        <w:t>turned to the draft decision on a paragraph-by-paragraph basis.</w:t>
      </w:r>
    </w:p>
    <w:p w14:paraId="43898A03" w14:textId="317AD7DD" w:rsidR="00AF28FC" w:rsidRPr="00813D19" w:rsidRDefault="00AF28FC"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Netherlands</w:t>
      </w:r>
      <w:r w:rsidR="007A530A" w:rsidRPr="00813D19">
        <w:rPr>
          <w:b/>
          <w:color w:val="000000" w:themeColor="text1"/>
          <w:lang w:val="en-US"/>
        </w:rPr>
        <w:t xml:space="preserve"> </w:t>
      </w:r>
      <w:r w:rsidR="0009706B" w:rsidRPr="00813D19">
        <w:rPr>
          <w:color w:val="000000" w:themeColor="text1"/>
          <w:lang w:val="en-US"/>
        </w:rPr>
        <w:t xml:space="preserve">wished to have </w:t>
      </w:r>
      <w:r w:rsidR="0009706B" w:rsidRPr="00813D19">
        <w:rPr>
          <w:bCs/>
          <w:lang w:val="en-US"/>
        </w:rPr>
        <w:t>feedback from the Evaluation Body.</w:t>
      </w:r>
    </w:p>
    <w:p w14:paraId="38BD0721" w14:textId="35FC5024" w:rsidR="00AE2993" w:rsidRPr="00813D19" w:rsidRDefault="00AE2993"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of the Evaluation Body </w:t>
      </w:r>
      <w:r w:rsidR="003E4323" w:rsidRPr="00813D19">
        <w:rPr>
          <w:bCs/>
          <w:lang w:val="en-US"/>
        </w:rPr>
        <w:t xml:space="preserve">took </w:t>
      </w:r>
      <w:r w:rsidR="00651A9B" w:rsidRPr="00813D19">
        <w:rPr>
          <w:bCs/>
          <w:lang w:val="en-US"/>
        </w:rPr>
        <w:t xml:space="preserve">the </w:t>
      </w:r>
      <w:r w:rsidR="007A530A" w:rsidRPr="00813D19">
        <w:rPr>
          <w:bCs/>
          <w:lang w:val="en-US"/>
        </w:rPr>
        <w:t>opportunity to thank the Committee Members for t</w:t>
      </w:r>
      <w:r w:rsidR="00651A9B" w:rsidRPr="00813D19">
        <w:rPr>
          <w:bCs/>
          <w:lang w:val="en-US"/>
        </w:rPr>
        <w:t xml:space="preserve">heir contribution and comments, </w:t>
      </w:r>
      <w:r w:rsidR="00F059E0" w:rsidRPr="00813D19">
        <w:rPr>
          <w:bCs/>
          <w:lang w:val="en-US"/>
        </w:rPr>
        <w:t xml:space="preserve">and noted </w:t>
      </w:r>
      <w:r w:rsidR="00651A9B" w:rsidRPr="00813D19">
        <w:rPr>
          <w:bCs/>
          <w:lang w:val="en-US"/>
        </w:rPr>
        <w:t xml:space="preserve">that </w:t>
      </w:r>
      <w:r w:rsidR="007A530A" w:rsidRPr="00813D19">
        <w:rPr>
          <w:bCs/>
          <w:lang w:val="en-US"/>
        </w:rPr>
        <w:t xml:space="preserve">a number of </w:t>
      </w:r>
      <w:r w:rsidR="00651A9B" w:rsidRPr="00813D19">
        <w:rPr>
          <w:bCs/>
          <w:lang w:val="en-US"/>
        </w:rPr>
        <w:t xml:space="preserve">the Members were </w:t>
      </w:r>
      <w:r w:rsidR="007A530A" w:rsidRPr="00813D19">
        <w:rPr>
          <w:bCs/>
          <w:lang w:val="en-US"/>
        </w:rPr>
        <w:t>lovers of reggae music</w:t>
      </w:r>
      <w:r w:rsidR="00B837A7">
        <w:rPr>
          <w:bCs/>
          <w:lang w:val="en-US"/>
        </w:rPr>
        <w:t>,</w:t>
      </w:r>
      <w:r w:rsidR="007A530A" w:rsidRPr="00813D19">
        <w:rPr>
          <w:bCs/>
          <w:lang w:val="en-US"/>
        </w:rPr>
        <w:t xml:space="preserve"> </w:t>
      </w:r>
      <w:r w:rsidR="00F059E0" w:rsidRPr="00813D19">
        <w:rPr>
          <w:bCs/>
          <w:lang w:val="en-US"/>
        </w:rPr>
        <w:t xml:space="preserve">with </w:t>
      </w:r>
      <w:r w:rsidR="007A530A" w:rsidRPr="00813D19">
        <w:rPr>
          <w:bCs/>
          <w:lang w:val="en-US"/>
        </w:rPr>
        <w:t xml:space="preserve">most of </w:t>
      </w:r>
      <w:r w:rsidR="00651A9B" w:rsidRPr="00813D19">
        <w:rPr>
          <w:bCs/>
          <w:lang w:val="en-US"/>
        </w:rPr>
        <w:t xml:space="preserve">the </w:t>
      </w:r>
      <w:r w:rsidR="007A530A" w:rsidRPr="00813D19">
        <w:rPr>
          <w:bCs/>
          <w:lang w:val="en-US"/>
        </w:rPr>
        <w:t xml:space="preserve">explanations talking about the element itself. </w:t>
      </w:r>
      <w:r w:rsidR="00651A9B" w:rsidRPr="00813D19">
        <w:rPr>
          <w:bCs/>
          <w:lang w:val="en-US"/>
        </w:rPr>
        <w:t xml:space="preserve">The Chairperson explained that the </w:t>
      </w:r>
      <w:r w:rsidR="007A530A" w:rsidRPr="00813D19">
        <w:rPr>
          <w:bCs/>
          <w:lang w:val="en-US"/>
        </w:rPr>
        <w:t xml:space="preserve">Evaluation Body </w:t>
      </w:r>
      <w:r w:rsidR="00651A9B" w:rsidRPr="00813D19">
        <w:rPr>
          <w:bCs/>
          <w:lang w:val="en-US"/>
        </w:rPr>
        <w:t xml:space="preserve">did not </w:t>
      </w:r>
      <w:r w:rsidR="007A530A" w:rsidRPr="00813D19">
        <w:rPr>
          <w:bCs/>
          <w:lang w:val="en-US"/>
        </w:rPr>
        <w:t xml:space="preserve">evaluate the element but the information contained </w:t>
      </w:r>
      <w:r w:rsidR="00F059E0" w:rsidRPr="00813D19">
        <w:rPr>
          <w:bCs/>
          <w:lang w:val="en-US"/>
        </w:rPr>
        <w:t>with</w:t>
      </w:r>
      <w:r w:rsidR="007A530A" w:rsidRPr="00813D19">
        <w:rPr>
          <w:bCs/>
          <w:lang w:val="en-US"/>
        </w:rPr>
        <w:t xml:space="preserve">in the file. </w:t>
      </w:r>
      <w:r w:rsidR="00651A9B" w:rsidRPr="00813D19">
        <w:rPr>
          <w:bCs/>
          <w:lang w:val="en-US"/>
        </w:rPr>
        <w:t xml:space="preserve">In this case, the </w:t>
      </w:r>
      <w:r w:rsidR="007A530A" w:rsidRPr="00813D19">
        <w:rPr>
          <w:bCs/>
          <w:lang w:val="en-US"/>
        </w:rPr>
        <w:t xml:space="preserve">two criteria </w:t>
      </w:r>
      <w:r w:rsidR="00F059E0" w:rsidRPr="00813D19">
        <w:rPr>
          <w:bCs/>
          <w:lang w:val="en-US"/>
        </w:rPr>
        <w:t xml:space="preserve">were not met. </w:t>
      </w:r>
      <w:r w:rsidR="00052EB4" w:rsidRPr="00813D19">
        <w:rPr>
          <w:bCs/>
          <w:lang w:val="en-US"/>
        </w:rPr>
        <w:t xml:space="preserve">Criterion </w:t>
      </w:r>
      <w:r w:rsidR="00651A9B" w:rsidRPr="00813D19">
        <w:rPr>
          <w:bCs/>
          <w:lang w:val="en-US"/>
        </w:rPr>
        <w:t>R.2</w:t>
      </w:r>
      <w:r w:rsidR="007A530A" w:rsidRPr="00813D19">
        <w:rPr>
          <w:bCs/>
          <w:lang w:val="en-US"/>
        </w:rPr>
        <w:t xml:space="preserve"> </w:t>
      </w:r>
      <w:r w:rsidR="00651A9B" w:rsidRPr="00813D19">
        <w:rPr>
          <w:bCs/>
          <w:lang w:val="en-US"/>
        </w:rPr>
        <w:t xml:space="preserve">had </w:t>
      </w:r>
      <w:r w:rsidR="007A530A" w:rsidRPr="00813D19">
        <w:rPr>
          <w:bCs/>
          <w:lang w:val="en-US"/>
        </w:rPr>
        <w:t xml:space="preserve">three sections </w:t>
      </w:r>
      <w:r w:rsidR="00651A9B" w:rsidRPr="00813D19">
        <w:rPr>
          <w:bCs/>
          <w:lang w:val="en-US"/>
        </w:rPr>
        <w:t>that requested</w:t>
      </w:r>
      <w:r w:rsidR="00F059E0" w:rsidRPr="00813D19">
        <w:rPr>
          <w:bCs/>
          <w:lang w:val="en-US"/>
        </w:rPr>
        <w:t xml:space="preserve"> information</w:t>
      </w:r>
      <w:r w:rsidR="00052EB4" w:rsidRPr="00813D19">
        <w:rPr>
          <w:bCs/>
          <w:lang w:val="en-US"/>
        </w:rPr>
        <w:t>,</w:t>
      </w:r>
      <w:r w:rsidR="00F059E0" w:rsidRPr="00813D19">
        <w:rPr>
          <w:bCs/>
          <w:lang w:val="en-US"/>
        </w:rPr>
        <w:t xml:space="preserve"> with o</w:t>
      </w:r>
      <w:r w:rsidR="007A530A" w:rsidRPr="00813D19">
        <w:rPr>
          <w:bCs/>
          <w:lang w:val="en-US"/>
        </w:rPr>
        <w:t xml:space="preserve">ne section </w:t>
      </w:r>
      <w:r w:rsidR="00F059E0" w:rsidRPr="00813D19">
        <w:rPr>
          <w:bCs/>
          <w:lang w:val="en-US"/>
        </w:rPr>
        <w:t xml:space="preserve">asking </w:t>
      </w:r>
      <w:r w:rsidR="00651A9B" w:rsidRPr="00813D19">
        <w:rPr>
          <w:bCs/>
          <w:lang w:val="en-US"/>
        </w:rPr>
        <w:t xml:space="preserve">how </w:t>
      </w:r>
      <w:r w:rsidR="007A530A" w:rsidRPr="00813D19">
        <w:rPr>
          <w:bCs/>
          <w:lang w:val="en-US"/>
        </w:rPr>
        <w:t>the inscription contribute</w:t>
      </w:r>
      <w:r w:rsidR="00C50CAF" w:rsidRPr="00813D19">
        <w:rPr>
          <w:bCs/>
          <w:lang w:val="en-US"/>
        </w:rPr>
        <w:t>d</w:t>
      </w:r>
      <w:r w:rsidR="007A530A" w:rsidRPr="00813D19">
        <w:rPr>
          <w:bCs/>
          <w:lang w:val="en-US"/>
        </w:rPr>
        <w:t xml:space="preserve"> to the visibility of </w:t>
      </w:r>
      <w:r w:rsidR="00651A9B" w:rsidRPr="00813D19">
        <w:rPr>
          <w:bCs/>
          <w:lang w:val="en-US"/>
        </w:rPr>
        <w:t xml:space="preserve">intangible cultural heritage </w:t>
      </w:r>
      <w:r w:rsidR="00052EB4" w:rsidRPr="00813D19">
        <w:rPr>
          <w:bCs/>
          <w:lang w:val="en-US"/>
        </w:rPr>
        <w:t>in general, an</w:t>
      </w:r>
      <w:r w:rsidR="007A530A" w:rsidRPr="00813D19">
        <w:rPr>
          <w:bCs/>
          <w:lang w:val="en-US"/>
        </w:rPr>
        <w:t xml:space="preserve">other section </w:t>
      </w:r>
      <w:r w:rsidR="00052EB4" w:rsidRPr="00813D19">
        <w:rPr>
          <w:bCs/>
          <w:lang w:val="en-US"/>
        </w:rPr>
        <w:t xml:space="preserve">on </w:t>
      </w:r>
      <w:r w:rsidR="007A530A" w:rsidRPr="00813D19">
        <w:rPr>
          <w:bCs/>
          <w:lang w:val="en-US"/>
        </w:rPr>
        <w:t>dialogue</w:t>
      </w:r>
      <w:r w:rsidR="00052EB4" w:rsidRPr="00813D19">
        <w:rPr>
          <w:bCs/>
          <w:lang w:val="en-US"/>
        </w:rPr>
        <w:t xml:space="preserve">, and a section on respect for cultural diversity and human creativity. Thus, even </w:t>
      </w:r>
      <w:r w:rsidR="007A530A" w:rsidRPr="00813D19">
        <w:rPr>
          <w:bCs/>
          <w:lang w:val="en-US"/>
        </w:rPr>
        <w:t xml:space="preserve">if the information on dialogue </w:t>
      </w:r>
      <w:r w:rsidR="00052EB4" w:rsidRPr="00813D19">
        <w:rPr>
          <w:bCs/>
          <w:lang w:val="en-US"/>
        </w:rPr>
        <w:t xml:space="preserve">was </w:t>
      </w:r>
      <w:r w:rsidR="007A530A" w:rsidRPr="00813D19">
        <w:rPr>
          <w:bCs/>
          <w:lang w:val="en-US"/>
        </w:rPr>
        <w:t>clear</w:t>
      </w:r>
      <w:r w:rsidR="00052EB4" w:rsidRPr="00813D19">
        <w:rPr>
          <w:bCs/>
          <w:lang w:val="en-US"/>
        </w:rPr>
        <w:t>,</w:t>
      </w:r>
      <w:r w:rsidR="007A530A" w:rsidRPr="00813D19">
        <w:rPr>
          <w:bCs/>
          <w:lang w:val="en-US"/>
        </w:rPr>
        <w:t xml:space="preserve"> </w:t>
      </w:r>
      <w:r w:rsidR="00052EB4" w:rsidRPr="00813D19">
        <w:rPr>
          <w:bCs/>
          <w:lang w:val="en-US"/>
        </w:rPr>
        <w:t xml:space="preserve">the </w:t>
      </w:r>
      <w:r w:rsidR="00C50CAF" w:rsidRPr="00813D19">
        <w:rPr>
          <w:bCs/>
          <w:lang w:val="en-US"/>
        </w:rPr>
        <w:t xml:space="preserve">section </w:t>
      </w:r>
      <w:r w:rsidR="00052EB4" w:rsidRPr="00813D19">
        <w:rPr>
          <w:bCs/>
          <w:lang w:val="en-US"/>
        </w:rPr>
        <w:t>on</w:t>
      </w:r>
      <w:r w:rsidR="007A530A" w:rsidRPr="00813D19">
        <w:rPr>
          <w:bCs/>
          <w:lang w:val="en-US"/>
        </w:rPr>
        <w:t xml:space="preserve"> </w:t>
      </w:r>
      <w:r w:rsidR="00B837A7">
        <w:rPr>
          <w:bCs/>
          <w:lang w:val="en-US"/>
        </w:rPr>
        <w:t xml:space="preserve">the </w:t>
      </w:r>
      <w:r w:rsidR="007A530A" w:rsidRPr="00813D19">
        <w:rPr>
          <w:bCs/>
          <w:lang w:val="en-US"/>
        </w:rPr>
        <w:t xml:space="preserve">visibility </w:t>
      </w:r>
      <w:r w:rsidR="00C50CAF" w:rsidRPr="00813D19">
        <w:rPr>
          <w:bCs/>
          <w:lang w:val="en-US"/>
        </w:rPr>
        <w:t xml:space="preserve">of </w:t>
      </w:r>
      <w:r w:rsidR="00052EB4" w:rsidRPr="00813D19">
        <w:rPr>
          <w:bCs/>
          <w:lang w:val="en-US"/>
        </w:rPr>
        <w:t xml:space="preserve">intangible cultural heritage </w:t>
      </w:r>
      <w:r w:rsidR="007A530A" w:rsidRPr="00813D19">
        <w:rPr>
          <w:bCs/>
          <w:lang w:val="en-US"/>
        </w:rPr>
        <w:t xml:space="preserve">in general </w:t>
      </w:r>
      <w:r w:rsidR="00052EB4" w:rsidRPr="00813D19">
        <w:rPr>
          <w:bCs/>
          <w:lang w:val="en-US"/>
        </w:rPr>
        <w:t>was un</w:t>
      </w:r>
      <w:r w:rsidR="007A530A" w:rsidRPr="00813D19">
        <w:rPr>
          <w:bCs/>
          <w:lang w:val="en-US"/>
        </w:rPr>
        <w:t>clear</w:t>
      </w:r>
      <w:r w:rsidR="00052EB4" w:rsidRPr="00813D19">
        <w:rPr>
          <w:bCs/>
          <w:lang w:val="en-US"/>
        </w:rPr>
        <w:t>,</w:t>
      </w:r>
      <w:r w:rsidR="007A530A" w:rsidRPr="00813D19">
        <w:rPr>
          <w:bCs/>
          <w:lang w:val="en-US"/>
        </w:rPr>
        <w:t xml:space="preserve"> </w:t>
      </w:r>
      <w:r w:rsidR="00C50CAF" w:rsidRPr="00813D19">
        <w:rPr>
          <w:bCs/>
          <w:lang w:val="en-US"/>
        </w:rPr>
        <w:t xml:space="preserve">and thus the </w:t>
      </w:r>
      <w:r w:rsidR="007A530A" w:rsidRPr="00813D19">
        <w:rPr>
          <w:bCs/>
          <w:lang w:val="en-US"/>
        </w:rPr>
        <w:t>criteri</w:t>
      </w:r>
      <w:r w:rsidR="00B837A7">
        <w:rPr>
          <w:bCs/>
          <w:lang w:val="en-US"/>
        </w:rPr>
        <w:t>on</w:t>
      </w:r>
      <w:r w:rsidR="007A530A" w:rsidRPr="00813D19">
        <w:rPr>
          <w:bCs/>
          <w:lang w:val="en-US"/>
        </w:rPr>
        <w:t xml:space="preserve"> </w:t>
      </w:r>
      <w:r w:rsidR="00C50CAF" w:rsidRPr="00813D19">
        <w:rPr>
          <w:bCs/>
          <w:lang w:val="en-US"/>
        </w:rPr>
        <w:t xml:space="preserve">was </w:t>
      </w:r>
      <w:r w:rsidR="00052EB4" w:rsidRPr="00813D19">
        <w:rPr>
          <w:bCs/>
          <w:lang w:val="en-US"/>
        </w:rPr>
        <w:t>not met</w:t>
      </w:r>
      <w:r w:rsidR="007A530A" w:rsidRPr="00813D19">
        <w:rPr>
          <w:bCs/>
          <w:lang w:val="en-US"/>
        </w:rPr>
        <w:t xml:space="preserve">. </w:t>
      </w:r>
      <w:r w:rsidR="00052EB4" w:rsidRPr="00813D19">
        <w:rPr>
          <w:bCs/>
          <w:lang w:val="en-US"/>
        </w:rPr>
        <w:t xml:space="preserve">Regarding </w:t>
      </w:r>
      <w:r w:rsidR="007A530A" w:rsidRPr="00813D19">
        <w:rPr>
          <w:bCs/>
          <w:lang w:val="en-US"/>
        </w:rPr>
        <w:t>R.5</w:t>
      </w:r>
      <w:r w:rsidR="00052EB4" w:rsidRPr="00813D19">
        <w:rPr>
          <w:bCs/>
          <w:lang w:val="en-US"/>
        </w:rPr>
        <w:t>,</w:t>
      </w:r>
      <w:r w:rsidR="007A530A" w:rsidRPr="00813D19">
        <w:rPr>
          <w:bCs/>
          <w:lang w:val="en-US"/>
        </w:rPr>
        <w:t xml:space="preserve"> there </w:t>
      </w:r>
      <w:r w:rsidR="00052EB4" w:rsidRPr="00813D19">
        <w:rPr>
          <w:bCs/>
          <w:lang w:val="en-US"/>
        </w:rPr>
        <w:t xml:space="preserve">were </w:t>
      </w:r>
      <w:r w:rsidR="007A530A" w:rsidRPr="00813D19">
        <w:rPr>
          <w:bCs/>
          <w:lang w:val="en-US"/>
        </w:rPr>
        <w:t>some sections where some information was missing</w:t>
      </w:r>
      <w:r w:rsidR="00C50CAF" w:rsidRPr="00813D19">
        <w:rPr>
          <w:bCs/>
          <w:lang w:val="en-US"/>
        </w:rPr>
        <w:t>,</w:t>
      </w:r>
      <w:r w:rsidR="007A530A" w:rsidRPr="00813D19">
        <w:rPr>
          <w:bCs/>
          <w:lang w:val="en-US"/>
        </w:rPr>
        <w:t xml:space="preserve"> </w:t>
      </w:r>
      <w:r w:rsidR="00052EB4" w:rsidRPr="00813D19">
        <w:rPr>
          <w:bCs/>
          <w:lang w:val="en-US"/>
        </w:rPr>
        <w:t xml:space="preserve">with </w:t>
      </w:r>
      <w:r w:rsidR="007A530A" w:rsidRPr="00813D19">
        <w:rPr>
          <w:bCs/>
          <w:lang w:val="en-US"/>
        </w:rPr>
        <w:t xml:space="preserve">no information </w:t>
      </w:r>
      <w:r w:rsidR="00C50CAF" w:rsidRPr="00813D19">
        <w:rPr>
          <w:bCs/>
          <w:lang w:val="en-US"/>
        </w:rPr>
        <w:t xml:space="preserve">on the frequency of updating, with </w:t>
      </w:r>
      <w:r w:rsidR="00364CAE" w:rsidRPr="00813D19">
        <w:rPr>
          <w:bCs/>
          <w:lang w:val="en-US"/>
        </w:rPr>
        <w:t xml:space="preserve">no name or </w:t>
      </w:r>
      <w:r w:rsidR="007A530A" w:rsidRPr="00813D19">
        <w:rPr>
          <w:bCs/>
          <w:lang w:val="en-US"/>
        </w:rPr>
        <w:t xml:space="preserve">reference numbers </w:t>
      </w:r>
      <w:r w:rsidR="00C50CAF" w:rsidRPr="00813D19">
        <w:rPr>
          <w:bCs/>
          <w:lang w:val="en-US"/>
        </w:rPr>
        <w:t xml:space="preserve">given </w:t>
      </w:r>
      <w:r w:rsidR="00364CAE" w:rsidRPr="00813D19">
        <w:rPr>
          <w:bCs/>
          <w:lang w:val="en-US"/>
        </w:rPr>
        <w:t xml:space="preserve">for </w:t>
      </w:r>
      <w:r w:rsidR="00052EB4" w:rsidRPr="00813D19">
        <w:rPr>
          <w:bCs/>
          <w:lang w:val="en-US"/>
        </w:rPr>
        <w:t xml:space="preserve">the </w:t>
      </w:r>
      <w:r w:rsidR="007A530A" w:rsidRPr="00813D19">
        <w:rPr>
          <w:bCs/>
          <w:lang w:val="en-US"/>
        </w:rPr>
        <w:t xml:space="preserve">inventory. Following the challenges </w:t>
      </w:r>
      <w:r w:rsidR="00364CAE" w:rsidRPr="00813D19">
        <w:rPr>
          <w:bCs/>
          <w:lang w:val="en-US"/>
        </w:rPr>
        <w:t xml:space="preserve">faced by </w:t>
      </w:r>
      <w:r w:rsidR="007A530A" w:rsidRPr="00813D19">
        <w:rPr>
          <w:bCs/>
          <w:lang w:val="en-US"/>
        </w:rPr>
        <w:t xml:space="preserve">most States Parties </w:t>
      </w:r>
      <w:r w:rsidR="00364CAE" w:rsidRPr="00813D19">
        <w:rPr>
          <w:bCs/>
          <w:lang w:val="en-US"/>
        </w:rPr>
        <w:t xml:space="preserve">in </w:t>
      </w:r>
      <w:r w:rsidR="007A530A" w:rsidRPr="00813D19">
        <w:rPr>
          <w:bCs/>
          <w:lang w:val="en-US"/>
        </w:rPr>
        <w:t xml:space="preserve">R.2 and R.5, </w:t>
      </w:r>
      <w:r w:rsidR="00364CAE" w:rsidRPr="00813D19">
        <w:rPr>
          <w:bCs/>
          <w:lang w:val="en-US"/>
        </w:rPr>
        <w:t xml:space="preserve">the Chairperson took the opportunity to thank </w:t>
      </w:r>
      <w:r w:rsidR="007A530A" w:rsidRPr="00813D19">
        <w:rPr>
          <w:bCs/>
          <w:lang w:val="en-US"/>
        </w:rPr>
        <w:t xml:space="preserve">Japan for </w:t>
      </w:r>
      <w:r w:rsidR="00364CAE" w:rsidRPr="00813D19">
        <w:rPr>
          <w:bCs/>
          <w:lang w:val="en-US"/>
        </w:rPr>
        <w:t xml:space="preserve">its </w:t>
      </w:r>
      <w:r w:rsidR="007A530A" w:rsidRPr="00813D19">
        <w:rPr>
          <w:bCs/>
          <w:lang w:val="en-US"/>
        </w:rPr>
        <w:t xml:space="preserve">generous contribution </w:t>
      </w:r>
      <w:r w:rsidR="00B837A7">
        <w:rPr>
          <w:bCs/>
          <w:lang w:val="en-US"/>
        </w:rPr>
        <w:t>to</w:t>
      </w:r>
      <w:r w:rsidR="00B837A7" w:rsidRPr="00813D19">
        <w:rPr>
          <w:bCs/>
          <w:lang w:val="en-US"/>
        </w:rPr>
        <w:t xml:space="preserve"> </w:t>
      </w:r>
      <w:r w:rsidR="007A530A" w:rsidRPr="00813D19">
        <w:rPr>
          <w:bCs/>
          <w:lang w:val="en-US"/>
        </w:rPr>
        <w:t>the upcoming open</w:t>
      </w:r>
      <w:r w:rsidR="00B837A7">
        <w:rPr>
          <w:bCs/>
          <w:lang w:val="en-US"/>
        </w:rPr>
        <w:t>-</w:t>
      </w:r>
      <w:r w:rsidR="007A530A" w:rsidRPr="00813D19">
        <w:rPr>
          <w:bCs/>
          <w:lang w:val="en-US"/>
        </w:rPr>
        <w:t>ended working group</w:t>
      </w:r>
      <w:r w:rsidR="00364CAE" w:rsidRPr="00813D19">
        <w:rPr>
          <w:bCs/>
          <w:lang w:val="en-US"/>
        </w:rPr>
        <w:t xml:space="preserve">, which </w:t>
      </w:r>
      <w:r w:rsidR="00B837A7" w:rsidRPr="00813D19">
        <w:rPr>
          <w:bCs/>
          <w:lang w:val="en-US"/>
        </w:rPr>
        <w:t>w</w:t>
      </w:r>
      <w:r w:rsidR="00B837A7">
        <w:rPr>
          <w:bCs/>
          <w:lang w:val="en-US"/>
        </w:rPr>
        <w:t>ould</w:t>
      </w:r>
      <w:r w:rsidR="00B837A7" w:rsidRPr="00813D19">
        <w:rPr>
          <w:bCs/>
          <w:lang w:val="en-US"/>
        </w:rPr>
        <w:t xml:space="preserve"> </w:t>
      </w:r>
      <w:r w:rsidR="00364CAE" w:rsidRPr="00813D19">
        <w:rPr>
          <w:bCs/>
          <w:lang w:val="en-US"/>
        </w:rPr>
        <w:t>give experts and</w:t>
      </w:r>
      <w:r w:rsidR="007A530A" w:rsidRPr="00813D19">
        <w:rPr>
          <w:bCs/>
          <w:lang w:val="en-US"/>
        </w:rPr>
        <w:t xml:space="preserve"> States Parties time </w:t>
      </w:r>
      <w:r w:rsidR="00364CAE" w:rsidRPr="00813D19">
        <w:rPr>
          <w:bCs/>
          <w:lang w:val="en-US"/>
        </w:rPr>
        <w:t xml:space="preserve">to reflect on R.2, which </w:t>
      </w:r>
      <w:r w:rsidR="007A530A" w:rsidRPr="00813D19">
        <w:rPr>
          <w:bCs/>
          <w:lang w:val="en-US"/>
        </w:rPr>
        <w:t xml:space="preserve">plays a very significant role. </w:t>
      </w:r>
      <w:r w:rsidR="00364CAE" w:rsidRPr="00813D19">
        <w:rPr>
          <w:bCs/>
          <w:lang w:val="en-US"/>
        </w:rPr>
        <w:t xml:space="preserve">In the case of </w:t>
      </w:r>
      <w:r w:rsidR="007A530A" w:rsidRPr="00813D19">
        <w:rPr>
          <w:bCs/>
          <w:lang w:val="en-US"/>
        </w:rPr>
        <w:t>Jamaica</w:t>
      </w:r>
      <w:r w:rsidR="00364CAE" w:rsidRPr="00813D19">
        <w:rPr>
          <w:bCs/>
          <w:lang w:val="en-US"/>
        </w:rPr>
        <w:t>,</w:t>
      </w:r>
      <w:r w:rsidR="007A530A" w:rsidRPr="00813D19">
        <w:rPr>
          <w:bCs/>
          <w:lang w:val="en-US"/>
        </w:rPr>
        <w:t xml:space="preserve"> </w:t>
      </w:r>
      <w:r w:rsidR="00364CAE" w:rsidRPr="00813D19">
        <w:rPr>
          <w:bCs/>
          <w:lang w:val="en-US"/>
        </w:rPr>
        <w:t xml:space="preserve">the </w:t>
      </w:r>
      <w:r w:rsidR="007A530A" w:rsidRPr="00813D19">
        <w:rPr>
          <w:bCs/>
          <w:lang w:val="en-US"/>
        </w:rPr>
        <w:t xml:space="preserve">Evaluation Body had requested </w:t>
      </w:r>
      <w:r w:rsidR="00364CAE" w:rsidRPr="00813D19">
        <w:rPr>
          <w:bCs/>
          <w:lang w:val="en-US"/>
        </w:rPr>
        <w:t>this missing information</w:t>
      </w:r>
      <w:r w:rsidR="00B837A7">
        <w:rPr>
          <w:bCs/>
          <w:lang w:val="en-US"/>
        </w:rPr>
        <w:t>,</w:t>
      </w:r>
      <w:r w:rsidR="00364CAE" w:rsidRPr="00813D19">
        <w:rPr>
          <w:bCs/>
          <w:lang w:val="en-US"/>
        </w:rPr>
        <w:t xml:space="preserve"> hence the </w:t>
      </w:r>
      <w:r w:rsidR="007A530A" w:rsidRPr="00813D19">
        <w:rPr>
          <w:bCs/>
          <w:lang w:val="en-US"/>
        </w:rPr>
        <w:t xml:space="preserve">referral </w:t>
      </w:r>
      <w:r w:rsidR="00364CAE" w:rsidRPr="00813D19">
        <w:rPr>
          <w:bCs/>
          <w:lang w:val="en-US"/>
        </w:rPr>
        <w:t>recommendation</w:t>
      </w:r>
      <w:r w:rsidR="007A530A" w:rsidRPr="00813D19">
        <w:rPr>
          <w:bCs/>
          <w:lang w:val="en-US"/>
        </w:rPr>
        <w:t xml:space="preserve">. The information </w:t>
      </w:r>
      <w:r w:rsidR="00364CAE" w:rsidRPr="00813D19">
        <w:rPr>
          <w:bCs/>
          <w:lang w:val="en-US"/>
        </w:rPr>
        <w:t xml:space="preserve">given by Jamaica was </w:t>
      </w:r>
      <w:r w:rsidR="007A530A" w:rsidRPr="00813D19">
        <w:rPr>
          <w:bCs/>
          <w:lang w:val="en-US"/>
        </w:rPr>
        <w:t xml:space="preserve">not information </w:t>
      </w:r>
      <w:r w:rsidR="00C50CAF" w:rsidRPr="00813D19">
        <w:rPr>
          <w:bCs/>
          <w:lang w:val="en-US"/>
        </w:rPr>
        <w:t xml:space="preserve">contained </w:t>
      </w:r>
      <w:r w:rsidR="00364CAE" w:rsidRPr="00813D19">
        <w:rPr>
          <w:bCs/>
          <w:lang w:val="en-US"/>
        </w:rPr>
        <w:t xml:space="preserve">in the file, and the Chairperson regretted that </w:t>
      </w:r>
      <w:r w:rsidR="007A530A" w:rsidRPr="00813D19">
        <w:rPr>
          <w:bCs/>
          <w:lang w:val="en-US"/>
        </w:rPr>
        <w:t xml:space="preserve">this information </w:t>
      </w:r>
      <w:r w:rsidR="00364CAE" w:rsidRPr="00813D19">
        <w:rPr>
          <w:bCs/>
          <w:lang w:val="en-US"/>
        </w:rPr>
        <w:t xml:space="preserve">had not been provided as the </w:t>
      </w:r>
      <w:r w:rsidR="007A530A" w:rsidRPr="00813D19">
        <w:rPr>
          <w:bCs/>
          <w:lang w:val="en-US"/>
        </w:rPr>
        <w:t xml:space="preserve">criteria </w:t>
      </w:r>
      <w:r w:rsidR="00364CAE" w:rsidRPr="00813D19">
        <w:rPr>
          <w:bCs/>
          <w:lang w:val="en-US"/>
        </w:rPr>
        <w:t xml:space="preserve">would </w:t>
      </w:r>
      <w:r w:rsidR="007A530A" w:rsidRPr="00813D19">
        <w:rPr>
          <w:bCs/>
          <w:lang w:val="en-US"/>
        </w:rPr>
        <w:t xml:space="preserve">probably </w:t>
      </w:r>
      <w:r w:rsidR="00364CAE" w:rsidRPr="00813D19">
        <w:rPr>
          <w:bCs/>
          <w:lang w:val="en-US"/>
        </w:rPr>
        <w:t xml:space="preserve">have been met, adding that further </w:t>
      </w:r>
      <w:r w:rsidR="007A530A" w:rsidRPr="00813D19">
        <w:rPr>
          <w:bCs/>
          <w:lang w:val="en-US"/>
        </w:rPr>
        <w:t xml:space="preserve">reflections on R.2 and R.5 </w:t>
      </w:r>
      <w:r w:rsidR="00B837A7" w:rsidRPr="00813D19">
        <w:rPr>
          <w:bCs/>
          <w:lang w:val="en-US"/>
        </w:rPr>
        <w:t>w</w:t>
      </w:r>
      <w:r w:rsidR="00B837A7">
        <w:rPr>
          <w:bCs/>
          <w:lang w:val="en-US"/>
        </w:rPr>
        <w:t xml:space="preserve">ould </w:t>
      </w:r>
      <w:r w:rsidR="007A530A" w:rsidRPr="00813D19">
        <w:rPr>
          <w:bCs/>
          <w:lang w:val="en-US"/>
        </w:rPr>
        <w:t>enhance the work of the Evaluation Bod</w:t>
      </w:r>
      <w:r w:rsidR="00E72560">
        <w:rPr>
          <w:bCs/>
          <w:lang w:val="en-US"/>
        </w:rPr>
        <w:t>y and the Committee in general.</w:t>
      </w:r>
    </w:p>
    <w:p w14:paraId="24F240B6" w14:textId="7C7AC9B8" w:rsidR="00C77E39" w:rsidRPr="00813D19" w:rsidRDefault="00364CAE" w:rsidP="002D3A5B">
      <w:pPr>
        <w:pStyle w:val="Orateurengris"/>
        <w:spacing w:before="120"/>
        <w:ind w:left="709" w:hanging="709"/>
        <w:rPr>
          <w:color w:val="000000" w:themeColor="text1"/>
          <w:lang w:val="en-US"/>
        </w:rPr>
      </w:pPr>
      <w:r w:rsidRPr="00813D19">
        <w:rPr>
          <w:bCs/>
          <w:lang w:val="en-US"/>
        </w:rPr>
        <w:t xml:space="preserve">The </w:t>
      </w:r>
      <w:r w:rsidRPr="00813D19">
        <w:rPr>
          <w:b/>
          <w:bCs/>
          <w:lang w:val="en-US"/>
        </w:rPr>
        <w:t>Chairperson</w:t>
      </w:r>
      <w:r w:rsidRPr="00813D19">
        <w:rPr>
          <w:bCs/>
          <w:lang w:val="en-US"/>
        </w:rPr>
        <w:t xml:space="preserve"> took note of the explanations by Jamaica, the reaction of the Chairperson of the Evaluation Body, and the sentiment of the Committee </w:t>
      </w:r>
      <w:r w:rsidR="00C50CAF" w:rsidRPr="00813D19">
        <w:rPr>
          <w:bCs/>
          <w:lang w:val="en-US"/>
        </w:rPr>
        <w:t xml:space="preserve">Members </w:t>
      </w:r>
      <w:r w:rsidRPr="00813D19">
        <w:rPr>
          <w:bCs/>
          <w:lang w:val="en-US"/>
        </w:rPr>
        <w:t xml:space="preserve">who spoke to support the amendment proposed by Cuba and Palestine. The Chairperson therefore requested </w:t>
      </w:r>
      <w:r w:rsidR="00B837A7">
        <w:rPr>
          <w:bCs/>
          <w:lang w:val="en-US"/>
        </w:rPr>
        <w:t xml:space="preserve">that </w:t>
      </w:r>
      <w:r w:rsidRPr="00813D19">
        <w:rPr>
          <w:bCs/>
          <w:lang w:val="en-US"/>
        </w:rPr>
        <w:t>Committee Members raise their nameplate</w:t>
      </w:r>
      <w:r w:rsidR="00C50CAF" w:rsidRPr="00813D19">
        <w:rPr>
          <w:bCs/>
          <w:lang w:val="en-US"/>
        </w:rPr>
        <w:t>s</w:t>
      </w:r>
      <w:r w:rsidRPr="00813D19">
        <w:rPr>
          <w:bCs/>
          <w:lang w:val="en-US"/>
        </w:rPr>
        <w:t xml:space="preserve"> to record those in favo</w:t>
      </w:r>
      <w:r w:rsidR="00C64B11">
        <w:rPr>
          <w:bCs/>
          <w:lang w:val="en-US"/>
        </w:rPr>
        <w:t>u</w:t>
      </w:r>
      <w:r w:rsidR="00E72560">
        <w:rPr>
          <w:bCs/>
          <w:lang w:val="en-US"/>
        </w:rPr>
        <w:t>r of the amendments.</w:t>
      </w:r>
    </w:p>
    <w:p w14:paraId="052C7D9B" w14:textId="0F6C1570" w:rsidR="00F538BD" w:rsidRPr="00813D19" w:rsidRDefault="00F538BD" w:rsidP="00967208">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delegations of </w:t>
      </w:r>
      <w:r w:rsidR="007A530A" w:rsidRPr="00813D19">
        <w:rPr>
          <w:b/>
          <w:bCs/>
          <w:lang w:val="en-US"/>
        </w:rPr>
        <w:t>Senegal</w:t>
      </w:r>
      <w:r w:rsidR="007A530A" w:rsidRPr="00813D19">
        <w:rPr>
          <w:bCs/>
          <w:lang w:val="en-US"/>
        </w:rPr>
        <w:t xml:space="preserve">, </w:t>
      </w:r>
      <w:r w:rsidR="007A530A" w:rsidRPr="00813D19">
        <w:rPr>
          <w:b/>
          <w:bCs/>
          <w:lang w:val="en-US"/>
        </w:rPr>
        <w:t>Sri Lanka</w:t>
      </w:r>
      <w:r w:rsidR="007A530A" w:rsidRPr="00813D19">
        <w:rPr>
          <w:bCs/>
          <w:lang w:val="en-US"/>
        </w:rPr>
        <w:t xml:space="preserve">, </w:t>
      </w:r>
      <w:r w:rsidR="007A530A" w:rsidRPr="00813D19">
        <w:rPr>
          <w:b/>
          <w:bCs/>
          <w:lang w:val="en-US"/>
        </w:rPr>
        <w:t>Djibouti</w:t>
      </w:r>
      <w:r w:rsidR="007A530A" w:rsidRPr="00813D19">
        <w:rPr>
          <w:bCs/>
          <w:lang w:val="en-US"/>
        </w:rPr>
        <w:t xml:space="preserve">, </w:t>
      </w:r>
      <w:r w:rsidR="007A530A" w:rsidRPr="00813D19">
        <w:rPr>
          <w:b/>
          <w:bCs/>
          <w:lang w:val="en-US"/>
        </w:rPr>
        <w:t>Guatemala</w:t>
      </w:r>
      <w:r w:rsidR="007A530A" w:rsidRPr="00813D19">
        <w:rPr>
          <w:bCs/>
          <w:lang w:val="en-US"/>
        </w:rPr>
        <w:t xml:space="preserve">, </w:t>
      </w:r>
      <w:r w:rsidR="007A530A" w:rsidRPr="00813D19">
        <w:rPr>
          <w:b/>
          <w:bCs/>
          <w:lang w:val="en-US"/>
        </w:rPr>
        <w:t>Poland</w:t>
      </w:r>
      <w:r w:rsidR="007A530A" w:rsidRPr="00813D19">
        <w:rPr>
          <w:bCs/>
          <w:lang w:val="en-US"/>
        </w:rPr>
        <w:t xml:space="preserve">, </w:t>
      </w:r>
      <w:r w:rsidR="007A530A" w:rsidRPr="00813D19">
        <w:rPr>
          <w:b/>
          <w:bCs/>
          <w:lang w:val="en-US"/>
        </w:rPr>
        <w:t>Togo</w:t>
      </w:r>
      <w:r w:rsidR="007A530A" w:rsidRPr="00813D19">
        <w:rPr>
          <w:bCs/>
          <w:lang w:val="en-US"/>
        </w:rPr>
        <w:t xml:space="preserve">, </w:t>
      </w:r>
      <w:r w:rsidR="007A530A" w:rsidRPr="00813D19">
        <w:rPr>
          <w:b/>
          <w:bCs/>
          <w:lang w:val="en-US"/>
        </w:rPr>
        <w:t>Cypr</w:t>
      </w:r>
      <w:r w:rsidR="00073703" w:rsidRPr="00813D19">
        <w:rPr>
          <w:b/>
          <w:bCs/>
          <w:lang w:val="en-US"/>
        </w:rPr>
        <w:t>us</w:t>
      </w:r>
      <w:r w:rsidR="00073703" w:rsidRPr="00813D19">
        <w:rPr>
          <w:bCs/>
          <w:lang w:val="en-US"/>
        </w:rPr>
        <w:t xml:space="preserve">, </w:t>
      </w:r>
      <w:r w:rsidR="00073703" w:rsidRPr="00813D19">
        <w:rPr>
          <w:b/>
          <w:bCs/>
          <w:lang w:val="en-US"/>
        </w:rPr>
        <w:t>Japan</w:t>
      </w:r>
      <w:r w:rsidR="00073703" w:rsidRPr="00813D19">
        <w:rPr>
          <w:bCs/>
          <w:lang w:val="en-US"/>
        </w:rPr>
        <w:t xml:space="preserve">, </w:t>
      </w:r>
      <w:r w:rsidR="00073703" w:rsidRPr="00813D19">
        <w:rPr>
          <w:b/>
          <w:bCs/>
          <w:lang w:val="en-US"/>
        </w:rPr>
        <w:t>Zambia</w:t>
      </w:r>
      <w:r w:rsidR="00364CAE" w:rsidRPr="00813D19">
        <w:rPr>
          <w:bCs/>
          <w:lang w:val="en-US"/>
        </w:rPr>
        <w:t xml:space="preserve">, </w:t>
      </w:r>
      <w:r w:rsidR="00B837A7">
        <w:rPr>
          <w:bCs/>
          <w:lang w:val="en-US"/>
        </w:rPr>
        <w:t xml:space="preserve">the </w:t>
      </w:r>
      <w:r w:rsidR="007A530A" w:rsidRPr="00813D19">
        <w:rPr>
          <w:b/>
          <w:bCs/>
          <w:lang w:val="en-US"/>
        </w:rPr>
        <w:t>Philippines</w:t>
      </w:r>
      <w:r w:rsidR="007A530A" w:rsidRPr="00813D19">
        <w:rPr>
          <w:bCs/>
          <w:lang w:val="en-US"/>
        </w:rPr>
        <w:t xml:space="preserve">, </w:t>
      </w:r>
      <w:r w:rsidR="007A530A" w:rsidRPr="00813D19">
        <w:rPr>
          <w:b/>
          <w:bCs/>
          <w:lang w:val="en-US"/>
        </w:rPr>
        <w:t>Kazakhstan</w:t>
      </w:r>
      <w:r w:rsidR="007A530A" w:rsidRPr="00813D19">
        <w:rPr>
          <w:bCs/>
          <w:lang w:val="en-US"/>
        </w:rPr>
        <w:t xml:space="preserve">, </w:t>
      </w:r>
      <w:r w:rsidR="007A530A" w:rsidRPr="00813D19">
        <w:rPr>
          <w:b/>
          <w:bCs/>
          <w:lang w:val="en-US"/>
        </w:rPr>
        <w:t>Colombia</w:t>
      </w:r>
      <w:r w:rsidR="007A530A" w:rsidRPr="00813D19">
        <w:rPr>
          <w:bCs/>
          <w:lang w:val="en-US"/>
        </w:rPr>
        <w:t xml:space="preserve">, </w:t>
      </w:r>
      <w:r w:rsidR="007A530A" w:rsidRPr="00813D19">
        <w:rPr>
          <w:b/>
          <w:bCs/>
          <w:lang w:val="en-US"/>
        </w:rPr>
        <w:t>Armenia</w:t>
      </w:r>
      <w:r w:rsidR="007A530A" w:rsidRPr="00813D19">
        <w:rPr>
          <w:bCs/>
          <w:lang w:val="en-US"/>
        </w:rPr>
        <w:t xml:space="preserve">, </w:t>
      </w:r>
      <w:r w:rsidR="007A530A" w:rsidRPr="00813D19">
        <w:rPr>
          <w:b/>
          <w:bCs/>
          <w:lang w:val="en-US"/>
        </w:rPr>
        <w:t>Palestine</w:t>
      </w:r>
      <w:r w:rsidR="007A530A" w:rsidRPr="00813D19">
        <w:rPr>
          <w:bCs/>
          <w:lang w:val="en-US"/>
        </w:rPr>
        <w:t xml:space="preserve">, </w:t>
      </w:r>
      <w:r w:rsidR="007A530A" w:rsidRPr="00813D19">
        <w:rPr>
          <w:b/>
          <w:bCs/>
          <w:lang w:val="en-US"/>
        </w:rPr>
        <w:t>Kuwait</w:t>
      </w:r>
      <w:r w:rsidR="007A530A" w:rsidRPr="00813D19">
        <w:rPr>
          <w:bCs/>
          <w:lang w:val="en-US"/>
        </w:rPr>
        <w:t xml:space="preserve">, </w:t>
      </w:r>
      <w:r w:rsidR="007A530A" w:rsidRPr="00813D19">
        <w:rPr>
          <w:b/>
          <w:bCs/>
          <w:lang w:val="en-US"/>
        </w:rPr>
        <w:t>China</w:t>
      </w:r>
      <w:r w:rsidR="007A530A" w:rsidRPr="00813D19">
        <w:rPr>
          <w:bCs/>
          <w:lang w:val="en-US"/>
        </w:rPr>
        <w:t xml:space="preserve">, </w:t>
      </w:r>
      <w:r w:rsidR="007A530A" w:rsidRPr="00813D19">
        <w:rPr>
          <w:b/>
          <w:bCs/>
          <w:lang w:val="en-US"/>
        </w:rPr>
        <w:t>Mauritius</w:t>
      </w:r>
      <w:r w:rsidR="007A530A" w:rsidRPr="00813D19">
        <w:rPr>
          <w:bCs/>
          <w:lang w:val="en-US"/>
        </w:rPr>
        <w:t xml:space="preserve">, </w:t>
      </w:r>
      <w:r w:rsidR="007A530A" w:rsidRPr="00813D19">
        <w:rPr>
          <w:b/>
          <w:bCs/>
          <w:lang w:val="en-US"/>
        </w:rPr>
        <w:t>Azerbaijan</w:t>
      </w:r>
      <w:r w:rsidR="007A530A" w:rsidRPr="00813D19">
        <w:rPr>
          <w:bCs/>
          <w:lang w:val="en-US"/>
        </w:rPr>
        <w:t xml:space="preserve">, </w:t>
      </w:r>
      <w:r w:rsidR="007A530A" w:rsidRPr="00813D19">
        <w:rPr>
          <w:b/>
          <w:bCs/>
          <w:lang w:val="en-US"/>
        </w:rPr>
        <w:t>Cameroon</w:t>
      </w:r>
      <w:r w:rsidR="007A530A" w:rsidRPr="00813D19">
        <w:rPr>
          <w:bCs/>
          <w:lang w:val="en-US"/>
        </w:rPr>
        <w:t xml:space="preserve"> and </w:t>
      </w:r>
      <w:r w:rsidR="007A530A" w:rsidRPr="00813D19">
        <w:rPr>
          <w:b/>
          <w:bCs/>
          <w:lang w:val="en-US"/>
        </w:rPr>
        <w:t>Lebano</w:t>
      </w:r>
      <w:r w:rsidR="00073703" w:rsidRPr="00813D19">
        <w:rPr>
          <w:b/>
          <w:bCs/>
          <w:lang w:val="en-US"/>
        </w:rPr>
        <w:t>n</w:t>
      </w:r>
      <w:r w:rsidR="00073703" w:rsidRPr="00813D19">
        <w:rPr>
          <w:bCs/>
          <w:lang w:val="en-US"/>
        </w:rPr>
        <w:t xml:space="preserve"> supported the amendment to inscribe. </w:t>
      </w:r>
      <w:r w:rsidR="00364CAE" w:rsidRPr="00813D19">
        <w:rPr>
          <w:bCs/>
          <w:lang w:val="en-US"/>
        </w:rPr>
        <w:t xml:space="preserve">Turning to the adoption of the draft decision as a whole, </w:t>
      </w:r>
      <w:r w:rsidR="00364CAE" w:rsidRPr="00813D19">
        <w:rPr>
          <w:lang w:val="en-US"/>
        </w:rPr>
        <w:t>t</w:t>
      </w:r>
      <w:r w:rsidR="007A530A" w:rsidRPr="00813D19">
        <w:rPr>
          <w:lang w:val="en-US"/>
        </w:rPr>
        <w:t xml:space="preserve">he </w:t>
      </w:r>
      <w:r w:rsidR="007A530A" w:rsidRPr="00813D19">
        <w:rPr>
          <w:b/>
          <w:lang w:val="en-US"/>
        </w:rPr>
        <w:t xml:space="preserve">Chairperson declared Decision </w:t>
      </w:r>
      <w:hyperlink r:id="rId118" w:history="1">
        <w:r w:rsidR="000E47F9" w:rsidRPr="00813D19">
          <w:rPr>
            <w:rStyle w:val="Hyperlink"/>
            <w:b/>
            <w:lang w:val="en-US"/>
          </w:rPr>
          <w:t>13.COM 10.b.18</w:t>
        </w:r>
      </w:hyperlink>
      <w:r w:rsidR="007A530A" w:rsidRPr="00813D19">
        <w:rPr>
          <w:b/>
          <w:lang w:val="en-US"/>
        </w:rPr>
        <w:t xml:space="preserve"> adopted to inscribe </w:t>
      </w:r>
      <w:r w:rsidR="007A530A" w:rsidRPr="00813D19">
        <w:rPr>
          <w:b/>
          <w:color w:val="000000" w:themeColor="text1"/>
          <w:lang w:val="en-US"/>
        </w:rPr>
        <w:t xml:space="preserve">Reggae </w:t>
      </w:r>
      <w:r w:rsidR="00A130A6">
        <w:rPr>
          <w:b/>
          <w:color w:val="000000" w:themeColor="text1"/>
          <w:lang w:val="en-US"/>
        </w:rPr>
        <w:t xml:space="preserve">music of Jamaica </w:t>
      </w:r>
      <w:r w:rsidR="007A530A" w:rsidRPr="00813D19">
        <w:rPr>
          <w:b/>
          <w:color w:val="000000" w:themeColor="text1"/>
          <w:lang w:val="en-US"/>
        </w:rPr>
        <w:t>on the Representative List</w:t>
      </w:r>
      <w:r w:rsidR="007A530A" w:rsidRPr="00E72560">
        <w:rPr>
          <w:bCs/>
          <w:snapToGrid/>
          <w:color w:val="000000" w:themeColor="text1"/>
          <w:lang w:val="en-US"/>
        </w:rPr>
        <w:t>.</w:t>
      </w:r>
    </w:p>
    <w:p w14:paraId="01A2E47F" w14:textId="066D89A9" w:rsidR="00F538BD" w:rsidRPr="00813D19" w:rsidRDefault="00621848"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Jamaica </w:t>
      </w:r>
      <w:r w:rsidR="0009706B" w:rsidRPr="00813D19">
        <w:rPr>
          <w:bCs/>
          <w:lang w:val="en-US"/>
        </w:rPr>
        <w:t>expressed</w:t>
      </w:r>
      <w:r w:rsidR="007A530A" w:rsidRPr="00813D19">
        <w:rPr>
          <w:bCs/>
          <w:lang w:val="en-US"/>
        </w:rPr>
        <w:t xml:space="preserve"> </w:t>
      </w:r>
      <w:r w:rsidR="00B837A7">
        <w:rPr>
          <w:bCs/>
          <w:lang w:val="en-US"/>
        </w:rPr>
        <w:t xml:space="preserve">its </w:t>
      </w:r>
      <w:r w:rsidR="007A530A" w:rsidRPr="00813D19">
        <w:rPr>
          <w:bCs/>
          <w:lang w:val="en-US"/>
        </w:rPr>
        <w:t>sincere th</w:t>
      </w:r>
      <w:r w:rsidR="00967208" w:rsidRPr="00813D19">
        <w:rPr>
          <w:bCs/>
          <w:lang w:val="en-US"/>
        </w:rPr>
        <w:t>anks for the tremendous support</w:t>
      </w:r>
      <w:r w:rsidR="007A530A" w:rsidRPr="00813D19">
        <w:rPr>
          <w:bCs/>
          <w:lang w:val="en-US"/>
        </w:rPr>
        <w:t xml:space="preserve"> received from States Parties for the inscription of reggae music of Jamaica. </w:t>
      </w:r>
      <w:r w:rsidR="00967208" w:rsidRPr="00813D19">
        <w:rPr>
          <w:bCs/>
          <w:lang w:val="en-US"/>
        </w:rPr>
        <w:t xml:space="preserve">It </w:t>
      </w:r>
      <w:r w:rsidR="007A530A" w:rsidRPr="00813D19">
        <w:rPr>
          <w:bCs/>
          <w:lang w:val="en-US"/>
        </w:rPr>
        <w:t>express</w:t>
      </w:r>
      <w:r w:rsidR="00967208" w:rsidRPr="00813D19">
        <w:rPr>
          <w:bCs/>
          <w:lang w:val="en-US"/>
        </w:rPr>
        <w:t>ed</w:t>
      </w:r>
      <w:r w:rsidR="007A530A" w:rsidRPr="00813D19">
        <w:rPr>
          <w:bCs/>
          <w:lang w:val="en-US"/>
        </w:rPr>
        <w:t xml:space="preserve"> particular thanks to Cuba and Palestine for their open and gracious support and </w:t>
      </w:r>
      <w:r w:rsidR="00967208" w:rsidRPr="00813D19">
        <w:rPr>
          <w:bCs/>
          <w:lang w:val="en-US"/>
        </w:rPr>
        <w:t xml:space="preserve">was </w:t>
      </w:r>
      <w:r w:rsidR="007A530A" w:rsidRPr="00813D19">
        <w:rPr>
          <w:bCs/>
          <w:lang w:val="en-US"/>
        </w:rPr>
        <w:t xml:space="preserve">heartened by the show of camaraderie of many States Parties and </w:t>
      </w:r>
      <w:r w:rsidR="00967208" w:rsidRPr="00813D19">
        <w:rPr>
          <w:bCs/>
          <w:lang w:val="en-US"/>
        </w:rPr>
        <w:t xml:space="preserve">their appreciation, </w:t>
      </w:r>
      <w:r w:rsidR="007A530A" w:rsidRPr="00813D19">
        <w:rPr>
          <w:bCs/>
          <w:lang w:val="en-US"/>
        </w:rPr>
        <w:t xml:space="preserve">love and respect for an element </w:t>
      </w:r>
      <w:r w:rsidR="00967208" w:rsidRPr="00813D19">
        <w:rPr>
          <w:bCs/>
          <w:lang w:val="en-US"/>
        </w:rPr>
        <w:t xml:space="preserve">at </w:t>
      </w:r>
      <w:r w:rsidR="007A530A" w:rsidRPr="00813D19">
        <w:rPr>
          <w:bCs/>
          <w:lang w:val="en-US"/>
        </w:rPr>
        <w:t xml:space="preserve">the heart and soul of </w:t>
      </w:r>
      <w:r w:rsidR="00967208" w:rsidRPr="00813D19">
        <w:rPr>
          <w:bCs/>
          <w:lang w:val="en-US"/>
        </w:rPr>
        <w:t>Jamaica</w:t>
      </w:r>
      <w:r w:rsidR="007A530A" w:rsidRPr="00813D19">
        <w:rPr>
          <w:bCs/>
          <w:lang w:val="en-US"/>
        </w:rPr>
        <w:t xml:space="preserve">. </w:t>
      </w:r>
      <w:r w:rsidR="00967208" w:rsidRPr="00813D19">
        <w:rPr>
          <w:bCs/>
          <w:lang w:val="en-US"/>
        </w:rPr>
        <w:t>I</w:t>
      </w:r>
      <w:r w:rsidR="007A530A" w:rsidRPr="00813D19">
        <w:rPr>
          <w:bCs/>
          <w:lang w:val="en-US"/>
        </w:rPr>
        <w:t xml:space="preserve">ntangible cultural heritage </w:t>
      </w:r>
      <w:r w:rsidR="00967208" w:rsidRPr="00813D19">
        <w:rPr>
          <w:bCs/>
          <w:lang w:val="en-US"/>
        </w:rPr>
        <w:t xml:space="preserve">was said to </w:t>
      </w:r>
      <w:r w:rsidR="00C73980" w:rsidRPr="00813D19">
        <w:rPr>
          <w:bCs/>
          <w:lang w:val="en-US"/>
        </w:rPr>
        <w:t xml:space="preserve">be </w:t>
      </w:r>
      <w:r w:rsidR="00967208" w:rsidRPr="00813D19">
        <w:rPr>
          <w:bCs/>
          <w:lang w:val="en-US"/>
        </w:rPr>
        <w:t>highly significant</w:t>
      </w:r>
      <w:r w:rsidR="007A530A" w:rsidRPr="00813D19">
        <w:rPr>
          <w:bCs/>
          <w:lang w:val="en-US"/>
        </w:rPr>
        <w:t xml:space="preserve"> in the country’s identity</w:t>
      </w:r>
      <w:r w:rsidR="00C73980" w:rsidRPr="00813D19">
        <w:rPr>
          <w:bCs/>
          <w:lang w:val="en-US"/>
        </w:rPr>
        <w:t>,</w:t>
      </w:r>
      <w:r w:rsidR="007A530A" w:rsidRPr="00813D19">
        <w:rPr>
          <w:bCs/>
          <w:lang w:val="en-US"/>
        </w:rPr>
        <w:t xml:space="preserve"> and Jamaica </w:t>
      </w:r>
      <w:r w:rsidR="00967208" w:rsidRPr="00813D19">
        <w:rPr>
          <w:bCs/>
          <w:lang w:val="en-US"/>
        </w:rPr>
        <w:t xml:space="preserve">was </w:t>
      </w:r>
      <w:r w:rsidR="007A530A" w:rsidRPr="00813D19">
        <w:rPr>
          <w:bCs/>
          <w:lang w:val="en-US"/>
        </w:rPr>
        <w:t xml:space="preserve">proud that this element of reggae music </w:t>
      </w:r>
      <w:r w:rsidR="00967208" w:rsidRPr="00813D19">
        <w:rPr>
          <w:bCs/>
          <w:lang w:val="en-US"/>
        </w:rPr>
        <w:t xml:space="preserve">was considered </w:t>
      </w:r>
      <w:r w:rsidR="00B837A7">
        <w:rPr>
          <w:bCs/>
          <w:lang w:val="en-US"/>
        </w:rPr>
        <w:t xml:space="preserve">as </w:t>
      </w:r>
      <w:r w:rsidR="00967208" w:rsidRPr="00813D19">
        <w:rPr>
          <w:bCs/>
          <w:lang w:val="en-US"/>
        </w:rPr>
        <w:t xml:space="preserve">intangible cultural heritage, </w:t>
      </w:r>
      <w:r w:rsidR="007A530A" w:rsidRPr="00813D19">
        <w:rPr>
          <w:bCs/>
          <w:lang w:val="en-US"/>
        </w:rPr>
        <w:t>often describe</w:t>
      </w:r>
      <w:r w:rsidR="00DD40F3" w:rsidRPr="00813D19">
        <w:rPr>
          <w:bCs/>
          <w:lang w:val="en-US"/>
        </w:rPr>
        <w:t>d</w:t>
      </w:r>
      <w:r w:rsidR="007A530A" w:rsidRPr="00813D19">
        <w:rPr>
          <w:bCs/>
          <w:lang w:val="en-US"/>
        </w:rPr>
        <w:t xml:space="preserve"> as that which </w:t>
      </w:r>
      <w:r w:rsidR="00967208" w:rsidRPr="00813D19">
        <w:rPr>
          <w:bCs/>
          <w:lang w:val="en-US"/>
        </w:rPr>
        <w:t>‘</w:t>
      </w:r>
      <w:r w:rsidR="007A530A" w:rsidRPr="00813D19">
        <w:rPr>
          <w:bCs/>
          <w:lang w:val="en-US"/>
        </w:rPr>
        <w:t>we eat, sleep and breath</w:t>
      </w:r>
      <w:r w:rsidR="00967208" w:rsidRPr="00813D19">
        <w:rPr>
          <w:bCs/>
          <w:lang w:val="en-US"/>
        </w:rPr>
        <w:t>e’</w:t>
      </w:r>
      <w:r w:rsidR="007A530A" w:rsidRPr="00813D19">
        <w:rPr>
          <w:bCs/>
          <w:lang w:val="en-US"/>
        </w:rPr>
        <w:t xml:space="preserve">. Reggae </w:t>
      </w:r>
      <w:r w:rsidR="00C73980" w:rsidRPr="00813D19">
        <w:rPr>
          <w:bCs/>
          <w:lang w:val="en-US"/>
        </w:rPr>
        <w:t xml:space="preserve">now belonged to </w:t>
      </w:r>
      <w:r w:rsidR="007A530A" w:rsidRPr="00813D19">
        <w:rPr>
          <w:bCs/>
          <w:lang w:val="en-US"/>
        </w:rPr>
        <w:t xml:space="preserve">the world. </w:t>
      </w:r>
      <w:r w:rsidR="00C73980" w:rsidRPr="00813D19">
        <w:rPr>
          <w:bCs/>
          <w:lang w:val="en-US"/>
        </w:rPr>
        <w:t xml:space="preserve">The delegation </w:t>
      </w:r>
      <w:r w:rsidR="007A530A" w:rsidRPr="00813D19">
        <w:rPr>
          <w:bCs/>
          <w:lang w:val="en-US"/>
        </w:rPr>
        <w:t>thank</w:t>
      </w:r>
      <w:r w:rsidR="00C73980" w:rsidRPr="00813D19">
        <w:rPr>
          <w:bCs/>
          <w:lang w:val="en-US"/>
        </w:rPr>
        <w:t>ed UNESCO for this inscription, noting that Jamaicans had</w:t>
      </w:r>
      <w:r w:rsidR="007A530A" w:rsidRPr="00813D19">
        <w:rPr>
          <w:bCs/>
          <w:lang w:val="en-US"/>
        </w:rPr>
        <w:t xml:space="preserve"> long reco</w:t>
      </w:r>
      <w:r w:rsidR="00DD40F3" w:rsidRPr="00813D19">
        <w:rPr>
          <w:bCs/>
          <w:lang w:val="en-US"/>
        </w:rPr>
        <w:t>gnized that this element meant</w:t>
      </w:r>
      <w:r w:rsidR="007A530A" w:rsidRPr="00813D19">
        <w:rPr>
          <w:bCs/>
          <w:lang w:val="en-US"/>
        </w:rPr>
        <w:t xml:space="preserve"> so much to so many around the world. Jamaica </w:t>
      </w:r>
      <w:r w:rsidR="00C73980" w:rsidRPr="00813D19">
        <w:rPr>
          <w:bCs/>
          <w:lang w:val="en-US"/>
        </w:rPr>
        <w:t xml:space="preserve">was </w:t>
      </w:r>
      <w:r w:rsidR="007A530A" w:rsidRPr="00813D19">
        <w:rPr>
          <w:bCs/>
          <w:lang w:val="en-US"/>
        </w:rPr>
        <w:t xml:space="preserve">of the view that </w:t>
      </w:r>
      <w:r w:rsidR="00C73980" w:rsidRPr="00813D19">
        <w:rPr>
          <w:bCs/>
          <w:lang w:val="en-US"/>
        </w:rPr>
        <w:t xml:space="preserve">this inscription </w:t>
      </w:r>
      <w:r w:rsidR="00B837A7">
        <w:rPr>
          <w:bCs/>
          <w:lang w:val="en-US"/>
        </w:rPr>
        <w:t>would</w:t>
      </w:r>
      <w:r w:rsidR="00B837A7" w:rsidRPr="00813D19">
        <w:rPr>
          <w:bCs/>
          <w:lang w:val="en-US"/>
        </w:rPr>
        <w:t xml:space="preserve"> </w:t>
      </w:r>
      <w:r w:rsidR="007A530A" w:rsidRPr="00813D19">
        <w:rPr>
          <w:bCs/>
          <w:lang w:val="en-US"/>
        </w:rPr>
        <w:t xml:space="preserve">invariably bring even more visibility to the Representative List </w:t>
      </w:r>
      <w:r w:rsidR="00C73980" w:rsidRPr="00813D19">
        <w:rPr>
          <w:lang w:val="en-US"/>
        </w:rPr>
        <w:t xml:space="preserve">and </w:t>
      </w:r>
      <w:r w:rsidR="007A530A" w:rsidRPr="00813D19">
        <w:rPr>
          <w:lang w:val="en-US"/>
        </w:rPr>
        <w:t xml:space="preserve">intangible cultural heritage as a whole. The number of reggae music practitioners across the globe grows </w:t>
      </w:r>
      <w:r w:rsidR="00813D19" w:rsidRPr="00813D19">
        <w:rPr>
          <w:lang w:val="en-US"/>
        </w:rPr>
        <w:t>every day</w:t>
      </w:r>
      <w:r w:rsidR="007A530A" w:rsidRPr="00813D19">
        <w:rPr>
          <w:lang w:val="en-US"/>
        </w:rPr>
        <w:t xml:space="preserve"> and</w:t>
      </w:r>
      <w:r w:rsidR="00C73980" w:rsidRPr="00813D19">
        <w:rPr>
          <w:lang w:val="en-US"/>
        </w:rPr>
        <w:t xml:space="preserve"> </w:t>
      </w:r>
      <w:r w:rsidR="007A530A" w:rsidRPr="00813D19">
        <w:rPr>
          <w:lang w:val="en-US"/>
        </w:rPr>
        <w:t xml:space="preserve">Jamaica continues to support academic conferences </w:t>
      </w:r>
      <w:r w:rsidR="00C73980" w:rsidRPr="00813D19">
        <w:rPr>
          <w:lang w:val="en-US"/>
        </w:rPr>
        <w:t xml:space="preserve">on reggae, </w:t>
      </w:r>
      <w:r w:rsidR="007A530A" w:rsidRPr="00813D19">
        <w:rPr>
          <w:lang w:val="en-US"/>
        </w:rPr>
        <w:t xml:space="preserve">such as the Jamaica Music Conference and the upcoming </w:t>
      </w:r>
      <w:r w:rsidR="00C73980" w:rsidRPr="00813D19">
        <w:rPr>
          <w:lang w:val="en-US"/>
        </w:rPr>
        <w:t>6</w:t>
      </w:r>
      <w:r w:rsidR="00C73980" w:rsidRPr="003221D5">
        <w:rPr>
          <w:lang w:val="en-US"/>
        </w:rPr>
        <w:t>th</w:t>
      </w:r>
      <w:r w:rsidR="00C73980" w:rsidRPr="00813D19">
        <w:rPr>
          <w:lang w:val="en-US"/>
        </w:rPr>
        <w:t xml:space="preserve"> </w:t>
      </w:r>
      <w:r w:rsidR="007A530A" w:rsidRPr="00813D19">
        <w:rPr>
          <w:lang w:val="en-US"/>
        </w:rPr>
        <w:t>biennial global reggae conference. These conferences include practitioners sharing with other reggae stakeholders, students and the public. The music also spawned a number of large music festivals across the globe</w:t>
      </w:r>
      <w:r w:rsidR="00C73980" w:rsidRPr="00813D19">
        <w:rPr>
          <w:lang w:val="en-US"/>
        </w:rPr>
        <w:t>,</w:t>
      </w:r>
      <w:r w:rsidR="007A530A" w:rsidRPr="00813D19">
        <w:rPr>
          <w:lang w:val="en-US"/>
        </w:rPr>
        <w:t xml:space="preserve"> most notably the Rototom </w:t>
      </w:r>
      <w:r w:rsidR="00C73980" w:rsidRPr="00813D19">
        <w:rPr>
          <w:lang w:val="en-US"/>
        </w:rPr>
        <w:t xml:space="preserve">Sunsplash Reggae </w:t>
      </w:r>
      <w:r w:rsidR="007A530A" w:rsidRPr="00813D19">
        <w:rPr>
          <w:lang w:val="en-US"/>
        </w:rPr>
        <w:t>Festival in Spain</w:t>
      </w:r>
      <w:r w:rsidR="00C73980" w:rsidRPr="00813D19">
        <w:rPr>
          <w:lang w:val="en-US"/>
        </w:rPr>
        <w:t>,</w:t>
      </w:r>
      <w:r w:rsidR="007A530A" w:rsidRPr="00813D19">
        <w:rPr>
          <w:lang w:val="en-US"/>
        </w:rPr>
        <w:t xml:space="preserve"> attracting over 100,000 music lovers and academics </w:t>
      </w:r>
      <w:r w:rsidR="00C73980" w:rsidRPr="00813D19">
        <w:rPr>
          <w:lang w:val="en-US"/>
        </w:rPr>
        <w:t xml:space="preserve">every </w:t>
      </w:r>
      <w:r w:rsidR="007A530A" w:rsidRPr="00813D19">
        <w:rPr>
          <w:lang w:val="en-US"/>
        </w:rPr>
        <w:t xml:space="preserve">year. Special note </w:t>
      </w:r>
      <w:r w:rsidR="00C73980" w:rsidRPr="00813D19">
        <w:rPr>
          <w:lang w:val="en-US"/>
        </w:rPr>
        <w:t xml:space="preserve">was </w:t>
      </w:r>
      <w:r w:rsidR="007A530A" w:rsidRPr="00813D19">
        <w:rPr>
          <w:lang w:val="en-US"/>
        </w:rPr>
        <w:t xml:space="preserve">made of the ongoing digitizing and bi-monthly updating of the national inventory. </w:t>
      </w:r>
      <w:r w:rsidR="00616003" w:rsidRPr="00813D19">
        <w:rPr>
          <w:lang w:val="en-US"/>
        </w:rPr>
        <w:t xml:space="preserve">Jamaica was </w:t>
      </w:r>
      <w:r w:rsidR="007A530A" w:rsidRPr="00813D19">
        <w:rPr>
          <w:lang w:val="en-US"/>
        </w:rPr>
        <w:t xml:space="preserve">also committed to engaging </w:t>
      </w:r>
      <w:r w:rsidR="00616003" w:rsidRPr="00813D19">
        <w:rPr>
          <w:lang w:val="en-US"/>
        </w:rPr>
        <w:t xml:space="preserve">in inventories in </w:t>
      </w:r>
      <w:r w:rsidR="007A530A" w:rsidRPr="00813D19">
        <w:rPr>
          <w:lang w:val="en-US"/>
        </w:rPr>
        <w:t>local communities</w:t>
      </w:r>
      <w:r w:rsidR="00616003" w:rsidRPr="00813D19">
        <w:rPr>
          <w:lang w:val="en-US"/>
        </w:rPr>
        <w:t>,</w:t>
      </w:r>
      <w:r w:rsidR="007A530A" w:rsidRPr="00813D19">
        <w:rPr>
          <w:lang w:val="en-US"/>
        </w:rPr>
        <w:t xml:space="preserve"> such as in Waterhouse and Trench Town, part of the UNESCO Heritage and Creativity for Sustainable Cities Community-based Inventory project. </w:t>
      </w:r>
      <w:r w:rsidR="00616003" w:rsidRPr="00813D19">
        <w:rPr>
          <w:lang w:val="en-US"/>
        </w:rPr>
        <w:t xml:space="preserve">The delegation </w:t>
      </w:r>
      <w:r w:rsidR="007A530A" w:rsidRPr="00813D19">
        <w:rPr>
          <w:lang w:val="en-US"/>
        </w:rPr>
        <w:t>reiterate</w:t>
      </w:r>
      <w:r w:rsidR="00616003" w:rsidRPr="00813D19">
        <w:rPr>
          <w:lang w:val="en-US"/>
        </w:rPr>
        <w:t>d</w:t>
      </w:r>
      <w:r w:rsidR="007A530A" w:rsidRPr="00813D19">
        <w:rPr>
          <w:lang w:val="en-US"/>
        </w:rPr>
        <w:t xml:space="preserve"> </w:t>
      </w:r>
      <w:r w:rsidR="00616003" w:rsidRPr="00813D19">
        <w:rPr>
          <w:lang w:val="en-US"/>
        </w:rPr>
        <w:t xml:space="preserve">its </w:t>
      </w:r>
      <w:r w:rsidR="007A530A" w:rsidRPr="00813D19">
        <w:rPr>
          <w:lang w:val="en-US"/>
        </w:rPr>
        <w:t xml:space="preserve">deepest appreciation for the overwhelming love Jamaica </w:t>
      </w:r>
      <w:r w:rsidR="00616003" w:rsidRPr="00813D19">
        <w:rPr>
          <w:lang w:val="en-US"/>
        </w:rPr>
        <w:t xml:space="preserve">had </w:t>
      </w:r>
      <w:r w:rsidR="007A530A" w:rsidRPr="00813D19">
        <w:rPr>
          <w:lang w:val="en-US"/>
        </w:rPr>
        <w:t xml:space="preserve">received for reggae music, which </w:t>
      </w:r>
      <w:r w:rsidR="00B837A7">
        <w:rPr>
          <w:lang w:val="en-US"/>
        </w:rPr>
        <w:t xml:space="preserve">was </w:t>
      </w:r>
      <w:r w:rsidR="007A530A" w:rsidRPr="00813D19">
        <w:rPr>
          <w:lang w:val="en-US"/>
        </w:rPr>
        <w:t>a testament to its global impact, and fittingly end</w:t>
      </w:r>
      <w:r w:rsidR="00616003" w:rsidRPr="00813D19">
        <w:rPr>
          <w:lang w:val="en-US"/>
        </w:rPr>
        <w:t>ed</w:t>
      </w:r>
      <w:r w:rsidR="007A530A" w:rsidRPr="00813D19">
        <w:rPr>
          <w:lang w:val="en-US"/>
        </w:rPr>
        <w:t xml:space="preserve"> with the w</w:t>
      </w:r>
      <w:r w:rsidR="00616003" w:rsidRPr="00813D19">
        <w:rPr>
          <w:lang w:val="en-US"/>
        </w:rPr>
        <w:t>ords of reggae icon Bob Marley</w:t>
      </w:r>
      <w:r w:rsidR="00B837A7">
        <w:rPr>
          <w:lang w:val="en-US"/>
        </w:rPr>
        <w:t>:</w:t>
      </w:r>
      <w:r w:rsidR="00616003" w:rsidRPr="00813D19">
        <w:rPr>
          <w:lang w:val="en-US"/>
        </w:rPr>
        <w:t xml:space="preserve"> “One love, o</w:t>
      </w:r>
      <w:r w:rsidR="007A530A" w:rsidRPr="00813D19">
        <w:rPr>
          <w:lang w:val="en-US"/>
        </w:rPr>
        <w:t xml:space="preserve">ne heart, </w:t>
      </w:r>
      <w:r w:rsidR="00DD40F3" w:rsidRPr="00813D19">
        <w:rPr>
          <w:lang w:val="en-US"/>
        </w:rPr>
        <w:t>let’s get together and feel al</w:t>
      </w:r>
      <w:r w:rsidR="007A530A" w:rsidRPr="00813D19">
        <w:rPr>
          <w:lang w:val="en-US"/>
        </w:rPr>
        <w:t>right</w:t>
      </w:r>
      <w:r w:rsidR="00616003" w:rsidRPr="00813D19">
        <w:rPr>
          <w:lang w:val="en-US"/>
        </w:rPr>
        <w:t>”</w:t>
      </w:r>
      <w:r w:rsidR="00E72560">
        <w:rPr>
          <w:lang w:val="en-US"/>
        </w:rPr>
        <w:t>.</w:t>
      </w:r>
    </w:p>
    <w:p w14:paraId="03824E5E" w14:textId="7F985DCD" w:rsidR="00616003" w:rsidRPr="00813D19" w:rsidRDefault="00616003" w:rsidP="00E72560">
      <w:pPr>
        <w:pStyle w:val="Orateurengris"/>
        <w:numPr>
          <w:ilvl w:val="0"/>
          <w:numId w:val="0"/>
        </w:numPr>
        <w:spacing w:before="240" w:after="240"/>
        <w:jc w:val="center"/>
        <w:rPr>
          <w:i/>
          <w:color w:val="000000" w:themeColor="text1"/>
          <w:lang w:val="en-US"/>
        </w:rPr>
      </w:pPr>
      <w:r w:rsidRPr="00813D19">
        <w:rPr>
          <w:i/>
          <w:color w:val="000000" w:themeColor="text1"/>
          <w:lang w:val="en-US"/>
        </w:rPr>
        <w:t>[A 15-minute pause for the</w:t>
      </w:r>
      <w:r w:rsidR="00687D4B" w:rsidRPr="00813D19">
        <w:rPr>
          <w:i/>
          <w:color w:val="000000" w:themeColor="text1"/>
          <w:lang w:val="en-US"/>
        </w:rPr>
        <w:t xml:space="preserve"> celebration </w:t>
      </w:r>
      <w:r w:rsidR="000E47F9" w:rsidRPr="00813D19">
        <w:rPr>
          <w:i/>
          <w:color w:val="000000" w:themeColor="text1"/>
          <w:lang w:val="en-US"/>
        </w:rPr>
        <w:t>of R</w:t>
      </w:r>
      <w:r w:rsidR="00687D4B" w:rsidRPr="00813D19">
        <w:rPr>
          <w:i/>
          <w:color w:val="000000" w:themeColor="text1"/>
          <w:lang w:val="en-US"/>
        </w:rPr>
        <w:t>eggae]</w:t>
      </w:r>
    </w:p>
    <w:p w14:paraId="2221D414" w14:textId="03B6C8DA" w:rsidR="002D3A5B" w:rsidRPr="00813D19" w:rsidRDefault="00C15D93"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B837A7">
        <w:rPr>
          <w:color w:val="000000" w:themeColor="text1"/>
          <w:lang w:val="en-US"/>
        </w:rPr>
        <w:t>,</w:t>
      </w:r>
      <w:r w:rsidRPr="00813D19">
        <w:rPr>
          <w:color w:val="000000" w:themeColor="text1"/>
          <w:lang w:val="en-US"/>
        </w:rPr>
        <w:t xml:space="preserve"> </w:t>
      </w:r>
      <w:r w:rsidRPr="00813D19">
        <w:rPr>
          <w:b/>
          <w:color w:val="000000" w:themeColor="text1"/>
          <w:lang w:val="en-US"/>
        </w:rPr>
        <w:t xml:space="preserve">Raiho-shin, ritual visits of deities in masks and costumes </w:t>
      </w:r>
      <w:r w:rsidR="000E47F9" w:rsidRPr="00813D19">
        <w:rPr>
          <w:color w:val="000000" w:themeColor="text1"/>
          <w:lang w:val="en-US"/>
        </w:rPr>
        <w:t>[draft decision 13.COM 10.b.19</w:t>
      </w:r>
      <w:r w:rsidRPr="00813D19">
        <w:rPr>
          <w:color w:val="000000" w:themeColor="text1"/>
          <w:lang w:val="en-US"/>
        </w:rPr>
        <w:t>]</w:t>
      </w:r>
      <w:r w:rsidR="00B837A7">
        <w:rPr>
          <w:color w:val="000000" w:themeColor="text1"/>
          <w:lang w:val="en-US"/>
        </w:rPr>
        <w:t>,</w:t>
      </w:r>
      <w:r w:rsidRPr="00813D19">
        <w:rPr>
          <w:color w:val="000000" w:themeColor="text1"/>
          <w:lang w:val="en-US"/>
        </w:rPr>
        <w:t xml:space="preserve"> submitted by </w:t>
      </w:r>
      <w:r w:rsidRPr="00813D19">
        <w:rPr>
          <w:b/>
          <w:color w:val="000000" w:themeColor="text1"/>
          <w:lang w:val="en-US"/>
        </w:rPr>
        <w:t>Japan</w:t>
      </w:r>
      <w:r w:rsidRPr="00813D19">
        <w:rPr>
          <w:color w:val="000000" w:themeColor="text1"/>
          <w:lang w:val="en-US"/>
        </w:rPr>
        <w:t xml:space="preserve">. </w:t>
      </w:r>
      <w:r w:rsidR="002D3A5B" w:rsidRPr="00813D19">
        <w:rPr>
          <w:lang w:val="en-US"/>
        </w:rPr>
        <w:t>Raiho-shin rituals take place annually in various regions of Japan on days that mark the beginning of the year or when the seasons change. Such rituals stem from folk beliefs that deities from the outer world visit communities and usher in the new year or new season with happiness and good luck.</w:t>
      </w:r>
      <w:r w:rsidR="002D3A5B" w:rsidRPr="00813D19">
        <w:rPr>
          <w:color w:val="000000" w:themeColor="text1"/>
          <w:lang w:val="en-US"/>
        </w:rPr>
        <w:t xml:space="preserve"> </w:t>
      </w:r>
      <w:r w:rsidR="002D3A5B" w:rsidRPr="00813D19">
        <w:rPr>
          <w:lang w:val="en-US"/>
        </w:rPr>
        <w:t>From the information included in th</w:t>
      </w:r>
      <w:r w:rsidR="00184190" w:rsidRPr="00813D19">
        <w:rPr>
          <w:lang w:val="en-US"/>
        </w:rPr>
        <w:t>e file, the nomination satisfied</w:t>
      </w:r>
      <w:r w:rsidR="002D3A5B" w:rsidRPr="00813D19">
        <w:rPr>
          <w:lang w:val="en-US"/>
        </w:rPr>
        <w:t xml:space="preserve"> all five criteria. The Evaluation Body considered that</w:t>
      </w:r>
      <w:r w:rsidR="002D3A5B" w:rsidRPr="00813D19">
        <w:rPr>
          <w:b/>
          <w:lang w:val="en-US"/>
        </w:rPr>
        <w:t xml:space="preserve"> </w:t>
      </w:r>
      <w:r w:rsidR="002D3A5B" w:rsidRPr="00813D19">
        <w:rPr>
          <w:lang w:val="en-US"/>
        </w:rPr>
        <w:t>Raiho-shin, ritual visits of deities in masks and costumes plays an importan</w:t>
      </w:r>
      <w:r w:rsidR="00184190" w:rsidRPr="00813D19">
        <w:rPr>
          <w:lang w:val="en-US"/>
        </w:rPr>
        <w:t>t role in children’s upbringing,</w:t>
      </w:r>
      <w:r w:rsidR="002D3A5B" w:rsidRPr="00813D19">
        <w:rPr>
          <w:lang w:val="en-US"/>
        </w:rPr>
        <w:t xml:space="preserve"> strengthens bonds with other family members and promotes respect for local traditions. The element would raise awareness about the inclusiveness of intangible cultural heritage and its ability to transcend gender divisions and bring generations together. The safeguarding measures include</w:t>
      </w:r>
      <w:r w:rsidR="00184190" w:rsidRPr="00813D19">
        <w:rPr>
          <w:lang w:val="en-US"/>
        </w:rPr>
        <w:t>d</w:t>
      </w:r>
      <w:r w:rsidR="002D3A5B" w:rsidRPr="00813D19">
        <w:rPr>
          <w:lang w:val="en-US"/>
        </w:rPr>
        <w:t xml:space="preserve"> the transmission, identification and promotion of the element. The preparation of the nomination file involved the active participation of community members at all stages. The Evaluation Body c</w:t>
      </w:r>
      <w:r w:rsidR="00D832F6" w:rsidRPr="00813D19">
        <w:rPr>
          <w:lang w:val="en-US"/>
        </w:rPr>
        <w:t>ongratulated</w:t>
      </w:r>
      <w:r w:rsidR="002D3A5B" w:rsidRPr="00813D19">
        <w:rPr>
          <w:lang w:val="en-US"/>
        </w:rPr>
        <w:t xml:space="preserve"> the State Party for submitting a well-prepared, clearly structured nomination file and</w:t>
      </w:r>
      <w:r w:rsidR="00D832F6" w:rsidRPr="00813D19">
        <w:rPr>
          <w:lang w:val="en-US"/>
        </w:rPr>
        <w:t xml:space="preserve"> commended</w:t>
      </w:r>
      <w:r w:rsidR="002D3A5B" w:rsidRPr="00813D19">
        <w:rPr>
          <w:lang w:val="en-US"/>
        </w:rPr>
        <w:t xml:space="preserve"> it for d</w:t>
      </w:r>
      <w:r w:rsidR="00D832F6" w:rsidRPr="00813D19">
        <w:rPr>
          <w:lang w:val="en-US"/>
        </w:rPr>
        <w:t>elivering a video</w:t>
      </w:r>
      <w:r w:rsidR="00184190" w:rsidRPr="00813D19">
        <w:rPr>
          <w:lang w:val="en-US"/>
        </w:rPr>
        <w:t>,</w:t>
      </w:r>
      <w:r w:rsidR="00D832F6" w:rsidRPr="00813D19">
        <w:rPr>
          <w:lang w:val="en-US"/>
        </w:rPr>
        <w:t xml:space="preserve"> which reflected</w:t>
      </w:r>
      <w:r w:rsidR="002D3A5B" w:rsidRPr="00813D19">
        <w:rPr>
          <w:lang w:val="en-US"/>
        </w:rPr>
        <w:t xml:space="preserve"> all the key a</w:t>
      </w:r>
      <w:r w:rsidR="00D832F6" w:rsidRPr="00813D19">
        <w:rPr>
          <w:lang w:val="en-US"/>
        </w:rPr>
        <w:t>spects of the element and allowed</w:t>
      </w:r>
      <w:r w:rsidR="002D3A5B" w:rsidRPr="00813D19">
        <w:rPr>
          <w:lang w:val="en-US"/>
        </w:rPr>
        <w:t xml:space="preserve"> viewers to understand the element in detail. </w:t>
      </w:r>
      <w:r w:rsidR="00D832F6" w:rsidRPr="00813D19">
        <w:rPr>
          <w:lang w:val="en-US"/>
        </w:rPr>
        <w:t>The Evaluation Body recommended</w:t>
      </w:r>
      <w:r w:rsidR="002D3A5B" w:rsidRPr="00813D19">
        <w:rPr>
          <w:lang w:val="en-US"/>
        </w:rPr>
        <w:t xml:space="preserve"> that the Committee inscribe Raiho-shin, ritual visits of deities in masks and costumes on the Representative List.</w:t>
      </w:r>
    </w:p>
    <w:p w14:paraId="5E9419B8" w14:textId="77777777" w:rsidR="00184190" w:rsidRPr="00813D19" w:rsidRDefault="00184190" w:rsidP="00184190">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3752578D" w14:textId="3346C354" w:rsidR="00285C2D" w:rsidRPr="00E72560" w:rsidRDefault="00184190" w:rsidP="00184190">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285C2D" w:rsidRPr="00813D19">
        <w:rPr>
          <w:b/>
          <w:lang w:val="en-US"/>
        </w:rPr>
        <w:t>Chairperson declared Decision</w:t>
      </w:r>
      <w:r w:rsidR="000E47F9" w:rsidRPr="00813D19">
        <w:rPr>
          <w:b/>
          <w:lang w:val="en-US"/>
        </w:rPr>
        <w:t xml:space="preserve"> </w:t>
      </w:r>
      <w:hyperlink r:id="rId119" w:history="1">
        <w:r w:rsidR="00285C2D" w:rsidRPr="00813D19">
          <w:rPr>
            <w:rStyle w:val="Hyperlink"/>
            <w:b/>
            <w:lang w:val="en-US"/>
          </w:rPr>
          <w:t>13.COM</w:t>
        </w:r>
        <w:r w:rsidR="00992896">
          <w:rPr>
            <w:rStyle w:val="Hyperlink"/>
            <w:b/>
            <w:lang w:val="en-US"/>
          </w:rPr>
          <w:t> </w:t>
        </w:r>
        <w:r w:rsidR="00285C2D" w:rsidRPr="00813D19">
          <w:rPr>
            <w:rStyle w:val="Hyperlink"/>
            <w:b/>
            <w:lang w:val="en-US"/>
          </w:rPr>
          <w:t>10.b.1</w:t>
        </w:r>
        <w:r w:rsidR="00B1169F" w:rsidRPr="00813D19">
          <w:rPr>
            <w:rStyle w:val="Hyperlink"/>
            <w:b/>
            <w:lang w:val="en-US"/>
          </w:rPr>
          <w:t>9</w:t>
        </w:r>
      </w:hyperlink>
      <w:r w:rsidR="00285C2D" w:rsidRPr="00813D19">
        <w:rPr>
          <w:b/>
          <w:lang w:val="en-US"/>
        </w:rPr>
        <w:t xml:space="preserve"> adopted to inscribe </w:t>
      </w:r>
      <w:r w:rsidR="009A2F93" w:rsidRPr="00813D19">
        <w:rPr>
          <w:b/>
          <w:color w:val="000000" w:themeColor="text1"/>
          <w:lang w:val="en-US"/>
        </w:rPr>
        <w:t xml:space="preserve">Raiho-shin, ritual visits of deities in masks and costumes </w:t>
      </w:r>
      <w:r w:rsidR="00285C2D" w:rsidRPr="00813D19">
        <w:rPr>
          <w:b/>
          <w:color w:val="000000" w:themeColor="text1"/>
          <w:lang w:val="en-US"/>
        </w:rPr>
        <w:t>on the Representative List</w:t>
      </w:r>
      <w:r w:rsidR="00285C2D" w:rsidRPr="00E72560">
        <w:rPr>
          <w:bCs/>
          <w:snapToGrid/>
          <w:color w:val="000000" w:themeColor="text1"/>
          <w:lang w:val="en-US"/>
        </w:rPr>
        <w:t>.</w:t>
      </w:r>
    </w:p>
    <w:p w14:paraId="30F4A97F" w14:textId="37F41A6E" w:rsidR="00B1169F" w:rsidRPr="00E72560" w:rsidRDefault="00B1169F" w:rsidP="00285C2D">
      <w:pPr>
        <w:pStyle w:val="Orateurengris"/>
        <w:spacing w:before="120"/>
        <w:ind w:left="709" w:hanging="709"/>
        <w:rPr>
          <w:rFonts w:eastAsia="Times New Roman"/>
          <w:lang w:val="en-US"/>
        </w:rPr>
      </w:pPr>
      <w:r w:rsidRPr="00813D19">
        <w:rPr>
          <w:lang w:val="en-US"/>
        </w:rPr>
        <w:t xml:space="preserve">The </w:t>
      </w:r>
      <w:r w:rsidRPr="00813D19">
        <w:rPr>
          <w:b/>
          <w:lang w:val="en-US"/>
        </w:rPr>
        <w:t>delegation of Japan</w:t>
      </w:r>
      <w:r w:rsidR="0009706B" w:rsidRPr="00813D19">
        <w:rPr>
          <w:b/>
          <w:lang w:val="en-US"/>
        </w:rPr>
        <w:t xml:space="preserve"> </w:t>
      </w:r>
      <w:r w:rsidR="0009706B" w:rsidRPr="00813D19">
        <w:rPr>
          <w:lang w:val="en-US"/>
        </w:rPr>
        <w:t xml:space="preserve">spoke </w:t>
      </w:r>
      <w:r w:rsidR="00FD2EFD" w:rsidRPr="00813D19">
        <w:rPr>
          <w:bCs/>
          <w:lang w:val="en-US"/>
        </w:rPr>
        <w:t>on behalf of the people of Japan</w:t>
      </w:r>
      <w:r w:rsidR="004A36C9" w:rsidRPr="00813D19">
        <w:rPr>
          <w:bCs/>
          <w:lang w:val="en-US"/>
        </w:rPr>
        <w:t>, and in particular</w:t>
      </w:r>
      <w:r w:rsidR="00FD2EFD" w:rsidRPr="00813D19">
        <w:rPr>
          <w:bCs/>
          <w:lang w:val="en-US"/>
        </w:rPr>
        <w:t xml:space="preserve"> the </w:t>
      </w:r>
      <w:r w:rsidR="004A36C9" w:rsidRPr="00813D19">
        <w:rPr>
          <w:bCs/>
          <w:lang w:val="en-US"/>
        </w:rPr>
        <w:t xml:space="preserve">ten </w:t>
      </w:r>
      <w:r w:rsidR="00FD2EFD" w:rsidRPr="00813D19">
        <w:rPr>
          <w:bCs/>
          <w:lang w:val="en-US"/>
        </w:rPr>
        <w:t>communities</w:t>
      </w:r>
      <w:r w:rsidR="008005FA">
        <w:rPr>
          <w:bCs/>
          <w:lang w:val="en-US"/>
        </w:rPr>
        <w:t xml:space="preserve"> concerned</w:t>
      </w:r>
      <w:r w:rsidR="00FD2EFD" w:rsidRPr="00813D19">
        <w:rPr>
          <w:bCs/>
          <w:lang w:val="en-US"/>
        </w:rPr>
        <w:t>, express</w:t>
      </w:r>
      <w:r w:rsidR="004A36C9" w:rsidRPr="00813D19">
        <w:rPr>
          <w:bCs/>
          <w:lang w:val="en-US"/>
        </w:rPr>
        <w:t>ing</w:t>
      </w:r>
      <w:r w:rsidR="00FD2EFD" w:rsidRPr="00813D19">
        <w:rPr>
          <w:bCs/>
          <w:lang w:val="en-US"/>
        </w:rPr>
        <w:t xml:space="preserve"> </w:t>
      </w:r>
      <w:r w:rsidR="008005FA">
        <w:rPr>
          <w:bCs/>
          <w:lang w:val="en-US"/>
        </w:rPr>
        <w:t xml:space="preserve">its </w:t>
      </w:r>
      <w:r w:rsidR="00FD2EFD" w:rsidRPr="00813D19">
        <w:rPr>
          <w:bCs/>
          <w:lang w:val="en-US"/>
        </w:rPr>
        <w:t>heartfelt gratitude to all the Members of the Committee and the Evaluation Body</w:t>
      </w:r>
      <w:r w:rsidR="004A36C9" w:rsidRPr="00813D19">
        <w:rPr>
          <w:bCs/>
          <w:lang w:val="en-US"/>
        </w:rPr>
        <w:t>,</w:t>
      </w:r>
      <w:r w:rsidR="00FD2EFD" w:rsidRPr="00813D19">
        <w:rPr>
          <w:bCs/>
          <w:lang w:val="en-US"/>
        </w:rPr>
        <w:t xml:space="preserve"> as well as the Secretariat for the inscription of </w:t>
      </w:r>
      <w:r w:rsidR="00FD2EFD" w:rsidRPr="00813D19">
        <w:rPr>
          <w:lang w:val="en-US"/>
        </w:rPr>
        <w:t xml:space="preserve">Raiho-shin, ritual visits of deities in masks and costumes. The Raiho-shin </w:t>
      </w:r>
      <w:r w:rsidR="004A36C9" w:rsidRPr="00813D19">
        <w:rPr>
          <w:lang w:val="en-US"/>
        </w:rPr>
        <w:t xml:space="preserve">comprises </w:t>
      </w:r>
      <w:r w:rsidR="00FD2EFD" w:rsidRPr="00813D19">
        <w:rPr>
          <w:lang w:val="en-US"/>
        </w:rPr>
        <w:t>traditional rituals to celebrate the New Year or othe</w:t>
      </w:r>
      <w:r w:rsidR="004A36C9" w:rsidRPr="00813D19">
        <w:rPr>
          <w:lang w:val="en-US"/>
        </w:rPr>
        <w:t xml:space="preserve">r particular seasons or events, and they </w:t>
      </w:r>
      <w:r w:rsidR="00FD2EFD" w:rsidRPr="00813D19">
        <w:rPr>
          <w:lang w:val="en-US"/>
        </w:rPr>
        <w:t>are deeply rooted in each</w:t>
      </w:r>
      <w:r w:rsidR="004A36C9" w:rsidRPr="00813D19">
        <w:rPr>
          <w:lang w:val="en-US"/>
        </w:rPr>
        <w:t xml:space="preserve"> community, giving</w:t>
      </w:r>
      <w:r w:rsidR="00FD2EFD" w:rsidRPr="00813D19">
        <w:rPr>
          <w:lang w:val="en-US"/>
        </w:rPr>
        <w:t xml:space="preserve"> opportunities to people of the community to reconfirm their unity and folk beliefs. They involve </w:t>
      </w:r>
      <w:r w:rsidR="004A36C9" w:rsidRPr="00813D19">
        <w:rPr>
          <w:lang w:val="en-US"/>
        </w:rPr>
        <w:t xml:space="preserve">everyone in </w:t>
      </w:r>
      <w:r w:rsidR="00FD2EFD" w:rsidRPr="00813D19">
        <w:rPr>
          <w:lang w:val="en-US"/>
        </w:rPr>
        <w:t>the community, young and old</w:t>
      </w:r>
      <w:r w:rsidR="004A36C9" w:rsidRPr="00813D19">
        <w:rPr>
          <w:lang w:val="en-US"/>
        </w:rPr>
        <w:t>,</w:t>
      </w:r>
      <w:r w:rsidR="00FD2EFD" w:rsidRPr="00813D19">
        <w:rPr>
          <w:lang w:val="en-US"/>
        </w:rPr>
        <w:t xml:space="preserve"> including those who</w:t>
      </w:r>
      <w:r w:rsidR="008005FA">
        <w:rPr>
          <w:lang w:val="en-US"/>
        </w:rPr>
        <w:t xml:space="preserve"> have</w:t>
      </w:r>
      <w:r w:rsidR="00FD2EFD" w:rsidRPr="00813D19">
        <w:rPr>
          <w:lang w:val="en-US"/>
        </w:rPr>
        <w:t xml:space="preserve"> left the community for economic and social reasons. The </w:t>
      </w:r>
      <w:r w:rsidR="004A36C9" w:rsidRPr="00813D19">
        <w:rPr>
          <w:lang w:val="en-US"/>
        </w:rPr>
        <w:t xml:space="preserve">ten </w:t>
      </w:r>
      <w:r w:rsidR="00FD2EFD" w:rsidRPr="00813D19">
        <w:rPr>
          <w:lang w:val="en-US"/>
        </w:rPr>
        <w:t xml:space="preserve">communities </w:t>
      </w:r>
      <w:r w:rsidR="004A36C9" w:rsidRPr="00813D19">
        <w:rPr>
          <w:lang w:val="en-US"/>
        </w:rPr>
        <w:t xml:space="preserve">are </w:t>
      </w:r>
      <w:r w:rsidR="00FD2EFD" w:rsidRPr="00813D19">
        <w:rPr>
          <w:lang w:val="en-US"/>
        </w:rPr>
        <w:t>strongly committed to safeguarding the respective Raiho-shin ritual. The</w:t>
      </w:r>
      <w:r w:rsidR="004A36C9" w:rsidRPr="00813D19">
        <w:rPr>
          <w:lang w:val="en-US"/>
        </w:rPr>
        <w:t xml:space="preserve"> </w:t>
      </w:r>
      <w:r w:rsidR="002F50EA">
        <w:rPr>
          <w:lang w:val="en-US"/>
        </w:rPr>
        <w:t>G</w:t>
      </w:r>
      <w:r w:rsidR="002F50EA" w:rsidRPr="00813D19">
        <w:rPr>
          <w:lang w:val="en-US"/>
        </w:rPr>
        <w:t xml:space="preserve">overnment </w:t>
      </w:r>
      <w:r w:rsidR="004A36C9" w:rsidRPr="00813D19">
        <w:rPr>
          <w:lang w:val="en-US"/>
        </w:rPr>
        <w:t xml:space="preserve">of Japan </w:t>
      </w:r>
      <w:r w:rsidR="008005FA">
        <w:rPr>
          <w:lang w:val="en-US"/>
        </w:rPr>
        <w:t xml:space="preserve">had </w:t>
      </w:r>
      <w:r w:rsidR="004A36C9" w:rsidRPr="00813D19">
        <w:rPr>
          <w:lang w:val="en-US"/>
        </w:rPr>
        <w:t xml:space="preserve">also expressed </w:t>
      </w:r>
      <w:r w:rsidR="008005FA">
        <w:rPr>
          <w:lang w:val="en-US"/>
        </w:rPr>
        <w:t xml:space="preserve">a </w:t>
      </w:r>
      <w:r w:rsidR="00FD2EFD" w:rsidRPr="00813D19">
        <w:rPr>
          <w:lang w:val="en-US"/>
        </w:rPr>
        <w:t>firm commitment to safeguarding these important rituals together with the communities concerned so as to pass this heritage to future</w:t>
      </w:r>
      <w:r w:rsidR="004A36C9" w:rsidRPr="00813D19">
        <w:rPr>
          <w:lang w:val="en-US"/>
        </w:rPr>
        <w:t xml:space="preserve"> </w:t>
      </w:r>
      <w:r w:rsidR="004A36C9" w:rsidRPr="00E72560">
        <w:rPr>
          <w:lang w:val="en-US"/>
        </w:rPr>
        <w:t>generations</w:t>
      </w:r>
      <w:r w:rsidR="0009706B" w:rsidRPr="00E72560">
        <w:rPr>
          <w:lang w:val="en-US"/>
        </w:rPr>
        <w:t>.</w:t>
      </w:r>
    </w:p>
    <w:p w14:paraId="54DECAFC" w14:textId="10DFF45E" w:rsidR="0070280A" w:rsidRPr="00E72560" w:rsidRDefault="0070280A" w:rsidP="00E72560">
      <w:pPr>
        <w:pStyle w:val="Orateurengris"/>
        <w:numPr>
          <w:ilvl w:val="0"/>
          <w:numId w:val="0"/>
        </w:numPr>
        <w:spacing w:before="240" w:after="240"/>
        <w:jc w:val="center"/>
        <w:rPr>
          <w:rFonts w:eastAsia="Times New Roman"/>
          <w:i/>
          <w:lang w:val="en-US"/>
        </w:rPr>
      </w:pPr>
      <w:r w:rsidRPr="00E72560">
        <w:rPr>
          <w:i/>
          <w:lang w:val="en-US"/>
        </w:rPr>
        <w:t xml:space="preserve">[A film </w:t>
      </w:r>
      <w:r w:rsidR="00C53A48" w:rsidRPr="00E72560">
        <w:rPr>
          <w:i/>
          <w:lang w:val="en-US"/>
        </w:rPr>
        <w:t xml:space="preserve">on </w:t>
      </w:r>
      <w:r w:rsidR="00C53A48" w:rsidRPr="00E72560">
        <w:rPr>
          <w:i/>
          <w:color w:val="000000" w:themeColor="text1"/>
          <w:lang w:val="en-US"/>
        </w:rPr>
        <w:t>Raiho-shin, ritual visits of deities in masks and costumes</w:t>
      </w:r>
      <w:r w:rsidR="00A130A6">
        <w:rPr>
          <w:i/>
          <w:color w:val="000000" w:themeColor="text1"/>
          <w:lang w:val="en-US"/>
        </w:rPr>
        <w:t xml:space="preserve"> was projected</w:t>
      </w:r>
      <w:r w:rsidR="00C53A48" w:rsidRPr="00E72560">
        <w:rPr>
          <w:i/>
          <w:color w:val="000000" w:themeColor="text1"/>
          <w:lang w:val="en-US"/>
        </w:rPr>
        <w:t>]</w:t>
      </w:r>
    </w:p>
    <w:p w14:paraId="3238131F" w14:textId="46A6AB1F" w:rsidR="002D3A5B" w:rsidRPr="00813D19" w:rsidRDefault="00C15D93"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8005FA">
        <w:rPr>
          <w:color w:val="000000" w:themeColor="text1"/>
          <w:lang w:val="en-US"/>
        </w:rPr>
        <w:t>,</w:t>
      </w:r>
      <w:r w:rsidRPr="00813D19">
        <w:rPr>
          <w:color w:val="000000" w:themeColor="text1"/>
          <w:lang w:val="en-US"/>
        </w:rPr>
        <w:t xml:space="preserve"> </w:t>
      </w:r>
      <w:r w:rsidRPr="00813D19">
        <w:rPr>
          <w:b/>
          <w:color w:val="000000" w:themeColor="text1"/>
          <w:lang w:val="en-US"/>
        </w:rPr>
        <w:t xml:space="preserve">As-Samer in Jordan </w:t>
      </w:r>
      <w:r w:rsidRPr="00813D19">
        <w:rPr>
          <w:color w:val="000000" w:themeColor="text1"/>
          <w:lang w:val="en-US"/>
        </w:rPr>
        <w:t>[draft decision 13.COM 10.b.20]</w:t>
      </w:r>
      <w:r w:rsidR="008005FA">
        <w:rPr>
          <w:color w:val="000000" w:themeColor="text1"/>
          <w:lang w:val="en-US"/>
        </w:rPr>
        <w:t>,</w:t>
      </w:r>
      <w:r w:rsidRPr="00813D19">
        <w:rPr>
          <w:color w:val="000000" w:themeColor="text1"/>
          <w:lang w:val="en-US"/>
        </w:rPr>
        <w:t xml:space="preserve"> submitted by </w:t>
      </w:r>
      <w:r w:rsidR="004D684A" w:rsidRPr="00813D19">
        <w:rPr>
          <w:b/>
          <w:color w:val="000000" w:themeColor="text1"/>
          <w:lang w:val="en-US"/>
        </w:rPr>
        <w:t>Jordan</w:t>
      </w:r>
      <w:r w:rsidR="002D3A5B" w:rsidRPr="00813D19">
        <w:rPr>
          <w:color w:val="000000" w:themeColor="text1"/>
          <w:lang w:val="en-US"/>
        </w:rPr>
        <w:t xml:space="preserve">. </w:t>
      </w:r>
      <w:r w:rsidR="002D3A5B" w:rsidRPr="00813D19">
        <w:rPr>
          <w:lang w:val="en-US"/>
        </w:rPr>
        <w:t>As-Samer entails mainly dancing and singing</w:t>
      </w:r>
      <w:r w:rsidR="00C53A48" w:rsidRPr="00813D19">
        <w:rPr>
          <w:lang w:val="en-US"/>
        </w:rPr>
        <w:t xml:space="preserve"> </w:t>
      </w:r>
      <w:r w:rsidR="002D3A5B" w:rsidRPr="00813D19">
        <w:rPr>
          <w:lang w:val="en-US"/>
        </w:rPr>
        <w:t>performed on various occasions such as during marriage ceremonies. The practice consolidates social bonds and promotes cohesion.</w:t>
      </w:r>
      <w:r w:rsidR="002D3A5B" w:rsidRPr="00813D19">
        <w:rPr>
          <w:color w:val="000000" w:themeColor="text1"/>
          <w:lang w:val="en-US"/>
        </w:rPr>
        <w:t xml:space="preserve"> </w:t>
      </w:r>
      <w:r w:rsidR="002D3A5B" w:rsidRPr="00813D19">
        <w:rPr>
          <w:lang w:val="en-US"/>
        </w:rPr>
        <w:t>From the information included in th</w:t>
      </w:r>
      <w:r w:rsidR="00C53A48" w:rsidRPr="00813D19">
        <w:rPr>
          <w:lang w:val="en-US"/>
        </w:rPr>
        <w:t>e file, the nomination satisfied</w:t>
      </w:r>
      <w:r w:rsidR="002D3A5B" w:rsidRPr="00813D19">
        <w:rPr>
          <w:lang w:val="en-US"/>
        </w:rPr>
        <w:t xml:space="preserve"> criteria R.1, </w:t>
      </w:r>
      <w:r w:rsidR="002D3A5B" w:rsidRPr="00813D19">
        <w:rPr>
          <w:noProof/>
          <w:lang w:val="en-US"/>
        </w:rPr>
        <w:t xml:space="preserve">R.4 </w:t>
      </w:r>
      <w:r w:rsidR="002D3A5B" w:rsidRPr="00813D19">
        <w:rPr>
          <w:lang w:val="en-US"/>
        </w:rPr>
        <w:t>and</w:t>
      </w:r>
      <w:r w:rsidR="002D3A5B" w:rsidRPr="00813D19">
        <w:rPr>
          <w:noProof/>
          <w:lang w:val="en-US"/>
        </w:rPr>
        <w:t xml:space="preserve"> R.5</w:t>
      </w:r>
      <w:r w:rsidR="002D3A5B" w:rsidRPr="00813D19">
        <w:rPr>
          <w:lang w:val="en-US"/>
        </w:rPr>
        <w:t>. As-Samer is performed by different clans in all the governorates of Jordan during f</w:t>
      </w:r>
      <w:r w:rsidR="00C53A48" w:rsidRPr="00813D19">
        <w:rPr>
          <w:lang w:val="en-US"/>
        </w:rPr>
        <w:t>estive occasions and it embodies</w:t>
      </w:r>
      <w:r w:rsidR="002D3A5B" w:rsidRPr="00813D19">
        <w:rPr>
          <w:lang w:val="en-US"/>
        </w:rPr>
        <w:t xml:space="preserve"> the history of Jordan and provides the communities concerned with a sense of identity and pride. A wide range of stakeholders, communities and NGOs </w:t>
      </w:r>
      <w:r w:rsidR="008005FA">
        <w:rPr>
          <w:lang w:val="en-US"/>
        </w:rPr>
        <w:t xml:space="preserve">had </w:t>
      </w:r>
      <w:r w:rsidR="002D3A5B" w:rsidRPr="00813D19">
        <w:rPr>
          <w:lang w:val="en-US"/>
        </w:rPr>
        <w:t>participated in the nomination process.</w:t>
      </w:r>
      <w:r w:rsidR="002D3A5B" w:rsidRPr="00813D19">
        <w:rPr>
          <w:color w:val="000000" w:themeColor="text1"/>
          <w:lang w:val="en-US"/>
        </w:rPr>
        <w:t xml:space="preserve"> </w:t>
      </w:r>
      <w:r w:rsidR="002D3A5B" w:rsidRPr="00813D19">
        <w:rPr>
          <w:noProof/>
          <w:lang w:val="en-US"/>
        </w:rPr>
        <w:t xml:space="preserve">However, the Evaluation Body considered that the information </w:t>
      </w:r>
      <w:r w:rsidR="00C53A48" w:rsidRPr="00813D19">
        <w:rPr>
          <w:noProof/>
          <w:lang w:val="en-US"/>
        </w:rPr>
        <w:t xml:space="preserve">was </w:t>
      </w:r>
      <w:r w:rsidR="002D3A5B" w:rsidRPr="00813D19">
        <w:rPr>
          <w:noProof/>
          <w:lang w:val="en-US"/>
        </w:rPr>
        <w:t>not su</w:t>
      </w:r>
      <w:r w:rsidR="00C53A48" w:rsidRPr="00813D19">
        <w:rPr>
          <w:noProof/>
          <w:lang w:val="en-US"/>
        </w:rPr>
        <w:t>fficient to assess criteria R.2</w:t>
      </w:r>
      <w:r w:rsidR="002D3A5B" w:rsidRPr="00813D19">
        <w:rPr>
          <w:noProof/>
          <w:lang w:val="en-US"/>
        </w:rPr>
        <w:t xml:space="preserve"> and </w:t>
      </w:r>
      <w:r w:rsidR="002D3A5B" w:rsidRPr="00813D19">
        <w:rPr>
          <w:lang w:val="en-US"/>
        </w:rPr>
        <w:t>R.3</w:t>
      </w:r>
      <w:r w:rsidR="002D3A5B" w:rsidRPr="00813D19">
        <w:rPr>
          <w:noProof/>
          <w:lang w:val="en-US"/>
        </w:rPr>
        <w:t>.</w:t>
      </w:r>
      <w:r w:rsidR="002D3A5B" w:rsidRPr="00813D19">
        <w:rPr>
          <w:color w:val="000000" w:themeColor="text1"/>
          <w:lang w:val="en-US"/>
        </w:rPr>
        <w:t xml:space="preserve"> </w:t>
      </w:r>
      <w:r w:rsidR="002D3A5B" w:rsidRPr="00813D19">
        <w:rPr>
          <w:noProof/>
          <w:lang w:val="en-US"/>
        </w:rPr>
        <w:t xml:space="preserve">Although </w:t>
      </w:r>
      <w:r w:rsidR="002D3A5B" w:rsidRPr="00813D19">
        <w:rPr>
          <w:lang w:val="en-US"/>
        </w:rPr>
        <w:t xml:space="preserve">As-Samer represents popular art and oral traditions based on collective performances, its contribution </w:t>
      </w:r>
      <w:r w:rsidR="008005FA">
        <w:rPr>
          <w:lang w:val="en-US"/>
        </w:rPr>
        <w:t>to</w:t>
      </w:r>
      <w:r w:rsidR="008005FA" w:rsidRPr="00813D19">
        <w:rPr>
          <w:lang w:val="en-US"/>
        </w:rPr>
        <w:t xml:space="preserve"> </w:t>
      </w:r>
      <w:r w:rsidR="002D3A5B" w:rsidRPr="00813D19">
        <w:rPr>
          <w:lang w:val="en-US"/>
        </w:rPr>
        <w:t>raising the visibility of</w:t>
      </w:r>
      <w:r w:rsidR="008005FA">
        <w:rPr>
          <w:lang w:val="en-US"/>
        </w:rPr>
        <w:t xml:space="preserve"> intangible cultural heritage</w:t>
      </w:r>
      <w:r w:rsidR="002D3A5B" w:rsidRPr="00813D19">
        <w:rPr>
          <w:lang w:val="en-US"/>
        </w:rPr>
        <w:t xml:space="preserve"> in general and the promotion of human creativity </w:t>
      </w:r>
      <w:r w:rsidR="00C53A48" w:rsidRPr="00813D19">
        <w:rPr>
          <w:lang w:val="en-US"/>
        </w:rPr>
        <w:t xml:space="preserve">were </w:t>
      </w:r>
      <w:r w:rsidR="002D3A5B" w:rsidRPr="00813D19">
        <w:rPr>
          <w:lang w:val="en-US"/>
        </w:rPr>
        <w:t>not clearly explained. Instead, the</w:t>
      </w:r>
      <w:r w:rsidR="00C53A48" w:rsidRPr="00813D19">
        <w:rPr>
          <w:lang w:val="en-US"/>
        </w:rPr>
        <w:t xml:space="preserve"> file concentrated</w:t>
      </w:r>
      <w:r w:rsidR="002D3A5B" w:rsidRPr="00813D19">
        <w:rPr>
          <w:lang w:val="en-US"/>
        </w:rPr>
        <w:t xml:space="preserve"> on the benefits of the inscription to the country. The safeguarding measures proposed could raise the visibility of the element</w:t>
      </w:r>
      <w:r w:rsidR="00F3169A" w:rsidRPr="00813D19">
        <w:rPr>
          <w:lang w:val="en-US"/>
        </w:rPr>
        <w:t>,</w:t>
      </w:r>
      <w:r w:rsidR="002D3A5B" w:rsidRPr="00813D19">
        <w:rPr>
          <w:lang w:val="en-US"/>
        </w:rPr>
        <w:t xml:space="preserve"> but</w:t>
      </w:r>
      <w:r w:rsidR="00DD40F3" w:rsidRPr="00813D19">
        <w:rPr>
          <w:lang w:val="en-US"/>
        </w:rPr>
        <w:t xml:space="preserve"> the Ministry of Culture intended</w:t>
      </w:r>
      <w:r w:rsidR="002D3A5B" w:rsidRPr="00813D19">
        <w:rPr>
          <w:lang w:val="en-US"/>
        </w:rPr>
        <w:t xml:space="preserve"> to use a top-down approach of establishing a higher committee consisting of experts, specialists and practitioners responsible for ensuring that the art </w:t>
      </w:r>
      <w:r w:rsidR="008005FA" w:rsidRPr="00813D19">
        <w:rPr>
          <w:lang w:val="en-US"/>
        </w:rPr>
        <w:t>d</w:t>
      </w:r>
      <w:r w:rsidR="008005FA">
        <w:rPr>
          <w:lang w:val="en-US"/>
        </w:rPr>
        <w:t>id</w:t>
      </w:r>
      <w:r w:rsidR="008005FA" w:rsidRPr="00813D19">
        <w:rPr>
          <w:lang w:val="en-US"/>
        </w:rPr>
        <w:t xml:space="preserve"> </w:t>
      </w:r>
      <w:r w:rsidR="002D3A5B" w:rsidRPr="00813D19">
        <w:rPr>
          <w:lang w:val="en-US"/>
        </w:rPr>
        <w:t>not evolve or change in any respect</w:t>
      </w:r>
      <w:r w:rsidR="00C53A48" w:rsidRPr="00813D19">
        <w:rPr>
          <w:lang w:val="en-US"/>
        </w:rPr>
        <w:t>,</w:t>
      </w:r>
      <w:r w:rsidR="002D3A5B" w:rsidRPr="00813D19">
        <w:rPr>
          <w:lang w:val="en-US"/>
        </w:rPr>
        <w:t xml:space="preserve"> which is contrary to the spirit of the Convention as constant recreation is an inherent aspect of living heritage. </w:t>
      </w:r>
      <w:r w:rsidR="00F3169A" w:rsidRPr="00813D19">
        <w:rPr>
          <w:lang w:val="en-US"/>
        </w:rPr>
        <w:t xml:space="preserve">In addition, the </w:t>
      </w:r>
      <w:r w:rsidR="002D3A5B" w:rsidRPr="00813D19">
        <w:rPr>
          <w:lang w:val="en-US"/>
        </w:rPr>
        <w:t xml:space="preserve">role of practitioners in the implementation of the safeguarding plan </w:t>
      </w:r>
      <w:r w:rsidR="00C53A48" w:rsidRPr="00813D19">
        <w:rPr>
          <w:lang w:val="en-US"/>
        </w:rPr>
        <w:t xml:space="preserve">was </w:t>
      </w:r>
      <w:r w:rsidR="002D3A5B" w:rsidRPr="00813D19">
        <w:rPr>
          <w:lang w:val="en-US"/>
        </w:rPr>
        <w:t xml:space="preserve">missing. </w:t>
      </w:r>
      <w:r w:rsidR="00C53A48" w:rsidRPr="00813D19">
        <w:rPr>
          <w:lang w:val="en-US"/>
        </w:rPr>
        <w:t>The Evaluation Body thus recommended that the Committee refer</w:t>
      </w:r>
      <w:r w:rsidR="002D3A5B" w:rsidRPr="00813D19">
        <w:rPr>
          <w:lang w:val="en-US"/>
        </w:rPr>
        <w:t xml:space="preserve"> As-Samer in Jordan to the submitting State.</w:t>
      </w:r>
    </w:p>
    <w:p w14:paraId="16CD3E4C" w14:textId="1B74DD32" w:rsidR="00C53A48" w:rsidRPr="00813D19" w:rsidRDefault="00C1763E"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8005FA">
        <w:rPr>
          <w:color w:val="000000" w:themeColor="text1"/>
          <w:lang w:val="en-US"/>
        </w:rPr>
        <w:t xml:space="preserve">had </w:t>
      </w:r>
      <w:r w:rsidR="00184190" w:rsidRPr="00813D19">
        <w:rPr>
          <w:color w:val="000000" w:themeColor="text1"/>
          <w:lang w:val="en-US"/>
        </w:rPr>
        <w:t xml:space="preserve">received </w:t>
      </w:r>
      <w:r w:rsidRPr="00813D19">
        <w:rPr>
          <w:color w:val="000000" w:themeColor="text1"/>
          <w:lang w:val="en-US"/>
        </w:rPr>
        <w:t>an amendment by Palest</w:t>
      </w:r>
      <w:r w:rsidR="00184190" w:rsidRPr="00813D19">
        <w:rPr>
          <w:color w:val="000000" w:themeColor="text1"/>
          <w:lang w:val="en-US"/>
        </w:rPr>
        <w:t>ine on behalf of the Arab Group, and a request to open the debate.</w:t>
      </w:r>
    </w:p>
    <w:p w14:paraId="69CD6BD7" w14:textId="19B0515F" w:rsidR="004108BA" w:rsidRPr="00813D19" w:rsidRDefault="004108BA" w:rsidP="002D3A5B">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B46463" w:rsidRPr="00813D19">
        <w:rPr>
          <w:b/>
          <w:color w:val="000000" w:themeColor="text1"/>
          <w:lang w:val="en-US"/>
        </w:rPr>
        <w:t xml:space="preserve"> </w:t>
      </w:r>
      <w:r w:rsidR="00B46463" w:rsidRPr="00813D19">
        <w:rPr>
          <w:bCs/>
          <w:lang w:val="en-US"/>
        </w:rPr>
        <w:t>thank</w:t>
      </w:r>
      <w:r w:rsidR="004A36C9" w:rsidRPr="00813D19">
        <w:rPr>
          <w:bCs/>
          <w:lang w:val="en-US"/>
        </w:rPr>
        <w:t>ed</w:t>
      </w:r>
      <w:r w:rsidR="00B46463" w:rsidRPr="00813D19">
        <w:rPr>
          <w:bCs/>
          <w:lang w:val="en-US"/>
        </w:rPr>
        <w:t xml:space="preserve"> the Evaluation Body for </w:t>
      </w:r>
      <w:r w:rsidR="00AB050A" w:rsidRPr="00813D19">
        <w:rPr>
          <w:bCs/>
          <w:lang w:val="en-US"/>
        </w:rPr>
        <w:t xml:space="preserve">its </w:t>
      </w:r>
      <w:r w:rsidR="00B46463" w:rsidRPr="00813D19">
        <w:rPr>
          <w:bCs/>
          <w:lang w:val="en-US"/>
        </w:rPr>
        <w:t xml:space="preserve">work </w:t>
      </w:r>
      <w:r w:rsidR="00AB050A" w:rsidRPr="00813D19">
        <w:rPr>
          <w:bCs/>
          <w:lang w:val="en-US"/>
        </w:rPr>
        <w:t xml:space="preserve">on </w:t>
      </w:r>
      <w:r w:rsidR="00B46463" w:rsidRPr="00813D19">
        <w:rPr>
          <w:bCs/>
          <w:lang w:val="en-US"/>
        </w:rPr>
        <w:t>this file</w:t>
      </w:r>
      <w:r w:rsidR="00AB050A" w:rsidRPr="00813D19">
        <w:rPr>
          <w:bCs/>
          <w:lang w:val="en-US"/>
        </w:rPr>
        <w:t>,</w:t>
      </w:r>
      <w:r w:rsidR="00B46463" w:rsidRPr="00813D19">
        <w:rPr>
          <w:bCs/>
          <w:lang w:val="en-US"/>
        </w:rPr>
        <w:t xml:space="preserve"> as well as all the other files</w:t>
      </w:r>
      <w:r w:rsidR="00AB050A" w:rsidRPr="00813D19">
        <w:rPr>
          <w:bCs/>
          <w:lang w:val="en-US"/>
        </w:rPr>
        <w:t xml:space="preserve">, and thanked </w:t>
      </w:r>
      <w:r w:rsidR="00B46463" w:rsidRPr="00813D19">
        <w:rPr>
          <w:bCs/>
          <w:lang w:val="en-US"/>
        </w:rPr>
        <w:t xml:space="preserve">the Chairperson of the Evaluation Body for the explanations given. </w:t>
      </w:r>
      <w:r w:rsidR="00B46463" w:rsidRPr="00813D19">
        <w:rPr>
          <w:lang w:val="en-US"/>
        </w:rPr>
        <w:t xml:space="preserve">As-Samer is an element found in </w:t>
      </w:r>
      <w:r w:rsidR="00AB050A" w:rsidRPr="00813D19">
        <w:rPr>
          <w:lang w:val="en-US"/>
        </w:rPr>
        <w:t>the entire region,</w:t>
      </w:r>
      <w:r w:rsidR="00B46463" w:rsidRPr="00813D19">
        <w:rPr>
          <w:lang w:val="en-US"/>
        </w:rPr>
        <w:t xml:space="preserve"> </w:t>
      </w:r>
      <w:r w:rsidR="00AB050A" w:rsidRPr="00813D19">
        <w:rPr>
          <w:lang w:val="en-US"/>
        </w:rPr>
        <w:t xml:space="preserve">in Jordan, </w:t>
      </w:r>
      <w:r w:rsidR="00B46463" w:rsidRPr="00813D19">
        <w:rPr>
          <w:lang w:val="en-US"/>
        </w:rPr>
        <w:t>Palestine and Saudi Arabia</w:t>
      </w:r>
      <w:r w:rsidR="00AB050A" w:rsidRPr="00813D19">
        <w:rPr>
          <w:lang w:val="en-US"/>
        </w:rPr>
        <w:t>,</w:t>
      </w:r>
      <w:r w:rsidR="00B46463" w:rsidRPr="00813D19">
        <w:rPr>
          <w:lang w:val="en-US"/>
        </w:rPr>
        <w:t xml:space="preserve"> as well as other Arab countries. </w:t>
      </w:r>
      <w:r w:rsidR="00AB050A" w:rsidRPr="00813D19">
        <w:rPr>
          <w:lang w:val="en-US"/>
        </w:rPr>
        <w:t>T</w:t>
      </w:r>
      <w:r w:rsidR="00B46463" w:rsidRPr="00813D19">
        <w:rPr>
          <w:lang w:val="en-US"/>
        </w:rPr>
        <w:t>his element brings together many different artistic activities</w:t>
      </w:r>
      <w:r w:rsidR="00AB050A" w:rsidRPr="00813D19">
        <w:rPr>
          <w:lang w:val="en-US"/>
        </w:rPr>
        <w:t>,</w:t>
      </w:r>
      <w:r w:rsidR="00B46463" w:rsidRPr="00813D19">
        <w:rPr>
          <w:lang w:val="en-US"/>
        </w:rPr>
        <w:t xml:space="preserve"> and embodies a</w:t>
      </w:r>
      <w:r w:rsidR="00AB050A" w:rsidRPr="00813D19">
        <w:rPr>
          <w:lang w:val="en-US"/>
        </w:rPr>
        <w:t xml:space="preserve"> wide range of activities and </w:t>
      </w:r>
      <w:r w:rsidR="00B46463" w:rsidRPr="00813D19">
        <w:rPr>
          <w:lang w:val="en-US"/>
        </w:rPr>
        <w:t xml:space="preserve">cultural references that include dancing, costumes, singing. </w:t>
      </w:r>
      <w:r w:rsidR="00AB050A" w:rsidRPr="00813D19">
        <w:rPr>
          <w:lang w:val="en-US"/>
        </w:rPr>
        <w:t>The delegation recalled that t</w:t>
      </w:r>
      <w:r w:rsidR="00B46463" w:rsidRPr="00813D19">
        <w:rPr>
          <w:lang w:val="en-US"/>
        </w:rPr>
        <w:t xml:space="preserve">he Evaluation Body does not evaluate an element </w:t>
      </w:r>
      <w:r w:rsidR="00AB050A" w:rsidRPr="00813D19">
        <w:rPr>
          <w:lang w:val="en-US"/>
        </w:rPr>
        <w:t>itself</w:t>
      </w:r>
      <w:r w:rsidR="008005FA">
        <w:rPr>
          <w:lang w:val="en-US"/>
        </w:rPr>
        <w:t>;</w:t>
      </w:r>
      <w:r w:rsidR="00AB050A" w:rsidRPr="00813D19">
        <w:rPr>
          <w:lang w:val="en-US"/>
        </w:rPr>
        <w:t xml:space="preserve"> rather</w:t>
      </w:r>
      <w:r w:rsidR="008005FA">
        <w:rPr>
          <w:lang w:val="en-US"/>
        </w:rPr>
        <w:t>,</w:t>
      </w:r>
      <w:r w:rsidR="00AB050A" w:rsidRPr="00813D19">
        <w:rPr>
          <w:lang w:val="en-US"/>
        </w:rPr>
        <w:t xml:space="preserve"> its </w:t>
      </w:r>
      <w:r w:rsidR="00B46463" w:rsidRPr="00813D19">
        <w:rPr>
          <w:lang w:val="en-US"/>
        </w:rPr>
        <w:t xml:space="preserve">task is to evaluate the information </w:t>
      </w:r>
      <w:r w:rsidR="00AB050A" w:rsidRPr="00813D19">
        <w:rPr>
          <w:lang w:val="en-US"/>
        </w:rPr>
        <w:t xml:space="preserve">contained </w:t>
      </w:r>
      <w:r w:rsidR="00B46463" w:rsidRPr="00813D19">
        <w:rPr>
          <w:lang w:val="en-US"/>
        </w:rPr>
        <w:t xml:space="preserve">in the nomination file. Unfortunately, as </w:t>
      </w:r>
      <w:r w:rsidR="00AB050A" w:rsidRPr="00813D19">
        <w:rPr>
          <w:lang w:val="en-US"/>
        </w:rPr>
        <w:t xml:space="preserve">was </w:t>
      </w:r>
      <w:r w:rsidR="00B46463" w:rsidRPr="00813D19">
        <w:rPr>
          <w:lang w:val="en-US"/>
        </w:rPr>
        <w:t>know</w:t>
      </w:r>
      <w:r w:rsidR="00AB050A" w:rsidRPr="00813D19">
        <w:rPr>
          <w:lang w:val="en-US"/>
        </w:rPr>
        <w:t>n</w:t>
      </w:r>
      <w:r w:rsidR="00B46463" w:rsidRPr="00813D19">
        <w:rPr>
          <w:lang w:val="en-US"/>
        </w:rPr>
        <w:t xml:space="preserve">, criterion </w:t>
      </w:r>
      <w:r w:rsidR="00AB050A" w:rsidRPr="00813D19">
        <w:rPr>
          <w:lang w:val="en-US"/>
        </w:rPr>
        <w:t>R.</w:t>
      </w:r>
      <w:r w:rsidR="00B46463" w:rsidRPr="00813D19">
        <w:rPr>
          <w:lang w:val="en-US"/>
        </w:rPr>
        <w:t xml:space="preserve">2 is </w:t>
      </w:r>
      <w:r w:rsidR="00AB050A" w:rsidRPr="00813D19">
        <w:rPr>
          <w:lang w:val="en-US"/>
        </w:rPr>
        <w:t>problematic and un</w:t>
      </w:r>
      <w:r w:rsidR="00B46463" w:rsidRPr="00813D19">
        <w:rPr>
          <w:lang w:val="en-US"/>
        </w:rPr>
        <w:t xml:space="preserve">clear </w:t>
      </w:r>
      <w:r w:rsidR="00AB050A" w:rsidRPr="00813D19">
        <w:rPr>
          <w:lang w:val="en-US"/>
        </w:rPr>
        <w:t xml:space="preserve">to </w:t>
      </w:r>
      <w:r w:rsidR="00B46463" w:rsidRPr="00813D19">
        <w:rPr>
          <w:lang w:val="en-US"/>
        </w:rPr>
        <w:t>submitting States</w:t>
      </w:r>
      <w:r w:rsidR="00AB050A" w:rsidRPr="00813D19">
        <w:rPr>
          <w:lang w:val="en-US"/>
        </w:rPr>
        <w:t>, though e</w:t>
      </w:r>
      <w:r w:rsidR="00B46463" w:rsidRPr="00813D19">
        <w:rPr>
          <w:lang w:val="en-US"/>
        </w:rPr>
        <w:t xml:space="preserve">xperts </w:t>
      </w:r>
      <w:r w:rsidR="008005FA">
        <w:rPr>
          <w:lang w:val="en-US"/>
        </w:rPr>
        <w:t>would</w:t>
      </w:r>
      <w:r w:rsidR="008005FA" w:rsidRPr="00813D19">
        <w:rPr>
          <w:lang w:val="en-US"/>
        </w:rPr>
        <w:t xml:space="preserve"> </w:t>
      </w:r>
      <w:r w:rsidR="00B46463" w:rsidRPr="00813D19">
        <w:rPr>
          <w:lang w:val="en-US"/>
        </w:rPr>
        <w:t xml:space="preserve">be working on this issue. Nevertheless, </w:t>
      </w:r>
      <w:r w:rsidR="00AB050A" w:rsidRPr="00813D19">
        <w:rPr>
          <w:lang w:val="en-US"/>
        </w:rPr>
        <w:t xml:space="preserve">the delegation believed that </w:t>
      </w:r>
      <w:r w:rsidR="00B46463" w:rsidRPr="00813D19">
        <w:rPr>
          <w:lang w:val="en-US"/>
        </w:rPr>
        <w:t xml:space="preserve">at this stage </w:t>
      </w:r>
      <w:r w:rsidR="00AB050A" w:rsidRPr="00813D19">
        <w:rPr>
          <w:lang w:val="en-US"/>
        </w:rPr>
        <w:t>the element deserved</w:t>
      </w:r>
      <w:r w:rsidR="00B46463" w:rsidRPr="00813D19">
        <w:rPr>
          <w:lang w:val="en-US"/>
        </w:rPr>
        <w:t xml:space="preserve"> to be inscribed</w:t>
      </w:r>
      <w:r w:rsidR="00AB050A" w:rsidRPr="00813D19">
        <w:rPr>
          <w:lang w:val="en-US"/>
        </w:rPr>
        <w:t>,</w:t>
      </w:r>
      <w:r w:rsidR="00B46463" w:rsidRPr="00813D19">
        <w:rPr>
          <w:lang w:val="en-US"/>
        </w:rPr>
        <w:t xml:space="preserve"> and </w:t>
      </w:r>
      <w:r w:rsidR="00AB050A" w:rsidRPr="00813D19">
        <w:rPr>
          <w:lang w:val="en-US"/>
        </w:rPr>
        <w:t xml:space="preserve">Palestine—on behalf of the Arab Group—had submitted </w:t>
      </w:r>
      <w:r w:rsidR="00B46463" w:rsidRPr="00813D19">
        <w:rPr>
          <w:lang w:val="en-US"/>
        </w:rPr>
        <w:t>amendments in this regard</w:t>
      </w:r>
      <w:r w:rsidR="00AB050A" w:rsidRPr="00813D19">
        <w:rPr>
          <w:lang w:val="en-US"/>
        </w:rPr>
        <w:t xml:space="preserve">, hoping that Members would </w:t>
      </w:r>
      <w:r w:rsidR="00B46463" w:rsidRPr="00813D19">
        <w:rPr>
          <w:lang w:val="en-US"/>
        </w:rPr>
        <w:t xml:space="preserve">support these amendments after hearing the explanations </w:t>
      </w:r>
      <w:r w:rsidR="00AB050A" w:rsidRPr="00813D19">
        <w:rPr>
          <w:lang w:val="en-US"/>
        </w:rPr>
        <w:t>by Jordan</w:t>
      </w:r>
      <w:r w:rsidR="00B46463" w:rsidRPr="00813D19">
        <w:rPr>
          <w:lang w:val="en-US"/>
        </w:rPr>
        <w:t xml:space="preserve">. </w:t>
      </w:r>
      <w:r w:rsidR="00AB050A" w:rsidRPr="00813D19">
        <w:rPr>
          <w:lang w:val="en-US"/>
        </w:rPr>
        <w:t xml:space="preserve">Moreover, </w:t>
      </w:r>
      <w:r w:rsidR="00B46463" w:rsidRPr="00813D19">
        <w:rPr>
          <w:lang w:val="en-US"/>
        </w:rPr>
        <w:t>no file is perfect</w:t>
      </w:r>
      <w:r w:rsidR="00AB050A" w:rsidRPr="00813D19">
        <w:rPr>
          <w:lang w:val="en-US"/>
        </w:rPr>
        <w:t>,</w:t>
      </w:r>
      <w:r w:rsidR="00B46463" w:rsidRPr="00813D19">
        <w:rPr>
          <w:lang w:val="en-US"/>
        </w:rPr>
        <w:t xml:space="preserve"> even if some files have </w:t>
      </w:r>
      <w:r w:rsidR="00AB050A" w:rsidRPr="00813D19">
        <w:rPr>
          <w:lang w:val="en-US"/>
        </w:rPr>
        <w:t xml:space="preserve">met </w:t>
      </w:r>
      <w:r w:rsidR="00B46463" w:rsidRPr="00813D19">
        <w:rPr>
          <w:lang w:val="en-US"/>
        </w:rPr>
        <w:t>the five criteria</w:t>
      </w:r>
      <w:r w:rsidR="00AB050A" w:rsidRPr="00813D19">
        <w:rPr>
          <w:lang w:val="en-US"/>
        </w:rPr>
        <w:t>.</w:t>
      </w:r>
      <w:r w:rsidR="00B46463" w:rsidRPr="00813D19">
        <w:rPr>
          <w:lang w:val="en-US"/>
        </w:rPr>
        <w:t xml:space="preserve"> </w:t>
      </w:r>
      <w:r w:rsidR="00AB050A" w:rsidRPr="00813D19">
        <w:rPr>
          <w:lang w:val="en-US"/>
        </w:rPr>
        <w:t xml:space="preserve">It was noted that </w:t>
      </w:r>
      <w:r w:rsidR="00B46463" w:rsidRPr="00813D19">
        <w:rPr>
          <w:lang w:val="en-US"/>
        </w:rPr>
        <w:t xml:space="preserve">all the referred files </w:t>
      </w:r>
      <w:r w:rsidR="00AB050A" w:rsidRPr="00813D19">
        <w:rPr>
          <w:lang w:val="en-US"/>
        </w:rPr>
        <w:t xml:space="preserve">had </w:t>
      </w:r>
      <w:r w:rsidR="00B46463" w:rsidRPr="00813D19">
        <w:rPr>
          <w:lang w:val="en-US"/>
        </w:rPr>
        <w:t>a problem with R.2</w:t>
      </w:r>
      <w:r w:rsidR="00AB050A" w:rsidRPr="00813D19">
        <w:rPr>
          <w:lang w:val="en-US"/>
        </w:rPr>
        <w:t>,</w:t>
      </w:r>
      <w:r w:rsidR="00B46463" w:rsidRPr="00813D19">
        <w:rPr>
          <w:lang w:val="en-US"/>
        </w:rPr>
        <w:t xml:space="preserve"> but </w:t>
      </w:r>
      <w:r w:rsidR="00AB050A" w:rsidRPr="00813D19">
        <w:rPr>
          <w:lang w:val="en-US"/>
        </w:rPr>
        <w:t>in R.3—</w:t>
      </w:r>
      <w:r w:rsidR="00B46463" w:rsidRPr="00813D19">
        <w:rPr>
          <w:lang w:val="en-US"/>
        </w:rPr>
        <w:t xml:space="preserve">the most important criterion </w:t>
      </w:r>
      <w:r w:rsidR="00AB050A" w:rsidRPr="00813D19">
        <w:rPr>
          <w:lang w:val="en-US"/>
        </w:rPr>
        <w:t>that go</w:t>
      </w:r>
      <w:r w:rsidR="00DD40F3" w:rsidRPr="00813D19">
        <w:rPr>
          <w:lang w:val="en-US"/>
        </w:rPr>
        <w:t>es</w:t>
      </w:r>
      <w:r w:rsidR="00AB050A" w:rsidRPr="00813D19">
        <w:rPr>
          <w:lang w:val="en-US"/>
        </w:rPr>
        <w:t xml:space="preserve"> to the heart of the </w:t>
      </w:r>
      <w:r w:rsidR="002A0BC6" w:rsidRPr="00813D19">
        <w:rPr>
          <w:lang w:val="en-US"/>
        </w:rPr>
        <w:t xml:space="preserve">purpose of the </w:t>
      </w:r>
      <w:r w:rsidR="00AB050A" w:rsidRPr="00813D19">
        <w:rPr>
          <w:lang w:val="en-US"/>
        </w:rPr>
        <w:t xml:space="preserve">Convention—the </w:t>
      </w:r>
      <w:r w:rsidR="00B46463" w:rsidRPr="00813D19">
        <w:rPr>
          <w:lang w:val="en-US"/>
        </w:rPr>
        <w:t xml:space="preserve">remarks </w:t>
      </w:r>
      <w:r w:rsidR="00AB050A" w:rsidRPr="00813D19">
        <w:rPr>
          <w:lang w:val="en-US"/>
        </w:rPr>
        <w:t xml:space="preserve">by </w:t>
      </w:r>
      <w:r w:rsidR="00B46463" w:rsidRPr="00813D19">
        <w:rPr>
          <w:lang w:val="en-US"/>
        </w:rPr>
        <w:t xml:space="preserve">the Evaluation Body </w:t>
      </w:r>
      <w:r w:rsidR="00AB050A" w:rsidRPr="00813D19">
        <w:rPr>
          <w:lang w:val="en-US"/>
        </w:rPr>
        <w:t xml:space="preserve">on this file were </w:t>
      </w:r>
      <w:r w:rsidR="00B46463" w:rsidRPr="00813D19">
        <w:rPr>
          <w:lang w:val="en-US"/>
        </w:rPr>
        <w:t>pertinent</w:t>
      </w:r>
      <w:r w:rsidR="00AB050A" w:rsidRPr="00813D19">
        <w:rPr>
          <w:lang w:val="en-US"/>
        </w:rPr>
        <w:t>.</w:t>
      </w:r>
      <w:r w:rsidR="00B46463" w:rsidRPr="00813D19">
        <w:rPr>
          <w:lang w:val="en-US"/>
        </w:rPr>
        <w:t xml:space="preserve"> </w:t>
      </w:r>
      <w:r w:rsidR="002A0BC6" w:rsidRPr="00813D19">
        <w:rPr>
          <w:lang w:val="en-US"/>
        </w:rPr>
        <w:t xml:space="preserve">For this reason, the delegation asked that </w:t>
      </w:r>
      <w:r w:rsidR="00B46463" w:rsidRPr="00813D19">
        <w:rPr>
          <w:lang w:val="en-US"/>
        </w:rPr>
        <w:t xml:space="preserve">the Committee </w:t>
      </w:r>
      <w:r w:rsidR="002A0BC6" w:rsidRPr="00813D19">
        <w:rPr>
          <w:lang w:val="en-US"/>
        </w:rPr>
        <w:t>allow Jordan</w:t>
      </w:r>
      <w:r w:rsidR="00B46463" w:rsidRPr="00813D19">
        <w:rPr>
          <w:lang w:val="en-US"/>
        </w:rPr>
        <w:t xml:space="preserve"> to answer the concerns raised</w:t>
      </w:r>
      <w:r w:rsidR="00DD40F3" w:rsidRPr="00813D19">
        <w:rPr>
          <w:lang w:val="en-US"/>
        </w:rPr>
        <w:t>, especially in R.</w:t>
      </w:r>
      <w:r w:rsidR="002A0BC6" w:rsidRPr="00813D19">
        <w:rPr>
          <w:lang w:val="en-US"/>
        </w:rPr>
        <w:t>3. F</w:t>
      </w:r>
      <w:r w:rsidR="00B46463" w:rsidRPr="00813D19">
        <w:rPr>
          <w:lang w:val="en-US"/>
        </w:rPr>
        <w:t>or example</w:t>
      </w:r>
      <w:r w:rsidR="002A0BC6" w:rsidRPr="00813D19">
        <w:rPr>
          <w:lang w:val="en-US"/>
        </w:rPr>
        <w:t>, on</w:t>
      </w:r>
      <w:r w:rsidR="00B46463" w:rsidRPr="00813D19">
        <w:rPr>
          <w:lang w:val="en-US"/>
        </w:rPr>
        <w:t xml:space="preserve"> the involvement of communities in preparing the </w:t>
      </w:r>
      <w:r w:rsidR="00DD40F3" w:rsidRPr="00813D19">
        <w:rPr>
          <w:lang w:val="en-US"/>
        </w:rPr>
        <w:t>safeguarding plan</w:t>
      </w:r>
      <w:r w:rsidR="002A0BC6" w:rsidRPr="00813D19">
        <w:rPr>
          <w:lang w:val="en-US"/>
        </w:rPr>
        <w:t xml:space="preserve"> and </w:t>
      </w:r>
      <w:r w:rsidR="00B46463" w:rsidRPr="00813D19">
        <w:rPr>
          <w:lang w:val="en-US"/>
        </w:rPr>
        <w:t>the roles of these communities in its implementation</w:t>
      </w:r>
      <w:r w:rsidR="002A0BC6" w:rsidRPr="00813D19">
        <w:rPr>
          <w:lang w:val="en-US"/>
        </w:rPr>
        <w:t xml:space="preserve">, which </w:t>
      </w:r>
      <w:r w:rsidR="00B46463" w:rsidRPr="00813D19">
        <w:rPr>
          <w:lang w:val="en-US"/>
        </w:rPr>
        <w:t xml:space="preserve">the Evaluation Body </w:t>
      </w:r>
      <w:r w:rsidR="002A0BC6" w:rsidRPr="00813D19">
        <w:rPr>
          <w:lang w:val="en-US"/>
        </w:rPr>
        <w:t>found unclear</w:t>
      </w:r>
      <w:r w:rsidR="00B46463" w:rsidRPr="00813D19">
        <w:rPr>
          <w:lang w:val="en-US"/>
        </w:rPr>
        <w:t xml:space="preserve">. </w:t>
      </w:r>
      <w:r w:rsidR="002A0BC6" w:rsidRPr="00813D19">
        <w:rPr>
          <w:lang w:val="en-US"/>
        </w:rPr>
        <w:t xml:space="preserve">In addition, there was </w:t>
      </w:r>
      <w:r w:rsidR="00B46463" w:rsidRPr="00813D19">
        <w:rPr>
          <w:lang w:val="en-US"/>
        </w:rPr>
        <w:t xml:space="preserve">the question of </w:t>
      </w:r>
      <w:r w:rsidR="002A0BC6" w:rsidRPr="00813D19">
        <w:rPr>
          <w:lang w:val="en-US"/>
        </w:rPr>
        <w:t>‘</w:t>
      </w:r>
      <w:r w:rsidR="00B46463" w:rsidRPr="00813D19">
        <w:rPr>
          <w:lang w:val="en-US"/>
        </w:rPr>
        <w:t>freezing</w:t>
      </w:r>
      <w:r w:rsidR="002A0BC6" w:rsidRPr="00813D19">
        <w:rPr>
          <w:lang w:val="en-US"/>
        </w:rPr>
        <w:t>’</w:t>
      </w:r>
      <w:r w:rsidR="00B46463" w:rsidRPr="00813D19">
        <w:rPr>
          <w:lang w:val="en-US"/>
        </w:rPr>
        <w:t xml:space="preserve"> the element</w:t>
      </w:r>
      <w:r w:rsidR="002A0BC6" w:rsidRPr="00813D19">
        <w:rPr>
          <w:lang w:val="en-US"/>
        </w:rPr>
        <w:t>,</w:t>
      </w:r>
      <w:r w:rsidR="00B46463" w:rsidRPr="00813D19">
        <w:rPr>
          <w:lang w:val="en-US"/>
        </w:rPr>
        <w:t xml:space="preserve"> </w:t>
      </w:r>
      <w:r w:rsidR="002A0BC6" w:rsidRPr="00813D19">
        <w:rPr>
          <w:lang w:val="en-US"/>
        </w:rPr>
        <w:t xml:space="preserve">when </w:t>
      </w:r>
      <w:r w:rsidR="00B46463" w:rsidRPr="00813D19">
        <w:rPr>
          <w:lang w:val="en-US"/>
        </w:rPr>
        <w:t>intangible cultural herit</w:t>
      </w:r>
      <w:r w:rsidR="002A0BC6" w:rsidRPr="00813D19">
        <w:rPr>
          <w:lang w:val="en-US"/>
        </w:rPr>
        <w:t>age elements should be evolving</w:t>
      </w:r>
      <w:r w:rsidR="00E72560">
        <w:rPr>
          <w:lang w:val="en-US"/>
        </w:rPr>
        <w:t>.</w:t>
      </w:r>
    </w:p>
    <w:p w14:paraId="3B01D267" w14:textId="3BF10DB8" w:rsidR="00A46EA0" w:rsidRPr="00813D19" w:rsidRDefault="00A46EA0"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Kuwait</w:t>
      </w:r>
      <w:r w:rsidR="00B46463" w:rsidRPr="00813D19">
        <w:rPr>
          <w:b/>
          <w:color w:val="000000" w:themeColor="text1"/>
          <w:lang w:val="en-US"/>
        </w:rPr>
        <w:t xml:space="preserve"> </w:t>
      </w:r>
      <w:r w:rsidR="00B46463" w:rsidRPr="00813D19">
        <w:rPr>
          <w:bCs/>
          <w:lang w:val="en-US"/>
        </w:rPr>
        <w:t>thank</w:t>
      </w:r>
      <w:r w:rsidR="00DD640E" w:rsidRPr="00813D19">
        <w:rPr>
          <w:bCs/>
          <w:lang w:val="en-US"/>
        </w:rPr>
        <w:t>ed</w:t>
      </w:r>
      <w:r w:rsidR="00B46463" w:rsidRPr="00813D19">
        <w:rPr>
          <w:bCs/>
          <w:lang w:val="en-US"/>
        </w:rPr>
        <w:t xml:space="preserve"> the Evaluation Body </w:t>
      </w:r>
      <w:r w:rsidR="002A0BC6" w:rsidRPr="00813D19">
        <w:rPr>
          <w:bCs/>
          <w:lang w:val="en-US"/>
        </w:rPr>
        <w:t xml:space="preserve">for its </w:t>
      </w:r>
      <w:r w:rsidR="00B46463" w:rsidRPr="00813D19">
        <w:rPr>
          <w:bCs/>
          <w:lang w:val="en-US"/>
        </w:rPr>
        <w:t xml:space="preserve">work. With regard to the As-Samer file, it is a vital element of Jordan’s </w:t>
      </w:r>
      <w:r w:rsidR="002A0BC6" w:rsidRPr="00813D19">
        <w:rPr>
          <w:bCs/>
          <w:lang w:val="en-US"/>
        </w:rPr>
        <w:t xml:space="preserve">intangible cultural heritage </w:t>
      </w:r>
      <w:r w:rsidR="00B46463" w:rsidRPr="00813D19">
        <w:rPr>
          <w:bCs/>
          <w:lang w:val="en-US"/>
        </w:rPr>
        <w:t xml:space="preserve">and is widely present in the </w:t>
      </w:r>
      <w:r w:rsidR="008005FA" w:rsidRPr="00813D19">
        <w:rPr>
          <w:bCs/>
          <w:lang w:val="en-US"/>
        </w:rPr>
        <w:t>li</w:t>
      </w:r>
      <w:r w:rsidR="008005FA">
        <w:rPr>
          <w:bCs/>
          <w:lang w:val="en-US"/>
        </w:rPr>
        <w:t>ves</w:t>
      </w:r>
      <w:r w:rsidR="008005FA" w:rsidRPr="00813D19">
        <w:rPr>
          <w:bCs/>
          <w:lang w:val="en-US"/>
        </w:rPr>
        <w:t xml:space="preserve"> </w:t>
      </w:r>
      <w:r w:rsidR="00B46463" w:rsidRPr="00813D19">
        <w:rPr>
          <w:bCs/>
          <w:lang w:val="en-US"/>
        </w:rPr>
        <w:t>of individuals and communities. The fact that it is performed at major private and public gatherings</w:t>
      </w:r>
      <w:r w:rsidR="002A0BC6" w:rsidRPr="00813D19">
        <w:rPr>
          <w:bCs/>
          <w:lang w:val="en-US"/>
        </w:rPr>
        <w:t>,</w:t>
      </w:r>
      <w:r w:rsidR="00B46463" w:rsidRPr="00813D19">
        <w:rPr>
          <w:bCs/>
          <w:lang w:val="en-US"/>
        </w:rPr>
        <w:t xml:space="preserve"> as well as </w:t>
      </w:r>
      <w:r w:rsidR="002A0BC6" w:rsidRPr="00813D19">
        <w:rPr>
          <w:bCs/>
          <w:lang w:val="en-US"/>
        </w:rPr>
        <w:t xml:space="preserve">in a </w:t>
      </w:r>
      <w:r w:rsidR="00B46463" w:rsidRPr="00813D19">
        <w:rPr>
          <w:bCs/>
          <w:lang w:val="en-US"/>
        </w:rPr>
        <w:t xml:space="preserve">number of </w:t>
      </w:r>
      <w:r w:rsidR="002A0BC6" w:rsidRPr="00813D19">
        <w:rPr>
          <w:bCs/>
          <w:lang w:val="en-US"/>
        </w:rPr>
        <w:t xml:space="preserve">large </w:t>
      </w:r>
      <w:r w:rsidR="00B46463" w:rsidRPr="00813D19">
        <w:rPr>
          <w:bCs/>
          <w:lang w:val="en-US"/>
        </w:rPr>
        <w:t>folklore ensembles</w:t>
      </w:r>
      <w:r w:rsidR="008005FA">
        <w:rPr>
          <w:bCs/>
          <w:lang w:val="en-US"/>
        </w:rPr>
        <w:t>,</w:t>
      </w:r>
      <w:r w:rsidR="00B46463" w:rsidRPr="00813D19">
        <w:rPr>
          <w:bCs/>
          <w:lang w:val="en-US"/>
        </w:rPr>
        <w:t xml:space="preserve"> show</w:t>
      </w:r>
      <w:r w:rsidR="002A0BC6" w:rsidRPr="00813D19">
        <w:rPr>
          <w:bCs/>
          <w:lang w:val="en-US"/>
        </w:rPr>
        <w:t>ed</w:t>
      </w:r>
      <w:r w:rsidR="00B46463" w:rsidRPr="00813D19">
        <w:rPr>
          <w:bCs/>
          <w:lang w:val="en-US"/>
        </w:rPr>
        <w:t xml:space="preserve"> </w:t>
      </w:r>
      <w:r w:rsidR="002A0BC6" w:rsidRPr="00813D19">
        <w:rPr>
          <w:bCs/>
          <w:lang w:val="en-US"/>
        </w:rPr>
        <w:t xml:space="preserve">the </w:t>
      </w:r>
      <w:r w:rsidR="00B46463" w:rsidRPr="00813D19">
        <w:rPr>
          <w:bCs/>
          <w:lang w:val="en-US"/>
        </w:rPr>
        <w:t xml:space="preserve">strong desire of </w:t>
      </w:r>
      <w:r w:rsidR="002A0BC6" w:rsidRPr="00813D19">
        <w:rPr>
          <w:bCs/>
          <w:lang w:val="en-US"/>
        </w:rPr>
        <w:t xml:space="preserve">the </w:t>
      </w:r>
      <w:r w:rsidR="00B46463" w:rsidRPr="00813D19">
        <w:rPr>
          <w:bCs/>
          <w:lang w:val="en-US"/>
        </w:rPr>
        <w:t xml:space="preserve">individuals, communities and institutions </w:t>
      </w:r>
      <w:r w:rsidR="002A0BC6" w:rsidRPr="00813D19">
        <w:rPr>
          <w:bCs/>
          <w:lang w:val="en-US"/>
        </w:rPr>
        <w:t xml:space="preserve">involved to inscribe the element </w:t>
      </w:r>
      <w:r w:rsidR="00B46463" w:rsidRPr="00813D19">
        <w:rPr>
          <w:bCs/>
          <w:lang w:val="en-US"/>
        </w:rPr>
        <w:t xml:space="preserve">to facilitate </w:t>
      </w:r>
      <w:r w:rsidR="002A0BC6" w:rsidRPr="00813D19">
        <w:rPr>
          <w:bCs/>
          <w:lang w:val="en-US"/>
        </w:rPr>
        <w:t xml:space="preserve">its survival and transmission, </w:t>
      </w:r>
      <w:r w:rsidR="00B46463" w:rsidRPr="00813D19">
        <w:rPr>
          <w:bCs/>
          <w:lang w:val="en-US"/>
        </w:rPr>
        <w:t xml:space="preserve">and to </w:t>
      </w:r>
      <w:r w:rsidR="008005FA" w:rsidRPr="00813D19">
        <w:rPr>
          <w:bCs/>
          <w:lang w:val="en-US"/>
        </w:rPr>
        <w:t>emphasi</w:t>
      </w:r>
      <w:r w:rsidR="008005FA">
        <w:rPr>
          <w:bCs/>
          <w:lang w:val="en-US"/>
        </w:rPr>
        <w:t>ze</w:t>
      </w:r>
      <w:r w:rsidR="008005FA" w:rsidRPr="00813D19">
        <w:rPr>
          <w:bCs/>
          <w:lang w:val="en-US"/>
        </w:rPr>
        <w:t xml:space="preserve"> </w:t>
      </w:r>
      <w:r w:rsidR="00B46463" w:rsidRPr="00813D19">
        <w:rPr>
          <w:bCs/>
          <w:lang w:val="en-US"/>
        </w:rPr>
        <w:t xml:space="preserve">its importance. </w:t>
      </w:r>
      <w:r w:rsidR="002A0BC6" w:rsidRPr="00813D19">
        <w:rPr>
          <w:bCs/>
          <w:lang w:val="en-US"/>
        </w:rPr>
        <w:t xml:space="preserve">The delegation wished to hear from the submitting State on how </w:t>
      </w:r>
      <w:r w:rsidR="00B46463" w:rsidRPr="00813D19">
        <w:rPr>
          <w:bCs/>
          <w:lang w:val="en-US"/>
        </w:rPr>
        <w:t xml:space="preserve">the communities, groups and individuals were involved in </w:t>
      </w:r>
      <w:r w:rsidR="002A0BC6" w:rsidRPr="00813D19">
        <w:rPr>
          <w:bCs/>
          <w:lang w:val="en-US"/>
        </w:rPr>
        <w:t xml:space="preserve">the </w:t>
      </w:r>
      <w:r w:rsidR="00B46463" w:rsidRPr="00813D19">
        <w:rPr>
          <w:bCs/>
          <w:lang w:val="en-US"/>
        </w:rPr>
        <w:t>safeguarding measure</w:t>
      </w:r>
      <w:r w:rsidR="002A0BC6" w:rsidRPr="00813D19">
        <w:rPr>
          <w:bCs/>
          <w:lang w:val="en-US"/>
        </w:rPr>
        <w:t xml:space="preserve">s, as well as </w:t>
      </w:r>
      <w:r w:rsidR="00B46463" w:rsidRPr="00813D19">
        <w:rPr>
          <w:bCs/>
          <w:lang w:val="en-US"/>
        </w:rPr>
        <w:t>the role of practitioners in the implemen</w:t>
      </w:r>
      <w:r w:rsidR="002A0BC6" w:rsidRPr="00813D19">
        <w:rPr>
          <w:bCs/>
          <w:lang w:val="en-US"/>
        </w:rPr>
        <w:t>tation of the safeguarding plan, as these points were unclear.</w:t>
      </w:r>
    </w:p>
    <w:p w14:paraId="28518EE9" w14:textId="2B8ECBD8" w:rsidR="00A46EA0" w:rsidRPr="00813D19" w:rsidRDefault="00A46EA0" w:rsidP="002D3A5B">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Kazakhstan</w:t>
      </w:r>
      <w:r w:rsidR="00B46463" w:rsidRPr="00813D19">
        <w:rPr>
          <w:b/>
          <w:color w:val="000000" w:themeColor="text1"/>
          <w:lang w:val="en-US"/>
        </w:rPr>
        <w:t xml:space="preserve"> </w:t>
      </w:r>
      <w:r w:rsidR="00B46463" w:rsidRPr="00813D19">
        <w:rPr>
          <w:bCs/>
          <w:lang w:val="en-US"/>
        </w:rPr>
        <w:t>express</w:t>
      </w:r>
      <w:r w:rsidR="00DD640E" w:rsidRPr="00813D19">
        <w:rPr>
          <w:bCs/>
          <w:lang w:val="en-US"/>
        </w:rPr>
        <w:t>ed</w:t>
      </w:r>
      <w:r w:rsidR="00B46463" w:rsidRPr="00813D19">
        <w:rPr>
          <w:bCs/>
          <w:lang w:val="en-US"/>
        </w:rPr>
        <w:t xml:space="preserve"> </w:t>
      </w:r>
      <w:r w:rsidR="008005FA">
        <w:rPr>
          <w:bCs/>
          <w:lang w:val="en-US"/>
        </w:rPr>
        <w:t xml:space="preserve">its </w:t>
      </w:r>
      <w:r w:rsidR="00B46463" w:rsidRPr="00813D19">
        <w:rPr>
          <w:bCs/>
          <w:lang w:val="en-US"/>
        </w:rPr>
        <w:t xml:space="preserve">appreciation of the great work </w:t>
      </w:r>
      <w:r w:rsidR="00C31A69" w:rsidRPr="00813D19">
        <w:rPr>
          <w:bCs/>
          <w:lang w:val="en-US"/>
        </w:rPr>
        <w:t xml:space="preserve">carried out </w:t>
      </w:r>
      <w:r w:rsidR="00B46463" w:rsidRPr="00813D19">
        <w:rPr>
          <w:bCs/>
          <w:lang w:val="en-US"/>
        </w:rPr>
        <w:t xml:space="preserve">by the Evaluation Body </w:t>
      </w:r>
      <w:r w:rsidR="00C31A69" w:rsidRPr="00813D19">
        <w:rPr>
          <w:bCs/>
          <w:lang w:val="en-US"/>
        </w:rPr>
        <w:t xml:space="preserve">in its </w:t>
      </w:r>
      <w:r w:rsidR="00B46463" w:rsidRPr="00813D19">
        <w:rPr>
          <w:bCs/>
          <w:lang w:val="en-US"/>
        </w:rPr>
        <w:t xml:space="preserve">consideration of this file </w:t>
      </w:r>
      <w:r w:rsidR="00C31A69" w:rsidRPr="00813D19">
        <w:rPr>
          <w:bCs/>
          <w:lang w:val="en-US"/>
        </w:rPr>
        <w:t xml:space="preserve">and the </w:t>
      </w:r>
      <w:r w:rsidR="00B46463" w:rsidRPr="00813D19">
        <w:rPr>
          <w:bCs/>
          <w:lang w:val="en-US"/>
        </w:rPr>
        <w:t xml:space="preserve">important remarks </w:t>
      </w:r>
      <w:r w:rsidR="00C31A69" w:rsidRPr="00813D19">
        <w:rPr>
          <w:bCs/>
          <w:lang w:val="en-US"/>
        </w:rPr>
        <w:t>made</w:t>
      </w:r>
      <w:r w:rsidR="00B46463" w:rsidRPr="00813D19">
        <w:rPr>
          <w:bCs/>
          <w:lang w:val="en-US"/>
        </w:rPr>
        <w:t>. However, in response to the visibility and human creativity requirements for inscription</w:t>
      </w:r>
      <w:r w:rsidR="005F4336" w:rsidRPr="00813D19">
        <w:rPr>
          <w:bCs/>
          <w:lang w:val="en-US"/>
        </w:rPr>
        <w:t>, the delegation believed that</w:t>
      </w:r>
      <w:r w:rsidR="00B46463" w:rsidRPr="00813D19">
        <w:rPr>
          <w:bCs/>
          <w:lang w:val="en-US"/>
        </w:rPr>
        <w:t xml:space="preserve"> As-Samer promote</w:t>
      </w:r>
      <w:r w:rsidR="005F4336" w:rsidRPr="00813D19">
        <w:rPr>
          <w:bCs/>
          <w:lang w:val="en-US"/>
        </w:rPr>
        <w:t>d</w:t>
      </w:r>
      <w:r w:rsidR="00B46463" w:rsidRPr="00813D19">
        <w:rPr>
          <w:bCs/>
          <w:lang w:val="en-US"/>
        </w:rPr>
        <w:t xml:space="preserve"> heritage rituals and ethnic wedding ceremoni</w:t>
      </w:r>
      <w:r w:rsidR="00C31A69" w:rsidRPr="00813D19">
        <w:rPr>
          <w:bCs/>
          <w:lang w:val="en-US"/>
        </w:rPr>
        <w:t xml:space="preserve">es in Jordan </w:t>
      </w:r>
      <w:r w:rsidR="005F4336" w:rsidRPr="00813D19">
        <w:rPr>
          <w:bCs/>
          <w:lang w:val="en-US"/>
        </w:rPr>
        <w:t>and abroad, and the w</w:t>
      </w:r>
      <w:r w:rsidR="00B46463" w:rsidRPr="00813D19">
        <w:rPr>
          <w:bCs/>
          <w:lang w:val="en-US"/>
        </w:rPr>
        <w:t xml:space="preserve">ider practice of cherishing family values, tribal affiliations, </w:t>
      </w:r>
      <w:r w:rsidR="005F4336" w:rsidRPr="00813D19">
        <w:rPr>
          <w:bCs/>
          <w:lang w:val="en-US"/>
        </w:rPr>
        <w:t xml:space="preserve">interaction of youth and elders, </w:t>
      </w:r>
      <w:r w:rsidR="00B46463" w:rsidRPr="00813D19">
        <w:rPr>
          <w:bCs/>
          <w:lang w:val="en-US"/>
        </w:rPr>
        <w:t>attract</w:t>
      </w:r>
      <w:r w:rsidR="005F4336" w:rsidRPr="00813D19">
        <w:rPr>
          <w:bCs/>
          <w:lang w:val="en-US"/>
        </w:rPr>
        <w:t>ing</w:t>
      </w:r>
      <w:r w:rsidR="00B46463" w:rsidRPr="00813D19">
        <w:rPr>
          <w:bCs/>
          <w:lang w:val="en-US"/>
        </w:rPr>
        <w:t xml:space="preserve"> local use, media and researchers to observe, participate and document different aspects of As-Samer. The nomination underl</w:t>
      </w:r>
      <w:r w:rsidR="005F4336" w:rsidRPr="00813D19">
        <w:rPr>
          <w:bCs/>
          <w:lang w:val="en-US"/>
        </w:rPr>
        <w:t>ined</w:t>
      </w:r>
      <w:r w:rsidR="00B46463" w:rsidRPr="00813D19">
        <w:rPr>
          <w:bCs/>
          <w:lang w:val="en-US"/>
        </w:rPr>
        <w:t xml:space="preserve"> that inscription shall dep</w:t>
      </w:r>
      <w:r w:rsidR="005F4336" w:rsidRPr="00813D19">
        <w:rPr>
          <w:bCs/>
          <w:lang w:val="en-US"/>
        </w:rPr>
        <w:t xml:space="preserve">ict Jordan’s cultural diversity as </w:t>
      </w:r>
      <w:r w:rsidR="00B46463" w:rsidRPr="00813D19">
        <w:rPr>
          <w:bCs/>
          <w:lang w:val="en-US"/>
        </w:rPr>
        <w:t>a rich variety of folk costumes, ancient ri</w:t>
      </w:r>
      <w:r w:rsidR="005F4336" w:rsidRPr="00813D19">
        <w:rPr>
          <w:bCs/>
          <w:lang w:val="en-US"/>
        </w:rPr>
        <w:t xml:space="preserve">tuals, music and dance elements, </w:t>
      </w:r>
      <w:r w:rsidR="00B46463" w:rsidRPr="00813D19">
        <w:rPr>
          <w:bCs/>
          <w:lang w:val="en-US"/>
        </w:rPr>
        <w:t xml:space="preserve">finding common historic roots with other cultures, </w:t>
      </w:r>
      <w:r w:rsidR="005F4336" w:rsidRPr="00813D19">
        <w:rPr>
          <w:bCs/>
          <w:lang w:val="en-US"/>
        </w:rPr>
        <w:t xml:space="preserve">and </w:t>
      </w:r>
      <w:r w:rsidR="00B46463" w:rsidRPr="00813D19">
        <w:rPr>
          <w:bCs/>
          <w:lang w:val="en-US"/>
        </w:rPr>
        <w:t>not necessarily neighbo</w:t>
      </w:r>
      <w:r w:rsidR="00FB131E">
        <w:rPr>
          <w:bCs/>
          <w:lang w:val="en-US"/>
        </w:rPr>
        <w:t>u</w:t>
      </w:r>
      <w:r w:rsidR="00B46463" w:rsidRPr="00813D19">
        <w:rPr>
          <w:bCs/>
          <w:lang w:val="en-US"/>
        </w:rPr>
        <w:t xml:space="preserve">ring ones. </w:t>
      </w:r>
      <w:r w:rsidR="005F4336" w:rsidRPr="00813D19">
        <w:rPr>
          <w:bCs/>
          <w:lang w:val="en-US"/>
        </w:rPr>
        <w:t xml:space="preserve">The great </w:t>
      </w:r>
      <w:r w:rsidR="00B46463" w:rsidRPr="00813D19">
        <w:rPr>
          <w:bCs/>
          <w:lang w:val="en-US"/>
        </w:rPr>
        <w:t xml:space="preserve">concern and commitment </w:t>
      </w:r>
      <w:r w:rsidR="005F4336" w:rsidRPr="00813D19">
        <w:rPr>
          <w:bCs/>
          <w:lang w:val="en-US"/>
        </w:rPr>
        <w:t>expressed by the G</w:t>
      </w:r>
      <w:r w:rsidR="00B46463" w:rsidRPr="00813D19">
        <w:rPr>
          <w:bCs/>
          <w:lang w:val="en-US"/>
        </w:rPr>
        <w:t xml:space="preserve">overnment to safeguard the element </w:t>
      </w:r>
      <w:r w:rsidR="005F4336" w:rsidRPr="00813D19">
        <w:rPr>
          <w:bCs/>
          <w:lang w:val="en-US"/>
        </w:rPr>
        <w:t xml:space="preserve">was also acknowledged, and </w:t>
      </w:r>
      <w:r w:rsidR="00B46463" w:rsidRPr="00813D19">
        <w:rPr>
          <w:bCs/>
          <w:lang w:val="en-US"/>
        </w:rPr>
        <w:t>many measures</w:t>
      </w:r>
      <w:r w:rsidR="005F4336" w:rsidRPr="00813D19">
        <w:rPr>
          <w:bCs/>
          <w:lang w:val="en-US"/>
        </w:rPr>
        <w:t>,</w:t>
      </w:r>
      <w:r w:rsidR="00B46463" w:rsidRPr="00813D19">
        <w:rPr>
          <w:bCs/>
          <w:lang w:val="en-US"/>
        </w:rPr>
        <w:t xml:space="preserve"> including</w:t>
      </w:r>
      <w:r w:rsidR="00D24EF3">
        <w:rPr>
          <w:bCs/>
          <w:lang w:val="en-US"/>
        </w:rPr>
        <w:t xml:space="preserve"> </w:t>
      </w:r>
      <w:r w:rsidR="00B46463" w:rsidRPr="00813D19">
        <w:rPr>
          <w:bCs/>
          <w:lang w:val="en-US"/>
        </w:rPr>
        <w:t>establishing a higher committee of experts and bearers</w:t>
      </w:r>
      <w:r w:rsidR="005F4336" w:rsidRPr="00813D19">
        <w:rPr>
          <w:bCs/>
          <w:lang w:val="en-US"/>
        </w:rPr>
        <w:t xml:space="preserve">, </w:t>
      </w:r>
      <w:r w:rsidR="00D24EF3" w:rsidRPr="00813D19">
        <w:rPr>
          <w:bCs/>
          <w:lang w:val="en-US"/>
        </w:rPr>
        <w:t>w</w:t>
      </w:r>
      <w:r w:rsidR="00D24EF3">
        <w:rPr>
          <w:bCs/>
          <w:lang w:val="en-US"/>
        </w:rPr>
        <w:t>ere</w:t>
      </w:r>
      <w:r w:rsidR="00D24EF3" w:rsidRPr="00813D19">
        <w:rPr>
          <w:bCs/>
          <w:lang w:val="en-US"/>
        </w:rPr>
        <w:t xml:space="preserve"> </w:t>
      </w:r>
      <w:r w:rsidR="005F4336" w:rsidRPr="00813D19">
        <w:rPr>
          <w:bCs/>
          <w:lang w:val="en-US"/>
        </w:rPr>
        <w:t>noted</w:t>
      </w:r>
      <w:r w:rsidR="00B46463" w:rsidRPr="00813D19">
        <w:rPr>
          <w:bCs/>
          <w:lang w:val="en-US"/>
        </w:rPr>
        <w:t xml:space="preserve">. The ritualistic nature of As-Samer </w:t>
      </w:r>
      <w:r w:rsidR="005F4336" w:rsidRPr="00813D19">
        <w:rPr>
          <w:bCs/>
          <w:lang w:val="en-US"/>
        </w:rPr>
        <w:t>sustained</w:t>
      </w:r>
      <w:r w:rsidR="00B46463" w:rsidRPr="00813D19">
        <w:rPr>
          <w:bCs/>
          <w:lang w:val="en-US"/>
        </w:rPr>
        <w:t xml:space="preserve"> in different </w:t>
      </w:r>
      <w:r w:rsidR="005F4336" w:rsidRPr="00813D19">
        <w:rPr>
          <w:bCs/>
          <w:lang w:val="en-US"/>
        </w:rPr>
        <w:t>clans and communities emphasized</w:t>
      </w:r>
      <w:r w:rsidR="00B46463" w:rsidRPr="00813D19">
        <w:rPr>
          <w:bCs/>
          <w:lang w:val="en-US"/>
        </w:rPr>
        <w:t xml:space="preserve"> the importance of safeguarding its innate purpose and meaning. </w:t>
      </w:r>
      <w:r w:rsidR="005F4336" w:rsidRPr="00813D19">
        <w:rPr>
          <w:bCs/>
          <w:lang w:val="en-US"/>
        </w:rPr>
        <w:t xml:space="preserve">In this regard, the delegation </w:t>
      </w:r>
      <w:r w:rsidR="00B46463" w:rsidRPr="00813D19">
        <w:rPr>
          <w:bCs/>
          <w:lang w:val="en-US"/>
        </w:rPr>
        <w:t>suggest</w:t>
      </w:r>
      <w:r w:rsidR="005F4336" w:rsidRPr="00813D19">
        <w:rPr>
          <w:bCs/>
          <w:lang w:val="en-US"/>
        </w:rPr>
        <w:t>ed</w:t>
      </w:r>
      <w:r w:rsidR="00B46463" w:rsidRPr="00813D19">
        <w:rPr>
          <w:bCs/>
          <w:lang w:val="en-US"/>
        </w:rPr>
        <w:t xml:space="preserve"> </w:t>
      </w:r>
      <w:r w:rsidR="005F4336" w:rsidRPr="00813D19">
        <w:rPr>
          <w:bCs/>
          <w:lang w:val="en-US"/>
        </w:rPr>
        <w:t xml:space="preserve">that </w:t>
      </w:r>
      <w:r w:rsidR="00B46463" w:rsidRPr="00813D19">
        <w:rPr>
          <w:bCs/>
          <w:lang w:val="en-US"/>
        </w:rPr>
        <w:t xml:space="preserve">the wording </w:t>
      </w:r>
      <w:r w:rsidR="005F4336" w:rsidRPr="00813D19">
        <w:rPr>
          <w:bCs/>
          <w:lang w:val="en-US"/>
        </w:rPr>
        <w:t xml:space="preserve">used to </w:t>
      </w:r>
      <w:r w:rsidR="00B46463" w:rsidRPr="00813D19">
        <w:rPr>
          <w:bCs/>
          <w:lang w:val="en-US"/>
        </w:rPr>
        <w:t>en</w:t>
      </w:r>
      <w:r w:rsidR="005F4336" w:rsidRPr="00813D19">
        <w:rPr>
          <w:bCs/>
          <w:lang w:val="en-US"/>
        </w:rPr>
        <w:t>sure</w:t>
      </w:r>
      <w:r w:rsidR="00B46463" w:rsidRPr="00813D19">
        <w:rPr>
          <w:bCs/>
          <w:lang w:val="en-US"/>
        </w:rPr>
        <w:t xml:space="preserve"> no exposure </w:t>
      </w:r>
      <w:r w:rsidR="005F4336" w:rsidRPr="00813D19">
        <w:rPr>
          <w:bCs/>
          <w:lang w:val="en-US"/>
        </w:rPr>
        <w:t xml:space="preserve">of the element </w:t>
      </w:r>
      <w:r w:rsidR="00B46463" w:rsidRPr="00813D19">
        <w:rPr>
          <w:bCs/>
          <w:lang w:val="en-US"/>
        </w:rPr>
        <w:t xml:space="preserve">to any change </w:t>
      </w:r>
      <w:r w:rsidR="005F4336" w:rsidRPr="00813D19">
        <w:rPr>
          <w:bCs/>
          <w:lang w:val="en-US"/>
        </w:rPr>
        <w:t xml:space="preserve">was a way of </w:t>
      </w:r>
      <w:r w:rsidR="00B46463" w:rsidRPr="00813D19">
        <w:rPr>
          <w:bCs/>
          <w:lang w:val="en-US"/>
        </w:rPr>
        <w:t xml:space="preserve">protecting the element from distortion and commercialization. </w:t>
      </w:r>
      <w:r w:rsidR="005F4336" w:rsidRPr="00813D19">
        <w:rPr>
          <w:bCs/>
          <w:lang w:val="en-US"/>
        </w:rPr>
        <w:t xml:space="preserve">It therefore </w:t>
      </w:r>
      <w:r w:rsidR="00B46463" w:rsidRPr="00813D19">
        <w:rPr>
          <w:bCs/>
          <w:lang w:val="en-US"/>
        </w:rPr>
        <w:t>support</w:t>
      </w:r>
      <w:r w:rsidR="005F4336" w:rsidRPr="00813D19">
        <w:rPr>
          <w:bCs/>
          <w:lang w:val="en-US"/>
        </w:rPr>
        <w:t>ed</w:t>
      </w:r>
      <w:r w:rsidR="00B46463" w:rsidRPr="00813D19">
        <w:rPr>
          <w:bCs/>
          <w:lang w:val="en-US"/>
        </w:rPr>
        <w:t xml:space="preserve"> Palestine’s </w:t>
      </w:r>
      <w:r w:rsidR="005F4336" w:rsidRPr="00813D19">
        <w:rPr>
          <w:bCs/>
          <w:lang w:val="en-US"/>
        </w:rPr>
        <w:t xml:space="preserve">motion to open the file for debate, </w:t>
      </w:r>
      <w:r w:rsidR="00B46463" w:rsidRPr="00813D19">
        <w:rPr>
          <w:bCs/>
          <w:lang w:val="en-US"/>
        </w:rPr>
        <w:t xml:space="preserve">and </w:t>
      </w:r>
      <w:r w:rsidR="005F4336" w:rsidRPr="00813D19">
        <w:rPr>
          <w:bCs/>
          <w:lang w:val="en-US"/>
        </w:rPr>
        <w:t xml:space="preserve">it wished </w:t>
      </w:r>
      <w:r w:rsidR="00B46463" w:rsidRPr="00813D19">
        <w:rPr>
          <w:bCs/>
          <w:lang w:val="en-US"/>
        </w:rPr>
        <w:t>Jord</w:t>
      </w:r>
      <w:r w:rsidR="005F4336" w:rsidRPr="00813D19">
        <w:rPr>
          <w:bCs/>
          <w:lang w:val="en-US"/>
        </w:rPr>
        <w:t>an</w:t>
      </w:r>
      <w:r w:rsidR="00B46463" w:rsidRPr="00813D19">
        <w:rPr>
          <w:bCs/>
          <w:lang w:val="en-US"/>
        </w:rPr>
        <w:t xml:space="preserve"> </w:t>
      </w:r>
      <w:r w:rsidR="005F4336" w:rsidRPr="00813D19">
        <w:rPr>
          <w:bCs/>
          <w:lang w:val="en-US"/>
        </w:rPr>
        <w:t xml:space="preserve">to be given </w:t>
      </w:r>
      <w:r w:rsidR="00B46463" w:rsidRPr="00813D19">
        <w:rPr>
          <w:bCs/>
          <w:lang w:val="en-US"/>
        </w:rPr>
        <w:t xml:space="preserve">the floor to answer </w:t>
      </w:r>
      <w:r w:rsidR="00D24EF3">
        <w:rPr>
          <w:bCs/>
          <w:lang w:val="en-US"/>
        </w:rPr>
        <w:t>the</w:t>
      </w:r>
      <w:r w:rsidR="00D24EF3" w:rsidRPr="00813D19">
        <w:rPr>
          <w:bCs/>
          <w:lang w:val="en-US"/>
        </w:rPr>
        <w:t xml:space="preserve"> </w:t>
      </w:r>
      <w:r w:rsidR="005F4336" w:rsidRPr="00813D19">
        <w:rPr>
          <w:bCs/>
          <w:lang w:val="en-US"/>
        </w:rPr>
        <w:t>following question: H</w:t>
      </w:r>
      <w:r w:rsidR="00B46463" w:rsidRPr="00813D19">
        <w:rPr>
          <w:bCs/>
          <w:lang w:val="en-US"/>
        </w:rPr>
        <w:t xml:space="preserve">ow would </w:t>
      </w:r>
      <w:r w:rsidR="005F4336" w:rsidRPr="00813D19">
        <w:rPr>
          <w:bCs/>
          <w:lang w:val="en-US"/>
        </w:rPr>
        <w:t xml:space="preserve">it </w:t>
      </w:r>
      <w:r w:rsidR="00B46463" w:rsidRPr="00813D19">
        <w:rPr>
          <w:bCs/>
          <w:lang w:val="en-US"/>
        </w:rPr>
        <w:t>respond to the Evaluation Body’s remarks on the undesirability of establishing a spec</w:t>
      </w:r>
      <w:r w:rsidR="005F4336" w:rsidRPr="00813D19">
        <w:rPr>
          <w:bCs/>
          <w:lang w:val="en-US"/>
        </w:rPr>
        <w:t>ial higher committee under the Ministry of C</w:t>
      </w:r>
      <w:r w:rsidR="00E72560">
        <w:rPr>
          <w:bCs/>
          <w:lang w:val="en-US"/>
        </w:rPr>
        <w:t>ulture?</w:t>
      </w:r>
    </w:p>
    <w:p w14:paraId="637DFC94" w14:textId="45314A9B" w:rsidR="00E65D5D" w:rsidRPr="00813D19" w:rsidRDefault="00A46EA0"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Lebanon</w:t>
      </w:r>
      <w:r w:rsidR="00B46463" w:rsidRPr="00813D19">
        <w:rPr>
          <w:b/>
          <w:color w:val="000000" w:themeColor="text1"/>
          <w:lang w:val="en-US"/>
        </w:rPr>
        <w:t xml:space="preserve"> </w:t>
      </w:r>
      <w:r w:rsidR="00E65D5D" w:rsidRPr="00813D19">
        <w:rPr>
          <w:color w:val="000000" w:themeColor="text1"/>
          <w:lang w:val="en-US"/>
        </w:rPr>
        <w:t xml:space="preserve">congratulated the Evaluation Body for its painstaking work, and Jordan for its nomination file on As-Samer, a national but also regional dance performed on different occasions in all governorates of the country. The delegation supported the amendments presented by Palestine. It also sought information from Jordan on criterion R.3 in which it was mentioned that the Ministry of Culture planned to set up a senior committee of experts, specialists and practitioners to ensure that </w:t>
      </w:r>
      <w:r w:rsidR="008B316E" w:rsidRPr="00813D19">
        <w:rPr>
          <w:color w:val="000000" w:themeColor="text1"/>
          <w:lang w:val="en-US"/>
        </w:rPr>
        <w:t>th</w:t>
      </w:r>
      <w:r w:rsidR="008B316E">
        <w:rPr>
          <w:color w:val="000000" w:themeColor="text1"/>
          <w:lang w:val="en-US"/>
        </w:rPr>
        <w:t>e</w:t>
      </w:r>
      <w:r w:rsidR="008B316E" w:rsidRPr="00813D19">
        <w:rPr>
          <w:color w:val="000000" w:themeColor="text1"/>
          <w:lang w:val="en-US"/>
        </w:rPr>
        <w:t xml:space="preserve"> </w:t>
      </w:r>
      <w:r w:rsidR="00E65D5D" w:rsidRPr="00813D19">
        <w:rPr>
          <w:color w:val="000000" w:themeColor="text1"/>
          <w:lang w:val="en-US"/>
        </w:rPr>
        <w:t>element did not evolve or change in any way. The delegation recalled that this intention was contrary to the very definition of intangible cultural heritage within the meaning of Article 2.1 of the Convention, as recreation is an essential aspect o</w:t>
      </w:r>
      <w:r w:rsidR="00E72560">
        <w:rPr>
          <w:color w:val="000000" w:themeColor="text1"/>
          <w:lang w:val="en-US"/>
        </w:rPr>
        <w:t>f intangible cultural heritage.</w:t>
      </w:r>
    </w:p>
    <w:p w14:paraId="713C70C1" w14:textId="5A89698F" w:rsidR="00052DF6" w:rsidRPr="00813D19" w:rsidRDefault="00052DF6"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Azerbaijan</w:t>
      </w:r>
      <w:r w:rsidR="00BE2EAF" w:rsidRPr="00813D19">
        <w:rPr>
          <w:b/>
          <w:color w:val="000000" w:themeColor="text1"/>
          <w:lang w:val="en-US"/>
        </w:rPr>
        <w:t xml:space="preserve"> </w:t>
      </w:r>
      <w:r w:rsidR="00BE2EAF" w:rsidRPr="00813D19">
        <w:rPr>
          <w:bCs/>
          <w:lang w:val="en-US"/>
        </w:rPr>
        <w:t>thank</w:t>
      </w:r>
      <w:r w:rsidR="00DD640E" w:rsidRPr="00813D19">
        <w:rPr>
          <w:bCs/>
          <w:lang w:val="en-US"/>
        </w:rPr>
        <w:t>ed</w:t>
      </w:r>
      <w:r w:rsidR="00BE2EAF" w:rsidRPr="00813D19">
        <w:rPr>
          <w:bCs/>
          <w:lang w:val="en-US"/>
        </w:rPr>
        <w:t xml:space="preserve"> Jordan for submitting this very interesting file</w:t>
      </w:r>
      <w:r w:rsidR="00A156D4" w:rsidRPr="00813D19">
        <w:rPr>
          <w:bCs/>
          <w:lang w:val="en-US"/>
        </w:rPr>
        <w:t xml:space="preserve">, </w:t>
      </w:r>
      <w:r w:rsidR="00BE2EAF" w:rsidRPr="00813D19">
        <w:rPr>
          <w:bCs/>
          <w:lang w:val="en-US"/>
        </w:rPr>
        <w:t>which encoura</w:t>
      </w:r>
      <w:r w:rsidR="00E65D5D" w:rsidRPr="00813D19">
        <w:rPr>
          <w:bCs/>
          <w:lang w:val="en-US"/>
        </w:rPr>
        <w:t>ged</w:t>
      </w:r>
      <w:r w:rsidR="00BE2EAF" w:rsidRPr="00813D19">
        <w:rPr>
          <w:bCs/>
          <w:lang w:val="en-US"/>
        </w:rPr>
        <w:t xml:space="preserve"> social cohesion among communities in Jordan</w:t>
      </w:r>
      <w:r w:rsidR="00E65D5D" w:rsidRPr="00813D19">
        <w:rPr>
          <w:bCs/>
          <w:lang w:val="en-US"/>
        </w:rPr>
        <w:t>,</w:t>
      </w:r>
      <w:r w:rsidR="00BE2EAF" w:rsidRPr="00813D19">
        <w:rPr>
          <w:bCs/>
          <w:lang w:val="en-US"/>
        </w:rPr>
        <w:t xml:space="preserve"> while promoting respect for women and highlighting their significant role in the practice of this element. </w:t>
      </w:r>
      <w:r w:rsidR="00E65D5D" w:rsidRPr="00813D19">
        <w:rPr>
          <w:bCs/>
          <w:lang w:val="en-US"/>
        </w:rPr>
        <w:t xml:space="preserve">It </w:t>
      </w:r>
      <w:r w:rsidR="00BE2EAF" w:rsidRPr="00813D19">
        <w:rPr>
          <w:bCs/>
          <w:lang w:val="en-US"/>
        </w:rPr>
        <w:t>also commend</w:t>
      </w:r>
      <w:r w:rsidR="00E65D5D" w:rsidRPr="00813D19">
        <w:rPr>
          <w:bCs/>
          <w:lang w:val="en-US"/>
        </w:rPr>
        <w:t>ed</w:t>
      </w:r>
      <w:r w:rsidR="00BE2EAF" w:rsidRPr="00813D19">
        <w:rPr>
          <w:bCs/>
          <w:lang w:val="en-US"/>
        </w:rPr>
        <w:t xml:space="preserve"> the Evaluation Body for their accurate evaluation of this file. With regard to criterion R.2 and the visibility of </w:t>
      </w:r>
      <w:r w:rsidR="00E65D5D" w:rsidRPr="00813D19">
        <w:rPr>
          <w:bCs/>
          <w:lang w:val="en-US"/>
        </w:rPr>
        <w:t xml:space="preserve">intangible cultural heritage </w:t>
      </w:r>
      <w:r w:rsidR="00BE2EAF" w:rsidRPr="00813D19">
        <w:rPr>
          <w:bCs/>
          <w:lang w:val="en-US"/>
        </w:rPr>
        <w:t>in general</w:t>
      </w:r>
      <w:r w:rsidR="00E65D5D" w:rsidRPr="00813D19">
        <w:rPr>
          <w:bCs/>
          <w:lang w:val="en-US"/>
        </w:rPr>
        <w:t>,</w:t>
      </w:r>
      <w:r w:rsidR="00BE2EAF" w:rsidRPr="00813D19">
        <w:rPr>
          <w:bCs/>
          <w:lang w:val="en-US"/>
        </w:rPr>
        <w:t xml:space="preserve"> </w:t>
      </w:r>
      <w:r w:rsidR="00A156D4" w:rsidRPr="00813D19">
        <w:rPr>
          <w:bCs/>
          <w:lang w:val="en-US"/>
        </w:rPr>
        <w:t xml:space="preserve">it </w:t>
      </w:r>
      <w:r w:rsidR="00E65D5D" w:rsidRPr="00813D19">
        <w:rPr>
          <w:bCs/>
          <w:lang w:val="en-US"/>
        </w:rPr>
        <w:t xml:space="preserve">believed in a </w:t>
      </w:r>
      <w:r w:rsidR="00BE2EAF" w:rsidRPr="00813D19">
        <w:rPr>
          <w:bCs/>
          <w:lang w:val="en-US"/>
        </w:rPr>
        <w:t>positive consideration of this criterion. Though the file could have elaborated on this issue</w:t>
      </w:r>
      <w:r w:rsidR="008B316E" w:rsidRPr="008B316E">
        <w:rPr>
          <w:bCs/>
          <w:lang w:val="en-US"/>
        </w:rPr>
        <w:t xml:space="preserve"> </w:t>
      </w:r>
      <w:r w:rsidR="008B316E" w:rsidRPr="00813D19">
        <w:rPr>
          <w:bCs/>
          <w:lang w:val="en-US"/>
        </w:rPr>
        <w:t>better</w:t>
      </w:r>
      <w:r w:rsidR="00E65D5D" w:rsidRPr="00813D19">
        <w:rPr>
          <w:bCs/>
          <w:lang w:val="en-US"/>
        </w:rPr>
        <w:t>,</w:t>
      </w:r>
      <w:r w:rsidR="00BE2EAF" w:rsidRPr="00813D19">
        <w:rPr>
          <w:bCs/>
          <w:lang w:val="en-US"/>
        </w:rPr>
        <w:t xml:space="preserve"> </w:t>
      </w:r>
      <w:r w:rsidR="00E65D5D" w:rsidRPr="00813D19">
        <w:rPr>
          <w:bCs/>
          <w:lang w:val="en-US"/>
        </w:rPr>
        <w:t xml:space="preserve">the delegation drew </w:t>
      </w:r>
      <w:r w:rsidR="00BE2EAF" w:rsidRPr="00813D19">
        <w:rPr>
          <w:bCs/>
          <w:lang w:val="en-US"/>
        </w:rPr>
        <w:t>attention to the second par</w:t>
      </w:r>
      <w:r w:rsidR="00E65D5D" w:rsidRPr="00813D19">
        <w:rPr>
          <w:bCs/>
          <w:lang w:val="en-US"/>
        </w:rPr>
        <w:t xml:space="preserve">agraph of </w:t>
      </w:r>
      <w:r w:rsidR="008B316E">
        <w:rPr>
          <w:bCs/>
          <w:lang w:val="en-US"/>
        </w:rPr>
        <w:t>S</w:t>
      </w:r>
      <w:r w:rsidR="008B316E" w:rsidRPr="00813D19">
        <w:rPr>
          <w:bCs/>
          <w:lang w:val="en-US"/>
        </w:rPr>
        <w:t xml:space="preserve">ection </w:t>
      </w:r>
      <w:r w:rsidR="00E65D5D" w:rsidRPr="00813D19">
        <w:rPr>
          <w:bCs/>
          <w:lang w:val="en-US"/>
        </w:rPr>
        <w:t>2</w:t>
      </w:r>
      <w:r w:rsidR="008B316E">
        <w:rPr>
          <w:bCs/>
          <w:lang w:val="en-US"/>
        </w:rPr>
        <w:t>,</w:t>
      </w:r>
      <w:r w:rsidR="00E65D5D" w:rsidRPr="00813D19">
        <w:rPr>
          <w:bCs/>
          <w:lang w:val="en-US"/>
        </w:rPr>
        <w:t xml:space="preserve"> which stated</w:t>
      </w:r>
      <w:r w:rsidR="00BE2EAF" w:rsidRPr="00813D19">
        <w:rPr>
          <w:bCs/>
          <w:lang w:val="en-US"/>
        </w:rPr>
        <w:t>, “UNESCO’s recognition of As-Samer art would le</w:t>
      </w:r>
      <w:r w:rsidR="00E65D5D" w:rsidRPr="00813D19">
        <w:rPr>
          <w:bCs/>
          <w:lang w:val="en-US"/>
        </w:rPr>
        <w:t>a</w:t>
      </w:r>
      <w:r w:rsidR="00BE2EAF" w:rsidRPr="00813D19">
        <w:rPr>
          <w:bCs/>
          <w:lang w:val="en-US"/>
        </w:rPr>
        <w:t xml:space="preserve">d to a broader interest in intangible cultural heritage. It will encourage national institutions concerned to continue their efforts in accordance with specific plans and strategies to put this heritage in the position it deserves.” </w:t>
      </w:r>
      <w:r w:rsidR="00E65D5D" w:rsidRPr="00813D19">
        <w:rPr>
          <w:bCs/>
          <w:lang w:val="en-US"/>
        </w:rPr>
        <w:t xml:space="preserve">The delegation felt that </w:t>
      </w:r>
      <w:r w:rsidR="00BE2EAF" w:rsidRPr="00813D19">
        <w:rPr>
          <w:bCs/>
          <w:lang w:val="en-US"/>
        </w:rPr>
        <w:t xml:space="preserve">this information </w:t>
      </w:r>
      <w:r w:rsidR="00E65D5D" w:rsidRPr="00813D19">
        <w:rPr>
          <w:bCs/>
          <w:lang w:val="en-US"/>
        </w:rPr>
        <w:t xml:space="preserve">was </w:t>
      </w:r>
      <w:r w:rsidR="00BE2EAF" w:rsidRPr="00813D19">
        <w:rPr>
          <w:bCs/>
          <w:lang w:val="en-US"/>
        </w:rPr>
        <w:t xml:space="preserve">enough to satisfy the criterion for visibility of </w:t>
      </w:r>
      <w:r w:rsidR="00E65D5D" w:rsidRPr="00813D19">
        <w:rPr>
          <w:bCs/>
          <w:lang w:val="en-US"/>
        </w:rPr>
        <w:t xml:space="preserve">intangible cultural heritage </w:t>
      </w:r>
      <w:r w:rsidR="00BE2EAF" w:rsidRPr="00813D19">
        <w:rPr>
          <w:bCs/>
          <w:lang w:val="en-US"/>
        </w:rPr>
        <w:t xml:space="preserve">in general. </w:t>
      </w:r>
      <w:r w:rsidR="00E65D5D" w:rsidRPr="00813D19">
        <w:rPr>
          <w:bCs/>
          <w:lang w:val="en-US"/>
        </w:rPr>
        <w:t>W</w:t>
      </w:r>
      <w:r w:rsidR="00BE2EAF" w:rsidRPr="00813D19">
        <w:rPr>
          <w:bCs/>
          <w:lang w:val="en-US"/>
        </w:rPr>
        <w:t>hile considering the specific context of this nomination and element</w:t>
      </w:r>
      <w:r w:rsidR="00E65D5D" w:rsidRPr="00813D19">
        <w:rPr>
          <w:bCs/>
          <w:lang w:val="en-US"/>
        </w:rPr>
        <w:t xml:space="preserve">, and </w:t>
      </w:r>
      <w:r w:rsidR="00BE2EAF" w:rsidRPr="00813D19">
        <w:rPr>
          <w:bCs/>
          <w:lang w:val="en-US"/>
        </w:rPr>
        <w:t xml:space="preserve">given the complexity of the question of promotion of human creativity in </w:t>
      </w:r>
      <w:r w:rsidR="00E65D5D" w:rsidRPr="00813D19">
        <w:rPr>
          <w:bCs/>
          <w:lang w:val="en-US"/>
        </w:rPr>
        <w:t xml:space="preserve">the </w:t>
      </w:r>
      <w:r w:rsidR="00BE2EAF" w:rsidRPr="00813D19">
        <w:rPr>
          <w:bCs/>
          <w:lang w:val="en-US"/>
        </w:rPr>
        <w:t>case of As-Samer</w:t>
      </w:r>
      <w:r w:rsidR="00E65D5D" w:rsidRPr="00813D19">
        <w:rPr>
          <w:bCs/>
          <w:lang w:val="en-US"/>
        </w:rPr>
        <w:t>,</w:t>
      </w:r>
      <w:r w:rsidR="00BE2EAF" w:rsidRPr="00813D19">
        <w:rPr>
          <w:bCs/>
          <w:lang w:val="en-US"/>
        </w:rPr>
        <w:t xml:space="preserve"> </w:t>
      </w:r>
      <w:r w:rsidR="00E65D5D" w:rsidRPr="00813D19">
        <w:rPr>
          <w:bCs/>
          <w:lang w:val="en-US"/>
        </w:rPr>
        <w:t xml:space="preserve">the </w:t>
      </w:r>
      <w:r w:rsidR="00BE2EAF" w:rsidRPr="00813D19">
        <w:rPr>
          <w:bCs/>
          <w:lang w:val="en-US"/>
        </w:rPr>
        <w:t>delegation support</w:t>
      </w:r>
      <w:r w:rsidR="00E65D5D" w:rsidRPr="00813D19">
        <w:rPr>
          <w:bCs/>
          <w:lang w:val="en-US"/>
        </w:rPr>
        <w:t>ed</w:t>
      </w:r>
      <w:r w:rsidR="00BE2EAF" w:rsidRPr="00813D19">
        <w:rPr>
          <w:bCs/>
          <w:lang w:val="en-US"/>
        </w:rPr>
        <w:t xml:space="preserve"> the positive recommendation of this criterion. With regard to criterion R.3</w:t>
      </w:r>
      <w:r w:rsidR="00E65D5D" w:rsidRPr="00813D19">
        <w:rPr>
          <w:bCs/>
          <w:lang w:val="en-US"/>
        </w:rPr>
        <w:t xml:space="preserve">, it also </w:t>
      </w:r>
      <w:r w:rsidR="00BE2EAF" w:rsidRPr="00813D19">
        <w:rPr>
          <w:bCs/>
          <w:lang w:val="en-US"/>
        </w:rPr>
        <w:t>believe</w:t>
      </w:r>
      <w:r w:rsidR="00E65D5D" w:rsidRPr="00813D19">
        <w:rPr>
          <w:bCs/>
          <w:lang w:val="en-US"/>
        </w:rPr>
        <w:t>d</w:t>
      </w:r>
      <w:r w:rsidR="00BE2EAF" w:rsidRPr="00813D19">
        <w:rPr>
          <w:bCs/>
          <w:lang w:val="en-US"/>
        </w:rPr>
        <w:t xml:space="preserve"> that more specific information could have been provided on the role of communities in the safeguarding process. </w:t>
      </w:r>
      <w:r w:rsidR="00E65D5D" w:rsidRPr="00813D19">
        <w:rPr>
          <w:bCs/>
          <w:lang w:val="en-US"/>
        </w:rPr>
        <w:t xml:space="preserve">It was noted that the information in </w:t>
      </w:r>
      <w:r w:rsidR="008B316E">
        <w:rPr>
          <w:bCs/>
          <w:lang w:val="en-US"/>
        </w:rPr>
        <w:t>S</w:t>
      </w:r>
      <w:r w:rsidR="008B316E" w:rsidRPr="00813D19">
        <w:rPr>
          <w:bCs/>
          <w:lang w:val="en-US"/>
        </w:rPr>
        <w:t xml:space="preserve">ection </w:t>
      </w:r>
      <w:r w:rsidR="00E65D5D" w:rsidRPr="00813D19">
        <w:rPr>
          <w:bCs/>
          <w:lang w:val="en-US"/>
        </w:rPr>
        <w:t>3.b.</w:t>
      </w:r>
      <w:r w:rsidR="00BE2EAF" w:rsidRPr="00813D19">
        <w:rPr>
          <w:bCs/>
          <w:lang w:val="en-US"/>
        </w:rPr>
        <w:t xml:space="preserve"> </w:t>
      </w:r>
      <w:r w:rsidR="00E65D5D" w:rsidRPr="00813D19">
        <w:rPr>
          <w:bCs/>
          <w:lang w:val="en-US"/>
        </w:rPr>
        <w:t xml:space="preserve">spoke </w:t>
      </w:r>
      <w:r w:rsidR="00BE2EAF" w:rsidRPr="00813D19">
        <w:rPr>
          <w:bCs/>
          <w:lang w:val="en-US"/>
        </w:rPr>
        <w:t>directly about the contribution of local commun</w:t>
      </w:r>
      <w:r w:rsidR="00A156D4" w:rsidRPr="00813D19">
        <w:rPr>
          <w:bCs/>
          <w:lang w:val="en-US"/>
        </w:rPr>
        <w:t xml:space="preserve">ities and their wish to build </w:t>
      </w:r>
      <w:r w:rsidR="00BE2EAF" w:rsidRPr="00813D19">
        <w:rPr>
          <w:bCs/>
          <w:lang w:val="en-US"/>
        </w:rPr>
        <w:t>on partnership</w:t>
      </w:r>
      <w:r w:rsidR="00E65D5D" w:rsidRPr="00813D19">
        <w:rPr>
          <w:bCs/>
          <w:lang w:val="en-US"/>
        </w:rPr>
        <w:t>s</w:t>
      </w:r>
      <w:r w:rsidR="00BE2EAF" w:rsidRPr="00813D19">
        <w:rPr>
          <w:bCs/>
          <w:lang w:val="en-US"/>
        </w:rPr>
        <w:t xml:space="preserve"> with popular bands to implement the safeguarding measures. </w:t>
      </w:r>
      <w:r w:rsidR="00E65D5D" w:rsidRPr="00813D19">
        <w:rPr>
          <w:bCs/>
          <w:lang w:val="en-US"/>
        </w:rPr>
        <w:t xml:space="preserve">It further </w:t>
      </w:r>
      <w:r w:rsidR="00BE2EAF" w:rsidRPr="00813D19">
        <w:rPr>
          <w:bCs/>
          <w:lang w:val="en-US"/>
        </w:rPr>
        <w:t>note</w:t>
      </w:r>
      <w:r w:rsidR="00E65D5D" w:rsidRPr="00813D19">
        <w:rPr>
          <w:bCs/>
          <w:lang w:val="en-US"/>
        </w:rPr>
        <w:t>d</w:t>
      </w:r>
      <w:r w:rsidR="00BE2EAF" w:rsidRPr="00813D19">
        <w:rPr>
          <w:bCs/>
          <w:lang w:val="en-US"/>
        </w:rPr>
        <w:t xml:space="preserve"> the wish to establish </w:t>
      </w:r>
      <w:r w:rsidR="00E65D5D" w:rsidRPr="00813D19">
        <w:rPr>
          <w:bCs/>
          <w:lang w:val="en-US"/>
        </w:rPr>
        <w:t xml:space="preserve">a </w:t>
      </w:r>
      <w:r w:rsidR="00BE2EAF" w:rsidRPr="00813D19">
        <w:rPr>
          <w:bCs/>
          <w:lang w:val="en-US"/>
        </w:rPr>
        <w:t xml:space="preserve">Jordanian </w:t>
      </w:r>
      <w:r w:rsidR="00E65D5D" w:rsidRPr="00813D19">
        <w:rPr>
          <w:bCs/>
          <w:lang w:val="en-US"/>
        </w:rPr>
        <w:t xml:space="preserve">As-Samer </w:t>
      </w:r>
      <w:r w:rsidR="00BE2EAF" w:rsidRPr="00813D19">
        <w:rPr>
          <w:bCs/>
          <w:lang w:val="en-US"/>
        </w:rPr>
        <w:t xml:space="preserve">Association </w:t>
      </w:r>
      <w:r w:rsidR="00E65D5D" w:rsidRPr="00813D19">
        <w:rPr>
          <w:bCs/>
          <w:lang w:val="en-US"/>
        </w:rPr>
        <w:t xml:space="preserve">to </w:t>
      </w:r>
      <w:r w:rsidR="00BE2EAF" w:rsidRPr="00813D19">
        <w:rPr>
          <w:bCs/>
          <w:lang w:val="en-US"/>
        </w:rPr>
        <w:t>support safeguarding and networking between popular bands in Jordan</w:t>
      </w:r>
      <w:r w:rsidR="00E65D5D" w:rsidRPr="00813D19">
        <w:rPr>
          <w:bCs/>
          <w:lang w:val="en-US"/>
        </w:rPr>
        <w:t>,</w:t>
      </w:r>
      <w:r w:rsidR="00BE2EAF" w:rsidRPr="00813D19">
        <w:rPr>
          <w:bCs/>
          <w:lang w:val="en-US"/>
        </w:rPr>
        <w:t xml:space="preserve"> </w:t>
      </w:r>
      <w:r w:rsidR="008B316E">
        <w:rPr>
          <w:bCs/>
          <w:lang w:val="en-US"/>
        </w:rPr>
        <w:t xml:space="preserve">which </w:t>
      </w:r>
      <w:r w:rsidR="00813D19" w:rsidRPr="00813D19">
        <w:rPr>
          <w:bCs/>
          <w:lang w:val="en-US"/>
        </w:rPr>
        <w:t>practitioners</w:t>
      </w:r>
      <w:r w:rsidR="00BE2EAF" w:rsidRPr="00813D19">
        <w:rPr>
          <w:bCs/>
          <w:lang w:val="en-US"/>
        </w:rPr>
        <w:t xml:space="preserve"> are expected to plan in the implementation of the safeguarding measures. </w:t>
      </w:r>
      <w:r w:rsidR="00E65D5D" w:rsidRPr="00813D19">
        <w:rPr>
          <w:bCs/>
          <w:lang w:val="en-US"/>
        </w:rPr>
        <w:t xml:space="preserve">Thus, the delegation </w:t>
      </w:r>
      <w:r w:rsidR="00BE2EAF" w:rsidRPr="00813D19">
        <w:rPr>
          <w:bCs/>
          <w:lang w:val="en-US"/>
        </w:rPr>
        <w:t xml:space="preserve">would support changing </w:t>
      </w:r>
      <w:r w:rsidR="008B316E">
        <w:rPr>
          <w:bCs/>
          <w:lang w:val="en-US"/>
        </w:rPr>
        <w:t xml:space="preserve">the </w:t>
      </w:r>
      <w:r w:rsidR="00BE2EAF" w:rsidRPr="00813D19">
        <w:rPr>
          <w:bCs/>
          <w:lang w:val="en-US"/>
        </w:rPr>
        <w:t>referral to a positive re</w:t>
      </w:r>
      <w:r w:rsidR="00E72560">
        <w:rPr>
          <w:bCs/>
          <w:lang w:val="en-US"/>
        </w:rPr>
        <w:t>commendation for criterion R.2.</w:t>
      </w:r>
    </w:p>
    <w:p w14:paraId="4FFEC5FB" w14:textId="5D14548D" w:rsidR="00C95DD4" w:rsidRPr="00813D19" w:rsidRDefault="00C95DD4"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Jamaica</w:t>
      </w:r>
      <w:r w:rsidR="00E97F88" w:rsidRPr="00813D19">
        <w:rPr>
          <w:b/>
          <w:color w:val="000000" w:themeColor="text1"/>
          <w:lang w:val="en-US"/>
        </w:rPr>
        <w:t xml:space="preserve"> </w:t>
      </w:r>
      <w:r w:rsidR="00E97F88" w:rsidRPr="00813D19">
        <w:rPr>
          <w:bCs/>
          <w:lang w:val="en-US"/>
        </w:rPr>
        <w:t>support</w:t>
      </w:r>
      <w:r w:rsidR="00DD640E" w:rsidRPr="00813D19">
        <w:rPr>
          <w:bCs/>
          <w:lang w:val="en-US"/>
        </w:rPr>
        <w:t>ed</w:t>
      </w:r>
      <w:r w:rsidR="00E97F88" w:rsidRPr="00813D19">
        <w:rPr>
          <w:bCs/>
          <w:lang w:val="en-US"/>
        </w:rPr>
        <w:t xml:space="preserve"> the sen</w:t>
      </w:r>
      <w:r w:rsidR="00DD640E" w:rsidRPr="00813D19">
        <w:rPr>
          <w:bCs/>
          <w:lang w:val="en-US"/>
        </w:rPr>
        <w:t>timents expressed by Palestine.</w:t>
      </w:r>
    </w:p>
    <w:p w14:paraId="2BD22044" w14:textId="44840D5D" w:rsidR="000C213F" w:rsidRPr="00813D19" w:rsidRDefault="000C213F"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Armenia</w:t>
      </w:r>
      <w:r w:rsidR="00E97F88" w:rsidRPr="00813D19">
        <w:rPr>
          <w:b/>
          <w:color w:val="000000" w:themeColor="text1"/>
          <w:lang w:val="en-US"/>
        </w:rPr>
        <w:t xml:space="preserve"> </w:t>
      </w:r>
      <w:r w:rsidR="00E97F88" w:rsidRPr="00813D19">
        <w:rPr>
          <w:bCs/>
          <w:lang w:val="en-US"/>
        </w:rPr>
        <w:t xml:space="preserve">also </w:t>
      </w:r>
      <w:r w:rsidR="00DD640E" w:rsidRPr="00813D19">
        <w:rPr>
          <w:bCs/>
          <w:lang w:val="en-US"/>
        </w:rPr>
        <w:t xml:space="preserve">wished to open </w:t>
      </w:r>
      <w:r w:rsidR="00E97F88" w:rsidRPr="00813D19">
        <w:rPr>
          <w:bCs/>
          <w:lang w:val="en-US"/>
        </w:rPr>
        <w:t xml:space="preserve">this file and </w:t>
      </w:r>
      <w:r w:rsidR="00A156D4" w:rsidRPr="00813D19">
        <w:rPr>
          <w:bCs/>
          <w:lang w:val="en-US"/>
        </w:rPr>
        <w:t>sought</w:t>
      </w:r>
      <w:r w:rsidR="00DD640E" w:rsidRPr="00813D19">
        <w:rPr>
          <w:bCs/>
          <w:lang w:val="en-US"/>
        </w:rPr>
        <w:t xml:space="preserve"> </w:t>
      </w:r>
      <w:r w:rsidR="00E72560">
        <w:rPr>
          <w:bCs/>
          <w:lang w:val="en-US"/>
        </w:rPr>
        <w:t>a positive outcome.</w:t>
      </w:r>
    </w:p>
    <w:p w14:paraId="1B5FEF4B" w14:textId="6EBC1A18" w:rsidR="00E65D5D" w:rsidRPr="00813D19" w:rsidRDefault="00C82873"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Djibouti</w:t>
      </w:r>
      <w:r w:rsidR="00E97F88" w:rsidRPr="00813D19">
        <w:rPr>
          <w:b/>
          <w:color w:val="000000" w:themeColor="text1"/>
          <w:lang w:val="en-US"/>
        </w:rPr>
        <w:t xml:space="preserve"> </w:t>
      </w:r>
      <w:r w:rsidR="00E65D5D" w:rsidRPr="00813D19">
        <w:rPr>
          <w:color w:val="000000" w:themeColor="text1"/>
          <w:lang w:val="en-US"/>
        </w:rPr>
        <w:t>congratulate</w:t>
      </w:r>
      <w:r w:rsidR="000F76BC" w:rsidRPr="00813D19">
        <w:rPr>
          <w:color w:val="000000" w:themeColor="text1"/>
          <w:lang w:val="en-US"/>
        </w:rPr>
        <w:t>d</w:t>
      </w:r>
      <w:r w:rsidR="00E65D5D" w:rsidRPr="00813D19">
        <w:rPr>
          <w:color w:val="000000" w:themeColor="text1"/>
          <w:lang w:val="en-US"/>
        </w:rPr>
        <w:t xml:space="preserve"> the technical e</w:t>
      </w:r>
      <w:r w:rsidR="000F76BC" w:rsidRPr="00813D19">
        <w:rPr>
          <w:color w:val="000000" w:themeColor="text1"/>
          <w:lang w:val="en-US"/>
        </w:rPr>
        <w:t xml:space="preserve">xpertise of the Evaluation Body for its </w:t>
      </w:r>
      <w:r w:rsidR="00E65D5D" w:rsidRPr="00813D19">
        <w:rPr>
          <w:color w:val="000000" w:themeColor="text1"/>
          <w:lang w:val="en-US"/>
        </w:rPr>
        <w:t xml:space="preserve">excellent </w:t>
      </w:r>
      <w:r w:rsidR="000F76BC" w:rsidRPr="00813D19">
        <w:rPr>
          <w:color w:val="000000" w:themeColor="text1"/>
          <w:lang w:val="en-US"/>
        </w:rPr>
        <w:t xml:space="preserve">work, and </w:t>
      </w:r>
      <w:r w:rsidR="00E65D5D" w:rsidRPr="00813D19">
        <w:rPr>
          <w:color w:val="000000" w:themeColor="text1"/>
          <w:lang w:val="en-US"/>
        </w:rPr>
        <w:t xml:space="preserve">also Jordan for presenting </w:t>
      </w:r>
      <w:r w:rsidR="000F76BC" w:rsidRPr="00813D19">
        <w:rPr>
          <w:color w:val="000000" w:themeColor="text1"/>
          <w:lang w:val="en-US"/>
        </w:rPr>
        <w:t>As-Samer</w:t>
      </w:r>
      <w:r w:rsidR="00E65D5D" w:rsidRPr="00813D19">
        <w:rPr>
          <w:color w:val="000000" w:themeColor="text1"/>
          <w:lang w:val="en-US"/>
        </w:rPr>
        <w:t xml:space="preserve"> for inscription on the </w:t>
      </w:r>
      <w:r w:rsidR="000F76BC" w:rsidRPr="00813D19">
        <w:rPr>
          <w:color w:val="000000" w:themeColor="text1"/>
          <w:lang w:val="en-US"/>
        </w:rPr>
        <w:t>Representative List</w:t>
      </w:r>
      <w:r w:rsidR="00E65D5D" w:rsidRPr="00813D19">
        <w:rPr>
          <w:color w:val="000000" w:themeColor="text1"/>
          <w:lang w:val="en-US"/>
        </w:rPr>
        <w:t xml:space="preserve">. </w:t>
      </w:r>
      <w:r w:rsidR="00A156D4" w:rsidRPr="00813D19">
        <w:rPr>
          <w:color w:val="000000" w:themeColor="text1"/>
          <w:lang w:val="en-US"/>
        </w:rPr>
        <w:t xml:space="preserve">It </w:t>
      </w:r>
      <w:r w:rsidR="000F76BC" w:rsidRPr="00813D19">
        <w:rPr>
          <w:color w:val="000000" w:themeColor="text1"/>
          <w:lang w:val="en-US"/>
        </w:rPr>
        <w:t xml:space="preserve">wished to allow </w:t>
      </w:r>
      <w:r w:rsidR="00E65D5D" w:rsidRPr="00813D19">
        <w:rPr>
          <w:color w:val="000000" w:themeColor="text1"/>
          <w:lang w:val="en-US"/>
        </w:rPr>
        <w:t xml:space="preserve">Jordan </w:t>
      </w:r>
      <w:r w:rsidR="000F76BC" w:rsidRPr="00813D19">
        <w:rPr>
          <w:color w:val="000000" w:themeColor="text1"/>
          <w:lang w:val="en-US"/>
        </w:rPr>
        <w:t xml:space="preserve">to take </w:t>
      </w:r>
      <w:r w:rsidR="00E65D5D" w:rsidRPr="00813D19">
        <w:rPr>
          <w:color w:val="000000" w:themeColor="text1"/>
          <w:lang w:val="en-US"/>
        </w:rPr>
        <w:t xml:space="preserve">the floor </w:t>
      </w:r>
      <w:r w:rsidR="000F76BC" w:rsidRPr="00813D19">
        <w:rPr>
          <w:color w:val="000000" w:themeColor="text1"/>
          <w:lang w:val="en-US"/>
        </w:rPr>
        <w:t xml:space="preserve">to present </w:t>
      </w:r>
      <w:r w:rsidR="00E65D5D" w:rsidRPr="00813D19">
        <w:rPr>
          <w:color w:val="000000" w:themeColor="text1"/>
          <w:lang w:val="en-US"/>
        </w:rPr>
        <w:t xml:space="preserve">information on the safeguarding plan </w:t>
      </w:r>
      <w:r w:rsidR="00A156D4" w:rsidRPr="00813D19">
        <w:rPr>
          <w:color w:val="000000" w:themeColor="text1"/>
          <w:lang w:val="en-US"/>
        </w:rPr>
        <w:t xml:space="preserve">to </w:t>
      </w:r>
      <w:r w:rsidR="00E65D5D" w:rsidRPr="00813D19">
        <w:rPr>
          <w:color w:val="000000" w:themeColor="text1"/>
          <w:lang w:val="en-US"/>
        </w:rPr>
        <w:t>be put in place</w:t>
      </w:r>
      <w:r w:rsidR="000F76BC" w:rsidRPr="00813D19">
        <w:rPr>
          <w:color w:val="000000" w:themeColor="text1"/>
          <w:lang w:val="en-US"/>
        </w:rPr>
        <w:t>,</w:t>
      </w:r>
      <w:r w:rsidR="00E65D5D" w:rsidRPr="00813D19">
        <w:rPr>
          <w:color w:val="000000" w:themeColor="text1"/>
          <w:lang w:val="en-US"/>
        </w:rPr>
        <w:t xml:space="preserve"> as well as the measures </w:t>
      </w:r>
      <w:r w:rsidR="008B316E" w:rsidRPr="00813D19">
        <w:rPr>
          <w:color w:val="000000" w:themeColor="text1"/>
          <w:lang w:val="en-US"/>
        </w:rPr>
        <w:t xml:space="preserve">foreseen </w:t>
      </w:r>
      <w:r w:rsidR="00E65D5D" w:rsidRPr="00813D19">
        <w:rPr>
          <w:color w:val="000000" w:themeColor="text1"/>
          <w:lang w:val="en-US"/>
        </w:rPr>
        <w:t>to ensure the recreation and dynamism of this element.</w:t>
      </w:r>
    </w:p>
    <w:p w14:paraId="57C50FE4" w14:textId="1F7B0230" w:rsidR="00C82873" w:rsidRPr="00813D19" w:rsidRDefault="00391F2D" w:rsidP="00A46EA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Cyprus</w:t>
      </w:r>
      <w:r w:rsidR="00E97F88" w:rsidRPr="00813D19">
        <w:rPr>
          <w:b/>
          <w:color w:val="000000" w:themeColor="text1"/>
          <w:lang w:val="en-US"/>
        </w:rPr>
        <w:t xml:space="preserve"> </w:t>
      </w:r>
      <w:r w:rsidR="00DD640E" w:rsidRPr="00813D19">
        <w:rPr>
          <w:bCs/>
          <w:lang w:val="en-US"/>
        </w:rPr>
        <w:t>also supported</w:t>
      </w:r>
      <w:r w:rsidR="00E97F88" w:rsidRPr="00813D19">
        <w:rPr>
          <w:bCs/>
          <w:lang w:val="en-US"/>
        </w:rPr>
        <w:t xml:space="preserve"> the amendments</w:t>
      </w:r>
      <w:r w:rsidR="00DD640E" w:rsidRPr="00813D19">
        <w:rPr>
          <w:bCs/>
          <w:lang w:val="en-US"/>
        </w:rPr>
        <w:t>,</w:t>
      </w:r>
      <w:r w:rsidR="00E97F88" w:rsidRPr="00813D19">
        <w:rPr>
          <w:bCs/>
          <w:lang w:val="en-US"/>
        </w:rPr>
        <w:t xml:space="preserve"> but </w:t>
      </w:r>
      <w:r w:rsidR="00DD640E" w:rsidRPr="00813D19">
        <w:rPr>
          <w:bCs/>
          <w:lang w:val="en-US"/>
        </w:rPr>
        <w:t xml:space="preserve">sought further </w:t>
      </w:r>
      <w:r w:rsidR="00E97F88" w:rsidRPr="00813D19">
        <w:rPr>
          <w:bCs/>
          <w:lang w:val="en-US"/>
        </w:rPr>
        <w:t>clarifications regarding criteria R.2 and R</w:t>
      </w:r>
      <w:r w:rsidR="00E72560">
        <w:rPr>
          <w:bCs/>
          <w:lang w:val="en-US"/>
        </w:rPr>
        <w:t>.3 by the delegation of Jordan.</w:t>
      </w:r>
    </w:p>
    <w:p w14:paraId="0ABA4BFF" w14:textId="1962A2D5" w:rsidR="00391F2D" w:rsidRPr="00813D19" w:rsidRDefault="00391F2D"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China</w:t>
      </w:r>
      <w:r w:rsidR="00E97F88" w:rsidRPr="00813D19">
        <w:rPr>
          <w:b/>
          <w:color w:val="000000" w:themeColor="text1"/>
          <w:lang w:val="en-US"/>
        </w:rPr>
        <w:t xml:space="preserve"> </w:t>
      </w:r>
      <w:r w:rsidR="00E97F88" w:rsidRPr="00813D19">
        <w:rPr>
          <w:bCs/>
          <w:lang w:val="en-US"/>
        </w:rPr>
        <w:t>appreciate</w:t>
      </w:r>
      <w:r w:rsidR="000F76BC" w:rsidRPr="00813D19">
        <w:rPr>
          <w:bCs/>
          <w:lang w:val="en-US"/>
        </w:rPr>
        <w:t>d</w:t>
      </w:r>
      <w:r w:rsidR="00E97F88" w:rsidRPr="00813D19">
        <w:rPr>
          <w:bCs/>
          <w:lang w:val="en-US"/>
        </w:rPr>
        <w:t xml:space="preserve"> the Evaluation Body</w:t>
      </w:r>
      <w:r w:rsidR="000F76BC" w:rsidRPr="00813D19">
        <w:rPr>
          <w:bCs/>
          <w:lang w:val="en-US"/>
        </w:rPr>
        <w:t>’s</w:t>
      </w:r>
      <w:r w:rsidR="00E97F88" w:rsidRPr="00813D19">
        <w:rPr>
          <w:bCs/>
          <w:lang w:val="en-US"/>
        </w:rPr>
        <w:t xml:space="preserve"> work </w:t>
      </w:r>
      <w:r w:rsidR="000F76BC" w:rsidRPr="00813D19">
        <w:rPr>
          <w:bCs/>
          <w:lang w:val="en-US"/>
        </w:rPr>
        <w:t>and thanked</w:t>
      </w:r>
      <w:r w:rsidR="00E97F88" w:rsidRPr="00813D19">
        <w:rPr>
          <w:bCs/>
          <w:lang w:val="en-US"/>
        </w:rPr>
        <w:t xml:space="preserve"> Jordan for submitting this nomination. </w:t>
      </w:r>
      <w:r w:rsidR="000F76BC" w:rsidRPr="00813D19">
        <w:rPr>
          <w:bCs/>
          <w:lang w:val="en-US"/>
        </w:rPr>
        <w:t>It understood that this nomination represented</w:t>
      </w:r>
      <w:r w:rsidR="00E97F88" w:rsidRPr="00813D19">
        <w:rPr>
          <w:bCs/>
          <w:lang w:val="en-US"/>
        </w:rPr>
        <w:t xml:space="preserve"> a popular art and oral traditions</w:t>
      </w:r>
      <w:r w:rsidR="000F76BC" w:rsidRPr="00813D19">
        <w:rPr>
          <w:bCs/>
          <w:lang w:val="en-US"/>
        </w:rPr>
        <w:t>,</w:t>
      </w:r>
      <w:r w:rsidR="00E97F88" w:rsidRPr="00813D19">
        <w:rPr>
          <w:bCs/>
          <w:lang w:val="en-US"/>
        </w:rPr>
        <w:t xml:space="preserve"> and </w:t>
      </w:r>
      <w:r w:rsidR="00A156D4" w:rsidRPr="00813D19">
        <w:rPr>
          <w:bCs/>
          <w:lang w:val="en-US"/>
        </w:rPr>
        <w:t>that it a</w:t>
      </w:r>
      <w:r w:rsidR="00E97F88" w:rsidRPr="00813D19">
        <w:rPr>
          <w:bCs/>
          <w:lang w:val="en-US"/>
        </w:rPr>
        <w:t xml:space="preserve">lso contributed to the interaction </w:t>
      </w:r>
      <w:r w:rsidR="000F76BC" w:rsidRPr="00813D19">
        <w:rPr>
          <w:bCs/>
          <w:lang w:val="en-US"/>
        </w:rPr>
        <w:t xml:space="preserve">between </w:t>
      </w:r>
      <w:r w:rsidR="00E97F88" w:rsidRPr="00813D19">
        <w:rPr>
          <w:bCs/>
          <w:lang w:val="en-US"/>
        </w:rPr>
        <w:t xml:space="preserve">different communities and cultural dialogue. </w:t>
      </w:r>
      <w:r w:rsidR="000F76BC" w:rsidRPr="00813D19">
        <w:rPr>
          <w:bCs/>
          <w:lang w:val="en-US"/>
        </w:rPr>
        <w:t xml:space="preserve">The delegation </w:t>
      </w:r>
      <w:r w:rsidR="00A156D4" w:rsidRPr="00813D19">
        <w:rPr>
          <w:bCs/>
          <w:lang w:val="en-US"/>
        </w:rPr>
        <w:t>had</w:t>
      </w:r>
      <w:r w:rsidR="000F76BC" w:rsidRPr="00813D19">
        <w:rPr>
          <w:bCs/>
          <w:lang w:val="en-US"/>
        </w:rPr>
        <w:t xml:space="preserve"> the </w:t>
      </w:r>
      <w:r w:rsidR="00E97F88" w:rsidRPr="00813D19">
        <w:rPr>
          <w:bCs/>
          <w:lang w:val="en-US"/>
        </w:rPr>
        <w:t xml:space="preserve">same question as Kazakhstan with regard to </w:t>
      </w:r>
      <w:r w:rsidR="000F76BC" w:rsidRPr="00813D19">
        <w:rPr>
          <w:bCs/>
          <w:lang w:val="en-US"/>
        </w:rPr>
        <w:t xml:space="preserve">the </w:t>
      </w:r>
      <w:r w:rsidR="00E97F88" w:rsidRPr="00813D19">
        <w:rPr>
          <w:bCs/>
          <w:lang w:val="en-US"/>
        </w:rPr>
        <w:t>highe</w:t>
      </w:r>
      <w:r w:rsidR="000F76BC" w:rsidRPr="00813D19">
        <w:rPr>
          <w:bCs/>
          <w:lang w:val="en-US"/>
        </w:rPr>
        <w:t xml:space="preserve">r committee to be established by the Ministry of Culture, as mentioned in </w:t>
      </w:r>
      <w:r w:rsidR="008B316E">
        <w:rPr>
          <w:bCs/>
          <w:lang w:val="en-US"/>
        </w:rPr>
        <w:t>S</w:t>
      </w:r>
      <w:r w:rsidR="000F76BC" w:rsidRPr="00813D19">
        <w:rPr>
          <w:bCs/>
          <w:lang w:val="en-US"/>
        </w:rPr>
        <w:t xml:space="preserve">ection 3.b. It thus sought </w:t>
      </w:r>
      <w:r w:rsidR="00E97F88" w:rsidRPr="00813D19">
        <w:rPr>
          <w:bCs/>
          <w:lang w:val="en-US"/>
        </w:rPr>
        <w:t xml:space="preserve">further clarification on why and how this committee </w:t>
      </w:r>
      <w:r w:rsidR="008B316E">
        <w:rPr>
          <w:bCs/>
          <w:lang w:val="en-US"/>
        </w:rPr>
        <w:t>would</w:t>
      </w:r>
      <w:r w:rsidR="008B316E" w:rsidRPr="00813D19">
        <w:rPr>
          <w:bCs/>
          <w:lang w:val="en-US"/>
        </w:rPr>
        <w:t xml:space="preserve"> </w:t>
      </w:r>
      <w:r w:rsidR="00E97F88" w:rsidRPr="00813D19">
        <w:rPr>
          <w:bCs/>
          <w:lang w:val="en-US"/>
        </w:rPr>
        <w:t xml:space="preserve">work and </w:t>
      </w:r>
      <w:r w:rsidR="000F76BC" w:rsidRPr="00813D19">
        <w:rPr>
          <w:bCs/>
          <w:lang w:val="en-US"/>
        </w:rPr>
        <w:t xml:space="preserve">its </w:t>
      </w:r>
      <w:r w:rsidR="00E97F88" w:rsidRPr="00813D19">
        <w:rPr>
          <w:bCs/>
          <w:lang w:val="en-US"/>
        </w:rPr>
        <w:t xml:space="preserve">intention so </w:t>
      </w:r>
      <w:r w:rsidR="000F76BC" w:rsidRPr="00813D19">
        <w:rPr>
          <w:bCs/>
          <w:lang w:val="en-US"/>
        </w:rPr>
        <w:t xml:space="preserve">as to better </w:t>
      </w:r>
      <w:r w:rsidR="00E97F88" w:rsidRPr="00813D19">
        <w:rPr>
          <w:bCs/>
          <w:lang w:val="en-US"/>
        </w:rPr>
        <w:t>unders</w:t>
      </w:r>
      <w:r w:rsidR="00E72560">
        <w:rPr>
          <w:bCs/>
          <w:lang w:val="en-US"/>
        </w:rPr>
        <w:t>tand this safeguarding measure.</w:t>
      </w:r>
    </w:p>
    <w:p w14:paraId="7AE01A56" w14:textId="3CB3E8AE" w:rsidR="00C4277D" w:rsidRPr="00813D19" w:rsidRDefault="00C4277D" w:rsidP="002A6D8D">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w:t>
      </w:r>
      <w:r w:rsidR="00DD640E" w:rsidRPr="00813D19">
        <w:rPr>
          <w:b/>
          <w:color w:val="000000" w:themeColor="text1"/>
          <w:lang w:val="en-US"/>
        </w:rPr>
        <w:t>s</w:t>
      </w:r>
      <w:r w:rsidRPr="00813D19">
        <w:rPr>
          <w:b/>
          <w:color w:val="000000" w:themeColor="text1"/>
          <w:lang w:val="en-US"/>
        </w:rPr>
        <w:t xml:space="preserve"> of Guatemala</w:t>
      </w:r>
      <w:r w:rsidR="00E97F88" w:rsidRPr="00813D19">
        <w:rPr>
          <w:b/>
          <w:color w:val="000000" w:themeColor="text1"/>
          <w:lang w:val="en-US"/>
        </w:rPr>
        <w:t xml:space="preserve"> </w:t>
      </w:r>
      <w:r w:rsidR="002A6D8D" w:rsidRPr="00813D19">
        <w:rPr>
          <w:color w:val="000000" w:themeColor="text1"/>
          <w:lang w:val="en-US"/>
        </w:rPr>
        <w:t>and</w:t>
      </w:r>
      <w:r w:rsidR="002A6D8D" w:rsidRPr="00813D19">
        <w:rPr>
          <w:b/>
          <w:color w:val="000000" w:themeColor="text1"/>
          <w:lang w:val="en-US"/>
        </w:rPr>
        <w:t xml:space="preserve"> Senegal </w:t>
      </w:r>
      <w:r w:rsidR="002A6D8D" w:rsidRPr="00813D19">
        <w:rPr>
          <w:color w:val="000000" w:themeColor="text1"/>
          <w:lang w:val="en-US"/>
        </w:rPr>
        <w:t xml:space="preserve">supported the amendment by </w:t>
      </w:r>
      <w:r w:rsidR="002A6D8D" w:rsidRPr="00813D19">
        <w:rPr>
          <w:bCs/>
          <w:lang w:val="en-US"/>
        </w:rPr>
        <w:t>Palestine.</w:t>
      </w:r>
    </w:p>
    <w:p w14:paraId="1C8301D2" w14:textId="2466B6DE" w:rsidR="005869EE" w:rsidRPr="00813D19" w:rsidRDefault="005869EE"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Netherlands</w:t>
      </w:r>
      <w:r w:rsidR="00E97F88" w:rsidRPr="00813D19">
        <w:rPr>
          <w:b/>
          <w:color w:val="000000" w:themeColor="text1"/>
          <w:lang w:val="en-US"/>
        </w:rPr>
        <w:t xml:space="preserve"> </w:t>
      </w:r>
      <w:r w:rsidR="000F76BC" w:rsidRPr="00813D19">
        <w:rPr>
          <w:bCs/>
          <w:lang w:val="en-US"/>
        </w:rPr>
        <w:t>understood</w:t>
      </w:r>
      <w:r w:rsidR="00E97F88" w:rsidRPr="00813D19">
        <w:rPr>
          <w:bCs/>
          <w:lang w:val="en-US"/>
        </w:rPr>
        <w:t xml:space="preserve"> </w:t>
      </w:r>
      <w:r w:rsidR="000F76BC" w:rsidRPr="00813D19">
        <w:rPr>
          <w:bCs/>
          <w:lang w:val="en-US"/>
        </w:rPr>
        <w:t>that As-Samer represented an important art</w:t>
      </w:r>
      <w:r w:rsidR="00E97F88" w:rsidRPr="00813D19">
        <w:rPr>
          <w:bCs/>
          <w:lang w:val="en-US"/>
        </w:rPr>
        <w:t xml:space="preserve"> of oral traditions and collective performances. Concerning R.3, the Evaluation Body </w:t>
      </w:r>
      <w:r w:rsidR="000F76BC" w:rsidRPr="00813D19">
        <w:rPr>
          <w:bCs/>
          <w:lang w:val="en-US"/>
        </w:rPr>
        <w:t>expressed concern</w:t>
      </w:r>
      <w:r w:rsidR="008B316E">
        <w:rPr>
          <w:bCs/>
          <w:lang w:val="en-US"/>
        </w:rPr>
        <w:t>s</w:t>
      </w:r>
      <w:r w:rsidR="00E97F88" w:rsidRPr="00813D19">
        <w:rPr>
          <w:bCs/>
          <w:lang w:val="en-US"/>
        </w:rPr>
        <w:t xml:space="preserve"> about a top-down approach in the safeguarding measures through the establishment of a higher committee consisting of experts, specialists and practit</w:t>
      </w:r>
      <w:r w:rsidR="000F76BC" w:rsidRPr="00813D19">
        <w:rPr>
          <w:bCs/>
          <w:lang w:val="en-US"/>
        </w:rPr>
        <w:t>ioners responsible for ensuring</w:t>
      </w:r>
      <w:r w:rsidR="00E97F88" w:rsidRPr="00813D19">
        <w:rPr>
          <w:bCs/>
          <w:lang w:val="en-US"/>
        </w:rPr>
        <w:t xml:space="preserve"> “that the art of As-Samer does not </w:t>
      </w:r>
      <w:r w:rsidR="000F76BC" w:rsidRPr="00813D19">
        <w:rPr>
          <w:bCs/>
          <w:lang w:val="en-US"/>
        </w:rPr>
        <w:t>evolve or change in any respect</w:t>
      </w:r>
      <w:r w:rsidR="00E97F88" w:rsidRPr="00813D19">
        <w:rPr>
          <w:bCs/>
          <w:lang w:val="en-US"/>
        </w:rPr>
        <w:t>”</w:t>
      </w:r>
      <w:r w:rsidR="000F76BC" w:rsidRPr="00813D19">
        <w:rPr>
          <w:bCs/>
          <w:lang w:val="en-US"/>
        </w:rPr>
        <w:t>. The Evaluation Body remarked</w:t>
      </w:r>
      <w:r w:rsidR="00E97F88" w:rsidRPr="00813D19">
        <w:rPr>
          <w:bCs/>
          <w:lang w:val="en-US"/>
        </w:rPr>
        <w:t xml:space="preserve"> that this intention </w:t>
      </w:r>
      <w:r w:rsidR="000F76BC" w:rsidRPr="00813D19">
        <w:rPr>
          <w:bCs/>
          <w:lang w:val="en-US"/>
        </w:rPr>
        <w:t xml:space="preserve">went </w:t>
      </w:r>
      <w:r w:rsidR="00E97F88" w:rsidRPr="00813D19">
        <w:rPr>
          <w:bCs/>
          <w:lang w:val="en-US"/>
        </w:rPr>
        <w:t xml:space="preserve">against the definition of intangible cultural heritage and </w:t>
      </w:r>
      <w:r w:rsidR="000F76BC" w:rsidRPr="00813D19">
        <w:rPr>
          <w:bCs/>
          <w:lang w:val="en-US"/>
        </w:rPr>
        <w:t xml:space="preserve">it wished </w:t>
      </w:r>
      <w:r w:rsidR="00E97F88" w:rsidRPr="00813D19">
        <w:rPr>
          <w:bCs/>
          <w:lang w:val="en-US"/>
        </w:rPr>
        <w:t>to ask the Evaluation B</w:t>
      </w:r>
      <w:r w:rsidR="00E72560">
        <w:rPr>
          <w:bCs/>
          <w:lang w:val="en-US"/>
        </w:rPr>
        <w:t>ody to elaborate on this point.</w:t>
      </w:r>
    </w:p>
    <w:p w14:paraId="24FD6374" w14:textId="12F48923" w:rsidR="007B5A0B" w:rsidRPr="00813D19" w:rsidRDefault="007B5A0B"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Cuba</w:t>
      </w:r>
      <w:r w:rsidR="00E97F88" w:rsidRPr="00813D19">
        <w:rPr>
          <w:b/>
          <w:color w:val="000000" w:themeColor="text1"/>
          <w:lang w:val="en-US"/>
        </w:rPr>
        <w:t xml:space="preserve"> </w:t>
      </w:r>
      <w:r w:rsidR="00E97F88" w:rsidRPr="00813D19">
        <w:rPr>
          <w:bCs/>
          <w:lang w:val="en-US"/>
        </w:rPr>
        <w:t>echo</w:t>
      </w:r>
      <w:r w:rsidR="00DD640E" w:rsidRPr="00813D19">
        <w:rPr>
          <w:bCs/>
          <w:lang w:val="en-US"/>
        </w:rPr>
        <w:t>ed</w:t>
      </w:r>
      <w:r w:rsidR="00E97F88" w:rsidRPr="00813D19">
        <w:rPr>
          <w:bCs/>
          <w:lang w:val="en-US"/>
        </w:rPr>
        <w:t xml:space="preserve"> </w:t>
      </w:r>
      <w:r w:rsidR="00DD640E" w:rsidRPr="00813D19">
        <w:rPr>
          <w:bCs/>
          <w:lang w:val="en-US"/>
        </w:rPr>
        <w:t xml:space="preserve">the remarks made </w:t>
      </w:r>
      <w:r w:rsidR="00E97F88" w:rsidRPr="00813D19">
        <w:rPr>
          <w:bCs/>
          <w:lang w:val="en-US"/>
        </w:rPr>
        <w:t xml:space="preserve">by </w:t>
      </w:r>
      <w:r w:rsidR="00DD640E" w:rsidRPr="00813D19">
        <w:rPr>
          <w:bCs/>
          <w:lang w:val="en-US"/>
        </w:rPr>
        <w:t xml:space="preserve">previous speakers, lending its </w:t>
      </w:r>
      <w:r w:rsidR="00E97F88" w:rsidRPr="00813D19">
        <w:rPr>
          <w:bCs/>
          <w:lang w:val="en-US"/>
        </w:rPr>
        <w:t xml:space="preserve">support </w:t>
      </w:r>
      <w:r w:rsidR="00DD640E" w:rsidRPr="00813D19">
        <w:rPr>
          <w:bCs/>
          <w:lang w:val="en-US"/>
        </w:rPr>
        <w:t xml:space="preserve">for the </w:t>
      </w:r>
      <w:r w:rsidR="00E97F88" w:rsidRPr="00813D19">
        <w:rPr>
          <w:bCs/>
          <w:lang w:val="en-US"/>
        </w:rPr>
        <w:t xml:space="preserve">element </w:t>
      </w:r>
      <w:r w:rsidR="00DD640E" w:rsidRPr="00813D19">
        <w:rPr>
          <w:bCs/>
          <w:lang w:val="en-US"/>
        </w:rPr>
        <w:t xml:space="preserve">to </w:t>
      </w:r>
      <w:r w:rsidR="00E72560">
        <w:rPr>
          <w:bCs/>
          <w:lang w:val="en-US"/>
        </w:rPr>
        <w:t>be inscribed.</w:t>
      </w:r>
    </w:p>
    <w:p w14:paraId="1BB1EA5E" w14:textId="780D8391" w:rsidR="00720279" w:rsidRPr="00813D19" w:rsidRDefault="00720279"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Austria</w:t>
      </w:r>
      <w:r w:rsidR="00E97F88" w:rsidRPr="00813D19">
        <w:rPr>
          <w:b/>
          <w:color w:val="000000" w:themeColor="text1"/>
          <w:lang w:val="en-US"/>
        </w:rPr>
        <w:t xml:space="preserve"> </w:t>
      </w:r>
      <w:r w:rsidR="000F76BC" w:rsidRPr="00813D19">
        <w:rPr>
          <w:color w:val="000000" w:themeColor="text1"/>
          <w:lang w:val="en-US"/>
        </w:rPr>
        <w:t>concurred</w:t>
      </w:r>
      <w:r w:rsidR="000F76BC" w:rsidRPr="00813D19">
        <w:rPr>
          <w:b/>
          <w:color w:val="000000" w:themeColor="text1"/>
          <w:lang w:val="en-US"/>
        </w:rPr>
        <w:t xml:space="preserve"> </w:t>
      </w:r>
      <w:r w:rsidR="000F76BC" w:rsidRPr="00813D19">
        <w:rPr>
          <w:bCs/>
          <w:lang w:val="en-US"/>
        </w:rPr>
        <w:t xml:space="preserve">with the Netherlands that </w:t>
      </w:r>
      <w:r w:rsidR="008B316E">
        <w:rPr>
          <w:bCs/>
          <w:lang w:val="en-US"/>
        </w:rPr>
        <w:t>S</w:t>
      </w:r>
      <w:r w:rsidR="00E97F88" w:rsidRPr="00813D19">
        <w:rPr>
          <w:bCs/>
          <w:lang w:val="en-US"/>
        </w:rPr>
        <w:t xml:space="preserve">ection 3.b. in the file </w:t>
      </w:r>
      <w:r w:rsidR="000F76BC" w:rsidRPr="00813D19">
        <w:rPr>
          <w:bCs/>
          <w:lang w:val="en-US"/>
        </w:rPr>
        <w:t xml:space="preserve">was </w:t>
      </w:r>
      <w:r w:rsidR="00E97F88" w:rsidRPr="00813D19">
        <w:rPr>
          <w:bCs/>
          <w:lang w:val="en-US"/>
        </w:rPr>
        <w:t>problematic</w:t>
      </w:r>
      <w:r w:rsidR="00707193" w:rsidRPr="00813D19">
        <w:rPr>
          <w:bCs/>
          <w:lang w:val="en-US"/>
        </w:rPr>
        <w:t xml:space="preserve">, adding that it was </w:t>
      </w:r>
      <w:r w:rsidR="00E97F88" w:rsidRPr="00813D19">
        <w:rPr>
          <w:bCs/>
          <w:lang w:val="en-US"/>
        </w:rPr>
        <w:t xml:space="preserve">surprised that the Evaluation Body </w:t>
      </w:r>
      <w:r w:rsidR="00707193" w:rsidRPr="00813D19">
        <w:rPr>
          <w:bCs/>
          <w:lang w:val="en-US"/>
        </w:rPr>
        <w:t xml:space="preserve">had </w:t>
      </w:r>
      <w:r w:rsidR="00E97F88" w:rsidRPr="00813D19">
        <w:rPr>
          <w:bCs/>
          <w:lang w:val="en-US"/>
        </w:rPr>
        <w:t xml:space="preserve">not </w:t>
      </w:r>
      <w:r w:rsidR="00707193" w:rsidRPr="00813D19">
        <w:rPr>
          <w:bCs/>
          <w:lang w:val="en-US"/>
        </w:rPr>
        <w:t>highlighted point 4 in the file, which read</w:t>
      </w:r>
      <w:r w:rsidR="00E97F88" w:rsidRPr="00813D19">
        <w:rPr>
          <w:bCs/>
          <w:lang w:val="en-US"/>
        </w:rPr>
        <w:t xml:space="preserve">, “encourage women to contribute to and participate in this art highlighting the traditional role completely.” </w:t>
      </w:r>
      <w:r w:rsidR="00707193" w:rsidRPr="00813D19">
        <w:rPr>
          <w:bCs/>
          <w:lang w:val="en-US"/>
        </w:rPr>
        <w:t xml:space="preserve">The delegation wished to hear from Jordan on the meaning of this sentence, as </w:t>
      </w:r>
      <w:r w:rsidR="00E97F88" w:rsidRPr="00813D19">
        <w:rPr>
          <w:bCs/>
          <w:lang w:val="en-US"/>
        </w:rPr>
        <w:t xml:space="preserve">gender equality </w:t>
      </w:r>
      <w:r w:rsidR="00707193" w:rsidRPr="00813D19">
        <w:rPr>
          <w:bCs/>
          <w:lang w:val="en-US"/>
        </w:rPr>
        <w:t xml:space="preserve">was </w:t>
      </w:r>
      <w:r w:rsidR="00E97F88" w:rsidRPr="00813D19">
        <w:rPr>
          <w:bCs/>
          <w:lang w:val="en-US"/>
        </w:rPr>
        <w:t xml:space="preserve">of such importance that </w:t>
      </w:r>
      <w:r w:rsidR="00707193" w:rsidRPr="00813D19">
        <w:rPr>
          <w:bCs/>
          <w:lang w:val="en-US"/>
        </w:rPr>
        <w:t>it sought clarity</w:t>
      </w:r>
      <w:r w:rsidR="00E72560">
        <w:rPr>
          <w:bCs/>
          <w:lang w:val="en-US"/>
        </w:rPr>
        <w:t>.</w:t>
      </w:r>
    </w:p>
    <w:p w14:paraId="108690E1" w14:textId="2546FAA2" w:rsidR="00524B93" w:rsidRPr="00813D19" w:rsidRDefault="00524B93"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of the Evaluation Body </w:t>
      </w:r>
      <w:r w:rsidR="00E4572E" w:rsidRPr="00813D19">
        <w:rPr>
          <w:color w:val="000000" w:themeColor="text1"/>
          <w:lang w:val="en-US"/>
        </w:rPr>
        <w:t xml:space="preserve">referred to </w:t>
      </w:r>
      <w:r w:rsidR="00E4572E" w:rsidRPr="00813D19">
        <w:rPr>
          <w:bCs/>
          <w:lang w:val="en-US"/>
        </w:rPr>
        <w:t xml:space="preserve">the establishment of a </w:t>
      </w:r>
      <w:r w:rsidR="00E97F88" w:rsidRPr="00813D19">
        <w:rPr>
          <w:bCs/>
          <w:lang w:val="en-US"/>
        </w:rPr>
        <w:t xml:space="preserve">specialized committee </w:t>
      </w:r>
      <w:r w:rsidR="00E4572E" w:rsidRPr="00813D19">
        <w:rPr>
          <w:bCs/>
          <w:lang w:val="en-US"/>
        </w:rPr>
        <w:t xml:space="preserve">to </w:t>
      </w:r>
      <w:r w:rsidR="00E97F88" w:rsidRPr="00813D19">
        <w:rPr>
          <w:bCs/>
          <w:lang w:val="en-US"/>
        </w:rPr>
        <w:t xml:space="preserve">ensure </w:t>
      </w:r>
      <w:r w:rsidR="00E4572E" w:rsidRPr="00813D19">
        <w:rPr>
          <w:bCs/>
          <w:lang w:val="en-US"/>
        </w:rPr>
        <w:t xml:space="preserve">that </w:t>
      </w:r>
      <w:r w:rsidR="00E97F88" w:rsidRPr="00813D19">
        <w:rPr>
          <w:bCs/>
          <w:lang w:val="en-US"/>
        </w:rPr>
        <w:t xml:space="preserve">the element </w:t>
      </w:r>
      <w:r w:rsidR="00E4572E" w:rsidRPr="00813D19">
        <w:rPr>
          <w:bCs/>
          <w:lang w:val="en-US"/>
        </w:rPr>
        <w:t xml:space="preserve">did not evolve or change </w:t>
      </w:r>
      <w:r w:rsidR="004E4CB3" w:rsidRPr="00813D19">
        <w:rPr>
          <w:bCs/>
          <w:lang w:val="en-US"/>
        </w:rPr>
        <w:t xml:space="preserve">as being </w:t>
      </w:r>
      <w:r w:rsidR="00E4572E" w:rsidRPr="00813D19">
        <w:rPr>
          <w:bCs/>
          <w:lang w:val="en-US"/>
        </w:rPr>
        <w:t xml:space="preserve">contrary to the Convention, explaining that </w:t>
      </w:r>
      <w:r w:rsidR="00E97F88" w:rsidRPr="00813D19">
        <w:rPr>
          <w:bCs/>
          <w:lang w:val="en-US"/>
        </w:rPr>
        <w:t xml:space="preserve">the </w:t>
      </w:r>
      <w:r w:rsidR="00E4572E" w:rsidRPr="00813D19">
        <w:rPr>
          <w:bCs/>
          <w:lang w:val="en-US"/>
        </w:rPr>
        <w:t xml:space="preserve">essence </w:t>
      </w:r>
      <w:r w:rsidR="00E97F88" w:rsidRPr="00813D19">
        <w:rPr>
          <w:bCs/>
          <w:lang w:val="en-US"/>
        </w:rPr>
        <w:t xml:space="preserve">of </w:t>
      </w:r>
      <w:r w:rsidR="00E4572E" w:rsidRPr="00813D19">
        <w:rPr>
          <w:bCs/>
          <w:lang w:val="en-US"/>
        </w:rPr>
        <w:t xml:space="preserve">intangible cultural heritage was that it is </w:t>
      </w:r>
      <w:r w:rsidR="00E97F88" w:rsidRPr="00813D19">
        <w:rPr>
          <w:bCs/>
          <w:lang w:val="en-US"/>
        </w:rPr>
        <w:t>a living heri</w:t>
      </w:r>
      <w:r w:rsidR="00E4572E" w:rsidRPr="00813D19">
        <w:rPr>
          <w:bCs/>
          <w:lang w:val="en-US"/>
        </w:rPr>
        <w:t xml:space="preserve">tage that </w:t>
      </w:r>
      <w:r w:rsidR="00E97F88" w:rsidRPr="00813D19">
        <w:rPr>
          <w:bCs/>
          <w:lang w:val="en-US"/>
        </w:rPr>
        <w:t>is constantly recreated</w:t>
      </w:r>
      <w:r w:rsidR="00E4572E" w:rsidRPr="00813D19">
        <w:rPr>
          <w:bCs/>
          <w:lang w:val="en-US"/>
        </w:rPr>
        <w:t xml:space="preserve">, as outlined in Article 2 of </w:t>
      </w:r>
      <w:r w:rsidR="00E97F88" w:rsidRPr="00813D19">
        <w:rPr>
          <w:bCs/>
          <w:lang w:val="en-US"/>
        </w:rPr>
        <w:t>the Convention</w:t>
      </w:r>
      <w:r w:rsidR="000F76BC" w:rsidRPr="00813D19">
        <w:rPr>
          <w:bCs/>
          <w:lang w:val="en-US"/>
        </w:rPr>
        <w:t>.</w:t>
      </w:r>
    </w:p>
    <w:p w14:paraId="2E11E941" w14:textId="397D48BD" w:rsidR="00BE1E76" w:rsidRPr="00813D19" w:rsidRDefault="00555C48" w:rsidP="00A46EA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Jordan</w:t>
      </w:r>
      <w:r w:rsidR="00E97F88" w:rsidRPr="00813D19">
        <w:rPr>
          <w:b/>
          <w:color w:val="000000" w:themeColor="text1"/>
          <w:lang w:val="en-US"/>
        </w:rPr>
        <w:t xml:space="preserve"> </w:t>
      </w:r>
      <w:r w:rsidR="00D43A11" w:rsidRPr="00813D19">
        <w:rPr>
          <w:color w:val="000000" w:themeColor="text1"/>
          <w:lang w:val="en-US"/>
        </w:rPr>
        <w:t xml:space="preserve">thanked the </w:t>
      </w:r>
      <w:r w:rsidR="00E97F88" w:rsidRPr="00813D19">
        <w:rPr>
          <w:bCs/>
          <w:lang w:val="en-US"/>
        </w:rPr>
        <w:t xml:space="preserve">Chairperson for </w:t>
      </w:r>
      <w:r w:rsidR="00D43A11" w:rsidRPr="00813D19">
        <w:rPr>
          <w:bCs/>
          <w:lang w:val="en-US"/>
        </w:rPr>
        <w:t xml:space="preserve">the </w:t>
      </w:r>
      <w:r w:rsidR="00E97F88" w:rsidRPr="00813D19">
        <w:rPr>
          <w:bCs/>
          <w:lang w:val="en-US"/>
        </w:rPr>
        <w:t>opportunity to reply to the various queries</w:t>
      </w:r>
      <w:r w:rsidR="00D43A11" w:rsidRPr="00813D19">
        <w:rPr>
          <w:bCs/>
          <w:lang w:val="en-US"/>
        </w:rPr>
        <w:t xml:space="preserve"> and for his </w:t>
      </w:r>
      <w:r w:rsidR="00E97F88" w:rsidRPr="00813D19">
        <w:rPr>
          <w:bCs/>
          <w:lang w:val="en-US"/>
        </w:rPr>
        <w:t>wise leadership</w:t>
      </w:r>
      <w:r w:rsidR="00D43A11" w:rsidRPr="00813D19">
        <w:rPr>
          <w:bCs/>
          <w:lang w:val="en-US"/>
        </w:rPr>
        <w:t xml:space="preserve">, and </w:t>
      </w:r>
      <w:r w:rsidR="00E97F88" w:rsidRPr="00813D19">
        <w:rPr>
          <w:bCs/>
          <w:lang w:val="en-US"/>
        </w:rPr>
        <w:t xml:space="preserve">the Evaluation Body for </w:t>
      </w:r>
      <w:r w:rsidR="00D43A11" w:rsidRPr="00813D19">
        <w:rPr>
          <w:bCs/>
          <w:lang w:val="en-US"/>
        </w:rPr>
        <w:t xml:space="preserve">its </w:t>
      </w:r>
      <w:r w:rsidR="00E97F88" w:rsidRPr="00813D19">
        <w:rPr>
          <w:bCs/>
          <w:lang w:val="en-US"/>
        </w:rPr>
        <w:t>valuable</w:t>
      </w:r>
      <w:r w:rsidR="00D43A11" w:rsidRPr="00813D19">
        <w:rPr>
          <w:bCs/>
          <w:lang w:val="en-US"/>
        </w:rPr>
        <w:t>,</w:t>
      </w:r>
      <w:r w:rsidR="00E97F88" w:rsidRPr="00813D19">
        <w:rPr>
          <w:bCs/>
          <w:lang w:val="en-US"/>
        </w:rPr>
        <w:t xml:space="preserve"> continuous effort </w:t>
      </w:r>
      <w:r w:rsidR="00D43A11" w:rsidRPr="00813D19">
        <w:rPr>
          <w:bCs/>
          <w:lang w:val="en-US"/>
        </w:rPr>
        <w:t>to evaluate</w:t>
      </w:r>
      <w:r w:rsidR="00E97F88" w:rsidRPr="00813D19">
        <w:rPr>
          <w:bCs/>
          <w:lang w:val="en-US"/>
        </w:rPr>
        <w:t xml:space="preserve"> the files in an objective and neutral way. The </w:t>
      </w:r>
      <w:r w:rsidR="00D43A11" w:rsidRPr="00813D19">
        <w:rPr>
          <w:bCs/>
          <w:lang w:val="en-US"/>
        </w:rPr>
        <w:t xml:space="preserve">delegation explained that </w:t>
      </w:r>
      <w:r w:rsidR="00E97F88" w:rsidRPr="00813D19">
        <w:rPr>
          <w:bCs/>
          <w:lang w:val="en-US"/>
        </w:rPr>
        <w:t xml:space="preserve">Jordanians believe that As-Samer represents them </w:t>
      </w:r>
      <w:r w:rsidR="00D43A11" w:rsidRPr="00813D19">
        <w:rPr>
          <w:bCs/>
          <w:lang w:val="en-US"/>
        </w:rPr>
        <w:t>nationally and internationally, perceiving</w:t>
      </w:r>
      <w:r w:rsidR="00E97F88" w:rsidRPr="00813D19">
        <w:rPr>
          <w:bCs/>
          <w:lang w:val="en-US"/>
        </w:rPr>
        <w:t xml:space="preserve"> it as a communication channel through which to transmit their cultural values and way of life. For ideally</w:t>
      </w:r>
      <w:r w:rsidR="00D43A11" w:rsidRPr="00813D19">
        <w:rPr>
          <w:bCs/>
          <w:lang w:val="en-US"/>
        </w:rPr>
        <w:t>,</w:t>
      </w:r>
      <w:r w:rsidR="00E97F88" w:rsidRPr="00813D19">
        <w:rPr>
          <w:bCs/>
          <w:lang w:val="en-US"/>
        </w:rPr>
        <w:t xml:space="preserve"> it reflects their traditi</w:t>
      </w:r>
      <w:r w:rsidR="00D43A11" w:rsidRPr="00813D19">
        <w:rPr>
          <w:bCs/>
          <w:lang w:val="en-US"/>
        </w:rPr>
        <w:t>ons, norms and social character, and the d</w:t>
      </w:r>
      <w:r w:rsidR="00E97F88" w:rsidRPr="00813D19">
        <w:rPr>
          <w:bCs/>
          <w:lang w:val="en-US"/>
        </w:rPr>
        <w:t xml:space="preserve">ance performances are seen as the means to break down cultural barriers. </w:t>
      </w:r>
      <w:r w:rsidR="00D43A11" w:rsidRPr="00813D19">
        <w:rPr>
          <w:bCs/>
          <w:lang w:val="en-US"/>
        </w:rPr>
        <w:t xml:space="preserve">Inscription of the element would </w:t>
      </w:r>
      <w:r w:rsidR="00E97F88" w:rsidRPr="00813D19">
        <w:rPr>
          <w:bCs/>
          <w:lang w:val="en-US"/>
        </w:rPr>
        <w:t>enable Jordanians to strengthen their interaction with other cultures on t</w:t>
      </w:r>
      <w:r w:rsidR="00D43A11" w:rsidRPr="00813D19">
        <w:rPr>
          <w:bCs/>
          <w:lang w:val="en-US"/>
        </w:rPr>
        <w:t xml:space="preserve">he basis of parity and dignity, and result in </w:t>
      </w:r>
      <w:r w:rsidR="00E97F88" w:rsidRPr="00813D19">
        <w:rPr>
          <w:bCs/>
          <w:lang w:val="en-US"/>
        </w:rPr>
        <w:t xml:space="preserve">better international recognition of the element </w:t>
      </w:r>
      <w:r w:rsidR="00D43A11" w:rsidRPr="00813D19">
        <w:rPr>
          <w:bCs/>
          <w:lang w:val="en-US"/>
        </w:rPr>
        <w:t>that would arouse</w:t>
      </w:r>
      <w:r w:rsidR="00E97F88" w:rsidRPr="00813D19">
        <w:rPr>
          <w:bCs/>
          <w:lang w:val="en-US"/>
        </w:rPr>
        <w:t xml:space="preserve"> a growing interest </w:t>
      </w:r>
      <w:r w:rsidR="00EF6D69" w:rsidRPr="00813D19">
        <w:rPr>
          <w:bCs/>
          <w:lang w:val="en-US"/>
        </w:rPr>
        <w:t xml:space="preserve">among </w:t>
      </w:r>
      <w:r w:rsidR="00E97F88" w:rsidRPr="00813D19">
        <w:rPr>
          <w:bCs/>
          <w:lang w:val="en-US"/>
        </w:rPr>
        <w:t xml:space="preserve">experts, actors, the public and others, </w:t>
      </w:r>
      <w:r w:rsidR="00D43A11" w:rsidRPr="00813D19">
        <w:rPr>
          <w:bCs/>
          <w:lang w:val="en-US"/>
        </w:rPr>
        <w:t>thereby contributing</w:t>
      </w:r>
      <w:r w:rsidR="00E97F88" w:rsidRPr="00813D19">
        <w:rPr>
          <w:bCs/>
          <w:lang w:val="en-US"/>
        </w:rPr>
        <w:t xml:space="preserve"> to</w:t>
      </w:r>
      <w:r w:rsidR="00D43A11" w:rsidRPr="00813D19">
        <w:rPr>
          <w:bCs/>
          <w:lang w:val="en-US"/>
        </w:rPr>
        <w:t>wards</w:t>
      </w:r>
      <w:r w:rsidR="00E97F88" w:rsidRPr="00813D19">
        <w:rPr>
          <w:bCs/>
          <w:lang w:val="en-US"/>
        </w:rPr>
        <w:t xml:space="preserve"> </w:t>
      </w:r>
      <w:r w:rsidR="00D43A11" w:rsidRPr="00813D19">
        <w:rPr>
          <w:bCs/>
          <w:lang w:val="en-US"/>
        </w:rPr>
        <w:t>enriching</w:t>
      </w:r>
      <w:r w:rsidR="00E97F88" w:rsidRPr="00813D19">
        <w:rPr>
          <w:bCs/>
          <w:lang w:val="en-US"/>
        </w:rPr>
        <w:t xml:space="preserve"> knowledge of As-Samer heritage. It </w:t>
      </w:r>
      <w:r w:rsidR="00CD5F8B">
        <w:rPr>
          <w:bCs/>
          <w:lang w:val="en-US"/>
        </w:rPr>
        <w:t>would</w:t>
      </w:r>
      <w:r w:rsidR="00CD5F8B" w:rsidRPr="00813D19">
        <w:rPr>
          <w:bCs/>
          <w:lang w:val="en-US"/>
        </w:rPr>
        <w:t xml:space="preserve"> </w:t>
      </w:r>
      <w:r w:rsidR="00D43A11" w:rsidRPr="00813D19">
        <w:rPr>
          <w:bCs/>
          <w:lang w:val="en-US"/>
        </w:rPr>
        <w:t>promote</w:t>
      </w:r>
      <w:r w:rsidR="00E97F88" w:rsidRPr="00813D19">
        <w:rPr>
          <w:bCs/>
          <w:lang w:val="en-US"/>
        </w:rPr>
        <w:t xml:space="preserve"> expressions around the world that are used to achieve sustainable development. As-Samer is increasingly present in international festivals and exhibitions</w:t>
      </w:r>
      <w:r w:rsidR="00D43A11" w:rsidRPr="00813D19">
        <w:rPr>
          <w:bCs/>
          <w:lang w:val="en-US"/>
        </w:rPr>
        <w:t>,</w:t>
      </w:r>
      <w:r w:rsidR="00E97F88" w:rsidRPr="00813D19">
        <w:rPr>
          <w:bCs/>
          <w:lang w:val="en-US"/>
        </w:rPr>
        <w:t xml:space="preserve"> and in cultural cooperation activities </w:t>
      </w:r>
      <w:r w:rsidR="00D43A11" w:rsidRPr="00813D19">
        <w:rPr>
          <w:bCs/>
          <w:lang w:val="en-US"/>
        </w:rPr>
        <w:t xml:space="preserve">around </w:t>
      </w:r>
      <w:r w:rsidR="00BE1E76" w:rsidRPr="00813D19">
        <w:rPr>
          <w:bCs/>
          <w:lang w:val="en-US"/>
        </w:rPr>
        <w:t xml:space="preserve">the world, and it would make the communities, groups, </w:t>
      </w:r>
      <w:r w:rsidR="00E97F88" w:rsidRPr="00813D19">
        <w:rPr>
          <w:bCs/>
          <w:lang w:val="en-US"/>
        </w:rPr>
        <w:t xml:space="preserve">inter-Jordanians and </w:t>
      </w:r>
      <w:r w:rsidR="00BE1E76" w:rsidRPr="00813D19">
        <w:rPr>
          <w:bCs/>
          <w:lang w:val="en-US"/>
        </w:rPr>
        <w:t xml:space="preserve">the </w:t>
      </w:r>
      <w:r w:rsidR="00E97F88" w:rsidRPr="00813D19">
        <w:rPr>
          <w:bCs/>
          <w:lang w:val="en-US"/>
        </w:rPr>
        <w:t xml:space="preserve">international community appreciate it and </w:t>
      </w:r>
      <w:r w:rsidR="00BE1E76" w:rsidRPr="00813D19">
        <w:rPr>
          <w:bCs/>
          <w:lang w:val="en-US"/>
        </w:rPr>
        <w:t xml:space="preserve">also become </w:t>
      </w:r>
      <w:r w:rsidR="00E97F88" w:rsidRPr="00813D19">
        <w:rPr>
          <w:bCs/>
          <w:lang w:val="en-US"/>
        </w:rPr>
        <w:t xml:space="preserve">aware of </w:t>
      </w:r>
      <w:r w:rsidR="00BE1E76" w:rsidRPr="00813D19">
        <w:rPr>
          <w:bCs/>
          <w:lang w:val="en-US"/>
        </w:rPr>
        <w:t xml:space="preserve">such </w:t>
      </w:r>
      <w:r w:rsidR="00E97F88" w:rsidRPr="00813D19">
        <w:rPr>
          <w:bCs/>
          <w:lang w:val="en-US"/>
        </w:rPr>
        <w:t xml:space="preserve">international policies </w:t>
      </w:r>
      <w:r w:rsidR="00BE1E76" w:rsidRPr="00813D19">
        <w:rPr>
          <w:bCs/>
          <w:lang w:val="en-US"/>
        </w:rPr>
        <w:t xml:space="preserve">as </w:t>
      </w:r>
      <w:r w:rsidR="00E97F88" w:rsidRPr="00813D19">
        <w:rPr>
          <w:bCs/>
          <w:lang w:val="en-US"/>
        </w:rPr>
        <w:t xml:space="preserve">UNESCO </w:t>
      </w:r>
      <w:r w:rsidR="00BE1E76" w:rsidRPr="00813D19">
        <w:rPr>
          <w:bCs/>
          <w:lang w:val="en-US"/>
        </w:rPr>
        <w:t xml:space="preserve">with regard to </w:t>
      </w:r>
      <w:r w:rsidR="00E97F88" w:rsidRPr="00813D19">
        <w:rPr>
          <w:bCs/>
          <w:lang w:val="en-US"/>
        </w:rPr>
        <w:t>safeguarding intangible cultural heritage. As-Samer is an identity maker. Its inscription would serve to raise its profile</w:t>
      </w:r>
      <w:r w:rsidR="00BE1E76" w:rsidRPr="00813D19">
        <w:rPr>
          <w:bCs/>
          <w:lang w:val="en-US"/>
        </w:rPr>
        <w:t>,</w:t>
      </w:r>
      <w:r w:rsidR="00E97F88" w:rsidRPr="00813D19">
        <w:rPr>
          <w:bCs/>
          <w:lang w:val="en-US"/>
        </w:rPr>
        <w:t xml:space="preserve"> and promote cultural diversity and understanding in </w:t>
      </w:r>
      <w:r w:rsidR="00813D19" w:rsidRPr="00813D19">
        <w:rPr>
          <w:bCs/>
          <w:lang w:val="en-US"/>
        </w:rPr>
        <w:t>an</w:t>
      </w:r>
      <w:r w:rsidR="00BE1E76" w:rsidRPr="00813D19">
        <w:rPr>
          <w:bCs/>
          <w:lang w:val="en-US"/>
        </w:rPr>
        <w:t xml:space="preserve"> </w:t>
      </w:r>
      <w:r w:rsidR="00E72560">
        <w:rPr>
          <w:bCs/>
          <w:lang w:val="en-US"/>
        </w:rPr>
        <w:t>increasingly globalized world.</w:t>
      </w:r>
    </w:p>
    <w:p w14:paraId="724CE204" w14:textId="41F2CE26" w:rsidR="000A69EB" w:rsidRPr="00813D19" w:rsidRDefault="00BE1E76" w:rsidP="00A46EA0">
      <w:pPr>
        <w:pStyle w:val="Orateurengris"/>
        <w:spacing w:before="120"/>
        <w:ind w:left="709" w:hanging="709"/>
        <w:rPr>
          <w:color w:val="000000" w:themeColor="text1"/>
          <w:lang w:val="en-US"/>
        </w:rPr>
      </w:pPr>
      <w:r w:rsidRPr="00813D19">
        <w:rPr>
          <w:color w:val="000000" w:themeColor="text1"/>
          <w:lang w:val="en-US"/>
        </w:rPr>
        <w:t xml:space="preserve">Regarding the </w:t>
      </w:r>
      <w:r w:rsidR="00E97F88" w:rsidRPr="00813D19">
        <w:rPr>
          <w:bCs/>
          <w:lang w:val="en-US"/>
        </w:rPr>
        <w:t xml:space="preserve">safeguarding measures, </w:t>
      </w:r>
      <w:r w:rsidRPr="00813D19">
        <w:rPr>
          <w:bCs/>
          <w:lang w:val="en-US"/>
        </w:rPr>
        <w:t xml:space="preserve">the </w:t>
      </w:r>
      <w:r w:rsidRPr="00813D19">
        <w:rPr>
          <w:b/>
          <w:bCs/>
          <w:lang w:val="en-US"/>
        </w:rPr>
        <w:t>delegation of Jordan</w:t>
      </w:r>
      <w:r w:rsidRPr="00813D19">
        <w:rPr>
          <w:bCs/>
          <w:lang w:val="en-US"/>
        </w:rPr>
        <w:t xml:space="preserve"> explained that they </w:t>
      </w:r>
      <w:r w:rsidR="00E97F88" w:rsidRPr="00813D19">
        <w:rPr>
          <w:bCs/>
          <w:lang w:val="en-US"/>
        </w:rPr>
        <w:t>include</w:t>
      </w:r>
      <w:r w:rsidRPr="00813D19">
        <w:rPr>
          <w:bCs/>
          <w:lang w:val="en-US"/>
        </w:rPr>
        <w:t>d</w:t>
      </w:r>
      <w:r w:rsidR="00E97F88" w:rsidRPr="00813D19">
        <w:rPr>
          <w:bCs/>
          <w:lang w:val="en-US"/>
        </w:rPr>
        <w:t xml:space="preserve"> </w:t>
      </w:r>
      <w:r w:rsidR="00CD5F8B">
        <w:rPr>
          <w:bCs/>
          <w:lang w:val="en-US"/>
        </w:rPr>
        <w:t xml:space="preserve">the </w:t>
      </w:r>
      <w:r w:rsidR="00E97F88" w:rsidRPr="00813D19">
        <w:rPr>
          <w:bCs/>
          <w:lang w:val="en-US"/>
        </w:rPr>
        <w:t xml:space="preserve">promotion </w:t>
      </w:r>
      <w:r w:rsidRPr="00813D19">
        <w:rPr>
          <w:bCs/>
          <w:lang w:val="en-US"/>
        </w:rPr>
        <w:t xml:space="preserve">of the element </w:t>
      </w:r>
      <w:r w:rsidR="00E97F88" w:rsidRPr="00813D19">
        <w:rPr>
          <w:bCs/>
          <w:lang w:val="en-US"/>
        </w:rPr>
        <w:t xml:space="preserve">through a programme designed by the communities, </w:t>
      </w:r>
      <w:r w:rsidRPr="00813D19">
        <w:rPr>
          <w:bCs/>
          <w:lang w:val="en-US"/>
        </w:rPr>
        <w:t xml:space="preserve">with </w:t>
      </w:r>
      <w:r w:rsidR="00E97F88" w:rsidRPr="00813D19">
        <w:rPr>
          <w:bCs/>
          <w:lang w:val="en-US"/>
        </w:rPr>
        <w:t xml:space="preserve">support </w:t>
      </w:r>
      <w:r w:rsidRPr="00813D19">
        <w:rPr>
          <w:bCs/>
          <w:lang w:val="en-US"/>
        </w:rPr>
        <w:t xml:space="preserve">from </w:t>
      </w:r>
      <w:r w:rsidR="00E97F88" w:rsidRPr="00813D19">
        <w:rPr>
          <w:bCs/>
          <w:lang w:val="en-US"/>
        </w:rPr>
        <w:t>cultural institutions</w:t>
      </w:r>
      <w:r w:rsidRPr="00813D19">
        <w:rPr>
          <w:bCs/>
          <w:lang w:val="en-US"/>
        </w:rPr>
        <w:t>,</w:t>
      </w:r>
      <w:r w:rsidR="00E97F88" w:rsidRPr="00813D19">
        <w:rPr>
          <w:bCs/>
          <w:lang w:val="en-US"/>
        </w:rPr>
        <w:t xml:space="preserve"> to promote the element and its viability. Through concerts, public and media appearances in Jordan and abroad</w:t>
      </w:r>
      <w:r w:rsidR="000A69EB" w:rsidRPr="00813D19">
        <w:rPr>
          <w:bCs/>
          <w:lang w:val="en-US"/>
        </w:rPr>
        <w:t>,</w:t>
      </w:r>
      <w:r w:rsidR="00E97F88" w:rsidRPr="00813D19">
        <w:rPr>
          <w:bCs/>
          <w:lang w:val="en-US"/>
        </w:rPr>
        <w:t xml:space="preserve"> As-Samer gatherings constantly promote the value of Jordan’s traditional dances</w:t>
      </w:r>
      <w:r w:rsidR="000A69EB" w:rsidRPr="00813D19">
        <w:rPr>
          <w:bCs/>
          <w:lang w:val="en-US"/>
        </w:rPr>
        <w:t>,</w:t>
      </w:r>
      <w:r w:rsidR="00E97F88" w:rsidRPr="00813D19">
        <w:rPr>
          <w:bCs/>
          <w:lang w:val="en-US"/>
        </w:rPr>
        <w:t xml:space="preserve"> making the general</w:t>
      </w:r>
      <w:r w:rsidR="000A69EB" w:rsidRPr="00813D19">
        <w:rPr>
          <w:bCs/>
          <w:lang w:val="en-US"/>
        </w:rPr>
        <w:t xml:space="preserve"> public more familiar with them. S</w:t>
      </w:r>
      <w:r w:rsidR="00E97F88" w:rsidRPr="00813D19">
        <w:rPr>
          <w:bCs/>
          <w:lang w:val="en-US"/>
        </w:rPr>
        <w:t>pecial attention is dedicated to programmes presenting various versions of As-Samer to draw attention to the diversity of local variants of the basic patterns. The vis</w:t>
      </w:r>
      <w:r w:rsidR="000A69EB" w:rsidRPr="00813D19">
        <w:rPr>
          <w:bCs/>
          <w:lang w:val="en-US"/>
        </w:rPr>
        <w:t>ibility of As-Samer continues to increase</w:t>
      </w:r>
      <w:r w:rsidR="00E97F88" w:rsidRPr="00813D19">
        <w:rPr>
          <w:bCs/>
          <w:lang w:val="en-US"/>
        </w:rPr>
        <w:t xml:space="preserve"> due to cultural entertainment programmes broadcast </w:t>
      </w:r>
      <w:r w:rsidR="000A69EB" w:rsidRPr="00813D19">
        <w:rPr>
          <w:bCs/>
          <w:lang w:val="en-US"/>
        </w:rPr>
        <w:t xml:space="preserve">on </w:t>
      </w:r>
      <w:r w:rsidR="00E97F88" w:rsidRPr="00813D19">
        <w:rPr>
          <w:bCs/>
          <w:lang w:val="en-US"/>
        </w:rPr>
        <w:t xml:space="preserve">radio and television. An important </w:t>
      </w:r>
      <w:r w:rsidR="000A69EB" w:rsidRPr="00813D19">
        <w:rPr>
          <w:bCs/>
          <w:lang w:val="en-US"/>
        </w:rPr>
        <w:t xml:space="preserve">part </w:t>
      </w:r>
      <w:r w:rsidR="00E97F88" w:rsidRPr="00813D19">
        <w:rPr>
          <w:bCs/>
          <w:lang w:val="en-US"/>
        </w:rPr>
        <w:t xml:space="preserve">of promoting As-Samer is </w:t>
      </w:r>
      <w:r w:rsidR="000A69EB" w:rsidRPr="00813D19">
        <w:rPr>
          <w:bCs/>
          <w:lang w:val="en-US"/>
        </w:rPr>
        <w:t xml:space="preserve">its </w:t>
      </w:r>
      <w:r w:rsidR="00E97F88" w:rsidRPr="00813D19">
        <w:rPr>
          <w:bCs/>
          <w:lang w:val="en-US"/>
        </w:rPr>
        <w:t xml:space="preserve">presentation at festivals and contests involving numerous </w:t>
      </w:r>
      <w:r w:rsidR="000A69EB" w:rsidRPr="00813D19">
        <w:rPr>
          <w:bCs/>
          <w:lang w:val="en-US"/>
        </w:rPr>
        <w:t xml:space="preserve">intangible cultural heritage </w:t>
      </w:r>
      <w:r w:rsidR="00E97F88" w:rsidRPr="00813D19">
        <w:rPr>
          <w:bCs/>
          <w:lang w:val="en-US"/>
        </w:rPr>
        <w:t xml:space="preserve">examples. </w:t>
      </w:r>
      <w:r w:rsidR="000A69EB" w:rsidRPr="00813D19">
        <w:rPr>
          <w:bCs/>
          <w:lang w:val="en-US"/>
        </w:rPr>
        <w:t xml:space="preserve">Regarding the </w:t>
      </w:r>
      <w:r w:rsidR="00E97F88" w:rsidRPr="00813D19">
        <w:rPr>
          <w:bCs/>
          <w:lang w:val="en-US"/>
        </w:rPr>
        <w:t>involvement of practitioners in the safeguarding plans</w:t>
      </w:r>
      <w:r w:rsidR="000A69EB" w:rsidRPr="00813D19">
        <w:rPr>
          <w:bCs/>
          <w:lang w:val="en-US"/>
        </w:rPr>
        <w:t>,</w:t>
      </w:r>
      <w:r w:rsidR="00E97F88" w:rsidRPr="00813D19">
        <w:rPr>
          <w:bCs/>
          <w:lang w:val="en-US"/>
        </w:rPr>
        <w:t xml:space="preserve"> </w:t>
      </w:r>
      <w:r w:rsidR="000A69EB" w:rsidRPr="00813D19">
        <w:rPr>
          <w:bCs/>
          <w:lang w:val="en-US"/>
        </w:rPr>
        <w:t>the delegation dre</w:t>
      </w:r>
      <w:r w:rsidR="00E97F88" w:rsidRPr="00813D19">
        <w:rPr>
          <w:bCs/>
          <w:lang w:val="en-US"/>
        </w:rPr>
        <w:t xml:space="preserve">w attention </w:t>
      </w:r>
      <w:r w:rsidR="00EF6D69" w:rsidRPr="00813D19">
        <w:rPr>
          <w:bCs/>
          <w:lang w:val="en-US"/>
        </w:rPr>
        <w:t>to the fact that around 80 per cent</w:t>
      </w:r>
      <w:r w:rsidR="00E97F88" w:rsidRPr="00813D19">
        <w:rPr>
          <w:bCs/>
          <w:lang w:val="en-US"/>
        </w:rPr>
        <w:t xml:space="preserve"> of Jordanians are practitioners of this art. </w:t>
      </w:r>
      <w:r w:rsidR="000A69EB" w:rsidRPr="00813D19">
        <w:rPr>
          <w:bCs/>
          <w:lang w:val="en-US"/>
        </w:rPr>
        <w:t>The s</w:t>
      </w:r>
      <w:r w:rsidR="00E97F88" w:rsidRPr="00813D19">
        <w:rPr>
          <w:bCs/>
          <w:lang w:val="en-US"/>
        </w:rPr>
        <w:t xml:space="preserve">afeguarding plans </w:t>
      </w:r>
      <w:r w:rsidR="000A69EB" w:rsidRPr="00813D19">
        <w:rPr>
          <w:bCs/>
          <w:lang w:val="en-US"/>
        </w:rPr>
        <w:t>summariz</w:t>
      </w:r>
      <w:r w:rsidR="00E97F88" w:rsidRPr="00813D19">
        <w:rPr>
          <w:bCs/>
          <w:lang w:val="en-US"/>
        </w:rPr>
        <w:t xml:space="preserve">ed in the nomination dossier </w:t>
      </w:r>
      <w:r w:rsidR="000A69EB" w:rsidRPr="00813D19">
        <w:rPr>
          <w:bCs/>
          <w:lang w:val="en-US"/>
        </w:rPr>
        <w:t xml:space="preserve">were </w:t>
      </w:r>
      <w:r w:rsidR="00E97F88" w:rsidRPr="00813D19">
        <w:rPr>
          <w:bCs/>
          <w:lang w:val="en-US"/>
        </w:rPr>
        <w:t xml:space="preserve">mainly gleaned from Jordanian citizens. Attached to the nomination form </w:t>
      </w:r>
      <w:r w:rsidR="000A69EB" w:rsidRPr="00813D19">
        <w:rPr>
          <w:bCs/>
          <w:lang w:val="en-US"/>
        </w:rPr>
        <w:t xml:space="preserve">were </w:t>
      </w:r>
      <w:r w:rsidR="00CD5F8B">
        <w:rPr>
          <w:bCs/>
          <w:lang w:val="en-US"/>
        </w:rPr>
        <w:t>ninety</w:t>
      </w:r>
      <w:r w:rsidR="00CD5F8B" w:rsidRPr="00813D19">
        <w:rPr>
          <w:bCs/>
          <w:lang w:val="en-US"/>
        </w:rPr>
        <w:t xml:space="preserve"> </w:t>
      </w:r>
      <w:r w:rsidR="00E97F88" w:rsidRPr="00813D19">
        <w:rPr>
          <w:bCs/>
          <w:lang w:val="en-US"/>
        </w:rPr>
        <w:t xml:space="preserve">pages of consent letters from the community, composed and undersigned by representatives of NGOs, young and old citizens, researchers, cultural historians, teachers, students, poets, </w:t>
      </w:r>
      <w:r w:rsidR="000A69EB" w:rsidRPr="00813D19">
        <w:rPr>
          <w:bCs/>
          <w:lang w:val="en-US"/>
        </w:rPr>
        <w:t xml:space="preserve">and so on, </w:t>
      </w:r>
      <w:r w:rsidR="00E97F88" w:rsidRPr="00813D19">
        <w:rPr>
          <w:bCs/>
          <w:lang w:val="en-US"/>
        </w:rPr>
        <w:t xml:space="preserve">and </w:t>
      </w:r>
      <w:r w:rsidR="00CD5F8B">
        <w:rPr>
          <w:bCs/>
          <w:lang w:val="en-US"/>
        </w:rPr>
        <w:t xml:space="preserve">which </w:t>
      </w:r>
      <w:r w:rsidR="00E97F88" w:rsidRPr="00813D19">
        <w:rPr>
          <w:bCs/>
          <w:lang w:val="en-US"/>
        </w:rPr>
        <w:t xml:space="preserve">covered the entire country including Bedouin, </w:t>
      </w:r>
      <w:r w:rsidR="000A69EB" w:rsidRPr="00813D19">
        <w:rPr>
          <w:bCs/>
          <w:lang w:val="en-US"/>
        </w:rPr>
        <w:t xml:space="preserve">and rural and urban areas </w:t>
      </w:r>
      <w:r w:rsidR="00E97F88" w:rsidRPr="00813D19">
        <w:rPr>
          <w:bCs/>
          <w:lang w:val="en-US"/>
        </w:rPr>
        <w:t xml:space="preserve">with the principle of free, prior and informed consent. They reflect their real feelings and passion </w:t>
      </w:r>
      <w:r w:rsidR="00CD5F8B">
        <w:rPr>
          <w:bCs/>
          <w:lang w:val="en-US"/>
        </w:rPr>
        <w:t>for</w:t>
      </w:r>
      <w:r w:rsidR="00CD5F8B" w:rsidRPr="00813D19">
        <w:rPr>
          <w:bCs/>
          <w:lang w:val="en-US"/>
        </w:rPr>
        <w:t xml:space="preserve"> </w:t>
      </w:r>
      <w:r w:rsidR="00E97F88" w:rsidRPr="00813D19">
        <w:rPr>
          <w:bCs/>
          <w:lang w:val="en-US"/>
        </w:rPr>
        <w:t xml:space="preserve">this element. </w:t>
      </w:r>
      <w:r w:rsidR="00813D19" w:rsidRPr="00813D19">
        <w:rPr>
          <w:bCs/>
          <w:lang w:val="en-US"/>
        </w:rPr>
        <w:t>Moreover</w:t>
      </w:r>
      <w:r w:rsidR="000A69EB" w:rsidRPr="00813D19">
        <w:rPr>
          <w:bCs/>
          <w:lang w:val="en-US"/>
        </w:rPr>
        <w:t xml:space="preserve">, it was the local communities that </w:t>
      </w:r>
      <w:r w:rsidR="00E97F88" w:rsidRPr="00813D19">
        <w:rPr>
          <w:bCs/>
          <w:lang w:val="en-US"/>
        </w:rPr>
        <w:t xml:space="preserve">asked the government to help them in submitting the nomination file. </w:t>
      </w:r>
      <w:r w:rsidR="000A69EB" w:rsidRPr="00813D19">
        <w:rPr>
          <w:bCs/>
          <w:lang w:val="en-US"/>
        </w:rPr>
        <w:t>These consent letters</w:t>
      </w:r>
      <w:r w:rsidR="00E97F88" w:rsidRPr="00813D19">
        <w:rPr>
          <w:bCs/>
          <w:lang w:val="en-US"/>
        </w:rPr>
        <w:t xml:space="preserve"> show that Jordanians are not only declaring their interest in </w:t>
      </w:r>
      <w:r w:rsidR="000A69EB" w:rsidRPr="00813D19">
        <w:rPr>
          <w:bCs/>
          <w:lang w:val="en-US"/>
        </w:rPr>
        <w:t>inscribing</w:t>
      </w:r>
      <w:r w:rsidR="00E97F88" w:rsidRPr="00813D19">
        <w:rPr>
          <w:bCs/>
          <w:lang w:val="en-US"/>
        </w:rPr>
        <w:t xml:space="preserve"> </w:t>
      </w:r>
      <w:r w:rsidR="000A69EB" w:rsidRPr="00813D19">
        <w:rPr>
          <w:bCs/>
          <w:lang w:val="en-US"/>
        </w:rPr>
        <w:t xml:space="preserve">the </w:t>
      </w:r>
      <w:r w:rsidR="00E97F88" w:rsidRPr="00813D19">
        <w:rPr>
          <w:bCs/>
          <w:lang w:val="en-US"/>
        </w:rPr>
        <w:t xml:space="preserve">element as part of their identity and </w:t>
      </w:r>
      <w:r w:rsidR="00CD5F8B">
        <w:rPr>
          <w:bCs/>
          <w:lang w:val="en-US"/>
        </w:rPr>
        <w:t xml:space="preserve">a </w:t>
      </w:r>
      <w:r w:rsidR="00E97F88" w:rsidRPr="00813D19">
        <w:rPr>
          <w:bCs/>
          <w:lang w:val="en-US"/>
        </w:rPr>
        <w:t>stimulator of social cohesion and cultural dialogue</w:t>
      </w:r>
      <w:r w:rsidR="000A69EB" w:rsidRPr="00813D19">
        <w:rPr>
          <w:bCs/>
          <w:lang w:val="en-US"/>
        </w:rPr>
        <w:t>,</w:t>
      </w:r>
      <w:r w:rsidR="00E97F88" w:rsidRPr="00813D19">
        <w:rPr>
          <w:bCs/>
          <w:lang w:val="en-US"/>
        </w:rPr>
        <w:t xml:space="preserve"> but </w:t>
      </w:r>
      <w:r w:rsidR="000A69EB" w:rsidRPr="00813D19">
        <w:rPr>
          <w:bCs/>
          <w:lang w:val="en-US"/>
        </w:rPr>
        <w:t xml:space="preserve">are </w:t>
      </w:r>
      <w:r w:rsidR="00E97F88" w:rsidRPr="00813D19">
        <w:rPr>
          <w:bCs/>
          <w:lang w:val="en-US"/>
        </w:rPr>
        <w:t xml:space="preserve">also aware of all </w:t>
      </w:r>
      <w:r w:rsidR="000A69EB" w:rsidRPr="00813D19">
        <w:rPr>
          <w:bCs/>
          <w:lang w:val="en-US"/>
        </w:rPr>
        <w:t xml:space="preserve">the </w:t>
      </w:r>
      <w:r w:rsidR="00E97F88" w:rsidRPr="00813D19">
        <w:rPr>
          <w:bCs/>
          <w:lang w:val="en-US"/>
        </w:rPr>
        <w:t>consequences of inscription and therefore propose</w:t>
      </w:r>
      <w:r w:rsidR="000A69EB" w:rsidRPr="00813D19">
        <w:rPr>
          <w:bCs/>
          <w:lang w:val="en-US"/>
        </w:rPr>
        <w:t>d</w:t>
      </w:r>
      <w:r w:rsidR="00E97F88" w:rsidRPr="00813D19">
        <w:rPr>
          <w:bCs/>
          <w:lang w:val="en-US"/>
        </w:rPr>
        <w:t xml:space="preserve"> safeguarding measures that guarantee the promotion of the element</w:t>
      </w:r>
      <w:r w:rsidR="000A69EB" w:rsidRPr="00813D19">
        <w:rPr>
          <w:bCs/>
          <w:lang w:val="en-US"/>
        </w:rPr>
        <w:t>,</w:t>
      </w:r>
      <w:r w:rsidR="00E97F88" w:rsidRPr="00813D19">
        <w:rPr>
          <w:bCs/>
          <w:lang w:val="en-US"/>
        </w:rPr>
        <w:t xml:space="preserve"> </w:t>
      </w:r>
      <w:r w:rsidR="000A69EB" w:rsidRPr="00813D19">
        <w:rPr>
          <w:bCs/>
          <w:lang w:val="en-US"/>
        </w:rPr>
        <w:t>while mitigating</w:t>
      </w:r>
      <w:r w:rsidR="00E97F88" w:rsidRPr="00813D19">
        <w:rPr>
          <w:bCs/>
          <w:lang w:val="en-US"/>
        </w:rPr>
        <w:t xml:space="preserve"> </w:t>
      </w:r>
      <w:r w:rsidR="000A69EB" w:rsidRPr="00813D19">
        <w:rPr>
          <w:bCs/>
          <w:lang w:val="en-US"/>
        </w:rPr>
        <w:t xml:space="preserve">any </w:t>
      </w:r>
      <w:r w:rsidR="00E97F88" w:rsidRPr="00813D19">
        <w:rPr>
          <w:bCs/>
          <w:lang w:val="en-US"/>
        </w:rPr>
        <w:t>possible n</w:t>
      </w:r>
      <w:r w:rsidR="003D53B3">
        <w:rPr>
          <w:bCs/>
          <w:lang w:val="en-US"/>
        </w:rPr>
        <w:t>egative aspects of inscription.</w:t>
      </w:r>
    </w:p>
    <w:p w14:paraId="7CED4461" w14:textId="67A21685" w:rsidR="00555C48" w:rsidRPr="00813D19" w:rsidRDefault="000A69EB" w:rsidP="00A46EA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Jordan</w:t>
      </w:r>
      <w:r w:rsidRPr="00813D19">
        <w:rPr>
          <w:color w:val="000000" w:themeColor="text1"/>
          <w:lang w:val="en-US"/>
        </w:rPr>
        <w:t xml:space="preserve"> </w:t>
      </w:r>
      <w:r w:rsidR="008D67AF" w:rsidRPr="00813D19">
        <w:rPr>
          <w:color w:val="000000" w:themeColor="text1"/>
          <w:lang w:val="en-US"/>
        </w:rPr>
        <w:t xml:space="preserve">proposed </w:t>
      </w:r>
      <w:r w:rsidR="00E97F88" w:rsidRPr="00813D19">
        <w:rPr>
          <w:bCs/>
          <w:lang w:val="en-US"/>
        </w:rPr>
        <w:t>quot</w:t>
      </w:r>
      <w:r w:rsidR="00CD5F8B">
        <w:rPr>
          <w:bCs/>
          <w:lang w:val="en-US"/>
        </w:rPr>
        <w:t>ing</w:t>
      </w:r>
      <w:r w:rsidR="00E97F88" w:rsidRPr="00813D19">
        <w:rPr>
          <w:bCs/>
          <w:lang w:val="en-US"/>
        </w:rPr>
        <w:t xml:space="preserve"> some of the consents from </w:t>
      </w:r>
      <w:r w:rsidR="008D67AF" w:rsidRPr="00813D19">
        <w:rPr>
          <w:bCs/>
          <w:lang w:val="en-US"/>
        </w:rPr>
        <w:t xml:space="preserve">the </w:t>
      </w:r>
      <w:r w:rsidR="00E97F88" w:rsidRPr="00813D19">
        <w:rPr>
          <w:bCs/>
          <w:lang w:val="en-US"/>
        </w:rPr>
        <w:t xml:space="preserve">communities who </w:t>
      </w:r>
      <w:r w:rsidR="00CD5F8B">
        <w:rPr>
          <w:bCs/>
          <w:lang w:val="en-US"/>
        </w:rPr>
        <w:t xml:space="preserve">had </w:t>
      </w:r>
      <w:r w:rsidR="00E97F88" w:rsidRPr="00813D19">
        <w:rPr>
          <w:bCs/>
          <w:lang w:val="en-US"/>
        </w:rPr>
        <w:t xml:space="preserve">proposed </w:t>
      </w:r>
      <w:r w:rsidR="008D67AF" w:rsidRPr="00813D19">
        <w:rPr>
          <w:bCs/>
          <w:lang w:val="en-US"/>
        </w:rPr>
        <w:t xml:space="preserve">the </w:t>
      </w:r>
      <w:r w:rsidR="00E97F88" w:rsidRPr="00813D19">
        <w:rPr>
          <w:bCs/>
          <w:lang w:val="en-US"/>
        </w:rPr>
        <w:t xml:space="preserve">safeguarding measures in line with the Convention. </w:t>
      </w:r>
      <w:r w:rsidR="008D67AF" w:rsidRPr="00813D19">
        <w:rPr>
          <w:bCs/>
          <w:lang w:val="en-US"/>
        </w:rPr>
        <w:t xml:space="preserve">With regard to the </w:t>
      </w:r>
      <w:r w:rsidR="00E97F88" w:rsidRPr="00813D19">
        <w:rPr>
          <w:bCs/>
          <w:lang w:val="en-US"/>
        </w:rPr>
        <w:t xml:space="preserve">so-called higher committee </w:t>
      </w:r>
      <w:r w:rsidR="008D67AF" w:rsidRPr="00813D19">
        <w:rPr>
          <w:bCs/>
          <w:lang w:val="en-US"/>
        </w:rPr>
        <w:t xml:space="preserve">of experts and specialists, </w:t>
      </w:r>
      <w:r w:rsidR="00921185" w:rsidRPr="00813D19">
        <w:rPr>
          <w:bCs/>
          <w:lang w:val="en-US"/>
        </w:rPr>
        <w:t>Jordan understood</w:t>
      </w:r>
      <w:r w:rsidR="00E97F88" w:rsidRPr="00813D19">
        <w:rPr>
          <w:bCs/>
          <w:lang w:val="en-US"/>
        </w:rPr>
        <w:t xml:space="preserve"> its commitment regarding the </w:t>
      </w:r>
      <w:r w:rsidR="00921185" w:rsidRPr="00813D19">
        <w:rPr>
          <w:bCs/>
          <w:lang w:val="en-US"/>
        </w:rPr>
        <w:t xml:space="preserve">intangible cultural heritage </w:t>
      </w:r>
      <w:r w:rsidR="00E97F88" w:rsidRPr="00813D19">
        <w:rPr>
          <w:bCs/>
          <w:lang w:val="en-US"/>
        </w:rPr>
        <w:t xml:space="preserve">present </w:t>
      </w:r>
      <w:r w:rsidR="00921185" w:rsidRPr="00813D19">
        <w:rPr>
          <w:bCs/>
          <w:lang w:val="en-US"/>
        </w:rPr>
        <w:t xml:space="preserve">on </w:t>
      </w:r>
      <w:r w:rsidR="00E97F88" w:rsidRPr="00813D19">
        <w:rPr>
          <w:bCs/>
          <w:lang w:val="en-US"/>
        </w:rPr>
        <w:t xml:space="preserve">its own territories and </w:t>
      </w:r>
      <w:r w:rsidR="00F631D7" w:rsidRPr="00813D19">
        <w:rPr>
          <w:bCs/>
          <w:lang w:val="en-US"/>
        </w:rPr>
        <w:t xml:space="preserve">was determined </w:t>
      </w:r>
      <w:r w:rsidR="00E97F88" w:rsidRPr="00813D19">
        <w:rPr>
          <w:bCs/>
          <w:lang w:val="en-US"/>
        </w:rPr>
        <w:t>to safeguard it in line with the Convention</w:t>
      </w:r>
      <w:r w:rsidR="00F631D7" w:rsidRPr="00813D19">
        <w:rPr>
          <w:bCs/>
          <w:lang w:val="en-US"/>
        </w:rPr>
        <w:t>, which stressed</w:t>
      </w:r>
      <w:r w:rsidR="00E97F88" w:rsidRPr="00813D19">
        <w:rPr>
          <w:bCs/>
          <w:lang w:val="en-US"/>
        </w:rPr>
        <w:t xml:space="preserve"> the involvement of communities, groups and, if applicable, individuals. </w:t>
      </w:r>
      <w:r w:rsidR="00407414" w:rsidRPr="00813D19">
        <w:rPr>
          <w:bCs/>
          <w:lang w:val="en-US"/>
        </w:rPr>
        <w:t>It</w:t>
      </w:r>
      <w:r w:rsidR="00F631D7" w:rsidRPr="00813D19">
        <w:rPr>
          <w:bCs/>
          <w:lang w:val="en-US"/>
        </w:rPr>
        <w:t xml:space="preserve"> </w:t>
      </w:r>
      <w:r w:rsidR="00E97F88" w:rsidRPr="00813D19">
        <w:rPr>
          <w:bCs/>
          <w:lang w:val="en-US"/>
        </w:rPr>
        <w:t>inform</w:t>
      </w:r>
      <w:r w:rsidR="00F631D7" w:rsidRPr="00813D19">
        <w:rPr>
          <w:bCs/>
          <w:lang w:val="en-US"/>
        </w:rPr>
        <w:t>ed</w:t>
      </w:r>
      <w:r w:rsidR="00E97F88" w:rsidRPr="00813D19">
        <w:rPr>
          <w:bCs/>
          <w:lang w:val="en-US"/>
        </w:rPr>
        <w:t xml:space="preserve"> the </w:t>
      </w:r>
      <w:r w:rsidR="00F631D7" w:rsidRPr="00813D19">
        <w:rPr>
          <w:bCs/>
          <w:lang w:val="en-US"/>
        </w:rPr>
        <w:t>C</w:t>
      </w:r>
      <w:r w:rsidR="00E97F88" w:rsidRPr="00813D19">
        <w:rPr>
          <w:bCs/>
          <w:lang w:val="en-US"/>
        </w:rPr>
        <w:t xml:space="preserve">ommittee that </w:t>
      </w:r>
      <w:r w:rsidR="00F631D7" w:rsidRPr="00813D19">
        <w:rPr>
          <w:bCs/>
          <w:lang w:val="en-US"/>
        </w:rPr>
        <w:t>Jordan had</w:t>
      </w:r>
      <w:r w:rsidR="00E97F88" w:rsidRPr="00813D19">
        <w:rPr>
          <w:bCs/>
          <w:lang w:val="en-US"/>
        </w:rPr>
        <w:t xml:space="preserve"> </w:t>
      </w:r>
      <w:r w:rsidR="00F631D7" w:rsidRPr="00813D19">
        <w:rPr>
          <w:bCs/>
          <w:lang w:val="en-US"/>
        </w:rPr>
        <w:t xml:space="preserve">abandoned the idea of </w:t>
      </w:r>
      <w:r w:rsidR="00E97F88" w:rsidRPr="00813D19">
        <w:rPr>
          <w:bCs/>
          <w:lang w:val="en-US"/>
        </w:rPr>
        <w:t xml:space="preserve">a committee since the preparation of this file because it </w:t>
      </w:r>
      <w:r w:rsidR="00F631D7" w:rsidRPr="00813D19">
        <w:rPr>
          <w:bCs/>
          <w:lang w:val="en-US"/>
        </w:rPr>
        <w:t xml:space="preserve">was now </w:t>
      </w:r>
      <w:r w:rsidR="00E97F88" w:rsidRPr="00813D19">
        <w:rPr>
          <w:bCs/>
          <w:lang w:val="en-US"/>
        </w:rPr>
        <w:t>considering</w:t>
      </w:r>
      <w:r w:rsidR="00F631D7" w:rsidRPr="00813D19">
        <w:rPr>
          <w:bCs/>
          <w:lang w:val="en-US"/>
        </w:rPr>
        <w:t xml:space="preserve"> establish</w:t>
      </w:r>
      <w:r w:rsidR="00CD5F8B">
        <w:rPr>
          <w:bCs/>
          <w:lang w:val="en-US"/>
        </w:rPr>
        <w:t>ing</w:t>
      </w:r>
      <w:r w:rsidR="00F631D7" w:rsidRPr="00813D19">
        <w:rPr>
          <w:bCs/>
          <w:lang w:val="en-US"/>
        </w:rPr>
        <w:t xml:space="preserve"> </w:t>
      </w:r>
      <w:r w:rsidR="00E97F88" w:rsidRPr="00813D19">
        <w:rPr>
          <w:bCs/>
          <w:lang w:val="en-US"/>
        </w:rPr>
        <w:t xml:space="preserve">safeguarding policies for the sake of </w:t>
      </w:r>
      <w:r w:rsidR="00F631D7" w:rsidRPr="00813D19">
        <w:rPr>
          <w:bCs/>
          <w:lang w:val="en-US"/>
        </w:rPr>
        <w:t>safe</w:t>
      </w:r>
      <w:r w:rsidR="00E97F88" w:rsidRPr="00813D19">
        <w:rPr>
          <w:bCs/>
          <w:lang w:val="en-US"/>
        </w:rPr>
        <w:t xml:space="preserve">guarding intangible cultural heritage in general, </w:t>
      </w:r>
      <w:r w:rsidR="00F631D7" w:rsidRPr="00813D19">
        <w:rPr>
          <w:bCs/>
          <w:lang w:val="en-US"/>
        </w:rPr>
        <w:t xml:space="preserve">including As-Samer and </w:t>
      </w:r>
      <w:r w:rsidR="00E97F88" w:rsidRPr="00813D19">
        <w:rPr>
          <w:bCs/>
          <w:lang w:val="en-US"/>
        </w:rPr>
        <w:t xml:space="preserve">with the involvement </w:t>
      </w:r>
      <w:r w:rsidR="00F631D7" w:rsidRPr="00813D19">
        <w:rPr>
          <w:bCs/>
          <w:lang w:val="en-US"/>
        </w:rPr>
        <w:t xml:space="preserve">of the </w:t>
      </w:r>
      <w:r w:rsidR="00E97F88" w:rsidRPr="00813D19">
        <w:rPr>
          <w:bCs/>
          <w:lang w:val="en-US"/>
        </w:rPr>
        <w:t xml:space="preserve">communities in harmony </w:t>
      </w:r>
      <w:r w:rsidR="00F631D7" w:rsidRPr="00813D19">
        <w:rPr>
          <w:bCs/>
          <w:lang w:val="en-US"/>
        </w:rPr>
        <w:t xml:space="preserve">with </w:t>
      </w:r>
      <w:r w:rsidR="00E97F88" w:rsidRPr="00813D19">
        <w:rPr>
          <w:bCs/>
          <w:lang w:val="en-US"/>
        </w:rPr>
        <w:t xml:space="preserve">the Convention and its philosophy. </w:t>
      </w:r>
      <w:r w:rsidR="00F631D7" w:rsidRPr="00813D19">
        <w:rPr>
          <w:bCs/>
          <w:lang w:val="en-US"/>
        </w:rPr>
        <w:t xml:space="preserve">Regarding </w:t>
      </w:r>
      <w:r w:rsidR="00E97F88" w:rsidRPr="00813D19">
        <w:rPr>
          <w:bCs/>
          <w:lang w:val="en-US"/>
        </w:rPr>
        <w:t xml:space="preserve">women’s involvement, </w:t>
      </w:r>
      <w:r w:rsidR="00F631D7" w:rsidRPr="00813D19">
        <w:rPr>
          <w:bCs/>
          <w:lang w:val="en-US"/>
        </w:rPr>
        <w:t xml:space="preserve">the delegation explained that </w:t>
      </w:r>
      <w:r w:rsidR="00E97F88" w:rsidRPr="00813D19">
        <w:rPr>
          <w:bCs/>
          <w:lang w:val="en-US"/>
        </w:rPr>
        <w:t>all over Jordan and other neighbouring countries</w:t>
      </w:r>
      <w:r w:rsidR="00F631D7" w:rsidRPr="00813D19">
        <w:rPr>
          <w:bCs/>
          <w:lang w:val="en-US"/>
        </w:rPr>
        <w:t>,</w:t>
      </w:r>
      <w:r w:rsidR="00E97F88" w:rsidRPr="00813D19">
        <w:rPr>
          <w:bCs/>
          <w:lang w:val="en-US"/>
        </w:rPr>
        <w:t xml:space="preserve"> the As-Samer is male-dominated. Women used to attend with men more openly</w:t>
      </w:r>
      <w:r w:rsidR="00F631D7" w:rsidRPr="00813D19">
        <w:rPr>
          <w:bCs/>
          <w:lang w:val="en-US"/>
        </w:rPr>
        <w:t>,</w:t>
      </w:r>
      <w:r w:rsidR="00E97F88" w:rsidRPr="00813D19">
        <w:rPr>
          <w:bCs/>
          <w:lang w:val="en-US"/>
        </w:rPr>
        <w:t xml:space="preserve"> perform</w:t>
      </w:r>
      <w:r w:rsidR="00F631D7" w:rsidRPr="00813D19">
        <w:rPr>
          <w:bCs/>
          <w:lang w:val="en-US"/>
        </w:rPr>
        <w:t>ing</w:t>
      </w:r>
      <w:r w:rsidR="00E97F88" w:rsidRPr="00813D19">
        <w:rPr>
          <w:bCs/>
          <w:lang w:val="en-US"/>
        </w:rPr>
        <w:t xml:space="preserve"> together</w:t>
      </w:r>
      <w:r w:rsidR="00F631D7" w:rsidRPr="00813D19">
        <w:rPr>
          <w:bCs/>
          <w:lang w:val="en-US"/>
        </w:rPr>
        <w:t>,</w:t>
      </w:r>
      <w:r w:rsidR="00E97F88" w:rsidRPr="00813D19">
        <w:rPr>
          <w:bCs/>
          <w:lang w:val="en-US"/>
        </w:rPr>
        <w:t xml:space="preserve"> but because of the changing nature </w:t>
      </w:r>
      <w:r w:rsidR="00F631D7" w:rsidRPr="00813D19">
        <w:rPr>
          <w:bCs/>
          <w:lang w:val="en-US"/>
        </w:rPr>
        <w:t xml:space="preserve">of intangible cultural heritage, the participation of women had decreased, </w:t>
      </w:r>
      <w:r w:rsidR="00E97F88" w:rsidRPr="00813D19">
        <w:rPr>
          <w:bCs/>
          <w:lang w:val="en-US"/>
        </w:rPr>
        <w:t xml:space="preserve">especially in the last </w:t>
      </w:r>
      <w:r w:rsidR="00CD5F8B">
        <w:rPr>
          <w:bCs/>
          <w:lang w:val="en-US"/>
        </w:rPr>
        <w:t>thirty</w:t>
      </w:r>
      <w:r w:rsidR="00E97F88" w:rsidRPr="00813D19">
        <w:rPr>
          <w:bCs/>
          <w:lang w:val="en-US"/>
        </w:rPr>
        <w:t xml:space="preserve"> years. In Bedouin and rural areas</w:t>
      </w:r>
      <w:r w:rsidR="00F631D7" w:rsidRPr="00813D19">
        <w:rPr>
          <w:bCs/>
          <w:lang w:val="en-US"/>
        </w:rPr>
        <w:t>,</w:t>
      </w:r>
      <w:r w:rsidR="00E97F88" w:rsidRPr="00813D19">
        <w:rPr>
          <w:bCs/>
          <w:lang w:val="en-US"/>
        </w:rPr>
        <w:t xml:space="preserve"> participation of women </w:t>
      </w:r>
      <w:r w:rsidR="00CD5F8B">
        <w:rPr>
          <w:bCs/>
          <w:lang w:val="en-US"/>
        </w:rPr>
        <w:t>was</w:t>
      </w:r>
      <w:r w:rsidR="00CD5F8B" w:rsidRPr="00813D19">
        <w:rPr>
          <w:bCs/>
          <w:lang w:val="en-US"/>
        </w:rPr>
        <w:t xml:space="preserve"> </w:t>
      </w:r>
      <w:r w:rsidR="00E97F88" w:rsidRPr="00813D19">
        <w:rPr>
          <w:bCs/>
          <w:lang w:val="en-US"/>
        </w:rPr>
        <w:t xml:space="preserve">less than in urban areas </w:t>
      </w:r>
      <w:r w:rsidR="00F631D7" w:rsidRPr="00813D19">
        <w:rPr>
          <w:bCs/>
          <w:lang w:val="en-US"/>
        </w:rPr>
        <w:t xml:space="preserve">owing </w:t>
      </w:r>
      <w:r w:rsidR="00E97F88" w:rsidRPr="00813D19">
        <w:rPr>
          <w:bCs/>
          <w:lang w:val="en-US"/>
        </w:rPr>
        <w:t>to the conservative nature of such communities. When women gather with other women there is dance and joyous music</w:t>
      </w:r>
      <w:r w:rsidR="00F631D7" w:rsidRPr="00813D19">
        <w:rPr>
          <w:bCs/>
          <w:lang w:val="en-US"/>
        </w:rPr>
        <w:t>,</w:t>
      </w:r>
      <w:r w:rsidR="00E97F88" w:rsidRPr="00813D19">
        <w:rPr>
          <w:bCs/>
          <w:lang w:val="en-US"/>
        </w:rPr>
        <w:t xml:space="preserve"> </w:t>
      </w:r>
      <w:r w:rsidR="00F631D7" w:rsidRPr="00813D19">
        <w:rPr>
          <w:bCs/>
          <w:lang w:val="en-US"/>
        </w:rPr>
        <w:t xml:space="preserve">and </w:t>
      </w:r>
      <w:r w:rsidR="00E97F88" w:rsidRPr="00813D19">
        <w:rPr>
          <w:bCs/>
          <w:lang w:val="en-US"/>
        </w:rPr>
        <w:t>As-Samer sessions can be performed within a family context. Women regularly attend all-female weddi</w:t>
      </w:r>
      <w:r w:rsidR="00F631D7" w:rsidRPr="00813D19">
        <w:rPr>
          <w:bCs/>
          <w:lang w:val="en-US"/>
        </w:rPr>
        <w:t xml:space="preserve">ng parties, sometimes several times a week, and they also </w:t>
      </w:r>
      <w:r w:rsidR="00E97F88" w:rsidRPr="00813D19">
        <w:rPr>
          <w:bCs/>
          <w:lang w:val="en-US"/>
        </w:rPr>
        <w:t xml:space="preserve">participate </w:t>
      </w:r>
      <w:r w:rsidR="00F631D7" w:rsidRPr="00813D19">
        <w:rPr>
          <w:bCs/>
          <w:lang w:val="en-US"/>
        </w:rPr>
        <w:t xml:space="preserve">as </w:t>
      </w:r>
      <w:r w:rsidR="00E97F88" w:rsidRPr="00813D19">
        <w:rPr>
          <w:bCs/>
          <w:lang w:val="en-US"/>
        </w:rPr>
        <w:t>spectator</w:t>
      </w:r>
      <w:r w:rsidR="00F631D7" w:rsidRPr="00813D19">
        <w:rPr>
          <w:bCs/>
          <w:lang w:val="en-US"/>
        </w:rPr>
        <w:t>s,</w:t>
      </w:r>
      <w:r w:rsidR="00E97F88" w:rsidRPr="00813D19">
        <w:rPr>
          <w:bCs/>
          <w:lang w:val="en-US"/>
        </w:rPr>
        <w:t xml:space="preserve"> ululating during the performance. Participants wear traditional costumes embroidered by Jordanian women.  Although it is performed by </w:t>
      </w:r>
      <w:r w:rsidR="00F631D7" w:rsidRPr="00813D19">
        <w:rPr>
          <w:bCs/>
          <w:lang w:val="en-US"/>
        </w:rPr>
        <w:t xml:space="preserve">men, </w:t>
      </w:r>
      <w:r w:rsidR="00E97F88" w:rsidRPr="00813D19">
        <w:rPr>
          <w:bCs/>
          <w:lang w:val="en-US"/>
        </w:rPr>
        <w:t>the participation of women in private sittings inside residences is no</w:t>
      </w:r>
      <w:r w:rsidR="003D53B3">
        <w:rPr>
          <w:bCs/>
          <w:lang w:val="en-US"/>
        </w:rPr>
        <w:t>t uncommon.</w:t>
      </w:r>
    </w:p>
    <w:p w14:paraId="186A89BD" w14:textId="5046CC60" w:rsidR="002B06EE" w:rsidRPr="00813D19" w:rsidRDefault="00EF6D69" w:rsidP="00A46EA0">
      <w:pPr>
        <w:pStyle w:val="Orateurengris"/>
        <w:spacing w:before="120"/>
        <w:ind w:left="709" w:hanging="709"/>
        <w:rPr>
          <w:color w:val="000000" w:themeColor="text1"/>
          <w:lang w:val="en-US"/>
        </w:rPr>
      </w:pPr>
      <w:r w:rsidRPr="00813D19">
        <w:rPr>
          <w:color w:val="000000" w:themeColor="text1"/>
          <w:lang w:val="en-US"/>
        </w:rPr>
        <w:t>Thanking Jordan, t</w:t>
      </w:r>
      <w:r w:rsidR="002B06EE" w:rsidRPr="00813D19">
        <w:rPr>
          <w:color w:val="000000" w:themeColor="text1"/>
          <w:lang w:val="en-US"/>
        </w:rPr>
        <w:t>he</w:t>
      </w:r>
      <w:r w:rsidR="002B06EE" w:rsidRPr="00813D19">
        <w:rPr>
          <w:b/>
          <w:color w:val="000000" w:themeColor="text1"/>
          <w:lang w:val="en-US"/>
        </w:rPr>
        <w:t xml:space="preserve"> Chairperson </w:t>
      </w:r>
      <w:r w:rsidR="002B06EE" w:rsidRPr="00813D19">
        <w:rPr>
          <w:color w:val="000000" w:themeColor="text1"/>
          <w:lang w:val="en-US"/>
        </w:rPr>
        <w:t>turned to the draft decision on</w:t>
      </w:r>
      <w:r w:rsidRPr="00813D19">
        <w:rPr>
          <w:color w:val="000000" w:themeColor="text1"/>
          <w:lang w:val="en-US"/>
        </w:rPr>
        <w:t xml:space="preserve"> a paragraph-by-paragraph basis, and</w:t>
      </w:r>
      <w:r w:rsidR="002B06EE" w:rsidRPr="00813D19">
        <w:rPr>
          <w:color w:val="000000" w:themeColor="text1"/>
          <w:lang w:val="en-US"/>
        </w:rPr>
        <w:t xml:space="preserve"> </w:t>
      </w:r>
      <w:r w:rsidRPr="00813D19">
        <w:rPr>
          <w:color w:val="000000" w:themeColor="text1"/>
          <w:lang w:val="en-US"/>
        </w:rPr>
        <w:t>p</w:t>
      </w:r>
      <w:r w:rsidR="002B06EE" w:rsidRPr="00813D19">
        <w:rPr>
          <w:color w:val="000000" w:themeColor="text1"/>
          <w:lang w:val="en-US"/>
        </w:rPr>
        <w:t>aragraphs 1 and 2 were duly adopted. Paragraph 3 include</w:t>
      </w:r>
      <w:r w:rsidR="004D09B4" w:rsidRPr="00813D19">
        <w:rPr>
          <w:color w:val="000000" w:themeColor="text1"/>
          <w:lang w:val="en-US"/>
        </w:rPr>
        <w:t>d</w:t>
      </w:r>
      <w:r w:rsidR="002B06EE" w:rsidRPr="00813D19">
        <w:rPr>
          <w:color w:val="000000" w:themeColor="text1"/>
          <w:lang w:val="en-US"/>
        </w:rPr>
        <w:t xml:space="preserve"> an amendment by Palestine and Cuba</w:t>
      </w:r>
      <w:r w:rsidR="00F631D7" w:rsidRPr="00813D19">
        <w:rPr>
          <w:color w:val="000000" w:themeColor="text1"/>
          <w:lang w:val="en-US"/>
        </w:rPr>
        <w:t xml:space="preserve"> [</w:t>
      </w:r>
      <w:r w:rsidR="000E47F9" w:rsidRPr="00813D19">
        <w:rPr>
          <w:color w:val="000000" w:themeColor="text1"/>
          <w:lang w:val="en-US"/>
        </w:rPr>
        <w:t>further deciding</w:t>
      </w:r>
      <w:r w:rsidR="00F631D7" w:rsidRPr="00813D19">
        <w:rPr>
          <w:color w:val="000000" w:themeColor="text1"/>
          <w:lang w:val="en-US"/>
        </w:rPr>
        <w:t xml:space="preserve"> that criteria R.2 and R.3</w:t>
      </w:r>
      <w:r w:rsidR="00CD5F8B">
        <w:rPr>
          <w:color w:val="000000" w:themeColor="text1"/>
          <w:lang w:val="en-US"/>
        </w:rPr>
        <w:t xml:space="preserve"> were</w:t>
      </w:r>
      <w:r w:rsidR="00407414" w:rsidRPr="00813D19">
        <w:rPr>
          <w:color w:val="000000" w:themeColor="text1"/>
          <w:lang w:val="en-US"/>
        </w:rPr>
        <w:t xml:space="preserve"> met</w:t>
      </w:r>
      <w:r w:rsidR="00F631D7" w:rsidRPr="00813D19">
        <w:rPr>
          <w:color w:val="000000" w:themeColor="text1"/>
          <w:lang w:val="en-US"/>
        </w:rPr>
        <w:t>]</w:t>
      </w:r>
      <w:r w:rsidR="003D53B3">
        <w:rPr>
          <w:color w:val="000000" w:themeColor="text1"/>
          <w:lang w:val="en-US"/>
        </w:rPr>
        <w:t>.</w:t>
      </w:r>
    </w:p>
    <w:p w14:paraId="1CC3AD30" w14:textId="36D78C29" w:rsidR="00F631D7" w:rsidRPr="00813D19" w:rsidRDefault="00533E3F" w:rsidP="004D09B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Lebanon</w:t>
      </w:r>
      <w:r w:rsidR="00F631D7" w:rsidRPr="00813D19">
        <w:rPr>
          <w:color w:val="000000" w:themeColor="text1"/>
          <w:lang w:val="en-US"/>
        </w:rPr>
        <w:t xml:space="preserve"> </w:t>
      </w:r>
      <w:r w:rsidRPr="00813D19">
        <w:rPr>
          <w:color w:val="000000" w:themeColor="text1"/>
          <w:lang w:val="en-US"/>
        </w:rPr>
        <w:t>supported the amendment.</w:t>
      </w:r>
    </w:p>
    <w:p w14:paraId="7E868D4A" w14:textId="5B353D3F" w:rsidR="00F631D7" w:rsidRPr="00813D19" w:rsidRDefault="00F631D7" w:rsidP="004D09B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requested that Committee Members supporting the amendments raise their name plate</w:t>
      </w:r>
      <w:r w:rsidR="00CD5F8B">
        <w:rPr>
          <w:color w:val="000000" w:themeColor="text1"/>
          <w:lang w:val="en-US"/>
        </w:rPr>
        <w:t>s</w:t>
      </w:r>
      <w:r w:rsidR="003D53B3">
        <w:rPr>
          <w:color w:val="000000" w:themeColor="text1"/>
          <w:lang w:val="en-US"/>
        </w:rPr>
        <w:t>.</w:t>
      </w:r>
    </w:p>
    <w:p w14:paraId="433A291A" w14:textId="1C167B19" w:rsidR="00533E3F" w:rsidRPr="00813D19" w:rsidRDefault="00F631D7" w:rsidP="004D09B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delegations of </w:t>
      </w:r>
      <w:r w:rsidR="00E97F88" w:rsidRPr="00813D19">
        <w:rPr>
          <w:b/>
          <w:bCs/>
          <w:lang w:val="en-US"/>
        </w:rPr>
        <w:t>Djibouti</w:t>
      </w:r>
      <w:r w:rsidR="00E97F88" w:rsidRPr="00813D19">
        <w:rPr>
          <w:bCs/>
          <w:lang w:val="en-US"/>
        </w:rPr>
        <w:t xml:space="preserve">, </w:t>
      </w:r>
      <w:r w:rsidR="00E97F88" w:rsidRPr="00813D19">
        <w:rPr>
          <w:b/>
          <w:bCs/>
          <w:lang w:val="en-US"/>
        </w:rPr>
        <w:t>Senegal</w:t>
      </w:r>
      <w:r w:rsidR="00E97F88" w:rsidRPr="00813D19">
        <w:rPr>
          <w:bCs/>
          <w:lang w:val="en-US"/>
        </w:rPr>
        <w:t xml:space="preserve">, </w:t>
      </w:r>
      <w:r w:rsidR="00E97F88" w:rsidRPr="00813D19">
        <w:rPr>
          <w:b/>
          <w:bCs/>
          <w:lang w:val="en-US"/>
        </w:rPr>
        <w:t>Guatemala</w:t>
      </w:r>
      <w:r w:rsidR="00E97F88" w:rsidRPr="00813D19">
        <w:rPr>
          <w:bCs/>
          <w:lang w:val="en-US"/>
        </w:rPr>
        <w:t xml:space="preserve">, </w:t>
      </w:r>
      <w:r w:rsidR="00E97F88" w:rsidRPr="00813D19">
        <w:rPr>
          <w:b/>
          <w:bCs/>
          <w:lang w:val="en-US"/>
        </w:rPr>
        <w:t>Togo</w:t>
      </w:r>
      <w:r w:rsidR="00E97F88" w:rsidRPr="00813D19">
        <w:rPr>
          <w:bCs/>
          <w:lang w:val="en-US"/>
        </w:rPr>
        <w:t xml:space="preserve">, </w:t>
      </w:r>
      <w:r w:rsidR="00E97F88" w:rsidRPr="00813D19">
        <w:rPr>
          <w:b/>
          <w:bCs/>
          <w:lang w:val="en-US"/>
        </w:rPr>
        <w:t>Cyprus</w:t>
      </w:r>
      <w:r w:rsidR="00E97F88" w:rsidRPr="00813D19">
        <w:rPr>
          <w:bCs/>
          <w:lang w:val="en-US"/>
        </w:rPr>
        <w:t xml:space="preserve">, </w:t>
      </w:r>
      <w:r w:rsidR="00E97F88" w:rsidRPr="00813D19">
        <w:rPr>
          <w:b/>
          <w:bCs/>
          <w:lang w:val="en-US"/>
        </w:rPr>
        <w:t>Jamaica</w:t>
      </w:r>
      <w:r w:rsidR="00E97F88" w:rsidRPr="00813D19">
        <w:rPr>
          <w:bCs/>
          <w:lang w:val="en-US"/>
        </w:rPr>
        <w:t xml:space="preserve">, </w:t>
      </w:r>
      <w:r w:rsidR="00E97F88" w:rsidRPr="00813D19">
        <w:rPr>
          <w:b/>
          <w:bCs/>
          <w:lang w:val="en-US"/>
        </w:rPr>
        <w:t>Japan</w:t>
      </w:r>
      <w:r w:rsidR="00E97F88" w:rsidRPr="00813D19">
        <w:rPr>
          <w:bCs/>
          <w:lang w:val="en-US"/>
        </w:rPr>
        <w:t xml:space="preserve">, </w:t>
      </w:r>
      <w:r w:rsidR="00E97F88" w:rsidRPr="00813D19">
        <w:rPr>
          <w:b/>
          <w:bCs/>
          <w:lang w:val="en-US"/>
        </w:rPr>
        <w:t>Zambia</w:t>
      </w:r>
      <w:r w:rsidR="00E97F88" w:rsidRPr="00813D19">
        <w:rPr>
          <w:bCs/>
          <w:lang w:val="en-US"/>
        </w:rPr>
        <w:t xml:space="preserve">, </w:t>
      </w:r>
      <w:r w:rsidR="00E97F88" w:rsidRPr="00813D19">
        <w:rPr>
          <w:b/>
          <w:bCs/>
          <w:lang w:val="en-US"/>
        </w:rPr>
        <w:t>Armenia</w:t>
      </w:r>
      <w:r w:rsidR="00E97F88" w:rsidRPr="00813D19">
        <w:rPr>
          <w:bCs/>
          <w:lang w:val="en-US"/>
        </w:rPr>
        <w:t xml:space="preserve">, </w:t>
      </w:r>
      <w:r w:rsidR="00E97F88" w:rsidRPr="00813D19">
        <w:rPr>
          <w:b/>
          <w:bCs/>
          <w:lang w:val="en-US"/>
        </w:rPr>
        <w:t>Kazakhstan</w:t>
      </w:r>
      <w:r w:rsidR="00E97F88" w:rsidRPr="00813D19">
        <w:rPr>
          <w:bCs/>
          <w:lang w:val="en-US"/>
        </w:rPr>
        <w:t xml:space="preserve">, </w:t>
      </w:r>
      <w:r w:rsidR="00E97F88" w:rsidRPr="00813D19">
        <w:rPr>
          <w:b/>
          <w:bCs/>
          <w:lang w:val="en-US"/>
        </w:rPr>
        <w:t>Kuwait</w:t>
      </w:r>
      <w:r w:rsidR="00E97F88" w:rsidRPr="00813D19">
        <w:rPr>
          <w:bCs/>
          <w:lang w:val="en-US"/>
        </w:rPr>
        <w:t xml:space="preserve">, </w:t>
      </w:r>
      <w:r w:rsidR="00E97F88" w:rsidRPr="00813D19">
        <w:rPr>
          <w:b/>
          <w:bCs/>
          <w:lang w:val="en-US"/>
        </w:rPr>
        <w:t>Lebanon</w:t>
      </w:r>
      <w:r w:rsidR="00E97F88" w:rsidRPr="00813D19">
        <w:rPr>
          <w:bCs/>
          <w:lang w:val="en-US"/>
        </w:rPr>
        <w:t xml:space="preserve">, </w:t>
      </w:r>
      <w:r w:rsidR="00E97F88" w:rsidRPr="00813D19">
        <w:rPr>
          <w:b/>
          <w:bCs/>
          <w:lang w:val="en-US"/>
        </w:rPr>
        <w:t>Cameroon</w:t>
      </w:r>
      <w:r w:rsidR="00E97F88" w:rsidRPr="00813D19">
        <w:rPr>
          <w:bCs/>
          <w:lang w:val="en-US"/>
        </w:rPr>
        <w:t xml:space="preserve">, </w:t>
      </w:r>
      <w:r w:rsidR="00E97F88" w:rsidRPr="00813D19">
        <w:rPr>
          <w:b/>
          <w:bCs/>
          <w:lang w:val="en-US"/>
        </w:rPr>
        <w:t>Azerbaijan</w:t>
      </w:r>
      <w:r w:rsidR="00E97F88" w:rsidRPr="00813D19">
        <w:rPr>
          <w:bCs/>
          <w:lang w:val="en-US"/>
        </w:rPr>
        <w:t xml:space="preserve">, </w:t>
      </w:r>
      <w:r w:rsidR="00E97F88" w:rsidRPr="00813D19">
        <w:rPr>
          <w:b/>
          <w:bCs/>
          <w:lang w:val="en-US"/>
        </w:rPr>
        <w:t>Mauritius</w:t>
      </w:r>
      <w:r w:rsidR="00E97F88" w:rsidRPr="00813D19">
        <w:rPr>
          <w:bCs/>
          <w:lang w:val="en-US"/>
        </w:rPr>
        <w:t xml:space="preserve">, </w:t>
      </w:r>
      <w:r w:rsidR="00E97F88" w:rsidRPr="00813D19">
        <w:rPr>
          <w:b/>
          <w:bCs/>
          <w:lang w:val="en-US"/>
        </w:rPr>
        <w:t>Sri L</w:t>
      </w:r>
      <w:r w:rsidRPr="00813D19">
        <w:rPr>
          <w:b/>
          <w:bCs/>
          <w:lang w:val="en-US"/>
        </w:rPr>
        <w:t>anka</w:t>
      </w:r>
      <w:r w:rsidRPr="00813D19">
        <w:rPr>
          <w:bCs/>
          <w:lang w:val="en-US"/>
        </w:rPr>
        <w:t xml:space="preserve">, </w:t>
      </w:r>
      <w:r w:rsidRPr="00813D19">
        <w:rPr>
          <w:b/>
          <w:bCs/>
          <w:lang w:val="en-US"/>
        </w:rPr>
        <w:t>Colombia</w:t>
      </w:r>
      <w:r w:rsidRPr="00813D19">
        <w:rPr>
          <w:bCs/>
          <w:lang w:val="en-US"/>
        </w:rPr>
        <w:t xml:space="preserve">, </w:t>
      </w:r>
      <w:r w:rsidRPr="00813D19">
        <w:rPr>
          <w:b/>
          <w:bCs/>
          <w:lang w:val="en-US"/>
        </w:rPr>
        <w:t>Poland</w:t>
      </w:r>
      <w:r w:rsidRPr="00813D19">
        <w:rPr>
          <w:bCs/>
          <w:lang w:val="en-US"/>
        </w:rPr>
        <w:t xml:space="preserve"> and </w:t>
      </w:r>
      <w:r w:rsidR="00E97F88" w:rsidRPr="00813D19">
        <w:rPr>
          <w:b/>
          <w:bCs/>
          <w:lang w:val="en-US"/>
        </w:rPr>
        <w:t>China</w:t>
      </w:r>
      <w:r w:rsidR="003D53B3">
        <w:rPr>
          <w:bCs/>
          <w:lang w:val="en-US"/>
        </w:rPr>
        <w:t xml:space="preserve"> supported the amendments.</w:t>
      </w:r>
    </w:p>
    <w:p w14:paraId="33F65FC6" w14:textId="471B5378" w:rsidR="004D09B4" w:rsidRPr="00813D19" w:rsidRDefault="004D09B4" w:rsidP="0018419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pronounced paragraph 3 adopted. Paragraph 4 included </w:t>
      </w:r>
      <w:r w:rsidR="00D626E1" w:rsidRPr="00813D19">
        <w:rPr>
          <w:color w:val="000000" w:themeColor="text1"/>
          <w:lang w:val="en-US"/>
        </w:rPr>
        <w:t xml:space="preserve">the </w:t>
      </w:r>
      <w:r w:rsidRPr="00813D19">
        <w:rPr>
          <w:color w:val="000000" w:themeColor="text1"/>
          <w:lang w:val="en-US"/>
        </w:rPr>
        <w:t>amendment by Palestine and Cuba, which also rec</w:t>
      </w:r>
      <w:r w:rsidR="00D626E1" w:rsidRPr="00813D19">
        <w:rPr>
          <w:color w:val="000000" w:themeColor="text1"/>
          <w:lang w:val="en-US"/>
        </w:rPr>
        <w:t>eived broad support</w:t>
      </w:r>
      <w:r w:rsidRPr="00813D19">
        <w:rPr>
          <w:color w:val="000000" w:themeColor="text1"/>
          <w:lang w:val="en-US"/>
        </w:rPr>
        <w:t xml:space="preserve"> </w:t>
      </w:r>
      <w:r w:rsidR="00D626E1" w:rsidRPr="00813D19">
        <w:rPr>
          <w:color w:val="000000" w:themeColor="text1"/>
          <w:lang w:val="en-US"/>
        </w:rPr>
        <w:t xml:space="preserve">(as above) </w:t>
      </w:r>
      <w:r w:rsidRPr="00813D19">
        <w:rPr>
          <w:color w:val="000000" w:themeColor="text1"/>
          <w:lang w:val="en-US"/>
        </w:rPr>
        <w:t xml:space="preserve">and was duly adopted. </w:t>
      </w:r>
      <w:r w:rsidR="00D626E1" w:rsidRPr="00813D19">
        <w:rPr>
          <w:lang w:val="en-US"/>
        </w:rPr>
        <w:t>Turning</w:t>
      </w:r>
      <w:r w:rsidRPr="00813D19">
        <w:rPr>
          <w:lang w:val="en-US"/>
        </w:rPr>
        <w:t xml:space="preserve"> to the adoption of the draft decisio</w:t>
      </w:r>
      <w:r w:rsidR="00D626E1" w:rsidRPr="00813D19">
        <w:rPr>
          <w:lang w:val="en-US"/>
        </w:rPr>
        <w:t xml:space="preserve">n as a whole, </w:t>
      </w:r>
      <w:r w:rsidRPr="00813D19">
        <w:rPr>
          <w:lang w:val="en-US"/>
        </w:rPr>
        <w:t xml:space="preserve">the </w:t>
      </w:r>
      <w:r w:rsidRPr="00813D19">
        <w:rPr>
          <w:b/>
          <w:lang w:val="en-US"/>
        </w:rPr>
        <w:t xml:space="preserve">Chairperson declared Decision </w:t>
      </w:r>
      <w:hyperlink r:id="rId120" w:history="1">
        <w:r w:rsidRPr="00813D19">
          <w:rPr>
            <w:rStyle w:val="Hyperlink"/>
            <w:b/>
            <w:lang w:val="en-US"/>
          </w:rPr>
          <w:t>13.COM</w:t>
        </w:r>
        <w:r w:rsidR="00992896">
          <w:rPr>
            <w:rStyle w:val="Hyperlink"/>
            <w:b/>
            <w:lang w:val="en-US"/>
          </w:rPr>
          <w:t> </w:t>
        </w:r>
        <w:r w:rsidRPr="00813D19">
          <w:rPr>
            <w:rStyle w:val="Hyperlink"/>
            <w:b/>
            <w:lang w:val="en-US"/>
          </w:rPr>
          <w:t>10.b.20</w:t>
        </w:r>
      </w:hyperlink>
      <w:r w:rsidRPr="00813D19">
        <w:rPr>
          <w:b/>
          <w:lang w:val="en-US"/>
        </w:rPr>
        <w:t xml:space="preserve"> adopted to inscribe</w:t>
      </w:r>
      <w:r w:rsidRPr="00813D19">
        <w:rPr>
          <w:b/>
          <w:color w:val="000000" w:themeColor="text1"/>
          <w:lang w:val="en-US"/>
        </w:rPr>
        <w:t xml:space="preserve"> As-Samer in Jordan on the Representative List</w:t>
      </w:r>
      <w:r w:rsidRPr="003D53B3">
        <w:rPr>
          <w:bCs/>
          <w:snapToGrid/>
          <w:color w:val="000000" w:themeColor="text1"/>
          <w:lang w:val="en-US"/>
        </w:rPr>
        <w:t>.</w:t>
      </w:r>
    </w:p>
    <w:p w14:paraId="76E52418" w14:textId="7E5DFF34" w:rsidR="004D09B4" w:rsidRPr="00813D19" w:rsidRDefault="004D09B4" w:rsidP="004D09B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Jordan</w:t>
      </w:r>
      <w:r w:rsidR="00E97F88" w:rsidRPr="00813D19">
        <w:rPr>
          <w:b/>
          <w:color w:val="000000" w:themeColor="text1"/>
          <w:lang w:val="en-US"/>
        </w:rPr>
        <w:t xml:space="preserve"> </w:t>
      </w:r>
      <w:r w:rsidR="00D851E7" w:rsidRPr="00813D19">
        <w:rPr>
          <w:bCs/>
          <w:lang w:val="en-US"/>
        </w:rPr>
        <w:t xml:space="preserve">took the </w:t>
      </w:r>
      <w:r w:rsidR="00E97F88" w:rsidRPr="00813D19">
        <w:rPr>
          <w:bCs/>
          <w:lang w:val="en-US"/>
        </w:rPr>
        <w:t xml:space="preserve">opportunity to thank Mauritius for </w:t>
      </w:r>
      <w:r w:rsidR="00D851E7" w:rsidRPr="00813D19">
        <w:rPr>
          <w:bCs/>
          <w:lang w:val="en-US"/>
        </w:rPr>
        <w:t xml:space="preserve">its </w:t>
      </w:r>
      <w:r w:rsidR="00E97F88" w:rsidRPr="00813D19">
        <w:rPr>
          <w:bCs/>
          <w:lang w:val="en-US"/>
        </w:rPr>
        <w:t xml:space="preserve">kind hospitality and the good arrangements made </w:t>
      </w:r>
      <w:r w:rsidR="00D851E7" w:rsidRPr="00813D19">
        <w:rPr>
          <w:bCs/>
          <w:lang w:val="en-US"/>
        </w:rPr>
        <w:t xml:space="preserve">for this meeting and </w:t>
      </w:r>
      <w:r w:rsidR="00E97F88" w:rsidRPr="00813D19">
        <w:rPr>
          <w:bCs/>
          <w:lang w:val="en-US"/>
        </w:rPr>
        <w:t xml:space="preserve">for </w:t>
      </w:r>
      <w:r w:rsidR="00D851E7" w:rsidRPr="00813D19">
        <w:rPr>
          <w:bCs/>
          <w:lang w:val="en-US"/>
        </w:rPr>
        <w:t xml:space="preserve">its </w:t>
      </w:r>
      <w:r w:rsidR="00E97F88" w:rsidRPr="00813D19">
        <w:rPr>
          <w:bCs/>
          <w:lang w:val="en-US"/>
        </w:rPr>
        <w:t>tireless effort</w:t>
      </w:r>
      <w:r w:rsidR="00D851E7" w:rsidRPr="00813D19">
        <w:rPr>
          <w:bCs/>
          <w:lang w:val="en-US"/>
        </w:rPr>
        <w:t>s</w:t>
      </w:r>
      <w:r w:rsidR="00E97F88" w:rsidRPr="00813D19">
        <w:rPr>
          <w:bCs/>
          <w:lang w:val="en-US"/>
        </w:rPr>
        <w:t xml:space="preserve"> </w:t>
      </w:r>
      <w:r w:rsidR="00D851E7" w:rsidRPr="00813D19">
        <w:rPr>
          <w:bCs/>
          <w:lang w:val="en-US"/>
        </w:rPr>
        <w:t xml:space="preserve">and </w:t>
      </w:r>
      <w:r w:rsidR="00E97F88" w:rsidRPr="00813D19">
        <w:rPr>
          <w:bCs/>
          <w:lang w:val="en-US"/>
        </w:rPr>
        <w:t>kind</w:t>
      </w:r>
      <w:r w:rsidR="00D851E7" w:rsidRPr="00813D19">
        <w:rPr>
          <w:bCs/>
          <w:lang w:val="en-US"/>
        </w:rPr>
        <w:t>ness</w:t>
      </w:r>
      <w:r w:rsidR="00E97F88" w:rsidRPr="00813D19">
        <w:rPr>
          <w:bCs/>
          <w:lang w:val="en-US"/>
        </w:rPr>
        <w:t xml:space="preserve">. </w:t>
      </w:r>
      <w:r w:rsidR="00D851E7" w:rsidRPr="00813D19">
        <w:rPr>
          <w:bCs/>
          <w:lang w:val="en-US"/>
        </w:rPr>
        <w:t xml:space="preserve">It also </w:t>
      </w:r>
      <w:r w:rsidR="00E97F88" w:rsidRPr="00813D19">
        <w:rPr>
          <w:bCs/>
          <w:lang w:val="en-US"/>
        </w:rPr>
        <w:t>thank</w:t>
      </w:r>
      <w:r w:rsidR="00D851E7" w:rsidRPr="00813D19">
        <w:rPr>
          <w:bCs/>
          <w:lang w:val="en-US"/>
        </w:rPr>
        <w:t>ed</w:t>
      </w:r>
      <w:r w:rsidR="00E97F88" w:rsidRPr="00813D19">
        <w:rPr>
          <w:bCs/>
          <w:lang w:val="en-US"/>
        </w:rPr>
        <w:t xml:space="preserve"> the Evaluation Body for </w:t>
      </w:r>
      <w:r w:rsidR="00D851E7" w:rsidRPr="00813D19">
        <w:rPr>
          <w:bCs/>
          <w:lang w:val="en-US"/>
        </w:rPr>
        <w:t xml:space="preserve">its work, paying </w:t>
      </w:r>
      <w:r w:rsidR="00E97F88" w:rsidRPr="00813D19">
        <w:rPr>
          <w:bCs/>
          <w:lang w:val="en-US"/>
        </w:rPr>
        <w:t xml:space="preserve">tribute to the </w:t>
      </w:r>
      <w:r w:rsidR="00D851E7" w:rsidRPr="00813D19">
        <w:rPr>
          <w:bCs/>
          <w:lang w:val="en-US"/>
        </w:rPr>
        <w:t xml:space="preserve">Body as </w:t>
      </w:r>
      <w:r w:rsidR="00E97F88" w:rsidRPr="00813D19">
        <w:rPr>
          <w:bCs/>
          <w:lang w:val="en-US"/>
        </w:rPr>
        <w:t xml:space="preserve">an example to be followed by other bodies. </w:t>
      </w:r>
      <w:r w:rsidR="00D851E7" w:rsidRPr="00813D19">
        <w:rPr>
          <w:bCs/>
          <w:lang w:val="en-US"/>
        </w:rPr>
        <w:t xml:space="preserve">The delegation </w:t>
      </w:r>
      <w:r w:rsidR="00E97F88" w:rsidRPr="00813D19">
        <w:rPr>
          <w:bCs/>
          <w:lang w:val="en-US"/>
        </w:rPr>
        <w:t>thank</w:t>
      </w:r>
      <w:r w:rsidR="00D851E7" w:rsidRPr="00813D19">
        <w:rPr>
          <w:bCs/>
          <w:lang w:val="en-US"/>
        </w:rPr>
        <w:t>ed</w:t>
      </w:r>
      <w:r w:rsidR="00E97F88" w:rsidRPr="00813D19">
        <w:rPr>
          <w:bCs/>
          <w:lang w:val="en-US"/>
        </w:rPr>
        <w:t xml:space="preserve"> the </w:t>
      </w:r>
      <w:r w:rsidR="00D851E7" w:rsidRPr="00813D19">
        <w:rPr>
          <w:bCs/>
          <w:lang w:val="en-US"/>
        </w:rPr>
        <w:t>C</w:t>
      </w:r>
      <w:r w:rsidR="00E97F88" w:rsidRPr="00813D19">
        <w:rPr>
          <w:bCs/>
          <w:lang w:val="en-US"/>
        </w:rPr>
        <w:t>ommittee for its support</w:t>
      </w:r>
      <w:r w:rsidR="00D851E7" w:rsidRPr="00813D19">
        <w:rPr>
          <w:bCs/>
          <w:lang w:val="en-US"/>
        </w:rPr>
        <w:t xml:space="preserve">, reassuring the Committee about its </w:t>
      </w:r>
      <w:r w:rsidR="00E97F88" w:rsidRPr="00813D19">
        <w:rPr>
          <w:bCs/>
          <w:lang w:val="en-US"/>
        </w:rPr>
        <w:t xml:space="preserve">intention to protect and safeguard </w:t>
      </w:r>
      <w:r w:rsidR="00D851E7" w:rsidRPr="00813D19">
        <w:rPr>
          <w:bCs/>
          <w:lang w:val="en-US"/>
        </w:rPr>
        <w:t xml:space="preserve">its </w:t>
      </w:r>
      <w:r w:rsidR="00E97F88" w:rsidRPr="00813D19">
        <w:rPr>
          <w:bCs/>
          <w:lang w:val="en-US"/>
        </w:rPr>
        <w:t>heritage</w:t>
      </w:r>
      <w:r w:rsidR="00D851E7" w:rsidRPr="00813D19">
        <w:rPr>
          <w:bCs/>
          <w:lang w:val="en-US"/>
        </w:rPr>
        <w:t>,</w:t>
      </w:r>
      <w:r w:rsidR="00E97F88" w:rsidRPr="00813D19">
        <w:rPr>
          <w:bCs/>
          <w:lang w:val="en-US"/>
        </w:rPr>
        <w:t xml:space="preserve"> </w:t>
      </w:r>
      <w:r w:rsidR="00D851E7" w:rsidRPr="00813D19">
        <w:rPr>
          <w:bCs/>
          <w:lang w:val="en-US"/>
        </w:rPr>
        <w:t>which is an integral part</w:t>
      </w:r>
      <w:r w:rsidR="00E97F88" w:rsidRPr="00813D19">
        <w:rPr>
          <w:bCs/>
          <w:lang w:val="en-US"/>
        </w:rPr>
        <w:t xml:space="preserve"> of </w:t>
      </w:r>
      <w:r w:rsidR="00D851E7" w:rsidRPr="00813D19">
        <w:rPr>
          <w:bCs/>
          <w:lang w:val="en-US"/>
        </w:rPr>
        <w:t xml:space="preserve">its </w:t>
      </w:r>
      <w:r w:rsidR="00E97F88" w:rsidRPr="00813D19">
        <w:rPr>
          <w:bCs/>
          <w:lang w:val="en-US"/>
        </w:rPr>
        <w:t xml:space="preserve">identity. Without </w:t>
      </w:r>
      <w:r w:rsidR="00D851E7" w:rsidRPr="00813D19">
        <w:rPr>
          <w:bCs/>
          <w:lang w:val="en-US"/>
        </w:rPr>
        <w:t xml:space="preserve">the </w:t>
      </w:r>
      <w:r w:rsidR="00E97F88" w:rsidRPr="00813D19">
        <w:rPr>
          <w:bCs/>
          <w:lang w:val="en-US"/>
        </w:rPr>
        <w:t xml:space="preserve">people who are custodians of </w:t>
      </w:r>
      <w:r w:rsidR="00D851E7" w:rsidRPr="00813D19">
        <w:rPr>
          <w:bCs/>
          <w:lang w:val="en-US"/>
        </w:rPr>
        <w:t xml:space="preserve">this </w:t>
      </w:r>
      <w:r w:rsidR="00E97F88" w:rsidRPr="00813D19">
        <w:rPr>
          <w:bCs/>
          <w:lang w:val="en-US"/>
        </w:rPr>
        <w:t>heritage</w:t>
      </w:r>
      <w:r w:rsidR="00D851E7" w:rsidRPr="00813D19">
        <w:rPr>
          <w:bCs/>
          <w:lang w:val="en-US"/>
        </w:rPr>
        <w:t xml:space="preserve">, Jordan could not </w:t>
      </w:r>
      <w:r w:rsidR="00E97F88" w:rsidRPr="00813D19">
        <w:rPr>
          <w:bCs/>
          <w:lang w:val="en-US"/>
        </w:rPr>
        <w:t xml:space="preserve">protect it adequately. Intangible </w:t>
      </w:r>
      <w:r w:rsidR="00D851E7" w:rsidRPr="00813D19">
        <w:rPr>
          <w:bCs/>
          <w:lang w:val="en-US"/>
        </w:rPr>
        <w:t xml:space="preserve">cultural </w:t>
      </w:r>
      <w:r w:rsidR="00E97F88" w:rsidRPr="00813D19">
        <w:rPr>
          <w:bCs/>
          <w:lang w:val="en-US"/>
        </w:rPr>
        <w:t>heritage is like</w:t>
      </w:r>
      <w:r w:rsidR="00407414" w:rsidRPr="00813D19">
        <w:rPr>
          <w:bCs/>
          <w:lang w:val="en-US"/>
        </w:rPr>
        <w:t xml:space="preserve"> water flowing down the stream</w:t>
      </w:r>
      <w:r w:rsidR="00CD5F8B">
        <w:rPr>
          <w:bCs/>
          <w:lang w:val="en-US"/>
        </w:rPr>
        <w:t>;</w:t>
      </w:r>
      <w:r w:rsidR="00407414" w:rsidRPr="00813D19">
        <w:rPr>
          <w:bCs/>
          <w:lang w:val="en-US"/>
        </w:rPr>
        <w:t xml:space="preserve"> i</w:t>
      </w:r>
      <w:r w:rsidR="00E97F88" w:rsidRPr="00813D19">
        <w:rPr>
          <w:bCs/>
          <w:lang w:val="en-US"/>
        </w:rPr>
        <w:t>t changes at every stage of its passage</w:t>
      </w:r>
      <w:r w:rsidR="00407414" w:rsidRPr="00813D19">
        <w:rPr>
          <w:bCs/>
          <w:lang w:val="en-US"/>
        </w:rPr>
        <w:t>,</w:t>
      </w:r>
      <w:r w:rsidR="00E97F88" w:rsidRPr="00813D19">
        <w:rPr>
          <w:bCs/>
          <w:lang w:val="en-US"/>
        </w:rPr>
        <w:t xml:space="preserve"> and therefore </w:t>
      </w:r>
      <w:r w:rsidR="00407414" w:rsidRPr="00813D19">
        <w:rPr>
          <w:bCs/>
          <w:lang w:val="en-US"/>
        </w:rPr>
        <w:t xml:space="preserve">the delegation </w:t>
      </w:r>
      <w:r w:rsidR="00D851E7" w:rsidRPr="00813D19">
        <w:rPr>
          <w:bCs/>
          <w:lang w:val="en-US"/>
        </w:rPr>
        <w:t>did not seek to freeze this heritage. Jordan had</w:t>
      </w:r>
      <w:r w:rsidR="00E97F88" w:rsidRPr="00813D19">
        <w:rPr>
          <w:bCs/>
          <w:lang w:val="en-US"/>
        </w:rPr>
        <w:t xml:space="preserve"> started with mod</w:t>
      </w:r>
      <w:r w:rsidR="00D851E7" w:rsidRPr="00813D19">
        <w:rPr>
          <w:bCs/>
          <w:lang w:val="en-US"/>
        </w:rPr>
        <w:t xml:space="preserve">est steps, </w:t>
      </w:r>
      <w:r w:rsidR="00E97F88" w:rsidRPr="00813D19">
        <w:rPr>
          <w:bCs/>
          <w:lang w:val="en-US"/>
        </w:rPr>
        <w:t xml:space="preserve">but </w:t>
      </w:r>
      <w:r w:rsidR="00D851E7" w:rsidRPr="00813D19">
        <w:rPr>
          <w:bCs/>
          <w:lang w:val="en-US"/>
        </w:rPr>
        <w:t xml:space="preserve">now </w:t>
      </w:r>
      <w:r w:rsidR="00407414" w:rsidRPr="00813D19">
        <w:rPr>
          <w:bCs/>
          <w:lang w:val="en-US"/>
        </w:rPr>
        <w:t xml:space="preserve">the </w:t>
      </w:r>
      <w:r w:rsidR="00E97F88" w:rsidRPr="00813D19">
        <w:rPr>
          <w:bCs/>
          <w:lang w:val="en-US"/>
        </w:rPr>
        <w:t xml:space="preserve">inscribed </w:t>
      </w:r>
      <w:r w:rsidR="00D851E7" w:rsidRPr="00813D19">
        <w:rPr>
          <w:bCs/>
          <w:lang w:val="en-US"/>
        </w:rPr>
        <w:t xml:space="preserve">element </w:t>
      </w:r>
      <w:r w:rsidR="00E97F88" w:rsidRPr="00813D19">
        <w:rPr>
          <w:bCs/>
          <w:lang w:val="en-US"/>
        </w:rPr>
        <w:t>shall embark on a serious stage of</w:t>
      </w:r>
      <w:r w:rsidR="00D851E7" w:rsidRPr="00813D19">
        <w:rPr>
          <w:bCs/>
          <w:lang w:val="en-US"/>
        </w:rPr>
        <w:t xml:space="preserve"> work with the local community and </w:t>
      </w:r>
      <w:r w:rsidR="00E97F88" w:rsidRPr="00813D19">
        <w:rPr>
          <w:bCs/>
          <w:lang w:val="en-US"/>
        </w:rPr>
        <w:t xml:space="preserve">the practitioners in order to safeguard this heritage. </w:t>
      </w:r>
      <w:r w:rsidR="00D851E7" w:rsidRPr="00813D19">
        <w:rPr>
          <w:bCs/>
          <w:lang w:val="en-US"/>
        </w:rPr>
        <w:t>Jordanians</w:t>
      </w:r>
      <w:r w:rsidR="00E97F88" w:rsidRPr="00813D19">
        <w:rPr>
          <w:bCs/>
          <w:lang w:val="en-US"/>
        </w:rPr>
        <w:t xml:space="preserve"> believe that heritage is our ship towards achieving peace and welfare for the sake of all</w:t>
      </w:r>
      <w:r w:rsidR="00D851E7" w:rsidRPr="00813D19">
        <w:rPr>
          <w:bCs/>
          <w:lang w:val="en-US"/>
        </w:rPr>
        <w:t xml:space="preserve"> humanity, and it </w:t>
      </w:r>
      <w:r w:rsidR="00E97F88" w:rsidRPr="00813D19">
        <w:rPr>
          <w:bCs/>
          <w:lang w:val="en-US"/>
        </w:rPr>
        <w:t>reiterate</w:t>
      </w:r>
      <w:r w:rsidR="00D851E7" w:rsidRPr="00813D19">
        <w:rPr>
          <w:bCs/>
          <w:lang w:val="en-US"/>
        </w:rPr>
        <w:t>d</w:t>
      </w:r>
      <w:r w:rsidR="00E97F88" w:rsidRPr="00813D19">
        <w:rPr>
          <w:bCs/>
          <w:lang w:val="en-US"/>
        </w:rPr>
        <w:t xml:space="preserve"> </w:t>
      </w:r>
      <w:r w:rsidR="004D5B6E">
        <w:rPr>
          <w:bCs/>
          <w:lang w:val="en-US"/>
        </w:rPr>
        <w:t xml:space="preserve">its </w:t>
      </w:r>
      <w:r w:rsidR="00E97F88" w:rsidRPr="00813D19">
        <w:rPr>
          <w:bCs/>
          <w:lang w:val="en-US"/>
        </w:rPr>
        <w:t xml:space="preserve">thanks to </w:t>
      </w:r>
      <w:r w:rsidR="003D53B3">
        <w:rPr>
          <w:bCs/>
          <w:lang w:val="en-US"/>
        </w:rPr>
        <w:t>everyone.</w:t>
      </w:r>
    </w:p>
    <w:p w14:paraId="6B7C91A3" w14:textId="0ED8EC92" w:rsidR="002D3A5B" w:rsidRPr="00813D19" w:rsidRDefault="004D684A" w:rsidP="002D3A5B">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4D5B6E">
        <w:rPr>
          <w:color w:val="000000" w:themeColor="text1"/>
          <w:lang w:val="en-US"/>
        </w:rPr>
        <w:t>,</w:t>
      </w:r>
      <w:r w:rsidRPr="00813D19">
        <w:rPr>
          <w:color w:val="000000" w:themeColor="text1"/>
          <w:lang w:val="en-US"/>
        </w:rPr>
        <w:t xml:space="preserve"> </w:t>
      </w:r>
      <w:r w:rsidRPr="00813D19">
        <w:rPr>
          <w:b/>
          <w:color w:val="000000" w:themeColor="text1"/>
          <w:lang w:val="en-US"/>
        </w:rPr>
        <w:t>Traditional spring festive rites of the Kazakh horse breeders</w:t>
      </w:r>
      <w:r w:rsidRPr="00813D19">
        <w:rPr>
          <w:color w:val="000000" w:themeColor="text1"/>
          <w:lang w:val="en-US"/>
        </w:rPr>
        <w:t xml:space="preserve"> [draft decision 13.COM 10.</w:t>
      </w:r>
      <w:r w:rsidR="002D3A5B" w:rsidRPr="00813D19">
        <w:rPr>
          <w:color w:val="000000" w:themeColor="text1"/>
          <w:lang w:val="en-US"/>
        </w:rPr>
        <w:t>b.21]</w:t>
      </w:r>
      <w:r w:rsidR="004D5B6E">
        <w:rPr>
          <w:color w:val="000000" w:themeColor="text1"/>
          <w:lang w:val="en-US"/>
        </w:rPr>
        <w:t>,</w:t>
      </w:r>
      <w:r w:rsidR="002D3A5B" w:rsidRPr="00813D19">
        <w:rPr>
          <w:color w:val="000000" w:themeColor="text1"/>
          <w:lang w:val="en-US"/>
        </w:rPr>
        <w:t xml:space="preserve"> submitted by </w:t>
      </w:r>
      <w:r w:rsidR="002D3A5B" w:rsidRPr="00813D19">
        <w:rPr>
          <w:b/>
          <w:color w:val="000000" w:themeColor="text1"/>
          <w:lang w:val="en-US"/>
        </w:rPr>
        <w:t>Kazakhstan</w:t>
      </w:r>
      <w:r w:rsidR="002D3A5B" w:rsidRPr="00813D19">
        <w:rPr>
          <w:color w:val="000000" w:themeColor="text1"/>
          <w:lang w:val="en-US"/>
        </w:rPr>
        <w:t xml:space="preserve">. </w:t>
      </w:r>
      <w:r w:rsidR="002D3A5B" w:rsidRPr="00813D19">
        <w:rPr>
          <w:lang w:val="en-US"/>
        </w:rPr>
        <w:t>Traditional spring festive rites of the Kazakh horse breeders mark</w:t>
      </w:r>
      <w:r w:rsidR="00F3169A" w:rsidRPr="00813D19">
        <w:rPr>
          <w:lang w:val="en-US"/>
        </w:rPr>
        <w:t>s</w:t>
      </w:r>
      <w:r w:rsidR="002D3A5B" w:rsidRPr="00813D19">
        <w:rPr>
          <w:lang w:val="en-US"/>
        </w:rPr>
        <w:t xml:space="preserve"> the end of the old and the beginning of the new yearly horse-breeding cycle. The rites involve skills inherited from nomadic ancestors </w:t>
      </w:r>
      <w:r w:rsidR="00F3169A" w:rsidRPr="00813D19">
        <w:rPr>
          <w:lang w:val="en-US"/>
        </w:rPr>
        <w:t xml:space="preserve">to present </w:t>
      </w:r>
      <w:r w:rsidR="00407414" w:rsidRPr="00813D19">
        <w:rPr>
          <w:lang w:val="en-US"/>
        </w:rPr>
        <w:t>daily</w:t>
      </w:r>
      <w:r w:rsidR="002D3A5B" w:rsidRPr="00813D19">
        <w:rPr>
          <w:lang w:val="en-US"/>
        </w:rPr>
        <w:t xml:space="preserve"> reality and manifest</w:t>
      </w:r>
      <w:r w:rsidR="00F3169A" w:rsidRPr="00813D19">
        <w:rPr>
          <w:lang w:val="en-US"/>
        </w:rPr>
        <w:t>s</w:t>
      </w:r>
      <w:r w:rsidR="002D3A5B" w:rsidRPr="00813D19">
        <w:rPr>
          <w:lang w:val="en-US"/>
        </w:rPr>
        <w:t xml:space="preserve"> traditional Kazakh hospitality. From the information included in th</w:t>
      </w:r>
      <w:r w:rsidR="00012D0A" w:rsidRPr="00813D19">
        <w:rPr>
          <w:lang w:val="en-US"/>
        </w:rPr>
        <w:t>e file, the nomination satisfied</w:t>
      </w:r>
      <w:r w:rsidR="002D3A5B" w:rsidRPr="00813D19">
        <w:rPr>
          <w:lang w:val="en-US"/>
        </w:rPr>
        <w:t xml:space="preserve"> all five criteria. The Evaluation Body considered that Traditional spring festive rites of the Kazakh horse breeders are carried out annually to express gratitude to nature for the survival of people and horses through the long winter</w:t>
      </w:r>
      <w:r w:rsidR="00F3169A" w:rsidRPr="00813D19">
        <w:rPr>
          <w:lang w:val="en-US"/>
        </w:rPr>
        <w:t>,</w:t>
      </w:r>
      <w:r w:rsidR="002D3A5B" w:rsidRPr="00813D19">
        <w:rPr>
          <w:lang w:val="en-US"/>
        </w:rPr>
        <w:t xml:space="preserve"> and </w:t>
      </w:r>
      <w:r w:rsidR="00F3169A" w:rsidRPr="00813D19">
        <w:rPr>
          <w:lang w:val="en-US"/>
        </w:rPr>
        <w:t xml:space="preserve">to </w:t>
      </w:r>
      <w:r w:rsidR="002D3A5B" w:rsidRPr="00813D19">
        <w:rPr>
          <w:lang w:val="en-US"/>
        </w:rPr>
        <w:t>ensure the fertility of the herds and the abundance of milk in the new season. The related festivities illustrate the creative use of the natural environment that helped people to adapt the tradition to the new living conditions. Th</w:t>
      </w:r>
      <w:r w:rsidR="00F3169A" w:rsidRPr="00813D19">
        <w:rPr>
          <w:lang w:val="en-US"/>
        </w:rPr>
        <w:t>e safeguarding plan concentrated</w:t>
      </w:r>
      <w:r w:rsidR="002D3A5B" w:rsidRPr="00813D19">
        <w:rPr>
          <w:lang w:val="en-US"/>
        </w:rPr>
        <w:t xml:space="preserve"> on regulating their attendance during the rites without any direct interference with the practice. The nomination file was prepared by the Initiative Group for Safeguarding Intangible Cultural Heritage, comprising representatives of the</w:t>
      </w:r>
      <w:r w:rsidR="00F3169A" w:rsidRPr="00813D19">
        <w:rPr>
          <w:lang w:val="en-US"/>
        </w:rPr>
        <w:t xml:space="preserve"> tradition bearers and experts, and o</w:t>
      </w:r>
      <w:r w:rsidR="002D3A5B" w:rsidRPr="00813D19">
        <w:rPr>
          <w:lang w:val="en-US"/>
        </w:rPr>
        <w:t>ther community members were also involved.</w:t>
      </w:r>
      <w:r w:rsidR="00012D0A" w:rsidRPr="00813D19">
        <w:rPr>
          <w:lang w:val="en-US"/>
        </w:rPr>
        <w:t xml:space="preserve"> The Evaluation Body recommended</w:t>
      </w:r>
      <w:r w:rsidR="002D3A5B" w:rsidRPr="00813D19">
        <w:rPr>
          <w:lang w:val="en-US"/>
        </w:rPr>
        <w:t xml:space="preserve"> that the Committee inscribe Traditional spring festive rites of the Kazakh horse breeders on the Representative List.</w:t>
      </w:r>
    </w:p>
    <w:p w14:paraId="23327864" w14:textId="77777777" w:rsidR="00F3169A" w:rsidRPr="00813D19" w:rsidRDefault="00F3169A" w:rsidP="00F3169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4D2E1852" w14:textId="77145B35" w:rsidR="00D240FB" w:rsidRPr="003D53B3" w:rsidRDefault="00F3169A" w:rsidP="00D240FB">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w:t>
      </w:r>
      <w:r w:rsidR="0058018E" w:rsidRPr="00813D19">
        <w:rPr>
          <w:lang w:val="en-US"/>
        </w:rPr>
        <w:t xml:space="preserve">the </w:t>
      </w:r>
      <w:r w:rsidR="0058018E" w:rsidRPr="00813D19">
        <w:rPr>
          <w:b/>
          <w:lang w:val="en-US"/>
        </w:rPr>
        <w:t xml:space="preserve">Chairperson declared Decision </w:t>
      </w:r>
      <w:hyperlink r:id="rId121" w:history="1">
        <w:r w:rsidR="0058018E" w:rsidRPr="00813D19">
          <w:rPr>
            <w:rStyle w:val="Hyperlink"/>
            <w:b/>
            <w:lang w:val="en-US"/>
          </w:rPr>
          <w:t>13.COM</w:t>
        </w:r>
        <w:r w:rsidR="00992896">
          <w:rPr>
            <w:rStyle w:val="Hyperlink"/>
            <w:b/>
            <w:lang w:val="en-US"/>
          </w:rPr>
          <w:t> </w:t>
        </w:r>
        <w:r w:rsidR="0058018E" w:rsidRPr="00813D19">
          <w:rPr>
            <w:rStyle w:val="Hyperlink"/>
            <w:b/>
            <w:lang w:val="en-US"/>
          </w:rPr>
          <w:t>10.b.21</w:t>
        </w:r>
      </w:hyperlink>
      <w:r w:rsidR="0058018E" w:rsidRPr="00813D19">
        <w:rPr>
          <w:b/>
          <w:lang w:val="en-US"/>
        </w:rPr>
        <w:t xml:space="preserve"> adopted to inscribe </w:t>
      </w:r>
      <w:r w:rsidR="0058018E" w:rsidRPr="00813D19">
        <w:rPr>
          <w:b/>
          <w:color w:val="000000" w:themeColor="text1"/>
          <w:lang w:val="en-US"/>
        </w:rPr>
        <w:t>Traditional spring festive rites of the Kazakh horse breeders</w:t>
      </w:r>
      <w:r w:rsidR="0058018E" w:rsidRPr="00813D19">
        <w:rPr>
          <w:color w:val="000000" w:themeColor="text1"/>
          <w:lang w:val="en-US"/>
        </w:rPr>
        <w:t xml:space="preserve"> </w:t>
      </w:r>
      <w:r w:rsidR="0058018E" w:rsidRPr="00813D19">
        <w:rPr>
          <w:b/>
          <w:color w:val="000000" w:themeColor="text1"/>
          <w:lang w:val="en-US"/>
        </w:rPr>
        <w:t>on the Representative List</w:t>
      </w:r>
      <w:r w:rsidR="0058018E" w:rsidRPr="003D53B3">
        <w:rPr>
          <w:bCs/>
          <w:snapToGrid/>
          <w:color w:val="000000" w:themeColor="text1"/>
          <w:lang w:val="en-US"/>
        </w:rPr>
        <w:t>.</w:t>
      </w:r>
    </w:p>
    <w:p w14:paraId="1911A6E2" w14:textId="2F413B4A" w:rsidR="00D851E7" w:rsidRPr="003D53B3" w:rsidRDefault="00E97F88" w:rsidP="00D240FB">
      <w:pPr>
        <w:pStyle w:val="Orateurengris"/>
        <w:spacing w:before="120"/>
        <w:ind w:left="709" w:hanging="709"/>
        <w:rPr>
          <w:rFonts w:eastAsia="Times New Roman"/>
          <w:lang w:val="en-US"/>
        </w:rPr>
      </w:pPr>
      <w:r w:rsidRPr="00813D19">
        <w:rPr>
          <w:rFonts w:eastAsia="Calibri"/>
          <w:color w:val="000000" w:themeColor="text1"/>
          <w:lang w:val="en-US"/>
        </w:rPr>
        <w:t xml:space="preserve">The </w:t>
      </w:r>
      <w:r w:rsidRPr="00813D19">
        <w:rPr>
          <w:rFonts w:eastAsia="Calibri"/>
          <w:b/>
          <w:color w:val="000000" w:themeColor="text1"/>
          <w:lang w:val="en-US"/>
        </w:rPr>
        <w:t>delegation of Kazakhstan</w:t>
      </w:r>
      <w:r w:rsidRPr="00813D19">
        <w:rPr>
          <w:rFonts w:eastAsia="Calibri"/>
          <w:color w:val="000000" w:themeColor="text1"/>
          <w:lang w:val="en-US"/>
        </w:rPr>
        <w:t xml:space="preserve"> </w:t>
      </w:r>
      <w:r w:rsidR="00D851E7" w:rsidRPr="00813D19">
        <w:rPr>
          <w:bCs/>
          <w:lang w:val="en-US"/>
        </w:rPr>
        <w:t>thanked</w:t>
      </w:r>
      <w:r w:rsidRPr="00813D19">
        <w:rPr>
          <w:bCs/>
          <w:lang w:val="en-US"/>
        </w:rPr>
        <w:t xml:space="preserve"> everyone for </w:t>
      </w:r>
      <w:r w:rsidR="00D851E7" w:rsidRPr="00813D19">
        <w:rPr>
          <w:bCs/>
          <w:lang w:val="en-US"/>
        </w:rPr>
        <w:t xml:space="preserve">their </w:t>
      </w:r>
      <w:r w:rsidRPr="00813D19">
        <w:rPr>
          <w:bCs/>
          <w:lang w:val="en-US"/>
        </w:rPr>
        <w:t xml:space="preserve">kind support </w:t>
      </w:r>
      <w:r w:rsidR="00407414" w:rsidRPr="00813D19">
        <w:rPr>
          <w:bCs/>
          <w:lang w:val="en-US"/>
        </w:rPr>
        <w:t xml:space="preserve">of this nomination, giving </w:t>
      </w:r>
      <w:r w:rsidR="00D851E7" w:rsidRPr="00813D19">
        <w:rPr>
          <w:bCs/>
          <w:lang w:val="en-US"/>
        </w:rPr>
        <w:t xml:space="preserve">the floor </w:t>
      </w:r>
      <w:r w:rsidRPr="00813D19">
        <w:rPr>
          <w:bCs/>
          <w:lang w:val="en-US"/>
        </w:rPr>
        <w:t>to a representative of the community</w:t>
      </w:r>
      <w:r w:rsidR="00D851E7" w:rsidRPr="00813D19">
        <w:rPr>
          <w:bCs/>
          <w:lang w:val="en-US"/>
        </w:rPr>
        <w:t>, bearer of this practice</w:t>
      </w:r>
      <w:r w:rsidR="00D851E7" w:rsidRPr="003D53B3">
        <w:rPr>
          <w:bCs/>
          <w:lang w:val="en-US"/>
        </w:rPr>
        <w:t>.</w:t>
      </w:r>
    </w:p>
    <w:p w14:paraId="59E5CFA1" w14:textId="62FC010E" w:rsidR="00D240FB" w:rsidRPr="003D53B3" w:rsidRDefault="00D851E7" w:rsidP="00D240FB">
      <w:pPr>
        <w:pStyle w:val="Orateurengris"/>
        <w:spacing w:before="120"/>
        <w:ind w:left="709" w:hanging="709"/>
        <w:rPr>
          <w:rFonts w:eastAsia="Times New Roman"/>
          <w:lang w:val="en-US"/>
        </w:rPr>
      </w:pPr>
      <w:r w:rsidRPr="003D53B3">
        <w:rPr>
          <w:rFonts w:eastAsia="Calibri"/>
          <w:color w:val="000000" w:themeColor="text1"/>
          <w:lang w:val="en-US"/>
        </w:rPr>
        <w:t xml:space="preserve">The </w:t>
      </w:r>
      <w:r w:rsidR="00407414" w:rsidRPr="003D53B3">
        <w:rPr>
          <w:rFonts w:eastAsia="Calibri"/>
          <w:b/>
          <w:color w:val="000000" w:themeColor="text1"/>
          <w:lang w:val="en-US"/>
        </w:rPr>
        <w:t>delegation of Kazakhstan</w:t>
      </w:r>
      <w:r w:rsidR="00407414" w:rsidRPr="003D53B3">
        <w:rPr>
          <w:rFonts w:eastAsia="Calibri"/>
          <w:color w:val="000000" w:themeColor="text1"/>
          <w:lang w:val="en-US"/>
        </w:rPr>
        <w:t xml:space="preserve"> [second speaker]</w:t>
      </w:r>
      <w:r w:rsidR="00F922C0" w:rsidRPr="003D53B3">
        <w:rPr>
          <w:rFonts w:eastAsia="Calibri"/>
          <w:color w:val="000000" w:themeColor="text1"/>
          <w:lang w:val="en-US"/>
        </w:rPr>
        <w:t xml:space="preserve">, </w:t>
      </w:r>
      <w:r w:rsidR="00F922C0" w:rsidRPr="003D53B3">
        <w:rPr>
          <w:bCs/>
          <w:lang w:val="en-US"/>
        </w:rPr>
        <w:t>D</w:t>
      </w:r>
      <w:r w:rsidR="00E97F88" w:rsidRPr="003D53B3">
        <w:rPr>
          <w:bCs/>
          <w:lang w:val="en-US"/>
        </w:rPr>
        <w:t xml:space="preserve">irector of the Museum of the region of </w:t>
      </w:r>
      <w:r w:rsidR="00E97F88" w:rsidRPr="003D53B3">
        <w:rPr>
          <w:lang w:val="en-US"/>
        </w:rPr>
        <w:t>Ulytau</w:t>
      </w:r>
      <w:r w:rsidR="00E97F88" w:rsidRPr="003D53B3">
        <w:rPr>
          <w:bCs/>
          <w:lang w:val="en-US"/>
        </w:rPr>
        <w:t xml:space="preserve"> in central Kazakhsta</w:t>
      </w:r>
      <w:r w:rsidR="002E1E96" w:rsidRPr="003D53B3">
        <w:rPr>
          <w:bCs/>
          <w:lang w:val="en-US"/>
        </w:rPr>
        <w:t>n where this practice is common, explained that t</w:t>
      </w:r>
      <w:r w:rsidR="00E97F88" w:rsidRPr="003D53B3">
        <w:rPr>
          <w:bCs/>
          <w:lang w:val="en-US"/>
        </w:rPr>
        <w:t xml:space="preserve">he traditional spring festive rites of the Kazakh horse breeders </w:t>
      </w:r>
      <w:r w:rsidR="002E1E96" w:rsidRPr="003D53B3">
        <w:rPr>
          <w:bCs/>
          <w:lang w:val="en-US"/>
        </w:rPr>
        <w:t>is practis</w:t>
      </w:r>
      <w:r w:rsidR="00E97F88" w:rsidRPr="003D53B3">
        <w:rPr>
          <w:bCs/>
          <w:lang w:val="en-US"/>
        </w:rPr>
        <w:t xml:space="preserve">ed in </w:t>
      </w:r>
      <w:r w:rsidR="002E1E96" w:rsidRPr="003D53B3">
        <w:rPr>
          <w:bCs/>
          <w:lang w:val="en-US"/>
        </w:rPr>
        <w:t xml:space="preserve">the </w:t>
      </w:r>
      <w:r w:rsidR="00E97F88" w:rsidRPr="003D53B3">
        <w:rPr>
          <w:bCs/>
          <w:lang w:val="en-US"/>
        </w:rPr>
        <w:t xml:space="preserve">region and is an indispensable part of our community’s self-identity. The horse </w:t>
      </w:r>
      <w:r w:rsidR="002E1E96" w:rsidRPr="003D53B3">
        <w:rPr>
          <w:bCs/>
          <w:lang w:val="en-US"/>
        </w:rPr>
        <w:t xml:space="preserve">provided </w:t>
      </w:r>
      <w:r w:rsidR="00E97F88" w:rsidRPr="003D53B3">
        <w:rPr>
          <w:bCs/>
          <w:lang w:val="en-US"/>
        </w:rPr>
        <w:t>an invaluable contribution to the progress and spread of human civilization</w:t>
      </w:r>
      <w:r w:rsidR="002E1E96" w:rsidRPr="003D53B3">
        <w:rPr>
          <w:bCs/>
          <w:lang w:val="en-US"/>
        </w:rPr>
        <w:t>,</w:t>
      </w:r>
      <w:r w:rsidR="00E97F88" w:rsidRPr="003D53B3">
        <w:rPr>
          <w:bCs/>
          <w:lang w:val="en-US"/>
        </w:rPr>
        <w:t xml:space="preserve"> and the earliest evidence of the horse’s domestication comes from the great steppes of Kazakhstan. </w:t>
      </w:r>
      <w:r w:rsidR="002E1E96" w:rsidRPr="003D53B3">
        <w:rPr>
          <w:bCs/>
          <w:lang w:val="en-US"/>
        </w:rPr>
        <w:t xml:space="preserve">Thus, its inscription was a </w:t>
      </w:r>
      <w:r w:rsidR="00E97F88" w:rsidRPr="003D53B3">
        <w:rPr>
          <w:bCs/>
          <w:lang w:val="en-US"/>
        </w:rPr>
        <w:t xml:space="preserve">great day for everyone who loves horses around the globe. </w:t>
      </w:r>
      <w:r w:rsidR="002E1E96" w:rsidRPr="003D53B3">
        <w:rPr>
          <w:bCs/>
          <w:lang w:val="en-US"/>
        </w:rPr>
        <w:t xml:space="preserve">He assured the Committee </w:t>
      </w:r>
      <w:r w:rsidR="00407414" w:rsidRPr="003D53B3">
        <w:rPr>
          <w:bCs/>
          <w:lang w:val="en-US"/>
        </w:rPr>
        <w:t>of</w:t>
      </w:r>
      <w:r w:rsidR="002E1E96" w:rsidRPr="003D53B3">
        <w:rPr>
          <w:bCs/>
          <w:lang w:val="en-US"/>
        </w:rPr>
        <w:t xml:space="preserve"> the country’s </w:t>
      </w:r>
      <w:r w:rsidR="00E97F88" w:rsidRPr="003D53B3">
        <w:rPr>
          <w:bCs/>
          <w:lang w:val="en-US"/>
        </w:rPr>
        <w:t xml:space="preserve">commitment to making every effort to preserve </w:t>
      </w:r>
      <w:r w:rsidR="002E1E96" w:rsidRPr="003D53B3">
        <w:rPr>
          <w:bCs/>
          <w:lang w:val="en-US"/>
        </w:rPr>
        <w:t xml:space="preserve">this </w:t>
      </w:r>
      <w:r w:rsidR="00E97F88" w:rsidRPr="003D53B3">
        <w:rPr>
          <w:bCs/>
          <w:lang w:val="en-US"/>
        </w:rPr>
        <w:t>tradition</w:t>
      </w:r>
      <w:r w:rsidR="00407414" w:rsidRPr="003D53B3">
        <w:rPr>
          <w:bCs/>
          <w:lang w:val="en-US"/>
        </w:rPr>
        <w:t>, now</w:t>
      </w:r>
      <w:r w:rsidR="00E97F88" w:rsidRPr="003D53B3">
        <w:rPr>
          <w:bCs/>
          <w:lang w:val="en-US"/>
        </w:rPr>
        <w:t xml:space="preserve"> </w:t>
      </w:r>
      <w:r w:rsidR="002E1E96" w:rsidRPr="003D53B3">
        <w:rPr>
          <w:bCs/>
          <w:lang w:val="en-US"/>
        </w:rPr>
        <w:t xml:space="preserve">newly inscribed on the </w:t>
      </w:r>
      <w:r w:rsidR="00E97F88" w:rsidRPr="003D53B3">
        <w:rPr>
          <w:bCs/>
          <w:lang w:val="en-US"/>
        </w:rPr>
        <w:t>Representative List</w:t>
      </w:r>
      <w:r w:rsidR="00E97F88" w:rsidRPr="003D53B3">
        <w:rPr>
          <w:lang w:val="en-US"/>
        </w:rPr>
        <w:t xml:space="preserve">. </w:t>
      </w:r>
      <w:r w:rsidR="002E1E96" w:rsidRPr="003D53B3">
        <w:rPr>
          <w:lang w:val="en-US"/>
        </w:rPr>
        <w:t xml:space="preserve">The </w:t>
      </w:r>
      <w:r w:rsidR="00407414" w:rsidRPr="003D53B3">
        <w:rPr>
          <w:lang w:val="en-US"/>
        </w:rPr>
        <w:t>delegation</w:t>
      </w:r>
      <w:r w:rsidR="002E1E96" w:rsidRPr="003D53B3">
        <w:rPr>
          <w:lang w:val="en-US"/>
        </w:rPr>
        <w:t xml:space="preserve"> thanked everyone for their </w:t>
      </w:r>
      <w:r w:rsidR="00E97F88" w:rsidRPr="003D53B3">
        <w:rPr>
          <w:lang w:val="en-US"/>
        </w:rPr>
        <w:t xml:space="preserve">support </w:t>
      </w:r>
      <w:r w:rsidR="004D5B6E" w:rsidRPr="003D53B3">
        <w:rPr>
          <w:lang w:val="en-US"/>
        </w:rPr>
        <w:t xml:space="preserve">for </w:t>
      </w:r>
      <w:r w:rsidR="00E97F88" w:rsidRPr="003D53B3">
        <w:rPr>
          <w:lang w:val="en-US"/>
        </w:rPr>
        <w:t>the nomination</w:t>
      </w:r>
      <w:r w:rsidR="002E1E96" w:rsidRPr="003D53B3">
        <w:rPr>
          <w:lang w:val="en-US"/>
        </w:rPr>
        <w:t>,</w:t>
      </w:r>
      <w:r w:rsidR="00E97F88" w:rsidRPr="003D53B3">
        <w:rPr>
          <w:lang w:val="en-US"/>
        </w:rPr>
        <w:t xml:space="preserve"> </w:t>
      </w:r>
      <w:r w:rsidR="00407414" w:rsidRPr="003D53B3">
        <w:rPr>
          <w:lang w:val="en-US"/>
        </w:rPr>
        <w:t xml:space="preserve">which was </w:t>
      </w:r>
      <w:r w:rsidR="00E97F88" w:rsidRPr="003D53B3">
        <w:rPr>
          <w:lang w:val="en-US"/>
        </w:rPr>
        <w:t xml:space="preserve">prepared by the late Dr </w:t>
      </w:r>
      <w:r w:rsidR="002E1E96" w:rsidRPr="003D53B3">
        <w:rPr>
          <w:lang w:val="en-US"/>
        </w:rPr>
        <w:t>Yelena</w:t>
      </w:r>
      <w:r w:rsidR="00E97F88" w:rsidRPr="003D53B3">
        <w:rPr>
          <w:lang w:val="en-US"/>
        </w:rPr>
        <w:t xml:space="preserve"> </w:t>
      </w:r>
      <w:r w:rsidR="002E1E96" w:rsidRPr="003D53B3">
        <w:rPr>
          <w:lang w:val="en-US"/>
        </w:rPr>
        <w:t>Khorosh</w:t>
      </w:r>
      <w:r w:rsidR="00D240FB" w:rsidRPr="003D53B3">
        <w:rPr>
          <w:lang w:val="en-US"/>
        </w:rPr>
        <w:t>.</w:t>
      </w:r>
    </w:p>
    <w:p w14:paraId="413BBE11" w14:textId="7B951889" w:rsidR="00DE52A5" w:rsidRPr="003D53B3" w:rsidRDefault="00DE52A5" w:rsidP="00D240FB">
      <w:pPr>
        <w:pStyle w:val="Orateurengris"/>
        <w:numPr>
          <w:ilvl w:val="0"/>
          <w:numId w:val="0"/>
        </w:numPr>
        <w:spacing w:before="120"/>
        <w:jc w:val="center"/>
        <w:rPr>
          <w:rFonts w:eastAsia="Times New Roman"/>
          <w:lang w:val="en-US"/>
        </w:rPr>
      </w:pPr>
      <w:r w:rsidRPr="003D53B3">
        <w:rPr>
          <w:i/>
          <w:lang w:val="en-US"/>
        </w:rPr>
        <w:t>[</w:t>
      </w:r>
      <w:r w:rsidR="00F50D74" w:rsidRPr="003D53B3">
        <w:rPr>
          <w:i/>
          <w:lang w:val="en-US"/>
        </w:rPr>
        <w:t>A short f</w:t>
      </w:r>
      <w:r w:rsidRPr="003D53B3">
        <w:rPr>
          <w:i/>
          <w:lang w:val="en-US"/>
        </w:rPr>
        <w:t xml:space="preserve">ilm on </w:t>
      </w:r>
      <w:r w:rsidR="0091461D" w:rsidRPr="003D53B3">
        <w:rPr>
          <w:i/>
          <w:color w:val="000000" w:themeColor="text1"/>
          <w:lang w:val="en-US"/>
        </w:rPr>
        <w:t>Traditional spring festive rites of the Kazakh horse breeders</w:t>
      </w:r>
      <w:r w:rsidR="00F50D74" w:rsidRPr="003D53B3">
        <w:rPr>
          <w:i/>
          <w:color w:val="000000" w:themeColor="text1"/>
          <w:lang w:val="en-US"/>
        </w:rPr>
        <w:t xml:space="preserve"> was projected</w:t>
      </w:r>
      <w:r w:rsidR="0091461D" w:rsidRPr="003D53B3">
        <w:rPr>
          <w:i/>
          <w:color w:val="000000" w:themeColor="text1"/>
          <w:lang w:val="en-US"/>
        </w:rPr>
        <w:t>]</w:t>
      </w:r>
    </w:p>
    <w:p w14:paraId="260E4517" w14:textId="75ADC0E8" w:rsidR="0091461D" w:rsidRPr="003D53B3" w:rsidRDefault="0091461D" w:rsidP="00A46EA0">
      <w:pPr>
        <w:pStyle w:val="Orateurengris"/>
        <w:spacing w:before="120"/>
        <w:ind w:left="709" w:hanging="709"/>
        <w:rPr>
          <w:rFonts w:eastAsia="Times New Roman"/>
          <w:lang w:val="en-US"/>
        </w:rPr>
      </w:pPr>
      <w:r w:rsidRPr="003D53B3">
        <w:rPr>
          <w:color w:val="000000" w:themeColor="text1"/>
          <w:lang w:val="en-US"/>
        </w:rPr>
        <w:t xml:space="preserve">The </w:t>
      </w:r>
      <w:r w:rsidRPr="003D53B3">
        <w:rPr>
          <w:b/>
          <w:color w:val="000000" w:themeColor="text1"/>
          <w:lang w:val="en-US"/>
        </w:rPr>
        <w:t>Chairperson</w:t>
      </w:r>
      <w:r w:rsidRPr="003D53B3">
        <w:rPr>
          <w:color w:val="000000" w:themeColor="text1"/>
          <w:lang w:val="en-US"/>
        </w:rPr>
        <w:t xml:space="preserve"> </w:t>
      </w:r>
      <w:r w:rsidR="007D36DB" w:rsidRPr="003D53B3">
        <w:rPr>
          <w:color w:val="000000" w:themeColor="text1"/>
          <w:lang w:val="en-US"/>
        </w:rPr>
        <w:t xml:space="preserve">invited the Secretary to make some </w:t>
      </w:r>
      <w:r w:rsidR="00E97F88" w:rsidRPr="003D53B3">
        <w:rPr>
          <w:bCs/>
          <w:lang w:val="en-US"/>
        </w:rPr>
        <w:t>practical announcement</w:t>
      </w:r>
      <w:r w:rsidR="007D36DB" w:rsidRPr="003D53B3">
        <w:rPr>
          <w:bCs/>
          <w:lang w:val="en-US"/>
        </w:rPr>
        <w:t>s.</w:t>
      </w:r>
    </w:p>
    <w:p w14:paraId="6113EB1C" w14:textId="14ED76F0" w:rsidR="00F50D74" w:rsidRPr="003D53B3" w:rsidRDefault="0091461D" w:rsidP="00F50D74">
      <w:pPr>
        <w:pStyle w:val="Orateurengris"/>
        <w:spacing w:after="0"/>
        <w:ind w:left="709" w:hanging="709"/>
        <w:rPr>
          <w:rFonts w:eastAsia="Times New Roman"/>
          <w:lang w:val="en-US"/>
        </w:rPr>
      </w:pPr>
      <w:r w:rsidRPr="003D53B3">
        <w:rPr>
          <w:color w:val="000000" w:themeColor="text1"/>
          <w:lang w:val="en-US"/>
        </w:rPr>
        <w:t xml:space="preserve">The </w:t>
      </w:r>
      <w:r w:rsidRPr="003D53B3">
        <w:rPr>
          <w:b/>
          <w:color w:val="000000" w:themeColor="text1"/>
          <w:lang w:val="en-US"/>
        </w:rPr>
        <w:t>Secretary</w:t>
      </w:r>
      <w:r w:rsidRPr="003D53B3">
        <w:rPr>
          <w:color w:val="000000" w:themeColor="text1"/>
          <w:lang w:val="en-US"/>
        </w:rPr>
        <w:t xml:space="preserve"> </w:t>
      </w:r>
      <w:r w:rsidR="00E97F88" w:rsidRPr="003D53B3">
        <w:rPr>
          <w:bCs/>
          <w:lang w:val="en-US"/>
        </w:rPr>
        <w:t>invite</w:t>
      </w:r>
      <w:r w:rsidR="007D36DB" w:rsidRPr="003D53B3">
        <w:rPr>
          <w:bCs/>
          <w:lang w:val="en-US"/>
        </w:rPr>
        <w:t>d</w:t>
      </w:r>
      <w:r w:rsidR="00E97F88" w:rsidRPr="003D53B3">
        <w:rPr>
          <w:bCs/>
          <w:lang w:val="en-US"/>
        </w:rPr>
        <w:t xml:space="preserve"> all </w:t>
      </w:r>
      <w:r w:rsidR="00813D19" w:rsidRPr="003D53B3">
        <w:rPr>
          <w:bCs/>
          <w:lang w:val="en-US"/>
        </w:rPr>
        <w:t>the</w:t>
      </w:r>
      <w:r w:rsidR="007D36DB" w:rsidRPr="003D53B3">
        <w:rPr>
          <w:bCs/>
          <w:lang w:val="en-US"/>
        </w:rPr>
        <w:t xml:space="preserve"> delegates </w:t>
      </w:r>
      <w:r w:rsidR="00E97F88" w:rsidRPr="003D53B3">
        <w:rPr>
          <w:bCs/>
          <w:lang w:val="en-US"/>
        </w:rPr>
        <w:t>to the information session on higher education networking on intangible cultural heritage organized by th</w:t>
      </w:r>
      <w:r w:rsidR="003D53B3">
        <w:rPr>
          <w:bCs/>
          <w:lang w:val="en-US"/>
        </w:rPr>
        <w:t>e Secretariat.</w:t>
      </w:r>
    </w:p>
    <w:p w14:paraId="0D2A0F7D" w14:textId="542F6D42" w:rsidR="00673465" w:rsidRPr="003D53B3" w:rsidRDefault="00673465" w:rsidP="003D53B3">
      <w:pPr>
        <w:pStyle w:val="Orateurengris"/>
        <w:keepNext/>
        <w:numPr>
          <w:ilvl w:val="0"/>
          <w:numId w:val="0"/>
        </w:numPr>
        <w:spacing w:before="240" w:after="240"/>
        <w:jc w:val="center"/>
        <w:outlineLvl w:val="0"/>
        <w:rPr>
          <w:i/>
          <w:lang w:val="en-US"/>
        </w:rPr>
      </w:pPr>
      <w:r w:rsidRPr="003D53B3">
        <w:rPr>
          <w:i/>
          <w:lang w:val="en-US"/>
        </w:rPr>
        <w:t>[Thursday, 29 November 2018, afternoon session]</w:t>
      </w:r>
    </w:p>
    <w:p w14:paraId="6BAED895" w14:textId="603922B5" w:rsidR="008F2A28" w:rsidRPr="003D53B3" w:rsidRDefault="004D684A" w:rsidP="00F50D74">
      <w:pPr>
        <w:pStyle w:val="Orateurengris"/>
        <w:spacing w:after="0"/>
        <w:ind w:left="709" w:hanging="709"/>
        <w:rPr>
          <w:rFonts w:eastAsia="Times New Roman"/>
          <w:lang w:val="en-US"/>
        </w:rPr>
      </w:pPr>
      <w:r w:rsidRPr="003D53B3">
        <w:rPr>
          <w:color w:val="000000" w:themeColor="text1"/>
          <w:lang w:val="en-US"/>
        </w:rPr>
        <w:t xml:space="preserve">The </w:t>
      </w:r>
      <w:r w:rsidRPr="003D53B3">
        <w:rPr>
          <w:b/>
          <w:color w:val="000000" w:themeColor="text1"/>
          <w:lang w:val="en-US"/>
        </w:rPr>
        <w:t>Chairperson</w:t>
      </w:r>
      <w:r w:rsidRPr="003D53B3">
        <w:rPr>
          <w:color w:val="000000" w:themeColor="text1"/>
          <w:lang w:val="en-US"/>
        </w:rPr>
        <w:t xml:space="preserve"> </w:t>
      </w:r>
      <w:r w:rsidR="007461BA" w:rsidRPr="003D53B3">
        <w:rPr>
          <w:color w:val="000000" w:themeColor="text1"/>
          <w:lang w:val="en-US"/>
        </w:rPr>
        <w:t>resum</w:t>
      </w:r>
      <w:r w:rsidR="002E1E96" w:rsidRPr="003D53B3">
        <w:rPr>
          <w:color w:val="000000" w:themeColor="text1"/>
          <w:lang w:val="en-US"/>
        </w:rPr>
        <w:t xml:space="preserve">ed the session with the next </w:t>
      </w:r>
      <w:r w:rsidR="003D53B3">
        <w:rPr>
          <w:lang w:val="en-US"/>
        </w:rPr>
        <w:t>nomination submitted by Malawi.</w:t>
      </w:r>
    </w:p>
    <w:p w14:paraId="4D528E29" w14:textId="78C15937" w:rsidR="004D684A" w:rsidRPr="00813D19" w:rsidRDefault="004D684A" w:rsidP="00C17FBE">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4D5B6E">
        <w:rPr>
          <w:color w:val="000000" w:themeColor="text1"/>
          <w:lang w:val="en-US"/>
        </w:rPr>
        <w:t>,</w:t>
      </w:r>
      <w:r w:rsidRPr="00813D19">
        <w:rPr>
          <w:color w:val="000000" w:themeColor="text1"/>
          <w:lang w:val="en-US"/>
        </w:rPr>
        <w:t xml:space="preserve"> </w:t>
      </w:r>
      <w:r w:rsidR="008F2A28" w:rsidRPr="00813D19">
        <w:rPr>
          <w:b/>
          <w:color w:val="000000" w:themeColor="text1"/>
          <w:lang w:val="en-US"/>
        </w:rPr>
        <w:t>Mwinoghe, joyous dance</w:t>
      </w:r>
      <w:r w:rsidRPr="00813D19">
        <w:rPr>
          <w:color w:val="000000" w:themeColor="text1"/>
          <w:lang w:val="en-US"/>
        </w:rPr>
        <w:t xml:space="preserve"> </w:t>
      </w:r>
      <w:r w:rsidR="008F2A28" w:rsidRPr="00813D19">
        <w:rPr>
          <w:color w:val="000000" w:themeColor="text1"/>
          <w:lang w:val="en-US"/>
        </w:rPr>
        <w:t>[draft decision 13.COM 10.b.23]</w:t>
      </w:r>
      <w:r w:rsidR="004D5B6E">
        <w:rPr>
          <w:color w:val="000000" w:themeColor="text1"/>
          <w:lang w:val="en-US"/>
        </w:rPr>
        <w:t>,</w:t>
      </w:r>
      <w:r w:rsidR="008F2A28" w:rsidRPr="00813D19">
        <w:rPr>
          <w:color w:val="000000" w:themeColor="text1"/>
          <w:lang w:val="en-US"/>
        </w:rPr>
        <w:t xml:space="preserve"> submitted by </w:t>
      </w:r>
      <w:r w:rsidR="008F2A28" w:rsidRPr="00813D19">
        <w:rPr>
          <w:b/>
          <w:color w:val="000000" w:themeColor="text1"/>
          <w:lang w:val="en-US"/>
        </w:rPr>
        <w:t>Malawi</w:t>
      </w:r>
      <w:r w:rsidRPr="00813D19">
        <w:rPr>
          <w:color w:val="000000" w:themeColor="text1"/>
          <w:lang w:val="en-US"/>
        </w:rPr>
        <w:t xml:space="preserve">. </w:t>
      </w:r>
      <w:r w:rsidR="00C17FBE" w:rsidRPr="00813D19">
        <w:rPr>
          <w:lang w:val="en-US"/>
        </w:rPr>
        <w:t>Mwinoghe is an instrumental dance performed among three ethnic communities in the northern region of Malawi. The dance is performed at social gatherings for entertainment purposes and serves a unifying function among different communities. From the information included in th</w:t>
      </w:r>
      <w:r w:rsidR="00FF62CA" w:rsidRPr="00813D19">
        <w:rPr>
          <w:lang w:val="en-US"/>
        </w:rPr>
        <w:t>e file, the nomination satisfied</w:t>
      </w:r>
      <w:r w:rsidR="00C17FBE" w:rsidRPr="00813D19">
        <w:rPr>
          <w:lang w:val="en-US"/>
        </w:rPr>
        <w:t xml:space="preserve"> all five criteria. The Evaluation Body considered that</w:t>
      </w:r>
      <w:r w:rsidR="00C17FBE" w:rsidRPr="00813D19">
        <w:rPr>
          <w:b/>
          <w:lang w:val="en-US"/>
        </w:rPr>
        <w:t xml:space="preserve"> </w:t>
      </w:r>
      <w:r w:rsidR="00C17FBE" w:rsidRPr="00813D19">
        <w:rPr>
          <w:lang w:val="en-US"/>
        </w:rPr>
        <w:t>Mwinoghe, joyous dance represents a cultural element deriving from an older ceremonial dance that has assumed new functions in modern society. The dance strengthens bonds among community members, fosters dialogue and helps people understand their own cultural identity. The safeguarding measures were prepared with the participation of communities</w:t>
      </w:r>
      <w:r w:rsidR="00FF62CA" w:rsidRPr="00813D19">
        <w:rPr>
          <w:lang w:val="en-US"/>
        </w:rPr>
        <w:t>,</w:t>
      </w:r>
      <w:r w:rsidR="00C17FBE" w:rsidRPr="00813D19">
        <w:rPr>
          <w:lang w:val="en-US"/>
        </w:rPr>
        <w:t xml:space="preserve"> and the State Party strives to create a favo</w:t>
      </w:r>
      <w:r w:rsidR="00C64B11">
        <w:rPr>
          <w:lang w:val="en-US"/>
        </w:rPr>
        <w:t>u</w:t>
      </w:r>
      <w:r w:rsidR="00C17FBE" w:rsidRPr="00813D19">
        <w:rPr>
          <w:lang w:val="en-US"/>
        </w:rPr>
        <w:t>rable legal framework to facilitate the communities’ safeguarding efforts. The element was identified during a project co-funded by UNESCO aimed at community-based inventorying</w:t>
      </w:r>
      <w:r w:rsidR="00FF62CA" w:rsidRPr="00813D19">
        <w:rPr>
          <w:lang w:val="en-US"/>
        </w:rPr>
        <w:t>,</w:t>
      </w:r>
      <w:r w:rsidR="00C17FBE" w:rsidRPr="00813D19">
        <w:rPr>
          <w:lang w:val="en-US"/>
        </w:rPr>
        <w:t xml:space="preserve"> and Mwinoghe was duly included in the Inventory of Malawi´s Intangible Cultural Heritage in 2013</w:t>
      </w:r>
      <w:r w:rsidR="00F163FF" w:rsidRPr="00813D19">
        <w:rPr>
          <w:lang w:val="en-US"/>
        </w:rPr>
        <w:t>. The Evaluation Body recommended</w:t>
      </w:r>
      <w:r w:rsidR="00C17FBE" w:rsidRPr="00813D19">
        <w:rPr>
          <w:lang w:val="en-US"/>
        </w:rPr>
        <w:t xml:space="preserve"> that the Committee inscribe Mwinoghe, joyous dance on the Representative List.</w:t>
      </w:r>
    </w:p>
    <w:p w14:paraId="7DE85946" w14:textId="77777777" w:rsidR="00FF62CA" w:rsidRPr="00813D19" w:rsidRDefault="00FF62CA" w:rsidP="00FF62C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60BA3C09" w14:textId="2C8878BC" w:rsidR="00F163FF" w:rsidRPr="003D53B3" w:rsidRDefault="00FF62CA" w:rsidP="00FF62CA">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41038A" w:rsidRPr="00813D19">
        <w:rPr>
          <w:b/>
          <w:lang w:val="en-US"/>
        </w:rPr>
        <w:t xml:space="preserve">Chairperson declared Decision </w:t>
      </w:r>
      <w:hyperlink r:id="rId122" w:history="1">
        <w:r w:rsidR="0041038A" w:rsidRPr="00813D19">
          <w:rPr>
            <w:rStyle w:val="Hyperlink"/>
            <w:b/>
            <w:lang w:val="en-US"/>
          </w:rPr>
          <w:t>13.COM</w:t>
        </w:r>
        <w:r w:rsidR="00992896">
          <w:rPr>
            <w:rStyle w:val="Hyperlink"/>
            <w:b/>
            <w:lang w:val="en-US"/>
          </w:rPr>
          <w:t> </w:t>
        </w:r>
        <w:r w:rsidR="0041038A" w:rsidRPr="00813D19">
          <w:rPr>
            <w:rStyle w:val="Hyperlink"/>
            <w:b/>
            <w:lang w:val="en-US"/>
          </w:rPr>
          <w:t>10.b.23</w:t>
        </w:r>
      </w:hyperlink>
      <w:r w:rsidR="0041038A" w:rsidRPr="00813D19">
        <w:rPr>
          <w:b/>
          <w:lang w:val="en-US"/>
        </w:rPr>
        <w:t xml:space="preserve"> adopted to inscribe </w:t>
      </w:r>
      <w:r w:rsidR="0041038A" w:rsidRPr="00813D19">
        <w:rPr>
          <w:b/>
          <w:color w:val="000000" w:themeColor="text1"/>
          <w:lang w:val="en-US"/>
        </w:rPr>
        <w:t>Mwinoghe, joyous dance</w:t>
      </w:r>
      <w:r w:rsidR="0041038A" w:rsidRPr="00813D19">
        <w:rPr>
          <w:color w:val="000000" w:themeColor="text1"/>
          <w:lang w:val="en-US"/>
        </w:rPr>
        <w:t xml:space="preserve"> </w:t>
      </w:r>
      <w:r w:rsidR="0041038A" w:rsidRPr="00813D19">
        <w:rPr>
          <w:b/>
          <w:color w:val="000000" w:themeColor="text1"/>
          <w:lang w:val="en-US"/>
        </w:rPr>
        <w:t>on the Representative List</w:t>
      </w:r>
      <w:r w:rsidR="0041038A" w:rsidRPr="003D53B3">
        <w:rPr>
          <w:bCs/>
          <w:snapToGrid/>
          <w:color w:val="000000" w:themeColor="text1"/>
          <w:lang w:val="en-US"/>
        </w:rPr>
        <w:t>.</w:t>
      </w:r>
    </w:p>
    <w:p w14:paraId="0B9F7D7D" w14:textId="373C0838" w:rsidR="0096772C" w:rsidRPr="003D53B3" w:rsidRDefault="00E57F97" w:rsidP="0096772C">
      <w:pPr>
        <w:pStyle w:val="Orateurengris"/>
        <w:spacing w:before="120"/>
        <w:ind w:left="709" w:hanging="709"/>
        <w:rPr>
          <w:rFonts w:eastAsia="Times New Roman"/>
          <w:i/>
          <w:lang w:val="en-US"/>
        </w:rPr>
      </w:pPr>
      <w:r w:rsidRPr="00813D19">
        <w:rPr>
          <w:lang w:val="en-US"/>
        </w:rPr>
        <w:t xml:space="preserve">The </w:t>
      </w:r>
      <w:r w:rsidRPr="00813D19">
        <w:rPr>
          <w:b/>
          <w:lang w:val="en-US"/>
        </w:rPr>
        <w:t>delegation of Malawi</w:t>
      </w:r>
      <w:r w:rsidR="007A7F1A" w:rsidRPr="00813D19">
        <w:rPr>
          <w:b/>
          <w:lang w:val="en-US"/>
        </w:rPr>
        <w:t xml:space="preserve"> </w:t>
      </w:r>
      <w:r w:rsidR="007F3BD7" w:rsidRPr="00813D19">
        <w:rPr>
          <w:lang w:val="en-US"/>
        </w:rPr>
        <w:t>thanked</w:t>
      </w:r>
      <w:r w:rsidR="007F3BD7" w:rsidRPr="00813D19">
        <w:rPr>
          <w:b/>
          <w:lang w:val="en-US"/>
        </w:rPr>
        <w:t xml:space="preserve"> </w:t>
      </w:r>
      <w:r w:rsidR="007F3BD7" w:rsidRPr="00813D19">
        <w:rPr>
          <w:lang w:val="en-US"/>
        </w:rPr>
        <w:t xml:space="preserve">the </w:t>
      </w:r>
      <w:r w:rsidR="00E97F88" w:rsidRPr="00813D19">
        <w:rPr>
          <w:lang w:val="en-US"/>
        </w:rPr>
        <w:t>Chairperson for the opportunity to</w:t>
      </w:r>
      <w:r w:rsidR="007F3BD7" w:rsidRPr="00813D19">
        <w:rPr>
          <w:lang w:val="en-US"/>
        </w:rPr>
        <w:t xml:space="preserve"> speak at this joyous occasion, thanking </w:t>
      </w:r>
      <w:r w:rsidR="00E97F88" w:rsidRPr="00813D19">
        <w:rPr>
          <w:lang w:val="en-US"/>
        </w:rPr>
        <w:t xml:space="preserve">the Committee for its decision to inscribe Mwinoghe, joyous dance on </w:t>
      </w:r>
      <w:r w:rsidR="007F3BD7" w:rsidRPr="00813D19">
        <w:rPr>
          <w:lang w:val="en-US"/>
        </w:rPr>
        <w:t xml:space="preserve">the </w:t>
      </w:r>
      <w:r w:rsidR="00E97F88" w:rsidRPr="00813D19">
        <w:rPr>
          <w:lang w:val="en-US"/>
        </w:rPr>
        <w:t>Representative List</w:t>
      </w:r>
      <w:r w:rsidR="00E97F88" w:rsidRPr="00813D19">
        <w:rPr>
          <w:bCs/>
          <w:lang w:val="en-US"/>
        </w:rPr>
        <w:t xml:space="preserve">. </w:t>
      </w:r>
      <w:r w:rsidR="007F3BD7" w:rsidRPr="00813D19">
        <w:rPr>
          <w:bCs/>
          <w:lang w:val="en-US"/>
        </w:rPr>
        <w:t xml:space="preserve">It </w:t>
      </w:r>
      <w:r w:rsidR="00E97F88" w:rsidRPr="00813D19">
        <w:rPr>
          <w:bCs/>
          <w:lang w:val="en-US"/>
        </w:rPr>
        <w:t>strongly believe</w:t>
      </w:r>
      <w:r w:rsidR="007F3BD7" w:rsidRPr="00813D19">
        <w:rPr>
          <w:bCs/>
          <w:lang w:val="en-US"/>
        </w:rPr>
        <w:t>d</w:t>
      </w:r>
      <w:r w:rsidR="00E97F88" w:rsidRPr="00813D19">
        <w:rPr>
          <w:bCs/>
          <w:lang w:val="en-US"/>
        </w:rPr>
        <w:t xml:space="preserve"> that the inscription of </w:t>
      </w:r>
      <w:r w:rsidR="00E97F88" w:rsidRPr="00813D19">
        <w:rPr>
          <w:lang w:val="en-US"/>
        </w:rPr>
        <w:t>Mw</w:t>
      </w:r>
      <w:r w:rsidR="007F3BD7" w:rsidRPr="00813D19">
        <w:rPr>
          <w:lang w:val="en-US"/>
        </w:rPr>
        <w:t xml:space="preserve">inoghe </w:t>
      </w:r>
      <w:r w:rsidR="004D5B6E">
        <w:rPr>
          <w:lang w:val="en-US"/>
        </w:rPr>
        <w:t>would</w:t>
      </w:r>
      <w:r w:rsidR="004D5B6E" w:rsidRPr="00813D19">
        <w:rPr>
          <w:lang w:val="en-US"/>
        </w:rPr>
        <w:t xml:space="preserve"> </w:t>
      </w:r>
      <w:r w:rsidR="007F3BD7" w:rsidRPr="00813D19">
        <w:rPr>
          <w:lang w:val="en-US"/>
        </w:rPr>
        <w:t>help reinforce self-</w:t>
      </w:r>
      <w:r w:rsidR="00E97F88" w:rsidRPr="00813D19">
        <w:rPr>
          <w:lang w:val="en-US"/>
        </w:rPr>
        <w:t xml:space="preserve">confidence, </w:t>
      </w:r>
      <w:r w:rsidR="00455318">
        <w:rPr>
          <w:lang w:val="en-US"/>
        </w:rPr>
        <w:t>self-</w:t>
      </w:r>
      <w:r w:rsidR="00E97F88" w:rsidRPr="00813D19">
        <w:rPr>
          <w:lang w:val="en-US"/>
        </w:rPr>
        <w:t>respect and</w:t>
      </w:r>
      <w:r w:rsidR="007F3BD7" w:rsidRPr="00813D19">
        <w:rPr>
          <w:lang w:val="en-US"/>
        </w:rPr>
        <w:t xml:space="preserve"> pride among the communities</w:t>
      </w:r>
      <w:r w:rsidR="00455318">
        <w:rPr>
          <w:lang w:val="en-US"/>
        </w:rPr>
        <w:t>, groups and individuals</w:t>
      </w:r>
      <w:r w:rsidR="00E97F88" w:rsidRPr="00813D19">
        <w:rPr>
          <w:lang w:val="en-US"/>
        </w:rPr>
        <w:t xml:space="preserve"> concerned</w:t>
      </w:r>
      <w:r w:rsidR="007F3BD7" w:rsidRPr="00813D19">
        <w:rPr>
          <w:lang w:val="en-US"/>
        </w:rPr>
        <w:t>,</w:t>
      </w:r>
      <w:r w:rsidR="00E97F88" w:rsidRPr="00813D19">
        <w:rPr>
          <w:lang w:val="en-US"/>
        </w:rPr>
        <w:t xml:space="preserve"> and encourage stronger relations with other communities in the country that already </w:t>
      </w:r>
      <w:r w:rsidR="004D5B6E" w:rsidRPr="00813D19">
        <w:rPr>
          <w:lang w:val="en-US"/>
        </w:rPr>
        <w:t>ha</w:t>
      </w:r>
      <w:r w:rsidR="004D5B6E">
        <w:rPr>
          <w:lang w:val="en-US"/>
        </w:rPr>
        <w:t>d</w:t>
      </w:r>
      <w:r w:rsidR="004D5B6E" w:rsidRPr="00813D19">
        <w:rPr>
          <w:lang w:val="en-US"/>
        </w:rPr>
        <w:t xml:space="preserve"> </w:t>
      </w:r>
      <w:r w:rsidR="00E97F88" w:rsidRPr="00813D19">
        <w:rPr>
          <w:lang w:val="en-US"/>
        </w:rPr>
        <w:t xml:space="preserve">their </w:t>
      </w:r>
      <w:r w:rsidR="007F3BD7" w:rsidRPr="00813D19">
        <w:rPr>
          <w:lang w:val="en-US"/>
        </w:rPr>
        <w:t xml:space="preserve">intangible heritage </w:t>
      </w:r>
      <w:r w:rsidR="00E97F88" w:rsidRPr="00813D19">
        <w:rPr>
          <w:lang w:val="en-US"/>
        </w:rPr>
        <w:t xml:space="preserve">elements inscribed on the Representative List. </w:t>
      </w:r>
      <w:r w:rsidR="007F3BD7" w:rsidRPr="00813D19">
        <w:rPr>
          <w:lang w:val="en-US"/>
        </w:rPr>
        <w:t xml:space="preserve">The delegation </w:t>
      </w:r>
      <w:r w:rsidR="00E97F88" w:rsidRPr="00813D19">
        <w:rPr>
          <w:lang w:val="en-US"/>
        </w:rPr>
        <w:t>acknowledge</w:t>
      </w:r>
      <w:r w:rsidR="007F3BD7" w:rsidRPr="00813D19">
        <w:rPr>
          <w:lang w:val="en-US"/>
        </w:rPr>
        <w:t>d</w:t>
      </w:r>
      <w:r w:rsidR="00E97F88" w:rsidRPr="00813D19">
        <w:rPr>
          <w:lang w:val="en-US"/>
        </w:rPr>
        <w:t xml:space="preserve"> that </w:t>
      </w:r>
      <w:r w:rsidR="00E97F88" w:rsidRPr="00286204">
        <w:rPr>
          <w:lang w:val="en-US"/>
        </w:rPr>
        <w:t xml:space="preserve">this nomination was developed at a time when </w:t>
      </w:r>
      <w:r w:rsidR="00286204" w:rsidRPr="003221D5">
        <w:rPr>
          <w:lang w:val="en-US"/>
        </w:rPr>
        <w:t>it had</w:t>
      </w:r>
      <w:r w:rsidR="00286204" w:rsidRPr="00286204">
        <w:rPr>
          <w:lang w:val="en-US"/>
        </w:rPr>
        <w:t xml:space="preserve"> </w:t>
      </w:r>
      <w:r w:rsidR="00E97F88" w:rsidRPr="00286204">
        <w:rPr>
          <w:lang w:val="en-US"/>
        </w:rPr>
        <w:t>the</w:t>
      </w:r>
      <w:r w:rsidR="005E48F5" w:rsidRPr="00286204">
        <w:rPr>
          <w:lang w:val="en-US"/>
        </w:rPr>
        <w:t xml:space="preserve"> capacity-building project for S</w:t>
      </w:r>
      <w:r w:rsidR="00E97F88" w:rsidRPr="00286204">
        <w:rPr>
          <w:lang w:val="en-US"/>
        </w:rPr>
        <w:t>outhern</w:t>
      </w:r>
      <w:r w:rsidR="00E97F88" w:rsidRPr="00813D19">
        <w:rPr>
          <w:lang w:val="en-US"/>
        </w:rPr>
        <w:t xml:space="preserve"> Africa</w:t>
      </w:r>
      <w:r w:rsidR="0096772C" w:rsidRPr="00813D19">
        <w:rPr>
          <w:lang w:val="en-US"/>
        </w:rPr>
        <w:t>n</w:t>
      </w:r>
      <w:r w:rsidR="00E97F88" w:rsidRPr="00813D19">
        <w:rPr>
          <w:lang w:val="en-US"/>
        </w:rPr>
        <w:t xml:space="preserve"> countries</w:t>
      </w:r>
      <w:r w:rsidR="00286204">
        <w:rPr>
          <w:lang w:val="en-US"/>
        </w:rPr>
        <w:t>,</w:t>
      </w:r>
      <w:r w:rsidR="00E97F88" w:rsidRPr="00813D19">
        <w:rPr>
          <w:lang w:val="en-US"/>
        </w:rPr>
        <w:t xml:space="preserve"> with the kind support </w:t>
      </w:r>
      <w:r w:rsidR="00286204">
        <w:rPr>
          <w:lang w:val="en-US"/>
        </w:rPr>
        <w:t>of</w:t>
      </w:r>
      <w:r w:rsidR="00286204" w:rsidRPr="00813D19">
        <w:rPr>
          <w:lang w:val="en-US"/>
        </w:rPr>
        <w:t xml:space="preserve"> </w:t>
      </w:r>
      <w:r w:rsidR="0096772C" w:rsidRPr="00813D19">
        <w:rPr>
          <w:lang w:val="en-US"/>
        </w:rPr>
        <w:t>the G</w:t>
      </w:r>
      <w:r w:rsidR="005E48F5" w:rsidRPr="00813D19">
        <w:rPr>
          <w:lang w:val="en-US"/>
        </w:rPr>
        <w:t>o</w:t>
      </w:r>
      <w:r w:rsidR="0096772C" w:rsidRPr="00813D19">
        <w:rPr>
          <w:lang w:val="en-US"/>
        </w:rPr>
        <w:t>vernment of Flanders</w:t>
      </w:r>
      <w:r w:rsidR="00E97F88" w:rsidRPr="00813D19">
        <w:rPr>
          <w:lang w:val="en-US"/>
        </w:rPr>
        <w:t xml:space="preserve">. </w:t>
      </w:r>
      <w:r w:rsidR="0096772C" w:rsidRPr="00813D19">
        <w:rPr>
          <w:lang w:val="en-US"/>
        </w:rPr>
        <w:t>T</w:t>
      </w:r>
      <w:r w:rsidR="00E97F88" w:rsidRPr="00813D19">
        <w:rPr>
          <w:lang w:val="en-US"/>
        </w:rPr>
        <w:t xml:space="preserve">his nomination </w:t>
      </w:r>
      <w:r w:rsidR="0096772C" w:rsidRPr="00813D19">
        <w:rPr>
          <w:lang w:val="en-US"/>
        </w:rPr>
        <w:t xml:space="preserve">was therefore </w:t>
      </w:r>
      <w:r w:rsidR="004D5B6E">
        <w:rPr>
          <w:lang w:val="en-US"/>
        </w:rPr>
        <w:t xml:space="preserve">a </w:t>
      </w:r>
      <w:r w:rsidR="00E97F88" w:rsidRPr="00813D19">
        <w:rPr>
          <w:lang w:val="en-US"/>
        </w:rPr>
        <w:t xml:space="preserve">clear testimony of the positive impact of the capacity-building project implemented. </w:t>
      </w:r>
      <w:r w:rsidR="0096772C" w:rsidRPr="00813D19">
        <w:rPr>
          <w:lang w:val="en-US"/>
        </w:rPr>
        <w:t>For this reason, the delegation thanked the G</w:t>
      </w:r>
      <w:r w:rsidR="00E97F88" w:rsidRPr="00813D19">
        <w:rPr>
          <w:lang w:val="en-US"/>
        </w:rPr>
        <w:t xml:space="preserve">overnment </w:t>
      </w:r>
      <w:r w:rsidR="0096772C" w:rsidRPr="00813D19">
        <w:rPr>
          <w:lang w:val="en-US"/>
        </w:rPr>
        <w:t xml:space="preserve">of Flanders </w:t>
      </w:r>
      <w:r w:rsidR="00E97F88" w:rsidRPr="00813D19">
        <w:rPr>
          <w:lang w:val="en-US"/>
        </w:rPr>
        <w:t xml:space="preserve">for </w:t>
      </w:r>
      <w:r w:rsidR="005E48F5" w:rsidRPr="00813D19">
        <w:rPr>
          <w:lang w:val="en-US"/>
        </w:rPr>
        <w:t>its kind gesture, and o</w:t>
      </w:r>
      <w:r w:rsidR="00E97F88" w:rsidRPr="00813D19">
        <w:rPr>
          <w:lang w:val="en-US"/>
        </w:rPr>
        <w:t xml:space="preserve">n behalf of the </w:t>
      </w:r>
      <w:r w:rsidR="0096772C" w:rsidRPr="00813D19">
        <w:rPr>
          <w:lang w:val="en-US"/>
        </w:rPr>
        <w:t xml:space="preserve">communities </w:t>
      </w:r>
      <w:r w:rsidR="00E97F88" w:rsidRPr="003D53B3">
        <w:rPr>
          <w:lang w:val="en-US"/>
        </w:rPr>
        <w:t>concern</w:t>
      </w:r>
      <w:r w:rsidR="0096772C" w:rsidRPr="003D53B3">
        <w:rPr>
          <w:lang w:val="en-US"/>
        </w:rPr>
        <w:t>ed</w:t>
      </w:r>
      <w:r w:rsidR="00E97F88" w:rsidRPr="003D53B3">
        <w:rPr>
          <w:lang w:val="en-US"/>
        </w:rPr>
        <w:t xml:space="preserve"> and the Government of Malawi</w:t>
      </w:r>
      <w:r w:rsidR="0096772C" w:rsidRPr="003D53B3">
        <w:rPr>
          <w:lang w:val="en-US"/>
        </w:rPr>
        <w:t xml:space="preserve">, the delegation </w:t>
      </w:r>
      <w:r w:rsidR="00E97F88" w:rsidRPr="003D53B3">
        <w:rPr>
          <w:lang w:val="en-US"/>
        </w:rPr>
        <w:t>thank</w:t>
      </w:r>
      <w:r w:rsidR="0096772C" w:rsidRPr="003D53B3">
        <w:rPr>
          <w:lang w:val="en-US"/>
        </w:rPr>
        <w:t>ed</w:t>
      </w:r>
      <w:r w:rsidR="00E97F88" w:rsidRPr="003D53B3">
        <w:rPr>
          <w:lang w:val="en-US"/>
        </w:rPr>
        <w:t xml:space="preserve"> the Co</w:t>
      </w:r>
      <w:r w:rsidR="003D53B3">
        <w:rPr>
          <w:lang w:val="en-US"/>
        </w:rPr>
        <w:t>mmittee for its decision.</w:t>
      </w:r>
    </w:p>
    <w:p w14:paraId="55E4B116" w14:textId="34A35B4E" w:rsidR="009A2CDD" w:rsidRPr="003D53B3" w:rsidRDefault="009A2CDD" w:rsidP="003D53B3">
      <w:pPr>
        <w:pStyle w:val="Orateurengris"/>
        <w:numPr>
          <w:ilvl w:val="0"/>
          <w:numId w:val="0"/>
        </w:numPr>
        <w:spacing w:before="240" w:after="240"/>
        <w:jc w:val="center"/>
        <w:rPr>
          <w:rFonts w:eastAsia="Times New Roman"/>
          <w:i/>
          <w:lang w:val="en-US"/>
        </w:rPr>
      </w:pPr>
      <w:r w:rsidRPr="003D53B3">
        <w:rPr>
          <w:i/>
          <w:lang w:val="en-US"/>
        </w:rPr>
        <w:t>[</w:t>
      </w:r>
      <w:r w:rsidR="00F50D74" w:rsidRPr="003D53B3">
        <w:rPr>
          <w:i/>
          <w:lang w:val="en-US"/>
        </w:rPr>
        <w:t>A s</w:t>
      </w:r>
      <w:r w:rsidR="005E48F5" w:rsidRPr="003D53B3">
        <w:rPr>
          <w:i/>
          <w:lang w:val="en-US"/>
        </w:rPr>
        <w:t>hort f</w:t>
      </w:r>
      <w:r w:rsidRPr="003D53B3">
        <w:rPr>
          <w:i/>
          <w:lang w:val="en-US"/>
        </w:rPr>
        <w:t xml:space="preserve">ilm </w:t>
      </w:r>
      <w:r w:rsidR="00C31829" w:rsidRPr="003D53B3">
        <w:rPr>
          <w:i/>
          <w:lang w:val="en-US"/>
        </w:rPr>
        <w:t>of the</w:t>
      </w:r>
      <w:r w:rsidRPr="003D53B3">
        <w:rPr>
          <w:i/>
          <w:lang w:val="en-US"/>
        </w:rPr>
        <w:t xml:space="preserve"> </w:t>
      </w:r>
      <w:r w:rsidR="00C31829" w:rsidRPr="003D53B3">
        <w:rPr>
          <w:i/>
          <w:color w:val="000000" w:themeColor="text1"/>
          <w:lang w:val="en-US"/>
        </w:rPr>
        <w:t>Mwinoghe, joyous dance</w:t>
      </w:r>
      <w:r w:rsidR="00F50D74" w:rsidRPr="003D53B3">
        <w:rPr>
          <w:i/>
          <w:color w:val="000000" w:themeColor="text1"/>
          <w:lang w:val="en-US"/>
        </w:rPr>
        <w:t xml:space="preserve"> was projected</w:t>
      </w:r>
      <w:r w:rsidR="00C31829" w:rsidRPr="003D53B3">
        <w:rPr>
          <w:i/>
          <w:color w:val="000000" w:themeColor="text1"/>
          <w:lang w:val="en-US"/>
        </w:rPr>
        <w:t>]</w:t>
      </w:r>
    </w:p>
    <w:p w14:paraId="09E12383" w14:textId="15142849" w:rsidR="00C17FBE" w:rsidRPr="00813D19" w:rsidRDefault="004D684A" w:rsidP="00C17FBE">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4D5B6E">
        <w:rPr>
          <w:color w:val="000000" w:themeColor="text1"/>
          <w:lang w:val="en-US"/>
        </w:rPr>
        <w:t>,</w:t>
      </w:r>
      <w:r w:rsidRPr="00813D19">
        <w:rPr>
          <w:color w:val="000000" w:themeColor="text1"/>
          <w:lang w:val="en-US"/>
        </w:rPr>
        <w:t xml:space="preserve"> </w:t>
      </w:r>
      <w:r w:rsidRPr="00813D19">
        <w:rPr>
          <w:b/>
          <w:color w:val="000000" w:themeColor="text1"/>
          <w:lang w:val="en-US"/>
        </w:rPr>
        <w:t>Art of crafting and playing Mbira/Sansi, finger-plucking traditional musical instrument in Malawi and Zimbabwe</w:t>
      </w:r>
      <w:r w:rsidRPr="00813D19">
        <w:rPr>
          <w:color w:val="000000" w:themeColor="text1"/>
          <w:lang w:val="en-US"/>
        </w:rPr>
        <w:t xml:space="preserve"> [draft decision 13.COM 10.b.24]</w:t>
      </w:r>
      <w:r w:rsidR="004D5B6E">
        <w:rPr>
          <w:color w:val="000000" w:themeColor="text1"/>
          <w:lang w:val="en-US"/>
        </w:rPr>
        <w:t>,</w:t>
      </w:r>
      <w:r w:rsidRPr="00813D19">
        <w:rPr>
          <w:color w:val="000000" w:themeColor="text1"/>
          <w:lang w:val="en-US"/>
        </w:rPr>
        <w:t xml:space="preserve"> submitted by </w:t>
      </w:r>
      <w:r w:rsidR="00F3169A" w:rsidRPr="00813D19">
        <w:rPr>
          <w:b/>
          <w:color w:val="000000" w:themeColor="text1"/>
          <w:lang w:val="en-US"/>
        </w:rPr>
        <w:t xml:space="preserve">Malawi and </w:t>
      </w:r>
      <w:r w:rsidRPr="00813D19">
        <w:rPr>
          <w:b/>
          <w:color w:val="000000" w:themeColor="text1"/>
          <w:lang w:val="en-US"/>
        </w:rPr>
        <w:t>Zimbabwe</w:t>
      </w:r>
      <w:r w:rsidR="00C17FBE" w:rsidRPr="00813D19">
        <w:rPr>
          <w:color w:val="000000" w:themeColor="text1"/>
          <w:lang w:val="en-US"/>
        </w:rPr>
        <w:t xml:space="preserve">. </w:t>
      </w:r>
      <w:r w:rsidR="00C17FBE" w:rsidRPr="00813D19">
        <w:rPr>
          <w:lang w:val="en-US"/>
        </w:rPr>
        <w:t>Mbira/Sansi concerns the art of playing and making a traditional finger-plucking musical instrument in Malawi and Zimbabwe. In Malawi, songs contain important messages about good behaviour and communicate information about events that happened in the past</w:t>
      </w:r>
      <w:r w:rsidR="009B3383" w:rsidRPr="00813D19">
        <w:rPr>
          <w:lang w:val="en-US"/>
        </w:rPr>
        <w:t>, while in Zimbabwe</w:t>
      </w:r>
      <w:r w:rsidR="00C17FBE" w:rsidRPr="00813D19">
        <w:rPr>
          <w:lang w:val="en-US"/>
        </w:rPr>
        <w:t xml:space="preserve"> the instrument is played at spiritual invocation ceremonies, funeral wak</w:t>
      </w:r>
      <w:r w:rsidR="005E48F5" w:rsidRPr="00813D19">
        <w:rPr>
          <w:lang w:val="en-US"/>
        </w:rPr>
        <w:t>es, memorials</w:t>
      </w:r>
      <w:r w:rsidR="00C17FBE" w:rsidRPr="00813D19">
        <w:rPr>
          <w:lang w:val="en-US"/>
        </w:rPr>
        <w:t xml:space="preserve"> and traditional healing ceremonies. From the information included in th</w:t>
      </w:r>
      <w:r w:rsidR="009B3383" w:rsidRPr="00813D19">
        <w:rPr>
          <w:lang w:val="en-US"/>
        </w:rPr>
        <w:t>e file, the nomination satisfied</w:t>
      </w:r>
      <w:r w:rsidR="00C17FBE" w:rsidRPr="00813D19">
        <w:rPr>
          <w:lang w:val="en-US"/>
        </w:rPr>
        <w:t xml:space="preserve"> criteria R.1, R.3 and </w:t>
      </w:r>
      <w:r w:rsidR="00C17FBE" w:rsidRPr="00813D19">
        <w:rPr>
          <w:noProof/>
          <w:lang w:val="en-US"/>
        </w:rPr>
        <w:t>R.5.</w:t>
      </w:r>
      <w:r w:rsidR="009B3383" w:rsidRPr="00813D19">
        <w:rPr>
          <w:noProof/>
          <w:lang w:val="en-US"/>
        </w:rPr>
        <w:t xml:space="preserve"> </w:t>
      </w:r>
      <w:r w:rsidR="00C17FBE" w:rsidRPr="00813D19">
        <w:rPr>
          <w:lang w:val="en-US"/>
        </w:rPr>
        <w:t xml:space="preserve">Mbira/Sansi music has a primarily spiritual and ceremonial function and reflects the rich cultural heritage of African communities. The proposed safeguarding measures </w:t>
      </w:r>
      <w:r w:rsidR="004D5B6E">
        <w:rPr>
          <w:lang w:val="en-US"/>
        </w:rPr>
        <w:t xml:space="preserve">were </w:t>
      </w:r>
      <w:r w:rsidR="00C17FBE" w:rsidRPr="00813D19">
        <w:rPr>
          <w:lang w:val="en-US"/>
        </w:rPr>
        <w:t>aim</w:t>
      </w:r>
      <w:r w:rsidR="005E48F5" w:rsidRPr="00813D19">
        <w:rPr>
          <w:lang w:val="en-US"/>
        </w:rPr>
        <w:t>ed</w:t>
      </w:r>
      <w:r w:rsidR="00C17FBE" w:rsidRPr="00813D19">
        <w:rPr>
          <w:lang w:val="en-US"/>
        </w:rPr>
        <w:t xml:space="preserve"> at improving the documentation, promotion and enhanced transmission of Mbira/Sansi music. The element was included in the inventories of the territories of Malawi and Zimbabwe in 2011 and 2012</w:t>
      </w:r>
      <w:r w:rsidR="004D5B6E">
        <w:rPr>
          <w:lang w:val="en-US"/>
        </w:rPr>
        <w:t>,</w:t>
      </w:r>
      <w:r w:rsidR="00C17FBE" w:rsidRPr="00813D19">
        <w:rPr>
          <w:lang w:val="en-US"/>
        </w:rPr>
        <w:t xml:space="preserve"> respectively.</w:t>
      </w:r>
      <w:r w:rsidR="00C17FBE" w:rsidRPr="00813D19">
        <w:rPr>
          <w:noProof/>
          <w:lang w:val="en-US"/>
        </w:rPr>
        <w:t xml:space="preserve"> However, the Evaluation Body considered that the information </w:t>
      </w:r>
      <w:r w:rsidR="009B3383" w:rsidRPr="00813D19">
        <w:rPr>
          <w:noProof/>
          <w:lang w:val="en-US"/>
        </w:rPr>
        <w:t>was</w:t>
      </w:r>
      <w:r w:rsidR="00C17FBE" w:rsidRPr="00813D19">
        <w:rPr>
          <w:noProof/>
          <w:lang w:val="en-US"/>
        </w:rPr>
        <w:t xml:space="preserve"> not sufficient to assess criteria R.2 and R.4.</w:t>
      </w:r>
      <w:r w:rsidR="009B3383" w:rsidRPr="00813D19">
        <w:rPr>
          <w:lang w:val="en-US"/>
        </w:rPr>
        <w:t xml:space="preserve"> The file failed</w:t>
      </w:r>
      <w:r w:rsidR="00C17FBE" w:rsidRPr="00813D19">
        <w:rPr>
          <w:lang w:val="en-US"/>
        </w:rPr>
        <w:t xml:space="preserve"> to explain and provide concrete evidence </w:t>
      </w:r>
      <w:r w:rsidR="004D5B6E" w:rsidRPr="00813D19">
        <w:rPr>
          <w:lang w:val="en-US"/>
        </w:rPr>
        <w:t>o</w:t>
      </w:r>
      <w:r w:rsidR="004D5B6E">
        <w:rPr>
          <w:lang w:val="en-US"/>
        </w:rPr>
        <w:t>f</w:t>
      </w:r>
      <w:r w:rsidR="004D5B6E" w:rsidRPr="00813D19">
        <w:rPr>
          <w:lang w:val="en-US"/>
        </w:rPr>
        <w:t xml:space="preserve"> </w:t>
      </w:r>
      <w:r w:rsidR="00C17FBE" w:rsidRPr="00813D19">
        <w:rPr>
          <w:lang w:val="en-US"/>
        </w:rPr>
        <w:t xml:space="preserve">how the inscription could contribute to increasing the visibility of intangible cultural heritage in general. The file also </w:t>
      </w:r>
      <w:r w:rsidR="009B3383" w:rsidRPr="00813D19">
        <w:rPr>
          <w:lang w:val="en-US"/>
        </w:rPr>
        <w:t>did</w:t>
      </w:r>
      <w:r w:rsidR="00C17FBE" w:rsidRPr="00813D19">
        <w:rPr>
          <w:lang w:val="en-US"/>
        </w:rPr>
        <w:t xml:space="preserve"> not </w:t>
      </w:r>
      <w:r w:rsidR="005E48F5" w:rsidRPr="00813D19">
        <w:rPr>
          <w:lang w:val="en-US"/>
        </w:rPr>
        <w:t xml:space="preserve">clearly </w:t>
      </w:r>
      <w:r w:rsidR="00C17FBE" w:rsidRPr="00813D19">
        <w:rPr>
          <w:lang w:val="en-US"/>
        </w:rPr>
        <w:t>demonstrate how the nomination was prepared with the widest possible pa</w:t>
      </w:r>
      <w:r w:rsidR="005E48F5" w:rsidRPr="00813D19">
        <w:rPr>
          <w:lang w:val="en-US"/>
        </w:rPr>
        <w:t xml:space="preserve">rticipation of the communities </w:t>
      </w:r>
      <w:r w:rsidR="00C17FBE" w:rsidRPr="00813D19">
        <w:rPr>
          <w:lang w:val="en-US"/>
        </w:rPr>
        <w:t>concerned</w:t>
      </w:r>
      <w:r w:rsidR="009B3383" w:rsidRPr="00813D19">
        <w:rPr>
          <w:lang w:val="en-US"/>
        </w:rPr>
        <w:t>,</w:t>
      </w:r>
      <w:r w:rsidR="00C17FBE" w:rsidRPr="00813D19">
        <w:rPr>
          <w:lang w:val="en-US"/>
        </w:rPr>
        <w:t xml:space="preserve"> and letters of consent from one of the countries were dated September 2017, </w:t>
      </w:r>
      <w:r w:rsidR="009B3383" w:rsidRPr="00813D19">
        <w:rPr>
          <w:lang w:val="en-US"/>
        </w:rPr>
        <w:t xml:space="preserve">i.e. </w:t>
      </w:r>
      <w:r w:rsidR="00C17FBE" w:rsidRPr="00813D19">
        <w:rPr>
          <w:lang w:val="en-US"/>
        </w:rPr>
        <w:t>after the 31 March statutory deadline.</w:t>
      </w:r>
      <w:r w:rsidR="005E48F5" w:rsidRPr="00813D19">
        <w:rPr>
          <w:lang w:val="en-US"/>
        </w:rPr>
        <w:t xml:space="preserve"> T</w:t>
      </w:r>
      <w:r w:rsidR="009B3383" w:rsidRPr="00813D19">
        <w:rPr>
          <w:lang w:val="en-US"/>
        </w:rPr>
        <w:t xml:space="preserve">he Evaluation Body </w:t>
      </w:r>
      <w:r w:rsidR="005E48F5" w:rsidRPr="00813D19">
        <w:rPr>
          <w:lang w:val="en-US"/>
        </w:rPr>
        <w:t xml:space="preserve">thus </w:t>
      </w:r>
      <w:r w:rsidR="009B3383" w:rsidRPr="00813D19">
        <w:rPr>
          <w:lang w:val="en-US"/>
        </w:rPr>
        <w:t>recommended that the Committee refer</w:t>
      </w:r>
      <w:r w:rsidR="00C17FBE" w:rsidRPr="00813D19">
        <w:rPr>
          <w:lang w:val="en-US"/>
        </w:rPr>
        <w:t xml:space="preserve"> Art of crafting and playing Mbira/Sansi, finger-plucking traditional musical instrument in Malawi and Zimbabwe to the submitting State</w:t>
      </w:r>
      <w:r w:rsidR="000868F5" w:rsidRPr="00813D19">
        <w:rPr>
          <w:lang w:val="en-US"/>
        </w:rPr>
        <w:t>s</w:t>
      </w:r>
      <w:r w:rsidR="00C17FBE" w:rsidRPr="00813D19">
        <w:rPr>
          <w:lang w:val="en-US"/>
        </w:rPr>
        <w:t>.</w:t>
      </w:r>
    </w:p>
    <w:p w14:paraId="55741D27" w14:textId="2BE07DCB" w:rsidR="008718C2" w:rsidRPr="00813D19" w:rsidRDefault="00FF62CA" w:rsidP="00BF6EE7">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r w:rsidR="00BF6EE7" w:rsidRPr="00813D19">
        <w:rPr>
          <w:lang w:val="en-US"/>
        </w:rPr>
        <w:t xml:space="preserve"> He </w:t>
      </w:r>
      <w:r w:rsidR="0096772C" w:rsidRPr="00813D19">
        <w:rPr>
          <w:color w:val="000000" w:themeColor="text1"/>
          <w:lang w:val="en-US"/>
        </w:rPr>
        <w:t>wished to</w:t>
      </w:r>
      <w:r w:rsidR="0096772C" w:rsidRPr="00813D19">
        <w:rPr>
          <w:b/>
          <w:color w:val="000000" w:themeColor="text1"/>
          <w:lang w:val="en-US"/>
        </w:rPr>
        <w:t xml:space="preserve"> </w:t>
      </w:r>
      <w:r w:rsidR="000743F6" w:rsidRPr="00813D19">
        <w:rPr>
          <w:lang w:val="en-US"/>
        </w:rPr>
        <w:t xml:space="preserve">hear </w:t>
      </w:r>
      <w:r w:rsidR="0096772C" w:rsidRPr="00813D19">
        <w:rPr>
          <w:lang w:val="en-US"/>
        </w:rPr>
        <w:t xml:space="preserve">the position of </w:t>
      </w:r>
      <w:r w:rsidR="000743F6" w:rsidRPr="00813D19">
        <w:rPr>
          <w:lang w:val="en-US"/>
        </w:rPr>
        <w:t xml:space="preserve">the submitting States </w:t>
      </w:r>
      <w:r w:rsidR="0096772C" w:rsidRPr="00813D19">
        <w:rPr>
          <w:lang w:val="en-US"/>
        </w:rPr>
        <w:t xml:space="preserve">concerning </w:t>
      </w:r>
      <w:r w:rsidR="000743F6" w:rsidRPr="00813D19">
        <w:rPr>
          <w:lang w:val="en-US"/>
        </w:rPr>
        <w:t xml:space="preserve">the decision earlier </w:t>
      </w:r>
      <w:r w:rsidR="0096772C" w:rsidRPr="00813D19">
        <w:rPr>
          <w:lang w:val="en-US"/>
        </w:rPr>
        <w:t>in the day</w:t>
      </w:r>
      <w:r w:rsidR="00BF6EE7" w:rsidRPr="00813D19">
        <w:rPr>
          <w:lang w:val="en-US"/>
        </w:rPr>
        <w:t>,</w:t>
      </w:r>
      <w:r w:rsidR="0096772C" w:rsidRPr="00813D19">
        <w:rPr>
          <w:lang w:val="en-US"/>
        </w:rPr>
        <w:t xml:space="preserve"> and announced by the Secretariat</w:t>
      </w:r>
      <w:r w:rsidR="00BF6EE7" w:rsidRPr="00813D19">
        <w:rPr>
          <w:lang w:val="en-US"/>
        </w:rPr>
        <w:t>,</w:t>
      </w:r>
      <w:r w:rsidR="000743F6" w:rsidRPr="00813D19">
        <w:rPr>
          <w:lang w:val="en-US"/>
        </w:rPr>
        <w:t xml:space="preserve"> that countries whose files </w:t>
      </w:r>
      <w:r w:rsidR="0096772C" w:rsidRPr="00813D19">
        <w:rPr>
          <w:lang w:val="en-US"/>
        </w:rPr>
        <w:t xml:space="preserve">had </w:t>
      </w:r>
      <w:r w:rsidR="000743F6" w:rsidRPr="00813D19">
        <w:rPr>
          <w:lang w:val="en-US"/>
        </w:rPr>
        <w:t xml:space="preserve">been referred </w:t>
      </w:r>
      <w:r w:rsidR="0096772C" w:rsidRPr="00813D19">
        <w:rPr>
          <w:lang w:val="en-US"/>
        </w:rPr>
        <w:t xml:space="preserve">could </w:t>
      </w:r>
      <w:r w:rsidR="000743F6" w:rsidRPr="00813D19">
        <w:rPr>
          <w:lang w:val="en-US"/>
        </w:rPr>
        <w:t xml:space="preserve">reconsider resubmitting their files </w:t>
      </w:r>
      <w:r w:rsidR="0096772C" w:rsidRPr="00813D19">
        <w:rPr>
          <w:lang w:val="en-US"/>
        </w:rPr>
        <w:t xml:space="preserve">for consideration in </w:t>
      </w:r>
      <w:r w:rsidR="000743F6" w:rsidRPr="00813D19">
        <w:rPr>
          <w:lang w:val="en-US"/>
        </w:rPr>
        <w:t xml:space="preserve">the next cycle. </w:t>
      </w:r>
      <w:r w:rsidR="0096772C" w:rsidRPr="00813D19">
        <w:rPr>
          <w:lang w:val="en-US"/>
        </w:rPr>
        <w:t xml:space="preserve">Given that a </w:t>
      </w:r>
      <w:r w:rsidR="000743F6" w:rsidRPr="00813D19">
        <w:rPr>
          <w:lang w:val="en-US"/>
        </w:rPr>
        <w:t xml:space="preserve">window of opportunity </w:t>
      </w:r>
      <w:r w:rsidR="0096772C" w:rsidRPr="00813D19">
        <w:rPr>
          <w:lang w:val="en-US"/>
        </w:rPr>
        <w:t xml:space="preserve">had opened to them </w:t>
      </w:r>
      <w:r w:rsidR="000743F6" w:rsidRPr="00813D19">
        <w:rPr>
          <w:lang w:val="en-US"/>
        </w:rPr>
        <w:t xml:space="preserve">to resubmit </w:t>
      </w:r>
      <w:r w:rsidR="0096772C" w:rsidRPr="00813D19">
        <w:rPr>
          <w:lang w:val="en-US"/>
        </w:rPr>
        <w:t xml:space="preserve">the file </w:t>
      </w:r>
      <w:r w:rsidR="000743F6" w:rsidRPr="00813D19">
        <w:rPr>
          <w:lang w:val="en-US"/>
        </w:rPr>
        <w:t xml:space="preserve">in March 2019, </w:t>
      </w:r>
      <w:r w:rsidR="0096772C" w:rsidRPr="00813D19">
        <w:rPr>
          <w:lang w:val="en-US"/>
        </w:rPr>
        <w:t xml:space="preserve">the </w:t>
      </w:r>
      <w:r w:rsidR="00BF6EE7" w:rsidRPr="00813D19">
        <w:rPr>
          <w:lang w:val="en-US"/>
        </w:rPr>
        <w:t>Chairperson</w:t>
      </w:r>
      <w:r w:rsidR="0096772C" w:rsidRPr="00813D19">
        <w:rPr>
          <w:lang w:val="en-US"/>
        </w:rPr>
        <w:t xml:space="preserve"> </w:t>
      </w:r>
      <w:r w:rsidR="000743F6" w:rsidRPr="00813D19">
        <w:rPr>
          <w:lang w:val="en-US"/>
        </w:rPr>
        <w:t>invite</w:t>
      </w:r>
      <w:r w:rsidR="0096772C" w:rsidRPr="00813D19">
        <w:rPr>
          <w:lang w:val="en-US"/>
        </w:rPr>
        <w:t>d</w:t>
      </w:r>
      <w:r w:rsidR="000743F6" w:rsidRPr="00813D19">
        <w:rPr>
          <w:lang w:val="en-US"/>
        </w:rPr>
        <w:t xml:space="preserve"> the submitting States to explain how they </w:t>
      </w:r>
      <w:r w:rsidR="0096772C" w:rsidRPr="00813D19">
        <w:rPr>
          <w:lang w:val="en-US"/>
        </w:rPr>
        <w:t xml:space="preserve">wished </w:t>
      </w:r>
      <w:r w:rsidR="003D53B3">
        <w:rPr>
          <w:lang w:val="en-US"/>
        </w:rPr>
        <w:t>to proceed.</w:t>
      </w:r>
    </w:p>
    <w:p w14:paraId="72B55B4B" w14:textId="415A2720" w:rsidR="00BD73EF" w:rsidRPr="00813D19" w:rsidRDefault="00BD73EF" w:rsidP="00C17FBE">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 xml:space="preserve">delegation of </w:t>
      </w:r>
      <w:r w:rsidR="00813D19" w:rsidRPr="00813D19">
        <w:rPr>
          <w:b/>
          <w:color w:val="000000" w:themeColor="text1"/>
          <w:lang w:val="en-US"/>
        </w:rPr>
        <w:t>Zimbabwe</w:t>
      </w:r>
      <w:r w:rsidR="000743F6" w:rsidRPr="00813D19">
        <w:rPr>
          <w:b/>
          <w:color w:val="000000" w:themeColor="text1"/>
          <w:lang w:val="en-US"/>
        </w:rPr>
        <w:t xml:space="preserve"> </w:t>
      </w:r>
      <w:r w:rsidR="0096772C" w:rsidRPr="00813D19">
        <w:rPr>
          <w:lang w:val="en-US"/>
        </w:rPr>
        <w:t xml:space="preserve">began by congratulating the Chairperson for his excellent chairing of the session and </w:t>
      </w:r>
      <w:r w:rsidR="000743F6" w:rsidRPr="00813D19">
        <w:rPr>
          <w:lang w:val="en-US"/>
        </w:rPr>
        <w:t>thank</w:t>
      </w:r>
      <w:r w:rsidR="0096772C" w:rsidRPr="00813D19">
        <w:rPr>
          <w:lang w:val="en-US"/>
        </w:rPr>
        <w:t xml:space="preserve">ed </w:t>
      </w:r>
      <w:r w:rsidR="000743F6" w:rsidRPr="00813D19">
        <w:rPr>
          <w:lang w:val="en-US"/>
        </w:rPr>
        <w:t xml:space="preserve">Mauritius and </w:t>
      </w:r>
      <w:r w:rsidR="0096772C" w:rsidRPr="00813D19">
        <w:rPr>
          <w:lang w:val="en-US"/>
        </w:rPr>
        <w:t xml:space="preserve">its </w:t>
      </w:r>
      <w:r w:rsidR="000743F6" w:rsidRPr="00813D19">
        <w:rPr>
          <w:lang w:val="en-US"/>
        </w:rPr>
        <w:t>people for the</w:t>
      </w:r>
      <w:r w:rsidR="0096772C" w:rsidRPr="00813D19">
        <w:rPr>
          <w:lang w:val="en-US"/>
        </w:rPr>
        <w:t>ir</w:t>
      </w:r>
      <w:r w:rsidR="000743F6" w:rsidRPr="00813D19">
        <w:rPr>
          <w:lang w:val="en-US"/>
        </w:rPr>
        <w:t xml:space="preserve"> fantastic hospitality and for hosting </w:t>
      </w:r>
      <w:r w:rsidR="0096772C" w:rsidRPr="00813D19">
        <w:rPr>
          <w:lang w:val="en-US"/>
        </w:rPr>
        <w:t>the meeting</w:t>
      </w:r>
      <w:r w:rsidR="000743F6" w:rsidRPr="00813D19">
        <w:rPr>
          <w:lang w:val="en-US"/>
        </w:rPr>
        <w:t xml:space="preserve">. </w:t>
      </w:r>
      <w:r w:rsidR="0096772C" w:rsidRPr="00813D19">
        <w:rPr>
          <w:lang w:val="en-US"/>
        </w:rPr>
        <w:t xml:space="preserve">It also </w:t>
      </w:r>
      <w:r w:rsidR="000743F6" w:rsidRPr="00813D19">
        <w:rPr>
          <w:lang w:val="en-US"/>
        </w:rPr>
        <w:t>thank</w:t>
      </w:r>
      <w:r w:rsidR="0096772C" w:rsidRPr="00813D19">
        <w:rPr>
          <w:lang w:val="en-US"/>
        </w:rPr>
        <w:t>ed</w:t>
      </w:r>
      <w:r w:rsidR="000743F6" w:rsidRPr="00813D19">
        <w:rPr>
          <w:lang w:val="en-US"/>
        </w:rPr>
        <w:t xml:space="preserve"> the Evaluation Body </w:t>
      </w:r>
      <w:r w:rsidR="0096772C" w:rsidRPr="00813D19">
        <w:rPr>
          <w:lang w:val="en-US"/>
        </w:rPr>
        <w:t xml:space="preserve">for the commendable work on the </w:t>
      </w:r>
      <w:r w:rsidR="000743F6" w:rsidRPr="00813D19">
        <w:rPr>
          <w:lang w:val="en-US"/>
        </w:rPr>
        <w:t>joint nomination file with Malawi. Zimbabwe and Malawi accept</w:t>
      </w:r>
      <w:r w:rsidR="0096772C" w:rsidRPr="00813D19">
        <w:rPr>
          <w:lang w:val="en-US"/>
        </w:rPr>
        <w:t>ed</w:t>
      </w:r>
      <w:r w:rsidR="000743F6" w:rsidRPr="00813D19">
        <w:rPr>
          <w:lang w:val="en-US"/>
        </w:rPr>
        <w:t xml:space="preserve"> the observations and recommendations of the Committee and </w:t>
      </w:r>
      <w:r w:rsidR="004D5B6E" w:rsidRPr="00813D19">
        <w:rPr>
          <w:lang w:val="en-US"/>
        </w:rPr>
        <w:t>w</w:t>
      </w:r>
      <w:r w:rsidR="004D5B6E">
        <w:rPr>
          <w:lang w:val="en-US"/>
        </w:rPr>
        <w:t>ould</w:t>
      </w:r>
      <w:r w:rsidR="004D5B6E" w:rsidRPr="00813D19">
        <w:rPr>
          <w:lang w:val="en-US"/>
        </w:rPr>
        <w:t xml:space="preserve"> </w:t>
      </w:r>
      <w:r w:rsidR="000743F6" w:rsidRPr="00813D19">
        <w:rPr>
          <w:lang w:val="en-US"/>
        </w:rPr>
        <w:t xml:space="preserve">work closely together </w:t>
      </w:r>
      <w:r w:rsidR="0096772C" w:rsidRPr="00813D19">
        <w:rPr>
          <w:lang w:val="en-US"/>
        </w:rPr>
        <w:t xml:space="preserve">to </w:t>
      </w:r>
      <w:r w:rsidR="000743F6" w:rsidRPr="00813D19">
        <w:rPr>
          <w:lang w:val="en-US"/>
        </w:rPr>
        <w:t xml:space="preserve">resubmit </w:t>
      </w:r>
      <w:r w:rsidR="0096772C" w:rsidRPr="00813D19">
        <w:rPr>
          <w:lang w:val="en-US"/>
        </w:rPr>
        <w:t xml:space="preserve">the </w:t>
      </w:r>
      <w:r w:rsidR="000743F6" w:rsidRPr="00813D19">
        <w:rPr>
          <w:lang w:val="en-US"/>
        </w:rPr>
        <w:t>nomina</w:t>
      </w:r>
      <w:r w:rsidR="003D53B3">
        <w:rPr>
          <w:lang w:val="en-US"/>
        </w:rPr>
        <w:t>tion for consideration in 2019.</w:t>
      </w:r>
    </w:p>
    <w:p w14:paraId="0ACD53F8" w14:textId="1CD1E4CE" w:rsidR="00823D54" w:rsidRPr="00813D19" w:rsidRDefault="00823D54" w:rsidP="00C17FBE">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delegation of Malawi</w:t>
      </w:r>
      <w:r w:rsidR="00CF2C39" w:rsidRPr="00813D19">
        <w:rPr>
          <w:b/>
          <w:color w:val="000000" w:themeColor="text1"/>
          <w:lang w:val="en-US"/>
        </w:rPr>
        <w:t xml:space="preserve"> </w:t>
      </w:r>
      <w:r w:rsidR="0096772C" w:rsidRPr="00813D19">
        <w:rPr>
          <w:color w:val="000000" w:themeColor="text1"/>
          <w:lang w:val="en-US"/>
        </w:rPr>
        <w:t>shared the</w:t>
      </w:r>
      <w:r w:rsidR="0096772C" w:rsidRPr="00813D19">
        <w:rPr>
          <w:b/>
          <w:color w:val="000000" w:themeColor="text1"/>
          <w:lang w:val="en-US"/>
        </w:rPr>
        <w:t xml:space="preserve"> </w:t>
      </w:r>
      <w:r w:rsidR="00CF2C39" w:rsidRPr="00813D19">
        <w:rPr>
          <w:lang w:val="en-US"/>
        </w:rPr>
        <w:t>same op</w:t>
      </w:r>
      <w:r w:rsidR="003D53B3">
        <w:rPr>
          <w:lang w:val="en-US"/>
        </w:rPr>
        <w:t>inion as expressed by Zimbabwe.</w:t>
      </w:r>
    </w:p>
    <w:p w14:paraId="6AE3A6A1" w14:textId="3A9BCFB7" w:rsidR="00823D54" w:rsidRPr="00813D19" w:rsidRDefault="00823D54" w:rsidP="00C17FBE">
      <w:pPr>
        <w:pStyle w:val="Orateurengris"/>
        <w:spacing w:before="120"/>
        <w:ind w:left="709" w:hanging="709"/>
        <w:rPr>
          <w:lang w:val="en-US"/>
        </w:rPr>
      </w:pPr>
      <w:r w:rsidRPr="00813D19">
        <w:rPr>
          <w:lang w:val="en-US"/>
        </w:rPr>
        <w:t xml:space="preserve">With no further comments, the </w:t>
      </w:r>
      <w:r w:rsidRPr="00813D19">
        <w:rPr>
          <w:b/>
          <w:lang w:val="en-US"/>
        </w:rPr>
        <w:t>Chairperson</w:t>
      </w:r>
      <w:r w:rsidRPr="00813D19">
        <w:rPr>
          <w:lang w:val="en-US"/>
        </w:rPr>
        <w:t xml:space="preserve"> proposed adopt</w:t>
      </w:r>
      <w:r w:rsidR="004D5B6E">
        <w:rPr>
          <w:lang w:val="en-US"/>
        </w:rPr>
        <w:t>ing</w:t>
      </w:r>
      <w:r w:rsidRPr="00813D19">
        <w:rPr>
          <w:lang w:val="en-US"/>
        </w:rPr>
        <w:t xml:space="preserve"> the draft decision as a whole. With no objection</w:t>
      </w:r>
      <w:r w:rsidR="008E6164" w:rsidRPr="00813D19">
        <w:rPr>
          <w:lang w:val="en-US"/>
        </w:rPr>
        <w:t>s</w:t>
      </w:r>
      <w:r w:rsidRPr="00813D19">
        <w:rPr>
          <w:lang w:val="en-US"/>
        </w:rPr>
        <w:t xml:space="preserve">, the </w:t>
      </w:r>
      <w:r w:rsidRPr="00813D19">
        <w:rPr>
          <w:b/>
          <w:lang w:val="en-US"/>
        </w:rPr>
        <w:t xml:space="preserve">Chairperson declared Decision </w:t>
      </w:r>
      <w:hyperlink r:id="rId123" w:history="1">
        <w:r w:rsidRPr="00813D19">
          <w:rPr>
            <w:rStyle w:val="Hyperlink"/>
            <w:b/>
            <w:lang w:val="en-US"/>
          </w:rPr>
          <w:t>13.COM 10.b.24</w:t>
        </w:r>
      </w:hyperlink>
      <w:r w:rsidRPr="00813D19">
        <w:rPr>
          <w:b/>
          <w:lang w:val="en-US"/>
        </w:rPr>
        <w:t xml:space="preserve"> adopted to refer </w:t>
      </w:r>
      <w:r w:rsidRPr="00813D19">
        <w:rPr>
          <w:b/>
          <w:color w:val="000000" w:themeColor="text1"/>
          <w:lang w:val="en-US"/>
        </w:rPr>
        <w:t>Art of crafting and playing Mbira/Sansi, finger-plucking traditional musical instrument in Malawi and Zimbabwe</w:t>
      </w:r>
      <w:r w:rsidRPr="00813D19">
        <w:rPr>
          <w:color w:val="000000" w:themeColor="text1"/>
          <w:lang w:val="en-US"/>
        </w:rPr>
        <w:t xml:space="preserve"> </w:t>
      </w:r>
      <w:r w:rsidRPr="00813D19">
        <w:rPr>
          <w:b/>
          <w:color w:val="000000" w:themeColor="text1"/>
          <w:lang w:val="en-US"/>
        </w:rPr>
        <w:t>to the subm</w:t>
      </w:r>
      <w:r w:rsidR="008E6164" w:rsidRPr="00813D19">
        <w:rPr>
          <w:b/>
          <w:color w:val="000000" w:themeColor="text1"/>
          <w:lang w:val="en-US"/>
        </w:rPr>
        <w:t>itting S</w:t>
      </w:r>
      <w:r w:rsidRPr="00813D19">
        <w:rPr>
          <w:b/>
          <w:color w:val="000000" w:themeColor="text1"/>
          <w:lang w:val="en-US"/>
        </w:rPr>
        <w:t>tate</w:t>
      </w:r>
      <w:r w:rsidR="008E6164" w:rsidRPr="00813D19">
        <w:rPr>
          <w:b/>
          <w:color w:val="000000" w:themeColor="text1"/>
          <w:lang w:val="en-US"/>
        </w:rPr>
        <w:t>s</w:t>
      </w:r>
      <w:r w:rsidRPr="003D53B3">
        <w:rPr>
          <w:bCs/>
          <w:snapToGrid/>
          <w:color w:val="000000" w:themeColor="text1"/>
          <w:lang w:val="en-US"/>
        </w:rPr>
        <w:t>.</w:t>
      </w:r>
    </w:p>
    <w:p w14:paraId="0F475378" w14:textId="67700D1C" w:rsidR="00823D54" w:rsidRPr="00813D19" w:rsidRDefault="00823D54" w:rsidP="003D53B3">
      <w:pPr>
        <w:pStyle w:val="Orateurengris"/>
        <w:numPr>
          <w:ilvl w:val="0"/>
          <w:numId w:val="0"/>
        </w:numPr>
        <w:spacing w:before="240" w:after="240"/>
        <w:jc w:val="center"/>
        <w:rPr>
          <w:i/>
          <w:lang w:val="en-US"/>
        </w:rPr>
      </w:pPr>
      <w:r w:rsidRPr="00813D19">
        <w:rPr>
          <w:i/>
          <w:lang w:val="en-US"/>
        </w:rPr>
        <w:t xml:space="preserve">[The Vice-Chairperson of the Philippines </w:t>
      </w:r>
      <w:r w:rsidR="00F50D74" w:rsidRPr="00813D19">
        <w:rPr>
          <w:i/>
          <w:lang w:val="en-US"/>
        </w:rPr>
        <w:t>chaired</w:t>
      </w:r>
      <w:r w:rsidR="000868F5" w:rsidRPr="00813D19">
        <w:rPr>
          <w:i/>
          <w:lang w:val="en-US"/>
        </w:rPr>
        <w:t xml:space="preserve"> the following session</w:t>
      </w:r>
      <w:r w:rsidRPr="00813D19">
        <w:rPr>
          <w:i/>
          <w:lang w:val="en-US"/>
        </w:rPr>
        <w:t>]</w:t>
      </w:r>
    </w:p>
    <w:p w14:paraId="7EF1AECC" w14:textId="701BF266" w:rsidR="008E5325" w:rsidRPr="00813D19" w:rsidRDefault="00BB01E7" w:rsidP="008E5325">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4D5B6E">
        <w:rPr>
          <w:color w:val="000000" w:themeColor="text1"/>
          <w:lang w:val="en-US"/>
        </w:rPr>
        <w:t>,</w:t>
      </w:r>
      <w:r w:rsidRPr="00813D19">
        <w:rPr>
          <w:color w:val="000000" w:themeColor="text1"/>
          <w:lang w:val="en-US"/>
        </w:rPr>
        <w:t xml:space="preserve"> </w:t>
      </w:r>
      <w:r w:rsidRPr="00813D19">
        <w:rPr>
          <w:b/>
          <w:color w:val="000000" w:themeColor="text1"/>
          <w:lang w:val="en-US"/>
        </w:rPr>
        <w:t xml:space="preserve">Dondang Sayan </w:t>
      </w:r>
      <w:r w:rsidRPr="00813D19">
        <w:rPr>
          <w:color w:val="000000" w:themeColor="text1"/>
          <w:lang w:val="en-US"/>
        </w:rPr>
        <w:t>[draft decision 13.COM 10.b.25]</w:t>
      </w:r>
      <w:r w:rsidR="004D5B6E">
        <w:rPr>
          <w:color w:val="000000" w:themeColor="text1"/>
          <w:lang w:val="en-US"/>
        </w:rPr>
        <w:t xml:space="preserve">, </w:t>
      </w:r>
      <w:r w:rsidRPr="00813D19">
        <w:rPr>
          <w:color w:val="000000" w:themeColor="text1"/>
          <w:lang w:val="en-US"/>
        </w:rPr>
        <w:t>submitted by</w:t>
      </w:r>
      <w:r w:rsidRPr="00813D19">
        <w:rPr>
          <w:b/>
          <w:color w:val="000000" w:themeColor="text1"/>
          <w:lang w:val="en-US"/>
        </w:rPr>
        <w:t xml:space="preserve"> Malaysia</w:t>
      </w:r>
      <w:r w:rsidRPr="00813D19">
        <w:rPr>
          <w:color w:val="000000" w:themeColor="text1"/>
          <w:lang w:val="en-US"/>
        </w:rPr>
        <w:t>.</w:t>
      </w:r>
      <w:r w:rsidR="008E5325" w:rsidRPr="00813D19">
        <w:rPr>
          <w:color w:val="000000" w:themeColor="text1"/>
          <w:lang w:val="en-US"/>
        </w:rPr>
        <w:t xml:space="preserve"> </w:t>
      </w:r>
      <w:r w:rsidR="008E5325" w:rsidRPr="00813D19">
        <w:rPr>
          <w:lang w:val="en-US"/>
        </w:rPr>
        <w:t>Dondang Sayan is a traditional Malay art that combines elements of music (violins, gongs and tambourines or the tambour), songs and chants, featuring beautiful melodious strains of poetry. From the information included in th</w:t>
      </w:r>
      <w:r w:rsidR="009B3383" w:rsidRPr="00813D19">
        <w:rPr>
          <w:lang w:val="en-US"/>
        </w:rPr>
        <w:t>e file, the nomination satisfied</w:t>
      </w:r>
      <w:r w:rsidR="008E5325" w:rsidRPr="00813D19">
        <w:rPr>
          <w:lang w:val="en-US"/>
        </w:rPr>
        <w:t xml:space="preserve"> all five criteria. The Evaluation Body considered that Dondang Sayang promotes communication between performers and their audience. The element embodies the principal values of tolerance, empathy, sharing and harmony in society. </w:t>
      </w:r>
      <w:r w:rsidR="004D5B6E">
        <w:rPr>
          <w:lang w:val="en-US"/>
        </w:rPr>
        <w:t>The p</w:t>
      </w:r>
      <w:r w:rsidR="004D5B6E" w:rsidRPr="00813D19">
        <w:rPr>
          <w:lang w:val="en-US"/>
        </w:rPr>
        <w:t xml:space="preserve">roposed </w:t>
      </w:r>
      <w:r w:rsidR="008E5325" w:rsidRPr="00813D19">
        <w:rPr>
          <w:lang w:val="en-US"/>
        </w:rPr>
        <w:t xml:space="preserve">safeguarding measures </w:t>
      </w:r>
      <w:r w:rsidR="004D5B6E">
        <w:rPr>
          <w:lang w:val="en-US"/>
        </w:rPr>
        <w:t xml:space="preserve">were </w:t>
      </w:r>
      <w:r w:rsidR="008E5325" w:rsidRPr="00813D19">
        <w:rPr>
          <w:lang w:val="en-US"/>
        </w:rPr>
        <w:t>aim</w:t>
      </w:r>
      <w:r w:rsidR="004D5B6E">
        <w:rPr>
          <w:lang w:val="en-US"/>
        </w:rPr>
        <w:t>ed</w:t>
      </w:r>
      <w:r w:rsidR="008E5325" w:rsidRPr="00813D19">
        <w:rPr>
          <w:lang w:val="en-US"/>
        </w:rPr>
        <w:t xml:space="preserve"> at promoting and disseminating the element, with regular performances and training activities. The decision to nominate the element followed a series of public meetings, seminars, discussions and requests with </w:t>
      </w:r>
      <w:r w:rsidR="004D5B6E">
        <w:rPr>
          <w:lang w:val="en-US"/>
        </w:rPr>
        <w:t xml:space="preserve">the </w:t>
      </w:r>
      <w:r w:rsidR="008E5325" w:rsidRPr="00813D19">
        <w:rPr>
          <w:lang w:val="en-US"/>
        </w:rPr>
        <w:t>community</w:t>
      </w:r>
      <w:r w:rsidR="004D5B6E">
        <w:rPr>
          <w:lang w:val="en-US"/>
        </w:rPr>
        <w:t>’s</w:t>
      </w:r>
      <w:r w:rsidR="008E5325" w:rsidRPr="00813D19">
        <w:rPr>
          <w:lang w:val="en-US"/>
        </w:rPr>
        <w:t xml:space="preserve"> participation. The Evaluation Body remind</w:t>
      </w:r>
      <w:r w:rsidR="004C105B" w:rsidRPr="00813D19">
        <w:rPr>
          <w:lang w:val="en-US"/>
        </w:rPr>
        <w:t>ed</w:t>
      </w:r>
      <w:r w:rsidR="008E5325" w:rsidRPr="00813D19">
        <w:rPr>
          <w:lang w:val="en-US"/>
        </w:rPr>
        <w:t xml:space="preserve"> the State Party that updating is an important part of the </w:t>
      </w:r>
      <w:r w:rsidR="00FC01C8" w:rsidRPr="00813D19">
        <w:rPr>
          <w:lang w:val="en-US"/>
        </w:rPr>
        <w:t>inventorying process and invited</w:t>
      </w:r>
      <w:r w:rsidR="008E5325" w:rsidRPr="00813D19">
        <w:rPr>
          <w:lang w:val="en-US"/>
        </w:rPr>
        <w:t xml:space="preserve"> it to include detailed information concerning this aspect in its next periodic report.</w:t>
      </w:r>
      <w:r w:rsidR="004C105B" w:rsidRPr="00813D19">
        <w:rPr>
          <w:lang w:val="en-US"/>
        </w:rPr>
        <w:t xml:space="preserve"> The Evaluation Body recommended</w:t>
      </w:r>
      <w:r w:rsidR="008E5325" w:rsidRPr="00813D19">
        <w:rPr>
          <w:lang w:val="en-US"/>
        </w:rPr>
        <w:t xml:space="preserve"> that the Committee inscribe Dondang Sayang on the Representative List.</w:t>
      </w:r>
    </w:p>
    <w:p w14:paraId="6C082CA3" w14:textId="31128A5A" w:rsidR="000868F5" w:rsidRPr="00813D19" w:rsidRDefault="000868F5" w:rsidP="000868F5">
      <w:pPr>
        <w:pStyle w:val="Orateurengris"/>
        <w:spacing w:before="120"/>
        <w:ind w:left="709" w:hanging="709"/>
        <w:rPr>
          <w:lang w:val="en-US"/>
        </w:rPr>
      </w:pPr>
      <w:r w:rsidRPr="00813D19">
        <w:rPr>
          <w:lang w:val="en-US"/>
        </w:rPr>
        <w:t xml:space="preserve">The </w:t>
      </w:r>
      <w:r w:rsidRPr="00813D19">
        <w:rPr>
          <w:b/>
          <w:lang w:val="en-US"/>
        </w:rPr>
        <w:t>Vice-Chairperson</w:t>
      </w:r>
      <w:r w:rsidRPr="00813D19">
        <w:rPr>
          <w:lang w:val="en-US"/>
        </w:rPr>
        <w:t xml:space="preserve"> noted that no amendments had been received </w:t>
      </w:r>
      <w:r w:rsidRPr="00813D19">
        <w:rPr>
          <w:color w:val="000000" w:themeColor="text1"/>
          <w:lang w:val="en-US"/>
        </w:rPr>
        <w:t>for this nomination.</w:t>
      </w:r>
    </w:p>
    <w:p w14:paraId="655751E2" w14:textId="7B2F23E5" w:rsidR="004C105B" w:rsidRPr="003D53B3" w:rsidRDefault="000868F5" w:rsidP="000868F5">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FC01C8" w:rsidRPr="00813D19">
        <w:rPr>
          <w:b/>
          <w:lang w:val="en-US"/>
        </w:rPr>
        <w:t>Vice-</w:t>
      </w:r>
      <w:r w:rsidR="004C105B" w:rsidRPr="00813D19">
        <w:rPr>
          <w:b/>
          <w:lang w:val="en-US"/>
        </w:rPr>
        <w:t xml:space="preserve">Chairperson declared Decision </w:t>
      </w:r>
      <w:hyperlink r:id="rId124" w:history="1">
        <w:r w:rsidR="004C105B" w:rsidRPr="00813D19">
          <w:rPr>
            <w:rStyle w:val="Hyperlink"/>
            <w:b/>
            <w:lang w:val="en-US"/>
          </w:rPr>
          <w:t>13.COM</w:t>
        </w:r>
        <w:r w:rsidR="00992896">
          <w:rPr>
            <w:rStyle w:val="Hyperlink"/>
            <w:b/>
            <w:lang w:val="en-US"/>
          </w:rPr>
          <w:t> </w:t>
        </w:r>
        <w:r w:rsidR="004C105B" w:rsidRPr="00813D19">
          <w:rPr>
            <w:rStyle w:val="Hyperlink"/>
            <w:b/>
            <w:lang w:val="en-US"/>
          </w:rPr>
          <w:t>10.b.25</w:t>
        </w:r>
      </w:hyperlink>
      <w:r w:rsidR="004C105B" w:rsidRPr="00813D19">
        <w:rPr>
          <w:b/>
          <w:lang w:val="en-US"/>
        </w:rPr>
        <w:t xml:space="preserve"> adopted to inscribe </w:t>
      </w:r>
      <w:r w:rsidR="004C105B" w:rsidRPr="00813D19">
        <w:rPr>
          <w:b/>
          <w:color w:val="000000" w:themeColor="text1"/>
          <w:lang w:val="en-US"/>
        </w:rPr>
        <w:t>Dondang Sayan on the Representative List</w:t>
      </w:r>
      <w:r w:rsidR="004C105B" w:rsidRPr="003D53B3">
        <w:rPr>
          <w:bCs/>
          <w:snapToGrid/>
          <w:color w:val="000000" w:themeColor="text1"/>
          <w:lang w:val="en-US"/>
        </w:rPr>
        <w:t>.</w:t>
      </w:r>
    </w:p>
    <w:p w14:paraId="75D71C2F" w14:textId="209C79ED" w:rsidR="00883666" w:rsidRPr="003D53B3" w:rsidRDefault="00142198" w:rsidP="004C105B">
      <w:pPr>
        <w:pStyle w:val="Orateurengris"/>
        <w:spacing w:before="120"/>
        <w:ind w:left="709" w:hanging="709"/>
        <w:rPr>
          <w:rFonts w:eastAsia="Times New Roman"/>
          <w:lang w:val="en-US"/>
        </w:rPr>
      </w:pPr>
      <w:r w:rsidRPr="00813D19">
        <w:rPr>
          <w:lang w:val="en-US"/>
        </w:rPr>
        <w:t xml:space="preserve">The </w:t>
      </w:r>
      <w:r w:rsidRPr="00813D19">
        <w:rPr>
          <w:b/>
          <w:lang w:val="en-US"/>
        </w:rPr>
        <w:t>delegation of Malaysia</w:t>
      </w:r>
      <w:r w:rsidR="00883666" w:rsidRPr="00813D19">
        <w:rPr>
          <w:b/>
          <w:lang w:val="en-US"/>
        </w:rPr>
        <w:t xml:space="preserve"> </w:t>
      </w:r>
      <w:r w:rsidR="008C30CF" w:rsidRPr="00813D19">
        <w:rPr>
          <w:lang w:val="en-US"/>
        </w:rPr>
        <w:t>spoke of</w:t>
      </w:r>
      <w:r w:rsidR="008C30CF" w:rsidRPr="00813D19">
        <w:rPr>
          <w:b/>
          <w:lang w:val="en-US"/>
        </w:rPr>
        <w:t xml:space="preserve"> </w:t>
      </w:r>
      <w:r w:rsidR="008C30CF" w:rsidRPr="00813D19">
        <w:rPr>
          <w:lang w:val="en-US"/>
        </w:rPr>
        <w:t>on behalf of the G</w:t>
      </w:r>
      <w:r w:rsidR="00883666" w:rsidRPr="00813D19">
        <w:rPr>
          <w:lang w:val="en-US"/>
        </w:rPr>
        <w:t>overnment and the Ministr</w:t>
      </w:r>
      <w:r w:rsidR="00C000A2" w:rsidRPr="00813D19">
        <w:rPr>
          <w:lang w:val="en-US"/>
        </w:rPr>
        <w:t xml:space="preserve">y of Tourism, Arts and Culture </w:t>
      </w:r>
      <w:r w:rsidR="00883666" w:rsidRPr="00813D19">
        <w:rPr>
          <w:lang w:val="en-US"/>
        </w:rPr>
        <w:t xml:space="preserve">to thank the Evaluation Body for the inscription </w:t>
      </w:r>
      <w:r w:rsidR="00C000A2" w:rsidRPr="00813D19">
        <w:rPr>
          <w:lang w:val="en-US"/>
        </w:rPr>
        <w:t>of Dondang Sayan</w:t>
      </w:r>
      <w:r w:rsidR="00883666" w:rsidRPr="00813D19">
        <w:rPr>
          <w:lang w:val="en-US"/>
        </w:rPr>
        <w:t xml:space="preserve">. This </w:t>
      </w:r>
      <w:r w:rsidR="00E63598" w:rsidRPr="00813D19">
        <w:rPr>
          <w:lang w:val="en-US"/>
        </w:rPr>
        <w:t xml:space="preserve">was </w:t>
      </w:r>
      <w:r w:rsidR="00883666" w:rsidRPr="00813D19">
        <w:rPr>
          <w:lang w:val="en-US"/>
        </w:rPr>
        <w:t xml:space="preserve">a significant and historic decision for Malaysia as it </w:t>
      </w:r>
      <w:r w:rsidR="00CA3F3A" w:rsidRPr="00813D19">
        <w:rPr>
          <w:lang w:val="en-US"/>
        </w:rPr>
        <w:t>was</w:t>
      </w:r>
      <w:r w:rsidR="00883666" w:rsidRPr="00813D19">
        <w:rPr>
          <w:lang w:val="en-US"/>
        </w:rPr>
        <w:t xml:space="preserve"> </w:t>
      </w:r>
      <w:r w:rsidR="00E63598" w:rsidRPr="00813D19">
        <w:rPr>
          <w:lang w:val="en-US"/>
        </w:rPr>
        <w:t xml:space="preserve">its </w:t>
      </w:r>
      <w:r w:rsidR="00883666" w:rsidRPr="00813D19">
        <w:rPr>
          <w:lang w:val="en-US"/>
        </w:rPr>
        <w:t xml:space="preserve">first inscription </w:t>
      </w:r>
      <w:r w:rsidR="00E63598" w:rsidRPr="00813D19">
        <w:rPr>
          <w:lang w:val="en-US"/>
        </w:rPr>
        <w:t xml:space="preserve">following </w:t>
      </w:r>
      <w:r w:rsidR="00883666" w:rsidRPr="00813D19">
        <w:rPr>
          <w:lang w:val="en-US"/>
        </w:rPr>
        <w:t xml:space="preserve">the ratification of the Convention in 2013. </w:t>
      </w:r>
      <w:r w:rsidR="00C93472" w:rsidRPr="00813D19">
        <w:rPr>
          <w:lang w:val="en-US"/>
        </w:rPr>
        <w:t>Dondang Sayan</w:t>
      </w:r>
      <w:r w:rsidR="00883666" w:rsidRPr="00813D19">
        <w:rPr>
          <w:lang w:val="en-US"/>
        </w:rPr>
        <w:t xml:space="preserve"> is a traditional Malay art that combines elements of music, songs and chants. It is also known </w:t>
      </w:r>
      <w:r w:rsidR="00CA3F3A" w:rsidRPr="00813D19">
        <w:rPr>
          <w:lang w:val="en-US"/>
        </w:rPr>
        <w:t xml:space="preserve">for its </w:t>
      </w:r>
      <w:r w:rsidR="00883666" w:rsidRPr="00813D19">
        <w:rPr>
          <w:lang w:val="en-US"/>
        </w:rPr>
        <w:t>ballads used by the communities to convey feelings of love</w:t>
      </w:r>
      <w:r w:rsidR="00D255E5" w:rsidRPr="00813D19">
        <w:rPr>
          <w:lang w:val="en-US"/>
        </w:rPr>
        <w:t>,</w:t>
      </w:r>
      <w:r w:rsidR="00883666" w:rsidRPr="00813D19">
        <w:rPr>
          <w:lang w:val="en-US"/>
        </w:rPr>
        <w:t xml:space="preserve"> and to give advice </w:t>
      </w:r>
      <w:r w:rsidR="00CA3F3A" w:rsidRPr="00813D19">
        <w:rPr>
          <w:lang w:val="en-US"/>
        </w:rPr>
        <w:t xml:space="preserve">to the </w:t>
      </w:r>
      <w:r w:rsidR="00D255E5" w:rsidRPr="00813D19">
        <w:rPr>
          <w:lang w:val="en-US"/>
        </w:rPr>
        <w:t>audience</w:t>
      </w:r>
      <w:r w:rsidR="00883666" w:rsidRPr="00813D19">
        <w:rPr>
          <w:lang w:val="en-US"/>
        </w:rPr>
        <w:t xml:space="preserve"> </w:t>
      </w:r>
      <w:r w:rsidR="00051D36" w:rsidRPr="00813D19">
        <w:rPr>
          <w:lang w:val="en-US"/>
        </w:rPr>
        <w:t xml:space="preserve">on </w:t>
      </w:r>
      <w:r w:rsidR="00883666" w:rsidRPr="00813D19">
        <w:rPr>
          <w:lang w:val="en-US"/>
        </w:rPr>
        <w:t>special themes such a</w:t>
      </w:r>
      <w:r w:rsidR="00CA3F3A" w:rsidRPr="00813D19">
        <w:rPr>
          <w:lang w:val="en-US"/>
        </w:rPr>
        <w:t>s love, kindness and many other sentiments</w:t>
      </w:r>
      <w:r w:rsidR="00883666" w:rsidRPr="00813D19">
        <w:rPr>
          <w:lang w:val="en-US"/>
        </w:rPr>
        <w:t xml:space="preserve">. Dondang </w:t>
      </w:r>
      <w:r w:rsidR="00051D36" w:rsidRPr="00813D19">
        <w:rPr>
          <w:lang w:val="en-US"/>
        </w:rPr>
        <w:t xml:space="preserve">Sayan </w:t>
      </w:r>
      <w:r w:rsidR="00883666" w:rsidRPr="00813D19">
        <w:rPr>
          <w:lang w:val="en-US"/>
        </w:rPr>
        <w:t>is very well</w:t>
      </w:r>
      <w:r w:rsidR="004D5B6E">
        <w:rPr>
          <w:lang w:val="en-US"/>
        </w:rPr>
        <w:t>-</w:t>
      </w:r>
      <w:r w:rsidR="00883666" w:rsidRPr="00813D19">
        <w:rPr>
          <w:lang w:val="en-US"/>
        </w:rPr>
        <w:t>known in the Malay archipelago</w:t>
      </w:r>
      <w:r w:rsidR="00581618" w:rsidRPr="00813D19">
        <w:rPr>
          <w:lang w:val="en-US"/>
        </w:rPr>
        <w:t>,</w:t>
      </w:r>
      <w:r w:rsidR="00883666" w:rsidRPr="00813D19">
        <w:rPr>
          <w:lang w:val="en-US"/>
        </w:rPr>
        <w:t xml:space="preserve"> particularly in the state of Malacca.</w:t>
      </w:r>
      <w:r w:rsidR="00581618" w:rsidRPr="00813D19">
        <w:rPr>
          <w:lang w:val="en-US"/>
        </w:rPr>
        <w:t xml:space="preserve"> The most distinct features are the chants and poetry, </w:t>
      </w:r>
      <w:r w:rsidR="00883666" w:rsidRPr="00813D19">
        <w:rPr>
          <w:lang w:val="en-US"/>
        </w:rPr>
        <w:t xml:space="preserve">a genre of entertainment and beautiful, melodious strains of poetry. The performance is special in terms of its grandeur and skills in delivering songs where the singer recites the poems spontaneously and naturally with full sonority. </w:t>
      </w:r>
      <w:r w:rsidR="006140CF" w:rsidRPr="00813D19">
        <w:rPr>
          <w:lang w:val="en-US"/>
        </w:rPr>
        <w:t xml:space="preserve">The </w:t>
      </w:r>
      <w:r w:rsidR="00883666" w:rsidRPr="00813D19">
        <w:rPr>
          <w:lang w:val="en-US"/>
        </w:rPr>
        <w:t xml:space="preserve">inscription is just the beginning and </w:t>
      </w:r>
      <w:r w:rsidR="006140CF" w:rsidRPr="00813D19">
        <w:rPr>
          <w:lang w:val="en-US"/>
        </w:rPr>
        <w:t xml:space="preserve">Malaysia was </w:t>
      </w:r>
      <w:r w:rsidR="00883666" w:rsidRPr="00813D19">
        <w:rPr>
          <w:lang w:val="en-US"/>
        </w:rPr>
        <w:t>committed to impl</w:t>
      </w:r>
      <w:r w:rsidR="00CA3F3A" w:rsidRPr="00813D19">
        <w:rPr>
          <w:lang w:val="en-US"/>
        </w:rPr>
        <w:t>ementing the safeguarding plans, understanding</w:t>
      </w:r>
      <w:r w:rsidR="0036123E" w:rsidRPr="00813D19">
        <w:rPr>
          <w:lang w:val="en-US"/>
        </w:rPr>
        <w:t xml:space="preserve"> the great responsibility</w:t>
      </w:r>
      <w:r w:rsidR="00883666" w:rsidRPr="00813D19">
        <w:rPr>
          <w:lang w:val="en-US"/>
        </w:rPr>
        <w:t xml:space="preserve">. </w:t>
      </w:r>
      <w:r w:rsidR="00C551AF" w:rsidRPr="00813D19">
        <w:rPr>
          <w:lang w:val="en-US"/>
        </w:rPr>
        <w:t xml:space="preserve">The delegation </w:t>
      </w:r>
      <w:r w:rsidR="00CA3F3A" w:rsidRPr="00813D19">
        <w:rPr>
          <w:lang w:val="en-US"/>
        </w:rPr>
        <w:t xml:space="preserve">looked </w:t>
      </w:r>
      <w:r w:rsidR="00883666" w:rsidRPr="00813D19">
        <w:rPr>
          <w:lang w:val="en-US"/>
        </w:rPr>
        <w:t xml:space="preserve">forward to good cooperation and would be grateful </w:t>
      </w:r>
      <w:r w:rsidR="004D5B6E">
        <w:rPr>
          <w:lang w:val="en-US"/>
        </w:rPr>
        <w:t>for</w:t>
      </w:r>
      <w:r w:rsidR="004D5B6E" w:rsidRPr="00813D19">
        <w:rPr>
          <w:lang w:val="en-US"/>
        </w:rPr>
        <w:t xml:space="preserve"> </w:t>
      </w:r>
      <w:r w:rsidR="00883666" w:rsidRPr="00813D19">
        <w:rPr>
          <w:lang w:val="en-US"/>
        </w:rPr>
        <w:t>work</w:t>
      </w:r>
      <w:r w:rsidR="004D5B6E">
        <w:rPr>
          <w:lang w:val="en-US"/>
        </w:rPr>
        <w:t>ing</w:t>
      </w:r>
      <w:r w:rsidR="00883666" w:rsidRPr="00813D19">
        <w:rPr>
          <w:lang w:val="en-US"/>
        </w:rPr>
        <w:t xml:space="preserve"> closely with all Member States in areas of safeguarding </w:t>
      </w:r>
      <w:r w:rsidR="00C551AF" w:rsidRPr="00813D19">
        <w:rPr>
          <w:lang w:val="en-US"/>
        </w:rPr>
        <w:t>intangible cultural heritage</w:t>
      </w:r>
      <w:r w:rsidR="00883666" w:rsidRPr="00813D19">
        <w:rPr>
          <w:lang w:val="en-US"/>
        </w:rPr>
        <w:t xml:space="preserve">. </w:t>
      </w:r>
      <w:r w:rsidR="00C551AF" w:rsidRPr="00813D19">
        <w:rPr>
          <w:lang w:val="en-US"/>
        </w:rPr>
        <w:t xml:space="preserve">It </w:t>
      </w:r>
      <w:r w:rsidR="00883666" w:rsidRPr="00813D19">
        <w:rPr>
          <w:lang w:val="en-US"/>
        </w:rPr>
        <w:t>thank</w:t>
      </w:r>
      <w:r w:rsidR="00C551AF" w:rsidRPr="00813D19">
        <w:rPr>
          <w:lang w:val="en-US"/>
        </w:rPr>
        <w:t>ed</w:t>
      </w:r>
      <w:r w:rsidR="00883666" w:rsidRPr="00813D19">
        <w:rPr>
          <w:lang w:val="en-US"/>
        </w:rPr>
        <w:t xml:space="preserve"> the Committee, the Evaluation Body and the Secretariat for their excellent work in ensuring </w:t>
      </w:r>
      <w:r w:rsidR="00C551AF" w:rsidRPr="00813D19">
        <w:rPr>
          <w:lang w:val="en-US"/>
        </w:rPr>
        <w:t xml:space="preserve">the smooth running of the </w:t>
      </w:r>
      <w:r w:rsidR="00883666" w:rsidRPr="00813D19">
        <w:rPr>
          <w:lang w:val="en-US"/>
        </w:rPr>
        <w:t xml:space="preserve">meeting. </w:t>
      </w:r>
      <w:r w:rsidR="00C551AF" w:rsidRPr="00813D19">
        <w:rPr>
          <w:lang w:val="en-US"/>
        </w:rPr>
        <w:t xml:space="preserve">The delegation </w:t>
      </w:r>
      <w:r w:rsidR="00883666" w:rsidRPr="00813D19">
        <w:rPr>
          <w:lang w:val="en-US"/>
        </w:rPr>
        <w:t>congratulate</w:t>
      </w:r>
      <w:r w:rsidR="00C551AF" w:rsidRPr="00813D19">
        <w:rPr>
          <w:lang w:val="en-US"/>
        </w:rPr>
        <w:t>d</w:t>
      </w:r>
      <w:r w:rsidR="00883666" w:rsidRPr="00813D19">
        <w:rPr>
          <w:lang w:val="en-US"/>
        </w:rPr>
        <w:t xml:space="preserve"> Mauritius for </w:t>
      </w:r>
      <w:r w:rsidR="00C551AF" w:rsidRPr="00813D19">
        <w:rPr>
          <w:lang w:val="en-US"/>
        </w:rPr>
        <w:t xml:space="preserve">its </w:t>
      </w:r>
      <w:r w:rsidR="00883666" w:rsidRPr="00813D19">
        <w:rPr>
          <w:lang w:val="en-US"/>
        </w:rPr>
        <w:t>excellent hosting and warm welcome</w:t>
      </w:r>
      <w:r w:rsidR="00C551AF" w:rsidRPr="00813D19">
        <w:rPr>
          <w:lang w:val="en-US"/>
        </w:rPr>
        <w:t xml:space="preserve">, inviting </w:t>
      </w:r>
      <w:r w:rsidR="00C93472" w:rsidRPr="00813D19">
        <w:rPr>
          <w:lang w:val="en-US"/>
        </w:rPr>
        <w:t>the State A</w:t>
      </w:r>
      <w:r w:rsidR="00883666" w:rsidRPr="00813D19">
        <w:rPr>
          <w:lang w:val="en-US"/>
        </w:rPr>
        <w:t>sse</w:t>
      </w:r>
      <w:r w:rsidR="00C93472" w:rsidRPr="00813D19">
        <w:rPr>
          <w:lang w:val="en-US"/>
        </w:rPr>
        <w:t xml:space="preserve">mblyman </w:t>
      </w:r>
      <w:r w:rsidR="00CA3F3A" w:rsidRPr="00813D19">
        <w:rPr>
          <w:lang w:val="en-US"/>
        </w:rPr>
        <w:t xml:space="preserve">of the </w:t>
      </w:r>
      <w:r w:rsidR="00C93472" w:rsidRPr="00813D19">
        <w:rPr>
          <w:lang w:val="en-US"/>
        </w:rPr>
        <w:t>Malacca State Executive C</w:t>
      </w:r>
      <w:r w:rsidR="00883666" w:rsidRPr="00813D19">
        <w:rPr>
          <w:lang w:val="en-US"/>
        </w:rPr>
        <w:t xml:space="preserve">ouncil to </w:t>
      </w:r>
      <w:r w:rsidR="00C93472" w:rsidRPr="00813D19">
        <w:rPr>
          <w:lang w:val="en-US"/>
        </w:rPr>
        <w:t xml:space="preserve">say </w:t>
      </w:r>
      <w:r w:rsidR="003D53B3">
        <w:rPr>
          <w:lang w:val="en-US"/>
        </w:rPr>
        <w:t>a few words.</w:t>
      </w:r>
    </w:p>
    <w:p w14:paraId="6F9AC927" w14:textId="41394C3A" w:rsidR="00142198" w:rsidRPr="003D53B3" w:rsidRDefault="00883666" w:rsidP="004C105B">
      <w:pPr>
        <w:pStyle w:val="Orateurengris"/>
        <w:spacing w:before="120"/>
        <w:ind w:left="709" w:hanging="709"/>
        <w:rPr>
          <w:rFonts w:eastAsia="Times New Roman"/>
          <w:lang w:val="en-US"/>
        </w:rPr>
      </w:pPr>
      <w:r w:rsidRPr="003D53B3">
        <w:rPr>
          <w:lang w:val="en-US"/>
        </w:rPr>
        <w:t xml:space="preserve">The </w:t>
      </w:r>
      <w:r w:rsidR="003C3C26" w:rsidRPr="003D53B3">
        <w:rPr>
          <w:b/>
          <w:lang w:val="en-US"/>
        </w:rPr>
        <w:t>d</w:t>
      </w:r>
      <w:r w:rsidR="00BF6EE7" w:rsidRPr="003D53B3">
        <w:rPr>
          <w:b/>
          <w:lang w:val="en-US"/>
        </w:rPr>
        <w:t xml:space="preserve">elegation of Malaysia </w:t>
      </w:r>
      <w:r w:rsidR="00BF6EE7" w:rsidRPr="003D53B3">
        <w:rPr>
          <w:lang w:val="en-US"/>
        </w:rPr>
        <w:t>[</w:t>
      </w:r>
      <w:r w:rsidRPr="003D53B3">
        <w:rPr>
          <w:lang w:val="en-US"/>
        </w:rPr>
        <w:t>second speaker</w:t>
      </w:r>
      <w:r w:rsidR="00BF6EE7" w:rsidRPr="003D53B3">
        <w:rPr>
          <w:lang w:val="en-US"/>
        </w:rPr>
        <w:t>]</w:t>
      </w:r>
      <w:r w:rsidRPr="003D53B3">
        <w:rPr>
          <w:lang w:val="en-US"/>
        </w:rPr>
        <w:t xml:space="preserve"> </w:t>
      </w:r>
      <w:r w:rsidR="00C93472" w:rsidRPr="003D53B3">
        <w:rPr>
          <w:lang w:val="en-US"/>
        </w:rPr>
        <w:t xml:space="preserve">spoke on behalf of the </w:t>
      </w:r>
      <w:r w:rsidR="005B5780" w:rsidRPr="003D53B3">
        <w:rPr>
          <w:lang w:val="en-US"/>
        </w:rPr>
        <w:t>state g</w:t>
      </w:r>
      <w:r w:rsidRPr="003D53B3">
        <w:rPr>
          <w:lang w:val="en-US"/>
        </w:rPr>
        <w:t>overnment of Malacca, Mala</w:t>
      </w:r>
      <w:r w:rsidR="00C93472" w:rsidRPr="003D53B3">
        <w:rPr>
          <w:lang w:val="en-US"/>
        </w:rPr>
        <w:t xml:space="preserve">ysia and the people of Malacca </w:t>
      </w:r>
      <w:r w:rsidRPr="003D53B3">
        <w:rPr>
          <w:lang w:val="en-US"/>
        </w:rPr>
        <w:t>to thank the Committee for this historic decision</w:t>
      </w:r>
      <w:r w:rsidR="00455E99" w:rsidRPr="003D53B3">
        <w:rPr>
          <w:lang w:val="en-US"/>
        </w:rPr>
        <w:t xml:space="preserve">. It was </w:t>
      </w:r>
      <w:r w:rsidRPr="003D53B3">
        <w:rPr>
          <w:lang w:val="en-US"/>
        </w:rPr>
        <w:t xml:space="preserve">a very important achievement </w:t>
      </w:r>
      <w:r w:rsidR="00C93472" w:rsidRPr="003D53B3">
        <w:rPr>
          <w:lang w:val="en-US"/>
        </w:rPr>
        <w:t>that would enhance Dondang Sayan</w:t>
      </w:r>
      <w:r w:rsidRPr="003D53B3">
        <w:rPr>
          <w:lang w:val="en-US"/>
        </w:rPr>
        <w:t xml:space="preserve"> as </w:t>
      </w:r>
      <w:r w:rsidR="0050246F" w:rsidRPr="003D53B3">
        <w:rPr>
          <w:lang w:val="en-US"/>
        </w:rPr>
        <w:t xml:space="preserve">a </w:t>
      </w:r>
      <w:r w:rsidRPr="003D53B3">
        <w:rPr>
          <w:lang w:val="en-US"/>
        </w:rPr>
        <w:t xml:space="preserve">cultural heritage of </w:t>
      </w:r>
      <w:r w:rsidR="003C3C26" w:rsidRPr="003D53B3">
        <w:rPr>
          <w:lang w:val="en-US"/>
        </w:rPr>
        <w:t>Malacca</w:t>
      </w:r>
      <w:r w:rsidR="0050246F" w:rsidRPr="003D53B3">
        <w:rPr>
          <w:lang w:val="en-US"/>
        </w:rPr>
        <w:t>,</w:t>
      </w:r>
      <w:r w:rsidRPr="003D53B3">
        <w:rPr>
          <w:lang w:val="en-US"/>
        </w:rPr>
        <w:t xml:space="preserve"> </w:t>
      </w:r>
      <w:r w:rsidR="003C3C26" w:rsidRPr="003D53B3">
        <w:rPr>
          <w:lang w:val="en-US"/>
        </w:rPr>
        <w:t xml:space="preserve">thus </w:t>
      </w:r>
      <w:r w:rsidRPr="003D53B3">
        <w:rPr>
          <w:lang w:val="en-US"/>
        </w:rPr>
        <w:t xml:space="preserve">making the whole community proud. </w:t>
      </w:r>
      <w:r w:rsidR="005B5780" w:rsidRPr="003D53B3">
        <w:rPr>
          <w:lang w:val="en-US"/>
        </w:rPr>
        <w:t xml:space="preserve">The state </w:t>
      </w:r>
      <w:r w:rsidR="003C3C26" w:rsidRPr="003D53B3">
        <w:rPr>
          <w:lang w:val="en-US"/>
        </w:rPr>
        <w:t xml:space="preserve">would </w:t>
      </w:r>
      <w:r w:rsidRPr="003D53B3">
        <w:rPr>
          <w:lang w:val="en-US"/>
        </w:rPr>
        <w:t xml:space="preserve">continue </w:t>
      </w:r>
      <w:r w:rsidR="003C3C26" w:rsidRPr="003D53B3">
        <w:rPr>
          <w:lang w:val="en-US"/>
        </w:rPr>
        <w:t xml:space="preserve">its </w:t>
      </w:r>
      <w:r w:rsidRPr="003D53B3">
        <w:rPr>
          <w:lang w:val="en-US"/>
        </w:rPr>
        <w:t>efforts in advanci</w:t>
      </w:r>
      <w:r w:rsidR="003C3C26" w:rsidRPr="003D53B3">
        <w:rPr>
          <w:lang w:val="en-US"/>
        </w:rPr>
        <w:t>ng and preserving Dondang Sayan</w:t>
      </w:r>
      <w:r w:rsidR="005B5780" w:rsidRPr="003D53B3">
        <w:rPr>
          <w:lang w:val="en-US"/>
        </w:rPr>
        <w:t xml:space="preserve"> at all levels, which </w:t>
      </w:r>
      <w:r w:rsidR="004D5B6E" w:rsidRPr="003D53B3">
        <w:rPr>
          <w:lang w:val="en-US"/>
        </w:rPr>
        <w:t xml:space="preserve">would </w:t>
      </w:r>
      <w:r w:rsidRPr="003D53B3">
        <w:rPr>
          <w:lang w:val="en-US"/>
        </w:rPr>
        <w:t>add to the treasures and diverse cultures of Malacca</w:t>
      </w:r>
      <w:r w:rsidR="005B5780" w:rsidRPr="003D53B3">
        <w:rPr>
          <w:lang w:val="en-US"/>
        </w:rPr>
        <w:t>,</w:t>
      </w:r>
      <w:r w:rsidRPr="003D53B3">
        <w:rPr>
          <w:lang w:val="en-US"/>
        </w:rPr>
        <w:t xml:space="preserve"> and </w:t>
      </w:r>
      <w:r w:rsidR="005B5780" w:rsidRPr="003D53B3">
        <w:rPr>
          <w:lang w:val="en-US"/>
        </w:rPr>
        <w:t xml:space="preserve">it </w:t>
      </w:r>
      <w:r w:rsidR="004D5B6E" w:rsidRPr="003D53B3">
        <w:rPr>
          <w:lang w:val="en-US"/>
        </w:rPr>
        <w:t xml:space="preserve">would </w:t>
      </w:r>
      <w:r w:rsidRPr="003D53B3">
        <w:rPr>
          <w:lang w:val="en-US"/>
        </w:rPr>
        <w:t>strive to ensure tha</w:t>
      </w:r>
      <w:r w:rsidR="005B5780" w:rsidRPr="003D53B3">
        <w:rPr>
          <w:lang w:val="en-US"/>
        </w:rPr>
        <w:t xml:space="preserve">t Dondang Sayan </w:t>
      </w:r>
      <w:r w:rsidR="004D5B6E" w:rsidRPr="003D53B3">
        <w:rPr>
          <w:lang w:val="en-US"/>
        </w:rPr>
        <w:t>was</w:t>
      </w:r>
      <w:r w:rsidR="005B5780" w:rsidRPr="003D53B3">
        <w:rPr>
          <w:lang w:val="en-US"/>
        </w:rPr>
        <w:t xml:space="preserve"> practis</w:t>
      </w:r>
      <w:r w:rsidRPr="003D53B3">
        <w:rPr>
          <w:lang w:val="en-US"/>
        </w:rPr>
        <w:t>ed and sustain</w:t>
      </w:r>
      <w:r w:rsidR="005B5780" w:rsidRPr="003D53B3">
        <w:rPr>
          <w:lang w:val="en-US"/>
        </w:rPr>
        <w:t>ed</w:t>
      </w:r>
      <w:r w:rsidRPr="003D53B3">
        <w:rPr>
          <w:lang w:val="en-US"/>
        </w:rPr>
        <w:t xml:space="preserve"> for generations to come. </w:t>
      </w:r>
      <w:r w:rsidR="005B5780" w:rsidRPr="003D53B3">
        <w:rPr>
          <w:lang w:val="en-US"/>
        </w:rPr>
        <w:t xml:space="preserve">The delegation </w:t>
      </w:r>
      <w:r w:rsidRPr="003D53B3">
        <w:rPr>
          <w:lang w:val="en-US"/>
        </w:rPr>
        <w:t>thank</w:t>
      </w:r>
      <w:r w:rsidR="005B5780" w:rsidRPr="003D53B3">
        <w:rPr>
          <w:lang w:val="en-US"/>
        </w:rPr>
        <w:t>ed</w:t>
      </w:r>
      <w:r w:rsidRPr="003D53B3">
        <w:rPr>
          <w:lang w:val="en-US"/>
        </w:rPr>
        <w:t xml:space="preserve"> the Ministry of Tourism, Arts and Culture of Malaysia through the Department of National Heritage for </w:t>
      </w:r>
      <w:r w:rsidR="005B5780" w:rsidRPr="003D53B3">
        <w:rPr>
          <w:lang w:val="en-US"/>
        </w:rPr>
        <w:t xml:space="preserve">its </w:t>
      </w:r>
      <w:r w:rsidRPr="003D53B3">
        <w:rPr>
          <w:lang w:val="en-US"/>
        </w:rPr>
        <w:t xml:space="preserve">relentless efforts </w:t>
      </w:r>
      <w:r w:rsidR="005B5780" w:rsidRPr="003D53B3">
        <w:rPr>
          <w:lang w:val="en-US"/>
        </w:rPr>
        <w:t xml:space="preserve">to </w:t>
      </w:r>
      <w:r w:rsidRPr="003D53B3">
        <w:rPr>
          <w:lang w:val="en-US"/>
        </w:rPr>
        <w:t>successful</w:t>
      </w:r>
      <w:r w:rsidR="005B5780" w:rsidRPr="003D53B3">
        <w:rPr>
          <w:lang w:val="en-US"/>
        </w:rPr>
        <w:t>ly inscribe Dondang Sayan, inviting</w:t>
      </w:r>
      <w:r w:rsidRPr="003D53B3">
        <w:rPr>
          <w:lang w:val="en-US"/>
        </w:rPr>
        <w:t xml:space="preserve"> all </w:t>
      </w:r>
      <w:r w:rsidR="005B5780" w:rsidRPr="003D53B3">
        <w:rPr>
          <w:lang w:val="en-US"/>
        </w:rPr>
        <w:t>the d</w:t>
      </w:r>
      <w:r w:rsidR="00CA3F3A" w:rsidRPr="003D53B3">
        <w:rPr>
          <w:lang w:val="en-US"/>
        </w:rPr>
        <w:t>e</w:t>
      </w:r>
      <w:r w:rsidR="005B5780" w:rsidRPr="003D53B3">
        <w:rPr>
          <w:lang w:val="en-US"/>
        </w:rPr>
        <w:t xml:space="preserve">legates </w:t>
      </w:r>
      <w:r w:rsidRPr="003D53B3">
        <w:rPr>
          <w:lang w:val="en-US"/>
        </w:rPr>
        <w:t xml:space="preserve">to </w:t>
      </w:r>
      <w:r w:rsidR="005B5780" w:rsidRPr="003D53B3">
        <w:rPr>
          <w:lang w:val="en-US"/>
        </w:rPr>
        <w:t>visit the World H</w:t>
      </w:r>
      <w:r w:rsidRPr="003D53B3">
        <w:rPr>
          <w:lang w:val="en-US"/>
        </w:rPr>
        <w:t xml:space="preserve">eritage </w:t>
      </w:r>
      <w:r w:rsidR="00CA3F3A" w:rsidRPr="003D53B3">
        <w:rPr>
          <w:lang w:val="en-US"/>
        </w:rPr>
        <w:t xml:space="preserve">site </w:t>
      </w:r>
      <w:r w:rsidRPr="003D53B3">
        <w:rPr>
          <w:lang w:val="en-US"/>
        </w:rPr>
        <w:t xml:space="preserve">in </w:t>
      </w:r>
      <w:r w:rsidR="005B5780" w:rsidRPr="003D53B3">
        <w:rPr>
          <w:lang w:val="en-US"/>
        </w:rPr>
        <w:t xml:space="preserve">the </w:t>
      </w:r>
      <w:r w:rsidRPr="003D53B3">
        <w:rPr>
          <w:lang w:val="en-US"/>
        </w:rPr>
        <w:t>state of Malacca</w:t>
      </w:r>
      <w:r w:rsidR="005B5780" w:rsidRPr="003D53B3">
        <w:rPr>
          <w:lang w:val="en-US"/>
        </w:rPr>
        <w:t xml:space="preserve">, as well as </w:t>
      </w:r>
      <w:r w:rsidRPr="003D53B3">
        <w:rPr>
          <w:lang w:val="en-US"/>
        </w:rPr>
        <w:t>Dondan</w:t>
      </w:r>
      <w:r w:rsidR="005B5780" w:rsidRPr="003D53B3">
        <w:rPr>
          <w:lang w:val="en-US"/>
        </w:rPr>
        <w:t>g Sayan.</w:t>
      </w:r>
    </w:p>
    <w:p w14:paraId="64331929" w14:textId="476F6118" w:rsidR="00883666" w:rsidRPr="00813D19" w:rsidRDefault="00883666" w:rsidP="003D53B3">
      <w:pPr>
        <w:pStyle w:val="Orateurengris"/>
        <w:numPr>
          <w:ilvl w:val="0"/>
          <w:numId w:val="0"/>
        </w:numPr>
        <w:spacing w:before="240" w:after="240"/>
        <w:ind w:left="567" w:hanging="567"/>
        <w:jc w:val="center"/>
        <w:rPr>
          <w:i/>
          <w:lang w:val="en-US"/>
        </w:rPr>
      </w:pPr>
      <w:r w:rsidRPr="00813D19">
        <w:rPr>
          <w:i/>
          <w:lang w:val="en-US"/>
        </w:rPr>
        <w:t>[</w:t>
      </w:r>
      <w:r w:rsidR="00F50D74" w:rsidRPr="00813D19">
        <w:rPr>
          <w:i/>
          <w:lang w:val="en-US"/>
        </w:rPr>
        <w:t xml:space="preserve">A </w:t>
      </w:r>
      <w:r w:rsidRPr="00813D19">
        <w:rPr>
          <w:i/>
          <w:lang w:val="en-US"/>
        </w:rPr>
        <w:t>s</w:t>
      </w:r>
      <w:r w:rsidR="00C93472" w:rsidRPr="00813D19">
        <w:rPr>
          <w:i/>
          <w:lang w:val="en-US"/>
        </w:rPr>
        <w:t xml:space="preserve">hort </w:t>
      </w:r>
      <w:r w:rsidR="00F50D74" w:rsidRPr="00813D19">
        <w:rPr>
          <w:i/>
          <w:lang w:val="en-US"/>
        </w:rPr>
        <w:t xml:space="preserve">film on </w:t>
      </w:r>
      <w:r w:rsidR="00C93472" w:rsidRPr="00813D19">
        <w:rPr>
          <w:i/>
          <w:lang w:val="en-US"/>
        </w:rPr>
        <w:t>Dondang Sayan</w:t>
      </w:r>
      <w:r w:rsidR="00F50D74" w:rsidRPr="00813D19">
        <w:rPr>
          <w:i/>
          <w:lang w:val="en-US"/>
        </w:rPr>
        <w:t xml:space="preserve"> was projected</w:t>
      </w:r>
      <w:r w:rsidRPr="00813D19">
        <w:rPr>
          <w:i/>
          <w:lang w:val="en-US"/>
        </w:rPr>
        <w:t>]</w:t>
      </w:r>
    </w:p>
    <w:p w14:paraId="4102C356" w14:textId="5BA309CC" w:rsidR="00885A52" w:rsidRPr="00813D19" w:rsidRDefault="00BB01E7" w:rsidP="00885A52">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4D5B6E">
        <w:rPr>
          <w:color w:val="000000" w:themeColor="text1"/>
          <w:lang w:val="en-US"/>
        </w:rPr>
        <w:t>,</w:t>
      </w:r>
      <w:r w:rsidRPr="00813D19">
        <w:rPr>
          <w:color w:val="000000" w:themeColor="text1"/>
          <w:lang w:val="en-US"/>
        </w:rPr>
        <w:t xml:space="preserve"> </w:t>
      </w:r>
      <w:r w:rsidRPr="00813D19">
        <w:rPr>
          <w:b/>
          <w:color w:val="000000" w:themeColor="text1"/>
          <w:lang w:val="en-US"/>
        </w:rPr>
        <w:t>La Romería (the pilgrimage): ritual cycle of 'La llevada' (the carrying) of the Virgin of Zapopan</w:t>
      </w:r>
      <w:r w:rsidRPr="00813D19">
        <w:rPr>
          <w:color w:val="000000" w:themeColor="text1"/>
          <w:lang w:val="en-US"/>
        </w:rPr>
        <w:t xml:space="preserve"> [draft decision 13.COM 10.b.26]</w:t>
      </w:r>
      <w:r w:rsidR="00E67B19">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Mexico</w:t>
      </w:r>
      <w:r w:rsidRPr="00813D19">
        <w:rPr>
          <w:color w:val="000000" w:themeColor="text1"/>
          <w:lang w:val="en-US"/>
        </w:rPr>
        <w:t xml:space="preserve">. </w:t>
      </w:r>
      <w:r w:rsidR="00885A52" w:rsidRPr="00813D19">
        <w:rPr>
          <w:lang w:val="en-US"/>
        </w:rPr>
        <w:t>La Romería is the most popular and strongly rooted tradition in west Mexico</w:t>
      </w:r>
      <w:r w:rsidR="00FC01C8" w:rsidRPr="00813D19">
        <w:rPr>
          <w:lang w:val="en-US"/>
        </w:rPr>
        <w:t>,</w:t>
      </w:r>
      <w:r w:rsidR="00885A52" w:rsidRPr="00813D19">
        <w:rPr>
          <w:lang w:val="en-US"/>
        </w:rPr>
        <w:t xml:space="preserve"> </w:t>
      </w:r>
      <w:r w:rsidR="00FC01C8" w:rsidRPr="00813D19">
        <w:rPr>
          <w:lang w:val="en-US"/>
        </w:rPr>
        <w:t>dating</w:t>
      </w:r>
      <w:r w:rsidR="00885A52" w:rsidRPr="00813D19">
        <w:rPr>
          <w:lang w:val="en-US"/>
        </w:rPr>
        <w:t xml:space="preserve"> back to </w:t>
      </w:r>
      <w:r w:rsidR="00FC01C8" w:rsidRPr="00813D19">
        <w:rPr>
          <w:lang w:val="en-US"/>
        </w:rPr>
        <w:t>1734 and</w:t>
      </w:r>
      <w:r w:rsidR="00885A52" w:rsidRPr="00813D19">
        <w:rPr>
          <w:lang w:val="en-US"/>
        </w:rPr>
        <w:t xml:space="preserve"> celebrated annually on 12 October</w:t>
      </w:r>
      <w:r w:rsidR="00E67B19">
        <w:rPr>
          <w:lang w:val="en-US"/>
        </w:rPr>
        <w:t>;</w:t>
      </w:r>
      <w:r w:rsidR="00FC01C8" w:rsidRPr="00813D19">
        <w:rPr>
          <w:lang w:val="en-US"/>
        </w:rPr>
        <w:t xml:space="preserve"> it hono</w:t>
      </w:r>
      <w:r w:rsidR="00FB131E">
        <w:rPr>
          <w:lang w:val="en-US"/>
        </w:rPr>
        <w:t>u</w:t>
      </w:r>
      <w:r w:rsidR="00FC01C8" w:rsidRPr="00813D19">
        <w:rPr>
          <w:lang w:val="en-US"/>
        </w:rPr>
        <w:t>rs</w:t>
      </w:r>
      <w:r w:rsidR="00885A52" w:rsidRPr="00813D19">
        <w:rPr>
          <w:lang w:val="en-US"/>
        </w:rPr>
        <w:t xml:space="preserve"> the image of the Virgin of Zapopan. The planning of the activities depends on the intera</w:t>
      </w:r>
      <w:r w:rsidR="00FC01C8" w:rsidRPr="00813D19">
        <w:rPr>
          <w:lang w:val="en-US"/>
        </w:rPr>
        <w:t xml:space="preserve">ction of the different </w:t>
      </w:r>
      <w:r w:rsidR="00813D19" w:rsidRPr="00813D19">
        <w:rPr>
          <w:lang w:val="en-US"/>
        </w:rPr>
        <w:t>communities;</w:t>
      </w:r>
      <w:r w:rsidR="00FC01C8" w:rsidRPr="00813D19">
        <w:rPr>
          <w:lang w:val="en-US"/>
        </w:rPr>
        <w:t xml:space="preserve"> </w:t>
      </w:r>
      <w:r w:rsidR="00885A52" w:rsidRPr="00813D19">
        <w:rPr>
          <w:lang w:val="en-US"/>
        </w:rPr>
        <w:t>hence</w:t>
      </w:r>
      <w:r w:rsidR="00E67B19">
        <w:rPr>
          <w:lang w:val="en-US"/>
        </w:rPr>
        <w:t>,</w:t>
      </w:r>
      <w:r w:rsidR="00885A52" w:rsidRPr="00813D19">
        <w:rPr>
          <w:lang w:val="en-US"/>
        </w:rPr>
        <w:t xml:space="preserve"> </w:t>
      </w:r>
      <w:r w:rsidR="00FC01C8" w:rsidRPr="00813D19">
        <w:rPr>
          <w:lang w:val="en-US"/>
        </w:rPr>
        <w:t xml:space="preserve">it </w:t>
      </w:r>
      <w:r w:rsidR="00885A52" w:rsidRPr="00813D19">
        <w:rPr>
          <w:lang w:val="en-US"/>
        </w:rPr>
        <w:t>helps them renew and reinforce their social ties. From the information included in th</w:t>
      </w:r>
      <w:r w:rsidR="00FC01C8" w:rsidRPr="00813D19">
        <w:rPr>
          <w:lang w:val="en-US"/>
        </w:rPr>
        <w:t>e file, the nomination satisfied</w:t>
      </w:r>
      <w:r w:rsidR="00885A52" w:rsidRPr="00813D19">
        <w:rPr>
          <w:lang w:val="en-US"/>
        </w:rPr>
        <w:t xml:space="preserve"> all five criteria. The Evaluation Body considered that</w:t>
      </w:r>
      <w:r w:rsidR="00885A52" w:rsidRPr="00813D19">
        <w:rPr>
          <w:b/>
          <w:lang w:val="en-US"/>
        </w:rPr>
        <w:t xml:space="preserve"> </w:t>
      </w:r>
      <w:r w:rsidR="00885A52" w:rsidRPr="00813D19">
        <w:rPr>
          <w:lang w:val="en-US"/>
        </w:rPr>
        <w:t>La Romería (the pilgrimage): ritual cycle of ‘La llevada’ (the carrying) of the Virgin of Zapopan merges official Catholic rituals with popular religious expressions and a large cycle of festive events involving native dance groups of different backgrounds. It establishes good relationship</w:t>
      </w:r>
      <w:r w:rsidR="00FC01C8" w:rsidRPr="00813D19">
        <w:rPr>
          <w:lang w:val="en-US"/>
        </w:rPr>
        <w:t>s</w:t>
      </w:r>
      <w:r w:rsidR="00885A52" w:rsidRPr="00813D19">
        <w:rPr>
          <w:lang w:val="en-US"/>
        </w:rPr>
        <w:t xml:space="preserve"> and serves as a symbol of devotion, continuity and cultural identity. The deep-rootedness of the ritual and the number of organizations involved</w:t>
      </w:r>
      <w:r w:rsidR="00FC01C8" w:rsidRPr="00813D19">
        <w:rPr>
          <w:lang w:val="en-US"/>
        </w:rPr>
        <w:t>,</w:t>
      </w:r>
      <w:r w:rsidR="00885A52" w:rsidRPr="00813D19">
        <w:rPr>
          <w:lang w:val="en-US"/>
        </w:rPr>
        <w:t xml:space="preserve"> including the government and practitioners</w:t>
      </w:r>
      <w:r w:rsidR="00FC01C8" w:rsidRPr="00813D19">
        <w:rPr>
          <w:lang w:val="en-US"/>
        </w:rPr>
        <w:t>,</w:t>
      </w:r>
      <w:r w:rsidR="00885A52" w:rsidRPr="00813D19">
        <w:rPr>
          <w:lang w:val="en-US"/>
        </w:rPr>
        <w:t xml:space="preserve"> ensure its viability. The communities concerned actively participated in the preparation of the nomination file through academic research and in workshops.</w:t>
      </w:r>
      <w:r w:rsidR="00FC01C8" w:rsidRPr="00813D19">
        <w:rPr>
          <w:lang w:val="en-US"/>
        </w:rPr>
        <w:t xml:space="preserve"> The Evaluation Body recommended</w:t>
      </w:r>
      <w:r w:rsidR="00885A52" w:rsidRPr="00813D19">
        <w:rPr>
          <w:lang w:val="en-US"/>
        </w:rPr>
        <w:t xml:space="preserve"> that the Committee inscribe La Romería (the pilgrimage): ritual cycle of ‘La llevada’ (the carrying) of the Virgin of Zapopan on the Representative List.</w:t>
      </w:r>
    </w:p>
    <w:p w14:paraId="69823A9B" w14:textId="18FCFA84" w:rsidR="00FC01C8" w:rsidRPr="00813D19" w:rsidRDefault="00FC01C8" w:rsidP="00FC01C8">
      <w:pPr>
        <w:pStyle w:val="Orateurengris"/>
        <w:spacing w:before="120"/>
        <w:ind w:left="709" w:hanging="709"/>
        <w:rPr>
          <w:lang w:val="en-US"/>
        </w:rPr>
      </w:pPr>
      <w:r w:rsidRPr="00813D19">
        <w:rPr>
          <w:lang w:val="en-US"/>
        </w:rPr>
        <w:t xml:space="preserve">The </w:t>
      </w:r>
      <w:r w:rsidRPr="00813D19">
        <w:rPr>
          <w:b/>
          <w:lang w:val="en-US"/>
        </w:rPr>
        <w:t>Vice-Chairperson</w:t>
      </w:r>
      <w:r w:rsidRPr="00813D19">
        <w:rPr>
          <w:lang w:val="en-US"/>
        </w:rPr>
        <w:t xml:space="preserve"> noted that no amendments had been received </w:t>
      </w:r>
      <w:r w:rsidRPr="00813D19">
        <w:rPr>
          <w:color w:val="000000" w:themeColor="text1"/>
          <w:lang w:val="en-US"/>
        </w:rPr>
        <w:t>for this nomination.</w:t>
      </w:r>
    </w:p>
    <w:p w14:paraId="0CB5DE42" w14:textId="18BBC661" w:rsidR="00CA3F3A" w:rsidRPr="003D53B3" w:rsidRDefault="00FC01C8" w:rsidP="00CA3F3A">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0211C2" w:rsidRPr="00813D19">
        <w:rPr>
          <w:b/>
          <w:lang w:val="en-US"/>
        </w:rPr>
        <w:t>Vice-</w:t>
      </w:r>
      <w:r w:rsidR="007E03B5" w:rsidRPr="00813D19">
        <w:rPr>
          <w:b/>
          <w:lang w:val="en-US"/>
        </w:rPr>
        <w:t>Chairperson</w:t>
      </w:r>
      <w:r w:rsidR="007E03B5" w:rsidRPr="00813D19">
        <w:rPr>
          <w:lang w:val="en-US"/>
        </w:rPr>
        <w:t xml:space="preserve"> </w:t>
      </w:r>
      <w:r w:rsidR="00864322" w:rsidRPr="00813D19">
        <w:rPr>
          <w:b/>
          <w:lang w:val="en-US"/>
        </w:rPr>
        <w:t xml:space="preserve">declared Decision </w:t>
      </w:r>
      <w:hyperlink r:id="rId125" w:history="1">
        <w:r w:rsidR="00864322" w:rsidRPr="00813D19">
          <w:rPr>
            <w:rStyle w:val="Hyperlink"/>
            <w:b/>
            <w:lang w:val="en-US"/>
          </w:rPr>
          <w:t>13.COM</w:t>
        </w:r>
        <w:r w:rsidR="00992896">
          <w:rPr>
            <w:rStyle w:val="Hyperlink"/>
            <w:b/>
            <w:lang w:val="en-US"/>
          </w:rPr>
          <w:t> </w:t>
        </w:r>
        <w:r w:rsidR="00864322" w:rsidRPr="00813D19">
          <w:rPr>
            <w:rStyle w:val="Hyperlink"/>
            <w:b/>
            <w:lang w:val="en-US"/>
          </w:rPr>
          <w:t>10.b.26</w:t>
        </w:r>
      </w:hyperlink>
      <w:r w:rsidR="007E03B5" w:rsidRPr="00813D19">
        <w:rPr>
          <w:b/>
          <w:lang w:val="en-US"/>
        </w:rPr>
        <w:t xml:space="preserve"> adopted to inscribe </w:t>
      </w:r>
      <w:r w:rsidR="00864322" w:rsidRPr="00813D19">
        <w:rPr>
          <w:b/>
          <w:color w:val="000000" w:themeColor="text1"/>
          <w:lang w:val="en-US"/>
        </w:rPr>
        <w:t>La Romería (the pilgrimage): ritual cycle of 'La llevada' (the carrying) of the Virgin of Zapopan</w:t>
      </w:r>
      <w:r w:rsidR="00864322" w:rsidRPr="00813D19">
        <w:rPr>
          <w:color w:val="000000" w:themeColor="text1"/>
          <w:lang w:val="en-US"/>
        </w:rPr>
        <w:t xml:space="preserve"> </w:t>
      </w:r>
      <w:r w:rsidR="007E03B5" w:rsidRPr="00813D19">
        <w:rPr>
          <w:b/>
          <w:color w:val="000000" w:themeColor="text1"/>
          <w:lang w:val="en-US"/>
        </w:rPr>
        <w:t>on the Representative List</w:t>
      </w:r>
      <w:r w:rsidR="007E03B5" w:rsidRPr="003D53B3">
        <w:rPr>
          <w:bCs/>
          <w:snapToGrid/>
          <w:color w:val="000000" w:themeColor="text1"/>
          <w:lang w:val="en-US"/>
        </w:rPr>
        <w:t>.</w:t>
      </w:r>
    </w:p>
    <w:p w14:paraId="04936DC0" w14:textId="76B646F5" w:rsidR="007E0B85" w:rsidRPr="003D53B3" w:rsidRDefault="000211C2" w:rsidP="007E0B85">
      <w:pPr>
        <w:pStyle w:val="Orateurengris"/>
        <w:spacing w:before="120"/>
        <w:ind w:left="709" w:hanging="709"/>
        <w:rPr>
          <w:rFonts w:eastAsia="Times New Roman"/>
          <w:lang w:val="en-US"/>
        </w:rPr>
      </w:pPr>
      <w:r w:rsidRPr="00813D19">
        <w:rPr>
          <w:lang w:val="en-US"/>
        </w:rPr>
        <w:t xml:space="preserve">The </w:t>
      </w:r>
      <w:r w:rsidRPr="00813D19">
        <w:rPr>
          <w:b/>
          <w:lang w:val="en-US"/>
        </w:rPr>
        <w:t>delegation of Mexico</w:t>
      </w:r>
      <w:r w:rsidRPr="00813D19">
        <w:rPr>
          <w:lang w:val="en-US"/>
        </w:rPr>
        <w:t xml:space="preserve"> </w:t>
      </w:r>
      <w:r w:rsidR="0055387C" w:rsidRPr="00813D19">
        <w:rPr>
          <w:bCs/>
          <w:lang w:val="en-US"/>
        </w:rPr>
        <w:t xml:space="preserve">began by </w:t>
      </w:r>
      <w:r w:rsidR="00883666" w:rsidRPr="00813D19">
        <w:rPr>
          <w:bCs/>
          <w:lang w:val="en-US"/>
        </w:rPr>
        <w:t>thank</w:t>
      </w:r>
      <w:r w:rsidR="0055387C" w:rsidRPr="00813D19">
        <w:rPr>
          <w:bCs/>
          <w:lang w:val="en-US"/>
        </w:rPr>
        <w:t>ing</w:t>
      </w:r>
      <w:r w:rsidR="00883666" w:rsidRPr="00813D19">
        <w:rPr>
          <w:bCs/>
          <w:lang w:val="en-US"/>
        </w:rPr>
        <w:t xml:space="preserve"> Mauritius for its hospitality and Spain for making it possible to speak </w:t>
      </w:r>
      <w:r w:rsidR="0055387C" w:rsidRPr="00813D19">
        <w:rPr>
          <w:bCs/>
          <w:lang w:val="en-US"/>
        </w:rPr>
        <w:t>in its mother tongue.</w:t>
      </w:r>
      <w:r w:rsidR="00883666" w:rsidRPr="00813D19">
        <w:rPr>
          <w:bCs/>
          <w:lang w:val="en-US"/>
        </w:rPr>
        <w:t xml:space="preserve"> </w:t>
      </w:r>
      <w:r w:rsidR="0055387C" w:rsidRPr="00813D19">
        <w:rPr>
          <w:bCs/>
          <w:lang w:val="en-US"/>
        </w:rPr>
        <w:t>O</w:t>
      </w:r>
      <w:r w:rsidR="00883666" w:rsidRPr="00813D19">
        <w:rPr>
          <w:bCs/>
          <w:lang w:val="en-US"/>
        </w:rPr>
        <w:t>n behalf of the Government of Mexico and the Secretariat of Culture</w:t>
      </w:r>
      <w:r w:rsidR="0055387C" w:rsidRPr="00813D19">
        <w:rPr>
          <w:bCs/>
          <w:lang w:val="en-US"/>
        </w:rPr>
        <w:t>,</w:t>
      </w:r>
      <w:r w:rsidR="00883666" w:rsidRPr="00813D19">
        <w:rPr>
          <w:bCs/>
          <w:lang w:val="en-US"/>
        </w:rPr>
        <w:t xml:space="preserve"> as well as the National Instit</w:t>
      </w:r>
      <w:r w:rsidR="0055387C" w:rsidRPr="00813D19">
        <w:rPr>
          <w:bCs/>
          <w:lang w:val="en-US"/>
        </w:rPr>
        <w:t xml:space="preserve">ute of Anthropology and History, the delegation thanked the Committee and the Evaluation Body </w:t>
      </w:r>
      <w:r w:rsidR="00883666" w:rsidRPr="00813D19">
        <w:rPr>
          <w:bCs/>
          <w:lang w:val="en-US"/>
        </w:rPr>
        <w:t xml:space="preserve">for satisfying the desire </w:t>
      </w:r>
      <w:r w:rsidR="00E016F8" w:rsidRPr="00813D19">
        <w:rPr>
          <w:bCs/>
          <w:lang w:val="en-US"/>
        </w:rPr>
        <w:t xml:space="preserve">for the </w:t>
      </w:r>
      <w:r w:rsidR="00883666" w:rsidRPr="00813D19">
        <w:rPr>
          <w:bCs/>
          <w:lang w:val="en-US"/>
        </w:rPr>
        <w:t xml:space="preserve">bearer communities </w:t>
      </w:r>
      <w:r w:rsidR="00E016F8" w:rsidRPr="00813D19">
        <w:rPr>
          <w:bCs/>
          <w:lang w:val="en-US"/>
        </w:rPr>
        <w:t xml:space="preserve">to have </w:t>
      </w:r>
      <w:r w:rsidR="0069783B" w:rsidRPr="00813D19">
        <w:rPr>
          <w:bCs/>
          <w:lang w:val="en-US"/>
        </w:rPr>
        <w:t xml:space="preserve">La </w:t>
      </w:r>
      <w:r w:rsidR="00883666" w:rsidRPr="00813D19">
        <w:rPr>
          <w:lang w:val="en-US"/>
        </w:rPr>
        <w:t xml:space="preserve">Romería </w:t>
      </w:r>
      <w:r w:rsidR="00030A95" w:rsidRPr="00813D19">
        <w:rPr>
          <w:lang w:val="en-US"/>
        </w:rPr>
        <w:t>inscribed on the Representative List</w:t>
      </w:r>
      <w:r w:rsidR="000350CA" w:rsidRPr="00813D19">
        <w:rPr>
          <w:lang w:val="en-US"/>
        </w:rPr>
        <w:t>; an element that has survived</w:t>
      </w:r>
      <w:r w:rsidR="00883666" w:rsidRPr="00813D19">
        <w:rPr>
          <w:lang w:val="en-US"/>
        </w:rPr>
        <w:t xml:space="preserve"> </w:t>
      </w:r>
      <w:r w:rsidR="000350CA" w:rsidRPr="00813D19">
        <w:rPr>
          <w:lang w:val="en-US"/>
        </w:rPr>
        <w:t xml:space="preserve">and </w:t>
      </w:r>
      <w:r w:rsidR="00883666" w:rsidRPr="00813D19">
        <w:rPr>
          <w:lang w:val="en-US"/>
        </w:rPr>
        <w:t>b</w:t>
      </w:r>
      <w:r w:rsidR="000350CA" w:rsidRPr="00813D19">
        <w:rPr>
          <w:lang w:val="en-US"/>
        </w:rPr>
        <w:t>een handed down through history</w:t>
      </w:r>
      <w:r w:rsidR="00883666" w:rsidRPr="00813D19">
        <w:rPr>
          <w:lang w:val="en-US"/>
        </w:rPr>
        <w:t xml:space="preserve"> from generation to generation. With this nomination</w:t>
      </w:r>
      <w:r w:rsidR="000350CA" w:rsidRPr="00813D19">
        <w:rPr>
          <w:lang w:val="en-US"/>
        </w:rPr>
        <w:t>,</w:t>
      </w:r>
      <w:r w:rsidR="00883666" w:rsidRPr="00813D19">
        <w:rPr>
          <w:lang w:val="en-US"/>
        </w:rPr>
        <w:t xml:space="preserve"> Mexico reaffirm</w:t>
      </w:r>
      <w:r w:rsidR="000350CA" w:rsidRPr="00813D19">
        <w:rPr>
          <w:lang w:val="en-US"/>
        </w:rPr>
        <w:t>ed</w:t>
      </w:r>
      <w:r w:rsidR="00883666" w:rsidRPr="00813D19">
        <w:rPr>
          <w:lang w:val="en-US"/>
        </w:rPr>
        <w:t xml:space="preserve"> its commitment to safeguarding, preserving and promoting Mexico’s traditions </w:t>
      </w:r>
      <w:r w:rsidR="00B90BF1" w:rsidRPr="00813D19">
        <w:rPr>
          <w:lang w:val="en-US"/>
        </w:rPr>
        <w:t xml:space="preserve">that </w:t>
      </w:r>
      <w:r w:rsidR="00883666" w:rsidRPr="00813D19">
        <w:rPr>
          <w:lang w:val="en-US"/>
        </w:rPr>
        <w:t xml:space="preserve">make up </w:t>
      </w:r>
      <w:r w:rsidR="00B90BF1" w:rsidRPr="00813D19">
        <w:rPr>
          <w:lang w:val="en-US"/>
        </w:rPr>
        <w:t xml:space="preserve">its </w:t>
      </w:r>
      <w:r w:rsidR="00883666" w:rsidRPr="00813D19">
        <w:rPr>
          <w:lang w:val="en-US"/>
        </w:rPr>
        <w:t>cultural identity</w:t>
      </w:r>
      <w:r w:rsidR="00027EB8" w:rsidRPr="00813D19">
        <w:rPr>
          <w:lang w:val="en-US"/>
        </w:rPr>
        <w:t>,</w:t>
      </w:r>
      <w:r w:rsidR="00883666" w:rsidRPr="00813D19">
        <w:rPr>
          <w:lang w:val="en-US"/>
        </w:rPr>
        <w:t xml:space="preserve"> </w:t>
      </w:r>
      <w:r w:rsidR="00027EB8" w:rsidRPr="00813D19">
        <w:rPr>
          <w:lang w:val="en-US"/>
        </w:rPr>
        <w:t xml:space="preserve">as it worked </w:t>
      </w:r>
      <w:r w:rsidR="00883666" w:rsidRPr="00813D19">
        <w:rPr>
          <w:lang w:val="en-US"/>
        </w:rPr>
        <w:t>clos</w:t>
      </w:r>
      <w:r w:rsidR="00B705E6" w:rsidRPr="00813D19">
        <w:rPr>
          <w:lang w:val="en-US"/>
        </w:rPr>
        <w:t xml:space="preserve">ely with the bearer communities, some of </w:t>
      </w:r>
      <w:r w:rsidR="00883666" w:rsidRPr="00813D19">
        <w:rPr>
          <w:lang w:val="en-US"/>
        </w:rPr>
        <w:t xml:space="preserve">whom </w:t>
      </w:r>
      <w:r w:rsidR="00B1288C" w:rsidRPr="00813D19">
        <w:rPr>
          <w:lang w:val="en-US"/>
        </w:rPr>
        <w:t>w</w:t>
      </w:r>
      <w:r w:rsidR="00B705E6" w:rsidRPr="00813D19">
        <w:rPr>
          <w:lang w:val="en-US"/>
        </w:rPr>
        <w:t>ere represented</w:t>
      </w:r>
      <w:r w:rsidR="00883666" w:rsidRPr="00813D19">
        <w:rPr>
          <w:lang w:val="en-US"/>
        </w:rPr>
        <w:t xml:space="preserve"> </w:t>
      </w:r>
      <w:r w:rsidR="00B705E6" w:rsidRPr="00813D19">
        <w:rPr>
          <w:lang w:val="en-US"/>
        </w:rPr>
        <w:t>at the session</w:t>
      </w:r>
      <w:r w:rsidR="003476BE" w:rsidRPr="00813D19">
        <w:rPr>
          <w:lang w:val="en-US"/>
        </w:rPr>
        <w:t xml:space="preserve">, as well as </w:t>
      </w:r>
      <w:r w:rsidR="00883666" w:rsidRPr="00813D19">
        <w:rPr>
          <w:lang w:val="en-US"/>
        </w:rPr>
        <w:t>the stakeholders</w:t>
      </w:r>
      <w:r w:rsidR="00B1288C" w:rsidRPr="00813D19">
        <w:rPr>
          <w:lang w:val="en-US"/>
        </w:rPr>
        <w:t xml:space="preserve">, which </w:t>
      </w:r>
      <w:r w:rsidR="00883666" w:rsidRPr="00813D19">
        <w:rPr>
          <w:lang w:val="en-US"/>
        </w:rPr>
        <w:t>c</w:t>
      </w:r>
      <w:r w:rsidR="00E67B19">
        <w:rPr>
          <w:lang w:val="en-US"/>
        </w:rPr>
        <w:t>ould</w:t>
      </w:r>
      <w:r w:rsidR="00883666" w:rsidRPr="00813D19">
        <w:rPr>
          <w:lang w:val="en-US"/>
        </w:rPr>
        <w:t xml:space="preserve"> clearly </w:t>
      </w:r>
      <w:r w:rsidR="00B1288C" w:rsidRPr="00813D19">
        <w:rPr>
          <w:lang w:val="en-US"/>
        </w:rPr>
        <w:t xml:space="preserve">be </w:t>
      </w:r>
      <w:r w:rsidR="00883666" w:rsidRPr="00813D19">
        <w:rPr>
          <w:lang w:val="en-US"/>
        </w:rPr>
        <w:t xml:space="preserve">seen in the methodology </w:t>
      </w:r>
      <w:r w:rsidR="00FD6A94" w:rsidRPr="00813D19">
        <w:rPr>
          <w:lang w:val="en-US"/>
        </w:rPr>
        <w:t>implemented</w:t>
      </w:r>
      <w:r w:rsidR="00883666" w:rsidRPr="00813D19">
        <w:rPr>
          <w:lang w:val="en-US"/>
        </w:rPr>
        <w:t xml:space="preserve"> since 2010. The file is the result of a truly collective work based on consensus. </w:t>
      </w:r>
      <w:r w:rsidR="00B1288C" w:rsidRPr="00813D19">
        <w:rPr>
          <w:lang w:val="en-US"/>
        </w:rPr>
        <w:t xml:space="preserve">The delegation </w:t>
      </w:r>
      <w:r w:rsidR="00883666" w:rsidRPr="00813D19">
        <w:rPr>
          <w:lang w:val="en-US"/>
        </w:rPr>
        <w:t>emphasize</w:t>
      </w:r>
      <w:r w:rsidR="00B1288C" w:rsidRPr="00813D19">
        <w:rPr>
          <w:lang w:val="en-US"/>
        </w:rPr>
        <w:t>d</w:t>
      </w:r>
      <w:r w:rsidR="00883666" w:rsidRPr="00813D19">
        <w:rPr>
          <w:lang w:val="en-US"/>
        </w:rPr>
        <w:t xml:space="preserve"> the importance of intangible cultural heritage </w:t>
      </w:r>
      <w:r w:rsidR="007E0B85" w:rsidRPr="00813D19">
        <w:rPr>
          <w:lang w:val="en-US"/>
        </w:rPr>
        <w:t>to strengthen and reconstruct</w:t>
      </w:r>
      <w:r w:rsidR="00883666" w:rsidRPr="00813D19">
        <w:rPr>
          <w:lang w:val="en-US"/>
        </w:rPr>
        <w:t xml:space="preserve"> the </w:t>
      </w:r>
      <w:r w:rsidR="007E0B85" w:rsidRPr="00813D19">
        <w:rPr>
          <w:lang w:val="en-US"/>
        </w:rPr>
        <w:t xml:space="preserve">communities’ </w:t>
      </w:r>
      <w:r w:rsidR="00883666" w:rsidRPr="00813D19">
        <w:rPr>
          <w:lang w:val="en-US"/>
        </w:rPr>
        <w:t xml:space="preserve">social </w:t>
      </w:r>
      <w:r w:rsidR="007625E1" w:rsidRPr="00813D19">
        <w:rPr>
          <w:lang w:val="en-US"/>
        </w:rPr>
        <w:t>fabric</w:t>
      </w:r>
      <w:r w:rsidR="00E67B19">
        <w:rPr>
          <w:lang w:val="en-US"/>
        </w:rPr>
        <w:t>,</w:t>
      </w:r>
      <w:r w:rsidR="007625E1" w:rsidRPr="00813D19">
        <w:rPr>
          <w:lang w:val="en-US"/>
        </w:rPr>
        <w:t xml:space="preserve"> </w:t>
      </w:r>
      <w:r w:rsidR="007E0B85" w:rsidRPr="00813D19">
        <w:rPr>
          <w:lang w:val="en-US"/>
        </w:rPr>
        <w:t xml:space="preserve">in </w:t>
      </w:r>
      <w:r w:rsidR="00883666" w:rsidRPr="00813D19">
        <w:rPr>
          <w:lang w:val="en-US"/>
        </w:rPr>
        <w:t>keeping with th</w:t>
      </w:r>
      <w:r w:rsidR="007E0B85" w:rsidRPr="00813D19">
        <w:rPr>
          <w:lang w:val="en-US"/>
        </w:rPr>
        <w:t>e spirit of the 2003 Convention.</w:t>
      </w:r>
      <w:r w:rsidR="00883666" w:rsidRPr="00813D19">
        <w:rPr>
          <w:lang w:val="en-US"/>
        </w:rPr>
        <w:t xml:space="preserve"> </w:t>
      </w:r>
      <w:r w:rsidR="007E0B85" w:rsidRPr="00813D19">
        <w:rPr>
          <w:lang w:val="en-US"/>
        </w:rPr>
        <w:t xml:space="preserve">The delegation invited Mr </w:t>
      </w:r>
      <w:r w:rsidR="00883666" w:rsidRPr="00813D19">
        <w:rPr>
          <w:lang w:val="en-US"/>
        </w:rPr>
        <w:t>Ger</w:t>
      </w:r>
      <w:r w:rsidR="007E0B85" w:rsidRPr="00813D19">
        <w:rPr>
          <w:lang w:val="en-US"/>
        </w:rPr>
        <w:t>ardo Ascencio</w:t>
      </w:r>
      <w:r w:rsidR="00883666" w:rsidRPr="00813D19">
        <w:rPr>
          <w:lang w:val="en-US"/>
        </w:rPr>
        <w:t>, Director of Culture for the township of Zapopan</w:t>
      </w:r>
      <w:r w:rsidR="00E67B19">
        <w:rPr>
          <w:lang w:val="en-US"/>
        </w:rPr>
        <w:t>,</w:t>
      </w:r>
      <w:r w:rsidR="007E0B85" w:rsidRPr="00813D19">
        <w:rPr>
          <w:lang w:val="en-US"/>
        </w:rPr>
        <w:t xml:space="preserve"> to say a few words,</w:t>
      </w:r>
      <w:r w:rsidR="00883666" w:rsidRPr="00813D19">
        <w:rPr>
          <w:lang w:val="en-US"/>
        </w:rPr>
        <w:t xml:space="preserve"> </w:t>
      </w:r>
      <w:r w:rsidR="007E0B85" w:rsidRPr="00813D19">
        <w:rPr>
          <w:lang w:val="en-US"/>
        </w:rPr>
        <w:t xml:space="preserve">who was accompanied by </w:t>
      </w:r>
      <w:r w:rsidR="00883666" w:rsidRPr="00813D19">
        <w:rPr>
          <w:lang w:val="en-US"/>
        </w:rPr>
        <w:t>representatives of the bearer communities</w:t>
      </w:r>
      <w:r w:rsidR="003D53B3">
        <w:rPr>
          <w:lang w:val="en-US"/>
        </w:rPr>
        <w:t>.</w:t>
      </w:r>
    </w:p>
    <w:p w14:paraId="67F1BFD3" w14:textId="5305C62B" w:rsidR="000211C2" w:rsidRPr="003D53B3" w:rsidRDefault="000211C2" w:rsidP="007E0B85">
      <w:pPr>
        <w:pStyle w:val="Orateurengris"/>
        <w:spacing w:before="120"/>
        <w:ind w:left="709" w:hanging="709"/>
        <w:rPr>
          <w:rFonts w:eastAsia="Times New Roman"/>
          <w:lang w:val="en-US"/>
        </w:rPr>
      </w:pPr>
      <w:r w:rsidRPr="00813D19">
        <w:rPr>
          <w:lang w:val="en-US"/>
        </w:rPr>
        <w:t xml:space="preserve">The </w:t>
      </w:r>
      <w:r w:rsidRPr="00813D19">
        <w:rPr>
          <w:b/>
          <w:lang w:val="en-US"/>
        </w:rPr>
        <w:t>delegation of Mexico</w:t>
      </w:r>
      <w:r w:rsidR="007E0B85" w:rsidRPr="00813D19">
        <w:rPr>
          <w:lang w:val="en-US"/>
        </w:rPr>
        <w:t xml:space="preserve"> [second speaker], Mr Gerardo Ascencio, </w:t>
      </w:r>
      <w:r w:rsidR="0085630C" w:rsidRPr="00813D19">
        <w:rPr>
          <w:lang w:val="en-US"/>
        </w:rPr>
        <w:t>greeted</w:t>
      </w:r>
      <w:r w:rsidR="00883666" w:rsidRPr="00813D19">
        <w:rPr>
          <w:lang w:val="en-US"/>
        </w:rPr>
        <w:t xml:space="preserve"> </w:t>
      </w:r>
      <w:r w:rsidR="0085630C" w:rsidRPr="00813D19">
        <w:rPr>
          <w:lang w:val="en-US"/>
        </w:rPr>
        <w:t xml:space="preserve">the delegates on behalf of </w:t>
      </w:r>
      <w:r w:rsidR="00883666" w:rsidRPr="00813D19">
        <w:rPr>
          <w:lang w:val="en-US"/>
        </w:rPr>
        <w:t xml:space="preserve">the municipal government </w:t>
      </w:r>
      <w:r w:rsidR="0055387C" w:rsidRPr="00813D19">
        <w:rPr>
          <w:lang w:val="en-US"/>
        </w:rPr>
        <w:t xml:space="preserve">of </w:t>
      </w:r>
      <w:r w:rsidR="00883666" w:rsidRPr="00813D19">
        <w:rPr>
          <w:lang w:val="en-US"/>
        </w:rPr>
        <w:t xml:space="preserve">Zapopan in the state of </w:t>
      </w:r>
      <w:r w:rsidR="00C35230" w:rsidRPr="00813D19">
        <w:rPr>
          <w:lang w:val="en-US"/>
        </w:rPr>
        <w:t xml:space="preserve">Jalisco, and thanked </w:t>
      </w:r>
      <w:r w:rsidR="00883666" w:rsidRPr="00813D19">
        <w:rPr>
          <w:lang w:val="en-US"/>
        </w:rPr>
        <w:t>Mauritius for its hospitality</w:t>
      </w:r>
      <w:r w:rsidR="00C35230" w:rsidRPr="00813D19">
        <w:rPr>
          <w:lang w:val="en-US"/>
        </w:rPr>
        <w:t>,</w:t>
      </w:r>
      <w:r w:rsidR="00883666" w:rsidRPr="00813D19">
        <w:rPr>
          <w:lang w:val="en-US"/>
        </w:rPr>
        <w:t xml:space="preserve"> as well as the Evaluation Body for </w:t>
      </w:r>
      <w:r w:rsidR="00C35230" w:rsidRPr="00813D19">
        <w:rPr>
          <w:lang w:val="en-US"/>
        </w:rPr>
        <w:t xml:space="preserve">recommending the inscription of the element. </w:t>
      </w:r>
      <w:r w:rsidR="00883666" w:rsidRPr="00813D19">
        <w:rPr>
          <w:lang w:val="en-US"/>
        </w:rPr>
        <w:t>La Romería is deeply rooted in the personal and family histories of each</w:t>
      </w:r>
      <w:r w:rsidR="00991408" w:rsidRPr="00813D19">
        <w:rPr>
          <w:lang w:val="en-US"/>
        </w:rPr>
        <w:t xml:space="preserve"> inhabitant of the region. It is </w:t>
      </w:r>
      <w:r w:rsidR="00883666" w:rsidRPr="00813D19">
        <w:rPr>
          <w:lang w:val="en-US"/>
        </w:rPr>
        <w:t xml:space="preserve">part of </w:t>
      </w:r>
      <w:r w:rsidR="00991408" w:rsidRPr="00813D19">
        <w:rPr>
          <w:lang w:val="en-US"/>
        </w:rPr>
        <w:t xml:space="preserve">its memory and </w:t>
      </w:r>
      <w:r w:rsidR="00883666" w:rsidRPr="00813D19">
        <w:rPr>
          <w:lang w:val="en-US"/>
        </w:rPr>
        <w:t xml:space="preserve">tradition, which </w:t>
      </w:r>
      <w:r w:rsidR="00B77CD1" w:rsidRPr="00813D19">
        <w:rPr>
          <w:lang w:val="en-US"/>
        </w:rPr>
        <w:t>had given the communities</w:t>
      </w:r>
      <w:r w:rsidR="00991408" w:rsidRPr="00813D19">
        <w:rPr>
          <w:lang w:val="en-US"/>
        </w:rPr>
        <w:t xml:space="preserve"> a sense of </w:t>
      </w:r>
      <w:r w:rsidR="00883666" w:rsidRPr="00813D19">
        <w:rPr>
          <w:lang w:val="en-US"/>
        </w:rPr>
        <w:t>identity for nearly three centuries. The 35,000 dancers are organized in</w:t>
      </w:r>
      <w:r w:rsidR="00991408" w:rsidRPr="00813D19">
        <w:rPr>
          <w:lang w:val="en-US"/>
        </w:rPr>
        <w:t xml:space="preserve">to four groups with </w:t>
      </w:r>
      <w:r w:rsidR="00883666" w:rsidRPr="00813D19">
        <w:rPr>
          <w:lang w:val="en-US"/>
        </w:rPr>
        <w:t>various independent groups of dancers. There is the guard of hono</w:t>
      </w:r>
      <w:r w:rsidR="00991408" w:rsidRPr="00813D19">
        <w:rPr>
          <w:lang w:val="en-US"/>
        </w:rPr>
        <w:t>ur of O</w:t>
      </w:r>
      <w:r w:rsidR="00883666" w:rsidRPr="00813D19">
        <w:rPr>
          <w:lang w:val="en-US"/>
        </w:rPr>
        <w:t>ur Lady of Zapopan</w:t>
      </w:r>
      <w:r w:rsidR="00991408" w:rsidRPr="00813D19">
        <w:rPr>
          <w:lang w:val="en-US"/>
        </w:rPr>
        <w:t>, and around 2 million</w:t>
      </w:r>
      <w:r w:rsidR="00883666" w:rsidRPr="00813D19">
        <w:rPr>
          <w:lang w:val="en-US"/>
        </w:rPr>
        <w:t xml:space="preserve"> participants take part in the procession every year from May to October when the image of the virgin </w:t>
      </w:r>
      <w:r w:rsidR="005D5FA1" w:rsidRPr="00813D19">
        <w:rPr>
          <w:lang w:val="en-US"/>
        </w:rPr>
        <w:t xml:space="preserve">goes </w:t>
      </w:r>
      <w:r w:rsidR="00883666" w:rsidRPr="00813D19">
        <w:rPr>
          <w:lang w:val="en-US"/>
        </w:rPr>
        <w:t xml:space="preserve">back to the Basilica of Zapopan. This </w:t>
      </w:r>
      <w:r w:rsidR="005D5FA1" w:rsidRPr="00813D19">
        <w:rPr>
          <w:lang w:val="en-US"/>
        </w:rPr>
        <w:t xml:space="preserve">tradition </w:t>
      </w:r>
      <w:r w:rsidR="00B038F5" w:rsidRPr="00813D19">
        <w:rPr>
          <w:lang w:val="en-US"/>
        </w:rPr>
        <w:t>had</w:t>
      </w:r>
      <w:r w:rsidR="00883666" w:rsidRPr="00813D19">
        <w:rPr>
          <w:lang w:val="en-US"/>
        </w:rPr>
        <w:t xml:space="preserve"> helped build networks of cooperation and reciprocity. </w:t>
      </w:r>
      <w:r w:rsidR="007E0B85" w:rsidRPr="00813D19">
        <w:rPr>
          <w:lang w:val="en-US"/>
        </w:rPr>
        <w:t xml:space="preserve">Mr Ascencio </w:t>
      </w:r>
      <w:r w:rsidR="00883666" w:rsidRPr="00813D19">
        <w:rPr>
          <w:lang w:val="en-US"/>
        </w:rPr>
        <w:t>underscore</w:t>
      </w:r>
      <w:r w:rsidR="00C11AAB" w:rsidRPr="00813D19">
        <w:rPr>
          <w:lang w:val="en-US"/>
        </w:rPr>
        <w:t>d</w:t>
      </w:r>
      <w:r w:rsidR="00883666" w:rsidRPr="00813D19">
        <w:rPr>
          <w:lang w:val="en-US"/>
        </w:rPr>
        <w:t xml:space="preserve"> the commitment undertaken by the authorities of Zapopan to safeguard the cultural heritage of the </w:t>
      </w:r>
      <w:r w:rsidR="00B77CD1" w:rsidRPr="00813D19">
        <w:rPr>
          <w:lang w:val="en-US"/>
        </w:rPr>
        <w:t>in</w:t>
      </w:r>
      <w:r w:rsidR="00883666" w:rsidRPr="00813D19">
        <w:rPr>
          <w:lang w:val="en-US"/>
        </w:rPr>
        <w:t>habitants of Zapopan</w:t>
      </w:r>
      <w:r w:rsidR="00B77CD1" w:rsidRPr="00813D19">
        <w:rPr>
          <w:lang w:val="en-US"/>
        </w:rPr>
        <w:t>,</w:t>
      </w:r>
      <w:r w:rsidR="00883666" w:rsidRPr="00813D19">
        <w:rPr>
          <w:lang w:val="en-US"/>
        </w:rPr>
        <w:t xml:space="preserve"> recognizing the important role played </w:t>
      </w:r>
      <w:r w:rsidR="00B77CD1" w:rsidRPr="00813D19">
        <w:rPr>
          <w:lang w:val="en-US"/>
        </w:rPr>
        <w:t xml:space="preserve">in </w:t>
      </w:r>
      <w:r w:rsidR="00883666" w:rsidRPr="00813D19">
        <w:rPr>
          <w:lang w:val="en-US"/>
        </w:rPr>
        <w:t>the preservation of cultural heritage</w:t>
      </w:r>
      <w:r w:rsidR="00B77CD1" w:rsidRPr="00813D19">
        <w:rPr>
          <w:lang w:val="en-US"/>
        </w:rPr>
        <w:t>,</w:t>
      </w:r>
      <w:r w:rsidR="00883666" w:rsidRPr="00813D19">
        <w:rPr>
          <w:lang w:val="en-US"/>
        </w:rPr>
        <w:t xml:space="preserve"> as well as </w:t>
      </w:r>
      <w:r w:rsidR="00B77CD1" w:rsidRPr="00813D19">
        <w:rPr>
          <w:lang w:val="en-US"/>
        </w:rPr>
        <w:t xml:space="preserve">for </w:t>
      </w:r>
      <w:r w:rsidR="00883666" w:rsidRPr="00813D19">
        <w:rPr>
          <w:lang w:val="en-US"/>
        </w:rPr>
        <w:t>strengthening community b</w:t>
      </w:r>
      <w:r w:rsidR="00B77CD1" w:rsidRPr="00813D19">
        <w:rPr>
          <w:lang w:val="en-US"/>
        </w:rPr>
        <w:t>onds as fundamental factors in e</w:t>
      </w:r>
      <w:r w:rsidR="00883666" w:rsidRPr="00813D19">
        <w:rPr>
          <w:lang w:val="en-US"/>
        </w:rPr>
        <w:t xml:space="preserve">nsuring sustainable development. </w:t>
      </w:r>
      <w:r w:rsidR="00B77CD1" w:rsidRPr="00813D19">
        <w:rPr>
          <w:lang w:val="en-US"/>
        </w:rPr>
        <w:t xml:space="preserve">The delegation was </w:t>
      </w:r>
      <w:r w:rsidR="00883666" w:rsidRPr="00813D19">
        <w:rPr>
          <w:lang w:val="en-US"/>
        </w:rPr>
        <w:t>committed to continuing and strengthening this perspective</w:t>
      </w:r>
      <w:r w:rsidR="003D53B3">
        <w:rPr>
          <w:lang w:val="en-US"/>
        </w:rPr>
        <w:t>.</w:t>
      </w:r>
    </w:p>
    <w:p w14:paraId="684A06B9" w14:textId="1D55057E" w:rsidR="007E03B5" w:rsidRPr="00813D19" w:rsidRDefault="005E7D7B" w:rsidP="00885A52">
      <w:pPr>
        <w:pStyle w:val="Orateurengris"/>
        <w:spacing w:before="120"/>
        <w:ind w:left="709" w:hanging="709"/>
        <w:rPr>
          <w:lang w:val="en-US"/>
        </w:rPr>
      </w:pPr>
      <w:r w:rsidRPr="00813D19">
        <w:rPr>
          <w:lang w:val="en-US"/>
        </w:rPr>
        <w:t xml:space="preserve">The </w:t>
      </w:r>
      <w:r w:rsidRPr="00813D19">
        <w:rPr>
          <w:b/>
          <w:lang w:val="en-US"/>
        </w:rPr>
        <w:t>delegation of Mexico</w:t>
      </w:r>
      <w:r w:rsidR="007E0B85" w:rsidRPr="00813D19">
        <w:rPr>
          <w:lang w:val="en-US"/>
        </w:rPr>
        <w:t xml:space="preserve"> [a dancer of the bearer community] </w:t>
      </w:r>
      <w:r w:rsidR="00B77CD1" w:rsidRPr="00813D19">
        <w:rPr>
          <w:lang w:val="en-US"/>
        </w:rPr>
        <w:t xml:space="preserve">spoke as </w:t>
      </w:r>
      <w:r w:rsidR="007E0B85" w:rsidRPr="00813D19">
        <w:rPr>
          <w:lang w:val="en-US"/>
        </w:rPr>
        <w:t>a representative</w:t>
      </w:r>
      <w:r w:rsidR="00883666" w:rsidRPr="00813D19">
        <w:rPr>
          <w:lang w:val="en-US"/>
        </w:rPr>
        <w:t xml:space="preserve"> of all the communities and groups</w:t>
      </w:r>
      <w:r w:rsidR="00B038F5" w:rsidRPr="00813D19">
        <w:rPr>
          <w:lang w:val="en-US"/>
        </w:rPr>
        <w:t xml:space="preserve"> that make La Romería possible </w:t>
      </w:r>
      <w:r w:rsidR="00883666" w:rsidRPr="00813D19">
        <w:rPr>
          <w:lang w:val="en-US"/>
        </w:rPr>
        <w:t>year after year</w:t>
      </w:r>
      <w:r w:rsidR="00B038F5" w:rsidRPr="00813D19">
        <w:rPr>
          <w:lang w:val="en-US"/>
        </w:rPr>
        <w:t>,</w:t>
      </w:r>
      <w:r w:rsidR="00883666" w:rsidRPr="00813D19">
        <w:rPr>
          <w:lang w:val="en-US"/>
        </w:rPr>
        <w:t xml:space="preserve"> physically and spiritually. </w:t>
      </w:r>
      <w:r w:rsidR="00B038F5" w:rsidRPr="00813D19">
        <w:rPr>
          <w:lang w:val="en-US"/>
        </w:rPr>
        <w:t xml:space="preserve">The bearers </w:t>
      </w:r>
      <w:r w:rsidR="00883666" w:rsidRPr="00813D19">
        <w:rPr>
          <w:lang w:val="en-US"/>
        </w:rPr>
        <w:t xml:space="preserve">try out different sounds and prepare clothing to accompany the Virgin of Zapopan after having visited </w:t>
      </w:r>
      <w:r w:rsidR="00B038F5" w:rsidRPr="00813D19">
        <w:rPr>
          <w:lang w:val="en-US"/>
        </w:rPr>
        <w:t xml:space="preserve">the </w:t>
      </w:r>
      <w:r w:rsidR="00883666" w:rsidRPr="00813D19">
        <w:rPr>
          <w:lang w:val="en-US"/>
        </w:rPr>
        <w:t xml:space="preserve">many communities in the metropolitan area of Guadalajara. The dance is part of </w:t>
      </w:r>
      <w:r w:rsidR="00B038F5" w:rsidRPr="00813D19">
        <w:rPr>
          <w:lang w:val="en-US"/>
        </w:rPr>
        <w:t xml:space="preserve">the </w:t>
      </w:r>
      <w:r w:rsidR="008F1CD3" w:rsidRPr="00813D19">
        <w:rPr>
          <w:lang w:val="en-US"/>
        </w:rPr>
        <w:t>bearers</w:t>
      </w:r>
      <w:r w:rsidR="00883666" w:rsidRPr="00813D19">
        <w:rPr>
          <w:lang w:val="en-US"/>
        </w:rPr>
        <w:t xml:space="preserve">, part of </w:t>
      </w:r>
      <w:r w:rsidR="008F1CD3" w:rsidRPr="00813D19">
        <w:rPr>
          <w:lang w:val="en-US"/>
        </w:rPr>
        <w:t xml:space="preserve">its </w:t>
      </w:r>
      <w:r w:rsidR="00883666" w:rsidRPr="00813D19">
        <w:rPr>
          <w:lang w:val="en-US"/>
        </w:rPr>
        <w:t>origins</w:t>
      </w:r>
      <w:r w:rsidR="008F1CD3" w:rsidRPr="00813D19">
        <w:rPr>
          <w:lang w:val="en-US"/>
        </w:rPr>
        <w:t xml:space="preserve"> and its </w:t>
      </w:r>
      <w:r w:rsidR="00883666" w:rsidRPr="00813D19">
        <w:rPr>
          <w:lang w:val="en-US"/>
        </w:rPr>
        <w:t xml:space="preserve">convictions. Dance is an offering. </w:t>
      </w:r>
      <w:r w:rsidR="008F1CD3" w:rsidRPr="00813D19">
        <w:rPr>
          <w:lang w:val="en-US"/>
        </w:rPr>
        <w:t xml:space="preserve">The bearers </w:t>
      </w:r>
      <w:r w:rsidR="00883666" w:rsidRPr="00813D19">
        <w:rPr>
          <w:lang w:val="en-US"/>
        </w:rPr>
        <w:t xml:space="preserve">keep </w:t>
      </w:r>
      <w:r w:rsidR="001E658A" w:rsidRPr="00813D19">
        <w:rPr>
          <w:lang w:val="en-US"/>
        </w:rPr>
        <w:t>the</w:t>
      </w:r>
      <w:r w:rsidR="00883666" w:rsidRPr="00813D19">
        <w:rPr>
          <w:lang w:val="en-US"/>
        </w:rPr>
        <w:t xml:space="preserve"> tradition alive </w:t>
      </w:r>
      <w:r w:rsidR="001E658A" w:rsidRPr="00813D19">
        <w:rPr>
          <w:lang w:val="en-US"/>
        </w:rPr>
        <w:t xml:space="preserve">by transmitting the practice </w:t>
      </w:r>
      <w:r w:rsidR="00883666" w:rsidRPr="00813D19">
        <w:rPr>
          <w:lang w:val="en-US"/>
        </w:rPr>
        <w:t xml:space="preserve">through </w:t>
      </w:r>
      <w:r w:rsidR="001E658A" w:rsidRPr="00813D19">
        <w:rPr>
          <w:lang w:val="en-US"/>
        </w:rPr>
        <w:t>their children</w:t>
      </w:r>
      <w:r w:rsidR="00883666" w:rsidRPr="00813D19">
        <w:rPr>
          <w:lang w:val="en-US"/>
        </w:rPr>
        <w:t xml:space="preserve">. </w:t>
      </w:r>
      <w:r w:rsidR="000D5743" w:rsidRPr="00813D19">
        <w:rPr>
          <w:lang w:val="en-US"/>
        </w:rPr>
        <w:t>La Romería belonged</w:t>
      </w:r>
      <w:r w:rsidR="00E67B19">
        <w:rPr>
          <w:lang w:val="en-US"/>
        </w:rPr>
        <w:t xml:space="preserve"> to</w:t>
      </w:r>
      <w:r w:rsidR="000D5743" w:rsidRPr="00813D19">
        <w:rPr>
          <w:lang w:val="en-US"/>
        </w:rPr>
        <w:t xml:space="preserve"> the communities </w:t>
      </w:r>
      <w:r w:rsidR="00883666" w:rsidRPr="00813D19">
        <w:rPr>
          <w:lang w:val="en-US"/>
        </w:rPr>
        <w:t>today</w:t>
      </w:r>
      <w:r w:rsidR="000D5743" w:rsidRPr="00813D19">
        <w:rPr>
          <w:lang w:val="en-US"/>
        </w:rPr>
        <w:t>,</w:t>
      </w:r>
      <w:r w:rsidR="00883666" w:rsidRPr="00813D19">
        <w:rPr>
          <w:lang w:val="en-US"/>
        </w:rPr>
        <w:t xml:space="preserve"> but tomorrow </w:t>
      </w:r>
      <w:r w:rsidR="000D5743" w:rsidRPr="00813D19">
        <w:rPr>
          <w:lang w:val="en-US"/>
        </w:rPr>
        <w:t xml:space="preserve">it </w:t>
      </w:r>
      <w:r w:rsidR="00E67B19">
        <w:rPr>
          <w:lang w:val="en-US"/>
        </w:rPr>
        <w:t xml:space="preserve">would </w:t>
      </w:r>
      <w:r w:rsidR="00883666" w:rsidRPr="00813D19">
        <w:rPr>
          <w:lang w:val="en-US"/>
        </w:rPr>
        <w:t>belong to posterity</w:t>
      </w:r>
      <w:r w:rsidR="000D5743" w:rsidRPr="00813D19">
        <w:rPr>
          <w:lang w:val="en-US"/>
        </w:rPr>
        <w:t xml:space="preserve">. The active </w:t>
      </w:r>
      <w:r w:rsidR="00883666" w:rsidRPr="00813D19">
        <w:rPr>
          <w:lang w:val="en-US"/>
        </w:rPr>
        <w:t xml:space="preserve">participation </w:t>
      </w:r>
      <w:r w:rsidR="000D5743" w:rsidRPr="00813D19">
        <w:rPr>
          <w:lang w:val="en-US"/>
        </w:rPr>
        <w:t xml:space="preserve">of the communities </w:t>
      </w:r>
      <w:r w:rsidR="00883666" w:rsidRPr="00813D19">
        <w:rPr>
          <w:lang w:val="en-US"/>
        </w:rPr>
        <w:t>when drafting the nomination file and the</w:t>
      </w:r>
      <w:r w:rsidR="007E0B85" w:rsidRPr="00813D19">
        <w:rPr>
          <w:lang w:val="en-US"/>
        </w:rPr>
        <w:t>ir</w:t>
      </w:r>
      <w:r w:rsidR="00883666" w:rsidRPr="00813D19">
        <w:rPr>
          <w:lang w:val="en-US"/>
        </w:rPr>
        <w:t xml:space="preserve"> explicit consent </w:t>
      </w:r>
      <w:r w:rsidR="000D5743" w:rsidRPr="00813D19">
        <w:rPr>
          <w:lang w:val="en-US"/>
        </w:rPr>
        <w:t xml:space="preserve">gave them </w:t>
      </w:r>
      <w:r w:rsidR="00883666" w:rsidRPr="00813D19">
        <w:rPr>
          <w:lang w:val="en-US"/>
        </w:rPr>
        <w:t xml:space="preserve">hope that the inscription </w:t>
      </w:r>
      <w:r w:rsidR="00E67B19">
        <w:rPr>
          <w:lang w:val="en-US"/>
        </w:rPr>
        <w:t>would</w:t>
      </w:r>
      <w:r w:rsidR="00E67B19" w:rsidRPr="00813D19">
        <w:rPr>
          <w:lang w:val="en-US"/>
        </w:rPr>
        <w:t xml:space="preserve"> </w:t>
      </w:r>
      <w:r w:rsidR="00883666" w:rsidRPr="00813D19">
        <w:rPr>
          <w:lang w:val="en-US"/>
        </w:rPr>
        <w:t xml:space="preserve">serve to guarantee a long life </w:t>
      </w:r>
      <w:r w:rsidR="00E67B19">
        <w:rPr>
          <w:lang w:val="en-US"/>
        </w:rPr>
        <w:t>for</w:t>
      </w:r>
      <w:r w:rsidR="00E67B19" w:rsidRPr="00813D19">
        <w:rPr>
          <w:lang w:val="en-US"/>
        </w:rPr>
        <w:t xml:space="preserve"> </w:t>
      </w:r>
      <w:r w:rsidR="000D5743" w:rsidRPr="00813D19">
        <w:rPr>
          <w:lang w:val="en-US"/>
        </w:rPr>
        <w:t>the</w:t>
      </w:r>
      <w:r w:rsidR="00883666" w:rsidRPr="00813D19">
        <w:rPr>
          <w:lang w:val="en-US"/>
        </w:rPr>
        <w:t xml:space="preserve"> tradition</w:t>
      </w:r>
      <w:r w:rsidR="000D5743" w:rsidRPr="00813D19">
        <w:rPr>
          <w:lang w:val="en-US"/>
        </w:rPr>
        <w:t>.</w:t>
      </w:r>
    </w:p>
    <w:p w14:paraId="6FABC180" w14:textId="566EFE7A" w:rsidR="00CD5A73" w:rsidRPr="003D53B3" w:rsidRDefault="00BB01E7" w:rsidP="00BB01E7">
      <w:pPr>
        <w:pStyle w:val="Orateurengris"/>
        <w:spacing w:before="120"/>
        <w:ind w:left="709" w:hanging="709"/>
        <w:rPr>
          <w:rFonts w:eastAsia="Times New Roman"/>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E67B19">
        <w:rPr>
          <w:color w:val="000000" w:themeColor="text1"/>
          <w:lang w:val="en-US"/>
        </w:rPr>
        <w:t>,</w:t>
      </w:r>
      <w:r w:rsidRPr="00813D19">
        <w:rPr>
          <w:color w:val="000000" w:themeColor="text1"/>
          <w:lang w:val="en-US"/>
        </w:rPr>
        <w:t xml:space="preserve"> </w:t>
      </w:r>
      <w:r w:rsidRPr="00813D19">
        <w:rPr>
          <w:b/>
          <w:color w:val="000000" w:themeColor="text1"/>
          <w:lang w:val="en-US"/>
        </w:rPr>
        <w:t xml:space="preserve">Horse and camel Ardhah </w:t>
      </w:r>
      <w:r w:rsidRPr="00813D19">
        <w:rPr>
          <w:color w:val="000000" w:themeColor="text1"/>
          <w:lang w:val="en-US"/>
        </w:rPr>
        <w:t>[draft decision 13.COM 10.b.27]</w:t>
      </w:r>
      <w:r w:rsidR="00E67B19">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Oman</w:t>
      </w:r>
      <w:r w:rsidRPr="00813D19">
        <w:rPr>
          <w:color w:val="000000" w:themeColor="text1"/>
          <w:lang w:val="en-US"/>
        </w:rPr>
        <w:t xml:space="preserve">. </w:t>
      </w:r>
      <w:r w:rsidR="00CD5A73" w:rsidRPr="00813D19">
        <w:rPr>
          <w:lang w:val="en-US"/>
        </w:rPr>
        <w:t>Horse and camel Ardhah is practised across many regions of Oman. People gather around the racecourse to watch shows by horse and camel riders that reflect Omani people’s skill in dealing with and taming the animals.</w:t>
      </w:r>
      <w:r w:rsidR="006079F1" w:rsidRPr="00813D19">
        <w:rPr>
          <w:lang w:val="en-US"/>
        </w:rPr>
        <w:t xml:space="preserve"> </w:t>
      </w:r>
      <w:r w:rsidR="00CD5A73" w:rsidRPr="00813D19">
        <w:rPr>
          <w:lang w:val="en-US"/>
        </w:rPr>
        <w:t>From the information included in the file, the nomination sat</w:t>
      </w:r>
      <w:r w:rsidR="00CC1A00" w:rsidRPr="00813D19">
        <w:rPr>
          <w:lang w:val="en-US"/>
        </w:rPr>
        <w:t>isfied</w:t>
      </w:r>
      <w:r w:rsidR="00CD5A73" w:rsidRPr="00813D19">
        <w:rPr>
          <w:lang w:val="en-US"/>
        </w:rPr>
        <w:t xml:space="preserve"> all five criteria. The Evaluation Body considered that</w:t>
      </w:r>
      <w:r w:rsidR="00CD5A73" w:rsidRPr="00813D19">
        <w:rPr>
          <w:b/>
          <w:lang w:val="en-US"/>
        </w:rPr>
        <w:t xml:space="preserve"> </w:t>
      </w:r>
      <w:r w:rsidR="00CD5A73" w:rsidRPr="00813D19">
        <w:rPr>
          <w:lang w:val="en-US"/>
        </w:rPr>
        <w:t>Horse and camel Ardhah is a social and cultural activity in rural and urban areas in Omani society</w:t>
      </w:r>
      <w:r w:rsidR="00847DD4" w:rsidRPr="00813D19">
        <w:rPr>
          <w:lang w:val="en-US"/>
        </w:rPr>
        <w:t>,</w:t>
      </w:r>
      <w:r w:rsidR="00CD5A73" w:rsidRPr="00813D19">
        <w:rPr>
          <w:lang w:val="en-US"/>
        </w:rPr>
        <w:t xml:space="preserve"> and a source of pride embodying a message of respect and peace. </w:t>
      </w:r>
      <w:r w:rsidR="00673736" w:rsidRPr="00813D19">
        <w:rPr>
          <w:lang w:val="en-US"/>
        </w:rPr>
        <w:t>The s</w:t>
      </w:r>
      <w:r w:rsidR="00CD5A73" w:rsidRPr="00813D19">
        <w:rPr>
          <w:lang w:val="en-US"/>
        </w:rPr>
        <w:t>afeguarding measures pr</w:t>
      </w:r>
      <w:r w:rsidR="00673736" w:rsidRPr="00813D19">
        <w:rPr>
          <w:lang w:val="en-US"/>
        </w:rPr>
        <w:t xml:space="preserve">oposed </w:t>
      </w:r>
      <w:r w:rsidR="00E67B19">
        <w:rPr>
          <w:lang w:val="en-US"/>
        </w:rPr>
        <w:t xml:space="preserve">were </w:t>
      </w:r>
      <w:r w:rsidR="00673736" w:rsidRPr="00813D19">
        <w:rPr>
          <w:lang w:val="en-US"/>
        </w:rPr>
        <w:t>aimed</w:t>
      </w:r>
      <w:r w:rsidR="00CD5A73" w:rsidRPr="00813D19">
        <w:rPr>
          <w:lang w:val="en-US"/>
        </w:rPr>
        <w:t xml:space="preserve"> at strengthening the transmission of Alardhah, its promotion and related scientific research and documentation.</w:t>
      </w:r>
      <w:r w:rsidR="00673736" w:rsidRPr="00813D19">
        <w:rPr>
          <w:lang w:val="en-US"/>
        </w:rPr>
        <w:t xml:space="preserve"> </w:t>
      </w:r>
      <w:r w:rsidR="00CD5A73" w:rsidRPr="00813D19">
        <w:rPr>
          <w:lang w:val="en-US"/>
        </w:rPr>
        <w:t>The nomination of Alardhah was initiated by the practitioners and civil society with the active and continuous involvement of the community.</w:t>
      </w:r>
      <w:r w:rsidR="006079F1" w:rsidRPr="00813D19">
        <w:rPr>
          <w:lang w:val="en-US"/>
        </w:rPr>
        <w:t xml:space="preserve"> </w:t>
      </w:r>
      <w:r w:rsidR="00CD5A73" w:rsidRPr="00813D19">
        <w:rPr>
          <w:lang w:val="en-US"/>
        </w:rPr>
        <w:t>The Evaluation Body remind</w:t>
      </w:r>
      <w:r w:rsidR="00673736" w:rsidRPr="00813D19">
        <w:rPr>
          <w:lang w:val="en-US"/>
        </w:rPr>
        <w:t>ed</w:t>
      </w:r>
      <w:r w:rsidR="00CD5A73" w:rsidRPr="00813D19">
        <w:rPr>
          <w:lang w:val="en-US"/>
        </w:rPr>
        <w:t xml:space="preserve"> the State that updating is an important part of the </w:t>
      </w:r>
      <w:r w:rsidR="00673736" w:rsidRPr="00813D19">
        <w:rPr>
          <w:lang w:val="en-US"/>
        </w:rPr>
        <w:t>inventorying process and invited</w:t>
      </w:r>
      <w:r w:rsidR="00CD5A73" w:rsidRPr="00813D19">
        <w:rPr>
          <w:lang w:val="en-US"/>
        </w:rPr>
        <w:t xml:space="preserve"> it to include information concerning this aspect in its next periodic report.</w:t>
      </w:r>
      <w:r w:rsidR="006079F1" w:rsidRPr="00813D19">
        <w:rPr>
          <w:lang w:val="en-US"/>
        </w:rPr>
        <w:t xml:space="preserve"> </w:t>
      </w:r>
      <w:r w:rsidR="00CC1A00" w:rsidRPr="00813D19">
        <w:rPr>
          <w:lang w:val="en-US"/>
        </w:rPr>
        <w:t>The Evaluation Body recommended</w:t>
      </w:r>
      <w:r w:rsidR="00CD5A73" w:rsidRPr="00813D19">
        <w:rPr>
          <w:lang w:val="en-US"/>
        </w:rPr>
        <w:t xml:space="preserve"> that the Committee inscribe Horse and camel Ardhah on the Representative List</w:t>
      </w:r>
      <w:r w:rsidR="00CD5A73" w:rsidRPr="003D53B3">
        <w:rPr>
          <w:lang w:val="en-US"/>
        </w:rPr>
        <w:t>.</w:t>
      </w:r>
    </w:p>
    <w:p w14:paraId="7485EAB3" w14:textId="522DB11C" w:rsidR="00FC01C8" w:rsidRPr="00813D19" w:rsidRDefault="00FC01C8" w:rsidP="00FC01C8">
      <w:pPr>
        <w:pStyle w:val="Orateurengris"/>
        <w:spacing w:before="120"/>
        <w:ind w:left="709" w:hanging="709"/>
        <w:rPr>
          <w:lang w:val="en-US"/>
        </w:rPr>
      </w:pPr>
      <w:r w:rsidRPr="00813D19">
        <w:rPr>
          <w:lang w:val="en-US"/>
        </w:rPr>
        <w:t xml:space="preserve">The </w:t>
      </w:r>
      <w:r w:rsidRPr="00813D19">
        <w:rPr>
          <w:b/>
          <w:lang w:val="en-US"/>
        </w:rPr>
        <w:t>Vice-Chairperson</w:t>
      </w:r>
      <w:r w:rsidRPr="00813D19">
        <w:rPr>
          <w:lang w:val="en-US"/>
        </w:rPr>
        <w:t xml:space="preserve"> noted that no amendments had been received </w:t>
      </w:r>
      <w:r w:rsidRPr="00813D19">
        <w:rPr>
          <w:color w:val="000000" w:themeColor="text1"/>
          <w:lang w:val="en-US"/>
        </w:rPr>
        <w:t>for this nomination.</w:t>
      </w:r>
    </w:p>
    <w:p w14:paraId="4F932AC2" w14:textId="61C0631A" w:rsidR="008C3A7B" w:rsidRPr="003D53B3" w:rsidRDefault="00FC01C8" w:rsidP="00FC01C8">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8C3A7B" w:rsidRPr="00813D19">
        <w:rPr>
          <w:b/>
          <w:lang w:val="en-US"/>
        </w:rPr>
        <w:t>Vice-Chairperson</w:t>
      </w:r>
      <w:r w:rsidR="008C3A7B" w:rsidRPr="00813D19">
        <w:rPr>
          <w:lang w:val="en-US"/>
        </w:rPr>
        <w:t xml:space="preserve"> </w:t>
      </w:r>
      <w:r w:rsidR="008C3A7B" w:rsidRPr="00813D19">
        <w:rPr>
          <w:b/>
          <w:lang w:val="en-US"/>
        </w:rPr>
        <w:t xml:space="preserve">declared Decision </w:t>
      </w:r>
      <w:hyperlink r:id="rId126" w:history="1">
        <w:r w:rsidR="008C3A7B" w:rsidRPr="00813D19">
          <w:rPr>
            <w:rStyle w:val="Hyperlink"/>
            <w:b/>
            <w:lang w:val="en-US"/>
          </w:rPr>
          <w:t>13.COM</w:t>
        </w:r>
        <w:r w:rsidR="00992896">
          <w:rPr>
            <w:rStyle w:val="Hyperlink"/>
            <w:b/>
            <w:lang w:val="en-US"/>
          </w:rPr>
          <w:t> </w:t>
        </w:r>
        <w:r w:rsidR="008C3A7B" w:rsidRPr="00813D19">
          <w:rPr>
            <w:rStyle w:val="Hyperlink"/>
            <w:b/>
            <w:lang w:val="en-US"/>
          </w:rPr>
          <w:t>10.b.27</w:t>
        </w:r>
      </w:hyperlink>
      <w:r w:rsidR="008C3A7B" w:rsidRPr="00813D19">
        <w:rPr>
          <w:b/>
          <w:lang w:val="en-US"/>
        </w:rPr>
        <w:t xml:space="preserve"> adopted to inscribe </w:t>
      </w:r>
      <w:r w:rsidR="008C3A7B" w:rsidRPr="00813D19">
        <w:rPr>
          <w:b/>
          <w:color w:val="000000" w:themeColor="text1"/>
          <w:lang w:val="en-US"/>
        </w:rPr>
        <w:t>Horse and camel Ardhah on the Representative List</w:t>
      </w:r>
      <w:r w:rsidR="008C3A7B" w:rsidRPr="003D53B3">
        <w:rPr>
          <w:bCs/>
          <w:snapToGrid/>
          <w:color w:val="000000" w:themeColor="text1"/>
          <w:lang w:val="en-US"/>
        </w:rPr>
        <w:t>.</w:t>
      </w:r>
    </w:p>
    <w:p w14:paraId="04C67D1F" w14:textId="79BC349B" w:rsidR="001D475D" w:rsidRPr="003D53B3" w:rsidRDefault="001D475D" w:rsidP="001D475D">
      <w:pPr>
        <w:pStyle w:val="Orateurengris"/>
        <w:spacing w:before="120"/>
        <w:ind w:left="709" w:hanging="709"/>
        <w:rPr>
          <w:rFonts w:eastAsia="Times New Roman"/>
          <w:lang w:val="en-US"/>
        </w:rPr>
      </w:pPr>
      <w:r w:rsidRPr="00813D19">
        <w:rPr>
          <w:lang w:val="en-US"/>
        </w:rPr>
        <w:t xml:space="preserve">The </w:t>
      </w:r>
      <w:r w:rsidRPr="00813D19">
        <w:rPr>
          <w:b/>
          <w:lang w:val="en-US"/>
        </w:rPr>
        <w:t>delegation of Oman</w:t>
      </w:r>
      <w:r w:rsidR="00EA3E5E" w:rsidRPr="00813D19">
        <w:rPr>
          <w:b/>
          <w:lang w:val="en-US"/>
        </w:rPr>
        <w:t xml:space="preserve"> </w:t>
      </w:r>
      <w:r w:rsidR="00B77CD1" w:rsidRPr="00813D19">
        <w:rPr>
          <w:bCs/>
          <w:lang w:val="en-US"/>
        </w:rPr>
        <w:t>spoke o</w:t>
      </w:r>
      <w:r w:rsidR="00EA3E5E" w:rsidRPr="00813D19">
        <w:rPr>
          <w:bCs/>
          <w:lang w:val="en-US"/>
        </w:rPr>
        <w:t xml:space="preserve">n behalf of the Omani delegation </w:t>
      </w:r>
      <w:r w:rsidR="007E0B85" w:rsidRPr="00813D19">
        <w:rPr>
          <w:bCs/>
          <w:lang w:val="en-US"/>
        </w:rPr>
        <w:t>to thank the G</w:t>
      </w:r>
      <w:r w:rsidR="00EA3E5E" w:rsidRPr="00813D19">
        <w:rPr>
          <w:bCs/>
          <w:lang w:val="en-US"/>
        </w:rPr>
        <w:t xml:space="preserve">overnment of Mauritius and express </w:t>
      </w:r>
      <w:r w:rsidR="007E0B85" w:rsidRPr="00813D19">
        <w:rPr>
          <w:bCs/>
          <w:lang w:val="en-US"/>
        </w:rPr>
        <w:t xml:space="preserve">its </w:t>
      </w:r>
      <w:r w:rsidR="00EA3E5E" w:rsidRPr="00813D19">
        <w:rPr>
          <w:bCs/>
          <w:lang w:val="en-US"/>
        </w:rPr>
        <w:t xml:space="preserve">appreciation to the Ministry of Culture for the hospitality received. </w:t>
      </w:r>
      <w:r w:rsidR="007E0B85" w:rsidRPr="00813D19">
        <w:rPr>
          <w:bCs/>
          <w:lang w:val="en-US"/>
        </w:rPr>
        <w:t>T</w:t>
      </w:r>
      <w:r w:rsidR="00EA3E5E" w:rsidRPr="00813D19">
        <w:rPr>
          <w:bCs/>
          <w:lang w:val="en-US"/>
        </w:rPr>
        <w:t xml:space="preserve">hanks </w:t>
      </w:r>
      <w:r w:rsidR="007E0B85" w:rsidRPr="00813D19">
        <w:rPr>
          <w:bCs/>
          <w:lang w:val="en-US"/>
        </w:rPr>
        <w:t xml:space="preserve">also went </w:t>
      </w:r>
      <w:r w:rsidR="00EA3E5E" w:rsidRPr="00813D19">
        <w:rPr>
          <w:bCs/>
          <w:lang w:val="en-US"/>
        </w:rPr>
        <w:t>to th</w:t>
      </w:r>
      <w:r w:rsidR="00294B8F" w:rsidRPr="00813D19">
        <w:rPr>
          <w:bCs/>
          <w:lang w:val="en-US"/>
        </w:rPr>
        <w:t>e Secretariat of the Convention</w:t>
      </w:r>
      <w:r w:rsidR="00EA3E5E" w:rsidRPr="00813D19">
        <w:rPr>
          <w:bCs/>
          <w:lang w:val="en-US"/>
        </w:rPr>
        <w:t xml:space="preserve"> </w:t>
      </w:r>
      <w:r w:rsidR="007E0B85" w:rsidRPr="00813D19">
        <w:rPr>
          <w:bCs/>
          <w:lang w:val="en-US"/>
        </w:rPr>
        <w:t xml:space="preserve">and the Secretary </w:t>
      </w:r>
      <w:r w:rsidR="00EA3E5E" w:rsidRPr="00813D19">
        <w:rPr>
          <w:bCs/>
          <w:lang w:val="en-US"/>
        </w:rPr>
        <w:t>for the laudable efforts made in preparing</w:t>
      </w:r>
      <w:r w:rsidR="00E67B19">
        <w:rPr>
          <w:bCs/>
          <w:lang w:val="en-US"/>
        </w:rPr>
        <w:t xml:space="preserve"> for</w:t>
      </w:r>
      <w:r w:rsidR="00EA3E5E" w:rsidRPr="00813D19">
        <w:rPr>
          <w:bCs/>
          <w:lang w:val="en-US"/>
        </w:rPr>
        <w:t xml:space="preserve"> </w:t>
      </w:r>
      <w:r w:rsidR="00294B8F" w:rsidRPr="00813D19">
        <w:rPr>
          <w:bCs/>
          <w:lang w:val="en-US"/>
        </w:rPr>
        <w:t>the</w:t>
      </w:r>
      <w:r w:rsidR="00EA3E5E" w:rsidRPr="00813D19">
        <w:rPr>
          <w:bCs/>
          <w:lang w:val="en-US"/>
        </w:rPr>
        <w:t xml:space="preserve"> session. </w:t>
      </w:r>
      <w:r w:rsidR="007E0B85" w:rsidRPr="00813D19">
        <w:rPr>
          <w:bCs/>
          <w:lang w:val="en-US"/>
        </w:rPr>
        <w:t xml:space="preserve">The delegation </w:t>
      </w:r>
      <w:r w:rsidR="00EA3E5E" w:rsidRPr="00813D19">
        <w:rPr>
          <w:bCs/>
          <w:lang w:val="en-US"/>
        </w:rPr>
        <w:t>congratulate</w:t>
      </w:r>
      <w:r w:rsidR="007E0B85" w:rsidRPr="00813D19">
        <w:rPr>
          <w:bCs/>
          <w:lang w:val="en-US"/>
        </w:rPr>
        <w:t>d</w:t>
      </w:r>
      <w:r w:rsidR="00EA3E5E" w:rsidRPr="00813D19">
        <w:rPr>
          <w:bCs/>
          <w:lang w:val="en-US"/>
        </w:rPr>
        <w:t xml:space="preserve"> all </w:t>
      </w:r>
      <w:r w:rsidR="007E0B85" w:rsidRPr="00813D19">
        <w:rPr>
          <w:bCs/>
          <w:lang w:val="en-US"/>
        </w:rPr>
        <w:t xml:space="preserve">the </w:t>
      </w:r>
      <w:r w:rsidR="00EA3E5E" w:rsidRPr="00813D19">
        <w:rPr>
          <w:bCs/>
          <w:lang w:val="en-US"/>
        </w:rPr>
        <w:t>Member States that were successful in inscribing</w:t>
      </w:r>
      <w:r w:rsidR="007E0B85" w:rsidRPr="00813D19">
        <w:rPr>
          <w:bCs/>
          <w:lang w:val="en-US"/>
        </w:rPr>
        <w:t xml:space="preserve"> their elements on the List, as well as </w:t>
      </w:r>
      <w:r w:rsidR="00EA3E5E" w:rsidRPr="00813D19">
        <w:rPr>
          <w:bCs/>
          <w:lang w:val="en-US"/>
        </w:rPr>
        <w:t xml:space="preserve">the Evaluation Body for its serious work in examining the various reports. </w:t>
      </w:r>
      <w:r w:rsidR="007E0B85" w:rsidRPr="00813D19">
        <w:rPr>
          <w:bCs/>
          <w:lang w:val="en-US"/>
        </w:rPr>
        <w:t>T</w:t>
      </w:r>
      <w:r w:rsidR="00EA3E5E" w:rsidRPr="00813D19">
        <w:rPr>
          <w:bCs/>
          <w:lang w:val="en-US"/>
        </w:rPr>
        <w:t>he Sultanate of Oman is one of the countries</w:t>
      </w:r>
      <w:r w:rsidR="00E67B19">
        <w:rPr>
          <w:bCs/>
          <w:lang w:val="en-US"/>
        </w:rPr>
        <w:t xml:space="preserve"> that is</w:t>
      </w:r>
      <w:r w:rsidR="00EA3E5E" w:rsidRPr="00813D19">
        <w:rPr>
          <w:bCs/>
          <w:lang w:val="en-US"/>
        </w:rPr>
        <w:t xml:space="preserve"> rich in intangible heritage. It was among the first countries </w:t>
      </w:r>
      <w:r w:rsidR="00E67B19">
        <w:rPr>
          <w:bCs/>
          <w:lang w:val="en-US"/>
        </w:rPr>
        <w:t>to</w:t>
      </w:r>
      <w:r w:rsidR="00EA3E5E" w:rsidRPr="00813D19">
        <w:rPr>
          <w:bCs/>
          <w:lang w:val="en-US"/>
        </w:rPr>
        <w:t xml:space="preserve"> sign</w:t>
      </w:r>
      <w:r w:rsidR="007E0B85" w:rsidRPr="00813D19">
        <w:rPr>
          <w:bCs/>
          <w:lang w:val="en-US"/>
        </w:rPr>
        <w:t xml:space="preserve"> the Convention back in 2005, and it </w:t>
      </w:r>
      <w:r w:rsidR="00E67B19" w:rsidRPr="00813D19">
        <w:rPr>
          <w:bCs/>
          <w:lang w:val="en-US"/>
        </w:rPr>
        <w:t>work</w:t>
      </w:r>
      <w:r w:rsidR="00E67B19">
        <w:rPr>
          <w:bCs/>
          <w:lang w:val="en-US"/>
        </w:rPr>
        <w:t>ed</w:t>
      </w:r>
      <w:r w:rsidR="00E67B19" w:rsidRPr="00813D19">
        <w:rPr>
          <w:bCs/>
          <w:lang w:val="en-US"/>
        </w:rPr>
        <w:t xml:space="preserve"> </w:t>
      </w:r>
      <w:r w:rsidR="00EA3E5E" w:rsidRPr="00813D19">
        <w:rPr>
          <w:bCs/>
          <w:lang w:val="en-US"/>
        </w:rPr>
        <w:t xml:space="preserve">on the basis of </w:t>
      </w:r>
      <w:r w:rsidR="007E0B85" w:rsidRPr="00813D19">
        <w:rPr>
          <w:bCs/>
          <w:lang w:val="en-US"/>
        </w:rPr>
        <w:t xml:space="preserve">a </w:t>
      </w:r>
      <w:r w:rsidR="00EA3E5E" w:rsidRPr="00813D19">
        <w:rPr>
          <w:bCs/>
          <w:lang w:val="en-US"/>
        </w:rPr>
        <w:t xml:space="preserve">well-documented and studied plan. </w:t>
      </w:r>
      <w:r w:rsidR="007E0B85" w:rsidRPr="00813D19">
        <w:rPr>
          <w:bCs/>
          <w:lang w:val="en-US"/>
        </w:rPr>
        <w:t xml:space="preserve">Oman </w:t>
      </w:r>
      <w:r w:rsidR="00EA3E5E" w:rsidRPr="00813D19">
        <w:rPr>
          <w:bCs/>
          <w:lang w:val="en-US"/>
        </w:rPr>
        <w:t>attach</w:t>
      </w:r>
      <w:r w:rsidR="007E0B85" w:rsidRPr="00813D19">
        <w:rPr>
          <w:bCs/>
          <w:lang w:val="en-US"/>
        </w:rPr>
        <w:t>ed</w:t>
      </w:r>
      <w:r w:rsidR="00EA3E5E" w:rsidRPr="00813D19">
        <w:rPr>
          <w:bCs/>
          <w:lang w:val="en-US"/>
        </w:rPr>
        <w:t xml:space="preserve"> great importance to </w:t>
      </w:r>
      <w:r w:rsidR="007E0B85" w:rsidRPr="00813D19">
        <w:rPr>
          <w:bCs/>
          <w:lang w:val="en-US"/>
        </w:rPr>
        <w:t xml:space="preserve">intangible heritage, and </w:t>
      </w:r>
      <w:r w:rsidR="00EA3E5E" w:rsidRPr="00813D19">
        <w:rPr>
          <w:bCs/>
          <w:lang w:val="en-US"/>
        </w:rPr>
        <w:t>promote</w:t>
      </w:r>
      <w:r w:rsidR="007E0B85" w:rsidRPr="00813D19">
        <w:rPr>
          <w:bCs/>
          <w:lang w:val="en-US"/>
        </w:rPr>
        <w:t>d</w:t>
      </w:r>
      <w:r w:rsidR="00EA3E5E" w:rsidRPr="00813D19">
        <w:rPr>
          <w:bCs/>
          <w:lang w:val="en-US"/>
        </w:rPr>
        <w:t xml:space="preserve"> the role of communities and practitioners in the safeguarding of intangible cultural heritage. </w:t>
      </w:r>
      <w:r w:rsidR="007E0B85" w:rsidRPr="00813D19">
        <w:rPr>
          <w:bCs/>
          <w:lang w:val="en-US"/>
        </w:rPr>
        <w:t xml:space="preserve">The country also </w:t>
      </w:r>
      <w:r w:rsidR="00EA3E5E" w:rsidRPr="00813D19">
        <w:rPr>
          <w:bCs/>
          <w:lang w:val="en-US"/>
        </w:rPr>
        <w:t>integrate</w:t>
      </w:r>
      <w:r w:rsidR="007E0B85" w:rsidRPr="00813D19">
        <w:rPr>
          <w:bCs/>
          <w:lang w:val="en-US"/>
        </w:rPr>
        <w:t>d</w:t>
      </w:r>
      <w:r w:rsidR="00EA3E5E" w:rsidRPr="00813D19">
        <w:rPr>
          <w:bCs/>
          <w:lang w:val="en-US"/>
        </w:rPr>
        <w:t xml:space="preserve"> the</w:t>
      </w:r>
      <w:r w:rsidR="007E0B85" w:rsidRPr="00813D19">
        <w:rPr>
          <w:bCs/>
          <w:lang w:val="en-US"/>
        </w:rPr>
        <w:t>se</w:t>
      </w:r>
      <w:r w:rsidR="00EA3E5E" w:rsidRPr="00813D19">
        <w:rPr>
          <w:bCs/>
          <w:lang w:val="en-US"/>
        </w:rPr>
        <w:t xml:space="preserve"> </w:t>
      </w:r>
      <w:r w:rsidR="007E0B85" w:rsidRPr="00813D19">
        <w:rPr>
          <w:bCs/>
          <w:lang w:val="en-US"/>
        </w:rPr>
        <w:t xml:space="preserve">interrelated </w:t>
      </w:r>
      <w:r w:rsidR="00EA3E5E" w:rsidRPr="00813D19">
        <w:rPr>
          <w:bCs/>
          <w:lang w:val="en-US"/>
        </w:rPr>
        <w:t xml:space="preserve">concepts </w:t>
      </w:r>
      <w:r w:rsidR="00E67B19">
        <w:rPr>
          <w:bCs/>
          <w:lang w:val="en-US"/>
        </w:rPr>
        <w:t>in</w:t>
      </w:r>
      <w:r w:rsidR="00EA3E5E" w:rsidRPr="00813D19">
        <w:rPr>
          <w:bCs/>
          <w:lang w:val="en-US"/>
        </w:rPr>
        <w:t>to safeguarding cultural he</w:t>
      </w:r>
      <w:r w:rsidR="00294B8F" w:rsidRPr="00813D19">
        <w:rPr>
          <w:bCs/>
          <w:lang w:val="en-US"/>
        </w:rPr>
        <w:t xml:space="preserve">ritage in the school curricula, and it </w:t>
      </w:r>
      <w:r w:rsidR="00EA3E5E" w:rsidRPr="00813D19">
        <w:rPr>
          <w:bCs/>
          <w:lang w:val="en-US"/>
        </w:rPr>
        <w:t>promote</w:t>
      </w:r>
      <w:r w:rsidR="00294B8F" w:rsidRPr="00813D19">
        <w:rPr>
          <w:bCs/>
          <w:lang w:val="en-US"/>
        </w:rPr>
        <w:t>d</w:t>
      </w:r>
      <w:r w:rsidR="00EA3E5E" w:rsidRPr="00813D19">
        <w:rPr>
          <w:bCs/>
          <w:lang w:val="en-US"/>
        </w:rPr>
        <w:t xml:space="preserve"> projects dealing with intangible cultural heritage in </w:t>
      </w:r>
      <w:r w:rsidR="00294B8F" w:rsidRPr="00813D19">
        <w:rPr>
          <w:bCs/>
          <w:lang w:val="en-US"/>
        </w:rPr>
        <w:t xml:space="preserve">its </w:t>
      </w:r>
      <w:r w:rsidR="00EA3E5E" w:rsidRPr="00813D19">
        <w:rPr>
          <w:bCs/>
          <w:lang w:val="en-US"/>
        </w:rPr>
        <w:t xml:space="preserve">development programmes. </w:t>
      </w:r>
      <w:r w:rsidR="00294B8F" w:rsidRPr="00813D19">
        <w:rPr>
          <w:bCs/>
          <w:lang w:val="en-US"/>
        </w:rPr>
        <w:t>H</w:t>
      </w:r>
      <w:r w:rsidR="00EA3E5E" w:rsidRPr="00813D19">
        <w:rPr>
          <w:bCs/>
          <w:lang w:val="en-US"/>
        </w:rPr>
        <w:t xml:space="preserve">orse and camel </w:t>
      </w:r>
      <w:r w:rsidR="00EA3E5E" w:rsidRPr="00813D19">
        <w:rPr>
          <w:lang w:val="en-US"/>
        </w:rPr>
        <w:t xml:space="preserve">Ardhah </w:t>
      </w:r>
      <w:r w:rsidR="00294B8F" w:rsidRPr="00813D19">
        <w:rPr>
          <w:lang w:val="en-US"/>
        </w:rPr>
        <w:t>had now been inscribed</w:t>
      </w:r>
      <w:r w:rsidR="00EA3E5E" w:rsidRPr="00813D19">
        <w:rPr>
          <w:lang w:val="en-US"/>
        </w:rPr>
        <w:t xml:space="preserve"> on the Representative List</w:t>
      </w:r>
      <w:r w:rsidR="00294B8F" w:rsidRPr="00813D19">
        <w:rPr>
          <w:lang w:val="en-US"/>
        </w:rPr>
        <w:t xml:space="preserve">, which was </w:t>
      </w:r>
      <w:r w:rsidR="00EA3E5E" w:rsidRPr="00813D19">
        <w:rPr>
          <w:bCs/>
          <w:lang w:val="en-US"/>
        </w:rPr>
        <w:t xml:space="preserve">indeed a source of happiness and joy for the practitioners. This inscription would </w:t>
      </w:r>
      <w:r w:rsidR="00E67B19">
        <w:rPr>
          <w:bCs/>
          <w:lang w:val="en-US"/>
        </w:rPr>
        <w:t>provide</w:t>
      </w:r>
      <w:r w:rsidR="00E67B19" w:rsidRPr="00813D19">
        <w:rPr>
          <w:bCs/>
          <w:lang w:val="en-US"/>
        </w:rPr>
        <w:t xml:space="preserve"> </w:t>
      </w:r>
      <w:r w:rsidR="00EA3E5E" w:rsidRPr="00813D19">
        <w:rPr>
          <w:bCs/>
          <w:lang w:val="en-US"/>
        </w:rPr>
        <w:t xml:space="preserve">further encouragement </w:t>
      </w:r>
      <w:r w:rsidR="00294B8F" w:rsidRPr="00813D19">
        <w:rPr>
          <w:bCs/>
          <w:lang w:val="en-US"/>
        </w:rPr>
        <w:t xml:space="preserve">for greater </w:t>
      </w:r>
      <w:r w:rsidR="00EA3E5E" w:rsidRPr="00813D19">
        <w:rPr>
          <w:bCs/>
          <w:lang w:val="en-US"/>
        </w:rPr>
        <w:t xml:space="preserve">efforts </w:t>
      </w:r>
      <w:r w:rsidR="00294B8F" w:rsidRPr="00813D19">
        <w:rPr>
          <w:bCs/>
          <w:lang w:val="en-US"/>
        </w:rPr>
        <w:t xml:space="preserve">to safeguard it, and it </w:t>
      </w:r>
      <w:r w:rsidR="00EA3E5E" w:rsidRPr="00813D19">
        <w:rPr>
          <w:bCs/>
          <w:lang w:val="en-US"/>
        </w:rPr>
        <w:t xml:space="preserve">would be included in future development projects in order ascertain </w:t>
      </w:r>
      <w:r w:rsidR="00294B8F" w:rsidRPr="00813D19">
        <w:rPr>
          <w:bCs/>
          <w:lang w:val="en-US"/>
        </w:rPr>
        <w:t xml:space="preserve">its </w:t>
      </w:r>
      <w:r w:rsidR="00EA3E5E" w:rsidRPr="00813D19">
        <w:rPr>
          <w:bCs/>
          <w:lang w:val="en-US"/>
        </w:rPr>
        <w:t xml:space="preserve">proper safeguarding and make sure that it </w:t>
      </w:r>
      <w:r w:rsidR="00E67B19">
        <w:rPr>
          <w:bCs/>
          <w:lang w:val="en-US"/>
        </w:rPr>
        <w:t>wa</w:t>
      </w:r>
      <w:r w:rsidR="00E67B19" w:rsidRPr="00813D19">
        <w:rPr>
          <w:bCs/>
          <w:lang w:val="en-US"/>
        </w:rPr>
        <w:t xml:space="preserve">s </w:t>
      </w:r>
      <w:r w:rsidR="00EA3E5E" w:rsidRPr="00813D19">
        <w:rPr>
          <w:bCs/>
          <w:lang w:val="en-US"/>
        </w:rPr>
        <w:t>transferred from one generation to the next</w:t>
      </w:r>
      <w:r w:rsidR="00294B8F" w:rsidRPr="00813D19">
        <w:rPr>
          <w:bCs/>
          <w:lang w:val="en-US"/>
        </w:rPr>
        <w:t>.</w:t>
      </w:r>
      <w:r w:rsidR="00EA3E5E" w:rsidRPr="00813D19">
        <w:rPr>
          <w:bCs/>
          <w:lang w:val="en-US"/>
        </w:rPr>
        <w:t xml:space="preserve"> </w:t>
      </w:r>
      <w:r w:rsidR="00294B8F" w:rsidRPr="00813D19">
        <w:rPr>
          <w:bCs/>
          <w:lang w:val="en-US"/>
        </w:rPr>
        <w:t>T</w:t>
      </w:r>
      <w:r w:rsidR="00EA3E5E" w:rsidRPr="00813D19">
        <w:rPr>
          <w:bCs/>
          <w:lang w:val="en-US"/>
        </w:rPr>
        <w:t xml:space="preserve">he Convention would </w:t>
      </w:r>
      <w:r w:rsidR="00294B8F" w:rsidRPr="00813D19">
        <w:rPr>
          <w:bCs/>
          <w:lang w:val="en-US"/>
        </w:rPr>
        <w:t xml:space="preserve">also </w:t>
      </w:r>
      <w:r w:rsidR="00EA3E5E" w:rsidRPr="00813D19">
        <w:rPr>
          <w:bCs/>
          <w:lang w:val="en-US"/>
        </w:rPr>
        <w:t>be further promoted thanks to the cooperation and solidarity of all States Parties in disseminating the spirit of peace and love among all. The promotion of cultural heritage</w:t>
      </w:r>
      <w:r w:rsidR="00294B8F" w:rsidRPr="00813D19">
        <w:rPr>
          <w:bCs/>
          <w:lang w:val="en-US"/>
        </w:rPr>
        <w:t>,</w:t>
      </w:r>
      <w:r w:rsidR="00EA3E5E" w:rsidRPr="00813D19">
        <w:rPr>
          <w:bCs/>
          <w:lang w:val="en-US"/>
        </w:rPr>
        <w:t xml:space="preserve"> seen through the var</w:t>
      </w:r>
      <w:r w:rsidR="00294B8F" w:rsidRPr="00813D19">
        <w:rPr>
          <w:bCs/>
          <w:lang w:val="en-US"/>
        </w:rPr>
        <w:t>ious diplomatic and social for</w:t>
      </w:r>
      <w:r w:rsidR="00C64B11">
        <w:rPr>
          <w:bCs/>
          <w:lang w:val="en-US"/>
        </w:rPr>
        <w:t>ums</w:t>
      </w:r>
      <w:r w:rsidR="00294B8F" w:rsidRPr="00813D19">
        <w:rPr>
          <w:bCs/>
          <w:lang w:val="en-US"/>
        </w:rPr>
        <w:t xml:space="preserve">, had </w:t>
      </w:r>
      <w:r w:rsidR="00EA3E5E" w:rsidRPr="00813D19">
        <w:rPr>
          <w:bCs/>
          <w:lang w:val="en-US"/>
        </w:rPr>
        <w:t>contributed to peace and rapprochement</w:t>
      </w:r>
      <w:r w:rsidR="00294B8F" w:rsidRPr="00813D19">
        <w:rPr>
          <w:bCs/>
          <w:lang w:val="en-US"/>
        </w:rPr>
        <w:t xml:space="preserve">, which was </w:t>
      </w:r>
      <w:r w:rsidR="00EA3E5E" w:rsidRPr="00813D19">
        <w:rPr>
          <w:bCs/>
          <w:lang w:val="en-US"/>
        </w:rPr>
        <w:t xml:space="preserve">manifest in the submission of </w:t>
      </w:r>
      <w:r w:rsidR="00294B8F" w:rsidRPr="00813D19">
        <w:rPr>
          <w:bCs/>
          <w:lang w:val="en-US"/>
        </w:rPr>
        <w:t xml:space="preserve">a </w:t>
      </w:r>
      <w:r w:rsidR="00EA3E5E" w:rsidRPr="00813D19">
        <w:rPr>
          <w:bCs/>
          <w:lang w:val="en-US"/>
        </w:rPr>
        <w:t xml:space="preserve">single element </w:t>
      </w:r>
      <w:r w:rsidR="00294B8F" w:rsidRPr="00813D19">
        <w:rPr>
          <w:bCs/>
          <w:lang w:val="en-US"/>
        </w:rPr>
        <w:t xml:space="preserve">for the two Korean nations. The delegation thus </w:t>
      </w:r>
      <w:r w:rsidR="00EA3E5E" w:rsidRPr="00813D19">
        <w:rPr>
          <w:bCs/>
          <w:lang w:val="en-US"/>
        </w:rPr>
        <w:t>believe</w:t>
      </w:r>
      <w:r w:rsidR="00294B8F" w:rsidRPr="00813D19">
        <w:rPr>
          <w:bCs/>
          <w:lang w:val="en-US"/>
        </w:rPr>
        <w:t>d</w:t>
      </w:r>
      <w:r w:rsidR="00EA3E5E" w:rsidRPr="00813D19">
        <w:rPr>
          <w:bCs/>
          <w:lang w:val="en-US"/>
        </w:rPr>
        <w:t xml:space="preserve"> that cultural heritage </w:t>
      </w:r>
      <w:r w:rsidR="00E67B19" w:rsidRPr="00813D19">
        <w:rPr>
          <w:bCs/>
          <w:lang w:val="en-US"/>
        </w:rPr>
        <w:t>c</w:t>
      </w:r>
      <w:r w:rsidR="00E67B19">
        <w:rPr>
          <w:bCs/>
          <w:lang w:val="en-US"/>
        </w:rPr>
        <w:t>ould</w:t>
      </w:r>
      <w:r w:rsidR="00E67B19" w:rsidRPr="00813D19">
        <w:rPr>
          <w:bCs/>
          <w:lang w:val="en-US"/>
        </w:rPr>
        <w:t xml:space="preserve"> </w:t>
      </w:r>
      <w:r w:rsidR="00EA3E5E" w:rsidRPr="00813D19">
        <w:rPr>
          <w:bCs/>
          <w:lang w:val="en-US"/>
        </w:rPr>
        <w:t xml:space="preserve">be the rallying call for all countries to work together and to show more </w:t>
      </w:r>
      <w:r w:rsidR="003D53B3">
        <w:rPr>
          <w:bCs/>
          <w:lang w:val="en-US"/>
        </w:rPr>
        <w:t>solidarity.</w:t>
      </w:r>
    </w:p>
    <w:p w14:paraId="147C6F4C" w14:textId="76A54B6E" w:rsidR="001D475D" w:rsidRPr="00813D19" w:rsidRDefault="001D475D" w:rsidP="003D53B3">
      <w:pPr>
        <w:pStyle w:val="Orateurengris"/>
        <w:numPr>
          <w:ilvl w:val="0"/>
          <w:numId w:val="0"/>
        </w:numPr>
        <w:spacing w:before="240" w:after="240"/>
        <w:jc w:val="center"/>
        <w:rPr>
          <w:i/>
          <w:color w:val="000000" w:themeColor="text1"/>
          <w:lang w:val="en-US"/>
        </w:rPr>
      </w:pPr>
      <w:r w:rsidRPr="00813D19">
        <w:rPr>
          <w:i/>
          <w:lang w:val="en-US"/>
        </w:rPr>
        <w:t>[</w:t>
      </w:r>
      <w:r w:rsidR="00F50D74" w:rsidRPr="00813D19">
        <w:rPr>
          <w:i/>
          <w:lang w:val="en-US"/>
        </w:rPr>
        <w:t>A s</w:t>
      </w:r>
      <w:r w:rsidR="00294B8F" w:rsidRPr="00813D19">
        <w:rPr>
          <w:i/>
          <w:lang w:val="en-US"/>
        </w:rPr>
        <w:t>hort f</w:t>
      </w:r>
      <w:r w:rsidR="00F50D74" w:rsidRPr="00813D19">
        <w:rPr>
          <w:i/>
          <w:lang w:val="en-US"/>
        </w:rPr>
        <w:t>ilm on</w:t>
      </w:r>
      <w:r w:rsidRPr="00813D19">
        <w:rPr>
          <w:i/>
          <w:lang w:val="en-US"/>
        </w:rPr>
        <w:t xml:space="preserve"> </w:t>
      </w:r>
      <w:r w:rsidRPr="00813D19">
        <w:rPr>
          <w:i/>
          <w:color w:val="000000" w:themeColor="text1"/>
          <w:lang w:val="en-US"/>
        </w:rPr>
        <w:t>Horse and camel Ardhah</w:t>
      </w:r>
      <w:r w:rsidR="00F50D74" w:rsidRPr="00813D19">
        <w:rPr>
          <w:i/>
          <w:color w:val="000000" w:themeColor="text1"/>
          <w:lang w:val="en-US"/>
        </w:rPr>
        <w:t xml:space="preserve"> was projected</w:t>
      </w:r>
      <w:r w:rsidRPr="00813D19">
        <w:rPr>
          <w:i/>
          <w:color w:val="000000" w:themeColor="text1"/>
          <w:lang w:val="en-US"/>
        </w:rPr>
        <w:t>]</w:t>
      </w:r>
    </w:p>
    <w:p w14:paraId="12FED227" w14:textId="28D6925F" w:rsidR="00A64A55" w:rsidRPr="003D53B3" w:rsidRDefault="00A64A55" w:rsidP="003D53B3">
      <w:pPr>
        <w:pStyle w:val="Orateurengris"/>
        <w:numPr>
          <w:ilvl w:val="0"/>
          <w:numId w:val="0"/>
        </w:numPr>
        <w:spacing w:before="240" w:after="240"/>
        <w:jc w:val="center"/>
        <w:rPr>
          <w:rFonts w:eastAsia="Times New Roman"/>
          <w:i/>
          <w:lang w:val="en-US"/>
        </w:rPr>
      </w:pPr>
      <w:r w:rsidRPr="00813D19">
        <w:rPr>
          <w:i/>
          <w:color w:val="000000" w:themeColor="text1"/>
          <w:lang w:val="en-US"/>
        </w:rPr>
        <w:t>[The Chairperson reprised his role</w:t>
      </w:r>
      <w:r w:rsidRPr="003D53B3">
        <w:rPr>
          <w:i/>
          <w:color w:val="000000" w:themeColor="text1"/>
          <w:lang w:val="en-US"/>
        </w:rPr>
        <w:t>]</w:t>
      </w:r>
    </w:p>
    <w:p w14:paraId="43DA7698" w14:textId="4647C33B" w:rsidR="001A0B83" w:rsidRPr="003D53B3" w:rsidRDefault="00BB01E7" w:rsidP="00BB01E7">
      <w:pPr>
        <w:pStyle w:val="Orateurengris"/>
        <w:spacing w:before="120"/>
        <w:ind w:left="709" w:hanging="709"/>
        <w:rPr>
          <w:rFonts w:eastAsia="Times New Roman"/>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E67B19">
        <w:rPr>
          <w:color w:val="000000" w:themeColor="text1"/>
          <w:lang w:val="en-US"/>
        </w:rPr>
        <w:t>,</w:t>
      </w:r>
      <w:r w:rsidRPr="00813D19">
        <w:rPr>
          <w:color w:val="000000" w:themeColor="text1"/>
          <w:lang w:val="en-US"/>
        </w:rPr>
        <w:t xml:space="preserve"> </w:t>
      </w:r>
      <w:r w:rsidRPr="00813D19">
        <w:rPr>
          <w:b/>
          <w:color w:val="000000" w:themeColor="text1"/>
          <w:lang w:val="en-US"/>
        </w:rPr>
        <w:t xml:space="preserve">Ritual and festive expressions of the Congo culture </w:t>
      </w:r>
      <w:r w:rsidRPr="00813D19">
        <w:rPr>
          <w:color w:val="000000" w:themeColor="text1"/>
          <w:lang w:val="en-US"/>
        </w:rPr>
        <w:t>[draft decision 13.COM 10.b.28]</w:t>
      </w:r>
      <w:r w:rsidR="00E67B19">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Panama</w:t>
      </w:r>
      <w:r w:rsidRPr="00813D19">
        <w:rPr>
          <w:color w:val="000000" w:themeColor="text1"/>
          <w:lang w:val="en-US"/>
        </w:rPr>
        <w:t>.</w:t>
      </w:r>
      <w:r w:rsidR="00CC1A00" w:rsidRPr="00813D19">
        <w:rPr>
          <w:rFonts w:ascii="Times New Roman" w:eastAsia="Times New Roman" w:hAnsi="Times New Roman" w:cs="Times New Roman"/>
          <w:sz w:val="24"/>
          <w:szCs w:val="24"/>
          <w:lang w:val="en-US"/>
        </w:rPr>
        <w:t xml:space="preserve"> </w:t>
      </w:r>
      <w:r w:rsidR="001A0B83" w:rsidRPr="00813D19">
        <w:rPr>
          <w:lang w:val="en-US"/>
        </w:rPr>
        <w:t>The ritual and festive expressions of the Congo culture encompass the contemporary vision of a collective celebration of the black rebel descendants enslaved during the colonial period. For generations, the expressions fostered social integration and provided a way of expressing joy and identity.</w:t>
      </w:r>
      <w:r w:rsidR="001A0B83" w:rsidRPr="00813D19">
        <w:rPr>
          <w:noProof/>
          <w:sz w:val="18"/>
          <w:szCs w:val="18"/>
          <w:lang w:val="en-US"/>
        </w:rPr>
        <w:t xml:space="preserve"> </w:t>
      </w:r>
      <w:r w:rsidR="001A0B83" w:rsidRPr="00813D19">
        <w:rPr>
          <w:lang w:val="en-US"/>
        </w:rPr>
        <w:t>From the information included in th</w:t>
      </w:r>
      <w:r w:rsidR="00673736" w:rsidRPr="00813D19">
        <w:rPr>
          <w:lang w:val="en-US"/>
        </w:rPr>
        <w:t>e file, the nomination satisfied</w:t>
      </w:r>
      <w:r w:rsidR="001A0B83" w:rsidRPr="00813D19">
        <w:rPr>
          <w:lang w:val="en-US"/>
        </w:rPr>
        <w:t xml:space="preserve"> all five criteria. The Evaluation Body considered that Ritual and festive expressions of the Congo culture</w:t>
      </w:r>
      <w:r w:rsidR="001A0B83" w:rsidRPr="00813D19">
        <w:rPr>
          <w:b/>
          <w:lang w:val="en-US"/>
        </w:rPr>
        <w:t xml:space="preserve"> </w:t>
      </w:r>
      <w:r w:rsidR="00673736" w:rsidRPr="00813D19">
        <w:rPr>
          <w:lang w:val="en-US"/>
        </w:rPr>
        <w:t xml:space="preserve">is </w:t>
      </w:r>
      <w:r w:rsidR="001A0B83" w:rsidRPr="00813D19">
        <w:rPr>
          <w:lang w:val="en-US"/>
        </w:rPr>
        <w:t>an important part of the cultural heritage of Panama’s communities, reinforce</w:t>
      </w:r>
      <w:r w:rsidR="00673736" w:rsidRPr="00813D19">
        <w:rPr>
          <w:lang w:val="en-US"/>
        </w:rPr>
        <w:t>s</w:t>
      </w:r>
      <w:r w:rsidR="001A0B83" w:rsidRPr="00813D19">
        <w:rPr>
          <w:lang w:val="en-US"/>
        </w:rPr>
        <w:t xml:space="preserve"> the cultural identity of the community members, strengthen</w:t>
      </w:r>
      <w:r w:rsidR="00673736" w:rsidRPr="00813D19">
        <w:rPr>
          <w:lang w:val="en-US"/>
        </w:rPr>
        <w:t>s</w:t>
      </w:r>
      <w:r w:rsidR="001A0B83" w:rsidRPr="00813D19">
        <w:rPr>
          <w:lang w:val="en-US"/>
        </w:rPr>
        <w:t xml:space="preserve"> their historical memory and help</w:t>
      </w:r>
      <w:r w:rsidR="00673736" w:rsidRPr="00813D19">
        <w:rPr>
          <w:lang w:val="en-US"/>
        </w:rPr>
        <w:t>s</w:t>
      </w:r>
      <w:r w:rsidR="001A0B83" w:rsidRPr="00813D19">
        <w:rPr>
          <w:lang w:val="en-US"/>
        </w:rPr>
        <w:t xml:space="preserve"> them cope with their collective historical trauma.</w:t>
      </w:r>
      <w:r w:rsidR="001A0B83" w:rsidRPr="00813D19">
        <w:rPr>
          <w:noProof/>
          <w:lang w:val="en-US"/>
        </w:rPr>
        <w:t xml:space="preserve"> The proposed </w:t>
      </w:r>
      <w:r w:rsidR="001A0B83" w:rsidRPr="00813D19">
        <w:rPr>
          <w:lang w:val="en-US"/>
        </w:rPr>
        <w:t>safeguarding measures include</w:t>
      </w:r>
      <w:r w:rsidR="00673736" w:rsidRPr="00813D19">
        <w:rPr>
          <w:lang w:val="en-US"/>
        </w:rPr>
        <w:t>d</w:t>
      </w:r>
      <w:r w:rsidR="001A0B83" w:rsidRPr="00813D19">
        <w:rPr>
          <w:lang w:val="en-US"/>
        </w:rPr>
        <w:t xml:space="preserve"> overall training on the 2003 Convention, awareness-raising activities, documentation and </w:t>
      </w:r>
      <w:r w:rsidR="00673736" w:rsidRPr="00813D19">
        <w:rPr>
          <w:lang w:val="en-US"/>
        </w:rPr>
        <w:t xml:space="preserve">the </w:t>
      </w:r>
      <w:r w:rsidR="001A0B83" w:rsidRPr="00813D19">
        <w:rPr>
          <w:lang w:val="en-US"/>
        </w:rPr>
        <w:t xml:space="preserve">establishment of academic degrees on </w:t>
      </w:r>
      <w:r w:rsidR="00F56B66" w:rsidRPr="00813D19">
        <w:rPr>
          <w:lang w:val="en-US"/>
        </w:rPr>
        <w:t>intangible cultural heritage</w:t>
      </w:r>
      <w:r w:rsidR="001A0B83" w:rsidRPr="00813D19">
        <w:rPr>
          <w:lang w:val="en-US"/>
        </w:rPr>
        <w:t xml:space="preserve"> and cultural management. A wide range of community representatives, local governments and practitioners </w:t>
      </w:r>
      <w:r w:rsidR="00E67B19">
        <w:rPr>
          <w:lang w:val="en-US"/>
        </w:rPr>
        <w:t xml:space="preserve">had </w:t>
      </w:r>
      <w:r w:rsidR="001A0B83" w:rsidRPr="00813D19">
        <w:rPr>
          <w:lang w:val="en-US"/>
        </w:rPr>
        <w:t>participated in the nomination process.</w:t>
      </w:r>
      <w:r w:rsidR="00CC1A00" w:rsidRPr="00813D19">
        <w:rPr>
          <w:lang w:val="en-US"/>
        </w:rPr>
        <w:t xml:space="preserve"> </w:t>
      </w:r>
      <w:r w:rsidR="002A1B6F" w:rsidRPr="00813D19">
        <w:rPr>
          <w:lang w:val="en-US"/>
        </w:rPr>
        <w:t>The Evaluation Body recommended</w:t>
      </w:r>
      <w:r w:rsidR="001A0B83" w:rsidRPr="00813D19">
        <w:rPr>
          <w:lang w:val="en-US"/>
        </w:rPr>
        <w:t xml:space="preserve"> that the Committee inscribe Ritual and festive expressions of the Congo culture on the Representative </w:t>
      </w:r>
      <w:r w:rsidR="001A0B83" w:rsidRPr="003D53B3">
        <w:rPr>
          <w:lang w:val="en-US"/>
        </w:rPr>
        <w:t>List.</w:t>
      </w:r>
    </w:p>
    <w:p w14:paraId="496D85F7" w14:textId="77777777" w:rsidR="00D34167" w:rsidRPr="00813D19" w:rsidRDefault="00D34167" w:rsidP="00D34167">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4AEAC6C5" w14:textId="443B23AE" w:rsidR="00F56B66" w:rsidRPr="003D53B3" w:rsidRDefault="00D34167" w:rsidP="00F56B66">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F93C26" w:rsidRPr="00813D19">
        <w:rPr>
          <w:b/>
          <w:lang w:val="en-US"/>
        </w:rPr>
        <w:t>Chairperson</w:t>
      </w:r>
      <w:r w:rsidR="00F93C26" w:rsidRPr="00813D19">
        <w:rPr>
          <w:lang w:val="en-US"/>
        </w:rPr>
        <w:t xml:space="preserve"> </w:t>
      </w:r>
      <w:r w:rsidR="00F93C26" w:rsidRPr="00813D19">
        <w:rPr>
          <w:b/>
          <w:lang w:val="en-US"/>
        </w:rPr>
        <w:t xml:space="preserve">declared Decision </w:t>
      </w:r>
      <w:hyperlink r:id="rId127" w:history="1">
        <w:r w:rsidR="00F93C26" w:rsidRPr="00813D19">
          <w:rPr>
            <w:rStyle w:val="Hyperlink"/>
            <w:b/>
            <w:lang w:val="en-US"/>
          </w:rPr>
          <w:t>13.COM</w:t>
        </w:r>
        <w:r w:rsidR="00992896">
          <w:rPr>
            <w:rStyle w:val="Hyperlink"/>
            <w:b/>
            <w:lang w:val="en-US"/>
          </w:rPr>
          <w:t> </w:t>
        </w:r>
        <w:r w:rsidR="00F93C26" w:rsidRPr="00813D19">
          <w:rPr>
            <w:rStyle w:val="Hyperlink"/>
            <w:b/>
            <w:lang w:val="en-US"/>
          </w:rPr>
          <w:t>10.b.28</w:t>
        </w:r>
      </w:hyperlink>
      <w:r w:rsidR="00F93C26" w:rsidRPr="00813D19">
        <w:rPr>
          <w:b/>
          <w:lang w:val="en-US"/>
        </w:rPr>
        <w:t xml:space="preserve"> adopted to inscribe </w:t>
      </w:r>
      <w:r w:rsidR="00F93C26" w:rsidRPr="00813D19">
        <w:rPr>
          <w:b/>
          <w:color w:val="000000" w:themeColor="text1"/>
          <w:lang w:val="en-US"/>
        </w:rPr>
        <w:t>Ritual and festive expressions of the Congo culture on the Representative List</w:t>
      </w:r>
      <w:r w:rsidR="00F93C26" w:rsidRPr="003D53B3">
        <w:rPr>
          <w:bCs/>
          <w:snapToGrid/>
          <w:color w:val="000000" w:themeColor="text1"/>
          <w:lang w:val="en-US"/>
        </w:rPr>
        <w:t>.</w:t>
      </w:r>
    </w:p>
    <w:p w14:paraId="3D854302" w14:textId="0628C90E" w:rsidR="002A1B6F" w:rsidRPr="003D53B3" w:rsidRDefault="002A1B6F" w:rsidP="007312D4">
      <w:pPr>
        <w:pStyle w:val="Orateurengris"/>
        <w:spacing w:before="120"/>
        <w:ind w:left="709" w:hanging="709"/>
        <w:rPr>
          <w:rFonts w:eastAsia="Times New Roman"/>
          <w:lang w:val="en-US"/>
        </w:rPr>
      </w:pPr>
      <w:r w:rsidRPr="00813D19">
        <w:rPr>
          <w:lang w:val="en-US"/>
        </w:rPr>
        <w:t xml:space="preserve">The </w:t>
      </w:r>
      <w:r w:rsidRPr="00813D19">
        <w:rPr>
          <w:b/>
          <w:lang w:val="en-US"/>
        </w:rPr>
        <w:t>delegation of Panama</w:t>
      </w:r>
      <w:r w:rsidR="00D607B9" w:rsidRPr="00813D19">
        <w:rPr>
          <w:b/>
          <w:lang w:val="en-US"/>
        </w:rPr>
        <w:t xml:space="preserve"> </w:t>
      </w:r>
      <w:r w:rsidR="00EA3E5E" w:rsidRPr="00813D19">
        <w:rPr>
          <w:bCs/>
          <w:lang w:val="en-US"/>
        </w:rPr>
        <w:t>thank</w:t>
      </w:r>
      <w:r w:rsidR="00CE0C66" w:rsidRPr="00813D19">
        <w:rPr>
          <w:bCs/>
          <w:lang w:val="en-US"/>
        </w:rPr>
        <w:t>ed</w:t>
      </w:r>
      <w:r w:rsidR="00EA3E5E" w:rsidRPr="00813D19">
        <w:rPr>
          <w:bCs/>
          <w:lang w:val="en-US"/>
        </w:rPr>
        <w:t xml:space="preserve"> the people of Mauritius for their warm welcome</w:t>
      </w:r>
      <w:r w:rsidR="00CE0C66" w:rsidRPr="00813D19">
        <w:rPr>
          <w:bCs/>
          <w:lang w:val="en-US"/>
        </w:rPr>
        <w:t xml:space="preserve">, and on behalf of the </w:t>
      </w:r>
      <w:r w:rsidR="00EA3E5E" w:rsidRPr="00813D19">
        <w:rPr>
          <w:bCs/>
          <w:lang w:val="en-US"/>
        </w:rPr>
        <w:t>Government</w:t>
      </w:r>
      <w:r w:rsidR="00286204">
        <w:rPr>
          <w:bCs/>
          <w:lang w:val="en-US"/>
        </w:rPr>
        <w:t>,</w:t>
      </w:r>
      <w:r w:rsidR="00EA3E5E" w:rsidRPr="00813D19">
        <w:rPr>
          <w:bCs/>
          <w:lang w:val="en-US"/>
        </w:rPr>
        <w:t xml:space="preserve"> representing the Congo culture</w:t>
      </w:r>
      <w:r w:rsidR="00286204">
        <w:rPr>
          <w:bCs/>
          <w:lang w:val="en-US"/>
        </w:rPr>
        <w:t>,</w:t>
      </w:r>
      <w:r w:rsidR="00EA3E5E" w:rsidRPr="00813D19">
        <w:rPr>
          <w:bCs/>
          <w:lang w:val="en-US"/>
        </w:rPr>
        <w:t xml:space="preserve"> </w:t>
      </w:r>
      <w:r w:rsidR="00CE0C66" w:rsidRPr="00813D19">
        <w:rPr>
          <w:bCs/>
          <w:lang w:val="en-US"/>
        </w:rPr>
        <w:t>extended</w:t>
      </w:r>
      <w:r w:rsidR="00EA3E5E" w:rsidRPr="00813D19">
        <w:rPr>
          <w:bCs/>
          <w:lang w:val="en-US"/>
        </w:rPr>
        <w:t xml:space="preserve"> </w:t>
      </w:r>
      <w:r w:rsidR="00643371">
        <w:rPr>
          <w:bCs/>
          <w:lang w:val="en-US"/>
        </w:rPr>
        <w:t xml:space="preserve">its </w:t>
      </w:r>
      <w:r w:rsidR="00EA3E5E" w:rsidRPr="00813D19">
        <w:rPr>
          <w:bCs/>
          <w:lang w:val="en-US"/>
        </w:rPr>
        <w:t xml:space="preserve">thanks to the Secretariat and to the UNESCO office in Costa Rica for their constant support </w:t>
      </w:r>
      <w:r w:rsidR="00643371">
        <w:rPr>
          <w:bCs/>
          <w:lang w:val="en-US"/>
        </w:rPr>
        <w:t>with</w:t>
      </w:r>
      <w:r w:rsidR="00643371" w:rsidRPr="00813D19">
        <w:rPr>
          <w:bCs/>
          <w:lang w:val="en-US"/>
        </w:rPr>
        <w:t xml:space="preserve"> </w:t>
      </w:r>
      <w:r w:rsidR="00EA3E5E" w:rsidRPr="00813D19">
        <w:rPr>
          <w:bCs/>
          <w:lang w:val="en-US"/>
        </w:rPr>
        <w:t>mak</w:t>
      </w:r>
      <w:r w:rsidR="00643371">
        <w:rPr>
          <w:bCs/>
          <w:lang w:val="en-US"/>
        </w:rPr>
        <w:t>ing</w:t>
      </w:r>
      <w:r w:rsidR="00EA3E5E" w:rsidRPr="00813D19">
        <w:rPr>
          <w:bCs/>
          <w:lang w:val="en-US"/>
        </w:rPr>
        <w:t xml:space="preserve"> the intangible cultural heritage of Panama universal. </w:t>
      </w:r>
      <w:r w:rsidR="00CE0C66" w:rsidRPr="00813D19">
        <w:rPr>
          <w:bCs/>
          <w:lang w:val="en-US"/>
        </w:rPr>
        <w:t xml:space="preserve">It </w:t>
      </w:r>
      <w:r w:rsidR="00F56B66" w:rsidRPr="00813D19">
        <w:rPr>
          <w:bCs/>
          <w:lang w:val="en-US"/>
        </w:rPr>
        <w:t>e</w:t>
      </w:r>
      <w:r w:rsidR="00EA3E5E" w:rsidRPr="00813D19">
        <w:rPr>
          <w:bCs/>
          <w:lang w:val="en-US"/>
        </w:rPr>
        <w:t>special</w:t>
      </w:r>
      <w:r w:rsidR="00F56B66" w:rsidRPr="00813D19">
        <w:rPr>
          <w:bCs/>
          <w:lang w:val="en-US"/>
        </w:rPr>
        <w:t>ly recognized</w:t>
      </w:r>
      <w:r w:rsidR="00EA3E5E" w:rsidRPr="00813D19">
        <w:rPr>
          <w:bCs/>
          <w:lang w:val="en-US"/>
        </w:rPr>
        <w:t xml:space="preserve"> </w:t>
      </w:r>
      <w:r w:rsidR="00F56B66" w:rsidRPr="00813D19">
        <w:rPr>
          <w:bCs/>
          <w:lang w:val="en-US"/>
        </w:rPr>
        <w:t xml:space="preserve">the work of </w:t>
      </w:r>
      <w:r w:rsidR="00CE0C66" w:rsidRPr="00813D19">
        <w:rPr>
          <w:bCs/>
          <w:lang w:val="en-US"/>
        </w:rPr>
        <w:t>P</w:t>
      </w:r>
      <w:r w:rsidR="00F56B66" w:rsidRPr="00813D19">
        <w:rPr>
          <w:bCs/>
          <w:lang w:val="en-US"/>
        </w:rPr>
        <w:t>rofessor Emma Gómez, head of the team working</w:t>
      </w:r>
      <w:r w:rsidR="00EA3E5E" w:rsidRPr="00813D19">
        <w:rPr>
          <w:bCs/>
          <w:lang w:val="en-US"/>
        </w:rPr>
        <w:t xml:space="preserve"> at the Ministry of Trade in charge of safeguarding intangible cultural heritage</w:t>
      </w:r>
      <w:r w:rsidR="00CE0C66" w:rsidRPr="00813D19">
        <w:rPr>
          <w:bCs/>
          <w:lang w:val="en-US"/>
        </w:rPr>
        <w:t>,</w:t>
      </w:r>
      <w:r w:rsidR="00EA3E5E" w:rsidRPr="00813D19">
        <w:rPr>
          <w:bCs/>
          <w:lang w:val="en-US"/>
        </w:rPr>
        <w:t xml:space="preserve"> and her team of</w:t>
      </w:r>
      <w:r w:rsidR="00CE0C66" w:rsidRPr="00813D19">
        <w:rPr>
          <w:bCs/>
          <w:lang w:val="en-US"/>
        </w:rPr>
        <w:t xml:space="preserve"> field researchers, </w:t>
      </w:r>
      <w:r w:rsidR="00EA3E5E" w:rsidRPr="00813D19">
        <w:rPr>
          <w:bCs/>
          <w:lang w:val="en-US"/>
        </w:rPr>
        <w:t>particular</w:t>
      </w:r>
      <w:r w:rsidR="00CE0C66" w:rsidRPr="00813D19">
        <w:rPr>
          <w:bCs/>
          <w:lang w:val="en-US"/>
        </w:rPr>
        <w:t>ly</w:t>
      </w:r>
      <w:r w:rsidR="00EA3E5E" w:rsidRPr="00813D19">
        <w:rPr>
          <w:bCs/>
          <w:lang w:val="en-US"/>
        </w:rPr>
        <w:t xml:space="preserve"> all the groups represent</w:t>
      </w:r>
      <w:r w:rsidR="00CE0C66" w:rsidRPr="00813D19">
        <w:rPr>
          <w:bCs/>
          <w:lang w:val="en-US"/>
        </w:rPr>
        <w:t>ing</w:t>
      </w:r>
      <w:r w:rsidR="00EA3E5E" w:rsidRPr="00813D19">
        <w:rPr>
          <w:bCs/>
          <w:lang w:val="en-US"/>
        </w:rPr>
        <w:t xml:space="preserve"> the Congo culture who </w:t>
      </w:r>
      <w:r w:rsidR="00F56B66" w:rsidRPr="00813D19">
        <w:rPr>
          <w:bCs/>
          <w:lang w:val="en-US"/>
        </w:rPr>
        <w:t xml:space="preserve">had </w:t>
      </w:r>
      <w:r w:rsidR="00CE0C66" w:rsidRPr="00813D19">
        <w:rPr>
          <w:bCs/>
          <w:lang w:val="en-US"/>
        </w:rPr>
        <w:t xml:space="preserve">substantially </w:t>
      </w:r>
      <w:r w:rsidR="00EA3E5E" w:rsidRPr="00813D19">
        <w:rPr>
          <w:bCs/>
          <w:lang w:val="en-US"/>
        </w:rPr>
        <w:t xml:space="preserve">enriched this nomination file. </w:t>
      </w:r>
      <w:r w:rsidR="00EA3E5E" w:rsidRPr="000927FD">
        <w:rPr>
          <w:bCs/>
          <w:lang w:val="en-US"/>
        </w:rPr>
        <w:t>From the words of the Panamanian researcher and writer</w:t>
      </w:r>
      <w:r w:rsidR="00CE0C66" w:rsidRPr="000927FD">
        <w:rPr>
          <w:bCs/>
          <w:lang w:val="en-US"/>
        </w:rPr>
        <w:t>,</w:t>
      </w:r>
      <w:r w:rsidR="00EA3E5E" w:rsidRPr="000927FD">
        <w:rPr>
          <w:bCs/>
          <w:lang w:val="en-US"/>
        </w:rPr>
        <w:t xml:space="preserve"> and </w:t>
      </w:r>
      <w:r w:rsidR="000927FD">
        <w:rPr>
          <w:bCs/>
          <w:lang w:val="en-US"/>
        </w:rPr>
        <w:t xml:space="preserve">also </w:t>
      </w:r>
      <w:r w:rsidR="00EA3E5E" w:rsidRPr="000927FD">
        <w:rPr>
          <w:bCs/>
          <w:lang w:val="en-US"/>
        </w:rPr>
        <w:t>Panama Canal Historic Memory Coordinator, Mr Ernesto Holder</w:t>
      </w:r>
      <w:r w:rsidR="00CE0C66" w:rsidRPr="000927FD">
        <w:rPr>
          <w:bCs/>
          <w:lang w:val="en-US"/>
        </w:rPr>
        <w:t>,</w:t>
      </w:r>
      <w:r w:rsidR="00EA3E5E" w:rsidRPr="000927FD">
        <w:rPr>
          <w:bCs/>
          <w:lang w:val="en-US"/>
        </w:rPr>
        <w:t xml:space="preserve"> who</w:t>
      </w:r>
      <w:r w:rsidR="00643371" w:rsidRPr="000927FD">
        <w:rPr>
          <w:bCs/>
          <w:lang w:val="en-US"/>
        </w:rPr>
        <w:t xml:space="preserve"> </w:t>
      </w:r>
      <w:r w:rsidR="007312D4">
        <w:rPr>
          <w:bCs/>
          <w:lang w:val="en-US"/>
        </w:rPr>
        <w:t xml:space="preserve">coordinated the inscription of </w:t>
      </w:r>
      <w:r w:rsidR="00EA3E5E" w:rsidRPr="000927FD">
        <w:rPr>
          <w:bCs/>
          <w:lang w:val="en-US"/>
        </w:rPr>
        <w:t xml:space="preserve">a document </w:t>
      </w:r>
      <w:r w:rsidR="00F56B66" w:rsidRPr="000927FD">
        <w:rPr>
          <w:bCs/>
          <w:lang w:val="en-US"/>
        </w:rPr>
        <w:t>on</w:t>
      </w:r>
      <w:r w:rsidR="00AC2829" w:rsidRPr="000927FD">
        <w:rPr>
          <w:bCs/>
          <w:lang w:val="en-US"/>
        </w:rPr>
        <w:t xml:space="preserve"> the </w:t>
      </w:r>
      <w:r w:rsidR="007312D4">
        <w:rPr>
          <w:bCs/>
          <w:lang w:val="en-US"/>
        </w:rPr>
        <w:t>UNESCO M</w:t>
      </w:r>
      <w:r w:rsidR="00AC2829" w:rsidRPr="000927FD">
        <w:rPr>
          <w:bCs/>
          <w:lang w:val="en-US"/>
        </w:rPr>
        <w:t xml:space="preserve">emory of the </w:t>
      </w:r>
      <w:r w:rsidR="007312D4">
        <w:rPr>
          <w:bCs/>
          <w:lang w:val="en-US"/>
        </w:rPr>
        <w:t>W</w:t>
      </w:r>
      <w:r w:rsidR="00AC2829" w:rsidRPr="000927FD">
        <w:rPr>
          <w:bCs/>
          <w:lang w:val="en-US"/>
        </w:rPr>
        <w:t>orld</w:t>
      </w:r>
      <w:r w:rsidR="00A130A6">
        <w:rPr>
          <w:bCs/>
          <w:lang w:val="en-US"/>
        </w:rPr>
        <w:t>:</w:t>
      </w:r>
      <w:r w:rsidR="00AC2829" w:rsidRPr="00B809E4">
        <w:rPr>
          <w:bCs/>
          <w:lang w:val="en-US"/>
        </w:rPr>
        <w:t xml:space="preserve"> </w:t>
      </w:r>
      <w:r w:rsidR="00A130A6">
        <w:rPr>
          <w:bCs/>
          <w:lang w:val="en-US"/>
        </w:rPr>
        <w:t>“</w:t>
      </w:r>
      <w:r w:rsidR="00AC2829" w:rsidRPr="00B809E4">
        <w:rPr>
          <w:bCs/>
          <w:lang w:val="en-US"/>
        </w:rPr>
        <w:t>T</w:t>
      </w:r>
      <w:r w:rsidR="00EA3E5E" w:rsidRPr="00B809E4">
        <w:rPr>
          <w:bCs/>
          <w:lang w:val="en-US"/>
        </w:rPr>
        <w:t xml:space="preserve">he Isthmus of Panama historically </w:t>
      </w:r>
      <w:r w:rsidR="00B809E4" w:rsidRPr="00B809E4">
        <w:rPr>
          <w:bCs/>
          <w:lang w:val="en-US"/>
        </w:rPr>
        <w:t xml:space="preserve">has </w:t>
      </w:r>
      <w:r w:rsidR="00471E46" w:rsidRPr="00B809E4">
        <w:rPr>
          <w:bCs/>
          <w:lang w:val="en-US"/>
        </w:rPr>
        <w:t xml:space="preserve">been a place of transit </w:t>
      </w:r>
      <w:r w:rsidR="00EA3E5E" w:rsidRPr="00B809E4">
        <w:rPr>
          <w:bCs/>
          <w:lang w:val="en-US"/>
        </w:rPr>
        <w:t>over the centuries as merciless conquerors</w:t>
      </w:r>
      <w:r w:rsidR="00EA3E5E" w:rsidRPr="00813D19">
        <w:rPr>
          <w:bCs/>
          <w:lang w:val="en-US"/>
        </w:rPr>
        <w:t>, resilient settlers</w:t>
      </w:r>
      <w:r w:rsidR="00F56B66" w:rsidRPr="00813D19">
        <w:rPr>
          <w:bCs/>
          <w:lang w:val="en-US"/>
        </w:rPr>
        <w:t xml:space="preserve"> and unfortunate</w:t>
      </w:r>
      <w:r w:rsidR="00B809E4">
        <w:rPr>
          <w:bCs/>
          <w:lang w:val="en-US"/>
        </w:rPr>
        <w:t xml:space="preserve"> but strong and proud</w:t>
      </w:r>
      <w:r w:rsidR="00EA3E5E" w:rsidRPr="00B809E4">
        <w:rPr>
          <w:bCs/>
          <w:lang w:val="en-US"/>
        </w:rPr>
        <w:t xml:space="preserve"> </w:t>
      </w:r>
      <w:r w:rsidR="00471E46" w:rsidRPr="00B809E4">
        <w:rPr>
          <w:bCs/>
          <w:lang w:val="en-US"/>
        </w:rPr>
        <w:t xml:space="preserve">slaves </w:t>
      </w:r>
      <w:r w:rsidR="00B809E4" w:rsidRPr="00B809E4">
        <w:rPr>
          <w:bCs/>
          <w:lang w:val="en-US"/>
        </w:rPr>
        <w:t>h</w:t>
      </w:r>
      <w:r w:rsidR="00B809E4">
        <w:rPr>
          <w:bCs/>
          <w:lang w:val="en-US"/>
        </w:rPr>
        <w:t>ave</w:t>
      </w:r>
      <w:r w:rsidR="00B809E4" w:rsidRPr="00B809E4">
        <w:rPr>
          <w:bCs/>
          <w:lang w:val="en-US"/>
        </w:rPr>
        <w:t xml:space="preserve"> </w:t>
      </w:r>
      <w:r w:rsidR="00471E46" w:rsidRPr="00B809E4">
        <w:rPr>
          <w:bCs/>
          <w:lang w:val="en-US"/>
        </w:rPr>
        <w:t xml:space="preserve">created </w:t>
      </w:r>
      <w:r w:rsidR="00EA3E5E" w:rsidRPr="00B809E4">
        <w:rPr>
          <w:bCs/>
          <w:lang w:val="en-US"/>
        </w:rPr>
        <w:t>the social</w:t>
      </w:r>
      <w:r w:rsidR="00471E46" w:rsidRPr="00B809E4">
        <w:rPr>
          <w:bCs/>
          <w:lang w:val="en-US"/>
        </w:rPr>
        <w:t xml:space="preserve"> and</w:t>
      </w:r>
      <w:r w:rsidR="00EA3E5E" w:rsidRPr="00B809E4">
        <w:rPr>
          <w:bCs/>
          <w:lang w:val="en-US"/>
        </w:rPr>
        <w:t xml:space="preserve"> cultural structure of its inhabitants</w:t>
      </w:r>
      <w:r w:rsidR="00471E46" w:rsidRPr="00B809E4">
        <w:rPr>
          <w:bCs/>
          <w:lang w:val="en-US"/>
        </w:rPr>
        <w:t>,</w:t>
      </w:r>
      <w:r w:rsidR="00EA3E5E" w:rsidRPr="00B809E4">
        <w:rPr>
          <w:bCs/>
          <w:lang w:val="en-US"/>
        </w:rPr>
        <w:t xml:space="preserve"> ever</w:t>
      </w:r>
      <w:r w:rsidR="0073622F">
        <w:rPr>
          <w:bCs/>
          <w:lang w:val="en-US"/>
        </w:rPr>
        <w:t>y</w:t>
      </w:r>
      <w:r w:rsidR="00EA3E5E" w:rsidRPr="00B809E4">
        <w:rPr>
          <w:bCs/>
          <w:lang w:val="en-US"/>
        </w:rPr>
        <w:t xml:space="preserve"> so often </w:t>
      </w:r>
      <w:r w:rsidR="00471E46" w:rsidRPr="00B809E4">
        <w:rPr>
          <w:bCs/>
          <w:lang w:val="en-US"/>
        </w:rPr>
        <w:t xml:space="preserve">being </w:t>
      </w:r>
      <w:r w:rsidR="00EA3E5E" w:rsidRPr="00B809E4">
        <w:rPr>
          <w:bCs/>
          <w:lang w:val="en-US"/>
        </w:rPr>
        <w:t xml:space="preserve">influenced by the diversity and richness of all the groups that </w:t>
      </w:r>
      <w:r w:rsidR="0073622F" w:rsidRPr="00B809E4">
        <w:rPr>
          <w:bCs/>
          <w:lang w:val="en-US"/>
        </w:rPr>
        <w:t>ha</w:t>
      </w:r>
      <w:r w:rsidR="0073622F">
        <w:rPr>
          <w:bCs/>
          <w:lang w:val="en-US"/>
        </w:rPr>
        <w:t>ve</w:t>
      </w:r>
      <w:r w:rsidR="0073622F" w:rsidRPr="00B809E4">
        <w:rPr>
          <w:bCs/>
          <w:lang w:val="en-US"/>
        </w:rPr>
        <w:t xml:space="preserve"> </w:t>
      </w:r>
      <w:r w:rsidR="00EA3E5E" w:rsidRPr="00B809E4">
        <w:rPr>
          <w:bCs/>
          <w:lang w:val="en-US"/>
        </w:rPr>
        <w:t>come</w:t>
      </w:r>
      <w:r w:rsidR="00EA3E5E" w:rsidRPr="00813D19">
        <w:rPr>
          <w:bCs/>
          <w:lang w:val="en-US"/>
        </w:rPr>
        <w:t>, left or stayed in various ways and under diverse circumstances. With the cultural influence of the Congo of Panama</w:t>
      </w:r>
      <w:r w:rsidR="00471E46" w:rsidRPr="00813D19">
        <w:rPr>
          <w:bCs/>
          <w:lang w:val="en-US"/>
        </w:rPr>
        <w:t>, this</w:t>
      </w:r>
      <w:r w:rsidR="00EA3E5E" w:rsidRPr="00813D19">
        <w:rPr>
          <w:bCs/>
          <w:lang w:val="en-US"/>
        </w:rPr>
        <w:t xml:space="preserve"> intangible cultural heritage</w:t>
      </w:r>
      <w:r w:rsidR="00471E46" w:rsidRPr="00813D19">
        <w:rPr>
          <w:bCs/>
          <w:lang w:val="en-US"/>
        </w:rPr>
        <w:t xml:space="preserve"> </w:t>
      </w:r>
      <w:r w:rsidR="000927FD" w:rsidRPr="00813D19">
        <w:rPr>
          <w:bCs/>
          <w:lang w:val="en-US"/>
        </w:rPr>
        <w:t>acknowledge</w:t>
      </w:r>
      <w:r w:rsidR="000927FD">
        <w:rPr>
          <w:bCs/>
          <w:lang w:val="en-US"/>
        </w:rPr>
        <w:t>d</w:t>
      </w:r>
      <w:r w:rsidR="000927FD" w:rsidRPr="00813D19">
        <w:rPr>
          <w:bCs/>
          <w:lang w:val="en-US"/>
        </w:rPr>
        <w:t xml:space="preserve"> </w:t>
      </w:r>
      <w:r w:rsidR="00471E46" w:rsidRPr="00813D19">
        <w:rPr>
          <w:bCs/>
          <w:lang w:val="en-US"/>
        </w:rPr>
        <w:t xml:space="preserve">its </w:t>
      </w:r>
      <w:r w:rsidR="00EA3E5E" w:rsidRPr="00813D19">
        <w:rPr>
          <w:bCs/>
          <w:lang w:val="en-US"/>
        </w:rPr>
        <w:t>arduously obtained place in history and culture</w:t>
      </w:r>
      <w:r w:rsidR="00A130A6">
        <w:rPr>
          <w:bCs/>
          <w:lang w:val="en-US"/>
        </w:rPr>
        <w:t>”</w:t>
      </w:r>
      <w:r w:rsidR="00471E46" w:rsidRPr="003D53B3">
        <w:rPr>
          <w:bCs/>
          <w:lang w:val="en-US"/>
        </w:rPr>
        <w:t>.</w:t>
      </w:r>
    </w:p>
    <w:p w14:paraId="27B5DBE5" w14:textId="12299D9A" w:rsidR="00EA3E5E" w:rsidRPr="003D53B3" w:rsidRDefault="00471E46" w:rsidP="002A1B6F">
      <w:pPr>
        <w:pStyle w:val="Orateurengris"/>
        <w:spacing w:before="120"/>
        <w:ind w:left="709" w:hanging="709"/>
        <w:rPr>
          <w:rFonts w:eastAsia="Times New Roman"/>
          <w:lang w:val="en-US"/>
        </w:rPr>
      </w:pPr>
      <w:r w:rsidRPr="00813D19">
        <w:rPr>
          <w:bCs/>
          <w:lang w:val="en-US"/>
        </w:rPr>
        <w:t>The</w:t>
      </w:r>
      <w:r w:rsidRPr="00813D19">
        <w:rPr>
          <w:b/>
          <w:bCs/>
          <w:lang w:val="en-US"/>
        </w:rPr>
        <w:t xml:space="preserve"> delegation of Panama</w:t>
      </w:r>
      <w:r w:rsidRPr="00813D19">
        <w:rPr>
          <w:bCs/>
          <w:lang w:val="en-US"/>
        </w:rPr>
        <w:t xml:space="preserve">, Ms </w:t>
      </w:r>
      <w:r w:rsidR="00EA3E5E" w:rsidRPr="00813D19">
        <w:rPr>
          <w:bCs/>
          <w:lang w:val="en-US"/>
        </w:rPr>
        <w:t>Emma Gómez</w:t>
      </w:r>
      <w:r w:rsidR="006531A2" w:rsidRPr="00813D19">
        <w:rPr>
          <w:bCs/>
          <w:lang w:val="en-US"/>
        </w:rPr>
        <w:t>,</w:t>
      </w:r>
      <w:r w:rsidRPr="00813D19">
        <w:rPr>
          <w:b/>
          <w:bCs/>
          <w:lang w:val="en-US"/>
        </w:rPr>
        <w:t xml:space="preserve"> </w:t>
      </w:r>
      <w:r w:rsidR="00BA13DC" w:rsidRPr="00813D19">
        <w:rPr>
          <w:bCs/>
          <w:lang w:val="en-US"/>
        </w:rPr>
        <w:t>gave a heartfelt</w:t>
      </w:r>
      <w:r w:rsidR="00BA13DC" w:rsidRPr="00813D19">
        <w:rPr>
          <w:b/>
          <w:bCs/>
          <w:lang w:val="en-US"/>
        </w:rPr>
        <w:t xml:space="preserve"> </w:t>
      </w:r>
      <w:r w:rsidR="00EA3E5E" w:rsidRPr="00813D19">
        <w:rPr>
          <w:bCs/>
          <w:lang w:val="en-US"/>
        </w:rPr>
        <w:t>message from Panama</w:t>
      </w:r>
      <w:r w:rsidR="00DF171F" w:rsidRPr="00813D19">
        <w:rPr>
          <w:bCs/>
          <w:lang w:val="en-US"/>
        </w:rPr>
        <w:t xml:space="preserve">, explaining that </w:t>
      </w:r>
      <w:r w:rsidR="00EA3E5E" w:rsidRPr="00813D19">
        <w:rPr>
          <w:bCs/>
          <w:lang w:val="en-US"/>
        </w:rPr>
        <w:t xml:space="preserve">the </w:t>
      </w:r>
      <w:r w:rsidR="00DF171F" w:rsidRPr="00813D19">
        <w:rPr>
          <w:bCs/>
          <w:lang w:val="en-US"/>
        </w:rPr>
        <w:t xml:space="preserve">people behind the </w:t>
      </w:r>
      <w:r w:rsidR="00EA3E5E" w:rsidRPr="00813D19">
        <w:rPr>
          <w:bCs/>
          <w:lang w:val="en-US"/>
        </w:rPr>
        <w:t xml:space="preserve">Congo </w:t>
      </w:r>
      <w:r w:rsidR="00DF171F" w:rsidRPr="00813D19">
        <w:rPr>
          <w:bCs/>
          <w:lang w:val="en-US"/>
        </w:rPr>
        <w:t xml:space="preserve">had </w:t>
      </w:r>
      <w:r w:rsidR="00EA3E5E" w:rsidRPr="00813D19">
        <w:rPr>
          <w:bCs/>
          <w:lang w:val="en-US"/>
        </w:rPr>
        <w:t xml:space="preserve">been working on </w:t>
      </w:r>
      <w:r w:rsidR="00DF171F" w:rsidRPr="00813D19">
        <w:rPr>
          <w:bCs/>
          <w:lang w:val="en-US"/>
        </w:rPr>
        <w:t xml:space="preserve">the nomination </w:t>
      </w:r>
      <w:r w:rsidR="006531A2" w:rsidRPr="00813D19">
        <w:rPr>
          <w:bCs/>
          <w:lang w:val="en-US"/>
        </w:rPr>
        <w:t>since 2013</w:t>
      </w:r>
      <w:r w:rsidR="00EA3E5E" w:rsidRPr="00813D19">
        <w:rPr>
          <w:bCs/>
          <w:lang w:val="en-US"/>
        </w:rPr>
        <w:t xml:space="preserve"> </w:t>
      </w:r>
      <w:r w:rsidR="006531A2" w:rsidRPr="00813D19">
        <w:rPr>
          <w:bCs/>
          <w:lang w:val="en-US"/>
        </w:rPr>
        <w:t xml:space="preserve">and on </w:t>
      </w:r>
      <w:r w:rsidR="00DF171F" w:rsidRPr="00813D19">
        <w:rPr>
          <w:bCs/>
          <w:lang w:val="en-US"/>
        </w:rPr>
        <w:t xml:space="preserve">the </w:t>
      </w:r>
      <w:r w:rsidR="006531A2" w:rsidRPr="00813D19">
        <w:rPr>
          <w:bCs/>
          <w:lang w:val="en-US"/>
        </w:rPr>
        <w:t xml:space="preserve">inventory, </w:t>
      </w:r>
      <w:r w:rsidR="00EA3E5E" w:rsidRPr="00813D19">
        <w:rPr>
          <w:bCs/>
          <w:lang w:val="en-US"/>
        </w:rPr>
        <w:t xml:space="preserve">each </w:t>
      </w:r>
      <w:r w:rsidR="006531A2" w:rsidRPr="00813D19">
        <w:rPr>
          <w:bCs/>
          <w:lang w:val="en-US"/>
        </w:rPr>
        <w:t xml:space="preserve">one having </w:t>
      </w:r>
      <w:r w:rsidR="00DF171F" w:rsidRPr="00813D19">
        <w:rPr>
          <w:bCs/>
          <w:lang w:val="en-US"/>
        </w:rPr>
        <w:t xml:space="preserve">taken </w:t>
      </w:r>
      <w:r w:rsidR="00EA3E5E" w:rsidRPr="00813D19">
        <w:rPr>
          <w:bCs/>
          <w:lang w:val="en-US"/>
        </w:rPr>
        <w:t xml:space="preserve">years. </w:t>
      </w:r>
      <w:r w:rsidR="00DF171F" w:rsidRPr="00813D19">
        <w:rPr>
          <w:bCs/>
          <w:lang w:val="en-US"/>
        </w:rPr>
        <w:t xml:space="preserve">She spoke of their pride, </w:t>
      </w:r>
      <w:r w:rsidR="00EA3E5E" w:rsidRPr="00813D19">
        <w:rPr>
          <w:bCs/>
          <w:lang w:val="en-US"/>
        </w:rPr>
        <w:t xml:space="preserve">not only for the </w:t>
      </w:r>
      <w:r w:rsidR="00813D19" w:rsidRPr="00813D19">
        <w:rPr>
          <w:bCs/>
          <w:lang w:val="en-US"/>
        </w:rPr>
        <w:t>descendants</w:t>
      </w:r>
      <w:r w:rsidR="00EA3E5E" w:rsidRPr="00813D19">
        <w:rPr>
          <w:bCs/>
          <w:lang w:val="en-US"/>
        </w:rPr>
        <w:t xml:space="preserve"> of the slaves </w:t>
      </w:r>
      <w:r w:rsidR="00DF171F" w:rsidRPr="00813D19">
        <w:rPr>
          <w:bCs/>
          <w:lang w:val="en-US"/>
        </w:rPr>
        <w:t xml:space="preserve">who </w:t>
      </w:r>
      <w:r w:rsidR="00643371">
        <w:rPr>
          <w:bCs/>
          <w:lang w:val="en-US"/>
        </w:rPr>
        <w:t>had come</w:t>
      </w:r>
      <w:r w:rsidR="00643371" w:rsidRPr="00813D19">
        <w:rPr>
          <w:bCs/>
          <w:lang w:val="en-US"/>
        </w:rPr>
        <w:t xml:space="preserve"> </w:t>
      </w:r>
      <w:r w:rsidR="00DF171F" w:rsidRPr="00813D19">
        <w:rPr>
          <w:bCs/>
          <w:lang w:val="en-US"/>
        </w:rPr>
        <w:t xml:space="preserve">through the </w:t>
      </w:r>
      <w:r w:rsidR="00EA3E5E" w:rsidRPr="00813D19">
        <w:rPr>
          <w:bCs/>
          <w:lang w:val="en-US"/>
        </w:rPr>
        <w:t xml:space="preserve">different places </w:t>
      </w:r>
      <w:r w:rsidR="00DF171F" w:rsidRPr="00813D19">
        <w:rPr>
          <w:bCs/>
          <w:lang w:val="en-US"/>
        </w:rPr>
        <w:t xml:space="preserve">in Panama </w:t>
      </w:r>
      <w:r w:rsidR="00EA3E5E" w:rsidRPr="00813D19">
        <w:rPr>
          <w:bCs/>
          <w:lang w:val="en-US"/>
        </w:rPr>
        <w:t xml:space="preserve">and then </w:t>
      </w:r>
      <w:r w:rsidR="00643371">
        <w:rPr>
          <w:bCs/>
          <w:lang w:val="en-US"/>
        </w:rPr>
        <w:t xml:space="preserve">gone </w:t>
      </w:r>
      <w:r w:rsidR="00EA3E5E" w:rsidRPr="00813D19">
        <w:rPr>
          <w:bCs/>
          <w:lang w:val="en-US"/>
        </w:rPr>
        <w:t>to other countries in the Americas</w:t>
      </w:r>
      <w:r w:rsidR="00DF171F" w:rsidRPr="00813D19">
        <w:rPr>
          <w:bCs/>
          <w:lang w:val="en-US"/>
        </w:rPr>
        <w:t>,</w:t>
      </w:r>
      <w:r w:rsidR="00EA3E5E" w:rsidRPr="00813D19">
        <w:rPr>
          <w:bCs/>
          <w:lang w:val="en-US"/>
        </w:rPr>
        <w:t xml:space="preserve"> but </w:t>
      </w:r>
      <w:r w:rsidR="006531A2" w:rsidRPr="00813D19">
        <w:rPr>
          <w:bCs/>
          <w:lang w:val="en-US"/>
        </w:rPr>
        <w:t xml:space="preserve">also </w:t>
      </w:r>
      <w:r w:rsidR="00643371">
        <w:rPr>
          <w:bCs/>
          <w:lang w:val="en-US"/>
        </w:rPr>
        <w:t xml:space="preserve">for </w:t>
      </w:r>
      <w:r w:rsidR="00EA3E5E" w:rsidRPr="00813D19">
        <w:rPr>
          <w:bCs/>
          <w:lang w:val="en-US"/>
        </w:rPr>
        <w:t xml:space="preserve">the way they knew </w:t>
      </w:r>
      <w:r w:rsidR="00DF171F" w:rsidRPr="00813D19">
        <w:rPr>
          <w:bCs/>
          <w:lang w:val="en-US"/>
        </w:rPr>
        <w:t xml:space="preserve">how to </w:t>
      </w:r>
      <w:r w:rsidR="00EA3E5E" w:rsidRPr="00813D19">
        <w:rPr>
          <w:bCs/>
          <w:lang w:val="en-US"/>
        </w:rPr>
        <w:t xml:space="preserve">continue </w:t>
      </w:r>
      <w:r w:rsidR="00DF171F" w:rsidRPr="00813D19">
        <w:rPr>
          <w:bCs/>
          <w:lang w:val="en-US"/>
        </w:rPr>
        <w:t xml:space="preserve">their </w:t>
      </w:r>
      <w:r w:rsidR="00EA3E5E" w:rsidRPr="00813D19">
        <w:rPr>
          <w:bCs/>
          <w:lang w:val="en-US"/>
        </w:rPr>
        <w:t xml:space="preserve">love </w:t>
      </w:r>
      <w:r w:rsidR="00DF171F" w:rsidRPr="00813D19">
        <w:rPr>
          <w:bCs/>
          <w:lang w:val="en-US"/>
        </w:rPr>
        <w:t xml:space="preserve">of their culture, </w:t>
      </w:r>
      <w:r w:rsidR="00EA3E5E" w:rsidRPr="00813D19">
        <w:rPr>
          <w:bCs/>
          <w:lang w:val="en-US"/>
        </w:rPr>
        <w:t xml:space="preserve">passing it down </w:t>
      </w:r>
      <w:r w:rsidR="00DF171F" w:rsidRPr="00813D19">
        <w:rPr>
          <w:bCs/>
          <w:lang w:val="en-US"/>
        </w:rPr>
        <w:t xml:space="preserve">until the present day </w:t>
      </w:r>
      <w:r w:rsidR="00EA3E5E" w:rsidRPr="00813D19">
        <w:rPr>
          <w:bCs/>
          <w:lang w:val="en-US"/>
        </w:rPr>
        <w:t xml:space="preserve">in </w:t>
      </w:r>
      <w:r w:rsidR="00DF171F" w:rsidRPr="00813D19">
        <w:rPr>
          <w:bCs/>
          <w:lang w:val="en-US"/>
        </w:rPr>
        <w:t xml:space="preserve">such </w:t>
      </w:r>
      <w:r w:rsidR="006531A2" w:rsidRPr="00813D19">
        <w:rPr>
          <w:bCs/>
          <w:lang w:val="en-US"/>
        </w:rPr>
        <w:t xml:space="preserve">places as Panama City, </w:t>
      </w:r>
      <w:r w:rsidR="00EA3E5E" w:rsidRPr="00813D19">
        <w:rPr>
          <w:bCs/>
          <w:lang w:val="en-US"/>
        </w:rPr>
        <w:t>Chepo, Chilibre and Curundú</w:t>
      </w:r>
      <w:r w:rsidR="00DF171F" w:rsidRPr="00813D19">
        <w:rPr>
          <w:bCs/>
          <w:lang w:val="en-US"/>
        </w:rPr>
        <w:t>,</w:t>
      </w:r>
      <w:r w:rsidR="00EA3E5E" w:rsidRPr="00813D19">
        <w:rPr>
          <w:bCs/>
          <w:lang w:val="en-US"/>
        </w:rPr>
        <w:t xml:space="preserve"> and other spaces with </w:t>
      </w:r>
      <w:r w:rsidR="00DF171F" w:rsidRPr="00813D19">
        <w:rPr>
          <w:bCs/>
          <w:lang w:val="en-US"/>
        </w:rPr>
        <w:t>its different districts:</w:t>
      </w:r>
      <w:r w:rsidR="00EA3E5E" w:rsidRPr="00813D19">
        <w:rPr>
          <w:bCs/>
          <w:lang w:val="en-US"/>
        </w:rPr>
        <w:t xml:space="preserve"> Santa Isabel, Portobelo, Colon, Chagres and Donoso</w:t>
      </w:r>
      <w:r w:rsidR="00DF171F" w:rsidRPr="00813D19">
        <w:rPr>
          <w:bCs/>
          <w:lang w:val="en-US"/>
        </w:rPr>
        <w:t xml:space="preserve">. The people thanked the </w:t>
      </w:r>
      <w:r w:rsidR="006531A2" w:rsidRPr="00813D19">
        <w:rPr>
          <w:bCs/>
          <w:lang w:val="en-US"/>
        </w:rPr>
        <w:t xml:space="preserve">Committee for the inscription, and </w:t>
      </w:r>
      <w:r w:rsidR="00DF171F" w:rsidRPr="00813D19">
        <w:rPr>
          <w:bCs/>
          <w:lang w:val="en-US"/>
        </w:rPr>
        <w:t xml:space="preserve">Ms Gómez thanked all </w:t>
      </w:r>
      <w:r w:rsidR="006531A2" w:rsidRPr="00813D19">
        <w:rPr>
          <w:bCs/>
          <w:lang w:val="en-US"/>
        </w:rPr>
        <w:t xml:space="preserve">those </w:t>
      </w:r>
      <w:r w:rsidR="00DF171F" w:rsidRPr="00813D19">
        <w:rPr>
          <w:bCs/>
          <w:lang w:val="en-US"/>
        </w:rPr>
        <w:t xml:space="preserve">who had </w:t>
      </w:r>
      <w:r w:rsidR="00EA3E5E" w:rsidRPr="00813D19">
        <w:rPr>
          <w:bCs/>
          <w:lang w:val="en-US"/>
        </w:rPr>
        <w:t>wo</w:t>
      </w:r>
      <w:r w:rsidR="00DF171F" w:rsidRPr="00813D19">
        <w:rPr>
          <w:bCs/>
          <w:lang w:val="en-US"/>
        </w:rPr>
        <w:t xml:space="preserve">rked on this project and for all the support received, as well as Africa </w:t>
      </w:r>
      <w:r w:rsidR="006531A2" w:rsidRPr="00813D19">
        <w:rPr>
          <w:bCs/>
          <w:lang w:val="en-US"/>
        </w:rPr>
        <w:t>that had</w:t>
      </w:r>
      <w:r w:rsidR="00DF171F" w:rsidRPr="00813D19">
        <w:rPr>
          <w:bCs/>
          <w:lang w:val="en-US"/>
        </w:rPr>
        <w:t xml:space="preserve"> a place in the Americas, and </w:t>
      </w:r>
      <w:r w:rsidR="00EA3E5E" w:rsidRPr="00813D19">
        <w:rPr>
          <w:bCs/>
          <w:lang w:val="en-US"/>
        </w:rPr>
        <w:t xml:space="preserve">Mauritius </w:t>
      </w:r>
      <w:r w:rsidR="00DF171F" w:rsidRPr="00813D19">
        <w:rPr>
          <w:bCs/>
          <w:lang w:val="en-US"/>
        </w:rPr>
        <w:t xml:space="preserve">for the </w:t>
      </w:r>
      <w:r w:rsidR="00EA3E5E" w:rsidRPr="00813D19">
        <w:rPr>
          <w:bCs/>
          <w:lang w:val="en-US"/>
        </w:rPr>
        <w:t>recognition</w:t>
      </w:r>
      <w:r w:rsidR="003D53B3">
        <w:rPr>
          <w:bCs/>
          <w:lang w:val="en-US"/>
        </w:rPr>
        <w:t>.</w:t>
      </w:r>
    </w:p>
    <w:p w14:paraId="15DA592C" w14:textId="618FDB0F" w:rsidR="001A0B83" w:rsidRPr="003D53B3" w:rsidRDefault="00BB01E7" w:rsidP="001A0B83">
      <w:pPr>
        <w:pStyle w:val="Orateurengris"/>
        <w:spacing w:before="120"/>
        <w:ind w:left="709" w:hanging="709"/>
        <w:rPr>
          <w:rFonts w:eastAsia="Times New Roman"/>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643371">
        <w:rPr>
          <w:color w:val="000000" w:themeColor="text1"/>
          <w:lang w:val="en-US"/>
        </w:rPr>
        <w:t>,</w:t>
      </w:r>
      <w:r w:rsidRPr="00813D19">
        <w:rPr>
          <w:color w:val="000000" w:themeColor="text1"/>
          <w:lang w:val="en-US"/>
        </w:rPr>
        <w:t xml:space="preserve"> </w:t>
      </w:r>
      <w:r w:rsidRPr="00813D19">
        <w:rPr>
          <w:b/>
          <w:color w:val="000000" w:themeColor="text1"/>
          <w:lang w:val="en-US"/>
        </w:rPr>
        <w:t xml:space="preserve">Nativity scene (szopka) tradition in Krakow </w:t>
      </w:r>
      <w:r w:rsidRPr="00813D19">
        <w:rPr>
          <w:color w:val="000000" w:themeColor="text1"/>
          <w:lang w:val="en-US"/>
        </w:rPr>
        <w:t>[draft decision 13.COM 10.b.29]</w:t>
      </w:r>
      <w:r w:rsidR="00643371">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Poland</w:t>
      </w:r>
      <w:r w:rsidRPr="00813D19">
        <w:rPr>
          <w:color w:val="000000" w:themeColor="text1"/>
          <w:lang w:val="en-US"/>
        </w:rPr>
        <w:t xml:space="preserve">. </w:t>
      </w:r>
      <w:r w:rsidR="001A0B83" w:rsidRPr="00813D19">
        <w:rPr>
          <w:lang w:val="en-US"/>
        </w:rPr>
        <w:t xml:space="preserve">The Nativity Scene (szopka) tradition in Krakow is a social practice </w:t>
      </w:r>
      <w:r w:rsidR="001A0B83" w:rsidRPr="00813D19">
        <w:rPr>
          <w:noProof/>
          <w:lang w:val="en-US"/>
        </w:rPr>
        <w:t>performed every year during Christmas</w:t>
      </w:r>
      <w:r w:rsidR="001A0B83" w:rsidRPr="00813D19">
        <w:rPr>
          <w:lang w:val="en-US"/>
        </w:rPr>
        <w:t>, centred on constructing cribs. The tradition is open to everyone with significant educational functions, passing on knowledge about the history of the city, its local architecture and customs.</w:t>
      </w:r>
      <w:r w:rsidR="00487A96" w:rsidRPr="00813D19">
        <w:rPr>
          <w:lang w:val="en-US"/>
        </w:rPr>
        <w:t xml:space="preserve"> </w:t>
      </w:r>
      <w:r w:rsidR="001A0B83" w:rsidRPr="00813D19">
        <w:rPr>
          <w:lang w:val="en-US"/>
        </w:rPr>
        <w:t>From the information included in th</w:t>
      </w:r>
      <w:r w:rsidR="007E14B1" w:rsidRPr="00813D19">
        <w:rPr>
          <w:lang w:val="en-US"/>
        </w:rPr>
        <w:t>e file, the nomination satisfied</w:t>
      </w:r>
      <w:r w:rsidR="001A0B83" w:rsidRPr="00813D19">
        <w:rPr>
          <w:lang w:val="en-US"/>
        </w:rPr>
        <w:t xml:space="preserve"> all five criteria. The Evaluation Body considered that</w:t>
      </w:r>
      <w:r w:rsidR="001A0B83" w:rsidRPr="00813D19">
        <w:rPr>
          <w:b/>
          <w:lang w:val="en-US"/>
        </w:rPr>
        <w:t xml:space="preserve"> </w:t>
      </w:r>
      <w:r w:rsidR="00673736" w:rsidRPr="00813D19">
        <w:rPr>
          <w:lang w:val="en-US"/>
        </w:rPr>
        <w:t>the</w:t>
      </w:r>
      <w:r w:rsidR="00673736" w:rsidRPr="00813D19">
        <w:rPr>
          <w:b/>
          <w:lang w:val="en-US"/>
        </w:rPr>
        <w:t xml:space="preserve"> </w:t>
      </w:r>
      <w:r w:rsidR="001A0B83" w:rsidRPr="00813D19">
        <w:rPr>
          <w:lang w:val="en-US"/>
        </w:rPr>
        <w:t>nativity scene tradition in Krakow represents stylized depictions of the birth of Jesus Christ that are produced in many different countries. Crib production is an integral, living part of the cultural heritage of Krakow and its surroundings and an important cultural symbol for Polish society.</w:t>
      </w:r>
      <w:r w:rsidR="001A0B83" w:rsidRPr="00813D19">
        <w:rPr>
          <w:noProof/>
          <w:lang w:val="en-US"/>
        </w:rPr>
        <w:t xml:space="preserve"> </w:t>
      </w:r>
      <w:r w:rsidR="001A0B83" w:rsidRPr="00813D19">
        <w:rPr>
          <w:lang w:val="en-US"/>
        </w:rPr>
        <w:t xml:space="preserve">The </w:t>
      </w:r>
      <w:r w:rsidR="001A0B83" w:rsidRPr="00813D19">
        <w:rPr>
          <w:noProof/>
          <w:lang w:val="en-US"/>
        </w:rPr>
        <w:t xml:space="preserve">element builds </w:t>
      </w:r>
      <w:r w:rsidR="00532FDC" w:rsidRPr="00813D19">
        <w:rPr>
          <w:noProof/>
          <w:lang w:val="en-US"/>
        </w:rPr>
        <w:t>on</w:t>
      </w:r>
      <w:r w:rsidR="001A0B83" w:rsidRPr="00813D19">
        <w:rPr>
          <w:noProof/>
          <w:lang w:val="en-US"/>
        </w:rPr>
        <w:t xml:space="preserve"> cultural identity and brings people together, thus creating new bonds. </w:t>
      </w:r>
      <w:r w:rsidR="00673736" w:rsidRPr="00813D19">
        <w:rPr>
          <w:lang w:val="en-US"/>
        </w:rPr>
        <w:t>The nomination included</w:t>
      </w:r>
      <w:r w:rsidR="001A0B83" w:rsidRPr="00813D19">
        <w:rPr>
          <w:lang w:val="en-US"/>
        </w:rPr>
        <w:t xml:space="preserve"> a well-conceived strategy with clearly defined risks and corresponding safeguarding measures. </w:t>
      </w:r>
      <w:r w:rsidR="001A0B83" w:rsidRPr="00813D19">
        <w:rPr>
          <w:noProof/>
          <w:lang w:val="en-US"/>
        </w:rPr>
        <w:t>The preparation of the file involved the widest possible participation of the communities concerned</w:t>
      </w:r>
      <w:r w:rsidR="00643371">
        <w:rPr>
          <w:noProof/>
          <w:lang w:val="en-US"/>
        </w:rPr>
        <w:t xml:space="preserve">, </w:t>
      </w:r>
      <w:r w:rsidR="001A0B83" w:rsidRPr="00813D19">
        <w:rPr>
          <w:noProof/>
          <w:lang w:val="en-US"/>
        </w:rPr>
        <w:t>including men and women.</w:t>
      </w:r>
      <w:r w:rsidR="00487A96" w:rsidRPr="00813D19">
        <w:rPr>
          <w:lang w:val="en-US"/>
        </w:rPr>
        <w:t xml:space="preserve"> </w:t>
      </w:r>
      <w:r w:rsidR="001A0B83" w:rsidRPr="00813D19">
        <w:rPr>
          <w:lang w:val="en-US"/>
        </w:rPr>
        <w:t>The Evaluation Body commend</w:t>
      </w:r>
      <w:r w:rsidR="007E14B1" w:rsidRPr="00813D19">
        <w:rPr>
          <w:lang w:val="en-US"/>
        </w:rPr>
        <w:t>ed</w:t>
      </w:r>
      <w:r w:rsidR="001A0B83" w:rsidRPr="00813D19">
        <w:rPr>
          <w:lang w:val="en-US"/>
        </w:rPr>
        <w:t xml:space="preserve"> the State Party for a well-prepared file, particularly in terms of community involvement, clear descriptions under criterion R.2</w:t>
      </w:r>
      <w:r w:rsidR="00673736" w:rsidRPr="00813D19">
        <w:rPr>
          <w:lang w:val="en-US"/>
        </w:rPr>
        <w:t xml:space="preserve"> and the video, which highlighted</w:t>
      </w:r>
      <w:r w:rsidR="001A0B83" w:rsidRPr="00813D19">
        <w:rPr>
          <w:lang w:val="en-US"/>
        </w:rPr>
        <w:t xml:space="preserve"> the social and cultural meanings of the element and the central role of the practitioners in all the processes connected with planning and implementing the safeguarding measures.</w:t>
      </w:r>
      <w:r w:rsidR="00487A96" w:rsidRPr="00813D19">
        <w:rPr>
          <w:lang w:val="en-US"/>
        </w:rPr>
        <w:t xml:space="preserve"> </w:t>
      </w:r>
      <w:r w:rsidR="001A0B83" w:rsidRPr="00813D19">
        <w:rPr>
          <w:lang w:val="en-US"/>
        </w:rPr>
        <w:t>The Evalu</w:t>
      </w:r>
      <w:r w:rsidR="0076685F" w:rsidRPr="00813D19">
        <w:rPr>
          <w:lang w:val="en-US"/>
        </w:rPr>
        <w:t>ation Body recommended</w:t>
      </w:r>
      <w:r w:rsidR="001A0B83" w:rsidRPr="00813D19">
        <w:rPr>
          <w:lang w:val="en-US"/>
        </w:rPr>
        <w:t xml:space="preserve"> that the Committee inscribe Nativity scene (szopka) tradition in Krakow on the Representative List</w:t>
      </w:r>
      <w:r w:rsidR="001A0B83" w:rsidRPr="003D53B3">
        <w:rPr>
          <w:lang w:val="en-US"/>
        </w:rPr>
        <w:t>.</w:t>
      </w:r>
    </w:p>
    <w:p w14:paraId="73729BFD" w14:textId="77777777" w:rsidR="00D34167" w:rsidRPr="00813D19" w:rsidRDefault="00D34167" w:rsidP="00D34167">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7CECA8B1" w14:textId="16B9B63C" w:rsidR="00483C0B" w:rsidRPr="003D53B3" w:rsidRDefault="00D34167" w:rsidP="00D34167">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483C0B" w:rsidRPr="00813D19">
        <w:rPr>
          <w:b/>
          <w:lang w:val="en-US"/>
        </w:rPr>
        <w:t xml:space="preserve">Chairperson declared Decision </w:t>
      </w:r>
      <w:hyperlink r:id="rId128" w:history="1">
        <w:r w:rsidR="00483C0B" w:rsidRPr="00813D19">
          <w:rPr>
            <w:rStyle w:val="Hyperlink"/>
            <w:b/>
            <w:lang w:val="en-US"/>
          </w:rPr>
          <w:t>13.COM 10.b.29</w:t>
        </w:r>
      </w:hyperlink>
      <w:r w:rsidR="00483C0B" w:rsidRPr="00813D19">
        <w:rPr>
          <w:b/>
          <w:lang w:val="en-US"/>
        </w:rPr>
        <w:t xml:space="preserve"> adopted to inscribe </w:t>
      </w:r>
      <w:r w:rsidR="00483C0B" w:rsidRPr="00813D19">
        <w:rPr>
          <w:b/>
          <w:color w:val="000000" w:themeColor="text1"/>
          <w:lang w:val="en-US"/>
        </w:rPr>
        <w:t>Nativity scene (szopka) tradition in Krakow on the Representative List</w:t>
      </w:r>
      <w:r w:rsidR="00483C0B" w:rsidRPr="003D53B3">
        <w:rPr>
          <w:bCs/>
          <w:snapToGrid/>
          <w:color w:val="000000" w:themeColor="text1"/>
          <w:lang w:val="en-US"/>
        </w:rPr>
        <w:t>.</w:t>
      </w:r>
    </w:p>
    <w:p w14:paraId="0D08E048" w14:textId="6441AA25" w:rsidR="00930B20" w:rsidRPr="003D53B3" w:rsidRDefault="00C81FC0" w:rsidP="00AC1FC4">
      <w:pPr>
        <w:pStyle w:val="Orateurengris"/>
        <w:spacing w:before="120"/>
        <w:ind w:left="709" w:hanging="709"/>
        <w:rPr>
          <w:rFonts w:eastAsia="Times New Roman"/>
          <w:lang w:val="en-US"/>
        </w:rPr>
      </w:pPr>
      <w:r w:rsidRPr="00813D19">
        <w:rPr>
          <w:lang w:val="en-US"/>
        </w:rPr>
        <w:t xml:space="preserve">The </w:t>
      </w:r>
      <w:r w:rsidRPr="00813D19">
        <w:rPr>
          <w:b/>
          <w:lang w:val="en-US"/>
        </w:rPr>
        <w:t>delegation of Poland</w:t>
      </w:r>
      <w:r w:rsidR="0076685F" w:rsidRPr="00813D19">
        <w:rPr>
          <w:b/>
          <w:lang w:val="en-US"/>
        </w:rPr>
        <w:t xml:space="preserve"> </w:t>
      </w:r>
      <w:r w:rsidR="00EA3E5E" w:rsidRPr="00813D19">
        <w:rPr>
          <w:lang w:val="en-US"/>
        </w:rPr>
        <w:t>express</w:t>
      </w:r>
      <w:r w:rsidR="00B77CD1" w:rsidRPr="00813D19">
        <w:rPr>
          <w:lang w:val="en-US"/>
        </w:rPr>
        <w:t>ed</w:t>
      </w:r>
      <w:r w:rsidR="00EA3E5E" w:rsidRPr="00813D19">
        <w:rPr>
          <w:lang w:val="en-US"/>
        </w:rPr>
        <w:t xml:space="preserve"> its sincere appreciation and gratitude to the Committee for the inscription of </w:t>
      </w:r>
      <w:r w:rsidR="00BA13DC" w:rsidRPr="00813D19">
        <w:rPr>
          <w:lang w:val="en-US"/>
        </w:rPr>
        <w:t>its</w:t>
      </w:r>
      <w:r w:rsidR="00EA3E5E" w:rsidRPr="00813D19">
        <w:rPr>
          <w:lang w:val="en-US"/>
        </w:rPr>
        <w:t xml:space="preserve"> very first element on the Representative List</w:t>
      </w:r>
      <w:r w:rsidR="00EA3E5E" w:rsidRPr="00813D19">
        <w:rPr>
          <w:bCs/>
          <w:lang w:val="en-US"/>
        </w:rPr>
        <w:t xml:space="preserve">. </w:t>
      </w:r>
      <w:r w:rsidR="00BA13DC" w:rsidRPr="00813D19">
        <w:rPr>
          <w:bCs/>
          <w:lang w:val="en-US"/>
        </w:rPr>
        <w:t xml:space="preserve">It was </w:t>
      </w:r>
      <w:r w:rsidR="00EA3E5E" w:rsidRPr="00813D19">
        <w:rPr>
          <w:bCs/>
          <w:lang w:val="en-US"/>
        </w:rPr>
        <w:t>hono</w:t>
      </w:r>
      <w:r w:rsidR="00FB131E">
        <w:rPr>
          <w:bCs/>
          <w:lang w:val="en-US"/>
        </w:rPr>
        <w:t>u</w:t>
      </w:r>
      <w:r w:rsidR="00EA3E5E" w:rsidRPr="00813D19">
        <w:rPr>
          <w:bCs/>
          <w:lang w:val="en-US"/>
        </w:rPr>
        <w:t xml:space="preserve">red </w:t>
      </w:r>
      <w:r w:rsidR="00BA13DC" w:rsidRPr="00813D19">
        <w:rPr>
          <w:bCs/>
          <w:lang w:val="en-US"/>
        </w:rPr>
        <w:t xml:space="preserve">to </w:t>
      </w:r>
      <w:r w:rsidR="00EA3E5E" w:rsidRPr="00813D19">
        <w:rPr>
          <w:bCs/>
          <w:lang w:val="en-US"/>
        </w:rPr>
        <w:t>have finally joined the international community o</w:t>
      </w:r>
      <w:r w:rsidR="00BA13DC" w:rsidRPr="00813D19">
        <w:rPr>
          <w:bCs/>
          <w:lang w:val="en-US"/>
        </w:rPr>
        <w:t xml:space="preserve">f intangible cultural heritage, adding that it was </w:t>
      </w:r>
      <w:r w:rsidR="00EA3E5E" w:rsidRPr="00813D19">
        <w:rPr>
          <w:bCs/>
          <w:lang w:val="en-US"/>
        </w:rPr>
        <w:t xml:space="preserve">pleased to see the Representative List </w:t>
      </w:r>
      <w:r w:rsidR="00532FDC" w:rsidRPr="00813D19">
        <w:rPr>
          <w:bCs/>
          <w:lang w:val="en-US"/>
        </w:rPr>
        <w:t>grow</w:t>
      </w:r>
      <w:r w:rsidR="00EA3E5E" w:rsidRPr="00813D19">
        <w:rPr>
          <w:bCs/>
          <w:lang w:val="en-US"/>
        </w:rPr>
        <w:t xml:space="preserve"> in diversity. </w:t>
      </w:r>
      <w:r w:rsidR="00BA13DC" w:rsidRPr="00813D19">
        <w:rPr>
          <w:bCs/>
          <w:lang w:val="en-US"/>
        </w:rPr>
        <w:t xml:space="preserve">The delegation </w:t>
      </w:r>
      <w:r w:rsidR="00EA3E5E" w:rsidRPr="00813D19">
        <w:rPr>
          <w:bCs/>
          <w:lang w:val="en-US"/>
        </w:rPr>
        <w:t>also thank</w:t>
      </w:r>
      <w:r w:rsidR="00BA13DC" w:rsidRPr="00813D19">
        <w:rPr>
          <w:bCs/>
          <w:lang w:val="en-US"/>
        </w:rPr>
        <w:t>ed</w:t>
      </w:r>
      <w:r w:rsidR="00EA3E5E" w:rsidRPr="00813D19">
        <w:rPr>
          <w:bCs/>
          <w:lang w:val="en-US"/>
        </w:rPr>
        <w:t xml:space="preserve"> the Evaluation Body for the commending remark</w:t>
      </w:r>
      <w:r w:rsidR="00BA13DC" w:rsidRPr="00813D19">
        <w:rPr>
          <w:bCs/>
          <w:lang w:val="en-US"/>
        </w:rPr>
        <w:t xml:space="preserve">s on the nomination file, welcoming </w:t>
      </w:r>
      <w:r w:rsidR="00EA3E5E" w:rsidRPr="00813D19">
        <w:rPr>
          <w:bCs/>
          <w:lang w:val="en-US"/>
        </w:rPr>
        <w:t xml:space="preserve">them as an appreciation </w:t>
      </w:r>
      <w:r w:rsidR="00BA13DC" w:rsidRPr="00813D19">
        <w:rPr>
          <w:bCs/>
          <w:lang w:val="en-US"/>
        </w:rPr>
        <w:t xml:space="preserve">of its hard work, </w:t>
      </w:r>
      <w:r w:rsidR="00EA3E5E" w:rsidRPr="00813D19">
        <w:rPr>
          <w:bCs/>
          <w:lang w:val="en-US"/>
        </w:rPr>
        <w:t xml:space="preserve">but also </w:t>
      </w:r>
      <w:r w:rsidR="00BA13DC" w:rsidRPr="00813D19">
        <w:rPr>
          <w:bCs/>
          <w:lang w:val="en-US"/>
        </w:rPr>
        <w:t xml:space="preserve">for </w:t>
      </w:r>
      <w:r w:rsidR="00EA3E5E" w:rsidRPr="00813D19">
        <w:rPr>
          <w:bCs/>
          <w:lang w:val="en-US"/>
        </w:rPr>
        <w:t>future nominations</w:t>
      </w:r>
      <w:r w:rsidR="00EA3E5E" w:rsidRPr="003D53B3">
        <w:rPr>
          <w:bCs/>
          <w:lang w:val="en-US"/>
        </w:rPr>
        <w:t>.</w:t>
      </w:r>
    </w:p>
    <w:p w14:paraId="2E664E26" w14:textId="2E6B6FA4" w:rsidR="00C81FC0" w:rsidRPr="003D53B3" w:rsidRDefault="00930B20" w:rsidP="00AC1FC4">
      <w:pPr>
        <w:pStyle w:val="Orateurengris"/>
        <w:spacing w:before="120"/>
        <w:ind w:left="709" w:hanging="709"/>
        <w:rPr>
          <w:rFonts w:eastAsia="Times New Roman"/>
          <w:lang w:val="en-US"/>
        </w:rPr>
      </w:pPr>
      <w:r w:rsidRPr="00813D19">
        <w:rPr>
          <w:bCs/>
          <w:lang w:val="en-US"/>
        </w:rPr>
        <w:t xml:space="preserve">The </w:t>
      </w:r>
      <w:r w:rsidRPr="00813D19">
        <w:rPr>
          <w:b/>
          <w:bCs/>
          <w:lang w:val="en-US"/>
        </w:rPr>
        <w:t xml:space="preserve">delegation of Poland </w:t>
      </w:r>
      <w:r w:rsidR="00532FDC" w:rsidRPr="00813D19">
        <w:rPr>
          <w:bCs/>
          <w:lang w:val="en-US"/>
        </w:rPr>
        <w:t>[second speaker]</w:t>
      </w:r>
      <w:r w:rsidRPr="00813D19">
        <w:rPr>
          <w:bCs/>
          <w:lang w:val="en-US"/>
        </w:rPr>
        <w:t xml:space="preserve"> </w:t>
      </w:r>
      <w:r w:rsidR="00BA13DC" w:rsidRPr="00813D19">
        <w:rPr>
          <w:bCs/>
          <w:lang w:val="en-US"/>
        </w:rPr>
        <w:t>spoke o</w:t>
      </w:r>
      <w:r w:rsidR="00EA3E5E" w:rsidRPr="00813D19">
        <w:rPr>
          <w:bCs/>
          <w:lang w:val="en-US"/>
        </w:rPr>
        <w:t>n behalf of the Minister of Culture and National Heritage</w:t>
      </w:r>
      <w:r w:rsidR="00BA13DC" w:rsidRPr="00813D19">
        <w:rPr>
          <w:bCs/>
          <w:lang w:val="en-US"/>
        </w:rPr>
        <w:t xml:space="preserve"> to </w:t>
      </w:r>
      <w:r w:rsidR="00EA3E5E" w:rsidRPr="00813D19">
        <w:rPr>
          <w:bCs/>
          <w:lang w:val="en-US"/>
        </w:rPr>
        <w:t>thank the Committee, the Evaluation Body and every person involved in the nomination process: the bearers, practitioners and experts. Since the ratification of the Convention</w:t>
      </w:r>
      <w:r w:rsidR="00BA13DC" w:rsidRPr="00813D19">
        <w:rPr>
          <w:bCs/>
          <w:lang w:val="en-US"/>
        </w:rPr>
        <w:t>,</w:t>
      </w:r>
      <w:r w:rsidR="00EA3E5E" w:rsidRPr="00813D19">
        <w:rPr>
          <w:bCs/>
          <w:lang w:val="en-US"/>
        </w:rPr>
        <w:t xml:space="preserve"> Poland </w:t>
      </w:r>
      <w:r w:rsidR="00643371">
        <w:rPr>
          <w:bCs/>
          <w:lang w:val="en-US"/>
        </w:rPr>
        <w:t xml:space="preserve">had </w:t>
      </w:r>
      <w:r w:rsidR="00EA3E5E" w:rsidRPr="00813D19">
        <w:rPr>
          <w:bCs/>
          <w:lang w:val="en-US"/>
        </w:rPr>
        <w:t xml:space="preserve">developed a set of safeguarding measures and created a national </w:t>
      </w:r>
      <w:r w:rsidR="00BA13DC" w:rsidRPr="00813D19">
        <w:rPr>
          <w:bCs/>
          <w:lang w:val="en-US"/>
        </w:rPr>
        <w:t xml:space="preserve">intangible cultural heritage </w:t>
      </w:r>
      <w:r w:rsidR="00EA3E5E" w:rsidRPr="00813D19">
        <w:rPr>
          <w:bCs/>
          <w:lang w:val="en-US"/>
        </w:rPr>
        <w:t xml:space="preserve">list on which </w:t>
      </w:r>
      <w:r w:rsidR="00BA13DC" w:rsidRPr="00813D19">
        <w:rPr>
          <w:bCs/>
          <w:lang w:val="en-US"/>
        </w:rPr>
        <w:t xml:space="preserve">there </w:t>
      </w:r>
      <w:r w:rsidR="00643371">
        <w:rPr>
          <w:bCs/>
          <w:lang w:val="en-US"/>
        </w:rPr>
        <w:t>w</w:t>
      </w:r>
      <w:r w:rsidR="006D5489">
        <w:rPr>
          <w:bCs/>
          <w:lang w:val="en-US"/>
        </w:rPr>
        <w:t>ere</w:t>
      </w:r>
      <w:r w:rsidR="00643371" w:rsidRPr="00813D19">
        <w:rPr>
          <w:bCs/>
          <w:lang w:val="en-US"/>
        </w:rPr>
        <w:t xml:space="preserve"> </w:t>
      </w:r>
      <w:r w:rsidR="00EA3E5E" w:rsidRPr="00813D19">
        <w:rPr>
          <w:bCs/>
          <w:lang w:val="en-US"/>
        </w:rPr>
        <w:t xml:space="preserve">now </w:t>
      </w:r>
      <w:r w:rsidR="00643371">
        <w:rPr>
          <w:bCs/>
          <w:lang w:val="en-US"/>
        </w:rPr>
        <w:t>thirty-two</w:t>
      </w:r>
      <w:r w:rsidR="00EA3E5E" w:rsidRPr="00813D19">
        <w:rPr>
          <w:bCs/>
          <w:lang w:val="en-US"/>
        </w:rPr>
        <w:t xml:space="preserve"> elements inscribed. The nativity scene (szopka) </w:t>
      </w:r>
      <w:r w:rsidR="00643371">
        <w:rPr>
          <w:bCs/>
          <w:lang w:val="en-US"/>
        </w:rPr>
        <w:t>was</w:t>
      </w:r>
      <w:r w:rsidR="00643371" w:rsidRPr="00813D19">
        <w:rPr>
          <w:bCs/>
          <w:lang w:val="en-US"/>
        </w:rPr>
        <w:t xml:space="preserve"> </w:t>
      </w:r>
      <w:r w:rsidR="00EA3E5E" w:rsidRPr="00813D19">
        <w:rPr>
          <w:bCs/>
          <w:lang w:val="en-US"/>
        </w:rPr>
        <w:t xml:space="preserve">the first element inscribed on the Representative List and </w:t>
      </w:r>
      <w:r w:rsidR="00BA13DC" w:rsidRPr="00813D19">
        <w:rPr>
          <w:bCs/>
          <w:lang w:val="en-US"/>
        </w:rPr>
        <w:t xml:space="preserve">the delegation was </w:t>
      </w:r>
      <w:r w:rsidR="00EA3E5E" w:rsidRPr="00813D19">
        <w:rPr>
          <w:bCs/>
          <w:lang w:val="en-US"/>
        </w:rPr>
        <w:t>convinced that this element</w:t>
      </w:r>
      <w:r w:rsidR="00BA13DC" w:rsidRPr="00813D19">
        <w:rPr>
          <w:bCs/>
          <w:lang w:val="en-US"/>
        </w:rPr>
        <w:t>,</w:t>
      </w:r>
      <w:r w:rsidR="00EA3E5E" w:rsidRPr="00813D19">
        <w:rPr>
          <w:bCs/>
          <w:lang w:val="en-US"/>
        </w:rPr>
        <w:t xml:space="preserve"> as well as others in the future</w:t>
      </w:r>
      <w:r w:rsidR="00BA13DC" w:rsidRPr="00813D19">
        <w:rPr>
          <w:bCs/>
          <w:lang w:val="en-US"/>
        </w:rPr>
        <w:t>,</w:t>
      </w:r>
      <w:r w:rsidR="00EA3E5E" w:rsidRPr="00813D19">
        <w:rPr>
          <w:bCs/>
          <w:lang w:val="en-US"/>
        </w:rPr>
        <w:t xml:space="preserve"> </w:t>
      </w:r>
      <w:r w:rsidR="006D5489">
        <w:rPr>
          <w:bCs/>
          <w:lang w:val="en-US"/>
        </w:rPr>
        <w:t>would</w:t>
      </w:r>
      <w:r w:rsidR="006D5489" w:rsidRPr="00813D19">
        <w:rPr>
          <w:bCs/>
          <w:lang w:val="en-US"/>
        </w:rPr>
        <w:t xml:space="preserve"> </w:t>
      </w:r>
      <w:r w:rsidR="00EA3E5E" w:rsidRPr="00813D19">
        <w:rPr>
          <w:bCs/>
          <w:lang w:val="en-US"/>
        </w:rPr>
        <w:t xml:space="preserve">contribute to the diversity of </w:t>
      </w:r>
      <w:r w:rsidR="00BA13DC" w:rsidRPr="00813D19">
        <w:rPr>
          <w:bCs/>
          <w:lang w:val="en-US"/>
        </w:rPr>
        <w:t xml:space="preserve">the </w:t>
      </w:r>
      <w:r w:rsidR="00EA3E5E" w:rsidRPr="00813D19">
        <w:rPr>
          <w:bCs/>
          <w:lang w:val="en-US"/>
        </w:rPr>
        <w:t xml:space="preserve">cultural heritage of humanity. The Nativity scene (szopka) is closely connected to </w:t>
      </w:r>
      <w:r w:rsidR="00BA13DC" w:rsidRPr="00813D19">
        <w:rPr>
          <w:bCs/>
          <w:lang w:val="en-US"/>
        </w:rPr>
        <w:t xml:space="preserve">the </w:t>
      </w:r>
      <w:r w:rsidR="00EA3E5E" w:rsidRPr="00813D19">
        <w:rPr>
          <w:bCs/>
          <w:lang w:val="en-US"/>
        </w:rPr>
        <w:t>Christmas celebration</w:t>
      </w:r>
      <w:r w:rsidR="00BA13DC" w:rsidRPr="00813D19">
        <w:rPr>
          <w:bCs/>
          <w:lang w:val="en-US"/>
        </w:rPr>
        <w:t>,</w:t>
      </w:r>
      <w:r w:rsidR="00EA3E5E" w:rsidRPr="00813D19">
        <w:rPr>
          <w:bCs/>
          <w:lang w:val="en-US"/>
        </w:rPr>
        <w:t xml:space="preserve"> </w:t>
      </w:r>
      <w:r w:rsidR="00532FDC" w:rsidRPr="00813D19">
        <w:rPr>
          <w:bCs/>
          <w:lang w:val="en-US"/>
        </w:rPr>
        <w:t>with</w:t>
      </w:r>
      <w:r w:rsidR="00EA3E5E" w:rsidRPr="00813D19">
        <w:rPr>
          <w:bCs/>
          <w:lang w:val="en-US"/>
        </w:rPr>
        <w:t xml:space="preserve"> the city of Krakow inscribed on the World Heritage List. Annually</w:t>
      </w:r>
      <w:r w:rsidR="00BA13DC" w:rsidRPr="00813D19">
        <w:rPr>
          <w:bCs/>
          <w:lang w:val="en-US"/>
        </w:rPr>
        <w:t>,</w:t>
      </w:r>
      <w:r w:rsidR="00EA3E5E" w:rsidRPr="00813D19">
        <w:rPr>
          <w:bCs/>
          <w:lang w:val="en-US"/>
        </w:rPr>
        <w:t xml:space="preserve"> the Christmas preparations start with the szopka and all </w:t>
      </w:r>
      <w:r w:rsidR="001914EC" w:rsidRPr="00813D19">
        <w:rPr>
          <w:bCs/>
          <w:lang w:val="en-US"/>
        </w:rPr>
        <w:t xml:space="preserve">the </w:t>
      </w:r>
      <w:r w:rsidR="00EA3E5E" w:rsidRPr="00813D19">
        <w:rPr>
          <w:bCs/>
          <w:lang w:val="en-US"/>
        </w:rPr>
        <w:t xml:space="preserve">creators and practitioners gather at the main square to present the results of their skills. </w:t>
      </w:r>
      <w:r w:rsidR="001914EC" w:rsidRPr="00813D19">
        <w:rPr>
          <w:bCs/>
          <w:lang w:val="en-US"/>
        </w:rPr>
        <w:t xml:space="preserve">Following the </w:t>
      </w:r>
      <w:r w:rsidR="00EA3E5E" w:rsidRPr="00813D19">
        <w:rPr>
          <w:bCs/>
          <w:lang w:val="en-US"/>
        </w:rPr>
        <w:t>decision of the Committee</w:t>
      </w:r>
      <w:r w:rsidR="001914EC" w:rsidRPr="00813D19">
        <w:rPr>
          <w:bCs/>
          <w:lang w:val="en-US"/>
        </w:rPr>
        <w:t>,</w:t>
      </w:r>
      <w:r w:rsidR="00EA3E5E" w:rsidRPr="00813D19">
        <w:rPr>
          <w:bCs/>
          <w:lang w:val="en-US"/>
        </w:rPr>
        <w:t xml:space="preserve"> the Christmas celebration </w:t>
      </w:r>
      <w:r w:rsidR="006D5489">
        <w:rPr>
          <w:bCs/>
          <w:lang w:val="en-US"/>
        </w:rPr>
        <w:t>would</w:t>
      </w:r>
      <w:r w:rsidR="006D5489" w:rsidRPr="00813D19">
        <w:rPr>
          <w:bCs/>
          <w:lang w:val="en-US"/>
        </w:rPr>
        <w:t xml:space="preserve"> </w:t>
      </w:r>
      <w:r w:rsidR="00EA3E5E" w:rsidRPr="00813D19">
        <w:rPr>
          <w:bCs/>
          <w:lang w:val="en-US"/>
        </w:rPr>
        <w:t xml:space="preserve">be particularly significant for all Polish people. The practitioners of the nativity scene </w:t>
      </w:r>
      <w:r w:rsidR="001914EC" w:rsidRPr="00813D19">
        <w:rPr>
          <w:bCs/>
          <w:lang w:val="en-US"/>
        </w:rPr>
        <w:t>(</w:t>
      </w:r>
      <w:r w:rsidR="00EA3E5E" w:rsidRPr="00813D19">
        <w:rPr>
          <w:bCs/>
          <w:lang w:val="en-US"/>
        </w:rPr>
        <w:t>szopka</w:t>
      </w:r>
      <w:r w:rsidR="001914EC" w:rsidRPr="00813D19">
        <w:rPr>
          <w:bCs/>
          <w:lang w:val="en-US"/>
        </w:rPr>
        <w:t>)</w:t>
      </w:r>
      <w:r w:rsidR="00EA3E5E" w:rsidRPr="00813D19">
        <w:rPr>
          <w:bCs/>
          <w:lang w:val="en-US"/>
        </w:rPr>
        <w:t xml:space="preserve"> were placed at the ce</w:t>
      </w:r>
      <w:r w:rsidR="001914EC" w:rsidRPr="00813D19">
        <w:rPr>
          <w:bCs/>
          <w:lang w:val="en-US"/>
        </w:rPr>
        <w:t>nt</w:t>
      </w:r>
      <w:r w:rsidR="00EA3E5E" w:rsidRPr="00813D19">
        <w:rPr>
          <w:bCs/>
          <w:lang w:val="en-US"/>
        </w:rPr>
        <w:t>r</w:t>
      </w:r>
      <w:r w:rsidR="001914EC" w:rsidRPr="00813D19">
        <w:rPr>
          <w:bCs/>
          <w:lang w:val="en-US"/>
        </w:rPr>
        <w:t>e</w:t>
      </w:r>
      <w:r w:rsidR="00EA3E5E" w:rsidRPr="00813D19">
        <w:rPr>
          <w:bCs/>
          <w:lang w:val="en-US"/>
        </w:rPr>
        <w:t xml:space="preserve"> of the nomination and safeguarding process</w:t>
      </w:r>
      <w:r w:rsidR="001914EC" w:rsidRPr="00813D19">
        <w:rPr>
          <w:bCs/>
          <w:lang w:val="en-US"/>
        </w:rPr>
        <w:t>, and the delegation invited</w:t>
      </w:r>
      <w:r w:rsidR="00EA3E5E" w:rsidRPr="00813D19">
        <w:rPr>
          <w:bCs/>
          <w:lang w:val="en-US"/>
        </w:rPr>
        <w:t xml:space="preserve"> </w:t>
      </w:r>
      <w:r w:rsidR="00532FDC" w:rsidRPr="00813D19">
        <w:rPr>
          <w:bCs/>
          <w:lang w:val="en-US"/>
        </w:rPr>
        <w:t>a young girl, re</w:t>
      </w:r>
      <w:r w:rsidR="001914EC" w:rsidRPr="00813D19">
        <w:rPr>
          <w:bCs/>
          <w:lang w:val="en-US"/>
        </w:rPr>
        <w:t xml:space="preserve">presenting </w:t>
      </w:r>
      <w:r w:rsidR="00EA3E5E" w:rsidRPr="00813D19">
        <w:rPr>
          <w:bCs/>
          <w:lang w:val="en-US"/>
        </w:rPr>
        <w:t>the young generation of szopka makers</w:t>
      </w:r>
      <w:r w:rsidR="001914EC" w:rsidRPr="00813D19">
        <w:rPr>
          <w:bCs/>
          <w:lang w:val="en-US"/>
        </w:rPr>
        <w:t>, to say a few words</w:t>
      </w:r>
      <w:r w:rsidR="00EA3E5E" w:rsidRPr="00813D19">
        <w:rPr>
          <w:bCs/>
          <w:lang w:val="en-US"/>
        </w:rPr>
        <w:t xml:space="preserve">. </w:t>
      </w:r>
      <w:r w:rsidR="00EA3E5E" w:rsidRPr="00813D19">
        <w:rPr>
          <w:b/>
          <w:bCs/>
          <w:lang w:val="en-US"/>
        </w:rPr>
        <w:t>Emilka</w:t>
      </w:r>
      <w:r w:rsidR="001914EC" w:rsidRPr="00813D19">
        <w:rPr>
          <w:bCs/>
          <w:lang w:val="en-US"/>
        </w:rPr>
        <w:t xml:space="preserve"> was </w:t>
      </w:r>
      <w:r w:rsidR="00EA3E5E" w:rsidRPr="00813D19">
        <w:rPr>
          <w:bCs/>
          <w:lang w:val="en-US"/>
        </w:rPr>
        <w:t xml:space="preserve">very happy to see </w:t>
      </w:r>
      <w:r w:rsidR="001914EC" w:rsidRPr="00813D19">
        <w:rPr>
          <w:bCs/>
          <w:lang w:val="en-US"/>
        </w:rPr>
        <w:t xml:space="preserve">the </w:t>
      </w:r>
      <w:r w:rsidR="00EA3E5E" w:rsidRPr="00813D19">
        <w:rPr>
          <w:bCs/>
          <w:lang w:val="en-US"/>
        </w:rPr>
        <w:t>tradition inscribed on the UNESCO List</w:t>
      </w:r>
      <w:r w:rsidR="00532FDC" w:rsidRPr="00813D19">
        <w:rPr>
          <w:bCs/>
          <w:lang w:val="en-US"/>
        </w:rPr>
        <w:t>, adding that she</w:t>
      </w:r>
      <w:r w:rsidR="001914EC" w:rsidRPr="00813D19">
        <w:rPr>
          <w:bCs/>
          <w:lang w:val="en-US"/>
        </w:rPr>
        <w:t xml:space="preserve"> had </w:t>
      </w:r>
      <w:r w:rsidR="00EA3E5E" w:rsidRPr="00813D19">
        <w:rPr>
          <w:bCs/>
          <w:lang w:val="en-US"/>
        </w:rPr>
        <w:t xml:space="preserve">learned how to make nativity scenes from </w:t>
      </w:r>
      <w:r w:rsidR="001914EC" w:rsidRPr="00813D19">
        <w:rPr>
          <w:bCs/>
          <w:lang w:val="en-US"/>
        </w:rPr>
        <w:t xml:space="preserve">her </w:t>
      </w:r>
      <w:r w:rsidR="00EA3E5E" w:rsidRPr="00813D19">
        <w:rPr>
          <w:bCs/>
          <w:lang w:val="en-US"/>
        </w:rPr>
        <w:t xml:space="preserve">great-grandfather and now </w:t>
      </w:r>
      <w:r w:rsidR="001914EC" w:rsidRPr="00813D19">
        <w:rPr>
          <w:bCs/>
          <w:lang w:val="en-US"/>
        </w:rPr>
        <w:t xml:space="preserve">made </w:t>
      </w:r>
      <w:r w:rsidR="00EA3E5E" w:rsidRPr="00813D19">
        <w:rPr>
          <w:bCs/>
          <w:lang w:val="en-US"/>
        </w:rPr>
        <w:t xml:space="preserve">szopka every year with </w:t>
      </w:r>
      <w:r w:rsidR="00532FDC" w:rsidRPr="00813D19">
        <w:rPr>
          <w:bCs/>
          <w:lang w:val="en-US"/>
        </w:rPr>
        <w:t>h</w:t>
      </w:r>
      <w:r w:rsidR="001914EC" w:rsidRPr="00813D19">
        <w:rPr>
          <w:bCs/>
          <w:lang w:val="en-US"/>
        </w:rPr>
        <w:t xml:space="preserve">er </w:t>
      </w:r>
      <w:r w:rsidR="00EA3E5E" w:rsidRPr="00813D19">
        <w:rPr>
          <w:bCs/>
          <w:lang w:val="en-US"/>
        </w:rPr>
        <w:t>mother or by myself. Thanks to the inscription</w:t>
      </w:r>
      <w:r w:rsidR="001914EC" w:rsidRPr="00813D19">
        <w:rPr>
          <w:bCs/>
          <w:lang w:val="en-US"/>
        </w:rPr>
        <w:t xml:space="preserve">, she </w:t>
      </w:r>
      <w:r w:rsidR="00EA3E5E" w:rsidRPr="00813D19">
        <w:rPr>
          <w:bCs/>
          <w:lang w:val="en-US"/>
        </w:rPr>
        <w:t>hope</w:t>
      </w:r>
      <w:r w:rsidR="00532FDC" w:rsidRPr="00813D19">
        <w:rPr>
          <w:bCs/>
          <w:lang w:val="en-US"/>
        </w:rPr>
        <w:t>d</w:t>
      </w:r>
      <w:r w:rsidR="00EA3E5E" w:rsidRPr="00813D19">
        <w:rPr>
          <w:bCs/>
          <w:lang w:val="en-US"/>
        </w:rPr>
        <w:t xml:space="preserve"> to have more </w:t>
      </w:r>
      <w:r w:rsidR="001914EC" w:rsidRPr="00813D19">
        <w:rPr>
          <w:bCs/>
          <w:lang w:val="en-US"/>
        </w:rPr>
        <w:t xml:space="preserve">people making the </w:t>
      </w:r>
      <w:r w:rsidR="00EA3E5E" w:rsidRPr="00813D19">
        <w:rPr>
          <w:bCs/>
          <w:lang w:val="en-US"/>
        </w:rPr>
        <w:t xml:space="preserve">szopka with </w:t>
      </w:r>
      <w:r w:rsidR="001914EC" w:rsidRPr="00813D19">
        <w:rPr>
          <w:bCs/>
          <w:lang w:val="en-US"/>
        </w:rPr>
        <w:t>her</w:t>
      </w:r>
      <w:r w:rsidR="00EA3E5E" w:rsidRPr="00813D19">
        <w:rPr>
          <w:bCs/>
          <w:lang w:val="en-US"/>
        </w:rPr>
        <w:t xml:space="preserve">. </w:t>
      </w:r>
      <w:r w:rsidR="00532FDC" w:rsidRPr="00813D19">
        <w:rPr>
          <w:bCs/>
          <w:lang w:val="en-US"/>
        </w:rPr>
        <w:t xml:space="preserve">[Another speaker] </w:t>
      </w:r>
      <w:r w:rsidR="001914EC" w:rsidRPr="00813D19">
        <w:rPr>
          <w:bCs/>
          <w:lang w:val="en-US"/>
        </w:rPr>
        <w:t>A Representative</w:t>
      </w:r>
      <w:r w:rsidR="00EA3E5E" w:rsidRPr="00813D19">
        <w:rPr>
          <w:bCs/>
          <w:lang w:val="en-US"/>
        </w:rPr>
        <w:t xml:space="preserve"> </w:t>
      </w:r>
      <w:r w:rsidR="00532FDC" w:rsidRPr="00813D19">
        <w:rPr>
          <w:bCs/>
          <w:lang w:val="en-US"/>
        </w:rPr>
        <w:t xml:space="preserve">and creator </w:t>
      </w:r>
      <w:r w:rsidR="00EA3E5E" w:rsidRPr="00813D19">
        <w:rPr>
          <w:bCs/>
          <w:lang w:val="en-US"/>
        </w:rPr>
        <w:t>of</w:t>
      </w:r>
      <w:r w:rsidR="001914EC" w:rsidRPr="00813D19">
        <w:rPr>
          <w:bCs/>
          <w:lang w:val="en-US"/>
        </w:rPr>
        <w:t xml:space="preserve"> szopka nativity scene </w:t>
      </w:r>
      <w:r w:rsidR="00EA3E5E" w:rsidRPr="00813D19">
        <w:rPr>
          <w:bCs/>
          <w:lang w:val="en-US"/>
        </w:rPr>
        <w:t>express</w:t>
      </w:r>
      <w:r w:rsidR="001914EC" w:rsidRPr="00813D19">
        <w:rPr>
          <w:bCs/>
          <w:lang w:val="en-US"/>
        </w:rPr>
        <w:t>ed</w:t>
      </w:r>
      <w:r w:rsidR="00EA3E5E" w:rsidRPr="00813D19">
        <w:rPr>
          <w:bCs/>
          <w:lang w:val="en-US"/>
        </w:rPr>
        <w:t xml:space="preserve"> gratitude to the </w:t>
      </w:r>
      <w:r w:rsidR="001914EC" w:rsidRPr="00813D19">
        <w:rPr>
          <w:bCs/>
          <w:lang w:val="en-US"/>
        </w:rPr>
        <w:t>C</w:t>
      </w:r>
      <w:r w:rsidR="00EA3E5E" w:rsidRPr="00813D19">
        <w:rPr>
          <w:bCs/>
          <w:lang w:val="en-US"/>
        </w:rPr>
        <w:t>ommittee for the inscription of the element on the Representative List</w:t>
      </w:r>
      <w:r w:rsidR="001914EC" w:rsidRPr="00813D19">
        <w:rPr>
          <w:bCs/>
          <w:lang w:val="en-US"/>
        </w:rPr>
        <w:t xml:space="preserve"> on this </w:t>
      </w:r>
      <w:r w:rsidR="00EA3E5E" w:rsidRPr="00813D19">
        <w:rPr>
          <w:bCs/>
          <w:lang w:val="en-US"/>
        </w:rPr>
        <w:t xml:space="preserve">proud </w:t>
      </w:r>
      <w:r w:rsidR="001914EC" w:rsidRPr="00813D19">
        <w:rPr>
          <w:bCs/>
          <w:lang w:val="en-US"/>
        </w:rPr>
        <w:t xml:space="preserve">and </w:t>
      </w:r>
      <w:r w:rsidR="00EA3E5E" w:rsidRPr="00813D19">
        <w:rPr>
          <w:bCs/>
          <w:lang w:val="en-US"/>
        </w:rPr>
        <w:t>historic</w:t>
      </w:r>
      <w:r w:rsidR="001914EC" w:rsidRPr="00813D19">
        <w:rPr>
          <w:bCs/>
          <w:lang w:val="en-US"/>
        </w:rPr>
        <w:t>al</w:t>
      </w:r>
      <w:r w:rsidR="00EA3E5E" w:rsidRPr="00813D19">
        <w:rPr>
          <w:bCs/>
          <w:lang w:val="en-US"/>
        </w:rPr>
        <w:t xml:space="preserve"> moment. </w:t>
      </w:r>
      <w:r w:rsidR="001914EC" w:rsidRPr="00813D19">
        <w:rPr>
          <w:bCs/>
          <w:lang w:val="en-US"/>
        </w:rPr>
        <w:t xml:space="preserve">He gave the </w:t>
      </w:r>
      <w:r w:rsidR="00EA3E5E" w:rsidRPr="00813D19">
        <w:rPr>
          <w:bCs/>
          <w:lang w:val="en-US"/>
        </w:rPr>
        <w:t>Chairperson</w:t>
      </w:r>
      <w:r w:rsidR="001914EC" w:rsidRPr="00813D19">
        <w:rPr>
          <w:bCs/>
          <w:lang w:val="en-US"/>
        </w:rPr>
        <w:t>,</w:t>
      </w:r>
      <w:r w:rsidR="00EA3E5E" w:rsidRPr="00813D19">
        <w:rPr>
          <w:bCs/>
          <w:lang w:val="en-US"/>
        </w:rPr>
        <w:t xml:space="preserve"> </w:t>
      </w:r>
      <w:r w:rsidR="00532FDC" w:rsidRPr="00813D19">
        <w:rPr>
          <w:bCs/>
          <w:lang w:val="en-US"/>
        </w:rPr>
        <w:t xml:space="preserve">as the </w:t>
      </w:r>
      <w:r w:rsidR="00EA3E5E" w:rsidRPr="00813D19">
        <w:rPr>
          <w:bCs/>
          <w:lang w:val="en-US"/>
        </w:rPr>
        <w:t>Min</w:t>
      </w:r>
      <w:r w:rsidR="006D5489">
        <w:rPr>
          <w:bCs/>
          <w:lang w:val="en-US"/>
        </w:rPr>
        <w:t>i</w:t>
      </w:r>
      <w:r w:rsidR="00EA3E5E" w:rsidRPr="00813D19">
        <w:rPr>
          <w:bCs/>
          <w:lang w:val="en-US"/>
        </w:rPr>
        <w:t>ster of Arts and Culture of Mauritius</w:t>
      </w:r>
      <w:r w:rsidR="001914EC" w:rsidRPr="00813D19">
        <w:rPr>
          <w:bCs/>
          <w:lang w:val="en-US"/>
        </w:rPr>
        <w:t>,</w:t>
      </w:r>
      <w:r w:rsidR="00EA3E5E" w:rsidRPr="00813D19">
        <w:rPr>
          <w:bCs/>
          <w:lang w:val="en-US"/>
        </w:rPr>
        <w:t xml:space="preserve"> </w:t>
      </w:r>
      <w:r w:rsidR="001914EC" w:rsidRPr="00813D19">
        <w:rPr>
          <w:bCs/>
          <w:lang w:val="en-US"/>
        </w:rPr>
        <w:t xml:space="preserve">a </w:t>
      </w:r>
      <w:r w:rsidR="00EA3E5E" w:rsidRPr="00813D19">
        <w:rPr>
          <w:bCs/>
          <w:lang w:val="en-US"/>
        </w:rPr>
        <w:t>szopka</w:t>
      </w:r>
      <w:r w:rsidR="001914EC" w:rsidRPr="00813D19">
        <w:rPr>
          <w:bCs/>
          <w:lang w:val="en-US"/>
        </w:rPr>
        <w:t xml:space="preserve"> scene as </w:t>
      </w:r>
      <w:r w:rsidR="00532FDC" w:rsidRPr="00813D19">
        <w:rPr>
          <w:bCs/>
          <w:lang w:val="en-US"/>
        </w:rPr>
        <w:t xml:space="preserve">a </w:t>
      </w:r>
      <w:r w:rsidR="00EA3E5E" w:rsidRPr="00813D19">
        <w:rPr>
          <w:bCs/>
          <w:lang w:val="en-US"/>
        </w:rPr>
        <w:t>gift for</w:t>
      </w:r>
      <w:r w:rsidR="001914EC" w:rsidRPr="00813D19">
        <w:rPr>
          <w:bCs/>
          <w:lang w:val="en-US"/>
        </w:rPr>
        <w:t xml:space="preserve"> the whole nation of Mauritius</w:t>
      </w:r>
      <w:r w:rsidR="001914EC" w:rsidRPr="003D53B3">
        <w:rPr>
          <w:bCs/>
          <w:lang w:val="en-US"/>
        </w:rPr>
        <w:t>.</w:t>
      </w:r>
    </w:p>
    <w:p w14:paraId="4BD57286" w14:textId="4F2A6153" w:rsidR="0076685F" w:rsidRPr="003D53B3" w:rsidRDefault="00132725" w:rsidP="003D53B3">
      <w:pPr>
        <w:pStyle w:val="Orateurengris"/>
        <w:numPr>
          <w:ilvl w:val="0"/>
          <w:numId w:val="0"/>
        </w:numPr>
        <w:spacing w:before="240" w:after="240"/>
        <w:jc w:val="center"/>
        <w:rPr>
          <w:rFonts w:eastAsia="Times New Roman"/>
          <w:i/>
          <w:lang w:val="en-US"/>
        </w:rPr>
      </w:pPr>
      <w:r w:rsidRPr="003D53B3">
        <w:rPr>
          <w:i/>
          <w:lang w:val="en-US"/>
        </w:rPr>
        <w:t>[</w:t>
      </w:r>
      <w:r w:rsidR="00F50D74" w:rsidRPr="003D53B3">
        <w:rPr>
          <w:i/>
          <w:lang w:val="en-US"/>
        </w:rPr>
        <w:t>A s</w:t>
      </w:r>
      <w:r w:rsidRPr="003D53B3">
        <w:rPr>
          <w:i/>
          <w:lang w:val="en-US"/>
        </w:rPr>
        <w:t>hort f</w:t>
      </w:r>
      <w:r w:rsidR="00467DAD" w:rsidRPr="003D53B3">
        <w:rPr>
          <w:i/>
          <w:lang w:val="en-US"/>
        </w:rPr>
        <w:t xml:space="preserve">ilm </w:t>
      </w:r>
      <w:r w:rsidR="00F50D74" w:rsidRPr="003D53B3">
        <w:rPr>
          <w:i/>
          <w:lang w:val="en-US"/>
        </w:rPr>
        <w:t>on</w:t>
      </w:r>
      <w:r w:rsidR="00EA67EB" w:rsidRPr="003D53B3">
        <w:rPr>
          <w:i/>
          <w:lang w:val="en-US"/>
        </w:rPr>
        <w:t xml:space="preserve"> the </w:t>
      </w:r>
      <w:r w:rsidR="00450392" w:rsidRPr="003D53B3">
        <w:rPr>
          <w:i/>
          <w:color w:val="000000" w:themeColor="text1"/>
          <w:lang w:val="en-US"/>
        </w:rPr>
        <w:t>Nativity scene (szopka) tradition in Krakow</w:t>
      </w:r>
      <w:r w:rsidR="00F50D74" w:rsidRPr="003D53B3">
        <w:rPr>
          <w:i/>
          <w:color w:val="000000" w:themeColor="text1"/>
          <w:lang w:val="en-US"/>
        </w:rPr>
        <w:t xml:space="preserve"> was projected</w:t>
      </w:r>
      <w:r w:rsidR="00450392" w:rsidRPr="003D53B3">
        <w:rPr>
          <w:i/>
          <w:color w:val="000000" w:themeColor="text1"/>
          <w:lang w:val="en-US"/>
        </w:rPr>
        <w:t>]</w:t>
      </w:r>
    </w:p>
    <w:p w14:paraId="37C93E4E" w14:textId="6AA6A4EB" w:rsidR="001A0B83" w:rsidRPr="00813D19" w:rsidRDefault="00BB01E7" w:rsidP="00487A9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6D5489">
        <w:rPr>
          <w:color w:val="000000" w:themeColor="text1"/>
          <w:lang w:val="en-US"/>
        </w:rPr>
        <w:t>,</w:t>
      </w:r>
      <w:r w:rsidRPr="00813D19">
        <w:rPr>
          <w:color w:val="000000" w:themeColor="text1"/>
          <w:lang w:val="en-US"/>
        </w:rPr>
        <w:t xml:space="preserve"> </w:t>
      </w:r>
      <w:r w:rsidRPr="00813D19">
        <w:rPr>
          <w:b/>
          <w:color w:val="000000" w:themeColor="text1"/>
          <w:lang w:val="en-US"/>
        </w:rPr>
        <w:t xml:space="preserve">Singing to the accompaniment of the Gusle </w:t>
      </w:r>
      <w:r w:rsidRPr="00813D19">
        <w:rPr>
          <w:color w:val="000000" w:themeColor="text1"/>
          <w:lang w:val="en-US"/>
        </w:rPr>
        <w:t>[draft decision 13.COM 10.b.31]</w:t>
      </w:r>
      <w:r w:rsidR="006D5489">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Serbia</w:t>
      </w:r>
      <w:r w:rsidRPr="00813D19">
        <w:rPr>
          <w:color w:val="000000" w:themeColor="text1"/>
          <w:lang w:val="en-US"/>
        </w:rPr>
        <w:t xml:space="preserve">. </w:t>
      </w:r>
      <w:r w:rsidR="001A0B83" w:rsidRPr="00813D19">
        <w:rPr>
          <w:lang w:val="en-US"/>
        </w:rPr>
        <w:t>Singing to the accompaniment of the Gusle is an ancient art of performing heroic epics practised for centuries as a form of historical memory and an expression of cultural identity. The songs reflect the value system of the community</w:t>
      </w:r>
      <w:r w:rsidR="00673736" w:rsidRPr="00813D19">
        <w:rPr>
          <w:lang w:val="en-US"/>
        </w:rPr>
        <w:t>,</w:t>
      </w:r>
      <w:r w:rsidR="001A0B83" w:rsidRPr="00813D19">
        <w:rPr>
          <w:lang w:val="en-US"/>
        </w:rPr>
        <w:t xml:space="preserve"> and their interactive character fosters community feeling.</w:t>
      </w:r>
      <w:r w:rsidR="00487A96" w:rsidRPr="00813D19">
        <w:rPr>
          <w:lang w:val="en-US"/>
        </w:rPr>
        <w:t xml:space="preserve"> </w:t>
      </w:r>
      <w:r w:rsidR="001A0B83" w:rsidRPr="00813D19">
        <w:rPr>
          <w:lang w:val="en-US"/>
        </w:rPr>
        <w:t>From the information included in th</w:t>
      </w:r>
      <w:r w:rsidR="00450392" w:rsidRPr="00813D19">
        <w:rPr>
          <w:lang w:val="en-US"/>
        </w:rPr>
        <w:t>e file, the nomination satisfied</w:t>
      </w:r>
      <w:r w:rsidR="001A0B83" w:rsidRPr="00813D19">
        <w:rPr>
          <w:lang w:val="en-US"/>
        </w:rPr>
        <w:t xml:space="preserve"> all five criteria. The Evaluation Body considered that</w:t>
      </w:r>
      <w:r w:rsidR="001A0B83" w:rsidRPr="00813D19">
        <w:rPr>
          <w:b/>
          <w:lang w:val="en-US"/>
        </w:rPr>
        <w:t xml:space="preserve"> </w:t>
      </w:r>
      <w:r w:rsidR="001A0B83" w:rsidRPr="00813D19">
        <w:rPr>
          <w:lang w:val="en-US"/>
        </w:rPr>
        <w:t xml:space="preserve">Singing to the accompaniment of the Gusle is an important social, cultural and symbolic element rooted in the everyday life of its practitioners. The element contributes to cultural dialogue among communities and promotes friendship and cultural identity. Safeguarding measures </w:t>
      </w:r>
      <w:r w:rsidR="00673736" w:rsidRPr="00813D19">
        <w:rPr>
          <w:lang w:val="en-US"/>
        </w:rPr>
        <w:t xml:space="preserve">included </w:t>
      </w:r>
      <w:r w:rsidR="006D5489">
        <w:rPr>
          <w:lang w:val="en-US"/>
        </w:rPr>
        <w:t xml:space="preserve">the </w:t>
      </w:r>
      <w:r w:rsidR="001A0B83" w:rsidRPr="00813D19">
        <w:rPr>
          <w:lang w:val="en-US"/>
        </w:rPr>
        <w:t xml:space="preserve">documentation, promotion and transmission of the element, as well as education regarding the general importance of safeguarding intangible cultural heritage. The tradition bearers </w:t>
      </w:r>
      <w:r w:rsidR="006D5489">
        <w:rPr>
          <w:lang w:val="en-US"/>
        </w:rPr>
        <w:t xml:space="preserve">had </w:t>
      </w:r>
      <w:r w:rsidR="001A0B83" w:rsidRPr="00813D19">
        <w:rPr>
          <w:lang w:val="en-US"/>
        </w:rPr>
        <w:t xml:space="preserve">initiated the nomination and actively participated in the preparation of the file. The communities concerned and other stakeholders participated </w:t>
      </w:r>
      <w:r w:rsidR="006D5489">
        <w:rPr>
          <w:lang w:val="en-US"/>
        </w:rPr>
        <w:t>during</w:t>
      </w:r>
      <w:r w:rsidR="006D5489" w:rsidRPr="00813D19">
        <w:rPr>
          <w:lang w:val="en-US"/>
        </w:rPr>
        <w:t xml:space="preserve"> </w:t>
      </w:r>
      <w:r w:rsidR="00673736" w:rsidRPr="00813D19">
        <w:rPr>
          <w:lang w:val="en-US"/>
        </w:rPr>
        <w:t xml:space="preserve">the </w:t>
      </w:r>
      <w:r w:rsidR="001A0B83" w:rsidRPr="00813D19">
        <w:rPr>
          <w:lang w:val="en-US"/>
        </w:rPr>
        <w:t>different stages of the nomination process.</w:t>
      </w:r>
      <w:r w:rsidR="00487A96" w:rsidRPr="00813D19">
        <w:rPr>
          <w:lang w:val="en-US"/>
        </w:rPr>
        <w:t xml:space="preserve"> </w:t>
      </w:r>
      <w:r w:rsidR="00F7293B" w:rsidRPr="00813D19">
        <w:rPr>
          <w:lang w:val="en-US"/>
        </w:rPr>
        <w:t>The Evaluation Body recommended</w:t>
      </w:r>
      <w:r w:rsidR="001A0B83" w:rsidRPr="00813D19">
        <w:rPr>
          <w:lang w:val="en-US"/>
        </w:rPr>
        <w:t xml:space="preserve"> that the Committee inscribe Singing to the accompaniment of the Gusle on the Representative List.</w:t>
      </w:r>
    </w:p>
    <w:p w14:paraId="23F3A996" w14:textId="77777777" w:rsidR="00673736" w:rsidRPr="00813D19" w:rsidRDefault="00673736" w:rsidP="00673736">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6E005860" w14:textId="288B9872" w:rsidR="002549A7" w:rsidRPr="003D53B3" w:rsidRDefault="00673736" w:rsidP="00673736">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2549A7" w:rsidRPr="00813D19">
        <w:rPr>
          <w:b/>
          <w:lang w:val="en-US"/>
        </w:rPr>
        <w:t xml:space="preserve">Chairperson declared Decision </w:t>
      </w:r>
      <w:hyperlink r:id="rId129" w:history="1">
        <w:r w:rsidR="002549A7" w:rsidRPr="00813D19">
          <w:rPr>
            <w:rStyle w:val="Hyperlink"/>
            <w:b/>
            <w:lang w:val="en-US"/>
          </w:rPr>
          <w:t>13.COM 10.b.31</w:t>
        </w:r>
      </w:hyperlink>
      <w:r w:rsidR="002549A7" w:rsidRPr="00813D19">
        <w:rPr>
          <w:b/>
          <w:lang w:val="en-US"/>
        </w:rPr>
        <w:t xml:space="preserve"> adopted to inscribe </w:t>
      </w:r>
      <w:r w:rsidR="002549A7" w:rsidRPr="00813D19">
        <w:rPr>
          <w:b/>
          <w:color w:val="000000" w:themeColor="text1"/>
          <w:lang w:val="en-US"/>
        </w:rPr>
        <w:t>Singing to the accompaniment of the Gusle on the Representative List</w:t>
      </w:r>
      <w:r w:rsidR="002549A7" w:rsidRPr="003D53B3">
        <w:rPr>
          <w:bCs/>
          <w:snapToGrid/>
          <w:color w:val="000000" w:themeColor="text1"/>
          <w:lang w:val="en-US"/>
        </w:rPr>
        <w:t>.</w:t>
      </w:r>
    </w:p>
    <w:p w14:paraId="3375A5D6" w14:textId="20499FEB" w:rsidR="007849E8" w:rsidRPr="003D53B3" w:rsidRDefault="007849E8" w:rsidP="002549A7">
      <w:pPr>
        <w:pStyle w:val="Orateurengris"/>
        <w:spacing w:before="120"/>
        <w:ind w:left="709" w:hanging="709"/>
        <w:rPr>
          <w:rFonts w:eastAsia="Times New Roman"/>
          <w:lang w:val="en-US"/>
        </w:rPr>
      </w:pPr>
      <w:r w:rsidRPr="00813D19">
        <w:rPr>
          <w:lang w:val="en-US"/>
        </w:rPr>
        <w:t xml:space="preserve">The </w:t>
      </w:r>
      <w:r w:rsidRPr="00813D19">
        <w:rPr>
          <w:b/>
          <w:lang w:val="en-US"/>
        </w:rPr>
        <w:t>delegation of Serbia</w:t>
      </w:r>
      <w:r w:rsidR="00930B20" w:rsidRPr="00813D19">
        <w:rPr>
          <w:b/>
          <w:lang w:val="en-US"/>
        </w:rPr>
        <w:t xml:space="preserve"> </w:t>
      </w:r>
      <w:r w:rsidR="00930B20" w:rsidRPr="00813D19">
        <w:rPr>
          <w:lang w:val="en-US"/>
        </w:rPr>
        <w:t>thank</w:t>
      </w:r>
      <w:r w:rsidR="000F36F2" w:rsidRPr="00813D19">
        <w:rPr>
          <w:lang w:val="en-US"/>
        </w:rPr>
        <w:t>ed</w:t>
      </w:r>
      <w:r w:rsidR="00930B20" w:rsidRPr="00813D19">
        <w:rPr>
          <w:lang w:val="en-US"/>
        </w:rPr>
        <w:t xml:space="preserve"> the host and the Secretariat for th</w:t>
      </w:r>
      <w:r w:rsidR="000F36F2" w:rsidRPr="00813D19">
        <w:rPr>
          <w:lang w:val="en-US"/>
        </w:rPr>
        <w:t xml:space="preserve">e organization of this meeting, and </w:t>
      </w:r>
      <w:r w:rsidR="00930B20" w:rsidRPr="00813D19">
        <w:rPr>
          <w:lang w:val="en-US"/>
        </w:rPr>
        <w:t>especially thank</w:t>
      </w:r>
      <w:r w:rsidR="000F36F2" w:rsidRPr="00813D19">
        <w:rPr>
          <w:lang w:val="en-US"/>
        </w:rPr>
        <w:t>ed</w:t>
      </w:r>
      <w:r w:rsidR="00930B20" w:rsidRPr="00813D19">
        <w:rPr>
          <w:lang w:val="en-US"/>
        </w:rPr>
        <w:t xml:space="preserve"> the members of the Evaluation Body and the Committee for recognizing Singing to the accompaniment of the Gusle as intangible cultural heritage of humanity. </w:t>
      </w:r>
      <w:r w:rsidR="000F36F2" w:rsidRPr="00813D19">
        <w:rPr>
          <w:lang w:val="en-US"/>
        </w:rPr>
        <w:t xml:space="preserve">It was </w:t>
      </w:r>
      <w:r w:rsidR="00930B20" w:rsidRPr="00813D19">
        <w:rPr>
          <w:lang w:val="en-US"/>
        </w:rPr>
        <w:t xml:space="preserve">convinced that </w:t>
      </w:r>
      <w:r w:rsidR="000F36F2" w:rsidRPr="00813D19">
        <w:rPr>
          <w:lang w:val="en-US"/>
        </w:rPr>
        <w:t xml:space="preserve">its </w:t>
      </w:r>
      <w:r w:rsidR="00930B20" w:rsidRPr="00813D19">
        <w:rPr>
          <w:lang w:val="en-US"/>
        </w:rPr>
        <w:t xml:space="preserve">inscription on the Representative List </w:t>
      </w:r>
      <w:r w:rsidR="006D5489">
        <w:rPr>
          <w:lang w:val="en-US"/>
        </w:rPr>
        <w:t>would</w:t>
      </w:r>
      <w:r w:rsidR="006D5489" w:rsidRPr="00813D19">
        <w:rPr>
          <w:lang w:val="en-US"/>
        </w:rPr>
        <w:t xml:space="preserve"> </w:t>
      </w:r>
      <w:r w:rsidR="00930B20" w:rsidRPr="00813D19">
        <w:rPr>
          <w:lang w:val="en-US"/>
        </w:rPr>
        <w:t xml:space="preserve">contribute to the promotion and growing awareness of intangible cultural heritage in Serbia. This inscription </w:t>
      </w:r>
      <w:r w:rsidR="006D5489">
        <w:rPr>
          <w:lang w:val="en-US"/>
        </w:rPr>
        <w:t>was</w:t>
      </w:r>
      <w:r w:rsidR="006D5489" w:rsidRPr="00813D19">
        <w:rPr>
          <w:lang w:val="en-US"/>
        </w:rPr>
        <w:t xml:space="preserve"> </w:t>
      </w:r>
      <w:r w:rsidR="00930B20" w:rsidRPr="00813D19">
        <w:rPr>
          <w:lang w:val="en-US"/>
        </w:rPr>
        <w:t xml:space="preserve">the result of </w:t>
      </w:r>
      <w:r w:rsidR="000F36F2" w:rsidRPr="00813D19">
        <w:rPr>
          <w:lang w:val="en-US"/>
        </w:rPr>
        <w:t xml:space="preserve">the </w:t>
      </w:r>
      <w:r w:rsidR="00930B20" w:rsidRPr="00813D19">
        <w:rPr>
          <w:lang w:val="en-US"/>
        </w:rPr>
        <w:t xml:space="preserve">hard and dedicated work of a team of experts who </w:t>
      </w:r>
      <w:r w:rsidR="006D5489">
        <w:rPr>
          <w:lang w:val="en-US"/>
        </w:rPr>
        <w:t xml:space="preserve">had </w:t>
      </w:r>
      <w:r w:rsidR="00930B20" w:rsidRPr="00813D19">
        <w:rPr>
          <w:lang w:val="en-US"/>
        </w:rPr>
        <w:t xml:space="preserve">coordinated the preparation of the nomination file in cooperation with individual Gusle players, local communities and </w:t>
      </w:r>
      <w:r w:rsidR="000C3D10" w:rsidRPr="00813D19">
        <w:rPr>
          <w:lang w:val="en-US"/>
        </w:rPr>
        <w:t xml:space="preserve">the </w:t>
      </w:r>
      <w:r w:rsidR="00930B20" w:rsidRPr="00813D19">
        <w:rPr>
          <w:lang w:val="en-US"/>
        </w:rPr>
        <w:t xml:space="preserve">institutions involved in the safeguarding of intangible cultural heritage in Serbia. The element is recognized by the performers of </w:t>
      </w:r>
      <w:r w:rsidR="002F50EA">
        <w:rPr>
          <w:lang w:val="en-US"/>
        </w:rPr>
        <w:t>G</w:t>
      </w:r>
      <w:r w:rsidR="002F50EA" w:rsidRPr="00813D19">
        <w:rPr>
          <w:lang w:val="en-US"/>
        </w:rPr>
        <w:t xml:space="preserve">usle </w:t>
      </w:r>
      <w:r w:rsidR="00930B20" w:rsidRPr="00813D19">
        <w:rPr>
          <w:lang w:val="en-US"/>
        </w:rPr>
        <w:t>and local communities as an important landmark and a structural part of the</w:t>
      </w:r>
      <w:r w:rsidR="000F36F2" w:rsidRPr="00813D19">
        <w:rPr>
          <w:lang w:val="en-US"/>
        </w:rPr>
        <w:t>ir</w:t>
      </w:r>
      <w:r w:rsidR="00930B20" w:rsidRPr="00813D19">
        <w:rPr>
          <w:lang w:val="en-US"/>
        </w:rPr>
        <w:t xml:space="preserve"> cultural identity, which particularly </w:t>
      </w:r>
      <w:r w:rsidR="000F36F2" w:rsidRPr="00813D19">
        <w:rPr>
          <w:lang w:val="en-US"/>
        </w:rPr>
        <w:t>strengthens the sense of</w:t>
      </w:r>
      <w:r w:rsidR="00930B20" w:rsidRPr="00813D19">
        <w:rPr>
          <w:lang w:val="en-US"/>
        </w:rPr>
        <w:t xml:space="preserve"> community. </w:t>
      </w:r>
      <w:r w:rsidR="000F36F2" w:rsidRPr="00813D19">
        <w:rPr>
          <w:lang w:val="en-US"/>
        </w:rPr>
        <w:t xml:space="preserve">The delegation </w:t>
      </w:r>
      <w:r w:rsidR="00930B20" w:rsidRPr="00813D19">
        <w:rPr>
          <w:lang w:val="en-US"/>
        </w:rPr>
        <w:t>hope</w:t>
      </w:r>
      <w:r w:rsidR="000F36F2" w:rsidRPr="00813D19">
        <w:rPr>
          <w:lang w:val="en-US"/>
        </w:rPr>
        <w:t>d</w:t>
      </w:r>
      <w:r w:rsidR="00930B20" w:rsidRPr="00813D19">
        <w:rPr>
          <w:lang w:val="en-US"/>
        </w:rPr>
        <w:t xml:space="preserve"> that this inscription </w:t>
      </w:r>
      <w:r w:rsidR="00850161">
        <w:rPr>
          <w:lang w:val="en-US"/>
        </w:rPr>
        <w:t>would</w:t>
      </w:r>
      <w:r w:rsidR="00850161" w:rsidRPr="00813D19">
        <w:rPr>
          <w:lang w:val="en-US"/>
        </w:rPr>
        <w:t xml:space="preserve"> </w:t>
      </w:r>
      <w:r w:rsidR="00930B20" w:rsidRPr="00813D19">
        <w:rPr>
          <w:lang w:val="en-US"/>
        </w:rPr>
        <w:t>encourage local communities to identify, safeguard and promote local varieties of the element</w:t>
      </w:r>
      <w:r w:rsidR="000F36F2" w:rsidRPr="00813D19">
        <w:rPr>
          <w:lang w:val="en-US"/>
        </w:rPr>
        <w:t xml:space="preserve"> and promote</w:t>
      </w:r>
      <w:r w:rsidR="00930B20" w:rsidRPr="00813D19">
        <w:rPr>
          <w:lang w:val="en-US"/>
        </w:rPr>
        <w:t xml:space="preserve"> respect for cultural diversity and human creativity. </w:t>
      </w:r>
      <w:r w:rsidR="000F36F2" w:rsidRPr="00813D19">
        <w:rPr>
          <w:lang w:val="en-US"/>
        </w:rPr>
        <w:t xml:space="preserve">It </w:t>
      </w:r>
      <w:r w:rsidR="00850161">
        <w:rPr>
          <w:lang w:val="en-US"/>
        </w:rPr>
        <w:t xml:space="preserve">would </w:t>
      </w:r>
      <w:r w:rsidR="000F36F2" w:rsidRPr="00813D19">
        <w:rPr>
          <w:lang w:val="en-US"/>
        </w:rPr>
        <w:t xml:space="preserve">also </w:t>
      </w:r>
      <w:r w:rsidR="00930B20" w:rsidRPr="00813D19">
        <w:rPr>
          <w:lang w:val="en-US"/>
        </w:rPr>
        <w:t xml:space="preserve">strengthen the awareness that different communities in the same cultural area share cultural heritage. </w:t>
      </w:r>
      <w:r w:rsidR="000F36F2" w:rsidRPr="00813D19">
        <w:rPr>
          <w:lang w:val="en-US"/>
        </w:rPr>
        <w:t xml:space="preserve">The delegation </w:t>
      </w:r>
      <w:r w:rsidR="00930B20" w:rsidRPr="00813D19">
        <w:rPr>
          <w:lang w:val="en-US"/>
        </w:rPr>
        <w:t>invite</w:t>
      </w:r>
      <w:r w:rsidR="000F36F2" w:rsidRPr="00813D19">
        <w:rPr>
          <w:lang w:val="en-US"/>
        </w:rPr>
        <w:t>d</w:t>
      </w:r>
      <w:r w:rsidR="00930B20" w:rsidRPr="00813D19">
        <w:rPr>
          <w:lang w:val="en-US"/>
        </w:rPr>
        <w:t xml:space="preserve"> countries in the region where singing to the accompaniment of the </w:t>
      </w:r>
      <w:r w:rsidR="002F50EA">
        <w:rPr>
          <w:lang w:val="en-US"/>
        </w:rPr>
        <w:t>G</w:t>
      </w:r>
      <w:r w:rsidR="002F50EA" w:rsidRPr="00813D19">
        <w:rPr>
          <w:lang w:val="en-US"/>
        </w:rPr>
        <w:t xml:space="preserve">usle </w:t>
      </w:r>
      <w:r w:rsidR="00850161">
        <w:rPr>
          <w:lang w:val="en-US"/>
        </w:rPr>
        <w:t>was</w:t>
      </w:r>
      <w:r w:rsidR="00850161" w:rsidRPr="00813D19">
        <w:rPr>
          <w:lang w:val="en-US"/>
        </w:rPr>
        <w:t xml:space="preserve"> </w:t>
      </w:r>
      <w:r w:rsidR="00930B20" w:rsidRPr="00813D19">
        <w:rPr>
          <w:lang w:val="en-US"/>
        </w:rPr>
        <w:t>also recognized as part of the</w:t>
      </w:r>
      <w:r w:rsidR="000F36F2" w:rsidRPr="00813D19">
        <w:rPr>
          <w:lang w:val="en-US"/>
        </w:rPr>
        <w:t>ir</w:t>
      </w:r>
      <w:r w:rsidR="00930B20" w:rsidRPr="00813D19">
        <w:rPr>
          <w:lang w:val="en-US"/>
        </w:rPr>
        <w:t xml:space="preserve"> living cultural prac</w:t>
      </w:r>
      <w:r w:rsidR="000C3D10" w:rsidRPr="00813D19">
        <w:rPr>
          <w:lang w:val="en-US"/>
        </w:rPr>
        <w:t xml:space="preserve">tices to join the </w:t>
      </w:r>
      <w:r w:rsidR="000C3D10" w:rsidRPr="003D53B3">
        <w:rPr>
          <w:lang w:val="en-US"/>
        </w:rPr>
        <w:t>inscription.</w:t>
      </w:r>
    </w:p>
    <w:p w14:paraId="5840B813" w14:textId="6D992E78" w:rsidR="00D97038" w:rsidRPr="003D53B3" w:rsidRDefault="00D97038" w:rsidP="002549A7">
      <w:pPr>
        <w:pStyle w:val="Orateurengris"/>
        <w:spacing w:before="120"/>
        <w:ind w:left="709" w:hanging="709"/>
        <w:rPr>
          <w:rFonts w:eastAsia="Times New Roman"/>
          <w:lang w:val="en-US"/>
        </w:rPr>
      </w:pPr>
      <w:r w:rsidRPr="003D53B3">
        <w:rPr>
          <w:lang w:val="en-US"/>
        </w:rPr>
        <w:t xml:space="preserve">The </w:t>
      </w:r>
      <w:r w:rsidRPr="003D53B3">
        <w:rPr>
          <w:b/>
          <w:lang w:val="en-US"/>
        </w:rPr>
        <w:t xml:space="preserve">delegation of Albania </w:t>
      </w:r>
      <w:r w:rsidR="000C3D10" w:rsidRPr="003D53B3">
        <w:rPr>
          <w:lang w:val="en-US"/>
        </w:rPr>
        <w:t>[second speaker]</w:t>
      </w:r>
      <w:r w:rsidR="000F36F2" w:rsidRPr="003D53B3">
        <w:rPr>
          <w:b/>
          <w:lang w:val="en-US"/>
        </w:rPr>
        <w:t xml:space="preserve"> </w:t>
      </w:r>
      <w:r w:rsidR="000F36F2" w:rsidRPr="003D53B3">
        <w:rPr>
          <w:lang w:val="en-US"/>
        </w:rPr>
        <w:t>spoke on</w:t>
      </w:r>
      <w:r w:rsidR="000F36F2" w:rsidRPr="003D53B3">
        <w:rPr>
          <w:b/>
          <w:lang w:val="en-US"/>
        </w:rPr>
        <w:t xml:space="preserve"> </w:t>
      </w:r>
      <w:r w:rsidR="00930B20" w:rsidRPr="003D53B3">
        <w:rPr>
          <w:lang w:val="en-US"/>
        </w:rPr>
        <w:t>behalf of the following State Parties to the Convention: Albania, Bosnia-Herzegovina, Croatia and Montenegro</w:t>
      </w:r>
      <w:r w:rsidR="000F36F2" w:rsidRPr="003D53B3">
        <w:rPr>
          <w:lang w:val="en-US"/>
        </w:rPr>
        <w:t>, congratulating</w:t>
      </w:r>
      <w:r w:rsidR="00930B20" w:rsidRPr="003D53B3">
        <w:rPr>
          <w:lang w:val="en-US"/>
        </w:rPr>
        <w:t xml:space="preserve"> Serbia for the inscription of </w:t>
      </w:r>
      <w:r w:rsidR="000F36F2" w:rsidRPr="003D53B3">
        <w:rPr>
          <w:lang w:val="en-US"/>
        </w:rPr>
        <w:t>S</w:t>
      </w:r>
      <w:r w:rsidR="00930B20" w:rsidRPr="003D53B3">
        <w:rPr>
          <w:lang w:val="en-US"/>
        </w:rPr>
        <w:t xml:space="preserve">inging to the accompaniment of the Gusle </w:t>
      </w:r>
      <w:r w:rsidR="000F36F2" w:rsidRPr="003D53B3">
        <w:rPr>
          <w:lang w:val="en-US"/>
        </w:rPr>
        <w:t xml:space="preserve">on </w:t>
      </w:r>
      <w:r w:rsidR="00930B20" w:rsidRPr="003D53B3">
        <w:rPr>
          <w:lang w:val="en-US"/>
        </w:rPr>
        <w:t xml:space="preserve">the Representative List. </w:t>
      </w:r>
      <w:r w:rsidR="000F36F2" w:rsidRPr="003D53B3">
        <w:rPr>
          <w:lang w:val="en-US"/>
        </w:rPr>
        <w:t xml:space="preserve">The practice is </w:t>
      </w:r>
      <w:r w:rsidR="00930B20" w:rsidRPr="003D53B3">
        <w:rPr>
          <w:lang w:val="en-US"/>
        </w:rPr>
        <w:t>deem</w:t>
      </w:r>
      <w:r w:rsidR="000F36F2" w:rsidRPr="003D53B3">
        <w:rPr>
          <w:lang w:val="en-US"/>
        </w:rPr>
        <w:t>ed</w:t>
      </w:r>
      <w:r w:rsidR="00930B20" w:rsidRPr="003D53B3">
        <w:rPr>
          <w:lang w:val="en-US"/>
        </w:rPr>
        <w:t xml:space="preserve"> important </w:t>
      </w:r>
      <w:r w:rsidR="000F36F2" w:rsidRPr="003D53B3">
        <w:rPr>
          <w:lang w:val="en-US"/>
        </w:rPr>
        <w:t xml:space="preserve">as it is </w:t>
      </w:r>
      <w:r w:rsidR="00930B20" w:rsidRPr="003D53B3">
        <w:rPr>
          <w:lang w:val="en-US"/>
        </w:rPr>
        <w:t>historically established and a living practice in a ver</w:t>
      </w:r>
      <w:r w:rsidR="000C3D10" w:rsidRPr="003D53B3">
        <w:rPr>
          <w:lang w:val="en-US"/>
        </w:rPr>
        <w:t>y wide area of southeast Europe</w:t>
      </w:r>
      <w:r w:rsidR="000F36F2" w:rsidRPr="003D53B3">
        <w:rPr>
          <w:lang w:val="en-US"/>
        </w:rPr>
        <w:t xml:space="preserve"> in which a </w:t>
      </w:r>
      <w:r w:rsidR="00930B20" w:rsidRPr="003D53B3">
        <w:rPr>
          <w:lang w:val="en-US"/>
        </w:rPr>
        <w:t xml:space="preserve">multinational nomination </w:t>
      </w:r>
      <w:r w:rsidR="000F36F2" w:rsidRPr="003D53B3">
        <w:rPr>
          <w:lang w:val="en-US"/>
        </w:rPr>
        <w:t>applied</w:t>
      </w:r>
      <w:r w:rsidR="00930B20" w:rsidRPr="003D53B3">
        <w:rPr>
          <w:lang w:val="en-US"/>
        </w:rPr>
        <w:t xml:space="preserve"> perfectly. There is extensive and widespread information, solid documentation and ample proof that </w:t>
      </w:r>
      <w:r w:rsidR="000F36F2" w:rsidRPr="003D53B3">
        <w:rPr>
          <w:lang w:val="en-US"/>
        </w:rPr>
        <w:t xml:space="preserve">the element </w:t>
      </w:r>
      <w:r w:rsidR="00930B20" w:rsidRPr="003D53B3">
        <w:rPr>
          <w:lang w:val="en-US"/>
        </w:rPr>
        <w:t xml:space="preserve">is an ancient cultural practice </w:t>
      </w:r>
      <w:r w:rsidR="00850161" w:rsidRPr="003D53B3">
        <w:rPr>
          <w:lang w:val="en-US"/>
        </w:rPr>
        <w:t xml:space="preserve">that has </w:t>
      </w:r>
      <w:r w:rsidR="000F36F2" w:rsidRPr="003D53B3">
        <w:rPr>
          <w:lang w:val="en-US"/>
        </w:rPr>
        <w:t xml:space="preserve">continued </w:t>
      </w:r>
      <w:r w:rsidR="00930B20" w:rsidRPr="003D53B3">
        <w:rPr>
          <w:lang w:val="en-US"/>
        </w:rPr>
        <w:t xml:space="preserve">over </w:t>
      </w:r>
      <w:r w:rsidR="000F36F2" w:rsidRPr="003D53B3">
        <w:rPr>
          <w:lang w:val="en-US"/>
        </w:rPr>
        <w:t xml:space="preserve">the </w:t>
      </w:r>
      <w:r w:rsidR="00930B20" w:rsidRPr="003D53B3">
        <w:rPr>
          <w:lang w:val="en-US"/>
        </w:rPr>
        <w:t>centuries and in several other countries</w:t>
      </w:r>
      <w:r w:rsidR="000F36F2" w:rsidRPr="003D53B3">
        <w:rPr>
          <w:lang w:val="en-US"/>
        </w:rPr>
        <w:t>,</w:t>
      </w:r>
      <w:r w:rsidR="000C3D10" w:rsidRPr="003D53B3">
        <w:rPr>
          <w:lang w:val="en-US"/>
        </w:rPr>
        <w:t xml:space="preserve"> namely in </w:t>
      </w:r>
      <w:r w:rsidR="00930B20" w:rsidRPr="003D53B3">
        <w:rPr>
          <w:lang w:val="en-US"/>
        </w:rPr>
        <w:t xml:space="preserve">Albania where the instrument is called </w:t>
      </w:r>
      <w:r w:rsidR="00930B20" w:rsidRPr="003D53B3">
        <w:rPr>
          <w:i/>
          <w:lang w:val="en-US"/>
        </w:rPr>
        <w:t>lahuta</w:t>
      </w:r>
      <w:r w:rsidR="00930B20" w:rsidRPr="003D53B3">
        <w:rPr>
          <w:lang w:val="en-US"/>
        </w:rPr>
        <w:t xml:space="preserve">, </w:t>
      </w:r>
      <w:r w:rsidR="000F36F2" w:rsidRPr="003D53B3">
        <w:rPr>
          <w:lang w:val="en-US"/>
        </w:rPr>
        <w:t xml:space="preserve">and </w:t>
      </w:r>
      <w:r w:rsidR="00930B20" w:rsidRPr="003D53B3">
        <w:rPr>
          <w:lang w:val="en-US"/>
        </w:rPr>
        <w:t>Bosnia-Herzegovina</w:t>
      </w:r>
      <w:r w:rsidR="000F36F2" w:rsidRPr="003D53B3">
        <w:rPr>
          <w:lang w:val="en-US"/>
        </w:rPr>
        <w:t xml:space="preserve">, Croatia and Montenegro where </w:t>
      </w:r>
      <w:r w:rsidR="002F50EA" w:rsidRPr="003D53B3">
        <w:rPr>
          <w:lang w:val="en-US"/>
        </w:rPr>
        <w:t xml:space="preserve">Gusle </w:t>
      </w:r>
      <w:r w:rsidR="00930B20" w:rsidRPr="003D53B3">
        <w:rPr>
          <w:lang w:val="en-US"/>
        </w:rPr>
        <w:t>is even considered a</w:t>
      </w:r>
      <w:r w:rsidR="00850161" w:rsidRPr="003D53B3">
        <w:rPr>
          <w:lang w:val="en-US"/>
        </w:rPr>
        <w:t>s a</w:t>
      </w:r>
      <w:r w:rsidR="00930B20" w:rsidRPr="003D53B3">
        <w:rPr>
          <w:lang w:val="en-US"/>
        </w:rPr>
        <w:t xml:space="preserve"> national instrument. </w:t>
      </w:r>
      <w:r w:rsidR="000F36F2" w:rsidRPr="003D53B3">
        <w:rPr>
          <w:lang w:val="en-US"/>
        </w:rPr>
        <w:t>The delegation understood</w:t>
      </w:r>
      <w:r w:rsidR="00930B20" w:rsidRPr="003D53B3">
        <w:rPr>
          <w:lang w:val="en-US"/>
        </w:rPr>
        <w:t xml:space="preserve"> from Se</w:t>
      </w:r>
      <w:r w:rsidR="00B85847" w:rsidRPr="003D53B3">
        <w:rPr>
          <w:lang w:val="en-US"/>
        </w:rPr>
        <w:t>rbia that the nomination remained</w:t>
      </w:r>
      <w:r w:rsidR="00930B20" w:rsidRPr="003D53B3">
        <w:rPr>
          <w:lang w:val="en-US"/>
        </w:rPr>
        <w:t xml:space="preserve"> open for a future multinational nomination with </w:t>
      </w:r>
      <w:r w:rsidR="00B85847" w:rsidRPr="003D53B3">
        <w:rPr>
          <w:lang w:val="en-US"/>
        </w:rPr>
        <w:t xml:space="preserve">other </w:t>
      </w:r>
      <w:r w:rsidR="00930B20" w:rsidRPr="003D53B3">
        <w:rPr>
          <w:lang w:val="en-US"/>
        </w:rPr>
        <w:t xml:space="preserve">States </w:t>
      </w:r>
      <w:r w:rsidR="00B85847" w:rsidRPr="003D53B3">
        <w:rPr>
          <w:lang w:val="en-US"/>
        </w:rPr>
        <w:t>Parties</w:t>
      </w:r>
      <w:r w:rsidR="00930B20" w:rsidRPr="003D53B3">
        <w:rPr>
          <w:lang w:val="en-US"/>
        </w:rPr>
        <w:t xml:space="preserve">, </w:t>
      </w:r>
      <w:r w:rsidR="00B85847" w:rsidRPr="003D53B3">
        <w:rPr>
          <w:lang w:val="en-US"/>
        </w:rPr>
        <w:t xml:space="preserve">adding that </w:t>
      </w:r>
      <w:r w:rsidR="00930B20" w:rsidRPr="003D53B3">
        <w:rPr>
          <w:lang w:val="en-US"/>
        </w:rPr>
        <w:t xml:space="preserve">Albania, Bosnia-Herzegovina, Croatia and Montenegro </w:t>
      </w:r>
      <w:r w:rsidR="00B85847" w:rsidRPr="003D53B3">
        <w:rPr>
          <w:lang w:val="en-US"/>
        </w:rPr>
        <w:t xml:space="preserve">were </w:t>
      </w:r>
      <w:r w:rsidR="00930B20" w:rsidRPr="003D53B3">
        <w:rPr>
          <w:lang w:val="en-US"/>
        </w:rPr>
        <w:t xml:space="preserve">already working </w:t>
      </w:r>
      <w:r w:rsidR="00B85847" w:rsidRPr="003D53B3">
        <w:rPr>
          <w:lang w:val="en-US"/>
        </w:rPr>
        <w:t>in this regard</w:t>
      </w:r>
      <w:r w:rsidR="003D53B3">
        <w:rPr>
          <w:lang w:val="en-US"/>
        </w:rPr>
        <w:t>.</w:t>
      </w:r>
    </w:p>
    <w:p w14:paraId="1DBBD578" w14:textId="7FE7AA88" w:rsidR="001A0B83" w:rsidRPr="00813D19" w:rsidRDefault="00BB01E7" w:rsidP="00424C4A">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850161">
        <w:rPr>
          <w:color w:val="000000" w:themeColor="text1"/>
          <w:lang w:val="en-US"/>
        </w:rPr>
        <w:t>,</w:t>
      </w:r>
      <w:r w:rsidRPr="00813D19">
        <w:rPr>
          <w:color w:val="000000" w:themeColor="text1"/>
          <w:lang w:val="en-US"/>
        </w:rPr>
        <w:t xml:space="preserve"> </w:t>
      </w:r>
      <w:r w:rsidRPr="00813D19">
        <w:rPr>
          <w:b/>
          <w:color w:val="000000" w:themeColor="text1"/>
          <w:lang w:val="en-US"/>
        </w:rPr>
        <w:t xml:space="preserve">Bobbin lacemaking in Slovenia </w:t>
      </w:r>
      <w:r w:rsidRPr="00813D19">
        <w:rPr>
          <w:color w:val="000000" w:themeColor="text1"/>
          <w:lang w:val="en-US"/>
        </w:rPr>
        <w:t>[draft decision 13.COM 10.b.32]</w:t>
      </w:r>
      <w:r w:rsidR="00850161">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Slovenia</w:t>
      </w:r>
      <w:r w:rsidRPr="00813D19">
        <w:rPr>
          <w:color w:val="000000" w:themeColor="text1"/>
          <w:lang w:val="en-US"/>
        </w:rPr>
        <w:t xml:space="preserve">. </w:t>
      </w:r>
      <w:r w:rsidR="001A0B83" w:rsidRPr="00813D19">
        <w:rPr>
          <w:lang w:val="en-US"/>
        </w:rPr>
        <w:t>Bobbin lacemaking in Slovenia is a handicraft skill of making lace by crossing and twisting thread wound on special wooden sticks known as bobbins. It has notable therapeutic functions, and is an ecologically clean and sustainability-oriented activity.</w:t>
      </w:r>
      <w:r w:rsidR="007849E8" w:rsidRPr="00813D19">
        <w:rPr>
          <w:lang w:val="en-US"/>
        </w:rPr>
        <w:t xml:space="preserve"> </w:t>
      </w:r>
      <w:r w:rsidR="001A0B83" w:rsidRPr="00813D19">
        <w:rPr>
          <w:lang w:val="en-US"/>
        </w:rPr>
        <w:t>From the information included in th</w:t>
      </w:r>
      <w:r w:rsidR="00DB5D33" w:rsidRPr="00813D19">
        <w:rPr>
          <w:lang w:val="en-US"/>
        </w:rPr>
        <w:t>e file, the nomination satisfied</w:t>
      </w:r>
      <w:r w:rsidR="001A0B83" w:rsidRPr="00813D19">
        <w:rPr>
          <w:lang w:val="en-US"/>
        </w:rPr>
        <w:t xml:space="preserve"> all five criteria. The Evaluation Body considered that</w:t>
      </w:r>
      <w:r w:rsidR="001A0B83" w:rsidRPr="00813D19">
        <w:rPr>
          <w:b/>
          <w:lang w:val="en-US"/>
        </w:rPr>
        <w:t xml:space="preserve"> </w:t>
      </w:r>
      <w:r w:rsidR="001A0B83" w:rsidRPr="00813D19">
        <w:rPr>
          <w:lang w:val="en-US"/>
        </w:rPr>
        <w:t xml:space="preserve">Bobbin lacemaking in Slovenia significantly </w:t>
      </w:r>
      <w:r w:rsidR="00850161" w:rsidRPr="00813D19">
        <w:rPr>
          <w:lang w:val="en-US"/>
        </w:rPr>
        <w:t>contribute</w:t>
      </w:r>
      <w:r w:rsidR="00850161">
        <w:rPr>
          <w:lang w:val="en-US"/>
        </w:rPr>
        <w:t>d</w:t>
      </w:r>
      <w:r w:rsidR="00850161" w:rsidRPr="00813D19">
        <w:rPr>
          <w:lang w:val="en-US"/>
        </w:rPr>
        <w:t xml:space="preserve"> </w:t>
      </w:r>
      <w:r w:rsidR="001A0B83" w:rsidRPr="00813D19">
        <w:rPr>
          <w:lang w:val="en-US"/>
        </w:rPr>
        <w:t>to the identity of many local communities by connecting family members from different generations, neighbo</w:t>
      </w:r>
      <w:r w:rsidR="00FB131E">
        <w:rPr>
          <w:lang w:val="en-US"/>
        </w:rPr>
        <w:t>u</w:t>
      </w:r>
      <w:r w:rsidR="001A0B83" w:rsidRPr="00813D19">
        <w:rPr>
          <w:lang w:val="en-US"/>
        </w:rPr>
        <w:t xml:space="preserve">rs and local bobbin lacemaking societies, and fosters creative cooperation between lace makers and pattern designers. The inscription of bobbin lacemaking could substantially promote dialogue among </w:t>
      </w:r>
      <w:r w:rsidR="00DB5D33" w:rsidRPr="00813D19">
        <w:rPr>
          <w:lang w:val="en-US"/>
        </w:rPr>
        <w:t xml:space="preserve">the </w:t>
      </w:r>
      <w:r w:rsidR="001A0B83" w:rsidRPr="00813D19">
        <w:rPr>
          <w:lang w:val="en-US"/>
        </w:rPr>
        <w:t>different communities of bobbin lace makers worldwide</w:t>
      </w:r>
      <w:r w:rsidR="00DB5D33" w:rsidRPr="00813D19">
        <w:rPr>
          <w:lang w:val="en-US"/>
        </w:rPr>
        <w:t>,</w:t>
      </w:r>
      <w:r w:rsidR="001A0B83" w:rsidRPr="00813D19">
        <w:rPr>
          <w:lang w:val="en-US"/>
        </w:rPr>
        <w:t xml:space="preserve"> and promote networking and joint projects. The proposed safegua</w:t>
      </w:r>
      <w:r w:rsidR="00E62197" w:rsidRPr="00813D19">
        <w:rPr>
          <w:lang w:val="en-US"/>
        </w:rPr>
        <w:t>rding plan</w:t>
      </w:r>
      <w:r w:rsidR="001A0B83" w:rsidRPr="00813D19">
        <w:rPr>
          <w:lang w:val="en-US"/>
        </w:rPr>
        <w:t xml:space="preserve"> promotes sustainable development and the use of natural local materials. The nomination was supported and approved by a large network of individuals, communities, schools and associations, whose consent </w:t>
      </w:r>
      <w:r w:rsidR="00B0638C" w:rsidRPr="00813D19">
        <w:rPr>
          <w:lang w:val="en-US"/>
        </w:rPr>
        <w:t xml:space="preserve">was </w:t>
      </w:r>
      <w:r w:rsidR="001A0B83" w:rsidRPr="00813D19">
        <w:rPr>
          <w:lang w:val="en-US"/>
        </w:rPr>
        <w:t>demonstrated.</w:t>
      </w:r>
      <w:r w:rsidR="00424C4A" w:rsidRPr="00813D19">
        <w:rPr>
          <w:lang w:val="en-US"/>
        </w:rPr>
        <w:t xml:space="preserve"> The Evaluation Body recommended</w:t>
      </w:r>
      <w:r w:rsidR="001A0B83" w:rsidRPr="00813D19">
        <w:rPr>
          <w:lang w:val="en-US"/>
        </w:rPr>
        <w:t xml:space="preserve"> that the Committee inscribe Bobbin lacemaking in Slovenia on the Representative List.</w:t>
      </w:r>
    </w:p>
    <w:p w14:paraId="72763E0A" w14:textId="77777777" w:rsidR="00673736" w:rsidRPr="00813D19" w:rsidRDefault="00673736" w:rsidP="00673736">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2557E2B2" w14:textId="6283051B" w:rsidR="00BE09F6" w:rsidRPr="003D53B3" w:rsidRDefault="00673736" w:rsidP="00673736">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BE09F6" w:rsidRPr="00813D19">
        <w:rPr>
          <w:b/>
          <w:lang w:val="en-US"/>
        </w:rPr>
        <w:t xml:space="preserve">Chairperson </w:t>
      </w:r>
      <w:r w:rsidR="0028402A" w:rsidRPr="00813D19">
        <w:rPr>
          <w:b/>
          <w:lang w:val="en-US"/>
        </w:rPr>
        <w:t xml:space="preserve">declared Decision </w:t>
      </w:r>
      <w:hyperlink r:id="rId130" w:history="1">
        <w:r w:rsidR="0028402A" w:rsidRPr="00813D19">
          <w:rPr>
            <w:rStyle w:val="Hyperlink"/>
            <w:b/>
            <w:lang w:val="en-US"/>
          </w:rPr>
          <w:t>13.COM 10.b.32</w:t>
        </w:r>
      </w:hyperlink>
      <w:r w:rsidR="00BE09F6" w:rsidRPr="00813D19">
        <w:rPr>
          <w:b/>
          <w:lang w:val="en-US"/>
        </w:rPr>
        <w:t xml:space="preserve"> adopted to inscribe </w:t>
      </w:r>
      <w:r w:rsidR="0028402A" w:rsidRPr="00813D19">
        <w:rPr>
          <w:b/>
          <w:color w:val="000000" w:themeColor="text1"/>
          <w:lang w:val="en-US"/>
        </w:rPr>
        <w:t xml:space="preserve">Bobbin lacemaking in Slovenia </w:t>
      </w:r>
      <w:r w:rsidR="00BE09F6" w:rsidRPr="00813D19">
        <w:rPr>
          <w:b/>
          <w:color w:val="000000" w:themeColor="text1"/>
          <w:lang w:val="en-US"/>
        </w:rPr>
        <w:t>on the Representative List</w:t>
      </w:r>
      <w:r w:rsidR="00BE09F6" w:rsidRPr="003D53B3">
        <w:rPr>
          <w:bCs/>
          <w:snapToGrid/>
          <w:color w:val="000000" w:themeColor="text1"/>
          <w:lang w:val="en-US"/>
        </w:rPr>
        <w:t>.</w:t>
      </w:r>
    </w:p>
    <w:p w14:paraId="1CEC03BB" w14:textId="186C438A" w:rsidR="00BE09F6" w:rsidRPr="003D53B3" w:rsidRDefault="0028402A" w:rsidP="003D53B3">
      <w:pPr>
        <w:pStyle w:val="Orateurengris"/>
        <w:spacing w:before="120"/>
        <w:ind w:left="709" w:hanging="709"/>
        <w:rPr>
          <w:bCs/>
          <w:lang w:val="en-US"/>
        </w:rPr>
      </w:pPr>
      <w:r w:rsidRPr="00813D19">
        <w:rPr>
          <w:lang w:val="en-US"/>
        </w:rPr>
        <w:t xml:space="preserve">The </w:t>
      </w:r>
      <w:r w:rsidRPr="00813D19">
        <w:rPr>
          <w:b/>
          <w:lang w:val="en-US"/>
        </w:rPr>
        <w:t>delegation of Slovenia</w:t>
      </w:r>
      <w:r w:rsidR="00A26A53" w:rsidRPr="00813D19">
        <w:rPr>
          <w:b/>
          <w:lang w:val="en-US"/>
        </w:rPr>
        <w:t xml:space="preserve"> </w:t>
      </w:r>
      <w:r w:rsidR="00A26A53" w:rsidRPr="00813D19">
        <w:rPr>
          <w:lang w:val="en-US"/>
        </w:rPr>
        <w:t>wholeheartedly thank</w:t>
      </w:r>
      <w:r w:rsidR="00B85847" w:rsidRPr="00813D19">
        <w:rPr>
          <w:lang w:val="en-US"/>
        </w:rPr>
        <w:t>ed</w:t>
      </w:r>
      <w:r w:rsidR="00A26A53" w:rsidRPr="00813D19">
        <w:rPr>
          <w:lang w:val="en-US"/>
        </w:rPr>
        <w:t xml:space="preserve"> </w:t>
      </w:r>
      <w:r w:rsidR="00B85847" w:rsidRPr="00813D19">
        <w:rPr>
          <w:lang w:val="en-US"/>
        </w:rPr>
        <w:t xml:space="preserve">everyone </w:t>
      </w:r>
      <w:r w:rsidR="00A26A53" w:rsidRPr="00813D19">
        <w:rPr>
          <w:lang w:val="en-US"/>
        </w:rPr>
        <w:t xml:space="preserve">for </w:t>
      </w:r>
      <w:r w:rsidR="00B85847" w:rsidRPr="00813D19">
        <w:rPr>
          <w:lang w:val="en-US"/>
        </w:rPr>
        <w:t xml:space="preserve">the </w:t>
      </w:r>
      <w:r w:rsidR="00A26A53" w:rsidRPr="00813D19">
        <w:rPr>
          <w:lang w:val="en-US"/>
        </w:rPr>
        <w:t xml:space="preserve">precious international recognition of </w:t>
      </w:r>
      <w:r w:rsidR="00B85847" w:rsidRPr="00813D19">
        <w:rPr>
          <w:lang w:val="en-US"/>
        </w:rPr>
        <w:t xml:space="preserve">the </w:t>
      </w:r>
      <w:r w:rsidR="00A26A53" w:rsidRPr="00813D19">
        <w:rPr>
          <w:lang w:val="en-US"/>
        </w:rPr>
        <w:t xml:space="preserve">element </w:t>
      </w:r>
      <w:r w:rsidR="00B85847" w:rsidRPr="00813D19">
        <w:rPr>
          <w:lang w:val="en-US"/>
        </w:rPr>
        <w:t>that is widely practis</w:t>
      </w:r>
      <w:r w:rsidR="00A26A53" w:rsidRPr="00813D19">
        <w:rPr>
          <w:lang w:val="en-US"/>
        </w:rPr>
        <w:t xml:space="preserve">ed in </w:t>
      </w:r>
      <w:r w:rsidR="00B85847" w:rsidRPr="00813D19">
        <w:rPr>
          <w:lang w:val="en-US"/>
        </w:rPr>
        <w:t xml:space="preserve">Slovenia </w:t>
      </w:r>
      <w:r w:rsidR="00A26A53" w:rsidRPr="00813D19">
        <w:rPr>
          <w:lang w:val="en-US"/>
        </w:rPr>
        <w:t xml:space="preserve">and </w:t>
      </w:r>
      <w:r w:rsidR="00B85847" w:rsidRPr="00813D19">
        <w:rPr>
          <w:lang w:val="en-US"/>
        </w:rPr>
        <w:t xml:space="preserve">part of the </w:t>
      </w:r>
      <w:r w:rsidR="00A26A53" w:rsidRPr="00813D19">
        <w:rPr>
          <w:lang w:val="en-US"/>
        </w:rPr>
        <w:t>contemporary life of so many individuals, families and communitie</w:t>
      </w:r>
      <w:r w:rsidR="00B85847" w:rsidRPr="00813D19">
        <w:rPr>
          <w:lang w:val="en-US"/>
        </w:rPr>
        <w:t>s. The knowledge of bobbin lace</w:t>
      </w:r>
      <w:r w:rsidR="00A26A53" w:rsidRPr="00813D19">
        <w:rPr>
          <w:lang w:val="en-US"/>
        </w:rPr>
        <w:t>making is transmitted from grandparent</w:t>
      </w:r>
      <w:r w:rsidR="00850161">
        <w:rPr>
          <w:lang w:val="en-US"/>
        </w:rPr>
        <w:t>s</w:t>
      </w:r>
      <w:r w:rsidR="00A26A53" w:rsidRPr="00813D19">
        <w:rPr>
          <w:lang w:val="en-US"/>
        </w:rPr>
        <w:t xml:space="preserve"> to gra</w:t>
      </w:r>
      <w:r w:rsidR="00B85847" w:rsidRPr="00813D19">
        <w:rPr>
          <w:lang w:val="en-US"/>
        </w:rPr>
        <w:t>ndchildren and practised in organized classes in lace</w:t>
      </w:r>
      <w:r w:rsidR="00A26A53" w:rsidRPr="00813D19">
        <w:rPr>
          <w:lang w:val="en-US"/>
        </w:rPr>
        <w:t>making schools, in societies and groups</w:t>
      </w:r>
      <w:r w:rsidR="00B85847" w:rsidRPr="00813D19">
        <w:rPr>
          <w:lang w:val="en-US"/>
        </w:rPr>
        <w:t>,</w:t>
      </w:r>
      <w:r w:rsidR="00A26A53" w:rsidRPr="00813D19">
        <w:rPr>
          <w:lang w:val="en-US"/>
        </w:rPr>
        <w:t xml:space="preserve"> as well as in informal neighbo</w:t>
      </w:r>
      <w:r w:rsidR="00FB131E">
        <w:rPr>
          <w:lang w:val="en-US"/>
        </w:rPr>
        <w:t>u</w:t>
      </w:r>
      <w:r w:rsidR="00A26A53" w:rsidRPr="00813D19">
        <w:rPr>
          <w:lang w:val="en-US"/>
        </w:rPr>
        <w:t xml:space="preserve">rhood communities of women. </w:t>
      </w:r>
      <w:r w:rsidR="00B85847" w:rsidRPr="00813D19">
        <w:rPr>
          <w:lang w:val="en-US"/>
        </w:rPr>
        <w:t xml:space="preserve">The delegation was </w:t>
      </w:r>
      <w:r w:rsidR="00A26A53" w:rsidRPr="00813D19">
        <w:rPr>
          <w:lang w:val="en-US"/>
        </w:rPr>
        <w:t>hono</w:t>
      </w:r>
      <w:r w:rsidR="00FB131E">
        <w:rPr>
          <w:lang w:val="en-US"/>
        </w:rPr>
        <w:t>u</w:t>
      </w:r>
      <w:r w:rsidR="00A26A53" w:rsidRPr="00813D19">
        <w:rPr>
          <w:lang w:val="en-US"/>
        </w:rPr>
        <w:t>r</w:t>
      </w:r>
      <w:r w:rsidR="00B85847" w:rsidRPr="00813D19">
        <w:rPr>
          <w:lang w:val="en-US"/>
        </w:rPr>
        <w:t>ed</w:t>
      </w:r>
      <w:r w:rsidR="00A26A53" w:rsidRPr="00813D19">
        <w:rPr>
          <w:lang w:val="en-US"/>
        </w:rPr>
        <w:t xml:space="preserve"> to convey the message of the bearers who </w:t>
      </w:r>
      <w:r w:rsidR="00B85847" w:rsidRPr="00813D19">
        <w:rPr>
          <w:lang w:val="en-US"/>
        </w:rPr>
        <w:t xml:space="preserve">were following </w:t>
      </w:r>
      <w:r w:rsidR="00A26A53" w:rsidRPr="00813D19">
        <w:rPr>
          <w:lang w:val="en-US"/>
        </w:rPr>
        <w:t>online</w:t>
      </w:r>
      <w:r w:rsidR="00B85847" w:rsidRPr="00813D19">
        <w:rPr>
          <w:lang w:val="en-US"/>
        </w:rPr>
        <w:t>,</w:t>
      </w:r>
      <w:r w:rsidR="00A26A53" w:rsidRPr="00813D19">
        <w:rPr>
          <w:lang w:val="en-US"/>
        </w:rPr>
        <w:t xml:space="preserve"> alongside several municipalities, local organization</w:t>
      </w:r>
      <w:r w:rsidR="00B85847" w:rsidRPr="00813D19">
        <w:rPr>
          <w:lang w:val="en-US"/>
        </w:rPr>
        <w:t>s</w:t>
      </w:r>
      <w:r w:rsidR="00A26A53" w:rsidRPr="00813D19">
        <w:rPr>
          <w:lang w:val="en-US"/>
        </w:rPr>
        <w:t xml:space="preserve"> and museum profession</w:t>
      </w:r>
      <w:r w:rsidR="00B85847" w:rsidRPr="00813D19">
        <w:rPr>
          <w:lang w:val="en-US"/>
        </w:rPr>
        <w:t>als who contributed greatly to e</w:t>
      </w:r>
      <w:r w:rsidR="00A26A53" w:rsidRPr="00813D19">
        <w:rPr>
          <w:lang w:val="en-US"/>
        </w:rPr>
        <w:t xml:space="preserve">nsuring </w:t>
      </w:r>
      <w:r w:rsidR="00B85847" w:rsidRPr="00813D19">
        <w:rPr>
          <w:lang w:val="en-US"/>
        </w:rPr>
        <w:t xml:space="preserve">its </w:t>
      </w:r>
      <w:r w:rsidR="00A26A53" w:rsidRPr="00813D19">
        <w:rPr>
          <w:lang w:val="en-US"/>
        </w:rPr>
        <w:t>visibility and awareness</w:t>
      </w:r>
      <w:r w:rsidR="00B85847" w:rsidRPr="00813D19">
        <w:rPr>
          <w:lang w:val="en-US"/>
        </w:rPr>
        <w:t>,</w:t>
      </w:r>
      <w:r w:rsidR="00A26A53" w:rsidRPr="00813D19">
        <w:rPr>
          <w:lang w:val="en-US"/>
        </w:rPr>
        <w:t xml:space="preserve"> as well as conducting an open dia</w:t>
      </w:r>
      <w:r w:rsidR="00B85847" w:rsidRPr="00813D19">
        <w:rPr>
          <w:lang w:val="en-US"/>
        </w:rPr>
        <w:t xml:space="preserve">logue to encourage cooperation and </w:t>
      </w:r>
      <w:r w:rsidR="00A26A53" w:rsidRPr="00813D19">
        <w:rPr>
          <w:lang w:val="en-US"/>
        </w:rPr>
        <w:t>put into words the pride of the bobbin lace makers for the</w:t>
      </w:r>
      <w:r w:rsidR="00B85847" w:rsidRPr="00813D19">
        <w:rPr>
          <w:lang w:val="en-US"/>
        </w:rPr>
        <w:t>ir</w:t>
      </w:r>
      <w:r w:rsidR="00A26A53" w:rsidRPr="00813D19">
        <w:rPr>
          <w:lang w:val="en-US"/>
        </w:rPr>
        <w:t xml:space="preserve"> craftsmanship and creative expression</w:t>
      </w:r>
      <w:r w:rsidR="00B85847" w:rsidRPr="00813D19">
        <w:rPr>
          <w:lang w:val="en-US"/>
        </w:rPr>
        <w:t>,</w:t>
      </w:r>
      <w:r w:rsidR="00A26A53" w:rsidRPr="00813D19">
        <w:rPr>
          <w:lang w:val="en-US"/>
        </w:rPr>
        <w:t xml:space="preserve"> especially the love with which these tiny threads are tangled. As one contemporary designer said so clearly</w:t>
      </w:r>
      <w:r w:rsidR="00B85847" w:rsidRPr="00813D19">
        <w:rPr>
          <w:lang w:val="en-US"/>
        </w:rPr>
        <w:t>,</w:t>
      </w:r>
      <w:r w:rsidR="00A26A53" w:rsidRPr="00813D19">
        <w:rPr>
          <w:lang w:val="en-US"/>
        </w:rPr>
        <w:t xml:space="preserve"> </w:t>
      </w:r>
      <w:r w:rsidR="00B85847" w:rsidRPr="00813D19">
        <w:rPr>
          <w:lang w:val="en-US"/>
        </w:rPr>
        <w:t>bobbin lace</w:t>
      </w:r>
      <w:r w:rsidR="00A26A53" w:rsidRPr="00813D19">
        <w:rPr>
          <w:lang w:val="en-US"/>
        </w:rPr>
        <w:t>making is simply part of one’s personal and family history</w:t>
      </w:r>
      <w:r w:rsidR="00B85847" w:rsidRPr="00813D19">
        <w:rPr>
          <w:lang w:val="en-US"/>
        </w:rPr>
        <w:t>,</w:t>
      </w:r>
      <w:r w:rsidR="00A26A53" w:rsidRPr="00813D19">
        <w:rPr>
          <w:lang w:val="en-US"/>
        </w:rPr>
        <w:t xml:space="preserve"> as well as many other life stories that </w:t>
      </w:r>
      <w:r w:rsidR="00B85847" w:rsidRPr="00813D19">
        <w:rPr>
          <w:lang w:val="en-US"/>
        </w:rPr>
        <w:t xml:space="preserve">are </w:t>
      </w:r>
      <w:r w:rsidR="00A26A53" w:rsidRPr="00813D19">
        <w:rPr>
          <w:lang w:val="en-US"/>
        </w:rPr>
        <w:t>discover</w:t>
      </w:r>
      <w:r w:rsidR="00B85847" w:rsidRPr="00813D19">
        <w:rPr>
          <w:lang w:val="en-US"/>
        </w:rPr>
        <w:t>ed</w:t>
      </w:r>
      <w:r w:rsidR="00A26A53" w:rsidRPr="00813D19">
        <w:rPr>
          <w:lang w:val="en-US"/>
        </w:rPr>
        <w:t xml:space="preserve"> through socializing while making lace. </w:t>
      </w:r>
      <w:r w:rsidR="00B85847" w:rsidRPr="00813D19">
        <w:rPr>
          <w:lang w:val="en-US"/>
        </w:rPr>
        <w:t xml:space="preserve">The delegation was </w:t>
      </w:r>
      <w:r w:rsidR="00A26A53" w:rsidRPr="00813D19">
        <w:rPr>
          <w:lang w:val="en-US"/>
        </w:rPr>
        <w:t>pleased th</w:t>
      </w:r>
      <w:r w:rsidR="00B85847" w:rsidRPr="00813D19">
        <w:rPr>
          <w:lang w:val="en-US"/>
        </w:rPr>
        <w:t>at the tradition of bobbin lace</w:t>
      </w:r>
      <w:r w:rsidR="00A26A53" w:rsidRPr="00813D19">
        <w:rPr>
          <w:lang w:val="en-US"/>
        </w:rPr>
        <w:t xml:space="preserve">making </w:t>
      </w:r>
      <w:r w:rsidR="00850161" w:rsidRPr="00813D19">
        <w:rPr>
          <w:lang w:val="en-US"/>
        </w:rPr>
        <w:t>ke</w:t>
      </w:r>
      <w:r w:rsidR="00850161">
        <w:rPr>
          <w:lang w:val="en-US"/>
        </w:rPr>
        <w:t>pt</w:t>
      </w:r>
      <w:r w:rsidR="00850161" w:rsidRPr="00813D19">
        <w:rPr>
          <w:lang w:val="en-US"/>
        </w:rPr>
        <w:t xml:space="preserve"> </w:t>
      </w:r>
      <w:r w:rsidR="00A26A53" w:rsidRPr="00813D19">
        <w:rPr>
          <w:lang w:val="en-US"/>
        </w:rPr>
        <w:t>up with the times so boldly</w:t>
      </w:r>
      <w:r w:rsidR="00B85847" w:rsidRPr="00813D19">
        <w:rPr>
          <w:lang w:val="en-US"/>
        </w:rPr>
        <w:t>,</w:t>
      </w:r>
      <w:r w:rsidR="00A26A53" w:rsidRPr="00813D19">
        <w:rPr>
          <w:lang w:val="en-US"/>
        </w:rPr>
        <w:t xml:space="preserve"> even in the 21</w:t>
      </w:r>
      <w:r w:rsidR="003D53B3">
        <w:rPr>
          <w:lang w:val="en-US"/>
        </w:rPr>
        <w:t>st</w:t>
      </w:r>
      <w:r w:rsidR="00B85847" w:rsidRPr="00813D19">
        <w:rPr>
          <w:lang w:val="en-US"/>
        </w:rPr>
        <w:t xml:space="preserve"> </w:t>
      </w:r>
      <w:r w:rsidR="00A26A53" w:rsidRPr="00813D19">
        <w:rPr>
          <w:lang w:val="en-US"/>
        </w:rPr>
        <w:t>century</w:t>
      </w:r>
      <w:r w:rsidR="00B85847" w:rsidRPr="00813D19">
        <w:rPr>
          <w:lang w:val="en-US"/>
        </w:rPr>
        <w:t>,</w:t>
      </w:r>
      <w:r w:rsidR="00A26A53" w:rsidRPr="00813D19">
        <w:rPr>
          <w:lang w:val="en-US"/>
        </w:rPr>
        <w:t xml:space="preserve"> and that new generations </w:t>
      </w:r>
      <w:r w:rsidR="00850161">
        <w:rPr>
          <w:lang w:val="en-US"/>
        </w:rPr>
        <w:t>were</w:t>
      </w:r>
      <w:r w:rsidR="00850161" w:rsidRPr="00813D19">
        <w:rPr>
          <w:lang w:val="en-US"/>
        </w:rPr>
        <w:t xml:space="preserve"> </w:t>
      </w:r>
      <w:r w:rsidR="00A26A53" w:rsidRPr="00813D19">
        <w:rPr>
          <w:lang w:val="en-US"/>
        </w:rPr>
        <w:t>recognizing it as a part of their world</w:t>
      </w:r>
      <w:r w:rsidR="00B85847" w:rsidRPr="00813D19">
        <w:rPr>
          <w:lang w:val="en-US"/>
        </w:rPr>
        <w:t>,</w:t>
      </w:r>
      <w:r w:rsidR="00A26A53" w:rsidRPr="00813D19">
        <w:rPr>
          <w:lang w:val="en-US"/>
        </w:rPr>
        <w:t xml:space="preserve"> </w:t>
      </w:r>
      <w:r w:rsidR="00B85847" w:rsidRPr="00813D19">
        <w:rPr>
          <w:lang w:val="en-US"/>
        </w:rPr>
        <w:t>thus guaranteeing</w:t>
      </w:r>
      <w:r w:rsidR="00A26A53" w:rsidRPr="00813D19">
        <w:rPr>
          <w:lang w:val="en-US"/>
        </w:rPr>
        <w:t xml:space="preserve"> its safeguar</w:t>
      </w:r>
      <w:r w:rsidR="00B85847" w:rsidRPr="00813D19">
        <w:rPr>
          <w:lang w:val="en-US"/>
        </w:rPr>
        <w:t>ding in the future. Bobbin lace</w:t>
      </w:r>
      <w:r w:rsidR="00A26A53" w:rsidRPr="00813D19">
        <w:rPr>
          <w:lang w:val="en-US"/>
        </w:rPr>
        <w:t xml:space="preserve">making is very much alive </w:t>
      </w:r>
      <w:r w:rsidR="00B85847" w:rsidRPr="00813D19">
        <w:rPr>
          <w:lang w:val="en-US"/>
        </w:rPr>
        <w:t>and deserved</w:t>
      </w:r>
      <w:r w:rsidR="00A26A53" w:rsidRPr="00813D19">
        <w:rPr>
          <w:lang w:val="en-US"/>
        </w:rPr>
        <w:t xml:space="preserve"> </w:t>
      </w:r>
      <w:r w:rsidR="00B85847" w:rsidRPr="00813D19">
        <w:rPr>
          <w:lang w:val="en-US"/>
        </w:rPr>
        <w:t xml:space="preserve">its </w:t>
      </w:r>
      <w:r w:rsidR="00A26A53" w:rsidRPr="00813D19">
        <w:rPr>
          <w:lang w:val="en-US"/>
        </w:rPr>
        <w:t>inscript</w:t>
      </w:r>
      <w:r w:rsidR="003D53B3">
        <w:rPr>
          <w:lang w:val="en-US"/>
        </w:rPr>
        <w:t>ion on the Representative List.</w:t>
      </w:r>
    </w:p>
    <w:p w14:paraId="65C6F520" w14:textId="4A7EB114" w:rsidR="00790427" w:rsidRPr="003D53B3" w:rsidRDefault="00790427" w:rsidP="003D53B3">
      <w:pPr>
        <w:pStyle w:val="Orateurengris"/>
        <w:numPr>
          <w:ilvl w:val="0"/>
          <w:numId w:val="0"/>
        </w:numPr>
        <w:spacing w:before="240" w:after="240"/>
        <w:jc w:val="center"/>
        <w:rPr>
          <w:bCs/>
          <w:i/>
          <w:lang w:val="en-US"/>
        </w:rPr>
      </w:pPr>
      <w:r w:rsidRPr="00813D19">
        <w:rPr>
          <w:i/>
          <w:lang w:val="en-US"/>
        </w:rPr>
        <w:t>[</w:t>
      </w:r>
      <w:r w:rsidR="00F50D74" w:rsidRPr="00813D19">
        <w:rPr>
          <w:i/>
          <w:lang w:val="en-US"/>
        </w:rPr>
        <w:t>A short f</w:t>
      </w:r>
      <w:r w:rsidRPr="00813D19">
        <w:rPr>
          <w:i/>
          <w:lang w:val="en-US"/>
        </w:rPr>
        <w:t xml:space="preserve">ilm </w:t>
      </w:r>
      <w:r w:rsidR="002F6A84" w:rsidRPr="00813D19">
        <w:rPr>
          <w:i/>
          <w:lang w:val="en-US"/>
        </w:rPr>
        <w:t>on Bobbin lacemaking</w:t>
      </w:r>
      <w:r w:rsidR="00A130A6">
        <w:rPr>
          <w:i/>
          <w:lang w:val="en-US"/>
        </w:rPr>
        <w:t xml:space="preserve"> in Slovenia</w:t>
      </w:r>
      <w:r w:rsidR="00F50D74" w:rsidRPr="00813D19">
        <w:rPr>
          <w:i/>
          <w:lang w:val="en-US"/>
        </w:rPr>
        <w:t xml:space="preserve"> was projected</w:t>
      </w:r>
      <w:r w:rsidR="002F6A84" w:rsidRPr="00813D19">
        <w:rPr>
          <w:i/>
          <w:lang w:val="en-US"/>
        </w:rPr>
        <w:t>]</w:t>
      </w:r>
    </w:p>
    <w:p w14:paraId="718EC751" w14:textId="1FCC5384" w:rsidR="001A0B83" w:rsidRPr="00813D19" w:rsidRDefault="00BB01E7" w:rsidP="0028402A">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850161">
        <w:rPr>
          <w:color w:val="000000" w:themeColor="text1"/>
          <w:lang w:val="en-US"/>
        </w:rPr>
        <w:t>,</w:t>
      </w:r>
      <w:r w:rsidRPr="00813D19">
        <w:rPr>
          <w:color w:val="000000" w:themeColor="text1"/>
          <w:lang w:val="en-US"/>
        </w:rPr>
        <w:t xml:space="preserve"> </w:t>
      </w:r>
      <w:r w:rsidRPr="00813D19">
        <w:rPr>
          <w:b/>
          <w:color w:val="000000" w:themeColor="text1"/>
          <w:lang w:val="en-US"/>
        </w:rPr>
        <w:t>Tamboradas drum-playing rituals</w:t>
      </w:r>
      <w:r w:rsidRPr="00813D19">
        <w:rPr>
          <w:color w:val="000000" w:themeColor="text1"/>
          <w:lang w:val="en-US"/>
        </w:rPr>
        <w:t xml:space="preserve"> [draft decision 13.COM 10.b.33]</w:t>
      </w:r>
      <w:r w:rsidR="00850161">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Spain</w:t>
      </w:r>
      <w:r w:rsidRPr="00813D19">
        <w:rPr>
          <w:color w:val="000000" w:themeColor="text1"/>
          <w:lang w:val="en-US"/>
        </w:rPr>
        <w:t xml:space="preserve">. </w:t>
      </w:r>
      <w:r w:rsidR="001A0B83" w:rsidRPr="00813D19">
        <w:rPr>
          <w:lang w:val="en-US"/>
        </w:rPr>
        <w:t xml:space="preserve">Tamboradas drum-playing rituals are loud, group rituals based on the simultaneous, intense beating of thousands of drums, played uninterruptedly for days and nights in public spaces in towns and villages. The tamboradas are part of the </w:t>
      </w:r>
      <w:r w:rsidR="007942BD" w:rsidRPr="00813D19">
        <w:rPr>
          <w:lang w:val="en-US"/>
        </w:rPr>
        <w:t>Catholic Holy Week celebrations</w:t>
      </w:r>
      <w:r w:rsidR="001A0B83" w:rsidRPr="00813D19">
        <w:rPr>
          <w:lang w:val="en-US"/>
        </w:rPr>
        <w:t xml:space="preserve"> and have special significance according to different places, days and times.</w:t>
      </w:r>
      <w:r w:rsidR="0028402A" w:rsidRPr="00813D19">
        <w:rPr>
          <w:lang w:val="en-US"/>
        </w:rPr>
        <w:t xml:space="preserve"> </w:t>
      </w:r>
      <w:r w:rsidR="001A0B83" w:rsidRPr="00813D19">
        <w:rPr>
          <w:lang w:val="en-US"/>
        </w:rPr>
        <w:t>From the information included in th</w:t>
      </w:r>
      <w:r w:rsidR="00790427" w:rsidRPr="00813D19">
        <w:rPr>
          <w:lang w:val="en-US"/>
        </w:rPr>
        <w:t>e file, the nomination satisfied</w:t>
      </w:r>
      <w:r w:rsidR="001A0B83" w:rsidRPr="00813D19">
        <w:rPr>
          <w:lang w:val="en-US"/>
        </w:rPr>
        <w:t xml:space="preserve"> all five criteria. The Evaluation Body considered that</w:t>
      </w:r>
      <w:r w:rsidR="001A0B83" w:rsidRPr="00813D19">
        <w:rPr>
          <w:b/>
          <w:lang w:val="en-US"/>
        </w:rPr>
        <w:t xml:space="preserve"> </w:t>
      </w:r>
      <w:r w:rsidR="001A0B83" w:rsidRPr="00813D19">
        <w:rPr>
          <w:lang w:val="en-US"/>
        </w:rPr>
        <w:t>Tamboradas drum-playing rituals are a living tradition with significant social and cultural functions shared by</w:t>
      </w:r>
      <w:r w:rsidR="007942BD" w:rsidRPr="00813D19">
        <w:rPr>
          <w:lang w:val="en-US"/>
        </w:rPr>
        <w:t xml:space="preserve"> all the practising communities</w:t>
      </w:r>
      <w:r w:rsidR="001A0B83" w:rsidRPr="00813D19">
        <w:rPr>
          <w:lang w:val="en-US"/>
        </w:rPr>
        <w:t xml:space="preserve"> with respect to their local differences. The practice plays an important integrating role within the communities concerned, fostering a sense of belonging and strengthening ties among people of different ages, genders and origins. The practice also inspires other artistic fields such as literature, photography and poster design. The safeguarding measures were drawn up with the wide participation of the practitioners and local communities</w:t>
      </w:r>
      <w:r w:rsidR="00E62197" w:rsidRPr="00813D19">
        <w:rPr>
          <w:lang w:val="en-US"/>
        </w:rPr>
        <w:t>,</w:t>
      </w:r>
      <w:r w:rsidR="001A0B83" w:rsidRPr="00813D19">
        <w:rPr>
          <w:lang w:val="en-US"/>
        </w:rPr>
        <w:t xml:space="preserve"> and they include documentation and awareness-raising activities. The nomination was initiated by local communities and regional governments, which were involved in the entire nomination process through regular meetings.</w:t>
      </w:r>
      <w:r w:rsidR="0028402A" w:rsidRPr="00813D19">
        <w:rPr>
          <w:lang w:val="en-US"/>
        </w:rPr>
        <w:t xml:space="preserve"> </w:t>
      </w:r>
      <w:r w:rsidR="001A0B83" w:rsidRPr="00813D19">
        <w:rPr>
          <w:lang w:val="en-US"/>
        </w:rPr>
        <w:t>The Evaluation Body c</w:t>
      </w:r>
      <w:r w:rsidR="001A0B83" w:rsidRPr="00813D19">
        <w:rPr>
          <w:bCs/>
          <w:noProof/>
          <w:lang w:val="en-US"/>
        </w:rPr>
        <w:t>ommend</w:t>
      </w:r>
      <w:r w:rsidR="0028402A" w:rsidRPr="00813D19">
        <w:rPr>
          <w:bCs/>
          <w:noProof/>
          <w:lang w:val="en-US"/>
        </w:rPr>
        <w:t>ed</w:t>
      </w:r>
      <w:r w:rsidR="001A0B83" w:rsidRPr="00813D19">
        <w:rPr>
          <w:bCs/>
          <w:noProof/>
          <w:lang w:val="en-US"/>
        </w:rPr>
        <w:t xml:space="preserve"> the State Party for the improved file following the referral of this nomination in 2014 and further </w:t>
      </w:r>
      <w:r w:rsidR="001A0B83" w:rsidRPr="00813D19">
        <w:rPr>
          <w:lang w:val="en-US"/>
        </w:rPr>
        <w:t>remind</w:t>
      </w:r>
      <w:r w:rsidR="007942BD" w:rsidRPr="00813D19">
        <w:rPr>
          <w:lang w:val="en-US"/>
        </w:rPr>
        <w:t>ed</w:t>
      </w:r>
      <w:r w:rsidR="001A0B83" w:rsidRPr="00813D19">
        <w:rPr>
          <w:lang w:val="en-US"/>
        </w:rPr>
        <w:t xml:space="preserve"> the State Party that updating is an important p</w:t>
      </w:r>
      <w:r w:rsidR="007942BD" w:rsidRPr="00813D19">
        <w:rPr>
          <w:lang w:val="en-US"/>
        </w:rPr>
        <w:t>art of the inventorying process, inviting</w:t>
      </w:r>
      <w:r w:rsidR="001A0B83" w:rsidRPr="00813D19">
        <w:rPr>
          <w:lang w:val="en-US"/>
        </w:rPr>
        <w:t xml:space="preserve"> it to include detailed information concerning this aspect in its next periodic report.</w:t>
      </w:r>
      <w:r w:rsidR="0028402A" w:rsidRPr="00813D19">
        <w:rPr>
          <w:lang w:val="en-US"/>
        </w:rPr>
        <w:t xml:space="preserve"> The Evaluation Body recommended</w:t>
      </w:r>
      <w:r w:rsidR="001A0B83" w:rsidRPr="00813D19">
        <w:rPr>
          <w:lang w:val="en-US"/>
        </w:rPr>
        <w:t xml:space="preserve"> that the Committee inscribe Tamboradas drum-playing rituals on the Representative List.</w:t>
      </w:r>
    </w:p>
    <w:p w14:paraId="0692C1CD" w14:textId="77777777" w:rsidR="00B0638C" w:rsidRPr="00813D19" w:rsidRDefault="00B0638C" w:rsidP="00B0638C">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76C4DD67" w14:textId="134CF196" w:rsidR="001A0B83" w:rsidRPr="003D53B3" w:rsidRDefault="00B0638C" w:rsidP="00B0638C">
      <w:pPr>
        <w:pStyle w:val="Orateurengris"/>
        <w:spacing w:before="120"/>
        <w:ind w:left="709" w:hanging="709"/>
        <w:rPr>
          <w:rFonts w:eastAsia="Times New Roman"/>
          <w:bCs/>
          <w:lang w:val="en-US"/>
        </w:rPr>
      </w:pPr>
      <w:r w:rsidRPr="00813D19">
        <w:rPr>
          <w:rFonts w:eastAsia="Calibri"/>
          <w:color w:val="000000" w:themeColor="text1"/>
          <w:lang w:val="en-US"/>
        </w:rPr>
        <w:t>Turning to the decision as a whole,</w:t>
      </w:r>
      <w:r w:rsidRPr="00813D19">
        <w:rPr>
          <w:lang w:val="en-US"/>
        </w:rPr>
        <w:t xml:space="preserve"> the </w:t>
      </w:r>
      <w:r w:rsidR="00790427" w:rsidRPr="00813D19">
        <w:rPr>
          <w:b/>
          <w:lang w:val="en-US"/>
        </w:rPr>
        <w:t xml:space="preserve">Chairperson declared Decision </w:t>
      </w:r>
      <w:hyperlink r:id="rId131" w:history="1">
        <w:r w:rsidR="00790427" w:rsidRPr="00813D19">
          <w:rPr>
            <w:rStyle w:val="Hyperlink"/>
            <w:b/>
            <w:lang w:val="en-US"/>
          </w:rPr>
          <w:t>13.COM 10.b.33</w:t>
        </w:r>
      </w:hyperlink>
      <w:r w:rsidR="00790427" w:rsidRPr="00813D19">
        <w:rPr>
          <w:b/>
          <w:lang w:val="en-US"/>
        </w:rPr>
        <w:t xml:space="preserve"> adopted to inscribe </w:t>
      </w:r>
      <w:r w:rsidR="00790427" w:rsidRPr="00813D19">
        <w:rPr>
          <w:b/>
          <w:color w:val="000000" w:themeColor="text1"/>
          <w:lang w:val="en-US"/>
        </w:rPr>
        <w:t>Tamboradas drum-playing rituals</w:t>
      </w:r>
      <w:r w:rsidR="00790427" w:rsidRPr="00813D19">
        <w:rPr>
          <w:color w:val="000000" w:themeColor="text1"/>
          <w:lang w:val="en-US"/>
        </w:rPr>
        <w:t xml:space="preserve"> </w:t>
      </w:r>
      <w:r w:rsidR="00790427" w:rsidRPr="00813D19">
        <w:rPr>
          <w:b/>
          <w:color w:val="000000" w:themeColor="text1"/>
          <w:lang w:val="en-US"/>
        </w:rPr>
        <w:t>on the Representative List</w:t>
      </w:r>
      <w:r w:rsidR="00790427" w:rsidRPr="003D53B3">
        <w:rPr>
          <w:bCs/>
          <w:snapToGrid/>
          <w:color w:val="000000" w:themeColor="text1"/>
          <w:lang w:val="en-US"/>
        </w:rPr>
        <w:t>.</w:t>
      </w:r>
    </w:p>
    <w:p w14:paraId="044B5786" w14:textId="016FD25E" w:rsidR="00695827" w:rsidRPr="003D53B3" w:rsidRDefault="00695827" w:rsidP="00695827">
      <w:pPr>
        <w:pStyle w:val="Orateurengris"/>
        <w:spacing w:before="120"/>
        <w:ind w:left="709" w:hanging="709"/>
        <w:rPr>
          <w:rFonts w:eastAsia="Times New Roman"/>
          <w:lang w:val="en-US"/>
        </w:rPr>
      </w:pPr>
      <w:r w:rsidRPr="00813D19">
        <w:rPr>
          <w:lang w:val="en-US"/>
        </w:rPr>
        <w:t xml:space="preserve">The </w:t>
      </w:r>
      <w:r w:rsidRPr="00813D19">
        <w:rPr>
          <w:b/>
          <w:lang w:val="en-US"/>
        </w:rPr>
        <w:t>delegation of Spain</w:t>
      </w:r>
      <w:r w:rsidRPr="00813D19">
        <w:rPr>
          <w:lang w:val="en-US"/>
        </w:rPr>
        <w:t xml:space="preserve"> </w:t>
      </w:r>
      <w:r w:rsidR="00601C5A" w:rsidRPr="00813D19">
        <w:rPr>
          <w:lang w:val="en-US"/>
        </w:rPr>
        <w:t xml:space="preserve">began by </w:t>
      </w:r>
      <w:r w:rsidR="00A26A53" w:rsidRPr="00813D19">
        <w:rPr>
          <w:lang w:val="en-US"/>
        </w:rPr>
        <w:t>thank</w:t>
      </w:r>
      <w:r w:rsidR="00601C5A" w:rsidRPr="00813D19">
        <w:rPr>
          <w:lang w:val="en-US"/>
        </w:rPr>
        <w:t>ing</w:t>
      </w:r>
      <w:r w:rsidR="00A26A53" w:rsidRPr="00813D19">
        <w:rPr>
          <w:lang w:val="en-US"/>
        </w:rPr>
        <w:t xml:space="preserve"> Mauritius for </w:t>
      </w:r>
      <w:r w:rsidR="00601C5A" w:rsidRPr="00813D19">
        <w:rPr>
          <w:lang w:val="en-US"/>
        </w:rPr>
        <w:t xml:space="preserve">its </w:t>
      </w:r>
      <w:r w:rsidR="00A26A53" w:rsidRPr="00813D19">
        <w:rPr>
          <w:lang w:val="en-US"/>
        </w:rPr>
        <w:t xml:space="preserve">warm welcome </w:t>
      </w:r>
      <w:r w:rsidR="00601C5A" w:rsidRPr="00813D19">
        <w:rPr>
          <w:lang w:val="en-US"/>
        </w:rPr>
        <w:t xml:space="preserve">and </w:t>
      </w:r>
      <w:r w:rsidR="00A26A53" w:rsidRPr="00813D19">
        <w:rPr>
          <w:lang w:val="en-US"/>
        </w:rPr>
        <w:t>congratulate</w:t>
      </w:r>
      <w:r w:rsidR="00601C5A" w:rsidRPr="00813D19">
        <w:rPr>
          <w:lang w:val="en-US"/>
        </w:rPr>
        <w:t>d</w:t>
      </w:r>
      <w:r w:rsidR="00A26A53" w:rsidRPr="00813D19">
        <w:rPr>
          <w:lang w:val="en-US"/>
        </w:rPr>
        <w:t xml:space="preserve"> the Secretariat, the Evaluation Body and the Members of the Committee for their work over the last few days. </w:t>
      </w:r>
      <w:r w:rsidR="00574D74" w:rsidRPr="00813D19">
        <w:rPr>
          <w:lang w:val="en-US"/>
        </w:rPr>
        <w:t>T</w:t>
      </w:r>
      <w:r w:rsidR="00A26A53" w:rsidRPr="00813D19">
        <w:rPr>
          <w:lang w:val="en-US"/>
        </w:rPr>
        <w:t xml:space="preserve">he success of </w:t>
      </w:r>
      <w:r w:rsidR="00574D74" w:rsidRPr="00813D19">
        <w:rPr>
          <w:lang w:val="en-US"/>
        </w:rPr>
        <w:t xml:space="preserve">Tamboradas drum-playing rituals was ascribed to the </w:t>
      </w:r>
      <w:r w:rsidR="00A26A53" w:rsidRPr="00813D19">
        <w:rPr>
          <w:lang w:val="en-US"/>
        </w:rPr>
        <w:t xml:space="preserve">long trajectory </w:t>
      </w:r>
      <w:r w:rsidR="00574D74" w:rsidRPr="00813D19">
        <w:rPr>
          <w:lang w:val="en-US"/>
        </w:rPr>
        <w:t xml:space="preserve">followed </w:t>
      </w:r>
      <w:r w:rsidR="00A26A53" w:rsidRPr="00813D19">
        <w:rPr>
          <w:lang w:val="en-US"/>
        </w:rPr>
        <w:t xml:space="preserve">since it was </w:t>
      </w:r>
      <w:r w:rsidR="00574D74" w:rsidRPr="00813D19">
        <w:rPr>
          <w:lang w:val="en-US"/>
        </w:rPr>
        <w:t xml:space="preserve">first submitted </w:t>
      </w:r>
      <w:r w:rsidR="00A26A53" w:rsidRPr="00813D19">
        <w:rPr>
          <w:lang w:val="en-US"/>
        </w:rPr>
        <w:t xml:space="preserve">in 2014. It </w:t>
      </w:r>
      <w:r w:rsidR="00574D74" w:rsidRPr="00813D19">
        <w:rPr>
          <w:lang w:val="en-US"/>
        </w:rPr>
        <w:t xml:space="preserve">was not </w:t>
      </w:r>
      <w:r w:rsidR="00A26A53" w:rsidRPr="00813D19">
        <w:rPr>
          <w:lang w:val="en-US"/>
        </w:rPr>
        <w:t xml:space="preserve">inscribed </w:t>
      </w:r>
      <w:r w:rsidR="00574D74" w:rsidRPr="00813D19">
        <w:rPr>
          <w:lang w:val="en-US"/>
        </w:rPr>
        <w:t xml:space="preserve">at the time </w:t>
      </w:r>
      <w:r w:rsidR="00A26A53" w:rsidRPr="00813D19">
        <w:rPr>
          <w:lang w:val="en-US"/>
        </w:rPr>
        <w:t xml:space="preserve">because some criteria had to be improved and </w:t>
      </w:r>
      <w:r w:rsidR="00574D74" w:rsidRPr="00813D19">
        <w:rPr>
          <w:lang w:val="en-US"/>
        </w:rPr>
        <w:t xml:space="preserve">thus the file received </w:t>
      </w:r>
      <w:r w:rsidR="00A26A53" w:rsidRPr="00813D19">
        <w:rPr>
          <w:lang w:val="en-US"/>
        </w:rPr>
        <w:t xml:space="preserve">dedication and devotion </w:t>
      </w:r>
      <w:r w:rsidR="00574D74" w:rsidRPr="00813D19">
        <w:rPr>
          <w:lang w:val="en-US"/>
        </w:rPr>
        <w:t xml:space="preserve">for two years, which was a </w:t>
      </w:r>
      <w:r w:rsidR="00A26A53" w:rsidRPr="00813D19">
        <w:rPr>
          <w:lang w:val="en-US"/>
        </w:rPr>
        <w:t>good example of the importance of the</w:t>
      </w:r>
      <w:r w:rsidR="00574D74" w:rsidRPr="00813D19">
        <w:rPr>
          <w:lang w:val="en-US"/>
        </w:rPr>
        <w:t xml:space="preserve"> referral option for the bearer</w:t>
      </w:r>
      <w:r w:rsidR="00A26A53" w:rsidRPr="00813D19">
        <w:rPr>
          <w:lang w:val="en-US"/>
        </w:rPr>
        <w:t xml:space="preserve"> communities</w:t>
      </w:r>
      <w:r w:rsidR="00574D74" w:rsidRPr="00813D19">
        <w:rPr>
          <w:lang w:val="en-US"/>
        </w:rPr>
        <w:t>,</w:t>
      </w:r>
      <w:r w:rsidR="00A26A53" w:rsidRPr="00813D19">
        <w:rPr>
          <w:lang w:val="en-US"/>
        </w:rPr>
        <w:t xml:space="preserve"> the real protagonists behind the Convention. This </w:t>
      </w:r>
      <w:r w:rsidR="00574D74" w:rsidRPr="00813D19">
        <w:rPr>
          <w:lang w:val="en-US"/>
        </w:rPr>
        <w:t xml:space="preserve">process involved </w:t>
      </w:r>
      <w:r w:rsidR="00A26A53" w:rsidRPr="00813D19">
        <w:rPr>
          <w:lang w:val="en-US"/>
        </w:rPr>
        <w:t xml:space="preserve">the tamboradas communities of </w:t>
      </w:r>
      <w:r w:rsidR="00A26A53" w:rsidRPr="00813D19">
        <w:rPr>
          <w:bCs/>
          <w:lang w:val="en-US"/>
        </w:rPr>
        <w:t xml:space="preserve">Castilla La Mancha, Murcia and Andalusia </w:t>
      </w:r>
      <w:r w:rsidR="00574D74" w:rsidRPr="00813D19">
        <w:rPr>
          <w:bCs/>
          <w:lang w:val="en-US"/>
        </w:rPr>
        <w:t xml:space="preserve">in </w:t>
      </w:r>
      <w:r w:rsidR="00850161">
        <w:rPr>
          <w:bCs/>
          <w:lang w:val="en-US"/>
        </w:rPr>
        <w:t>twenty-seven</w:t>
      </w:r>
      <w:r w:rsidR="00850161" w:rsidRPr="00813D19">
        <w:rPr>
          <w:bCs/>
          <w:lang w:val="en-US"/>
        </w:rPr>
        <w:t xml:space="preserve"> </w:t>
      </w:r>
      <w:r w:rsidR="00A26A53" w:rsidRPr="00813D19">
        <w:rPr>
          <w:bCs/>
          <w:lang w:val="en-US"/>
        </w:rPr>
        <w:t xml:space="preserve">localities. There is growing participation </w:t>
      </w:r>
      <w:r w:rsidR="00574D74" w:rsidRPr="00813D19">
        <w:rPr>
          <w:bCs/>
          <w:lang w:val="en-US"/>
        </w:rPr>
        <w:t xml:space="preserve">in the practice </w:t>
      </w:r>
      <w:r w:rsidR="00A26A53" w:rsidRPr="00813D19">
        <w:rPr>
          <w:bCs/>
          <w:lang w:val="en-US"/>
        </w:rPr>
        <w:t>with no distinction for social class or gender. They are noisy, loud rituals based on simultaneously and intensely beating thousands of drums uninterruptedly day and ni</w:t>
      </w:r>
      <w:r w:rsidR="00E62197" w:rsidRPr="00813D19">
        <w:rPr>
          <w:bCs/>
          <w:lang w:val="en-US"/>
        </w:rPr>
        <w:t>ght in public spaces in Spain. I</w:t>
      </w:r>
      <w:r w:rsidR="00A26A53" w:rsidRPr="00813D19">
        <w:rPr>
          <w:bCs/>
          <w:lang w:val="en-US"/>
        </w:rPr>
        <w:t>t is a call for freedom, fraternity</w:t>
      </w:r>
      <w:r w:rsidR="00E62197" w:rsidRPr="00813D19">
        <w:rPr>
          <w:bCs/>
          <w:lang w:val="en-US"/>
        </w:rPr>
        <w:t xml:space="preserve">, peace and coexistence, which </w:t>
      </w:r>
      <w:r w:rsidR="00A26A53" w:rsidRPr="00813D19">
        <w:rPr>
          <w:bCs/>
          <w:lang w:val="en-US"/>
        </w:rPr>
        <w:t xml:space="preserve">must </w:t>
      </w:r>
      <w:r w:rsidR="00574D74" w:rsidRPr="00813D19">
        <w:rPr>
          <w:bCs/>
          <w:lang w:val="en-US"/>
        </w:rPr>
        <w:t>be heard in all corners of the E</w:t>
      </w:r>
      <w:r w:rsidR="00A26A53" w:rsidRPr="00813D19">
        <w:rPr>
          <w:bCs/>
          <w:lang w:val="en-US"/>
        </w:rPr>
        <w:t>arth. This is a common language, interpreted by the bearer communities in different parts of Spain</w:t>
      </w:r>
      <w:r w:rsidR="00574D74" w:rsidRPr="00813D19">
        <w:rPr>
          <w:bCs/>
          <w:lang w:val="en-US"/>
        </w:rPr>
        <w:t>,</w:t>
      </w:r>
      <w:r w:rsidR="00A26A53" w:rsidRPr="00813D19">
        <w:rPr>
          <w:bCs/>
          <w:lang w:val="en-US"/>
        </w:rPr>
        <w:t xml:space="preserve"> creating a captivating atmosphere of </w:t>
      </w:r>
      <w:r w:rsidR="00574D74" w:rsidRPr="00813D19">
        <w:rPr>
          <w:bCs/>
          <w:lang w:val="en-US"/>
        </w:rPr>
        <w:t xml:space="preserve">sound and </w:t>
      </w:r>
      <w:r w:rsidR="00A26A53" w:rsidRPr="00813D19">
        <w:rPr>
          <w:bCs/>
          <w:lang w:val="en-US"/>
        </w:rPr>
        <w:t>emotion</w:t>
      </w:r>
      <w:r w:rsidR="00A26A53" w:rsidRPr="00813D19">
        <w:rPr>
          <w:lang w:val="en-US"/>
        </w:rPr>
        <w:t xml:space="preserve">. Since Spain’s </w:t>
      </w:r>
      <w:r w:rsidR="00574D74" w:rsidRPr="00813D19">
        <w:rPr>
          <w:lang w:val="en-US"/>
        </w:rPr>
        <w:t xml:space="preserve">ratification of the </w:t>
      </w:r>
      <w:r w:rsidR="00A26A53" w:rsidRPr="00813D19">
        <w:rPr>
          <w:lang w:val="en-US"/>
        </w:rPr>
        <w:t xml:space="preserve">Convention </w:t>
      </w:r>
      <w:r w:rsidR="00850161">
        <w:rPr>
          <w:lang w:val="en-US"/>
        </w:rPr>
        <w:t>fifteen</w:t>
      </w:r>
      <w:r w:rsidR="00850161" w:rsidRPr="00813D19">
        <w:rPr>
          <w:lang w:val="en-US"/>
        </w:rPr>
        <w:t xml:space="preserve"> </w:t>
      </w:r>
      <w:r w:rsidR="00A26A53" w:rsidRPr="00813D19">
        <w:rPr>
          <w:lang w:val="en-US"/>
        </w:rPr>
        <w:t>years ago</w:t>
      </w:r>
      <w:r w:rsidR="00574D74" w:rsidRPr="00813D19">
        <w:rPr>
          <w:lang w:val="en-US"/>
        </w:rPr>
        <w:t xml:space="preserve">, the delegation wished to </w:t>
      </w:r>
      <w:r w:rsidR="00A26A53" w:rsidRPr="00813D19">
        <w:rPr>
          <w:lang w:val="en-US"/>
        </w:rPr>
        <w:t>thank all the municipalities involved who express</w:t>
      </w:r>
      <w:r w:rsidR="00574D74" w:rsidRPr="00813D19">
        <w:rPr>
          <w:lang w:val="en-US"/>
        </w:rPr>
        <w:t>ed</w:t>
      </w:r>
      <w:r w:rsidR="00A26A53" w:rsidRPr="00813D19">
        <w:rPr>
          <w:lang w:val="en-US"/>
        </w:rPr>
        <w:t xml:space="preserve"> their gratitude to UNESCO for accepting this message of peace. </w:t>
      </w:r>
      <w:r w:rsidR="00574D74" w:rsidRPr="00813D19">
        <w:rPr>
          <w:lang w:val="en-US"/>
        </w:rPr>
        <w:t xml:space="preserve">These drums are not war drums, but a wish that </w:t>
      </w:r>
      <w:r w:rsidR="00A26A53" w:rsidRPr="00813D19">
        <w:rPr>
          <w:lang w:val="en-US"/>
        </w:rPr>
        <w:t xml:space="preserve">weapons </w:t>
      </w:r>
      <w:r w:rsidR="00574D74" w:rsidRPr="00813D19">
        <w:rPr>
          <w:lang w:val="en-US"/>
        </w:rPr>
        <w:t xml:space="preserve">be </w:t>
      </w:r>
      <w:r w:rsidR="003D53B3">
        <w:rPr>
          <w:lang w:val="en-US"/>
        </w:rPr>
        <w:t xml:space="preserve">silenced throughout </w:t>
      </w:r>
      <w:r w:rsidR="003D53B3" w:rsidRPr="003D53B3">
        <w:rPr>
          <w:lang w:val="en-US"/>
        </w:rPr>
        <w:t>the world.</w:t>
      </w:r>
    </w:p>
    <w:p w14:paraId="62EFFCE1" w14:textId="2F4AC603" w:rsidR="00183DDA" w:rsidRPr="003D53B3" w:rsidRDefault="00183DDA" w:rsidP="003D53B3">
      <w:pPr>
        <w:pStyle w:val="Orateurengris"/>
        <w:numPr>
          <w:ilvl w:val="0"/>
          <w:numId w:val="0"/>
        </w:numPr>
        <w:spacing w:before="240" w:after="240"/>
        <w:ind w:left="567" w:hanging="567"/>
        <w:jc w:val="center"/>
        <w:rPr>
          <w:bCs/>
          <w:i/>
          <w:lang w:val="en-US"/>
        </w:rPr>
      </w:pPr>
      <w:r w:rsidRPr="00813D19">
        <w:rPr>
          <w:i/>
          <w:lang w:val="en-US"/>
        </w:rPr>
        <w:t>[</w:t>
      </w:r>
      <w:r w:rsidR="007E32ED" w:rsidRPr="00813D19">
        <w:rPr>
          <w:i/>
          <w:lang w:val="en-US"/>
        </w:rPr>
        <w:t>A short f</w:t>
      </w:r>
      <w:r w:rsidRPr="00813D19">
        <w:rPr>
          <w:i/>
          <w:lang w:val="en-US"/>
        </w:rPr>
        <w:t xml:space="preserve">ilm on </w:t>
      </w:r>
      <w:r w:rsidR="005011B5" w:rsidRPr="00813D19">
        <w:rPr>
          <w:i/>
          <w:color w:val="000000" w:themeColor="text1"/>
          <w:lang w:val="en-US"/>
        </w:rPr>
        <w:t>Tamboradas drum-playing rituals</w:t>
      </w:r>
      <w:r w:rsidR="007E32ED" w:rsidRPr="00813D19">
        <w:rPr>
          <w:i/>
          <w:color w:val="000000" w:themeColor="text1"/>
          <w:lang w:val="en-US"/>
        </w:rPr>
        <w:t xml:space="preserve"> was projected</w:t>
      </w:r>
      <w:r w:rsidRPr="00813D19">
        <w:rPr>
          <w:i/>
          <w:lang w:val="en-US"/>
        </w:rPr>
        <w:t>]</w:t>
      </w:r>
    </w:p>
    <w:p w14:paraId="5D0FC3F3" w14:textId="62D4ACA4" w:rsidR="001A0B83" w:rsidRPr="00813D19" w:rsidRDefault="00BB01E7" w:rsidP="005011B5">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850161">
        <w:rPr>
          <w:color w:val="000000" w:themeColor="text1"/>
          <w:lang w:val="en-US"/>
        </w:rPr>
        <w:t>,</w:t>
      </w:r>
      <w:r w:rsidRPr="00813D19">
        <w:rPr>
          <w:color w:val="000000" w:themeColor="text1"/>
          <w:lang w:val="en-US"/>
        </w:rPr>
        <w:t xml:space="preserve"> </w:t>
      </w:r>
      <w:r w:rsidRPr="00813D19">
        <w:rPr>
          <w:b/>
          <w:color w:val="000000" w:themeColor="text1"/>
          <w:lang w:val="en-US"/>
        </w:rPr>
        <w:t xml:space="preserve">Rūkada Nātya, traditional string puppet drama in Sri Lanka </w:t>
      </w:r>
      <w:r w:rsidRPr="00813D19">
        <w:rPr>
          <w:color w:val="000000" w:themeColor="text1"/>
          <w:lang w:val="en-US"/>
        </w:rPr>
        <w:t>[draft decision 13.COM 10.b.34]</w:t>
      </w:r>
      <w:r w:rsidR="00850161">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Sri Lanka</w:t>
      </w:r>
      <w:r w:rsidRPr="00813D19">
        <w:rPr>
          <w:color w:val="000000" w:themeColor="text1"/>
          <w:lang w:val="en-US"/>
        </w:rPr>
        <w:t xml:space="preserve">. </w:t>
      </w:r>
      <w:r w:rsidR="001A0B83" w:rsidRPr="00813D19">
        <w:rPr>
          <w:lang w:val="en-US"/>
        </w:rPr>
        <w:t xml:space="preserve">Rūkada Nātya is a type of drama performed using string puppets, traditionally to provide light entertainment and convey moral lessons to village communities. The practice is therefore an effective way of conveying messages </w:t>
      </w:r>
      <w:r w:rsidR="0066486B" w:rsidRPr="00813D19">
        <w:rPr>
          <w:lang w:val="en-US"/>
        </w:rPr>
        <w:t xml:space="preserve">that are </w:t>
      </w:r>
      <w:r w:rsidR="001A0B83" w:rsidRPr="00813D19">
        <w:rPr>
          <w:lang w:val="en-US"/>
        </w:rPr>
        <w:t>crucial for maintaining cohesiveness among community members.</w:t>
      </w:r>
      <w:r w:rsidR="005011B5" w:rsidRPr="00813D19">
        <w:rPr>
          <w:lang w:val="en-US"/>
        </w:rPr>
        <w:t xml:space="preserve"> </w:t>
      </w:r>
      <w:r w:rsidR="001A0B83" w:rsidRPr="00813D19">
        <w:rPr>
          <w:lang w:val="en-US"/>
        </w:rPr>
        <w:t>From the information included in th</w:t>
      </w:r>
      <w:r w:rsidR="009B09E7" w:rsidRPr="00813D19">
        <w:rPr>
          <w:lang w:val="en-US"/>
        </w:rPr>
        <w:t>e file, the nomination satisfied</w:t>
      </w:r>
      <w:r w:rsidR="001A0B83" w:rsidRPr="00813D19">
        <w:rPr>
          <w:lang w:val="en-US"/>
        </w:rPr>
        <w:t xml:space="preserve"> all five criteria. The Evaluation Body considered that</w:t>
      </w:r>
      <w:r w:rsidR="001A0B83" w:rsidRPr="00813D19">
        <w:rPr>
          <w:b/>
          <w:lang w:val="en-US"/>
        </w:rPr>
        <w:t xml:space="preserve"> </w:t>
      </w:r>
      <w:r w:rsidR="001A0B83" w:rsidRPr="00813D19">
        <w:rPr>
          <w:lang w:val="en-US"/>
        </w:rPr>
        <w:t>Rūkada Nātya, traditional string puppet drama in Sri Lanka is a form of entertainment that conveys moral and ethical lessons to children, youth and other members of village communities. The practice fosters harmony and cohesiveness</w:t>
      </w:r>
      <w:r w:rsidR="0066486B" w:rsidRPr="00813D19">
        <w:rPr>
          <w:lang w:val="en-US"/>
        </w:rPr>
        <w:t>,</w:t>
      </w:r>
      <w:r w:rsidR="001A0B83" w:rsidRPr="00813D19">
        <w:rPr>
          <w:lang w:val="en-US"/>
        </w:rPr>
        <w:t xml:space="preserve"> and helps people socialize and share common values. The nomination process stimulated dialogue between pup</w:t>
      </w:r>
      <w:r w:rsidR="00D84C3B" w:rsidRPr="00813D19">
        <w:rPr>
          <w:lang w:val="en-US"/>
        </w:rPr>
        <w:t xml:space="preserve">petry groups and local experts, </w:t>
      </w:r>
      <w:r w:rsidR="001A0B83" w:rsidRPr="00813D19">
        <w:rPr>
          <w:lang w:val="en-US"/>
        </w:rPr>
        <w:t xml:space="preserve">and the element </w:t>
      </w:r>
      <w:r w:rsidR="00105310" w:rsidRPr="00813D19">
        <w:rPr>
          <w:lang w:val="en-US"/>
        </w:rPr>
        <w:t>ha</w:t>
      </w:r>
      <w:r w:rsidR="00105310">
        <w:rPr>
          <w:lang w:val="en-US"/>
        </w:rPr>
        <w:t>d</w:t>
      </w:r>
      <w:r w:rsidR="00105310" w:rsidRPr="00813D19">
        <w:rPr>
          <w:lang w:val="en-US"/>
        </w:rPr>
        <w:t xml:space="preserve"> </w:t>
      </w:r>
      <w:r w:rsidR="001A0B83" w:rsidRPr="00813D19">
        <w:rPr>
          <w:lang w:val="en-US"/>
        </w:rPr>
        <w:t xml:space="preserve">the potential </w:t>
      </w:r>
      <w:r w:rsidR="00105310">
        <w:rPr>
          <w:lang w:val="en-US"/>
        </w:rPr>
        <w:t xml:space="preserve">to </w:t>
      </w:r>
      <w:r w:rsidR="00105310" w:rsidRPr="00813D19">
        <w:rPr>
          <w:lang w:val="en-US"/>
        </w:rPr>
        <w:t>encourag</w:t>
      </w:r>
      <w:r w:rsidR="00105310">
        <w:rPr>
          <w:lang w:val="en-US"/>
        </w:rPr>
        <w:t>e</w:t>
      </w:r>
      <w:r w:rsidR="00105310" w:rsidRPr="00813D19">
        <w:rPr>
          <w:lang w:val="en-US"/>
        </w:rPr>
        <w:t xml:space="preserve"> </w:t>
      </w:r>
      <w:r w:rsidR="001A0B83" w:rsidRPr="00813D19">
        <w:rPr>
          <w:lang w:val="en-US"/>
        </w:rPr>
        <w:t>youth to engage with their own heritage. The proposed measures include</w:t>
      </w:r>
      <w:r w:rsidR="0066486B" w:rsidRPr="00813D19">
        <w:rPr>
          <w:lang w:val="en-US"/>
        </w:rPr>
        <w:t>d</w:t>
      </w:r>
      <w:r w:rsidR="001A0B83" w:rsidRPr="00813D19">
        <w:rPr>
          <w:lang w:val="en-US"/>
        </w:rPr>
        <w:t xml:space="preserve"> inventorying and documentation, encouraging studies through grants to conduct research projects aimed at safeguardi</w:t>
      </w:r>
      <w:r w:rsidR="00E62197" w:rsidRPr="00813D19">
        <w:rPr>
          <w:lang w:val="en-US"/>
        </w:rPr>
        <w:t>ng intangible cultural heritage</w:t>
      </w:r>
      <w:r w:rsidR="001A0B83" w:rsidRPr="00813D19">
        <w:rPr>
          <w:lang w:val="en-US"/>
        </w:rPr>
        <w:t xml:space="preserve"> and raising awareness through educational activities among school children and youth. The element was included in the National Inventory of Intangible Cultural Heritage of Sri Lanka with the wide participation of the practitioners.</w:t>
      </w:r>
      <w:r w:rsidR="005011B5" w:rsidRPr="00813D19">
        <w:rPr>
          <w:lang w:val="en-US"/>
        </w:rPr>
        <w:t xml:space="preserve"> </w:t>
      </w:r>
      <w:r w:rsidR="001A0B83" w:rsidRPr="00813D19">
        <w:rPr>
          <w:lang w:val="en-US"/>
        </w:rPr>
        <w:t xml:space="preserve">The Evaluation Body </w:t>
      </w:r>
      <w:r w:rsidR="001A0B83" w:rsidRPr="00813D19">
        <w:rPr>
          <w:noProof/>
          <w:lang w:val="en-US"/>
        </w:rPr>
        <w:t>commend</w:t>
      </w:r>
      <w:r w:rsidR="005011B5" w:rsidRPr="00813D19">
        <w:rPr>
          <w:noProof/>
          <w:lang w:val="en-US"/>
        </w:rPr>
        <w:t>ed</w:t>
      </w:r>
      <w:r w:rsidR="001A0B83" w:rsidRPr="00813D19">
        <w:rPr>
          <w:noProof/>
          <w:lang w:val="en-US"/>
        </w:rPr>
        <w:t xml:space="preserve"> the State Party for the improved file following the referral of this nomination in 2016.</w:t>
      </w:r>
      <w:r w:rsidR="005011B5" w:rsidRPr="00813D19">
        <w:rPr>
          <w:lang w:val="en-US"/>
        </w:rPr>
        <w:t xml:space="preserve"> The Evaluation Body recommended</w:t>
      </w:r>
      <w:r w:rsidR="001A0B83" w:rsidRPr="00813D19">
        <w:rPr>
          <w:lang w:val="en-US"/>
        </w:rPr>
        <w:t xml:space="preserve"> that the Committee inscribe Rūkada Nātya, traditional string puppet drama in Sri Lanka on the Representative List.</w:t>
      </w:r>
    </w:p>
    <w:p w14:paraId="47C2A393" w14:textId="77777777" w:rsidR="0066486B" w:rsidRPr="00813D19" w:rsidRDefault="0066486B" w:rsidP="0066486B">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3BBD7950" w14:textId="35055F4A" w:rsidR="001A0B83" w:rsidRPr="003D53B3" w:rsidRDefault="0066486B" w:rsidP="0066486B">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D84C3B" w:rsidRPr="00813D19">
        <w:rPr>
          <w:b/>
          <w:lang w:val="en-US"/>
        </w:rPr>
        <w:t xml:space="preserve">Chairperson declared Decision </w:t>
      </w:r>
      <w:hyperlink r:id="rId132" w:history="1">
        <w:r w:rsidR="00D84C3B" w:rsidRPr="00813D19">
          <w:rPr>
            <w:rStyle w:val="Hyperlink"/>
            <w:b/>
            <w:lang w:val="en-US"/>
          </w:rPr>
          <w:t>13.COM 10.b.34</w:t>
        </w:r>
      </w:hyperlink>
      <w:r w:rsidR="00D84C3B" w:rsidRPr="00813D19">
        <w:rPr>
          <w:b/>
          <w:lang w:val="en-US"/>
        </w:rPr>
        <w:t xml:space="preserve"> adopted to inscribe </w:t>
      </w:r>
      <w:r w:rsidR="00D84C3B" w:rsidRPr="00813D19">
        <w:rPr>
          <w:b/>
          <w:color w:val="000000" w:themeColor="text1"/>
          <w:lang w:val="en-US"/>
        </w:rPr>
        <w:t xml:space="preserve">Rūkada Nātya, traditional string puppet drama in Sri </w:t>
      </w:r>
      <w:r w:rsidR="00C3709D" w:rsidRPr="00813D19">
        <w:rPr>
          <w:b/>
          <w:color w:val="000000" w:themeColor="text1"/>
          <w:lang w:val="en-US"/>
        </w:rPr>
        <w:t xml:space="preserve">Lanka </w:t>
      </w:r>
      <w:r w:rsidR="00D84C3B" w:rsidRPr="00813D19">
        <w:rPr>
          <w:b/>
          <w:color w:val="000000" w:themeColor="text1"/>
          <w:lang w:val="en-US"/>
        </w:rPr>
        <w:t>on the Representative List</w:t>
      </w:r>
      <w:r w:rsidR="00D84C3B" w:rsidRPr="003D53B3">
        <w:rPr>
          <w:bCs/>
          <w:snapToGrid/>
          <w:color w:val="000000" w:themeColor="text1"/>
          <w:lang w:val="en-US"/>
        </w:rPr>
        <w:t>.</w:t>
      </w:r>
    </w:p>
    <w:p w14:paraId="62AC7B9E" w14:textId="753A83FE" w:rsidR="002F77DF" w:rsidRPr="003D53B3" w:rsidRDefault="00D84C3B" w:rsidP="00D84C3B">
      <w:pPr>
        <w:pStyle w:val="Orateurengris"/>
        <w:spacing w:before="120"/>
        <w:ind w:left="709" w:hanging="709"/>
        <w:rPr>
          <w:rFonts w:eastAsia="Times New Roman"/>
          <w:lang w:val="en-US"/>
        </w:rPr>
      </w:pPr>
      <w:r w:rsidRPr="00813D19">
        <w:rPr>
          <w:lang w:val="en-US"/>
        </w:rPr>
        <w:t xml:space="preserve">The </w:t>
      </w:r>
      <w:r w:rsidRPr="00813D19">
        <w:rPr>
          <w:b/>
          <w:lang w:val="en-US"/>
        </w:rPr>
        <w:t>delegation of Sri Lanka</w:t>
      </w:r>
      <w:r w:rsidR="002F77DF" w:rsidRPr="00813D19">
        <w:rPr>
          <w:b/>
          <w:lang w:val="en-US"/>
        </w:rPr>
        <w:t xml:space="preserve"> </w:t>
      </w:r>
      <w:r w:rsidR="002F77DF" w:rsidRPr="00813D19">
        <w:rPr>
          <w:lang w:val="en-US"/>
        </w:rPr>
        <w:t>express</w:t>
      </w:r>
      <w:r w:rsidR="00601C5A" w:rsidRPr="00813D19">
        <w:rPr>
          <w:lang w:val="en-US"/>
        </w:rPr>
        <w:t>ed</w:t>
      </w:r>
      <w:r w:rsidR="002F77DF" w:rsidRPr="00813D19">
        <w:rPr>
          <w:lang w:val="en-US"/>
        </w:rPr>
        <w:t xml:space="preserve"> </w:t>
      </w:r>
      <w:r w:rsidR="00601C5A" w:rsidRPr="00813D19">
        <w:rPr>
          <w:lang w:val="en-US"/>
        </w:rPr>
        <w:t xml:space="preserve">its </w:t>
      </w:r>
      <w:r w:rsidR="002F77DF" w:rsidRPr="00813D19">
        <w:rPr>
          <w:lang w:val="en-US"/>
        </w:rPr>
        <w:t xml:space="preserve">immense appreciation and heartfelt gratitude to the Evaluation Body for </w:t>
      </w:r>
      <w:r w:rsidR="00601C5A" w:rsidRPr="00813D19">
        <w:rPr>
          <w:lang w:val="en-US"/>
        </w:rPr>
        <w:t xml:space="preserve">its </w:t>
      </w:r>
      <w:r w:rsidR="002F77DF" w:rsidRPr="00813D19">
        <w:rPr>
          <w:lang w:val="en-US"/>
        </w:rPr>
        <w:t xml:space="preserve">work recommending </w:t>
      </w:r>
      <w:r w:rsidR="00105310">
        <w:rPr>
          <w:lang w:val="en-US"/>
        </w:rPr>
        <w:t xml:space="preserve">that </w:t>
      </w:r>
      <w:r w:rsidR="002F77DF" w:rsidRPr="00813D19">
        <w:rPr>
          <w:lang w:val="en-US"/>
        </w:rPr>
        <w:t>traditional string puppet drama in Sri Lanka be inscribed on the Representative List</w:t>
      </w:r>
      <w:r w:rsidR="00601C5A" w:rsidRPr="00813D19">
        <w:rPr>
          <w:lang w:val="en-US"/>
        </w:rPr>
        <w:t>.</w:t>
      </w:r>
      <w:r w:rsidR="002F77DF" w:rsidRPr="00813D19">
        <w:rPr>
          <w:lang w:val="en-US"/>
        </w:rPr>
        <w:t xml:space="preserve"> </w:t>
      </w:r>
      <w:r w:rsidR="00601C5A" w:rsidRPr="00813D19">
        <w:rPr>
          <w:lang w:val="en-US"/>
        </w:rPr>
        <w:t xml:space="preserve">It was delighted </w:t>
      </w:r>
      <w:r w:rsidR="002F77DF" w:rsidRPr="00813D19">
        <w:rPr>
          <w:lang w:val="en-US"/>
        </w:rPr>
        <w:t xml:space="preserve">with this result and </w:t>
      </w:r>
      <w:r w:rsidR="00601C5A" w:rsidRPr="00813D19">
        <w:rPr>
          <w:lang w:val="en-US"/>
        </w:rPr>
        <w:t xml:space="preserve">was </w:t>
      </w:r>
      <w:r w:rsidR="002F77DF" w:rsidRPr="00813D19">
        <w:rPr>
          <w:lang w:val="en-US"/>
        </w:rPr>
        <w:t>greatly hono</w:t>
      </w:r>
      <w:r w:rsidR="00FB131E">
        <w:rPr>
          <w:lang w:val="en-US"/>
        </w:rPr>
        <w:t>u</w:t>
      </w:r>
      <w:r w:rsidR="002F77DF" w:rsidRPr="00813D19">
        <w:rPr>
          <w:lang w:val="en-US"/>
        </w:rPr>
        <w:t>red</w:t>
      </w:r>
      <w:r w:rsidR="00601C5A" w:rsidRPr="00813D19">
        <w:rPr>
          <w:lang w:val="en-US"/>
        </w:rPr>
        <w:t>,</w:t>
      </w:r>
      <w:r w:rsidR="002F77DF" w:rsidRPr="00813D19">
        <w:rPr>
          <w:lang w:val="en-US"/>
        </w:rPr>
        <w:t xml:space="preserve"> especially as this </w:t>
      </w:r>
      <w:r w:rsidR="00601C5A" w:rsidRPr="00813D19">
        <w:rPr>
          <w:lang w:val="en-US"/>
        </w:rPr>
        <w:t xml:space="preserve">was </w:t>
      </w:r>
      <w:r w:rsidR="002F77DF" w:rsidRPr="00813D19">
        <w:rPr>
          <w:lang w:val="en-US"/>
        </w:rPr>
        <w:t xml:space="preserve">the very first </w:t>
      </w:r>
      <w:r w:rsidR="00601C5A" w:rsidRPr="00813D19">
        <w:rPr>
          <w:lang w:val="en-US"/>
        </w:rPr>
        <w:t xml:space="preserve">intangible cultural heritage </w:t>
      </w:r>
      <w:r w:rsidR="002F77DF" w:rsidRPr="00813D19">
        <w:rPr>
          <w:lang w:val="en-US"/>
        </w:rPr>
        <w:t xml:space="preserve">element </w:t>
      </w:r>
      <w:r w:rsidR="00601C5A" w:rsidRPr="00813D19">
        <w:rPr>
          <w:lang w:val="en-US"/>
        </w:rPr>
        <w:t xml:space="preserve">inscribed for </w:t>
      </w:r>
      <w:r w:rsidR="002F77DF" w:rsidRPr="00813D19">
        <w:rPr>
          <w:lang w:val="en-US"/>
        </w:rPr>
        <w:t>Sri Lanka. All Sri Lankans</w:t>
      </w:r>
      <w:r w:rsidR="00601C5A" w:rsidRPr="00813D19">
        <w:rPr>
          <w:lang w:val="en-US"/>
        </w:rPr>
        <w:t>,</w:t>
      </w:r>
      <w:r w:rsidR="002F77DF" w:rsidRPr="00813D19">
        <w:rPr>
          <w:lang w:val="en-US"/>
        </w:rPr>
        <w:t xml:space="preserve"> </w:t>
      </w:r>
      <w:r w:rsidR="00601C5A" w:rsidRPr="00813D19">
        <w:rPr>
          <w:lang w:val="en-US"/>
        </w:rPr>
        <w:t xml:space="preserve">particularly </w:t>
      </w:r>
      <w:r w:rsidR="002F77DF" w:rsidRPr="00813D19">
        <w:rPr>
          <w:lang w:val="en-US"/>
        </w:rPr>
        <w:t>the practitioners,</w:t>
      </w:r>
      <w:r w:rsidR="00105310">
        <w:rPr>
          <w:lang w:val="en-US"/>
        </w:rPr>
        <w:t xml:space="preserve"> would</w:t>
      </w:r>
      <w:r w:rsidR="002F77DF" w:rsidRPr="00813D19">
        <w:rPr>
          <w:lang w:val="en-US"/>
        </w:rPr>
        <w:t xml:space="preserve"> be overjoy</w:t>
      </w:r>
      <w:r w:rsidR="00601C5A" w:rsidRPr="00813D19">
        <w:rPr>
          <w:lang w:val="en-US"/>
        </w:rPr>
        <w:t>ed when they hear</w:t>
      </w:r>
      <w:r w:rsidR="00105310">
        <w:rPr>
          <w:lang w:val="en-US"/>
        </w:rPr>
        <w:t>d</w:t>
      </w:r>
      <w:r w:rsidR="00601C5A" w:rsidRPr="00813D19">
        <w:rPr>
          <w:lang w:val="en-US"/>
        </w:rPr>
        <w:t xml:space="preserve"> the good news, inviting the </w:t>
      </w:r>
      <w:r w:rsidR="002F77DF" w:rsidRPr="00813D19">
        <w:rPr>
          <w:lang w:val="en-US"/>
        </w:rPr>
        <w:t xml:space="preserve">specialist to briefly </w:t>
      </w:r>
      <w:r w:rsidR="00601C5A" w:rsidRPr="00813D19">
        <w:rPr>
          <w:lang w:val="en-US"/>
        </w:rPr>
        <w:t xml:space="preserve">speak about </w:t>
      </w:r>
      <w:r w:rsidR="002F77DF" w:rsidRPr="00813D19">
        <w:rPr>
          <w:lang w:val="en-US"/>
        </w:rPr>
        <w:t xml:space="preserve">the element and how the inscription </w:t>
      </w:r>
      <w:r w:rsidR="00601C5A" w:rsidRPr="00813D19">
        <w:rPr>
          <w:lang w:val="en-US"/>
        </w:rPr>
        <w:t xml:space="preserve">was </w:t>
      </w:r>
      <w:r w:rsidR="002F77DF" w:rsidRPr="00813D19">
        <w:rPr>
          <w:lang w:val="en-US"/>
        </w:rPr>
        <w:t xml:space="preserve">going to influence </w:t>
      </w:r>
      <w:r w:rsidR="003D53B3">
        <w:rPr>
          <w:lang w:val="en-US"/>
        </w:rPr>
        <w:t>it.</w:t>
      </w:r>
    </w:p>
    <w:p w14:paraId="1FD6004B" w14:textId="66D0AB61" w:rsidR="001673C6" w:rsidRPr="003D53B3" w:rsidRDefault="002F77DF" w:rsidP="00D84C3B">
      <w:pPr>
        <w:pStyle w:val="Orateurengris"/>
        <w:spacing w:before="120"/>
        <w:ind w:left="709" w:hanging="709"/>
        <w:rPr>
          <w:rFonts w:eastAsia="Times New Roman"/>
          <w:lang w:val="en-US"/>
        </w:rPr>
      </w:pPr>
      <w:r w:rsidRPr="00813D19">
        <w:rPr>
          <w:lang w:val="en-US"/>
        </w:rPr>
        <w:t xml:space="preserve">The </w:t>
      </w:r>
      <w:r w:rsidRPr="00813D19">
        <w:rPr>
          <w:b/>
          <w:lang w:val="en-US"/>
        </w:rPr>
        <w:t>delegation of Sri Lanka</w:t>
      </w:r>
      <w:r w:rsidR="00E62197" w:rsidRPr="00813D19">
        <w:rPr>
          <w:lang w:val="en-US"/>
        </w:rPr>
        <w:t xml:space="preserve"> [second speaker]</w:t>
      </w:r>
      <w:r w:rsidRPr="00813D19">
        <w:rPr>
          <w:lang w:val="en-US"/>
        </w:rPr>
        <w:t xml:space="preserve"> </w:t>
      </w:r>
      <w:r w:rsidR="001673C6" w:rsidRPr="00813D19">
        <w:rPr>
          <w:lang w:val="en-US"/>
        </w:rPr>
        <w:t>explained that t</w:t>
      </w:r>
      <w:r w:rsidRPr="00813D19">
        <w:rPr>
          <w:lang w:val="en-US"/>
        </w:rPr>
        <w:t xml:space="preserve">raditional string puppet drama in Sri Lanka had been one of the most popular forms of community entertainment and dialogue until the arrival of television and other mass entertainment media in the 1970s, </w:t>
      </w:r>
      <w:r w:rsidR="001673C6" w:rsidRPr="00813D19">
        <w:rPr>
          <w:lang w:val="en-US"/>
        </w:rPr>
        <w:t xml:space="preserve">which </w:t>
      </w:r>
      <w:r w:rsidR="00105310">
        <w:rPr>
          <w:lang w:val="en-US"/>
        </w:rPr>
        <w:t>were</w:t>
      </w:r>
      <w:r w:rsidR="00105310" w:rsidRPr="00813D19">
        <w:rPr>
          <w:lang w:val="en-US"/>
        </w:rPr>
        <w:t xml:space="preserve"> </w:t>
      </w:r>
      <w:r w:rsidRPr="00813D19">
        <w:rPr>
          <w:lang w:val="en-US"/>
        </w:rPr>
        <w:t xml:space="preserve">more attractive to the younger generation. </w:t>
      </w:r>
      <w:r w:rsidR="001673C6" w:rsidRPr="00813D19">
        <w:rPr>
          <w:lang w:val="en-US"/>
        </w:rPr>
        <w:t>Consequently, t</w:t>
      </w:r>
      <w:r w:rsidRPr="00813D19">
        <w:rPr>
          <w:lang w:val="en-US"/>
        </w:rPr>
        <w:t>raditional string puppet drama</w:t>
      </w:r>
      <w:r w:rsidR="00105310">
        <w:rPr>
          <w:lang w:val="en-US"/>
        </w:rPr>
        <w:t xml:space="preserve"> had begun</w:t>
      </w:r>
      <w:r w:rsidRPr="00813D19">
        <w:rPr>
          <w:lang w:val="en-US"/>
        </w:rPr>
        <w:t xml:space="preserve"> to lose its popularity. The situation caused the decline of the practice</w:t>
      </w:r>
      <w:r w:rsidR="001673C6" w:rsidRPr="00813D19">
        <w:rPr>
          <w:lang w:val="en-US"/>
        </w:rPr>
        <w:t>,</w:t>
      </w:r>
      <w:r w:rsidRPr="00813D19">
        <w:rPr>
          <w:lang w:val="en-US"/>
        </w:rPr>
        <w:t xml:space="preserve"> as well as the impoverishment of the practitioner. At present</w:t>
      </w:r>
      <w:r w:rsidR="001673C6" w:rsidRPr="00813D19">
        <w:rPr>
          <w:lang w:val="en-US"/>
        </w:rPr>
        <w:t>,</w:t>
      </w:r>
      <w:r w:rsidRPr="00813D19">
        <w:rPr>
          <w:lang w:val="en-US"/>
        </w:rPr>
        <w:t xml:space="preserve"> the practitioners </w:t>
      </w:r>
      <w:r w:rsidR="00105310" w:rsidRPr="00813D19">
        <w:rPr>
          <w:lang w:val="en-US"/>
        </w:rPr>
        <w:t>f</w:t>
      </w:r>
      <w:r w:rsidR="00105310">
        <w:rPr>
          <w:lang w:val="en-US"/>
        </w:rPr>
        <w:t>ound</w:t>
      </w:r>
      <w:r w:rsidR="00105310" w:rsidRPr="00813D19">
        <w:rPr>
          <w:lang w:val="en-US"/>
        </w:rPr>
        <w:t xml:space="preserve"> </w:t>
      </w:r>
      <w:r w:rsidRPr="00813D19">
        <w:rPr>
          <w:lang w:val="en-US"/>
        </w:rPr>
        <w:t xml:space="preserve">it difficult to sustain the art </w:t>
      </w:r>
      <w:r w:rsidR="001673C6" w:rsidRPr="00813D19">
        <w:rPr>
          <w:lang w:val="en-US"/>
        </w:rPr>
        <w:t xml:space="preserve">and </w:t>
      </w:r>
      <w:r w:rsidRPr="00813D19">
        <w:rPr>
          <w:lang w:val="en-US"/>
        </w:rPr>
        <w:t xml:space="preserve">maintain their livelihoods. In this context, the inscription </w:t>
      </w:r>
      <w:r w:rsidR="00105310">
        <w:rPr>
          <w:lang w:val="en-US"/>
        </w:rPr>
        <w:t xml:space="preserve">of the element </w:t>
      </w:r>
      <w:r w:rsidRPr="00813D19">
        <w:rPr>
          <w:lang w:val="en-US"/>
        </w:rPr>
        <w:t xml:space="preserve">on the Representative List </w:t>
      </w:r>
      <w:r w:rsidR="00105310">
        <w:rPr>
          <w:lang w:val="en-US"/>
        </w:rPr>
        <w:t>would</w:t>
      </w:r>
      <w:r w:rsidR="00105310" w:rsidRPr="00813D19">
        <w:rPr>
          <w:lang w:val="en-US"/>
        </w:rPr>
        <w:t xml:space="preserve"> </w:t>
      </w:r>
      <w:r w:rsidRPr="00813D19">
        <w:rPr>
          <w:lang w:val="en-US"/>
        </w:rPr>
        <w:t>improve the visibility of the element</w:t>
      </w:r>
      <w:r w:rsidR="001673C6" w:rsidRPr="00813D19">
        <w:rPr>
          <w:lang w:val="en-US"/>
        </w:rPr>
        <w:t>,</w:t>
      </w:r>
      <w:r w:rsidRPr="00813D19">
        <w:rPr>
          <w:lang w:val="en-US"/>
        </w:rPr>
        <w:t xml:space="preserve"> thus enriching the practice, empowering the practitioner</w:t>
      </w:r>
      <w:r w:rsidR="001673C6" w:rsidRPr="00813D19">
        <w:rPr>
          <w:lang w:val="en-US"/>
        </w:rPr>
        <w:t>,</w:t>
      </w:r>
      <w:r w:rsidRPr="00813D19">
        <w:rPr>
          <w:lang w:val="en-US"/>
        </w:rPr>
        <w:t xml:space="preserve"> and ensuring the viability of this important element. At the same time</w:t>
      </w:r>
      <w:r w:rsidR="001673C6" w:rsidRPr="00813D19">
        <w:rPr>
          <w:lang w:val="en-US"/>
        </w:rPr>
        <w:t xml:space="preserve">, the delegation was </w:t>
      </w:r>
      <w:r w:rsidRPr="00813D19">
        <w:rPr>
          <w:lang w:val="en-US"/>
        </w:rPr>
        <w:t>fully aware of the potential dangers that improved popularity might pose</w:t>
      </w:r>
      <w:r w:rsidR="001673C6" w:rsidRPr="00813D19">
        <w:rPr>
          <w:lang w:val="en-US"/>
        </w:rPr>
        <w:t>,</w:t>
      </w:r>
      <w:r w:rsidRPr="00813D19">
        <w:rPr>
          <w:lang w:val="en-US"/>
        </w:rPr>
        <w:t xml:space="preserve"> such as commercialization and overexploitation due to tourism. Steps to protect the element </w:t>
      </w:r>
      <w:r w:rsidR="00105310">
        <w:rPr>
          <w:lang w:val="en-US"/>
        </w:rPr>
        <w:t>were</w:t>
      </w:r>
      <w:r w:rsidR="00105310" w:rsidRPr="00813D19">
        <w:rPr>
          <w:lang w:val="en-US"/>
        </w:rPr>
        <w:t xml:space="preserve"> </w:t>
      </w:r>
      <w:r w:rsidRPr="00813D19">
        <w:rPr>
          <w:lang w:val="en-US"/>
        </w:rPr>
        <w:t xml:space="preserve">already in place in </w:t>
      </w:r>
      <w:r w:rsidR="001673C6" w:rsidRPr="00813D19">
        <w:rPr>
          <w:lang w:val="en-US"/>
        </w:rPr>
        <w:t xml:space="preserve">the </w:t>
      </w:r>
      <w:r w:rsidRPr="00813D19">
        <w:rPr>
          <w:lang w:val="en-US"/>
        </w:rPr>
        <w:t xml:space="preserve">safeguarding plans. </w:t>
      </w:r>
      <w:r w:rsidR="001673C6" w:rsidRPr="00813D19">
        <w:rPr>
          <w:lang w:val="en-US"/>
        </w:rPr>
        <w:t xml:space="preserve">The delegation took the </w:t>
      </w:r>
      <w:r w:rsidRPr="00813D19">
        <w:rPr>
          <w:lang w:val="en-US"/>
        </w:rPr>
        <w:t xml:space="preserve">opportunity to thank the practitioners, the members of the national </w:t>
      </w:r>
      <w:r w:rsidR="001673C6" w:rsidRPr="00813D19">
        <w:rPr>
          <w:lang w:val="en-US"/>
        </w:rPr>
        <w:t xml:space="preserve">intangible cultural heritage </w:t>
      </w:r>
      <w:r w:rsidRPr="00813D19">
        <w:rPr>
          <w:lang w:val="en-US"/>
        </w:rPr>
        <w:t xml:space="preserve">committee, </w:t>
      </w:r>
      <w:r w:rsidR="00462425" w:rsidRPr="00813D19">
        <w:rPr>
          <w:lang w:val="en-US"/>
        </w:rPr>
        <w:t xml:space="preserve">and </w:t>
      </w:r>
      <w:r w:rsidRPr="00813D19">
        <w:rPr>
          <w:lang w:val="en-US"/>
        </w:rPr>
        <w:t xml:space="preserve">all the stakeholders and well-wishers who </w:t>
      </w:r>
      <w:r w:rsidR="00105310">
        <w:rPr>
          <w:lang w:val="en-US"/>
        </w:rPr>
        <w:t xml:space="preserve">had </w:t>
      </w:r>
      <w:r w:rsidRPr="00813D19">
        <w:rPr>
          <w:lang w:val="en-US"/>
        </w:rPr>
        <w:t xml:space="preserve">helped in numerous ways to prepare </w:t>
      </w:r>
      <w:r w:rsidR="001673C6" w:rsidRPr="00813D19">
        <w:rPr>
          <w:lang w:val="en-US"/>
        </w:rPr>
        <w:t xml:space="preserve">the </w:t>
      </w:r>
      <w:r w:rsidRPr="00813D19">
        <w:rPr>
          <w:lang w:val="en-US"/>
        </w:rPr>
        <w:t xml:space="preserve">successful </w:t>
      </w:r>
      <w:r w:rsidR="001673C6" w:rsidRPr="00813D19">
        <w:rPr>
          <w:lang w:val="en-US"/>
        </w:rPr>
        <w:t>file, thanking</w:t>
      </w:r>
      <w:r w:rsidRPr="00813D19">
        <w:rPr>
          <w:lang w:val="en-US"/>
        </w:rPr>
        <w:t xml:space="preserve"> the Evaluation Body once again</w:t>
      </w:r>
      <w:r w:rsidR="001673C6" w:rsidRPr="003D53B3">
        <w:rPr>
          <w:lang w:val="en-US"/>
        </w:rPr>
        <w:t>.</w:t>
      </w:r>
    </w:p>
    <w:p w14:paraId="70D669E3" w14:textId="60598641" w:rsidR="00D84C3B" w:rsidRPr="003D53B3" w:rsidRDefault="001673C6" w:rsidP="003D53B3">
      <w:pPr>
        <w:pStyle w:val="Orateurengris"/>
        <w:numPr>
          <w:ilvl w:val="0"/>
          <w:numId w:val="0"/>
        </w:numPr>
        <w:spacing w:before="240" w:after="240"/>
        <w:jc w:val="center"/>
        <w:rPr>
          <w:rFonts w:eastAsia="Times New Roman"/>
          <w:i/>
          <w:lang w:val="en-US"/>
        </w:rPr>
      </w:pPr>
      <w:r w:rsidRPr="003D53B3">
        <w:rPr>
          <w:i/>
          <w:lang w:val="en-US"/>
        </w:rPr>
        <w:t>[</w:t>
      </w:r>
      <w:r w:rsidR="007C4A61" w:rsidRPr="003D53B3">
        <w:rPr>
          <w:i/>
          <w:lang w:val="en-US"/>
        </w:rPr>
        <w:t>A s</w:t>
      </w:r>
      <w:r w:rsidRPr="003D53B3">
        <w:rPr>
          <w:i/>
          <w:lang w:val="en-US"/>
        </w:rPr>
        <w:t>lide presentation</w:t>
      </w:r>
      <w:r w:rsidR="007C4A61" w:rsidRPr="003D53B3">
        <w:rPr>
          <w:i/>
          <w:lang w:val="en-US"/>
        </w:rPr>
        <w:t xml:space="preserve"> on </w:t>
      </w:r>
      <w:r w:rsidR="007C4A61" w:rsidRPr="003D53B3">
        <w:rPr>
          <w:i/>
          <w:color w:val="000000" w:themeColor="text1"/>
          <w:lang w:val="en-US"/>
        </w:rPr>
        <w:t>Rūkada Nātya was shown</w:t>
      </w:r>
      <w:r w:rsidRPr="003D53B3">
        <w:rPr>
          <w:i/>
          <w:lang w:val="en-US"/>
        </w:rPr>
        <w:t>]</w:t>
      </w:r>
    </w:p>
    <w:p w14:paraId="7D679ED8" w14:textId="6272F26E" w:rsidR="001A0B83" w:rsidRPr="00813D19" w:rsidRDefault="00BB01E7" w:rsidP="0064618A">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105310">
        <w:rPr>
          <w:color w:val="000000" w:themeColor="text1"/>
          <w:lang w:val="en-US"/>
        </w:rPr>
        <w:t>,</w:t>
      </w:r>
      <w:r w:rsidRPr="00813D19">
        <w:rPr>
          <w:color w:val="000000" w:themeColor="text1"/>
          <w:lang w:val="en-US"/>
        </w:rPr>
        <w:t xml:space="preserve"> </w:t>
      </w:r>
      <w:r w:rsidRPr="00813D19">
        <w:rPr>
          <w:b/>
          <w:color w:val="000000" w:themeColor="text1"/>
          <w:lang w:val="en-US"/>
        </w:rPr>
        <w:t>Avalanche risk management</w:t>
      </w:r>
      <w:r w:rsidRPr="00813D19">
        <w:rPr>
          <w:color w:val="000000" w:themeColor="text1"/>
          <w:lang w:val="en-US"/>
        </w:rPr>
        <w:t xml:space="preserve"> [draft decision 13.COM 10.b.35]</w:t>
      </w:r>
      <w:r w:rsidR="00105310">
        <w:rPr>
          <w:color w:val="000000" w:themeColor="text1"/>
          <w:lang w:val="en-US"/>
        </w:rPr>
        <w:t>,</w:t>
      </w:r>
      <w:r w:rsidRPr="00813D19">
        <w:rPr>
          <w:color w:val="000000" w:themeColor="text1"/>
          <w:lang w:val="en-US"/>
        </w:rPr>
        <w:t xml:space="preserve"> submitted by</w:t>
      </w:r>
      <w:r w:rsidR="0066486B" w:rsidRPr="00813D19">
        <w:rPr>
          <w:b/>
          <w:color w:val="000000" w:themeColor="text1"/>
          <w:lang w:val="en-US"/>
        </w:rPr>
        <w:t xml:space="preserve"> Switzerland and</w:t>
      </w:r>
      <w:r w:rsidRPr="00813D19">
        <w:rPr>
          <w:b/>
          <w:color w:val="000000" w:themeColor="text1"/>
          <w:lang w:val="en-US"/>
        </w:rPr>
        <w:t xml:space="preserve"> Austria</w:t>
      </w:r>
      <w:r w:rsidRPr="00813D19">
        <w:rPr>
          <w:color w:val="000000" w:themeColor="text1"/>
          <w:lang w:val="en-US"/>
        </w:rPr>
        <w:t xml:space="preserve">. </w:t>
      </w:r>
      <w:r w:rsidR="001A0B83" w:rsidRPr="00813D19">
        <w:rPr>
          <w:noProof/>
          <w:lang w:val="en-US"/>
        </w:rPr>
        <w:t>The Avalanche risk management entails the control of hazards and threat</w:t>
      </w:r>
      <w:r w:rsidR="0066486B" w:rsidRPr="00813D19">
        <w:rPr>
          <w:noProof/>
          <w:lang w:val="en-US"/>
        </w:rPr>
        <w:t>s</w:t>
      </w:r>
      <w:r w:rsidR="001A0B83" w:rsidRPr="00813D19">
        <w:rPr>
          <w:noProof/>
          <w:lang w:val="en-US"/>
        </w:rPr>
        <w:t xml:space="preserve"> during winter that looms over the heads of the Alpine inhabitants, tourists, animals, </w:t>
      </w:r>
      <w:r w:rsidR="0066486B" w:rsidRPr="00813D19">
        <w:rPr>
          <w:noProof/>
          <w:lang w:val="en-US"/>
        </w:rPr>
        <w:t xml:space="preserve">as well as </w:t>
      </w:r>
      <w:r w:rsidR="001A0B83" w:rsidRPr="00813D19">
        <w:rPr>
          <w:noProof/>
          <w:lang w:val="en-US"/>
        </w:rPr>
        <w:t>means of communication and other infrastru</w:t>
      </w:r>
      <w:r w:rsidR="0066486B" w:rsidRPr="00813D19">
        <w:rPr>
          <w:noProof/>
          <w:lang w:val="en-US"/>
        </w:rPr>
        <w:t>cture so vital for life in the high</w:t>
      </w:r>
      <w:r w:rsidR="001A0B83" w:rsidRPr="00813D19">
        <w:rPr>
          <w:noProof/>
          <w:lang w:val="en-US"/>
        </w:rPr>
        <w:t>lands.</w:t>
      </w:r>
      <w:r w:rsidR="001A0B83" w:rsidRPr="00813D19">
        <w:rPr>
          <w:lang w:val="en-US"/>
        </w:rPr>
        <w:t xml:space="preserve"> The element is entrenched in the everyday culture of the communities concerned and underscores the importance of solidarity in crisis situations.</w:t>
      </w:r>
      <w:r w:rsidR="00D84C3B" w:rsidRPr="00813D19">
        <w:rPr>
          <w:lang w:val="en-US"/>
        </w:rPr>
        <w:t xml:space="preserve"> </w:t>
      </w:r>
      <w:r w:rsidR="001A0B83" w:rsidRPr="00813D19">
        <w:rPr>
          <w:lang w:val="en-US"/>
        </w:rPr>
        <w:t>From the information included in th</w:t>
      </w:r>
      <w:r w:rsidR="00D84C3B" w:rsidRPr="00813D19">
        <w:rPr>
          <w:lang w:val="en-US"/>
        </w:rPr>
        <w:t>e file, the nomination satisfied</w:t>
      </w:r>
      <w:r w:rsidR="001A0B83" w:rsidRPr="00813D19">
        <w:rPr>
          <w:lang w:val="en-US"/>
        </w:rPr>
        <w:t xml:space="preserve"> all five criteria. The Evaluation Body considered that</w:t>
      </w:r>
      <w:r w:rsidR="001A0B83" w:rsidRPr="00813D19">
        <w:rPr>
          <w:b/>
          <w:lang w:val="en-US"/>
        </w:rPr>
        <w:t xml:space="preserve"> </w:t>
      </w:r>
      <w:r w:rsidR="001A0B83" w:rsidRPr="00813D19">
        <w:rPr>
          <w:lang w:val="en-US"/>
        </w:rPr>
        <w:t>Avalanche risk management constitutes intangible cultural heritage and, as an inseparable part of their lives, provides local communities with a sense of identity and serves many different social and cultural functions. The inscription of the element would draw closer attention to the cultural aspects of natural hazard prevention and strengthen the linkages between intangible cultural heritage and natural sciences. The safeguarding measures reflect</w:t>
      </w:r>
      <w:r w:rsidR="0066486B" w:rsidRPr="00813D19">
        <w:rPr>
          <w:lang w:val="en-US"/>
        </w:rPr>
        <w:t>ed</w:t>
      </w:r>
      <w:r w:rsidR="001A0B83" w:rsidRPr="00813D19">
        <w:rPr>
          <w:lang w:val="en-US"/>
        </w:rPr>
        <w:t xml:space="preserve"> </w:t>
      </w:r>
      <w:r w:rsidR="0066486B" w:rsidRPr="00813D19">
        <w:rPr>
          <w:lang w:val="en-US"/>
        </w:rPr>
        <w:t xml:space="preserve">the </w:t>
      </w:r>
      <w:r w:rsidR="001A0B83" w:rsidRPr="00813D19">
        <w:rPr>
          <w:lang w:val="en-US"/>
        </w:rPr>
        <w:t xml:space="preserve">different aspects of the element relating to the knowledge and practice concerning avalanche risk management, as well as its cultural dimension. Both States Parties </w:t>
      </w:r>
      <w:r w:rsidR="00105310">
        <w:rPr>
          <w:lang w:val="en-US"/>
        </w:rPr>
        <w:t xml:space="preserve">had </w:t>
      </w:r>
      <w:r w:rsidR="001A0B83" w:rsidRPr="00813D19">
        <w:rPr>
          <w:lang w:val="en-US"/>
        </w:rPr>
        <w:t>prepared the nomination file in close collaboration with the communities and stakeholders concerned.</w:t>
      </w:r>
      <w:r w:rsidR="00D84C3B" w:rsidRPr="00813D19">
        <w:rPr>
          <w:lang w:val="en-US"/>
        </w:rPr>
        <w:t xml:space="preserve"> The Evaluation Body recommended</w:t>
      </w:r>
      <w:r w:rsidR="001A0B83" w:rsidRPr="00813D19">
        <w:rPr>
          <w:lang w:val="en-US"/>
        </w:rPr>
        <w:t xml:space="preserve"> that the Committee inscribe Avalanche risk management on the Representative List.</w:t>
      </w:r>
    </w:p>
    <w:p w14:paraId="5EDF81F5" w14:textId="77777777" w:rsidR="0066486B" w:rsidRPr="00813D19" w:rsidRDefault="0066486B" w:rsidP="0066486B">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0099EE8A" w14:textId="5AE25DD5" w:rsidR="001A0B83" w:rsidRPr="00813D19" w:rsidRDefault="0066486B" w:rsidP="0066486B">
      <w:pPr>
        <w:pStyle w:val="Orateurengris"/>
        <w:spacing w:before="120"/>
        <w:ind w:left="709" w:hanging="709"/>
        <w:rPr>
          <w:rFonts w:ascii="Times New Roman" w:eastAsia="Times New Roman" w:hAnsi="Times New Roman" w:cs="Times New Roman"/>
          <w:sz w:val="24"/>
          <w:szCs w:val="24"/>
          <w:lang w:val="en-US"/>
        </w:rPr>
      </w:pPr>
      <w:r w:rsidRPr="00813D19">
        <w:rPr>
          <w:rFonts w:eastAsia="Calibri"/>
          <w:color w:val="000000" w:themeColor="text1"/>
          <w:lang w:val="en-US"/>
        </w:rPr>
        <w:t>Turning to the draft decision as a whole,</w:t>
      </w:r>
      <w:r w:rsidRPr="00813D19">
        <w:rPr>
          <w:lang w:val="en-US"/>
        </w:rPr>
        <w:t xml:space="preserve"> the </w:t>
      </w:r>
      <w:r w:rsidR="00C3709D" w:rsidRPr="00813D19">
        <w:rPr>
          <w:b/>
          <w:lang w:val="en-US"/>
        </w:rPr>
        <w:t xml:space="preserve">Chairperson declared Decision </w:t>
      </w:r>
      <w:hyperlink r:id="rId133" w:history="1">
        <w:r w:rsidR="00C3709D" w:rsidRPr="00813D19">
          <w:rPr>
            <w:rStyle w:val="Hyperlink"/>
            <w:b/>
            <w:lang w:val="en-US"/>
          </w:rPr>
          <w:t>13.COM 10.b.35</w:t>
        </w:r>
      </w:hyperlink>
      <w:r w:rsidR="00C3709D" w:rsidRPr="00813D19">
        <w:rPr>
          <w:b/>
          <w:lang w:val="en-US"/>
        </w:rPr>
        <w:t xml:space="preserve"> adopted to inscribe </w:t>
      </w:r>
      <w:r w:rsidR="006D54C7" w:rsidRPr="00813D19">
        <w:rPr>
          <w:b/>
          <w:color w:val="000000" w:themeColor="text1"/>
          <w:lang w:val="en-US"/>
        </w:rPr>
        <w:t>Avalanche risk management</w:t>
      </w:r>
      <w:r w:rsidR="006D54C7" w:rsidRPr="00813D19">
        <w:rPr>
          <w:color w:val="000000" w:themeColor="text1"/>
          <w:lang w:val="en-US"/>
        </w:rPr>
        <w:t xml:space="preserve"> </w:t>
      </w:r>
      <w:r w:rsidR="00C3709D" w:rsidRPr="00813D19">
        <w:rPr>
          <w:b/>
          <w:color w:val="000000" w:themeColor="text1"/>
          <w:lang w:val="en-US"/>
        </w:rPr>
        <w:t>on the Representative List</w:t>
      </w:r>
      <w:r w:rsidR="00C3709D" w:rsidRPr="00813D19">
        <w:rPr>
          <w:b/>
          <w:snapToGrid/>
          <w:color w:val="000000" w:themeColor="text1"/>
          <w:lang w:val="en-US"/>
        </w:rPr>
        <w:t>.</w:t>
      </w:r>
      <w:r w:rsidR="00C3709D" w:rsidRPr="00813D19">
        <w:rPr>
          <w:color w:val="000000" w:themeColor="text1"/>
          <w:lang w:val="en-US"/>
        </w:rPr>
        <w:t xml:space="preserve"> </w:t>
      </w:r>
    </w:p>
    <w:p w14:paraId="54F668BF" w14:textId="4109045E" w:rsidR="006001B2" w:rsidRPr="003D53B3" w:rsidRDefault="007E3687" w:rsidP="007624AA">
      <w:pPr>
        <w:pStyle w:val="Orateurengris"/>
        <w:spacing w:before="120"/>
        <w:ind w:left="709" w:hanging="709"/>
        <w:rPr>
          <w:rFonts w:eastAsia="Times New Roman"/>
          <w:lang w:val="en-US"/>
        </w:rPr>
      </w:pPr>
      <w:r w:rsidRPr="00813D19">
        <w:rPr>
          <w:lang w:val="en-US"/>
        </w:rPr>
        <w:t xml:space="preserve">The </w:t>
      </w:r>
      <w:r w:rsidRPr="00813D19">
        <w:rPr>
          <w:b/>
          <w:lang w:val="en-US"/>
        </w:rPr>
        <w:t>delegation of Switzerland</w:t>
      </w:r>
      <w:r w:rsidRPr="00813D19">
        <w:rPr>
          <w:lang w:val="en-US"/>
        </w:rPr>
        <w:t xml:space="preserve"> </w:t>
      </w:r>
      <w:r w:rsidR="006001B2" w:rsidRPr="00813D19">
        <w:rPr>
          <w:lang w:val="en-US"/>
        </w:rPr>
        <w:t>thanked the authorities and the people of Mauritius for the excellent organization of this meeting and its perfect hospitality. It thanked the Committee for its decision to inscribe the element, acknowledging the remarkable work of the Evaluation Body. The inscription of Avalanche risk management is innovative in the field of intangible cultural heritage through the contemporary combination of traditional and technological practices and knowledge in relation to nature. It also showed, in a context of climate change, that natural hazards are not only technical challenges, but also cultural issues requiring collective responses. Recognition of the role of living heritage in risk management offered opportunities to enhance sustainable development, participation and resilience. The delegation also thanked Austria for the excellent collaboration in the development of this file, which involved a large and diverse bi-national community</w:t>
      </w:r>
      <w:r w:rsidR="003D53B3">
        <w:rPr>
          <w:lang w:val="en-US"/>
        </w:rPr>
        <w:t>.</w:t>
      </w:r>
    </w:p>
    <w:p w14:paraId="6549952E" w14:textId="6E4B92C9" w:rsidR="00A37A4E" w:rsidRPr="00813D19" w:rsidRDefault="007624AA" w:rsidP="007624AA">
      <w:pPr>
        <w:pStyle w:val="Orateurengris"/>
        <w:spacing w:before="120"/>
        <w:ind w:left="709" w:hanging="709"/>
        <w:rPr>
          <w:rFonts w:eastAsia="Times New Roman"/>
          <w:lang w:val="en-US"/>
        </w:rPr>
      </w:pPr>
      <w:r w:rsidRPr="00813D19">
        <w:rPr>
          <w:rFonts w:eastAsia="Times New Roman"/>
          <w:lang w:val="en-US"/>
        </w:rPr>
        <w:t xml:space="preserve">The </w:t>
      </w:r>
      <w:r w:rsidRPr="00813D19">
        <w:rPr>
          <w:rFonts w:eastAsia="Times New Roman"/>
          <w:b/>
          <w:lang w:val="en-US"/>
        </w:rPr>
        <w:t>delegation of Switzerland</w:t>
      </w:r>
      <w:r w:rsidR="00FA0125" w:rsidRPr="00813D19">
        <w:rPr>
          <w:rFonts w:eastAsia="Times New Roman"/>
          <w:lang w:val="en-US"/>
        </w:rPr>
        <w:t xml:space="preserve"> [</w:t>
      </w:r>
      <w:r w:rsidR="00C9364E" w:rsidRPr="00813D19">
        <w:rPr>
          <w:rFonts w:eastAsia="Times New Roman"/>
          <w:lang w:val="en-US"/>
        </w:rPr>
        <w:t>Representative of the community</w:t>
      </w:r>
      <w:r w:rsidRPr="00813D19">
        <w:rPr>
          <w:rFonts w:eastAsia="Times New Roman"/>
          <w:lang w:val="en-US"/>
        </w:rPr>
        <w:t xml:space="preserve"> </w:t>
      </w:r>
      <w:r w:rsidR="00574D74" w:rsidRPr="00813D19">
        <w:rPr>
          <w:rFonts w:eastAsia="Times New Roman"/>
          <w:lang w:val="en-US"/>
        </w:rPr>
        <w:t>via</w:t>
      </w:r>
      <w:r w:rsidR="00FA0125" w:rsidRPr="00813D19">
        <w:rPr>
          <w:rFonts w:eastAsia="Times New Roman"/>
          <w:lang w:val="en-US"/>
        </w:rPr>
        <w:t xml:space="preserve"> video message]</w:t>
      </w:r>
      <w:r w:rsidRPr="00813D19">
        <w:rPr>
          <w:rFonts w:eastAsia="Times New Roman"/>
          <w:lang w:val="en-US"/>
        </w:rPr>
        <w:t xml:space="preserve"> </w:t>
      </w:r>
      <w:r w:rsidR="00A37A4E" w:rsidRPr="00813D19">
        <w:rPr>
          <w:rFonts w:eastAsia="Times New Roman"/>
          <w:lang w:val="en-US"/>
        </w:rPr>
        <w:t xml:space="preserve">spoke of the great pleasure to hear that Avalanche risk management </w:t>
      </w:r>
      <w:r w:rsidR="00813D19" w:rsidRPr="00813D19">
        <w:rPr>
          <w:rFonts w:eastAsia="Times New Roman"/>
          <w:lang w:val="en-US"/>
        </w:rPr>
        <w:t>was</w:t>
      </w:r>
      <w:r w:rsidR="00A37A4E" w:rsidRPr="00813D19">
        <w:rPr>
          <w:rFonts w:eastAsia="Times New Roman"/>
          <w:lang w:val="en-US"/>
        </w:rPr>
        <w:t xml:space="preserve"> now part of UNESCO’s intangible cultural heritage. This distinction gave additional visibility to a significant but often underestimated danger. Switzerland is a country </w:t>
      </w:r>
      <w:r w:rsidR="009050EA">
        <w:rPr>
          <w:rFonts w:eastAsia="Times New Roman"/>
          <w:lang w:val="en-US"/>
        </w:rPr>
        <w:t>where</w:t>
      </w:r>
      <w:r w:rsidR="009050EA" w:rsidRPr="00813D19">
        <w:rPr>
          <w:rFonts w:eastAsia="Times New Roman"/>
          <w:lang w:val="en-US"/>
        </w:rPr>
        <w:t xml:space="preserve"> </w:t>
      </w:r>
      <w:r w:rsidR="00A37A4E" w:rsidRPr="00813D19">
        <w:rPr>
          <w:rFonts w:eastAsia="Times New Roman"/>
          <w:lang w:val="en-US"/>
        </w:rPr>
        <w:t xml:space="preserve">more than half of its territory </w:t>
      </w:r>
      <w:r w:rsidR="009050EA">
        <w:rPr>
          <w:rFonts w:eastAsia="Times New Roman"/>
          <w:lang w:val="en-US"/>
        </w:rPr>
        <w:t xml:space="preserve">is </w:t>
      </w:r>
      <w:r w:rsidR="00A37A4E" w:rsidRPr="00813D19">
        <w:rPr>
          <w:rFonts w:eastAsia="Times New Roman"/>
          <w:lang w:val="en-US"/>
        </w:rPr>
        <w:t xml:space="preserve">made up of mountains. As a mountain country, it has always lived with avalanches. Today, this traditional knowledge is complemented by modern technologies and innovative science. The Representative thanked all those who </w:t>
      </w:r>
      <w:r w:rsidR="009050EA">
        <w:rPr>
          <w:rFonts w:eastAsia="Times New Roman"/>
          <w:lang w:val="en-US"/>
        </w:rPr>
        <w:t xml:space="preserve">had </w:t>
      </w:r>
      <w:r w:rsidR="00A37A4E" w:rsidRPr="00813D19">
        <w:rPr>
          <w:rFonts w:eastAsia="Times New Roman"/>
          <w:lang w:val="en-US"/>
        </w:rPr>
        <w:t xml:space="preserve">contributed to the preparation of the file, in particular, the Swiss Alpine Club, the Swiss Association of Mountain Guides, the Federal Office </w:t>
      </w:r>
      <w:r w:rsidR="004E014F" w:rsidRPr="00813D19">
        <w:rPr>
          <w:rFonts w:eastAsia="Times New Roman"/>
          <w:lang w:val="en-US"/>
        </w:rPr>
        <w:t xml:space="preserve">for </w:t>
      </w:r>
      <w:r w:rsidR="00A37A4E" w:rsidRPr="00813D19">
        <w:rPr>
          <w:rFonts w:eastAsia="Times New Roman"/>
          <w:lang w:val="en-US"/>
        </w:rPr>
        <w:t xml:space="preserve">Culture </w:t>
      </w:r>
      <w:r w:rsidR="004E014F" w:rsidRPr="00813D19">
        <w:rPr>
          <w:rFonts w:eastAsia="Times New Roman"/>
          <w:lang w:val="en-US"/>
        </w:rPr>
        <w:t xml:space="preserve">(OFC) </w:t>
      </w:r>
      <w:r w:rsidR="00A37A4E" w:rsidRPr="00813D19">
        <w:rPr>
          <w:rFonts w:eastAsia="Times New Roman"/>
          <w:lang w:val="en-US"/>
        </w:rPr>
        <w:t xml:space="preserve">and the </w:t>
      </w:r>
      <w:r w:rsidR="004E014F" w:rsidRPr="00813D19">
        <w:rPr>
          <w:rFonts w:eastAsia="Times New Roman"/>
          <w:lang w:val="en-US"/>
        </w:rPr>
        <w:t xml:space="preserve">Federal Office for the </w:t>
      </w:r>
      <w:r w:rsidR="00A37A4E" w:rsidRPr="00813D19">
        <w:rPr>
          <w:rFonts w:eastAsia="Times New Roman"/>
          <w:lang w:val="en-US"/>
        </w:rPr>
        <w:t>Environment</w:t>
      </w:r>
      <w:r w:rsidR="004E014F" w:rsidRPr="00813D19">
        <w:rPr>
          <w:rFonts w:eastAsia="Times New Roman"/>
          <w:lang w:val="en-US"/>
        </w:rPr>
        <w:t xml:space="preserve"> (OFEV)</w:t>
      </w:r>
      <w:r w:rsidR="00A37A4E" w:rsidRPr="00813D19">
        <w:rPr>
          <w:rFonts w:eastAsia="Times New Roman"/>
          <w:lang w:val="en-US"/>
        </w:rPr>
        <w:t xml:space="preserve">, </w:t>
      </w:r>
      <w:r w:rsidR="004E014F" w:rsidRPr="00813D19">
        <w:rPr>
          <w:rFonts w:eastAsia="Times New Roman"/>
          <w:lang w:val="en-US"/>
        </w:rPr>
        <w:t>the c</w:t>
      </w:r>
      <w:r w:rsidR="00A37A4E" w:rsidRPr="00813D19">
        <w:rPr>
          <w:rFonts w:eastAsia="Times New Roman"/>
          <w:lang w:val="en-US"/>
        </w:rPr>
        <w:t xml:space="preserve">anton of Valais, and partners in Austria, as well as the Committee for </w:t>
      </w:r>
      <w:r w:rsidR="003D53B3">
        <w:rPr>
          <w:rFonts w:eastAsia="Times New Roman"/>
          <w:lang w:val="en-US"/>
        </w:rPr>
        <w:t>its cooperation and commitment.</w:t>
      </w:r>
    </w:p>
    <w:p w14:paraId="405FD0E8" w14:textId="644B0E19" w:rsidR="00A9557C" w:rsidRPr="00813D19" w:rsidRDefault="00BB01E7" w:rsidP="00ED44F3">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9050EA">
        <w:rPr>
          <w:color w:val="000000" w:themeColor="text1"/>
          <w:lang w:val="en-US"/>
        </w:rPr>
        <w:t>,</w:t>
      </w:r>
      <w:r w:rsidRPr="00813D19">
        <w:rPr>
          <w:color w:val="000000" w:themeColor="text1"/>
          <w:lang w:val="en-US"/>
        </w:rPr>
        <w:t xml:space="preserve"> </w:t>
      </w:r>
      <w:r w:rsidRPr="00813D19">
        <w:rPr>
          <w:b/>
          <w:color w:val="000000" w:themeColor="text1"/>
          <w:lang w:val="en-US"/>
        </w:rPr>
        <w:t>Chakan, embroidery art in the Republic of Tajikistan</w:t>
      </w:r>
      <w:r w:rsidRPr="00813D19">
        <w:rPr>
          <w:color w:val="000000" w:themeColor="text1"/>
          <w:lang w:val="en-US"/>
        </w:rPr>
        <w:t xml:space="preserve"> [draft decision 13.COM 10.b.36]</w:t>
      </w:r>
      <w:r w:rsidR="009050EA">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Tajikistan.</w:t>
      </w:r>
      <w:r w:rsidRPr="00813D19">
        <w:rPr>
          <w:color w:val="000000" w:themeColor="text1"/>
          <w:lang w:val="en-US"/>
        </w:rPr>
        <w:t xml:space="preserve"> </w:t>
      </w:r>
      <w:r w:rsidR="00A9557C" w:rsidRPr="00813D19">
        <w:rPr>
          <w:lang w:val="en-US"/>
        </w:rPr>
        <w:t>The art of Chakan embroidery is the practice of sewing ornaments, images of flowers and symbolic drawings with colourful threads on cotton or silk fabrics. It is used to decorate clothing and household items such as women’s shirts, headscarves, curtains, pillows, bedspreads and coverlets for cradles.</w:t>
      </w:r>
      <w:r w:rsidR="00ED44F3" w:rsidRPr="00813D19">
        <w:rPr>
          <w:lang w:val="en-US"/>
        </w:rPr>
        <w:t xml:space="preserve"> </w:t>
      </w:r>
      <w:r w:rsidR="00A9557C" w:rsidRPr="00813D19">
        <w:rPr>
          <w:lang w:val="en-US"/>
        </w:rPr>
        <w:t>From the information included in th</w:t>
      </w:r>
      <w:r w:rsidR="00B16E81" w:rsidRPr="00813D19">
        <w:rPr>
          <w:lang w:val="en-US"/>
        </w:rPr>
        <w:t>e file, the nomination satisfied</w:t>
      </w:r>
      <w:r w:rsidR="00A9557C" w:rsidRPr="00813D19">
        <w:rPr>
          <w:lang w:val="en-US"/>
        </w:rPr>
        <w:t xml:space="preserve"> criteria R.1, R.3, </w:t>
      </w:r>
      <w:r w:rsidR="00A9557C" w:rsidRPr="00813D19">
        <w:rPr>
          <w:noProof/>
          <w:lang w:val="en-US"/>
        </w:rPr>
        <w:t xml:space="preserve">R.4 </w:t>
      </w:r>
      <w:r w:rsidR="00A9557C" w:rsidRPr="00813D19">
        <w:rPr>
          <w:lang w:val="en-US"/>
        </w:rPr>
        <w:t xml:space="preserve">and </w:t>
      </w:r>
      <w:r w:rsidR="00A9557C" w:rsidRPr="00813D19">
        <w:rPr>
          <w:noProof/>
          <w:lang w:val="en-US"/>
        </w:rPr>
        <w:t>R.5</w:t>
      </w:r>
      <w:r w:rsidR="00A9557C" w:rsidRPr="00813D19">
        <w:rPr>
          <w:lang w:val="en-US"/>
        </w:rPr>
        <w:t>. Chakan embroidery relies on collaboration between family or group members, thereby strengthening social cohesion and bonds among people. The production of Chakan embroidery and textiles provides Tajik women with an important source of income and contributes to the sustainable development of local communities. The safeguarding measures focus</w:t>
      </w:r>
      <w:r w:rsidR="00B16E81" w:rsidRPr="00813D19">
        <w:rPr>
          <w:lang w:val="en-US"/>
        </w:rPr>
        <w:t>ed</w:t>
      </w:r>
      <w:r w:rsidR="00A9557C" w:rsidRPr="00813D19">
        <w:rPr>
          <w:lang w:val="en-US"/>
        </w:rPr>
        <w:t xml:space="preserve"> on documenting the contemporary state of the element, </w:t>
      </w:r>
      <w:r w:rsidR="009050EA">
        <w:rPr>
          <w:lang w:val="en-US"/>
        </w:rPr>
        <w:t xml:space="preserve">and </w:t>
      </w:r>
      <w:r w:rsidR="00A9557C" w:rsidRPr="00813D19">
        <w:rPr>
          <w:lang w:val="en-US"/>
        </w:rPr>
        <w:t>raising awareness through festivals, competitions and exhibitions. The nomination process involved the active participation of many different stakeholders, including organizations led by tradition bearers and community members.</w:t>
      </w:r>
      <w:r w:rsidR="00ED44F3" w:rsidRPr="00813D19">
        <w:rPr>
          <w:noProof/>
          <w:lang w:val="en-US"/>
        </w:rPr>
        <w:t xml:space="preserve"> </w:t>
      </w:r>
      <w:r w:rsidR="00A9557C" w:rsidRPr="00813D19">
        <w:rPr>
          <w:noProof/>
          <w:lang w:val="en-US"/>
        </w:rPr>
        <w:t xml:space="preserve">However, the Evaluation Body considered that the information </w:t>
      </w:r>
      <w:r w:rsidR="00B16E81" w:rsidRPr="00813D19">
        <w:rPr>
          <w:noProof/>
          <w:lang w:val="en-US"/>
        </w:rPr>
        <w:t xml:space="preserve">was </w:t>
      </w:r>
      <w:r w:rsidR="00A9557C" w:rsidRPr="00813D19">
        <w:rPr>
          <w:noProof/>
          <w:lang w:val="en-US"/>
        </w:rPr>
        <w:t xml:space="preserve">not sufficient to assess </w:t>
      </w:r>
      <w:r w:rsidR="009050EA" w:rsidRPr="00813D19">
        <w:rPr>
          <w:noProof/>
          <w:lang w:val="en-US"/>
        </w:rPr>
        <w:t>criteri</w:t>
      </w:r>
      <w:r w:rsidR="009050EA">
        <w:rPr>
          <w:noProof/>
          <w:lang w:val="en-US"/>
        </w:rPr>
        <w:t xml:space="preserve">on </w:t>
      </w:r>
      <w:r w:rsidR="00A9557C" w:rsidRPr="00813D19">
        <w:rPr>
          <w:noProof/>
          <w:lang w:val="en-US"/>
        </w:rPr>
        <w:t>R.2.</w:t>
      </w:r>
      <w:r w:rsidR="00ED44F3" w:rsidRPr="00813D19">
        <w:rPr>
          <w:lang w:val="en-US"/>
        </w:rPr>
        <w:t xml:space="preserve"> The nomination failed</w:t>
      </w:r>
      <w:r w:rsidR="00A9557C" w:rsidRPr="00813D19">
        <w:rPr>
          <w:lang w:val="en-US"/>
        </w:rPr>
        <w:t xml:space="preserve"> to explain how the inscription of Chakan could serve to raise the visibility of intangible cultural heritage in general, and how it would promote cultural diversity and human creativity.</w:t>
      </w:r>
      <w:r w:rsidR="00ED44F3" w:rsidRPr="00813D19">
        <w:rPr>
          <w:lang w:val="en-US"/>
        </w:rPr>
        <w:t xml:space="preserve"> </w:t>
      </w:r>
      <w:r w:rsidR="00A9557C" w:rsidRPr="00813D19">
        <w:rPr>
          <w:lang w:val="en-US"/>
        </w:rPr>
        <w:t>Therefore, the Evaluation Body r</w:t>
      </w:r>
      <w:r w:rsidR="00ED44F3" w:rsidRPr="00813D19">
        <w:rPr>
          <w:lang w:val="en-US"/>
        </w:rPr>
        <w:t>ecommended that the Committee refer</w:t>
      </w:r>
      <w:r w:rsidR="00A9557C" w:rsidRPr="00813D19">
        <w:rPr>
          <w:lang w:val="en-US"/>
        </w:rPr>
        <w:t xml:space="preserve"> Chakan, embroidery art in the Republic of Tajikistan to the submitting State.</w:t>
      </w:r>
    </w:p>
    <w:p w14:paraId="16E3DF7E" w14:textId="77777777" w:rsidR="00FE1A8D" w:rsidRPr="00813D19" w:rsidRDefault="00FE1A8D" w:rsidP="00BB01E7">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a request to open the debate by Kazakhstan.</w:t>
      </w:r>
    </w:p>
    <w:p w14:paraId="67DFD2D0" w14:textId="65B5CE7D" w:rsidR="004835BA" w:rsidRPr="00813D19" w:rsidRDefault="00FE1A8D" w:rsidP="004835BA">
      <w:pPr>
        <w:pStyle w:val="Orateurengris"/>
        <w:spacing w:before="120"/>
        <w:ind w:left="709" w:hanging="709"/>
        <w:rPr>
          <w:lang w:val="en-US"/>
        </w:rPr>
      </w:pPr>
      <w:r w:rsidRPr="00813D19">
        <w:rPr>
          <w:lang w:val="en-US"/>
        </w:rPr>
        <w:t xml:space="preserve">The </w:t>
      </w:r>
      <w:r w:rsidRPr="00813D19">
        <w:rPr>
          <w:b/>
          <w:lang w:val="en-US"/>
        </w:rPr>
        <w:t>delegation of Kazakhstan</w:t>
      </w:r>
      <w:r w:rsidRPr="00813D19">
        <w:rPr>
          <w:lang w:val="en-US"/>
        </w:rPr>
        <w:t xml:space="preserve"> </w:t>
      </w:r>
      <w:r w:rsidR="00367F71" w:rsidRPr="00813D19">
        <w:rPr>
          <w:lang w:val="en-US"/>
        </w:rPr>
        <w:t>appreciated</w:t>
      </w:r>
      <w:r w:rsidR="007624AA" w:rsidRPr="00813D19">
        <w:rPr>
          <w:lang w:val="en-US"/>
        </w:rPr>
        <w:t xml:space="preserve"> </w:t>
      </w:r>
      <w:r w:rsidR="004E014F" w:rsidRPr="00813D19">
        <w:rPr>
          <w:lang w:val="en-US"/>
        </w:rPr>
        <w:t xml:space="preserve">the work of the Evaluation Body, reminding the Committee of the overwhelming </w:t>
      </w:r>
      <w:r w:rsidR="00976948" w:rsidRPr="00813D19">
        <w:rPr>
          <w:lang w:val="en-US"/>
        </w:rPr>
        <w:t>issues</w:t>
      </w:r>
      <w:r w:rsidR="004E014F" w:rsidRPr="00813D19">
        <w:rPr>
          <w:lang w:val="en-US"/>
        </w:rPr>
        <w:t xml:space="preserve"> with criterion R.2, </w:t>
      </w:r>
      <w:r w:rsidR="009050EA">
        <w:rPr>
          <w:lang w:val="en-US"/>
        </w:rPr>
        <w:t xml:space="preserve">and </w:t>
      </w:r>
      <w:r w:rsidR="004E014F" w:rsidRPr="00813D19">
        <w:rPr>
          <w:lang w:val="en-US"/>
        </w:rPr>
        <w:t xml:space="preserve">adding that </w:t>
      </w:r>
      <w:r w:rsidR="007624AA" w:rsidRPr="00813D19">
        <w:rPr>
          <w:lang w:val="en-US"/>
        </w:rPr>
        <w:t>Chakan embroidery</w:t>
      </w:r>
      <w:r w:rsidR="004E014F" w:rsidRPr="00813D19">
        <w:rPr>
          <w:lang w:val="en-US"/>
        </w:rPr>
        <w:t>,</w:t>
      </w:r>
      <w:r w:rsidR="00976948" w:rsidRPr="00813D19">
        <w:rPr>
          <w:lang w:val="en-US"/>
        </w:rPr>
        <w:t xml:space="preserve"> representing a cultural brand of Tajikistan, </w:t>
      </w:r>
      <w:r w:rsidR="004E014F" w:rsidRPr="00813D19">
        <w:rPr>
          <w:lang w:val="en-US"/>
        </w:rPr>
        <w:t>served</w:t>
      </w:r>
      <w:r w:rsidR="007624AA" w:rsidRPr="00813D19">
        <w:rPr>
          <w:lang w:val="en-US"/>
        </w:rPr>
        <w:t xml:space="preserve"> as a source of inspiration for many textile artists, interior and fashion designers abroad. </w:t>
      </w:r>
      <w:r w:rsidR="004E014F" w:rsidRPr="00813D19">
        <w:rPr>
          <w:lang w:val="en-US"/>
        </w:rPr>
        <w:t>A</w:t>
      </w:r>
      <w:r w:rsidR="007624AA" w:rsidRPr="00813D19">
        <w:rPr>
          <w:lang w:val="en-US"/>
        </w:rPr>
        <w:t xml:space="preserve">s </w:t>
      </w:r>
      <w:r w:rsidR="004E014F" w:rsidRPr="00813D19">
        <w:rPr>
          <w:lang w:val="en-US"/>
        </w:rPr>
        <w:t xml:space="preserve">stated in the </w:t>
      </w:r>
      <w:r w:rsidR="007624AA" w:rsidRPr="00813D19">
        <w:rPr>
          <w:lang w:val="en-US"/>
        </w:rPr>
        <w:t xml:space="preserve">nomination </w:t>
      </w:r>
      <w:r w:rsidR="004E014F" w:rsidRPr="00813D19">
        <w:rPr>
          <w:lang w:val="en-US"/>
        </w:rPr>
        <w:t xml:space="preserve">file, inscription </w:t>
      </w:r>
      <w:r w:rsidR="009050EA">
        <w:rPr>
          <w:lang w:val="en-US"/>
        </w:rPr>
        <w:t>would</w:t>
      </w:r>
      <w:r w:rsidR="009050EA" w:rsidRPr="00813D19">
        <w:rPr>
          <w:lang w:val="en-US"/>
        </w:rPr>
        <w:t xml:space="preserve"> </w:t>
      </w:r>
      <w:r w:rsidR="007624AA" w:rsidRPr="00813D19">
        <w:rPr>
          <w:lang w:val="en-US"/>
        </w:rPr>
        <w:t xml:space="preserve">raise global awareness </w:t>
      </w:r>
      <w:r w:rsidR="009050EA">
        <w:rPr>
          <w:lang w:val="en-US"/>
        </w:rPr>
        <w:t>about</w:t>
      </w:r>
      <w:r w:rsidR="007624AA" w:rsidRPr="00813D19">
        <w:rPr>
          <w:lang w:val="en-US"/>
        </w:rPr>
        <w:t xml:space="preserve"> various aspects of this element</w:t>
      </w:r>
      <w:r w:rsidR="004E014F" w:rsidRPr="00813D19">
        <w:rPr>
          <w:lang w:val="en-US"/>
        </w:rPr>
        <w:t>,</w:t>
      </w:r>
      <w:r w:rsidR="007624AA" w:rsidRPr="00813D19">
        <w:rPr>
          <w:lang w:val="en-US"/>
        </w:rPr>
        <w:t xml:space="preserve"> </w:t>
      </w:r>
      <w:r w:rsidR="004E014F" w:rsidRPr="00813D19">
        <w:rPr>
          <w:lang w:val="en-US"/>
        </w:rPr>
        <w:t xml:space="preserve">such as </w:t>
      </w:r>
      <w:r w:rsidR="007624AA" w:rsidRPr="00813D19">
        <w:rPr>
          <w:lang w:val="en-US"/>
        </w:rPr>
        <w:t xml:space="preserve">raising the status of artisanship, </w:t>
      </w:r>
      <w:r w:rsidR="004E014F" w:rsidRPr="00813D19">
        <w:rPr>
          <w:lang w:val="en-US"/>
        </w:rPr>
        <w:t xml:space="preserve">the </w:t>
      </w:r>
      <w:r w:rsidR="007624AA" w:rsidRPr="00813D19">
        <w:rPr>
          <w:lang w:val="en-US"/>
        </w:rPr>
        <w:t>promotion of family values</w:t>
      </w:r>
      <w:r w:rsidR="004E014F" w:rsidRPr="00813D19">
        <w:rPr>
          <w:lang w:val="en-US"/>
        </w:rPr>
        <w:t>,</w:t>
      </w:r>
      <w:r w:rsidR="007624AA" w:rsidRPr="00813D19">
        <w:rPr>
          <w:lang w:val="en-US"/>
        </w:rPr>
        <w:t xml:space="preserve"> closer transmission from master to apprentice training, rais</w:t>
      </w:r>
      <w:r w:rsidR="004E014F" w:rsidRPr="00813D19">
        <w:rPr>
          <w:lang w:val="en-US"/>
        </w:rPr>
        <w:t>ing the role of women in society</w:t>
      </w:r>
      <w:r w:rsidR="007624AA" w:rsidRPr="00813D19">
        <w:rPr>
          <w:lang w:val="en-US"/>
        </w:rPr>
        <w:t xml:space="preserve"> and improving their employment opportunities</w:t>
      </w:r>
      <w:r w:rsidR="004E014F" w:rsidRPr="00813D19">
        <w:rPr>
          <w:lang w:val="en-US"/>
        </w:rPr>
        <w:t>,</w:t>
      </w:r>
      <w:r w:rsidR="007624AA" w:rsidRPr="00813D19">
        <w:rPr>
          <w:lang w:val="en-US"/>
        </w:rPr>
        <w:t xml:space="preserve"> and </w:t>
      </w:r>
      <w:r w:rsidR="004E014F" w:rsidRPr="00813D19">
        <w:rPr>
          <w:lang w:val="en-US"/>
        </w:rPr>
        <w:t xml:space="preserve">the </w:t>
      </w:r>
      <w:r w:rsidR="007624AA" w:rsidRPr="00813D19">
        <w:rPr>
          <w:lang w:val="en-US"/>
        </w:rPr>
        <w:t>popularization of folk festivals and ritual weddings. Ove</w:t>
      </w:r>
      <w:r w:rsidR="004E014F" w:rsidRPr="00813D19">
        <w:rPr>
          <w:lang w:val="en-US"/>
        </w:rPr>
        <w:t xml:space="preserve">rall, the spiritual process of Chakan hand embroidery and </w:t>
      </w:r>
      <w:r w:rsidR="007624AA" w:rsidRPr="00813D19">
        <w:rPr>
          <w:lang w:val="en-US"/>
        </w:rPr>
        <w:t xml:space="preserve">its close affiliation with nature </w:t>
      </w:r>
      <w:r w:rsidR="009050EA" w:rsidRPr="00813D19">
        <w:rPr>
          <w:lang w:val="en-US"/>
        </w:rPr>
        <w:t>ha</w:t>
      </w:r>
      <w:r w:rsidR="009050EA">
        <w:rPr>
          <w:lang w:val="en-US"/>
        </w:rPr>
        <w:t>d</w:t>
      </w:r>
      <w:r w:rsidR="009050EA" w:rsidRPr="00813D19">
        <w:rPr>
          <w:lang w:val="en-US"/>
        </w:rPr>
        <w:t xml:space="preserve"> </w:t>
      </w:r>
      <w:r w:rsidR="007624AA" w:rsidRPr="00813D19">
        <w:rPr>
          <w:lang w:val="en-US"/>
        </w:rPr>
        <w:t>the potential</w:t>
      </w:r>
      <w:r w:rsidR="004E014F" w:rsidRPr="00813D19">
        <w:rPr>
          <w:lang w:val="en-US"/>
        </w:rPr>
        <w:t>—</w:t>
      </w:r>
      <w:r w:rsidR="007624AA" w:rsidRPr="00813D19">
        <w:rPr>
          <w:lang w:val="en-US"/>
        </w:rPr>
        <w:t>like any sustainable craft</w:t>
      </w:r>
      <w:r w:rsidR="004E014F" w:rsidRPr="00813D19">
        <w:rPr>
          <w:lang w:val="en-US"/>
        </w:rPr>
        <w:t>—</w:t>
      </w:r>
      <w:r w:rsidR="007624AA" w:rsidRPr="00813D19">
        <w:rPr>
          <w:lang w:val="en-US"/>
        </w:rPr>
        <w:t xml:space="preserve">to address </w:t>
      </w:r>
      <w:r w:rsidR="004E014F" w:rsidRPr="00813D19">
        <w:rPr>
          <w:lang w:val="en-US"/>
        </w:rPr>
        <w:t xml:space="preserve">the </w:t>
      </w:r>
      <w:r w:rsidR="007624AA" w:rsidRPr="00813D19">
        <w:rPr>
          <w:lang w:val="en-US"/>
        </w:rPr>
        <w:t xml:space="preserve">ecological impact of </w:t>
      </w:r>
      <w:r w:rsidR="004E014F" w:rsidRPr="00813D19">
        <w:rPr>
          <w:lang w:val="en-US"/>
        </w:rPr>
        <w:t xml:space="preserve">the </w:t>
      </w:r>
      <w:r w:rsidR="007624AA" w:rsidRPr="00813D19">
        <w:rPr>
          <w:lang w:val="en-US"/>
        </w:rPr>
        <w:t>fashion industry. The year 2017 was announced as the year of traditional hand</w:t>
      </w:r>
      <w:r w:rsidR="00976948" w:rsidRPr="00813D19">
        <w:rPr>
          <w:lang w:val="en-US"/>
        </w:rPr>
        <w:t>i</w:t>
      </w:r>
      <w:r w:rsidR="007624AA" w:rsidRPr="00813D19">
        <w:rPr>
          <w:lang w:val="en-US"/>
        </w:rPr>
        <w:t>crafts and sustainable tourism in Tajikistan</w:t>
      </w:r>
      <w:r w:rsidR="004E014F" w:rsidRPr="00813D19">
        <w:rPr>
          <w:lang w:val="en-US"/>
        </w:rPr>
        <w:t>,</w:t>
      </w:r>
      <w:r w:rsidR="007624AA" w:rsidRPr="00813D19">
        <w:rPr>
          <w:lang w:val="en-US"/>
        </w:rPr>
        <w:t xml:space="preserve"> making it </w:t>
      </w:r>
      <w:r w:rsidR="009050EA">
        <w:rPr>
          <w:lang w:val="en-US"/>
        </w:rPr>
        <w:t xml:space="preserve">the </w:t>
      </w:r>
      <w:r w:rsidR="007624AA" w:rsidRPr="00813D19">
        <w:rPr>
          <w:lang w:val="en-US"/>
        </w:rPr>
        <w:t xml:space="preserve">perfect timing for inscribing Chakan embroidery. </w:t>
      </w:r>
      <w:r w:rsidR="004E014F" w:rsidRPr="00813D19">
        <w:rPr>
          <w:lang w:val="en-US"/>
        </w:rPr>
        <w:t xml:space="preserve">The delegation thus </w:t>
      </w:r>
      <w:r w:rsidR="007624AA" w:rsidRPr="00813D19">
        <w:rPr>
          <w:lang w:val="en-US"/>
        </w:rPr>
        <w:t>appreciate</w:t>
      </w:r>
      <w:r w:rsidR="004E014F" w:rsidRPr="00813D19">
        <w:rPr>
          <w:lang w:val="en-US"/>
        </w:rPr>
        <w:t>d</w:t>
      </w:r>
      <w:r w:rsidR="007624AA" w:rsidRPr="00813D19">
        <w:rPr>
          <w:lang w:val="en-US"/>
        </w:rPr>
        <w:t xml:space="preserve"> </w:t>
      </w:r>
      <w:r w:rsidR="004E014F" w:rsidRPr="00813D19">
        <w:rPr>
          <w:lang w:val="en-US"/>
        </w:rPr>
        <w:t xml:space="preserve">the opportunity for the State Party </w:t>
      </w:r>
      <w:r w:rsidR="004835BA" w:rsidRPr="00813D19">
        <w:rPr>
          <w:lang w:val="en-US"/>
        </w:rPr>
        <w:t xml:space="preserve">to respond to the </w:t>
      </w:r>
      <w:r w:rsidR="007624AA" w:rsidRPr="00813D19">
        <w:rPr>
          <w:lang w:val="en-US"/>
        </w:rPr>
        <w:t>question posed by the Evaluation Body</w:t>
      </w:r>
      <w:r w:rsidR="00A3556E" w:rsidRPr="00813D19">
        <w:rPr>
          <w:lang w:val="en-US"/>
        </w:rPr>
        <w:t xml:space="preserve"> on</w:t>
      </w:r>
      <w:r w:rsidR="004835BA" w:rsidRPr="00813D19">
        <w:rPr>
          <w:lang w:val="en-US"/>
        </w:rPr>
        <w:t xml:space="preserve"> </w:t>
      </w:r>
      <w:r w:rsidR="007624AA" w:rsidRPr="00813D19">
        <w:rPr>
          <w:lang w:val="en-US"/>
        </w:rPr>
        <w:t>how the inscription of Chakan embroidery could serve to raise the visibility of intangible heritage in general and promote cultural</w:t>
      </w:r>
      <w:r w:rsidR="003D53B3">
        <w:rPr>
          <w:lang w:val="en-US"/>
        </w:rPr>
        <w:t xml:space="preserve"> diversity </w:t>
      </w:r>
      <w:r w:rsidR="00743185">
        <w:rPr>
          <w:lang w:val="en-US"/>
        </w:rPr>
        <w:t xml:space="preserve">and </w:t>
      </w:r>
      <w:r w:rsidR="003D53B3">
        <w:rPr>
          <w:lang w:val="en-US"/>
        </w:rPr>
        <w:t>human creativity.</w:t>
      </w:r>
    </w:p>
    <w:p w14:paraId="2F74747F" w14:textId="7EC2A9DB" w:rsidR="004835BA" w:rsidRPr="00813D19" w:rsidRDefault="004835BA" w:rsidP="00A3556E">
      <w:pPr>
        <w:pStyle w:val="Orateurengris"/>
        <w:spacing w:before="120"/>
        <w:ind w:left="709" w:hanging="709"/>
        <w:rPr>
          <w:lang w:val="en-US"/>
        </w:rPr>
      </w:pPr>
      <w:r w:rsidRPr="00813D19">
        <w:rPr>
          <w:lang w:val="en-US"/>
        </w:rPr>
        <w:t xml:space="preserve">The </w:t>
      </w:r>
      <w:r w:rsidRPr="00813D19">
        <w:rPr>
          <w:b/>
          <w:lang w:val="en-US"/>
        </w:rPr>
        <w:t>Chairperson</w:t>
      </w:r>
      <w:r w:rsidR="00A3556E" w:rsidRPr="00813D19">
        <w:rPr>
          <w:lang w:val="en-US"/>
        </w:rPr>
        <w:t xml:space="preserve"> t</w:t>
      </w:r>
      <w:r w:rsidRPr="00813D19">
        <w:rPr>
          <w:lang w:val="en-US"/>
        </w:rPr>
        <w:t>hank</w:t>
      </w:r>
      <w:r w:rsidR="00A3556E" w:rsidRPr="00813D19">
        <w:rPr>
          <w:lang w:val="en-US"/>
        </w:rPr>
        <w:t>ed</w:t>
      </w:r>
      <w:r w:rsidRPr="00813D19">
        <w:rPr>
          <w:lang w:val="en-US"/>
        </w:rPr>
        <w:t xml:space="preserve"> </w:t>
      </w:r>
      <w:r w:rsidR="00A3556E" w:rsidRPr="00813D19">
        <w:rPr>
          <w:lang w:val="en-US"/>
        </w:rPr>
        <w:t>Kazakhstan and noted</w:t>
      </w:r>
      <w:r w:rsidR="009050EA">
        <w:rPr>
          <w:lang w:val="en-US"/>
        </w:rPr>
        <w:t xml:space="preserve"> that</w:t>
      </w:r>
      <w:r w:rsidR="00A3556E" w:rsidRPr="00813D19">
        <w:rPr>
          <w:lang w:val="en-US"/>
        </w:rPr>
        <w:t xml:space="preserve"> </w:t>
      </w:r>
      <w:r w:rsidRPr="00813D19">
        <w:rPr>
          <w:lang w:val="en-US"/>
        </w:rPr>
        <w:t xml:space="preserve">Azerbaijan, Palestine and Jamaica </w:t>
      </w:r>
      <w:r w:rsidR="009050EA" w:rsidRPr="00813D19">
        <w:rPr>
          <w:lang w:val="en-US"/>
        </w:rPr>
        <w:t>wish</w:t>
      </w:r>
      <w:r w:rsidR="009050EA">
        <w:rPr>
          <w:lang w:val="en-US"/>
        </w:rPr>
        <w:t>ed</w:t>
      </w:r>
      <w:r w:rsidR="009050EA" w:rsidRPr="00813D19">
        <w:rPr>
          <w:lang w:val="en-US"/>
        </w:rPr>
        <w:t xml:space="preserve"> </w:t>
      </w:r>
      <w:r w:rsidRPr="00813D19">
        <w:rPr>
          <w:lang w:val="en-US"/>
        </w:rPr>
        <w:t>to take the floor</w:t>
      </w:r>
      <w:r w:rsidR="00A3556E" w:rsidRPr="00813D19">
        <w:rPr>
          <w:lang w:val="en-US"/>
        </w:rPr>
        <w:t>, giving</w:t>
      </w:r>
      <w:r w:rsidRPr="00813D19">
        <w:rPr>
          <w:lang w:val="en-US"/>
        </w:rPr>
        <w:t xml:space="preserve"> the floor to Tajikistan to respond to </w:t>
      </w:r>
      <w:r w:rsidR="003D53B3">
        <w:rPr>
          <w:lang w:val="en-US"/>
        </w:rPr>
        <w:t>the request from the Committee.</w:t>
      </w:r>
    </w:p>
    <w:p w14:paraId="1F4E0EB1" w14:textId="69CA2C7F" w:rsidR="001F2193" w:rsidRPr="00813D19" w:rsidRDefault="00D9482D" w:rsidP="001F2193">
      <w:pPr>
        <w:pStyle w:val="Orateurengris"/>
        <w:spacing w:before="120"/>
        <w:ind w:left="709" w:hanging="709"/>
        <w:rPr>
          <w:lang w:val="en-US"/>
        </w:rPr>
      </w:pPr>
      <w:r w:rsidRPr="00813D19">
        <w:rPr>
          <w:lang w:val="en-US"/>
        </w:rPr>
        <w:t xml:space="preserve">The </w:t>
      </w:r>
      <w:r w:rsidRPr="00813D19">
        <w:rPr>
          <w:b/>
          <w:lang w:val="en-US"/>
        </w:rPr>
        <w:t>delegation of Tajikistan</w:t>
      </w:r>
      <w:r w:rsidR="00300CC5" w:rsidRPr="00813D19">
        <w:rPr>
          <w:b/>
          <w:lang w:val="en-US"/>
        </w:rPr>
        <w:t xml:space="preserve"> </w:t>
      </w:r>
      <w:r w:rsidR="00A3556E" w:rsidRPr="00813D19">
        <w:rPr>
          <w:lang w:val="en-US"/>
        </w:rPr>
        <w:t>wished to</w:t>
      </w:r>
      <w:r w:rsidR="00A3556E" w:rsidRPr="00813D19">
        <w:rPr>
          <w:b/>
          <w:lang w:val="en-US"/>
        </w:rPr>
        <w:t xml:space="preserve"> </w:t>
      </w:r>
      <w:r w:rsidR="007624AA" w:rsidRPr="00813D19">
        <w:rPr>
          <w:lang w:val="en-US"/>
        </w:rPr>
        <w:t>pr</w:t>
      </w:r>
      <w:r w:rsidR="00A3556E" w:rsidRPr="00813D19">
        <w:rPr>
          <w:lang w:val="en-US"/>
        </w:rPr>
        <w:t>ovide more detailed information on</w:t>
      </w:r>
      <w:r w:rsidR="007624AA" w:rsidRPr="00813D19">
        <w:rPr>
          <w:lang w:val="en-US"/>
        </w:rPr>
        <w:t xml:space="preserve"> how </w:t>
      </w:r>
      <w:r w:rsidR="009050EA">
        <w:rPr>
          <w:lang w:val="en-US"/>
        </w:rPr>
        <w:t xml:space="preserve">the </w:t>
      </w:r>
      <w:r w:rsidR="007624AA" w:rsidRPr="00813D19">
        <w:rPr>
          <w:lang w:val="en-US"/>
        </w:rPr>
        <w:t>inscription of Chakan embroidery could rais</w:t>
      </w:r>
      <w:r w:rsidR="00976948" w:rsidRPr="00813D19">
        <w:rPr>
          <w:lang w:val="en-US"/>
        </w:rPr>
        <w:t>e the visibility of the element</w:t>
      </w:r>
      <w:r w:rsidR="007624AA" w:rsidRPr="00813D19">
        <w:rPr>
          <w:lang w:val="en-US"/>
        </w:rPr>
        <w:t xml:space="preserve"> </w:t>
      </w:r>
      <w:r w:rsidR="00976948" w:rsidRPr="00813D19">
        <w:rPr>
          <w:lang w:val="en-US"/>
        </w:rPr>
        <w:t xml:space="preserve">and </w:t>
      </w:r>
      <w:r w:rsidR="007624AA" w:rsidRPr="00813D19">
        <w:rPr>
          <w:lang w:val="en-US"/>
        </w:rPr>
        <w:t>promote cultural diversity and human creativity</w:t>
      </w:r>
      <w:r w:rsidR="00A3556E" w:rsidRPr="00813D19">
        <w:rPr>
          <w:lang w:val="en-US"/>
        </w:rPr>
        <w:t xml:space="preserve">, adding that the </w:t>
      </w:r>
      <w:r w:rsidR="007624AA" w:rsidRPr="00813D19">
        <w:rPr>
          <w:lang w:val="en-US"/>
        </w:rPr>
        <w:t xml:space="preserve">text limits in </w:t>
      </w:r>
      <w:r w:rsidR="009050EA">
        <w:rPr>
          <w:lang w:val="en-US"/>
        </w:rPr>
        <w:t>S</w:t>
      </w:r>
      <w:r w:rsidR="009050EA" w:rsidRPr="00813D19">
        <w:rPr>
          <w:lang w:val="en-US"/>
        </w:rPr>
        <w:t xml:space="preserve">ection </w:t>
      </w:r>
      <w:r w:rsidR="007624AA" w:rsidRPr="00813D19">
        <w:rPr>
          <w:lang w:val="en-US"/>
        </w:rPr>
        <w:t xml:space="preserve">2 </w:t>
      </w:r>
      <w:r w:rsidR="00A3556E" w:rsidRPr="00813D19">
        <w:rPr>
          <w:lang w:val="en-US"/>
        </w:rPr>
        <w:t xml:space="preserve">could have </w:t>
      </w:r>
      <w:r w:rsidR="007624AA" w:rsidRPr="00813D19">
        <w:rPr>
          <w:lang w:val="en-US"/>
        </w:rPr>
        <w:t xml:space="preserve">constrained </w:t>
      </w:r>
      <w:r w:rsidR="00A3556E" w:rsidRPr="00813D19">
        <w:rPr>
          <w:lang w:val="en-US"/>
        </w:rPr>
        <w:t xml:space="preserve">the </w:t>
      </w:r>
      <w:r w:rsidR="007624AA" w:rsidRPr="00813D19">
        <w:rPr>
          <w:lang w:val="en-US"/>
        </w:rPr>
        <w:t>information provided. As an element bonding families in loc</w:t>
      </w:r>
      <w:r w:rsidR="00A3556E" w:rsidRPr="00813D19">
        <w:rPr>
          <w:lang w:val="en-US"/>
        </w:rPr>
        <w:t xml:space="preserve">al communities, younger and older </w:t>
      </w:r>
      <w:r w:rsidR="007624AA" w:rsidRPr="00813D19">
        <w:rPr>
          <w:lang w:val="en-US"/>
        </w:rPr>
        <w:t xml:space="preserve">generations, </w:t>
      </w:r>
      <w:r w:rsidR="00A3556E" w:rsidRPr="00813D19">
        <w:rPr>
          <w:lang w:val="en-US"/>
        </w:rPr>
        <w:t xml:space="preserve">and </w:t>
      </w:r>
      <w:r w:rsidR="007624AA" w:rsidRPr="00813D19">
        <w:rPr>
          <w:lang w:val="en-US"/>
        </w:rPr>
        <w:t xml:space="preserve">rural and urban populations, </w:t>
      </w:r>
      <w:r w:rsidR="00A3556E" w:rsidRPr="00813D19">
        <w:rPr>
          <w:lang w:val="en-US"/>
        </w:rPr>
        <w:t xml:space="preserve">the </w:t>
      </w:r>
      <w:r w:rsidR="007624AA" w:rsidRPr="00813D19">
        <w:rPr>
          <w:lang w:val="en-US"/>
        </w:rPr>
        <w:t xml:space="preserve">inscription of Chakan embroidery on the Representative List </w:t>
      </w:r>
      <w:r w:rsidR="009050EA">
        <w:rPr>
          <w:lang w:val="en-US"/>
        </w:rPr>
        <w:t>would</w:t>
      </w:r>
      <w:r w:rsidR="009050EA" w:rsidRPr="00813D19">
        <w:rPr>
          <w:lang w:val="en-US"/>
        </w:rPr>
        <w:t xml:space="preserve"> </w:t>
      </w:r>
      <w:r w:rsidR="007624AA" w:rsidRPr="00813D19">
        <w:rPr>
          <w:lang w:val="en-US"/>
        </w:rPr>
        <w:t>raise the status of craftspeople and promote handicrafts as an environmentally</w:t>
      </w:r>
      <w:r w:rsidR="009050EA">
        <w:rPr>
          <w:lang w:val="en-US"/>
        </w:rPr>
        <w:t>-</w:t>
      </w:r>
      <w:r w:rsidR="007624AA" w:rsidRPr="00813D19">
        <w:rPr>
          <w:lang w:val="en-US"/>
        </w:rPr>
        <w:t>friendly lifestyle</w:t>
      </w:r>
      <w:r w:rsidR="00A3556E" w:rsidRPr="00813D19">
        <w:rPr>
          <w:lang w:val="en-US"/>
        </w:rPr>
        <w:t>. It would also</w:t>
      </w:r>
      <w:r w:rsidR="007624AA" w:rsidRPr="00813D19">
        <w:rPr>
          <w:lang w:val="en-US"/>
        </w:rPr>
        <w:t xml:space="preserve"> promote community spirit and family values, support women with broader employment opportunities, inspire research on the symbolism of ornaments</w:t>
      </w:r>
      <w:r w:rsidR="00A3556E" w:rsidRPr="00813D19">
        <w:rPr>
          <w:lang w:val="en-US"/>
        </w:rPr>
        <w:t>,</w:t>
      </w:r>
      <w:r w:rsidR="007624AA" w:rsidRPr="00813D19">
        <w:rPr>
          <w:lang w:val="en-US"/>
        </w:rPr>
        <w:t xml:space="preserve"> and encourage </w:t>
      </w:r>
      <w:r w:rsidR="00A3556E" w:rsidRPr="00813D19">
        <w:rPr>
          <w:lang w:val="en-US"/>
        </w:rPr>
        <w:t xml:space="preserve">the </w:t>
      </w:r>
      <w:r w:rsidR="007624AA" w:rsidRPr="00813D19">
        <w:rPr>
          <w:lang w:val="en-US"/>
        </w:rPr>
        <w:t>spiritual and meditative benefits of the handicraft. Social contexts and events associated with the Chakan facilitate informal transmiss</w:t>
      </w:r>
      <w:r w:rsidR="00A3556E" w:rsidRPr="00813D19">
        <w:rPr>
          <w:lang w:val="en-US"/>
        </w:rPr>
        <w:t>ion in families, community cent</w:t>
      </w:r>
      <w:r w:rsidR="007624AA" w:rsidRPr="00813D19">
        <w:rPr>
          <w:lang w:val="en-US"/>
        </w:rPr>
        <w:t>r</w:t>
      </w:r>
      <w:r w:rsidR="00A3556E" w:rsidRPr="00813D19">
        <w:rPr>
          <w:lang w:val="en-US"/>
        </w:rPr>
        <w:t>e</w:t>
      </w:r>
      <w:r w:rsidR="007624AA" w:rsidRPr="00813D19">
        <w:rPr>
          <w:lang w:val="en-US"/>
        </w:rPr>
        <w:t>s</w:t>
      </w:r>
      <w:r w:rsidR="00A3556E" w:rsidRPr="00813D19">
        <w:rPr>
          <w:lang w:val="en-US"/>
        </w:rPr>
        <w:t>,</w:t>
      </w:r>
      <w:r w:rsidR="007624AA" w:rsidRPr="00813D19">
        <w:rPr>
          <w:lang w:val="en-US"/>
        </w:rPr>
        <w:t xml:space="preserve"> as well as formal transmission in schools, colleges, universities and museums, </w:t>
      </w:r>
      <w:r w:rsidR="00A3556E" w:rsidRPr="00813D19">
        <w:rPr>
          <w:lang w:val="en-US"/>
        </w:rPr>
        <w:t>while popularizing</w:t>
      </w:r>
      <w:r w:rsidR="007624AA" w:rsidRPr="00813D19">
        <w:rPr>
          <w:lang w:val="en-US"/>
        </w:rPr>
        <w:t xml:space="preserve"> folk costumes, commemorative cel</w:t>
      </w:r>
      <w:r w:rsidR="00A3556E" w:rsidRPr="00813D19">
        <w:rPr>
          <w:lang w:val="en-US"/>
        </w:rPr>
        <w:t>ebrations and festivals inspiring</w:t>
      </w:r>
      <w:r w:rsidR="007624AA" w:rsidRPr="00813D19">
        <w:rPr>
          <w:lang w:val="en-US"/>
        </w:rPr>
        <w:t xml:space="preserve"> designers and artists worldwide to cooperate with communities, </w:t>
      </w:r>
      <w:r w:rsidR="00A3556E" w:rsidRPr="00813D19">
        <w:rPr>
          <w:lang w:val="en-US"/>
        </w:rPr>
        <w:t xml:space="preserve">and </w:t>
      </w:r>
      <w:r w:rsidR="007624AA" w:rsidRPr="00813D19">
        <w:rPr>
          <w:lang w:val="en-US"/>
        </w:rPr>
        <w:t>choose natural products and handiwork to produce high</w:t>
      </w:r>
      <w:r w:rsidR="009050EA">
        <w:rPr>
          <w:lang w:val="en-US"/>
        </w:rPr>
        <w:t>-</w:t>
      </w:r>
      <w:r w:rsidR="003D53B3">
        <w:rPr>
          <w:lang w:val="en-US"/>
        </w:rPr>
        <w:t>quality clothing and furniture.</w:t>
      </w:r>
    </w:p>
    <w:p w14:paraId="3FB1D6F9" w14:textId="1B2CF43F" w:rsidR="001F2193" w:rsidRPr="00813D19" w:rsidRDefault="001F2193" w:rsidP="001F2193">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turned to the draft decision on a paragraph-by-paragraph basis</w:t>
      </w:r>
      <w:r w:rsidR="006B75BD" w:rsidRPr="00813D19">
        <w:rPr>
          <w:lang w:val="en-US"/>
        </w:rPr>
        <w:t>, and p</w:t>
      </w:r>
      <w:r w:rsidRPr="00813D19">
        <w:rPr>
          <w:lang w:val="en-US"/>
        </w:rPr>
        <w:t>aragraphs 1 and 2 were duly adopted. Paragraph 3 included an amendment proposed by Kazakhstan</w:t>
      </w:r>
      <w:r w:rsidR="00976948" w:rsidRPr="00813D19">
        <w:rPr>
          <w:lang w:val="en-US"/>
        </w:rPr>
        <w:t xml:space="preserve"> [that the information provided satisfied R.2]</w:t>
      </w:r>
      <w:r w:rsidR="003D53B3">
        <w:rPr>
          <w:lang w:val="en-US"/>
        </w:rPr>
        <w:t>.</w:t>
      </w:r>
    </w:p>
    <w:p w14:paraId="30A5E5F7" w14:textId="7895CFF8" w:rsidR="001F2193" w:rsidRPr="00813D19" w:rsidRDefault="001F2193" w:rsidP="001F2193">
      <w:pPr>
        <w:pStyle w:val="Orateurengris"/>
        <w:spacing w:before="120"/>
        <w:ind w:left="709" w:hanging="709"/>
        <w:rPr>
          <w:lang w:val="en-US"/>
        </w:rPr>
      </w:pPr>
      <w:r w:rsidRPr="00813D19">
        <w:rPr>
          <w:lang w:val="en-US"/>
        </w:rPr>
        <w:t xml:space="preserve">The </w:t>
      </w:r>
      <w:r w:rsidRPr="00813D19">
        <w:rPr>
          <w:b/>
          <w:lang w:val="en-US"/>
        </w:rPr>
        <w:t>delegation of Palestine</w:t>
      </w:r>
      <w:r w:rsidRPr="00813D19">
        <w:rPr>
          <w:lang w:val="en-US"/>
        </w:rPr>
        <w:t xml:space="preserve"> </w:t>
      </w:r>
      <w:r w:rsidR="00A3556E" w:rsidRPr="00813D19">
        <w:rPr>
          <w:lang w:val="en-US"/>
        </w:rPr>
        <w:t>agreed with the amendments presented by Kazakhstan.</w:t>
      </w:r>
    </w:p>
    <w:p w14:paraId="0B4F6D83" w14:textId="5202D68E" w:rsidR="00F13B2A" w:rsidRPr="00813D19" w:rsidRDefault="001F2193" w:rsidP="001F2193">
      <w:pPr>
        <w:pStyle w:val="Orateurengris"/>
        <w:spacing w:before="120"/>
        <w:ind w:left="709" w:hanging="709"/>
        <w:rPr>
          <w:lang w:val="en-US"/>
        </w:rPr>
      </w:pPr>
      <w:r w:rsidRPr="00813D19">
        <w:rPr>
          <w:lang w:val="en-US"/>
        </w:rPr>
        <w:t xml:space="preserve">The </w:t>
      </w:r>
      <w:r w:rsidRPr="00813D19">
        <w:rPr>
          <w:b/>
          <w:lang w:val="en-US"/>
        </w:rPr>
        <w:t>delegations of the Philippines, Azerbaijan,</w:t>
      </w:r>
      <w:r w:rsidR="00F65772" w:rsidRPr="00813D19">
        <w:rPr>
          <w:b/>
          <w:lang w:val="en-US"/>
        </w:rPr>
        <w:t xml:space="preserve"> Armenia,</w:t>
      </w:r>
      <w:r w:rsidRPr="00813D19">
        <w:rPr>
          <w:b/>
          <w:lang w:val="en-US"/>
        </w:rPr>
        <w:t xml:space="preserve"> Lebanon, Kuwait, Zambia,</w:t>
      </w:r>
      <w:r w:rsidR="00F65772" w:rsidRPr="00813D19">
        <w:rPr>
          <w:b/>
          <w:lang w:val="en-US"/>
        </w:rPr>
        <w:t xml:space="preserve"> Japan, Jamaica, Poland,</w:t>
      </w:r>
      <w:r w:rsidRPr="00813D19">
        <w:rPr>
          <w:b/>
          <w:lang w:val="en-US"/>
        </w:rPr>
        <w:t xml:space="preserve"> Guatemala, Djibouti, Senegal </w:t>
      </w:r>
      <w:r w:rsidRPr="00813D19">
        <w:rPr>
          <w:lang w:val="en-US"/>
        </w:rPr>
        <w:t>and</w:t>
      </w:r>
      <w:r w:rsidRPr="00813D19">
        <w:rPr>
          <w:b/>
          <w:lang w:val="en-US"/>
        </w:rPr>
        <w:t xml:space="preserve"> Cameroon</w:t>
      </w:r>
      <w:r w:rsidR="00B16E81" w:rsidRPr="00813D19">
        <w:rPr>
          <w:lang w:val="en-US"/>
        </w:rPr>
        <w:t xml:space="preserve"> supported paragraph 3</w:t>
      </w:r>
      <w:r w:rsidR="00976948" w:rsidRPr="00813D19">
        <w:rPr>
          <w:lang w:val="en-US"/>
        </w:rPr>
        <w:t xml:space="preserve">, </w:t>
      </w:r>
      <w:r w:rsidR="00A3556E" w:rsidRPr="00813D19">
        <w:rPr>
          <w:lang w:val="en-US"/>
        </w:rPr>
        <w:t>which was duly adopted.</w:t>
      </w:r>
    </w:p>
    <w:p w14:paraId="7825B2F1" w14:textId="0D634ACD" w:rsidR="001F2193" w:rsidRPr="003D53B3" w:rsidRDefault="00F13B2A" w:rsidP="00A3556E">
      <w:pPr>
        <w:pStyle w:val="Orateurengris"/>
        <w:spacing w:before="120"/>
        <w:ind w:left="709" w:hanging="709"/>
        <w:rPr>
          <w:bCs/>
          <w:lang w:val="en-US"/>
        </w:rPr>
      </w:pPr>
      <w:r w:rsidRPr="00813D19">
        <w:rPr>
          <w:lang w:val="en-US"/>
        </w:rPr>
        <w:t xml:space="preserve">The </w:t>
      </w:r>
      <w:r w:rsidRPr="00813D19">
        <w:rPr>
          <w:b/>
          <w:lang w:val="en-US"/>
        </w:rPr>
        <w:t>Chairperson</w:t>
      </w:r>
      <w:r w:rsidRPr="00813D19">
        <w:rPr>
          <w:lang w:val="en-US"/>
        </w:rPr>
        <w:t xml:space="preserve"> pronounced </w:t>
      </w:r>
      <w:r w:rsidR="00A95F73" w:rsidRPr="00813D19">
        <w:rPr>
          <w:lang w:val="en-US"/>
        </w:rPr>
        <w:t>p</w:t>
      </w:r>
      <w:r w:rsidRPr="00813D19">
        <w:rPr>
          <w:lang w:val="en-US"/>
        </w:rPr>
        <w:t>aragraph 4 adopted as amended</w:t>
      </w:r>
      <w:r w:rsidR="00A95F73" w:rsidRPr="00813D19">
        <w:rPr>
          <w:lang w:val="en-US"/>
        </w:rPr>
        <w:t xml:space="preserve"> [</w:t>
      </w:r>
      <w:r w:rsidR="007C4A61" w:rsidRPr="00813D19">
        <w:rPr>
          <w:lang w:val="en-US"/>
        </w:rPr>
        <w:t>inscribing</w:t>
      </w:r>
      <w:r w:rsidR="00A95F73" w:rsidRPr="00813D19">
        <w:rPr>
          <w:lang w:val="en-US"/>
        </w:rPr>
        <w:t xml:space="preserve"> the element]</w:t>
      </w:r>
      <w:r w:rsidRPr="00813D19">
        <w:rPr>
          <w:lang w:val="en-US"/>
        </w:rPr>
        <w:t xml:space="preserve">. Turning to the draft decision as a whole, the </w:t>
      </w:r>
      <w:r w:rsidRPr="00813D19">
        <w:rPr>
          <w:b/>
          <w:lang w:val="en-US"/>
        </w:rPr>
        <w:t xml:space="preserve">Chairperson declared Decision </w:t>
      </w:r>
      <w:hyperlink r:id="rId134" w:history="1">
        <w:r w:rsidRPr="00813D19">
          <w:rPr>
            <w:rStyle w:val="Hyperlink"/>
            <w:b/>
            <w:lang w:val="en-US"/>
          </w:rPr>
          <w:t>13.COM 10.b.36</w:t>
        </w:r>
      </w:hyperlink>
      <w:r w:rsidRPr="00813D19">
        <w:rPr>
          <w:b/>
          <w:lang w:val="en-US"/>
        </w:rPr>
        <w:t xml:space="preserve"> adopted to inscribe </w:t>
      </w:r>
      <w:r w:rsidRPr="00813D19">
        <w:rPr>
          <w:b/>
          <w:color w:val="000000" w:themeColor="text1"/>
          <w:lang w:val="en-US"/>
        </w:rPr>
        <w:t>Chakan, embroidery art in the Republic of Tajikistan</w:t>
      </w:r>
      <w:r w:rsidRPr="00813D19">
        <w:rPr>
          <w:color w:val="000000" w:themeColor="text1"/>
          <w:lang w:val="en-US"/>
        </w:rPr>
        <w:t xml:space="preserve"> </w:t>
      </w:r>
      <w:r w:rsidRPr="00813D19">
        <w:rPr>
          <w:b/>
          <w:color w:val="000000" w:themeColor="text1"/>
          <w:lang w:val="en-US"/>
        </w:rPr>
        <w:t>on the Representative List</w:t>
      </w:r>
      <w:r w:rsidRPr="003D53B3">
        <w:rPr>
          <w:bCs/>
          <w:snapToGrid/>
          <w:color w:val="000000" w:themeColor="text1"/>
          <w:lang w:val="en-US"/>
        </w:rPr>
        <w:t>.</w:t>
      </w:r>
    </w:p>
    <w:p w14:paraId="0049D3E7" w14:textId="683B2A6F" w:rsidR="006B75BD" w:rsidRPr="00813D19" w:rsidRDefault="006B75BD" w:rsidP="001F2193">
      <w:pPr>
        <w:pStyle w:val="Orateurengris"/>
        <w:spacing w:before="120"/>
        <w:ind w:left="709" w:hanging="709"/>
        <w:rPr>
          <w:lang w:val="en-US"/>
        </w:rPr>
      </w:pPr>
      <w:r w:rsidRPr="00813D19">
        <w:rPr>
          <w:lang w:val="en-US"/>
        </w:rPr>
        <w:t xml:space="preserve">The </w:t>
      </w:r>
      <w:r w:rsidR="00F65772" w:rsidRPr="00813D19">
        <w:rPr>
          <w:b/>
          <w:lang w:val="en-US"/>
        </w:rPr>
        <w:t xml:space="preserve">delegation of Tajikistan </w:t>
      </w:r>
      <w:r w:rsidR="001A012C" w:rsidRPr="00813D19">
        <w:rPr>
          <w:lang w:val="en-US"/>
        </w:rPr>
        <w:t>spoke on behalf of the G</w:t>
      </w:r>
      <w:r w:rsidR="00F65772" w:rsidRPr="00813D19">
        <w:rPr>
          <w:lang w:val="en-US"/>
        </w:rPr>
        <w:t>overnment of Tajikistan, t</w:t>
      </w:r>
      <w:r w:rsidR="001A012C" w:rsidRPr="00813D19">
        <w:rPr>
          <w:lang w:val="en-US"/>
        </w:rPr>
        <w:t>he Minister of Foreign Affairs and the Minister of Culture</w:t>
      </w:r>
      <w:r w:rsidR="00F65772" w:rsidRPr="00813D19">
        <w:rPr>
          <w:lang w:val="en-US"/>
        </w:rPr>
        <w:t xml:space="preserve"> to express </w:t>
      </w:r>
      <w:r w:rsidR="009050EA">
        <w:rPr>
          <w:lang w:val="en-US"/>
        </w:rPr>
        <w:t xml:space="preserve">their </w:t>
      </w:r>
      <w:r w:rsidR="00F65772" w:rsidRPr="00813D19">
        <w:rPr>
          <w:lang w:val="en-US"/>
        </w:rPr>
        <w:t xml:space="preserve">gratitude to the Mauritius Government for </w:t>
      </w:r>
      <w:r w:rsidR="001A012C" w:rsidRPr="00813D19">
        <w:rPr>
          <w:lang w:val="en-US"/>
        </w:rPr>
        <w:t xml:space="preserve">its </w:t>
      </w:r>
      <w:r w:rsidR="00F65772" w:rsidRPr="00813D19">
        <w:rPr>
          <w:lang w:val="en-US"/>
        </w:rPr>
        <w:t xml:space="preserve">warm hospitality and </w:t>
      </w:r>
      <w:r w:rsidR="001A012C" w:rsidRPr="00813D19">
        <w:rPr>
          <w:lang w:val="en-US"/>
        </w:rPr>
        <w:t xml:space="preserve">for </w:t>
      </w:r>
      <w:r w:rsidR="00F65772" w:rsidRPr="00813D19">
        <w:rPr>
          <w:lang w:val="en-US"/>
        </w:rPr>
        <w:t>organizing such an important event</w:t>
      </w:r>
      <w:r w:rsidR="001A012C" w:rsidRPr="00813D19">
        <w:rPr>
          <w:lang w:val="en-US"/>
        </w:rPr>
        <w:t xml:space="preserve">. It also </w:t>
      </w:r>
      <w:r w:rsidR="00F65772" w:rsidRPr="00813D19">
        <w:rPr>
          <w:lang w:val="en-US"/>
        </w:rPr>
        <w:t>express</w:t>
      </w:r>
      <w:r w:rsidR="001A012C" w:rsidRPr="00813D19">
        <w:rPr>
          <w:lang w:val="en-US"/>
        </w:rPr>
        <w:t>ed</w:t>
      </w:r>
      <w:r w:rsidR="00F65772" w:rsidRPr="00813D19">
        <w:rPr>
          <w:lang w:val="en-US"/>
        </w:rPr>
        <w:t xml:space="preserve"> </w:t>
      </w:r>
      <w:r w:rsidR="009050EA">
        <w:rPr>
          <w:lang w:val="en-US"/>
        </w:rPr>
        <w:t xml:space="preserve">its </w:t>
      </w:r>
      <w:r w:rsidR="00F65772" w:rsidRPr="00813D19">
        <w:rPr>
          <w:lang w:val="en-US"/>
        </w:rPr>
        <w:t xml:space="preserve">gratitude to the Evaluation Body for </w:t>
      </w:r>
      <w:r w:rsidR="001A012C" w:rsidRPr="00813D19">
        <w:rPr>
          <w:lang w:val="en-US"/>
        </w:rPr>
        <w:t xml:space="preserve">its </w:t>
      </w:r>
      <w:r w:rsidR="00F65772" w:rsidRPr="00813D19">
        <w:rPr>
          <w:lang w:val="en-US"/>
        </w:rPr>
        <w:t>kind support</w:t>
      </w:r>
      <w:r w:rsidR="001A012C" w:rsidRPr="00813D19">
        <w:rPr>
          <w:lang w:val="en-US"/>
        </w:rPr>
        <w:t>,</w:t>
      </w:r>
      <w:r w:rsidR="00F65772" w:rsidRPr="00813D19">
        <w:rPr>
          <w:lang w:val="en-US"/>
        </w:rPr>
        <w:t xml:space="preserve"> </w:t>
      </w:r>
      <w:r w:rsidR="001A012C" w:rsidRPr="00813D19">
        <w:rPr>
          <w:lang w:val="en-US"/>
        </w:rPr>
        <w:t xml:space="preserve">adding that it was with </w:t>
      </w:r>
      <w:r w:rsidR="00F65772" w:rsidRPr="00813D19">
        <w:rPr>
          <w:lang w:val="en-US"/>
        </w:rPr>
        <w:t xml:space="preserve">great pleasure that </w:t>
      </w:r>
      <w:r w:rsidR="001A012C" w:rsidRPr="00813D19">
        <w:rPr>
          <w:lang w:val="en-US"/>
        </w:rPr>
        <w:t xml:space="preserve">the element was inscribed on </w:t>
      </w:r>
      <w:r w:rsidR="00A95F73" w:rsidRPr="00813D19">
        <w:rPr>
          <w:lang w:val="en-US"/>
        </w:rPr>
        <w:t xml:space="preserve">the Representative List, which was </w:t>
      </w:r>
      <w:r w:rsidR="00F65772" w:rsidRPr="00813D19">
        <w:rPr>
          <w:lang w:val="en-US"/>
        </w:rPr>
        <w:t xml:space="preserve">very important to Tajikistan. </w:t>
      </w:r>
      <w:r w:rsidR="00A95F73" w:rsidRPr="00813D19">
        <w:rPr>
          <w:lang w:val="en-US"/>
        </w:rPr>
        <w:t xml:space="preserve">The delegation </w:t>
      </w:r>
      <w:r w:rsidR="00F65772" w:rsidRPr="00813D19">
        <w:rPr>
          <w:lang w:val="en-US"/>
        </w:rPr>
        <w:t>underline</w:t>
      </w:r>
      <w:r w:rsidR="00A95F73" w:rsidRPr="00813D19">
        <w:rPr>
          <w:lang w:val="en-US"/>
        </w:rPr>
        <w:t>d</w:t>
      </w:r>
      <w:r w:rsidR="00F65772" w:rsidRPr="00813D19">
        <w:rPr>
          <w:lang w:val="en-US"/>
        </w:rPr>
        <w:t xml:space="preserve"> that </w:t>
      </w:r>
      <w:r w:rsidR="00A95F73" w:rsidRPr="00813D19">
        <w:rPr>
          <w:lang w:val="en-US"/>
        </w:rPr>
        <w:t xml:space="preserve">2018 </w:t>
      </w:r>
      <w:r w:rsidR="009050EA">
        <w:rPr>
          <w:lang w:val="en-US"/>
        </w:rPr>
        <w:t>had been</w:t>
      </w:r>
      <w:r w:rsidR="009050EA" w:rsidRPr="00813D19">
        <w:rPr>
          <w:lang w:val="en-US"/>
        </w:rPr>
        <w:t xml:space="preserve"> </w:t>
      </w:r>
      <w:r w:rsidR="00A95F73" w:rsidRPr="00813D19">
        <w:rPr>
          <w:lang w:val="en-US"/>
        </w:rPr>
        <w:t>proclaimed by the P</w:t>
      </w:r>
      <w:r w:rsidR="00F65772" w:rsidRPr="00813D19">
        <w:rPr>
          <w:lang w:val="en-US"/>
        </w:rPr>
        <w:t>resident of the Republic of Taj</w:t>
      </w:r>
      <w:r w:rsidR="00A95F73" w:rsidRPr="00813D19">
        <w:rPr>
          <w:lang w:val="en-US"/>
        </w:rPr>
        <w:t>ikistan, H</w:t>
      </w:r>
      <w:r w:rsidR="00F65772" w:rsidRPr="00813D19">
        <w:rPr>
          <w:lang w:val="en-US"/>
        </w:rPr>
        <w:t xml:space="preserve">is Excellency </w:t>
      </w:r>
      <w:r w:rsidR="00F65772" w:rsidRPr="00813D19">
        <w:rPr>
          <w:bCs/>
          <w:lang w:val="en-US"/>
        </w:rPr>
        <w:t>Emomali Rahmon, as the year of tourism, development</w:t>
      </w:r>
      <w:r w:rsidR="00780F43" w:rsidRPr="00813D19">
        <w:rPr>
          <w:bCs/>
          <w:lang w:val="en-US"/>
        </w:rPr>
        <w:t xml:space="preserve"> and folk craft, adding that the acceptance of C</w:t>
      </w:r>
      <w:r w:rsidR="00F65772" w:rsidRPr="00813D19">
        <w:rPr>
          <w:bCs/>
          <w:lang w:val="en-US"/>
        </w:rPr>
        <w:t xml:space="preserve">hakan </w:t>
      </w:r>
      <w:r w:rsidR="00780F43" w:rsidRPr="00813D19">
        <w:rPr>
          <w:bCs/>
          <w:lang w:val="en-US"/>
        </w:rPr>
        <w:t xml:space="preserve">was </w:t>
      </w:r>
      <w:r w:rsidR="00F65772" w:rsidRPr="00813D19">
        <w:rPr>
          <w:bCs/>
          <w:lang w:val="en-US"/>
        </w:rPr>
        <w:t xml:space="preserve">a highly appreciated gift for </w:t>
      </w:r>
      <w:r w:rsidR="00F65772" w:rsidRPr="00813D19">
        <w:rPr>
          <w:lang w:val="en-US"/>
        </w:rPr>
        <w:t xml:space="preserve">Tajikistan. </w:t>
      </w:r>
      <w:r w:rsidR="00780F43" w:rsidRPr="00813D19">
        <w:rPr>
          <w:lang w:val="en-US"/>
        </w:rPr>
        <w:t xml:space="preserve">Its </w:t>
      </w:r>
      <w:r w:rsidR="00F65772" w:rsidRPr="00813D19">
        <w:rPr>
          <w:lang w:val="en-US"/>
        </w:rPr>
        <w:t xml:space="preserve">inscription not only </w:t>
      </w:r>
      <w:r w:rsidR="009050EA" w:rsidRPr="00813D19">
        <w:rPr>
          <w:lang w:val="en-US"/>
        </w:rPr>
        <w:t xml:space="preserve">contributed </w:t>
      </w:r>
      <w:r w:rsidR="00780F43" w:rsidRPr="00813D19">
        <w:rPr>
          <w:lang w:val="en-US"/>
        </w:rPr>
        <w:t xml:space="preserve">to </w:t>
      </w:r>
      <w:r w:rsidR="00F65772" w:rsidRPr="00813D19">
        <w:rPr>
          <w:lang w:val="en-US"/>
        </w:rPr>
        <w:t xml:space="preserve">raising awareness about </w:t>
      </w:r>
      <w:r w:rsidR="00780F43" w:rsidRPr="00813D19">
        <w:rPr>
          <w:lang w:val="en-US"/>
        </w:rPr>
        <w:t xml:space="preserve">a </w:t>
      </w:r>
      <w:r w:rsidR="00F65772" w:rsidRPr="00813D19">
        <w:rPr>
          <w:lang w:val="en-US"/>
        </w:rPr>
        <w:t xml:space="preserve">Tajik traditional craft </w:t>
      </w:r>
      <w:r w:rsidR="00780F43" w:rsidRPr="00813D19">
        <w:rPr>
          <w:lang w:val="en-US"/>
        </w:rPr>
        <w:t xml:space="preserve">in </w:t>
      </w:r>
      <w:r w:rsidR="00F65772" w:rsidRPr="00813D19">
        <w:rPr>
          <w:lang w:val="en-US"/>
        </w:rPr>
        <w:t xml:space="preserve">the world but also </w:t>
      </w:r>
      <w:r w:rsidR="00780F43" w:rsidRPr="00813D19">
        <w:rPr>
          <w:lang w:val="en-US"/>
        </w:rPr>
        <w:t>promoted</w:t>
      </w:r>
      <w:r w:rsidR="00F65772" w:rsidRPr="00813D19">
        <w:rPr>
          <w:lang w:val="en-US"/>
        </w:rPr>
        <w:t xml:space="preserve"> the popularization of the Convention and </w:t>
      </w:r>
      <w:r w:rsidR="00780F43" w:rsidRPr="00813D19">
        <w:rPr>
          <w:lang w:val="en-US"/>
        </w:rPr>
        <w:t>the implementation of its goals. A</w:t>
      </w:r>
      <w:r w:rsidR="00F65772" w:rsidRPr="00813D19">
        <w:rPr>
          <w:lang w:val="en-US"/>
        </w:rPr>
        <w:t xml:space="preserve"> small exhibition </w:t>
      </w:r>
      <w:r w:rsidR="00780F43" w:rsidRPr="00813D19">
        <w:rPr>
          <w:lang w:val="en-US"/>
        </w:rPr>
        <w:t>had been planned during the session</w:t>
      </w:r>
      <w:r w:rsidR="003D53B3">
        <w:rPr>
          <w:lang w:val="en-US"/>
        </w:rPr>
        <w:t>.</w:t>
      </w:r>
    </w:p>
    <w:p w14:paraId="7AA0EF0E" w14:textId="40D7DD7C" w:rsidR="00A9557C" w:rsidRPr="00813D19" w:rsidRDefault="00BB01E7" w:rsidP="001F2193">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9050EA">
        <w:rPr>
          <w:color w:val="000000" w:themeColor="text1"/>
          <w:lang w:val="en-US"/>
        </w:rPr>
        <w:t>,</w:t>
      </w:r>
      <w:r w:rsidRPr="00813D19">
        <w:rPr>
          <w:color w:val="000000" w:themeColor="text1"/>
          <w:lang w:val="en-US"/>
        </w:rPr>
        <w:t xml:space="preserve"> </w:t>
      </w:r>
      <w:r w:rsidRPr="00813D19">
        <w:rPr>
          <w:b/>
          <w:color w:val="000000" w:themeColor="text1"/>
          <w:lang w:val="en-US"/>
        </w:rPr>
        <w:t xml:space="preserve">Khon, masked dance drama in Thailand </w:t>
      </w:r>
      <w:r w:rsidRPr="00813D19">
        <w:rPr>
          <w:color w:val="000000" w:themeColor="text1"/>
          <w:lang w:val="en-US"/>
        </w:rPr>
        <w:t>[draft decision 13.COM 10.b.37]</w:t>
      </w:r>
      <w:r w:rsidR="009050EA">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Thailand.</w:t>
      </w:r>
      <w:r w:rsidRPr="00813D19">
        <w:rPr>
          <w:color w:val="000000" w:themeColor="text1"/>
          <w:lang w:val="en-US"/>
        </w:rPr>
        <w:t xml:space="preserve"> </w:t>
      </w:r>
      <w:r w:rsidR="00A9557C" w:rsidRPr="00813D19">
        <w:rPr>
          <w:lang w:val="en-US"/>
        </w:rPr>
        <w:t>Khon, the Khon</w:t>
      </w:r>
      <w:r w:rsidR="00976948" w:rsidRPr="00813D19">
        <w:rPr>
          <w:lang w:val="en-US"/>
        </w:rPr>
        <w:t xml:space="preserve"> Masked Dance Drama in Thailand</w:t>
      </w:r>
      <w:r w:rsidR="00A9557C" w:rsidRPr="00813D19">
        <w:rPr>
          <w:lang w:val="en-US"/>
        </w:rPr>
        <w:t xml:space="preserve"> is a performing art that combines musical, vocal, literary, dance, ritual and handicraft elements. Khon performances depict the glory of Rama, the hero an</w:t>
      </w:r>
      <w:r w:rsidR="00A96C8E" w:rsidRPr="00813D19">
        <w:rPr>
          <w:lang w:val="en-US"/>
        </w:rPr>
        <w:t>d incarnation of the god Vishnu</w:t>
      </w:r>
      <w:r w:rsidR="00A9557C" w:rsidRPr="00813D19">
        <w:rPr>
          <w:lang w:val="en-US"/>
        </w:rPr>
        <w:t xml:space="preserve"> who brings order and justice to the world.</w:t>
      </w:r>
      <w:r w:rsidR="00C963AC" w:rsidRPr="00813D19">
        <w:rPr>
          <w:lang w:val="en-US"/>
        </w:rPr>
        <w:t xml:space="preserve"> </w:t>
      </w:r>
      <w:r w:rsidR="00A9557C" w:rsidRPr="00813D19">
        <w:rPr>
          <w:lang w:val="en-US"/>
        </w:rPr>
        <w:t>From the information included in th</w:t>
      </w:r>
      <w:r w:rsidR="001F2193" w:rsidRPr="00813D19">
        <w:rPr>
          <w:lang w:val="en-US"/>
        </w:rPr>
        <w:t>e file, the nomination satisfied</w:t>
      </w:r>
      <w:r w:rsidR="00A9557C" w:rsidRPr="00813D19">
        <w:rPr>
          <w:lang w:val="en-US"/>
        </w:rPr>
        <w:t xml:space="preserve"> all five criteria. The Evaluation Body considered that</w:t>
      </w:r>
      <w:r w:rsidR="00A9557C" w:rsidRPr="00813D19">
        <w:rPr>
          <w:b/>
          <w:lang w:val="en-US"/>
        </w:rPr>
        <w:t xml:space="preserve"> </w:t>
      </w:r>
      <w:r w:rsidR="00A9557C" w:rsidRPr="00813D19">
        <w:rPr>
          <w:lang w:val="en-US"/>
        </w:rPr>
        <w:t>Khon, masked dance drama in Thailand represents the spiritu</w:t>
      </w:r>
      <w:r w:rsidR="00976948" w:rsidRPr="00813D19">
        <w:rPr>
          <w:lang w:val="en-US"/>
        </w:rPr>
        <w:t xml:space="preserve">al and value system of Thailand, </w:t>
      </w:r>
      <w:r w:rsidR="00A9557C" w:rsidRPr="00813D19">
        <w:rPr>
          <w:lang w:val="en-US"/>
        </w:rPr>
        <w:t>as well as the hierarchy within the Thai nation, transmitting shared moral principles and reinforcing a sense of continuity with the past and cultural identity. The inscription of the element would help raise awareness about the importance of intangible cultural heritage and the need to safeguard all its components. The safeguarding measures focus</w:t>
      </w:r>
      <w:r w:rsidR="008246D1" w:rsidRPr="00813D19">
        <w:rPr>
          <w:lang w:val="en-US"/>
        </w:rPr>
        <w:t>ed</w:t>
      </w:r>
      <w:r w:rsidR="00A9557C" w:rsidRPr="00813D19">
        <w:rPr>
          <w:lang w:val="en-US"/>
        </w:rPr>
        <w:t xml:space="preserve"> on state-funded education of dancers and other performers, documentation and the dissemination of related knowledge to performers and the public. The element </w:t>
      </w:r>
      <w:r w:rsidR="009050EA">
        <w:rPr>
          <w:lang w:val="en-US"/>
        </w:rPr>
        <w:t>had been</w:t>
      </w:r>
      <w:r w:rsidR="00A9557C" w:rsidRPr="00813D19">
        <w:rPr>
          <w:lang w:val="en-US"/>
        </w:rPr>
        <w:t xml:space="preserve"> nominated with the broad participation of artists, researchers, state and private institutions and relevant communities.</w:t>
      </w:r>
      <w:r w:rsidR="001F2193" w:rsidRPr="00813D19">
        <w:rPr>
          <w:lang w:val="en-US"/>
        </w:rPr>
        <w:t xml:space="preserve"> </w:t>
      </w:r>
      <w:r w:rsidR="00A9557C" w:rsidRPr="00813D19">
        <w:rPr>
          <w:lang w:val="en-US"/>
        </w:rPr>
        <w:t>The Evaluation Body commend</w:t>
      </w:r>
      <w:r w:rsidR="001F2193" w:rsidRPr="00813D19">
        <w:rPr>
          <w:lang w:val="en-US"/>
        </w:rPr>
        <w:t>ed</w:t>
      </w:r>
      <w:r w:rsidR="00A9557C" w:rsidRPr="00813D19">
        <w:rPr>
          <w:lang w:val="en-US"/>
        </w:rPr>
        <w:t xml:space="preserve"> the State Party for its first </w:t>
      </w:r>
      <w:r w:rsidR="006B75BD" w:rsidRPr="00813D19">
        <w:rPr>
          <w:bCs/>
          <w:lang w:val="en-US"/>
        </w:rPr>
        <w:t xml:space="preserve">nomination </w:t>
      </w:r>
      <w:r w:rsidR="006B75BD" w:rsidRPr="00813D19">
        <w:rPr>
          <w:lang w:val="en-US"/>
        </w:rPr>
        <w:t>and recommended</w:t>
      </w:r>
      <w:r w:rsidR="001F2193" w:rsidRPr="00813D19">
        <w:rPr>
          <w:lang w:val="en-US"/>
        </w:rPr>
        <w:t xml:space="preserve"> that the Committee inscribe Khon, masked dance drama in Thailand on the Representative List.</w:t>
      </w:r>
    </w:p>
    <w:p w14:paraId="6F67F4B4" w14:textId="77777777" w:rsidR="003049F1" w:rsidRPr="00813D19" w:rsidRDefault="003049F1" w:rsidP="003049F1">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78D98061" w14:textId="3E1A840B" w:rsidR="006B75BD" w:rsidRPr="003D53B3" w:rsidRDefault="003049F1" w:rsidP="003049F1">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6B75BD" w:rsidRPr="00813D19">
        <w:rPr>
          <w:b/>
          <w:lang w:val="en-US"/>
        </w:rPr>
        <w:t xml:space="preserve">Chairperson declared Decision </w:t>
      </w:r>
      <w:hyperlink r:id="rId135" w:history="1">
        <w:r w:rsidR="006B75BD" w:rsidRPr="00813D19">
          <w:rPr>
            <w:rStyle w:val="Hyperlink"/>
            <w:b/>
            <w:lang w:val="en-US"/>
          </w:rPr>
          <w:t>13.COM 10.b.37</w:t>
        </w:r>
      </w:hyperlink>
      <w:r w:rsidR="006B75BD" w:rsidRPr="00813D19">
        <w:rPr>
          <w:b/>
          <w:lang w:val="en-US"/>
        </w:rPr>
        <w:t xml:space="preserve"> adopted to inscribe </w:t>
      </w:r>
      <w:r w:rsidR="006B75BD" w:rsidRPr="00813D19">
        <w:rPr>
          <w:b/>
          <w:color w:val="000000" w:themeColor="text1"/>
          <w:lang w:val="en-US"/>
        </w:rPr>
        <w:t>Khon, masked dance drama in Thailand on the Representative List</w:t>
      </w:r>
      <w:r w:rsidR="006B75BD" w:rsidRPr="003D53B3">
        <w:rPr>
          <w:bCs/>
          <w:snapToGrid/>
          <w:color w:val="000000" w:themeColor="text1"/>
          <w:lang w:val="en-US"/>
        </w:rPr>
        <w:t>.</w:t>
      </w:r>
    </w:p>
    <w:p w14:paraId="6A1D15C8" w14:textId="3458ACDF" w:rsidR="006B75BD" w:rsidRPr="00813D19" w:rsidRDefault="00D86192" w:rsidP="001F2193">
      <w:pPr>
        <w:pStyle w:val="Orateurengris"/>
        <w:spacing w:before="120"/>
        <w:ind w:left="709" w:hanging="709"/>
        <w:rPr>
          <w:lang w:val="en-US"/>
        </w:rPr>
      </w:pPr>
      <w:r w:rsidRPr="00813D19">
        <w:rPr>
          <w:lang w:val="en-US"/>
        </w:rPr>
        <w:t xml:space="preserve">The </w:t>
      </w:r>
      <w:r w:rsidRPr="00813D19">
        <w:rPr>
          <w:b/>
          <w:lang w:val="en-US"/>
        </w:rPr>
        <w:t>delegation of Thailand</w:t>
      </w:r>
      <w:r w:rsidR="006C23DC" w:rsidRPr="00813D19">
        <w:rPr>
          <w:b/>
          <w:lang w:val="en-US"/>
        </w:rPr>
        <w:t xml:space="preserve"> </w:t>
      </w:r>
      <w:r w:rsidR="00026827" w:rsidRPr="00813D19">
        <w:rPr>
          <w:lang w:val="en-US"/>
        </w:rPr>
        <w:t>spoke on</w:t>
      </w:r>
      <w:r w:rsidR="00026827" w:rsidRPr="00813D19">
        <w:rPr>
          <w:b/>
          <w:lang w:val="en-US"/>
        </w:rPr>
        <w:t xml:space="preserve"> </w:t>
      </w:r>
      <w:r w:rsidR="00F65772" w:rsidRPr="00813D19">
        <w:rPr>
          <w:lang w:val="en-US"/>
        </w:rPr>
        <w:t xml:space="preserve">behalf of the Thai people and the </w:t>
      </w:r>
      <w:r w:rsidR="00026827" w:rsidRPr="00813D19">
        <w:rPr>
          <w:lang w:val="en-US"/>
        </w:rPr>
        <w:t>G</w:t>
      </w:r>
      <w:r w:rsidR="00F65772" w:rsidRPr="00813D19">
        <w:rPr>
          <w:lang w:val="en-US"/>
        </w:rPr>
        <w:t xml:space="preserve">overnment to thank Mauritius for </w:t>
      </w:r>
      <w:r w:rsidR="00026827" w:rsidRPr="00813D19">
        <w:rPr>
          <w:lang w:val="en-US"/>
        </w:rPr>
        <w:t xml:space="preserve">its </w:t>
      </w:r>
      <w:r w:rsidR="00F65772" w:rsidRPr="00813D19">
        <w:rPr>
          <w:lang w:val="en-US"/>
        </w:rPr>
        <w:t xml:space="preserve">warm hospitality. </w:t>
      </w:r>
      <w:r w:rsidR="00026827" w:rsidRPr="00813D19">
        <w:rPr>
          <w:lang w:val="en-US"/>
        </w:rPr>
        <w:t xml:space="preserve">It also </w:t>
      </w:r>
      <w:r w:rsidR="00F65772" w:rsidRPr="00813D19">
        <w:rPr>
          <w:lang w:val="en-US"/>
        </w:rPr>
        <w:t>thank</w:t>
      </w:r>
      <w:r w:rsidR="00026827" w:rsidRPr="00813D19">
        <w:rPr>
          <w:lang w:val="en-US"/>
        </w:rPr>
        <w:t>ed</w:t>
      </w:r>
      <w:r w:rsidR="00F65772" w:rsidRPr="00813D19">
        <w:rPr>
          <w:lang w:val="en-US"/>
        </w:rPr>
        <w:t xml:space="preserve"> the Chairperson, the Evaluation Body and the Committee for the inscription of Khon, masked dance drama in Thailand on the Representative List. </w:t>
      </w:r>
      <w:r w:rsidR="00026827" w:rsidRPr="00813D19">
        <w:rPr>
          <w:lang w:val="en-US"/>
        </w:rPr>
        <w:t xml:space="preserve">The delegation was </w:t>
      </w:r>
      <w:r w:rsidR="00F65772" w:rsidRPr="00813D19">
        <w:rPr>
          <w:lang w:val="en-US"/>
        </w:rPr>
        <w:t xml:space="preserve">proud that this </w:t>
      </w:r>
      <w:r w:rsidR="00026827" w:rsidRPr="00813D19">
        <w:rPr>
          <w:lang w:val="en-US"/>
        </w:rPr>
        <w:t xml:space="preserve">was its </w:t>
      </w:r>
      <w:r w:rsidR="00F65772" w:rsidRPr="00813D19">
        <w:rPr>
          <w:lang w:val="en-US"/>
        </w:rPr>
        <w:t xml:space="preserve">first inscription and it </w:t>
      </w:r>
      <w:r w:rsidR="00C17117">
        <w:rPr>
          <w:lang w:val="en-US"/>
        </w:rPr>
        <w:t xml:space="preserve">would </w:t>
      </w:r>
      <w:r w:rsidR="00F65772" w:rsidRPr="00813D19">
        <w:rPr>
          <w:lang w:val="en-US"/>
        </w:rPr>
        <w:t xml:space="preserve">certainly raise awareness and encourage all the multiple </w:t>
      </w:r>
      <w:r w:rsidR="00026827" w:rsidRPr="00813D19">
        <w:rPr>
          <w:lang w:val="en-US"/>
        </w:rPr>
        <w:t xml:space="preserve">Khon </w:t>
      </w:r>
      <w:r w:rsidR="00F65772" w:rsidRPr="00813D19">
        <w:rPr>
          <w:lang w:val="en-US"/>
        </w:rPr>
        <w:t>commu</w:t>
      </w:r>
      <w:r w:rsidR="00026827" w:rsidRPr="00813D19">
        <w:rPr>
          <w:lang w:val="en-US"/>
        </w:rPr>
        <w:t>nities</w:t>
      </w:r>
      <w:r w:rsidR="00F65772" w:rsidRPr="00813D19">
        <w:rPr>
          <w:lang w:val="en-US"/>
        </w:rPr>
        <w:t xml:space="preserve"> to safeguard and promote K</w:t>
      </w:r>
      <w:r w:rsidR="00026827" w:rsidRPr="00813D19">
        <w:rPr>
          <w:lang w:val="en-US"/>
        </w:rPr>
        <w:t xml:space="preserve">hon for future generations, as well as </w:t>
      </w:r>
      <w:r w:rsidR="00F65772" w:rsidRPr="00813D19">
        <w:rPr>
          <w:lang w:val="en-US"/>
        </w:rPr>
        <w:t xml:space="preserve">contribute to cultural diversity in the world. </w:t>
      </w:r>
      <w:r w:rsidR="00026827" w:rsidRPr="00813D19">
        <w:rPr>
          <w:lang w:val="en-US"/>
        </w:rPr>
        <w:t xml:space="preserve">The delegation thanked </w:t>
      </w:r>
      <w:r w:rsidR="00F65772" w:rsidRPr="00813D19">
        <w:rPr>
          <w:lang w:val="en-US"/>
        </w:rPr>
        <w:t xml:space="preserve">the Secretariat for </w:t>
      </w:r>
      <w:r w:rsidR="00026827" w:rsidRPr="00813D19">
        <w:rPr>
          <w:lang w:val="en-US"/>
        </w:rPr>
        <w:t xml:space="preserve">its </w:t>
      </w:r>
      <w:r w:rsidR="00F65772" w:rsidRPr="00813D19">
        <w:rPr>
          <w:lang w:val="en-US"/>
        </w:rPr>
        <w:t>hard work</w:t>
      </w:r>
      <w:r w:rsidR="00026827" w:rsidRPr="00813D19">
        <w:rPr>
          <w:lang w:val="en-US"/>
        </w:rPr>
        <w:t>.</w:t>
      </w:r>
    </w:p>
    <w:p w14:paraId="46810BD9" w14:textId="0038DCE1" w:rsidR="00495940" w:rsidRPr="00813D19" w:rsidRDefault="00495940" w:rsidP="003D53B3">
      <w:pPr>
        <w:pStyle w:val="Orateurengris"/>
        <w:numPr>
          <w:ilvl w:val="0"/>
          <w:numId w:val="0"/>
        </w:numPr>
        <w:spacing w:before="240" w:after="240"/>
        <w:jc w:val="center"/>
        <w:rPr>
          <w:i/>
          <w:lang w:val="en-US"/>
        </w:rPr>
      </w:pPr>
      <w:r w:rsidRPr="00813D19">
        <w:rPr>
          <w:i/>
          <w:lang w:val="en-US"/>
        </w:rPr>
        <w:t xml:space="preserve">[Live performance of </w:t>
      </w:r>
      <w:r w:rsidRPr="00813D19">
        <w:rPr>
          <w:i/>
          <w:color w:val="000000" w:themeColor="text1"/>
          <w:lang w:val="en-US"/>
        </w:rPr>
        <w:t>Khon, masked dance drama]</w:t>
      </w:r>
    </w:p>
    <w:p w14:paraId="47D0F309" w14:textId="3E2DB72D" w:rsidR="00A9557C" w:rsidRPr="00813D19" w:rsidRDefault="009C28C4" w:rsidP="00495940">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826D20">
        <w:rPr>
          <w:color w:val="000000" w:themeColor="text1"/>
          <w:lang w:val="en-US"/>
        </w:rPr>
        <w:t>,</w:t>
      </w:r>
      <w:r w:rsidRPr="00813D19">
        <w:rPr>
          <w:color w:val="000000" w:themeColor="text1"/>
          <w:lang w:val="en-US"/>
        </w:rPr>
        <w:t xml:space="preserve"> </w:t>
      </w:r>
      <w:r w:rsidRPr="00813D19">
        <w:rPr>
          <w:b/>
          <w:color w:val="000000" w:themeColor="text1"/>
          <w:lang w:val="en-US"/>
        </w:rPr>
        <w:t xml:space="preserve">Pottery skills of the women of Sejnane </w:t>
      </w:r>
      <w:r w:rsidRPr="00813D19">
        <w:rPr>
          <w:color w:val="000000" w:themeColor="text1"/>
          <w:lang w:val="en-US"/>
        </w:rPr>
        <w:t xml:space="preserve">[draft decision </w:t>
      </w:r>
      <w:r w:rsidR="00EF57E1" w:rsidRPr="00813D19">
        <w:rPr>
          <w:color w:val="000000" w:themeColor="text1"/>
          <w:lang w:val="en-US"/>
        </w:rPr>
        <w:t>13.COM 10.b.38</w:t>
      </w:r>
      <w:r w:rsidRPr="00813D19">
        <w:rPr>
          <w:color w:val="000000" w:themeColor="text1"/>
          <w:lang w:val="en-US"/>
        </w:rPr>
        <w:t>]</w:t>
      </w:r>
      <w:r w:rsidR="00826D20">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Tunisia.</w:t>
      </w:r>
      <w:r w:rsidRPr="00813D19">
        <w:rPr>
          <w:color w:val="000000" w:themeColor="text1"/>
          <w:lang w:val="en-US"/>
        </w:rPr>
        <w:t xml:space="preserve"> </w:t>
      </w:r>
      <w:r w:rsidR="00A9557C" w:rsidRPr="00813D19">
        <w:rPr>
          <w:lang w:val="en-US"/>
        </w:rPr>
        <w:t>The pottery skills of the women of Sejnane relate to the practice of using a specific technique to produce terracotta artefacts for the home, including cooking utensils, dolls and animal figurines inspired by the environment. Men are involved in the sales process, making this a family-based craft that promotes family cohesion.</w:t>
      </w:r>
      <w:r w:rsidR="00994A35" w:rsidRPr="00813D19">
        <w:rPr>
          <w:lang w:val="en-US"/>
        </w:rPr>
        <w:t xml:space="preserve"> </w:t>
      </w:r>
      <w:r w:rsidR="00A9557C" w:rsidRPr="00813D19">
        <w:rPr>
          <w:lang w:val="en-US"/>
        </w:rPr>
        <w:t>From the information included in th</w:t>
      </w:r>
      <w:r w:rsidR="008246D1" w:rsidRPr="00813D19">
        <w:rPr>
          <w:lang w:val="en-US"/>
        </w:rPr>
        <w:t>e file, the nomination satisfied</w:t>
      </w:r>
      <w:r w:rsidR="00A9557C" w:rsidRPr="00813D19">
        <w:rPr>
          <w:lang w:val="en-US"/>
        </w:rPr>
        <w:t xml:space="preserve"> all five criteria. The Evaluation Body considered that</w:t>
      </w:r>
      <w:r w:rsidR="00A9557C" w:rsidRPr="00813D19">
        <w:rPr>
          <w:b/>
          <w:lang w:val="en-US"/>
        </w:rPr>
        <w:t xml:space="preserve"> </w:t>
      </w:r>
      <w:r w:rsidR="00A9557C" w:rsidRPr="00813D19">
        <w:rPr>
          <w:lang w:val="en-US"/>
        </w:rPr>
        <w:t>Pottery making in Sejnane is a living tradition, deeply embedded in the life of the community, and perceived as part of the local identity. It strengthens social relationsh</w:t>
      </w:r>
      <w:r w:rsidR="008246D1" w:rsidRPr="00813D19">
        <w:rPr>
          <w:lang w:val="en-US"/>
        </w:rPr>
        <w:t xml:space="preserve">ips within families as well as </w:t>
      </w:r>
      <w:r w:rsidR="00A9557C" w:rsidRPr="00813D19">
        <w:rPr>
          <w:lang w:val="en-US"/>
        </w:rPr>
        <w:t>wider society through the principles of cooperation and solidarity. The inscription of the element could highlight the close link between sustainable development and cultural identity</w:t>
      </w:r>
      <w:r w:rsidR="008246D1" w:rsidRPr="00813D19">
        <w:rPr>
          <w:lang w:val="en-US"/>
        </w:rPr>
        <w:t>. The proposed measures included</w:t>
      </w:r>
      <w:r w:rsidR="00A9557C" w:rsidRPr="00813D19">
        <w:rPr>
          <w:lang w:val="en-US"/>
        </w:rPr>
        <w:t xml:space="preserve"> education</w:t>
      </w:r>
      <w:r w:rsidR="008246D1" w:rsidRPr="00813D19">
        <w:rPr>
          <w:lang w:val="en-US"/>
        </w:rPr>
        <w:t xml:space="preserve"> and the transmission of skills, documentation and research,</w:t>
      </w:r>
      <w:r w:rsidR="00A9557C" w:rsidRPr="00813D19">
        <w:rPr>
          <w:lang w:val="en-US"/>
        </w:rPr>
        <w:t xml:space="preserve"> </w:t>
      </w:r>
      <w:r w:rsidR="008246D1" w:rsidRPr="00813D19">
        <w:rPr>
          <w:lang w:val="en-US"/>
        </w:rPr>
        <w:t xml:space="preserve">the </w:t>
      </w:r>
      <w:r w:rsidR="00A9557C" w:rsidRPr="00813D19">
        <w:rPr>
          <w:lang w:val="en-US"/>
        </w:rPr>
        <w:t>supply of material</w:t>
      </w:r>
      <w:r w:rsidR="008246D1" w:rsidRPr="00813D19">
        <w:rPr>
          <w:lang w:val="en-US"/>
        </w:rPr>
        <w:t>s</w:t>
      </w:r>
      <w:r w:rsidR="00A9557C" w:rsidRPr="00813D19">
        <w:rPr>
          <w:lang w:val="en-US"/>
        </w:rPr>
        <w:t>, finding new marketing channels</w:t>
      </w:r>
      <w:r w:rsidR="008246D1" w:rsidRPr="00813D19">
        <w:rPr>
          <w:lang w:val="en-US"/>
        </w:rPr>
        <w:t>,</w:t>
      </w:r>
      <w:r w:rsidR="00A9557C" w:rsidRPr="00813D19">
        <w:rPr>
          <w:lang w:val="en-US"/>
        </w:rPr>
        <w:t xml:space="preserve"> or adopting an excellence labelling programme aimed at maintaining </w:t>
      </w:r>
      <w:r w:rsidR="008246D1" w:rsidRPr="00813D19">
        <w:rPr>
          <w:lang w:val="en-US"/>
        </w:rPr>
        <w:t xml:space="preserve">the </w:t>
      </w:r>
      <w:r w:rsidR="00A9557C" w:rsidRPr="00813D19">
        <w:rPr>
          <w:lang w:val="en-US"/>
        </w:rPr>
        <w:t>high standards of production. The file was prepared with the participation of represent</w:t>
      </w:r>
      <w:r w:rsidR="008246D1" w:rsidRPr="00813D19">
        <w:rPr>
          <w:lang w:val="en-US"/>
        </w:rPr>
        <w:t>ative associations, government</w:t>
      </w:r>
      <w:r w:rsidR="00A9557C" w:rsidRPr="00813D19">
        <w:rPr>
          <w:lang w:val="en-US"/>
        </w:rPr>
        <w:t xml:space="preserve"> authorities, universities and experts.</w:t>
      </w:r>
      <w:r w:rsidR="00994A35" w:rsidRPr="00813D19">
        <w:rPr>
          <w:lang w:val="en-US"/>
        </w:rPr>
        <w:t xml:space="preserve"> </w:t>
      </w:r>
      <w:r w:rsidR="00A9557C" w:rsidRPr="00813D19">
        <w:rPr>
          <w:lang w:val="en-US"/>
        </w:rPr>
        <w:t xml:space="preserve">The Evaluation Body </w:t>
      </w:r>
      <w:r w:rsidR="00A9557C" w:rsidRPr="00813D19">
        <w:rPr>
          <w:bCs/>
          <w:lang w:val="en-US"/>
        </w:rPr>
        <w:t>invite</w:t>
      </w:r>
      <w:r w:rsidR="00A50B68" w:rsidRPr="00813D19">
        <w:rPr>
          <w:bCs/>
          <w:lang w:val="en-US"/>
        </w:rPr>
        <w:t>d</w:t>
      </w:r>
      <w:r w:rsidR="00A9557C" w:rsidRPr="00813D19">
        <w:rPr>
          <w:bCs/>
          <w:lang w:val="en-US"/>
        </w:rPr>
        <w:t xml:space="preserve"> the State Party to </w:t>
      </w:r>
      <w:r w:rsidR="008246D1" w:rsidRPr="00813D19">
        <w:rPr>
          <w:bCs/>
          <w:lang w:val="en-US"/>
        </w:rPr>
        <w:t>consider</w:t>
      </w:r>
      <w:r w:rsidR="00A9557C" w:rsidRPr="00813D19">
        <w:rPr>
          <w:bCs/>
          <w:lang w:val="en-US"/>
        </w:rPr>
        <w:t xml:space="preserve"> the high risk of over-commercialization of the element and further </w:t>
      </w:r>
      <w:r w:rsidR="00A9557C" w:rsidRPr="00813D19">
        <w:rPr>
          <w:lang w:val="en-US"/>
        </w:rPr>
        <w:t>remind</w:t>
      </w:r>
      <w:r w:rsidR="00A50B68" w:rsidRPr="00813D19">
        <w:rPr>
          <w:lang w:val="en-US"/>
        </w:rPr>
        <w:t>ed</w:t>
      </w:r>
      <w:r w:rsidR="00A9557C" w:rsidRPr="00813D19">
        <w:rPr>
          <w:lang w:val="en-US"/>
        </w:rPr>
        <w:t xml:space="preserve"> </w:t>
      </w:r>
      <w:r w:rsidR="00826D20">
        <w:rPr>
          <w:lang w:val="en-US"/>
        </w:rPr>
        <w:t>it</w:t>
      </w:r>
      <w:r w:rsidR="00A9557C" w:rsidRPr="00813D19">
        <w:rPr>
          <w:lang w:val="en-US"/>
        </w:rPr>
        <w:t xml:space="preserve"> </w:t>
      </w:r>
      <w:r w:rsidR="008246D1" w:rsidRPr="00813D19">
        <w:rPr>
          <w:lang w:val="en-US"/>
        </w:rPr>
        <w:t xml:space="preserve">of the importance of </w:t>
      </w:r>
      <w:r w:rsidR="00A9557C" w:rsidRPr="00813D19">
        <w:rPr>
          <w:lang w:val="en-US"/>
        </w:rPr>
        <w:t xml:space="preserve">updating the </w:t>
      </w:r>
      <w:r w:rsidR="00A50B68" w:rsidRPr="00813D19">
        <w:rPr>
          <w:lang w:val="en-US"/>
        </w:rPr>
        <w:t>inventorying process, inviting</w:t>
      </w:r>
      <w:r w:rsidR="00A9557C" w:rsidRPr="00813D19">
        <w:rPr>
          <w:lang w:val="en-US"/>
        </w:rPr>
        <w:t xml:space="preserve"> it to include detailed information concerning this aspect in its next periodic report.</w:t>
      </w:r>
      <w:r w:rsidR="00994A35" w:rsidRPr="00813D19">
        <w:rPr>
          <w:lang w:val="en-US"/>
        </w:rPr>
        <w:t xml:space="preserve"> </w:t>
      </w:r>
      <w:r w:rsidR="00A50B68" w:rsidRPr="00813D19">
        <w:rPr>
          <w:lang w:val="en-US"/>
        </w:rPr>
        <w:t>The Evaluation Body recommended</w:t>
      </w:r>
      <w:r w:rsidR="00A9557C" w:rsidRPr="00813D19">
        <w:rPr>
          <w:lang w:val="en-US"/>
        </w:rPr>
        <w:t xml:space="preserve"> that the Committee inscribe Pottery skills of the women of Sejnane on the Representative List.</w:t>
      </w:r>
    </w:p>
    <w:p w14:paraId="52CC13AA" w14:textId="471B7D39" w:rsidR="0064618A" w:rsidRPr="003D53B3" w:rsidRDefault="00461CF7" w:rsidP="00461CF7">
      <w:pPr>
        <w:pStyle w:val="Orateurengris"/>
        <w:spacing w:before="120"/>
        <w:ind w:left="709" w:hanging="709"/>
        <w:rPr>
          <w:rFonts w:eastAsia="Times New Roman"/>
          <w:lang w:val="en-US"/>
        </w:rPr>
      </w:pPr>
      <w:r w:rsidRPr="00813D19">
        <w:rPr>
          <w:lang w:val="en-US"/>
        </w:rPr>
        <w:t xml:space="preserve">The </w:t>
      </w:r>
      <w:r w:rsidRPr="00813D19">
        <w:rPr>
          <w:b/>
          <w:lang w:val="en-US"/>
        </w:rPr>
        <w:t>Chairperson</w:t>
      </w:r>
      <w:r w:rsidRPr="00813D19">
        <w:rPr>
          <w:lang w:val="en-US"/>
        </w:rPr>
        <w:t xml:space="preserve"> noted that there were no amendments </w:t>
      </w:r>
      <w:r w:rsidR="008246D1" w:rsidRPr="00813D19">
        <w:rPr>
          <w:lang w:val="en-US"/>
        </w:rPr>
        <w:t>for this nomination</w:t>
      </w:r>
      <w:r w:rsidR="0064618A" w:rsidRPr="00813D19">
        <w:rPr>
          <w:lang w:val="en-US"/>
        </w:rPr>
        <w:t>.</w:t>
      </w:r>
    </w:p>
    <w:p w14:paraId="328BA3C0" w14:textId="0B4CB1D2" w:rsidR="0064618A" w:rsidRPr="003D53B3" w:rsidRDefault="0064618A" w:rsidP="00461CF7">
      <w:pPr>
        <w:pStyle w:val="Orateurengris"/>
        <w:spacing w:before="120"/>
        <w:ind w:left="709" w:hanging="709"/>
        <w:rPr>
          <w:rFonts w:eastAsia="Times New Roman"/>
          <w:lang w:val="en-US"/>
        </w:rPr>
      </w:pPr>
      <w:r w:rsidRPr="003D53B3">
        <w:rPr>
          <w:lang w:val="en-US"/>
        </w:rPr>
        <w:t xml:space="preserve">The </w:t>
      </w:r>
      <w:r w:rsidRPr="003D53B3">
        <w:rPr>
          <w:b/>
          <w:lang w:val="en-US"/>
        </w:rPr>
        <w:t>Secretary</w:t>
      </w:r>
      <w:r w:rsidRPr="003D53B3">
        <w:rPr>
          <w:lang w:val="en-US"/>
        </w:rPr>
        <w:t xml:space="preserve"> </w:t>
      </w:r>
      <w:r w:rsidR="00F65772" w:rsidRPr="003D53B3">
        <w:rPr>
          <w:bCs/>
          <w:lang w:val="en-US"/>
        </w:rPr>
        <w:t xml:space="preserve">briefly </w:t>
      </w:r>
      <w:r w:rsidR="00780F43" w:rsidRPr="003D53B3">
        <w:rPr>
          <w:bCs/>
          <w:lang w:val="en-US"/>
        </w:rPr>
        <w:t>interrupted to apologize for overlooking the inclusion of the standard</w:t>
      </w:r>
      <w:r w:rsidR="00F65772" w:rsidRPr="003D53B3">
        <w:rPr>
          <w:bCs/>
          <w:lang w:val="en-US"/>
        </w:rPr>
        <w:t xml:space="preserve"> paragraph </w:t>
      </w:r>
      <w:r w:rsidR="00780F43" w:rsidRPr="003D53B3">
        <w:rPr>
          <w:bCs/>
          <w:lang w:val="en-US"/>
        </w:rPr>
        <w:t>that commended</w:t>
      </w:r>
      <w:r w:rsidR="00F65772" w:rsidRPr="003D53B3">
        <w:rPr>
          <w:bCs/>
          <w:lang w:val="en-US"/>
        </w:rPr>
        <w:t xml:space="preserve"> the State Party </w:t>
      </w:r>
      <w:r w:rsidR="00780F43" w:rsidRPr="003D53B3">
        <w:rPr>
          <w:bCs/>
          <w:lang w:val="en-US"/>
        </w:rPr>
        <w:t xml:space="preserve">on </w:t>
      </w:r>
      <w:r w:rsidR="003D53B3">
        <w:rPr>
          <w:bCs/>
          <w:lang w:val="en-US"/>
        </w:rPr>
        <w:t>its first nomination.</w:t>
      </w:r>
    </w:p>
    <w:p w14:paraId="4501B54F" w14:textId="23755AFA" w:rsidR="00461CF7" w:rsidRPr="003D53B3" w:rsidRDefault="0064618A" w:rsidP="00461CF7">
      <w:pPr>
        <w:pStyle w:val="Orateurengris"/>
        <w:spacing w:before="120"/>
        <w:ind w:left="709" w:hanging="709"/>
        <w:rPr>
          <w:rFonts w:eastAsia="Times New Roman"/>
          <w:bCs/>
          <w:lang w:val="en-US"/>
        </w:rPr>
      </w:pPr>
      <w:r w:rsidRPr="00813D19">
        <w:rPr>
          <w:lang w:val="en-US"/>
        </w:rPr>
        <w:t xml:space="preserve">The </w:t>
      </w:r>
      <w:r w:rsidRPr="00813D19">
        <w:rPr>
          <w:b/>
          <w:lang w:val="en-US"/>
        </w:rPr>
        <w:t>Chairperson</w:t>
      </w:r>
      <w:r w:rsidRPr="00813D19">
        <w:rPr>
          <w:lang w:val="en-US"/>
        </w:rPr>
        <w:t xml:space="preserve"> </w:t>
      </w:r>
      <w:r w:rsidR="00780F43" w:rsidRPr="00813D19">
        <w:rPr>
          <w:lang w:val="en-US"/>
        </w:rPr>
        <w:t xml:space="preserve">noted that there was </w:t>
      </w:r>
      <w:r w:rsidR="008C3BBB" w:rsidRPr="00813D19">
        <w:rPr>
          <w:lang w:val="en-US"/>
        </w:rPr>
        <w:t>no objection to the slight amendment</w:t>
      </w:r>
      <w:r w:rsidR="00780F43" w:rsidRPr="00813D19">
        <w:rPr>
          <w:lang w:val="en-US"/>
        </w:rPr>
        <w:t>,</w:t>
      </w:r>
      <w:r w:rsidR="008C3BBB" w:rsidRPr="00813D19">
        <w:rPr>
          <w:lang w:val="en-US"/>
        </w:rPr>
        <w:t xml:space="preserve"> </w:t>
      </w:r>
      <w:r w:rsidR="00780F43" w:rsidRPr="00813D19">
        <w:rPr>
          <w:lang w:val="en-US"/>
        </w:rPr>
        <w:t>proposing</w:t>
      </w:r>
      <w:r w:rsidR="00461CF7" w:rsidRPr="00813D19">
        <w:rPr>
          <w:lang w:val="en-US"/>
        </w:rPr>
        <w:t xml:space="preserve"> to adopt the draft decision as a whole. </w:t>
      </w:r>
      <w:r w:rsidR="00780F43" w:rsidRPr="00813D19">
        <w:rPr>
          <w:lang w:val="en-US"/>
        </w:rPr>
        <w:t>T</w:t>
      </w:r>
      <w:r w:rsidR="00461CF7" w:rsidRPr="00813D19">
        <w:rPr>
          <w:lang w:val="en-US"/>
        </w:rPr>
        <w:t xml:space="preserve">he </w:t>
      </w:r>
      <w:r w:rsidR="00461CF7" w:rsidRPr="00813D19">
        <w:rPr>
          <w:b/>
          <w:lang w:val="en-US"/>
        </w:rPr>
        <w:t xml:space="preserve">Chairperson declared Decision </w:t>
      </w:r>
      <w:hyperlink r:id="rId136" w:history="1">
        <w:r w:rsidR="00461CF7" w:rsidRPr="00813D19">
          <w:rPr>
            <w:rStyle w:val="Hyperlink"/>
            <w:b/>
            <w:lang w:val="en-US"/>
          </w:rPr>
          <w:t>13.COM 10.b.38</w:t>
        </w:r>
      </w:hyperlink>
      <w:r w:rsidR="00461CF7" w:rsidRPr="00813D19">
        <w:rPr>
          <w:b/>
          <w:lang w:val="en-US"/>
        </w:rPr>
        <w:t xml:space="preserve"> adopted to inscribe </w:t>
      </w:r>
      <w:r w:rsidR="00461CF7" w:rsidRPr="00813D19">
        <w:rPr>
          <w:b/>
          <w:color w:val="000000" w:themeColor="text1"/>
          <w:lang w:val="en-US"/>
        </w:rPr>
        <w:t>Pottery skills of the women of Sejnane on the Representative List</w:t>
      </w:r>
      <w:r w:rsidR="00461CF7" w:rsidRPr="003D53B3">
        <w:rPr>
          <w:bCs/>
          <w:snapToGrid/>
          <w:color w:val="000000" w:themeColor="text1"/>
          <w:lang w:val="en-US"/>
        </w:rPr>
        <w:t>.</w:t>
      </w:r>
    </w:p>
    <w:p w14:paraId="276D0726" w14:textId="764318C7" w:rsidR="00716551" w:rsidRPr="00813D19" w:rsidRDefault="00461CF7" w:rsidP="00495940">
      <w:pPr>
        <w:pStyle w:val="Orateurengris"/>
        <w:spacing w:before="120"/>
        <w:ind w:left="709" w:hanging="709"/>
        <w:rPr>
          <w:lang w:val="en-US"/>
        </w:rPr>
      </w:pPr>
      <w:r w:rsidRPr="00813D19">
        <w:rPr>
          <w:lang w:val="en-US"/>
        </w:rPr>
        <w:t xml:space="preserve">The </w:t>
      </w:r>
      <w:r w:rsidRPr="00813D19">
        <w:rPr>
          <w:b/>
          <w:lang w:val="en-US"/>
        </w:rPr>
        <w:t>delegation of Tunisia</w:t>
      </w:r>
      <w:r w:rsidRPr="00813D19">
        <w:rPr>
          <w:lang w:val="en-US"/>
        </w:rPr>
        <w:t xml:space="preserve"> </w:t>
      </w:r>
      <w:r w:rsidR="00716551" w:rsidRPr="00813D19">
        <w:rPr>
          <w:lang w:val="en-US"/>
        </w:rPr>
        <w:t xml:space="preserve">expressed </w:t>
      </w:r>
      <w:r w:rsidR="003265EB">
        <w:rPr>
          <w:lang w:val="en-US"/>
        </w:rPr>
        <w:t xml:space="preserve">its </w:t>
      </w:r>
      <w:r w:rsidR="00716551" w:rsidRPr="00813D19">
        <w:rPr>
          <w:lang w:val="en-US"/>
        </w:rPr>
        <w:t>thanks to the authorities and the people of Mauritius for the warmth of their hospitality and the quality of the organization. Thanks also went to the Evaluation Body and the Committee for the thoroughness of their report and for understanding the nomination file. The know-how of the women of Sejnane is not just any file and their pottery is not just any element</w:t>
      </w:r>
      <w:r w:rsidR="003265EB">
        <w:rPr>
          <w:lang w:val="en-US"/>
        </w:rPr>
        <w:t>;</w:t>
      </w:r>
      <w:r w:rsidR="00716551" w:rsidRPr="00813D19">
        <w:rPr>
          <w:lang w:val="en-US"/>
        </w:rPr>
        <w:t xml:space="preserve"> it is a marker of Tunisian identity. First, by its extreme age, going back to the Neolithic period, </w:t>
      </w:r>
      <w:r w:rsidR="003265EB">
        <w:rPr>
          <w:lang w:val="en-US"/>
        </w:rPr>
        <w:t xml:space="preserve">it recalled </w:t>
      </w:r>
      <w:r w:rsidR="00716551" w:rsidRPr="00813D19">
        <w:rPr>
          <w:lang w:val="en-US"/>
        </w:rPr>
        <w:t>the very ancient civilization that forms the nation. In addition, the beautiful region of Sejnane, in the north of Tunisia, is a meeting point where all the strata of Tunisian identity were fertilized, a place inhabited since prehistory and later Berber, Numidian, Carthaginian, Roman, until the present day</w:t>
      </w:r>
      <w:r w:rsidR="00976948" w:rsidRPr="00813D19">
        <w:rPr>
          <w:lang w:val="en-US"/>
        </w:rPr>
        <w:t xml:space="preserve">. Last but not least, it is the </w:t>
      </w:r>
      <w:r w:rsidR="00716551" w:rsidRPr="00813D19">
        <w:rPr>
          <w:lang w:val="en-US"/>
        </w:rPr>
        <w:t>know-how of the women of Tunisia</w:t>
      </w:r>
      <w:r w:rsidR="00997653" w:rsidRPr="00813D19">
        <w:rPr>
          <w:lang w:val="en-US"/>
        </w:rPr>
        <w:t xml:space="preserve"> who transmit this art from mothers to daughters, transforming the earth into a useful, beautiful and ecologically virtuous object, allowing them relative economic independence. The delegation was thus proud of the inscription of </w:t>
      </w:r>
      <w:r w:rsidR="003265EB">
        <w:rPr>
          <w:lang w:val="en-US"/>
        </w:rPr>
        <w:t xml:space="preserve">the </w:t>
      </w:r>
      <w:r w:rsidR="00997653" w:rsidRPr="00813D19">
        <w:rPr>
          <w:color w:val="000000" w:themeColor="text1"/>
          <w:lang w:val="en-US"/>
        </w:rPr>
        <w:t>Pottery skills of the women of Sejnane</w:t>
      </w:r>
      <w:r w:rsidR="00997653" w:rsidRPr="00813D19">
        <w:rPr>
          <w:b/>
          <w:color w:val="000000" w:themeColor="text1"/>
          <w:lang w:val="en-US"/>
        </w:rPr>
        <w:t xml:space="preserve"> </w:t>
      </w:r>
      <w:r w:rsidR="00997653" w:rsidRPr="00813D19">
        <w:rPr>
          <w:lang w:val="en-US"/>
        </w:rPr>
        <w:t xml:space="preserve">on the Representative List. Tunisia was grateful to UNESCO for its technical and financial assistance in its capacity-building programme for intangible cultural heritage, which </w:t>
      </w:r>
      <w:r w:rsidR="003265EB">
        <w:rPr>
          <w:lang w:val="en-US"/>
        </w:rPr>
        <w:t xml:space="preserve">had </w:t>
      </w:r>
      <w:r w:rsidR="00997653" w:rsidRPr="00813D19">
        <w:rPr>
          <w:lang w:val="en-US"/>
        </w:rPr>
        <w:t xml:space="preserve">resulted in this inscription. This inscription was first desired by the local communities that organized </w:t>
      </w:r>
      <w:r w:rsidR="000E30CB" w:rsidRPr="00813D19">
        <w:rPr>
          <w:lang w:val="en-US"/>
        </w:rPr>
        <w:t xml:space="preserve">an </w:t>
      </w:r>
      <w:r w:rsidR="00997653" w:rsidRPr="00813D19">
        <w:rPr>
          <w:lang w:val="en-US"/>
        </w:rPr>
        <w:t xml:space="preserve">association, accompanied </w:t>
      </w:r>
      <w:r w:rsidR="000E30CB" w:rsidRPr="00813D19">
        <w:rPr>
          <w:lang w:val="en-US"/>
        </w:rPr>
        <w:t xml:space="preserve">by the Ministry of Culture and </w:t>
      </w:r>
      <w:r w:rsidR="00997653" w:rsidRPr="00813D19">
        <w:rPr>
          <w:lang w:val="en-US"/>
        </w:rPr>
        <w:t>the National Heritage</w:t>
      </w:r>
      <w:r w:rsidR="000E30CB" w:rsidRPr="00813D19">
        <w:rPr>
          <w:lang w:val="en-US"/>
        </w:rPr>
        <w:t xml:space="preserve"> Institute</w:t>
      </w:r>
      <w:r w:rsidR="00997653" w:rsidRPr="00813D19">
        <w:rPr>
          <w:lang w:val="en-US"/>
        </w:rPr>
        <w:t xml:space="preserve">, which </w:t>
      </w:r>
      <w:r w:rsidR="000E30CB" w:rsidRPr="00813D19">
        <w:rPr>
          <w:lang w:val="en-US"/>
        </w:rPr>
        <w:t xml:space="preserve">the delegation commended for </w:t>
      </w:r>
      <w:r w:rsidR="00997653" w:rsidRPr="00813D19">
        <w:rPr>
          <w:lang w:val="en-US"/>
        </w:rPr>
        <w:t xml:space="preserve">the quality of </w:t>
      </w:r>
      <w:r w:rsidR="000E30CB" w:rsidRPr="00813D19">
        <w:rPr>
          <w:lang w:val="en-US"/>
        </w:rPr>
        <w:t>their work, expertise and support. T</w:t>
      </w:r>
      <w:r w:rsidR="00997653" w:rsidRPr="00813D19">
        <w:rPr>
          <w:lang w:val="en-US"/>
        </w:rPr>
        <w:t xml:space="preserve">his inscription </w:t>
      </w:r>
      <w:r w:rsidR="000E30CB" w:rsidRPr="00813D19">
        <w:rPr>
          <w:lang w:val="en-US"/>
        </w:rPr>
        <w:t>instilled pride, but also obliged</w:t>
      </w:r>
      <w:r w:rsidR="00997653" w:rsidRPr="00813D19">
        <w:rPr>
          <w:lang w:val="en-US"/>
        </w:rPr>
        <w:t xml:space="preserve"> </w:t>
      </w:r>
      <w:r w:rsidR="000E30CB" w:rsidRPr="00813D19">
        <w:rPr>
          <w:lang w:val="en-US"/>
        </w:rPr>
        <w:t xml:space="preserve">Tunisia </w:t>
      </w:r>
      <w:r w:rsidR="00997653" w:rsidRPr="00813D19">
        <w:rPr>
          <w:lang w:val="en-US"/>
        </w:rPr>
        <w:t xml:space="preserve">to do everything to safeguard this element by letting it live and evolve. </w:t>
      </w:r>
      <w:r w:rsidR="000E30CB" w:rsidRPr="00813D19">
        <w:rPr>
          <w:lang w:val="en-US"/>
        </w:rPr>
        <w:t xml:space="preserve">The delegation </w:t>
      </w:r>
      <w:r w:rsidR="00997653" w:rsidRPr="00813D19">
        <w:rPr>
          <w:lang w:val="en-US"/>
        </w:rPr>
        <w:t>express</w:t>
      </w:r>
      <w:r w:rsidR="000E30CB" w:rsidRPr="00813D19">
        <w:rPr>
          <w:lang w:val="en-US"/>
        </w:rPr>
        <w:t>ed</w:t>
      </w:r>
      <w:r w:rsidR="003265EB">
        <w:rPr>
          <w:lang w:val="en-US"/>
        </w:rPr>
        <w:t xml:space="preserve"> its</w:t>
      </w:r>
      <w:r w:rsidR="00997653" w:rsidRPr="00813D19">
        <w:rPr>
          <w:lang w:val="en-US"/>
        </w:rPr>
        <w:t xml:space="preserve"> gratitude </w:t>
      </w:r>
      <w:r w:rsidR="000E30CB" w:rsidRPr="00813D19">
        <w:rPr>
          <w:lang w:val="en-US"/>
        </w:rPr>
        <w:t xml:space="preserve">to the potters </w:t>
      </w:r>
      <w:r w:rsidR="00A15B1C" w:rsidRPr="00813D19">
        <w:rPr>
          <w:lang w:val="en-US"/>
        </w:rPr>
        <w:t xml:space="preserve">as the </w:t>
      </w:r>
      <w:r w:rsidR="00997653" w:rsidRPr="00813D19">
        <w:rPr>
          <w:lang w:val="en-US"/>
        </w:rPr>
        <w:t xml:space="preserve">inscription </w:t>
      </w:r>
      <w:r w:rsidR="00A15B1C" w:rsidRPr="00813D19">
        <w:rPr>
          <w:lang w:val="en-US"/>
        </w:rPr>
        <w:t xml:space="preserve">would </w:t>
      </w:r>
      <w:r w:rsidR="00A133D3" w:rsidRPr="00813D19">
        <w:rPr>
          <w:lang w:val="en-US"/>
        </w:rPr>
        <w:t xml:space="preserve">highlight </w:t>
      </w:r>
      <w:r w:rsidR="00997653" w:rsidRPr="00813D19">
        <w:rPr>
          <w:lang w:val="en-US"/>
        </w:rPr>
        <w:t xml:space="preserve">the know-how, the </w:t>
      </w:r>
      <w:r w:rsidR="00A133D3" w:rsidRPr="00813D19">
        <w:rPr>
          <w:lang w:val="en-US"/>
        </w:rPr>
        <w:t xml:space="preserve">craft and </w:t>
      </w:r>
      <w:r w:rsidR="00997653" w:rsidRPr="00813D19">
        <w:rPr>
          <w:lang w:val="en-US"/>
        </w:rPr>
        <w:t xml:space="preserve">intelligence, </w:t>
      </w:r>
      <w:r w:rsidR="00A133D3" w:rsidRPr="00813D19">
        <w:rPr>
          <w:lang w:val="en-US"/>
        </w:rPr>
        <w:t xml:space="preserve">as well as </w:t>
      </w:r>
      <w:r w:rsidR="00997653" w:rsidRPr="00813D19">
        <w:rPr>
          <w:lang w:val="en-US"/>
        </w:rPr>
        <w:t xml:space="preserve">the feminine leadership </w:t>
      </w:r>
      <w:r w:rsidR="00A133D3" w:rsidRPr="00813D19">
        <w:rPr>
          <w:lang w:val="en-US"/>
        </w:rPr>
        <w:t xml:space="preserve">whose </w:t>
      </w:r>
      <w:r w:rsidR="00997653" w:rsidRPr="00813D19">
        <w:rPr>
          <w:lang w:val="en-US"/>
        </w:rPr>
        <w:t xml:space="preserve">contribution </w:t>
      </w:r>
      <w:r w:rsidR="00A133D3" w:rsidRPr="00813D19">
        <w:rPr>
          <w:lang w:val="en-US"/>
        </w:rPr>
        <w:t>created such beauty</w:t>
      </w:r>
      <w:r w:rsidR="003D53B3">
        <w:rPr>
          <w:lang w:val="en-US"/>
        </w:rPr>
        <w:t>.</w:t>
      </w:r>
    </w:p>
    <w:p w14:paraId="2C4C42F1" w14:textId="6E76716B" w:rsidR="00780F43" w:rsidRPr="00813D19" w:rsidRDefault="009C28C4" w:rsidP="005174C9">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3265EB">
        <w:rPr>
          <w:color w:val="000000" w:themeColor="text1"/>
          <w:lang w:val="en-US"/>
        </w:rPr>
        <w:t>,</w:t>
      </w:r>
      <w:r w:rsidRPr="00813D19">
        <w:rPr>
          <w:color w:val="000000" w:themeColor="text1"/>
          <w:lang w:val="en-US"/>
        </w:rPr>
        <w:t xml:space="preserve"> </w:t>
      </w:r>
      <w:r w:rsidRPr="00813D19">
        <w:rPr>
          <w:b/>
          <w:color w:val="000000" w:themeColor="text1"/>
          <w:lang w:val="en-US"/>
        </w:rPr>
        <w:t>Al Aflaj, traditional irrigation network system in the UAE, oral traditions, knowledge and skills of construction, maintenance and equitable water distribution</w:t>
      </w:r>
      <w:r w:rsidRPr="00813D19">
        <w:rPr>
          <w:color w:val="000000" w:themeColor="text1"/>
          <w:lang w:val="en-US"/>
        </w:rPr>
        <w:t xml:space="preserve"> [draft decision </w:t>
      </w:r>
      <w:r w:rsidR="00EF57E1" w:rsidRPr="00813D19">
        <w:rPr>
          <w:color w:val="000000" w:themeColor="text1"/>
          <w:lang w:val="en-US"/>
        </w:rPr>
        <w:t>13.COM 10.b.39</w:t>
      </w:r>
      <w:r w:rsidRPr="00813D19">
        <w:rPr>
          <w:color w:val="000000" w:themeColor="text1"/>
          <w:lang w:val="en-US"/>
        </w:rPr>
        <w:t>]</w:t>
      </w:r>
      <w:r w:rsidR="003265EB">
        <w:rPr>
          <w:color w:val="000000" w:themeColor="text1"/>
          <w:lang w:val="en-US"/>
        </w:rPr>
        <w:t>,</w:t>
      </w:r>
      <w:r w:rsidRPr="00813D19">
        <w:rPr>
          <w:color w:val="000000" w:themeColor="text1"/>
          <w:lang w:val="en-US"/>
        </w:rPr>
        <w:t xml:space="preserve"> submitted by </w:t>
      </w:r>
      <w:r w:rsidR="006B08BC" w:rsidRPr="00813D19">
        <w:rPr>
          <w:color w:val="000000" w:themeColor="text1"/>
          <w:lang w:val="en-US"/>
        </w:rPr>
        <w:t xml:space="preserve">the </w:t>
      </w:r>
      <w:r w:rsidRPr="00813D19">
        <w:rPr>
          <w:b/>
          <w:color w:val="000000" w:themeColor="text1"/>
          <w:lang w:val="en-US"/>
        </w:rPr>
        <w:t>United Arab Emirates</w:t>
      </w:r>
      <w:r w:rsidRPr="00813D19">
        <w:rPr>
          <w:color w:val="000000" w:themeColor="text1"/>
          <w:lang w:val="en-US"/>
        </w:rPr>
        <w:t xml:space="preserve">. </w:t>
      </w:r>
      <w:r w:rsidR="00A9557C" w:rsidRPr="00813D19">
        <w:rPr>
          <w:lang w:val="en-US"/>
        </w:rPr>
        <w:t xml:space="preserve">Al Aflaj is an irrigation system in the United Arab Emirates that uses an underground tunnel to conduct water across long distances from an underground source to </w:t>
      </w:r>
      <w:r w:rsidR="006B08BC" w:rsidRPr="00813D19">
        <w:rPr>
          <w:lang w:val="en-US"/>
        </w:rPr>
        <w:t>a sharia (basin)</w:t>
      </w:r>
      <w:r w:rsidR="00A9557C" w:rsidRPr="00813D19">
        <w:rPr>
          <w:lang w:val="en-US"/>
        </w:rPr>
        <w:t xml:space="preserve"> where the community can access it. From the information included in the file, the </w:t>
      </w:r>
      <w:r w:rsidR="00590C23" w:rsidRPr="00813D19">
        <w:rPr>
          <w:lang w:val="en-US"/>
        </w:rPr>
        <w:t>nomination satisfied</w:t>
      </w:r>
      <w:r w:rsidR="00A9557C" w:rsidRPr="00813D19">
        <w:rPr>
          <w:lang w:val="en-US"/>
        </w:rPr>
        <w:t xml:space="preserve"> criteria R.1 </w:t>
      </w:r>
      <w:r w:rsidR="00A9557C" w:rsidRPr="00813D19">
        <w:rPr>
          <w:noProof/>
          <w:lang w:val="en-US"/>
        </w:rPr>
        <w:t>R.2, R.4 and R.5</w:t>
      </w:r>
      <w:r w:rsidR="00A9557C" w:rsidRPr="00813D19">
        <w:rPr>
          <w:lang w:val="en-US"/>
        </w:rPr>
        <w:t>. Al Aflaj comprises a number of practices, customs and areas of knowledge concerning water management in difficult desert conditions, serving economic, ecological and social functions. Al Aflaj can promote dialogue concerning water distribution in difficult climate conditions</w:t>
      </w:r>
      <w:r w:rsidR="006B08BC" w:rsidRPr="00813D19">
        <w:rPr>
          <w:lang w:val="en-US"/>
        </w:rPr>
        <w:t>,</w:t>
      </w:r>
      <w:r w:rsidR="00A9557C" w:rsidRPr="00813D19">
        <w:rPr>
          <w:lang w:val="en-US"/>
        </w:rPr>
        <w:t xml:space="preserve"> and cohesion within the local community. The nomination process was steered by the Intangible Heritage Department of the Abu Dhabi Tourism and Culture Authority with the active par</w:t>
      </w:r>
      <w:r w:rsidR="006B08BC" w:rsidRPr="00813D19">
        <w:rPr>
          <w:lang w:val="en-US"/>
        </w:rPr>
        <w:t>ticipation of researchers, land</w:t>
      </w:r>
      <w:r w:rsidR="00A9557C" w:rsidRPr="00813D19">
        <w:rPr>
          <w:lang w:val="en-US"/>
        </w:rPr>
        <w:t>owners, teachers and expert practitioners.</w:t>
      </w:r>
      <w:r w:rsidR="005174C9" w:rsidRPr="00813D19">
        <w:rPr>
          <w:noProof/>
          <w:lang w:val="en-US"/>
        </w:rPr>
        <w:t xml:space="preserve"> </w:t>
      </w:r>
      <w:r w:rsidR="00D24ECF" w:rsidRPr="00813D19">
        <w:rPr>
          <w:noProof/>
          <w:lang w:val="en-US"/>
        </w:rPr>
        <w:t xml:space="preserve">However, the Evaluation Body considered that the information was not sufficient to assess </w:t>
      </w:r>
      <w:r w:rsidR="003265EB" w:rsidRPr="00813D19">
        <w:rPr>
          <w:noProof/>
          <w:lang w:val="en-US"/>
        </w:rPr>
        <w:t>criteri</w:t>
      </w:r>
      <w:r w:rsidR="003265EB">
        <w:rPr>
          <w:noProof/>
          <w:lang w:val="en-US"/>
        </w:rPr>
        <w:t>on</w:t>
      </w:r>
      <w:r w:rsidR="003265EB" w:rsidRPr="00813D19">
        <w:rPr>
          <w:color w:val="FF0000"/>
          <w:lang w:val="en-US"/>
        </w:rPr>
        <w:t xml:space="preserve"> </w:t>
      </w:r>
      <w:r w:rsidR="00D24ECF" w:rsidRPr="00813D19">
        <w:rPr>
          <w:lang w:val="en-US"/>
        </w:rPr>
        <w:t>R.3</w:t>
      </w:r>
      <w:r w:rsidR="00D24ECF" w:rsidRPr="00813D19">
        <w:rPr>
          <w:noProof/>
          <w:lang w:val="en-US"/>
        </w:rPr>
        <w:t>.</w:t>
      </w:r>
      <w:r w:rsidR="00D24ECF" w:rsidRPr="00813D19">
        <w:rPr>
          <w:lang w:val="en-US"/>
        </w:rPr>
        <w:t xml:space="preserve"> </w:t>
      </w:r>
      <w:r w:rsidR="00780F43" w:rsidRPr="00813D19">
        <w:rPr>
          <w:lang w:val="en-US"/>
        </w:rPr>
        <w:t xml:space="preserve">The Evaluation Body expressed serious concerns about the development </w:t>
      </w:r>
      <w:r w:rsidR="00D24ECF" w:rsidRPr="00813D19">
        <w:rPr>
          <w:lang w:val="en-US"/>
        </w:rPr>
        <w:t xml:space="preserve">project </w:t>
      </w:r>
      <w:r w:rsidR="00780F43" w:rsidRPr="00813D19">
        <w:rPr>
          <w:bCs/>
          <w:lang w:val="en-US"/>
        </w:rPr>
        <w:t xml:space="preserve">aimed at promoting Al Aflaj as </w:t>
      </w:r>
      <w:r w:rsidR="00D24ECF" w:rsidRPr="00813D19">
        <w:rPr>
          <w:bCs/>
          <w:lang w:val="en-US"/>
        </w:rPr>
        <w:t>a tourist destination and leisure area</w:t>
      </w:r>
      <w:r w:rsidR="00780F43" w:rsidRPr="00813D19">
        <w:rPr>
          <w:bCs/>
          <w:lang w:val="en-US"/>
        </w:rPr>
        <w:t xml:space="preserve">, which </w:t>
      </w:r>
      <w:r w:rsidR="00D24ECF" w:rsidRPr="00813D19">
        <w:rPr>
          <w:bCs/>
          <w:lang w:val="en-US"/>
        </w:rPr>
        <w:t xml:space="preserve">was </w:t>
      </w:r>
      <w:r w:rsidR="00780F43" w:rsidRPr="00813D19">
        <w:rPr>
          <w:bCs/>
          <w:lang w:val="en-US"/>
        </w:rPr>
        <w:t xml:space="preserve">presented as a </w:t>
      </w:r>
      <w:r w:rsidR="00082E6B">
        <w:rPr>
          <w:bCs/>
          <w:lang w:val="en-US"/>
        </w:rPr>
        <w:t>core</w:t>
      </w:r>
      <w:r w:rsidR="00082E6B" w:rsidRPr="00813D19">
        <w:rPr>
          <w:bCs/>
          <w:lang w:val="en-US"/>
        </w:rPr>
        <w:t xml:space="preserve"> </w:t>
      </w:r>
      <w:r w:rsidR="00780F43" w:rsidRPr="00813D19">
        <w:rPr>
          <w:bCs/>
          <w:lang w:val="en-US"/>
        </w:rPr>
        <w:t>safeguarding measure. Members of the Body considered that this project would lead to heavy commercialization of the element and would cut off the community from its heritage</w:t>
      </w:r>
      <w:r w:rsidR="00D24ECF" w:rsidRPr="00813D19">
        <w:rPr>
          <w:bCs/>
          <w:lang w:val="en-US"/>
        </w:rPr>
        <w:t>,</w:t>
      </w:r>
      <w:r w:rsidR="00780F43" w:rsidRPr="00813D19">
        <w:rPr>
          <w:bCs/>
          <w:lang w:val="en-US"/>
        </w:rPr>
        <w:t xml:space="preserve"> thereby ultimately endangering its visibility. M</w:t>
      </w:r>
      <w:r w:rsidR="00B9553C" w:rsidRPr="00813D19">
        <w:rPr>
          <w:bCs/>
          <w:lang w:val="en-US"/>
        </w:rPr>
        <w:t>oreover, no specific measure had</w:t>
      </w:r>
      <w:r w:rsidR="00780F43" w:rsidRPr="00813D19">
        <w:rPr>
          <w:bCs/>
          <w:lang w:val="en-US"/>
        </w:rPr>
        <w:t xml:space="preserve"> been planned to assess the impact of this project on the social and cultural values of the element. In addition, most of the measures appear</w:t>
      </w:r>
      <w:r w:rsidR="00B9553C" w:rsidRPr="00813D19">
        <w:rPr>
          <w:bCs/>
          <w:lang w:val="en-US"/>
        </w:rPr>
        <w:t>ed</w:t>
      </w:r>
      <w:r w:rsidR="00780F43" w:rsidRPr="00813D19">
        <w:rPr>
          <w:bCs/>
          <w:lang w:val="en-US"/>
        </w:rPr>
        <w:t xml:space="preserve"> to focus on built structures and very little attention </w:t>
      </w:r>
      <w:r w:rsidR="00B9553C" w:rsidRPr="00813D19">
        <w:rPr>
          <w:bCs/>
          <w:lang w:val="en-US"/>
        </w:rPr>
        <w:t>was</w:t>
      </w:r>
      <w:r w:rsidR="00780F43" w:rsidRPr="00813D19">
        <w:rPr>
          <w:bCs/>
          <w:lang w:val="en-US"/>
        </w:rPr>
        <w:t xml:space="preserve"> actually paid to securing the transmission of the element and the cultivation of the active relationship of local communities to this vital part of their living conditions, particularly its knowledge, know-how and cultural meanings. The Eva</w:t>
      </w:r>
      <w:r w:rsidR="00D24ECF" w:rsidRPr="00813D19">
        <w:rPr>
          <w:bCs/>
          <w:lang w:val="en-US"/>
        </w:rPr>
        <w:t>luation Body strongly recommended</w:t>
      </w:r>
      <w:r w:rsidR="00780F43" w:rsidRPr="00813D19">
        <w:rPr>
          <w:bCs/>
          <w:lang w:val="en-US"/>
        </w:rPr>
        <w:t xml:space="preserve"> that the State Party pay attention to the likely decontextualization of the element resulting from its use as a tourist attraction, and that it undertake suitable measures to safeguard the intangible as</w:t>
      </w:r>
      <w:r w:rsidR="00D24ECF" w:rsidRPr="00813D19">
        <w:rPr>
          <w:bCs/>
          <w:lang w:val="en-US"/>
        </w:rPr>
        <w:t>pects of Al</w:t>
      </w:r>
      <w:r w:rsidR="00780F43" w:rsidRPr="00813D19">
        <w:rPr>
          <w:bCs/>
          <w:lang w:val="en-US"/>
        </w:rPr>
        <w:t xml:space="preserve"> Aflaj. In conclusion, although the Evaluation Body considered that the file </w:t>
      </w:r>
      <w:r w:rsidR="00D24ECF" w:rsidRPr="00813D19">
        <w:rPr>
          <w:bCs/>
          <w:lang w:val="en-US"/>
        </w:rPr>
        <w:t>met</w:t>
      </w:r>
      <w:r w:rsidR="00780F43" w:rsidRPr="00813D19">
        <w:rPr>
          <w:bCs/>
          <w:lang w:val="en-US"/>
        </w:rPr>
        <w:t xml:space="preserve"> four criteria</w:t>
      </w:r>
      <w:r w:rsidR="00D24ECF" w:rsidRPr="00813D19">
        <w:rPr>
          <w:bCs/>
          <w:lang w:val="en-US"/>
        </w:rPr>
        <w:t>,</w:t>
      </w:r>
      <w:r w:rsidR="00780F43" w:rsidRPr="00813D19">
        <w:rPr>
          <w:bCs/>
          <w:lang w:val="en-US"/>
        </w:rPr>
        <w:t xml:space="preserve"> </w:t>
      </w:r>
      <w:r w:rsidR="00D24ECF" w:rsidRPr="00813D19">
        <w:rPr>
          <w:bCs/>
          <w:lang w:val="en-US"/>
        </w:rPr>
        <w:t xml:space="preserve">the </w:t>
      </w:r>
      <w:r w:rsidR="00780F43" w:rsidRPr="00813D19">
        <w:rPr>
          <w:bCs/>
          <w:lang w:val="en-US"/>
        </w:rPr>
        <w:t>concerns raised by the safeguarding measures proposed in the file were serious enough for the Body to consider that criterion R.3 was not met</w:t>
      </w:r>
      <w:r w:rsidR="00D24ECF" w:rsidRPr="00813D19">
        <w:rPr>
          <w:bCs/>
          <w:lang w:val="en-US"/>
        </w:rPr>
        <w:t>. Therefore, the Body recommended</w:t>
      </w:r>
      <w:r w:rsidR="00780F43" w:rsidRPr="00813D19">
        <w:rPr>
          <w:bCs/>
          <w:lang w:val="en-US"/>
        </w:rPr>
        <w:t xml:space="preserve"> that the Committee not inscribe Al Aflaj, traditional irrigation network system in the United Arab Emirates, oral traditions, knowledge and skills of construction, maintenance and equitable water distribut</w:t>
      </w:r>
      <w:r w:rsidR="003D53B3">
        <w:rPr>
          <w:bCs/>
          <w:lang w:val="en-US"/>
        </w:rPr>
        <w:t>ion on the Representative List.</w:t>
      </w:r>
    </w:p>
    <w:p w14:paraId="19BE9464" w14:textId="28381AF5" w:rsidR="00C8668A" w:rsidRPr="00813D19" w:rsidRDefault="00C8668A" w:rsidP="005174C9">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noted an amendment from Kuwait.</w:t>
      </w:r>
    </w:p>
    <w:p w14:paraId="0FA78222" w14:textId="10D767CD" w:rsidR="00C8668A" w:rsidRPr="00813D19" w:rsidRDefault="00C8668A" w:rsidP="005174C9">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 xml:space="preserve">delegation of Kuwait </w:t>
      </w:r>
      <w:r w:rsidR="00546969" w:rsidRPr="00813D19">
        <w:rPr>
          <w:lang w:val="en-US"/>
        </w:rPr>
        <w:t>thank</w:t>
      </w:r>
      <w:r w:rsidR="00AC6919" w:rsidRPr="00813D19">
        <w:rPr>
          <w:lang w:val="en-US"/>
        </w:rPr>
        <w:t>ed</w:t>
      </w:r>
      <w:r w:rsidR="00546969" w:rsidRPr="00813D19">
        <w:rPr>
          <w:lang w:val="en-US"/>
        </w:rPr>
        <w:t xml:space="preserve"> the Evaluation Body on its work and report. The </w:t>
      </w:r>
      <w:r w:rsidR="00546969" w:rsidRPr="00813D19">
        <w:rPr>
          <w:bCs/>
          <w:lang w:val="en-US"/>
        </w:rPr>
        <w:t>Al Aflaj, traditional irrigation network system in the United Arab Emirates number about 300 in the country</w:t>
      </w:r>
      <w:r w:rsidR="00AC6919" w:rsidRPr="00813D19">
        <w:rPr>
          <w:bCs/>
          <w:lang w:val="en-US"/>
        </w:rPr>
        <w:t>,</w:t>
      </w:r>
      <w:r w:rsidR="00546969" w:rsidRPr="00813D19">
        <w:rPr>
          <w:bCs/>
          <w:lang w:val="en-US"/>
        </w:rPr>
        <w:t xml:space="preserve"> and its traditions </w:t>
      </w:r>
      <w:r w:rsidR="00AC6919" w:rsidRPr="00813D19">
        <w:rPr>
          <w:bCs/>
          <w:lang w:val="en-US"/>
        </w:rPr>
        <w:t xml:space="preserve">had </w:t>
      </w:r>
      <w:r w:rsidR="00546969" w:rsidRPr="00813D19">
        <w:rPr>
          <w:bCs/>
          <w:lang w:val="en-US"/>
        </w:rPr>
        <w:t xml:space="preserve">been passed down </w:t>
      </w:r>
      <w:r w:rsidR="00B9553C" w:rsidRPr="00813D19">
        <w:rPr>
          <w:bCs/>
          <w:lang w:val="en-US"/>
        </w:rPr>
        <w:t xml:space="preserve">the </w:t>
      </w:r>
      <w:r w:rsidR="00546969" w:rsidRPr="00813D19">
        <w:rPr>
          <w:bCs/>
          <w:lang w:val="en-US"/>
        </w:rPr>
        <w:t>generations for over 3,000 years. With that in mind and with regard to R.3 and the concerns raised by the Evaluation Body</w:t>
      </w:r>
      <w:r w:rsidR="00AC6919" w:rsidRPr="00813D19">
        <w:rPr>
          <w:bCs/>
          <w:lang w:val="en-US"/>
        </w:rPr>
        <w:t xml:space="preserve">, the delegation </w:t>
      </w:r>
      <w:r w:rsidR="00546969" w:rsidRPr="00813D19">
        <w:rPr>
          <w:bCs/>
          <w:lang w:val="en-US"/>
        </w:rPr>
        <w:t>kindly request</w:t>
      </w:r>
      <w:r w:rsidR="00AC6919" w:rsidRPr="00813D19">
        <w:rPr>
          <w:bCs/>
          <w:lang w:val="en-US"/>
        </w:rPr>
        <w:t>ed</w:t>
      </w:r>
      <w:r w:rsidR="00546969" w:rsidRPr="00813D19">
        <w:rPr>
          <w:bCs/>
          <w:lang w:val="en-US"/>
        </w:rPr>
        <w:t xml:space="preserve"> that the floor be open for debate and request</w:t>
      </w:r>
      <w:r w:rsidR="00AC6919" w:rsidRPr="00813D19">
        <w:rPr>
          <w:bCs/>
          <w:lang w:val="en-US"/>
        </w:rPr>
        <w:t>ed</w:t>
      </w:r>
      <w:r w:rsidR="00546969" w:rsidRPr="00813D19">
        <w:rPr>
          <w:bCs/>
          <w:lang w:val="en-US"/>
        </w:rPr>
        <w:t xml:space="preserve"> some clarification from the submitting State regarding their plans for promoting this element</w:t>
      </w:r>
      <w:r w:rsidR="00AC6919" w:rsidRPr="00813D19">
        <w:rPr>
          <w:bCs/>
          <w:lang w:val="en-US"/>
        </w:rPr>
        <w:t>,</w:t>
      </w:r>
      <w:r w:rsidR="00546969" w:rsidRPr="00813D19">
        <w:rPr>
          <w:bCs/>
          <w:lang w:val="en-US"/>
        </w:rPr>
        <w:t xml:space="preserve"> as well as </w:t>
      </w:r>
      <w:r w:rsidR="00AC6919" w:rsidRPr="00813D19">
        <w:rPr>
          <w:bCs/>
          <w:lang w:val="en-US"/>
        </w:rPr>
        <w:t xml:space="preserve">on </w:t>
      </w:r>
      <w:r w:rsidR="00546969" w:rsidRPr="00813D19">
        <w:rPr>
          <w:bCs/>
          <w:lang w:val="en-US"/>
        </w:rPr>
        <w:t xml:space="preserve">any development </w:t>
      </w:r>
      <w:r w:rsidR="003D53B3">
        <w:rPr>
          <w:bCs/>
          <w:lang w:val="en-US"/>
        </w:rPr>
        <w:t>or safeguarding plans.</w:t>
      </w:r>
    </w:p>
    <w:p w14:paraId="7052A0BD" w14:textId="037FEB6A" w:rsidR="00C8668A" w:rsidRPr="00813D19" w:rsidRDefault="00C8668A" w:rsidP="005174C9">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delegation</w:t>
      </w:r>
      <w:r w:rsidR="00780F43" w:rsidRPr="00813D19">
        <w:rPr>
          <w:b/>
          <w:color w:val="000000" w:themeColor="text1"/>
          <w:lang w:val="en-US"/>
        </w:rPr>
        <w:t>s</w:t>
      </w:r>
      <w:r w:rsidRPr="00813D19">
        <w:rPr>
          <w:b/>
          <w:color w:val="000000" w:themeColor="text1"/>
          <w:lang w:val="en-US"/>
        </w:rPr>
        <w:t xml:space="preserve"> of Palestine, </w:t>
      </w:r>
      <w:r w:rsidR="00813D19" w:rsidRPr="00813D19">
        <w:rPr>
          <w:b/>
          <w:color w:val="000000" w:themeColor="text1"/>
          <w:lang w:val="en-US"/>
        </w:rPr>
        <w:t>Kazakhstan</w:t>
      </w:r>
      <w:r w:rsidR="005E7787" w:rsidRPr="00813D19">
        <w:rPr>
          <w:b/>
          <w:color w:val="000000" w:themeColor="text1"/>
          <w:lang w:val="en-US"/>
        </w:rPr>
        <w:t xml:space="preserve">, </w:t>
      </w:r>
      <w:r w:rsidRPr="00813D19">
        <w:rPr>
          <w:b/>
          <w:color w:val="000000" w:themeColor="text1"/>
          <w:lang w:val="en-US"/>
        </w:rPr>
        <w:t>Armenia, Lebanon, Jamaic</w:t>
      </w:r>
      <w:r w:rsidR="00216CB3" w:rsidRPr="00813D19">
        <w:rPr>
          <w:b/>
          <w:color w:val="000000" w:themeColor="text1"/>
          <w:lang w:val="en-US"/>
        </w:rPr>
        <w:t>a, Azerbaijan, Cuba, Sri Lanka</w:t>
      </w:r>
      <w:r w:rsidRPr="00813D19">
        <w:rPr>
          <w:b/>
          <w:color w:val="000000" w:themeColor="text1"/>
          <w:lang w:val="en-US"/>
        </w:rPr>
        <w:t>, Togo, Djibouti</w:t>
      </w:r>
      <w:r w:rsidR="00574B9F">
        <w:rPr>
          <w:b/>
          <w:color w:val="000000" w:themeColor="text1"/>
          <w:lang w:val="en-US"/>
        </w:rPr>
        <w:t xml:space="preserve"> </w:t>
      </w:r>
      <w:r w:rsidR="00574B9F">
        <w:rPr>
          <w:color w:val="000000" w:themeColor="text1"/>
          <w:lang w:val="en-US"/>
        </w:rPr>
        <w:t>and</w:t>
      </w:r>
      <w:r w:rsidRPr="00813D19">
        <w:rPr>
          <w:b/>
          <w:color w:val="000000" w:themeColor="text1"/>
          <w:lang w:val="en-US"/>
        </w:rPr>
        <w:t xml:space="preserve"> China</w:t>
      </w:r>
      <w:r w:rsidR="00AC6919" w:rsidRPr="00813D19">
        <w:rPr>
          <w:b/>
          <w:color w:val="000000" w:themeColor="text1"/>
          <w:lang w:val="en-US"/>
        </w:rPr>
        <w:t xml:space="preserve"> </w:t>
      </w:r>
      <w:r w:rsidR="00AC6919" w:rsidRPr="00813D19">
        <w:rPr>
          <w:color w:val="000000" w:themeColor="text1"/>
          <w:lang w:val="en-US"/>
        </w:rPr>
        <w:t>supported the request to give the floor to the State Party.</w:t>
      </w:r>
    </w:p>
    <w:p w14:paraId="3F96C088" w14:textId="5152FD45" w:rsidR="005E7787" w:rsidRPr="00813D19" w:rsidRDefault="00C8668A" w:rsidP="00CC0C6A">
      <w:pPr>
        <w:pStyle w:val="Orateurengris"/>
        <w:spacing w:before="120"/>
        <w:ind w:left="709" w:hanging="709"/>
        <w:rPr>
          <w:lang w:val="en-US"/>
        </w:rPr>
      </w:pPr>
      <w:r w:rsidRPr="00813D19">
        <w:rPr>
          <w:lang w:val="en-US"/>
        </w:rPr>
        <w:t xml:space="preserve">The </w:t>
      </w:r>
      <w:r w:rsidRPr="00813D19">
        <w:rPr>
          <w:b/>
          <w:lang w:val="en-US"/>
        </w:rPr>
        <w:t>delegation of the United Arab Emirates</w:t>
      </w:r>
      <w:r w:rsidR="005E7787" w:rsidRPr="00813D19">
        <w:rPr>
          <w:b/>
          <w:lang w:val="en-US"/>
        </w:rPr>
        <w:t xml:space="preserve"> </w:t>
      </w:r>
      <w:r w:rsidR="00EA21A7" w:rsidRPr="00813D19">
        <w:rPr>
          <w:lang w:val="en-US"/>
        </w:rPr>
        <w:t xml:space="preserve">thanked the Chairperson for the </w:t>
      </w:r>
      <w:r w:rsidR="005E7787" w:rsidRPr="00813D19">
        <w:rPr>
          <w:bCs/>
          <w:lang w:val="en-US"/>
        </w:rPr>
        <w:t xml:space="preserve">opportunity to clarify the </w:t>
      </w:r>
      <w:r w:rsidR="00EA21A7" w:rsidRPr="00813D19">
        <w:rPr>
          <w:bCs/>
          <w:lang w:val="en-US"/>
        </w:rPr>
        <w:t xml:space="preserve">concerns of the Evaluation Body, </w:t>
      </w:r>
      <w:r w:rsidR="005E7787" w:rsidRPr="00813D19">
        <w:rPr>
          <w:bCs/>
          <w:lang w:val="en-US"/>
        </w:rPr>
        <w:t>co</w:t>
      </w:r>
      <w:r w:rsidR="00EA21A7" w:rsidRPr="00813D19">
        <w:rPr>
          <w:bCs/>
          <w:lang w:val="en-US"/>
        </w:rPr>
        <w:t>ngratulating</w:t>
      </w:r>
      <w:r w:rsidR="005E7787" w:rsidRPr="00813D19">
        <w:rPr>
          <w:bCs/>
          <w:lang w:val="en-US"/>
        </w:rPr>
        <w:t xml:space="preserve"> </w:t>
      </w:r>
      <w:r w:rsidR="00EA21A7" w:rsidRPr="00813D19">
        <w:rPr>
          <w:bCs/>
          <w:lang w:val="en-US"/>
        </w:rPr>
        <w:t xml:space="preserve">him on his </w:t>
      </w:r>
      <w:r w:rsidR="005E7787" w:rsidRPr="00813D19">
        <w:rPr>
          <w:bCs/>
          <w:lang w:val="en-US"/>
        </w:rPr>
        <w:t xml:space="preserve">wise guidance of </w:t>
      </w:r>
      <w:r w:rsidR="00BD54BA" w:rsidRPr="00813D19">
        <w:rPr>
          <w:bCs/>
          <w:lang w:val="en-US"/>
        </w:rPr>
        <w:t>t</w:t>
      </w:r>
      <w:r w:rsidR="00EA21A7" w:rsidRPr="00813D19">
        <w:rPr>
          <w:bCs/>
          <w:lang w:val="en-US"/>
        </w:rPr>
        <w:t xml:space="preserve">he Committee’s </w:t>
      </w:r>
      <w:r w:rsidR="005E7787" w:rsidRPr="00813D19">
        <w:rPr>
          <w:bCs/>
          <w:lang w:val="en-US"/>
        </w:rPr>
        <w:t>work</w:t>
      </w:r>
      <w:r w:rsidR="00EA21A7" w:rsidRPr="00813D19">
        <w:rPr>
          <w:bCs/>
          <w:lang w:val="en-US"/>
        </w:rPr>
        <w:t xml:space="preserve"> and thanking the e</w:t>
      </w:r>
      <w:r w:rsidR="005E7787" w:rsidRPr="00813D19">
        <w:rPr>
          <w:bCs/>
          <w:lang w:val="en-US"/>
        </w:rPr>
        <w:t>xper</w:t>
      </w:r>
      <w:r w:rsidR="00EA21A7" w:rsidRPr="00813D19">
        <w:rPr>
          <w:bCs/>
          <w:lang w:val="en-US"/>
        </w:rPr>
        <w:t>ts for their work</w:t>
      </w:r>
      <w:r w:rsidR="005E7787" w:rsidRPr="00813D19">
        <w:rPr>
          <w:bCs/>
          <w:lang w:val="en-US"/>
        </w:rPr>
        <w:t xml:space="preserve"> </w:t>
      </w:r>
      <w:r w:rsidR="00EA21A7" w:rsidRPr="00813D19">
        <w:rPr>
          <w:bCs/>
          <w:lang w:val="en-US"/>
        </w:rPr>
        <w:t xml:space="preserve">and </w:t>
      </w:r>
      <w:r w:rsidR="005E7787" w:rsidRPr="00813D19">
        <w:rPr>
          <w:bCs/>
          <w:lang w:val="en-US"/>
        </w:rPr>
        <w:t xml:space="preserve">keen interest in safeguarding intangible cultural heritage. However, </w:t>
      </w:r>
      <w:r w:rsidR="00FB6816" w:rsidRPr="00813D19">
        <w:rPr>
          <w:bCs/>
          <w:lang w:val="en-US"/>
        </w:rPr>
        <w:t xml:space="preserve">it wished </w:t>
      </w:r>
      <w:r w:rsidR="005E7787" w:rsidRPr="00813D19">
        <w:rPr>
          <w:bCs/>
          <w:lang w:val="en-US"/>
        </w:rPr>
        <w:t xml:space="preserve">to </w:t>
      </w:r>
      <w:r w:rsidR="0099733D" w:rsidRPr="00813D19">
        <w:rPr>
          <w:bCs/>
          <w:lang w:val="en-US"/>
        </w:rPr>
        <w:t xml:space="preserve">clarify </w:t>
      </w:r>
      <w:r w:rsidR="005E7787" w:rsidRPr="00813D19">
        <w:rPr>
          <w:bCs/>
          <w:lang w:val="en-US"/>
        </w:rPr>
        <w:t xml:space="preserve">that the </w:t>
      </w:r>
      <w:r w:rsidR="0099733D" w:rsidRPr="00813D19">
        <w:rPr>
          <w:bCs/>
          <w:lang w:val="en-US"/>
        </w:rPr>
        <w:t xml:space="preserve">main concern, </w:t>
      </w:r>
      <w:r w:rsidR="005E7787" w:rsidRPr="00813D19">
        <w:rPr>
          <w:bCs/>
          <w:lang w:val="en-US"/>
        </w:rPr>
        <w:t>namely, the establishment of</w:t>
      </w:r>
      <w:r w:rsidR="0099733D" w:rsidRPr="00813D19">
        <w:rPr>
          <w:bCs/>
          <w:lang w:val="en-US"/>
        </w:rPr>
        <w:t xml:space="preserve"> a cent</w:t>
      </w:r>
      <w:r w:rsidR="005E7787" w:rsidRPr="00813D19">
        <w:rPr>
          <w:bCs/>
          <w:lang w:val="en-US"/>
        </w:rPr>
        <w:t>r</w:t>
      </w:r>
      <w:r w:rsidR="0099733D" w:rsidRPr="00813D19">
        <w:rPr>
          <w:bCs/>
          <w:lang w:val="en-US"/>
        </w:rPr>
        <w:t>e</w:t>
      </w:r>
      <w:r w:rsidR="005E7787" w:rsidRPr="00813D19">
        <w:rPr>
          <w:bCs/>
          <w:lang w:val="en-US"/>
        </w:rPr>
        <w:t xml:space="preserve"> for the promotion of culture heritage to attract tourism, </w:t>
      </w:r>
      <w:r w:rsidR="0099733D" w:rsidRPr="00813D19">
        <w:rPr>
          <w:bCs/>
          <w:lang w:val="en-US"/>
        </w:rPr>
        <w:t xml:space="preserve">had not yet been </w:t>
      </w:r>
      <w:r w:rsidR="005E7787" w:rsidRPr="00813D19">
        <w:rPr>
          <w:bCs/>
          <w:lang w:val="en-US"/>
        </w:rPr>
        <w:t xml:space="preserve">established. </w:t>
      </w:r>
      <w:r w:rsidR="0099733D" w:rsidRPr="00813D19">
        <w:rPr>
          <w:bCs/>
          <w:lang w:val="en-US"/>
        </w:rPr>
        <w:t>Moreover, the aim of the project</w:t>
      </w:r>
      <w:r w:rsidR="005E7787" w:rsidRPr="00813D19">
        <w:rPr>
          <w:bCs/>
          <w:lang w:val="en-US"/>
        </w:rPr>
        <w:t xml:space="preserve"> </w:t>
      </w:r>
      <w:r w:rsidR="0099733D" w:rsidRPr="00813D19">
        <w:rPr>
          <w:bCs/>
          <w:lang w:val="en-US"/>
        </w:rPr>
        <w:t>was to disseminate</w:t>
      </w:r>
      <w:r w:rsidR="005E7787" w:rsidRPr="00813D19">
        <w:rPr>
          <w:bCs/>
          <w:lang w:val="en-US"/>
        </w:rPr>
        <w:t xml:space="preserve"> information about Al Aflaj</w:t>
      </w:r>
      <w:r w:rsidR="0099733D" w:rsidRPr="00813D19">
        <w:rPr>
          <w:bCs/>
          <w:lang w:val="en-US"/>
        </w:rPr>
        <w:t xml:space="preserve"> and </w:t>
      </w:r>
      <w:r w:rsidR="005E7787" w:rsidRPr="00813D19">
        <w:rPr>
          <w:bCs/>
          <w:lang w:val="en-US"/>
        </w:rPr>
        <w:t xml:space="preserve">not to attract tourists to </w:t>
      </w:r>
      <w:r w:rsidR="0099733D" w:rsidRPr="00813D19">
        <w:rPr>
          <w:bCs/>
          <w:lang w:val="en-US"/>
        </w:rPr>
        <w:t xml:space="preserve">Al Aflaj. The delegation explained that </w:t>
      </w:r>
      <w:r w:rsidR="005E7787" w:rsidRPr="00813D19">
        <w:rPr>
          <w:bCs/>
          <w:lang w:val="en-US"/>
        </w:rPr>
        <w:t xml:space="preserve">when </w:t>
      </w:r>
      <w:r w:rsidR="0099733D" w:rsidRPr="00813D19">
        <w:rPr>
          <w:bCs/>
          <w:lang w:val="en-US"/>
        </w:rPr>
        <w:t xml:space="preserve">it </w:t>
      </w:r>
      <w:r w:rsidR="005E7787" w:rsidRPr="00813D19">
        <w:rPr>
          <w:bCs/>
          <w:lang w:val="en-US"/>
        </w:rPr>
        <w:t xml:space="preserve">raised this issue </w:t>
      </w:r>
      <w:r w:rsidR="0099733D" w:rsidRPr="00813D19">
        <w:rPr>
          <w:bCs/>
          <w:lang w:val="en-US"/>
        </w:rPr>
        <w:t xml:space="preserve">it </w:t>
      </w:r>
      <w:r w:rsidR="005E7787" w:rsidRPr="00813D19">
        <w:rPr>
          <w:bCs/>
          <w:lang w:val="en-US"/>
        </w:rPr>
        <w:t>did not expect any concern</w:t>
      </w:r>
      <w:r w:rsidR="0099733D" w:rsidRPr="00813D19">
        <w:rPr>
          <w:bCs/>
          <w:lang w:val="en-US"/>
        </w:rPr>
        <w:t>,</w:t>
      </w:r>
      <w:r w:rsidR="005E7787" w:rsidRPr="00813D19">
        <w:rPr>
          <w:bCs/>
          <w:lang w:val="en-US"/>
        </w:rPr>
        <w:t xml:space="preserve"> </w:t>
      </w:r>
      <w:r w:rsidR="0099733D" w:rsidRPr="00813D19">
        <w:rPr>
          <w:bCs/>
          <w:lang w:val="en-US"/>
        </w:rPr>
        <w:t xml:space="preserve">adding that it </w:t>
      </w:r>
      <w:r w:rsidR="00BD54BA" w:rsidRPr="00813D19">
        <w:rPr>
          <w:bCs/>
          <w:lang w:val="en-US"/>
        </w:rPr>
        <w:t xml:space="preserve">was worried </w:t>
      </w:r>
      <w:r w:rsidR="0099733D" w:rsidRPr="00813D19">
        <w:rPr>
          <w:bCs/>
          <w:lang w:val="en-US"/>
        </w:rPr>
        <w:t xml:space="preserve">that it could be misconstrued as </w:t>
      </w:r>
      <w:r w:rsidR="005E7787" w:rsidRPr="00813D19">
        <w:rPr>
          <w:bCs/>
          <w:lang w:val="en-US"/>
        </w:rPr>
        <w:t xml:space="preserve">not safeguarding </w:t>
      </w:r>
      <w:r w:rsidR="0099733D" w:rsidRPr="00813D19">
        <w:rPr>
          <w:bCs/>
          <w:lang w:val="en-US"/>
        </w:rPr>
        <w:t xml:space="preserve">the country’s </w:t>
      </w:r>
      <w:r w:rsidR="005E7787" w:rsidRPr="00813D19">
        <w:rPr>
          <w:bCs/>
          <w:lang w:val="en-US"/>
        </w:rPr>
        <w:t xml:space="preserve">cultural heritage. </w:t>
      </w:r>
      <w:r w:rsidR="0099733D" w:rsidRPr="00813D19">
        <w:rPr>
          <w:bCs/>
          <w:lang w:val="en-US"/>
        </w:rPr>
        <w:t xml:space="preserve">Thus, the </w:t>
      </w:r>
      <w:r w:rsidR="005E7787" w:rsidRPr="00813D19">
        <w:rPr>
          <w:bCs/>
          <w:lang w:val="en-US"/>
        </w:rPr>
        <w:t xml:space="preserve">main goal of </w:t>
      </w:r>
      <w:r w:rsidR="0099733D" w:rsidRPr="00813D19">
        <w:rPr>
          <w:bCs/>
          <w:lang w:val="en-US"/>
        </w:rPr>
        <w:t xml:space="preserve">the </w:t>
      </w:r>
      <w:r w:rsidR="005E7787" w:rsidRPr="00813D19">
        <w:rPr>
          <w:bCs/>
          <w:lang w:val="en-US"/>
        </w:rPr>
        <w:t>initial proje</w:t>
      </w:r>
      <w:r w:rsidR="0099733D" w:rsidRPr="00813D19">
        <w:rPr>
          <w:bCs/>
          <w:lang w:val="en-US"/>
        </w:rPr>
        <w:t xml:space="preserve">ct was not to attract tourists but to apply </w:t>
      </w:r>
      <w:r w:rsidR="005E7787" w:rsidRPr="00813D19">
        <w:rPr>
          <w:bCs/>
          <w:lang w:val="en-US"/>
        </w:rPr>
        <w:t xml:space="preserve">safeguarding measures to protect these skills and the practitioners. </w:t>
      </w:r>
      <w:r w:rsidR="0099733D" w:rsidRPr="00813D19">
        <w:rPr>
          <w:bCs/>
          <w:lang w:val="en-US"/>
        </w:rPr>
        <w:t>T</w:t>
      </w:r>
      <w:r w:rsidR="005E7787" w:rsidRPr="00813D19">
        <w:rPr>
          <w:bCs/>
          <w:lang w:val="en-US"/>
        </w:rPr>
        <w:t>he co</w:t>
      </w:r>
      <w:r w:rsidR="0099733D" w:rsidRPr="00813D19">
        <w:rPr>
          <w:bCs/>
          <w:lang w:val="en-US"/>
        </w:rPr>
        <w:t>mmunities and practitioners</w:t>
      </w:r>
      <w:r w:rsidR="005E7787" w:rsidRPr="00813D19">
        <w:rPr>
          <w:bCs/>
          <w:lang w:val="en-US"/>
        </w:rPr>
        <w:t xml:space="preserve"> have a symbolic importan</w:t>
      </w:r>
      <w:r w:rsidR="0099733D" w:rsidRPr="00813D19">
        <w:rPr>
          <w:bCs/>
          <w:lang w:val="en-US"/>
        </w:rPr>
        <w:t xml:space="preserve">ce in the United Arab Emirates, as this </w:t>
      </w:r>
      <w:r w:rsidR="005E7787" w:rsidRPr="00813D19">
        <w:rPr>
          <w:bCs/>
          <w:lang w:val="en-US"/>
        </w:rPr>
        <w:t xml:space="preserve">intangible cultural heritage </w:t>
      </w:r>
      <w:r w:rsidR="0099733D" w:rsidRPr="00813D19">
        <w:rPr>
          <w:bCs/>
          <w:lang w:val="en-US"/>
        </w:rPr>
        <w:t xml:space="preserve">has </w:t>
      </w:r>
      <w:r w:rsidR="005E7787" w:rsidRPr="00813D19">
        <w:rPr>
          <w:bCs/>
          <w:lang w:val="en-US"/>
        </w:rPr>
        <w:t>been in existence for 3,000 years</w:t>
      </w:r>
      <w:r w:rsidR="0099733D" w:rsidRPr="00813D19">
        <w:rPr>
          <w:bCs/>
          <w:lang w:val="en-US"/>
        </w:rPr>
        <w:t xml:space="preserve">. The delegation reiterated that </w:t>
      </w:r>
      <w:r w:rsidR="005E7787" w:rsidRPr="00813D19">
        <w:rPr>
          <w:bCs/>
          <w:lang w:val="en-US"/>
        </w:rPr>
        <w:t xml:space="preserve">the main goal was </w:t>
      </w:r>
      <w:r w:rsidR="0099733D" w:rsidRPr="00813D19">
        <w:rPr>
          <w:bCs/>
          <w:lang w:val="en-US"/>
        </w:rPr>
        <w:t xml:space="preserve">not </w:t>
      </w:r>
      <w:r w:rsidR="005E7787" w:rsidRPr="00813D19">
        <w:rPr>
          <w:bCs/>
          <w:lang w:val="en-US"/>
        </w:rPr>
        <w:t>to attract tourists</w:t>
      </w:r>
      <w:r w:rsidR="0099733D" w:rsidRPr="00813D19">
        <w:rPr>
          <w:bCs/>
          <w:lang w:val="en-US"/>
        </w:rPr>
        <w:t>,</w:t>
      </w:r>
      <w:r w:rsidR="005E7787" w:rsidRPr="00813D19">
        <w:rPr>
          <w:bCs/>
          <w:lang w:val="en-US"/>
        </w:rPr>
        <w:t xml:space="preserve"> and </w:t>
      </w:r>
      <w:r w:rsidR="0099733D" w:rsidRPr="00813D19">
        <w:rPr>
          <w:bCs/>
          <w:lang w:val="en-US"/>
        </w:rPr>
        <w:t xml:space="preserve">as a modern State it </w:t>
      </w:r>
      <w:r w:rsidR="005E7787" w:rsidRPr="00813D19">
        <w:rPr>
          <w:bCs/>
          <w:lang w:val="en-US"/>
        </w:rPr>
        <w:t>could have opted for modern and automatic irrigation systems</w:t>
      </w:r>
      <w:r w:rsidR="0099733D" w:rsidRPr="00813D19">
        <w:rPr>
          <w:bCs/>
          <w:lang w:val="en-US"/>
        </w:rPr>
        <w:t>,</w:t>
      </w:r>
      <w:r w:rsidR="005E7787" w:rsidRPr="00813D19">
        <w:rPr>
          <w:bCs/>
          <w:lang w:val="en-US"/>
        </w:rPr>
        <w:t xml:space="preserve"> but </w:t>
      </w:r>
      <w:r w:rsidR="0099733D" w:rsidRPr="00813D19">
        <w:rPr>
          <w:bCs/>
          <w:lang w:val="en-US"/>
        </w:rPr>
        <w:t xml:space="preserve">instead </w:t>
      </w:r>
      <w:r w:rsidR="005E7787" w:rsidRPr="00813D19">
        <w:rPr>
          <w:bCs/>
          <w:lang w:val="en-US"/>
        </w:rPr>
        <w:t xml:space="preserve">opted for updating and preserving </w:t>
      </w:r>
      <w:r w:rsidR="00BD54BA" w:rsidRPr="00813D19">
        <w:rPr>
          <w:bCs/>
          <w:lang w:val="en-US"/>
        </w:rPr>
        <w:t>its heritage</w:t>
      </w:r>
      <w:r w:rsidR="0099733D" w:rsidRPr="00813D19">
        <w:rPr>
          <w:bCs/>
          <w:lang w:val="en-US"/>
        </w:rPr>
        <w:t xml:space="preserve">, which had been </w:t>
      </w:r>
      <w:r w:rsidR="005E7787" w:rsidRPr="00813D19">
        <w:rPr>
          <w:bCs/>
          <w:lang w:val="en-US"/>
        </w:rPr>
        <w:t xml:space="preserve">inherited from </w:t>
      </w:r>
      <w:r w:rsidR="0099733D" w:rsidRPr="00813D19">
        <w:rPr>
          <w:bCs/>
          <w:lang w:val="en-US"/>
        </w:rPr>
        <w:t xml:space="preserve">its </w:t>
      </w:r>
      <w:r w:rsidR="005E7787" w:rsidRPr="00813D19">
        <w:rPr>
          <w:bCs/>
          <w:lang w:val="en-US"/>
        </w:rPr>
        <w:t xml:space="preserve">ancestors and </w:t>
      </w:r>
      <w:r w:rsidR="0099733D" w:rsidRPr="00813D19">
        <w:rPr>
          <w:bCs/>
          <w:lang w:val="en-US"/>
        </w:rPr>
        <w:t xml:space="preserve">thus the State was </w:t>
      </w:r>
      <w:r w:rsidR="005E7787" w:rsidRPr="00813D19">
        <w:rPr>
          <w:bCs/>
          <w:lang w:val="en-US"/>
        </w:rPr>
        <w:t>truly keen to preserve it</w:t>
      </w:r>
      <w:r w:rsidR="0099733D" w:rsidRPr="00813D19">
        <w:rPr>
          <w:bCs/>
          <w:lang w:val="en-US"/>
        </w:rPr>
        <w:t>.</w:t>
      </w:r>
      <w:r w:rsidR="005E7787" w:rsidRPr="00813D19">
        <w:rPr>
          <w:bCs/>
          <w:lang w:val="en-US"/>
        </w:rPr>
        <w:t xml:space="preserve"> </w:t>
      </w:r>
      <w:r w:rsidR="0099733D" w:rsidRPr="00813D19">
        <w:rPr>
          <w:bCs/>
          <w:lang w:val="en-US"/>
        </w:rPr>
        <w:t xml:space="preserve">The people </w:t>
      </w:r>
      <w:r w:rsidR="005E7787" w:rsidRPr="00813D19">
        <w:rPr>
          <w:bCs/>
          <w:lang w:val="en-US"/>
        </w:rPr>
        <w:t xml:space="preserve">who contributed </w:t>
      </w:r>
      <w:r w:rsidR="00574B9F">
        <w:rPr>
          <w:bCs/>
          <w:lang w:val="en-US"/>
        </w:rPr>
        <w:t>to</w:t>
      </w:r>
      <w:r w:rsidR="00574B9F" w:rsidRPr="00813D19">
        <w:rPr>
          <w:bCs/>
          <w:lang w:val="en-US"/>
        </w:rPr>
        <w:t xml:space="preserve"> </w:t>
      </w:r>
      <w:r w:rsidR="005E7787" w:rsidRPr="00813D19">
        <w:rPr>
          <w:bCs/>
          <w:lang w:val="en-US"/>
        </w:rPr>
        <w:t xml:space="preserve">the preparation of </w:t>
      </w:r>
      <w:r w:rsidR="0099733D" w:rsidRPr="00813D19">
        <w:rPr>
          <w:bCs/>
          <w:lang w:val="en-US"/>
        </w:rPr>
        <w:t xml:space="preserve">the </w:t>
      </w:r>
      <w:r w:rsidR="005E7787" w:rsidRPr="00813D19">
        <w:rPr>
          <w:bCs/>
          <w:lang w:val="en-US"/>
        </w:rPr>
        <w:t xml:space="preserve">file </w:t>
      </w:r>
      <w:r w:rsidR="0099733D" w:rsidRPr="00813D19">
        <w:rPr>
          <w:bCs/>
          <w:lang w:val="en-US"/>
        </w:rPr>
        <w:t xml:space="preserve">were </w:t>
      </w:r>
      <w:r w:rsidR="005E7787" w:rsidRPr="00813D19">
        <w:rPr>
          <w:bCs/>
          <w:lang w:val="en-US"/>
        </w:rPr>
        <w:t xml:space="preserve">convinced of the importance and value of this element. </w:t>
      </w:r>
      <w:r w:rsidR="0099733D" w:rsidRPr="00813D19">
        <w:rPr>
          <w:bCs/>
          <w:lang w:val="en-US"/>
        </w:rPr>
        <w:t>The delegation paid due respect to the e</w:t>
      </w:r>
      <w:r w:rsidR="005E7787" w:rsidRPr="00813D19">
        <w:rPr>
          <w:bCs/>
          <w:lang w:val="en-US"/>
        </w:rPr>
        <w:t xml:space="preserve">xperts, </w:t>
      </w:r>
      <w:r w:rsidR="0099733D" w:rsidRPr="00813D19">
        <w:rPr>
          <w:bCs/>
          <w:lang w:val="en-US"/>
        </w:rPr>
        <w:t xml:space="preserve">but wished to </w:t>
      </w:r>
      <w:r w:rsidR="005E7787" w:rsidRPr="00813D19">
        <w:rPr>
          <w:bCs/>
          <w:lang w:val="en-US"/>
        </w:rPr>
        <w:t xml:space="preserve">reassure </w:t>
      </w:r>
      <w:r w:rsidR="0099733D" w:rsidRPr="00813D19">
        <w:rPr>
          <w:bCs/>
          <w:lang w:val="en-US"/>
        </w:rPr>
        <w:t xml:space="preserve">them </w:t>
      </w:r>
      <w:r w:rsidR="005E7787" w:rsidRPr="00813D19">
        <w:rPr>
          <w:bCs/>
          <w:lang w:val="en-US"/>
        </w:rPr>
        <w:t>that thi</w:t>
      </w:r>
      <w:r w:rsidR="0099733D" w:rsidRPr="00813D19">
        <w:rPr>
          <w:bCs/>
          <w:lang w:val="en-US"/>
        </w:rPr>
        <w:t>s elem</w:t>
      </w:r>
      <w:r w:rsidR="009778DB" w:rsidRPr="00813D19">
        <w:rPr>
          <w:bCs/>
          <w:lang w:val="en-US"/>
        </w:rPr>
        <w:t xml:space="preserve">ent </w:t>
      </w:r>
      <w:r w:rsidR="00574B9F" w:rsidRPr="00813D19">
        <w:rPr>
          <w:bCs/>
          <w:lang w:val="en-US"/>
        </w:rPr>
        <w:t>ha</w:t>
      </w:r>
      <w:r w:rsidR="00574B9F">
        <w:rPr>
          <w:bCs/>
          <w:lang w:val="en-US"/>
        </w:rPr>
        <w:t>d</w:t>
      </w:r>
      <w:r w:rsidR="00574B9F" w:rsidRPr="00813D19">
        <w:rPr>
          <w:bCs/>
          <w:lang w:val="en-US"/>
        </w:rPr>
        <w:t xml:space="preserve"> </w:t>
      </w:r>
      <w:r w:rsidR="009778DB" w:rsidRPr="00813D19">
        <w:rPr>
          <w:bCs/>
          <w:lang w:val="en-US"/>
        </w:rPr>
        <w:t xml:space="preserve">a symbolic value </w:t>
      </w:r>
      <w:r w:rsidR="005E7787" w:rsidRPr="00813D19">
        <w:rPr>
          <w:bCs/>
          <w:lang w:val="en-US"/>
        </w:rPr>
        <w:t xml:space="preserve">linked to </w:t>
      </w:r>
      <w:r w:rsidR="0099733D" w:rsidRPr="00813D19">
        <w:rPr>
          <w:bCs/>
          <w:lang w:val="en-US"/>
        </w:rPr>
        <w:t xml:space="preserve">its </w:t>
      </w:r>
      <w:r w:rsidR="005E7787" w:rsidRPr="00813D19">
        <w:rPr>
          <w:bCs/>
          <w:lang w:val="en-US"/>
        </w:rPr>
        <w:t>cultural and historical heritage</w:t>
      </w:r>
      <w:r w:rsidR="0099733D" w:rsidRPr="00813D19">
        <w:rPr>
          <w:bCs/>
          <w:lang w:val="en-US"/>
        </w:rPr>
        <w:t>,</w:t>
      </w:r>
      <w:r w:rsidR="005E7787" w:rsidRPr="00813D19">
        <w:rPr>
          <w:bCs/>
          <w:lang w:val="en-US"/>
        </w:rPr>
        <w:t xml:space="preserve"> </w:t>
      </w:r>
      <w:r w:rsidR="00BD54BA" w:rsidRPr="00813D19">
        <w:rPr>
          <w:bCs/>
          <w:lang w:val="en-US"/>
        </w:rPr>
        <w:t xml:space="preserve">as </w:t>
      </w:r>
      <w:r w:rsidR="005E7787" w:rsidRPr="00813D19">
        <w:rPr>
          <w:bCs/>
          <w:lang w:val="en-US"/>
        </w:rPr>
        <w:t xml:space="preserve">also part of measures to promote </w:t>
      </w:r>
      <w:r w:rsidR="00BD54BA" w:rsidRPr="00813D19">
        <w:rPr>
          <w:bCs/>
          <w:lang w:val="en-US"/>
        </w:rPr>
        <w:t>i</w:t>
      </w:r>
      <w:r w:rsidR="0099733D" w:rsidRPr="00813D19">
        <w:rPr>
          <w:bCs/>
          <w:lang w:val="en-US"/>
        </w:rPr>
        <w:t xml:space="preserve">ts </w:t>
      </w:r>
      <w:r w:rsidR="005E7787" w:rsidRPr="00813D19">
        <w:rPr>
          <w:bCs/>
          <w:lang w:val="en-US"/>
        </w:rPr>
        <w:t xml:space="preserve">development. It contributes to the production of </w:t>
      </w:r>
      <w:r w:rsidR="0099733D" w:rsidRPr="00813D19">
        <w:rPr>
          <w:bCs/>
          <w:lang w:val="en-US"/>
        </w:rPr>
        <w:t xml:space="preserve">the nation’s </w:t>
      </w:r>
      <w:r w:rsidR="005E7787" w:rsidRPr="00813D19">
        <w:rPr>
          <w:bCs/>
          <w:lang w:val="en-US"/>
        </w:rPr>
        <w:t xml:space="preserve">food and is an economic contributor to the production </w:t>
      </w:r>
      <w:r w:rsidR="0099733D" w:rsidRPr="00813D19">
        <w:rPr>
          <w:bCs/>
          <w:lang w:val="en-US"/>
        </w:rPr>
        <w:t xml:space="preserve">and export </w:t>
      </w:r>
      <w:r w:rsidR="005E7787" w:rsidRPr="00813D19">
        <w:rPr>
          <w:bCs/>
          <w:lang w:val="en-US"/>
        </w:rPr>
        <w:t xml:space="preserve">of </w:t>
      </w:r>
      <w:r w:rsidR="003D53B3">
        <w:rPr>
          <w:bCs/>
          <w:lang w:val="en-US"/>
        </w:rPr>
        <w:t>palm dates.</w:t>
      </w:r>
    </w:p>
    <w:p w14:paraId="0546CA32" w14:textId="4966657D" w:rsidR="005E7787" w:rsidRPr="00813D19" w:rsidRDefault="005E7787" w:rsidP="00CC0C6A">
      <w:pPr>
        <w:pStyle w:val="Orateurengris"/>
        <w:spacing w:before="120"/>
        <w:ind w:left="709" w:hanging="709"/>
        <w:rPr>
          <w:lang w:val="en-US"/>
        </w:rPr>
      </w:pPr>
      <w:r w:rsidRPr="00813D19">
        <w:rPr>
          <w:bCs/>
          <w:lang w:val="en-US"/>
        </w:rPr>
        <w:t xml:space="preserve">The </w:t>
      </w:r>
      <w:r w:rsidRPr="00813D19">
        <w:rPr>
          <w:b/>
          <w:bCs/>
          <w:lang w:val="en-US"/>
        </w:rPr>
        <w:t>Chairperson</w:t>
      </w:r>
      <w:r w:rsidRPr="00813D19">
        <w:rPr>
          <w:bCs/>
          <w:lang w:val="en-US"/>
        </w:rPr>
        <w:t xml:space="preserve"> </w:t>
      </w:r>
      <w:r w:rsidR="00CC2ADA" w:rsidRPr="00813D19">
        <w:rPr>
          <w:bCs/>
          <w:lang w:val="en-US"/>
        </w:rPr>
        <w:t xml:space="preserve">recalled </w:t>
      </w:r>
      <w:r w:rsidRPr="00813D19">
        <w:rPr>
          <w:bCs/>
          <w:lang w:val="en-US"/>
        </w:rPr>
        <w:t xml:space="preserve">Rule 22.4 </w:t>
      </w:r>
      <w:r w:rsidR="00CC2ADA" w:rsidRPr="00813D19">
        <w:rPr>
          <w:bCs/>
          <w:lang w:val="en-US"/>
        </w:rPr>
        <w:t xml:space="preserve">that speakers </w:t>
      </w:r>
      <w:r w:rsidRPr="00813D19">
        <w:rPr>
          <w:bCs/>
          <w:lang w:val="en-US"/>
        </w:rPr>
        <w:t xml:space="preserve">should </w:t>
      </w:r>
      <w:r w:rsidR="00CC2ADA" w:rsidRPr="00813D19">
        <w:rPr>
          <w:bCs/>
          <w:lang w:val="en-US"/>
        </w:rPr>
        <w:t xml:space="preserve">adhere </w:t>
      </w:r>
      <w:r w:rsidRPr="00813D19">
        <w:rPr>
          <w:bCs/>
          <w:lang w:val="en-US"/>
        </w:rPr>
        <w:t xml:space="preserve">to </w:t>
      </w:r>
      <w:r w:rsidR="00CC2ADA" w:rsidRPr="00813D19">
        <w:rPr>
          <w:bCs/>
          <w:lang w:val="en-US"/>
        </w:rPr>
        <w:t xml:space="preserve">providing the </w:t>
      </w:r>
      <w:r w:rsidRPr="00813D19">
        <w:rPr>
          <w:bCs/>
          <w:lang w:val="en-US"/>
        </w:rPr>
        <w:t>clarification</w:t>
      </w:r>
      <w:r w:rsidR="00CC2ADA" w:rsidRPr="00813D19">
        <w:rPr>
          <w:bCs/>
          <w:lang w:val="en-US"/>
        </w:rPr>
        <w:t>s</w:t>
      </w:r>
      <w:r w:rsidRPr="00813D19">
        <w:rPr>
          <w:bCs/>
          <w:lang w:val="en-US"/>
        </w:rPr>
        <w:t xml:space="preserve"> requested by Committee Members</w:t>
      </w:r>
      <w:r w:rsidR="00CC2ADA" w:rsidRPr="00813D19">
        <w:rPr>
          <w:bCs/>
          <w:lang w:val="en-US"/>
        </w:rPr>
        <w:t xml:space="preserve">, noting that </w:t>
      </w:r>
      <w:r w:rsidRPr="00813D19">
        <w:rPr>
          <w:bCs/>
          <w:lang w:val="en-US"/>
        </w:rPr>
        <w:t>the United Arab Emirates</w:t>
      </w:r>
      <w:r w:rsidR="00CC2ADA" w:rsidRPr="00813D19">
        <w:rPr>
          <w:bCs/>
          <w:lang w:val="en-US"/>
        </w:rPr>
        <w:t xml:space="preserve"> had provided the clarifications.</w:t>
      </w:r>
      <w:r w:rsidRPr="00813D19">
        <w:rPr>
          <w:bCs/>
          <w:lang w:val="en-US"/>
        </w:rPr>
        <w:t xml:space="preserve"> </w:t>
      </w:r>
      <w:r w:rsidR="00BD54BA" w:rsidRPr="00813D19">
        <w:rPr>
          <w:bCs/>
          <w:lang w:val="en-US"/>
        </w:rPr>
        <w:t xml:space="preserve">He </w:t>
      </w:r>
      <w:r w:rsidRPr="00813D19">
        <w:rPr>
          <w:bCs/>
          <w:lang w:val="en-US"/>
        </w:rPr>
        <w:t>remind</w:t>
      </w:r>
      <w:r w:rsidR="00CC2ADA" w:rsidRPr="00813D19">
        <w:rPr>
          <w:bCs/>
          <w:lang w:val="en-US"/>
        </w:rPr>
        <w:t>ed</w:t>
      </w:r>
      <w:r w:rsidRPr="00813D19">
        <w:rPr>
          <w:bCs/>
          <w:lang w:val="en-US"/>
        </w:rPr>
        <w:t xml:space="preserve"> </w:t>
      </w:r>
      <w:r w:rsidR="00CC2ADA" w:rsidRPr="00813D19">
        <w:rPr>
          <w:bCs/>
          <w:lang w:val="en-US"/>
        </w:rPr>
        <w:t xml:space="preserve">the </w:t>
      </w:r>
      <w:r w:rsidRPr="00813D19">
        <w:rPr>
          <w:bCs/>
          <w:lang w:val="en-US"/>
        </w:rPr>
        <w:t xml:space="preserve">Committee </w:t>
      </w:r>
      <w:r w:rsidR="00BD54BA" w:rsidRPr="00813D19">
        <w:rPr>
          <w:bCs/>
          <w:lang w:val="en-US"/>
        </w:rPr>
        <w:t>on</w:t>
      </w:r>
      <w:r w:rsidR="00CC2ADA" w:rsidRPr="00813D19">
        <w:rPr>
          <w:bCs/>
          <w:lang w:val="en-US"/>
        </w:rPr>
        <w:t xml:space="preserve"> a point of procedure </w:t>
      </w:r>
      <w:r w:rsidRPr="00813D19">
        <w:rPr>
          <w:bCs/>
          <w:lang w:val="en-US"/>
        </w:rPr>
        <w:t xml:space="preserve">that </w:t>
      </w:r>
      <w:r w:rsidR="00CC2ADA" w:rsidRPr="00813D19">
        <w:rPr>
          <w:bCs/>
          <w:lang w:val="en-US"/>
        </w:rPr>
        <w:t xml:space="preserve">Members could not </w:t>
      </w:r>
      <w:r w:rsidRPr="00813D19">
        <w:rPr>
          <w:bCs/>
          <w:lang w:val="en-US"/>
        </w:rPr>
        <w:t xml:space="preserve">at this stage </w:t>
      </w:r>
      <w:r w:rsidR="00CC2ADA" w:rsidRPr="00813D19">
        <w:rPr>
          <w:bCs/>
          <w:lang w:val="en-US"/>
        </w:rPr>
        <w:t>voice support</w:t>
      </w:r>
      <w:r w:rsidRPr="00813D19">
        <w:rPr>
          <w:bCs/>
          <w:lang w:val="en-US"/>
        </w:rPr>
        <w:t xml:space="preserve"> </w:t>
      </w:r>
      <w:r w:rsidR="00BD54BA" w:rsidRPr="00813D19">
        <w:rPr>
          <w:bCs/>
          <w:lang w:val="en-US"/>
        </w:rPr>
        <w:t xml:space="preserve">and </w:t>
      </w:r>
      <w:r w:rsidR="00CC2ADA" w:rsidRPr="00813D19">
        <w:rPr>
          <w:bCs/>
          <w:lang w:val="en-US"/>
        </w:rPr>
        <w:t xml:space="preserve">only after </w:t>
      </w:r>
      <w:r w:rsidRPr="00813D19">
        <w:rPr>
          <w:bCs/>
          <w:lang w:val="en-US"/>
        </w:rPr>
        <w:t>clarification from the submitting State</w:t>
      </w:r>
      <w:r w:rsidR="00CC2ADA" w:rsidRPr="00813D19">
        <w:rPr>
          <w:bCs/>
          <w:lang w:val="en-US"/>
        </w:rPr>
        <w:t>.</w:t>
      </w:r>
    </w:p>
    <w:p w14:paraId="0225A426" w14:textId="74077D73" w:rsidR="002D25DB" w:rsidRPr="00813D19" w:rsidRDefault="002D25DB" w:rsidP="00CC0C6A">
      <w:pPr>
        <w:pStyle w:val="Orateurengris"/>
        <w:spacing w:before="120"/>
        <w:ind w:left="709" w:hanging="709"/>
        <w:rPr>
          <w:lang w:val="en-US"/>
        </w:rPr>
      </w:pPr>
      <w:r w:rsidRPr="00813D19">
        <w:rPr>
          <w:lang w:val="en-US"/>
        </w:rPr>
        <w:t xml:space="preserve">The </w:t>
      </w:r>
      <w:r w:rsidRPr="00813D19">
        <w:rPr>
          <w:b/>
          <w:lang w:val="en-US"/>
        </w:rPr>
        <w:t>delegation of Cyprus</w:t>
      </w:r>
      <w:r w:rsidR="005E7787" w:rsidRPr="00813D19">
        <w:rPr>
          <w:b/>
          <w:lang w:val="en-US"/>
        </w:rPr>
        <w:t xml:space="preserve"> </w:t>
      </w:r>
      <w:r w:rsidR="005E7787" w:rsidRPr="00813D19">
        <w:rPr>
          <w:lang w:val="en-US"/>
        </w:rPr>
        <w:t>thank</w:t>
      </w:r>
      <w:r w:rsidR="00AC6919" w:rsidRPr="00813D19">
        <w:rPr>
          <w:lang w:val="en-US"/>
        </w:rPr>
        <w:t>ed</w:t>
      </w:r>
      <w:r w:rsidR="005E7787" w:rsidRPr="00813D19">
        <w:rPr>
          <w:lang w:val="en-US"/>
        </w:rPr>
        <w:t xml:space="preserve"> the United Arab Emirates for the clarifications</w:t>
      </w:r>
      <w:r w:rsidR="00BD54BA" w:rsidRPr="00813D19">
        <w:rPr>
          <w:lang w:val="en-US"/>
        </w:rPr>
        <w:t>,</w:t>
      </w:r>
      <w:r w:rsidR="005E7787" w:rsidRPr="00813D19">
        <w:rPr>
          <w:lang w:val="en-US"/>
        </w:rPr>
        <w:t xml:space="preserve"> and </w:t>
      </w:r>
      <w:r w:rsidR="00BD54BA" w:rsidRPr="00813D19">
        <w:rPr>
          <w:lang w:val="en-US"/>
        </w:rPr>
        <w:t xml:space="preserve">it </w:t>
      </w:r>
      <w:r w:rsidR="00AC6919" w:rsidRPr="00813D19">
        <w:rPr>
          <w:lang w:val="en-US"/>
        </w:rPr>
        <w:t xml:space="preserve">also wished to </w:t>
      </w:r>
      <w:r w:rsidR="005E7787" w:rsidRPr="00813D19">
        <w:rPr>
          <w:lang w:val="en-US"/>
        </w:rPr>
        <w:t>have the views of the Evaluation Body concerning these clarifica</w:t>
      </w:r>
      <w:r w:rsidR="00AC6919" w:rsidRPr="00813D19">
        <w:rPr>
          <w:lang w:val="en-US"/>
        </w:rPr>
        <w:t>tions.</w:t>
      </w:r>
    </w:p>
    <w:p w14:paraId="04A7A862" w14:textId="4EAE535D" w:rsidR="002D25DB" w:rsidRPr="00813D19" w:rsidRDefault="002D25DB" w:rsidP="00CC0C6A">
      <w:pPr>
        <w:pStyle w:val="Orateurengris"/>
        <w:spacing w:before="120"/>
        <w:ind w:left="709" w:hanging="709"/>
        <w:rPr>
          <w:lang w:val="en-US"/>
        </w:rPr>
      </w:pPr>
      <w:r w:rsidRPr="00813D19">
        <w:rPr>
          <w:lang w:val="en-US"/>
        </w:rPr>
        <w:t xml:space="preserve">The </w:t>
      </w:r>
      <w:r w:rsidR="00216CB3" w:rsidRPr="00813D19">
        <w:rPr>
          <w:b/>
          <w:lang w:val="en-US"/>
        </w:rPr>
        <w:t>Chairperson of the</w:t>
      </w:r>
      <w:r w:rsidR="00216CB3" w:rsidRPr="00813D19">
        <w:rPr>
          <w:lang w:val="en-US"/>
        </w:rPr>
        <w:t xml:space="preserve"> </w:t>
      </w:r>
      <w:r w:rsidRPr="00813D19">
        <w:rPr>
          <w:b/>
          <w:lang w:val="en-US"/>
        </w:rPr>
        <w:t>Evaluation Body</w:t>
      </w:r>
      <w:r w:rsidRPr="00813D19">
        <w:rPr>
          <w:lang w:val="en-US"/>
        </w:rPr>
        <w:t xml:space="preserve"> </w:t>
      </w:r>
      <w:r w:rsidR="0058746E" w:rsidRPr="00813D19">
        <w:rPr>
          <w:lang w:val="en-US"/>
        </w:rPr>
        <w:t xml:space="preserve">noted from the </w:t>
      </w:r>
      <w:r w:rsidR="00E46B2A" w:rsidRPr="00813D19">
        <w:rPr>
          <w:bCs/>
          <w:lang w:val="en-US"/>
        </w:rPr>
        <w:t xml:space="preserve">response of the State Party </w:t>
      </w:r>
      <w:r w:rsidR="0058746E" w:rsidRPr="00813D19">
        <w:rPr>
          <w:bCs/>
          <w:lang w:val="en-US"/>
        </w:rPr>
        <w:t xml:space="preserve">that it did </w:t>
      </w:r>
      <w:r w:rsidR="00E46B2A" w:rsidRPr="00813D19">
        <w:rPr>
          <w:bCs/>
          <w:lang w:val="en-US"/>
        </w:rPr>
        <w:t xml:space="preserve">not deny the concerns raised about the development </w:t>
      </w:r>
      <w:r w:rsidR="00CC2ADA" w:rsidRPr="00813D19">
        <w:rPr>
          <w:bCs/>
          <w:lang w:val="en-US"/>
        </w:rPr>
        <w:t xml:space="preserve">project </w:t>
      </w:r>
      <w:r w:rsidR="00E46B2A" w:rsidRPr="00813D19">
        <w:rPr>
          <w:bCs/>
          <w:lang w:val="en-US"/>
        </w:rPr>
        <w:t>aimed at promoting A</w:t>
      </w:r>
      <w:r w:rsidR="00CC2ADA" w:rsidRPr="00813D19">
        <w:rPr>
          <w:bCs/>
          <w:lang w:val="en-US"/>
        </w:rPr>
        <w:t>l Aflaj as a tourist destination and that i</w:t>
      </w:r>
      <w:r w:rsidR="00E46B2A" w:rsidRPr="00813D19">
        <w:rPr>
          <w:bCs/>
          <w:lang w:val="en-US"/>
        </w:rPr>
        <w:t xml:space="preserve">t was </w:t>
      </w:r>
      <w:r w:rsidR="00D503B9" w:rsidRPr="00813D19">
        <w:rPr>
          <w:bCs/>
          <w:lang w:val="en-US"/>
        </w:rPr>
        <w:t xml:space="preserve">not its </w:t>
      </w:r>
      <w:r w:rsidR="00E46B2A" w:rsidRPr="00813D19">
        <w:rPr>
          <w:bCs/>
          <w:lang w:val="en-US"/>
        </w:rPr>
        <w:t xml:space="preserve">intention. </w:t>
      </w:r>
      <w:r w:rsidR="00D503B9" w:rsidRPr="00813D19">
        <w:rPr>
          <w:bCs/>
          <w:lang w:val="en-US"/>
        </w:rPr>
        <w:t xml:space="preserve">However, </w:t>
      </w:r>
      <w:r w:rsidR="00E46B2A" w:rsidRPr="00813D19">
        <w:rPr>
          <w:bCs/>
          <w:lang w:val="en-US"/>
        </w:rPr>
        <w:t xml:space="preserve">the information in the file </w:t>
      </w:r>
      <w:r w:rsidR="00D503B9" w:rsidRPr="00813D19">
        <w:rPr>
          <w:bCs/>
          <w:lang w:val="en-US"/>
        </w:rPr>
        <w:t xml:space="preserve">led the Body to voice </w:t>
      </w:r>
      <w:r w:rsidR="00E46B2A" w:rsidRPr="00813D19">
        <w:rPr>
          <w:bCs/>
          <w:lang w:val="en-US"/>
        </w:rPr>
        <w:t>serious c</w:t>
      </w:r>
      <w:r w:rsidR="00D503B9" w:rsidRPr="00813D19">
        <w:rPr>
          <w:bCs/>
          <w:lang w:val="en-US"/>
        </w:rPr>
        <w:t>oncern</w:t>
      </w:r>
      <w:r w:rsidR="00E46B2A" w:rsidRPr="00813D19">
        <w:rPr>
          <w:bCs/>
          <w:lang w:val="en-US"/>
        </w:rPr>
        <w:t xml:space="preserve">, </w:t>
      </w:r>
      <w:r w:rsidR="00D503B9" w:rsidRPr="00813D19">
        <w:rPr>
          <w:bCs/>
          <w:lang w:val="en-US"/>
        </w:rPr>
        <w:t xml:space="preserve">and it remained </w:t>
      </w:r>
      <w:r w:rsidR="00E46B2A" w:rsidRPr="00813D19">
        <w:rPr>
          <w:bCs/>
          <w:lang w:val="en-US"/>
        </w:rPr>
        <w:t>concern</w:t>
      </w:r>
      <w:r w:rsidR="00BD54BA" w:rsidRPr="00813D19">
        <w:rPr>
          <w:bCs/>
          <w:lang w:val="en-US"/>
        </w:rPr>
        <w:t>ed</w:t>
      </w:r>
      <w:r w:rsidR="00E46B2A" w:rsidRPr="00813D19">
        <w:rPr>
          <w:bCs/>
          <w:lang w:val="en-US"/>
        </w:rPr>
        <w:t xml:space="preserve"> </w:t>
      </w:r>
      <w:r w:rsidR="00D503B9" w:rsidRPr="00813D19">
        <w:rPr>
          <w:bCs/>
          <w:lang w:val="en-US"/>
        </w:rPr>
        <w:t>des</w:t>
      </w:r>
      <w:r w:rsidR="003D53B3">
        <w:rPr>
          <w:bCs/>
          <w:lang w:val="en-US"/>
        </w:rPr>
        <w:t>pite the clarification.</w:t>
      </w:r>
    </w:p>
    <w:p w14:paraId="7C145DF0" w14:textId="42814014" w:rsidR="00583F1A" w:rsidRPr="00813D19" w:rsidRDefault="002C7AA4" w:rsidP="00CC0C6A">
      <w:pPr>
        <w:pStyle w:val="Orateurengris"/>
        <w:spacing w:before="120"/>
        <w:ind w:left="709" w:hanging="709"/>
        <w:rPr>
          <w:lang w:val="en-US"/>
        </w:rPr>
      </w:pPr>
      <w:r w:rsidRPr="00813D19">
        <w:rPr>
          <w:lang w:val="en-US"/>
        </w:rPr>
        <w:t xml:space="preserve">The </w:t>
      </w:r>
      <w:r w:rsidRPr="00813D19">
        <w:rPr>
          <w:b/>
          <w:lang w:val="en-US"/>
        </w:rPr>
        <w:t>delegation of Kuwait</w:t>
      </w:r>
      <w:r w:rsidR="00E46B2A" w:rsidRPr="00813D19">
        <w:rPr>
          <w:b/>
          <w:lang w:val="en-US"/>
        </w:rPr>
        <w:t xml:space="preserve"> </w:t>
      </w:r>
      <w:r w:rsidR="00E46B2A" w:rsidRPr="00813D19">
        <w:rPr>
          <w:lang w:val="en-US"/>
        </w:rPr>
        <w:t>thank</w:t>
      </w:r>
      <w:r w:rsidR="00AC6919" w:rsidRPr="00813D19">
        <w:rPr>
          <w:lang w:val="en-US"/>
        </w:rPr>
        <w:t>ed</w:t>
      </w:r>
      <w:r w:rsidR="00E46B2A" w:rsidRPr="00813D19">
        <w:rPr>
          <w:lang w:val="en-US"/>
        </w:rPr>
        <w:t xml:space="preserve"> the United Arab Emirates for </w:t>
      </w:r>
      <w:r w:rsidR="00AC6919" w:rsidRPr="00813D19">
        <w:rPr>
          <w:lang w:val="en-US"/>
        </w:rPr>
        <w:t xml:space="preserve">its </w:t>
      </w:r>
      <w:r w:rsidR="00E46B2A" w:rsidRPr="00813D19">
        <w:rPr>
          <w:lang w:val="en-US"/>
        </w:rPr>
        <w:t>response</w:t>
      </w:r>
      <w:r w:rsidR="00AC6919" w:rsidRPr="00813D19">
        <w:rPr>
          <w:lang w:val="en-US"/>
        </w:rPr>
        <w:t xml:space="preserve">, adding that it </w:t>
      </w:r>
      <w:r w:rsidR="00E46B2A" w:rsidRPr="00813D19">
        <w:rPr>
          <w:lang w:val="en-US"/>
        </w:rPr>
        <w:t>support</w:t>
      </w:r>
      <w:r w:rsidR="00AC6919" w:rsidRPr="00813D19">
        <w:rPr>
          <w:lang w:val="en-US"/>
        </w:rPr>
        <w:t>ed</w:t>
      </w:r>
      <w:r w:rsidR="00E46B2A" w:rsidRPr="00813D19">
        <w:rPr>
          <w:lang w:val="en-US"/>
        </w:rPr>
        <w:t xml:space="preserve"> the Committee </w:t>
      </w:r>
      <w:r w:rsidR="00AC6919" w:rsidRPr="00813D19">
        <w:rPr>
          <w:lang w:val="en-US"/>
        </w:rPr>
        <w:t xml:space="preserve">in </w:t>
      </w:r>
      <w:r w:rsidR="001A1A7D" w:rsidRPr="00813D19">
        <w:rPr>
          <w:lang w:val="en-US"/>
        </w:rPr>
        <w:t>whichever</w:t>
      </w:r>
      <w:r w:rsidR="00AC6919" w:rsidRPr="00813D19">
        <w:rPr>
          <w:lang w:val="en-US"/>
        </w:rPr>
        <w:t xml:space="preserve"> decision</w:t>
      </w:r>
      <w:r w:rsidR="001A1A7D" w:rsidRPr="00813D19">
        <w:rPr>
          <w:lang w:val="en-US"/>
        </w:rPr>
        <w:t xml:space="preserve"> it wished to take</w:t>
      </w:r>
      <w:r w:rsidR="003D53B3">
        <w:rPr>
          <w:lang w:val="en-US"/>
        </w:rPr>
        <w:t>.</w:t>
      </w:r>
    </w:p>
    <w:p w14:paraId="168A95C5" w14:textId="7259F042" w:rsidR="00D53B6A" w:rsidRPr="00813D19" w:rsidRDefault="00D53B6A" w:rsidP="00CC0C6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turned to the draft decision on</w:t>
      </w:r>
      <w:r w:rsidR="00AC6919" w:rsidRPr="00813D19">
        <w:rPr>
          <w:lang w:val="en-US"/>
        </w:rPr>
        <w:t xml:space="preserve"> a paragraph-by-paragraph basis, and p</w:t>
      </w:r>
      <w:r w:rsidRPr="00813D19">
        <w:rPr>
          <w:lang w:val="en-US"/>
        </w:rPr>
        <w:t xml:space="preserve">aragraphs 1 and 2 were duly adopted. </w:t>
      </w:r>
      <w:r w:rsidR="0097502F" w:rsidRPr="00813D19">
        <w:rPr>
          <w:lang w:val="en-US"/>
        </w:rPr>
        <w:t>Paragraph 3 in</w:t>
      </w:r>
      <w:r w:rsidR="003D53B3">
        <w:rPr>
          <w:lang w:val="en-US"/>
        </w:rPr>
        <w:t>cluded the amendment by Kuwait.</w:t>
      </w:r>
    </w:p>
    <w:p w14:paraId="33087B06" w14:textId="34F64BAA" w:rsidR="0097502F" w:rsidRPr="00813D19" w:rsidRDefault="0097502F" w:rsidP="00CC0C6A">
      <w:pPr>
        <w:pStyle w:val="Orateurengris"/>
        <w:spacing w:before="120"/>
        <w:ind w:left="709" w:hanging="709"/>
        <w:rPr>
          <w:lang w:val="en-US"/>
        </w:rPr>
      </w:pPr>
      <w:r w:rsidRPr="00813D19">
        <w:rPr>
          <w:lang w:val="en-US"/>
        </w:rPr>
        <w:t xml:space="preserve">The </w:t>
      </w:r>
      <w:r w:rsidRPr="00813D19">
        <w:rPr>
          <w:b/>
          <w:lang w:val="en-US"/>
        </w:rPr>
        <w:t>delegation of the Netherlands</w:t>
      </w:r>
      <w:r w:rsidR="00E46B2A" w:rsidRPr="00813D19">
        <w:rPr>
          <w:b/>
          <w:lang w:val="en-US"/>
        </w:rPr>
        <w:t xml:space="preserve"> </w:t>
      </w:r>
      <w:r w:rsidR="00E46B2A" w:rsidRPr="00813D19">
        <w:rPr>
          <w:lang w:val="en-US"/>
        </w:rPr>
        <w:t>express</w:t>
      </w:r>
      <w:r w:rsidR="00AC6919" w:rsidRPr="00813D19">
        <w:rPr>
          <w:lang w:val="en-US"/>
        </w:rPr>
        <w:t>ed</w:t>
      </w:r>
      <w:r w:rsidR="00E46B2A" w:rsidRPr="00813D19">
        <w:rPr>
          <w:lang w:val="en-US"/>
        </w:rPr>
        <w:t xml:space="preserve"> concerns about the amendments</w:t>
      </w:r>
      <w:r w:rsidR="00AC6919" w:rsidRPr="00813D19">
        <w:rPr>
          <w:lang w:val="en-US"/>
        </w:rPr>
        <w:t>,</w:t>
      </w:r>
      <w:r w:rsidR="00E46B2A" w:rsidRPr="00813D19">
        <w:rPr>
          <w:lang w:val="en-US"/>
        </w:rPr>
        <w:t xml:space="preserve"> </w:t>
      </w:r>
      <w:r w:rsidR="00AC6919" w:rsidRPr="00813D19">
        <w:rPr>
          <w:lang w:val="en-US"/>
        </w:rPr>
        <w:t xml:space="preserve">as </w:t>
      </w:r>
      <w:r w:rsidR="00E46B2A" w:rsidRPr="00813D19">
        <w:rPr>
          <w:lang w:val="en-US"/>
        </w:rPr>
        <w:t>the Committee should follow the advice of the Evaluation Body as much as possible. In this case</w:t>
      </w:r>
      <w:r w:rsidR="00AC6919" w:rsidRPr="00813D19">
        <w:rPr>
          <w:lang w:val="en-US"/>
        </w:rPr>
        <w:t>,</w:t>
      </w:r>
      <w:r w:rsidR="00E46B2A" w:rsidRPr="00813D19">
        <w:rPr>
          <w:lang w:val="en-US"/>
        </w:rPr>
        <w:t xml:space="preserve"> </w:t>
      </w:r>
      <w:r w:rsidR="00AC6919" w:rsidRPr="00813D19">
        <w:rPr>
          <w:lang w:val="en-US"/>
        </w:rPr>
        <w:t xml:space="preserve">the </w:t>
      </w:r>
      <w:r w:rsidR="00E46B2A" w:rsidRPr="00813D19">
        <w:rPr>
          <w:lang w:val="en-US"/>
        </w:rPr>
        <w:t xml:space="preserve">decision by the Evaluation Body </w:t>
      </w:r>
      <w:r w:rsidR="00AC6919" w:rsidRPr="00813D19">
        <w:rPr>
          <w:lang w:val="en-US"/>
        </w:rPr>
        <w:t>touched</w:t>
      </w:r>
      <w:r w:rsidR="00E46B2A" w:rsidRPr="00813D19">
        <w:rPr>
          <w:lang w:val="en-US"/>
        </w:rPr>
        <w:t xml:space="preserve"> upon th</w:t>
      </w:r>
      <w:r w:rsidR="003D53B3">
        <w:rPr>
          <w:lang w:val="en-US"/>
        </w:rPr>
        <w:t>e principles of the Convention.</w:t>
      </w:r>
    </w:p>
    <w:p w14:paraId="674EB40C" w14:textId="66D83F58" w:rsidR="00DD1E69" w:rsidRPr="00813D19" w:rsidRDefault="00DD1E69" w:rsidP="00CC0C6A">
      <w:pPr>
        <w:pStyle w:val="Orateurengris"/>
        <w:spacing w:before="120"/>
        <w:ind w:left="709" w:hanging="709"/>
        <w:rPr>
          <w:lang w:val="en-US"/>
        </w:rPr>
      </w:pPr>
      <w:r w:rsidRPr="00813D19">
        <w:rPr>
          <w:lang w:val="en-US"/>
        </w:rPr>
        <w:t xml:space="preserve">The </w:t>
      </w:r>
      <w:r w:rsidRPr="00813D19">
        <w:rPr>
          <w:b/>
          <w:lang w:val="en-US"/>
        </w:rPr>
        <w:t>Chairperson</w:t>
      </w:r>
      <w:r w:rsidR="00AC6919" w:rsidRPr="00813D19">
        <w:rPr>
          <w:b/>
          <w:lang w:val="en-US"/>
        </w:rPr>
        <w:t xml:space="preserve"> </w:t>
      </w:r>
      <w:r w:rsidR="00AC6919" w:rsidRPr="00813D19">
        <w:rPr>
          <w:lang w:val="en-US"/>
        </w:rPr>
        <w:t>took note of the point made by the Netherlands.</w:t>
      </w:r>
    </w:p>
    <w:p w14:paraId="6613106B" w14:textId="46882120" w:rsidR="00DD1E69" w:rsidRPr="00813D19" w:rsidRDefault="00DD1E69" w:rsidP="00CC0C6A">
      <w:pPr>
        <w:pStyle w:val="Orateurengris"/>
        <w:spacing w:before="120"/>
        <w:ind w:left="709" w:hanging="709"/>
        <w:rPr>
          <w:lang w:val="en-US"/>
        </w:rPr>
      </w:pPr>
      <w:r w:rsidRPr="00813D19">
        <w:rPr>
          <w:lang w:val="en-US"/>
        </w:rPr>
        <w:t xml:space="preserve">The </w:t>
      </w:r>
      <w:r w:rsidRPr="00813D19">
        <w:rPr>
          <w:b/>
          <w:lang w:val="en-US"/>
        </w:rPr>
        <w:t>delegation of Austria</w:t>
      </w:r>
      <w:r w:rsidR="00E46B2A" w:rsidRPr="00813D19">
        <w:rPr>
          <w:b/>
          <w:lang w:val="en-US"/>
        </w:rPr>
        <w:t xml:space="preserve"> </w:t>
      </w:r>
      <w:r w:rsidR="00E46B2A" w:rsidRPr="00813D19">
        <w:rPr>
          <w:lang w:val="en-US"/>
        </w:rPr>
        <w:t xml:space="preserve">found </w:t>
      </w:r>
      <w:r w:rsidR="0058746E" w:rsidRPr="00813D19">
        <w:rPr>
          <w:lang w:val="en-US"/>
        </w:rPr>
        <w:t xml:space="preserve">the </w:t>
      </w:r>
      <w:r w:rsidR="00E46B2A" w:rsidRPr="00813D19">
        <w:rPr>
          <w:lang w:val="en-US"/>
        </w:rPr>
        <w:t xml:space="preserve">element </w:t>
      </w:r>
      <w:r w:rsidR="0058746E" w:rsidRPr="00813D19">
        <w:rPr>
          <w:lang w:val="en-US"/>
        </w:rPr>
        <w:t xml:space="preserve">very interesting, noting that there were </w:t>
      </w:r>
      <w:r w:rsidR="00E46B2A" w:rsidRPr="00813D19">
        <w:rPr>
          <w:lang w:val="en-US"/>
        </w:rPr>
        <w:t xml:space="preserve">two traditional water management systems </w:t>
      </w:r>
      <w:r w:rsidR="0058746E" w:rsidRPr="00813D19">
        <w:rPr>
          <w:lang w:val="en-US"/>
        </w:rPr>
        <w:t xml:space="preserve">submitted in </w:t>
      </w:r>
      <w:r w:rsidR="00BD54BA" w:rsidRPr="00813D19">
        <w:rPr>
          <w:lang w:val="en-US"/>
        </w:rPr>
        <w:t>this cycle</w:t>
      </w:r>
      <w:r w:rsidR="0058746E" w:rsidRPr="00813D19">
        <w:rPr>
          <w:lang w:val="en-US"/>
        </w:rPr>
        <w:t xml:space="preserve">. Nevertheless, </w:t>
      </w:r>
      <w:r w:rsidR="00E46B2A" w:rsidRPr="00813D19">
        <w:rPr>
          <w:lang w:val="en-US"/>
        </w:rPr>
        <w:t>with regard to the Operational</w:t>
      </w:r>
      <w:r w:rsidR="0058746E" w:rsidRPr="00813D19">
        <w:rPr>
          <w:lang w:val="en-US"/>
        </w:rPr>
        <w:t xml:space="preserve"> Directives, </w:t>
      </w:r>
      <w:r w:rsidR="00574B9F">
        <w:rPr>
          <w:lang w:val="en-US"/>
        </w:rPr>
        <w:t>C</w:t>
      </w:r>
      <w:r w:rsidR="00574B9F" w:rsidRPr="00813D19">
        <w:rPr>
          <w:lang w:val="en-US"/>
        </w:rPr>
        <w:t xml:space="preserve">hapter </w:t>
      </w:r>
      <w:r w:rsidR="0058746E" w:rsidRPr="00813D19">
        <w:rPr>
          <w:lang w:val="en-US"/>
        </w:rPr>
        <w:t>6</w:t>
      </w:r>
      <w:r w:rsidR="001A1A7D" w:rsidRPr="00813D19">
        <w:rPr>
          <w:lang w:val="en-US"/>
        </w:rPr>
        <w:t>,</w:t>
      </w:r>
      <w:r w:rsidR="0058746E" w:rsidRPr="00813D19">
        <w:rPr>
          <w:lang w:val="en-US"/>
        </w:rPr>
        <w:t xml:space="preserve"> and the </w:t>
      </w:r>
      <w:r w:rsidR="001A1A7D" w:rsidRPr="00813D19">
        <w:rPr>
          <w:lang w:val="en-US"/>
        </w:rPr>
        <w:t>Ethical P</w:t>
      </w:r>
      <w:r w:rsidR="00E46B2A" w:rsidRPr="00813D19">
        <w:rPr>
          <w:lang w:val="en-US"/>
        </w:rPr>
        <w:t>rinciples</w:t>
      </w:r>
      <w:r w:rsidR="0058746E" w:rsidRPr="00813D19">
        <w:rPr>
          <w:lang w:val="en-US"/>
        </w:rPr>
        <w:t xml:space="preserve">, the delegation </w:t>
      </w:r>
      <w:r w:rsidR="001A1A7D" w:rsidRPr="00813D19">
        <w:rPr>
          <w:lang w:val="en-US"/>
        </w:rPr>
        <w:t xml:space="preserve">still </w:t>
      </w:r>
      <w:r w:rsidR="0058746E" w:rsidRPr="00813D19">
        <w:rPr>
          <w:lang w:val="en-US"/>
        </w:rPr>
        <w:t xml:space="preserve">had concerns about </w:t>
      </w:r>
      <w:r w:rsidR="00574B9F">
        <w:rPr>
          <w:lang w:val="en-US"/>
        </w:rPr>
        <w:t>S</w:t>
      </w:r>
      <w:r w:rsidR="00574B9F" w:rsidRPr="00813D19">
        <w:rPr>
          <w:lang w:val="en-US"/>
        </w:rPr>
        <w:t xml:space="preserve">ection </w:t>
      </w:r>
      <w:r w:rsidR="0058746E" w:rsidRPr="00813D19">
        <w:rPr>
          <w:lang w:val="en-US"/>
        </w:rPr>
        <w:t>3.b</w:t>
      </w:r>
      <w:r w:rsidR="003D53B3">
        <w:rPr>
          <w:lang w:val="en-US"/>
        </w:rPr>
        <w:t>.</w:t>
      </w:r>
    </w:p>
    <w:p w14:paraId="73A10136" w14:textId="77F896C9" w:rsidR="000D2217" w:rsidRPr="00813D19" w:rsidRDefault="000D2217" w:rsidP="00BD54B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sought </w:t>
      </w:r>
      <w:r w:rsidR="005400AF" w:rsidRPr="00813D19">
        <w:rPr>
          <w:lang w:val="en-US"/>
        </w:rPr>
        <w:t xml:space="preserve">broad </w:t>
      </w:r>
      <w:r w:rsidRPr="00813D19">
        <w:rPr>
          <w:lang w:val="en-US"/>
        </w:rPr>
        <w:t xml:space="preserve">support </w:t>
      </w:r>
      <w:r w:rsidR="005400AF" w:rsidRPr="00813D19">
        <w:rPr>
          <w:lang w:val="en-US"/>
        </w:rPr>
        <w:t xml:space="preserve">from the Committee </w:t>
      </w:r>
      <w:r w:rsidRPr="00813D19">
        <w:rPr>
          <w:lang w:val="en-US"/>
        </w:rPr>
        <w:t xml:space="preserve">for the amendment by Kuwait. With no </w:t>
      </w:r>
      <w:r w:rsidR="005400AF" w:rsidRPr="00813D19">
        <w:rPr>
          <w:lang w:val="en-US"/>
        </w:rPr>
        <w:t xml:space="preserve">active </w:t>
      </w:r>
      <w:r w:rsidRPr="00813D19">
        <w:rPr>
          <w:lang w:val="en-US"/>
        </w:rPr>
        <w:t xml:space="preserve">support, the Chairperson pronounced the original paragraph 3 adopted. </w:t>
      </w:r>
      <w:r w:rsidR="001A1A7D" w:rsidRPr="00813D19">
        <w:rPr>
          <w:lang w:val="en-US"/>
        </w:rPr>
        <w:t xml:space="preserve">Kuwait also presented an amendment in paragraph 4. </w:t>
      </w:r>
      <w:r w:rsidR="005400AF" w:rsidRPr="00813D19">
        <w:rPr>
          <w:lang w:val="en-US"/>
        </w:rPr>
        <w:t xml:space="preserve">However, as </w:t>
      </w:r>
      <w:r w:rsidR="00E46B2A" w:rsidRPr="00813D19">
        <w:rPr>
          <w:lang w:val="en-US"/>
        </w:rPr>
        <w:t xml:space="preserve">paragraph 4 </w:t>
      </w:r>
      <w:r w:rsidR="005400AF" w:rsidRPr="00813D19">
        <w:rPr>
          <w:lang w:val="en-US"/>
        </w:rPr>
        <w:t xml:space="preserve">could not stand alone, </w:t>
      </w:r>
      <w:r w:rsidR="00E46B2A" w:rsidRPr="00813D19">
        <w:rPr>
          <w:lang w:val="en-US"/>
        </w:rPr>
        <w:t xml:space="preserve">the </w:t>
      </w:r>
      <w:r w:rsidR="005400AF" w:rsidRPr="00813D19">
        <w:rPr>
          <w:lang w:val="en-US"/>
        </w:rPr>
        <w:t xml:space="preserve">original </w:t>
      </w:r>
      <w:r w:rsidR="00E46B2A" w:rsidRPr="00813D19">
        <w:rPr>
          <w:lang w:val="en-US"/>
        </w:rPr>
        <w:t xml:space="preserve">paragraph </w:t>
      </w:r>
      <w:r w:rsidR="005400AF" w:rsidRPr="00813D19">
        <w:rPr>
          <w:lang w:val="en-US"/>
        </w:rPr>
        <w:t>4 was adopted.</w:t>
      </w:r>
      <w:r w:rsidR="00BD54BA" w:rsidRPr="00813D19">
        <w:rPr>
          <w:lang w:val="en-US"/>
        </w:rPr>
        <w:t xml:space="preserve"> </w:t>
      </w:r>
      <w:r w:rsidR="00FA2CE6" w:rsidRPr="00813D19">
        <w:rPr>
          <w:lang w:val="en-US"/>
        </w:rPr>
        <w:t>Kuwait</w:t>
      </w:r>
      <w:r w:rsidRPr="00813D19">
        <w:rPr>
          <w:lang w:val="en-US"/>
        </w:rPr>
        <w:t xml:space="preserve"> </w:t>
      </w:r>
      <w:r w:rsidR="00C958C6" w:rsidRPr="00813D19">
        <w:rPr>
          <w:lang w:val="en-US"/>
        </w:rPr>
        <w:t>confirmed this</w:t>
      </w:r>
      <w:r w:rsidR="003D53B3">
        <w:rPr>
          <w:lang w:val="en-US"/>
        </w:rPr>
        <w:t xml:space="preserve"> understanding.</w:t>
      </w:r>
    </w:p>
    <w:p w14:paraId="680D9EF3" w14:textId="67B4CEB7" w:rsidR="00E46B2A" w:rsidRPr="00813D19" w:rsidRDefault="00E46B2A" w:rsidP="00CC0C6A">
      <w:pPr>
        <w:pStyle w:val="Orateurengris"/>
        <w:spacing w:before="120"/>
        <w:ind w:left="709" w:hanging="709"/>
        <w:rPr>
          <w:lang w:val="en-US"/>
        </w:rPr>
      </w:pPr>
      <w:r w:rsidRPr="00813D19">
        <w:rPr>
          <w:lang w:val="en-US"/>
        </w:rPr>
        <w:t xml:space="preserve">The </w:t>
      </w:r>
      <w:r w:rsidRPr="00813D19">
        <w:rPr>
          <w:b/>
          <w:lang w:val="en-US"/>
        </w:rPr>
        <w:t>delegation of United Arab Emirates</w:t>
      </w:r>
      <w:r w:rsidRPr="00813D19">
        <w:rPr>
          <w:lang w:val="en-US"/>
        </w:rPr>
        <w:t xml:space="preserve"> </w:t>
      </w:r>
      <w:r w:rsidRPr="00813D19">
        <w:rPr>
          <w:bCs/>
          <w:lang w:val="en-US"/>
        </w:rPr>
        <w:t>fully respect</w:t>
      </w:r>
      <w:r w:rsidR="00026827" w:rsidRPr="00813D19">
        <w:rPr>
          <w:bCs/>
          <w:lang w:val="en-US"/>
        </w:rPr>
        <w:t>ed</w:t>
      </w:r>
      <w:r w:rsidRPr="00813D19">
        <w:rPr>
          <w:bCs/>
          <w:lang w:val="en-US"/>
        </w:rPr>
        <w:t xml:space="preserve"> the </w:t>
      </w:r>
      <w:r w:rsidR="005400AF" w:rsidRPr="00813D19">
        <w:rPr>
          <w:bCs/>
          <w:lang w:val="en-US"/>
        </w:rPr>
        <w:t xml:space="preserve">decision of the Committee, and </w:t>
      </w:r>
      <w:r w:rsidRPr="00813D19">
        <w:rPr>
          <w:bCs/>
          <w:lang w:val="en-US"/>
        </w:rPr>
        <w:t xml:space="preserve">expressed reassurances </w:t>
      </w:r>
      <w:r w:rsidR="005400AF" w:rsidRPr="00813D19">
        <w:rPr>
          <w:bCs/>
          <w:lang w:val="en-US"/>
        </w:rPr>
        <w:t xml:space="preserve">that </w:t>
      </w:r>
      <w:r w:rsidRPr="00813D19">
        <w:rPr>
          <w:bCs/>
          <w:lang w:val="en-US"/>
        </w:rPr>
        <w:t xml:space="preserve">the practitioners and bearers are recognized as such and that </w:t>
      </w:r>
      <w:r w:rsidR="005400AF" w:rsidRPr="00813D19">
        <w:rPr>
          <w:bCs/>
          <w:lang w:val="en-US"/>
        </w:rPr>
        <w:t xml:space="preserve">it would do its </w:t>
      </w:r>
      <w:r w:rsidRPr="00813D19">
        <w:rPr>
          <w:bCs/>
          <w:lang w:val="en-US"/>
        </w:rPr>
        <w:t xml:space="preserve">utmost to safeguard and preserve this element. </w:t>
      </w:r>
      <w:r w:rsidR="005400AF" w:rsidRPr="00813D19">
        <w:rPr>
          <w:bCs/>
          <w:lang w:val="en-US"/>
        </w:rPr>
        <w:t xml:space="preserve">It had sought </w:t>
      </w:r>
      <w:r w:rsidRPr="00813D19">
        <w:rPr>
          <w:bCs/>
          <w:lang w:val="en-US"/>
        </w:rPr>
        <w:t xml:space="preserve">inscription precisely </w:t>
      </w:r>
      <w:r w:rsidR="005400AF" w:rsidRPr="00813D19">
        <w:rPr>
          <w:bCs/>
          <w:lang w:val="en-US"/>
        </w:rPr>
        <w:t xml:space="preserve">in order to promote the element, </w:t>
      </w:r>
      <w:r w:rsidR="00BD54BA" w:rsidRPr="00813D19">
        <w:rPr>
          <w:bCs/>
          <w:lang w:val="en-US"/>
        </w:rPr>
        <w:t>hoping</w:t>
      </w:r>
      <w:r w:rsidRPr="00813D19">
        <w:rPr>
          <w:bCs/>
          <w:lang w:val="en-US"/>
        </w:rPr>
        <w:t xml:space="preserve"> that </w:t>
      </w:r>
      <w:r w:rsidR="005400AF" w:rsidRPr="00813D19">
        <w:rPr>
          <w:bCs/>
          <w:lang w:val="en-US"/>
        </w:rPr>
        <w:t xml:space="preserve">it </w:t>
      </w:r>
      <w:r w:rsidRPr="00813D19">
        <w:rPr>
          <w:bCs/>
          <w:lang w:val="en-US"/>
        </w:rPr>
        <w:t xml:space="preserve">could persuade </w:t>
      </w:r>
      <w:r w:rsidR="005400AF" w:rsidRPr="00813D19">
        <w:rPr>
          <w:bCs/>
          <w:lang w:val="en-US"/>
        </w:rPr>
        <w:t xml:space="preserve">the Committee </w:t>
      </w:r>
      <w:r w:rsidRPr="00813D19">
        <w:rPr>
          <w:bCs/>
          <w:lang w:val="en-US"/>
        </w:rPr>
        <w:t xml:space="preserve">that the element </w:t>
      </w:r>
      <w:r w:rsidR="005400AF" w:rsidRPr="00813D19">
        <w:rPr>
          <w:bCs/>
          <w:lang w:val="en-US"/>
        </w:rPr>
        <w:t xml:space="preserve">met </w:t>
      </w:r>
      <w:r w:rsidRPr="00813D19">
        <w:rPr>
          <w:bCs/>
          <w:lang w:val="en-US"/>
        </w:rPr>
        <w:t xml:space="preserve">all the criteria for inscription. </w:t>
      </w:r>
      <w:r w:rsidR="005400AF" w:rsidRPr="00813D19">
        <w:rPr>
          <w:bCs/>
          <w:lang w:val="en-US"/>
        </w:rPr>
        <w:t xml:space="preserve">Nevertheless, </w:t>
      </w:r>
      <w:r w:rsidRPr="00813D19">
        <w:rPr>
          <w:bCs/>
          <w:lang w:val="en-US"/>
        </w:rPr>
        <w:t xml:space="preserve">corrections </w:t>
      </w:r>
      <w:r w:rsidR="00B004C7" w:rsidRPr="00813D19">
        <w:rPr>
          <w:bCs/>
          <w:lang w:val="en-US"/>
        </w:rPr>
        <w:t xml:space="preserve">could be made in </w:t>
      </w:r>
      <w:r w:rsidRPr="00813D19">
        <w:rPr>
          <w:bCs/>
          <w:lang w:val="en-US"/>
        </w:rPr>
        <w:t xml:space="preserve">criterion </w:t>
      </w:r>
      <w:r w:rsidR="00B004C7" w:rsidRPr="00813D19">
        <w:rPr>
          <w:bCs/>
          <w:lang w:val="en-US"/>
        </w:rPr>
        <w:t>R.3 in a future submission</w:t>
      </w:r>
      <w:r w:rsidR="00C958C6" w:rsidRPr="00813D19">
        <w:rPr>
          <w:bCs/>
          <w:lang w:val="en-US"/>
        </w:rPr>
        <w:t xml:space="preserve"> so as </w:t>
      </w:r>
      <w:r w:rsidR="00BD54BA" w:rsidRPr="00813D19">
        <w:rPr>
          <w:bCs/>
          <w:lang w:val="en-US"/>
        </w:rPr>
        <w:t xml:space="preserve">to </w:t>
      </w:r>
      <w:r w:rsidRPr="00813D19">
        <w:rPr>
          <w:bCs/>
          <w:lang w:val="en-US"/>
        </w:rPr>
        <w:t xml:space="preserve">convince </w:t>
      </w:r>
      <w:r w:rsidR="00B004C7" w:rsidRPr="00813D19">
        <w:rPr>
          <w:bCs/>
          <w:lang w:val="en-US"/>
        </w:rPr>
        <w:t>the Committee and allay any misgivings</w:t>
      </w:r>
      <w:r w:rsidR="003D53B3">
        <w:rPr>
          <w:bCs/>
          <w:lang w:val="en-US"/>
        </w:rPr>
        <w:t>.</w:t>
      </w:r>
    </w:p>
    <w:p w14:paraId="2CB791D2" w14:textId="72947A9A" w:rsidR="00FA2CE6" w:rsidRPr="003D53B3" w:rsidRDefault="00FA2CE6" w:rsidP="00CC0C6A">
      <w:pPr>
        <w:pStyle w:val="Orateurengris"/>
        <w:spacing w:before="120"/>
        <w:ind w:left="709" w:hanging="709"/>
        <w:rPr>
          <w:bCs/>
          <w:lang w:val="en-US"/>
        </w:rPr>
      </w:pPr>
      <w:r w:rsidRPr="00813D19">
        <w:rPr>
          <w:lang w:val="en-US"/>
        </w:rPr>
        <w:t xml:space="preserve">The </w:t>
      </w:r>
      <w:r w:rsidRPr="00813D19">
        <w:rPr>
          <w:b/>
          <w:lang w:val="en-US"/>
        </w:rPr>
        <w:t>Chairperson</w:t>
      </w:r>
      <w:r w:rsidR="00AC6919" w:rsidRPr="00813D19">
        <w:rPr>
          <w:lang w:val="en-US"/>
        </w:rPr>
        <w:t xml:space="preserve"> returned to paragraphs 5–</w:t>
      </w:r>
      <w:r w:rsidRPr="00813D19">
        <w:rPr>
          <w:lang w:val="en-US"/>
        </w:rPr>
        <w:t xml:space="preserve">7, which were duly adopted. The </w:t>
      </w:r>
      <w:r w:rsidRPr="002827E3">
        <w:rPr>
          <w:b/>
          <w:lang w:val="en-US"/>
        </w:rPr>
        <w:t>Chairperson</w:t>
      </w:r>
      <w:r w:rsidRPr="00813D19">
        <w:rPr>
          <w:lang w:val="en-US"/>
        </w:rPr>
        <w:t xml:space="preserve"> </w:t>
      </w:r>
      <w:r w:rsidRPr="00813D19">
        <w:rPr>
          <w:b/>
          <w:lang w:val="en-US"/>
        </w:rPr>
        <w:t xml:space="preserve">declared Decision </w:t>
      </w:r>
      <w:hyperlink r:id="rId137" w:history="1">
        <w:r w:rsidRPr="00813D19">
          <w:rPr>
            <w:rStyle w:val="Hyperlink"/>
            <w:b/>
            <w:lang w:val="en-US"/>
          </w:rPr>
          <w:t>13.COM 10.b.39</w:t>
        </w:r>
      </w:hyperlink>
      <w:r w:rsidRPr="00813D19">
        <w:rPr>
          <w:b/>
          <w:lang w:val="en-US"/>
        </w:rPr>
        <w:t xml:space="preserve"> adopted not to inscribe </w:t>
      </w:r>
      <w:r w:rsidRPr="00813D19">
        <w:rPr>
          <w:b/>
          <w:color w:val="000000" w:themeColor="text1"/>
          <w:lang w:val="en-US"/>
        </w:rPr>
        <w:t>Al Aflaj, traditional irrigation network system in the UAE, oral traditions, knowledge and skills of construction, maintenance and equitable water distribution</w:t>
      </w:r>
      <w:r w:rsidRPr="00813D19">
        <w:rPr>
          <w:color w:val="000000" w:themeColor="text1"/>
          <w:lang w:val="en-US"/>
        </w:rPr>
        <w:t xml:space="preserve"> </w:t>
      </w:r>
      <w:r w:rsidRPr="00813D19">
        <w:rPr>
          <w:b/>
          <w:color w:val="000000" w:themeColor="text1"/>
          <w:lang w:val="en-US"/>
        </w:rPr>
        <w:t>on the Representative List</w:t>
      </w:r>
      <w:r w:rsidRPr="003D53B3">
        <w:rPr>
          <w:bCs/>
          <w:snapToGrid/>
          <w:color w:val="000000" w:themeColor="text1"/>
          <w:lang w:val="en-US"/>
        </w:rPr>
        <w:t>.</w:t>
      </w:r>
    </w:p>
    <w:p w14:paraId="21248938" w14:textId="0E478C49" w:rsidR="00C15D93" w:rsidRPr="00813D19" w:rsidRDefault="00EF57E1" w:rsidP="00FA2CE6">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turned to the next nomination</w:t>
      </w:r>
      <w:r w:rsidR="00574B9F">
        <w:rPr>
          <w:color w:val="000000" w:themeColor="text1"/>
          <w:lang w:val="en-US"/>
        </w:rPr>
        <w:t>,</w:t>
      </w:r>
      <w:r w:rsidRPr="00813D19">
        <w:rPr>
          <w:color w:val="000000" w:themeColor="text1"/>
          <w:lang w:val="en-US"/>
        </w:rPr>
        <w:t xml:space="preserve"> </w:t>
      </w:r>
      <w:r w:rsidRPr="00813D19">
        <w:rPr>
          <w:b/>
          <w:color w:val="000000" w:themeColor="text1"/>
          <w:lang w:val="en-US"/>
        </w:rPr>
        <w:t xml:space="preserve">Mooba dance of the Lenje ethnic group of Central Province of Zambia </w:t>
      </w:r>
      <w:r w:rsidRPr="00813D19">
        <w:rPr>
          <w:color w:val="000000" w:themeColor="text1"/>
          <w:lang w:val="en-US"/>
        </w:rPr>
        <w:t>[draft decision 13.COM 10.b.40]</w:t>
      </w:r>
      <w:r w:rsidR="00574B9F">
        <w:rPr>
          <w:color w:val="000000" w:themeColor="text1"/>
          <w:lang w:val="en-US"/>
        </w:rPr>
        <w:t>,</w:t>
      </w:r>
      <w:r w:rsidRPr="00813D19">
        <w:rPr>
          <w:color w:val="000000" w:themeColor="text1"/>
          <w:lang w:val="en-US"/>
        </w:rPr>
        <w:t xml:space="preserve"> submitted by</w:t>
      </w:r>
      <w:r w:rsidRPr="00813D19">
        <w:rPr>
          <w:b/>
          <w:color w:val="000000" w:themeColor="text1"/>
          <w:lang w:val="en-US"/>
        </w:rPr>
        <w:t xml:space="preserve"> Zambia.</w:t>
      </w:r>
      <w:r w:rsidRPr="00813D19">
        <w:rPr>
          <w:color w:val="000000" w:themeColor="text1"/>
          <w:lang w:val="en-US"/>
        </w:rPr>
        <w:t xml:space="preserve"> </w:t>
      </w:r>
      <w:r w:rsidR="00A9557C" w:rsidRPr="00813D19">
        <w:rPr>
          <w:lang w:val="en-US"/>
        </w:rPr>
        <w:t>Mooba is the main dance of the Lenje ethnic grou</w:t>
      </w:r>
      <w:r w:rsidR="006B08BC" w:rsidRPr="00813D19">
        <w:rPr>
          <w:lang w:val="en-US"/>
        </w:rPr>
        <w:t>p of Central Province of Zambia</w:t>
      </w:r>
      <w:r w:rsidR="00574B9F">
        <w:rPr>
          <w:lang w:val="en-US"/>
        </w:rPr>
        <w:t>,</w:t>
      </w:r>
      <w:r w:rsidR="00A9557C" w:rsidRPr="00813D19">
        <w:rPr>
          <w:lang w:val="en-US"/>
        </w:rPr>
        <w:t xml:space="preserve"> performed since pre-colonial times. Mooba serves both entertainment and healing functions, and contributes to the spiritual identity of the community.</w:t>
      </w:r>
      <w:r w:rsidR="00590C23" w:rsidRPr="00813D19">
        <w:rPr>
          <w:lang w:val="en-US"/>
        </w:rPr>
        <w:t xml:space="preserve"> </w:t>
      </w:r>
      <w:r w:rsidR="00A9557C" w:rsidRPr="00813D19">
        <w:rPr>
          <w:lang w:val="en-US"/>
        </w:rPr>
        <w:t>From the information included in th</w:t>
      </w:r>
      <w:r w:rsidR="00A84B0C" w:rsidRPr="00813D19">
        <w:rPr>
          <w:lang w:val="en-US"/>
        </w:rPr>
        <w:t>e file, the nomination satisfied</w:t>
      </w:r>
      <w:r w:rsidR="00A9557C" w:rsidRPr="00813D19">
        <w:rPr>
          <w:lang w:val="en-US"/>
        </w:rPr>
        <w:t xml:space="preserve"> all five criteria. The Evaluation Body considered that</w:t>
      </w:r>
      <w:r w:rsidR="00A9557C" w:rsidRPr="00813D19">
        <w:rPr>
          <w:b/>
          <w:lang w:val="en-US"/>
        </w:rPr>
        <w:t xml:space="preserve"> </w:t>
      </w:r>
      <w:r w:rsidR="00A9557C" w:rsidRPr="00813D19">
        <w:rPr>
          <w:lang w:val="en-US"/>
        </w:rPr>
        <w:t>Mooba dance of the Lenje ethnic group of Central Province of Zambia plays an important role in the structure of Lenje culture, relating to the social and spiritual life of the local communities. The element brings together different ethnic groups, builds social cohesion, encourages dialogue among practitioners and ordinary members of the community</w:t>
      </w:r>
      <w:r w:rsidR="006B08BC" w:rsidRPr="00813D19">
        <w:rPr>
          <w:lang w:val="en-US"/>
        </w:rPr>
        <w:t>,</w:t>
      </w:r>
      <w:r w:rsidR="00A9557C" w:rsidRPr="00813D19">
        <w:rPr>
          <w:lang w:val="en-US"/>
        </w:rPr>
        <w:t xml:space="preserve"> and fosters a sense of belonging and identity, especially among young performers.</w:t>
      </w:r>
      <w:r w:rsidR="00A9557C" w:rsidRPr="00813D19">
        <w:rPr>
          <w:noProof/>
          <w:lang w:val="en-US"/>
        </w:rPr>
        <w:t xml:space="preserve"> The safeguarding measures </w:t>
      </w:r>
      <w:r w:rsidR="00574B9F" w:rsidRPr="00813D19">
        <w:rPr>
          <w:noProof/>
          <w:lang w:val="en-US"/>
        </w:rPr>
        <w:t xml:space="preserve">planned </w:t>
      </w:r>
      <w:r w:rsidR="00A9557C" w:rsidRPr="00813D19">
        <w:rPr>
          <w:noProof/>
          <w:lang w:val="en-US"/>
        </w:rPr>
        <w:t xml:space="preserve">focus on </w:t>
      </w:r>
      <w:r w:rsidR="006B08BC" w:rsidRPr="00813D19">
        <w:rPr>
          <w:noProof/>
          <w:lang w:val="en-US"/>
        </w:rPr>
        <w:t xml:space="preserve">the </w:t>
      </w:r>
      <w:r w:rsidR="00A9557C" w:rsidRPr="00813D19">
        <w:rPr>
          <w:lang w:val="en-US"/>
        </w:rPr>
        <w:t>identification, presentation and safeguarding of Mooba dance and</w:t>
      </w:r>
      <w:r w:rsidR="00A9557C" w:rsidRPr="00813D19">
        <w:rPr>
          <w:noProof/>
          <w:lang w:val="en-US"/>
        </w:rPr>
        <w:t xml:space="preserve"> </w:t>
      </w:r>
      <w:r w:rsidR="00574B9F">
        <w:rPr>
          <w:lang w:val="en-US"/>
        </w:rPr>
        <w:t>would</w:t>
      </w:r>
      <w:r w:rsidR="00574B9F" w:rsidRPr="00813D19">
        <w:rPr>
          <w:lang w:val="en-US"/>
        </w:rPr>
        <w:t xml:space="preserve"> </w:t>
      </w:r>
      <w:r w:rsidR="00A9557C" w:rsidRPr="00813D19">
        <w:rPr>
          <w:lang w:val="en-US"/>
        </w:rPr>
        <w:t>be implemented by local communities, s</w:t>
      </w:r>
      <w:r w:rsidR="00C958C6" w:rsidRPr="00813D19">
        <w:rPr>
          <w:lang w:val="en-US"/>
        </w:rPr>
        <w:t>upported by various government</w:t>
      </w:r>
      <w:r w:rsidR="00A9557C" w:rsidRPr="00813D19">
        <w:rPr>
          <w:lang w:val="en-US"/>
        </w:rPr>
        <w:t xml:space="preserve"> authorities and national organizations.</w:t>
      </w:r>
      <w:r w:rsidR="00590C23" w:rsidRPr="00813D19">
        <w:rPr>
          <w:lang w:val="en-US"/>
        </w:rPr>
        <w:t xml:space="preserve"> </w:t>
      </w:r>
      <w:r w:rsidR="00A9557C" w:rsidRPr="00813D19">
        <w:rPr>
          <w:lang w:val="en-US"/>
        </w:rPr>
        <w:t>The Evaluation Body remind</w:t>
      </w:r>
      <w:r w:rsidR="006B08BC" w:rsidRPr="00813D19">
        <w:rPr>
          <w:lang w:val="en-US"/>
        </w:rPr>
        <w:t>ed</w:t>
      </w:r>
      <w:r w:rsidR="00A9557C" w:rsidRPr="00813D19">
        <w:rPr>
          <w:lang w:val="en-US"/>
        </w:rPr>
        <w:t xml:space="preserve"> the State Party that updating is an important part of the </w:t>
      </w:r>
      <w:r w:rsidR="006B08BC" w:rsidRPr="00813D19">
        <w:rPr>
          <w:lang w:val="en-US"/>
        </w:rPr>
        <w:t>inventorying process and invited</w:t>
      </w:r>
      <w:r w:rsidR="00A9557C" w:rsidRPr="00813D19">
        <w:rPr>
          <w:lang w:val="en-US"/>
        </w:rPr>
        <w:t xml:space="preserve"> it to include detailed information concerning this aspect in its next periodic report.</w:t>
      </w:r>
      <w:r w:rsidR="00590C23" w:rsidRPr="00813D19">
        <w:rPr>
          <w:lang w:val="en-US"/>
        </w:rPr>
        <w:t xml:space="preserve"> </w:t>
      </w:r>
      <w:r w:rsidR="00A84B0C" w:rsidRPr="00813D19">
        <w:rPr>
          <w:lang w:val="en-US"/>
        </w:rPr>
        <w:t>The Evaluation Body recommended</w:t>
      </w:r>
      <w:r w:rsidR="00A9557C" w:rsidRPr="00813D19">
        <w:rPr>
          <w:lang w:val="en-US"/>
        </w:rPr>
        <w:t xml:space="preserve"> that the Committee inscribe Mooba dance of the Lenje ethnic group of Central Province of Zambia on the Representative List.</w:t>
      </w:r>
    </w:p>
    <w:p w14:paraId="7108E142" w14:textId="77777777" w:rsidR="00DC5740" w:rsidRPr="00813D19" w:rsidRDefault="00DC5740" w:rsidP="00DC5740">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06DDB46B" w14:textId="6EFE24E6" w:rsidR="001F4136" w:rsidRPr="003D53B3" w:rsidRDefault="00DC5740" w:rsidP="00DC5740">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the </w:t>
      </w:r>
      <w:r w:rsidR="00F46024" w:rsidRPr="00813D19">
        <w:rPr>
          <w:b/>
          <w:lang w:val="en-US"/>
        </w:rPr>
        <w:t xml:space="preserve">Chairperson declared Decision </w:t>
      </w:r>
      <w:hyperlink r:id="rId138" w:history="1">
        <w:r w:rsidR="00F46024" w:rsidRPr="00813D19">
          <w:rPr>
            <w:rStyle w:val="Hyperlink"/>
            <w:b/>
            <w:lang w:val="en-US"/>
          </w:rPr>
          <w:t>13.COM 10.b.40</w:t>
        </w:r>
      </w:hyperlink>
      <w:r w:rsidR="00F46024" w:rsidRPr="00813D19">
        <w:rPr>
          <w:b/>
          <w:lang w:val="en-US"/>
        </w:rPr>
        <w:t xml:space="preserve"> adopted to inscribe </w:t>
      </w:r>
      <w:r w:rsidR="00F46024" w:rsidRPr="00813D19">
        <w:rPr>
          <w:b/>
          <w:color w:val="000000" w:themeColor="text1"/>
          <w:lang w:val="en-US"/>
        </w:rPr>
        <w:t>Mooba dance of the Lenje ethnic group of Central Province of Zambia on the Representative List</w:t>
      </w:r>
      <w:r w:rsidR="00F46024" w:rsidRPr="003D53B3">
        <w:rPr>
          <w:bCs/>
          <w:snapToGrid/>
          <w:color w:val="000000" w:themeColor="text1"/>
          <w:lang w:val="en-US"/>
        </w:rPr>
        <w:t>.</w:t>
      </w:r>
    </w:p>
    <w:p w14:paraId="7B613006" w14:textId="3116B8A4" w:rsidR="00F46024" w:rsidRPr="003D53B3" w:rsidRDefault="001F4136" w:rsidP="007C3FE7">
      <w:pPr>
        <w:pStyle w:val="Orateurengris"/>
        <w:spacing w:after="0"/>
        <w:ind w:left="709" w:hanging="709"/>
        <w:rPr>
          <w:rFonts w:eastAsia="Times New Roman"/>
          <w:lang w:val="en-US"/>
        </w:rPr>
      </w:pPr>
      <w:r w:rsidRPr="00813D19">
        <w:rPr>
          <w:lang w:val="en-US"/>
        </w:rPr>
        <w:t xml:space="preserve">The </w:t>
      </w:r>
      <w:r w:rsidRPr="00813D19">
        <w:rPr>
          <w:b/>
          <w:lang w:val="en-US"/>
        </w:rPr>
        <w:t>delegation of Zambia</w:t>
      </w:r>
      <w:r w:rsidR="00F46024" w:rsidRPr="00813D19">
        <w:rPr>
          <w:color w:val="000000" w:themeColor="text1"/>
          <w:lang w:val="en-US"/>
        </w:rPr>
        <w:t xml:space="preserve"> </w:t>
      </w:r>
      <w:r w:rsidR="00026827" w:rsidRPr="00813D19">
        <w:rPr>
          <w:lang w:val="en-US"/>
        </w:rPr>
        <w:t xml:space="preserve">thanked </w:t>
      </w:r>
      <w:r w:rsidR="00216CB3" w:rsidRPr="00813D19">
        <w:rPr>
          <w:lang w:val="en-US"/>
        </w:rPr>
        <w:t xml:space="preserve">the Committee and the Evaluation Body for approving </w:t>
      </w:r>
      <w:r w:rsidR="00026827" w:rsidRPr="00813D19">
        <w:rPr>
          <w:lang w:val="en-US"/>
        </w:rPr>
        <w:t xml:space="preserve">the element </w:t>
      </w:r>
      <w:r w:rsidR="00216CB3" w:rsidRPr="00813D19">
        <w:rPr>
          <w:lang w:val="en-US"/>
        </w:rPr>
        <w:t>on the Representative List. The Mooba dance plays an integral role in the Lenje ethnic groups in everyday life in terms of social, religious, entertainment</w:t>
      </w:r>
      <w:r w:rsidR="00026827" w:rsidRPr="00813D19">
        <w:rPr>
          <w:lang w:val="en-US"/>
        </w:rPr>
        <w:t>,</w:t>
      </w:r>
      <w:r w:rsidR="00216CB3" w:rsidRPr="00813D19">
        <w:rPr>
          <w:lang w:val="en-US"/>
        </w:rPr>
        <w:t xml:space="preserve"> and many other aspects of existence. </w:t>
      </w:r>
      <w:r w:rsidR="00026827" w:rsidRPr="00813D19">
        <w:rPr>
          <w:lang w:val="en-US"/>
        </w:rPr>
        <w:t>T</w:t>
      </w:r>
      <w:r w:rsidR="00216CB3" w:rsidRPr="00813D19">
        <w:rPr>
          <w:lang w:val="en-US"/>
        </w:rPr>
        <w:t xml:space="preserve">his recognition by UNESCO </w:t>
      </w:r>
      <w:r w:rsidR="00026827" w:rsidRPr="00813D19">
        <w:rPr>
          <w:lang w:val="en-US"/>
        </w:rPr>
        <w:t xml:space="preserve">therefore </w:t>
      </w:r>
      <w:r w:rsidR="00C958C6" w:rsidRPr="00813D19">
        <w:rPr>
          <w:lang w:val="en-US"/>
        </w:rPr>
        <w:t>meant</w:t>
      </w:r>
      <w:r w:rsidR="00216CB3" w:rsidRPr="00813D19">
        <w:rPr>
          <w:lang w:val="en-US"/>
        </w:rPr>
        <w:t xml:space="preserve"> a lot</w:t>
      </w:r>
      <w:r w:rsidR="00026827" w:rsidRPr="00813D19">
        <w:rPr>
          <w:lang w:val="en-US"/>
        </w:rPr>
        <w:t>,</w:t>
      </w:r>
      <w:r w:rsidR="00216CB3" w:rsidRPr="00813D19">
        <w:rPr>
          <w:lang w:val="en-US"/>
        </w:rPr>
        <w:t xml:space="preserve"> not only to the Lenje people but also to the Zambia people as a whole. Zambia is very rich in cultural heritage </w:t>
      </w:r>
      <w:r w:rsidR="00026827" w:rsidRPr="00813D19">
        <w:rPr>
          <w:lang w:val="en-US"/>
        </w:rPr>
        <w:t xml:space="preserve">with </w:t>
      </w:r>
      <w:r w:rsidR="00915EDA">
        <w:rPr>
          <w:lang w:val="en-US"/>
        </w:rPr>
        <w:t>seventy-three</w:t>
      </w:r>
      <w:r w:rsidR="00915EDA" w:rsidRPr="00813D19">
        <w:rPr>
          <w:lang w:val="en-US"/>
        </w:rPr>
        <w:t xml:space="preserve"> </w:t>
      </w:r>
      <w:r w:rsidR="00216CB3" w:rsidRPr="00813D19">
        <w:rPr>
          <w:lang w:val="en-US"/>
        </w:rPr>
        <w:t>ethnic groups, each of them having diverse cultural traditions</w:t>
      </w:r>
      <w:r w:rsidR="00026827" w:rsidRPr="00813D19">
        <w:rPr>
          <w:lang w:val="en-US"/>
        </w:rPr>
        <w:t xml:space="preserve">, which would </w:t>
      </w:r>
      <w:r w:rsidR="00216CB3" w:rsidRPr="00813D19">
        <w:rPr>
          <w:lang w:val="en-US"/>
        </w:rPr>
        <w:t xml:space="preserve">keep the Committee busy with other nominations. </w:t>
      </w:r>
      <w:r w:rsidR="00026827" w:rsidRPr="00813D19">
        <w:rPr>
          <w:lang w:val="en-US"/>
        </w:rPr>
        <w:t xml:space="preserve">The delegation </w:t>
      </w:r>
      <w:r w:rsidR="00216CB3" w:rsidRPr="00813D19">
        <w:rPr>
          <w:lang w:val="en-US"/>
        </w:rPr>
        <w:t>believe</w:t>
      </w:r>
      <w:r w:rsidR="00026827" w:rsidRPr="00813D19">
        <w:rPr>
          <w:lang w:val="en-US"/>
        </w:rPr>
        <w:t>d</w:t>
      </w:r>
      <w:r w:rsidR="00216CB3" w:rsidRPr="00813D19">
        <w:rPr>
          <w:lang w:val="en-US"/>
        </w:rPr>
        <w:t xml:space="preserve"> that this approval </w:t>
      </w:r>
      <w:r w:rsidR="00915EDA">
        <w:rPr>
          <w:lang w:val="en-US"/>
        </w:rPr>
        <w:t>would</w:t>
      </w:r>
      <w:r w:rsidR="00915EDA" w:rsidRPr="00813D19">
        <w:rPr>
          <w:lang w:val="en-US"/>
        </w:rPr>
        <w:t xml:space="preserve"> </w:t>
      </w:r>
      <w:r w:rsidR="00216CB3" w:rsidRPr="00813D19">
        <w:rPr>
          <w:lang w:val="en-US"/>
        </w:rPr>
        <w:t>go a long way in motivating other ethnic groups, especially the young</w:t>
      </w:r>
      <w:r w:rsidR="00026827" w:rsidRPr="00813D19">
        <w:rPr>
          <w:lang w:val="en-US"/>
        </w:rPr>
        <w:t>er</w:t>
      </w:r>
      <w:r w:rsidR="00216CB3" w:rsidRPr="00813D19">
        <w:rPr>
          <w:lang w:val="en-US"/>
        </w:rPr>
        <w:t xml:space="preserve"> generation, to be proud of their culture and </w:t>
      </w:r>
      <w:r w:rsidR="00026827" w:rsidRPr="00813D19">
        <w:rPr>
          <w:lang w:val="en-US"/>
        </w:rPr>
        <w:t xml:space="preserve">to </w:t>
      </w:r>
      <w:r w:rsidR="00216CB3" w:rsidRPr="00813D19">
        <w:rPr>
          <w:lang w:val="en-US"/>
        </w:rPr>
        <w:t>start protecting and promoting their cultural heritage</w:t>
      </w:r>
      <w:r w:rsidR="00026827" w:rsidRPr="00813D19">
        <w:rPr>
          <w:lang w:val="en-US"/>
        </w:rPr>
        <w:t>,</w:t>
      </w:r>
      <w:r w:rsidR="00216CB3" w:rsidRPr="00813D19">
        <w:rPr>
          <w:lang w:val="en-US"/>
        </w:rPr>
        <w:t xml:space="preserve"> knowing that someday UNESCO </w:t>
      </w:r>
      <w:r w:rsidR="00915EDA">
        <w:rPr>
          <w:lang w:val="en-US"/>
        </w:rPr>
        <w:t>would</w:t>
      </w:r>
      <w:r w:rsidR="00915EDA" w:rsidRPr="00813D19">
        <w:rPr>
          <w:lang w:val="en-US"/>
        </w:rPr>
        <w:t xml:space="preserve"> </w:t>
      </w:r>
      <w:r w:rsidR="00216CB3" w:rsidRPr="00813D19">
        <w:rPr>
          <w:lang w:val="en-US"/>
        </w:rPr>
        <w:t>acknowledge their traditions. As a country</w:t>
      </w:r>
      <w:r w:rsidR="00026827" w:rsidRPr="00813D19">
        <w:rPr>
          <w:lang w:val="en-US"/>
        </w:rPr>
        <w:t>, this approval reinforced</w:t>
      </w:r>
      <w:r w:rsidR="00216CB3" w:rsidRPr="00813D19">
        <w:rPr>
          <w:lang w:val="en-US"/>
        </w:rPr>
        <w:t xml:space="preserve"> </w:t>
      </w:r>
      <w:r w:rsidR="00026827" w:rsidRPr="00813D19">
        <w:rPr>
          <w:lang w:val="en-US"/>
        </w:rPr>
        <w:t xml:space="preserve">its </w:t>
      </w:r>
      <w:r w:rsidR="00216CB3" w:rsidRPr="00813D19">
        <w:rPr>
          <w:lang w:val="en-US"/>
        </w:rPr>
        <w:t>resolve to build capacit</w:t>
      </w:r>
      <w:r w:rsidR="00915EDA">
        <w:rPr>
          <w:lang w:val="en-US"/>
        </w:rPr>
        <w:t>ies</w:t>
      </w:r>
      <w:r w:rsidR="00216CB3" w:rsidRPr="00813D19">
        <w:rPr>
          <w:lang w:val="en-US"/>
        </w:rPr>
        <w:t xml:space="preserve"> for </w:t>
      </w:r>
      <w:r w:rsidR="00026827" w:rsidRPr="00813D19">
        <w:rPr>
          <w:lang w:val="en-US"/>
        </w:rPr>
        <w:t xml:space="preserve">the </w:t>
      </w:r>
      <w:r w:rsidR="00216CB3" w:rsidRPr="00813D19">
        <w:rPr>
          <w:lang w:val="en-US"/>
        </w:rPr>
        <w:t xml:space="preserve">safeguarding and management of intangible cultural heritage. </w:t>
      </w:r>
      <w:r w:rsidR="00026827" w:rsidRPr="00813D19">
        <w:rPr>
          <w:lang w:val="en-US"/>
        </w:rPr>
        <w:t>It fully understood</w:t>
      </w:r>
      <w:r w:rsidR="00216CB3" w:rsidRPr="00813D19">
        <w:rPr>
          <w:lang w:val="en-US"/>
        </w:rPr>
        <w:t xml:space="preserve"> that</w:t>
      </w:r>
      <w:r w:rsidR="00915EDA">
        <w:rPr>
          <w:lang w:val="en-US"/>
        </w:rPr>
        <w:t xml:space="preserve"> the</w:t>
      </w:r>
      <w:r w:rsidR="00216CB3" w:rsidRPr="00813D19">
        <w:rPr>
          <w:lang w:val="en-US"/>
        </w:rPr>
        <w:t xml:space="preserve"> inscription of the element </w:t>
      </w:r>
      <w:r w:rsidR="00915EDA">
        <w:rPr>
          <w:lang w:val="en-US"/>
        </w:rPr>
        <w:t xml:space="preserve">would </w:t>
      </w:r>
      <w:r w:rsidR="00216CB3" w:rsidRPr="00813D19">
        <w:rPr>
          <w:lang w:val="en-US"/>
        </w:rPr>
        <w:t xml:space="preserve">further unite the preservation efforts of the country in line with the seventh national development plan. </w:t>
      </w:r>
      <w:r w:rsidR="00026827" w:rsidRPr="00813D19">
        <w:rPr>
          <w:lang w:val="en-US"/>
        </w:rPr>
        <w:t xml:space="preserve">The delegation </w:t>
      </w:r>
      <w:r w:rsidR="00216CB3" w:rsidRPr="00813D19">
        <w:rPr>
          <w:lang w:val="en-US"/>
        </w:rPr>
        <w:t>invite</w:t>
      </w:r>
      <w:r w:rsidR="00026827" w:rsidRPr="00813D19">
        <w:rPr>
          <w:lang w:val="en-US"/>
        </w:rPr>
        <w:t>d</w:t>
      </w:r>
      <w:r w:rsidR="00216CB3" w:rsidRPr="00813D19">
        <w:rPr>
          <w:lang w:val="en-US"/>
        </w:rPr>
        <w:t xml:space="preserve"> </w:t>
      </w:r>
      <w:r w:rsidR="00026827" w:rsidRPr="00813D19">
        <w:rPr>
          <w:lang w:val="en-US"/>
        </w:rPr>
        <w:t xml:space="preserve">the delegates to </w:t>
      </w:r>
      <w:r w:rsidR="00216CB3" w:rsidRPr="00813D19">
        <w:rPr>
          <w:lang w:val="en-US"/>
        </w:rPr>
        <w:t>Zambia</w:t>
      </w:r>
      <w:r w:rsidR="00026827" w:rsidRPr="00813D19">
        <w:rPr>
          <w:lang w:val="en-US"/>
        </w:rPr>
        <w:t xml:space="preserve"> </w:t>
      </w:r>
      <w:r w:rsidR="00216CB3" w:rsidRPr="00813D19">
        <w:rPr>
          <w:lang w:val="en-US"/>
        </w:rPr>
        <w:t xml:space="preserve">to personally participate in the Mooba dance. </w:t>
      </w:r>
      <w:r w:rsidR="00026827" w:rsidRPr="00813D19">
        <w:rPr>
          <w:lang w:val="en-US"/>
        </w:rPr>
        <w:t xml:space="preserve">It was </w:t>
      </w:r>
      <w:r w:rsidR="00216CB3" w:rsidRPr="00813D19">
        <w:rPr>
          <w:lang w:val="en-US"/>
        </w:rPr>
        <w:t>grateful for UNESCO</w:t>
      </w:r>
      <w:r w:rsidR="00026827" w:rsidRPr="00813D19">
        <w:rPr>
          <w:lang w:val="en-US"/>
        </w:rPr>
        <w:t>’s</w:t>
      </w:r>
      <w:r w:rsidR="00216CB3" w:rsidRPr="00813D19">
        <w:rPr>
          <w:lang w:val="en-US"/>
        </w:rPr>
        <w:t xml:space="preserve"> assistance </w:t>
      </w:r>
      <w:r w:rsidR="00915EDA">
        <w:rPr>
          <w:lang w:val="en-US"/>
        </w:rPr>
        <w:t>with</w:t>
      </w:r>
      <w:r w:rsidR="00915EDA" w:rsidRPr="00813D19">
        <w:rPr>
          <w:lang w:val="en-US"/>
        </w:rPr>
        <w:t xml:space="preserve"> </w:t>
      </w:r>
      <w:r w:rsidR="00216CB3" w:rsidRPr="00813D19">
        <w:rPr>
          <w:lang w:val="en-US"/>
        </w:rPr>
        <w:t xml:space="preserve">training more people in the area of </w:t>
      </w:r>
      <w:r w:rsidR="00026827" w:rsidRPr="00813D19">
        <w:rPr>
          <w:lang w:val="en-US"/>
        </w:rPr>
        <w:t xml:space="preserve">intangible cultural heritage </w:t>
      </w:r>
      <w:r w:rsidR="00216CB3" w:rsidRPr="00813D19">
        <w:rPr>
          <w:lang w:val="en-US"/>
        </w:rPr>
        <w:t xml:space="preserve">and in </w:t>
      </w:r>
      <w:r w:rsidR="003D53B3">
        <w:rPr>
          <w:lang w:val="en-US"/>
        </w:rPr>
        <w:t>preparing the Mooba dance file.</w:t>
      </w:r>
    </w:p>
    <w:p w14:paraId="7DDA0370" w14:textId="03AAAF68" w:rsidR="00387C80" w:rsidRPr="003D53B3" w:rsidRDefault="00387C80" w:rsidP="003D53B3">
      <w:pPr>
        <w:pStyle w:val="Orateurengris"/>
        <w:numPr>
          <w:ilvl w:val="0"/>
          <w:numId w:val="0"/>
        </w:numPr>
        <w:spacing w:before="240" w:after="240"/>
        <w:jc w:val="center"/>
        <w:rPr>
          <w:i/>
          <w:color w:val="000000" w:themeColor="text1"/>
          <w:lang w:val="en-US"/>
        </w:rPr>
      </w:pPr>
      <w:r w:rsidRPr="003D53B3">
        <w:rPr>
          <w:i/>
          <w:lang w:val="en-US"/>
        </w:rPr>
        <w:t>[</w:t>
      </w:r>
      <w:r w:rsidR="00F3403C" w:rsidRPr="003D53B3">
        <w:rPr>
          <w:i/>
          <w:lang w:val="en-US"/>
        </w:rPr>
        <w:t>A short f</w:t>
      </w:r>
      <w:r w:rsidRPr="003D53B3">
        <w:rPr>
          <w:i/>
          <w:lang w:val="en-US"/>
        </w:rPr>
        <w:t xml:space="preserve">ilm of the </w:t>
      </w:r>
      <w:r w:rsidRPr="003D53B3">
        <w:rPr>
          <w:i/>
          <w:color w:val="000000" w:themeColor="text1"/>
          <w:lang w:val="en-US"/>
        </w:rPr>
        <w:t>Mooba dance</w:t>
      </w:r>
      <w:r w:rsidR="00F3403C" w:rsidRPr="003D53B3">
        <w:rPr>
          <w:i/>
          <w:color w:val="000000" w:themeColor="text1"/>
          <w:lang w:val="en-US"/>
        </w:rPr>
        <w:t xml:space="preserve"> was projected</w:t>
      </w:r>
      <w:r w:rsidRPr="003D53B3">
        <w:rPr>
          <w:i/>
          <w:color w:val="000000" w:themeColor="text1"/>
          <w:lang w:val="en-US"/>
        </w:rPr>
        <w:t>]</w:t>
      </w:r>
      <w:r w:rsidR="001A1A7D" w:rsidRPr="003D53B3">
        <w:rPr>
          <w:i/>
          <w:color w:val="000000" w:themeColor="text1"/>
          <w:lang w:val="en-US"/>
        </w:rPr>
        <w:t xml:space="preserve"> </w:t>
      </w:r>
    </w:p>
    <w:p w14:paraId="15E84906" w14:textId="00709173" w:rsidR="00FE7E54" w:rsidRPr="00813D19" w:rsidRDefault="003D53B3" w:rsidP="003D53B3">
      <w:pPr>
        <w:pStyle w:val="Orateurengris"/>
        <w:keepNext/>
        <w:numPr>
          <w:ilvl w:val="0"/>
          <w:numId w:val="0"/>
        </w:numPr>
        <w:spacing w:before="360" w:after="60"/>
        <w:outlineLvl w:val="0"/>
        <w:rPr>
          <w:b/>
          <w:color w:val="000000" w:themeColor="text1"/>
          <w:u w:val="single"/>
          <w:lang w:val="en-US"/>
        </w:rPr>
      </w:pPr>
      <w:r>
        <w:rPr>
          <w:b/>
          <w:color w:val="000000" w:themeColor="text1"/>
          <w:u w:val="single"/>
          <w:lang w:val="en-US"/>
        </w:rPr>
        <w:t>ITEM 10.c OF THE AGENDA</w:t>
      </w:r>
    </w:p>
    <w:p w14:paraId="0D2C0519" w14:textId="4674515F" w:rsidR="00C958C6" w:rsidRPr="00813D19" w:rsidRDefault="00FE7E54" w:rsidP="005966F6">
      <w:pPr>
        <w:pStyle w:val="Orateurengris"/>
        <w:numPr>
          <w:ilvl w:val="0"/>
          <w:numId w:val="0"/>
        </w:numPr>
        <w:outlineLvl w:val="1"/>
        <w:rPr>
          <w:b/>
          <w:color w:val="000000" w:themeColor="text1"/>
          <w:lang w:val="en-US"/>
        </w:rPr>
      </w:pPr>
      <w:r w:rsidRPr="00813D19">
        <w:rPr>
          <w:b/>
          <w:color w:val="000000" w:themeColor="text1"/>
          <w:lang w:val="en-US"/>
        </w:rPr>
        <w:t xml:space="preserve">EXAMINATION OF PROPOSALS TO THE REGISTER OF </w:t>
      </w:r>
      <w:r w:rsidR="002A562B" w:rsidRPr="00813D19">
        <w:rPr>
          <w:b/>
          <w:color w:val="000000" w:themeColor="text1"/>
          <w:lang w:val="en-US"/>
        </w:rPr>
        <w:t>GOOD SAFEGUARDING</w:t>
      </w:r>
      <w:r w:rsidR="003D53B3">
        <w:rPr>
          <w:b/>
          <w:color w:val="000000" w:themeColor="text1"/>
          <w:lang w:val="en-US"/>
        </w:rPr>
        <w:t xml:space="preserve"> PRACTICES</w:t>
      </w:r>
    </w:p>
    <w:p w14:paraId="1AB9F43A" w14:textId="6243DDB5" w:rsidR="00FE7E54" w:rsidRPr="00813D19" w:rsidRDefault="00FE7E54" w:rsidP="007C3FE7">
      <w:pPr>
        <w:pStyle w:val="Orateurengris"/>
        <w:keepNext/>
        <w:numPr>
          <w:ilvl w:val="0"/>
          <w:numId w:val="0"/>
        </w:numPr>
        <w:spacing w:after="0"/>
        <w:ind w:left="709"/>
        <w:rPr>
          <w:bCs/>
          <w:i/>
          <w:lang w:val="en-US"/>
        </w:rPr>
      </w:pPr>
      <w:r w:rsidRPr="00813D19">
        <w:rPr>
          <w:b/>
          <w:color w:val="000000" w:themeColor="text1"/>
          <w:lang w:val="en-US"/>
        </w:rPr>
        <w:t>Document:</w:t>
      </w:r>
      <w:r w:rsidRPr="00813D19">
        <w:rPr>
          <w:b/>
          <w:color w:val="000000" w:themeColor="text1"/>
          <w:lang w:val="en-US"/>
        </w:rPr>
        <w:tab/>
      </w:r>
      <w:hyperlink r:id="rId139" w:history="1">
        <w:r w:rsidRPr="003D53B3">
          <w:rPr>
            <w:rStyle w:val="Hyperlink"/>
            <w:bCs/>
            <w:i/>
            <w:lang w:val="en-US"/>
          </w:rPr>
          <w:t>ITH/18/13.COM/10.c</w:t>
        </w:r>
        <w:r w:rsidR="003D53B3" w:rsidRPr="003D53B3">
          <w:rPr>
            <w:rStyle w:val="Hyperlink"/>
            <w:bCs/>
            <w:i/>
            <w:lang w:val="en-US"/>
          </w:rPr>
          <w:t>+Add.</w:t>
        </w:r>
      </w:hyperlink>
    </w:p>
    <w:p w14:paraId="73CDFD22" w14:textId="46D560E9" w:rsidR="00F87C40" w:rsidRPr="00813D19" w:rsidRDefault="00456ED1" w:rsidP="003D53B3">
      <w:pPr>
        <w:pStyle w:val="Orateurengris"/>
        <w:keepNext/>
        <w:numPr>
          <w:ilvl w:val="0"/>
          <w:numId w:val="0"/>
        </w:numPr>
        <w:spacing w:before="60" w:after="240"/>
        <w:ind w:left="709"/>
        <w:rPr>
          <w:bCs/>
          <w:i/>
          <w:color w:val="000000" w:themeColor="text1"/>
          <w:lang w:val="en-US"/>
        </w:rPr>
      </w:pPr>
      <w:r w:rsidRPr="00813D19">
        <w:rPr>
          <w:b/>
          <w:color w:val="000000" w:themeColor="text1"/>
          <w:lang w:val="en-US"/>
        </w:rPr>
        <w:t>Files</w:t>
      </w:r>
      <w:r w:rsidR="00F87C40" w:rsidRPr="00813D19">
        <w:rPr>
          <w:b/>
          <w:color w:val="000000" w:themeColor="text1"/>
          <w:lang w:val="en-US"/>
        </w:rPr>
        <w:t>:</w:t>
      </w:r>
      <w:r w:rsidRPr="00813D19">
        <w:rPr>
          <w:b/>
          <w:color w:val="000000" w:themeColor="text1"/>
          <w:lang w:val="en-US"/>
        </w:rPr>
        <w:tab/>
      </w:r>
      <w:r w:rsidR="00F87C40" w:rsidRPr="00813D19">
        <w:rPr>
          <w:bCs/>
          <w:i/>
          <w:color w:val="000000" w:themeColor="text1"/>
          <w:lang w:val="en-US"/>
        </w:rPr>
        <w:tab/>
      </w:r>
      <w:hyperlink r:id="rId140" w:history="1">
        <w:r w:rsidR="00F87C40" w:rsidRPr="00813D19">
          <w:rPr>
            <w:rStyle w:val="Hyperlink"/>
            <w:bCs/>
            <w:i/>
            <w:lang w:val="en-US"/>
          </w:rPr>
          <w:t>2 proposals</w:t>
        </w:r>
      </w:hyperlink>
    </w:p>
    <w:p w14:paraId="20FCA1DE" w14:textId="4FB62BA4" w:rsidR="000B516C" w:rsidRPr="00813D19" w:rsidRDefault="000B516C" w:rsidP="007C3FE7">
      <w:pPr>
        <w:pStyle w:val="Orateurengris"/>
        <w:spacing w:after="0"/>
        <w:ind w:left="709" w:hanging="709"/>
        <w:rPr>
          <w:rFonts w:eastAsia="Times"/>
          <w:lang w:val="en-US"/>
        </w:rPr>
      </w:pPr>
      <w:r w:rsidRPr="00813D19">
        <w:rPr>
          <w:lang w:val="en-US"/>
        </w:rPr>
        <w:t>The</w:t>
      </w:r>
      <w:r w:rsidRPr="00813D19">
        <w:rPr>
          <w:color w:val="000000" w:themeColor="text1"/>
          <w:lang w:val="en-US"/>
        </w:rPr>
        <w:t xml:space="preserve"> </w:t>
      </w:r>
      <w:r w:rsidRPr="00813D19">
        <w:rPr>
          <w:b/>
          <w:color w:val="000000" w:themeColor="text1"/>
          <w:lang w:val="en-US"/>
        </w:rPr>
        <w:t>Chairperson</w:t>
      </w:r>
      <w:r w:rsidRPr="00813D19">
        <w:rPr>
          <w:color w:val="000000" w:themeColor="text1"/>
          <w:lang w:val="en-US"/>
        </w:rPr>
        <w:t xml:space="preserve"> </w:t>
      </w:r>
      <w:r w:rsidR="00682579" w:rsidRPr="00813D19">
        <w:rPr>
          <w:color w:val="000000" w:themeColor="text1"/>
          <w:lang w:val="en-US"/>
        </w:rPr>
        <w:t xml:space="preserve">then turned to agenda item 10.c and the examination of proposals to the Register of Good Safeguarding Practices. It was noted that </w:t>
      </w:r>
      <w:r w:rsidR="00682579" w:rsidRPr="00813D19">
        <w:rPr>
          <w:rFonts w:eastAsia="Times"/>
          <w:lang w:val="en-US"/>
        </w:rPr>
        <w:t>Saudi Arabia had withdrawn its proposal, which meant that there was only one proposal for examination</w:t>
      </w:r>
      <w:r w:rsidR="00915EDA">
        <w:rPr>
          <w:rFonts w:eastAsia="Times"/>
          <w:lang w:val="en-US"/>
        </w:rPr>
        <w:t>,</w:t>
      </w:r>
      <w:r w:rsidR="00682579" w:rsidRPr="00813D19">
        <w:rPr>
          <w:rFonts w:eastAsia="Times"/>
          <w:lang w:val="en-US"/>
        </w:rPr>
        <w:t xml:space="preserve"> submitted by Sweden.</w:t>
      </w:r>
      <w:r w:rsidR="00682579" w:rsidRPr="00813D19">
        <w:rPr>
          <w:lang w:val="en-US"/>
        </w:rPr>
        <w:t xml:space="preserve"> </w:t>
      </w:r>
      <w:r w:rsidR="00643414" w:rsidRPr="00813D19">
        <w:rPr>
          <w:lang w:val="en-US"/>
        </w:rPr>
        <w:t xml:space="preserve">The Chairperson reminded the Committee that it would </w:t>
      </w:r>
      <w:r w:rsidR="00682579" w:rsidRPr="00813D19">
        <w:rPr>
          <w:lang w:val="en-US"/>
        </w:rPr>
        <w:t xml:space="preserve">evaluate </w:t>
      </w:r>
      <w:r w:rsidR="00643414" w:rsidRPr="00813D19">
        <w:rPr>
          <w:lang w:val="en-US"/>
        </w:rPr>
        <w:t xml:space="preserve">the </w:t>
      </w:r>
      <w:r w:rsidR="00682579" w:rsidRPr="00813D19">
        <w:rPr>
          <w:lang w:val="en-US"/>
        </w:rPr>
        <w:t xml:space="preserve">extent </w:t>
      </w:r>
      <w:r w:rsidR="00643414" w:rsidRPr="00813D19">
        <w:rPr>
          <w:lang w:val="en-US"/>
        </w:rPr>
        <w:t xml:space="preserve">to which </w:t>
      </w:r>
      <w:r w:rsidR="00682579" w:rsidRPr="00813D19">
        <w:rPr>
          <w:lang w:val="en-US"/>
        </w:rPr>
        <w:t>the proposals best reflect the principles and objectives of the Convention</w:t>
      </w:r>
      <w:r w:rsidR="00643414" w:rsidRPr="00813D19">
        <w:rPr>
          <w:lang w:val="en-US"/>
        </w:rPr>
        <w:t xml:space="preserve">, and thus they were </w:t>
      </w:r>
      <w:r w:rsidR="00682579" w:rsidRPr="00813D19">
        <w:rPr>
          <w:lang w:val="en-US"/>
        </w:rPr>
        <w:t xml:space="preserve">not </w:t>
      </w:r>
      <w:r w:rsidR="00643414" w:rsidRPr="00813D19">
        <w:rPr>
          <w:lang w:val="en-US"/>
        </w:rPr>
        <w:t xml:space="preserve">required </w:t>
      </w:r>
      <w:r w:rsidR="00682579" w:rsidRPr="00813D19">
        <w:rPr>
          <w:lang w:val="en-US"/>
        </w:rPr>
        <w:t xml:space="preserve">to meet every criterion to be selected. The purpose of </w:t>
      </w:r>
      <w:r w:rsidR="00643414" w:rsidRPr="00813D19">
        <w:rPr>
          <w:lang w:val="en-US"/>
        </w:rPr>
        <w:t xml:space="preserve">the </w:t>
      </w:r>
      <w:r w:rsidR="00682579" w:rsidRPr="00813D19">
        <w:rPr>
          <w:lang w:val="en-US"/>
        </w:rPr>
        <w:t xml:space="preserve">Register is to select effective safeguarding practices </w:t>
      </w:r>
      <w:r w:rsidR="00643414" w:rsidRPr="00813D19">
        <w:rPr>
          <w:lang w:val="en-US"/>
        </w:rPr>
        <w:t>for dissemination</w:t>
      </w:r>
      <w:r w:rsidR="00682579" w:rsidRPr="00813D19">
        <w:rPr>
          <w:lang w:val="en-US"/>
        </w:rPr>
        <w:t xml:space="preserve"> and p</w:t>
      </w:r>
      <w:r w:rsidR="00C958C6" w:rsidRPr="00813D19">
        <w:rPr>
          <w:lang w:val="en-US"/>
        </w:rPr>
        <w:t>otential</w:t>
      </w:r>
      <w:r w:rsidR="00643414" w:rsidRPr="00813D19">
        <w:rPr>
          <w:lang w:val="en-US"/>
        </w:rPr>
        <w:t xml:space="preserve"> replication</w:t>
      </w:r>
      <w:r w:rsidR="00682579" w:rsidRPr="00813D19">
        <w:rPr>
          <w:lang w:val="en-US"/>
        </w:rPr>
        <w:t xml:space="preserve"> elsewhere. </w:t>
      </w:r>
      <w:r w:rsidR="00643414" w:rsidRPr="00813D19">
        <w:rPr>
          <w:lang w:val="en-US"/>
        </w:rPr>
        <w:t xml:space="preserve">The Chairperson recalled </w:t>
      </w:r>
      <w:r w:rsidR="00682579" w:rsidRPr="00813D19">
        <w:rPr>
          <w:rFonts w:eastAsia="Times"/>
          <w:lang w:val="en-US"/>
        </w:rPr>
        <w:t xml:space="preserve">criteria </w:t>
      </w:r>
      <w:r w:rsidR="00643414" w:rsidRPr="00813D19">
        <w:rPr>
          <w:rFonts w:eastAsia="Times"/>
          <w:lang w:val="en-US"/>
        </w:rPr>
        <w:t>P.1–P.9 t</w:t>
      </w:r>
      <w:r w:rsidR="00682579" w:rsidRPr="00813D19">
        <w:rPr>
          <w:rFonts w:eastAsia="Times"/>
          <w:lang w:val="en-US"/>
        </w:rPr>
        <w:t xml:space="preserve">hat </w:t>
      </w:r>
      <w:r w:rsidR="00643414" w:rsidRPr="00813D19">
        <w:rPr>
          <w:rFonts w:eastAsia="Times"/>
          <w:lang w:val="en-US"/>
        </w:rPr>
        <w:t xml:space="preserve">would </w:t>
      </w:r>
      <w:r w:rsidR="00682579" w:rsidRPr="00813D19">
        <w:rPr>
          <w:rFonts w:eastAsia="Times"/>
          <w:lang w:val="en-US"/>
        </w:rPr>
        <w:t xml:space="preserve">guide </w:t>
      </w:r>
      <w:r w:rsidR="00643414" w:rsidRPr="00813D19">
        <w:rPr>
          <w:rFonts w:eastAsia="Times"/>
          <w:lang w:val="en-US"/>
        </w:rPr>
        <w:t>the decision, which</w:t>
      </w:r>
      <w:r w:rsidR="003D53B3">
        <w:rPr>
          <w:rFonts w:eastAsia="Times"/>
          <w:lang w:val="en-US"/>
        </w:rPr>
        <w:t xml:space="preserve"> were projected on the screen.</w:t>
      </w:r>
    </w:p>
    <w:p w14:paraId="21CC7D65" w14:textId="0CCFA11F" w:rsidR="0005315E" w:rsidRPr="00813D19" w:rsidRDefault="0005315E" w:rsidP="00643414">
      <w:pPr>
        <w:pStyle w:val="Orateurengris"/>
        <w:spacing w:before="120"/>
        <w:ind w:left="709" w:hanging="709"/>
        <w:rPr>
          <w:lang w:val="en-US"/>
        </w:rPr>
      </w:pPr>
      <w:r w:rsidRPr="00813D19">
        <w:rPr>
          <w:lang w:val="en-US"/>
        </w:rPr>
        <w:t xml:space="preserve">The </w:t>
      </w:r>
      <w:r w:rsidRPr="00813D19">
        <w:rPr>
          <w:b/>
          <w:lang w:val="en-US"/>
        </w:rPr>
        <w:t>Chairperson of the Evaluation Body</w:t>
      </w:r>
      <w:r w:rsidRPr="00813D19">
        <w:rPr>
          <w:lang w:val="en-US"/>
        </w:rPr>
        <w:t xml:space="preserve"> presented the nomination </w:t>
      </w:r>
      <w:r w:rsidRPr="00813D19">
        <w:rPr>
          <w:b/>
          <w:lang w:val="en-US"/>
        </w:rPr>
        <w:t>Land-of-Legends programme, for promoting and revitalizing the art of storytelling in Kronoberg Region </w:t>
      </w:r>
      <w:r w:rsidR="00091DD3" w:rsidRPr="00813D19">
        <w:rPr>
          <w:b/>
          <w:lang w:val="en-US"/>
        </w:rPr>
        <w:t xml:space="preserve">(South-Sweden) </w:t>
      </w:r>
      <w:r w:rsidRPr="00813D19">
        <w:rPr>
          <w:lang w:val="en-US"/>
        </w:rPr>
        <w:t>[draft decision 13.COM 10.c.2]</w:t>
      </w:r>
      <w:r w:rsidR="00915EDA">
        <w:rPr>
          <w:lang w:val="en-US"/>
        </w:rPr>
        <w:t>,</w:t>
      </w:r>
      <w:r w:rsidRPr="00813D19">
        <w:rPr>
          <w:lang w:val="en-US"/>
        </w:rPr>
        <w:t xml:space="preserve"> submitted by </w:t>
      </w:r>
      <w:r w:rsidRPr="00813D19">
        <w:rPr>
          <w:b/>
          <w:lang w:val="en-US"/>
        </w:rPr>
        <w:t>Sweden</w:t>
      </w:r>
      <w:r w:rsidRPr="00813D19">
        <w:rPr>
          <w:lang w:val="en-US"/>
        </w:rPr>
        <w:t xml:space="preserve">. </w:t>
      </w:r>
      <w:r w:rsidR="00643414" w:rsidRPr="00813D19">
        <w:rPr>
          <w:lang w:val="en-US"/>
        </w:rPr>
        <w:t xml:space="preserve">The Land-of-Legends programme is aimed at promoting and revitalizing the art of storytelling in the Kronoberg </w:t>
      </w:r>
      <w:r w:rsidR="002F50EA">
        <w:rPr>
          <w:lang w:val="en-US"/>
        </w:rPr>
        <w:t>R</w:t>
      </w:r>
      <w:r w:rsidR="002F50EA" w:rsidRPr="00813D19">
        <w:rPr>
          <w:lang w:val="en-US"/>
        </w:rPr>
        <w:t xml:space="preserve">egion </w:t>
      </w:r>
      <w:r w:rsidR="00643414" w:rsidRPr="00813D19">
        <w:rPr>
          <w:lang w:val="en-US"/>
        </w:rPr>
        <w:t>of southern Sweden. From the information included in the file, the programme responded as follows to the criteria for selection as a good safeguarding practice set out in paragraph 7 of the Operational Directives. The programme links storytelling to other forms of living heritage, helping to revitalize and promote it as a living art. Storytelling festivals have formed networks and the programme clearly promotes coordination at the national and subregional levels</w:t>
      </w:r>
      <w:r w:rsidR="00C958C6" w:rsidRPr="00813D19">
        <w:rPr>
          <w:lang w:val="en-US"/>
        </w:rPr>
        <w:t>,</w:t>
      </w:r>
      <w:r w:rsidR="00643414" w:rsidRPr="00813D19">
        <w:rPr>
          <w:lang w:val="en-US"/>
        </w:rPr>
        <w:t xml:space="preserve"> as well as </w:t>
      </w:r>
      <w:r w:rsidR="00915EDA">
        <w:rPr>
          <w:lang w:val="en-US"/>
        </w:rPr>
        <w:t xml:space="preserve">the </w:t>
      </w:r>
      <w:r w:rsidR="00643414" w:rsidRPr="00813D19">
        <w:rPr>
          <w:lang w:val="en-US"/>
        </w:rPr>
        <w:t>sharing of experience and international cooperation. The safeguarding measures fully reflected the objectives of the Conventi</w:t>
      </w:r>
      <w:r w:rsidR="00C958C6" w:rsidRPr="00813D19">
        <w:rPr>
          <w:lang w:val="en-US"/>
        </w:rPr>
        <w:t>on as they are community-driven</w:t>
      </w:r>
      <w:r w:rsidR="00643414" w:rsidRPr="00813D19">
        <w:rPr>
          <w:lang w:val="en-US"/>
        </w:rPr>
        <w:t xml:space="preserve"> and systematically revitalize the element, ensuring its effectiveness, viability and sustainable development. The programme had been implemented with the participation of local communities, particularly storytellers, story-lovers, experts, teachers, volunteers, staff of nursing homes and local organizations, with the support of local authorities. The project serves as a very successful national and subregional model for safeguarding activities. The submitting State Party and communities concerned are willing to cooperate in the dissemination of the programme if selected, as attested to by their formal agreement and the several practical steps undertaken. The file provided several examples of the external monitoring and evaluation of the programme, as well as feedback and reviews, which were used to improve the activities and safeguarding measures involved. The programme could be applicable to the needs of developing countries, mostly because the safeguarding of storytelling, oral traditions and verbal arts does not necessarily require a high level of funding. The Evaluation Body commended the State Party for submitting an exemplary file that presented a successful and effective sustainable programme, which is deeply grounded at the community level and can serve as a model for countries where oral traditions still play important social and cultural roles. The Evaluation Body recommended that the Committee select Land-of-Legends programme, for promoting and revitalizing the art of storytelling in Kronoberg Region (South-Sweden) as a programme best reflecting the principles and objectives of the Convention.</w:t>
      </w:r>
    </w:p>
    <w:p w14:paraId="0F00597A" w14:textId="77777777" w:rsidR="00643414" w:rsidRPr="00813D19" w:rsidRDefault="00643414" w:rsidP="00643414">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that no amendments had been received </w:t>
      </w:r>
      <w:r w:rsidRPr="00813D19">
        <w:rPr>
          <w:color w:val="000000" w:themeColor="text1"/>
          <w:lang w:val="en-US"/>
        </w:rPr>
        <w:t>for this nomination.</w:t>
      </w:r>
    </w:p>
    <w:p w14:paraId="1609EF96" w14:textId="2D071903" w:rsidR="002A562B" w:rsidRPr="003D53B3" w:rsidRDefault="00643414" w:rsidP="00643414">
      <w:pPr>
        <w:pStyle w:val="Orateurengris"/>
        <w:spacing w:before="120"/>
        <w:ind w:left="709" w:hanging="709"/>
        <w:rPr>
          <w:rFonts w:eastAsia="Times New Roman"/>
          <w:bCs/>
          <w:lang w:val="en-US"/>
        </w:rPr>
      </w:pPr>
      <w:r w:rsidRPr="00813D19">
        <w:rPr>
          <w:rFonts w:eastAsia="Calibri"/>
          <w:color w:val="000000" w:themeColor="text1"/>
          <w:lang w:val="en-US"/>
        </w:rPr>
        <w:t>Turning to the draft decision as a whole,</w:t>
      </w:r>
      <w:r w:rsidRPr="00813D19">
        <w:rPr>
          <w:lang w:val="en-US"/>
        </w:rPr>
        <w:t xml:space="preserve"> </w:t>
      </w:r>
      <w:r w:rsidR="002A562B" w:rsidRPr="00813D19">
        <w:rPr>
          <w:lang w:val="en-US"/>
        </w:rPr>
        <w:t xml:space="preserve">the </w:t>
      </w:r>
      <w:r w:rsidR="002A562B" w:rsidRPr="00813D19">
        <w:rPr>
          <w:b/>
          <w:lang w:val="en-US"/>
        </w:rPr>
        <w:t xml:space="preserve">Chairperson declared Decision </w:t>
      </w:r>
      <w:hyperlink r:id="rId141" w:history="1">
        <w:r w:rsidR="002A562B" w:rsidRPr="00813D19">
          <w:rPr>
            <w:rStyle w:val="Hyperlink"/>
            <w:b/>
            <w:lang w:val="en-US"/>
          </w:rPr>
          <w:t>13.COM 10.c.2</w:t>
        </w:r>
      </w:hyperlink>
      <w:r w:rsidR="002A562B" w:rsidRPr="00813D19">
        <w:rPr>
          <w:b/>
          <w:lang w:val="en-US"/>
        </w:rPr>
        <w:t xml:space="preserve"> adopted to inscribe Land-of-Legends programme, for promoting and revitalizing the art of storytelling in Kronoberg Region </w:t>
      </w:r>
      <w:r w:rsidR="00091DD3" w:rsidRPr="00813D19">
        <w:rPr>
          <w:b/>
          <w:lang w:val="en-US"/>
        </w:rPr>
        <w:t xml:space="preserve">(South-Sweden) </w:t>
      </w:r>
      <w:r w:rsidR="002A562B" w:rsidRPr="00813D19">
        <w:rPr>
          <w:b/>
          <w:color w:val="000000" w:themeColor="text1"/>
          <w:lang w:val="en-US"/>
        </w:rPr>
        <w:t>on the Register of Good Safeguarding Practices</w:t>
      </w:r>
      <w:r w:rsidR="002A562B" w:rsidRPr="003D53B3">
        <w:rPr>
          <w:bCs/>
          <w:snapToGrid/>
          <w:color w:val="000000" w:themeColor="text1"/>
          <w:lang w:val="en-US"/>
        </w:rPr>
        <w:t>.</w:t>
      </w:r>
    </w:p>
    <w:p w14:paraId="2112226D" w14:textId="349CEA44" w:rsidR="0005315E" w:rsidRPr="00813D19" w:rsidRDefault="00796EE2" w:rsidP="000B516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Sweden</w:t>
      </w:r>
      <w:r w:rsidR="00216CB3" w:rsidRPr="00813D19">
        <w:rPr>
          <w:b/>
          <w:color w:val="000000" w:themeColor="text1"/>
          <w:lang w:val="en-US"/>
        </w:rPr>
        <w:t xml:space="preserve"> </w:t>
      </w:r>
      <w:r w:rsidR="00091DD3" w:rsidRPr="00813D19">
        <w:rPr>
          <w:color w:val="000000" w:themeColor="text1"/>
          <w:lang w:val="en-US"/>
        </w:rPr>
        <w:t>thanked</w:t>
      </w:r>
      <w:r w:rsidR="00091DD3" w:rsidRPr="00813D19">
        <w:rPr>
          <w:b/>
          <w:color w:val="000000" w:themeColor="text1"/>
          <w:lang w:val="en-US"/>
        </w:rPr>
        <w:t xml:space="preserve"> </w:t>
      </w:r>
      <w:r w:rsidR="00216CB3" w:rsidRPr="00813D19">
        <w:rPr>
          <w:lang w:val="en-US"/>
        </w:rPr>
        <w:t xml:space="preserve">the host country for </w:t>
      </w:r>
      <w:r w:rsidR="00091DD3" w:rsidRPr="00813D19">
        <w:rPr>
          <w:lang w:val="en-US"/>
        </w:rPr>
        <w:t xml:space="preserve">its </w:t>
      </w:r>
      <w:r w:rsidR="00216CB3" w:rsidRPr="00813D19">
        <w:rPr>
          <w:lang w:val="en-US"/>
        </w:rPr>
        <w:t xml:space="preserve">warm hospitality and also the Secretariat for the organization of this meeting. </w:t>
      </w:r>
      <w:r w:rsidR="00091DD3" w:rsidRPr="00813D19">
        <w:rPr>
          <w:lang w:val="en-US"/>
        </w:rPr>
        <w:t xml:space="preserve">It also </w:t>
      </w:r>
      <w:r w:rsidR="00216CB3" w:rsidRPr="00813D19">
        <w:rPr>
          <w:lang w:val="en-US"/>
        </w:rPr>
        <w:t>thank</w:t>
      </w:r>
      <w:r w:rsidR="00091DD3" w:rsidRPr="00813D19">
        <w:rPr>
          <w:lang w:val="en-US"/>
        </w:rPr>
        <w:t>ed</w:t>
      </w:r>
      <w:r w:rsidR="00216CB3" w:rsidRPr="00813D19">
        <w:rPr>
          <w:lang w:val="en-US"/>
        </w:rPr>
        <w:t xml:space="preserve"> the Evaluation Body for </w:t>
      </w:r>
      <w:r w:rsidR="00091DD3" w:rsidRPr="00813D19">
        <w:rPr>
          <w:lang w:val="en-US"/>
        </w:rPr>
        <w:t xml:space="preserve">its </w:t>
      </w:r>
      <w:r w:rsidR="00216CB3" w:rsidRPr="00813D19">
        <w:rPr>
          <w:lang w:val="en-US"/>
        </w:rPr>
        <w:t xml:space="preserve">important work and the Committee for the inscription of </w:t>
      </w:r>
      <w:r w:rsidR="00915EDA">
        <w:rPr>
          <w:lang w:val="en-US"/>
        </w:rPr>
        <w:t xml:space="preserve">the </w:t>
      </w:r>
      <w:r w:rsidR="00216CB3" w:rsidRPr="00813D19">
        <w:rPr>
          <w:bCs/>
          <w:lang w:val="en-US"/>
        </w:rPr>
        <w:t xml:space="preserve">Land-of-Legends programme in the Register of Good Safeguarding Practices. This </w:t>
      </w:r>
      <w:r w:rsidR="00091DD3" w:rsidRPr="00813D19">
        <w:rPr>
          <w:bCs/>
          <w:lang w:val="en-US"/>
        </w:rPr>
        <w:t xml:space="preserve">was </w:t>
      </w:r>
      <w:r w:rsidR="00216CB3" w:rsidRPr="00813D19">
        <w:rPr>
          <w:bCs/>
          <w:lang w:val="en-US"/>
        </w:rPr>
        <w:t xml:space="preserve">the first time </w:t>
      </w:r>
      <w:r w:rsidR="00091DD3" w:rsidRPr="00813D19">
        <w:rPr>
          <w:bCs/>
          <w:lang w:val="en-US"/>
        </w:rPr>
        <w:t>that Sweden had</w:t>
      </w:r>
      <w:r w:rsidR="00216CB3" w:rsidRPr="00813D19">
        <w:rPr>
          <w:bCs/>
          <w:lang w:val="en-US"/>
        </w:rPr>
        <w:t xml:space="preserve"> presented a nomination under the </w:t>
      </w:r>
      <w:r w:rsidR="00091DD3" w:rsidRPr="00813D19">
        <w:rPr>
          <w:bCs/>
          <w:lang w:val="en-US"/>
        </w:rPr>
        <w:t xml:space="preserve">Convention, and </w:t>
      </w:r>
      <w:r w:rsidR="00216CB3" w:rsidRPr="00813D19">
        <w:rPr>
          <w:bCs/>
          <w:lang w:val="en-US"/>
        </w:rPr>
        <w:t xml:space="preserve">it </w:t>
      </w:r>
      <w:r w:rsidR="00091DD3" w:rsidRPr="00813D19">
        <w:rPr>
          <w:bCs/>
          <w:lang w:val="en-US"/>
        </w:rPr>
        <w:t xml:space="preserve">was </w:t>
      </w:r>
      <w:r w:rsidR="00216CB3" w:rsidRPr="00813D19">
        <w:rPr>
          <w:bCs/>
          <w:lang w:val="en-US"/>
        </w:rPr>
        <w:t xml:space="preserve">not a coincidence that this first nomination </w:t>
      </w:r>
      <w:r w:rsidR="00091DD3" w:rsidRPr="00813D19">
        <w:rPr>
          <w:bCs/>
          <w:lang w:val="en-US"/>
        </w:rPr>
        <w:t xml:space="preserve">was </w:t>
      </w:r>
      <w:r w:rsidR="00216CB3" w:rsidRPr="00813D19">
        <w:rPr>
          <w:bCs/>
          <w:lang w:val="en-US"/>
        </w:rPr>
        <w:t xml:space="preserve">a project </w:t>
      </w:r>
      <w:r w:rsidR="00915EDA">
        <w:rPr>
          <w:bCs/>
          <w:lang w:val="en-US"/>
        </w:rPr>
        <w:t>for</w:t>
      </w:r>
      <w:r w:rsidR="00216CB3" w:rsidRPr="00813D19">
        <w:rPr>
          <w:bCs/>
          <w:lang w:val="en-US"/>
        </w:rPr>
        <w:t xml:space="preserve"> the Register of Good Safeguar</w:t>
      </w:r>
      <w:r w:rsidR="00091DD3" w:rsidRPr="00813D19">
        <w:rPr>
          <w:bCs/>
          <w:lang w:val="en-US"/>
        </w:rPr>
        <w:t>ding Practices. Sweden considered</w:t>
      </w:r>
      <w:r w:rsidR="00216CB3" w:rsidRPr="00813D19">
        <w:rPr>
          <w:bCs/>
          <w:lang w:val="en-US"/>
        </w:rPr>
        <w:t xml:space="preserve"> this Register to be of </w:t>
      </w:r>
      <w:r w:rsidR="00915EDA">
        <w:rPr>
          <w:bCs/>
          <w:lang w:val="en-US"/>
        </w:rPr>
        <w:t xml:space="preserve">the </w:t>
      </w:r>
      <w:r w:rsidR="00216CB3" w:rsidRPr="00813D19">
        <w:rPr>
          <w:bCs/>
          <w:lang w:val="en-US"/>
        </w:rPr>
        <w:t xml:space="preserve">utmost importance because if </w:t>
      </w:r>
      <w:r w:rsidR="00091DD3" w:rsidRPr="00813D19">
        <w:rPr>
          <w:bCs/>
          <w:lang w:val="en-US"/>
        </w:rPr>
        <w:t xml:space="preserve">one </w:t>
      </w:r>
      <w:r w:rsidR="00042F4D" w:rsidRPr="00813D19">
        <w:rPr>
          <w:bCs/>
          <w:lang w:val="en-US"/>
        </w:rPr>
        <w:t>did</w:t>
      </w:r>
      <w:r w:rsidR="00091DD3" w:rsidRPr="00813D19">
        <w:rPr>
          <w:bCs/>
          <w:lang w:val="en-US"/>
        </w:rPr>
        <w:t xml:space="preserve"> not </w:t>
      </w:r>
      <w:r w:rsidR="00216CB3" w:rsidRPr="00813D19">
        <w:rPr>
          <w:bCs/>
          <w:lang w:val="en-US"/>
        </w:rPr>
        <w:t xml:space="preserve">know how to transmit elements of intangible cultural heritage between people </w:t>
      </w:r>
      <w:r w:rsidR="00042F4D" w:rsidRPr="00813D19">
        <w:rPr>
          <w:bCs/>
          <w:lang w:val="en-US"/>
        </w:rPr>
        <w:t xml:space="preserve">and </w:t>
      </w:r>
      <w:r w:rsidR="00091DD3" w:rsidRPr="00813D19">
        <w:rPr>
          <w:bCs/>
          <w:lang w:val="en-US"/>
        </w:rPr>
        <w:t>to the next generation,</w:t>
      </w:r>
      <w:r w:rsidR="00216CB3" w:rsidRPr="00813D19">
        <w:rPr>
          <w:bCs/>
          <w:lang w:val="en-US"/>
        </w:rPr>
        <w:t xml:space="preserve"> the element </w:t>
      </w:r>
      <w:r w:rsidR="00042F4D" w:rsidRPr="00813D19">
        <w:rPr>
          <w:bCs/>
          <w:lang w:val="en-US"/>
        </w:rPr>
        <w:t xml:space="preserve">would </w:t>
      </w:r>
      <w:r w:rsidR="00216CB3" w:rsidRPr="00813D19">
        <w:rPr>
          <w:bCs/>
          <w:lang w:val="en-US"/>
        </w:rPr>
        <w:t xml:space="preserve">not survive as living heritage. </w:t>
      </w:r>
      <w:r w:rsidR="00091DD3" w:rsidRPr="00813D19">
        <w:rPr>
          <w:bCs/>
          <w:lang w:val="en-US"/>
        </w:rPr>
        <w:t>S</w:t>
      </w:r>
      <w:r w:rsidR="00216CB3" w:rsidRPr="00813D19">
        <w:rPr>
          <w:bCs/>
          <w:lang w:val="en-US"/>
        </w:rPr>
        <w:t>haring methods of safeguarding with each other</w:t>
      </w:r>
      <w:r w:rsidR="00091DD3" w:rsidRPr="00813D19">
        <w:rPr>
          <w:bCs/>
          <w:lang w:val="en-US"/>
        </w:rPr>
        <w:t xml:space="preserve"> meant not </w:t>
      </w:r>
      <w:r w:rsidR="00216CB3" w:rsidRPr="00813D19">
        <w:rPr>
          <w:bCs/>
          <w:lang w:val="en-US"/>
        </w:rPr>
        <w:t>reinvent</w:t>
      </w:r>
      <w:r w:rsidR="00091DD3" w:rsidRPr="00813D19">
        <w:rPr>
          <w:bCs/>
          <w:lang w:val="en-US"/>
        </w:rPr>
        <w:t>ing</w:t>
      </w:r>
      <w:r w:rsidR="00216CB3" w:rsidRPr="00813D19">
        <w:rPr>
          <w:bCs/>
          <w:lang w:val="en-US"/>
        </w:rPr>
        <w:t xml:space="preserve"> the wheel. Sweden </w:t>
      </w:r>
      <w:r w:rsidR="00091DD3" w:rsidRPr="00813D19">
        <w:rPr>
          <w:bCs/>
          <w:lang w:val="en-US"/>
        </w:rPr>
        <w:t xml:space="preserve">was thus </w:t>
      </w:r>
      <w:r w:rsidR="00216CB3" w:rsidRPr="00813D19">
        <w:rPr>
          <w:bCs/>
          <w:lang w:val="en-US"/>
        </w:rPr>
        <w:t>pleased to contribute to this essential Register</w:t>
      </w:r>
      <w:r w:rsidR="00091DD3" w:rsidRPr="00813D19">
        <w:rPr>
          <w:bCs/>
          <w:lang w:val="en-US"/>
        </w:rPr>
        <w:t>,</w:t>
      </w:r>
      <w:r w:rsidR="00216CB3" w:rsidRPr="00813D19">
        <w:rPr>
          <w:bCs/>
          <w:lang w:val="en-US"/>
        </w:rPr>
        <w:t xml:space="preserve"> hoping that more Member States </w:t>
      </w:r>
      <w:r w:rsidR="00915EDA">
        <w:rPr>
          <w:bCs/>
          <w:lang w:val="en-US"/>
        </w:rPr>
        <w:t>would</w:t>
      </w:r>
      <w:r w:rsidR="00915EDA" w:rsidRPr="00813D19">
        <w:rPr>
          <w:bCs/>
          <w:lang w:val="en-US"/>
        </w:rPr>
        <w:t xml:space="preserve"> </w:t>
      </w:r>
      <w:r w:rsidR="00216CB3" w:rsidRPr="00813D19">
        <w:rPr>
          <w:bCs/>
          <w:lang w:val="en-US"/>
        </w:rPr>
        <w:t xml:space="preserve">do the same. </w:t>
      </w:r>
      <w:r w:rsidR="00091DD3" w:rsidRPr="00813D19">
        <w:rPr>
          <w:bCs/>
          <w:lang w:val="en-US"/>
        </w:rPr>
        <w:t xml:space="preserve">The delegation </w:t>
      </w:r>
      <w:r w:rsidR="00216CB3" w:rsidRPr="00813D19">
        <w:rPr>
          <w:bCs/>
          <w:lang w:val="en-US"/>
        </w:rPr>
        <w:t>underline</w:t>
      </w:r>
      <w:r w:rsidR="00091DD3" w:rsidRPr="00813D19">
        <w:rPr>
          <w:bCs/>
          <w:lang w:val="en-US"/>
        </w:rPr>
        <w:t>d</w:t>
      </w:r>
      <w:r w:rsidR="00216CB3" w:rsidRPr="00813D19">
        <w:rPr>
          <w:bCs/>
          <w:lang w:val="en-US"/>
        </w:rPr>
        <w:t xml:space="preserve"> that this Register </w:t>
      </w:r>
      <w:r w:rsidR="00B547D2">
        <w:rPr>
          <w:bCs/>
          <w:lang w:val="en-US"/>
        </w:rPr>
        <w:t>provided</w:t>
      </w:r>
      <w:r w:rsidR="00B547D2" w:rsidRPr="00813D19">
        <w:rPr>
          <w:bCs/>
          <w:lang w:val="en-US"/>
        </w:rPr>
        <w:t xml:space="preserve"> </w:t>
      </w:r>
      <w:r w:rsidR="00216CB3" w:rsidRPr="00813D19">
        <w:rPr>
          <w:bCs/>
          <w:lang w:val="en-US"/>
        </w:rPr>
        <w:t>the opportunity to highlight the decisive work of the practitioners, primarily civil society and NGOs</w:t>
      </w:r>
      <w:r w:rsidR="00091DD3" w:rsidRPr="00813D19">
        <w:rPr>
          <w:bCs/>
          <w:lang w:val="en-US"/>
        </w:rPr>
        <w:t>,</w:t>
      </w:r>
      <w:r w:rsidR="00216CB3" w:rsidRPr="00813D19">
        <w:rPr>
          <w:bCs/>
          <w:lang w:val="en-US"/>
        </w:rPr>
        <w:t xml:space="preserve"> in the im</w:t>
      </w:r>
      <w:r w:rsidR="003D53B3">
        <w:rPr>
          <w:bCs/>
          <w:lang w:val="en-US"/>
        </w:rPr>
        <w:t>plementation of the Convention.</w:t>
      </w:r>
    </w:p>
    <w:p w14:paraId="751CB043" w14:textId="02D3FE62" w:rsidR="00216CB3" w:rsidRPr="00813D19" w:rsidRDefault="00CD2122" w:rsidP="000B516C">
      <w:pPr>
        <w:pStyle w:val="Orateurengris"/>
        <w:spacing w:before="120"/>
        <w:ind w:left="709" w:hanging="709"/>
        <w:rPr>
          <w:color w:val="000000" w:themeColor="text1"/>
          <w:lang w:val="en-US"/>
        </w:rPr>
      </w:pPr>
      <w:r w:rsidRPr="00813D19">
        <w:rPr>
          <w:bCs/>
          <w:lang w:val="en-US"/>
        </w:rPr>
        <w:t>The</w:t>
      </w:r>
      <w:r w:rsidRPr="00813D19">
        <w:rPr>
          <w:b/>
          <w:bCs/>
          <w:lang w:val="en-US"/>
        </w:rPr>
        <w:t xml:space="preserve"> delegation of Sweden </w:t>
      </w:r>
      <w:r w:rsidR="00042F4D" w:rsidRPr="00813D19">
        <w:rPr>
          <w:bCs/>
          <w:lang w:val="en-US"/>
        </w:rPr>
        <w:t>[second speaker]</w:t>
      </w:r>
      <w:r w:rsidRPr="00813D19">
        <w:rPr>
          <w:bCs/>
          <w:lang w:val="en-US"/>
        </w:rPr>
        <w:t>, Ms Meg Nömgård</w:t>
      </w:r>
      <w:r w:rsidRPr="00813D19">
        <w:rPr>
          <w:b/>
          <w:bCs/>
          <w:lang w:val="en-US"/>
        </w:rPr>
        <w:t xml:space="preserve">, </w:t>
      </w:r>
      <w:r w:rsidR="00091DD3" w:rsidRPr="00813D19">
        <w:rPr>
          <w:bCs/>
          <w:lang w:val="en-US"/>
        </w:rPr>
        <w:t>Director of the Land-of-</w:t>
      </w:r>
      <w:r w:rsidR="00216CB3" w:rsidRPr="00813D19">
        <w:rPr>
          <w:bCs/>
          <w:lang w:val="en-US"/>
        </w:rPr>
        <w:t>Legends programme at the Storytelling Network of Kronoberg</w:t>
      </w:r>
      <w:r w:rsidRPr="00813D19">
        <w:rPr>
          <w:bCs/>
          <w:lang w:val="en-US"/>
        </w:rPr>
        <w:t xml:space="preserve">, </w:t>
      </w:r>
      <w:r w:rsidR="00336CB1" w:rsidRPr="00813D19">
        <w:rPr>
          <w:bCs/>
          <w:lang w:val="en-US"/>
        </w:rPr>
        <w:t xml:space="preserve">explained that the </w:t>
      </w:r>
      <w:r w:rsidR="00216CB3" w:rsidRPr="00813D19">
        <w:rPr>
          <w:bCs/>
          <w:lang w:val="en-US"/>
        </w:rPr>
        <w:t>Land of Legends is filled with stories of a country in the very far north where giants, trolls and dragons used to live in endless forests. On behalf of the Storytelling Network of Kronoberg</w:t>
      </w:r>
      <w:r w:rsidR="00336CB1" w:rsidRPr="00813D19">
        <w:rPr>
          <w:bCs/>
          <w:lang w:val="en-US"/>
        </w:rPr>
        <w:t xml:space="preserve">, she </w:t>
      </w:r>
      <w:r w:rsidR="00216CB3" w:rsidRPr="00813D19">
        <w:rPr>
          <w:bCs/>
          <w:lang w:val="en-US"/>
        </w:rPr>
        <w:t>thank</w:t>
      </w:r>
      <w:r w:rsidR="00336CB1" w:rsidRPr="00813D19">
        <w:rPr>
          <w:bCs/>
          <w:lang w:val="en-US"/>
        </w:rPr>
        <w:t>ed</w:t>
      </w:r>
      <w:r w:rsidR="00216CB3" w:rsidRPr="00813D19">
        <w:rPr>
          <w:bCs/>
          <w:lang w:val="en-US"/>
        </w:rPr>
        <w:t xml:space="preserve"> the Eva</w:t>
      </w:r>
      <w:r w:rsidR="00336CB1" w:rsidRPr="00813D19">
        <w:rPr>
          <w:bCs/>
          <w:lang w:val="en-US"/>
        </w:rPr>
        <w:t xml:space="preserve">luation Body and the Committee for the inscription and was </w:t>
      </w:r>
      <w:r w:rsidR="00216CB3" w:rsidRPr="00813D19">
        <w:rPr>
          <w:bCs/>
          <w:lang w:val="en-US"/>
        </w:rPr>
        <w:t>pleased to now be on the Register</w:t>
      </w:r>
      <w:r w:rsidR="00336CB1" w:rsidRPr="00813D19">
        <w:rPr>
          <w:bCs/>
          <w:lang w:val="en-US"/>
        </w:rPr>
        <w:t>,</w:t>
      </w:r>
      <w:r w:rsidR="00216CB3" w:rsidRPr="00813D19">
        <w:rPr>
          <w:bCs/>
          <w:lang w:val="en-US"/>
        </w:rPr>
        <w:t xml:space="preserve"> especially </w:t>
      </w:r>
      <w:r w:rsidR="00336CB1" w:rsidRPr="00813D19">
        <w:rPr>
          <w:bCs/>
          <w:lang w:val="en-US"/>
        </w:rPr>
        <w:t xml:space="preserve">as sharing </w:t>
      </w:r>
      <w:r w:rsidR="00B547D2">
        <w:rPr>
          <w:bCs/>
          <w:lang w:val="en-US"/>
        </w:rPr>
        <w:t>was</w:t>
      </w:r>
      <w:r w:rsidR="00B547D2" w:rsidRPr="00813D19">
        <w:rPr>
          <w:bCs/>
          <w:lang w:val="en-US"/>
        </w:rPr>
        <w:t xml:space="preserve"> </w:t>
      </w:r>
      <w:r w:rsidR="00336CB1" w:rsidRPr="00813D19">
        <w:rPr>
          <w:bCs/>
          <w:lang w:val="en-US"/>
        </w:rPr>
        <w:t xml:space="preserve">one of its </w:t>
      </w:r>
      <w:r w:rsidR="00216CB3" w:rsidRPr="00813D19">
        <w:rPr>
          <w:bCs/>
          <w:lang w:val="en-US"/>
        </w:rPr>
        <w:t xml:space="preserve">core values. </w:t>
      </w:r>
      <w:r w:rsidR="00336CB1" w:rsidRPr="00813D19">
        <w:rPr>
          <w:bCs/>
          <w:lang w:val="en-US"/>
        </w:rPr>
        <w:t xml:space="preserve">The Network had </w:t>
      </w:r>
      <w:r w:rsidR="00216CB3" w:rsidRPr="00813D19">
        <w:rPr>
          <w:bCs/>
          <w:lang w:val="en-US"/>
        </w:rPr>
        <w:t>helped others with storytelling activities for many years both in Sweden and abroad</w:t>
      </w:r>
      <w:r w:rsidR="00336CB1" w:rsidRPr="00813D19">
        <w:rPr>
          <w:bCs/>
          <w:lang w:val="en-US"/>
        </w:rPr>
        <w:t>,</w:t>
      </w:r>
      <w:r w:rsidR="00216CB3" w:rsidRPr="00813D19">
        <w:rPr>
          <w:bCs/>
          <w:lang w:val="en-US"/>
        </w:rPr>
        <w:t xml:space="preserve"> by sharing failures and successes. </w:t>
      </w:r>
      <w:r w:rsidR="00336CB1" w:rsidRPr="00813D19">
        <w:rPr>
          <w:bCs/>
          <w:lang w:val="en-US"/>
        </w:rPr>
        <w:t>It now looked</w:t>
      </w:r>
      <w:r w:rsidR="00216CB3" w:rsidRPr="00813D19">
        <w:rPr>
          <w:bCs/>
          <w:lang w:val="en-US"/>
        </w:rPr>
        <w:t xml:space="preserve"> forward to t</w:t>
      </w:r>
      <w:r w:rsidR="00336CB1" w:rsidRPr="00813D19">
        <w:rPr>
          <w:bCs/>
          <w:lang w:val="en-US"/>
        </w:rPr>
        <w:t xml:space="preserve">aking this work to a new level and </w:t>
      </w:r>
      <w:r w:rsidR="00216CB3" w:rsidRPr="00813D19">
        <w:rPr>
          <w:bCs/>
          <w:lang w:val="en-US"/>
        </w:rPr>
        <w:t>to intensify</w:t>
      </w:r>
      <w:r w:rsidR="00B547D2">
        <w:rPr>
          <w:bCs/>
          <w:lang w:val="en-US"/>
        </w:rPr>
        <w:t>ing</w:t>
      </w:r>
      <w:r w:rsidR="00216CB3" w:rsidRPr="00813D19">
        <w:rPr>
          <w:bCs/>
          <w:lang w:val="en-US"/>
        </w:rPr>
        <w:t xml:space="preserve"> </w:t>
      </w:r>
      <w:r w:rsidR="00336CB1" w:rsidRPr="00813D19">
        <w:rPr>
          <w:bCs/>
          <w:lang w:val="en-US"/>
        </w:rPr>
        <w:t xml:space="preserve">its </w:t>
      </w:r>
      <w:r w:rsidR="00216CB3" w:rsidRPr="00813D19">
        <w:rPr>
          <w:bCs/>
          <w:lang w:val="en-US"/>
        </w:rPr>
        <w:t>work with the Convention and extend</w:t>
      </w:r>
      <w:r w:rsidR="00B547D2">
        <w:rPr>
          <w:bCs/>
          <w:lang w:val="en-US"/>
        </w:rPr>
        <w:t>ing</w:t>
      </w:r>
      <w:r w:rsidR="00216CB3" w:rsidRPr="00813D19">
        <w:rPr>
          <w:bCs/>
          <w:lang w:val="en-US"/>
        </w:rPr>
        <w:t xml:space="preserve"> </w:t>
      </w:r>
      <w:r w:rsidR="00336CB1" w:rsidRPr="00813D19">
        <w:rPr>
          <w:bCs/>
          <w:lang w:val="en-US"/>
        </w:rPr>
        <w:t xml:space="preserve">its </w:t>
      </w:r>
      <w:r w:rsidR="00216CB3" w:rsidRPr="00813D19">
        <w:rPr>
          <w:bCs/>
          <w:lang w:val="en-US"/>
        </w:rPr>
        <w:t xml:space="preserve">international cooperation. </w:t>
      </w:r>
      <w:r w:rsidR="00336CB1" w:rsidRPr="00813D19">
        <w:rPr>
          <w:bCs/>
          <w:lang w:val="en-US"/>
        </w:rPr>
        <w:t xml:space="preserve">Moreover, the Network was </w:t>
      </w:r>
      <w:r w:rsidR="00216CB3" w:rsidRPr="00813D19">
        <w:rPr>
          <w:bCs/>
          <w:lang w:val="en-US"/>
        </w:rPr>
        <w:t>right now in the beginning of laying a foundation for an international institute fo</w:t>
      </w:r>
      <w:r w:rsidR="00336CB1" w:rsidRPr="00813D19">
        <w:rPr>
          <w:bCs/>
          <w:lang w:val="en-US"/>
        </w:rPr>
        <w:t>r oral storytelling traditions, and n</w:t>
      </w:r>
      <w:r w:rsidR="00216CB3" w:rsidRPr="00813D19">
        <w:rPr>
          <w:bCs/>
          <w:lang w:val="en-US"/>
        </w:rPr>
        <w:t xml:space="preserve">ew stories </w:t>
      </w:r>
      <w:r w:rsidR="00336CB1" w:rsidRPr="00813D19">
        <w:rPr>
          <w:bCs/>
          <w:lang w:val="en-US"/>
        </w:rPr>
        <w:t xml:space="preserve">were being </w:t>
      </w:r>
      <w:r w:rsidR="00216CB3" w:rsidRPr="00813D19">
        <w:rPr>
          <w:bCs/>
          <w:lang w:val="en-US"/>
        </w:rPr>
        <w:t>added all the time to the Land of Legends</w:t>
      </w:r>
      <w:r w:rsidR="00336CB1" w:rsidRPr="00813D19">
        <w:rPr>
          <w:bCs/>
          <w:lang w:val="en-US"/>
        </w:rPr>
        <w:t>, which would begin</w:t>
      </w:r>
      <w:r w:rsidR="00216CB3" w:rsidRPr="00813D19">
        <w:rPr>
          <w:bCs/>
          <w:lang w:val="en-US"/>
        </w:rPr>
        <w:t>: once upon a time there was a Committee meeting in the beautiful country of the Rep</w:t>
      </w:r>
      <w:r w:rsidR="003D53B3">
        <w:rPr>
          <w:bCs/>
          <w:lang w:val="en-US"/>
        </w:rPr>
        <w:t>ublic of Mauritius.</w:t>
      </w:r>
    </w:p>
    <w:p w14:paraId="50DA2A9E" w14:textId="31296F2F" w:rsidR="00C77360" w:rsidRPr="00813D19" w:rsidRDefault="00C77360" w:rsidP="003D53B3">
      <w:pPr>
        <w:pStyle w:val="Orateurengris"/>
        <w:numPr>
          <w:ilvl w:val="0"/>
          <w:numId w:val="0"/>
        </w:numPr>
        <w:spacing w:before="240" w:after="240"/>
        <w:jc w:val="center"/>
        <w:rPr>
          <w:i/>
          <w:color w:val="000000" w:themeColor="text1"/>
          <w:lang w:val="en-US"/>
        </w:rPr>
      </w:pPr>
      <w:r w:rsidRPr="00813D19">
        <w:rPr>
          <w:i/>
          <w:color w:val="000000" w:themeColor="text1"/>
          <w:lang w:val="en-US"/>
        </w:rPr>
        <w:t>[</w:t>
      </w:r>
      <w:r w:rsidR="00456ED1" w:rsidRPr="00813D19">
        <w:rPr>
          <w:i/>
          <w:color w:val="000000" w:themeColor="text1"/>
          <w:lang w:val="en-US"/>
        </w:rPr>
        <w:t>A s</w:t>
      </w:r>
      <w:r w:rsidR="0033342B" w:rsidRPr="00813D19">
        <w:rPr>
          <w:i/>
          <w:color w:val="000000" w:themeColor="text1"/>
          <w:lang w:val="en-US"/>
        </w:rPr>
        <w:t>hort f</w:t>
      </w:r>
      <w:r w:rsidRPr="00813D19">
        <w:rPr>
          <w:i/>
          <w:color w:val="000000" w:themeColor="text1"/>
          <w:lang w:val="en-US"/>
        </w:rPr>
        <w:t xml:space="preserve">ilm on the </w:t>
      </w:r>
      <w:r w:rsidRPr="00813D19">
        <w:rPr>
          <w:i/>
          <w:lang w:val="en-US"/>
        </w:rPr>
        <w:t>art of storytelling in Kronoberg Region</w:t>
      </w:r>
      <w:r w:rsidR="00456ED1" w:rsidRPr="00813D19">
        <w:rPr>
          <w:i/>
          <w:lang w:val="en-US"/>
        </w:rPr>
        <w:t xml:space="preserve"> was projected</w:t>
      </w:r>
      <w:r w:rsidRPr="00813D19">
        <w:rPr>
          <w:i/>
          <w:lang w:val="en-US"/>
        </w:rPr>
        <w:t>]</w:t>
      </w:r>
    </w:p>
    <w:p w14:paraId="5FD0DE99" w14:textId="19D2BA9D" w:rsidR="00796EE2" w:rsidRPr="00813D19" w:rsidRDefault="00796EE2" w:rsidP="00954F97">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954F97" w:rsidRPr="00813D19">
        <w:rPr>
          <w:color w:val="000000" w:themeColor="text1"/>
          <w:lang w:val="en-US"/>
        </w:rPr>
        <w:t xml:space="preserve">returned to </w:t>
      </w:r>
      <w:r w:rsidR="005963C8" w:rsidRPr="00813D19">
        <w:rPr>
          <w:color w:val="000000" w:themeColor="text1"/>
          <w:lang w:val="en-US"/>
        </w:rPr>
        <w:t xml:space="preserve">the video </w:t>
      </w:r>
      <w:r w:rsidR="00954F97" w:rsidRPr="00813D19">
        <w:rPr>
          <w:color w:val="000000" w:themeColor="text1"/>
          <w:lang w:val="en-US"/>
        </w:rPr>
        <w:t xml:space="preserve">presented by Tunisia </w:t>
      </w:r>
      <w:r w:rsidR="005963C8" w:rsidRPr="00813D19">
        <w:rPr>
          <w:color w:val="000000" w:themeColor="text1"/>
          <w:lang w:val="en-US"/>
        </w:rPr>
        <w:t xml:space="preserve">that </w:t>
      </w:r>
      <w:r w:rsidR="00B547D2">
        <w:rPr>
          <w:color w:val="000000" w:themeColor="text1"/>
          <w:lang w:val="en-US"/>
        </w:rPr>
        <w:t xml:space="preserve">had </w:t>
      </w:r>
      <w:r w:rsidR="005963C8" w:rsidRPr="00813D19">
        <w:rPr>
          <w:color w:val="000000" w:themeColor="text1"/>
          <w:lang w:val="en-US"/>
        </w:rPr>
        <w:t xml:space="preserve">not </w:t>
      </w:r>
      <w:r w:rsidR="00B547D2">
        <w:rPr>
          <w:color w:val="000000" w:themeColor="text1"/>
          <w:lang w:val="en-US"/>
        </w:rPr>
        <w:t xml:space="preserve">been </w:t>
      </w:r>
      <w:r w:rsidR="005963C8" w:rsidRPr="00813D19">
        <w:rPr>
          <w:color w:val="000000" w:themeColor="text1"/>
          <w:lang w:val="en-US"/>
        </w:rPr>
        <w:t>shown earlier</w:t>
      </w:r>
      <w:r w:rsidR="00954F97" w:rsidRPr="00813D19">
        <w:rPr>
          <w:color w:val="000000" w:themeColor="text1"/>
          <w:lang w:val="en-US"/>
        </w:rPr>
        <w:t xml:space="preserve"> on the Pottery skills of the women of Sejnane, presenting his ap</w:t>
      </w:r>
      <w:r w:rsidR="003D53B3">
        <w:rPr>
          <w:color w:val="000000" w:themeColor="text1"/>
          <w:lang w:val="en-US"/>
        </w:rPr>
        <w:t>ologies.</w:t>
      </w:r>
    </w:p>
    <w:p w14:paraId="75885282" w14:textId="1F53C12A" w:rsidR="00D56D89" w:rsidRPr="00813D19" w:rsidRDefault="00D56D89" w:rsidP="003D53B3">
      <w:pPr>
        <w:pStyle w:val="Orateurengris"/>
        <w:numPr>
          <w:ilvl w:val="0"/>
          <w:numId w:val="0"/>
        </w:numPr>
        <w:spacing w:before="240" w:after="240"/>
        <w:jc w:val="center"/>
        <w:rPr>
          <w:i/>
          <w:color w:val="000000" w:themeColor="text1"/>
          <w:lang w:val="en-US"/>
        </w:rPr>
      </w:pPr>
      <w:r w:rsidRPr="00813D19">
        <w:rPr>
          <w:i/>
          <w:color w:val="000000" w:themeColor="text1"/>
          <w:lang w:val="en-US"/>
        </w:rPr>
        <w:t>[</w:t>
      </w:r>
      <w:r w:rsidR="00456ED1" w:rsidRPr="00813D19">
        <w:rPr>
          <w:i/>
          <w:color w:val="000000" w:themeColor="text1"/>
          <w:lang w:val="en-US"/>
        </w:rPr>
        <w:t>A s</w:t>
      </w:r>
      <w:r w:rsidR="0033342B" w:rsidRPr="00813D19">
        <w:rPr>
          <w:i/>
          <w:color w:val="000000" w:themeColor="text1"/>
          <w:lang w:val="en-US"/>
        </w:rPr>
        <w:t>hort f</w:t>
      </w:r>
      <w:r w:rsidRPr="00813D19">
        <w:rPr>
          <w:i/>
          <w:color w:val="000000" w:themeColor="text1"/>
          <w:lang w:val="en-US"/>
        </w:rPr>
        <w:t>ilm on Pottery skills of the women of Sejnane</w:t>
      </w:r>
      <w:r w:rsidR="00456ED1" w:rsidRPr="00813D19">
        <w:rPr>
          <w:i/>
          <w:color w:val="000000" w:themeColor="text1"/>
          <w:lang w:val="en-US"/>
        </w:rPr>
        <w:t xml:space="preserve"> was projected</w:t>
      </w:r>
      <w:r w:rsidRPr="00813D19">
        <w:rPr>
          <w:i/>
          <w:color w:val="000000" w:themeColor="text1"/>
          <w:lang w:val="en-US"/>
        </w:rPr>
        <w:t>]</w:t>
      </w:r>
    </w:p>
    <w:p w14:paraId="42A601CA" w14:textId="54683F53" w:rsidR="00A8669C" w:rsidRPr="00813D19" w:rsidRDefault="00A8669C" w:rsidP="00456ED1">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Chairperson </w:t>
      </w:r>
      <w:r w:rsidR="005963C8" w:rsidRPr="00813D19">
        <w:rPr>
          <w:color w:val="000000" w:themeColor="text1"/>
          <w:lang w:val="en-US"/>
        </w:rPr>
        <w:t>thanked the Committee for the fruitful session and adjourned</w:t>
      </w:r>
      <w:r w:rsidRPr="00813D19">
        <w:rPr>
          <w:color w:val="000000" w:themeColor="text1"/>
          <w:lang w:val="en-US"/>
        </w:rPr>
        <w:t xml:space="preserve"> the session.</w:t>
      </w:r>
    </w:p>
    <w:p w14:paraId="61ED09E9" w14:textId="056413F9" w:rsidR="0064695B" w:rsidRPr="00813D19" w:rsidRDefault="000B516C" w:rsidP="003D53B3">
      <w:pPr>
        <w:pStyle w:val="Orateurengris"/>
        <w:keepNext/>
        <w:numPr>
          <w:ilvl w:val="0"/>
          <w:numId w:val="0"/>
        </w:numPr>
        <w:spacing w:before="240" w:after="240"/>
        <w:ind w:left="567" w:hanging="567"/>
        <w:jc w:val="center"/>
        <w:outlineLvl w:val="0"/>
        <w:rPr>
          <w:i/>
          <w:lang w:val="en-US"/>
        </w:rPr>
      </w:pPr>
      <w:r w:rsidRPr="00813D19">
        <w:rPr>
          <w:i/>
          <w:lang w:val="en-US"/>
        </w:rPr>
        <w:t>[Friday, 30 November 2018, morning session]</w:t>
      </w:r>
    </w:p>
    <w:p w14:paraId="2E6BB698" w14:textId="77777777" w:rsidR="00E8469A" w:rsidRPr="00813D19" w:rsidRDefault="00FE7E54" w:rsidP="00634D0B">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ITEM 11 OF THE AGENDA</w:t>
      </w:r>
    </w:p>
    <w:p w14:paraId="0FBD4E9E" w14:textId="4D23F7A3" w:rsidR="00FE7E54" w:rsidRPr="00813D19" w:rsidRDefault="00E8469A" w:rsidP="00634D0B">
      <w:pPr>
        <w:pStyle w:val="Orateurengris"/>
        <w:numPr>
          <w:ilvl w:val="0"/>
          <w:numId w:val="0"/>
        </w:numPr>
        <w:jc w:val="left"/>
        <w:outlineLvl w:val="1"/>
        <w:rPr>
          <w:b/>
          <w:color w:val="000000" w:themeColor="text1"/>
          <w:u w:val="single"/>
          <w:lang w:val="en-US"/>
        </w:rPr>
      </w:pPr>
      <w:r w:rsidRPr="00813D19">
        <w:rPr>
          <w:b/>
          <w:color w:val="000000" w:themeColor="text1"/>
          <w:lang w:val="en-US"/>
        </w:rPr>
        <w:t>INTANGIBLE CULTURAL HERITAGE IN EMERGENCIES</w:t>
      </w:r>
    </w:p>
    <w:p w14:paraId="2F86EDE8" w14:textId="0C352F3C" w:rsidR="00FE7E54" w:rsidRPr="00813D19" w:rsidRDefault="00FE7E54" w:rsidP="00634D0B">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42" w:history="1">
        <w:r w:rsidRPr="00813D19">
          <w:rPr>
            <w:rStyle w:val="Hyperlink"/>
            <w:bCs/>
            <w:i/>
            <w:lang w:val="en-US"/>
          </w:rPr>
          <w:t>ITH/18/13.COM/11</w:t>
        </w:r>
      </w:hyperlink>
    </w:p>
    <w:p w14:paraId="6661BAB7" w14:textId="7ADD7CCA" w:rsidR="00FE7E54" w:rsidRPr="00813D19" w:rsidRDefault="00FE7E54" w:rsidP="00634D0B">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634D0B">
        <w:rPr>
          <w:b/>
          <w:bCs/>
          <w:color w:val="000000" w:themeColor="text1"/>
          <w:lang w:val="en-US"/>
        </w:rPr>
        <w:t>:</w:t>
      </w:r>
      <w:r w:rsidRPr="00813D19">
        <w:rPr>
          <w:color w:val="000000" w:themeColor="text1"/>
          <w:lang w:val="en-US"/>
        </w:rPr>
        <w:tab/>
      </w:r>
      <w:hyperlink r:id="rId143" w:history="1">
        <w:r w:rsidRPr="00813D19">
          <w:rPr>
            <w:rStyle w:val="Hyperlink"/>
            <w:i/>
            <w:lang w:val="en-US"/>
          </w:rPr>
          <w:t>13.COM 11</w:t>
        </w:r>
      </w:hyperlink>
    </w:p>
    <w:p w14:paraId="129F4694" w14:textId="7C4AEC1A" w:rsidR="0068198B" w:rsidRPr="00813D19" w:rsidRDefault="0068198B" w:rsidP="0068198B">
      <w:pPr>
        <w:pStyle w:val="Orateurengris"/>
        <w:keepNext/>
        <w:numPr>
          <w:ilvl w:val="0"/>
          <w:numId w:val="0"/>
        </w:numPr>
        <w:spacing w:after="240"/>
        <w:ind w:left="567" w:hanging="567"/>
        <w:jc w:val="center"/>
        <w:rPr>
          <w:i/>
          <w:color w:val="000000" w:themeColor="text1"/>
          <w:lang w:val="en-US"/>
        </w:rPr>
      </w:pPr>
      <w:r w:rsidRPr="00813D19">
        <w:rPr>
          <w:i/>
          <w:color w:val="000000" w:themeColor="text1"/>
          <w:lang w:val="en-US"/>
        </w:rPr>
        <w:t>[The Vice-Chairperson of Lebanon chaired the following session]</w:t>
      </w:r>
    </w:p>
    <w:p w14:paraId="3A2826BF" w14:textId="201FF975" w:rsidR="00AC5FD5" w:rsidRPr="00813D19" w:rsidRDefault="00AC5FD5" w:rsidP="0068198B">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Vice-Chairperson</w:t>
      </w:r>
      <w:r w:rsidR="0068198B" w:rsidRPr="00813D19">
        <w:rPr>
          <w:color w:val="000000" w:themeColor="text1"/>
          <w:lang w:val="en-US"/>
        </w:rPr>
        <w:t xml:space="preserve"> </w:t>
      </w:r>
      <w:r w:rsidR="002D05F3" w:rsidRPr="00813D19">
        <w:rPr>
          <w:color w:val="000000" w:themeColor="text1"/>
          <w:lang w:val="en-US"/>
        </w:rPr>
        <w:t xml:space="preserve">informed the Committee that </w:t>
      </w:r>
      <w:r w:rsidR="0068198B" w:rsidRPr="00813D19">
        <w:rPr>
          <w:lang w:val="en-US"/>
        </w:rPr>
        <w:t xml:space="preserve">the Bureau </w:t>
      </w:r>
      <w:r w:rsidR="002D05F3" w:rsidRPr="00813D19">
        <w:rPr>
          <w:lang w:val="en-US"/>
        </w:rPr>
        <w:t xml:space="preserve">had </w:t>
      </w:r>
      <w:r w:rsidR="0068198B" w:rsidRPr="00813D19">
        <w:rPr>
          <w:lang w:val="en-US"/>
        </w:rPr>
        <w:t xml:space="preserve">met </w:t>
      </w:r>
      <w:r w:rsidR="002D05F3" w:rsidRPr="00813D19">
        <w:rPr>
          <w:lang w:val="en-US"/>
        </w:rPr>
        <w:t xml:space="preserve">in the </w:t>
      </w:r>
      <w:r w:rsidR="0068198B" w:rsidRPr="00813D19">
        <w:rPr>
          <w:lang w:val="en-US"/>
        </w:rPr>
        <w:t xml:space="preserve">morning </w:t>
      </w:r>
      <w:r w:rsidR="002D05F3" w:rsidRPr="00813D19">
        <w:rPr>
          <w:lang w:val="en-US"/>
        </w:rPr>
        <w:t>to discuss the day’s</w:t>
      </w:r>
      <w:r w:rsidR="0068198B" w:rsidRPr="00813D19">
        <w:rPr>
          <w:lang w:val="en-US"/>
        </w:rPr>
        <w:t xml:space="preserve"> organization. </w:t>
      </w:r>
      <w:r w:rsidR="002D05F3" w:rsidRPr="00813D19">
        <w:rPr>
          <w:lang w:val="en-US"/>
        </w:rPr>
        <w:t>S</w:t>
      </w:r>
      <w:r w:rsidR="0068198B" w:rsidRPr="00813D19">
        <w:rPr>
          <w:lang w:val="en-US"/>
        </w:rPr>
        <w:t>o far</w:t>
      </w:r>
      <w:r w:rsidR="002D05F3" w:rsidRPr="00813D19">
        <w:rPr>
          <w:lang w:val="en-US"/>
        </w:rPr>
        <w:t xml:space="preserve">, the Committee had </w:t>
      </w:r>
      <w:r w:rsidR="0068198B" w:rsidRPr="00813D19">
        <w:rPr>
          <w:lang w:val="en-US"/>
        </w:rPr>
        <w:t xml:space="preserve">completed the examination of </w:t>
      </w:r>
      <w:r w:rsidR="00B547D2">
        <w:rPr>
          <w:lang w:val="en-US"/>
        </w:rPr>
        <w:t>forty-six</w:t>
      </w:r>
      <w:r w:rsidR="00B547D2" w:rsidRPr="00813D19">
        <w:rPr>
          <w:lang w:val="en-US"/>
        </w:rPr>
        <w:t xml:space="preserve"> </w:t>
      </w:r>
      <w:r w:rsidR="0068198B" w:rsidRPr="00813D19">
        <w:rPr>
          <w:lang w:val="en-US"/>
        </w:rPr>
        <w:t>individual files under items 10.a, 10.b an</w:t>
      </w:r>
      <w:r w:rsidR="002D05F3" w:rsidRPr="00813D19">
        <w:rPr>
          <w:lang w:val="en-US"/>
        </w:rPr>
        <w:t xml:space="preserve">d 10.c, and still </w:t>
      </w:r>
      <w:r w:rsidR="00B547D2" w:rsidRPr="00813D19">
        <w:rPr>
          <w:lang w:val="en-US"/>
        </w:rPr>
        <w:t xml:space="preserve">had </w:t>
      </w:r>
      <w:r w:rsidR="002D05F3" w:rsidRPr="00813D19">
        <w:rPr>
          <w:lang w:val="en-US"/>
        </w:rPr>
        <w:t xml:space="preserve">to </w:t>
      </w:r>
      <w:r w:rsidR="0068198B" w:rsidRPr="00813D19">
        <w:rPr>
          <w:lang w:val="en-US"/>
        </w:rPr>
        <w:t>examine the International Assistance request submitted by Albania</w:t>
      </w:r>
      <w:r w:rsidR="002D05F3" w:rsidRPr="00813D19">
        <w:rPr>
          <w:lang w:val="en-US"/>
        </w:rPr>
        <w:t>, as well as</w:t>
      </w:r>
      <w:r w:rsidR="0068198B" w:rsidRPr="00813D19">
        <w:rPr>
          <w:lang w:val="en-US"/>
        </w:rPr>
        <w:t xml:space="preserve"> </w:t>
      </w:r>
      <w:r w:rsidR="002D05F3" w:rsidRPr="00813D19">
        <w:rPr>
          <w:lang w:val="en-US"/>
        </w:rPr>
        <w:t>draft decision 13.COM 10.b</w:t>
      </w:r>
      <w:r w:rsidR="00595E57">
        <w:rPr>
          <w:lang w:val="en-US"/>
        </w:rPr>
        <w:t>.</w:t>
      </w:r>
      <w:r w:rsidR="002D05F3" w:rsidRPr="00813D19">
        <w:rPr>
          <w:lang w:val="en-US"/>
        </w:rPr>
        <w:t>1 concerning Chamamé</w:t>
      </w:r>
      <w:r w:rsidR="0068198B" w:rsidRPr="00813D19">
        <w:rPr>
          <w:lang w:val="en-US"/>
        </w:rPr>
        <w:t xml:space="preserve"> submitted by Argentina. </w:t>
      </w:r>
      <w:r w:rsidR="002D05F3" w:rsidRPr="00813D19">
        <w:rPr>
          <w:lang w:val="en-US"/>
        </w:rPr>
        <w:t>The</w:t>
      </w:r>
      <w:r w:rsidR="0068198B" w:rsidRPr="00813D19">
        <w:rPr>
          <w:lang w:val="en-US"/>
        </w:rPr>
        <w:t xml:space="preserve"> morning session </w:t>
      </w:r>
      <w:r w:rsidR="002D05F3" w:rsidRPr="00813D19">
        <w:rPr>
          <w:lang w:val="en-US"/>
        </w:rPr>
        <w:t xml:space="preserve">began </w:t>
      </w:r>
      <w:r w:rsidR="0068198B" w:rsidRPr="00813D19">
        <w:rPr>
          <w:lang w:val="en-US"/>
        </w:rPr>
        <w:t xml:space="preserve">with the examination of item 11 </w:t>
      </w:r>
      <w:r w:rsidR="002D05F3" w:rsidRPr="00813D19">
        <w:rPr>
          <w:lang w:val="en-US"/>
        </w:rPr>
        <w:t xml:space="preserve">on </w:t>
      </w:r>
      <w:r w:rsidR="00177507" w:rsidRPr="00813D19">
        <w:rPr>
          <w:lang w:val="en-US"/>
        </w:rPr>
        <w:t xml:space="preserve">intangible cultural heritage </w:t>
      </w:r>
      <w:r w:rsidR="00B547D2">
        <w:rPr>
          <w:lang w:val="en-US"/>
        </w:rPr>
        <w:t>i</w:t>
      </w:r>
      <w:r w:rsidR="002D05F3" w:rsidRPr="00813D19">
        <w:rPr>
          <w:lang w:val="en-US"/>
        </w:rPr>
        <w:t xml:space="preserve">n emergencies, followed by the </w:t>
      </w:r>
      <w:r w:rsidR="0068198B" w:rsidRPr="00813D19">
        <w:rPr>
          <w:lang w:val="en-US"/>
        </w:rPr>
        <w:t>examination of draft decisions 13.COM 10, 13.COM  10.b</w:t>
      </w:r>
      <w:r w:rsidR="00595E57">
        <w:rPr>
          <w:lang w:val="en-US"/>
        </w:rPr>
        <w:t>.</w:t>
      </w:r>
      <w:r w:rsidR="0068198B" w:rsidRPr="00813D19">
        <w:rPr>
          <w:lang w:val="en-US"/>
        </w:rPr>
        <w:t xml:space="preserve">1 </w:t>
      </w:r>
      <w:r w:rsidR="002D05F3" w:rsidRPr="00813D19">
        <w:rPr>
          <w:lang w:val="en-US"/>
        </w:rPr>
        <w:t xml:space="preserve">(Argentina) and 10.d (Albania) in the </w:t>
      </w:r>
      <w:r w:rsidR="00634D0B">
        <w:rPr>
          <w:lang w:val="en-US"/>
        </w:rPr>
        <w:t>afternoon.</w:t>
      </w:r>
    </w:p>
    <w:p w14:paraId="3FF6D5CD" w14:textId="2AA7D489" w:rsidR="00A50B4E" w:rsidRPr="00813D19" w:rsidRDefault="00455801" w:rsidP="00050E41">
      <w:pPr>
        <w:pStyle w:val="Orateurengris"/>
        <w:spacing w:before="120"/>
        <w:ind w:left="709" w:hanging="709"/>
        <w:rPr>
          <w:lang w:val="en-US"/>
        </w:rPr>
      </w:pPr>
      <w:r w:rsidRPr="00813D19">
        <w:rPr>
          <w:color w:val="000000" w:themeColor="text1"/>
          <w:lang w:val="en-US"/>
        </w:rPr>
        <w:t xml:space="preserve">Providing a </w:t>
      </w:r>
      <w:r w:rsidRPr="00813D19">
        <w:rPr>
          <w:lang w:val="en-US"/>
        </w:rPr>
        <w:t xml:space="preserve">recap of the background, </w:t>
      </w:r>
      <w:r w:rsidRPr="00813D19">
        <w:rPr>
          <w:color w:val="000000" w:themeColor="text1"/>
          <w:lang w:val="en-US"/>
        </w:rPr>
        <w:t>t</w:t>
      </w:r>
      <w:r w:rsidR="00AC5FD5" w:rsidRPr="00813D19">
        <w:rPr>
          <w:color w:val="000000" w:themeColor="text1"/>
          <w:lang w:val="en-US"/>
        </w:rPr>
        <w:t xml:space="preserve">he </w:t>
      </w:r>
      <w:r w:rsidR="00AC5FD5" w:rsidRPr="00813D19">
        <w:rPr>
          <w:b/>
          <w:color w:val="000000" w:themeColor="text1"/>
          <w:lang w:val="en-US"/>
        </w:rPr>
        <w:t>Secretary</w:t>
      </w:r>
      <w:r w:rsidR="00AC5FD5" w:rsidRPr="00813D19">
        <w:rPr>
          <w:color w:val="000000" w:themeColor="text1"/>
          <w:lang w:val="en-US"/>
        </w:rPr>
        <w:t xml:space="preserve"> </w:t>
      </w:r>
      <w:r w:rsidRPr="00813D19">
        <w:rPr>
          <w:color w:val="000000" w:themeColor="text1"/>
          <w:lang w:val="en-US"/>
        </w:rPr>
        <w:t xml:space="preserve">recalled that </w:t>
      </w:r>
      <w:r w:rsidRPr="00813D19">
        <w:rPr>
          <w:lang w:val="en-US"/>
        </w:rPr>
        <w:t>i</w:t>
      </w:r>
      <w:r w:rsidR="007B7161" w:rsidRPr="00813D19">
        <w:rPr>
          <w:lang w:val="en-US"/>
        </w:rPr>
        <w:t xml:space="preserve">n 2016, the Committee </w:t>
      </w:r>
      <w:r w:rsidR="00B547D2">
        <w:rPr>
          <w:lang w:val="en-US"/>
        </w:rPr>
        <w:t xml:space="preserve">had </w:t>
      </w:r>
      <w:r w:rsidR="007B7161" w:rsidRPr="00813D19">
        <w:rPr>
          <w:lang w:val="en-US"/>
        </w:rPr>
        <w:t xml:space="preserve">examined a dedicated item on </w:t>
      </w:r>
      <w:r w:rsidR="00177507" w:rsidRPr="00813D19">
        <w:rPr>
          <w:lang w:val="en-US"/>
        </w:rPr>
        <w:t>intangible cultural heritage</w:t>
      </w:r>
      <w:r w:rsidR="007B7161" w:rsidRPr="00813D19">
        <w:rPr>
          <w:lang w:val="en-US"/>
        </w:rPr>
        <w:t xml:space="preserve"> in emergencies for the first time. At that time, the Committee </w:t>
      </w:r>
      <w:r w:rsidR="00B547D2">
        <w:rPr>
          <w:lang w:val="en-US"/>
        </w:rPr>
        <w:t xml:space="preserve">had </w:t>
      </w:r>
      <w:r w:rsidR="007B7161" w:rsidRPr="00813D19">
        <w:rPr>
          <w:lang w:val="en-US"/>
        </w:rPr>
        <w:t>recognized two dimensions, namely</w:t>
      </w:r>
      <w:r w:rsidRPr="00813D19">
        <w:rPr>
          <w:lang w:val="en-US"/>
        </w:rPr>
        <w:t>,</w:t>
      </w:r>
      <w:r w:rsidR="007B7161" w:rsidRPr="00813D19">
        <w:rPr>
          <w:lang w:val="en-US"/>
        </w:rPr>
        <w:t xml:space="preserve"> the effects of emergencies on the practice and transmission of living heritage</w:t>
      </w:r>
      <w:r w:rsidRPr="00813D19">
        <w:rPr>
          <w:lang w:val="en-US"/>
        </w:rPr>
        <w:t>, and</w:t>
      </w:r>
      <w:r w:rsidR="007B7161" w:rsidRPr="00813D19">
        <w:rPr>
          <w:lang w:val="en-US"/>
        </w:rPr>
        <w:t xml:space="preserve"> the role of </w:t>
      </w:r>
      <w:r w:rsidR="00177507" w:rsidRPr="00813D19">
        <w:rPr>
          <w:lang w:val="en-US"/>
        </w:rPr>
        <w:t>intangible cultural heritage</w:t>
      </w:r>
      <w:r w:rsidRPr="00813D19">
        <w:rPr>
          <w:lang w:val="en-US"/>
        </w:rPr>
        <w:t xml:space="preserve"> </w:t>
      </w:r>
      <w:r w:rsidR="007B7161" w:rsidRPr="00813D19">
        <w:rPr>
          <w:rFonts w:eastAsia="Calibri"/>
          <w:lang w:val="en-US"/>
        </w:rPr>
        <w:t>as a tool for preparedness, resilience, reconciliation and recovery in situation</w:t>
      </w:r>
      <w:r w:rsidR="00A50B4E" w:rsidRPr="00813D19">
        <w:rPr>
          <w:rFonts w:eastAsia="Calibri"/>
          <w:lang w:val="en-US"/>
        </w:rPr>
        <w:t>s</w:t>
      </w:r>
      <w:r w:rsidR="007B7161" w:rsidRPr="00813D19">
        <w:rPr>
          <w:rFonts w:eastAsia="Calibri"/>
          <w:lang w:val="en-US"/>
        </w:rPr>
        <w:t xml:space="preserve"> of emergency. </w:t>
      </w:r>
      <w:r w:rsidR="007B7161" w:rsidRPr="00813D19">
        <w:rPr>
          <w:lang w:val="en-US"/>
        </w:rPr>
        <w:t xml:space="preserve">The Committee also </w:t>
      </w:r>
      <w:r w:rsidRPr="00813D19">
        <w:rPr>
          <w:lang w:val="en-US"/>
        </w:rPr>
        <w:t xml:space="preserve">wished </w:t>
      </w:r>
      <w:r w:rsidR="007B7161" w:rsidRPr="00813D19">
        <w:rPr>
          <w:lang w:val="en-US"/>
        </w:rPr>
        <w:t>to obtain more knowledge and experience from the ground to fully grasp the issue.</w:t>
      </w:r>
      <w:r w:rsidR="00050E41" w:rsidRPr="00813D19">
        <w:rPr>
          <w:lang w:val="en-US"/>
        </w:rPr>
        <w:t xml:space="preserve"> </w:t>
      </w:r>
      <w:r w:rsidRPr="00813D19">
        <w:rPr>
          <w:lang w:val="en-US"/>
        </w:rPr>
        <w:t>In 2017</w:t>
      </w:r>
      <w:r w:rsidR="007B7161" w:rsidRPr="00813D19">
        <w:rPr>
          <w:lang w:val="en-US"/>
        </w:rPr>
        <w:t xml:space="preserve">, the Secretariat </w:t>
      </w:r>
      <w:r w:rsidR="00B547D2">
        <w:rPr>
          <w:lang w:val="en-US"/>
        </w:rPr>
        <w:t xml:space="preserve">had </w:t>
      </w:r>
      <w:r w:rsidR="007B7161" w:rsidRPr="00813D19">
        <w:rPr>
          <w:lang w:val="en-US"/>
        </w:rPr>
        <w:t xml:space="preserve">carried out case studies and </w:t>
      </w:r>
      <w:r w:rsidR="00A50B4E" w:rsidRPr="00813D19">
        <w:rPr>
          <w:lang w:val="en-US"/>
        </w:rPr>
        <w:t xml:space="preserve">a </w:t>
      </w:r>
      <w:r w:rsidR="007B7161" w:rsidRPr="00813D19">
        <w:rPr>
          <w:lang w:val="en-US"/>
        </w:rPr>
        <w:t xml:space="preserve">desk survey addressing </w:t>
      </w:r>
      <w:r w:rsidR="007B7161" w:rsidRPr="00813D19">
        <w:rPr>
          <w:rFonts w:eastAsia="Calibri"/>
          <w:lang w:val="en-US"/>
        </w:rPr>
        <w:t>different contexts, including armed conflicts and disasters caused by natural and human-induced hazards</w:t>
      </w:r>
      <w:r w:rsidR="007B7161" w:rsidRPr="00813D19">
        <w:rPr>
          <w:lang w:val="en-US"/>
        </w:rPr>
        <w:t>. Upon examination of the results in 2017</w:t>
      </w:r>
      <w:r w:rsidR="00A50B4E" w:rsidRPr="00813D19">
        <w:rPr>
          <w:lang w:val="en-US"/>
        </w:rPr>
        <w:t xml:space="preserve"> in Jeju</w:t>
      </w:r>
      <w:r w:rsidR="007B7161" w:rsidRPr="00813D19">
        <w:rPr>
          <w:lang w:val="en-US"/>
        </w:rPr>
        <w:t xml:space="preserve">, the Committee </w:t>
      </w:r>
      <w:r w:rsidRPr="00813D19">
        <w:rPr>
          <w:rFonts w:eastAsia="Calibri"/>
          <w:lang w:val="en-US"/>
        </w:rPr>
        <w:t xml:space="preserve">asked the Secretariat </w:t>
      </w:r>
      <w:r w:rsidR="007B7161" w:rsidRPr="00813D19">
        <w:rPr>
          <w:rFonts w:eastAsia="Calibri"/>
          <w:lang w:val="en-US"/>
        </w:rPr>
        <w:t xml:space="preserve">to </w:t>
      </w:r>
      <w:r w:rsidRPr="00813D19">
        <w:rPr>
          <w:rFonts w:eastAsia="Calibri"/>
          <w:lang w:val="en-US"/>
        </w:rPr>
        <w:t>privilege</w:t>
      </w:r>
      <w:r w:rsidR="007B7161" w:rsidRPr="00813D19">
        <w:rPr>
          <w:rFonts w:eastAsia="Calibri"/>
          <w:lang w:val="en-US"/>
        </w:rPr>
        <w:t xml:space="preserve"> the identification of needs </w:t>
      </w:r>
      <w:r w:rsidRPr="00813D19">
        <w:rPr>
          <w:rFonts w:eastAsia="Calibri"/>
          <w:lang w:val="en-US"/>
        </w:rPr>
        <w:t xml:space="preserve">by the </w:t>
      </w:r>
      <w:r w:rsidR="007B7161" w:rsidRPr="00813D19">
        <w:rPr>
          <w:rFonts w:eastAsia="Calibri"/>
          <w:lang w:val="en-US"/>
        </w:rPr>
        <w:t>affected communities</w:t>
      </w:r>
      <w:r w:rsidR="007B7161" w:rsidRPr="00813D19">
        <w:rPr>
          <w:lang w:val="en-US"/>
        </w:rPr>
        <w:t xml:space="preserve">. The Secretariat was also encouraged to </w:t>
      </w:r>
      <w:r w:rsidR="007B7161" w:rsidRPr="00813D19">
        <w:rPr>
          <w:rFonts w:eastAsia="Calibri"/>
          <w:lang w:val="en-US"/>
        </w:rPr>
        <w:t>enhance awareness raising and capacity-building on this issue and to strengthen cooperation with relevant UN entities.</w:t>
      </w:r>
      <w:r w:rsidR="00050E41" w:rsidRPr="00813D19">
        <w:rPr>
          <w:lang w:val="en-US"/>
        </w:rPr>
        <w:t xml:space="preserve"> </w:t>
      </w:r>
      <w:r w:rsidRPr="00813D19">
        <w:rPr>
          <w:lang w:val="en-US"/>
        </w:rPr>
        <w:t>Thus</w:t>
      </w:r>
      <w:r w:rsidR="007B7161" w:rsidRPr="00813D19">
        <w:rPr>
          <w:lang w:val="en-US"/>
        </w:rPr>
        <w:t xml:space="preserve">, until last year, the focus of the Secretariat’s work </w:t>
      </w:r>
      <w:r w:rsidR="00B547D2">
        <w:rPr>
          <w:lang w:val="en-US"/>
        </w:rPr>
        <w:t>had been</w:t>
      </w:r>
      <w:r w:rsidR="00B547D2" w:rsidRPr="00813D19">
        <w:rPr>
          <w:lang w:val="en-US"/>
        </w:rPr>
        <w:t xml:space="preserve"> </w:t>
      </w:r>
      <w:r w:rsidR="007B7161" w:rsidRPr="00813D19">
        <w:rPr>
          <w:lang w:val="en-US"/>
        </w:rPr>
        <w:t>on coming up with a preliminary analytical approach.</w:t>
      </w:r>
      <w:r w:rsidR="00A50B4E" w:rsidRPr="00813D19">
        <w:rPr>
          <w:lang w:val="en-US"/>
        </w:rPr>
        <w:t xml:space="preserve"> </w:t>
      </w:r>
      <w:r w:rsidRPr="00813D19">
        <w:rPr>
          <w:lang w:val="en-US"/>
        </w:rPr>
        <w:t>In 2018</w:t>
      </w:r>
      <w:r w:rsidR="00A50B4E" w:rsidRPr="00813D19">
        <w:rPr>
          <w:lang w:val="en-US"/>
        </w:rPr>
        <w:t xml:space="preserve">, </w:t>
      </w:r>
      <w:r w:rsidRPr="00813D19">
        <w:rPr>
          <w:lang w:val="en-US"/>
        </w:rPr>
        <w:t xml:space="preserve">the Secretariat </w:t>
      </w:r>
      <w:r w:rsidR="00A50B4E" w:rsidRPr="00813D19">
        <w:rPr>
          <w:lang w:val="en-US"/>
        </w:rPr>
        <w:t>concentrated on</w:t>
      </w:r>
      <w:r w:rsidRPr="00813D19">
        <w:rPr>
          <w:lang w:val="en-US"/>
        </w:rPr>
        <w:t>:</w:t>
      </w:r>
      <w:r w:rsidR="00A50B4E" w:rsidRPr="00813D19">
        <w:rPr>
          <w:lang w:val="en-US"/>
        </w:rPr>
        <w:t xml:space="preserve"> </w:t>
      </w:r>
      <w:r w:rsidRPr="00813D19">
        <w:rPr>
          <w:lang w:val="en-US"/>
        </w:rPr>
        <w:t>i</w:t>
      </w:r>
      <w:r w:rsidR="007B7161" w:rsidRPr="00813D19">
        <w:rPr>
          <w:lang w:val="en-US"/>
        </w:rPr>
        <w:t>) streamlining and applying the agreed approach</w:t>
      </w:r>
      <w:r w:rsidRPr="00813D19">
        <w:rPr>
          <w:lang w:val="en-US"/>
        </w:rPr>
        <w:t xml:space="preserve"> into operational activities; ii</w:t>
      </w:r>
      <w:r w:rsidR="007B7161" w:rsidRPr="00813D19">
        <w:rPr>
          <w:lang w:val="en-US"/>
        </w:rPr>
        <w:t>) initiating cooperation with UN entities and other stakeholders in the humanitarian field</w:t>
      </w:r>
      <w:r w:rsidRPr="00813D19">
        <w:rPr>
          <w:lang w:val="en-US"/>
        </w:rPr>
        <w:t>; and iii</w:t>
      </w:r>
      <w:r w:rsidR="007B7161" w:rsidRPr="00813D19">
        <w:rPr>
          <w:lang w:val="en-US"/>
        </w:rPr>
        <w:t>) enhancing general awareness-raising and capacity</w:t>
      </w:r>
      <w:r w:rsidR="00B547D2">
        <w:rPr>
          <w:lang w:val="en-US"/>
        </w:rPr>
        <w:t xml:space="preserve"> b</w:t>
      </w:r>
      <w:r w:rsidR="007B7161" w:rsidRPr="00813D19">
        <w:rPr>
          <w:lang w:val="en-US"/>
        </w:rPr>
        <w:t xml:space="preserve">uilding. </w:t>
      </w:r>
      <w:r w:rsidR="00B547D2">
        <w:rPr>
          <w:lang w:val="en-US"/>
        </w:rPr>
        <w:t>W</w:t>
      </w:r>
      <w:r w:rsidR="007B7161" w:rsidRPr="00813D19">
        <w:rPr>
          <w:lang w:val="en-US"/>
        </w:rPr>
        <w:t>orking document</w:t>
      </w:r>
      <w:r w:rsidRPr="00813D19">
        <w:rPr>
          <w:lang w:val="en-US"/>
        </w:rPr>
        <w:t xml:space="preserve"> 13.COM 11</w:t>
      </w:r>
      <w:r w:rsidR="007B7161" w:rsidRPr="00813D19">
        <w:rPr>
          <w:lang w:val="en-US"/>
        </w:rPr>
        <w:t xml:space="preserve"> reports on a number of activities </w:t>
      </w:r>
      <w:r w:rsidR="00B547D2" w:rsidRPr="00813D19">
        <w:rPr>
          <w:lang w:val="en-US"/>
        </w:rPr>
        <w:t>undert</w:t>
      </w:r>
      <w:r w:rsidR="00B547D2">
        <w:rPr>
          <w:lang w:val="en-US"/>
        </w:rPr>
        <w:t>aken</w:t>
      </w:r>
      <w:r w:rsidR="00B547D2" w:rsidRPr="00813D19">
        <w:rPr>
          <w:lang w:val="en-US"/>
        </w:rPr>
        <w:t xml:space="preserve"> </w:t>
      </w:r>
      <w:r w:rsidR="00634D0B">
        <w:rPr>
          <w:lang w:val="en-US"/>
        </w:rPr>
        <w:t>in this regard.</w:t>
      </w:r>
    </w:p>
    <w:p w14:paraId="64848DC8" w14:textId="551E021C" w:rsidR="00050E41" w:rsidRPr="00813D19" w:rsidRDefault="007B7161" w:rsidP="00050E41">
      <w:pPr>
        <w:pStyle w:val="Orateurengris"/>
        <w:spacing w:before="120"/>
        <w:ind w:left="709" w:hanging="709"/>
        <w:rPr>
          <w:lang w:val="en-US"/>
        </w:rPr>
      </w:pPr>
      <w:r w:rsidRPr="00813D19">
        <w:rPr>
          <w:lang w:val="en-US"/>
        </w:rPr>
        <w:t xml:space="preserve">Regarding </w:t>
      </w:r>
      <w:r w:rsidRPr="00813D19">
        <w:rPr>
          <w:u w:val="single"/>
          <w:lang w:val="en-US"/>
        </w:rPr>
        <w:t>operational activities</w:t>
      </w:r>
      <w:r w:rsidRPr="00813D19">
        <w:rPr>
          <w:lang w:val="en-US"/>
        </w:rPr>
        <w:t xml:space="preserve">, </w:t>
      </w:r>
      <w:r w:rsidR="00455801" w:rsidRPr="00813D19">
        <w:rPr>
          <w:lang w:val="en-US"/>
        </w:rPr>
        <w:t xml:space="preserve">the </w:t>
      </w:r>
      <w:r w:rsidR="00455801" w:rsidRPr="00813D19">
        <w:rPr>
          <w:b/>
          <w:lang w:val="en-US"/>
        </w:rPr>
        <w:t>Secretary</w:t>
      </w:r>
      <w:r w:rsidR="00455801" w:rsidRPr="00813D19">
        <w:rPr>
          <w:lang w:val="en-US"/>
        </w:rPr>
        <w:t xml:space="preserve"> explained that the Secretariat </w:t>
      </w:r>
      <w:r w:rsidRPr="00813D19">
        <w:rPr>
          <w:lang w:val="en-US"/>
        </w:rPr>
        <w:t xml:space="preserve">tried to use </w:t>
      </w:r>
      <w:r w:rsidR="00455801" w:rsidRPr="00813D19">
        <w:rPr>
          <w:lang w:val="en-US"/>
        </w:rPr>
        <w:t xml:space="preserve">the </w:t>
      </w:r>
      <w:r w:rsidRPr="00813D19">
        <w:rPr>
          <w:lang w:val="en-US"/>
        </w:rPr>
        <w:t xml:space="preserve">community-based needs identification approach in a systematic and coherent manner </w:t>
      </w:r>
      <w:r w:rsidR="00455801" w:rsidRPr="00813D19">
        <w:rPr>
          <w:lang w:val="en-US"/>
        </w:rPr>
        <w:t xml:space="preserve">to </w:t>
      </w:r>
      <w:r w:rsidRPr="00813D19">
        <w:rPr>
          <w:lang w:val="en-US"/>
        </w:rPr>
        <w:t>the different responses and initiatives of UNESCO in emergency contexts.</w:t>
      </w:r>
      <w:r w:rsidR="00050E41" w:rsidRPr="00813D19">
        <w:rPr>
          <w:lang w:val="en-US"/>
        </w:rPr>
        <w:t xml:space="preserve"> </w:t>
      </w:r>
      <w:r w:rsidR="00455801" w:rsidRPr="00813D19">
        <w:rPr>
          <w:lang w:val="en-US"/>
        </w:rPr>
        <w:t>As reported in the document,</w:t>
      </w:r>
      <w:r w:rsidRPr="00813D19">
        <w:rPr>
          <w:lang w:val="en-US"/>
        </w:rPr>
        <w:t xml:space="preserve"> </w:t>
      </w:r>
      <w:r w:rsidR="00455801" w:rsidRPr="00813D19">
        <w:rPr>
          <w:lang w:val="en-US"/>
        </w:rPr>
        <w:t xml:space="preserve">the </w:t>
      </w:r>
      <w:r w:rsidRPr="00813D19">
        <w:rPr>
          <w:lang w:val="en-US"/>
        </w:rPr>
        <w:t>different endeavo</w:t>
      </w:r>
      <w:r w:rsidR="00C64B11">
        <w:rPr>
          <w:lang w:val="en-US"/>
        </w:rPr>
        <w:t>u</w:t>
      </w:r>
      <w:r w:rsidRPr="00813D19">
        <w:rPr>
          <w:lang w:val="en-US"/>
        </w:rPr>
        <w:t xml:space="preserve">rs </w:t>
      </w:r>
      <w:r w:rsidR="00455801" w:rsidRPr="00813D19">
        <w:rPr>
          <w:lang w:val="en-US"/>
        </w:rPr>
        <w:t xml:space="preserve">included </w:t>
      </w:r>
      <w:r w:rsidRPr="00813D19">
        <w:rPr>
          <w:lang w:val="en-US"/>
        </w:rPr>
        <w:t>the Director-General’s initiative on Mosul, the UNESCO-wi</w:t>
      </w:r>
      <w:r w:rsidR="00455801" w:rsidRPr="00813D19">
        <w:rPr>
          <w:lang w:val="en-US"/>
        </w:rPr>
        <w:t>de Lake Chad and Sahel projects,</w:t>
      </w:r>
      <w:r w:rsidRPr="00813D19">
        <w:rPr>
          <w:lang w:val="en-US"/>
        </w:rPr>
        <w:t xml:space="preserve"> activities related to Prevention against Vio</w:t>
      </w:r>
      <w:r w:rsidR="00455801" w:rsidRPr="00813D19">
        <w:rPr>
          <w:lang w:val="en-US"/>
        </w:rPr>
        <w:t>lent Extremism</w:t>
      </w:r>
      <w:r w:rsidR="00B547D2">
        <w:rPr>
          <w:lang w:val="en-US"/>
        </w:rPr>
        <w:t>,</w:t>
      </w:r>
      <w:r w:rsidR="00455801" w:rsidRPr="00813D19">
        <w:rPr>
          <w:lang w:val="en-US"/>
        </w:rPr>
        <w:t xml:space="preserve"> notably in Niger,</w:t>
      </w:r>
      <w:r w:rsidRPr="00813D19">
        <w:rPr>
          <w:lang w:val="en-US"/>
        </w:rPr>
        <w:t xml:space="preserve"> and recent experiences in response to natural disasters, in particular in the Pacific and the Caribbean.</w:t>
      </w:r>
      <w:r w:rsidR="00050E41" w:rsidRPr="00813D19">
        <w:rPr>
          <w:lang w:val="en-US"/>
        </w:rPr>
        <w:t xml:space="preserve"> </w:t>
      </w:r>
      <w:r w:rsidRPr="00813D19">
        <w:rPr>
          <w:lang w:val="en-US"/>
        </w:rPr>
        <w:t xml:space="preserve">The main idea was to move away from </w:t>
      </w:r>
      <w:r w:rsidR="00455801" w:rsidRPr="00813D19">
        <w:rPr>
          <w:lang w:val="en-US"/>
        </w:rPr>
        <w:t>predefining</w:t>
      </w:r>
      <w:r w:rsidRPr="00813D19">
        <w:rPr>
          <w:lang w:val="en-US"/>
        </w:rPr>
        <w:t xml:space="preserve"> an </w:t>
      </w:r>
      <w:r w:rsidR="008E4052" w:rsidRPr="00813D19">
        <w:rPr>
          <w:lang w:val="en-US"/>
        </w:rPr>
        <w:t>intangible cultural heritage</w:t>
      </w:r>
      <w:r w:rsidRPr="00813D19">
        <w:rPr>
          <w:lang w:val="en-US"/>
        </w:rPr>
        <w:t xml:space="preserve"> element to be safeguarded in emergencies, </w:t>
      </w:r>
      <w:r w:rsidR="00A80E0E" w:rsidRPr="00813D19">
        <w:rPr>
          <w:lang w:val="en-US"/>
        </w:rPr>
        <w:t xml:space="preserve">and </w:t>
      </w:r>
      <w:r w:rsidRPr="00813D19">
        <w:rPr>
          <w:lang w:val="en-US"/>
        </w:rPr>
        <w:t xml:space="preserve">to start by </w:t>
      </w:r>
      <w:r w:rsidR="00455801" w:rsidRPr="00813D19">
        <w:rPr>
          <w:lang w:val="en-US"/>
        </w:rPr>
        <w:t>identifying</w:t>
      </w:r>
      <w:r w:rsidRPr="00813D19">
        <w:rPr>
          <w:lang w:val="en-US"/>
        </w:rPr>
        <w:t xml:space="preserve"> </w:t>
      </w:r>
      <w:r w:rsidR="00A80E0E" w:rsidRPr="00813D19">
        <w:rPr>
          <w:lang w:val="en-US"/>
        </w:rPr>
        <w:t xml:space="preserve">the </w:t>
      </w:r>
      <w:r w:rsidRPr="00813D19">
        <w:rPr>
          <w:lang w:val="en-US"/>
        </w:rPr>
        <w:t xml:space="preserve">needs led by </w:t>
      </w:r>
      <w:r w:rsidR="00893CB3" w:rsidRPr="00813D19">
        <w:rPr>
          <w:lang w:val="en-US"/>
        </w:rPr>
        <w:t>communities, including capacity</w:t>
      </w:r>
      <w:r w:rsidR="00B547D2">
        <w:rPr>
          <w:lang w:val="en-US"/>
        </w:rPr>
        <w:t xml:space="preserve"> </w:t>
      </w:r>
      <w:r w:rsidRPr="00813D19">
        <w:rPr>
          <w:lang w:val="en-US"/>
        </w:rPr>
        <w:t xml:space="preserve">building. This is because </w:t>
      </w:r>
      <w:r w:rsidR="00A80E0E" w:rsidRPr="00813D19">
        <w:rPr>
          <w:lang w:val="en-US"/>
        </w:rPr>
        <w:t xml:space="preserve">the </w:t>
      </w:r>
      <w:r w:rsidRPr="00813D19">
        <w:rPr>
          <w:lang w:val="en-US"/>
        </w:rPr>
        <w:t xml:space="preserve">main lines of emergency actions should be based on community identification </w:t>
      </w:r>
      <w:r w:rsidR="00893CB3" w:rsidRPr="00813D19">
        <w:rPr>
          <w:lang w:val="en-US"/>
        </w:rPr>
        <w:t>rather</w:t>
      </w:r>
      <w:r w:rsidRPr="00813D19">
        <w:rPr>
          <w:lang w:val="en-US"/>
        </w:rPr>
        <w:t xml:space="preserve"> </w:t>
      </w:r>
      <w:r w:rsidR="00A80E0E" w:rsidRPr="00813D19">
        <w:rPr>
          <w:lang w:val="en-US"/>
        </w:rPr>
        <w:t>tha</w:t>
      </w:r>
      <w:r w:rsidR="00893CB3" w:rsidRPr="00813D19">
        <w:rPr>
          <w:lang w:val="en-US"/>
        </w:rPr>
        <w:t xml:space="preserve">n </w:t>
      </w:r>
      <w:r w:rsidRPr="00813D19">
        <w:rPr>
          <w:lang w:val="en-US"/>
        </w:rPr>
        <w:t>by external actors in advance.</w:t>
      </w:r>
      <w:r w:rsidR="00050E41" w:rsidRPr="00813D19">
        <w:rPr>
          <w:lang w:val="en-US"/>
        </w:rPr>
        <w:t xml:space="preserve"> </w:t>
      </w:r>
      <w:r w:rsidRPr="00813D19">
        <w:rPr>
          <w:lang w:val="en-US"/>
        </w:rPr>
        <w:t xml:space="preserve">In the field of </w:t>
      </w:r>
      <w:r w:rsidRPr="00813D19">
        <w:rPr>
          <w:u w:val="single"/>
          <w:lang w:val="en-US"/>
        </w:rPr>
        <w:t>disaster risk prevention and response</w:t>
      </w:r>
      <w:r w:rsidRPr="00813D19">
        <w:rPr>
          <w:lang w:val="en-US"/>
        </w:rPr>
        <w:t xml:space="preserve">, a pilot activity of </w:t>
      </w:r>
      <w:r w:rsidR="00B547D2">
        <w:rPr>
          <w:lang w:val="en-US"/>
        </w:rPr>
        <w:t xml:space="preserve">the </w:t>
      </w:r>
      <w:r w:rsidRPr="00813D19">
        <w:rPr>
          <w:lang w:val="en-US"/>
        </w:rPr>
        <w:t xml:space="preserve">collection of knowledge and practice </w:t>
      </w:r>
      <w:r w:rsidR="00B547D2">
        <w:rPr>
          <w:lang w:val="en-US"/>
        </w:rPr>
        <w:t>had been</w:t>
      </w:r>
      <w:r w:rsidR="00B547D2" w:rsidRPr="00813D19">
        <w:rPr>
          <w:lang w:val="en-US"/>
        </w:rPr>
        <w:t xml:space="preserve"> </w:t>
      </w:r>
      <w:r w:rsidRPr="00813D19">
        <w:rPr>
          <w:lang w:val="en-US"/>
        </w:rPr>
        <w:t>initiated in October 2018 with the involvement of communities in the Dutch Cari</w:t>
      </w:r>
      <w:r w:rsidR="008E4052" w:rsidRPr="00813D19">
        <w:rPr>
          <w:lang w:val="en-US"/>
        </w:rPr>
        <w:t>bbean islands and the Suriname</w:t>
      </w:r>
      <w:r w:rsidRPr="00813D19">
        <w:rPr>
          <w:lang w:val="en-US"/>
        </w:rPr>
        <w:t xml:space="preserve"> thanks to the contribution of the Netherlands. This activity pave</w:t>
      </w:r>
      <w:r w:rsidR="00A80E0E" w:rsidRPr="00813D19">
        <w:rPr>
          <w:lang w:val="en-US"/>
        </w:rPr>
        <w:t>d</w:t>
      </w:r>
      <w:r w:rsidRPr="00813D19">
        <w:rPr>
          <w:lang w:val="en-US"/>
        </w:rPr>
        <w:t xml:space="preserve"> the way for an inventory on </w:t>
      </w:r>
      <w:r w:rsidR="008E4052" w:rsidRPr="00813D19">
        <w:rPr>
          <w:lang w:val="en-US"/>
        </w:rPr>
        <w:t>intangible cultural heritage</w:t>
      </w:r>
      <w:r w:rsidRPr="00813D19">
        <w:rPr>
          <w:lang w:val="en-US"/>
        </w:rPr>
        <w:t xml:space="preserve"> related to disaster risk prevention and response, and raise</w:t>
      </w:r>
      <w:r w:rsidR="00A80E0E" w:rsidRPr="00813D19">
        <w:rPr>
          <w:lang w:val="en-US"/>
        </w:rPr>
        <w:t>d</w:t>
      </w:r>
      <w:r w:rsidRPr="00813D19">
        <w:rPr>
          <w:lang w:val="en-US"/>
        </w:rPr>
        <w:t xml:space="preserve"> awareness at </w:t>
      </w:r>
      <w:r w:rsidR="00B547D2">
        <w:rPr>
          <w:lang w:val="en-US"/>
        </w:rPr>
        <w:t xml:space="preserve">the </w:t>
      </w:r>
      <w:r w:rsidRPr="00813D19">
        <w:rPr>
          <w:lang w:val="en-US"/>
        </w:rPr>
        <w:t xml:space="preserve">institutional and community level about the importance of </w:t>
      </w:r>
      <w:r w:rsidR="008E4052" w:rsidRPr="00813D19">
        <w:rPr>
          <w:lang w:val="en-US"/>
        </w:rPr>
        <w:t>intangible cultural heritage</w:t>
      </w:r>
      <w:r w:rsidRPr="00813D19">
        <w:rPr>
          <w:lang w:val="en-US"/>
        </w:rPr>
        <w:t xml:space="preserve"> in this area. </w:t>
      </w:r>
      <w:r w:rsidR="00A80E0E" w:rsidRPr="00813D19">
        <w:rPr>
          <w:lang w:val="en-US"/>
        </w:rPr>
        <w:t>In this regard, t</w:t>
      </w:r>
      <w:r w:rsidRPr="00813D19">
        <w:rPr>
          <w:lang w:val="en-US"/>
        </w:rPr>
        <w:t xml:space="preserve">he Secretariat </w:t>
      </w:r>
      <w:r w:rsidR="00A80E0E" w:rsidRPr="00813D19">
        <w:rPr>
          <w:lang w:val="en-US"/>
        </w:rPr>
        <w:t xml:space="preserve">began </w:t>
      </w:r>
      <w:r w:rsidRPr="00813D19">
        <w:rPr>
          <w:lang w:val="en-US"/>
        </w:rPr>
        <w:t>work</w:t>
      </w:r>
      <w:r w:rsidR="00A80E0E" w:rsidRPr="00813D19">
        <w:rPr>
          <w:lang w:val="en-US"/>
        </w:rPr>
        <w:t>ing</w:t>
      </w:r>
      <w:r w:rsidRPr="00813D19">
        <w:rPr>
          <w:lang w:val="en-US"/>
        </w:rPr>
        <w:t xml:space="preserve"> on capacity-building material on disaster risk reduction and inventories. Moreover, an awareness-raising activity was carried out at the subregional level in the framework of the conference ‘Regional approaches to disaster recovery and heritage preservation’</w:t>
      </w:r>
      <w:r w:rsidR="0015306C" w:rsidRPr="00813D19">
        <w:rPr>
          <w:rStyle w:val="FootnoteReference"/>
          <w:lang w:val="en-US"/>
        </w:rPr>
        <w:footnoteReference w:id="29"/>
      </w:r>
      <w:r w:rsidRPr="00813D19">
        <w:rPr>
          <w:lang w:val="en-US"/>
        </w:rPr>
        <w:t xml:space="preserve"> organized in August 2018 by the International Council on Archives </w:t>
      </w:r>
      <w:r w:rsidR="0015306C" w:rsidRPr="00813D19">
        <w:rPr>
          <w:lang w:val="en-US"/>
        </w:rPr>
        <w:t xml:space="preserve">(ICA) </w:t>
      </w:r>
      <w:r w:rsidRPr="00813D19">
        <w:rPr>
          <w:lang w:val="en-US"/>
        </w:rPr>
        <w:t>and the Caribbean Archives Association in collaboration with the Government of Sint Maarten.</w:t>
      </w:r>
    </w:p>
    <w:p w14:paraId="04B8F434" w14:textId="27295DC3" w:rsidR="00050E41" w:rsidRPr="00813D19" w:rsidRDefault="0015306C" w:rsidP="00050E41">
      <w:pPr>
        <w:pStyle w:val="Orateurengris"/>
        <w:spacing w:before="120"/>
        <w:ind w:left="709" w:hanging="709"/>
        <w:rPr>
          <w:lang w:val="en-US"/>
        </w:rPr>
      </w:pPr>
      <w:r w:rsidRPr="00813D19">
        <w:rPr>
          <w:lang w:val="en-US"/>
        </w:rPr>
        <w:t xml:space="preserve">Regarding </w:t>
      </w:r>
      <w:r w:rsidR="007B7161" w:rsidRPr="00813D19">
        <w:rPr>
          <w:u w:val="single"/>
          <w:lang w:val="en-US"/>
        </w:rPr>
        <w:t>cooperation with UN entities and other humanitarian actors</w:t>
      </w:r>
      <w:r w:rsidRPr="00813D19">
        <w:rPr>
          <w:lang w:val="en-US"/>
        </w:rPr>
        <w:t xml:space="preserve">, the </w:t>
      </w:r>
      <w:r w:rsidRPr="00813D19">
        <w:rPr>
          <w:b/>
          <w:lang w:val="en-US"/>
        </w:rPr>
        <w:t>Secretary</w:t>
      </w:r>
      <w:r w:rsidRPr="00813D19">
        <w:rPr>
          <w:lang w:val="en-US"/>
        </w:rPr>
        <w:t xml:space="preserve"> further explained that t</w:t>
      </w:r>
      <w:r w:rsidR="007B7161" w:rsidRPr="00813D19">
        <w:rPr>
          <w:lang w:val="en-US"/>
        </w:rPr>
        <w:t xml:space="preserve">he working document </w:t>
      </w:r>
      <w:r w:rsidRPr="00813D19">
        <w:rPr>
          <w:lang w:val="en-US"/>
        </w:rPr>
        <w:t xml:space="preserve">also elaborated on </w:t>
      </w:r>
      <w:r w:rsidR="007B7161" w:rsidRPr="00813D19">
        <w:rPr>
          <w:lang w:val="en-US"/>
        </w:rPr>
        <w:t xml:space="preserve">the partnerships and activities led by the former Unit of Emergency and Preparedness Response of the Culture Sector </w:t>
      </w:r>
      <w:r w:rsidRPr="00813D19">
        <w:rPr>
          <w:lang w:val="en-US"/>
        </w:rPr>
        <w:t xml:space="preserve">that were </w:t>
      </w:r>
      <w:r w:rsidR="007B7161" w:rsidRPr="00813D19">
        <w:rPr>
          <w:lang w:val="en-US"/>
        </w:rPr>
        <w:t xml:space="preserve">relevant </w:t>
      </w:r>
      <w:r w:rsidRPr="00813D19">
        <w:rPr>
          <w:lang w:val="en-US"/>
        </w:rPr>
        <w:t xml:space="preserve">to </w:t>
      </w:r>
      <w:r w:rsidR="008E4052" w:rsidRPr="00813D19">
        <w:rPr>
          <w:lang w:val="en-US"/>
        </w:rPr>
        <w:t>intangible cultural heritage</w:t>
      </w:r>
      <w:r w:rsidR="007B7161" w:rsidRPr="00813D19">
        <w:rPr>
          <w:lang w:val="en-US"/>
        </w:rPr>
        <w:t xml:space="preserve">. In addition, </w:t>
      </w:r>
      <w:r w:rsidRPr="00813D19">
        <w:rPr>
          <w:lang w:val="en-US"/>
        </w:rPr>
        <w:t xml:space="preserve">the Secretariat convened a technical </w:t>
      </w:r>
      <w:r w:rsidR="007B7161" w:rsidRPr="00813D19">
        <w:rPr>
          <w:lang w:val="en-US"/>
        </w:rPr>
        <w:t xml:space="preserve">UN workshop </w:t>
      </w:r>
      <w:r w:rsidRPr="00813D19">
        <w:rPr>
          <w:lang w:val="en-US"/>
        </w:rPr>
        <w:t>in Beirut, Lebanon,</w:t>
      </w:r>
      <w:r w:rsidR="007B7161" w:rsidRPr="00813D19">
        <w:rPr>
          <w:lang w:val="en-US"/>
        </w:rPr>
        <w:t xml:space="preserve"> on 31 October </w:t>
      </w:r>
      <w:r w:rsidR="00796906" w:rsidRPr="00813D19">
        <w:rPr>
          <w:lang w:val="en-US"/>
        </w:rPr>
        <w:t>2018</w:t>
      </w:r>
      <w:r w:rsidR="00B547D2">
        <w:rPr>
          <w:lang w:val="en-US"/>
        </w:rPr>
        <w:t>,</w:t>
      </w:r>
      <w:r w:rsidR="007B7161" w:rsidRPr="00813D19">
        <w:rPr>
          <w:lang w:val="en-US"/>
        </w:rPr>
        <w:t xml:space="preserve"> </w:t>
      </w:r>
      <w:r w:rsidRPr="00813D19">
        <w:rPr>
          <w:lang w:val="en-US"/>
        </w:rPr>
        <w:t xml:space="preserve">with </w:t>
      </w:r>
      <w:r w:rsidR="007B7161" w:rsidRPr="00813D19">
        <w:rPr>
          <w:lang w:val="en-US"/>
        </w:rPr>
        <w:t xml:space="preserve">the objective </w:t>
      </w:r>
      <w:r w:rsidR="00B547D2">
        <w:rPr>
          <w:lang w:val="en-US"/>
        </w:rPr>
        <w:t>of</w:t>
      </w:r>
      <w:r w:rsidR="007B7161" w:rsidRPr="00813D19">
        <w:rPr>
          <w:lang w:val="en-US"/>
        </w:rPr>
        <w:t xml:space="preserve"> sensitiz</w:t>
      </w:r>
      <w:r w:rsidR="00B547D2">
        <w:rPr>
          <w:lang w:val="en-US"/>
        </w:rPr>
        <w:t>ing</w:t>
      </w:r>
      <w:r w:rsidR="007B7161" w:rsidRPr="00813D19">
        <w:rPr>
          <w:lang w:val="en-US"/>
        </w:rPr>
        <w:t xml:space="preserve"> sister agencies in Lebanon as to what </w:t>
      </w:r>
      <w:r w:rsidR="008E4052" w:rsidRPr="00813D19">
        <w:rPr>
          <w:lang w:val="en-US"/>
        </w:rPr>
        <w:t>intangible cultural heritage</w:t>
      </w:r>
      <w:r w:rsidR="007B7161" w:rsidRPr="00813D19">
        <w:rPr>
          <w:lang w:val="en-US"/>
        </w:rPr>
        <w:t xml:space="preserve"> </w:t>
      </w:r>
      <w:r w:rsidRPr="00813D19">
        <w:rPr>
          <w:lang w:val="en-US"/>
        </w:rPr>
        <w:t xml:space="preserve">entailed </w:t>
      </w:r>
      <w:r w:rsidR="007B7161" w:rsidRPr="00813D19">
        <w:rPr>
          <w:lang w:val="en-US"/>
        </w:rPr>
        <w:t xml:space="preserve">and </w:t>
      </w:r>
      <w:r w:rsidR="00B547D2">
        <w:rPr>
          <w:lang w:val="en-US"/>
        </w:rPr>
        <w:t>initiating</w:t>
      </w:r>
      <w:r w:rsidR="007B7161" w:rsidRPr="00813D19">
        <w:rPr>
          <w:lang w:val="en-US"/>
        </w:rPr>
        <w:t xml:space="preserve"> a joint reflection on the role of </w:t>
      </w:r>
      <w:r w:rsidR="008E4052" w:rsidRPr="00813D19">
        <w:rPr>
          <w:lang w:val="en-US"/>
        </w:rPr>
        <w:t>intangible cultural heritage</w:t>
      </w:r>
      <w:r w:rsidRPr="00813D19">
        <w:rPr>
          <w:lang w:val="en-US"/>
        </w:rPr>
        <w:t xml:space="preserve"> </w:t>
      </w:r>
      <w:r w:rsidR="007B7161" w:rsidRPr="00813D19">
        <w:rPr>
          <w:lang w:val="en-US"/>
        </w:rPr>
        <w:t xml:space="preserve">in emergencies. </w:t>
      </w:r>
      <w:r w:rsidR="00813D19" w:rsidRPr="00813D19">
        <w:rPr>
          <w:lang w:val="en-US"/>
        </w:rPr>
        <w:t>Organizations</w:t>
      </w:r>
      <w:r w:rsidRPr="00813D19">
        <w:rPr>
          <w:lang w:val="en-US"/>
        </w:rPr>
        <w:t xml:space="preserve"> such as </w:t>
      </w:r>
      <w:r w:rsidR="00B547D2">
        <w:rPr>
          <w:lang w:val="en-US"/>
        </w:rPr>
        <w:t xml:space="preserve">the </w:t>
      </w:r>
      <w:r w:rsidRPr="00813D19">
        <w:rPr>
          <w:lang w:val="en-US"/>
        </w:rPr>
        <w:t>UNDP (</w:t>
      </w:r>
      <w:r w:rsidR="007B7161" w:rsidRPr="00813D19">
        <w:rPr>
          <w:lang w:val="en-US"/>
        </w:rPr>
        <w:t>Unite</w:t>
      </w:r>
      <w:r w:rsidRPr="00813D19">
        <w:rPr>
          <w:lang w:val="en-US"/>
        </w:rPr>
        <w:t xml:space="preserve">d Nations Development Programme), </w:t>
      </w:r>
      <w:r w:rsidR="00B547D2">
        <w:rPr>
          <w:lang w:val="en-US"/>
        </w:rPr>
        <w:t xml:space="preserve">the </w:t>
      </w:r>
      <w:r w:rsidRPr="00813D19">
        <w:rPr>
          <w:lang w:val="en-US"/>
        </w:rPr>
        <w:t>UNCHR (the UN Refugee agency)</w:t>
      </w:r>
      <w:r w:rsidR="007B7161" w:rsidRPr="00813D19">
        <w:rPr>
          <w:lang w:val="en-US"/>
        </w:rPr>
        <w:t>, UN-Habitat, the UN Interim Force in Lebanon (UNIFIL), the UN Economic and Social Commission</w:t>
      </w:r>
      <w:r w:rsidR="002F671E" w:rsidRPr="00813D19">
        <w:rPr>
          <w:lang w:val="en-US"/>
        </w:rPr>
        <w:t xml:space="preserve"> for West Asia (ESCAW) and </w:t>
      </w:r>
      <w:r w:rsidR="00B547D2">
        <w:rPr>
          <w:lang w:val="en-US"/>
        </w:rPr>
        <w:t xml:space="preserve">the </w:t>
      </w:r>
      <w:r w:rsidR="002F671E" w:rsidRPr="00813D19">
        <w:rPr>
          <w:lang w:val="en-US"/>
        </w:rPr>
        <w:t>WHO (</w:t>
      </w:r>
      <w:r w:rsidR="007B7161" w:rsidRPr="00813D19">
        <w:rPr>
          <w:lang w:val="en-US"/>
        </w:rPr>
        <w:t xml:space="preserve">World </w:t>
      </w:r>
      <w:r w:rsidR="002F671E" w:rsidRPr="00813D19">
        <w:rPr>
          <w:lang w:val="en-US"/>
        </w:rPr>
        <w:t>Health Organization)</w:t>
      </w:r>
      <w:r w:rsidR="007B7161" w:rsidRPr="00813D19">
        <w:rPr>
          <w:lang w:val="en-US"/>
        </w:rPr>
        <w:t xml:space="preserve"> </w:t>
      </w:r>
      <w:r w:rsidR="00B547D2">
        <w:rPr>
          <w:lang w:val="en-US"/>
        </w:rPr>
        <w:t xml:space="preserve">had </w:t>
      </w:r>
      <w:r w:rsidR="007B7161" w:rsidRPr="00813D19">
        <w:rPr>
          <w:lang w:val="en-US"/>
        </w:rPr>
        <w:t xml:space="preserve">actively participated in the meeting. They welcomed the initiative and recognized the potential of </w:t>
      </w:r>
      <w:r w:rsidR="00B547D2">
        <w:rPr>
          <w:lang w:val="en-US"/>
        </w:rPr>
        <w:t xml:space="preserve">intangible cultural heritage </w:t>
      </w:r>
      <w:r w:rsidR="007B7161" w:rsidRPr="00813D19">
        <w:rPr>
          <w:lang w:val="en-US"/>
        </w:rPr>
        <w:t>for their own activities, in line with the people-centred approach of humanitarian aid. Some of them</w:t>
      </w:r>
      <w:r w:rsidRPr="00813D19">
        <w:rPr>
          <w:lang w:val="en-US"/>
        </w:rPr>
        <w:t>,</w:t>
      </w:r>
      <w:r w:rsidR="007B7161" w:rsidRPr="00813D19">
        <w:rPr>
          <w:lang w:val="en-US"/>
        </w:rPr>
        <w:t xml:space="preserve"> such as </w:t>
      </w:r>
      <w:r w:rsidR="003154E9">
        <w:rPr>
          <w:lang w:val="en-US"/>
        </w:rPr>
        <w:t xml:space="preserve">the </w:t>
      </w:r>
      <w:r w:rsidR="007B7161" w:rsidRPr="00813D19">
        <w:rPr>
          <w:lang w:val="en-US"/>
        </w:rPr>
        <w:t>UNHCR</w:t>
      </w:r>
      <w:r w:rsidRPr="00813D19">
        <w:rPr>
          <w:lang w:val="en-US"/>
        </w:rPr>
        <w:t>,</w:t>
      </w:r>
      <w:r w:rsidR="007B7161" w:rsidRPr="00813D19">
        <w:rPr>
          <w:lang w:val="en-US"/>
        </w:rPr>
        <w:t xml:space="preserve"> asked for immediate collaboration with UNESCO </w:t>
      </w:r>
      <w:r w:rsidRPr="00813D19">
        <w:rPr>
          <w:lang w:val="en-US"/>
        </w:rPr>
        <w:t xml:space="preserve">to bring </w:t>
      </w:r>
      <w:r w:rsidR="007B7161" w:rsidRPr="00813D19">
        <w:rPr>
          <w:lang w:val="en-US"/>
        </w:rPr>
        <w:t xml:space="preserve">the </w:t>
      </w:r>
      <w:r w:rsidR="003154E9">
        <w:rPr>
          <w:lang w:val="en-US"/>
        </w:rPr>
        <w:t xml:space="preserve">intangible cultural heritage </w:t>
      </w:r>
      <w:r w:rsidR="007B7161" w:rsidRPr="00813D19">
        <w:rPr>
          <w:lang w:val="en-US"/>
        </w:rPr>
        <w:t xml:space="preserve">perspective into their work. </w:t>
      </w:r>
      <w:r w:rsidRPr="00813D19">
        <w:rPr>
          <w:lang w:val="en-US"/>
        </w:rPr>
        <w:t xml:space="preserve">In fact, they unanimously believed that this should happen </w:t>
      </w:r>
      <w:r w:rsidR="007B7161" w:rsidRPr="00813D19">
        <w:rPr>
          <w:lang w:val="en-US"/>
        </w:rPr>
        <w:t xml:space="preserve">from </w:t>
      </w:r>
      <w:r w:rsidRPr="00813D19">
        <w:rPr>
          <w:lang w:val="en-US"/>
        </w:rPr>
        <w:t>an early stage, expressing</w:t>
      </w:r>
      <w:r w:rsidR="007B7161" w:rsidRPr="00813D19">
        <w:rPr>
          <w:lang w:val="en-US"/>
        </w:rPr>
        <w:t xml:space="preserve"> the need to benefit from UNESCO</w:t>
      </w:r>
      <w:r w:rsidRPr="00813D19">
        <w:rPr>
          <w:lang w:val="en-US"/>
        </w:rPr>
        <w:t>’s</w:t>
      </w:r>
      <w:r w:rsidR="007B7161" w:rsidRPr="00813D19">
        <w:rPr>
          <w:lang w:val="en-US"/>
        </w:rPr>
        <w:t xml:space="preserve"> technical expertise </w:t>
      </w:r>
      <w:r w:rsidRPr="00813D19">
        <w:rPr>
          <w:lang w:val="en-US"/>
        </w:rPr>
        <w:t xml:space="preserve">and </w:t>
      </w:r>
      <w:r w:rsidR="007B7161" w:rsidRPr="00813D19">
        <w:rPr>
          <w:lang w:val="en-US"/>
        </w:rPr>
        <w:t>guidelines</w:t>
      </w:r>
      <w:r w:rsidRPr="00813D19">
        <w:rPr>
          <w:lang w:val="en-US"/>
        </w:rPr>
        <w:t xml:space="preserve"> in this regard</w:t>
      </w:r>
      <w:r w:rsidR="007B7161" w:rsidRPr="00813D19">
        <w:rPr>
          <w:lang w:val="en-US"/>
        </w:rPr>
        <w:t>. Moreover, they call</w:t>
      </w:r>
      <w:r w:rsidRPr="00813D19">
        <w:rPr>
          <w:lang w:val="en-US"/>
        </w:rPr>
        <w:t>ed</w:t>
      </w:r>
      <w:r w:rsidR="007B7161" w:rsidRPr="00813D19">
        <w:rPr>
          <w:lang w:val="en-US"/>
        </w:rPr>
        <w:t xml:space="preserve"> for training on </w:t>
      </w:r>
      <w:r w:rsidR="00D26255">
        <w:rPr>
          <w:lang w:val="en-US"/>
        </w:rPr>
        <w:t>intangible cultural heritage</w:t>
      </w:r>
      <w:r w:rsidR="00D26255" w:rsidRPr="00813D19">
        <w:rPr>
          <w:lang w:val="en-US"/>
        </w:rPr>
        <w:t xml:space="preserve"> </w:t>
      </w:r>
      <w:r w:rsidR="007B7161" w:rsidRPr="00813D19">
        <w:rPr>
          <w:lang w:val="en-US"/>
        </w:rPr>
        <w:t xml:space="preserve">for UN staff in order to raise awareness </w:t>
      </w:r>
      <w:r w:rsidR="00D26255">
        <w:rPr>
          <w:lang w:val="en-US"/>
        </w:rPr>
        <w:t>about</w:t>
      </w:r>
      <w:r w:rsidR="00D26255" w:rsidRPr="00813D19">
        <w:rPr>
          <w:lang w:val="en-US"/>
        </w:rPr>
        <w:t xml:space="preserve"> </w:t>
      </w:r>
      <w:r w:rsidR="007B7161" w:rsidRPr="00813D19">
        <w:rPr>
          <w:lang w:val="en-US"/>
        </w:rPr>
        <w:t xml:space="preserve">this issue among humanitarian workers. Hence, the meeting with UN colleagues from the field </w:t>
      </w:r>
      <w:r w:rsidRPr="00813D19">
        <w:rPr>
          <w:lang w:val="en-US"/>
        </w:rPr>
        <w:t xml:space="preserve">was </w:t>
      </w:r>
      <w:r w:rsidR="007B7161" w:rsidRPr="00813D19">
        <w:rPr>
          <w:lang w:val="en-US"/>
        </w:rPr>
        <w:t>very positive and encouraging</w:t>
      </w:r>
      <w:r w:rsidR="00F326DE" w:rsidRPr="00813D19">
        <w:rPr>
          <w:lang w:val="en-US"/>
        </w:rPr>
        <w:t>,</w:t>
      </w:r>
      <w:r w:rsidR="007B7161" w:rsidRPr="00813D19">
        <w:rPr>
          <w:lang w:val="en-US"/>
        </w:rPr>
        <w:t xml:space="preserve"> and </w:t>
      </w:r>
      <w:r w:rsidRPr="00813D19">
        <w:rPr>
          <w:lang w:val="en-US"/>
        </w:rPr>
        <w:t xml:space="preserve">the Secretariat </w:t>
      </w:r>
      <w:r w:rsidR="007B7161" w:rsidRPr="00813D19">
        <w:rPr>
          <w:lang w:val="en-US"/>
        </w:rPr>
        <w:t>look</w:t>
      </w:r>
      <w:r w:rsidRPr="00813D19">
        <w:rPr>
          <w:lang w:val="en-US"/>
        </w:rPr>
        <w:t>ed</w:t>
      </w:r>
      <w:r w:rsidR="007B7161" w:rsidRPr="00813D19">
        <w:rPr>
          <w:lang w:val="en-US"/>
        </w:rPr>
        <w:t xml:space="preserve"> forward to pursuing </w:t>
      </w:r>
      <w:r w:rsidRPr="00813D19">
        <w:rPr>
          <w:lang w:val="en-US"/>
        </w:rPr>
        <w:t>concrete cooperation</w:t>
      </w:r>
      <w:r w:rsidR="007B7161" w:rsidRPr="00813D19">
        <w:rPr>
          <w:lang w:val="en-US"/>
        </w:rPr>
        <w:t xml:space="preserve"> </w:t>
      </w:r>
      <w:r w:rsidR="002C3BF0" w:rsidRPr="00813D19">
        <w:rPr>
          <w:lang w:val="en-US"/>
        </w:rPr>
        <w:t xml:space="preserve">as </w:t>
      </w:r>
      <w:r w:rsidR="008E4052" w:rsidRPr="00813D19">
        <w:rPr>
          <w:lang w:val="en-US"/>
        </w:rPr>
        <w:t>intangible cultural heritage</w:t>
      </w:r>
      <w:r w:rsidR="007B7161" w:rsidRPr="00813D19">
        <w:rPr>
          <w:lang w:val="en-US"/>
        </w:rPr>
        <w:t xml:space="preserve"> </w:t>
      </w:r>
      <w:r w:rsidR="002C3BF0" w:rsidRPr="00813D19">
        <w:rPr>
          <w:lang w:val="en-US"/>
        </w:rPr>
        <w:t xml:space="preserve">had a role to play </w:t>
      </w:r>
      <w:r w:rsidR="007B7161" w:rsidRPr="00813D19">
        <w:rPr>
          <w:lang w:val="en-US"/>
        </w:rPr>
        <w:t>in the humanitarian arena.</w:t>
      </w:r>
      <w:r w:rsidR="00050E41" w:rsidRPr="00813D19">
        <w:rPr>
          <w:lang w:val="en-US"/>
        </w:rPr>
        <w:t xml:space="preserve"> </w:t>
      </w:r>
      <w:r w:rsidR="00813D19" w:rsidRPr="00813D19">
        <w:rPr>
          <w:lang w:val="en-US"/>
        </w:rPr>
        <w:t>Moreover</w:t>
      </w:r>
      <w:r w:rsidR="002C3BF0" w:rsidRPr="00813D19">
        <w:rPr>
          <w:lang w:val="en-US"/>
        </w:rPr>
        <w:t>, o</w:t>
      </w:r>
      <w:r w:rsidR="007B7161" w:rsidRPr="00813D19">
        <w:rPr>
          <w:lang w:val="en-US"/>
        </w:rPr>
        <w:t>n 16 November</w:t>
      </w:r>
      <w:r w:rsidR="00F326DE" w:rsidRPr="00813D19">
        <w:rPr>
          <w:lang w:val="en-US"/>
        </w:rPr>
        <w:t xml:space="preserve"> 2018</w:t>
      </w:r>
      <w:r w:rsidR="007B7161" w:rsidRPr="00813D19">
        <w:rPr>
          <w:lang w:val="en-US"/>
        </w:rPr>
        <w:t xml:space="preserve">, </w:t>
      </w:r>
      <w:r w:rsidR="002C3BF0" w:rsidRPr="00813D19">
        <w:rPr>
          <w:lang w:val="en-US"/>
        </w:rPr>
        <w:t xml:space="preserve">the Secretariat </w:t>
      </w:r>
      <w:r w:rsidR="007B7161" w:rsidRPr="00813D19">
        <w:rPr>
          <w:lang w:val="en-US"/>
        </w:rPr>
        <w:t xml:space="preserve">had the opportunity to bring the </w:t>
      </w:r>
      <w:r w:rsidR="00D26255">
        <w:rPr>
          <w:lang w:val="en-US"/>
        </w:rPr>
        <w:t>intangible cultural heritage</w:t>
      </w:r>
      <w:r w:rsidR="00D26255" w:rsidRPr="00813D19">
        <w:rPr>
          <w:lang w:val="en-US"/>
        </w:rPr>
        <w:t xml:space="preserve"> </w:t>
      </w:r>
      <w:r w:rsidR="007B7161" w:rsidRPr="00813D19">
        <w:rPr>
          <w:lang w:val="en-US"/>
        </w:rPr>
        <w:t>view in</w:t>
      </w:r>
      <w:r w:rsidR="00D26255">
        <w:rPr>
          <w:lang w:val="en-US"/>
        </w:rPr>
        <w:t>to</w:t>
      </w:r>
      <w:r w:rsidR="007B7161" w:rsidRPr="00813D19">
        <w:rPr>
          <w:lang w:val="en-US"/>
        </w:rPr>
        <w:t xml:space="preserve"> discussions with th</w:t>
      </w:r>
      <w:r w:rsidR="008E4052" w:rsidRPr="00813D19">
        <w:rPr>
          <w:lang w:val="en-US"/>
        </w:rPr>
        <w:t>e World Bank, ICOMOS and ICCROM</w:t>
      </w:r>
      <w:r w:rsidR="007B7161" w:rsidRPr="00813D19">
        <w:rPr>
          <w:lang w:val="en-US"/>
        </w:rPr>
        <w:t xml:space="preserve"> in the framework of the launch of the UNESCO-World Bank Position Paper on ‘Culture in City Reconstruction and Recovery’</w:t>
      </w:r>
      <w:r w:rsidR="00A31B55" w:rsidRPr="00813D19">
        <w:rPr>
          <w:rStyle w:val="FootnoteReference"/>
          <w:lang w:val="en-US"/>
        </w:rPr>
        <w:footnoteReference w:id="30"/>
      </w:r>
      <w:r w:rsidR="007B7161" w:rsidRPr="00813D19">
        <w:rPr>
          <w:lang w:val="en-US"/>
        </w:rPr>
        <w:t>. They all welcomed the community-led approach of living heritage, which contri</w:t>
      </w:r>
      <w:r w:rsidR="00AD050F" w:rsidRPr="00813D19">
        <w:rPr>
          <w:lang w:val="en-US"/>
        </w:rPr>
        <w:t>buted to the people-cent</w:t>
      </w:r>
      <w:r w:rsidR="00D26255">
        <w:rPr>
          <w:lang w:val="en-US"/>
        </w:rPr>
        <w:t>re</w:t>
      </w:r>
      <w:r w:rsidR="007B7161" w:rsidRPr="00813D19">
        <w:rPr>
          <w:lang w:val="en-US"/>
        </w:rPr>
        <w:t>d approach of the position paper.</w:t>
      </w:r>
      <w:r w:rsidR="00050E41" w:rsidRPr="00813D19">
        <w:rPr>
          <w:lang w:val="en-US"/>
        </w:rPr>
        <w:t xml:space="preserve"> </w:t>
      </w:r>
      <w:r w:rsidR="00AD050F" w:rsidRPr="00813D19">
        <w:rPr>
          <w:lang w:val="en-US"/>
        </w:rPr>
        <w:t>T</w:t>
      </w:r>
      <w:r w:rsidR="007B7161" w:rsidRPr="00813D19">
        <w:rPr>
          <w:lang w:val="en-US"/>
        </w:rPr>
        <w:t>he Paris Peace Forum</w:t>
      </w:r>
      <w:r w:rsidR="00AD050F" w:rsidRPr="00813D19">
        <w:rPr>
          <w:rStyle w:val="FootnoteReference"/>
          <w:lang w:val="en-US"/>
        </w:rPr>
        <w:footnoteReference w:id="31"/>
      </w:r>
      <w:r w:rsidR="007B7161" w:rsidRPr="00813D19">
        <w:rPr>
          <w:lang w:val="en-US"/>
        </w:rPr>
        <w:t xml:space="preserve"> was </w:t>
      </w:r>
      <w:r w:rsidR="00AD050F" w:rsidRPr="00813D19">
        <w:rPr>
          <w:lang w:val="en-US"/>
        </w:rPr>
        <w:t xml:space="preserve">another </w:t>
      </w:r>
      <w:r w:rsidR="00D26255" w:rsidRPr="00813D19">
        <w:rPr>
          <w:lang w:val="en-US"/>
        </w:rPr>
        <w:t>o</w:t>
      </w:r>
      <w:r w:rsidR="00D26255">
        <w:rPr>
          <w:lang w:val="en-US"/>
        </w:rPr>
        <w:t>pportunity</w:t>
      </w:r>
      <w:r w:rsidR="00D26255" w:rsidRPr="00813D19">
        <w:rPr>
          <w:lang w:val="en-US"/>
        </w:rPr>
        <w:t xml:space="preserve"> </w:t>
      </w:r>
      <w:r w:rsidR="00F326DE" w:rsidRPr="00813D19">
        <w:rPr>
          <w:lang w:val="en-US"/>
        </w:rPr>
        <w:t xml:space="preserve">to </w:t>
      </w:r>
      <w:r w:rsidR="00AD050F" w:rsidRPr="00813D19">
        <w:rPr>
          <w:lang w:val="en-US"/>
        </w:rPr>
        <w:t xml:space="preserve">further </w:t>
      </w:r>
      <w:r w:rsidR="00F326DE" w:rsidRPr="00813D19">
        <w:rPr>
          <w:lang w:val="en-US"/>
        </w:rPr>
        <w:t>affirm the people-cent</w:t>
      </w:r>
      <w:r w:rsidR="00D26255">
        <w:rPr>
          <w:lang w:val="en-US"/>
        </w:rPr>
        <w:t>re</w:t>
      </w:r>
      <w:r w:rsidR="007B7161" w:rsidRPr="00813D19">
        <w:rPr>
          <w:lang w:val="en-US"/>
        </w:rPr>
        <w:t xml:space="preserve">d approach. Among the 120 innovative projects showcased during the Forum, UNESCO and the Colombian authorities, </w:t>
      </w:r>
      <w:r w:rsidR="00F326DE" w:rsidRPr="00813D19">
        <w:rPr>
          <w:lang w:val="en-US"/>
        </w:rPr>
        <w:t>including</w:t>
      </w:r>
      <w:r w:rsidR="007B7161" w:rsidRPr="00813D19">
        <w:rPr>
          <w:lang w:val="en-US"/>
        </w:rPr>
        <w:t xml:space="preserve"> the President of Colombia, presented the emergency International Assistance project of Colombia on the reintegration of ex-combatants FARC using </w:t>
      </w:r>
      <w:r w:rsidR="008E4052" w:rsidRPr="00813D19">
        <w:rPr>
          <w:lang w:val="en-US"/>
        </w:rPr>
        <w:t>intangible cultural heritage</w:t>
      </w:r>
      <w:r w:rsidR="007B7161" w:rsidRPr="00813D19">
        <w:rPr>
          <w:lang w:val="en-US"/>
        </w:rPr>
        <w:t xml:space="preserve"> as a tool for dialogue and reconciliation.</w:t>
      </w:r>
      <w:r w:rsidR="00050E41" w:rsidRPr="00813D19">
        <w:rPr>
          <w:lang w:val="en-US"/>
        </w:rPr>
        <w:t xml:space="preserve"> </w:t>
      </w:r>
      <w:r w:rsidR="00070901" w:rsidRPr="00813D19">
        <w:rPr>
          <w:lang w:val="en-US"/>
        </w:rPr>
        <w:t>A</w:t>
      </w:r>
      <w:r w:rsidR="007B7161" w:rsidRPr="00813D19">
        <w:rPr>
          <w:lang w:val="en-US"/>
        </w:rPr>
        <w:t>fter a year of better understand</w:t>
      </w:r>
      <w:r w:rsidR="00360EBA" w:rsidRPr="00813D19">
        <w:rPr>
          <w:lang w:val="en-US"/>
        </w:rPr>
        <w:t>ing</w:t>
      </w:r>
      <w:r w:rsidR="007B7161" w:rsidRPr="00813D19">
        <w:rPr>
          <w:lang w:val="en-US"/>
        </w:rPr>
        <w:t xml:space="preserve"> the situation, followed by a year of exposure to external initiatives and partners, </w:t>
      </w:r>
      <w:r w:rsidR="00360EBA" w:rsidRPr="00813D19">
        <w:rPr>
          <w:lang w:val="en-US"/>
        </w:rPr>
        <w:t xml:space="preserve">it was now known </w:t>
      </w:r>
      <w:r w:rsidR="007B7161" w:rsidRPr="00813D19">
        <w:rPr>
          <w:lang w:val="en-US"/>
        </w:rPr>
        <w:t xml:space="preserve">that there </w:t>
      </w:r>
      <w:r w:rsidR="00360EBA" w:rsidRPr="00813D19">
        <w:rPr>
          <w:lang w:val="en-US"/>
        </w:rPr>
        <w:t xml:space="preserve">was </w:t>
      </w:r>
      <w:r w:rsidR="007B7161" w:rsidRPr="00813D19">
        <w:rPr>
          <w:lang w:val="en-US"/>
        </w:rPr>
        <w:t xml:space="preserve">a </w:t>
      </w:r>
      <w:r w:rsidR="00813D19" w:rsidRPr="00813D19">
        <w:rPr>
          <w:lang w:val="en-US"/>
        </w:rPr>
        <w:t>need</w:t>
      </w:r>
      <w:r w:rsidR="00360EBA" w:rsidRPr="00813D19">
        <w:rPr>
          <w:lang w:val="en-US"/>
        </w:rPr>
        <w:t xml:space="preserve"> for a </w:t>
      </w:r>
      <w:r w:rsidR="007B7161" w:rsidRPr="00813D19">
        <w:rPr>
          <w:lang w:val="en-US"/>
        </w:rPr>
        <w:t xml:space="preserve">call for action in the field of </w:t>
      </w:r>
      <w:r w:rsidR="008E4052" w:rsidRPr="00813D19">
        <w:rPr>
          <w:lang w:val="en-US"/>
        </w:rPr>
        <w:t>intangible cultural heritage</w:t>
      </w:r>
      <w:r w:rsidR="007B7161" w:rsidRPr="00813D19">
        <w:rPr>
          <w:lang w:val="en-US"/>
        </w:rPr>
        <w:t xml:space="preserve"> in humanitarian responses to com</w:t>
      </w:r>
      <w:r w:rsidR="00360EBA" w:rsidRPr="00813D19">
        <w:rPr>
          <w:lang w:val="en-US"/>
        </w:rPr>
        <w:t>plex emergency situations</w:t>
      </w:r>
      <w:r w:rsidR="007B7161" w:rsidRPr="00813D19">
        <w:rPr>
          <w:lang w:val="en-US"/>
        </w:rPr>
        <w:t>.</w:t>
      </w:r>
    </w:p>
    <w:p w14:paraId="0B9A139F" w14:textId="7416E005" w:rsidR="007B7161" w:rsidRPr="00813D19" w:rsidRDefault="004E1DD5" w:rsidP="008E4052">
      <w:pPr>
        <w:pStyle w:val="Orateurengris"/>
        <w:spacing w:before="120"/>
        <w:ind w:left="709" w:hanging="709"/>
        <w:rPr>
          <w:rFonts w:eastAsia="Malgun Gothic"/>
          <w:lang w:val="en-US" w:eastAsia="ko-KR"/>
        </w:rPr>
      </w:pPr>
      <w:r w:rsidRPr="00813D19">
        <w:rPr>
          <w:lang w:val="en-US"/>
        </w:rPr>
        <w:t>T</w:t>
      </w:r>
      <w:r w:rsidR="00360EBA" w:rsidRPr="00813D19">
        <w:rPr>
          <w:lang w:val="en-US"/>
        </w:rPr>
        <w:t xml:space="preserve">he </w:t>
      </w:r>
      <w:r w:rsidR="00360EBA" w:rsidRPr="00813D19">
        <w:rPr>
          <w:b/>
          <w:lang w:val="en-US"/>
        </w:rPr>
        <w:t>Secretary</w:t>
      </w:r>
      <w:r w:rsidR="00360EBA" w:rsidRPr="00813D19">
        <w:rPr>
          <w:lang w:val="en-US"/>
        </w:rPr>
        <w:t xml:space="preserve"> </w:t>
      </w:r>
      <w:r w:rsidRPr="00813D19">
        <w:rPr>
          <w:lang w:val="en-US"/>
        </w:rPr>
        <w:t xml:space="preserve">then referred to Section III of the document, ‘Moving forward’, which outlined the work currently </w:t>
      </w:r>
      <w:r w:rsidR="008E4052" w:rsidRPr="00813D19">
        <w:rPr>
          <w:lang w:val="en-US"/>
        </w:rPr>
        <w:t>undertaken by the Secretariat—</w:t>
      </w:r>
      <w:r w:rsidRPr="00813D19">
        <w:rPr>
          <w:lang w:val="en-US"/>
        </w:rPr>
        <w:t>at the request of the Committee in 2017</w:t>
      </w:r>
      <w:r w:rsidR="008E4052" w:rsidRPr="00813D19">
        <w:rPr>
          <w:lang w:val="en-US"/>
        </w:rPr>
        <w:t>—</w:t>
      </w:r>
      <w:r w:rsidRPr="00813D19">
        <w:rPr>
          <w:lang w:val="en-US"/>
        </w:rPr>
        <w:t>to conduct</w:t>
      </w:r>
      <w:r w:rsidR="007B7161" w:rsidRPr="00813D19">
        <w:rPr>
          <w:lang w:val="en-US"/>
        </w:rPr>
        <w:t xml:space="preserve"> a mapping and analysis of the different methodological approaches used worldwide with a view to safeguarding </w:t>
      </w:r>
      <w:r w:rsidRPr="00813D19">
        <w:rPr>
          <w:lang w:val="en-US"/>
        </w:rPr>
        <w:t xml:space="preserve">and mobilizing intangible cultural heritage </w:t>
      </w:r>
      <w:r w:rsidR="007B7161" w:rsidRPr="00813D19">
        <w:rPr>
          <w:lang w:val="en-US"/>
        </w:rPr>
        <w:t xml:space="preserve">as a tool for resilience and recovery. The report </w:t>
      </w:r>
      <w:r w:rsidR="00D26255">
        <w:rPr>
          <w:lang w:val="en-US"/>
        </w:rPr>
        <w:t>was</w:t>
      </w:r>
      <w:r w:rsidR="00D26255" w:rsidRPr="00813D19">
        <w:rPr>
          <w:lang w:val="en-US"/>
        </w:rPr>
        <w:t xml:space="preserve"> </w:t>
      </w:r>
      <w:r w:rsidR="007B7161" w:rsidRPr="00813D19">
        <w:rPr>
          <w:lang w:val="en-US"/>
        </w:rPr>
        <w:t xml:space="preserve">expected for early 2019 </w:t>
      </w:r>
      <w:r w:rsidRPr="00813D19">
        <w:rPr>
          <w:lang w:val="en-US"/>
        </w:rPr>
        <w:t xml:space="preserve">with </w:t>
      </w:r>
      <w:r w:rsidR="007B7161" w:rsidRPr="00813D19">
        <w:rPr>
          <w:lang w:val="en-US"/>
        </w:rPr>
        <w:t xml:space="preserve">the intention </w:t>
      </w:r>
      <w:r w:rsidR="00D26255">
        <w:rPr>
          <w:lang w:val="en-US"/>
        </w:rPr>
        <w:t>of</w:t>
      </w:r>
      <w:r w:rsidR="007B7161" w:rsidRPr="00813D19">
        <w:rPr>
          <w:lang w:val="en-US"/>
        </w:rPr>
        <w:t xml:space="preserve"> develop</w:t>
      </w:r>
      <w:r w:rsidR="00D26255">
        <w:rPr>
          <w:lang w:val="en-US"/>
        </w:rPr>
        <w:t>ing</w:t>
      </w:r>
      <w:r w:rsidR="007B7161" w:rsidRPr="00813D19">
        <w:rPr>
          <w:lang w:val="en-US"/>
        </w:rPr>
        <w:t xml:space="preserve"> recommendations for methodological guidance for </w:t>
      </w:r>
      <w:r w:rsidRPr="00813D19">
        <w:rPr>
          <w:lang w:val="en-US"/>
        </w:rPr>
        <w:t xml:space="preserve">Convention </w:t>
      </w:r>
      <w:r w:rsidR="007B7161" w:rsidRPr="00813D19">
        <w:rPr>
          <w:lang w:val="en-US"/>
        </w:rPr>
        <w:t>stakeholders faced with situations of emergency.</w:t>
      </w:r>
      <w:r w:rsidR="00050E41" w:rsidRPr="00813D19">
        <w:rPr>
          <w:lang w:val="en-US"/>
        </w:rPr>
        <w:t xml:space="preserve"> </w:t>
      </w:r>
      <w:r w:rsidR="007B7161" w:rsidRPr="00813D19">
        <w:rPr>
          <w:lang w:val="en-US"/>
        </w:rPr>
        <w:t xml:space="preserve">On this basis, and based on the knowledge and experience gathered over the past three years, </w:t>
      </w:r>
      <w:r w:rsidRPr="00813D19">
        <w:rPr>
          <w:lang w:val="en-US"/>
        </w:rPr>
        <w:t>the Secretariat proposed</w:t>
      </w:r>
      <w:r w:rsidR="007B7161" w:rsidRPr="00813D19">
        <w:rPr>
          <w:lang w:val="en-US"/>
        </w:rPr>
        <w:t xml:space="preserve"> conven</w:t>
      </w:r>
      <w:r w:rsidR="00D26255">
        <w:rPr>
          <w:lang w:val="en-US"/>
        </w:rPr>
        <w:t>ing</w:t>
      </w:r>
      <w:r w:rsidR="007B7161" w:rsidRPr="00813D19">
        <w:rPr>
          <w:lang w:val="en-US"/>
        </w:rPr>
        <w:t xml:space="preserve"> a meeting of individual experts (category VI) in 2019 to explore operational modalities for the implementation of such recommendations in line with the principles of the Convention</w:t>
      </w:r>
      <w:r w:rsidRPr="00813D19">
        <w:rPr>
          <w:lang w:val="en-US"/>
        </w:rPr>
        <w:t xml:space="preserve">, which </w:t>
      </w:r>
      <w:r w:rsidR="007B7161" w:rsidRPr="00813D19">
        <w:rPr>
          <w:lang w:val="en-US"/>
        </w:rPr>
        <w:t>would cover both conflicts and natural disasters</w:t>
      </w:r>
      <w:r w:rsidRPr="00813D19">
        <w:rPr>
          <w:lang w:val="en-US"/>
        </w:rPr>
        <w:t>,</w:t>
      </w:r>
      <w:r w:rsidR="007B7161" w:rsidRPr="00813D19">
        <w:rPr>
          <w:lang w:val="en-US"/>
        </w:rPr>
        <w:t xml:space="preserve"> as well as the two dimensions highl</w:t>
      </w:r>
      <w:r w:rsidRPr="00813D19">
        <w:rPr>
          <w:lang w:val="en-US"/>
        </w:rPr>
        <w:t>ighted by the Committee, namely, i)</w:t>
      </w:r>
      <w:r w:rsidR="007B7161" w:rsidRPr="00813D19">
        <w:rPr>
          <w:lang w:val="en-US"/>
        </w:rPr>
        <w:t xml:space="preserve"> to what extent intangible cultural heritage itself is disrupted and threatened under such circumstances and what can be done to safeguard it; and </w:t>
      </w:r>
      <w:r w:rsidRPr="00813D19">
        <w:rPr>
          <w:lang w:val="en-US"/>
        </w:rPr>
        <w:t xml:space="preserve">ii) </w:t>
      </w:r>
      <w:r w:rsidR="007B7161" w:rsidRPr="00813D19">
        <w:rPr>
          <w:lang w:val="en-US"/>
        </w:rPr>
        <w:t>in what ways intangible cultural heritage can be promoted, safeguarded or supported, as a critical means of rebuilding social cohesion, fostering reconciliation and/or facilitating preparedness and recovery for communities confronte</w:t>
      </w:r>
      <w:r w:rsidR="00455801" w:rsidRPr="00813D19">
        <w:rPr>
          <w:lang w:val="en-US"/>
        </w:rPr>
        <w:t>d with situations of emergency</w:t>
      </w:r>
      <w:r w:rsidR="007B7161" w:rsidRPr="00813D19">
        <w:rPr>
          <w:lang w:val="en-US"/>
        </w:rPr>
        <w:t>.</w:t>
      </w:r>
      <w:r w:rsidR="00050E41" w:rsidRPr="00813D19">
        <w:rPr>
          <w:lang w:val="en-US"/>
        </w:rPr>
        <w:t xml:space="preserve"> </w:t>
      </w:r>
      <w:r w:rsidR="007B7161" w:rsidRPr="00813D19">
        <w:rPr>
          <w:lang w:val="en-US"/>
        </w:rPr>
        <w:t xml:space="preserve">Should the Committee agree, the conclusions of the expert meeting would be presented to the fourteenth session of the Committee in 2019 with a view to </w:t>
      </w:r>
      <w:r w:rsidR="00455801" w:rsidRPr="00813D19">
        <w:rPr>
          <w:lang w:val="en-US"/>
        </w:rPr>
        <w:t>identifying</w:t>
      </w:r>
      <w:r w:rsidR="007B7161" w:rsidRPr="00813D19">
        <w:rPr>
          <w:lang w:val="en-US"/>
        </w:rPr>
        <w:t xml:space="preserve"> methodological guidance for operational modalities of the Convention </w:t>
      </w:r>
      <w:r w:rsidR="008E4052" w:rsidRPr="00813D19">
        <w:rPr>
          <w:lang w:val="en-US"/>
        </w:rPr>
        <w:t>at</w:t>
      </w:r>
      <w:r w:rsidR="007B7161" w:rsidRPr="00813D19">
        <w:rPr>
          <w:lang w:val="en-US"/>
        </w:rPr>
        <w:t xml:space="preserve"> the eighth session of the General Assembly in 2020. </w:t>
      </w:r>
      <w:r w:rsidR="00455801" w:rsidRPr="00813D19">
        <w:rPr>
          <w:lang w:val="en-US"/>
        </w:rPr>
        <w:t>T</w:t>
      </w:r>
      <w:r w:rsidR="007B7161" w:rsidRPr="00813D19">
        <w:rPr>
          <w:lang w:val="en-US"/>
        </w:rPr>
        <w:t xml:space="preserve">he Secretariat </w:t>
      </w:r>
      <w:r w:rsidRPr="00813D19">
        <w:rPr>
          <w:lang w:val="en-US"/>
        </w:rPr>
        <w:t xml:space="preserve">was </w:t>
      </w:r>
      <w:r w:rsidR="007B7161" w:rsidRPr="00813D19">
        <w:rPr>
          <w:lang w:val="en-US"/>
        </w:rPr>
        <w:t>of the view that a format</w:t>
      </w:r>
      <w:r w:rsidR="00F47F62" w:rsidRPr="00813D19">
        <w:rPr>
          <w:lang w:val="en-US"/>
        </w:rPr>
        <w:t>,</w:t>
      </w:r>
      <w:r w:rsidR="007B7161" w:rsidRPr="00813D19">
        <w:rPr>
          <w:lang w:val="en-US"/>
        </w:rPr>
        <w:t xml:space="preserve"> such as guidelines</w:t>
      </w:r>
      <w:r w:rsidR="00F47F62" w:rsidRPr="00813D19">
        <w:rPr>
          <w:lang w:val="en-US"/>
        </w:rPr>
        <w:t>,</w:t>
      </w:r>
      <w:r w:rsidR="007B7161" w:rsidRPr="00813D19">
        <w:rPr>
          <w:lang w:val="en-US"/>
        </w:rPr>
        <w:t xml:space="preserve"> would be </w:t>
      </w:r>
      <w:r w:rsidR="00F47F62" w:rsidRPr="00813D19">
        <w:rPr>
          <w:lang w:val="en-US"/>
        </w:rPr>
        <w:t>appropriate and could be integrated into the Basic T</w:t>
      </w:r>
      <w:r w:rsidR="007B7161" w:rsidRPr="00813D19">
        <w:rPr>
          <w:lang w:val="en-US"/>
        </w:rPr>
        <w:t xml:space="preserve">exts as </w:t>
      </w:r>
      <w:r w:rsidR="00455801" w:rsidRPr="00813D19">
        <w:rPr>
          <w:lang w:val="en-US"/>
        </w:rPr>
        <w:t xml:space="preserve">an </w:t>
      </w:r>
      <w:r w:rsidR="007B7161" w:rsidRPr="00813D19">
        <w:rPr>
          <w:lang w:val="en-US"/>
        </w:rPr>
        <w:t xml:space="preserve">annex, as </w:t>
      </w:r>
      <w:r w:rsidR="00F47F62" w:rsidRPr="00813D19">
        <w:rPr>
          <w:lang w:val="en-US"/>
        </w:rPr>
        <w:t xml:space="preserve">was the case </w:t>
      </w:r>
      <w:r w:rsidR="007B7161" w:rsidRPr="00813D19">
        <w:rPr>
          <w:lang w:val="en-US"/>
        </w:rPr>
        <w:t>with the Ethical Principles</w:t>
      </w:r>
      <w:r w:rsidR="008E4052" w:rsidRPr="00813D19">
        <w:rPr>
          <w:rStyle w:val="FootnoteReference"/>
          <w:lang w:val="en-US"/>
        </w:rPr>
        <w:footnoteReference w:id="32"/>
      </w:r>
      <w:r w:rsidR="007B7161" w:rsidRPr="00813D19">
        <w:rPr>
          <w:lang w:val="en-US"/>
        </w:rPr>
        <w:t xml:space="preserve">. </w:t>
      </w:r>
      <w:r w:rsidR="00F47F62" w:rsidRPr="00813D19">
        <w:rPr>
          <w:lang w:val="en-US"/>
        </w:rPr>
        <w:t xml:space="preserve">It was noted that </w:t>
      </w:r>
      <w:r w:rsidR="007B7161" w:rsidRPr="00813D19">
        <w:rPr>
          <w:lang w:val="en-US"/>
        </w:rPr>
        <w:t xml:space="preserve">the Bureau of the Committee had approved </w:t>
      </w:r>
      <w:r w:rsidR="00F47F62" w:rsidRPr="00813D19">
        <w:rPr>
          <w:lang w:val="en-US"/>
        </w:rPr>
        <w:t xml:space="preserve">funding </w:t>
      </w:r>
      <w:r w:rsidR="007B7161" w:rsidRPr="00813D19">
        <w:rPr>
          <w:lang w:val="en-US"/>
        </w:rPr>
        <w:t xml:space="preserve">in June </w:t>
      </w:r>
      <w:r w:rsidR="00F47F62" w:rsidRPr="002827E3">
        <w:rPr>
          <w:lang w:val="en-US"/>
        </w:rPr>
        <w:t>2018</w:t>
      </w:r>
      <w:r w:rsidR="00F47F62" w:rsidRPr="00813D19">
        <w:rPr>
          <w:lang w:val="en-US"/>
        </w:rPr>
        <w:t xml:space="preserve"> under </w:t>
      </w:r>
      <w:r w:rsidR="007B7161" w:rsidRPr="00813D19">
        <w:rPr>
          <w:lang w:val="en-US"/>
        </w:rPr>
        <w:t xml:space="preserve">an action line on </w:t>
      </w:r>
      <w:r w:rsidR="008E4052" w:rsidRPr="00813D19">
        <w:rPr>
          <w:lang w:val="en-US"/>
        </w:rPr>
        <w:t>intangible cultural heritage</w:t>
      </w:r>
      <w:r w:rsidR="007B7161" w:rsidRPr="00813D19">
        <w:rPr>
          <w:lang w:val="en-US"/>
        </w:rPr>
        <w:t xml:space="preserve"> i</w:t>
      </w:r>
      <w:r w:rsidR="00F47F62" w:rsidRPr="00813D19">
        <w:rPr>
          <w:lang w:val="en-US"/>
        </w:rPr>
        <w:t>n emergencies under the ‘Other f</w:t>
      </w:r>
      <w:r w:rsidR="007B7161" w:rsidRPr="00813D19">
        <w:rPr>
          <w:lang w:val="en-US"/>
        </w:rPr>
        <w:t>unction</w:t>
      </w:r>
      <w:r w:rsidR="00F47F62" w:rsidRPr="00813D19">
        <w:rPr>
          <w:lang w:val="en-US"/>
        </w:rPr>
        <w:t>s</w:t>
      </w:r>
      <w:r w:rsidR="007B7161" w:rsidRPr="00813D19">
        <w:rPr>
          <w:lang w:val="en-US"/>
        </w:rPr>
        <w:t xml:space="preserve">’, </w:t>
      </w:r>
      <w:r w:rsidR="008E4052" w:rsidRPr="00813D19">
        <w:rPr>
          <w:lang w:val="en-US"/>
        </w:rPr>
        <w:t>and th</w:t>
      </w:r>
      <w:r w:rsidR="00F47F62" w:rsidRPr="00813D19">
        <w:rPr>
          <w:lang w:val="en-US"/>
        </w:rPr>
        <w:t>u</w:t>
      </w:r>
      <w:r w:rsidR="008E4052" w:rsidRPr="00813D19">
        <w:rPr>
          <w:lang w:val="en-US"/>
        </w:rPr>
        <w:t>s</w:t>
      </w:r>
      <w:r w:rsidR="00F47F62" w:rsidRPr="00813D19">
        <w:rPr>
          <w:lang w:val="en-US"/>
        </w:rPr>
        <w:t xml:space="preserve"> funds were available for the expert meeting</w:t>
      </w:r>
      <w:r w:rsidR="007B7161" w:rsidRPr="00813D19">
        <w:rPr>
          <w:lang w:val="en-US"/>
        </w:rPr>
        <w:t>. Moreover, the Government of China wish</w:t>
      </w:r>
      <w:r w:rsidR="00F47F62" w:rsidRPr="00813D19">
        <w:rPr>
          <w:lang w:val="en-US"/>
        </w:rPr>
        <w:t>ed</w:t>
      </w:r>
      <w:r w:rsidR="007B7161" w:rsidRPr="00813D19">
        <w:rPr>
          <w:lang w:val="en-US"/>
        </w:rPr>
        <w:t xml:space="preserve"> to further suppo</w:t>
      </w:r>
      <w:r w:rsidR="00634D0B">
        <w:rPr>
          <w:lang w:val="en-US"/>
        </w:rPr>
        <w:t>rt the Convention in this area.</w:t>
      </w:r>
    </w:p>
    <w:p w14:paraId="5D10DFA6" w14:textId="155632B0" w:rsidR="00455801" w:rsidRPr="00813D19" w:rsidRDefault="00455801" w:rsidP="00050E41">
      <w:pPr>
        <w:pStyle w:val="Orateurengris"/>
        <w:spacing w:before="120"/>
        <w:ind w:left="709" w:hanging="709"/>
        <w:rPr>
          <w:rFonts w:eastAsia="Malgun Gothic"/>
          <w:lang w:val="en-US" w:eastAsia="ko-KR"/>
        </w:rPr>
      </w:pPr>
      <w:r w:rsidRPr="00813D19">
        <w:rPr>
          <w:lang w:val="en-US"/>
        </w:rPr>
        <w:t xml:space="preserve">The </w:t>
      </w:r>
      <w:r w:rsidRPr="00813D19">
        <w:rPr>
          <w:b/>
          <w:lang w:val="en-US"/>
        </w:rPr>
        <w:t>Vice-Chairperson</w:t>
      </w:r>
      <w:r w:rsidRPr="00813D19">
        <w:rPr>
          <w:lang w:val="en-US"/>
        </w:rPr>
        <w:t xml:space="preserve"> opened the floor for </w:t>
      </w:r>
      <w:r w:rsidR="00634D0B">
        <w:rPr>
          <w:lang w:val="en-US"/>
        </w:rPr>
        <w:t>comments.</w:t>
      </w:r>
    </w:p>
    <w:p w14:paraId="56B5AD98" w14:textId="13557FEC" w:rsidR="001A0946" w:rsidRPr="00813D19" w:rsidRDefault="00403AD6"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216CB3" w:rsidRPr="00813D19">
        <w:rPr>
          <w:b/>
          <w:color w:val="000000" w:themeColor="text1"/>
          <w:lang w:val="en-US"/>
        </w:rPr>
        <w:t xml:space="preserve"> </w:t>
      </w:r>
      <w:r w:rsidR="001A0946" w:rsidRPr="00813D19">
        <w:rPr>
          <w:color w:val="000000" w:themeColor="text1"/>
          <w:lang w:val="en-US"/>
        </w:rPr>
        <w:t xml:space="preserve">noted that </w:t>
      </w:r>
      <w:r w:rsidR="001A0946" w:rsidRPr="00813D19">
        <w:rPr>
          <w:bCs/>
          <w:lang w:val="en-US"/>
        </w:rPr>
        <w:t>this issue had</w:t>
      </w:r>
      <w:r w:rsidR="00216CB3" w:rsidRPr="00813D19">
        <w:rPr>
          <w:bCs/>
          <w:lang w:val="en-US"/>
        </w:rPr>
        <w:t xml:space="preserve"> been debated for the last two years</w:t>
      </w:r>
      <w:r w:rsidR="001A0946" w:rsidRPr="00813D19">
        <w:rPr>
          <w:bCs/>
          <w:lang w:val="en-US"/>
        </w:rPr>
        <w:t xml:space="preserve">, and it </w:t>
      </w:r>
      <w:r w:rsidR="00216CB3" w:rsidRPr="00813D19">
        <w:rPr>
          <w:bCs/>
          <w:lang w:val="en-US"/>
        </w:rPr>
        <w:t>thank</w:t>
      </w:r>
      <w:r w:rsidR="001A0946" w:rsidRPr="00813D19">
        <w:rPr>
          <w:bCs/>
          <w:lang w:val="en-US"/>
        </w:rPr>
        <w:t>ed</w:t>
      </w:r>
      <w:r w:rsidR="00216CB3" w:rsidRPr="00813D19">
        <w:rPr>
          <w:bCs/>
          <w:lang w:val="en-US"/>
        </w:rPr>
        <w:t xml:space="preserve"> the Secretariat for its introduction to this important issue. </w:t>
      </w:r>
      <w:r w:rsidR="001A0946" w:rsidRPr="00813D19">
        <w:rPr>
          <w:bCs/>
          <w:lang w:val="en-US"/>
        </w:rPr>
        <w:t xml:space="preserve">It was also noted that </w:t>
      </w:r>
      <w:r w:rsidR="00216CB3" w:rsidRPr="00813D19">
        <w:rPr>
          <w:bCs/>
          <w:lang w:val="en-US"/>
        </w:rPr>
        <w:t xml:space="preserve">there </w:t>
      </w:r>
      <w:r w:rsidR="001A0946" w:rsidRPr="00813D19">
        <w:rPr>
          <w:bCs/>
          <w:lang w:val="en-US"/>
        </w:rPr>
        <w:t xml:space="preserve">was </w:t>
      </w:r>
      <w:r w:rsidR="00216CB3" w:rsidRPr="00813D19">
        <w:rPr>
          <w:bCs/>
          <w:lang w:val="en-US"/>
        </w:rPr>
        <w:t>an increasing interest in intangible cultural heritage</w:t>
      </w:r>
      <w:r w:rsidR="001A0946" w:rsidRPr="00813D19">
        <w:rPr>
          <w:bCs/>
          <w:lang w:val="en-US"/>
        </w:rPr>
        <w:t>,</w:t>
      </w:r>
      <w:r w:rsidR="00216CB3" w:rsidRPr="00813D19">
        <w:rPr>
          <w:bCs/>
          <w:lang w:val="en-US"/>
        </w:rPr>
        <w:t xml:space="preserve"> particularly heritage that </w:t>
      </w:r>
      <w:r w:rsidR="00D26255">
        <w:rPr>
          <w:bCs/>
          <w:lang w:val="en-US"/>
        </w:rPr>
        <w:t>was</w:t>
      </w:r>
      <w:r w:rsidR="00D26255" w:rsidRPr="00813D19">
        <w:rPr>
          <w:bCs/>
          <w:lang w:val="en-US"/>
        </w:rPr>
        <w:t xml:space="preserve"> </w:t>
      </w:r>
      <w:r w:rsidR="00216CB3" w:rsidRPr="00813D19">
        <w:rPr>
          <w:bCs/>
          <w:lang w:val="en-US"/>
        </w:rPr>
        <w:t xml:space="preserve">threatened or at risk. This category of heritage </w:t>
      </w:r>
      <w:r w:rsidR="00D26255" w:rsidRPr="00813D19">
        <w:rPr>
          <w:bCs/>
          <w:lang w:val="en-US"/>
        </w:rPr>
        <w:t>c</w:t>
      </w:r>
      <w:r w:rsidR="00D26255">
        <w:rPr>
          <w:bCs/>
          <w:lang w:val="en-US"/>
        </w:rPr>
        <w:t>ould</w:t>
      </w:r>
      <w:r w:rsidR="00D26255" w:rsidRPr="00813D19">
        <w:rPr>
          <w:bCs/>
          <w:lang w:val="en-US"/>
        </w:rPr>
        <w:t xml:space="preserve"> </w:t>
      </w:r>
      <w:r w:rsidR="001A0946" w:rsidRPr="00813D19">
        <w:rPr>
          <w:bCs/>
          <w:lang w:val="en-US"/>
        </w:rPr>
        <w:t>be depicted in different ways:</w:t>
      </w:r>
      <w:r w:rsidR="00216CB3" w:rsidRPr="00813D19">
        <w:rPr>
          <w:bCs/>
          <w:lang w:val="en-US"/>
        </w:rPr>
        <w:t xml:space="preserve"> </w:t>
      </w:r>
      <w:r w:rsidR="001A0946" w:rsidRPr="00813D19">
        <w:rPr>
          <w:bCs/>
          <w:lang w:val="en-US"/>
        </w:rPr>
        <w:t xml:space="preserve">those associated with </w:t>
      </w:r>
      <w:r w:rsidR="00216CB3" w:rsidRPr="00813D19">
        <w:rPr>
          <w:bCs/>
          <w:lang w:val="en-US"/>
        </w:rPr>
        <w:t xml:space="preserve">natural calamities or </w:t>
      </w:r>
      <w:r w:rsidR="001A0946" w:rsidRPr="00813D19">
        <w:rPr>
          <w:bCs/>
          <w:lang w:val="en-US"/>
        </w:rPr>
        <w:t>disasters due to climate change, and</w:t>
      </w:r>
      <w:r w:rsidR="00216CB3" w:rsidRPr="00813D19">
        <w:rPr>
          <w:bCs/>
          <w:lang w:val="en-US"/>
        </w:rPr>
        <w:t xml:space="preserve"> other risks </w:t>
      </w:r>
      <w:r w:rsidR="008E4052" w:rsidRPr="00813D19">
        <w:rPr>
          <w:bCs/>
          <w:lang w:val="en-US"/>
        </w:rPr>
        <w:t xml:space="preserve">associated </w:t>
      </w:r>
      <w:r w:rsidR="001A0946" w:rsidRPr="00813D19">
        <w:rPr>
          <w:bCs/>
          <w:lang w:val="en-US"/>
        </w:rPr>
        <w:t>with armed conflict</w:t>
      </w:r>
      <w:r w:rsidR="00216CB3" w:rsidRPr="00813D19">
        <w:rPr>
          <w:bCs/>
          <w:lang w:val="en-US"/>
        </w:rPr>
        <w:t xml:space="preserve">, which </w:t>
      </w:r>
      <w:r w:rsidR="001A0946" w:rsidRPr="00813D19">
        <w:rPr>
          <w:bCs/>
          <w:lang w:val="en-US"/>
        </w:rPr>
        <w:t>currently prevail</w:t>
      </w:r>
      <w:r w:rsidR="00D26255">
        <w:rPr>
          <w:bCs/>
          <w:lang w:val="en-US"/>
        </w:rPr>
        <w:t>ed</w:t>
      </w:r>
      <w:r w:rsidR="001A0946" w:rsidRPr="00813D19">
        <w:rPr>
          <w:bCs/>
          <w:lang w:val="en-US"/>
        </w:rPr>
        <w:t xml:space="preserve"> in the Arab region. The delegation believed that the action taken by the Secretariat was going in the right direction, and it appreciate</w:t>
      </w:r>
      <w:r w:rsidR="008E4052" w:rsidRPr="00813D19">
        <w:rPr>
          <w:bCs/>
          <w:lang w:val="en-US"/>
        </w:rPr>
        <w:t>d</w:t>
      </w:r>
      <w:r w:rsidR="001A0946" w:rsidRPr="00813D19">
        <w:rPr>
          <w:bCs/>
          <w:lang w:val="en-US"/>
        </w:rPr>
        <w:t xml:space="preserve"> </w:t>
      </w:r>
      <w:r w:rsidR="008E4052" w:rsidRPr="00813D19">
        <w:rPr>
          <w:bCs/>
          <w:lang w:val="en-US"/>
        </w:rPr>
        <w:t>the</w:t>
      </w:r>
      <w:r w:rsidR="001A0946" w:rsidRPr="00813D19">
        <w:rPr>
          <w:bCs/>
          <w:lang w:val="en-US"/>
        </w:rPr>
        <w:t xml:space="preserve"> work and hoped that concrete results, not necessarily guidelines, but operational modalities</w:t>
      </w:r>
      <w:r w:rsidR="00D26255">
        <w:rPr>
          <w:bCs/>
          <w:lang w:val="en-US"/>
        </w:rPr>
        <w:t>,</w:t>
      </w:r>
      <w:r w:rsidR="001A0946" w:rsidRPr="00813D19">
        <w:rPr>
          <w:bCs/>
          <w:lang w:val="en-US"/>
        </w:rPr>
        <w:t xml:space="preserve"> could be adopted soon to help States Parties and other parties </w:t>
      </w:r>
      <w:r w:rsidR="00D26255">
        <w:rPr>
          <w:bCs/>
          <w:lang w:val="en-US"/>
        </w:rPr>
        <w:t xml:space="preserve">concerned </w:t>
      </w:r>
      <w:r w:rsidR="001A0946" w:rsidRPr="00813D19">
        <w:rPr>
          <w:bCs/>
          <w:lang w:val="en-US"/>
        </w:rPr>
        <w:t xml:space="preserve">better manage the protection of </w:t>
      </w:r>
      <w:r w:rsidR="00D26255">
        <w:rPr>
          <w:bCs/>
          <w:lang w:val="en-US"/>
        </w:rPr>
        <w:t>their</w:t>
      </w:r>
      <w:r w:rsidR="00D26255" w:rsidRPr="00813D19">
        <w:rPr>
          <w:bCs/>
          <w:lang w:val="en-US"/>
        </w:rPr>
        <w:t xml:space="preserve"> </w:t>
      </w:r>
      <w:r w:rsidR="001A0946" w:rsidRPr="00813D19">
        <w:rPr>
          <w:bCs/>
          <w:lang w:val="en-US"/>
        </w:rPr>
        <w:t>intangible cultural heritage in emergency situations. For this reason, the delegation had tabled a few amendments, which accentuate</w:t>
      </w:r>
      <w:r w:rsidR="00D26255">
        <w:rPr>
          <w:bCs/>
          <w:lang w:val="en-US"/>
        </w:rPr>
        <w:t>d</w:t>
      </w:r>
      <w:r w:rsidR="001A0946" w:rsidRPr="00813D19">
        <w:rPr>
          <w:bCs/>
          <w:lang w:val="en-US"/>
        </w:rPr>
        <w:t xml:space="preserve"> both the importance of this safeguarding action and its urgency in emergency situations.</w:t>
      </w:r>
    </w:p>
    <w:p w14:paraId="4234260C" w14:textId="18D55EDA" w:rsidR="00403AD6" w:rsidRPr="00813D19" w:rsidRDefault="00FF1C2A"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Japan</w:t>
      </w:r>
      <w:r w:rsidR="00216CB3" w:rsidRPr="00813D19">
        <w:rPr>
          <w:b/>
          <w:color w:val="000000" w:themeColor="text1"/>
          <w:lang w:val="en-US"/>
        </w:rPr>
        <w:t xml:space="preserve"> </w:t>
      </w:r>
      <w:r w:rsidR="001A0946" w:rsidRPr="00813D19">
        <w:rPr>
          <w:color w:val="000000" w:themeColor="text1"/>
          <w:lang w:val="en-US"/>
        </w:rPr>
        <w:t>wished to</w:t>
      </w:r>
      <w:r w:rsidR="001A0946" w:rsidRPr="00813D19">
        <w:rPr>
          <w:b/>
          <w:color w:val="000000" w:themeColor="text1"/>
          <w:lang w:val="en-US"/>
        </w:rPr>
        <w:t xml:space="preserve"> </w:t>
      </w:r>
      <w:r w:rsidR="001A0946" w:rsidRPr="00813D19">
        <w:rPr>
          <w:bCs/>
          <w:lang w:val="en-US"/>
        </w:rPr>
        <w:t xml:space="preserve">briefly </w:t>
      </w:r>
      <w:r w:rsidR="00216CB3" w:rsidRPr="00813D19">
        <w:rPr>
          <w:bCs/>
          <w:lang w:val="en-US"/>
        </w:rPr>
        <w:t xml:space="preserve">introduce </w:t>
      </w:r>
      <w:r w:rsidR="001A0946" w:rsidRPr="00813D19">
        <w:rPr>
          <w:bCs/>
          <w:lang w:val="en-US"/>
        </w:rPr>
        <w:t xml:space="preserve">its own </w:t>
      </w:r>
      <w:r w:rsidR="00216CB3" w:rsidRPr="00813D19">
        <w:rPr>
          <w:bCs/>
          <w:lang w:val="en-US"/>
        </w:rPr>
        <w:t xml:space="preserve">experience and ongoing projects concerning </w:t>
      </w:r>
      <w:r w:rsidR="001A0946" w:rsidRPr="00813D19">
        <w:rPr>
          <w:bCs/>
          <w:lang w:val="en-US"/>
        </w:rPr>
        <w:t xml:space="preserve">intangible cultural heritage in </w:t>
      </w:r>
      <w:r w:rsidR="00216CB3" w:rsidRPr="00813D19">
        <w:rPr>
          <w:bCs/>
          <w:lang w:val="en-US"/>
        </w:rPr>
        <w:t>emergencies</w:t>
      </w:r>
      <w:r w:rsidR="001A0946" w:rsidRPr="00813D19">
        <w:rPr>
          <w:bCs/>
          <w:lang w:val="en-US"/>
        </w:rPr>
        <w:t>,</w:t>
      </w:r>
      <w:r w:rsidR="00216CB3" w:rsidRPr="00813D19">
        <w:rPr>
          <w:bCs/>
          <w:lang w:val="en-US"/>
        </w:rPr>
        <w:t xml:space="preserve"> </w:t>
      </w:r>
      <w:r w:rsidR="001A0946" w:rsidRPr="00813D19">
        <w:rPr>
          <w:bCs/>
          <w:lang w:val="en-US"/>
        </w:rPr>
        <w:t xml:space="preserve">as </w:t>
      </w:r>
      <w:r w:rsidR="00216CB3" w:rsidRPr="00813D19">
        <w:rPr>
          <w:bCs/>
          <w:lang w:val="en-US"/>
        </w:rPr>
        <w:t xml:space="preserve">Japan </w:t>
      </w:r>
      <w:r w:rsidR="001A0946" w:rsidRPr="00813D19">
        <w:rPr>
          <w:bCs/>
          <w:lang w:val="en-US"/>
        </w:rPr>
        <w:t>had suffered through many</w:t>
      </w:r>
      <w:r w:rsidR="00216CB3" w:rsidRPr="00813D19">
        <w:rPr>
          <w:bCs/>
          <w:lang w:val="en-US"/>
        </w:rPr>
        <w:t xml:space="preserve"> disasters. </w:t>
      </w:r>
      <w:r w:rsidR="001A0946" w:rsidRPr="00813D19">
        <w:rPr>
          <w:bCs/>
          <w:lang w:val="en-US"/>
        </w:rPr>
        <w:t xml:space="preserve">It began by </w:t>
      </w:r>
      <w:r w:rsidR="00216CB3" w:rsidRPr="00813D19">
        <w:rPr>
          <w:bCs/>
          <w:lang w:val="en-US"/>
        </w:rPr>
        <w:t>thank</w:t>
      </w:r>
      <w:r w:rsidR="001A0946" w:rsidRPr="00813D19">
        <w:rPr>
          <w:bCs/>
          <w:lang w:val="en-US"/>
        </w:rPr>
        <w:t>ing</w:t>
      </w:r>
      <w:r w:rsidR="00216CB3" w:rsidRPr="00813D19">
        <w:rPr>
          <w:bCs/>
          <w:lang w:val="en-US"/>
        </w:rPr>
        <w:t xml:space="preserve"> the Secretariat for i</w:t>
      </w:r>
      <w:r w:rsidR="001A0946" w:rsidRPr="00813D19">
        <w:rPr>
          <w:bCs/>
          <w:lang w:val="en-US"/>
        </w:rPr>
        <w:t>ts work on this important issue, adding that n</w:t>
      </w:r>
      <w:r w:rsidR="00216CB3" w:rsidRPr="00813D19">
        <w:rPr>
          <w:bCs/>
          <w:lang w:val="en-US"/>
        </w:rPr>
        <w:t>atural disasters</w:t>
      </w:r>
      <w:r w:rsidR="001A0946" w:rsidRPr="00813D19">
        <w:rPr>
          <w:bCs/>
          <w:lang w:val="en-US"/>
        </w:rPr>
        <w:t>,</w:t>
      </w:r>
      <w:r w:rsidR="00216CB3" w:rsidRPr="00813D19">
        <w:rPr>
          <w:bCs/>
          <w:lang w:val="en-US"/>
        </w:rPr>
        <w:t xml:space="preserve"> such as earthquakes, tsunamis and typhoons</w:t>
      </w:r>
      <w:r w:rsidR="001A0946" w:rsidRPr="00813D19">
        <w:rPr>
          <w:bCs/>
          <w:lang w:val="en-US"/>
        </w:rPr>
        <w:t>,</w:t>
      </w:r>
      <w:r w:rsidR="00216CB3" w:rsidRPr="00813D19">
        <w:rPr>
          <w:bCs/>
          <w:lang w:val="en-US"/>
        </w:rPr>
        <w:t xml:space="preserve"> have serious impact</w:t>
      </w:r>
      <w:r w:rsidR="001A0946" w:rsidRPr="00813D19">
        <w:rPr>
          <w:bCs/>
          <w:lang w:val="en-US"/>
        </w:rPr>
        <w:t>s</w:t>
      </w:r>
      <w:r w:rsidR="00216CB3" w:rsidRPr="00813D19">
        <w:rPr>
          <w:bCs/>
          <w:lang w:val="en-US"/>
        </w:rPr>
        <w:t xml:space="preserve"> on the transmission of </w:t>
      </w:r>
      <w:r w:rsidR="001A0946" w:rsidRPr="00813D19">
        <w:rPr>
          <w:bCs/>
          <w:lang w:val="en-US"/>
        </w:rPr>
        <w:t>intangible cultural heritage</w:t>
      </w:r>
      <w:r w:rsidR="00216CB3" w:rsidRPr="00813D19">
        <w:rPr>
          <w:bCs/>
          <w:lang w:val="en-US"/>
        </w:rPr>
        <w:t xml:space="preserve">. </w:t>
      </w:r>
      <w:r w:rsidR="001A0946" w:rsidRPr="00813D19">
        <w:rPr>
          <w:bCs/>
          <w:lang w:val="en-US"/>
        </w:rPr>
        <w:t xml:space="preserve">However, through these experiences it had </w:t>
      </w:r>
      <w:r w:rsidR="00216CB3" w:rsidRPr="00813D19">
        <w:rPr>
          <w:bCs/>
          <w:lang w:val="en-US"/>
        </w:rPr>
        <w:t xml:space="preserve">learned </w:t>
      </w:r>
      <w:r w:rsidR="001A0946" w:rsidRPr="00813D19">
        <w:rPr>
          <w:bCs/>
          <w:lang w:val="en-US"/>
        </w:rPr>
        <w:t xml:space="preserve">that intangible cultural heritage </w:t>
      </w:r>
      <w:r w:rsidR="00216CB3" w:rsidRPr="00813D19">
        <w:rPr>
          <w:bCs/>
          <w:lang w:val="en-US"/>
        </w:rPr>
        <w:t xml:space="preserve">is a spiritual pillar for communities </w:t>
      </w:r>
      <w:r w:rsidR="001A0946" w:rsidRPr="00813D19">
        <w:rPr>
          <w:bCs/>
          <w:lang w:val="en-US"/>
        </w:rPr>
        <w:t>during these hardships, playing</w:t>
      </w:r>
      <w:r w:rsidR="00216CB3" w:rsidRPr="00813D19">
        <w:rPr>
          <w:bCs/>
          <w:lang w:val="en-US"/>
        </w:rPr>
        <w:t xml:space="preserve"> a major role </w:t>
      </w:r>
      <w:r w:rsidR="001A0946" w:rsidRPr="00813D19">
        <w:rPr>
          <w:bCs/>
          <w:lang w:val="en-US"/>
        </w:rPr>
        <w:t xml:space="preserve">in </w:t>
      </w:r>
      <w:r w:rsidR="00216CB3" w:rsidRPr="00813D19">
        <w:rPr>
          <w:bCs/>
          <w:lang w:val="en-US"/>
        </w:rPr>
        <w:t xml:space="preserve">establishing ties among community members. </w:t>
      </w:r>
      <w:r w:rsidR="001A0946" w:rsidRPr="00813D19">
        <w:rPr>
          <w:bCs/>
          <w:lang w:val="en-US"/>
        </w:rPr>
        <w:t xml:space="preserve">Following the </w:t>
      </w:r>
      <w:r w:rsidR="00216CB3" w:rsidRPr="00813D19">
        <w:rPr>
          <w:bCs/>
          <w:lang w:val="en-US"/>
        </w:rPr>
        <w:t>great earthquake in eastern Japan in 2011</w:t>
      </w:r>
      <w:r w:rsidR="001A0946" w:rsidRPr="00813D19">
        <w:rPr>
          <w:bCs/>
          <w:lang w:val="en-US"/>
        </w:rPr>
        <w:t xml:space="preserve">, Japan </w:t>
      </w:r>
      <w:r w:rsidR="004E04E5" w:rsidRPr="00813D19">
        <w:rPr>
          <w:bCs/>
          <w:lang w:val="en-US"/>
        </w:rPr>
        <w:t xml:space="preserve">had </w:t>
      </w:r>
      <w:r w:rsidR="00216CB3" w:rsidRPr="00813D19">
        <w:rPr>
          <w:bCs/>
          <w:lang w:val="en-US"/>
        </w:rPr>
        <w:t xml:space="preserve">compiled knowledge of what </w:t>
      </w:r>
      <w:r w:rsidR="004E04E5" w:rsidRPr="00813D19">
        <w:rPr>
          <w:bCs/>
          <w:lang w:val="en-US"/>
        </w:rPr>
        <w:t xml:space="preserve">was </w:t>
      </w:r>
      <w:r w:rsidR="00216CB3" w:rsidRPr="00813D19">
        <w:rPr>
          <w:bCs/>
          <w:lang w:val="en-US"/>
        </w:rPr>
        <w:t xml:space="preserve">needed to safeguard </w:t>
      </w:r>
      <w:r w:rsidR="004E04E5" w:rsidRPr="00813D19">
        <w:rPr>
          <w:bCs/>
          <w:lang w:val="en-US"/>
        </w:rPr>
        <w:t xml:space="preserve">intangible cultural heritage </w:t>
      </w:r>
      <w:r w:rsidR="00216CB3" w:rsidRPr="00813D19">
        <w:rPr>
          <w:bCs/>
          <w:lang w:val="en-US"/>
        </w:rPr>
        <w:t>immediately after the disaster and several years after</w:t>
      </w:r>
      <w:r w:rsidR="004E04E5" w:rsidRPr="00813D19">
        <w:rPr>
          <w:bCs/>
          <w:lang w:val="en-US"/>
        </w:rPr>
        <w:t>wards</w:t>
      </w:r>
      <w:r w:rsidR="00216CB3" w:rsidRPr="00813D19">
        <w:rPr>
          <w:bCs/>
          <w:lang w:val="en-US"/>
        </w:rPr>
        <w:t>. The Tokyo National Research Institute</w:t>
      </w:r>
      <w:r w:rsidR="004E04E5" w:rsidRPr="00813D19">
        <w:rPr>
          <w:bCs/>
          <w:lang w:val="en-US"/>
        </w:rPr>
        <w:t xml:space="preserve"> for Cultural Properties carried</w:t>
      </w:r>
      <w:r w:rsidR="00216CB3" w:rsidRPr="00813D19">
        <w:rPr>
          <w:bCs/>
          <w:lang w:val="en-US"/>
        </w:rPr>
        <w:t xml:space="preserve"> </w:t>
      </w:r>
      <w:r w:rsidR="004E04E5" w:rsidRPr="00813D19">
        <w:rPr>
          <w:bCs/>
          <w:lang w:val="en-US"/>
        </w:rPr>
        <w:t xml:space="preserve">out </w:t>
      </w:r>
      <w:r w:rsidR="00216CB3" w:rsidRPr="00813D19">
        <w:rPr>
          <w:bCs/>
          <w:lang w:val="en-US"/>
        </w:rPr>
        <w:t>the long-term monitoring project in the affected areas. It also constructed a network of local government official</w:t>
      </w:r>
      <w:r w:rsidR="004E04E5" w:rsidRPr="00813D19">
        <w:rPr>
          <w:bCs/>
          <w:lang w:val="en-US"/>
        </w:rPr>
        <w:t>s</w:t>
      </w:r>
      <w:r w:rsidR="00216CB3" w:rsidRPr="00813D19">
        <w:rPr>
          <w:bCs/>
          <w:lang w:val="en-US"/>
        </w:rPr>
        <w:t xml:space="preserve"> who work to safeguard </w:t>
      </w:r>
      <w:r w:rsidR="004E04E5" w:rsidRPr="00813D19">
        <w:rPr>
          <w:bCs/>
          <w:lang w:val="en-US"/>
        </w:rPr>
        <w:t>intangible cultural heritage</w:t>
      </w:r>
      <w:r w:rsidR="00413240" w:rsidRPr="00813D19">
        <w:rPr>
          <w:bCs/>
          <w:lang w:val="en-US"/>
        </w:rPr>
        <w:t>.</w:t>
      </w:r>
      <w:r w:rsidR="004E04E5" w:rsidRPr="00813D19">
        <w:rPr>
          <w:bCs/>
          <w:lang w:val="en-US"/>
        </w:rPr>
        <w:t xml:space="preserve"> </w:t>
      </w:r>
      <w:r w:rsidR="00413240" w:rsidRPr="00813D19">
        <w:rPr>
          <w:bCs/>
          <w:lang w:val="en-US"/>
        </w:rPr>
        <w:t>T</w:t>
      </w:r>
      <w:r w:rsidR="004B0FEF" w:rsidRPr="00813D19">
        <w:rPr>
          <w:bCs/>
          <w:lang w:val="en-US"/>
        </w:rPr>
        <w:t>he International Research Cent</w:t>
      </w:r>
      <w:r w:rsidR="00216CB3" w:rsidRPr="00813D19">
        <w:rPr>
          <w:bCs/>
          <w:lang w:val="en-US"/>
        </w:rPr>
        <w:t>r</w:t>
      </w:r>
      <w:r w:rsidR="004B0FEF" w:rsidRPr="00813D19">
        <w:rPr>
          <w:bCs/>
          <w:lang w:val="en-US"/>
        </w:rPr>
        <w:t>e</w:t>
      </w:r>
      <w:r w:rsidR="00216CB3" w:rsidRPr="00813D19">
        <w:rPr>
          <w:bCs/>
          <w:lang w:val="en-US"/>
        </w:rPr>
        <w:t xml:space="preserve"> for Intangible Cultural Heritage in the Asia</w:t>
      </w:r>
      <w:r w:rsidR="00A84307">
        <w:rPr>
          <w:bCs/>
          <w:lang w:val="en-US"/>
        </w:rPr>
        <w:t>-</w:t>
      </w:r>
      <w:r w:rsidR="00216CB3" w:rsidRPr="00813D19">
        <w:rPr>
          <w:bCs/>
          <w:lang w:val="en-US"/>
        </w:rPr>
        <w:t>Paci</w:t>
      </w:r>
      <w:r w:rsidR="004E04E5" w:rsidRPr="00813D19">
        <w:rPr>
          <w:bCs/>
          <w:lang w:val="en-US"/>
        </w:rPr>
        <w:t>fic region</w:t>
      </w:r>
      <w:r w:rsidR="004B0FEF" w:rsidRPr="00813D19">
        <w:rPr>
          <w:bCs/>
          <w:lang w:val="en-US"/>
        </w:rPr>
        <w:t xml:space="preserve"> (IRCI)</w:t>
      </w:r>
      <w:r w:rsidR="004E04E5" w:rsidRPr="00813D19">
        <w:rPr>
          <w:bCs/>
          <w:lang w:val="en-US"/>
        </w:rPr>
        <w:t xml:space="preserve">, </w:t>
      </w:r>
      <w:r w:rsidR="004B0FEF" w:rsidRPr="00813D19">
        <w:rPr>
          <w:bCs/>
          <w:lang w:val="en-US"/>
        </w:rPr>
        <w:t>the</w:t>
      </w:r>
      <w:r w:rsidR="004E04E5" w:rsidRPr="00813D19">
        <w:rPr>
          <w:bCs/>
          <w:lang w:val="en-US"/>
        </w:rPr>
        <w:t xml:space="preserve"> category 2 cent</w:t>
      </w:r>
      <w:r w:rsidR="00216CB3" w:rsidRPr="00813D19">
        <w:rPr>
          <w:bCs/>
          <w:lang w:val="en-US"/>
        </w:rPr>
        <w:t>r</w:t>
      </w:r>
      <w:r w:rsidR="004E04E5" w:rsidRPr="00813D19">
        <w:rPr>
          <w:bCs/>
          <w:lang w:val="en-US"/>
        </w:rPr>
        <w:t>e</w:t>
      </w:r>
      <w:r w:rsidR="00216CB3" w:rsidRPr="00813D19">
        <w:rPr>
          <w:bCs/>
          <w:lang w:val="en-US"/>
        </w:rPr>
        <w:t xml:space="preserve"> in Japan</w:t>
      </w:r>
      <w:r w:rsidR="004B0FEF" w:rsidRPr="00813D19">
        <w:rPr>
          <w:bCs/>
          <w:lang w:val="en-US"/>
        </w:rPr>
        <w:t>,</w:t>
      </w:r>
      <w:r w:rsidR="00216CB3" w:rsidRPr="00813D19">
        <w:rPr>
          <w:bCs/>
          <w:lang w:val="en-US"/>
        </w:rPr>
        <w:t xml:space="preserve"> ha</w:t>
      </w:r>
      <w:r w:rsidR="004E04E5" w:rsidRPr="00813D19">
        <w:rPr>
          <w:bCs/>
          <w:lang w:val="en-US"/>
        </w:rPr>
        <w:t xml:space="preserve">d </w:t>
      </w:r>
      <w:r w:rsidR="00413240" w:rsidRPr="00813D19">
        <w:rPr>
          <w:bCs/>
          <w:lang w:val="en-US"/>
        </w:rPr>
        <w:t xml:space="preserve">also </w:t>
      </w:r>
      <w:r w:rsidR="004E04E5" w:rsidRPr="00813D19">
        <w:rPr>
          <w:bCs/>
          <w:lang w:val="en-US"/>
        </w:rPr>
        <w:t>been engaged</w:t>
      </w:r>
      <w:r w:rsidR="00216CB3" w:rsidRPr="00813D19">
        <w:rPr>
          <w:bCs/>
          <w:lang w:val="en-US"/>
        </w:rPr>
        <w:t xml:space="preserve"> in projects on the theme of </w:t>
      </w:r>
      <w:r w:rsidR="004E04E5" w:rsidRPr="00813D19">
        <w:rPr>
          <w:bCs/>
          <w:lang w:val="en-US"/>
        </w:rPr>
        <w:t xml:space="preserve">intangible cultural heritage </w:t>
      </w:r>
      <w:r w:rsidR="00216CB3" w:rsidRPr="00813D19">
        <w:rPr>
          <w:bCs/>
          <w:lang w:val="en-US"/>
        </w:rPr>
        <w:t xml:space="preserve">safeguarding in natural disaster risk management and also on emergency protection of </w:t>
      </w:r>
      <w:r w:rsidR="004E04E5" w:rsidRPr="00813D19">
        <w:rPr>
          <w:bCs/>
          <w:lang w:val="en-US"/>
        </w:rPr>
        <w:t xml:space="preserve">intangible cultural heritage </w:t>
      </w:r>
      <w:r w:rsidR="00216CB3" w:rsidRPr="00813D19">
        <w:rPr>
          <w:bCs/>
          <w:lang w:val="en-US"/>
        </w:rPr>
        <w:t xml:space="preserve">in conflict-affected countries. These projects </w:t>
      </w:r>
      <w:r w:rsidR="00D26255">
        <w:rPr>
          <w:bCs/>
          <w:lang w:val="en-US"/>
        </w:rPr>
        <w:t>had been</w:t>
      </w:r>
      <w:r w:rsidR="00D26255" w:rsidRPr="00813D19">
        <w:rPr>
          <w:bCs/>
          <w:lang w:val="en-US"/>
        </w:rPr>
        <w:t xml:space="preserve"> </w:t>
      </w:r>
      <w:r w:rsidR="00216CB3" w:rsidRPr="00813D19">
        <w:rPr>
          <w:bCs/>
          <w:lang w:val="en-US"/>
        </w:rPr>
        <w:t xml:space="preserve">elaborated in response to </w:t>
      </w:r>
      <w:r w:rsidR="004E04E5" w:rsidRPr="00813D19">
        <w:rPr>
          <w:bCs/>
          <w:lang w:val="en-US"/>
        </w:rPr>
        <w:t xml:space="preserve">the </w:t>
      </w:r>
      <w:r w:rsidR="00216CB3" w:rsidRPr="00813D19">
        <w:rPr>
          <w:bCs/>
          <w:lang w:val="en-US"/>
        </w:rPr>
        <w:t xml:space="preserve">UNESCO midterm strategy. Japan </w:t>
      </w:r>
      <w:r w:rsidR="004B0FEF" w:rsidRPr="00813D19">
        <w:rPr>
          <w:bCs/>
          <w:lang w:val="en-US"/>
        </w:rPr>
        <w:t xml:space="preserve">wished to </w:t>
      </w:r>
      <w:r w:rsidR="00216CB3" w:rsidRPr="00813D19">
        <w:rPr>
          <w:bCs/>
          <w:lang w:val="en-US"/>
        </w:rPr>
        <w:t xml:space="preserve">share </w:t>
      </w:r>
      <w:r w:rsidR="004B0FEF" w:rsidRPr="00813D19">
        <w:rPr>
          <w:bCs/>
          <w:lang w:val="en-US"/>
        </w:rPr>
        <w:t xml:space="preserve">its </w:t>
      </w:r>
      <w:r w:rsidR="00216CB3" w:rsidRPr="00813D19">
        <w:rPr>
          <w:bCs/>
          <w:lang w:val="en-US"/>
        </w:rPr>
        <w:t xml:space="preserve">experience, know-how and </w:t>
      </w:r>
      <w:r w:rsidR="00D26255">
        <w:rPr>
          <w:bCs/>
          <w:lang w:val="en-US"/>
        </w:rPr>
        <w:t xml:space="preserve">the </w:t>
      </w:r>
      <w:r w:rsidR="00216CB3" w:rsidRPr="00813D19">
        <w:rPr>
          <w:bCs/>
          <w:lang w:val="en-US"/>
        </w:rPr>
        <w:t xml:space="preserve">results of such projects in the discussion on this theme </w:t>
      </w:r>
      <w:r w:rsidR="00413240" w:rsidRPr="00813D19">
        <w:rPr>
          <w:bCs/>
          <w:lang w:val="en-US"/>
        </w:rPr>
        <w:t>to</w:t>
      </w:r>
      <w:r w:rsidR="00216CB3" w:rsidRPr="00813D19">
        <w:rPr>
          <w:bCs/>
          <w:lang w:val="en-US"/>
        </w:rPr>
        <w:t xml:space="preserve"> contribute to supporting </w:t>
      </w:r>
      <w:r w:rsidR="00413240" w:rsidRPr="00813D19">
        <w:rPr>
          <w:bCs/>
          <w:lang w:val="en-US"/>
        </w:rPr>
        <w:t xml:space="preserve">the </w:t>
      </w:r>
      <w:r w:rsidR="00216CB3" w:rsidRPr="00813D19">
        <w:rPr>
          <w:bCs/>
          <w:lang w:val="en-US"/>
        </w:rPr>
        <w:t xml:space="preserve">recovery of </w:t>
      </w:r>
      <w:r w:rsidR="004B0FEF" w:rsidRPr="00813D19">
        <w:rPr>
          <w:bCs/>
          <w:lang w:val="en-US"/>
        </w:rPr>
        <w:t xml:space="preserve">intangible heritage </w:t>
      </w:r>
      <w:r w:rsidR="00413240" w:rsidRPr="00813D19">
        <w:rPr>
          <w:bCs/>
          <w:lang w:val="en-US"/>
        </w:rPr>
        <w:t xml:space="preserve">in </w:t>
      </w:r>
      <w:r w:rsidR="00D26255">
        <w:rPr>
          <w:bCs/>
          <w:lang w:val="en-US"/>
        </w:rPr>
        <w:t xml:space="preserve">the event </w:t>
      </w:r>
      <w:r w:rsidR="00413240" w:rsidRPr="00813D19">
        <w:rPr>
          <w:bCs/>
          <w:lang w:val="en-US"/>
        </w:rPr>
        <w:t xml:space="preserve">of such </w:t>
      </w:r>
      <w:r w:rsidR="00634D0B">
        <w:rPr>
          <w:bCs/>
          <w:lang w:val="en-US"/>
        </w:rPr>
        <w:t>disasters.</w:t>
      </w:r>
    </w:p>
    <w:p w14:paraId="79B79A7B" w14:textId="2E1F0062" w:rsidR="00C36C96" w:rsidRPr="00813D19" w:rsidRDefault="00C36C96"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Azerbaijan </w:t>
      </w:r>
      <w:r w:rsidR="00D420F5" w:rsidRPr="00813D19">
        <w:rPr>
          <w:bCs/>
          <w:lang w:val="en-US"/>
        </w:rPr>
        <w:t>welcomed</w:t>
      </w:r>
      <w:r w:rsidR="00216CB3" w:rsidRPr="00813D19">
        <w:rPr>
          <w:bCs/>
          <w:lang w:val="en-US"/>
        </w:rPr>
        <w:t xml:space="preserve"> the progress achieved by the Secretariat since the Committee’s last </w:t>
      </w:r>
      <w:r w:rsidR="00413240" w:rsidRPr="00813D19">
        <w:rPr>
          <w:bCs/>
          <w:lang w:val="en-US"/>
        </w:rPr>
        <w:t>session in gaining experience on</w:t>
      </w:r>
      <w:r w:rsidR="00216CB3" w:rsidRPr="00813D19">
        <w:rPr>
          <w:bCs/>
          <w:lang w:val="en-US"/>
        </w:rPr>
        <w:t xml:space="preserve"> the impact of emergency situations</w:t>
      </w:r>
      <w:r w:rsidR="00430C44" w:rsidRPr="00813D19">
        <w:rPr>
          <w:bCs/>
          <w:lang w:val="en-US"/>
        </w:rPr>
        <w:t>,</w:t>
      </w:r>
      <w:r w:rsidR="00216CB3" w:rsidRPr="00813D19">
        <w:rPr>
          <w:bCs/>
          <w:lang w:val="en-US"/>
        </w:rPr>
        <w:t xml:space="preserve"> including armed conflict and natural disasters. Intangible cultural heritage is indeed particular</w:t>
      </w:r>
      <w:r w:rsidR="00430C44" w:rsidRPr="00813D19">
        <w:rPr>
          <w:bCs/>
          <w:lang w:val="en-US"/>
        </w:rPr>
        <w:t>ly</w:t>
      </w:r>
      <w:r w:rsidR="00216CB3" w:rsidRPr="00813D19">
        <w:rPr>
          <w:bCs/>
          <w:lang w:val="en-US"/>
        </w:rPr>
        <w:t xml:space="preserve"> vulnerable when threatened by such situations</w:t>
      </w:r>
      <w:r w:rsidR="00430C44" w:rsidRPr="00813D19">
        <w:rPr>
          <w:bCs/>
          <w:lang w:val="en-US"/>
        </w:rPr>
        <w:t>,</w:t>
      </w:r>
      <w:r w:rsidR="00216CB3" w:rsidRPr="00813D19">
        <w:rPr>
          <w:bCs/>
          <w:lang w:val="en-US"/>
        </w:rPr>
        <w:t xml:space="preserve"> but </w:t>
      </w:r>
      <w:r w:rsidR="00430C44" w:rsidRPr="00813D19">
        <w:rPr>
          <w:bCs/>
          <w:lang w:val="en-US"/>
        </w:rPr>
        <w:t xml:space="preserve">it </w:t>
      </w:r>
      <w:r w:rsidR="00216CB3" w:rsidRPr="00813D19">
        <w:rPr>
          <w:bCs/>
          <w:lang w:val="en-US"/>
        </w:rPr>
        <w:t xml:space="preserve">can also serve as a powerful tool for </w:t>
      </w:r>
      <w:r w:rsidR="00430C44" w:rsidRPr="00813D19">
        <w:rPr>
          <w:bCs/>
          <w:lang w:val="en-US"/>
        </w:rPr>
        <w:t xml:space="preserve">the </w:t>
      </w:r>
      <w:r w:rsidR="00216CB3" w:rsidRPr="00813D19">
        <w:rPr>
          <w:bCs/>
          <w:lang w:val="en-US"/>
        </w:rPr>
        <w:t xml:space="preserve">recovery of communities. </w:t>
      </w:r>
      <w:r w:rsidR="00430C44" w:rsidRPr="00813D19">
        <w:rPr>
          <w:bCs/>
          <w:lang w:val="en-US"/>
        </w:rPr>
        <w:t xml:space="preserve">The delegation </w:t>
      </w:r>
      <w:r w:rsidR="00216CB3" w:rsidRPr="00813D19">
        <w:rPr>
          <w:bCs/>
          <w:lang w:val="en-US"/>
        </w:rPr>
        <w:t>support</w:t>
      </w:r>
      <w:r w:rsidR="00430C44" w:rsidRPr="00813D19">
        <w:rPr>
          <w:bCs/>
          <w:lang w:val="en-US"/>
        </w:rPr>
        <w:t>ed</w:t>
      </w:r>
      <w:r w:rsidR="00216CB3" w:rsidRPr="00813D19">
        <w:rPr>
          <w:bCs/>
          <w:lang w:val="en-US"/>
        </w:rPr>
        <w:t xml:space="preserve"> the idea that States need to ensure that communities</w:t>
      </w:r>
      <w:r w:rsidR="00430C44" w:rsidRPr="00813D19">
        <w:rPr>
          <w:bCs/>
          <w:lang w:val="en-US"/>
        </w:rPr>
        <w:t>,</w:t>
      </w:r>
      <w:r w:rsidR="00216CB3" w:rsidRPr="00813D19">
        <w:rPr>
          <w:bCs/>
          <w:lang w:val="en-US"/>
        </w:rPr>
        <w:t xml:space="preserve"> including internal displaced persons and refuge</w:t>
      </w:r>
      <w:r w:rsidR="00413240" w:rsidRPr="00813D19">
        <w:rPr>
          <w:bCs/>
          <w:lang w:val="en-US"/>
        </w:rPr>
        <w:t>e</w:t>
      </w:r>
      <w:r w:rsidR="00216CB3" w:rsidRPr="00813D19">
        <w:rPr>
          <w:bCs/>
          <w:lang w:val="en-US"/>
        </w:rPr>
        <w:t>s</w:t>
      </w:r>
      <w:r w:rsidR="00430C44" w:rsidRPr="00813D19">
        <w:rPr>
          <w:bCs/>
          <w:lang w:val="en-US"/>
        </w:rPr>
        <w:t>,</w:t>
      </w:r>
      <w:r w:rsidR="00216CB3" w:rsidRPr="00813D19">
        <w:rPr>
          <w:bCs/>
          <w:lang w:val="en-US"/>
        </w:rPr>
        <w:t xml:space="preserve"> should have access to the objects, artefacts, cultural and natural spaces and places of memory whose existence is necessary for expres</w:t>
      </w:r>
      <w:r w:rsidR="00430C44" w:rsidRPr="00813D19">
        <w:rPr>
          <w:bCs/>
          <w:lang w:val="en-US"/>
        </w:rPr>
        <w:t xml:space="preserve">sing their intangible heritage; a </w:t>
      </w:r>
      <w:r w:rsidR="00216CB3" w:rsidRPr="00813D19">
        <w:rPr>
          <w:bCs/>
          <w:lang w:val="en-US"/>
        </w:rPr>
        <w:t xml:space="preserve">position </w:t>
      </w:r>
      <w:r w:rsidR="00430C44" w:rsidRPr="00813D19">
        <w:rPr>
          <w:bCs/>
          <w:lang w:val="en-US"/>
        </w:rPr>
        <w:t xml:space="preserve">that was </w:t>
      </w:r>
      <w:r w:rsidR="00216CB3" w:rsidRPr="00813D19">
        <w:rPr>
          <w:bCs/>
          <w:lang w:val="en-US"/>
        </w:rPr>
        <w:t xml:space="preserve">clearly reflected in the draft decision. </w:t>
      </w:r>
      <w:r w:rsidR="00413240" w:rsidRPr="00813D19">
        <w:rPr>
          <w:bCs/>
          <w:lang w:val="en-US"/>
        </w:rPr>
        <w:t>It</w:t>
      </w:r>
      <w:r w:rsidR="00430C44" w:rsidRPr="00813D19">
        <w:rPr>
          <w:bCs/>
          <w:lang w:val="en-US"/>
        </w:rPr>
        <w:t xml:space="preserve"> welcomed</w:t>
      </w:r>
      <w:r w:rsidR="00216CB3" w:rsidRPr="00813D19">
        <w:rPr>
          <w:bCs/>
          <w:lang w:val="en-US"/>
        </w:rPr>
        <w:t xml:space="preserve"> the actions undertaken by the Secretariat in the Democratic Republic of Congo</w:t>
      </w:r>
      <w:r w:rsidR="00430C44" w:rsidRPr="00813D19">
        <w:rPr>
          <w:bCs/>
          <w:lang w:val="en-US"/>
        </w:rPr>
        <w:t>,</w:t>
      </w:r>
      <w:r w:rsidR="00216CB3" w:rsidRPr="00813D19">
        <w:rPr>
          <w:bCs/>
          <w:lang w:val="en-US"/>
        </w:rPr>
        <w:t xml:space="preserve"> as well as operational activities foreseen in Iraq</w:t>
      </w:r>
      <w:r w:rsidR="00430C44" w:rsidRPr="00813D19">
        <w:rPr>
          <w:bCs/>
          <w:lang w:val="en-US"/>
        </w:rPr>
        <w:t>,</w:t>
      </w:r>
      <w:r w:rsidR="00216CB3" w:rsidRPr="00813D19">
        <w:rPr>
          <w:bCs/>
          <w:lang w:val="en-US"/>
        </w:rPr>
        <w:t xml:space="preserve"> especially within the </w:t>
      </w:r>
      <w:r w:rsidR="00E5535F" w:rsidRPr="00813D19">
        <w:rPr>
          <w:bCs/>
          <w:lang w:val="en-US"/>
        </w:rPr>
        <w:t xml:space="preserve">framework of the initiative ‘Revive </w:t>
      </w:r>
      <w:r w:rsidR="00216CB3" w:rsidRPr="00813D19">
        <w:rPr>
          <w:bCs/>
          <w:lang w:val="en-US"/>
        </w:rPr>
        <w:t>the spirit of Mosul</w:t>
      </w:r>
      <w:r w:rsidR="00E5535F" w:rsidRPr="00813D19">
        <w:rPr>
          <w:bCs/>
          <w:lang w:val="en-US"/>
        </w:rPr>
        <w:t>’</w:t>
      </w:r>
      <w:r w:rsidR="00E5535F" w:rsidRPr="00813D19">
        <w:rPr>
          <w:rStyle w:val="FootnoteReference"/>
          <w:bCs/>
          <w:lang w:val="en-US"/>
        </w:rPr>
        <w:footnoteReference w:id="33"/>
      </w:r>
      <w:r w:rsidR="00216CB3" w:rsidRPr="00813D19">
        <w:rPr>
          <w:bCs/>
          <w:lang w:val="en-US"/>
        </w:rPr>
        <w:t xml:space="preserve">. </w:t>
      </w:r>
      <w:r w:rsidR="00430C44" w:rsidRPr="00813D19">
        <w:rPr>
          <w:bCs/>
          <w:lang w:val="en-US"/>
        </w:rPr>
        <w:t xml:space="preserve">It </w:t>
      </w:r>
      <w:r w:rsidR="00216CB3" w:rsidRPr="00813D19">
        <w:rPr>
          <w:bCs/>
          <w:lang w:val="en-US"/>
        </w:rPr>
        <w:t>also note</w:t>
      </w:r>
      <w:r w:rsidR="00430C44" w:rsidRPr="00813D19">
        <w:rPr>
          <w:bCs/>
          <w:lang w:val="en-US"/>
        </w:rPr>
        <w:t>d</w:t>
      </w:r>
      <w:r w:rsidR="00216CB3" w:rsidRPr="00813D19">
        <w:rPr>
          <w:bCs/>
          <w:lang w:val="en-US"/>
        </w:rPr>
        <w:t xml:space="preserve"> with great interest the work being done in the field of </w:t>
      </w:r>
      <w:r w:rsidR="00430C44" w:rsidRPr="00813D19">
        <w:rPr>
          <w:bCs/>
          <w:lang w:val="en-US"/>
        </w:rPr>
        <w:t xml:space="preserve">intangible cultural heritage </w:t>
      </w:r>
      <w:r w:rsidR="00216CB3" w:rsidRPr="00813D19">
        <w:rPr>
          <w:bCs/>
          <w:lang w:val="en-US"/>
        </w:rPr>
        <w:t>safeguarding in natural disasters</w:t>
      </w:r>
      <w:r w:rsidR="00430C44" w:rsidRPr="00813D19">
        <w:rPr>
          <w:bCs/>
          <w:lang w:val="en-US"/>
        </w:rPr>
        <w:t>,</w:t>
      </w:r>
      <w:r w:rsidR="00216CB3" w:rsidRPr="00813D19">
        <w:rPr>
          <w:bCs/>
          <w:lang w:val="en-US"/>
        </w:rPr>
        <w:t xml:space="preserve"> as well as inter-institutional cooperation opportunities. </w:t>
      </w:r>
      <w:r w:rsidR="00430C44" w:rsidRPr="00813D19">
        <w:rPr>
          <w:bCs/>
          <w:lang w:val="en-US"/>
        </w:rPr>
        <w:t xml:space="preserve">The delegation </w:t>
      </w:r>
      <w:r w:rsidR="00216CB3" w:rsidRPr="00813D19">
        <w:rPr>
          <w:bCs/>
          <w:lang w:val="en-US"/>
        </w:rPr>
        <w:t>believe</w:t>
      </w:r>
      <w:r w:rsidR="00430C44" w:rsidRPr="00813D19">
        <w:rPr>
          <w:bCs/>
          <w:lang w:val="en-US"/>
        </w:rPr>
        <w:t>d</w:t>
      </w:r>
      <w:r w:rsidR="00216CB3" w:rsidRPr="00813D19">
        <w:rPr>
          <w:bCs/>
          <w:lang w:val="en-US"/>
        </w:rPr>
        <w:t xml:space="preserve"> </w:t>
      </w:r>
      <w:r w:rsidR="00430C44" w:rsidRPr="00813D19">
        <w:rPr>
          <w:bCs/>
          <w:lang w:val="en-US"/>
        </w:rPr>
        <w:t xml:space="preserve">that it was </w:t>
      </w:r>
      <w:r w:rsidR="00216CB3" w:rsidRPr="00813D19">
        <w:rPr>
          <w:bCs/>
          <w:lang w:val="en-US"/>
        </w:rPr>
        <w:t>important</w:t>
      </w:r>
      <w:r w:rsidR="00D26255">
        <w:rPr>
          <w:bCs/>
          <w:lang w:val="en-US"/>
        </w:rPr>
        <w:t xml:space="preserve"> for</w:t>
      </w:r>
      <w:r w:rsidR="00216CB3" w:rsidRPr="00813D19">
        <w:rPr>
          <w:bCs/>
          <w:lang w:val="en-US"/>
        </w:rPr>
        <w:t xml:space="preserve"> these efforts </w:t>
      </w:r>
      <w:r w:rsidR="00D26255">
        <w:rPr>
          <w:bCs/>
          <w:lang w:val="en-US"/>
        </w:rPr>
        <w:t>to be</w:t>
      </w:r>
      <w:r w:rsidR="00D26255" w:rsidRPr="00813D19">
        <w:rPr>
          <w:bCs/>
          <w:lang w:val="en-US"/>
        </w:rPr>
        <w:t xml:space="preserve"> </w:t>
      </w:r>
      <w:r w:rsidR="00216CB3" w:rsidRPr="00813D19">
        <w:rPr>
          <w:bCs/>
          <w:lang w:val="en-US"/>
        </w:rPr>
        <w:t>in line with similar actions undertaken by the</w:t>
      </w:r>
      <w:r w:rsidR="00EE1BDB" w:rsidRPr="00813D19">
        <w:rPr>
          <w:bCs/>
          <w:lang w:val="en-US"/>
        </w:rPr>
        <w:t xml:space="preserve"> World Heritage Convention, and that </w:t>
      </w:r>
      <w:r w:rsidR="00216CB3" w:rsidRPr="00813D19">
        <w:rPr>
          <w:bCs/>
          <w:lang w:val="en-US"/>
        </w:rPr>
        <w:t xml:space="preserve">synergies </w:t>
      </w:r>
      <w:r w:rsidR="00EE1BDB" w:rsidRPr="00813D19">
        <w:rPr>
          <w:bCs/>
          <w:lang w:val="en-US"/>
        </w:rPr>
        <w:t xml:space="preserve">were </w:t>
      </w:r>
      <w:r w:rsidR="00216CB3" w:rsidRPr="00813D19">
        <w:rPr>
          <w:bCs/>
          <w:lang w:val="en-US"/>
        </w:rPr>
        <w:t xml:space="preserve">being explored in that </w:t>
      </w:r>
      <w:r w:rsidR="00EE1BDB" w:rsidRPr="00813D19">
        <w:rPr>
          <w:bCs/>
          <w:lang w:val="en-US"/>
        </w:rPr>
        <w:t>regard</w:t>
      </w:r>
      <w:r w:rsidR="00216CB3" w:rsidRPr="00813D19">
        <w:rPr>
          <w:bCs/>
          <w:lang w:val="en-US"/>
        </w:rPr>
        <w:t xml:space="preserve">. </w:t>
      </w:r>
      <w:r w:rsidR="00EE1BDB" w:rsidRPr="00813D19">
        <w:rPr>
          <w:bCs/>
          <w:lang w:val="en-US"/>
        </w:rPr>
        <w:t xml:space="preserve">It </w:t>
      </w:r>
      <w:r w:rsidR="00216CB3" w:rsidRPr="00813D19">
        <w:rPr>
          <w:bCs/>
          <w:lang w:val="en-US"/>
        </w:rPr>
        <w:t>welcome</w:t>
      </w:r>
      <w:r w:rsidR="00EE1BDB" w:rsidRPr="00813D19">
        <w:rPr>
          <w:bCs/>
          <w:lang w:val="en-US"/>
        </w:rPr>
        <w:t>d</w:t>
      </w:r>
      <w:r w:rsidR="00216CB3" w:rsidRPr="00813D19">
        <w:rPr>
          <w:bCs/>
          <w:lang w:val="en-US"/>
        </w:rPr>
        <w:t xml:space="preserve"> the study initiated by the Secretariat to map and </w:t>
      </w:r>
      <w:r w:rsidR="00D26255" w:rsidRPr="00813D19">
        <w:rPr>
          <w:bCs/>
          <w:lang w:val="en-US"/>
        </w:rPr>
        <w:t>analy</w:t>
      </w:r>
      <w:r w:rsidR="00D26255">
        <w:rPr>
          <w:bCs/>
          <w:lang w:val="en-US"/>
        </w:rPr>
        <w:t>z</w:t>
      </w:r>
      <w:r w:rsidR="00D26255" w:rsidRPr="00813D19">
        <w:rPr>
          <w:bCs/>
          <w:lang w:val="en-US"/>
        </w:rPr>
        <w:t xml:space="preserve">e </w:t>
      </w:r>
      <w:r w:rsidR="00216CB3" w:rsidRPr="00813D19">
        <w:rPr>
          <w:bCs/>
          <w:lang w:val="en-US"/>
        </w:rPr>
        <w:t xml:space="preserve">different methodological approaches in the field of intangible </w:t>
      </w:r>
      <w:r w:rsidR="00413240" w:rsidRPr="00813D19">
        <w:rPr>
          <w:bCs/>
          <w:lang w:val="en-US"/>
        </w:rPr>
        <w:t xml:space="preserve">cultural </w:t>
      </w:r>
      <w:r w:rsidR="00216CB3" w:rsidRPr="00813D19">
        <w:rPr>
          <w:bCs/>
          <w:lang w:val="en-US"/>
        </w:rPr>
        <w:t>heritage and emergency situations</w:t>
      </w:r>
      <w:r w:rsidR="00EE1BDB" w:rsidRPr="00813D19">
        <w:rPr>
          <w:bCs/>
          <w:lang w:val="en-US"/>
        </w:rPr>
        <w:t>,</w:t>
      </w:r>
      <w:r w:rsidR="00216CB3" w:rsidRPr="00813D19">
        <w:rPr>
          <w:bCs/>
          <w:lang w:val="en-US"/>
        </w:rPr>
        <w:t xml:space="preserve"> as well as to develop recommendations for methodological guidance. In that sense</w:t>
      </w:r>
      <w:r w:rsidR="00EE1BDB" w:rsidRPr="00813D19">
        <w:rPr>
          <w:bCs/>
          <w:lang w:val="en-US"/>
        </w:rPr>
        <w:t xml:space="preserve">, it </w:t>
      </w:r>
      <w:r w:rsidR="00216CB3" w:rsidRPr="00813D19">
        <w:rPr>
          <w:bCs/>
          <w:lang w:val="en-US"/>
        </w:rPr>
        <w:t>highly support</w:t>
      </w:r>
      <w:r w:rsidR="00EE1BDB" w:rsidRPr="00813D19">
        <w:rPr>
          <w:bCs/>
          <w:lang w:val="en-US"/>
        </w:rPr>
        <w:t>ed</w:t>
      </w:r>
      <w:r w:rsidR="00216CB3" w:rsidRPr="00813D19">
        <w:rPr>
          <w:bCs/>
          <w:lang w:val="en-US"/>
        </w:rPr>
        <w:t xml:space="preserve"> the holding of a category 6 meeting of experts in 2019 that </w:t>
      </w:r>
      <w:r w:rsidR="00D26255">
        <w:rPr>
          <w:bCs/>
          <w:lang w:val="en-US"/>
        </w:rPr>
        <w:t>would</w:t>
      </w:r>
      <w:r w:rsidR="00D26255" w:rsidRPr="00813D19">
        <w:rPr>
          <w:bCs/>
          <w:lang w:val="en-US"/>
        </w:rPr>
        <w:t xml:space="preserve"> </w:t>
      </w:r>
      <w:r w:rsidR="00216CB3" w:rsidRPr="00813D19">
        <w:rPr>
          <w:bCs/>
          <w:lang w:val="en-US"/>
        </w:rPr>
        <w:t xml:space="preserve">explore operational modalities for the implementation of such recommendations. Finally, </w:t>
      </w:r>
      <w:r w:rsidR="00413240" w:rsidRPr="00813D19">
        <w:rPr>
          <w:bCs/>
          <w:lang w:val="en-US"/>
        </w:rPr>
        <w:t xml:space="preserve">it </w:t>
      </w:r>
      <w:r w:rsidR="00EE1BDB" w:rsidRPr="00813D19">
        <w:rPr>
          <w:bCs/>
          <w:lang w:val="en-US"/>
        </w:rPr>
        <w:t xml:space="preserve">was </w:t>
      </w:r>
      <w:r w:rsidR="00216CB3" w:rsidRPr="00813D19">
        <w:rPr>
          <w:bCs/>
          <w:lang w:val="en-US"/>
        </w:rPr>
        <w:t xml:space="preserve">pleased to announce that Azerbaijan </w:t>
      </w:r>
      <w:r w:rsidR="00EE1BDB" w:rsidRPr="00813D19">
        <w:rPr>
          <w:bCs/>
          <w:lang w:val="en-US"/>
        </w:rPr>
        <w:t xml:space="preserve">was </w:t>
      </w:r>
      <w:r w:rsidR="00216CB3" w:rsidRPr="00813D19">
        <w:rPr>
          <w:bCs/>
          <w:lang w:val="en-US"/>
        </w:rPr>
        <w:t>ready to provide vo</w:t>
      </w:r>
      <w:r w:rsidR="00EE1BDB" w:rsidRPr="00813D19">
        <w:rPr>
          <w:bCs/>
          <w:lang w:val="en-US"/>
        </w:rPr>
        <w:t>luntary contributions to follow-</w:t>
      </w:r>
      <w:r w:rsidR="00216CB3" w:rsidRPr="00813D19">
        <w:rPr>
          <w:bCs/>
          <w:lang w:val="en-US"/>
        </w:rPr>
        <w:t>up actions after the meeting of experts in 2019 with a view to develop</w:t>
      </w:r>
      <w:r w:rsidR="00D26255">
        <w:rPr>
          <w:bCs/>
          <w:lang w:val="en-US"/>
        </w:rPr>
        <w:t>ing</w:t>
      </w:r>
      <w:r w:rsidR="00216CB3" w:rsidRPr="00813D19">
        <w:rPr>
          <w:bCs/>
          <w:lang w:val="en-US"/>
        </w:rPr>
        <w:t xml:space="preserve"> a deeper set of guidelines and recommendations </w:t>
      </w:r>
      <w:r w:rsidR="00EE1BDB" w:rsidRPr="00813D19">
        <w:rPr>
          <w:bCs/>
          <w:lang w:val="en-US"/>
        </w:rPr>
        <w:t>that</w:t>
      </w:r>
      <w:r w:rsidR="00216CB3" w:rsidRPr="00813D19">
        <w:rPr>
          <w:bCs/>
          <w:lang w:val="en-US"/>
        </w:rPr>
        <w:t xml:space="preserve"> may guide the work of States faci</w:t>
      </w:r>
      <w:r w:rsidR="00EE1BDB" w:rsidRPr="00813D19">
        <w:rPr>
          <w:bCs/>
          <w:lang w:val="en-US"/>
        </w:rPr>
        <w:t>ng situations of armed conflict and natural disaster</w:t>
      </w:r>
      <w:r w:rsidR="00634D0B">
        <w:rPr>
          <w:bCs/>
          <w:lang w:val="en-US"/>
        </w:rPr>
        <w:t>.</w:t>
      </w:r>
    </w:p>
    <w:p w14:paraId="4BF70305" w14:textId="58E6610E" w:rsidR="00C36C96" w:rsidRPr="00813D19" w:rsidRDefault="005F51FB"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Netherlands</w:t>
      </w:r>
      <w:r w:rsidR="00216CB3" w:rsidRPr="00813D19">
        <w:rPr>
          <w:b/>
          <w:color w:val="000000" w:themeColor="text1"/>
          <w:lang w:val="en-US"/>
        </w:rPr>
        <w:t xml:space="preserve"> </w:t>
      </w:r>
      <w:r w:rsidR="00EE1BDB" w:rsidRPr="00813D19">
        <w:rPr>
          <w:color w:val="000000" w:themeColor="text1"/>
          <w:lang w:val="en-US"/>
        </w:rPr>
        <w:t>wished to</w:t>
      </w:r>
      <w:r w:rsidR="00EE1BDB" w:rsidRPr="00813D19">
        <w:rPr>
          <w:b/>
          <w:color w:val="000000" w:themeColor="text1"/>
          <w:lang w:val="en-US"/>
        </w:rPr>
        <w:t xml:space="preserve"> </w:t>
      </w:r>
      <w:r w:rsidR="00216CB3" w:rsidRPr="00813D19">
        <w:rPr>
          <w:bCs/>
          <w:lang w:val="en-US"/>
        </w:rPr>
        <w:t xml:space="preserve">share </w:t>
      </w:r>
      <w:r w:rsidR="00EE1BDB" w:rsidRPr="00813D19">
        <w:rPr>
          <w:bCs/>
          <w:lang w:val="en-US"/>
        </w:rPr>
        <w:t xml:space="preserve">the </w:t>
      </w:r>
      <w:r w:rsidR="00216CB3" w:rsidRPr="00813D19">
        <w:rPr>
          <w:bCs/>
          <w:lang w:val="en-US"/>
        </w:rPr>
        <w:t xml:space="preserve">experiences of one of </w:t>
      </w:r>
      <w:r w:rsidR="00EE1BDB" w:rsidRPr="00813D19">
        <w:rPr>
          <w:bCs/>
          <w:lang w:val="en-US"/>
        </w:rPr>
        <w:t xml:space="preserve">its </w:t>
      </w:r>
      <w:r w:rsidR="00216CB3" w:rsidRPr="00813D19">
        <w:rPr>
          <w:bCs/>
          <w:lang w:val="en-US"/>
        </w:rPr>
        <w:t xml:space="preserve">experts from the Dutch Caribbean islands, </w:t>
      </w:r>
      <w:r w:rsidR="00EE1BDB" w:rsidRPr="00813D19">
        <w:rPr>
          <w:bCs/>
          <w:lang w:val="en-US"/>
        </w:rPr>
        <w:t>Curaç</w:t>
      </w:r>
      <w:r w:rsidR="00216CB3" w:rsidRPr="00813D19">
        <w:rPr>
          <w:bCs/>
          <w:lang w:val="en-US"/>
        </w:rPr>
        <w:t>ao</w:t>
      </w:r>
      <w:r w:rsidR="00EE1BDB" w:rsidRPr="00813D19">
        <w:rPr>
          <w:bCs/>
          <w:lang w:val="en-US"/>
        </w:rPr>
        <w:t>,</w:t>
      </w:r>
      <w:r w:rsidR="00216CB3" w:rsidRPr="00813D19">
        <w:rPr>
          <w:bCs/>
          <w:lang w:val="en-US"/>
        </w:rPr>
        <w:t xml:space="preserve"> a UNESCO facilitator and the Secretary of the Dutch Caribbean ICH Committee </w:t>
      </w:r>
      <w:r w:rsidR="00EE1BDB" w:rsidRPr="00813D19">
        <w:rPr>
          <w:bCs/>
          <w:lang w:val="en-US"/>
        </w:rPr>
        <w:t xml:space="preserve">who </w:t>
      </w:r>
      <w:r w:rsidR="00216CB3" w:rsidRPr="00813D19">
        <w:rPr>
          <w:bCs/>
          <w:lang w:val="en-US"/>
        </w:rPr>
        <w:t xml:space="preserve">is </w:t>
      </w:r>
      <w:r w:rsidR="00216CB3" w:rsidRPr="00C266E5">
        <w:rPr>
          <w:bCs/>
          <w:lang w:val="en-US"/>
        </w:rPr>
        <w:t xml:space="preserve">involved in several projects concerning </w:t>
      </w:r>
      <w:r w:rsidR="00EE1BDB" w:rsidRPr="00C266E5">
        <w:rPr>
          <w:bCs/>
          <w:lang w:val="en-US"/>
        </w:rPr>
        <w:t>intangible cultural heritage in emergenc</w:t>
      </w:r>
      <w:r w:rsidR="00EE1BDB" w:rsidRPr="00D26255">
        <w:rPr>
          <w:bCs/>
          <w:lang w:val="en-US"/>
        </w:rPr>
        <w:t xml:space="preserve">ies. The delegation shared his words, </w:t>
      </w:r>
      <w:r w:rsidR="00216CB3" w:rsidRPr="00D26255">
        <w:rPr>
          <w:bCs/>
          <w:lang w:val="en-US"/>
        </w:rPr>
        <w:t>“In documents of the twelfth session of the Committee the discussion pointed to a future direction that privileges community-based identifications of needs concerning the safeguarding of intangible cultural heritage and links between intangible cultural heritage and disaster risk management. It is important to stress the role of both aspects of these discussions. It’s only if they are seen as</w:t>
      </w:r>
      <w:r w:rsidR="00216CB3" w:rsidRPr="00813D19">
        <w:rPr>
          <w:bCs/>
          <w:lang w:val="en-US"/>
        </w:rPr>
        <w:t xml:space="preserve"> acting in tandem that the full extent of</w:t>
      </w:r>
      <w:r w:rsidR="00D26255">
        <w:rPr>
          <w:bCs/>
          <w:lang w:val="en-US"/>
        </w:rPr>
        <w:t xml:space="preserve"> intangible cultural heritage</w:t>
      </w:r>
      <w:r w:rsidR="00216CB3" w:rsidRPr="00813D19">
        <w:rPr>
          <w:bCs/>
          <w:lang w:val="en-US"/>
        </w:rPr>
        <w:t xml:space="preserve"> in emergencies may be understood and be used towards a sust</w:t>
      </w:r>
      <w:r w:rsidR="00EE1BDB" w:rsidRPr="00813D19">
        <w:rPr>
          <w:bCs/>
          <w:lang w:val="en-US"/>
        </w:rPr>
        <w:t>ainable future. In capacity-</w:t>
      </w:r>
      <w:r w:rsidR="00216CB3" w:rsidRPr="00813D19">
        <w:rPr>
          <w:bCs/>
          <w:lang w:val="en-US"/>
        </w:rPr>
        <w:t>building work</w:t>
      </w:r>
      <w:r w:rsidR="00EE1BDB" w:rsidRPr="00813D19">
        <w:rPr>
          <w:bCs/>
          <w:lang w:val="en-US"/>
        </w:rPr>
        <w:t>,</w:t>
      </w:r>
      <w:r w:rsidR="00216CB3" w:rsidRPr="00813D19">
        <w:rPr>
          <w:bCs/>
          <w:lang w:val="en-US"/>
        </w:rPr>
        <w:t xml:space="preserve"> it has become obvious that </w:t>
      </w:r>
      <w:r w:rsidR="00D26255">
        <w:rPr>
          <w:bCs/>
          <w:lang w:val="en-US"/>
        </w:rPr>
        <w:t>intangible cultural heritage</w:t>
      </w:r>
      <w:r w:rsidR="00D26255" w:rsidRPr="00813D19">
        <w:rPr>
          <w:bCs/>
          <w:lang w:val="en-US"/>
        </w:rPr>
        <w:t xml:space="preserve"> </w:t>
      </w:r>
      <w:r w:rsidR="00216CB3" w:rsidRPr="00813D19">
        <w:rPr>
          <w:bCs/>
          <w:lang w:val="en-US"/>
        </w:rPr>
        <w:t>related to emergencies is not always a concept that is widely understood. At the same time</w:t>
      </w:r>
      <w:r w:rsidR="00EE1BDB" w:rsidRPr="00813D19">
        <w:rPr>
          <w:bCs/>
          <w:lang w:val="en-US"/>
        </w:rPr>
        <w:t>,</w:t>
      </w:r>
      <w:r w:rsidR="00216CB3" w:rsidRPr="00813D19">
        <w:rPr>
          <w:bCs/>
          <w:lang w:val="en-US"/>
        </w:rPr>
        <w:t xml:space="preserve"> when looking at safeguarding </w:t>
      </w:r>
      <w:r w:rsidR="00D26255">
        <w:rPr>
          <w:bCs/>
          <w:lang w:val="en-US"/>
        </w:rPr>
        <w:t>intangible cultural heritage</w:t>
      </w:r>
      <w:r w:rsidR="00EE1BDB" w:rsidRPr="00813D19">
        <w:rPr>
          <w:bCs/>
          <w:lang w:val="en-US"/>
        </w:rPr>
        <w:t>,</w:t>
      </w:r>
      <w:r w:rsidR="00216CB3" w:rsidRPr="00813D19">
        <w:rPr>
          <w:bCs/>
          <w:lang w:val="en-US"/>
        </w:rPr>
        <w:t xml:space="preserve"> people tend to forget the active role that </w:t>
      </w:r>
      <w:r w:rsidR="00D26255">
        <w:rPr>
          <w:bCs/>
          <w:lang w:val="en-US"/>
        </w:rPr>
        <w:t>intangible cultural heritage</w:t>
      </w:r>
      <w:r w:rsidR="00D26255" w:rsidRPr="00813D19">
        <w:rPr>
          <w:bCs/>
          <w:lang w:val="en-US"/>
        </w:rPr>
        <w:t xml:space="preserve"> </w:t>
      </w:r>
      <w:r w:rsidR="00216CB3" w:rsidRPr="00813D19">
        <w:rPr>
          <w:bCs/>
          <w:lang w:val="en-US"/>
        </w:rPr>
        <w:t>could play in prepa</w:t>
      </w:r>
      <w:r w:rsidR="00EE1BDB" w:rsidRPr="00813D19">
        <w:rPr>
          <w:bCs/>
          <w:lang w:val="en-US"/>
        </w:rPr>
        <w:t>ring for emergencies. Awareness-raising, capacity-</w:t>
      </w:r>
      <w:r w:rsidR="00216CB3" w:rsidRPr="00813D19">
        <w:rPr>
          <w:bCs/>
          <w:lang w:val="en-US"/>
        </w:rPr>
        <w:t xml:space="preserve">building and training of implementing actors around both roles of </w:t>
      </w:r>
      <w:r w:rsidR="00D26255">
        <w:rPr>
          <w:bCs/>
          <w:lang w:val="en-US"/>
        </w:rPr>
        <w:t>intangible cultural heritage</w:t>
      </w:r>
      <w:r w:rsidR="00D26255" w:rsidRPr="00813D19">
        <w:rPr>
          <w:bCs/>
          <w:lang w:val="en-US"/>
        </w:rPr>
        <w:t xml:space="preserve"> </w:t>
      </w:r>
      <w:r w:rsidR="00216CB3" w:rsidRPr="00813D19">
        <w:rPr>
          <w:bCs/>
          <w:lang w:val="en-US"/>
        </w:rPr>
        <w:t xml:space="preserve">is crucial. There is also a need to adapt post-disaster needs assessments to not only include </w:t>
      </w:r>
      <w:r w:rsidR="00D26255">
        <w:rPr>
          <w:bCs/>
          <w:lang w:val="en-US"/>
        </w:rPr>
        <w:t>intangible cultural heritage</w:t>
      </w:r>
      <w:r w:rsidR="00D26255" w:rsidRPr="00813D19">
        <w:rPr>
          <w:bCs/>
          <w:lang w:val="en-US"/>
        </w:rPr>
        <w:t xml:space="preserve"> </w:t>
      </w:r>
      <w:r w:rsidR="00216CB3" w:rsidRPr="00813D19">
        <w:rPr>
          <w:bCs/>
          <w:lang w:val="en-US"/>
        </w:rPr>
        <w:t>as a factor to be assessed</w:t>
      </w:r>
      <w:r w:rsidR="00EE1BDB" w:rsidRPr="00813D19">
        <w:rPr>
          <w:bCs/>
          <w:lang w:val="en-US"/>
        </w:rPr>
        <w:t>,</w:t>
      </w:r>
      <w:r w:rsidR="00216CB3" w:rsidRPr="00813D19">
        <w:rPr>
          <w:bCs/>
          <w:lang w:val="en-US"/>
        </w:rPr>
        <w:t xml:space="preserve"> but also as a potential resource that can be used for recovery efforts. Besides cooperation between institutes</w:t>
      </w:r>
      <w:r w:rsidR="00EE1BDB" w:rsidRPr="00813D19">
        <w:rPr>
          <w:bCs/>
          <w:lang w:val="en-US"/>
        </w:rPr>
        <w:t>,</w:t>
      </w:r>
      <w:r w:rsidR="00216CB3" w:rsidRPr="00813D19">
        <w:rPr>
          <w:bCs/>
          <w:lang w:val="en-US"/>
        </w:rPr>
        <w:t xml:space="preserve"> it might be useful to also utilize UNESCO’s own network with a focus on emergencies. Facili</w:t>
      </w:r>
      <w:r w:rsidR="00EE1BDB" w:rsidRPr="00813D19">
        <w:rPr>
          <w:bCs/>
          <w:lang w:val="en-US"/>
        </w:rPr>
        <w:t>tators Network, category 2 cent</w:t>
      </w:r>
      <w:r w:rsidR="00216CB3" w:rsidRPr="00813D19">
        <w:rPr>
          <w:bCs/>
          <w:lang w:val="en-US"/>
        </w:rPr>
        <w:t>r</w:t>
      </w:r>
      <w:r w:rsidR="00EE1BDB" w:rsidRPr="00813D19">
        <w:rPr>
          <w:bCs/>
          <w:lang w:val="en-US"/>
        </w:rPr>
        <w:t>e</w:t>
      </w:r>
      <w:r w:rsidR="00216CB3" w:rsidRPr="00813D19">
        <w:rPr>
          <w:bCs/>
          <w:lang w:val="en-US"/>
        </w:rPr>
        <w:t>s, accredited NGOs and other regional UNESCO network actors have functioned as mediators in fact-finding teams and as relief facilitators. There might be use in sharing good practices both within and across regions. Similarly</w:t>
      </w:r>
      <w:r w:rsidR="00EE1BDB" w:rsidRPr="00813D19">
        <w:rPr>
          <w:bCs/>
          <w:lang w:val="en-US"/>
        </w:rPr>
        <w:t>,</w:t>
      </w:r>
      <w:r w:rsidR="00216CB3" w:rsidRPr="00813D19">
        <w:rPr>
          <w:bCs/>
          <w:lang w:val="en-US"/>
        </w:rPr>
        <w:t xml:space="preserve"> the </w:t>
      </w:r>
      <w:r w:rsidR="00EB60B9" w:rsidRPr="00813D19">
        <w:rPr>
          <w:bCs/>
          <w:lang w:val="en-US"/>
        </w:rPr>
        <w:t>ICH</w:t>
      </w:r>
      <w:r w:rsidR="00216CB3" w:rsidRPr="00813D19">
        <w:rPr>
          <w:bCs/>
          <w:lang w:val="en-US"/>
        </w:rPr>
        <w:t xml:space="preserve">NGO Forum might be a very appropriate space for the exchange of knowledge. The regional meetings that were held in the past certainly help create a knowledge base. Having emergencies as a specific topic would help bring this information to the communities, groups and individuals. Judging from the success of the </w:t>
      </w:r>
      <w:r w:rsidR="00EB60B9" w:rsidRPr="00813D19">
        <w:rPr>
          <w:bCs/>
          <w:lang w:val="en-US"/>
        </w:rPr>
        <w:t>ICH</w:t>
      </w:r>
      <w:r w:rsidR="00216CB3" w:rsidRPr="00813D19">
        <w:rPr>
          <w:bCs/>
          <w:lang w:val="en-US"/>
        </w:rPr>
        <w:t xml:space="preserve">NGO Forum publication on traditional medicine this might be one way to also disseminate this information to other actors. The Netherlands supported the regional approaches to disaster recovery in heritage preservation organized in June/August 2018 in collaboration with the Government of Sint Maarten. One of the outcomes of that meeting is the planned creation of a Caribbean heritage emergency network and that network is intended to fully incorporate </w:t>
      </w:r>
      <w:r w:rsidR="00D26255">
        <w:rPr>
          <w:bCs/>
          <w:lang w:val="en-US"/>
        </w:rPr>
        <w:t>intangible cultural heritage</w:t>
      </w:r>
      <w:r w:rsidR="00D26255" w:rsidRPr="00813D19">
        <w:rPr>
          <w:bCs/>
          <w:lang w:val="en-US"/>
        </w:rPr>
        <w:t xml:space="preserve"> </w:t>
      </w:r>
      <w:r w:rsidR="00216CB3" w:rsidRPr="00813D19">
        <w:rPr>
          <w:bCs/>
          <w:lang w:val="en-US"/>
        </w:rPr>
        <w:t xml:space="preserve">in the heritage system.” </w:t>
      </w:r>
      <w:r w:rsidR="00EE1BDB" w:rsidRPr="00813D19">
        <w:rPr>
          <w:bCs/>
          <w:lang w:val="en-US"/>
        </w:rPr>
        <w:t>This was the recommendation by the expert</w:t>
      </w:r>
      <w:r w:rsidR="00EB60B9" w:rsidRPr="00813D19">
        <w:rPr>
          <w:bCs/>
          <w:lang w:val="en-US"/>
        </w:rPr>
        <w:t>,</w:t>
      </w:r>
      <w:r w:rsidR="00EE1BDB" w:rsidRPr="00813D19">
        <w:rPr>
          <w:bCs/>
          <w:lang w:val="en-US"/>
        </w:rPr>
        <w:t xml:space="preserve"> </w:t>
      </w:r>
      <w:r w:rsidR="00216CB3" w:rsidRPr="00813D19">
        <w:rPr>
          <w:bCs/>
          <w:lang w:val="en-US"/>
        </w:rPr>
        <w:t xml:space="preserve">and </w:t>
      </w:r>
      <w:r w:rsidR="00EE1BDB" w:rsidRPr="00813D19">
        <w:rPr>
          <w:bCs/>
          <w:lang w:val="en-US"/>
        </w:rPr>
        <w:t xml:space="preserve">the delegation </w:t>
      </w:r>
      <w:r w:rsidR="00216CB3" w:rsidRPr="00813D19">
        <w:rPr>
          <w:bCs/>
          <w:lang w:val="en-US"/>
        </w:rPr>
        <w:t>appreciate</w:t>
      </w:r>
      <w:r w:rsidR="00EE1BDB" w:rsidRPr="00813D19">
        <w:rPr>
          <w:bCs/>
          <w:lang w:val="en-US"/>
        </w:rPr>
        <w:t>d</w:t>
      </w:r>
      <w:r w:rsidR="00216CB3" w:rsidRPr="00813D19">
        <w:rPr>
          <w:bCs/>
          <w:lang w:val="en-US"/>
        </w:rPr>
        <w:t xml:space="preserve"> the work </w:t>
      </w:r>
      <w:r w:rsidR="00EE1BDB" w:rsidRPr="00813D19">
        <w:rPr>
          <w:bCs/>
          <w:lang w:val="en-US"/>
        </w:rPr>
        <w:t xml:space="preserve">by the Secretariat </w:t>
      </w:r>
      <w:r w:rsidR="00216CB3" w:rsidRPr="00813D19">
        <w:rPr>
          <w:bCs/>
          <w:lang w:val="en-US"/>
        </w:rPr>
        <w:t xml:space="preserve">on </w:t>
      </w:r>
      <w:r w:rsidR="00EE1BDB" w:rsidRPr="00813D19">
        <w:rPr>
          <w:bCs/>
          <w:lang w:val="en-US"/>
        </w:rPr>
        <w:t>intangible cultural heritage in emergencies</w:t>
      </w:r>
      <w:r w:rsidR="00634D0B">
        <w:rPr>
          <w:bCs/>
          <w:lang w:val="en-US"/>
        </w:rPr>
        <w:t>.</w:t>
      </w:r>
    </w:p>
    <w:p w14:paraId="5AF26A05" w14:textId="48C228EF" w:rsidR="005F51FB" w:rsidRPr="00813D19" w:rsidRDefault="00E70561"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Austria</w:t>
      </w:r>
      <w:r w:rsidR="00216CB3" w:rsidRPr="00813D19">
        <w:rPr>
          <w:b/>
          <w:color w:val="000000" w:themeColor="text1"/>
          <w:lang w:val="en-US"/>
        </w:rPr>
        <w:t xml:space="preserve"> </w:t>
      </w:r>
      <w:r w:rsidR="00216CB3" w:rsidRPr="00813D19">
        <w:rPr>
          <w:bCs/>
          <w:lang w:val="en-US"/>
        </w:rPr>
        <w:t>express</w:t>
      </w:r>
      <w:r w:rsidR="00D420F5" w:rsidRPr="00813D19">
        <w:rPr>
          <w:bCs/>
          <w:lang w:val="en-US"/>
        </w:rPr>
        <w:t>ed</w:t>
      </w:r>
      <w:r w:rsidR="00216CB3" w:rsidRPr="00813D19">
        <w:rPr>
          <w:bCs/>
          <w:lang w:val="en-US"/>
        </w:rPr>
        <w:t xml:space="preserve"> its gratitude to the Secretariat for the efforts made to organize initiatives and community-based interventions for the </w:t>
      </w:r>
      <w:r w:rsidR="00EE1BDB" w:rsidRPr="00813D19">
        <w:rPr>
          <w:bCs/>
          <w:lang w:val="en-US"/>
        </w:rPr>
        <w:t>safeguarding of intangible cultural heritage in emergencies</w:t>
      </w:r>
      <w:r w:rsidR="00216CB3" w:rsidRPr="00813D19">
        <w:rPr>
          <w:bCs/>
          <w:lang w:val="en-US"/>
        </w:rPr>
        <w:t xml:space="preserve">. </w:t>
      </w:r>
      <w:r w:rsidR="00EE1BDB" w:rsidRPr="00813D19">
        <w:rPr>
          <w:bCs/>
          <w:lang w:val="en-US"/>
        </w:rPr>
        <w:t xml:space="preserve">The delegation </w:t>
      </w:r>
      <w:r w:rsidR="00216CB3" w:rsidRPr="00813D19">
        <w:rPr>
          <w:bCs/>
          <w:lang w:val="en-US"/>
        </w:rPr>
        <w:t>introduce</w:t>
      </w:r>
      <w:r w:rsidR="00EE1BDB" w:rsidRPr="00813D19">
        <w:rPr>
          <w:bCs/>
          <w:lang w:val="en-US"/>
        </w:rPr>
        <w:t>d</w:t>
      </w:r>
      <w:r w:rsidR="00216CB3" w:rsidRPr="00813D19">
        <w:rPr>
          <w:bCs/>
          <w:lang w:val="en-US"/>
        </w:rPr>
        <w:t xml:space="preserve"> another </w:t>
      </w:r>
      <w:r w:rsidR="00EE1BDB" w:rsidRPr="00813D19">
        <w:rPr>
          <w:bCs/>
          <w:lang w:val="en-US"/>
        </w:rPr>
        <w:t xml:space="preserve">relevant and compelling example, </w:t>
      </w:r>
      <w:r w:rsidR="00216CB3" w:rsidRPr="00813D19">
        <w:rPr>
          <w:bCs/>
          <w:lang w:val="en-US"/>
        </w:rPr>
        <w:t xml:space="preserve">which </w:t>
      </w:r>
      <w:r w:rsidR="00EE1BDB" w:rsidRPr="00813D19">
        <w:rPr>
          <w:bCs/>
          <w:lang w:val="en-US"/>
        </w:rPr>
        <w:t xml:space="preserve">was </w:t>
      </w:r>
      <w:r w:rsidR="00216CB3" w:rsidRPr="00813D19">
        <w:rPr>
          <w:bCs/>
          <w:lang w:val="en-US"/>
        </w:rPr>
        <w:t xml:space="preserve">Cunningham’s post-disaster research in Nepal </w:t>
      </w:r>
      <w:r w:rsidR="00EE1BDB" w:rsidRPr="00813D19">
        <w:rPr>
          <w:bCs/>
          <w:lang w:val="en-US"/>
        </w:rPr>
        <w:t xml:space="preserve">that </w:t>
      </w:r>
      <w:r w:rsidR="00216CB3" w:rsidRPr="00813D19">
        <w:rPr>
          <w:bCs/>
          <w:lang w:val="en-US"/>
        </w:rPr>
        <w:t xml:space="preserve">was conducted after the 2015 Gorkha earthquake. The research project was presented in Vienna a couple of weeks ago by academics and heritage practitioners from Nepal, Austria, Germany and the United Kingdom who </w:t>
      </w:r>
      <w:r w:rsidR="00A7263B" w:rsidRPr="00813D19">
        <w:rPr>
          <w:bCs/>
          <w:lang w:val="en-US"/>
        </w:rPr>
        <w:t xml:space="preserve">had </w:t>
      </w:r>
      <w:r w:rsidR="00216CB3" w:rsidRPr="00813D19">
        <w:rPr>
          <w:bCs/>
          <w:lang w:val="en-US"/>
        </w:rPr>
        <w:t>developed research methods and approaches for protecting and preserving the cultural heritage of Nepal. This research emphasize</w:t>
      </w:r>
      <w:r w:rsidR="00EE1BDB" w:rsidRPr="00813D19">
        <w:rPr>
          <w:bCs/>
          <w:lang w:val="en-US"/>
        </w:rPr>
        <w:t>d</w:t>
      </w:r>
      <w:r w:rsidR="00216CB3" w:rsidRPr="00813D19">
        <w:rPr>
          <w:bCs/>
          <w:lang w:val="en-US"/>
        </w:rPr>
        <w:t xml:space="preserve"> that </w:t>
      </w:r>
      <w:r w:rsidR="00EE1BDB" w:rsidRPr="00813D19">
        <w:rPr>
          <w:bCs/>
          <w:lang w:val="en-US"/>
        </w:rPr>
        <w:t xml:space="preserve">intangible cultural heritage </w:t>
      </w:r>
      <w:r w:rsidR="00216CB3" w:rsidRPr="00813D19">
        <w:rPr>
          <w:bCs/>
          <w:lang w:val="en-US"/>
        </w:rPr>
        <w:t>plays a significant role during post-emergency phases and the reconstruction of destroyed monument sites. It also presents the interdisciplinary heritage ecosystem approach for the protection and safeguarding of cultural heritage with the participation of local communities</w:t>
      </w:r>
      <w:r w:rsidR="00EE1BDB" w:rsidRPr="00813D19">
        <w:rPr>
          <w:bCs/>
          <w:lang w:val="en-US"/>
        </w:rPr>
        <w:t>,</w:t>
      </w:r>
      <w:r w:rsidR="00216CB3" w:rsidRPr="00813D19">
        <w:rPr>
          <w:bCs/>
          <w:lang w:val="en-US"/>
        </w:rPr>
        <w:t xml:space="preserve"> particularly in the face of future earthquakes in this region. This approach includes an assessment of historic construction practices, traditional construction skills and materials</w:t>
      </w:r>
      <w:r w:rsidR="00EE1BDB" w:rsidRPr="00813D19">
        <w:rPr>
          <w:bCs/>
          <w:lang w:val="en-US"/>
        </w:rPr>
        <w:t>,</w:t>
      </w:r>
      <w:r w:rsidR="00216CB3" w:rsidRPr="00813D19">
        <w:rPr>
          <w:bCs/>
          <w:lang w:val="en-US"/>
        </w:rPr>
        <w:t xml:space="preserve"> and the links between local communities, the built environment and so</w:t>
      </w:r>
      <w:r w:rsidR="00EE1BDB" w:rsidRPr="00813D19">
        <w:rPr>
          <w:bCs/>
          <w:lang w:val="en-US"/>
        </w:rPr>
        <w:t>cial practices. Austria welcomed</w:t>
      </w:r>
      <w:r w:rsidR="00216CB3" w:rsidRPr="00813D19">
        <w:rPr>
          <w:bCs/>
          <w:lang w:val="en-US"/>
        </w:rPr>
        <w:t xml:space="preserve"> the initiatives concerning the development of methodological guidance in order to better understand the various methods of community-based support for the safeguarding of </w:t>
      </w:r>
      <w:r w:rsidR="00EE1BDB" w:rsidRPr="00813D19">
        <w:rPr>
          <w:bCs/>
          <w:lang w:val="en-US"/>
        </w:rPr>
        <w:t xml:space="preserve">intangible cultural heritage </w:t>
      </w:r>
      <w:r w:rsidR="00216CB3" w:rsidRPr="00813D19">
        <w:rPr>
          <w:bCs/>
          <w:lang w:val="en-US"/>
        </w:rPr>
        <w:t>in cases of emergency</w:t>
      </w:r>
      <w:r w:rsidR="00EE1BDB" w:rsidRPr="00813D19">
        <w:rPr>
          <w:bCs/>
          <w:lang w:val="en-US"/>
        </w:rPr>
        <w:t>,</w:t>
      </w:r>
      <w:r w:rsidR="00216CB3" w:rsidRPr="00813D19">
        <w:rPr>
          <w:bCs/>
          <w:lang w:val="en-US"/>
        </w:rPr>
        <w:t xml:space="preserve"> and </w:t>
      </w:r>
      <w:r w:rsidR="00EE1BDB" w:rsidRPr="00813D19">
        <w:rPr>
          <w:bCs/>
          <w:lang w:val="en-US"/>
        </w:rPr>
        <w:t xml:space="preserve">it </w:t>
      </w:r>
      <w:r w:rsidR="00216CB3" w:rsidRPr="00813D19">
        <w:rPr>
          <w:bCs/>
          <w:lang w:val="en-US"/>
        </w:rPr>
        <w:t>recommend</w:t>
      </w:r>
      <w:r w:rsidR="00EE1BDB" w:rsidRPr="00813D19">
        <w:rPr>
          <w:bCs/>
          <w:lang w:val="en-US"/>
        </w:rPr>
        <w:t>ed</w:t>
      </w:r>
      <w:r w:rsidR="00216CB3" w:rsidRPr="00813D19">
        <w:rPr>
          <w:bCs/>
          <w:lang w:val="en-US"/>
        </w:rPr>
        <w:t xml:space="preserve"> considering the expertise of the UNESCO Chair on Archaeological Ethics and Practice in Cultural Heritage in this matter. </w:t>
      </w:r>
      <w:r w:rsidR="00C443BF" w:rsidRPr="00813D19">
        <w:rPr>
          <w:bCs/>
          <w:lang w:val="en-US"/>
        </w:rPr>
        <w:t>The delegation co</w:t>
      </w:r>
      <w:r w:rsidR="00EE1BDB" w:rsidRPr="00813D19">
        <w:rPr>
          <w:bCs/>
          <w:lang w:val="en-US"/>
        </w:rPr>
        <w:t xml:space="preserve">ncluded by </w:t>
      </w:r>
      <w:r w:rsidR="00216CB3" w:rsidRPr="00813D19">
        <w:rPr>
          <w:bCs/>
          <w:lang w:val="en-US"/>
        </w:rPr>
        <w:t>thank</w:t>
      </w:r>
      <w:r w:rsidR="00EE1BDB" w:rsidRPr="00813D19">
        <w:rPr>
          <w:bCs/>
          <w:lang w:val="en-US"/>
        </w:rPr>
        <w:t>ing</w:t>
      </w:r>
      <w:r w:rsidR="00216CB3" w:rsidRPr="00813D19">
        <w:rPr>
          <w:bCs/>
          <w:lang w:val="en-US"/>
        </w:rPr>
        <w:t xml:space="preserve"> China for its generous contrib</w:t>
      </w:r>
      <w:r w:rsidR="00EE1BDB" w:rsidRPr="00813D19">
        <w:rPr>
          <w:bCs/>
          <w:lang w:val="en-US"/>
        </w:rPr>
        <w:t>ution to this important issue.</w:t>
      </w:r>
    </w:p>
    <w:p w14:paraId="6FD25643" w14:textId="192639E5" w:rsidR="00E70561" w:rsidRPr="00813D19" w:rsidRDefault="00380A2A"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China</w:t>
      </w:r>
      <w:r w:rsidR="00216CB3" w:rsidRPr="00813D19">
        <w:rPr>
          <w:b/>
          <w:color w:val="000000" w:themeColor="text1"/>
          <w:lang w:val="en-US"/>
        </w:rPr>
        <w:t xml:space="preserve"> </w:t>
      </w:r>
      <w:r w:rsidR="00D420F5" w:rsidRPr="00813D19">
        <w:rPr>
          <w:bCs/>
          <w:lang w:val="en-US"/>
        </w:rPr>
        <w:t>appreciated</w:t>
      </w:r>
      <w:r w:rsidR="00216CB3" w:rsidRPr="00813D19">
        <w:rPr>
          <w:bCs/>
          <w:lang w:val="en-US"/>
        </w:rPr>
        <w:t xml:space="preserve"> the Secretariat for preparing the information and some activities </w:t>
      </w:r>
      <w:r w:rsidR="007E688F" w:rsidRPr="00813D19">
        <w:rPr>
          <w:bCs/>
          <w:lang w:val="en-US"/>
        </w:rPr>
        <w:t xml:space="preserve">on the </w:t>
      </w:r>
      <w:r w:rsidR="00216CB3" w:rsidRPr="00813D19">
        <w:rPr>
          <w:bCs/>
          <w:lang w:val="en-US"/>
        </w:rPr>
        <w:t xml:space="preserve">topic of </w:t>
      </w:r>
      <w:r w:rsidR="007E688F" w:rsidRPr="00813D19">
        <w:rPr>
          <w:bCs/>
          <w:lang w:val="en-US"/>
        </w:rPr>
        <w:t xml:space="preserve">intangible cultural heritage in emergencies, adding that it was increasingly concerned </w:t>
      </w:r>
      <w:r w:rsidR="00216CB3" w:rsidRPr="00813D19">
        <w:rPr>
          <w:bCs/>
          <w:lang w:val="en-US"/>
        </w:rPr>
        <w:t xml:space="preserve">about this issue as more and more </w:t>
      </w:r>
      <w:r w:rsidR="007E688F" w:rsidRPr="00813D19">
        <w:rPr>
          <w:bCs/>
          <w:lang w:val="en-US"/>
        </w:rPr>
        <w:t xml:space="preserve">intangible cultural heritage </w:t>
      </w:r>
      <w:r w:rsidR="00216CB3" w:rsidRPr="00813D19">
        <w:rPr>
          <w:bCs/>
          <w:lang w:val="en-US"/>
        </w:rPr>
        <w:t xml:space="preserve">in many States Parties </w:t>
      </w:r>
      <w:r w:rsidR="00B95451" w:rsidRPr="00813D19">
        <w:rPr>
          <w:bCs/>
          <w:lang w:val="en-US"/>
        </w:rPr>
        <w:t>w</w:t>
      </w:r>
      <w:r w:rsidR="00B95451">
        <w:rPr>
          <w:bCs/>
          <w:lang w:val="en-US"/>
        </w:rPr>
        <w:t>as</w:t>
      </w:r>
      <w:r w:rsidR="00B95451" w:rsidRPr="00813D19">
        <w:rPr>
          <w:bCs/>
          <w:lang w:val="en-US"/>
        </w:rPr>
        <w:t xml:space="preserve"> </w:t>
      </w:r>
      <w:r w:rsidR="00216CB3" w:rsidRPr="00813D19">
        <w:rPr>
          <w:bCs/>
          <w:lang w:val="en-US"/>
        </w:rPr>
        <w:t xml:space="preserve">threatened </w:t>
      </w:r>
      <w:r w:rsidR="007E688F" w:rsidRPr="00813D19">
        <w:rPr>
          <w:bCs/>
          <w:lang w:val="en-US"/>
        </w:rPr>
        <w:t xml:space="preserve">by </w:t>
      </w:r>
      <w:r w:rsidR="00216CB3" w:rsidRPr="00813D19">
        <w:rPr>
          <w:bCs/>
          <w:lang w:val="en-US"/>
        </w:rPr>
        <w:t xml:space="preserve">natural disasters or conflicts. </w:t>
      </w:r>
      <w:r w:rsidR="007E688F" w:rsidRPr="00813D19">
        <w:rPr>
          <w:bCs/>
          <w:lang w:val="en-US"/>
        </w:rPr>
        <w:t>The delegation noted</w:t>
      </w:r>
      <w:r w:rsidR="00B95451">
        <w:rPr>
          <w:bCs/>
          <w:lang w:val="en-US"/>
        </w:rPr>
        <w:t>,</w:t>
      </w:r>
      <w:r w:rsidR="007E688F" w:rsidRPr="00813D19">
        <w:rPr>
          <w:bCs/>
          <w:lang w:val="en-US"/>
        </w:rPr>
        <w:t xml:space="preserve"> however</w:t>
      </w:r>
      <w:r w:rsidR="00B95451">
        <w:rPr>
          <w:bCs/>
          <w:lang w:val="en-US"/>
        </w:rPr>
        <w:t>,</w:t>
      </w:r>
      <w:r w:rsidR="007E688F" w:rsidRPr="00813D19">
        <w:rPr>
          <w:bCs/>
          <w:lang w:val="en-US"/>
        </w:rPr>
        <w:t xml:space="preserve"> that </w:t>
      </w:r>
      <w:r w:rsidR="00216CB3" w:rsidRPr="00813D19">
        <w:rPr>
          <w:bCs/>
          <w:lang w:val="en-US"/>
        </w:rPr>
        <w:t>m</w:t>
      </w:r>
      <w:r w:rsidR="007E688F" w:rsidRPr="00813D19">
        <w:rPr>
          <w:bCs/>
          <w:lang w:val="en-US"/>
        </w:rPr>
        <w:t>any countries</w:t>
      </w:r>
      <w:r w:rsidR="00216CB3" w:rsidRPr="00813D19">
        <w:rPr>
          <w:bCs/>
          <w:lang w:val="en-US"/>
        </w:rPr>
        <w:t xml:space="preserve"> </w:t>
      </w:r>
      <w:r w:rsidR="007E688F" w:rsidRPr="00813D19">
        <w:rPr>
          <w:bCs/>
          <w:lang w:val="en-US"/>
        </w:rPr>
        <w:t xml:space="preserve">had </w:t>
      </w:r>
      <w:r w:rsidR="00216CB3" w:rsidRPr="00813D19">
        <w:rPr>
          <w:bCs/>
          <w:lang w:val="en-US"/>
        </w:rPr>
        <w:t>varied experience</w:t>
      </w:r>
      <w:r w:rsidR="00672806">
        <w:rPr>
          <w:bCs/>
          <w:lang w:val="en-US"/>
        </w:rPr>
        <w:t>s</w:t>
      </w:r>
      <w:r w:rsidR="00216CB3" w:rsidRPr="00813D19">
        <w:rPr>
          <w:bCs/>
          <w:lang w:val="en-US"/>
        </w:rPr>
        <w:t xml:space="preserve"> in natural disasters or conflicts. For instance, China </w:t>
      </w:r>
      <w:r w:rsidR="00672806">
        <w:rPr>
          <w:bCs/>
          <w:lang w:val="en-US"/>
        </w:rPr>
        <w:t xml:space="preserve">had </w:t>
      </w:r>
      <w:r w:rsidR="007E688F" w:rsidRPr="00813D19">
        <w:rPr>
          <w:bCs/>
          <w:lang w:val="en-US"/>
        </w:rPr>
        <w:t xml:space="preserve">also </w:t>
      </w:r>
      <w:r w:rsidR="00216CB3" w:rsidRPr="00813D19">
        <w:rPr>
          <w:bCs/>
          <w:lang w:val="en-US"/>
        </w:rPr>
        <w:t>suffered from severe earthquakes in 2008 in Wenchuan and 2010 in Yushu</w:t>
      </w:r>
      <w:r w:rsidR="007E688F" w:rsidRPr="00813D19">
        <w:rPr>
          <w:bCs/>
          <w:lang w:val="en-US"/>
        </w:rPr>
        <w:t>,</w:t>
      </w:r>
      <w:r w:rsidR="00216CB3" w:rsidRPr="00813D19">
        <w:rPr>
          <w:bCs/>
          <w:lang w:val="en-US"/>
        </w:rPr>
        <w:t xml:space="preserve"> which brought </w:t>
      </w:r>
      <w:r w:rsidR="007E688F" w:rsidRPr="00813D19">
        <w:rPr>
          <w:bCs/>
          <w:lang w:val="en-US"/>
        </w:rPr>
        <w:t xml:space="preserve">it </w:t>
      </w:r>
      <w:r w:rsidR="00216CB3" w:rsidRPr="00813D19">
        <w:rPr>
          <w:bCs/>
          <w:lang w:val="en-US"/>
        </w:rPr>
        <w:t xml:space="preserve">to reflect seriously on what </w:t>
      </w:r>
      <w:r w:rsidR="007E688F" w:rsidRPr="00813D19">
        <w:rPr>
          <w:bCs/>
          <w:lang w:val="en-US"/>
        </w:rPr>
        <w:t xml:space="preserve">could </w:t>
      </w:r>
      <w:r w:rsidR="00216CB3" w:rsidRPr="00813D19">
        <w:rPr>
          <w:bCs/>
          <w:lang w:val="en-US"/>
        </w:rPr>
        <w:t xml:space="preserve">be done to safeguard </w:t>
      </w:r>
      <w:r w:rsidR="007E688F" w:rsidRPr="00813D19">
        <w:rPr>
          <w:bCs/>
          <w:lang w:val="en-US"/>
        </w:rPr>
        <w:t>intangible cultural heritage</w:t>
      </w:r>
      <w:r w:rsidR="00216CB3" w:rsidRPr="00813D19">
        <w:rPr>
          <w:bCs/>
          <w:lang w:val="en-US"/>
        </w:rPr>
        <w:t xml:space="preserve"> on </w:t>
      </w:r>
      <w:r w:rsidR="00672806">
        <w:rPr>
          <w:bCs/>
          <w:lang w:val="en-US"/>
        </w:rPr>
        <w:t xml:space="preserve">the </w:t>
      </w:r>
      <w:r w:rsidR="00216CB3" w:rsidRPr="00813D19">
        <w:rPr>
          <w:bCs/>
          <w:lang w:val="en-US"/>
        </w:rPr>
        <w:t>one hand</w:t>
      </w:r>
      <w:r w:rsidR="007E688F" w:rsidRPr="00813D19">
        <w:rPr>
          <w:bCs/>
          <w:lang w:val="en-US"/>
        </w:rPr>
        <w:t>,</w:t>
      </w:r>
      <w:r w:rsidR="00216CB3" w:rsidRPr="00813D19">
        <w:rPr>
          <w:bCs/>
          <w:lang w:val="en-US"/>
        </w:rPr>
        <w:t xml:space="preserve"> and how </w:t>
      </w:r>
      <w:r w:rsidR="007E688F" w:rsidRPr="00813D19">
        <w:rPr>
          <w:bCs/>
          <w:lang w:val="en-US"/>
        </w:rPr>
        <w:t xml:space="preserve">intangible cultural heritage could </w:t>
      </w:r>
      <w:r w:rsidR="00216CB3" w:rsidRPr="00813D19">
        <w:rPr>
          <w:bCs/>
          <w:lang w:val="en-US"/>
        </w:rPr>
        <w:t xml:space="preserve">help to rebuild social cohesion and </w:t>
      </w:r>
      <w:r w:rsidR="007E688F" w:rsidRPr="00813D19">
        <w:rPr>
          <w:bCs/>
          <w:lang w:val="en-US"/>
        </w:rPr>
        <w:t xml:space="preserve">community </w:t>
      </w:r>
      <w:r w:rsidR="00216CB3" w:rsidRPr="00813D19">
        <w:rPr>
          <w:bCs/>
          <w:lang w:val="en-US"/>
        </w:rPr>
        <w:t>identity</w:t>
      </w:r>
      <w:r w:rsidR="007E688F" w:rsidRPr="00813D19">
        <w:rPr>
          <w:bCs/>
          <w:lang w:val="en-US"/>
        </w:rPr>
        <w:t xml:space="preserve"> on the other</w:t>
      </w:r>
      <w:r w:rsidR="00216CB3" w:rsidRPr="00813D19">
        <w:rPr>
          <w:bCs/>
          <w:lang w:val="en-US"/>
        </w:rPr>
        <w:t xml:space="preserve">. </w:t>
      </w:r>
      <w:r w:rsidR="007E688F" w:rsidRPr="00813D19">
        <w:rPr>
          <w:bCs/>
          <w:lang w:val="en-US"/>
        </w:rPr>
        <w:t xml:space="preserve">For </w:t>
      </w:r>
      <w:r w:rsidR="00813D19" w:rsidRPr="00813D19">
        <w:rPr>
          <w:bCs/>
          <w:lang w:val="en-US"/>
        </w:rPr>
        <w:t>this</w:t>
      </w:r>
      <w:r w:rsidR="007E688F" w:rsidRPr="00813D19">
        <w:rPr>
          <w:bCs/>
          <w:lang w:val="en-US"/>
        </w:rPr>
        <w:t xml:space="preserve"> reason, </w:t>
      </w:r>
      <w:r w:rsidR="00216CB3" w:rsidRPr="00813D19">
        <w:rPr>
          <w:bCs/>
          <w:lang w:val="en-US"/>
        </w:rPr>
        <w:t>China support</w:t>
      </w:r>
      <w:r w:rsidR="007E688F" w:rsidRPr="00813D19">
        <w:rPr>
          <w:bCs/>
          <w:lang w:val="en-US"/>
        </w:rPr>
        <w:t>ed</w:t>
      </w:r>
      <w:r w:rsidR="00216CB3" w:rsidRPr="00813D19">
        <w:rPr>
          <w:bCs/>
          <w:lang w:val="en-US"/>
        </w:rPr>
        <w:t xml:space="preserve"> the organization of an expert meeting to share experience and knowledge </w:t>
      </w:r>
      <w:r w:rsidR="007E688F" w:rsidRPr="00813D19">
        <w:rPr>
          <w:bCs/>
          <w:lang w:val="en-US"/>
        </w:rPr>
        <w:t xml:space="preserve">among </w:t>
      </w:r>
      <w:r w:rsidR="00216CB3" w:rsidRPr="00813D19">
        <w:rPr>
          <w:bCs/>
          <w:lang w:val="en-US"/>
        </w:rPr>
        <w:t xml:space="preserve">all States Parties </w:t>
      </w:r>
      <w:r w:rsidR="007E688F" w:rsidRPr="00813D19">
        <w:rPr>
          <w:bCs/>
          <w:lang w:val="en-US"/>
        </w:rPr>
        <w:t>confronted</w:t>
      </w:r>
      <w:r w:rsidR="00216CB3" w:rsidRPr="00813D19">
        <w:rPr>
          <w:bCs/>
          <w:lang w:val="en-US"/>
        </w:rPr>
        <w:t xml:space="preserve"> </w:t>
      </w:r>
      <w:r w:rsidR="007E688F" w:rsidRPr="00813D19">
        <w:rPr>
          <w:bCs/>
          <w:lang w:val="en-US"/>
        </w:rPr>
        <w:t xml:space="preserve">with similar </w:t>
      </w:r>
      <w:r w:rsidR="00216CB3" w:rsidRPr="00813D19">
        <w:rPr>
          <w:bCs/>
          <w:lang w:val="en-US"/>
        </w:rPr>
        <w:t>situation</w:t>
      </w:r>
      <w:r w:rsidR="007E688F" w:rsidRPr="00813D19">
        <w:rPr>
          <w:bCs/>
          <w:lang w:val="en-US"/>
        </w:rPr>
        <w:t>s</w:t>
      </w:r>
      <w:r w:rsidR="00216CB3" w:rsidRPr="00813D19">
        <w:rPr>
          <w:bCs/>
          <w:lang w:val="en-US"/>
        </w:rPr>
        <w:t xml:space="preserve"> and </w:t>
      </w:r>
      <w:r w:rsidR="007E688F" w:rsidRPr="00813D19">
        <w:rPr>
          <w:bCs/>
          <w:lang w:val="en-US"/>
        </w:rPr>
        <w:t xml:space="preserve">it was </w:t>
      </w:r>
      <w:r w:rsidR="00216CB3" w:rsidRPr="00813D19">
        <w:rPr>
          <w:bCs/>
          <w:lang w:val="en-US"/>
        </w:rPr>
        <w:t>hope</w:t>
      </w:r>
      <w:r w:rsidR="007E688F" w:rsidRPr="00813D19">
        <w:rPr>
          <w:bCs/>
          <w:lang w:val="en-US"/>
        </w:rPr>
        <w:t>d</w:t>
      </w:r>
      <w:r w:rsidR="00216CB3" w:rsidRPr="00813D19">
        <w:rPr>
          <w:bCs/>
          <w:lang w:val="en-US"/>
        </w:rPr>
        <w:t xml:space="preserve"> </w:t>
      </w:r>
      <w:r w:rsidR="007E688F" w:rsidRPr="00813D19">
        <w:rPr>
          <w:bCs/>
          <w:lang w:val="en-US"/>
        </w:rPr>
        <w:t xml:space="preserve">that </w:t>
      </w:r>
      <w:r w:rsidR="00672806">
        <w:rPr>
          <w:bCs/>
          <w:lang w:val="en-US"/>
        </w:rPr>
        <w:t>t</w:t>
      </w:r>
      <w:r w:rsidR="007E688F" w:rsidRPr="00813D19">
        <w:rPr>
          <w:bCs/>
          <w:lang w:val="en-US"/>
        </w:rPr>
        <w:t xml:space="preserve">his would </w:t>
      </w:r>
      <w:r w:rsidR="00216CB3" w:rsidRPr="00813D19">
        <w:rPr>
          <w:bCs/>
          <w:lang w:val="en-US"/>
        </w:rPr>
        <w:t xml:space="preserve">result in some guidance that </w:t>
      </w:r>
      <w:r w:rsidR="007E688F" w:rsidRPr="00813D19">
        <w:rPr>
          <w:bCs/>
          <w:lang w:val="en-US"/>
        </w:rPr>
        <w:t xml:space="preserve">could </w:t>
      </w:r>
      <w:r w:rsidR="00216CB3" w:rsidRPr="00813D19">
        <w:rPr>
          <w:bCs/>
          <w:lang w:val="en-US"/>
        </w:rPr>
        <w:t xml:space="preserve">benefit </w:t>
      </w:r>
      <w:r w:rsidR="00634D0B">
        <w:rPr>
          <w:bCs/>
          <w:lang w:val="en-US"/>
        </w:rPr>
        <w:t>all.</w:t>
      </w:r>
    </w:p>
    <w:p w14:paraId="521AD0DC" w14:textId="6A87B791" w:rsidR="002B1966" w:rsidRPr="00813D19" w:rsidRDefault="002B1966"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w:t>
      </w:r>
      <w:r w:rsidR="00216CB3" w:rsidRPr="00813D19">
        <w:rPr>
          <w:b/>
          <w:color w:val="000000" w:themeColor="text1"/>
          <w:lang w:val="en-US"/>
        </w:rPr>
        <w:t xml:space="preserve"> </w:t>
      </w:r>
      <w:r w:rsidR="00216CB3" w:rsidRPr="00813D19">
        <w:rPr>
          <w:bCs/>
          <w:lang w:val="en-US"/>
        </w:rPr>
        <w:t>view</w:t>
      </w:r>
      <w:r w:rsidR="00E54EFE" w:rsidRPr="00813D19">
        <w:rPr>
          <w:bCs/>
          <w:lang w:val="en-US"/>
        </w:rPr>
        <w:t>ed</w:t>
      </w:r>
      <w:r w:rsidR="00216CB3" w:rsidRPr="00813D19">
        <w:rPr>
          <w:bCs/>
          <w:lang w:val="en-US"/>
        </w:rPr>
        <w:t xml:space="preserve"> this </w:t>
      </w:r>
      <w:r w:rsidR="00E54EFE" w:rsidRPr="00813D19">
        <w:rPr>
          <w:bCs/>
          <w:lang w:val="en-US"/>
        </w:rPr>
        <w:t xml:space="preserve">issue </w:t>
      </w:r>
      <w:r w:rsidR="00216CB3" w:rsidRPr="00813D19">
        <w:rPr>
          <w:bCs/>
          <w:lang w:val="en-US"/>
        </w:rPr>
        <w:t>with k</w:t>
      </w:r>
      <w:r w:rsidR="00E54EFE" w:rsidRPr="00813D19">
        <w:rPr>
          <w:bCs/>
          <w:lang w:val="en-US"/>
        </w:rPr>
        <w:t>een interest, as it remained</w:t>
      </w:r>
      <w:r w:rsidR="00216CB3" w:rsidRPr="00813D19">
        <w:rPr>
          <w:bCs/>
          <w:lang w:val="en-US"/>
        </w:rPr>
        <w:t xml:space="preserve"> highly relevant to the application of the Convention to natural disasters and conflict situations with respect to the analysis of community-based needs identification in </w:t>
      </w:r>
      <w:r w:rsidR="00216CB3" w:rsidRPr="00813D19">
        <w:rPr>
          <w:snapToGrid/>
          <w:color w:val="000000"/>
          <w:sz w:val="21"/>
          <w:szCs w:val="21"/>
          <w:shd w:val="clear" w:color="auto" w:fill="FFFFFF"/>
          <w:lang w:val="en-US"/>
        </w:rPr>
        <w:t>North Kivu</w:t>
      </w:r>
      <w:r w:rsidR="00216CB3" w:rsidRPr="00813D19">
        <w:rPr>
          <w:bCs/>
          <w:lang w:val="en-US"/>
        </w:rPr>
        <w:t xml:space="preserve"> in the Democratic Republic of Congo. </w:t>
      </w:r>
      <w:r w:rsidR="00E5535F" w:rsidRPr="00813D19">
        <w:rPr>
          <w:bCs/>
          <w:lang w:val="en-US"/>
        </w:rPr>
        <w:t xml:space="preserve">It </w:t>
      </w:r>
      <w:r w:rsidR="00216CB3" w:rsidRPr="00813D19">
        <w:rPr>
          <w:bCs/>
          <w:lang w:val="en-US"/>
        </w:rPr>
        <w:t>agree</w:t>
      </w:r>
      <w:r w:rsidR="00E5535F" w:rsidRPr="00813D19">
        <w:rPr>
          <w:bCs/>
          <w:lang w:val="en-US"/>
        </w:rPr>
        <w:t>d</w:t>
      </w:r>
      <w:r w:rsidR="00216CB3" w:rsidRPr="00813D19">
        <w:rPr>
          <w:bCs/>
          <w:lang w:val="en-US"/>
        </w:rPr>
        <w:t xml:space="preserve"> that the revitalization of cultural spaces </w:t>
      </w:r>
      <w:r w:rsidR="00C45A3D" w:rsidRPr="00813D19">
        <w:rPr>
          <w:bCs/>
          <w:lang w:val="en-US"/>
        </w:rPr>
        <w:t>was</w:t>
      </w:r>
      <w:r w:rsidR="00216CB3" w:rsidRPr="00813D19">
        <w:rPr>
          <w:bCs/>
          <w:lang w:val="en-US"/>
        </w:rPr>
        <w:t xml:space="preserve"> an important aspect to consider in post-conflict or disaster situations. In relation to the</w:t>
      </w:r>
      <w:r w:rsidR="00C443BF" w:rsidRPr="00813D19">
        <w:rPr>
          <w:bCs/>
          <w:lang w:val="en-US"/>
        </w:rPr>
        <w:t xml:space="preserve"> ‘Revive the spirit of Mosul’</w:t>
      </w:r>
      <w:r w:rsidR="00C45A3D" w:rsidRPr="00813D19">
        <w:rPr>
          <w:bCs/>
          <w:lang w:val="en-US"/>
        </w:rPr>
        <w:t xml:space="preserve"> I</w:t>
      </w:r>
      <w:r w:rsidR="00216CB3" w:rsidRPr="00813D19">
        <w:rPr>
          <w:bCs/>
          <w:lang w:val="en-US"/>
        </w:rPr>
        <w:t>nitiative</w:t>
      </w:r>
      <w:r w:rsidR="00C45A3D" w:rsidRPr="00813D19">
        <w:rPr>
          <w:bCs/>
          <w:lang w:val="en-US"/>
        </w:rPr>
        <w:t>,</w:t>
      </w:r>
      <w:r w:rsidR="00216CB3" w:rsidRPr="00813D19">
        <w:rPr>
          <w:bCs/>
          <w:lang w:val="en-US"/>
        </w:rPr>
        <w:t xml:space="preserve"> developing an inventory of elements affected by an emergency would be a good initial step in an emergency context. </w:t>
      </w:r>
      <w:r w:rsidR="00C45A3D" w:rsidRPr="00813D19">
        <w:rPr>
          <w:bCs/>
          <w:lang w:val="en-US"/>
        </w:rPr>
        <w:t xml:space="preserve">It hoped </w:t>
      </w:r>
      <w:r w:rsidR="00216CB3" w:rsidRPr="00813D19">
        <w:rPr>
          <w:bCs/>
          <w:lang w:val="en-US"/>
        </w:rPr>
        <w:t>to see UNESCO cooperate and coordinate more with other relevant United Nations agencies</w:t>
      </w:r>
      <w:r w:rsidR="00C45A3D" w:rsidRPr="00813D19">
        <w:rPr>
          <w:bCs/>
          <w:lang w:val="en-US"/>
        </w:rPr>
        <w:t>,</w:t>
      </w:r>
      <w:r w:rsidR="00216CB3" w:rsidRPr="00813D19">
        <w:rPr>
          <w:bCs/>
          <w:lang w:val="en-US"/>
        </w:rPr>
        <w:t xml:space="preserve"> and </w:t>
      </w:r>
      <w:r w:rsidR="00C45A3D" w:rsidRPr="00813D19">
        <w:rPr>
          <w:bCs/>
          <w:lang w:val="en-US"/>
        </w:rPr>
        <w:t xml:space="preserve">it </w:t>
      </w:r>
      <w:r w:rsidR="00216CB3" w:rsidRPr="00813D19">
        <w:rPr>
          <w:bCs/>
          <w:lang w:val="en-US"/>
        </w:rPr>
        <w:t>thank</w:t>
      </w:r>
      <w:r w:rsidR="00C45A3D" w:rsidRPr="00813D19">
        <w:rPr>
          <w:bCs/>
          <w:lang w:val="en-US"/>
        </w:rPr>
        <w:t>ed</w:t>
      </w:r>
      <w:r w:rsidR="00216CB3" w:rsidRPr="00813D19">
        <w:rPr>
          <w:bCs/>
          <w:lang w:val="en-US"/>
        </w:rPr>
        <w:t xml:space="preserve"> the Secretariat for stating the names of the United Nations agencies helping in this endeavo</w:t>
      </w:r>
      <w:r w:rsidR="00C64B11">
        <w:rPr>
          <w:bCs/>
          <w:lang w:val="en-US"/>
        </w:rPr>
        <w:t>u</w:t>
      </w:r>
      <w:r w:rsidR="00216CB3" w:rsidRPr="00813D19">
        <w:rPr>
          <w:bCs/>
          <w:lang w:val="en-US"/>
        </w:rPr>
        <w:t xml:space="preserve">r. Besides compiling the lessons learned and </w:t>
      </w:r>
      <w:r w:rsidR="00672806">
        <w:rPr>
          <w:bCs/>
          <w:lang w:val="en-US"/>
        </w:rPr>
        <w:t xml:space="preserve">the </w:t>
      </w:r>
      <w:r w:rsidR="00216CB3" w:rsidRPr="00813D19">
        <w:rPr>
          <w:bCs/>
          <w:lang w:val="en-US"/>
        </w:rPr>
        <w:t>analysis</w:t>
      </w:r>
      <w:r w:rsidR="00C45A3D" w:rsidRPr="00813D19">
        <w:rPr>
          <w:bCs/>
          <w:lang w:val="en-US"/>
        </w:rPr>
        <w:t>,</w:t>
      </w:r>
      <w:r w:rsidR="00216CB3" w:rsidRPr="00813D19">
        <w:rPr>
          <w:bCs/>
          <w:lang w:val="en-US"/>
        </w:rPr>
        <w:t xml:space="preserve"> </w:t>
      </w:r>
      <w:r w:rsidR="00C45A3D" w:rsidRPr="00813D19">
        <w:rPr>
          <w:bCs/>
          <w:lang w:val="en-US"/>
        </w:rPr>
        <w:t xml:space="preserve">it was </w:t>
      </w:r>
      <w:r w:rsidR="00216CB3" w:rsidRPr="00813D19">
        <w:rPr>
          <w:bCs/>
          <w:lang w:val="en-US"/>
        </w:rPr>
        <w:t xml:space="preserve">important </w:t>
      </w:r>
      <w:r w:rsidR="00C45A3D" w:rsidRPr="00813D19">
        <w:rPr>
          <w:bCs/>
          <w:lang w:val="en-US"/>
        </w:rPr>
        <w:t>to test</w:t>
      </w:r>
      <w:r w:rsidR="00216CB3" w:rsidRPr="00813D19">
        <w:rPr>
          <w:bCs/>
          <w:lang w:val="en-US"/>
        </w:rPr>
        <w:t xml:space="preserve"> any potential guidance on </w:t>
      </w:r>
      <w:r w:rsidR="00C45A3D" w:rsidRPr="00813D19">
        <w:rPr>
          <w:bCs/>
          <w:lang w:val="en-US"/>
        </w:rPr>
        <w:t xml:space="preserve">intangible cultural heritage </w:t>
      </w:r>
      <w:r w:rsidR="00216CB3" w:rsidRPr="00813D19">
        <w:rPr>
          <w:bCs/>
          <w:lang w:val="en-US"/>
        </w:rPr>
        <w:t>in emergencies in the field</w:t>
      </w:r>
      <w:r w:rsidR="00C45A3D" w:rsidRPr="00813D19">
        <w:rPr>
          <w:bCs/>
          <w:lang w:val="en-US"/>
        </w:rPr>
        <w:t>,</w:t>
      </w:r>
      <w:r w:rsidR="00216CB3" w:rsidRPr="00813D19">
        <w:rPr>
          <w:bCs/>
          <w:lang w:val="en-US"/>
        </w:rPr>
        <w:t xml:space="preserve"> applying them in real world situations. The Philippines would be very interested in working with the Committee and Secretariat in this endeavour. </w:t>
      </w:r>
      <w:r w:rsidR="00C45A3D" w:rsidRPr="00813D19">
        <w:rPr>
          <w:bCs/>
          <w:lang w:val="en-US"/>
        </w:rPr>
        <w:t>F</w:t>
      </w:r>
      <w:r w:rsidR="00216CB3" w:rsidRPr="00813D19">
        <w:rPr>
          <w:bCs/>
          <w:lang w:val="en-US"/>
        </w:rPr>
        <w:t xml:space="preserve">inally, </w:t>
      </w:r>
      <w:r w:rsidR="00C45A3D" w:rsidRPr="00813D19">
        <w:rPr>
          <w:bCs/>
          <w:lang w:val="en-US"/>
        </w:rPr>
        <w:t>it</w:t>
      </w:r>
      <w:r w:rsidR="00216CB3" w:rsidRPr="00813D19">
        <w:rPr>
          <w:bCs/>
          <w:lang w:val="en-US"/>
        </w:rPr>
        <w:t xml:space="preserve"> thank</w:t>
      </w:r>
      <w:r w:rsidR="00C45A3D" w:rsidRPr="00813D19">
        <w:rPr>
          <w:bCs/>
          <w:lang w:val="en-US"/>
        </w:rPr>
        <w:t>ed</w:t>
      </w:r>
      <w:r w:rsidR="00216CB3" w:rsidRPr="00813D19">
        <w:rPr>
          <w:bCs/>
          <w:lang w:val="en-US"/>
        </w:rPr>
        <w:t xml:space="preserve"> China for its generous support in the p</w:t>
      </w:r>
      <w:r w:rsidR="00C45A3D" w:rsidRPr="00813D19">
        <w:rPr>
          <w:bCs/>
          <w:lang w:val="en-US"/>
        </w:rPr>
        <w:t xml:space="preserve">roposed expert meeting in 2019, and it sought to know when it </w:t>
      </w:r>
      <w:r w:rsidR="00216CB3" w:rsidRPr="00813D19">
        <w:rPr>
          <w:bCs/>
          <w:lang w:val="en-US"/>
        </w:rPr>
        <w:t xml:space="preserve">would </w:t>
      </w:r>
      <w:r w:rsidR="00634D0B">
        <w:rPr>
          <w:bCs/>
          <w:lang w:val="en-US"/>
        </w:rPr>
        <w:t>be held.</w:t>
      </w:r>
    </w:p>
    <w:p w14:paraId="7D409455" w14:textId="739A2A69" w:rsidR="002B1966" w:rsidRPr="00813D19" w:rsidRDefault="00464721"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Cuba</w:t>
      </w:r>
      <w:r w:rsidR="00216CB3" w:rsidRPr="00813D19">
        <w:rPr>
          <w:b/>
          <w:color w:val="000000" w:themeColor="text1"/>
          <w:lang w:val="en-US"/>
        </w:rPr>
        <w:t xml:space="preserve"> </w:t>
      </w:r>
      <w:r w:rsidR="00216CB3" w:rsidRPr="00813D19">
        <w:rPr>
          <w:bCs/>
          <w:lang w:val="en-US"/>
        </w:rPr>
        <w:t>thank</w:t>
      </w:r>
      <w:r w:rsidR="0076089C" w:rsidRPr="00813D19">
        <w:rPr>
          <w:bCs/>
          <w:lang w:val="en-US"/>
        </w:rPr>
        <w:t>ed</w:t>
      </w:r>
      <w:r w:rsidR="00216CB3" w:rsidRPr="00813D19">
        <w:rPr>
          <w:bCs/>
          <w:lang w:val="en-US"/>
        </w:rPr>
        <w:t xml:space="preserve"> the Secretariat for the information </w:t>
      </w:r>
      <w:r w:rsidR="004156F3" w:rsidRPr="00813D19">
        <w:rPr>
          <w:bCs/>
          <w:lang w:val="en-US"/>
        </w:rPr>
        <w:t xml:space="preserve">presented, adding that this was </w:t>
      </w:r>
      <w:r w:rsidR="00216CB3" w:rsidRPr="00813D19">
        <w:rPr>
          <w:bCs/>
          <w:lang w:val="en-US"/>
        </w:rPr>
        <w:t xml:space="preserve">an especially important and sensitive topic </w:t>
      </w:r>
      <w:r w:rsidR="004156F3" w:rsidRPr="00813D19">
        <w:rPr>
          <w:bCs/>
          <w:lang w:val="en-US"/>
        </w:rPr>
        <w:t>and UNESCO had</w:t>
      </w:r>
      <w:r w:rsidR="00216CB3" w:rsidRPr="00813D19">
        <w:rPr>
          <w:bCs/>
          <w:lang w:val="en-US"/>
        </w:rPr>
        <w:t xml:space="preserve"> been working much more deliberate</w:t>
      </w:r>
      <w:r w:rsidR="004156F3" w:rsidRPr="00813D19">
        <w:rPr>
          <w:bCs/>
          <w:lang w:val="en-US"/>
        </w:rPr>
        <w:t>ly</w:t>
      </w:r>
      <w:r w:rsidR="00216CB3" w:rsidRPr="00813D19">
        <w:rPr>
          <w:bCs/>
          <w:lang w:val="en-US"/>
        </w:rPr>
        <w:t xml:space="preserve"> around these questions in recent years. </w:t>
      </w:r>
      <w:r w:rsidR="004156F3" w:rsidRPr="00813D19">
        <w:rPr>
          <w:bCs/>
          <w:lang w:val="en-US"/>
        </w:rPr>
        <w:t xml:space="preserve">UNESCO had </w:t>
      </w:r>
      <w:r w:rsidR="00216CB3" w:rsidRPr="00813D19">
        <w:rPr>
          <w:bCs/>
          <w:lang w:val="en-US"/>
        </w:rPr>
        <w:t>adopted an Action Plan to strengthen UNESCO’s work to protect cultural heritage in cases of armed conflict and in situations of natural disasters</w:t>
      </w:r>
      <w:r w:rsidR="004156F3" w:rsidRPr="00813D19">
        <w:rPr>
          <w:bCs/>
          <w:lang w:val="en-US"/>
        </w:rPr>
        <w:t>,</w:t>
      </w:r>
      <w:r w:rsidR="00216CB3" w:rsidRPr="00813D19">
        <w:rPr>
          <w:bCs/>
          <w:lang w:val="en-US"/>
        </w:rPr>
        <w:t xml:space="preserve"> and this</w:t>
      </w:r>
      <w:r w:rsidR="00672806">
        <w:rPr>
          <w:bCs/>
          <w:lang w:val="en-US"/>
        </w:rPr>
        <w:t xml:space="preserve"> had</w:t>
      </w:r>
      <w:r w:rsidR="00216CB3" w:rsidRPr="00813D19">
        <w:rPr>
          <w:bCs/>
          <w:lang w:val="en-US"/>
        </w:rPr>
        <w:t xml:space="preserve"> led the Executive Board to adopt </w:t>
      </w:r>
      <w:r w:rsidR="004156F3" w:rsidRPr="00813D19">
        <w:rPr>
          <w:bCs/>
          <w:lang w:val="en-US"/>
        </w:rPr>
        <w:t xml:space="preserve">UN </w:t>
      </w:r>
      <w:r w:rsidR="00216CB3" w:rsidRPr="00813D19">
        <w:rPr>
          <w:bCs/>
          <w:lang w:val="en-US"/>
        </w:rPr>
        <w:t xml:space="preserve">Resolution </w:t>
      </w:r>
      <w:r w:rsidR="004156F3" w:rsidRPr="00813D19">
        <w:rPr>
          <w:bCs/>
          <w:lang w:val="en-US"/>
        </w:rPr>
        <w:t xml:space="preserve">2347 (2017) </w:t>
      </w:r>
      <w:r w:rsidR="00216CB3" w:rsidRPr="00813D19">
        <w:rPr>
          <w:bCs/>
          <w:lang w:val="en-US"/>
        </w:rPr>
        <w:t xml:space="preserve">where it recognized the destruction of cultural heritage </w:t>
      </w:r>
      <w:r w:rsidR="004156F3" w:rsidRPr="00813D19">
        <w:rPr>
          <w:bCs/>
          <w:lang w:val="en-US"/>
        </w:rPr>
        <w:t xml:space="preserve">as </w:t>
      </w:r>
      <w:r w:rsidR="00216CB3" w:rsidRPr="00813D19">
        <w:rPr>
          <w:bCs/>
          <w:lang w:val="en-US"/>
        </w:rPr>
        <w:t xml:space="preserve">a war crime and that there </w:t>
      </w:r>
      <w:r w:rsidR="00672806">
        <w:rPr>
          <w:bCs/>
          <w:lang w:val="en-US"/>
        </w:rPr>
        <w:t>was</w:t>
      </w:r>
      <w:r w:rsidR="00672806" w:rsidRPr="00813D19">
        <w:rPr>
          <w:bCs/>
          <w:lang w:val="en-US"/>
        </w:rPr>
        <w:t xml:space="preserve"> </w:t>
      </w:r>
      <w:r w:rsidR="00216CB3" w:rsidRPr="00813D19">
        <w:rPr>
          <w:bCs/>
          <w:lang w:val="en-US"/>
        </w:rPr>
        <w:t>indeed a cultu</w:t>
      </w:r>
      <w:r w:rsidR="004156F3" w:rsidRPr="00813D19">
        <w:rPr>
          <w:bCs/>
          <w:lang w:val="en-US"/>
        </w:rPr>
        <w:t>ral component in terms of peace</w:t>
      </w:r>
      <w:r w:rsidR="00216CB3" w:rsidRPr="00813D19">
        <w:rPr>
          <w:bCs/>
          <w:lang w:val="en-US"/>
        </w:rPr>
        <w:t>keeping operations with the consent of Member States</w:t>
      </w:r>
      <w:r w:rsidR="004156F3" w:rsidRPr="00813D19">
        <w:rPr>
          <w:bCs/>
          <w:lang w:val="en-US"/>
        </w:rPr>
        <w:t xml:space="preserve">. The </w:t>
      </w:r>
      <w:r w:rsidR="00216CB3" w:rsidRPr="00813D19">
        <w:rPr>
          <w:bCs/>
          <w:lang w:val="en-US"/>
        </w:rPr>
        <w:t xml:space="preserve">delegation </w:t>
      </w:r>
      <w:r w:rsidR="004156F3" w:rsidRPr="00813D19">
        <w:rPr>
          <w:bCs/>
          <w:lang w:val="en-US"/>
        </w:rPr>
        <w:t>thus supported</w:t>
      </w:r>
      <w:r w:rsidR="00216CB3" w:rsidRPr="00813D19">
        <w:rPr>
          <w:bCs/>
          <w:lang w:val="en-US"/>
        </w:rPr>
        <w:t xml:space="preserve"> all initiatives aimed at protecting heritage. In Cuba’s opinion</w:t>
      </w:r>
      <w:r w:rsidR="00C443BF" w:rsidRPr="00813D19">
        <w:rPr>
          <w:bCs/>
          <w:lang w:val="en-US"/>
        </w:rPr>
        <w:t>, UNESCO’s work has</w:t>
      </w:r>
      <w:r w:rsidR="00216CB3" w:rsidRPr="00813D19">
        <w:rPr>
          <w:bCs/>
          <w:lang w:val="en-US"/>
        </w:rPr>
        <w:t xml:space="preserve"> been focused on preventive and post-conflict work and it </w:t>
      </w:r>
      <w:r w:rsidR="004156F3" w:rsidRPr="00813D19">
        <w:rPr>
          <w:bCs/>
          <w:lang w:val="en-US"/>
        </w:rPr>
        <w:t xml:space="preserve">was </w:t>
      </w:r>
      <w:r w:rsidR="00216CB3" w:rsidRPr="00813D19">
        <w:rPr>
          <w:bCs/>
          <w:lang w:val="en-US"/>
        </w:rPr>
        <w:t xml:space="preserve">also important to develop a database of best practices in this respect. </w:t>
      </w:r>
      <w:r w:rsidR="004156F3" w:rsidRPr="00813D19">
        <w:rPr>
          <w:bCs/>
          <w:lang w:val="en-US"/>
        </w:rPr>
        <w:t xml:space="preserve">The delegation referred to </w:t>
      </w:r>
      <w:r w:rsidR="00216CB3" w:rsidRPr="00813D19">
        <w:rPr>
          <w:bCs/>
          <w:lang w:val="en-US"/>
        </w:rPr>
        <w:t xml:space="preserve">the case of the Caribbean </w:t>
      </w:r>
      <w:r w:rsidR="004156F3" w:rsidRPr="00813D19">
        <w:rPr>
          <w:bCs/>
          <w:lang w:val="en-US"/>
        </w:rPr>
        <w:t xml:space="preserve">SIDS </w:t>
      </w:r>
      <w:r w:rsidR="00216CB3" w:rsidRPr="00813D19">
        <w:rPr>
          <w:bCs/>
          <w:lang w:val="en-US"/>
        </w:rPr>
        <w:t>in the region that have been deeply</w:t>
      </w:r>
      <w:r w:rsidR="004156F3" w:rsidRPr="00813D19">
        <w:rPr>
          <w:bCs/>
          <w:lang w:val="en-US"/>
        </w:rPr>
        <w:t xml:space="preserve"> affected by natural disasters and </w:t>
      </w:r>
      <w:r w:rsidR="00216CB3" w:rsidRPr="00813D19">
        <w:rPr>
          <w:bCs/>
          <w:lang w:val="en-US"/>
        </w:rPr>
        <w:t>cyclones</w:t>
      </w:r>
      <w:r w:rsidR="004156F3" w:rsidRPr="00813D19">
        <w:rPr>
          <w:bCs/>
          <w:lang w:val="en-US"/>
        </w:rPr>
        <w:t>,</w:t>
      </w:r>
      <w:r w:rsidR="00216CB3" w:rsidRPr="00813D19">
        <w:rPr>
          <w:bCs/>
          <w:lang w:val="en-US"/>
        </w:rPr>
        <w:t xml:space="preserve"> which have damage</w:t>
      </w:r>
      <w:r w:rsidR="004156F3" w:rsidRPr="00813D19">
        <w:rPr>
          <w:bCs/>
          <w:lang w:val="en-US"/>
        </w:rPr>
        <w:t>d</w:t>
      </w:r>
      <w:r w:rsidR="00216CB3" w:rsidRPr="00813D19">
        <w:rPr>
          <w:bCs/>
          <w:lang w:val="en-US"/>
        </w:rPr>
        <w:t xml:space="preserve"> heritage</w:t>
      </w:r>
      <w:r w:rsidR="004156F3" w:rsidRPr="00813D19">
        <w:rPr>
          <w:bCs/>
          <w:lang w:val="en-US"/>
        </w:rPr>
        <w:t>,</w:t>
      </w:r>
      <w:r w:rsidR="00216CB3" w:rsidRPr="00813D19">
        <w:rPr>
          <w:bCs/>
          <w:lang w:val="en-US"/>
        </w:rPr>
        <w:t xml:space="preserve"> not only buildin</w:t>
      </w:r>
      <w:r w:rsidR="004156F3" w:rsidRPr="00813D19">
        <w:rPr>
          <w:bCs/>
          <w:lang w:val="en-US"/>
        </w:rPr>
        <w:t>gs but also intangible he</w:t>
      </w:r>
      <w:r w:rsidR="00C443BF" w:rsidRPr="00813D19">
        <w:rPr>
          <w:bCs/>
          <w:lang w:val="en-US"/>
        </w:rPr>
        <w:t>ritage, resulting in migration and, by consequence</w:t>
      </w:r>
      <w:r w:rsidR="00672806">
        <w:rPr>
          <w:bCs/>
          <w:lang w:val="en-US"/>
        </w:rPr>
        <w:t>,</w:t>
      </w:r>
      <w:r w:rsidR="00C443BF" w:rsidRPr="00813D19">
        <w:rPr>
          <w:bCs/>
          <w:lang w:val="en-US"/>
        </w:rPr>
        <w:t xml:space="preserve"> </w:t>
      </w:r>
      <w:r w:rsidR="00216CB3" w:rsidRPr="00813D19">
        <w:rPr>
          <w:bCs/>
          <w:lang w:val="en-US"/>
        </w:rPr>
        <w:t>global challenges. In Cuba’s case</w:t>
      </w:r>
      <w:r w:rsidR="004156F3" w:rsidRPr="00813D19">
        <w:rPr>
          <w:bCs/>
          <w:lang w:val="en-US"/>
        </w:rPr>
        <w:t xml:space="preserve">, it had </w:t>
      </w:r>
      <w:r w:rsidR="00216CB3" w:rsidRPr="00813D19">
        <w:rPr>
          <w:bCs/>
          <w:lang w:val="en-US"/>
        </w:rPr>
        <w:t>a range of experience</w:t>
      </w:r>
      <w:r w:rsidR="00672806">
        <w:rPr>
          <w:bCs/>
          <w:lang w:val="en-US"/>
        </w:rPr>
        <w:t>s</w:t>
      </w:r>
      <w:r w:rsidR="004156F3" w:rsidRPr="00813D19">
        <w:rPr>
          <w:bCs/>
          <w:lang w:val="en-US"/>
        </w:rPr>
        <w:t>,</w:t>
      </w:r>
      <w:r w:rsidR="00216CB3" w:rsidRPr="00813D19">
        <w:rPr>
          <w:bCs/>
          <w:lang w:val="en-US"/>
        </w:rPr>
        <w:t xml:space="preserve"> especially with cyclones and hurricanes</w:t>
      </w:r>
      <w:r w:rsidR="004156F3" w:rsidRPr="00813D19">
        <w:rPr>
          <w:bCs/>
          <w:lang w:val="en-US"/>
        </w:rPr>
        <w:t>,</w:t>
      </w:r>
      <w:r w:rsidR="00216CB3" w:rsidRPr="00813D19">
        <w:rPr>
          <w:bCs/>
          <w:lang w:val="en-US"/>
        </w:rPr>
        <w:t xml:space="preserve"> </w:t>
      </w:r>
      <w:r w:rsidR="004156F3" w:rsidRPr="00813D19">
        <w:rPr>
          <w:bCs/>
          <w:lang w:val="en-US"/>
        </w:rPr>
        <w:t>which affect</w:t>
      </w:r>
      <w:r w:rsidR="00C443BF" w:rsidRPr="00813D19">
        <w:rPr>
          <w:bCs/>
          <w:lang w:val="en-US"/>
        </w:rPr>
        <w:t>ed</w:t>
      </w:r>
      <w:r w:rsidR="00216CB3" w:rsidRPr="00813D19">
        <w:rPr>
          <w:bCs/>
          <w:lang w:val="en-US"/>
        </w:rPr>
        <w:t xml:space="preserve"> the </w:t>
      </w:r>
      <w:r w:rsidR="00C443BF" w:rsidRPr="00813D19">
        <w:rPr>
          <w:bCs/>
          <w:lang w:val="en-US"/>
        </w:rPr>
        <w:t xml:space="preserve">entire </w:t>
      </w:r>
      <w:r w:rsidR="00216CB3" w:rsidRPr="00813D19">
        <w:rPr>
          <w:bCs/>
          <w:lang w:val="en-US"/>
        </w:rPr>
        <w:t>island</w:t>
      </w:r>
      <w:r w:rsidR="004156F3" w:rsidRPr="00813D19">
        <w:rPr>
          <w:bCs/>
          <w:lang w:val="en-US"/>
        </w:rPr>
        <w:t xml:space="preserve">, and it worked </w:t>
      </w:r>
      <w:r w:rsidR="00216CB3" w:rsidRPr="00813D19">
        <w:rPr>
          <w:bCs/>
          <w:lang w:val="en-US"/>
        </w:rPr>
        <w:t xml:space="preserve">to protect culture and </w:t>
      </w:r>
      <w:r w:rsidR="00C443BF" w:rsidRPr="00813D19">
        <w:rPr>
          <w:bCs/>
          <w:lang w:val="en-US"/>
        </w:rPr>
        <w:t xml:space="preserve">its </w:t>
      </w:r>
      <w:r w:rsidR="00216CB3" w:rsidRPr="00813D19">
        <w:rPr>
          <w:bCs/>
          <w:lang w:val="en-US"/>
        </w:rPr>
        <w:t xml:space="preserve">values </w:t>
      </w:r>
      <w:r w:rsidR="004156F3" w:rsidRPr="00813D19">
        <w:rPr>
          <w:bCs/>
          <w:lang w:val="en-US"/>
        </w:rPr>
        <w:t xml:space="preserve">under </w:t>
      </w:r>
      <w:r w:rsidR="00216CB3" w:rsidRPr="00813D19">
        <w:rPr>
          <w:bCs/>
          <w:lang w:val="en-US"/>
        </w:rPr>
        <w:t xml:space="preserve">very difficult circumstances that affected people and </w:t>
      </w:r>
      <w:r w:rsidR="00C443BF" w:rsidRPr="00813D19">
        <w:rPr>
          <w:bCs/>
          <w:lang w:val="en-US"/>
        </w:rPr>
        <w:t xml:space="preserve">the </w:t>
      </w:r>
      <w:r w:rsidR="00216CB3" w:rsidRPr="00813D19">
        <w:rPr>
          <w:bCs/>
          <w:lang w:val="en-US"/>
        </w:rPr>
        <w:t xml:space="preserve">communities in these types of situations. </w:t>
      </w:r>
      <w:r w:rsidR="004156F3" w:rsidRPr="00813D19">
        <w:rPr>
          <w:bCs/>
          <w:lang w:val="en-US"/>
        </w:rPr>
        <w:t xml:space="preserve">The delegation noted that </w:t>
      </w:r>
      <w:r w:rsidR="00216CB3" w:rsidRPr="00813D19">
        <w:rPr>
          <w:bCs/>
          <w:lang w:val="en-US"/>
        </w:rPr>
        <w:t xml:space="preserve">UNESCO </w:t>
      </w:r>
      <w:r w:rsidR="004156F3" w:rsidRPr="00813D19">
        <w:rPr>
          <w:bCs/>
          <w:lang w:val="en-US"/>
        </w:rPr>
        <w:t xml:space="preserve">was </w:t>
      </w:r>
      <w:r w:rsidR="00216CB3" w:rsidRPr="00813D19">
        <w:rPr>
          <w:bCs/>
          <w:lang w:val="en-US"/>
        </w:rPr>
        <w:t xml:space="preserve">beginning to compile best practices in all regions and </w:t>
      </w:r>
      <w:r w:rsidR="004156F3" w:rsidRPr="00813D19">
        <w:rPr>
          <w:bCs/>
          <w:lang w:val="en-US"/>
        </w:rPr>
        <w:t xml:space="preserve">to </w:t>
      </w:r>
      <w:r w:rsidR="00216CB3" w:rsidRPr="00813D19">
        <w:rPr>
          <w:bCs/>
          <w:lang w:val="en-US"/>
        </w:rPr>
        <w:t xml:space="preserve">strengthen its upstream preventive work to strengthen capacities in this </w:t>
      </w:r>
      <w:r w:rsidR="00C443BF" w:rsidRPr="00813D19">
        <w:rPr>
          <w:bCs/>
          <w:lang w:val="en-US"/>
        </w:rPr>
        <w:t>regard</w:t>
      </w:r>
      <w:r w:rsidR="00216CB3" w:rsidRPr="00813D19">
        <w:rPr>
          <w:bCs/>
          <w:lang w:val="en-US"/>
        </w:rPr>
        <w:t xml:space="preserve">. </w:t>
      </w:r>
      <w:r w:rsidR="004156F3" w:rsidRPr="00813D19">
        <w:rPr>
          <w:bCs/>
          <w:lang w:val="en-US"/>
        </w:rPr>
        <w:t xml:space="preserve">The delegation wished to hear more </w:t>
      </w:r>
      <w:r w:rsidR="00672806">
        <w:rPr>
          <w:bCs/>
          <w:lang w:val="en-US"/>
        </w:rPr>
        <w:t xml:space="preserve">on </w:t>
      </w:r>
      <w:r w:rsidR="00216CB3" w:rsidRPr="00813D19">
        <w:rPr>
          <w:bCs/>
          <w:lang w:val="en-US"/>
        </w:rPr>
        <w:t xml:space="preserve">how </w:t>
      </w:r>
      <w:r w:rsidR="004156F3" w:rsidRPr="00813D19">
        <w:rPr>
          <w:bCs/>
          <w:lang w:val="en-US"/>
        </w:rPr>
        <w:t>the Convention had</w:t>
      </w:r>
      <w:r w:rsidR="00216CB3" w:rsidRPr="00813D19">
        <w:rPr>
          <w:bCs/>
          <w:lang w:val="en-US"/>
        </w:rPr>
        <w:t xml:space="preserve"> been involved in the Action Plan that UNESCO </w:t>
      </w:r>
      <w:r w:rsidR="004156F3" w:rsidRPr="00813D19">
        <w:rPr>
          <w:bCs/>
          <w:lang w:val="en-US"/>
        </w:rPr>
        <w:t xml:space="preserve">had </w:t>
      </w:r>
      <w:r w:rsidR="00216CB3" w:rsidRPr="00813D19">
        <w:rPr>
          <w:bCs/>
          <w:lang w:val="en-US"/>
        </w:rPr>
        <w:t xml:space="preserve">adopted </w:t>
      </w:r>
      <w:r w:rsidR="004156F3" w:rsidRPr="00813D19">
        <w:rPr>
          <w:bCs/>
          <w:lang w:val="en-US"/>
        </w:rPr>
        <w:t xml:space="preserve">and had </w:t>
      </w:r>
      <w:r w:rsidR="00216CB3" w:rsidRPr="00813D19">
        <w:rPr>
          <w:bCs/>
          <w:lang w:val="en-US"/>
        </w:rPr>
        <w:t xml:space="preserve">spent many years negotiating. </w:t>
      </w:r>
      <w:r w:rsidR="004156F3" w:rsidRPr="00813D19">
        <w:rPr>
          <w:bCs/>
          <w:lang w:val="en-US"/>
        </w:rPr>
        <w:t xml:space="preserve">It noted </w:t>
      </w:r>
      <w:r w:rsidR="00216CB3" w:rsidRPr="00813D19">
        <w:rPr>
          <w:bCs/>
          <w:lang w:val="en-US"/>
        </w:rPr>
        <w:t xml:space="preserve">a disconnect </w:t>
      </w:r>
      <w:r w:rsidR="004156F3" w:rsidRPr="00813D19">
        <w:rPr>
          <w:bCs/>
          <w:lang w:val="en-US"/>
        </w:rPr>
        <w:t xml:space="preserve">that still existed </w:t>
      </w:r>
      <w:r w:rsidR="00216CB3" w:rsidRPr="00813D19">
        <w:rPr>
          <w:bCs/>
          <w:lang w:val="en-US"/>
        </w:rPr>
        <w:t>between the different Conventions</w:t>
      </w:r>
      <w:r w:rsidR="004156F3" w:rsidRPr="00813D19">
        <w:rPr>
          <w:bCs/>
          <w:lang w:val="en-US"/>
        </w:rPr>
        <w:t>, adding that</w:t>
      </w:r>
      <w:r w:rsidR="00216CB3" w:rsidRPr="00813D19">
        <w:rPr>
          <w:bCs/>
          <w:lang w:val="en-US"/>
        </w:rPr>
        <w:t xml:space="preserve"> in future reports it would be </w:t>
      </w:r>
      <w:r w:rsidR="004156F3" w:rsidRPr="00813D19">
        <w:rPr>
          <w:bCs/>
          <w:lang w:val="en-US"/>
        </w:rPr>
        <w:t xml:space="preserve">good </w:t>
      </w:r>
      <w:r w:rsidR="00216CB3" w:rsidRPr="00813D19">
        <w:rPr>
          <w:bCs/>
          <w:lang w:val="en-US"/>
        </w:rPr>
        <w:t xml:space="preserve">to have more precise information about the specific relationship of </w:t>
      </w:r>
      <w:r w:rsidR="004156F3" w:rsidRPr="00813D19">
        <w:rPr>
          <w:bCs/>
          <w:lang w:val="en-US"/>
        </w:rPr>
        <w:t xml:space="preserve">the </w:t>
      </w:r>
      <w:r w:rsidR="00216CB3" w:rsidRPr="00813D19">
        <w:rPr>
          <w:bCs/>
          <w:lang w:val="en-US"/>
        </w:rPr>
        <w:t xml:space="preserve">Convention to </w:t>
      </w:r>
      <w:r w:rsidR="00C443BF" w:rsidRPr="00813D19">
        <w:rPr>
          <w:bCs/>
          <w:lang w:val="en-US"/>
        </w:rPr>
        <w:t>other C</w:t>
      </w:r>
      <w:r w:rsidR="004156F3" w:rsidRPr="00813D19">
        <w:rPr>
          <w:bCs/>
          <w:lang w:val="en-US"/>
        </w:rPr>
        <w:t>onventions,</w:t>
      </w:r>
      <w:r w:rsidR="00216CB3" w:rsidRPr="00813D19">
        <w:rPr>
          <w:bCs/>
          <w:lang w:val="en-US"/>
        </w:rPr>
        <w:t xml:space="preserve"> especially in light of the Resolution adopted at the 38</w:t>
      </w:r>
      <w:r w:rsidR="00216CB3" w:rsidRPr="003221D5">
        <w:rPr>
          <w:bCs/>
          <w:lang w:val="en-US"/>
        </w:rPr>
        <w:t>th</w:t>
      </w:r>
      <w:r w:rsidR="004156F3" w:rsidRPr="00813D19">
        <w:rPr>
          <w:bCs/>
          <w:lang w:val="en-US"/>
        </w:rPr>
        <w:t xml:space="preserve"> </w:t>
      </w:r>
      <w:r w:rsidR="00634D0B">
        <w:rPr>
          <w:bCs/>
          <w:lang w:val="en-US"/>
        </w:rPr>
        <w:t>General Conference.</w:t>
      </w:r>
    </w:p>
    <w:p w14:paraId="49DCAE18" w14:textId="2379AE57" w:rsidR="00AD15AD" w:rsidRPr="00813D19" w:rsidRDefault="00AD15AD"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216CB3" w:rsidRPr="00813D19">
        <w:rPr>
          <w:bCs/>
          <w:lang w:val="en-US"/>
        </w:rPr>
        <w:t xml:space="preserve"> ask</w:t>
      </w:r>
      <w:r w:rsidR="00570CD1" w:rsidRPr="00813D19">
        <w:rPr>
          <w:bCs/>
          <w:lang w:val="en-US"/>
        </w:rPr>
        <w:t>ed</w:t>
      </w:r>
      <w:r w:rsidR="00216CB3" w:rsidRPr="00813D19">
        <w:rPr>
          <w:bCs/>
          <w:lang w:val="en-US"/>
        </w:rPr>
        <w:t xml:space="preserve"> the Secretariat to project the photo of the Paris Peace Forum th</w:t>
      </w:r>
      <w:r w:rsidR="00686950" w:rsidRPr="00813D19">
        <w:rPr>
          <w:bCs/>
          <w:lang w:val="en-US"/>
        </w:rPr>
        <w:t xml:space="preserve">at was mentioned in the report as its wished to speak about the </w:t>
      </w:r>
      <w:r w:rsidR="00216CB3" w:rsidRPr="00813D19">
        <w:rPr>
          <w:bCs/>
          <w:lang w:val="en-US"/>
        </w:rPr>
        <w:t>120 innov</w:t>
      </w:r>
      <w:r w:rsidR="00686950" w:rsidRPr="00813D19">
        <w:rPr>
          <w:bCs/>
          <w:lang w:val="en-US"/>
        </w:rPr>
        <w:t xml:space="preserve">ative projects that were showcased at the Forum </w:t>
      </w:r>
      <w:r w:rsidR="00C443BF" w:rsidRPr="00813D19">
        <w:rPr>
          <w:bCs/>
          <w:lang w:val="en-US"/>
        </w:rPr>
        <w:t xml:space="preserve">that were </w:t>
      </w:r>
      <w:r w:rsidR="00686950" w:rsidRPr="00813D19">
        <w:rPr>
          <w:bCs/>
          <w:lang w:val="en-US"/>
        </w:rPr>
        <w:t>related to peace</w:t>
      </w:r>
      <w:r w:rsidR="00216CB3" w:rsidRPr="00813D19">
        <w:rPr>
          <w:bCs/>
          <w:lang w:val="en-US"/>
        </w:rPr>
        <w:t>building around peace and sec</w:t>
      </w:r>
      <w:r w:rsidR="00686950" w:rsidRPr="00813D19">
        <w:rPr>
          <w:bCs/>
          <w:lang w:val="en-US"/>
        </w:rPr>
        <w:t xml:space="preserve">urity, sustainable development and </w:t>
      </w:r>
      <w:r w:rsidR="00216CB3" w:rsidRPr="00813D19">
        <w:rPr>
          <w:bCs/>
          <w:lang w:val="en-US"/>
        </w:rPr>
        <w:t xml:space="preserve">new technologies. </w:t>
      </w:r>
      <w:r w:rsidR="00686950" w:rsidRPr="00813D19">
        <w:rPr>
          <w:bCs/>
          <w:lang w:val="en-US"/>
        </w:rPr>
        <w:t xml:space="preserve">The 120 </w:t>
      </w:r>
      <w:r w:rsidR="00216CB3" w:rsidRPr="00813D19">
        <w:rPr>
          <w:bCs/>
          <w:lang w:val="en-US"/>
        </w:rPr>
        <w:t>projects were selected from more than 800 projects around the world</w:t>
      </w:r>
      <w:r w:rsidR="00686950" w:rsidRPr="00813D19">
        <w:rPr>
          <w:bCs/>
          <w:lang w:val="en-US"/>
        </w:rPr>
        <w:t>,</w:t>
      </w:r>
      <w:r w:rsidR="00216CB3" w:rsidRPr="00813D19">
        <w:rPr>
          <w:bCs/>
          <w:lang w:val="en-US"/>
        </w:rPr>
        <w:t xml:space="preserve"> </w:t>
      </w:r>
      <w:r w:rsidR="00686950" w:rsidRPr="00813D19">
        <w:rPr>
          <w:bCs/>
          <w:lang w:val="en-US"/>
        </w:rPr>
        <w:t>with Colombia projecting</w:t>
      </w:r>
      <w:r w:rsidR="00216CB3" w:rsidRPr="00813D19">
        <w:rPr>
          <w:bCs/>
          <w:lang w:val="en-US"/>
        </w:rPr>
        <w:t xml:space="preserve"> </w:t>
      </w:r>
      <w:r w:rsidR="00686950" w:rsidRPr="00813D19">
        <w:rPr>
          <w:bCs/>
          <w:lang w:val="en-US"/>
        </w:rPr>
        <w:t xml:space="preserve">its </w:t>
      </w:r>
      <w:r w:rsidR="00216CB3" w:rsidRPr="00813D19">
        <w:rPr>
          <w:bCs/>
          <w:lang w:val="en-US"/>
        </w:rPr>
        <w:t xml:space="preserve">project from the north of the country in the Caribbean region in a municipality where the FARC was heavily involved </w:t>
      </w:r>
      <w:r w:rsidR="00686950" w:rsidRPr="00813D19">
        <w:rPr>
          <w:bCs/>
          <w:lang w:val="en-US"/>
        </w:rPr>
        <w:t xml:space="preserve">and which involved </w:t>
      </w:r>
      <w:r w:rsidR="00216CB3" w:rsidRPr="00813D19">
        <w:rPr>
          <w:bCs/>
          <w:lang w:val="en-US"/>
        </w:rPr>
        <w:t xml:space="preserve">ex-combatants </w:t>
      </w:r>
      <w:r w:rsidR="00686950" w:rsidRPr="00813D19">
        <w:rPr>
          <w:bCs/>
          <w:lang w:val="en-US"/>
        </w:rPr>
        <w:t xml:space="preserve">of the FARC. It was thus </w:t>
      </w:r>
      <w:r w:rsidR="00216CB3" w:rsidRPr="00813D19">
        <w:rPr>
          <w:bCs/>
          <w:lang w:val="en-US"/>
        </w:rPr>
        <w:t xml:space="preserve">important to protect </w:t>
      </w:r>
      <w:r w:rsidR="00686950" w:rsidRPr="00813D19">
        <w:rPr>
          <w:bCs/>
          <w:lang w:val="en-US"/>
        </w:rPr>
        <w:t xml:space="preserve">intangible cultural heritage </w:t>
      </w:r>
      <w:r w:rsidR="00216CB3" w:rsidRPr="00813D19">
        <w:rPr>
          <w:bCs/>
          <w:lang w:val="en-US"/>
        </w:rPr>
        <w:t xml:space="preserve">for the communities </w:t>
      </w:r>
      <w:r w:rsidR="00686950" w:rsidRPr="00813D19">
        <w:rPr>
          <w:bCs/>
          <w:lang w:val="en-US"/>
        </w:rPr>
        <w:t xml:space="preserve">and </w:t>
      </w:r>
      <w:r w:rsidR="00216CB3" w:rsidRPr="00813D19">
        <w:rPr>
          <w:bCs/>
          <w:lang w:val="en-US"/>
        </w:rPr>
        <w:t xml:space="preserve">to reunite </w:t>
      </w:r>
      <w:r w:rsidR="00686950" w:rsidRPr="00813D19">
        <w:rPr>
          <w:bCs/>
          <w:lang w:val="en-US"/>
        </w:rPr>
        <w:t xml:space="preserve">and </w:t>
      </w:r>
      <w:r w:rsidR="00216CB3" w:rsidRPr="00813D19">
        <w:rPr>
          <w:bCs/>
          <w:lang w:val="en-US"/>
        </w:rPr>
        <w:t>create dialogue and resilience</w:t>
      </w:r>
      <w:r w:rsidR="00686950" w:rsidRPr="00813D19">
        <w:rPr>
          <w:bCs/>
          <w:lang w:val="en-US"/>
        </w:rPr>
        <w:t>.</w:t>
      </w:r>
      <w:r w:rsidR="00216CB3" w:rsidRPr="00813D19">
        <w:rPr>
          <w:bCs/>
          <w:lang w:val="en-US"/>
        </w:rPr>
        <w:t xml:space="preserve"> </w:t>
      </w:r>
      <w:r w:rsidR="00686950" w:rsidRPr="00813D19">
        <w:rPr>
          <w:bCs/>
          <w:lang w:val="en-US"/>
        </w:rPr>
        <w:t>T</w:t>
      </w:r>
      <w:r w:rsidR="00216CB3" w:rsidRPr="00813D19">
        <w:rPr>
          <w:bCs/>
          <w:lang w:val="en-US"/>
        </w:rPr>
        <w:t xml:space="preserve">his project </w:t>
      </w:r>
      <w:r w:rsidR="00672806">
        <w:rPr>
          <w:bCs/>
          <w:lang w:val="en-US"/>
        </w:rPr>
        <w:t>was</w:t>
      </w:r>
      <w:r w:rsidR="00672806" w:rsidRPr="00813D19">
        <w:rPr>
          <w:bCs/>
          <w:lang w:val="en-US"/>
        </w:rPr>
        <w:t xml:space="preserve"> </w:t>
      </w:r>
      <w:r w:rsidR="00216CB3" w:rsidRPr="00813D19">
        <w:rPr>
          <w:bCs/>
          <w:lang w:val="en-US"/>
        </w:rPr>
        <w:t>up and running thanks to the ICH Fund</w:t>
      </w:r>
      <w:r w:rsidR="00686950" w:rsidRPr="00813D19">
        <w:rPr>
          <w:bCs/>
          <w:lang w:val="en-US"/>
        </w:rPr>
        <w:t>,</w:t>
      </w:r>
      <w:r w:rsidR="00216CB3" w:rsidRPr="00813D19">
        <w:rPr>
          <w:bCs/>
          <w:lang w:val="en-US"/>
        </w:rPr>
        <w:t xml:space="preserve"> which </w:t>
      </w:r>
      <w:r w:rsidR="00672806">
        <w:rPr>
          <w:bCs/>
          <w:lang w:val="en-US"/>
        </w:rPr>
        <w:t xml:space="preserve">would </w:t>
      </w:r>
      <w:r w:rsidR="00216CB3" w:rsidRPr="00813D19">
        <w:rPr>
          <w:bCs/>
          <w:lang w:val="en-US"/>
        </w:rPr>
        <w:t>implemen</w:t>
      </w:r>
      <w:r w:rsidR="00686950" w:rsidRPr="00813D19">
        <w:rPr>
          <w:bCs/>
          <w:lang w:val="en-US"/>
        </w:rPr>
        <w:t>t a methodology, an inventory</w:t>
      </w:r>
      <w:r w:rsidR="00216CB3" w:rsidRPr="00813D19">
        <w:rPr>
          <w:bCs/>
          <w:lang w:val="en-US"/>
        </w:rPr>
        <w:t xml:space="preserve"> of </w:t>
      </w:r>
      <w:r w:rsidR="00C443BF" w:rsidRPr="00813D19">
        <w:rPr>
          <w:bCs/>
          <w:lang w:val="en-US"/>
        </w:rPr>
        <w:t>intangible cultural heritage</w:t>
      </w:r>
      <w:r w:rsidR="00686950" w:rsidRPr="00813D19">
        <w:rPr>
          <w:bCs/>
          <w:lang w:val="en-US"/>
        </w:rPr>
        <w:t>,</w:t>
      </w:r>
      <w:r w:rsidR="00216CB3" w:rsidRPr="00813D19">
        <w:rPr>
          <w:bCs/>
          <w:lang w:val="en-US"/>
        </w:rPr>
        <w:t xml:space="preserve"> and encourage dialogue for resilience. </w:t>
      </w:r>
      <w:r w:rsidR="00686950" w:rsidRPr="00813D19">
        <w:rPr>
          <w:bCs/>
          <w:lang w:val="en-US"/>
        </w:rPr>
        <w:t xml:space="preserve">The photo projected </w:t>
      </w:r>
      <w:r w:rsidR="00C443BF" w:rsidRPr="00813D19">
        <w:rPr>
          <w:bCs/>
          <w:lang w:val="en-US"/>
        </w:rPr>
        <w:t xml:space="preserve">showed </w:t>
      </w:r>
      <w:r w:rsidR="00686950" w:rsidRPr="00813D19">
        <w:rPr>
          <w:bCs/>
          <w:lang w:val="en-US"/>
        </w:rPr>
        <w:t xml:space="preserve">the </w:t>
      </w:r>
      <w:r w:rsidR="00216CB3" w:rsidRPr="00813D19">
        <w:rPr>
          <w:bCs/>
          <w:lang w:val="en-US"/>
        </w:rPr>
        <w:t>President</w:t>
      </w:r>
      <w:r w:rsidR="00686950" w:rsidRPr="00813D19">
        <w:rPr>
          <w:bCs/>
          <w:lang w:val="en-US"/>
        </w:rPr>
        <w:t xml:space="preserve"> of Colombia</w:t>
      </w:r>
      <w:r w:rsidR="00216CB3" w:rsidRPr="00813D19">
        <w:rPr>
          <w:bCs/>
          <w:lang w:val="en-US"/>
        </w:rPr>
        <w:t xml:space="preserve">, </w:t>
      </w:r>
      <w:r w:rsidR="00686950" w:rsidRPr="00813D19">
        <w:rPr>
          <w:bCs/>
          <w:lang w:val="en-US"/>
        </w:rPr>
        <w:t xml:space="preserve">the </w:t>
      </w:r>
      <w:r w:rsidR="00216CB3" w:rsidRPr="00813D19">
        <w:rPr>
          <w:bCs/>
          <w:lang w:val="en-US"/>
        </w:rPr>
        <w:t>Minister of Foreign Affairs</w:t>
      </w:r>
      <w:r w:rsidR="00686950" w:rsidRPr="00813D19">
        <w:rPr>
          <w:bCs/>
          <w:lang w:val="en-US"/>
        </w:rPr>
        <w:t>,</w:t>
      </w:r>
      <w:r w:rsidR="00216CB3" w:rsidRPr="00813D19">
        <w:rPr>
          <w:bCs/>
          <w:lang w:val="en-US"/>
        </w:rPr>
        <w:t xml:space="preserve"> the President of the UNESCO </w:t>
      </w:r>
      <w:r w:rsidR="00686950" w:rsidRPr="00813D19">
        <w:rPr>
          <w:bCs/>
          <w:lang w:val="en-US"/>
        </w:rPr>
        <w:t xml:space="preserve">National Commission in Colombia, </w:t>
      </w:r>
      <w:r w:rsidR="00216CB3" w:rsidRPr="00813D19">
        <w:rPr>
          <w:bCs/>
          <w:lang w:val="en-US"/>
        </w:rPr>
        <w:t xml:space="preserve">the ADG for Culture and </w:t>
      </w:r>
      <w:r w:rsidR="00686950" w:rsidRPr="00813D19">
        <w:rPr>
          <w:bCs/>
          <w:lang w:val="en-US"/>
        </w:rPr>
        <w:t>the national e</w:t>
      </w:r>
      <w:r w:rsidR="00216CB3" w:rsidRPr="00813D19">
        <w:rPr>
          <w:bCs/>
          <w:lang w:val="en-US"/>
        </w:rPr>
        <w:t xml:space="preserve">xpert on </w:t>
      </w:r>
      <w:r w:rsidR="00686950" w:rsidRPr="00813D19">
        <w:rPr>
          <w:bCs/>
          <w:lang w:val="en-US"/>
        </w:rPr>
        <w:t>intangible cultural heritage</w:t>
      </w:r>
      <w:r w:rsidR="00216CB3" w:rsidRPr="00813D19">
        <w:rPr>
          <w:bCs/>
          <w:lang w:val="en-US"/>
        </w:rPr>
        <w:t xml:space="preserve">. </w:t>
      </w:r>
      <w:r w:rsidR="00686950" w:rsidRPr="00813D19">
        <w:rPr>
          <w:bCs/>
          <w:lang w:val="en-US"/>
        </w:rPr>
        <w:t xml:space="preserve">This </w:t>
      </w:r>
      <w:r w:rsidR="00216CB3" w:rsidRPr="00813D19">
        <w:rPr>
          <w:bCs/>
          <w:lang w:val="en-US"/>
        </w:rPr>
        <w:t xml:space="preserve">work </w:t>
      </w:r>
      <w:r w:rsidR="00686950" w:rsidRPr="00813D19">
        <w:rPr>
          <w:bCs/>
          <w:lang w:val="en-US"/>
        </w:rPr>
        <w:t xml:space="preserve">was being carried out </w:t>
      </w:r>
      <w:r w:rsidR="00216CB3" w:rsidRPr="00813D19">
        <w:rPr>
          <w:bCs/>
          <w:lang w:val="en-US"/>
        </w:rPr>
        <w:t>by ex-combatants and people working for p</w:t>
      </w:r>
      <w:r w:rsidR="00EE1BDB" w:rsidRPr="00813D19">
        <w:rPr>
          <w:bCs/>
          <w:lang w:val="en-US"/>
        </w:rPr>
        <w:t xml:space="preserve">eace through </w:t>
      </w:r>
      <w:r w:rsidR="00686950" w:rsidRPr="00813D19">
        <w:rPr>
          <w:bCs/>
          <w:lang w:val="en-US"/>
        </w:rPr>
        <w:t xml:space="preserve">intangible cultural heritage </w:t>
      </w:r>
      <w:r w:rsidR="00EE1BDB" w:rsidRPr="00813D19">
        <w:rPr>
          <w:bCs/>
          <w:lang w:val="en-US"/>
        </w:rPr>
        <w:t>in the region.</w:t>
      </w:r>
    </w:p>
    <w:p w14:paraId="66C57A16" w14:textId="38FAF8A7" w:rsidR="00AD15AD" w:rsidRPr="00813D19" w:rsidRDefault="005836C3" w:rsidP="0022020E">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Lebanon </w:t>
      </w:r>
      <w:r w:rsidR="00BE62FC" w:rsidRPr="00813D19">
        <w:rPr>
          <w:color w:val="000000" w:themeColor="text1"/>
          <w:lang w:val="en-US"/>
        </w:rPr>
        <w:t xml:space="preserve">thanked the Secretariat for its report, which showed </w:t>
      </w:r>
      <w:r w:rsidR="0022020E" w:rsidRPr="00813D19">
        <w:rPr>
          <w:color w:val="000000" w:themeColor="text1"/>
          <w:lang w:val="en-US"/>
        </w:rPr>
        <w:t xml:space="preserve">how </w:t>
      </w:r>
      <w:r w:rsidR="00BE62FC" w:rsidRPr="00813D19">
        <w:rPr>
          <w:color w:val="000000" w:themeColor="text1"/>
          <w:lang w:val="en-US"/>
        </w:rPr>
        <w:t xml:space="preserve">the reflection on this issue was moving forward. Lebanon had experience in this domain as it had a tradition of research on the subject, particularly </w:t>
      </w:r>
      <w:r w:rsidR="00904A53" w:rsidRPr="00813D19">
        <w:rPr>
          <w:color w:val="000000" w:themeColor="text1"/>
          <w:lang w:val="en-US"/>
        </w:rPr>
        <w:t xml:space="preserve">on </w:t>
      </w:r>
      <w:r w:rsidR="00BE62FC" w:rsidRPr="00813D19">
        <w:rPr>
          <w:color w:val="000000" w:themeColor="text1"/>
          <w:lang w:val="en-US"/>
        </w:rPr>
        <w:t xml:space="preserve">civil wars and armed conflicts. In this </w:t>
      </w:r>
      <w:r w:rsidR="00813D19" w:rsidRPr="00813D19">
        <w:rPr>
          <w:color w:val="000000" w:themeColor="text1"/>
          <w:lang w:val="en-US"/>
        </w:rPr>
        <w:t>respect,</w:t>
      </w:r>
      <w:r w:rsidR="00BE62FC" w:rsidRPr="00813D19">
        <w:rPr>
          <w:color w:val="000000" w:themeColor="text1"/>
          <w:lang w:val="en-US"/>
        </w:rPr>
        <w:t xml:space="preserve"> it had two questions that could perhaps enrich the reflection. Firstly, whether the issue of the return of displaced persons to their place</w:t>
      </w:r>
      <w:r w:rsidR="0022020E" w:rsidRPr="00813D19">
        <w:rPr>
          <w:color w:val="000000" w:themeColor="text1"/>
          <w:lang w:val="en-US"/>
        </w:rPr>
        <w:t>s</w:t>
      </w:r>
      <w:r w:rsidR="00BE62FC" w:rsidRPr="00813D19">
        <w:rPr>
          <w:color w:val="000000" w:themeColor="text1"/>
          <w:lang w:val="en-US"/>
        </w:rPr>
        <w:t xml:space="preserve"> of origin </w:t>
      </w:r>
      <w:r w:rsidR="000D60F3" w:rsidRPr="00813D19">
        <w:rPr>
          <w:color w:val="000000" w:themeColor="text1"/>
          <w:lang w:val="en-US"/>
        </w:rPr>
        <w:t>had been</w:t>
      </w:r>
      <w:r w:rsidR="00BE62FC" w:rsidRPr="00813D19">
        <w:rPr>
          <w:color w:val="000000" w:themeColor="text1"/>
          <w:lang w:val="en-US"/>
        </w:rPr>
        <w:t xml:space="preserve"> raised. From its own experience </w:t>
      </w:r>
      <w:r w:rsidR="00904A53" w:rsidRPr="00813D19">
        <w:rPr>
          <w:color w:val="000000" w:themeColor="text1"/>
          <w:lang w:val="en-US"/>
        </w:rPr>
        <w:t xml:space="preserve">and research </w:t>
      </w:r>
      <w:r w:rsidR="00BE62FC" w:rsidRPr="00813D19">
        <w:rPr>
          <w:color w:val="000000" w:themeColor="text1"/>
          <w:lang w:val="en-US"/>
        </w:rPr>
        <w:t>in Lebanon</w:t>
      </w:r>
      <w:r w:rsidR="000D60F3" w:rsidRPr="00813D19">
        <w:rPr>
          <w:color w:val="000000" w:themeColor="text1"/>
          <w:lang w:val="en-US"/>
        </w:rPr>
        <w:t>,</w:t>
      </w:r>
      <w:r w:rsidR="00BE62FC" w:rsidRPr="00813D19">
        <w:rPr>
          <w:color w:val="000000" w:themeColor="text1"/>
          <w:lang w:val="en-US"/>
        </w:rPr>
        <w:t xml:space="preserve"> </w:t>
      </w:r>
      <w:r w:rsidR="00904A53" w:rsidRPr="00813D19">
        <w:rPr>
          <w:color w:val="000000" w:themeColor="text1"/>
          <w:lang w:val="en-US"/>
        </w:rPr>
        <w:t>it was found that what blocked</w:t>
      </w:r>
      <w:r w:rsidR="00BE62FC" w:rsidRPr="00813D19">
        <w:rPr>
          <w:color w:val="000000" w:themeColor="text1"/>
          <w:lang w:val="en-US"/>
        </w:rPr>
        <w:t xml:space="preserve"> people</w:t>
      </w:r>
      <w:r w:rsidR="00904A53" w:rsidRPr="00813D19">
        <w:rPr>
          <w:color w:val="000000" w:themeColor="text1"/>
          <w:lang w:val="en-US"/>
        </w:rPr>
        <w:t>’s return was memory</w:t>
      </w:r>
      <w:r w:rsidR="00BE62FC" w:rsidRPr="00813D19">
        <w:rPr>
          <w:color w:val="000000" w:themeColor="text1"/>
          <w:lang w:val="en-US"/>
        </w:rPr>
        <w:t xml:space="preserve">. When forced displacement </w:t>
      </w:r>
      <w:r w:rsidR="0022020E" w:rsidRPr="00813D19">
        <w:rPr>
          <w:color w:val="000000" w:themeColor="text1"/>
          <w:lang w:val="en-US"/>
        </w:rPr>
        <w:t>is</w:t>
      </w:r>
      <w:r w:rsidR="00904A53" w:rsidRPr="00813D19">
        <w:rPr>
          <w:color w:val="000000" w:themeColor="text1"/>
          <w:lang w:val="en-US"/>
        </w:rPr>
        <w:t xml:space="preserve"> </w:t>
      </w:r>
      <w:r w:rsidR="00BE62FC" w:rsidRPr="00813D19">
        <w:rPr>
          <w:color w:val="000000" w:themeColor="text1"/>
          <w:lang w:val="en-US"/>
        </w:rPr>
        <w:t xml:space="preserve">long-lasting, </w:t>
      </w:r>
      <w:r w:rsidR="00904A53" w:rsidRPr="00813D19">
        <w:rPr>
          <w:color w:val="000000" w:themeColor="text1"/>
          <w:lang w:val="en-US"/>
        </w:rPr>
        <w:t xml:space="preserve">the </w:t>
      </w:r>
      <w:r w:rsidR="00BE62FC" w:rsidRPr="00813D19">
        <w:rPr>
          <w:color w:val="000000" w:themeColor="text1"/>
          <w:lang w:val="en-US"/>
        </w:rPr>
        <w:t>old</w:t>
      </w:r>
      <w:r w:rsidR="00904A53" w:rsidRPr="00813D19">
        <w:rPr>
          <w:color w:val="000000" w:themeColor="text1"/>
          <w:lang w:val="en-US"/>
        </w:rPr>
        <w:t>er</w:t>
      </w:r>
      <w:r w:rsidR="00BE62FC" w:rsidRPr="00813D19">
        <w:rPr>
          <w:color w:val="000000" w:themeColor="text1"/>
          <w:lang w:val="en-US"/>
        </w:rPr>
        <w:t xml:space="preserve"> generations disappear</w:t>
      </w:r>
      <w:r w:rsidR="000D60F3" w:rsidRPr="00813D19">
        <w:rPr>
          <w:color w:val="000000" w:themeColor="text1"/>
          <w:lang w:val="en-US"/>
        </w:rPr>
        <w:t xml:space="preserve">, disorienting the </w:t>
      </w:r>
      <w:r w:rsidR="00BE62FC" w:rsidRPr="00813D19">
        <w:rPr>
          <w:color w:val="000000" w:themeColor="text1"/>
          <w:lang w:val="en-US"/>
        </w:rPr>
        <w:t>young</w:t>
      </w:r>
      <w:r w:rsidR="000D60F3" w:rsidRPr="00813D19">
        <w:rPr>
          <w:color w:val="000000" w:themeColor="text1"/>
          <w:lang w:val="en-US"/>
        </w:rPr>
        <w:t xml:space="preserve">er generation when they </w:t>
      </w:r>
      <w:r w:rsidR="00BE62FC" w:rsidRPr="00813D19">
        <w:rPr>
          <w:color w:val="000000" w:themeColor="text1"/>
          <w:lang w:val="en-US"/>
        </w:rPr>
        <w:t>return. They want their knowledge and know-how</w:t>
      </w:r>
      <w:r w:rsidR="000D60F3" w:rsidRPr="00813D19">
        <w:rPr>
          <w:color w:val="000000" w:themeColor="text1"/>
          <w:lang w:val="en-US"/>
        </w:rPr>
        <w:t xml:space="preserve"> back</w:t>
      </w:r>
      <w:r w:rsidR="00BE62FC" w:rsidRPr="00813D19">
        <w:rPr>
          <w:color w:val="000000" w:themeColor="text1"/>
          <w:lang w:val="en-US"/>
        </w:rPr>
        <w:t xml:space="preserve">, but they </w:t>
      </w:r>
      <w:r w:rsidR="000D60F3" w:rsidRPr="00813D19">
        <w:rPr>
          <w:color w:val="000000" w:themeColor="text1"/>
          <w:lang w:val="en-US"/>
        </w:rPr>
        <w:t xml:space="preserve">do not know how, owing to </w:t>
      </w:r>
      <w:r w:rsidR="0022020E" w:rsidRPr="00813D19">
        <w:rPr>
          <w:color w:val="000000" w:themeColor="text1"/>
          <w:lang w:val="en-US"/>
        </w:rPr>
        <w:t xml:space="preserve">a </w:t>
      </w:r>
      <w:r w:rsidR="000D60F3" w:rsidRPr="00813D19">
        <w:rPr>
          <w:color w:val="000000" w:themeColor="text1"/>
          <w:lang w:val="en-US"/>
        </w:rPr>
        <w:t>lack of memory</w:t>
      </w:r>
      <w:r w:rsidR="00904A53" w:rsidRPr="00813D19">
        <w:rPr>
          <w:color w:val="000000" w:themeColor="text1"/>
          <w:lang w:val="en-US"/>
        </w:rPr>
        <w:t xml:space="preserve"> </w:t>
      </w:r>
      <w:r w:rsidR="000D60F3" w:rsidRPr="00813D19">
        <w:rPr>
          <w:color w:val="000000" w:themeColor="text1"/>
          <w:lang w:val="en-US"/>
        </w:rPr>
        <w:t xml:space="preserve">that </w:t>
      </w:r>
      <w:r w:rsidR="00BE62FC" w:rsidRPr="00813D19">
        <w:rPr>
          <w:color w:val="000000" w:themeColor="text1"/>
          <w:lang w:val="en-US"/>
        </w:rPr>
        <w:t xml:space="preserve">is not easy to reconstruct. </w:t>
      </w:r>
      <w:r w:rsidR="00904A53" w:rsidRPr="00813D19">
        <w:rPr>
          <w:color w:val="000000" w:themeColor="text1"/>
          <w:lang w:val="en-US"/>
        </w:rPr>
        <w:t>S</w:t>
      </w:r>
      <w:r w:rsidR="00BE62FC" w:rsidRPr="00813D19">
        <w:rPr>
          <w:color w:val="000000" w:themeColor="text1"/>
          <w:lang w:val="en-US"/>
        </w:rPr>
        <w:t>econd</w:t>
      </w:r>
      <w:r w:rsidR="00904A53" w:rsidRPr="00813D19">
        <w:rPr>
          <w:color w:val="000000" w:themeColor="text1"/>
          <w:lang w:val="en-US"/>
        </w:rPr>
        <w:t>ly,</w:t>
      </w:r>
      <w:r w:rsidR="00BE62FC" w:rsidRPr="00813D19">
        <w:rPr>
          <w:color w:val="000000" w:themeColor="text1"/>
          <w:lang w:val="en-US"/>
        </w:rPr>
        <w:t xml:space="preserve"> armed conflicts</w:t>
      </w:r>
      <w:r w:rsidR="0022020E" w:rsidRPr="00813D19">
        <w:rPr>
          <w:color w:val="000000" w:themeColor="text1"/>
          <w:lang w:val="en-US"/>
        </w:rPr>
        <w:t xml:space="preserve"> in a globalized world</w:t>
      </w:r>
      <w:r w:rsidR="00BE62FC" w:rsidRPr="00813D19">
        <w:rPr>
          <w:color w:val="000000" w:themeColor="text1"/>
          <w:lang w:val="en-US"/>
        </w:rPr>
        <w:t xml:space="preserve"> ar</w:t>
      </w:r>
      <w:r w:rsidR="0022020E" w:rsidRPr="00813D19">
        <w:rPr>
          <w:color w:val="000000" w:themeColor="text1"/>
          <w:lang w:val="en-US"/>
        </w:rPr>
        <w:t>e now moving towards civil wars</w:t>
      </w:r>
      <w:r w:rsidR="00BE62FC" w:rsidRPr="00813D19">
        <w:rPr>
          <w:color w:val="000000" w:themeColor="text1"/>
          <w:lang w:val="en-US"/>
        </w:rPr>
        <w:t xml:space="preserve"> </w:t>
      </w:r>
      <w:r w:rsidR="0022020E" w:rsidRPr="00813D19">
        <w:rPr>
          <w:color w:val="000000" w:themeColor="text1"/>
          <w:lang w:val="en-US"/>
        </w:rPr>
        <w:t>with different belligerent parties</w:t>
      </w:r>
      <w:r w:rsidR="00BE62FC" w:rsidRPr="00813D19">
        <w:rPr>
          <w:color w:val="000000" w:themeColor="text1"/>
          <w:lang w:val="en-US"/>
        </w:rPr>
        <w:t xml:space="preserve">. </w:t>
      </w:r>
      <w:r w:rsidR="0022020E" w:rsidRPr="00813D19">
        <w:rPr>
          <w:color w:val="000000" w:themeColor="text1"/>
          <w:lang w:val="en-US"/>
        </w:rPr>
        <w:t>H</w:t>
      </w:r>
      <w:r w:rsidR="00BE62FC" w:rsidRPr="00813D19">
        <w:rPr>
          <w:color w:val="000000" w:themeColor="text1"/>
          <w:lang w:val="en-US"/>
        </w:rPr>
        <w:t xml:space="preserve">as UNESCO reflected on ways in which communities in </w:t>
      </w:r>
      <w:r w:rsidR="0022020E" w:rsidRPr="00813D19">
        <w:rPr>
          <w:color w:val="000000" w:themeColor="text1"/>
          <w:lang w:val="en-US"/>
        </w:rPr>
        <w:t xml:space="preserve">a </w:t>
      </w:r>
      <w:r w:rsidR="00BE62FC" w:rsidRPr="00813D19">
        <w:rPr>
          <w:color w:val="000000" w:themeColor="text1"/>
          <w:lang w:val="en-US"/>
        </w:rPr>
        <w:t xml:space="preserve">conflict </w:t>
      </w:r>
      <w:r w:rsidR="0022020E" w:rsidRPr="00813D19">
        <w:rPr>
          <w:color w:val="000000" w:themeColor="text1"/>
          <w:lang w:val="en-US"/>
        </w:rPr>
        <w:t>situation with the S</w:t>
      </w:r>
      <w:r w:rsidR="00BE62FC" w:rsidRPr="00813D19">
        <w:rPr>
          <w:color w:val="000000" w:themeColor="text1"/>
          <w:lang w:val="en-US"/>
        </w:rPr>
        <w:t xml:space="preserve">tate could benefit from this safeguarding process? UNESCO </w:t>
      </w:r>
      <w:r w:rsidR="0022020E" w:rsidRPr="00813D19">
        <w:rPr>
          <w:color w:val="000000" w:themeColor="text1"/>
          <w:lang w:val="en-US"/>
        </w:rPr>
        <w:t xml:space="preserve">acts </w:t>
      </w:r>
      <w:r w:rsidR="00BE62FC" w:rsidRPr="00813D19">
        <w:rPr>
          <w:color w:val="000000" w:themeColor="text1"/>
          <w:lang w:val="en-US"/>
        </w:rPr>
        <w:t>through the State and therefore many communities remain on the margins of safeguarding the</w:t>
      </w:r>
      <w:r w:rsidR="0022020E" w:rsidRPr="00813D19">
        <w:rPr>
          <w:color w:val="000000" w:themeColor="text1"/>
          <w:lang w:val="en-US"/>
        </w:rPr>
        <w:t>ir</w:t>
      </w:r>
      <w:r w:rsidR="00BE62FC" w:rsidRPr="00813D19">
        <w:rPr>
          <w:color w:val="000000" w:themeColor="text1"/>
          <w:lang w:val="en-US"/>
        </w:rPr>
        <w:t xml:space="preserve"> intangible cultural heritage be</w:t>
      </w:r>
      <w:r w:rsidR="0022020E" w:rsidRPr="00813D19">
        <w:rPr>
          <w:color w:val="000000" w:themeColor="text1"/>
          <w:lang w:val="en-US"/>
        </w:rPr>
        <w:t>cause they are at war with the S</w:t>
      </w:r>
      <w:r w:rsidR="00BE62FC" w:rsidRPr="00813D19">
        <w:rPr>
          <w:color w:val="000000" w:themeColor="text1"/>
          <w:lang w:val="en-US"/>
        </w:rPr>
        <w:t>tate.</w:t>
      </w:r>
    </w:p>
    <w:p w14:paraId="44CBD13A" w14:textId="49B064B2" w:rsidR="005836C3" w:rsidRPr="00813D19" w:rsidRDefault="00A60958"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Poland</w:t>
      </w:r>
      <w:r w:rsidR="00216CB3" w:rsidRPr="00813D19">
        <w:rPr>
          <w:b/>
          <w:color w:val="000000" w:themeColor="text1"/>
          <w:lang w:val="en-US"/>
        </w:rPr>
        <w:t xml:space="preserve"> </w:t>
      </w:r>
      <w:r w:rsidR="00216CB3" w:rsidRPr="00813D19">
        <w:rPr>
          <w:bCs/>
          <w:lang w:val="en-US"/>
        </w:rPr>
        <w:t>welcome</w:t>
      </w:r>
      <w:r w:rsidR="008809DD" w:rsidRPr="00813D19">
        <w:rPr>
          <w:bCs/>
          <w:lang w:val="en-US"/>
        </w:rPr>
        <w:t>d</w:t>
      </w:r>
      <w:r w:rsidR="00216CB3" w:rsidRPr="00813D19">
        <w:rPr>
          <w:bCs/>
          <w:lang w:val="en-US"/>
        </w:rPr>
        <w:t xml:space="preserve"> with special interest the proposal submitted by the Secretariat in light of </w:t>
      </w:r>
      <w:r w:rsidR="008809DD" w:rsidRPr="00813D19">
        <w:rPr>
          <w:bCs/>
          <w:lang w:val="en-US"/>
        </w:rPr>
        <w:t xml:space="preserve">the </w:t>
      </w:r>
      <w:r w:rsidR="00216CB3" w:rsidRPr="00813D19">
        <w:rPr>
          <w:bCs/>
          <w:lang w:val="en-US"/>
        </w:rPr>
        <w:t xml:space="preserve">documents prepared in Poland in May 2018. </w:t>
      </w:r>
      <w:r w:rsidR="008809DD" w:rsidRPr="00813D19">
        <w:rPr>
          <w:bCs/>
          <w:lang w:val="en-US"/>
        </w:rPr>
        <w:t xml:space="preserve">The </w:t>
      </w:r>
      <w:r w:rsidR="00216CB3" w:rsidRPr="00813D19">
        <w:rPr>
          <w:bCs/>
          <w:lang w:val="en-US"/>
        </w:rPr>
        <w:t xml:space="preserve">Warsaw meeting was fully dedicated to </w:t>
      </w:r>
      <w:r w:rsidR="008809DD" w:rsidRPr="00813D19">
        <w:rPr>
          <w:bCs/>
          <w:lang w:val="en-US"/>
        </w:rPr>
        <w:t xml:space="preserve">the </w:t>
      </w:r>
      <w:r w:rsidR="00216CB3" w:rsidRPr="00813D19">
        <w:rPr>
          <w:bCs/>
          <w:lang w:val="en-US"/>
        </w:rPr>
        <w:t xml:space="preserve">recovery and reconstruction of cultural heritage but </w:t>
      </w:r>
      <w:r w:rsidR="008809DD" w:rsidRPr="00813D19">
        <w:rPr>
          <w:bCs/>
          <w:lang w:val="en-US"/>
        </w:rPr>
        <w:t xml:space="preserve">with respect to </w:t>
      </w:r>
      <w:r w:rsidR="00216CB3" w:rsidRPr="00813D19">
        <w:rPr>
          <w:bCs/>
          <w:lang w:val="en-US"/>
        </w:rPr>
        <w:t>the 1972 Convention</w:t>
      </w:r>
      <w:r w:rsidR="008809DD" w:rsidRPr="00813D19">
        <w:rPr>
          <w:bCs/>
          <w:lang w:val="en-US"/>
        </w:rPr>
        <w:t xml:space="preserve">, </w:t>
      </w:r>
      <w:r w:rsidR="0022020E" w:rsidRPr="00813D19">
        <w:rPr>
          <w:bCs/>
          <w:lang w:val="en-US"/>
        </w:rPr>
        <w:t xml:space="preserve">and </w:t>
      </w:r>
      <w:r w:rsidR="008809DD" w:rsidRPr="00813D19">
        <w:rPr>
          <w:bCs/>
          <w:lang w:val="en-US"/>
        </w:rPr>
        <w:t xml:space="preserve">the delegation felt that it was </w:t>
      </w:r>
      <w:r w:rsidR="00216CB3" w:rsidRPr="00813D19">
        <w:rPr>
          <w:bCs/>
          <w:lang w:val="en-US"/>
        </w:rPr>
        <w:t xml:space="preserve">impossible to </w:t>
      </w:r>
      <w:r w:rsidR="00813D19" w:rsidRPr="00813D19">
        <w:rPr>
          <w:bCs/>
          <w:lang w:val="en-US"/>
        </w:rPr>
        <w:t>separate</w:t>
      </w:r>
      <w:r w:rsidR="00216CB3" w:rsidRPr="00813D19">
        <w:rPr>
          <w:bCs/>
          <w:lang w:val="en-US"/>
        </w:rPr>
        <w:t xml:space="preserve"> these two Conventions in case</w:t>
      </w:r>
      <w:r w:rsidR="008809DD" w:rsidRPr="00813D19">
        <w:rPr>
          <w:bCs/>
          <w:lang w:val="en-US"/>
        </w:rPr>
        <w:t>s</w:t>
      </w:r>
      <w:r w:rsidR="00216CB3" w:rsidRPr="00813D19">
        <w:rPr>
          <w:bCs/>
          <w:lang w:val="en-US"/>
        </w:rPr>
        <w:t xml:space="preserve"> of armed conflict. </w:t>
      </w:r>
      <w:r w:rsidR="008809DD" w:rsidRPr="00813D19">
        <w:rPr>
          <w:bCs/>
          <w:lang w:val="en-US"/>
        </w:rPr>
        <w:t>It was noted that local communities play</w:t>
      </w:r>
      <w:r w:rsidR="00216CB3" w:rsidRPr="00813D19">
        <w:rPr>
          <w:bCs/>
          <w:lang w:val="en-US"/>
        </w:rPr>
        <w:t xml:space="preserve"> a crucial role in the process of recovery</w:t>
      </w:r>
      <w:r w:rsidR="008809DD" w:rsidRPr="00813D19">
        <w:rPr>
          <w:bCs/>
          <w:lang w:val="en-US"/>
        </w:rPr>
        <w:t>,</w:t>
      </w:r>
      <w:r w:rsidR="00216CB3" w:rsidRPr="00813D19">
        <w:rPr>
          <w:bCs/>
          <w:lang w:val="en-US"/>
        </w:rPr>
        <w:t xml:space="preserve"> </w:t>
      </w:r>
      <w:r w:rsidR="008809DD" w:rsidRPr="00813D19">
        <w:rPr>
          <w:bCs/>
          <w:lang w:val="en-US"/>
        </w:rPr>
        <w:t xml:space="preserve">as </w:t>
      </w:r>
      <w:r w:rsidR="00216CB3" w:rsidRPr="00813D19">
        <w:rPr>
          <w:bCs/>
          <w:lang w:val="en-US"/>
        </w:rPr>
        <w:t>personal and social memory is the most important</w:t>
      </w:r>
      <w:r w:rsidR="0022020E" w:rsidRPr="00813D19">
        <w:rPr>
          <w:bCs/>
          <w:lang w:val="en-US"/>
        </w:rPr>
        <w:t xml:space="preserve"> aspect of recovery. Local communities—</w:t>
      </w:r>
      <w:r w:rsidR="00216CB3" w:rsidRPr="00813D19">
        <w:rPr>
          <w:bCs/>
          <w:lang w:val="en-US"/>
        </w:rPr>
        <w:t>in this case</w:t>
      </w:r>
      <w:r w:rsidR="0022020E" w:rsidRPr="00813D19">
        <w:rPr>
          <w:bCs/>
          <w:lang w:val="en-US"/>
        </w:rPr>
        <w:t>,</w:t>
      </w:r>
      <w:r w:rsidR="00216CB3" w:rsidRPr="00813D19">
        <w:rPr>
          <w:bCs/>
          <w:lang w:val="en-US"/>
        </w:rPr>
        <w:t xml:space="preserve"> the memory</w:t>
      </w:r>
      <w:r w:rsidR="0022020E" w:rsidRPr="00813D19">
        <w:rPr>
          <w:bCs/>
          <w:lang w:val="en-US"/>
        </w:rPr>
        <w:t xml:space="preserve"> bearer—</w:t>
      </w:r>
      <w:r w:rsidR="00672806">
        <w:rPr>
          <w:bCs/>
          <w:lang w:val="en-US"/>
        </w:rPr>
        <w:t>were</w:t>
      </w:r>
      <w:r w:rsidR="00216CB3" w:rsidRPr="00813D19">
        <w:rPr>
          <w:bCs/>
          <w:lang w:val="en-US"/>
        </w:rPr>
        <w:t xml:space="preserve"> bearer</w:t>
      </w:r>
      <w:r w:rsidR="00672806">
        <w:rPr>
          <w:bCs/>
          <w:lang w:val="en-US"/>
        </w:rPr>
        <w:t>s</w:t>
      </w:r>
      <w:r w:rsidR="00216CB3" w:rsidRPr="00813D19">
        <w:rPr>
          <w:bCs/>
          <w:lang w:val="en-US"/>
        </w:rPr>
        <w:t xml:space="preserve"> of</w:t>
      </w:r>
      <w:r w:rsidR="008809DD" w:rsidRPr="00813D19">
        <w:rPr>
          <w:bCs/>
          <w:lang w:val="en-US"/>
        </w:rPr>
        <w:t xml:space="preserve"> the</w:t>
      </w:r>
      <w:r w:rsidR="00216CB3" w:rsidRPr="00813D19">
        <w:rPr>
          <w:bCs/>
          <w:lang w:val="en-US"/>
        </w:rPr>
        <w:t xml:space="preserve"> possibility to live</w:t>
      </w:r>
      <w:r w:rsidR="0022020E" w:rsidRPr="00813D19">
        <w:rPr>
          <w:bCs/>
          <w:lang w:val="en-US"/>
        </w:rPr>
        <w:t xml:space="preserve"> again</w:t>
      </w:r>
      <w:r w:rsidR="00216CB3" w:rsidRPr="00813D19">
        <w:rPr>
          <w:bCs/>
          <w:lang w:val="en-US"/>
        </w:rPr>
        <w:t xml:space="preserve">, to </w:t>
      </w:r>
      <w:r w:rsidR="0022020E" w:rsidRPr="00813D19">
        <w:rPr>
          <w:bCs/>
          <w:lang w:val="en-US"/>
        </w:rPr>
        <w:t>re-</w:t>
      </w:r>
      <w:r w:rsidR="00216CB3" w:rsidRPr="00813D19">
        <w:rPr>
          <w:bCs/>
          <w:lang w:val="en-US"/>
        </w:rPr>
        <w:t xml:space="preserve">start life as a social group in </w:t>
      </w:r>
      <w:r w:rsidR="008809DD" w:rsidRPr="00813D19">
        <w:rPr>
          <w:bCs/>
          <w:lang w:val="en-US"/>
        </w:rPr>
        <w:t>a destroyed</w:t>
      </w:r>
      <w:r w:rsidR="00216CB3" w:rsidRPr="00813D19">
        <w:rPr>
          <w:bCs/>
          <w:lang w:val="en-US"/>
        </w:rPr>
        <w:t xml:space="preserve"> environment. </w:t>
      </w:r>
      <w:r w:rsidR="008809DD" w:rsidRPr="00813D19">
        <w:rPr>
          <w:bCs/>
          <w:lang w:val="en-US"/>
        </w:rPr>
        <w:t xml:space="preserve">The delegation </w:t>
      </w:r>
      <w:r w:rsidR="00216CB3" w:rsidRPr="00813D19">
        <w:rPr>
          <w:bCs/>
          <w:lang w:val="en-US"/>
        </w:rPr>
        <w:t>stress</w:t>
      </w:r>
      <w:r w:rsidR="008809DD" w:rsidRPr="00813D19">
        <w:rPr>
          <w:bCs/>
          <w:lang w:val="en-US"/>
        </w:rPr>
        <w:t>ed</w:t>
      </w:r>
      <w:r w:rsidR="00216CB3" w:rsidRPr="00813D19">
        <w:rPr>
          <w:bCs/>
          <w:lang w:val="en-US"/>
        </w:rPr>
        <w:t xml:space="preserve"> the importance of this </w:t>
      </w:r>
      <w:r w:rsidR="008809DD" w:rsidRPr="00813D19">
        <w:rPr>
          <w:bCs/>
          <w:lang w:val="en-US"/>
        </w:rPr>
        <w:t>issue</w:t>
      </w:r>
      <w:r w:rsidR="0022020E" w:rsidRPr="00813D19">
        <w:rPr>
          <w:bCs/>
          <w:lang w:val="en-US"/>
        </w:rPr>
        <w:t xml:space="preserve">, as well as </w:t>
      </w:r>
      <w:r w:rsidR="00216CB3" w:rsidRPr="00813D19">
        <w:rPr>
          <w:bCs/>
          <w:lang w:val="en-US"/>
        </w:rPr>
        <w:t>the docume</w:t>
      </w:r>
      <w:r w:rsidR="008809DD" w:rsidRPr="00813D19">
        <w:rPr>
          <w:bCs/>
          <w:lang w:val="en-US"/>
        </w:rPr>
        <w:t>nt prepared by the Secretariat</w:t>
      </w:r>
      <w:r w:rsidR="00672806">
        <w:rPr>
          <w:bCs/>
          <w:lang w:val="en-US"/>
        </w:rPr>
        <w:t>,</w:t>
      </w:r>
      <w:r w:rsidR="008809DD" w:rsidRPr="00813D19">
        <w:rPr>
          <w:bCs/>
          <w:lang w:val="en-US"/>
        </w:rPr>
        <w:t xml:space="preserve"> for which it was grateful, tha</w:t>
      </w:r>
      <w:r w:rsidR="0022020E" w:rsidRPr="00813D19">
        <w:rPr>
          <w:bCs/>
          <w:lang w:val="en-US"/>
        </w:rPr>
        <w:t>n</w:t>
      </w:r>
      <w:r w:rsidR="008809DD" w:rsidRPr="00813D19">
        <w:rPr>
          <w:bCs/>
          <w:lang w:val="en-US"/>
        </w:rPr>
        <w:t xml:space="preserve">king </w:t>
      </w:r>
      <w:r w:rsidR="00216CB3" w:rsidRPr="00813D19">
        <w:rPr>
          <w:bCs/>
          <w:lang w:val="en-US"/>
        </w:rPr>
        <w:t>Chin</w:t>
      </w:r>
      <w:r w:rsidR="00634D0B">
        <w:rPr>
          <w:bCs/>
          <w:lang w:val="en-US"/>
        </w:rPr>
        <w:t>a for supporting this activity.</w:t>
      </w:r>
    </w:p>
    <w:p w14:paraId="13D2CE61" w14:textId="14FBA039" w:rsidR="008E4562" w:rsidRPr="00813D19" w:rsidRDefault="008E4562"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Kuwait</w:t>
      </w:r>
      <w:r w:rsidR="00A7251C" w:rsidRPr="00813D19">
        <w:rPr>
          <w:b/>
          <w:color w:val="000000" w:themeColor="text1"/>
          <w:lang w:val="en-US"/>
        </w:rPr>
        <w:t xml:space="preserve"> </w:t>
      </w:r>
      <w:r w:rsidR="00A7251C" w:rsidRPr="00813D19">
        <w:rPr>
          <w:bCs/>
          <w:lang w:val="en-US"/>
        </w:rPr>
        <w:t>thank</w:t>
      </w:r>
      <w:r w:rsidR="00617850" w:rsidRPr="00813D19">
        <w:rPr>
          <w:bCs/>
          <w:lang w:val="en-US"/>
        </w:rPr>
        <w:t>ed</w:t>
      </w:r>
      <w:r w:rsidR="00A7251C" w:rsidRPr="00813D19">
        <w:rPr>
          <w:bCs/>
          <w:lang w:val="en-US"/>
        </w:rPr>
        <w:t xml:space="preserve"> the Secretariat for </w:t>
      </w:r>
      <w:r w:rsidR="00617850" w:rsidRPr="00813D19">
        <w:rPr>
          <w:bCs/>
          <w:lang w:val="en-US"/>
        </w:rPr>
        <w:t xml:space="preserve">its </w:t>
      </w:r>
      <w:r w:rsidR="00A7251C" w:rsidRPr="00813D19">
        <w:rPr>
          <w:bCs/>
          <w:lang w:val="en-US"/>
        </w:rPr>
        <w:t xml:space="preserve">excellent work in the area of </w:t>
      </w:r>
      <w:r w:rsidR="00617850" w:rsidRPr="00813D19">
        <w:rPr>
          <w:bCs/>
          <w:lang w:val="en-US"/>
        </w:rPr>
        <w:t xml:space="preserve">intangible cultural heritage </w:t>
      </w:r>
      <w:r w:rsidR="00A7251C" w:rsidRPr="00813D19">
        <w:rPr>
          <w:bCs/>
          <w:lang w:val="en-US"/>
        </w:rPr>
        <w:t>in emergency situations</w:t>
      </w:r>
      <w:r w:rsidR="007E4E19" w:rsidRPr="00813D19">
        <w:rPr>
          <w:bCs/>
          <w:lang w:val="en-US"/>
        </w:rPr>
        <w:t>,</w:t>
      </w:r>
      <w:r w:rsidR="00A7251C" w:rsidRPr="00813D19">
        <w:rPr>
          <w:bCs/>
          <w:lang w:val="en-US"/>
        </w:rPr>
        <w:t xml:space="preserve"> </w:t>
      </w:r>
      <w:r w:rsidR="00900127" w:rsidRPr="00813D19">
        <w:rPr>
          <w:bCs/>
          <w:lang w:val="en-US"/>
        </w:rPr>
        <w:t xml:space="preserve">as well as </w:t>
      </w:r>
      <w:r w:rsidR="00A7251C" w:rsidRPr="00813D19">
        <w:rPr>
          <w:bCs/>
          <w:lang w:val="en-US"/>
        </w:rPr>
        <w:t>the Member States for having discussed their own experiences</w:t>
      </w:r>
      <w:r w:rsidR="007E4E19" w:rsidRPr="00813D19">
        <w:rPr>
          <w:bCs/>
          <w:lang w:val="en-US"/>
        </w:rPr>
        <w:t xml:space="preserve">, adding that </w:t>
      </w:r>
      <w:r w:rsidR="00900127" w:rsidRPr="00813D19">
        <w:rPr>
          <w:bCs/>
          <w:lang w:val="en-US"/>
        </w:rPr>
        <w:t xml:space="preserve">Kuwait </w:t>
      </w:r>
      <w:r w:rsidR="007E4E19" w:rsidRPr="00813D19">
        <w:rPr>
          <w:bCs/>
          <w:lang w:val="en-US"/>
        </w:rPr>
        <w:t xml:space="preserve">would </w:t>
      </w:r>
      <w:r w:rsidR="00A7251C" w:rsidRPr="00813D19">
        <w:rPr>
          <w:bCs/>
          <w:lang w:val="en-US"/>
        </w:rPr>
        <w:t xml:space="preserve">take all </w:t>
      </w:r>
      <w:r w:rsidR="00672806">
        <w:rPr>
          <w:bCs/>
          <w:lang w:val="en-US"/>
        </w:rPr>
        <w:t xml:space="preserve">the </w:t>
      </w:r>
      <w:r w:rsidR="00A7251C" w:rsidRPr="00813D19">
        <w:rPr>
          <w:bCs/>
          <w:lang w:val="en-US"/>
        </w:rPr>
        <w:t xml:space="preserve">necessary </w:t>
      </w:r>
      <w:r w:rsidR="007E4E19" w:rsidRPr="00813D19">
        <w:rPr>
          <w:bCs/>
          <w:lang w:val="en-US"/>
        </w:rPr>
        <w:t xml:space="preserve">steps </w:t>
      </w:r>
      <w:r w:rsidR="00A7251C" w:rsidRPr="00813D19">
        <w:rPr>
          <w:bCs/>
          <w:lang w:val="en-US"/>
        </w:rPr>
        <w:t xml:space="preserve">to protect </w:t>
      </w:r>
      <w:r w:rsidR="007E4E19" w:rsidRPr="00813D19">
        <w:rPr>
          <w:bCs/>
          <w:lang w:val="en-US"/>
        </w:rPr>
        <w:t xml:space="preserve">intangible cultural heritage </w:t>
      </w:r>
      <w:r w:rsidR="00A7251C" w:rsidRPr="00813D19">
        <w:rPr>
          <w:bCs/>
          <w:lang w:val="en-US"/>
        </w:rPr>
        <w:t>in case</w:t>
      </w:r>
      <w:r w:rsidR="00900127" w:rsidRPr="00813D19">
        <w:rPr>
          <w:bCs/>
          <w:lang w:val="en-US"/>
        </w:rPr>
        <w:t>s</w:t>
      </w:r>
      <w:r w:rsidR="00A7251C" w:rsidRPr="00813D19">
        <w:rPr>
          <w:bCs/>
          <w:lang w:val="en-US"/>
        </w:rPr>
        <w:t xml:space="preserve"> </w:t>
      </w:r>
      <w:r w:rsidR="00900127" w:rsidRPr="00813D19">
        <w:rPr>
          <w:bCs/>
          <w:lang w:val="en-US"/>
        </w:rPr>
        <w:t xml:space="preserve">of </w:t>
      </w:r>
      <w:r w:rsidR="00A7251C" w:rsidRPr="00813D19">
        <w:rPr>
          <w:bCs/>
          <w:lang w:val="en-US"/>
        </w:rPr>
        <w:t>con</w:t>
      </w:r>
      <w:r w:rsidR="00634D0B">
        <w:rPr>
          <w:bCs/>
          <w:lang w:val="en-US"/>
        </w:rPr>
        <w:t>flict and emergency situations.</w:t>
      </w:r>
    </w:p>
    <w:p w14:paraId="00591673" w14:textId="1A785BDC" w:rsidR="00847E49" w:rsidRPr="00813D19" w:rsidRDefault="00847E49"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Jamaica</w:t>
      </w:r>
      <w:r w:rsidR="00A7251C" w:rsidRPr="00813D19">
        <w:rPr>
          <w:b/>
          <w:color w:val="000000" w:themeColor="text1"/>
          <w:lang w:val="en-US"/>
        </w:rPr>
        <w:t xml:space="preserve"> </w:t>
      </w:r>
      <w:r w:rsidR="004239C4" w:rsidRPr="00813D19">
        <w:rPr>
          <w:bCs/>
          <w:lang w:val="en-US"/>
        </w:rPr>
        <w:t>thanked</w:t>
      </w:r>
      <w:r w:rsidR="00A7251C" w:rsidRPr="00813D19">
        <w:rPr>
          <w:bCs/>
          <w:lang w:val="en-US"/>
        </w:rPr>
        <w:t xml:space="preserve"> the Secretariat for the report on this very significant issue. Caribbean countries are often impacted by extreme weather conditions</w:t>
      </w:r>
      <w:r w:rsidR="004239C4" w:rsidRPr="00813D19">
        <w:rPr>
          <w:bCs/>
          <w:lang w:val="en-US"/>
        </w:rPr>
        <w:t>,</w:t>
      </w:r>
      <w:r w:rsidR="00A7251C" w:rsidRPr="00813D19">
        <w:rPr>
          <w:bCs/>
          <w:lang w:val="en-US"/>
        </w:rPr>
        <w:t xml:space="preserve"> such as hurricanes and earthquakes, which have become increasingly severe over the past few years as a result of climate change. The displacement of communities and the need to safeguard </w:t>
      </w:r>
      <w:r w:rsidR="004239C4" w:rsidRPr="00813D19">
        <w:rPr>
          <w:bCs/>
          <w:lang w:val="en-US"/>
        </w:rPr>
        <w:t xml:space="preserve">intangible cultural heritage </w:t>
      </w:r>
      <w:r w:rsidR="00A7251C" w:rsidRPr="00813D19">
        <w:rPr>
          <w:bCs/>
          <w:lang w:val="en-US"/>
        </w:rPr>
        <w:t>as a result of these various disasters is of paramount importance. Jamai</w:t>
      </w:r>
      <w:r w:rsidR="004239C4" w:rsidRPr="00813D19">
        <w:rPr>
          <w:bCs/>
          <w:lang w:val="en-US"/>
        </w:rPr>
        <w:t>ca welcomed</w:t>
      </w:r>
      <w:r w:rsidR="00A7251C" w:rsidRPr="00813D19">
        <w:rPr>
          <w:bCs/>
          <w:lang w:val="en-US"/>
        </w:rPr>
        <w:t xml:space="preserve"> </w:t>
      </w:r>
      <w:r w:rsidR="004239C4" w:rsidRPr="00813D19">
        <w:rPr>
          <w:bCs/>
          <w:lang w:val="en-US"/>
        </w:rPr>
        <w:t>the actions taken in the Africa</w:t>
      </w:r>
      <w:r w:rsidR="00A7251C" w:rsidRPr="00813D19">
        <w:rPr>
          <w:bCs/>
          <w:lang w:val="en-US"/>
        </w:rPr>
        <w:t xml:space="preserve">, Arab and Caribbean regions. </w:t>
      </w:r>
      <w:r w:rsidR="004239C4" w:rsidRPr="00813D19">
        <w:rPr>
          <w:bCs/>
          <w:lang w:val="en-US"/>
        </w:rPr>
        <w:t xml:space="preserve">Moreover, following </w:t>
      </w:r>
      <w:r w:rsidR="00A7251C" w:rsidRPr="00813D19">
        <w:rPr>
          <w:bCs/>
          <w:lang w:val="en-US"/>
        </w:rPr>
        <w:t>the 2017 hurricanes</w:t>
      </w:r>
      <w:r w:rsidR="004239C4" w:rsidRPr="00813D19">
        <w:rPr>
          <w:bCs/>
          <w:lang w:val="en-US"/>
        </w:rPr>
        <w:t>,</w:t>
      </w:r>
      <w:r w:rsidR="00A7251C" w:rsidRPr="00813D19">
        <w:rPr>
          <w:bCs/>
          <w:lang w:val="en-US"/>
        </w:rPr>
        <w:t xml:space="preserve"> the development </w:t>
      </w:r>
      <w:r w:rsidR="00900127" w:rsidRPr="00813D19">
        <w:rPr>
          <w:bCs/>
          <w:lang w:val="en-US"/>
        </w:rPr>
        <w:t xml:space="preserve">plan </w:t>
      </w:r>
      <w:r w:rsidR="00A7251C" w:rsidRPr="00813D19">
        <w:rPr>
          <w:bCs/>
          <w:lang w:val="en-US"/>
        </w:rPr>
        <w:t xml:space="preserve">of the Caribbean Heritage </w:t>
      </w:r>
      <w:r w:rsidR="004239C4" w:rsidRPr="00813D19">
        <w:rPr>
          <w:bCs/>
          <w:lang w:val="en-US"/>
        </w:rPr>
        <w:t>N</w:t>
      </w:r>
      <w:r w:rsidR="00A7251C" w:rsidRPr="00813D19">
        <w:rPr>
          <w:bCs/>
          <w:lang w:val="en-US"/>
        </w:rPr>
        <w:t xml:space="preserve">etwork </w:t>
      </w:r>
      <w:r w:rsidR="004239C4" w:rsidRPr="00813D19">
        <w:rPr>
          <w:bCs/>
          <w:lang w:val="en-US"/>
        </w:rPr>
        <w:t xml:space="preserve">was very </w:t>
      </w:r>
      <w:r w:rsidR="00A7251C" w:rsidRPr="00813D19">
        <w:rPr>
          <w:bCs/>
          <w:lang w:val="en-US"/>
        </w:rPr>
        <w:t>appreci</w:t>
      </w:r>
      <w:r w:rsidR="004239C4" w:rsidRPr="00813D19">
        <w:rPr>
          <w:bCs/>
          <w:lang w:val="en-US"/>
        </w:rPr>
        <w:t>ated. Jamaica therefore supported</w:t>
      </w:r>
      <w:r w:rsidR="00A7251C" w:rsidRPr="00813D19">
        <w:rPr>
          <w:bCs/>
          <w:lang w:val="en-US"/>
        </w:rPr>
        <w:t xml:space="preserve"> the expert meetings to be held in 2019</w:t>
      </w:r>
      <w:r w:rsidR="00900127" w:rsidRPr="00813D19">
        <w:rPr>
          <w:bCs/>
          <w:lang w:val="en-US"/>
        </w:rPr>
        <w:t>,</w:t>
      </w:r>
      <w:r w:rsidR="00A7251C" w:rsidRPr="00813D19">
        <w:rPr>
          <w:bCs/>
          <w:lang w:val="en-US"/>
        </w:rPr>
        <w:t xml:space="preserve"> and </w:t>
      </w:r>
      <w:r w:rsidR="004239C4" w:rsidRPr="00813D19">
        <w:rPr>
          <w:bCs/>
          <w:lang w:val="en-US"/>
        </w:rPr>
        <w:t>looked</w:t>
      </w:r>
      <w:r w:rsidR="00A7251C" w:rsidRPr="00813D19">
        <w:rPr>
          <w:bCs/>
          <w:lang w:val="en-US"/>
        </w:rPr>
        <w:t xml:space="preserve"> forward to </w:t>
      </w:r>
      <w:r w:rsidR="004239C4" w:rsidRPr="00813D19">
        <w:rPr>
          <w:bCs/>
          <w:lang w:val="en-US"/>
        </w:rPr>
        <w:t xml:space="preserve">the </w:t>
      </w:r>
      <w:r w:rsidR="00A7251C" w:rsidRPr="00813D19">
        <w:rPr>
          <w:bCs/>
          <w:lang w:val="en-US"/>
        </w:rPr>
        <w:t xml:space="preserve">upcoming work in this regard for the benefit of </w:t>
      </w:r>
      <w:r w:rsidR="004239C4" w:rsidRPr="00813D19">
        <w:rPr>
          <w:bCs/>
          <w:lang w:val="en-US"/>
        </w:rPr>
        <w:t>all. Jamaica also thanked</w:t>
      </w:r>
      <w:r w:rsidR="00A7251C" w:rsidRPr="00813D19">
        <w:rPr>
          <w:bCs/>
          <w:lang w:val="en-US"/>
        </w:rPr>
        <w:t xml:space="preserve"> China for its co</w:t>
      </w:r>
      <w:r w:rsidR="00634D0B">
        <w:rPr>
          <w:bCs/>
          <w:lang w:val="en-US"/>
        </w:rPr>
        <w:t>ntribution towards this effort.</w:t>
      </w:r>
    </w:p>
    <w:p w14:paraId="517306F9" w14:textId="0F13CFB7" w:rsidR="00847E49" w:rsidRPr="00813D19" w:rsidRDefault="00431F63"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Sri Lanka</w:t>
      </w:r>
      <w:r w:rsidR="00A7251C" w:rsidRPr="00813D19">
        <w:rPr>
          <w:b/>
          <w:color w:val="000000" w:themeColor="text1"/>
          <w:lang w:val="en-US"/>
        </w:rPr>
        <w:t xml:space="preserve"> </w:t>
      </w:r>
      <w:r w:rsidR="004239C4" w:rsidRPr="00813D19">
        <w:rPr>
          <w:color w:val="000000" w:themeColor="text1"/>
          <w:lang w:val="en-US"/>
        </w:rPr>
        <w:t>spoke</w:t>
      </w:r>
      <w:r w:rsidR="004239C4" w:rsidRPr="00813D19">
        <w:rPr>
          <w:b/>
          <w:color w:val="000000" w:themeColor="text1"/>
          <w:lang w:val="en-US"/>
        </w:rPr>
        <w:t xml:space="preserve"> </w:t>
      </w:r>
      <w:r w:rsidR="004239C4" w:rsidRPr="00813D19">
        <w:rPr>
          <w:bCs/>
          <w:lang w:val="en-US"/>
        </w:rPr>
        <w:t>a</w:t>
      </w:r>
      <w:r w:rsidR="00A7251C" w:rsidRPr="00813D19">
        <w:rPr>
          <w:bCs/>
          <w:lang w:val="en-US"/>
        </w:rPr>
        <w:t xml:space="preserve">s a country that </w:t>
      </w:r>
      <w:r w:rsidR="004239C4" w:rsidRPr="00813D19">
        <w:rPr>
          <w:bCs/>
          <w:lang w:val="en-US"/>
        </w:rPr>
        <w:t xml:space="preserve">had </w:t>
      </w:r>
      <w:r w:rsidR="00A7251C" w:rsidRPr="00813D19">
        <w:rPr>
          <w:bCs/>
          <w:lang w:val="en-US"/>
        </w:rPr>
        <w:t xml:space="preserve">experienced </w:t>
      </w:r>
      <w:r w:rsidR="004239C4" w:rsidRPr="00813D19">
        <w:rPr>
          <w:bCs/>
          <w:lang w:val="en-US"/>
        </w:rPr>
        <w:t xml:space="preserve">a </w:t>
      </w:r>
      <w:r w:rsidR="00672806">
        <w:rPr>
          <w:bCs/>
          <w:lang w:val="en-US"/>
        </w:rPr>
        <w:t>thirty</w:t>
      </w:r>
      <w:r w:rsidR="004239C4" w:rsidRPr="00813D19">
        <w:rPr>
          <w:bCs/>
          <w:lang w:val="en-US"/>
        </w:rPr>
        <w:t xml:space="preserve">-year </w:t>
      </w:r>
      <w:r w:rsidR="00A7251C" w:rsidRPr="00813D19">
        <w:rPr>
          <w:bCs/>
          <w:lang w:val="en-US"/>
        </w:rPr>
        <w:t>internal conflict and the Asian tsunami in 2004</w:t>
      </w:r>
      <w:r w:rsidR="004239C4" w:rsidRPr="00813D19">
        <w:rPr>
          <w:bCs/>
          <w:lang w:val="en-US"/>
        </w:rPr>
        <w:t>, and thus it fully understood</w:t>
      </w:r>
      <w:r w:rsidR="00A7251C" w:rsidRPr="00813D19">
        <w:rPr>
          <w:bCs/>
          <w:lang w:val="en-US"/>
        </w:rPr>
        <w:t xml:space="preserve"> the destructive effects </w:t>
      </w:r>
      <w:r w:rsidR="00900127" w:rsidRPr="00813D19">
        <w:rPr>
          <w:bCs/>
          <w:lang w:val="en-US"/>
        </w:rPr>
        <w:t xml:space="preserve">both </w:t>
      </w:r>
      <w:r w:rsidR="00A7251C" w:rsidRPr="00813D19">
        <w:rPr>
          <w:bCs/>
          <w:lang w:val="en-US"/>
        </w:rPr>
        <w:t xml:space="preserve">of natural disasters and conflict on </w:t>
      </w:r>
      <w:r w:rsidR="004239C4" w:rsidRPr="00813D19">
        <w:rPr>
          <w:bCs/>
          <w:lang w:val="en-US"/>
        </w:rPr>
        <w:t>intangible cultural heritage</w:t>
      </w:r>
      <w:r w:rsidR="00A7251C" w:rsidRPr="00813D19">
        <w:rPr>
          <w:bCs/>
          <w:lang w:val="en-US"/>
        </w:rPr>
        <w:t xml:space="preserve">. </w:t>
      </w:r>
      <w:r w:rsidR="004239C4" w:rsidRPr="00813D19">
        <w:rPr>
          <w:bCs/>
          <w:lang w:val="en-US"/>
        </w:rPr>
        <w:t xml:space="preserve">The country still </w:t>
      </w:r>
      <w:r w:rsidR="00A7251C" w:rsidRPr="00813D19">
        <w:rPr>
          <w:bCs/>
          <w:lang w:val="en-US"/>
        </w:rPr>
        <w:t>experience</w:t>
      </w:r>
      <w:r w:rsidR="004239C4" w:rsidRPr="00813D19">
        <w:rPr>
          <w:bCs/>
          <w:lang w:val="en-US"/>
        </w:rPr>
        <w:t>d</w:t>
      </w:r>
      <w:r w:rsidR="00A7251C" w:rsidRPr="00813D19">
        <w:rPr>
          <w:bCs/>
          <w:lang w:val="en-US"/>
        </w:rPr>
        <w:t xml:space="preserve"> disasters </w:t>
      </w:r>
      <w:r w:rsidR="004239C4" w:rsidRPr="00813D19">
        <w:rPr>
          <w:bCs/>
          <w:lang w:val="en-US"/>
        </w:rPr>
        <w:t>caused by floods and landslides</w:t>
      </w:r>
      <w:r w:rsidR="00A7251C" w:rsidRPr="00813D19">
        <w:rPr>
          <w:bCs/>
          <w:lang w:val="en-US"/>
        </w:rPr>
        <w:t xml:space="preserve"> annually</w:t>
      </w:r>
      <w:r w:rsidR="004239C4" w:rsidRPr="00813D19">
        <w:rPr>
          <w:bCs/>
          <w:lang w:val="en-US"/>
        </w:rPr>
        <w:t>,</w:t>
      </w:r>
      <w:r w:rsidR="00A7251C" w:rsidRPr="00813D19">
        <w:rPr>
          <w:bCs/>
          <w:lang w:val="en-US"/>
        </w:rPr>
        <w:t xml:space="preserve"> causing serious damage to </w:t>
      </w:r>
      <w:r w:rsidR="004239C4" w:rsidRPr="00813D19">
        <w:rPr>
          <w:bCs/>
          <w:lang w:val="en-US"/>
        </w:rPr>
        <w:t>intangible cultural heritage</w:t>
      </w:r>
      <w:r w:rsidR="00A7251C" w:rsidRPr="00813D19">
        <w:rPr>
          <w:bCs/>
          <w:lang w:val="en-US"/>
        </w:rPr>
        <w:t>. At the same time</w:t>
      </w:r>
      <w:r w:rsidR="004239C4" w:rsidRPr="00813D19">
        <w:rPr>
          <w:bCs/>
          <w:lang w:val="en-US"/>
        </w:rPr>
        <w:t>, it</w:t>
      </w:r>
      <w:r w:rsidR="00A7251C" w:rsidRPr="00813D19">
        <w:rPr>
          <w:bCs/>
          <w:lang w:val="en-US"/>
        </w:rPr>
        <w:t xml:space="preserve"> </w:t>
      </w:r>
      <w:r w:rsidR="004239C4" w:rsidRPr="00813D19">
        <w:rPr>
          <w:bCs/>
          <w:lang w:val="en-US"/>
        </w:rPr>
        <w:t>understood</w:t>
      </w:r>
      <w:r w:rsidR="00A7251C" w:rsidRPr="00813D19">
        <w:rPr>
          <w:bCs/>
          <w:lang w:val="en-US"/>
        </w:rPr>
        <w:t xml:space="preserve"> the potential of </w:t>
      </w:r>
      <w:r w:rsidR="004239C4" w:rsidRPr="00813D19">
        <w:rPr>
          <w:bCs/>
          <w:lang w:val="en-US"/>
        </w:rPr>
        <w:t xml:space="preserve">intangible cultural heritage </w:t>
      </w:r>
      <w:r w:rsidR="00A7251C" w:rsidRPr="00813D19">
        <w:rPr>
          <w:bCs/>
          <w:lang w:val="en-US"/>
        </w:rPr>
        <w:t xml:space="preserve">in recovery and reconciliation efforts. However, </w:t>
      </w:r>
      <w:r w:rsidR="004239C4" w:rsidRPr="00813D19">
        <w:rPr>
          <w:bCs/>
          <w:lang w:val="en-US"/>
        </w:rPr>
        <w:t xml:space="preserve">Sri Lanka did </w:t>
      </w:r>
      <w:r w:rsidR="00A7251C" w:rsidRPr="00813D19">
        <w:rPr>
          <w:bCs/>
          <w:lang w:val="en-US"/>
        </w:rPr>
        <w:t xml:space="preserve">not </w:t>
      </w:r>
      <w:r w:rsidR="004239C4" w:rsidRPr="00813D19">
        <w:rPr>
          <w:bCs/>
          <w:lang w:val="en-US"/>
        </w:rPr>
        <w:t xml:space="preserve">currently </w:t>
      </w:r>
      <w:r w:rsidR="00A7251C" w:rsidRPr="00813D19">
        <w:rPr>
          <w:bCs/>
          <w:lang w:val="en-US"/>
        </w:rPr>
        <w:t xml:space="preserve">have a local programme in place as preparatory measures. </w:t>
      </w:r>
      <w:r w:rsidR="004239C4" w:rsidRPr="00813D19">
        <w:rPr>
          <w:bCs/>
          <w:lang w:val="en-US"/>
        </w:rPr>
        <w:t xml:space="preserve">The delegation </w:t>
      </w:r>
      <w:r w:rsidR="00A7251C" w:rsidRPr="00813D19">
        <w:rPr>
          <w:bCs/>
          <w:lang w:val="en-US"/>
        </w:rPr>
        <w:t>appreciate</w:t>
      </w:r>
      <w:r w:rsidR="004239C4" w:rsidRPr="00813D19">
        <w:rPr>
          <w:bCs/>
          <w:lang w:val="en-US"/>
        </w:rPr>
        <w:t>d</w:t>
      </w:r>
      <w:r w:rsidR="00A7251C" w:rsidRPr="00813D19">
        <w:rPr>
          <w:bCs/>
          <w:lang w:val="en-US"/>
        </w:rPr>
        <w:t xml:space="preserve"> the work by the Secretariat in this regard </w:t>
      </w:r>
      <w:r w:rsidR="004239C4" w:rsidRPr="00813D19">
        <w:rPr>
          <w:bCs/>
          <w:lang w:val="en-US"/>
        </w:rPr>
        <w:t xml:space="preserve">and fully </w:t>
      </w:r>
      <w:r w:rsidR="00A7251C" w:rsidRPr="00813D19">
        <w:rPr>
          <w:bCs/>
          <w:lang w:val="en-US"/>
        </w:rPr>
        <w:t>agree</w:t>
      </w:r>
      <w:r w:rsidR="004239C4" w:rsidRPr="00813D19">
        <w:rPr>
          <w:bCs/>
          <w:lang w:val="en-US"/>
        </w:rPr>
        <w:t>d</w:t>
      </w:r>
      <w:r w:rsidR="00A7251C" w:rsidRPr="00813D19">
        <w:rPr>
          <w:bCs/>
          <w:lang w:val="en-US"/>
        </w:rPr>
        <w:t xml:space="preserve"> with the previous speakers</w:t>
      </w:r>
      <w:r w:rsidR="004239C4" w:rsidRPr="00813D19">
        <w:rPr>
          <w:bCs/>
          <w:lang w:val="en-US"/>
        </w:rPr>
        <w:t>,</w:t>
      </w:r>
      <w:r w:rsidR="00A7251C" w:rsidRPr="00813D19">
        <w:rPr>
          <w:bCs/>
          <w:lang w:val="en-US"/>
        </w:rPr>
        <w:t xml:space="preserve"> express</w:t>
      </w:r>
      <w:r w:rsidR="004239C4" w:rsidRPr="00813D19">
        <w:rPr>
          <w:bCs/>
          <w:lang w:val="en-US"/>
        </w:rPr>
        <w:t>ing its</w:t>
      </w:r>
      <w:r w:rsidR="00A7251C" w:rsidRPr="00813D19">
        <w:rPr>
          <w:bCs/>
          <w:lang w:val="en-US"/>
        </w:rPr>
        <w:t xml:space="preserve"> support for UNESCO’s future plans </w:t>
      </w:r>
      <w:r w:rsidR="004239C4" w:rsidRPr="00813D19">
        <w:rPr>
          <w:bCs/>
          <w:lang w:val="en-US"/>
        </w:rPr>
        <w:t xml:space="preserve">in </w:t>
      </w:r>
      <w:r w:rsidR="00A7251C" w:rsidRPr="00813D19">
        <w:rPr>
          <w:bCs/>
          <w:lang w:val="en-US"/>
        </w:rPr>
        <w:t xml:space="preserve">this matter. </w:t>
      </w:r>
      <w:r w:rsidR="004239C4" w:rsidRPr="00813D19">
        <w:rPr>
          <w:bCs/>
          <w:lang w:val="en-US"/>
        </w:rPr>
        <w:t xml:space="preserve">It also </w:t>
      </w:r>
      <w:r w:rsidR="00A7251C" w:rsidRPr="00813D19">
        <w:rPr>
          <w:bCs/>
          <w:lang w:val="en-US"/>
        </w:rPr>
        <w:t>thank</w:t>
      </w:r>
      <w:r w:rsidR="004239C4" w:rsidRPr="00813D19">
        <w:rPr>
          <w:bCs/>
          <w:lang w:val="en-US"/>
        </w:rPr>
        <w:t>ed</w:t>
      </w:r>
      <w:r w:rsidR="00A7251C" w:rsidRPr="00813D19">
        <w:rPr>
          <w:bCs/>
          <w:lang w:val="en-US"/>
        </w:rPr>
        <w:t xml:space="preserve"> China for </w:t>
      </w:r>
      <w:r w:rsidR="004239C4" w:rsidRPr="00813D19">
        <w:rPr>
          <w:bCs/>
          <w:lang w:val="en-US"/>
        </w:rPr>
        <w:t>the workshop</w:t>
      </w:r>
      <w:r w:rsidR="00A7251C" w:rsidRPr="00813D19">
        <w:rPr>
          <w:bCs/>
          <w:lang w:val="en-US"/>
        </w:rPr>
        <w:t xml:space="preserve"> and other plans to safeguard </w:t>
      </w:r>
      <w:r w:rsidR="004239C4" w:rsidRPr="00813D19">
        <w:rPr>
          <w:bCs/>
          <w:lang w:val="en-US"/>
        </w:rPr>
        <w:t xml:space="preserve">intangible heritage </w:t>
      </w:r>
      <w:r w:rsidR="00A7251C" w:rsidRPr="00813D19">
        <w:rPr>
          <w:bCs/>
          <w:lang w:val="en-US"/>
        </w:rPr>
        <w:t>in disasters and con</w:t>
      </w:r>
      <w:r w:rsidR="00634D0B">
        <w:rPr>
          <w:bCs/>
          <w:lang w:val="en-US"/>
        </w:rPr>
        <w:t>flict situations in the future.</w:t>
      </w:r>
    </w:p>
    <w:p w14:paraId="33773D18" w14:textId="06146B29" w:rsidR="00431F63" w:rsidRPr="00813D19" w:rsidRDefault="001F1792"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Armenia</w:t>
      </w:r>
      <w:r w:rsidR="00A7251C" w:rsidRPr="00813D19">
        <w:rPr>
          <w:b/>
          <w:color w:val="000000" w:themeColor="text1"/>
          <w:lang w:val="en-US"/>
        </w:rPr>
        <w:t xml:space="preserve"> </w:t>
      </w:r>
      <w:r w:rsidR="00E463F2" w:rsidRPr="00813D19">
        <w:rPr>
          <w:bCs/>
          <w:lang w:val="en-US"/>
        </w:rPr>
        <w:t>strongly supported</w:t>
      </w:r>
      <w:r w:rsidR="00A7251C" w:rsidRPr="00813D19">
        <w:rPr>
          <w:bCs/>
          <w:lang w:val="en-US"/>
        </w:rPr>
        <w:t xml:space="preserve"> the issue of safeguarding intangible cultural heritage in emerge</w:t>
      </w:r>
      <w:r w:rsidR="00E463F2" w:rsidRPr="00813D19">
        <w:rPr>
          <w:bCs/>
          <w:lang w:val="en-US"/>
        </w:rPr>
        <w:t xml:space="preserve">ncy situations, and thus </w:t>
      </w:r>
      <w:r w:rsidR="00A7251C" w:rsidRPr="00813D19">
        <w:rPr>
          <w:bCs/>
          <w:lang w:val="en-US"/>
        </w:rPr>
        <w:t>strongly support</w:t>
      </w:r>
      <w:r w:rsidR="00E463F2" w:rsidRPr="00813D19">
        <w:rPr>
          <w:bCs/>
          <w:lang w:val="en-US"/>
        </w:rPr>
        <w:t>ed</w:t>
      </w:r>
      <w:r w:rsidR="00A7251C" w:rsidRPr="00813D19">
        <w:rPr>
          <w:bCs/>
          <w:lang w:val="en-US"/>
        </w:rPr>
        <w:t xml:space="preserve"> UNESCO programmes in </w:t>
      </w:r>
      <w:r w:rsidR="00E463F2" w:rsidRPr="00813D19">
        <w:rPr>
          <w:bCs/>
          <w:lang w:val="en-US"/>
        </w:rPr>
        <w:t>this area</w:t>
      </w:r>
      <w:r w:rsidR="00A7251C" w:rsidRPr="00813D19">
        <w:rPr>
          <w:bCs/>
          <w:lang w:val="en-US"/>
        </w:rPr>
        <w:t xml:space="preserve"> of competence. </w:t>
      </w:r>
      <w:r w:rsidR="00E463F2" w:rsidRPr="00813D19">
        <w:rPr>
          <w:bCs/>
          <w:lang w:val="en-US"/>
        </w:rPr>
        <w:t xml:space="preserve">It also </w:t>
      </w:r>
      <w:r w:rsidR="00A7251C" w:rsidRPr="00813D19">
        <w:rPr>
          <w:bCs/>
          <w:lang w:val="en-US"/>
        </w:rPr>
        <w:t>fully support</w:t>
      </w:r>
      <w:r w:rsidR="00E463F2" w:rsidRPr="00813D19">
        <w:rPr>
          <w:bCs/>
          <w:lang w:val="en-US"/>
        </w:rPr>
        <w:t>ed</w:t>
      </w:r>
      <w:r w:rsidR="00A7251C" w:rsidRPr="00813D19">
        <w:rPr>
          <w:bCs/>
          <w:lang w:val="en-US"/>
        </w:rPr>
        <w:t xml:space="preserve"> efforts to safeguard cultural heritage in conflict zones and condemn</w:t>
      </w:r>
      <w:r w:rsidR="00E463F2" w:rsidRPr="00813D19">
        <w:rPr>
          <w:bCs/>
          <w:lang w:val="en-US"/>
        </w:rPr>
        <w:t>ed</w:t>
      </w:r>
      <w:r w:rsidR="00A7251C" w:rsidRPr="00813D19">
        <w:rPr>
          <w:bCs/>
          <w:lang w:val="en-US"/>
        </w:rPr>
        <w:t xml:space="preserve"> attacks on cultural symbols </w:t>
      </w:r>
      <w:r w:rsidR="00900127" w:rsidRPr="00813D19">
        <w:rPr>
          <w:bCs/>
          <w:lang w:val="en-US"/>
        </w:rPr>
        <w:t>due</w:t>
      </w:r>
      <w:r w:rsidR="00BB0FB8" w:rsidRPr="00813D19">
        <w:rPr>
          <w:bCs/>
          <w:lang w:val="en-US"/>
        </w:rPr>
        <w:t xml:space="preserve"> to </w:t>
      </w:r>
      <w:r w:rsidR="00A7251C" w:rsidRPr="00813D19">
        <w:rPr>
          <w:bCs/>
          <w:lang w:val="en-US"/>
        </w:rPr>
        <w:t xml:space="preserve">their diverse origin </w:t>
      </w:r>
      <w:r w:rsidR="00BB0FB8" w:rsidRPr="00813D19">
        <w:rPr>
          <w:bCs/>
          <w:lang w:val="en-US"/>
        </w:rPr>
        <w:t xml:space="preserve">or </w:t>
      </w:r>
      <w:r w:rsidR="00A7251C" w:rsidRPr="00813D19">
        <w:rPr>
          <w:bCs/>
          <w:lang w:val="en-US"/>
        </w:rPr>
        <w:t xml:space="preserve">belonging to a national or religious minority. In </w:t>
      </w:r>
      <w:r w:rsidR="00BB0FB8" w:rsidRPr="00813D19">
        <w:rPr>
          <w:bCs/>
          <w:lang w:val="en-US"/>
        </w:rPr>
        <w:t xml:space="preserve">this </w:t>
      </w:r>
      <w:r w:rsidR="00A7251C" w:rsidRPr="00813D19">
        <w:rPr>
          <w:bCs/>
          <w:lang w:val="en-US"/>
        </w:rPr>
        <w:t>regard</w:t>
      </w:r>
      <w:r w:rsidR="00BB0FB8" w:rsidRPr="00813D19">
        <w:rPr>
          <w:bCs/>
          <w:lang w:val="en-US"/>
        </w:rPr>
        <w:t xml:space="preserve">, the delegation </w:t>
      </w:r>
      <w:r w:rsidR="00A7251C" w:rsidRPr="00813D19">
        <w:rPr>
          <w:bCs/>
          <w:lang w:val="en-US"/>
        </w:rPr>
        <w:t>refer</w:t>
      </w:r>
      <w:r w:rsidR="00BB0FB8" w:rsidRPr="00813D19">
        <w:rPr>
          <w:bCs/>
          <w:lang w:val="en-US"/>
        </w:rPr>
        <w:t>red to the ‘Revive the spirit of Mosul’ I</w:t>
      </w:r>
      <w:r w:rsidR="00A7251C" w:rsidRPr="00813D19">
        <w:rPr>
          <w:bCs/>
          <w:lang w:val="en-US"/>
        </w:rPr>
        <w:t>nitiative and warmly welcome</w:t>
      </w:r>
      <w:r w:rsidR="00BB0FB8" w:rsidRPr="00813D19">
        <w:rPr>
          <w:bCs/>
          <w:lang w:val="en-US"/>
        </w:rPr>
        <w:t>d</w:t>
      </w:r>
      <w:r w:rsidR="00A7251C" w:rsidRPr="00813D19">
        <w:rPr>
          <w:bCs/>
          <w:lang w:val="en-US"/>
        </w:rPr>
        <w:t xml:space="preserve"> the acceptance of Armenia</w:t>
      </w:r>
      <w:r w:rsidR="00BB0FB8" w:rsidRPr="00813D19">
        <w:rPr>
          <w:bCs/>
          <w:lang w:val="en-US"/>
        </w:rPr>
        <w:t>’s</w:t>
      </w:r>
      <w:r w:rsidR="00A7251C" w:rsidRPr="00813D19">
        <w:rPr>
          <w:bCs/>
          <w:lang w:val="en-US"/>
        </w:rPr>
        <w:t xml:space="preserve"> offer to engage </w:t>
      </w:r>
      <w:r w:rsidR="00BB0FB8" w:rsidRPr="00813D19">
        <w:rPr>
          <w:bCs/>
          <w:lang w:val="en-US"/>
        </w:rPr>
        <w:t xml:space="preserve">its </w:t>
      </w:r>
      <w:r w:rsidR="00A7251C" w:rsidRPr="00813D19">
        <w:rPr>
          <w:bCs/>
          <w:lang w:val="en-US"/>
        </w:rPr>
        <w:t xml:space="preserve">specialist in this project. </w:t>
      </w:r>
      <w:r w:rsidR="00BB0FB8" w:rsidRPr="00813D19">
        <w:rPr>
          <w:bCs/>
          <w:lang w:val="en-US"/>
        </w:rPr>
        <w:t xml:space="preserve">It </w:t>
      </w:r>
      <w:r w:rsidR="00A7251C" w:rsidRPr="00813D19">
        <w:rPr>
          <w:bCs/>
          <w:lang w:val="en-US"/>
        </w:rPr>
        <w:t>reiterate</w:t>
      </w:r>
      <w:r w:rsidR="00BB0FB8" w:rsidRPr="00813D19">
        <w:rPr>
          <w:bCs/>
          <w:lang w:val="en-US"/>
        </w:rPr>
        <w:t>d</w:t>
      </w:r>
      <w:r w:rsidR="00A7251C" w:rsidRPr="00813D19">
        <w:rPr>
          <w:bCs/>
          <w:lang w:val="en-US"/>
        </w:rPr>
        <w:t xml:space="preserve"> </w:t>
      </w:r>
      <w:r w:rsidR="00BB0FB8" w:rsidRPr="00813D19">
        <w:rPr>
          <w:bCs/>
          <w:lang w:val="en-US"/>
        </w:rPr>
        <w:t xml:space="preserve">its </w:t>
      </w:r>
      <w:r w:rsidR="00A7251C" w:rsidRPr="00813D19">
        <w:rPr>
          <w:bCs/>
          <w:lang w:val="en-US"/>
        </w:rPr>
        <w:t xml:space="preserve">readiness to join efforts with UNESCO in promoting the preservation of cultural and historical heritage of </w:t>
      </w:r>
      <w:r w:rsidR="00BB0FB8" w:rsidRPr="00813D19">
        <w:rPr>
          <w:bCs/>
          <w:lang w:val="en-US"/>
        </w:rPr>
        <w:t>humanity</w:t>
      </w:r>
      <w:r w:rsidR="00A7251C" w:rsidRPr="00813D19">
        <w:rPr>
          <w:bCs/>
          <w:lang w:val="en-US"/>
        </w:rPr>
        <w:t>, both in its intangible and tangible forms</w:t>
      </w:r>
      <w:r w:rsidR="00BB0FB8" w:rsidRPr="00813D19">
        <w:rPr>
          <w:bCs/>
          <w:lang w:val="en-US"/>
        </w:rPr>
        <w:t>,</w:t>
      </w:r>
      <w:r w:rsidR="00A7251C" w:rsidRPr="00813D19">
        <w:rPr>
          <w:bCs/>
          <w:lang w:val="en-US"/>
        </w:rPr>
        <w:t xml:space="preserve"> </w:t>
      </w:r>
      <w:r w:rsidR="00BB0FB8" w:rsidRPr="00813D19">
        <w:rPr>
          <w:bCs/>
          <w:lang w:val="en-US"/>
        </w:rPr>
        <w:t xml:space="preserve">which remained </w:t>
      </w:r>
      <w:r w:rsidR="00A7251C" w:rsidRPr="00813D19">
        <w:rPr>
          <w:bCs/>
          <w:lang w:val="en-US"/>
        </w:rPr>
        <w:t>a serious issue of concern</w:t>
      </w:r>
      <w:r w:rsidR="00BB0FB8" w:rsidRPr="00813D19">
        <w:rPr>
          <w:bCs/>
          <w:lang w:val="en-US"/>
        </w:rPr>
        <w:t>,</w:t>
      </w:r>
      <w:r w:rsidR="00A7251C" w:rsidRPr="00813D19">
        <w:rPr>
          <w:bCs/>
          <w:lang w:val="en-US"/>
        </w:rPr>
        <w:t xml:space="preserve"> not only in the event of hostilities but during peace </w:t>
      </w:r>
      <w:r w:rsidR="00BB0FB8" w:rsidRPr="00813D19">
        <w:rPr>
          <w:bCs/>
          <w:lang w:val="en-US"/>
        </w:rPr>
        <w:t xml:space="preserve">time </w:t>
      </w:r>
      <w:r w:rsidR="00A7251C" w:rsidRPr="00813D19">
        <w:rPr>
          <w:bCs/>
          <w:lang w:val="en-US"/>
        </w:rPr>
        <w:t xml:space="preserve">when the ethnic </w:t>
      </w:r>
      <w:r w:rsidR="00BB0FB8" w:rsidRPr="00813D19">
        <w:rPr>
          <w:bCs/>
          <w:lang w:val="en-US"/>
        </w:rPr>
        <w:t xml:space="preserve">appartenance </w:t>
      </w:r>
      <w:r w:rsidR="00A7251C" w:rsidRPr="00813D19">
        <w:rPr>
          <w:bCs/>
          <w:lang w:val="en-US"/>
        </w:rPr>
        <w:t xml:space="preserve">of monuments served their intentional destruction. </w:t>
      </w:r>
      <w:r w:rsidR="00BB0FB8" w:rsidRPr="00813D19">
        <w:rPr>
          <w:bCs/>
          <w:lang w:val="en-US"/>
        </w:rPr>
        <w:t>A</w:t>
      </w:r>
      <w:r w:rsidR="00A7251C" w:rsidRPr="00813D19">
        <w:rPr>
          <w:bCs/>
          <w:lang w:val="en-US"/>
        </w:rPr>
        <w:t xml:space="preserve">cknowledgment and respect for the diversity of the world’s cultures and cultural expressions </w:t>
      </w:r>
      <w:r w:rsidR="00BB0FB8" w:rsidRPr="00813D19">
        <w:rPr>
          <w:bCs/>
          <w:lang w:val="en-US"/>
        </w:rPr>
        <w:t xml:space="preserve">should be </w:t>
      </w:r>
      <w:r w:rsidR="00A7251C" w:rsidRPr="00813D19">
        <w:rPr>
          <w:bCs/>
          <w:lang w:val="en-US"/>
        </w:rPr>
        <w:t>assume</w:t>
      </w:r>
      <w:r w:rsidR="00BB0FB8" w:rsidRPr="00813D19">
        <w:rPr>
          <w:bCs/>
          <w:lang w:val="en-US"/>
        </w:rPr>
        <w:t>d</w:t>
      </w:r>
      <w:r w:rsidR="00A7251C" w:rsidRPr="00813D19">
        <w:rPr>
          <w:bCs/>
          <w:lang w:val="en-US"/>
        </w:rPr>
        <w:t xml:space="preserve"> </w:t>
      </w:r>
      <w:r w:rsidR="00BB0FB8" w:rsidRPr="00813D19">
        <w:rPr>
          <w:bCs/>
          <w:lang w:val="en-US"/>
        </w:rPr>
        <w:t xml:space="preserve">so as to </w:t>
      </w:r>
      <w:r w:rsidR="00A7251C" w:rsidRPr="00813D19">
        <w:rPr>
          <w:bCs/>
          <w:lang w:val="en-US"/>
        </w:rPr>
        <w:t xml:space="preserve">appreciate the core values and aspirations that </w:t>
      </w:r>
      <w:r w:rsidR="00BB0FB8" w:rsidRPr="00813D19">
        <w:rPr>
          <w:bCs/>
          <w:lang w:val="en-US"/>
        </w:rPr>
        <w:t xml:space="preserve">unite </w:t>
      </w:r>
      <w:r w:rsidR="00A7251C" w:rsidRPr="00813D19">
        <w:rPr>
          <w:bCs/>
          <w:lang w:val="en-US"/>
        </w:rPr>
        <w:t xml:space="preserve">humanity and allow </w:t>
      </w:r>
      <w:r w:rsidR="00BB0FB8" w:rsidRPr="00813D19">
        <w:rPr>
          <w:bCs/>
          <w:lang w:val="en-US"/>
        </w:rPr>
        <w:t xml:space="preserve">it </w:t>
      </w:r>
      <w:r w:rsidR="00A7251C" w:rsidRPr="00813D19">
        <w:rPr>
          <w:bCs/>
          <w:lang w:val="en-US"/>
        </w:rPr>
        <w:t xml:space="preserve">to preserve </w:t>
      </w:r>
      <w:r w:rsidR="001D4820" w:rsidRPr="00813D19">
        <w:rPr>
          <w:bCs/>
          <w:lang w:val="en-US"/>
        </w:rPr>
        <w:t xml:space="preserve">cultural </w:t>
      </w:r>
      <w:r w:rsidR="00A7251C" w:rsidRPr="00813D19">
        <w:rPr>
          <w:bCs/>
          <w:lang w:val="en-US"/>
        </w:rPr>
        <w:t>h</w:t>
      </w:r>
      <w:r w:rsidR="00634D0B">
        <w:rPr>
          <w:bCs/>
          <w:lang w:val="en-US"/>
        </w:rPr>
        <w:t>eritage for future generations.</w:t>
      </w:r>
    </w:p>
    <w:p w14:paraId="6F52A8F9" w14:textId="2C9D22DE" w:rsidR="00BB0FB8" w:rsidRPr="00813D19" w:rsidRDefault="00621B3D"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Djibouti</w:t>
      </w:r>
      <w:r w:rsidR="00A7251C" w:rsidRPr="00813D19">
        <w:rPr>
          <w:b/>
          <w:color w:val="000000" w:themeColor="text1"/>
          <w:lang w:val="en-US"/>
        </w:rPr>
        <w:t xml:space="preserve"> </w:t>
      </w:r>
      <w:r w:rsidR="00BB0FB8" w:rsidRPr="00813D19">
        <w:rPr>
          <w:color w:val="000000" w:themeColor="text1"/>
          <w:lang w:val="en-US"/>
        </w:rPr>
        <w:t xml:space="preserve">expressed concern about the situation of intangible heritage in emergency situations, especially </w:t>
      </w:r>
      <w:r w:rsidR="00813D19" w:rsidRPr="00813D19">
        <w:rPr>
          <w:color w:val="000000" w:themeColor="text1"/>
          <w:lang w:val="en-US"/>
        </w:rPr>
        <w:t>with</w:t>
      </w:r>
      <w:r w:rsidR="00BB0FB8" w:rsidRPr="00813D19">
        <w:rPr>
          <w:color w:val="000000" w:themeColor="text1"/>
          <w:lang w:val="en-US"/>
        </w:rPr>
        <w:t xml:space="preserve"> its long experience since independence in 1977, </w:t>
      </w:r>
      <w:r w:rsidR="001D4820" w:rsidRPr="00813D19">
        <w:rPr>
          <w:color w:val="000000" w:themeColor="text1"/>
          <w:lang w:val="en-US"/>
        </w:rPr>
        <w:t>adding that</w:t>
      </w:r>
      <w:r w:rsidR="00BB0FB8" w:rsidRPr="00813D19">
        <w:rPr>
          <w:color w:val="000000" w:themeColor="text1"/>
          <w:lang w:val="en-US"/>
        </w:rPr>
        <w:t xml:space="preserve"> it had always been confronted with armed conflict in the Horn of Africa. In this regard, it congratulated the Secretariat for its excellent work and supported the programme, the awareness campaign and the proposed directions. In the case of Djibouti, the country was currently experiencing an influx of refugees from outside, for example from Yemen </w:t>
      </w:r>
      <w:r w:rsidR="00A85FE8" w:rsidRPr="00813D19">
        <w:rPr>
          <w:color w:val="000000" w:themeColor="text1"/>
          <w:lang w:val="en-US"/>
        </w:rPr>
        <w:t>in recent years. W</w:t>
      </w:r>
      <w:r w:rsidR="00BB0FB8" w:rsidRPr="00813D19">
        <w:rPr>
          <w:color w:val="000000" w:themeColor="text1"/>
          <w:lang w:val="en-US"/>
        </w:rPr>
        <w:t xml:space="preserve">ith the International Organization for Migration </w:t>
      </w:r>
      <w:r w:rsidR="00A85FE8" w:rsidRPr="00813D19">
        <w:rPr>
          <w:color w:val="000000" w:themeColor="text1"/>
          <w:lang w:val="en-US"/>
        </w:rPr>
        <w:t xml:space="preserve">(IOM), </w:t>
      </w:r>
      <w:r w:rsidR="00813D19" w:rsidRPr="00813D19">
        <w:rPr>
          <w:color w:val="000000" w:themeColor="text1"/>
          <w:lang w:val="en-US"/>
        </w:rPr>
        <w:t>Djibouti</w:t>
      </w:r>
      <w:r w:rsidR="00A85FE8" w:rsidRPr="00813D19">
        <w:rPr>
          <w:color w:val="000000" w:themeColor="text1"/>
          <w:lang w:val="en-US"/>
        </w:rPr>
        <w:t xml:space="preserve"> had ratified</w:t>
      </w:r>
      <w:r w:rsidR="001D4820" w:rsidRPr="00813D19">
        <w:rPr>
          <w:color w:val="000000" w:themeColor="text1"/>
          <w:lang w:val="en-US"/>
        </w:rPr>
        <w:t xml:space="preserve"> several C</w:t>
      </w:r>
      <w:r w:rsidR="00BB0FB8" w:rsidRPr="00813D19">
        <w:rPr>
          <w:color w:val="000000" w:themeColor="text1"/>
          <w:lang w:val="en-US"/>
        </w:rPr>
        <w:t xml:space="preserve">onventions </w:t>
      </w:r>
      <w:r w:rsidR="00A85FE8" w:rsidRPr="00813D19">
        <w:rPr>
          <w:color w:val="000000" w:themeColor="text1"/>
          <w:lang w:val="en-US"/>
        </w:rPr>
        <w:t xml:space="preserve">that consider the </w:t>
      </w:r>
      <w:r w:rsidR="00CE748A">
        <w:rPr>
          <w:color w:val="000000" w:themeColor="text1"/>
          <w:lang w:val="en-US"/>
        </w:rPr>
        <w:t>education</w:t>
      </w:r>
      <w:r w:rsidR="00CE748A" w:rsidRPr="00813D19">
        <w:rPr>
          <w:color w:val="000000" w:themeColor="text1"/>
          <w:lang w:val="en-US"/>
        </w:rPr>
        <w:t xml:space="preserve"> </w:t>
      </w:r>
      <w:r w:rsidR="00BB0FB8" w:rsidRPr="00813D19">
        <w:rPr>
          <w:color w:val="000000" w:themeColor="text1"/>
          <w:lang w:val="en-US"/>
        </w:rPr>
        <w:t>and health</w:t>
      </w:r>
      <w:r w:rsidR="00A85FE8" w:rsidRPr="00813D19">
        <w:rPr>
          <w:color w:val="000000" w:themeColor="text1"/>
          <w:lang w:val="en-US"/>
        </w:rPr>
        <w:t xml:space="preserve"> of refugees</w:t>
      </w:r>
      <w:r w:rsidR="00BB0FB8" w:rsidRPr="00813D19">
        <w:rPr>
          <w:color w:val="000000" w:themeColor="text1"/>
          <w:lang w:val="en-US"/>
        </w:rPr>
        <w:t xml:space="preserve">, as well as their </w:t>
      </w:r>
      <w:r w:rsidR="00A85FE8" w:rsidRPr="00813D19">
        <w:rPr>
          <w:color w:val="000000" w:themeColor="text1"/>
          <w:lang w:val="en-US"/>
        </w:rPr>
        <w:t>intangible cultural heritage</w:t>
      </w:r>
      <w:r w:rsidR="00BB0FB8" w:rsidRPr="00813D19">
        <w:rPr>
          <w:color w:val="000000" w:themeColor="text1"/>
          <w:lang w:val="en-US"/>
        </w:rPr>
        <w:t xml:space="preserve">. </w:t>
      </w:r>
      <w:r w:rsidR="00A85FE8" w:rsidRPr="00813D19">
        <w:rPr>
          <w:color w:val="000000" w:themeColor="text1"/>
          <w:lang w:val="en-US"/>
        </w:rPr>
        <w:t xml:space="preserve">This was the direction to </w:t>
      </w:r>
      <w:r w:rsidR="00BB0FB8" w:rsidRPr="00813D19">
        <w:rPr>
          <w:color w:val="000000" w:themeColor="text1"/>
          <w:lang w:val="en-US"/>
        </w:rPr>
        <w:t xml:space="preserve">follow, </w:t>
      </w:r>
      <w:r w:rsidR="00A85FE8" w:rsidRPr="00813D19">
        <w:rPr>
          <w:color w:val="000000" w:themeColor="text1"/>
          <w:lang w:val="en-US"/>
        </w:rPr>
        <w:t xml:space="preserve">as </w:t>
      </w:r>
      <w:r w:rsidR="00BB0FB8" w:rsidRPr="00813D19">
        <w:rPr>
          <w:color w:val="000000" w:themeColor="text1"/>
          <w:lang w:val="en-US"/>
        </w:rPr>
        <w:t xml:space="preserve">it </w:t>
      </w:r>
      <w:r w:rsidR="00A85FE8" w:rsidRPr="00813D19">
        <w:rPr>
          <w:color w:val="000000" w:themeColor="text1"/>
          <w:lang w:val="en-US"/>
        </w:rPr>
        <w:t xml:space="preserve">was </w:t>
      </w:r>
      <w:r w:rsidR="00BB0FB8" w:rsidRPr="00813D19">
        <w:rPr>
          <w:color w:val="000000" w:themeColor="text1"/>
          <w:lang w:val="en-US"/>
        </w:rPr>
        <w:t xml:space="preserve">necessary to integrate foreign communities </w:t>
      </w:r>
      <w:r w:rsidR="00A85FE8" w:rsidRPr="00813D19">
        <w:rPr>
          <w:color w:val="000000" w:themeColor="text1"/>
          <w:lang w:val="en-US"/>
        </w:rPr>
        <w:t xml:space="preserve">who found </w:t>
      </w:r>
      <w:r w:rsidR="00BB0FB8" w:rsidRPr="00813D19">
        <w:rPr>
          <w:color w:val="000000" w:themeColor="text1"/>
          <w:lang w:val="en-US"/>
        </w:rPr>
        <w:t>themselves out</w:t>
      </w:r>
      <w:r w:rsidR="00A85FE8" w:rsidRPr="00813D19">
        <w:rPr>
          <w:color w:val="000000" w:themeColor="text1"/>
          <w:lang w:val="en-US"/>
        </w:rPr>
        <w:t>side</w:t>
      </w:r>
      <w:r w:rsidR="00BB0FB8" w:rsidRPr="00813D19">
        <w:rPr>
          <w:color w:val="000000" w:themeColor="text1"/>
          <w:lang w:val="en-US"/>
        </w:rPr>
        <w:t xml:space="preserve"> of their country and in danger.</w:t>
      </w:r>
    </w:p>
    <w:p w14:paraId="73FE9CC8" w14:textId="6384F4EA" w:rsidR="000B6D61" w:rsidRPr="00813D19" w:rsidRDefault="000B6D61"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w:t>
      </w:r>
      <w:r w:rsidR="006472D3" w:rsidRPr="00813D19">
        <w:rPr>
          <w:b/>
          <w:color w:val="000000" w:themeColor="text1"/>
          <w:lang w:val="en-US"/>
        </w:rPr>
        <w:t>Vice-</w:t>
      </w:r>
      <w:r w:rsidRPr="00813D19">
        <w:rPr>
          <w:b/>
          <w:color w:val="000000" w:themeColor="text1"/>
          <w:lang w:val="en-US"/>
        </w:rPr>
        <w:t xml:space="preserve">Chairperson </w:t>
      </w:r>
      <w:r w:rsidR="007E4E19" w:rsidRPr="00813D19">
        <w:rPr>
          <w:bCs/>
          <w:lang w:val="en-US"/>
        </w:rPr>
        <w:t xml:space="preserve">thanked the </w:t>
      </w:r>
      <w:r w:rsidR="00A7251C" w:rsidRPr="00813D19">
        <w:rPr>
          <w:bCs/>
          <w:lang w:val="en-US"/>
        </w:rPr>
        <w:t xml:space="preserve">Committee Members for </w:t>
      </w:r>
      <w:r w:rsidR="007E4E19" w:rsidRPr="00813D19">
        <w:rPr>
          <w:bCs/>
          <w:lang w:val="en-US"/>
        </w:rPr>
        <w:t xml:space="preserve">their </w:t>
      </w:r>
      <w:r w:rsidR="00A7251C" w:rsidRPr="00813D19">
        <w:rPr>
          <w:bCs/>
          <w:lang w:val="en-US"/>
        </w:rPr>
        <w:t xml:space="preserve">valuable contributions, opinions and for sharing </w:t>
      </w:r>
      <w:r w:rsidR="007E4E19" w:rsidRPr="00813D19">
        <w:rPr>
          <w:bCs/>
          <w:lang w:val="en-US"/>
        </w:rPr>
        <w:t xml:space="preserve">experiences, inviting the </w:t>
      </w:r>
      <w:r w:rsidR="00634D0B">
        <w:rPr>
          <w:bCs/>
          <w:lang w:val="en-US"/>
        </w:rPr>
        <w:t>Secretary to comment.</w:t>
      </w:r>
    </w:p>
    <w:p w14:paraId="69FC9F85" w14:textId="202A3153" w:rsidR="00A135F6" w:rsidRPr="00813D19" w:rsidRDefault="000B6D61" w:rsidP="00A135F6">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A7251C" w:rsidRPr="00813D19">
        <w:rPr>
          <w:bCs/>
          <w:lang w:val="en-US"/>
        </w:rPr>
        <w:t>thank</w:t>
      </w:r>
      <w:r w:rsidR="004239C4" w:rsidRPr="00813D19">
        <w:rPr>
          <w:bCs/>
          <w:lang w:val="en-US"/>
        </w:rPr>
        <w:t>ed</w:t>
      </w:r>
      <w:r w:rsidR="00A7251C" w:rsidRPr="00813D19">
        <w:rPr>
          <w:bCs/>
          <w:lang w:val="en-US"/>
        </w:rPr>
        <w:t xml:space="preserve"> the Committee Members </w:t>
      </w:r>
      <w:r w:rsidR="00F76F60" w:rsidRPr="00813D19">
        <w:rPr>
          <w:bCs/>
          <w:lang w:val="en-US"/>
        </w:rPr>
        <w:t xml:space="preserve">for their </w:t>
      </w:r>
      <w:r w:rsidR="00A7251C" w:rsidRPr="00813D19">
        <w:rPr>
          <w:bCs/>
          <w:lang w:val="en-US"/>
        </w:rPr>
        <w:t xml:space="preserve">encouraging remarks on the </w:t>
      </w:r>
      <w:r w:rsidR="00F76F60" w:rsidRPr="00813D19">
        <w:rPr>
          <w:bCs/>
          <w:lang w:val="en-US"/>
        </w:rPr>
        <w:t xml:space="preserve">Secretariat’s </w:t>
      </w:r>
      <w:r w:rsidR="00A7251C" w:rsidRPr="00813D19">
        <w:rPr>
          <w:bCs/>
          <w:lang w:val="en-US"/>
        </w:rPr>
        <w:t xml:space="preserve">work and the direction </w:t>
      </w:r>
      <w:r w:rsidR="00F76F60" w:rsidRPr="00813D19">
        <w:rPr>
          <w:bCs/>
          <w:lang w:val="en-US"/>
        </w:rPr>
        <w:t xml:space="preserve">taken, </w:t>
      </w:r>
      <w:r w:rsidR="00A7251C" w:rsidRPr="00813D19">
        <w:rPr>
          <w:bCs/>
          <w:lang w:val="en-US"/>
        </w:rPr>
        <w:t>thank</w:t>
      </w:r>
      <w:r w:rsidR="00F76F60" w:rsidRPr="00813D19">
        <w:rPr>
          <w:bCs/>
          <w:lang w:val="en-US"/>
        </w:rPr>
        <w:t>ing</w:t>
      </w:r>
      <w:r w:rsidR="00A7251C" w:rsidRPr="00813D19">
        <w:rPr>
          <w:bCs/>
          <w:lang w:val="en-US"/>
        </w:rPr>
        <w:t xml:space="preserve"> Azerbaijan for </w:t>
      </w:r>
      <w:r w:rsidR="00F76F60" w:rsidRPr="00813D19">
        <w:rPr>
          <w:bCs/>
          <w:lang w:val="en-US"/>
        </w:rPr>
        <w:t xml:space="preserve">its </w:t>
      </w:r>
      <w:r w:rsidR="00A7251C" w:rsidRPr="00813D19">
        <w:rPr>
          <w:bCs/>
          <w:lang w:val="en-US"/>
        </w:rPr>
        <w:t>pr</w:t>
      </w:r>
      <w:r w:rsidR="00F76F60" w:rsidRPr="00813D19">
        <w:rPr>
          <w:bCs/>
          <w:lang w:val="en-US"/>
        </w:rPr>
        <w:t>oposed assistance in the follow-</w:t>
      </w:r>
      <w:r w:rsidR="00A7251C" w:rsidRPr="00813D19">
        <w:rPr>
          <w:bCs/>
          <w:lang w:val="en-US"/>
        </w:rPr>
        <w:t xml:space="preserve">up to the meeting in June and the expert meeting. </w:t>
      </w:r>
      <w:r w:rsidR="00F76F60" w:rsidRPr="00813D19">
        <w:rPr>
          <w:bCs/>
          <w:lang w:val="en-US"/>
        </w:rPr>
        <w:t xml:space="preserve">The Secretary took </w:t>
      </w:r>
      <w:r w:rsidR="00A7251C" w:rsidRPr="00813D19">
        <w:rPr>
          <w:bCs/>
          <w:lang w:val="en-US"/>
        </w:rPr>
        <w:t>note that Palestine</w:t>
      </w:r>
      <w:r w:rsidR="00F76F60" w:rsidRPr="00813D19">
        <w:rPr>
          <w:bCs/>
          <w:lang w:val="en-US"/>
        </w:rPr>
        <w:t>,</w:t>
      </w:r>
      <w:r w:rsidR="00A7251C" w:rsidRPr="00813D19">
        <w:rPr>
          <w:bCs/>
          <w:lang w:val="en-US"/>
        </w:rPr>
        <w:t xml:space="preserve"> and to a certain degree China</w:t>
      </w:r>
      <w:r w:rsidR="00C266E5">
        <w:rPr>
          <w:bCs/>
          <w:lang w:val="en-US"/>
        </w:rPr>
        <w:t>,</w:t>
      </w:r>
      <w:r w:rsidR="00A7251C" w:rsidRPr="00813D19">
        <w:rPr>
          <w:bCs/>
          <w:lang w:val="en-US"/>
        </w:rPr>
        <w:t xml:space="preserve"> tended to prefer the idea of modalities or guidance rather than </w:t>
      </w:r>
      <w:r w:rsidR="00F76F60" w:rsidRPr="00813D19">
        <w:rPr>
          <w:bCs/>
          <w:lang w:val="en-US"/>
        </w:rPr>
        <w:t>Operational D</w:t>
      </w:r>
      <w:r w:rsidR="00A7251C" w:rsidRPr="00813D19">
        <w:rPr>
          <w:bCs/>
          <w:lang w:val="en-US"/>
        </w:rPr>
        <w:t>irectives</w:t>
      </w:r>
      <w:r w:rsidR="00F76F60" w:rsidRPr="00813D19">
        <w:rPr>
          <w:bCs/>
          <w:lang w:val="en-US"/>
        </w:rPr>
        <w:t xml:space="preserve">, adding that he would </w:t>
      </w:r>
      <w:r w:rsidR="00A7251C" w:rsidRPr="00813D19">
        <w:rPr>
          <w:bCs/>
          <w:lang w:val="en-US"/>
        </w:rPr>
        <w:t xml:space="preserve">keep this in mind as </w:t>
      </w:r>
      <w:r w:rsidR="00F76F60" w:rsidRPr="00813D19">
        <w:rPr>
          <w:bCs/>
          <w:lang w:val="en-US"/>
        </w:rPr>
        <w:t xml:space="preserve">the Secretariat </w:t>
      </w:r>
      <w:r w:rsidR="00A7251C" w:rsidRPr="00813D19">
        <w:rPr>
          <w:bCs/>
          <w:lang w:val="en-US"/>
        </w:rPr>
        <w:t>work</w:t>
      </w:r>
      <w:r w:rsidR="00F76F60" w:rsidRPr="00813D19">
        <w:rPr>
          <w:bCs/>
          <w:lang w:val="en-US"/>
        </w:rPr>
        <w:t>ed</w:t>
      </w:r>
      <w:r w:rsidR="00A7251C" w:rsidRPr="00813D19">
        <w:rPr>
          <w:bCs/>
          <w:lang w:val="en-US"/>
        </w:rPr>
        <w:t xml:space="preserve"> towards the next General Assembly. </w:t>
      </w:r>
      <w:r w:rsidR="00F76F60" w:rsidRPr="00813D19">
        <w:rPr>
          <w:bCs/>
          <w:lang w:val="en-US"/>
        </w:rPr>
        <w:t xml:space="preserve">The Secretary also took note of </w:t>
      </w:r>
      <w:r w:rsidR="00A7251C" w:rsidRPr="00813D19">
        <w:rPr>
          <w:bCs/>
          <w:lang w:val="en-US"/>
        </w:rPr>
        <w:t xml:space="preserve">Austria’s </w:t>
      </w:r>
      <w:r w:rsidR="00F76F60" w:rsidRPr="00813D19">
        <w:rPr>
          <w:bCs/>
          <w:lang w:val="en-US"/>
        </w:rPr>
        <w:t xml:space="preserve">remark concerning </w:t>
      </w:r>
      <w:r w:rsidR="00A7251C" w:rsidRPr="00813D19">
        <w:rPr>
          <w:bCs/>
          <w:lang w:val="en-US"/>
        </w:rPr>
        <w:t>working with Chairs in particular. The Philippines comment</w:t>
      </w:r>
      <w:r w:rsidR="00F76F60" w:rsidRPr="00813D19">
        <w:rPr>
          <w:bCs/>
          <w:lang w:val="en-US"/>
        </w:rPr>
        <w:t>ed</w:t>
      </w:r>
      <w:r w:rsidR="00A7251C" w:rsidRPr="00813D19">
        <w:rPr>
          <w:bCs/>
          <w:lang w:val="en-US"/>
        </w:rPr>
        <w:t xml:space="preserve"> on working in real world situations</w:t>
      </w:r>
      <w:r w:rsidR="00F76F60" w:rsidRPr="00813D19">
        <w:rPr>
          <w:bCs/>
          <w:lang w:val="en-US"/>
        </w:rPr>
        <w:t>,</w:t>
      </w:r>
      <w:r w:rsidR="00A7251C" w:rsidRPr="00813D19">
        <w:rPr>
          <w:bCs/>
          <w:lang w:val="en-US"/>
        </w:rPr>
        <w:t xml:space="preserve"> which </w:t>
      </w:r>
      <w:r w:rsidR="00C266E5">
        <w:rPr>
          <w:bCs/>
          <w:lang w:val="en-US"/>
        </w:rPr>
        <w:t>w</w:t>
      </w:r>
      <w:r w:rsidR="00595E57">
        <w:rPr>
          <w:bCs/>
          <w:lang w:val="en-US"/>
        </w:rPr>
        <w:t>as</w:t>
      </w:r>
      <w:r w:rsidR="00C266E5" w:rsidRPr="00813D19">
        <w:rPr>
          <w:bCs/>
          <w:lang w:val="en-US"/>
        </w:rPr>
        <w:t xml:space="preserve"> </w:t>
      </w:r>
      <w:r w:rsidR="00A7251C" w:rsidRPr="00813D19">
        <w:rPr>
          <w:bCs/>
          <w:lang w:val="en-US"/>
        </w:rPr>
        <w:t xml:space="preserve">indeed very important and something </w:t>
      </w:r>
      <w:r w:rsidR="00F76F60" w:rsidRPr="00813D19">
        <w:rPr>
          <w:bCs/>
          <w:lang w:val="en-US"/>
        </w:rPr>
        <w:t>the Secretariat</w:t>
      </w:r>
      <w:r w:rsidR="0082035E" w:rsidRPr="00813D19">
        <w:rPr>
          <w:bCs/>
          <w:lang w:val="en-US"/>
        </w:rPr>
        <w:t xml:space="preserve"> had</w:t>
      </w:r>
      <w:r w:rsidR="00F76F60" w:rsidRPr="00813D19">
        <w:rPr>
          <w:bCs/>
          <w:lang w:val="en-US"/>
        </w:rPr>
        <w:t xml:space="preserve"> been working on. However, there were </w:t>
      </w:r>
      <w:r w:rsidR="0082035E" w:rsidRPr="00813D19">
        <w:rPr>
          <w:bCs/>
          <w:lang w:val="en-US"/>
        </w:rPr>
        <w:t>two categories of emergencies</w:t>
      </w:r>
      <w:r w:rsidR="00C266E5">
        <w:rPr>
          <w:bCs/>
          <w:lang w:val="en-US"/>
        </w:rPr>
        <w:t xml:space="preserve"> </w:t>
      </w:r>
      <w:r w:rsidR="0082035E" w:rsidRPr="00813D19">
        <w:rPr>
          <w:bCs/>
          <w:lang w:val="en-US"/>
        </w:rPr>
        <w:t xml:space="preserve">related to </w:t>
      </w:r>
      <w:r w:rsidR="00A7251C" w:rsidRPr="00813D19">
        <w:rPr>
          <w:bCs/>
          <w:lang w:val="en-US"/>
        </w:rPr>
        <w:t>natural disaster</w:t>
      </w:r>
      <w:r w:rsidR="0082035E" w:rsidRPr="00813D19">
        <w:rPr>
          <w:bCs/>
          <w:lang w:val="en-US"/>
        </w:rPr>
        <w:t>s</w:t>
      </w:r>
      <w:r w:rsidR="00A7251C" w:rsidRPr="00813D19">
        <w:rPr>
          <w:bCs/>
          <w:lang w:val="en-US"/>
        </w:rPr>
        <w:t xml:space="preserve"> and conflict</w:t>
      </w:r>
      <w:r w:rsidR="0082035E" w:rsidRPr="00813D19">
        <w:rPr>
          <w:bCs/>
          <w:lang w:val="en-US"/>
        </w:rPr>
        <w:t xml:space="preserve">s, and in the case of </w:t>
      </w:r>
      <w:r w:rsidR="00A7251C" w:rsidRPr="00813D19">
        <w:rPr>
          <w:bCs/>
          <w:lang w:val="en-US"/>
        </w:rPr>
        <w:t xml:space="preserve">natural disasters </w:t>
      </w:r>
      <w:r w:rsidR="0082035E" w:rsidRPr="00813D19">
        <w:rPr>
          <w:bCs/>
          <w:lang w:val="en-US"/>
        </w:rPr>
        <w:t xml:space="preserve">it was </w:t>
      </w:r>
      <w:r w:rsidR="00A7251C" w:rsidRPr="00813D19">
        <w:rPr>
          <w:bCs/>
          <w:lang w:val="en-US"/>
        </w:rPr>
        <w:t xml:space="preserve">obviously not possible to plan </w:t>
      </w:r>
      <w:r w:rsidR="0082035E" w:rsidRPr="00813D19">
        <w:rPr>
          <w:bCs/>
          <w:lang w:val="en-US"/>
        </w:rPr>
        <w:t xml:space="preserve">any intervention and any action must be clear so as not to </w:t>
      </w:r>
      <w:r w:rsidR="00A7251C" w:rsidRPr="00813D19">
        <w:rPr>
          <w:bCs/>
          <w:lang w:val="en-US"/>
        </w:rPr>
        <w:t>interfere with est</w:t>
      </w:r>
      <w:r w:rsidR="0082035E" w:rsidRPr="00813D19">
        <w:rPr>
          <w:bCs/>
          <w:lang w:val="en-US"/>
        </w:rPr>
        <w:t>ablished humanitarian responses. Nevertheless, the Secretariat had started</w:t>
      </w:r>
      <w:r w:rsidR="00A7251C" w:rsidRPr="00813D19">
        <w:rPr>
          <w:bCs/>
          <w:lang w:val="en-US"/>
        </w:rPr>
        <w:t xml:space="preserve"> to gain some experience in that regard and </w:t>
      </w:r>
      <w:r w:rsidR="0082035E" w:rsidRPr="00813D19">
        <w:rPr>
          <w:bCs/>
          <w:lang w:val="en-US"/>
        </w:rPr>
        <w:t xml:space="preserve">would </w:t>
      </w:r>
      <w:r w:rsidR="000244D1" w:rsidRPr="00813D19">
        <w:rPr>
          <w:bCs/>
          <w:lang w:val="en-US"/>
        </w:rPr>
        <w:t xml:space="preserve">subsequently </w:t>
      </w:r>
      <w:r w:rsidR="0082035E" w:rsidRPr="00813D19">
        <w:rPr>
          <w:bCs/>
          <w:lang w:val="en-US"/>
        </w:rPr>
        <w:t>report</w:t>
      </w:r>
      <w:r w:rsidR="00A7251C" w:rsidRPr="00813D19">
        <w:rPr>
          <w:bCs/>
          <w:lang w:val="en-US"/>
        </w:rPr>
        <w:t xml:space="preserve"> on it. Cuba also asked </w:t>
      </w:r>
      <w:r w:rsidR="00A135F6" w:rsidRPr="00813D19">
        <w:rPr>
          <w:bCs/>
          <w:lang w:val="en-US"/>
        </w:rPr>
        <w:t>a question</w:t>
      </w:r>
      <w:r w:rsidR="00A7251C" w:rsidRPr="00813D19">
        <w:rPr>
          <w:bCs/>
          <w:lang w:val="en-US"/>
        </w:rPr>
        <w:t xml:space="preserve"> related to </w:t>
      </w:r>
      <w:r w:rsidR="0082035E" w:rsidRPr="00813D19">
        <w:rPr>
          <w:bCs/>
          <w:lang w:val="en-US"/>
        </w:rPr>
        <w:t xml:space="preserve">the </w:t>
      </w:r>
      <w:r w:rsidR="00A7251C" w:rsidRPr="00813D19">
        <w:rPr>
          <w:bCs/>
          <w:lang w:val="en-US"/>
        </w:rPr>
        <w:t xml:space="preserve">creation </w:t>
      </w:r>
      <w:r w:rsidR="0082035E" w:rsidRPr="00813D19">
        <w:rPr>
          <w:bCs/>
          <w:lang w:val="en-US"/>
        </w:rPr>
        <w:t xml:space="preserve">of databases </w:t>
      </w:r>
      <w:r w:rsidR="000244D1" w:rsidRPr="00813D19">
        <w:rPr>
          <w:bCs/>
          <w:lang w:val="en-US"/>
        </w:rPr>
        <w:t>of good practices or guidelines;</w:t>
      </w:r>
      <w:r w:rsidR="0082035E" w:rsidRPr="00813D19">
        <w:rPr>
          <w:bCs/>
          <w:lang w:val="en-US"/>
        </w:rPr>
        <w:t xml:space="preserve"> </w:t>
      </w:r>
      <w:r w:rsidR="00A7251C" w:rsidRPr="00813D19">
        <w:rPr>
          <w:bCs/>
          <w:lang w:val="en-US"/>
        </w:rPr>
        <w:t xml:space="preserve">a direction </w:t>
      </w:r>
      <w:r w:rsidR="0082035E" w:rsidRPr="00813D19">
        <w:rPr>
          <w:bCs/>
          <w:lang w:val="en-US"/>
        </w:rPr>
        <w:t>that this could take</w:t>
      </w:r>
      <w:r w:rsidR="00A7251C" w:rsidRPr="00813D19">
        <w:rPr>
          <w:bCs/>
          <w:lang w:val="en-US"/>
        </w:rPr>
        <w:t xml:space="preserve"> </w:t>
      </w:r>
      <w:r w:rsidR="0082035E" w:rsidRPr="00813D19">
        <w:rPr>
          <w:bCs/>
          <w:lang w:val="en-US"/>
        </w:rPr>
        <w:t xml:space="preserve">in </w:t>
      </w:r>
      <w:r w:rsidR="00A7251C" w:rsidRPr="00813D19">
        <w:rPr>
          <w:bCs/>
          <w:lang w:val="en-US"/>
        </w:rPr>
        <w:t>deal</w:t>
      </w:r>
      <w:r w:rsidR="0082035E" w:rsidRPr="00813D19">
        <w:rPr>
          <w:bCs/>
          <w:lang w:val="en-US"/>
        </w:rPr>
        <w:t>ing</w:t>
      </w:r>
      <w:r w:rsidR="00A7251C" w:rsidRPr="00813D19">
        <w:rPr>
          <w:bCs/>
          <w:lang w:val="en-US"/>
        </w:rPr>
        <w:t xml:space="preserve"> with </w:t>
      </w:r>
      <w:r w:rsidR="0082035E" w:rsidRPr="00813D19">
        <w:rPr>
          <w:bCs/>
          <w:lang w:val="en-US"/>
        </w:rPr>
        <w:t xml:space="preserve">intangible cultural heritage </w:t>
      </w:r>
      <w:r w:rsidR="00A7251C" w:rsidRPr="00813D19">
        <w:rPr>
          <w:bCs/>
          <w:lang w:val="en-US"/>
        </w:rPr>
        <w:t>in situations of emergency</w:t>
      </w:r>
      <w:r w:rsidR="0082035E" w:rsidRPr="00813D19">
        <w:rPr>
          <w:bCs/>
          <w:lang w:val="en-US"/>
        </w:rPr>
        <w:t xml:space="preserve">. The second </w:t>
      </w:r>
      <w:r w:rsidR="00A7251C" w:rsidRPr="00813D19">
        <w:rPr>
          <w:bCs/>
          <w:lang w:val="en-US"/>
        </w:rPr>
        <w:t xml:space="preserve">question from Cuba </w:t>
      </w:r>
      <w:r w:rsidR="0082035E" w:rsidRPr="00813D19">
        <w:rPr>
          <w:bCs/>
          <w:lang w:val="en-US"/>
        </w:rPr>
        <w:t xml:space="preserve">concerned </w:t>
      </w:r>
      <w:r w:rsidR="00A7251C" w:rsidRPr="00813D19">
        <w:rPr>
          <w:bCs/>
          <w:lang w:val="en-US"/>
        </w:rPr>
        <w:t xml:space="preserve">how intangible cultural </w:t>
      </w:r>
      <w:r w:rsidR="00C266E5">
        <w:rPr>
          <w:bCs/>
          <w:lang w:val="en-US"/>
        </w:rPr>
        <w:t>as</w:t>
      </w:r>
      <w:r w:rsidR="00A7251C" w:rsidRPr="00813D19">
        <w:rPr>
          <w:bCs/>
          <w:lang w:val="en-US"/>
        </w:rPr>
        <w:t xml:space="preserve">heritage </w:t>
      </w:r>
      <w:r w:rsidR="0082035E" w:rsidRPr="00813D19">
        <w:rPr>
          <w:bCs/>
          <w:lang w:val="en-US"/>
        </w:rPr>
        <w:t xml:space="preserve">was </w:t>
      </w:r>
      <w:r w:rsidR="00A7251C" w:rsidRPr="00813D19">
        <w:rPr>
          <w:bCs/>
          <w:lang w:val="en-US"/>
        </w:rPr>
        <w:t>integrated in</w:t>
      </w:r>
      <w:r w:rsidR="0082035E" w:rsidRPr="00813D19">
        <w:rPr>
          <w:bCs/>
          <w:lang w:val="en-US"/>
        </w:rPr>
        <w:t>to</w:t>
      </w:r>
      <w:r w:rsidR="00A7251C" w:rsidRPr="00813D19">
        <w:rPr>
          <w:bCs/>
          <w:lang w:val="en-US"/>
        </w:rPr>
        <w:t xml:space="preserve"> the Action Plan on cultural heritage in situations of disaster. Indeed</w:t>
      </w:r>
      <w:r w:rsidR="00504AAE" w:rsidRPr="00813D19">
        <w:rPr>
          <w:bCs/>
          <w:lang w:val="en-US"/>
        </w:rPr>
        <w:t>,</w:t>
      </w:r>
      <w:r w:rsidR="00A7251C" w:rsidRPr="00813D19">
        <w:rPr>
          <w:bCs/>
          <w:lang w:val="en-US"/>
        </w:rPr>
        <w:t xml:space="preserve"> </w:t>
      </w:r>
      <w:r w:rsidR="0082035E" w:rsidRPr="00813D19">
        <w:rPr>
          <w:bCs/>
          <w:lang w:val="en-US"/>
        </w:rPr>
        <w:t xml:space="preserve">it was integrated </w:t>
      </w:r>
      <w:r w:rsidR="00A7251C" w:rsidRPr="00813D19">
        <w:rPr>
          <w:bCs/>
          <w:lang w:val="en-US"/>
        </w:rPr>
        <w:t>from a conceptual point</w:t>
      </w:r>
      <w:r w:rsidR="00C07F7C" w:rsidRPr="00813D19">
        <w:rPr>
          <w:bCs/>
          <w:lang w:val="en-US"/>
        </w:rPr>
        <w:t xml:space="preserve"> of view</w:t>
      </w:r>
      <w:r w:rsidR="0082035E" w:rsidRPr="00813D19">
        <w:rPr>
          <w:bCs/>
          <w:lang w:val="en-US"/>
        </w:rPr>
        <w:t>,</w:t>
      </w:r>
      <w:r w:rsidR="00A7251C" w:rsidRPr="00813D19">
        <w:rPr>
          <w:bCs/>
          <w:lang w:val="en-US"/>
        </w:rPr>
        <w:t xml:space="preserve"> but when this discussion </w:t>
      </w:r>
      <w:r w:rsidR="0082035E" w:rsidRPr="00813D19">
        <w:rPr>
          <w:bCs/>
          <w:lang w:val="en-US"/>
        </w:rPr>
        <w:t xml:space="preserve">was started </w:t>
      </w:r>
      <w:r w:rsidR="00A7251C" w:rsidRPr="00813D19">
        <w:rPr>
          <w:bCs/>
          <w:lang w:val="en-US"/>
        </w:rPr>
        <w:t xml:space="preserve">there was an acknowledgment that methodologies and means of intervening for built heritage </w:t>
      </w:r>
      <w:r w:rsidR="0082035E" w:rsidRPr="00813D19">
        <w:rPr>
          <w:bCs/>
          <w:lang w:val="en-US"/>
        </w:rPr>
        <w:t xml:space="preserve">were </w:t>
      </w:r>
      <w:r w:rsidR="00A7251C" w:rsidRPr="00813D19">
        <w:rPr>
          <w:bCs/>
          <w:lang w:val="en-US"/>
        </w:rPr>
        <w:t xml:space="preserve">far more established than </w:t>
      </w:r>
      <w:r w:rsidR="0082035E" w:rsidRPr="00813D19">
        <w:rPr>
          <w:bCs/>
          <w:lang w:val="en-US"/>
        </w:rPr>
        <w:t xml:space="preserve">for </w:t>
      </w:r>
      <w:r w:rsidR="00A7251C" w:rsidRPr="00813D19">
        <w:rPr>
          <w:bCs/>
          <w:lang w:val="en-US"/>
        </w:rPr>
        <w:t xml:space="preserve">intangible cultural heritage. </w:t>
      </w:r>
      <w:r w:rsidR="0082035E" w:rsidRPr="00813D19">
        <w:rPr>
          <w:bCs/>
          <w:lang w:val="en-US"/>
        </w:rPr>
        <w:t xml:space="preserve">The Secretariat was </w:t>
      </w:r>
      <w:r w:rsidR="00A135F6" w:rsidRPr="00813D19">
        <w:rPr>
          <w:bCs/>
          <w:lang w:val="en-US"/>
        </w:rPr>
        <w:t xml:space="preserve">thus </w:t>
      </w:r>
      <w:r w:rsidR="00A7251C" w:rsidRPr="00813D19">
        <w:rPr>
          <w:bCs/>
          <w:lang w:val="en-US"/>
        </w:rPr>
        <w:t>engaging as much as possible</w:t>
      </w:r>
      <w:r w:rsidR="00A135F6" w:rsidRPr="00813D19">
        <w:rPr>
          <w:bCs/>
          <w:lang w:val="en-US"/>
        </w:rPr>
        <w:t xml:space="preserve"> in line with </w:t>
      </w:r>
      <w:r w:rsidR="00A7251C" w:rsidRPr="00813D19">
        <w:rPr>
          <w:bCs/>
          <w:lang w:val="en-US"/>
        </w:rPr>
        <w:t>the Action Plan</w:t>
      </w:r>
      <w:r w:rsidR="00A135F6" w:rsidRPr="00813D19">
        <w:rPr>
          <w:bCs/>
          <w:lang w:val="en-US"/>
        </w:rPr>
        <w:t xml:space="preserve">. Moreover, </w:t>
      </w:r>
      <w:r w:rsidR="00A7251C" w:rsidRPr="00813D19">
        <w:rPr>
          <w:bCs/>
          <w:lang w:val="en-US"/>
        </w:rPr>
        <w:t xml:space="preserve">these Committee items and the idea of bringing </w:t>
      </w:r>
      <w:r w:rsidR="00A135F6" w:rsidRPr="00813D19">
        <w:rPr>
          <w:bCs/>
          <w:lang w:val="en-US"/>
        </w:rPr>
        <w:t xml:space="preserve">methodological tools </w:t>
      </w:r>
      <w:r w:rsidR="00A7251C" w:rsidRPr="00813D19">
        <w:rPr>
          <w:bCs/>
          <w:lang w:val="en-US"/>
        </w:rPr>
        <w:t xml:space="preserve">to the General Assembly for guidance </w:t>
      </w:r>
      <w:r w:rsidR="00C266E5" w:rsidRPr="00813D19">
        <w:rPr>
          <w:bCs/>
          <w:lang w:val="en-US"/>
        </w:rPr>
        <w:t>w</w:t>
      </w:r>
      <w:r w:rsidR="00C266E5">
        <w:rPr>
          <w:bCs/>
          <w:lang w:val="en-US"/>
        </w:rPr>
        <w:t>ere</w:t>
      </w:r>
      <w:r w:rsidR="00C266E5" w:rsidRPr="00813D19">
        <w:rPr>
          <w:bCs/>
          <w:lang w:val="en-US"/>
        </w:rPr>
        <w:t xml:space="preserve"> </w:t>
      </w:r>
      <w:r w:rsidR="00A7251C" w:rsidRPr="00813D19">
        <w:rPr>
          <w:bCs/>
          <w:lang w:val="en-US"/>
        </w:rPr>
        <w:t>part of being better integrated in</w:t>
      </w:r>
      <w:r w:rsidR="00C07F7C" w:rsidRPr="00813D19">
        <w:rPr>
          <w:bCs/>
          <w:lang w:val="en-US"/>
        </w:rPr>
        <w:t>to</w:t>
      </w:r>
      <w:r w:rsidR="00A7251C" w:rsidRPr="00813D19">
        <w:rPr>
          <w:bCs/>
          <w:lang w:val="en-US"/>
        </w:rPr>
        <w:t xml:space="preserve"> that Action Plan</w:t>
      </w:r>
      <w:r w:rsidR="00A135F6" w:rsidRPr="00813D19">
        <w:rPr>
          <w:bCs/>
          <w:lang w:val="en-US"/>
        </w:rPr>
        <w:t>.</w:t>
      </w:r>
      <w:r w:rsidR="00A7251C" w:rsidRPr="00813D19">
        <w:rPr>
          <w:bCs/>
          <w:lang w:val="en-US"/>
        </w:rPr>
        <w:t xml:space="preserve"> </w:t>
      </w:r>
      <w:r w:rsidR="00A135F6" w:rsidRPr="00813D19">
        <w:rPr>
          <w:bCs/>
          <w:lang w:val="en-US"/>
        </w:rPr>
        <w:t xml:space="preserve">In fact, the </w:t>
      </w:r>
      <w:r w:rsidR="00A7251C" w:rsidRPr="00813D19">
        <w:rPr>
          <w:bCs/>
          <w:lang w:val="en-US"/>
        </w:rPr>
        <w:t xml:space="preserve">Action Plan </w:t>
      </w:r>
      <w:r w:rsidR="00A135F6" w:rsidRPr="00813D19">
        <w:rPr>
          <w:bCs/>
          <w:lang w:val="en-US"/>
        </w:rPr>
        <w:t>was precisely how these</w:t>
      </w:r>
      <w:r w:rsidR="00A7251C" w:rsidRPr="00813D19">
        <w:rPr>
          <w:bCs/>
          <w:lang w:val="en-US"/>
        </w:rPr>
        <w:t xml:space="preserve"> multiple session</w:t>
      </w:r>
      <w:r w:rsidR="00A135F6" w:rsidRPr="00813D19">
        <w:rPr>
          <w:bCs/>
          <w:lang w:val="en-US"/>
        </w:rPr>
        <w:t>s</w:t>
      </w:r>
      <w:r w:rsidR="00A7251C" w:rsidRPr="00813D19">
        <w:rPr>
          <w:bCs/>
          <w:lang w:val="en-US"/>
        </w:rPr>
        <w:t xml:space="preserve"> in </w:t>
      </w:r>
      <w:r w:rsidR="00A135F6" w:rsidRPr="00813D19">
        <w:rPr>
          <w:bCs/>
          <w:lang w:val="en-US"/>
        </w:rPr>
        <w:t xml:space="preserve">these </w:t>
      </w:r>
      <w:r w:rsidR="00A7251C" w:rsidRPr="00813D19">
        <w:rPr>
          <w:bCs/>
          <w:lang w:val="en-US"/>
        </w:rPr>
        <w:t>Committee</w:t>
      </w:r>
      <w:r w:rsidR="00A135F6" w:rsidRPr="00813D19">
        <w:rPr>
          <w:bCs/>
          <w:lang w:val="en-US"/>
        </w:rPr>
        <w:t>s</w:t>
      </w:r>
      <w:r w:rsidR="00A7251C" w:rsidRPr="00813D19">
        <w:rPr>
          <w:bCs/>
          <w:lang w:val="en-US"/>
        </w:rPr>
        <w:t xml:space="preserve"> </w:t>
      </w:r>
      <w:r w:rsidR="00A135F6" w:rsidRPr="00813D19">
        <w:rPr>
          <w:bCs/>
          <w:lang w:val="en-US"/>
        </w:rPr>
        <w:t xml:space="preserve">were first </w:t>
      </w:r>
      <w:r w:rsidR="00A7251C" w:rsidRPr="00813D19">
        <w:rPr>
          <w:bCs/>
          <w:lang w:val="en-US"/>
        </w:rPr>
        <w:t>initiated</w:t>
      </w:r>
      <w:r w:rsidR="00C07F7C" w:rsidRPr="00813D19">
        <w:rPr>
          <w:bCs/>
          <w:lang w:val="en-US"/>
        </w:rPr>
        <w:t>,</w:t>
      </w:r>
      <w:r w:rsidR="00A7251C" w:rsidRPr="00813D19">
        <w:rPr>
          <w:bCs/>
          <w:lang w:val="en-US"/>
        </w:rPr>
        <w:t xml:space="preserve"> </w:t>
      </w:r>
      <w:r w:rsidR="00A135F6" w:rsidRPr="00813D19">
        <w:rPr>
          <w:bCs/>
          <w:lang w:val="en-US"/>
        </w:rPr>
        <w:t>result</w:t>
      </w:r>
      <w:r w:rsidR="00C07F7C" w:rsidRPr="00813D19">
        <w:rPr>
          <w:bCs/>
          <w:lang w:val="en-US"/>
        </w:rPr>
        <w:t>ing from</w:t>
      </w:r>
      <w:r w:rsidR="00A135F6" w:rsidRPr="00813D19">
        <w:rPr>
          <w:bCs/>
          <w:lang w:val="en-US"/>
        </w:rPr>
        <w:t xml:space="preserve"> </w:t>
      </w:r>
      <w:r w:rsidR="00A7251C" w:rsidRPr="00813D19">
        <w:rPr>
          <w:bCs/>
          <w:lang w:val="en-US"/>
        </w:rPr>
        <w:t>the realization that the issues surrounding intangibl</w:t>
      </w:r>
      <w:r w:rsidR="00A135F6" w:rsidRPr="00813D19">
        <w:rPr>
          <w:bCs/>
          <w:lang w:val="en-US"/>
        </w:rPr>
        <w:t>e cultural heritage in emergencies</w:t>
      </w:r>
      <w:r w:rsidR="00A7251C" w:rsidRPr="00813D19">
        <w:rPr>
          <w:bCs/>
          <w:lang w:val="en-US"/>
        </w:rPr>
        <w:t xml:space="preserve"> </w:t>
      </w:r>
      <w:r w:rsidR="00C07F7C" w:rsidRPr="00813D19">
        <w:rPr>
          <w:bCs/>
          <w:lang w:val="en-US"/>
        </w:rPr>
        <w:t xml:space="preserve">were </w:t>
      </w:r>
      <w:r w:rsidR="00A7251C" w:rsidRPr="00813D19">
        <w:rPr>
          <w:bCs/>
          <w:lang w:val="en-US"/>
        </w:rPr>
        <w:t xml:space="preserve">as important but methodologically different </w:t>
      </w:r>
      <w:r w:rsidR="00C266E5">
        <w:rPr>
          <w:bCs/>
          <w:lang w:val="en-US"/>
        </w:rPr>
        <w:t>from</w:t>
      </w:r>
      <w:r w:rsidR="00C266E5" w:rsidRPr="00813D19">
        <w:rPr>
          <w:bCs/>
          <w:lang w:val="en-US"/>
        </w:rPr>
        <w:t xml:space="preserve"> </w:t>
      </w:r>
      <w:r w:rsidR="00A7251C" w:rsidRPr="00813D19">
        <w:rPr>
          <w:bCs/>
          <w:lang w:val="en-US"/>
        </w:rPr>
        <w:t>b</w:t>
      </w:r>
      <w:r w:rsidR="00A135F6" w:rsidRPr="00813D19">
        <w:rPr>
          <w:bCs/>
          <w:lang w:val="en-US"/>
        </w:rPr>
        <w:t>uilt heritage.</w:t>
      </w:r>
    </w:p>
    <w:p w14:paraId="7DAAC349" w14:textId="79D6D50B" w:rsidR="000B6D61" w:rsidRPr="00813D19" w:rsidRDefault="00A135F6" w:rsidP="00AC5FD5">
      <w:pPr>
        <w:pStyle w:val="Orateurengris"/>
        <w:spacing w:before="120"/>
        <w:ind w:left="709" w:hanging="709"/>
        <w:rPr>
          <w:color w:val="000000" w:themeColor="text1"/>
          <w:lang w:val="en-US"/>
        </w:rPr>
      </w:pPr>
      <w:r w:rsidRPr="00813D19">
        <w:rPr>
          <w:bCs/>
          <w:lang w:val="en-US"/>
        </w:rPr>
        <w:t xml:space="preserve">The </w:t>
      </w:r>
      <w:r w:rsidRPr="00813D19">
        <w:rPr>
          <w:b/>
          <w:bCs/>
          <w:lang w:val="en-US"/>
        </w:rPr>
        <w:t>Secretary</w:t>
      </w:r>
      <w:r w:rsidRPr="00813D19">
        <w:rPr>
          <w:bCs/>
          <w:lang w:val="en-US"/>
        </w:rPr>
        <w:t xml:space="preserve"> turned to the question</w:t>
      </w:r>
      <w:r w:rsidR="00A7251C" w:rsidRPr="00813D19">
        <w:rPr>
          <w:bCs/>
          <w:lang w:val="en-US"/>
        </w:rPr>
        <w:t xml:space="preserve"> </w:t>
      </w:r>
      <w:r w:rsidRPr="00813D19">
        <w:rPr>
          <w:bCs/>
          <w:lang w:val="en-US"/>
        </w:rPr>
        <w:t xml:space="preserve">by </w:t>
      </w:r>
      <w:r w:rsidR="00C07F7C" w:rsidRPr="00813D19">
        <w:rPr>
          <w:bCs/>
          <w:lang w:val="en-US"/>
        </w:rPr>
        <w:t xml:space="preserve">the Philippines concerning the date of </w:t>
      </w:r>
      <w:r w:rsidR="00A7251C" w:rsidRPr="00813D19">
        <w:rPr>
          <w:bCs/>
          <w:lang w:val="en-US"/>
        </w:rPr>
        <w:t>the expert meeting</w:t>
      </w:r>
      <w:r w:rsidR="00C07F7C" w:rsidRPr="00813D19">
        <w:rPr>
          <w:bCs/>
          <w:lang w:val="en-US"/>
        </w:rPr>
        <w:t xml:space="preserve">, which was </w:t>
      </w:r>
      <w:r w:rsidR="00A7251C" w:rsidRPr="00813D19">
        <w:rPr>
          <w:bCs/>
          <w:lang w:val="en-US"/>
        </w:rPr>
        <w:t xml:space="preserve">planned </w:t>
      </w:r>
      <w:r w:rsidR="00BD35DA" w:rsidRPr="00813D19">
        <w:rPr>
          <w:bCs/>
          <w:lang w:val="en-US"/>
        </w:rPr>
        <w:t xml:space="preserve">for </w:t>
      </w:r>
      <w:r w:rsidR="00A7251C" w:rsidRPr="00813D19">
        <w:rPr>
          <w:bCs/>
          <w:lang w:val="en-US"/>
        </w:rPr>
        <w:t xml:space="preserve">June </w:t>
      </w:r>
      <w:r w:rsidR="00C07F7C" w:rsidRPr="00813D19">
        <w:rPr>
          <w:bCs/>
          <w:lang w:val="en-US"/>
        </w:rPr>
        <w:t>2019</w:t>
      </w:r>
      <w:r w:rsidR="00A7251C" w:rsidRPr="00813D19">
        <w:rPr>
          <w:bCs/>
          <w:lang w:val="en-US"/>
        </w:rPr>
        <w:t xml:space="preserve">. There were two questions from Lebanon. The first </w:t>
      </w:r>
      <w:r w:rsidR="00C07F7C" w:rsidRPr="00813D19">
        <w:rPr>
          <w:bCs/>
          <w:lang w:val="en-US"/>
        </w:rPr>
        <w:t xml:space="preserve">concerned the </w:t>
      </w:r>
      <w:r w:rsidR="00A7251C" w:rsidRPr="00813D19">
        <w:rPr>
          <w:bCs/>
          <w:lang w:val="en-US"/>
        </w:rPr>
        <w:t>long-term displace</w:t>
      </w:r>
      <w:r w:rsidR="00C07F7C" w:rsidRPr="00813D19">
        <w:rPr>
          <w:bCs/>
          <w:lang w:val="en-US"/>
        </w:rPr>
        <w:t>ment of</w:t>
      </w:r>
      <w:r w:rsidR="00A7251C" w:rsidRPr="00813D19">
        <w:rPr>
          <w:bCs/>
          <w:lang w:val="en-US"/>
        </w:rPr>
        <w:t xml:space="preserve"> peoples or refuge</w:t>
      </w:r>
      <w:r w:rsidR="00C266E5">
        <w:rPr>
          <w:bCs/>
          <w:lang w:val="en-US"/>
        </w:rPr>
        <w:t>e</w:t>
      </w:r>
      <w:r w:rsidR="00A7251C" w:rsidRPr="00813D19">
        <w:rPr>
          <w:bCs/>
          <w:lang w:val="en-US"/>
        </w:rPr>
        <w:t xml:space="preserve">s and their return. </w:t>
      </w:r>
      <w:r w:rsidR="00C07F7C" w:rsidRPr="00813D19">
        <w:rPr>
          <w:bCs/>
          <w:lang w:val="en-US"/>
        </w:rPr>
        <w:t xml:space="preserve">It was noted that the Secretariat was </w:t>
      </w:r>
      <w:r w:rsidR="00A7251C" w:rsidRPr="00813D19">
        <w:rPr>
          <w:bCs/>
          <w:lang w:val="en-US"/>
        </w:rPr>
        <w:t>planning an activity directly related to that</w:t>
      </w:r>
      <w:r w:rsidR="00C07F7C" w:rsidRPr="00813D19">
        <w:rPr>
          <w:bCs/>
          <w:lang w:val="en-US"/>
        </w:rPr>
        <w:t xml:space="preserve"> issue</w:t>
      </w:r>
      <w:r w:rsidR="00A7251C" w:rsidRPr="00813D19">
        <w:rPr>
          <w:bCs/>
          <w:lang w:val="en-US"/>
        </w:rPr>
        <w:t>, which</w:t>
      </w:r>
      <w:r w:rsidR="00C07F7C" w:rsidRPr="00813D19">
        <w:rPr>
          <w:bCs/>
          <w:lang w:val="en-US"/>
        </w:rPr>
        <w:t xml:space="preserve"> </w:t>
      </w:r>
      <w:r w:rsidR="00BD35DA" w:rsidRPr="00813D19">
        <w:rPr>
          <w:bCs/>
          <w:lang w:val="en-US"/>
        </w:rPr>
        <w:t xml:space="preserve">was </w:t>
      </w:r>
      <w:r w:rsidR="00C07F7C" w:rsidRPr="00813D19">
        <w:rPr>
          <w:bCs/>
          <w:lang w:val="en-US"/>
        </w:rPr>
        <w:t>the result of a UNESCO</w:t>
      </w:r>
      <w:r w:rsidR="00A7251C" w:rsidRPr="00813D19">
        <w:rPr>
          <w:bCs/>
          <w:lang w:val="en-US"/>
        </w:rPr>
        <w:t xml:space="preserve"> activity commenced through its office in Dar Es Salaam in Tanzania abo</w:t>
      </w:r>
      <w:r w:rsidR="00C07F7C" w:rsidRPr="00813D19">
        <w:rPr>
          <w:bCs/>
          <w:lang w:val="en-US"/>
        </w:rPr>
        <w:t xml:space="preserve">ut </w:t>
      </w:r>
      <w:r w:rsidR="00C266E5">
        <w:rPr>
          <w:bCs/>
          <w:lang w:val="en-US"/>
        </w:rPr>
        <w:t>ten</w:t>
      </w:r>
      <w:r w:rsidR="00C266E5" w:rsidRPr="00813D19">
        <w:rPr>
          <w:bCs/>
          <w:lang w:val="en-US"/>
        </w:rPr>
        <w:t xml:space="preserve"> </w:t>
      </w:r>
      <w:r w:rsidR="00C07F7C" w:rsidRPr="00813D19">
        <w:rPr>
          <w:bCs/>
          <w:lang w:val="en-US"/>
        </w:rPr>
        <w:t xml:space="preserve">years ago. This concerned </w:t>
      </w:r>
      <w:r w:rsidR="00A7251C" w:rsidRPr="00813D19">
        <w:rPr>
          <w:bCs/>
          <w:lang w:val="en-US"/>
        </w:rPr>
        <w:t xml:space="preserve">an </w:t>
      </w:r>
      <w:r w:rsidR="00C266E5">
        <w:rPr>
          <w:bCs/>
          <w:lang w:val="en-US"/>
        </w:rPr>
        <w:t>intangible cultural heritage</w:t>
      </w:r>
      <w:r w:rsidR="00C07F7C" w:rsidRPr="00813D19">
        <w:rPr>
          <w:bCs/>
          <w:lang w:val="en-US"/>
        </w:rPr>
        <w:t>-</w:t>
      </w:r>
      <w:r w:rsidR="00A7251C" w:rsidRPr="00813D19">
        <w:rPr>
          <w:bCs/>
          <w:lang w:val="en-US"/>
        </w:rPr>
        <w:t>related project in</w:t>
      </w:r>
      <w:r w:rsidR="00C07F7C" w:rsidRPr="00813D19">
        <w:rPr>
          <w:bCs/>
          <w:lang w:val="en-US"/>
        </w:rPr>
        <w:t xml:space="preserve">itiated in </w:t>
      </w:r>
      <w:r w:rsidR="00A7251C" w:rsidRPr="00813D19">
        <w:rPr>
          <w:bCs/>
          <w:lang w:val="en-US"/>
        </w:rPr>
        <w:t xml:space="preserve">the camps </w:t>
      </w:r>
      <w:r w:rsidR="00C07F7C" w:rsidRPr="00813D19">
        <w:rPr>
          <w:bCs/>
          <w:lang w:val="en-US"/>
        </w:rPr>
        <w:t xml:space="preserve">of </w:t>
      </w:r>
      <w:r w:rsidR="00A73AED" w:rsidRPr="00813D19">
        <w:rPr>
          <w:bCs/>
          <w:lang w:val="en-US"/>
        </w:rPr>
        <w:t>long-</w:t>
      </w:r>
      <w:r w:rsidR="00C07F7C" w:rsidRPr="00813D19">
        <w:rPr>
          <w:bCs/>
          <w:lang w:val="en-US"/>
        </w:rPr>
        <w:t xml:space="preserve">term Burundian returnees </w:t>
      </w:r>
      <w:r w:rsidR="00A7251C" w:rsidRPr="00813D19">
        <w:rPr>
          <w:bCs/>
          <w:lang w:val="en-US"/>
        </w:rPr>
        <w:t xml:space="preserve">to prepare children to </w:t>
      </w:r>
      <w:r w:rsidR="00C07F7C" w:rsidRPr="00813D19">
        <w:rPr>
          <w:bCs/>
          <w:lang w:val="en-US"/>
        </w:rPr>
        <w:t xml:space="preserve">return </w:t>
      </w:r>
      <w:r w:rsidR="00A7251C" w:rsidRPr="00813D19">
        <w:rPr>
          <w:bCs/>
          <w:lang w:val="en-US"/>
        </w:rPr>
        <w:t xml:space="preserve">to </w:t>
      </w:r>
      <w:r w:rsidR="00C07F7C" w:rsidRPr="00813D19">
        <w:rPr>
          <w:bCs/>
          <w:lang w:val="en-US"/>
        </w:rPr>
        <w:t xml:space="preserve">Burundi after many </w:t>
      </w:r>
      <w:r w:rsidR="00A7251C" w:rsidRPr="00813D19">
        <w:rPr>
          <w:bCs/>
          <w:lang w:val="en-US"/>
        </w:rPr>
        <w:t>years</w:t>
      </w:r>
      <w:r w:rsidR="00C07F7C" w:rsidRPr="00813D19">
        <w:rPr>
          <w:bCs/>
          <w:lang w:val="en-US"/>
        </w:rPr>
        <w:t>.</w:t>
      </w:r>
      <w:r w:rsidR="00A7251C" w:rsidRPr="00813D19">
        <w:rPr>
          <w:bCs/>
          <w:lang w:val="en-US"/>
        </w:rPr>
        <w:t xml:space="preserve"> </w:t>
      </w:r>
      <w:r w:rsidR="00C07F7C" w:rsidRPr="00813D19">
        <w:rPr>
          <w:bCs/>
          <w:lang w:val="en-US"/>
        </w:rPr>
        <w:t xml:space="preserve">The Secretariat </w:t>
      </w:r>
      <w:r w:rsidR="00A7251C" w:rsidRPr="00813D19">
        <w:rPr>
          <w:bCs/>
          <w:lang w:val="en-US"/>
        </w:rPr>
        <w:t>intend</w:t>
      </w:r>
      <w:r w:rsidR="00C07F7C" w:rsidRPr="00813D19">
        <w:rPr>
          <w:bCs/>
          <w:lang w:val="en-US"/>
        </w:rPr>
        <w:t>ed</w:t>
      </w:r>
      <w:r w:rsidR="00A7251C" w:rsidRPr="00813D19">
        <w:rPr>
          <w:bCs/>
          <w:lang w:val="en-US"/>
        </w:rPr>
        <w:t xml:space="preserve"> to </w:t>
      </w:r>
      <w:r w:rsidR="00C07F7C" w:rsidRPr="00813D19">
        <w:rPr>
          <w:bCs/>
          <w:lang w:val="en-US"/>
        </w:rPr>
        <w:t xml:space="preserve">carry out </w:t>
      </w:r>
      <w:r w:rsidR="00A7251C" w:rsidRPr="00813D19">
        <w:rPr>
          <w:bCs/>
          <w:lang w:val="en-US"/>
        </w:rPr>
        <w:t xml:space="preserve">an assessment </w:t>
      </w:r>
      <w:r w:rsidR="00C07F7C" w:rsidRPr="00813D19">
        <w:rPr>
          <w:bCs/>
          <w:lang w:val="en-US"/>
        </w:rPr>
        <w:t xml:space="preserve">leading up to the expert meeting </w:t>
      </w:r>
      <w:r w:rsidR="00A7251C" w:rsidRPr="00813D19">
        <w:rPr>
          <w:bCs/>
          <w:lang w:val="en-US"/>
        </w:rPr>
        <w:t>of those children</w:t>
      </w:r>
      <w:r w:rsidR="00C07F7C" w:rsidRPr="00813D19">
        <w:rPr>
          <w:bCs/>
          <w:lang w:val="en-US"/>
        </w:rPr>
        <w:t>,</w:t>
      </w:r>
      <w:r w:rsidR="00A7251C" w:rsidRPr="00813D19">
        <w:rPr>
          <w:bCs/>
          <w:lang w:val="en-US"/>
        </w:rPr>
        <w:t xml:space="preserve"> now that they returned </w:t>
      </w:r>
      <w:r w:rsidR="00C266E5">
        <w:rPr>
          <w:bCs/>
          <w:lang w:val="en-US"/>
        </w:rPr>
        <w:t>ten</w:t>
      </w:r>
      <w:r w:rsidR="00C266E5" w:rsidRPr="00813D19">
        <w:rPr>
          <w:bCs/>
          <w:lang w:val="en-US"/>
        </w:rPr>
        <w:t xml:space="preserve"> </w:t>
      </w:r>
      <w:r w:rsidR="00A7251C" w:rsidRPr="00813D19">
        <w:rPr>
          <w:bCs/>
          <w:lang w:val="en-US"/>
        </w:rPr>
        <w:t xml:space="preserve">years </w:t>
      </w:r>
      <w:r w:rsidR="00A73AED" w:rsidRPr="00813D19">
        <w:rPr>
          <w:bCs/>
          <w:lang w:val="en-US"/>
        </w:rPr>
        <w:t xml:space="preserve">later </w:t>
      </w:r>
      <w:r w:rsidR="00A7251C" w:rsidRPr="00813D19">
        <w:rPr>
          <w:bCs/>
          <w:lang w:val="en-US"/>
        </w:rPr>
        <w:t xml:space="preserve">to see how </w:t>
      </w:r>
      <w:r w:rsidR="00A73AED" w:rsidRPr="00813D19">
        <w:rPr>
          <w:bCs/>
          <w:lang w:val="en-US"/>
        </w:rPr>
        <w:t xml:space="preserve">UNESCO’s </w:t>
      </w:r>
      <w:r w:rsidR="00A7251C" w:rsidRPr="00813D19">
        <w:rPr>
          <w:bCs/>
          <w:lang w:val="en-US"/>
        </w:rPr>
        <w:t xml:space="preserve">interventions </w:t>
      </w:r>
      <w:r w:rsidR="00A73AED" w:rsidRPr="00813D19">
        <w:rPr>
          <w:bCs/>
          <w:lang w:val="en-US"/>
        </w:rPr>
        <w:t xml:space="preserve">had </w:t>
      </w:r>
      <w:r w:rsidR="00A7251C" w:rsidRPr="00813D19">
        <w:rPr>
          <w:bCs/>
          <w:lang w:val="en-US"/>
        </w:rPr>
        <w:t xml:space="preserve">helped. </w:t>
      </w:r>
      <w:r w:rsidR="00A73AED" w:rsidRPr="00813D19">
        <w:rPr>
          <w:bCs/>
          <w:lang w:val="en-US"/>
        </w:rPr>
        <w:t>The Secretary mentioned the ‘Revive the spirit of Mosul’ Initiative, which went to the heart of the issue</w:t>
      </w:r>
      <w:r w:rsidR="00BD35DA" w:rsidRPr="00813D19">
        <w:rPr>
          <w:bCs/>
          <w:lang w:val="en-US"/>
        </w:rPr>
        <w:t xml:space="preserve">, and in this way the Secretariat was </w:t>
      </w:r>
      <w:r w:rsidR="00A7251C" w:rsidRPr="00813D19">
        <w:rPr>
          <w:bCs/>
          <w:lang w:val="en-US"/>
        </w:rPr>
        <w:t xml:space="preserve">considering opportunities </w:t>
      </w:r>
      <w:r w:rsidR="00BD35DA" w:rsidRPr="00813D19">
        <w:rPr>
          <w:bCs/>
          <w:lang w:val="en-US"/>
        </w:rPr>
        <w:t xml:space="preserve">as they arose, adding that </w:t>
      </w:r>
      <w:r w:rsidR="00A7251C" w:rsidRPr="00813D19">
        <w:rPr>
          <w:bCs/>
          <w:lang w:val="en-US"/>
        </w:rPr>
        <w:t xml:space="preserve">these long-term issues </w:t>
      </w:r>
      <w:r w:rsidR="00BD35DA" w:rsidRPr="00813D19">
        <w:rPr>
          <w:bCs/>
          <w:lang w:val="en-US"/>
        </w:rPr>
        <w:t xml:space="preserve">were </w:t>
      </w:r>
      <w:r w:rsidR="00A7251C" w:rsidRPr="00813D19">
        <w:rPr>
          <w:bCs/>
          <w:lang w:val="en-US"/>
        </w:rPr>
        <w:t xml:space="preserve">also part of the </w:t>
      </w:r>
      <w:r w:rsidR="00BD35DA" w:rsidRPr="00813D19">
        <w:rPr>
          <w:bCs/>
          <w:lang w:val="en-US"/>
        </w:rPr>
        <w:t xml:space="preserve">issue of </w:t>
      </w:r>
      <w:r w:rsidR="00A7251C" w:rsidRPr="00813D19">
        <w:rPr>
          <w:bCs/>
          <w:lang w:val="en-US"/>
        </w:rPr>
        <w:t>returnees.</w:t>
      </w:r>
      <w:r w:rsidR="00C266E5">
        <w:rPr>
          <w:bCs/>
          <w:lang w:val="en-US"/>
        </w:rPr>
        <w:t xml:space="preserve"> </w:t>
      </w:r>
      <w:r w:rsidR="00BD35DA" w:rsidRPr="00813D19">
        <w:rPr>
          <w:bCs/>
          <w:lang w:val="en-US"/>
        </w:rPr>
        <w:t>The question was w</w:t>
      </w:r>
      <w:r w:rsidR="00A7251C" w:rsidRPr="00813D19">
        <w:rPr>
          <w:bCs/>
          <w:lang w:val="en-US"/>
        </w:rPr>
        <w:t xml:space="preserve">hether </w:t>
      </w:r>
      <w:r w:rsidR="00BD35DA" w:rsidRPr="00813D19">
        <w:rPr>
          <w:bCs/>
          <w:lang w:val="en-US"/>
        </w:rPr>
        <w:t xml:space="preserve">they could be </w:t>
      </w:r>
      <w:r w:rsidR="00A7251C" w:rsidRPr="00813D19">
        <w:rPr>
          <w:bCs/>
          <w:lang w:val="en-US"/>
        </w:rPr>
        <w:t xml:space="preserve">considered as </w:t>
      </w:r>
      <w:r w:rsidR="00BD35DA" w:rsidRPr="00813D19">
        <w:rPr>
          <w:bCs/>
          <w:lang w:val="en-US"/>
        </w:rPr>
        <w:t xml:space="preserve">direct </w:t>
      </w:r>
      <w:r w:rsidR="00A7251C" w:rsidRPr="00813D19">
        <w:rPr>
          <w:bCs/>
          <w:lang w:val="en-US"/>
        </w:rPr>
        <w:t>situations of emergency</w:t>
      </w:r>
      <w:r w:rsidR="00BD35DA" w:rsidRPr="00813D19">
        <w:rPr>
          <w:bCs/>
          <w:lang w:val="en-US"/>
        </w:rPr>
        <w:t>,</w:t>
      </w:r>
      <w:r w:rsidR="00A7251C" w:rsidRPr="00813D19">
        <w:rPr>
          <w:bCs/>
          <w:lang w:val="en-US"/>
        </w:rPr>
        <w:t xml:space="preserve"> but </w:t>
      </w:r>
      <w:r w:rsidR="00BD35DA" w:rsidRPr="00813D19">
        <w:rPr>
          <w:bCs/>
          <w:lang w:val="en-US"/>
        </w:rPr>
        <w:t xml:space="preserve">the Secretariat was </w:t>
      </w:r>
      <w:r w:rsidR="00A7251C" w:rsidRPr="00813D19">
        <w:rPr>
          <w:bCs/>
          <w:lang w:val="en-US"/>
        </w:rPr>
        <w:t>broaden</w:t>
      </w:r>
      <w:r w:rsidR="00BD35DA" w:rsidRPr="00813D19">
        <w:rPr>
          <w:bCs/>
          <w:lang w:val="en-US"/>
        </w:rPr>
        <w:t xml:space="preserve">ing the scope and it would </w:t>
      </w:r>
      <w:r w:rsidR="00A7251C" w:rsidRPr="00813D19">
        <w:rPr>
          <w:bCs/>
          <w:lang w:val="en-US"/>
        </w:rPr>
        <w:t xml:space="preserve">hopefully </w:t>
      </w:r>
      <w:r w:rsidR="00BD35DA" w:rsidRPr="00813D19">
        <w:rPr>
          <w:bCs/>
          <w:lang w:val="en-US"/>
        </w:rPr>
        <w:t xml:space="preserve">report on its </w:t>
      </w:r>
      <w:r w:rsidR="00A7251C" w:rsidRPr="00813D19">
        <w:rPr>
          <w:bCs/>
          <w:lang w:val="en-US"/>
        </w:rPr>
        <w:t xml:space="preserve">experience </w:t>
      </w:r>
      <w:r w:rsidR="00C266E5">
        <w:rPr>
          <w:bCs/>
          <w:lang w:val="en-US"/>
        </w:rPr>
        <w:t>with</w:t>
      </w:r>
      <w:r w:rsidR="00C266E5" w:rsidRPr="00813D19">
        <w:rPr>
          <w:bCs/>
          <w:lang w:val="en-US"/>
        </w:rPr>
        <w:t xml:space="preserve"> </w:t>
      </w:r>
      <w:r w:rsidR="00A7251C" w:rsidRPr="00813D19">
        <w:rPr>
          <w:bCs/>
          <w:lang w:val="en-US"/>
        </w:rPr>
        <w:t>those projects</w:t>
      </w:r>
      <w:r w:rsidR="00BD35DA" w:rsidRPr="00813D19">
        <w:rPr>
          <w:bCs/>
          <w:lang w:val="en-US"/>
        </w:rPr>
        <w:t xml:space="preserve"> in 2019</w:t>
      </w:r>
      <w:r w:rsidR="00A7251C" w:rsidRPr="00813D19">
        <w:rPr>
          <w:bCs/>
          <w:lang w:val="en-US"/>
        </w:rPr>
        <w:t xml:space="preserve">. </w:t>
      </w:r>
      <w:r w:rsidR="00BD35DA" w:rsidRPr="00813D19">
        <w:rPr>
          <w:bCs/>
          <w:lang w:val="en-US"/>
        </w:rPr>
        <w:t xml:space="preserve">Concerning the </w:t>
      </w:r>
      <w:r w:rsidR="00A7251C" w:rsidRPr="00813D19">
        <w:rPr>
          <w:bCs/>
          <w:lang w:val="en-US"/>
        </w:rPr>
        <w:t xml:space="preserve">modalities for communities to work without necessarily going through the state, obviously that </w:t>
      </w:r>
      <w:r w:rsidR="00BD35DA" w:rsidRPr="00813D19">
        <w:rPr>
          <w:bCs/>
          <w:lang w:val="en-US"/>
        </w:rPr>
        <w:t xml:space="preserve">was </w:t>
      </w:r>
      <w:r w:rsidR="00A7251C" w:rsidRPr="00813D19">
        <w:rPr>
          <w:bCs/>
          <w:lang w:val="en-US"/>
        </w:rPr>
        <w:t xml:space="preserve">a contextual situation. The </w:t>
      </w:r>
      <w:r w:rsidR="00BD35DA" w:rsidRPr="00813D19">
        <w:rPr>
          <w:bCs/>
          <w:lang w:val="en-US"/>
        </w:rPr>
        <w:t>Secretary explained that any action would have to be seen with</w:t>
      </w:r>
      <w:r w:rsidR="00A7251C" w:rsidRPr="00813D19">
        <w:rPr>
          <w:bCs/>
          <w:lang w:val="en-US"/>
        </w:rPr>
        <w:t xml:space="preserve">in the framework of agreed United Nations operations and the infrastructure </w:t>
      </w:r>
      <w:r w:rsidR="00BD35DA" w:rsidRPr="00813D19">
        <w:rPr>
          <w:bCs/>
          <w:lang w:val="en-US"/>
        </w:rPr>
        <w:t xml:space="preserve">in place </w:t>
      </w:r>
      <w:r w:rsidR="00634D0B">
        <w:rPr>
          <w:bCs/>
          <w:lang w:val="en-US"/>
        </w:rPr>
        <w:t>of humanitarian actions.</w:t>
      </w:r>
    </w:p>
    <w:p w14:paraId="7ABC0723" w14:textId="12D89F44" w:rsidR="006A6BC0" w:rsidRPr="00813D19" w:rsidRDefault="006A6BC0"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A7251C" w:rsidRPr="00813D19">
        <w:rPr>
          <w:b/>
          <w:color w:val="000000" w:themeColor="text1"/>
          <w:lang w:val="en-US"/>
        </w:rPr>
        <w:t xml:space="preserve"> </w:t>
      </w:r>
      <w:r w:rsidR="00BB0FB8" w:rsidRPr="00813D19">
        <w:rPr>
          <w:color w:val="000000" w:themeColor="text1"/>
          <w:lang w:val="en-US"/>
        </w:rPr>
        <w:t xml:space="preserve">asked </w:t>
      </w:r>
      <w:r w:rsidR="00A7251C" w:rsidRPr="00813D19">
        <w:rPr>
          <w:bCs/>
          <w:lang w:val="en-US"/>
        </w:rPr>
        <w:t xml:space="preserve">about </w:t>
      </w:r>
      <w:r w:rsidR="00BB0FB8" w:rsidRPr="00813D19">
        <w:rPr>
          <w:bCs/>
          <w:lang w:val="en-US"/>
        </w:rPr>
        <w:t>the role of NGOs in this regard.</w:t>
      </w:r>
    </w:p>
    <w:p w14:paraId="229D25FF" w14:textId="649A572E" w:rsidR="00A7251C" w:rsidRPr="00813D19" w:rsidRDefault="00A7251C" w:rsidP="00AC5FD5">
      <w:pPr>
        <w:pStyle w:val="Orateurengris"/>
        <w:spacing w:before="120"/>
        <w:ind w:left="709" w:hanging="709"/>
        <w:rPr>
          <w:color w:val="000000" w:themeColor="text1"/>
          <w:lang w:val="en-US"/>
        </w:rPr>
      </w:pPr>
      <w:r w:rsidRPr="00813D19">
        <w:rPr>
          <w:bCs/>
          <w:lang w:val="en-US"/>
        </w:rPr>
        <w:t xml:space="preserve">The </w:t>
      </w:r>
      <w:r w:rsidRPr="00813D19">
        <w:rPr>
          <w:b/>
          <w:bCs/>
          <w:lang w:val="en-US"/>
        </w:rPr>
        <w:t>Secretary</w:t>
      </w:r>
      <w:r w:rsidR="00CA3507" w:rsidRPr="00813D19">
        <w:rPr>
          <w:b/>
          <w:bCs/>
          <w:lang w:val="en-US"/>
        </w:rPr>
        <w:t xml:space="preserve"> </w:t>
      </w:r>
      <w:r w:rsidR="00CA3507" w:rsidRPr="00813D19">
        <w:rPr>
          <w:bCs/>
          <w:lang w:val="en-US"/>
        </w:rPr>
        <w:t>explained that</w:t>
      </w:r>
      <w:r w:rsidR="00CA3507" w:rsidRPr="00813D19">
        <w:rPr>
          <w:b/>
          <w:bCs/>
          <w:lang w:val="en-US"/>
        </w:rPr>
        <w:t xml:space="preserve"> </w:t>
      </w:r>
      <w:r w:rsidR="00CA3507" w:rsidRPr="00813D19">
        <w:rPr>
          <w:bCs/>
          <w:lang w:val="en-US"/>
        </w:rPr>
        <w:t>NGOs were ind</w:t>
      </w:r>
      <w:r w:rsidR="00BD35DA" w:rsidRPr="00813D19">
        <w:rPr>
          <w:bCs/>
          <w:lang w:val="en-US"/>
        </w:rPr>
        <w:t>eed fully on board, for example</w:t>
      </w:r>
      <w:r w:rsidR="00CA3507" w:rsidRPr="00813D19">
        <w:rPr>
          <w:bCs/>
          <w:lang w:val="en-US"/>
        </w:rPr>
        <w:t xml:space="preserve"> </w:t>
      </w:r>
      <w:r w:rsidRPr="00813D19">
        <w:rPr>
          <w:bCs/>
          <w:lang w:val="en-US"/>
        </w:rPr>
        <w:t xml:space="preserve">in the work </w:t>
      </w:r>
      <w:r w:rsidR="00CA3507" w:rsidRPr="00813D19">
        <w:rPr>
          <w:bCs/>
          <w:lang w:val="en-US"/>
        </w:rPr>
        <w:t xml:space="preserve">carried out </w:t>
      </w:r>
      <w:r w:rsidRPr="00813D19">
        <w:rPr>
          <w:bCs/>
          <w:lang w:val="en-US"/>
        </w:rPr>
        <w:t>in t</w:t>
      </w:r>
      <w:r w:rsidR="00CA3507" w:rsidRPr="00813D19">
        <w:rPr>
          <w:bCs/>
          <w:lang w:val="en-US"/>
        </w:rPr>
        <w:t xml:space="preserve">he Democratic Republic of Congo, the Secretariat </w:t>
      </w:r>
      <w:r w:rsidRPr="00813D19">
        <w:rPr>
          <w:bCs/>
          <w:lang w:val="en-US"/>
        </w:rPr>
        <w:t xml:space="preserve">had </w:t>
      </w:r>
      <w:r w:rsidR="00CA3507" w:rsidRPr="00813D19">
        <w:rPr>
          <w:bCs/>
          <w:lang w:val="en-US"/>
        </w:rPr>
        <w:t xml:space="preserve">worked alongside </w:t>
      </w:r>
      <w:r w:rsidRPr="00813D19">
        <w:rPr>
          <w:bCs/>
          <w:lang w:val="en-US"/>
        </w:rPr>
        <w:t xml:space="preserve">NGOs. </w:t>
      </w:r>
      <w:r w:rsidR="00BD35DA" w:rsidRPr="00813D19">
        <w:rPr>
          <w:bCs/>
          <w:lang w:val="en-US"/>
        </w:rPr>
        <w:t>In addition, f</w:t>
      </w:r>
      <w:r w:rsidRPr="00813D19">
        <w:rPr>
          <w:bCs/>
          <w:lang w:val="en-US"/>
        </w:rPr>
        <w:t xml:space="preserve">ollowing the </w:t>
      </w:r>
      <w:r w:rsidR="00813D19" w:rsidRPr="00813D19">
        <w:rPr>
          <w:bCs/>
          <w:lang w:val="en-US"/>
        </w:rPr>
        <w:t>recent</w:t>
      </w:r>
      <w:r w:rsidR="00BD35DA" w:rsidRPr="00813D19">
        <w:rPr>
          <w:bCs/>
          <w:lang w:val="en-US"/>
        </w:rPr>
        <w:t xml:space="preserve"> </w:t>
      </w:r>
      <w:r w:rsidRPr="00813D19">
        <w:rPr>
          <w:bCs/>
          <w:lang w:val="en-US"/>
        </w:rPr>
        <w:t xml:space="preserve">meeting </w:t>
      </w:r>
      <w:r w:rsidR="00BD35DA" w:rsidRPr="00813D19">
        <w:rPr>
          <w:bCs/>
          <w:lang w:val="en-US"/>
        </w:rPr>
        <w:t xml:space="preserve">held in </w:t>
      </w:r>
      <w:r w:rsidRPr="00813D19">
        <w:rPr>
          <w:bCs/>
          <w:lang w:val="en-US"/>
        </w:rPr>
        <w:t>Lebanon</w:t>
      </w:r>
      <w:r w:rsidR="00BD35DA" w:rsidRPr="00813D19">
        <w:rPr>
          <w:bCs/>
          <w:lang w:val="en-US"/>
        </w:rPr>
        <w:t xml:space="preserve">, the plan was </w:t>
      </w:r>
      <w:r w:rsidRPr="00813D19">
        <w:rPr>
          <w:bCs/>
          <w:lang w:val="en-US"/>
        </w:rPr>
        <w:t xml:space="preserve">to </w:t>
      </w:r>
      <w:r w:rsidR="00BD35DA" w:rsidRPr="00813D19">
        <w:rPr>
          <w:bCs/>
          <w:lang w:val="en-US"/>
        </w:rPr>
        <w:t>collaborate</w:t>
      </w:r>
      <w:r w:rsidRPr="00813D19">
        <w:rPr>
          <w:bCs/>
          <w:lang w:val="en-US"/>
        </w:rPr>
        <w:t xml:space="preserve"> with UNHCR on guidelines with NGOs</w:t>
      </w:r>
      <w:r w:rsidR="00BD35DA" w:rsidRPr="00813D19">
        <w:rPr>
          <w:bCs/>
          <w:lang w:val="en-US"/>
        </w:rPr>
        <w:t xml:space="preserve">, and thus NGOs </w:t>
      </w:r>
      <w:r w:rsidRPr="00813D19">
        <w:rPr>
          <w:bCs/>
          <w:lang w:val="en-US"/>
        </w:rPr>
        <w:t xml:space="preserve">absolutely </w:t>
      </w:r>
      <w:r w:rsidR="00BD35DA" w:rsidRPr="00813D19">
        <w:rPr>
          <w:bCs/>
          <w:lang w:val="en-US"/>
        </w:rPr>
        <w:t xml:space="preserve">had </w:t>
      </w:r>
      <w:r w:rsidR="00634D0B">
        <w:rPr>
          <w:bCs/>
          <w:lang w:val="en-US"/>
        </w:rPr>
        <w:t>a role to play.</w:t>
      </w:r>
    </w:p>
    <w:p w14:paraId="6156688E" w14:textId="69D0FD0B" w:rsidR="006472D3" w:rsidRPr="00813D19" w:rsidRDefault="006472D3"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00813D19" w:rsidRPr="00813D19">
        <w:rPr>
          <w:color w:val="000000" w:themeColor="text1"/>
          <w:lang w:val="en-US"/>
        </w:rPr>
        <w:t>opened</w:t>
      </w:r>
      <w:r w:rsidR="00F21F62" w:rsidRPr="00813D19">
        <w:rPr>
          <w:color w:val="000000" w:themeColor="text1"/>
          <w:lang w:val="en-US"/>
        </w:rPr>
        <w:t xml:space="preserve"> the floor to Observers.</w:t>
      </w:r>
    </w:p>
    <w:p w14:paraId="4F4FA57E" w14:textId="53E10453" w:rsidR="006472D3" w:rsidRPr="00813D19" w:rsidRDefault="006472D3"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Greece</w:t>
      </w:r>
      <w:r w:rsidR="00A7251C" w:rsidRPr="00813D19">
        <w:rPr>
          <w:b/>
          <w:color w:val="000000" w:themeColor="text1"/>
          <w:lang w:val="en-US"/>
        </w:rPr>
        <w:t xml:space="preserve"> </w:t>
      </w:r>
      <w:r w:rsidR="00CA3507" w:rsidRPr="00813D19">
        <w:rPr>
          <w:bCs/>
          <w:lang w:val="en-US"/>
        </w:rPr>
        <w:t xml:space="preserve">was </w:t>
      </w:r>
      <w:r w:rsidR="00A7251C" w:rsidRPr="00813D19">
        <w:rPr>
          <w:bCs/>
          <w:lang w:val="en-US"/>
        </w:rPr>
        <w:t xml:space="preserve">very pleased with the </w:t>
      </w:r>
      <w:r w:rsidR="00CA3507" w:rsidRPr="00813D19">
        <w:rPr>
          <w:bCs/>
          <w:lang w:val="en-US"/>
        </w:rPr>
        <w:t xml:space="preserve">Secretariat’s report, </w:t>
      </w:r>
      <w:r w:rsidR="00A7251C" w:rsidRPr="00813D19">
        <w:rPr>
          <w:bCs/>
          <w:lang w:val="en-US"/>
        </w:rPr>
        <w:t xml:space="preserve">as well as with the interventions of the Committee </w:t>
      </w:r>
      <w:r w:rsidR="00CA3507" w:rsidRPr="00813D19">
        <w:rPr>
          <w:bCs/>
          <w:lang w:val="en-US"/>
        </w:rPr>
        <w:t>and States on this</w:t>
      </w:r>
      <w:r w:rsidR="00A7251C" w:rsidRPr="00813D19">
        <w:rPr>
          <w:bCs/>
          <w:lang w:val="en-US"/>
        </w:rPr>
        <w:t xml:space="preserve"> issue. Greece </w:t>
      </w:r>
      <w:r w:rsidR="003741BB">
        <w:rPr>
          <w:bCs/>
          <w:lang w:val="en-US"/>
        </w:rPr>
        <w:t>was</w:t>
      </w:r>
      <w:r w:rsidR="003741BB" w:rsidRPr="00813D19">
        <w:rPr>
          <w:bCs/>
          <w:lang w:val="en-US"/>
        </w:rPr>
        <w:t xml:space="preserve"> </w:t>
      </w:r>
      <w:r w:rsidR="00CA3507" w:rsidRPr="00813D19">
        <w:rPr>
          <w:bCs/>
          <w:lang w:val="en-US"/>
        </w:rPr>
        <w:t xml:space="preserve">very interested in this issue, having </w:t>
      </w:r>
      <w:r w:rsidR="00A7251C" w:rsidRPr="00813D19">
        <w:rPr>
          <w:bCs/>
          <w:lang w:val="en-US"/>
        </w:rPr>
        <w:t xml:space="preserve">initiated the dialogue </w:t>
      </w:r>
      <w:r w:rsidR="00CA3507" w:rsidRPr="00813D19">
        <w:rPr>
          <w:bCs/>
          <w:lang w:val="en-US"/>
        </w:rPr>
        <w:t xml:space="preserve">at </w:t>
      </w:r>
      <w:r w:rsidR="00A7251C" w:rsidRPr="00813D19">
        <w:rPr>
          <w:bCs/>
          <w:lang w:val="en-US"/>
        </w:rPr>
        <w:t xml:space="preserve">the fourth General Assembly in Paris in 2016. </w:t>
      </w:r>
      <w:r w:rsidR="00CA3507" w:rsidRPr="00813D19">
        <w:rPr>
          <w:bCs/>
          <w:lang w:val="en-US"/>
        </w:rPr>
        <w:t xml:space="preserve">It was thus </w:t>
      </w:r>
      <w:r w:rsidR="00A7251C" w:rsidRPr="00813D19">
        <w:rPr>
          <w:bCs/>
          <w:lang w:val="en-US"/>
        </w:rPr>
        <w:t>very pl</w:t>
      </w:r>
      <w:r w:rsidR="00CA3507" w:rsidRPr="00813D19">
        <w:rPr>
          <w:bCs/>
          <w:lang w:val="en-US"/>
        </w:rPr>
        <w:t xml:space="preserve">eased to see that this issue had gathered momentum, which was </w:t>
      </w:r>
      <w:r w:rsidR="00A7251C" w:rsidRPr="00813D19">
        <w:rPr>
          <w:bCs/>
          <w:lang w:val="en-US"/>
        </w:rPr>
        <w:t>well</w:t>
      </w:r>
      <w:r w:rsidR="003741BB">
        <w:rPr>
          <w:bCs/>
          <w:lang w:val="en-US"/>
        </w:rPr>
        <w:t>-</w:t>
      </w:r>
      <w:r w:rsidR="00A7251C" w:rsidRPr="00813D19">
        <w:rPr>
          <w:bCs/>
          <w:lang w:val="en-US"/>
        </w:rPr>
        <w:t xml:space="preserve">deserved. </w:t>
      </w:r>
      <w:r w:rsidR="00CA3507" w:rsidRPr="00813D19">
        <w:rPr>
          <w:bCs/>
          <w:lang w:val="en-US"/>
        </w:rPr>
        <w:t xml:space="preserve">Intangible cultural heritage demonstrates </w:t>
      </w:r>
      <w:r w:rsidR="00A7251C" w:rsidRPr="00813D19">
        <w:rPr>
          <w:bCs/>
          <w:lang w:val="en-US"/>
        </w:rPr>
        <w:t xml:space="preserve">the centrality it </w:t>
      </w:r>
      <w:r w:rsidR="00CA3507" w:rsidRPr="00813D19">
        <w:rPr>
          <w:bCs/>
          <w:lang w:val="en-US"/>
        </w:rPr>
        <w:t xml:space="preserve">plays in </w:t>
      </w:r>
      <w:r w:rsidR="00A7251C" w:rsidRPr="00813D19">
        <w:rPr>
          <w:bCs/>
          <w:lang w:val="en-US"/>
        </w:rPr>
        <w:t>people’s lives</w:t>
      </w:r>
      <w:r w:rsidR="00CA3507" w:rsidRPr="00813D19">
        <w:rPr>
          <w:bCs/>
          <w:lang w:val="en-US"/>
        </w:rPr>
        <w:t>,</w:t>
      </w:r>
      <w:r w:rsidR="00A7251C" w:rsidRPr="00813D19">
        <w:rPr>
          <w:bCs/>
          <w:lang w:val="en-US"/>
        </w:rPr>
        <w:t xml:space="preserve"> espe</w:t>
      </w:r>
      <w:r w:rsidR="00CA3507" w:rsidRPr="00813D19">
        <w:rPr>
          <w:bCs/>
          <w:lang w:val="en-US"/>
        </w:rPr>
        <w:t>cially in difficult situations</w:t>
      </w:r>
      <w:r w:rsidR="00A7251C" w:rsidRPr="00813D19">
        <w:rPr>
          <w:bCs/>
          <w:lang w:val="en-US"/>
        </w:rPr>
        <w:t xml:space="preserve"> that require </w:t>
      </w:r>
      <w:r w:rsidR="00CA3507" w:rsidRPr="00813D19">
        <w:rPr>
          <w:bCs/>
          <w:lang w:val="en-US"/>
        </w:rPr>
        <w:t xml:space="preserve">the </w:t>
      </w:r>
      <w:r w:rsidR="00A7251C" w:rsidRPr="00813D19">
        <w:rPr>
          <w:bCs/>
          <w:lang w:val="en-US"/>
        </w:rPr>
        <w:t>mitigation of disasters</w:t>
      </w:r>
      <w:r w:rsidR="00CA3507" w:rsidRPr="00813D19">
        <w:rPr>
          <w:bCs/>
          <w:lang w:val="en-US"/>
        </w:rPr>
        <w:t>,</w:t>
      </w:r>
      <w:r w:rsidR="00A7251C" w:rsidRPr="00813D19">
        <w:rPr>
          <w:bCs/>
          <w:lang w:val="en-US"/>
        </w:rPr>
        <w:t xml:space="preserve"> </w:t>
      </w:r>
      <w:r w:rsidR="00CA3507" w:rsidRPr="00813D19">
        <w:rPr>
          <w:bCs/>
          <w:lang w:val="en-US"/>
        </w:rPr>
        <w:t xml:space="preserve">and also in the case of </w:t>
      </w:r>
      <w:r w:rsidR="00A7251C" w:rsidRPr="00813D19">
        <w:rPr>
          <w:bCs/>
          <w:lang w:val="en-US"/>
        </w:rPr>
        <w:t xml:space="preserve">the violent displacement of populations. </w:t>
      </w:r>
      <w:r w:rsidR="00CA3507" w:rsidRPr="00813D19">
        <w:rPr>
          <w:bCs/>
          <w:lang w:val="en-US"/>
        </w:rPr>
        <w:t xml:space="preserve">The delegation was </w:t>
      </w:r>
      <w:r w:rsidR="00A7251C" w:rsidRPr="00813D19">
        <w:rPr>
          <w:bCs/>
          <w:lang w:val="en-US"/>
        </w:rPr>
        <w:t xml:space="preserve">impressed by the list of activities </w:t>
      </w:r>
      <w:r w:rsidR="00CA3507" w:rsidRPr="00813D19">
        <w:rPr>
          <w:bCs/>
          <w:lang w:val="en-US"/>
        </w:rPr>
        <w:t xml:space="preserve">reported by the </w:t>
      </w:r>
      <w:r w:rsidR="00A7251C" w:rsidRPr="00813D19">
        <w:rPr>
          <w:bCs/>
          <w:lang w:val="en-US"/>
        </w:rPr>
        <w:t xml:space="preserve">Secretariat and </w:t>
      </w:r>
      <w:r w:rsidR="00CA3507" w:rsidRPr="00813D19">
        <w:rPr>
          <w:bCs/>
          <w:lang w:val="en-US"/>
        </w:rPr>
        <w:t xml:space="preserve">was </w:t>
      </w:r>
      <w:r w:rsidR="00916F35" w:rsidRPr="00813D19">
        <w:rPr>
          <w:bCs/>
          <w:lang w:val="en-US"/>
        </w:rPr>
        <w:t>very</w:t>
      </w:r>
      <w:r w:rsidR="00A7251C" w:rsidRPr="00813D19">
        <w:rPr>
          <w:bCs/>
          <w:lang w:val="en-US"/>
        </w:rPr>
        <w:t xml:space="preserve"> interested in the operationalization of this experience in the form of directives </w:t>
      </w:r>
      <w:r w:rsidR="00977B43" w:rsidRPr="00813D19">
        <w:rPr>
          <w:bCs/>
          <w:lang w:val="en-US"/>
        </w:rPr>
        <w:t xml:space="preserve">already </w:t>
      </w:r>
      <w:r w:rsidR="00CA3507" w:rsidRPr="00813D19">
        <w:rPr>
          <w:bCs/>
          <w:lang w:val="en-US"/>
        </w:rPr>
        <w:t xml:space="preserve">at </w:t>
      </w:r>
      <w:r w:rsidR="00A7251C" w:rsidRPr="00813D19">
        <w:rPr>
          <w:bCs/>
          <w:lang w:val="en-US"/>
        </w:rPr>
        <w:t>the next General Assembly</w:t>
      </w:r>
      <w:r w:rsidR="00977B43" w:rsidRPr="00813D19">
        <w:rPr>
          <w:bCs/>
          <w:lang w:val="en-US"/>
        </w:rPr>
        <w:t xml:space="preserve">, which </w:t>
      </w:r>
      <w:r w:rsidR="003741BB">
        <w:rPr>
          <w:bCs/>
          <w:lang w:val="en-US"/>
        </w:rPr>
        <w:t>would</w:t>
      </w:r>
      <w:r w:rsidR="003741BB" w:rsidRPr="00813D19">
        <w:rPr>
          <w:bCs/>
          <w:lang w:val="en-US"/>
        </w:rPr>
        <w:t xml:space="preserve"> </w:t>
      </w:r>
      <w:r w:rsidR="00A7251C" w:rsidRPr="00813D19">
        <w:rPr>
          <w:bCs/>
          <w:lang w:val="en-US"/>
        </w:rPr>
        <w:t xml:space="preserve">show </w:t>
      </w:r>
      <w:r w:rsidR="00977B43" w:rsidRPr="00813D19">
        <w:rPr>
          <w:bCs/>
          <w:lang w:val="en-US"/>
        </w:rPr>
        <w:t xml:space="preserve">just </w:t>
      </w:r>
      <w:r w:rsidR="00A7251C" w:rsidRPr="00813D19">
        <w:rPr>
          <w:bCs/>
          <w:lang w:val="en-US"/>
        </w:rPr>
        <w:t xml:space="preserve">how </w:t>
      </w:r>
      <w:r w:rsidR="00977B43" w:rsidRPr="00813D19">
        <w:rPr>
          <w:bCs/>
          <w:lang w:val="en-US"/>
        </w:rPr>
        <w:t xml:space="preserve">central </w:t>
      </w:r>
      <w:r w:rsidR="00CA3507" w:rsidRPr="00813D19">
        <w:rPr>
          <w:bCs/>
          <w:lang w:val="en-US"/>
        </w:rPr>
        <w:t xml:space="preserve">intangible cultural heritage </w:t>
      </w:r>
      <w:r w:rsidR="00A7251C" w:rsidRPr="00813D19">
        <w:rPr>
          <w:bCs/>
          <w:lang w:val="en-US"/>
        </w:rPr>
        <w:t xml:space="preserve">is </w:t>
      </w:r>
      <w:r w:rsidR="00977B43" w:rsidRPr="00813D19">
        <w:rPr>
          <w:bCs/>
          <w:lang w:val="en-US"/>
        </w:rPr>
        <w:t xml:space="preserve">to </w:t>
      </w:r>
      <w:r w:rsidR="00634D0B">
        <w:rPr>
          <w:bCs/>
          <w:lang w:val="en-US"/>
        </w:rPr>
        <w:t>our lives.</w:t>
      </w:r>
    </w:p>
    <w:p w14:paraId="353CBDD1" w14:textId="7A6FCBB3" w:rsidR="006472D3" w:rsidRPr="00813D19" w:rsidRDefault="00EB3093" w:rsidP="00CC29E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Switzerland</w:t>
      </w:r>
      <w:r w:rsidR="00CC29E0" w:rsidRPr="00813D19">
        <w:rPr>
          <w:b/>
          <w:color w:val="000000" w:themeColor="text1"/>
          <w:lang w:val="en-US"/>
        </w:rPr>
        <w:t xml:space="preserve"> </w:t>
      </w:r>
      <w:r w:rsidR="00CC29E0" w:rsidRPr="00813D19">
        <w:rPr>
          <w:color w:val="000000" w:themeColor="text1"/>
          <w:lang w:val="en-US"/>
        </w:rPr>
        <w:t xml:space="preserve">thanked the Secretariat for establishing and explaining the very positive status of the work. Switzerland recognized the interest, importance and potential of addressing intangible cultural heritage in emergencies and defining means of action. It welcomed the proposal to organize a meeting of experts and, beyond that, to set up an opportunity to discuss good practices for safeguarding, revitalizing but also reflecting on the contribution of living heritage in emergency situations. As such, Switzerland </w:t>
      </w:r>
      <w:r w:rsidR="003741BB">
        <w:rPr>
          <w:color w:val="000000" w:themeColor="text1"/>
          <w:lang w:val="en-US"/>
        </w:rPr>
        <w:t>was</w:t>
      </w:r>
      <w:r w:rsidR="003741BB" w:rsidRPr="00813D19">
        <w:rPr>
          <w:color w:val="000000" w:themeColor="text1"/>
          <w:lang w:val="en-US"/>
        </w:rPr>
        <w:t xml:space="preserve"> </w:t>
      </w:r>
      <w:r w:rsidR="00CC29E0" w:rsidRPr="00813D19">
        <w:rPr>
          <w:color w:val="000000" w:themeColor="text1"/>
          <w:lang w:val="en-US"/>
        </w:rPr>
        <w:t>developing a strategy for both tangible and intangible heritage at risk, and wished to make its reflections available as part of the experts' reflection in June and its follow-up.</w:t>
      </w:r>
    </w:p>
    <w:p w14:paraId="2B016156" w14:textId="01ACF160" w:rsidR="00EB3093" w:rsidRPr="00813D19" w:rsidRDefault="00325DA7"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Saint</w:t>
      </w:r>
      <w:r w:rsidR="00A84307">
        <w:rPr>
          <w:b/>
          <w:color w:val="000000" w:themeColor="text1"/>
          <w:lang w:val="en-US"/>
        </w:rPr>
        <w:t xml:space="preserve"> </w:t>
      </w:r>
      <w:r w:rsidRPr="00813D19">
        <w:rPr>
          <w:b/>
          <w:color w:val="000000" w:themeColor="text1"/>
          <w:lang w:val="en-US"/>
        </w:rPr>
        <w:t>Lucia</w:t>
      </w:r>
      <w:r w:rsidR="00A7251C" w:rsidRPr="00813D19">
        <w:rPr>
          <w:b/>
          <w:color w:val="000000" w:themeColor="text1"/>
          <w:lang w:val="en-US"/>
        </w:rPr>
        <w:t xml:space="preserve"> </w:t>
      </w:r>
      <w:r w:rsidR="0082035E" w:rsidRPr="00813D19">
        <w:rPr>
          <w:bCs/>
          <w:lang w:val="en-US"/>
        </w:rPr>
        <w:t>thanked</w:t>
      </w:r>
      <w:r w:rsidR="00A7251C" w:rsidRPr="00813D19">
        <w:rPr>
          <w:bCs/>
          <w:lang w:val="en-US"/>
        </w:rPr>
        <w:t xml:space="preserve"> Mauritius for </w:t>
      </w:r>
      <w:r w:rsidR="0082035E" w:rsidRPr="00813D19">
        <w:rPr>
          <w:bCs/>
          <w:lang w:val="en-US"/>
        </w:rPr>
        <w:t xml:space="preserve">its generous hosting, and </w:t>
      </w:r>
      <w:r w:rsidR="00A7251C" w:rsidRPr="00813D19">
        <w:rPr>
          <w:bCs/>
          <w:lang w:val="en-US"/>
        </w:rPr>
        <w:t xml:space="preserve">the Secretariat for </w:t>
      </w:r>
      <w:r w:rsidR="0082035E" w:rsidRPr="00813D19">
        <w:rPr>
          <w:bCs/>
          <w:lang w:val="en-US"/>
        </w:rPr>
        <w:t xml:space="preserve">its </w:t>
      </w:r>
      <w:r w:rsidR="00A7251C" w:rsidRPr="00813D19">
        <w:rPr>
          <w:bCs/>
          <w:lang w:val="en-US"/>
        </w:rPr>
        <w:t xml:space="preserve">tremendous work </w:t>
      </w:r>
      <w:r w:rsidR="0082035E" w:rsidRPr="00813D19">
        <w:rPr>
          <w:bCs/>
          <w:lang w:val="en-US"/>
        </w:rPr>
        <w:t xml:space="preserve">and the </w:t>
      </w:r>
      <w:r w:rsidR="00A7251C" w:rsidRPr="00813D19">
        <w:rPr>
          <w:bCs/>
          <w:lang w:val="en-US"/>
        </w:rPr>
        <w:t xml:space="preserve">progress made in this particular area of emergencies. </w:t>
      </w:r>
      <w:r w:rsidR="00F81921" w:rsidRPr="00813D19">
        <w:rPr>
          <w:bCs/>
          <w:lang w:val="en-US"/>
        </w:rPr>
        <w:t xml:space="preserve">The delegation spoke as a </w:t>
      </w:r>
      <w:r w:rsidR="00A7251C" w:rsidRPr="00813D19">
        <w:rPr>
          <w:bCs/>
          <w:lang w:val="en-US"/>
        </w:rPr>
        <w:t>voice of the Caribbean</w:t>
      </w:r>
      <w:r w:rsidR="00F81921" w:rsidRPr="00813D19">
        <w:rPr>
          <w:bCs/>
          <w:lang w:val="en-US"/>
        </w:rPr>
        <w:t>,</w:t>
      </w:r>
      <w:r w:rsidR="00A7251C" w:rsidRPr="00813D19">
        <w:rPr>
          <w:bCs/>
          <w:lang w:val="en-US"/>
        </w:rPr>
        <w:t xml:space="preserve"> </w:t>
      </w:r>
      <w:r w:rsidR="00D048B5" w:rsidRPr="00813D19">
        <w:rPr>
          <w:bCs/>
          <w:lang w:val="en-US"/>
        </w:rPr>
        <w:t xml:space="preserve">earlier </w:t>
      </w:r>
      <w:r w:rsidR="00A7251C" w:rsidRPr="00813D19">
        <w:rPr>
          <w:bCs/>
          <w:lang w:val="en-US"/>
        </w:rPr>
        <w:t>expressed by Jamaica</w:t>
      </w:r>
      <w:r w:rsidR="00F81921" w:rsidRPr="00813D19">
        <w:rPr>
          <w:bCs/>
          <w:lang w:val="en-US"/>
        </w:rPr>
        <w:t>,</w:t>
      </w:r>
      <w:r w:rsidR="00A7251C" w:rsidRPr="00813D19">
        <w:rPr>
          <w:bCs/>
          <w:lang w:val="en-US"/>
        </w:rPr>
        <w:t xml:space="preserve"> </w:t>
      </w:r>
      <w:r w:rsidR="00F81921" w:rsidRPr="00813D19">
        <w:rPr>
          <w:bCs/>
          <w:lang w:val="en-US"/>
        </w:rPr>
        <w:t xml:space="preserve">as </w:t>
      </w:r>
      <w:r w:rsidR="00A7251C" w:rsidRPr="00813D19">
        <w:rPr>
          <w:bCs/>
          <w:lang w:val="en-US"/>
        </w:rPr>
        <w:t xml:space="preserve">one of the most vulnerable parts of the world with respect to </w:t>
      </w:r>
      <w:r w:rsidR="00F81921" w:rsidRPr="00813D19">
        <w:rPr>
          <w:bCs/>
          <w:lang w:val="en-US"/>
        </w:rPr>
        <w:t>h</w:t>
      </w:r>
      <w:r w:rsidR="00A7251C" w:rsidRPr="00813D19">
        <w:rPr>
          <w:bCs/>
          <w:lang w:val="en-US"/>
        </w:rPr>
        <w:t xml:space="preserve">urricanes </w:t>
      </w:r>
      <w:r w:rsidR="00F81921" w:rsidRPr="00813D19">
        <w:rPr>
          <w:bCs/>
          <w:lang w:val="en-US"/>
        </w:rPr>
        <w:t xml:space="preserve">that </w:t>
      </w:r>
      <w:r w:rsidR="00A7251C" w:rsidRPr="00813D19">
        <w:rPr>
          <w:bCs/>
          <w:lang w:val="en-US"/>
        </w:rPr>
        <w:t xml:space="preserve">strike every year. </w:t>
      </w:r>
      <w:r w:rsidR="00F81921" w:rsidRPr="00813D19">
        <w:rPr>
          <w:bCs/>
          <w:lang w:val="en-US"/>
        </w:rPr>
        <w:t>I</w:t>
      </w:r>
      <w:r w:rsidR="00A7251C" w:rsidRPr="00813D19">
        <w:rPr>
          <w:bCs/>
          <w:lang w:val="en-US"/>
        </w:rPr>
        <w:t>n this regard</w:t>
      </w:r>
      <w:r w:rsidR="00F81921" w:rsidRPr="00813D19">
        <w:rPr>
          <w:bCs/>
          <w:lang w:val="en-US"/>
        </w:rPr>
        <w:t xml:space="preserve">, the </w:t>
      </w:r>
      <w:r w:rsidR="00A7251C" w:rsidRPr="00813D19">
        <w:rPr>
          <w:bCs/>
          <w:lang w:val="en-US"/>
        </w:rPr>
        <w:t xml:space="preserve">issue </w:t>
      </w:r>
      <w:r w:rsidR="00F81921" w:rsidRPr="00813D19">
        <w:rPr>
          <w:bCs/>
          <w:lang w:val="en-US"/>
        </w:rPr>
        <w:t xml:space="preserve">of </w:t>
      </w:r>
      <w:r w:rsidR="00A7251C" w:rsidRPr="00813D19">
        <w:rPr>
          <w:bCs/>
          <w:lang w:val="en-US"/>
        </w:rPr>
        <w:t xml:space="preserve">emergencies </w:t>
      </w:r>
      <w:r w:rsidR="00F81921" w:rsidRPr="00813D19">
        <w:rPr>
          <w:bCs/>
          <w:lang w:val="en-US"/>
        </w:rPr>
        <w:t xml:space="preserve">should also be seen </w:t>
      </w:r>
      <w:r w:rsidR="00A7251C" w:rsidRPr="00813D19">
        <w:rPr>
          <w:bCs/>
          <w:lang w:val="en-US"/>
        </w:rPr>
        <w:t xml:space="preserve">in </w:t>
      </w:r>
      <w:r w:rsidR="00F81921" w:rsidRPr="00813D19">
        <w:rPr>
          <w:bCs/>
          <w:lang w:val="en-US"/>
        </w:rPr>
        <w:t xml:space="preserve">terms of </w:t>
      </w:r>
      <w:r w:rsidR="00A7251C" w:rsidRPr="00813D19">
        <w:rPr>
          <w:bCs/>
          <w:lang w:val="en-US"/>
        </w:rPr>
        <w:t xml:space="preserve">preparation. It </w:t>
      </w:r>
      <w:r w:rsidR="00D048B5" w:rsidRPr="00813D19">
        <w:rPr>
          <w:bCs/>
          <w:lang w:val="en-US"/>
        </w:rPr>
        <w:t xml:space="preserve">was </w:t>
      </w:r>
      <w:r w:rsidR="00A7251C" w:rsidRPr="00813D19">
        <w:rPr>
          <w:bCs/>
          <w:lang w:val="en-US"/>
        </w:rPr>
        <w:t>not only wh</w:t>
      </w:r>
      <w:r w:rsidR="00D048B5" w:rsidRPr="00813D19">
        <w:rPr>
          <w:bCs/>
          <w:lang w:val="en-US"/>
        </w:rPr>
        <w:t>en the hurricane strikes</w:t>
      </w:r>
      <w:r w:rsidR="00A7251C" w:rsidRPr="00813D19">
        <w:rPr>
          <w:bCs/>
          <w:lang w:val="en-US"/>
        </w:rPr>
        <w:t xml:space="preserve"> </w:t>
      </w:r>
      <w:r w:rsidR="00C13623" w:rsidRPr="00813D19">
        <w:rPr>
          <w:bCs/>
          <w:lang w:val="en-US"/>
        </w:rPr>
        <w:t xml:space="preserve">that one should </w:t>
      </w:r>
      <w:r w:rsidR="00A7251C" w:rsidRPr="00813D19">
        <w:rPr>
          <w:bCs/>
          <w:lang w:val="en-US"/>
        </w:rPr>
        <w:t>strengthen and build resilience in recover</w:t>
      </w:r>
      <w:r w:rsidR="00D048B5" w:rsidRPr="00813D19">
        <w:rPr>
          <w:bCs/>
          <w:lang w:val="en-US"/>
        </w:rPr>
        <w:t>y</w:t>
      </w:r>
      <w:r w:rsidR="00C13623" w:rsidRPr="00813D19">
        <w:rPr>
          <w:bCs/>
          <w:lang w:val="en-US"/>
        </w:rPr>
        <w:t>,</w:t>
      </w:r>
      <w:r w:rsidR="00A7251C" w:rsidRPr="00813D19">
        <w:rPr>
          <w:bCs/>
          <w:lang w:val="en-US"/>
        </w:rPr>
        <w:t xml:space="preserve"> but also </w:t>
      </w:r>
      <w:r w:rsidR="00C13623" w:rsidRPr="00813D19">
        <w:rPr>
          <w:bCs/>
          <w:lang w:val="en-US"/>
        </w:rPr>
        <w:t>in preparation</w:t>
      </w:r>
      <w:r w:rsidR="00A7251C" w:rsidRPr="00813D19">
        <w:rPr>
          <w:bCs/>
          <w:lang w:val="en-US"/>
        </w:rPr>
        <w:t xml:space="preserve"> for it. </w:t>
      </w:r>
      <w:r w:rsidR="00D048B5" w:rsidRPr="00813D19">
        <w:rPr>
          <w:bCs/>
          <w:lang w:val="en-US"/>
        </w:rPr>
        <w:t>The delegation thus encouraged</w:t>
      </w:r>
      <w:r w:rsidR="00A7251C" w:rsidRPr="00813D19">
        <w:rPr>
          <w:bCs/>
          <w:lang w:val="en-US"/>
        </w:rPr>
        <w:t xml:space="preserve"> build</w:t>
      </w:r>
      <w:r w:rsidR="00D048B5" w:rsidRPr="00813D19">
        <w:rPr>
          <w:bCs/>
          <w:lang w:val="en-US"/>
        </w:rPr>
        <w:t>ing</w:t>
      </w:r>
      <w:r w:rsidR="00A7251C" w:rsidRPr="00813D19">
        <w:rPr>
          <w:bCs/>
          <w:lang w:val="en-US"/>
        </w:rPr>
        <w:t xml:space="preserve"> preparatory strength in this area. </w:t>
      </w:r>
      <w:r w:rsidR="00D048B5" w:rsidRPr="00813D19">
        <w:rPr>
          <w:bCs/>
          <w:lang w:val="en-US"/>
        </w:rPr>
        <w:t>L</w:t>
      </w:r>
      <w:r w:rsidR="00A7251C" w:rsidRPr="00813D19">
        <w:rPr>
          <w:bCs/>
          <w:lang w:val="en-US"/>
        </w:rPr>
        <w:t>is</w:t>
      </w:r>
      <w:r w:rsidR="00D048B5" w:rsidRPr="00813D19">
        <w:rPr>
          <w:bCs/>
          <w:lang w:val="en-US"/>
        </w:rPr>
        <w:t xml:space="preserve">tening to all the presentations, it was clear </w:t>
      </w:r>
      <w:r w:rsidR="00A7251C" w:rsidRPr="00813D19">
        <w:rPr>
          <w:bCs/>
          <w:lang w:val="en-US"/>
        </w:rPr>
        <w:t xml:space="preserve">that </w:t>
      </w:r>
      <w:r w:rsidR="00D048B5" w:rsidRPr="00813D19">
        <w:rPr>
          <w:bCs/>
          <w:lang w:val="en-US"/>
        </w:rPr>
        <w:t xml:space="preserve">there was </w:t>
      </w:r>
      <w:r w:rsidR="00A7251C" w:rsidRPr="00813D19">
        <w:rPr>
          <w:bCs/>
          <w:lang w:val="en-US"/>
        </w:rPr>
        <w:t xml:space="preserve">a tremendous amount of experience and resources across </w:t>
      </w:r>
      <w:r w:rsidR="00D048B5" w:rsidRPr="00813D19">
        <w:rPr>
          <w:bCs/>
          <w:lang w:val="en-US"/>
        </w:rPr>
        <w:t xml:space="preserve">States Parties </w:t>
      </w:r>
      <w:r w:rsidR="00A7251C" w:rsidRPr="00813D19">
        <w:rPr>
          <w:bCs/>
          <w:lang w:val="en-US"/>
        </w:rPr>
        <w:t xml:space="preserve">and </w:t>
      </w:r>
      <w:r w:rsidR="00D048B5" w:rsidRPr="00813D19">
        <w:rPr>
          <w:bCs/>
          <w:lang w:val="en-US"/>
        </w:rPr>
        <w:t>it encouraged</w:t>
      </w:r>
      <w:r w:rsidR="00A7251C" w:rsidRPr="00813D19">
        <w:rPr>
          <w:bCs/>
          <w:lang w:val="en-US"/>
        </w:rPr>
        <w:t xml:space="preserve"> the Secretariat not only to centralize that response but to develop communication mechanisms </w:t>
      </w:r>
      <w:r w:rsidR="00D048B5" w:rsidRPr="00813D19">
        <w:rPr>
          <w:bCs/>
          <w:lang w:val="en-US"/>
        </w:rPr>
        <w:t xml:space="preserve">in order to </w:t>
      </w:r>
      <w:r w:rsidR="00C13623" w:rsidRPr="00813D19">
        <w:rPr>
          <w:bCs/>
          <w:lang w:val="en-US"/>
        </w:rPr>
        <w:t xml:space="preserve">obtain </w:t>
      </w:r>
      <w:r w:rsidR="00A7251C" w:rsidRPr="00813D19">
        <w:rPr>
          <w:bCs/>
          <w:lang w:val="en-US"/>
        </w:rPr>
        <w:t xml:space="preserve">quick responses and support </w:t>
      </w:r>
      <w:r w:rsidR="00D048B5" w:rsidRPr="00813D19">
        <w:rPr>
          <w:bCs/>
          <w:lang w:val="en-US"/>
        </w:rPr>
        <w:t xml:space="preserve">among </w:t>
      </w:r>
      <w:r w:rsidR="00A7251C" w:rsidRPr="00813D19">
        <w:rPr>
          <w:bCs/>
          <w:lang w:val="en-US"/>
        </w:rPr>
        <w:t xml:space="preserve">States Parties in the Convention. </w:t>
      </w:r>
      <w:r w:rsidR="00D048B5" w:rsidRPr="00813D19">
        <w:rPr>
          <w:bCs/>
          <w:lang w:val="en-US"/>
        </w:rPr>
        <w:t>With regard to the comment by Cuba,</w:t>
      </w:r>
      <w:r w:rsidR="00A7251C" w:rsidRPr="00813D19">
        <w:rPr>
          <w:bCs/>
          <w:lang w:val="en-US"/>
        </w:rPr>
        <w:t xml:space="preserve"> </w:t>
      </w:r>
      <w:r w:rsidR="00D048B5" w:rsidRPr="00813D19">
        <w:rPr>
          <w:bCs/>
          <w:lang w:val="en-US"/>
        </w:rPr>
        <w:t xml:space="preserve">it had made an </w:t>
      </w:r>
      <w:r w:rsidR="00A7251C" w:rsidRPr="00813D19">
        <w:rPr>
          <w:bCs/>
          <w:lang w:val="en-US"/>
        </w:rPr>
        <w:t>interesting obser</w:t>
      </w:r>
      <w:r w:rsidR="00C13623" w:rsidRPr="00813D19">
        <w:rPr>
          <w:bCs/>
          <w:lang w:val="en-US"/>
        </w:rPr>
        <w:t>vation of synergies across the C</w:t>
      </w:r>
      <w:r w:rsidR="00A7251C" w:rsidRPr="00813D19">
        <w:rPr>
          <w:bCs/>
          <w:lang w:val="en-US"/>
        </w:rPr>
        <w:t>onventions and</w:t>
      </w:r>
      <w:r w:rsidR="00C13623" w:rsidRPr="00813D19">
        <w:rPr>
          <w:bCs/>
          <w:lang w:val="en-US"/>
        </w:rPr>
        <w:t>,</w:t>
      </w:r>
      <w:r w:rsidR="00A7251C" w:rsidRPr="00813D19">
        <w:rPr>
          <w:bCs/>
          <w:lang w:val="en-US"/>
        </w:rPr>
        <w:t xml:space="preserve"> as </w:t>
      </w:r>
      <w:r w:rsidR="00D048B5" w:rsidRPr="00813D19">
        <w:rPr>
          <w:bCs/>
          <w:lang w:val="en-US"/>
        </w:rPr>
        <w:t xml:space="preserve">the Secretariat </w:t>
      </w:r>
      <w:r w:rsidR="00A7251C" w:rsidRPr="00813D19">
        <w:rPr>
          <w:bCs/>
          <w:lang w:val="en-US"/>
        </w:rPr>
        <w:t>prepare</w:t>
      </w:r>
      <w:r w:rsidR="00D048B5" w:rsidRPr="00813D19">
        <w:rPr>
          <w:bCs/>
          <w:lang w:val="en-US"/>
        </w:rPr>
        <w:t xml:space="preserve">d for this meeting of experts, the delegation believed it was important to invite </w:t>
      </w:r>
      <w:r w:rsidR="00A7251C" w:rsidRPr="00813D19">
        <w:rPr>
          <w:bCs/>
          <w:lang w:val="en-US"/>
        </w:rPr>
        <w:t>experts in tangible heritage</w:t>
      </w:r>
      <w:r w:rsidR="00D048B5" w:rsidRPr="00813D19">
        <w:rPr>
          <w:bCs/>
          <w:lang w:val="en-US"/>
        </w:rPr>
        <w:t xml:space="preserve">. In its experience </w:t>
      </w:r>
      <w:r w:rsidR="00A7251C" w:rsidRPr="00813D19">
        <w:rPr>
          <w:bCs/>
          <w:lang w:val="en-US"/>
        </w:rPr>
        <w:t>with hurricanes</w:t>
      </w:r>
      <w:r w:rsidR="00D048B5" w:rsidRPr="00813D19">
        <w:rPr>
          <w:bCs/>
          <w:lang w:val="en-US"/>
        </w:rPr>
        <w:t>,</w:t>
      </w:r>
      <w:r w:rsidR="00A7251C" w:rsidRPr="00813D19">
        <w:rPr>
          <w:bCs/>
          <w:lang w:val="en-US"/>
        </w:rPr>
        <w:t xml:space="preserve"> the biggest destruction </w:t>
      </w:r>
      <w:r w:rsidR="00D048B5" w:rsidRPr="00813D19">
        <w:rPr>
          <w:bCs/>
          <w:lang w:val="en-US"/>
        </w:rPr>
        <w:t xml:space="preserve">were </w:t>
      </w:r>
      <w:r w:rsidR="00A7251C" w:rsidRPr="00813D19">
        <w:rPr>
          <w:bCs/>
          <w:lang w:val="en-US"/>
        </w:rPr>
        <w:t xml:space="preserve">spaces that house and shelter intangible heritage and </w:t>
      </w:r>
      <w:r w:rsidR="00D048B5" w:rsidRPr="00813D19">
        <w:rPr>
          <w:bCs/>
          <w:lang w:val="en-US"/>
        </w:rPr>
        <w:t>thus it would be worth</w:t>
      </w:r>
      <w:r w:rsidR="00A7251C" w:rsidRPr="00813D19">
        <w:rPr>
          <w:bCs/>
          <w:lang w:val="en-US"/>
        </w:rPr>
        <w:t xml:space="preserve">while </w:t>
      </w:r>
      <w:r w:rsidR="00D048B5" w:rsidRPr="00813D19">
        <w:rPr>
          <w:bCs/>
          <w:lang w:val="en-US"/>
        </w:rPr>
        <w:t xml:space="preserve">to </w:t>
      </w:r>
      <w:r w:rsidR="00A7251C" w:rsidRPr="00813D19">
        <w:rPr>
          <w:bCs/>
          <w:lang w:val="en-US"/>
        </w:rPr>
        <w:t xml:space="preserve">bring intangible and tangible </w:t>
      </w:r>
      <w:r w:rsidR="00D048B5" w:rsidRPr="00813D19">
        <w:rPr>
          <w:bCs/>
          <w:lang w:val="en-US"/>
        </w:rPr>
        <w:t xml:space="preserve">culture </w:t>
      </w:r>
      <w:r w:rsidR="00A7251C" w:rsidRPr="00813D19">
        <w:rPr>
          <w:bCs/>
          <w:lang w:val="en-US"/>
        </w:rPr>
        <w:t xml:space="preserve">experts together. Preparatory strength, synergies across tangible and intangible </w:t>
      </w:r>
      <w:r w:rsidR="00D048B5" w:rsidRPr="00813D19">
        <w:rPr>
          <w:bCs/>
          <w:lang w:val="en-US"/>
        </w:rPr>
        <w:t xml:space="preserve">cultural </w:t>
      </w:r>
      <w:r w:rsidR="00A7251C" w:rsidRPr="00813D19">
        <w:rPr>
          <w:bCs/>
          <w:lang w:val="en-US"/>
        </w:rPr>
        <w:t>heritage</w:t>
      </w:r>
      <w:r w:rsidR="00D048B5" w:rsidRPr="00813D19">
        <w:rPr>
          <w:bCs/>
          <w:lang w:val="en-US"/>
        </w:rPr>
        <w:t>,</w:t>
      </w:r>
      <w:r w:rsidR="00A7251C" w:rsidRPr="00813D19">
        <w:rPr>
          <w:bCs/>
          <w:lang w:val="en-US"/>
        </w:rPr>
        <w:t xml:space="preserve"> and helping to develop communication mechanisms that </w:t>
      </w:r>
      <w:r w:rsidR="00D048B5" w:rsidRPr="00813D19">
        <w:rPr>
          <w:bCs/>
          <w:lang w:val="en-US"/>
        </w:rPr>
        <w:t xml:space="preserve">would allow direct reach and </w:t>
      </w:r>
      <w:r w:rsidR="00A7251C" w:rsidRPr="00813D19">
        <w:rPr>
          <w:bCs/>
          <w:lang w:val="en-US"/>
        </w:rPr>
        <w:t xml:space="preserve">almost immediate communication across </w:t>
      </w:r>
      <w:r w:rsidR="00D048B5" w:rsidRPr="00813D19">
        <w:rPr>
          <w:bCs/>
          <w:lang w:val="en-US"/>
        </w:rPr>
        <w:t>States Parties</w:t>
      </w:r>
      <w:r w:rsidR="002F12C3" w:rsidRPr="00813D19">
        <w:rPr>
          <w:bCs/>
          <w:lang w:val="en-US"/>
        </w:rPr>
        <w:t xml:space="preserve"> would be good start</w:t>
      </w:r>
      <w:r w:rsidR="00741408" w:rsidRPr="00813D19">
        <w:rPr>
          <w:bCs/>
          <w:lang w:val="en-US"/>
        </w:rPr>
        <w:t>ing</w:t>
      </w:r>
      <w:r w:rsidR="002F12C3" w:rsidRPr="00813D19">
        <w:rPr>
          <w:bCs/>
          <w:lang w:val="en-US"/>
        </w:rPr>
        <w:t xml:space="preserve"> </w:t>
      </w:r>
      <w:r w:rsidR="00741408" w:rsidRPr="00813D19">
        <w:rPr>
          <w:bCs/>
          <w:lang w:val="en-US"/>
        </w:rPr>
        <w:t xml:space="preserve">points </w:t>
      </w:r>
      <w:r w:rsidR="002F12C3" w:rsidRPr="00813D19">
        <w:rPr>
          <w:bCs/>
          <w:lang w:val="en-US"/>
        </w:rPr>
        <w:t xml:space="preserve">if the Secretariat could </w:t>
      </w:r>
      <w:r w:rsidR="00A7251C" w:rsidRPr="00813D19">
        <w:rPr>
          <w:bCs/>
          <w:lang w:val="en-US"/>
        </w:rPr>
        <w:t xml:space="preserve">help develop </w:t>
      </w:r>
      <w:r w:rsidR="002F12C3" w:rsidRPr="00813D19">
        <w:rPr>
          <w:bCs/>
          <w:lang w:val="en-US"/>
        </w:rPr>
        <w:t xml:space="preserve">such </w:t>
      </w:r>
      <w:r w:rsidR="00A7251C" w:rsidRPr="00813D19">
        <w:rPr>
          <w:bCs/>
          <w:lang w:val="en-US"/>
        </w:rPr>
        <w:t xml:space="preserve">mechanisms. </w:t>
      </w:r>
      <w:r w:rsidR="002F12C3" w:rsidRPr="00813D19">
        <w:rPr>
          <w:bCs/>
          <w:lang w:val="en-US"/>
        </w:rPr>
        <w:t xml:space="preserve">The delegation thanked </w:t>
      </w:r>
      <w:r w:rsidR="00A7251C" w:rsidRPr="00813D19">
        <w:rPr>
          <w:bCs/>
          <w:lang w:val="en-US"/>
        </w:rPr>
        <w:t xml:space="preserve">China for </w:t>
      </w:r>
      <w:r w:rsidR="002F12C3" w:rsidRPr="00813D19">
        <w:rPr>
          <w:bCs/>
          <w:lang w:val="en-US"/>
        </w:rPr>
        <w:t xml:space="preserve">its </w:t>
      </w:r>
      <w:r w:rsidR="00A7251C" w:rsidRPr="00813D19">
        <w:rPr>
          <w:bCs/>
          <w:lang w:val="en-US"/>
        </w:rPr>
        <w:t xml:space="preserve">support </w:t>
      </w:r>
      <w:r w:rsidR="006657C6">
        <w:rPr>
          <w:bCs/>
          <w:lang w:val="en-US"/>
        </w:rPr>
        <w:t>with</w:t>
      </w:r>
      <w:r w:rsidR="006657C6" w:rsidRPr="00813D19">
        <w:rPr>
          <w:bCs/>
          <w:lang w:val="en-US"/>
        </w:rPr>
        <w:t xml:space="preserve"> </w:t>
      </w:r>
      <w:r w:rsidR="002F12C3" w:rsidRPr="00813D19">
        <w:rPr>
          <w:bCs/>
          <w:lang w:val="en-US"/>
        </w:rPr>
        <w:t xml:space="preserve">the </w:t>
      </w:r>
      <w:r w:rsidR="00A7251C" w:rsidRPr="00813D19">
        <w:rPr>
          <w:bCs/>
          <w:lang w:val="en-US"/>
        </w:rPr>
        <w:t xml:space="preserve">expert meeting and </w:t>
      </w:r>
      <w:r w:rsidR="002F12C3" w:rsidRPr="00813D19">
        <w:rPr>
          <w:bCs/>
          <w:lang w:val="en-US"/>
        </w:rPr>
        <w:t xml:space="preserve">it </w:t>
      </w:r>
      <w:r w:rsidR="00A7251C" w:rsidRPr="00813D19">
        <w:rPr>
          <w:bCs/>
          <w:lang w:val="en-US"/>
        </w:rPr>
        <w:t>look</w:t>
      </w:r>
      <w:r w:rsidR="002F12C3" w:rsidRPr="00813D19">
        <w:rPr>
          <w:bCs/>
          <w:lang w:val="en-US"/>
        </w:rPr>
        <w:t>ed</w:t>
      </w:r>
      <w:r w:rsidR="00A7251C" w:rsidRPr="00813D19">
        <w:rPr>
          <w:bCs/>
          <w:lang w:val="en-US"/>
        </w:rPr>
        <w:t xml:space="preserve"> forward to work</w:t>
      </w:r>
      <w:r w:rsidR="002F12C3" w:rsidRPr="00813D19">
        <w:rPr>
          <w:bCs/>
          <w:lang w:val="en-US"/>
        </w:rPr>
        <w:t>ing</w:t>
      </w:r>
      <w:r w:rsidR="00634D0B">
        <w:rPr>
          <w:bCs/>
          <w:lang w:val="en-US"/>
        </w:rPr>
        <w:t xml:space="preserve"> in the coming period.</w:t>
      </w:r>
    </w:p>
    <w:p w14:paraId="46715B71" w14:textId="62B49689" w:rsidR="009A60B2" w:rsidRPr="00813D19" w:rsidRDefault="009A60B2"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Mexico </w:t>
      </w:r>
      <w:r w:rsidR="000244E5" w:rsidRPr="00813D19">
        <w:rPr>
          <w:bCs/>
          <w:lang w:val="en-US"/>
        </w:rPr>
        <w:t xml:space="preserve">was </w:t>
      </w:r>
      <w:r w:rsidR="00A7251C" w:rsidRPr="00813D19">
        <w:rPr>
          <w:bCs/>
          <w:lang w:val="en-US"/>
        </w:rPr>
        <w:t>grateful for the opportunity to take the floor</w:t>
      </w:r>
      <w:r w:rsidR="00741408" w:rsidRPr="00813D19">
        <w:rPr>
          <w:bCs/>
          <w:lang w:val="en-US"/>
        </w:rPr>
        <w:t xml:space="preserve">, adding that </w:t>
      </w:r>
      <w:r w:rsidR="000244E5" w:rsidRPr="00813D19">
        <w:rPr>
          <w:bCs/>
          <w:lang w:val="en-US"/>
        </w:rPr>
        <w:t xml:space="preserve">it </w:t>
      </w:r>
      <w:r w:rsidR="00741408" w:rsidRPr="00813D19">
        <w:rPr>
          <w:bCs/>
          <w:lang w:val="en-US"/>
        </w:rPr>
        <w:t>could</w:t>
      </w:r>
      <w:r w:rsidR="00A7251C" w:rsidRPr="00813D19">
        <w:rPr>
          <w:bCs/>
          <w:lang w:val="en-US"/>
        </w:rPr>
        <w:t xml:space="preserve"> join forces on two very important aspects of </w:t>
      </w:r>
      <w:r w:rsidR="000244E5" w:rsidRPr="00813D19">
        <w:rPr>
          <w:bCs/>
          <w:lang w:val="en-US"/>
        </w:rPr>
        <w:t xml:space="preserve">intangible cultural heritage, as well as </w:t>
      </w:r>
      <w:r w:rsidR="00A7251C" w:rsidRPr="00813D19">
        <w:rPr>
          <w:bCs/>
          <w:lang w:val="en-US"/>
        </w:rPr>
        <w:t xml:space="preserve">the 1972 Convention. </w:t>
      </w:r>
      <w:r w:rsidR="000244E5" w:rsidRPr="00813D19">
        <w:rPr>
          <w:bCs/>
          <w:lang w:val="en-US"/>
        </w:rPr>
        <w:t xml:space="preserve">It referred to a </w:t>
      </w:r>
      <w:r w:rsidR="00A7251C" w:rsidRPr="00813D19">
        <w:rPr>
          <w:bCs/>
          <w:lang w:val="en-US"/>
        </w:rPr>
        <w:t xml:space="preserve">topic of great importance </w:t>
      </w:r>
      <w:r w:rsidR="000244E5" w:rsidRPr="00813D19">
        <w:rPr>
          <w:bCs/>
          <w:lang w:val="en-US"/>
        </w:rPr>
        <w:t xml:space="preserve">and sensitivity at the present time, which it </w:t>
      </w:r>
      <w:r w:rsidR="00741408" w:rsidRPr="00813D19">
        <w:rPr>
          <w:bCs/>
          <w:lang w:val="en-US"/>
        </w:rPr>
        <w:t>was dealing with first-hand,</w:t>
      </w:r>
      <w:r w:rsidR="000244E5" w:rsidRPr="00813D19">
        <w:rPr>
          <w:bCs/>
          <w:lang w:val="en-US"/>
        </w:rPr>
        <w:t xml:space="preserve"> related to refugees and their needs</w:t>
      </w:r>
      <w:r w:rsidR="00741408" w:rsidRPr="00813D19">
        <w:rPr>
          <w:bCs/>
          <w:lang w:val="en-US"/>
        </w:rPr>
        <w:t>,</w:t>
      </w:r>
      <w:r w:rsidR="000244E5" w:rsidRPr="00813D19">
        <w:rPr>
          <w:bCs/>
          <w:lang w:val="en-US"/>
        </w:rPr>
        <w:t xml:space="preserve"> generated </w:t>
      </w:r>
      <w:r w:rsidR="00741408" w:rsidRPr="00813D19">
        <w:rPr>
          <w:bCs/>
          <w:lang w:val="en-US"/>
        </w:rPr>
        <w:t xml:space="preserve">as a result of their movement across many </w:t>
      </w:r>
      <w:r w:rsidR="00A7251C" w:rsidRPr="00813D19">
        <w:rPr>
          <w:bCs/>
          <w:lang w:val="en-US"/>
        </w:rPr>
        <w:t xml:space="preserve">Central American countries </w:t>
      </w:r>
      <w:r w:rsidR="000244E5" w:rsidRPr="00813D19">
        <w:rPr>
          <w:bCs/>
          <w:lang w:val="en-US"/>
        </w:rPr>
        <w:t xml:space="preserve">as </w:t>
      </w:r>
      <w:r w:rsidR="00A7251C" w:rsidRPr="00813D19">
        <w:rPr>
          <w:bCs/>
          <w:lang w:val="en-US"/>
        </w:rPr>
        <w:t xml:space="preserve">people </w:t>
      </w:r>
      <w:r w:rsidR="00741408" w:rsidRPr="00813D19">
        <w:rPr>
          <w:bCs/>
          <w:lang w:val="en-US"/>
        </w:rPr>
        <w:t xml:space="preserve">sought </w:t>
      </w:r>
      <w:r w:rsidR="00A7251C" w:rsidRPr="00813D19">
        <w:rPr>
          <w:bCs/>
          <w:lang w:val="en-US"/>
        </w:rPr>
        <w:t>greater opportunities</w:t>
      </w:r>
      <w:r w:rsidR="00741408" w:rsidRPr="00813D19">
        <w:rPr>
          <w:bCs/>
          <w:lang w:val="en-US"/>
        </w:rPr>
        <w:t xml:space="preserve"> in </w:t>
      </w:r>
      <w:r w:rsidR="00A7251C" w:rsidRPr="00813D19">
        <w:rPr>
          <w:bCs/>
          <w:lang w:val="en-US"/>
        </w:rPr>
        <w:t>the United States</w:t>
      </w:r>
      <w:r w:rsidR="000244E5" w:rsidRPr="00813D19">
        <w:rPr>
          <w:bCs/>
          <w:lang w:val="en-US"/>
        </w:rPr>
        <w:t xml:space="preserve">. There </w:t>
      </w:r>
      <w:r w:rsidR="00AF5128" w:rsidRPr="00813D19">
        <w:rPr>
          <w:bCs/>
          <w:lang w:val="en-US"/>
        </w:rPr>
        <w:t>were</w:t>
      </w:r>
      <w:r w:rsidR="000244E5" w:rsidRPr="00813D19">
        <w:rPr>
          <w:bCs/>
          <w:lang w:val="en-US"/>
        </w:rPr>
        <w:t xml:space="preserve"> </w:t>
      </w:r>
      <w:r w:rsidR="00A7251C" w:rsidRPr="00813D19">
        <w:rPr>
          <w:bCs/>
          <w:lang w:val="en-US"/>
        </w:rPr>
        <w:t>still no clear answer</w:t>
      </w:r>
      <w:r w:rsidR="00AF5128" w:rsidRPr="00813D19">
        <w:rPr>
          <w:bCs/>
          <w:lang w:val="en-US"/>
        </w:rPr>
        <w:t>s</w:t>
      </w:r>
      <w:r w:rsidR="00A7251C" w:rsidRPr="00813D19">
        <w:rPr>
          <w:bCs/>
          <w:lang w:val="en-US"/>
        </w:rPr>
        <w:t xml:space="preserve"> as to which measures </w:t>
      </w:r>
      <w:r w:rsidR="000244E5" w:rsidRPr="00813D19">
        <w:rPr>
          <w:bCs/>
          <w:lang w:val="en-US"/>
        </w:rPr>
        <w:t xml:space="preserve">were </w:t>
      </w:r>
      <w:r w:rsidR="00A7251C" w:rsidRPr="00813D19">
        <w:rPr>
          <w:bCs/>
          <w:lang w:val="en-US"/>
        </w:rPr>
        <w:t xml:space="preserve">being adopted </w:t>
      </w:r>
      <w:r w:rsidR="000244E5" w:rsidRPr="00813D19">
        <w:rPr>
          <w:bCs/>
          <w:lang w:val="en-US"/>
        </w:rPr>
        <w:t xml:space="preserve">with regard to </w:t>
      </w:r>
      <w:r w:rsidR="00A7251C" w:rsidRPr="00813D19">
        <w:rPr>
          <w:bCs/>
          <w:lang w:val="en-US"/>
        </w:rPr>
        <w:t xml:space="preserve">safeguarding </w:t>
      </w:r>
      <w:r w:rsidR="000244E5" w:rsidRPr="00813D19">
        <w:rPr>
          <w:bCs/>
          <w:lang w:val="en-US"/>
        </w:rPr>
        <w:t>intangible cultural heritage in this case</w:t>
      </w:r>
      <w:r w:rsidR="00741408" w:rsidRPr="00813D19">
        <w:rPr>
          <w:bCs/>
          <w:lang w:val="en-US"/>
        </w:rPr>
        <w:t>,</w:t>
      </w:r>
      <w:r w:rsidR="000244E5" w:rsidRPr="00813D19">
        <w:rPr>
          <w:bCs/>
          <w:lang w:val="en-US"/>
        </w:rPr>
        <w:t xml:space="preserve"> and the delegation wondered</w:t>
      </w:r>
      <w:r w:rsidR="00A7251C" w:rsidRPr="00813D19">
        <w:rPr>
          <w:bCs/>
          <w:lang w:val="en-US"/>
        </w:rPr>
        <w:t xml:space="preserve"> </w:t>
      </w:r>
      <w:r w:rsidR="000244E5" w:rsidRPr="00813D19">
        <w:rPr>
          <w:bCs/>
          <w:lang w:val="en-US"/>
        </w:rPr>
        <w:t xml:space="preserve">whether this topic </w:t>
      </w:r>
      <w:r w:rsidR="00A7251C" w:rsidRPr="00813D19">
        <w:rPr>
          <w:bCs/>
          <w:lang w:val="en-US"/>
        </w:rPr>
        <w:t xml:space="preserve">could be added to the discussion in </w:t>
      </w:r>
      <w:r w:rsidR="000244E5" w:rsidRPr="00813D19">
        <w:rPr>
          <w:bCs/>
          <w:lang w:val="en-US"/>
        </w:rPr>
        <w:t xml:space="preserve">the </w:t>
      </w:r>
      <w:r w:rsidR="00A7251C" w:rsidRPr="00813D19">
        <w:rPr>
          <w:bCs/>
          <w:lang w:val="en-US"/>
        </w:rPr>
        <w:t>up</w:t>
      </w:r>
      <w:r w:rsidR="000244E5" w:rsidRPr="00813D19">
        <w:rPr>
          <w:bCs/>
          <w:lang w:val="en-US"/>
        </w:rPr>
        <w:t xml:space="preserve">coming sessions, possibly in June 2019, which could be an </w:t>
      </w:r>
      <w:r w:rsidR="00A7251C" w:rsidRPr="00813D19">
        <w:rPr>
          <w:bCs/>
          <w:lang w:val="en-US"/>
        </w:rPr>
        <w:t xml:space="preserve">appropriate forum for </w:t>
      </w:r>
      <w:r w:rsidR="000244E5" w:rsidRPr="00813D19">
        <w:rPr>
          <w:bCs/>
          <w:lang w:val="en-US"/>
        </w:rPr>
        <w:t xml:space="preserve">this kind of </w:t>
      </w:r>
      <w:r w:rsidR="00A7251C" w:rsidRPr="00813D19">
        <w:rPr>
          <w:bCs/>
          <w:lang w:val="en-US"/>
        </w:rPr>
        <w:t xml:space="preserve">discussion. </w:t>
      </w:r>
      <w:r w:rsidR="00AF5128" w:rsidRPr="00813D19">
        <w:rPr>
          <w:bCs/>
          <w:lang w:val="en-US"/>
        </w:rPr>
        <w:t xml:space="preserve">The delegation reiterated the importance of this complex </w:t>
      </w:r>
      <w:r w:rsidR="00A7251C" w:rsidRPr="00813D19">
        <w:rPr>
          <w:bCs/>
          <w:lang w:val="en-US"/>
        </w:rPr>
        <w:t>phenomenon in terms of its dynamics</w:t>
      </w:r>
      <w:r w:rsidR="00AF5128" w:rsidRPr="00813D19">
        <w:rPr>
          <w:bCs/>
          <w:lang w:val="en-US"/>
        </w:rPr>
        <w:t xml:space="preserve">, as well as </w:t>
      </w:r>
      <w:r w:rsidR="00A7251C" w:rsidRPr="00813D19">
        <w:rPr>
          <w:bCs/>
          <w:lang w:val="en-US"/>
        </w:rPr>
        <w:t xml:space="preserve">the </w:t>
      </w:r>
      <w:r w:rsidR="00741408" w:rsidRPr="00813D19">
        <w:rPr>
          <w:bCs/>
          <w:lang w:val="en-US"/>
        </w:rPr>
        <w:t xml:space="preserve">applied </w:t>
      </w:r>
      <w:r w:rsidR="00A7251C" w:rsidRPr="00813D19">
        <w:rPr>
          <w:bCs/>
          <w:lang w:val="en-US"/>
        </w:rPr>
        <w:t xml:space="preserve">measures </w:t>
      </w:r>
      <w:r w:rsidR="00AF5128" w:rsidRPr="00813D19">
        <w:rPr>
          <w:bCs/>
          <w:lang w:val="en-US"/>
        </w:rPr>
        <w:t xml:space="preserve">and responses by authorities or </w:t>
      </w:r>
      <w:r w:rsidR="00A7251C" w:rsidRPr="00813D19">
        <w:rPr>
          <w:bCs/>
          <w:lang w:val="en-US"/>
        </w:rPr>
        <w:t xml:space="preserve">civil society in the </w:t>
      </w:r>
      <w:r w:rsidR="00AF5128" w:rsidRPr="00813D19">
        <w:rPr>
          <w:bCs/>
          <w:lang w:val="en-US"/>
        </w:rPr>
        <w:t>hope of safeguarding intangible cultural heritage</w:t>
      </w:r>
      <w:r w:rsidR="00A7251C" w:rsidRPr="00813D19">
        <w:rPr>
          <w:bCs/>
          <w:lang w:val="en-US"/>
        </w:rPr>
        <w:t xml:space="preserve">. </w:t>
      </w:r>
      <w:r w:rsidR="00AF5128" w:rsidRPr="00813D19">
        <w:rPr>
          <w:bCs/>
          <w:lang w:val="en-US"/>
        </w:rPr>
        <w:t>Indeed,</w:t>
      </w:r>
      <w:r w:rsidR="00A7251C" w:rsidRPr="00813D19">
        <w:rPr>
          <w:bCs/>
          <w:lang w:val="en-US"/>
        </w:rPr>
        <w:t xml:space="preserve"> this </w:t>
      </w:r>
      <w:r w:rsidR="00AF5128" w:rsidRPr="00813D19">
        <w:rPr>
          <w:bCs/>
          <w:lang w:val="en-US"/>
        </w:rPr>
        <w:t xml:space="preserve">was </w:t>
      </w:r>
      <w:r w:rsidR="00A7251C" w:rsidRPr="00813D19">
        <w:rPr>
          <w:bCs/>
          <w:lang w:val="en-US"/>
        </w:rPr>
        <w:t xml:space="preserve">also related to cultural heritage sites. </w:t>
      </w:r>
      <w:r w:rsidR="00AF5128" w:rsidRPr="00813D19">
        <w:rPr>
          <w:bCs/>
          <w:lang w:val="en-US"/>
        </w:rPr>
        <w:t xml:space="preserve">The delegation spoke of the </w:t>
      </w:r>
      <w:r w:rsidR="00A7251C" w:rsidRPr="00813D19">
        <w:rPr>
          <w:bCs/>
          <w:lang w:val="en-US"/>
        </w:rPr>
        <w:t>series of seismic a</w:t>
      </w:r>
      <w:r w:rsidR="00AF5128" w:rsidRPr="00813D19">
        <w:rPr>
          <w:bCs/>
          <w:lang w:val="en-US"/>
        </w:rPr>
        <w:t>ctivit</w:t>
      </w:r>
      <w:r w:rsidR="006657C6">
        <w:rPr>
          <w:bCs/>
          <w:lang w:val="en-US"/>
        </w:rPr>
        <w:t>ies</w:t>
      </w:r>
      <w:r w:rsidR="00AF5128" w:rsidRPr="00813D19">
        <w:rPr>
          <w:bCs/>
          <w:lang w:val="en-US"/>
        </w:rPr>
        <w:t xml:space="preserve"> that had occurred in Mexico over the last two years when, in the wake of those quakes, it had </w:t>
      </w:r>
      <w:r w:rsidR="00A7251C" w:rsidRPr="00813D19">
        <w:rPr>
          <w:bCs/>
          <w:lang w:val="en-US"/>
        </w:rPr>
        <w:t xml:space="preserve">called </w:t>
      </w:r>
      <w:r w:rsidR="00AF5128" w:rsidRPr="00813D19">
        <w:rPr>
          <w:bCs/>
          <w:lang w:val="en-US"/>
        </w:rPr>
        <w:t>up</w:t>
      </w:r>
      <w:r w:rsidR="00A7251C" w:rsidRPr="00813D19">
        <w:rPr>
          <w:bCs/>
          <w:lang w:val="en-US"/>
        </w:rPr>
        <w:t xml:space="preserve">on UNESCO and </w:t>
      </w:r>
      <w:r w:rsidR="00741408" w:rsidRPr="00813D19">
        <w:rPr>
          <w:bCs/>
          <w:lang w:val="en-US"/>
        </w:rPr>
        <w:t xml:space="preserve">had </w:t>
      </w:r>
      <w:r w:rsidR="00AF5128" w:rsidRPr="00813D19">
        <w:rPr>
          <w:bCs/>
          <w:lang w:val="en-US"/>
        </w:rPr>
        <w:t xml:space="preserve">received a </w:t>
      </w:r>
      <w:r w:rsidR="00A7251C" w:rsidRPr="00813D19">
        <w:rPr>
          <w:bCs/>
          <w:lang w:val="en-US"/>
        </w:rPr>
        <w:t xml:space="preserve">response </w:t>
      </w:r>
      <w:r w:rsidR="00AF5128" w:rsidRPr="00813D19">
        <w:rPr>
          <w:bCs/>
          <w:lang w:val="en-US"/>
        </w:rPr>
        <w:t xml:space="preserve">that was </w:t>
      </w:r>
      <w:r w:rsidR="00741408" w:rsidRPr="00813D19">
        <w:rPr>
          <w:bCs/>
          <w:lang w:val="en-US"/>
        </w:rPr>
        <w:t>worth</w:t>
      </w:r>
      <w:r w:rsidR="00A7251C" w:rsidRPr="00813D19">
        <w:rPr>
          <w:bCs/>
          <w:lang w:val="en-US"/>
        </w:rPr>
        <w:t xml:space="preserve"> examining</w:t>
      </w:r>
      <w:r w:rsidR="00AF5128" w:rsidRPr="00813D19">
        <w:rPr>
          <w:bCs/>
          <w:lang w:val="en-US"/>
        </w:rPr>
        <w:t>,</w:t>
      </w:r>
      <w:r w:rsidR="00A7251C" w:rsidRPr="00813D19">
        <w:rPr>
          <w:bCs/>
          <w:lang w:val="en-US"/>
        </w:rPr>
        <w:t xml:space="preserve"> perhaps at </w:t>
      </w:r>
      <w:r w:rsidR="00AF5128" w:rsidRPr="00813D19">
        <w:rPr>
          <w:bCs/>
          <w:lang w:val="en-US"/>
        </w:rPr>
        <w:t xml:space="preserve">the </w:t>
      </w:r>
      <w:r w:rsidR="00A7251C" w:rsidRPr="00813D19">
        <w:rPr>
          <w:bCs/>
          <w:lang w:val="en-US"/>
        </w:rPr>
        <w:t xml:space="preserve">expert meeting in June </w:t>
      </w:r>
      <w:r w:rsidR="00AF5128" w:rsidRPr="00813D19">
        <w:rPr>
          <w:bCs/>
          <w:lang w:val="en-US"/>
        </w:rPr>
        <w:t>2019</w:t>
      </w:r>
      <w:r w:rsidR="00A7251C" w:rsidRPr="00813D19">
        <w:rPr>
          <w:bCs/>
          <w:lang w:val="en-US"/>
        </w:rPr>
        <w:t xml:space="preserve">. It </w:t>
      </w:r>
      <w:r w:rsidR="00AF5128" w:rsidRPr="00813D19">
        <w:rPr>
          <w:bCs/>
          <w:lang w:val="en-US"/>
        </w:rPr>
        <w:t xml:space="preserve">was thus </w:t>
      </w:r>
      <w:r w:rsidR="00A7251C" w:rsidRPr="00813D19">
        <w:rPr>
          <w:bCs/>
          <w:lang w:val="en-US"/>
        </w:rPr>
        <w:t xml:space="preserve">worthwhile </w:t>
      </w:r>
      <w:r w:rsidR="00AF5128" w:rsidRPr="00813D19">
        <w:rPr>
          <w:bCs/>
          <w:lang w:val="en-US"/>
        </w:rPr>
        <w:t xml:space="preserve">to </w:t>
      </w:r>
      <w:r w:rsidR="00A7251C" w:rsidRPr="00813D19">
        <w:rPr>
          <w:bCs/>
          <w:lang w:val="en-US"/>
        </w:rPr>
        <w:t xml:space="preserve">look at </w:t>
      </w:r>
      <w:r w:rsidR="00AF5128" w:rsidRPr="00813D19">
        <w:rPr>
          <w:bCs/>
          <w:lang w:val="en-US"/>
        </w:rPr>
        <w:t xml:space="preserve">the issue within </w:t>
      </w:r>
      <w:r w:rsidR="00813D19" w:rsidRPr="00813D19">
        <w:rPr>
          <w:bCs/>
          <w:lang w:val="en-US"/>
        </w:rPr>
        <w:t>a</w:t>
      </w:r>
      <w:r w:rsidR="00AF5128" w:rsidRPr="00813D19">
        <w:rPr>
          <w:bCs/>
          <w:lang w:val="en-US"/>
        </w:rPr>
        <w:t xml:space="preserve"> holistic, wide-</w:t>
      </w:r>
      <w:r w:rsidR="00A7251C" w:rsidRPr="00813D19">
        <w:rPr>
          <w:bCs/>
          <w:lang w:val="en-US"/>
        </w:rPr>
        <w:t xml:space="preserve">reaching strategy for dealing with intangible </w:t>
      </w:r>
      <w:r w:rsidR="00AF5128" w:rsidRPr="00813D19">
        <w:rPr>
          <w:bCs/>
          <w:lang w:val="en-US"/>
        </w:rPr>
        <w:t xml:space="preserve">and tangible heritage </w:t>
      </w:r>
      <w:r w:rsidR="00634D0B">
        <w:rPr>
          <w:bCs/>
          <w:lang w:val="en-US"/>
        </w:rPr>
        <w:t>in emergency situations.</w:t>
      </w:r>
    </w:p>
    <w:p w14:paraId="086A0A86" w14:textId="44FFFB7C" w:rsidR="002F6EF5" w:rsidRPr="00813D19" w:rsidRDefault="00CF34C0"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Belize</w:t>
      </w:r>
      <w:r w:rsidR="00A7251C" w:rsidRPr="00813D19">
        <w:rPr>
          <w:b/>
          <w:color w:val="000000" w:themeColor="text1"/>
          <w:lang w:val="en-US"/>
        </w:rPr>
        <w:t xml:space="preserve"> </w:t>
      </w:r>
      <w:r w:rsidR="00A7251C" w:rsidRPr="00813D19">
        <w:rPr>
          <w:bCs/>
          <w:lang w:val="en-US"/>
        </w:rPr>
        <w:t>thank</w:t>
      </w:r>
      <w:r w:rsidR="00DB0084" w:rsidRPr="00813D19">
        <w:rPr>
          <w:bCs/>
          <w:lang w:val="en-US"/>
        </w:rPr>
        <w:t>ed the people and G</w:t>
      </w:r>
      <w:r w:rsidR="00A7251C" w:rsidRPr="00813D19">
        <w:rPr>
          <w:bCs/>
          <w:lang w:val="en-US"/>
        </w:rPr>
        <w:t xml:space="preserve">overnment of Mauritius for </w:t>
      </w:r>
      <w:r w:rsidR="00DB0084" w:rsidRPr="00813D19">
        <w:rPr>
          <w:bCs/>
          <w:lang w:val="en-US"/>
        </w:rPr>
        <w:t xml:space="preserve">the </w:t>
      </w:r>
      <w:r w:rsidR="00A7251C" w:rsidRPr="00813D19">
        <w:rPr>
          <w:bCs/>
          <w:lang w:val="en-US"/>
        </w:rPr>
        <w:t>won</w:t>
      </w:r>
      <w:r w:rsidR="00AF5128" w:rsidRPr="00813D19">
        <w:rPr>
          <w:bCs/>
          <w:lang w:val="en-US"/>
        </w:rPr>
        <w:t xml:space="preserve">derful hosting of this meeting, and </w:t>
      </w:r>
      <w:r w:rsidR="00A7251C" w:rsidRPr="00813D19">
        <w:rPr>
          <w:bCs/>
          <w:lang w:val="en-US"/>
        </w:rPr>
        <w:t>congratulate</w:t>
      </w:r>
      <w:r w:rsidR="00AF5128" w:rsidRPr="00813D19">
        <w:rPr>
          <w:bCs/>
          <w:lang w:val="en-US"/>
        </w:rPr>
        <w:t>d</w:t>
      </w:r>
      <w:r w:rsidR="00A7251C" w:rsidRPr="00813D19">
        <w:rPr>
          <w:bCs/>
          <w:lang w:val="en-US"/>
        </w:rPr>
        <w:t xml:space="preserve"> the Secretariat on the work </w:t>
      </w:r>
      <w:r w:rsidR="00741408" w:rsidRPr="00813D19">
        <w:rPr>
          <w:bCs/>
          <w:lang w:val="en-US"/>
        </w:rPr>
        <w:t xml:space="preserve">so </w:t>
      </w:r>
      <w:r w:rsidR="00A7251C" w:rsidRPr="00813D19">
        <w:rPr>
          <w:bCs/>
          <w:lang w:val="en-US"/>
        </w:rPr>
        <w:t xml:space="preserve">far. </w:t>
      </w:r>
      <w:r w:rsidR="00AF5128" w:rsidRPr="00813D19">
        <w:rPr>
          <w:bCs/>
          <w:lang w:val="en-US"/>
        </w:rPr>
        <w:t xml:space="preserve">With regard to </w:t>
      </w:r>
      <w:r w:rsidR="00A7251C" w:rsidRPr="00813D19">
        <w:rPr>
          <w:bCs/>
          <w:lang w:val="en-US"/>
        </w:rPr>
        <w:t xml:space="preserve">the </w:t>
      </w:r>
      <w:r w:rsidR="00AF5128" w:rsidRPr="00813D19">
        <w:rPr>
          <w:bCs/>
          <w:lang w:val="en-US"/>
        </w:rPr>
        <w:t xml:space="preserve">issue, the delegation was </w:t>
      </w:r>
      <w:r w:rsidR="00A7251C" w:rsidRPr="00813D19">
        <w:rPr>
          <w:bCs/>
          <w:lang w:val="en-US"/>
        </w:rPr>
        <w:t xml:space="preserve">aware </w:t>
      </w:r>
      <w:r w:rsidR="00741408" w:rsidRPr="00813D19">
        <w:rPr>
          <w:bCs/>
          <w:lang w:val="en-US"/>
        </w:rPr>
        <w:t xml:space="preserve">of the </w:t>
      </w:r>
      <w:r w:rsidR="00A7251C" w:rsidRPr="00813D19">
        <w:rPr>
          <w:bCs/>
          <w:lang w:val="en-US"/>
        </w:rPr>
        <w:t xml:space="preserve">initiative undertaken by the Secretariat to update the guidance note on inventorying </w:t>
      </w:r>
      <w:r w:rsidR="00741408" w:rsidRPr="00813D19">
        <w:rPr>
          <w:bCs/>
          <w:lang w:val="en-US"/>
        </w:rPr>
        <w:t xml:space="preserve">so as </w:t>
      </w:r>
      <w:r w:rsidR="00A7251C" w:rsidRPr="00813D19">
        <w:rPr>
          <w:bCs/>
          <w:lang w:val="en-US"/>
        </w:rPr>
        <w:t>to provide insights on the links between disaster, r</w:t>
      </w:r>
      <w:r w:rsidR="00741408" w:rsidRPr="00813D19">
        <w:rPr>
          <w:bCs/>
          <w:lang w:val="en-US"/>
        </w:rPr>
        <w:t xml:space="preserve">isk management and inventorying, which it considered </w:t>
      </w:r>
      <w:r w:rsidR="006657C6">
        <w:rPr>
          <w:bCs/>
          <w:lang w:val="en-US"/>
        </w:rPr>
        <w:t xml:space="preserve">as </w:t>
      </w:r>
      <w:r w:rsidR="00A7251C" w:rsidRPr="00813D19">
        <w:rPr>
          <w:bCs/>
          <w:lang w:val="en-US"/>
        </w:rPr>
        <w:t xml:space="preserve">an important step. However, </w:t>
      </w:r>
      <w:r w:rsidR="00BE6F91" w:rsidRPr="00813D19">
        <w:rPr>
          <w:bCs/>
          <w:lang w:val="en-US"/>
        </w:rPr>
        <w:t xml:space="preserve">the delegation wished to </w:t>
      </w:r>
      <w:r w:rsidR="00A7251C" w:rsidRPr="00813D19">
        <w:rPr>
          <w:bCs/>
          <w:lang w:val="en-US"/>
        </w:rPr>
        <w:t xml:space="preserve">make a general request for a more proactive approach, </w:t>
      </w:r>
      <w:r w:rsidR="00800DF3" w:rsidRPr="00813D19">
        <w:rPr>
          <w:bCs/>
          <w:lang w:val="en-US"/>
        </w:rPr>
        <w:t>dealing</w:t>
      </w:r>
      <w:r w:rsidR="00A7251C" w:rsidRPr="00813D19">
        <w:rPr>
          <w:bCs/>
          <w:lang w:val="en-US"/>
        </w:rPr>
        <w:t xml:space="preserve"> with the root causes </w:t>
      </w:r>
      <w:r w:rsidR="00BE6F91" w:rsidRPr="00813D19">
        <w:rPr>
          <w:bCs/>
          <w:lang w:val="en-US"/>
        </w:rPr>
        <w:t xml:space="preserve">of </w:t>
      </w:r>
      <w:r w:rsidR="00A7251C" w:rsidRPr="00813D19">
        <w:rPr>
          <w:bCs/>
          <w:lang w:val="en-US"/>
        </w:rPr>
        <w:t>crises induced</w:t>
      </w:r>
      <w:r w:rsidR="00800DF3" w:rsidRPr="00813D19">
        <w:rPr>
          <w:bCs/>
          <w:lang w:val="en-US"/>
        </w:rPr>
        <w:t>,</w:t>
      </w:r>
      <w:r w:rsidR="00A7251C" w:rsidRPr="00813D19">
        <w:rPr>
          <w:bCs/>
          <w:lang w:val="en-US"/>
        </w:rPr>
        <w:t xml:space="preserve"> in particular</w:t>
      </w:r>
      <w:r w:rsidR="00800DF3" w:rsidRPr="00813D19">
        <w:rPr>
          <w:bCs/>
          <w:lang w:val="en-US"/>
        </w:rPr>
        <w:t>,</w:t>
      </w:r>
      <w:r w:rsidR="00A7251C" w:rsidRPr="00813D19">
        <w:rPr>
          <w:bCs/>
          <w:lang w:val="en-US"/>
        </w:rPr>
        <w:t xml:space="preserve"> by human actions and social conditions. </w:t>
      </w:r>
      <w:r w:rsidR="00BE6F91" w:rsidRPr="00813D19">
        <w:rPr>
          <w:bCs/>
          <w:lang w:val="en-US"/>
        </w:rPr>
        <w:t xml:space="preserve">It was noted that </w:t>
      </w:r>
      <w:r w:rsidR="00A7251C" w:rsidRPr="00813D19">
        <w:rPr>
          <w:bCs/>
          <w:lang w:val="en-US"/>
        </w:rPr>
        <w:t xml:space="preserve">the emphasis in the Caribbean </w:t>
      </w:r>
      <w:r w:rsidR="00BE6F91" w:rsidRPr="00813D19">
        <w:rPr>
          <w:bCs/>
          <w:lang w:val="en-US"/>
        </w:rPr>
        <w:t xml:space="preserve">had been </w:t>
      </w:r>
      <w:r w:rsidR="00A7251C" w:rsidRPr="00813D19">
        <w:rPr>
          <w:bCs/>
          <w:lang w:val="en-US"/>
        </w:rPr>
        <w:t>on hur</w:t>
      </w:r>
      <w:r w:rsidR="00BE6F91" w:rsidRPr="00813D19">
        <w:rPr>
          <w:bCs/>
          <w:lang w:val="en-US"/>
        </w:rPr>
        <w:t>ricanes, earthquakes and so on, but Belize—</w:t>
      </w:r>
      <w:r w:rsidR="00A7251C" w:rsidRPr="00813D19">
        <w:rPr>
          <w:bCs/>
          <w:lang w:val="en-US"/>
        </w:rPr>
        <w:t>because of its geographic location</w:t>
      </w:r>
      <w:r w:rsidR="00BE6F91" w:rsidRPr="00813D19">
        <w:rPr>
          <w:bCs/>
          <w:lang w:val="en-US"/>
        </w:rPr>
        <w:t>,</w:t>
      </w:r>
      <w:r w:rsidR="00A7251C" w:rsidRPr="00813D19">
        <w:rPr>
          <w:bCs/>
          <w:lang w:val="en-US"/>
        </w:rPr>
        <w:t xml:space="preserve"> </w:t>
      </w:r>
      <w:r w:rsidR="00BE6F91" w:rsidRPr="00813D19">
        <w:rPr>
          <w:bCs/>
          <w:lang w:val="en-US"/>
        </w:rPr>
        <w:t xml:space="preserve">both </w:t>
      </w:r>
      <w:r w:rsidR="00800DF3" w:rsidRPr="00813D19">
        <w:rPr>
          <w:bCs/>
          <w:lang w:val="en-US"/>
        </w:rPr>
        <w:t xml:space="preserve">in </w:t>
      </w:r>
      <w:r w:rsidR="00BE6F91" w:rsidRPr="00813D19">
        <w:rPr>
          <w:bCs/>
          <w:lang w:val="en-US"/>
        </w:rPr>
        <w:t>Central America</w:t>
      </w:r>
      <w:r w:rsidR="00A7251C" w:rsidRPr="00813D19">
        <w:rPr>
          <w:bCs/>
          <w:lang w:val="en-US"/>
        </w:rPr>
        <w:t xml:space="preserve"> and </w:t>
      </w:r>
      <w:r w:rsidR="00BE6F91" w:rsidRPr="00813D19">
        <w:rPr>
          <w:bCs/>
          <w:lang w:val="en-US"/>
        </w:rPr>
        <w:t xml:space="preserve">the </w:t>
      </w:r>
      <w:r w:rsidR="00A7251C" w:rsidRPr="00813D19">
        <w:rPr>
          <w:bCs/>
          <w:lang w:val="en-US"/>
        </w:rPr>
        <w:t>Caribbean</w:t>
      </w:r>
      <w:r w:rsidR="00BE6F91" w:rsidRPr="00813D19">
        <w:rPr>
          <w:bCs/>
          <w:lang w:val="en-US"/>
        </w:rPr>
        <w:t xml:space="preserve">—had </w:t>
      </w:r>
      <w:r w:rsidR="00A7251C" w:rsidRPr="00813D19">
        <w:rPr>
          <w:bCs/>
          <w:lang w:val="en-US"/>
        </w:rPr>
        <w:t>witness</w:t>
      </w:r>
      <w:r w:rsidR="00800DF3" w:rsidRPr="00813D19">
        <w:rPr>
          <w:bCs/>
          <w:lang w:val="en-US"/>
        </w:rPr>
        <w:t>ed</w:t>
      </w:r>
      <w:r w:rsidR="00A7251C" w:rsidRPr="00813D19">
        <w:rPr>
          <w:bCs/>
          <w:lang w:val="en-US"/>
        </w:rPr>
        <w:t xml:space="preserve"> the caravans heading north towards the United States. </w:t>
      </w:r>
      <w:r w:rsidR="00BE6F91" w:rsidRPr="00813D19">
        <w:rPr>
          <w:bCs/>
          <w:lang w:val="en-US"/>
        </w:rPr>
        <w:t xml:space="preserve">This was </w:t>
      </w:r>
      <w:r w:rsidR="00A7251C" w:rsidRPr="00813D19">
        <w:rPr>
          <w:bCs/>
          <w:lang w:val="en-US"/>
        </w:rPr>
        <w:t xml:space="preserve">a major situation unfolding in the region. </w:t>
      </w:r>
      <w:r w:rsidR="00BE6F91" w:rsidRPr="00813D19">
        <w:rPr>
          <w:bCs/>
          <w:lang w:val="en-US"/>
        </w:rPr>
        <w:t xml:space="preserve">The delegation understood that the </w:t>
      </w:r>
      <w:r w:rsidR="00A7251C" w:rsidRPr="00813D19">
        <w:rPr>
          <w:bCs/>
          <w:lang w:val="en-US"/>
        </w:rPr>
        <w:t xml:space="preserve">request </w:t>
      </w:r>
      <w:r w:rsidR="00BE6F91" w:rsidRPr="00813D19">
        <w:rPr>
          <w:bCs/>
          <w:lang w:val="en-US"/>
        </w:rPr>
        <w:t xml:space="preserve">for a </w:t>
      </w:r>
      <w:r w:rsidR="00A7251C" w:rsidRPr="00813D19">
        <w:rPr>
          <w:bCs/>
          <w:lang w:val="en-US"/>
        </w:rPr>
        <w:t xml:space="preserve">proactive </w:t>
      </w:r>
      <w:r w:rsidR="00BE6F91" w:rsidRPr="00813D19">
        <w:rPr>
          <w:bCs/>
          <w:lang w:val="en-US"/>
        </w:rPr>
        <w:t xml:space="preserve">approach was </w:t>
      </w:r>
      <w:r w:rsidR="00A7251C" w:rsidRPr="00813D19">
        <w:rPr>
          <w:bCs/>
          <w:lang w:val="en-US"/>
        </w:rPr>
        <w:t xml:space="preserve">difficult </w:t>
      </w:r>
      <w:r w:rsidR="00BE6F91" w:rsidRPr="00813D19">
        <w:rPr>
          <w:bCs/>
          <w:lang w:val="en-US"/>
        </w:rPr>
        <w:t xml:space="preserve">and </w:t>
      </w:r>
      <w:r w:rsidR="00A7251C" w:rsidRPr="00813D19">
        <w:rPr>
          <w:bCs/>
          <w:lang w:val="en-US"/>
        </w:rPr>
        <w:t xml:space="preserve">must </w:t>
      </w:r>
      <w:r w:rsidR="00BE6F91" w:rsidRPr="00813D19">
        <w:rPr>
          <w:bCs/>
          <w:lang w:val="en-US"/>
        </w:rPr>
        <w:t xml:space="preserve">also </w:t>
      </w:r>
      <w:r w:rsidR="00A7251C" w:rsidRPr="00813D19">
        <w:rPr>
          <w:bCs/>
          <w:lang w:val="en-US"/>
        </w:rPr>
        <w:t xml:space="preserve">be </w:t>
      </w:r>
      <w:r w:rsidR="00BE6F91" w:rsidRPr="00813D19">
        <w:rPr>
          <w:bCs/>
          <w:lang w:val="en-US"/>
        </w:rPr>
        <w:t xml:space="preserve">carried out </w:t>
      </w:r>
      <w:r w:rsidR="00A7251C" w:rsidRPr="00813D19">
        <w:rPr>
          <w:bCs/>
          <w:lang w:val="en-US"/>
        </w:rPr>
        <w:t xml:space="preserve">in conjunction with </w:t>
      </w:r>
      <w:r w:rsidR="00BE6F91" w:rsidRPr="00813D19">
        <w:rPr>
          <w:bCs/>
          <w:lang w:val="en-US"/>
        </w:rPr>
        <w:t xml:space="preserve">other </w:t>
      </w:r>
      <w:r w:rsidR="00A7251C" w:rsidRPr="00813D19">
        <w:rPr>
          <w:bCs/>
          <w:lang w:val="en-US"/>
        </w:rPr>
        <w:t>United Nations agencies</w:t>
      </w:r>
      <w:r w:rsidR="00BE6F91" w:rsidRPr="00813D19">
        <w:rPr>
          <w:bCs/>
          <w:lang w:val="en-US"/>
        </w:rPr>
        <w:t>,</w:t>
      </w:r>
      <w:r w:rsidR="00A7251C" w:rsidRPr="00813D19">
        <w:rPr>
          <w:bCs/>
          <w:lang w:val="en-US"/>
        </w:rPr>
        <w:t xml:space="preserve"> some of which </w:t>
      </w:r>
      <w:r w:rsidR="00BE6F91" w:rsidRPr="00813D19">
        <w:rPr>
          <w:bCs/>
          <w:lang w:val="en-US"/>
        </w:rPr>
        <w:t xml:space="preserve">had already been done, for example, </w:t>
      </w:r>
      <w:r w:rsidR="00A7251C" w:rsidRPr="00813D19">
        <w:rPr>
          <w:bCs/>
          <w:lang w:val="en-US"/>
        </w:rPr>
        <w:t xml:space="preserve">several countries </w:t>
      </w:r>
      <w:r w:rsidR="00BE6F91" w:rsidRPr="00813D19">
        <w:rPr>
          <w:bCs/>
          <w:lang w:val="en-US"/>
        </w:rPr>
        <w:t>had been involved in temporary or permanent settlements</w:t>
      </w:r>
      <w:r w:rsidR="00A7251C" w:rsidRPr="00813D19">
        <w:rPr>
          <w:bCs/>
          <w:lang w:val="en-US"/>
        </w:rPr>
        <w:t xml:space="preserve"> of refuge</w:t>
      </w:r>
      <w:r w:rsidR="00BE6F91" w:rsidRPr="00813D19">
        <w:rPr>
          <w:bCs/>
          <w:lang w:val="en-US"/>
        </w:rPr>
        <w:t>e</w:t>
      </w:r>
      <w:r w:rsidR="00A7251C" w:rsidRPr="00813D19">
        <w:rPr>
          <w:bCs/>
          <w:lang w:val="en-US"/>
        </w:rPr>
        <w:t xml:space="preserve">s </w:t>
      </w:r>
      <w:r w:rsidR="00BE6F91" w:rsidRPr="00813D19">
        <w:rPr>
          <w:bCs/>
          <w:lang w:val="en-US"/>
        </w:rPr>
        <w:t xml:space="preserve">in </w:t>
      </w:r>
      <w:r w:rsidR="00A7251C" w:rsidRPr="00813D19">
        <w:rPr>
          <w:bCs/>
          <w:lang w:val="en-US"/>
        </w:rPr>
        <w:t xml:space="preserve">the region. </w:t>
      </w:r>
      <w:r w:rsidR="00BE6F91" w:rsidRPr="00813D19">
        <w:rPr>
          <w:bCs/>
          <w:lang w:val="en-US"/>
        </w:rPr>
        <w:t xml:space="preserve">The </w:t>
      </w:r>
      <w:r w:rsidR="00800DF3" w:rsidRPr="00813D19">
        <w:rPr>
          <w:bCs/>
          <w:lang w:val="en-US"/>
        </w:rPr>
        <w:t xml:space="preserve">delegation </w:t>
      </w:r>
      <w:r w:rsidR="00BE6F91" w:rsidRPr="00813D19">
        <w:rPr>
          <w:bCs/>
          <w:lang w:val="en-US"/>
        </w:rPr>
        <w:t>therefore encourage</w:t>
      </w:r>
      <w:r w:rsidR="00800DF3" w:rsidRPr="00813D19">
        <w:rPr>
          <w:bCs/>
          <w:lang w:val="en-US"/>
        </w:rPr>
        <w:t>d</w:t>
      </w:r>
      <w:r w:rsidR="00BE6F91" w:rsidRPr="00813D19">
        <w:rPr>
          <w:bCs/>
          <w:lang w:val="en-US"/>
        </w:rPr>
        <w:t xml:space="preserve"> </w:t>
      </w:r>
      <w:r w:rsidR="00A7251C" w:rsidRPr="00813D19">
        <w:rPr>
          <w:bCs/>
          <w:lang w:val="en-US"/>
        </w:rPr>
        <w:t xml:space="preserve">the Secretariat </w:t>
      </w:r>
      <w:r w:rsidR="00BE6F91" w:rsidRPr="00813D19">
        <w:rPr>
          <w:bCs/>
          <w:lang w:val="en-US"/>
        </w:rPr>
        <w:t xml:space="preserve">to </w:t>
      </w:r>
      <w:r w:rsidR="00A7251C" w:rsidRPr="00813D19">
        <w:rPr>
          <w:bCs/>
          <w:lang w:val="en-US"/>
        </w:rPr>
        <w:t xml:space="preserve">undertake case studies </w:t>
      </w:r>
      <w:r w:rsidR="00800DF3" w:rsidRPr="00813D19">
        <w:rPr>
          <w:bCs/>
          <w:lang w:val="en-US"/>
        </w:rPr>
        <w:t xml:space="preserve">in </w:t>
      </w:r>
      <w:r w:rsidR="00A7251C" w:rsidRPr="00813D19">
        <w:rPr>
          <w:bCs/>
          <w:lang w:val="en-US"/>
        </w:rPr>
        <w:t xml:space="preserve">countries that </w:t>
      </w:r>
      <w:r w:rsidR="00BE6F91" w:rsidRPr="00813D19">
        <w:rPr>
          <w:bCs/>
          <w:lang w:val="en-US"/>
        </w:rPr>
        <w:t xml:space="preserve">had </w:t>
      </w:r>
      <w:r w:rsidR="00A7251C" w:rsidRPr="00813D19">
        <w:rPr>
          <w:bCs/>
          <w:lang w:val="en-US"/>
        </w:rPr>
        <w:t>settled refuge</w:t>
      </w:r>
      <w:r w:rsidR="00BE6F91" w:rsidRPr="00813D19">
        <w:rPr>
          <w:bCs/>
          <w:lang w:val="en-US"/>
        </w:rPr>
        <w:t>e</w:t>
      </w:r>
      <w:r w:rsidR="00A7251C" w:rsidRPr="00813D19">
        <w:rPr>
          <w:bCs/>
          <w:lang w:val="en-US"/>
        </w:rPr>
        <w:t xml:space="preserve">s to see how </w:t>
      </w:r>
      <w:r w:rsidR="00BE6F91" w:rsidRPr="00813D19">
        <w:rPr>
          <w:bCs/>
          <w:lang w:val="en-US"/>
        </w:rPr>
        <w:t xml:space="preserve">they had </w:t>
      </w:r>
      <w:r w:rsidR="00A7251C" w:rsidRPr="00813D19">
        <w:rPr>
          <w:bCs/>
          <w:lang w:val="en-US"/>
        </w:rPr>
        <w:t>deal</w:t>
      </w:r>
      <w:r w:rsidR="00BE6F91" w:rsidRPr="00813D19">
        <w:rPr>
          <w:bCs/>
          <w:lang w:val="en-US"/>
        </w:rPr>
        <w:t>t</w:t>
      </w:r>
      <w:r w:rsidR="00A7251C" w:rsidRPr="00813D19">
        <w:rPr>
          <w:bCs/>
          <w:lang w:val="en-US"/>
        </w:rPr>
        <w:t xml:space="preserve"> with the issue of </w:t>
      </w:r>
      <w:r w:rsidR="00BE6F91" w:rsidRPr="00813D19">
        <w:rPr>
          <w:bCs/>
          <w:lang w:val="en-US"/>
        </w:rPr>
        <w:t xml:space="preserve">intangible cultural heritage </w:t>
      </w:r>
      <w:r w:rsidR="00A7251C" w:rsidRPr="00813D19">
        <w:rPr>
          <w:bCs/>
          <w:lang w:val="en-US"/>
        </w:rPr>
        <w:t xml:space="preserve">as a component of the process of settlement. </w:t>
      </w:r>
      <w:r w:rsidR="00BE6F91" w:rsidRPr="00813D19">
        <w:rPr>
          <w:bCs/>
          <w:lang w:val="en-US"/>
        </w:rPr>
        <w:t>S</w:t>
      </w:r>
      <w:r w:rsidR="00A7251C" w:rsidRPr="00813D19">
        <w:rPr>
          <w:bCs/>
          <w:lang w:val="en-US"/>
        </w:rPr>
        <w:t xml:space="preserve">ome States </w:t>
      </w:r>
      <w:r w:rsidR="00BE6F91" w:rsidRPr="00813D19">
        <w:rPr>
          <w:bCs/>
          <w:lang w:val="en-US"/>
        </w:rPr>
        <w:t xml:space="preserve">were said to be </w:t>
      </w:r>
      <w:r w:rsidR="00A7251C" w:rsidRPr="00813D19">
        <w:rPr>
          <w:bCs/>
          <w:lang w:val="en-US"/>
        </w:rPr>
        <w:t xml:space="preserve">philosophically concerned with issues of nationalism and </w:t>
      </w:r>
      <w:r w:rsidR="00BE6F91" w:rsidRPr="00813D19">
        <w:rPr>
          <w:bCs/>
          <w:lang w:val="en-US"/>
        </w:rPr>
        <w:t>thus there may be</w:t>
      </w:r>
      <w:r w:rsidR="006657C6">
        <w:rPr>
          <w:bCs/>
          <w:lang w:val="en-US"/>
        </w:rPr>
        <w:t xml:space="preserve"> </w:t>
      </w:r>
      <w:r w:rsidR="00A7251C" w:rsidRPr="00813D19">
        <w:rPr>
          <w:bCs/>
          <w:lang w:val="en-US"/>
        </w:rPr>
        <w:t>concern</w:t>
      </w:r>
      <w:r w:rsidR="006657C6">
        <w:rPr>
          <w:bCs/>
          <w:lang w:val="en-US"/>
        </w:rPr>
        <w:t>s</w:t>
      </w:r>
      <w:r w:rsidR="00A7251C" w:rsidRPr="00813D19">
        <w:rPr>
          <w:bCs/>
          <w:lang w:val="en-US"/>
        </w:rPr>
        <w:t xml:space="preserve"> </w:t>
      </w:r>
      <w:r w:rsidR="00BE6F91" w:rsidRPr="00813D19">
        <w:rPr>
          <w:bCs/>
          <w:lang w:val="en-US"/>
        </w:rPr>
        <w:t xml:space="preserve">that </w:t>
      </w:r>
      <w:r w:rsidR="00A7251C" w:rsidRPr="00813D19">
        <w:rPr>
          <w:bCs/>
          <w:lang w:val="en-US"/>
        </w:rPr>
        <w:t xml:space="preserve">local cultures </w:t>
      </w:r>
      <w:r w:rsidR="00BE6F91" w:rsidRPr="00813D19">
        <w:rPr>
          <w:bCs/>
          <w:lang w:val="en-US"/>
        </w:rPr>
        <w:t xml:space="preserve">were </w:t>
      </w:r>
      <w:r w:rsidR="00A7251C" w:rsidRPr="00813D19">
        <w:rPr>
          <w:bCs/>
          <w:lang w:val="en-US"/>
        </w:rPr>
        <w:t>threatened</w:t>
      </w:r>
      <w:r w:rsidR="00800DF3" w:rsidRPr="00813D19">
        <w:rPr>
          <w:bCs/>
          <w:lang w:val="en-US"/>
        </w:rPr>
        <w:t xml:space="preserve">. However, </w:t>
      </w:r>
      <w:r w:rsidR="00A7251C" w:rsidRPr="00813D19">
        <w:rPr>
          <w:bCs/>
          <w:lang w:val="en-US"/>
        </w:rPr>
        <w:t xml:space="preserve">from </w:t>
      </w:r>
      <w:r w:rsidR="00BE6F91" w:rsidRPr="00813D19">
        <w:rPr>
          <w:bCs/>
          <w:lang w:val="en-US"/>
        </w:rPr>
        <w:t xml:space="preserve">its </w:t>
      </w:r>
      <w:r w:rsidR="00800DF3" w:rsidRPr="00813D19">
        <w:rPr>
          <w:bCs/>
          <w:lang w:val="en-US"/>
        </w:rPr>
        <w:t xml:space="preserve">own </w:t>
      </w:r>
      <w:r w:rsidR="00BE6F91" w:rsidRPr="00813D19">
        <w:rPr>
          <w:bCs/>
          <w:lang w:val="en-US"/>
        </w:rPr>
        <w:t xml:space="preserve">experiences, if </w:t>
      </w:r>
      <w:r w:rsidR="00A7251C" w:rsidRPr="00813D19">
        <w:rPr>
          <w:bCs/>
          <w:lang w:val="en-US"/>
        </w:rPr>
        <w:t>States really consider</w:t>
      </w:r>
      <w:r w:rsidR="00BE6F91" w:rsidRPr="00813D19">
        <w:rPr>
          <w:bCs/>
          <w:lang w:val="en-US"/>
        </w:rPr>
        <w:t>ed</w:t>
      </w:r>
      <w:r w:rsidR="00A7251C" w:rsidRPr="00813D19">
        <w:rPr>
          <w:bCs/>
          <w:lang w:val="en-US"/>
        </w:rPr>
        <w:t xml:space="preserve"> the social processes of assi</w:t>
      </w:r>
      <w:r w:rsidR="00BE6F91" w:rsidRPr="00813D19">
        <w:rPr>
          <w:bCs/>
          <w:lang w:val="en-US"/>
        </w:rPr>
        <w:t>milation and social integration</w:t>
      </w:r>
      <w:r w:rsidR="00800DF3" w:rsidRPr="00813D19">
        <w:rPr>
          <w:bCs/>
          <w:lang w:val="en-US"/>
        </w:rPr>
        <w:t>,</w:t>
      </w:r>
      <w:r w:rsidR="00BE6F91" w:rsidRPr="00813D19">
        <w:rPr>
          <w:bCs/>
          <w:lang w:val="en-US"/>
        </w:rPr>
        <w:t xml:space="preserve"> they may be </w:t>
      </w:r>
      <w:r w:rsidR="00A7251C" w:rsidRPr="00813D19">
        <w:rPr>
          <w:bCs/>
          <w:lang w:val="en-US"/>
        </w:rPr>
        <w:t xml:space="preserve">better </w:t>
      </w:r>
      <w:r w:rsidR="00BE6F91" w:rsidRPr="00813D19">
        <w:rPr>
          <w:bCs/>
          <w:lang w:val="en-US"/>
        </w:rPr>
        <w:t xml:space="preserve">able to </w:t>
      </w:r>
      <w:r w:rsidR="00A7251C" w:rsidRPr="00813D19">
        <w:rPr>
          <w:bCs/>
          <w:lang w:val="en-US"/>
        </w:rPr>
        <w:t xml:space="preserve">manage some of these human-induced crises. </w:t>
      </w:r>
      <w:r w:rsidR="00DE5784" w:rsidRPr="00813D19">
        <w:rPr>
          <w:bCs/>
          <w:lang w:val="en-US"/>
        </w:rPr>
        <w:t>Moreover, S</w:t>
      </w:r>
      <w:r w:rsidR="00A7251C" w:rsidRPr="00813D19">
        <w:rPr>
          <w:bCs/>
          <w:lang w:val="en-US"/>
        </w:rPr>
        <w:t xml:space="preserve">tates have </w:t>
      </w:r>
      <w:r w:rsidR="00DE5784" w:rsidRPr="00813D19">
        <w:rPr>
          <w:bCs/>
          <w:lang w:val="en-US"/>
        </w:rPr>
        <w:t xml:space="preserve">diverse </w:t>
      </w:r>
      <w:r w:rsidR="00A7251C" w:rsidRPr="00813D19">
        <w:rPr>
          <w:bCs/>
          <w:lang w:val="en-US"/>
        </w:rPr>
        <w:t xml:space="preserve">conditions and </w:t>
      </w:r>
      <w:r w:rsidR="00DE5784" w:rsidRPr="00813D19">
        <w:rPr>
          <w:bCs/>
          <w:lang w:val="en-US"/>
        </w:rPr>
        <w:t xml:space="preserve">such an investigation would thus require </w:t>
      </w:r>
      <w:r w:rsidR="00A7251C" w:rsidRPr="00813D19">
        <w:rPr>
          <w:bCs/>
          <w:lang w:val="en-US"/>
        </w:rPr>
        <w:t xml:space="preserve">a case-by-case </w:t>
      </w:r>
      <w:r w:rsidR="00DE5784" w:rsidRPr="00813D19">
        <w:rPr>
          <w:bCs/>
          <w:lang w:val="en-US"/>
        </w:rPr>
        <w:t xml:space="preserve">study. It therefore </w:t>
      </w:r>
      <w:r w:rsidR="009E0CF8" w:rsidRPr="00813D19">
        <w:rPr>
          <w:bCs/>
          <w:lang w:val="en-US"/>
        </w:rPr>
        <w:t xml:space="preserve">encouraged </w:t>
      </w:r>
      <w:r w:rsidR="00A7251C" w:rsidRPr="00813D19">
        <w:rPr>
          <w:bCs/>
          <w:lang w:val="en-US"/>
        </w:rPr>
        <w:t xml:space="preserve">discussions with States that </w:t>
      </w:r>
      <w:r w:rsidR="00DE5784" w:rsidRPr="00813D19">
        <w:rPr>
          <w:bCs/>
          <w:lang w:val="en-US"/>
        </w:rPr>
        <w:t xml:space="preserve">had </w:t>
      </w:r>
      <w:r w:rsidR="00A7251C" w:rsidRPr="00813D19">
        <w:rPr>
          <w:bCs/>
          <w:lang w:val="en-US"/>
        </w:rPr>
        <w:t>been involved in processes of settlement and dealing with refuge</w:t>
      </w:r>
      <w:r w:rsidR="00DE5784" w:rsidRPr="00813D19">
        <w:rPr>
          <w:bCs/>
          <w:lang w:val="en-US"/>
        </w:rPr>
        <w:t>e</w:t>
      </w:r>
      <w:r w:rsidR="00634D0B">
        <w:rPr>
          <w:bCs/>
          <w:lang w:val="en-US"/>
        </w:rPr>
        <w:t>s.</w:t>
      </w:r>
    </w:p>
    <w:p w14:paraId="472BC3CB" w14:textId="63A5F0AC" w:rsidR="00CC29E0" w:rsidRPr="00813D19" w:rsidRDefault="0045745E"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Burkina Faso </w:t>
      </w:r>
      <w:r w:rsidR="00CC29E0" w:rsidRPr="00813D19">
        <w:rPr>
          <w:color w:val="000000" w:themeColor="text1"/>
          <w:lang w:val="en-US"/>
        </w:rPr>
        <w:t>thank</w:t>
      </w:r>
      <w:r w:rsidR="00AF5128" w:rsidRPr="00813D19">
        <w:rPr>
          <w:color w:val="000000" w:themeColor="text1"/>
          <w:lang w:val="en-US"/>
        </w:rPr>
        <w:t>ed</w:t>
      </w:r>
      <w:r w:rsidR="007C20DB" w:rsidRPr="00813D19">
        <w:rPr>
          <w:color w:val="000000" w:themeColor="text1"/>
          <w:lang w:val="en-US"/>
        </w:rPr>
        <w:t xml:space="preserve"> the host country for </w:t>
      </w:r>
      <w:r w:rsidR="001947A0" w:rsidRPr="00813D19">
        <w:rPr>
          <w:color w:val="000000" w:themeColor="text1"/>
          <w:lang w:val="en-US"/>
        </w:rPr>
        <w:t>its</w:t>
      </w:r>
      <w:r w:rsidR="007C20DB" w:rsidRPr="00813D19">
        <w:rPr>
          <w:color w:val="000000" w:themeColor="text1"/>
          <w:lang w:val="en-US"/>
        </w:rPr>
        <w:t xml:space="preserve"> efforts and hoped there would be </w:t>
      </w:r>
      <w:r w:rsidR="00CC29E0" w:rsidRPr="00813D19">
        <w:rPr>
          <w:color w:val="000000" w:themeColor="text1"/>
          <w:lang w:val="en-US"/>
        </w:rPr>
        <w:t xml:space="preserve">other opportunities to </w:t>
      </w:r>
      <w:r w:rsidR="007C20DB" w:rsidRPr="00813D19">
        <w:rPr>
          <w:color w:val="000000" w:themeColor="text1"/>
          <w:lang w:val="en-US"/>
        </w:rPr>
        <w:t xml:space="preserve">return </w:t>
      </w:r>
      <w:r w:rsidR="00CC29E0" w:rsidRPr="00813D19">
        <w:rPr>
          <w:color w:val="000000" w:themeColor="text1"/>
          <w:lang w:val="en-US"/>
        </w:rPr>
        <w:t xml:space="preserve">to this beautiful country. With regard to the </w:t>
      </w:r>
      <w:r w:rsidR="007C20DB" w:rsidRPr="00813D19">
        <w:rPr>
          <w:color w:val="000000" w:themeColor="text1"/>
          <w:lang w:val="en-US"/>
        </w:rPr>
        <w:t xml:space="preserve">issue, it </w:t>
      </w:r>
      <w:r w:rsidR="001947A0" w:rsidRPr="00813D19">
        <w:rPr>
          <w:color w:val="000000" w:themeColor="text1"/>
          <w:lang w:val="en-US"/>
        </w:rPr>
        <w:t xml:space="preserve">remarked </w:t>
      </w:r>
      <w:r w:rsidR="007C20DB" w:rsidRPr="00813D19">
        <w:rPr>
          <w:color w:val="000000" w:themeColor="text1"/>
          <w:lang w:val="en-US"/>
        </w:rPr>
        <w:t xml:space="preserve">that </w:t>
      </w:r>
      <w:r w:rsidR="00CC29E0" w:rsidRPr="00813D19">
        <w:rPr>
          <w:color w:val="000000" w:themeColor="text1"/>
          <w:lang w:val="en-US"/>
        </w:rPr>
        <w:t xml:space="preserve">the Sahel </w:t>
      </w:r>
      <w:r w:rsidR="007C20DB" w:rsidRPr="00813D19">
        <w:rPr>
          <w:color w:val="000000" w:themeColor="text1"/>
          <w:lang w:val="en-US"/>
        </w:rPr>
        <w:t>was also confronted with these</w:t>
      </w:r>
      <w:r w:rsidR="00CC29E0" w:rsidRPr="00813D19">
        <w:rPr>
          <w:color w:val="000000" w:themeColor="text1"/>
          <w:lang w:val="en-US"/>
        </w:rPr>
        <w:t xml:space="preserve"> kind</w:t>
      </w:r>
      <w:r w:rsidR="007C20DB" w:rsidRPr="00813D19">
        <w:rPr>
          <w:color w:val="000000" w:themeColor="text1"/>
          <w:lang w:val="en-US"/>
        </w:rPr>
        <w:t>s</w:t>
      </w:r>
      <w:r w:rsidR="00CC29E0" w:rsidRPr="00813D19">
        <w:rPr>
          <w:color w:val="000000" w:themeColor="text1"/>
          <w:lang w:val="en-US"/>
        </w:rPr>
        <w:t xml:space="preserve"> of difficult situations, </w:t>
      </w:r>
      <w:r w:rsidR="001947A0" w:rsidRPr="00813D19">
        <w:rPr>
          <w:color w:val="000000" w:themeColor="text1"/>
          <w:lang w:val="en-US"/>
        </w:rPr>
        <w:t>notably violent contexts</w:t>
      </w:r>
      <w:r w:rsidR="00B60B21" w:rsidRPr="00813D19">
        <w:rPr>
          <w:color w:val="000000" w:themeColor="text1"/>
          <w:lang w:val="en-US"/>
        </w:rPr>
        <w:t xml:space="preserve"> involving terrorism</w:t>
      </w:r>
      <w:r w:rsidR="00CC29E0" w:rsidRPr="00813D19">
        <w:rPr>
          <w:color w:val="000000" w:themeColor="text1"/>
          <w:lang w:val="en-US"/>
        </w:rPr>
        <w:t xml:space="preserve"> </w:t>
      </w:r>
      <w:r w:rsidR="00B60B21" w:rsidRPr="00813D19">
        <w:rPr>
          <w:color w:val="000000" w:themeColor="text1"/>
          <w:lang w:val="en-US"/>
        </w:rPr>
        <w:t xml:space="preserve">and </w:t>
      </w:r>
      <w:r w:rsidR="00CC29E0" w:rsidRPr="00813D19">
        <w:rPr>
          <w:color w:val="000000" w:themeColor="text1"/>
          <w:lang w:val="en-US"/>
        </w:rPr>
        <w:t xml:space="preserve">terrorist groups, </w:t>
      </w:r>
      <w:r w:rsidR="001947A0" w:rsidRPr="00813D19">
        <w:rPr>
          <w:color w:val="000000" w:themeColor="text1"/>
          <w:lang w:val="en-US"/>
        </w:rPr>
        <w:t xml:space="preserve">which made life difficult for the country and also </w:t>
      </w:r>
      <w:r w:rsidR="00CC29E0" w:rsidRPr="00813D19">
        <w:rPr>
          <w:color w:val="000000" w:themeColor="text1"/>
          <w:lang w:val="en-US"/>
        </w:rPr>
        <w:t xml:space="preserve">for the communities. </w:t>
      </w:r>
      <w:r w:rsidR="007C20DB" w:rsidRPr="00813D19">
        <w:rPr>
          <w:color w:val="000000" w:themeColor="text1"/>
          <w:lang w:val="en-US"/>
        </w:rPr>
        <w:t xml:space="preserve">A recent workshop organized by the </w:t>
      </w:r>
      <w:r w:rsidR="00CC29E0" w:rsidRPr="00813D19">
        <w:rPr>
          <w:color w:val="000000" w:themeColor="text1"/>
          <w:lang w:val="en-US"/>
        </w:rPr>
        <w:t xml:space="preserve">Ministry of Culture </w:t>
      </w:r>
      <w:r w:rsidR="006657C6">
        <w:rPr>
          <w:color w:val="000000" w:themeColor="text1"/>
          <w:lang w:val="en-US"/>
        </w:rPr>
        <w:t xml:space="preserve">had </w:t>
      </w:r>
      <w:r w:rsidR="001947A0" w:rsidRPr="00813D19">
        <w:rPr>
          <w:color w:val="000000" w:themeColor="text1"/>
          <w:lang w:val="en-US"/>
        </w:rPr>
        <w:t xml:space="preserve">tackled </w:t>
      </w:r>
      <w:r w:rsidR="007C20DB" w:rsidRPr="00813D19">
        <w:rPr>
          <w:color w:val="000000" w:themeColor="text1"/>
          <w:lang w:val="en-US"/>
        </w:rPr>
        <w:t>this theme: H</w:t>
      </w:r>
      <w:r w:rsidR="00CC29E0" w:rsidRPr="00813D19">
        <w:rPr>
          <w:color w:val="000000" w:themeColor="text1"/>
          <w:lang w:val="en-US"/>
        </w:rPr>
        <w:t>ow can inta</w:t>
      </w:r>
      <w:r w:rsidR="007C20DB" w:rsidRPr="00813D19">
        <w:rPr>
          <w:color w:val="000000" w:themeColor="text1"/>
          <w:lang w:val="en-US"/>
        </w:rPr>
        <w:t>ngible cultural heritage</w:t>
      </w:r>
      <w:r w:rsidR="00CC29E0" w:rsidRPr="00813D19">
        <w:rPr>
          <w:color w:val="000000" w:themeColor="text1"/>
          <w:lang w:val="en-US"/>
        </w:rPr>
        <w:t xml:space="preserve"> </w:t>
      </w:r>
      <w:r w:rsidR="007C20DB" w:rsidRPr="00813D19">
        <w:rPr>
          <w:color w:val="000000" w:themeColor="text1"/>
          <w:lang w:val="en-US"/>
        </w:rPr>
        <w:t>participate in the process</w:t>
      </w:r>
      <w:r w:rsidR="00CC29E0" w:rsidRPr="00813D19">
        <w:rPr>
          <w:color w:val="000000" w:themeColor="text1"/>
          <w:lang w:val="en-US"/>
        </w:rPr>
        <w:t xml:space="preserve"> </w:t>
      </w:r>
      <w:r w:rsidR="007C20DB" w:rsidRPr="00813D19">
        <w:rPr>
          <w:color w:val="000000" w:themeColor="text1"/>
          <w:lang w:val="en-US"/>
        </w:rPr>
        <w:t xml:space="preserve">of resilience and </w:t>
      </w:r>
      <w:r w:rsidR="00CC29E0" w:rsidRPr="00813D19">
        <w:rPr>
          <w:color w:val="000000" w:themeColor="text1"/>
          <w:lang w:val="en-US"/>
        </w:rPr>
        <w:t xml:space="preserve">community dialogue to bring </w:t>
      </w:r>
      <w:r w:rsidR="007C20DB" w:rsidRPr="00813D19">
        <w:rPr>
          <w:color w:val="000000" w:themeColor="text1"/>
          <w:lang w:val="en-US"/>
        </w:rPr>
        <w:t xml:space="preserve">about </w:t>
      </w:r>
      <w:r w:rsidR="00CC29E0" w:rsidRPr="00813D19">
        <w:rPr>
          <w:color w:val="000000" w:themeColor="text1"/>
          <w:lang w:val="en-US"/>
        </w:rPr>
        <w:t>peace</w:t>
      </w:r>
      <w:r w:rsidR="007C20DB" w:rsidRPr="00813D19">
        <w:rPr>
          <w:color w:val="000000" w:themeColor="text1"/>
          <w:lang w:val="en-US"/>
        </w:rPr>
        <w:t>?</w:t>
      </w:r>
      <w:r w:rsidR="00CC29E0" w:rsidRPr="00813D19">
        <w:rPr>
          <w:color w:val="000000" w:themeColor="text1"/>
          <w:lang w:val="en-US"/>
        </w:rPr>
        <w:t xml:space="preserve"> </w:t>
      </w:r>
      <w:r w:rsidR="007C20DB" w:rsidRPr="00813D19">
        <w:rPr>
          <w:color w:val="000000" w:themeColor="text1"/>
          <w:lang w:val="en-US"/>
        </w:rPr>
        <w:t xml:space="preserve">It was hoped that this would be the country’s contribution to this reflection for the </w:t>
      </w:r>
      <w:r w:rsidR="00CC29E0" w:rsidRPr="00813D19">
        <w:rPr>
          <w:color w:val="000000" w:themeColor="text1"/>
          <w:lang w:val="en-US"/>
        </w:rPr>
        <w:t xml:space="preserve">benefit </w:t>
      </w:r>
      <w:r w:rsidR="007C20DB" w:rsidRPr="00813D19">
        <w:rPr>
          <w:color w:val="000000" w:themeColor="text1"/>
          <w:lang w:val="en-US"/>
        </w:rPr>
        <w:t>of all</w:t>
      </w:r>
      <w:r w:rsidR="00634D0B">
        <w:rPr>
          <w:color w:val="000000" w:themeColor="text1"/>
          <w:lang w:val="en-US"/>
        </w:rPr>
        <w:t>.</w:t>
      </w:r>
    </w:p>
    <w:p w14:paraId="25F1A0C2" w14:textId="55AEA5F4" w:rsidR="0045745E" w:rsidRPr="00813D19" w:rsidRDefault="002913D9"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w:t>
      </w:r>
      <w:r w:rsidR="00CA3507" w:rsidRPr="00813D19">
        <w:rPr>
          <w:color w:val="000000" w:themeColor="text1"/>
          <w:lang w:val="en-US"/>
        </w:rPr>
        <w:t xml:space="preserve">opened the floor </w:t>
      </w:r>
      <w:r w:rsidR="00634D0B">
        <w:rPr>
          <w:color w:val="000000" w:themeColor="text1"/>
          <w:lang w:val="en-US"/>
        </w:rPr>
        <w:t>to the representatives of NGOs.</w:t>
      </w:r>
    </w:p>
    <w:p w14:paraId="785CB1A2" w14:textId="2B5F9C3D" w:rsidR="00FA7898" w:rsidRPr="00813D19" w:rsidRDefault="005551AC"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Representative of NGO Traditions pour Demain</w:t>
      </w:r>
      <w:r w:rsidRPr="00813D19">
        <w:rPr>
          <w:color w:val="000000" w:themeColor="text1"/>
          <w:lang w:val="en-US"/>
        </w:rPr>
        <w:t xml:space="preserve">, Ms </w:t>
      </w:r>
      <w:r w:rsidR="00CC29E0" w:rsidRPr="00813D19">
        <w:rPr>
          <w:color w:val="000000" w:themeColor="text1"/>
          <w:lang w:val="en-US"/>
        </w:rPr>
        <w:t>Christiane Johannot-Gradis</w:t>
      </w:r>
      <w:r w:rsidR="006657C6">
        <w:rPr>
          <w:color w:val="000000" w:themeColor="text1"/>
          <w:lang w:val="en-US"/>
        </w:rPr>
        <w:t xml:space="preserve">, </w:t>
      </w:r>
      <w:r w:rsidRPr="00813D19">
        <w:rPr>
          <w:color w:val="000000" w:themeColor="text1"/>
          <w:lang w:val="en-US"/>
        </w:rPr>
        <w:t xml:space="preserve">began </w:t>
      </w:r>
      <w:r w:rsidR="00CC29E0" w:rsidRPr="00813D19">
        <w:rPr>
          <w:color w:val="000000" w:themeColor="text1"/>
          <w:lang w:val="en-US"/>
        </w:rPr>
        <w:t xml:space="preserve">by thanking Palestine for </w:t>
      </w:r>
      <w:r w:rsidRPr="00813D19">
        <w:rPr>
          <w:color w:val="000000" w:themeColor="text1"/>
          <w:lang w:val="en-US"/>
        </w:rPr>
        <w:t xml:space="preserve">introducing the question of </w:t>
      </w:r>
      <w:r w:rsidR="00CC29E0" w:rsidRPr="00813D19">
        <w:rPr>
          <w:color w:val="000000" w:themeColor="text1"/>
          <w:lang w:val="en-US"/>
        </w:rPr>
        <w:t xml:space="preserve">NGO </w:t>
      </w:r>
      <w:r w:rsidR="00813D19" w:rsidRPr="00813D19">
        <w:rPr>
          <w:color w:val="000000" w:themeColor="text1"/>
          <w:lang w:val="en-US"/>
        </w:rPr>
        <w:t>participation</w:t>
      </w:r>
      <w:r w:rsidR="00CC29E0" w:rsidRPr="00813D19">
        <w:rPr>
          <w:color w:val="000000" w:themeColor="text1"/>
          <w:lang w:val="en-US"/>
        </w:rPr>
        <w:t xml:space="preserve"> </w:t>
      </w:r>
      <w:r w:rsidRPr="00813D19">
        <w:rPr>
          <w:color w:val="000000" w:themeColor="text1"/>
          <w:lang w:val="en-US"/>
        </w:rPr>
        <w:t xml:space="preserve">as indeed </w:t>
      </w:r>
      <w:r w:rsidR="001947A0" w:rsidRPr="00813D19">
        <w:rPr>
          <w:color w:val="000000" w:themeColor="text1"/>
          <w:lang w:val="en-US"/>
        </w:rPr>
        <w:t xml:space="preserve">they had </w:t>
      </w:r>
      <w:r w:rsidR="00CC29E0" w:rsidRPr="00813D19">
        <w:rPr>
          <w:color w:val="000000" w:themeColor="text1"/>
          <w:lang w:val="en-US"/>
        </w:rPr>
        <w:t xml:space="preserve">an important role to play in emergencies. </w:t>
      </w:r>
      <w:r w:rsidRPr="00813D19">
        <w:rPr>
          <w:color w:val="000000" w:themeColor="text1"/>
          <w:lang w:val="en-US"/>
        </w:rPr>
        <w:t xml:space="preserve">Traditions pour Demain joined others </w:t>
      </w:r>
      <w:r w:rsidR="00CC29E0" w:rsidRPr="00813D19">
        <w:rPr>
          <w:color w:val="000000" w:themeColor="text1"/>
          <w:lang w:val="en-US"/>
        </w:rPr>
        <w:t xml:space="preserve">to commend the efforts of the Secretariat and States Parties </w:t>
      </w:r>
      <w:r w:rsidR="001947A0" w:rsidRPr="00813D19">
        <w:rPr>
          <w:color w:val="000000" w:themeColor="text1"/>
          <w:lang w:val="en-US"/>
        </w:rPr>
        <w:t xml:space="preserve">in </w:t>
      </w:r>
      <w:r w:rsidR="00CC29E0" w:rsidRPr="00813D19">
        <w:rPr>
          <w:color w:val="000000" w:themeColor="text1"/>
          <w:lang w:val="en-US"/>
        </w:rPr>
        <w:t>carry</w:t>
      </w:r>
      <w:r w:rsidR="001947A0" w:rsidRPr="00813D19">
        <w:rPr>
          <w:color w:val="000000" w:themeColor="text1"/>
          <w:lang w:val="en-US"/>
        </w:rPr>
        <w:t>ing</w:t>
      </w:r>
      <w:r w:rsidR="00CC29E0" w:rsidRPr="00813D19">
        <w:rPr>
          <w:color w:val="000000" w:themeColor="text1"/>
          <w:lang w:val="en-US"/>
        </w:rPr>
        <w:t xml:space="preserve"> out </w:t>
      </w:r>
      <w:r w:rsidRPr="00813D19">
        <w:rPr>
          <w:color w:val="000000" w:themeColor="text1"/>
          <w:lang w:val="en-US"/>
        </w:rPr>
        <w:t>actions</w:t>
      </w:r>
      <w:r w:rsidR="00CC29E0" w:rsidRPr="00813D19">
        <w:rPr>
          <w:color w:val="000000" w:themeColor="text1"/>
          <w:lang w:val="en-US"/>
        </w:rPr>
        <w:t xml:space="preserve"> aimed at safeguarding intangible </w:t>
      </w:r>
      <w:r w:rsidRPr="00813D19">
        <w:rPr>
          <w:color w:val="000000" w:themeColor="text1"/>
          <w:lang w:val="en-US"/>
        </w:rPr>
        <w:t xml:space="preserve">cultural </w:t>
      </w:r>
      <w:r w:rsidR="00CC29E0" w:rsidRPr="00813D19">
        <w:rPr>
          <w:color w:val="000000" w:themeColor="text1"/>
          <w:lang w:val="en-US"/>
        </w:rPr>
        <w:t>heritage in case</w:t>
      </w:r>
      <w:r w:rsidRPr="00813D19">
        <w:rPr>
          <w:color w:val="000000" w:themeColor="text1"/>
          <w:lang w:val="en-US"/>
        </w:rPr>
        <w:t>s</w:t>
      </w:r>
      <w:r w:rsidR="00CC29E0" w:rsidRPr="00813D19">
        <w:rPr>
          <w:color w:val="000000" w:themeColor="text1"/>
          <w:lang w:val="en-US"/>
        </w:rPr>
        <w:t xml:space="preserve"> of emergency, either</w:t>
      </w:r>
      <w:r w:rsidRPr="00813D19">
        <w:rPr>
          <w:color w:val="000000" w:themeColor="text1"/>
          <w:lang w:val="en-US"/>
        </w:rPr>
        <w:t xml:space="preserve"> in the event of armed conflict</w:t>
      </w:r>
      <w:r w:rsidR="00CC29E0" w:rsidRPr="00813D19">
        <w:rPr>
          <w:color w:val="000000" w:themeColor="text1"/>
          <w:lang w:val="en-US"/>
        </w:rPr>
        <w:t xml:space="preserve"> or natural disaster. </w:t>
      </w:r>
      <w:r w:rsidRPr="00813D19">
        <w:rPr>
          <w:color w:val="000000" w:themeColor="text1"/>
          <w:lang w:val="en-US"/>
        </w:rPr>
        <w:t xml:space="preserve">She </w:t>
      </w:r>
      <w:r w:rsidR="00CC29E0" w:rsidRPr="00813D19">
        <w:rPr>
          <w:color w:val="000000" w:themeColor="text1"/>
          <w:lang w:val="en-US"/>
        </w:rPr>
        <w:t xml:space="preserve">also </w:t>
      </w:r>
      <w:r w:rsidRPr="00813D19">
        <w:rPr>
          <w:color w:val="000000" w:themeColor="text1"/>
          <w:lang w:val="en-US"/>
        </w:rPr>
        <w:t xml:space="preserve">paid </w:t>
      </w:r>
      <w:r w:rsidR="00CC29E0" w:rsidRPr="00813D19">
        <w:rPr>
          <w:color w:val="000000" w:themeColor="text1"/>
          <w:lang w:val="en-US"/>
        </w:rPr>
        <w:t xml:space="preserve">particular tribute to the </w:t>
      </w:r>
      <w:r w:rsidRPr="00813D19">
        <w:rPr>
          <w:color w:val="000000" w:themeColor="text1"/>
          <w:lang w:val="en-US"/>
        </w:rPr>
        <w:t>collaborative efforts that the Secretariat had</w:t>
      </w:r>
      <w:r w:rsidR="00CC29E0" w:rsidRPr="00813D19">
        <w:rPr>
          <w:color w:val="000000" w:themeColor="text1"/>
          <w:lang w:val="en-US"/>
        </w:rPr>
        <w:t xml:space="preserve"> developed with international organizations, both United</w:t>
      </w:r>
      <w:r w:rsidRPr="00813D19">
        <w:rPr>
          <w:color w:val="000000" w:themeColor="text1"/>
          <w:lang w:val="en-US"/>
        </w:rPr>
        <w:t xml:space="preserve"> Nations and non-United Nations</w:t>
      </w:r>
      <w:r w:rsidR="00CC29E0" w:rsidRPr="00813D19">
        <w:rPr>
          <w:color w:val="000000" w:themeColor="text1"/>
          <w:lang w:val="en-US"/>
        </w:rPr>
        <w:t xml:space="preserve"> and</w:t>
      </w:r>
      <w:r w:rsidRPr="00813D19">
        <w:rPr>
          <w:color w:val="000000" w:themeColor="text1"/>
          <w:lang w:val="en-US"/>
        </w:rPr>
        <w:t>,</w:t>
      </w:r>
      <w:r w:rsidR="00CC29E0" w:rsidRPr="00813D19">
        <w:rPr>
          <w:color w:val="000000" w:themeColor="text1"/>
          <w:lang w:val="en-US"/>
        </w:rPr>
        <w:t xml:space="preserve"> in particular</w:t>
      </w:r>
      <w:r w:rsidRPr="00813D19">
        <w:rPr>
          <w:color w:val="000000" w:themeColor="text1"/>
          <w:lang w:val="en-US"/>
        </w:rPr>
        <w:t>,</w:t>
      </w:r>
      <w:r w:rsidR="00CC29E0" w:rsidRPr="00813D19">
        <w:rPr>
          <w:color w:val="000000" w:themeColor="text1"/>
          <w:lang w:val="en-US"/>
        </w:rPr>
        <w:t xml:space="preserve"> with the Special Rapporteur </w:t>
      </w:r>
      <w:r w:rsidR="000A3AA6" w:rsidRPr="00813D19">
        <w:rPr>
          <w:color w:val="000000" w:themeColor="text1"/>
          <w:lang w:val="en-US"/>
        </w:rPr>
        <w:t>in the field</w:t>
      </w:r>
      <w:r w:rsidR="00CC29E0" w:rsidRPr="00813D19">
        <w:rPr>
          <w:color w:val="000000" w:themeColor="text1"/>
          <w:lang w:val="en-US"/>
        </w:rPr>
        <w:t xml:space="preserve"> </w:t>
      </w:r>
      <w:r w:rsidR="000A3AA6" w:rsidRPr="00813D19">
        <w:rPr>
          <w:color w:val="000000" w:themeColor="text1"/>
          <w:lang w:val="en-US"/>
        </w:rPr>
        <w:t xml:space="preserve">of </w:t>
      </w:r>
      <w:r w:rsidR="00CC29E0" w:rsidRPr="00813D19">
        <w:rPr>
          <w:color w:val="000000" w:themeColor="text1"/>
          <w:lang w:val="en-US"/>
        </w:rPr>
        <w:t xml:space="preserve">cultural rights and the Office of the High Commissioner for Human Rights. </w:t>
      </w:r>
      <w:r w:rsidR="00FA7898" w:rsidRPr="00813D19">
        <w:rPr>
          <w:color w:val="000000" w:themeColor="text1"/>
          <w:lang w:val="en-US"/>
        </w:rPr>
        <w:t>In view of the importance of the task at hand, t</w:t>
      </w:r>
      <w:r w:rsidR="00CC29E0" w:rsidRPr="00813D19">
        <w:rPr>
          <w:color w:val="000000" w:themeColor="text1"/>
          <w:lang w:val="en-US"/>
        </w:rPr>
        <w:t xml:space="preserve">hese </w:t>
      </w:r>
      <w:r w:rsidR="00FA7898" w:rsidRPr="00813D19">
        <w:rPr>
          <w:color w:val="000000" w:themeColor="text1"/>
          <w:lang w:val="en-US"/>
        </w:rPr>
        <w:t xml:space="preserve">coordinated </w:t>
      </w:r>
      <w:r w:rsidR="00CC29E0" w:rsidRPr="00813D19">
        <w:rPr>
          <w:color w:val="000000" w:themeColor="text1"/>
          <w:lang w:val="en-US"/>
        </w:rPr>
        <w:t xml:space="preserve">initiatives </w:t>
      </w:r>
      <w:r w:rsidR="00FA7898" w:rsidRPr="00813D19">
        <w:rPr>
          <w:color w:val="000000" w:themeColor="text1"/>
          <w:lang w:val="en-US"/>
        </w:rPr>
        <w:t xml:space="preserve">were considered </w:t>
      </w:r>
      <w:r w:rsidR="006657C6">
        <w:rPr>
          <w:color w:val="000000" w:themeColor="text1"/>
          <w:lang w:val="en-US"/>
        </w:rPr>
        <w:t xml:space="preserve">as </w:t>
      </w:r>
      <w:r w:rsidR="00CC29E0" w:rsidRPr="00813D19">
        <w:rPr>
          <w:color w:val="000000" w:themeColor="text1"/>
          <w:lang w:val="en-US"/>
        </w:rPr>
        <w:t>an indispensable approach</w:t>
      </w:r>
      <w:r w:rsidR="00FA7898" w:rsidRPr="00813D19">
        <w:rPr>
          <w:color w:val="000000" w:themeColor="text1"/>
          <w:lang w:val="en-US"/>
        </w:rPr>
        <w:t xml:space="preserve"> by her NGO, which had been actively involved</w:t>
      </w:r>
      <w:r w:rsidR="001947A0" w:rsidRPr="00813D19">
        <w:rPr>
          <w:color w:val="000000" w:themeColor="text1"/>
          <w:lang w:val="en-US"/>
        </w:rPr>
        <w:t xml:space="preserve"> in this regard</w:t>
      </w:r>
      <w:r w:rsidR="00CC29E0" w:rsidRPr="00813D19">
        <w:rPr>
          <w:color w:val="000000" w:themeColor="text1"/>
          <w:lang w:val="en-US"/>
        </w:rPr>
        <w:t xml:space="preserve">. </w:t>
      </w:r>
      <w:r w:rsidR="00FA7898" w:rsidRPr="00813D19">
        <w:rPr>
          <w:color w:val="000000" w:themeColor="text1"/>
          <w:lang w:val="en-US"/>
        </w:rPr>
        <w:t xml:space="preserve">The NGO </w:t>
      </w:r>
      <w:r w:rsidR="00CC29E0" w:rsidRPr="00813D19">
        <w:rPr>
          <w:color w:val="000000" w:themeColor="text1"/>
          <w:lang w:val="en-US"/>
        </w:rPr>
        <w:t>welcome</w:t>
      </w:r>
      <w:r w:rsidR="00FA7898" w:rsidRPr="00813D19">
        <w:rPr>
          <w:color w:val="000000" w:themeColor="text1"/>
          <w:lang w:val="en-US"/>
        </w:rPr>
        <w:t>d</w:t>
      </w:r>
      <w:r w:rsidR="00CC29E0" w:rsidRPr="00813D19">
        <w:rPr>
          <w:color w:val="000000" w:themeColor="text1"/>
          <w:lang w:val="en-US"/>
        </w:rPr>
        <w:t xml:space="preserve"> the meeting of experts scheduled for June 2019, which </w:t>
      </w:r>
      <w:r w:rsidR="00FA7898" w:rsidRPr="00813D19">
        <w:rPr>
          <w:color w:val="000000" w:themeColor="text1"/>
          <w:lang w:val="en-US"/>
        </w:rPr>
        <w:t xml:space="preserve">would </w:t>
      </w:r>
      <w:r w:rsidR="00CC29E0" w:rsidRPr="00813D19">
        <w:rPr>
          <w:color w:val="000000" w:themeColor="text1"/>
          <w:lang w:val="en-US"/>
        </w:rPr>
        <w:t>be an essential step in helping States put in</w:t>
      </w:r>
      <w:r w:rsidR="00FA7898" w:rsidRPr="00813D19">
        <w:rPr>
          <w:color w:val="000000" w:themeColor="text1"/>
          <w:lang w:val="en-US"/>
        </w:rPr>
        <w:t>to</w:t>
      </w:r>
      <w:r w:rsidR="00CC29E0" w:rsidRPr="00813D19">
        <w:rPr>
          <w:color w:val="000000" w:themeColor="text1"/>
          <w:lang w:val="en-US"/>
        </w:rPr>
        <w:t xml:space="preserve"> place the institutions, structures and program</w:t>
      </w:r>
      <w:r w:rsidR="00FA7898" w:rsidRPr="00813D19">
        <w:rPr>
          <w:color w:val="000000" w:themeColor="text1"/>
          <w:lang w:val="en-US"/>
        </w:rPr>
        <w:t>me</w:t>
      </w:r>
      <w:r w:rsidR="00CC29E0" w:rsidRPr="00813D19">
        <w:rPr>
          <w:color w:val="000000" w:themeColor="text1"/>
          <w:lang w:val="en-US"/>
        </w:rPr>
        <w:t xml:space="preserve">s aimed at safeguarding </w:t>
      </w:r>
      <w:r w:rsidR="00FA7898" w:rsidRPr="00813D19">
        <w:rPr>
          <w:color w:val="000000" w:themeColor="text1"/>
          <w:lang w:val="en-US"/>
        </w:rPr>
        <w:t xml:space="preserve">intangible cultural heritage </w:t>
      </w:r>
      <w:r w:rsidR="00CC29E0" w:rsidRPr="00813D19">
        <w:rPr>
          <w:color w:val="000000" w:themeColor="text1"/>
          <w:lang w:val="en-US"/>
        </w:rPr>
        <w:t>in times of emergency, incl</w:t>
      </w:r>
      <w:r w:rsidR="001947A0" w:rsidRPr="00813D19">
        <w:rPr>
          <w:color w:val="000000" w:themeColor="text1"/>
          <w:lang w:val="en-US"/>
        </w:rPr>
        <w:t>uding targeting key authorities</w:t>
      </w:r>
      <w:r w:rsidR="00CC29E0" w:rsidRPr="00813D19">
        <w:rPr>
          <w:color w:val="000000" w:themeColor="text1"/>
          <w:lang w:val="en-US"/>
        </w:rPr>
        <w:t xml:space="preserve"> </w:t>
      </w:r>
      <w:r w:rsidR="00FA7898" w:rsidRPr="00813D19">
        <w:rPr>
          <w:color w:val="000000" w:themeColor="text1"/>
          <w:lang w:val="en-US"/>
        </w:rPr>
        <w:t xml:space="preserve">and </w:t>
      </w:r>
      <w:r w:rsidR="00CC29E0" w:rsidRPr="00813D19">
        <w:rPr>
          <w:color w:val="000000" w:themeColor="text1"/>
          <w:lang w:val="en-US"/>
        </w:rPr>
        <w:t>defining training strategies</w:t>
      </w:r>
      <w:r w:rsidR="001947A0" w:rsidRPr="00813D19">
        <w:rPr>
          <w:color w:val="000000" w:themeColor="text1"/>
          <w:lang w:val="en-US"/>
        </w:rPr>
        <w:t>,</w:t>
      </w:r>
      <w:r w:rsidR="00CC29E0" w:rsidRPr="00813D19">
        <w:rPr>
          <w:color w:val="000000" w:themeColor="text1"/>
          <w:lang w:val="en-US"/>
        </w:rPr>
        <w:t xml:space="preserve"> and the means to </w:t>
      </w:r>
      <w:r w:rsidR="00FA7898" w:rsidRPr="00813D19">
        <w:rPr>
          <w:color w:val="000000" w:themeColor="text1"/>
          <w:lang w:val="en-US"/>
        </w:rPr>
        <w:t>accomplish these tasks</w:t>
      </w:r>
      <w:r w:rsidR="00CC29E0" w:rsidRPr="00813D19">
        <w:rPr>
          <w:color w:val="000000" w:themeColor="text1"/>
          <w:lang w:val="en-US"/>
        </w:rPr>
        <w:t xml:space="preserve">. That being so, </w:t>
      </w:r>
      <w:r w:rsidR="00FA7898" w:rsidRPr="00813D19">
        <w:rPr>
          <w:color w:val="000000" w:themeColor="text1"/>
          <w:lang w:val="en-US"/>
        </w:rPr>
        <w:t xml:space="preserve">Traditions pour Demain </w:t>
      </w:r>
      <w:r w:rsidR="001947A0" w:rsidRPr="00813D19">
        <w:rPr>
          <w:color w:val="000000" w:themeColor="text1"/>
          <w:lang w:val="en-US"/>
        </w:rPr>
        <w:t>considered</w:t>
      </w:r>
      <w:r w:rsidR="00CC29E0" w:rsidRPr="00813D19">
        <w:rPr>
          <w:color w:val="000000" w:themeColor="text1"/>
          <w:lang w:val="en-US"/>
        </w:rPr>
        <w:t xml:space="preserve"> that it would also be important to continue the efforts already made in recent years within UNESCO to develop synergies between </w:t>
      </w:r>
      <w:r w:rsidR="001947A0" w:rsidRPr="00813D19">
        <w:rPr>
          <w:color w:val="000000" w:themeColor="text1"/>
          <w:lang w:val="en-US"/>
        </w:rPr>
        <w:t>the culture C</w:t>
      </w:r>
      <w:r w:rsidR="00FA7898" w:rsidRPr="00813D19">
        <w:rPr>
          <w:color w:val="000000" w:themeColor="text1"/>
          <w:lang w:val="en-US"/>
        </w:rPr>
        <w:t>onventions</w:t>
      </w:r>
      <w:r w:rsidR="00CC29E0" w:rsidRPr="00813D19">
        <w:rPr>
          <w:color w:val="000000" w:themeColor="text1"/>
          <w:lang w:val="en-US"/>
        </w:rPr>
        <w:t xml:space="preserve"> in order to amplify their impact on the </w:t>
      </w:r>
      <w:r w:rsidR="00FA7898" w:rsidRPr="00813D19">
        <w:rPr>
          <w:color w:val="000000" w:themeColor="text1"/>
          <w:lang w:val="en-US"/>
        </w:rPr>
        <w:t xml:space="preserve">safeguarding </w:t>
      </w:r>
      <w:r w:rsidR="00CC29E0" w:rsidRPr="00813D19">
        <w:rPr>
          <w:color w:val="000000" w:themeColor="text1"/>
          <w:lang w:val="en-US"/>
        </w:rPr>
        <w:t>of</w:t>
      </w:r>
      <w:r w:rsidR="00FA7898" w:rsidRPr="00813D19">
        <w:rPr>
          <w:color w:val="000000" w:themeColor="text1"/>
          <w:lang w:val="en-US"/>
        </w:rPr>
        <w:t xml:space="preserve"> cultural heritage,</w:t>
      </w:r>
      <w:r w:rsidR="00CC29E0" w:rsidRPr="00813D19">
        <w:rPr>
          <w:color w:val="000000" w:themeColor="text1"/>
          <w:lang w:val="en-US"/>
        </w:rPr>
        <w:t xml:space="preserve"> both </w:t>
      </w:r>
      <w:r w:rsidR="00FA7898" w:rsidRPr="00813D19">
        <w:rPr>
          <w:color w:val="000000" w:themeColor="text1"/>
          <w:lang w:val="en-US"/>
        </w:rPr>
        <w:t xml:space="preserve">tangible </w:t>
      </w:r>
      <w:r w:rsidR="00CC29E0" w:rsidRPr="00813D19">
        <w:rPr>
          <w:color w:val="000000" w:themeColor="text1"/>
          <w:lang w:val="en-US"/>
        </w:rPr>
        <w:t xml:space="preserve">and </w:t>
      </w:r>
      <w:r w:rsidR="00FA7898" w:rsidRPr="00813D19">
        <w:rPr>
          <w:color w:val="000000" w:themeColor="text1"/>
          <w:lang w:val="en-US"/>
        </w:rPr>
        <w:t>intangible</w:t>
      </w:r>
      <w:r w:rsidR="00634D0B">
        <w:rPr>
          <w:color w:val="000000" w:themeColor="text1"/>
          <w:lang w:val="en-US"/>
        </w:rPr>
        <w:t>.</w:t>
      </w:r>
    </w:p>
    <w:p w14:paraId="506AB5A0" w14:textId="0DF9A1FC" w:rsidR="00EC0674" w:rsidRPr="00813D19" w:rsidRDefault="00FA7898" w:rsidP="00AC5FD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w:t>
      </w:r>
      <w:r w:rsidR="00456ED1" w:rsidRPr="00813D19">
        <w:rPr>
          <w:b/>
          <w:color w:val="000000" w:themeColor="text1"/>
          <w:lang w:val="en-US"/>
        </w:rPr>
        <w:t xml:space="preserve">Representative of </w:t>
      </w:r>
      <w:r w:rsidRPr="00813D19">
        <w:rPr>
          <w:b/>
          <w:color w:val="000000" w:themeColor="text1"/>
          <w:lang w:val="en-US"/>
        </w:rPr>
        <w:t>NGO Traditions pour Demain</w:t>
      </w:r>
      <w:r w:rsidR="00456ED1" w:rsidRPr="00813D19">
        <w:rPr>
          <w:b/>
          <w:color w:val="000000" w:themeColor="text1"/>
          <w:lang w:val="en-US"/>
        </w:rPr>
        <w:t xml:space="preserve"> </w:t>
      </w:r>
      <w:r w:rsidRPr="00813D19">
        <w:rPr>
          <w:color w:val="000000" w:themeColor="text1"/>
          <w:lang w:val="en-US"/>
        </w:rPr>
        <w:t xml:space="preserve">referred to the </w:t>
      </w:r>
      <w:r w:rsidR="00CC29E0" w:rsidRPr="00813D19">
        <w:rPr>
          <w:color w:val="000000" w:themeColor="text1"/>
          <w:lang w:val="en-US"/>
        </w:rPr>
        <w:t>excellent report</w:t>
      </w:r>
      <w:r w:rsidRPr="00813D19">
        <w:rPr>
          <w:color w:val="000000" w:themeColor="text1"/>
          <w:lang w:val="en-US"/>
        </w:rPr>
        <w:t xml:space="preserve"> by the Rapporteur of the Evaluation Body in that there was </w:t>
      </w:r>
      <w:r w:rsidR="00CC29E0" w:rsidRPr="00813D19">
        <w:rPr>
          <w:color w:val="000000" w:themeColor="text1"/>
          <w:lang w:val="en-US"/>
        </w:rPr>
        <w:t xml:space="preserve">already a rapprochement with the 1972 Convention, particularly in situations where </w:t>
      </w:r>
      <w:r w:rsidRPr="00813D19">
        <w:rPr>
          <w:color w:val="000000" w:themeColor="text1"/>
          <w:lang w:val="en-US"/>
        </w:rPr>
        <w:t xml:space="preserve">intangible cultural heritage </w:t>
      </w:r>
      <w:r w:rsidR="00CC29E0" w:rsidRPr="00813D19">
        <w:rPr>
          <w:color w:val="000000" w:themeColor="text1"/>
          <w:lang w:val="en-US"/>
        </w:rPr>
        <w:t xml:space="preserve">activities </w:t>
      </w:r>
      <w:r w:rsidR="00AF3C3E" w:rsidRPr="00813D19">
        <w:rPr>
          <w:color w:val="000000" w:themeColor="text1"/>
          <w:lang w:val="en-US"/>
        </w:rPr>
        <w:t xml:space="preserve">manifested </w:t>
      </w:r>
      <w:r w:rsidR="00CC29E0" w:rsidRPr="00813D19">
        <w:rPr>
          <w:color w:val="000000" w:themeColor="text1"/>
          <w:lang w:val="en-US"/>
        </w:rPr>
        <w:t xml:space="preserve">on a site or element of World Heritage. </w:t>
      </w:r>
      <w:r w:rsidR="00AF3C3E" w:rsidRPr="00813D19">
        <w:rPr>
          <w:color w:val="000000" w:themeColor="text1"/>
          <w:lang w:val="en-US"/>
        </w:rPr>
        <w:t>Traditions pour Demain suggested</w:t>
      </w:r>
      <w:r w:rsidR="00CC29E0" w:rsidRPr="00813D19">
        <w:rPr>
          <w:color w:val="000000" w:themeColor="text1"/>
          <w:lang w:val="en-US"/>
        </w:rPr>
        <w:t xml:space="preserve"> that these </w:t>
      </w:r>
      <w:r w:rsidR="00AF3C3E" w:rsidRPr="00813D19">
        <w:rPr>
          <w:color w:val="000000" w:themeColor="text1"/>
          <w:lang w:val="en-US"/>
        </w:rPr>
        <w:t xml:space="preserve">efforts </w:t>
      </w:r>
      <w:r w:rsidR="001947A0" w:rsidRPr="00813D19">
        <w:rPr>
          <w:color w:val="000000" w:themeColor="text1"/>
          <w:lang w:val="en-US"/>
        </w:rPr>
        <w:t>toward</w:t>
      </w:r>
      <w:r w:rsidR="00FB131E">
        <w:rPr>
          <w:color w:val="000000" w:themeColor="text1"/>
          <w:lang w:val="en-US"/>
        </w:rPr>
        <w:t>s</w:t>
      </w:r>
      <w:r w:rsidR="00AF3C3E" w:rsidRPr="00813D19">
        <w:rPr>
          <w:color w:val="000000" w:themeColor="text1"/>
          <w:lang w:val="en-US"/>
        </w:rPr>
        <w:t xml:space="preserve"> </w:t>
      </w:r>
      <w:r w:rsidR="00CC29E0" w:rsidRPr="00813D19">
        <w:rPr>
          <w:color w:val="000000" w:themeColor="text1"/>
          <w:lang w:val="en-US"/>
        </w:rPr>
        <w:t xml:space="preserve">synergy also continue with the 1954 </w:t>
      </w:r>
      <w:r w:rsidR="007D0F36" w:rsidRPr="00813D19">
        <w:rPr>
          <w:color w:val="000000" w:themeColor="text1"/>
          <w:lang w:val="en-US"/>
        </w:rPr>
        <w:t xml:space="preserve">Hague </w:t>
      </w:r>
      <w:r w:rsidR="00CC29E0" w:rsidRPr="00813D19">
        <w:rPr>
          <w:color w:val="000000" w:themeColor="text1"/>
          <w:lang w:val="en-US"/>
        </w:rPr>
        <w:t>Convention for the Protection of Cultural Property in t</w:t>
      </w:r>
      <w:r w:rsidR="007D0F36" w:rsidRPr="00813D19">
        <w:rPr>
          <w:color w:val="000000" w:themeColor="text1"/>
          <w:lang w:val="en-US"/>
        </w:rPr>
        <w:t>he Event of Armed Conflict for t</w:t>
      </w:r>
      <w:r w:rsidR="00CC29E0" w:rsidRPr="00813D19">
        <w:rPr>
          <w:color w:val="000000" w:themeColor="text1"/>
          <w:lang w:val="en-US"/>
        </w:rPr>
        <w:t xml:space="preserve">wo main reasons. In the first place, in the event of an armed conflict, </w:t>
      </w:r>
      <w:r w:rsidR="007D0F36" w:rsidRPr="00813D19">
        <w:rPr>
          <w:color w:val="000000" w:themeColor="text1"/>
          <w:lang w:val="en-US"/>
        </w:rPr>
        <w:t xml:space="preserve">the 1954 </w:t>
      </w:r>
      <w:r w:rsidR="00CC29E0" w:rsidRPr="00813D19">
        <w:rPr>
          <w:color w:val="000000" w:themeColor="text1"/>
          <w:lang w:val="en-US"/>
        </w:rPr>
        <w:t xml:space="preserve">Convention </w:t>
      </w:r>
      <w:r w:rsidR="001947A0" w:rsidRPr="00813D19">
        <w:rPr>
          <w:color w:val="000000" w:themeColor="text1"/>
          <w:lang w:val="en-US"/>
        </w:rPr>
        <w:t xml:space="preserve">was the first instrument to be </w:t>
      </w:r>
      <w:r w:rsidR="007D0F36" w:rsidRPr="00813D19">
        <w:rPr>
          <w:color w:val="000000" w:themeColor="text1"/>
          <w:lang w:val="en-US"/>
        </w:rPr>
        <w:t xml:space="preserve">applied, as it was </w:t>
      </w:r>
      <w:r w:rsidR="00CC29E0" w:rsidRPr="00813D19">
        <w:rPr>
          <w:color w:val="000000" w:themeColor="text1"/>
          <w:lang w:val="en-US"/>
        </w:rPr>
        <w:t xml:space="preserve">widely </w:t>
      </w:r>
      <w:r w:rsidR="001947A0" w:rsidRPr="00813D19">
        <w:rPr>
          <w:color w:val="000000" w:themeColor="text1"/>
          <w:lang w:val="en-US"/>
        </w:rPr>
        <w:t>utilized</w:t>
      </w:r>
      <w:r w:rsidR="00CC29E0" w:rsidRPr="00813D19">
        <w:rPr>
          <w:color w:val="000000" w:themeColor="text1"/>
          <w:lang w:val="en-US"/>
        </w:rPr>
        <w:t xml:space="preserve"> and implemented, including its provisions obliging States to </w:t>
      </w:r>
      <w:r w:rsidR="007D0F36" w:rsidRPr="00813D19">
        <w:rPr>
          <w:color w:val="000000" w:themeColor="text1"/>
          <w:lang w:val="en-US"/>
        </w:rPr>
        <w:t>designate competent authorities and</w:t>
      </w:r>
      <w:r w:rsidR="00CC29E0" w:rsidRPr="00813D19">
        <w:rPr>
          <w:color w:val="000000" w:themeColor="text1"/>
          <w:lang w:val="en-US"/>
        </w:rPr>
        <w:t xml:space="preserve"> train</w:t>
      </w:r>
      <w:r w:rsidR="001947A0" w:rsidRPr="00813D19">
        <w:rPr>
          <w:color w:val="000000" w:themeColor="text1"/>
          <w:lang w:val="en-US"/>
        </w:rPr>
        <w:t>ing</w:t>
      </w:r>
      <w:r w:rsidR="00CC29E0" w:rsidRPr="00813D19">
        <w:rPr>
          <w:color w:val="000000" w:themeColor="text1"/>
          <w:lang w:val="en-US"/>
        </w:rPr>
        <w:t xml:space="preserve"> them, especially armed forces, to identify protected property. </w:t>
      </w:r>
      <w:r w:rsidR="007D0F36" w:rsidRPr="00813D19">
        <w:rPr>
          <w:color w:val="000000" w:themeColor="text1"/>
          <w:lang w:val="en-US"/>
        </w:rPr>
        <w:t xml:space="preserve">Intangible cultural heritage </w:t>
      </w:r>
      <w:r w:rsidR="00CC29E0" w:rsidRPr="00813D19">
        <w:rPr>
          <w:color w:val="000000" w:themeColor="text1"/>
          <w:lang w:val="en-US"/>
        </w:rPr>
        <w:t xml:space="preserve">safeguarding efforts could build </w:t>
      </w:r>
      <w:r w:rsidR="007D0F36" w:rsidRPr="00813D19">
        <w:rPr>
          <w:color w:val="000000" w:themeColor="text1"/>
          <w:lang w:val="en-US"/>
        </w:rPr>
        <w:t>up</w:t>
      </w:r>
      <w:r w:rsidR="00CC29E0" w:rsidRPr="00813D19">
        <w:rPr>
          <w:color w:val="000000" w:themeColor="text1"/>
          <w:lang w:val="en-US"/>
        </w:rPr>
        <w:t xml:space="preserve">on these achievements when </w:t>
      </w:r>
      <w:r w:rsidR="007D0F36" w:rsidRPr="00813D19">
        <w:rPr>
          <w:color w:val="000000" w:themeColor="text1"/>
          <w:lang w:val="en-US"/>
        </w:rPr>
        <w:t xml:space="preserve">expressions of intangible cultural heritage </w:t>
      </w:r>
      <w:r w:rsidR="00CC29E0" w:rsidRPr="00813D19">
        <w:rPr>
          <w:color w:val="000000" w:themeColor="text1"/>
          <w:lang w:val="en-US"/>
        </w:rPr>
        <w:t>take place on listed cultural prop</w:t>
      </w:r>
      <w:r w:rsidR="007D0F36" w:rsidRPr="00813D19">
        <w:rPr>
          <w:color w:val="000000" w:themeColor="text1"/>
          <w:lang w:val="en-US"/>
        </w:rPr>
        <w:t>e</w:t>
      </w:r>
      <w:r w:rsidR="001947A0" w:rsidRPr="00813D19">
        <w:rPr>
          <w:color w:val="000000" w:themeColor="text1"/>
          <w:lang w:val="en-US"/>
        </w:rPr>
        <w:t>rty. The second reason is that—</w:t>
      </w:r>
      <w:r w:rsidR="007D0F36" w:rsidRPr="00813D19">
        <w:rPr>
          <w:color w:val="000000" w:themeColor="text1"/>
          <w:lang w:val="en-US"/>
        </w:rPr>
        <w:t>unlike the 1972 Convention—</w:t>
      </w:r>
      <w:r w:rsidR="00CC29E0" w:rsidRPr="00813D19">
        <w:rPr>
          <w:color w:val="000000" w:themeColor="text1"/>
          <w:lang w:val="en-US"/>
        </w:rPr>
        <w:t xml:space="preserve">cultural property under </w:t>
      </w:r>
      <w:r w:rsidR="006657C6">
        <w:rPr>
          <w:color w:val="000000" w:themeColor="text1"/>
          <w:lang w:val="en-US"/>
        </w:rPr>
        <w:t xml:space="preserve">the </w:t>
      </w:r>
      <w:r w:rsidR="00CC29E0" w:rsidRPr="00813D19">
        <w:rPr>
          <w:color w:val="000000" w:themeColor="text1"/>
          <w:lang w:val="en-US"/>
        </w:rPr>
        <w:t xml:space="preserve">general protection </w:t>
      </w:r>
      <w:r w:rsidR="007D0F36" w:rsidRPr="00813D19">
        <w:rPr>
          <w:color w:val="000000" w:themeColor="text1"/>
          <w:lang w:val="en-US"/>
        </w:rPr>
        <w:t xml:space="preserve">of </w:t>
      </w:r>
      <w:r w:rsidR="00CC29E0" w:rsidRPr="00813D19">
        <w:rPr>
          <w:color w:val="000000" w:themeColor="text1"/>
          <w:lang w:val="en-US"/>
        </w:rPr>
        <w:t xml:space="preserve">the 1954 Convention is </w:t>
      </w:r>
      <w:r w:rsidR="001947A0" w:rsidRPr="00813D19">
        <w:rPr>
          <w:color w:val="000000" w:themeColor="text1"/>
          <w:lang w:val="en-US"/>
        </w:rPr>
        <w:t xml:space="preserve">selected </w:t>
      </w:r>
      <w:r w:rsidR="00CC29E0" w:rsidRPr="00813D19">
        <w:rPr>
          <w:color w:val="000000" w:themeColor="text1"/>
          <w:lang w:val="en-US"/>
        </w:rPr>
        <w:t>by the States</w:t>
      </w:r>
      <w:r w:rsidR="007D0F36" w:rsidRPr="00813D19">
        <w:rPr>
          <w:color w:val="000000" w:themeColor="text1"/>
          <w:lang w:val="en-US"/>
        </w:rPr>
        <w:t xml:space="preserve"> themselves</w:t>
      </w:r>
      <w:r w:rsidR="00CC29E0" w:rsidRPr="00813D19">
        <w:rPr>
          <w:color w:val="000000" w:themeColor="text1"/>
          <w:lang w:val="en-US"/>
        </w:rPr>
        <w:t xml:space="preserve">. These properties are therefore considerably more numerous and frequently chosen because of the </w:t>
      </w:r>
      <w:r w:rsidR="007D0F36" w:rsidRPr="00813D19">
        <w:rPr>
          <w:color w:val="000000" w:themeColor="text1"/>
          <w:lang w:val="en-US"/>
        </w:rPr>
        <w:t xml:space="preserve">intangible heritage </w:t>
      </w:r>
      <w:r w:rsidR="00CC29E0" w:rsidRPr="00813D19">
        <w:rPr>
          <w:color w:val="000000" w:themeColor="text1"/>
          <w:lang w:val="en-US"/>
        </w:rPr>
        <w:t>that take</w:t>
      </w:r>
      <w:r w:rsidR="001947A0" w:rsidRPr="00813D19">
        <w:rPr>
          <w:color w:val="000000" w:themeColor="text1"/>
          <w:lang w:val="en-US"/>
        </w:rPr>
        <w:t>s</w:t>
      </w:r>
      <w:r w:rsidR="00CC29E0" w:rsidRPr="00813D19">
        <w:rPr>
          <w:color w:val="000000" w:themeColor="text1"/>
          <w:lang w:val="en-US"/>
        </w:rPr>
        <w:t xml:space="preserve"> place</w:t>
      </w:r>
      <w:r w:rsidR="007D0F36" w:rsidRPr="00813D19">
        <w:rPr>
          <w:color w:val="000000" w:themeColor="text1"/>
          <w:lang w:val="en-US"/>
        </w:rPr>
        <w:t xml:space="preserve"> in these sites</w:t>
      </w:r>
      <w:r w:rsidR="00907998" w:rsidRPr="00813D19">
        <w:rPr>
          <w:color w:val="000000" w:themeColor="text1"/>
          <w:lang w:val="en-US"/>
        </w:rPr>
        <w:t>, and t</w:t>
      </w:r>
      <w:r w:rsidR="007D0F36" w:rsidRPr="00813D19">
        <w:rPr>
          <w:color w:val="000000" w:themeColor="text1"/>
          <w:lang w:val="en-US"/>
        </w:rPr>
        <w:t>hus</w:t>
      </w:r>
      <w:r w:rsidR="00CC29E0" w:rsidRPr="00813D19">
        <w:rPr>
          <w:color w:val="000000" w:themeColor="text1"/>
          <w:lang w:val="en-US"/>
        </w:rPr>
        <w:t xml:space="preserve"> a rapprochement with the 1954 Convention </w:t>
      </w:r>
      <w:r w:rsidR="006657C6">
        <w:rPr>
          <w:color w:val="000000" w:themeColor="text1"/>
          <w:lang w:val="en-US"/>
        </w:rPr>
        <w:t>could</w:t>
      </w:r>
      <w:r w:rsidR="006657C6" w:rsidRPr="00813D19">
        <w:rPr>
          <w:color w:val="000000" w:themeColor="text1"/>
          <w:lang w:val="en-US"/>
        </w:rPr>
        <w:t xml:space="preserve"> </w:t>
      </w:r>
      <w:r w:rsidR="00CC29E0" w:rsidRPr="00813D19">
        <w:rPr>
          <w:color w:val="000000" w:themeColor="text1"/>
          <w:lang w:val="en-US"/>
        </w:rPr>
        <w:t xml:space="preserve">be beneficial for </w:t>
      </w:r>
      <w:r w:rsidR="007D0F36" w:rsidRPr="00813D19">
        <w:rPr>
          <w:color w:val="000000" w:themeColor="text1"/>
          <w:lang w:val="en-US"/>
        </w:rPr>
        <w:t>intangible cultural heritage</w:t>
      </w:r>
      <w:r w:rsidR="00CC29E0" w:rsidRPr="00813D19">
        <w:rPr>
          <w:color w:val="000000" w:themeColor="text1"/>
          <w:lang w:val="en-US"/>
        </w:rPr>
        <w:t xml:space="preserve">. For these reasons, Traditions </w:t>
      </w:r>
      <w:r w:rsidR="007D0F36" w:rsidRPr="00813D19">
        <w:rPr>
          <w:color w:val="000000" w:themeColor="text1"/>
          <w:lang w:val="en-US"/>
        </w:rPr>
        <w:t xml:space="preserve">pour Demain </w:t>
      </w:r>
      <w:r w:rsidR="00CC29E0" w:rsidRPr="00813D19">
        <w:rPr>
          <w:color w:val="000000" w:themeColor="text1"/>
          <w:lang w:val="en-US"/>
        </w:rPr>
        <w:t xml:space="preserve">proposes that further </w:t>
      </w:r>
      <w:r w:rsidR="00907998" w:rsidRPr="00813D19">
        <w:rPr>
          <w:color w:val="000000" w:themeColor="text1"/>
          <w:lang w:val="en-US"/>
        </w:rPr>
        <w:t>c</w:t>
      </w:r>
      <w:r w:rsidR="00CC29E0" w:rsidRPr="00813D19">
        <w:rPr>
          <w:color w:val="000000" w:themeColor="text1"/>
          <w:lang w:val="en-US"/>
        </w:rPr>
        <w:t xml:space="preserve">ontacts be </w:t>
      </w:r>
      <w:r w:rsidR="00907998" w:rsidRPr="00813D19">
        <w:rPr>
          <w:color w:val="000000" w:themeColor="text1"/>
          <w:lang w:val="en-US"/>
        </w:rPr>
        <w:t xml:space="preserve">made </w:t>
      </w:r>
      <w:r w:rsidR="00CC29E0" w:rsidRPr="00813D19">
        <w:rPr>
          <w:color w:val="000000" w:themeColor="text1"/>
          <w:lang w:val="en-US"/>
        </w:rPr>
        <w:t xml:space="preserve">to develop synergies between the 2003 Convention and the 1954 Convention. In this regard, </w:t>
      </w:r>
      <w:r w:rsidR="001947A0" w:rsidRPr="00813D19">
        <w:rPr>
          <w:color w:val="000000" w:themeColor="text1"/>
          <w:lang w:val="en-US"/>
        </w:rPr>
        <w:t xml:space="preserve">Ms Johannot-Gradis </w:t>
      </w:r>
      <w:r w:rsidR="00CC29E0" w:rsidRPr="00813D19">
        <w:rPr>
          <w:color w:val="000000" w:themeColor="text1"/>
          <w:lang w:val="en-US"/>
        </w:rPr>
        <w:t>recall</w:t>
      </w:r>
      <w:r w:rsidR="00907998" w:rsidRPr="00813D19">
        <w:rPr>
          <w:color w:val="000000" w:themeColor="text1"/>
          <w:lang w:val="en-US"/>
        </w:rPr>
        <w:t>ed that</w:t>
      </w:r>
      <w:r w:rsidR="00CC29E0" w:rsidRPr="00813D19">
        <w:rPr>
          <w:color w:val="000000" w:themeColor="text1"/>
          <w:lang w:val="en-US"/>
        </w:rPr>
        <w:t xml:space="preserve"> at </w:t>
      </w:r>
      <w:r w:rsidR="00907998" w:rsidRPr="00813D19">
        <w:rPr>
          <w:color w:val="000000" w:themeColor="text1"/>
          <w:lang w:val="en-US"/>
        </w:rPr>
        <w:t>its last sessions</w:t>
      </w:r>
      <w:r w:rsidR="001947A0" w:rsidRPr="00813D19">
        <w:rPr>
          <w:color w:val="000000" w:themeColor="text1"/>
          <w:lang w:val="en-US"/>
        </w:rPr>
        <w:t>,</w:t>
      </w:r>
      <w:r w:rsidR="00CC29E0" w:rsidRPr="00813D19">
        <w:rPr>
          <w:color w:val="000000" w:themeColor="text1"/>
          <w:lang w:val="en-US"/>
        </w:rPr>
        <w:t xml:space="preserve"> the Committee of the Second Protocol to the 1954 Convention </w:t>
      </w:r>
      <w:r w:rsidR="006657C6">
        <w:rPr>
          <w:color w:val="000000" w:themeColor="text1"/>
          <w:lang w:val="en-US"/>
        </w:rPr>
        <w:t xml:space="preserve">had </w:t>
      </w:r>
      <w:r w:rsidR="00CC29E0" w:rsidRPr="00813D19">
        <w:rPr>
          <w:color w:val="000000" w:themeColor="text1"/>
          <w:lang w:val="en-US"/>
        </w:rPr>
        <w:t xml:space="preserve">adopted decisions committing </w:t>
      </w:r>
      <w:r w:rsidR="00907998" w:rsidRPr="00813D19">
        <w:rPr>
          <w:color w:val="000000" w:themeColor="text1"/>
          <w:lang w:val="en-US"/>
        </w:rPr>
        <w:t xml:space="preserve">it </w:t>
      </w:r>
      <w:r w:rsidR="00CC29E0" w:rsidRPr="00813D19">
        <w:rPr>
          <w:color w:val="000000" w:themeColor="text1"/>
          <w:lang w:val="en-US"/>
        </w:rPr>
        <w:t>to fostering such synergies</w:t>
      </w:r>
      <w:r w:rsidR="00907998" w:rsidRPr="00813D19">
        <w:rPr>
          <w:color w:val="000000" w:themeColor="text1"/>
          <w:lang w:val="en-US"/>
        </w:rPr>
        <w:t>,</w:t>
      </w:r>
      <w:r w:rsidR="00CC29E0" w:rsidRPr="00813D19">
        <w:rPr>
          <w:color w:val="000000" w:themeColor="text1"/>
          <w:lang w:val="en-US"/>
        </w:rPr>
        <w:t xml:space="preserve"> particular</w:t>
      </w:r>
      <w:r w:rsidR="00907998" w:rsidRPr="00813D19">
        <w:rPr>
          <w:color w:val="000000" w:themeColor="text1"/>
          <w:lang w:val="en-US"/>
        </w:rPr>
        <w:t>ly</w:t>
      </w:r>
      <w:r w:rsidR="00634D0B">
        <w:rPr>
          <w:color w:val="000000" w:themeColor="text1"/>
          <w:lang w:val="en-US"/>
        </w:rPr>
        <w:t xml:space="preserve"> with the 2003 Convention.</w:t>
      </w:r>
    </w:p>
    <w:p w14:paraId="75C25AD8" w14:textId="5FEEC492" w:rsidR="00CC29E0" w:rsidRPr="00813D19" w:rsidRDefault="00456ED1" w:rsidP="00AC5FD5">
      <w:pPr>
        <w:pStyle w:val="Orateurengris"/>
        <w:spacing w:before="120"/>
        <w:ind w:left="709" w:hanging="709"/>
        <w:rPr>
          <w:color w:val="000000" w:themeColor="text1"/>
          <w:lang w:val="en-US"/>
        </w:rPr>
      </w:pPr>
      <w:r w:rsidRPr="00813D19">
        <w:rPr>
          <w:color w:val="000000" w:themeColor="text1"/>
          <w:lang w:val="en-US"/>
        </w:rPr>
        <w:t>Responding to the previous speaker, t</w:t>
      </w:r>
      <w:r w:rsidR="00215975" w:rsidRPr="00813D19">
        <w:rPr>
          <w:color w:val="000000" w:themeColor="text1"/>
          <w:lang w:val="en-US"/>
        </w:rPr>
        <w:t xml:space="preserve">he </w:t>
      </w:r>
      <w:r w:rsidR="00215975" w:rsidRPr="00813D19">
        <w:rPr>
          <w:b/>
          <w:color w:val="000000" w:themeColor="text1"/>
          <w:lang w:val="en-US"/>
        </w:rPr>
        <w:t>delegation of Belgium</w:t>
      </w:r>
      <w:r w:rsidR="004F2719" w:rsidRPr="00813D19">
        <w:rPr>
          <w:color w:val="000000" w:themeColor="text1"/>
          <w:lang w:val="en-US"/>
        </w:rPr>
        <w:t xml:space="preserve">—as </w:t>
      </w:r>
      <w:r w:rsidR="006657C6">
        <w:rPr>
          <w:color w:val="000000" w:themeColor="text1"/>
          <w:lang w:val="en-US"/>
        </w:rPr>
        <w:t xml:space="preserve">a </w:t>
      </w:r>
      <w:r w:rsidR="003E7512">
        <w:rPr>
          <w:color w:val="000000" w:themeColor="text1"/>
          <w:lang w:val="en-US"/>
        </w:rPr>
        <w:t>M</w:t>
      </w:r>
      <w:r w:rsidR="00CC29E0" w:rsidRPr="00813D19">
        <w:rPr>
          <w:color w:val="000000" w:themeColor="text1"/>
          <w:lang w:val="en-US"/>
        </w:rPr>
        <w:t xml:space="preserve">ember of </w:t>
      </w:r>
      <w:r w:rsidR="004F2719" w:rsidRPr="00813D19">
        <w:rPr>
          <w:color w:val="000000" w:themeColor="text1"/>
          <w:lang w:val="en-US"/>
        </w:rPr>
        <w:t xml:space="preserve">the Committee of </w:t>
      </w:r>
      <w:r w:rsidR="00CC29E0" w:rsidRPr="00813D19">
        <w:rPr>
          <w:color w:val="000000" w:themeColor="text1"/>
          <w:lang w:val="en-US"/>
        </w:rPr>
        <w:t xml:space="preserve">the Hague Convention </w:t>
      </w:r>
      <w:r w:rsidR="004F2719" w:rsidRPr="00813D19">
        <w:rPr>
          <w:color w:val="000000" w:themeColor="text1"/>
          <w:lang w:val="en-US"/>
        </w:rPr>
        <w:t>and its S</w:t>
      </w:r>
      <w:r w:rsidR="00CC29E0" w:rsidRPr="00813D19">
        <w:rPr>
          <w:color w:val="000000" w:themeColor="text1"/>
          <w:lang w:val="en-US"/>
        </w:rPr>
        <w:t xml:space="preserve">econd </w:t>
      </w:r>
      <w:r w:rsidR="004F2719" w:rsidRPr="00813D19">
        <w:rPr>
          <w:color w:val="000000" w:themeColor="text1"/>
          <w:lang w:val="en-US"/>
        </w:rPr>
        <w:t>Protocol—</w:t>
      </w:r>
      <w:r w:rsidR="00813D19" w:rsidRPr="00813D19">
        <w:rPr>
          <w:color w:val="000000" w:themeColor="text1"/>
          <w:lang w:val="en-US"/>
        </w:rPr>
        <w:t>wholeheartedly</w:t>
      </w:r>
      <w:r w:rsidR="004F2719" w:rsidRPr="00813D19">
        <w:rPr>
          <w:color w:val="000000" w:themeColor="text1"/>
          <w:lang w:val="en-US"/>
        </w:rPr>
        <w:t xml:space="preserve"> agree</w:t>
      </w:r>
      <w:r w:rsidRPr="00813D19">
        <w:rPr>
          <w:color w:val="000000" w:themeColor="text1"/>
          <w:lang w:val="en-US"/>
        </w:rPr>
        <w:t>d</w:t>
      </w:r>
      <w:r w:rsidR="004F2719" w:rsidRPr="00813D19">
        <w:rPr>
          <w:color w:val="000000" w:themeColor="text1"/>
          <w:lang w:val="en-US"/>
        </w:rPr>
        <w:t xml:space="preserve"> with all the interventions that </w:t>
      </w:r>
      <w:r w:rsidR="001947A0" w:rsidRPr="00813D19">
        <w:rPr>
          <w:color w:val="000000" w:themeColor="text1"/>
          <w:lang w:val="en-US"/>
        </w:rPr>
        <w:t xml:space="preserve">sought </w:t>
      </w:r>
      <w:r w:rsidR="004F2719" w:rsidRPr="00813D19">
        <w:rPr>
          <w:color w:val="000000" w:themeColor="text1"/>
          <w:lang w:val="en-US"/>
        </w:rPr>
        <w:t>to foster</w:t>
      </w:r>
      <w:r w:rsidR="001947A0" w:rsidRPr="00813D19">
        <w:rPr>
          <w:color w:val="000000" w:themeColor="text1"/>
          <w:lang w:val="en-US"/>
        </w:rPr>
        <w:t xml:space="preserve"> greater synergies between the C</w:t>
      </w:r>
      <w:r w:rsidR="004F2719" w:rsidRPr="00813D19">
        <w:rPr>
          <w:color w:val="000000" w:themeColor="text1"/>
          <w:lang w:val="en-US"/>
        </w:rPr>
        <w:t xml:space="preserve">onventions, such as </w:t>
      </w:r>
      <w:r w:rsidR="00CC29E0" w:rsidRPr="00813D19">
        <w:rPr>
          <w:color w:val="000000" w:themeColor="text1"/>
          <w:lang w:val="en-US"/>
        </w:rPr>
        <w:t xml:space="preserve">the World Heritage Convention, the Hague Convention, </w:t>
      </w:r>
      <w:r w:rsidR="004F2719" w:rsidRPr="00813D19">
        <w:rPr>
          <w:color w:val="000000" w:themeColor="text1"/>
          <w:lang w:val="en-US"/>
        </w:rPr>
        <w:t xml:space="preserve">the 1970 </w:t>
      </w:r>
      <w:r w:rsidR="00CC29E0" w:rsidRPr="00813D19">
        <w:rPr>
          <w:color w:val="000000" w:themeColor="text1"/>
          <w:lang w:val="en-US"/>
        </w:rPr>
        <w:t xml:space="preserve">Convention and </w:t>
      </w:r>
      <w:r w:rsidR="004F2719" w:rsidRPr="00813D19">
        <w:rPr>
          <w:color w:val="000000" w:themeColor="text1"/>
          <w:lang w:val="en-US"/>
        </w:rPr>
        <w:t xml:space="preserve">the 2003 </w:t>
      </w:r>
      <w:r w:rsidR="00CC29E0" w:rsidRPr="00813D19">
        <w:rPr>
          <w:color w:val="000000" w:themeColor="text1"/>
          <w:lang w:val="en-US"/>
        </w:rPr>
        <w:t xml:space="preserve">Convention, to </w:t>
      </w:r>
      <w:r w:rsidR="004F2719" w:rsidRPr="00813D19">
        <w:rPr>
          <w:color w:val="000000" w:themeColor="text1"/>
          <w:lang w:val="en-US"/>
        </w:rPr>
        <w:t xml:space="preserve">bring together all </w:t>
      </w:r>
      <w:r w:rsidR="00CC29E0" w:rsidRPr="00813D19">
        <w:rPr>
          <w:color w:val="000000" w:themeColor="text1"/>
          <w:lang w:val="en-US"/>
        </w:rPr>
        <w:t xml:space="preserve">the actors in the field, including in Belgium or within the </w:t>
      </w:r>
      <w:r w:rsidR="00AF0AD8" w:rsidRPr="00813D19">
        <w:rPr>
          <w:color w:val="000000" w:themeColor="text1"/>
          <w:lang w:val="en-US"/>
        </w:rPr>
        <w:t xml:space="preserve">Belgium </w:t>
      </w:r>
      <w:r w:rsidR="00CC29E0" w:rsidRPr="00813D19">
        <w:rPr>
          <w:color w:val="000000" w:themeColor="text1"/>
          <w:lang w:val="en-US"/>
        </w:rPr>
        <w:t xml:space="preserve">Interministerial Commission </w:t>
      </w:r>
      <w:r w:rsidR="00AF0AD8" w:rsidRPr="00813D19">
        <w:rPr>
          <w:color w:val="000000" w:themeColor="text1"/>
          <w:lang w:val="en-US"/>
        </w:rPr>
        <w:t xml:space="preserve">for </w:t>
      </w:r>
      <w:r w:rsidR="00CC29E0" w:rsidRPr="00813D19">
        <w:rPr>
          <w:color w:val="000000" w:themeColor="text1"/>
          <w:lang w:val="en-US"/>
        </w:rPr>
        <w:t>Humanitarian Law</w:t>
      </w:r>
      <w:r w:rsidR="00AF0AD8" w:rsidRPr="00813D19">
        <w:rPr>
          <w:color w:val="000000" w:themeColor="text1"/>
          <w:lang w:val="en-US"/>
        </w:rPr>
        <w:t xml:space="preserve"> (ICHR)</w:t>
      </w:r>
      <w:r w:rsidR="00CC29E0" w:rsidRPr="00813D19">
        <w:rPr>
          <w:color w:val="000000" w:themeColor="text1"/>
          <w:lang w:val="en-US"/>
        </w:rPr>
        <w:t xml:space="preserve"> </w:t>
      </w:r>
      <w:r w:rsidR="001947A0" w:rsidRPr="00813D19">
        <w:rPr>
          <w:color w:val="000000" w:themeColor="text1"/>
          <w:lang w:val="en-US"/>
        </w:rPr>
        <w:t xml:space="preserve">that </w:t>
      </w:r>
      <w:r w:rsidR="00CC29E0" w:rsidRPr="00813D19">
        <w:rPr>
          <w:color w:val="000000" w:themeColor="text1"/>
          <w:lang w:val="en-US"/>
        </w:rPr>
        <w:t xml:space="preserve">tries to </w:t>
      </w:r>
      <w:r w:rsidR="00AF0AD8" w:rsidRPr="00813D19">
        <w:rPr>
          <w:color w:val="000000" w:themeColor="text1"/>
          <w:lang w:val="en-US"/>
        </w:rPr>
        <w:t xml:space="preserve">bring </w:t>
      </w:r>
      <w:r w:rsidR="00CC29E0" w:rsidRPr="00813D19">
        <w:rPr>
          <w:color w:val="000000" w:themeColor="text1"/>
          <w:lang w:val="en-US"/>
        </w:rPr>
        <w:t xml:space="preserve">all </w:t>
      </w:r>
      <w:r w:rsidR="00AF0AD8" w:rsidRPr="00813D19">
        <w:rPr>
          <w:color w:val="000000" w:themeColor="text1"/>
          <w:lang w:val="en-US"/>
        </w:rPr>
        <w:t xml:space="preserve">these </w:t>
      </w:r>
      <w:r w:rsidR="00CC29E0" w:rsidRPr="00813D19">
        <w:rPr>
          <w:color w:val="000000" w:themeColor="text1"/>
          <w:lang w:val="en-US"/>
        </w:rPr>
        <w:t xml:space="preserve">aspects into consideration. </w:t>
      </w:r>
      <w:r w:rsidR="00AF0AD8" w:rsidRPr="00813D19">
        <w:rPr>
          <w:color w:val="000000" w:themeColor="text1"/>
          <w:lang w:val="en-US"/>
        </w:rPr>
        <w:t>The delegation believed that this type of organization</w:t>
      </w:r>
      <w:r w:rsidR="00CC29E0" w:rsidRPr="00813D19">
        <w:rPr>
          <w:color w:val="000000" w:themeColor="text1"/>
          <w:lang w:val="en-US"/>
        </w:rPr>
        <w:t xml:space="preserve"> </w:t>
      </w:r>
      <w:r w:rsidR="00AF0AD8" w:rsidRPr="00813D19">
        <w:rPr>
          <w:color w:val="000000" w:themeColor="text1"/>
          <w:lang w:val="en-US"/>
        </w:rPr>
        <w:t xml:space="preserve">could </w:t>
      </w:r>
      <w:r w:rsidR="00CC29E0" w:rsidRPr="00813D19">
        <w:rPr>
          <w:color w:val="000000" w:themeColor="text1"/>
          <w:lang w:val="en-US"/>
        </w:rPr>
        <w:t xml:space="preserve">exist in other countries so that all heritage stakeholders, including </w:t>
      </w:r>
      <w:r w:rsidR="00AF0AD8" w:rsidRPr="00813D19">
        <w:rPr>
          <w:color w:val="000000" w:themeColor="text1"/>
          <w:lang w:val="en-US"/>
        </w:rPr>
        <w:t xml:space="preserve">at </w:t>
      </w:r>
      <w:r w:rsidR="00CC29E0" w:rsidRPr="00813D19">
        <w:rPr>
          <w:color w:val="000000" w:themeColor="text1"/>
          <w:lang w:val="en-US"/>
        </w:rPr>
        <w:t>the humanit</w:t>
      </w:r>
      <w:r w:rsidR="00AF0AD8" w:rsidRPr="00813D19">
        <w:rPr>
          <w:color w:val="000000" w:themeColor="text1"/>
          <w:lang w:val="en-US"/>
        </w:rPr>
        <w:t xml:space="preserve">arian level, </w:t>
      </w:r>
      <w:r w:rsidR="006657C6" w:rsidRPr="00813D19">
        <w:rPr>
          <w:color w:val="000000" w:themeColor="text1"/>
          <w:lang w:val="en-US"/>
        </w:rPr>
        <w:t>c</w:t>
      </w:r>
      <w:r w:rsidR="006657C6">
        <w:rPr>
          <w:color w:val="000000" w:themeColor="text1"/>
          <w:lang w:val="en-US"/>
        </w:rPr>
        <w:t xml:space="preserve">ould </w:t>
      </w:r>
      <w:r w:rsidR="00AF0AD8" w:rsidRPr="00813D19">
        <w:rPr>
          <w:color w:val="000000" w:themeColor="text1"/>
          <w:lang w:val="en-US"/>
        </w:rPr>
        <w:t xml:space="preserve">come together, and it fully </w:t>
      </w:r>
      <w:r w:rsidR="00CC29E0" w:rsidRPr="00813D19">
        <w:rPr>
          <w:color w:val="000000" w:themeColor="text1"/>
          <w:lang w:val="en-US"/>
        </w:rPr>
        <w:t>support</w:t>
      </w:r>
      <w:r w:rsidR="00AF0AD8" w:rsidRPr="00813D19">
        <w:rPr>
          <w:color w:val="000000" w:themeColor="text1"/>
          <w:lang w:val="en-US"/>
        </w:rPr>
        <w:t>ed this type of initiative.</w:t>
      </w:r>
    </w:p>
    <w:p w14:paraId="5CD78562" w14:textId="6F986003" w:rsidR="00862D9B" w:rsidRPr="00813D19" w:rsidRDefault="00215975"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00A7251C" w:rsidRPr="00813D19">
        <w:rPr>
          <w:b/>
          <w:color w:val="000000" w:themeColor="text1"/>
          <w:lang w:val="en-US"/>
        </w:rPr>
        <w:t xml:space="preserve"> </w:t>
      </w:r>
      <w:r w:rsidR="00AF0AD8" w:rsidRPr="00813D19">
        <w:rPr>
          <w:bCs/>
          <w:lang w:val="en-US"/>
        </w:rPr>
        <w:t>thanked the speakers for the</w:t>
      </w:r>
      <w:r w:rsidR="006657C6">
        <w:rPr>
          <w:bCs/>
          <w:lang w:val="en-US"/>
        </w:rPr>
        <w:t>ir</w:t>
      </w:r>
      <w:r w:rsidR="00AF0AD8" w:rsidRPr="00813D19">
        <w:rPr>
          <w:bCs/>
          <w:lang w:val="en-US"/>
        </w:rPr>
        <w:t xml:space="preserve"> comments, adding that it was </w:t>
      </w:r>
      <w:r w:rsidR="00A7251C" w:rsidRPr="00813D19">
        <w:rPr>
          <w:bCs/>
          <w:lang w:val="en-US"/>
        </w:rPr>
        <w:t xml:space="preserve">important to understand </w:t>
      </w:r>
      <w:r w:rsidR="00AF0AD8" w:rsidRPr="00813D19">
        <w:rPr>
          <w:bCs/>
          <w:lang w:val="en-US"/>
        </w:rPr>
        <w:t xml:space="preserve">that </w:t>
      </w:r>
      <w:r w:rsidR="00A7251C" w:rsidRPr="00813D19">
        <w:rPr>
          <w:bCs/>
          <w:lang w:val="en-US"/>
        </w:rPr>
        <w:t xml:space="preserve">the resources available to UNESCO </w:t>
      </w:r>
      <w:r w:rsidR="00AF0AD8" w:rsidRPr="00813D19">
        <w:rPr>
          <w:bCs/>
          <w:lang w:val="en-US"/>
        </w:rPr>
        <w:t>were not unlimited. T</w:t>
      </w:r>
      <w:r w:rsidR="00A7251C" w:rsidRPr="00813D19">
        <w:rPr>
          <w:bCs/>
          <w:lang w:val="en-US"/>
        </w:rPr>
        <w:t xml:space="preserve">he best way </w:t>
      </w:r>
      <w:r w:rsidR="00AF0AD8" w:rsidRPr="00813D19">
        <w:rPr>
          <w:bCs/>
          <w:lang w:val="en-US"/>
        </w:rPr>
        <w:t xml:space="preserve">was </w:t>
      </w:r>
      <w:r w:rsidR="00A7251C" w:rsidRPr="00813D19">
        <w:rPr>
          <w:bCs/>
          <w:lang w:val="en-US"/>
        </w:rPr>
        <w:t xml:space="preserve">to partner with those who </w:t>
      </w:r>
      <w:r w:rsidR="001947A0" w:rsidRPr="00813D19">
        <w:rPr>
          <w:bCs/>
          <w:lang w:val="en-US"/>
        </w:rPr>
        <w:t>had</w:t>
      </w:r>
      <w:r w:rsidR="00A7251C" w:rsidRPr="00813D19">
        <w:rPr>
          <w:bCs/>
          <w:lang w:val="en-US"/>
        </w:rPr>
        <w:t xml:space="preserve"> the resources and </w:t>
      </w:r>
      <w:r w:rsidR="001947A0" w:rsidRPr="00813D19">
        <w:rPr>
          <w:bCs/>
          <w:lang w:val="en-US"/>
        </w:rPr>
        <w:t xml:space="preserve">who were already </w:t>
      </w:r>
      <w:r w:rsidR="00A7251C" w:rsidRPr="00813D19">
        <w:rPr>
          <w:bCs/>
          <w:lang w:val="en-US"/>
        </w:rPr>
        <w:t xml:space="preserve">working in those areas </w:t>
      </w:r>
      <w:r w:rsidR="00AF0AD8" w:rsidRPr="00813D19">
        <w:rPr>
          <w:bCs/>
          <w:lang w:val="en-US"/>
        </w:rPr>
        <w:t>by making</w:t>
      </w:r>
      <w:r w:rsidR="00A7251C" w:rsidRPr="00813D19">
        <w:rPr>
          <w:bCs/>
          <w:lang w:val="en-US"/>
        </w:rPr>
        <w:t xml:space="preserve"> them aware to integrate intangible cultural heritage into their perspectives, notably </w:t>
      </w:r>
      <w:r w:rsidR="00AF0AD8" w:rsidRPr="00813D19">
        <w:rPr>
          <w:bCs/>
          <w:lang w:val="en-US"/>
        </w:rPr>
        <w:t xml:space="preserve">in </w:t>
      </w:r>
      <w:r w:rsidR="00A7251C" w:rsidRPr="00813D19">
        <w:rPr>
          <w:bCs/>
          <w:lang w:val="en-US"/>
        </w:rPr>
        <w:t>humanitarian situations</w:t>
      </w:r>
      <w:r w:rsidR="00AF0AD8" w:rsidRPr="00813D19">
        <w:rPr>
          <w:bCs/>
          <w:lang w:val="en-US"/>
        </w:rPr>
        <w:t>,</w:t>
      </w:r>
      <w:r w:rsidR="00A7251C" w:rsidRPr="00813D19">
        <w:rPr>
          <w:bCs/>
          <w:lang w:val="en-US"/>
        </w:rPr>
        <w:t xml:space="preserve"> </w:t>
      </w:r>
      <w:r w:rsidR="00AF0AD8" w:rsidRPr="00813D19">
        <w:rPr>
          <w:bCs/>
          <w:lang w:val="en-US"/>
        </w:rPr>
        <w:t xml:space="preserve">but </w:t>
      </w:r>
      <w:r w:rsidR="00A7251C" w:rsidRPr="00813D19">
        <w:rPr>
          <w:bCs/>
          <w:lang w:val="en-US"/>
        </w:rPr>
        <w:t xml:space="preserve">also </w:t>
      </w:r>
      <w:r w:rsidR="00AF0AD8" w:rsidRPr="00813D19">
        <w:rPr>
          <w:bCs/>
          <w:lang w:val="en-US"/>
        </w:rPr>
        <w:t>in situations with refugees</w:t>
      </w:r>
      <w:r w:rsidR="00A7251C" w:rsidRPr="00813D19">
        <w:rPr>
          <w:bCs/>
          <w:lang w:val="en-US"/>
        </w:rPr>
        <w:t xml:space="preserve">, displaced persons or people separated from their places of living. The idea of communication mechanisms was a very interesting </w:t>
      </w:r>
      <w:r w:rsidR="00AF0AD8" w:rsidRPr="00813D19">
        <w:rPr>
          <w:bCs/>
          <w:lang w:val="en-US"/>
        </w:rPr>
        <w:t xml:space="preserve">idea, which could be discussed </w:t>
      </w:r>
      <w:r w:rsidR="00A7251C" w:rsidRPr="00813D19">
        <w:rPr>
          <w:bCs/>
          <w:lang w:val="en-US"/>
        </w:rPr>
        <w:t xml:space="preserve">and </w:t>
      </w:r>
      <w:r w:rsidR="00AF0AD8" w:rsidRPr="00813D19">
        <w:rPr>
          <w:bCs/>
          <w:lang w:val="en-US"/>
        </w:rPr>
        <w:t xml:space="preserve">further </w:t>
      </w:r>
      <w:r w:rsidR="00A7251C" w:rsidRPr="00813D19">
        <w:rPr>
          <w:bCs/>
          <w:lang w:val="en-US"/>
        </w:rPr>
        <w:t xml:space="preserve">elaborated. </w:t>
      </w:r>
      <w:r w:rsidR="00AF0AD8" w:rsidRPr="00813D19">
        <w:rPr>
          <w:bCs/>
          <w:lang w:val="en-US"/>
        </w:rPr>
        <w:t>S</w:t>
      </w:r>
      <w:r w:rsidR="00A7251C" w:rsidRPr="00813D19">
        <w:rPr>
          <w:bCs/>
          <w:lang w:val="en-US"/>
        </w:rPr>
        <w:t>ynergies</w:t>
      </w:r>
      <w:r w:rsidR="00AF0AD8" w:rsidRPr="00813D19">
        <w:rPr>
          <w:bCs/>
          <w:lang w:val="en-US"/>
        </w:rPr>
        <w:t xml:space="preserve"> </w:t>
      </w:r>
      <w:r w:rsidR="00E018B4" w:rsidRPr="00813D19">
        <w:rPr>
          <w:bCs/>
          <w:lang w:val="en-US"/>
        </w:rPr>
        <w:t>w</w:t>
      </w:r>
      <w:r w:rsidR="00E018B4">
        <w:rPr>
          <w:bCs/>
          <w:lang w:val="en-US"/>
        </w:rPr>
        <w:t>ere</w:t>
      </w:r>
      <w:r w:rsidR="00E018B4" w:rsidRPr="00813D19">
        <w:rPr>
          <w:bCs/>
          <w:lang w:val="en-US"/>
        </w:rPr>
        <w:t xml:space="preserve"> </w:t>
      </w:r>
      <w:r w:rsidR="00AF0AD8" w:rsidRPr="00813D19">
        <w:rPr>
          <w:bCs/>
          <w:lang w:val="en-US"/>
        </w:rPr>
        <w:t xml:space="preserve">also mentioned and of course the Secretariat </w:t>
      </w:r>
      <w:r w:rsidR="00E018B4">
        <w:rPr>
          <w:bCs/>
          <w:lang w:val="en-US"/>
        </w:rPr>
        <w:t>was</w:t>
      </w:r>
      <w:r w:rsidR="00E018B4" w:rsidRPr="00813D19">
        <w:rPr>
          <w:bCs/>
          <w:lang w:val="en-US"/>
        </w:rPr>
        <w:t xml:space="preserve"> </w:t>
      </w:r>
      <w:r w:rsidR="00AF0AD8" w:rsidRPr="00813D19">
        <w:rPr>
          <w:bCs/>
          <w:lang w:val="en-US"/>
        </w:rPr>
        <w:t xml:space="preserve">always trying to work </w:t>
      </w:r>
      <w:r w:rsidR="00A7251C" w:rsidRPr="00813D19">
        <w:rPr>
          <w:bCs/>
          <w:lang w:val="en-US"/>
        </w:rPr>
        <w:t>w</w:t>
      </w:r>
      <w:r w:rsidR="007C5574" w:rsidRPr="00813D19">
        <w:rPr>
          <w:bCs/>
          <w:lang w:val="en-US"/>
        </w:rPr>
        <w:t>ith tangible heritage or other C</w:t>
      </w:r>
      <w:r w:rsidR="00A7251C" w:rsidRPr="00813D19">
        <w:rPr>
          <w:bCs/>
          <w:lang w:val="en-US"/>
        </w:rPr>
        <w:t xml:space="preserve">onventions. </w:t>
      </w:r>
      <w:r w:rsidR="00AF0AD8" w:rsidRPr="00813D19">
        <w:rPr>
          <w:bCs/>
          <w:lang w:val="en-US"/>
        </w:rPr>
        <w:t xml:space="preserve">As mentioned by </w:t>
      </w:r>
      <w:r w:rsidR="00A7251C" w:rsidRPr="00813D19">
        <w:rPr>
          <w:bCs/>
          <w:lang w:val="en-US"/>
        </w:rPr>
        <w:t>Cuba</w:t>
      </w:r>
      <w:r w:rsidR="00AF0AD8" w:rsidRPr="00813D19">
        <w:rPr>
          <w:bCs/>
          <w:lang w:val="en-US"/>
        </w:rPr>
        <w:t>,</w:t>
      </w:r>
      <w:r w:rsidR="00A7251C" w:rsidRPr="00813D19">
        <w:rPr>
          <w:bCs/>
          <w:lang w:val="en-US"/>
        </w:rPr>
        <w:t xml:space="preserve"> </w:t>
      </w:r>
      <w:r w:rsidR="00AF0AD8" w:rsidRPr="00813D19">
        <w:rPr>
          <w:bCs/>
          <w:lang w:val="en-US"/>
        </w:rPr>
        <w:t xml:space="preserve">the </w:t>
      </w:r>
      <w:r w:rsidR="00A7251C" w:rsidRPr="00813D19">
        <w:rPr>
          <w:bCs/>
          <w:lang w:val="en-US"/>
        </w:rPr>
        <w:t xml:space="preserve">Action Plan </w:t>
      </w:r>
      <w:r w:rsidR="007C5574" w:rsidRPr="00813D19">
        <w:rPr>
          <w:bCs/>
          <w:lang w:val="en-US"/>
        </w:rPr>
        <w:t>covering all the C</w:t>
      </w:r>
      <w:r w:rsidR="00A7251C" w:rsidRPr="00813D19">
        <w:rPr>
          <w:bCs/>
          <w:lang w:val="en-US"/>
        </w:rPr>
        <w:t xml:space="preserve">onventions </w:t>
      </w:r>
      <w:r w:rsidR="00AF0AD8" w:rsidRPr="00813D19">
        <w:rPr>
          <w:bCs/>
          <w:lang w:val="en-US"/>
        </w:rPr>
        <w:t xml:space="preserve">was </w:t>
      </w:r>
      <w:r w:rsidR="00A7251C" w:rsidRPr="00813D19">
        <w:rPr>
          <w:bCs/>
          <w:lang w:val="en-US"/>
        </w:rPr>
        <w:t xml:space="preserve">adopted by the </w:t>
      </w:r>
      <w:r w:rsidR="00AF0AD8" w:rsidRPr="00813D19">
        <w:rPr>
          <w:bCs/>
          <w:lang w:val="en-US"/>
        </w:rPr>
        <w:t xml:space="preserve">UNESCO </w:t>
      </w:r>
      <w:r w:rsidR="00A7251C" w:rsidRPr="00813D19">
        <w:rPr>
          <w:bCs/>
          <w:lang w:val="en-US"/>
        </w:rPr>
        <w:t>General Conference</w:t>
      </w:r>
      <w:r w:rsidR="00AF0AD8" w:rsidRPr="00813D19">
        <w:rPr>
          <w:bCs/>
          <w:lang w:val="en-US"/>
        </w:rPr>
        <w:t>,</w:t>
      </w:r>
      <w:r w:rsidR="00A7251C" w:rsidRPr="00813D19">
        <w:rPr>
          <w:bCs/>
          <w:lang w:val="en-US"/>
        </w:rPr>
        <w:t xml:space="preserve"> </w:t>
      </w:r>
      <w:r w:rsidR="00AF0AD8" w:rsidRPr="00813D19">
        <w:rPr>
          <w:bCs/>
          <w:lang w:val="en-US"/>
        </w:rPr>
        <w:t xml:space="preserve">which </w:t>
      </w:r>
      <w:r w:rsidR="007C5574" w:rsidRPr="00813D19">
        <w:rPr>
          <w:bCs/>
          <w:lang w:val="en-US"/>
        </w:rPr>
        <w:t xml:space="preserve">sought </w:t>
      </w:r>
      <w:r w:rsidR="00AF0AD8" w:rsidRPr="00813D19">
        <w:rPr>
          <w:bCs/>
          <w:lang w:val="en-US"/>
        </w:rPr>
        <w:t xml:space="preserve">to better integrate </w:t>
      </w:r>
      <w:r w:rsidR="00A7251C" w:rsidRPr="00813D19">
        <w:rPr>
          <w:bCs/>
          <w:lang w:val="en-US"/>
        </w:rPr>
        <w:t xml:space="preserve">working methodologies for the implementation of </w:t>
      </w:r>
      <w:r w:rsidR="00AF0AD8" w:rsidRPr="00813D19">
        <w:rPr>
          <w:bCs/>
          <w:lang w:val="en-US"/>
        </w:rPr>
        <w:t xml:space="preserve">the </w:t>
      </w:r>
      <w:r w:rsidR="00A7251C" w:rsidRPr="00813D19">
        <w:rPr>
          <w:bCs/>
          <w:lang w:val="en-US"/>
        </w:rPr>
        <w:t xml:space="preserve">Action Plan. </w:t>
      </w:r>
      <w:r w:rsidR="00AF0AD8" w:rsidRPr="00813D19">
        <w:rPr>
          <w:bCs/>
          <w:lang w:val="en-US"/>
        </w:rPr>
        <w:t xml:space="preserve">The Secretary conceded that although the Secretariat was </w:t>
      </w:r>
      <w:r w:rsidR="00A7251C" w:rsidRPr="00813D19">
        <w:rPr>
          <w:bCs/>
          <w:lang w:val="en-US"/>
        </w:rPr>
        <w:t>working towards synergies</w:t>
      </w:r>
      <w:r w:rsidR="00AF0AD8" w:rsidRPr="00813D19">
        <w:rPr>
          <w:bCs/>
          <w:lang w:val="en-US"/>
        </w:rPr>
        <w:t>,</w:t>
      </w:r>
      <w:r w:rsidR="00A7251C" w:rsidRPr="00813D19">
        <w:rPr>
          <w:bCs/>
          <w:lang w:val="en-US"/>
        </w:rPr>
        <w:t xml:space="preserve"> intangible heritage was </w:t>
      </w:r>
      <w:r w:rsidR="004E58F6" w:rsidRPr="00813D19">
        <w:rPr>
          <w:bCs/>
          <w:lang w:val="en-US"/>
        </w:rPr>
        <w:t xml:space="preserve">lagging behind </w:t>
      </w:r>
      <w:r w:rsidR="00A7251C" w:rsidRPr="00813D19">
        <w:rPr>
          <w:bCs/>
          <w:lang w:val="en-US"/>
        </w:rPr>
        <w:t>other metho</w:t>
      </w:r>
      <w:r w:rsidR="004E58F6" w:rsidRPr="00813D19">
        <w:rPr>
          <w:bCs/>
          <w:lang w:val="en-US"/>
        </w:rPr>
        <w:t>dologies in terms of intervention</w:t>
      </w:r>
      <w:r w:rsidR="00A7251C" w:rsidRPr="00813D19">
        <w:rPr>
          <w:bCs/>
          <w:lang w:val="en-US"/>
        </w:rPr>
        <w:t xml:space="preserve"> in these situations</w:t>
      </w:r>
      <w:r w:rsidR="004E58F6" w:rsidRPr="00813D19">
        <w:rPr>
          <w:bCs/>
          <w:lang w:val="en-US"/>
        </w:rPr>
        <w:t>,</w:t>
      </w:r>
      <w:r w:rsidR="00A7251C" w:rsidRPr="00813D19">
        <w:rPr>
          <w:bCs/>
          <w:lang w:val="en-US"/>
        </w:rPr>
        <w:t xml:space="preserve"> </w:t>
      </w:r>
      <w:r w:rsidR="004E58F6" w:rsidRPr="00813D19">
        <w:rPr>
          <w:bCs/>
          <w:lang w:val="en-US"/>
        </w:rPr>
        <w:t xml:space="preserve">but that it was </w:t>
      </w:r>
      <w:r w:rsidR="00A7251C" w:rsidRPr="00813D19">
        <w:rPr>
          <w:bCs/>
          <w:lang w:val="en-US"/>
        </w:rPr>
        <w:t xml:space="preserve">moving forward and catching up. </w:t>
      </w:r>
      <w:r w:rsidR="004E58F6" w:rsidRPr="00813D19">
        <w:rPr>
          <w:bCs/>
          <w:lang w:val="en-US"/>
        </w:rPr>
        <w:t xml:space="preserve">Nevertheless, a lot of the answers required </w:t>
      </w:r>
      <w:r w:rsidR="00A7251C" w:rsidRPr="00813D19">
        <w:rPr>
          <w:bCs/>
          <w:lang w:val="en-US"/>
        </w:rPr>
        <w:t>work</w:t>
      </w:r>
      <w:r w:rsidR="004E58F6" w:rsidRPr="00813D19">
        <w:rPr>
          <w:bCs/>
          <w:lang w:val="en-US"/>
        </w:rPr>
        <w:t>ing</w:t>
      </w:r>
      <w:r w:rsidR="00A7251C" w:rsidRPr="00813D19">
        <w:rPr>
          <w:bCs/>
          <w:lang w:val="en-US"/>
        </w:rPr>
        <w:t xml:space="preserve"> with partners</w:t>
      </w:r>
      <w:r w:rsidR="004E58F6" w:rsidRPr="00813D19">
        <w:rPr>
          <w:bCs/>
          <w:lang w:val="en-US"/>
        </w:rPr>
        <w:t>,</w:t>
      </w:r>
      <w:r w:rsidR="00A7251C" w:rsidRPr="00813D19">
        <w:rPr>
          <w:bCs/>
          <w:lang w:val="en-US"/>
        </w:rPr>
        <w:t xml:space="preserve"> </w:t>
      </w:r>
      <w:r w:rsidR="004E58F6" w:rsidRPr="00813D19">
        <w:rPr>
          <w:bCs/>
          <w:lang w:val="en-US"/>
        </w:rPr>
        <w:t xml:space="preserve">whether </w:t>
      </w:r>
      <w:r w:rsidR="00A7251C" w:rsidRPr="00813D19">
        <w:rPr>
          <w:bCs/>
          <w:lang w:val="en-US"/>
        </w:rPr>
        <w:t>NGOs</w:t>
      </w:r>
      <w:r w:rsidR="007C5574" w:rsidRPr="00813D19">
        <w:rPr>
          <w:bCs/>
          <w:lang w:val="en-US"/>
        </w:rPr>
        <w:t xml:space="preserve"> (</w:t>
      </w:r>
      <w:r w:rsidR="004E58F6" w:rsidRPr="00813D19">
        <w:rPr>
          <w:bCs/>
          <w:lang w:val="en-US"/>
        </w:rPr>
        <w:t>which a</w:t>
      </w:r>
      <w:r w:rsidR="007C5574" w:rsidRPr="00813D19">
        <w:rPr>
          <w:bCs/>
          <w:lang w:val="en-US"/>
        </w:rPr>
        <w:t>r</w:t>
      </w:r>
      <w:r w:rsidR="004E58F6" w:rsidRPr="00813D19">
        <w:rPr>
          <w:bCs/>
          <w:lang w:val="en-US"/>
        </w:rPr>
        <w:t xml:space="preserve">e very </w:t>
      </w:r>
      <w:r w:rsidR="00A7251C" w:rsidRPr="00813D19">
        <w:rPr>
          <w:bCs/>
          <w:lang w:val="en-US"/>
        </w:rPr>
        <w:t>important in the field of intangible cultural heritage</w:t>
      </w:r>
      <w:r w:rsidR="007C5574" w:rsidRPr="00813D19">
        <w:rPr>
          <w:bCs/>
          <w:lang w:val="en-US"/>
        </w:rPr>
        <w:t>)</w:t>
      </w:r>
      <w:r w:rsidR="00A7251C" w:rsidRPr="00813D19">
        <w:rPr>
          <w:bCs/>
          <w:lang w:val="en-US"/>
        </w:rPr>
        <w:t xml:space="preserve"> or United Nations humanitarian agencies</w:t>
      </w:r>
      <w:r w:rsidR="004E58F6" w:rsidRPr="00813D19">
        <w:rPr>
          <w:bCs/>
          <w:lang w:val="en-US"/>
        </w:rPr>
        <w:t>.</w:t>
      </w:r>
    </w:p>
    <w:p w14:paraId="2696F75F" w14:textId="43A851CB" w:rsidR="00C63630" w:rsidRPr="00813D19" w:rsidRDefault="004446B3" w:rsidP="00AC5FD5">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Senegal</w:t>
      </w:r>
      <w:r w:rsidR="00A7251C" w:rsidRPr="00813D19">
        <w:rPr>
          <w:b/>
          <w:color w:val="000000" w:themeColor="text1"/>
          <w:lang w:val="en-US"/>
        </w:rPr>
        <w:t xml:space="preserve"> </w:t>
      </w:r>
      <w:r w:rsidR="00C63630" w:rsidRPr="00813D19">
        <w:rPr>
          <w:color w:val="000000" w:themeColor="text1"/>
          <w:lang w:val="en-US"/>
        </w:rPr>
        <w:t>appreciate</w:t>
      </w:r>
      <w:r w:rsidR="00EA2F75" w:rsidRPr="00813D19">
        <w:rPr>
          <w:color w:val="000000" w:themeColor="text1"/>
          <w:lang w:val="en-US"/>
        </w:rPr>
        <w:t>d</w:t>
      </w:r>
      <w:r w:rsidR="00C63630" w:rsidRPr="00813D19">
        <w:rPr>
          <w:color w:val="000000" w:themeColor="text1"/>
          <w:lang w:val="en-US"/>
        </w:rPr>
        <w:t xml:space="preserve"> the relevance of this theme, especially the use of cultural heritage elements </w:t>
      </w:r>
      <w:r w:rsidR="002E12E7" w:rsidRPr="00813D19">
        <w:rPr>
          <w:color w:val="000000" w:themeColor="text1"/>
          <w:lang w:val="en-US"/>
        </w:rPr>
        <w:t xml:space="preserve">for </w:t>
      </w:r>
      <w:r w:rsidR="00C63630" w:rsidRPr="00813D19">
        <w:rPr>
          <w:color w:val="000000" w:themeColor="text1"/>
          <w:lang w:val="en-US"/>
        </w:rPr>
        <w:t xml:space="preserve">conflict resolution. Senegal had experience </w:t>
      </w:r>
      <w:r w:rsidR="00EA2F75" w:rsidRPr="00813D19">
        <w:rPr>
          <w:color w:val="000000" w:themeColor="text1"/>
          <w:lang w:val="en-US"/>
        </w:rPr>
        <w:t>in this regard</w:t>
      </w:r>
      <w:r w:rsidR="00C63630" w:rsidRPr="00813D19">
        <w:rPr>
          <w:color w:val="000000" w:themeColor="text1"/>
          <w:lang w:val="en-US"/>
        </w:rPr>
        <w:t xml:space="preserve"> in </w:t>
      </w:r>
      <w:r w:rsidR="00F07F31" w:rsidRPr="00813D19">
        <w:rPr>
          <w:color w:val="000000" w:themeColor="text1"/>
          <w:lang w:val="en-US"/>
        </w:rPr>
        <w:t>the south</w:t>
      </w:r>
      <w:r w:rsidR="00630394" w:rsidRPr="00813D19">
        <w:rPr>
          <w:color w:val="000000" w:themeColor="text1"/>
          <w:lang w:val="en-US"/>
        </w:rPr>
        <w:t>ern</w:t>
      </w:r>
      <w:r w:rsidR="00EA2F75" w:rsidRPr="00813D19">
        <w:rPr>
          <w:color w:val="000000" w:themeColor="text1"/>
          <w:lang w:val="en-US"/>
        </w:rPr>
        <w:t xml:space="preserve"> region of Casamance that was </w:t>
      </w:r>
      <w:r w:rsidR="005D728C" w:rsidRPr="00813D19">
        <w:rPr>
          <w:color w:val="000000" w:themeColor="text1"/>
          <w:lang w:val="en-US"/>
        </w:rPr>
        <w:t xml:space="preserve">currently under </w:t>
      </w:r>
      <w:r w:rsidR="00EA2F75" w:rsidRPr="00813D19">
        <w:rPr>
          <w:color w:val="000000" w:themeColor="text1"/>
          <w:lang w:val="en-US"/>
        </w:rPr>
        <w:t>conflict.</w:t>
      </w:r>
      <w:r w:rsidR="00C63630" w:rsidRPr="00813D19">
        <w:rPr>
          <w:color w:val="000000" w:themeColor="text1"/>
          <w:lang w:val="en-US"/>
        </w:rPr>
        <w:t xml:space="preserve"> </w:t>
      </w:r>
      <w:r w:rsidR="002E12E7" w:rsidRPr="00813D19">
        <w:rPr>
          <w:color w:val="000000" w:themeColor="text1"/>
          <w:lang w:val="en-US"/>
        </w:rPr>
        <w:t>The delegation explained that Senegal had</w:t>
      </w:r>
      <w:r w:rsidR="00C63630" w:rsidRPr="00813D19">
        <w:rPr>
          <w:color w:val="000000" w:themeColor="text1"/>
          <w:lang w:val="en-US"/>
        </w:rPr>
        <w:t xml:space="preserve"> played on the heritage ele</w:t>
      </w:r>
      <w:r w:rsidR="002E12E7" w:rsidRPr="00813D19">
        <w:rPr>
          <w:color w:val="000000" w:themeColor="text1"/>
          <w:lang w:val="en-US"/>
        </w:rPr>
        <w:t xml:space="preserve">ments to </w:t>
      </w:r>
      <w:r w:rsidR="005D728C" w:rsidRPr="00813D19">
        <w:rPr>
          <w:color w:val="000000" w:themeColor="text1"/>
          <w:lang w:val="en-US"/>
        </w:rPr>
        <w:t>pacify</w:t>
      </w:r>
      <w:r w:rsidR="002E12E7" w:rsidRPr="00813D19">
        <w:rPr>
          <w:color w:val="000000" w:themeColor="text1"/>
          <w:lang w:val="en-US"/>
        </w:rPr>
        <w:t xml:space="preserve"> this conflict by </w:t>
      </w:r>
      <w:r w:rsidR="00C63630" w:rsidRPr="00813D19">
        <w:rPr>
          <w:color w:val="000000" w:themeColor="text1"/>
          <w:lang w:val="en-US"/>
        </w:rPr>
        <w:t xml:space="preserve">playing on what is </w:t>
      </w:r>
      <w:r w:rsidR="00F07F31" w:rsidRPr="00813D19">
        <w:rPr>
          <w:color w:val="000000" w:themeColor="text1"/>
          <w:lang w:val="en-US"/>
        </w:rPr>
        <w:t xml:space="preserve">known as the </w:t>
      </w:r>
      <w:r w:rsidR="00C63630" w:rsidRPr="00813D19">
        <w:rPr>
          <w:color w:val="000000" w:themeColor="text1"/>
          <w:lang w:val="en-US"/>
        </w:rPr>
        <w:t xml:space="preserve">joking </w:t>
      </w:r>
      <w:r w:rsidR="00F07F31" w:rsidRPr="00813D19">
        <w:rPr>
          <w:color w:val="000000" w:themeColor="text1"/>
          <w:lang w:val="en-US"/>
        </w:rPr>
        <w:t>kinship</w:t>
      </w:r>
      <w:r w:rsidR="00C63630" w:rsidRPr="00813D19">
        <w:rPr>
          <w:color w:val="000000" w:themeColor="text1"/>
          <w:lang w:val="en-US"/>
        </w:rPr>
        <w:t xml:space="preserve">. </w:t>
      </w:r>
      <w:r w:rsidR="00F07F31" w:rsidRPr="00813D19">
        <w:rPr>
          <w:color w:val="000000" w:themeColor="text1"/>
          <w:lang w:val="en-US"/>
        </w:rPr>
        <w:t>T</w:t>
      </w:r>
      <w:r w:rsidR="00C63630" w:rsidRPr="00813D19">
        <w:rPr>
          <w:color w:val="000000" w:themeColor="text1"/>
          <w:lang w:val="en-US"/>
        </w:rPr>
        <w:t xml:space="preserve">he southern </w:t>
      </w:r>
      <w:r w:rsidR="00630394" w:rsidRPr="00813D19">
        <w:rPr>
          <w:color w:val="000000" w:themeColor="text1"/>
          <w:lang w:val="en-US"/>
        </w:rPr>
        <w:t xml:space="preserve">region </w:t>
      </w:r>
      <w:r w:rsidR="00C63630" w:rsidRPr="00813D19">
        <w:rPr>
          <w:color w:val="000000" w:themeColor="text1"/>
          <w:lang w:val="en-US"/>
        </w:rPr>
        <w:t xml:space="preserve">is </w:t>
      </w:r>
      <w:r w:rsidR="00F07F31" w:rsidRPr="00813D19">
        <w:rPr>
          <w:color w:val="000000" w:themeColor="text1"/>
          <w:lang w:val="en-US"/>
        </w:rPr>
        <w:t xml:space="preserve">home to </w:t>
      </w:r>
      <w:r w:rsidR="00C63630" w:rsidRPr="00813D19">
        <w:rPr>
          <w:color w:val="000000" w:themeColor="text1"/>
          <w:lang w:val="en-US"/>
        </w:rPr>
        <w:t>a majority ethnic group,</w:t>
      </w:r>
      <w:r w:rsidR="00F07F31" w:rsidRPr="00813D19">
        <w:rPr>
          <w:color w:val="000000" w:themeColor="text1"/>
          <w:lang w:val="en-US"/>
        </w:rPr>
        <w:t xml:space="preserve"> the </w:t>
      </w:r>
      <w:r w:rsidR="00C47AB2" w:rsidRPr="00813D19">
        <w:rPr>
          <w:color w:val="000000" w:themeColor="text1"/>
          <w:lang w:val="en-US"/>
        </w:rPr>
        <w:t>Diola</w:t>
      </w:r>
      <w:r w:rsidR="00F07F31" w:rsidRPr="00813D19">
        <w:rPr>
          <w:color w:val="000000" w:themeColor="text1"/>
          <w:lang w:val="en-US"/>
        </w:rPr>
        <w:t xml:space="preserve">. This </w:t>
      </w:r>
      <w:r w:rsidR="00C47AB2" w:rsidRPr="00813D19">
        <w:rPr>
          <w:color w:val="000000" w:themeColor="text1"/>
          <w:lang w:val="en-US"/>
        </w:rPr>
        <w:t xml:space="preserve">Diola </w:t>
      </w:r>
      <w:r w:rsidR="00C63630" w:rsidRPr="00813D19">
        <w:rPr>
          <w:color w:val="000000" w:themeColor="text1"/>
          <w:lang w:val="en-US"/>
        </w:rPr>
        <w:t xml:space="preserve">ethnic group is a joking cousin of another ethnic group </w:t>
      </w:r>
      <w:r w:rsidR="00F07F31" w:rsidRPr="00813D19">
        <w:rPr>
          <w:color w:val="000000" w:themeColor="text1"/>
          <w:lang w:val="en-US"/>
        </w:rPr>
        <w:t xml:space="preserve">in </w:t>
      </w:r>
      <w:r w:rsidR="00C63630" w:rsidRPr="00813D19">
        <w:rPr>
          <w:color w:val="000000" w:themeColor="text1"/>
          <w:lang w:val="en-US"/>
        </w:rPr>
        <w:t xml:space="preserve">Senegal called </w:t>
      </w:r>
      <w:r w:rsidR="00C47AB2" w:rsidRPr="00813D19">
        <w:rPr>
          <w:color w:val="000000" w:themeColor="text1"/>
          <w:lang w:val="en-US"/>
        </w:rPr>
        <w:t xml:space="preserve">the </w:t>
      </w:r>
      <w:r w:rsidR="00C63630" w:rsidRPr="00813D19">
        <w:rPr>
          <w:color w:val="000000" w:themeColor="text1"/>
          <w:lang w:val="en-US"/>
        </w:rPr>
        <w:t xml:space="preserve">Serer, </w:t>
      </w:r>
      <w:r w:rsidR="00C47AB2" w:rsidRPr="00813D19">
        <w:rPr>
          <w:color w:val="000000" w:themeColor="text1"/>
          <w:lang w:val="en-US"/>
        </w:rPr>
        <w:t>the ethnic group</w:t>
      </w:r>
      <w:r w:rsidR="00C63630" w:rsidRPr="00813D19">
        <w:rPr>
          <w:color w:val="000000" w:themeColor="text1"/>
          <w:lang w:val="en-US"/>
        </w:rPr>
        <w:t xml:space="preserve"> of Léopold Sédar Senghor. </w:t>
      </w:r>
      <w:r w:rsidR="00C47AB2" w:rsidRPr="00813D19">
        <w:rPr>
          <w:color w:val="000000" w:themeColor="text1"/>
          <w:lang w:val="en-US"/>
        </w:rPr>
        <w:t>T</w:t>
      </w:r>
      <w:r w:rsidR="005D728C" w:rsidRPr="00813D19">
        <w:rPr>
          <w:color w:val="000000" w:themeColor="text1"/>
          <w:lang w:val="en-US"/>
        </w:rPr>
        <w:t>he State of Senegal plays</w:t>
      </w:r>
      <w:r w:rsidR="00C63630" w:rsidRPr="00813D19">
        <w:rPr>
          <w:color w:val="000000" w:themeColor="text1"/>
          <w:lang w:val="en-US"/>
        </w:rPr>
        <w:t xml:space="preserve"> on this joking </w:t>
      </w:r>
      <w:r w:rsidR="00C47AB2" w:rsidRPr="00813D19">
        <w:rPr>
          <w:color w:val="000000" w:themeColor="text1"/>
          <w:lang w:val="en-US"/>
        </w:rPr>
        <w:t>kinship</w:t>
      </w:r>
      <w:r w:rsidR="00C63630" w:rsidRPr="00813D19">
        <w:rPr>
          <w:color w:val="000000" w:themeColor="text1"/>
          <w:lang w:val="en-US"/>
        </w:rPr>
        <w:t xml:space="preserve"> because </w:t>
      </w:r>
      <w:r w:rsidR="005D728C" w:rsidRPr="00813D19">
        <w:rPr>
          <w:color w:val="000000" w:themeColor="text1"/>
          <w:lang w:val="en-US"/>
        </w:rPr>
        <w:t xml:space="preserve">it is known that </w:t>
      </w:r>
      <w:r w:rsidR="00C63630" w:rsidRPr="00813D19">
        <w:rPr>
          <w:color w:val="000000" w:themeColor="text1"/>
          <w:lang w:val="en-US"/>
        </w:rPr>
        <w:t xml:space="preserve">a Diola </w:t>
      </w:r>
      <w:r w:rsidR="00C47AB2" w:rsidRPr="00813D19">
        <w:rPr>
          <w:color w:val="000000" w:themeColor="text1"/>
          <w:lang w:val="en-US"/>
        </w:rPr>
        <w:t xml:space="preserve">would </w:t>
      </w:r>
      <w:r w:rsidR="005D728C" w:rsidRPr="00813D19">
        <w:rPr>
          <w:color w:val="000000" w:themeColor="text1"/>
          <w:lang w:val="en-US"/>
        </w:rPr>
        <w:t>never hurt a Serer</w:t>
      </w:r>
      <w:r w:rsidR="00C63630" w:rsidRPr="00813D19">
        <w:rPr>
          <w:color w:val="000000" w:themeColor="text1"/>
          <w:lang w:val="en-US"/>
        </w:rPr>
        <w:t xml:space="preserve"> and </w:t>
      </w:r>
      <w:r w:rsidR="00C47AB2" w:rsidRPr="00813D19">
        <w:rPr>
          <w:color w:val="000000" w:themeColor="text1"/>
          <w:lang w:val="en-US"/>
        </w:rPr>
        <w:t xml:space="preserve">vice versa. </w:t>
      </w:r>
      <w:r w:rsidR="00C63630" w:rsidRPr="00813D19">
        <w:rPr>
          <w:color w:val="000000" w:themeColor="text1"/>
          <w:lang w:val="en-US"/>
        </w:rPr>
        <w:t xml:space="preserve">This is why negotiations to </w:t>
      </w:r>
      <w:r w:rsidR="00C47AB2" w:rsidRPr="00813D19">
        <w:rPr>
          <w:color w:val="000000" w:themeColor="text1"/>
          <w:lang w:val="en-US"/>
        </w:rPr>
        <w:t xml:space="preserve">settle </w:t>
      </w:r>
      <w:r w:rsidR="00C63630" w:rsidRPr="00813D19">
        <w:rPr>
          <w:color w:val="000000" w:themeColor="text1"/>
          <w:lang w:val="en-US"/>
        </w:rPr>
        <w:t xml:space="preserve">the conflict were regularly </w:t>
      </w:r>
      <w:r w:rsidR="00A17BFB" w:rsidRPr="00813D19">
        <w:rPr>
          <w:color w:val="000000" w:themeColor="text1"/>
          <w:lang w:val="en-US"/>
        </w:rPr>
        <w:t>held in Serer areas</w:t>
      </w:r>
      <w:r w:rsidR="005D728C" w:rsidRPr="00813D19">
        <w:rPr>
          <w:color w:val="000000" w:themeColor="text1"/>
          <w:lang w:val="en-US"/>
        </w:rPr>
        <w:t>.</w:t>
      </w:r>
      <w:r w:rsidR="00A17BFB" w:rsidRPr="00813D19">
        <w:rPr>
          <w:color w:val="000000" w:themeColor="text1"/>
          <w:lang w:val="en-US"/>
        </w:rPr>
        <w:t xml:space="preserve"> </w:t>
      </w:r>
      <w:r w:rsidR="005D728C" w:rsidRPr="00813D19">
        <w:rPr>
          <w:color w:val="000000" w:themeColor="text1"/>
          <w:lang w:val="en-US"/>
        </w:rPr>
        <w:t xml:space="preserve">In this way, </w:t>
      </w:r>
      <w:r w:rsidR="00A17BFB" w:rsidRPr="00813D19">
        <w:rPr>
          <w:color w:val="000000" w:themeColor="text1"/>
          <w:lang w:val="en-US"/>
        </w:rPr>
        <w:t xml:space="preserve">an element of intangible cultural heritage was used to ease </w:t>
      </w:r>
      <w:r w:rsidR="00C63630" w:rsidRPr="00813D19">
        <w:rPr>
          <w:color w:val="000000" w:themeColor="text1"/>
          <w:lang w:val="en-US"/>
        </w:rPr>
        <w:t>the conflict in Casamance. A</w:t>
      </w:r>
      <w:r w:rsidR="005D728C" w:rsidRPr="00813D19">
        <w:rPr>
          <w:color w:val="000000" w:themeColor="text1"/>
          <w:lang w:val="en-US"/>
        </w:rPr>
        <w:t>nother</w:t>
      </w:r>
      <w:r w:rsidR="00C63630" w:rsidRPr="00813D19">
        <w:rPr>
          <w:color w:val="000000" w:themeColor="text1"/>
          <w:lang w:val="en-US"/>
        </w:rPr>
        <w:t xml:space="preserve"> </w:t>
      </w:r>
      <w:r w:rsidR="005D728C" w:rsidRPr="00813D19">
        <w:rPr>
          <w:color w:val="000000" w:themeColor="text1"/>
          <w:lang w:val="en-US"/>
        </w:rPr>
        <w:t>aspect that explained</w:t>
      </w:r>
      <w:r w:rsidR="00C63630" w:rsidRPr="00813D19">
        <w:rPr>
          <w:color w:val="000000" w:themeColor="text1"/>
          <w:lang w:val="en-US"/>
        </w:rPr>
        <w:t xml:space="preserve"> the pea</w:t>
      </w:r>
      <w:r w:rsidR="005D728C" w:rsidRPr="00813D19">
        <w:rPr>
          <w:color w:val="000000" w:themeColor="text1"/>
          <w:lang w:val="en-US"/>
        </w:rPr>
        <w:t>ceful social climate in Senegal</w:t>
      </w:r>
      <w:r w:rsidR="00C63630" w:rsidRPr="00813D19">
        <w:rPr>
          <w:color w:val="000000" w:themeColor="text1"/>
          <w:lang w:val="en-US"/>
        </w:rPr>
        <w:t xml:space="preserve"> </w:t>
      </w:r>
      <w:r w:rsidR="005D728C" w:rsidRPr="00813D19">
        <w:rPr>
          <w:color w:val="000000" w:themeColor="text1"/>
          <w:lang w:val="en-US"/>
        </w:rPr>
        <w:t xml:space="preserve">and </w:t>
      </w:r>
      <w:r w:rsidR="00C63630" w:rsidRPr="00813D19">
        <w:rPr>
          <w:color w:val="000000" w:themeColor="text1"/>
          <w:lang w:val="en-US"/>
        </w:rPr>
        <w:t xml:space="preserve">the use of this joking </w:t>
      </w:r>
      <w:r w:rsidR="005D728C" w:rsidRPr="00813D19">
        <w:rPr>
          <w:color w:val="000000" w:themeColor="text1"/>
          <w:lang w:val="en-US"/>
        </w:rPr>
        <w:t>kinship</w:t>
      </w:r>
      <w:r w:rsidR="00C63630" w:rsidRPr="00813D19">
        <w:rPr>
          <w:color w:val="000000" w:themeColor="text1"/>
          <w:lang w:val="en-US"/>
        </w:rPr>
        <w:t xml:space="preserve"> </w:t>
      </w:r>
      <w:r w:rsidR="005D728C" w:rsidRPr="00813D19">
        <w:rPr>
          <w:color w:val="000000" w:themeColor="text1"/>
          <w:lang w:val="en-US"/>
        </w:rPr>
        <w:t xml:space="preserve">concerned </w:t>
      </w:r>
      <w:r w:rsidR="00C63630" w:rsidRPr="00813D19">
        <w:rPr>
          <w:color w:val="000000" w:themeColor="text1"/>
          <w:lang w:val="en-US"/>
        </w:rPr>
        <w:t xml:space="preserve">religion. In Senegal, there are so-called religious </w:t>
      </w:r>
      <w:r w:rsidR="00630394" w:rsidRPr="00813D19">
        <w:rPr>
          <w:color w:val="000000" w:themeColor="text1"/>
          <w:lang w:val="en-US"/>
        </w:rPr>
        <w:t xml:space="preserve">Islam </w:t>
      </w:r>
      <w:r w:rsidR="00C63630" w:rsidRPr="00813D19">
        <w:rPr>
          <w:color w:val="000000" w:themeColor="text1"/>
          <w:lang w:val="en-US"/>
        </w:rPr>
        <w:t>brotherhoods</w:t>
      </w:r>
      <w:r w:rsidR="005D728C" w:rsidRPr="00813D19">
        <w:rPr>
          <w:color w:val="000000" w:themeColor="text1"/>
          <w:lang w:val="en-US"/>
        </w:rPr>
        <w:t xml:space="preserve">. There is the Tijâniyyah and the Mouridiyya, </w:t>
      </w:r>
      <w:r w:rsidR="00630394" w:rsidRPr="00813D19">
        <w:rPr>
          <w:color w:val="000000" w:themeColor="text1"/>
          <w:lang w:val="en-US"/>
        </w:rPr>
        <w:t>with both sharing</w:t>
      </w:r>
      <w:r w:rsidR="005D728C" w:rsidRPr="00813D19">
        <w:rPr>
          <w:color w:val="000000" w:themeColor="text1"/>
          <w:lang w:val="en-US"/>
        </w:rPr>
        <w:t xml:space="preserve"> a </w:t>
      </w:r>
      <w:r w:rsidR="00C63630" w:rsidRPr="00813D19">
        <w:rPr>
          <w:color w:val="000000" w:themeColor="text1"/>
          <w:lang w:val="en-US"/>
        </w:rPr>
        <w:t xml:space="preserve">joking </w:t>
      </w:r>
      <w:r w:rsidR="005D728C" w:rsidRPr="00813D19">
        <w:rPr>
          <w:color w:val="000000" w:themeColor="text1"/>
          <w:lang w:val="en-US"/>
        </w:rPr>
        <w:t xml:space="preserve">kinship </w:t>
      </w:r>
      <w:r w:rsidR="00C63630" w:rsidRPr="00813D19">
        <w:rPr>
          <w:color w:val="000000" w:themeColor="text1"/>
          <w:lang w:val="en-US"/>
        </w:rPr>
        <w:t xml:space="preserve">that </w:t>
      </w:r>
      <w:r w:rsidR="005D728C" w:rsidRPr="00813D19">
        <w:rPr>
          <w:color w:val="000000" w:themeColor="text1"/>
          <w:lang w:val="en-US"/>
        </w:rPr>
        <w:t xml:space="preserve">helps appease </w:t>
      </w:r>
      <w:r w:rsidR="00C63630" w:rsidRPr="00813D19">
        <w:rPr>
          <w:color w:val="000000" w:themeColor="text1"/>
          <w:lang w:val="en-US"/>
        </w:rPr>
        <w:t xml:space="preserve">the social climate. </w:t>
      </w:r>
      <w:r w:rsidR="005D728C" w:rsidRPr="00813D19">
        <w:rPr>
          <w:color w:val="000000" w:themeColor="text1"/>
          <w:lang w:val="en-US"/>
        </w:rPr>
        <w:t>I</w:t>
      </w:r>
      <w:r w:rsidR="00630394" w:rsidRPr="00813D19">
        <w:rPr>
          <w:color w:val="000000" w:themeColor="text1"/>
          <w:lang w:val="en-US"/>
        </w:rPr>
        <w:t>n</w:t>
      </w:r>
      <w:r w:rsidR="005D728C" w:rsidRPr="00813D19">
        <w:rPr>
          <w:color w:val="000000" w:themeColor="text1"/>
          <w:lang w:val="en-US"/>
        </w:rPr>
        <w:t xml:space="preserve"> this way, Islam also uses </w:t>
      </w:r>
      <w:r w:rsidR="00C63630" w:rsidRPr="00813D19">
        <w:rPr>
          <w:color w:val="000000" w:themeColor="text1"/>
          <w:lang w:val="en-US"/>
        </w:rPr>
        <w:t>c</w:t>
      </w:r>
      <w:r w:rsidR="005D728C" w:rsidRPr="00813D19">
        <w:rPr>
          <w:color w:val="000000" w:themeColor="text1"/>
          <w:lang w:val="en-US"/>
        </w:rPr>
        <w:t xml:space="preserve">ultural heritage in </w:t>
      </w:r>
      <w:r w:rsidR="00630394" w:rsidRPr="00813D19">
        <w:rPr>
          <w:color w:val="000000" w:themeColor="text1"/>
          <w:lang w:val="en-US"/>
        </w:rPr>
        <w:t>Islamo</w:t>
      </w:r>
      <w:r w:rsidR="00C63630" w:rsidRPr="00813D19">
        <w:rPr>
          <w:color w:val="000000" w:themeColor="text1"/>
          <w:lang w:val="en-US"/>
        </w:rPr>
        <w:t xml:space="preserve">-Christian dialogue to fight </w:t>
      </w:r>
      <w:r w:rsidR="005D728C" w:rsidRPr="00813D19">
        <w:rPr>
          <w:color w:val="000000" w:themeColor="text1"/>
          <w:lang w:val="en-US"/>
        </w:rPr>
        <w:t xml:space="preserve">against </w:t>
      </w:r>
      <w:r w:rsidR="00C63630" w:rsidRPr="00813D19">
        <w:rPr>
          <w:color w:val="000000" w:themeColor="text1"/>
          <w:lang w:val="en-US"/>
        </w:rPr>
        <w:t xml:space="preserve">irredentism. Burkina Faso spoke </w:t>
      </w:r>
      <w:r w:rsidR="005D728C" w:rsidRPr="00813D19">
        <w:rPr>
          <w:color w:val="000000" w:themeColor="text1"/>
          <w:lang w:val="en-US"/>
        </w:rPr>
        <w:t xml:space="preserve">earlier </w:t>
      </w:r>
      <w:r w:rsidR="00C63630" w:rsidRPr="00813D19">
        <w:rPr>
          <w:color w:val="000000" w:themeColor="text1"/>
          <w:lang w:val="en-US"/>
        </w:rPr>
        <w:t>about</w:t>
      </w:r>
      <w:r w:rsidR="005D728C" w:rsidRPr="00813D19">
        <w:rPr>
          <w:color w:val="000000" w:themeColor="text1"/>
          <w:lang w:val="en-US"/>
        </w:rPr>
        <w:t xml:space="preserve"> the </w:t>
      </w:r>
      <w:r w:rsidR="00C63630" w:rsidRPr="00813D19">
        <w:rPr>
          <w:color w:val="000000" w:themeColor="text1"/>
          <w:lang w:val="en-US"/>
        </w:rPr>
        <w:t>terrorist movements in the Sahel. In Senegal, t</w:t>
      </w:r>
      <w:r w:rsidR="005D728C" w:rsidRPr="00813D19">
        <w:rPr>
          <w:color w:val="000000" w:themeColor="text1"/>
          <w:lang w:val="en-US"/>
        </w:rPr>
        <w:t>he S</w:t>
      </w:r>
      <w:r w:rsidR="00C63630" w:rsidRPr="00813D19">
        <w:rPr>
          <w:color w:val="000000" w:themeColor="text1"/>
          <w:lang w:val="en-US"/>
        </w:rPr>
        <w:t xml:space="preserve">tate promotes Islamo-Christian dialogue </w:t>
      </w:r>
      <w:r w:rsidR="00630394" w:rsidRPr="00813D19">
        <w:rPr>
          <w:color w:val="000000" w:themeColor="text1"/>
          <w:lang w:val="en-US"/>
        </w:rPr>
        <w:t xml:space="preserve">such that </w:t>
      </w:r>
      <w:r w:rsidR="00C63630" w:rsidRPr="00813D19">
        <w:rPr>
          <w:color w:val="000000" w:themeColor="text1"/>
          <w:lang w:val="en-US"/>
        </w:rPr>
        <w:t xml:space="preserve">when there is a Christian religious festival, it is celebrated throughout </w:t>
      </w:r>
      <w:r w:rsidR="00630394" w:rsidRPr="00813D19">
        <w:rPr>
          <w:color w:val="000000" w:themeColor="text1"/>
          <w:lang w:val="en-US"/>
        </w:rPr>
        <w:t>the country</w:t>
      </w:r>
      <w:r w:rsidR="00C63630" w:rsidRPr="00813D19">
        <w:rPr>
          <w:color w:val="000000" w:themeColor="text1"/>
          <w:lang w:val="en-US"/>
        </w:rPr>
        <w:t xml:space="preserve">, even </w:t>
      </w:r>
      <w:r w:rsidR="00630394" w:rsidRPr="00813D19">
        <w:rPr>
          <w:color w:val="000000" w:themeColor="text1"/>
          <w:lang w:val="en-US"/>
        </w:rPr>
        <w:t xml:space="preserve">among </w:t>
      </w:r>
      <w:r w:rsidR="00C63630" w:rsidRPr="00813D19">
        <w:rPr>
          <w:color w:val="000000" w:themeColor="text1"/>
          <w:lang w:val="en-US"/>
        </w:rPr>
        <w:t xml:space="preserve">Muslims </w:t>
      </w:r>
      <w:r w:rsidR="00630394" w:rsidRPr="00813D19">
        <w:rPr>
          <w:color w:val="000000" w:themeColor="text1"/>
          <w:lang w:val="en-US"/>
        </w:rPr>
        <w:t xml:space="preserve">who also </w:t>
      </w:r>
      <w:r w:rsidR="00C63630" w:rsidRPr="00813D19">
        <w:rPr>
          <w:color w:val="000000" w:themeColor="text1"/>
          <w:lang w:val="en-US"/>
        </w:rPr>
        <w:t xml:space="preserve">associate with </w:t>
      </w:r>
      <w:r w:rsidR="00630394" w:rsidRPr="00813D19">
        <w:rPr>
          <w:color w:val="000000" w:themeColor="text1"/>
          <w:lang w:val="en-US"/>
        </w:rPr>
        <w:t>Christian</w:t>
      </w:r>
      <w:r w:rsidR="00C63630" w:rsidRPr="00813D19">
        <w:rPr>
          <w:color w:val="000000" w:themeColor="text1"/>
          <w:lang w:val="en-US"/>
        </w:rPr>
        <w:t xml:space="preserve"> </w:t>
      </w:r>
      <w:r w:rsidR="00630394" w:rsidRPr="00813D19">
        <w:rPr>
          <w:color w:val="000000" w:themeColor="text1"/>
          <w:lang w:val="en-US"/>
        </w:rPr>
        <w:t>holidays</w:t>
      </w:r>
      <w:r w:rsidR="00C63630" w:rsidRPr="00813D19">
        <w:rPr>
          <w:color w:val="000000" w:themeColor="text1"/>
          <w:lang w:val="en-US"/>
        </w:rPr>
        <w:t xml:space="preserve">, </w:t>
      </w:r>
      <w:r w:rsidR="00630394" w:rsidRPr="00813D19">
        <w:rPr>
          <w:color w:val="000000" w:themeColor="text1"/>
          <w:lang w:val="en-US"/>
        </w:rPr>
        <w:t xml:space="preserve">whether Easter or </w:t>
      </w:r>
      <w:r w:rsidR="00C63630" w:rsidRPr="00813D19">
        <w:rPr>
          <w:color w:val="000000" w:themeColor="text1"/>
          <w:lang w:val="en-US"/>
        </w:rPr>
        <w:t xml:space="preserve">Christmas. In the same way, </w:t>
      </w:r>
      <w:r w:rsidR="00630394" w:rsidRPr="00813D19">
        <w:rPr>
          <w:color w:val="000000" w:themeColor="text1"/>
          <w:lang w:val="en-US"/>
        </w:rPr>
        <w:t xml:space="preserve">on </w:t>
      </w:r>
      <w:r w:rsidR="00C63630" w:rsidRPr="00813D19">
        <w:rPr>
          <w:color w:val="000000" w:themeColor="text1"/>
          <w:lang w:val="en-US"/>
        </w:rPr>
        <w:t xml:space="preserve">a Muslim religious holiday, Christians associate with Muslims to celebrate the event. </w:t>
      </w:r>
      <w:r w:rsidR="00630394" w:rsidRPr="00813D19">
        <w:rPr>
          <w:color w:val="000000" w:themeColor="text1"/>
          <w:lang w:val="en-US"/>
        </w:rPr>
        <w:t xml:space="preserve">Thus, </w:t>
      </w:r>
      <w:r w:rsidR="00C63630" w:rsidRPr="00813D19">
        <w:rPr>
          <w:color w:val="000000" w:themeColor="text1"/>
          <w:lang w:val="en-US"/>
        </w:rPr>
        <w:t xml:space="preserve">there is </w:t>
      </w:r>
      <w:r w:rsidR="00630394" w:rsidRPr="00813D19">
        <w:rPr>
          <w:color w:val="000000" w:themeColor="text1"/>
          <w:lang w:val="en-US"/>
        </w:rPr>
        <w:t>a cl</w:t>
      </w:r>
      <w:r w:rsidR="003029BD" w:rsidRPr="00813D19">
        <w:rPr>
          <w:color w:val="000000" w:themeColor="text1"/>
          <w:lang w:val="en-US"/>
        </w:rPr>
        <w:t>imate of cordiality based on this</w:t>
      </w:r>
      <w:r w:rsidR="00630394" w:rsidRPr="00813D19">
        <w:rPr>
          <w:color w:val="000000" w:themeColor="text1"/>
          <w:lang w:val="en-US"/>
        </w:rPr>
        <w:t xml:space="preserve"> </w:t>
      </w:r>
      <w:r w:rsidR="00C63630" w:rsidRPr="00813D19">
        <w:rPr>
          <w:color w:val="000000" w:themeColor="text1"/>
          <w:lang w:val="en-US"/>
        </w:rPr>
        <w:t xml:space="preserve">joking </w:t>
      </w:r>
      <w:r w:rsidR="00630394" w:rsidRPr="00813D19">
        <w:rPr>
          <w:color w:val="000000" w:themeColor="text1"/>
          <w:lang w:val="en-US"/>
        </w:rPr>
        <w:t>kinship</w:t>
      </w:r>
      <w:r w:rsidR="00C63630" w:rsidRPr="00813D19">
        <w:rPr>
          <w:color w:val="000000" w:themeColor="text1"/>
          <w:lang w:val="en-US"/>
        </w:rPr>
        <w:t xml:space="preserve">, </w:t>
      </w:r>
      <w:r w:rsidR="00630394" w:rsidRPr="00813D19">
        <w:rPr>
          <w:color w:val="000000" w:themeColor="text1"/>
          <w:lang w:val="en-US"/>
        </w:rPr>
        <w:t xml:space="preserve">founded on </w:t>
      </w:r>
      <w:r w:rsidR="00C63630" w:rsidRPr="00813D19">
        <w:rPr>
          <w:color w:val="000000" w:themeColor="text1"/>
          <w:lang w:val="en-US"/>
        </w:rPr>
        <w:t xml:space="preserve">dialogue </w:t>
      </w:r>
      <w:r w:rsidR="00630394" w:rsidRPr="00813D19">
        <w:rPr>
          <w:color w:val="000000" w:themeColor="text1"/>
          <w:lang w:val="en-US"/>
        </w:rPr>
        <w:t xml:space="preserve">between </w:t>
      </w:r>
      <w:r w:rsidR="00C63630" w:rsidRPr="00813D19">
        <w:rPr>
          <w:color w:val="000000" w:themeColor="text1"/>
          <w:lang w:val="en-US"/>
        </w:rPr>
        <w:t xml:space="preserve">cultures </w:t>
      </w:r>
      <w:r w:rsidR="00630394" w:rsidRPr="00813D19">
        <w:rPr>
          <w:color w:val="000000" w:themeColor="text1"/>
          <w:lang w:val="en-US"/>
        </w:rPr>
        <w:t xml:space="preserve">to oppose </w:t>
      </w:r>
      <w:r w:rsidR="00C63630" w:rsidRPr="00813D19">
        <w:rPr>
          <w:color w:val="000000" w:themeColor="text1"/>
          <w:lang w:val="en-US"/>
        </w:rPr>
        <w:t xml:space="preserve">conflicts. Even </w:t>
      </w:r>
      <w:r w:rsidR="00630394" w:rsidRPr="00813D19">
        <w:rPr>
          <w:color w:val="000000" w:themeColor="text1"/>
          <w:lang w:val="en-US"/>
        </w:rPr>
        <w:t>cemeteries i</w:t>
      </w:r>
      <w:r w:rsidR="00C63630" w:rsidRPr="00813D19">
        <w:rPr>
          <w:color w:val="000000" w:themeColor="text1"/>
          <w:lang w:val="en-US"/>
        </w:rPr>
        <w:t xml:space="preserve">n Senegal </w:t>
      </w:r>
      <w:r w:rsidR="00630394" w:rsidRPr="00813D19">
        <w:rPr>
          <w:color w:val="000000" w:themeColor="text1"/>
          <w:lang w:val="en-US"/>
        </w:rPr>
        <w:t xml:space="preserve">are </w:t>
      </w:r>
      <w:r w:rsidR="00C63630" w:rsidRPr="00813D19">
        <w:rPr>
          <w:color w:val="000000" w:themeColor="text1"/>
          <w:lang w:val="en-US"/>
        </w:rPr>
        <w:t xml:space="preserve">mixed </w:t>
      </w:r>
      <w:r w:rsidR="00630394" w:rsidRPr="00813D19">
        <w:rPr>
          <w:color w:val="000000" w:themeColor="text1"/>
          <w:lang w:val="en-US"/>
        </w:rPr>
        <w:t xml:space="preserve">with </w:t>
      </w:r>
      <w:r w:rsidR="00C63630" w:rsidRPr="00813D19">
        <w:rPr>
          <w:color w:val="000000" w:themeColor="text1"/>
          <w:lang w:val="en-US"/>
        </w:rPr>
        <w:t xml:space="preserve">Muslims and Christians </w:t>
      </w:r>
      <w:r w:rsidR="00630394" w:rsidRPr="00813D19">
        <w:rPr>
          <w:color w:val="000000" w:themeColor="text1"/>
          <w:lang w:val="en-US"/>
        </w:rPr>
        <w:t xml:space="preserve">buried together. The delegation wished to share this experience so that it could be </w:t>
      </w:r>
      <w:r w:rsidR="00C63630" w:rsidRPr="00813D19">
        <w:rPr>
          <w:color w:val="000000" w:themeColor="text1"/>
          <w:lang w:val="en-US"/>
        </w:rPr>
        <w:t xml:space="preserve">put to use </w:t>
      </w:r>
      <w:r w:rsidR="00630394" w:rsidRPr="00813D19">
        <w:rPr>
          <w:color w:val="000000" w:themeColor="text1"/>
          <w:lang w:val="en-US"/>
        </w:rPr>
        <w:t>as a good practice</w:t>
      </w:r>
      <w:r w:rsidR="00C63630" w:rsidRPr="00813D19">
        <w:rPr>
          <w:color w:val="000000" w:themeColor="text1"/>
          <w:lang w:val="en-US"/>
        </w:rPr>
        <w:t xml:space="preserve"> that could help resolve </w:t>
      </w:r>
      <w:r w:rsidR="00630394" w:rsidRPr="00813D19">
        <w:rPr>
          <w:color w:val="000000" w:themeColor="text1"/>
          <w:lang w:val="en-US"/>
        </w:rPr>
        <w:t xml:space="preserve">such </w:t>
      </w:r>
      <w:r w:rsidR="00C63630" w:rsidRPr="00813D19">
        <w:rPr>
          <w:color w:val="000000" w:themeColor="text1"/>
          <w:lang w:val="en-US"/>
        </w:rPr>
        <w:t>conflicts.</w:t>
      </w:r>
    </w:p>
    <w:p w14:paraId="320D33C4" w14:textId="7EA041B8" w:rsidR="00CC29E0" w:rsidRPr="00634D0B" w:rsidRDefault="00F51437"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Djibouti</w:t>
      </w:r>
      <w:r w:rsidR="00A7251C" w:rsidRPr="00813D19">
        <w:rPr>
          <w:b/>
          <w:color w:val="000000" w:themeColor="text1"/>
          <w:lang w:val="en-US"/>
        </w:rPr>
        <w:t xml:space="preserve"> </w:t>
      </w:r>
      <w:r w:rsidR="00630394" w:rsidRPr="00813D19">
        <w:rPr>
          <w:color w:val="000000" w:themeColor="text1"/>
          <w:lang w:val="en-US"/>
        </w:rPr>
        <w:t xml:space="preserve">reiterated </w:t>
      </w:r>
      <w:r w:rsidR="004E58F6" w:rsidRPr="00813D19">
        <w:rPr>
          <w:color w:val="000000" w:themeColor="text1"/>
          <w:lang w:val="en-US"/>
        </w:rPr>
        <w:t xml:space="preserve">the importance of </w:t>
      </w:r>
      <w:r w:rsidR="00CC29E0" w:rsidRPr="00813D19">
        <w:rPr>
          <w:color w:val="000000" w:themeColor="text1"/>
          <w:lang w:val="en-US"/>
        </w:rPr>
        <w:t xml:space="preserve">relations between UNESCO and the </w:t>
      </w:r>
      <w:r w:rsidR="00EA2F75" w:rsidRPr="00813D19">
        <w:rPr>
          <w:color w:val="000000" w:themeColor="text1"/>
          <w:lang w:val="en-US"/>
        </w:rPr>
        <w:t>IOM</w:t>
      </w:r>
      <w:r w:rsidR="00CC29E0" w:rsidRPr="00813D19">
        <w:rPr>
          <w:color w:val="000000" w:themeColor="text1"/>
          <w:lang w:val="en-US"/>
        </w:rPr>
        <w:t>, whic</w:t>
      </w:r>
      <w:r w:rsidR="004E58F6" w:rsidRPr="00813D19">
        <w:rPr>
          <w:color w:val="000000" w:themeColor="text1"/>
          <w:lang w:val="en-US"/>
        </w:rPr>
        <w:t xml:space="preserve">h deals with displaced refugees </w:t>
      </w:r>
      <w:r w:rsidR="002C3636" w:rsidRPr="00813D19">
        <w:rPr>
          <w:color w:val="000000" w:themeColor="text1"/>
          <w:lang w:val="en-US"/>
        </w:rPr>
        <w:t xml:space="preserve">in terms of </w:t>
      </w:r>
      <w:r w:rsidR="004E58F6" w:rsidRPr="00813D19">
        <w:rPr>
          <w:color w:val="000000" w:themeColor="text1"/>
          <w:lang w:val="en-US"/>
        </w:rPr>
        <w:t xml:space="preserve">education and health, </w:t>
      </w:r>
      <w:r w:rsidR="002C3636" w:rsidRPr="00813D19">
        <w:rPr>
          <w:color w:val="000000" w:themeColor="text1"/>
          <w:lang w:val="en-US"/>
        </w:rPr>
        <w:t xml:space="preserve">and UNESCO and </w:t>
      </w:r>
      <w:r w:rsidR="00CC29E0" w:rsidRPr="00813D19">
        <w:rPr>
          <w:color w:val="000000" w:themeColor="text1"/>
          <w:lang w:val="en-US"/>
        </w:rPr>
        <w:t xml:space="preserve">the Office of the United Nations High Commissioner for </w:t>
      </w:r>
      <w:r w:rsidR="00634D0B">
        <w:rPr>
          <w:color w:val="000000" w:themeColor="text1"/>
          <w:lang w:val="en-US"/>
        </w:rPr>
        <w:t>Refugees.</w:t>
      </w:r>
    </w:p>
    <w:p w14:paraId="5D03703B" w14:textId="6B69668F" w:rsidR="00CC29E0" w:rsidRPr="00634D0B" w:rsidRDefault="00CB6641"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w:t>
      </w:r>
      <w:r w:rsidR="00CC29E0" w:rsidRPr="00813D19">
        <w:rPr>
          <w:b/>
          <w:color w:val="000000" w:themeColor="text1"/>
          <w:lang w:val="en-US"/>
        </w:rPr>
        <w:t xml:space="preserve"> </w:t>
      </w:r>
      <w:r w:rsidR="004E58F6" w:rsidRPr="00813D19">
        <w:rPr>
          <w:color w:val="000000" w:themeColor="text1"/>
          <w:lang w:val="en-US"/>
        </w:rPr>
        <w:t>concurred</w:t>
      </w:r>
      <w:r w:rsidR="004E58F6" w:rsidRPr="00813D19">
        <w:rPr>
          <w:b/>
          <w:color w:val="000000" w:themeColor="text1"/>
          <w:lang w:val="en-US"/>
        </w:rPr>
        <w:t xml:space="preserve"> </w:t>
      </w:r>
      <w:r w:rsidR="004E58F6" w:rsidRPr="00813D19">
        <w:rPr>
          <w:color w:val="000000" w:themeColor="text1"/>
          <w:lang w:val="en-US"/>
        </w:rPr>
        <w:t>with the last comment,</w:t>
      </w:r>
      <w:r w:rsidR="004E58F6" w:rsidRPr="00813D19">
        <w:rPr>
          <w:b/>
          <w:color w:val="000000" w:themeColor="text1"/>
          <w:lang w:val="en-US"/>
        </w:rPr>
        <w:t xml:space="preserve"> </w:t>
      </w:r>
      <w:r w:rsidR="004E58F6" w:rsidRPr="00813D19">
        <w:rPr>
          <w:color w:val="000000" w:themeColor="text1"/>
          <w:lang w:val="en-US"/>
        </w:rPr>
        <w:t xml:space="preserve">adding that this was precisely the work undertaken </w:t>
      </w:r>
      <w:r w:rsidR="002C3636" w:rsidRPr="00813D19">
        <w:rPr>
          <w:color w:val="000000" w:themeColor="text1"/>
          <w:lang w:val="en-US"/>
        </w:rPr>
        <w:t xml:space="preserve">by the Secretariat with </w:t>
      </w:r>
      <w:r w:rsidR="00CC29E0" w:rsidRPr="00813D19">
        <w:rPr>
          <w:color w:val="000000" w:themeColor="text1"/>
          <w:lang w:val="en-US"/>
        </w:rPr>
        <w:t xml:space="preserve">proposals </w:t>
      </w:r>
      <w:r w:rsidR="002C3636" w:rsidRPr="00813D19">
        <w:rPr>
          <w:color w:val="000000" w:themeColor="text1"/>
          <w:lang w:val="en-US"/>
        </w:rPr>
        <w:t xml:space="preserve">already </w:t>
      </w:r>
      <w:r w:rsidR="00CC29E0" w:rsidRPr="00813D19">
        <w:rPr>
          <w:color w:val="000000" w:themeColor="text1"/>
          <w:lang w:val="en-US"/>
        </w:rPr>
        <w:t>in L</w:t>
      </w:r>
      <w:r w:rsidR="004E58F6" w:rsidRPr="00813D19">
        <w:rPr>
          <w:color w:val="000000" w:themeColor="text1"/>
          <w:lang w:val="en-US"/>
        </w:rPr>
        <w:t xml:space="preserve">ebanon based on this experience, particularly </w:t>
      </w:r>
      <w:r w:rsidR="00CC29E0" w:rsidRPr="00813D19">
        <w:rPr>
          <w:color w:val="000000" w:themeColor="text1"/>
          <w:lang w:val="en-US"/>
        </w:rPr>
        <w:t>with the Office of the United Nations</w:t>
      </w:r>
      <w:r w:rsidR="004E58F6" w:rsidRPr="00813D19">
        <w:rPr>
          <w:color w:val="000000" w:themeColor="text1"/>
          <w:lang w:val="en-US"/>
        </w:rPr>
        <w:t xml:space="preserve"> High Commissioner for Refugees</w:t>
      </w:r>
      <w:r w:rsidR="00CC29E0" w:rsidRPr="00813D19">
        <w:rPr>
          <w:color w:val="000000" w:themeColor="text1"/>
          <w:lang w:val="en-US"/>
        </w:rPr>
        <w:t xml:space="preserve"> to </w:t>
      </w:r>
      <w:r w:rsidR="004E58F6" w:rsidRPr="00813D19">
        <w:rPr>
          <w:color w:val="000000" w:themeColor="text1"/>
          <w:lang w:val="en-US"/>
        </w:rPr>
        <w:t xml:space="preserve">find </w:t>
      </w:r>
      <w:r w:rsidR="002C3636" w:rsidRPr="00813D19">
        <w:rPr>
          <w:color w:val="000000" w:themeColor="text1"/>
          <w:lang w:val="en-US"/>
        </w:rPr>
        <w:t>ways of cooperation,</w:t>
      </w:r>
      <w:r w:rsidR="00CC29E0" w:rsidRPr="00813D19">
        <w:rPr>
          <w:color w:val="000000" w:themeColor="text1"/>
          <w:lang w:val="en-US"/>
        </w:rPr>
        <w:t xml:space="preserve"> including in the field of intangible cultural heritage.</w:t>
      </w:r>
    </w:p>
    <w:p w14:paraId="37F4058D" w14:textId="11947007" w:rsidR="00241888" w:rsidRPr="00634D0B" w:rsidRDefault="00EA2A37"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002C3636" w:rsidRPr="00813D19">
        <w:rPr>
          <w:color w:val="000000" w:themeColor="text1"/>
          <w:lang w:val="en-US"/>
        </w:rPr>
        <w:t>thanked the Committee Members for the very engaging item,</w:t>
      </w:r>
      <w:r w:rsidR="002C3636" w:rsidRPr="00813D19">
        <w:rPr>
          <w:b/>
          <w:color w:val="000000" w:themeColor="text1"/>
          <w:lang w:val="en-US"/>
        </w:rPr>
        <w:t xml:space="preserve"> </w:t>
      </w:r>
      <w:r w:rsidR="002C3636" w:rsidRPr="00813D19">
        <w:rPr>
          <w:color w:val="000000" w:themeColor="text1"/>
          <w:lang w:val="en-US"/>
        </w:rPr>
        <w:t>turning</w:t>
      </w:r>
      <w:r w:rsidRPr="00813D19">
        <w:rPr>
          <w:color w:val="000000" w:themeColor="text1"/>
          <w:lang w:val="en-US"/>
        </w:rPr>
        <w:t xml:space="preserve"> to the draft decision on a paragraph-by-paragraph basis.</w:t>
      </w:r>
      <w:r w:rsidRPr="00813D19">
        <w:rPr>
          <w:b/>
          <w:color w:val="000000" w:themeColor="text1"/>
          <w:lang w:val="en-US"/>
        </w:rPr>
        <w:t xml:space="preserve"> </w:t>
      </w:r>
      <w:r w:rsidR="00241888" w:rsidRPr="00813D19">
        <w:rPr>
          <w:color w:val="000000" w:themeColor="text1"/>
          <w:lang w:val="en-US"/>
        </w:rPr>
        <w:t>It was noted tha</w:t>
      </w:r>
      <w:r w:rsidR="00634D0B">
        <w:rPr>
          <w:color w:val="000000" w:themeColor="text1"/>
          <w:lang w:val="en-US"/>
        </w:rPr>
        <w:t>t amendments had been received.</w:t>
      </w:r>
    </w:p>
    <w:p w14:paraId="530FEEC8" w14:textId="5F8A619A" w:rsidR="0070273F" w:rsidRPr="00634D0B" w:rsidRDefault="00241888" w:rsidP="00AC5FD5">
      <w:pPr>
        <w:pStyle w:val="Orateurengris"/>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A7251C" w:rsidRPr="00813D19">
        <w:rPr>
          <w:b/>
          <w:color w:val="000000" w:themeColor="text1"/>
          <w:lang w:val="en-US"/>
        </w:rPr>
        <w:t xml:space="preserve"> </w:t>
      </w:r>
      <w:r w:rsidR="002C3636" w:rsidRPr="00813D19">
        <w:rPr>
          <w:bCs/>
          <w:lang w:val="en-US"/>
        </w:rPr>
        <w:t xml:space="preserve">asked whether an </w:t>
      </w:r>
      <w:r w:rsidR="004E58F6" w:rsidRPr="00813D19">
        <w:rPr>
          <w:bCs/>
          <w:lang w:val="en-US"/>
        </w:rPr>
        <w:t xml:space="preserve">English version </w:t>
      </w:r>
      <w:r w:rsidR="00A7251C" w:rsidRPr="00813D19">
        <w:rPr>
          <w:bCs/>
          <w:lang w:val="en-US"/>
        </w:rPr>
        <w:t xml:space="preserve">of the </w:t>
      </w:r>
      <w:r w:rsidR="004E58F6" w:rsidRPr="00813D19">
        <w:rPr>
          <w:bCs/>
          <w:lang w:val="en-US"/>
        </w:rPr>
        <w:t>draft decision and the amendments</w:t>
      </w:r>
      <w:r w:rsidR="002C3636" w:rsidRPr="00813D19">
        <w:rPr>
          <w:bCs/>
          <w:lang w:val="en-US"/>
        </w:rPr>
        <w:t xml:space="preserve"> had been distributed</w:t>
      </w:r>
      <w:r w:rsidR="004E58F6" w:rsidRPr="00813D19">
        <w:rPr>
          <w:bCs/>
          <w:lang w:val="en-US"/>
        </w:rPr>
        <w:t>.</w:t>
      </w:r>
    </w:p>
    <w:p w14:paraId="44D7A71B" w14:textId="43E9C86D" w:rsidR="00EA2A37" w:rsidRPr="00634D0B" w:rsidRDefault="0070273F"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4E58F6" w:rsidRPr="00813D19">
        <w:rPr>
          <w:color w:val="000000" w:themeColor="text1"/>
          <w:lang w:val="en-US"/>
        </w:rPr>
        <w:t xml:space="preserve">explained that no documents </w:t>
      </w:r>
      <w:r w:rsidR="002C3636" w:rsidRPr="00813D19">
        <w:rPr>
          <w:color w:val="000000" w:themeColor="text1"/>
          <w:lang w:val="en-US"/>
        </w:rPr>
        <w:t xml:space="preserve">had been </w:t>
      </w:r>
      <w:r w:rsidR="004E58F6" w:rsidRPr="00813D19">
        <w:rPr>
          <w:color w:val="000000" w:themeColor="text1"/>
          <w:lang w:val="en-US"/>
        </w:rPr>
        <w:t xml:space="preserve">distributed and that they could </w:t>
      </w:r>
      <w:r w:rsidR="002C3636" w:rsidRPr="00813D19">
        <w:rPr>
          <w:color w:val="000000" w:themeColor="text1"/>
          <w:lang w:val="en-US"/>
        </w:rPr>
        <w:t xml:space="preserve">all </w:t>
      </w:r>
      <w:r w:rsidR="004E58F6" w:rsidRPr="00813D19">
        <w:rPr>
          <w:color w:val="000000" w:themeColor="text1"/>
          <w:lang w:val="en-US"/>
        </w:rPr>
        <w:t xml:space="preserve">be found online </w:t>
      </w:r>
      <w:r w:rsidR="004E58F6" w:rsidRPr="00813D19">
        <w:rPr>
          <w:bCs/>
          <w:lang w:val="en-US"/>
        </w:rPr>
        <w:t xml:space="preserve">and </w:t>
      </w:r>
      <w:r w:rsidR="002C3636" w:rsidRPr="00813D19">
        <w:rPr>
          <w:bCs/>
          <w:lang w:val="en-US"/>
        </w:rPr>
        <w:t xml:space="preserve">seen </w:t>
      </w:r>
      <w:r w:rsidR="004E58F6" w:rsidRPr="00813D19">
        <w:rPr>
          <w:bCs/>
          <w:lang w:val="en-US"/>
        </w:rPr>
        <w:t>on the screen.</w:t>
      </w:r>
    </w:p>
    <w:p w14:paraId="5200A75A" w14:textId="43102A66" w:rsidR="0070273F" w:rsidRPr="00813D19" w:rsidRDefault="0070273F" w:rsidP="002C3636">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Vice-Chairperson</w:t>
      </w:r>
      <w:r w:rsidRPr="00813D19">
        <w:rPr>
          <w:color w:val="000000" w:themeColor="text1"/>
          <w:lang w:val="en-US"/>
        </w:rPr>
        <w:t xml:space="preserve"> turned to paragraph 1, which was duly adopted. </w:t>
      </w:r>
      <w:r w:rsidR="00E4061F" w:rsidRPr="00813D19">
        <w:rPr>
          <w:color w:val="000000" w:themeColor="text1"/>
          <w:lang w:val="en-US"/>
        </w:rPr>
        <w:t>Palestine proposed an amendment to p</w:t>
      </w:r>
      <w:r w:rsidR="002C3636" w:rsidRPr="00813D19">
        <w:rPr>
          <w:color w:val="000000" w:themeColor="text1"/>
          <w:lang w:val="en-US"/>
        </w:rPr>
        <w:t>aragraph 2, inviting</w:t>
      </w:r>
      <w:r w:rsidRPr="00813D19">
        <w:rPr>
          <w:color w:val="000000" w:themeColor="text1"/>
          <w:lang w:val="en-US"/>
        </w:rPr>
        <w:t xml:space="preserve"> Palestine to present its amendment.</w:t>
      </w:r>
    </w:p>
    <w:p w14:paraId="430F27A4" w14:textId="24C4205B" w:rsidR="0070273F" w:rsidRPr="00634D0B" w:rsidRDefault="0070273F"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 </w:t>
      </w:r>
      <w:r w:rsidR="002C3636" w:rsidRPr="00813D19">
        <w:rPr>
          <w:bCs/>
          <w:lang w:val="en-US"/>
        </w:rPr>
        <w:t xml:space="preserve">presented </w:t>
      </w:r>
      <w:r w:rsidR="00A7251C" w:rsidRPr="00813D19">
        <w:rPr>
          <w:bCs/>
          <w:lang w:val="en-US"/>
        </w:rPr>
        <w:t xml:space="preserve">references </w:t>
      </w:r>
      <w:r w:rsidR="002C3636" w:rsidRPr="00813D19">
        <w:rPr>
          <w:bCs/>
          <w:lang w:val="en-US"/>
        </w:rPr>
        <w:t xml:space="preserve">to </w:t>
      </w:r>
      <w:r w:rsidR="00062B5F" w:rsidRPr="00813D19">
        <w:rPr>
          <w:bCs/>
          <w:lang w:val="en-US"/>
        </w:rPr>
        <w:t xml:space="preserve">legal resolutions [of the Human Rights Council] in paragraph 2, and a reference to tangible cultural heritage in paragraph 4, which </w:t>
      </w:r>
      <w:r w:rsidR="00A7251C" w:rsidRPr="00813D19">
        <w:rPr>
          <w:bCs/>
          <w:lang w:val="en-US"/>
        </w:rPr>
        <w:t>echo</w:t>
      </w:r>
      <w:r w:rsidR="00062B5F" w:rsidRPr="00813D19">
        <w:rPr>
          <w:bCs/>
          <w:lang w:val="en-US"/>
        </w:rPr>
        <w:t xml:space="preserve">ed the sentiments in the room regarding </w:t>
      </w:r>
      <w:r w:rsidR="00634D0B">
        <w:rPr>
          <w:bCs/>
          <w:lang w:val="en-US"/>
        </w:rPr>
        <w:t>synergy between Conventions.</w:t>
      </w:r>
    </w:p>
    <w:p w14:paraId="7A578FA6" w14:textId="39663722" w:rsidR="0070273F" w:rsidRPr="00634D0B" w:rsidRDefault="0070273F"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 </w:t>
      </w:r>
      <w:r w:rsidR="00347F4E" w:rsidRPr="00813D19">
        <w:rPr>
          <w:bCs/>
          <w:lang w:val="en-US"/>
        </w:rPr>
        <w:t xml:space="preserve">had </w:t>
      </w:r>
      <w:r w:rsidR="00A7251C" w:rsidRPr="00813D19">
        <w:rPr>
          <w:bCs/>
          <w:lang w:val="en-US"/>
        </w:rPr>
        <w:t xml:space="preserve">a technical question </w:t>
      </w:r>
      <w:r w:rsidR="00347F4E" w:rsidRPr="00813D19">
        <w:rPr>
          <w:bCs/>
          <w:lang w:val="en-US"/>
        </w:rPr>
        <w:t xml:space="preserve">on </w:t>
      </w:r>
      <w:r w:rsidR="00062B5F" w:rsidRPr="00813D19">
        <w:rPr>
          <w:bCs/>
          <w:lang w:val="en-US"/>
        </w:rPr>
        <w:t xml:space="preserve">Palestine’s </w:t>
      </w:r>
      <w:r w:rsidR="00A7251C" w:rsidRPr="00813D19">
        <w:rPr>
          <w:bCs/>
          <w:lang w:val="en-US"/>
        </w:rPr>
        <w:t xml:space="preserve">first amendment </w:t>
      </w:r>
      <w:r w:rsidR="00062B5F" w:rsidRPr="00813D19">
        <w:rPr>
          <w:bCs/>
          <w:lang w:val="en-US"/>
        </w:rPr>
        <w:t>that made</w:t>
      </w:r>
      <w:r w:rsidR="00347F4E" w:rsidRPr="00813D19">
        <w:rPr>
          <w:bCs/>
          <w:lang w:val="en-US"/>
        </w:rPr>
        <w:t xml:space="preserve"> </w:t>
      </w:r>
      <w:r w:rsidR="00A7251C" w:rsidRPr="00813D19">
        <w:rPr>
          <w:bCs/>
          <w:lang w:val="en-US"/>
        </w:rPr>
        <w:t>referen</w:t>
      </w:r>
      <w:r w:rsidR="00062B5F" w:rsidRPr="00813D19">
        <w:rPr>
          <w:bCs/>
          <w:lang w:val="en-US"/>
        </w:rPr>
        <w:t>ce to the Human Rights Council r</w:t>
      </w:r>
      <w:r w:rsidR="00A7251C" w:rsidRPr="00813D19">
        <w:rPr>
          <w:bCs/>
          <w:lang w:val="en-US"/>
        </w:rPr>
        <w:t>esolutions and A/HRCH/37/L30</w:t>
      </w:r>
      <w:r w:rsidR="00347F4E" w:rsidRPr="00813D19">
        <w:rPr>
          <w:bCs/>
          <w:lang w:val="en-US"/>
        </w:rPr>
        <w:t xml:space="preserve">, </w:t>
      </w:r>
      <w:r w:rsidR="00062B5F" w:rsidRPr="00813D19">
        <w:rPr>
          <w:bCs/>
          <w:lang w:val="en-US"/>
        </w:rPr>
        <w:t xml:space="preserve">adding that </w:t>
      </w:r>
      <w:r w:rsidR="00347F4E" w:rsidRPr="00813D19">
        <w:rPr>
          <w:bCs/>
          <w:lang w:val="en-US"/>
        </w:rPr>
        <w:t xml:space="preserve">from </w:t>
      </w:r>
      <w:r w:rsidR="00062B5F" w:rsidRPr="00813D19">
        <w:rPr>
          <w:bCs/>
          <w:lang w:val="en-US"/>
        </w:rPr>
        <w:t xml:space="preserve">its own </w:t>
      </w:r>
      <w:r w:rsidR="00347F4E" w:rsidRPr="00813D19">
        <w:rPr>
          <w:bCs/>
          <w:lang w:val="en-US"/>
        </w:rPr>
        <w:t xml:space="preserve">experience </w:t>
      </w:r>
      <w:r w:rsidR="00A7251C" w:rsidRPr="00813D19">
        <w:rPr>
          <w:bCs/>
          <w:lang w:val="en-US"/>
        </w:rPr>
        <w:t>in the Council</w:t>
      </w:r>
      <w:r w:rsidR="00347F4E" w:rsidRPr="00813D19">
        <w:rPr>
          <w:bCs/>
          <w:lang w:val="en-US"/>
        </w:rPr>
        <w:t>,</w:t>
      </w:r>
      <w:r w:rsidR="00A7251C" w:rsidRPr="00813D19">
        <w:rPr>
          <w:bCs/>
          <w:lang w:val="en-US"/>
        </w:rPr>
        <w:t xml:space="preserve"> a document </w:t>
      </w:r>
      <w:r w:rsidR="00062B5F" w:rsidRPr="00813D19">
        <w:rPr>
          <w:bCs/>
          <w:lang w:val="en-US"/>
        </w:rPr>
        <w:t xml:space="preserve">with </w:t>
      </w:r>
      <w:r w:rsidR="00A7251C" w:rsidRPr="00813D19">
        <w:rPr>
          <w:bCs/>
          <w:lang w:val="en-US"/>
        </w:rPr>
        <w:t xml:space="preserve">the </w:t>
      </w:r>
      <w:r w:rsidR="00347F4E" w:rsidRPr="00813D19">
        <w:rPr>
          <w:bCs/>
          <w:lang w:val="en-US"/>
        </w:rPr>
        <w:t xml:space="preserve">suffix </w:t>
      </w:r>
      <w:r w:rsidR="00A7251C" w:rsidRPr="00813D19">
        <w:rPr>
          <w:bCs/>
          <w:lang w:val="en-US"/>
        </w:rPr>
        <w:t xml:space="preserve">L30 </w:t>
      </w:r>
      <w:r w:rsidR="00062B5F" w:rsidRPr="00813D19">
        <w:rPr>
          <w:bCs/>
          <w:lang w:val="en-US"/>
        </w:rPr>
        <w:t xml:space="preserve">was </w:t>
      </w:r>
      <w:r w:rsidR="00A7251C" w:rsidRPr="00813D19">
        <w:rPr>
          <w:bCs/>
          <w:lang w:val="en-US"/>
        </w:rPr>
        <w:t>not the final adopted version</w:t>
      </w:r>
      <w:r w:rsidR="00347F4E" w:rsidRPr="00813D19">
        <w:rPr>
          <w:bCs/>
          <w:lang w:val="en-US"/>
        </w:rPr>
        <w:t xml:space="preserve">. It therefore suggested </w:t>
      </w:r>
      <w:r w:rsidR="00062B5F" w:rsidRPr="00813D19">
        <w:rPr>
          <w:bCs/>
          <w:lang w:val="en-US"/>
        </w:rPr>
        <w:t xml:space="preserve">adding the reference to </w:t>
      </w:r>
      <w:r w:rsidR="00347F4E" w:rsidRPr="00813D19">
        <w:rPr>
          <w:bCs/>
          <w:lang w:val="en-US"/>
        </w:rPr>
        <w:t>the final version</w:t>
      </w:r>
      <w:r w:rsidR="00634D0B">
        <w:rPr>
          <w:bCs/>
          <w:lang w:val="en-US"/>
        </w:rPr>
        <w:t>.</w:t>
      </w:r>
    </w:p>
    <w:p w14:paraId="161EA2B5" w14:textId="43119CD2" w:rsidR="0070273F" w:rsidRPr="00634D0B" w:rsidRDefault="00976EA8"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A7251C" w:rsidRPr="00813D19">
        <w:rPr>
          <w:b/>
          <w:color w:val="000000" w:themeColor="text1"/>
          <w:lang w:val="en-US"/>
        </w:rPr>
        <w:t xml:space="preserve"> </w:t>
      </w:r>
      <w:r w:rsidR="00A7251C" w:rsidRPr="00813D19">
        <w:rPr>
          <w:bCs/>
          <w:lang w:val="en-US"/>
        </w:rPr>
        <w:t>fully</w:t>
      </w:r>
      <w:r w:rsidR="00347F4E" w:rsidRPr="00813D19">
        <w:rPr>
          <w:bCs/>
          <w:lang w:val="en-US"/>
        </w:rPr>
        <w:t xml:space="preserve"> agreed</w:t>
      </w:r>
      <w:r w:rsidR="00A7251C" w:rsidRPr="00813D19">
        <w:rPr>
          <w:bCs/>
          <w:lang w:val="en-US"/>
        </w:rPr>
        <w:t xml:space="preserve"> with </w:t>
      </w:r>
      <w:r w:rsidR="00347F4E" w:rsidRPr="00813D19">
        <w:rPr>
          <w:bCs/>
          <w:lang w:val="en-US"/>
        </w:rPr>
        <w:t xml:space="preserve">the </w:t>
      </w:r>
      <w:r w:rsidR="00A7251C" w:rsidRPr="00813D19">
        <w:rPr>
          <w:bCs/>
          <w:lang w:val="en-US"/>
        </w:rPr>
        <w:t xml:space="preserve">Philippines </w:t>
      </w:r>
      <w:r w:rsidR="00347F4E" w:rsidRPr="00813D19">
        <w:rPr>
          <w:bCs/>
          <w:lang w:val="en-US"/>
        </w:rPr>
        <w:t xml:space="preserve">and relied on </w:t>
      </w:r>
      <w:r w:rsidR="00062B5F" w:rsidRPr="00813D19">
        <w:rPr>
          <w:bCs/>
          <w:lang w:val="en-US"/>
        </w:rPr>
        <w:t xml:space="preserve">the </w:t>
      </w:r>
      <w:r w:rsidR="00A7251C" w:rsidRPr="00813D19">
        <w:rPr>
          <w:bCs/>
          <w:lang w:val="en-US"/>
        </w:rPr>
        <w:t xml:space="preserve">Secretariat to </w:t>
      </w:r>
      <w:r w:rsidR="00634D0B">
        <w:rPr>
          <w:bCs/>
          <w:lang w:val="en-US"/>
        </w:rPr>
        <w:t>find the right code.</w:t>
      </w:r>
    </w:p>
    <w:p w14:paraId="053FB079" w14:textId="00AA99E8" w:rsidR="00347F4E" w:rsidRPr="00634D0B" w:rsidRDefault="00327CF1" w:rsidP="00347F4E">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062B5F" w:rsidRPr="00813D19">
        <w:rPr>
          <w:color w:val="000000" w:themeColor="text1"/>
          <w:lang w:val="en-US"/>
        </w:rPr>
        <w:t xml:space="preserve">sought </w:t>
      </w:r>
      <w:r w:rsidR="00347F4E" w:rsidRPr="00813D19">
        <w:rPr>
          <w:color w:val="000000" w:themeColor="text1"/>
          <w:lang w:val="en-US"/>
        </w:rPr>
        <w:t xml:space="preserve">time to review the </w:t>
      </w:r>
      <w:r w:rsidR="00062B5F" w:rsidRPr="00813D19">
        <w:rPr>
          <w:bCs/>
          <w:lang w:val="en-US"/>
        </w:rPr>
        <w:t>resolution, suggesting</w:t>
      </w:r>
      <w:r w:rsidR="00347F4E" w:rsidRPr="00813D19">
        <w:rPr>
          <w:bCs/>
          <w:lang w:val="en-US"/>
        </w:rPr>
        <w:t xml:space="preserve"> </w:t>
      </w:r>
      <w:r w:rsidR="00E018B4">
        <w:rPr>
          <w:bCs/>
          <w:lang w:val="en-US"/>
        </w:rPr>
        <w:t xml:space="preserve">that it </w:t>
      </w:r>
      <w:r w:rsidR="00347F4E" w:rsidRPr="00813D19">
        <w:rPr>
          <w:bCs/>
          <w:lang w:val="en-US"/>
        </w:rPr>
        <w:t xml:space="preserve">not </w:t>
      </w:r>
      <w:r w:rsidR="00E018B4">
        <w:rPr>
          <w:bCs/>
          <w:lang w:val="en-US"/>
        </w:rPr>
        <w:t>be</w:t>
      </w:r>
      <w:r w:rsidR="00E018B4" w:rsidRPr="00813D19">
        <w:rPr>
          <w:bCs/>
          <w:lang w:val="en-US"/>
        </w:rPr>
        <w:t xml:space="preserve"> </w:t>
      </w:r>
      <w:r w:rsidR="00A7251C" w:rsidRPr="00813D19">
        <w:rPr>
          <w:bCs/>
          <w:lang w:val="en-US"/>
        </w:rPr>
        <w:t>include</w:t>
      </w:r>
      <w:r w:rsidR="00E018B4">
        <w:rPr>
          <w:bCs/>
          <w:lang w:val="en-US"/>
        </w:rPr>
        <w:t>d</w:t>
      </w:r>
      <w:r w:rsidR="00347F4E" w:rsidRPr="00813D19">
        <w:rPr>
          <w:bCs/>
          <w:lang w:val="en-US"/>
        </w:rPr>
        <w:t xml:space="preserve"> </w:t>
      </w:r>
      <w:r w:rsidR="00062B5F" w:rsidRPr="00813D19">
        <w:rPr>
          <w:bCs/>
          <w:lang w:val="en-US"/>
        </w:rPr>
        <w:t>at this stage</w:t>
      </w:r>
      <w:r w:rsidR="00347F4E" w:rsidRPr="00813D19">
        <w:rPr>
          <w:bCs/>
          <w:lang w:val="en-US"/>
        </w:rPr>
        <w:t>.</w:t>
      </w:r>
    </w:p>
    <w:p w14:paraId="423995F7" w14:textId="29C9678D" w:rsidR="00CC29E0" w:rsidRPr="00634D0B" w:rsidRDefault="00327CF1" w:rsidP="00347F4E">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A7251C" w:rsidRPr="00813D19">
        <w:rPr>
          <w:b/>
          <w:color w:val="000000" w:themeColor="text1"/>
          <w:lang w:val="en-US"/>
        </w:rPr>
        <w:t xml:space="preserve"> </w:t>
      </w:r>
      <w:r w:rsidR="00347F4E" w:rsidRPr="00813D19">
        <w:rPr>
          <w:color w:val="000000" w:themeColor="text1"/>
          <w:lang w:val="en-US"/>
        </w:rPr>
        <w:t>trusted the Secretariat to</w:t>
      </w:r>
      <w:r w:rsidR="00347F4E" w:rsidRPr="00813D19">
        <w:rPr>
          <w:b/>
          <w:color w:val="000000" w:themeColor="text1"/>
          <w:lang w:val="en-US"/>
        </w:rPr>
        <w:t xml:space="preserve"> </w:t>
      </w:r>
      <w:r w:rsidR="00347F4E" w:rsidRPr="00813D19">
        <w:rPr>
          <w:color w:val="000000" w:themeColor="text1"/>
          <w:lang w:val="en-US"/>
        </w:rPr>
        <w:t>find the right code, unless there was opposition to the amendment</w:t>
      </w:r>
      <w:r w:rsidR="009C5D6D" w:rsidRPr="00813D19">
        <w:rPr>
          <w:color w:val="000000" w:themeColor="text1"/>
          <w:lang w:val="en-US"/>
        </w:rPr>
        <w:t>.</w:t>
      </w:r>
    </w:p>
    <w:p w14:paraId="635A5D74" w14:textId="53375BE6" w:rsidR="00327CF1" w:rsidRPr="00634D0B" w:rsidRDefault="00844B6E"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w:t>
      </w:r>
      <w:r w:rsidR="00A7251C" w:rsidRPr="00813D19">
        <w:rPr>
          <w:b/>
          <w:color w:val="000000" w:themeColor="text1"/>
          <w:lang w:val="en-US"/>
        </w:rPr>
        <w:t xml:space="preserve"> </w:t>
      </w:r>
      <w:r w:rsidR="009C5D6D" w:rsidRPr="00813D19">
        <w:rPr>
          <w:color w:val="000000" w:themeColor="text1"/>
          <w:lang w:val="en-US"/>
        </w:rPr>
        <w:t>was not</w:t>
      </w:r>
      <w:r w:rsidR="009C5D6D" w:rsidRPr="00813D19">
        <w:rPr>
          <w:b/>
          <w:color w:val="000000" w:themeColor="text1"/>
          <w:lang w:val="en-US"/>
        </w:rPr>
        <w:t xml:space="preserve"> </w:t>
      </w:r>
      <w:r w:rsidR="00A7251C" w:rsidRPr="00813D19">
        <w:rPr>
          <w:bCs/>
          <w:lang w:val="en-US"/>
        </w:rPr>
        <w:t xml:space="preserve">opposed to </w:t>
      </w:r>
      <w:r w:rsidR="009C5D6D" w:rsidRPr="00813D19">
        <w:rPr>
          <w:bCs/>
          <w:lang w:val="en-US"/>
        </w:rPr>
        <w:t xml:space="preserve">the </w:t>
      </w:r>
      <w:r w:rsidR="00A7251C" w:rsidRPr="00813D19">
        <w:rPr>
          <w:bCs/>
          <w:lang w:val="en-US"/>
        </w:rPr>
        <w:t>amendment</w:t>
      </w:r>
      <w:r w:rsidR="009C5D6D" w:rsidRPr="00813D19">
        <w:rPr>
          <w:bCs/>
          <w:lang w:val="en-US"/>
        </w:rPr>
        <w:t>,</w:t>
      </w:r>
      <w:r w:rsidR="00A7251C" w:rsidRPr="00813D19">
        <w:rPr>
          <w:bCs/>
          <w:lang w:val="en-US"/>
        </w:rPr>
        <w:t xml:space="preserve"> </w:t>
      </w:r>
      <w:r w:rsidR="009C5D6D" w:rsidRPr="00813D19">
        <w:rPr>
          <w:bCs/>
          <w:lang w:val="en-US"/>
        </w:rPr>
        <w:t xml:space="preserve">only that the </w:t>
      </w:r>
      <w:r w:rsidR="00A7251C" w:rsidRPr="00813D19">
        <w:rPr>
          <w:bCs/>
          <w:lang w:val="en-US"/>
        </w:rPr>
        <w:t xml:space="preserve">final document should be the one </w:t>
      </w:r>
      <w:r w:rsidR="00062B5F" w:rsidRPr="00813D19">
        <w:rPr>
          <w:bCs/>
          <w:lang w:val="en-US"/>
        </w:rPr>
        <w:t>cited</w:t>
      </w:r>
      <w:r w:rsidR="00634D0B">
        <w:rPr>
          <w:bCs/>
          <w:lang w:val="en-US"/>
        </w:rPr>
        <w:t>.</w:t>
      </w:r>
    </w:p>
    <w:p w14:paraId="39586D34" w14:textId="2BDEF8C1" w:rsidR="00844B6E" w:rsidRPr="00634D0B" w:rsidRDefault="00EB51D6"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Cuba</w:t>
      </w:r>
      <w:r w:rsidR="00A7251C" w:rsidRPr="00813D19">
        <w:rPr>
          <w:b/>
          <w:color w:val="000000" w:themeColor="text1"/>
          <w:lang w:val="en-US"/>
        </w:rPr>
        <w:t xml:space="preserve"> </w:t>
      </w:r>
      <w:r w:rsidR="009C5D6D" w:rsidRPr="00813D19">
        <w:rPr>
          <w:color w:val="000000" w:themeColor="text1"/>
          <w:lang w:val="en-US"/>
        </w:rPr>
        <w:t>remarked that</w:t>
      </w:r>
      <w:r w:rsidR="009C5D6D" w:rsidRPr="00813D19">
        <w:rPr>
          <w:b/>
          <w:color w:val="000000" w:themeColor="text1"/>
          <w:lang w:val="en-US"/>
        </w:rPr>
        <w:t xml:space="preserve"> </w:t>
      </w:r>
      <w:r w:rsidR="009C5D6D" w:rsidRPr="00813D19">
        <w:rPr>
          <w:bCs/>
          <w:lang w:val="en-US"/>
        </w:rPr>
        <w:t>i</w:t>
      </w:r>
      <w:r w:rsidR="00A7251C" w:rsidRPr="00813D19">
        <w:rPr>
          <w:bCs/>
          <w:lang w:val="en-US"/>
        </w:rPr>
        <w:t xml:space="preserve">n </w:t>
      </w:r>
      <w:r w:rsidR="00062B5F" w:rsidRPr="00813D19">
        <w:rPr>
          <w:bCs/>
          <w:lang w:val="en-US"/>
        </w:rPr>
        <w:t xml:space="preserve">addition </w:t>
      </w:r>
      <w:r w:rsidR="00A7251C" w:rsidRPr="00813D19">
        <w:rPr>
          <w:bCs/>
          <w:lang w:val="en-US"/>
        </w:rPr>
        <w:t xml:space="preserve">to </w:t>
      </w:r>
      <w:r w:rsidR="00062B5F" w:rsidRPr="00813D19">
        <w:rPr>
          <w:bCs/>
          <w:lang w:val="en-US"/>
        </w:rPr>
        <w:t xml:space="preserve">the </w:t>
      </w:r>
      <w:r w:rsidR="00A7251C" w:rsidRPr="00813D19">
        <w:rPr>
          <w:bCs/>
          <w:lang w:val="en-US"/>
        </w:rPr>
        <w:t xml:space="preserve">amendment in paragraph </w:t>
      </w:r>
      <w:r w:rsidR="009C5D6D" w:rsidRPr="00813D19">
        <w:rPr>
          <w:bCs/>
          <w:lang w:val="en-US"/>
        </w:rPr>
        <w:t xml:space="preserve">2, the UN </w:t>
      </w:r>
      <w:r w:rsidR="00A7251C" w:rsidRPr="00813D19">
        <w:rPr>
          <w:bCs/>
          <w:lang w:val="en-US"/>
        </w:rPr>
        <w:t xml:space="preserve">Security Council </w:t>
      </w:r>
      <w:r w:rsidR="009C5D6D" w:rsidRPr="00813D19">
        <w:rPr>
          <w:bCs/>
          <w:lang w:val="en-US"/>
        </w:rPr>
        <w:t>Resolution 2347 should also be mentioned</w:t>
      </w:r>
      <w:r w:rsidR="00062B5F" w:rsidRPr="00813D19">
        <w:rPr>
          <w:bCs/>
          <w:lang w:val="en-US"/>
        </w:rPr>
        <w:t>,</w:t>
      </w:r>
      <w:r w:rsidR="009C5D6D" w:rsidRPr="00813D19">
        <w:rPr>
          <w:bCs/>
          <w:lang w:val="en-US"/>
        </w:rPr>
        <w:t xml:space="preserve"> as it </w:t>
      </w:r>
      <w:r w:rsidR="00A7251C" w:rsidRPr="00813D19">
        <w:rPr>
          <w:bCs/>
          <w:lang w:val="en-US"/>
        </w:rPr>
        <w:t>reco</w:t>
      </w:r>
      <w:r w:rsidR="009C5D6D" w:rsidRPr="00813D19">
        <w:rPr>
          <w:bCs/>
          <w:lang w:val="en-US"/>
        </w:rPr>
        <w:t>gnized</w:t>
      </w:r>
      <w:r w:rsidR="00A7251C" w:rsidRPr="00813D19">
        <w:rPr>
          <w:bCs/>
          <w:lang w:val="en-US"/>
        </w:rPr>
        <w:t xml:space="preserve"> </w:t>
      </w:r>
      <w:r w:rsidR="00062B5F" w:rsidRPr="00813D19">
        <w:rPr>
          <w:bCs/>
          <w:lang w:val="en-US"/>
        </w:rPr>
        <w:t xml:space="preserve">UNESCO’s </w:t>
      </w:r>
      <w:r w:rsidR="00A7251C" w:rsidRPr="00813D19">
        <w:rPr>
          <w:bCs/>
          <w:lang w:val="en-US"/>
        </w:rPr>
        <w:t>work in protecting</w:t>
      </w:r>
      <w:r w:rsidR="00062B5F" w:rsidRPr="00813D19">
        <w:rPr>
          <w:bCs/>
          <w:lang w:val="en-US"/>
        </w:rPr>
        <w:t xml:space="preserve"> cultural heritage, setting</w:t>
      </w:r>
      <w:r w:rsidR="00A7251C" w:rsidRPr="00813D19">
        <w:rPr>
          <w:bCs/>
          <w:lang w:val="en-US"/>
        </w:rPr>
        <w:t xml:space="preserve"> forth a number of measures</w:t>
      </w:r>
      <w:r w:rsidR="00062B5F" w:rsidRPr="00813D19">
        <w:rPr>
          <w:bCs/>
          <w:lang w:val="en-US"/>
        </w:rPr>
        <w:t xml:space="preserve"> in </w:t>
      </w:r>
      <w:r w:rsidR="009C5D6D" w:rsidRPr="00813D19">
        <w:rPr>
          <w:bCs/>
          <w:lang w:val="en-US"/>
        </w:rPr>
        <w:t>a historic r</w:t>
      </w:r>
      <w:r w:rsidR="00A7251C" w:rsidRPr="00813D19">
        <w:rPr>
          <w:bCs/>
          <w:lang w:val="en-US"/>
        </w:rPr>
        <w:t xml:space="preserve">esolution </w:t>
      </w:r>
      <w:r w:rsidR="00062B5F" w:rsidRPr="00813D19">
        <w:rPr>
          <w:bCs/>
          <w:lang w:val="en-US"/>
        </w:rPr>
        <w:t>to protect</w:t>
      </w:r>
      <w:r w:rsidR="00634D0B">
        <w:rPr>
          <w:bCs/>
          <w:lang w:val="en-US"/>
        </w:rPr>
        <w:t xml:space="preserve"> heritage and culture.</w:t>
      </w:r>
    </w:p>
    <w:p w14:paraId="797D352E" w14:textId="06EDE7D9" w:rsidR="00EB51D6" w:rsidRPr="00634D0B" w:rsidRDefault="001E635E" w:rsidP="00AC5FD5">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Kuwait</w:t>
      </w:r>
      <w:r w:rsidR="00A7251C" w:rsidRPr="00813D19">
        <w:rPr>
          <w:b/>
          <w:color w:val="000000" w:themeColor="text1"/>
          <w:lang w:val="en-US"/>
        </w:rPr>
        <w:t xml:space="preserve"> </w:t>
      </w:r>
      <w:r w:rsidR="00A7251C" w:rsidRPr="00813D19">
        <w:rPr>
          <w:bCs/>
          <w:lang w:val="en-US"/>
        </w:rPr>
        <w:t>agree</w:t>
      </w:r>
      <w:r w:rsidR="009C5D6D" w:rsidRPr="00813D19">
        <w:rPr>
          <w:bCs/>
          <w:lang w:val="en-US"/>
        </w:rPr>
        <w:t>d</w:t>
      </w:r>
      <w:r w:rsidR="00A7251C" w:rsidRPr="00813D19">
        <w:rPr>
          <w:bCs/>
          <w:lang w:val="en-US"/>
        </w:rPr>
        <w:t xml:space="preserve"> with Palestine </w:t>
      </w:r>
      <w:r w:rsidR="00062B5F" w:rsidRPr="00813D19">
        <w:rPr>
          <w:bCs/>
          <w:lang w:val="en-US"/>
        </w:rPr>
        <w:t xml:space="preserve">that </w:t>
      </w:r>
      <w:r w:rsidR="00A7251C" w:rsidRPr="00813D19">
        <w:rPr>
          <w:bCs/>
          <w:lang w:val="en-US"/>
        </w:rPr>
        <w:t xml:space="preserve">threats to </w:t>
      </w:r>
      <w:r w:rsidR="00062B5F" w:rsidRPr="00813D19">
        <w:rPr>
          <w:bCs/>
          <w:lang w:val="en-US"/>
        </w:rPr>
        <w:t xml:space="preserve">both </w:t>
      </w:r>
      <w:r w:rsidR="00A7251C" w:rsidRPr="00813D19">
        <w:rPr>
          <w:bCs/>
          <w:lang w:val="en-US"/>
        </w:rPr>
        <w:t>tangible and intangible cultural heritage</w:t>
      </w:r>
      <w:r w:rsidR="00062B5F" w:rsidRPr="00813D19">
        <w:rPr>
          <w:bCs/>
          <w:lang w:val="en-US"/>
        </w:rPr>
        <w:t xml:space="preserve"> should be added, </w:t>
      </w:r>
      <w:r w:rsidR="00A7251C" w:rsidRPr="00813D19">
        <w:rPr>
          <w:bCs/>
          <w:lang w:val="en-US"/>
        </w:rPr>
        <w:t xml:space="preserve">particularly </w:t>
      </w:r>
      <w:r w:rsidR="00062B5F" w:rsidRPr="00813D19">
        <w:rPr>
          <w:bCs/>
          <w:lang w:val="en-US"/>
        </w:rPr>
        <w:t xml:space="preserve">in </w:t>
      </w:r>
      <w:r w:rsidR="00A7251C" w:rsidRPr="00813D19">
        <w:rPr>
          <w:bCs/>
          <w:lang w:val="en-US"/>
        </w:rPr>
        <w:t>case</w:t>
      </w:r>
      <w:r w:rsidR="00062B5F" w:rsidRPr="00813D19">
        <w:rPr>
          <w:bCs/>
          <w:lang w:val="en-US"/>
        </w:rPr>
        <w:t>s</w:t>
      </w:r>
      <w:r w:rsidR="00634D0B">
        <w:rPr>
          <w:bCs/>
          <w:lang w:val="en-US"/>
        </w:rPr>
        <w:t xml:space="preserve"> of armed conflict.</w:t>
      </w:r>
    </w:p>
    <w:p w14:paraId="3C2E2CCC" w14:textId="3FAE65E4" w:rsidR="00203BEF" w:rsidRPr="00634D0B" w:rsidRDefault="00203BEF" w:rsidP="00E565AA">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A7251C" w:rsidRPr="00813D19">
        <w:rPr>
          <w:b/>
          <w:color w:val="000000" w:themeColor="text1"/>
          <w:lang w:val="en-US"/>
        </w:rPr>
        <w:t xml:space="preserve"> </w:t>
      </w:r>
      <w:r w:rsidR="009C5D6D" w:rsidRPr="00813D19">
        <w:rPr>
          <w:color w:val="000000" w:themeColor="text1"/>
          <w:lang w:val="en-US"/>
        </w:rPr>
        <w:t>aligned</w:t>
      </w:r>
      <w:r w:rsidR="009C5D6D" w:rsidRPr="00813D19">
        <w:rPr>
          <w:b/>
          <w:color w:val="000000" w:themeColor="text1"/>
          <w:lang w:val="en-US"/>
        </w:rPr>
        <w:t xml:space="preserve"> </w:t>
      </w:r>
      <w:r w:rsidR="00A7251C" w:rsidRPr="00813D19">
        <w:rPr>
          <w:bCs/>
          <w:lang w:val="en-US"/>
        </w:rPr>
        <w:t xml:space="preserve">with Cuba </w:t>
      </w:r>
      <w:r w:rsidR="009C5D6D" w:rsidRPr="00813D19">
        <w:rPr>
          <w:bCs/>
          <w:lang w:val="en-US"/>
        </w:rPr>
        <w:t xml:space="preserve">and was </w:t>
      </w:r>
      <w:r w:rsidR="00A7251C" w:rsidRPr="00813D19">
        <w:rPr>
          <w:bCs/>
          <w:lang w:val="en-US"/>
        </w:rPr>
        <w:t>in favo</w:t>
      </w:r>
      <w:r w:rsidR="00C64B11">
        <w:rPr>
          <w:bCs/>
          <w:lang w:val="en-US"/>
        </w:rPr>
        <w:t>u</w:t>
      </w:r>
      <w:r w:rsidR="00A7251C" w:rsidRPr="00813D19">
        <w:rPr>
          <w:bCs/>
          <w:lang w:val="en-US"/>
        </w:rPr>
        <w:t xml:space="preserve">r </w:t>
      </w:r>
      <w:r w:rsidR="009C5D6D" w:rsidRPr="00813D19">
        <w:rPr>
          <w:bCs/>
          <w:lang w:val="en-US"/>
        </w:rPr>
        <w:t xml:space="preserve">of </w:t>
      </w:r>
      <w:r w:rsidR="00A7251C" w:rsidRPr="00813D19">
        <w:rPr>
          <w:bCs/>
          <w:lang w:val="en-US"/>
        </w:rPr>
        <w:t xml:space="preserve">referencing </w:t>
      </w:r>
      <w:r w:rsidR="009C5D6D" w:rsidRPr="00813D19">
        <w:rPr>
          <w:bCs/>
          <w:lang w:val="en-US"/>
        </w:rPr>
        <w:t xml:space="preserve">UN </w:t>
      </w:r>
      <w:r w:rsidR="00A7251C" w:rsidRPr="00813D19">
        <w:rPr>
          <w:bCs/>
          <w:lang w:val="en-US"/>
        </w:rPr>
        <w:t>Se</w:t>
      </w:r>
      <w:r w:rsidR="00634D0B">
        <w:rPr>
          <w:bCs/>
          <w:lang w:val="en-US"/>
        </w:rPr>
        <w:t>curity Council Resolution 2347.</w:t>
      </w:r>
    </w:p>
    <w:p w14:paraId="38540D3E" w14:textId="2087A167" w:rsidR="00E565AA" w:rsidRPr="00634D0B" w:rsidRDefault="00E565AA" w:rsidP="00E565AA">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A7251C" w:rsidRPr="00813D19">
        <w:rPr>
          <w:b/>
          <w:color w:val="000000" w:themeColor="text1"/>
          <w:lang w:val="en-US"/>
        </w:rPr>
        <w:t xml:space="preserve"> </w:t>
      </w:r>
      <w:r w:rsidR="009C5D6D" w:rsidRPr="00813D19">
        <w:rPr>
          <w:color w:val="000000" w:themeColor="text1"/>
          <w:lang w:val="en-US"/>
        </w:rPr>
        <w:t xml:space="preserve">presented the correct document code </w:t>
      </w:r>
      <w:r w:rsidR="00A7251C" w:rsidRPr="00813D19">
        <w:rPr>
          <w:bCs/>
          <w:lang w:val="en-US"/>
        </w:rPr>
        <w:t>A/HRCH/37/30</w:t>
      </w:r>
      <w:r w:rsidR="009C5D6D" w:rsidRPr="00813D19">
        <w:rPr>
          <w:bCs/>
          <w:lang w:val="en-US"/>
        </w:rPr>
        <w:t xml:space="preserve">, and also </w:t>
      </w:r>
      <w:r w:rsidR="00A7251C" w:rsidRPr="00813D19">
        <w:rPr>
          <w:bCs/>
          <w:lang w:val="en-US"/>
        </w:rPr>
        <w:t>support</w:t>
      </w:r>
      <w:r w:rsidR="009C5D6D" w:rsidRPr="00813D19">
        <w:rPr>
          <w:bCs/>
          <w:lang w:val="en-US"/>
        </w:rPr>
        <w:t>ed</w:t>
      </w:r>
      <w:r w:rsidR="00A7251C" w:rsidRPr="00813D19">
        <w:rPr>
          <w:bCs/>
          <w:lang w:val="en-US"/>
        </w:rPr>
        <w:t xml:space="preserve"> the proposal by Cuba to include </w:t>
      </w:r>
      <w:r w:rsidR="00062B5F" w:rsidRPr="00813D19">
        <w:rPr>
          <w:bCs/>
          <w:lang w:val="en-US"/>
        </w:rPr>
        <w:t xml:space="preserve">UN </w:t>
      </w:r>
      <w:r w:rsidR="009C5D6D" w:rsidRPr="00813D19">
        <w:rPr>
          <w:bCs/>
          <w:lang w:val="en-US"/>
        </w:rPr>
        <w:t>Resolution 2347.</w:t>
      </w:r>
    </w:p>
    <w:p w14:paraId="36107AA2" w14:textId="6660BB9D" w:rsidR="00AC5FD5" w:rsidRPr="00634D0B" w:rsidRDefault="00E853C0" w:rsidP="001D3577">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w:t>
      </w:r>
      <w:r w:rsidR="001D3577" w:rsidRPr="00813D19">
        <w:rPr>
          <w:b/>
          <w:color w:val="000000" w:themeColor="text1"/>
          <w:lang w:val="en-US"/>
        </w:rPr>
        <w:t>s</w:t>
      </w:r>
      <w:r w:rsidRPr="00813D19">
        <w:rPr>
          <w:b/>
          <w:color w:val="000000" w:themeColor="text1"/>
          <w:lang w:val="en-US"/>
        </w:rPr>
        <w:t xml:space="preserve"> of</w:t>
      </w:r>
      <w:r w:rsidR="00C72003" w:rsidRPr="00813D19">
        <w:rPr>
          <w:b/>
          <w:color w:val="000000" w:themeColor="text1"/>
          <w:lang w:val="en-US"/>
        </w:rPr>
        <w:t xml:space="preserve"> Lebanon,</w:t>
      </w:r>
      <w:r w:rsidRPr="00813D19">
        <w:rPr>
          <w:b/>
          <w:color w:val="000000" w:themeColor="text1"/>
          <w:lang w:val="en-US"/>
        </w:rPr>
        <w:t xml:space="preserve"> Djibouti</w:t>
      </w:r>
      <w:r w:rsidR="001D3577" w:rsidRPr="00813D19">
        <w:rPr>
          <w:b/>
          <w:color w:val="000000" w:themeColor="text1"/>
          <w:lang w:val="en-US"/>
        </w:rPr>
        <w:t>, Cyprus, Jamaica</w:t>
      </w:r>
      <w:r w:rsidR="00FF65E3" w:rsidRPr="00813D19">
        <w:rPr>
          <w:b/>
          <w:color w:val="000000" w:themeColor="text1"/>
          <w:lang w:val="en-US"/>
        </w:rPr>
        <w:t xml:space="preserve"> </w:t>
      </w:r>
      <w:r w:rsidR="00FF65E3" w:rsidRPr="00813D19">
        <w:rPr>
          <w:color w:val="000000" w:themeColor="text1"/>
          <w:lang w:val="en-US"/>
        </w:rPr>
        <w:t>and</w:t>
      </w:r>
      <w:r w:rsidR="00FF65E3" w:rsidRPr="00813D19">
        <w:rPr>
          <w:b/>
          <w:color w:val="000000" w:themeColor="text1"/>
          <w:lang w:val="en-US"/>
        </w:rPr>
        <w:t xml:space="preserve"> </w:t>
      </w:r>
      <w:r w:rsidR="001D3577" w:rsidRPr="00813D19">
        <w:rPr>
          <w:b/>
          <w:color w:val="000000" w:themeColor="text1"/>
          <w:lang w:val="en-US"/>
        </w:rPr>
        <w:t xml:space="preserve">Sri Lanka </w:t>
      </w:r>
      <w:r w:rsidR="001D3577" w:rsidRPr="00813D19">
        <w:rPr>
          <w:color w:val="000000" w:themeColor="text1"/>
          <w:lang w:val="en-US"/>
        </w:rPr>
        <w:t>s</w:t>
      </w:r>
      <w:r w:rsidR="00C72003" w:rsidRPr="00813D19">
        <w:rPr>
          <w:color w:val="000000" w:themeColor="text1"/>
          <w:lang w:val="en-US"/>
        </w:rPr>
        <w:t>upported the amendments</w:t>
      </w:r>
      <w:r w:rsidR="00ED7ABE" w:rsidRPr="00634D0B">
        <w:rPr>
          <w:color w:val="000000" w:themeColor="text1"/>
          <w:lang w:val="en-US"/>
        </w:rPr>
        <w:t>.</w:t>
      </w:r>
    </w:p>
    <w:p w14:paraId="427ADDFB" w14:textId="0E47A5D1" w:rsidR="001D3577" w:rsidRPr="00634D0B" w:rsidRDefault="001D3577"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9C5D6D" w:rsidRPr="00813D19">
        <w:rPr>
          <w:color w:val="000000" w:themeColor="text1"/>
          <w:lang w:val="en-US"/>
        </w:rPr>
        <w:t>noted the addition of</w:t>
      </w:r>
      <w:r w:rsidR="009C5D6D" w:rsidRPr="00813D19">
        <w:rPr>
          <w:b/>
          <w:color w:val="000000" w:themeColor="text1"/>
          <w:lang w:val="en-US"/>
        </w:rPr>
        <w:t xml:space="preserve"> </w:t>
      </w:r>
      <w:r w:rsidR="009C5D6D" w:rsidRPr="00813D19">
        <w:rPr>
          <w:bCs/>
          <w:lang w:val="en-US"/>
        </w:rPr>
        <w:t xml:space="preserve">the </w:t>
      </w:r>
      <w:r w:rsidR="00E018B4">
        <w:rPr>
          <w:bCs/>
          <w:lang w:val="en-US"/>
        </w:rPr>
        <w:t>UN</w:t>
      </w:r>
      <w:r w:rsidR="00C72003" w:rsidRPr="00813D19">
        <w:rPr>
          <w:bCs/>
          <w:lang w:val="en-US"/>
        </w:rPr>
        <w:t xml:space="preserve"> resolution </w:t>
      </w:r>
      <w:r w:rsidR="009C5D6D" w:rsidRPr="00813D19">
        <w:rPr>
          <w:bCs/>
          <w:lang w:val="en-US"/>
        </w:rPr>
        <w:t xml:space="preserve">and sought </w:t>
      </w:r>
      <w:r w:rsidR="000A655A" w:rsidRPr="00813D19">
        <w:rPr>
          <w:bCs/>
          <w:lang w:val="en-US"/>
        </w:rPr>
        <w:t xml:space="preserve">an indication of its placement </w:t>
      </w:r>
      <w:r w:rsidR="00634D0B">
        <w:rPr>
          <w:bCs/>
          <w:lang w:val="en-US"/>
        </w:rPr>
        <w:t>in paragraph 2.</w:t>
      </w:r>
    </w:p>
    <w:p w14:paraId="2D44D8A6" w14:textId="2296C554" w:rsidR="00ED7ABE" w:rsidRPr="00634D0B" w:rsidRDefault="00ED7ABE"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Cuba</w:t>
      </w:r>
      <w:r w:rsidR="00C72003" w:rsidRPr="00813D19">
        <w:rPr>
          <w:b/>
          <w:color w:val="000000" w:themeColor="text1"/>
          <w:lang w:val="en-US"/>
        </w:rPr>
        <w:t xml:space="preserve"> </w:t>
      </w:r>
      <w:r w:rsidR="000A655A" w:rsidRPr="00813D19">
        <w:rPr>
          <w:color w:val="000000" w:themeColor="text1"/>
          <w:lang w:val="en-US"/>
        </w:rPr>
        <w:t xml:space="preserve">remarked that </w:t>
      </w:r>
      <w:r w:rsidR="00C72003" w:rsidRPr="00813D19">
        <w:rPr>
          <w:bCs/>
          <w:lang w:val="en-US"/>
        </w:rPr>
        <w:t xml:space="preserve">the </w:t>
      </w:r>
      <w:r w:rsidR="000A655A" w:rsidRPr="00813D19">
        <w:rPr>
          <w:bCs/>
          <w:lang w:val="en-US"/>
        </w:rPr>
        <w:t xml:space="preserve">UN </w:t>
      </w:r>
      <w:r w:rsidR="00C72003" w:rsidRPr="00813D19">
        <w:rPr>
          <w:bCs/>
          <w:lang w:val="en-US"/>
        </w:rPr>
        <w:t xml:space="preserve">Security Council Resolution should be in the </w:t>
      </w:r>
      <w:r w:rsidR="000A655A" w:rsidRPr="00813D19">
        <w:rPr>
          <w:bCs/>
          <w:lang w:val="en-US"/>
        </w:rPr>
        <w:t>first sentence</w:t>
      </w:r>
      <w:r w:rsidR="00FF65E3" w:rsidRPr="00813D19">
        <w:rPr>
          <w:bCs/>
          <w:lang w:val="en-US"/>
        </w:rPr>
        <w:t xml:space="preserve">, adding that it was also </w:t>
      </w:r>
      <w:r w:rsidR="00C72003" w:rsidRPr="00813D19">
        <w:rPr>
          <w:bCs/>
          <w:lang w:val="en-US"/>
        </w:rPr>
        <w:t xml:space="preserve">important to mention </w:t>
      </w:r>
      <w:r w:rsidR="00FF65E3" w:rsidRPr="00813D19">
        <w:rPr>
          <w:bCs/>
          <w:lang w:val="en-US"/>
        </w:rPr>
        <w:t>the UNESCO Action Plan</w:t>
      </w:r>
      <w:r w:rsidR="00C72003" w:rsidRPr="00813D19">
        <w:rPr>
          <w:bCs/>
          <w:lang w:val="en-US"/>
        </w:rPr>
        <w:t xml:space="preserve"> to strengthen </w:t>
      </w:r>
      <w:r w:rsidR="005C4E99" w:rsidRPr="00813D19">
        <w:rPr>
          <w:bCs/>
          <w:lang w:val="en-US"/>
        </w:rPr>
        <w:t xml:space="preserve">the safeguarding of </w:t>
      </w:r>
      <w:r w:rsidR="00C72003" w:rsidRPr="00813D19">
        <w:rPr>
          <w:bCs/>
          <w:lang w:val="en-US"/>
        </w:rPr>
        <w:t>heritage</w:t>
      </w:r>
      <w:r w:rsidR="00FF65E3" w:rsidRPr="00813D19">
        <w:rPr>
          <w:bCs/>
          <w:lang w:val="en-US"/>
        </w:rPr>
        <w:t xml:space="preserve">. In addition, </w:t>
      </w:r>
      <w:r w:rsidR="00C72003" w:rsidRPr="00813D19">
        <w:rPr>
          <w:bCs/>
          <w:lang w:val="en-US"/>
        </w:rPr>
        <w:t xml:space="preserve">there </w:t>
      </w:r>
      <w:r w:rsidR="00FF65E3" w:rsidRPr="00813D19">
        <w:rPr>
          <w:bCs/>
          <w:lang w:val="en-US"/>
        </w:rPr>
        <w:t xml:space="preserve">was </w:t>
      </w:r>
      <w:r w:rsidR="00C72003" w:rsidRPr="00813D19">
        <w:rPr>
          <w:bCs/>
          <w:lang w:val="en-US"/>
        </w:rPr>
        <w:t>also the resolution of the Human Rights Council</w:t>
      </w:r>
      <w:r w:rsidR="00FF65E3" w:rsidRPr="00813D19">
        <w:rPr>
          <w:bCs/>
          <w:lang w:val="en-US"/>
        </w:rPr>
        <w:t xml:space="preserve">. Thus, in terms of hierarchy, </w:t>
      </w:r>
      <w:r w:rsidR="00C72003" w:rsidRPr="00813D19">
        <w:rPr>
          <w:bCs/>
          <w:lang w:val="en-US"/>
        </w:rPr>
        <w:t xml:space="preserve">the Security Council </w:t>
      </w:r>
      <w:r w:rsidR="00FF65E3" w:rsidRPr="00813D19">
        <w:rPr>
          <w:bCs/>
          <w:lang w:val="en-US"/>
        </w:rPr>
        <w:t xml:space="preserve">resolution </w:t>
      </w:r>
      <w:r w:rsidR="00C72003" w:rsidRPr="00813D19">
        <w:rPr>
          <w:bCs/>
          <w:lang w:val="en-US"/>
        </w:rPr>
        <w:t>should go first</w:t>
      </w:r>
      <w:r w:rsidR="00E018B4">
        <w:rPr>
          <w:bCs/>
          <w:lang w:val="en-US"/>
        </w:rPr>
        <w:t>,</w:t>
      </w:r>
      <w:r w:rsidR="00C72003" w:rsidRPr="00813D19">
        <w:rPr>
          <w:bCs/>
          <w:lang w:val="en-US"/>
        </w:rPr>
        <w:t xml:space="preserve"> </w:t>
      </w:r>
      <w:r w:rsidR="00FF65E3" w:rsidRPr="00813D19">
        <w:rPr>
          <w:bCs/>
          <w:lang w:val="en-US"/>
        </w:rPr>
        <w:t xml:space="preserve">followed by </w:t>
      </w:r>
      <w:r w:rsidR="00C72003" w:rsidRPr="00813D19">
        <w:rPr>
          <w:bCs/>
          <w:lang w:val="en-US"/>
        </w:rPr>
        <w:t>the Human Rights Co</w:t>
      </w:r>
      <w:r w:rsidR="00FF65E3" w:rsidRPr="00813D19">
        <w:rPr>
          <w:bCs/>
          <w:lang w:val="en-US"/>
        </w:rPr>
        <w:t>uncil r</w:t>
      </w:r>
      <w:r w:rsidR="009C5D6D" w:rsidRPr="00813D19">
        <w:rPr>
          <w:bCs/>
          <w:lang w:val="en-US"/>
        </w:rPr>
        <w:t>esolution.</w:t>
      </w:r>
    </w:p>
    <w:p w14:paraId="42823847" w14:textId="2A8F63A6" w:rsidR="00AB103A" w:rsidRPr="00634D0B" w:rsidRDefault="00AB103A"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the Netherlands</w:t>
      </w:r>
      <w:r w:rsidR="00C72003" w:rsidRPr="00813D19">
        <w:rPr>
          <w:b/>
          <w:color w:val="000000" w:themeColor="text1"/>
          <w:lang w:val="en-US"/>
        </w:rPr>
        <w:t xml:space="preserve"> </w:t>
      </w:r>
      <w:r w:rsidR="00FF65E3" w:rsidRPr="00813D19">
        <w:rPr>
          <w:color w:val="000000" w:themeColor="text1"/>
          <w:lang w:val="en-US"/>
        </w:rPr>
        <w:t xml:space="preserve">remarked that as </w:t>
      </w:r>
      <w:r w:rsidR="00FF65E3" w:rsidRPr="00813D19">
        <w:rPr>
          <w:bCs/>
          <w:lang w:val="en-US"/>
        </w:rPr>
        <w:t>these r</w:t>
      </w:r>
      <w:r w:rsidR="00C72003" w:rsidRPr="00813D19">
        <w:rPr>
          <w:bCs/>
          <w:lang w:val="en-US"/>
        </w:rPr>
        <w:t xml:space="preserve">esolutions </w:t>
      </w:r>
      <w:r w:rsidR="00FF65E3" w:rsidRPr="00813D19">
        <w:rPr>
          <w:bCs/>
          <w:lang w:val="en-US"/>
        </w:rPr>
        <w:t xml:space="preserve">were </w:t>
      </w:r>
      <w:r w:rsidR="00C72003" w:rsidRPr="00813D19">
        <w:rPr>
          <w:bCs/>
          <w:lang w:val="en-US"/>
        </w:rPr>
        <w:t>presented for the first time</w:t>
      </w:r>
      <w:r w:rsidR="00FF65E3" w:rsidRPr="00813D19">
        <w:rPr>
          <w:bCs/>
          <w:lang w:val="en-US"/>
        </w:rPr>
        <w:t xml:space="preserve">, more time was needed </w:t>
      </w:r>
      <w:r w:rsidR="00634D0B">
        <w:rPr>
          <w:bCs/>
          <w:lang w:val="en-US"/>
        </w:rPr>
        <w:t>to check the references.</w:t>
      </w:r>
    </w:p>
    <w:p w14:paraId="3285CBF3" w14:textId="2C213866" w:rsidR="0077102D" w:rsidRPr="00634D0B" w:rsidRDefault="0077102D"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C72003" w:rsidRPr="00813D19">
        <w:rPr>
          <w:b/>
          <w:color w:val="000000" w:themeColor="text1"/>
          <w:lang w:val="en-US"/>
        </w:rPr>
        <w:t xml:space="preserve"> </w:t>
      </w:r>
      <w:r w:rsidR="00FF65E3" w:rsidRPr="00813D19">
        <w:rPr>
          <w:color w:val="000000" w:themeColor="text1"/>
          <w:lang w:val="en-US"/>
        </w:rPr>
        <w:t>asked that the</w:t>
      </w:r>
      <w:r w:rsidR="00FF65E3" w:rsidRPr="00813D19">
        <w:rPr>
          <w:b/>
          <w:color w:val="000000" w:themeColor="text1"/>
          <w:lang w:val="en-US"/>
        </w:rPr>
        <w:t xml:space="preserve"> </w:t>
      </w:r>
      <w:r w:rsidR="00C72003" w:rsidRPr="00813D19">
        <w:rPr>
          <w:bCs/>
          <w:lang w:val="en-US"/>
        </w:rPr>
        <w:t>Secretariat reflect the name</w:t>
      </w:r>
      <w:r w:rsidR="00FF65E3" w:rsidRPr="00813D19">
        <w:rPr>
          <w:bCs/>
          <w:lang w:val="en-US"/>
        </w:rPr>
        <w:t>s</w:t>
      </w:r>
      <w:r w:rsidR="00C72003" w:rsidRPr="00813D19">
        <w:rPr>
          <w:bCs/>
          <w:lang w:val="en-US"/>
        </w:rPr>
        <w:t xml:space="preserve"> of all those who support</w:t>
      </w:r>
      <w:r w:rsidR="00FF65E3" w:rsidRPr="00813D19">
        <w:rPr>
          <w:bCs/>
          <w:lang w:val="en-US"/>
        </w:rPr>
        <w:t>ed</w:t>
      </w:r>
      <w:r w:rsidR="00C72003" w:rsidRPr="00813D19">
        <w:rPr>
          <w:bCs/>
          <w:lang w:val="en-US"/>
        </w:rPr>
        <w:t xml:space="preserve"> the </w:t>
      </w:r>
      <w:r w:rsidR="00FF65E3" w:rsidRPr="00813D19">
        <w:rPr>
          <w:bCs/>
          <w:lang w:val="en-US"/>
        </w:rPr>
        <w:t>amendments</w:t>
      </w:r>
      <w:r w:rsidR="00634D0B">
        <w:rPr>
          <w:bCs/>
          <w:lang w:val="en-US"/>
        </w:rPr>
        <w:t>.</w:t>
      </w:r>
    </w:p>
    <w:p w14:paraId="01CC0A34" w14:textId="6FE71807" w:rsidR="007D64AD" w:rsidRPr="00634D0B" w:rsidRDefault="007D64AD"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005C4E99" w:rsidRPr="00813D19">
        <w:rPr>
          <w:color w:val="000000" w:themeColor="text1"/>
          <w:lang w:val="en-US"/>
        </w:rPr>
        <w:t>noted</w:t>
      </w:r>
      <w:r w:rsidRPr="00813D19">
        <w:rPr>
          <w:color w:val="000000" w:themeColor="text1"/>
          <w:lang w:val="en-US"/>
        </w:rPr>
        <w:t xml:space="preserve"> support from the delegations</w:t>
      </w:r>
      <w:r w:rsidRPr="00813D19">
        <w:rPr>
          <w:b/>
          <w:color w:val="000000" w:themeColor="text1"/>
          <w:lang w:val="en-US"/>
        </w:rPr>
        <w:t xml:space="preserve"> </w:t>
      </w:r>
      <w:r w:rsidRPr="00813D19">
        <w:rPr>
          <w:color w:val="000000" w:themeColor="text1"/>
          <w:lang w:val="en-US"/>
        </w:rPr>
        <w:t>of</w:t>
      </w:r>
      <w:r w:rsidRPr="00813D19">
        <w:rPr>
          <w:b/>
          <w:color w:val="000000" w:themeColor="text1"/>
          <w:lang w:val="en-US"/>
        </w:rPr>
        <w:t xml:space="preserve"> </w:t>
      </w:r>
      <w:r w:rsidR="00C72003" w:rsidRPr="00813D19">
        <w:rPr>
          <w:b/>
          <w:bCs/>
          <w:lang w:val="en-US"/>
        </w:rPr>
        <w:t>Sri Lanka</w:t>
      </w:r>
      <w:r w:rsidR="00FF65E3" w:rsidRPr="00813D19">
        <w:rPr>
          <w:bCs/>
          <w:lang w:val="en-US"/>
        </w:rPr>
        <w:t xml:space="preserve">, </w:t>
      </w:r>
      <w:r w:rsidR="00C72003" w:rsidRPr="00813D19">
        <w:rPr>
          <w:b/>
          <w:bCs/>
          <w:lang w:val="en-US"/>
        </w:rPr>
        <w:t>Djibouti</w:t>
      </w:r>
      <w:r w:rsidR="00C72003" w:rsidRPr="00813D19">
        <w:rPr>
          <w:bCs/>
          <w:lang w:val="en-US"/>
        </w:rPr>
        <w:t xml:space="preserve">, </w:t>
      </w:r>
      <w:r w:rsidR="00C72003" w:rsidRPr="00813D19">
        <w:rPr>
          <w:b/>
          <w:bCs/>
          <w:lang w:val="en-US"/>
        </w:rPr>
        <w:t>Poland</w:t>
      </w:r>
      <w:r w:rsidR="00C72003" w:rsidRPr="00813D19">
        <w:rPr>
          <w:bCs/>
          <w:lang w:val="en-US"/>
        </w:rPr>
        <w:t xml:space="preserve">, </w:t>
      </w:r>
      <w:r w:rsidR="00C72003" w:rsidRPr="00813D19">
        <w:rPr>
          <w:b/>
          <w:bCs/>
          <w:lang w:val="en-US"/>
        </w:rPr>
        <w:t>Togo</w:t>
      </w:r>
      <w:r w:rsidR="00C72003" w:rsidRPr="00813D19">
        <w:rPr>
          <w:bCs/>
          <w:lang w:val="en-US"/>
        </w:rPr>
        <w:t xml:space="preserve">, </w:t>
      </w:r>
      <w:r w:rsidR="00C72003" w:rsidRPr="00813D19">
        <w:rPr>
          <w:b/>
          <w:bCs/>
          <w:lang w:val="en-US"/>
        </w:rPr>
        <w:t>Cyprus</w:t>
      </w:r>
      <w:r w:rsidR="00C72003" w:rsidRPr="00813D19">
        <w:rPr>
          <w:bCs/>
          <w:lang w:val="en-US"/>
        </w:rPr>
        <w:t xml:space="preserve">, </w:t>
      </w:r>
      <w:r w:rsidR="00C72003" w:rsidRPr="00813D19">
        <w:rPr>
          <w:b/>
          <w:bCs/>
          <w:lang w:val="en-US"/>
        </w:rPr>
        <w:t>Jamaica</w:t>
      </w:r>
      <w:r w:rsidR="00C72003" w:rsidRPr="00813D19">
        <w:rPr>
          <w:bCs/>
          <w:lang w:val="en-US"/>
        </w:rPr>
        <w:t xml:space="preserve">, </w:t>
      </w:r>
      <w:r w:rsidR="00E018B4" w:rsidRPr="003221D5">
        <w:rPr>
          <w:b/>
          <w:bCs/>
          <w:lang w:val="en-US"/>
        </w:rPr>
        <w:t xml:space="preserve">the </w:t>
      </w:r>
      <w:r w:rsidR="00C72003" w:rsidRPr="00813D19">
        <w:rPr>
          <w:b/>
          <w:bCs/>
          <w:lang w:val="en-US"/>
        </w:rPr>
        <w:t>Philippine</w:t>
      </w:r>
      <w:r w:rsidR="00FF65E3" w:rsidRPr="00813D19">
        <w:rPr>
          <w:b/>
          <w:bCs/>
          <w:lang w:val="en-US"/>
        </w:rPr>
        <w:t>s</w:t>
      </w:r>
      <w:r w:rsidR="00FF65E3" w:rsidRPr="00813D19">
        <w:rPr>
          <w:bCs/>
          <w:lang w:val="en-US"/>
        </w:rPr>
        <w:t xml:space="preserve">, </w:t>
      </w:r>
      <w:r w:rsidR="00FF65E3" w:rsidRPr="00813D19">
        <w:rPr>
          <w:b/>
          <w:bCs/>
          <w:lang w:val="en-US"/>
        </w:rPr>
        <w:t>Lebanon</w:t>
      </w:r>
      <w:r w:rsidR="00FF65E3" w:rsidRPr="00813D19">
        <w:rPr>
          <w:bCs/>
          <w:lang w:val="en-US"/>
        </w:rPr>
        <w:t xml:space="preserve">, </w:t>
      </w:r>
      <w:r w:rsidR="00FF65E3" w:rsidRPr="00813D19">
        <w:rPr>
          <w:b/>
          <w:bCs/>
          <w:lang w:val="en-US"/>
        </w:rPr>
        <w:t>Cameroon</w:t>
      </w:r>
      <w:r w:rsidR="00FF65E3" w:rsidRPr="00813D19">
        <w:rPr>
          <w:bCs/>
          <w:lang w:val="en-US"/>
        </w:rPr>
        <w:t xml:space="preserve">, </w:t>
      </w:r>
      <w:r w:rsidR="00FF65E3" w:rsidRPr="00813D19">
        <w:rPr>
          <w:b/>
          <w:bCs/>
          <w:lang w:val="en-US"/>
        </w:rPr>
        <w:t>Kuwait</w:t>
      </w:r>
      <w:r w:rsidR="00FF65E3" w:rsidRPr="00813D19">
        <w:rPr>
          <w:bCs/>
          <w:lang w:val="en-US"/>
        </w:rPr>
        <w:t>,</w:t>
      </w:r>
      <w:r w:rsidR="00C72003" w:rsidRPr="00813D19">
        <w:rPr>
          <w:bCs/>
          <w:lang w:val="en-US"/>
        </w:rPr>
        <w:t xml:space="preserve"> </w:t>
      </w:r>
      <w:r w:rsidR="00C72003" w:rsidRPr="00813D19">
        <w:rPr>
          <w:b/>
          <w:bCs/>
          <w:lang w:val="en-US"/>
        </w:rPr>
        <w:t>Colo</w:t>
      </w:r>
      <w:r w:rsidR="00FF65E3" w:rsidRPr="00813D19">
        <w:rPr>
          <w:b/>
          <w:bCs/>
          <w:lang w:val="en-US"/>
        </w:rPr>
        <w:t>mbia</w:t>
      </w:r>
      <w:r w:rsidR="00FF65E3" w:rsidRPr="00813D19">
        <w:rPr>
          <w:bCs/>
          <w:lang w:val="en-US"/>
        </w:rPr>
        <w:t xml:space="preserve">, </w:t>
      </w:r>
      <w:r w:rsidR="00C72003" w:rsidRPr="00813D19">
        <w:rPr>
          <w:b/>
          <w:bCs/>
          <w:lang w:val="en-US"/>
        </w:rPr>
        <w:t>Senegal</w:t>
      </w:r>
      <w:r w:rsidR="00FF65E3" w:rsidRPr="00813D19">
        <w:rPr>
          <w:bCs/>
          <w:lang w:val="en-US"/>
        </w:rPr>
        <w:t xml:space="preserve"> and </w:t>
      </w:r>
      <w:r w:rsidR="00FF65E3" w:rsidRPr="00813D19">
        <w:rPr>
          <w:b/>
          <w:bCs/>
          <w:lang w:val="en-US"/>
        </w:rPr>
        <w:t>Kazakhstan</w:t>
      </w:r>
      <w:r w:rsidR="00634D0B">
        <w:rPr>
          <w:bCs/>
          <w:lang w:val="en-US"/>
        </w:rPr>
        <w:t>.</w:t>
      </w:r>
    </w:p>
    <w:p w14:paraId="2E316FA2" w14:textId="05F7611E" w:rsidR="00F16F1E" w:rsidRPr="00634D0B" w:rsidRDefault="00F16F1E" w:rsidP="001D3577">
      <w:pPr>
        <w:pStyle w:val="Orateurengris"/>
        <w:spacing w:before="120"/>
        <w:ind w:left="709" w:hanging="709"/>
        <w:rPr>
          <w:bCs/>
          <w:color w:val="000000" w:themeColor="text1"/>
          <w:lang w:val="en-US"/>
        </w:rPr>
      </w:pPr>
      <w:r w:rsidRPr="00813D19">
        <w:rPr>
          <w:bCs/>
          <w:lang w:val="en-US"/>
        </w:rPr>
        <w:t xml:space="preserve">The </w:t>
      </w:r>
      <w:r w:rsidRPr="00813D19">
        <w:rPr>
          <w:b/>
          <w:bCs/>
          <w:lang w:val="en-US"/>
        </w:rPr>
        <w:t xml:space="preserve">delegation of </w:t>
      </w:r>
      <w:r w:rsidR="0001387F">
        <w:rPr>
          <w:b/>
          <w:bCs/>
          <w:lang w:val="en-US"/>
        </w:rPr>
        <w:t xml:space="preserve">the </w:t>
      </w:r>
      <w:r w:rsidRPr="00813D19">
        <w:rPr>
          <w:b/>
          <w:bCs/>
          <w:lang w:val="en-US"/>
        </w:rPr>
        <w:t>Netherlands</w:t>
      </w:r>
      <w:r w:rsidRPr="00813D19">
        <w:rPr>
          <w:bCs/>
          <w:lang w:val="en-US"/>
        </w:rPr>
        <w:t xml:space="preserve"> asked whether there was broad support.</w:t>
      </w:r>
    </w:p>
    <w:p w14:paraId="4750A49E" w14:textId="3A899133" w:rsidR="00F16F1E" w:rsidRPr="00634D0B" w:rsidRDefault="00F16F1E" w:rsidP="001D3577">
      <w:pPr>
        <w:pStyle w:val="Orateurengris"/>
        <w:spacing w:before="120"/>
        <w:ind w:left="709" w:hanging="709"/>
        <w:rPr>
          <w:bCs/>
          <w:color w:val="000000" w:themeColor="text1"/>
          <w:lang w:val="en-US"/>
        </w:rPr>
      </w:pPr>
      <w:r w:rsidRPr="00813D19">
        <w:rPr>
          <w:bCs/>
          <w:lang w:val="en-US"/>
        </w:rPr>
        <w:t xml:space="preserve">The </w:t>
      </w:r>
      <w:r w:rsidRPr="00813D19">
        <w:rPr>
          <w:b/>
          <w:bCs/>
          <w:lang w:val="en-US"/>
        </w:rPr>
        <w:t>Vice-Chairperson</w:t>
      </w:r>
      <w:r w:rsidRPr="00813D19">
        <w:rPr>
          <w:bCs/>
          <w:lang w:val="en-US"/>
        </w:rPr>
        <w:t xml:space="preserve"> noted that there was broad support.</w:t>
      </w:r>
    </w:p>
    <w:p w14:paraId="0A090B1D" w14:textId="3C3A24D1" w:rsidR="00E8644D" w:rsidRPr="00634D0B" w:rsidRDefault="00E8644D"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C72003" w:rsidRPr="00813D19">
        <w:rPr>
          <w:b/>
          <w:color w:val="000000" w:themeColor="text1"/>
          <w:lang w:val="en-US"/>
        </w:rPr>
        <w:t xml:space="preserve"> </w:t>
      </w:r>
      <w:r w:rsidR="00FF65E3" w:rsidRPr="00813D19">
        <w:rPr>
          <w:bCs/>
          <w:lang w:val="en-US"/>
        </w:rPr>
        <w:t xml:space="preserve">clarified that Cuba and Palestine </w:t>
      </w:r>
      <w:r w:rsidR="00E018B4">
        <w:rPr>
          <w:bCs/>
          <w:lang w:val="en-US"/>
        </w:rPr>
        <w:t xml:space="preserve">had </w:t>
      </w:r>
      <w:r w:rsidR="00FF65E3" w:rsidRPr="00813D19">
        <w:rPr>
          <w:bCs/>
          <w:lang w:val="en-US"/>
        </w:rPr>
        <w:t>presented</w:t>
      </w:r>
      <w:r w:rsidR="00C72003" w:rsidRPr="00813D19">
        <w:rPr>
          <w:bCs/>
          <w:lang w:val="en-US"/>
        </w:rPr>
        <w:t xml:space="preserve"> </w:t>
      </w:r>
      <w:r w:rsidR="00FF65E3" w:rsidRPr="00813D19">
        <w:rPr>
          <w:bCs/>
          <w:lang w:val="en-US"/>
        </w:rPr>
        <w:t xml:space="preserve">two </w:t>
      </w:r>
      <w:r w:rsidR="00C72003" w:rsidRPr="00813D19">
        <w:rPr>
          <w:bCs/>
          <w:lang w:val="en-US"/>
        </w:rPr>
        <w:t>amendments</w:t>
      </w:r>
      <w:r w:rsidR="005C4E99" w:rsidRPr="00813D19">
        <w:rPr>
          <w:bCs/>
          <w:lang w:val="en-US"/>
        </w:rPr>
        <w:t xml:space="preserve"> that </w:t>
      </w:r>
      <w:r w:rsidR="00FF65E3" w:rsidRPr="00813D19">
        <w:rPr>
          <w:bCs/>
          <w:lang w:val="en-US"/>
        </w:rPr>
        <w:t xml:space="preserve">were now </w:t>
      </w:r>
      <w:r w:rsidR="00C72003" w:rsidRPr="00813D19">
        <w:rPr>
          <w:bCs/>
          <w:lang w:val="en-US"/>
        </w:rPr>
        <w:t xml:space="preserve">one </w:t>
      </w:r>
      <w:r w:rsidR="005C4E99" w:rsidRPr="00813D19">
        <w:rPr>
          <w:bCs/>
          <w:lang w:val="en-US"/>
        </w:rPr>
        <w:t xml:space="preserve">joint </w:t>
      </w:r>
      <w:r w:rsidR="00C72003" w:rsidRPr="00813D19">
        <w:rPr>
          <w:bCs/>
          <w:lang w:val="en-US"/>
        </w:rPr>
        <w:t>amendment</w:t>
      </w:r>
      <w:r w:rsidR="00FF65E3" w:rsidRPr="00813D19">
        <w:rPr>
          <w:bCs/>
          <w:lang w:val="en-US"/>
        </w:rPr>
        <w:t xml:space="preserve">. Thus, </w:t>
      </w:r>
      <w:r w:rsidR="005C4E99" w:rsidRPr="00813D19">
        <w:rPr>
          <w:bCs/>
          <w:lang w:val="en-US"/>
        </w:rPr>
        <w:t xml:space="preserve">all voiced </w:t>
      </w:r>
      <w:r w:rsidR="00FF65E3" w:rsidRPr="00813D19">
        <w:rPr>
          <w:bCs/>
          <w:lang w:val="en-US"/>
        </w:rPr>
        <w:t>support</w:t>
      </w:r>
      <w:r w:rsidR="00C72003" w:rsidRPr="00813D19">
        <w:rPr>
          <w:bCs/>
          <w:lang w:val="en-US"/>
        </w:rPr>
        <w:t xml:space="preserve"> </w:t>
      </w:r>
      <w:r w:rsidR="005C4E99" w:rsidRPr="00813D19">
        <w:rPr>
          <w:bCs/>
          <w:lang w:val="en-US"/>
        </w:rPr>
        <w:t>was for both amendments</w:t>
      </w:r>
      <w:r w:rsidR="00634D0B">
        <w:rPr>
          <w:bCs/>
          <w:lang w:val="en-US"/>
        </w:rPr>
        <w:t>.</w:t>
      </w:r>
    </w:p>
    <w:p w14:paraId="6FCF2EB8" w14:textId="3AD789D5" w:rsidR="00E8644D" w:rsidRPr="00634D0B" w:rsidRDefault="00E8644D"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Pr="00813D19">
        <w:rPr>
          <w:color w:val="000000" w:themeColor="text1"/>
          <w:lang w:val="en-US"/>
        </w:rPr>
        <w:t>pronounced</w:t>
      </w:r>
      <w:r w:rsidRPr="00813D19">
        <w:rPr>
          <w:b/>
          <w:color w:val="000000" w:themeColor="text1"/>
          <w:lang w:val="en-US"/>
        </w:rPr>
        <w:t xml:space="preserve"> </w:t>
      </w:r>
      <w:r w:rsidRPr="00813D19">
        <w:rPr>
          <w:color w:val="000000" w:themeColor="text1"/>
          <w:lang w:val="en-US"/>
        </w:rPr>
        <w:t xml:space="preserve">paragraph 2 adopted as amended. Paragraph 3 was </w:t>
      </w:r>
      <w:r w:rsidR="00FF65E3" w:rsidRPr="00813D19">
        <w:rPr>
          <w:color w:val="000000" w:themeColor="text1"/>
          <w:lang w:val="en-US"/>
        </w:rPr>
        <w:t xml:space="preserve">also </w:t>
      </w:r>
      <w:r w:rsidR="00F16F1E" w:rsidRPr="00813D19">
        <w:rPr>
          <w:color w:val="000000" w:themeColor="text1"/>
          <w:lang w:val="en-US"/>
        </w:rPr>
        <w:t xml:space="preserve">duly </w:t>
      </w:r>
      <w:r w:rsidRPr="00813D19">
        <w:rPr>
          <w:color w:val="000000" w:themeColor="text1"/>
          <w:lang w:val="en-US"/>
        </w:rPr>
        <w:t>adopted.</w:t>
      </w:r>
      <w:r w:rsidRPr="00813D19">
        <w:rPr>
          <w:b/>
          <w:color w:val="000000" w:themeColor="text1"/>
          <w:lang w:val="en-US"/>
        </w:rPr>
        <w:t xml:space="preserve"> </w:t>
      </w:r>
      <w:r w:rsidRPr="00813D19">
        <w:rPr>
          <w:color w:val="000000" w:themeColor="text1"/>
          <w:lang w:val="en-US"/>
        </w:rPr>
        <w:t>Paragraph 4</w:t>
      </w:r>
      <w:r w:rsidRPr="00813D19">
        <w:rPr>
          <w:b/>
          <w:color w:val="000000" w:themeColor="text1"/>
          <w:lang w:val="en-US"/>
        </w:rPr>
        <w:t xml:space="preserve"> </w:t>
      </w:r>
      <w:r w:rsidRPr="00813D19">
        <w:rPr>
          <w:color w:val="000000" w:themeColor="text1"/>
          <w:lang w:val="en-US"/>
        </w:rPr>
        <w:t>included an amendment by Palestine</w:t>
      </w:r>
      <w:r w:rsidR="00FF65E3" w:rsidRPr="00813D19">
        <w:rPr>
          <w:color w:val="000000" w:themeColor="text1"/>
          <w:lang w:val="en-US"/>
        </w:rPr>
        <w:t>, which would read, ‘</w:t>
      </w:r>
      <w:r w:rsidR="00C72003" w:rsidRPr="00813D19">
        <w:rPr>
          <w:bCs/>
          <w:lang w:val="en-US"/>
        </w:rPr>
        <w:t>often also elements of their tangible cultural heritage</w:t>
      </w:r>
      <w:r w:rsidR="004E45B2" w:rsidRPr="00813D19">
        <w:rPr>
          <w:bCs/>
          <w:lang w:val="en-US"/>
        </w:rPr>
        <w:t>’</w:t>
      </w:r>
      <w:r w:rsidR="00C72003" w:rsidRPr="00813D19">
        <w:rPr>
          <w:bCs/>
          <w:lang w:val="en-US"/>
        </w:rPr>
        <w:t xml:space="preserve"> </w:t>
      </w:r>
      <w:r w:rsidR="004E45B2" w:rsidRPr="00813D19">
        <w:rPr>
          <w:bCs/>
          <w:lang w:val="en-US"/>
        </w:rPr>
        <w:t>before ‘</w:t>
      </w:r>
      <w:r w:rsidR="00C72003" w:rsidRPr="00813D19">
        <w:rPr>
          <w:bCs/>
          <w:lang w:val="en-US"/>
        </w:rPr>
        <w:t>whose existence is necessary for expressing their intangible cultural heritage</w:t>
      </w:r>
      <w:r w:rsidR="00FF65E3" w:rsidRPr="00813D19">
        <w:rPr>
          <w:bCs/>
          <w:lang w:val="en-US"/>
        </w:rPr>
        <w:t>’</w:t>
      </w:r>
      <w:r w:rsidR="00634D0B">
        <w:rPr>
          <w:bCs/>
          <w:lang w:val="en-US"/>
        </w:rPr>
        <w:t>.</w:t>
      </w:r>
    </w:p>
    <w:p w14:paraId="7086228B" w14:textId="16B77B7F" w:rsidR="00E8644D" w:rsidRPr="00634D0B" w:rsidRDefault="00E8644D" w:rsidP="001D3577">
      <w:pPr>
        <w:pStyle w:val="Orateurengris"/>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delegation of China</w:t>
      </w:r>
      <w:r w:rsidR="00C72003" w:rsidRPr="00813D19">
        <w:rPr>
          <w:b/>
          <w:color w:val="000000" w:themeColor="text1"/>
          <w:lang w:val="en-US"/>
        </w:rPr>
        <w:t xml:space="preserve"> </w:t>
      </w:r>
      <w:r w:rsidR="00FF65E3" w:rsidRPr="00813D19">
        <w:rPr>
          <w:color w:val="000000" w:themeColor="text1"/>
          <w:lang w:val="en-US"/>
        </w:rPr>
        <w:t xml:space="preserve">asked </w:t>
      </w:r>
      <w:r w:rsidR="007858B8" w:rsidRPr="00813D19">
        <w:rPr>
          <w:color w:val="000000" w:themeColor="text1"/>
          <w:lang w:val="en-US"/>
        </w:rPr>
        <w:t>Palestine to clarify</w:t>
      </w:r>
      <w:r w:rsidR="00FF65E3" w:rsidRPr="00813D19">
        <w:rPr>
          <w:b/>
          <w:color w:val="000000" w:themeColor="text1"/>
          <w:lang w:val="en-US"/>
        </w:rPr>
        <w:t xml:space="preserve"> </w:t>
      </w:r>
      <w:r w:rsidR="00F16F1E" w:rsidRPr="00813D19">
        <w:rPr>
          <w:bCs/>
          <w:lang w:val="en-US"/>
        </w:rPr>
        <w:t>its amendment</w:t>
      </w:r>
      <w:r w:rsidR="007858B8" w:rsidRPr="00813D19">
        <w:rPr>
          <w:bCs/>
          <w:lang w:val="en-US"/>
        </w:rPr>
        <w:t xml:space="preserve"> as reference was </w:t>
      </w:r>
      <w:r w:rsidR="00F16F1E" w:rsidRPr="00813D19">
        <w:rPr>
          <w:bCs/>
          <w:lang w:val="en-US"/>
        </w:rPr>
        <w:t xml:space="preserve">being </w:t>
      </w:r>
      <w:r w:rsidR="007858B8" w:rsidRPr="00813D19">
        <w:rPr>
          <w:bCs/>
          <w:lang w:val="en-US"/>
        </w:rPr>
        <w:t xml:space="preserve">made to </w:t>
      </w:r>
      <w:r w:rsidR="00C72003" w:rsidRPr="00813D19">
        <w:rPr>
          <w:bCs/>
          <w:lang w:val="en-US"/>
        </w:rPr>
        <w:t xml:space="preserve">the 1972 Convention </w:t>
      </w:r>
      <w:r w:rsidR="00F16F1E" w:rsidRPr="00813D19">
        <w:rPr>
          <w:bCs/>
          <w:lang w:val="en-US"/>
        </w:rPr>
        <w:t xml:space="preserve">on </w:t>
      </w:r>
      <w:r w:rsidR="00C72003" w:rsidRPr="00813D19">
        <w:rPr>
          <w:bCs/>
          <w:lang w:val="en-US"/>
        </w:rPr>
        <w:t xml:space="preserve">elements of </w:t>
      </w:r>
      <w:r w:rsidR="00C72003" w:rsidRPr="00813D19">
        <w:rPr>
          <w:bCs/>
          <w:i/>
          <w:lang w:val="en-US"/>
        </w:rPr>
        <w:t>tangible</w:t>
      </w:r>
      <w:r w:rsidR="00C72003" w:rsidRPr="00813D19">
        <w:rPr>
          <w:bCs/>
          <w:lang w:val="en-US"/>
        </w:rPr>
        <w:t xml:space="preserve"> cultural heritage</w:t>
      </w:r>
      <w:r w:rsidR="007858B8" w:rsidRPr="00813D19">
        <w:rPr>
          <w:bCs/>
          <w:lang w:val="en-US"/>
        </w:rPr>
        <w:t xml:space="preserve">. It </w:t>
      </w:r>
      <w:r w:rsidR="00C72003" w:rsidRPr="00813D19">
        <w:rPr>
          <w:bCs/>
          <w:lang w:val="en-US"/>
        </w:rPr>
        <w:t>request</w:t>
      </w:r>
      <w:r w:rsidR="007858B8" w:rsidRPr="00813D19">
        <w:rPr>
          <w:bCs/>
          <w:lang w:val="en-US"/>
        </w:rPr>
        <w:t>ed</w:t>
      </w:r>
      <w:r w:rsidR="00C72003" w:rsidRPr="00813D19">
        <w:rPr>
          <w:bCs/>
          <w:lang w:val="en-US"/>
        </w:rPr>
        <w:t xml:space="preserve"> </w:t>
      </w:r>
      <w:r w:rsidR="00F16F1E" w:rsidRPr="00813D19">
        <w:rPr>
          <w:bCs/>
          <w:lang w:val="en-US"/>
        </w:rPr>
        <w:t xml:space="preserve">the Secretariat’s help to </w:t>
      </w:r>
      <w:r w:rsidR="00C72003" w:rsidRPr="00813D19">
        <w:rPr>
          <w:bCs/>
          <w:lang w:val="en-US"/>
        </w:rPr>
        <w:t xml:space="preserve">avoid any misunderstanding in </w:t>
      </w:r>
      <w:r w:rsidR="00E018B4">
        <w:rPr>
          <w:bCs/>
          <w:lang w:val="en-US"/>
        </w:rPr>
        <w:t xml:space="preserve">the </w:t>
      </w:r>
      <w:r w:rsidR="00C72003" w:rsidRPr="00813D19">
        <w:rPr>
          <w:bCs/>
          <w:lang w:val="en-US"/>
        </w:rPr>
        <w:t xml:space="preserve">context </w:t>
      </w:r>
      <w:r w:rsidR="00F16F1E" w:rsidRPr="00813D19">
        <w:rPr>
          <w:bCs/>
          <w:lang w:val="en-US"/>
        </w:rPr>
        <w:t xml:space="preserve">of </w:t>
      </w:r>
      <w:r w:rsidR="00634D0B">
        <w:rPr>
          <w:bCs/>
          <w:lang w:val="en-US"/>
        </w:rPr>
        <w:t>this draft decision.</w:t>
      </w:r>
    </w:p>
    <w:p w14:paraId="0CD0AC9F" w14:textId="058BD3B0" w:rsidR="001C3E1D" w:rsidRPr="00634D0B" w:rsidRDefault="001C3E1D" w:rsidP="00671CF6">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C01535" w:rsidRPr="00813D19">
        <w:rPr>
          <w:b/>
          <w:color w:val="000000" w:themeColor="text1"/>
          <w:lang w:val="en-US"/>
        </w:rPr>
        <w:t>Djibouti</w:t>
      </w:r>
      <w:r w:rsidR="00C72003" w:rsidRPr="00813D19">
        <w:rPr>
          <w:b/>
          <w:color w:val="000000" w:themeColor="text1"/>
          <w:lang w:val="en-US"/>
        </w:rPr>
        <w:t xml:space="preserve"> </w:t>
      </w:r>
      <w:r w:rsidR="00CC29E0" w:rsidRPr="00813D19">
        <w:rPr>
          <w:color w:val="000000" w:themeColor="text1"/>
          <w:lang w:val="en-US"/>
        </w:rPr>
        <w:t>emphasize</w:t>
      </w:r>
      <w:r w:rsidR="008A2117" w:rsidRPr="00813D19">
        <w:rPr>
          <w:color w:val="000000" w:themeColor="text1"/>
          <w:lang w:val="en-US"/>
        </w:rPr>
        <w:t>d</w:t>
      </w:r>
      <w:r w:rsidR="00CC29E0" w:rsidRPr="00813D19">
        <w:rPr>
          <w:color w:val="000000" w:themeColor="text1"/>
          <w:lang w:val="en-US"/>
        </w:rPr>
        <w:t xml:space="preserve"> the fact that </w:t>
      </w:r>
      <w:r w:rsidR="008A2117" w:rsidRPr="00813D19">
        <w:rPr>
          <w:color w:val="000000" w:themeColor="text1"/>
          <w:lang w:val="en-US"/>
        </w:rPr>
        <w:t xml:space="preserve">the 1972 Convention also makes reference to </w:t>
      </w:r>
      <w:r w:rsidR="00CC29E0" w:rsidRPr="00813D19">
        <w:rPr>
          <w:color w:val="000000" w:themeColor="text1"/>
          <w:lang w:val="en-US"/>
        </w:rPr>
        <w:t xml:space="preserve">the cultural and natural space. The </w:t>
      </w:r>
      <w:r w:rsidR="008A2117" w:rsidRPr="00813D19">
        <w:rPr>
          <w:color w:val="000000" w:themeColor="text1"/>
          <w:lang w:val="en-US"/>
        </w:rPr>
        <w:t xml:space="preserve">delegation </w:t>
      </w:r>
      <w:r w:rsidR="00B34882" w:rsidRPr="00813D19">
        <w:rPr>
          <w:color w:val="000000" w:themeColor="text1"/>
          <w:lang w:val="en-US"/>
        </w:rPr>
        <w:t xml:space="preserve">also </w:t>
      </w:r>
      <w:r w:rsidR="008A2117" w:rsidRPr="00813D19">
        <w:rPr>
          <w:color w:val="000000" w:themeColor="text1"/>
          <w:lang w:val="en-US"/>
        </w:rPr>
        <w:t xml:space="preserve">wished to add </w:t>
      </w:r>
      <w:r w:rsidR="00EE2958" w:rsidRPr="00813D19">
        <w:rPr>
          <w:color w:val="000000" w:themeColor="text1"/>
          <w:lang w:val="en-US"/>
        </w:rPr>
        <w:t xml:space="preserve">‘in collaboration with international organizations’ </w:t>
      </w:r>
      <w:r w:rsidR="008A2117" w:rsidRPr="00813D19">
        <w:rPr>
          <w:color w:val="000000" w:themeColor="text1"/>
          <w:lang w:val="en-US"/>
        </w:rPr>
        <w:t xml:space="preserve">after </w:t>
      </w:r>
      <w:r w:rsidR="00EE2958" w:rsidRPr="00813D19">
        <w:rPr>
          <w:color w:val="000000" w:themeColor="text1"/>
          <w:lang w:val="en-US"/>
        </w:rPr>
        <w:t xml:space="preserve">‘States Parties […] </w:t>
      </w:r>
      <w:r w:rsidR="00B34882" w:rsidRPr="00813D19">
        <w:rPr>
          <w:color w:val="000000" w:themeColor="text1"/>
          <w:lang w:val="en-US"/>
        </w:rPr>
        <w:t>to the extent possible</w:t>
      </w:r>
      <w:r w:rsidR="00EE2958" w:rsidRPr="00813D19">
        <w:rPr>
          <w:color w:val="000000" w:themeColor="text1"/>
          <w:lang w:val="en-US"/>
        </w:rPr>
        <w:t>’</w:t>
      </w:r>
      <w:r w:rsidR="00634D0B">
        <w:rPr>
          <w:color w:val="000000" w:themeColor="text1"/>
          <w:lang w:val="en-US"/>
        </w:rPr>
        <w:t>.</w:t>
      </w:r>
    </w:p>
    <w:p w14:paraId="78A159F5" w14:textId="6DB0FBA5" w:rsidR="00C01535" w:rsidRPr="00634D0B" w:rsidRDefault="004E45B2" w:rsidP="001D3577">
      <w:pPr>
        <w:pStyle w:val="Orateurengris"/>
        <w:spacing w:before="120"/>
        <w:ind w:left="709" w:hanging="709"/>
        <w:rPr>
          <w:bCs/>
          <w:color w:val="000000" w:themeColor="text1"/>
          <w:lang w:val="en-US"/>
        </w:rPr>
      </w:pPr>
      <w:r w:rsidRPr="00813D19">
        <w:rPr>
          <w:color w:val="000000" w:themeColor="text1"/>
          <w:lang w:val="en-US"/>
        </w:rPr>
        <w:t>Responding to China, t</w:t>
      </w:r>
      <w:r w:rsidR="00ED5580" w:rsidRPr="00813D19">
        <w:rPr>
          <w:color w:val="000000" w:themeColor="text1"/>
          <w:lang w:val="en-US"/>
        </w:rPr>
        <w:t>he</w:t>
      </w:r>
      <w:r w:rsidR="00ED5580" w:rsidRPr="00813D19">
        <w:rPr>
          <w:b/>
          <w:color w:val="000000" w:themeColor="text1"/>
          <w:lang w:val="en-US"/>
        </w:rPr>
        <w:t xml:space="preserve"> delegation of Palestine</w:t>
      </w:r>
      <w:r w:rsidR="00C72003" w:rsidRPr="00813D19">
        <w:rPr>
          <w:b/>
          <w:color w:val="000000" w:themeColor="text1"/>
          <w:lang w:val="en-US"/>
        </w:rPr>
        <w:t xml:space="preserve"> </w:t>
      </w:r>
      <w:r w:rsidRPr="00813D19">
        <w:rPr>
          <w:bCs/>
          <w:lang w:val="en-US"/>
        </w:rPr>
        <w:t xml:space="preserve">confirmed that </w:t>
      </w:r>
      <w:r w:rsidR="00872D83" w:rsidRPr="00813D19">
        <w:rPr>
          <w:bCs/>
          <w:lang w:val="en-US"/>
        </w:rPr>
        <w:t xml:space="preserve">the </w:t>
      </w:r>
      <w:r w:rsidR="00666AA4" w:rsidRPr="00813D19">
        <w:rPr>
          <w:bCs/>
          <w:lang w:val="en-US"/>
        </w:rPr>
        <w:t xml:space="preserve">amendment </w:t>
      </w:r>
      <w:r w:rsidRPr="00813D19">
        <w:rPr>
          <w:bCs/>
          <w:lang w:val="en-US"/>
        </w:rPr>
        <w:t>did indeed</w:t>
      </w:r>
      <w:r w:rsidR="00C72003" w:rsidRPr="00813D19">
        <w:rPr>
          <w:bCs/>
          <w:lang w:val="en-US"/>
        </w:rPr>
        <w:t xml:space="preserve"> </w:t>
      </w:r>
      <w:r w:rsidRPr="00813D19">
        <w:rPr>
          <w:bCs/>
          <w:lang w:val="en-US"/>
        </w:rPr>
        <w:t>refer</w:t>
      </w:r>
      <w:r w:rsidR="00C72003" w:rsidRPr="00813D19">
        <w:rPr>
          <w:bCs/>
          <w:lang w:val="en-US"/>
        </w:rPr>
        <w:t xml:space="preserve"> to the 1972 Convention</w:t>
      </w:r>
      <w:r w:rsidR="005F138E" w:rsidRPr="00813D19">
        <w:rPr>
          <w:bCs/>
          <w:lang w:val="en-US"/>
        </w:rPr>
        <w:t xml:space="preserve"> in that it was </w:t>
      </w:r>
      <w:r w:rsidRPr="00813D19">
        <w:rPr>
          <w:bCs/>
          <w:lang w:val="en-US"/>
        </w:rPr>
        <w:t>going</w:t>
      </w:r>
      <w:r w:rsidR="00C72003" w:rsidRPr="00813D19">
        <w:rPr>
          <w:bCs/>
          <w:lang w:val="en-US"/>
        </w:rPr>
        <w:t xml:space="preserve"> in the same direction </w:t>
      </w:r>
      <w:r w:rsidR="005F138E" w:rsidRPr="00813D19">
        <w:rPr>
          <w:bCs/>
          <w:lang w:val="en-US"/>
        </w:rPr>
        <w:t xml:space="preserve">and </w:t>
      </w:r>
      <w:r w:rsidRPr="00813D19">
        <w:rPr>
          <w:bCs/>
          <w:lang w:val="en-US"/>
        </w:rPr>
        <w:t xml:space="preserve">in the </w:t>
      </w:r>
      <w:r w:rsidR="00C72003" w:rsidRPr="00813D19">
        <w:rPr>
          <w:bCs/>
          <w:lang w:val="en-US"/>
        </w:rPr>
        <w:t xml:space="preserve">spirit of synergy </w:t>
      </w:r>
      <w:r w:rsidR="005F138E" w:rsidRPr="00813D19">
        <w:rPr>
          <w:bCs/>
          <w:lang w:val="en-US"/>
        </w:rPr>
        <w:t xml:space="preserve">that was </w:t>
      </w:r>
      <w:r w:rsidR="00C72003" w:rsidRPr="00813D19">
        <w:rPr>
          <w:bCs/>
          <w:lang w:val="en-US"/>
        </w:rPr>
        <w:t xml:space="preserve">requested by so many Members </w:t>
      </w:r>
      <w:r w:rsidRPr="00813D19">
        <w:rPr>
          <w:bCs/>
          <w:lang w:val="en-US"/>
        </w:rPr>
        <w:t xml:space="preserve">for more than three years. In this regard, </w:t>
      </w:r>
      <w:r w:rsidR="005F138E" w:rsidRPr="00813D19">
        <w:rPr>
          <w:bCs/>
          <w:lang w:val="en-US"/>
        </w:rPr>
        <w:t xml:space="preserve">it </w:t>
      </w:r>
      <w:r w:rsidRPr="00813D19">
        <w:rPr>
          <w:bCs/>
          <w:lang w:val="en-US"/>
        </w:rPr>
        <w:t>thank</w:t>
      </w:r>
      <w:r w:rsidR="005F138E" w:rsidRPr="00813D19">
        <w:rPr>
          <w:bCs/>
          <w:lang w:val="en-US"/>
        </w:rPr>
        <w:t>ed</w:t>
      </w:r>
      <w:r w:rsidRPr="00813D19">
        <w:rPr>
          <w:bCs/>
          <w:lang w:val="en-US"/>
        </w:rPr>
        <w:t xml:space="preserve"> Belgium</w:t>
      </w:r>
      <w:r w:rsidR="00C72003" w:rsidRPr="00813D19">
        <w:rPr>
          <w:bCs/>
          <w:lang w:val="en-US"/>
        </w:rPr>
        <w:t xml:space="preserve"> for </w:t>
      </w:r>
      <w:r w:rsidR="00756567" w:rsidRPr="00813D19">
        <w:rPr>
          <w:bCs/>
          <w:lang w:val="en-US"/>
        </w:rPr>
        <w:t xml:space="preserve">the </w:t>
      </w:r>
      <w:r w:rsidRPr="00813D19">
        <w:rPr>
          <w:bCs/>
          <w:lang w:val="en-US"/>
        </w:rPr>
        <w:t xml:space="preserve">very active </w:t>
      </w:r>
      <w:r w:rsidR="00C72003" w:rsidRPr="00813D19">
        <w:rPr>
          <w:bCs/>
          <w:lang w:val="en-US"/>
        </w:rPr>
        <w:t xml:space="preserve">efforts </w:t>
      </w:r>
      <w:r w:rsidR="00756567" w:rsidRPr="00813D19">
        <w:rPr>
          <w:bCs/>
          <w:lang w:val="en-US"/>
        </w:rPr>
        <w:t xml:space="preserve">made </w:t>
      </w:r>
      <w:r w:rsidR="00285A96" w:rsidRPr="00813D19">
        <w:rPr>
          <w:bCs/>
          <w:lang w:val="en-US"/>
        </w:rPr>
        <w:t>in favo</w:t>
      </w:r>
      <w:r w:rsidR="00C64B11">
        <w:rPr>
          <w:bCs/>
          <w:lang w:val="en-US"/>
        </w:rPr>
        <w:t>u</w:t>
      </w:r>
      <w:r w:rsidR="00285A96" w:rsidRPr="00813D19">
        <w:rPr>
          <w:bCs/>
          <w:lang w:val="en-US"/>
        </w:rPr>
        <w:t>r of synergy between C</w:t>
      </w:r>
      <w:r w:rsidR="00756567" w:rsidRPr="00813D19">
        <w:rPr>
          <w:bCs/>
          <w:lang w:val="en-US"/>
        </w:rPr>
        <w:t xml:space="preserve">onventions during its </w:t>
      </w:r>
      <w:r w:rsidRPr="00813D19">
        <w:rPr>
          <w:bCs/>
          <w:lang w:val="en-US"/>
        </w:rPr>
        <w:t>chair</w:t>
      </w:r>
      <w:r w:rsidR="00756567" w:rsidRPr="00813D19">
        <w:rPr>
          <w:bCs/>
          <w:lang w:val="en-US"/>
        </w:rPr>
        <w:t>ing</w:t>
      </w:r>
      <w:r w:rsidRPr="00813D19">
        <w:rPr>
          <w:bCs/>
          <w:lang w:val="en-US"/>
        </w:rPr>
        <w:t xml:space="preserve"> </w:t>
      </w:r>
      <w:r w:rsidR="00756567" w:rsidRPr="00813D19">
        <w:rPr>
          <w:bCs/>
          <w:lang w:val="en-US"/>
        </w:rPr>
        <w:t xml:space="preserve">of </w:t>
      </w:r>
      <w:r w:rsidRPr="00813D19">
        <w:rPr>
          <w:bCs/>
          <w:lang w:val="en-US"/>
        </w:rPr>
        <w:t>the Second Protocol Committee</w:t>
      </w:r>
      <w:r w:rsidR="00C72003" w:rsidRPr="00813D19">
        <w:rPr>
          <w:bCs/>
          <w:lang w:val="en-US"/>
        </w:rPr>
        <w:t xml:space="preserve">. </w:t>
      </w:r>
      <w:r w:rsidRPr="00813D19">
        <w:rPr>
          <w:bCs/>
          <w:lang w:val="en-US"/>
        </w:rPr>
        <w:t>The delegation did not see an impediment to the citation of t</w:t>
      </w:r>
      <w:r w:rsidR="00C72003" w:rsidRPr="00813D19">
        <w:rPr>
          <w:bCs/>
          <w:lang w:val="en-US"/>
        </w:rPr>
        <w:t xml:space="preserve">angible cultural heritage </w:t>
      </w:r>
      <w:r w:rsidRPr="00813D19">
        <w:rPr>
          <w:bCs/>
          <w:lang w:val="en-US"/>
        </w:rPr>
        <w:t xml:space="preserve">and </w:t>
      </w:r>
      <w:r w:rsidR="00634D0B">
        <w:rPr>
          <w:bCs/>
          <w:lang w:val="en-US"/>
        </w:rPr>
        <w:t>the 1972 Convention.</w:t>
      </w:r>
    </w:p>
    <w:p w14:paraId="3DEF5ECF" w14:textId="39B2D60A" w:rsidR="0025355C" w:rsidRPr="00634D0B" w:rsidRDefault="0025355C"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4E45B2" w:rsidRPr="00813D19">
        <w:rPr>
          <w:color w:val="000000" w:themeColor="text1"/>
          <w:lang w:val="en-US"/>
        </w:rPr>
        <w:t>clarified that</w:t>
      </w:r>
      <w:r w:rsidR="004E45B2" w:rsidRPr="00813D19">
        <w:rPr>
          <w:b/>
          <w:color w:val="000000" w:themeColor="text1"/>
          <w:lang w:val="en-US"/>
        </w:rPr>
        <w:t xml:space="preserve"> </w:t>
      </w:r>
      <w:r w:rsidR="00C72003" w:rsidRPr="00813D19">
        <w:rPr>
          <w:bCs/>
          <w:lang w:val="en-US"/>
        </w:rPr>
        <w:t xml:space="preserve">the proposed language of the first draft </w:t>
      </w:r>
      <w:r w:rsidR="004E45B2" w:rsidRPr="00813D19">
        <w:rPr>
          <w:bCs/>
          <w:lang w:val="en-US"/>
        </w:rPr>
        <w:t>referred</w:t>
      </w:r>
      <w:r w:rsidR="00C72003" w:rsidRPr="00813D19">
        <w:rPr>
          <w:bCs/>
          <w:lang w:val="en-US"/>
        </w:rPr>
        <w:t xml:space="preserve"> to</w:t>
      </w:r>
      <w:r w:rsidR="004E45B2" w:rsidRPr="00813D19">
        <w:rPr>
          <w:bCs/>
          <w:lang w:val="en-US"/>
        </w:rPr>
        <w:t xml:space="preserve"> the Ethical Principles, </w:t>
      </w:r>
      <w:r w:rsidR="00E018B4">
        <w:rPr>
          <w:bCs/>
          <w:lang w:val="en-US"/>
        </w:rPr>
        <w:t>C</w:t>
      </w:r>
      <w:r w:rsidR="00E018B4" w:rsidRPr="00813D19">
        <w:rPr>
          <w:bCs/>
          <w:lang w:val="en-US"/>
        </w:rPr>
        <w:t xml:space="preserve">hapter </w:t>
      </w:r>
      <w:r w:rsidR="004E45B2" w:rsidRPr="00813D19">
        <w:rPr>
          <w:bCs/>
          <w:lang w:val="en-US"/>
        </w:rPr>
        <w:t>6</w:t>
      </w:r>
      <w:r w:rsidR="00AC6FA2" w:rsidRPr="00813D19">
        <w:rPr>
          <w:bCs/>
          <w:lang w:val="en-US"/>
        </w:rPr>
        <w:t>,</w:t>
      </w:r>
      <w:r w:rsidR="004E45B2" w:rsidRPr="00813D19">
        <w:rPr>
          <w:bCs/>
          <w:lang w:val="en-US"/>
        </w:rPr>
        <w:t xml:space="preserve"> </w:t>
      </w:r>
      <w:r w:rsidR="00C72003" w:rsidRPr="00813D19">
        <w:rPr>
          <w:bCs/>
          <w:lang w:val="en-US"/>
        </w:rPr>
        <w:t xml:space="preserve">and in particular paragraph 5, </w:t>
      </w:r>
      <w:r w:rsidR="004E45B2" w:rsidRPr="00813D19">
        <w:rPr>
          <w:bCs/>
          <w:lang w:val="en-US"/>
        </w:rPr>
        <w:t>“</w:t>
      </w:r>
      <w:r w:rsidR="00C72003" w:rsidRPr="00813D19">
        <w:rPr>
          <w:bCs/>
          <w:lang w:val="en-US"/>
        </w:rPr>
        <w:t>access of communities, groups and individuals to the instruments, objects, artefacts, cultural and natural spaces and places of memory whose existence is necessary for expressing their intangible cultural heritage should be ensured including in situations of armed conflict. Customary practices governing access to intangible cultural heritage should be fully respected, even where these may limit broader public access.</w:t>
      </w:r>
      <w:r w:rsidR="002F0BB1" w:rsidRPr="00813D19">
        <w:rPr>
          <w:bCs/>
          <w:lang w:val="en-US"/>
        </w:rPr>
        <w:t>”</w:t>
      </w:r>
      <w:r w:rsidR="00C72003" w:rsidRPr="00813D19">
        <w:rPr>
          <w:bCs/>
          <w:lang w:val="en-US"/>
        </w:rPr>
        <w:t xml:space="preserve"> </w:t>
      </w:r>
      <w:r w:rsidR="00DA2403" w:rsidRPr="00813D19">
        <w:rPr>
          <w:bCs/>
          <w:lang w:val="en-US"/>
        </w:rPr>
        <w:t>Thus, references</w:t>
      </w:r>
      <w:r w:rsidR="00C72003" w:rsidRPr="00813D19">
        <w:rPr>
          <w:bCs/>
          <w:lang w:val="en-US"/>
        </w:rPr>
        <w:t xml:space="preserve"> to these situations of armed conflict </w:t>
      </w:r>
      <w:r w:rsidR="00AC13E7" w:rsidRPr="00813D19">
        <w:rPr>
          <w:bCs/>
          <w:lang w:val="en-US"/>
        </w:rPr>
        <w:t xml:space="preserve">had </w:t>
      </w:r>
      <w:r w:rsidR="004E45B2" w:rsidRPr="00813D19">
        <w:rPr>
          <w:bCs/>
          <w:lang w:val="en-US"/>
        </w:rPr>
        <w:t xml:space="preserve">already </w:t>
      </w:r>
      <w:r w:rsidR="00AC13E7" w:rsidRPr="00813D19">
        <w:rPr>
          <w:bCs/>
          <w:lang w:val="en-US"/>
        </w:rPr>
        <w:t xml:space="preserve">been </w:t>
      </w:r>
      <w:r w:rsidR="004E45B2" w:rsidRPr="00813D19">
        <w:rPr>
          <w:bCs/>
          <w:lang w:val="en-US"/>
        </w:rPr>
        <w:t>specifically included.</w:t>
      </w:r>
    </w:p>
    <w:p w14:paraId="7A15DB0C" w14:textId="71AA10B3" w:rsidR="00C7612E" w:rsidRPr="00634D0B" w:rsidRDefault="00C7612E" w:rsidP="001D3577">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w:t>
      </w:r>
      <w:r w:rsidR="00C72003" w:rsidRPr="00813D19">
        <w:rPr>
          <w:b/>
          <w:color w:val="000000" w:themeColor="text1"/>
          <w:lang w:val="en-US"/>
        </w:rPr>
        <w:t xml:space="preserve">of Cameroon </w:t>
      </w:r>
      <w:r w:rsidR="00DA2403" w:rsidRPr="00813D19">
        <w:rPr>
          <w:color w:val="000000" w:themeColor="text1"/>
          <w:lang w:val="en-US"/>
        </w:rPr>
        <w:t xml:space="preserve">had an issue with the terminology, as </w:t>
      </w:r>
      <w:r w:rsidR="00DA2403" w:rsidRPr="00813D19">
        <w:rPr>
          <w:bCs/>
          <w:lang w:val="en-US"/>
        </w:rPr>
        <w:t>reference to the 1972 Convention spoke of cultural properties and not elements.</w:t>
      </w:r>
    </w:p>
    <w:p w14:paraId="0EAAD4A5" w14:textId="1CCA0318" w:rsidR="00837A49" w:rsidRPr="00634D0B" w:rsidRDefault="00C7612E"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433105" w:rsidRPr="00813D19">
        <w:rPr>
          <w:bCs/>
          <w:lang w:val="en-US"/>
        </w:rPr>
        <w:t>understood</w:t>
      </w:r>
      <w:r w:rsidR="00C72003" w:rsidRPr="00813D19">
        <w:rPr>
          <w:bCs/>
          <w:lang w:val="en-US"/>
        </w:rPr>
        <w:t xml:space="preserve"> </w:t>
      </w:r>
      <w:r w:rsidR="00433105" w:rsidRPr="00813D19">
        <w:rPr>
          <w:bCs/>
          <w:lang w:val="en-US"/>
        </w:rPr>
        <w:t xml:space="preserve">the </w:t>
      </w:r>
      <w:r w:rsidR="00C72003" w:rsidRPr="00813D19">
        <w:rPr>
          <w:bCs/>
          <w:lang w:val="en-US"/>
        </w:rPr>
        <w:t xml:space="preserve">desire </w:t>
      </w:r>
      <w:r w:rsidR="002A5BAB" w:rsidRPr="00813D19">
        <w:rPr>
          <w:bCs/>
          <w:lang w:val="en-US"/>
        </w:rPr>
        <w:t xml:space="preserve">to </w:t>
      </w:r>
      <w:r w:rsidR="00C72003" w:rsidRPr="00813D19">
        <w:rPr>
          <w:bCs/>
          <w:lang w:val="en-US"/>
        </w:rPr>
        <w:t>crea</w:t>
      </w:r>
      <w:r w:rsidR="002A5BAB" w:rsidRPr="00813D19">
        <w:rPr>
          <w:bCs/>
          <w:lang w:val="en-US"/>
        </w:rPr>
        <w:t>te synergies between the various C</w:t>
      </w:r>
      <w:r w:rsidR="00C72003" w:rsidRPr="00813D19">
        <w:rPr>
          <w:bCs/>
          <w:lang w:val="en-US"/>
        </w:rPr>
        <w:t xml:space="preserve">onventions, and indeed, </w:t>
      </w:r>
      <w:r w:rsidR="00433105" w:rsidRPr="00813D19">
        <w:rPr>
          <w:bCs/>
          <w:lang w:val="en-US"/>
        </w:rPr>
        <w:t xml:space="preserve">it </w:t>
      </w:r>
      <w:r w:rsidR="00E018B4">
        <w:rPr>
          <w:bCs/>
          <w:lang w:val="en-US"/>
        </w:rPr>
        <w:t>was</w:t>
      </w:r>
      <w:r w:rsidR="00E018B4" w:rsidRPr="00813D19">
        <w:rPr>
          <w:bCs/>
          <w:lang w:val="en-US"/>
        </w:rPr>
        <w:t xml:space="preserve"> </w:t>
      </w:r>
      <w:r w:rsidR="00C72003" w:rsidRPr="00813D19">
        <w:rPr>
          <w:bCs/>
          <w:lang w:val="en-US"/>
        </w:rPr>
        <w:t>an overarching principle</w:t>
      </w:r>
      <w:r w:rsidR="00FD20B2" w:rsidRPr="00813D19">
        <w:rPr>
          <w:bCs/>
          <w:lang w:val="en-US"/>
        </w:rPr>
        <w:t xml:space="preserve">. He </w:t>
      </w:r>
      <w:r w:rsidR="00433105" w:rsidRPr="00813D19">
        <w:rPr>
          <w:bCs/>
          <w:lang w:val="en-US"/>
        </w:rPr>
        <w:t>confirmed that t</w:t>
      </w:r>
      <w:r w:rsidR="00C72003" w:rsidRPr="00813D19">
        <w:rPr>
          <w:bCs/>
          <w:lang w:val="en-US"/>
        </w:rPr>
        <w:t xml:space="preserve">he 2003 Convention </w:t>
      </w:r>
      <w:r w:rsidR="008A2E27" w:rsidRPr="00813D19">
        <w:rPr>
          <w:bCs/>
          <w:lang w:val="en-US"/>
        </w:rPr>
        <w:t>uses</w:t>
      </w:r>
      <w:r w:rsidR="00433105" w:rsidRPr="00813D19">
        <w:rPr>
          <w:bCs/>
          <w:lang w:val="en-US"/>
        </w:rPr>
        <w:t xml:space="preserve"> the term ‘element’</w:t>
      </w:r>
      <w:r w:rsidR="00C72003" w:rsidRPr="00813D19">
        <w:rPr>
          <w:bCs/>
          <w:lang w:val="en-US"/>
        </w:rPr>
        <w:t xml:space="preserve"> </w:t>
      </w:r>
      <w:r w:rsidR="00433105" w:rsidRPr="00813D19">
        <w:rPr>
          <w:bCs/>
          <w:lang w:val="en-US"/>
        </w:rPr>
        <w:t xml:space="preserve">to denote </w:t>
      </w:r>
      <w:r w:rsidR="00C72003" w:rsidRPr="00813D19">
        <w:rPr>
          <w:bCs/>
          <w:lang w:val="en-US"/>
        </w:rPr>
        <w:t xml:space="preserve">expressions of intangible cultural heritage. </w:t>
      </w:r>
      <w:r w:rsidR="00433105" w:rsidRPr="00813D19">
        <w:rPr>
          <w:bCs/>
          <w:lang w:val="en-US"/>
        </w:rPr>
        <w:t>R</w:t>
      </w:r>
      <w:r w:rsidR="00C72003" w:rsidRPr="00813D19">
        <w:rPr>
          <w:bCs/>
          <w:lang w:val="en-US"/>
        </w:rPr>
        <w:t>eferring to the Ethical P</w:t>
      </w:r>
      <w:r w:rsidR="00433105" w:rsidRPr="00813D19">
        <w:rPr>
          <w:bCs/>
          <w:lang w:val="en-US"/>
        </w:rPr>
        <w:t>rinciples</w:t>
      </w:r>
      <w:r w:rsidR="00C72003" w:rsidRPr="00813D19">
        <w:rPr>
          <w:bCs/>
          <w:lang w:val="en-US"/>
        </w:rPr>
        <w:t xml:space="preserve"> </w:t>
      </w:r>
      <w:r w:rsidR="00433105" w:rsidRPr="00813D19">
        <w:rPr>
          <w:bCs/>
          <w:lang w:val="en-US"/>
        </w:rPr>
        <w:t xml:space="preserve">and to </w:t>
      </w:r>
      <w:r w:rsidR="00C72003" w:rsidRPr="00813D19">
        <w:rPr>
          <w:bCs/>
          <w:lang w:val="en-US"/>
        </w:rPr>
        <w:t xml:space="preserve">the overall Action Plan of the General Conference and heritage in situations of conflict, </w:t>
      </w:r>
      <w:r w:rsidR="00433105" w:rsidRPr="00813D19">
        <w:rPr>
          <w:bCs/>
          <w:lang w:val="en-US"/>
        </w:rPr>
        <w:t>the Secretariat was working in synergy</w:t>
      </w:r>
      <w:r w:rsidR="00C72003" w:rsidRPr="00813D19">
        <w:rPr>
          <w:bCs/>
          <w:lang w:val="en-US"/>
        </w:rPr>
        <w:t xml:space="preserve"> as much as possible </w:t>
      </w:r>
      <w:r w:rsidR="00433105" w:rsidRPr="00813D19">
        <w:rPr>
          <w:bCs/>
          <w:lang w:val="en-US"/>
        </w:rPr>
        <w:t xml:space="preserve">with </w:t>
      </w:r>
      <w:r w:rsidR="00A6214B" w:rsidRPr="00813D19">
        <w:rPr>
          <w:bCs/>
          <w:lang w:val="en-US"/>
        </w:rPr>
        <w:t>the other C</w:t>
      </w:r>
      <w:r w:rsidR="00433105" w:rsidRPr="00813D19">
        <w:rPr>
          <w:bCs/>
          <w:lang w:val="en-US"/>
        </w:rPr>
        <w:t xml:space="preserve">onventions, and thus it was unnecessary to </w:t>
      </w:r>
      <w:r w:rsidR="00C72003" w:rsidRPr="00813D19">
        <w:rPr>
          <w:bCs/>
          <w:lang w:val="en-US"/>
        </w:rPr>
        <w:t xml:space="preserve">have detailed discussions on </w:t>
      </w:r>
      <w:r w:rsidR="00433105" w:rsidRPr="00813D19">
        <w:rPr>
          <w:bCs/>
          <w:lang w:val="en-US"/>
        </w:rPr>
        <w:t>the synergy</w:t>
      </w:r>
      <w:r w:rsidR="00C72003" w:rsidRPr="00813D19">
        <w:rPr>
          <w:bCs/>
          <w:lang w:val="en-US"/>
        </w:rPr>
        <w:t xml:space="preserve"> aspect </w:t>
      </w:r>
      <w:r w:rsidR="00433105" w:rsidRPr="00813D19">
        <w:rPr>
          <w:bCs/>
          <w:lang w:val="en-US"/>
        </w:rPr>
        <w:t xml:space="preserve">as </w:t>
      </w:r>
      <w:r w:rsidR="00C72003" w:rsidRPr="00813D19">
        <w:rPr>
          <w:bCs/>
          <w:lang w:val="en-US"/>
        </w:rPr>
        <w:t xml:space="preserve">they </w:t>
      </w:r>
      <w:r w:rsidR="00433105" w:rsidRPr="00813D19">
        <w:rPr>
          <w:bCs/>
          <w:lang w:val="en-US"/>
        </w:rPr>
        <w:t xml:space="preserve">were </w:t>
      </w:r>
      <w:r w:rsidR="00C72003" w:rsidRPr="00813D19">
        <w:rPr>
          <w:bCs/>
          <w:lang w:val="en-US"/>
        </w:rPr>
        <w:t xml:space="preserve">already </w:t>
      </w:r>
      <w:r w:rsidR="001E1673" w:rsidRPr="00813D19">
        <w:rPr>
          <w:bCs/>
          <w:lang w:val="en-US"/>
        </w:rPr>
        <w:t xml:space="preserve">contained </w:t>
      </w:r>
      <w:r w:rsidR="00C72003" w:rsidRPr="00813D19">
        <w:rPr>
          <w:bCs/>
          <w:lang w:val="en-US"/>
        </w:rPr>
        <w:t>in the Ethical Principles</w:t>
      </w:r>
      <w:r w:rsidR="00433105" w:rsidRPr="00813D19">
        <w:rPr>
          <w:bCs/>
          <w:lang w:val="en-US"/>
        </w:rPr>
        <w:t xml:space="preserve">, as well as </w:t>
      </w:r>
      <w:r w:rsidR="00C72003" w:rsidRPr="00813D19">
        <w:rPr>
          <w:bCs/>
          <w:lang w:val="en-US"/>
        </w:rPr>
        <w:t>the overall chapeau</w:t>
      </w:r>
      <w:r w:rsidR="00433105" w:rsidRPr="00813D19">
        <w:rPr>
          <w:bCs/>
          <w:lang w:val="en-US"/>
        </w:rPr>
        <w:t>,</w:t>
      </w:r>
      <w:r w:rsidR="00C72003" w:rsidRPr="00813D19">
        <w:rPr>
          <w:bCs/>
          <w:lang w:val="en-US"/>
        </w:rPr>
        <w:t xml:space="preserve"> including </w:t>
      </w:r>
      <w:r w:rsidR="00433105" w:rsidRPr="00813D19">
        <w:rPr>
          <w:bCs/>
          <w:lang w:val="en-US"/>
        </w:rPr>
        <w:t xml:space="preserve">in </w:t>
      </w:r>
      <w:r w:rsidR="00C72003" w:rsidRPr="00813D19">
        <w:rPr>
          <w:bCs/>
          <w:lang w:val="en-US"/>
        </w:rPr>
        <w:t xml:space="preserve">the first decision of the </w:t>
      </w:r>
      <w:r w:rsidR="00433105" w:rsidRPr="00813D19">
        <w:rPr>
          <w:bCs/>
          <w:lang w:val="en-US"/>
        </w:rPr>
        <w:t xml:space="preserve">Committee on </w:t>
      </w:r>
      <w:r w:rsidR="00634D0B">
        <w:rPr>
          <w:bCs/>
          <w:lang w:val="en-US"/>
        </w:rPr>
        <w:t>situations of emergency.</w:t>
      </w:r>
    </w:p>
    <w:p w14:paraId="76870F20" w14:textId="0D7FFB5D" w:rsidR="00837A49" w:rsidRPr="00634D0B" w:rsidRDefault="00837A49"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Pr="00813D19">
        <w:rPr>
          <w:color w:val="000000" w:themeColor="text1"/>
          <w:lang w:val="en-US"/>
        </w:rPr>
        <w:t>returned to paragraph 4, which was duly adopted as amended. Paragraph 5 was also pronounced adopted. An amendment was proposed by Palestine in paragraph 6</w:t>
      </w:r>
      <w:r w:rsidR="00676E00" w:rsidRPr="00813D19">
        <w:rPr>
          <w:color w:val="000000" w:themeColor="text1"/>
          <w:lang w:val="en-US"/>
        </w:rPr>
        <w:t xml:space="preserve"> to include, ‘</w:t>
      </w:r>
      <w:r w:rsidR="00C72003" w:rsidRPr="00813D19">
        <w:rPr>
          <w:bCs/>
          <w:lang w:val="en-US"/>
        </w:rPr>
        <w:t>particularly in cases of armed conflict</w:t>
      </w:r>
      <w:r w:rsidR="00676E00" w:rsidRPr="00813D19">
        <w:rPr>
          <w:bCs/>
          <w:lang w:val="en-US"/>
        </w:rPr>
        <w:t>’.</w:t>
      </w:r>
    </w:p>
    <w:p w14:paraId="6BC70293" w14:textId="22122598" w:rsidR="00837A49" w:rsidRPr="00634D0B" w:rsidRDefault="00837A49" w:rsidP="00837A49">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Armenia </w:t>
      </w:r>
      <w:r w:rsidR="00676E00" w:rsidRPr="00813D19">
        <w:rPr>
          <w:color w:val="000000" w:themeColor="text1"/>
          <w:lang w:val="en-US"/>
        </w:rPr>
        <w:t>preferred to retain the original paragraph</w:t>
      </w:r>
      <w:r w:rsidRPr="00634D0B">
        <w:rPr>
          <w:color w:val="000000" w:themeColor="text1"/>
          <w:lang w:val="en-US"/>
        </w:rPr>
        <w:t>.</w:t>
      </w:r>
    </w:p>
    <w:p w14:paraId="0F6AC774" w14:textId="3EC9BE01" w:rsidR="00837A49" w:rsidRPr="00634D0B" w:rsidRDefault="00837A49" w:rsidP="00837A49">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delegations of Cyprus, Azerbaijan, Lebanon, Sri Lanka,</w:t>
      </w:r>
      <w:r w:rsidR="00C72003" w:rsidRPr="00813D19">
        <w:rPr>
          <w:b/>
          <w:color w:val="000000" w:themeColor="text1"/>
          <w:lang w:val="en-US"/>
        </w:rPr>
        <w:t xml:space="preserve"> Cuba, K</w:t>
      </w:r>
      <w:r w:rsidR="00D74326" w:rsidRPr="00813D19">
        <w:rPr>
          <w:b/>
          <w:color w:val="000000" w:themeColor="text1"/>
          <w:lang w:val="en-US"/>
        </w:rPr>
        <w:t xml:space="preserve">uwait, Jamaica, Zambia, </w:t>
      </w:r>
      <w:r w:rsidRPr="00813D19">
        <w:rPr>
          <w:b/>
          <w:color w:val="000000" w:themeColor="text1"/>
          <w:lang w:val="en-US"/>
        </w:rPr>
        <w:t xml:space="preserve">Guatemala </w:t>
      </w:r>
      <w:r w:rsidR="00595E57" w:rsidRPr="002827E3">
        <w:rPr>
          <w:color w:val="000000" w:themeColor="text1"/>
          <w:lang w:val="en-US"/>
        </w:rPr>
        <w:t>and</w:t>
      </w:r>
      <w:r w:rsidR="00595E57">
        <w:rPr>
          <w:b/>
          <w:color w:val="000000" w:themeColor="text1"/>
          <w:lang w:val="en-US"/>
        </w:rPr>
        <w:t xml:space="preserve"> Zambia </w:t>
      </w:r>
      <w:r w:rsidRPr="00813D19">
        <w:rPr>
          <w:color w:val="000000" w:themeColor="text1"/>
          <w:lang w:val="en-US"/>
        </w:rPr>
        <w:t xml:space="preserve">supported </w:t>
      </w:r>
      <w:r w:rsidR="00F6039E" w:rsidRPr="00813D19">
        <w:rPr>
          <w:color w:val="000000" w:themeColor="text1"/>
          <w:lang w:val="en-US"/>
        </w:rPr>
        <w:t xml:space="preserve">Palestine’s </w:t>
      </w:r>
      <w:r w:rsidRPr="00813D19">
        <w:rPr>
          <w:color w:val="000000" w:themeColor="text1"/>
          <w:lang w:val="en-US"/>
        </w:rPr>
        <w:t>amendment</w:t>
      </w:r>
      <w:r w:rsidRPr="00634D0B">
        <w:rPr>
          <w:color w:val="000000" w:themeColor="text1"/>
          <w:lang w:val="en-US"/>
        </w:rPr>
        <w:t>.</w:t>
      </w:r>
    </w:p>
    <w:p w14:paraId="473DAEFB" w14:textId="0414A5CA" w:rsidR="00837A49" w:rsidRPr="00634D0B" w:rsidRDefault="00837A49"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 </w:t>
      </w:r>
      <w:r w:rsidR="00676E00" w:rsidRPr="00813D19">
        <w:rPr>
          <w:color w:val="000000" w:themeColor="text1"/>
          <w:lang w:val="en-US"/>
        </w:rPr>
        <w:t>remarked that</w:t>
      </w:r>
      <w:r w:rsidR="00676E00" w:rsidRPr="00813D19">
        <w:rPr>
          <w:b/>
          <w:color w:val="000000" w:themeColor="text1"/>
          <w:lang w:val="en-US"/>
        </w:rPr>
        <w:t xml:space="preserve"> </w:t>
      </w:r>
      <w:r w:rsidR="00C72003" w:rsidRPr="00813D19">
        <w:rPr>
          <w:bCs/>
          <w:lang w:val="en-US"/>
        </w:rPr>
        <w:t xml:space="preserve">the decision-making </w:t>
      </w:r>
      <w:r w:rsidR="00676E00" w:rsidRPr="00813D19">
        <w:rPr>
          <w:bCs/>
          <w:lang w:val="en-US"/>
        </w:rPr>
        <w:t xml:space="preserve">process </w:t>
      </w:r>
      <w:r w:rsidR="00C72003" w:rsidRPr="00813D19">
        <w:rPr>
          <w:bCs/>
          <w:lang w:val="en-US"/>
        </w:rPr>
        <w:t xml:space="preserve">adopted </w:t>
      </w:r>
      <w:r w:rsidR="00676E00" w:rsidRPr="00813D19">
        <w:rPr>
          <w:bCs/>
          <w:lang w:val="en-US"/>
        </w:rPr>
        <w:t>stipulated</w:t>
      </w:r>
      <w:r w:rsidR="00C72003" w:rsidRPr="00813D19">
        <w:rPr>
          <w:bCs/>
          <w:lang w:val="en-US"/>
        </w:rPr>
        <w:t xml:space="preserve"> that </w:t>
      </w:r>
      <w:r w:rsidR="00676E00" w:rsidRPr="00813D19">
        <w:rPr>
          <w:bCs/>
          <w:lang w:val="en-US"/>
        </w:rPr>
        <w:t xml:space="preserve">in case of </w:t>
      </w:r>
      <w:r w:rsidR="003857B7" w:rsidRPr="00813D19">
        <w:rPr>
          <w:bCs/>
          <w:lang w:val="en-US"/>
        </w:rPr>
        <w:t>an</w:t>
      </w:r>
      <w:r w:rsidR="00C72003" w:rsidRPr="00813D19">
        <w:rPr>
          <w:bCs/>
          <w:lang w:val="en-US"/>
        </w:rPr>
        <w:t xml:space="preserve"> opposition</w:t>
      </w:r>
      <w:r w:rsidR="00676E00" w:rsidRPr="00813D19">
        <w:rPr>
          <w:bCs/>
          <w:lang w:val="en-US"/>
        </w:rPr>
        <w:t>,</w:t>
      </w:r>
      <w:r w:rsidR="00C72003" w:rsidRPr="00813D19">
        <w:rPr>
          <w:bCs/>
          <w:lang w:val="en-US"/>
        </w:rPr>
        <w:t xml:space="preserve"> </w:t>
      </w:r>
      <w:r w:rsidR="00676E00" w:rsidRPr="00813D19">
        <w:rPr>
          <w:bCs/>
          <w:lang w:val="en-US"/>
        </w:rPr>
        <w:t>a one-</w:t>
      </w:r>
      <w:r w:rsidR="00C72003" w:rsidRPr="00813D19">
        <w:rPr>
          <w:bCs/>
          <w:lang w:val="en-US"/>
        </w:rPr>
        <w:t xml:space="preserve">third </w:t>
      </w:r>
      <w:r w:rsidR="00634D0B">
        <w:rPr>
          <w:bCs/>
          <w:lang w:val="en-US"/>
        </w:rPr>
        <w:t>minority was required.</w:t>
      </w:r>
    </w:p>
    <w:p w14:paraId="1F24CCFF" w14:textId="2E936B96" w:rsidR="00784375" w:rsidRPr="00634D0B" w:rsidRDefault="00674D14" w:rsidP="00837A49">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00676E00" w:rsidRPr="00813D19">
        <w:rPr>
          <w:color w:val="000000" w:themeColor="text1"/>
          <w:lang w:val="en-US"/>
        </w:rPr>
        <w:t>concurred and</w:t>
      </w:r>
      <w:r w:rsidR="00676E00" w:rsidRPr="00813D19">
        <w:rPr>
          <w:b/>
          <w:color w:val="000000" w:themeColor="text1"/>
          <w:lang w:val="en-US"/>
        </w:rPr>
        <w:t xml:space="preserve"> </w:t>
      </w:r>
      <w:r w:rsidRPr="00813D19">
        <w:rPr>
          <w:color w:val="000000" w:themeColor="text1"/>
          <w:lang w:val="en-US"/>
        </w:rPr>
        <w:t xml:space="preserve">paragraph </w:t>
      </w:r>
      <w:r w:rsidR="00B04417" w:rsidRPr="00813D19">
        <w:rPr>
          <w:color w:val="000000" w:themeColor="text1"/>
          <w:lang w:val="en-US"/>
        </w:rPr>
        <w:t xml:space="preserve">6 </w:t>
      </w:r>
      <w:r w:rsidR="00676E00" w:rsidRPr="00813D19">
        <w:rPr>
          <w:color w:val="000000" w:themeColor="text1"/>
          <w:lang w:val="en-US"/>
        </w:rPr>
        <w:t xml:space="preserve">was duly </w:t>
      </w:r>
      <w:r w:rsidR="00784375" w:rsidRPr="00813D19">
        <w:rPr>
          <w:color w:val="000000" w:themeColor="text1"/>
          <w:lang w:val="en-US"/>
        </w:rPr>
        <w:t>adopted</w:t>
      </w:r>
      <w:r w:rsidR="00B04417" w:rsidRPr="00634D0B">
        <w:rPr>
          <w:color w:val="000000" w:themeColor="text1"/>
          <w:lang w:val="en-US"/>
        </w:rPr>
        <w:t>.</w:t>
      </w:r>
    </w:p>
    <w:p w14:paraId="04D95D9A" w14:textId="7F1397DD" w:rsidR="00784375" w:rsidRPr="00634D0B" w:rsidRDefault="00784375" w:rsidP="00837A49">
      <w:pPr>
        <w:pStyle w:val="Orateurengris"/>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delegation of Cuba</w:t>
      </w:r>
      <w:r w:rsidR="001C7766" w:rsidRPr="00813D19">
        <w:rPr>
          <w:b/>
          <w:color w:val="000000" w:themeColor="text1"/>
          <w:lang w:val="en-US"/>
        </w:rPr>
        <w:t xml:space="preserve"> </w:t>
      </w:r>
      <w:r w:rsidR="00676E00" w:rsidRPr="00813D19">
        <w:rPr>
          <w:color w:val="000000" w:themeColor="text1"/>
          <w:lang w:val="en-US"/>
        </w:rPr>
        <w:t>noted that there were</w:t>
      </w:r>
      <w:r w:rsidR="00676E00" w:rsidRPr="00813D19">
        <w:rPr>
          <w:bCs/>
          <w:lang w:val="en-US"/>
        </w:rPr>
        <w:t xml:space="preserve"> </w:t>
      </w:r>
      <w:r w:rsidR="001C7766" w:rsidRPr="00813D19">
        <w:rPr>
          <w:bCs/>
          <w:lang w:val="en-US"/>
        </w:rPr>
        <w:t>two amendments to the paragraph and in order to obtain maximum clarity</w:t>
      </w:r>
      <w:r w:rsidR="00676E00" w:rsidRPr="00813D19">
        <w:rPr>
          <w:bCs/>
          <w:lang w:val="en-US"/>
        </w:rPr>
        <w:t xml:space="preserve"> and balance,</w:t>
      </w:r>
      <w:r w:rsidR="001C7766" w:rsidRPr="00813D19">
        <w:rPr>
          <w:bCs/>
          <w:lang w:val="en-US"/>
        </w:rPr>
        <w:t xml:space="preserve"> the second part of the paragraph </w:t>
      </w:r>
      <w:r w:rsidR="00676E00" w:rsidRPr="00813D19">
        <w:rPr>
          <w:bCs/>
          <w:lang w:val="en-US"/>
        </w:rPr>
        <w:t xml:space="preserve">should—in addition  to armed conflict—also refer to natural disasters and </w:t>
      </w:r>
      <w:r w:rsidR="001C7766" w:rsidRPr="00813D19">
        <w:rPr>
          <w:bCs/>
          <w:lang w:val="en-US"/>
        </w:rPr>
        <w:t xml:space="preserve">post-conflict situations in terms of </w:t>
      </w:r>
      <w:r w:rsidR="00676E00" w:rsidRPr="00813D19">
        <w:rPr>
          <w:bCs/>
          <w:lang w:val="en-US"/>
        </w:rPr>
        <w:t xml:space="preserve">safeguarding intangible cultural heritage. The delegation asked whether </w:t>
      </w:r>
      <w:r w:rsidR="001C7766" w:rsidRPr="00813D19">
        <w:rPr>
          <w:bCs/>
          <w:lang w:val="en-US"/>
        </w:rPr>
        <w:t xml:space="preserve">Palestine </w:t>
      </w:r>
      <w:r w:rsidR="00676E00" w:rsidRPr="00813D19">
        <w:rPr>
          <w:bCs/>
          <w:lang w:val="en-US"/>
        </w:rPr>
        <w:t xml:space="preserve">had suitable </w:t>
      </w:r>
      <w:r w:rsidR="001C7766" w:rsidRPr="00813D19">
        <w:rPr>
          <w:bCs/>
          <w:lang w:val="en-US"/>
        </w:rPr>
        <w:t xml:space="preserve">wording to accommodate all </w:t>
      </w:r>
      <w:r w:rsidR="00676E00" w:rsidRPr="00813D19">
        <w:rPr>
          <w:bCs/>
          <w:lang w:val="en-US"/>
        </w:rPr>
        <w:t xml:space="preserve">these aspects </w:t>
      </w:r>
      <w:r w:rsidR="0058359C" w:rsidRPr="00813D19">
        <w:rPr>
          <w:bCs/>
          <w:lang w:val="en-US"/>
        </w:rPr>
        <w:t xml:space="preserve">so as not to </w:t>
      </w:r>
      <w:r w:rsidR="001C7766" w:rsidRPr="00813D19">
        <w:rPr>
          <w:bCs/>
          <w:lang w:val="en-US"/>
        </w:rPr>
        <w:t>create this imbalance</w:t>
      </w:r>
      <w:r w:rsidR="00634D0B">
        <w:rPr>
          <w:bCs/>
          <w:lang w:val="en-US"/>
        </w:rPr>
        <w:t>.</w:t>
      </w:r>
    </w:p>
    <w:p w14:paraId="35ECC38C" w14:textId="0CE571CF" w:rsidR="00784375" w:rsidRPr="00634D0B" w:rsidRDefault="00784375" w:rsidP="00837A49">
      <w:pPr>
        <w:pStyle w:val="Orateurengris"/>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065BDE" w:rsidRPr="00813D19">
        <w:rPr>
          <w:b/>
          <w:color w:val="000000" w:themeColor="text1"/>
          <w:lang w:val="en-US"/>
        </w:rPr>
        <w:t xml:space="preserve"> </w:t>
      </w:r>
      <w:r w:rsidR="00035C5E" w:rsidRPr="00813D19">
        <w:rPr>
          <w:color w:val="000000" w:themeColor="text1"/>
          <w:lang w:val="en-US"/>
        </w:rPr>
        <w:t xml:space="preserve">agreed </w:t>
      </w:r>
      <w:r w:rsidR="00813D19" w:rsidRPr="00813D19">
        <w:rPr>
          <w:color w:val="000000" w:themeColor="text1"/>
          <w:lang w:val="en-US"/>
        </w:rPr>
        <w:t>with</w:t>
      </w:r>
      <w:r w:rsidR="00035C5E" w:rsidRPr="00813D19">
        <w:rPr>
          <w:color w:val="000000" w:themeColor="text1"/>
          <w:lang w:val="en-US"/>
        </w:rPr>
        <w:t xml:space="preserve"> the remarks by Cuba</w:t>
      </w:r>
      <w:r w:rsidR="0058359C" w:rsidRPr="00813D19">
        <w:rPr>
          <w:color w:val="000000" w:themeColor="text1"/>
          <w:lang w:val="en-US"/>
        </w:rPr>
        <w:t xml:space="preserve"> </w:t>
      </w:r>
      <w:r w:rsidR="00035C5E" w:rsidRPr="00813D19">
        <w:rPr>
          <w:color w:val="000000" w:themeColor="text1"/>
          <w:lang w:val="en-US"/>
        </w:rPr>
        <w:t xml:space="preserve">and suggested </w:t>
      </w:r>
      <w:r w:rsidR="00E018B4">
        <w:rPr>
          <w:color w:val="000000" w:themeColor="text1"/>
          <w:lang w:val="en-US"/>
        </w:rPr>
        <w:t>inserting</w:t>
      </w:r>
      <w:r w:rsidR="00035C5E" w:rsidRPr="00813D19">
        <w:rPr>
          <w:color w:val="000000" w:themeColor="text1"/>
          <w:lang w:val="en-US"/>
        </w:rPr>
        <w:t xml:space="preserve"> ‘including’.</w:t>
      </w:r>
    </w:p>
    <w:p w14:paraId="2BECB054" w14:textId="76EBE07C" w:rsidR="00837A49" w:rsidRPr="00634D0B" w:rsidRDefault="00784375"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 </w:t>
      </w:r>
      <w:r w:rsidR="00065BDE" w:rsidRPr="00813D19">
        <w:rPr>
          <w:bCs/>
          <w:lang w:val="en-US"/>
        </w:rPr>
        <w:t>share</w:t>
      </w:r>
      <w:r w:rsidR="00035C5E" w:rsidRPr="00813D19">
        <w:rPr>
          <w:bCs/>
          <w:lang w:val="en-US"/>
        </w:rPr>
        <w:t>d</w:t>
      </w:r>
      <w:r w:rsidR="00065BDE" w:rsidRPr="00813D19">
        <w:rPr>
          <w:bCs/>
          <w:lang w:val="en-US"/>
        </w:rPr>
        <w:t xml:space="preserve"> the sentiments expressed by Cuba</w:t>
      </w:r>
      <w:r w:rsidR="00035C5E" w:rsidRPr="00813D19">
        <w:rPr>
          <w:bCs/>
          <w:lang w:val="en-US"/>
        </w:rPr>
        <w:t xml:space="preserve">, and suggested </w:t>
      </w:r>
      <w:r w:rsidR="00065BDE" w:rsidRPr="00813D19">
        <w:rPr>
          <w:bCs/>
          <w:lang w:val="en-US"/>
        </w:rPr>
        <w:t xml:space="preserve">including armed </w:t>
      </w:r>
      <w:r w:rsidR="00634D0B">
        <w:rPr>
          <w:bCs/>
          <w:lang w:val="en-US"/>
        </w:rPr>
        <w:t>conflict and natural disasters.</w:t>
      </w:r>
    </w:p>
    <w:p w14:paraId="4AA96E96" w14:textId="66A556A7" w:rsidR="00784375" w:rsidRPr="00634D0B" w:rsidRDefault="00784375"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B04417" w:rsidRPr="00813D19">
        <w:rPr>
          <w:b/>
          <w:color w:val="000000" w:themeColor="text1"/>
          <w:lang w:val="en-US"/>
        </w:rPr>
        <w:t>Colombia</w:t>
      </w:r>
      <w:r w:rsidR="00065BDE" w:rsidRPr="00813D19">
        <w:rPr>
          <w:b/>
          <w:color w:val="000000" w:themeColor="text1"/>
          <w:lang w:val="en-US"/>
        </w:rPr>
        <w:t xml:space="preserve"> </w:t>
      </w:r>
      <w:r w:rsidR="00035C5E" w:rsidRPr="00813D19">
        <w:rPr>
          <w:bCs/>
          <w:lang w:val="en-US"/>
        </w:rPr>
        <w:t xml:space="preserve">agreed with </w:t>
      </w:r>
      <w:r w:rsidR="00065BDE" w:rsidRPr="00813D19">
        <w:rPr>
          <w:bCs/>
          <w:lang w:val="en-US"/>
        </w:rPr>
        <w:t xml:space="preserve">the Philippines </w:t>
      </w:r>
      <w:r w:rsidR="00035C5E" w:rsidRPr="00813D19">
        <w:rPr>
          <w:bCs/>
          <w:lang w:val="en-US"/>
        </w:rPr>
        <w:t xml:space="preserve">as this would place </w:t>
      </w:r>
      <w:r w:rsidR="00065BDE" w:rsidRPr="00813D19">
        <w:rPr>
          <w:bCs/>
          <w:lang w:val="en-US"/>
        </w:rPr>
        <w:t>armed</w:t>
      </w:r>
      <w:r w:rsidR="00035C5E" w:rsidRPr="00813D19">
        <w:rPr>
          <w:bCs/>
          <w:lang w:val="en-US"/>
        </w:rPr>
        <w:t xml:space="preserve"> conflict and natural disasters</w:t>
      </w:r>
      <w:r w:rsidR="00065BDE" w:rsidRPr="00813D19">
        <w:rPr>
          <w:bCs/>
          <w:lang w:val="en-US"/>
        </w:rPr>
        <w:t xml:space="preserve"> on </w:t>
      </w:r>
      <w:r w:rsidR="00E018B4">
        <w:rPr>
          <w:bCs/>
          <w:lang w:val="en-US"/>
        </w:rPr>
        <w:t xml:space="preserve">an </w:t>
      </w:r>
      <w:r w:rsidR="00634D0B">
        <w:rPr>
          <w:bCs/>
          <w:lang w:val="en-US"/>
        </w:rPr>
        <w:t>equal footing.</w:t>
      </w:r>
    </w:p>
    <w:p w14:paraId="271E3143" w14:textId="51C9190F" w:rsidR="00784375" w:rsidRPr="00634D0B" w:rsidRDefault="00B04417"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Cuba </w:t>
      </w:r>
      <w:r w:rsidR="00035C5E" w:rsidRPr="00813D19">
        <w:rPr>
          <w:color w:val="000000" w:themeColor="text1"/>
          <w:lang w:val="en-US"/>
        </w:rPr>
        <w:t>found</w:t>
      </w:r>
      <w:r w:rsidR="00035C5E" w:rsidRPr="00813D19">
        <w:rPr>
          <w:b/>
          <w:color w:val="000000" w:themeColor="text1"/>
          <w:lang w:val="en-US"/>
        </w:rPr>
        <w:t xml:space="preserve"> </w:t>
      </w:r>
      <w:r w:rsidR="00065BDE" w:rsidRPr="00813D19">
        <w:rPr>
          <w:bCs/>
          <w:lang w:val="en-US"/>
        </w:rPr>
        <w:t>Palestine’s proposal acceptable but wonder</w:t>
      </w:r>
      <w:r w:rsidR="00035C5E" w:rsidRPr="00813D19">
        <w:rPr>
          <w:bCs/>
          <w:lang w:val="en-US"/>
        </w:rPr>
        <w:t>ed whether</w:t>
      </w:r>
      <w:r w:rsidR="00065BDE" w:rsidRPr="00813D19">
        <w:rPr>
          <w:bCs/>
          <w:lang w:val="en-US"/>
        </w:rPr>
        <w:t xml:space="preserve"> </w:t>
      </w:r>
      <w:r w:rsidR="00035C5E" w:rsidRPr="00813D19">
        <w:rPr>
          <w:bCs/>
          <w:lang w:val="en-US"/>
        </w:rPr>
        <w:t>‘</w:t>
      </w:r>
      <w:r w:rsidR="00065BDE" w:rsidRPr="00813D19">
        <w:rPr>
          <w:bCs/>
          <w:lang w:val="en-US"/>
        </w:rPr>
        <w:t>post-conflict situations</w:t>
      </w:r>
      <w:r w:rsidR="00035C5E" w:rsidRPr="00813D19">
        <w:rPr>
          <w:bCs/>
          <w:lang w:val="en-US"/>
        </w:rPr>
        <w:t xml:space="preserve">’ could also be </w:t>
      </w:r>
      <w:r w:rsidR="00634D0B">
        <w:rPr>
          <w:bCs/>
          <w:lang w:val="en-US"/>
        </w:rPr>
        <w:t>included.</w:t>
      </w:r>
    </w:p>
    <w:p w14:paraId="47395789" w14:textId="113482F6" w:rsidR="00B04417" w:rsidRPr="00634D0B" w:rsidRDefault="00B04417"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065BDE" w:rsidRPr="00813D19">
        <w:rPr>
          <w:b/>
          <w:color w:val="000000" w:themeColor="text1"/>
          <w:lang w:val="en-US"/>
        </w:rPr>
        <w:t xml:space="preserve"> </w:t>
      </w:r>
      <w:r w:rsidR="00065BDE" w:rsidRPr="00813D19">
        <w:rPr>
          <w:bCs/>
          <w:lang w:val="en-US"/>
        </w:rPr>
        <w:t>support</w:t>
      </w:r>
      <w:r w:rsidR="00035C5E" w:rsidRPr="00813D19">
        <w:rPr>
          <w:bCs/>
          <w:lang w:val="en-US"/>
        </w:rPr>
        <w:t>ed</w:t>
      </w:r>
      <w:r w:rsidR="00065BDE" w:rsidRPr="00813D19">
        <w:rPr>
          <w:bCs/>
          <w:lang w:val="en-US"/>
        </w:rPr>
        <w:t xml:space="preserve"> the proposal </w:t>
      </w:r>
      <w:r w:rsidR="00035C5E" w:rsidRPr="00813D19">
        <w:rPr>
          <w:bCs/>
          <w:lang w:val="en-US"/>
        </w:rPr>
        <w:t xml:space="preserve">by the Philippines and appreciated a </w:t>
      </w:r>
      <w:r w:rsidR="00065BDE" w:rsidRPr="00813D19">
        <w:rPr>
          <w:bCs/>
          <w:lang w:val="en-US"/>
        </w:rPr>
        <w:t xml:space="preserve">proposal to address the last concern </w:t>
      </w:r>
      <w:r w:rsidR="00035C5E" w:rsidRPr="00813D19">
        <w:rPr>
          <w:bCs/>
          <w:lang w:val="en-US"/>
        </w:rPr>
        <w:t xml:space="preserve">expressed by </w:t>
      </w:r>
      <w:r w:rsidR="00065BDE" w:rsidRPr="00813D19">
        <w:rPr>
          <w:bCs/>
          <w:lang w:val="en-US"/>
        </w:rPr>
        <w:t>Cuba</w:t>
      </w:r>
      <w:r w:rsidR="00035C5E" w:rsidRPr="00813D19">
        <w:rPr>
          <w:bCs/>
          <w:lang w:val="en-US"/>
        </w:rPr>
        <w:t>.</w:t>
      </w:r>
    </w:p>
    <w:p w14:paraId="5DF8544C" w14:textId="122EB35E" w:rsidR="00B04417" w:rsidRPr="00634D0B" w:rsidRDefault="00705517"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Armenia</w:t>
      </w:r>
      <w:r w:rsidR="00065BDE" w:rsidRPr="00813D19">
        <w:rPr>
          <w:b/>
          <w:color w:val="000000" w:themeColor="text1"/>
          <w:lang w:val="en-US"/>
        </w:rPr>
        <w:t xml:space="preserve"> </w:t>
      </w:r>
      <w:r w:rsidR="00035C5E" w:rsidRPr="00813D19">
        <w:rPr>
          <w:color w:val="000000" w:themeColor="text1"/>
          <w:lang w:val="en-US"/>
        </w:rPr>
        <w:t>wished to add ‘</w:t>
      </w:r>
      <w:r w:rsidR="00035C5E" w:rsidRPr="00813D19">
        <w:rPr>
          <w:bCs/>
          <w:lang w:val="en-US"/>
        </w:rPr>
        <w:t>and also during peacetime’</w:t>
      </w:r>
      <w:r w:rsidR="00634D0B">
        <w:rPr>
          <w:color w:val="000000" w:themeColor="text1"/>
          <w:lang w:val="en-US"/>
        </w:rPr>
        <w:t xml:space="preserve"> to the sentence.</w:t>
      </w:r>
    </w:p>
    <w:p w14:paraId="03C04F93" w14:textId="0A44D0FE" w:rsidR="00A80225" w:rsidRPr="00634D0B" w:rsidRDefault="00A80225"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065BDE" w:rsidRPr="00813D19">
        <w:rPr>
          <w:bCs/>
          <w:lang w:val="en-US"/>
        </w:rPr>
        <w:t>remind</w:t>
      </w:r>
      <w:r w:rsidR="00035C5E" w:rsidRPr="00813D19">
        <w:rPr>
          <w:bCs/>
          <w:lang w:val="en-US"/>
        </w:rPr>
        <w:t>ed</w:t>
      </w:r>
      <w:r w:rsidR="00065BDE" w:rsidRPr="00813D19">
        <w:rPr>
          <w:bCs/>
          <w:lang w:val="en-US"/>
        </w:rPr>
        <w:t xml:space="preserve"> the </w:t>
      </w:r>
      <w:r w:rsidR="00035C5E" w:rsidRPr="00813D19">
        <w:rPr>
          <w:bCs/>
          <w:lang w:val="en-US"/>
        </w:rPr>
        <w:t xml:space="preserve">Committee </w:t>
      </w:r>
      <w:r w:rsidR="00065BDE" w:rsidRPr="00813D19">
        <w:rPr>
          <w:bCs/>
          <w:lang w:val="en-US"/>
        </w:rPr>
        <w:t xml:space="preserve">that the various contexts of </w:t>
      </w:r>
      <w:r w:rsidR="00035C5E" w:rsidRPr="00813D19">
        <w:rPr>
          <w:bCs/>
          <w:lang w:val="en-US"/>
        </w:rPr>
        <w:t>intangible cultural heritage in emergencies</w:t>
      </w:r>
      <w:r w:rsidR="00065BDE" w:rsidRPr="00813D19">
        <w:rPr>
          <w:bCs/>
          <w:lang w:val="en-US"/>
        </w:rPr>
        <w:t xml:space="preserve"> </w:t>
      </w:r>
      <w:r w:rsidR="00035C5E" w:rsidRPr="00813D19">
        <w:rPr>
          <w:bCs/>
          <w:lang w:val="en-US"/>
        </w:rPr>
        <w:t xml:space="preserve">had </w:t>
      </w:r>
      <w:r w:rsidR="00065BDE" w:rsidRPr="00813D19">
        <w:rPr>
          <w:bCs/>
          <w:lang w:val="en-US"/>
        </w:rPr>
        <w:t>already been defined in multiple previous decisions</w:t>
      </w:r>
      <w:r w:rsidR="00035C5E" w:rsidRPr="00813D19">
        <w:rPr>
          <w:bCs/>
          <w:lang w:val="en-US"/>
        </w:rPr>
        <w:t>,</w:t>
      </w:r>
      <w:r w:rsidR="00065BDE" w:rsidRPr="00813D19">
        <w:rPr>
          <w:bCs/>
          <w:lang w:val="en-US"/>
        </w:rPr>
        <w:t xml:space="preserve"> and </w:t>
      </w:r>
      <w:r w:rsidR="00035C5E" w:rsidRPr="00813D19">
        <w:rPr>
          <w:bCs/>
          <w:lang w:val="en-US"/>
        </w:rPr>
        <w:t xml:space="preserve">although it was </w:t>
      </w:r>
      <w:r w:rsidR="00065BDE" w:rsidRPr="00813D19">
        <w:rPr>
          <w:bCs/>
          <w:lang w:val="en-US"/>
        </w:rPr>
        <w:t xml:space="preserve">possible to reproduce those contexts in one paragraph </w:t>
      </w:r>
      <w:r w:rsidR="00035C5E" w:rsidRPr="00813D19">
        <w:rPr>
          <w:bCs/>
          <w:lang w:val="en-US"/>
        </w:rPr>
        <w:t xml:space="preserve">should the Committee so wish, </w:t>
      </w:r>
      <w:r w:rsidR="00065BDE" w:rsidRPr="00813D19">
        <w:rPr>
          <w:bCs/>
          <w:lang w:val="en-US"/>
        </w:rPr>
        <w:t xml:space="preserve">situations of emergencies </w:t>
      </w:r>
      <w:r w:rsidR="00035C5E" w:rsidRPr="00813D19">
        <w:rPr>
          <w:bCs/>
          <w:lang w:val="en-US"/>
        </w:rPr>
        <w:t>alrea</w:t>
      </w:r>
      <w:r w:rsidR="0058359C" w:rsidRPr="00813D19">
        <w:rPr>
          <w:bCs/>
          <w:lang w:val="en-US"/>
        </w:rPr>
        <w:t>d</w:t>
      </w:r>
      <w:r w:rsidR="00035C5E" w:rsidRPr="00813D19">
        <w:rPr>
          <w:bCs/>
          <w:lang w:val="en-US"/>
        </w:rPr>
        <w:t xml:space="preserve">y implied pre-conflict, post-conflict, conflict and </w:t>
      </w:r>
      <w:r w:rsidR="00634D0B">
        <w:rPr>
          <w:bCs/>
          <w:lang w:val="en-US"/>
        </w:rPr>
        <w:t>natural disasters.</w:t>
      </w:r>
    </w:p>
    <w:p w14:paraId="7C0930AA" w14:textId="5597BFCD" w:rsidR="00035C5E" w:rsidRPr="00813D19" w:rsidRDefault="00A80225" w:rsidP="00035C5E">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0058359C" w:rsidRPr="00813D19">
        <w:rPr>
          <w:color w:val="000000" w:themeColor="text1"/>
          <w:lang w:val="en-US"/>
        </w:rPr>
        <w:t>turned to</w:t>
      </w:r>
      <w:r w:rsidR="0058359C" w:rsidRPr="00813D19">
        <w:rPr>
          <w:b/>
          <w:color w:val="000000" w:themeColor="text1"/>
          <w:lang w:val="en-US"/>
        </w:rPr>
        <w:t xml:space="preserve"> </w:t>
      </w:r>
      <w:r w:rsidRPr="00813D19">
        <w:rPr>
          <w:color w:val="000000" w:themeColor="text1"/>
          <w:lang w:val="en-US"/>
        </w:rPr>
        <w:t>paragraph 6</w:t>
      </w:r>
      <w:r w:rsidR="0058359C" w:rsidRPr="00813D19">
        <w:rPr>
          <w:color w:val="000000" w:themeColor="text1"/>
          <w:lang w:val="en-US"/>
        </w:rPr>
        <w:t xml:space="preserve">, which was duly </w:t>
      </w:r>
      <w:r w:rsidRPr="00813D19">
        <w:rPr>
          <w:color w:val="000000" w:themeColor="text1"/>
          <w:lang w:val="en-US"/>
        </w:rPr>
        <w:t xml:space="preserve">adopted. Paragraphs 7 and 8 were </w:t>
      </w:r>
      <w:r w:rsidR="0058359C" w:rsidRPr="00813D19">
        <w:rPr>
          <w:color w:val="000000" w:themeColor="text1"/>
          <w:lang w:val="en-US"/>
        </w:rPr>
        <w:t xml:space="preserve">also </w:t>
      </w:r>
      <w:r w:rsidRPr="00813D19">
        <w:rPr>
          <w:color w:val="000000" w:themeColor="text1"/>
          <w:lang w:val="en-US"/>
        </w:rPr>
        <w:t xml:space="preserve">adopted. </w:t>
      </w:r>
      <w:r w:rsidR="0058359C" w:rsidRPr="00813D19">
        <w:rPr>
          <w:color w:val="000000" w:themeColor="text1"/>
          <w:lang w:val="en-US"/>
        </w:rPr>
        <w:t xml:space="preserve">An amendment was proposed </w:t>
      </w:r>
      <w:r w:rsidRPr="00813D19">
        <w:rPr>
          <w:color w:val="000000" w:themeColor="text1"/>
          <w:lang w:val="en-US"/>
        </w:rPr>
        <w:t>by Palestine in p</w:t>
      </w:r>
      <w:r w:rsidR="006D5D65" w:rsidRPr="00813D19">
        <w:rPr>
          <w:color w:val="000000" w:themeColor="text1"/>
          <w:lang w:val="en-US"/>
        </w:rPr>
        <w:t>aragraph 9</w:t>
      </w:r>
      <w:r w:rsidR="00035C5E" w:rsidRPr="00813D19">
        <w:rPr>
          <w:color w:val="000000" w:themeColor="text1"/>
          <w:lang w:val="en-US"/>
        </w:rPr>
        <w:t xml:space="preserve"> to add the following text, ‘</w:t>
      </w:r>
      <w:r w:rsidR="00035C5E" w:rsidRPr="00813D19">
        <w:rPr>
          <w:rFonts w:eastAsia="SimSun"/>
          <w:bCs/>
          <w:lang w:val="en-US" w:eastAsia="zh-CN"/>
        </w:rPr>
        <w:t>or for any other relevant national or international stakeholders’.</w:t>
      </w:r>
    </w:p>
    <w:p w14:paraId="7386F2E0" w14:textId="4C1C01CF" w:rsidR="00A80225" w:rsidRPr="00634D0B" w:rsidRDefault="00A80225"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Cuba</w:t>
      </w:r>
      <w:r w:rsidR="006D5D65" w:rsidRPr="00813D19">
        <w:rPr>
          <w:b/>
          <w:color w:val="000000" w:themeColor="text1"/>
          <w:lang w:val="en-US"/>
        </w:rPr>
        <w:t xml:space="preserve"> </w:t>
      </w:r>
      <w:r w:rsidR="007F345B" w:rsidRPr="00813D19">
        <w:rPr>
          <w:color w:val="000000" w:themeColor="text1"/>
          <w:lang w:val="en-US"/>
        </w:rPr>
        <w:t xml:space="preserve">referred to the use of </w:t>
      </w:r>
      <w:r w:rsidR="007F345B" w:rsidRPr="00813D19">
        <w:rPr>
          <w:i/>
          <w:color w:val="000000" w:themeColor="text1"/>
          <w:lang w:val="en-US"/>
        </w:rPr>
        <w:t xml:space="preserve">intervenant </w:t>
      </w:r>
      <w:r w:rsidR="007F345B" w:rsidRPr="00813D19">
        <w:rPr>
          <w:color w:val="000000" w:themeColor="text1"/>
          <w:lang w:val="en-US"/>
        </w:rPr>
        <w:t>in Palestine’s amendment,</w:t>
      </w:r>
      <w:r w:rsidR="007F345B" w:rsidRPr="00813D19">
        <w:rPr>
          <w:b/>
          <w:color w:val="000000" w:themeColor="text1"/>
          <w:lang w:val="en-US"/>
        </w:rPr>
        <w:t xml:space="preserve"> </w:t>
      </w:r>
      <w:r w:rsidR="007F345B" w:rsidRPr="00813D19">
        <w:rPr>
          <w:color w:val="000000" w:themeColor="text1"/>
          <w:lang w:val="en-US"/>
        </w:rPr>
        <w:t>remarking</w:t>
      </w:r>
      <w:r w:rsidR="007F345B" w:rsidRPr="00813D19">
        <w:rPr>
          <w:b/>
          <w:color w:val="000000" w:themeColor="text1"/>
          <w:lang w:val="en-US"/>
        </w:rPr>
        <w:t xml:space="preserve"> </w:t>
      </w:r>
      <w:r w:rsidR="007F345B" w:rsidRPr="00813D19">
        <w:rPr>
          <w:bCs/>
          <w:lang w:val="en-US"/>
        </w:rPr>
        <w:t xml:space="preserve">that its use had caused </w:t>
      </w:r>
      <w:r w:rsidR="006D5D65" w:rsidRPr="00813D19">
        <w:rPr>
          <w:bCs/>
          <w:lang w:val="en-US"/>
        </w:rPr>
        <w:t>some difficulties when looking at the U</w:t>
      </w:r>
      <w:r w:rsidR="0058359C" w:rsidRPr="00813D19">
        <w:rPr>
          <w:bCs/>
          <w:lang w:val="en-US"/>
        </w:rPr>
        <w:t>NESCO strategy and Action Plan</w:t>
      </w:r>
      <w:r w:rsidR="007F345B" w:rsidRPr="00813D19">
        <w:rPr>
          <w:bCs/>
          <w:lang w:val="en-US"/>
        </w:rPr>
        <w:t xml:space="preserve"> as it implied </w:t>
      </w:r>
      <w:r w:rsidR="006D5D65" w:rsidRPr="00813D19">
        <w:rPr>
          <w:bCs/>
          <w:lang w:val="en-US"/>
        </w:rPr>
        <w:t>consent</w:t>
      </w:r>
      <w:r w:rsidR="00FC5EAE" w:rsidRPr="00813D19">
        <w:rPr>
          <w:bCs/>
          <w:lang w:val="en-US"/>
        </w:rPr>
        <w:t>. The delegation thus suggested us</w:t>
      </w:r>
      <w:r w:rsidR="001A3764">
        <w:rPr>
          <w:bCs/>
          <w:lang w:val="en-US"/>
        </w:rPr>
        <w:t>ing</w:t>
      </w:r>
      <w:r w:rsidR="00FC5EAE" w:rsidRPr="00813D19">
        <w:rPr>
          <w:bCs/>
          <w:lang w:val="en-US"/>
        </w:rPr>
        <w:t xml:space="preserve"> another word such as ‘participation’</w:t>
      </w:r>
      <w:r w:rsidR="001A3764">
        <w:rPr>
          <w:bCs/>
          <w:lang w:val="en-US"/>
        </w:rPr>
        <w:t>,</w:t>
      </w:r>
      <w:r w:rsidR="00FC5EAE" w:rsidRPr="00813D19">
        <w:rPr>
          <w:bCs/>
          <w:lang w:val="en-US"/>
        </w:rPr>
        <w:t xml:space="preserve"> in keeping with </w:t>
      </w:r>
      <w:r w:rsidR="006D5D65" w:rsidRPr="00813D19">
        <w:rPr>
          <w:bCs/>
          <w:lang w:val="en-US"/>
        </w:rPr>
        <w:t xml:space="preserve">the spirit of </w:t>
      </w:r>
      <w:r w:rsidR="00FC5EAE" w:rsidRPr="00813D19">
        <w:rPr>
          <w:bCs/>
          <w:lang w:val="en-US"/>
        </w:rPr>
        <w:t>the sentence</w:t>
      </w:r>
      <w:r w:rsidR="00634D0B">
        <w:rPr>
          <w:bCs/>
          <w:lang w:val="en-US"/>
        </w:rPr>
        <w:t>.</w:t>
      </w:r>
    </w:p>
    <w:p w14:paraId="0A7E1385" w14:textId="14A6FB8D" w:rsidR="00484534" w:rsidRPr="00634D0B" w:rsidRDefault="00484534" w:rsidP="00837A49">
      <w:pPr>
        <w:pStyle w:val="Orateurengris"/>
        <w:spacing w:before="12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delegation of Senegal</w:t>
      </w:r>
      <w:r w:rsidR="006D5D65" w:rsidRPr="00813D19">
        <w:rPr>
          <w:b/>
          <w:color w:val="000000" w:themeColor="text1"/>
          <w:lang w:val="en-US"/>
        </w:rPr>
        <w:t xml:space="preserve"> </w:t>
      </w:r>
      <w:r w:rsidR="007F345B" w:rsidRPr="00813D19">
        <w:rPr>
          <w:color w:val="000000" w:themeColor="text1"/>
          <w:lang w:val="en-US"/>
        </w:rPr>
        <w:t>suggested ‘any other actor’ instead of ‘</w:t>
      </w:r>
      <w:r w:rsidR="007F345B" w:rsidRPr="00813D19">
        <w:rPr>
          <w:i/>
          <w:color w:val="000000" w:themeColor="text1"/>
          <w:lang w:val="en-US"/>
        </w:rPr>
        <w:t>toute autre intervenant’</w:t>
      </w:r>
      <w:r w:rsidR="00634D0B">
        <w:rPr>
          <w:color w:val="000000" w:themeColor="text1"/>
          <w:lang w:val="en-US"/>
        </w:rPr>
        <w:t>.</w:t>
      </w:r>
    </w:p>
    <w:p w14:paraId="1B389937" w14:textId="265BD66A" w:rsidR="00484534" w:rsidRPr="00634D0B" w:rsidRDefault="006D76CA"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6D5D65" w:rsidRPr="00813D19">
        <w:rPr>
          <w:b/>
          <w:color w:val="000000" w:themeColor="text1"/>
          <w:lang w:val="en-US"/>
        </w:rPr>
        <w:t xml:space="preserve"> </w:t>
      </w:r>
      <w:r w:rsidR="007F345B" w:rsidRPr="00813D19">
        <w:rPr>
          <w:color w:val="000000" w:themeColor="text1"/>
          <w:lang w:val="en-US"/>
        </w:rPr>
        <w:t xml:space="preserve">noted that it was </w:t>
      </w:r>
      <w:r w:rsidR="007F345B" w:rsidRPr="00813D19">
        <w:rPr>
          <w:bCs/>
          <w:lang w:val="en-US"/>
        </w:rPr>
        <w:t>a matter of wording, as i</w:t>
      </w:r>
      <w:r w:rsidR="006D5D65" w:rsidRPr="00813D19">
        <w:rPr>
          <w:bCs/>
          <w:lang w:val="en-US"/>
        </w:rPr>
        <w:t xml:space="preserve">n English </w:t>
      </w:r>
      <w:r w:rsidR="007F345B" w:rsidRPr="00813D19">
        <w:rPr>
          <w:bCs/>
          <w:i/>
          <w:lang w:val="en-US"/>
        </w:rPr>
        <w:t>intervenant</w:t>
      </w:r>
      <w:r w:rsidR="007F345B" w:rsidRPr="00813D19">
        <w:rPr>
          <w:bCs/>
          <w:lang w:val="en-US"/>
        </w:rPr>
        <w:t xml:space="preserve"> </w:t>
      </w:r>
      <w:r w:rsidR="0058359C" w:rsidRPr="00813D19">
        <w:rPr>
          <w:bCs/>
          <w:lang w:val="en-US"/>
        </w:rPr>
        <w:t xml:space="preserve">implied </w:t>
      </w:r>
      <w:r w:rsidR="00634D0B">
        <w:rPr>
          <w:bCs/>
          <w:lang w:val="en-US"/>
        </w:rPr>
        <w:t>stakeholders.</w:t>
      </w:r>
    </w:p>
    <w:p w14:paraId="04DA1148" w14:textId="0B21DB28" w:rsidR="007F345B" w:rsidRPr="00634D0B" w:rsidRDefault="007F345B" w:rsidP="00837A49">
      <w:pPr>
        <w:pStyle w:val="Orateurengris"/>
        <w:spacing w:before="120"/>
        <w:ind w:left="709" w:hanging="709"/>
        <w:rPr>
          <w:bCs/>
          <w:color w:val="000000" w:themeColor="text1"/>
          <w:lang w:val="en-US"/>
        </w:rPr>
      </w:pPr>
      <w:r w:rsidRPr="00813D19">
        <w:rPr>
          <w:bCs/>
          <w:lang w:val="en-US"/>
        </w:rPr>
        <w:t xml:space="preserve">The </w:t>
      </w:r>
      <w:r w:rsidRPr="00813D19">
        <w:rPr>
          <w:b/>
          <w:bCs/>
          <w:lang w:val="en-US"/>
        </w:rPr>
        <w:t>delegation of Senegal</w:t>
      </w:r>
      <w:r w:rsidRPr="00813D19">
        <w:rPr>
          <w:bCs/>
          <w:lang w:val="en-US"/>
        </w:rPr>
        <w:t xml:space="preserve"> suggested ‘</w:t>
      </w:r>
      <w:r w:rsidRPr="00813D19">
        <w:rPr>
          <w:bCs/>
          <w:i/>
          <w:lang w:val="en-US"/>
        </w:rPr>
        <w:t>les parties prenantes</w:t>
      </w:r>
      <w:r w:rsidRPr="00813D19">
        <w:rPr>
          <w:bCs/>
          <w:lang w:val="en-US"/>
        </w:rPr>
        <w:t>’</w:t>
      </w:r>
      <w:r w:rsidRPr="00813D19">
        <w:rPr>
          <w:bCs/>
          <w:i/>
          <w:lang w:val="en-US"/>
        </w:rPr>
        <w:t>.</w:t>
      </w:r>
    </w:p>
    <w:p w14:paraId="1247AC81" w14:textId="53FF38E3" w:rsidR="006D76CA" w:rsidRPr="00634D0B" w:rsidRDefault="006D76CA"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Vice-Chairperson </w:t>
      </w:r>
      <w:r w:rsidR="00FC5EAE" w:rsidRPr="00813D19">
        <w:rPr>
          <w:color w:val="000000" w:themeColor="text1"/>
          <w:lang w:val="en-US"/>
        </w:rPr>
        <w:t>remarked that both suggestions were acceptable, and</w:t>
      </w:r>
      <w:r w:rsidR="00FC5EAE" w:rsidRPr="00813D19">
        <w:rPr>
          <w:b/>
          <w:color w:val="000000" w:themeColor="text1"/>
          <w:lang w:val="en-US"/>
        </w:rPr>
        <w:t xml:space="preserve"> </w:t>
      </w:r>
      <w:r w:rsidRPr="00813D19">
        <w:rPr>
          <w:color w:val="000000" w:themeColor="text1"/>
          <w:lang w:val="en-US"/>
        </w:rPr>
        <w:t>pronounced paragraph 9 adopted as amended.</w:t>
      </w:r>
      <w:r w:rsidRPr="00813D19">
        <w:rPr>
          <w:b/>
          <w:color w:val="000000" w:themeColor="text1"/>
          <w:lang w:val="en-US"/>
        </w:rPr>
        <w:t xml:space="preserve"> </w:t>
      </w:r>
      <w:r w:rsidRPr="00813D19">
        <w:rPr>
          <w:color w:val="000000" w:themeColor="text1"/>
          <w:lang w:val="en-US"/>
        </w:rPr>
        <w:t xml:space="preserve">Paragraphs 10 and 11 were </w:t>
      </w:r>
      <w:r w:rsidR="0058359C" w:rsidRPr="00813D19">
        <w:rPr>
          <w:color w:val="000000" w:themeColor="text1"/>
          <w:lang w:val="en-US"/>
        </w:rPr>
        <w:t xml:space="preserve">also </w:t>
      </w:r>
      <w:r w:rsidR="00634D0B">
        <w:rPr>
          <w:color w:val="000000" w:themeColor="text1"/>
          <w:lang w:val="en-US"/>
        </w:rPr>
        <w:t>duly adopted.</w:t>
      </w:r>
    </w:p>
    <w:p w14:paraId="7E28099C" w14:textId="7F3F7922" w:rsidR="006D76CA" w:rsidRPr="00634D0B" w:rsidRDefault="006D76CA"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6D5D65" w:rsidRPr="00813D19">
        <w:rPr>
          <w:b/>
          <w:color w:val="000000" w:themeColor="text1"/>
          <w:lang w:val="en-US"/>
        </w:rPr>
        <w:t xml:space="preserve"> </w:t>
      </w:r>
      <w:r w:rsidR="00FC5EAE" w:rsidRPr="00813D19">
        <w:rPr>
          <w:color w:val="000000" w:themeColor="text1"/>
          <w:lang w:val="en-US"/>
        </w:rPr>
        <w:t>presented th</w:t>
      </w:r>
      <w:r w:rsidR="0058359C" w:rsidRPr="00813D19">
        <w:rPr>
          <w:color w:val="000000" w:themeColor="text1"/>
          <w:lang w:val="en-US"/>
        </w:rPr>
        <w:t>e final code of the decision L30</w:t>
      </w:r>
      <w:r w:rsidR="00FC5EAE" w:rsidRPr="00813D19">
        <w:rPr>
          <w:color w:val="000000" w:themeColor="text1"/>
          <w:lang w:val="en-US"/>
        </w:rPr>
        <w:t xml:space="preserve"> </w:t>
      </w:r>
      <w:r w:rsidR="0058359C" w:rsidRPr="00813D19">
        <w:rPr>
          <w:color w:val="000000" w:themeColor="text1"/>
          <w:lang w:val="en-US"/>
        </w:rPr>
        <w:t xml:space="preserve">[in paragraph 2] </w:t>
      </w:r>
      <w:r w:rsidR="00FC5EAE" w:rsidRPr="00813D19">
        <w:rPr>
          <w:color w:val="000000" w:themeColor="text1"/>
          <w:lang w:val="en-US"/>
        </w:rPr>
        <w:t xml:space="preserve">that should be 17, </w:t>
      </w:r>
      <w:r w:rsidR="0058359C" w:rsidRPr="00813D19">
        <w:rPr>
          <w:color w:val="000000" w:themeColor="text1"/>
          <w:lang w:val="en-US"/>
        </w:rPr>
        <w:t xml:space="preserve">following </w:t>
      </w:r>
      <w:r w:rsidR="00FC5EAE" w:rsidRPr="00813D19">
        <w:rPr>
          <w:color w:val="000000" w:themeColor="text1"/>
          <w:lang w:val="en-US"/>
        </w:rPr>
        <w:t xml:space="preserve">verification by </w:t>
      </w:r>
      <w:r w:rsidR="006D5D65" w:rsidRPr="00813D19">
        <w:rPr>
          <w:bCs/>
          <w:lang w:val="en-US"/>
        </w:rPr>
        <w:t xml:space="preserve">Kazakhstan </w:t>
      </w:r>
      <w:r w:rsidR="00FC5EAE" w:rsidRPr="00813D19">
        <w:rPr>
          <w:bCs/>
          <w:lang w:val="en-US"/>
        </w:rPr>
        <w:t>for which it was grateful.</w:t>
      </w:r>
    </w:p>
    <w:p w14:paraId="23167F29" w14:textId="559DFABD" w:rsidR="006D5D65" w:rsidRPr="00634D0B" w:rsidRDefault="006D5D65" w:rsidP="00837A49">
      <w:pPr>
        <w:pStyle w:val="Orateurengris"/>
        <w:spacing w:before="120"/>
        <w:ind w:left="709" w:hanging="709"/>
        <w:rPr>
          <w:bCs/>
          <w:color w:val="000000" w:themeColor="text1"/>
          <w:lang w:val="en-US"/>
        </w:rPr>
      </w:pPr>
      <w:r w:rsidRPr="00813D19">
        <w:rPr>
          <w:bCs/>
          <w:lang w:val="en-US"/>
        </w:rPr>
        <w:t xml:space="preserve">The </w:t>
      </w:r>
      <w:r w:rsidRPr="00813D19">
        <w:rPr>
          <w:b/>
          <w:bCs/>
          <w:lang w:val="en-US"/>
        </w:rPr>
        <w:t>Secretary</w:t>
      </w:r>
      <w:r w:rsidRPr="00813D19">
        <w:rPr>
          <w:bCs/>
          <w:lang w:val="en-US"/>
        </w:rPr>
        <w:t xml:space="preserve"> </w:t>
      </w:r>
      <w:r w:rsidR="00FC5EAE" w:rsidRPr="00813D19">
        <w:rPr>
          <w:bCs/>
          <w:lang w:val="en-US"/>
        </w:rPr>
        <w:t xml:space="preserve">asked </w:t>
      </w:r>
      <w:r w:rsidRPr="00813D19">
        <w:rPr>
          <w:bCs/>
          <w:lang w:val="en-US"/>
        </w:rPr>
        <w:t xml:space="preserve">Palestine </w:t>
      </w:r>
      <w:r w:rsidR="00FC5EAE" w:rsidRPr="00813D19">
        <w:rPr>
          <w:bCs/>
          <w:lang w:val="en-US"/>
        </w:rPr>
        <w:t xml:space="preserve">to </w:t>
      </w:r>
      <w:r w:rsidRPr="00813D19">
        <w:rPr>
          <w:bCs/>
          <w:lang w:val="en-US"/>
        </w:rPr>
        <w:t xml:space="preserve">explain </w:t>
      </w:r>
      <w:r w:rsidR="00FC5EAE" w:rsidRPr="00813D19">
        <w:rPr>
          <w:bCs/>
          <w:lang w:val="en-US"/>
        </w:rPr>
        <w:t>the reference to this particular document.</w:t>
      </w:r>
    </w:p>
    <w:p w14:paraId="24D20F80" w14:textId="478AFCF5" w:rsidR="006D5D65" w:rsidRPr="00634D0B" w:rsidRDefault="006D5D65" w:rsidP="00837A49">
      <w:pPr>
        <w:pStyle w:val="Orateurengris"/>
        <w:spacing w:before="120"/>
        <w:ind w:left="709" w:hanging="709"/>
        <w:rPr>
          <w:bCs/>
          <w:color w:val="000000" w:themeColor="text1"/>
          <w:lang w:val="en-US"/>
        </w:rPr>
      </w:pPr>
      <w:r w:rsidRPr="00813D19">
        <w:rPr>
          <w:bCs/>
          <w:lang w:val="en-US"/>
        </w:rPr>
        <w:t xml:space="preserve">The </w:t>
      </w:r>
      <w:r w:rsidRPr="00813D19">
        <w:rPr>
          <w:b/>
          <w:bCs/>
          <w:lang w:val="en-US"/>
        </w:rPr>
        <w:t>delegation of Palestine</w:t>
      </w:r>
      <w:r w:rsidRPr="00813D19">
        <w:rPr>
          <w:bCs/>
          <w:lang w:val="en-US"/>
        </w:rPr>
        <w:t xml:space="preserve"> </w:t>
      </w:r>
      <w:r w:rsidR="00A308E0" w:rsidRPr="00813D19">
        <w:rPr>
          <w:bCs/>
          <w:lang w:val="en-US"/>
        </w:rPr>
        <w:t xml:space="preserve">explained that it referred to </w:t>
      </w:r>
      <w:r w:rsidRPr="00813D19">
        <w:rPr>
          <w:bCs/>
          <w:lang w:val="en-US"/>
        </w:rPr>
        <w:t xml:space="preserve">the current emergency situations in different parts of the world </w:t>
      </w:r>
      <w:r w:rsidR="00A93D3E" w:rsidRPr="00813D19">
        <w:rPr>
          <w:bCs/>
          <w:lang w:val="en-US"/>
        </w:rPr>
        <w:t xml:space="preserve">with regard to </w:t>
      </w:r>
      <w:r w:rsidRPr="00813D19">
        <w:rPr>
          <w:bCs/>
          <w:lang w:val="en-US"/>
        </w:rPr>
        <w:t xml:space="preserve">the protection of heritage in general </w:t>
      </w:r>
      <w:r w:rsidR="00A93D3E" w:rsidRPr="00813D19">
        <w:rPr>
          <w:bCs/>
          <w:lang w:val="en-US"/>
        </w:rPr>
        <w:t xml:space="preserve">and </w:t>
      </w:r>
      <w:r w:rsidR="0058359C" w:rsidRPr="00813D19">
        <w:rPr>
          <w:bCs/>
          <w:lang w:val="en-US"/>
        </w:rPr>
        <w:t xml:space="preserve">in </w:t>
      </w:r>
      <w:r w:rsidRPr="00813D19">
        <w:rPr>
          <w:bCs/>
          <w:lang w:val="en-US"/>
        </w:rPr>
        <w:t>cases of emergency and armed conflict</w:t>
      </w:r>
      <w:r w:rsidR="00A93D3E" w:rsidRPr="00813D19">
        <w:rPr>
          <w:bCs/>
          <w:lang w:val="en-US"/>
        </w:rPr>
        <w:t xml:space="preserve"> in particular</w:t>
      </w:r>
      <w:r w:rsidR="00634D0B">
        <w:rPr>
          <w:bCs/>
          <w:lang w:val="en-US"/>
        </w:rPr>
        <w:t>.</w:t>
      </w:r>
    </w:p>
    <w:p w14:paraId="7DB5B3E8" w14:textId="1CCA5FED" w:rsidR="006D76CA" w:rsidRPr="00634D0B" w:rsidRDefault="003650E9"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6D5D65" w:rsidRPr="00813D19">
        <w:rPr>
          <w:b/>
          <w:color w:val="000000" w:themeColor="text1"/>
          <w:lang w:val="en-US"/>
        </w:rPr>
        <w:t xml:space="preserve"> </w:t>
      </w:r>
      <w:r w:rsidR="00A93D3E" w:rsidRPr="00813D19">
        <w:rPr>
          <w:color w:val="000000" w:themeColor="text1"/>
          <w:lang w:val="en-US"/>
        </w:rPr>
        <w:t>clarified that</w:t>
      </w:r>
      <w:r w:rsidR="00A93D3E" w:rsidRPr="00813D19">
        <w:rPr>
          <w:b/>
          <w:color w:val="000000" w:themeColor="text1"/>
          <w:lang w:val="en-US"/>
        </w:rPr>
        <w:t xml:space="preserve"> </w:t>
      </w:r>
      <w:r w:rsidR="00A93D3E" w:rsidRPr="00813D19">
        <w:rPr>
          <w:bCs/>
          <w:lang w:val="en-US"/>
        </w:rPr>
        <w:t xml:space="preserve">it </w:t>
      </w:r>
      <w:r w:rsidR="006D5D65" w:rsidRPr="00813D19">
        <w:rPr>
          <w:bCs/>
          <w:lang w:val="en-US"/>
        </w:rPr>
        <w:t>supported Cuba’s proposed amendment</w:t>
      </w:r>
      <w:r w:rsidR="0058359C" w:rsidRPr="00813D19">
        <w:rPr>
          <w:bCs/>
          <w:lang w:val="en-US"/>
        </w:rPr>
        <w:t>,</w:t>
      </w:r>
      <w:r w:rsidR="006D5D65" w:rsidRPr="00813D19">
        <w:rPr>
          <w:bCs/>
          <w:lang w:val="en-US"/>
        </w:rPr>
        <w:t xml:space="preserve"> </w:t>
      </w:r>
      <w:r w:rsidR="00A93D3E" w:rsidRPr="00813D19">
        <w:rPr>
          <w:bCs/>
          <w:lang w:val="en-US"/>
        </w:rPr>
        <w:t xml:space="preserve">specifically with regard </w:t>
      </w:r>
      <w:r w:rsidR="006D5D65" w:rsidRPr="00813D19">
        <w:rPr>
          <w:bCs/>
          <w:lang w:val="en-US"/>
        </w:rPr>
        <w:t xml:space="preserve">to </w:t>
      </w:r>
      <w:r w:rsidR="00A93D3E" w:rsidRPr="00813D19">
        <w:rPr>
          <w:bCs/>
          <w:lang w:val="en-US"/>
        </w:rPr>
        <w:t xml:space="preserve">UN Security Council </w:t>
      </w:r>
      <w:r w:rsidR="006D5D65" w:rsidRPr="00813D19">
        <w:rPr>
          <w:bCs/>
          <w:lang w:val="en-US"/>
        </w:rPr>
        <w:t>Resol</w:t>
      </w:r>
      <w:r w:rsidR="00634D0B">
        <w:rPr>
          <w:bCs/>
          <w:lang w:val="en-US"/>
        </w:rPr>
        <w:t>ution 2347.</w:t>
      </w:r>
    </w:p>
    <w:p w14:paraId="5D24AE60" w14:textId="697E531D" w:rsidR="003650E9" w:rsidRPr="00634D0B" w:rsidRDefault="00AB1E17" w:rsidP="00A93D3E">
      <w:pPr>
        <w:pStyle w:val="Orateurengris"/>
        <w:spacing w:before="120"/>
        <w:ind w:left="709" w:hanging="709"/>
        <w:rPr>
          <w:bCs/>
          <w:color w:val="000000" w:themeColor="text1"/>
          <w:lang w:val="en-US"/>
        </w:rPr>
      </w:pPr>
      <w:r w:rsidRPr="00813D19">
        <w:rPr>
          <w:color w:val="000000" w:themeColor="text1"/>
          <w:lang w:val="en-US"/>
        </w:rPr>
        <w:t>The</w:t>
      </w:r>
      <w:r w:rsidR="006D5D65" w:rsidRPr="00813D19">
        <w:rPr>
          <w:b/>
          <w:color w:val="000000" w:themeColor="text1"/>
          <w:lang w:val="en-US"/>
        </w:rPr>
        <w:t xml:space="preserve"> Secretary </w:t>
      </w:r>
      <w:r w:rsidR="00A93D3E" w:rsidRPr="00813D19">
        <w:rPr>
          <w:color w:val="000000" w:themeColor="text1"/>
          <w:lang w:val="en-US"/>
        </w:rPr>
        <w:t xml:space="preserve">remarked that it was </w:t>
      </w:r>
      <w:r w:rsidR="006D5D65" w:rsidRPr="00813D19">
        <w:rPr>
          <w:bCs/>
          <w:lang w:val="en-US"/>
        </w:rPr>
        <w:t xml:space="preserve">difficult to have </w:t>
      </w:r>
      <w:r w:rsidR="00A93D3E" w:rsidRPr="00813D19">
        <w:rPr>
          <w:bCs/>
          <w:lang w:val="en-US"/>
        </w:rPr>
        <w:t xml:space="preserve">a </w:t>
      </w:r>
      <w:r w:rsidR="006D5D65" w:rsidRPr="00813D19">
        <w:rPr>
          <w:bCs/>
          <w:lang w:val="en-US"/>
        </w:rPr>
        <w:t>last</w:t>
      </w:r>
      <w:r w:rsidR="001A3764">
        <w:rPr>
          <w:bCs/>
          <w:lang w:val="en-US"/>
        </w:rPr>
        <w:t>-</w:t>
      </w:r>
      <w:r w:rsidR="006D5D65" w:rsidRPr="00813D19">
        <w:rPr>
          <w:bCs/>
          <w:lang w:val="en-US"/>
        </w:rPr>
        <w:t xml:space="preserve">minute </w:t>
      </w:r>
      <w:r w:rsidR="00A93D3E" w:rsidRPr="00813D19">
        <w:rPr>
          <w:bCs/>
          <w:lang w:val="en-US"/>
        </w:rPr>
        <w:t xml:space="preserve">reference </w:t>
      </w:r>
      <w:r w:rsidR="006D5D65" w:rsidRPr="00813D19">
        <w:rPr>
          <w:bCs/>
          <w:lang w:val="en-US"/>
        </w:rPr>
        <w:t xml:space="preserve">change </w:t>
      </w:r>
      <w:r w:rsidR="00A93D3E" w:rsidRPr="00813D19">
        <w:rPr>
          <w:bCs/>
          <w:lang w:val="en-US"/>
        </w:rPr>
        <w:t xml:space="preserve">to </w:t>
      </w:r>
      <w:r w:rsidR="006D5D65" w:rsidRPr="00813D19">
        <w:rPr>
          <w:bCs/>
          <w:lang w:val="en-US"/>
        </w:rPr>
        <w:t xml:space="preserve">a </w:t>
      </w:r>
      <w:r w:rsidR="00A93D3E" w:rsidRPr="00813D19">
        <w:rPr>
          <w:bCs/>
          <w:lang w:val="en-US"/>
        </w:rPr>
        <w:t>document after the support had</w:t>
      </w:r>
      <w:r w:rsidR="006D5D65" w:rsidRPr="00813D19">
        <w:rPr>
          <w:bCs/>
          <w:lang w:val="en-US"/>
        </w:rPr>
        <w:t xml:space="preserve"> been </w:t>
      </w:r>
      <w:r w:rsidR="00A93D3E" w:rsidRPr="00813D19">
        <w:rPr>
          <w:bCs/>
          <w:lang w:val="en-US"/>
        </w:rPr>
        <w:t xml:space="preserve">voiced </w:t>
      </w:r>
      <w:r w:rsidR="006D5D65" w:rsidRPr="00813D19">
        <w:rPr>
          <w:bCs/>
          <w:lang w:val="en-US"/>
        </w:rPr>
        <w:t xml:space="preserve">and </w:t>
      </w:r>
      <w:r w:rsidR="00A93D3E" w:rsidRPr="00813D19">
        <w:rPr>
          <w:bCs/>
          <w:lang w:val="en-US"/>
        </w:rPr>
        <w:t xml:space="preserve">with the </w:t>
      </w:r>
      <w:r w:rsidR="006D5D65" w:rsidRPr="00813D19">
        <w:rPr>
          <w:bCs/>
          <w:lang w:val="en-US"/>
        </w:rPr>
        <w:t xml:space="preserve">document </w:t>
      </w:r>
      <w:r w:rsidR="00A93D3E" w:rsidRPr="00813D19">
        <w:rPr>
          <w:bCs/>
          <w:lang w:val="en-US"/>
        </w:rPr>
        <w:t>now changing numbers, as it posed</w:t>
      </w:r>
      <w:r w:rsidR="006D5D65" w:rsidRPr="00813D19">
        <w:rPr>
          <w:bCs/>
          <w:lang w:val="en-US"/>
        </w:rPr>
        <w:t xml:space="preserve"> a problem in terms of procedure</w:t>
      </w:r>
      <w:r w:rsidR="00A93D3E" w:rsidRPr="00813D19">
        <w:rPr>
          <w:bCs/>
          <w:lang w:val="en-US"/>
        </w:rPr>
        <w:t xml:space="preserve">. Thus, either the Committee </w:t>
      </w:r>
      <w:r w:rsidR="006D5D65" w:rsidRPr="00813D19">
        <w:rPr>
          <w:bCs/>
          <w:lang w:val="en-US"/>
        </w:rPr>
        <w:t xml:space="preserve">should </w:t>
      </w:r>
      <w:r w:rsidR="00A93D3E" w:rsidRPr="00813D19">
        <w:rPr>
          <w:bCs/>
          <w:lang w:val="en-US"/>
        </w:rPr>
        <w:t xml:space="preserve">support the original </w:t>
      </w:r>
      <w:r w:rsidR="006D5D65" w:rsidRPr="00813D19">
        <w:rPr>
          <w:bCs/>
          <w:lang w:val="en-US"/>
        </w:rPr>
        <w:t>number</w:t>
      </w:r>
      <w:r w:rsidR="00A93D3E" w:rsidRPr="00813D19">
        <w:rPr>
          <w:bCs/>
          <w:lang w:val="en-US"/>
        </w:rPr>
        <w:t>,</w:t>
      </w:r>
      <w:r w:rsidR="006D5D65" w:rsidRPr="00813D19">
        <w:rPr>
          <w:bCs/>
          <w:lang w:val="en-US"/>
        </w:rPr>
        <w:t xml:space="preserve"> as </w:t>
      </w:r>
      <w:r w:rsidR="00A93D3E" w:rsidRPr="00813D19">
        <w:rPr>
          <w:bCs/>
          <w:lang w:val="en-US"/>
        </w:rPr>
        <w:t xml:space="preserve">had been </w:t>
      </w:r>
      <w:r w:rsidR="006D5D65" w:rsidRPr="00813D19">
        <w:rPr>
          <w:bCs/>
          <w:lang w:val="en-US"/>
        </w:rPr>
        <w:t>supported by Members</w:t>
      </w:r>
      <w:r w:rsidR="00A93D3E" w:rsidRPr="00813D19">
        <w:rPr>
          <w:bCs/>
          <w:lang w:val="en-US"/>
        </w:rPr>
        <w:t>,</w:t>
      </w:r>
      <w:r w:rsidR="006D5D65" w:rsidRPr="00813D19">
        <w:rPr>
          <w:bCs/>
          <w:lang w:val="en-US"/>
        </w:rPr>
        <w:t xml:space="preserve"> or remove</w:t>
      </w:r>
      <w:r w:rsidR="00A93D3E" w:rsidRPr="00813D19">
        <w:rPr>
          <w:bCs/>
          <w:lang w:val="en-US"/>
        </w:rPr>
        <w:t xml:space="preserve"> reference to this document al</w:t>
      </w:r>
      <w:r w:rsidR="006D5D65" w:rsidRPr="00813D19">
        <w:rPr>
          <w:bCs/>
          <w:lang w:val="en-US"/>
        </w:rPr>
        <w:t xml:space="preserve">together. </w:t>
      </w:r>
      <w:r w:rsidR="00A93D3E" w:rsidRPr="00813D19">
        <w:rPr>
          <w:bCs/>
          <w:lang w:val="en-US"/>
        </w:rPr>
        <w:t xml:space="preserve">The Secretary explained that </w:t>
      </w:r>
      <w:r w:rsidR="0058359C" w:rsidRPr="00813D19">
        <w:rPr>
          <w:bCs/>
          <w:lang w:val="en-US"/>
        </w:rPr>
        <w:t xml:space="preserve">the </w:t>
      </w:r>
      <w:r w:rsidR="006D5D65" w:rsidRPr="00813D19">
        <w:rPr>
          <w:bCs/>
          <w:lang w:val="en-US"/>
        </w:rPr>
        <w:t xml:space="preserve">discussion </w:t>
      </w:r>
      <w:r w:rsidR="00A93D3E" w:rsidRPr="00813D19">
        <w:rPr>
          <w:bCs/>
          <w:lang w:val="en-US"/>
        </w:rPr>
        <w:t xml:space="preserve">focused on a specific referenced </w:t>
      </w:r>
      <w:r w:rsidR="006D5D65" w:rsidRPr="00813D19">
        <w:rPr>
          <w:bCs/>
          <w:lang w:val="en-US"/>
        </w:rPr>
        <w:t xml:space="preserve">document </w:t>
      </w:r>
      <w:r w:rsidR="0058359C" w:rsidRPr="00813D19">
        <w:rPr>
          <w:bCs/>
          <w:lang w:val="en-US"/>
        </w:rPr>
        <w:t>that</w:t>
      </w:r>
      <w:r w:rsidR="006D5D65" w:rsidRPr="00813D19">
        <w:rPr>
          <w:bCs/>
          <w:lang w:val="en-US"/>
        </w:rPr>
        <w:t xml:space="preserve"> </w:t>
      </w:r>
      <w:r w:rsidR="00A93D3E" w:rsidRPr="00813D19">
        <w:rPr>
          <w:bCs/>
          <w:lang w:val="en-US"/>
        </w:rPr>
        <w:t xml:space="preserve">was </w:t>
      </w:r>
      <w:r w:rsidR="006D5D65" w:rsidRPr="00813D19">
        <w:rPr>
          <w:bCs/>
          <w:lang w:val="en-US"/>
        </w:rPr>
        <w:t xml:space="preserve">now </w:t>
      </w:r>
      <w:r w:rsidR="00A93D3E" w:rsidRPr="00813D19">
        <w:rPr>
          <w:bCs/>
          <w:lang w:val="en-US"/>
        </w:rPr>
        <w:t>being re-</w:t>
      </w:r>
      <w:r w:rsidR="006D5D65" w:rsidRPr="00813D19">
        <w:rPr>
          <w:bCs/>
          <w:lang w:val="en-US"/>
        </w:rPr>
        <w:t xml:space="preserve">opened with a new reference </w:t>
      </w:r>
      <w:r w:rsidR="0058359C" w:rsidRPr="00813D19">
        <w:rPr>
          <w:bCs/>
          <w:lang w:val="en-US"/>
        </w:rPr>
        <w:t xml:space="preserve">number </w:t>
      </w:r>
      <w:r w:rsidR="006D5D65" w:rsidRPr="00813D19">
        <w:rPr>
          <w:bCs/>
          <w:lang w:val="en-US"/>
        </w:rPr>
        <w:t xml:space="preserve">and </w:t>
      </w:r>
      <w:r w:rsidR="00A93D3E" w:rsidRPr="00813D19">
        <w:rPr>
          <w:bCs/>
          <w:lang w:val="en-US"/>
        </w:rPr>
        <w:t xml:space="preserve">the Secretariat did not have the </w:t>
      </w:r>
      <w:r w:rsidR="006D5D65" w:rsidRPr="00813D19">
        <w:rPr>
          <w:bCs/>
          <w:lang w:val="en-US"/>
        </w:rPr>
        <w:t xml:space="preserve">time or means to check </w:t>
      </w:r>
      <w:r w:rsidR="00A93D3E" w:rsidRPr="00813D19">
        <w:rPr>
          <w:bCs/>
          <w:lang w:val="en-US"/>
        </w:rPr>
        <w:t xml:space="preserve">whether it was indeed the </w:t>
      </w:r>
      <w:r w:rsidR="006D5D65" w:rsidRPr="00813D19">
        <w:rPr>
          <w:bCs/>
          <w:lang w:val="en-US"/>
        </w:rPr>
        <w:t xml:space="preserve">same document. </w:t>
      </w:r>
      <w:r w:rsidR="00A93D3E" w:rsidRPr="00813D19">
        <w:rPr>
          <w:bCs/>
          <w:lang w:val="en-US"/>
        </w:rPr>
        <w:t xml:space="preserve">It was thus the opinion </w:t>
      </w:r>
      <w:r w:rsidR="006D5D65" w:rsidRPr="00813D19">
        <w:rPr>
          <w:bCs/>
          <w:lang w:val="en-US"/>
        </w:rPr>
        <w:t xml:space="preserve">of the Secretariat </w:t>
      </w:r>
      <w:r w:rsidR="00A93D3E" w:rsidRPr="00813D19">
        <w:rPr>
          <w:bCs/>
          <w:lang w:val="en-US"/>
        </w:rPr>
        <w:t>to either</w:t>
      </w:r>
      <w:r w:rsidR="006D5D65" w:rsidRPr="00813D19">
        <w:rPr>
          <w:bCs/>
          <w:lang w:val="en-US"/>
        </w:rPr>
        <w:t xml:space="preserve"> </w:t>
      </w:r>
      <w:r w:rsidR="00A93D3E" w:rsidRPr="00813D19">
        <w:rPr>
          <w:bCs/>
          <w:lang w:val="en-US"/>
        </w:rPr>
        <w:t xml:space="preserve">reject the </w:t>
      </w:r>
      <w:r w:rsidR="006D5D65" w:rsidRPr="00813D19">
        <w:rPr>
          <w:bCs/>
          <w:lang w:val="en-US"/>
        </w:rPr>
        <w:t xml:space="preserve">change </w:t>
      </w:r>
      <w:r w:rsidR="00A93D3E" w:rsidRPr="00813D19">
        <w:rPr>
          <w:bCs/>
          <w:lang w:val="en-US"/>
        </w:rPr>
        <w:t xml:space="preserve">in </w:t>
      </w:r>
      <w:r w:rsidR="006D5D65" w:rsidRPr="00813D19">
        <w:rPr>
          <w:bCs/>
          <w:lang w:val="en-US"/>
        </w:rPr>
        <w:t xml:space="preserve">number or not </w:t>
      </w:r>
      <w:r w:rsidR="00A93D3E" w:rsidRPr="00813D19">
        <w:rPr>
          <w:bCs/>
          <w:lang w:val="en-US"/>
        </w:rPr>
        <w:t>include</w:t>
      </w:r>
      <w:r w:rsidR="006D5D65" w:rsidRPr="00813D19">
        <w:rPr>
          <w:bCs/>
          <w:lang w:val="en-US"/>
        </w:rPr>
        <w:t xml:space="preserve"> it </w:t>
      </w:r>
      <w:r w:rsidR="00A93D3E" w:rsidRPr="00813D19">
        <w:rPr>
          <w:bCs/>
          <w:lang w:val="en-US"/>
        </w:rPr>
        <w:t xml:space="preserve">until the reference could be </w:t>
      </w:r>
      <w:r w:rsidR="006D5D65" w:rsidRPr="00813D19">
        <w:rPr>
          <w:bCs/>
          <w:lang w:val="en-US"/>
        </w:rPr>
        <w:t xml:space="preserve">examined </w:t>
      </w:r>
      <w:r w:rsidR="00A93D3E" w:rsidRPr="00813D19">
        <w:rPr>
          <w:bCs/>
          <w:lang w:val="en-US"/>
        </w:rPr>
        <w:t xml:space="preserve">to determine if it was </w:t>
      </w:r>
      <w:r w:rsidR="006D5D65" w:rsidRPr="00813D19">
        <w:rPr>
          <w:bCs/>
          <w:lang w:val="en-US"/>
        </w:rPr>
        <w:t xml:space="preserve">indeed </w:t>
      </w:r>
      <w:r w:rsidR="00A93D3E" w:rsidRPr="00813D19">
        <w:rPr>
          <w:bCs/>
          <w:lang w:val="en-US"/>
        </w:rPr>
        <w:t>the same document.</w:t>
      </w:r>
    </w:p>
    <w:p w14:paraId="28BC32C1" w14:textId="2E477579" w:rsidR="005F6742" w:rsidRPr="00634D0B" w:rsidRDefault="005F6742"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6D5D65" w:rsidRPr="00813D19">
        <w:rPr>
          <w:b/>
          <w:color w:val="000000" w:themeColor="text1"/>
          <w:lang w:val="en-US"/>
        </w:rPr>
        <w:t xml:space="preserve"> </w:t>
      </w:r>
      <w:r w:rsidR="00A93D3E" w:rsidRPr="00813D19">
        <w:rPr>
          <w:bCs/>
          <w:lang w:val="en-US"/>
        </w:rPr>
        <w:t>reiterated that it had expressed</w:t>
      </w:r>
      <w:r w:rsidR="006D5D65" w:rsidRPr="00813D19">
        <w:rPr>
          <w:bCs/>
          <w:lang w:val="en-US"/>
        </w:rPr>
        <w:t xml:space="preserve"> support </w:t>
      </w:r>
      <w:r w:rsidR="00A93D3E" w:rsidRPr="00813D19">
        <w:rPr>
          <w:bCs/>
          <w:lang w:val="en-US"/>
        </w:rPr>
        <w:t>for UN S</w:t>
      </w:r>
      <w:r w:rsidR="001A3764">
        <w:rPr>
          <w:bCs/>
          <w:lang w:val="en-US"/>
        </w:rPr>
        <w:t xml:space="preserve">ecurity </w:t>
      </w:r>
      <w:r w:rsidR="00A93D3E" w:rsidRPr="00813D19">
        <w:rPr>
          <w:bCs/>
          <w:lang w:val="en-US"/>
        </w:rPr>
        <w:t>C</w:t>
      </w:r>
      <w:r w:rsidR="001A3764">
        <w:rPr>
          <w:bCs/>
          <w:lang w:val="en-US"/>
        </w:rPr>
        <w:t>ouncil</w:t>
      </w:r>
      <w:r w:rsidR="00A93D3E" w:rsidRPr="00813D19">
        <w:rPr>
          <w:bCs/>
          <w:lang w:val="en-US"/>
        </w:rPr>
        <w:t xml:space="preserve"> </w:t>
      </w:r>
      <w:r w:rsidR="006D5D65" w:rsidRPr="00813D19">
        <w:rPr>
          <w:bCs/>
          <w:lang w:val="en-US"/>
        </w:rPr>
        <w:t xml:space="preserve">Resolution 2347 </w:t>
      </w:r>
      <w:r w:rsidR="00A93D3E" w:rsidRPr="00813D19">
        <w:rPr>
          <w:bCs/>
          <w:lang w:val="en-US"/>
        </w:rPr>
        <w:t xml:space="preserve">and did not seek </w:t>
      </w:r>
      <w:r w:rsidR="006D5D65" w:rsidRPr="00813D19">
        <w:rPr>
          <w:bCs/>
          <w:lang w:val="en-US"/>
        </w:rPr>
        <w:t xml:space="preserve">to </w:t>
      </w:r>
      <w:r w:rsidR="00A93D3E" w:rsidRPr="00813D19">
        <w:rPr>
          <w:bCs/>
          <w:lang w:val="en-US"/>
        </w:rPr>
        <w:t>re-</w:t>
      </w:r>
      <w:r w:rsidR="00634D0B">
        <w:rPr>
          <w:bCs/>
          <w:lang w:val="en-US"/>
        </w:rPr>
        <w:t>open the debate.</w:t>
      </w:r>
    </w:p>
    <w:p w14:paraId="59C702C8" w14:textId="0672790E" w:rsidR="00A16758" w:rsidRPr="00634D0B" w:rsidRDefault="00A16758"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0953A7">
        <w:rPr>
          <w:b/>
          <w:color w:val="000000" w:themeColor="text1"/>
          <w:lang w:val="en-US"/>
        </w:rPr>
        <w:t xml:space="preserve">the </w:t>
      </w:r>
      <w:r w:rsidRPr="00813D19">
        <w:rPr>
          <w:b/>
          <w:color w:val="000000" w:themeColor="text1"/>
          <w:lang w:val="en-US"/>
        </w:rPr>
        <w:t>Philippines</w:t>
      </w:r>
      <w:r w:rsidR="006D5D65" w:rsidRPr="00813D19">
        <w:rPr>
          <w:b/>
          <w:color w:val="000000" w:themeColor="text1"/>
          <w:lang w:val="en-US"/>
        </w:rPr>
        <w:t xml:space="preserve"> </w:t>
      </w:r>
      <w:r w:rsidR="0063691C" w:rsidRPr="00813D19">
        <w:rPr>
          <w:bCs/>
          <w:lang w:val="en-US"/>
        </w:rPr>
        <w:t xml:space="preserve">called a </w:t>
      </w:r>
      <w:r w:rsidR="006D5D65" w:rsidRPr="00813D19">
        <w:rPr>
          <w:bCs/>
          <w:lang w:val="en-US"/>
        </w:rPr>
        <w:t xml:space="preserve">point of order, </w:t>
      </w:r>
      <w:r w:rsidR="0063691C" w:rsidRPr="00813D19">
        <w:rPr>
          <w:bCs/>
          <w:lang w:val="en-US"/>
        </w:rPr>
        <w:t xml:space="preserve">recalling that in the decision-making process, </w:t>
      </w:r>
      <w:r w:rsidR="006D5D65" w:rsidRPr="00813D19">
        <w:rPr>
          <w:bCs/>
          <w:lang w:val="en-US"/>
        </w:rPr>
        <w:t xml:space="preserve">it </w:t>
      </w:r>
      <w:r w:rsidR="0063691C" w:rsidRPr="00813D19">
        <w:rPr>
          <w:bCs/>
          <w:lang w:val="en-US"/>
        </w:rPr>
        <w:t xml:space="preserve">was </w:t>
      </w:r>
      <w:r w:rsidR="006D5D65" w:rsidRPr="00813D19">
        <w:rPr>
          <w:bCs/>
          <w:lang w:val="en-US"/>
        </w:rPr>
        <w:t>up to Committee Members to amen</w:t>
      </w:r>
      <w:r w:rsidR="00830410" w:rsidRPr="00813D19">
        <w:rPr>
          <w:bCs/>
          <w:lang w:val="en-US"/>
        </w:rPr>
        <w:t xml:space="preserve">d or not amend, </w:t>
      </w:r>
      <w:r w:rsidR="006D5D65" w:rsidRPr="00813D19">
        <w:rPr>
          <w:bCs/>
          <w:lang w:val="en-US"/>
        </w:rPr>
        <w:t xml:space="preserve">approve or not approve. </w:t>
      </w:r>
      <w:r w:rsidR="0063691C" w:rsidRPr="00813D19">
        <w:rPr>
          <w:bCs/>
          <w:lang w:val="en-US"/>
        </w:rPr>
        <w:t xml:space="preserve">It thanked </w:t>
      </w:r>
      <w:r w:rsidR="006D5D65" w:rsidRPr="00813D19">
        <w:rPr>
          <w:bCs/>
          <w:lang w:val="en-US"/>
        </w:rPr>
        <w:t xml:space="preserve">Poland because </w:t>
      </w:r>
      <w:r w:rsidR="0063691C" w:rsidRPr="00813D19">
        <w:rPr>
          <w:bCs/>
          <w:lang w:val="en-US"/>
        </w:rPr>
        <w:t xml:space="preserve">its </w:t>
      </w:r>
      <w:r w:rsidR="006D5D65" w:rsidRPr="00813D19">
        <w:rPr>
          <w:bCs/>
          <w:lang w:val="en-US"/>
        </w:rPr>
        <w:t xml:space="preserve">initial comment </w:t>
      </w:r>
      <w:r w:rsidR="0063691C" w:rsidRPr="00813D19">
        <w:rPr>
          <w:bCs/>
          <w:lang w:val="en-US"/>
        </w:rPr>
        <w:t xml:space="preserve">concerned </w:t>
      </w:r>
      <w:r w:rsidR="006D5D65" w:rsidRPr="00813D19">
        <w:rPr>
          <w:bCs/>
          <w:lang w:val="en-US"/>
        </w:rPr>
        <w:t xml:space="preserve">the L30 </w:t>
      </w:r>
      <w:r w:rsidR="0063691C" w:rsidRPr="00813D19">
        <w:rPr>
          <w:bCs/>
          <w:lang w:val="en-US"/>
        </w:rPr>
        <w:t xml:space="preserve">suffix </w:t>
      </w:r>
      <w:r w:rsidR="006D5D65" w:rsidRPr="00813D19">
        <w:rPr>
          <w:bCs/>
          <w:lang w:val="en-US"/>
        </w:rPr>
        <w:t xml:space="preserve">in </w:t>
      </w:r>
      <w:r w:rsidR="0063691C" w:rsidRPr="00813D19">
        <w:rPr>
          <w:bCs/>
          <w:lang w:val="en-US"/>
        </w:rPr>
        <w:t xml:space="preserve">that draft documents presented </w:t>
      </w:r>
      <w:r w:rsidR="00830410" w:rsidRPr="00813D19">
        <w:rPr>
          <w:bCs/>
          <w:lang w:val="en-US"/>
        </w:rPr>
        <w:t>to</w:t>
      </w:r>
      <w:r w:rsidR="0063691C" w:rsidRPr="00813D19">
        <w:rPr>
          <w:bCs/>
          <w:lang w:val="en-US"/>
        </w:rPr>
        <w:t xml:space="preserve"> </w:t>
      </w:r>
      <w:r w:rsidR="006D5D65" w:rsidRPr="00813D19">
        <w:rPr>
          <w:bCs/>
          <w:lang w:val="en-US"/>
        </w:rPr>
        <w:t>the Human Rights Council are L documents</w:t>
      </w:r>
      <w:r w:rsidR="0063691C" w:rsidRPr="00813D19">
        <w:rPr>
          <w:bCs/>
          <w:lang w:val="en-US"/>
        </w:rPr>
        <w:t>, and this resolution pertained</w:t>
      </w:r>
      <w:r w:rsidR="006D5D65" w:rsidRPr="00813D19">
        <w:rPr>
          <w:bCs/>
          <w:lang w:val="en-US"/>
        </w:rPr>
        <w:t xml:space="preserve"> to </w:t>
      </w:r>
      <w:r w:rsidR="0063691C" w:rsidRPr="00813D19">
        <w:rPr>
          <w:bCs/>
          <w:lang w:val="en-US"/>
        </w:rPr>
        <w:t xml:space="preserve">the issue </w:t>
      </w:r>
      <w:r w:rsidR="006D5D65" w:rsidRPr="00813D19">
        <w:rPr>
          <w:bCs/>
          <w:lang w:val="en-US"/>
        </w:rPr>
        <w:t>of protecting culture in armed conflict adopted in March 2018. When it was adopted by the Human Rights Council</w:t>
      </w:r>
      <w:r w:rsidR="0063691C" w:rsidRPr="00813D19">
        <w:rPr>
          <w:bCs/>
          <w:lang w:val="en-US"/>
        </w:rPr>
        <w:t xml:space="preserve">, the document </w:t>
      </w:r>
      <w:r w:rsidR="006D5D65" w:rsidRPr="00813D19">
        <w:rPr>
          <w:bCs/>
          <w:lang w:val="en-US"/>
        </w:rPr>
        <w:t xml:space="preserve">became 17. </w:t>
      </w:r>
      <w:r w:rsidR="0063691C" w:rsidRPr="00813D19">
        <w:rPr>
          <w:bCs/>
          <w:lang w:val="en-US"/>
        </w:rPr>
        <w:t>Thus, this was not a sub</w:t>
      </w:r>
      <w:r w:rsidR="00830410" w:rsidRPr="00813D19">
        <w:rPr>
          <w:bCs/>
          <w:lang w:val="en-US"/>
        </w:rPr>
        <w:t>stantive change to the document</w:t>
      </w:r>
      <w:r w:rsidR="0063691C" w:rsidRPr="00813D19">
        <w:rPr>
          <w:bCs/>
          <w:lang w:val="en-US"/>
        </w:rPr>
        <w:t xml:space="preserve"> </w:t>
      </w:r>
      <w:r w:rsidR="001A3764">
        <w:rPr>
          <w:bCs/>
          <w:lang w:val="en-US"/>
        </w:rPr>
        <w:t>but</w:t>
      </w:r>
      <w:r w:rsidR="001A3764" w:rsidRPr="00813D19">
        <w:rPr>
          <w:bCs/>
          <w:lang w:val="en-US"/>
        </w:rPr>
        <w:t xml:space="preserve"> </w:t>
      </w:r>
      <w:r w:rsidR="00830410" w:rsidRPr="00813D19">
        <w:rPr>
          <w:bCs/>
          <w:lang w:val="en-US"/>
        </w:rPr>
        <w:t xml:space="preserve">simply </w:t>
      </w:r>
      <w:r w:rsidR="0063691C" w:rsidRPr="00813D19">
        <w:rPr>
          <w:bCs/>
          <w:lang w:val="en-US"/>
        </w:rPr>
        <w:t>a</w:t>
      </w:r>
      <w:r w:rsidR="00830410" w:rsidRPr="00813D19">
        <w:rPr>
          <w:bCs/>
          <w:lang w:val="en-US"/>
        </w:rPr>
        <w:t xml:space="preserve"> change in the reference number, </w:t>
      </w:r>
      <w:r w:rsidR="006D5D65" w:rsidRPr="00813D19">
        <w:rPr>
          <w:bCs/>
          <w:lang w:val="en-US"/>
        </w:rPr>
        <w:t xml:space="preserve">a </w:t>
      </w:r>
      <w:r w:rsidR="0063691C" w:rsidRPr="00813D19">
        <w:rPr>
          <w:bCs/>
          <w:lang w:val="en-US"/>
        </w:rPr>
        <w:t xml:space="preserve">mere </w:t>
      </w:r>
      <w:r w:rsidR="006D5D65" w:rsidRPr="00813D19">
        <w:rPr>
          <w:bCs/>
          <w:lang w:val="en-US"/>
        </w:rPr>
        <w:t>procedural change</w:t>
      </w:r>
      <w:r w:rsidR="0063691C" w:rsidRPr="00813D19">
        <w:rPr>
          <w:bCs/>
          <w:lang w:val="en-US"/>
        </w:rPr>
        <w:t xml:space="preserve">, which the </w:t>
      </w:r>
      <w:r w:rsidR="006D5D65" w:rsidRPr="00813D19">
        <w:rPr>
          <w:bCs/>
          <w:lang w:val="en-US"/>
        </w:rPr>
        <w:t>Comm</w:t>
      </w:r>
      <w:r w:rsidR="00830410" w:rsidRPr="00813D19">
        <w:rPr>
          <w:bCs/>
          <w:lang w:val="en-US"/>
        </w:rPr>
        <w:t>ittee had</w:t>
      </w:r>
      <w:r w:rsidR="00634D0B">
        <w:rPr>
          <w:bCs/>
          <w:lang w:val="en-US"/>
        </w:rPr>
        <w:t xml:space="preserve"> every right to do.</w:t>
      </w:r>
    </w:p>
    <w:p w14:paraId="41EAECD4" w14:textId="49826197" w:rsidR="00A16758" w:rsidRPr="00634D0B" w:rsidRDefault="00A16758"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6D5D65" w:rsidRPr="00813D19">
        <w:rPr>
          <w:b/>
          <w:color w:val="000000" w:themeColor="text1"/>
          <w:lang w:val="en-US"/>
        </w:rPr>
        <w:t xml:space="preserve"> </w:t>
      </w:r>
      <w:r w:rsidR="006D5D65" w:rsidRPr="00813D19">
        <w:rPr>
          <w:bCs/>
          <w:lang w:val="en-US"/>
        </w:rPr>
        <w:t>thank</w:t>
      </w:r>
      <w:r w:rsidR="0063691C" w:rsidRPr="00813D19">
        <w:rPr>
          <w:bCs/>
          <w:lang w:val="en-US"/>
        </w:rPr>
        <w:t>ed</w:t>
      </w:r>
      <w:r w:rsidR="006D5D65" w:rsidRPr="00813D19">
        <w:rPr>
          <w:bCs/>
          <w:lang w:val="en-US"/>
        </w:rPr>
        <w:t xml:space="preserve"> the Philippines and </w:t>
      </w:r>
      <w:r w:rsidR="0063691C" w:rsidRPr="00813D19">
        <w:rPr>
          <w:bCs/>
          <w:lang w:val="en-US"/>
        </w:rPr>
        <w:t xml:space="preserve">Poland, and </w:t>
      </w:r>
      <w:r w:rsidR="006D5D65" w:rsidRPr="00813D19">
        <w:rPr>
          <w:bCs/>
          <w:lang w:val="en-US"/>
        </w:rPr>
        <w:t>support</w:t>
      </w:r>
      <w:r w:rsidR="0063691C" w:rsidRPr="00813D19">
        <w:rPr>
          <w:bCs/>
          <w:lang w:val="en-US"/>
        </w:rPr>
        <w:t>ed</w:t>
      </w:r>
      <w:r w:rsidR="006D5D65" w:rsidRPr="00813D19">
        <w:rPr>
          <w:bCs/>
          <w:lang w:val="en-US"/>
        </w:rPr>
        <w:t xml:space="preserve"> </w:t>
      </w:r>
      <w:r w:rsidR="0063691C" w:rsidRPr="00813D19">
        <w:rPr>
          <w:bCs/>
          <w:lang w:val="en-US"/>
        </w:rPr>
        <w:t xml:space="preserve">the change </w:t>
      </w:r>
      <w:r w:rsidR="006D5D65" w:rsidRPr="00813D19">
        <w:rPr>
          <w:bCs/>
          <w:lang w:val="en-US"/>
        </w:rPr>
        <w:t xml:space="preserve">in </w:t>
      </w:r>
      <w:r w:rsidR="0063691C" w:rsidRPr="00813D19">
        <w:rPr>
          <w:bCs/>
          <w:lang w:val="en-US"/>
        </w:rPr>
        <w:t xml:space="preserve">this </w:t>
      </w:r>
      <w:r w:rsidR="006D5D65" w:rsidRPr="00813D19">
        <w:rPr>
          <w:bCs/>
          <w:lang w:val="en-US"/>
        </w:rPr>
        <w:t xml:space="preserve">case </w:t>
      </w:r>
      <w:r w:rsidR="0063691C" w:rsidRPr="00813D19">
        <w:rPr>
          <w:bCs/>
          <w:lang w:val="en-US"/>
        </w:rPr>
        <w:t xml:space="preserve">from </w:t>
      </w:r>
      <w:r w:rsidR="006D5D65" w:rsidRPr="00813D19">
        <w:rPr>
          <w:bCs/>
          <w:lang w:val="en-US"/>
        </w:rPr>
        <w:t xml:space="preserve">L30 </w:t>
      </w:r>
      <w:r w:rsidR="0063691C" w:rsidRPr="00813D19">
        <w:rPr>
          <w:bCs/>
          <w:lang w:val="en-US"/>
        </w:rPr>
        <w:t xml:space="preserve">to </w:t>
      </w:r>
      <w:r w:rsidR="00830410" w:rsidRPr="00813D19">
        <w:rPr>
          <w:bCs/>
          <w:lang w:val="en-US"/>
        </w:rPr>
        <w:t xml:space="preserve">17, </w:t>
      </w:r>
      <w:r w:rsidR="006D5D65" w:rsidRPr="00813D19">
        <w:rPr>
          <w:bCs/>
          <w:lang w:val="en-US"/>
        </w:rPr>
        <w:t>when i</w:t>
      </w:r>
      <w:r w:rsidR="0063691C" w:rsidRPr="00813D19">
        <w:rPr>
          <w:bCs/>
          <w:lang w:val="en-US"/>
        </w:rPr>
        <w:t>t became definitive</w:t>
      </w:r>
      <w:r w:rsidR="00830410" w:rsidRPr="00813D19">
        <w:rPr>
          <w:bCs/>
          <w:lang w:val="en-US"/>
        </w:rPr>
        <w:t xml:space="preserve">, </w:t>
      </w:r>
      <w:r w:rsidR="0063691C" w:rsidRPr="00813D19">
        <w:rPr>
          <w:bCs/>
          <w:lang w:val="en-US"/>
        </w:rPr>
        <w:t xml:space="preserve">so as to remain </w:t>
      </w:r>
      <w:r w:rsidR="006D5D65" w:rsidRPr="00813D19">
        <w:rPr>
          <w:bCs/>
          <w:lang w:val="en-US"/>
        </w:rPr>
        <w:t xml:space="preserve">logical and </w:t>
      </w:r>
      <w:r w:rsidR="0063691C" w:rsidRPr="00813D19">
        <w:rPr>
          <w:bCs/>
          <w:lang w:val="en-US"/>
        </w:rPr>
        <w:t>coherent.</w:t>
      </w:r>
    </w:p>
    <w:p w14:paraId="0F685ED1" w14:textId="7A4E7682" w:rsidR="00A16758" w:rsidRPr="00634D0B" w:rsidRDefault="00A16758"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Austria</w:t>
      </w:r>
      <w:r w:rsidR="006D5D65" w:rsidRPr="00813D19">
        <w:rPr>
          <w:b/>
          <w:color w:val="000000" w:themeColor="text1"/>
          <w:lang w:val="en-US"/>
        </w:rPr>
        <w:t xml:space="preserve"> </w:t>
      </w:r>
      <w:r w:rsidR="0063691C" w:rsidRPr="00813D19">
        <w:rPr>
          <w:color w:val="000000" w:themeColor="text1"/>
          <w:lang w:val="en-US"/>
        </w:rPr>
        <w:t>found</w:t>
      </w:r>
      <w:r w:rsidR="0063691C" w:rsidRPr="00813D19">
        <w:rPr>
          <w:b/>
          <w:color w:val="000000" w:themeColor="text1"/>
          <w:lang w:val="en-US"/>
        </w:rPr>
        <w:t xml:space="preserve"> </w:t>
      </w:r>
      <w:r w:rsidR="0063691C" w:rsidRPr="00813D19">
        <w:rPr>
          <w:color w:val="000000" w:themeColor="text1"/>
          <w:lang w:val="en-US"/>
        </w:rPr>
        <w:t>the situation</w:t>
      </w:r>
      <w:r w:rsidR="0063691C" w:rsidRPr="00813D19">
        <w:rPr>
          <w:b/>
          <w:color w:val="000000" w:themeColor="text1"/>
          <w:lang w:val="en-US"/>
        </w:rPr>
        <w:t xml:space="preserve"> </w:t>
      </w:r>
      <w:r w:rsidR="006D5D65" w:rsidRPr="00813D19">
        <w:rPr>
          <w:bCs/>
          <w:lang w:val="en-US"/>
        </w:rPr>
        <w:t xml:space="preserve">problematic because not all </w:t>
      </w:r>
      <w:r w:rsidR="0063691C" w:rsidRPr="00813D19">
        <w:rPr>
          <w:bCs/>
          <w:lang w:val="en-US"/>
        </w:rPr>
        <w:t xml:space="preserve">Committee Members were </w:t>
      </w:r>
      <w:r w:rsidR="006D5D65" w:rsidRPr="00813D19">
        <w:rPr>
          <w:bCs/>
          <w:lang w:val="en-US"/>
        </w:rPr>
        <w:t xml:space="preserve">experts </w:t>
      </w:r>
      <w:r w:rsidR="0063691C" w:rsidRPr="00813D19">
        <w:rPr>
          <w:bCs/>
          <w:lang w:val="en-US"/>
        </w:rPr>
        <w:t xml:space="preserve">and </w:t>
      </w:r>
      <w:r w:rsidR="001A3764" w:rsidRPr="00813D19">
        <w:rPr>
          <w:bCs/>
          <w:lang w:val="en-US"/>
        </w:rPr>
        <w:t>kn</w:t>
      </w:r>
      <w:r w:rsidR="001A3764">
        <w:rPr>
          <w:bCs/>
          <w:lang w:val="en-US"/>
        </w:rPr>
        <w:t>e</w:t>
      </w:r>
      <w:r w:rsidR="001A3764" w:rsidRPr="00813D19">
        <w:rPr>
          <w:bCs/>
          <w:lang w:val="en-US"/>
        </w:rPr>
        <w:t xml:space="preserve">w </w:t>
      </w:r>
      <w:r w:rsidR="0063691C" w:rsidRPr="00813D19">
        <w:rPr>
          <w:bCs/>
          <w:lang w:val="en-US"/>
        </w:rPr>
        <w:t xml:space="preserve">precisely </w:t>
      </w:r>
      <w:r w:rsidR="001A3764" w:rsidRPr="00813D19">
        <w:rPr>
          <w:bCs/>
          <w:lang w:val="en-US"/>
        </w:rPr>
        <w:t xml:space="preserve">what </w:t>
      </w:r>
      <w:r w:rsidR="006D5D65" w:rsidRPr="00813D19">
        <w:rPr>
          <w:bCs/>
          <w:lang w:val="en-US"/>
        </w:rPr>
        <w:t>these resolutions refer</w:t>
      </w:r>
      <w:r w:rsidR="001A3764">
        <w:rPr>
          <w:bCs/>
          <w:lang w:val="en-US"/>
        </w:rPr>
        <w:t>red to</w:t>
      </w:r>
      <w:r w:rsidR="0063691C" w:rsidRPr="00813D19">
        <w:rPr>
          <w:bCs/>
          <w:lang w:val="en-US"/>
        </w:rPr>
        <w:t xml:space="preserve">, especially given the </w:t>
      </w:r>
      <w:r w:rsidR="006D5D65" w:rsidRPr="00813D19">
        <w:rPr>
          <w:bCs/>
          <w:lang w:val="en-US"/>
        </w:rPr>
        <w:t xml:space="preserve">short time. </w:t>
      </w:r>
      <w:r w:rsidR="00830410" w:rsidRPr="00813D19">
        <w:rPr>
          <w:bCs/>
          <w:lang w:val="en-US"/>
        </w:rPr>
        <w:t>However</w:t>
      </w:r>
      <w:r w:rsidR="0063691C" w:rsidRPr="00813D19">
        <w:rPr>
          <w:bCs/>
          <w:lang w:val="en-US"/>
        </w:rPr>
        <w:t xml:space="preserve">, it </w:t>
      </w:r>
      <w:r w:rsidR="00830410" w:rsidRPr="00813D19">
        <w:rPr>
          <w:bCs/>
          <w:lang w:val="en-US"/>
        </w:rPr>
        <w:t xml:space="preserve">was </w:t>
      </w:r>
      <w:r w:rsidR="0063691C" w:rsidRPr="00813D19">
        <w:rPr>
          <w:bCs/>
          <w:lang w:val="en-US"/>
        </w:rPr>
        <w:t xml:space="preserve">willing to go along </w:t>
      </w:r>
      <w:r w:rsidR="006D5D65" w:rsidRPr="00813D19">
        <w:rPr>
          <w:bCs/>
          <w:lang w:val="en-US"/>
        </w:rPr>
        <w:t>in the spirit of consensus</w:t>
      </w:r>
      <w:r w:rsidR="00830410" w:rsidRPr="00813D19">
        <w:rPr>
          <w:bCs/>
          <w:lang w:val="en-US"/>
        </w:rPr>
        <w:t>,</w:t>
      </w:r>
      <w:r w:rsidR="006D5D65" w:rsidRPr="00813D19">
        <w:rPr>
          <w:bCs/>
          <w:lang w:val="en-US"/>
        </w:rPr>
        <w:t xml:space="preserve"> </w:t>
      </w:r>
      <w:r w:rsidR="0063691C" w:rsidRPr="00813D19">
        <w:rPr>
          <w:bCs/>
          <w:lang w:val="en-US"/>
        </w:rPr>
        <w:t xml:space="preserve">even though </w:t>
      </w:r>
      <w:r w:rsidR="006D5D65" w:rsidRPr="00813D19">
        <w:rPr>
          <w:bCs/>
          <w:lang w:val="en-US"/>
        </w:rPr>
        <w:t xml:space="preserve">this </w:t>
      </w:r>
      <w:r w:rsidR="0063691C" w:rsidRPr="00813D19">
        <w:rPr>
          <w:bCs/>
          <w:lang w:val="en-US"/>
        </w:rPr>
        <w:t xml:space="preserve">was </w:t>
      </w:r>
      <w:r w:rsidR="00634D0B">
        <w:rPr>
          <w:bCs/>
          <w:lang w:val="en-US"/>
        </w:rPr>
        <w:t>problematic.</w:t>
      </w:r>
    </w:p>
    <w:p w14:paraId="3AE91F55" w14:textId="476F551C" w:rsidR="008F79F3" w:rsidRPr="00634D0B" w:rsidRDefault="008F79F3"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the Netherlands</w:t>
      </w:r>
      <w:r w:rsidR="0063691C" w:rsidRPr="00813D19">
        <w:rPr>
          <w:b/>
          <w:color w:val="000000" w:themeColor="text1"/>
          <w:lang w:val="en-US"/>
        </w:rPr>
        <w:t xml:space="preserve"> </w:t>
      </w:r>
      <w:r w:rsidR="006D5D65" w:rsidRPr="00813D19">
        <w:rPr>
          <w:bCs/>
          <w:lang w:val="en-US"/>
        </w:rPr>
        <w:t>second</w:t>
      </w:r>
      <w:r w:rsidR="0063691C" w:rsidRPr="00813D19">
        <w:rPr>
          <w:bCs/>
          <w:lang w:val="en-US"/>
        </w:rPr>
        <w:t>ed</w:t>
      </w:r>
      <w:r w:rsidR="006D5D65" w:rsidRPr="00813D19">
        <w:rPr>
          <w:bCs/>
          <w:lang w:val="en-US"/>
        </w:rPr>
        <w:t xml:space="preserve"> the comments by Austria</w:t>
      </w:r>
      <w:r w:rsidR="0063691C" w:rsidRPr="00813D19">
        <w:rPr>
          <w:bCs/>
          <w:lang w:val="en-US"/>
        </w:rPr>
        <w:t xml:space="preserve">, adding that it would like to see </w:t>
      </w:r>
      <w:r w:rsidR="00783333" w:rsidRPr="00813D19">
        <w:rPr>
          <w:bCs/>
          <w:lang w:val="en-US"/>
        </w:rPr>
        <w:t>t</w:t>
      </w:r>
      <w:r w:rsidR="0063691C" w:rsidRPr="00813D19">
        <w:rPr>
          <w:bCs/>
          <w:lang w:val="en-US"/>
        </w:rPr>
        <w:t>he resolutions projected on</w:t>
      </w:r>
      <w:r w:rsidR="001A3764">
        <w:rPr>
          <w:bCs/>
          <w:lang w:val="en-US"/>
        </w:rPr>
        <w:t>to</w:t>
      </w:r>
      <w:r w:rsidR="0063691C" w:rsidRPr="00813D19">
        <w:rPr>
          <w:bCs/>
          <w:lang w:val="en-US"/>
        </w:rPr>
        <w:t xml:space="preserve"> </w:t>
      </w:r>
      <w:r w:rsidR="006D5D65" w:rsidRPr="00813D19">
        <w:rPr>
          <w:bCs/>
          <w:lang w:val="en-US"/>
        </w:rPr>
        <w:t xml:space="preserve">the screen so </w:t>
      </w:r>
      <w:r w:rsidR="00783333" w:rsidRPr="00813D19">
        <w:rPr>
          <w:bCs/>
          <w:lang w:val="en-US"/>
        </w:rPr>
        <w:t xml:space="preserve">that </w:t>
      </w:r>
      <w:r w:rsidR="0063691C" w:rsidRPr="00813D19">
        <w:rPr>
          <w:bCs/>
          <w:lang w:val="en-US"/>
        </w:rPr>
        <w:t xml:space="preserve">they </w:t>
      </w:r>
      <w:r w:rsidR="00783333" w:rsidRPr="00813D19">
        <w:rPr>
          <w:bCs/>
          <w:lang w:val="en-US"/>
        </w:rPr>
        <w:t xml:space="preserve">could </w:t>
      </w:r>
      <w:r w:rsidR="00634D0B">
        <w:rPr>
          <w:bCs/>
          <w:lang w:val="en-US"/>
        </w:rPr>
        <w:t>be read.</w:t>
      </w:r>
    </w:p>
    <w:p w14:paraId="4FB8C32E" w14:textId="07BF0288" w:rsidR="008F79F3" w:rsidRPr="00634D0B" w:rsidRDefault="00783333" w:rsidP="00837A49">
      <w:pPr>
        <w:pStyle w:val="Orateurengris"/>
        <w:spacing w:before="120"/>
        <w:ind w:left="709" w:hanging="709"/>
        <w:rPr>
          <w:bCs/>
          <w:color w:val="000000" w:themeColor="text1"/>
          <w:lang w:val="en-US"/>
        </w:rPr>
      </w:pPr>
      <w:r w:rsidRPr="00813D19">
        <w:rPr>
          <w:color w:val="000000" w:themeColor="text1"/>
          <w:lang w:val="en-US"/>
        </w:rPr>
        <w:t>Following the explanation by the Secretary, t</w:t>
      </w:r>
      <w:r w:rsidR="00357978" w:rsidRPr="00813D19">
        <w:rPr>
          <w:color w:val="000000" w:themeColor="text1"/>
          <w:lang w:val="en-US"/>
        </w:rPr>
        <w:t>he</w:t>
      </w:r>
      <w:r w:rsidR="00357978" w:rsidRPr="00813D19">
        <w:rPr>
          <w:b/>
          <w:color w:val="000000" w:themeColor="text1"/>
          <w:lang w:val="en-US"/>
        </w:rPr>
        <w:t xml:space="preserve"> delegation of China</w:t>
      </w:r>
      <w:r w:rsidR="006D5D65" w:rsidRPr="00813D19">
        <w:rPr>
          <w:b/>
          <w:color w:val="000000" w:themeColor="text1"/>
          <w:lang w:val="en-US"/>
        </w:rPr>
        <w:t xml:space="preserve"> </w:t>
      </w:r>
      <w:r w:rsidRPr="00813D19">
        <w:rPr>
          <w:bCs/>
          <w:lang w:val="en-US"/>
        </w:rPr>
        <w:t xml:space="preserve">wished to have time to </w:t>
      </w:r>
      <w:r w:rsidR="006D5D65" w:rsidRPr="00813D19">
        <w:rPr>
          <w:bCs/>
          <w:lang w:val="en-US"/>
        </w:rPr>
        <w:t>c</w:t>
      </w:r>
      <w:r w:rsidR="00830410" w:rsidRPr="00813D19">
        <w:rPr>
          <w:bCs/>
          <w:lang w:val="en-US"/>
        </w:rPr>
        <w:t>heck the</w:t>
      </w:r>
      <w:r w:rsidR="006D5D65" w:rsidRPr="00813D19">
        <w:rPr>
          <w:bCs/>
          <w:lang w:val="en-US"/>
        </w:rPr>
        <w:t xml:space="preserve"> </w:t>
      </w:r>
      <w:r w:rsidRPr="00813D19">
        <w:rPr>
          <w:bCs/>
          <w:lang w:val="en-US"/>
        </w:rPr>
        <w:t xml:space="preserve">resolutions and thus preferred to retain </w:t>
      </w:r>
      <w:r w:rsidR="006D5D65" w:rsidRPr="00813D19">
        <w:rPr>
          <w:bCs/>
          <w:lang w:val="en-US"/>
        </w:rPr>
        <w:t xml:space="preserve">the original draft decision </w:t>
      </w:r>
      <w:r w:rsidRPr="00813D19">
        <w:rPr>
          <w:bCs/>
          <w:lang w:val="en-US"/>
        </w:rPr>
        <w:t>at this juncture</w:t>
      </w:r>
      <w:r w:rsidR="00634D0B">
        <w:rPr>
          <w:bCs/>
          <w:lang w:val="en-US"/>
        </w:rPr>
        <w:t>.</w:t>
      </w:r>
    </w:p>
    <w:p w14:paraId="06F755AD" w14:textId="70930466" w:rsidR="000B7785" w:rsidRPr="00634D0B" w:rsidRDefault="000B7785"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Djibouti</w:t>
      </w:r>
      <w:r w:rsidR="006D5D65" w:rsidRPr="00813D19">
        <w:rPr>
          <w:b/>
          <w:color w:val="000000" w:themeColor="text1"/>
          <w:lang w:val="en-US"/>
        </w:rPr>
        <w:t xml:space="preserve"> </w:t>
      </w:r>
      <w:r w:rsidR="00783333" w:rsidRPr="00813D19">
        <w:rPr>
          <w:color w:val="000000" w:themeColor="text1"/>
          <w:lang w:val="en-US"/>
        </w:rPr>
        <w:t>agreed with the</w:t>
      </w:r>
      <w:r w:rsidR="00783333" w:rsidRPr="00813D19">
        <w:rPr>
          <w:b/>
          <w:color w:val="000000" w:themeColor="text1"/>
          <w:lang w:val="en-US"/>
        </w:rPr>
        <w:t xml:space="preserve"> </w:t>
      </w:r>
      <w:r w:rsidR="00783333" w:rsidRPr="00813D19">
        <w:rPr>
          <w:color w:val="000000" w:themeColor="text1"/>
          <w:lang w:val="en-US"/>
        </w:rPr>
        <w:t xml:space="preserve">concerns raised by the Committee Members regarding knowledge </w:t>
      </w:r>
      <w:r w:rsidR="00830410" w:rsidRPr="00813D19">
        <w:rPr>
          <w:color w:val="000000" w:themeColor="text1"/>
          <w:lang w:val="en-US"/>
        </w:rPr>
        <w:t xml:space="preserve">of </w:t>
      </w:r>
      <w:r w:rsidR="00783333" w:rsidRPr="00813D19">
        <w:rPr>
          <w:color w:val="000000" w:themeColor="text1"/>
          <w:lang w:val="en-US"/>
        </w:rPr>
        <w:t xml:space="preserve">and access to the different </w:t>
      </w:r>
      <w:r w:rsidR="00783333" w:rsidRPr="00813D19">
        <w:rPr>
          <w:bCs/>
          <w:lang w:val="en-US"/>
        </w:rPr>
        <w:t>resolutions.</w:t>
      </w:r>
    </w:p>
    <w:p w14:paraId="0A61FCCE" w14:textId="2F256186" w:rsidR="000A0370" w:rsidRPr="00634D0B" w:rsidRDefault="00924784"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6D5D65" w:rsidRPr="00813D19">
        <w:rPr>
          <w:b/>
          <w:color w:val="000000" w:themeColor="text1"/>
          <w:lang w:val="en-US"/>
        </w:rPr>
        <w:t xml:space="preserve"> </w:t>
      </w:r>
      <w:r w:rsidR="00830410" w:rsidRPr="00813D19">
        <w:rPr>
          <w:color w:val="000000" w:themeColor="text1"/>
          <w:lang w:val="en-US"/>
        </w:rPr>
        <w:t>remarked that</w:t>
      </w:r>
      <w:r w:rsidR="00830410" w:rsidRPr="00813D19">
        <w:rPr>
          <w:b/>
          <w:color w:val="000000" w:themeColor="text1"/>
          <w:lang w:val="en-US"/>
        </w:rPr>
        <w:t xml:space="preserve"> </w:t>
      </w:r>
      <w:r w:rsidR="00830410" w:rsidRPr="00813D19">
        <w:rPr>
          <w:bCs/>
          <w:lang w:val="en-US"/>
        </w:rPr>
        <w:t xml:space="preserve">if the Committee could not make the </w:t>
      </w:r>
      <w:r w:rsidR="006D5D65" w:rsidRPr="00813D19">
        <w:rPr>
          <w:bCs/>
          <w:lang w:val="en-US"/>
        </w:rPr>
        <w:t xml:space="preserve">clarification </w:t>
      </w:r>
      <w:r w:rsidR="00A14385" w:rsidRPr="00813D19">
        <w:rPr>
          <w:bCs/>
          <w:lang w:val="en-US"/>
        </w:rPr>
        <w:t xml:space="preserve">then it would be </w:t>
      </w:r>
      <w:r w:rsidR="006D5D65" w:rsidRPr="00813D19">
        <w:rPr>
          <w:bCs/>
          <w:lang w:val="en-US"/>
        </w:rPr>
        <w:t>in favo</w:t>
      </w:r>
      <w:r w:rsidR="00C64B11">
        <w:rPr>
          <w:bCs/>
          <w:lang w:val="en-US"/>
        </w:rPr>
        <w:t>u</w:t>
      </w:r>
      <w:r w:rsidR="006D5D65" w:rsidRPr="00813D19">
        <w:rPr>
          <w:bCs/>
          <w:lang w:val="en-US"/>
        </w:rPr>
        <w:t xml:space="preserve">r of </w:t>
      </w:r>
      <w:r w:rsidR="00A14385" w:rsidRPr="00813D19">
        <w:rPr>
          <w:bCs/>
          <w:lang w:val="en-US"/>
        </w:rPr>
        <w:t xml:space="preserve">returning </w:t>
      </w:r>
      <w:r w:rsidR="00634D0B">
        <w:rPr>
          <w:bCs/>
          <w:lang w:val="en-US"/>
        </w:rPr>
        <w:t>to the original wording.</w:t>
      </w:r>
    </w:p>
    <w:p w14:paraId="33E20ADF" w14:textId="394B2948" w:rsidR="000A4318" w:rsidRPr="00634D0B" w:rsidRDefault="000A4318" w:rsidP="00837A49">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6D5D65" w:rsidRPr="00813D19">
        <w:rPr>
          <w:b/>
          <w:color w:val="000000" w:themeColor="text1"/>
          <w:lang w:val="en-US"/>
        </w:rPr>
        <w:t xml:space="preserve"> </w:t>
      </w:r>
      <w:r w:rsidR="00783333" w:rsidRPr="00813D19">
        <w:rPr>
          <w:bCs/>
          <w:lang w:val="en-US"/>
        </w:rPr>
        <w:t>understood</w:t>
      </w:r>
      <w:r w:rsidR="006D5D65" w:rsidRPr="00813D19">
        <w:rPr>
          <w:bCs/>
          <w:lang w:val="en-US"/>
        </w:rPr>
        <w:t xml:space="preserve"> the concerns raised by </w:t>
      </w:r>
      <w:r w:rsidR="00783333" w:rsidRPr="00813D19">
        <w:rPr>
          <w:bCs/>
          <w:lang w:val="en-US"/>
        </w:rPr>
        <w:t>the Committee Members</w:t>
      </w:r>
      <w:r w:rsidR="00D41B2C" w:rsidRPr="00813D19">
        <w:rPr>
          <w:bCs/>
          <w:lang w:val="en-US"/>
        </w:rPr>
        <w:t xml:space="preserve">, conceding that it did not </w:t>
      </w:r>
      <w:r w:rsidR="006D5D65" w:rsidRPr="00813D19">
        <w:rPr>
          <w:bCs/>
          <w:lang w:val="en-US"/>
        </w:rPr>
        <w:t xml:space="preserve">have enough time to communicate, consult and explain the scope </w:t>
      </w:r>
      <w:r w:rsidR="00D41B2C" w:rsidRPr="00813D19">
        <w:rPr>
          <w:bCs/>
          <w:lang w:val="en-US"/>
        </w:rPr>
        <w:t xml:space="preserve">of the </w:t>
      </w:r>
      <w:r w:rsidR="006D5D65" w:rsidRPr="00813D19">
        <w:rPr>
          <w:bCs/>
          <w:lang w:val="en-US"/>
        </w:rPr>
        <w:t>amendment. These amendments all related to heritage</w:t>
      </w:r>
      <w:r w:rsidR="00D41B2C" w:rsidRPr="00813D19">
        <w:rPr>
          <w:bCs/>
          <w:lang w:val="en-US"/>
        </w:rPr>
        <w:t>,</w:t>
      </w:r>
      <w:r w:rsidR="006D5D65" w:rsidRPr="00813D19">
        <w:rPr>
          <w:bCs/>
          <w:lang w:val="en-US"/>
        </w:rPr>
        <w:t xml:space="preserve"> heritage in case</w:t>
      </w:r>
      <w:r w:rsidR="00D41B2C" w:rsidRPr="00813D19">
        <w:rPr>
          <w:bCs/>
          <w:lang w:val="en-US"/>
        </w:rPr>
        <w:t>s</w:t>
      </w:r>
      <w:r w:rsidR="006D5D65" w:rsidRPr="00813D19">
        <w:rPr>
          <w:bCs/>
          <w:lang w:val="en-US"/>
        </w:rPr>
        <w:t xml:space="preserve"> of conflict</w:t>
      </w:r>
      <w:r w:rsidR="00D41B2C" w:rsidRPr="00813D19">
        <w:rPr>
          <w:bCs/>
          <w:lang w:val="en-US"/>
        </w:rPr>
        <w:t>,</w:t>
      </w:r>
      <w:r w:rsidR="006D5D65" w:rsidRPr="00813D19">
        <w:rPr>
          <w:bCs/>
          <w:lang w:val="en-US"/>
        </w:rPr>
        <w:t xml:space="preserve"> the right</w:t>
      </w:r>
      <w:r w:rsidR="001A3764">
        <w:rPr>
          <w:bCs/>
          <w:lang w:val="en-US"/>
        </w:rPr>
        <w:t>s</w:t>
      </w:r>
      <w:r w:rsidR="006D5D65" w:rsidRPr="00813D19">
        <w:rPr>
          <w:bCs/>
          <w:lang w:val="en-US"/>
        </w:rPr>
        <w:t xml:space="preserve"> of children in humanitarian situations</w:t>
      </w:r>
      <w:r w:rsidR="00D41B2C" w:rsidRPr="00813D19">
        <w:rPr>
          <w:bCs/>
          <w:lang w:val="en-US"/>
        </w:rPr>
        <w:t>,</w:t>
      </w:r>
      <w:r w:rsidR="006D5D65" w:rsidRPr="00813D19">
        <w:rPr>
          <w:bCs/>
          <w:lang w:val="en-US"/>
        </w:rPr>
        <w:t xml:space="preserve"> a</w:t>
      </w:r>
      <w:r w:rsidR="00D41B2C" w:rsidRPr="00813D19">
        <w:rPr>
          <w:bCs/>
          <w:lang w:val="en-US"/>
        </w:rPr>
        <w:t xml:space="preserve">nd so on, and </w:t>
      </w:r>
      <w:r w:rsidR="00A14385" w:rsidRPr="00813D19">
        <w:rPr>
          <w:bCs/>
          <w:lang w:val="en-US"/>
        </w:rPr>
        <w:t xml:space="preserve">thus </w:t>
      </w:r>
      <w:r w:rsidR="00D41B2C" w:rsidRPr="00813D19">
        <w:rPr>
          <w:bCs/>
          <w:lang w:val="en-US"/>
        </w:rPr>
        <w:t xml:space="preserve">were </w:t>
      </w:r>
      <w:r w:rsidR="006D5D65" w:rsidRPr="00813D19">
        <w:rPr>
          <w:bCs/>
          <w:lang w:val="en-US"/>
        </w:rPr>
        <w:t xml:space="preserve">directly related to </w:t>
      </w:r>
      <w:r w:rsidR="00D41B2C" w:rsidRPr="00813D19">
        <w:rPr>
          <w:bCs/>
          <w:lang w:val="en-US"/>
        </w:rPr>
        <w:t xml:space="preserve">the </w:t>
      </w:r>
      <w:r w:rsidR="006D5D65" w:rsidRPr="00813D19">
        <w:rPr>
          <w:bCs/>
          <w:lang w:val="en-US"/>
        </w:rPr>
        <w:t>issue</w:t>
      </w:r>
      <w:r w:rsidR="00D41B2C" w:rsidRPr="00813D19">
        <w:rPr>
          <w:bCs/>
          <w:lang w:val="en-US"/>
        </w:rPr>
        <w:t>. However, it also understood</w:t>
      </w:r>
      <w:r w:rsidR="006D5D65" w:rsidRPr="00813D19">
        <w:rPr>
          <w:bCs/>
          <w:lang w:val="en-US"/>
        </w:rPr>
        <w:t xml:space="preserve"> </w:t>
      </w:r>
      <w:r w:rsidR="00D41B2C" w:rsidRPr="00813D19">
        <w:rPr>
          <w:bCs/>
          <w:lang w:val="en-US"/>
        </w:rPr>
        <w:t xml:space="preserve">the need </w:t>
      </w:r>
      <w:r w:rsidR="006D5D65" w:rsidRPr="00813D19">
        <w:rPr>
          <w:bCs/>
          <w:lang w:val="en-US"/>
        </w:rPr>
        <w:t xml:space="preserve">to be </w:t>
      </w:r>
      <w:r w:rsidR="00A14385" w:rsidRPr="00813D19">
        <w:rPr>
          <w:bCs/>
          <w:lang w:val="en-US"/>
        </w:rPr>
        <w:t xml:space="preserve">informed </w:t>
      </w:r>
      <w:r w:rsidR="006D5D65" w:rsidRPr="00813D19">
        <w:rPr>
          <w:bCs/>
          <w:lang w:val="en-US"/>
        </w:rPr>
        <w:t xml:space="preserve">of the </w:t>
      </w:r>
      <w:r w:rsidR="00D41B2C" w:rsidRPr="00813D19">
        <w:rPr>
          <w:bCs/>
          <w:lang w:val="en-US"/>
        </w:rPr>
        <w:t>items adopted</w:t>
      </w:r>
      <w:r w:rsidR="006D5D65" w:rsidRPr="00813D19">
        <w:rPr>
          <w:bCs/>
          <w:lang w:val="en-US"/>
        </w:rPr>
        <w:t xml:space="preserve">. </w:t>
      </w:r>
      <w:r w:rsidR="00D41B2C" w:rsidRPr="00813D19">
        <w:rPr>
          <w:bCs/>
          <w:lang w:val="en-US"/>
        </w:rPr>
        <w:t>However, as everyone was</w:t>
      </w:r>
      <w:r w:rsidR="006D5D65" w:rsidRPr="00813D19">
        <w:rPr>
          <w:bCs/>
          <w:lang w:val="en-US"/>
        </w:rPr>
        <w:t xml:space="preserve"> aware of </w:t>
      </w:r>
      <w:r w:rsidR="00D41B2C" w:rsidRPr="00813D19">
        <w:rPr>
          <w:bCs/>
          <w:lang w:val="en-US"/>
        </w:rPr>
        <w:t xml:space="preserve">UN </w:t>
      </w:r>
      <w:r w:rsidR="006D5D65" w:rsidRPr="00813D19">
        <w:rPr>
          <w:bCs/>
          <w:lang w:val="en-US"/>
        </w:rPr>
        <w:t>Security Council Resolution 2347</w:t>
      </w:r>
      <w:r w:rsidR="00D41B2C" w:rsidRPr="00813D19">
        <w:rPr>
          <w:bCs/>
          <w:lang w:val="en-US"/>
        </w:rPr>
        <w:t xml:space="preserve">, the delegation </w:t>
      </w:r>
      <w:r w:rsidR="006D5D65" w:rsidRPr="00813D19">
        <w:rPr>
          <w:bCs/>
          <w:lang w:val="en-US"/>
        </w:rPr>
        <w:t>propose</w:t>
      </w:r>
      <w:r w:rsidR="00D41B2C" w:rsidRPr="00813D19">
        <w:rPr>
          <w:bCs/>
          <w:lang w:val="en-US"/>
        </w:rPr>
        <w:t>d</w:t>
      </w:r>
      <w:r w:rsidR="006D5D65" w:rsidRPr="00813D19">
        <w:rPr>
          <w:bCs/>
          <w:lang w:val="en-US"/>
        </w:rPr>
        <w:t xml:space="preserve"> keep</w:t>
      </w:r>
      <w:r w:rsidR="001A3764">
        <w:rPr>
          <w:bCs/>
          <w:lang w:val="en-US"/>
        </w:rPr>
        <w:t>ing</w:t>
      </w:r>
      <w:r w:rsidR="006D5D65" w:rsidRPr="00813D19">
        <w:rPr>
          <w:bCs/>
          <w:lang w:val="en-US"/>
        </w:rPr>
        <w:t xml:space="preserve"> Resolution 2347 a</w:t>
      </w:r>
      <w:r w:rsidR="00A14385" w:rsidRPr="00813D19">
        <w:rPr>
          <w:bCs/>
          <w:lang w:val="en-US"/>
        </w:rPr>
        <w:t>nd delet</w:t>
      </w:r>
      <w:r w:rsidR="001A3764">
        <w:rPr>
          <w:bCs/>
          <w:lang w:val="en-US"/>
        </w:rPr>
        <w:t>ing</w:t>
      </w:r>
      <w:r w:rsidR="00A14385" w:rsidRPr="00813D19">
        <w:rPr>
          <w:bCs/>
          <w:lang w:val="en-US"/>
        </w:rPr>
        <w:t xml:space="preserve"> the other references</w:t>
      </w:r>
      <w:r w:rsidR="00D41B2C" w:rsidRPr="00813D19">
        <w:rPr>
          <w:bCs/>
          <w:lang w:val="en-US"/>
        </w:rPr>
        <w:t xml:space="preserve">, adding that it would take the time </w:t>
      </w:r>
      <w:r w:rsidR="001A3764" w:rsidRPr="00813D19">
        <w:rPr>
          <w:bCs/>
          <w:lang w:val="en-US"/>
        </w:rPr>
        <w:t>ne</w:t>
      </w:r>
      <w:r w:rsidR="001A3764">
        <w:rPr>
          <w:bCs/>
          <w:lang w:val="en-US"/>
        </w:rPr>
        <w:t>eded</w:t>
      </w:r>
      <w:r w:rsidR="001A3764" w:rsidRPr="00813D19">
        <w:rPr>
          <w:bCs/>
          <w:lang w:val="en-US"/>
        </w:rPr>
        <w:t xml:space="preserve"> </w:t>
      </w:r>
      <w:r w:rsidR="00D41B2C" w:rsidRPr="00813D19">
        <w:rPr>
          <w:bCs/>
          <w:lang w:val="en-US"/>
        </w:rPr>
        <w:t xml:space="preserve">to explain the issue </w:t>
      </w:r>
      <w:r w:rsidR="001A3764">
        <w:rPr>
          <w:bCs/>
          <w:lang w:val="en-US"/>
        </w:rPr>
        <w:t xml:space="preserve">on </w:t>
      </w:r>
      <w:r w:rsidR="00A14385" w:rsidRPr="00813D19">
        <w:rPr>
          <w:bCs/>
          <w:lang w:val="en-US"/>
        </w:rPr>
        <w:t xml:space="preserve">the </w:t>
      </w:r>
      <w:r w:rsidR="006D5D65" w:rsidRPr="00813D19">
        <w:rPr>
          <w:bCs/>
          <w:lang w:val="en-US"/>
        </w:rPr>
        <w:t xml:space="preserve">next </w:t>
      </w:r>
      <w:r w:rsidR="00A14385" w:rsidRPr="00813D19">
        <w:rPr>
          <w:bCs/>
          <w:lang w:val="en-US"/>
        </w:rPr>
        <w:t>occasion</w:t>
      </w:r>
      <w:r w:rsidR="00634D0B">
        <w:rPr>
          <w:bCs/>
          <w:lang w:val="en-US"/>
        </w:rPr>
        <w:t>.</w:t>
      </w:r>
    </w:p>
    <w:p w14:paraId="313D777D" w14:textId="137B71C5" w:rsidR="00AC5FD5" w:rsidRPr="00634D0B" w:rsidRDefault="00D41B2C" w:rsidP="00456ED1">
      <w:pPr>
        <w:pStyle w:val="Orateurengris"/>
        <w:spacing w:after="0"/>
        <w:ind w:left="709" w:hanging="709"/>
        <w:rPr>
          <w:bCs/>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thanked Palestine, and with no objections proposed adopt</w:t>
      </w:r>
      <w:r w:rsidR="001A3764">
        <w:rPr>
          <w:color w:val="000000" w:themeColor="text1"/>
          <w:lang w:val="en-US"/>
        </w:rPr>
        <w:t>ing</w:t>
      </w:r>
      <w:r w:rsidRPr="00813D19">
        <w:rPr>
          <w:color w:val="000000" w:themeColor="text1"/>
          <w:lang w:val="en-US"/>
        </w:rPr>
        <w:t xml:space="preserve"> the draft decision as a whole. </w:t>
      </w:r>
      <w:r w:rsidRPr="00813D19">
        <w:rPr>
          <w:b/>
          <w:color w:val="000000" w:themeColor="text1"/>
          <w:lang w:val="en-US"/>
        </w:rPr>
        <w:t>T</w:t>
      </w:r>
      <w:r w:rsidR="00CE7DAF" w:rsidRPr="00813D19">
        <w:rPr>
          <w:b/>
          <w:color w:val="000000" w:themeColor="text1"/>
          <w:lang w:val="en-US"/>
        </w:rPr>
        <w:t>he</w:t>
      </w:r>
      <w:r w:rsidR="00CE7DAF" w:rsidRPr="00813D19">
        <w:rPr>
          <w:color w:val="000000" w:themeColor="text1"/>
          <w:lang w:val="en-US"/>
        </w:rPr>
        <w:t xml:space="preserve"> </w:t>
      </w:r>
      <w:r w:rsidR="000F0E20" w:rsidRPr="00813D19">
        <w:rPr>
          <w:b/>
          <w:color w:val="000000" w:themeColor="text1"/>
          <w:lang w:val="en-US"/>
        </w:rPr>
        <w:t>Vice-</w:t>
      </w:r>
      <w:r w:rsidR="00CE7DAF" w:rsidRPr="00813D19">
        <w:rPr>
          <w:b/>
          <w:color w:val="000000" w:themeColor="text1"/>
          <w:lang w:val="en-US"/>
        </w:rPr>
        <w:t>Chairperson declared Decision 13.COM 11 adopted</w:t>
      </w:r>
      <w:r w:rsidR="00CE7DAF" w:rsidRPr="00634D0B">
        <w:rPr>
          <w:bCs/>
          <w:color w:val="000000" w:themeColor="text1"/>
          <w:lang w:val="en-US"/>
        </w:rPr>
        <w:t>.</w:t>
      </w:r>
    </w:p>
    <w:p w14:paraId="6D1B8546" w14:textId="7AC4C2B0" w:rsidR="00FE7E54" w:rsidRPr="00813D19" w:rsidRDefault="00634D0B" w:rsidP="00634D0B">
      <w:pPr>
        <w:pStyle w:val="Orateurengris"/>
        <w:keepNext/>
        <w:numPr>
          <w:ilvl w:val="0"/>
          <w:numId w:val="0"/>
        </w:numPr>
        <w:spacing w:before="360" w:after="60"/>
        <w:outlineLvl w:val="0"/>
        <w:rPr>
          <w:b/>
          <w:color w:val="000000" w:themeColor="text1"/>
          <w:u w:val="single"/>
          <w:lang w:val="en-US"/>
        </w:rPr>
      </w:pPr>
      <w:r>
        <w:rPr>
          <w:b/>
          <w:color w:val="000000" w:themeColor="text1"/>
          <w:u w:val="single"/>
          <w:lang w:val="en-US"/>
        </w:rPr>
        <w:t>ITEM 12 OF THE AGENDA</w:t>
      </w:r>
    </w:p>
    <w:p w14:paraId="12A9273C" w14:textId="7E52F658" w:rsidR="00456ED1" w:rsidRPr="00813D19" w:rsidRDefault="00E8469A" w:rsidP="00634D0B">
      <w:pPr>
        <w:pStyle w:val="Orateurengris"/>
        <w:numPr>
          <w:ilvl w:val="0"/>
          <w:numId w:val="0"/>
        </w:numPr>
        <w:jc w:val="left"/>
        <w:outlineLvl w:val="1"/>
        <w:rPr>
          <w:b/>
          <w:color w:val="000000" w:themeColor="text1"/>
          <w:lang w:val="en-US"/>
        </w:rPr>
      </w:pPr>
      <w:r w:rsidRPr="00813D19">
        <w:rPr>
          <w:b/>
          <w:color w:val="000000" w:themeColor="text1"/>
          <w:lang w:val="en-US"/>
        </w:rPr>
        <w:t>MULTIPLE SUBMISSIONS OF INTERNATIONAL ASSISTANCE REQUESTS</w:t>
      </w:r>
    </w:p>
    <w:p w14:paraId="25C011E9" w14:textId="728B5F3E" w:rsidR="00FE7E54" w:rsidRPr="00813D19" w:rsidRDefault="00FE7E54" w:rsidP="00634D0B">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44" w:history="1">
        <w:r w:rsidRPr="00813D19">
          <w:rPr>
            <w:rStyle w:val="Hyperlink"/>
            <w:bCs/>
            <w:i/>
            <w:lang w:val="en-US"/>
          </w:rPr>
          <w:t>ITH/18/13.COM/12</w:t>
        </w:r>
      </w:hyperlink>
    </w:p>
    <w:p w14:paraId="547BCC8B" w14:textId="23DBEED3" w:rsidR="00FE7E54" w:rsidRPr="00813D19" w:rsidRDefault="00FE7E54" w:rsidP="00634D0B">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813D19">
        <w:rPr>
          <w:color w:val="000000" w:themeColor="text1"/>
          <w:lang w:val="en-US"/>
        </w:rPr>
        <w:t xml:space="preserve">: </w:t>
      </w:r>
      <w:r w:rsidRPr="00813D19">
        <w:rPr>
          <w:color w:val="000000" w:themeColor="text1"/>
          <w:lang w:val="en-US"/>
        </w:rPr>
        <w:tab/>
      </w:r>
      <w:hyperlink r:id="rId145" w:history="1">
        <w:r w:rsidRPr="00813D19">
          <w:rPr>
            <w:rStyle w:val="Hyperlink"/>
            <w:i/>
            <w:lang w:val="en-US"/>
          </w:rPr>
          <w:t>13.COM 12</w:t>
        </w:r>
      </w:hyperlink>
    </w:p>
    <w:p w14:paraId="51930699" w14:textId="3CE90A92" w:rsidR="00952A0D" w:rsidRPr="00813D19" w:rsidRDefault="006D219A" w:rsidP="007C3FE7">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w:t>
      </w:r>
      <w:r w:rsidR="00F47F62" w:rsidRPr="00813D19">
        <w:rPr>
          <w:color w:val="000000" w:themeColor="text1"/>
          <w:lang w:val="en-US"/>
        </w:rPr>
        <w:t xml:space="preserve">turned to agenda item 12, informing the Committee that </w:t>
      </w:r>
      <w:r w:rsidR="007178FE" w:rsidRPr="00813D19">
        <w:rPr>
          <w:lang w:val="en-US"/>
        </w:rPr>
        <w:t xml:space="preserve">the Bureau </w:t>
      </w:r>
      <w:r w:rsidR="00F47F62" w:rsidRPr="00813D19">
        <w:rPr>
          <w:lang w:val="en-US"/>
        </w:rPr>
        <w:t xml:space="preserve">had </w:t>
      </w:r>
      <w:r w:rsidR="007178FE" w:rsidRPr="00813D19">
        <w:rPr>
          <w:lang w:val="en-US"/>
        </w:rPr>
        <w:t xml:space="preserve">discussed this subject during its first two meetings earlier </w:t>
      </w:r>
      <w:r w:rsidR="003473B3" w:rsidRPr="00813D19">
        <w:rPr>
          <w:lang w:val="en-US"/>
        </w:rPr>
        <w:t>in 2018</w:t>
      </w:r>
      <w:r w:rsidR="007178FE" w:rsidRPr="00813D19">
        <w:rPr>
          <w:lang w:val="en-US"/>
        </w:rPr>
        <w:t xml:space="preserve">. It was first brought to </w:t>
      </w:r>
      <w:r w:rsidR="003473B3" w:rsidRPr="00813D19">
        <w:rPr>
          <w:lang w:val="en-US"/>
        </w:rPr>
        <w:t xml:space="preserve">the Bureau’s </w:t>
      </w:r>
      <w:r w:rsidR="007178FE" w:rsidRPr="00813D19">
        <w:rPr>
          <w:lang w:val="en-US"/>
        </w:rPr>
        <w:t xml:space="preserve">attention that an increasing number of International Assistance </w:t>
      </w:r>
      <w:r w:rsidR="001A3764">
        <w:rPr>
          <w:lang w:val="en-US"/>
        </w:rPr>
        <w:t xml:space="preserve">requests </w:t>
      </w:r>
      <w:r w:rsidR="001A3764" w:rsidRPr="00813D19">
        <w:rPr>
          <w:lang w:val="en-US"/>
        </w:rPr>
        <w:t>w</w:t>
      </w:r>
      <w:r w:rsidR="001A3764">
        <w:rPr>
          <w:lang w:val="en-US"/>
        </w:rPr>
        <w:t>ere</w:t>
      </w:r>
      <w:r w:rsidR="001A3764" w:rsidRPr="00813D19">
        <w:rPr>
          <w:lang w:val="en-US"/>
        </w:rPr>
        <w:t xml:space="preserve"> </w:t>
      </w:r>
      <w:r w:rsidR="007178FE" w:rsidRPr="00813D19">
        <w:rPr>
          <w:lang w:val="en-US"/>
        </w:rPr>
        <w:t xml:space="preserve">being submitted to the Bureau at the same </w:t>
      </w:r>
      <w:r w:rsidR="003473B3" w:rsidRPr="00813D19">
        <w:rPr>
          <w:lang w:val="en-US"/>
        </w:rPr>
        <w:t>time or in quick succession. This</w:t>
      </w:r>
      <w:r w:rsidR="007178FE" w:rsidRPr="00813D19">
        <w:rPr>
          <w:lang w:val="en-US"/>
        </w:rPr>
        <w:t xml:space="preserve"> </w:t>
      </w:r>
      <w:r w:rsidR="003473B3" w:rsidRPr="00813D19">
        <w:rPr>
          <w:lang w:val="en-US"/>
        </w:rPr>
        <w:t xml:space="preserve">came about during </w:t>
      </w:r>
      <w:r w:rsidR="007178FE" w:rsidRPr="00813D19">
        <w:rPr>
          <w:lang w:val="en-US"/>
        </w:rPr>
        <w:t>the Bureau</w:t>
      </w:r>
      <w:r w:rsidR="003473B3" w:rsidRPr="00813D19">
        <w:rPr>
          <w:lang w:val="en-US"/>
        </w:rPr>
        <w:t xml:space="preserve"> meeting</w:t>
      </w:r>
      <w:r w:rsidR="007178FE" w:rsidRPr="00813D19">
        <w:rPr>
          <w:lang w:val="en-US"/>
        </w:rPr>
        <w:t xml:space="preserve"> in March </w:t>
      </w:r>
      <w:r w:rsidR="003473B3" w:rsidRPr="00813D19">
        <w:rPr>
          <w:lang w:val="en-US"/>
        </w:rPr>
        <w:t>2018 when during one sitting, the Burea</w:t>
      </w:r>
      <w:r w:rsidR="00A14385" w:rsidRPr="00813D19">
        <w:rPr>
          <w:lang w:val="en-US"/>
        </w:rPr>
        <w:t>u</w:t>
      </w:r>
      <w:r w:rsidR="003473B3" w:rsidRPr="00813D19">
        <w:rPr>
          <w:lang w:val="en-US"/>
        </w:rPr>
        <w:t xml:space="preserve"> was asked to examine </w:t>
      </w:r>
      <w:r w:rsidR="007178FE" w:rsidRPr="00813D19">
        <w:rPr>
          <w:lang w:val="en-US"/>
        </w:rPr>
        <w:t xml:space="preserve">four International Assistance requests submitted by a single country. </w:t>
      </w:r>
      <w:r w:rsidR="003473B3" w:rsidRPr="00813D19">
        <w:rPr>
          <w:lang w:val="en-US"/>
        </w:rPr>
        <w:t>T</w:t>
      </w:r>
      <w:r w:rsidR="007178FE" w:rsidRPr="00813D19">
        <w:rPr>
          <w:lang w:val="en-US"/>
        </w:rPr>
        <w:t xml:space="preserve">he Bureau </w:t>
      </w:r>
      <w:r w:rsidR="003473B3" w:rsidRPr="00813D19">
        <w:rPr>
          <w:lang w:val="en-US"/>
        </w:rPr>
        <w:t xml:space="preserve">subsequently </w:t>
      </w:r>
      <w:r w:rsidR="007178FE" w:rsidRPr="00813D19">
        <w:rPr>
          <w:lang w:val="en-US"/>
        </w:rPr>
        <w:t xml:space="preserve">asked the Secretariat to </w:t>
      </w:r>
      <w:r w:rsidR="001A3764" w:rsidRPr="00813D19">
        <w:rPr>
          <w:lang w:val="en-US"/>
        </w:rPr>
        <w:t>analy</w:t>
      </w:r>
      <w:r w:rsidR="001A3764">
        <w:rPr>
          <w:lang w:val="en-US"/>
        </w:rPr>
        <w:t>z</w:t>
      </w:r>
      <w:r w:rsidR="001A3764" w:rsidRPr="00813D19">
        <w:rPr>
          <w:lang w:val="en-US"/>
        </w:rPr>
        <w:t xml:space="preserve">e </w:t>
      </w:r>
      <w:r w:rsidR="007178FE" w:rsidRPr="00813D19">
        <w:rPr>
          <w:lang w:val="en-US"/>
        </w:rPr>
        <w:t xml:space="preserve">the number of assistance requests </w:t>
      </w:r>
      <w:r w:rsidR="003473B3" w:rsidRPr="00813D19">
        <w:rPr>
          <w:lang w:val="en-US"/>
        </w:rPr>
        <w:t xml:space="preserve">having been </w:t>
      </w:r>
      <w:r w:rsidR="007178FE" w:rsidRPr="00813D19">
        <w:rPr>
          <w:lang w:val="en-US"/>
        </w:rPr>
        <w:t xml:space="preserve">granted to a single country, together with any other pertinent administrative issues. Having discussed the results of that analysis, the Bureau </w:t>
      </w:r>
      <w:r w:rsidR="003473B3" w:rsidRPr="00813D19">
        <w:rPr>
          <w:lang w:val="en-US"/>
        </w:rPr>
        <w:t xml:space="preserve">felt </w:t>
      </w:r>
      <w:r w:rsidR="007178FE" w:rsidRPr="00813D19">
        <w:rPr>
          <w:lang w:val="en-US"/>
        </w:rPr>
        <w:t xml:space="preserve">it </w:t>
      </w:r>
      <w:r w:rsidR="003473B3" w:rsidRPr="00813D19">
        <w:rPr>
          <w:lang w:val="en-US"/>
        </w:rPr>
        <w:t xml:space="preserve">was </w:t>
      </w:r>
      <w:r w:rsidR="007178FE" w:rsidRPr="00813D19">
        <w:rPr>
          <w:lang w:val="en-US"/>
        </w:rPr>
        <w:t>important that the matter be discussed by the Committee</w:t>
      </w:r>
      <w:r w:rsidR="001A3764">
        <w:rPr>
          <w:lang w:val="en-US"/>
        </w:rPr>
        <w:t>,</w:t>
      </w:r>
      <w:r w:rsidR="007178FE" w:rsidRPr="00813D19">
        <w:rPr>
          <w:lang w:val="en-US"/>
        </w:rPr>
        <w:t xml:space="preserve"> </w:t>
      </w:r>
      <w:r w:rsidR="003473B3" w:rsidRPr="00813D19">
        <w:rPr>
          <w:lang w:val="en-US"/>
        </w:rPr>
        <w:t xml:space="preserve">hence </w:t>
      </w:r>
      <w:r w:rsidR="0048693A" w:rsidRPr="00813D19">
        <w:rPr>
          <w:lang w:val="en-US"/>
        </w:rPr>
        <w:t xml:space="preserve">the inclusion of the item </w:t>
      </w:r>
      <w:r w:rsidR="001A3764">
        <w:rPr>
          <w:lang w:val="en-US"/>
        </w:rPr>
        <w:t>in</w:t>
      </w:r>
      <w:r w:rsidR="001A3764" w:rsidRPr="00813D19">
        <w:rPr>
          <w:lang w:val="en-US"/>
        </w:rPr>
        <w:t xml:space="preserve"> </w:t>
      </w:r>
      <w:r w:rsidR="007178FE" w:rsidRPr="00813D19">
        <w:rPr>
          <w:lang w:val="en-US"/>
        </w:rPr>
        <w:t>this session.</w:t>
      </w:r>
    </w:p>
    <w:p w14:paraId="459D0FCD" w14:textId="53476040" w:rsidR="00AB3D8E" w:rsidRPr="00813D19" w:rsidRDefault="00952A0D" w:rsidP="00AB3D8E">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EB156E" w:rsidRPr="00813D19">
        <w:rPr>
          <w:color w:val="000000" w:themeColor="text1"/>
          <w:lang w:val="en-US"/>
        </w:rPr>
        <w:t xml:space="preserve">explained that </w:t>
      </w:r>
      <w:r w:rsidR="00EB156E" w:rsidRPr="00813D19">
        <w:rPr>
          <w:lang w:val="en-US"/>
        </w:rPr>
        <w:t>a</w:t>
      </w:r>
      <w:r w:rsidR="004B0627" w:rsidRPr="00813D19">
        <w:rPr>
          <w:lang w:val="en-US"/>
        </w:rPr>
        <w:t xml:space="preserve">s the only funding mechanism exclusively intended to supplement </w:t>
      </w:r>
      <w:r w:rsidR="00EB156E" w:rsidRPr="00813D19">
        <w:rPr>
          <w:lang w:val="en-US"/>
        </w:rPr>
        <w:t xml:space="preserve">States Parties’ </w:t>
      </w:r>
      <w:r w:rsidR="004B0627" w:rsidRPr="00813D19">
        <w:rPr>
          <w:lang w:val="en-US"/>
        </w:rPr>
        <w:t xml:space="preserve">national efforts to safeguard living heritage, International Assistance </w:t>
      </w:r>
      <w:r w:rsidR="00EB156E" w:rsidRPr="00813D19">
        <w:rPr>
          <w:lang w:val="en-US"/>
        </w:rPr>
        <w:t xml:space="preserve">is of </w:t>
      </w:r>
      <w:r w:rsidR="004B0627" w:rsidRPr="00813D19">
        <w:rPr>
          <w:lang w:val="en-US"/>
        </w:rPr>
        <w:t xml:space="preserve">paramount importance in the implementation of the Convention. This unique tool under the ICH Fund allows </w:t>
      </w:r>
      <w:r w:rsidR="00EB156E" w:rsidRPr="00813D19">
        <w:rPr>
          <w:lang w:val="en-US"/>
        </w:rPr>
        <w:t>States to safeguard</w:t>
      </w:r>
      <w:r w:rsidR="004B0627" w:rsidRPr="00813D19">
        <w:rPr>
          <w:lang w:val="en-US"/>
        </w:rPr>
        <w:t xml:space="preserve"> intangible cultural heritage </w:t>
      </w:r>
      <w:r w:rsidR="001A3764">
        <w:rPr>
          <w:lang w:val="en-US"/>
        </w:rPr>
        <w:t>tailored</w:t>
      </w:r>
      <w:r w:rsidR="001A3764" w:rsidRPr="00813D19">
        <w:rPr>
          <w:lang w:val="en-US"/>
        </w:rPr>
        <w:t xml:space="preserve"> </w:t>
      </w:r>
      <w:r w:rsidR="004B0627" w:rsidRPr="00813D19">
        <w:rPr>
          <w:lang w:val="en-US"/>
        </w:rPr>
        <w:t xml:space="preserve">to </w:t>
      </w:r>
      <w:r w:rsidR="00A14385" w:rsidRPr="00813D19">
        <w:rPr>
          <w:lang w:val="en-US"/>
        </w:rPr>
        <w:t xml:space="preserve">their </w:t>
      </w:r>
      <w:r w:rsidR="004B0627" w:rsidRPr="00813D19">
        <w:rPr>
          <w:lang w:val="en-US"/>
        </w:rPr>
        <w:t xml:space="preserve">particular needs and national contexts. Despite </w:t>
      </w:r>
      <w:r w:rsidR="00EB156E" w:rsidRPr="00813D19">
        <w:rPr>
          <w:lang w:val="en-US"/>
        </w:rPr>
        <w:t>this</w:t>
      </w:r>
      <w:r w:rsidR="004B0627" w:rsidRPr="00813D19">
        <w:rPr>
          <w:lang w:val="en-US"/>
        </w:rPr>
        <w:t xml:space="preserve">, the International Assistance mechanism </w:t>
      </w:r>
      <w:r w:rsidR="00EB156E" w:rsidRPr="00813D19">
        <w:rPr>
          <w:lang w:val="en-US"/>
        </w:rPr>
        <w:t xml:space="preserve">was </w:t>
      </w:r>
      <w:r w:rsidR="004B0627" w:rsidRPr="00813D19">
        <w:rPr>
          <w:lang w:val="en-US"/>
        </w:rPr>
        <w:t xml:space="preserve">systematically underutilized. The Committee and the General Assembly </w:t>
      </w:r>
      <w:r w:rsidR="00EB156E" w:rsidRPr="00813D19">
        <w:rPr>
          <w:lang w:val="en-US"/>
        </w:rPr>
        <w:t>recogniz</w:t>
      </w:r>
      <w:r w:rsidR="004B0627" w:rsidRPr="00813D19">
        <w:rPr>
          <w:lang w:val="en-US"/>
        </w:rPr>
        <w:t>ed t</w:t>
      </w:r>
      <w:r w:rsidR="0048693A" w:rsidRPr="00813D19">
        <w:rPr>
          <w:lang w:val="en-US"/>
        </w:rPr>
        <w:t>his, and</w:t>
      </w:r>
      <w:r w:rsidRPr="00813D19">
        <w:rPr>
          <w:lang w:val="en-US"/>
        </w:rPr>
        <w:t xml:space="preserve"> </w:t>
      </w:r>
      <w:r w:rsidR="00EB156E" w:rsidRPr="00813D19">
        <w:rPr>
          <w:lang w:val="en-US"/>
        </w:rPr>
        <w:t>consequently</w:t>
      </w:r>
      <w:r w:rsidR="004B0627" w:rsidRPr="00813D19">
        <w:rPr>
          <w:lang w:val="en-US"/>
        </w:rPr>
        <w:t>, at its sixth session</w:t>
      </w:r>
      <w:r w:rsidR="00EB156E" w:rsidRPr="00813D19">
        <w:rPr>
          <w:lang w:val="en-US"/>
        </w:rPr>
        <w:t>,</w:t>
      </w:r>
      <w:r w:rsidR="004B0627" w:rsidRPr="00813D19">
        <w:rPr>
          <w:lang w:val="en-US"/>
        </w:rPr>
        <w:t xml:space="preserve"> the General Assembly </w:t>
      </w:r>
      <w:r w:rsidR="00EB156E" w:rsidRPr="00813D19">
        <w:rPr>
          <w:lang w:val="en-US"/>
        </w:rPr>
        <w:t xml:space="preserve">decided to </w:t>
      </w:r>
      <w:r w:rsidR="004B0627" w:rsidRPr="00813D19">
        <w:rPr>
          <w:lang w:val="en-US"/>
        </w:rPr>
        <w:t>increase the ceiling of requests presented to the Bure</w:t>
      </w:r>
      <w:r w:rsidR="0048693A" w:rsidRPr="00813D19">
        <w:rPr>
          <w:lang w:val="en-US"/>
        </w:rPr>
        <w:t>au from US$25,000 to US$100,000</w:t>
      </w:r>
      <w:r w:rsidR="004B0627" w:rsidRPr="00813D19">
        <w:rPr>
          <w:lang w:val="en-US"/>
        </w:rPr>
        <w:t>.</w:t>
      </w:r>
      <w:r w:rsidRPr="00813D19">
        <w:rPr>
          <w:lang w:val="en-US"/>
        </w:rPr>
        <w:t xml:space="preserve"> </w:t>
      </w:r>
      <w:r w:rsidR="004B0627" w:rsidRPr="00813D19">
        <w:rPr>
          <w:lang w:val="en-US"/>
        </w:rPr>
        <w:t>Since the sixth session</w:t>
      </w:r>
      <w:r w:rsidR="00EB156E" w:rsidRPr="00813D19">
        <w:rPr>
          <w:lang w:val="en-US"/>
        </w:rPr>
        <w:t>,</w:t>
      </w:r>
      <w:r w:rsidR="004B0627" w:rsidRPr="00813D19">
        <w:rPr>
          <w:lang w:val="en-US"/>
        </w:rPr>
        <w:t xml:space="preserve"> </w:t>
      </w:r>
      <w:r w:rsidR="00EB156E" w:rsidRPr="00813D19">
        <w:rPr>
          <w:lang w:val="en-US"/>
        </w:rPr>
        <w:t>the Secretariat had</w:t>
      </w:r>
      <w:r w:rsidR="004B0627" w:rsidRPr="00813D19">
        <w:rPr>
          <w:lang w:val="en-US"/>
        </w:rPr>
        <w:t xml:space="preserve"> observed an important increase in the number of International Assistance requests presented to and approved by the Bureau</w:t>
      </w:r>
      <w:r w:rsidR="00EB156E" w:rsidRPr="00813D19">
        <w:rPr>
          <w:lang w:val="en-US"/>
        </w:rPr>
        <w:t>,</w:t>
      </w:r>
      <w:r w:rsidR="004B0627" w:rsidRPr="00813D19">
        <w:rPr>
          <w:lang w:val="en-US"/>
        </w:rPr>
        <w:t xml:space="preserve"> confirming the effectiveness of that resolution.</w:t>
      </w:r>
      <w:r w:rsidRPr="00813D19">
        <w:rPr>
          <w:lang w:val="en-US"/>
        </w:rPr>
        <w:t xml:space="preserve"> </w:t>
      </w:r>
      <w:r w:rsidR="004B0627" w:rsidRPr="00813D19">
        <w:rPr>
          <w:lang w:val="en-US"/>
        </w:rPr>
        <w:t xml:space="preserve">This positive trend did not come without challenges. </w:t>
      </w:r>
      <w:r w:rsidR="00625369" w:rsidRPr="00813D19">
        <w:rPr>
          <w:lang w:val="en-US"/>
        </w:rPr>
        <w:t xml:space="preserve">As a result, </w:t>
      </w:r>
      <w:r w:rsidR="00A14385" w:rsidRPr="00813D19">
        <w:rPr>
          <w:lang w:val="en-US"/>
        </w:rPr>
        <w:t>the Bureau of the Committee had</w:t>
      </w:r>
      <w:r w:rsidR="004B0627" w:rsidRPr="00813D19">
        <w:rPr>
          <w:lang w:val="en-US"/>
        </w:rPr>
        <w:t xml:space="preserve"> </w:t>
      </w:r>
      <w:r w:rsidR="00625369" w:rsidRPr="00813D19">
        <w:rPr>
          <w:lang w:val="en-US"/>
        </w:rPr>
        <w:t>examined</w:t>
      </w:r>
      <w:r w:rsidR="004B0627" w:rsidRPr="00813D19">
        <w:rPr>
          <w:lang w:val="en-US"/>
        </w:rPr>
        <w:t xml:space="preserve"> an increasing number of International Assistance requests up to US$100,000, some with multiple requests submitted by a single country</w:t>
      </w:r>
      <w:r w:rsidR="00625369" w:rsidRPr="00813D19">
        <w:rPr>
          <w:lang w:val="en-US"/>
        </w:rPr>
        <w:t xml:space="preserve"> in the same year, for example, </w:t>
      </w:r>
      <w:r w:rsidR="004B0627" w:rsidRPr="00813D19">
        <w:rPr>
          <w:lang w:val="en-US"/>
        </w:rPr>
        <w:t xml:space="preserve">four requests from a single country examined by the Bureau in March 2018, as mentioned </w:t>
      </w:r>
      <w:r w:rsidR="00625369" w:rsidRPr="00813D19">
        <w:rPr>
          <w:lang w:val="en-US"/>
        </w:rPr>
        <w:t xml:space="preserve">earlier </w:t>
      </w:r>
      <w:r w:rsidR="004B0627" w:rsidRPr="00813D19">
        <w:rPr>
          <w:lang w:val="en-US"/>
        </w:rPr>
        <w:t xml:space="preserve">by the </w:t>
      </w:r>
      <w:r w:rsidR="00625369" w:rsidRPr="00813D19">
        <w:rPr>
          <w:lang w:val="en-US"/>
        </w:rPr>
        <w:t>Vice-</w:t>
      </w:r>
      <w:r w:rsidR="004B0627" w:rsidRPr="00813D19">
        <w:rPr>
          <w:lang w:val="en-US"/>
        </w:rPr>
        <w:t>Chairperson.</w:t>
      </w:r>
      <w:r w:rsidRPr="00813D19">
        <w:rPr>
          <w:lang w:val="en-US"/>
        </w:rPr>
        <w:t xml:space="preserve"> </w:t>
      </w:r>
      <w:r w:rsidR="004B0627" w:rsidRPr="00813D19">
        <w:rPr>
          <w:lang w:val="en-US"/>
        </w:rPr>
        <w:t>For this reason, a discussion was initiated by the Bureau concerning multiple requests from a single country</w:t>
      </w:r>
      <w:r w:rsidR="00DC31E1" w:rsidRPr="00813D19">
        <w:rPr>
          <w:lang w:val="en-US"/>
        </w:rPr>
        <w:t xml:space="preserve">, i.e. </w:t>
      </w:r>
      <w:r w:rsidR="004B0627" w:rsidRPr="00813D19">
        <w:rPr>
          <w:lang w:val="en-US"/>
        </w:rPr>
        <w:t xml:space="preserve">What are the implications of the multiple submissions? What </w:t>
      </w:r>
      <w:r w:rsidR="00A14385" w:rsidRPr="00813D19">
        <w:rPr>
          <w:lang w:val="en-US"/>
        </w:rPr>
        <w:t>is</w:t>
      </w:r>
      <w:r w:rsidR="004B0627" w:rsidRPr="00813D19">
        <w:rPr>
          <w:lang w:val="en-US"/>
        </w:rPr>
        <w:t xml:space="preserve"> the opinion of the Bureau?</w:t>
      </w:r>
    </w:p>
    <w:p w14:paraId="70F4D609" w14:textId="22E144D0" w:rsidR="007178FE" w:rsidRPr="00813D19" w:rsidRDefault="00952A0D" w:rsidP="00F53169">
      <w:pPr>
        <w:pStyle w:val="Orateurengris"/>
        <w:spacing w:before="120"/>
        <w:ind w:left="709" w:hanging="709"/>
        <w:rPr>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further </w:t>
      </w:r>
      <w:r w:rsidRPr="00813D19">
        <w:rPr>
          <w:lang w:val="en-US"/>
        </w:rPr>
        <w:t xml:space="preserve">explained that the </w:t>
      </w:r>
      <w:r w:rsidR="004B0627" w:rsidRPr="00813D19">
        <w:rPr>
          <w:lang w:val="en-US"/>
        </w:rPr>
        <w:t xml:space="preserve">implications could be </w:t>
      </w:r>
      <w:r w:rsidR="00AB3D8E" w:rsidRPr="00813D19">
        <w:rPr>
          <w:lang w:val="en-US"/>
        </w:rPr>
        <w:t>discussed from different a</w:t>
      </w:r>
      <w:r w:rsidR="00DC31E1" w:rsidRPr="00813D19">
        <w:rPr>
          <w:lang w:val="en-US"/>
        </w:rPr>
        <w:t>ngles.</w:t>
      </w:r>
      <w:r w:rsidR="00AB3D8E" w:rsidRPr="00813D19">
        <w:rPr>
          <w:lang w:val="en-US"/>
        </w:rPr>
        <w:t xml:space="preserve"> </w:t>
      </w:r>
      <w:r w:rsidR="00DC31E1" w:rsidRPr="00813D19">
        <w:rPr>
          <w:lang w:val="en-US"/>
        </w:rPr>
        <w:t xml:space="preserve">Firstly, </w:t>
      </w:r>
      <w:r w:rsidR="00DC31E1" w:rsidRPr="00813D19">
        <w:rPr>
          <w:rFonts w:eastAsia="Times New Roman"/>
          <w:bCs/>
          <w:lang w:val="en-US"/>
        </w:rPr>
        <w:t>m</w:t>
      </w:r>
      <w:r w:rsidR="004B0627" w:rsidRPr="00813D19">
        <w:rPr>
          <w:rFonts w:eastAsia="Times New Roman"/>
          <w:bCs/>
          <w:lang w:val="en-US"/>
        </w:rPr>
        <w:t>ultiple submissions may be seen as a way to divide a single large re</w:t>
      </w:r>
      <w:r w:rsidR="0048693A" w:rsidRPr="00813D19">
        <w:rPr>
          <w:rFonts w:eastAsia="Times New Roman"/>
          <w:bCs/>
          <w:lang w:val="en-US"/>
        </w:rPr>
        <w:t>quest into several smaller one</w:t>
      </w:r>
      <w:r w:rsidR="001A3764">
        <w:rPr>
          <w:rFonts w:eastAsia="Times New Roman"/>
          <w:bCs/>
          <w:lang w:val="en-US"/>
        </w:rPr>
        <w:t>s.</w:t>
      </w:r>
      <w:r w:rsidR="0048693A" w:rsidRPr="00813D19">
        <w:rPr>
          <w:rFonts w:eastAsia="Times New Roman"/>
          <w:bCs/>
          <w:lang w:val="en-US"/>
        </w:rPr>
        <w:t xml:space="preserve"> </w:t>
      </w:r>
      <w:r w:rsidR="001A3764">
        <w:rPr>
          <w:rFonts w:eastAsia="Times New Roman"/>
          <w:bCs/>
          <w:lang w:val="en-US"/>
        </w:rPr>
        <w:t>H</w:t>
      </w:r>
      <w:r w:rsidR="001A3764" w:rsidRPr="00813D19">
        <w:rPr>
          <w:rFonts w:eastAsia="Times New Roman"/>
          <w:bCs/>
          <w:lang w:val="en-US"/>
        </w:rPr>
        <w:t>owever</w:t>
      </w:r>
      <w:r w:rsidR="00DC31E1" w:rsidRPr="00813D19">
        <w:rPr>
          <w:rFonts w:eastAsia="Times New Roman"/>
          <w:bCs/>
          <w:lang w:val="en-US"/>
        </w:rPr>
        <w:t xml:space="preserve">, </w:t>
      </w:r>
      <w:r w:rsidR="0048693A" w:rsidRPr="00813D19">
        <w:rPr>
          <w:rFonts w:eastAsia="Times New Roman"/>
          <w:bCs/>
          <w:lang w:val="en-US"/>
        </w:rPr>
        <w:t>in some cases</w:t>
      </w:r>
      <w:r w:rsidR="00DC31E1" w:rsidRPr="00813D19">
        <w:rPr>
          <w:rFonts w:eastAsia="Times New Roman"/>
          <w:bCs/>
          <w:lang w:val="en-US"/>
        </w:rPr>
        <w:t>,</w:t>
      </w:r>
      <w:r w:rsidR="0048693A" w:rsidRPr="00813D19">
        <w:rPr>
          <w:rFonts w:eastAsia="Times New Roman"/>
          <w:bCs/>
          <w:lang w:val="en-US"/>
        </w:rPr>
        <w:t xml:space="preserve"> </w:t>
      </w:r>
      <w:r w:rsidR="00DC31E1" w:rsidRPr="00813D19">
        <w:rPr>
          <w:rFonts w:eastAsia="Times New Roman"/>
          <w:bCs/>
          <w:lang w:val="en-US"/>
        </w:rPr>
        <w:t xml:space="preserve">this </w:t>
      </w:r>
      <w:r w:rsidR="001A3764">
        <w:rPr>
          <w:rFonts w:eastAsia="Times New Roman"/>
          <w:bCs/>
          <w:lang w:val="en-US"/>
        </w:rPr>
        <w:t>could</w:t>
      </w:r>
      <w:r w:rsidR="001A3764" w:rsidRPr="00813D19">
        <w:rPr>
          <w:rFonts w:eastAsia="Times New Roman"/>
          <w:bCs/>
          <w:lang w:val="en-US"/>
        </w:rPr>
        <w:t xml:space="preserve"> </w:t>
      </w:r>
      <w:r w:rsidR="0048693A" w:rsidRPr="00813D19">
        <w:rPr>
          <w:rFonts w:eastAsia="Times New Roman"/>
          <w:bCs/>
          <w:lang w:val="en-US"/>
        </w:rPr>
        <w:t xml:space="preserve">create governance concerns in the sense </w:t>
      </w:r>
      <w:r w:rsidR="00DC31E1" w:rsidRPr="00813D19">
        <w:rPr>
          <w:rFonts w:eastAsia="Times New Roman"/>
          <w:bCs/>
          <w:lang w:val="en-US"/>
        </w:rPr>
        <w:t xml:space="preserve">that </w:t>
      </w:r>
      <w:r w:rsidR="0048693A" w:rsidRPr="00813D19">
        <w:rPr>
          <w:rFonts w:eastAsia="Times New Roman"/>
          <w:bCs/>
          <w:lang w:val="en-US"/>
        </w:rPr>
        <w:t xml:space="preserve">multiple smaller grants </w:t>
      </w:r>
      <w:r w:rsidR="00DC31E1" w:rsidRPr="00813D19">
        <w:rPr>
          <w:rFonts w:eastAsia="Times New Roman"/>
          <w:bCs/>
          <w:lang w:val="en-US"/>
        </w:rPr>
        <w:t>might be</w:t>
      </w:r>
      <w:r w:rsidR="0048693A" w:rsidRPr="00813D19">
        <w:rPr>
          <w:rFonts w:eastAsia="Times New Roman"/>
          <w:bCs/>
          <w:lang w:val="en-US"/>
        </w:rPr>
        <w:t xml:space="preserve"> above the limit set by the directives for the authority of the Bureau </w:t>
      </w:r>
      <w:r w:rsidR="00A14385" w:rsidRPr="00813D19">
        <w:rPr>
          <w:rFonts w:eastAsia="Times New Roman"/>
          <w:bCs/>
          <w:lang w:val="en-US"/>
        </w:rPr>
        <w:t>which bypasses</w:t>
      </w:r>
      <w:r w:rsidR="0048693A" w:rsidRPr="00813D19">
        <w:rPr>
          <w:rFonts w:eastAsia="Times New Roman"/>
          <w:bCs/>
          <w:lang w:val="en-US"/>
        </w:rPr>
        <w:t xml:space="preserve"> the Committee. </w:t>
      </w:r>
      <w:r w:rsidR="00DC31E1" w:rsidRPr="00813D19">
        <w:rPr>
          <w:rFonts w:eastAsia="Times New Roman"/>
          <w:bCs/>
          <w:lang w:val="en-US"/>
        </w:rPr>
        <w:t>Second</w:t>
      </w:r>
      <w:r w:rsidR="00A14385" w:rsidRPr="00813D19">
        <w:rPr>
          <w:rFonts w:eastAsia="Times New Roman"/>
          <w:bCs/>
          <w:lang w:val="en-US"/>
        </w:rPr>
        <w:t>l</w:t>
      </w:r>
      <w:r w:rsidR="00DC31E1" w:rsidRPr="00813D19">
        <w:rPr>
          <w:rFonts w:eastAsia="Times New Roman"/>
          <w:bCs/>
          <w:lang w:val="en-US"/>
        </w:rPr>
        <w:t xml:space="preserve">y, </w:t>
      </w:r>
      <w:r w:rsidR="004B0627" w:rsidRPr="00813D19">
        <w:rPr>
          <w:rFonts w:eastAsia="Times New Roman"/>
          <w:bCs/>
          <w:lang w:val="en-US"/>
        </w:rPr>
        <w:t>the amount of assistance that can be examined by the B</w:t>
      </w:r>
      <w:r w:rsidR="00DC31E1" w:rsidRPr="00813D19">
        <w:rPr>
          <w:rFonts w:eastAsia="Times New Roman"/>
          <w:bCs/>
          <w:lang w:val="en-US"/>
        </w:rPr>
        <w:t xml:space="preserve">ureau was increased four times such that </w:t>
      </w:r>
      <w:r w:rsidR="004B0627" w:rsidRPr="00813D19">
        <w:rPr>
          <w:rFonts w:eastAsia="Times New Roman"/>
          <w:bCs/>
          <w:lang w:val="en-US"/>
        </w:rPr>
        <w:t xml:space="preserve">the amount granted by the </w:t>
      </w:r>
      <w:r w:rsidR="00DC31E1" w:rsidRPr="00813D19">
        <w:rPr>
          <w:rFonts w:eastAsia="Times New Roman"/>
          <w:bCs/>
          <w:lang w:val="en-US"/>
        </w:rPr>
        <w:t>Bureau was significantly higher, meaning</w:t>
      </w:r>
      <w:r w:rsidR="004B0627" w:rsidRPr="00813D19">
        <w:rPr>
          <w:rFonts w:eastAsia="Times New Roman"/>
          <w:bCs/>
          <w:lang w:val="en-US"/>
        </w:rPr>
        <w:t xml:space="preserve"> that the impact on the Fund </w:t>
      </w:r>
      <w:r w:rsidR="00DC31E1" w:rsidRPr="00813D19">
        <w:rPr>
          <w:rFonts w:eastAsia="Times New Roman"/>
          <w:bCs/>
          <w:lang w:val="en-US"/>
        </w:rPr>
        <w:t xml:space="preserve">would be </w:t>
      </w:r>
      <w:r w:rsidR="004B0627" w:rsidRPr="00813D19">
        <w:rPr>
          <w:rFonts w:eastAsia="Times New Roman"/>
          <w:bCs/>
          <w:lang w:val="en-US"/>
        </w:rPr>
        <w:t xml:space="preserve">correspondingly higher when there are multiple requests. </w:t>
      </w:r>
      <w:r w:rsidR="00DC31E1" w:rsidRPr="00813D19">
        <w:rPr>
          <w:rFonts w:eastAsia="Times New Roman"/>
          <w:bCs/>
          <w:lang w:val="en-US"/>
        </w:rPr>
        <w:t xml:space="preserve">Thirdly, the Committee could consider </w:t>
      </w:r>
      <w:r w:rsidR="004B0627" w:rsidRPr="00813D19">
        <w:rPr>
          <w:lang w:val="en-US"/>
        </w:rPr>
        <w:t xml:space="preserve">the ability </w:t>
      </w:r>
      <w:r w:rsidR="00DC31E1" w:rsidRPr="00813D19">
        <w:rPr>
          <w:lang w:val="en-US"/>
        </w:rPr>
        <w:t xml:space="preserve">of States Parties </w:t>
      </w:r>
      <w:r w:rsidR="004B0627" w:rsidRPr="00813D19">
        <w:rPr>
          <w:lang w:val="en-US"/>
        </w:rPr>
        <w:t xml:space="preserve">to implement several projects at the same time. </w:t>
      </w:r>
      <w:r w:rsidR="0048693A" w:rsidRPr="00813D19">
        <w:rPr>
          <w:lang w:val="en-US"/>
        </w:rPr>
        <w:t xml:space="preserve">The Secretariat </w:t>
      </w:r>
      <w:r w:rsidR="00DC31E1" w:rsidRPr="00813D19">
        <w:rPr>
          <w:lang w:val="en-US"/>
        </w:rPr>
        <w:t xml:space="preserve">is </w:t>
      </w:r>
      <w:r w:rsidR="004B0627" w:rsidRPr="00813D19">
        <w:rPr>
          <w:lang w:val="en-US"/>
        </w:rPr>
        <w:t>regularly faced with</w:t>
      </w:r>
      <w:r w:rsidR="00DC31E1" w:rsidRPr="00813D19">
        <w:rPr>
          <w:lang w:val="en-US"/>
        </w:rPr>
        <w:t xml:space="preserve"> challenges in closing projects</w:t>
      </w:r>
      <w:r w:rsidR="004B0627" w:rsidRPr="00813D19">
        <w:rPr>
          <w:lang w:val="en-US"/>
        </w:rPr>
        <w:t xml:space="preserve"> due to delays in their implementation</w:t>
      </w:r>
      <w:r w:rsidR="00DC31E1" w:rsidRPr="00813D19">
        <w:rPr>
          <w:lang w:val="en-US"/>
        </w:rPr>
        <w:t>,</w:t>
      </w:r>
      <w:r w:rsidR="004B0627" w:rsidRPr="00813D19">
        <w:rPr>
          <w:lang w:val="en-US"/>
        </w:rPr>
        <w:t xml:space="preserve"> </w:t>
      </w:r>
      <w:r w:rsidR="0048693A" w:rsidRPr="00813D19">
        <w:rPr>
          <w:lang w:val="en-US"/>
        </w:rPr>
        <w:t>and this can sometimes</w:t>
      </w:r>
      <w:r w:rsidR="001A3764">
        <w:rPr>
          <w:lang w:val="en-US"/>
        </w:rPr>
        <w:t xml:space="preserve"> call</w:t>
      </w:r>
      <w:r w:rsidR="004B0627" w:rsidRPr="00813D19">
        <w:rPr>
          <w:lang w:val="en-US"/>
        </w:rPr>
        <w:t xml:space="preserve"> in</w:t>
      </w:r>
      <w:r w:rsidR="0048693A" w:rsidRPr="00813D19">
        <w:rPr>
          <w:lang w:val="en-US"/>
        </w:rPr>
        <w:t>to</w:t>
      </w:r>
      <w:r w:rsidR="004B0627" w:rsidRPr="00813D19">
        <w:rPr>
          <w:lang w:val="en-US"/>
        </w:rPr>
        <w:t xml:space="preserve"> question </w:t>
      </w:r>
      <w:r w:rsidR="00DC31E1" w:rsidRPr="00813D19">
        <w:rPr>
          <w:lang w:val="en-US"/>
        </w:rPr>
        <w:t xml:space="preserve">their </w:t>
      </w:r>
      <w:r w:rsidR="004B0627" w:rsidRPr="00813D19">
        <w:rPr>
          <w:lang w:val="en-US"/>
        </w:rPr>
        <w:t>conformity with criterion A.7</w:t>
      </w:r>
      <w:r w:rsidR="006B55C0" w:rsidRPr="00813D19">
        <w:rPr>
          <w:rStyle w:val="FootnoteReference"/>
          <w:lang w:val="en-US"/>
        </w:rPr>
        <w:footnoteReference w:id="34"/>
      </w:r>
      <w:r w:rsidR="004B0627" w:rsidRPr="00813D19">
        <w:rPr>
          <w:lang w:val="en-US"/>
        </w:rPr>
        <w:t xml:space="preserve"> of the Operational Directives, which is of </w:t>
      </w:r>
      <w:r w:rsidR="00DC31E1" w:rsidRPr="00813D19">
        <w:rPr>
          <w:lang w:val="en-US"/>
        </w:rPr>
        <w:t xml:space="preserve">the </w:t>
      </w:r>
      <w:r w:rsidR="004B0627" w:rsidRPr="00813D19">
        <w:rPr>
          <w:lang w:val="en-US"/>
        </w:rPr>
        <w:t xml:space="preserve">utmost importance </w:t>
      </w:r>
      <w:r w:rsidR="00DC31E1" w:rsidRPr="00813D19">
        <w:rPr>
          <w:lang w:val="en-US"/>
        </w:rPr>
        <w:t>in mitigating</w:t>
      </w:r>
      <w:r w:rsidR="004B0627" w:rsidRPr="00813D19">
        <w:rPr>
          <w:lang w:val="en-US"/>
        </w:rPr>
        <w:t xml:space="preserve"> potential financial risks.</w:t>
      </w:r>
      <w:r w:rsidR="00DC2144" w:rsidRPr="00813D19">
        <w:rPr>
          <w:lang w:val="en-US"/>
        </w:rPr>
        <w:t xml:space="preserve"> </w:t>
      </w:r>
      <w:r w:rsidR="00DE7F8C" w:rsidRPr="00813D19">
        <w:rPr>
          <w:lang w:val="en-US"/>
        </w:rPr>
        <w:t xml:space="preserve">Moreover, </w:t>
      </w:r>
      <w:r w:rsidR="004B0627" w:rsidRPr="00813D19">
        <w:rPr>
          <w:lang w:val="en-US"/>
        </w:rPr>
        <w:t>the Operational Directives are silent on the</w:t>
      </w:r>
      <w:r w:rsidR="00DE7F8C" w:rsidRPr="00813D19">
        <w:rPr>
          <w:lang w:val="en-US"/>
        </w:rPr>
        <w:t xml:space="preserve"> issue of multiple submissions, and t</w:t>
      </w:r>
      <w:r w:rsidR="004B0627" w:rsidRPr="00813D19">
        <w:rPr>
          <w:lang w:val="en-US"/>
        </w:rPr>
        <w:t xml:space="preserve">here are </w:t>
      </w:r>
      <w:r w:rsidR="00DE7F8C" w:rsidRPr="00813D19">
        <w:rPr>
          <w:lang w:val="en-US"/>
        </w:rPr>
        <w:t xml:space="preserve">no </w:t>
      </w:r>
      <w:r w:rsidR="004B0627" w:rsidRPr="00813D19">
        <w:rPr>
          <w:lang w:val="en-US"/>
        </w:rPr>
        <w:t xml:space="preserve">indications regarding the number of files a State can submit nor the amount it can request over a given period through the Bureau. Therefore, the Committee </w:t>
      </w:r>
      <w:r w:rsidR="00DE7F8C" w:rsidRPr="00813D19">
        <w:rPr>
          <w:lang w:val="en-US"/>
        </w:rPr>
        <w:t xml:space="preserve">was asked to </w:t>
      </w:r>
      <w:r w:rsidR="004B0627" w:rsidRPr="00813D19">
        <w:rPr>
          <w:lang w:val="en-US"/>
        </w:rPr>
        <w:t xml:space="preserve">consider revisions to the Operational Directives limiting the amount of International Assistance that a single country </w:t>
      </w:r>
      <w:r w:rsidR="00DE7F8C" w:rsidRPr="00813D19">
        <w:rPr>
          <w:lang w:val="en-US"/>
        </w:rPr>
        <w:t xml:space="preserve">can be </w:t>
      </w:r>
      <w:r w:rsidR="004B0627" w:rsidRPr="00813D19">
        <w:rPr>
          <w:lang w:val="en-US"/>
        </w:rPr>
        <w:t>granted through the Bureau.</w:t>
      </w:r>
      <w:r w:rsidR="00DC2144" w:rsidRPr="00813D19">
        <w:rPr>
          <w:lang w:val="en-US"/>
        </w:rPr>
        <w:t xml:space="preserve"> </w:t>
      </w:r>
      <w:r w:rsidR="004B0627" w:rsidRPr="00813D19">
        <w:rPr>
          <w:lang w:val="en-US"/>
        </w:rPr>
        <w:t xml:space="preserve">On this point, the Bureau was inclined to suggest either limiting the amount </w:t>
      </w:r>
      <w:r w:rsidR="00DE7F8C" w:rsidRPr="00813D19">
        <w:rPr>
          <w:lang w:val="en-US"/>
        </w:rPr>
        <w:t xml:space="preserve">a State could request </w:t>
      </w:r>
      <w:r w:rsidR="004B0627" w:rsidRPr="00813D19">
        <w:rPr>
          <w:lang w:val="en-US"/>
        </w:rPr>
        <w:t>to US$100,000 per year or US$200,000 per biennium</w:t>
      </w:r>
      <w:r w:rsidR="00DE7F8C" w:rsidRPr="00813D19">
        <w:rPr>
          <w:lang w:val="en-US"/>
        </w:rPr>
        <w:t xml:space="preserve">, </w:t>
      </w:r>
      <w:r w:rsidR="004B0627" w:rsidRPr="00813D19">
        <w:rPr>
          <w:lang w:val="en-US"/>
        </w:rPr>
        <w:t>regardless of the number of requests submitted</w:t>
      </w:r>
      <w:r w:rsidR="00DE7F8C" w:rsidRPr="00813D19">
        <w:rPr>
          <w:lang w:val="en-US"/>
        </w:rPr>
        <w:t xml:space="preserve"> in both cases</w:t>
      </w:r>
      <w:r w:rsidR="004B0627" w:rsidRPr="00813D19">
        <w:rPr>
          <w:lang w:val="en-US"/>
        </w:rPr>
        <w:t>.</w:t>
      </w:r>
      <w:r w:rsidR="00DC2144" w:rsidRPr="00813D19">
        <w:rPr>
          <w:lang w:val="en-US"/>
        </w:rPr>
        <w:t xml:space="preserve"> </w:t>
      </w:r>
      <w:r w:rsidR="004B0627" w:rsidRPr="00813D19">
        <w:rPr>
          <w:lang w:val="en-US"/>
        </w:rPr>
        <w:t>T</w:t>
      </w:r>
      <w:r w:rsidR="00DE7F8C" w:rsidRPr="00813D19">
        <w:rPr>
          <w:lang w:val="en-US"/>
        </w:rPr>
        <w:t xml:space="preserve">he Secretariat believed </w:t>
      </w:r>
      <w:r w:rsidR="004B0627" w:rsidRPr="00813D19">
        <w:rPr>
          <w:lang w:val="en-US"/>
        </w:rPr>
        <w:t xml:space="preserve">that </w:t>
      </w:r>
      <w:r w:rsidR="00DE7F8C" w:rsidRPr="00813D19">
        <w:rPr>
          <w:lang w:val="en-US"/>
        </w:rPr>
        <w:t xml:space="preserve">the </w:t>
      </w:r>
      <w:r w:rsidR="004B0627" w:rsidRPr="00813D19">
        <w:rPr>
          <w:lang w:val="en-US"/>
        </w:rPr>
        <w:t xml:space="preserve">limit </w:t>
      </w:r>
      <w:r w:rsidR="0048693A" w:rsidRPr="00813D19">
        <w:rPr>
          <w:lang w:val="en-US"/>
        </w:rPr>
        <w:t xml:space="preserve">should be based on an </w:t>
      </w:r>
      <w:r w:rsidR="004B0627" w:rsidRPr="00813D19">
        <w:rPr>
          <w:lang w:val="en-US"/>
        </w:rPr>
        <w:t xml:space="preserve">amount </w:t>
      </w:r>
      <w:r w:rsidR="0048693A" w:rsidRPr="00813D19">
        <w:rPr>
          <w:lang w:val="en-US"/>
        </w:rPr>
        <w:t>rather than the number of requests</w:t>
      </w:r>
      <w:r w:rsidR="00DE7F8C" w:rsidRPr="00813D19">
        <w:rPr>
          <w:lang w:val="en-US"/>
        </w:rPr>
        <w:t>,</w:t>
      </w:r>
      <w:r w:rsidR="0048693A" w:rsidRPr="00813D19">
        <w:rPr>
          <w:lang w:val="en-US"/>
        </w:rPr>
        <w:t xml:space="preserve"> and that the amount of </w:t>
      </w:r>
      <w:r w:rsidR="004B0627" w:rsidRPr="00813D19">
        <w:rPr>
          <w:lang w:val="en-US"/>
        </w:rPr>
        <w:t xml:space="preserve">US$200,000 </w:t>
      </w:r>
      <w:r w:rsidR="00813D19" w:rsidRPr="00813D19">
        <w:rPr>
          <w:lang w:val="en-US"/>
        </w:rPr>
        <w:t>provided</w:t>
      </w:r>
      <w:r w:rsidR="00DE7F8C" w:rsidRPr="00813D19">
        <w:rPr>
          <w:lang w:val="en-US"/>
        </w:rPr>
        <w:t xml:space="preserve"> greater </w:t>
      </w:r>
      <w:r w:rsidR="004B0627" w:rsidRPr="00813D19">
        <w:rPr>
          <w:lang w:val="en-US"/>
        </w:rPr>
        <w:t xml:space="preserve">flexibility </w:t>
      </w:r>
      <w:r w:rsidR="00DE7F8C" w:rsidRPr="00813D19">
        <w:rPr>
          <w:lang w:val="en-US"/>
        </w:rPr>
        <w:t>than US$100</w:t>
      </w:r>
      <w:r w:rsidR="00CE1711" w:rsidRPr="00813D19">
        <w:rPr>
          <w:lang w:val="en-US"/>
        </w:rPr>
        <w:t xml:space="preserve">,000 </w:t>
      </w:r>
      <w:r w:rsidR="00DE7F8C" w:rsidRPr="00813D19">
        <w:rPr>
          <w:lang w:val="en-US"/>
        </w:rPr>
        <w:t xml:space="preserve">a </w:t>
      </w:r>
      <w:r w:rsidR="00CE1711" w:rsidRPr="00813D19">
        <w:rPr>
          <w:lang w:val="en-US"/>
        </w:rPr>
        <w:t xml:space="preserve">year. </w:t>
      </w:r>
      <w:r w:rsidR="004B0627" w:rsidRPr="00813D19">
        <w:rPr>
          <w:lang w:val="en-US"/>
        </w:rPr>
        <w:t>This measure would of course exclude requests in cases of emergency as the time and scope of an emergency cannot be anticipated</w:t>
      </w:r>
      <w:r w:rsidR="00DE7F8C" w:rsidRPr="00813D19">
        <w:rPr>
          <w:lang w:val="en-US"/>
        </w:rPr>
        <w:t>,</w:t>
      </w:r>
      <w:r w:rsidR="004B0627" w:rsidRPr="00813D19">
        <w:rPr>
          <w:lang w:val="en-US"/>
        </w:rPr>
        <w:t xml:space="preserve"> in compliance with the Operational Directives. The draft decision </w:t>
      </w:r>
      <w:r w:rsidR="00CE1711" w:rsidRPr="00813D19">
        <w:rPr>
          <w:lang w:val="en-US"/>
        </w:rPr>
        <w:t xml:space="preserve">was prepared </w:t>
      </w:r>
      <w:r w:rsidR="004B0627" w:rsidRPr="00813D19">
        <w:rPr>
          <w:lang w:val="en-US"/>
        </w:rPr>
        <w:t>in this sense.</w:t>
      </w:r>
    </w:p>
    <w:p w14:paraId="720799CE" w14:textId="74C8468E" w:rsidR="000C00F9" w:rsidRPr="00813D19" w:rsidRDefault="000C00F9" w:rsidP="00DC2144">
      <w:pPr>
        <w:pStyle w:val="Orateurengris"/>
        <w:spacing w:before="120"/>
        <w:ind w:left="709" w:hanging="709"/>
        <w:rPr>
          <w:lang w:val="en-US"/>
        </w:rPr>
      </w:pPr>
      <w:r w:rsidRPr="00813D19">
        <w:rPr>
          <w:lang w:val="en-US"/>
        </w:rPr>
        <w:t xml:space="preserve">The </w:t>
      </w:r>
      <w:r w:rsidRPr="00813D19">
        <w:rPr>
          <w:b/>
          <w:lang w:val="en-US"/>
        </w:rPr>
        <w:t>Vice-Chairperson</w:t>
      </w:r>
      <w:r w:rsidRPr="00813D19">
        <w:rPr>
          <w:lang w:val="en-US"/>
        </w:rPr>
        <w:t xml:space="preserve"> thanked the Secretary for the useful analysis</w:t>
      </w:r>
      <w:r w:rsidR="00634D0B">
        <w:rPr>
          <w:lang w:val="en-US"/>
        </w:rPr>
        <w:t>, opening the floor for debate.</w:t>
      </w:r>
    </w:p>
    <w:p w14:paraId="0599FF8D" w14:textId="4B6F8A7B" w:rsidR="002C083F" w:rsidRPr="00813D19" w:rsidRDefault="002C083F" w:rsidP="006D219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A42540" w:rsidRPr="00813D19">
        <w:rPr>
          <w:b/>
          <w:color w:val="000000" w:themeColor="text1"/>
          <w:lang w:val="en-US"/>
        </w:rPr>
        <w:t xml:space="preserve"> </w:t>
      </w:r>
      <w:r w:rsidR="00A42540" w:rsidRPr="00813D19">
        <w:rPr>
          <w:bCs/>
          <w:lang w:val="en-US"/>
        </w:rPr>
        <w:t>thank</w:t>
      </w:r>
      <w:r w:rsidR="001619DE" w:rsidRPr="00813D19">
        <w:rPr>
          <w:bCs/>
          <w:lang w:val="en-US"/>
        </w:rPr>
        <w:t>ed</w:t>
      </w:r>
      <w:r w:rsidR="00A42540" w:rsidRPr="00813D19">
        <w:rPr>
          <w:bCs/>
          <w:lang w:val="en-US"/>
        </w:rPr>
        <w:t xml:space="preserve"> the Secretariat for the report</w:t>
      </w:r>
      <w:r w:rsidR="00DF655A" w:rsidRPr="00813D19">
        <w:rPr>
          <w:bCs/>
          <w:lang w:val="en-US"/>
        </w:rPr>
        <w:t>,</w:t>
      </w:r>
      <w:r w:rsidR="00A42540" w:rsidRPr="00813D19">
        <w:rPr>
          <w:bCs/>
          <w:lang w:val="en-US"/>
        </w:rPr>
        <w:t xml:space="preserve"> but </w:t>
      </w:r>
      <w:r w:rsidR="00DF655A" w:rsidRPr="00813D19">
        <w:rPr>
          <w:bCs/>
          <w:lang w:val="en-US"/>
        </w:rPr>
        <w:t xml:space="preserve">was a bit puzzled as to why </w:t>
      </w:r>
      <w:r w:rsidR="00783333" w:rsidRPr="00813D19">
        <w:rPr>
          <w:bCs/>
          <w:lang w:val="en-US"/>
        </w:rPr>
        <w:t>US</w:t>
      </w:r>
      <w:r w:rsidR="00A42540" w:rsidRPr="00813D19">
        <w:rPr>
          <w:bCs/>
          <w:lang w:val="en-US"/>
        </w:rPr>
        <w:t xml:space="preserve">$200,000 per biennium </w:t>
      </w:r>
      <w:r w:rsidR="00DF655A" w:rsidRPr="00813D19">
        <w:rPr>
          <w:bCs/>
          <w:lang w:val="en-US"/>
        </w:rPr>
        <w:t xml:space="preserve">was preferred </w:t>
      </w:r>
      <w:r w:rsidR="00C36385" w:rsidRPr="00813D19">
        <w:rPr>
          <w:bCs/>
          <w:lang w:val="en-US"/>
        </w:rPr>
        <w:t>over</w:t>
      </w:r>
      <w:r w:rsidR="00DF655A" w:rsidRPr="00813D19">
        <w:rPr>
          <w:bCs/>
          <w:lang w:val="en-US"/>
        </w:rPr>
        <w:t xml:space="preserve"> US</w:t>
      </w:r>
      <w:r w:rsidR="00A42540" w:rsidRPr="00813D19">
        <w:rPr>
          <w:bCs/>
          <w:lang w:val="en-US"/>
        </w:rPr>
        <w:t xml:space="preserve">$100,000 per year. </w:t>
      </w:r>
      <w:r w:rsidR="00DF655A" w:rsidRPr="00813D19">
        <w:rPr>
          <w:bCs/>
          <w:lang w:val="en-US"/>
        </w:rPr>
        <w:t>R</w:t>
      </w:r>
      <w:r w:rsidR="00A42540" w:rsidRPr="00813D19">
        <w:rPr>
          <w:bCs/>
          <w:lang w:val="en-US"/>
        </w:rPr>
        <w:t>eg</w:t>
      </w:r>
      <w:r w:rsidR="00DF655A" w:rsidRPr="00813D19">
        <w:rPr>
          <w:bCs/>
          <w:lang w:val="en-US"/>
        </w:rPr>
        <w:t xml:space="preserve">arding the annex to the report, detailing </w:t>
      </w:r>
      <w:r w:rsidR="00A42540" w:rsidRPr="00813D19">
        <w:rPr>
          <w:bCs/>
          <w:lang w:val="en-US"/>
        </w:rPr>
        <w:t>the number of request</w:t>
      </w:r>
      <w:r w:rsidR="00DF655A" w:rsidRPr="00813D19">
        <w:rPr>
          <w:bCs/>
          <w:lang w:val="en-US"/>
        </w:rPr>
        <w:t xml:space="preserve">s </w:t>
      </w:r>
      <w:r w:rsidR="00C36385" w:rsidRPr="00813D19">
        <w:rPr>
          <w:bCs/>
          <w:lang w:val="en-US"/>
        </w:rPr>
        <w:t xml:space="preserve">per </w:t>
      </w:r>
      <w:r w:rsidR="00DF655A" w:rsidRPr="00813D19">
        <w:rPr>
          <w:bCs/>
          <w:lang w:val="en-US"/>
        </w:rPr>
        <w:t xml:space="preserve">country, </w:t>
      </w:r>
      <w:r w:rsidR="00C36385" w:rsidRPr="00813D19">
        <w:rPr>
          <w:bCs/>
          <w:lang w:val="en-US"/>
        </w:rPr>
        <w:t>the outcome</w:t>
      </w:r>
      <w:r w:rsidR="00025D6F" w:rsidRPr="00813D19">
        <w:rPr>
          <w:bCs/>
          <w:lang w:val="en-US"/>
        </w:rPr>
        <w:t>,</w:t>
      </w:r>
      <w:r w:rsidR="00C36385" w:rsidRPr="00813D19">
        <w:rPr>
          <w:bCs/>
          <w:lang w:val="en-US"/>
        </w:rPr>
        <w:t xml:space="preserve"> and the</w:t>
      </w:r>
      <w:r w:rsidR="00A42540" w:rsidRPr="00813D19">
        <w:rPr>
          <w:bCs/>
          <w:lang w:val="en-US"/>
        </w:rPr>
        <w:t xml:space="preserve"> recommendation</w:t>
      </w:r>
      <w:r w:rsidR="00C36385" w:rsidRPr="00813D19">
        <w:rPr>
          <w:bCs/>
          <w:lang w:val="en-US"/>
        </w:rPr>
        <w:t xml:space="preserve"> (</w:t>
      </w:r>
      <w:r w:rsidR="00A42540" w:rsidRPr="00813D19">
        <w:rPr>
          <w:bCs/>
          <w:lang w:val="en-US"/>
        </w:rPr>
        <w:t>approved, re</w:t>
      </w:r>
      <w:r w:rsidR="00C36385" w:rsidRPr="00813D19">
        <w:rPr>
          <w:bCs/>
          <w:lang w:val="en-US"/>
        </w:rPr>
        <w:t>jected, inappropriate)</w:t>
      </w:r>
      <w:r w:rsidR="00DF655A" w:rsidRPr="00813D19">
        <w:rPr>
          <w:bCs/>
          <w:lang w:val="en-US"/>
        </w:rPr>
        <w:t>,</w:t>
      </w:r>
      <w:r w:rsidR="00A42540" w:rsidRPr="00813D19">
        <w:rPr>
          <w:bCs/>
          <w:lang w:val="en-US"/>
        </w:rPr>
        <w:t xml:space="preserve"> </w:t>
      </w:r>
      <w:r w:rsidR="00DF655A" w:rsidRPr="00813D19">
        <w:rPr>
          <w:bCs/>
          <w:lang w:val="en-US"/>
        </w:rPr>
        <w:t xml:space="preserve">the delegation sought clarity as to why </w:t>
      </w:r>
      <w:r w:rsidR="00A42540" w:rsidRPr="00813D19">
        <w:rPr>
          <w:bCs/>
          <w:lang w:val="en-US"/>
        </w:rPr>
        <w:t>the total amount calculate</w:t>
      </w:r>
      <w:r w:rsidR="00DF655A" w:rsidRPr="00813D19">
        <w:rPr>
          <w:bCs/>
          <w:lang w:val="en-US"/>
        </w:rPr>
        <w:t>d</w:t>
      </w:r>
      <w:r w:rsidR="00A42540" w:rsidRPr="00813D19">
        <w:rPr>
          <w:bCs/>
          <w:lang w:val="en-US"/>
        </w:rPr>
        <w:t xml:space="preserve"> </w:t>
      </w:r>
      <w:r w:rsidR="00DF655A" w:rsidRPr="00813D19">
        <w:rPr>
          <w:bCs/>
          <w:lang w:val="en-US"/>
        </w:rPr>
        <w:t>for a State Party included</w:t>
      </w:r>
      <w:r w:rsidR="00A42540" w:rsidRPr="00813D19">
        <w:rPr>
          <w:bCs/>
          <w:lang w:val="en-US"/>
        </w:rPr>
        <w:t xml:space="preserve"> all the requests</w:t>
      </w:r>
      <w:r w:rsidR="00C36385" w:rsidRPr="00813D19">
        <w:rPr>
          <w:bCs/>
          <w:lang w:val="en-US"/>
        </w:rPr>
        <w:t>,</w:t>
      </w:r>
      <w:r w:rsidR="00A42540" w:rsidRPr="00813D19">
        <w:rPr>
          <w:bCs/>
          <w:lang w:val="en-US"/>
        </w:rPr>
        <w:t xml:space="preserve"> even </w:t>
      </w:r>
      <w:r w:rsidR="00025D6F" w:rsidRPr="00813D19">
        <w:rPr>
          <w:bCs/>
          <w:lang w:val="en-US"/>
        </w:rPr>
        <w:t>those</w:t>
      </w:r>
      <w:r w:rsidR="00A42540" w:rsidRPr="00813D19">
        <w:rPr>
          <w:bCs/>
          <w:lang w:val="en-US"/>
        </w:rPr>
        <w:t xml:space="preserve"> rejected</w:t>
      </w:r>
      <w:r w:rsidR="00DF655A" w:rsidRPr="00813D19">
        <w:rPr>
          <w:bCs/>
          <w:lang w:val="en-US"/>
        </w:rPr>
        <w:t>.</w:t>
      </w:r>
    </w:p>
    <w:p w14:paraId="08840B15" w14:textId="010A68EF" w:rsidR="002C083F" w:rsidRPr="00813D19" w:rsidRDefault="00B15AE6" w:rsidP="006D219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Philippines</w:t>
      </w:r>
      <w:r w:rsidR="001619DE" w:rsidRPr="00813D19">
        <w:rPr>
          <w:b/>
          <w:color w:val="000000" w:themeColor="text1"/>
          <w:lang w:val="en-US"/>
        </w:rPr>
        <w:t xml:space="preserve"> </w:t>
      </w:r>
      <w:r w:rsidR="001619DE" w:rsidRPr="00813D19">
        <w:rPr>
          <w:color w:val="000000" w:themeColor="text1"/>
          <w:lang w:val="en-US"/>
        </w:rPr>
        <w:t xml:space="preserve">had </w:t>
      </w:r>
      <w:r w:rsidR="00A42540" w:rsidRPr="00813D19">
        <w:rPr>
          <w:bCs/>
          <w:lang w:val="en-US"/>
        </w:rPr>
        <w:t xml:space="preserve">a number of points. </w:t>
      </w:r>
      <w:r w:rsidR="00C36385" w:rsidRPr="00813D19">
        <w:rPr>
          <w:bCs/>
          <w:lang w:val="en-US"/>
        </w:rPr>
        <w:t>Firstly, every State Party had</w:t>
      </w:r>
      <w:r w:rsidR="00A42540" w:rsidRPr="00813D19">
        <w:rPr>
          <w:bCs/>
          <w:lang w:val="en-US"/>
        </w:rPr>
        <w:t xml:space="preserve"> a right to request International Assistance</w:t>
      </w:r>
      <w:r w:rsidR="00C36385" w:rsidRPr="00813D19">
        <w:rPr>
          <w:bCs/>
          <w:lang w:val="en-US"/>
        </w:rPr>
        <w:t>,</w:t>
      </w:r>
      <w:r w:rsidR="00A42540" w:rsidRPr="00813D19">
        <w:rPr>
          <w:bCs/>
          <w:lang w:val="en-US"/>
        </w:rPr>
        <w:t xml:space="preserve"> as stipulated in the Conven</w:t>
      </w:r>
      <w:r w:rsidR="00C36385" w:rsidRPr="00813D19">
        <w:rPr>
          <w:bCs/>
          <w:lang w:val="en-US"/>
        </w:rPr>
        <w:t xml:space="preserve">tion and Operational Directives. Secondly, </w:t>
      </w:r>
      <w:r w:rsidR="00A42540" w:rsidRPr="00813D19">
        <w:rPr>
          <w:bCs/>
          <w:lang w:val="en-US"/>
        </w:rPr>
        <w:t xml:space="preserve">developing countries </w:t>
      </w:r>
      <w:r w:rsidR="00C36385" w:rsidRPr="00813D19">
        <w:rPr>
          <w:bCs/>
          <w:lang w:val="en-US"/>
        </w:rPr>
        <w:t xml:space="preserve">were </w:t>
      </w:r>
      <w:r w:rsidR="00A42540" w:rsidRPr="00813D19">
        <w:rPr>
          <w:bCs/>
          <w:lang w:val="en-US"/>
        </w:rPr>
        <w:t xml:space="preserve">the </w:t>
      </w:r>
      <w:r w:rsidR="00C36385" w:rsidRPr="00813D19">
        <w:rPr>
          <w:bCs/>
          <w:lang w:val="en-US"/>
        </w:rPr>
        <w:t xml:space="preserve">main </w:t>
      </w:r>
      <w:r w:rsidR="00813D19" w:rsidRPr="00813D19">
        <w:rPr>
          <w:bCs/>
          <w:lang w:val="en-US"/>
        </w:rPr>
        <w:t>beneficiaries</w:t>
      </w:r>
      <w:r w:rsidR="00A42540" w:rsidRPr="00813D19">
        <w:rPr>
          <w:bCs/>
          <w:lang w:val="en-US"/>
        </w:rPr>
        <w:t xml:space="preserve"> </w:t>
      </w:r>
      <w:r w:rsidR="00C36385" w:rsidRPr="00813D19">
        <w:rPr>
          <w:bCs/>
          <w:lang w:val="en-US"/>
        </w:rPr>
        <w:t xml:space="preserve">of </w:t>
      </w:r>
      <w:r w:rsidR="00A42540" w:rsidRPr="00813D19">
        <w:rPr>
          <w:bCs/>
          <w:lang w:val="en-US"/>
        </w:rPr>
        <w:t>the Inte</w:t>
      </w:r>
      <w:r w:rsidR="00C36385" w:rsidRPr="00813D19">
        <w:rPr>
          <w:bCs/>
          <w:lang w:val="en-US"/>
        </w:rPr>
        <w:t xml:space="preserve">rnational Assistance mechanisms. Thirdly, </w:t>
      </w:r>
      <w:r w:rsidR="00A42540" w:rsidRPr="00813D19">
        <w:rPr>
          <w:bCs/>
          <w:lang w:val="en-US"/>
        </w:rPr>
        <w:t>multiple requests from one State Party may not necessarily be objectionable</w:t>
      </w:r>
      <w:r w:rsidR="00C36385" w:rsidRPr="00813D19">
        <w:rPr>
          <w:bCs/>
          <w:lang w:val="en-US"/>
        </w:rPr>
        <w:t>, as long as they are needs-</w:t>
      </w:r>
      <w:r w:rsidR="00A42540" w:rsidRPr="00813D19">
        <w:rPr>
          <w:bCs/>
          <w:lang w:val="en-US"/>
        </w:rPr>
        <w:t xml:space="preserve">driven. </w:t>
      </w:r>
      <w:r w:rsidR="00C36385" w:rsidRPr="00813D19">
        <w:rPr>
          <w:bCs/>
          <w:lang w:val="en-US"/>
        </w:rPr>
        <w:t xml:space="preserve">The delegation </w:t>
      </w:r>
      <w:r w:rsidR="00A42540" w:rsidRPr="00813D19">
        <w:rPr>
          <w:bCs/>
          <w:lang w:val="en-US"/>
        </w:rPr>
        <w:t xml:space="preserve">therefore </w:t>
      </w:r>
      <w:r w:rsidR="00C36385" w:rsidRPr="00813D19">
        <w:rPr>
          <w:bCs/>
          <w:lang w:val="en-US"/>
        </w:rPr>
        <w:t xml:space="preserve">did </w:t>
      </w:r>
      <w:r w:rsidR="00A42540" w:rsidRPr="00813D19">
        <w:rPr>
          <w:bCs/>
          <w:lang w:val="en-US"/>
        </w:rPr>
        <w:t xml:space="preserve">not think it necessary to limit the total amount of International Assistance that can be given to a single State Party within the biennium to </w:t>
      </w:r>
      <w:r w:rsidR="00C36385" w:rsidRPr="00813D19">
        <w:rPr>
          <w:bCs/>
          <w:lang w:val="en-US"/>
        </w:rPr>
        <w:t>US</w:t>
      </w:r>
      <w:r w:rsidR="00A42540" w:rsidRPr="00813D19">
        <w:rPr>
          <w:bCs/>
          <w:lang w:val="en-US"/>
        </w:rPr>
        <w:t xml:space="preserve">$200,000. States Parties are different and they request International Assistance in accordance with their various national and local capacities and conditions. There can be instances where larger amounts and multiple projects are needed by States Parties and </w:t>
      </w:r>
      <w:r w:rsidR="00AE48E7" w:rsidRPr="00813D19">
        <w:rPr>
          <w:bCs/>
          <w:lang w:val="en-US"/>
        </w:rPr>
        <w:t xml:space="preserve">the </w:t>
      </w:r>
      <w:r w:rsidR="00A42540" w:rsidRPr="00813D19">
        <w:rPr>
          <w:bCs/>
          <w:lang w:val="en-US"/>
        </w:rPr>
        <w:t xml:space="preserve">communities concerned. Hence, the status quo should continue and </w:t>
      </w:r>
      <w:r w:rsidR="00C36385" w:rsidRPr="00813D19">
        <w:rPr>
          <w:bCs/>
          <w:lang w:val="en-US"/>
        </w:rPr>
        <w:t xml:space="preserve">the delegation </w:t>
      </w:r>
      <w:r w:rsidR="00A42540" w:rsidRPr="00813D19">
        <w:rPr>
          <w:bCs/>
          <w:lang w:val="en-US"/>
        </w:rPr>
        <w:t>propose</w:t>
      </w:r>
      <w:r w:rsidR="00C36385" w:rsidRPr="00813D19">
        <w:rPr>
          <w:bCs/>
          <w:lang w:val="en-US"/>
        </w:rPr>
        <w:t>d</w:t>
      </w:r>
      <w:r w:rsidR="00A42540" w:rsidRPr="00813D19">
        <w:rPr>
          <w:bCs/>
          <w:lang w:val="en-US"/>
        </w:rPr>
        <w:t xml:space="preserve"> an amendment to the draft decision. Furthermore, </w:t>
      </w:r>
      <w:r w:rsidR="00C36385" w:rsidRPr="00813D19">
        <w:rPr>
          <w:bCs/>
          <w:lang w:val="en-US"/>
        </w:rPr>
        <w:t xml:space="preserve">it </w:t>
      </w:r>
      <w:r w:rsidR="00A42540" w:rsidRPr="00813D19">
        <w:rPr>
          <w:bCs/>
          <w:lang w:val="en-US"/>
        </w:rPr>
        <w:t xml:space="preserve">also </w:t>
      </w:r>
      <w:r w:rsidR="00C36385" w:rsidRPr="00813D19">
        <w:rPr>
          <w:bCs/>
          <w:lang w:val="en-US"/>
        </w:rPr>
        <w:t>had a comment on the annex</w:t>
      </w:r>
      <w:r w:rsidR="00A42540" w:rsidRPr="00813D19">
        <w:rPr>
          <w:bCs/>
          <w:lang w:val="en-US"/>
        </w:rPr>
        <w:t xml:space="preserve"> with regard to the assistance approved for the Philippines of </w:t>
      </w:r>
      <w:r w:rsidR="00C36385" w:rsidRPr="00813D19">
        <w:rPr>
          <w:bCs/>
          <w:lang w:val="en-US"/>
        </w:rPr>
        <w:t xml:space="preserve">US$7,500, which it </w:t>
      </w:r>
      <w:r w:rsidR="00A42540" w:rsidRPr="00813D19">
        <w:rPr>
          <w:bCs/>
          <w:lang w:val="en-US"/>
        </w:rPr>
        <w:t xml:space="preserve">did not pursue and </w:t>
      </w:r>
      <w:r w:rsidR="00C36385" w:rsidRPr="00813D19">
        <w:rPr>
          <w:bCs/>
          <w:lang w:val="en-US"/>
        </w:rPr>
        <w:t xml:space="preserve">hence </w:t>
      </w:r>
      <w:r w:rsidR="00AE48E7" w:rsidRPr="00813D19">
        <w:rPr>
          <w:bCs/>
          <w:lang w:val="en-US"/>
        </w:rPr>
        <w:t xml:space="preserve">should be </w:t>
      </w:r>
      <w:r w:rsidR="00634D0B">
        <w:rPr>
          <w:bCs/>
          <w:lang w:val="en-US"/>
        </w:rPr>
        <w:t>reflected in the document.</w:t>
      </w:r>
    </w:p>
    <w:p w14:paraId="43E9AD46" w14:textId="19E27AE9" w:rsidR="00B15AE6" w:rsidRPr="00813D19" w:rsidRDefault="00B15AE6" w:rsidP="00B870DF">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Cuba</w:t>
      </w:r>
      <w:r w:rsidR="00A42540" w:rsidRPr="00813D19">
        <w:rPr>
          <w:b/>
          <w:color w:val="000000" w:themeColor="text1"/>
          <w:lang w:val="en-US"/>
        </w:rPr>
        <w:t xml:space="preserve"> </w:t>
      </w:r>
      <w:r w:rsidR="00A42540" w:rsidRPr="00813D19">
        <w:rPr>
          <w:bCs/>
          <w:lang w:val="en-US"/>
        </w:rPr>
        <w:t>thank</w:t>
      </w:r>
      <w:r w:rsidR="001619DE" w:rsidRPr="00813D19">
        <w:rPr>
          <w:bCs/>
          <w:lang w:val="en-US"/>
        </w:rPr>
        <w:t>ed</w:t>
      </w:r>
      <w:r w:rsidR="00A42540" w:rsidRPr="00813D19">
        <w:rPr>
          <w:bCs/>
          <w:lang w:val="en-US"/>
        </w:rPr>
        <w:t xml:space="preserve"> the Secretar</w:t>
      </w:r>
      <w:r w:rsidR="00260804" w:rsidRPr="00813D19">
        <w:rPr>
          <w:bCs/>
          <w:lang w:val="en-US"/>
        </w:rPr>
        <w:t xml:space="preserve">iat for the informative report, adding that </w:t>
      </w:r>
      <w:r w:rsidR="00A42540" w:rsidRPr="00813D19">
        <w:rPr>
          <w:bCs/>
          <w:lang w:val="en-US"/>
        </w:rPr>
        <w:t xml:space="preserve">for the benefit of the implementation of the Convention and because of the shortfall experienced </w:t>
      </w:r>
      <w:r w:rsidR="0073622F">
        <w:rPr>
          <w:bCs/>
          <w:lang w:val="en-US"/>
        </w:rPr>
        <w:t>at one point in</w:t>
      </w:r>
      <w:r w:rsidR="0073622F" w:rsidRPr="00813D19">
        <w:rPr>
          <w:bCs/>
          <w:lang w:val="en-US"/>
        </w:rPr>
        <w:t xml:space="preserve"> </w:t>
      </w:r>
      <w:r w:rsidR="00A42540" w:rsidRPr="00813D19">
        <w:rPr>
          <w:bCs/>
          <w:lang w:val="en-US"/>
        </w:rPr>
        <w:t xml:space="preserve">the Fund, </w:t>
      </w:r>
      <w:r w:rsidR="00260804" w:rsidRPr="00813D19">
        <w:rPr>
          <w:bCs/>
          <w:lang w:val="en-US"/>
        </w:rPr>
        <w:t xml:space="preserve">the time had come </w:t>
      </w:r>
      <w:r w:rsidR="00A42540" w:rsidRPr="00813D19">
        <w:rPr>
          <w:bCs/>
          <w:lang w:val="en-US"/>
        </w:rPr>
        <w:t xml:space="preserve">to reflect further on the whole mechanism. </w:t>
      </w:r>
      <w:r w:rsidR="00260804" w:rsidRPr="00813D19">
        <w:rPr>
          <w:bCs/>
          <w:lang w:val="en-US"/>
        </w:rPr>
        <w:t xml:space="preserve">It shared </w:t>
      </w:r>
      <w:r w:rsidR="00A42540" w:rsidRPr="00813D19">
        <w:rPr>
          <w:bCs/>
          <w:lang w:val="en-US"/>
        </w:rPr>
        <w:t xml:space="preserve">certain concerns </w:t>
      </w:r>
      <w:r w:rsidR="00260804" w:rsidRPr="00813D19">
        <w:rPr>
          <w:bCs/>
          <w:lang w:val="en-US"/>
        </w:rPr>
        <w:t xml:space="preserve">voiced by the Philippines and that </w:t>
      </w:r>
      <w:r w:rsidR="005B50AE" w:rsidRPr="00813D19">
        <w:rPr>
          <w:bCs/>
          <w:lang w:val="en-US"/>
        </w:rPr>
        <w:t>indeed every</w:t>
      </w:r>
      <w:r w:rsidR="00260804" w:rsidRPr="00813D19">
        <w:rPr>
          <w:bCs/>
          <w:lang w:val="en-US"/>
        </w:rPr>
        <w:t xml:space="preserve"> country </w:t>
      </w:r>
      <w:r w:rsidR="0073622F" w:rsidRPr="00813D19">
        <w:rPr>
          <w:bCs/>
          <w:lang w:val="en-US"/>
        </w:rPr>
        <w:t>ha</w:t>
      </w:r>
      <w:r w:rsidR="0073622F">
        <w:rPr>
          <w:bCs/>
          <w:lang w:val="en-US"/>
        </w:rPr>
        <w:t>d</w:t>
      </w:r>
      <w:r w:rsidR="0073622F" w:rsidRPr="00813D19">
        <w:rPr>
          <w:bCs/>
          <w:lang w:val="en-US"/>
        </w:rPr>
        <w:t xml:space="preserve"> </w:t>
      </w:r>
      <w:r w:rsidR="00A42540" w:rsidRPr="00813D19">
        <w:rPr>
          <w:bCs/>
          <w:lang w:val="en-US"/>
        </w:rPr>
        <w:t>its own specificities</w:t>
      </w:r>
      <w:r w:rsidR="00260804" w:rsidRPr="00813D19">
        <w:rPr>
          <w:bCs/>
          <w:lang w:val="en-US"/>
        </w:rPr>
        <w:t xml:space="preserve"> and should </w:t>
      </w:r>
      <w:r w:rsidR="005B50AE" w:rsidRPr="00813D19">
        <w:rPr>
          <w:bCs/>
          <w:lang w:val="en-US"/>
        </w:rPr>
        <w:t xml:space="preserve">thus </w:t>
      </w:r>
      <w:r w:rsidR="00260804" w:rsidRPr="00813D19">
        <w:rPr>
          <w:bCs/>
          <w:lang w:val="en-US"/>
        </w:rPr>
        <w:t>be examined on a case-by-case</w:t>
      </w:r>
      <w:r w:rsidR="0073622F">
        <w:rPr>
          <w:bCs/>
          <w:lang w:val="en-US"/>
        </w:rPr>
        <w:t xml:space="preserve"> basis</w:t>
      </w:r>
      <w:r w:rsidR="00C66017" w:rsidRPr="00813D19">
        <w:rPr>
          <w:bCs/>
          <w:lang w:val="en-US"/>
        </w:rPr>
        <w:t xml:space="preserve">, </w:t>
      </w:r>
      <w:r w:rsidR="0073622F">
        <w:rPr>
          <w:bCs/>
          <w:lang w:val="en-US"/>
        </w:rPr>
        <w:t xml:space="preserve">but it suggested looking at what </w:t>
      </w:r>
      <w:r w:rsidR="0073622F" w:rsidRPr="007312D4">
        <w:rPr>
          <w:bCs/>
          <w:lang w:val="en-US"/>
        </w:rPr>
        <w:t>happened with other Conventions, for example</w:t>
      </w:r>
      <w:r w:rsidR="00C66017" w:rsidRPr="003221D5">
        <w:rPr>
          <w:bCs/>
          <w:lang w:val="en-US"/>
        </w:rPr>
        <w:t xml:space="preserve"> in the case of cultural diversity</w:t>
      </w:r>
      <w:r w:rsidR="00C66017" w:rsidRPr="00813D19">
        <w:rPr>
          <w:bCs/>
          <w:lang w:val="en-US"/>
        </w:rPr>
        <w:t xml:space="preserve">. </w:t>
      </w:r>
      <w:r w:rsidR="00260804" w:rsidRPr="00813D19">
        <w:rPr>
          <w:bCs/>
          <w:lang w:val="en-US"/>
        </w:rPr>
        <w:t xml:space="preserve">The delegation thus cautioned against the idea of limits, </w:t>
      </w:r>
      <w:r w:rsidR="005B50AE" w:rsidRPr="00813D19">
        <w:rPr>
          <w:bCs/>
          <w:lang w:val="en-US"/>
        </w:rPr>
        <w:t xml:space="preserve">but </w:t>
      </w:r>
      <w:r w:rsidR="00260804" w:rsidRPr="00813D19">
        <w:rPr>
          <w:bCs/>
          <w:lang w:val="en-US"/>
        </w:rPr>
        <w:t xml:space="preserve">instead </w:t>
      </w:r>
      <w:r w:rsidR="005B50AE" w:rsidRPr="00813D19">
        <w:rPr>
          <w:bCs/>
          <w:lang w:val="en-US"/>
        </w:rPr>
        <w:t xml:space="preserve">look </w:t>
      </w:r>
      <w:r w:rsidR="00260804" w:rsidRPr="00813D19">
        <w:rPr>
          <w:bCs/>
          <w:lang w:val="en-US"/>
        </w:rPr>
        <w:t>towards</w:t>
      </w:r>
      <w:r w:rsidR="005B50AE" w:rsidRPr="00813D19">
        <w:rPr>
          <w:bCs/>
          <w:lang w:val="en-US"/>
        </w:rPr>
        <w:t xml:space="preserve"> other C</w:t>
      </w:r>
      <w:r w:rsidR="00C66017" w:rsidRPr="00813D19">
        <w:rPr>
          <w:bCs/>
          <w:lang w:val="en-US"/>
        </w:rPr>
        <w:t xml:space="preserve">onventions and </w:t>
      </w:r>
      <w:r w:rsidR="00A42540" w:rsidRPr="00813D19">
        <w:rPr>
          <w:bCs/>
          <w:lang w:val="en-US"/>
        </w:rPr>
        <w:t xml:space="preserve">different bodies. </w:t>
      </w:r>
      <w:r w:rsidR="00C66017" w:rsidRPr="00813D19">
        <w:rPr>
          <w:bCs/>
          <w:lang w:val="en-US"/>
        </w:rPr>
        <w:t xml:space="preserve">In addition, cases should be viewed </w:t>
      </w:r>
      <w:r w:rsidR="005B50AE" w:rsidRPr="00813D19">
        <w:rPr>
          <w:bCs/>
          <w:lang w:val="en-US"/>
        </w:rPr>
        <w:t xml:space="preserve">with regard to the situation </w:t>
      </w:r>
      <w:r w:rsidR="00C66017" w:rsidRPr="00813D19">
        <w:rPr>
          <w:bCs/>
          <w:lang w:val="en-US"/>
        </w:rPr>
        <w:t xml:space="preserve">on </w:t>
      </w:r>
      <w:r w:rsidR="00A42540" w:rsidRPr="00813D19">
        <w:rPr>
          <w:bCs/>
          <w:lang w:val="en-US"/>
        </w:rPr>
        <w:t>the ground with the communities involved</w:t>
      </w:r>
      <w:r w:rsidR="00C66017" w:rsidRPr="00813D19">
        <w:rPr>
          <w:bCs/>
          <w:lang w:val="en-US"/>
        </w:rPr>
        <w:t>,</w:t>
      </w:r>
      <w:r w:rsidR="00A42540" w:rsidRPr="00813D19">
        <w:rPr>
          <w:bCs/>
          <w:lang w:val="en-US"/>
        </w:rPr>
        <w:t xml:space="preserve"> </w:t>
      </w:r>
      <w:r w:rsidR="00C66017" w:rsidRPr="00813D19">
        <w:rPr>
          <w:bCs/>
          <w:lang w:val="en-US"/>
        </w:rPr>
        <w:t xml:space="preserve">as </w:t>
      </w:r>
      <w:r w:rsidR="00A42540" w:rsidRPr="00813D19">
        <w:rPr>
          <w:bCs/>
          <w:lang w:val="en-US"/>
        </w:rPr>
        <w:t xml:space="preserve">one project </w:t>
      </w:r>
      <w:r w:rsidR="00C66017" w:rsidRPr="00813D19">
        <w:rPr>
          <w:bCs/>
          <w:lang w:val="en-US"/>
        </w:rPr>
        <w:t xml:space="preserve">might benefit </w:t>
      </w:r>
      <w:r w:rsidR="00A42540" w:rsidRPr="00813D19">
        <w:rPr>
          <w:bCs/>
          <w:lang w:val="en-US"/>
        </w:rPr>
        <w:t xml:space="preserve">one group of people </w:t>
      </w:r>
      <w:r w:rsidR="00C66017" w:rsidRPr="00813D19">
        <w:rPr>
          <w:bCs/>
          <w:lang w:val="en-US"/>
        </w:rPr>
        <w:t xml:space="preserve">but </w:t>
      </w:r>
      <w:r w:rsidR="00A42540" w:rsidRPr="00813D19">
        <w:rPr>
          <w:bCs/>
          <w:lang w:val="en-US"/>
        </w:rPr>
        <w:t>might not actually h</w:t>
      </w:r>
      <w:r w:rsidR="00C66017" w:rsidRPr="00813D19">
        <w:rPr>
          <w:bCs/>
          <w:lang w:val="en-US"/>
        </w:rPr>
        <w:t>ave an</w:t>
      </w:r>
      <w:r w:rsidR="00A42540" w:rsidRPr="00813D19">
        <w:rPr>
          <w:bCs/>
          <w:lang w:val="en-US"/>
        </w:rPr>
        <w:t xml:space="preserve"> impact on a diverse group elsewhere in the country. </w:t>
      </w:r>
      <w:r w:rsidR="00C66017" w:rsidRPr="00813D19">
        <w:rPr>
          <w:bCs/>
          <w:lang w:val="en-US"/>
        </w:rPr>
        <w:t xml:space="preserve">Thus, </w:t>
      </w:r>
      <w:r w:rsidR="00A42540" w:rsidRPr="00813D19">
        <w:rPr>
          <w:bCs/>
          <w:lang w:val="en-US"/>
        </w:rPr>
        <w:t xml:space="preserve">before looking </w:t>
      </w:r>
      <w:r w:rsidR="00C66017" w:rsidRPr="00813D19">
        <w:rPr>
          <w:bCs/>
          <w:lang w:val="en-US"/>
        </w:rPr>
        <w:t xml:space="preserve">into </w:t>
      </w:r>
      <w:r w:rsidR="00A42540" w:rsidRPr="00813D19">
        <w:rPr>
          <w:bCs/>
          <w:lang w:val="en-US"/>
        </w:rPr>
        <w:t>limits</w:t>
      </w:r>
      <w:r w:rsidR="00C66017" w:rsidRPr="00813D19">
        <w:rPr>
          <w:bCs/>
          <w:lang w:val="en-US"/>
        </w:rPr>
        <w:t>,</w:t>
      </w:r>
      <w:r w:rsidR="00A42540" w:rsidRPr="00813D19">
        <w:rPr>
          <w:bCs/>
          <w:lang w:val="en-US"/>
        </w:rPr>
        <w:t xml:space="preserve"> </w:t>
      </w:r>
      <w:r w:rsidR="00C66017" w:rsidRPr="00813D19">
        <w:rPr>
          <w:bCs/>
          <w:lang w:val="en-US"/>
        </w:rPr>
        <w:t xml:space="preserve">it was first important </w:t>
      </w:r>
      <w:r w:rsidR="00A42540" w:rsidRPr="00813D19">
        <w:rPr>
          <w:bCs/>
          <w:lang w:val="en-US"/>
        </w:rPr>
        <w:t xml:space="preserve">to </w:t>
      </w:r>
      <w:r w:rsidR="00C66017" w:rsidRPr="00813D19">
        <w:rPr>
          <w:bCs/>
          <w:lang w:val="en-US"/>
        </w:rPr>
        <w:t xml:space="preserve">maintain </w:t>
      </w:r>
      <w:r w:rsidR="00A42540" w:rsidRPr="00813D19">
        <w:rPr>
          <w:bCs/>
          <w:lang w:val="en-US"/>
        </w:rPr>
        <w:t>a balance across the whole of the Inte</w:t>
      </w:r>
      <w:r w:rsidR="00C66017" w:rsidRPr="00813D19">
        <w:rPr>
          <w:bCs/>
          <w:lang w:val="en-US"/>
        </w:rPr>
        <w:t>rnational Assistance mechanism so as to protect</w:t>
      </w:r>
      <w:r w:rsidR="00A42540" w:rsidRPr="00813D19">
        <w:rPr>
          <w:bCs/>
          <w:lang w:val="en-US"/>
        </w:rPr>
        <w:t xml:space="preserve"> the enshrined priorities and princ</w:t>
      </w:r>
      <w:r w:rsidR="00634D0B">
        <w:rPr>
          <w:bCs/>
          <w:lang w:val="en-US"/>
        </w:rPr>
        <w:t>iples of the Convention itself.</w:t>
      </w:r>
    </w:p>
    <w:p w14:paraId="615418E7" w14:textId="12380AD7" w:rsidR="003E7265" w:rsidRPr="00813D19" w:rsidRDefault="003E7265" w:rsidP="006D219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Azerbaijan</w:t>
      </w:r>
      <w:r w:rsidR="00A42540" w:rsidRPr="00813D19">
        <w:rPr>
          <w:b/>
          <w:color w:val="000000" w:themeColor="text1"/>
          <w:lang w:val="en-US"/>
        </w:rPr>
        <w:t xml:space="preserve"> </w:t>
      </w:r>
      <w:r w:rsidR="001619DE" w:rsidRPr="00813D19">
        <w:rPr>
          <w:bCs/>
          <w:lang w:val="en-US"/>
        </w:rPr>
        <w:t>commended</w:t>
      </w:r>
      <w:r w:rsidR="00A42540" w:rsidRPr="00813D19">
        <w:rPr>
          <w:bCs/>
          <w:lang w:val="en-US"/>
        </w:rPr>
        <w:t xml:space="preserve"> the Secretariat for the outstanding work in preparing document 12. The detail</w:t>
      </w:r>
      <w:r w:rsidR="00692D39" w:rsidRPr="00813D19">
        <w:rPr>
          <w:bCs/>
          <w:lang w:val="en-US"/>
        </w:rPr>
        <w:t xml:space="preserve">ed explanation of the situation, </w:t>
      </w:r>
      <w:r w:rsidR="00A42540" w:rsidRPr="00813D19">
        <w:rPr>
          <w:bCs/>
          <w:lang w:val="en-US"/>
        </w:rPr>
        <w:t xml:space="preserve">the dates and </w:t>
      </w:r>
      <w:r w:rsidR="00692D39" w:rsidRPr="00813D19">
        <w:rPr>
          <w:bCs/>
          <w:lang w:val="en-US"/>
        </w:rPr>
        <w:t xml:space="preserve">the </w:t>
      </w:r>
      <w:r w:rsidR="00A42540" w:rsidRPr="00813D19">
        <w:rPr>
          <w:bCs/>
          <w:lang w:val="en-US"/>
        </w:rPr>
        <w:t xml:space="preserve">statistics provided on the International Assistance submitted and approved so far </w:t>
      </w:r>
      <w:r w:rsidR="00692D39" w:rsidRPr="00813D19">
        <w:rPr>
          <w:bCs/>
          <w:lang w:val="en-US"/>
        </w:rPr>
        <w:t xml:space="preserve">were </w:t>
      </w:r>
      <w:r w:rsidR="00A42540" w:rsidRPr="00813D19">
        <w:rPr>
          <w:bCs/>
          <w:lang w:val="en-US"/>
        </w:rPr>
        <w:t xml:space="preserve">valuable. </w:t>
      </w:r>
      <w:r w:rsidR="00692D39" w:rsidRPr="00813D19">
        <w:rPr>
          <w:bCs/>
          <w:lang w:val="en-US"/>
        </w:rPr>
        <w:t xml:space="preserve">The </w:t>
      </w:r>
      <w:r w:rsidR="00A42540" w:rsidRPr="00813D19">
        <w:rPr>
          <w:bCs/>
          <w:lang w:val="en-US"/>
        </w:rPr>
        <w:t xml:space="preserve">delegation </w:t>
      </w:r>
      <w:r w:rsidR="00692D39" w:rsidRPr="00813D19">
        <w:rPr>
          <w:bCs/>
          <w:lang w:val="en-US"/>
        </w:rPr>
        <w:t>looked</w:t>
      </w:r>
      <w:r w:rsidR="00A42540" w:rsidRPr="00813D19">
        <w:rPr>
          <w:bCs/>
          <w:lang w:val="en-US"/>
        </w:rPr>
        <w:t xml:space="preserve"> forward to seeing the information on submitted and approved International Assistance available on the website of the Convention. Multiple submissions in absence of limits for requests of International Assistance </w:t>
      </w:r>
      <w:r w:rsidR="00692D39" w:rsidRPr="00813D19">
        <w:rPr>
          <w:bCs/>
          <w:lang w:val="en-US"/>
        </w:rPr>
        <w:t xml:space="preserve">had </w:t>
      </w:r>
      <w:r w:rsidR="00A42540" w:rsidRPr="00813D19">
        <w:rPr>
          <w:bCs/>
          <w:lang w:val="en-US"/>
        </w:rPr>
        <w:t>obviously become an issue with the experience gained so far since the increase</w:t>
      </w:r>
      <w:r w:rsidR="005B50AE" w:rsidRPr="00813D19">
        <w:rPr>
          <w:bCs/>
          <w:lang w:val="en-US"/>
        </w:rPr>
        <w:t>d</w:t>
      </w:r>
      <w:r w:rsidR="00A42540" w:rsidRPr="00813D19">
        <w:rPr>
          <w:bCs/>
          <w:lang w:val="en-US"/>
        </w:rPr>
        <w:t xml:space="preserve"> ceiling that can be approved by the Bureau. </w:t>
      </w:r>
      <w:r w:rsidR="00692D39" w:rsidRPr="00813D19">
        <w:rPr>
          <w:bCs/>
          <w:lang w:val="en-US"/>
        </w:rPr>
        <w:t>The delegation had</w:t>
      </w:r>
      <w:r w:rsidR="00A42540" w:rsidRPr="00813D19">
        <w:rPr>
          <w:bCs/>
          <w:lang w:val="en-US"/>
        </w:rPr>
        <w:t xml:space="preserve"> taken note of the proposals by the Secretariat in terms of different considerations that c</w:t>
      </w:r>
      <w:r w:rsidR="00721356">
        <w:rPr>
          <w:bCs/>
          <w:lang w:val="en-US"/>
        </w:rPr>
        <w:t>ould</w:t>
      </w:r>
      <w:r w:rsidR="00A42540" w:rsidRPr="00813D19">
        <w:rPr>
          <w:bCs/>
          <w:lang w:val="en-US"/>
        </w:rPr>
        <w:t xml:space="preserve"> be given to the issue. </w:t>
      </w:r>
      <w:r w:rsidR="00692D39" w:rsidRPr="00813D19">
        <w:rPr>
          <w:bCs/>
          <w:lang w:val="en-US"/>
        </w:rPr>
        <w:t xml:space="preserve">It </w:t>
      </w:r>
      <w:r w:rsidR="00A42540" w:rsidRPr="00813D19">
        <w:rPr>
          <w:bCs/>
          <w:lang w:val="en-US"/>
        </w:rPr>
        <w:t>believe</w:t>
      </w:r>
      <w:r w:rsidR="00692D39" w:rsidRPr="00813D19">
        <w:rPr>
          <w:bCs/>
          <w:lang w:val="en-US"/>
        </w:rPr>
        <w:t>d</w:t>
      </w:r>
      <w:r w:rsidR="00A42540" w:rsidRPr="00813D19">
        <w:rPr>
          <w:bCs/>
          <w:lang w:val="en-US"/>
        </w:rPr>
        <w:t xml:space="preserve"> that it </w:t>
      </w:r>
      <w:r w:rsidR="00692D39" w:rsidRPr="00813D19">
        <w:rPr>
          <w:bCs/>
          <w:lang w:val="en-US"/>
        </w:rPr>
        <w:t xml:space="preserve">was </w:t>
      </w:r>
      <w:r w:rsidR="00A42540" w:rsidRPr="00813D19">
        <w:rPr>
          <w:bCs/>
          <w:lang w:val="en-US"/>
        </w:rPr>
        <w:t xml:space="preserve">important to take into account whether or not International Assistance proposals </w:t>
      </w:r>
      <w:r w:rsidR="00692D39" w:rsidRPr="00813D19">
        <w:rPr>
          <w:bCs/>
          <w:lang w:val="en-US"/>
        </w:rPr>
        <w:t xml:space="preserve">were </w:t>
      </w:r>
      <w:r w:rsidR="00A42540" w:rsidRPr="00813D19">
        <w:rPr>
          <w:bCs/>
          <w:lang w:val="en-US"/>
        </w:rPr>
        <w:t xml:space="preserve">submitted by the same institution within the country whose communities and institutions vary a lot from one country to another. </w:t>
      </w:r>
      <w:r w:rsidR="00692D39" w:rsidRPr="00813D19">
        <w:rPr>
          <w:bCs/>
          <w:lang w:val="en-US"/>
        </w:rPr>
        <w:t xml:space="preserve">The delegation </w:t>
      </w:r>
      <w:r w:rsidR="00A42540" w:rsidRPr="00813D19">
        <w:rPr>
          <w:bCs/>
          <w:lang w:val="en-US"/>
        </w:rPr>
        <w:t>also believe</w:t>
      </w:r>
      <w:r w:rsidR="00692D39" w:rsidRPr="00813D19">
        <w:rPr>
          <w:bCs/>
          <w:lang w:val="en-US"/>
        </w:rPr>
        <w:t>d</w:t>
      </w:r>
      <w:r w:rsidR="00A42540" w:rsidRPr="00813D19">
        <w:rPr>
          <w:bCs/>
          <w:lang w:val="en-US"/>
        </w:rPr>
        <w:t xml:space="preserve"> that flexibility in terms of limits should be </w:t>
      </w:r>
      <w:r w:rsidR="00692D39" w:rsidRPr="00813D19">
        <w:rPr>
          <w:bCs/>
          <w:lang w:val="en-US"/>
        </w:rPr>
        <w:t xml:space="preserve">permitted to allow </w:t>
      </w:r>
      <w:r w:rsidR="00A42540" w:rsidRPr="00813D19">
        <w:rPr>
          <w:bCs/>
          <w:lang w:val="en-US"/>
        </w:rPr>
        <w:t>emergency assistance requests</w:t>
      </w:r>
      <w:r w:rsidR="005B50AE" w:rsidRPr="00813D19">
        <w:rPr>
          <w:bCs/>
          <w:lang w:val="en-US"/>
        </w:rPr>
        <w:t>,</w:t>
      </w:r>
      <w:r w:rsidR="00A42540" w:rsidRPr="00813D19">
        <w:rPr>
          <w:bCs/>
          <w:lang w:val="en-US"/>
        </w:rPr>
        <w:t xml:space="preserve"> and </w:t>
      </w:r>
      <w:r w:rsidR="00692D39" w:rsidRPr="00813D19">
        <w:rPr>
          <w:bCs/>
          <w:lang w:val="en-US"/>
        </w:rPr>
        <w:t>it was pleased to see that this had</w:t>
      </w:r>
      <w:r w:rsidR="00A42540" w:rsidRPr="00813D19">
        <w:rPr>
          <w:bCs/>
          <w:lang w:val="en-US"/>
        </w:rPr>
        <w:t xml:space="preserve"> been reflected in the draft decision. Finally, </w:t>
      </w:r>
      <w:r w:rsidR="00692D39" w:rsidRPr="00813D19">
        <w:rPr>
          <w:bCs/>
          <w:lang w:val="en-US"/>
        </w:rPr>
        <w:t xml:space="preserve">it was </w:t>
      </w:r>
      <w:r w:rsidR="00A42540" w:rsidRPr="00813D19">
        <w:rPr>
          <w:bCs/>
          <w:lang w:val="en-US"/>
        </w:rPr>
        <w:t>also very much in favo</w:t>
      </w:r>
      <w:r w:rsidR="00C64B11">
        <w:rPr>
          <w:bCs/>
          <w:lang w:val="en-US"/>
        </w:rPr>
        <w:t>u</w:t>
      </w:r>
      <w:r w:rsidR="00A42540" w:rsidRPr="00813D19">
        <w:rPr>
          <w:bCs/>
          <w:lang w:val="en-US"/>
        </w:rPr>
        <w:t xml:space="preserve">r </w:t>
      </w:r>
      <w:r w:rsidR="00692D39" w:rsidRPr="00813D19">
        <w:rPr>
          <w:bCs/>
          <w:lang w:val="en-US"/>
        </w:rPr>
        <w:t xml:space="preserve">of </w:t>
      </w:r>
      <w:r w:rsidR="00A42540" w:rsidRPr="00813D19">
        <w:rPr>
          <w:bCs/>
          <w:lang w:val="en-US"/>
        </w:rPr>
        <w:t xml:space="preserve">knowing </w:t>
      </w:r>
      <w:r w:rsidR="00692D39" w:rsidRPr="00813D19">
        <w:rPr>
          <w:bCs/>
          <w:lang w:val="en-US"/>
        </w:rPr>
        <w:t xml:space="preserve">more about </w:t>
      </w:r>
      <w:r w:rsidR="00520C61" w:rsidRPr="00813D19">
        <w:rPr>
          <w:bCs/>
          <w:lang w:val="en-US"/>
        </w:rPr>
        <w:t xml:space="preserve">the </w:t>
      </w:r>
      <w:r w:rsidR="00A42540" w:rsidRPr="00813D19">
        <w:rPr>
          <w:bCs/>
          <w:lang w:val="en-US"/>
        </w:rPr>
        <w:t xml:space="preserve">motivations and contexts of the countries that </w:t>
      </w:r>
      <w:r w:rsidR="00692D39" w:rsidRPr="00813D19">
        <w:rPr>
          <w:bCs/>
          <w:lang w:val="en-US"/>
        </w:rPr>
        <w:t xml:space="preserve">had submitted </w:t>
      </w:r>
      <w:r w:rsidR="00A42540" w:rsidRPr="00813D19">
        <w:rPr>
          <w:bCs/>
          <w:lang w:val="en-US"/>
        </w:rPr>
        <w:t xml:space="preserve">multiple successive </w:t>
      </w:r>
      <w:r w:rsidR="00692D39" w:rsidRPr="00813D19">
        <w:rPr>
          <w:bCs/>
          <w:lang w:val="en-US"/>
        </w:rPr>
        <w:t xml:space="preserve">requests </w:t>
      </w:r>
      <w:r w:rsidR="00A42540" w:rsidRPr="00813D19">
        <w:rPr>
          <w:bCs/>
          <w:lang w:val="en-US"/>
        </w:rPr>
        <w:t>within one year</w:t>
      </w:r>
      <w:r w:rsidR="00692D39" w:rsidRPr="00813D19">
        <w:rPr>
          <w:bCs/>
          <w:lang w:val="en-US"/>
        </w:rPr>
        <w:t>,</w:t>
      </w:r>
      <w:r w:rsidR="00A42540" w:rsidRPr="00813D19">
        <w:rPr>
          <w:bCs/>
          <w:lang w:val="en-US"/>
        </w:rPr>
        <w:t xml:space="preserve"> and </w:t>
      </w:r>
      <w:r w:rsidR="00692D39" w:rsidRPr="00813D19">
        <w:rPr>
          <w:bCs/>
          <w:lang w:val="en-US"/>
        </w:rPr>
        <w:t>it wondered</w:t>
      </w:r>
      <w:r w:rsidR="00A42540" w:rsidRPr="00813D19">
        <w:rPr>
          <w:bCs/>
          <w:lang w:val="en-US"/>
        </w:rPr>
        <w:t xml:space="preserve"> </w:t>
      </w:r>
      <w:r w:rsidR="00692D39" w:rsidRPr="00813D19">
        <w:rPr>
          <w:bCs/>
          <w:lang w:val="en-US"/>
        </w:rPr>
        <w:t xml:space="preserve">whether </w:t>
      </w:r>
      <w:r w:rsidR="00A42540" w:rsidRPr="00813D19">
        <w:rPr>
          <w:bCs/>
          <w:lang w:val="en-US"/>
        </w:rPr>
        <w:t xml:space="preserve">the Secretariat </w:t>
      </w:r>
      <w:r w:rsidR="00692D39" w:rsidRPr="00813D19">
        <w:rPr>
          <w:bCs/>
          <w:lang w:val="en-US"/>
        </w:rPr>
        <w:t xml:space="preserve">had </w:t>
      </w:r>
      <w:r w:rsidR="00A42540" w:rsidRPr="00813D19">
        <w:rPr>
          <w:bCs/>
          <w:lang w:val="en-US"/>
        </w:rPr>
        <w:t xml:space="preserve">approached these countries to better understand the reasons, contexts and roles of </w:t>
      </w:r>
      <w:r w:rsidR="00692D39" w:rsidRPr="00813D19">
        <w:rPr>
          <w:bCs/>
          <w:lang w:val="en-US"/>
        </w:rPr>
        <w:t xml:space="preserve">the </w:t>
      </w:r>
      <w:r w:rsidR="00A42540" w:rsidRPr="00813D19">
        <w:rPr>
          <w:bCs/>
          <w:lang w:val="en-US"/>
        </w:rPr>
        <w:t xml:space="preserve">different stakeholders involved in the submission and implementation of the </w:t>
      </w:r>
      <w:r w:rsidR="00692D39" w:rsidRPr="00813D19">
        <w:rPr>
          <w:bCs/>
          <w:lang w:val="en-US"/>
        </w:rPr>
        <w:t xml:space="preserve">requests. The delegation </w:t>
      </w:r>
      <w:r w:rsidR="00A42540" w:rsidRPr="00813D19">
        <w:rPr>
          <w:bCs/>
          <w:lang w:val="en-US"/>
        </w:rPr>
        <w:t>believe</w:t>
      </w:r>
      <w:r w:rsidR="00692D39" w:rsidRPr="00813D19">
        <w:rPr>
          <w:bCs/>
          <w:lang w:val="en-US"/>
        </w:rPr>
        <w:t>d</w:t>
      </w:r>
      <w:r w:rsidR="00A42540" w:rsidRPr="00813D19">
        <w:rPr>
          <w:bCs/>
          <w:lang w:val="en-US"/>
        </w:rPr>
        <w:t xml:space="preserve"> it </w:t>
      </w:r>
      <w:r w:rsidR="00692D39" w:rsidRPr="00813D19">
        <w:rPr>
          <w:bCs/>
          <w:lang w:val="en-US"/>
        </w:rPr>
        <w:t xml:space="preserve">was </w:t>
      </w:r>
      <w:r w:rsidR="00A42540" w:rsidRPr="00813D19">
        <w:rPr>
          <w:bCs/>
          <w:lang w:val="en-US"/>
        </w:rPr>
        <w:t>important to be aware of the contexts of multiple submissions in that sense</w:t>
      </w:r>
      <w:r w:rsidR="00692D39" w:rsidRPr="00813D19">
        <w:rPr>
          <w:bCs/>
          <w:lang w:val="en-US"/>
        </w:rPr>
        <w:t>,</w:t>
      </w:r>
      <w:r w:rsidR="00A42540" w:rsidRPr="00813D19">
        <w:rPr>
          <w:bCs/>
          <w:lang w:val="en-US"/>
        </w:rPr>
        <w:t xml:space="preserve"> and ask</w:t>
      </w:r>
      <w:r w:rsidR="00692D39" w:rsidRPr="00813D19">
        <w:rPr>
          <w:bCs/>
          <w:lang w:val="en-US"/>
        </w:rPr>
        <w:t>ed</w:t>
      </w:r>
      <w:r w:rsidR="00A42540" w:rsidRPr="00813D19">
        <w:rPr>
          <w:bCs/>
          <w:lang w:val="en-US"/>
        </w:rPr>
        <w:t xml:space="preserve"> the Secretariat to include this information in the next Committ</w:t>
      </w:r>
      <w:r w:rsidR="00634D0B">
        <w:rPr>
          <w:bCs/>
          <w:lang w:val="en-US"/>
        </w:rPr>
        <w:t>ee’s document on this question.</w:t>
      </w:r>
    </w:p>
    <w:p w14:paraId="79537B24" w14:textId="7B49BFF2" w:rsidR="00C3195B" w:rsidRPr="00813D19" w:rsidRDefault="00C3195B" w:rsidP="006D219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692D39" w:rsidRPr="00813D19">
        <w:rPr>
          <w:color w:val="000000" w:themeColor="text1"/>
          <w:lang w:val="en-US"/>
        </w:rPr>
        <w:t>noted</w:t>
      </w:r>
      <w:r w:rsidR="00692D39" w:rsidRPr="00813D19">
        <w:rPr>
          <w:b/>
          <w:color w:val="000000" w:themeColor="text1"/>
          <w:lang w:val="en-US"/>
        </w:rPr>
        <w:t xml:space="preserve"> </w:t>
      </w:r>
      <w:r w:rsidR="00520C61" w:rsidRPr="00813D19">
        <w:rPr>
          <w:color w:val="000000" w:themeColor="text1"/>
          <w:lang w:val="en-US"/>
        </w:rPr>
        <w:t>the</w:t>
      </w:r>
      <w:r w:rsidR="00520C61" w:rsidRPr="00813D19">
        <w:rPr>
          <w:b/>
          <w:color w:val="000000" w:themeColor="text1"/>
          <w:lang w:val="en-US"/>
        </w:rPr>
        <w:t xml:space="preserve"> </w:t>
      </w:r>
      <w:r w:rsidR="00520C61" w:rsidRPr="00813D19">
        <w:rPr>
          <w:bCs/>
          <w:lang w:val="en-US"/>
        </w:rPr>
        <w:t>specific question</w:t>
      </w:r>
      <w:r w:rsidR="00A42540" w:rsidRPr="00813D19">
        <w:rPr>
          <w:bCs/>
          <w:lang w:val="en-US"/>
        </w:rPr>
        <w:t xml:space="preserve"> and broader questions about process. The specific question </w:t>
      </w:r>
      <w:r w:rsidR="00692D39" w:rsidRPr="00813D19">
        <w:rPr>
          <w:bCs/>
          <w:lang w:val="en-US"/>
        </w:rPr>
        <w:t>related to differentiating</w:t>
      </w:r>
      <w:r w:rsidR="00A42540" w:rsidRPr="00813D19">
        <w:rPr>
          <w:bCs/>
          <w:lang w:val="en-US"/>
        </w:rPr>
        <w:t xml:space="preserve"> the number of requests and the amount </w:t>
      </w:r>
      <w:r w:rsidR="00692D39" w:rsidRPr="00813D19">
        <w:rPr>
          <w:bCs/>
          <w:lang w:val="en-US"/>
        </w:rPr>
        <w:t>requested,</w:t>
      </w:r>
      <w:r w:rsidR="00A42540" w:rsidRPr="00813D19">
        <w:rPr>
          <w:bCs/>
          <w:lang w:val="en-US"/>
        </w:rPr>
        <w:t xml:space="preserve"> </w:t>
      </w:r>
      <w:r w:rsidR="00692D39" w:rsidRPr="00813D19">
        <w:rPr>
          <w:bCs/>
          <w:lang w:val="en-US"/>
        </w:rPr>
        <w:t xml:space="preserve">as </w:t>
      </w:r>
      <w:r w:rsidR="00A42540" w:rsidRPr="00813D19">
        <w:rPr>
          <w:bCs/>
          <w:lang w:val="en-US"/>
        </w:rPr>
        <w:t xml:space="preserve">not all requests </w:t>
      </w:r>
      <w:r w:rsidR="00692D39" w:rsidRPr="00813D19">
        <w:rPr>
          <w:bCs/>
          <w:lang w:val="en-US"/>
        </w:rPr>
        <w:t xml:space="preserve">were </w:t>
      </w:r>
      <w:r w:rsidR="00A42540" w:rsidRPr="00813D19">
        <w:rPr>
          <w:bCs/>
          <w:lang w:val="en-US"/>
        </w:rPr>
        <w:t xml:space="preserve">at </w:t>
      </w:r>
      <w:r w:rsidR="00692D39" w:rsidRPr="00813D19">
        <w:rPr>
          <w:bCs/>
          <w:lang w:val="en-US"/>
        </w:rPr>
        <w:t>US</w:t>
      </w:r>
      <w:r w:rsidR="00A42540" w:rsidRPr="00813D19">
        <w:rPr>
          <w:bCs/>
          <w:lang w:val="en-US"/>
        </w:rPr>
        <w:t xml:space="preserve">$100,000. The </w:t>
      </w:r>
      <w:r w:rsidR="00692D39" w:rsidRPr="00813D19">
        <w:rPr>
          <w:bCs/>
          <w:lang w:val="en-US"/>
        </w:rPr>
        <w:t xml:space="preserve">Secretary </w:t>
      </w:r>
      <w:r w:rsidR="00721356">
        <w:rPr>
          <w:bCs/>
          <w:lang w:val="en-US"/>
        </w:rPr>
        <w:t xml:space="preserve">had </w:t>
      </w:r>
      <w:r w:rsidR="00A42540" w:rsidRPr="00813D19">
        <w:rPr>
          <w:bCs/>
          <w:lang w:val="en-US"/>
        </w:rPr>
        <w:t>hear</w:t>
      </w:r>
      <w:r w:rsidR="00692D39" w:rsidRPr="00813D19">
        <w:rPr>
          <w:bCs/>
          <w:lang w:val="en-US"/>
        </w:rPr>
        <w:t>d</w:t>
      </w:r>
      <w:r w:rsidR="00A42540" w:rsidRPr="00813D19">
        <w:rPr>
          <w:bCs/>
          <w:lang w:val="en-US"/>
        </w:rPr>
        <w:t xml:space="preserve"> a number of comments that </w:t>
      </w:r>
      <w:r w:rsidR="00692D39" w:rsidRPr="00813D19">
        <w:rPr>
          <w:bCs/>
          <w:lang w:val="en-US"/>
        </w:rPr>
        <w:t xml:space="preserve">it was perhaps </w:t>
      </w:r>
      <w:r w:rsidR="00A42540" w:rsidRPr="00813D19">
        <w:rPr>
          <w:bCs/>
          <w:lang w:val="en-US"/>
        </w:rPr>
        <w:t xml:space="preserve">not the time to </w:t>
      </w:r>
      <w:r w:rsidR="00692D39" w:rsidRPr="00813D19">
        <w:rPr>
          <w:bCs/>
          <w:lang w:val="en-US"/>
        </w:rPr>
        <w:t xml:space="preserve">reflect on this issue and more time was </w:t>
      </w:r>
      <w:r w:rsidR="00241EAB" w:rsidRPr="00813D19">
        <w:rPr>
          <w:bCs/>
          <w:lang w:val="en-US"/>
        </w:rPr>
        <w:t>required</w:t>
      </w:r>
      <w:r w:rsidR="00A42540" w:rsidRPr="00813D19">
        <w:rPr>
          <w:bCs/>
          <w:lang w:val="en-US"/>
        </w:rPr>
        <w:t>. The overall concern</w:t>
      </w:r>
      <w:r w:rsidR="00721356">
        <w:rPr>
          <w:bCs/>
          <w:lang w:val="en-US"/>
        </w:rPr>
        <w:t>,</w:t>
      </w:r>
      <w:r w:rsidR="00A42540" w:rsidRPr="00813D19">
        <w:rPr>
          <w:bCs/>
          <w:lang w:val="en-US"/>
        </w:rPr>
        <w:t xml:space="preserve"> </w:t>
      </w:r>
      <w:r w:rsidR="00692D39" w:rsidRPr="00813D19">
        <w:rPr>
          <w:bCs/>
          <w:lang w:val="en-US"/>
        </w:rPr>
        <w:t>however</w:t>
      </w:r>
      <w:r w:rsidR="00721356">
        <w:rPr>
          <w:bCs/>
          <w:lang w:val="en-US"/>
        </w:rPr>
        <w:t>,</w:t>
      </w:r>
      <w:r w:rsidR="00692D39" w:rsidRPr="00813D19">
        <w:rPr>
          <w:bCs/>
          <w:lang w:val="en-US"/>
        </w:rPr>
        <w:t xml:space="preserve"> </w:t>
      </w:r>
      <w:r w:rsidR="00241EAB" w:rsidRPr="00813D19">
        <w:rPr>
          <w:bCs/>
          <w:lang w:val="en-US"/>
        </w:rPr>
        <w:t xml:space="preserve">was that the </w:t>
      </w:r>
      <w:r w:rsidR="00A42540" w:rsidRPr="00813D19">
        <w:rPr>
          <w:bCs/>
          <w:lang w:val="en-US"/>
        </w:rPr>
        <w:t xml:space="preserve">new mechanism </w:t>
      </w:r>
      <w:r w:rsidR="00241EAB" w:rsidRPr="00813D19">
        <w:rPr>
          <w:bCs/>
          <w:lang w:val="en-US"/>
        </w:rPr>
        <w:t xml:space="preserve">was showing positive trends; </w:t>
      </w:r>
      <w:r w:rsidR="00A42540" w:rsidRPr="00813D19">
        <w:rPr>
          <w:bCs/>
          <w:lang w:val="en-US"/>
        </w:rPr>
        <w:t xml:space="preserve">in the last two </w:t>
      </w:r>
      <w:r w:rsidR="00813D19" w:rsidRPr="00813D19">
        <w:rPr>
          <w:bCs/>
          <w:lang w:val="en-US"/>
        </w:rPr>
        <w:t>years,</w:t>
      </w:r>
      <w:r w:rsidR="00A42540" w:rsidRPr="00813D19">
        <w:rPr>
          <w:bCs/>
          <w:lang w:val="en-US"/>
        </w:rPr>
        <w:t xml:space="preserve"> </w:t>
      </w:r>
      <w:r w:rsidR="00241EAB" w:rsidRPr="00813D19">
        <w:rPr>
          <w:bCs/>
          <w:lang w:val="en-US"/>
        </w:rPr>
        <w:t xml:space="preserve">the Secretariat had </w:t>
      </w:r>
      <w:r w:rsidR="00A42540" w:rsidRPr="00813D19">
        <w:rPr>
          <w:bCs/>
          <w:lang w:val="en-US"/>
        </w:rPr>
        <w:t>implemented roughly the same approved and process</w:t>
      </w:r>
      <w:r w:rsidR="00241EAB" w:rsidRPr="00813D19">
        <w:rPr>
          <w:bCs/>
          <w:lang w:val="en-US"/>
        </w:rPr>
        <w:t xml:space="preserve">ed requests </w:t>
      </w:r>
      <w:r w:rsidR="00721356">
        <w:rPr>
          <w:bCs/>
          <w:lang w:val="en-US"/>
        </w:rPr>
        <w:t>as</w:t>
      </w:r>
      <w:r w:rsidR="00721356" w:rsidRPr="00813D19">
        <w:rPr>
          <w:bCs/>
          <w:lang w:val="en-US"/>
        </w:rPr>
        <w:t xml:space="preserve"> </w:t>
      </w:r>
      <w:r w:rsidR="00A42540" w:rsidRPr="00813D19">
        <w:rPr>
          <w:bCs/>
          <w:lang w:val="en-US"/>
        </w:rPr>
        <w:t xml:space="preserve">for the </w:t>
      </w:r>
      <w:r w:rsidR="00241EAB" w:rsidRPr="00813D19">
        <w:rPr>
          <w:bCs/>
          <w:lang w:val="en-US"/>
        </w:rPr>
        <w:t xml:space="preserve">previous </w:t>
      </w:r>
      <w:r w:rsidR="00A42540" w:rsidRPr="00813D19">
        <w:rPr>
          <w:bCs/>
          <w:lang w:val="en-US"/>
        </w:rPr>
        <w:t>seven to eight years</w:t>
      </w:r>
      <w:r w:rsidR="00241EAB" w:rsidRPr="00813D19">
        <w:rPr>
          <w:bCs/>
          <w:lang w:val="en-US"/>
        </w:rPr>
        <w:t>.</w:t>
      </w:r>
      <w:r w:rsidR="00A42540" w:rsidRPr="00813D19">
        <w:rPr>
          <w:bCs/>
          <w:lang w:val="en-US"/>
        </w:rPr>
        <w:t xml:space="preserve"> </w:t>
      </w:r>
      <w:r w:rsidR="00241EAB" w:rsidRPr="00813D19">
        <w:rPr>
          <w:bCs/>
          <w:lang w:val="en-US"/>
        </w:rPr>
        <w:t xml:space="preserve">Thus, the </w:t>
      </w:r>
      <w:r w:rsidR="00A42540" w:rsidRPr="00813D19">
        <w:rPr>
          <w:bCs/>
          <w:lang w:val="en-US"/>
        </w:rPr>
        <w:t xml:space="preserve">Fund </w:t>
      </w:r>
      <w:r w:rsidR="00241EAB" w:rsidRPr="00813D19">
        <w:rPr>
          <w:bCs/>
          <w:lang w:val="en-US"/>
        </w:rPr>
        <w:t xml:space="preserve">that had initially been </w:t>
      </w:r>
      <w:r w:rsidR="00A42540" w:rsidRPr="00813D19">
        <w:rPr>
          <w:bCs/>
          <w:lang w:val="en-US"/>
        </w:rPr>
        <w:t xml:space="preserve">accumulating </w:t>
      </w:r>
      <w:r w:rsidR="00241EAB" w:rsidRPr="00813D19">
        <w:rPr>
          <w:bCs/>
          <w:lang w:val="en-US"/>
        </w:rPr>
        <w:t xml:space="preserve">funds was now starting to be implemented, as the </w:t>
      </w:r>
      <w:r w:rsidR="00A42540" w:rsidRPr="00813D19">
        <w:rPr>
          <w:bCs/>
          <w:lang w:val="en-US"/>
        </w:rPr>
        <w:t xml:space="preserve">new mechanism </w:t>
      </w:r>
      <w:r w:rsidR="00241EAB" w:rsidRPr="00813D19">
        <w:rPr>
          <w:bCs/>
          <w:lang w:val="en-US"/>
        </w:rPr>
        <w:t>allowed</w:t>
      </w:r>
      <w:r w:rsidR="00A42540" w:rsidRPr="00813D19">
        <w:rPr>
          <w:bCs/>
          <w:lang w:val="en-US"/>
        </w:rPr>
        <w:t xml:space="preserve"> better and easier access to the Fund. </w:t>
      </w:r>
      <w:r w:rsidR="00241EAB" w:rsidRPr="00813D19">
        <w:rPr>
          <w:bCs/>
          <w:lang w:val="en-US"/>
        </w:rPr>
        <w:t xml:space="preserve">The Secretariat did </w:t>
      </w:r>
      <w:r w:rsidR="00A42540" w:rsidRPr="00813D19">
        <w:rPr>
          <w:bCs/>
          <w:lang w:val="en-US"/>
        </w:rPr>
        <w:t xml:space="preserve">notice that larger amounts </w:t>
      </w:r>
      <w:r w:rsidR="00241EAB" w:rsidRPr="00813D19">
        <w:rPr>
          <w:bCs/>
          <w:lang w:val="en-US"/>
        </w:rPr>
        <w:t xml:space="preserve">were </w:t>
      </w:r>
      <w:r w:rsidR="00A42540" w:rsidRPr="00813D19">
        <w:rPr>
          <w:bCs/>
          <w:lang w:val="en-US"/>
        </w:rPr>
        <w:t>coming through the Bureau</w:t>
      </w:r>
      <w:r w:rsidR="009F6C03" w:rsidRPr="00813D19">
        <w:rPr>
          <w:bCs/>
          <w:lang w:val="en-US"/>
        </w:rPr>
        <w:t xml:space="preserve"> that had the authority to grant requests up to US$100,000</w:t>
      </w:r>
      <w:r w:rsidR="00241EAB" w:rsidRPr="00813D19">
        <w:rPr>
          <w:bCs/>
          <w:lang w:val="en-US"/>
        </w:rPr>
        <w:t>,</w:t>
      </w:r>
      <w:r w:rsidR="00A42540" w:rsidRPr="00813D19">
        <w:rPr>
          <w:bCs/>
          <w:lang w:val="en-US"/>
        </w:rPr>
        <w:t xml:space="preserve"> </w:t>
      </w:r>
      <w:r w:rsidR="00241EAB" w:rsidRPr="00813D19">
        <w:rPr>
          <w:bCs/>
          <w:lang w:val="en-US"/>
        </w:rPr>
        <w:t xml:space="preserve">i.e. they were </w:t>
      </w:r>
      <w:r w:rsidR="00A42540" w:rsidRPr="00813D19">
        <w:rPr>
          <w:bCs/>
          <w:lang w:val="en-US"/>
        </w:rPr>
        <w:t xml:space="preserve">not coming through the Committee. </w:t>
      </w:r>
      <w:r w:rsidR="00241EAB" w:rsidRPr="00813D19">
        <w:rPr>
          <w:bCs/>
          <w:lang w:val="en-US"/>
        </w:rPr>
        <w:t xml:space="preserve">The Secretary understood that </w:t>
      </w:r>
      <w:r w:rsidR="00A42540" w:rsidRPr="00813D19">
        <w:rPr>
          <w:bCs/>
          <w:lang w:val="en-US"/>
        </w:rPr>
        <w:t xml:space="preserve">the Committee </w:t>
      </w:r>
      <w:r w:rsidR="00241EAB" w:rsidRPr="00813D19">
        <w:rPr>
          <w:bCs/>
          <w:lang w:val="en-US"/>
        </w:rPr>
        <w:t xml:space="preserve">wished to </w:t>
      </w:r>
      <w:r w:rsidR="00A42540" w:rsidRPr="00813D19">
        <w:rPr>
          <w:bCs/>
          <w:lang w:val="en-US"/>
        </w:rPr>
        <w:t xml:space="preserve">wait and see how this </w:t>
      </w:r>
      <w:r w:rsidR="00241EAB" w:rsidRPr="00813D19">
        <w:rPr>
          <w:bCs/>
          <w:lang w:val="en-US"/>
        </w:rPr>
        <w:t xml:space="preserve">new mechanism </w:t>
      </w:r>
      <w:r w:rsidR="009F6C03" w:rsidRPr="00813D19">
        <w:rPr>
          <w:bCs/>
          <w:lang w:val="en-US"/>
        </w:rPr>
        <w:t>continued</w:t>
      </w:r>
      <w:r w:rsidR="00241EAB" w:rsidRPr="00813D19">
        <w:rPr>
          <w:bCs/>
          <w:lang w:val="en-US"/>
        </w:rPr>
        <w:t xml:space="preserve"> </w:t>
      </w:r>
      <w:r w:rsidR="00A42540" w:rsidRPr="00813D19">
        <w:rPr>
          <w:bCs/>
          <w:lang w:val="en-US"/>
        </w:rPr>
        <w:t xml:space="preserve">and how it </w:t>
      </w:r>
      <w:r w:rsidR="00721356">
        <w:rPr>
          <w:bCs/>
          <w:lang w:val="en-US"/>
        </w:rPr>
        <w:t>would</w:t>
      </w:r>
      <w:r w:rsidR="00721356" w:rsidRPr="00813D19">
        <w:rPr>
          <w:bCs/>
          <w:lang w:val="en-US"/>
        </w:rPr>
        <w:t xml:space="preserve"> </w:t>
      </w:r>
      <w:r w:rsidR="00241EAB" w:rsidRPr="00813D19">
        <w:rPr>
          <w:bCs/>
          <w:lang w:val="en-US"/>
        </w:rPr>
        <w:t>impact</w:t>
      </w:r>
      <w:r w:rsidR="00A42540" w:rsidRPr="00813D19">
        <w:rPr>
          <w:bCs/>
          <w:lang w:val="en-US"/>
        </w:rPr>
        <w:t xml:space="preserve"> the Fund </w:t>
      </w:r>
      <w:r w:rsidR="00241EAB" w:rsidRPr="00813D19">
        <w:rPr>
          <w:bCs/>
          <w:lang w:val="en-US"/>
        </w:rPr>
        <w:t>overall</w:t>
      </w:r>
      <w:r w:rsidR="00A42540" w:rsidRPr="00813D19">
        <w:rPr>
          <w:bCs/>
          <w:lang w:val="en-US"/>
        </w:rPr>
        <w:t xml:space="preserve">. </w:t>
      </w:r>
      <w:r w:rsidR="009F6C03" w:rsidRPr="00813D19">
        <w:rPr>
          <w:bCs/>
          <w:lang w:val="en-US"/>
        </w:rPr>
        <w:t xml:space="preserve">However, </w:t>
      </w:r>
      <w:r w:rsidR="00A42540" w:rsidRPr="00813D19">
        <w:rPr>
          <w:bCs/>
          <w:lang w:val="en-US"/>
        </w:rPr>
        <w:t xml:space="preserve">concerns </w:t>
      </w:r>
      <w:r w:rsidR="009F6C03" w:rsidRPr="00813D19">
        <w:rPr>
          <w:bCs/>
          <w:lang w:val="en-US"/>
        </w:rPr>
        <w:t xml:space="preserve">about </w:t>
      </w:r>
      <w:r w:rsidR="00A42540" w:rsidRPr="00813D19">
        <w:rPr>
          <w:bCs/>
          <w:lang w:val="en-US"/>
        </w:rPr>
        <w:t>future implications</w:t>
      </w:r>
      <w:r w:rsidR="00520C61" w:rsidRPr="00813D19">
        <w:rPr>
          <w:bCs/>
          <w:lang w:val="en-US"/>
        </w:rPr>
        <w:t xml:space="preserve"> still</w:t>
      </w:r>
      <w:r w:rsidR="00A42540" w:rsidRPr="00813D19">
        <w:rPr>
          <w:bCs/>
          <w:lang w:val="en-US"/>
        </w:rPr>
        <w:t xml:space="preserve"> </w:t>
      </w:r>
      <w:r w:rsidR="009F6C03" w:rsidRPr="00813D19">
        <w:rPr>
          <w:bCs/>
          <w:lang w:val="en-US"/>
        </w:rPr>
        <w:t xml:space="preserve">remained </w:t>
      </w:r>
      <w:r w:rsidR="00634D0B">
        <w:rPr>
          <w:bCs/>
          <w:lang w:val="en-US"/>
        </w:rPr>
        <w:t>in that regard.</w:t>
      </w:r>
    </w:p>
    <w:p w14:paraId="4AF29C6D" w14:textId="5BD2A6DB" w:rsidR="00C3195B" w:rsidRPr="00813D19" w:rsidRDefault="0039172D" w:rsidP="006D219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A42540" w:rsidRPr="00813D19">
        <w:rPr>
          <w:b/>
          <w:color w:val="000000" w:themeColor="text1"/>
          <w:lang w:val="en-US"/>
        </w:rPr>
        <w:t xml:space="preserve"> </w:t>
      </w:r>
      <w:r w:rsidR="00C36385" w:rsidRPr="00813D19">
        <w:rPr>
          <w:color w:val="000000" w:themeColor="text1"/>
          <w:lang w:val="en-US"/>
        </w:rPr>
        <w:t xml:space="preserve">asked the Secretariat to respond to its </w:t>
      </w:r>
      <w:r w:rsidR="00C36385" w:rsidRPr="00813D19">
        <w:rPr>
          <w:bCs/>
          <w:lang w:val="en-US"/>
        </w:rPr>
        <w:t>two questions.</w:t>
      </w:r>
    </w:p>
    <w:p w14:paraId="551859E1" w14:textId="28866D48" w:rsidR="00BD0733" w:rsidRPr="00813D19" w:rsidRDefault="00BD0733" w:rsidP="006D219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9F6C03" w:rsidRPr="00813D19">
        <w:rPr>
          <w:color w:val="000000" w:themeColor="text1"/>
          <w:lang w:val="en-US"/>
        </w:rPr>
        <w:t xml:space="preserve">explained that </w:t>
      </w:r>
      <w:r w:rsidR="009F6C03" w:rsidRPr="00813D19">
        <w:rPr>
          <w:bCs/>
          <w:lang w:val="en-US"/>
        </w:rPr>
        <w:t>t</w:t>
      </w:r>
      <w:r w:rsidR="00A42540" w:rsidRPr="00813D19">
        <w:rPr>
          <w:bCs/>
          <w:lang w:val="en-US"/>
        </w:rPr>
        <w:t xml:space="preserve">he annex </w:t>
      </w:r>
      <w:r w:rsidR="009F6C03" w:rsidRPr="00813D19">
        <w:rPr>
          <w:bCs/>
          <w:lang w:val="en-US"/>
        </w:rPr>
        <w:t>looked</w:t>
      </w:r>
      <w:r w:rsidR="00A42540" w:rsidRPr="00813D19">
        <w:rPr>
          <w:bCs/>
          <w:lang w:val="en-US"/>
        </w:rPr>
        <w:t xml:space="preserve"> at the different status of the </w:t>
      </w:r>
      <w:r w:rsidR="009F6C03" w:rsidRPr="00813D19">
        <w:rPr>
          <w:bCs/>
          <w:lang w:val="en-US"/>
        </w:rPr>
        <w:t xml:space="preserve">various </w:t>
      </w:r>
      <w:r w:rsidR="00A42540" w:rsidRPr="00813D19">
        <w:rPr>
          <w:bCs/>
          <w:lang w:val="en-US"/>
        </w:rPr>
        <w:t>projects that tracks all the projects</w:t>
      </w:r>
      <w:r w:rsidR="009F6C03" w:rsidRPr="00813D19">
        <w:rPr>
          <w:bCs/>
          <w:lang w:val="en-US"/>
        </w:rPr>
        <w:t xml:space="preserve">, including those rejected, as well as all the </w:t>
      </w:r>
      <w:r w:rsidR="00A42540" w:rsidRPr="00813D19">
        <w:rPr>
          <w:bCs/>
          <w:lang w:val="en-US"/>
        </w:rPr>
        <w:t xml:space="preserve">requests </w:t>
      </w:r>
      <w:r w:rsidR="009F6C03" w:rsidRPr="00813D19">
        <w:rPr>
          <w:bCs/>
          <w:lang w:val="en-US"/>
        </w:rPr>
        <w:t xml:space="preserve">even though </w:t>
      </w:r>
      <w:r w:rsidR="00520C61" w:rsidRPr="00813D19">
        <w:rPr>
          <w:bCs/>
          <w:lang w:val="en-US"/>
        </w:rPr>
        <w:t xml:space="preserve">some </w:t>
      </w:r>
      <w:r w:rsidR="009F6C03" w:rsidRPr="00813D19">
        <w:rPr>
          <w:bCs/>
          <w:lang w:val="en-US"/>
        </w:rPr>
        <w:t xml:space="preserve">had </w:t>
      </w:r>
      <w:r w:rsidR="00A42540" w:rsidRPr="00813D19">
        <w:rPr>
          <w:bCs/>
          <w:lang w:val="en-US"/>
        </w:rPr>
        <w:t xml:space="preserve">not been approved. </w:t>
      </w:r>
      <w:r w:rsidR="00520C61" w:rsidRPr="00813D19">
        <w:rPr>
          <w:bCs/>
          <w:lang w:val="en-US"/>
        </w:rPr>
        <w:t xml:space="preserve">The document thus provided the difference of the requests and not how much money was spent. The document thus showed requests and not expenditure. </w:t>
      </w:r>
      <w:r w:rsidR="009F6C03" w:rsidRPr="00813D19">
        <w:rPr>
          <w:bCs/>
          <w:lang w:val="en-US"/>
        </w:rPr>
        <w:t xml:space="preserve">In the case of the </w:t>
      </w:r>
      <w:r w:rsidR="00A42540" w:rsidRPr="00813D19">
        <w:rPr>
          <w:bCs/>
          <w:lang w:val="en-US"/>
        </w:rPr>
        <w:t>Philippines</w:t>
      </w:r>
      <w:r w:rsidR="009F6C03" w:rsidRPr="00813D19">
        <w:rPr>
          <w:bCs/>
          <w:lang w:val="en-US"/>
        </w:rPr>
        <w:t>, the Secretary apologized, admitting that there was indeed an error.</w:t>
      </w:r>
      <w:r w:rsidR="00A42540" w:rsidRPr="00813D19">
        <w:rPr>
          <w:bCs/>
          <w:lang w:val="en-US"/>
        </w:rPr>
        <w:t xml:space="preserve"> </w:t>
      </w:r>
      <w:r w:rsidR="009F6C03" w:rsidRPr="00813D19">
        <w:rPr>
          <w:bCs/>
          <w:lang w:val="en-US"/>
        </w:rPr>
        <w:t>The</w:t>
      </w:r>
      <w:r w:rsidR="00A42540" w:rsidRPr="00813D19">
        <w:rPr>
          <w:bCs/>
          <w:lang w:val="en-US"/>
        </w:rPr>
        <w:t xml:space="preserve"> project </w:t>
      </w:r>
      <w:r w:rsidR="009F6C03" w:rsidRPr="00813D19">
        <w:rPr>
          <w:bCs/>
          <w:lang w:val="en-US"/>
        </w:rPr>
        <w:t xml:space="preserve">had been approved, but the </w:t>
      </w:r>
      <w:r w:rsidR="00A42540" w:rsidRPr="00813D19">
        <w:rPr>
          <w:bCs/>
          <w:lang w:val="en-US"/>
        </w:rPr>
        <w:t xml:space="preserve">request was withdrawn </w:t>
      </w:r>
      <w:r w:rsidR="009F6C03" w:rsidRPr="00813D19">
        <w:rPr>
          <w:bCs/>
          <w:lang w:val="en-US"/>
        </w:rPr>
        <w:t xml:space="preserve">thereafter </w:t>
      </w:r>
      <w:r w:rsidR="00A42540" w:rsidRPr="00813D19">
        <w:rPr>
          <w:bCs/>
          <w:lang w:val="en-US"/>
        </w:rPr>
        <w:t xml:space="preserve">and this </w:t>
      </w:r>
      <w:r w:rsidR="009F6C03" w:rsidRPr="00813D19">
        <w:rPr>
          <w:bCs/>
          <w:lang w:val="en-US"/>
        </w:rPr>
        <w:t xml:space="preserve">should have </w:t>
      </w:r>
      <w:r w:rsidR="00A42540" w:rsidRPr="00813D19">
        <w:rPr>
          <w:bCs/>
          <w:lang w:val="en-US"/>
        </w:rPr>
        <w:t>be</w:t>
      </w:r>
      <w:r w:rsidR="009F6C03" w:rsidRPr="00813D19">
        <w:rPr>
          <w:bCs/>
          <w:lang w:val="en-US"/>
        </w:rPr>
        <w:t>en</w:t>
      </w:r>
      <w:r w:rsidR="00634D0B">
        <w:rPr>
          <w:bCs/>
          <w:lang w:val="en-US"/>
        </w:rPr>
        <w:t xml:space="preserve"> updated.</w:t>
      </w:r>
    </w:p>
    <w:p w14:paraId="28B24C96" w14:textId="0C0A3ADF" w:rsidR="002C6764" w:rsidRPr="00813D19" w:rsidRDefault="001624E9" w:rsidP="006D219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Senegal</w:t>
      </w:r>
      <w:r w:rsidR="00F67724" w:rsidRPr="00813D19">
        <w:rPr>
          <w:b/>
          <w:color w:val="000000" w:themeColor="text1"/>
          <w:lang w:val="en-US"/>
        </w:rPr>
        <w:t xml:space="preserve"> </w:t>
      </w:r>
      <w:r w:rsidR="007A30DE" w:rsidRPr="00813D19">
        <w:rPr>
          <w:color w:val="000000" w:themeColor="text1"/>
          <w:lang w:val="en-US"/>
        </w:rPr>
        <w:t>remarked that</w:t>
      </w:r>
      <w:r w:rsidR="007A30DE" w:rsidRPr="00813D19">
        <w:rPr>
          <w:b/>
          <w:color w:val="000000" w:themeColor="text1"/>
          <w:lang w:val="en-US"/>
        </w:rPr>
        <w:t xml:space="preserve"> </w:t>
      </w:r>
      <w:r w:rsidR="002C6764" w:rsidRPr="00813D19">
        <w:rPr>
          <w:color w:val="000000" w:themeColor="text1"/>
          <w:lang w:val="en-US"/>
        </w:rPr>
        <w:t xml:space="preserve">when the measure was taken at the time to submit </w:t>
      </w:r>
      <w:r w:rsidR="00C92387" w:rsidRPr="00813D19">
        <w:rPr>
          <w:color w:val="000000" w:themeColor="text1"/>
          <w:lang w:val="en-US"/>
        </w:rPr>
        <w:t xml:space="preserve">requests of </w:t>
      </w:r>
      <w:r w:rsidR="00D179A2" w:rsidRPr="00813D19">
        <w:rPr>
          <w:color w:val="000000" w:themeColor="text1"/>
          <w:lang w:val="en-US"/>
        </w:rPr>
        <w:t>US$</w:t>
      </w:r>
      <w:r w:rsidR="00C92387" w:rsidRPr="00813D19">
        <w:rPr>
          <w:color w:val="000000" w:themeColor="text1"/>
          <w:lang w:val="en-US"/>
        </w:rPr>
        <w:t>100,000 to the Bureau</w:t>
      </w:r>
      <w:r w:rsidR="00520C61" w:rsidRPr="00813D19">
        <w:rPr>
          <w:color w:val="000000" w:themeColor="text1"/>
          <w:lang w:val="en-US"/>
        </w:rPr>
        <w:t>, it was to ease procedures,</w:t>
      </w:r>
      <w:r w:rsidR="002C6764" w:rsidRPr="00813D19">
        <w:rPr>
          <w:color w:val="000000" w:themeColor="text1"/>
          <w:lang w:val="en-US"/>
        </w:rPr>
        <w:t xml:space="preserve"> </w:t>
      </w:r>
      <w:r w:rsidR="00BF71D9" w:rsidRPr="00813D19">
        <w:rPr>
          <w:color w:val="000000" w:themeColor="text1"/>
          <w:lang w:val="en-US"/>
        </w:rPr>
        <w:t xml:space="preserve">and to </w:t>
      </w:r>
      <w:r w:rsidR="002C6764" w:rsidRPr="00813D19">
        <w:rPr>
          <w:color w:val="000000" w:themeColor="text1"/>
          <w:lang w:val="en-US"/>
        </w:rPr>
        <w:t xml:space="preserve">facilitate and </w:t>
      </w:r>
      <w:r w:rsidR="00BF71D9" w:rsidRPr="00813D19">
        <w:rPr>
          <w:color w:val="000000" w:themeColor="text1"/>
          <w:lang w:val="en-US"/>
        </w:rPr>
        <w:t>encourage S</w:t>
      </w:r>
      <w:r w:rsidR="002C6764" w:rsidRPr="00813D19">
        <w:rPr>
          <w:color w:val="000000" w:themeColor="text1"/>
          <w:lang w:val="en-US"/>
        </w:rPr>
        <w:t xml:space="preserve">tates to </w:t>
      </w:r>
      <w:r w:rsidR="00BF71D9" w:rsidRPr="00813D19">
        <w:rPr>
          <w:color w:val="000000" w:themeColor="text1"/>
          <w:lang w:val="en-US"/>
        </w:rPr>
        <w:t xml:space="preserve">request International Assistance </w:t>
      </w:r>
      <w:r w:rsidR="002046DF" w:rsidRPr="00813D19">
        <w:rPr>
          <w:color w:val="000000" w:themeColor="text1"/>
          <w:lang w:val="en-US"/>
        </w:rPr>
        <w:t xml:space="preserve">due to </w:t>
      </w:r>
      <w:r w:rsidR="002C6764" w:rsidRPr="00813D19">
        <w:rPr>
          <w:color w:val="000000" w:themeColor="text1"/>
          <w:lang w:val="en-US"/>
        </w:rPr>
        <w:t xml:space="preserve">lack of requests. </w:t>
      </w:r>
      <w:r w:rsidR="0029464F" w:rsidRPr="00813D19">
        <w:rPr>
          <w:color w:val="000000" w:themeColor="text1"/>
          <w:lang w:val="en-US"/>
        </w:rPr>
        <w:t xml:space="preserve">Thus, </w:t>
      </w:r>
      <w:r w:rsidR="002C6764" w:rsidRPr="00813D19">
        <w:rPr>
          <w:color w:val="000000" w:themeColor="text1"/>
          <w:lang w:val="en-US"/>
        </w:rPr>
        <w:t xml:space="preserve">it </w:t>
      </w:r>
      <w:r w:rsidR="00BF71D9" w:rsidRPr="00813D19">
        <w:rPr>
          <w:color w:val="000000" w:themeColor="text1"/>
          <w:lang w:val="en-US"/>
        </w:rPr>
        <w:t xml:space="preserve">was </w:t>
      </w:r>
      <w:r w:rsidR="002C6764" w:rsidRPr="00813D19">
        <w:rPr>
          <w:color w:val="000000" w:themeColor="text1"/>
          <w:lang w:val="en-US"/>
        </w:rPr>
        <w:t xml:space="preserve">from this perspective that this measure was taken. </w:t>
      </w:r>
      <w:r w:rsidR="00520C61" w:rsidRPr="00813D19">
        <w:rPr>
          <w:color w:val="000000" w:themeColor="text1"/>
          <w:lang w:val="en-US"/>
        </w:rPr>
        <w:t>I</w:t>
      </w:r>
      <w:r w:rsidR="0029464F" w:rsidRPr="00813D19">
        <w:rPr>
          <w:color w:val="000000" w:themeColor="text1"/>
          <w:lang w:val="en-US"/>
        </w:rPr>
        <w:t xml:space="preserve">n the case of </w:t>
      </w:r>
      <w:r w:rsidR="002C6764" w:rsidRPr="00813D19">
        <w:rPr>
          <w:color w:val="000000" w:themeColor="text1"/>
          <w:lang w:val="en-US"/>
        </w:rPr>
        <w:t>multiple submission</w:t>
      </w:r>
      <w:r w:rsidR="0029464F" w:rsidRPr="00813D19">
        <w:rPr>
          <w:color w:val="000000" w:themeColor="text1"/>
          <w:lang w:val="en-US"/>
        </w:rPr>
        <w:t>s</w:t>
      </w:r>
      <w:r w:rsidR="002C6764" w:rsidRPr="00813D19">
        <w:rPr>
          <w:color w:val="000000" w:themeColor="text1"/>
          <w:lang w:val="en-US"/>
        </w:rPr>
        <w:t xml:space="preserve">, it </w:t>
      </w:r>
      <w:r w:rsidR="0029464F" w:rsidRPr="00813D19">
        <w:rPr>
          <w:color w:val="000000" w:themeColor="text1"/>
          <w:lang w:val="en-US"/>
        </w:rPr>
        <w:t xml:space="preserve">was true that they </w:t>
      </w:r>
      <w:r w:rsidR="00E43000" w:rsidRPr="00813D19">
        <w:rPr>
          <w:color w:val="000000" w:themeColor="text1"/>
          <w:lang w:val="en-US"/>
        </w:rPr>
        <w:t>c</w:t>
      </w:r>
      <w:r w:rsidR="00E43000">
        <w:rPr>
          <w:color w:val="000000" w:themeColor="text1"/>
          <w:lang w:val="en-US"/>
        </w:rPr>
        <w:t>ould</w:t>
      </w:r>
      <w:r w:rsidR="00E43000" w:rsidRPr="00813D19">
        <w:rPr>
          <w:color w:val="000000" w:themeColor="text1"/>
          <w:lang w:val="en-US"/>
        </w:rPr>
        <w:t xml:space="preserve"> </w:t>
      </w:r>
      <w:r w:rsidR="0029464F" w:rsidRPr="00813D19">
        <w:rPr>
          <w:color w:val="000000" w:themeColor="text1"/>
          <w:lang w:val="en-US"/>
        </w:rPr>
        <w:t>satisfy a need from communities</w:t>
      </w:r>
      <w:r w:rsidR="002C6764" w:rsidRPr="00813D19">
        <w:rPr>
          <w:color w:val="000000" w:themeColor="text1"/>
          <w:lang w:val="en-US"/>
        </w:rPr>
        <w:t xml:space="preserve"> </w:t>
      </w:r>
      <w:r w:rsidR="0029464F" w:rsidRPr="00813D19">
        <w:rPr>
          <w:color w:val="000000" w:themeColor="text1"/>
          <w:lang w:val="en-US"/>
        </w:rPr>
        <w:t xml:space="preserve">in </w:t>
      </w:r>
      <w:r w:rsidR="002C6764" w:rsidRPr="00813D19">
        <w:rPr>
          <w:color w:val="000000" w:themeColor="text1"/>
          <w:lang w:val="en-US"/>
        </w:rPr>
        <w:t>a particular context,</w:t>
      </w:r>
      <w:r w:rsidR="0029464F" w:rsidRPr="00813D19">
        <w:rPr>
          <w:color w:val="000000" w:themeColor="text1"/>
          <w:lang w:val="en-US"/>
        </w:rPr>
        <w:t xml:space="preserve"> or in an emergency. However, </w:t>
      </w:r>
      <w:r w:rsidR="00520C61" w:rsidRPr="00813D19">
        <w:rPr>
          <w:color w:val="000000" w:themeColor="text1"/>
          <w:lang w:val="en-US"/>
        </w:rPr>
        <w:t>this</w:t>
      </w:r>
      <w:r w:rsidR="009D71AE" w:rsidRPr="00813D19">
        <w:rPr>
          <w:color w:val="000000" w:themeColor="text1"/>
          <w:lang w:val="en-US"/>
        </w:rPr>
        <w:t xml:space="preserve"> posed</w:t>
      </w:r>
      <w:r w:rsidR="002C6764" w:rsidRPr="00813D19">
        <w:rPr>
          <w:color w:val="000000" w:themeColor="text1"/>
          <w:lang w:val="en-US"/>
        </w:rPr>
        <w:t xml:space="preserve"> a problem, </w:t>
      </w:r>
      <w:r w:rsidR="002046DF" w:rsidRPr="00813D19">
        <w:rPr>
          <w:color w:val="000000" w:themeColor="text1"/>
          <w:lang w:val="en-US"/>
        </w:rPr>
        <w:t xml:space="preserve">which could </w:t>
      </w:r>
      <w:r w:rsidR="002C6764" w:rsidRPr="00813D19">
        <w:rPr>
          <w:color w:val="000000" w:themeColor="text1"/>
          <w:lang w:val="en-US"/>
        </w:rPr>
        <w:t xml:space="preserve">be appreciated in different ways. </w:t>
      </w:r>
      <w:r w:rsidR="002046DF" w:rsidRPr="00813D19">
        <w:rPr>
          <w:color w:val="000000" w:themeColor="text1"/>
          <w:lang w:val="en-US"/>
        </w:rPr>
        <w:t xml:space="preserve">Although States and </w:t>
      </w:r>
      <w:r w:rsidR="002C6764" w:rsidRPr="00813D19">
        <w:rPr>
          <w:color w:val="000000" w:themeColor="text1"/>
          <w:lang w:val="en-US"/>
        </w:rPr>
        <w:t>communities</w:t>
      </w:r>
      <w:r w:rsidR="002046DF" w:rsidRPr="00813D19">
        <w:rPr>
          <w:color w:val="000000" w:themeColor="text1"/>
          <w:lang w:val="en-US"/>
        </w:rPr>
        <w:t xml:space="preserve"> are respected, </w:t>
      </w:r>
      <w:r w:rsidR="002C6764" w:rsidRPr="00813D19">
        <w:rPr>
          <w:color w:val="000000" w:themeColor="text1"/>
          <w:lang w:val="en-US"/>
        </w:rPr>
        <w:t xml:space="preserve">when </w:t>
      </w:r>
      <w:r w:rsidR="002046DF" w:rsidRPr="00813D19">
        <w:rPr>
          <w:color w:val="000000" w:themeColor="text1"/>
          <w:lang w:val="en-US"/>
        </w:rPr>
        <w:t>the Bureau examine</w:t>
      </w:r>
      <w:r w:rsidR="00520C61" w:rsidRPr="00813D19">
        <w:rPr>
          <w:color w:val="000000" w:themeColor="text1"/>
          <w:lang w:val="en-US"/>
        </w:rPr>
        <w:t>s</w:t>
      </w:r>
      <w:r w:rsidR="002046DF" w:rsidRPr="00813D19">
        <w:rPr>
          <w:color w:val="000000" w:themeColor="text1"/>
          <w:lang w:val="en-US"/>
        </w:rPr>
        <w:t xml:space="preserve"> requests up to </w:t>
      </w:r>
      <w:r w:rsidR="00E4599E" w:rsidRPr="00813D19">
        <w:rPr>
          <w:color w:val="000000" w:themeColor="text1"/>
          <w:lang w:val="en-US"/>
        </w:rPr>
        <w:t>US$</w:t>
      </w:r>
      <w:r w:rsidR="002C6764" w:rsidRPr="00813D19">
        <w:rPr>
          <w:color w:val="000000" w:themeColor="text1"/>
          <w:lang w:val="en-US"/>
        </w:rPr>
        <w:t>100,000</w:t>
      </w:r>
      <w:r w:rsidR="002046DF" w:rsidRPr="00813D19">
        <w:rPr>
          <w:color w:val="000000" w:themeColor="text1"/>
          <w:lang w:val="en-US"/>
        </w:rPr>
        <w:t>,</w:t>
      </w:r>
      <w:r w:rsidR="002C6764" w:rsidRPr="00813D19">
        <w:rPr>
          <w:color w:val="000000" w:themeColor="text1"/>
          <w:lang w:val="en-US"/>
        </w:rPr>
        <w:t xml:space="preserve"> </w:t>
      </w:r>
      <w:r w:rsidR="002046DF" w:rsidRPr="00813D19">
        <w:rPr>
          <w:color w:val="000000" w:themeColor="text1"/>
          <w:lang w:val="en-US"/>
        </w:rPr>
        <w:t>with higher requests taking more time, th</w:t>
      </w:r>
      <w:r w:rsidR="00E43000">
        <w:rPr>
          <w:color w:val="000000" w:themeColor="text1"/>
          <w:lang w:val="en-US"/>
        </w:rPr>
        <w:t>e</w:t>
      </w:r>
      <w:r w:rsidR="002046DF" w:rsidRPr="00813D19">
        <w:rPr>
          <w:color w:val="000000" w:themeColor="text1"/>
          <w:lang w:val="en-US"/>
        </w:rPr>
        <w:t xml:space="preserve">n invariably multiple requests are in fact submitted and </w:t>
      </w:r>
      <w:r w:rsidR="002C6764" w:rsidRPr="00813D19">
        <w:rPr>
          <w:color w:val="000000" w:themeColor="text1"/>
          <w:lang w:val="en-US"/>
        </w:rPr>
        <w:t xml:space="preserve">not just </w:t>
      </w:r>
      <w:r w:rsidR="002046DF" w:rsidRPr="00813D19">
        <w:rPr>
          <w:color w:val="000000" w:themeColor="text1"/>
          <w:lang w:val="en-US"/>
        </w:rPr>
        <w:t xml:space="preserve">from </w:t>
      </w:r>
      <w:r w:rsidR="002C6764" w:rsidRPr="00813D19">
        <w:rPr>
          <w:color w:val="000000" w:themeColor="text1"/>
          <w:lang w:val="en-US"/>
        </w:rPr>
        <w:t xml:space="preserve">one country. </w:t>
      </w:r>
      <w:r w:rsidR="002046DF" w:rsidRPr="00813D19">
        <w:rPr>
          <w:color w:val="000000" w:themeColor="text1"/>
          <w:lang w:val="en-US"/>
        </w:rPr>
        <w:t xml:space="preserve">For this reason, it was important to take into account the contexts and </w:t>
      </w:r>
      <w:r w:rsidR="002C6764" w:rsidRPr="00813D19">
        <w:rPr>
          <w:color w:val="000000" w:themeColor="text1"/>
          <w:lang w:val="en-US"/>
        </w:rPr>
        <w:t>the urgency</w:t>
      </w:r>
      <w:r w:rsidR="002046DF" w:rsidRPr="00813D19">
        <w:rPr>
          <w:color w:val="000000" w:themeColor="text1"/>
          <w:lang w:val="en-US"/>
        </w:rPr>
        <w:t xml:space="preserve"> of each request</w:t>
      </w:r>
      <w:r w:rsidR="0063127B" w:rsidRPr="00813D19">
        <w:rPr>
          <w:color w:val="000000" w:themeColor="text1"/>
          <w:lang w:val="en-US"/>
        </w:rPr>
        <w:t>, even though it would be difficult for the Secretariat to monit</w:t>
      </w:r>
      <w:r w:rsidR="00520C61" w:rsidRPr="00813D19">
        <w:rPr>
          <w:color w:val="000000" w:themeColor="text1"/>
          <w:lang w:val="en-US"/>
        </w:rPr>
        <w:t>or these projects</w:t>
      </w:r>
      <w:r w:rsidR="0063127B" w:rsidRPr="00813D19">
        <w:rPr>
          <w:color w:val="000000" w:themeColor="text1"/>
          <w:lang w:val="en-US"/>
        </w:rPr>
        <w:t xml:space="preserve"> given the staffing issues. </w:t>
      </w:r>
      <w:r w:rsidR="00813D19" w:rsidRPr="00813D19">
        <w:rPr>
          <w:color w:val="000000" w:themeColor="text1"/>
          <w:lang w:val="en-US"/>
        </w:rPr>
        <w:t>Nevertheless</w:t>
      </w:r>
      <w:r w:rsidR="0063127B" w:rsidRPr="00813D19">
        <w:rPr>
          <w:color w:val="000000" w:themeColor="text1"/>
          <w:lang w:val="en-US"/>
        </w:rPr>
        <w:t>, it was important to recall why this measure was introduced, while taking into account the need for monitoring</w:t>
      </w:r>
      <w:r w:rsidR="00520C61" w:rsidRPr="00813D19">
        <w:rPr>
          <w:color w:val="000000" w:themeColor="text1"/>
          <w:lang w:val="en-US"/>
        </w:rPr>
        <w:t>, which is</w:t>
      </w:r>
      <w:r w:rsidR="007F3485" w:rsidRPr="00813D19">
        <w:rPr>
          <w:color w:val="000000" w:themeColor="text1"/>
          <w:lang w:val="en-US"/>
        </w:rPr>
        <w:t xml:space="preserve"> a</w:t>
      </w:r>
      <w:r w:rsidR="0063127B" w:rsidRPr="00813D19">
        <w:rPr>
          <w:color w:val="000000" w:themeColor="text1"/>
          <w:lang w:val="en-US"/>
        </w:rPr>
        <w:t xml:space="preserve"> crucial aspect in the implementation of these projects. The delegation explained that </w:t>
      </w:r>
      <w:r w:rsidR="007F3485" w:rsidRPr="00813D19">
        <w:rPr>
          <w:color w:val="000000" w:themeColor="text1"/>
          <w:lang w:val="en-US"/>
        </w:rPr>
        <w:t>al</w:t>
      </w:r>
      <w:r w:rsidR="0063127B" w:rsidRPr="00813D19">
        <w:rPr>
          <w:color w:val="000000" w:themeColor="text1"/>
          <w:lang w:val="en-US"/>
        </w:rPr>
        <w:t xml:space="preserve">though the requests were submitted by different communities, the institutions and the State Party played a role in coordinating and submitting </w:t>
      </w:r>
      <w:r w:rsidR="007F3485" w:rsidRPr="00813D19">
        <w:rPr>
          <w:color w:val="000000" w:themeColor="text1"/>
          <w:lang w:val="en-US"/>
        </w:rPr>
        <w:t xml:space="preserve">the </w:t>
      </w:r>
      <w:r w:rsidR="0063127B" w:rsidRPr="00813D19">
        <w:rPr>
          <w:color w:val="000000" w:themeColor="text1"/>
          <w:lang w:val="en-US"/>
        </w:rPr>
        <w:t xml:space="preserve">reports of </w:t>
      </w:r>
      <w:r w:rsidR="007F3485" w:rsidRPr="00813D19">
        <w:rPr>
          <w:color w:val="000000" w:themeColor="text1"/>
          <w:lang w:val="en-US"/>
        </w:rPr>
        <w:t>the outcomes</w:t>
      </w:r>
      <w:r w:rsidR="0063127B" w:rsidRPr="00813D19">
        <w:rPr>
          <w:color w:val="000000" w:themeColor="text1"/>
          <w:lang w:val="en-US"/>
        </w:rPr>
        <w:t xml:space="preserve">, </w:t>
      </w:r>
      <w:r w:rsidR="007F3485" w:rsidRPr="00813D19">
        <w:rPr>
          <w:color w:val="000000" w:themeColor="text1"/>
          <w:lang w:val="en-US"/>
        </w:rPr>
        <w:t xml:space="preserve">not least as this concerned </w:t>
      </w:r>
      <w:r w:rsidR="0063127B" w:rsidRPr="00813D19">
        <w:rPr>
          <w:color w:val="000000" w:themeColor="text1"/>
          <w:lang w:val="en-US"/>
        </w:rPr>
        <w:t>the i</w:t>
      </w:r>
      <w:r w:rsidR="00520C61" w:rsidRPr="00813D19">
        <w:rPr>
          <w:color w:val="000000" w:themeColor="text1"/>
          <w:lang w:val="en-US"/>
        </w:rPr>
        <w:t>mplementation of the Convention</w:t>
      </w:r>
      <w:r w:rsidR="0063127B" w:rsidRPr="00813D19">
        <w:rPr>
          <w:color w:val="000000" w:themeColor="text1"/>
          <w:lang w:val="en-US"/>
        </w:rPr>
        <w:t xml:space="preserve"> and </w:t>
      </w:r>
      <w:r w:rsidR="007F3485" w:rsidRPr="00813D19">
        <w:rPr>
          <w:color w:val="000000" w:themeColor="text1"/>
          <w:lang w:val="en-US"/>
        </w:rPr>
        <w:t xml:space="preserve">thus the </w:t>
      </w:r>
      <w:r w:rsidR="0063127B" w:rsidRPr="00813D19">
        <w:rPr>
          <w:color w:val="000000" w:themeColor="text1"/>
          <w:lang w:val="en-US"/>
        </w:rPr>
        <w:t>State Party</w:t>
      </w:r>
      <w:r w:rsidR="007F3485" w:rsidRPr="00813D19">
        <w:rPr>
          <w:color w:val="000000" w:themeColor="text1"/>
          <w:lang w:val="en-US"/>
        </w:rPr>
        <w:t>’s</w:t>
      </w:r>
      <w:r w:rsidR="0063127B" w:rsidRPr="00813D19">
        <w:rPr>
          <w:color w:val="000000" w:themeColor="text1"/>
          <w:lang w:val="en-US"/>
        </w:rPr>
        <w:t xml:space="preserve"> </w:t>
      </w:r>
      <w:r w:rsidR="007F3485" w:rsidRPr="00813D19">
        <w:rPr>
          <w:color w:val="000000" w:themeColor="text1"/>
          <w:lang w:val="en-US"/>
        </w:rPr>
        <w:t xml:space="preserve">responsibility vis-à-vis </w:t>
      </w:r>
      <w:r w:rsidR="0063127B" w:rsidRPr="00813D19">
        <w:rPr>
          <w:color w:val="000000" w:themeColor="text1"/>
          <w:lang w:val="en-US"/>
        </w:rPr>
        <w:t>UNESCO.</w:t>
      </w:r>
    </w:p>
    <w:p w14:paraId="391D379D" w14:textId="51502CAE" w:rsidR="00FE42D2" w:rsidRPr="00813D19" w:rsidRDefault="00FE42D2" w:rsidP="006D219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F87D8A" w:rsidRPr="00813D19">
        <w:rPr>
          <w:color w:val="000000" w:themeColor="text1"/>
          <w:lang w:val="en-US"/>
        </w:rPr>
        <w:t xml:space="preserve">wished to add </w:t>
      </w:r>
      <w:r w:rsidR="00F87D8A" w:rsidRPr="00813D19">
        <w:rPr>
          <w:bCs/>
          <w:lang w:val="en-US"/>
        </w:rPr>
        <w:t xml:space="preserve">that </w:t>
      </w:r>
      <w:r w:rsidR="00F67724" w:rsidRPr="00813D19">
        <w:rPr>
          <w:bCs/>
          <w:lang w:val="en-US"/>
        </w:rPr>
        <w:t xml:space="preserve">the draft amendment </w:t>
      </w:r>
      <w:r w:rsidR="00F87D8A" w:rsidRPr="00813D19">
        <w:rPr>
          <w:bCs/>
          <w:lang w:val="en-US"/>
        </w:rPr>
        <w:t>proposed</w:t>
      </w:r>
      <w:r w:rsidR="00F67724" w:rsidRPr="00813D19">
        <w:rPr>
          <w:bCs/>
          <w:lang w:val="en-US"/>
        </w:rPr>
        <w:t xml:space="preserve"> continu</w:t>
      </w:r>
      <w:r w:rsidR="005A1F33">
        <w:rPr>
          <w:bCs/>
          <w:lang w:val="en-US"/>
        </w:rPr>
        <w:t>ing</w:t>
      </w:r>
      <w:r w:rsidR="00F67724" w:rsidRPr="00813D19">
        <w:rPr>
          <w:bCs/>
          <w:lang w:val="en-US"/>
        </w:rPr>
        <w:t xml:space="preserve"> </w:t>
      </w:r>
      <w:r w:rsidR="00F87D8A" w:rsidRPr="00813D19">
        <w:rPr>
          <w:bCs/>
          <w:lang w:val="en-US"/>
        </w:rPr>
        <w:t>the reflection</w:t>
      </w:r>
      <w:r w:rsidR="00F67724" w:rsidRPr="00813D19">
        <w:rPr>
          <w:bCs/>
          <w:lang w:val="en-US"/>
        </w:rPr>
        <w:t xml:space="preserve"> </w:t>
      </w:r>
      <w:r w:rsidR="00F87D8A" w:rsidRPr="00813D19">
        <w:rPr>
          <w:bCs/>
          <w:lang w:val="en-US"/>
        </w:rPr>
        <w:t xml:space="preserve">so as to gain </w:t>
      </w:r>
      <w:r w:rsidR="00F67724" w:rsidRPr="00813D19">
        <w:rPr>
          <w:bCs/>
          <w:lang w:val="en-US"/>
        </w:rPr>
        <w:t xml:space="preserve">experience on how this new mechanism </w:t>
      </w:r>
      <w:r w:rsidR="00F87D8A" w:rsidRPr="00813D19">
        <w:rPr>
          <w:bCs/>
          <w:lang w:val="en-US"/>
        </w:rPr>
        <w:t xml:space="preserve">was </w:t>
      </w:r>
      <w:r w:rsidR="00F67724" w:rsidRPr="00813D19">
        <w:rPr>
          <w:bCs/>
          <w:lang w:val="en-US"/>
        </w:rPr>
        <w:t xml:space="preserve">working. </w:t>
      </w:r>
      <w:r w:rsidR="00F87D8A" w:rsidRPr="00813D19">
        <w:rPr>
          <w:bCs/>
          <w:lang w:val="en-US"/>
        </w:rPr>
        <w:t>A</w:t>
      </w:r>
      <w:r w:rsidR="00F67724" w:rsidRPr="00813D19">
        <w:rPr>
          <w:bCs/>
          <w:lang w:val="en-US"/>
        </w:rPr>
        <w:t xml:space="preserve">t the </w:t>
      </w:r>
      <w:r w:rsidR="00813D19" w:rsidRPr="00813D19">
        <w:rPr>
          <w:bCs/>
          <w:lang w:val="en-US"/>
        </w:rPr>
        <w:t>moment,</w:t>
      </w:r>
      <w:r w:rsidR="00F67724" w:rsidRPr="00813D19">
        <w:rPr>
          <w:bCs/>
          <w:lang w:val="en-US"/>
        </w:rPr>
        <w:t xml:space="preserve"> the Fund </w:t>
      </w:r>
      <w:r w:rsidR="00F87D8A" w:rsidRPr="00813D19">
        <w:rPr>
          <w:bCs/>
          <w:lang w:val="en-US"/>
        </w:rPr>
        <w:t xml:space="preserve">was </w:t>
      </w:r>
      <w:r w:rsidR="00F67724" w:rsidRPr="00813D19">
        <w:rPr>
          <w:bCs/>
          <w:lang w:val="en-US"/>
        </w:rPr>
        <w:t xml:space="preserve">not </w:t>
      </w:r>
      <w:r w:rsidR="00F87D8A" w:rsidRPr="00813D19">
        <w:rPr>
          <w:bCs/>
          <w:lang w:val="en-US"/>
        </w:rPr>
        <w:t xml:space="preserve">at risk, but </w:t>
      </w:r>
      <w:r w:rsidR="005A1F33">
        <w:rPr>
          <w:bCs/>
          <w:lang w:val="en-US"/>
        </w:rPr>
        <w:t xml:space="preserve">it </w:t>
      </w:r>
      <w:r w:rsidR="00F87D8A" w:rsidRPr="00813D19">
        <w:rPr>
          <w:bCs/>
          <w:lang w:val="en-US"/>
        </w:rPr>
        <w:t>could potentially become so should the trend continue</w:t>
      </w:r>
      <w:r w:rsidR="00F67724" w:rsidRPr="00813D19">
        <w:rPr>
          <w:bCs/>
          <w:lang w:val="en-US"/>
        </w:rPr>
        <w:t xml:space="preserve">. </w:t>
      </w:r>
      <w:r w:rsidR="00F87D8A" w:rsidRPr="00813D19">
        <w:rPr>
          <w:bCs/>
          <w:lang w:val="en-US"/>
        </w:rPr>
        <w:t xml:space="preserve">The Secretariat was thus of the opinion that the current situation did not present </w:t>
      </w:r>
      <w:r w:rsidR="00F67724" w:rsidRPr="00813D19">
        <w:rPr>
          <w:bCs/>
          <w:lang w:val="en-US"/>
        </w:rPr>
        <w:t>a serious problem</w:t>
      </w:r>
      <w:r w:rsidR="00F87D8A" w:rsidRPr="00813D19">
        <w:rPr>
          <w:bCs/>
          <w:lang w:val="en-US"/>
        </w:rPr>
        <w:t>,</w:t>
      </w:r>
      <w:r w:rsidR="00F67724" w:rsidRPr="00813D19">
        <w:rPr>
          <w:bCs/>
          <w:lang w:val="en-US"/>
        </w:rPr>
        <w:t xml:space="preserve"> but </w:t>
      </w:r>
      <w:r w:rsidR="00F87D8A" w:rsidRPr="00813D19">
        <w:rPr>
          <w:bCs/>
          <w:lang w:val="en-US"/>
        </w:rPr>
        <w:t>that the issue required monitoring</w:t>
      </w:r>
      <w:r w:rsidR="00634D0B">
        <w:rPr>
          <w:bCs/>
          <w:lang w:val="en-US"/>
        </w:rPr>
        <w:t>.</w:t>
      </w:r>
    </w:p>
    <w:p w14:paraId="0C7AA81A" w14:textId="3739FB99" w:rsidR="00FE42D2" w:rsidRPr="00813D19" w:rsidRDefault="00877914" w:rsidP="006D219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turned to the draft decision on a paragraph-by-par</w:t>
      </w:r>
      <w:r w:rsidR="00520C61" w:rsidRPr="00813D19">
        <w:rPr>
          <w:color w:val="000000" w:themeColor="text1"/>
          <w:lang w:val="en-US"/>
        </w:rPr>
        <w:t>agraph basis, and p</w:t>
      </w:r>
      <w:r w:rsidRPr="00813D19">
        <w:rPr>
          <w:color w:val="000000" w:themeColor="text1"/>
          <w:lang w:val="en-US"/>
        </w:rPr>
        <w:t>aragraphs 1</w:t>
      </w:r>
      <w:r w:rsidR="00520C61" w:rsidRPr="00813D19">
        <w:rPr>
          <w:color w:val="000000" w:themeColor="text1"/>
          <w:lang w:val="en-US"/>
        </w:rPr>
        <w:t>–</w:t>
      </w:r>
      <w:r w:rsidRPr="00813D19">
        <w:rPr>
          <w:color w:val="000000" w:themeColor="text1"/>
          <w:lang w:val="en-US"/>
        </w:rPr>
        <w:t>4 were duly adopted. An amendment was proposed by Azerbaijan and the Philippines in paragraph 5</w:t>
      </w:r>
      <w:r w:rsidR="00E721C1" w:rsidRPr="00813D19">
        <w:rPr>
          <w:color w:val="000000" w:themeColor="text1"/>
          <w:lang w:val="en-US"/>
        </w:rPr>
        <w:t>, [which read, ‘as well as the importance of knowing the context of multiple sub</w:t>
      </w:r>
      <w:r w:rsidR="00634D0B">
        <w:rPr>
          <w:color w:val="000000" w:themeColor="text1"/>
          <w:lang w:val="en-US"/>
        </w:rPr>
        <w:t>missions by a single country’.]</w:t>
      </w:r>
    </w:p>
    <w:p w14:paraId="4774E702" w14:textId="6D906B06" w:rsidR="00877914" w:rsidRPr="00813D19" w:rsidRDefault="00877914" w:rsidP="006D219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w:t>
      </w:r>
      <w:r w:rsidR="00E721C1" w:rsidRPr="00813D19">
        <w:rPr>
          <w:b/>
          <w:color w:val="000000" w:themeColor="text1"/>
          <w:lang w:val="en-US"/>
        </w:rPr>
        <w:t>s</w:t>
      </w:r>
      <w:r w:rsidRPr="00813D19">
        <w:rPr>
          <w:b/>
          <w:color w:val="000000" w:themeColor="text1"/>
          <w:lang w:val="en-US"/>
        </w:rPr>
        <w:t xml:space="preserve"> of Palestine </w:t>
      </w:r>
      <w:r w:rsidRPr="00813D19">
        <w:rPr>
          <w:color w:val="000000" w:themeColor="text1"/>
          <w:lang w:val="en-US"/>
        </w:rPr>
        <w:t>and</w:t>
      </w:r>
      <w:r w:rsidRPr="00813D19">
        <w:rPr>
          <w:b/>
          <w:color w:val="000000" w:themeColor="text1"/>
          <w:lang w:val="en-US"/>
        </w:rPr>
        <w:t xml:space="preserve"> Senegal</w:t>
      </w:r>
      <w:r w:rsidR="00634D0B">
        <w:rPr>
          <w:color w:val="000000" w:themeColor="text1"/>
          <w:lang w:val="en-US"/>
        </w:rPr>
        <w:t xml:space="preserve"> supported amendment 5.</w:t>
      </w:r>
    </w:p>
    <w:p w14:paraId="587264AA" w14:textId="3B7690CC" w:rsidR="00877914" w:rsidRPr="00813D19" w:rsidRDefault="00877914" w:rsidP="00456ED1">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w:t>
      </w:r>
      <w:r w:rsidR="00E721C1" w:rsidRPr="00813D19">
        <w:rPr>
          <w:color w:val="000000" w:themeColor="text1"/>
          <w:lang w:val="en-US"/>
        </w:rPr>
        <w:t xml:space="preserve">pronounced </w:t>
      </w:r>
      <w:r w:rsidRPr="00813D19">
        <w:rPr>
          <w:color w:val="000000" w:themeColor="text1"/>
          <w:lang w:val="en-US"/>
        </w:rPr>
        <w:t>paragraph 5</w:t>
      </w:r>
      <w:r w:rsidR="00520C61" w:rsidRPr="00813D19">
        <w:rPr>
          <w:color w:val="000000" w:themeColor="text1"/>
          <w:lang w:val="en-US"/>
        </w:rPr>
        <w:t xml:space="preserve"> </w:t>
      </w:r>
      <w:r w:rsidRPr="00813D19">
        <w:rPr>
          <w:color w:val="000000" w:themeColor="text1"/>
          <w:lang w:val="en-US"/>
        </w:rPr>
        <w:t xml:space="preserve">adopted. </w:t>
      </w:r>
      <w:r w:rsidR="00520C61" w:rsidRPr="00813D19">
        <w:rPr>
          <w:color w:val="000000" w:themeColor="text1"/>
          <w:lang w:val="en-US"/>
        </w:rPr>
        <w:t>Paragraph 6</w:t>
      </w:r>
      <w:r w:rsidRPr="00813D19">
        <w:rPr>
          <w:color w:val="000000" w:themeColor="text1"/>
          <w:lang w:val="en-US"/>
        </w:rPr>
        <w:t xml:space="preserve"> </w:t>
      </w:r>
      <w:r w:rsidR="00E721C1" w:rsidRPr="00813D19">
        <w:rPr>
          <w:color w:val="000000" w:themeColor="text1"/>
          <w:lang w:val="en-US"/>
        </w:rPr>
        <w:t xml:space="preserve">also had </w:t>
      </w:r>
      <w:r w:rsidR="005A1F33">
        <w:rPr>
          <w:color w:val="000000" w:themeColor="text1"/>
          <w:lang w:val="en-US"/>
        </w:rPr>
        <w:t xml:space="preserve">an </w:t>
      </w:r>
      <w:r w:rsidR="00E721C1" w:rsidRPr="00813D19">
        <w:rPr>
          <w:color w:val="000000" w:themeColor="text1"/>
          <w:lang w:val="en-US"/>
        </w:rPr>
        <w:t xml:space="preserve">amendment by Azerbaijan, [which read, ‘to closely monitor the situation of multiple submissions and report thereof…’], which was duly </w:t>
      </w:r>
      <w:r w:rsidRPr="00813D19">
        <w:rPr>
          <w:color w:val="000000" w:themeColor="text1"/>
          <w:lang w:val="en-US"/>
        </w:rPr>
        <w:t xml:space="preserve">adopted as amended. </w:t>
      </w:r>
      <w:r w:rsidR="000F0E20" w:rsidRPr="00813D19">
        <w:rPr>
          <w:color w:val="000000" w:themeColor="text1"/>
          <w:lang w:val="en-US"/>
        </w:rPr>
        <w:t xml:space="preserve">With no further comments, the </w:t>
      </w:r>
      <w:r w:rsidR="000F0E20" w:rsidRPr="00813D19">
        <w:rPr>
          <w:b/>
          <w:color w:val="000000" w:themeColor="text1"/>
          <w:lang w:val="en-US"/>
        </w:rPr>
        <w:t>Vice-Chairperson declared Decision 13.COM 12 adopted</w:t>
      </w:r>
      <w:r w:rsidR="000F0E20" w:rsidRPr="00634D0B">
        <w:rPr>
          <w:bCs/>
          <w:color w:val="000000" w:themeColor="text1"/>
          <w:lang w:val="en-US"/>
        </w:rPr>
        <w:t>.</w:t>
      </w:r>
    </w:p>
    <w:p w14:paraId="22C054DD" w14:textId="433F48B3" w:rsidR="00FE7E54" w:rsidRPr="00813D19" w:rsidRDefault="00634D0B" w:rsidP="00634D0B">
      <w:pPr>
        <w:pStyle w:val="Orateurengris"/>
        <w:keepNext/>
        <w:numPr>
          <w:ilvl w:val="0"/>
          <w:numId w:val="0"/>
        </w:numPr>
        <w:spacing w:before="360" w:after="60"/>
        <w:outlineLvl w:val="0"/>
        <w:rPr>
          <w:b/>
          <w:color w:val="000000" w:themeColor="text1"/>
          <w:u w:val="single"/>
          <w:lang w:val="en-US"/>
        </w:rPr>
      </w:pPr>
      <w:r>
        <w:rPr>
          <w:b/>
          <w:color w:val="000000" w:themeColor="text1"/>
          <w:u w:val="single"/>
          <w:lang w:val="en-US"/>
        </w:rPr>
        <w:t>ITEM 13 OF THE AGENDA</w:t>
      </w:r>
    </w:p>
    <w:p w14:paraId="30A5EA3D" w14:textId="5B3E81FD" w:rsidR="00FE7E54" w:rsidRPr="00813D19" w:rsidRDefault="00FE7E54" w:rsidP="005966F6">
      <w:pPr>
        <w:pStyle w:val="Orateurengris"/>
        <w:numPr>
          <w:ilvl w:val="0"/>
          <w:numId w:val="0"/>
        </w:numPr>
        <w:outlineLvl w:val="1"/>
        <w:rPr>
          <w:b/>
          <w:color w:val="000000" w:themeColor="text1"/>
          <w:lang w:val="en-US"/>
        </w:rPr>
      </w:pPr>
      <w:r w:rsidRPr="00813D19">
        <w:rPr>
          <w:b/>
          <w:color w:val="000000" w:themeColor="text1"/>
          <w:lang w:val="en-US"/>
        </w:rPr>
        <w:t>REFLECT</w:t>
      </w:r>
      <w:r w:rsidR="009B7317" w:rsidRPr="00813D19">
        <w:rPr>
          <w:b/>
          <w:color w:val="000000" w:themeColor="text1"/>
          <w:lang w:val="en-US"/>
        </w:rPr>
        <w:t>ION ON THE PARTICIPATION OF NGOs</w:t>
      </w:r>
      <w:r w:rsidRPr="00813D19">
        <w:rPr>
          <w:b/>
          <w:color w:val="000000" w:themeColor="text1"/>
          <w:lang w:val="en-US"/>
        </w:rPr>
        <w:t xml:space="preserve"> IN THE IMPLEMENTATION OF THE CONVENTION</w:t>
      </w:r>
    </w:p>
    <w:p w14:paraId="3AAA0DB6" w14:textId="26CFD5A6" w:rsidR="00FE7E54" w:rsidRPr="00813D19" w:rsidRDefault="00FE7E54" w:rsidP="00634D0B">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46" w:history="1">
        <w:r w:rsidRPr="00813D19">
          <w:rPr>
            <w:rStyle w:val="Hyperlink"/>
            <w:bCs/>
            <w:i/>
            <w:lang w:val="en-US"/>
          </w:rPr>
          <w:t>ITH/18/13.COM/13</w:t>
        </w:r>
      </w:hyperlink>
    </w:p>
    <w:p w14:paraId="28DCD1D7" w14:textId="26E5A664" w:rsidR="00FE7E54" w:rsidRPr="00813D19" w:rsidRDefault="00FE7E54" w:rsidP="00634D0B">
      <w:pPr>
        <w:pStyle w:val="Orateurengris"/>
        <w:keepNext/>
        <w:numPr>
          <w:ilvl w:val="0"/>
          <w:numId w:val="0"/>
        </w:numPr>
        <w:spacing w:before="60" w:after="240"/>
        <w:ind w:left="709"/>
        <w:rPr>
          <w:rStyle w:val="Hyperlink"/>
          <w:i/>
          <w:lang w:val="en-US"/>
        </w:rPr>
      </w:pPr>
      <w:r w:rsidRPr="00813D19">
        <w:rPr>
          <w:b/>
          <w:color w:val="000000" w:themeColor="text1"/>
          <w:lang w:val="en-US"/>
        </w:rPr>
        <w:t>Decision</w:t>
      </w:r>
      <w:r w:rsidRPr="00813D19">
        <w:rPr>
          <w:color w:val="000000" w:themeColor="text1"/>
          <w:lang w:val="en-US"/>
        </w:rPr>
        <w:t xml:space="preserve">: </w:t>
      </w:r>
      <w:r w:rsidRPr="00813D19">
        <w:rPr>
          <w:color w:val="000000" w:themeColor="text1"/>
          <w:lang w:val="en-US"/>
        </w:rPr>
        <w:tab/>
      </w:r>
      <w:hyperlink r:id="rId147" w:history="1">
        <w:r w:rsidRPr="00813D19">
          <w:rPr>
            <w:rStyle w:val="Hyperlink"/>
            <w:i/>
            <w:lang w:val="en-US"/>
          </w:rPr>
          <w:t>13.COM 13</w:t>
        </w:r>
      </w:hyperlink>
    </w:p>
    <w:p w14:paraId="7542654E" w14:textId="1CB049B5" w:rsidR="00877914" w:rsidRPr="00813D19" w:rsidRDefault="00877914" w:rsidP="007C3FE7">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w:t>
      </w:r>
      <w:r w:rsidR="004E3A28" w:rsidRPr="00813D19">
        <w:rPr>
          <w:color w:val="000000" w:themeColor="text1"/>
          <w:lang w:val="en-US"/>
        </w:rPr>
        <w:t xml:space="preserve">then </w:t>
      </w:r>
      <w:r w:rsidR="00A40BA5" w:rsidRPr="00813D19">
        <w:rPr>
          <w:color w:val="000000" w:themeColor="text1"/>
          <w:lang w:val="en-US"/>
        </w:rPr>
        <w:t>proceeded</w:t>
      </w:r>
      <w:r w:rsidR="00634D0B">
        <w:rPr>
          <w:color w:val="000000" w:themeColor="text1"/>
          <w:lang w:val="en-US"/>
        </w:rPr>
        <w:t xml:space="preserve"> to agenda item 13.</w:t>
      </w:r>
    </w:p>
    <w:p w14:paraId="37F6E071" w14:textId="6621C284" w:rsidR="004367F9" w:rsidRPr="00813D19" w:rsidRDefault="00A45E37" w:rsidP="003A0163">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w:t>
      </w:r>
      <w:r w:rsidR="00877914" w:rsidRPr="00813D19">
        <w:rPr>
          <w:b/>
          <w:color w:val="000000" w:themeColor="text1"/>
          <w:lang w:val="en-US"/>
        </w:rPr>
        <w:t>Secretary</w:t>
      </w:r>
      <w:r w:rsidR="00877914" w:rsidRPr="00813D19">
        <w:rPr>
          <w:color w:val="000000" w:themeColor="text1"/>
          <w:lang w:val="en-US"/>
        </w:rPr>
        <w:t xml:space="preserve"> </w:t>
      </w:r>
      <w:r w:rsidR="003A0163" w:rsidRPr="00813D19">
        <w:rPr>
          <w:lang w:val="en-US"/>
        </w:rPr>
        <w:t>recall</w:t>
      </w:r>
      <w:r w:rsidR="004E3A28" w:rsidRPr="00813D19">
        <w:rPr>
          <w:lang w:val="en-US"/>
        </w:rPr>
        <w:t>ed</w:t>
      </w:r>
      <w:r w:rsidR="003A0163" w:rsidRPr="00813D19">
        <w:rPr>
          <w:lang w:val="en-US"/>
        </w:rPr>
        <w:t xml:space="preserve"> that </w:t>
      </w:r>
      <w:r w:rsidR="00230DD5" w:rsidRPr="00813D19">
        <w:rPr>
          <w:lang w:val="en-US"/>
        </w:rPr>
        <w:t>in 2017</w:t>
      </w:r>
      <w:r w:rsidR="007D057A" w:rsidRPr="00813D19">
        <w:rPr>
          <w:lang w:val="en-US"/>
        </w:rPr>
        <w:t>,</w:t>
      </w:r>
      <w:r w:rsidR="00230DD5" w:rsidRPr="00813D19">
        <w:rPr>
          <w:lang w:val="en-US"/>
        </w:rPr>
        <w:t xml:space="preserve"> </w:t>
      </w:r>
      <w:r w:rsidR="003A0163" w:rsidRPr="00813D19">
        <w:rPr>
          <w:lang w:val="en-US"/>
        </w:rPr>
        <w:t>the Co</w:t>
      </w:r>
      <w:r w:rsidR="00520C61" w:rsidRPr="00813D19">
        <w:rPr>
          <w:lang w:val="en-US"/>
        </w:rPr>
        <w:t xml:space="preserve">mmittee </w:t>
      </w:r>
      <w:r w:rsidR="005A1F33">
        <w:rPr>
          <w:lang w:val="en-US"/>
        </w:rPr>
        <w:t xml:space="preserve">had </w:t>
      </w:r>
      <w:r w:rsidR="00520C61" w:rsidRPr="00813D19">
        <w:rPr>
          <w:lang w:val="en-US"/>
        </w:rPr>
        <w:t>invited the Secretariat—</w:t>
      </w:r>
      <w:r w:rsidR="007D057A" w:rsidRPr="00813D19">
        <w:rPr>
          <w:lang w:val="en-US"/>
        </w:rPr>
        <w:t>in cons</w:t>
      </w:r>
      <w:r w:rsidR="00520C61" w:rsidRPr="00813D19">
        <w:rPr>
          <w:lang w:val="en-US"/>
        </w:rPr>
        <w:t>ultation with accredited NGOs—</w:t>
      </w:r>
      <w:r w:rsidR="003A0163" w:rsidRPr="00813D19">
        <w:rPr>
          <w:lang w:val="en-US"/>
        </w:rPr>
        <w:t xml:space="preserve">and the informal </w:t>
      </w:r>
      <w:r w:rsidR="00230DD5" w:rsidRPr="00813D19">
        <w:rPr>
          <w:lang w:val="en-US"/>
        </w:rPr>
        <w:t>ad hoc working group to reflect</w:t>
      </w:r>
      <w:r w:rsidR="003A0163" w:rsidRPr="00813D19">
        <w:rPr>
          <w:lang w:val="en-US"/>
        </w:rPr>
        <w:t xml:space="preserve"> on ways </w:t>
      </w:r>
      <w:r w:rsidR="007D057A" w:rsidRPr="00813D19">
        <w:rPr>
          <w:lang w:val="en-US"/>
        </w:rPr>
        <w:t xml:space="preserve">to enhance the </w:t>
      </w:r>
      <w:r w:rsidR="003A0163" w:rsidRPr="00813D19">
        <w:rPr>
          <w:lang w:val="en-US"/>
        </w:rPr>
        <w:t xml:space="preserve">participation of NGOs. This request was made in the context of debates on the identification and definition of advisory functions that </w:t>
      </w:r>
      <w:r w:rsidR="007D057A" w:rsidRPr="00813D19">
        <w:rPr>
          <w:lang w:val="en-US"/>
        </w:rPr>
        <w:t xml:space="preserve">could be fulfilled by accredited NGOs, </w:t>
      </w:r>
      <w:r w:rsidR="003A0163" w:rsidRPr="00813D19">
        <w:rPr>
          <w:lang w:val="en-US"/>
        </w:rPr>
        <w:t xml:space="preserve">expressed as </w:t>
      </w:r>
      <w:r w:rsidR="003A0163" w:rsidRPr="00813D19">
        <w:rPr>
          <w:i/>
          <w:lang w:val="en-US"/>
        </w:rPr>
        <w:t>inter alia</w:t>
      </w:r>
      <w:r w:rsidR="003A0163" w:rsidRPr="00813D19">
        <w:rPr>
          <w:lang w:val="en-US"/>
        </w:rPr>
        <w:t xml:space="preserve"> functions in paragraph 96 of the Operational Directives. </w:t>
      </w:r>
      <w:r w:rsidR="007D057A" w:rsidRPr="00813D19">
        <w:rPr>
          <w:lang w:val="en-US"/>
        </w:rPr>
        <w:t>D</w:t>
      </w:r>
      <w:r w:rsidR="003A0163" w:rsidRPr="00813D19">
        <w:rPr>
          <w:lang w:val="en-US"/>
        </w:rPr>
        <w:t xml:space="preserve">ocument </w:t>
      </w:r>
      <w:r w:rsidR="007D057A" w:rsidRPr="00813D19">
        <w:rPr>
          <w:lang w:val="en-US"/>
        </w:rPr>
        <w:t>13.COM 13 highlights</w:t>
      </w:r>
      <w:r w:rsidR="003A0163" w:rsidRPr="00813D19">
        <w:rPr>
          <w:lang w:val="en-US"/>
        </w:rPr>
        <w:t xml:space="preserve"> the preliminary analysis undertaken by the Secretariat</w:t>
      </w:r>
      <w:r w:rsidR="007D057A" w:rsidRPr="00813D19">
        <w:rPr>
          <w:lang w:val="en-US"/>
        </w:rPr>
        <w:t xml:space="preserve"> in this regard</w:t>
      </w:r>
      <w:r w:rsidR="003A0163" w:rsidRPr="00813D19">
        <w:rPr>
          <w:lang w:val="en-US"/>
        </w:rPr>
        <w:t xml:space="preserve">. The informal ad hoc working group </w:t>
      </w:r>
      <w:r w:rsidR="007D057A" w:rsidRPr="00813D19">
        <w:rPr>
          <w:lang w:val="en-US"/>
        </w:rPr>
        <w:t xml:space="preserve">was also reflecting </w:t>
      </w:r>
      <w:r w:rsidR="003A0163" w:rsidRPr="00813D19">
        <w:rPr>
          <w:lang w:val="en-US"/>
        </w:rPr>
        <w:t xml:space="preserve">on possible ways </w:t>
      </w:r>
      <w:r w:rsidR="007D057A" w:rsidRPr="00813D19">
        <w:rPr>
          <w:lang w:val="en-US"/>
        </w:rPr>
        <w:t xml:space="preserve">to further enhance the </w:t>
      </w:r>
      <w:r w:rsidR="003A0163" w:rsidRPr="00813D19">
        <w:rPr>
          <w:lang w:val="en-US"/>
        </w:rPr>
        <w:t xml:space="preserve">participation of NGOs in the framework of the Convention and how </w:t>
      </w:r>
      <w:r w:rsidR="007D057A" w:rsidRPr="00813D19">
        <w:rPr>
          <w:lang w:val="en-US"/>
        </w:rPr>
        <w:t xml:space="preserve">it </w:t>
      </w:r>
      <w:r w:rsidR="003A0163" w:rsidRPr="00813D19">
        <w:rPr>
          <w:lang w:val="en-US"/>
        </w:rPr>
        <w:t xml:space="preserve">would be reflected in the accreditation and renewal mechanisms of NGOs. Following the twelfth session of the Committee in 2017, the Secretariat proposed facilitating </w:t>
      </w:r>
      <w:r w:rsidR="007D057A" w:rsidRPr="00813D19">
        <w:rPr>
          <w:lang w:val="en-US"/>
        </w:rPr>
        <w:t xml:space="preserve">this </w:t>
      </w:r>
      <w:r w:rsidR="003A0163" w:rsidRPr="00813D19">
        <w:rPr>
          <w:lang w:val="en-US"/>
        </w:rPr>
        <w:t>reflection through a multistep consultation process leading up to the</w:t>
      </w:r>
      <w:r w:rsidR="007D057A" w:rsidRPr="00813D19">
        <w:rPr>
          <w:lang w:val="en-US"/>
        </w:rPr>
        <w:t xml:space="preserve"> fourteenth session in 2019, which </w:t>
      </w:r>
      <w:r w:rsidR="005A1F33">
        <w:rPr>
          <w:lang w:val="en-US"/>
        </w:rPr>
        <w:t>was</w:t>
      </w:r>
      <w:r w:rsidR="005A1F33" w:rsidRPr="00813D19">
        <w:rPr>
          <w:lang w:val="en-US"/>
        </w:rPr>
        <w:t xml:space="preserve"> </w:t>
      </w:r>
      <w:r w:rsidR="003A0163" w:rsidRPr="00813D19">
        <w:rPr>
          <w:lang w:val="en-US"/>
        </w:rPr>
        <w:t xml:space="preserve">supported by the </w:t>
      </w:r>
      <w:r w:rsidR="007D057A" w:rsidRPr="00813D19">
        <w:rPr>
          <w:lang w:val="en-US"/>
        </w:rPr>
        <w:t xml:space="preserve">ICH </w:t>
      </w:r>
      <w:r w:rsidR="003A0163" w:rsidRPr="00813D19">
        <w:rPr>
          <w:lang w:val="en-US"/>
        </w:rPr>
        <w:t xml:space="preserve">Fund through funds allocated </w:t>
      </w:r>
      <w:r w:rsidR="00E613E0" w:rsidRPr="00813D19">
        <w:rPr>
          <w:lang w:val="en-US"/>
        </w:rPr>
        <w:t>under</w:t>
      </w:r>
      <w:r w:rsidR="003A0163" w:rsidRPr="00813D19">
        <w:rPr>
          <w:lang w:val="en-US"/>
        </w:rPr>
        <w:t xml:space="preserve"> ‘other functions of the Committee’. </w:t>
      </w:r>
      <w:r w:rsidR="007D057A" w:rsidRPr="00813D19">
        <w:rPr>
          <w:lang w:val="en-US"/>
        </w:rPr>
        <w:t>Regarding the t</w:t>
      </w:r>
      <w:r w:rsidR="003A0163" w:rsidRPr="00813D19">
        <w:rPr>
          <w:lang w:val="en-US"/>
        </w:rPr>
        <w:t xml:space="preserve">imeline of </w:t>
      </w:r>
      <w:r w:rsidR="007D057A" w:rsidRPr="00813D19">
        <w:rPr>
          <w:lang w:val="en-US"/>
        </w:rPr>
        <w:t xml:space="preserve">the </w:t>
      </w:r>
      <w:r w:rsidR="003A0163" w:rsidRPr="00813D19">
        <w:rPr>
          <w:lang w:val="en-US"/>
        </w:rPr>
        <w:t>reflection process</w:t>
      </w:r>
      <w:r w:rsidR="00B708B2" w:rsidRPr="00813D19">
        <w:rPr>
          <w:lang w:val="en-US"/>
        </w:rPr>
        <w:t xml:space="preserve">, following </w:t>
      </w:r>
      <w:r w:rsidR="003A0163" w:rsidRPr="00813D19">
        <w:rPr>
          <w:lang w:val="en-US"/>
        </w:rPr>
        <w:t xml:space="preserve">a launch in April 2018, the consultation process started with preliminary consultations from May to August with the steering committee of the ICH NGO Forum and the co-chairpersons of the informal ad hoc working group. </w:t>
      </w:r>
      <w:r w:rsidR="00B708B2" w:rsidRPr="00813D19">
        <w:rPr>
          <w:lang w:val="en-US"/>
        </w:rPr>
        <w:t>R</w:t>
      </w:r>
      <w:r w:rsidR="003A0163" w:rsidRPr="00813D19">
        <w:rPr>
          <w:lang w:val="en-US"/>
        </w:rPr>
        <w:t xml:space="preserve">epresentatives from States Parties and the NGO Forum </w:t>
      </w:r>
      <w:r w:rsidR="00B708B2" w:rsidRPr="00813D19">
        <w:rPr>
          <w:lang w:val="en-US"/>
        </w:rPr>
        <w:t xml:space="preserve">were able </w:t>
      </w:r>
      <w:r w:rsidR="003A0163" w:rsidRPr="00813D19">
        <w:rPr>
          <w:lang w:val="en-US"/>
        </w:rPr>
        <w:t xml:space="preserve">to exchange their respective experiences and expectations regarding the accreditation system. In September 2018, an electronic consultation was initiated with a communication sent to all 176 accredited NGOs and 178 States Parties to the Convention. This aimed to gather ideas and comments on the potential advisory functions </w:t>
      </w:r>
      <w:r w:rsidR="00B708B2" w:rsidRPr="00813D19">
        <w:rPr>
          <w:lang w:val="en-US"/>
        </w:rPr>
        <w:t xml:space="preserve">of </w:t>
      </w:r>
      <w:r w:rsidR="003A0163" w:rsidRPr="00813D19">
        <w:rPr>
          <w:lang w:val="en-US"/>
        </w:rPr>
        <w:t xml:space="preserve">accredited NGOs and possible ways forward for the accreditation system. A total of </w:t>
      </w:r>
      <w:r w:rsidR="005A1F33">
        <w:rPr>
          <w:lang w:val="en-US"/>
        </w:rPr>
        <w:t>sixty-five</w:t>
      </w:r>
      <w:r w:rsidR="005A1F33" w:rsidRPr="00813D19">
        <w:rPr>
          <w:lang w:val="en-US"/>
        </w:rPr>
        <w:t> </w:t>
      </w:r>
      <w:r w:rsidR="003A0163" w:rsidRPr="00813D19">
        <w:rPr>
          <w:lang w:val="en-US"/>
        </w:rPr>
        <w:t xml:space="preserve">accredited NGOs and </w:t>
      </w:r>
      <w:r w:rsidR="005A1F33">
        <w:rPr>
          <w:lang w:val="en-US"/>
        </w:rPr>
        <w:t>thirty-three</w:t>
      </w:r>
      <w:r w:rsidR="005A1F33" w:rsidRPr="00813D19">
        <w:rPr>
          <w:lang w:val="en-US"/>
        </w:rPr>
        <w:t> </w:t>
      </w:r>
      <w:r w:rsidR="003A0163" w:rsidRPr="00813D19">
        <w:rPr>
          <w:lang w:val="en-US"/>
        </w:rPr>
        <w:t xml:space="preserve">States Parties from all six regions took part in this electronic consultation. </w:t>
      </w:r>
      <w:r w:rsidR="00B708B2" w:rsidRPr="00813D19">
        <w:rPr>
          <w:lang w:val="en-US"/>
        </w:rPr>
        <w:t xml:space="preserve">The Secretariat was </w:t>
      </w:r>
      <w:r w:rsidR="003A0163" w:rsidRPr="00813D19">
        <w:rPr>
          <w:lang w:val="en-US"/>
        </w:rPr>
        <w:t>sti</w:t>
      </w:r>
      <w:r w:rsidR="00E613E0" w:rsidRPr="00813D19">
        <w:rPr>
          <w:lang w:val="en-US"/>
        </w:rPr>
        <w:t xml:space="preserve">ll in the </w:t>
      </w:r>
      <w:r w:rsidR="00B708B2" w:rsidRPr="00813D19">
        <w:rPr>
          <w:lang w:val="en-US"/>
        </w:rPr>
        <w:t xml:space="preserve">very </w:t>
      </w:r>
      <w:r w:rsidR="00E613E0" w:rsidRPr="00813D19">
        <w:rPr>
          <w:lang w:val="en-US"/>
        </w:rPr>
        <w:t>early stages of analy</w:t>
      </w:r>
      <w:r w:rsidR="00A84307">
        <w:rPr>
          <w:lang w:val="en-US"/>
        </w:rPr>
        <w:t>z</w:t>
      </w:r>
      <w:r w:rsidR="003A0163" w:rsidRPr="00813D19">
        <w:rPr>
          <w:lang w:val="en-US"/>
        </w:rPr>
        <w:t>in</w:t>
      </w:r>
      <w:r w:rsidR="00B708B2" w:rsidRPr="00813D19">
        <w:rPr>
          <w:lang w:val="en-US"/>
        </w:rPr>
        <w:t xml:space="preserve">g the responses, </w:t>
      </w:r>
      <w:r w:rsidR="003A0163" w:rsidRPr="00813D19">
        <w:rPr>
          <w:lang w:val="en-US"/>
        </w:rPr>
        <w:t>which came on 19 Octo</w:t>
      </w:r>
      <w:r w:rsidR="00E613E0" w:rsidRPr="00813D19">
        <w:rPr>
          <w:lang w:val="en-US"/>
        </w:rPr>
        <w:t>ber</w:t>
      </w:r>
      <w:r w:rsidR="00B708B2" w:rsidRPr="00813D19">
        <w:rPr>
          <w:lang w:val="en-US"/>
        </w:rPr>
        <w:t xml:space="preserve"> 2018</w:t>
      </w:r>
      <w:r w:rsidR="00E613E0" w:rsidRPr="00813D19">
        <w:rPr>
          <w:lang w:val="en-US"/>
        </w:rPr>
        <w:t xml:space="preserve">. </w:t>
      </w:r>
      <w:r w:rsidR="00B708B2" w:rsidRPr="00813D19">
        <w:rPr>
          <w:lang w:val="en-US"/>
        </w:rPr>
        <w:t>Nevertheless, b</w:t>
      </w:r>
      <w:r w:rsidR="00E613E0" w:rsidRPr="00813D19">
        <w:rPr>
          <w:lang w:val="en-US"/>
        </w:rPr>
        <w:t xml:space="preserve">ased on this preliminary </w:t>
      </w:r>
      <w:r w:rsidR="00B708B2" w:rsidRPr="00813D19">
        <w:rPr>
          <w:lang w:val="en-US"/>
        </w:rPr>
        <w:t>analysis, 82 per cent</w:t>
      </w:r>
      <w:r w:rsidR="003A0163" w:rsidRPr="00813D19">
        <w:rPr>
          <w:lang w:val="en-US"/>
        </w:rPr>
        <w:t xml:space="preserve"> of accredited NGO expressed a positive opinion regarding the impact of the accreditation system on their work. </w:t>
      </w:r>
      <w:r w:rsidR="004367F9" w:rsidRPr="00813D19">
        <w:rPr>
          <w:lang w:val="en-US"/>
        </w:rPr>
        <w:t>However</w:t>
      </w:r>
      <w:r w:rsidR="003A0163" w:rsidRPr="00813D19">
        <w:rPr>
          <w:lang w:val="en-US"/>
        </w:rPr>
        <w:t xml:space="preserve">, the consultation revealed many areas in which the current system could be improved. For instance, around half of the respondents (including accredited NGOs and States Parties) considered that the accreditation system should take into account the disparity in </w:t>
      </w:r>
      <w:r w:rsidR="005A1F33">
        <w:rPr>
          <w:lang w:val="en-US"/>
        </w:rPr>
        <w:t xml:space="preserve">the </w:t>
      </w:r>
      <w:r w:rsidR="003A0163" w:rsidRPr="00813D19">
        <w:rPr>
          <w:lang w:val="en-US"/>
        </w:rPr>
        <w:t>size and capacities of NGOs. They also recommended includ</w:t>
      </w:r>
      <w:r w:rsidR="005A1F33">
        <w:rPr>
          <w:lang w:val="en-US"/>
        </w:rPr>
        <w:t>ing</w:t>
      </w:r>
      <w:r w:rsidR="003A0163" w:rsidRPr="00813D19">
        <w:rPr>
          <w:lang w:val="en-US"/>
        </w:rPr>
        <w:t xml:space="preserve"> different types of accreditation to accommodate the various capacities and scope of NGOs. Respondents were</w:t>
      </w:r>
      <w:r w:rsidR="005A1F33">
        <w:rPr>
          <w:lang w:val="en-US"/>
        </w:rPr>
        <w:t>,</w:t>
      </w:r>
      <w:r w:rsidR="003A0163" w:rsidRPr="00813D19">
        <w:rPr>
          <w:lang w:val="en-US"/>
        </w:rPr>
        <w:t xml:space="preserve"> however</w:t>
      </w:r>
      <w:r w:rsidR="005A1F33">
        <w:rPr>
          <w:lang w:val="en-US"/>
        </w:rPr>
        <w:t>,</w:t>
      </w:r>
      <w:r w:rsidR="003A0163" w:rsidRPr="00813D19">
        <w:rPr>
          <w:lang w:val="en-US"/>
        </w:rPr>
        <w:t xml:space="preserve"> split on how these considerations would translate in terms of accr</w:t>
      </w:r>
      <w:r w:rsidR="00634D0B">
        <w:rPr>
          <w:lang w:val="en-US"/>
        </w:rPr>
        <w:t>editation criteria and process.</w:t>
      </w:r>
    </w:p>
    <w:p w14:paraId="570F08A0" w14:textId="6F6344C2" w:rsidR="003A0163" w:rsidRPr="00813D19" w:rsidRDefault="004367F9" w:rsidP="003A0163">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Pr="00813D19">
        <w:rPr>
          <w:lang w:val="en-US"/>
        </w:rPr>
        <w:t xml:space="preserve">remarked that </w:t>
      </w:r>
      <w:r w:rsidR="003A0163" w:rsidRPr="00813D19">
        <w:rPr>
          <w:lang w:val="en-US"/>
        </w:rPr>
        <w:t xml:space="preserve">these observations </w:t>
      </w:r>
      <w:r w:rsidRPr="00813D19">
        <w:rPr>
          <w:lang w:val="en-US"/>
        </w:rPr>
        <w:t xml:space="preserve">were </w:t>
      </w:r>
      <w:r w:rsidR="003A0163" w:rsidRPr="00813D19">
        <w:rPr>
          <w:lang w:val="en-US"/>
        </w:rPr>
        <w:t xml:space="preserve">only based on </w:t>
      </w:r>
      <w:r w:rsidR="001438B4" w:rsidRPr="00813D19">
        <w:rPr>
          <w:lang w:val="en-US"/>
        </w:rPr>
        <w:t xml:space="preserve">very </w:t>
      </w:r>
      <w:r w:rsidR="003A0163" w:rsidRPr="00813D19">
        <w:rPr>
          <w:lang w:val="en-US"/>
        </w:rPr>
        <w:t>initial data gathered</w:t>
      </w:r>
      <w:r w:rsidRPr="00813D19">
        <w:rPr>
          <w:lang w:val="en-US"/>
        </w:rPr>
        <w:t>, b</w:t>
      </w:r>
      <w:r w:rsidR="003A0163" w:rsidRPr="00813D19">
        <w:rPr>
          <w:lang w:val="en-US"/>
        </w:rPr>
        <w:t xml:space="preserve">ut it </w:t>
      </w:r>
      <w:r w:rsidRPr="00813D19">
        <w:rPr>
          <w:lang w:val="en-US"/>
        </w:rPr>
        <w:t xml:space="preserve">was </w:t>
      </w:r>
      <w:r w:rsidR="003A0163" w:rsidRPr="00813D19">
        <w:rPr>
          <w:lang w:val="en-US"/>
        </w:rPr>
        <w:t xml:space="preserve">already clear that the heterogeneity of accredited NGOs </w:t>
      </w:r>
      <w:r w:rsidR="005A1F33">
        <w:rPr>
          <w:lang w:val="en-US"/>
        </w:rPr>
        <w:t>would</w:t>
      </w:r>
      <w:r w:rsidR="005A1F33" w:rsidRPr="00813D19">
        <w:rPr>
          <w:lang w:val="en-US"/>
        </w:rPr>
        <w:t xml:space="preserve"> </w:t>
      </w:r>
      <w:r w:rsidR="003A0163" w:rsidRPr="00813D19">
        <w:rPr>
          <w:lang w:val="en-US"/>
        </w:rPr>
        <w:t>lead to a diversity of opinions and suggestions regarding the future of the accreditation system. These might include the introduction of additional criteria, different types of accreditation system</w:t>
      </w:r>
      <w:r w:rsidRPr="00813D19">
        <w:rPr>
          <w:lang w:val="en-US"/>
        </w:rPr>
        <w:t>,</w:t>
      </w:r>
      <w:r w:rsidR="003A0163" w:rsidRPr="00813D19">
        <w:rPr>
          <w:lang w:val="en-US"/>
        </w:rPr>
        <w:t xml:space="preserve"> or specific measures to improve the geographic balance of accredited NGOs. However, </w:t>
      </w:r>
      <w:r w:rsidR="001438B4" w:rsidRPr="00813D19">
        <w:rPr>
          <w:lang w:val="en-US"/>
        </w:rPr>
        <w:t xml:space="preserve">these </w:t>
      </w:r>
      <w:r w:rsidR="003A0163" w:rsidRPr="00813D19">
        <w:rPr>
          <w:lang w:val="en-US"/>
        </w:rPr>
        <w:t xml:space="preserve">measures </w:t>
      </w:r>
      <w:r w:rsidR="005A1F33">
        <w:rPr>
          <w:lang w:val="en-US"/>
        </w:rPr>
        <w:t>would</w:t>
      </w:r>
      <w:r w:rsidR="005A1F33" w:rsidRPr="00813D19">
        <w:rPr>
          <w:lang w:val="en-US"/>
        </w:rPr>
        <w:t xml:space="preserve"> </w:t>
      </w:r>
      <w:r w:rsidR="003A0163" w:rsidRPr="00813D19">
        <w:rPr>
          <w:lang w:val="en-US"/>
        </w:rPr>
        <w:t xml:space="preserve">depend on the </w:t>
      </w:r>
      <w:r w:rsidRPr="00813D19">
        <w:rPr>
          <w:lang w:val="en-US"/>
        </w:rPr>
        <w:t xml:space="preserve">future </w:t>
      </w:r>
      <w:r w:rsidR="003A0163" w:rsidRPr="00813D19">
        <w:rPr>
          <w:lang w:val="en-US"/>
        </w:rPr>
        <w:t xml:space="preserve">advisory functions </w:t>
      </w:r>
      <w:r w:rsidRPr="00813D19">
        <w:rPr>
          <w:lang w:val="en-US"/>
        </w:rPr>
        <w:t xml:space="preserve">of the </w:t>
      </w:r>
      <w:r w:rsidR="003A0163" w:rsidRPr="00813D19">
        <w:rPr>
          <w:lang w:val="en-US"/>
        </w:rPr>
        <w:t>NGOs</w:t>
      </w:r>
      <w:r w:rsidRPr="00813D19">
        <w:rPr>
          <w:lang w:val="en-US"/>
        </w:rPr>
        <w:t>, i.e. H</w:t>
      </w:r>
      <w:r w:rsidR="003A0163" w:rsidRPr="00813D19">
        <w:rPr>
          <w:lang w:val="en-US"/>
        </w:rPr>
        <w:t xml:space="preserve">ow does the Committee wish NGOs to concretely contribute to its work? Together with the debates of the </w:t>
      </w:r>
      <w:r w:rsidR="00A51521" w:rsidRPr="00813D19">
        <w:rPr>
          <w:lang w:val="en-US"/>
        </w:rPr>
        <w:t>Committee and those of the ICH</w:t>
      </w:r>
      <w:r w:rsidR="003A0163" w:rsidRPr="00813D19">
        <w:rPr>
          <w:lang w:val="en-US"/>
        </w:rPr>
        <w:t xml:space="preserve">NGO Forum during </w:t>
      </w:r>
      <w:r w:rsidRPr="00813D19">
        <w:rPr>
          <w:lang w:val="en-US"/>
        </w:rPr>
        <w:t>the present session</w:t>
      </w:r>
      <w:r w:rsidR="003A0163" w:rsidRPr="00813D19">
        <w:rPr>
          <w:lang w:val="en-US"/>
        </w:rPr>
        <w:t xml:space="preserve">, the electronic consultation </w:t>
      </w:r>
      <w:r w:rsidR="005A1F33">
        <w:rPr>
          <w:lang w:val="en-US"/>
        </w:rPr>
        <w:t>would</w:t>
      </w:r>
      <w:r w:rsidR="005A1F33" w:rsidRPr="00813D19">
        <w:rPr>
          <w:lang w:val="en-US"/>
        </w:rPr>
        <w:t xml:space="preserve"> </w:t>
      </w:r>
      <w:r w:rsidR="003A0163" w:rsidRPr="00813D19">
        <w:rPr>
          <w:lang w:val="en-US"/>
        </w:rPr>
        <w:t xml:space="preserve">feed into the working documents of a consultation meeting to be held at UNESCO Headquarters in the </w:t>
      </w:r>
      <w:r w:rsidR="001438B4" w:rsidRPr="00813D19">
        <w:rPr>
          <w:lang w:val="en-US"/>
        </w:rPr>
        <w:t>s</w:t>
      </w:r>
      <w:r w:rsidR="003A0163" w:rsidRPr="00813D19">
        <w:rPr>
          <w:lang w:val="en-US"/>
        </w:rPr>
        <w:t>pring of 2019, involvi</w:t>
      </w:r>
      <w:r w:rsidR="00A51521" w:rsidRPr="00813D19">
        <w:rPr>
          <w:lang w:val="en-US"/>
        </w:rPr>
        <w:t>ng representatives from the ICH</w:t>
      </w:r>
      <w:r w:rsidR="003A0163" w:rsidRPr="00813D19">
        <w:rPr>
          <w:lang w:val="en-US"/>
        </w:rPr>
        <w:t xml:space="preserve">NGO Forum and the </w:t>
      </w:r>
      <w:r w:rsidR="001438B4" w:rsidRPr="00813D19">
        <w:rPr>
          <w:lang w:val="en-US"/>
        </w:rPr>
        <w:t>informal ad hoc working group. T</w:t>
      </w:r>
      <w:r w:rsidR="003A0163" w:rsidRPr="00813D19">
        <w:rPr>
          <w:lang w:val="en-US"/>
        </w:rPr>
        <w:t xml:space="preserve">he meeting </w:t>
      </w:r>
      <w:r w:rsidR="005A1F33">
        <w:rPr>
          <w:lang w:val="en-US"/>
        </w:rPr>
        <w:t xml:space="preserve">would </w:t>
      </w:r>
      <w:r w:rsidRPr="00813D19">
        <w:rPr>
          <w:lang w:val="en-US"/>
        </w:rPr>
        <w:t xml:space="preserve">focus on </w:t>
      </w:r>
      <w:r w:rsidR="001438B4" w:rsidRPr="00813D19">
        <w:rPr>
          <w:lang w:val="en-US"/>
        </w:rPr>
        <w:t>identifying</w:t>
      </w:r>
      <w:r w:rsidR="003A0163" w:rsidRPr="00813D19">
        <w:rPr>
          <w:lang w:val="en-US"/>
        </w:rPr>
        <w:t xml:space="preserve"> the </w:t>
      </w:r>
      <w:r w:rsidR="003A0163" w:rsidRPr="00813D19">
        <w:rPr>
          <w:i/>
          <w:lang w:val="en-US"/>
        </w:rPr>
        <w:t>inter alia</w:t>
      </w:r>
      <w:r w:rsidR="003A0163" w:rsidRPr="00813D19">
        <w:rPr>
          <w:lang w:val="en-US"/>
        </w:rPr>
        <w:t xml:space="preserve"> functions of NGOs. At the next session of the Committee in December 2019, </w:t>
      </w:r>
      <w:r w:rsidRPr="00813D19">
        <w:rPr>
          <w:lang w:val="en-US"/>
        </w:rPr>
        <w:t xml:space="preserve">the </w:t>
      </w:r>
      <w:r w:rsidR="003A0163" w:rsidRPr="00813D19">
        <w:rPr>
          <w:lang w:val="en-US"/>
        </w:rPr>
        <w:t xml:space="preserve">Secretariat </w:t>
      </w:r>
      <w:r w:rsidRPr="00813D19">
        <w:rPr>
          <w:lang w:val="en-US"/>
        </w:rPr>
        <w:t xml:space="preserve">planned to </w:t>
      </w:r>
      <w:r w:rsidR="003A0163" w:rsidRPr="00813D19">
        <w:rPr>
          <w:lang w:val="en-US"/>
        </w:rPr>
        <w:t xml:space="preserve">report to the Committee on the outcomes of the consultation meeting. If the proposed redefined accreditation system of NGOs </w:t>
      </w:r>
      <w:r w:rsidR="00A51521" w:rsidRPr="00813D19">
        <w:rPr>
          <w:lang w:val="en-US"/>
        </w:rPr>
        <w:t>required</w:t>
      </w:r>
      <w:r w:rsidR="003A0163" w:rsidRPr="00813D19">
        <w:rPr>
          <w:lang w:val="en-US"/>
        </w:rPr>
        <w:t xml:space="preserve"> the revision of the Operational Directives, the Committee may wish to discuss this at its fourteenth session, with a view to possibly submitting draft revised Operational Directives to the eighth session of the General Assembly of States Parties in 2020.</w:t>
      </w:r>
    </w:p>
    <w:p w14:paraId="40320DFC" w14:textId="5E731BCC" w:rsidR="001438B4" w:rsidRPr="00813D19" w:rsidRDefault="001438B4" w:rsidP="003A0163">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thank</w:t>
      </w:r>
      <w:r w:rsidR="002572A3" w:rsidRPr="00813D19">
        <w:rPr>
          <w:color w:val="000000" w:themeColor="text1"/>
          <w:lang w:val="en-US"/>
        </w:rPr>
        <w:t>e</w:t>
      </w:r>
      <w:r w:rsidRPr="00813D19">
        <w:rPr>
          <w:color w:val="000000" w:themeColor="text1"/>
          <w:lang w:val="en-US"/>
        </w:rPr>
        <w:t>d the Secretary for presenting the steps of the reflection process</w:t>
      </w:r>
      <w:r w:rsidR="00634D0B">
        <w:rPr>
          <w:color w:val="000000" w:themeColor="text1"/>
          <w:lang w:val="en-US"/>
        </w:rPr>
        <w:t>, opening the floor for debate.</w:t>
      </w:r>
    </w:p>
    <w:p w14:paraId="3056EC69" w14:textId="446EDCC9" w:rsidR="00A45E37" w:rsidRPr="00813D19" w:rsidRDefault="00A45E37"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Philippines</w:t>
      </w:r>
      <w:r w:rsidR="00F67724" w:rsidRPr="00813D19">
        <w:rPr>
          <w:b/>
          <w:color w:val="000000" w:themeColor="text1"/>
          <w:lang w:val="en-US"/>
        </w:rPr>
        <w:t xml:space="preserve"> </w:t>
      </w:r>
      <w:r w:rsidR="00432FFC" w:rsidRPr="00813D19">
        <w:rPr>
          <w:color w:val="000000" w:themeColor="text1"/>
          <w:lang w:val="en-US"/>
        </w:rPr>
        <w:t>remarked that</w:t>
      </w:r>
      <w:r w:rsidR="00432FFC" w:rsidRPr="00813D19">
        <w:rPr>
          <w:b/>
          <w:color w:val="000000" w:themeColor="text1"/>
          <w:lang w:val="en-US"/>
        </w:rPr>
        <w:t xml:space="preserve"> </w:t>
      </w:r>
      <w:r w:rsidR="00F67724" w:rsidRPr="00813D19">
        <w:rPr>
          <w:bCs/>
          <w:lang w:val="en-US"/>
        </w:rPr>
        <w:t xml:space="preserve">the lack of geographical balance in the current NGO network </w:t>
      </w:r>
      <w:r w:rsidR="00432FFC" w:rsidRPr="00813D19">
        <w:rPr>
          <w:bCs/>
          <w:lang w:val="en-US"/>
        </w:rPr>
        <w:t xml:space="preserve">was </w:t>
      </w:r>
      <w:r w:rsidR="00F67724" w:rsidRPr="00813D19">
        <w:rPr>
          <w:bCs/>
          <w:lang w:val="en-US"/>
        </w:rPr>
        <w:t>a cause for concern</w:t>
      </w:r>
      <w:r w:rsidR="00432FFC" w:rsidRPr="00813D19">
        <w:rPr>
          <w:bCs/>
          <w:lang w:val="en-US"/>
        </w:rPr>
        <w:t>,</w:t>
      </w:r>
      <w:r w:rsidR="00F67724" w:rsidRPr="00813D19">
        <w:rPr>
          <w:bCs/>
          <w:lang w:val="en-US"/>
        </w:rPr>
        <w:t xml:space="preserve"> as only accredited NGOs </w:t>
      </w:r>
      <w:r w:rsidR="00432FFC" w:rsidRPr="00813D19">
        <w:rPr>
          <w:bCs/>
          <w:lang w:val="en-US"/>
        </w:rPr>
        <w:t xml:space="preserve">were </w:t>
      </w:r>
      <w:r w:rsidR="00F67724" w:rsidRPr="00813D19">
        <w:rPr>
          <w:bCs/>
          <w:lang w:val="en-US"/>
        </w:rPr>
        <w:t>involved in the consultation process with States Parties and this would in some sense merely continue the imbalance in the system. As indicated on page 2 of the document</w:t>
      </w:r>
      <w:r w:rsidR="00432FFC" w:rsidRPr="00813D19">
        <w:rPr>
          <w:bCs/>
          <w:lang w:val="en-US"/>
        </w:rPr>
        <w:t>, the co-C</w:t>
      </w:r>
      <w:r w:rsidR="00F67724" w:rsidRPr="00813D19">
        <w:rPr>
          <w:bCs/>
          <w:lang w:val="en-US"/>
        </w:rPr>
        <w:t xml:space="preserve">hairs of the ad hoc working group </w:t>
      </w:r>
      <w:r w:rsidR="00432FFC" w:rsidRPr="00813D19">
        <w:rPr>
          <w:bCs/>
          <w:lang w:val="en-US"/>
        </w:rPr>
        <w:t xml:space="preserve">had </w:t>
      </w:r>
      <w:r w:rsidR="00F67724" w:rsidRPr="00813D19">
        <w:rPr>
          <w:bCs/>
          <w:lang w:val="en-US"/>
        </w:rPr>
        <w:t xml:space="preserve">a good informal brainstorming </w:t>
      </w:r>
      <w:r w:rsidR="00A51521" w:rsidRPr="00813D19">
        <w:rPr>
          <w:bCs/>
          <w:lang w:val="en-US"/>
        </w:rPr>
        <w:t>with representatives of the ICH</w:t>
      </w:r>
      <w:r w:rsidR="00432FFC" w:rsidRPr="00813D19">
        <w:rPr>
          <w:bCs/>
          <w:lang w:val="en-US"/>
        </w:rPr>
        <w:t xml:space="preserve">NGO </w:t>
      </w:r>
      <w:r w:rsidR="00F67724" w:rsidRPr="00813D19">
        <w:rPr>
          <w:bCs/>
          <w:lang w:val="en-US"/>
        </w:rPr>
        <w:t xml:space="preserve">Forum earlier </w:t>
      </w:r>
      <w:r w:rsidR="00432FFC" w:rsidRPr="00813D19">
        <w:rPr>
          <w:bCs/>
          <w:lang w:val="en-US"/>
        </w:rPr>
        <w:t>in 2018</w:t>
      </w:r>
      <w:r w:rsidR="00F67724" w:rsidRPr="00813D19">
        <w:rPr>
          <w:bCs/>
          <w:lang w:val="en-US"/>
        </w:rPr>
        <w:t xml:space="preserve">. Some ideas and issues </w:t>
      </w:r>
      <w:r w:rsidR="00432FFC" w:rsidRPr="00813D19">
        <w:rPr>
          <w:bCs/>
          <w:lang w:val="en-US"/>
        </w:rPr>
        <w:t>were: i</w:t>
      </w:r>
      <w:r w:rsidR="00F67724" w:rsidRPr="00813D19">
        <w:rPr>
          <w:bCs/>
          <w:lang w:val="en-US"/>
        </w:rPr>
        <w:t>) revie</w:t>
      </w:r>
      <w:r w:rsidR="00432FFC" w:rsidRPr="00813D19">
        <w:rPr>
          <w:bCs/>
          <w:lang w:val="en-US"/>
        </w:rPr>
        <w:t>wing the governance of the NGO n</w:t>
      </w:r>
      <w:r w:rsidR="00F67724" w:rsidRPr="00813D19">
        <w:rPr>
          <w:bCs/>
          <w:lang w:val="en-US"/>
        </w:rPr>
        <w:t xml:space="preserve">etwork to see how it </w:t>
      </w:r>
      <w:r w:rsidR="005A1F33" w:rsidRPr="00813D19">
        <w:rPr>
          <w:bCs/>
          <w:lang w:val="en-US"/>
        </w:rPr>
        <w:t>c</w:t>
      </w:r>
      <w:r w:rsidR="005A1F33">
        <w:rPr>
          <w:bCs/>
          <w:lang w:val="en-US"/>
        </w:rPr>
        <w:t>ould</w:t>
      </w:r>
      <w:r w:rsidR="005A1F33" w:rsidRPr="00813D19">
        <w:rPr>
          <w:bCs/>
          <w:lang w:val="en-US"/>
        </w:rPr>
        <w:t xml:space="preserve"> </w:t>
      </w:r>
      <w:r w:rsidR="00F67724" w:rsidRPr="00813D19">
        <w:rPr>
          <w:bCs/>
          <w:lang w:val="en-US"/>
        </w:rPr>
        <w:t>develop into a more institutional presenc</w:t>
      </w:r>
      <w:r w:rsidR="00432FFC" w:rsidRPr="00813D19">
        <w:rPr>
          <w:bCs/>
          <w:lang w:val="en-US"/>
        </w:rPr>
        <w:t>e with permanent focal points; ii</w:t>
      </w:r>
      <w:r w:rsidR="00F67724" w:rsidRPr="00813D19">
        <w:rPr>
          <w:bCs/>
          <w:lang w:val="en-US"/>
        </w:rPr>
        <w:t xml:space="preserve">) ensuring feedback to NGOs whose </w:t>
      </w:r>
      <w:r w:rsidR="00432FFC" w:rsidRPr="00813D19">
        <w:rPr>
          <w:bCs/>
          <w:lang w:val="en-US"/>
        </w:rPr>
        <w:t>applications are not approved; iii) mapping of the current NGO n</w:t>
      </w:r>
      <w:r w:rsidR="00F67724" w:rsidRPr="00813D19">
        <w:rPr>
          <w:bCs/>
          <w:lang w:val="en-US"/>
        </w:rPr>
        <w:t xml:space="preserve">etwork would be useful to determine the capacities and scope of contributions that accredited NGOs can provide to the processes and mechanisms of the </w:t>
      </w:r>
      <w:r w:rsidR="00432FFC" w:rsidRPr="00813D19">
        <w:rPr>
          <w:bCs/>
          <w:lang w:val="en-US"/>
        </w:rPr>
        <w:t xml:space="preserve">Convention, which </w:t>
      </w:r>
      <w:r w:rsidR="00F67724" w:rsidRPr="00813D19">
        <w:rPr>
          <w:bCs/>
          <w:lang w:val="en-US"/>
        </w:rPr>
        <w:t>may need a possible classification system in terms of national, regional or internati</w:t>
      </w:r>
      <w:r w:rsidR="00432FFC" w:rsidRPr="00813D19">
        <w:rPr>
          <w:bCs/>
          <w:lang w:val="en-US"/>
        </w:rPr>
        <w:t>onal activities or advocacies; iv) capacity</w:t>
      </w:r>
      <w:r w:rsidR="005A1F33">
        <w:rPr>
          <w:bCs/>
          <w:lang w:val="en-US"/>
        </w:rPr>
        <w:t xml:space="preserve"> </w:t>
      </w:r>
      <w:r w:rsidR="00F67724" w:rsidRPr="00813D19">
        <w:rPr>
          <w:bCs/>
          <w:lang w:val="en-US"/>
        </w:rPr>
        <w:t>building for NGOs would be important</w:t>
      </w:r>
      <w:r w:rsidR="00432FFC" w:rsidRPr="00813D19">
        <w:rPr>
          <w:bCs/>
          <w:lang w:val="en-US"/>
        </w:rPr>
        <w:t>,</w:t>
      </w:r>
      <w:r w:rsidR="00F67724" w:rsidRPr="00813D19">
        <w:rPr>
          <w:bCs/>
          <w:lang w:val="en-US"/>
        </w:rPr>
        <w:t xml:space="preserve"> including through a possible MOOC </w:t>
      </w:r>
      <w:r w:rsidR="00AF7E6B" w:rsidRPr="00813D19">
        <w:rPr>
          <w:bCs/>
          <w:lang w:val="en-US"/>
        </w:rPr>
        <w:t xml:space="preserve">(massive </w:t>
      </w:r>
      <w:r w:rsidR="00221F9B" w:rsidRPr="00813D19">
        <w:rPr>
          <w:bCs/>
          <w:lang w:val="en-US"/>
        </w:rPr>
        <w:t xml:space="preserve">open online course) </w:t>
      </w:r>
      <w:r w:rsidR="00F67724" w:rsidRPr="00813D19">
        <w:rPr>
          <w:bCs/>
          <w:lang w:val="en-US"/>
        </w:rPr>
        <w:t xml:space="preserve">to raise awareness and participation in the </w:t>
      </w:r>
      <w:r w:rsidR="00432FFC" w:rsidRPr="00813D19">
        <w:rPr>
          <w:bCs/>
          <w:lang w:val="en-US"/>
        </w:rPr>
        <w:t>Convention; v</w:t>
      </w:r>
      <w:r w:rsidR="00F67724" w:rsidRPr="00813D19">
        <w:rPr>
          <w:bCs/>
          <w:lang w:val="en-US"/>
        </w:rPr>
        <w:t xml:space="preserve">) incentives could be considered to address the lack of </w:t>
      </w:r>
      <w:r w:rsidR="005A1F33">
        <w:rPr>
          <w:bCs/>
          <w:lang w:val="en-US"/>
        </w:rPr>
        <w:t xml:space="preserve">an </w:t>
      </w:r>
      <w:r w:rsidR="00F67724" w:rsidRPr="00813D19">
        <w:rPr>
          <w:bCs/>
          <w:lang w:val="en-US"/>
        </w:rPr>
        <w:t>equitable g</w:t>
      </w:r>
      <w:r w:rsidR="00432FFC" w:rsidRPr="00813D19">
        <w:rPr>
          <w:bCs/>
          <w:lang w:val="en-US"/>
        </w:rPr>
        <w:t>eographical balance in the NGO n</w:t>
      </w:r>
      <w:r w:rsidR="00F67724" w:rsidRPr="00813D19">
        <w:rPr>
          <w:bCs/>
          <w:lang w:val="en-US"/>
        </w:rPr>
        <w:t>etwork and promote the establis</w:t>
      </w:r>
      <w:r w:rsidR="00432FFC" w:rsidRPr="00813D19">
        <w:rPr>
          <w:bCs/>
          <w:lang w:val="en-US"/>
        </w:rPr>
        <w:t>hment of NGOs in other regions (o</w:t>
      </w:r>
      <w:r w:rsidR="00F67724" w:rsidRPr="00813D19">
        <w:rPr>
          <w:bCs/>
          <w:lang w:val="en-US"/>
        </w:rPr>
        <w:t xml:space="preserve">ne idea was </w:t>
      </w:r>
      <w:r w:rsidR="00432FFC" w:rsidRPr="00813D19">
        <w:rPr>
          <w:bCs/>
          <w:lang w:val="en-US"/>
        </w:rPr>
        <w:t>to make</w:t>
      </w:r>
      <w:r w:rsidR="00F67724" w:rsidRPr="00813D19">
        <w:rPr>
          <w:bCs/>
          <w:lang w:val="en-US"/>
        </w:rPr>
        <w:t xml:space="preserve"> a portion of the International Assistance budget available for accredited NGOs</w:t>
      </w:r>
      <w:r w:rsidR="00432FFC" w:rsidRPr="00813D19">
        <w:rPr>
          <w:bCs/>
          <w:lang w:val="en-US"/>
        </w:rPr>
        <w:t>,</w:t>
      </w:r>
      <w:r w:rsidR="00F67724" w:rsidRPr="00813D19">
        <w:rPr>
          <w:bCs/>
          <w:lang w:val="en-US"/>
        </w:rPr>
        <w:t xml:space="preserve"> or </w:t>
      </w:r>
      <w:r w:rsidR="00432FFC" w:rsidRPr="00813D19">
        <w:rPr>
          <w:bCs/>
          <w:lang w:val="en-US"/>
        </w:rPr>
        <w:t>to create</w:t>
      </w:r>
      <w:r w:rsidR="00F67724" w:rsidRPr="00813D19">
        <w:rPr>
          <w:bCs/>
          <w:lang w:val="en-US"/>
        </w:rPr>
        <w:t xml:space="preserve"> a new budget line or fund. Another suggestion was </w:t>
      </w:r>
      <w:r w:rsidR="005A1F33">
        <w:rPr>
          <w:bCs/>
          <w:lang w:val="en-US"/>
        </w:rPr>
        <w:t>to</w:t>
      </w:r>
      <w:r w:rsidR="00F67724" w:rsidRPr="00813D19">
        <w:rPr>
          <w:bCs/>
          <w:lang w:val="en-US"/>
        </w:rPr>
        <w:t xml:space="preserve">link inscriptions on the Representative List or the Urgent Safeguarding List </w:t>
      </w:r>
      <w:r w:rsidR="00432FFC" w:rsidRPr="00813D19">
        <w:rPr>
          <w:bCs/>
          <w:lang w:val="en-US"/>
        </w:rPr>
        <w:t xml:space="preserve">to </w:t>
      </w:r>
      <w:r w:rsidR="00F67724" w:rsidRPr="00813D19">
        <w:rPr>
          <w:bCs/>
          <w:lang w:val="en-US"/>
        </w:rPr>
        <w:t>the establishment of NGOs</w:t>
      </w:r>
      <w:r w:rsidR="00432FFC" w:rsidRPr="00813D19">
        <w:rPr>
          <w:bCs/>
          <w:lang w:val="en-US"/>
        </w:rPr>
        <w:t>); vi</w:t>
      </w:r>
      <w:r w:rsidR="00F67724" w:rsidRPr="00813D19">
        <w:rPr>
          <w:bCs/>
          <w:lang w:val="en-US"/>
        </w:rPr>
        <w:t xml:space="preserve">) </w:t>
      </w:r>
      <w:r w:rsidR="00432FFC" w:rsidRPr="00813D19">
        <w:rPr>
          <w:bCs/>
          <w:lang w:val="en-US"/>
        </w:rPr>
        <w:t xml:space="preserve">the </w:t>
      </w:r>
      <w:r w:rsidR="00F67724" w:rsidRPr="00813D19">
        <w:rPr>
          <w:bCs/>
          <w:lang w:val="en-US"/>
        </w:rPr>
        <w:t>establishment of categ</w:t>
      </w:r>
      <w:r w:rsidR="00432FFC" w:rsidRPr="00813D19">
        <w:rPr>
          <w:bCs/>
          <w:lang w:val="en-US"/>
        </w:rPr>
        <w:t>ory 2 cent</w:t>
      </w:r>
      <w:r w:rsidR="00F67724" w:rsidRPr="00813D19">
        <w:rPr>
          <w:bCs/>
          <w:lang w:val="en-US"/>
        </w:rPr>
        <w:t>r</w:t>
      </w:r>
      <w:r w:rsidR="00432FFC" w:rsidRPr="00813D19">
        <w:rPr>
          <w:bCs/>
          <w:lang w:val="en-US"/>
        </w:rPr>
        <w:t>e</w:t>
      </w:r>
      <w:r w:rsidR="00F67724" w:rsidRPr="00813D19">
        <w:rPr>
          <w:bCs/>
          <w:lang w:val="en-US"/>
        </w:rPr>
        <w:t>s that could enhance en</w:t>
      </w:r>
      <w:r w:rsidR="00432FFC" w:rsidRPr="00813D19">
        <w:rPr>
          <w:bCs/>
          <w:lang w:val="en-US"/>
        </w:rPr>
        <w:t>gagement with accredited NGOs; vii</w:t>
      </w:r>
      <w:r w:rsidR="00F67724" w:rsidRPr="00813D19">
        <w:rPr>
          <w:bCs/>
          <w:lang w:val="en-US"/>
        </w:rPr>
        <w:t xml:space="preserve">) in terms of the </w:t>
      </w:r>
      <w:r w:rsidR="00F67724" w:rsidRPr="00813D19">
        <w:rPr>
          <w:bCs/>
          <w:i/>
          <w:lang w:val="en-US"/>
        </w:rPr>
        <w:t>inter alia</w:t>
      </w:r>
      <w:r w:rsidR="00F67724" w:rsidRPr="00813D19">
        <w:rPr>
          <w:bCs/>
          <w:lang w:val="en-US"/>
        </w:rPr>
        <w:t xml:space="preserve"> advisory services </w:t>
      </w:r>
      <w:r w:rsidR="00432FFC" w:rsidRPr="00813D19">
        <w:rPr>
          <w:bCs/>
          <w:lang w:val="en-US"/>
        </w:rPr>
        <w:t xml:space="preserve">outside of </w:t>
      </w:r>
      <w:r w:rsidR="00F67724" w:rsidRPr="00813D19">
        <w:rPr>
          <w:bCs/>
          <w:lang w:val="en-US"/>
        </w:rPr>
        <w:t>membership in the Evaluation Body</w:t>
      </w:r>
      <w:r w:rsidR="00432FFC" w:rsidRPr="00813D19">
        <w:rPr>
          <w:bCs/>
          <w:lang w:val="en-US"/>
        </w:rPr>
        <w:t>, by</w:t>
      </w:r>
      <w:r w:rsidR="00F67724" w:rsidRPr="00813D19">
        <w:rPr>
          <w:bCs/>
          <w:lang w:val="en-US"/>
        </w:rPr>
        <w:t xml:space="preserve"> providing inputs to the new results framework in the periodic reporting</w:t>
      </w:r>
      <w:r w:rsidR="00432FFC" w:rsidRPr="00813D19">
        <w:rPr>
          <w:bCs/>
          <w:lang w:val="en-US"/>
        </w:rPr>
        <w:t>; and viii)</w:t>
      </w:r>
      <w:r w:rsidR="00F67724" w:rsidRPr="00813D19">
        <w:rPr>
          <w:bCs/>
          <w:lang w:val="en-US"/>
        </w:rPr>
        <w:t xml:space="preserve"> some Member States expressed </w:t>
      </w:r>
      <w:r w:rsidR="005A1F33">
        <w:rPr>
          <w:bCs/>
          <w:lang w:val="en-US"/>
        </w:rPr>
        <w:t xml:space="preserve">an </w:t>
      </w:r>
      <w:r w:rsidR="00F67724" w:rsidRPr="00813D19">
        <w:rPr>
          <w:bCs/>
          <w:lang w:val="en-US"/>
        </w:rPr>
        <w:t>interest in developing a code of conduc</w:t>
      </w:r>
      <w:r w:rsidR="00432FFC" w:rsidRPr="00813D19">
        <w:rPr>
          <w:bCs/>
          <w:lang w:val="en-US"/>
        </w:rPr>
        <w:t>t for accredited NGOs. The NGO n</w:t>
      </w:r>
      <w:r w:rsidR="00F67724" w:rsidRPr="00813D19">
        <w:rPr>
          <w:bCs/>
          <w:lang w:val="en-US"/>
        </w:rPr>
        <w:t xml:space="preserve">etwork was looking into this matter through a working group on the Ethical Principles for safeguarding </w:t>
      </w:r>
      <w:r w:rsidR="00432FFC" w:rsidRPr="00813D19">
        <w:rPr>
          <w:bCs/>
          <w:lang w:val="en-US"/>
        </w:rPr>
        <w:t>intangible cultural heritage</w:t>
      </w:r>
      <w:r w:rsidR="00F67724" w:rsidRPr="00813D19">
        <w:rPr>
          <w:bCs/>
          <w:lang w:val="en-US"/>
        </w:rPr>
        <w:t xml:space="preserve">. </w:t>
      </w:r>
      <w:r w:rsidR="00432FFC" w:rsidRPr="00813D19">
        <w:rPr>
          <w:bCs/>
          <w:lang w:val="en-US"/>
        </w:rPr>
        <w:t xml:space="preserve">The delegation </w:t>
      </w:r>
      <w:r w:rsidR="00F67724" w:rsidRPr="00813D19">
        <w:rPr>
          <w:bCs/>
          <w:lang w:val="en-US"/>
        </w:rPr>
        <w:t>support</w:t>
      </w:r>
      <w:r w:rsidR="00432FFC" w:rsidRPr="00813D19">
        <w:rPr>
          <w:bCs/>
          <w:lang w:val="en-US"/>
        </w:rPr>
        <w:t>ed</w:t>
      </w:r>
      <w:r w:rsidR="00F67724" w:rsidRPr="00813D19">
        <w:rPr>
          <w:bCs/>
          <w:lang w:val="en-US"/>
        </w:rPr>
        <w:t xml:space="preserve"> the draft decision </w:t>
      </w:r>
      <w:r w:rsidR="00432FFC" w:rsidRPr="00813D19">
        <w:rPr>
          <w:bCs/>
          <w:lang w:val="en-US"/>
        </w:rPr>
        <w:t xml:space="preserve">with </w:t>
      </w:r>
      <w:r w:rsidR="00634D0B">
        <w:rPr>
          <w:bCs/>
          <w:lang w:val="en-US"/>
        </w:rPr>
        <w:t>a minor amendment.</w:t>
      </w:r>
    </w:p>
    <w:p w14:paraId="0A302D09" w14:textId="333310C0" w:rsidR="008C397B" w:rsidRPr="00813D19" w:rsidRDefault="0016401F" w:rsidP="00877914">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Netherlands</w:t>
      </w:r>
      <w:r w:rsidR="00F67724" w:rsidRPr="00813D19">
        <w:rPr>
          <w:b/>
          <w:color w:val="000000" w:themeColor="text1"/>
          <w:lang w:val="en-US"/>
        </w:rPr>
        <w:t xml:space="preserve"> </w:t>
      </w:r>
      <w:r w:rsidR="00DB5646" w:rsidRPr="00813D19">
        <w:rPr>
          <w:bCs/>
          <w:lang w:val="en-US"/>
        </w:rPr>
        <w:t>appreciated</w:t>
      </w:r>
      <w:r w:rsidR="00F67724" w:rsidRPr="00813D19">
        <w:rPr>
          <w:bCs/>
          <w:lang w:val="en-US"/>
        </w:rPr>
        <w:t xml:space="preserve"> the role of NGOs in the implementation of </w:t>
      </w:r>
      <w:r w:rsidR="00ED7F5B" w:rsidRPr="00813D19">
        <w:rPr>
          <w:bCs/>
          <w:lang w:val="en-US"/>
        </w:rPr>
        <w:t xml:space="preserve">the Convention, as they </w:t>
      </w:r>
      <w:r w:rsidR="00F67724" w:rsidRPr="00813D19">
        <w:rPr>
          <w:bCs/>
          <w:lang w:val="en-US"/>
        </w:rPr>
        <w:t>play an important intermediary role in strengthening the communities in participative approaches involving communities in the local, reg</w:t>
      </w:r>
      <w:r w:rsidR="00ED7F5B" w:rsidRPr="00813D19">
        <w:rPr>
          <w:bCs/>
          <w:lang w:val="en-US"/>
        </w:rPr>
        <w:t xml:space="preserve">ional, </w:t>
      </w:r>
      <w:r w:rsidR="00F67724" w:rsidRPr="00813D19">
        <w:rPr>
          <w:bCs/>
          <w:lang w:val="en-US"/>
        </w:rPr>
        <w:t>national and i</w:t>
      </w:r>
      <w:r w:rsidR="00ED7F5B" w:rsidRPr="00813D19">
        <w:rPr>
          <w:bCs/>
          <w:lang w:val="en-US"/>
        </w:rPr>
        <w:t>nternational levels in capacity</w:t>
      </w:r>
      <w:r w:rsidR="005A1F33">
        <w:rPr>
          <w:bCs/>
          <w:lang w:val="en-US"/>
        </w:rPr>
        <w:t xml:space="preserve"> </w:t>
      </w:r>
      <w:r w:rsidR="00F67724" w:rsidRPr="00813D19">
        <w:rPr>
          <w:bCs/>
          <w:lang w:val="en-US"/>
        </w:rPr>
        <w:t xml:space="preserve">building of communities and in sharing safeguarding experiences. </w:t>
      </w:r>
      <w:r w:rsidR="00ED7F5B" w:rsidRPr="00813D19">
        <w:rPr>
          <w:bCs/>
          <w:lang w:val="en-US"/>
        </w:rPr>
        <w:t>It</w:t>
      </w:r>
      <w:r w:rsidR="00F67724" w:rsidRPr="00813D19">
        <w:rPr>
          <w:bCs/>
          <w:lang w:val="en-US"/>
        </w:rPr>
        <w:t xml:space="preserve"> welcome</w:t>
      </w:r>
      <w:r w:rsidR="00ED7F5B" w:rsidRPr="00813D19">
        <w:rPr>
          <w:bCs/>
          <w:lang w:val="en-US"/>
        </w:rPr>
        <w:t>d</w:t>
      </w:r>
      <w:r w:rsidR="00F67724" w:rsidRPr="00813D19">
        <w:rPr>
          <w:bCs/>
          <w:lang w:val="en-US"/>
        </w:rPr>
        <w:t xml:space="preserve"> the ongoing transparent reflection process and consultations between the open</w:t>
      </w:r>
      <w:r w:rsidR="00A84307">
        <w:rPr>
          <w:bCs/>
          <w:lang w:val="en-US"/>
        </w:rPr>
        <w:t>-</w:t>
      </w:r>
      <w:r w:rsidR="00F67724" w:rsidRPr="00813D19">
        <w:rPr>
          <w:bCs/>
          <w:lang w:val="en-US"/>
        </w:rPr>
        <w:t>ended working gro</w:t>
      </w:r>
      <w:r w:rsidR="006357B7" w:rsidRPr="00813D19">
        <w:rPr>
          <w:bCs/>
          <w:lang w:val="en-US"/>
        </w:rPr>
        <w:t xml:space="preserve">up, the Secretariat and the </w:t>
      </w:r>
      <w:r w:rsidR="0070024C" w:rsidRPr="00813D19">
        <w:rPr>
          <w:bCs/>
          <w:lang w:val="en-US"/>
        </w:rPr>
        <w:t>ICHNGO</w:t>
      </w:r>
      <w:r w:rsidR="00F67724" w:rsidRPr="00813D19">
        <w:rPr>
          <w:bCs/>
          <w:lang w:val="en-US"/>
        </w:rPr>
        <w:t xml:space="preserve"> Forum on the possible future roles of accredited NGOs so that all could benefit from the roles NGOs </w:t>
      </w:r>
      <w:r w:rsidR="00ED7F5B" w:rsidRPr="00813D19">
        <w:rPr>
          <w:bCs/>
          <w:lang w:val="en-US"/>
        </w:rPr>
        <w:t xml:space="preserve">play </w:t>
      </w:r>
      <w:r w:rsidR="00F67724" w:rsidRPr="00813D19">
        <w:rPr>
          <w:bCs/>
          <w:lang w:val="en-US"/>
        </w:rPr>
        <w:t xml:space="preserve">between communities, States Parties and UNESCO. There is a wide variety of </w:t>
      </w:r>
      <w:r w:rsidR="00ED7F5B" w:rsidRPr="00813D19">
        <w:rPr>
          <w:bCs/>
          <w:lang w:val="en-US"/>
        </w:rPr>
        <w:t xml:space="preserve">accredited </w:t>
      </w:r>
      <w:r w:rsidR="00F67724" w:rsidRPr="00813D19">
        <w:rPr>
          <w:bCs/>
          <w:lang w:val="en-US"/>
        </w:rPr>
        <w:t>NG</w:t>
      </w:r>
      <w:r w:rsidR="00ED7F5B" w:rsidRPr="00813D19">
        <w:rPr>
          <w:bCs/>
          <w:lang w:val="en-US"/>
        </w:rPr>
        <w:t xml:space="preserve">Os </w:t>
      </w:r>
      <w:r w:rsidR="00F67724" w:rsidRPr="00813D19">
        <w:rPr>
          <w:bCs/>
          <w:lang w:val="en-US"/>
        </w:rPr>
        <w:t xml:space="preserve">with </w:t>
      </w:r>
      <w:r w:rsidR="00ED7F5B" w:rsidRPr="00813D19">
        <w:rPr>
          <w:bCs/>
          <w:lang w:val="en-US"/>
        </w:rPr>
        <w:t xml:space="preserve">broad </w:t>
      </w:r>
      <w:r w:rsidR="00F67724" w:rsidRPr="00813D19">
        <w:rPr>
          <w:bCs/>
          <w:lang w:val="en-US"/>
        </w:rPr>
        <w:t xml:space="preserve">expertise </w:t>
      </w:r>
      <w:r w:rsidR="00ED7F5B" w:rsidRPr="00813D19">
        <w:rPr>
          <w:bCs/>
          <w:lang w:val="en-US"/>
        </w:rPr>
        <w:t xml:space="preserve">that is </w:t>
      </w:r>
      <w:r w:rsidR="00F67724" w:rsidRPr="00813D19">
        <w:rPr>
          <w:bCs/>
          <w:lang w:val="en-US"/>
        </w:rPr>
        <w:t xml:space="preserve">very valuable to </w:t>
      </w:r>
      <w:r w:rsidR="00ED7F5B" w:rsidRPr="00813D19">
        <w:rPr>
          <w:bCs/>
          <w:lang w:val="en-US"/>
        </w:rPr>
        <w:t xml:space="preserve">the </w:t>
      </w:r>
      <w:r w:rsidR="00F67724" w:rsidRPr="00813D19">
        <w:rPr>
          <w:bCs/>
          <w:lang w:val="en-US"/>
        </w:rPr>
        <w:t xml:space="preserve">Convention, and </w:t>
      </w:r>
      <w:r w:rsidR="00ED7F5B" w:rsidRPr="00813D19">
        <w:rPr>
          <w:bCs/>
          <w:lang w:val="en-US"/>
        </w:rPr>
        <w:t xml:space="preserve">the </w:t>
      </w:r>
      <w:r w:rsidR="00F67724" w:rsidRPr="00813D19">
        <w:rPr>
          <w:bCs/>
          <w:lang w:val="en-US"/>
        </w:rPr>
        <w:t xml:space="preserve">reflection process </w:t>
      </w:r>
      <w:r w:rsidR="00ED7F5B" w:rsidRPr="00813D19">
        <w:rPr>
          <w:bCs/>
          <w:lang w:val="en-US"/>
        </w:rPr>
        <w:t xml:space="preserve">should </w:t>
      </w:r>
      <w:r w:rsidR="00F67724" w:rsidRPr="00813D19">
        <w:rPr>
          <w:bCs/>
          <w:lang w:val="en-US"/>
        </w:rPr>
        <w:t xml:space="preserve">find ways to map this expertise and make it </w:t>
      </w:r>
      <w:r w:rsidR="00ED7F5B" w:rsidRPr="00813D19">
        <w:rPr>
          <w:bCs/>
          <w:lang w:val="en-US"/>
        </w:rPr>
        <w:t xml:space="preserve">available </w:t>
      </w:r>
      <w:r w:rsidR="00F67724" w:rsidRPr="00813D19">
        <w:rPr>
          <w:bCs/>
          <w:lang w:val="en-US"/>
        </w:rPr>
        <w:t xml:space="preserve">in a differentiated way. </w:t>
      </w:r>
      <w:r w:rsidR="00ED7F5B" w:rsidRPr="00813D19">
        <w:rPr>
          <w:bCs/>
          <w:lang w:val="en-US"/>
        </w:rPr>
        <w:t xml:space="preserve">The </w:t>
      </w:r>
      <w:r w:rsidR="00F67724" w:rsidRPr="00813D19">
        <w:rPr>
          <w:bCs/>
          <w:lang w:val="en-US"/>
        </w:rPr>
        <w:t>delegation emphasize</w:t>
      </w:r>
      <w:r w:rsidR="00ED7F5B" w:rsidRPr="00813D19">
        <w:rPr>
          <w:bCs/>
          <w:lang w:val="en-US"/>
        </w:rPr>
        <w:t>d</w:t>
      </w:r>
      <w:r w:rsidR="00F67724" w:rsidRPr="00813D19">
        <w:rPr>
          <w:bCs/>
          <w:lang w:val="en-US"/>
        </w:rPr>
        <w:t xml:space="preserve"> the important role of accredited community NGOs with special expertise in specific types of </w:t>
      </w:r>
      <w:r w:rsidR="00ED7F5B" w:rsidRPr="00813D19">
        <w:rPr>
          <w:bCs/>
          <w:lang w:val="en-US"/>
        </w:rPr>
        <w:t>intangible cultural heritage</w:t>
      </w:r>
      <w:r w:rsidR="00F67724" w:rsidRPr="00813D19">
        <w:rPr>
          <w:bCs/>
          <w:lang w:val="en-US"/>
        </w:rPr>
        <w:t>. Not all types of communit</w:t>
      </w:r>
      <w:r w:rsidR="00ED7F5B" w:rsidRPr="00813D19">
        <w:rPr>
          <w:bCs/>
          <w:lang w:val="en-US"/>
        </w:rPr>
        <w:t>ies are represented in this way</w:t>
      </w:r>
      <w:r w:rsidR="00F67724" w:rsidRPr="00813D19">
        <w:rPr>
          <w:bCs/>
          <w:lang w:val="en-US"/>
        </w:rPr>
        <w:t xml:space="preserve"> within the Convention</w:t>
      </w:r>
      <w:r w:rsidR="00ED7F5B" w:rsidRPr="00813D19">
        <w:rPr>
          <w:bCs/>
          <w:lang w:val="en-US"/>
        </w:rPr>
        <w:t>,</w:t>
      </w:r>
      <w:r w:rsidR="00F67724" w:rsidRPr="00813D19">
        <w:rPr>
          <w:bCs/>
          <w:lang w:val="en-US"/>
        </w:rPr>
        <w:t xml:space="preserve"> but when they are they can voice their expertise</w:t>
      </w:r>
      <w:r w:rsidR="00ED7F5B" w:rsidRPr="00813D19">
        <w:rPr>
          <w:bCs/>
          <w:lang w:val="en-US"/>
        </w:rPr>
        <w:t>,</w:t>
      </w:r>
      <w:r w:rsidR="00F67724" w:rsidRPr="00813D19">
        <w:rPr>
          <w:bCs/>
          <w:lang w:val="en-US"/>
        </w:rPr>
        <w:t xml:space="preserve"> and Member States could </w:t>
      </w:r>
      <w:r w:rsidR="00ED7F5B" w:rsidRPr="00813D19">
        <w:rPr>
          <w:bCs/>
          <w:lang w:val="en-US"/>
        </w:rPr>
        <w:t xml:space="preserve">encourage </w:t>
      </w:r>
      <w:r w:rsidR="00F67724" w:rsidRPr="00813D19">
        <w:rPr>
          <w:bCs/>
          <w:lang w:val="en-US"/>
        </w:rPr>
        <w:t xml:space="preserve">these NGOs to </w:t>
      </w:r>
      <w:r w:rsidR="00ED7F5B" w:rsidRPr="00813D19">
        <w:rPr>
          <w:bCs/>
          <w:lang w:val="en-US"/>
        </w:rPr>
        <w:t>work towards accreditation,</w:t>
      </w:r>
      <w:r w:rsidR="00F67724" w:rsidRPr="00813D19">
        <w:rPr>
          <w:bCs/>
          <w:lang w:val="en-US"/>
        </w:rPr>
        <w:t xml:space="preserve"> especially from underrepresented </w:t>
      </w:r>
      <w:r w:rsidR="00ED7F5B" w:rsidRPr="00813D19">
        <w:rPr>
          <w:bCs/>
          <w:lang w:val="en-US"/>
        </w:rPr>
        <w:t>countries</w:t>
      </w:r>
      <w:r w:rsidR="00F67724" w:rsidRPr="00813D19">
        <w:rPr>
          <w:bCs/>
          <w:lang w:val="en-US"/>
        </w:rPr>
        <w:t xml:space="preserve">. Therefore, a system </w:t>
      </w:r>
      <w:r w:rsidR="00ED7F5B" w:rsidRPr="00813D19">
        <w:rPr>
          <w:bCs/>
          <w:lang w:val="en-US"/>
        </w:rPr>
        <w:t>is need</w:t>
      </w:r>
      <w:r w:rsidR="00B91D1B" w:rsidRPr="00813D19">
        <w:rPr>
          <w:bCs/>
          <w:lang w:val="en-US"/>
        </w:rPr>
        <w:t>ed</w:t>
      </w:r>
      <w:r w:rsidR="00ED7F5B" w:rsidRPr="00813D19">
        <w:rPr>
          <w:bCs/>
          <w:lang w:val="en-US"/>
        </w:rPr>
        <w:t xml:space="preserve"> </w:t>
      </w:r>
      <w:r w:rsidR="00F67724" w:rsidRPr="00813D19">
        <w:rPr>
          <w:bCs/>
          <w:lang w:val="en-US"/>
        </w:rPr>
        <w:t>that is flexible and links the Convention di</w:t>
      </w:r>
      <w:r w:rsidR="00ED7F5B" w:rsidRPr="00813D19">
        <w:rPr>
          <w:bCs/>
          <w:lang w:val="en-US"/>
        </w:rPr>
        <w:t>rectly to communities and grass</w:t>
      </w:r>
      <w:r w:rsidR="00F67724" w:rsidRPr="00813D19">
        <w:rPr>
          <w:bCs/>
          <w:lang w:val="en-US"/>
        </w:rPr>
        <w:t>roots organizations</w:t>
      </w:r>
      <w:r w:rsidR="00ED7F5B" w:rsidRPr="00813D19">
        <w:rPr>
          <w:bCs/>
          <w:lang w:val="en-US"/>
        </w:rPr>
        <w:t>,</w:t>
      </w:r>
      <w:r w:rsidR="00F67724" w:rsidRPr="00813D19">
        <w:rPr>
          <w:bCs/>
          <w:lang w:val="en-US"/>
        </w:rPr>
        <w:t xml:space="preserve"> and at the same time is in line with the international community at large. A key </w:t>
      </w:r>
      <w:r w:rsidR="00ED7F5B" w:rsidRPr="00813D19">
        <w:rPr>
          <w:bCs/>
          <w:lang w:val="en-US"/>
        </w:rPr>
        <w:t xml:space="preserve">to </w:t>
      </w:r>
      <w:r w:rsidR="00F67724" w:rsidRPr="00813D19">
        <w:rPr>
          <w:bCs/>
          <w:lang w:val="en-US"/>
        </w:rPr>
        <w:t xml:space="preserve">this is the improvements </w:t>
      </w:r>
      <w:r w:rsidR="00ED7F5B" w:rsidRPr="00813D19">
        <w:rPr>
          <w:bCs/>
          <w:lang w:val="en-US"/>
        </w:rPr>
        <w:t xml:space="preserve">in </w:t>
      </w:r>
      <w:r w:rsidR="00DC70B6" w:rsidRPr="00813D19">
        <w:rPr>
          <w:bCs/>
          <w:lang w:val="en-US"/>
        </w:rPr>
        <w:t>governance of the ICH</w:t>
      </w:r>
      <w:r w:rsidR="00F67724" w:rsidRPr="00813D19">
        <w:rPr>
          <w:bCs/>
          <w:lang w:val="en-US"/>
        </w:rPr>
        <w:t xml:space="preserve">NGO Forum. </w:t>
      </w:r>
      <w:r w:rsidR="00ED7F5B" w:rsidRPr="00813D19">
        <w:rPr>
          <w:bCs/>
          <w:lang w:val="en-US"/>
        </w:rPr>
        <w:t>F</w:t>
      </w:r>
      <w:r w:rsidR="00F67724" w:rsidRPr="00813D19">
        <w:rPr>
          <w:bCs/>
          <w:lang w:val="en-US"/>
        </w:rPr>
        <w:t xml:space="preserve">or the first time </w:t>
      </w:r>
      <w:r w:rsidR="00ED7F5B" w:rsidRPr="00813D19">
        <w:rPr>
          <w:bCs/>
          <w:lang w:val="en-US"/>
        </w:rPr>
        <w:t xml:space="preserve">in 2018, it </w:t>
      </w:r>
      <w:r w:rsidR="00F67724" w:rsidRPr="00813D19">
        <w:rPr>
          <w:bCs/>
          <w:lang w:val="en-US"/>
        </w:rPr>
        <w:t xml:space="preserve">elected </w:t>
      </w:r>
      <w:r w:rsidR="00ED7F5B" w:rsidRPr="00813D19">
        <w:rPr>
          <w:bCs/>
          <w:lang w:val="en-US"/>
        </w:rPr>
        <w:t xml:space="preserve">a </w:t>
      </w:r>
      <w:r w:rsidR="00F67724" w:rsidRPr="00813D19">
        <w:rPr>
          <w:bCs/>
          <w:lang w:val="en-US"/>
        </w:rPr>
        <w:t xml:space="preserve">steering committee and </w:t>
      </w:r>
      <w:r w:rsidR="00ED7F5B" w:rsidRPr="00813D19">
        <w:rPr>
          <w:bCs/>
          <w:lang w:val="en-US"/>
        </w:rPr>
        <w:t xml:space="preserve">it was hoped </w:t>
      </w:r>
      <w:r w:rsidR="00F67724" w:rsidRPr="00813D19">
        <w:rPr>
          <w:bCs/>
          <w:lang w:val="en-US"/>
        </w:rPr>
        <w:t xml:space="preserve">that these developments in governance </w:t>
      </w:r>
      <w:r w:rsidR="005A1F33">
        <w:rPr>
          <w:bCs/>
          <w:lang w:val="en-US"/>
        </w:rPr>
        <w:t>would</w:t>
      </w:r>
      <w:r w:rsidR="005A1F33" w:rsidRPr="00813D19">
        <w:rPr>
          <w:bCs/>
          <w:lang w:val="en-US"/>
        </w:rPr>
        <w:t xml:space="preserve"> </w:t>
      </w:r>
      <w:r w:rsidR="00F67724" w:rsidRPr="00813D19">
        <w:rPr>
          <w:bCs/>
          <w:lang w:val="en-US"/>
        </w:rPr>
        <w:t xml:space="preserve">facilitate </w:t>
      </w:r>
      <w:r w:rsidR="006357B7" w:rsidRPr="00813D19">
        <w:rPr>
          <w:bCs/>
          <w:lang w:val="en-US"/>
        </w:rPr>
        <w:t xml:space="preserve">the </w:t>
      </w:r>
      <w:r w:rsidR="00F67724" w:rsidRPr="00813D19">
        <w:rPr>
          <w:bCs/>
          <w:lang w:val="en-US"/>
        </w:rPr>
        <w:t xml:space="preserve">process in such a way that working groups of the NGO Forum </w:t>
      </w:r>
      <w:r w:rsidR="005A1F33" w:rsidRPr="00813D19">
        <w:rPr>
          <w:bCs/>
          <w:lang w:val="en-US"/>
        </w:rPr>
        <w:t>c</w:t>
      </w:r>
      <w:r w:rsidR="005A1F33">
        <w:rPr>
          <w:bCs/>
          <w:lang w:val="en-US"/>
        </w:rPr>
        <w:t>ould</w:t>
      </w:r>
      <w:r w:rsidR="005A1F33" w:rsidRPr="00813D19">
        <w:rPr>
          <w:bCs/>
          <w:lang w:val="en-US"/>
        </w:rPr>
        <w:t xml:space="preserve"> </w:t>
      </w:r>
      <w:r w:rsidR="00F67724" w:rsidRPr="00813D19">
        <w:rPr>
          <w:bCs/>
          <w:lang w:val="en-US"/>
        </w:rPr>
        <w:t xml:space="preserve">focus on strengthening the outreach of the Convention to civil society, </w:t>
      </w:r>
      <w:r w:rsidR="006357B7" w:rsidRPr="00813D19">
        <w:rPr>
          <w:bCs/>
          <w:lang w:val="en-US"/>
        </w:rPr>
        <w:t xml:space="preserve">with </w:t>
      </w:r>
      <w:r w:rsidR="00F67724" w:rsidRPr="00813D19">
        <w:rPr>
          <w:bCs/>
          <w:lang w:val="en-US"/>
        </w:rPr>
        <w:t xml:space="preserve">regional networking contributing to the overall results framework and reports. </w:t>
      </w:r>
      <w:r w:rsidR="006357B7" w:rsidRPr="00813D19">
        <w:rPr>
          <w:bCs/>
          <w:lang w:val="en-US"/>
        </w:rPr>
        <w:t xml:space="preserve">The delegation also </w:t>
      </w:r>
      <w:r w:rsidR="00F67724" w:rsidRPr="00813D19">
        <w:rPr>
          <w:bCs/>
          <w:lang w:val="en-US"/>
        </w:rPr>
        <w:t>hope</w:t>
      </w:r>
      <w:r w:rsidR="006357B7" w:rsidRPr="00813D19">
        <w:rPr>
          <w:bCs/>
          <w:lang w:val="en-US"/>
        </w:rPr>
        <w:t xml:space="preserve">d that the </w:t>
      </w:r>
      <w:r w:rsidR="0070024C" w:rsidRPr="00813D19">
        <w:rPr>
          <w:bCs/>
          <w:lang w:val="en-US"/>
        </w:rPr>
        <w:t>ICHNGO</w:t>
      </w:r>
      <w:r w:rsidR="00F67724" w:rsidRPr="00813D19">
        <w:rPr>
          <w:bCs/>
          <w:lang w:val="en-US"/>
        </w:rPr>
        <w:t xml:space="preserve"> Forum strategy of regional networking and cooperation </w:t>
      </w:r>
      <w:r w:rsidR="005A1F33">
        <w:rPr>
          <w:bCs/>
          <w:lang w:val="en-US"/>
        </w:rPr>
        <w:t>would</w:t>
      </w:r>
      <w:r w:rsidR="005A1F33" w:rsidRPr="00813D19">
        <w:rPr>
          <w:bCs/>
          <w:lang w:val="en-US"/>
        </w:rPr>
        <w:t xml:space="preserve"> </w:t>
      </w:r>
      <w:r w:rsidR="00F67724" w:rsidRPr="00813D19">
        <w:rPr>
          <w:bCs/>
          <w:lang w:val="en-US"/>
        </w:rPr>
        <w:t xml:space="preserve">contribute to the involvement and accreditation of NGOs from </w:t>
      </w:r>
      <w:r w:rsidR="006357B7" w:rsidRPr="00813D19">
        <w:rPr>
          <w:bCs/>
          <w:lang w:val="en-US"/>
        </w:rPr>
        <w:t xml:space="preserve">underrepresented </w:t>
      </w:r>
      <w:r w:rsidR="00F67724" w:rsidRPr="00813D19">
        <w:rPr>
          <w:bCs/>
          <w:lang w:val="en-US"/>
        </w:rPr>
        <w:t xml:space="preserve">countries and regions of the world, which </w:t>
      </w:r>
      <w:r w:rsidR="006357B7" w:rsidRPr="00813D19">
        <w:rPr>
          <w:bCs/>
          <w:lang w:val="en-US"/>
        </w:rPr>
        <w:t xml:space="preserve">still remained </w:t>
      </w:r>
      <w:r w:rsidR="00634D0B">
        <w:rPr>
          <w:bCs/>
          <w:lang w:val="en-US"/>
        </w:rPr>
        <w:t>a problem.</w:t>
      </w:r>
    </w:p>
    <w:p w14:paraId="04A07203" w14:textId="077626E8" w:rsidR="0016401F" w:rsidRPr="00813D19" w:rsidRDefault="0056169E"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Cuba</w:t>
      </w:r>
      <w:r w:rsidR="00F67724" w:rsidRPr="00813D19">
        <w:rPr>
          <w:b/>
          <w:color w:val="000000" w:themeColor="text1"/>
          <w:lang w:val="en-US"/>
        </w:rPr>
        <w:t xml:space="preserve"> </w:t>
      </w:r>
      <w:r w:rsidR="00F67724" w:rsidRPr="00813D19">
        <w:rPr>
          <w:bCs/>
          <w:lang w:val="en-US"/>
        </w:rPr>
        <w:t>thank</w:t>
      </w:r>
      <w:r w:rsidR="00DB5646" w:rsidRPr="00813D19">
        <w:rPr>
          <w:bCs/>
          <w:lang w:val="en-US"/>
        </w:rPr>
        <w:t>ed</w:t>
      </w:r>
      <w:r w:rsidR="00F67724" w:rsidRPr="00813D19">
        <w:rPr>
          <w:bCs/>
          <w:lang w:val="en-US"/>
        </w:rPr>
        <w:t xml:space="preserve"> the Secretariat for the information </w:t>
      </w:r>
      <w:r w:rsidR="00BA407B" w:rsidRPr="00813D19">
        <w:rPr>
          <w:bCs/>
          <w:lang w:val="en-US"/>
        </w:rPr>
        <w:t xml:space="preserve">presented, adding that this issue was </w:t>
      </w:r>
      <w:r w:rsidR="00F67724" w:rsidRPr="00813D19">
        <w:rPr>
          <w:bCs/>
          <w:lang w:val="en-US"/>
        </w:rPr>
        <w:t>of paramount importance given the situation at UNESCO where strategic transformation is thinking through question</w:t>
      </w:r>
      <w:r w:rsidR="00BA407B" w:rsidRPr="00813D19">
        <w:rPr>
          <w:bCs/>
          <w:lang w:val="en-US"/>
        </w:rPr>
        <w:t xml:space="preserve">s such as </w:t>
      </w:r>
      <w:r w:rsidR="00F67724" w:rsidRPr="00813D19">
        <w:rPr>
          <w:bCs/>
          <w:lang w:val="en-US"/>
        </w:rPr>
        <w:t>the role of NGOs and civil society in UNESCO</w:t>
      </w:r>
      <w:r w:rsidR="00BA407B" w:rsidRPr="00813D19">
        <w:rPr>
          <w:bCs/>
          <w:lang w:val="en-US"/>
        </w:rPr>
        <w:t>,</w:t>
      </w:r>
      <w:r w:rsidR="00F67724" w:rsidRPr="00813D19">
        <w:rPr>
          <w:bCs/>
          <w:lang w:val="en-US"/>
        </w:rPr>
        <w:t xml:space="preserve"> while nonetheless </w:t>
      </w:r>
      <w:r w:rsidR="00BA407B" w:rsidRPr="00813D19">
        <w:rPr>
          <w:bCs/>
          <w:lang w:val="en-US"/>
        </w:rPr>
        <w:t xml:space="preserve">emphasizing </w:t>
      </w:r>
      <w:r w:rsidR="00F67724" w:rsidRPr="00813D19">
        <w:rPr>
          <w:bCs/>
          <w:lang w:val="en-US"/>
        </w:rPr>
        <w:t>the intergovernmental role of UNESCO. The intergovernmental role UNES</w:t>
      </w:r>
      <w:r w:rsidR="00A645EB" w:rsidRPr="00813D19">
        <w:rPr>
          <w:bCs/>
          <w:lang w:val="en-US"/>
        </w:rPr>
        <w:t>CO plays with respect to these C</w:t>
      </w:r>
      <w:r w:rsidR="00F67724" w:rsidRPr="00813D19">
        <w:rPr>
          <w:bCs/>
          <w:lang w:val="en-US"/>
        </w:rPr>
        <w:t xml:space="preserve">onventions and </w:t>
      </w:r>
      <w:r w:rsidR="00AE62FE" w:rsidRPr="00813D19">
        <w:rPr>
          <w:bCs/>
          <w:lang w:val="en-US"/>
        </w:rPr>
        <w:t>the State Party</w:t>
      </w:r>
      <w:r w:rsidR="00C15B08" w:rsidRPr="00813D19">
        <w:rPr>
          <w:bCs/>
          <w:lang w:val="en-US"/>
        </w:rPr>
        <w:t>’s</w:t>
      </w:r>
      <w:r w:rsidR="00AE62FE" w:rsidRPr="00813D19">
        <w:rPr>
          <w:bCs/>
          <w:lang w:val="en-US"/>
        </w:rPr>
        <w:t xml:space="preserve"> </w:t>
      </w:r>
      <w:r w:rsidR="00F67724" w:rsidRPr="00813D19">
        <w:rPr>
          <w:bCs/>
          <w:lang w:val="en-US"/>
        </w:rPr>
        <w:t xml:space="preserve">role </w:t>
      </w:r>
      <w:r w:rsidR="00C15B08" w:rsidRPr="00813D19">
        <w:rPr>
          <w:bCs/>
          <w:lang w:val="en-US"/>
        </w:rPr>
        <w:t xml:space="preserve">is </w:t>
      </w:r>
      <w:r w:rsidR="00F67724" w:rsidRPr="00813D19">
        <w:rPr>
          <w:bCs/>
          <w:lang w:val="en-US"/>
        </w:rPr>
        <w:t>to stimulat</w:t>
      </w:r>
      <w:r w:rsidR="00AE62FE" w:rsidRPr="00813D19">
        <w:rPr>
          <w:bCs/>
          <w:lang w:val="en-US"/>
        </w:rPr>
        <w:t xml:space="preserve">e dialogue within civil society, while </w:t>
      </w:r>
      <w:r w:rsidR="00F67724" w:rsidRPr="00813D19">
        <w:rPr>
          <w:bCs/>
          <w:lang w:val="en-US"/>
        </w:rPr>
        <w:t>work</w:t>
      </w:r>
      <w:r w:rsidR="00AE62FE" w:rsidRPr="00813D19">
        <w:rPr>
          <w:bCs/>
          <w:lang w:val="en-US"/>
        </w:rPr>
        <w:t>ing</w:t>
      </w:r>
      <w:r w:rsidR="00F67724" w:rsidRPr="00813D19">
        <w:rPr>
          <w:bCs/>
          <w:lang w:val="en-US"/>
        </w:rPr>
        <w:t xml:space="preserve"> to improve these mechanisms, which today seem to place NGOs on the </w:t>
      </w:r>
      <w:r w:rsidR="002E27C8" w:rsidRPr="00813D19">
        <w:rPr>
          <w:bCs/>
          <w:lang w:val="en-US"/>
        </w:rPr>
        <w:t>periphery</w:t>
      </w:r>
      <w:r w:rsidR="00F67724" w:rsidRPr="00813D19">
        <w:rPr>
          <w:bCs/>
          <w:lang w:val="en-US"/>
        </w:rPr>
        <w:t xml:space="preserve">. </w:t>
      </w:r>
      <w:r w:rsidR="00C15B08" w:rsidRPr="00813D19">
        <w:rPr>
          <w:bCs/>
          <w:lang w:val="en-US"/>
        </w:rPr>
        <w:t xml:space="preserve">Yet </w:t>
      </w:r>
      <w:r w:rsidR="00F67724" w:rsidRPr="00813D19">
        <w:rPr>
          <w:bCs/>
          <w:lang w:val="en-US"/>
        </w:rPr>
        <w:t>NGOs pl</w:t>
      </w:r>
      <w:r w:rsidR="002E27C8" w:rsidRPr="00813D19">
        <w:rPr>
          <w:bCs/>
          <w:lang w:val="en-US"/>
        </w:rPr>
        <w:t>ay a positive role, for example</w:t>
      </w:r>
      <w:r w:rsidR="0005520C" w:rsidRPr="00813D19">
        <w:rPr>
          <w:bCs/>
          <w:lang w:val="en-US"/>
        </w:rPr>
        <w:t>,</w:t>
      </w:r>
      <w:r w:rsidR="00F67724" w:rsidRPr="00813D19">
        <w:rPr>
          <w:bCs/>
          <w:lang w:val="en-US"/>
        </w:rPr>
        <w:t xml:space="preserve"> in relation to the Convention on cultural diversity</w:t>
      </w:r>
      <w:r w:rsidR="00AE62FE" w:rsidRPr="00813D19">
        <w:rPr>
          <w:bCs/>
          <w:lang w:val="en-US"/>
        </w:rPr>
        <w:t>,</w:t>
      </w:r>
      <w:r w:rsidR="00F67724" w:rsidRPr="00813D19">
        <w:rPr>
          <w:bCs/>
          <w:lang w:val="en-US"/>
        </w:rPr>
        <w:t xml:space="preserve"> the importance of the network of NGOs</w:t>
      </w:r>
      <w:r w:rsidR="00C15B08" w:rsidRPr="00813D19">
        <w:rPr>
          <w:bCs/>
          <w:lang w:val="en-US"/>
        </w:rPr>
        <w:t>,</w:t>
      </w:r>
      <w:r w:rsidR="00F67724" w:rsidRPr="00813D19">
        <w:rPr>
          <w:bCs/>
          <w:lang w:val="en-US"/>
        </w:rPr>
        <w:t xml:space="preserve"> and also to dispel the idea that NGOs only </w:t>
      </w:r>
      <w:r w:rsidR="00C15B08" w:rsidRPr="00813D19">
        <w:rPr>
          <w:bCs/>
          <w:lang w:val="en-US"/>
        </w:rPr>
        <w:t xml:space="preserve">have a </w:t>
      </w:r>
      <w:r w:rsidR="00F67724" w:rsidRPr="00813D19">
        <w:rPr>
          <w:bCs/>
          <w:lang w:val="en-US"/>
        </w:rPr>
        <w:t>research function. In fact</w:t>
      </w:r>
      <w:r w:rsidR="00C15B08" w:rsidRPr="00813D19">
        <w:rPr>
          <w:bCs/>
          <w:lang w:val="en-US"/>
        </w:rPr>
        <w:t>,</w:t>
      </w:r>
      <w:r w:rsidR="00F67724" w:rsidRPr="00813D19">
        <w:rPr>
          <w:bCs/>
          <w:lang w:val="en-US"/>
        </w:rPr>
        <w:t xml:space="preserve"> they play a very important role in relation to communities and have a very direct role around tangible heritage. They also play a role in inventorying </w:t>
      </w:r>
      <w:r w:rsidR="006404BC" w:rsidRPr="00813D19">
        <w:rPr>
          <w:bCs/>
          <w:lang w:val="en-US"/>
        </w:rPr>
        <w:t xml:space="preserve">intangible </w:t>
      </w:r>
      <w:r w:rsidR="00AA6249" w:rsidRPr="00813D19">
        <w:rPr>
          <w:bCs/>
          <w:lang w:val="en-US"/>
        </w:rPr>
        <w:t xml:space="preserve">cultural </w:t>
      </w:r>
      <w:r w:rsidR="006404BC" w:rsidRPr="00813D19">
        <w:rPr>
          <w:bCs/>
          <w:lang w:val="en-US"/>
        </w:rPr>
        <w:t>heritage</w:t>
      </w:r>
      <w:r w:rsidR="00634D0B">
        <w:rPr>
          <w:bCs/>
          <w:lang w:val="en-US"/>
        </w:rPr>
        <w:t>.</w:t>
      </w:r>
    </w:p>
    <w:p w14:paraId="100AF277" w14:textId="22CE9A52" w:rsidR="00796100" w:rsidRPr="00813D19" w:rsidRDefault="00796100"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Austria</w:t>
      </w:r>
      <w:r w:rsidR="007C4571" w:rsidRPr="00813D19">
        <w:rPr>
          <w:b/>
          <w:color w:val="000000" w:themeColor="text1"/>
          <w:lang w:val="en-US"/>
        </w:rPr>
        <w:t xml:space="preserve"> </w:t>
      </w:r>
      <w:r w:rsidR="00F67724" w:rsidRPr="00813D19">
        <w:rPr>
          <w:bCs/>
          <w:lang w:val="en-US"/>
        </w:rPr>
        <w:t>thank</w:t>
      </w:r>
      <w:r w:rsidR="00AA6249" w:rsidRPr="00813D19">
        <w:rPr>
          <w:bCs/>
          <w:lang w:val="en-US"/>
        </w:rPr>
        <w:t>ed</w:t>
      </w:r>
      <w:r w:rsidR="00F67724" w:rsidRPr="00813D19">
        <w:rPr>
          <w:bCs/>
          <w:lang w:val="en-US"/>
        </w:rPr>
        <w:t xml:space="preserve"> the Secretariat </w:t>
      </w:r>
      <w:r w:rsidR="00AA6249" w:rsidRPr="00813D19">
        <w:rPr>
          <w:bCs/>
          <w:lang w:val="en-US"/>
        </w:rPr>
        <w:t xml:space="preserve">and </w:t>
      </w:r>
      <w:r w:rsidR="00F67724" w:rsidRPr="00813D19">
        <w:rPr>
          <w:bCs/>
          <w:lang w:val="en-US"/>
        </w:rPr>
        <w:t>the informal ad hoc working group for this im</w:t>
      </w:r>
      <w:r w:rsidR="00AA6249" w:rsidRPr="00813D19">
        <w:rPr>
          <w:bCs/>
          <w:lang w:val="en-US"/>
        </w:rPr>
        <w:t>portant initiative that concerned</w:t>
      </w:r>
      <w:r w:rsidR="00F67724" w:rsidRPr="00813D19">
        <w:rPr>
          <w:bCs/>
          <w:lang w:val="en-US"/>
        </w:rPr>
        <w:t xml:space="preserve"> various Articles of the Convention</w:t>
      </w:r>
      <w:r w:rsidR="00AA6249" w:rsidRPr="00813D19">
        <w:rPr>
          <w:bCs/>
          <w:lang w:val="en-US"/>
        </w:rPr>
        <w:t>,</w:t>
      </w:r>
      <w:r w:rsidR="00F67724" w:rsidRPr="00813D19">
        <w:rPr>
          <w:bCs/>
          <w:lang w:val="en-US"/>
        </w:rPr>
        <w:t xml:space="preserve"> </w:t>
      </w:r>
      <w:r w:rsidR="00B563A4" w:rsidRPr="00813D19">
        <w:rPr>
          <w:bCs/>
          <w:lang w:val="en-US"/>
        </w:rPr>
        <w:t xml:space="preserve">thanking </w:t>
      </w:r>
      <w:r w:rsidR="00AA6249" w:rsidRPr="00813D19">
        <w:rPr>
          <w:bCs/>
          <w:lang w:val="en-US"/>
        </w:rPr>
        <w:t xml:space="preserve">the </w:t>
      </w:r>
      <w:r w:rsidR="0070024C" w:rsidRPr="00813D19">
        <w:rPr>
          <w:bCs/>
          <w:lang w:val="en-US"/>
        </w:rPr>
        <w:t>ICHNGO</w:t>
      </w:r>
      <w:r w:rsidR="00F67724" w:rsidRPr="00813D19">
        <w:rPr>
          <w:bCs/>
          <w:lang w:val="en-US"/>
        </w:rPr>
        <w:t xml:space="preserve"> Forum </w:t>
      </w:r>
      <w:r w:rsidR="00B563A4" w:rsidRPr="00813D19">
        <w:rPr>
          <w:bCs/>
          <w:lang w:val="en-US"/>
        </w:rPr>
        <w:t xml:space="preserve">as well </w:t>
      </w:r>
      <w:r w:rsidR="00F67724" w:rsidRPr="00813D19">
        <w:rPr>
          <w:bCs/>
          <w:lang w:val="en-US"/>
        </w:rPr>
        <w:t xml:space="preserve">for its active engagement and participation in this process. </w:t>
      </w:r>
      <w:r w:rsidR="00B563A4" w:rsidRPr="00813D19">
        <w:rPr>
          <w:bCs/>
          <w:lang w:val="en-US"/>
        </w:rPr>
        <w:t xml:space="preserve">It </w:t>
      </w:r>
      <w:r w:rsidR="00F67724" w:rsidRPr="00813D19">
        <w:rPr>
          <w:bCs/>
          <w:lang w:val="en-US"/>
        </w:rPr>
        <w:t>also welcome</w:t>
      </w:r>
      <w:r w:rsidR="00B563A4" w:rsidRPr="00813D19">
        <w:rPr>
          <w:bCs/>
          <w:lang w:val="en-US"/>
        </w:rPr>
        <w:t>d</w:t>
      </w:r>
      <w:r w:rsidR="00F67724" w:rsidRPr="00813D19">
        <w:rPr>
          <w:bCs/>
          <w:lang w:val="en-US"/>
        </w:rPr>
        <w:t xml:space="preserve"> the multistep consultation approach. Nonetheless</w:t>
      </w:r>
      <w:r w:rsidR="00B563A4" w:rsidRPr="00813D19">
        <w:rPr>
          <w:bCs/>
          <w:lang w:val="en-US"/>
        </w:rPr>
        <w:t>,</w:t>
      </w:r>
      <w:r w:rsidR="00F67724" w:rsidRPr="00813D19">
        <w:rPr>
          <w:bCs/>
          <w:lang w:val="en-US"/>
        </w:rPr>
        <w:t xml:space="preserve"> the small number of States Parties</w:t>
      </w:r>
      <w:r w:rsidR="00B563A4" w:rsidRPr="00813D19">
        <w:rPr>
          <w:bCs/>
          <w:lang w:val="en-US"/>
        </w:rPr>
        <w:t>,</w:t>
      </w:r>
      <w:r w:rsidR="00F67724" w:rsidRPr="00813D19">
        <w:rPr>
          <w:bCs/>
          <w:lang w:val="en-US"/>
        </w:rPr>
        <w:t xml:space="preserve"> </w:t>
      </w:r>
      <w:r w:rsidR="00B563A4" w:rsidRPr="00813D19">
        <w:rPr>
          <w:bCs/>
          <w:lang w:val="en-US"/>
        </w:rPr>
        <w:t>as well as the geographically im</w:t>
      </w:r>
      <w:r w:rsidR="00F67724" w:rsidRPr="00813D19">
        <w:rPr>
          <w:bCs/>
          <w:lang w:val="en-US"/>
        </w:rPr>
        <w:t>balanced distribution of NGOs that participated in the electronic consultation</w:t>
      </w:r>
      <w:r w:rsidR="00B563A4" w:rsidRPr="00813D19">
        <w:rPr>
          <w:bCs/>
          <w:lang w:val="en-US"/>
        </w:rPr>
        <w:t>,</w:t>
      </w:r>
      <w:r w:rsidR="00F67724" w:rsidRPr="00813D19">
        <w:rPr>
          <w:bCs/>
          <w:lang w:val="en-US"/>
        </w:rPr>
        <w:t xml:space="preserve"> which </w:t>
      </w:r>
      <w:r w:rsidR="00B563A4" w:rsidRPr="00813D19">
        <w:rPr>
          <w:bCs/>
          <w:lang w:val="en-US"/>
        </w:rPr>
        <w:t xml:space="preserve">was </w:t>
      </w:r>
      <w:r w:rsidR="00F67724" w:rsidRPr="00813D19">
        <w:rPr>
          <w:bCs/>
          <w:lang w:val="en-US"/>
        </w:rPr>
        <w:t xml:space="preserve">clearly related </w:t>
      </w:r>
      <w:r w:rsidR="00B563A4" w:rsidRPr="00813D19">
        <w:rPr>
          <w:bCs/>
          <w:lang w:val="en-US"/>
        </w:rPr>
        <w:t>to the geographic</w:t>
      </w:r>
      <w:r w:rsidR="00F67724" w:rsidRPr="00813D19">
        <w:rPr>
          <w:bCs/>
          <w:lang w:val="en-US"/>
        </w:rPr>
        <w:t xml:space="preserve"> distribution </w:t>
      </w:r>
      <w:r w:rsidR="00B563A4" w:rsidRPr="00813D19">
        <w:rPr>
          <w:bCs/>
          <w:lang w:val="en-US"/>
        </w:rPr>
        <w:t xml:space="preserve">of </w:t>
      </w:r>
      <w:r w:rsidR="00F67724" w:rsidRPr="00813D19">
        <w:rPr>
          <w:bCs/>
          <w:lang w:val="en-US"/>
        </w:rPr>
        <w:t>accredited NGOs in general</w:t>
      </w:r>
      <w:r w:rsidR="00B563A4" w:rsidRPr="00813D19">
        <w:rPr>
          <w:bCs/>
          <w:lang w:val="en-US"/>
        </w:rPr>
        <w:t>,</w:t>
      </w:r>
      <w:r w:rsidR="00F67724" w:rsidRPr="00813D19">
        <w:rPr>
          <w:bCs/>
          <w:lang w:val="en-US"/>
        </w:rPr>
        <w:t xml:space="preserve"> have to be taken into consideration when interpret</w:t>
      </w:r>
      <w:r w:rsidR="00B563A4" w:rsidRPr="00813D19">
        <w:rPr>
          <w:bCs/>
          <w:lang w:val="en-US"/>
        </w:rPr>
        <w:t>ing</w:t>
      </w:r>
      <w:r w:rsidR="00F67724" w:rsidRPr="00813D19">
        <w:rPr>
          <w:bCs/>
          <w:lang w:val="en-US"/>
        </w:rPr>
        <w:t xml:space="preserve"> the outcomes </w:t>
      </w:r>
      <w:r w:rsidR="00B563A4" w:rsidRPr="00813D19">
        <w:rPr>
          <w:bCs/>
          <w:lang w:val="en-US"/>
        </w:rPr>
        <w:t xml:space="preserve">of </w:t>
      </w:r>
      <w:r w:rsidR="00F67724" w:rsidRPr="00813D19">
        <w:rPr>
          <w:bCs/>
          <w:lang w:val="en-US"/>
        </w:rPr>
        <w:t xml:space="preserve">the consultation meeting. </w:t>
      </w:r>
      <w:r w:rsidR="00B563A4" w:rsidRPr="00813D19">
        <w:rPr>
          <w:bCs/>
          <w:lang w:val="en-US"/>
        </w:rPr>
        <w:t xml:space="preserve">The delegation </w:t>
      </w:r>
      <w:r w:rsidR="00F67724" w:rsidRPr="00813D19">
        <w:rPr>
          <w:bCs/>
          <w:lang w:val="en-US"/>
        </w:rPr>
        <w:t>also support</w:t>
      </w:r>
      <w:r w:rsidR="00B563A4" w:rsidRPr="00813D19">
        <w:rPr>
          <w:bCs/>
          <w:lang w:val="en-US"/>
        </w:rPr>
        <w:t>ed</w:t>
      </w:r>
      <w:r w:rsidR="00F67724" w:rsidRPr="00813D19">
        <w:rPr>
          <w:bCs/>
          <w:lang w:val="en-US"/>
        </w:rPr>
        <w:t xml:space="preserve"> the statements of the Philippines and the Netherlands that the Committee may wish to promote accreditation in underrepresented regions with a view to strengthening international cooperation</w:t>
      </w:r>
      <w:r w:rsidR="00B563A4" w:rsidRPr="00813D19">
        <w:rPr>
          <w:bCs/>
          <w:lang w:val="en-US"/>
        </w:rPr>
        <w:t>,</w:t>
      </w:r>
      <w:r w:rsidR="00F67724" w:rsidRPr="00813D19">
        <w:rPr>
          <w:bCs/>
          <w:lang w:val="en-US"/>
        </w:rPr>
        <w:t xml:space="preserve"> as outlined in Article 19. </w:t>
      </w:r>
      <w:r w:rsidR="00B563A4" w:rsidRPr="00813D19">
        <w:rPr>
          <w:bCs/>
          <w:lang w:val="en-US"/>
        </w:rPr>
        <w:t>I</w:t>
      </w:r>
      <w:r w:rsidR="00F67724" w:rsidRPr="00813D19">
        <w:rPr>
          <w:bCs/>
          <w:lang w:val="en-US"/>
        </w:rPr>
        <w:t>n this regard</w:t>
      </w:r>
      <w:r w:rsidR="00B563A4" w:rsidRPr="00813D19">
        <w:rPr>
          <w:bCs/>
          <w:lang w:val="en-US"/>
        </w:rPr>
        <w:t xml:space="preserve">, it </w:t>
      </w:r>
      <w:r w:rsidR="00F67724" w:rsidRPr="00813D19">
        <w:rPr>
          <w:bCs/>
          <w:lang w:val="en-US"/>
        </w:rPr>
        <w:t>welcome</w:t>
      </w:r>
      <w:r w:rsidR="00B563A4" w:rsidRPr="00813D19">
        <w:rPr>
          <w:bCs/>
          <w:lang w:val="en-US"/>
        </w:rPr>
        <w:t>d</w:t>
      </w:r>
      <w:r w:rsidR="00F67724" w:rsidRPr="00813D19">
        <w:rPr>
          <w:bCs/>
          <w:lang w:val="en-US"/>
        </w:rPr>
        <w:t xml:space="preserve"> the proposal of the working group concerning possible ways in which the participation of NGOs could </w:t>
      </w:r>
      <w:r w:rsidR="00B563A4" w:rsidRPr="00813D19">
        <w:rPr>
          <w:bCs/>
          <w:lang w:val="en-US"/>
        </w:rPr>
        <w:t xml:space="preserve">be </w:t>
      </w:r>
      <w:r w:rsidR="00F67724" w:rsidRPr="00813D19">
        <w:rPr>
          <w:bCs/>
          <w:lang w:val="en-US"/>
        </w:rPr>
        <w:t>further enhanced, for</w:t>
      </w:r>
      <w:r w:rsidR="00B563A4" w:rsidRPr="00813D19">
        <w:rPr>
          <w:bCs/>
          <w:lang w:val="en-US"/>
        </w:rPr>
        <w:t xml:space="preserve"> example, by providing capacity-</w:t>
      </w:r>
      <w:r w:rsidR="00F67724" w:rsidRPr="00813D19">
        <w:rPr>
          <w:bCs/>
          <w:lang w:val="en-US"/>
        </w:rPr>
        <w:t xml:space="preserve">building opportunities. </w:t>
      </w:r>
      <w:r w:rsidR="005727EB" w:rsidRPr="00813D19">
        <w:rPr>
          <w:bCs/>
          <w:lang w:val="en-US"/>
        </w:rPr>
        <w:t>It</w:t>
      </w:r>
      <w:r w:rsidR="00B563A4" w:rsidRPr="00813D19">
        <w:rPr>
          <w:bCs/>
          <w:lang w:val="en-US"/>
        </w:rPr>
        <w:t xml:space="preserve"> </w:t>
      </w:r>
      <w:r w:rsidR="00F67724" w:rsidRPr="00813D19">
        <w:rPr>
          <w:bCs/>
          <w:lang w:val="en-US"/>
        </w:rPr>
        <w:t>suggest</w:t>
      </w:r>
      <w:r w:rsidR="00B563A4" w:rsidRPr="00813D19">
        <w:rPr>
          <w:bCs/>
          <w:lang w:val="en-US"/>
        </w:rPr>
        <w:t>ed</w:t>
      </w:r>
      <w:r w:rsidR="00F67724" w:rsidRPr="00813D19">
        <w:rPr>
          <w:bCs/>
          <w:lang w:val="en-US"/>
        </w:rPr>
        <w:t xml:space="preserve"> that this topic </w:t>
      </w:r>
      <w:r w:rsidR="00B563A4" w:rsidRPr="00813D19">
        <w:rPr>
          <w:bCs/>
          <w:lang w:val="en-US"/>
        </w:rPr>
        <w:t xml:space="preserve">be </w:t>
      </w:r>
      <w:r w:rsidR="00F67724" w:rsidRPr="00813D19">
        <w:rPr>
          <w:bCs/>
          <w:lang w:val="en-US"/>
        </w:rPr>
        <w:t>reflected in the upcoming consultation meeting. As mentioned in the report</w:t>
      </w:r>
      <w:r w:rsidR="00B563A4" w:rsidRPr="00813D19">
        <w:rPr>
          <w:bCs/>
          <w:lang w:val="en-US"/>
        </w:rPr>
        <w:t>,</w:t>
      </w:r>
      <w:r w:rsidR="00F67724" w:rsidRPr="00813D19">
        <w:rPr>
          <w:bCs/>
          <w:lang w:val="en-US"/>
        </w:rPr>
        <w:t xml:space="preserve"> around half of the respondents considered that the accreditation system should include different types of accreditation</w:t>
      </w:r>
      <w:r w:rsidR="00B563A4" w:rsidRPr="00813D19">
        <w:rPr>
          <w:bCs/>
          <w:lang w:val="en-US"/>
        </w:rPr>
        <w:t>,</w:t>
      </w:r>
      <w:r w:rsidR="00F67724" w:rsidRPr="00813D19">
        <w:rPr>
          <w:bCs/>
          <w:lang w:val="en-US"/>
        </w:rPr>
        <w:t xml:space="preserve"> and </w:t>
      </w:r>
      <w:r w:rsidR="00B563A4" w:rsidRPr="00813D19">
        <w:rPr>
          <w:bCs/>
          <w:lang w:val="en-US"/>
        </w:rPr>
        <w:t xml:space="preserve">the delegation sought clarification on </w:t>
      </w:r>
      <w:r w:rsidR="00F67724" w:rsidRPr="00813D19">
        <w:rPr>
          <w:bCs/>
          <w:lang w:val="en-US"/>
        </w:rPr>
        <w:t xml:space="preserve">what form these types of accreditation would take and also the </w:t>
      </w:r>
      <w:r w:rsidR="00634D0B">
        <w:rPr>
          <w:bCs/>
          <w:lang w:val="en-US"/>
        </w:rPr>
        <w:t>reasoning behind this proposal.</w:t>
      </w:r>
    </w:p>
    <w:p w14:paraId="007E64AE" w14:textId="49165E48" w:rsidR="00B563A4" w:rsidRPr="00813D19" w:rsidRDefault="009C660D" w:rsidP="004427BE">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 </w:t>
      </w:r>
      <w:r w:rsidR="00C504EB" w:rsidRPr="00813D19">
        <w:rPr>
          <w:color w:val="000000" w:themeColor="text1"/>
          <w:lang w:val="en-US"/>
        </w:rPr>
        <w:t xml:space="preserve">remarked that this issue was </w:t>
      </w:r>
      <w:r w:rsidR="00B563A4" w:rsidRPr="00813D19">
        <w:rPr>
          <w:color w:val="000000" w:themeColor="text1"/>
          <w:lang w:val="en-US"/>
        </w:rPr>
        <w:t xml:space="preserve">important on two levels. </w:t>
      </w:r>
      <w:r w:rsidR="00927AE0" w:rsidRPr="00813D19">
        <w:rPr>
          <w:color w:val="000000" w:themeColor="text1"/>
          <w:lang w:val="en-US"/>
        </w:rPr>
        <w:t>Fir</w:t>
      </w:r>
      <w:r w:rsidR="00C504EB" w:rsidRPr="00813D19">
        <w:rPr>
          <w:color w:val="000000" w:themeColor="text1"/>
          <w:lang w:val="en-US"/>
        </w:rPr>
        <w:t>s</w:t>
      </w:r>
      <w:r w:rsidR="00927AE0" w:rsidRPr="00813D19">
        <w:rPr>
          <w:color w:val="000000" w:themeColor="text1"/>
          <w:lang w:val="en-US"/>
        </w:rPr>
        <w:t>t</w:t>
      </w:r>
      <w:r w:rsidR="00C504EB" w:rsidRPr="00813D19">
        <w:rPr>
          <w:color w:val="000000" w:themeColor="text1"/>
          <w:lang w:val="en-US"/>
        </w:rPr>
        <w:t xml:space="preserve">ly, </w:t>
      </w:r>
      <w:r w:rsidR="00B563A4" w:rsidRPr="00813D19">
        <w:rPr>
          <w:color w:val="000000" w:themeColor="text1"/>
          <w:lang w:val="en-US"/>
        </w:rPr>
        <w:t xml:space="preserve">NGOs play an extremely important role on the ground. </w:t>
      </w:r>
      <w:r w:rsidR="00C504EB" w:rsidRPr="00813D19">
        <w:rPr>
          <w:color w:val="000000" w:themeColor="text1"/>
          <w:lang w:val="en-US"/>
        </w:rPr>
        <w:t xml:space="preserve">In the case of </w:t>
      </w:r>
      <w:r w:rsidR="00B563A4" w:rsidRPr="00813D19">
        <w:rPr>
          <w:color w:val="000000" w:themeColor="text1"/>
          <w:lang w:val="en-US"/>
        </w:rPr>
        <w:t xml:space="preserve">Africa, at least in </w:t>
      </w:r>
      <w:r w:rsidR="00C504EB" w:rsidRPr="00813D19">
        <w:rPr>
          <w:color w:val="000000" w:themeColor="text1"/>
          <w:lang w:val="en-US"/>
        </w:rPr>
        <w:t>Senegal</w:t>
      </w:r>
      <w:r w:rsidR="00B563A4" w:rsidRPr="00813D19">
        <w:rPr>
          <w:color w:val="000000" w:themeColor="text1"/>
          <w:lang w:val="en-US"/>
        </w:rPr>
        <w:t xml:space="preserve">, human resources are very limited at the </w:t>
      </w:r>
      <w:r w:rsidR="00C504EB" w:rsidRPr="00813D19">
        <w:rPr>
          <w:color w:val="000000" w:themeColor="text1"/>
          <w:lang w:val="en-US"/>
        </w:rPr>
        <w:t xml:space="preserve">regional level, and there is not enough </w:t>
      </w:r>
      <w:r w:rsidR="00B563A4" w:rsidRPr="00813D19">
        <w:rPr>
          <w:color w:val="000000" w:themeColor="text1"/>
          <w:lang w:val="en-US"/>
        </w:rPr>
        <w:t xml:space="preserve">human resources </w:t>
      </w:r>
      <w:r w:rsidR="00C504EB" w:rsidRPr="00813D19">
        <w:rPr>
          <w:color w:val="000000" w:themeColor="text1"/>
          <w:lang w:val="en-US"/>
        </w:rPr>
        <w:t xml:space="preserve">available </w:t>
      </w:r>
      <w:r w:rsidR="00B563A4" w:rsidRPr="00813D19">
        <w:rPr>
          <w:color w:val="000000" w:themeColor="text1"/>
          <w:lang w:val="en-US"/>
        </w:rPr>
        <w:t xml:space="preserve">to do all the work on the ground with the communities. </w:t>
      </w:r>
      <w:r w:rsidR="00C504EB" w:rsidRPr="00813D19">
        <w:rPr>
          <w:color w:val="000000" w:themeColor="text1"/>
          <w:lang w:val="en-US"/>
        </w:rPr>
        <w:t xml:space="preserve">Thus, </w:t>
      </w:r>
      <w:r w:rsidR="00B563A4" w:rsidRPr="00813D19">
        <w:rPr>
          <w:color w:val="000000" w:themeColor="text1"/>
          <w:lang w:val="en-US"/>
        </w:rPr>
        <w:t xml:space="preserve">NGOs become </w:t>
      </w:r>
      <w:r w:rsidR="00C504EB" w:rsidRPr="00813D19">
        <w:rPr>
          <w:color w:val="000000" w:themeColor="text1"/>
          <w:lang w:val="en-US"/>
        </w:rPr>
        <w:t>essential intermediaries</w:t>
      </w:r>
      <w:r w:rsidR="00B563A4" w:rsidRPr="00813D19">
        <w:rPr>
          <w:color w:val="000000" w:themeColor="text1"/>
          <w:lang w:val="en-US"/>
        </w:rPr>
        <w:t xml:space="preserve">, especially when working directly with communities. </w:t>
      </w:r>
      <w:r w:rsidR="00C504EB" w:rsidRPr="00813D19">
        <w:rPr>
          <w:color w:val="000000" w:themeColor="text1"/>
          <w:lang w:val="en-US"/>
        </w:rPr>
        <w:t xml:space="preserve">For the last </w:t>
      </w:r>
      <w:r w:rsidR="00B563A4" w:rsidRPr="00813D19">
        <w:rPr>
          <w:color w:val="000000" w:themeColor="text1"/>
          <w:lang w:val="en-US"/>
        </w:rPr>
        <w:t xml:space="preserve">ten years in most parts of Senegal, </w:t>
      </w:r>
      <w:r w:rsidR="00C504EB" w:rsidRPr="00813D19">
        <w:rPr>
          <w:color w:val="000000" w:themeColor="text1"/>
          <w:lang w:val="en-US"/>
        </w:rPr>
        <w:t xml:space="preserve">all the work had been </w:t>
      </w:r>
      <w:r w:rsidR="00813D19" w:rsidRPr="00813D19">
        <w:rPr>
          <w:color w:val="000000" w:themeColor="text1"/>
          <w:lang w:val="en-US"/>
        </w:rPr>
        <w:t>carried</w:t>
      </w:r>
      <w:r w:rsidR="00C504EB" w:rsidRPr="00813D19">
        <w:rPr>
          <w:color w:val="000000" w:themeColor="text1"/>
          <w:lang w:val="en-US"/>
        </w:rPr>
        <w:t xml:space="preserve"> out by </w:t>
      </w:r>
      <w:r w:rsidR="00B563A4" w:rsidRPr="00813D19">
        <w:rPr>
          <w:color w:val="000000" w:themeColor="text1"/>
          <w:lang w:val="en-US"/>
        </w:rPr>
        <w:t xml:space="preserve">NGOs. </w:t>
      </w:r>
      <w:r w:rsidR="00C504EB" w:rsidRPr="00813D19">
        <w:rPr>
          <w:color w:val="000000" w:themeColor="text1"/>
          <w:lang w:val="en-US"/>
        </w:rPr>
        <w:t xml:space="preserve">However, it was true that there was </w:t>
      </w:r>
      <w:r w:rsidR="00B563A4" w:rsidRPr="00813D19">
        <w:rPr>
          <w:color w:val="000000" w:themeColor="text1"/>
          <w:lang w:val="en-US"/>
        </w:rPr>
        <w:t xml:space="preserve">a problem of imbalance </w:t>
      </w:r>
      <w:r w:rsidR="00C504EB" w:rsidRPr="00813D19">
        <w:rPr>
          <w:color w:val="000000" w:themeColor="text1"/>
          <w:lang w:val="en-US"/>
        </w:rPr>
        <w:t xml:space="preserve">in </w:t>
      </w:r>
      <w:r w:rsidR="008E7819">
        <w:rPr>
          <w:color w:val="000000" w:themeColor="text1"/>
          <w:lang w:val="en-US"/>
        </w:rPr>
        <w:t xml:space="preserve">the </w:t>
      </w:r>
      <w:r w:rsidR="00B563A4" w:rsidRPr="00813D19">
        <w:rPr>
          <w:color w:val="000000" w:themeColor="text1"/>
          <w:lang w:val="en-US"/>
        </w:rPr>
        <w:t xml:space="preserve">participation of NGOs by country. </w:t>
      </w:r>
      <w:r w:rsidR="00C504EB" w:rsidRPr="00813D19">
        <w:rPr>
          <w:color w:val="000000" w:themeColor="text1"/>
          <w:lang w:val="en-US"/>
        </w:rPr>
        <w:t xml:space="preserve">In </w:t>
      </w:r>
      <w:r w:rsidR="00B563A4" w:rsidRPr="00813D19">
        <w:rPr>
          <w:color w:val="000000" w:themeColor="text1"/>
          <w:lang w:val="en-US"/>
        </w:rPr>
        <w:t xml:space="preserve">the case of Senegal, there </w:t>
      </w:r>
      <w:r w:rsidR="00C504EB" w:rsidRPr="00813D19">
        <w:rPr>
          <w:color w:val="000000" w:themeColor="text1"/>
          <w:lang w:val="en-US"/>
        </w:rPr>
        <w:t xml:space="preserve">had been </w:t>
      </w:r>
      <w:r w:rsidR="00B563A4" w:rsidRPr="00813D19">
        <w:rPr>
          <w:color w:val="000000" w:themeColor="text1"/>
          <w:lang w:val="en-US"/>
        </w:rPr>
        <w:t xml:space="preserve">an NGO for a while </w:t>
      </w:r>
      <w:r w:rsidR="00C504EB" w:rsidRPr="00813D19">
        <w:rPr>
          <w:color w:val="000000" w:themeColor="text1"/>
          <w:lang w:val="en-US"/>
        </w:rPr>
        <w:t xml:space="preserve">but </w:t>
      </w:r>
      <w:r w:rsidR="002873A1" w:rsidRPr="00813D19">
        <w:rPr>
          <w:color w:val="000000" w:themeColor="text1"/>
          <w:lang w:val="en-US"/>
        </w:rPr>
        <w:t xml:space="preserve">it </w:t>
      </w:r>
      <w:r w:rsidR="00C504EB" w:rsidRPr="00813D19">
        <w:rPr>
          <w:color w:val="000000" w:themeColor="text1"/>
          <w:lang w:val="en-US"/>
        </w:rPr>
        <w:t xml:space="preserve">no longer operates. </w:t>
      </w:r>
      <w:r w:rsidR="00B563A4" w:rsidRPr="00813D19">
        <w:rPr>
          <w:color w:val="000000" w:themeColor="text1"/>
          <w:lang w:val="en-US"/>
        </w:rPr>
        <w:t xml:space="preserve">Today, </w:t>
      </w:r>
      <w:r w:rsidR="00C504EB" w:rsidRPr="00813D19">
        <w:rPr>
          <w:color w:val="000000" w:themeColor="text1"/>
          <w:lang w:val="en-US"/>
        </w:rPr>
        <w:t xml:space="preserve">the State was </w:t>
      </w:r>
      <w:r w:rsidR="00B563A4" w:rsidRPr="00813D19">
        <w:rPr>
          <w:color w:val="000000" w:themeColor="text1"/>
          <w:lang w:val="en-US"/>
        </w:rPr>
        <w:t>working with NGOs in inventory</w:t>
      </w:r>
      <w:r w:rsidR="00C504EB" w:rsidRPr="00813D19">
        <w:rPr>
          <w:color w:val="000000" w:themeColor="text1"/>
          <w:lang w:val="en-US"/>
        </w:rPr>
        <w:t>ing</w:t>
      </w:r>
      <w:r w:rsidR="00B563A4" w:rsidRPr="00813D19">
        <w:rPr>
          <w:color w:val="000000" w:themeColor="text1"/>
          <w:lang w:val="en-US"/>
        </w:rPr>
        <w:t xml:space="preserve">, </w:t>
      </w:r>
      <w:r w:rsidR="00C504EB" w:rsidRPr="00813D19">
        <w:rPr>
          <w:color w:val="000000" w:themeColor="text1"/>
          <w:lang w:val="en-US"/>
        </w:rPr>
        <w:t>working at the community level</w:t>
      </w:r>
      <w:r w:rsidR="00B563A4" w:rsidRPr="00813D19">
        <w:rPr>
          <w:color w:val="000000" w:themeColor="text1"/>
          <w:lang w:val="en-US"/>
        </w:rPr>
        <w:t xml:space="preserve">, </w:t>
      </w:r>
      <w:r w:rsidR="00C504EB" w:rsidRPr="00813D19">
        <w:rPr>
          <w:color w:val="000000" w:themeColor="text1"/>
          <w:lang w:val="en-US"/>
        </w:rPr>
        <w:t xml:space="preserve">but </w:t>
      </w:r>
      <w:r w:rsidR="00B563A4" w:rsidRPr="00813D19">
        <w:rPr>
          <w:color w:val="000000" w:themeColor="text1"/>
          <w:lang w:val="en-US"/>
        </w:rPr>
        <w:t xml:space="preserve">these NGOs </w:t>
      </w:r>
      <w:r w:rsidR="00C504EB" w:rsidRPr="00813D19">
        <w:rPr>
          <w:color w:val="000000" w:themeColor="text1"/>
          <w:lang w:val="en-US"/>
        </w:rPr>
        <w:t xml:space="preserve">were </w:t>
      </w:r>
      <w:r w:rsidR="00B563A4" w:rsidRPr="00813D19">
        <w:rPr>
          <w:color w:val="000000" w:themeColor="text1"/>
          <w:lang w:val="en-US"/>
        </w:rPr>
        <w:t xml:space="preserve">not </w:t>
      </w:r>
      <w:r w:rsidR="00C504EB" w:rsidRPr="00813D19">
        <w:rPr>
          <w:color w:val="000000" w:themeColor="text1"/>
          <w:lang w:val="en-US"/>
        </w:rPr>
        <w:t>accredited either</w:t>
      </w:r>
      <w:r w:rsidR="00B563A4" w:rsidRPr="00813D19">
        <w:rPr>
          <w:color w:val="000000" w:themeColor="text1"/>
          <w:lang w:val="en-US"/>
        </w:rPr>
        <w:t xml:space="preserve">. </w:t>
      </w:r>
      <w:r w:rsidR="00C504EB" w:rsidRPr="00813D19">
        <w:rPr>
          <w:color w:val="000000" w:themeColor="text1"/>
          <w:lang w:val="en-US"/>
        </w:rPr>
        <w:t xml:space="preserve">Thus, States Parties had </w:t>
      </w:r>
      <w:r w:rsidR="00B563A4" w:rsidRPr="00813D19">
        <w:rPr>
          <w:color w:val="000000" w:themeColor="text1"/>
          <w:lang w:val="en-US"/>
        </w:rPr>
        <w:t xml:space="preserve">a responsibility, as administrators, </w:t>
      </w:r>
      <w:r w:rsidR="00C504EB" w:rsidRPr="00813D19">
        <w:rPr>
          <w:color w:val="000000" w:themeColor="text1"/>
          <w:lang w:val="en-US"/>
        </w:rPr>
        <w:t>technicians and experts</w:t>
      </w:r>
      <w:r w:rsidR="008E7819">
        <w:rPr>
          <w:color w:val="000000" w:themeColor="text1"/>
          <w:lang w:val="en-US"/>
        </w:rPr>
        <w:t>,</w:t>
      </w:r>
      <w:r w:rsidR="00B563A4" w:rsidRPr="00813D19">
        <w:rPr>
          <w:color w:val="000000" w:themeColor="text1"/>
          <w:lang w:val="en-US"/>
        </w:rPr>
        <w:t xml:space="preserve"> </w:t>
      </w:r>
      <w:r w:rsidR="00C504EB" w:rsidRPr="00813D19">
        <w:rPr>
          <w:color w:val="000000" w:themeColor="text1"/>
          <w:lang w:val="en-US"/>
        </w:rPr>
        <w:t xml:space="preserve">to </w:t>
      </w:r>
      <w:r w:rsidR="00B563A4" w:rsidRPr="00813D19">
        <w:rPr>
          <w:color w:val="000000" w:themeColor="text1"/>
          <w:lang w:val="en-US"/>
        </w:rPr>
        <w:t xml:space="preserve">encourage NGOs that </w:t>
      </w:r>
      <w:r w:rsidR="00C504EB" w:rsidRPr="00813D19">
        <w:rPr>
          <w:color w:val="000000" w:themeColor="text1"/>
          <w:lang w:val="en-US"/>
        </w:rPr>
        <w:t xml:space="preserve">do not necessarily </w:t>
      </w:r>
      <w:r w:rsidR="00B563A4" w:rsidRPr="00813D19">
        <w:rPr>
          <w:color w:val="000000" w:themeColor="text1"/>
          <w:lang w:val="en-US"/>
        </w:rPr>
        <w:t xml:space="preserve">know </w:t>
      </w:r>
      <w:r w:rsidR="00C504EB" w:rsidRPr="00813D19">
        <w:rPr>
          <w:color w:val="000000" w:themeColor="text1"/>
          <w:lang w:val="en-US"/>
        </w:rPr>
        <w:t xml:space="preserve">about the NGO </w:t>
      </w:r>
      <w:r w:rsidR="00B563A4" w:rsidRPr="00813D19">
        <w:rPr>
          <w:color w:val="000000" w:themeColor="text1"/>
          <w:lang w:val="en-US"/>
        </w:rPr>
        <w:t xml:space="preserve">network </w:t>
      </w:r>
      <w:r w:rsidR="00C504EB" w:rsidRPr="00813D19">
        <w:rPr>
          <w:color w:val="000000" w:themeColor="text1"/>
          <w:lang w:val="en-US"/>
        </w:rPr>
        <w:t xml:space="preserve">for </w:t>
      </w:r>
      <w:r w:rsidR="00B563A4" w:rsidRPr="00813D19">
        <w:rPr>
          <w:color w:val="000000" w:themeColor="text1"/>
          <w:lang w:val="en-US"/>
        </w:rPr>
        <w:t>intangible heritage</w:t>
      </w:r>
      <w:r w:rsidR="00C504EB" w:rsidRPr="00813D19">
        <w:rPr>
          <w:color w:val="000000" w:themeColor="text1"/>
          <w:lang w:val="en-US"/>
        </w:rPr>
        <w:t xml:space="preserve">, even though they work alongside State </w:t>
      </w:r>
      <w:r w:rsidR="00813D19" w:rsidRPr="00813D19">
        <w:rPr>
          <w:color w:val="000000" w:themeColor="text1"/>
          <w:lang w:val="en-US"/>
        </w:rPr>
        <w:t>authorities</w:t>
      </w:r>
      <w:r w:rsidR="00C504EB" w:rsidRPr="00813D19">
        <w:rPr>
          <w:color w:val="000000" w:themeColor="text1"/>
          <w:lang w:val="en-US"/>
        </w:rPr>
        <w:t xml:space="preserve"> </w:t>
      </w:r>
      <w:r w:rsidR="00A53F15" w:rsidRPr="00813D19">
        <w:rPr>
          <w:color w:val="000000" w:themeColor="text1"/>
          <w:lang w:val="en-US"/>
        </w:rPr>
        <w:t>yet</w:t>
      </w:r>
      <w:r w:rsidR="00FC2564" w:rsidRPr="00813D19">
        <w:rPr>
          <w:color w:val="000000" w:themeColor="text1"/>
          <w:lang w:val="en-US"/>
        </w:rPr>
        <w:t xml:space="preserve"> were still unaware </w:t>
      </w:r>
      <w:r w:rsidR="008E7819">
        <w:rPr>
          <w:color w:val="000000" w:themeColor="text1"/>
          <w:lang w:val="en-US"/>
        </w:rPr>
        <w:t>of</w:t>
      </w:r>
      <w:r w:rsidR="008E7819" w:rsidRPr="00813D19">
        <w:rPr>
          <w:color w:val="000000" w:themeColor="text1"/>
          <w:lang w:val="en-US"/>
        </w:rPr>
        <w:t xml:space="preserve"> </w:t>
      </w:r>
      <w:r w:rsidR="00FC2564" w:rsidRPr="00813D19">
        <w:rPr>
          <w:color w:val="000000" w:themeColor="text1"/>
          <w:lang w:val="en-US"/>
        </w:rPr>
        <w:t>accreditation or</w:t>
      </w:r>
      <w:r w:rsidR="00B563A4" w:rsidRPr="00813D19">
        <w:rPr>
          <w:color w:val="000000" w:themeColor="text1"/>
          <w:lang w:val="en-US"/>
        </w:rPr>
        <w:t xml:space="preserve"> how to </w:t>
      </w:r>
      <w:r w:rsidR="00FC2564" w:rsidRPr="00813D19">
        <w:rPr>
          <w:color w:val="000000" w:themeColor="text1"/>
          <w:lang w:val="en-US"/>
        </w:rPr>
        <w:t>be</w:t>
      </w:r>
      <w:r w:rsidR="00B563A4" w:rsidRPr="00813D19">
        <w:rPr>
          <w:color w:val="000000" w:themeColor="text1"/>
          <w:lang w:val="en-US"/>
        </w:rPr>
        <w:t>come</w:t>
      </w:r>
      <w:r w:rsidR="00FC2564" w:rsidRPr="00813D19">
        <w:rPr>
          <w:color w:val="000000" w:themeColor="text1"/>
          <w:lang w:val="en-US"/>
        </w:rPr>
        <w:t xml:space="preserve"> accredited</w:t>
      </w:r>
      <w:r w:rsidR="00B563A4" w:rsidRPr="00813D19">
        <w:rPr>
          <w:color w:val="000000" w:themeColor="text1"/>
          <w:lang w:val="en-US"/>
        </w:rPr>
        <w:t xml:space="preserve">. </w:t>
      </w:r>
      <w:r w:rsidR="005817C9" w:rsidRPr="00813D19">
        <w:rPr>
          <w:color w:val="000000" w:themeColor="text1"/>
          <w:lang w:val="en-US"/>
        </w:rPr>
        <w:t xml:space="preserve">For this reason, </w:t>
      </w:r>
      <w:r w:rsidR="005C6384" w:rsidRPr="00813D19">
        <w:rPr>
          <w:color w:val="000000" w:themeColor="text1"/>
          <w:lang w:val="en-US"/>
        </w:rPr>
        <w:t xml:space="preserve">following </w:t>
      </w:r>
      <w:r w:rsidR="00B563A4" w:rsidRPr="00813D19">
        <w:rPr>
          <w:color w:val="000000" w:themeColor="text1"/>
          <w:lang w:val="en-US"/>
        </w:rPr>
        <w:t xml:space="preserve">the General </w:t>
      </w:r>
      <w:r w:rsidR="00C35BDA" w:rsidRPr="00813D19">
        <w:rPr>
          <w:color w:val="000000" w:themeColor="text1"/>
          <w:lang w:val="en-US"/>
        </w:rPr>
        <w:t>Conference</w:t>
      </w:r>
      <w:r w:rsidR="005C6384" w:rsidRPr="00813D19">
        <w:rPr>
          <w:color w:val="000000" w:themeColor="text1"/>
          <w:lang w:val="en-US"/>
        </w:rPr>
        <w:t xml:space="preserve"> in 2017</w:t>
      </w:r>
      <w:r w:rsidR="00B563A4" w:rsidRPr="00813D19">
        <w:rPr>
          <w:color w:val="000000" w:themeColor="text1"/>
          <w:lang w:val="en-US"/>
        </w:rPr>
        <w:t xml:space="preserve">, when </w:t>
      </w:r>
      <w:r w:rsidR="000C0B25" w:rsidRPr="00813D19">
        <w:rPr>
          <w:color w:val="000000" w:themeColor="text1"/>
          <w:lang w:val="en-US"/>
        </w:rPr>
        <w:t xml:space="preserve">it was realized </w:t>
      </w:r>
      <w:r w:rsidR="005817C9" w:rsidRPr="00813D19">
        <w:rPr>
          <w:color w:val="000000" w:themeColor="text1"/>
          <w:lang w:val="en-US"/>
        </w:rPr>
        <w:t xml:space="preserve">that </w:t>
      </w:r>
      <w:r w:rsidR="000C0B25" w:rsidRPr="00813D19">
        <w:rPr>
          <w:color w:val="000000" w:themeColor="text1"/>
          <w:lang w:val="en-US"/>
        </w:rPr>
        <w:t xml:space="preserve">only </w:t>
      </w:r>
      <w:r w:rsidR="00B563A4" w:rsidRPr="00813D19">
        <w:rPr>
          <w:color w:val="000000" w:themeColor="text1"/>
          <w:lang w:val="en-US"/>
        </w:rPr>
        <w:t xml:space="preserve">Zimbabwe </w:t>
      </w:r>
      <w:r w:rsidR="000C0B25" w:rsidRPr="00813D19">
        <w:rPr>
          <w:color w:val="000000" w:themeColor="text1"/>
          <w:lang w:val="en-US"/>
        </w:rPr>
        <w:t xml:space="preserve">had </w:t>
      </w:r>
      <w:r w:rsidR="005817C9" w:rsidRPr="00813D19">
        <w:rPr>
          <w:color w:val="000000" w:themeColor="text1"/>
          <w:lang w:val="en-US"/>
        </w:rPr>
        <w:t xml:space="preserve">one </w:t>
      </w:r>
      <w:r w:rsidR="000C0B25" w:rsidRPr="00813D19">
        <w:rPr>
          <w:color w:val="000000" w:themeColor="text1"/>
          <w:lang w:val="en-US"/>
        </w:rPr>
        <w:t>accredited NGO</w:t>
      </w:r>
      <w:r w:rsidR="00B563A4" w:rsidRPr="00813D19">
        <w:rPr>
          <w:color w:val="000000" w:themeColor="text1"/>
          <w:lang w:val="en-US"/>
        </w:rPr>
        <w:t xml:space="preserve">, Senegal </w:t>
      </w:r>
      <w:r w:rsidR="000C0B25" w:rsidRPr="00813D19">
        <w:rPr>
          <w:color w:val="000000" w:themeColor="text1"/>
          <w:lang w:val="en-US"/>
        </w:rPr>
        <w:t xml:space="preserve">decided </w:t>
      </w:r>
      <w:r w:rsidR="00116963" w:rsidRPr="00813D19">
        <w:rPr>
          <w:color w:val="000000" w:themeColor="text1"/>
          <w:lang w:val="en-US"/>
        </w:rPr>
        <w:t>to work with NGOs</w:t>
      </w:r>
      <w:r w:rsidR="00B563A4" w:rsidRPr="00813D19">
        <w:rPr>
          <w:color w:val="000000" w:themeColor="text1"/>
          <w:lang w:val="en-US"/>
        </w:rPr>
        <w:t xml:space="preserve"> and </w:t>
      </w:r>
      <w:r w:rsidR="005817C9" w:rsidRPr="00813D19">
        <w:rPr>
          <w:color w:val="000000" w:themeColor="text1"/>
          <w:lang w:val="en-US"/>
        </w:rPr>
        <w:t xml:space="preserve">now </w:t>
      </w:r>
      <w:r w:rsidR="00B563A4" w:rsidRPr="00813D19">
        <w:rPr>
          <w:color w:val="000000" w:themeColor="text1"/>
          <w:lang w:val="en-US"/>
        </w:rPr>
        <w:t xml:space="preserve">three NGOs </w:t>
      </w:r>
      <w:r w:rsidR="001A708E" w:rsidRPr="00813D19">
        <w:rPr>
          <w:color w:val="000000" w:themeColor="text1"/>
          <w:lang w:val="en-US"/>
        </w:rPr>
        <w:t>were preparing</w:t>
      </w:r>
      <w:r w:rsidR="00B563A4" w:rsidRPr="00813D19">
        <w:rPr>
          <w:color w:val="000000" w:themeColor="text1"/>
          <w:lang w:val="en-US"/>
        </w:rPr>
        <w:t xml:space="preserve"> their documents to submit their </w:t>
      </w:r>
      <w:r w:rsidR="005817C9" w:rsidRPr="00813D19">
        <w:rPr>
          <w:color w:val="000000" w:themeColor="text1"/>
          <w:lang w:val="en-US"/>
        </w:rPr>
        <w:t xml:space="preserve">nominations. </w:t>
      </w:r>
      <w:r w:rsidR="00BC5A0F" w:rsidRPr="00813D19">
        <w:rPr>
          <w:color w:val="000000" w:themeColor="text1"/>
          <w:lang w:val="en-US"/>
        </w:rPr>
        <w:t>The delegation believe</w:t>
      </w:r>
      <w:r w:rsidR="00676A09" w:rsidRPr="00813D19">
        <w:rPr>
          <w:color w:val="000000" w:themeColor="text1"/>
          <w:lang w:val="en-US"/>
        </w:rPr>
        <w:t>d that this was the way forward</w:t>
      </w:r>
      <w:r w:rsidR="00BC5A0F" w:rsidRPr="00813D19">
        <w:rPr>
          <w:color w:val="000000" w:themeColor="text1"/>
          <w:lang w:val="en-US"/>
        </w:rPr>
        <w:t xml:space="preserve"> </w:t>
      </w:r>
      <w:r w:rsidR="00676A09" w:rsidRPr="00813D19">
        <w:rPr>
          <w:color w:val="000000" w:themeColor="text1"/>
          <w:lang w:val="en-US"/>
        </w:rPr>
        <w:t xml:space="preserve">to </w:t>
      </w:r>
      <w:r w:rsidR="00695D59" w:rsidRPr="00813D19">
        <w:rPr>
          <w:color w:val="000000" w:themeColor="text1"/>
          <w:lang w:val="en-US"/>
        </w:rPr>
        <w:t>improve representation</w:t>
      </w:r>
      <w:r w:rsidR="00BC5A0F" w:rsidRPr="00813D19">
        <w:rPr>
          <w:color w:val="000000" w:themeColor="text1"/>
          <w:lang w:val="en-US"/>
        </w:rPr>
        <w:t xml:space="preserve"> at the geographic</w:t>
      </w:r>
      <w:r w:rsidR="00B563A4" w:rsidRPr="00813D19">
        <w:rPr>
          <w:color w:val="000000" w:themeColor="text1"/>
          <w:lang w:val="en-US"/>
        </w:rPr>
        <w:t xml:space="preserve"> level. </w:t>
      </w:r>
      <w:r w:rsidR="00BC5A0F" w:rsidRPr="00813D19">
        <w:rPr>
          <w:color w:val="000000" w:themeColor="text1"/>
          <w:lang w:val="en-US"/>
        </w:rPr>
        <w:t>States Parties thus had a role to play</w:t>
      </w:r>
      <w:r w:rsidR="00B563A4" w:rsidRPr="00813D19">
        <w:rPr>
          <w:color w:val="000000" w:themeColor="text1"/>
          <w:lang w:val="en-US"/>
        </w:rPr>
        <w:t xml:space="preserve"> </w:t>
      </w:r>
      <w:r w:rsidR="00BC5A0F" w:rsidRPr="00813D19">
        <w:rPr>
          <w:color w:val="000000" w:themeColor="text1"/>
          <w:lang w:val="en-US"/>
        </w:rPr>
        <w:t xml:space="preserve">to encourage and </w:t>
      </w:r>
      <w:r w:rsidR="00B563A4" w:rsidRPr="00813D19">
        <w:rPr>
          <w:color w:val="000000" w:themeColor="text1"/>
          <w:lang w:val="en-US"/>
        </w:rPr>
        <w:t xml:space="preserve">work with NGOs, especially as </w:t>
      </w:r>
      <w:r w:rsidR="001E471B" w:rsidRPr="00813D19">
        <w:rPr>
          <w:color w:val="000000" w:themeColor="text1"/>
          <w:lang w:val="en-US"/>
        </w:rPr>
        <w:t>they are known by authorities</w:t>
      </w:r>
      <w:r w:rsidR="00BC5A0F" w:rsidRPr="00813D19">
        <w:rPr>
          <w:color w:val="000000" w:themeColor="text1"/>
          <w:lang w:val="en-US"/>
        </w:rPr>
        <w:t xml:space="preserve"> having worked with them in the field</w:t>
      </w:r>
      <w:r w:rsidR="00B563A4" w:rsidRPr="00813D19">
        <w:rPr>
          <w:color w:val="000000" w:themeColor="text1"/>
          <w:lang w:val="en-US"/>
        </w:rPr>
        <w:t xml:space="preserve">. </w:t>
      </w:r>
      <w:r w:rsidR="00BC5A0F" w:rsidRPr="00813D19">
        <w:rPr>
          <w:color w:val="000000" w:themeColor="text1"/>
          <w:lang w:val="en-US"/>
        </w:rPr>
        <w:t xml:space="preserve">This </w:t>
      </w:r>
      <w:r w:rsidR="00134CDC" w:rsidRPr="00813D19">
        <w:rPr>
          <w:color w:val="000000" w:themeColor="text1"/>
          <w:lang w:val="en-US"/>
        </w:rPr>
        <w:t>was</w:t>
      </w:r>
      <w:r w:rsidR="00BC5A0F" w:rsidRPr="00813D19">
        <w:rPr>
          <w:color w:val="000000" w:themeColor="text1"/>
          <w:lang w:val="en-US"/>
        </w:rPr>
        <w:t xml:space="preserve"> the example that Senegal </w:t>
      </w:r>
      <w:r w:rsidR="00134CDC" w:rsidRPr="00813D19">
        <w:rPr>
          <w:color w:val="000000" w:themeColor="text1"/>
          <w:lang w:val="en-US"/>
        </w:rPr>
        <w:t>wished to</w:t>
      </w:r>
      <w:r w:rsidR="00BC5A0F" w:rsidRPr="00813D19">
        <w:rPr>
          <w:color w:val="000000" w:themeColor="text1"/>
          <w:lang w:val="en-US"/>
        </w:rPr>
        <w:t xml:space="preserve"> set</w:t>
      </w:r>
      <w:r w:rsidR="00134CDC" w:rsidRPr="00813D19">
        <w:rPr>
          <w:color w:val="000000" w:themeColor="text1"/>
          <w:lang w:val="en-US"/>
        </w:rPr>
        <w:t xml:space="preserve"> to help NGO underrepresentation, </w:t>
      </w:r>
      <w:r w:rsidR="00B563A4" w:rsidRPr="00813D19">
        <w:rPr>
          <w:color w:val="000000" w:themeColor="text1"/>
          <w:lang w:val="en-US"/>
        </w:rPr>
        <w:t xml:space="preserve">but which </w:t>
      </w:r>
      <w:r w:rsidR="00BC5A0F" w:rsidRPr="00813D19">
        <w:rPr>
          <w:color w:val="000000" w:themeColor="text1"/>
          <w:lang w:val="en-US"/>
        </w:rPr>
        <w:t>also takes p</w:t>
      </w:r>
      <w:r w:rsidR="00634D0B">
        <w:rPr>
          <w:color w:val="000000" w:themeColor="text1"/>
          <w:lang w:val="en-US"/>
        </w:rPr>
        <w:t>lace in most African countries.</w:t>
      </w:r>
    </w:p>
    <w:p w14:paraId="426A87C4" w14:textId="074A2E5B" w:rsidR="009C660D" w:rsidRPr="00813D19" w:rsidRDefault="00E15183"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F67724" w:rsidRPr="00813D19">
        <w:rPr>
          <w:bCs/>
          <w:lang w:val="en-US"/>
        </w:rPr>
        <w:t>thank</w:t>
      </w:r>
      <w:r w:rsidR="00BC5A0F" w:rsidRPr="00813D19">
        <w:rPr>
          <w:bCs/>
          <w:lang w:val="en-US"/>
        </w:rPr>
        <w:t>ed</w:t>
      </w:r>
      <w:r w:rsidR="00F67724" w:rsidRPr="00813D19">
        <w:rPr>
          <w:bCs/>
          <w:lang w:val="en-US"/>
        </w:rPr>
        <w:t xml:space="preserve"> the Philippines </w:t>
      </w:r>
      <w:r w:rsidR="00BC5A0F" w:rsidRPr="00813D19">
        <w:rPr>
          <w:bCs/>
          <w:lang w:val="en-US"/>
        </w:rPr>
        <w:t>for its comments, noting that a lot</w:t>
      </w:r>
      <w:r w:rsidR="00C272D0" w:rsidRPr="00813D19">
        <w:rPr>
          <w:bCs/>
          <w:lang w:val="en-US"/>
        </w:rPr>
        <w:t xml:space="preserve"> of</w:t>
      </w:r>
      <w:r w:rsidR="00BC5A0F" w:rsidRPr="00813D19">
        <w:rPr>
          <w:bCs/>
          <w:lang w:val="en-US"/>
        </w:rPr>
        <w:t xml:space="preserve"> the</w:t>
      </w:r>
      <w:r w:rsidR="00F67724" w:rsidRPr="00813D19">
        <w:rPr>
          <w:bCs/>
          <w:lang w:val="en-US"/>
        </w:rPr>
        <w:t xml:space="preserve"> points </w:t>
      </w:r>
      <w:r w:rsidR="00BC5A0F" w:rsidRPr="00813D19">
        <w:rPr>
          <w:bCs/>
          <w:lang w:val="en-US"/>
        </w:rPr>
        <w:t xml:space="preserve">raised </w:t>
      </w:r>
      <w:r w:rsidR="008E7819">
        <w:rPr>
          <w:bCs/>
          <w:lang w:val="en-US"/>
        </w:rPr>
        <w:t>would</w:t>
      </w:r>
      <w:r w:rsidR="008E7819" w:rsidRPr="00813D19">
        <w:rPr>
          <w:bCs/>
          <w:lang w:val="en-US"/>
        </w:rPr>
        <w:t xml:space="preserve"> </w:t>
      </w:r>
      <w:r w:rsidR="00BC5A0F" w:rsidRPr="00813D19">
        <w:rPr>
          <w:bCs/>
          <w:lang w:val="en-US"/>
        </w:rPr>
        <w:t xml:space="preserve">be </w:t>
      </w:r>
      <w:r w:rsidR="00F67724" w:rsidRPr="00813D19">
        <w:rPr>
          <w:bCs/>
          <w:lang w:val="en-US"/>
        </w:rPr>
        <w:t xml:space="preserve">in the </w:t>
      </w:r>
      <w:r w:rsidR="00BC5A0F" w:rsidRPr="00813D19">
        <w:rPr>
          <w:bCs/>
          <w:lang w:val="en-US"/>
        </w:rPr>
        <w:t xml:space="preserve">forthcoming </w:t>
      </w:r>
      <w:r w:rsidR="00F67724" w:rsidRPr="00813D19">
        <w:rPr>
          <w:bCs/>
          <w:lang w:val="en-US"/>
        </w:rPr>
        <w:t>document under the informal working group report</w:t>
      </w:r>
      <w:r w:rsidR="00BC5A0F" w:rsidRPr="00813D19">
        <w:rPr>
          <w:bCs/>
          <w:lang w:val="en-US"/>
        </w:rPr>
        <w:t>,</w:t>
      </w:r>
      <w:r w:rsidR="00F67724" w:rsidRPr="00813D19">
        <w:rPr>
          <w:bCs/>
          <w:lang w:val="en-US"/>
        </w:rPr>
        <w:t xml:space="preserve"> which </w:t>
      </w:r>
      <w:r w:rsidR="00BC5A0F" w:rsidRPr="00813D19">
        <w:rPr>
          <w:bCs/>
          <w:lang w:val="en-US"/>
        </w:rPr>
        <w:t xml:space="preserve">was </w:t>
      </w:r>
      <w:r w:rsidR="00F67724" w:rsidRPr="00813D19">
        <w:rPr>
          <w:bCs/>
          <w:lang w:val="en-US"/>
        </w:rPr>
        <w:t xml:space="preserve">why </w:t>
      </w:r>
      <w:r w:rsidR="00BC5A0F" w:rsidRPr="00813D19">
        <w:rPr>
          <w:bCs/>
          <w:lang w:val="en-US"/>
        </w:rPr>
        <w:t xml:space="preserve">they were not </w:t>
      </w:r>
      <w:r w:rsidR="00F67724" w:rsidRPr="00813D19">
        <w:rPr>
          <w:bCs/>
          <w:lang w:val="en-US"/>
        </w:rPr>
        <w:t>include</w:t>
      </w:r>
      <w:r w:rsidR="00BC5A0F" w:rsidRPr="00813D19">
        <w:rPr>
          <w:bCs/>
          <w:lang w:val="en-US"/>
        </w:rPr>
        <w:t>d</w:t>
      </w:r>
      <w:r w:rsidR="00F67724" w:rsidRPr="00813D19">
        <w:rPr>
          <w:bCs/>
          <w:lang w:val="en-US"/>
        </w:rPr>
        <w:t xml:space="preserve"> </w:t>
      </w:r>
      <w:r w:rsidR="00BC5A0F" w:rsidRPr="00813D19">
        <w:rPr>
          <w:bCs/>
          <w:lang w:val="en-US"/>
        </w:rPr>
        <w:t>in this report even though the issue</w:t>
      </w:r>
      <w:r w:rsidR="005324F6" w:rsidRPr="00813D19">
        <w:rPr>
          <w:bCs/>
          <w:lang w:val="en-US"/>
        </w:rPr>
        <w:t>s</w:t>
      </w:r>
      <w:r w:rsidR="00BC5A0F" w:rsidRPr="00813D19">
        <w:rPr>
          <w:bCs/>
          <w:lang w:val="en-US"/>
        </w:rPr>
        <w:t xml:space="preserve"> </w:t>
      </w:r>
      <w:r w:rsidR="005324F6" w:rsidRPr="00813D19">
        <w:rPr>
          <w:bCs/>
          <w:lang w:val="en-US"/>
        </w:rPr>
        <w:t xml:space="preserve">were </w:t>
      </w:r>
      <w:r w:rsidR="00BC5A0F" w:rsidRPr="00813D19">
        <w:rPr>
          <w:bCs/>
          <w:lang w:val="en-US"/>
        </w:rPr>
        <w:t xml:space="preserve">being treated. </w:t>
      </w:r>
      <w:r w:rsidR="00F67724" w:rsidRPr="00813D19">
        <w:rPr>
          <w:bCs/>
          <w:lang w:val="en-US"/>
        </w:rPr>
        <w:t xml:space="preserve">One of the questions </w:t>
      </w:r>
      <w:r w:rsidR="00BC5A0F" w:rsidRPr="00813D19">
        <w:rPr>
          <w:bCs/>
          <w:lang w:val="en-US"/>
        </w:rPr>
        <w:t xml:space="preserve">concerned </w:t>
      </w:r>
      <w:r w:rsidR="00F67724" w:rsidRPr="00813D19">
        <w:rPr>
          <w:bCs/>
          <w:lang w:val="en-US"/>
        </w:rPr>
        <w:t>the different levels of accreditation</w:t>
      </w:r>
      <w:r w:rsidR="00BC5A0F" w:rsidRPr="00813D19">
        <w:rPr>
          <w:bCs/>
          <w:lang w:val="en-US"/>
        </w:rPr>
        <w:t>,</w:t>
      </w:r>
      <w:r w:rsidR="00F67724" w:rsidRPr="00813D19">
        <w:rPr>
          <w:bCs/>
          <w:lang w:val="en-US"/>
        </w:rPr>
        <w:t xml:space="preserve"> and </w:t>
      </w:r>
      <w:r w:rsidR="00BC5A0F" w:rsidRPr="00813D19">
        <w:rPr>
          <w:bCs/>
          <w:lang w:val="en-US"/>
        </w:rPr>
        <w:t xml:space="preserve">another concerned </w:t>
      </w:r>
      <w:r w:rsidR="00F67724" w:rsidRPr="00813D19">
        <w:rPr>
          <w:bCs/>
          <w:lang w:val="en-US"/>
        </w:rPr>
        <w:t xml:space="preserve">geographic representation. </w:t>
      </w:r>
      <w:r w:rsidR="00BC5A0F" w:rsidRPr="00813D19">
        <w:rPr>
          <w:bCs/>
          <w:lang w:val="en-US"/>
        </w:rPr>
        <w:t xml:space="preserve">The Secretary explained that it was </w:t>
      </w:r>
      <w:r w:rsidR="00F67724" w:rsidRPr="00813D19">
        <w:rPr>
          <w:bCs/>
          <w:lang w:val="en-US"/>
        </w:rPr>
        <w:t>true that send</w:t>
      </w:r>
      <w:r w:rsidR="00BC5A0F" w:rsidRPr="00813D19">
        <w:rPr>
          <w:bCs/>
          <w:lang w:val="en-US"/>
        </w:rPr>
        <w:t>ing</w:t>
      </w:r>
      <w:r w:rsidR="00F67724" w:rsidRPr="00813D19">
        <w:rPr>
          <w:bCs/>
          <w:lang w:val="en-US"/>
        </w:rPr>
        <w:t xml:space="preserve"> </w:t>
      </w:r>
      <w:r w:rsidR="00BC5A0F" w:rsidRPr="00813D19">
        <w:rPr>
          <w:bCs/>
          <w:lang w:val="en-US"/>
        </w:rPr>
        <w:t xml:space="preserve">a questionnaire </w:t>
      </w:r>
      <w:r w:rsidR="00F67724" w:rsidRPr="00813D19">
        <w:rPr>
          <w:bCs/>
          <w:lang w:val="en-US"/>
        </w:rPr>
        <w:t>to a broader group of NGOs</w:t>
      </w:r>
      <w:r w:rsidR="00BC5A0F" w:rsidRPr="00813D19">
        <w:rPr>
          <w:bCs/>
          <w:lang w:val="en-US"/>
        </w:rPr>
        <w:t xml:space="preserve"> was a good idea</w:t>
      </w:r>
      <w:r w:rsidR="000A7C18" w:rsidRPr="00813D19">
        <w:rPr>
          <w:bCs/>
          <w:lang w:val="en-US"/>
        </w:rPr>
        <w:t xml:space="preserve">, though it was </w:t>
      </w:r>
      <w:r w:rsidR="00F67724" w:rsidRPr="00813D19">
        <w:rPr>
          <w:bCs/>
          <w:lang w:val="en-US"/>
        </w:rPr>
        <w:t xml:space="preserve">not sure </w:t>
      </w:r>
      <w:r w:rsidR="000A7C18" w:rsidRPr="00813D19">
        <w:rPr>
          <w:bCs/>
          <w:lang w:val="en-US"/>
        </w:rPr>
        <w:t>that they c</w:t>
      </w:r>
      <w:r w:rsidR="00F67724" w:rsidRPr="00813D19">
        <w:rPr>
          <w:bCs/>
          <w:lang w:val="en-US"/>
        </w:rPr>
        <w:t xml:space="preserve">ould actually relate to these issues of accreditation and advisory functions to the Committee because </w:t>
      </w:r>
      <w:r w:rsidR="000A7C18" w:rsidRPr="00813D19">
        <w:rPr>
          <w:bCs/>
          <w:lang w:val="en-US"/>
        </w:rPr>
        <w:t xml:space="preserve">unless </w:t>
      </w:r>
      <w:r w:rsidR="00F67724" w:rsidRPr="00813D19">
        <w:rPr>
          <w:bCs/>
          <w:lang w:val="en-US"/>
        </w:rPr>
        <w:t xml:space="preserve">they </w:t>
      </w:r>
      <w:r w:rsidR="000A7C18" w:rsidRPr="00813D19">
        <w:rPr>
          <w:bCs/>
          <w:lang w:val="en-US"/>
        </w:rPr>
        <w:t xml:space="preserve">were </w:t>
      </w:r>
      <w:r w:rsidR="00F67724" w:rsidRPr="00813D19">
        <w:rPr>
          <w:bCs/>
          <w:lang w:val="en-US"/>
        </w:rPr>
        <w:t>already approaching the Committee</w:t>
      </w:r>
      <w:r w:rsidR="000A7C18" w:rsidRPr="00813D19">
        <w:rPr>
          <w:bCs/>
          <w:lang w:val="en-US"/>
        </w:rPr>
        <w:t>,</w:t>
      </w:r>
      <w:r w:rsidR="00F67724" w:rsidRPr="00813D19">
        <w:rPr>
          <w:bCs/>
          <w:lang w:val="en-US"/>
        </w:rPr>
        <w:t xml:space="preserve"> </w:t>
      </w:r>
      <w:r w:rsidR="000A7C18" w:rsidRPr="00813D19">
        <w:rPr>
          <w:bCs/>
          <w:lang w:val="en-US"/>
        </w:rPr>
        <w:t xml:space="preserve">it is in </w:t>
      </w:r>
      <w:r w:rsidR="00F67724" w:rsidRPr="00813D19">
        <w:rPr>
          <w:bCs/>
          <w:lang w:val="en-US"/>
        </w:rPr>
        <w:t xml:space="preserve">a language that is probably </w:t>
      </w:r>
      <w:r w:rsidR="004355EF" w:rsidRPr="00813D19">
        <w:rPr>
          <w:bCs/>
          <w:lang w:val="en-US"/>
        </w:rPr>
        <w:t>unfamiliar</w:t>
      </w:r>
      <w:r w:rsidR="00F67724" w:rsidRPr="00813D19">
        <w:rPr>
          <w:bCs/>
          <w:lang w:val="en-US"/>
        </w:rPr>
        <w:t xml:space="preserve">, </w:t>
      </w:r>
      <w:r w:rsidR="004355EF" w:rsidRPr="00813D19">
        <w:rPr>
          <w:bCs/>
          <w:lang w:val="en-US"/>
        </w:rPr>
        <w:t xml:space="preserve">especially to </w:t>
      </w:r>
      <w:r w:rsidR="00F67724" w:rsidRPr="00813D19">
        <w:rPr>
          <w:bCs/>
          <w:lang w:val="en-US"/>
        </w:rPr>
        <w:t>those working</w:t>
      </w:r>
      <w:r w:rsidR="004355EF" w:rsidRPr="00813D19">
        <w:rPr>
          <w:bCs/>
          <w:lang w:val="en-US"/>
        </w:rPr>
        <w:t xml:space="preserve"> on the ground</w:t>
      </w:r>
      <w:r w:rsidR="00F67724" w:rsidRPr="00813D19">
        <w:rPr>
          <w:bCs/>
          <w:lang w:val="en-US"/>
        </w:rPr>
        <w:t xml:space="preserve">. </w:t>
      </w:r>
      <w:r w:rsidR="004355EF" w:rsidRPr="00813D19">
        <w:rPr>
          <w:bCs/>
          <w:lang w:val="en-US"/>
        </w:rPr>
        <w:t>The Secretariat had sent letters to National C</w:t>
      </w:r>
      <w:r w:rsidR="00F67724" w:rsidRPr="00813D19">
        <w:rPr>
          <w:bCs/>
          <w:lang w:val="en-US"/>
        </w:rPr>
        <w:t xml:space="preserve">ommissions asking </w:t>
      </w:r>
      <w:r w:rsidR="004355EF" w:rsidRPr="00813D19">
        <w:rPr>
          <w:bCs/>
          <w:lang w:val="en-US"/>
        </w:rPr>
        <w:t xml:space="preserve">that they encourage </w:t>
      </w:r>
      <w:r w:rsidR="00F67724" w:rsidRPr="00813D19">
        <w:rPr>
          <w:bCs/>
          <w:lang w:val="en-US"/>
        </w:rPr>
        <w:t>requests from NGOs</w:t>
      </w:r>
      <w:r w:rsidR="004355EF" w:rsidRPr="00813D19">
        <w:rPr>
          <w:bCs/>
          <w:lang w:val="en-US"/>
        </w:rPr>
        <w:t>, which brought about the second point on what accreditation impl</w:t>
      </w:r>
      <w:r w:rsidR="008E7819">
        <w:rPr>
          <w:bCs/>
          <w:lang w:val="en-US"/>
        </w:rPr>
        <w:t>ies</w:t>
      </w:r>
      <w:r w:rsidR="004355EF" w:rsidRPr="00813D19">
        <w:rPr>
          <w:bCs/>
          <w:lang w:val="en-US"/>
        </w:rPr>
        <w:t xml:space="preserve">. From </w:t>
      </w:r>
      <w:r w:rsidR="00F67724" w:rsidRPr="00813D19">
        <w:rPr>
          <w:bCs/>
          <w:lang w:val="en-US"/>
        </w:rPr>
        <w:t xml:space="preserve">the </w:t>
      </w:r>
      <w:r w:rsidR="004355EF" w:rsidRPr="00813D19">
        <w:rPr>
          <w:bCs/>
          <w:lang w:val="en-US"/>
        </w:rPr>
        <w:t xml:space="preserve">outset of </w:t>
      </w:r>
      <w:r w:rsidR="00F67724" w:rsidRPr="00813D19">
        <w:rPr>
          <w:bCs/>
          <w:lang w:val="en-US"/>
        </w:rPr>
        <w:t xml:space="preserve">the Convention, the Operational Directives </w:t>
      </w:r>
      <w:r w:rsidR="004355EF" w:rsidRPr="00813D19">
        <w:rPr>
          <w:bCs/>
          <w:lang w:val="en-US"/>
        </w:rPr>
        <w:t xml:space="preserve">set out </w:t>
      </w:r>
      <w:r w:rsidR="00F67724" w:rsidRPr="00813D19">
        <w:rPr>
          <w:bCs/>
          <w:lang w:val="en-US"/>
        </w:rPr>
        <w:t xml:space="preserve">advisory functions </w:t>
      </w:r>
      <w:r w:rsidR="00F67724" w:rsidRPr="00813D19">
        <w:rPr>
          <w:bCs/>
          <w:i/>
          <w:lang w:val="en-US"/>
        </w:rPr>
        <w:t>inter alia</w:t>
      </w:r>
      <w:r w:rsidR="004355EF" w:rsidRPr="00813D19">
        <w:rPr>
          <w:bCs/>
          <w:lang w:val="en-US"/>
        </w:rPr>
        <w:t xml:space="preserve">, which defined the Evaluation Body’s role as </w:t>
      </w:r>
      <w:r w:rsidR="00F67724" w:rsidRPr="00813D19">
        <w:rPr>
          <w:bCs/>
          <w:lang w:val="en-US"/>
        </w:rPr>
        <w:t>the only advi</w:t>
      </w:r>
      <w:r w:rsidR="004355EF" w:rsidRPr="00813D19">
        <w:rPr>
          <w:bCs/>
          <w:lang w:val="en-US"/>
        </w:rPr>
        <w:t>sory function in any true sense. As the Secretariat prepared</w:t>
      </w:r>
      <w:r w:rsidR="00F67724" w:rsidRPr="00813D19">
        <w:rPr>
          <w:bCs/>
          <w:lang w:val="en-US"/>
        </w:rPr>
        <w:t xml:space="preserve"> for the Committee’s renewal of the evaluations based on the criteria</w:t>
      </w:r>
      <w:r w:rsidR="004355EF" w:rsidRPr="00813D19">
        <w:rPr>
          <w:bCs/>
          <w:lang w:val="en-US"/>
        </w:rPr>
        <w:t>,</w:t>
      </w:r>
      <w:r w:rsidR="00F67724" w:rsidRPr="00813D19">
        <w:rPr>
          <w:bCs/>
          <w:lang w:val="en-US"/>
        </w:rPr>
        <w:t xml:space="preserve"> </w:t>
      </w:r>
      <w:r w:rsidR="004355EF" w:rsidRPr="00813D19">
        <w:rPr>
          <w:bCs/>
          <w:lang w:val="en-US"/>
        </w:rPr>
        <w:t xml:space="preserve">it </w:t>
      </w:r>
      <w:r w:rsidR="008E7819" w:rsidRPr="00813D19">
        <w:rPr>
          <w:bCs/>
          <w:lang w:val="en-US"/>
        </w:rPr>
        <w:t>bec</w:t>
      </w:r>
      <w:r w:rsidR="008E7819">
        <w:rPr>
          <w:bCs/>
          <w:lang w:val="en-US"/>
        </w:rPr>
        <w:t>ame</w:t>
      </w:r>
      <w:r w:rsidR="008E7819" w:rsidRPr="00813D19">
        <w:rPr>
          <w:bCs/>
          <w:lang w:val="en-US"/>
        </w:rPr>
        <w:t xml:space="preserve"> </w:t>
      </w:r>
      <w:r w:rsidR="00F67724" w:rsidRPr="00813D19">
        <w:rPr>
          <w:bCs/>
          <w:lang w:val="en-US"/>
        </w:rPr>
        <w:t xml:space="preserve">complicated and unclear what </w:t>
      </w:r>
      <w:r w:rsidR="002870B6" w:rsidRPr="00813D19">
        <w:rPr>
          <w:bCs/>
          <w:lang w:val="en-US"/>
        </w:rPr>
        <w:t xml:space="preserve">exactly </w:t>
      </w:r>
      <w:r w:rsidR="00F67724" w:rsidRPr="00813D19">
        <w:rPr>
          <w:bCs/>
          <w:lang w:val="en-US"/>
        </w:rPr>
        <w:t>the criteria for renewal</w:t>
      </w:r>
      <w:r w:rsidR="008E7819" w:rsidRPr="008E7819">
        <w:rPr>
          <w:bCs/>
          <w:lang w:val="en-US"/>
        </w:rPr>
        <w:t xml:space="preserve"> </w:t>
      </w:r>
      <w:r w:rsidR="008E7819" w:rsidRPr="00813D19">
        <w:rPr>
          <w:bCs/>
          <w:lang w:val="en-US"/>
        </w:rPr>
        <w:t>were</w:t>
      </w:r>
      <w:r w:rsidR="00F67724" w:rsidRPr="00813D19">
        <w:rPr>
          <w:bCs/>
          <w:lang w:val="en-US"/>
        </w:rPr>
        <w:t xml:space="preserve">. </w:t>
      </w:r>
      <w:r w:rsidR="004355EF" w:rsidRPr="00813D19">
        <w:rPr>
          <w:bCs/>
          <w:lang w:val="en-US"/>
        </w:rPr>
        <w:t xml:space="preserve">This was why the </w:t>
      </w:r>
      <w:r w:rsidR="00F67724" w:rsidRPr="00813D19">
        <w:rPr>
          <w:bCs/>
          <w:lang w:val="en-US"/>
        </w:rPr>
        <w:t xml:space="preserve">consultation </w:t>
      </w:r>
      <w:r w:rsidR="008E7819">
        <w:rPr>
          <w:bCs/>
          <w:lang w:val="en-US"/>
        </w:rPr>
        <w:t>had been</w:t>
      </w:r>
      <w:r w:rsidR="008E7819" w:rsidRPr="00813D19">
        <w:rPr>
          <w:bCs/>
          <w:lang w:val="en-US"/>
        </w:rPr>
        <w:t xml:space="preserve"> </w:t>
      </w:r>
      <w:r w:rsidR="00F67724" w:rsidRPr="00813D19">
        <w:rPr>
          <w:bCs/>
          <w:lang w:val="en-US"/>
        </w:rPr>
        <w:t>initiated</w:t>
      </w:r>
      <w:r w:rsidR="004355EF" w:rsidRPr="00813D19">
        <w:rPr>
          <w:bCs/>
          <w:lang w:val="en-US"/>
        </w:rPr>
        <w:t xml:space="preserve"> in 2017, </w:t>
      </w:r>
      <w:r w:rsidR="002870B6" w:rsidRPr="00813D19">
        <w:rPr>
          <w:bCs/>
          <w:lang w:val="en-US"/>
        </w:rPr>
        <w:t>al</w:t>
      </w:r>
      <w:r w:rsidR="004355EF" w:rsidRPr="00813D19">
        <w:rPr>
          <w:bCs/>
          <w:lang w:val="en-US"/>
        </w:rPr>
        <w:t xml:space="preserve">though it was still </w:t>
      </w:r>
      <w:r w:rsidR="002870B6" w:rsidRPr="00813D19">
        <w:rPr>
          <w:bCs/>
          <w:lang w:val="en-US"/>
        </w:rPr>
        <w:t xml:space="preserve">only </w:t>
      </w:r>
      <w:r w:rsidR="004355EF" w:rsidRPr="00813D19">
        <w:rPr>
          <w:bCs/>
          <w:lang w:val="en-US"/>
        </w:rPr>
        <w:t xml:space="preserve">preliminary. Moreover, the </w:t>
      </w:r>
      <w:r w:rsidR="00F67724" w:rsidRPr="00813D19">
        <w:rPr>
          <w:bCs/>
          <w:lang w:val="en-US"/>
        </w:rPr>
        <w:t xml:space="preserve">idea of broadening it beyond </w:t>
      </w:r>
      <w:r w:rsidR="004355EF" w:rsidRPr="00813D19">
        <w:rPr>
          <w:bCs/>
          <w:lang w:val="en-US"/>
        </w:rPr>
        <w:t xml:space="preserve">accredited </w:t>
      </w:r>
      <w:r w:rsidR="00F67724" w:rsidRPr="00813D19">
        <w:rPr>
          <w:bCs/>
          <w:lang w:val="en-US"/>
        </w:rPr>
        <w:t xml:space="preserve">NGOs </w:t>
      </w:r>
      <w:r w:rsidR="008E7819">
        <w:rPr>
          <w:bCs/>
          <w:lang w:val="en-US"/>
        </w:rPr>
        <w:t>was</w:t>
      </w:r>
      <w:r w:rsidR="008E7819" w:rsidRPr="00813D19">
        <w:rPr>
          <w:bCs/>
          <w:lang w:val="en-US"/>
        </w:rPr>
        <w:t xml:space="preserve"> </w:t>
      </w:r>
      <w:r w:rsidR="00F67724" w:rsidRPr="00813D19">
        <w:rPr>
          <w:bCs/>
          <w:lang w:val="en-US"/>
        </w:rPr>
        <w:t>a good one</w:t>
      </w:r>
      <w:r w:rsidR="004355EF" w:rsidRPr="00813D19">
        <w:rPr>
          <w:bCs/>
          <w:lang w:val="en-US"/>
        </w:rPr>
        <w:t>,</w:t>
      </w:r>
      <w:r w:rsidR="00F67724" w:rsidRPr="00813D19">
        <w:rPr>
          <w:bCs/>
          <w:lang w:val="en-US"/>
        </w:rPr>
        <w:t xml:space="preserve"> although </w:t>
      </w:r>
      <w:r w:rsidR="004355EF" w:rsidRPr="00813D19">
        <w:rPr>
          <w:bCs/>
          <w:lang w:val="en-US"/>
        </w:rPr>
        <w:t xml:space="preserve">it </w:t>
      </w:r>
      <w:r w:rsidR="00F67724" w:rsidRPr="00813D19">
        <w:rPr>
          <w:bCs/>
          <w:lang w:val="en-US"/>
        </w:rPr>
        <w:t xml:space="preserve">may need to </w:t>
      </w:r>
      <w:r w:rsidR="004355EF" w:rsidRPr="00813D19">
        <w:rPr>
          <w:bCs/>
          <w:lang w:val="en-US"/>
        </w:rPr>
        <w:t xml:space="preserve">be </w:t>
      </w:r>
      <w:r w:rsidR="00F67724" w:rsidRPr="00813D19">
        <w:rPr>
          <w:bCs/>
          <w:lang w:val="en-US"/>
        </w:rPr>
        <w:t>broaden</w:t>
      </w:r>
      <w:r w:rsidR="004355EF" w:rsidRPr="00813D19">
        <w:rPr>
          <w:bCs/>
          <w:lang w:val="en-US"/>
        </w:rPr>
        <w:t>ed</w:t>
      </w:r>
      <w:r w:rsidR="00F67724" w:rsidRPr="00813D19">
        <w:rPr>
          <w:bCs/>
          <w:lang w:val="en-US"/>
        </w:rPr>
        <w:t xml:space="preserve"> in a different way than </w:t>
      </w:r>
      <w:r w:rsidR="002870B6" w:rsidRPr="00813D19">
        <w:rPr>
          <w:bCs/>
          <w:lang w:val="en-US"/>
        </w:rPr>
        <w:t>through</w:t>
      </w:r>
      <w:r w:rsidR="004355EF" w:rsidRPr="00813D19">
        <w:rPr>
          <w:bCs/>
          <w:lang w:val="en-US"/>
        </w:rPr>
        <w:t xml:space="preserve"> the survey </w:t>
      </w:r>
      <w:r w:rsidR="00F67724" w:rsidRPr="00813D19">
        <w:rPr>
          <w:bCs/>
          <w:lang w:val="en-US"/>
        </w:rPr>
        <w:t>sent</w:t>
      </w:r>
      <w:r w:rsidR="004355EF" w:rsidRPr="00813D19">
        <w:rPr>
          <w:bCs/>
          <w:lang w:val="en-US"/>
        </w:rPr>
        <w:t xml:space="preserve"> by the Secretariat</w:t>
      </w:r>
      <w:r w:rsidR="00634D0B">
        <w:rPr>
          <w:bCs/>
          <w:lang w:val="en-US"/>
        </w:rPr>
        <w:t>.</w:t>
      </w:r>
    </w:p>
    <w:p w14:paraId="2630C76A" w14:textId="0B4D6B1D" w:rsidR="00DA38A7" w:rsidRPr="00813D19" w:rsidRDefault="00DA38A7"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opened the floor to Observers.</w:t>
      </w:r>
    </w:p>
    <w:p w14:paraId="2AA7C6F9" w14:textId="05AF8C35" w:rsidR="004267EF" w:rsidRPr="00813D19" w:rsidRDefault="00DA38A7"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Belgium</w:t>
      </w:r>
      <w:r w:rsidR="00F67724" w:rsidRPr="00813D19">
        <w:rPr>
          <w:b/>
          <w:color w:val="000000" w:themeColor="text1"/>
          <w:lang w:val="en-US"/>
        </w:rPr>
        <w:t xml:space="preserve"> </w:t>
      </w:r>
      <w:r w:rsidR="00F67724" w:rsidRPr="00813D19">
        <w:rPr>
          <w:bCs/>
          <w:lang w:val="en-US"/>
        </w:rPr>
        <w:t>thank</w:t>
      </w:r>
      <w:r w:rsidR="00783333" w:rsidRPr="00813D19">
        <w:rPr>
          <w:bCs/>
          <w:lang w:val="en-US"/>
        </w:rPr>
        <w:t>ed</w:t>
      </w:r>
      <w:r w:rsidR="00F67724" w:rsidRPr="00813D19">
        <w:rPr>
          <w:bCs/>
          <w:lang w:val="en-US"/>
        </w:rPr>
        <w:t xml:space="preserve"> the Secretariat and the Committee for </w:t>
      </w:r>
      <w:r w:rsidR="004355EF" w:rsidRPr="00813D19">
        <w:rPr>
          <w:bCs/>
          <w:lang w:val="en-US"/>
        </w:rPr>
        <w:t xml:space="preserve">their </w:t>
      </w:r>
      <w:r w:rsidR="00F67724" w:rsidRPr="00813D19">
        <w:rPr>
          <w:bCs/>
          <w:lang w:val="en-US"/>
        </w:rPr>
        <w:t xml:space="preserve">active exploration of the possibilities for accredited NGOs to contribute to the success of implementing </w:t>
      </w:r>
      <w:r w:rsidR="004355EF" w:rsidRPr="00813D19">
        <w:rPr>
          <w:bCs/>
          <w:lang w:val="en-US"/>
        </w:rPr>
        <w:t xml:space="preserve">the </w:t>
      </w:r>
      <w:r w:rsidR="00F67724" w:rsidRPr="00813D19">
        <w:rPr>
          <w:bCs/>
          <w:lang w:val="en-US"/>
        </w:rPr>
        <w:t xml:space="preserve">Convention. </w:t>
      </w:r>
      <w:r w:rsidR="004355EF" w:rsidRPr="00813D19">
        <w:rPr>
          <w:bCs/>
          <w:lang w:val="en-US"/>
        </w:rPr>
        <w:t xml:space="preserve">It </w:t>
      </w:r>
      <w:r w:rsidR="00F67724" w:rsidRPr="00813D19">
        <w:rPr>
          <w:bCs/>
          <w:lang w:val="en-US"/>
        </w:rPr>
        <w:t>look</w:t>
      </w:r>
      <w:r w:rsidR="004355EF" w:rsidRPr="00813D19">
        <w:rPr>
          <w:bCs/>
          <w:lang w:val="en-US"/>
        </w:rPr>
        <w:t>ed</w:t>
      </w:r>
      <w:r w:rsidR="00F67724" w:rsidRPr="00813D19">
        <w:rPr>
          <w:bCs/>
          <w:lang w:val="en-US"/>
        </w:rPr>
        <w:t xml:space="preserve"> forward to the results of the survey and the reflections. </w:t>
      </w:r>
      <w:r w:rsidR="004355EF" w:rsidRPr="00813D19">
        <w:rPr>
          <w:bCs/>
          <w:lang w:val="en-US"/>
        </w:rPr>
        <w:t xml:space="preserve">The delegation would in any </w:t>
      </w:r>
      <w:r w:rsidR="00F67724" w:rsidRPr="00813D19">
        <w:rPr>
          <w:bCs/>
          <w:lang w:val="en-US"/>
        </w:rPr>
        <w:t xml:space="preserve">case recall </w:t>
      </w:r>
      <w:r w:rsidR="004355EF" w:rsidRPr="00813D19">
        <w:rPr>
          <w:bCs/>
          <w:lang w:val="en-US"/>
        </w:rPr>
        <w:t>D</w:t>
      </w:r>
      <w:r w:rsidR="00F67724" w:rsidRPr="00813D19">
        <w:rPr>
          <w:bCs/>
          <w:lang w:val="en-US"/>
        </w:rPr>
        <w:t xml:space="preserve">ecision </w:t>
      </w:r>
      <w:hyperlink r:id="rId148" w:history="1">
        <w:r w:rsidR="004355EF" w:rsidRPr="00813D19">
          <w:rPr>
            <w:rStyle w:val="Hyperlink"/>
            <w:bCs/>
            <w:lang w:val="en-US"/>
          </w:rPr>
          <w:t>10.COM 15.a</w:t>
        </w:r>
      </w:hyperlink>
      <w:r w:rsidR="004355EF" w:rsidRPr="00813D19">
        <w:rPr>
          <w:bCs/>
          <w:lang w:val="en-US"/>
        </w:rPr>
        <w:t xml:space="preserve"> under points 9, 10 and 11 that had </w:t>
      </w:r>
      <w:r w:rsidR="00F67724" w:rsidRPr="00813D19">
        <w:rPr>
          <w:bCs/>
          <w:lang w:val="en-US"/>
        </w:rPr>
        <w:t xml:space="preserve">already </w:t>
      </w:r>
      <w:r w:rsidR="004355EF" w:rsidRPr="00813D19">
        <w:rPr>
          <w:bCs/>
          <w:lang w:val="en-US"/>
        </w:rPr>
        <w:t xml:space="preserve">been </w:t>
      </w:r>
      <w:r w:rsidR="00F67724" w:rsidRPr="00813D19">
        <w:rPr>
          <w:bCs/>
          <w:lang w:val="en-US"/>
        </w:rPr>
        <w:t xml:space="preserve">taken </w:t>
      </w:r>
      <w:r w:rsidR="002870B6" w:rsidRPr="00813D19">
        <w:rPr>
          <w:bCs/>
          <w:lang w:val="en-US"/>
        </w:rPr>
        <w:t xml:space="preserve">up </w:t>
      </w:r>
      <w:r w:rsidR="00F67724" w:rsidRPr="00813D19">
        <w:rPr>
          <w:bCs/>
          <w:lang w:val="en-US"/>
        </w:rPr>
        <w:t xml:space="preserve">by the </w:t>
      </w:r>
      <w:r w:rsidR="004355EF" w:rsidRPr="00813D19">
        <w:rPr>
          <w:bCs/>
          <w:lang w:val="en-US"/>
        </w:rPr>
        <w:t>C</w:t>
      </w:r>
      <w:r w:rsidR="00F67724" w:rsidRPr="00813D19">
        <w:rPr>
          <w:bCs/>
          <w:lang w:val="en-US"/>
        </w:rPr>
        <w:t>ommittee at Windhoek</w:t>
      </w:r>
      <w:r w:rsidR="004355EF" w:rsidRPr="00813D19">
        <w:rPr>
          <w:bCs/>
          <w:lang w:val="en-US"/>
        </w:rPr>
        <w:t xml:space="preserve"> in</w:t>
      </w:r>
      <w:r w:rsidR="00F67724" w:rsidRPr="00813D19">
        <w:rPr>
          <w:bCs/>
          <w:lang w:val="en-US"/>
        </w:rPr>
        <w:t xml:space="preserve"> </w:t>
      </w:r>
      <w:r w:rsidR="004355EF" w:rsidRPr="00813D19">
        <w:rPr>
          <w:bCs/>
          <w:lang w:val="en-US"/>
        </w:rPr>
        <w:t xml:space="preserve">which </w:t>
      </w:r>
      <w:r w:rsidR="002870B6" w:rsidRPr="00813D19">
        <w:rPr>
          <w:bCs/>
          <w:lang w:val="en-US"/>
        </w:rPr>
        <w:t xml:space="preserve">it </w:t>
      </w:r>
      <w:r w:rsidR="00F67724" w:rsidRPr="00813D19">
        <w:rPr>
          <w:bCs/>
          <w:lang w:val="en-US"/>
        </w:rPr>
        <w:t xml:space="preserve">included the </w:t>
      </w:r>
      <w:r w:rsidR="00F67724" w:rsidRPr="00813D19">
        <w:rPr>
          <w:bCs/>
          <w:i/>
          <w:lang w:val="en-US"/>
        </w:rPr>
        <w:t>inter alia</w:t>
      </w:r>
      <w:r w:rsidR="00F67724" w:rsidRPr="00813D19">
        <w:rPr>
          <w:bCs/>
          <w:lang w:val="en-US"/>
        </w:rPr>
        <w:t xml:space="preserve"> functions </w:t>
      </w:r>
      <w:r w:rsidR="004355EF" w:rsidRPr="00813D19">
        <w:rPr>
          <w:bCs/>
          <w:lang w:val="en-US"/>
        </w:rPr>
        <w:t xml:space="preserve">in this exploration. It was hoped </w:t>
      </w:r>
      <w:r w:rsidR="00F67724" w:rsidRPr="00813D19">
        <w:rPr>
          <w:bCs/>
          <w:lang w:val="en-US"/>
        </w:rPr>
        <w:t xml:space="preserve">that inspiration </w:t>
      </w:r>
      <w:r w:rsidR="002870B6" w:rsidRPr="00813D19">
        <w:rPr>
          <w:bCs/>
          <w:lang w:val="en-US"/>
        </w:rPr>
        <w:t>would be</w:t>
      </w:r>
      <w:r w:rsidR="00F67724" w:rsidRPr="00813D19">
        <w:rPr>
          <w:bCs/>
          <w:lang w:val="en-US"/>
        </w:rPr>
        <w:t xml:space="preserve"> found in this decision when developing the work on</w:t>
      </w:r>
      <w:r w:rsidR="00634D0B">
        <w:rPr>
          <w:bCs/>
          <w:lang w:val="en-US"/>
        </w:rPr>
        <w:t xml:space="preserve"> the overall results framework.</w:t>
      </w:r>
    </w:p>
    <w:p w14:paraId="4A60948C" w14:textId="1C1166AF" w:rsidR="00650BB2" w:rsidRPr="00813D19" w:rsidRDefault="00403C6F" w:rsidP="00403C6F">
      <w:pPr>
        <w:pStyle w:val="Orateurengris"/>
        <w:spacing w:before="120"/>
        <w:ind w:left="709" w:hanging="709"/>
        <w:rPr>
          <w:rFonts w:eastAsia="Times New Roman"/>
          <w:lang w:val="en-US"/>
        </w:rPr>
      </w:pPr>
      <w:r w:rsidRPr="00813D19">
        <w:rPr>
          <w:color w:val="000000" w:themeColor="text1"/>
          <w:lang w:val="en-US"/>
        </w:rPr>
        <w:t xml:space="preserve">Speaking on behalf of the </w:t>
      </w:r>
      <w:r w:rsidR="002870B6" w:rsidRPr="00813D19">
        <w:rPr>
          <w:b/>
          <w:color w:val="000000" w:themeColor="text1"/>
          <w:lang w:val="en-US"/>
        </w:rPr>
        <w:t>ICH</w:t>
      </w:r>
      <w:r w:rsidR="004267EF" w:rsidRPr="00813D19">
        <w:rPr>
          <w:b/>
          <w:color w:val="000000" w:themeColor="text1"/>
          <w:lang w:val="en-US"/>
        </w:rPr>
        <w:t xml:space="preserve">NGO </w:t>
      </w:r>
      <w:r w:rsidR="004267EF" w:rsidRPr="00813D19">
        <w:rPr>
          <w:b/>
          <w:bCs/>
          <w:lang w:val="en-US"/>
        </w:rPr>
        <w:t>Forum</w:t>
      </w:r>
      <w:r w:rsidR="00B156F2" w:rsidRPr="00813D19">
        <w:rPr>
          <w:bCs/>
          <w:lang w:val="en-US"/>
        </w:rPr>
        <w:t xml:space="preserve">, </w:t>
      </w:r>
      <w:r w:rsidRPr="00813D19">
        <w:rPr>
          <w:bCs/>
          <w:lang w:val="en-US"/>
        </w:rPr>
        <w:t>Ms Jorijn Neyrinck from</w:t>
      </w:r>
      <w:r w:rsidRPr="00813D19">
        <w:rPr>
          <w:color w:val="000000" w:themeColor="text1"/>
          <w:lang w:val="en-US"/>
        </w:rPr>
        <w:t xml:space="preserve"> the</w:t>
      </w:r>
      <w:r w:rsidRPr="00813D19">
        <w:rPr>
          <w:b/>
          <w:color w:val="000000" w:themeColor="text1"/>
          <w:lang w:val="en-US"/>
        </w:rPr>
        <w:t xml:space="preserve"> </w:t>
      </w:r>
      <w:r w:rsidRPr="00813D19">
        <w:rPr>
          <w:color w:val="000000" w:themeColor="text1"/>
          <w:lang w:val="en-US"/>
        </w:rPr>
        <w:t>NGO</w:t>
      </w:r>
      <w:r w:rsidRPr="00813D19">
        <w:rPr>
          <w:b/>
          <w:color w:val="000000" w:themeColor="text1"/>
          <w:lang w:val="en-US"/>
        </w:rPr>
        <w:t xml:space="preserve"> </w:t>
      </w:r>
      <w:r w:rsidRPr="00813D19">
        <w:rPr>
          <w:bCs/>
          <w:lang w:val="en-US"/>
        </w:rPr>
        <w:t>W</w:t>
      </w:r>
      <w:r w:rsidR="00F67724" w:rsidRPr="00813D19">
        <w:rPr>
          <w:bCs/>
          <w:lang w:val="en-US"/>
        </w:rPr>
        <w:t xml:space="preserve">orkshop </w:t>
      </w:r>
      <w:r w:rsidRPr="00813D19">
        <w:rPr>
          <w:bCs/>
          <w:lang w:val="en-US"/>
        </w:rPr>
        <w:t>Intangible H</w:t>
      </w:r>
      <w:r w:rsidR="00B156F2" w:rsidRPr="00813D19">
        <w:rPr>
          <w:bCs/>
          <w:lang w:val="en-US"/>
        </w:rPr>
        <w:t xml:space="preserve">eritage </w:t>
      </w:r>
      <w:r w:rsidRPr="00813D19">
        <w:rPr>
          <w:bCs/>
          <w:lang w:val="en-US"/>
        </w:rPr>
        <w:t xml:space="preserve">Flanders </w:t>
      </w:r>
      <w:r w:rsidR="00B156F2" w:rsidRPr="00813D19">
        <w:rPr>
          <w:bCs/>
          <w:lang w:val="en-US"/>
        </w:rPr>
        <w:t xml:space="preserve">was </w:t>
      </w:r>
      <w:r w:rsidR="00F67724" w:rsidRPr="00813D19">
        <w:rPr>
          <w:bCs/>
          <w:lang w:val="en-US"/>
        </w:rPr>
        <w:t>very happy w</w:t>
      </w:r>
      <w:r w:rsidR="00B156F2" w:rsidRPr="00813D19">
        <w:rPr>
          <w:bCs/>
          <w:lang w:val="en-US"/>
        </w:rPr>
        <w:t xml:space="preserve">ith the transparency, </w:t>
      </w:r>
      <w:r w:rsidR="00F67724" w:rsidRPr="00813D19">
        <w:rPr>
          <w:bCs/>
          <w:lang w:val="en-US"/>
        </w:rPr>
        <w:t xml:space="preserve">dialogue and reflection on how the participation of NGOs could be further enhanced and how this </w:t>
      </w:r>
      <w:r w:rsidR="00652872">
        <w:rPr>
          <w:bCs/>
          <w:lang w:val="en-US"/>
        </w:rPr>
        <w:t>would</w:t>
      </w:r>
      <w:r w:rsidR="00652872" w:rsidRPr="00813D19">
        <w:rPr>
          <w:bCs/>
          <w:lang w:val="en-US"/>
        </w:rPr>
        <w:t xml:space="preserve"> </w:t>
      </w:r>
      <w:r w:rsidR="00F67724" w:rsidRPr="00813D19">
        <w:rPr>
          <w:bCs/>
          <w:lang w:val="en-US"/>
        </w:rPr>
        <w:t xml:space="preserve">be reflected in the future accreditation process. </w:t>
      </w:r>
      <w:r w:rsidR="00B156F2" w:rsidRPr="00813D19">
        <w:rPr>
          <w:bCs/>
          <w:lang w:val="en-US"/>
        </w:rPr>
        <w:t xml:space="preserve">The Forum </w:t>
      </w:r>
      <w:r w:rsidR="00F67724" w:rsidRPr="00813D19">
        <w:rPr>
          <w:bCs/>
          <w:lang w:val="en-US"/>
        </w:rPr>
        <w:t>look</w:t>
      </w:r>
      <w:r w:rsidR="00B156F2" w:rsidRPr="00813D19">
        <w:rPr>
          <w:bCs/>
          <w:lang w:val="en-US"/>
        </w:rPr>
        <w:t>ed</w:t>
      </w:r>
      <w:r w:rsidR="00F67724" w:rsidRPr="00813D19">
        <w:rPr>
          <w:bCs/>
          <w:lang w:val="en-US"/>
        </w:rPr>
        <w:t xml:space="preserve"> forward to learning from the online consultation results</w:t>
      </w:r>
      <w:r w:rsidR="00E261D2" w:rsidRPr="00813D19">
        <w:rPr>
          <w:bCs/>
          <w:lang w:val="en-US"/>
        </w:rPr>
        <w:t>,</w:t>
      </w:r>
      <w:r w:rsidR="00F67724" w:rsidRPr="00813D19">
        <w:rPr>
          <w:bCs/>
          <w:lang w:val="en-US"/>
        </w:rPr>
        <w:t xml:space="preserve"> and to reflect</w:t>
      </w:r>
      <w:r w:rsidR="004976DD">
        <w:rPr>
          <w:bCs/>
          <w:lang w:val="en-US"/>
        </w:rPr>
        <w:t xml:space="preserve">ing </w:t>
      </w:r>
      <w:r w:rsidR="00F67724" w:rsidRPr="00813D19">
        <w:rPr>
          <w:bCs/>
          <w:lang w:val="en-US"/>
        </w:rPr>
        <w:t xml:space="preserve">with the Secretariat and the informal ad hoc working group towards </w:t>
      </w:r>
      <w:r w:rsidR="00B156F2" w:rsidRPr="00813D19">
        <w:rPr>
          <w:bCs/>
          <w:lang w:val="en-US"/>
        </w:rPr>
        <w:t xml:space="preserve">a Committee </w:t>
      </w:r>
      <w:r w:rsidR="00F67724" w:rsidRPr="00813D19">
        <w:rPr>
          <w:bCs/>
          <w:lang w:val="en-US"/>
        </w:rPr>
        <w:t xml:space="preserve">decision </w:t>
      </w:r>
      <w:r w:rsidR="00B156F2" w:rsidRPr="00813D19">
        <w:rPr>
          <w:bCs/>
          <w:lang w:val="en-US"/>
        </w:rPr>
        <w:t>at its fou</w:t>
      </w:r>
      <w:r w:rsidR="00E261D2" w:rsidRPr="00813D19">
        <w:rPr>
          <w:bCs/>
          <w:lang w:val="en-US"/>
        </w:rPr>
        <w:t>rt</w:t>
      </w:r>
      <w:r w:rsidR="00B156F2" w:rsidRPr="00813D19">
        <w:rPr>
          <w:bCs/>
          <w:lang w:val="en-US"/>
        </w:rPr>
        <w:t>eenth session in 2019</w:t>
      </w:r>
      <w:r w:rsidR="00F67724" w:rsidRPr="00813D19">
        <w:rPr>
          <w:bCs/>
          <w:lang w:val="en-US"/>
        </w:rPr>
        <w:t xml:space="preserve">. </w:t>
      </w:r>
      <w:r w:rsidR="00B156F2" w:rsidRPr="00813D19">
        <w:rPr>
          <w:bCs/>
          <w:lang w:val="en-US"/>
        </w:rPr>
        <w:t xml:space="preserve">It </w:t>
      </w:r>
      <w:r w:rsidR="00F67724" w:rsidRPr="00813D19">
        <w:rPr>
          <w:bCs/>
          <w:lang w:val="en-US"/>
        </w:rPr>
        <w:t>share</w:t>
      </w:r>
      <w:r w:rsidR="00B156F2" w:rsidRPr="00813D19">
        <w:rPr>
          <w:bCs/>
          <w:lang w:val="en-US"/>
        </w:rPr>
        <w:t>d</w:t>
      </w:r>
      <w:r w:rsidR="00F67724" w:rsidRPr="00813D19">
        <w:rPr>
          <w:bCs/>
          <w:lang w:val="en-US"/>
        </w:rPr>
        <w:t xml:space="preserve"> the observations expressed in the document and by the Philippines</w:t>
      </w:r>
      <w:r w:rsidRPr="00813D19">
        <w:rPr>
          <w:bCs/>
          <w:lang w:val="en-US"/>
        </w:rPr>
        <w:t>’ report</w:t>
      </w:r>
      <w:r w:rsidR="00F67724" w:rsidRPr="00813D19">
        <w:rPr>
          <w:bCs/>
          <w:lang w:val="en-US"/>
        </w:rPr>
        <w:t xml:space="preserve"> from the meeting in June</w:t>
      </w:r>
      <w:r w:rsidR="00E261D2" w:rsidRPr="00813D19">
        <w:rPr>
          <w:bCs/>
          <w:lang w:val="en-US"/>
        </w:rPr>
        <w:t>,</w:t>
      </w:r>
      <w:r w:rsidR="00F67724" w:rsidRPr="00813D19">
        <w:rPr>
          <w:bCs/>
          <w:lang w:val="en-US"/>
        </w:rPr>
        <w:t xml:space="preserve"> among others</w:t>
      </w:r>
      <w:r w:rsidR="00E261D2" w:rsidRPr="00813D19">
        <w:rPr>
          <w:bCs/>
          <w:lang w:val="en-US"/>
        </w:rPr>
        <w:t>,</w:t>
      </w:r>
      <w:r w:rsidR="00F67724" w:rsidRPr="00813D19">
        <w:rPr>
          <w:bCs/>
          <w:lang w:val="en-US"/>
        </w:rPr>
        <w:t xml:space="preserve"> </w:t>
      </w:r>
      <w:r w:rsidRPr="00813D19">
        <w:rPr>
          <w:bCs/>
          <w:lang w:val="en-US"/>
        </w:rPr>
        <w:t xml:space="preserve">on </w:t>
      </w:r>
      <w:r w:rsidR="00F67724" w:rsidRPr="00813D19">
        <w:rPr>
          <w:bCs/>
          <w:lang w:val="en-US"/>
        </w:rPr>
        <w:t xml:space="preserve">efforts needed </w:t>
      </w:r>
      <w:r w:rsidR="00E261D2" w:rsidRPr="00813D19">
        <w:rPr>
          <w:bCs/>
          <w:lang w:val="en-US"/>
        </w:rPr>
        <w:t xml:space="preserve">on </w:t>
      </w:r>
      <w:r w:rsidR="00F67724" w:rsidRPr="00813D19">
        <w:rPr>
          <w:bCs/>
          <w:lang w:val="en-US"/>
        </w:rPr>
        <w:t>geographical distributi</w:t>
      </w:r>
      <w:r w:rsidR="00E261D2" w:rsidRPr="00813D19">
        <w:rPr>
          <w:bCs/>
          <w:lang w:val="en-US"/>
        </w:rPr>
        <w:t>on and working through capacity</w:t>
      </w:r>
      <w:r w:rsidR="004976DD">
        <w:rPr>
          <w:bCs/>
          <w:lang w:val="en-US"/>
        </w:rPr>
        <w:t xml:space="preserve"> </w:t>
      </w:r>
      <w:r w:rsidR="00F67724" w:rsidRPr="00813D19">
        <w:rPr>
          <w:bCs/>
          <w:lang w:val="en-US"/>
        </w:rPr>
        <w:t xml:space="preserve">building. As </w:t>
      </w:r>
      <w:r w:rsidR="00E261D2" w:rsidRPr="00813D19">
        <w:rPr>
          <w:bCs/>
          <w:lang w:val="en-US"/>
        </w:rPr>
        <w:t xml:space="preserve">mentioned earlier, </w:t>
      </w:r>
      <w:r w:rsidR="00F67724" w:rsidRPr="00813D19">
        <w:rPr>
          <w:bCs/>
          <w:lang w:val="en-US"/>
        </w:rPr>
        <w:t xml:space="preserve">the NGO Forum has been working firmly </w:t>
      </w:r>
      <w:r w:rsidR="00E261D2" w:rsidRPr="00813D19">
        <w:rPr>
          <w:bCs/>
          <w:lang w:val="en-US"/>
        </w:rPr>
        <w:t xml:space="preserve">on </w:t>
      </w:r>
      <w:r w:rsidR="00F67724" w:rsidRPr="00813D19">
        <w:rPr>
          <w:bCs/>
          <w:lang w:val="en-US"/>
        </w:rPr>
        <w:t>its governance in recent years. As a result</w:t>
      </w:r>
      <w:r w:rsidR="00E261D2" w:rsidRPr="00813D19">
        <w:rPr>
          <w:bCs/>
          <w:lang w:val="en-US"/>
        </w:rPr>
        <w:t>,</w:t>
      </w:r>
      <w:r w:rsidR="00F67724" w:rsidRPr="00813D19">
        <w:rPr>
          <w:bCs/>
          <w:lang w:val="en-US"/>
        </w:rPr>
        <w:t xml:space="preserve"> this </w:t>
      </w:r>
      <w:r w:rsidR="00E261D2" w:rsidRPr="00813D19">
        <w:rPr>
          <w:bCs/>
          <w:lang w:val="en-US"/>
        </w:rPr>
        <w:t xml:space="preserve">week </w:t>
      </w:r>
      <w:r w:rsidR="004976DD">
        <w:rPr>
          <w:bCs/>
          <w:lang w:val="en-US"/>
        </w:rPr>
        <w:t>had seen</w:t>
      </w:r>
      <w:r w:rsidR="004976DD" w:rsidRPr="00813D19">
        <w:rPr>
          <w:bCs/>
          <w:lang w:val="en-US"/>
        </w:rPr>
        <w:t xml:space="preserve"> </w:t>
      </w:r>
      <w:r w:rsidR="00E261D2" w:rsidRPr="00813D19">
        <w:rPr>
          <w:bCs/>
          <w:lang w:val="en-US"/>
        </w:rPr>
        <w:t xml:space="preserve">the presentation of the </w:t>
      </w:r>
      <w:r w:rsidR="00F67724" w:rsidRPr="00813D19">
        <w:rPr>
          <w:bCs/>
          <w:lang w:val="en-US"/>
        </w:rPr>
        <w:t>first fully elected steering committee. Members come from each of the six regions</w:t>
      </w:r>
      <w:r w:rsidR="00E261D2" w:rsidRPr="00813D19">
        <w:rPr>
          <w:bCs/>
          <w:lang w:val="en-US"/>
        </w:rPr>
        <w:t>,</w:t>
      </w:r>
      <w:r w:rsidR="00F67724" w:rsidRPr="00813D19">
        <w:rPr>
          <w:bCs/>
          <w:lang w:val="en-US"/>
        </w:rPr>
        <w:t xml:space="preserve"> along with a member representing international NGOs</w:t>
      </w:r>
      <w:r w:rsidRPr="00813D19">
        <w:rPr>
          <w:bCs/>
          <w:lang w:val="en-US"/>
        </w:rPr>
        <w:t>,</w:t>
      </w:r>
      <w:r w:rsidR="00F67724" w:rsidRPr="00813D19">
        <w:rPr>
          <w:bCs/>
          <w:lang w:val="en-US"/>
        </w:rPr>
        <w:t xml:space="preserve"> to maximize </w:t>
      </w:r>
      <w:r w:rsidR="00E261D2" w:rsidRPr="00813D19">
        <w:rPr>
          <w:bCs/>
          <w:lang w:val="en-US"/>
        </w:rPr>
        <w:t xml:space="preserve">its </w:t>
      </w:r>
      <w:r w:rsidR="00F67724" w:rsidRPr="00813D19">
        <w:rPr>
          <w:bCs/>
          <w:lang w:val="en-US"/>
        </w:rPr>
        <w:t>governance structure and guarantee good participation. A document on e</w:t>
      </w:r>
      <w:r w:rsidR="00E261D2" w:rsidRPr="00813D19">
        <w:rPr>
          <w:bCs/>
          <w:lang w:val="en-US"/>
        </w:rPr>
        <w:t>thical principles had</w:t>
      </w:r>
      <w:r w:rsidR="00F67724" w:rsidRPr="00813D19">
        <w:rPr>
          <w:bCs/>
          <w:lang w:val="en-US"/>
        </w:rPr>
        <w:t xml:space="preserve"> been prepared at this session and </w:t>
      </w:r>
      <w:r w:rsidR="00E261D2" w:rsidRPr="00813D19">
        <w:rPr>
          <w:bCs/>
          <w:lang w:val="en-US"/>
        </w:rPr>
        <w:t xml:space="preserve">the Forum was </w:t>
      </w:r>
      <w:r w:rsidR="00F67724" w:rsidRPr="00813D19">
        <w:rPr>
          <w:bCs/>
          <w:lang w:val="en-US"/>
        </w:rPr>
        <w:t xml:space="preserve">working on an ethics </w:t>
      </w:r>
      <w:r w:rsidR="00C1217C">
        <w:rPr>
          <w:bCs/>
          <w:lang w:val="en-US"/>
        </w:rPr>
        <w:t>A</w:t>
      </w:r>
      <w:r w:rsidR="00C1217C" w:rsidRPr="00813D19">
        <w:rPr>
          <w:bCs/>
          <w:lang w:val="en-US"/>
        </w:rPr>
        <w:t xml:space="preserve">ction </w:t>
      </w:r>
      <w:r w:rsidR="00C1217C">
        <w:rPr>
          <w:bCs/>
          <w:lang w:val="en-US"/>
        </w:rPr>
        <w:t>P</w:t>
      </w:r>
      <w:r w:rsidR="00C1217C" w:rsidRPr="00813D19">
        <w:rPr>
          <w:bCs/>
          <w:lang w:val="en-US"/>
        </w:rPr>
        <w:t>lan</w:t>
      </w:r>
      <w:r w:rsidR="00E261D2" w:rsidRPr="00813D19">
        <w:rPr>
          <w:bCs/>
          <w:lang w:val="en-US"/>
        </w:rPr>
        <w:t>,</w:t>
      </w:r>
      <w:r w:rsidR="00F67724" w:rsidRPr="00813D19">
        <w:rPr>
          <w:bCs/>
          <w:lang w:val="en-US"/>
        </w:rPr>
        <w:t xml:space="preserve"> as well as a code of conduct for steering committee members. From its side</w:t>
      </w:r>
      <w:r w:rsidR="00E261D2" w:rsidRPr="00813D19">
        <w:rPr>
          <w:bCs/>
          <w:lang w:val="en-US"/>
        </w:rPr>
        <w:t>,</w:t>
      </w:r>
      <w:r w:rsidR="00F67724" w:rsidRPr="00813D19">
        <w:rPr>
          <w:bCs/>
          <w:lang w:val="en-US"/>
        </w:rPr>
        <w:t xml:space="preserve"> the Forum </w:t>
      </w:r>
      <w:r w:rsidR="004976DD">
        <w:rPr>
          <w:bCs/>
          <w:lang w:val="en-US"/>
        </w:rPr>
        <w:t>was</w:t>
      </w:r>
      <w:r w:rsidR="004976DD" w:rsidRPr="00813D19">
        <w:rPr>
          <w:bCs/>
          <w:lang w:val="en-US"/>
        </w:rPr>
        <w:t xml:space="preserve"> </w:t>
      </w:r>
      <w:r w:rsidR="00F67724" w:rsidRPr="00813D19">
        <w:rPr>
          <w:bCs/>
          <w:lang w:val="en-US"/>
        </w:rPr>
        <w:t xml:space="preserve">also taking initiatives for consultations on the roles of NGOs </w:t>
      </w:r>
      <w:r w:rsidR="00F67724" w:rsidRPr="00813D19">
        <w:rPr>
          <w:bCs/>
          <w:i/>
          <w:lang w:val="en-US"/>
        </w:rPr>
        <w:t>inter alia</w:t>
      </w:r>
      <w:r w:rsidR="00F67724" w:rsidRPr="00813D19">
        <w:rPr>
          <w:bCs/>
          <w:lang w:val="en-US"/>
        </w:rPr>
        <w:t xml:space="preserve"> for the implementation of the Convention. Three NGO meetings in 2018 were especially devoted to </w:t>
      </w:r>
      <w:r w:rsidR="00F67724" w:rsidRPr="00813D19">
        <w:rPr>
          <w:bCs/>
          <w:i/>
          <w:lang w:val="en-US"/>
        </w:rPr>
        <w:t xml:space="preserve">inter alia </w:t>
      </w:r>
      <w:r w:rsidR="00F67724" w:rsidRPr="00813D19">
        <w:rPr>
          <w:bCs/>
          <w:lang w:val="en-US"/>
        </w:rPr>
        <w:t>process</w:t>
      </w:r>
      <w:r w:rsidR="00E261D2" w:rsidRPr="00813D19">
        <w:rPr>
          <w:bCs/>
          <w:lang w:val="en-US"/>
        </w:rPr>
        <w:t>,</w:t>
      </w:r>
      <w:r w:rsidR="00F67724" w:rsidRPr="00813D19">
        <w:rPr>
          <w:bCs/>
          <w:lang w:val="en-US"/>
        </w:rPr>
        <w:t xml:space="preserve"> which </w:t>
      </w:r>
      <w:r w:rsidR="00E261D2" w:rsidRPr="00813D19">
        <w:rPr>
          <w:bCs/>
          <w:lang w:val="en-US"/>
        </w:rPr>
        <w:t xml:space="preserve">included </w:t>
      </w:r>
      <w:r w:rsidR="00F67724" w:rsidRPr="00813D19">
        <w:rPr>
          <w:bCs/>
          <w:lang w:val="en-US"/>
        </w:rPr>
        <w:t xml:space="preserve">the Forum’s annual symposium </w:t>
      </w:r>
      <w:r w:rsidR="00E261D2" w:rsidRPr="00813D19">
        <w:rPr>
          <w:bCs/>
          <w:lang w:val="en-US"/>
        </w:rPr>
        <w:t xml:space="preserve">held on Sunday [at the present session] </w:t>
      </w:r>
      <w:r w:rsidR="00F67724" w:rsidRPr="00813D19">
        <w:rPr>
          <w:bCs/>
          <w:lang w:val="en-US"/>
        </w:rPr>
        <w:t xml:space="preserve">with over </w:t>
      </w:r>
      <w:r w:rsidR="004976DD">
        <w:rPr>
          <w:bCs/>
          <w:lang w:val="en-US"/>
        </w:rPr>
        <w:t>ninety</w:t>
      </w:r>
      <w:r w:rsidR="004976DD" w:rsidRPr="00813D19">
        <w:rPr>
          <w:bCs/>
          <w:lang w:val="en-US"/>
        </w:rPr>
        <w:t xml:space="preserve"> </w:t>
      </w:r>
      <w:r w:rsidR="00F67724" w:rsidRPr="00813D19">
        <w:rPr>
          <w:bCs/>
          <w:lang w:val="en-US"/>
        </w:rPr>
        <w:t>participants from NGOs, States Parties and other actors in the Convention</w:t>
      </w:r>
      <w:r w:rsidRPr="00813D19">
        <w:rPr>
          <w:bCs/>
          <w:lang w:val="en-US"/>
        </w:rPr>
        <w:t xml:space="preserve"> in attendance</w:t>
      </w:r>
      <w:r w:rsidR="00F67724" w:rsidRPr="00813D19">
        <w:rPr>
          <w:bCs/>
          <w:lang w:val="en-US"/>
        </w:rPr>
        <w:t xml:space="preserve">. It </w:t>
      </w:r>
      <w:r w:rsidR="00E261D2" w:rsidRPr="00813D19">
        <w:rPr>
          <w:bCs/>
          <w:lang w:val="en-US"/>
        </w:rPr>
        <w:t xml:space="preserve">was </w:t>
      </w:r>
      <w:r w:rsidR="00F67724" w:rsidRPr="00813D19">
        <w:rPr>
          <w:bCs/>
          <w:lang w:val="en-US"/>
        </w:rPr>
        <w:t xml:space="preserve">proposed </w:t>
      </w:r>
      <w:r w:rsidR="004976DD">
        <w:rPr>
          <w:bCs/>
          <w:lang w:val="en-US"/>
        </w:rPr>
        <w:t>that</w:t>
      </w:r>
      <w:r w:rsidR="00F67724" w:rsidRPr="00813D19">
        <w:rPr>
          <w:bCs/>
          <w:lang w:val="en-US"/>
        </w:rPr>
        <w:t xml:space="preserve"> the possible contributions of NGOs </w:t>
      </w:r>
      <w:r w:rsidR="004976DD">
        <w:rPr>
          <w:bCs/>
          <w:lang w:val="en-US"/>
        </w:rPr>
        <w:t xml:space="preserve">be mapped, </w:t>
      </w:r>
      <w:r w:rsidR="00F67724" w:rsidRPr="00813D19">
        <w:rPr>
          <w:bCs/>
          <w:lang w:val="en-US"/>
        </w:rPr>
        <w:t xml:space="preserve">in alignment with </w:t>
      </w:r>
      <w:r w:rsidR="004976DD">
        <w:rPr>
          <w:bCs/>
          <w:lang w:val="en-US"/>
        </w:rPr>
        <w:t xml:space="preserve">the </w:t>
      </w:r>
      <w:r w:rsidR="00F67724" w:rsidRPr="00813D19">
        <w:rPr>
          <w:bCs/>
          <w:lang w:val="en-US"/>
        </w:rPr>
        <w:t>functions of the Committee, Article 7 of the Convention</w:t>
      </w:r>
      <w:r w:rsidR="00E261D2" w:rsidRPr="00813D19">
        <w:rPr>
          <w:bCs/>
          <w:lang w:val="en-US"/>
        </w:rPr>
        <w:t>,</w:t>
      </w:r>
      <w:r w:rsidR="00F67724" w:rsidRPr="00813D19">
        <w:rPr>
          <w:bCs/>
          <w:lang w:val="en-US"/>
        </w:rPr>
        <w:t xml:space="preserve"> and the overall results framework. NGOs indeed </w:t>
      </w:r>
      <w:r w:rsidR="00E261D2" w:rsidRPr="00813D19">
        <w:rPr>
          <w:bCs/>
          <w:lang w:val="en-US"/>
        </w:rPr>
        <w:t xml:space="preserve">form </w:t>
      </w:r>
      <w:r w:rsidR="00F67724" w:rsidRPr="00813D19">
        <w:rPr>
          <w:bCs/>
          <w:lang w:val="en-US"/>
        </w:rPr>
        <w:t xml:space="preserve">a rich resource feeding the implementation of the Convention to its full potential. NGOs take up roles of mediation and facilitation with respect to cultivating local to global safeguarding processes in </w:t>
      </w:r>
      <w:r w:rsidR="00E261D2" w:rsidRPr="00813D19">
        <w:rPr>
          <w:bCs/>
          <w:lang w:val="en-US"/>
        </w:rPr>
        <w:t>intangible cultural heritage. These</w:t>
      </w:r>
      <w:r w:rsidR="00F67724" w:rsidRPr="00813D19">
        <w:rPr>
          <w:bCs/>
          <w:lang w:val="en-US"/>
        </w:rPr>
        <w:t xml:space="preserve"> </w:t>
      </w:r>
      <w:r w:rsidR="00650BB2" w:rsidRPr="00813D19">
        <w:rPr>
          <w:bCs/>
          <w:lang w:val="en-US"/>
        </w:rPr>
        <w:t xml:space="preserve">benefits were </w:t>
      </w:r>
      <w:r w:rsidR="00F67724" w:rsidRPr="00813D19">
        <w:rPr>
          <w:bCs/>
          <w:lang w:val="en-US"/>
        </w:rPr>
        <w:t xml:space="preserve">highlighted in </w:t>
      </w:r>
      <w:r w:rsidR="00650BB2" w:rsidRPr="00813D19">
        <w:rPr>
          <w:bCs/>
          <w:lang w:val="en-US"/>
        </w:rPr>
        <w:t xml:space="preserve">previous </w:t>
      </w:r>
      <w:r w:rsidR="00F67724" w:rsidRPr="00813D19">
        <w:rPr>
          <w:bCs/>
          <w:lang w:val="en-US"/>
        </w:rPr>
        <w:t xml:space="preserve">debates and </w:t>
      </w:r>
      <w:r w:rsidR="00650BB2" w:rsidRPr="00813D19">
        <w:rPr>
          <w:bCs/>
          <w:lang w:val="en-US"/>
        </w:rPr>
        <w:t xml:space="preserve">were </w:t>
      </w:r>
      <w:r w:rsidR="00F67724" w:rsidRPr="00813D19">
        <w:rPr>
          <w:bCs/>
          <w:lang w:val="en-US"/>
        </w:rPr>
        <w:t xml:space="preserve">also mentioned in the </w:t>
      </w:r>
      <w:r w:rsidR="004976DD">
        <w:rPr>
          <w:bCs/>
          <w:lang w:val="en-US"/>
        </w:rPr>
        <w:t xml:space="preserve">chapter in the </w:t>
      </w:r>
      <w:r w:rsidR="00F67724" w:rsidRPr="00813D19">
        <w:rPr>
          <w:bCs/>
          <w:lang w:val="en-US"/>
        </w:rPr>
        <w:t>Operational Directives</w:t>
      </w:r>
      <w:r w:rsidR="004976DD">
        <w:rPr>
          <w:bCs/>
          <w:lang w:val="en-US"/>
        </w:rPr>
        <w:t xml:space="preserve"> </w:t>
      </w:r>
      <w:r w:rsidR="00634D0B">
        <w:rPr>
          <w:bCs/>
          <w:lang w:val="en-US"/>
        </w:rPr>
        <w:t>on sustainable development.</w:t>
      </w:r>
    </w:p>
    <w:p w14:paraId="3412FBF2" w14:textId="05E0B95A" w:rsidR="00DA38A7" w:rsidRPr="00813D19" w:rsidRDefault="00403C6F" w:rsidP="00877914">
      <w:pPr>
        <w:pStyle w:val="Orateurengris"/>
        <w:spacing w:before="120"/>
        <w:ind w:left="709" w:hanging="709"/>
        <w:rPr>
          <w:color w:val="000000" w:themeColor="text1"/>
          <w:lang w:val="en-US"/>
        </w:rPr>
      </w:pPr>
      <w:r w:rsidRPr="00813D19">
        <w:rPr>
          <w:bCs/>
          <w:lang w:val="en-US"/>
        </w:rPr>
        <w:t xml:space="preserve">Ms Jorijn Neyrinck of the </w:t>
      </w:r>
      <w:r w:rsidR="002870B6" w:rsidRPr="00813D19">
        <w:rPr>
          <w:b/>
          <w:color w:val="000000" w:themeColor="text1"/>
          <w:lang w:val="en-US"/>
        </w:rPr>
        <w:t>ICH</w:t>
      </w:r>
      <w:r w:rsidR="00650BB2" w:rsidRPr="00813D19">
        <w:rPr>
          <w:b/>
          <w:color w:val="000000" w:themeColor="text1"/>
          <w:lang w:val="en-US"/>
        </w:rPr>
        <w:t>NGO Forum</w:t>
      </w:r>
      <w:r w:rsidR="00650BB2" w:rsidRPr="00813D19">
        <w:rPr>
          <w:bCs/>
          <w:lang w:val="en-US"/>
        </w:rPr>
        <w:t xml:space="preserve"> then spoke of the </w:t>
      </w:r>
      <w:r w:rsidR="00F67724" w:rsidRPr="00813D19">
        <w:rPr>
          <w:bCs/>
          <w:lang w:val="en-US"/>
        </w:rPr>
        <w:t>possible advisory functions of the accredited NGOs</w:t>
      </w:r>
      <w:r w:rsidR="00650BB2" w:rsidRPr="00813D19">
        <w:rPr>
          <w:bCs/>
          <w:lang w:val="en-US"/>
        </w:rPr>
        <w:t xml:space="preserve">, adding that the Forum </w:t>
      </w:r>
      <w:r w:rsidR="004976DD">
        <w:rPr>
          <w:bCs/>
          <w:lang w:val="en-US"/>
        </w:rPr>
        <w:t xml:space="preserve">had </w:t>
      </w:r>
      <w:r w:rsidR="00F67724" w:rsidRPr="00813D19">
        <w:rPr>
          <w:bCs/>
          <w:lang w:val="en-US"/>
        </w:rPr>
        <w:t xml:space="preserve">already identified five new dimensions </w:t>
      </w:r>
      <w:r w:rsidR="00650BB2" w:rsidRPr="00813D19">
        <w:rPr>
          <w:bCs/>
          <w:lang w:val="en-US"/>
        </w:rPr>
        <w:t xml:space="preserve">in addition </w:t>
      </w:r>
      <w:r w:rsidR="00F67724" w:rsidRPr="00813D19">
        <w:rPr>
          <w:bCs/>
          <w:lang w:val="en-US"/>
        </w:rPr>
        <w:t xml:space="preserve">to the </w:t>
      </w:r>
      <w:r w:rsidR="00650BB2" w:rsidRPr="00813D19">
        <w:rPr>
          <w:bCs/>
          <w:lang w:val="en-US"/>
        </w:rPr>
        <w:t xml:space="preserve">current </w:t>
      </w:r>
      <w:r w:rsidR="00F67724" w:rsidRPr="00813D19">
        <w:rPr>
          <w:bCs/>
          <w:lang w:val="en-US"/>
        </w:rPr>
        <w:t xml:space="preserve">evaluation role and the Evaluation Body. </w:t>
      </w:r>
      <w:r w:rsidR="00650BB2" w:rsidRPr="00813D19">
        <w:rPr>
          <w:bCs/>
          <w:lang w:val="en-US"/>
        </w:rPr>
        <w:t xml:space="preserve">Firstly, </w:t>
      </w:r>
      <w:r w:rsidR="00F67724" w:rsidRPr="00813D19">
        <w:rPr>
          <w:bCs/>
          <w:lang w:val="en-US"/>
        </w:rPr>
        <w:t>NGOs may serve as a laboratory of ideas and inspiring practices for raising and discussing new issues in relation to societal changes</w:t>
      </w:r>
      <w:r w:rsidR="00650BB2" w:rsidRPr="00813D19">
        <w:rPr>
          <w:bCs/>
          <w:lang w:val="en-US"/>
        </w:rPr>
        <w:t>,</w:t>
      </w:r>
      <w:r w:rsidR="00F67724" w:rsidRPr="00813D19">
        <w:rPr>
          <w:bCs/>
          <w:lang w:val="en-US"/>
        </w:rPr>
        <w:t xml:space="preserve"> highlighting critical aspects in safeguarding, methodologies and procedures. This often happens through transnational cooperation and </w:t>
      </w:r>
      <w:r w:rsidR="00CD1BB5" w:rsidRPr="00813D19">
        <w:rPr>
          <w:bCs/>
          <w:lang w:val="en-US"/>
        </w:rPr>
        <w:t xml:space="preserve">the </w:t>
      </w:r>
      <w:r w:rsidR="00F67724" w:rsidRPr="00813D19">
        <w:rPr>
          <w:bCs/>
          <w:lang w:val="en-US"/>
        </w:rPr>
        <w:t>effective networking of NGOs</w:t>
      </w:r>
      <w:r w:rsidR="00650BB2" w:rsidRPr="00813D19">
        <w:rPr>
          <w:bCs/>
          <w:lang w:val="en-US"/>
        </w:rPr>
        <w:t>,</w:t>
      </w:r>
      <w:r w:rsidR="00F67724" w:rsidRPr="00813D19">
        <w:rPr>
          <w:bCs/>
          <w:lang w:val="en-US"/>
        </w:rPr>
        <w:t xml:space="preserve"> building connections with other actors like research institutes, civil society and other partners. Such cross</w:t>
      </w:r>
      <w:r w:rsidR="004976DD">
        <w:rPr>
          <w:bCs/>
          <w:lang w:val="en-US"/>
        </w:rPr>
        <w:t>-</w:t>
      </w:r>
      <w:r w:rsidR="00F67724" w:rsidRPr="00813D19">
        <w:rPr>
          <w:bCs/>
          <w:lang w:val="en-US"/>
        </w:rPr>
        <w:t>border collaboration of NGOs</w:t>
      </w:r>
      <w:r w:rsidR="00650BB2" w:rsidRPr="00813D19">
        <w:rPr>
          <w:bCs/>
          <w:lang w:val="en-US"/>
        </w:rPr>
        <w:t>,</w:t>
      </w:r>
      <w:r w:rsidR="00F67724" w:rsidRPr="00813D19">
        <w:rPr>
          <w:bCs/>
          <w:lang w:val="en-US"/>
        </w:rPr>
        <w:t xml:space="preserve"> for example </w:t>
      </w:r>
      <w:r w:rsidR="00CD1BB5" w:rsidRPr="00813D19">
        <w:rPr>
          <w:bCs/>
          <w:lang w:val="en-US"/>
        </w:rPr>
        <w:t xml:space="preserve">in </w:t>
      </w:r>
      <w:r w:rsidR="00F67724" w:rsidRPr="00813D19">
        <w:rPr>
          <w:bCs/>
          <w:lang w:val="en-US"/>
        </w:rPr>
        <w:t xml:space="preserve">the case of dry stone walling </w:t>
      </w:r>
      <w:r w:rsidR="00650BB2" w:rsidRPr="00813D19">
        <w:rPr>
          <w:bCs/>
          <w:lang w:val="en-US"/>
        </w:rPr>
        <w:t>inscribed at the present</w:t>
      </w:r>
      <w:r w:rsidR="00F67724" w:rsidRPr="00813D19">
        <w:rPr>
          <w:bCs/>
          <w:lang w:val="en-US"/>
        </w:rPr>
        <w:t xml:space="preserve"> session, </w:t>
      </w:r>
      <w:r w:rsidR="00650BB2" w:rsidRPr="00813D19">
        <w:rPr>
          <w:bCs/>
          <w:lang w:val="en-US"/>
        </w:rPr>
        <w:t xml:space="preserve">or </w:t>
      </w:r>
      <w:r w:rsidR="00F67724" w:rsidRPr="00813D19">
        <w:rPr>
          <w:bCs/>
          <w:lang w:val="en-US"/>
        </w:rPr>
        <w:t xml:space="preserve">the Register of Good Practices of the storytelling network of Kronoberg </w:t>
      </w:r>
      <w:r w:rsidR="00650BB2" w:rsidRPr="00813D19">
        <w:rPr>
          <w:bCs/>
          <w:lang w:val="en-US"/>
        </w:rPr>
        <w:t>the previous day,</w:t>
      </w:r>
      <w:r w:rsidR="00F67724" w:rsidRPr="00813D19">
        <w:rPr>
          <w:bCs/>
          <w:lang w:val="en-US"/>
        </w:rPr>
        <w:t xml:space="preserve"> or the ICH on museum project in Europe started by accredited NGOs with support </w:t>
      </w:r>
      <w:r w:rsidR="00650BB2" w:rsidRPr="00813D19">
        <w:rPr>
          <w:bCs/>
          <w:lang w:val="en-US"/>
        </w:rPr>
        <w:t xml:space="preserve">from </w:t>
      </w:r>
      <w:r w:rsidR="00F67724" w:rsidRPr="00813D19">
        <w:rPr>
          <w:bCs/>
          <w:lang w:val="en-US"/>
        </w:rPr>
        <w:t>the Forum. Second</w:t>
      </w:r>
      <w:r w:rsidR="00650BB2" w:rsidRPr="00813D19">
        <w:rPr>
          <w:bCs/>
          <w:lang w:val="en-US"/>
        </w:rPr>
        <w:t>ly</w:t>
      </w:r>
      <w:r w:rsidR="00F67724" w:rsidRPr="00813D19">
        <w:rPr>
          <w:bCs/>
          <w:lang w:val="en-US"/>
        </w:rPr>
        <w:t xml:space="preserve">, an obvious NGO role </w:t>
      </w:r>
      <w:r w:rsidR="004976DD">
        <w:rPr>
          <w:bCs/>
          <w:lang w:val="en-US"/>
        </w:rPr>
        <w:t>lay</w:t>
      </w:r>
      <w:r w:rsidR="004976DD" w:rsidRPr="00813D19">
        <w:rPr>
          <w:bCs/>
          <w:lang w:val="en-US"/>
        </w:rPr>
        <w:t xml:space="preserve"> </w:t>
      </w:r>
      <w:r w:rsidR="00F67724" w:rsidRPr="00813D19">
        <w:rPr>
          <w:bCs/>
          <w:lang w:val="en-US"/>
        </w:rPr>
        <w:t xml:space="preserve">in contributing to the safeguarding of </w:t>
      </w:r>
      <w:r w:rsidR="00650BB2" w:rsidRPr="00813D19">
        <w:rPr>
          <w:bCs/>
          <w:lang w:val="en-US"/>
        </w:rPr>
        <w:t>intangible cultural heritage</w:t>
      </w:r>
      <w:r w:rsidR="00F91DFF" w:rsidRPr="00813D19">
        <w:rPr>
          <w:bCs/>
          <w:lang w:val="en-US"/>
        </w:rPr>
        <w:t>. NGOs contribute</w:t>
      </w:r>
      <w:r w:rsidR="00F67724" w:rsidRPr="00813D19">
        <w:rPr>
          <w:bCs/>
          <w:lang w:val="en-US"/>
        </w:rPr>
        <w:t xml:space="preserve"> to safeguarding measures and methodologies in general or specific elements of </w:t>
      </w:r>
      <w:r w:rsidR="00650BB2" w:rsidRPr="00813D19">
        <w:rPr>
          <w:bCs/>
          <w:lang w:val="en-US"/>
        </w:rPr>
        <w:t xml:space="preserve">intangible cultural heritage </w:t>
      </w:r>
      <w:r w:rsidR="00F67724" w:rsidRPr="00813D19">
        <w:rPr>
          <w:bCs/>
          <w:lang w:val="en-US"/>
        </w:rPr>
        <w:t>whether or not inscribed</w:t>
      </w:r>
      <w:r w:rsidR="00650BB2" w:rsidRPr="00813D19">
        <w:rPr>
          <w:bCs/>
          <w:lang w:val="en-US"/>
        </w:rPr>
        <w:t>, as well as for the follow-</w:t>
      </w:r>
      <w:r w:rsidR="00F67724" w:rsidRPr="00813D19">
        <w:rPr>
          <w:bCs/>
          <w:lang w:val="en-US"/>
        </w:rPr>
        <w:t>up of inscribed elements. Third</w:t>
      </w:r>
      <w:r w:rsidR="00650BB2" w:rsidRPr="00813D19">
        <w:rPr>
          <w:bCs/>
          <w:lang w:val="en-US"/>
        </w:rPr>
        <w:t>ly</w:t>
      </w:r>
      <w:r w:rsidR="00F67724" w:rsidRPr="00813D19">
        <w:rPr>
          <w:bCs/>
          <w:lang w:val="en-US"/>
        </w:rPr>
        <w:t>, NGOs are well</w:t>
      </w:r>
      <w:r w:rsidR="004976DD">
        <w:rPr>
          <w:bCs/>
          <w:lang w:val="en-US"/>
        </w:rPr>
        <w:t>-</w:t>
      </w:r>
      <w:r w:rsidR="00F67724" w:rsidRPr="00813D19">
        <w:rPr>
          <w:bCs/>
          <w:lang w:val="en-US"/>
        </w:rPr>
        <w:t xml:space="preserve">equipped to share safeguarding experiences in lighter and accessible ways. A nice example is the online platform </w:t>
      </w:r>
      <w:hyperlink r:id="rId149" w:history="1">
        <w:r w:rsidR="005B49E1" w:rsidRPr="00813D19">
          <w:rPr>
            <w:rStyle w:val="Hyperlink"/>
            <w:bCs/>
            <w:lang w:val="en-US"/>
          </w:rPr>
          <w:t>www.nordicsafeguardingpractices.org</w:t>
        </w:r>
      </w:hyperlink>
      <w:r w:rsidR="00650BB2" w:rsidRPr="00813D19">
        <w:rPr>
          <w:bCs/>
          <w:lang w:val="en-US"/>
        </w:rPr>
        <w:t xml:space="preserve"> </w:t>
      </w:r>
      <w:r w:rsidR="00F67724" w:rsidRPr="00813D19">
        <w:rPr>
          <w:bCs/>
          <w:lang w:val="en-US"/>
        </w:rPr>
        <w:t>in which accredited NGOs play a vital role</w:t>
      </w:r>
      <w:r w:rsidR="005B49E1" w:rsidRPr="00813D19">
        <w:rPr>
          <w:bCs/>
          <w:lang w:val="en-US"/>
        </w:rPr>
        <w:t>,</w:t>
      </w:r>
      <w:r w:rsidR="00F67724" w:rsidRPr="00813D19">
        <w:rPr>
          <w:bCs/>
          <w:lang w:val="en-US"/>
        </w:rPr>
        <w:t xml:space="preserve"> as well as the </w:t>
      </w:r>
      <w:hyperlink r:id="rId150" w:history="1">
        <w:r w:rsidR="005B49E1" w:rsidRPr="00813D19">
          <w:rPr>
            <w:rStyle w:val="Hyperlink"/>
            <w:bCs/>
            <w:lang w:val="en-US"/>
          </w:rPr>
          <w:t>#Heritage</w:t>
        </w:r>
        <w:r w:rsidR="00F67724" w:rsidRPr="00813D19">
          <w:rPr>
            <w:rStyle w:val="Hyperlink"/>
            <w:bCs/>
            <w:lang w:val="en-US"/>
          </w:rPr>
          <w:t>Alive</w:t>
        </w:r>
      </w:hyperlink>
      <w:r w:rsidR="00F67724" w:rsidRPr="00813D19">
        <w:rPr>
          <w:bCs/>
          <w:lang w:val="en-US"/>
        </w:rPr>
        <w:t xml:space="preserve"> online journal of the Forum. Four</w:t>
      </w:r>
      <w:r w:rsidR="005B49E1" w:rsidRPr="00813D19">
        <w:rPr>
          <w:bCs/>
          <w:lang w:val="en-US"/>
        </w:rPr>
        <w:t>thly</w:t>
      </w:r>
      <w:r w:rsidR="00F67724" w:rsidRPr="00813D19">
        <w:rPr>
          <w:bCs/>
          <w:lang w:val="en-US"/>
        </w:rPr>
        <w:t xml:space="preserve">, NGOs </w:t>
      </w:r>
      <w:r w:rsidR="00F91DFF" w:rsidRPr="00813D19">
        <w:rPr>
          <w:bCs/>
          <w:lang w:val="en-US"/>
        </w:rPr>
        <w:t xml:space="preserve">play a role in </w:t>
      </w:r>
      <w:r w:rsidR="005B49E1" w:rsidRPr="00813D19">
        <w:rPr>
          <w:bCs/>
          <w:lang w:val="en-US"/>
        </w:rPr>
        <w:t>awareness-</w:t>
      </w:r>
      <w:r w:rsidR="00F67724" w:rsidRPr="00813D19">
        <w:rPr>
          <w:bCs/>
          <w:lang w:val="en-US"/>
        </w:rPr>
        <w:t xml:space="preserve">raising on </w:t>
      </w:r>
      <w:r w:rsidR="005B49E1" w:rsidRPr="00813D19">
        <w:rPr>
          <w:bCs/>
          <w:lang w:val="en-US"/>
        </w:rPr>
        <w:t xml:space="preserve">intangible cultural heritage </w:t>
      </w:r>
      <w:r w:rsidR="00F67724" w:rsidRPr="00813D19">
        <w:rPr>
          <w:bCs/>
          <w:lang w:val="en-US"/>
        </w:rPr>
        <w:t>and safeguarding in society</w:t>
      </w:r>
      <w:r w:rsidR="005B49E1" w:rsidRPr="00813D19">
        <w:rPr>
          <w:bCs/>
          <w:lang w:val="en-US"/>
        </w:rPr>
        <w:t>,</w:t>
      </w:r>
      <w:r w:rsidR="00F67724" w:rsidRPr="00813D19">
        <w:rPr>
          <w:bCs/>
          <w:lang w:val="en-US"/>
        </w:rPr>
        <w:t xml:space="preserve"> and for building and strengthening capacities with stakeholders at large. </w:t>
      </w:r>
      <w:r w:rsidR="005B49E1" w:rsidRPr="00813D19">
        <w:rPr>
          <w:bCs/>
          <w:lang w:val="en-US"/>
        </w:rPr>
        <w:t>Finally</w:t>
      </w:r>
      <w:r w:rsidR="00F67724" w:rsidRPr="00813D19">
        <w:rPr>
          <w:bCs/>
          <w:lang w:val="en-US"/>
        </w:rPr>
        <w:t xml:space="preserve">, </w:t>
      </w:r>
      <w:r w:rsidR="00F91DFF" w:rsidRPr="00813D19">
        <w:rPr>
          <w:bCs/>
          <w:lang w:val="en-US"/>
        </w:rPr>
        <w:t xml:space="preserve">NGOs provide </w:t>
      </w:r>
      <w:r w:rsidR="00F67724" w:rsidRPr="00813D19">
        <w:rPr>
          <w:bCs/>
          <w:lang w:val="en-US"/>
        </w:rPr>
        <w:t xml:space="preserve">a </w:t>
      </w:r>
      <w:r w:rsidR="00F91DFF" w:rsidRPr="00813D19">
        <w:rPr>
          <w:bCs/>
          <w:lang w:val="en-US"/>
        </w:rPr>
        <w:t xml:space="preserve">multitude </w:t>
      </w:r>
      <w:r w:rsidR="00F67724" w:rsidRPr="00813D19">
        <w:rPr>
          <w:bCs/>
          <w:lang w:val="en-US"/>
        </w:rPr>
        <w:t>of reporting functions</w:t>
      </w:r>
      <w:r w:rsidR="00F91DFF" w:rsidRPr="00813D19">
        <w:rPr>
          <w:bCs/>
          <w:lang w:val="en-US"/>
        </w:rPr>
        <w:t>,</w:t>
      </w:r>
      <w:r w:rsidR="00F67724" w:rsidRPr="00813D19">
        <w:rPr>
          <w:bCs/>
          <w:lang w:val="en-US"/>
        </w:rPr>
        <w:t xml:space="preserve"> serving the Committee and the overall results framework, reg</w:t>
      </w:r>
      <w:r w:rsidR="00F91DFF" w:rsidRPr="00813D19">
        <w:rPr>
          <w:bCs/>
          <w:lang w:val="en-US"/>
        </w:rPr>
        <w:t xml:space="preserve">ional reporting on the </w:t>
      </w:r>
      <w:r w:rsidR="00F67724" w:rsidRPr="00813D19">
        <w:rPr>
          <w:bCs/>
          <w:lang w:val="en-US"/>
        </w:rPr>
        <w:t>status of inscribed elements</w:t>
      </w:r>
      <w:r w:rsidR="005B49E1" w:rsidRPr="00813D19">
        <w:rPr>
          <w:bCs/>
          <w:lang w:val="en-US"/>
        </w:rPr>
        <w:t>,</w:t>
      </w:r>
      <w:r w:rsidR="00F67724" w:rsidRPr="00813D19">
        <w:rPr>
          <w:bCs/>
          <w:lang w:val="en-US"/>
        </w:rPr>
        <w:t xml:space="preserve"> and others. </w:t>
      </w:r>
      <w:r w:rsidR="00F91DFF" w:rsidRPr="00813D19">
        <w:rPr>
          <w:bCs/>
          <w:lang w:val="en-US"/>
        </w:rPr>
        <w:t xml:space="preserve">It was hoped that the </w:t>
      </w:r>
      <w:r w:rsidR="005B49E1" w:rsidRPr="00813D19">
        <w:rPr>
          <w:bCs/>
          <w:lang w:val="en-US"/>
        </w:rPr>
        <w:t xml:space="preserve">Forum could </w:t>
      </w:r>
      <w:r w:rsidR="00F67724" w:rsidRPr="00813D19">
        <w:rPr>
          <w:bCs/>
          <w:lang w:val="en-US"/>
        </w:rPr>
        <w:t xml:space="preserve">further enrich the reflection on </w:t>
      </w:r>
      <w:r w:rsidR="005B49E1" w:rsidRPr="00813D19">
        <w:rPr>
          <w:bCs/>
          <w:lang w:val="en-US"/>
        </w:rPr>
        <w:t xml:space="preserve">the </w:t>
      </w:r>
      <w:r w:rsidR="00F67724" w:rsidRPr="00813D19">
        <w:rPr>
          <w:bCs/>
          <w:lang w:val="en-US"/>
        </w:rPr>
        <w:t xml:space="preserve">functions </w:t>
      </w:r>
      <w:r w:rsidR="005B49E1" w:rsidRPr="00813D19">
        <w:rPr>
          <w:bCs/>
          <w:lang w:val="en-US"/>
        </w:rPr>
        <w:t>of NGOs in the Convention and that—</w:t>
      </w:r>
      <w:r w:rsidR="00F67724" w:rsidRPr="00813D19">
        <w:rPr>
          <w:bCs/>
          <w:lang w:val="en-US"/>
        </w:rPr>
        <w:t>as a resu</w:t>
      </w:r>
      <w:r w:rsidR="005B49E1" w:rsidRPr="00813D19">
        <w:rPr>
          <w:bCs/>
          <w:lang w:val="en-US"/>
        </w:rPr>
        <w:t>lt of the consultation process—</w:t>
      </w:r>
      <w:r w:rsidR="00F67724" w:rsidRPr="00813D19">
        <w:rPr>
          <w:bCs/>
          <w:lang w:val="en-US"/>
        </w:rPr>
        <w:t xml:space="preserve">a set of valuable functions </w:t>
      </w:r>
      <w:r w:rsidR="004976DD" w:rsidRPr="00813D19">
        <w:rPr>
          <w:bCs/>
          <w:lang w:val="en-US"/>
        </w:rPr>
        <w:t>c</w:t>
      </w:r>
      <w:r w:rsidR="004976DD">
        <w:rPr>
          <w:bCs/>
          <w:lang w:val="en-US"/>
        </w:rPr>
        <w:t>ould</w:t>
      </w:r>
      <w:r w:rsidR="004976DD" w:rsidRPr="00813D19">
        <w:rPr>
          <w:bCs/>
          <w:lang w:val="en-US"/>
        </w:rPr>
        <w:t xml:space="preserve"> </w:t>
      </w:r>
      <w:r w:rsidR="00F67724" w:rsidRPr="00813D19">
        <w:rPr>
          <w:bCs/>
          <w:lang w:val="en-US"/>
        </w:rPr>
        <w:t xml:space="preserve">amplify the implementation of the Convention in </w:t>
      </w:r>
      <w:r w:rsidR="00F91DFF" w:rsidRPr="00813D19">
        <w:rPr>
          <w:bCs/>
          <w:lang w:val="en-US"/>
        </w:rPr>
        <w:t xml:space="preserve">the </w:t>
      </w:r>
      <w:r w:rsidR="00634D0B">
        <w:rPr>
          <w:bCs/>
          <w:lang w:val="en-US"/>
        </w:rPr>
        <w:t>future.</w:t>
      </w:r>
    </w:p>
    <w:p w14:paraId="7EB2A959" w14:textId="77777777" w:rsidR="00F11309" w:rsidRPr="00813D19" w:rsidRDefault="00F11309"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Vice-Chairperson</w:t>
      </w:r>
      <w:r w:rsidRPr="00813D19">
        <w:rPr>
          <w:color w:val="000000" w:themeColor="text1"/>
          <w:lang w:val="en-US"/>
        </w:rPr>
        <w:t xml:space="preserve"> turned to the draft decision on a paragraph-by-paragraph basis.</w:t>
      </w:r>
    </w:p>
    <w:p w14:paraId="7E6E7818" w14:textId="5020ACE5" w:rsidR="00F11309" w:rsidRPr="00813D19" w:rsidRDefault="00F11309" w:rsidP="00877914">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Philippines</w:t>
      </w:r>
      <w:r w:rsidRPr="00813D19">
        <w:rPr>
          <w:color w:val="000000" w:themeColor="text1"/>
          <w:lang w:val="en-US"/>
        </w:rPr>
        <w:t xml:space="preserve"> presented </w:t>
      </w:r>
      <w:r w:rsidR="00150F5C" w:rsidRPr="00813D19">
        <w:rPr>
          <w:color w:val="000000" w:themeColor="text1"/>
          <w:lang w:val="en-US"/>
        </w:rPr>
        <w:t xml:space="preserve">an amendment </w:t>
      </w:r>
      <w:r w:rsidR="003D1989" w:rsidRPr="00813D19">
        <w:rPr>
          <w:color w:val="000000" w:themeColor="text1"/>
          <w:lang w:val="en-US"/>
        </w:rPr>
        <w:t>in paragraph 5, which was a reference to ‘the informal ad hoc working group’, as cited by many Committee Members.</w:t>
      </w:r>
    </w:p>
    <w:p w14:paraId="4DFBC803" w14:textId="1D984E7D" w:rsidR="00150F5C" w:rsidRPr="00634D0B" w:rsidRDefault="003D1989" w:rsidP="00150F5C">
      <w:pPr>
        <w:pStyle w:val="Orateurengris"/>
        <w:spacing w:before="120"/>
        <w:ind w:left="709" w:hanging="709"/>
        <w:rPr>
          <w:color w:val="000000" w:themeColor="text1"/>
          <w:lang w:val="en-US"/>
        </w:rPr>
      </w:pPr>
      <w:r w:rsidRPr="00813D19">
        <w:rPr>
          <w:color w:val="000000" w:themeColor="text1"/>
          <w:lang w:val="en-US"/>
        </w:rPr>
        <w:t>T</w:t>
      </w:r>
      <w:r w:rsidR="00150F5C" w:rsidRPr="00813D19">
        <w:rPr>
          <w:color w:val="000000" w:themeColor="text1"/>
          <w:lang w:val="en-US"/>
        </w:rPr>
        <w:t xml:space="preserve">he </w:t>
      </w:r>
      <w:r w:rsidR="00150F5C" w:rsidRPr="00813D19">
        <w:rPr>
          <w:b/>
          <w:color w:val="000000" w:themeColor="text1"/>
          <w:lang w:val="en-US"/>
        </w:rPr>
        <w:t>Vice-Chairperson</w:t>
      </w:r>
      <w:r w:rsidR="00150F5C" w:rsidRPr="00813D19">
        <w:rPr>
          <w:color w:val="000000" w:themeColor="text1"/>
          <w:lang w:val="en-US"/>
        </w:rPr>
        <w:t xml:space="preserve"> </w:t>
      </w:r>
      <w:r w:rsidRPr="00813D19">
        <w:rPr>
          <w:color w:val="000000" w:themeColor="text1"/>
          <w:lang w:val="en-US"/>
        </w:rPr>
        <w:t xml:space="preserve">then </w:t>
      </w:r>
      <w:r w:rsidR="00150F5C" w:rsidRPr="00813D19">
        <w:rPr>
          <w:color w:val="000000" w:themeColor="text1"/>
          <w:lang w:val="en-US"/>
        </w:rPr>
        <w:t xml:space="preserve">returned to the draft decision, and paragraphs 1–4 were duly adopted. With no objections to the amendment by the Philippines, paragraph 5 was duly adopted as amended. With no further comments, the </w:t>
      </w:r>
      <w:r w:rsidR="00150F5C" w:rsidRPr="00813D19">
        <w:rPr>
          <w:b/>
          <w:color w:val="000000" w:themeColor="text1"/>
          <w:lang w:val="en-US"/>
        </w:rPr>
        <w:t>Vice-Chairperson declared Decision 13.COM 13 adopted</w:t>
      </w:r>
      <w:r w:rsidR="00150F5C" w:rsidRPr="00634D0B">
        <w:rPr>
          <w:bCs/>
          <w:color w:val="000000" w:themeColor="text1"/>
          <w:lang w:val="en-US"/>
        </w:rPr>
        <w:t>.</w:t>
      </w:r>
    </w:p>
    <w:p w14:paraId="3449BF60" w14:textId="46C1856A" w:rsidR="003D1989" w:rsidRPr="00634D0B" w:rsidRDefault="00150F5C" w:rsidP="00634D0B">
      <w:pPr>
        <w:pStyle w:val="Orateurengris"/>
        <w:spacing w:before="120"/>
        <w:ind w:left="709" w:hanging="709"/>
        <w:rPr>
          <w:color w:val="000000" w:themeColor="text1"/>
          <w:lang w:val="en-US"/>
        </w:rPr>
      </w:pPr>
      <w:r w:rsidRPr="00634D0B">
        <w:rPr>
          <w:color w:val="000000" w:themeColor="text1"/>
          <w:lang w:val="en-US"/>
        </w:rPr>
        <w:t xml:space="preserve">The </w:t>
      </w:r>
      <w:r w:rsidRPr="00634D0B">
        <w:rPr>
          <w:b/>
          <w:color w:val="000000" w:themeColor="text1"/>
          <w:lang w:val="en-US"/>
        </w:rPr>
        <w:t>Secretary</w:t>
      </w:r>
      <w:r w:rsidRPr="00634D0B">
        <w:rPr>
          <w:color w:val="000000" w:themeColor="text1"/>
          <w:lang w:val="en-US"/>
        </w:rPr>
        <w:t xml:space="preserve"> </w:t>
      </w:r>
      <w:r w:rsidR="006357B7" w:rsidRPr="00634D0B">
        <w:rPr>
          <w:color w:val="000000" w:themeColor="text1"/>
          <w:lang w:val="en-US"/>
        </w:rPr>
        <w:t xml:space="preserve">informed the delegations that </w:t>
      </w:r>
      <w:r w:rsidR="00F67724" w:rsidRPr="00634D0B">
        <w:rPr>
          <w:bCs/>
          <w:lang w:val="en-US"/>
        </w:rPr>
        <w:t xml:space="preserve">information sessions on safeguarding intangible cultural heritage in formal and non-formal education </w:t>
      </w:r>
      <w:r w:rsidR="006357B7" w:rsidRPr="00634D0B">
        <w:rPr>
          <w:bCs/>
          <w:lang w:val="en-US"/>
        </w:rPr>
        <w:t xml:space="preserve">would </w:t>
      </w:r>
      <w:r w:rsidR="00F67724" w:rsidRPr="00634D0B">
        <w:rPr>
          <w:bCs/>
          <w:lang w:val="en-US"/>
        </w:rPr>
        <w:t xml:space="preserve">take place </w:t>
      </w:r>
      <w:r w:rsidR="006357B7" w:rsidRPr="00634D0B">
        <w:rPr>
          <w:bCs/>
          <w:lang w:val="en-US"/>
        </w:rPr>
        <w:t>during the lunch break.</w:t>
      </w:r>
    </w:p>
    <w:p w14:paraId="2912FCEE" w14:textId="2516F5D0" w:rsidR="00FE6F41" w:rsidRPr="00813D19" w:rsidRDefault="00FE6F41" w:rsidP="00634D0B">
      <w:pPr>
        <w:pStyle w:val="Orateurengris"/>
        <w:keepNext/>
        <w:numPr>
          <w:ilvl w:val="0"/>
          <w:numId w:val="0"/>
        </w:numPr>
        <w:spacing w:before="240" w:after="240"/>
        <w:ind w:left="567" w:hanging="567"/>
        <w:jc w:val="center"/>
        <w:outlineLvl w:val="0"/>
        <w:rPr>
          <w:i/>
          <w:lang w:val="en-US"/>
        </w:rPr>
      </w:pPr>
      <w:r w:rsidRPr="00813D19">
        <w:rPr>
          <w:i/>
          <w:lang w:val="en-US"/>
        </w:rPr>
        <w:t>[Friday, 30 November 2018, afternoon session]</w:t>
      </w:r>
    </w:p>
    <w:p w14:paraId="16DB7313" w14:textId="650597D6" w:rsidR="00414700" w:rsidRPr="00813D19" w:rsidRDefault="00414700" w:rsidP="00634D0B">
      <w:pPr>
        <w:pStyle w:val="Orateurengris"/>
        <w:numPr>
          <w:ilvl w:val="0"/>
          <w:numId w:val="0"/>
        </w:numPr>
        <w:spacing w:before="240" w:after="240"/>
        <w:ind w:left="567" w:hanging="567"/>
        <w:jc w:val="center"/>
        <w:rPr>
          <w:i/>
          <w:lang w:val="en-US"/>
        </w:rPr>
      </w:pPr>
      <w:r w:rsidRPr="00813D19">
        <w:rPr>
          <w:i/>
          <w:lang w:val="en-US"/>
        </w:rPr>
        <w:t>[The Chairperson reprised his role]</w:t>
      </w:r>
    </w:p>
    <w:p w14:paraId="304F8803" w14:textId="6E2F0297" w:rsidR="00EC215B" w:rsidRPr="00813D19" w:rsidRDefault="00EC215B" w:rsidP="00634D0B">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ITEM 10</w:t>
      </w:r>
      <w:r w:rsidR="00634D0B">
        <w:rPr>
          <w:b/>
          <w:color w:val="000000" w:themeColor="text1"/>
          <w:u w:val="single"/>
          <w:lang w:val="en-US"/>
        </w:rPr>
        <w:t>.d OF THE AGENDA</w:t>
      </w:r>
    </w:p>
    <w:p w14:paraId="76219F6C" w14:textId="7B00B118" w:rsidR="00EC215B" w:rsidRPr="00813D19" w:rsidRDefault="00EC215B" w:rsidP="00634D0B">
      <w:pPr>
        <w:pStyle w:val="Orateurengris"/>
        <w:numPr>
          <w:ilvl w:val="0"/>
          <w:numId w:val="0"/>
        </w:numPr>
        <w:jc w:val="left"/>
        <w:outlineLvl w:val="1"/>
        <w:rPr>
          <w:b/>
          <w:color w:val="000000" w:themeColor="text1"/>
          <w:lang w:val="en-US"/>
        </w:rPr>
      </w:pPr>
      <w:r w:rsidRPr="00813D19">
        <w:rPr>
          <w:b/>
          <w:color w:val="000000" w:themeColor="text1"/>
          <w:lang w:val="en-US"/>
        </w:rPr>
        <w:t>EXAMINATION OF REQUES</w:t>
      </w:r>
      <w:r w:rsidR="00634D0B">
        <w:rPr>
          <w:b/>
          <w:color w:val="000000" w:themeColor="text1"/>
          <w:lang w:val="en-US"/>
        </w:rPr>
        <w:t>TS FOR INTERNATIONAL ASSISTANCE</w:t>
      </w:r>
    </w:p>
    <w:p w14:paraId="02EDE541" w14:textId="68BFB99B" w:rsidR="00EC215B" w:rsidRPr="00813D19" w:rsidRDefault="00EC215B" w:rsidP="00634D0B">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51" w:history="1">
        <w:r w:rsidRPr="00813D19">
          <w:rPr>
            <w:rStyle w:val="Hyperlink"/>
            <w:bCs/>
            <w:i/>
            <w:lang w:val="en-US"/>
          </w:rPr>
          <w:t>ITH/18/13.COM/10.d</w:t>
        </w:r>
      </w:hyperlink>
    </w:p>
    <w:p w14:paraId="7B809B31" w14:textId="0DCA66B1" w:rsidR="00EC215B" w:rsidRPr="00813D19" w:rsidRDefault="00E721C1" w:rsidP="00634D0B">
      <w:pPr>
        <w:pStyle w:val="Orateurengris"/>
        <w:keepNext/>
        <w:numPr>
          <w:ilvl w:val="0"/>
          <w:numId w:val="0"/>
        </w:numPr>
        <w:spacing w:before="60" w:after="0"/>
        <w:ind w:left="709"/>
        <w:rPr>
          <w:b/>
          <w:color w:val="000000" w:themeColor="text1"/>
          <w:lang w:val="en-US"/>
        </w:rPr>
      </w:pPr>
      <w:r w:rsidRPr="00813D19">
        <w:rPr>
          <w:b/>
          <w:color w:val="000000" w:themeColor="text1"/>
          <w:lang w:val="en-US"/>
        </w:rPr>
        <w:t>File</w:t>
      </w:r>
      <w:r w:rsidR="00EC215B" w:rsidRPr="00813D19">
        <w:rPr>
          <w:b/>
          <w:color w:val="000000" w:themeColor="text1"/>
          <w:lang w:val="en-US"/>
        </w:rPr>
        <w:t xml:space="preserve">: </w:t>
      </w:r>
      <w:r w:rsidRPr="00813D19">
        <w:rPr>
          <w:b/>
          <w:color w:val="000000" w:themeColor="text1"/>
          <w:lang w:val="en-US"/>
        </w:rPr>
        <w:tab/>
      </w:r>
      <w:r w:rsidR="00EC215B" w:rsidRPr="00813D19">
        <w:rPr>
          <w:b/>
          <w:color w:val="000000" w:themeColor="text1"/>
          <w:lang w:val="en-US"/>
        </w:rPr>
        <w:tab/>
      </w:r>
      <w:hyperlink r:id="rId152" w:history="1">
        <w:r w:rsidR="00EC215B" w:rsidRPr="00813D19">
          <w:rPr>
            <w:rStyle w:val="Hyperlink"/>
            <w:i/>
            <w:lang w:val="en-US"/>
          </w:rPr>
          <w:t>1 request</w:t>
        </w:r>
      </w:hyperlink>
    </w:p>
    <w:p w14:paraId="0FCEA9EE" w14:textId="02D1FC53" w:rsidR="00EC215B" w:rsidRPr="00813D19" w:rsidRDefault="00EC215B" w:rsidP="00634D0B">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634D0B">
        <w:rPr>
          <w:b/>
          <w:bCs/>
          <w:color w:val="000000" w:themeColor="text1"/>
          <w:lang w:val="en-US"/>
        </w:rPr>
        <w:t>:</w:t>
      </w:r>
      <w:r w:rsidRPr="00813D19">
        <w:rPr>
          <w:color w:val="000000" w:themeColor="text1"/>
          <w:lang w:val="en-US"/>
        </w:rPr>
        <w:tab/>
      </w:r>
      <w:hyperlink r:id="rId153" w:history="1">
        <w:r w:rsidRPr="00813D19">
          <w:rPr>
            <w:rStyle w:val="Hyperlink"/>
            <w:i/>
            <w:lang w:val="en-US"/>
          </w:rPr>
          <w:t>13.COM 10.d</w:t>
        </w:r>
      </w:hyperlink>
    </w:p>
    <w:p w14:paraId="13474215" w14:textId="621E02CB" w:rsidR="00414700" w:rsidRPr="00813D19" w:rsidRDefault="00414700" w:rsidP="00DD4E22">
      <w:pPr>
        <w:pStyle w:val="Orateurengris"/>
        <w:spacing w:after="0"/>
        <w:ind w:left="709" w:hanging="709"/>
        <w:rPr>
          <w:rFonts w:eastAsia="Times"/>
          <w:lang w:val="en-US"/>
        </w:rPr>
      </w:pPr>
      <w:r w:rsidRPr="00813D19">
        <w:rPr>
          <w:color w:val="000000" w:themeColor="text1"/>
          <w:lang w:val="en-US"/>
        </w:rPr>
        <w:t>The</w:t>
      </w:r>
      <w:r w:rsidRPr="00813D19">
        <w:rPr>
          <w:lang w:val="en-US"/>
        </w:rPr>
        <w:t xml:space="preserve"> </w:t>
      </w:r>
      <w:r w:rsidRPr="00813D19">
        <w:rPr>
          <w:b/>
          <w:lang w:val="en-US"/>
        </w:rPr>
        <w:t>Chairperson</w:t>
      </w:r>
      <w:r w:rsidRPr="00813D19">
        <w:rPr>
          <w:lang w:val="en-US"/>
        </w:rPr>
        <w:t xml:space="preserve"> </w:t>
      </w:r>
      <w:r w:rsidR="00961B72" w:rsidRPr="00813D19">
        <w:rPr>
          <w:lang w:val="en-US"/>
        </w:rPr>
        <w:t>began by thanking</w:t>
      </w:r>
      <w:r w:rsidRPr="00813D19">
        <w:rPr>
          <w:lang w:val="en-US"/>
        </w:rPr>
        <w:t xml:space="preserve"> the Vice-Chairs of the Philippines and Lebanon</w:t>
      </w:r>
      <w:r w:rsidR="00961B72" w:rsidRPr="00813D19">
        <w:rPr>
          <w:lang w:val="en-US"/>
        </w:rPr>
        <w:t xml:space="preserve"> for their assistance</w:t>
      </w:r>
      <w:r w:rsidR="003D1989" w:rsidRPr="00813D19">
        <w:rPr>
          <w:lang w:val="en-US"/>
        </w:rPr>
        <w:t xml:space="preserve">, noting that the Committee had </w:t>
      </w:r>
      <w:r w:rsidRPr="00813D19">
        <w:rPr>
          <w:lang w:val="en-US"/>
        </w:rPr>
        <w:t xml:space="preserve">completed </w:t>
      </w:r>
      <w:r w:rsidR="003D1989" w:rsidRPr="00813D19">
        <w:rPr>
          <w:lang w:val="en-US"/>
        </w:rPr>
        <w:t xml:space="preserve">its </w:t>
      </w:r>
      <w:r w:rsidRPr="00813D19">
        <w:rPr>
          <w:lang w:val="en-US"/>
        </w:rPr>
        <w:t>examination of nominations to the Urgent Safeguarding List and the Representative List, as well as the examination of proposals to the Register of G</w:t>
      </w:r>
      <w:r w:rsidR="003D1989" w:rsidRPr="00813D19">
        <w:rPr>
          <w:lang w:val="en-US"/>
        </w:rPr>
        <w:t xml:space="preserve">ood Safeguarding Practices. There remained </w:t>
      </w:r>
      <w:r w:rsidRPr="00813D19">
        <w:rPr>
          <w:lang w:val="en-US"/>
        </w:rPr>
        <w:t>the examination of item</w:t>
      </w:r>
      <w:r w:rsidRPr="00813D19">
        <w:rPr>
          <w:b/>
          <w:lang w:val="en-US"/>
        </w:rPr>
        <w:t> </w:t>
      </w:r>
      <w:r w:rsidRPr="00813D19">
        <w:rPr>
          <w:lang w:val="en-US"/>
        </w:rPr>
        <w:t xml:space="preserve">10.d, </w:t>
      </w:r>
      <w:r w:rsidR="003D1989" w:rsidRPr="00813D19">
        <w:rPr>
          <w:lang w:val="en-US"/>
        </w:rPr>
        <w:t>the request</w:t>
      </w:r>
      <w:r w:rsidRPr="00813D19">
        <w:rPr>
          <w:lang w:val="en-US"/>
        </w:rPr>
        <w:t xml:space="preserve"> for International Assistance, before </w:t>
      </w:r>
      <w:r w:rsidR="003D1989" w:rsidRPr="00813D19">
        <w:rPr>
          <w:lang w:val="en-US"/>
        </w:rPr>
        <w:t xml:space="preserve">the examination of </w:t>
      </w:r>
      <w:r w:rsidRPr="00813D19">
        <w:rPr>
          <w:lang w:val="en-US"/>
        </w:rPr>
        <w:t>draft decision 13.COM 10</w:t>
      </w:r>
      <w:r w:rsidRPr="00813D19">
        <w:rPr>
          <w:b/>
          <w:lang w:val="en-US"/>
        </w:rPr>
        <w:t xml:space="preserve"> </w:t>
      </w:r>
      <w:r w:rsidRPr="00813D19">
        <w:rPr>
          <w:lang w:val="en-US"/>
        </w:rPr>
        <w:t>concerning a number of cross-cutting issues common to the different mechanisms.</w:t>
      </w:r>
      <w:r w:rsidR="00EC215B" w:rsidRPr="00813D19">
        <w:rPr>
          <w:lang w:val="en-US"/>
        </w:rPr>
        <w:t xml:space="preserve"> </w:t>
      </w:r>
      <w:r w:rsidR="003D1989" w:rsidRPr="00813D19">
        <w:rPr>
          <w:lang w:val="en-US"/>
        </w:rPr>
        <w:t xml:space="preserve">There was one </w:t>
      </w:r>
      <w:r w:rsidRPr="00813D19">
        <w:rPr>
          <w:lang w:val="en-US"/>
        </w:rPr>
        <w:t>request submitted by Albania</w:t>
      </w:r>
      <w:r w:rsidR="003D1989" w:rsidRPr="00813D19">
        <w:rPr>
          <w:lang w:val="en-US"/>
        </w:rPr>
        <w:t xml:space="preserve"> under this sub-item</w:t>
      </w:r>
      <w:r w:rsidRPr="00813D19">
        <w:rPr>
          <w:lang w:val="en-US"/>
        </w:rPr>
        <w:t>.</w:t>
      </w:r>
      <w:r w:rsidR="00EC215B" w:rsidRPr="00813D19">
        <w:rPr>
          <w:lang w:val="en-US"/>
        </w:rPr>
        <w:t xml:space="preserve"> </w:t>
      </w:r>
      <w:r w:rsidR="00756289" w:rsidRPr="00813D19">
        <w:rPr>
          <w:lang w:val="en-US"/>
        </w:rPr>
        <w:t xml:space="preserve">The Chairperson </w:t>
      </w:r>
      <w:r w:rsidRPr="00813D19">
        <w:rPr>
          <w:lang w:val="en-US"/>
        </w:rPr>
        <w:t>recall</w:t>
      </w:r>
      <w:r w:rsidR="00756289" w:rsidRPr="00813D19">
        <w:rPr>
          <w:lang w:val="en-US"/>
        </w:rPr>
        <w:t>ed</w:t>
      </w:r>
      <w:r w:rsidRPr="00813D19">
        <w:rPr>
          <w:lang w:val="en-US"/>
        </w:rPr>
        <w:t xml:space="preserve"> that </w:t>
      </w:r>
      <w:r w:rsidR="00756289" w:rsidRPr="00813D19">
        <w:rPr>
          <w:lang w:val="en-US"/>
        </w:rPr>
        <w:t xml:space="preserve">the Committee had to </w:t>
      </w:r>
      <w:r w:rsidRPr="00813D19">
        <w:rPr>
          <w:lang w:val="en-US"/>
        </w:rPr>
        <w:t xml:space="preserve">evaluate </w:t>
      </w:r>
      <w:r w:rsidR="00756289" w:rsidRPr="00813D19">
        <w:rPr>
          <w:lang w:val="en-US"/>
        </w:rPr>
        <w:t xml:space="preserve">the </w:t>
      </w:r>
      <w:r w:rsidRPr="00813D19">
        <w:rPr>
          <w:lang w:val="en-US"/>
        </w:rPr>
        <w:t xml:space="preserve">extent </w:t>
      </w:r>
      <w:r w:rsidR="00756289" w:rsidRPr="00813D19">
        <w:rPr>
          <w:lang w:val="en-US"/>
        </w:rPr>
        <w:t xml:space="preserve">to which </w:t>
      </w:r>
      <w:r w:rsidRPr="00813D19">
        <w:rPr>
          <w:lang w:val="en-US"/>
        </w:rPr>
        <w:t>this</w:t>
      </w:r>
      <w:r w:rsidR="00756289" w:rsidRPr="00813D19">
        <w:rPr>
          <w:lang w:val="en-US"/>
        </w:rPr>
        <w:t xml:space="preserve"> request me</w:t>
      </w:r>
      <w:r w:rsidRPr="00813D19">
        <w:rPr>
          <w:lang w:val="en-US"/>
        </w:rPr>
        <w:t>t</w:t>
      </w:r>
      <w:r w:rsidR="00756289" w:rsidRPr="00813D19">
        <w:rPr>
          <w:lang w:val="en-US"/>
        </w:rPr>
        <w:t xml:space="preserve"> the criteria for International A</w:t>
      </w:r>
      <w:r w:rsidRPr="00813D19">
        <w:rPr>
          <w:lang w:val="en-US"/>
        </w:rPr>
        <w:t xml:space="preserve">ssistance as a whole. In other words, </w:t>
      </w:r>
      <w:r w:rsidR="00756289" w:rsidRPr="00813D19">
        <w:rPr>
          <w:lang w:val="en-US"/>
        </w:rPr>
        <w:t xml:space="preserve">not all the </w:t>
      </w:r>
      <w:r w:rsidRPr="00813D19">
        <w:rPr>
          <w:lang w:val="en-US"/>
        </w:rPr>
        <w:t>criteri</w:t>
      </w:r>
      <w:r w:rsidR="00CA7D86">
        <w:rPr>
          <w:lang w:val="en-US"/>
        </w:rPr>
        <w:t>a</w:t>
      </w:r>
      <w:r w:rsidRPr="00813D19">
        <w:rPr>
          <w:lang w:val="en-US"/>
        </w:rPr>
        <w:t xml:space="preserve"> </w:t>
      </w:r>
      <w:r w:rsidR="00756289" w:rsidRPr="00813D19">
        <w:rPr>
          <w:lang w:val="en-US"/>
        </w:rPr>
        <w:t>had to be met in order for International A</w:t>
      </w:r>
      <w:r w:rsidRPr="00813D19">
        <w:rPr>
          <w:lang w:val="en-US"/>
        </w:rPr>
        <w:t>ssistance to be granted. B</w:t>
      </w:r>
      <w:r w:rsidRPr="00813D19">
        <w:rPr>
          <w:rFonts w:eastAsia="Times"/>
          <w:lang w:val="en-US"/>
        </w:rPr>
        <w:t xml:space="preserve">efore starting the examination of the request, </w:t>
      </w:r>
      <w:r w:rsidR="00756289" w:rsidRPr="00813D19">
        <w:rPr>
          <w:rFonts w:eastAsia="Times"/>
          <w:lang w:val="en-US"/>
        </w:rPr>
        <w:t xml:space="preserve">the Chairperson recalled </w:t>
      </w:r>
      <w:r w:rsidRPr="00813D19">
        <w:rPr>
          <w:rFonts w:eastAsia="Times"/>
          <w:lang w:val="en-US"/>
        </w:rPr>
        <w:t xml:space="preserve">criteria </w:t>
      </w:r>
      <w:r w:rsidR="008F074D" w:rsidRPr="00813D19">
        <w:rPr>
          <w:rFonts w:eastAsia="Times"/>
          <w:lang w:val="en-US"/>
        </w:rPr>
        <w:t xml:space="preserve">A.1–A.7 </w:t>
      </w:r>
      <w:r w:rsidRPr="00813D19">
        <w:rPr>
          <w:rFonts w:eastAsia="Times"/>
          <w:lang w:val="en-US"/>
        </w:rPr>
        <w:t xml:space="preserve">that </w:t>
      </w:r>
      <w:r w:rsidR="00756289" w:rsidRPr="00813D19">
        <w:rPr>
          <w:rFonts w:eastAsia="Times"/>
          <w:lang w:val="en-US"/>
        </w:rPr>
        <w:t xml:space="preserve">would </w:t>
      </w:r>
      <w:r w:rsidR="008F074D" w:rsidRPr="00813D19">
        <w:rPr>
          <w:rFonts w:eastAsia="Times"/>
          <w:lang w:val="en-US"/>
        </w:rPr>
        <w:t xml:space="preserve">guide </w:t>
      </w:r>
      <w:r w:rsidR="00756289" w:rsidRPr="00813D19">
        <w:rPr>
          <w:rFonts w:eastAsia="Times"/>
          <w:lang w:val="en-US"/>
        </w:rPr>
        <w:t>the Committee’s decision</w:t>
      </w:r>
      <w:r w:rsidR="008F074D" w:rsidRPr="00813D19">
        <w:rPr>
          <w:rFonts w:eastAsia="Times"/>
          <w:lang w:val="en-US"/>
        </w:rPr>
        <w:t>, which were projected on the screen. In addition, paragraph 10 of the Operational Directives referred to two other considerations in 10(a) and 10(b)</w:t>
      </w:r>
      <w:r w:rsidR="00F53169" w:rsidRPr="00813D19">
        <w:rPr>
          <w:rStyle w:val="FootnoteReference"/>
          <w:rFonts w:eastAsia="Times"/>
          <w:lang w:val="en-US"/>
        </w:rPr>
        <w:footnoteReference w:id="35"/>
      </w:r>
      <w:r w:rsidR="008F074D" w:rsidRPr="00813D19">
        <w:rPr>
          <w:rFonts w:eastAsia="Times"/>
          <w:lang w:val="en-US"/>
        </w:rPr>
        <w:t xml:space="preserve">. The Chairperson then turned to the </w:t>
      </w:r>
      <w:r w:rsidR="00EC215B" w:rsidRPr="00813D19">
        <w:rPr>
          <w:rFonts w:eastAsia="Malgun Gothic"/>
          <w:lang w:val="en-US" w:eastAsia="ko-KR"/>
        </w:rPr>
        <w:t>request by Albania for a project entitled ‘Community based Inventory of ICH in Albania with a view to safeguarding and transmitting to future generations’.</w:t>
      </w:r>
    </w:p>
    <w:p w14:paraId="77E704AE" w14:textId="0ECA97B4" w:rsidR="00EC215B" w:rsidRPr="00813D19" w:rsidRDefault="00EC215B" w:rsidP="00EC215B">
      <w:pPr>
        <w:pStyle w:val="Orateurengris"/>
        <w:spacing w:before="120"/>
        <w:ind w:left="709" w:hanging="709"/>
        <w:rPr>
          <w:lang w:val="en-US"/>
        </w:rPr>
      </w:pPr>
      <w:r w:rsidRPr="00813D19">
        <w:rPr>
          <w:lang w:val="en-US"/>
        </w:rPr>
        <w:t xml:space="preserve">The </w:t>
      </w:r>
      <w:r w:rsidRPr="00813D19">
        <w:rPr>
          <w:b/>
          <w:lang w:val="en-US"/>
        </w:rPr>
        <w:t>Chairperson of the Evaluation Body</w:t>
      </w:r>
      <w:r w:rsidRPr="00813D19">
        <w:rPr>
          <w:lang w:val="en-US"/>
        </w:rPr>
        <w:t xml:space="preserve"> presented the nomination </w:t>
      </w:r>
      <w:r w:rsidRPr="00813D19">
        <w:rPr>
          <w:rFonts w:eastAsia="Malgun Gothic"/>
          <w:b/>
          <w:lang w:val="en-US" w:eastAsia="ko-KR"/>
        </w:rPr>
        <w:t>Community based Inventory of ICH in Albania with a view to safeguarding and transmitting to future generations</w:t>
      </w:r>
      <w:r w:rsidRPr="00813D19">
        <w:rPr>
          <w:rFonts w:eastAsia="Malgun Gothic"/>
          <w:lang w:val="en-US" w:eastAsia="ko-KR"/>
        </w:rPr>
        <w:t xml:space="preserve"> </w:t>
      </w:r>
      <w:r w:rsidRPr="00813D19">
        <w:rPr>
          <w:lang w:val="en-US"/>
        </w:rPr>
        <w:t>[draft decision 13.COM 10.d]</w:t>
      </w:r>
      <w:r w:rsidR="00CA7D86">
        <w:rPr>
          <w:lang w:val="en-US"/>
        </w:rPr>
        <w:t>,</w:t>
      </w:r>
      <w:r w:rsidRPr="00813D19">
        <w:rPr>
          <w:lang w:val="en-US"/>
        </w:rPr>
        <w:t xml:space="preserve"> submitted by </w:t>
      </w:r>
      <w:r w:rsidRPr="00813D19">
        <w:rPr>
          <w:b/>
          <w:lang w:val="en-US"/>
        </w:rPr>
        <w:t>Albania</w:t>
      </w:r>
      <w:r w:rsidRPr="00813D19">
        <w:rPr>
          <w:lang w:val="en-US"/>
        </w:rPr>
        <w:t>. Albania ha</w:t>
      </w:r>
      <w:r w:rsidR="005D144B" w:rsidRPr="00813D19">
        <w:rPr>
          <w:lang w:val="en-US"/>
        </w:rPr>
        <w:t>d</w:t>
      </w:r>
      <w:r w:rsidRPr="00813D19">
        <w:rPr>
          <w:lang w:val="en-US"/>
        </w:rPr>
        <w:t xml:space="preserve"> requested International Assistance of US$213,260 from the </w:t>
      </w:r>
      <w:r w:rsidR="005D144B" w:rsidRPr="00813D19">
        <w:rPr>
          <w:lang w:val="en-US"/>
        </w:rPr>
        <w:t xml:space="preserve">ICH </w:t>
      </w:r>
      <w:r w:rsidRPr="00813D19">
        <w:rPr>
          <w:lang w:val="en-US"/>
        </w:rPr>
        <w:t xml:space="preserve">Fund for the implementation of the project aimed at carrying out a community-based inventory of intangible cultural heritage, with a view </w:t>
      </w:r>
      <w:r w:rsidR="005D144B" w:rsidRPr="00813D19">
        <w:rPr>
          <w:lang w:val="en-US"/>
        </w:rPr>
        <w:t xml:space="preserve">to </w:t>
      </w:r>
      <w:r w:rsidRPr="00813D19">
        <w:rPr>
          <w:lang w:val="en-US"/>
        </w:rPr>
        <w:t>drawing up tailored action plans for safeguarding and transmission to future generation</w:t>
      </w:r>
      <w:r w:rsidR="005D144B" w:rsidRPr="00813D19">
        <w:rPr>
          <w:lang w:val="en-US"/>
        </w:rPr>
        <w:t>s</w:t>
      </w:r>
      <w:r w:rsidRPr="00813D19">
        <w:rPr>
          <w:lang w:val="en-US"/>
        </w:rPr>
        <w:t>. From the information included i</w:t>
      </w:r>
      <w:r w:rsidR="005D144B" w:rsidRPr="00813D19">
        <w:rPr>
          <w:lang w:val="en-US"/>
        </w:rPr>
        <w:t>n the file, the request responded</w:t>
      </w:r>
      <w:r w:rsidRPr="00813D19">
        <w:rPr>
          <w:lang w:val="en-US"/>
        </w:rPr>
        <w:t xml:space="preserve"> as follows to the criteria.</w:t>
      </w:r>
      <w:r w:rsidR="005D144B" w:rsidRPr="00813D19">
        <w:rPr>
          <w:lang w:val="en-US"/>
        </w:rPr>
        <w:t xml:space="preserve"> The project involved</w:t>
      </w:r>
      <w:r w:rsidRPr="00813D19">
        <w:rPr>
          <w:lang w:val="en-US"/>
        </w:rPr>
        <w:t xml:space="preserve"> a suitable set of activities </w:t>
      </w:r>
      <w:r w:rsidR="005D144B" w:rsidRPr="00813D19">
        <w:rPr>
          <w:lang w:val="en-US"/>
        </w:rPr>
        <w:t>to guarantee</w:t>
      </w:r>
      <w:r w:rsidRPr="00813D19">
        <w:rPr>
          <w:lang w:val="en-US"/>
        </w:rPr>
        <w:t xml:space="preserve"> its feasibility by training a large number of community members and experts in community-based inventorying</w:t>
      </w:r>
      <w:r w:rsidR="005D144B" w:rsidRPr="00813D19">
        <w:rPr>
          <w:lang w:val="en-US"/>
        </w:rPr>
        <w:t>,</w:t>
      </w:r>
      <w:r w:rsidRPr="00813D19">
        <w:rPr>
          <w:lang w:val="en-US"/>
        </w:rPr>
        <w:t xml:space="preserve"> </w:t>
      </w:r>
      <w:r w:rsidR="00756289" w:rsidRPr="00813D19">
        <w:rPr>
          <w:lang w:val="en-US"/>
        </w:rPr>
        <w:t>as well as</w:t>
      </w:r>
      <w:r w:rsidRPr="00813D19">
        <w:rPr>
          <w:lang w:val="en-US"/>
        </w:rPr>
        <w:t xml:space="preserve"> </w:t>
      </w:r>
      <w:r w:rsidR="005D144B" w:rsidRPr="00813D19">
        <w:rPr>
          <w:lang w:val="en-US"/>
        </w:rPr>
        <w:t xml:space="preserve">the </w:t>
      </w:r>
      <w:r w:rsidRPr="00813D19">
        <w:rPr>
          <w:lang w:val="en-US"/>
        </w:rPr>
        <w:t xml:space="preserve">wide dissemination of the principles and working methods of the Convention. The active involvement of the state administration, research institutes and regional NGOs </w:t>
      </w:r>
      <w:r w:rsidR="00CA7D86">
        <w:rPr>
          <w:lang w:val="en-US"/>
        </w:rPr>
        <w:t>could</w:t>
      </w:r>
      <w:r w:rsidR="00CA7D86" w:rsidRPr="00813D19">
        <w:rPr>
          <w:lang w:val="en-US"/>
        </w:rPr>
        <w:t xml:space="preserve"> </w:t>
      </w:r>
      <w:r w:rsidRPr="00813D19">
        <w:rPr>
          <w:lang w:val="en-US"/>
        </w:rPr>
        <w:t xml:space="preserve">guarantee further development of the inventory </w:t>
      </w:r>
      <w:r w:rsidR="005D144B" w:rsidRPr="00813D19">
        <w:rPr>
          <w:lang w:val="en-US"/>
        </w:rPr>
        <w:t>when the project concludes</w:t>
      </w:r>
      <w:r w:rsidRPr="00813D19">
        <w:rPr>
          <w:lang w:val="en-US"/>
        </w:rPr>
        <w:t xml:space="preserve">. The </w:t>
      </w:r>
      <w:r w:rsidR="005D144B" w:rsidRPr="00813D19">
        <w:rPr>
          <w:lang w:val="en-US"/>
        </w:rPr>
        <w:t>State Party had</w:t>
      </w:r>
      <w:r w:rsidRPr="00813D19">
        <w:rPr>
          <w:lang w:val="en-US"/>
        </w:rPr>
        <w:t xml:space="preserve"> implemented previously financed activities. As </w:t>
      </w:r>
      <w:r w:rsidR="005D144B" w:rsidRPr="00813D19">
        <w:rPr>
          <w:lang w:val="en-US"/>
        </w:rPr>
        <w:t xml:space="preserve">a </w:t>
      </w:r>
      <w:r w:rsidRPr="00813D19">
        <w:rPr>
          <w:lang w:val="en-US"/>
        </w:rPr>
        <w:t>national</w:t>
      </w:r>
      <w:r w:rsidR="005D144B" w:rsidRPr="00813D19">
        <w:rPr>
          <w:lang w:val="en-US"/>
        </w:rPr>
        <w:t xml:space="preserve"> project</w:t>
      </w:r>
      <w:r w:rsidRPr="00813D19">
        <w:rPr>
          <w:lang w:val="en-US"/>
        </w:rPr>
        <w:t xml:space="preserve">, the State Party </w:t>
      </w:r>
      <w:r w:rsidR="00CA7D86">
        <w:rPr>
          <w:lang w:val="en-US"/>
        </w:rPr>
        <w:t>would</w:t>
      </w:r>
      <w:r w:rsidR="00CA7D86" w:rsidRPr="00813D19">
        <w:rPr>
          <w:lang w:val="en-US"/>
        </w:rPr>
        <w:t xml:space="preserve"> </w:t>
      </w:r>
      <w:r w:rsidRPr="00813D19">
        <w:rPr>
          <w:lang w:val="en-US"/>
        </w:rPr>
        <w:t xml:space="preserve">invite experts with the necessary know-how to ensure the appropriate quality of the project outcomes. However, the Evaluation Body considered that it </w:t>
      </w:r>
      <w:r w:rsidR="005D144B" w:rsidRPr="00813D19">
        <w:rPr>
          <w:lang w:val="en-US"/>
        </w:rPr>
        <w:t>was un</w:t>
      </w:r>
      <w:r w:rsidRPr="00813D19">
        <w:rPr>
          <w:lang w:val="en-US"/>
        </w:rPr>
        <w:t xml:space="preserve">clear how the communities </w:t>
      </w:r>
      <w:r w:rsidR="00CA7D86">
        <w:rPr>
          <w:lang w:val="en-US"/>
        </w:rPr>
        <w:t xml:space="preserve">had been </w:t>
      </w:r>
      <w:r w:rsidRPr="00813D19">
        <w:rPr>
          <w:lang w:val="en-US"/>
        </w:rPr>
        <w:t>involved in the preparation of the request</w:t>
      </w:r>
      <w:r w:rsidR="005D144B" w:rsidRPr="00813D19">
        <w:rPr>
          <w:lang w:val="en-US"/>
        </w:rPr>
        <w:t>,</w:t>
      </w:r>
      <w:r w:rsidRPr="00813D19">
        <w:rPr>
          <w:lang w:val="en-US"/>
        </w:rPr>
        <w:t xml:space="preserve"> </w:t>
      </w:r>
      <w:r w:rsidR="00756289" w:rsidRPr="00813D19">
        <w:rPr>
          <w:lang w:val="en-US"/>
        </w:rPr>
        <w:t xml:space="preserve">and </w:t>
      </w:r>
      <w:r w:rsidRPr="00813D19">
        <w:rPr>
          <w:lang w:val="en-US"/>
        </w:rPr>
        <w:t xml:space="preserve">the implementation and evaluation of the proposed project. Although the budget breakdown and timetable </w:t>
      </w:r>
      <w:r w:rsidR="005D144B" w:rsidRPr="00813D19">
        <w:rPr>
          <w:lang w:val="en-US"/>
        </w:rPr>
        <w:t xml:space="preserve">were </w:t>
      </w:r>
      <w:r w:rsidRPr="00813D19">
        <w:rPr>
          <w:lang w:val="en-US"/>
        </w:rPr>
        <w:t xml:space="preserve">well-structured, the lack of coherency between the request, the budget and the timetable </w:t>
      </w:r>
      <w:r w:rsidR="005D144B" w:rsidRPr="00813D19">
        <w:rPr>
          <w:lang w:val="en-US"/>
        </w:rPr>
        <w:t xml:space="preserve">did </w:t>
      </w:r>
      <w:r w:rsidRPr="00813D19">
        <w:rPr>
          <w:lang w:val="en-US"/>
        </w:rPr>
        <w:t xml:space="preserve">not allow </w:t>
      </w:r>
      <w:r w:rsidR="00CA7D86">
        <w:rPr>
          <w:lang w:val="en-US"/>
        </w:rPr>
        <w:t>for an</w:t>
      </w:r>
      <w:r w:rsidR="00CA7D86" w:rsidRPr="00813D19">
        <w:rPr>
          <w:lang w:val="en-US"/>
        </w:rPr>
        <w:t xml:space="preserve"> </w:t>
      </w:r>
      <w:r w:rsidRPr="00813D19">
        <w:rPr>
          <w:lang w:val="en-US"/>
        </w:rPr>
        <w:t xml:space="preserve">assessment of the appropriateness of the requested amount. The digitalization of data </w:t>
      </w:r>
      <w:r w:rsidR="005D144B" w:rsidRPr="00813D19">
        <w:rPr>
          <w:lang w:val="en-US"/>
        </w:rPr>
        <w:t xml:space="preserve">was </w:t>
      </w:r>
      <w:r w:rsidRPr="00813D19">
        <w:rPr>
          <w:lang w:val="en-US"/>
        </w:rPr>
        <w:t xml:space="preserve">budgeted for twelve months but </w:t>
      </w:r>
      <w:r w:rsidR="005D144B" w:rsidRPr="00813D19">
        <w:rPr>
          <w:lang w:val="en-US"/>
        </w:rPr>
        <w:t xml:space="preserve">was </w:t>
      </w:r>
      <w:r w:rsidRPr="00813D19">
        <w:rPr>
          <w:lang w:val="en-US"/>
        </w:rPr>
        <w:t>scheduled to last fifteen months according to the timetable. The S</w:t>
      </w:r>
      <w:r w:rsidR="005D144B" w:rsidRPr="00813D19">
        <w:rPr>
          <w:lang w:val="en-US"/>
        </w:rPr>
        <w:t>tate Party’s contribution covered</w:t>
      </w:r>
      <w:r w:rsidRPr="00813D19">
        <w:rPr>
          <w:lang w:val="en-US"/>
        </w:rPr>
        <w:t xml:space="preserve"> less than </w:t>
      </w:r>
      <w:r w:rsidR="005D144B" w:rsidRPr="00813D19">
        <w:rPr>
          <w:lang w:val="en-US"/>
        </w:rPr>
        <w:t>1 per cent</w:t>
      </w:r>
      <w:r w:rsidRPr="00813D19">
        <w:rPr>
          <w:lang w:val="en-US"/>
        </w:rPr>
        <w:t xml:space="preserve"> of the total cost of the project</w:t>
      </w:r>
      <w:r w:rsidR="005D144B" w:rsidRPr="00813D19">
        <w:rPr>
          <w:lang w:val="en-US"/>
        </w:rPr>
        <w:t>, which raised</w:t>
      </w:r>
      <w:r w:rsidRPr="00813D19">
        <w:rPr>
          <w:lang w:val="en-US"/>
        </w:rPr>
        <w:t xml:space="preserve"> concerns about the sustainability of the project </w:t>
      </w:r>
      <w:r w:rsidR="005D144B" w:rsidRPr="00813D19">
        <w:rPr>
          <w:lang w:val="en-US"/>
        </w:rPr>
        <w:t xml:space="preserve">at the close of </w:t>
      </w:r>
      <w:r w:rsidR="00756289" w:rsidRPr="00813D19">
        <w:rPr>
          <w:lang w:val="en-US"/>
        </w:rPr>
        <w:t>the project</w:t>
      </w:r>
      <w:r w:rsidRPr="00813D19">
        <w:rPr>
          <w:lang w:val="en-US"/>
        </w:rPr>
        <w:t xml:space="preserve">. The file also </w:t>
      </w:r>
      <w:r w:rsidR="005D144B" w:rsidRPr="00813D19">
        <w:rPr>
          <w:lang w:val="en-US"/>
        </w:rPr>
        <w:t xml:space="preserve">did </w:t>
      </w:r>
      <w:r w:rsidRPr="00813D19">
        <w:rPr>
          <w:lang w:val="en-US"/>
        </w:rPr>
        <w:t xml:space="preserve">not explain how the project </w:t>
      </w:r>
      <w:r w:rsidR="00CA7D86">
        <w:rPr>
          <w:lang w:val="en-US"/>
        </w:rPr>
        <w:t>would</w:t>
      </w:r>
      <w:r w:rsidR="00CA7D86" w:rsidRPr="00813D19">
        <w:rPr>
          <w:lang w:val="en-US"/>
        </w:rPr>
        <w:t xml:space="preserve"> </w:t>
      </w:r>
      <w:r w:rsidRPr="00813D19">
        <w:rPr>
          <w:lang w:val="en-US"/>
        </w:rPr>
        <w:t>stimulate financial and technical c</w:t>
      </w:r>
      <w:r w:rsidR="00756289" w:rsidRPr="00813D19">
        <w:rPr>
          <w:lang w:val="en-US"/>
        </w:rPr>
        <w:t>ontributions from other sources</w:t>
      </w:r>
      <w:r w:rsidRPr="00813D19">
        <w:rPr>
          <w:lang w:val="en-US"/>
        </w:rPr>
        <w:t xml:space="preserve"> or similar efforts elsewhere. In addition, the Evaluation Body invite</w:t>
      </w:r>
      <w:r w:rsidR="005D144B" w:rsidRPr="00813D19">
        <w:rPr>
          <w:lang w:val="en-US"/>
        </w:rPr>
        <w:t>d</w:t>
      </w:r>
      <w:r w:rsidRPr="00813D19">
        <w:rPr>
          <w:lang w:val="en-US"/>
        </w:rPr>
        <w:t xml:space="preserve"> the State Party, should it wish to resubmit </w:t>
      </w:r>
      <w:r w:rsidR="005D144B" w:rsidRPr="00813D19">
        <w:rPr>
          <w:lang w:val="en-US"/>
        </w:rPr>
        <w:t xml:space="preserve">its </w:t>
      </w:r>
      <w:r w:rsidRPr="00813D19">
        <w:rPr>
          <w:lang w:val="en-US"/>
        </w:rPr>
        <w:t xml:space="preserve">request </w:t>
      </w:r>
      <w:r w:rsidR="005D144B" w:rsidRPr="00813D19">
        <w:rPr>
          <w:lang w:val="en-US"/>
        </w:rPr>
        <w:t xml:space="preserve">in another </w:t>
      </w:r>
      <w:r w:rsidRPr="00813D19">
        <w:rPr>
          <w:lang w:val="en-US"/>
        </w:rPr>
        <w:t>cycle, to provide a clear and detailed explanation of its commitment</w:t>
      </w:r>
      <w:r w:rsidR="00CA7D86">
        <w:rPr>
          <w:lang w:val="en-US"/>
        </w:rPr>
        <w:t>,</w:t>
      </w:r>
      <w:r w:rsidRPr="00813D19">
        <w:rPr>
          <w:lang w:val="en-US"/>
        </w:rPr>
        <w:t xml:space="preserve"> both financial and in-kind</w:t>
      </w:r>
      <w:r w:rsidR="00CA7D86">
        <w:rPr>
          <w:lang w:val="en-US"/>
        </w:rPr>
        <w:t>,</w:t>
      </w:r>
      <w:r w:rsidRPr="00813D19">
        <w:rPr>
          <w:lang w:val="en-US"/>
        </w:rPr>
        <w:t xml:space="preserve"> to demonstrate </w:t>
      </w:r>
      <w:r w:rsidR="00756289" w:rsidRPr="00813D19">
        <w:rPr>
          <w:lang w:val="en-US"/>
        </w:rPr>
        <w:t>the</w:t>
      </w:r>
      <w:r w:rsidRPr="00813D19">
        <w:rPr>
          <w:lang w:val="en-US"/>
        </w:rPr>
        <w:t xml:space="preserve"> </w:t>
      </w:r>
      <w:r w:rsidR="00756289" w:rsidRPr="00813D19">
        <w:rPr>
          <w:lang w:val="en-US"/>
        </w:rPr>
        <w:t>sustainability</w:t>
      </w:r>
      <w:r w:rsidR="005D144B" w:rsidRPr="00813D19">
        <w:rPr>
          <w:lang w:val="en-US"/>
        </w:rPr>
        <w:t xml:space="preserve"> of </w:t>
      </w:r>
      <w:r w:rsidRPr="00813D19">
        <w:rPr>
          <w:lang w:val="en-US"/>
        </w:rPr>
        <w:t xml:space="preserve">the project </w:t>
      </w:r>
      <w:r w:rsidR="005D144B" w:rsidRPr="00813D19">
        <w:rPr>
          <w:lang w:val="en-US"/>
        </w:rPr>
        <w:t xml:space="preserve">once </w:t>
      </w:r>
      <w:r w:rsidRPr="00813D19">
        <w:rPr>
          <w:lang w:val="en-US"/>
        </w:rPr>
        <w:t xml:space="preserve">the International Assistance </w:t>
      </w:r>
      <w:r w:rsidR="005D144B" w:rsidRPr="00813D19">
        <w:rPr>
          <w:lang w:val="en-US"/>
        </w:rPr>
        <w:t>ends</w:t>
      </w:r>
      <w:r w:rsidRPr="00813D19">
        <w:rPr>
          <w:lang w:val="en-US"/>
        </w:rPr>
        <w:t>. The Evaluation Body recommended that the Committee refer the International Assistance reque</w:t>
      </w:r>
      <w:r w:rsidR="005D144B" w:rsidRPr="00813D19">
        <w:rPr>
          <w:lang w:val="en-US"/>
        </w:rPr>
        <w:t>st to the State for the project, inviting</w:t>
      </w:r>
      <w:r w:rsidRPr="00813D19">
        <w:rPr>
          <w:lang w:val="en-US"/>
        </w:rPr>
        <w:t xml:space="preserve"> it to submit a revised request to the Committee for examination at a </w:t>
      </w:r>
      <w:r w:rsidR="005D144B" w:rsidRPr="00813D19">
        <w:rPr>
          <w:lang w:val="en-US"/>
        </w:rPr>
        <w:t xml:space="preserve">later </w:t>
      </w:r>
      <w:r w:rsidR="00634D0B">
        <w:rPr>
          <w:lang w:val="en-US"/>
        </w:rPr>
        <w:t>session.</w:t>
      </w:r>
    </w:p>
    <w:p w14:paraId="75D48AD7" w14:textId="3DF81512" w:rsidR="00EC215B" w:rsidRPr="00813D19" w:rsidRDefault="00D76437" w:rsidP="00EC215B">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noted an amendment </w:t>
      </w:r>
      <w:r w:rsidR="007A175E" w:rsidRPr="00813D19">
        <w:rPr>
          <w:lang w:val="en-US"/>
        </w:rPr>
        <w:t>from Leban</w:t>
      </w:r>
      <w:r w:rsidRPr="00813D19">
        <w:rPr>
          <w:lang w:val="en-US"/>
        </w:rPr>
        <w:t>on.</w:t>
      </w:r>
    </w:p>
    <w:p w14:paraId="33716BB0" w14:textId="4E973C35" w:rsidR="00973754" w:rsidRPr="00813D19" w:rsidRDefault="00D76437" w:rsidP="00EC215B">
      <w:pPr>
        <w:pStyle w:val="Orateurengris"/>
        <w:spacing w:before="120"/>
        <w:ind w:left="709" w:hanging="709"/>
        <w:rPr>
          <w:lang w:val="en-US"/>
        </w:rPr>
      </w:pPr>
      <w:r w:rsidRPr="00813D19">
        <w:rPr>
          <w:lang w:val="en-US"/>
        </w:rPr>
        <w:t xml:space="preserve">The </w:t>
      </w:r>
      <w:r w:rsidRPr="00813D19">
        <w:rPr>
          <w:b/>
          <w:lang w:val="en-US"/>
        </w:rPr>
        <w:t>delegation of Lebanon</w:t>
      </w:r>
      <w:r w:rsidR="004A360B" w:rsidRPr="00813D19">
        <w:rPr>
          <w:b/>
          <w:lang w:val="en-US"/>
        </w:rPr>
        <w:t xml:space="preserve"> </w:t>
      </w:r>
      <w:r w:rsidR="00973754" w:rsidRPr="00813D19">
        <w:rPr>
          <w:lang w:val="en-US"/>
        </w:rPr>
        <w:t>remarked that</w:t>
      </w:r>
      <w:r w:rsidR="00973754" w:rsidRPr="00973424">
        <w:rPr>
          <w:bCs/>
          <w:lang w:val="en-US"/>
        </w:rPr>
        <w:t xml:space="preserve"> </w:t>
      </w:r>
      <w:r w:rsidR="00973754" w:rsidRPr="00813D19">
        <w:rPr>
          <w:lang w:val="en-US"/>
        </w:rPr>
        <w:t xml:space="preserve">Albania’s request for International Assistance showed that despite the country’s efforts to safeguard living heritage, the national inventory with the participation of communities had not yet been realized, hence the importance of the proposed pilot project for three districts in the country. Now at the end of the examination of nomination files in this cycle, the delegation noted that several files had not been adopted due to technical flaws. This file was one more example, which led to the conclusion that a major capacity-building effort had yet to be </w:t>
      </w:r>
      <w:r w:rsidR="0025324F" w:rsidRPr="00813D19">
        <w:rPr>
          <w:lang w:val="en-US"/>
        </w:rPr>
        <w:t>done. T</w:t>
      </w:r>
      <w:r w:rsidR="00973754" w:rsidRPr="00813D19">
        <w:rPr>
          <w:lang w:val="en-US"/>
        </w:rPr>
        <w:t>o this end</w:t>
      </w:r>
      <w:r w:rsidR="0025324F" w:rsidRPr="00813D19">
        <w:rPr>
          <w:lang w:val="en-US"/>
        </w:rPr>
        <w:t xml:space="preserve">, it </w:t>
      </w:r>
      <w:r w:rsidR="00110193" w:rsidRPr="00813D19">
        <w:rPr>
          <w:lang w:val="en-US"/>
        </w:rPr>
        <w:t>would present</w:t>
      </w:r>
      <w:r w:rsidR="00973754" w:rsidRPr="00813D19">
        <w:rPr>
          <w:lang w:val="en-US"/>
        </w:rPr>
        <w:t xml:space="preserve"> amendments, but </w:t>
      </w:r>
      <w:r w:rsidR="00110193" w:rsidRPr="00813D19">
        <w:rPr>
          <w:lang w:val="en-US"/>
        </w:rPr>
        <w:t xml:space="preserve">it </w:t>
      </w:r>
      <w:r w:rsidR="0025324F" w:rsidRPr="00813D19">
        <w:rPr>
          <w:lang w:val="en-US"/>
        </w:rPr>
        <w:t>first wished to hear from Albania</w:t>
      </w:r>
      <w:r w:rsidR="00973754" w:rsidRPr="00813D19">
        <w:rPr>
          <w:lang w:val="en-US"/>
        </w:rPr>
        <w:t xml:space="preserve"> </w:t>
      </w:r>
      <w:r w:rsidR="0025324F" w:rsidRPr="00813D19">
        <w:rPr>
          <w:lang w:val="en-US"/>
        </w:rPr>
        <w:t xml:space="preserve">on </w:t>
      </w:r>
      <w:r w:rsidR="00973754" w:rsidRPr="00813D19">
        <w:rPr>
          <w:lang w:val="en-US"/>
        </w:rPr>
        <w:t>the commen</w:t>
      </w:r>
      <w:r w:rsidR="0025324F" w:rsidRPr="00813D19">
        <w:rPr>
          <w:lang w:val="en-US"/>
        </w:rPr>
        <w:t>ts made by the Evaluation Body.</w:t>
      </w:r>
    </w:p>
    <w:p w14:paraId="570E2ED9" w14:textId="3DB220D8" w:rsidR="0025324F" w:rsidRPr="00813D19" w:rsidRDefault="0025324F" w:rsidP="00EC215B">
      <w:pPr>
        <w:pStyle w:val="Orateurengris"/>
        <w:spacing w:before="120"/>
        <w:ind w:left="709" w:hanging="709"/>
        <w:rPr>
          <w:lang w:val="en-US"/>
        </w:rPr>
      </w:pPr>
      <w:r w:rsidRPr="00813D19">
        <w:rPr>
          <w:lang w:val="en-US"/>
        </w:rPr>
        <w:t xml:space="preserve">With no forthcoming comments, the </w:t>
      </w:r>
      <w:r w:rsidRPr="00813D19">
        <w:rPr>
          <w:b/>
          <w:lang w:val="en-US"/>
        </w:rPr>
        <w:t>Chairperson</w:t>
      </w:r>
      <w:r w:rsidRPr="00813D19">
        <w:rPr>
          <w:lang w:val="en-US"/>
        </w:rPr>
        <w:t xml:space="preserve"> invited Albania to respond.</w:t>
      </w:r>
    </w:p>
    <w:p w14:paraId="74A2303B" w14:textId="57725308" w:rsidR="0025324F" w:rsidRPr="00813D19" w:rsidRDefault="003450CA" w:rsidP="00EC215B">
      <w:pPr>
        <w:pStyle w:val="Orateurengris"/>
        <w:spacing w:before="120"/>
        <w:ind w:left="709" w:hanging="709"/>
        <w:rPr>
          <w:lang w:val="en-US"/>
        </w:rPr>
      </w:pPr>
      <w:r w:rsidRPr="00813D19">
        <w:rPr>
          <w:lang w:val="en-US"/>
        </w:rPr>
        <w:t xml:space="preserve">The </w:t>
      </w:r>
      <w:r w:rsidRPr="00813D19">
        <w:rPr>
          <w:b/>
          <w:lang w:val="en-US"/>
        </w:rPr>
        <w:t>delegation of</w:t>
      </w:r>
      <w:r w:rsidRPr="00813D19">
        <w:rPr>
          <w:lang w:val="en-US"/>
        </w:rPr>
        <w:t xml:space="preserve"> </w:t>
      </w:r>
      <w:r w:rsidRPr="00813D19">
        <w:rPr>
          <w:b/>
          <w:lang w:val="en-US"/>
        </w:rPr>
        <w:t xml:space="preserve">Albania </w:t>
      </w:r>
      <w:r w:rsidR="00F67724" w:rsidRPr="00813D19">
        <w:rPr>
          <w:lang w:val="en-US"/>
        </w:rPr>
        <w:t>thank</w:t>
      </w:r>
      <w:r w:rsidR="0025324F" w:rsidRPr="00813D19">
        <w:rPr>
          <w:lang w:val="en-US"/>
        </w:rPr>
        <w:t>ed</w:t>
      </w:r>
      <w:r w:rsidR="00F67724" w:rsidRPr="00813D19">
        <w:rPr>
          <w:lang w:val="en-US"/>
        </w:rPr>
        <w:t xml:space="preserve"> the Eva</w:t>
      </w:r>
      <w:r w:rsidR="0025324F" w:rsidRPr="00813D19">
        <w:rPr>
          <w:lang w:val="en-US"/>
        </w:rPr>
        <w:t>luation Body for its evaluation and for duly recognizing</w:t>
      </w:r>
      <w:r w:rsidR="00F67724" w:rsidRPr="00813D19">
        <w:rPr>
          <w:lang w:val="en-US"/>
        </w:rPr>
        <w:t xml:space="preserve"> the considerable efforts already undertaken to safeguard living heritage in Albania and </w:t>
      </w:r>
      <w:r w:rsidR="0025324F" w:rsidRPr="00813D19">
        <w:rPr>
          <w:lang w:val="en-US"/>
        </w:rPr>
        <w:t xml:space="preserve">its </w:t>
      </w:r>
      <w:r w:rsidR="00F67724" w:rsidRPr="00813D19">
        <w:rPr>
          <w:lang w:val="en-US"/>
        </w:rPr>
        <w:t>transmission to future</w:t>
      </w:r>
      <w:r w:rsidR="0025324F" w:rsidRPr="00813D19">
        <w:rPr>
          <w:lang w:val="en-US"/>
        </w:rPr>
        <w:t xml:space="preserve"> generations. It also highlighted</w:t>
      </w:r>
      <w:r w:rsidR="00F67724" w:rsidRPr="00813D19">
        <w:rPr>
          <w:lang w:val="en-US"/>
        </w:rPr>
        <w:t xml:space="preserve"> the crucial importance of the project in order to build capacit</w:t>
      </w:r>
      <w:r w:rsidR="00CA7D86">
        <w:rPr>
          <w:lang w:val="en-US"/>
        </w:rPr>
        <w:t>ies,</w:t>
      </w:r>
      <w:r w:rsidR="00F67724" w:rsidRPr="00813D19">
        <w:rPr>
          <w:lang w:val="en-US"/>
        </w:rPr>
        <w:t xml:space="preserve"> and </w:t>
      </w:r>
      <w:r w:rsidR="0025324F" w:rsidRPr="00813D19">
        <w:rPr>
          <w:lang w:val="en-US"/>
        </w:rPr>
        <w:t xml:space="preserve">to establish a </w:t>
      </w:r>
      <w:r w:rsidR="00F67724" w:rsidRPr="00813D19">
        <w:rPr>
          <w:lang w:val="en-US"/>
        </w:rPr>
        <w:t>comprehensive inventory with a very clear impact on the community. In the three districts chosen</w:t>
      </w:r>
      <w:r w:rsidR="0025324F" w:rsidRPr="00813D19">
        <w:rPr>
          <w:lang w:val="en-US"/>
        </w:rPr>
        <w:t>,</w:t>
      </w:r>
      <w:r w:rsidR="00F67724" w:rsidRPr="00813D19">
        <w:rPr>
          <w:lang w:val="en-US"/>
        </w:rPr>
        <w:t xml:space="preserve"> out of </w:t>
      </w:r>
      <w:r w:rsidR="00CA7D86">
        <w:rPr>
          <w:lang w:val="en-US"/>
        </w:rPr>
        <w:t>twelve</w:t>
      </w:r>
      <w:r w:rsidR="00CA7D86" w:rsidRPr="00813D19">
        <w:rPr>
          <w:lang w:val="en-US"/>
        </w:rPr>
        <w:t xml:space="preserve"> </w:t>
      </w:r>
      <w:r w:rsidR="00F67724" w:rsidRPr="00813D19">
        <w:rPr>
          <w:lang w:val="en-US"/>
        </w:rPr>
        <w:t>in the country</w:t>
      </w:r>
      <w:r w:rsidR="0025324F" w:rsidRPr="00813D19">
        <w:rPr>
          <w:lang w:val="en-US"/>
        </w:rPr>
        <w:t>,</w:t>
      </w:r>
      <w:r w:rsidR="00F67724" w:rsidRPr="00813D19">
        <w:rPr>
          <w:lang w:val="en-US"/>
        </w:rPr>
        <w:t xml:space="preserve"> five grou</w:t>
      </w:r>
      <w:r w:rsidR="0025324F" w:rsidRPr="00813D19">
        <w:rPr>
          <w:lang w:val="en-US"/>
        </w:rPr>
        <w:t>ps of national minorities were living, which confirmed</w:t>
      </w:r>
      <w:r w:rsidR="00F67724" w:rsidRPr="00813D19">
        <w:rPr>
          <w:lang w:val="en-US"/>
        </w:rPr>
        <w:t xml:space="preserve"> a clear value added in fostering cooperation within and among communities with an understandable broader impact at the regional level as well. One of the main deliverables of the project </w:t>
      </w:r>
      <w:r w:rsidR="00CA7D86">
        <w:rPr>
          <w:lang w:val="en-US"/>
        </w:rPr>
        <w:t>would</w:t>
      </w:r>
      <w:r w:rsidR="00CA7D86" w:rsidRPr="00813D19">
        <w:rPr>
          <w:lang w:val="en-US"/>
        </w:rPr>
        <w:t xml:space="preserve"> </w:t>
      </w:r>
      <w:r w:rsidR="00F67724" w:rsidRPr="00813D19">
        <w:rPr>
          <w:lang w:val="en-US"/>
        </w:rPr>
        <w:t xml:space="preserve">be to create the mechanism to involve the communities in the safeguarding process by </w:t>
      </w:r>
      <w:r w:rsidR="00110193" w:rsidRPr="00813D19">
        <w:rPr>
          <w:lang w:val="en-US"/>
        </w:rPr>
        <w:t>creating</w:t>
      </w:r>
      <w:r w:rsidR="0025324F" w:rsidRPr="00813D19">
        <w:rPr>
          <w:lang w:val="en-US"/>
        </w:rPr>
        <w:t xml:space="preserve"> </w:t>
      </w:r>
      <w:r w:rsidR="00F67724" w:rsidRPr="00813D19">
        <w:rPr>
          <w:lang w:val="en-US"/>
        </w:rPr>
        <w:t xml:space="preserve">a pattern </w:t>
      </w:r>
      <w:r w:rsidR="0025324F" w:rsidRPr="00813D19">
        <w:rPr>
          <w:lang w:val="en-US"/>
        </w:rPr>
        <w:t xml:space="preserve">for </w:t>
      </w:r>
      <w:r w:rsidR="00F67724" w:rsidRPr="00813D19">
        <w:rPr>
          <w:lang w:val="en-US"/>
        </w:rPr>
        <w:t>the inventory, which could later be replicated to the other eight region</w:t>
      </w:r>
      <w:r w:rsidR="0025324F" w:rsidRPr="00813D19">
        <w:rPr>
          <w:lang w:val="en-US"/>
        </w:rPr>
        <w:t>s in the country. The a</w:t>
      </w:r>
      <w:r w:rsidR="00F67724" w:rsidRPr="00813D19">
        <w:rPr>
          <w:lang w:val="en-US"/>
        </w:rPr>
        <w:t>ssistance, if provided, would strong</w:t>
      </w:r>
      <w:r w:rsidR="0025324F" w:rsidRPr="00813D19">
        <w:rPr>
          <w:lang w:val="en-US"/>
        </w:rPr>
        <w:t>ly</w:t>
      </w:r>
      <w:r w:rsidR="00F67724" w:rsidRPr="00813D19">
        <w:rPr>
          <w:lang w:val="en-US"/>
        </w:rPr>
        <w:t xml:space="preserve"> support efforts already underway in order to speed up the process, </w:t>
      </w:r>
      <w:r w:rsidR="0025324F" w:rsidRPr="00813D19">
        <w:rPr>
          <w:lang w:val="en-US"/>
        </w:rPr>
        <w:t xml:space="preserve">and </w:t>
      </w:r>
      <w:r w:rsidR="00F67724" w:rsidRPr="00813D19">
        <w:rPr>
          <w:lang w:val="en-US"/>
        </w:rPr>
        <w:t>train and empower communities</w:t>
      </w:r>
      <w:r w:rsidR="0025324F" w:rsidRPr="00813D19">
        <w:rPr>
          <w:lang w:val="en-US"/>
        </w:rPr>
        <w:t>,</w:t>
      </w:r>
      <w:r w:rsidR="00F67724" w:rsidRPr="00813D19">
        <w:rPr>
          <w:lang w:val="en-US"/>
        </w:rPr>
        <w:t xml:space="preserve"> which </w:t>
      </w:r>
      <w:r w:rsidR="00110193" w:rsidRPr="00813D19">
        <w:rPr>
          <w:lang w:val="en-US"/>
        </w:rPr>
        <w:t>was</w:t>
      </w:r>
      <w:r w:rsidR="00CA7D86">
        <w:rPr>
          <w:lang w:val="en-US"/>
        </w:rPr>
        <w:t xml:space="preserve"> the</w:t>
      </w:r>
      <w:r w:rsidR="00110193" w:rsidRPr="00813D19">
        <w:rPr>
          <w:lang w:val="en-US"/>
        </w:rPr>
        <w:t xml:space="preserve"> </w:t>
      </w:r>
      <w:r w:rsidR="00F67724" w:rsidRPr="00813D19">
        <w:rPr>
          <w:lang w:val="en-US"/>
        </w:rPr>
        <w:t xml:space="preserve">focus of the project with a clear bottom-up approach contrary to what </w:t>
      </w:r>
      <w:r w:rsidR="00CA7D86" w:rsidRPr="00813D19">
        <w:rPr>
          <w:lang w:val="en-US"/>
        </w:rPr>
        <w:t>ha</w:t>
      </w:r>
      <w:r w:rsidR="00CA7D86">
        <w:rPr>
          <w:lang w:val="en-US"/>
        </w:rPr>
        <w:t>d</w:t>
      </w:r>
      <w:r w:rsidR="00CA7D86" w:rsidRPr="00813D19">
        <w:rPr>
          <w:lang w:val="en-US"/>
        </w:rPr>
        <w:t xml:space="preserve"> </w:t>
      </w:r>
      <w:r w:rsidR="0025324F" w:rsidRPr="00813D19">
        <w:rPr>
          <w:lang w:val="en-US"/>
        </w:rPr>
        <w:t xml:space="preserve">previously </w:t>
      </w:r>
      <w:r w:rsidR="00F67724" w:rsidRPr="00813D19">
        <w:rPr>
          <w:lang w:val="en-US"/>
        </w:rPr>
        <w:t xml:space="preserve">been done in the country. The community </w:t>
      </w:r>
      <w:r w:rsidR="00CA7D86" w:rsidRPr="00813D19">
        <w:rPr>
          <w:lang w:val="en-US"/>
        </w:rPr>
        <w:t>w</w:t>
      </w:r>
      <w:r w:rsidR="00CA7D86">
        <w:rPr>
          <w:lang w:val="en-US"/>
        </w:rPr>
        <w:t>ould</w:t>
      </w:r>
      <w:r w:rsidR="00CA7D86" w:rsidRPr="00813D19">
        <w:rPr>
          <w:lang w:val="en-US"/>
        </w:rPr>
        <w:t xml:space="preserve"> </w:t>
      </w:r>
      <w:r w:rsidR="00F67724" w:rsidRPr="00813D19">
        <w:rPr>
          <w:lang w:val="en-US"/>
        </w:rPr>
        <w:t xml:space="preserve">play an important role in monitoring and validating the results of the inventorying process. Their views, experiences and preferences </w:t>
      </w:r>
      <w:r w:rsidR="00CA7D86">
        <w:rPr>
          <w:lang w:val="en-US"/>
        </w:rPr>
        <w:t>would</w:t>
      </w:r>
      <w:r w:rsidR="00CA7D86" w:rsidRPr="00813D19">
        <w:rPr>
          <w:lang w:val="en-US"/>
        </w:rPr>
        <w:t xml:space="preserve"> </w:t>
      </w:r>
      <w:r w:rsidR="00F67724" w:rsidRPr="00813D19">
        <w:rPr>
          <w:lang w:val="en-US"/>
        </w:rPr>
        <w:t xml:space="preserve">be taken into account, as </w:t>
      </w:r>
      <w:r w:rsidR="00CA7D86">
        <w:rPr>
          <w:lang w:val="en-US"/>
        </w:rPr>
        <w:t xml:space="preserve">would </w:t>
      </w:r>
      <w:r w:rsidR="00F67724" w:rsidRPr="00813D19">
        <w:rPr>
          <w:lang w:val="en-US"/>
        </w:rPr>
        <w:t>their reflections on the meaning and significance of the intangible cultural heritage inventoried. The Evaluation Body</w:t>
      </w:r>
      <w:r w:rsidR="00CA7D86">
        <w:rPr>
          <w:lang w:val="en-US"/>
        </w:rPr>
        <w:t xml:space="preserve"> had</w:t>
      </w:r>
      <w:r w:rsidR="00F67724" w:rsidRPr="00813D19">
        <w:rPr>
          <w:lang w:val="en-US"/>
        </w:rPr>
        <w:t xml:space="preserve"> rightly identified some inconsistencies in the compilation of the budget and the timeline. </w:t>
      </w:r>
      <w:r w:rsidR="0025324F" w:rsidRPr="00813D19">
        <w:rPr>
          <w:lang w:val="en-US"/>
        </w:rPr>
        <w:t xml:space="preserve">The delegation apologized and regretted </w:t>
      </w:r>
      <w:r w:rsidR="00F67724" w:rsidRPr="00813D19">
        <w:rPr>
          <w:lang w:val="en-US"/>
        </w:rPr>
        <w:t xml:space="preserve">that the file did not </w:t>
      </w:r>
      <w:r w:rsidR="0025324F" w:rsidRPr="00813D19">
        <w:rPr>
          <w:lang w:val="en-US"/>
        </w:rPr>
        <w:t xml:space="preserve">undergo a </w:t>
      </w:r>
      <w:r w:rsidR="00F67724" w:rsidRPr="00813D19">
        <w:rPr>
          <w:lang w:val="en-US"/>
        </w:rPr>
        <w:t>final proofreading</w:t>
      </w:r>
      <w:r w:rsidR="0025324F" w:rsidRPr="00813D19">
        <w:rPr>
          <w:lang w:val="en-US"/>
        </w:rPr>
        <w:t>,</w:t>
      </w:r>
      <w:r w:rsidR="00110193" w:rsidRPr="00813D19">
        <w:rPr>
          <w:lang w:val="en-US"/>
        </w:rPr>
        <w:t xml:space="preserve"> which could have corrected tho</w:t>
      </w:r>
      <w:r w:rsidR="00F67724" w:rsidRPr="00813D19">
        <w:rPr>
          <w:lang w:val="en-US"/>
        </w:rPr>
        <w:t>se i</w:t>
      </w:r>
      <w:r w:rsidR="00973424">
        <w:rPr>
          <w:lang w:val="en-US"/>
        </w:rPr>
        <w:t>nconsistencies.</w:t>
      </w:r>
    </w:p>
    <w:p w14:paraId="260957E0" w14:textId="0639032A" w:rsidR="003450CA" w:rsidRPr="00813D19" w:rsidRDefault="0025324F" w:rsidP="00EC215B">
      <w:pPr>
        <w:pStyle w:val="Orateurengris"/>
        <w:spacing w:before="120"/>
        <w:ind w:left="709" w:hanging="709"/>
        <w:rPr>
          <w:lang w:val="en-US"/>
        </w:rPr>
      </w:pPr>
      <w:r w:rsidRPr="00813D19">
        <w:rPr>
          <w:lang w:val="en-US"/>
        </w:rPr>
        <w:t xml:space="preserve">The </w:t>
      </w:r>
      <w:r w:rsidRPr="00813D19">
        <w:rPr>
          <w:b/>
          <w:lang w:val="en-US"/>
        </w:rPr>
        <w:t>delegation of Albania</w:t>
      </w:r>
      <w:r w:rsidRPr="00813D19">
        <w:rPr>
          <w:lang w:val="en-US"/>
        </w:rPr>
        <w:t xml:space="preserve"> explained that t</w:t>
      </w:r>
      <w:r w:rsidR="00F67724" w:rsidRPr="00813D19">
        <w:rPr>
          <w:lang w:val="en-US"/>
        </w:rPr>
        <w:t>h</w:t>
      </w:r>
      <w:r w:rsidRPr="00813D19">
        <w:rPr>
          <w:lang w:val="en-US"/>
        </w:rPr>
        <w:t>e Evaluation Body also rightly pointed</w:t>
      </w:r>
      <w:r w:rsidR="00F67724" w:rsidRPr="00813D19">
        <w:rPr>
          <w:lang w:val="en-US"/>
        </w:rPr>
        <w:t xml:space="preserve"> out that the in-kind contribution of the State Party</w:t>
      </w:r>
      <w:r w:rsidRPr="00813D19">
        <w:rPr>
          <w:lang w:val="en-US"/>
        </w:rPr>
        <w:t>,</w:t>
      </w:r>
      <w:r w:rsidR="00F67724" w:rsidRPr="00813D19">
        <w:rPr>
          <w:lang w:val="en-US"/>
        </w:rPr>
        <w:t xml:space="preserve"> although clearly mentioned in the file</w:t>
      </w:r>
      <w:r w:rsidRPr="00813D19">
        <w:rPr>
          <w:lang w:val="en-US"/>
        </w:rPr>
        <w:t>,</w:t>
      </w:r>
      <w:r w:rsidR="00F67724" w:rsidRPr="00813D19">
        <w:rPr>
          <w:lang w:val="en-US"/>
        </w:rPr>
        <w:t xml:space="preserve"> ha</w:t>
      </w:r>
      <w:r w:rsidRPr="00813D19">
        <w:rPr>
          <w:lang w:val="en-US"/>
        </w:rPr>
        <w:t>d</w:t>
      </w:r>
      <w:r w:rsidR="00F67724" w:rsidRPr="00813D19">
        <w:rPr>
          <w:lang w:val="en-US"/>
        </w:rPr>
        <w:t xml:space="preserve"> not been quantified. It </w:t>
      </w:r>
      <w:r w:rsidRPr="00813D19">
        <w:rPr>
          <w:lang w:val="en-US"/>
        </w:rPr>
        <w:t xml:space="preserve">gave </w:t>
      </w:r>
      <w:r w:rsidR="00F67724" w:rsidRPr="00813D19">
        <w:rPr>
          <w:lang w:val="en-US"/>
        </w:rPr>
        <w:t xml:space="preserve">the wrong impression that the involvement of the State Party </w:t>
      </w:r>
      <w:r w:rsidRPr="00813D19">
        <w:rPr>
          <w:lang w:val="en-US"/>
        </w:rPr>
        <w:t xml:space="preserve">was </w:t>
      </w:r>
      <w:r w:rsidR="00F67724" w:rsidRPr="00813D19">
        <w:rPr>
          <w:lang w:val="en-US"/>
        </w:rPr>
        <w:t xml:space="preserve">insufficient and could raise concerns about the sustainability of the project during its implementation and </w:t>
      </w:r>
      <w:r w:rsidRPr="00813D19">
        <w:rPr>
          <w:lang w:val="en-US"/>
        </w:rPr>
        <w:t>there</w:t>
      </w:r>
      <w:r w:rsidR="00F67724" w:rsidRPr="00813D19">
        <w:rPr>
          <w:lang w:val="en-US"/>
        </w:rPr>
        <w:t xml:space="preserve">after. These issues </w:t>
      </w:r>
      <w:r w:rsidR="00644ABC">
        <w:rPr>
          <w:lang w:val="en-US"/>
        </w:rPr>
        <w:t xml:space="preserve">in fact </w:t>
      </w:r>
      <w:r w:rsidR="00F67724" w:rsidRPr="00813D19">
        <w:rPr>
          <w:lang w:val="en-US"/>
        </w:rPr>
        <w:t>echo</w:t>
      </w:r>
      <w:r w:rsidR="00644ABC">
        <w:rPr>
          <w:lang w:val="en-US"/>
        </w:rPr>
        <w:t>ed</w:t>
      </w:r>
      <w:r w:rsidR="00F67724" w:rsidRPr="00813D19">
        <w:rPr>
          <w:lang w:val="en-US"/>
        </w:rPr>
        <w:t xml:space="preserve"> a remark made several times before and during this session </w:t>
      </w:r>
      <w:r w:rsidR="00110193" w:rsidRPr="00813D19">
        <w:rPr>
          <w:lang w:val="en-US"/>
        </w:rPr>
        <w:t>of</w:t>
      </w:r>
      <w:r w:rsidR="00F67724" w:rsidRPr="00813D19">
        <w:rPr>
          <w:lang w:val="en-US"/>
        </w:rPr>
        <w:t xml:space="preserve"> the need for a better and more fluid communication and interaction between States and the Evaluation Body. </w:t>
      </w:r>
      <w:r w:rsidRPr="00813D19">
        <w:rPr>
          <w:lang w:val="en-US"/>
        </w:rPr>
        <w:t xml:space="preserve">In fact, the many, </w:t>
      </w:r>
      <w:r w:rsidR="00F67724" w:rsidRPr="00813D19">
        <w:rPr>
          <w:lang w:val="en-US"/>
        </w:rPr>
        <w:t xml:space="preserve">various technical and other means and the dedicated human resources that </w:t>
      </w:r>
      <w:r w:rsidR="00644ABC">
        <w:rPr>
          <w:lang w:val="en-US"/>
        </w:rPr>
        <w:t>would</w:t>
      </w:r>
      <w:r w:rsidR="00644ABC" w:rsidRPr="00813D19">
        <w:rPr>
          <w:lang w:val="en-US"/>
        </w:rPr>
        <w:t xml:space="preserve"> </w:t>
      </w:r>
      <w:r w:rsidR="00F67724" w:rsidRPr="00813D19">
        <w:rPr>
          <w:lang w:val="en-US"/>
        </w:rPr>
        <w:t xml:space="preserve">be engaged by local and central authorities </w:t>
      </w:r>
      <w:r w:rsidRPr="00813D19">
        <w:rPr>
          <w:lang w:val="en-US"/>
        </w:rPr>
        <w:t>amounted</w:t>
      </w:r>
      <w:r w:rsidR="00F67724" w:rsidRPr="00813D19">
        <w:rPr>
          <w:lang w:val="en-US"/>
        </w:rPr>
        <w:t xml:space="preserve"> to a considerable contribution to ensur</w:t>
      </w:r>
      <w:r w:rsidR="00644ABC">
        <w:rPr>
          <w:lang w:val="en-US"/>
        </w:rPr>
        <w:t xml:space="preserve">ing </w:t>
      </w:r>
      <w:r w:rsidR="00F67724" w:rsidRPr="00813D19">
        <w:rPr>
          <w:lang w:val="en-US"/>
        </w:rPr>
        <w:t xml:space="preserve">the smooth implementation of the project and </w:t>
      </w:r>
      <w:r w:rsidR="00644ABC" w:rsidRPr="00813D19">
        <w:rPr>
          <w:lang w:val="en-US"/>
        </w:rPr>
        <w:t>ensur</w:t>
      </w:r>
      <w:r w:rsidR="00644ABC">
        <w:rPr>
          <w:lang w:val="en-US"/>
        </w:rPr>
        <w:t>ing</w:t>
      </w:r>
      <w:r w:rsidR="00644ABC" w:rsidRPr="00813D19">
        <w:rPr>
          <w:lang w:val="en-US"/>
        </w:rPr>
        <w:t xml:space="preserve"> </w:t>
      </w:r>
      <w:r w:rsidR="00F67724" w:rsidRPr="00813D19">
        <w:rPr>
          <w:lang w:val="en-US"/>
        </w:rPr>
        <w:t xml:space="preserve">continuation and sustainability so that the experience in the three districts </w:t>
      </w:r>
      <w:r w:rsidR="00110193" w:rsidRPr="00813D19">
        <w:rPr>
          <w:lang w:val="en-US"/>
        </w:rPr>
        <w:t xml:space="preserve">chosen </w:t>
      </w:r>
      <w:r w:rsidR="00644ABC">
        <w:rPr>
          <w:lang w:val="en-US"/>
        </w:rPr>
        <w:t xml:space="preserve">would </w:t>
      </w:r>
      <w:r w:rsidR="00110193" w:rsidRPr="00813D19">
        <w:rPr>
          <w:lang w:val="en-US"/>
        </w:rPr>
        <w:t>be duly and hopeful</w:t>
      </w:r>
      <w:r w:rsidR="00F67724" w:rsidRPr="00813D19">
        <w:rPr>
          <w:lang w:val="en-US"/>
        </w:rPr>
        <w:t xml:space="preserve"> successfully replicated and extended throughout the country. It may </w:t>
      </w:r>
      <w:r w:rsidR="002E7B0E" w:rsidRPr="00813D19">
        <w:rPr>
          <w:lang w:val="en-US"/>
        </w:rPr>
        <w:t xml:space="preserve">thus </w:t>
      </w:r>
      <w:r w:rsidR="00F67724" w:rsidRPr="00813D19">
        <w:rPr>
          <w:lang w:val="en-US"/>
        </w:rPr>
        <w:t>serve as a model for the countries in the region should they wish. The best sustainability proof will be some 100</w:t>
      </w:r>
      <w:r w:rsidR="00644ABC">
        <w:rPr>
          <w:lang w:val="en-US"/>
        </w:rPr>
        <w:t xml:space="preserve"> </w:t>
      </w:r>
      <w:r w:rsidR="00F67724" w:rsidRPr="00813D19">
        <w:rPr>
          <w:lang w:val="en-US"/>
        </w:rPr>
        <w:t xml:space="preserve">community bearers in the targeted area, in </w:t>
      </w:r>
      <w:r w:rsidR="002E7B0E" w:rsidRPr="00813D19">
        <w:rPr>
          <w:lang w:val="en-US"/>
        </w:rPr>
        <w:t xml:space="preserve">the </w:t>
      </w:r>
      <w:r w:rsidR="00F67724" w:rsidRPr="00813D19">
        <w:rPr>
          <w:lang w:val="en-US"/>
        </w:rPr>
        <w:t xml:space="preserve">three districts, who </w:t>
      </w:r>
      <w:r w:rsidR="00644ABC">
        <w:rPr>
          <w:lang w:val="en-US"/>
        </w:rPr>
        <w:t>would</w:t>
      </w:r>
      <w:r w:rsidR="00644ABC" w:rsidRPr="00813D19">
        <w:rPr>
          <w:lang w:val="en-US"/>
        </w:rPr>
        <w:t xml:space="preserve"> </w:t>
      </w:r>
      <w:r w:rsidR="00F67724" w:rsidRPr="00813D19">
        <w:rPr>
          <w:lang w:val="en-US"/>
        </w:rPr>
        <w:t xml:space="preserve">directly benefit from the project. Sustainability </w:t>
      </w:r>
      <w:r w:rsidR="002E7B0E" w:rsidRPr="00813D19">
        <w:rPr>
          <w:lang w:val="en-US"/>
        </w:rPr>
        <w:t xml:space="preserve">was </w:t>
      </w:r>
      <w:r w:rsidR="00F67724" w:rsidRPr="00813D19">
        <w:rPr>
          <w:lang w:val="en-US"/>
        </w:rPr>
        <w:t xml:space="preserve">also ensured by the fact that the project </w:t>
      </w:r>
      <w:r w:rsidR="002E7B0E" w:rsidRPr="00813D19">
        <w:rPr>
          <w:lang w:val="en-US"/>
        </w:rPr>
        <w:t xml:space="preserve">was </w:t>
      </w:r>
      <w:r w:rsidR="00F67724" w:rsidRPr="00813D19">
        <w:rPr>
          <w:lang w:val="en-US"/>
        </w:rPr>
        <w:t xml:space="preserve">the starting point of a much larger effort in order to compile not just an inventory of the three districts involved but an inventory of the </w:t>
      </w:r>
      <w:r w:rsidR="002E7B0E" w:rsidRPr="00813D19">
        <w:rPr>
          <w:lang w:val="en-US"/>
        </w:rPr>
        <w:t xml:space="preserve">intangible cultural heritage </w:t>
      </w:r>
      <w:r w:rsidR="00F67724" w:rsidRPr="00813D19">
        <w:rPr>
          <w:lang w:val="en-US"/>
        </w:rPr>
        <w:t xml:space="preserve">at the national level. If </w:t>
      </w:r>
      <w:r w:rsidR="002E7B0E" w:rsidRPr="00813D19">
        <w:rPr>
          <w:lang w:val="en-US"/>
        </w:rPr>
        <w:t xml:space="preserve">the </w:t>
      </w:r>
      <w:r w:rsidR="00F67724" w:rsidRPr="00813D19">
        <w:rPr>
          <w:lang w:val="en-US"/>
        </w:rPr>
        <w:t xml:space="preserve">request </w:t>
      </w:r>
      <w:r w:rsidR="00644ABC">
        <w:rPr>
          <w:lang w:val="en-US"/>
        </w:rPr>
        <w:t>were</w:t>
      </w:r>
      <w:r w:rsidR="00644ABC" w:rsidRPr="00813D19">
        <w:rPr>
          <w:lang w:val="en-US"/>
        </w:rPr>
        <w:t xml:space="preserve"> </w:t>
      </w:r>
      <w:r w:rsidR="00F67724" w:rsidRPr="00813D19">
        <w:rPr>
          <w:lang w:val="en-US"/>
        </w:rPr>
        <w:t>approved as proposed by the amendments</w:t>
      </w:r>
      <w:r w:rsidR="002E7B0E" w:rsidRPr="00813D19">
        <w:rPr>
          <w:lang w:val="en-US"/>
        </w:rPr>
        <w:t xml:space="preserve">, the delegation stood </w:t>
      </w:r>
      <w:r w:rsidR="00F67724" w:rsidRPr="00813D19">
        <w:rPr>
          <w:lang w:val="en-US"/>
        </w:rPr>
        <w:t>read</w:t>
      </w:r>
      <w:r w:rsidR="00110193" w:rsidRPr="00813D19">
        <w:rPr>
          <w:lang w:val="en-US"/>
        </w:rPr>
        <w:t>y to work to reach an agreement</w:t>
      </w:r>
      <w:r w:rsidR="00F67724" w:rsidRPr="00813D19">
        <w:rPr>
          <w:lang w:val="en-US"/>
        </w:rPr>
        <w:t xml:space="preserve"> </w:t>
      </w:r>
      <w:r w:rsidR="002E7B0E" w:rsidRPr="00813D19">
        <w:rPr>
          <w:lang w:val="en-US"/>
        </w:rPr>
        <w:t xml:space="preserve">to </w:t>
      </w:r>
      <w:r w:rsidR="00F67724" w:rsidRPr="00813D19">
        <w:rPr>
          <w:lang w:val="en-US"/>
        </w:rPr>
        <w:t xml:space="preserve">resolve </w:t>
      </w:r>
      <w:r w:rsidR="002E7B0E" w:rsidRPr="00813D19">
        <w:rPr>
          <w:lang w:val="en-US"/>
        </w:rPr>
        <w:t xml:space="preserve">any </w:t>
      </w:r>
      <w:r w:rsidR="00F67724" w:rsidRPr="00813D19">
        <w:rPr>
          <w:lang w:val="en-US"/>
        </w:rPr>
        <w:t xml:space="preserve">technical issues identified prior to implementation. </w:t>
      </w:r>
      <w:r w:rsidR="002E7B0E" w:rsidRPr="00813D19">
        <w:rPr>
          <w:lang w:val="en-US"/>
        </w:rPr>
        <w:t xml:space="preserve">The delegation </w:t>
      </w:r>
      <w:r w:rsidR="00644ABC">
        <w:rPr>
          <w:lang w:val="en-US"/>
        </w:rPr>
        <w:t xml:space="preserve">would </w:t>
      </w:r>
      <w:r w:rsidR="00F67724" w:rsidRPr="00813D19">
        <w:rPr>
          <w:lang w:val="en-US"/>
        </w:rPr>
        <w:t xml:space="preserve">duly quantify the substantial in-kind contributions by the local and central authorities, which </w:t>
      </w:r>
      <w:r w:rsidR="002E7B0E" w:rsidRPr="00813D19">
        <w:rPr>
          <w:lang w:val="en-US"/>
        </w:rPr>
        <w:t xml:space="preserve">was </w:t>
      </w:r>
      <w:r w:rsidR="00F67724" w:rsidRPr="00813D19">
        <w:rPr>
          <w:lang w:val="en-US"/>
        </w:rPr>
        <w:t>not 1</w:t>
      </w:r>
      <w:r w:rsidR="00644ABC">
        <w:rPr>
          <w:lang w:val="en-US"/>
        </w:rPr>
        <w:t xml:space="preserve"> per cent</w:t>
      </w:r>
      <w:r w:rsidR="00644ABC" w:rsidRPr="00813D19">
        <w:rPr>
          <w:lang w:val="en-US"/>
        </w:rPr>
        <w:t xml:space="preserve"> </w:t>
      </w:r>
      <w:r w:rsidR="00F67724" w:rsidRPr="00813D19">
        <w:rPr>
          <w:lang w:val="en-US"/>
        </w:rPr>
        <w:t>but way beyond 10</w:t>
      </w:r>
      <w:r w:rsidR="00644ABC">
        <w:rPr>
          <w:lang w:val="en-US"/>
        </w:rPr>
        <w:t xml:space="preserve"> per cent</w:t>
      </w:r>
      <w:r w:rsidR="00644ABC" w:rsidRPr="00813D19">
        <w:rPr>
          <w:lang w:val="en-US"/>
        </w:rPr>
        <w:t xml:space="preserve"> </w:t>
      </w:r>
      <w:r w:rsidR="00F67724" w:rsidRPr="00813D19">
        <w:rPr>
          <w:lang w:val="en-US"/>
        </w:rPr>
        <w:t>of the requested assistance</w:t>
      </w:r>
      <w:r w:rsidR="002E7B0E" w:rsidRPr="00813D19">
        <w:rPr>
          <w:lang w:val="en-US"/>
        </w:rPr>
        <w:t>,</w:t>
      </w:r>
      <w:r w:rsidR="00F67724" w:rsidRPr="00813D19">
        <w:rPr>
          <w:lang w:val="en-US"/>
        </w:rPr>
        <w:t xml:space="preserve"> and </w:t>
      </w:r>
      <w:r w:rsidR="002E7B0E" w:rsidRPr="00813D19">
        <w:rPr>
          <w:lang w:val="en-US"/>
        </w:rPr>
        <w:t xml:space="preserve">it </w:t>
      </w:r>
      <w:r w:rsidR="00644ABC">
        <w:rPr>
          <w:lang w:val="en-US"/>
        </w:rPr>
        <w:t>would</w:t>
      </w:r>
      <w:r w:rsidR="00644ABC" w:rsidRPr="00813D19">
        <w:rPr>
          <w:lang w:val="en-US"/>
        </w:rPr>
        <w:t xml:space="preserve"> </w:t>
      </w:r>
      <w:r w:rsidR="00F67724" w:rsidRPr="00813D19">
        <w:rPr>
          <w:lang w:val="en-US"/>
        </w:rPr>
        <w:t xml:space="preserve">make sure that the project </w:t>
      </w:r>
      <w:r w:rsidR="00644ABC">
        <w:rPr>
          <w:lang w:val="en-US"/>
        </w:rPr>
        <w:t>was</w:t>
      </w:r>
      <w:r w:rsidR="00F67724" w:rsidRPr="00813D19">
        <w:rPr>
          <w:lang w:val="en-US"/>
        </w:rPr>
        <w:t xml:space="preserve"> sustainable for its duration</w:t>
      </w:r>
      <w:r w:rsidR="002E7B0E" w:rsidRPr="00813D19">
        <w:rPr>
          <w:lang w:val="en-US"/>
        </w:rPr>
        <w:t>, as well as the follow-</w:t>
      </w:r>
      <w:r w:rsidR="00F67724" w:rsidRPr="00813D19">
        <w:rPr>
          <w:lang w:val="en-US"/>
        </w:rPr>
        <w:t xml:space="preserve">up community-based inventory in the </w:t>
      </w:r>
      <w:r w:rsidR="00973424">
        <w:rPr>
          <w:lang w:val="en-US"/>
        </w:rPr>
        <w:t>remaining parts of the country.</w:t>
      </w:r>
    </w:p>
    <w:p w14:paraId="714D37B7" w14:textId="0B449AB5" w:rsidR="007A175E" w:rsidRPr="00813D19" w:rsidRDefault="007A175E" w:rsidP="00EC215B">
      <w:pPr>
        <w:pStyle w:val="Orateurengris"/>
        <w:spacing w:before="120"/>
        <w:ind w:left="709" w:hanging="709"/>
        <w:rPr>
          <w:lang w:val="en-US"/>
        </w:rPr>
      </w:pPr>
      <w:r w:rsidRPr="00813D19">
        <w:rPr>
          <w:lang w:val="en-US"/>
        </w:rPr>
        <w:t xml:space="preserve">The </w:t>
      </w:r>
      <w:r w:rsidRPr="00813D19">
        <w:rPr>
          <w:b/>
          <w:lang w:val="en-US"/>
        </w:rPr>
        <w:t>delegation of Kazakhstan</w:t>
      </w:r>
      <w:r w:rsidR="00F67724" w:rsidRPr="00813D19">
        <w:rPr>
          <w:lang w:val="en-US"/>
        </w:rPr>
        <w:t xml:space="preserve"> closely studied the nomination and </w:t>
      </w:r>
      <w:r w:rsidR="002E7B0E" w:rsidRPr="00813D19">
        <w:rPr>
          <w:lang w:val="en-US"/>
        </w:rPr>
        <w:t xml:space="preserve">found </w:t>
      </w:r>
      <w:r w:rsidR="00F67724" w:rsidRPr="00813D19">
        <w:rPr>
          <w:lang w:val="en-US"/>
        </w:rPr>
        <w:t xml:space="preserve">the request </w:t>
      </w:r>
      <w:r w:rsidR="002E7B0E" w:rsidRPr="00813D19">
        <w:rPr>
          <w:lang w:val="en-US"/>
        </w:rPr>
        <w:t xml:space="preserve">to be </w:t>
      </w:r>
      <w:r w:rsidR="00F67724" w:rsidRPr="00813D19">
        <w:rPr>
          <w:lang w:val="en-US"/>
        </w:rPr>
        <w:t>strong</w:t>
      </w:r>
      <w:r w:rsidR="002E7B0E" w:rsidRPr="00813D19">
        <w:rPr>
          <w:lang w:val="en-US"/>
        </w:rPr>
        <w:t>,</w:t>
      </w:r>
      <w:r w:rsidR="00F67724" w:rsidRPr="00813D19">
        <w:rPr>
          <w:lang w:val="en-US"/>
        </w:rPr>
        <w:t xml:space="preserve"> </w:t>
      </w:r>
      <w:r w:rsidR="002E7B0E" w:rsidRPr="00813D19">
        <w:rPr>
          <w:lang w:val="en-US"/>
        </w:rPr>
        <w:t xml:space="preserve">adding that </w:t>
      </w:r>
      <w:r w:rsidR="00F67724" w:rsidRPr="00813D19">
        <w:rPr>
          <w:lang w:val="en-US"/>
        </w:rPr>
        <w:t xml:space="preserve">the Evaluation Body </w:t>
      </w:r>
      <w:r w:rsidR="00644ABC">
        <w:rPr>
          <w:lang w:val="en-US"/>
        </w:rPr>
        <w:t xml:space="preserve">had </w:t>
      </w:r>
      <w:r w:rsidR="002E7B0E" w:rsidRPr="00813D19">
        <w:rPr>
          <w:lang w:val="en-US"/>
        </w:rPr>
        <w:t>indicated</w:t>
      </w:r>
      <w:r w:rsidR="00F67724" w:rsidRPr="00813D19">
        <w:rPr>
          <w:lang w:val="en-US"/>
        </w:rPr>
        <w:t xml:space="preserve"> many high qualities of this request and that some </w:t>
      </w:r>
      <w:r w:rsidR="002E7B0E" w:rsidRPr="00813D19">
        <w:rPr>
          <w:lang w:val="en-US"/>
        </w:rPr>
        <w:t xml:space="preserve">of the </w:t>
      </w:r>
      <w:r w:rsidR="00F67724" w:rsidRPr="00813D19">
        <w:rPr>
          <w:lang w:val="en-US"/>
        </w:rPr>
        <w:t xml:space="preserve">issues </w:t>
      </w:r>
      <w:r w:rsidR="002E7B0E" w:rsidRPr="00813D19">
        <w:rPr>
          <w:lang w:val="en-US"/>
        </w:rPr>
        <w:t xml:space="preserve">were </w:t>
      </w:r>
      <w:r w:rsidR="00F67724" w:rsidRPr="00813D19">
        <w:rPr>
          <w:lang w:val="en-US"/>
        </w:rPr>
        <w:t xml:space="preserve">more technical </w:t>
      </w:r>
      <w:r w:rsidR="00110193" w:rsidRPr="00813D19">
        <w:rPr>
          <w:lang w:val="en-US"/>
        </w:rPr>
        <w:t>in nature</w:t>
      </w:r>
      <w:r w:rsidR="002E7B0E" w:rsidRPr="00813D19">
        <w:rPr>
          <w:lang w:val="en-US"/>
        </w:rPr>
        <w:t xml:space="preserve"> and </w:t>
      </w:r>
      <w:r w:rsidR="00F67724" w:rsidRPr="00813D19">
        <w:rPr>
          <w:lang w:val="en-US"/>
        </w:rPr>
        <w:t xml:space="preserve">could have been solved </w:t>
      </w:r>
      <w:r w:rsidR="002E7B0E" w:rsidRPr="00813D19">
        <w:rPr>
          <w:lang w:val="en-US"/>
        </w:rPr>
        <w:t xml:space="preserve">by </w:t>
      </w:r>
      <w:r w:rsidR="00F67724" w:rsidRPr="00813D19">
        <w:rPr>
          <w:lang w:val="en-US"/>
        </w:rPr>
        <w:t xml:space="preserve">requesting additional information from the State Party. </w:t>
      </w:r>
      <w:r w:rsidR="002E7B0E" w:rsidRPr="00813D19">
        <w:rPr>
          <w:lang w:val="en-US"/>
        </w:rPr>
        <w:t xml:space="preserve">Thus, this was a very </w:t>
      </w:r>
      <w:r w:rsidR="00F67724" w:rsidRPr="00813D19">
        <w:rPr>
          <w:lang w:val="en-US"/>
        </w:rPr>
        <w:t xml:space="preserve">strong </w:t>
      </w:r>
      <w:r w:rsidR="002E7B0E" w:rsidRPr="00813D19">
        <w:rPr>
          <w:lang w:val="en-US"/>
        </w:rPr>
        <w:t>case that deserved</w:t>
      </w:r>
      <w:r w:rsidR="00F67724" w:rsidRPr="00813D19">
        <w:rPr>
          <w:lang w:val="en-US"/>
        </w:rPr>
        <w:t xml:space="preserve"> consideration by the Committee</w:t>
      </w:r>
      <w:r w:rsidR="002E7B0E" w:rsidRPr="00813D19">
        <w:rPr>
          <w:lang w:val="en-US"/>
        </w:rPr>
        <w:t>,</w:t>
      </w:r>
      <w:r w:rsidR="00973424">
        <w:rPr>
          <w:lang w:val="en-US"/>
        </w:rPr>
        <w:t xml:space="preserve"> according to the amendments.</w:t>
      </w:r>
    </w:p>
    <w:p w14:paraId="3928B8F0" w14:textId="20DA043D" w:rsidR="002E7B0E" w:rsidRPr="00813D19" w:rsidRDefault="00110193" w:rsidP="00730536">
      <w:pPr>
        <w:pStyle w:val="Orateurengris"/>
        <w:spacing w:before="120"/>
        <w:ind w:left="709" w:hanging="709"/>
        <w:rPr>
          <w:rFonts w:eastAsia="Times"/>
          <w:lang w:val="en-US"/>
        </w:rPr>
      </w:pPr>
      <w:r w:rsidRPr="00813D19">
        <w:rPr>
          <w:lang w:val="en-US"/>
        </w:rPr>
        <w:t>Thanking Kazakhstan, t</w:t>
      </w:r>
      <w:r w:rsidR="002E7B0E" w:rsidRPr="00813D19">
        <w:rPr>
          <w:lang w:val="en-US"/>
        </w:rPr>
        <w:t xml:space="preserve">he </w:t>
      </w:r>
      <w:r w:rsidR="002E7B0E" w:rsidRPr="00813D19">
        <w:rPr>
          <w:b/>
          <w:lang w:val="en-US"/>
        </w:rPr>
        <w:t>Chairperson</w:t>
      </w:r>
      <w:r w:rsidR="002E7B0E" w:rsidRPr="00813D19">
        <w:rPr>
          <w:lang w:val="en-US"/>
        </w:rPr>
        <w:t xml:space="preserve"> </w:t>
      </w:r>
      <w:r w:rsidRPr="00813D19">
        <w:rPr>
          <w:lang w:val="en-US"/>
        </w:rPr>
        <w:t xml:space="preserve">noted </w:t>
      </w:r>
      <w:r w:rsidR="002E7B0E" w:rsidRPr="00813D19">
        <w:rPr>
          <w:lang w:val="en-US"/>
        </w:rPr>
        <w:t>the recommendation of the Evaluation Body and also the clarifications from the submitting State, and with no forthcoming comments, proposed mov</w:t>
      </w:r>
      <w:r w:rsidR="00644ABC">
        <w:rPr>
          <w:lang w:val="en-US"/>
        </w:rPr>
        <w:t>ing</w:t>
      </w:r>
      <w:r w:rsidR="002E7B0E" w:rsidRPr="00813D19">
        <w:rPr>
          <w:lang w:val="en-US"/>
        </w:rPr>
        <w:t xml:space="preserve"> to the adoption of the decision paragraph</w:t>
      </w:r>
      <w:r w:rsidR="00644ABC">
        <w:rPr>
          <w:lang w:val="en-US"/>
        </w:rPr>
        <w:t xml:space="preserve"> </w:t>
      </w:r>
      <w:r w:rsidR="002E7B0E" w:rsidRPr="00813D19">
        <w:rPr>
          <w:lang w:val="en-US"/>
        </w:rPr>
        <w:t>by</w:t>
      </w:r>
      <w:r w:rsidR="00644ABC">
        <w:rPr>
          <w:lang w:val="en-US"/>
        </w:rPr>
        <w:t xml:space="preserve"> </w:t>
      </w:r>
      <w:r w:rsidR="002E7B0E" w:rsidRPr="00813D19">
        <w:rPr>
          <w:lang w:val="en-US"/>
        </w:rPr>
        <w:t>paragraph. Paragrap</w:t>
      </w:r>
      <w:r w:rsidR="00973424">
        <w:rPr>
          <w:lang w:val="en-US"/>
        </w:rPr>
        <w:t>h 1 was duly adopted.</w:t>
      </w:r>
    </w:p>
    <w:p w14:paraId="4347E6FE" w14:textId="5D2284CF" w:rsidR="00C97847" w:rsidRPr="00813D19" w:rsidRDefault="00C97847" w:rsidP="00730536">
      <w:pPr>
        <w:pStyle w:val="Orateurengris"/>
        <w:spacing w:before="120"/>
        <w:ind w:left="709" w:hanging="709"/>
        <w:rPr>
          <w:rFonts w:eastAsia="Times"/>
          <w:lang w:val="en-US"/>
        </w:rPr>
      </w:pPr>
      <w:r w:rsidRPr="00813D19">
        <w:rPr>
          <w:rFonts w:eastAsia="Times"/>
          <w:lang w:val="en-US"/>
        </w:rPr>
        <w:t xml:space="preserve">The </w:t>
      </w:r>
      <w:r w:rsidRPr="00813D19">
        <w:rPr>
          <w:rFonts w:eastAsia="Times"/>
          <w:b/>
          <w:lang w:val="en-US"/>
        </w:rPr>
        <w:t>Secretary</w:t>
      </w:r>
      <w:r w:rsidRPr="00813D19">
        <w:rPr>
          <w:rFonts w:eastAsia="Times"/>
          <w:lang w:val="en-US"/>
        </w:rPr>
        <w:t xml:space="preserve"> </w:t>
      </w:r>
      <w:r w:rsidR="002E7B0E" w:rsidRPr="00813D19">
        <w:rPr>
          <w:rFonts w:eastAsia="Times"/>
          <w:lang w:val="en-US"/>
        </w:rPr>
        <w:t xml:space="preserve">noted the clerical error by the Secretariat in </w:t>
      </w:r>
      <w:r w:rsidR="00973424">
        <w:rPr>
          <w:rFonts w:eastAsia="Times"/>
          <w:lang w:val="en-US"/>
        </w:rPr>
        <w:t>the file number in paragraph 2.</w:t>
      </w:r>
    </w:p>
    <w:p w14:paraId="6F2212C9" w14:textId="66E153F3" w:rsidR="00C97847" w:rsidRPr="00813D19" w:rsidRDefault="002E7B0E" w:rsidP="00730536">
      <w:pPr>
        <w:pStyle w:val="Orateurengris"/>
        <w:spacing w:before="120"/>
        <w:ind w:left="709" w:hanging="709"/>
        <w:rPr>
          <w:rFonts w:eastAsia="Times"/>
          <w:lang w:val="en-US"/>
        </w:rPr>
      </w:pPr>
      <w:r w:rsidRPr="00813D19">
        <w:rPr>
          <w:rFonts w:eastAsia="Times"/>
          <w:lang w:val="en-US"/>
        </w:rPr>
        <w:t>With no comments, t</w:t>
      </w:r>
      <w:r w:rsidR="00C97847" w:rsidRPr="00813D19">
        <w:rPr>
          <w:rFonts w:eastAsia="Times"/>
          <w:lang w:val="en-US"/>
        </w:rPr>
        <w:t xml:space="preserve">he </w:t>
      </w:r>
      <w:r w:rsidR="00C97847" w:rsidRPr="00813D19">
        <w:rPr>
          <w:rFonts w:eastAsia="Times"/>
          <w:b/>
          <w:lang w:val="en-US"/>
        </w:rPr>
        <w:t>Chairperson</w:t>
      </w:r>
      <w:r w:rsidR="00C97847" w:rsidRPr="00813D19">
        <w:rPr>
          <w:rFonts w:eastAsia="Times"/>
          <w:lang w:val="en-US"/>
        </w:rPr>
        <w:t xml:space="preserve"> pronounced paragraph 2 adopted. Paragraph</w:t>
      </w:r>
      <w:r w:rsidR="00644ABC">
        <w:rPr>
          <w:rFonts w:eastAsia="Times"/>
          <w:lang w:val="en-US"/>
        </w:rPr>
        <w:t>s</w:t>
      </w:r>
      <w:r w:rsidR="00C97847" w:rsidRPr="00813D19">
        <w:rPr>
          <w:rFonts w:eastAsia="Times"/>
          <w:lang w:val="en-US"/>
        </w:rPr>
        <w:t xml:space="preserve"> 3–6 were </w:t>
      </w:r>
      <w:r w:rsidRPr="00813D19">
        <w:rPr>
          <w:rFonts w:eastAsia="Times"/>
          <w:lang w:val="en-US"/>
        </w:rPr>
        <w:t xml:space="preserve">also </w:t>
      </w:r>
      <w:r w:rsidR="00C97847" w:rsidRPr="00813D19">
        <w:rPr>
          <w:rFonts w:eastAsia="Times"/>
          <w:lang w:val="en-US"/>
        </w:rPr>
        <w:t xml:space="preserve">duly adopted. An amendment was received </w:t>
      </w:r>
      <w:r w:rsidR="00644ABC">
        <w:rPr>
          <w:rFonts w:eastAsia="Times"/>
          <w:lang w:val="en-US"/>
        </w:rPr>
        <w:t>from</w:t>
      </w:r>
      <w:r w:rsidR="00644ABC" w:rsidRPr="00813D19">
        <w:rPr>
          <w:rFonts w:eastAsia="Times"/>
          <w:lang w:val="en-US"/>
        </w:rPr>
        <w:t xml:space="preserve"> </w:t>
      </w:r>
      <w:r w:rsidR="00C97847" w:rsidRPr="00813D19">
        <w:rPr>
          <w:rFonts w:eastAsia="Times"/>
          <w:lang w:val="en-US"/>
        </w:rPr>
        <w:t>Lebanon</w:t>
      </w:r>
      <w:r w:rsidR="00B72002" w:rsidRPr="00813D19">
        <w:rPr>
          <w:rFonts w:eastAsia="Times"/>
          <w:lang w:val="en-US"/>
        </w:rPr>
        <w:t xml:space="preserve"> in paragraph 7 [approving the International Assistance request]</w:t>
      </w:r>
      <w:r w:rsidR="00C97847" w:rsidRPr="00813D19">
        <w:rPr>
          <w:rFonts w:eastAsia="Times"/>
          <w:lang w:val="en-US"/>
        </w:rPr>
        <w:t>.</w:t>
      </w:r>
    </w:p>
    <w:p w14:paraId="6C60F887" w14:textId="4E4B58AF" w:rsidR="00C97847" w:rsidRPr="00813D19" w:rsidRDefault="00C97847" w:rsidP="00730536">
      <w:pPr>
        <w:pStyle w:val="Orateurengris"/>
        <w:spacing w:before="120"/>
        <w:ind w:left="709" w:hanging="709"/>
        <w:rPr>
          <w:rFonts w:eastAsia="Times"/>
          <w:lang w:val="en-US"/>
        </w:rPr>
      </w:pPr>
      <w:r w:rsidRPr="00813D19">
        <w:rPr>
          <w:rFonts w:eastAsia="Times"/>
          <w:lang w:val="en-US"/>
        </w:rPr>
        <w:t xml:space="preserve">The </w:t>
      </w:r>
      <w:r w:rsidRPr="00813D19">
        <w:rPr>
          <w:rFonts w:eastAsia="Times"/>
          <w:b/>
          <w:lang w:val="en-US"/>
        </w:rPr>
        <w:t>delegation of Kazakhstan</w:t>
      </w:r>
      <w:r w:rsidRPr="00813D19">
        <w:rPr>
          <w:rFonts w:eastAsia="Times"/>
          <w:lang w:val="en-US"/>
        </w:rPr>
        <w:t xml:space="preserve"> voiced supp</w:t>
      </w:r>
      <w:r w:rsidR="00973424">
        <w:rPr>
          <w:rFonts w:eastAsia="Times"/>
          <w:lang w:val="en-US"/>
        </w:rPr>
        <w:t>ort for the proposed amendment.</w:t>
      </w:r>
    </w:p>
    <w:p w14:paraId="21F8295B" w14:textId="535E6677" w:rsidR="00F67724" w:rsidRPr="00813D19" w:rsidRDefault="00F67724" w:rsidP="00730536">
      <w:pPr>
        <w:pStyle w:val="Orateurengris"/>
        <w:spacing w:before="120"/>
        <w:ind w:left="709" w:hanging="709"/>
        <w:rPr>
          <w:rFonts w:eastAsia="Times"/>
          <w:lang w:val="en-US"/>
        </w:rPr>
      </w:pPr>
      <w:r w:rsidRPr="00813D19">
        <w:rPr>
          <w:rFonts w:eastAsia="Times"/>
          <w:lang w:val="en-US"/>
        </w:rPr>
        <w:t xml:space="preserve">The </w:t>
      </w:r>
      <w:r w:rsidRPr="00813D19">
        <w:rPr>
          <w:rFonts w:eastAsia="Times"/>
          <w:b/>
          <w:lang w:val="en-US"/>
        </w:rPr>
        <w:t>delegation of Palestine</w:t>
      </w:r>
      <w:r w:rsidRPr="00813D19">
        <w:rPr>
          <w:rFonts w:eastAsia="Times"/>
          <w:lang w:val="en-US"/>
        </w:rPr>
        <w:t xml:space="preserve"> </w:t>
      </w:r>
      <w:r w:rsidR="00B72002" w:rsidRPr="00813D19">
        <w:rPr>
          <w:rFonts w:eastAsia="Times"/>
          <w:lang w:val="en-US"/>
        </w:rPr>
        <w:t xml:space="preserve">asked the Secretariat whether there was a need for coherency between the </w:t>
      </w:r>
      <w:r w:rsidR="004427BE" w:rsidRPr="00813D19">
        <w:rPr>
          <w:lang w:val="en-US"/>
        </w:rPr>
        <w:t xml:space="preserve">many concerns raised by the Evaluation Body and reflected </w:t>
      </w:r>
      <w:r w:rsidRPr="00813D19">
        <w:rPr>
          <w:lang w:val="en-US"/>
        </w:rPr>
        <w:t>in the previous paragraph</w:t>
      </w:r>
      <w:r w:rsidR="00110193" w:rsidRPr="00813D19">
        <w:rPr>
          <w:lang w:val="en-US"/>
        </w:rPr>
        <w:t>,</w:t>
      </w:r>
      <w:r w:rsidRPr="00813D19">
        <w:rPr>
          <w:lang w:val="en-US"/>
        </w:rPr>
        <w:t xml:space="preserve"> </w:t>
      </w:r>
      <w:r w:rsidR="00110193" w:rsidRPr="00813D19">
        <w:rPr>
          <w:lang w:val="en-US"/>
        </w:rPr>
        <w:t xml:space="preserve">which </w:t>
      </w:r>
      <w:r w:rsidR="004427BE" w:rsidRPr="00813D19">
        <w:rPr>
          <w:lang w:val="en-US"/>
        </w:rPr>
        <w:t xml:space="preserve">were not </w:t>
      </w:r>
      <w:r w:rsidRPr="00813D19">
        <w:rPr>
          <w:lang w:val="en-US"/>
        </w:rPr>
        <w:t>amend</w:t>
      </w:r>
      <w:r w:rsidR="004427BE" w:rsidRPr="00813D19">
        <w:rPr>
          <w:lang w:val="en-US"/>
        </w:rPr>
        <w:t>ed</w:t>
      </w:r>
      <w:r w:rsidR="00110193" w:rsidRPr="00813D19">
        <w:rPr>
          <w:lang w:val="en-US"/>
        </w:rPr>
        <w:t>,</w:t>
      </w:r>
      <w:r w:rsidRPr="00813D19">
        <w:rPr>
          <w:lang w:val="en-US"/>
        </w:rPr>
        <w:t xml:space="preserve"> </w:t>
      </w:r>
      <w:r w:rsidR="004427BE" w:rsidRPr="00813D19">
        <w:rPr>
          <w:lang w:val="en-US"/>
        </w:rPr>
        <w:t xml:space="preserve">and the </w:t>
      </w:r>
      <w:r w:rsidRPr="00813D19">
        <w:rPr>
          <w:lang w:val="en-US"/>
        </w:rPr>
        <w:t xml:space="preserve">amendment from </w:t>
      </w:r>
      <w:r w:rsidR="004427BE" w:rsidRPr="00813D19">
        <w:rPr>
          <w:lang w:val="en-US"/>
        </w:rPr>
        <w:t xml:space="preserve">a </w:t>
      </w:r>
      <w:r w:rsidRPr="00813D19">
        <w:rPr>
          <w:lang w:val="en-US"/>
        </w:rPr>
        <w:t>refer</w:t>
      </w:r>
      <w:r w:rsidR="004427BE" w:rsidRPr="00813D19">
        <w:rPr>
          <w:lang w:val="en-US"/>
        </w:rPr>
        <w:t xml:space="preserve">ral </w:t>
      </w:r>
      <w:r w:rsidRPr="00813D19">
        <w:rPr>
          <w:lang w:val="en-US"/>
        </w:rPr>
        <w:t xml:space="preserve">to </w:t>
      </w:r>
      <w:r w:rsidR="004427BE" w:rsidRPr="00813D19">
        <w:rPr>
          <w:lang w:val="en-US"/>
        </w:rPr>
        <w:t xml:space="preserve">an </w:t>
      </w:r>
      <w:r w:rsidR="00973424">
        <w:rPr>
          <w:lang w:val="en-US"/>
        </w:rPr>
        <w:t>approval.</w:t>
      </w:r>
    </w:p>
    <w:p w14:paraId="7BDA51CD" w14:textId="28D3A8CF" w:rsidR="00414700" w:rsidRPr="00813D19" w:rsidRDefault="00C97847" w:rsidP="00414700">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4427BE" w:rsidRPr="00813D19">
        <w:rPr>
          <w:lang w:val="en-US"/>
        </w:rPr>
        <w:t xml:space="preserve">replied that indeed it would not </w:t>
      </w:r>
      <w:r w:rsidR="004427BE" w:rsidRPr="00813D19">
        <w:rPr>
          <w:bCs/>
          <w:lang w:val="en-US"/>
        </w:rPr>
        <w:t xml:space="preserve">be coherent </w:t>
      </w:r>
      <w:r w:rsidR="00F67724" w:rsidRPr="00813D19">
        <w:rPr>
          <w:bCs/>
          <w:lang w:val="en-US"/>
        </w:rPr>
        <w:t xml:space="preserve">if the texts of the criterion were not aligned to the </w:t>
      </w:r>
      <w:r w:rsidR="004427BE" w:rsidRPr="00813D19">
        <w:rPr>
          <w:bCs/>
          <w:lang w:val="en-US"/>
        </w:rPr>
        <w:t xml:space="preserve">Committee’s </w:t>
      </w:r>
      <w:r w:rsidR="00F67724" w:rsidRPr="00813D19">
        <w:rPr>
          <w:bCs/>
          <w:lang w:val="en-US"/>
        </w:rPr>
        <w:t xml:space="preserve">decision </w:t>
      </w:r>
      <w:r w:rsidR="004427BE" w:rsidRPr="00813D19">
        <w:rPr>
          <w:bCs/>
          <w:lang w:val="en-US"/>
        </w:rPr>
        <w:t>in the e</w:t>
      </w:r>
      <w:r w:rsidR="002044F4" w:rsidRPr="00813D19">
        <w:rPr>
          <w:bCs/>
          <w:lang w:val="en-US"/>
        </w:rPr>
        <w:t>valuation of this file.</w:t>
      </w:r>
    </w:p>
    <w:p w14:paraId="6B2BE0FB" w14:textId="369269DC" w:rsidR="00C97847" w:rsidRPr="00813D19" w:rsidRDefault="00C97847" w:rsidP="00414700">
      <w:pPr>
        <w:pStyle w:val="Orateurengris"/>
        <w:spacing w:before="120"/>
        <w:ind w:left="709" w:hanging="709"/>
        <w:rPr>
          <w:lang w:val="en-US"/>
        </w:rPr>
      </w:pPr>
      <w:r w:rsidRPr="00813D19">
        <w:rPr>
          <w:lang w:val="en-US"/>
        </w:rPr>
        <w:t xml:space="preserve">The </w:t>
      </w:r>
      <w:r w:rsidRPr="00813D19">
        <w:rPr>
          <w:b/>
          <w:lang w:val="en-US"/>
        </w:rPr>
        <w:t xml:space="preserve">delegation of Palestine </w:t>
      </w:r>
      <w:r w:rsidR="004427BE" w:rsidRPr="00813D19">
        <w:rPr>
          <w:lang w:val="en-US"/>
        </w:rPr>
        <w:t>added that</w:t>
      </w:r>
      <w:r w:rsidR="004427BE" w:rsidRPr="00813D19">
        <w:rPr>
          <w:b/>
          <w:lang w:val="en-US"/>
        </w:rPr>
        <w:t xml:space="preserve"> </w:t>
      </w:r>
      <w:r w:rsidR="004427BE" w:rsidRPr="00813D19">
        <w:rPr>
          <w:lang w:val="en-US"/>
        </w:rPr>
        <w:t xml:space="preserve">some time </w:t>
      </w:r>
      <w:r w:rsidR="00F67724" w:rsidRPr="00813D19">
        <w:rPr>
          <w:lang w:val="en-US"/>
        </w:rPr>
        <w:t xml:space="preserve">should </w:t>
      </w:r>
      <w:r w:rsidR="004427BE" w:rsidRPr="00813D19">
        <w:rPr>
          <w:lang w:val="en-US"/>
        </w:rPr>
        <w:t xml:space="preserve">be </w:t>
      </w:r>
      <w:r w:rsidR="00F67724" w:rsidRPr="00813D19">
        <w:rPr>
          <w:lang w:val="en-US"/>
        </w:rPr>
        <w:t>give</w:t>
      </w:r>
      <w:r w:rsidR="004427BE" w:rsidRPr="00813D19">
        <w:rPr>
          <w:lang w:val="en-US"/>
        </w:rPr>
        <w:t>n</w:t>
      </w:r>
      <w:r w:rsidR="00F67724" w:rsidRPr="00813D19">
        <w:rPr>
          <w:lang w:val="en-US"/>
        </w:rPr>
        <w:t xml:space="preserve"> to amend the previous paragraph </w:t>
      </w:r>
      <w:r w:rsidR="004427BE" w:rsidRPr="00813D19">
        <w:rPr>
          <w:lang w:val="en-US"/>
        </w:rPr>
        <w:t>for the sake of coherency</w:t>
      </w:r>
      <w:r w:rsidR="00110193" w:rsidRPr="00813D19">
        <w:rPr>
          <w:lang w:val="en-US"/>
        </w:rPr>
        <w:t xml:space="preserve"> in order to adopt the new recommendation</w:t>
      </w:r>
      <w:r w:rsidR="00973424">
        <w:rPr>
          <w:lang w:val="en-US"/>
        </w:rPr>
        <w:t>.</w:t>
      </w:r>
    </w:p>
    <w:p w14:paraId="2D640545" w14:textId="7C222E74" w:rsidR="004427BE" w:rsidRPr="00813D19" w:rsidRDefault="00C97847" w:rsidP="00414700">
      <w:pPr>
        <w:pStyle w:val="Orateurengris"/>
        <w:spacing w:before="120"/>
        <w:ind w:left="709" w:hanging="709"/>
        <w:rPr>
          <w:lang w:val="en-US"/>
        </w:rPr>
      </w:pPr>
      <w:r w:rsidRPr="00813D19">
        <w:rPr>
          <w:lang w:val="en-US"/>
        </w:rPr>
        <w:t xml:space="preserve">The </w:t>
      </w:r>
      <w:r w:rsidRPr="00813D19">
        <w:rPr>
          <w:b/>
          <w:lang w:val="en-US"/>
        </w:rPr>
        <w:t xml:space="preserve">Secretary </w:t>
      </w:r>
      <w:r w:rsidR="004427BE" w:rsidRPr="00813D19">
        <w:rPr>
          <w:bCs/>
          <w:lang w:val="en-US"/>
        </w:rPr>
        <w:t>was not saying it was not coherent, only tha</w:t>
      </w:r>
      <w:r w:rsidR="00973424">
        <w:rPr>
          <w:bCs/>
          <w:lang w:val="en-US"/>
        </w:rPr>
        <w:t>t it would need to be coherent.</w:t>
      </w:r>
    </w:p>
    <w:p w14:paraId="5DC14F85" w14:textId="5FB530B7" w:rsidR="004427BE" w:rsidRPr="00813D19" w:rsidRDefault="004427BE" w:rsidP="00414700">
      <w:pPr>
        <w:pStyle w:val="Orateurengris"/>
        <w:spacing w:before="120"/>
        <w:ind w:left="709" w:hanging="709"/>
        <w:rPr>
          <w:lang w:val="en-US"/>
        </w:rPr>
      </w:pPr>
      <w:r w:rsidRPr="00813D19">
        <w:rPr>
          <w:bCs/>
          <w:lang w:val="en-US"/>
        </w:rPr>
        <w:t xml:space="preserve">The </w:t>
      </w:r>
      <w:r w:rsidRPr="00813D19">
        <w:rPr>
          <w:b/>
          <w:bCs/>
          <w:lang w:val="en-US"/>
        </w:rPr>
        <w:t>delegation of Palestine</w:t>
      </w:r>
      <w:r w:rsidRPr="00813D19">
        <w:rPr>
          <w:bCs/>
          <w:lang w:val="en-US"/>
        </w:rPr>
        <w:t xml:space="preserve"> remarked that </w:t>
      </w:r>
      <w:r w:rsidRPr="00813D19">
        <w:rPr>
          <w:lang w:val="en-US"/>
        </w:rPr>
        <w:t>as it needed to be coherent then some time should be spent amend</w:t>
      </w:r>
      <w:r w:rsidR="00644ABC">
        <w:rPr>
          <w:lang w:val="en-US"/>
        </w:rPr>
        <w:t>ing</w:t>
      </w:r>
      <w:r w:rsidRPr="00813D19">
        <w:rPr>
          <w:lang w:val="en-US"/>
        </w:rPr>
        <w:t xml:space="preserve"> the previous paragraph </w:t>
      </w:r>
      <w:r w:rsidR="00110193" w:rsidRPr="00813D19">
        <w:rPr>
          <w:lang w:val="en-US"/>
        </w:rPr>
        <w:t xml:space="preserve">to adopt </w:t>
      </w:r>
      <w:r w:rsidR="00973424">
        <w:rPr>
          <w:lang w:val="en-US"/>
        </w:rPr>
        <w:t>the new recommendation.</w:t>
      </w:r>
    </w:p>
    <w:p w14:paraId="47E85A0F" w14:textId="451AD44A" w:rsidR="00C97847" w:rsidRPr="00813D19" w:rsidRDefault="004427BE" w:rsidP="00414700">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replied that </w:t>
      </w:r>
      <w:r w:rsidR="00925DF9" w:rsidRPr="00813D19">
        <w:rPr>
          <w:lang w:val="en-US"/>
        </w:rPr>
        <w:t xml:space="preserve">there was </w:t>
      </w:r>
      <w:r w:rsidR="00F67724" w:rsidRPr="00813D19">
        <w:rPr>
          <w:bCs/>
          <w:lang w:val="en-US"/>
        </w:rPr>
        <w:t xml:space="preserve">a solution to </w:t>
      </w:r>
      <w:r w:rsidR="00925DF9" w:rsidRPr="00813D19">
        <w:rPr>
          <w:bCs/>
          <w:lang w:val="en-US"/>
        </w:rPr>
        <w:t xml:space="preserve">the </w:t>
      </w:r>
      <w:r w:rsidRPr="00813D19">
        <w:rPr>
          <w:bCs/>
          <w:lang w:val="en-US"/>
        </w:rPr>
        <w:t>potential inconsistency</w:t>
      </w:r>
      <w:r w:rsidR="00925DF9" w:rsidRPr="00813D19">
        <w:rPr>
          <w:bCs/>
          <w:lang w:val="en-US"/>
        </w:rPr>
        <w:t>,</w:t>
      </w:r>
      <w:r w:rsidRPr="00813D19">
        <w:rPr>
          <w:bCs/>
          <w:lang w:val="en-US"/>
        </w:rPr>
        <w:t xml:space="preserve"> should</w:t>
      </w:r>
      <w:r w:rsidR="00F67724" w:rsidRPr="00813D19">
        <w:rPr>
          <w:bCs/>
          <w:lang w:val="en-US"/>
        </w:rPr>
        <w:t xml:space="preserve"> the Committe</w:t>
      </w:r>
      <w:r w:rsidRPr="00813D19">
        <w:rPr>
          <w:bCs/>
          <w:lang w:val="en-US"/>
        </w:rPr>
        <w:t xml:space="preserve">e </w:t>
      </w:r>
      <w:r w:rsidR="00F67724" w:rsidRPr="00813D19">
        <w:rPr>
          <w:bCs/>
          <w:lang w:val="en-US"/>
        </w:rPr>
        <w:t>approve</w:t>
      </w:r>
      <w:r w:rsidRPr="00813D19">
        <w:rPr>
          <w:bCs/>
          <w:lang w:val="en-US"/>
        </w:rPr>
        <w:t xml:space="preserve">, as there was </w:t>
      </w:r>
      <w:r w:rsidR="00F67724" w:rsidRPr="00813D19">
        <w:rPr>
          <w:bCs/>
          <w:lang w:val="en-US"/>
        </w:rPr>
        <w:t xml:space="preserve">a precedent </w:t>
      </w:r>
      <w:r w:rsidRPr="00813D19">
        <w:rPr>
          <w:bCs/>
          <w:lang w:val="en-US"/>
        </w:rPr>
        <w:t>in the context of Internati</w:t>
      </w:r>
      <w:r w:rsidR="00925DF9" w:rsidRPr="00813D19">
        <w:rPr>
          <w:bCs/>
          <w:lang w:val="en-US"/>
        </w:rPr>
        <w:t>o</w:t>
      </w:r>
      <w:r w:rsidRPr="00813D19">
        <w:rPr>
          <w:bCs/>
          <w:lang w:val="en-US"/>
        </w:rPr>
        <w:t xml:space="preserve">nal Assistance </w:t>
      </w:r>
      <w:r w:rsidR="00F67724" w:rsidRPr="00813D19">
        <w:rPr>
          <w:bCs/>
          <w:lang w:val="en-US"/>
        </w:rPr>
        <w:t xml:space="preserve">where the Committee asked the submitting State to work with the Secretariat for a later presentation to the Bureau. </w:t>
      </w:r>
      <w:r w:rsidRPr="00813D19">
        <w:rPr>
          <w:bCs/>
          <w:lang w:val="en-US"/>
        </w:rPr>
        <w:t>This mean</w:t>
      </w:r>
      <w:r w:rsidR="00263668" w:rsidRPr="00813D19">
        <w:rPr>
          <w:bCs/>
          <w:lang w:val="en-US"/>
        </w:rPr>
        <w:t>t</w:t>
      </w:r>
      <w:r w:rsidR="00F67724" w:rsidRPr="00813D19">
        <w:rPr>
          <w:bCs/>
          <w:lang w:val="en-US"/>
        </w:rPr>
        <w:t xml:space="preserve"> </w:t>
      </w:r>
      <w:r w:rsidRPr="00813D19">
        <w:rPr>
          <w:bCs/>
          <w:lang w:val="en-US"/>
        </w:rPr>
        <w:t xml:space="preserve">that </w:t>
      </w:r>
      <w:r w:rsidR="00F67724" w:rsidRPr="00813D19">
        <w:rPr>
          <w:bCs/>
          <w:lang w:val="en-US"/>
        </w:rPr>
        <w:t xml:space="preserve">the later paragraphs would be amended in </w:t>
      </w:r>
      <w:r w:rsidR="00925DF9" w:rsidRPr="00813D19">
        <w:rPr>
          <w:bCs/>
          <w:lang w:val="en-US"/>
        </w:rPr>
        <w:t xml:space="preserve">line </w:t>
      </w:r>
      <w:r w:rsidRPr="00813D19">
        <w:rPr>
          <w:bCs/>
          <w:lang w:val="en-US"/>
        </w:rPr>
        <w:t xml:space="preserve">with </w:t>
      </w:r>
      <w:r w:rsidR="00644ABC" w:rsidRPr="00813D19">
        <w:rPr>
          <w:bCs/>
          <w:lang w:val="en-US"/>
        </w:rPr>
        <w:t>th</w:t>
      </w:r>
      <w:r w:rsidR="00644ABC">
        <w:rPr>
          <w:bCs/>
          <w:lang w:val="en-US"/>
        </w:rPr>
        <w:t>e</w:t>
      </w:r>
      <w:r w:rsidR="00644ABC" w:rsidRPr="00813D19">
        <w:rPr>
          <w:bCs/>
          <w:lang w:val="en-US"/>
        </w:rPr>
        <w:t xml:space="preserve"> </w:t>
      </w:r>
      <w:r w:rsidRPr="00813D19">
        <w:rPr>
          <w:bCs/>
          <w:lang w:val="en-US"/>
        </w:rPr>
        <w:t>precedent.</w:t>
      </w:r>
    </w:p>
    <w:p w14:paraId="4CD40A89" w14:textId="2D580FC8" w:rsidR="00C97847" w:rsidRPr="00813D19" w:rsidRDefault="00C97847" w:rsidP="00414700">
      <w:pPr>
        <w:pStyle w:val="Orateurengris"/>
        <w:spacing w:before="120"/>
        <w:ind w:left="709" w:hanging="709"/>
        <w:rPr>
          <w:lang w:val="en-US"/>
        </w:rPr>
      </w:pPr>
      <w:r w:rsidRPr="00813D19">
        <w:rPr>
          <w:lang w:val="en-US"/>
        </w:rPr>
        <w:t xml:space="preserve">The </w:t>
      </w:r>
      <w:r w:rsidRPr="00813D19">
        <w:rPr>
          <w:b/>
          <w:lang w:val="en-US"/>
        </w:rPr>
        <w:t>delegation of Palestine</w:t>
      </w:r>
      <w:r w:rsidR="00F67724" w:rsidRPr="00813D19">
        <w:rPr>
          <w:b/>
          <w:lang w:val="en-US"/>
        </w:rPr>
        <w:t xml:space="preserve"> </w:t>
      </w:r>
      <w:r w:rsidR="00925DF9" w:rsidRPr="00813D19">
        <w:rPr>
          <w:lang w:val="en-US"/>
        </w:rPr>
        <w:t>noted the</w:t>
      </w:r>
      <w:r w:rsidR="00925DF9" w:rsidRPr="00813D19">
        <w:rPr>
          <w:b/>
          <w:lang w:val="en-US"/>
        </w:rPr>
        <w:t xml:space="preserve"> </w:t>
      </w:r>
      <w:r w:rsidR="00F67724" w:rsidRPr="00813D19">
        <w:rPr>
          <w:lang w:val="en-US"/>
        </w:rPr>
        <w:t xml:space="preserve">good proposal </w:t>
      </w:r>
      <w:r w:rsidR="00263668" w:rsidRPr="00813D19">
        <w:rPr>
          <w:lang w:val="en-US"/>
        </w:rPr>
        <w:t>that the Committee could approve</w:t>
      </w:r>
      <w:r w:rsidR="00973424">
        <w:rPr>
          <w:lang w:val="en-US"/>
        </w:rPr>
        <w:t>.</w:t>
      </w:r>
    </w:p>
    <w:p w14:paraId="78EB0E1F" w14:textId="27722E58" w:rsidR="00807C9A" w:rsidRPr="00813D19" w:rsidRDefault="00807C9A" w:rsidP="00414700">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F67724" w:rsidRPr="00813D19">
        <w:rPr>
          <w:bCs/>
          <w:lang w:val="en-US"/>
        </w:rPr>
        <w:t>request</w:t>
      </w:r>
      <w:r w:rsidR="00263668" w:rsidRPr="00813D19">
        <w:rPr>
          <w:bCs/>
          <w:lang w:val="en-US"/>
        </w:rPr>
        <w:t>ed</w:t>
      </w:r>
      <w:r w:rsidR="00F67724" w:rsidRPr="00813D19">
        <w:rPr>
          <w:bCs/>
          <w:lang w:val="en-US"/>
        </w:rPr>
        <w:t xml:space="preserve"> time to ensure coherence and consistency with the precedent</w:t>
      </w:r>
      <w:r w:rsidR="004427BE" w:rsidRPr="00813D19">
        <w:rPr>
          <w:bCs/>
          <w:lang w:val="en-US"/>
        </w:rPr>
        <w:t>.</w:t>
      </w:r>
    </w:p>
    <w:p w14:paraId="2E4424C9" w14:textId="205294EE" w:rsidR="00DF4B5B" w:rsidRPr="00813D19" w:rsidRDefault="00DF4B5B" w:rsidP="00414700">
      <w:pPr>
        <w:pStyle w:val="Orateurengris"/>
        <w:spacing w:before="120"/>
        <w:ind w:left="709" w:hanging="709"/>
        <w:rPr>
          <w:lang w:val="en-US"/>
        </w:rPr>
      </w:pPr>
      <w:r w:rsidRPr="00813D19">
        <w:rPr>
          <w:lang w:val="en-US"/>
        </w:rPr>
        <w:t xml:space="preserve">The </w:t>
      </w:r>
      <w:r w:rsidRPr="00813D19">
        <w:rPr>
          <w:b/>
          <w:lang w:val="en-US"/>
        </w:rPr>
        <w:t>delegation of Palestine</w:t>
      </w:r>
      <w:r w:rsidR="00F67724" w:rsidRPr="00813D19">
        <w:rPr>
          <w:b/>
          <w:lang w:val="en-US"/>
        </w:rPr>
        <w:t xml:space="preserve"> </w:t>
      </w:r>
      <w:r w:rsidR="00263668" w:rsidRPr="00813D19">
        <w:rPr>
          <w:lang w:val="en-US"/>
        </w:rPr>
        <w:t xml:space="preserve">asked whether it would be agreeable to suspend the item in order to save time to allow the Secretariat to </w:t>
      </w:r>
      <w:r w:rsidR="00973424">
        <w:rPr>
          <w:lang w:val="en-US"/>
        </w:rPr>
        <w:t>correctly amend the paragraphs.</w:t>
      </w:r>
    </w:p>
    <w:p w14:paraId="0CC4F404" w14:textId="1663D3DC" w:rsidR="000E5AD9" w:rsidRPr="00813D19" w:rsidRDefault="0062574F" w:rsidP="00E721C1">
      <w:pPr>
        <w:pStyle w:val="Orateurengris"/>
        <w:spacing w:after="0"/>
        <w:ind w:left="709" w:hanging="709"/>
        <w:rPr>
          <w:i/>
          <w:lang w:val="en-US"/>
        </w:rPr>
      </w:pPr>
      <w:r w:rsidRPr="00813D19">
        <w:rPr>
          <w:lang w:val="en-US"/>
        </w:rPr>
        <w:t xml:space="preserve">The </w:t>
      </w:r>
      <w:r w:rsidRPr="00813D19">
        <w:rPr>
          <w:b/>
          <w:lang w:val="en-US"/>
        </w:rPr>
        <w:t>Chairperson</w:t>
      </w:r>
      <w:r w:rsidRPr="00813D19">
        <w:rPr>
          <w:lang w:val="en-US"/>
        </w:rPr>
        <w:t xml:space="preserve"> </w:t>
      </w:r>
      <w:r w:rsidR="00925DF9" w:rsidRPr="00813D19">
        <w:rPr>
          <w:lang w:val="en-US"/>
        </w:rPr>
        <w:t>suspen</w:t>
      </w:r>
      <w:r w:rsidR="000E5AD9" w:rsidRPr="00813D19">
        <w:rPr>
          <w:lang w:val="en-US"/>
        </w:rPr>
        <w:t>d</w:t>
      </w:r>
      <w:r w:rsidR="00925DF9" w:rsidRPr="00813D19">
        <w:rPr>
          <w:lang w:val="en-US"/>
        </w:rPr>
        <w:t>ed</w:t>
      </w:r>
      <w:r w:rsidR="000E5AD9" w:rsidRPr="00813D19">
        <w:rPr>
          <w:lang w:val="en-US"/>
        </w:rPr>
        <w:t xml:space="preserve"> the item to allow the </w:t>
      </w:r>
      <w:r w:rsidR="00F67724" w:rsidRPr="00813D19">
        <w:rPr>
          <w:lang w:val="en-US"/>
        </w:rPr>
        <w:t xml:space="preserve">Secretary to </w:t>
      </w:r>
      <w:r w:rsidR="000E5AD9" w:rsidRPr="00813D19">
        <w:rPr>
          <w:lang w:val="en-US"/>
        </w:rPr>
        <w:t xml:space="preserve">carry out </w:t>
      </w:r>
      <w:r w:rsidR="00F67724" w:rsidRPr="00813D19">
        <w:rPr>
          <w:lang w:val="en-US"/>
        </w:rPr>
        <w:t>some corrections</w:t>
      </w:r>
      <w:r w:rsidR="000E5AD9" w:rsidRPr="00813D19">
        <w:rPr>
          <w:lang w:val="en-US"/>
        </w:rPr>
        <w:t>.</w:t>
      </w:r>
    </w:p>
    <w:p w14:paraId="7AF9C064" w14:textId="17A13E8C" w:rsidR="00263668" w:rsidRPr="00813D19" w:rsidRDefault="00263668" w:rsidP="00973424">
      <w:pPr>
        <w:pStyle w:val="Orateurengris"/>
        <w:numPr>
          <w:ilvl w:val="0"/>
          <w:numId w:val="0"/>
        </w:numPr>
        <w:spacing w:before="240" w:after="240"/>
        <w:jc w:val="center"/>
        <w:rPr>
          <w:i/>
          <w:lang w:val="en-US"/>
        </w:rPr>
      </w:pPr>
      <w:r w:rsidRPr="00813D19">
        <w:rPr>
          <w:i/>
          <w:lang w:val="en-US"/>
        </w:rPr>
        <w:t>[Suspension of agenda item 1</w:t>
      </w:r>
      <w:r w:rsidR="00110193" w:rsidRPr="00813D19">
        <w:rPr>
          <w:i/>
          <w:lang w:val="en-US"/>
        </w:rPr>
        <w:t>0.d</w:t>
      </w:r>
      <w:r w:rsidRPr="00813D19">
        <w:rPr>
          <w:i/>
          <w:lang w:val="en-US"/>
        </w:rPr>
        <w:t>]</w:t>
      </w:r>
    </w:p>
    <w:p w14:paraId="53D18270" w14:textId="4511213F" w:rsidR="00C068AA" w:rsidRPr="00813D19" w:rsidRDefault="00C068AA" w:rsidP="00973424">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10.b OF THE AGENDA </w:t>
      </w:r>
      <w:r w:rsidR="00903550" w:rsidRPr="00813D19">
        <w:rPr>
          <w:b/>
          <w:color w:val="000000" w:themeColor="text1"/>
          <w:u w:val="single"/>
          <w:lang w:val="en-US"/>
        </w:rPr>
        <w:t>[CONT.]</w:t>
      </w:r>
    </w:p>
    <w:p w14:paraId="2785DE8D" w14:textId="77777777" w:rsidR="00C068AA" w:rsidRPr="00813D19" w:rsidRDefault="00C068AA" w:rsidP="005966F6">
      <w:pPr>
        <w:pStyle w:val="Orateurengris"/>
        <w:numPr>
          <w:ilvl w:val="0"/>
          <w:numId w:val="0"/>
        </w:numPr>
        <w:spacing w:after="240"/>
        <w:outlineLvl w:val="1"/>
        <w:rPr>
          <w:b/>
          <w:color w:val="000000" w:themeColor="text1"/>
          <w:lang w:val="en-US"/>
        </w:rPr>
      </w:pPr>
      <w:r w:rsidRPr="00813D19">
        <w:rPr>
          <w:b/>
          <w:color w:val="000000" w:themeColor="text1"/>
          <w:lang w:val="en-US"/>
        </w:rPr>
        <w:t>EXAMINATION OF NOMINATIONS FOR INSCRIPTION ON THE REPRESENTATIVE LIST OF THE INTANGIBLE CULTURAL HERITAGE OF HUMANITY</w:t>
      </w:r>
    </w:p>
    <w:p w14:paraId="326F4C64" w14:textId="0097B40A" w:rsidR="00BA44C4" w:rsidRPr="00813D19" w:rsidRDefault="00C068AA" w:rsidP="00E721C1">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B85B8E" w:rsidRPr="00813D19">
        <w:rPr>
          <w:lang w:val="en-US"/>
        </w:rPr>
        <w:t xml:space="preserve">informed the Committee that it had so </w:t>
      </w:r>
      <w:r w:rsidR="00F67724" w:rsidRPr="00813D19">
        <w:rPr>
          <w:lang w:val="en-US"/>
        </w:rPr>
        <w:t xml:space="preserve">far completed </w:t>
      </w:r>
      <w:r w:rsidR="00644ABC">
        <w:rPr>
          <w:lang w:val="en-US"/>
        </w:rPr>
        <w:t>forty-seven</w:t>
      </w:r>
      <w:r w:rsidR="00644ABC" w:rsidRPr="00813D19">
        <w:rPr>
          <w:lang w:val="en-US"/>
        </w:rPr>
        <w:t xml:space="preserve"> </w:t>
      </w:r>
      <w:r w:rsidR="00F67724" w:rsidRPr="00813D19">
        <w:rPr>
          <w:lang w:val="en-US"/>
        </w:rPr>
        <w:t>indi</w:t>
      </w:r>
      <w:r w:rsidR="00B85B8E" w:rsidRPr="00813D19">
        <w:rPr>
          <w:lang w:val="en-US"/>
        </w:rPr>
        <w:t xml:space="preserve">vidual files and </w:t>
      </w:r>
      <w:r w:rsidR="000E589F" w:rsidRPr="00813D19">
        <w:rPr>
          <w:lang w:val="en-US"/>
        </w:rPr>
        <w:t>sub-</w:t>
      </w:r>
      <w:r w:rsidR="00B85B8E" w:rsidRPr="00813D19">
        <w:rPr>
          <w:lang w:val="en-US"/>
        </w:rPr>
        <w:t>items 10.</w:t>
      </w:r>
      <w:r w:rsidR="00D61949" w:rsidRPr="00813D19">
        <w:rPr>
          <w:lang w:val="en-US"/>
        </w:rPr>
        <w:t xml:space="preserve"> </w:t>
      </w:r>
      <w:r w:rsidR="00B85B8E" w:rsidRPr="00813D19">
        <w:rPr>
          <w:lang w:val="en-US"/>
        </w:rPr>
        <w:t>a, b, c</w:t>
      </w:r>
      <w:r w:rsidR="00F67724" w:rsidRPr="00813D19">
        <w:rPr>
          <w:lang w:val="en-US"/>
        </w:rPr>
        <w:t xml:space="preserve">, </w:t>
      </w:r>
      <w:r w:rsidR="00B85B8E" w:rsidRPr="00813D19">
        <w:rPr>
          <w:lang w:val="en-US"/>
        </w:rPr>
        <w:t xml:space="preserve">with </w:t>
      </w:r>
      <w:r w:rsidR="000E589F" w:rsidRPr="00813D19">
        <w:rPr>
          <w:lang w:val="en-US"/>
        </w:rPr>
        <w:t>sub-</w:t>
      </w:r>
      <w:r w:rsidR="00B85B8E" w:rsidRPr="00813D19">
        <w:rPr>
          <w:lang w:val="en-US"/>
        </w:rPr>
        <w:t xml:space="preserve">item 10.d just suspended, and </w:t>
      </w:r>
      <w:r w:rsidR="00F67724" w:rsidRPr="00813D19">
        <w:rPr>
          <w:lang w:val="en-US"/>
        </w:rPr>
        <w:t>one file remaining for Chamamé</w:t>
      </w:r>
      <w:r w:rsidR="00644ABC">
        <w:rPr>
          <w:lang w:val="en-US"/>
        </w:rPr>
        <w:t>,</w:t>
      </w:r>
      <w:r w:rsidR="00F67724" w:rsidRPr="00813D19">
        <w:rPr>
          <w:lang w:val="en-US"/>
        </w:rPr>
        <w:t xml:space="preserve"> submitted by Argentina. </w:t>
      </w:r>
      <w:r w:rsidR="00B85B8E" w:rsidRPr="00813D19">
        <w:rPr>
          <w:lang w:val="en-US"/>
        </w:rPr>
        <w:t xml:space="preserve">It was recalled </w:t>
      </w:r>
      <w:r w:rsidR="00F67724" w:rsidRPr="00813D19">
        <w:rPr>
          <w:lang w:val="en-US"/>
        </w:rPr>
        <w:t xml:space="preserve">that </w:t>
      </w:r>
      <w:r w:rsidR="00B85B8E" w:rsidRPr="00813D19">
        <w:rPr>
          <w:lang w:val="en-US"/>
        </w:rPr>
        <w:t xml:space="preserve">the examination of its corresponding draft decision </w:t>
      </w:r>
      <w:r w:rsidR="00644ABC">
        <w:rPr>
          <w:lang w:val="en-US"/>
        </w:rPr>
        <w:t>had been</w:t>
      </w:r>
      <w:r w:rsidR="00644ABC" w:rsidRPr="00813D19">
        <w:rPr>
          <w:lang w:val="en-US"/>
        </w:rPr>
        <w:t xml:space="preserve"> </w:t>
      </w:r>
      <w:r w:rsidR="00F67724" w:rsidRPr="00813D19">
        <w:rPr>
          <w:lang w:val="en-US"/>
        </w:rPr>
        <w:t>suspended. As a reminder</w:t>
      </w:r>
      <w:r w:rsidR="00B85B8E" w:rsidRPr="00813D19">
        <w:rPr>
          <w:lang w:val="en-US"/>
        </w:rPr>
        <w:t>,</w:t>
      </w:r>
      <w:r w:rsidR="00F67724" w:rsidRPr="00813D19">
        <w:rPr>
          <w:lang w:val="en-US"/>
        </w:rPr>
        <w:t xml:space="preserve"> when </w:t>
      </w:r>
      <w:r w:rsidR="00B85B8E" w:rsidRPr="00813D19">
        <w:rPr>
          <w:lang w:val="en-US"/>
        </w:rPr>
        <w:t xml:space="preserve">it was </w:t>
      </w:r>
      <w:r w:rsidR="00F67724" w:rsidRPr="00813D19">
        <w:rPr>
          <w:lang w:val="en-US"/>
        </w:rPr>
        <w:t xml:space="preserve">suspended on Wednesday, </w:t>
      </w:r>
      <w:r w:rsidR="00B85B8E" w:rsidRPr="00813D19">
        <w:rPr>
          <w:lang w:val="en-US"/>
        </w:rPr>
        <w:t xml:space="preserve">the Committee </w:t>
      </w:r>
      <w:r w:rsidR="00F67724" w:rsidRPr="00813D19">
        <w:rPr>
          <w:lang w:val="en-US"/>
        </w:rPr>
        <w:t xml:space="preserve">requested that the Secretariat reflect on a creative procedure that would allow the file to be examined by the Committee as soon as </w:t>
      </w:r>
      <w:r w:rsidR="00B85B8E" w:rsidRPr="00813D19">
        <w:rPr>
          <w:lang w:val="en-US"/>
        </w:rPr>
        <w:t>2019</w:t>
      </w:r>
      <w:r w:rsidR="00F67724" w:rsidRPr="00813D19">
        <w:rPr>
          <w:lang w:val="en-US"/>
        </w:rPr>
        <w:t xml:space="preserve">. Responding to </w:t>
      </w:r>
      <w:r w:rsidR="00B85B8E" w:rsidRPr="00813D19">
        <w:rPr>
          <w:lang w:val="en-US"/>
        </w:rPr>
        <w:t xml:space="preserve">its </w:t>
      </w:r>
      <w:r w:rsidR="00F67724" w:rsidRPr="00813D19">
        <w:rPr>
          <w:lang w:val="en-US"/>
        </w:rPr>
        <w:t>request</w:t>
      </w:r>
      <w:r w:rsidR="00B85B8E" w:rsidRPr="00813D19">
        <w:rPr>
          <w:lang w:val="en-US"/>
        </w:rPr>
        <w:t>,</w:t>
      </w:r>
      <w:r w:rsidR="00F67724" w:rsidRPr="00813D19">
        <w:rPr>
          <w:lang w:val="en-US"/>
        </w:rPr>
        <w:t xml:space="preserve"> the Secretariat gracefully accepted and presented to the Bureau </w:t>
      </w:r>
      <w:r w:rsidR="00B85B8E" w:rsidRPr="00813D19">
        <w:rPr>
          <w:lang w:val="en-US"/>
        </w:rPr>
        <w:t xml:space="preserve">the previous </w:t>
      </w:r>
      <w:r w:rsidR="00F67724" w:rsidRPr="00813D19">
        <w:rPr>
          <w:lang w:val="en-US"/>
        </w:rPr>
        <w:t xml:space="preserve">morning a proposal for a preliminary dialogue procedure. Following this, Bureau members undertook consultations within their respective Electoral Groups. </w:t>
      </w:r>
      <w:r w:rsidR="00B85B8E" w:rsidRPr="00813D19">
        <w:rPr>
          <w:lang w:val="en-US"/>
        </w:rPr>
        <w:t>I</w:t>
      </w:r>
      <w:r w:rsidR="00F67724" w:rsidRPr="00813D19">
        <w:rPr>
          <w:lang w:val="en-US"/>
        </w:rPr>
        <w:t xml:space="preserve">t </w:t>
      </w:r>
      <w:r w:rsidR="00B85B8E" w:rsidRPr="00813D19">
        <w:rPr>
          <w:lang w:val="en-US"/>
        </w:rPr>
        <w:t xml:space="preserve">was the Chairperson’s </w:t>
      </w:r>
      <w:r w:rsidR="00F67724" w:rsidRPr="00813D19">
        <w:rPr>
          <w:lang w:val="en-US"/>
        </w:rPr>
        <w:t>understanding that in order to come to a consensus on draft decision 13.COM 10.b.1</w:t>
      </w:r>
      <w:r w:rsidR="00B85B8E" w:rsidRPr="00813D19">
        <w:rPr>
          <w:lang w:val="en-US"/>
        </w:rPr>
        <w:t xml:space="preserve">, the Committee </w:t>
      </w:r>
      <w:r w:rsidR="00F67724" w:rsidRPr="00813D19">
        <w:rPr>
          <w:lang w:val="en-US"/>
        </w:rPr>
        <w:t xml:space="preserve">first </w:t>
      </w:r>
      <w:r w:rsidR="00B85B8E" w:rsidRPr="00813D19">
        <w:rPr>
          <w:lang w:val="en-US"/>
        </w:rPr>
        <w:t xml:space="preserve">had </w:t>
      </w:r>
      <w:r w:rsidR="00F67724" w:rsidRPr="00813D19">
        <w:rPr>
          <w:lang w:val="en-US"/>
        </w:rPr>
        <w:t xml:space="preserve">to discuss the proposal presented by the Secretariat. </w:t>
      </w:r>
      <w:r w:rsidR="00B85B8E" w:rsidRPr="00813D19">
        <w:rPr>
          <w:lang w:val="en-US"/>
        </w:rPr>
        <w:t xml:space="preserve">The Chairperson </w:t>
      </w:r>
      <w:r w:rsidR="00F67724" w:rsidRPr="00813D19">
        <w:rPr>
          <w:lang w:val="en-US"/>
        </w:rPr>
        <w:t>therefore propose</w:t>
      </w:r>
      <w:r w:rsidR="00B85B8E" w:rsidRPr="00813D19">
        <w:rPr>
          <w:lang w:val="en-US"/>
        </w:rPr>
        <w:t>d</w:t>
      </w:r>
      <w:r w:rsidR="00F67724" w:rsidRPr="00813D19">
        <w:rPr>
          <w:lang w:val="en-US"/>
        </w:rPr>
        <w:t xml:space="preserve"> first open</w:t>
      </w:r>
      <w:r w:rsidR="00644ABC">
        <w:rPr>
          <w:lang w:val="en-US"/>
        </w:rPr>
        <w:t>ing</w:t>
      </w:r>
      <w:r w:rsidR="00F67724" w:rsidRPr="00813D19">
        <w:rPr>
          <w:lang w:val="en-US"/>
        </w:rPr>
        <w:t xml:space="preserve"> a</w:t>
      </w:r>
      <w:r w:rsidR="00B85B8E" w:rsidRPr="00813D19">
        <w:rPr>
          <w:lang w:val="en-US"/>
        </w:rPr>
        <w:t xml:space="preserve"> general debate on the proposal</w:t>
      </w:r>
      <w:r w:rsidR="00F67724" w:rsidRPr="00813D19">
        <w:rPr>
          <w:lang w:val="en-US"/>
        </w:rPr>
        <w:t xml:space="preserve"> for a preliminary d</w:t>
      </w:r>
      <w:r w:rsidR="00B85B8E" w:rsidRPr="00813D19">
        <w:rPr>
          <w:lang w:val="en-US"/>
        </w:rPr>
        <w:t xml:space="preserve">ialogue procedure, after which there </w:t>
      </w:r>
      <w:r w:rsidR="00F67724" w:rsidRPr="00813D19">
        <w:rPr>
          <w:lang w:val="en-US"/>
        </w:rPr>
        <w:t xml:space="preserve">would </w:t>
      </w:r>
      <w:r w:rsidR="00B85B8E" w:rsidRPr="00813D19">
        <w:rPr>
          <w:lang w:val="en-US"/>
        </w:rPr>
        <w:t xml:space="preserve">be </w:t>
      </w:r>
      <w:r w:rsidR="00F67724" w:rsidRPr="00813D19">
        <w:rPr>
          <w:lang w:val="en-US"/>
        </w:rPr>
        <w:t xml:space="preserve">two possible solutions. If the Committee </w:t>
      </w:r>
      <w:r w:rsidR="00B85B8E" w:rsidRPr="00813D19">
        <w:rPr>
          <w:lang w:val="en-US"/>
        </w:rPr>
        <w:t>came</w:t>
      </w:r>
      <w:r w:rsidR="00F67724" w:rsidRPr="00813D19">
        <w:rPr>
          <w:lang w:val="en-US"/>
        </w:rPr>
        <w:t xml:space="preserve"> to a consensus</w:t>
      </w:r>
      <w:r w:rsidR="00B85B8E" w:rsidRPr="00813D19">
        <w:rPr>
          <w:lang w:val="en-US"/>
        </w:rPr>
        <w:t xml:space="preserve">, then it would </w:t>
      </w:r>
      <w:r w:rsidR="00F67724" w:rsidRPr="00813D19">
        <w:rPr>
          <w:lang w:val="en-US"/>
        </w:rPr>
        <w:t xml:space="preserve">discuss and adopt </w:t>
      </w:r>
      <w:r w:rsidR="00B85B8E" w:rsidRPr="00813D19">
        <w:rPr>
          <w:lang w:val="en-US"/>
        </w:rPr>
        <w:t xml:space="preserve">the </w:t>
      </w:r>
      <w:r w:rsidR="00F67724" w:rsidRPr="00813D19">
        <w:rPr>
          <w:lang w:val="en-US"/>
        </w:rPr>
        <w:t>paragraphs concerni</w:t>
      </w:r>
      <w:r w:rsidR="00B85B8E" w:rsidRPr="00813D19">
        <w:rPr>
          <w:lang w:val="en-US"/>
        </w:rPr>
        <w:t>ng the dialogue mechanism that w</w:t>
      </w:r>
      <w:r w:rsidR="00F67724" w:rsidRPr="00813D19">
        <w:rPr>
          <w:lang w:val="en-US"/>
        </w:rPr>
        <w:t>ould be integrated in</w:t>
      </w:r>
      <w:r w:rsidR="00B85B8E" w:rsidRPr="00813D19">
        <w:rPr>
          <w:lang w:val="en-US"/>
        </w:rPr>
        <w:t>to the</w:t>
      </w:r>
      <w:r w:rsidR="00F67724" w:rsidRPr="00813D19">
        <w:rPr>
          <w:lang w:val="en-US"/>
        </w:rPr>
        <w:t xml:space="preserve"> draft chapeau decision 13.COM 10. Then </w:t>
      </w:r>
      <w:r w:rsidR="00B85B8E" w:rsidRPr="00813D19">
        <w:rPr>
          <w:lang w:val="en-US"/>
        </w:rPr>
        <w:t xml:space="preserve">the Committee would </w:t>
      </w:r>
      <w:r w:rsidR="00F67724" w:rsidRPr="00813D19">
        <w:rPr>
          <w:lang w:val="en-US"/>
        </w:rPr>
        <w:t xml:space="preserve">return to the remaining files under item 10.b. </w:t>
      </w:r>
      <w:r w:rsidR="00B85B8E" w:rsidRPr="00813D19">
        <w:rPr>
          <w:lang w:val="en-US"/>
        </w:rPr>
        <w:t>However, i</w:t>
      </w:r>
      <w:r w:rsidR="00F67724" w:rsidRPr="00813D19">
        <w:rPr>
          <w:lang w:val="en-US"/>
        </w:rPr>
        <w:t xml:space="preserve">f a consensus around a preliminary dialogue mechanism </w:t>
      </w:r>
      <w:r w:rsidR="00B85B8E" w:rsidRPr="00813D19">
        <w:rPr>
          <w:lang w:val="en-US"/>
        </w:rPr>
        <w:t xml:space="preserve">did </w:t>
      </w:r>
      <w:r w:rsidR="00F67724" w:rsidRPr="00813D19">
        <w:rPr>
          <w:lang w:val="en-US"/>
        </w:rPr>
        <w:t>not emerge</w:t>
      </w:r>
      <w:r w:rsidR="00B85B8E" w:rsidRPr="00813D19">
        <w:rPr>
          <w:lang w:val="en-US"/>
        </w:rPr>
        <w:t xml:space="preserve">, then </w:t>
      </w:r>
      <w:r w:rsidR="00F67724" w:rsidRPr="00813D19">
        <w:rPr>
          <w:lang w:val="en-US"/>
        </w:rPr>
        <w:t xml:space="preserve">it would be best to resume </w:t>
      </w:r>
      <w:r w:rsidR="00644ABC">
        <w:rPr>
          <w:lang w:val="en-US"/>
        </w:rPr>
        <w:t xml:space="preserve">the </w:t>
      </w:r>
      <w:r w:rsidR="00F67724" w:rsidRPr="00813D19">
        <w:rPr>
          <w:lang w:val="en-US"/>
        </w:rPr>
        <w:t xml:space="preserve">examination of the remaining files under 10.b. before starting </w:t>
      </w:r>
      <w:r w:rsidR="00935434" w:rsidRPr="00813D19">
        <w:rPr>
          <w:lang w:val="en-US"/>
        </w:rPr>
        <w:t>a</w:t>
      </w:r>
      <w:r w:rsidR="00F67724" w:rsidRPr="00813D19">
        <w:rPr>
          <w:lang w:val="en-US"/>
        </w:rPr>
        <w:t xml:space="preserve"> general debate under item 10 as originally planned. </w:t>
      </w:r>
      <w:r w:rsidR="00B85B8E" w:rsidRPr="00813D19">
        <w:rPr>
          <w:lang w:val="en-US"/>
        </w:rPr>
        <w:t xml:space="preserve">The Chairperson sought </w:t>
      </w:r>
      <w:r w:rsidR="00F67724" w:rsidRPr="00813D19">
        <w:rPr>
          <w:lang w:val="en-US"/>
        </w:rPr>
        <w:t xml:space="preserve">the comments and views of the Committee on this </w:t>
      </w:r>
      <w:r w:rsidR="00B85B8E" w:rsidRPr="00813D19">
        <w:rPr>
          <w:lang w:val="en-US"/>
        </w:rPr>
        <w:t>procedure</w:t>
      </w:r>
      <w:r w:rsidR="00F67724" w:rsidRPr="00813D19">
        <w:rPr>
          <w:lang w:val="en-US"/>
        </w:rPr>
        <w:t xml:space="preserve">. </w:t>
      </w:r>
      <w:r w:rsidR="009D593E" w:rsidRPr="00813D19">
        <w:rPr>
          <w:lang w:val="en-US"/>
        </w:rPr>
        <w:t xml:space="preserve">With no objections to the proposal made, the Chairperson </w:t>
      </w:r>
      <w:r w:rsidR="00F67724" w:rsidRPr="00813D19">
        <w:rPr>
          <w:lang w:val="en-US"/>
        </w:rPr>
        <w:t>open</w:t>
      </w:r>
      <w:r w:rsidR="009D593E" w:rsidRPr="00813D19">
        <w:rPr>
          <w:lang w:val="en-US"/>
        </w:rPr>
        <w:t>ed</w:t>
      </w:r>
      <w:r w:rsidR="00F67724" w:rsidRPr="00813D19">
        <w:rPr>
          <w:lang w:val="en-US"/>
        </w:rPr>
        <w:t xml:space="preserve"> the debate </w:t>
      </w:r>
      <w:r w:rsidR="009D593E" w:rsidRPr="00813D19">
        <w:rPr>
          <w:lang w:val="en-US"/>
        </w:rPr>
        <w:t xml:space="preserve">on </w:t>
      </w:r>
      <w:r w:rsidR="00F67724" w:rsidRPr="00813D19">
        <w:rPr>
          <w:lang w:val="en-US"/>
        </w:rPr>
        <w:t xml:space="preserve">the proposal for a preliminary dialogue. As this </w:t>
      </w:r>
      <w:r w:rsidR="00644ABC">
        <w:rPr>
          <w:lang w:val="en-US"/>
        </w:rPr>
        <w:t xml:space="preserve">was </w:t>
      </w:r>
      <w:r w:rsidR="00F67724" w:rsidRPr="00813D19">
        <w:rPr>
          <w:lang w:val="en-US"/>
        </w:rPr>
        <w:t xml:space="preserve">a matter </w:t>
      </w:r>
      <w:r w:rsidR="009D593E" w:rsidRPr="00813D19">
        <w:rPr>
          <w:lang w:val="en-US"/>
        </w:rPr>
        <w:t xml:space="preserve">was of </w:t>
      </w:r>
      <w:r w:rsidR="00F67724" w:rsidRPr="00813D19">
        <w:rPr>
          <w:lang w:val="en-US"/>
        </w:rPr>
        <w:t>great interest</w:t>
      </w:r>
      <w:r w:rsidR="009D593E" w:rsidRPr="00813D19">
        <w:rPr>
          <w:lang w:val="en-US"/>
        </w:rPr>
        <w:t>,</w:t>
      </w:r>
      <w:r w:rsidR="00F67724" w:rsidRPr="00813D19">
        <w:rPr>
          <w:lang w:val="en-US"/>
        </w:rPr>
        <w:t xml:space="preserve"> not only to Members of the Committee but also to </w:t>
      </w:r>
      <w:r w:rsidR="009D593E" w:rsidRPr="00813D19">
        <w:rPr>
          <w:lang w:val="en-US"/>
        </w:rPr>
        <w:t xml:space="preserve">all </w:t>
      </w:r>
      <w:r w:rsidR="00F67724" w:rsidRPr="00813D19">
        <w:rPr>
          <w:lang w:val="en-US"/>
        </w:rPr>
        <w:t xml:space="preserve">States Parties to the Convention, </w:t>
      </w:r>
      <w:r w:rsidR="009D593E" w:rsidRPr="00813D19">
        <w:rPr>
          <w:lang w:val="en-US"/>
        </w:rPr>
        <w:t xml:space="preserve">the Chairperson </w:t>
      </w:r>
      <w:r w:rsidR="00F67724" w:rsidRPr="00813D19">
        <w:rPr>
          <w:lang w:val="en-US"/>
        </w:rPr>
        <w:t>wish</w:t>
      </w:r>
      <w:r w:rsidR="009D593E" w:rsidRPr="00813D19">
        <w:rPr>
          <w:lang w:val="en-US"/>
        </w:rPr>
        <w:t>ed</w:t>
      </w:r>
      <w:r w:rsidR="00F67724" w:rsidRPr="00813D19">
        <w:rPr>
          <w:lang w:val="en-US"/>
        </w:rPr>
        <w:t xml:space="preserve"> the debate </w:t>
      </w:r>
      <w:r w:rsidR="009D593E" w:rsidRPr="00813D19">
        <w:rPr>
          <w:lang w:val="en-US"/>
        </w:rPr>
        <w:t xml:space="preserve">to be </w:t>
      </w:r>
      <w:r w:rsidR="00F67724" w:rsidRPr="00813D19">
        <w:rPr>
          <w:lang w:val="en-US"/>
        </w:rPr>
        <w:t>as inclusive as possible. In accordance with Article 22.3 of our Rules of Procedure</w:t>
      </w:r>
      <w:r w:rsidR="009D593E" w:rsidRPr="00813D19">
        <w:rPr>
          <w:lang w:val="en-US"/>
        </w:rPr>
        <w:t xml:space="preserve">, he would </w:t>
      </w:r>
      <w:r w:rsidR="00F67724" w:rsidRPr="00813D19">
        <w:rPr>
          <w:lang w:val="en-US"/>
        </w:rPr>
        <w:t xml:space="preserve">first give the floor to Committee Members and then to Observers. As required, </w:t>
      </w:r>
      <w:r w:rsidR="009D593E" w:rsidRPr="00813D19">
        <w:rPr>
          <w:lang w:val="en-US"/>
        </w:rPr>
        <w:t xml:space="preserve">he </w:t>
      </w:r>
      <w:r w:rsidR="00F67724" w:rsidRPr="00813D19">
        <w:rPr>
          <w:lang w:val="en-US"/>
        </w:rPr>
        <w:t xml:space="preserve">may also seek the opinion of the Evaluation Body and the Secretariat. </w:t>
      </w:r>
      <w:r w:rsidR="009D593E" w:rsidRPr="00813D19">
        <w:rPr>
          <w:lang w:val="en-US"/>
        </w:rPr>
        <w:t>The Chairperson invited the Secretary to present the Secretariat’s proposal.</w:t>
      </w:r>
    </w:p>
    <w:p w14:paraId="60894CB7" w14:textId="47E53EF8" w:rsidR="00B23914" w:rsidRPr="00813D19" w:rsidRDefault="00B23914" w:rsidP="00C068A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705354" w:rsidRPr="00813D19">
        <w:rPr>
          <w:color w:val="000000" w:themeColor="text1"/>
          <w:lang w:val="en-US"/>
        </w:rPr>
        <w:t xml:space="preserve">presented the proposal </w:t>
      </w:r>
      <w:r w:rsidR="00F67724" w:rsidRPr="00813D19">
        <w:rPr>
          <w:bCs/>
          <w:lang w:val="en-US"/>
        </w:rPr>
        <w:t xml:space="preserve">that </w:t>
      </w:r>
      <w:r w:rsidR="00705354" w:rsidRPr="00813D19">
        <w:rPr>
          <w:bCs/>
          <w:lang w:val="en-US"/>
        </w:rPr>
        <w:t>offered States—</w:t>
      </w:r>
      <w:r w:rsidR="00F67724" w:rsidRPr="00813D19">
        <w:rPr>
          <w:bCs/>
          <w:lang w:val="en-US"/>
        </w:rPr>
        <w:t>whose files</w:t>
      </w:r>
      <w:r w:rsidR="004722F8">
        <w:rPr>
          <w:bCs/>
          <w:lang w:val="en-US"/>
        </w:rPr>
        <w:t xml:space="preserve"> would </w:t>
      </w:r>
      <w:r w:rsidR="00F67724" w:rsidRPr="00813D19">
        <w:rPr>
          <w:bCs/>
          <w:lang w:val="en-US"/>
        </w:rPr>
        <w:t xml:space="preserve">be </w:t>
      </w:r>
      <w:r w:rsidR="00705354" w:rsidRPr="00813D19">
        <w:rPr>
          <w:bCs/>
          <w:lang w:val="en-US"/>
        </w:rPr>
        <w:t xml:space="preserve">referred at the current session—the possibility to </w:t>
      </w:r>
      <w:r w:rsidR="00F67724" w:rsidRPr="00813D19">
        <w:rPr>
          <w:bCs/>
          <w:lang w:val="en-US"/>
        </w:rPr>
        <w:t xml:space="preserve">submit clarifications </w:t>
      </w:r>
      <w:r w:rsidR="00705354" w:rsidRPr="00813D19">
        <w:rPr>
          <w:bCs/>
          <w:lang w:val="en-US"/>
        </w:rPr>
        <w:t xml:space="preserve">to the Secretariat </w:t>
      </w:r>
      <w:r w:rsidR="00F67724" w:rsidRPr="00813D19">
        <w:rPr>
          <w:bCs/>
          <w:lang w:val="en-US"/>
        </w:rPr>
        <w:t xml:space="preserve">prior to the first meeting of the Evaluation Body foreseen at the end of February </w:t>
      </w:r>
      <w:r w:rsidR="00705354" w:rsidRPr="00813D19">
        <w:rPr>
          <w:bCs/>
          <w:lang w:val="en-US"/>
        </w:rPr>
        <w:t xml:space="preserve">in 2019 </w:t>
      </w:r>
      <w:r w:rsidR="00F67724" w:rsidRPr="00813D19">
        <w:rPr>
          <w:bCs/>
          <w:lang w:val="en-US"/>
        </w:rPr>
        <w:t xml:space="preserve">should they wish. These clarifications should respond to the concerns of the Committee and the Evaluation Body on the referred criteria and must be provided in the two working languages of the Committee, English and French. The word count should not exceed the total word limit set in the nomination form for the criteria concerned. The Secretariat </w:t>
      </w:r>
      <w:r w:rsidR="004722F8">
        <w:rPr>
          <w:bCs/>
          <w:lang w:val="en-US"/>
        </w:rPr>
        <w:t xml:space="preserve">would </w:t>
      </w:r>
      <w:r w:rsidR="00F67724" w:rsidRPr="00813D19">
        <w:rPr>
          <w:bCs/>
          <w:lang w:val="en-US"/>
        </w:rPr>
        <w:t xml:space="preserve">register acknowledged receipt of the clarifications received. It </w:t>
      </w:r>
      <w:r w:rsidR="004722F8">
        <w:rPr>
          <w:bCs/>
          <w:lang w:val="en-US"/>
        </w:rPr>
        <w:t>would</w:t>
      </w:r>
      <w:r w:rsidR="004722F8" w:rsidRPr="00813D19">
        <w:rPr>
          <w:bCs/>
          <w:lang w:val="en-US"/>
        </w:rPr>
        <w:t xml:space="preserve"> </w:t>
      </w:r>
      <w:r w:rsidR="00F67724" w:rsidRPr="00813D19">
        <w:rPr>
          <w:bCs/>
          <w:lang w:val="en-US"/>
        </w:rPr>
        <w:t xml:space="preserve">not check if the information </w:t>
      </w:r>
      <w:r w:rsidR="004722F8">
        <w:rPr>
          <w:bCs/>
          <w:lang w:val="en-US"/>
        </w:rPr>
        <w:t>was</w:t>
      </w:r>
      <w:r w:rsidR="004722F8" w:rsidRPr="00813D19">
        <w:rPr>
          <w:bCs/>
          <w:lang w:val="en-US"/>
        </w:rPr>
        <w:t xml:space="preserve"> </w:t>
      </w:r>
      <w:r w:rsidR="00F67724" w:rsidRPr="00813D19">
        <w:rPr>
          <w:bCs/>
          <w:lang w:val="en-US"/>
        </w:rPr>
        <w:t xml:space="preserve">complete. The Secretariat </w:t>
      </w:r>
      <w:r w:rsidR="004722F8">
        <w:rPr>
          <w:bCs/>
          <w:lang w:val="en-US"/>
        </w:rPr>
        <w:t>would</w:t>
      </w:r>
      <w:r w:rsidR="004722F8" w:rsidRPr="00813D19">
        <w:rPr>
          <w:bCs/>
          <w:lang w:val="en-US"/>
        </w:rPr>
        <w:t xml:space="preserve"> </w:t>
      </w:r>
      <w:r w:rsidR="00F67724" w:rsidRPr="00813D19">
        <w:rPr>
          <w:bCs/>
          <w:lang w:val="en-US"/>
        </w:rPr>
        <w:t xml:space="preserve">then forward the clarifications to the Evaluation Body, which </w:t>
      </w:r>
      <w:r w:rsidR="004722F8">
        <w:rPr>
          <w:bCs/>
          <w:lang w:val="en-US"/>
        </w:rPr>
        <w:t>would</w:t>
      </w:r>
      <w:r w:rsidR="004722F8" w:rsidRPr="00813D19">
        <w:rPr>
          <w:bCs/>
          <w:lang w:val="en-US"/>
        </w:rPr>
        <w:t xml:space="preserve"> </w:t>
      </w:r>
      <w:r w:rsidR="00F67724" w:rsidRPr="00813D19">
        <w:rPr>
          <w:bCs/>
          <w:lang w:val="en-US"/>
        </w:rPr>
        <w:t xml:space="preserve">assess these against its original recommendations on those criteria and review their initial recommendation on the basis of the clarifications received. The files concerned </w:t>
      </w:r>
      <w:r w:rsidR="004722F8">
        <w:rPr>
          <w:bCs/>
          <w:lang w:val="en-US"/>
        </w:rPr>
        <w:t>would</w:t>
      </w:r>
      <w:r w:rsidR="004722F8" w:rsidRPr="00813D19">
        <w:rPr>
          <w:bCs/>
          <w:lang w:val="en-US"/>
        </w:rPr>
        <w:t xml:space="preserve"> </w:t>
      </w:r>
      <w:r w:rsidR="00F67724" w:rsidRPr="00813D19">
        <w:rPr>
          <w:bCs/>
          <w:lang w:val="en-US"/>
        </w:rPr>
        <w:t xml:space="preserve">be re-examined by the Committee at its fourteenth session </w:t>
      </w:r>
      <w:r w:rsidR="00705354" w:rsidRPr="00813D19">
        <w:rPr>
          <w:bCs/>
          <w:lang w:val="en-US"/>
        </w:rPr>
        <w:t xml:space="preserve">in 2019 </w:t>
      </w:r>
      <w:r w:rsidR="00F67724" w:rsidRPr="00813D19">
        <w:rPr>
          <w:bCs/>
          <w:lang w:val="en-US"/>
        </w:rPr>
        <w:t xml:space="preserve">and </w:t>
      </w:r>
      <w:r w:rsidR="00935434" w:rsidRPr="00813D19">
        <w:rPr>
          <w:bCs/>
          <w:lang w:val="en-US"/>
        </w:rPr>
        <w:t>would not be</w:t>
      </w:r>
      <w:r w:rsidR="00F67724" w:rsidRPr="00813D19">
        <w:rPr>
          <w:bCs/>
          <w:lang w:val="en-US"/>
        </w:rPr>
        <w:t xml:space="preserve"> considered as newly submitted files. As </w:t>
      </w:r>
      <w:r w:rsidR="00705354" w:rsidRPr="00813D19">
        <w:rPr>
          <w:bCs/>
          <w:lang w:val="en-US"/>
        </w:rPr>
        <w:t xml:space="preserve">previously </w:t>
      </w:r>
      <w:r w:rsidR="00F67724" w:rsidRPr="00813D19">
        <w:rPr>
          <w:bCs/>
          <w:lang w:val="en-US"/>
        </w:rPr>
        <w:t>mentioned, the Committee would need to review this procedure for discussion at the eighth session of the General Assembly</w:t>
      </w:r>
      <w:r w:rsidR="00705354" w:rsidRPr="00813D19">
        <w:rPr>
          <w:bCs/>
          <w:lang w:val="en-US"/>
        </w:rPr>
        <w:t>,</w:t>
      </w:r>
      <w:r w:rsidR="00F67724" w:rsidRPr="00813D19">
        <w:rPr>
          <w:bCs/>
          <w:lang w:val="en-US"/>
        </w:rPr>
        <w:t xml:space="preserve"> taking into account the preliminary remarks</w:t>
      </w:r>
      <w:r w:rsidR="00705354" w:rsidRPr="00813D19">
        <w:rPr>
          <w:bCs/>
          <w:lang w:val="en-US"/>
        </w:rPr>
        <w:t xml:space="preserve"> previously mentioned by the Secretary</w:t>
      </w:r>
      <w:r w:rsidR="00F67724" w:rsidRPr="00813D19">
        <w:rPr>
          <w:bCs/>
          <w:lang w:val="en-US"/>
        </w:rPr>
        <w:t xml:space="preserve">. These files </w:t>
      </w:r>
      <w:r w:rsidR="004722F8">
        <w:rPr>
          <w:bCs/>
          <w:lang w:val="en-US"/>
        </w:rPr>
        <w:t>would</w:t>
      </w:r>
      <w:r w:rsidR="004722F8" w:rsidRPr="00813D19">
        <w:rPr>
          <w:bCs/>
          <w:lang w:val="en-US"/>
        </w:rPr>
        <w:t xml:space="preserve"> </w:t>
      </w:r>
      <w:r w:rsidR="00F67724" w:rsidRPr="00813D19">
        <w:rPr>
          <w:bCs/>
          <w:lang w:val="en-US"/>
        </w:rPr>
        <w:t xml:space="preserve">be considered above the adopted overall ceiling for the 2019 cycle and </w:t>
      </w:r>
      <w:r w:rsidR="004722F8">
        <w:rPr>
          <w:bCs/>
          <w:lang w:val="en-US"/>
        </w:rPr>
        <w:t>would</w:t>
      </w:r>
      <w:r w:rsidR="004722F8" w:rsidRPr="00813D19">
        <w:rPr>
          <w:bCs/>
          <w:lang w:val="en-US"/>
        </w:rPr>
        <w:t xml:space="preserve"> </w:t>
      </w:r>
      <w:r w:rsidR="00F67724" w:rsidRPr="00813D19">
        <w:rPr>
          <w:bCs/>
          <w:lang w:val="en-US"/>
        </w:rPr>
        <w:t>not count in</w:t>
      </w:r>
      <w:r w:rsidR="00973424">
        <w:rPr>
          <w:bCs/>
          <w:lang w:val="en-US"/>
        </w:rPr>
        <w:t xml:space="preserve"> the quota of States concerned.</w:t>
      </w:r>
    </w:p>
    <w:p w14:paraId="71194793" w14:textId="5BA2D23B" w:rsidR="00D30F77" w:rsidRPr="00813D19" w:rsidRDefault="00705354" w:rsidP="00C068AA">
      <w:pPr>
        <w:pStyle w:val="Orateurengris"/>
        <w:spacing w:before="120"/>
        <w:ind w:left="709" w:hanging="709"/>
        <w:rPr>
          <w:color w:val="000000" w:themeColor="text1"/>
          <w:lang w:val="en-US"/>
        </w:rPr>
      </w:pPr>
      <w:r w:rsidRPr="00813D19">
        <w:rPr>
          <w:lang w:val="en-US"/>
        </w:rPr>
        <w:t>Taking note of the proposal,</w:t>
      </w:r>
      <w:r w:rsidRPr="00813D19">
        <w:rPr>
          <w:color w:val="000000" w:themeColor="text1"/>
          <w:lang w:val="en-US"/>
        </w:rPr>
        <w:t xml:space="preserve"> t</w:t>
      </w:r>
      <w:r w:rsidR="00D30F77" w:rsidRPr="00813D19">
        <w:rPr>
          <w:color w:val="000000" w:themeColor="text1"/>
          <w:lang w:val="en-US"/>
        </w:rPr>
        <w:t xml:space="preserve">he </w:t>
      </w:r>
      <w:r w:rsidR="00D30F77" w:rsidRPr="00813D19">
        <w:rPr>
          <w:b/>
          <w:color w:val="000000" w:themeColor="text1"/>
          <w:lang w:val="en-US"/>
        </w:rPr>
        <w:t>delegation of the Philippines</w:t>
      </w:r>
      <w:r w:rsidRPr="00813D19">
        <w:rPr>
          <w:lang w:val="en-US"/>
        </w:rPr>
        <w:t xml:space="preserve"> wished to clarify its </w:t>
      </w:r>
      <w:r w:rsidR="00F67724" w:rsidRPr="00813D19">
        <w:rPr>
          <w:lang w:val="en-US"/>
        </w:rPr>
        <w:t xml:space="preserve">position </w:t>
      </w:r>
      <w:r w:rsidRPr="00813D19">
        <w:rPr>
          <w:lang w:val="en-US"/>
        </w:rPr>
        <w:t xml:space="preserve">in that </w:t>
      </w:r>
      <w:r w:rsidR="00935434" w:rsidRPr="00813D19">
        <w:rPr>
          <w:lang w:val="en-US"/>
        </w:rPr>
        <w:t xml:space="preserve">a </w:t>
      </w:r>
      <w:r w:rsidR="00F67724" w:rsidRPr="00813D19">
        <w:rPr>
          <w:lang w:val="en-US"/>
        </w:rPr>
        <w:t xml:space="preserve">dialogue </w:t>
      </w:r>
      <w:r w:rsidR="00935434" w:rsidRPr="00813D19">
        <w:rPr>
          <w:lang w:val="en-US"/>
        </w:rPr>
        <w:t xml:space="preserve">had </w:t>
      </w:r>
      <w:r w:rsidR="004722F8" w:rsidRPr="00813D19">
        <w:rPr>
          <w:lang w:val="en-US"/>
        </w:rPr>
        <w:t>be</w:t>
      </w:r>
      <w:r w:rsidR="004722F8">
        <w:rPr>
          <w:lang w:val="en-US"/>
        </w:rPr>
        <w:t>en</w:t>
      </w:r>
      <w:r w:rsidR="004722F8" w:rsidRPr="00813D19">
        <w:rPr>
          <w:lang w:val="en-US"/>
        </w:rPr>
        <w:t xml:space="preserve"> </w:t>
      </w:r>
      <w:r w:rsidR="00F67724" w:rsidRPr="00813D19">
        <w:rPr>
          <w:lang w:val="en-US"/>
        </w:rPr>
        <w:t>called for</w:t>
      </w:r>
      <w:r w:rsidR="00935434" w:rsidRPr="00813D19">
        <w:rPr>
          <w:lang w:val="en-US"/>
        </w:rPr>
        <w:t xml:space="preserve"> in last two years</w:t>
      </w:r>
      <w:r w:rsidRPr="00813D19">
        <w:rPr>
          <w:lang w:val="en-US"/>
        </w:rPr>
        <w:t>, which</w:t>
      </w:r>
      <w:r w:rsidR="00F67724" w:rsidRPr="00813D19">
        <w:rPr>
          <w:lang w:val="en-US"/>
        </w:rPr>
        <w:t xml:space="preserve"> </w:t>
      </w:r>
      <w:r w:rsidR="004722F8">
        <w:rPr>
          <w:lang w:val="en-US"/>
        </w:rPr>
        <w:t>was</w:t>
      </w:r>
      <w:r w:rsidR="004722F8" w:rsidRPr="00813D19">
        <w:rPr>
          <w:lang w:val="en-US"/>
        </w:rPr>
        <w:t xml:space="preserve"> </w:t>
      </w:r>
      <w:r w:rsidR="00F67724" w:rsidRPr="00813D19">
        <w:rPr>
          <w:lang w:val="en-US"/>
        </w:rPr>
        <w:t>in fact a dialogue within the evaluation process</w:t>
      </w:r>
      <w:r w:rsidRPr="00813D19">
        <w:rPr>
          <w:lang w:val="en-US"/>
        </w:rPr>
        <w:t>.</w:t>
      </w:r>
      <w:r w:rsidR="00F67724" w:rsidRPr="00813D19">
        <w:rPr>
          <w:lang w:val="en-US"/>
        </w:rPr>
        <w:t xml:space="preserve"> </w:t>
      </w:r>
      <w:r w:rsidRPr="00813D19">
        <w:rPr>
          <w:lang w:val="en-US"/>
        </w:rPr>
        <w:t>T</w:t>
      </w:r>
      <w:r w:rsidR="00F67724" w:rsidRPr="00813D19">
        <w:rPr>
          <w:lang w:val="en-US"/>
        </w:rPr>
        <w:t xml:space="preserve">his proposal </w:t>
      </w:r>
      <w:r w:rsidRPr="00813D19">
        <w:rPr>
          <w:lang w:val="en-US"/>
        </w:rPr>
        <w:t xml:space="preserve">concerned </w:t>
      </w:r>
      <w:r w:rsidR="00F67724" w:rsidRPr="00813D19">
        <w:rPr>
          <w:lang w:val="en-US"/>
        </w:rPr>
        <w:t xml:space="preserve">files that were referred at this </w:t>
      </w:r>
      <w:r w:rsidRPr="00813D19">
        <w:rPr>
          <w:lang w:val="en-US"/>
        </w:rPr>
        <w:t xml:space="preserve">present session, which was thus </w:t>
      </w:r>
      <w:r w:rsidR="00F67724" w:rsidRPr="00813D19">
        <w:rPr>
          <w:lang w:val="en-US"/>
        </w:rPr>
        <w:t xml:space="preserve">a little different from the </w:t>
      </w:r>
      <w:r w:rsidRPr="00813D19">
        <w:rPr>
          <w:lang w:val="en-US"/>
        </w:rPr>
        <w:t>dialogue previously called</w:t>
      </w:r>
      <w:r w:rsidR="00F67724" w:rsidRPr="00813D19">
        <w:rPr>
          <w:lang w:val="en-US"/>
        </w:rPr>
        <w:t xml:space="preserve"> for, </w:t>
      </w:r>
      <w:r w:rsidRPr="00813D19">
        <w:rPr>
          <w:lang w:val="en-US"/>
        </w:rPr>
        <w:t xml:space="preserve">and which </w:t>
      </w:r>
      <w:r w:rsidR="00F67724" w:rsidRPr="00813D19">
        <w:rPr>
          <w:lang w:val="en-US"/>
        </w:rPr>
        <w:t xml:space="preserve">the ad hoc working group </w:t>
      </w:r>
      <w:r w:rsidRPr="00813D19">
        <w:rPr>
          <w:lang w:val="en-US"/>
        </w:rPr>
        <w:t xml:space="preserve">had been working towards </w:t>
      </w:r>
      <w:r w:rsidR="00F67724" w:rsidRPr="00813D19">
        <w:rPr>
          <w:lang w:val="en-US"/>
        </w:rPr>
        <w:t>in consultation with the Secretariat and the Evaluation Body</w:t>
      </w:r>
      <w:r w:rsidRPr="00813D19">
        <w:rPr>
          <w:lang w:val="en-US"/>
        </w:rPr>
        <w:t xml:space="preserve">. The delegation </w:t>
      </w:r>
      <w:r w:rsidR="00F67724" w:rsidRPr="00813D19">
        <w:rPr>
          <w:lang w:val="en-US"/>
        </w:rPr>
        <w:t xml:space="preserve">also </w:t>
      </w:r>
      <w:r w:rsidRPr="00813D19">
        <w:rPr>
          <w:lang w:val="en-US"/>
        </w:rPr>
        <w:t xml:space="preserve">wished to </w:t>
      </w:r>
      <w:r w:rsidR="00F67724" w:rsidRPr="00813D19">
        <w:rPr>
          <w:lang w:val="en-US"/>
        </w:rPr>
        <w:t xml:space="preserve">emphasize that the General Assembly </w:t>
      </w:r>
      <w:r w:rsidR="00935434" w:rsidRPr="00813D19">
        <w:rPr>
          <w:lang w:val="en-US"/>
        </w:rPr>
        <w:t>had</w:t>
      </w:r>
      <w:r w:rsidRPr="00813D19">
        <w:rPr>
          <w:lang w:val="en-US"/>
        </w:rPr>
        <w:t xml:space="preserve"> take</w:t>
      </w:r>
      <w:r w:rsidR="00935434" w:rsidRPr="00813D19">
        <w:rPr>
          <w:lang w:val="en-US"/>
        </w:rPr>
        <w:t>n</w:t>
      </w:r>
      <w:r w:rsidRPr="00813D19">
        <w:rPr>
          <w:lang w:val="en-US"/>
        </w:rPr>
        <w:t xml:space="preserve"> </w:t>
      </w:r>
      <w:r w:rsidR="00F67724" w:rsidRPr="00813D19">
        <w:rPr>
          <w:lang w:val="en-US"/>
        </w:rPr>
        <w:t xml:space="preserve">a decision on </w:t>
      </w:r>
      <w:r w:rsidR="004722F8">
        <w:rPr>
          <w:lang w:val="en-US"/>
        </w:rPr>
        <w:t xml:space="preserve">the </w:t>
      </w:r>
      <w:r w:rsidR="00F67724" w:rsidRPr="00813D19">
        <w:rPr>
          <w:lang w:val="en-US"/>
        </w:rPr>
        <w:t>dialogue</w:t>
      </w:r>
      <w:r w:rsidR="00973424">
        <w:rPr>
          <w:lang w:val="en-US"/>
        </w:rPr>
        <w:t xml:space="preserve"> within the evaluation process.</w:t>
      </w:r>
    </w:p>
    <w:p w14:paraId="0CDBCFCE" w14:textId="6785728F" w:rsidR="00877908" w:rsidRPr="00813D19" w:rsidRDefault="00877908" w:rsidP="00C068A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F67724" w:rsidRPr="00813D19">
        <w:rPr>
          <w:b/>
          <w:color w:val="000000" w:themeColor="text1"/>
          <w:lang w:val="en-US"/>
        </w:rPr>
        <w:t xml:space="preserve"> </w:t>
      </w:r>
      <w:r w:rsidR="00705354" w:rsidRPr="00813D19">
        <w:rPr>
          <w:color w:val="000000" w:themeColor="text1"/>
          <w:lang w:val="en-US"/>
        </w:rPr>
        <w:t>noted the ongoing discussion</w:t>
      </w:r>
      <w:r w:rsidR="00705354" w:rsidRPr="00813D19">
        <w:rPr>
          <w:b/>
          <w:color w:val="000000" w:themeColor="text1"/>
          <w:lang w:val="en-US"/>
        </w:rPr>
        <w:t xml:space="preserve"> </w:t>
      </w:r>
      <w:r w:rsidR="00705354" w:rsidRPr="00813D19">
        <w:rPr>
          <w:bCs/>
          <w:lang w:val="en-US"/>
        </w:rPr>
        <w:t>among Committee Members and other States Parties concerning this proposal</w:t>
      </w:r>
      <w:r w:rsidR="004722F8">
        <w:rPr>
          <w:bCs/>
          <w:lang w:val="en-US"/>
        </w:rPr>
        <w:t>,</w:t>
      </w:r>
      <w:r w:rsidR="00705354" w:rsidRPr="00813D19">
        <w:rPr>
          <w:bCs/>
          <w:lang w:val="en-US"/>
        </w:rPr>
        <w:t xml:space="preserve"> which it </w:t>
      </w:r>
      <w:r w:rsidR="003D7FA8" w:rsidRPr="00813D19">
        <w:rPr>
          <w:bCs/>
          <w:lang w:val="en-US"/>
        </w:rPr>
        <w:t xml:space="preserve">strongly </w:t>
      </w:r>
      <w:r w:rsidR="00705354" w:rsidRPr="00813D19">
        <w:rPr>
          <w:bCs/>
          <w:lang w:val="en-US"/>
        </w:rPr>
        <w:t>supported</w:t>
      </w:r>
      <w:r w:rsidR="00F67724" w:rsidRPr="00813D19">
        <w:rPr>
          <w:bCs/>
          <w:lang w:val="en-US"/>
        </w:rPr>
        <w:t xml:space="preserve">, </w:t>
      </w:r>
      <w:r w:rsidR="00705354" w:rsidRPr="00813D19">
        <w:rPr>
          <w:bCs/>
          <w:lang w:val="en-US"/>
        </w:rPr>
        <w:t>even though it was unfortunately an exception</w:t>
      </w:r>
      <w:r w:rsidR="00F67724" w:rsidRPr="00813D19">
        <w:rPr>
          <w:bCs/>
          <w:lang w:val="en-US"/>
        </w:rPr>
        <w:t xml:space="preserve">, </w:t>
      </w:r>
      <w:r w:rsidR="003D7FA8" w:rsidRPr="00813D19">
        <w:rPr>
          <w:bCs/>
          <w:lang w:val="en-US"/>
        </w:rPr>
        <w:t xml:space="preserve">albeit </w:t>
      </w:r>
      <w:r w:rsidR="004722F8">
        <w:rPr>
          <w:bCs/>
          <w:lang w:val="en-US"/>
        </w:rPr>
        <w:t>i</w:t>
      </w:r>
      <w:r w:rsidR="004722F8" w:rsidRPr="00813D19">
        <w:rPr>
          <w:bCs/>
          <w:lang w:val="en-US"/>
        </w:rPr>
        <w:t xml:space="preserve">n </w:t>
      </w:r>
      <w:r w:rsidR="003D7FA8" w:rsidRPr="00813D19">
        <w:rPr>
          <w:bCs/>
          <w:lang w:val="en-US"/>
        </w:rPr>
        <w:t>an experimental phase</w:t>
      </w:r>
      <w:r w:rsidR="00F67724" w:rsidRPr="00813D19">
        <w:rPr>
          <w:bCs/>
          <w:lang w:val="en-US"/>
        </w:rPr>
        <w:t xml:space="preserve">. </w:t>
      </w:r>
      <w:r w:rsidR="003D7FA8" w:rsidRPr="00813D19">
        <w:rPr>
          <w:bCs/>
          <w:lang w:val="en-US"/>
        </w:rPr>
        <w:t xml:space="preserve">It fully agreed with </w:t>
      </w:r>
      <w:r w:rsidR="00DD1434" w:rsidRPr="00813D19">
        <w:rPr>
          <w:bCs/>
          <w:lang w:val="en-US"/>
        </w:rPr>
        <w:t>the remarks by the Philippines that this was not the procedure that had been sought for two years</w:t>
      </w:r>
      <w:r w:rsidR="00F67724" w:rsidRPr="00813D19">
        <w:rPr>
          <w:bCs/>
          <w:lang w:val="en-US"/>
        </w:rPr>
        <w:t xml:space="preserve">, </w:t>
      </w:r>
      <w:r w:rsidR="00DD1434" w:rsidRPr="00813D19">
        <w:rPr>
          <w:bCs/>
          <w:lang w:val="en-US"/>
        </w:rPr>
        <w:t xml:space="preserve">but </w:t>
      </w:r>
      <w:r w:rsidR="00935434" w:rsidRPr="00813D19">
        <w:rPr>
          <w:bCs/>
          <w:lang w:val="en-US"/>
        </w:rPr>
        <w:t xml:space="preserve">it </w:t>
      </w:r>
      <w:r w:rsidR="00DD1434" w:rsidRPr="00813D19">
        <w:rPr>
          <w:bCs/>
          <w:lang w:val="en-US"/>
        </w:rPr>
        <w:t xml:space="preserve">would nonetheless underline the importance of </w:t>
      </w:r>
      <w:r w:rsidR="00F67724" w:rsidRPr="00813D19">
        <w:rPr>
          <w:bCs/>
          <w:lang w:val="en-US"/>
        </w:rPr>
        <w:t xml:space="preserve">dialogue, </w:t>
      </w:r>
      <w:r w:rsidR="00935434" w:rsidRPr="00813D19">
        <w:rPr>
          <w:bCs/>
          <w:lang w:val="en-US"/>
        </w:rPr>
        <w:t xml:space="preserve">as well as </w:t>
      </w:r>
      <w:r w:rsidR="00DD1434" w:rsidRPr="00813D19">
        <w:rPr>
          <w:bCs/>
          <w:lang w:val="en-US"/>
        </w:rPr>
        <w:t>the need fo</w:t>
      </w:r>
      <w:r w:rsidR="00935434" w:rsidRPr="00813D19">
        <w:rPr>
          <w:bCs/>
          <w:lang w:val="en-US"/>
        </w:rPr>
        <w:t xml:space="preserve">r dialogue as expressed during </w:t>
      </w:r>
      <w:r w:rsidR="00DD1434" w:rsidRPr="00813D19">
        <w:rPr>
          <w:bCs/>
          <w:lang w:val="en-US"/>
        </w:rPr>
        <w:t xml:space="preserve">the present </w:t>
      </w:r>
      <w:r w:rsidR="00F67724" w:rsidRPr="00813D19">
        <w:rPr>
          <w:bCs/>
          <w:lang w:val="en-US"/>
        </w:rPr>
        <w:t>session. Having said th</w:t>
      </w:r>
      <w:r w:rsidR="00105678">
        <w:rPr>
          <w:bCs/>
        </w:rPr>
        <w:t>at</w:t>
      </w:r>
      <w:r w:rsidR="00F67724" w:rsidRPr="00813D19">
        <w:rPr>
          <w:bCs/>
          <w:lang w:val="en-US"/>
        </w:rPr>
        <w:t xml:space="preserve">, </w:t>
      </w:r>
      <w:r w:rsidR="00DD1434" w:rsidRPr="00813D19">
        <w:rPr>
          <w:bCs/>
          <w:lang w:val="en-US"/>
        </w:rPr>
        <w:t xml:space="preserve">the delegation </w:t>
      </w:r>
      <w:r w:rsidR="00935434" w:rsidRPr="00813D19">
        <w:rPr>
          <w:bCs/>
          <w:lang w:val="en-US"/>
        </w:rPr>
        <w:t>felt</w:t>
      </w:r>
      <w:r w:rsidR="00DD1434" w:rsidRPr="00813D19">
        <w:rPr>
          <w:bCs/>
          <w:lang w:val="en-US"/>
        </w:rPr>
        <w:t xml:space="preserve"> that some </w:t>
      </w:r>
      <w:r w:rsidR="00F67724" w:rsidRPr="00813D19">
        <w:rPr>
          <w:bCs/>
          <w:lang w:val="en-US"/>
        </w:rPr>
        <w:t xml:space="preserve">Members </w:t>
      </w:r>
      <w:r w:rsidR="00DD1434" w:rsidRPr="00813D19">
        <w:rPr>
          <w:bCs/>
          <w:lang w:val="en-US"/>
        </w:rPr>
        <w:t xml:space="preserve">might </w:t>
      </w:r>
      <w:r w:rsidR="00F67724" w:rsidRPr="00813D19">
        <w:rPr>
          <w:bCs/>
          <w:lang w:val="en-US"/>
        </w:rPr>
        <w:t xml:space="preserve">raise concerns </w:t>
      </w:r>
      <w:r w:rsidR="00DD1434" w:rsidRPr="00813D19">
        <w:rPr>
          <w:bCs/>
          <w:lang w:val="en-US"/>
        </w:rPr>
        <w:t xml:space="preserve">in </w:t>
      </w:r>
      <w:r w:rsidR="00F67724" w:rsidRPr="00813D19">
        <w:rPr>
          <w:bCs/>
          <w:lang w:val="en-US"/>
        </w:rPr>
        <w:t xml:space="preserve">that it </w:t>
      </w:r>
      <w:r w:rsidR="00DD1434" w:rsidRPr="00813D19">
        <w:rPr>
          <w:bCs/>
          <w:lang w:val="en-US"/>
        </w:rPr>
        <w:t xml:space="preserve">did not </w:t>
      </w:r>
      <w:r w:rsidR="00F67724" w:rsidRPr="00813D19">
        <w:rPr>
          <w:bCs/>
          <w:lang w:val="en-US"/>
        </w:rPr>
        <w:t>fully respect the provisions</w:t>
      </w:r>
      <w:r w:rsidR="00DD1434" w:rsidRPr="00813D19">
        <w:rPr>
          <w:bCs/>
          <w:lang w:val="en-US"/>
        </w:rPr>
        <w:t xml:space="preserve"> of the Operational Directives, </w:t>
      </w:r>
      <w:r w:rsidR="00935434" w:rsidRPr="00813D19">
        <w:rPr>
          <w:bCs/>
          <w:lang w:val="en-US"/>
        </w:rPr>
        <w:t>accepting</w:t>
      </w:r>
      <w:r w:rsidR="00DD1434" w:rsidRPr="00813D19">
        <w:rPr>
          <w:bCs/>
          <w:lang w:val="en-US"/>
        </w:rPr>
        <w:t xml:space="preserve"> that this </w:t>
      </w:r>
      <w:r w:rsidR="00F67724" w:rsidRPr="00813D19">
        <w:rPr>
          <w:bCs/>
          <w:lang w:val="en-US"/>
        </w:rPr>
        <w:t xml:space="preserve">might be a problem. </w:t>
      </w:r>
      <w:r w:rsidR="00DD1434" w:rsidRPr="00813D19">
        <w:rPr>
          <w:bCs/>
          <w:lang w:val="en-US"/>
        </w:rPr>
        <w:t>I</w:t>
      </w:r>
      <w:r w:rsidR="00F67724" w:rsidRPr="00813D19">
        <w:rPr>
          <w:bCs/>
          <w:lang w:val="en-US"/>
        </w:rPr>
        <w:t>n any case</w:t>
      </w:r>
      <w:r w:rsidR="00DD1434" w:rsidRPr="00813D19">
        <w:rPr>
          <w:bCs/>
          <w:lang w:val="en-US"/>
        </w:rPr>
        <w:t>,</w:t>
      </w:r>
      <w:r w:rsidR="00F67724" w:rsidRPr="00813D19">
        <w:rPr>
          <w:bCs/>
          <w:lang w:val="en-US"/>
        </w:rPr>
        <w:t xml:space="preserve"> to address the concerns of the Philippines</w:t>
      </w:r>
      <w:r w:rsidR="00DD1434" w:rsidRPr="00813D19">
        <w:rPr>
          <w:bCs/>
          <w:lang w:val="en-US"/>
        </w:rPr>
        <w:t xml:space="preserve">, the delegation suggested </w:t>
      </w:r>
      <w:r w:rsidR="00F67724" w:rsidRPr="00813D19">
        <w:rPr>
          <w:bCs/>
          <w:lang w:val="en-US"/>
        </w:rPr>
        <w:t>at this stage</w:t>
      </w:r>
      <w:r w:rsidR="005440A6">
        <w:rPr>
          <w:bCs/>
          <w:lang w:val="en-US"/>
        </w:rPr>
        <w:t>,</w:t>
      </w:r>
      <w:r w:rsidR="00F67724" w:rsidRPr="00813D19">
        <w:rPr>
          <w:bCs/>
          <w:lang w:val="en-US"/>
        </w:rPr>
        <w:t xml:space="preserve"> and also on an experimental basis</w:t>
      </w:r>
      <w:r w:rsidR="005440A6">
        <w:rPr>
          <w:bCs/>
          <w:lang w:val="en-US"/>
        </w:rPr>
        <w:t>,</w:t>
      </w:r>
      <w:r w:rsidR="00DD1434" w:rsidRPr="00813D19">
        <w:rPr>
          <w:bCs/>
          <w:lang w:val="en-US"/>
        </w:rPr>
        <w:t xml:space="preserve"> that the Committee begin </w:t>
      </w:r>
      <w:r w:rsidR="00F67724" w:rsidRPr="00813D19">
        <w:rPr>
          <w:bCs/>
          <w:lang w:val="en-US"/>
        </w:rPr>
        <w:t>a pilot phase of upstream dialogue</w:t>
      </w:r>
      <w:r w:rsidR="00DD1434" w:rsidRPr="00813D19">
        <w:rPr>
          <w:bCs/>
          <w:lang w:val="en-US"/>
        </w:rPr>
        <w:t xml:space="preserve">. This meant that </w:t>
      </w:r>
      <w:r w:rsidR="00F67724" w:rsidRPr="00813D19">
        <w:rPr>
          <w:bCs/>
          <w:lang w:val="en-US"/>
        </w:rPr>
        <w:t xml:space="preserve">for the files already in the pipeline for </w:t>
      </w:r>
      <w:r w:rsidR="00935434" w:rsidRPr="00813D19">
        <w:rPr>
          <w:bCs/>
          <w:lang w:val="en-US"/>
        </w:rPr>
        <w:t xml:space="preserve">evaluation at </w:t>
      </w:r>
      <w:r w:rsidR="00F67724" w:rsidRPr="00813D19">
        <w:rPr>
          <w:bCs/>
          <w:lang w:val="en-US"/>
        </w:rPr>
        <w:t>the next session in February and June</w:t>
      </w:r>
      <w:r w:rsidR="00DD1434" w:rsidRPr="00813D19">
        <w:rPr>
          <w:bCs/>
          <w:lang w:val="en-US"/>
        </w:rPr>
        <w:t xml:space="preserve"> 2019</w:t>
      </w:r>
      <w:r w:rsidR="00F67724" w:rsidRPr="00813D19">
        <w:rPr>
          <w:bCs/>
          <w:lang w:val="en-US"/>
        </w:rPr>
        <w:t xml:space="preserve">, </w:t>
      </w:r>
      <w:r w:rsidR="00DD1434" w:rsidRPr="00813D19">
        <w:rPr>
          <w:bCs/>
          <w:lang w:val="en-US"/>
        </w:rPr>
        <w:t xml:space="preserve">the </w:t>
      </w:r>
      <w:r w:rsidR="00F67724" w:rsidRPr="00813D19">
        <w:rPr>
          <w:bCs/>
          <w:lang w:val="en-US"/>
        </w:rPr>
        <w:t xml:space="preserve">Evaluation Body and the Secretariat </w:t>
      </w:r>
      <w:r w:rsidR="00935434" w:rsidRPr="00813D19">
        <w:rPr>
          <w:bCs/>
          <w:lang w:val="en-US"/>
        </w:rPr>
        <w:t xml:space="preserve">could be </w:t>
      </w:r>
      <w:r w:rsidR="00DD1434" w:rsidRPr="00813D19">
        <w:rPr>
          <w:bCs/>
          <w:lang w:val="en-US"/>
        </w:rPr>
        <w:t xml:space="preserve">solicited </w:t>
      </w:r>
      <w:r w:rsidR="00F67724" w:rsidRPr="00813D19">
        <w:rPr>
          <w:bCs/>
          <w:lang w:val="en-US"/>
        </w:rPr>
        <w:t xml:space="preserve">once the </w:t>
      </w:r>
      <w:r w:rsidR="00DD1434" w:rsidRPr="00813D19">
        <w:rPr>
          <w:bCs/>
          <w:lang w:val="en-US"/>
        </w:rPr>
        <w:t>recommendations on each file</w:t>
      </w:r>
      <w:r w:rsidR="00935434" w:rsidRPr="00813D19">
        <w:rPr>
          <w:bCs/>
          <w:lang w:val="en-US"/>
        </w:rPr>
        <w:t xml:space="preserve"> </w:t>
      </w:r>
      <w:r w:rsidR="00DD1434" w:rsidRPr="00813D19">
        <w:rPr>
          <w:bCs/>
          <w:lang w:val="en-US"/>
        </w:rPr>
        <w:t xml:space="preserve">were terminated </w:t>
      </w:r>
      <w:r w:rsidR="00F67724" w:rsidRPr="00813D19">
        <w:rPr>
          <w:bCs/>
          <w:lang w:val="en-US"/>
        </w:rPr>
        <w:t xml:space="preserve">in June. </w:t>
      </w:r>
      <w:r w:rsidR="00DD1434" w:rsidRPr="00813D19">
        <w:rPr>
          <w:bCs/>
          <w:lang w:val="en-US"/>
        </w:rPr>
        <w:t>They would the</w:t>
      </w:r>
      <w:r w:rsidR="00935434" w:rsidRPr="00813D19">
        <w:rPr>
          <w:bCs/>
          <w:lang w:val="en-US"/>
        </w:rPr>
        <w:t>n</w:t>
      </w:r>
      <w:r w:rsidR="00DD1434" w:rsidRPr="00813D19">
        <w:rPr>
          <w:bCs/>
          <w:lang w:val="en-US"/>
        </w:rPr>
        <w:t xml:space="preserve"> be asked </w:t>
      </w:r>
      <w:r w:rsidR="00F67724" w:rsidRPr="00813D19">
        <w:rPr>
          <w:bCs/>
          <w:lang w:val="en-US"/>
        </w:rPr>
        <w:t xml:space="preserve">to address questions on the criteria </w:t>
      </w:r>
      <w:r w:rsidR="00DD1434" w:rsidRPr="00813D19">
        <w:rPr>
          <w:bCs/>
          <w:lang w:val="en-US"/>
        </w:rPr>
        <w:t xml:space="preserve">that were </w:t>
      </w:r>
      <w:r w:rsidR="00F67724" w:rsidRPr="00813D19">
        <w:rPr>
          <w:bCs/>
          <w:lang w:val="en-US"/>
        </w:rPr>
        <w:t xml:space="preserve">not satisfied, </w:t>
      </w:r>
      <w:r w:rsidR="00DD1434" w:rsidRPr="00813D19">
        <w:rPr>
          <w:bCs/>
          <w:lang w:val="en-US"/>
        </w:rPr>
        <w:t>which would be sent</w:t>
      </w:r>
      <w:r w:rsidR="00F67724" w:rsidRPr="00813D19">
        <w:rPr>
          <w:bCs/>
          <w:lang w:val="en-US"/>
        </w:rPr>
        <w:t xml:space="preserve"> to the States Parties concerned</w:t>
      </w:r>
      <w:r w:rsidR="00935434" w:rsidRPr="00813D19">
        <w:rPr>
          <w:bCs/>
          <w:lang w:val="en-US"/>
        </w:rPr>
        <w:t xml:space="preserve"> so that they </w:t>
      </w:r>
      <w:r w:rsidR="004722F8">
        <w:rPr>
          <w:bCs/>
          <w:lang w:val="en-US"/>
        </w:rPr>
        <w:t>could</w:t>
      </w:r>
      <w:r w:rsidR="004722F8" w:rsidRPr="00813D19">
        <w:rPr>
          <w:bCs/>
          <w:lang w:val="en-US"/>
        </w:rPr>
        <w:t xml:space="preserve"> </w:t>
      </w:r>
      <w:r w:rsidR="00DD1434" w:rsidRPr="00813D19">
        <w:rPr>
          <w:bCs/>
          <w:lang w:val="en-US"/>
        </w:rPr>
        <w:t xml:space="preserve">have the opportunity to respond </w:t>
      </w:r>
      <w:r w:rsidR="00F67724" w:rsidRPr="00813D19">
        <w:rPr>
          <w:bCs/>
          <w:lang w:val="en-US"/>
        </w:rPr>
        <w:t xml:space="preserve">in </w:t>
      </w:r>
      <w:r w:rsidR="00DD1434" w:rsidRPr="00813D19">
        <w:rPr>
          <w:bCs/>
          <w:lang w:val="en-US"/>
        </w:rPr>
        <w:t xml:space="preserve">one of the </w:t>
      </w:r>
      <w:r w:rsidR="00F67724" w:rsidRPr="00813D19">
        <w:rPr>
          <w:bCs/>
          <w:lang w:val="en-US"/>
        </w:rPr>
        <w:t xml:space="preserve">two </w:t>
      </w:r>
      <w:r w:rsidR="00DD1434" w:rsidRPr="00813D19">
        <w:rPr>
          <w:bCs/>
          <w:lang w:val="en-US"/>
        </w:rPr>
        <w:t>working languages</w:t>
      </w:r>
      <w:r w:rsidR="00D93BF4" w:rsidRPr="00813D19">
        <w:rPr>
          <w:bCs/>
          <w:lang w:val="en-US"/>
        </w:rPr>
        <w:t xml:space="preserve"> and </w:t>
      </w:r>
      <w:r w:rsidR="00F67724" w:rsidRPr="00813D19">
        <w:rPr>
          <w:bCs/>
          <w:lang w:val="en-US"/>
        </w:rPr>
        <w:t xml:space="preserve">ahead of the third meeting of the Evaluation Body when </w:t>
      </w:r>
      <w:r w:rsidR="00935434" w:rsidRPr="00813D19">
        <w:rPr>
          <w:bCs/>
          <w:lang w:val="en-US"/>
        </w:rPr>
        <w:t xml:space="preserve">it </w:t>
      </w:r>
      <w:r w:rsidR="004722F8" w:rsidRPr="00813D19">
        <w:rPr>
          <w:bCs/>
          <w:lang w:val="en-US"/>
        </w:rPr>
        <w:t>finalize</w:t>
      </w:r>
      <w:r w:rsidR="004722F8">
        <w:rPr>
          <w:bCs/>
          <w:lang w:val="en-US"/>
        </w:rPr>
        <w:t>d</w:t>
      </w:r>
      <w:r w:rsidR="004722F8" w:rsidRPr="00813D19">
        <w:rPr>
          <w:bCs/>
          <w:lang w:val="en-US"/>
        </w:rPr>
        <w:t xml:space="preserve"> </w:t>
      </w:r>
      <w:r w:rsidR="00935434" w:rsidRPr="00813D19">
        <w:rPr>
          <w:bCs/>
          <w:lang w:val="en-US"/>
        </w:rPr>
        <w:t xml:space="preserve">its </w:t>
      </w:r>
      <w:r w:rsidR="00F67724" w:rsidRPr="00813D19">
        <w:rPr>
          <w:bCs/>
          <w:lang w:val="en-US"/>
        </w:rPr>
        <w:t>report in September. In September</w:t>
      </w:r>
      <w:r w:rsidR="00DD1434" w:rsidRPr="00813D19">
        <w:rPr>
          <w:bCs/>
          <w:lang w:val="en-US"/>
        </w:rPr>
        <w:t>,</w:t>
      </w:r>
      <w:r w:rsidR="00F67724" w:rsidRPr="00813D19">
        <w:rPr>
          <w:bCs/>
          <w:lang w:val="en-US"/>
        </w:rPr>
        <w:t xml:space="preserve"> </w:t>
      </w:r>
      <w:r w:rsidR="00DD1434" w:rsidRPr="00813D19">
        <w:rPr>
          <w:bCs/>
          <w:lang w:val="en-US"/>
        </w:rPr>
        <w:t xml:space="preserve">the Evaluation Body </w:t>
      </w:r>
      <w:r w:rsidR="004722F8">
        <w:rPr>
          <w:bCs/>
          <w:lang w:val="en-US"/>
        </w:rPr>
        <w:t>would</w:t>
      </w:r>
      <w:r w:rsidR="004722F8" w:rsidRPr="00813D19">
        <w:rPr>
          <w:bCs/>
          <w:lang w:val="en-US"/>
        </w:rPr>
        <w:t xml:space="preserve"> </w:t>
      </w:r>
      <w:r w:rsidR="00DD1434" w:rsidRPr="00813D19">
        <w:rPr>
          <w:bCs/>
          <w:lang w:val="en-US"/>
        </w:rPr>
        <w:t xml:space="preserve">consider the replies and if they </w:t>
      </w:r>
      <w:r w:rsidR="004722F8">
        <w:rPr>
          <w:bCs/>
          <w:lang w:val="en-US"/>
        </w:rPr>
        <w:t>were</w:t>
      </w:r>
      <w:r w:rsidR="004722F8" w:rsidRPr="00813D19">
        <w:rPr>
          <w:bCs/>
          <w:lang w:val="en-US"/>
        </w:rPr>
        <w:t xml:space="preserve"> </w:t>
      </w:r>
      <w:r w:rsidR="00F67724" w:rsidRPr="00813D19">
        <w:rPr>
          <w:bCs/>
          <w:lang w:val="en-US"/>
        </w:rPr>
        <w:t>satisfied</w:t>
      </w:r>
      <w:r w:rsidR="00DD1434" w:rsidRPr="00813D19">
        <w:rPr>
          <w:bCs/>
          <w:lang w:val="en-US"/>
        </w:rPr>
        <w:t>,</w:t>
      </w:r>
      <w:r w:rsidR="00F67724" w:rsidRPr="00813D19">
        <w:rPr>
          <w:bCs/>
          <w:lang w:val="en-US"/>
        </w:rPr>
        <w:t xml:space="preserve"> they </w:t>
      </w:r>
      <w:r w:rsidR="00161F7A" w:rsidRPr="00813D19">
        <w:rPr>
          <w:bCs/>
          <w:lang w:val="en-US"/>
        </w:rPr>
        <w:t xml:space="preserve">would </w:t>
      </w:r>
      <w:r w:rsidR="00F67724" w:rsidRPr="00813D19">
        <w:rPr>
          <w:bCs/>
          <w:lang w:val="en-US"/>
        </w:rPr>
        <w:t xml:space="preserve">change the recommendation on </w:t>
      </w:r>
      <w:r w:rsidR="00935434" w:rsidRPr="00813D19">
        <w:rPr>
          <w:bCs/>
          <w:lang w:val="en-US"/>
        </w:rPr>
        <w:t>the criteria</w:t>
      </w:r>
      <w:r w:rsidR="00161F7A" w:rsidRPr="00813D19">
        <w:rPr>
          <w:bCs/>
          <w:lang w:val="en-US"/>
        </w:rPr>
        <w:t xml:space="preserve"> concerned</w:t>
      </w:r>
      <w:r w:rsidR="00F67724" w:rsidRPr="00813D19">
        <w:rPr>
          <w:bCs/>
          <w:lang w:val="en-US"/>
        </w:rPr>
        <w:t>. If not</w:t>
      </w:r>
      <w:r w:rsidR="00161F7A" w:rsidRPr="00813D19">
        <w:rPr>
          <w:bCs/>
          <w:lang w:val="en-US"/>
        </w:rPr>
        <w:t>,</w:t>
      </w:r>
      <w:r w:rsidR="00F67724" w:rsidRPr="00813D19">
        <w:rPr>
          <w:bCs/>
          <w:lang w:val="en-US"/>
        </w:rPr>
        <w:t xml:space="preserve"> they </w:t>
      </w:r>
      <w:r w:rsidR="00935434" w:rsidRPr="00813D19">
        <w:rPr>
          <w:bCs/>
          <w:lang w:val="en-US"/>
        </w:rPr>
        <w:t xml:space="preserve">would </w:t>
      </w:r>
      <w:r w:rsidR="00161F7A" w:rsidRPr="00813D19">
        <w:rPr>
          <w:bCs/>
          <w:lang w:val="en-US"/>
        </w:rPr>
        <w:t xml:space="preserve">maintain the recommendation. This was </w:t>
      </w:r>
      <w:r w:rsidR="00F67724" w:rsidRPr="00813D19">
        <w:rPr>
          <w:bCs/>
          <w:lang w:val="en-US"/>
        </w:rPr>
        <w:t xml:space="preserve">the </w:t>
      </w:r>
      <w:r w:rsidR="00161F7A" w:rsidRPr="00813D19">
        <w:rPr>
          <w:bCs/>
          <w:lang w:val="en-US"/>
        </w:rPr>
        <w:t xml:space="preserve">understanding behind the </w:t>
      </w:r>
      <w:r w:rsidR="00F67724" w:rsidRPr="00813D19">
        <w:rPr>
          <w:bCs/>
          <w:lang w:val="en-US"/>
        </w:rPr>
        <w:t xml:space="preserve">mechanism of dialogue </w:t>
      </w:r>
      <w:r w:rsidR="00161F7A" w:rsidRPr="00813D19">
        <w:rPr>
          <w:bCs/>
          <w:lang w:val="en-US"/>
        </w:rPr>
        <w:t xml:space="preserve">that was </w:t>
      </w:r>
      <w:r w:rsidR="00935434" w:rsidRPr="00813D19">
        <w:rPr>
          <w:bCs/>
          <w:lang w:val="en-US"/>
        </w:rPr>
        <w:t xml:space="preserve">being </w:t>
      </w:r>
      <w:r w:rsidR="00161F7A" w:rsidRPr="00813D19">
        <w:rPr>
          <w:bCs/>
          <w:lang w:val="en-US"/>
        </w:rPr>
        <w:t>sought</w:t>
      </w:r>
      <w:r w:rsidR="00DD4E22">
        <w:rPr>
          <w:bCs/>
          <w:lang w:val="en-US"/>
        </w:rPr>
        <w:t>.</w:t>
      </w:r>
    </w:p>
    <w:p w14:paraId="17CA5759" w14:textId="364C6B25" w:rsidR="00973754" w:rsidRPr="00813D19" w:rsidRDefault="00D41B97"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Djibouti</w:t>
      </w:r>
      <w:r w:rsidR="00F67724" w:rsidRPr="00813D19">
        <w:rPr>
          <w:b/>
          <w:color w:val="000000" w:themeColor="text1"/>
          <w:lang w:val="en-US"/>
        </w:rPr>
        <w:t xml:space="preserve"> </w:t>
      </w:r>
      <w:r w:rsidR="00973754" w:rsidRPr="00813D19">
        <w:rPr>
          <w:color w:val="000000" w:themeColor="text1"/>
          <w:lang w:val="en-US"/>
        </w:rPr>
        <w:t>welcome</w:t>
      </w:r>
      <w:r w:rsidR="00161F7A" w:rsidRPr="00813D19">
        <w:rPr>
          <w:color w:val="000000" w:themeColor="text1"/>
          <w:lang w:val="en-US"/>
        </w:rPr>
        <w:t>d</w:t>
      </w:r>
      <w:r w:rsidR="00973754" w:rsidRPr="00813D19">
        <w:rPr>
          <w:color w:val="000000" w:themeColor="text1"/>
          <w:lang w:val="en-US"/>
        </w:rPr>
        <w:t xml:space="preserve"> the proposal </w:t>
      </w:r>
      <w:r w:rsidR="00161F7A" w:rsidRPr="00813D19">
        <w:rPr>
          <w:color w:val="000000" w:themeColor="text1"/>
          <w:lang w:val="en-US"/>
        </w:rPr>
        <w:t>by the S</w:t>
      </w:r>
      <w:r w:rsidR="00973754" w:rsidRPr="00813D19">
        <w:rPr>
          <w:color w:val="000000" w:themeColor="text1"/>
          <w:lang w:val="en-US"/>
        </w:rPr>
        <w:t xml:space="preserve">ecretariat, which </w:t>
      </w:r>
      <w:r w:rsidR="00161F7A" w:rsidRPr="00813D19">
        <w:rPr>
          <w:color w:val="000000" w:themeColor="text1"/>
          <w:lang w:val="en-US"/>
        </w:rPr>
        <w:t xml:space="preserve">was </w:t>
      </w:r>
      <w:r w:rsidR="00973754" w:rsidRPr="00813D19">
        <w:rPr>
          <w:color w:val="000000" w:themeColor="text1"/>
          <w:lang w:val="en-US"/>
        </w:rPr>
        <w:t xml:space="preserve">in fact a way </w:t>
      </w:r>
      <w:r w:rsidR="00161F7A" w:rsidRPr="00813D19">
        <w:rPr>
          <w:color w:val="000000" w:themeColor="text1"/>
          <w:lang w:val="en-US"/>
        </w:rPr>
        <w:t>to settle</w:t>
      </w:r>
      <w:r w:rsidR="00973754" w:rsidRPr="00813D19">
        <w:rPr>
          <w:color w:val="000000" w:themeColor="text1"/>
          <w:lang w:val="en-US"/>
        </w:rPr>
        <w:t xml:space="preserve"> these </w:t>
      </w:r>
      <w:r w:rsidR="00161F7A" w:rsidRPr="00813D19">
        <w:rPr>
          <w:color w:val="000000" w:themeColor="text1"/>
          <w:lang w:val="en-US"/>
        </w:rPr>
        <w:t xml:space="preserve">minor </w:t>
      </w:r>
      <w:r w:rsidR="00973754" w:rsidRPr="00813D19">
        <w:rPr>
          <w:color w:val="000000" w:themeColor="text1"/>
          <w:lang w:val="en-US"/>
        </w:rPr>
        <w:t xml:space="preserve">problems. Nevertheless, it </w:t>
      </w:r>
      <w:r w:rsidR="00D93BF4" w:rsidRPr="00813D19">
        <w:rPr>
          <w:color w:val="000000" w:themeColor="text1"/>
          <w:lang w:val="en-US"/>
        </w:rPr>
        <w:t xml:space="preserve">was </w:t>
      </w:r>
      <w:r w:rsidR="00973754" w:rsidRPr="00813D19">
        <w:rPr>
          <w:color w:val="000000" w:themeColor="text1"/>
          <w:lang w:val="en-US"/>
        </w:rPr>
        <w:t xml:space="preserve">stressed that the mechanism of dialogue sought </w:t>
      </w:r>
      <w:r w:rsidR="00161F7A" w:rsidRPr="00813D19">
        <w:rPr>
          <w:color w:val="000000" w:themeColor="text1"/>
          <w:lang w:val="en-US"/>
        </w:rPr>
        <w:t xml:space="preserve">was </w:t>
      </w:r>
      <w:r w:rsidR="00973754" w:rsidRPr="00813D19">
        <w:rPr>
          <w:color w:val="000000" w:themeColor="text1"/>
          <w:lang w:val="en-US"/>
        </w:rPr>
        <w:t>outsid</w:t>
      </w:r>
      <w:r w:rsidR="00161F7A" w:rsidRPr="00813D19">
        <w:rPr>
          <w:color w:val="000000" w:themeColor="text1"/>
          <w:lang w:val="en-US"/>
        </w:rPr>
        <w:t>e the framework of this session</w:t>
      </w:r>
      <w:r w:rsidR="00973754" w:rsidRPr="00813D19">
        <w:rPr>
          <w:color w:val="000000" w:themeColor="text1"/>
          <w:lang w:val="en-US"/>
        </w:rPr>
        <w:t xml:space="preserve"> </w:t>
      </w:r>
      <w:r w:rsidR="00161F7A" w:rsidRPr="00813D19">
        <w:rPr>
          <w:color w:val="000000" w:themeColor="text1"/>
          <w:lang w:val="en-US"/>
        </w:rPr>
        <w:t xml:space="preserve">and </w:t>
      </w:r>
      <w:r w:rsidR="00973754" w:rsidRPr="00813D19">
        <w:rPr>
          <w:color w:val="000000" w:themeColor="text1"/>
          <w:lang w:val="en-US"/>
        </w:rPr>
        <w:t xml:space="preserve">must </w:t>
      </w:r>
      <w:r w:rsidR="00161F7A" w:rsidRPr="00813D19">
        <w:rPr>
          <w:color w:val="000000" w:themeColor="text1"/>
          <w:lang w:val="en-US"/>
        </w:rPr>
        <w:t xml:space="preserve">become a </w:t>
      </w:r>
      <w:r w:rsidR="00973754" w:rsidRPr="00813D19">
        <w:rPr>
          <w:color w:val="000000" w:themeColor="text1"/>
          <w:lang w:val="en-US"/>
        </w:rPr>
        <w:t>formal and standardized</w:t>
      </w:r>
      <w:r w:rsidR="00161F7A" w:rsidRPr="00813D19">
        <w:rPr>
          <w:color w:val="000000" w:themeColor="text1"/>
          <w:lang w:val="en-US"/>
        </w:rPr>
        <w:t xml:space="preserve"> procedure that </w:t>
      </w:r>
      <w:r w:rsidR="00973754" w:rsidRPr="00813D19">
        <w:rPr>
          <w:color w:val="000000" w:themeColor="text1"/>
          <w:lang w:val="en-US"/>
        </w:rPr>
        <w:t xml:space="preserve">must enter into </w:t>
      </w:r>
      <w:r w:rsidR="00161F7A" w:rsidRPr="00813D19">
        <w:rPr>
          <w:color w:val="000000" w:themeColor="text1"/>
          <w:lang w:val="en-US"/>
        </w:rPr>
        <w:t xml:space="preserve">the </w:t>
      </w:r>
      <w:r w:rsidR="00973754" w:rsidRPr="00813D19">
        <w:rPr>
          <w:color w:val="000000" w:themeColor="text1"/>
          <w:lang w:val="en-US"/>
        </w:rPr>
        <w:t xml:space="preserve">different mechanisms of the Convention. </w:t>
      </w:r>
      <w:r w:rsidR="00D93BF4" w:rsidRPr="00813D19">
        <w:rPr>
          <w:color w:val="000000" w:themeColor="text1"/>
          <w:lang w:val="en-US"/>
        </w:rPr>
        <w:t>T</w:t>
      </w:r>
      <w:r w:rsidR="00161F7A" w:rsidRPr="00813D19">
        <w:rPr>
          <w:color w:val="000000" w:themeColor="text1"/>
          <w:lang w:val="en-US"/>
        </w:rPr>
        <w:t xml:space="preserve">he Committee </w:t>
      </w:r>
      <w:r w:rsidR="00D93BF4" w:rsidRPr="00813D19">
        <w:rPr>
          <w:color w:val="000000" w:themeColor="text1"/>
          <w:lang w:val="en-US"/>
        </w:rPr>
        <w:t xml:space="preserve">was thus asked to </w:t>
      </w:r>
      <w:r w:rsidR="00161F7A" w:rsidRPr="00813D19">
        <w:rPr>
          <w:color w:val="000000" w:themeColor="text1"/>
          <w:lang w:val="en-US"/>
        </w:rPr>
        <w:t>consider</w:t>
      </w:r>
      <w:r w:rsidR="00973754" w:rsidRPr="00813D19">
        <w:rPr>
          <w:color w:val="000000" w:themeColor="text1"/>
          <w:lang w:val="en-US"/>
        </w:rPr>
        <w:t xml:space="preserve"> </w:t>
      </w:r>
      <w:r w:rsidR="00D93BF4" w:rsidRPr="00813D19">
        <w:rPr>
          <w:color w:val="000000" w:themeColor="text1"/>
          <w:lang w:val="en-US"/>
        </w:rPr>
        <w:t xml:space="preserve">whether </w:t>
      </w:r>
      <w:r w:rsidR="00973754" w:rsidRPr="00813D19">
        <w:rPr>
          <w:color w:val="000000" w:themeColor="text1"/>
          <w:lang w:val="en-US"/>
        </w:rPr>
        <w:t xml:space="preserve">it </w:t>
      </w:r>
      <w:r w:rsidR="00161F7A" w:rsidRPr="00813D19">
        <w:rPr>
          <w:color w:val="000000" w:themeColor="text1"/>
          <w:lang w:val="en-US"/>
        </w:rPr>
        <w:t xml:space="preserve">was </w:t>
      </w:r>
      <w:r w:rsidR="00973754" w:rsidRPr="00813D19">
        <w:rPr>
          <w:color w:val="000000" w:themeColor="text1"/>
          <w:lang w:val="en-US"/>
        </w:rPr>
        <w:t xml:space="preserve">necessary to experiment with a first phase to see how effective it </w:t>
      </w:r>
      <w:r w:rsidR="00161F7A" w:rsidRPr="00813D19">
        <w:rPr>
          <w:color w:val="000000" w:themeColor="text1"/>
          <w:lang w:val="en-US"/>
        </w:rPr>
        <w:t xml:space="preserve">could be </w:t>
      </w:r>
      <w:r w:rsidR="00973754" w:rsidRPr="00813D19">
        <w:rPr>
          <w:color w:val="000000" w:themeColor="text1"/>
          <w:lang w:val="en-US"/>
        </w:rPr>
        <w:t xml:space="preserve">in relation to the various </w:t>
      </w:r>
      <w:r w:rsidR="00161F7A" w:rsidRPr="00813D19">
        <w:rPr>
          <w:color w:val="000000" w:themeColor="text1"/>
          <w:lang w:val="en-US"/>
        </w:rPr>
        <w:t xml:space="preserve">minor issues </w:t>
      </w:r>
      <w:r w:rsidR="00973754" w:rsidRPr="00813D19">
        <w:rPr>
          <w:color w:val="000000" w:themeColor="text1"/>
          <w:lang w:val="en-US"/>
        </w:rPr>
        <w:t xml:space="preserve">that </w:t>
      </w:r>
      <w:r w:rsidR="00161F7A" w:rsidRPr="00813D19">
        <w:rPr>
          <w:color w:val="000000" w:themeColor="text1"/>
          <w:lang w:val="en-US"/>
        </w:rPr>
        <w:t xml:space="preserve">may </w:t>
      </w:r>
      <w:r w:rsidR="00D93BF4" w:rsidRPr="00813D19">
        <w:rPr>
          <w:color w:val="000000" w:themeColor="text1"/>
          <w:lang w:val="en-US"/>
        </w:rPr>
        <w:t xml:space="preserve">arise. The </w:t>
      </w:r>
      <w:r w:rsidR="00161F7A" w:rsidRPr="00813D19">
        <w:rPr>
          <w:color w:val="000000" w:themeColor="text1"/>
          <w:lang w:val="en-US"/>
        </w:rPr>
        <w:t xml:space="preserve">delegation believed that it was indeed </w:t>
      </w:r>
      <w:r w:rsidR="00973754" w:rsidRPr="00813D19">
        <w:rPr>
          <w:color w:val="000000" w:themeColor="text1"/>
          <w:lang w:val="en-US"/>
        </w:rPr>
        <w:t xml:space="preserve">a laudable </w:t>
      </w:r>
      <w:r w:rsidR="00161F7A" w:rsidRPr="00813D19">
        <w:rPr>
          <w:color w:val="000000" w:themeColor="text1"/>
          <w:lang w:val="en-US"/>
        </w:rPr>
        <w:t>proposal</w:t>
      </w:r>
      <w:r w:rsidR="00973754" w:rsidRPr="00813D19">
        <w:rPr>
          <w:color w:val="000000" w:themeColor="text1"/>
          <w:lang w:val="en-US"/>
        </w:rPr>
        <w:t>.</w:t>
      </w:r>
    </w:p>
    <w:p w14:paraId="68C328C1" w14:textId="23A82F15" w:rsidR="00832BB5" w:rsidRPr="00813D19" w:rsidRDefault="00821332" w:rsidP="00832BB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China</w:t>
      </w:r>
      <w:r w:rsidR="00F67724" w:rsidRPr="00813D19">
        <w:rPr>
          <w:b/>
          <w:color w:val="000000" w:themeColor="text1"/>
          <w:lang w:val="en-US"/>
        </w:rPr>
        <w:t xml:space="preserve"> </w:t>
      </w:r>
      <w:r w:rsidR="008E3CB9" w:rsidRPr="00813D19">
        <w:rPr>
          <w:lang w:val="en-US"/>
        </w:rPr>
        <w:t>welcomed</w:t>
      </w:r>
      <w:r w:rsidR="00F67724" w:rsidRPr="00813D19">
        <w:rPr>
          <w:lang w:val="en-US"/>
        </w:rPr>
        <w:t xml:space="preserve"> the idea of the proposed dialogue procedure, which</w:t>
      </w:r>
      <w:r w:rsidR="004966D6">
        <w:rPr>
          <w:lang w:val="en-US"/>
        </w:rPr>
        <w:t xml:space="preserve"> would</w:t>
      </w:r>
      <w:r w:rsidR="00F67724" w:rsidRPr="00813D19">
        <w:rPr>
          <w:lang w:val="en-US"/>
        </w:rPr>
        <w:t xml:space="preserve"> help improve the evaluation mechanism and facilitate States Parties </w:t>
      </w:r>
      <w:r w:rsidR="00161F7A" w:rsidRPr="00813D19">
        <w:rPr>
          <w:lang w:val="en-US"/>
        </w:rPr>
        <w:t xml:space="preserve">in </w:t>
      </w:r>
      <w:r w:rsidR="00D93BF4" w:rsidRPr="00813D19">
        <w:rPr>
          <w:lang w:val="en-US"/>
        </w:rPr>
        <w:t xml:space="preserve">their nominations, and it </w:t>
      </w:r>
      <w:r w:rsidR="00F67724" w:rsidRPr="00813D19">
        <w:rPr>
          <w:lang w:val="en-US"/>
        </w:rPr>
        <w:t>appreciate</w:t>
      </w:r>
      <w:r w:rsidR="00161F7A" w:rsidRPr="00813D19">
        <w:rPr>
          <w:lang w:val="en-US"/>
        </w:rPr>
        <w:t>d</w:t>
      </w:r>
      <w:r w:rsidR="00F67724" w:rsidRPr="00813D19">
        <w:rPr>
          <w:lang w:val="en-US"/>
        </w:rPr>
        <w:t xml:space="preserve"> the Secretariat’s contribution. However, the Committee should be very cautious </w:t>
      </w:r>
      <w:r w:rsidR="00D93BF4" w:rsidRPr="00813D19">
        <w:rPr>
          <w:lang w:val="en-US"/>
        </w:rPr>
        <w:t>in taking</w:t>
      </w:r>
      <w:r w:rsidR="00F67724" w:rsidRPr="00813D19">
        <w:rPr>
          <w:lang w:val="en-US"/>
        </w:rPr>
        <w:t xml:space="preserve"> this approach </w:t>
      </w:r>
      <w:r w:rsidR="00D93BF4" w:rsidRPr="00813D19">
        <w:rPr>
          <w:lang w:val="en-US"/>
        </w:rPr>
        <w:t xml:space="preserve">in order to </w:t>
      </w:r>
      <w:r w:rsidR="00F67724" w:rsidRPr="00813D19">
        <w:rPr>
          <w:lang w:val="en-US"/>
        </w:rPr>
        <w:t xml:space="preserve">make the dialogue mechanism really effective and efficient. </w:t>
      </w:r>
      <w:r w:rsidR="00161F7A" w:rsidRPr="00813D19">
        <w:rPr>
          <w:lang w:val="en-US"/>
        </w:rPr>
        <w:t xml:space="preserve">The delegation </w:t>
      </w:r>
      <w:r w:rsidR="00D93BF4" w:rsidRPr="00813D19">
        <w:rPr>
          <w:lang w:val="en-US"/>
        </w:rPr>
        <w:t xml:space="preserve">emphasized a number of </w:t>
      </w:r>
      <w:r w:rsidR="00F67724" w:rsidRPr="00813D19">
        <w:rPr>
          <w:lang w:val="en-US"/>
        </w:rPr>
        <w:t>observations based on some facts. Firstly, the Evaluation Body follows some principle working methods</w:t>
      </w:r>
      <w:r w:rsidR="00161F7A" w:rsidRPr="00813D19">
        <w:rPr>
          <w:lang w:val="en-US"/>
        </w:rPr>
        <w:t>,</w:t>
      </w:r>
      <w:r w:rsidR="00F67724" w:rsidRPr="00813D19">
        <w:rPr>
          <w:lang w:val="en-US"/>
        </w:rPr>
        <w:t xml:space="preserve"> including recalling the recommendations of previous Bodies</w:t>
      </w:r>
      <w:r w:rsidR="00D93BF4" w:rsidRPr="00813D19">
        <w:rPr>
          <w:lang w:val="en-US"/>
        </w:rPr>
        <w:t>,</w:t>
      </w:r>
      <w:r w:rsidR="00F67724" w:rsidRPr="00813D19">
        <w:rPr>
          <w:lang w:val="en-US"/>
        </w:rPr>
        <w:t xml:space="preserve"> as well as past decisions of the Committee </w:t>
      </w:r>
      <w:r w:rsidR="00D93BF4" w:rsidRPr="00813D19">
        <w:rPr>
          <w:lang w:val="en-US"/>
        </w:rPr>
        <w:t xml:space="preserve">when </w:t>
      </w:r>
      <w:r w:rsidR="00F67724" w:rsidRPr="00813D19">
        <w:rPr>
          <w:lang w:val="en-US"/>
        </w:rPr>
        <w:t>encountering cross</w:t>
      </w:r>
      <w:r w:rsidR="00D93BF4" w:rsidRPr="00813D19">
        <w:rPr>
          <w:lang w:val="en-US"/>
        </w:rPr>
        <w:t>-</w:t>
      </w:r>
      <w:r w:rsidR="00F67724" w:rsidRPr="00813D19">
        <w:rPr>
          <w:lang w:val="en-US"/>
        </w:rPr>
        <w:t xml:space="preserve">cutting issues. </w:t>
      </w:r>
      <w:r w:rsidR="00161F7A" w:rsidRPr="00813D19">
        <w:rPr>
          <w:lang w:val="en-US"/>
        </w:rPr>
        <w:t>The delegation understood</w:t>
      </w:r>
      <w:r w:rsidR="00F67724" w:rsidRPr="00813D19">
        <w:rPr>
          <w:lang w:val="en-US"/>
        </w:rPr>
        <w:t xml:space="preserve"> that the Evaluation Body should </w:t>
      </w:r>
      <w:r w:rsidR="00161F7A" w:rsidRPr="00813D19">
        <w:rPr>
          <w:lang w:val="en-US"/>
        </w:rPr>
        <w:t>strive to be consistent through</w:t>
      </w:r>
      <w:r w:rsidR="00F67724" w:rsidRPr="00813D19">
        <w:rPr>
          <w:lang w:val="en-US"/>
        </w:rPr>
        <w:t>out the fil</w:t>
      </w:r>
      <w:r w:rsidR="00161F7A" w:rsidRPr="00813D19">
        <w:rPr>
          <w:lang w:val="en-US"/>
        </w:rPr>
        <w:t>es and remain neutral and equitable,</w:t>
      </w:r>
      <w:r w:rsidR="00F67724" w:rsidRPr="00813D19">
        <w:rPr>
          <w:lang w:val="en-US"/>
        </w:rPr>
        <w:t xml:space="preserve"> taking into account the individual circumstances of each file. </w:t>
      </w:r>
      <w:r w:rsidR="00D93BF4" w:rsidRPr="00813D19">
        <w:rPr>
          <w:lang w:val="en-US"/>
        </w:rPr>
        <w:t xml:space="preserve">It </w:t>
      </w:r>
      <w:r w:rsidR="00F67724" w:rsidRPr="00813D19">
        <w:rPr>
          <w:lang w:val="en-US"/>
        </w:rPr>
        <w:t xml:space="preserve">should </w:t>
      </w:r>
      <w:r w:rsidR="00D93BF4" w:rsidRPr="00813D19">
        <w:rPr>
          <w:lang w:val="en-US"/>
        </w:rPr>
        <w:t xml:space="preserve">also </w:t>
      </w:r>
      <w:r w:rsidR="00F67724" w:rsidRPr="00813D19">
        <w:rPr>
          <w:lang w:val="en-US"/>
        </w:rPr>
        <w:t>strictly adhere to the principle of exc</w:t>
      </w:r>
      <w:r w:rsidR="00161F7A" w:rsidRPr="00813D19">
        <w:rPr>
          <w:lang w:val="en-US"/>
        </w:rPr>
        <w:t>lusively evaluating the content</w:t>
      </w:r>
      <w:r w:rsidR="00F67724" w:rsidRPr="00813D19">
        <w:rPr>
          <w:lang w:val="en-US"/>
        </w:rPr>
        <w:t xml:space="preserve"> of the files without making any assumptions or value judgements. The Committee </w:t>
      </w:r>
      <w:r w:rsidR="004966D6">
        <w:rPr>
          <w:lang w:val="en-US"/>
        </w:rPr>
        <w:t xml:space="preserve">had </w:t>
      </w:r>
      <w:r w:rsidR="00161F7A" w:rsidRPr="00813D19">
        <w:rPr>
          <w:lang w:val="en-US"/>
        </w:rPr>
        <w:t xml:space="preserve">already </w:t>
      </w:r>
      <w:r w:rsidR="00F67724" w:rsidRPr="00813D19">
        <w:rPr>
          <w:lang w:val="en-US"/>
        </w:rPr>
        <w:t>emphasize</w:t>
      </w:r>
      <w:r w:rsidR="00161F7A" w:rsidRPr="00813D19">
        <w:rPr>
          <w:lang w:val="en-US"/>
        </w:rPr>
        <w:t>d</w:t>
      </w:r>
      <w:r w:rsidR="00F67724" w:rsidRPr="00813D19">
        <w:rPr>
          <w:lang w:val="en-US"/>
        </w:rPr>
        <w:t xml:space="preserve"> </w:t>
      </w:r>
      <w:r w:rsidR="00161F7A" w:rsidRPr="00813D19">
        <w:rPr>
          <w:lang w:val="en-US"/>
        </w:rPr>
        <w:t xml:space="preserve">this approach </w:t>
      </w:r>
      <w:r w:rsidR="00F67724" w:rsidRPr="00813D19">
        <w:rPr>
          <w:lang w:val="en-US"/>
        </w:rPr>
        <w:t>in its Decision</w:t>
      </w:r>
      <w:r w:rsidR="004966D6">
        <w:rPr>
          <w:lang w:val="en-US"/>
        </w:rPr>
        <w:t>s</w:t>
      </w:r>
      <w:r w:rsidR="00F67724" w:rsidRPr="00813D19">
        <w:rPr>
          <w:lang w:val="en-US"/>
        </w:rPr>
        <w:t xml:space="preserve"> </w:t>
      </w:r>
      <w:hyperlink r:id="rId154" w:history="1">
        <w:r w:rsidR="00F67724" w:rsidRPr="00813D19">
          <w:rPr>
            <w:rStyle w:val="Hyperlink"/>
            <w:lang w:val="en-US"/>
          </w:rPr>
          <w:t>9.COM 10</w:t>
        </w:r>
      </w:hyperlink>
      <w:r w:rsidR="00F67724" w:rsidRPr="00813D19">
        <w:rPr>
          <w:lang w:val="en-US"/>
        </w:rPr>
        <w:t xml:space="preserve"> and </w:t>
      </w:r>
      <w:hyperlink r:id="rId155" w:history="1">
        <w:r w:rsidR="00F67724" w:rsidRPr="00813D19">
          <w:rPr>
            <w:rStyle w:val="Hyperlink"/>
            <w:lang w:val="en-US"/>
          </w:rPr>
          <w:t>8.COM 8</w:t>
        </w:r>
      </w:hyperlink>
      <w:r w:rsidR="00F67724" w:rsidRPr="00813D19">
        <w:rPr>
          <w:lang w:val="en-US"/>
        </w:rPr>
        <w:t xml:space="preserve"> that </w:t>
      </w:r>
      <w:r w:rsidR="00D93BF4" w:rsidRPr="00813D19">
        <w:rPr>
          <w:lang w:val="en-US"/>
        </w:rPr>
        <w:t>a</w:t>
      </w:r>
      <w:r w:rsidR="00F67724" w:rsidRPr="00813D19">
        <w:rPr>
          <w:lang w:val="en-US"/>
        </w:rPr>
        <w:t xml:space="preserve"> decision not to in</w:t>
      </w:r>
      <w:r w:rsidR="00161F7A" w:rsidRPr="00813D19">
        <w:rPr>
          <w:lang w:val="en-US"/>
        </w:rPr>
        <w:t>scribe or refer an</w:t>
      </w:r>
      <w:r w:rsidR="00F67724" w:rsidRPr="00813D19">
        <w:rPr>
          <w:lang w:val="en-US"/>
        </w:rPr>
        <w:t xml:space="preserve"> element </w:t>
      </w:r>
      <w:r w:rsidR="00161F7A" w:rsidRPr="00813D19">
        <w:rPr>
          <w:lang w:val="en-US"/>
        </w:rPr>
        <w:t>in no way constituted</w:t>
      </w:r>
      <w:r w:rsidR="00F67724" w:rsidRPr="00813D19">
        <w:rPr>
          <w:lang w:val="en-US"/>
        </w:rPr>
        <w:t xml:space="preserve"> a judgement on the merits of the element itself but only </w:t>
      </w:r>
      <w:r w:rsidR="00161F7A" w:rsidRPr="00813D19">
        <w:rPr>
          <w:lang w:val="en-US"/>
        </w:rPr>
        <w:t xml:space="preserve">on </w:t>
      </w:r>
      <w:r w:rsidR="00F67724" w:rsidRPr="00813D19">
        <w:rPr>
          <w:lang w:val="en-US"/>
        </w:rPr>
        <w:t xml:space="preserve">the adequacy of the information presented in the file. The General Assembly </w:t>
      </w:r>
      <w:r w:rsidR="004966D6">
        <w:rPr>
          <w:lang w:val="en-US"/>
        </w:rPr>
        <w:t xml:space="preserve">had </w:t>
      </w:r>
      <w:r w:rsidR="00F67724" w:rsidRPr="00813D19">
        <w:rPr>
          <w:lang w:val="en-US"/>
        </w:rPr>
        <w:t>adopted the first version of Operational Directives at its second session in 2008, which included the five criteria for inscription on the Representative List. In the past 10 years</w:t>
      </w:r>
      <w:r w:rsidR="00161F7A" w:rsidRPr="00813D19">
        <w:rPr>
          <w:lang w:val="en-US"/>
        </w:rPr>
        <w:t>, 309 elements had</w:t>
      </w:r>
      <w:r w:rsidR="00F67724" w:rsidRPr="00813D19">
        <w:rPr>
          <w:lang w:val="en-US"/>
        </w:rPr>
        <w:t xml:space="preserve"> been inscribed on the Representative List</w:t>
      </w:r>
      <w:r w:rsidR="00161F7A" w:rsidRPr="00813D19">
        <w:rPr>
          <w:lang w:val="en-US"/>
        </w:rPr>
        <w:t>,</w:t>
      </w:r>
      <w:r w:rsidR="00F67724" w:rsidRPr="00813D19">
        <w:rPr>
          <w:lang w:val="en-US"/>
        </w:rPr>
        <w:t xml:space="preserve"> satisfying all </w:t>
      </w:r>
      <w:r w:rsidR="004966D6">
        <w:rPr>
          <w:lang w:val="en-US"/>
        </w:rPr>
        <w:t>5</w:t>
      </w:r>
      <w:r w:rsidR="004966D6" w:rsidRPr="00813D19">
        <w:rPr>
          <w:lang w:val="en-US"/>
        </w:rPr>
        <w:t xml:space="preserve"> </w:t>
      </w:r>
      <w:r w:rsidR="00F67724" w:rsidRPr="00813D19">
        <w:rPr>
          <w:lang w:val="en-US"/>
        </w:rPr>
        <w:t xml:space="preserve">criteria. </w:t>
      </w:r>
      <w:r w:rsidR="00161F7A" w:rsidRPr="00813D19">
        <w:rPr>
          <w:lang w:val="en-US"/>
        </w:rPr>
        <w:t xml:space="preserve">The delegation took </w:t>
      </w:r>
      <w:r w:rsidR="00F67724" w:rsidRPr="00813D19">
        <w:rPr>
          <w:lang w:val="en-US"/>
        </w:rPr>
        <w:t>note that during the nomination</w:t>
      </w:r>
      <w:r w:rsidR="004966D6">
        <w:rPr>
          <w:lang w:val="en-US"/>
        </w:rPr>
        <w:t xml:space="preserve"> process</w:t>
      </w:r>
      <w:r w:rsidR="00161F7A" w:rsidRPr="00813D19">
        <w:rPr>
          <w:lang w:val="en-US"/>
        </w:rPr>
        <w:t>,</w:t>
      </w:r>
      <w:r w:rsidR="00F67724" w:rsidRPr="00813D19">
        <w:rPr>
          <w:lang w:val="en-US"/>
        </w:rPr>
        <w:t xml:space="preserve"> States Parties found it particularly challenging to </w:t>
      </w:r>
      <w:r w:rsidR="00D93BF4" w:rsidRPr="00813D19">
        <w:rPr>
          <w:lang w:val="en-US"/>
        </w:rPr>
        <w:t xml:space="preserve">respond to criterion </w:t>
      </w:r>
      <w:r w:rsidR="00F67724" w:rsidRPr="00813D19">
        <w:rPr>
          <w:lang w:val="en-US"/>
        </w:rPr>
        <w:t xml:space="preserve">R.2. There </w:t>
      </w:r>
      <w:r w:rsidR="00161F7A" w:rsidRPr="00813D19">
        <w:rPr>
          <w:lang w:val="en-US"/>
        </w:rPr>
        <w:t xml:space="preserve">was </w:t>
      </w:r>
      <w:r w:rsidR="004966D6">
        <w:rPr>
          <w:lang w:val="en-US"/>
        </w:rPr>
        <w:t xml:space="preserve">a </w:t>
      </w:r>
      <w:r w:rsidR="00F67724" w:rsidRPr="00813D19">
        <w:rPr>
          <w:lang w:val="en-US"/>
        </w:rPr>
        <w:t xml:space="preserve">frequent misunderstanding of the purpose </w:t>
      </w:r>
      <w:r w:rsidR="00161F7A" w:rsidRPr="00813D19">
        <w:rPr>
          <w:lang w:val="en-US"/>
        </w:rPr>
        <w:t xml:space="preserve">of this criterion, </w:t>
      </w:r>
      <w:r w:rsidR="00832BB5" w:rsidRPr="00813D19">
        <w:rPr>
          <w:lang w:val="en-US"/>
        </w:rPr>
        <w:t>resulting</w:t>
      </w:r>
      <w:r w:rsidR="00F67724" w:rsidRPr="00813D19">
        <w:rPr>
          <w:lang w:val="en-US"/>
        </w:rPr>
        <w:t xml:space="preserve"> in the fai</w:t>
      </w:r>
      <w:r w:rsidR="00161F7A" w:rsidRPr="00813D19">
        <w:rPr>
          <w:lang w:val="en-US"/>
        </w:rPr>
        <w:t xml:space="preserve">lure to satisfy this criterion, </w:t>
      </w:r>
      <w:r w:rsidR="00D93BF4" w:rsidRPr="00813D19">
        <w:rPr>
          <w:lang w:val="en-US"/>
        </w:rPr>
        <w:t xml:space="preserve">i.e. </w:t>
      </w:r>
      <w:r w:rsidR="00F67724" w:rsidRPr="00813D19">
        <w:rPr>
          <w:lang w:val="en-US"/>
        </w:rPr>
        <w:t xml:space="preserve">that inscription contributed to ensuring visibility and awareness of the significance of </w:t>
      </w:r>
      <w:r w:rsidR="00832BB5" w:rsidRPr="00813D19">
        <w:rPr>
          <w:lang w:val="en-US"/>
        </w:rPr>
        <w:t xml:space="preserve">intangible heritage </w:t>
      </w:r>
      <w:r w:rsidR="00F67724" w:rsidRPr="00813D19">
        <w:rPr>
          <w:lang w:val="en-US"/>
        </w:rPr>
        <w:t>and encourage</w:t>
      </w:r>
      <w:r w:rsidR="00832BB5" w:rsidRPr="00813D19">
        <w:rPr>
          <w:lang w:val="en-US"/>
        </w:rPr>
        <w:t>d</w:t>
      </w:r>
      <w:r w:rsidR="00F67724" w:rsidRPr="00813D19">
        <w:rPr>
          <w:lang w:val="en-US"/>
        </w:rPr>
        <w:t xml:space="preserve"> dialogue reflecting cultural diversity and human</w:t>
      </w:r>
      <w:r w:rsidR="00832BB5" w:rsidRPr="00813D19">
        <w:rPr>
          <w:lang w:val="en-US"/>
        </w:rPr>
        <w:t xml:space="preserve"> creativity. This fully reflected</w:t>
      </w:r>
      <w:r w:rsidR="00F67724" w:rsidRPr="00813D19">
        <w:rPr>
          <w:lang w:val="en-US"/>
        </w:rPr>
        <w:t xml:space="preserve"> the purpose of the Convention</w:t>
      </w:r>
      <w:r w:rsidR="00832BB5" w:rsidRPr="00813D19">
        <w:rPr>
          <w:lang w:val="en-US"/>
        </w:rPr>
        <w:t>,</w:t>
      </w:r>
      <w:r w:rsidR="00F67724" w:rsidRPr="00813D19">
        <w:rPr>
          <w:lang w:val="en-US"/>
        </w:rPr>
        <w:t xml:space="preserve"> according to Article 16</w:t>
      </w:r>
      <w:r w:rsidR="00832BB5" w:rsidRPr="00813D19">
        <w:rPr>
          <w:lang w:val="en-US"/>
        </w:rPr>
        <w:t>,</w:t>
      </w:r>
      <w:r w:rsidR="00F67724" w:rsidRPr="00813D19">
        <w:rPr>
          <w:lang w:val="en-US"/>
        </w:rPr>
        <w:t xml:space="preserve"> and also the Representative List</w:t>
      </w:r>
      <w:r w:rsidR="00832BB5" w:rsidRPr="00813D19">
        <w:rPr>
          <w:lang w:val="en-US"/>
        </w:rPr>
        <w:t xml:space="preserve">, which </w:t>
      </w:r>
      <w:r w:rsidR="00F67724" w:rsidRPr="00813D19">
        <w:rPr>
          <w:lang w:val="en-US"/>
        </w:rPr>
        <w:t xml:space="preserve">should always </w:t>
      </w:r>
      <w:r w:rsidR="00832BB5" w:rsidRPr="00813D19">
        <w:rPr>
          <w:lang w:val="en-US"/>
        </w:rPr>
        <w:t>be kept in mind</w:t>
      </w:r>
      <w:r w:rsidR="00F67724" w:rsidRPr="00813D19">
        <w:rPr>
          <w:lang w:val="en-US"/>
        </w:rPr>
        <w:t xml:space="preserve">. The good thing </w:t>
      </w:r>
      <w:r w:rsidR="004966D6">
        <w:rPr>
          <w:lang w:val="en-US"/>
        </w:rPr>
        <w:t>was</w:t>
      </w:r>
      <w:r w:rsidR="004966D6" w:rsidRPr="00813D19">
        <w:rPr>
          <w:lang w:val="en-US"/>
        </w:rPr>
        <w:t xml:space="preserve"> </w:t>
      </w:r>
      <w:r w:rsidR="00832BB5" w:rsidRPr="00813D19">
        <w:rPr>
          <w:lang w:val="en-US"/>
        </w:rPr>
        <w:t xml:space="preserve">that </w:t>
      </w:r>
      <w:r w:rsidR="002F50EA">
        <w:rPr>
          <w:lang w:val="en-US"/>
        </w:rPr>
        <w:t>F</w:t>
      </w:r>
      <w:r w:rsidR="002F50EA" w:rsidRPr="00813D19">
        <w:rPr>
          <w:lang w:val="en-US"/>
        </w:rPr>
        <w:t xml:space="preserve">orm </w:t>
      </w:r>
      <w:r w:rsidR="00832BB5" w:rsidRPr="00813D19">
        <w:rPr>
          <w:lang w:val="en-US"/>
        </w:rPr>
        <w:t>ICH-2 had</w:t>
      </w:r>
      <w:r w:rsidR="00F67724" w:rsidRPr="00813D19">
        <w:rPr>
          <w:lang w:val="en-US"/>
        </w:rPr>
        <w:t xml:space="preserve"> been revised and </w:t>
      </w:r>
      <w:r w:rsidR="004966D6">
        <w:rPr>
          <w:lang w:val="en-US"/>
        </w:rPr>
        <w:t>would</w:t>
      </w:r>
      <w:r w:rsidR="004966D6" w:rsidRPr="00813D19">
        <w:rPr>
          <w:lang w:val="en-US"/>
        </w:rPr>
        <w:t xml:space="preserve"> </w:t>
      </w:r>
      <w:r w:rsidR="00F67724" w:rsidRPr="00813D19">
        <w:rPr>
          <w:lang w:val="en-US"/>
        </w:rPr>
        <w:t xml:space="preserve">be used in the next cycle thanks to the efforts of the Secretariat. Section 2.1 is broken down into three subsections and States Parties are requested to explain how </w:t>
      </w:r>
      <w:r w:rsidR="004966D6">
        <w:rPr>
          <w:lang w:val="en-US"/>
        </w:rPr>
        <w:t xml:space="preserve">the </w:t>
      </w:r>
      <w:r w:rsidR="00F67724" w:rsidRPr="00813D19">
        <w:rPr>
          <w:lang w:val="en-US"/>
        </w:rPr>
        <w:t xml:space="preserve">inscription </w:t>
      </w:r>
      <w:r w:rsidR="004966D6">
        <w:rPr>
          <w:lang w:val="en-US"/>
        </w:rPr>
        <w:t>would</w:t>
      </w:r>
      <w:r w:rsidR="004966D6" w:rsidRPr="00813D19">
        <w:rPr>
          <w:lang w:val="en-US"/>
        </w:rPr>
        <w:t xml:space="preserve"> </w:t>
      </w:r>
      <w:r w:rsidR="00F67724" w:rsidRPr="00813D19">
        <w:rPr>
          <w:lang w:val="en-US"/>
        </w:rPr>
        <w:t xml:space="preserve">be achieved at </w:t>
      </w:r>
      <w:r w:rsidR="004966D6">
        <w:rPr>
          <w:lang w:val="en-US"/>
        </w:rPr>
        <w:t xml:space="preserve">the </w:t>
      </w:r>
      <w:r w:rsidR="00F67724" w:rsidRPr="00813D19">
        <w:rPr>
          <w:lang w:val="en-US"/>
        </w:rPr>
        <w:t>local, national and international levels</w:t>
      </w:r>
      <w:r w:rsidR="004966D6">
        <w:rPr>
          <w:lang w:val="en-US"/>
        </w:rPr>
        <w:t>,</w:t>
      </w:r>
      <w:r w:rsidR="00F67724" w:rsidRPr="00813D19">
        <w:rPr>
          <w:lang w:val="en-US"/>
        </w:rPr>
        <w:t xml:space="preserve"> respectively. </w:t>
      </w:r>
      <w:r w:rsidR="00832BB5" w:rsidRPr="00813D19">
        <w:rPr>
          <w:lang w:val="en-US"/>
        </w:rPr>
        <w:t xml:space="preserve">Although the results of </w:t>
      </w:r>
      <w:r w:rsidR="00F67724" w:rsidRPr="00813D19">
        <w:rPr>
          <w:lang w:val="en-US"/>
        </w:rPr>
        <w:t xml:space="preserve">this revision </w:t>
      </w:r>
      <w:r w:rsidR="004966D6" w:rsidRPr="00813D19">
        <w:rPr>
          <w:lang w:val="en-US"/>
        </w:rPr>
        <w:t>w</w:t>
      </w:r>
      <w:r w:rsidR="004966D6">
        <w:rPr>
          <w:lang w:val="en-US"/>
        </w:rPr>
        <w:t>ere</w:t>
      </w:r>
      <w:r w:rsidR="004966D6" w:rsidRPr="00813D19">
        <w:rPr>
          <w:lang w:val="en-US"/>
        </w:rPr>
        <w:t xml:space="preserve"> </w:t>
      </w:r>
      <w:r w:rsidR="00832BB5" w:rsidRPr="00813D19">
        <w:rPr>
          <w:lang w:val="en-US"/>
        </w:rPr>
        <w:t xml:space="preserve">awaited in the 2019 cycle, the delegation </w:t>
      </w:r>
      <w:r w:rsidR="00F67724" w:rsidRPr="00813D19">
        <w:rPr>
          <w:lang w:val="en-US"/>
        </w:rPr>
        <w:t>believe</w:t>
      </w:r>
      <w:r w:rsidR="00832BB5" w:rsidRPr="00813D19">
        <w:rPr>
          <w:lang w:val="en-US"/>
        </w:rPr>
        <w:t>d</w:t>
      </w:r>
      <w:r w:rsidR="00F67724" w:rsidRPr="00813D19">
        <w:rPr>
          <w:lang w:val="en-US"/>
        </w:rPr>
        <w:t xml:space="preserve"> that dialogue between States Parties and the Evaluation Body should be carried out upstream of the evaluation process instead of downstream, which </w:t>
      </w:r>
      <w:r w:rsidR="004966D6">
        <w:rPr>
          <w:lang w:val="en-US"/>
        </w:rPr>
        <w:t>wa</w:t>
      </w:r>
      <w:r w:rsidR="004966D6" w:rsidRPr="00813D19">
        <w:rPr>
          <w:lang w:val="en-US"/>
        </w:rPr>
        <w:t xml:space="preserve">s </w:t>
      </w:r>
      <w:r w:rsidR="00F67724" w:rsidRPr="00813D19">
        <w:rPr>
          <w:lang w:val="en-US"/>
        </w:rPr>
        <w:t>right before the Evaluation Body comes t</w:t>
      </w:r>
      <w:r w:rsidR="00DD4E22">
        <w:rPr>
          <w:lang w:val="en-US"/>
        </w:rPr>
        <w:t>o finalize its recommendations.</w:t>
      </w:r>
    </w:p>
    <w:p w14:paraId="11CCC315" w14:textId="6E49D5D8" w:rsidR="00821332" w:rsidRPr="00813D19" w:rsidRDefault="00832BB5" w:rsidP="00832BB5">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China</w:t>
      </w:r>
      <w:r w:rsidRPr="00813D19">
        <w:rPr>
          <w:lang w:val="en-US"/>
        </w:rPr>
        <w:t xml:space="preserve"> nonetheless had </w:t>
      </w:r>
      <w:r w:rsidR="00F67724" w:rsidRPr="00813D19">
        <w:rPr>
          <w:lang w:val="en-US"/>
        </w:rPr>
        <w:t>three questions. First</w:t>
      </w:r>
      <w:r w:rsidRPr="00813D19">
        <w:rPr>
          <w:lang w:val="en-US"/>
        </w:rPr>
        <w:t>ly</w:t>
      </w:r>
      <w:r w:rsidR="00F67724" w:rsidRPr="00813D19">
        <w:rPr>
          <w:lang w:val="en-US"/>
        </w:rPr>
        <w:t>, according to paragraph 28 of the Operational Directives</w:t>
      </w:r>
      <w:r w:rsidRPr="00813D19">
        <w:rPr>
          <w:lang w:val="en-US"/>
        </w:rPr>
        <w:t>,</w:t>
      </w:r>
      <w:r w:rsidR="00F67724" w:rsidRPr="00813D19">
        <w:rPr>
          <w:lang w:val="en-US"/>
        </w:rPr>
        <w:t xml:space="preserve"> every year the Committee shall renew one</w:t>
      </w:r>
      <w:r w:rsidR="00FB131E">
        <w:rPr>
          <w:lang w:val="en-US"/>
        </w:rPr>
        <w:t xml:space="preserve"> </w:t>
      </w:r>
      <w:r w:rsidR="00F67724" w:rsidRPr="00813D19">
        <w:rPr>
          <w:lang w:val="en-US"/>
        </w:rPr>
        <w:t xml:space="preserve">fourth of the members of the Evaluation Body to balance the need for continuity and fresh inputs. If those clarifications </w:t>
      </w:r>
      <w:r w:rsidRPr="00813D19">
        <w:rPr>
          <w:lang w:val="en-US"/>
        </w:rPr>
        <w:t xml:space="preserve">are </w:t>
      </w:r>
      <w:r w:rsidR="0057574F">
        <w:rPr>
          <w:lang w:val="en-US"/>
        </w:rPr>
        <w:t xml:space="preserve">to be </w:t>
      </w:r>
      <w:r w:rsidR="00F67724" w:rsidRPr="00813D19">
        <w:rPr>
          <w:lang w:val="en-US"/>
        </w:rPr>
        <w:t xml:space="preserve">submitted before the </w:t>
      </w:r>
      <w:r w:rsidR="00F67724" w:rsidRPr="002C5483">
        <w:rPr>
          <w:lang w:val="en-US"/>
        </w:rPr>
        <w:t>first meeting of the Evaluation Body in 2019</w:t>
      </w:r>
      <w:r w:rsidR="005C4453" w:rsidRPr="002C5483">
        <w:rPr>
          <w:lang w:val="en-US"/>
        </w:rPr>
        <w:t>, h</w:t>
      </w:r>
      <w:r w:rsidR="00F67724" w:rsidRPr="002C5483">
        <w:rPr>
          <w:lang w:val="en-US"/>
        </w:rPr>
        <w:t xml:space="preserve">ow will it </w:t>
      </w:r>
      <w:r w:rsidR="0057574F" w:rsidRPr="003221D5">
        <w:rPr>
          <w:lang w:val="en-US"/>
        </w:rPr>
        <w:t xml:space="preserve">be </w:t>
      </w:r>
      <w:r w:rsidR="00F67724" w:rsidRPr="002C5483">
        <w:rPr>
          <w:lang w:val="en-US"/>
        </w:rPr>
        <w:t>ensure</w:t>
      </w:r>
      <w:r w:rsidR="0057574F" w:rsidRPr="003221D5">
        <w:rPr>
          <w:lang w:val="en-US"/>
        </w:rPr>
        <w:t>d</w:t>
      </w:r>
      <w:r w:rsidR="00F67724" w:rsidRPr="002C5483">
        <w:rPr>
          <w:lang w:val="en-US"/>
        </w:rPr>
        <w:t xml:space="preserve"> </w:t>
      </w:r>
      <w:r w:rsidRPr="002C5483">
        <w:rPr>
          <w:lang w:val="en-US"/>
        </w:rPr>
        <w:t xml:space="preserve">that </w:t>
      </w:r>
      <w:r w:rsidR="00F67724" w:rsidRPr="002C5483">
        <w:rPr>
          <w:lang w:val="en-US"/>
        </w:rPr>
        <w:t xml:space="preserve">the new members of the Evaluation Body </w:t>
      </w:r>
      <w:r w:rsidRPr="002C5483">
        <w:rPr>
          <w:lang w:val="en-US"/>
        </w:rPr>
        <w:t>remain consistent</w:t>
      </w:r>
      <w:r w:rsidR="00F67724" w:rsidRPr="002C5483">
        <w:rPr>
          <w:lang w:val="en-US"/>
        </w:rPr>
        <w:t xml:space="preserve"> with the file and clar</w:t>
      </w:r>
      <w:r w:rsidRPr="002C5483">
        <w:rPr>
          <w:lang w:val="en-US"/>
        </w:rPr>
        <w:t>ifications as the previous Body?</w:t>
      </w:r>
      <w:r w:rsidR="00F67724" w:rsidRPr="002C5483">
        <w:rPr>
          <w:lang w:val="en-US"/>
        </w:rPr>
        <w:t xml:space="preserve"> </w:t>
      </w:r>
      <w:r w:rsidRPr="002C5483">
        <w:rPr>
          <w:lang w:val="en-US"/>
        </w:rPr>
        <w:t>At</w:t>
      </w:r>
      <w:r w:rsidRPr="00813D19">
        <w:rPr>
          <w:lang w:val="en-US"/>
        </w:rPr>
        <w:t xml:space="preserve"> the same time</w:t>
      </w:r>
      <w:r w:rsidR="00F67724" w:rsidRPr="00813D19">
        <w:rPr>
          <w:lang w:val="en-US"/>
        </w:rPr>
        <w:t xml:space="preserve">, the limited resources available and </w:t>
      </w:r>
      <w:r w:rsidRPr="00813D19">
        <w:rPr>
          <w:lang w:val="en-US"/>
        </w:rPr>
        <w:t xml:space="preserve">the </w:t>
      </w:r>
      <w:r w:rsidR="00F67724" w:rsidRPr="00813D19">
        <w:rPr>
          <w:lang w:val="en-US"/>
        </w:rPr>
        <w:t xml:space="preserve">heavy workload </w:t>
      </w:r>
      <w:r w:rsidR="005C4453" w:rsidRPr="00813D19">
        <w:rPr>
          <w:lang w:val="en-US"/>
        </w:rPr>
        <w:t xml:space="preserve">that this might entail for the </w:t>
      </w:r>
      <w:r w:rsidR="00F67724" w:rsidRPr="00813D19">
        <w:rPr>
          <w:lang w:val="en-US"/>
        </w:rPr>
        <w:t xml:space="preserve">Committee, the Secretariat and the Evaluation Body should </w:t>
      </w:r>
      <w:r w:rsidRPr="00813D19">
        <w:rPr>
          <w:lang w:val="en-US"/>
        </w:rPr>
        <w:t xml:space="preserve">also </w:t>
      </w:r>
      <w:r w:rsidR="00F67724" w:rsidRPr="00813D19">
        <w:rPr>
          <w:lang w:val="en-US"/>
        </w:rPr>
        <w:t xml:space="preserve">be taken into account. </w:t>
      </w:r>
      <w:r w:rsidRPr="00813D19">
        <w:rPr>
          <w:lang w:val="en-US"/>
        </w:rPr>
        <w:t xml:space="preserve">Secondly, </w:t>
      </w:r>
      <w:r w:rsidR="005C4453" w:rsidRPr="00813D19">
        <w:rPr>
          <w:lang w:val="en-US"/>
        </w:rPr>
        <w:t xml:space="preserve">will this </w:t>
      </w:r>
      <w:r w:rsidRPr="00813D19">
        <w:rPr>
          <w:lang w:val="en-US"/>
        </w:rPr>
        <w:t>dialogue mechanism be open</w:t>
      </w:r>
      <w:r w:rsidR="00F67724" w:rsidRPr="00813D19">
        <w:rPr>
          <w:lang w:val="en-US"/>
        </w:rPr>
        <w:t xml:space="preserve"> to all criteria or </w:t>
      </w:r>
      <w:r w:rsidRPr="00813D19">
        <w:rPr>
          <w:lang w:val="en-US"/>
        </w:rPr>
        <w:t xml:space="preserve">only to </w:t>
      </w:r>
      <w:r w:rsidR="00F67724" w:rsidRPr="00813D19">
        <w:rPr>
          <w:lang w:val="en-US"/>
        </w:rPr>
        <w:t xml:space="preserve">files </w:t>
      </w:r>
      <w:r w:rsidRPr="00813D19">
        <w:rPr>
          <w:lang w:val="en-US"/>
        </w:rPr>
        <w:t xml:space="preserve">in </w:t>
      </w:r>
      <w:r w:rsidR="00F67724" w:rsidRPr="00813D19">
        <w:rPr>
          <w:lang w:val="en-US"/>
        </w:rPr>
        <w:t>R.2</w:t>
      </w:r>
      <w:r w:rsidRPr="00813D19">
        <w:rPr>
          <w:lang w:val="en-US"/>
        </w:rPr>
        <w:t>,</w:t>
      </w:r>
      <w:r w:rsidR="00F67724" w:rsidRPr="00813D19">
        <w:rPr>
          <w:lang w:val="en-US"/>
        </w:rPr>
        <w:t xml:space="preserve"> as </w:t>
      </w:r>
      <w:r w:rsidRPr="00813D19">
        <w:rPr>
          <w:lang w:val="en-US"/>
        </w:rPr>
        <w:t xml:space="preserve">it was </w:t>
      </w:r>
      <w:r w:rsidR="00F67724" w:rsidRPr="00813D19">
        <w:rPr>
          <w:lang w:val="en-US"/>
        </w:rPr>
        <w:t>know</w:t>
      </w:r>
      <w:r w:rsidRPr="00813D19">
        <w:rPr>
          <w:lang w:val="en-US"/>
        </w:rPr>
        <w:t>n that R.2 referred</w:t>
      </w:r>
      <w:r w:rsidR="00F67724" w:rsidRPr="00813D19">
        <w:rPr>
          <w:lang w:val="en-US"/>
        </w:rPr>
        <w:t xml:space="preserve"> to the definition of </w:t>
      </w:r>
      <w:r w:rsidRPr="00813D19">
        <w:rPr>
          <w:lang w:val="en-US"/>
        </w:rPr>
        <w:t xml:space="preserve">intangible heritage as </w:t>
      </w:r>
      <w:r w:rsidR="00F67724" w:rsidRPr="00813D19">
        <w:rPr>
          <w:lang w:val="en-US"/>
        </w:rPr>
        <w:t xml:space="preserve">an overarching criterion? </w:t>
      </w:r>
      <w:r w:rsidRPr="00813D19">
        <w:rPr>
          <w:lang w:val="en-US"/>
        </w:rPr>
        <w:t>R</w:t>
      </w:r>
      <w:r w:rsidR="00F67724" w:rsidRPr="00813D19">
        <w:rPr>
          <w:lang w:val="en-US"/>
        </w:rPr>
        <w:t>egarding R.5</w:t>
      </w:r>
      <w:r w:rsidRPr="00813D19">
        <w:rPr>
          <w:lang w:val="en-US"/>
        </w:rPr>
        <w:t>,</w:t>
      </w:r>
      <w:r w:rsidR="00F67724" w:rsidRPr="00813D19">
        <w:rPr>
          <w:lang w:val="en-US"/>
        </w:rPr>
        <w:t xml:space="preserve"> </w:t>
      </w:r>
      <w:r w:rsidRPr="00813D19">
        <w:rPr>
          <w:lang w:val="en-US"/>
        </w:rPr>
        <w:t xml:space="preserve">the delegation </w:t>
      </w:r>
      <w:r w:rsidR="00F67724" w:rsidRPr="00813D19">
        <w:rPr>
          <w:lang w:val="en-US"/>
        </w:rPr>
        <w:t>recall</w:t>
      </w:r>
      <w:r w:rsidRPr="00813D19">
        <w:rPr>
          <w:lang w:val="en-US"/>
        </w:rPr>
        <w:t>ed</w:t>
      </w:r>
      <w:r w:rsidR="00F67724" w:rsidRPr="00813D19">
        <w:rPr>
          <w:lang w:val="en-US"/>
        </w:rPr>
        <w:t xml:space="preserve"> that in 2017</w:t>
      </w:r>
      <w:r w:rsidRPr="00813D19">
        <w:rPr>
          <w:lang w:val="en-US"/>
        </w:rPr>
        <w:t>,</w:t>
      </w:r>
      <w:r w:rsidR="00F67724" w:rsidRPr="00813D19">
        <w:rPr>
          <w:lang w:val="en-US"/>
        </w:rPr>
        <w:t xml:space="preserve"> the Evaluation Body used a dual system for draft decisions and </w:t>
      </w:r>
      <w:r w:rsidRPr="00813D19">
        <w:rPr>
          <w:lang w:val="en-US"/>
        </w:rPr>
        <w:t xml:space="preserve">that in </w:t>
      </w:r>
      <w:r w:rsidR="00F67724" w:rsidRPr="00813D19">
        <w:rPr>
          <w:lang w:val="en-US"/>
        </w:rPr>
        <w:t xml:space="preserve">this </w:t>
      </w:r>
      <w:r w:rsidRPr="00813D19">
        <w:rPr>
          <w:lang w:val="en-US"/>
        </w:rPr>
        <w:t xml:space="preserve">cycle </w:t>
      </w:r>
      <w:r w:rsidR="00F67724" w:rsidRPr="00813D19">
        <w:rPr>
          <w:lang w:val="en-US"/>
        </w:rPr>
        <w:t>nominations benefi</w:t>
      </w:r>
      <w:r w:rsidRPr="00813D19">
        <w:rPr>
          <w:lang w:val="en-US"/>
        </w:rPr>
        <w:t>ted</w:t>
      </w:r>
      <w:r w:rsidR="00F67724" w:rsidRPr="00813D19">
        <w:rPr>
          <w:lang w:val="en-US"/>
        </w:rPr>
        <w:t xml:space="preserve"> from the new </w:t>
      </w:r>
      <w:r w:rsidR="004966D6">
        <w:rPr>
          <w:lang w:val="en-US"/>
        </w:rPr>
        <w:t xml:space="preserve">Form </w:t>
      </w:r>
      <w:r w:rsidR="00F67724" w:rsidRPr="00813D19">
        <w:rPr>
          <w:lang w:val="en-US"/>
        </w:rPr>
        <w:t xml:space="preserve">ICH-2 in which </w:t>
      </w:r>
      <w:r w:rsidR="004966D6">
        <w:rPr>
          <w:lang w:val="en-US"/>
        </w:rPr>
        <w:t>S</w:t>
      </w:r>
      <w:r w:rsidR="004966D6" w:rsidRPr="00813D19">
        <w:rPr>
          <w:lang w:val="en-US"/>
        </w:rPr>
        <w:t xml:space="preserve">ection </w:t>
      </w:r>
      <w:r w:rsidR="00F67724" w:rsidRPr="00813D19">
        <w:rPr>
          <w:lang w:val="en-US"/>
        </w:rPr>
        <w:t xml:space="preserve">5 </w:t>
      </w:r>
      <w:r w:rsidRPr="00813D19">
        <w:rPr>
          <w:lang w:val="en-US"/>
        </w:rPr>
        <w:t xml:space="preserve">was </w:t>
      </w:r>
      <w:r w:rsidR="00F67724" w:rsidRPr="00813D19">
        <w:rPr>
          <w:lang w:val="en-US"/>
        </w:rPr>
        <w:t xml:space="preserve">broken down into seven subsections. It </w:t>
      </w:r>
      <w:r w:rsidRPr="00813D19">
        <w:rPr>
          <w:lang w:val="en-US"/>
        </w:rPr>
        <w:t xml:space="preserve">was </w:t>
      </w:r>
      <w:r w:rsidR="00F67724" w:rsidRPr="00813D19">
        <w:rPr>
          <w:lang w:val="en-US"/>
        </w:rPr>
        <w:t xml:space="preserve">noted by the Evaluation Body that improvements </w:t>
      </w:r>
      <w:r w:rsidRPr="00813D19">
        <w:rPr>
          <w:lang w:val="en-US"/>
        </w:rPr>
        <w:t xml:space="preserve">had been made </w:t>
      </w:r>
      <w:r w:rsidR="00F67724" w:rsidRPr="00813D19">
        <w:rPr>
          <w:lang w:val="en-US"/>
        </w:rPr>
        <w:t>in the way States Parties provided information compared with previous cycles. As a result</w:t>
      </w:r>
      <w:r w:rsidRPr="00813D19">
        <w:rPr>
          <w:lang w:val="en-US"/>
        </w:rPr>
        <w:t>,</w:t>
      </w:r>
      <w:r w:rsidR="00F67724" w:rsidRPr="00813D19">
        <w:rPr>
          <w:lang w:val="en-US"/>
        </w:rPr>
        <w:t xml:space="preserve"> no nomination </w:t>
      </w:r>
      <w:r w:rsidRPr="00813D19">
        <w:rPr>
          <w:lang w:val="en-US"/>
        </w:rPr>
        <w:t xml:space="preserve">in this cycle </w:t>
      </w:r>
      <w:r w:rsidR="00F67724" w:rsidRPr="00813D19">
        <w:rPr>
          <w:lang w:val="en-US"/>
        </w:rPr>
        <w:t xml:space="preserve">was recommended for a referral on R.5 alone. </w:t>
      </w:r>
      <w:r w:rsidRPr="00813D19">
        <w:rPr>
          <w:lang w:val="en-US"/>
        </w:rPr>
        <w:t>T</w:t>
      </w:r>
      <w:r w:rsidR="00F67724" w:rsidRPr="00813D19">
        <w:rPr>
          <w:lang w:val="en-US"/>
        </w:rPr>
        <w:t>hird</w:t>
      </w:r>
      <w:r w:rsidRPr="00813D19">
        <w:rPr>
          <w:lang w:val="en-US"/>
        </w:rPr>
        <w:t xml:space="preserve">ly, </w:t>
      </w:r>
      <w:r w:rsidR="00F67724" w:rsidRPr="00813D19">
        <w:rPr>
          <w:lang w:val="en-US"/>
        </w:rPr>
        <w:t>in this proposed dialogue procedure</w:t>
      </w:r>
      <w:r w:rsidRPr="00813D19">
        <w:rPr>
          <w:lang w:val="en-US"/>
        </w:rPr>
        <w:t>,</w:t>
      </w:r>
      <w:r w:rsidR="00F67724" w:rsidRPr="00813D19">
        <w:rPr>
          <w:lang w:val="en-US"/>
        </w:rPr>
        <w:t xml:space="preserve"> even on an experimental basis</w:t>
      </w:r>
      <w:r w:rsidR="005C4453" w:rsidRPr="00813D19">
        <w:rPr>
          <w:lang w:val="en-US"/>
        </w:rPr>
        <w:t>, i</w:t>
      </w:r>
      <w:r w:rsidRPr="00813D19">
        <w:rPr>
          <w:lang w:val="en-US"/>
        </w:rPr>
        <w:t xml:space="preserve">s it consistent </w:t>
      </w:r>
      <w:r w:rsidR="005C4453" w:rsidRPr="00813D19">
        <w:rPr>
          <w:lang w:val="en-US"/>
        </w:rPr>
        <w:t xml:space="preserve">with the </w:t>
      </w:r>
      <w:r w:rsidRPr="00813D19">
        <w:rPr>
          <w:lang w:val="en-US"/>
        </w:rPr>
        <w:t>relevant Rules of P</w:t>
      </w:r>
      <w:r w:rsidR="00F67724" w:rsidRPr="00813D19">
        <w:rPr>
          <w:lang w:val="en-US"/>
        </w:rPr>
        <w:t xml:space="preserve">rocedure or </w:t>
      </w:r>
      <w:r w:rsidR="004966D6">
        <w:rPr>
          <w:lang w:val="en-US"/>
        </w:rPr>
        <w:t xml:space="preserve">does it </w:t>
      </w:r>
      <w:r w:rsidR="00F67724" w:rsidRPr="00813D19">
        <w:rPr>
          <w:lang w:val="en-US"/>
        </w:rPr>
        <w:t xml:space="preserve">touch </w:t>
      </w:r>
      <w:r w:rsidRPr="00813D19">
        <w:rPr>
          <w:lang w:val="en-US"/>
        </w:rPr>
        <w:t>up</w:t>
      </w:r>
      <w:r w:rsidR="00F67724" w:rsidRPr="00813D19">
        <w:rPr>
          <w:lang w:val="en-US"/>
        </w:rPr>
        <w:t xml:space="preserve">on any legal issues </w:t>
      </w:r>
      <w:r w:rsidR="005C4453" w:rsidRPr="00813D19">
        <w:rPr>
          <w:lang w:val="en-US"/>
        </w:rPr>
        <w:t xml:space="preserve">should </w:t>
      </w:r>
      <w:r w:rsidR="00F67724" w:rsidRPr="00813D19">
        <w:rPr>
          <w:lang w:val="en-US"/>
        </w:rPr>
        <w:t xml:space="preserve">the Committee </w:t>
      </w:r>
      <w:r w:rsidR="005C4453" w:rsidRPr="00813D19">
        <w:rPr>
          <w:lang w:val="en-US"/>
        </w:rPr>
        <w:t>decide</w:t>
      </w:r>
      <w:r w:rsidRPr="00813D19">
        <w:rPr>
          <w:lang w:val="en-US"/>
        </w:rPr>
        <w:t xml:space="preserve"> </w:t>
      </w:r>
      <w:r w:rsidR="00F67724" w:rsidRPr="00813D19">
        <w:rPr>
          <w:lang w:val="en-US"/>
        </w:rPr>
        <w:t xml:space="preserve">to apply it before </w:t>
      </w:r>
      <w:r w:rsidR="005C4453" w:rsidRPr="00813D19">
        <w:rPr>
          <w:lang w:val="en-US"/>
        </w:rPr>
        <w:t xml:space="preserve">the </w:t>
      </w:r>
      <w:r w:rsidR="00F67724" w:rsidRPr="00813D19">
        <w:rPr>
          <w:lang w:val="en-US"/>
        </w:rPr>
        <w:t xml:space="preserve">relevant Operational Directives </w:t>
      </w:r>
      <w:r w:rsidR="004966D6">
        <w:rPr>
          <w:lang w:val="en-US"/>
        </w:rPr>
        <w:t>are</w:t>
      </w:r>
      <w:r w:rsidR="004966D6" w:rsidRPr="00813D19">
        <w:rPr>
          <w:lang w:val="en-US"/>
        </w:rPr>
        <w:t xml:space="preserve"> </w:t>
      </w:r>
      <w:r w:rsidR="00F67724" w:rsidRPr="00813D19">
        <w:rPr>
          <w:lang w:val="en-US"/>
        </w:rPr>
        <w:t>amended and a</w:t>
      </w:r>
      <w:r w:rsidRPr="00813D19">
        <w:rPr>
          <w:lang w:val="en-US"/>
        </w:rPr>
        <w:t>pproved by the General Assembly?</w:t>
      </w:r>
    </w:p>
    <w:p w14:paraId="761A6E1F" w14:textId="38D1A59C" w:rsidR="003B69FE" w:rsidRPr="00813D19" w:rsidRDefault="003B69FE"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502A1C" w:rsidRPr="00813D19">
        <w:rPr>
          <w:b/>
          <w:color w:val="000000" w:themeColor="text1"/>
          <w:lang w:val="en-US"/>
        </w:rPr>
        <w:t>Cuba</w:t>
      </w:r>
      <w:r w:rsidR="00F67724" w:rsidRPr="00813D19">
        <w:rPr>
          <w:b/>
          <w:color w:val="000000" w:themeColor="text1"/>
          <w:lang w:val="en-US"/>
        </w:rPr>
        <w:t xml:space="preserve"> </w:t>
      </w:r>
      <w:r w:rsidR="00F67724" w:rsidRPr="00813D19">
        <w:rPr>
          <w:bCs/>
          <w:lang w:val="en-US"/>
        </w:rPr>
        <w:t>thank</w:t>
      </w:r>
      <w:r w:rsidR="00832BB5" w:rsidRPr="00813D19">
        <w:rPr>
          <w:bCs/>
          <w:lang w:val="en-US"/>
        </w:rPr>
        <w:t>ed</w:t>
      </w:r>
      <w:r w:rsidR="00F67724" w:rsidRPr="00813D19">
        <w:rPr>
          <w:bCs/>
          <w:lang w:val="en-US"/>
        </w:rPr>
        <w:t xml:space="preserve"> the Secretariat for the work accomplished in presenting </w:t>
      </w:r>
      <w:r w:rsidR="00832BB5" w:rsidRPr="00813D19">
        <w:rPr>
          <w:bCs/>
          <w:lang w:val="en-US"/>
        </w:rPr>
        <w:t xml:space="preserve">the Committee </w:t>
      </w:r>
      <w:r w:rsidR="00F67724" w:rsidRPr="00813D19">
        <w:rPr>
          <w:bCs/>
          <w:lang w:val="en-US"/>
        </w:rPr>
        <w:t xml:space="preserve">with an option, which </w:t>
      </w:r>
      <w:r w:rsidR="005C4453" w:rsidRPr="00813D19">
        <w:rPr>
          <w:bCs/>
          <w:lang w:val="en-US"/>
        </w:rPr>
        <w:t xml:space="preserve">it </w:t>
      </w:r>
      <w:r w:rsidR="00832BB5" w:rsidRPr="00813D19">
        <w:rPr>
          <w:bCs/>
          <w:lang w:val="en-US"/>
        </w:rPr>
        <w:t xml:space="preserve">did </w:t>
      </w:r>
      <w:r w:rsidR="00F67724" w:rsidRPr="00813D19">
        <w:rPr>
          <w:bCs/>
          <w:lang w:val="en-US"/>
        </w:rPr>
        <w:t xml:space="preserve">not </w:t>
      </w:r>
      <w:r w:rsidR="005C4453" w:rsidRPr="00813D19">
        <w:rPr>
          <w:bCs/>
          <w:lang w:val="en-US"/>
        </w:rPr>
        <w:t xml:space="preserve">think ran </w:t>
      </w:r>
      <w:r w:rsidR="00F67724" w:rsidRPr="00813D19">
        <w:rPr>
          <w:bCs/>
          <w:lang w:val="en-US"/>
        </w:rPr>
        <w:t xml:space="preserve">counter to the Operational Directives. </w:t>
      </w:r>
      <w:r w:rsidR="00D55E5E" w:rsidRPr="00813D19">
        <w:rPr>
          <w:bCs/>
          <w:lang w:val="en-US"/>
        </w:rPr>
        <w:t>It was un</w:t>
      </w:r>
      <w:r w:rsidR="00F67724" w:rsidRPr="00813D19">
        <w:rPr>
          <w:bCs/>
          <w:lang w:val="en-US"/>
        </w:rPr>
        <w:t xml:space="preserve">sure whether this </w:t>
      </w:r>
      <w:r w:rsidR="00D55E5E" w:rsidRPr="00813D19">
        <w:rPr>
          <w:bCs/>
          <w:lang w:val="en-US"/>
        </w:rPr>
        <w:t xml:space="preserve">was indeed </w:t>
      </w:r>
      <w:r w:rsidR="00F67724" w:rsidRPr="00813D19">
        <w:rPr>
          <w:bCs/>
          <w:lang w:val="en-US"/>
        </w:rPr>
        <w:t xml:space="preserve">the case </w:t>
      </w:r>
      <w:r w:rsidR="00D55E5E" w:rsidRPr="00813D19">
        <w:rPr>
          <w:bCs/>
          <w:lang w:val="en-US"/>
        </w:rPr>
        <w:t xml:space="preserve">but </w:t>
      </w:r>
      <w:r w:rsidR="005C4453" w:rsidRPr="00813D19">
        <w:rPr>
          <w:bCs/>
          <w:lang w:val="en-US"/>
        </w:rPr>
        <w:t xml:space="preserve">it appreciated </w:t>
      </w:r>
      <w:r w:rsidR="00F67724" w:rsidRPr="00813D19">
        <w:rPr>
          <w:bCs/>
          <w:lang w:val="en-US"/>
        </w:rPr>
        <w:t xml:space="preserve">the effort </w:t>
      </w:r>
      <w:r w:rsidR="00D55E5E" w:rsidRPr="00813D19">
        <w:rPr>
          <w:bCs/>
          <w:lang w:val="en-US"/>
        </w:rPr>
        <w:t xml:space="preserve">and </w:t>
      </w:r>
      <w:r w:rsidR="00F67724" w:rsidRPr="00813D19">
        <w:rPr>
          <w:bCs/>
          <w:lang w:val="en-US"/>
        </w:rPr>
        <w:t>hope</w:t>
      </w:r>
      <w:r w:rsidR="00D55E5E" w:rsidRPr="00813D19">
        <w:rPr>
          <w:bCs/>
          <w:lang w:val="en-US"/>
        </w:rPr>
        <w:t>d</w:t>
      </w:r>
      <w:r w:rsidR="00F67724" w:rsidRPr="00813D19">
        <w:rPr>
          <w:bCs/>
          <w:lang w:val="en-US"/>
        </w:rPr>
        <w:t xml:space="preserve"> </w:t>
      </w:r>
      <w:r w:rsidR="00D55E5E" w:rsidRPr="00813D19">
        <w:rPr>
          <w:bCs/>
          <w:lang w:val="en-US"/>
        </w:rPr>
        <w:t xml:space="preserve">the Committee would </w:t>
      </w:r>
      <w:r w:rsidR="00F67724" w:rsidRPr="00813D19">
        <w:rPr>
          <w:bCs/>
          <w:lang w:val="en-US"/>
        </w:rPr>
        <w:t xml:space="preserve">take a responsible decision in this session. </w:t>
      </w:r>
      <w:r w:rsidR="005C4453" w:rsidRPr="00813D19">
        <w:rPr>
          <w:bCs/>
          <w:lang w:val="en-US"/>
        </w:rPr>
        <w:t xml:space="preserve">The delegation </w:t>
      </w:r>
      <w:r w:rsidR="00D55E5E" w:rsidRPr="00813D19">
        <w:rPr>
          <w:bCs/>
          <w:lang w:val="en-US"/>
        </w:rPr>
        <w:t xml:space="preserve">could approve this proposal as it </w:t>
      </w:r>
      <w:r w:rsidR="00F67724" w:rsidRPr="00813D19">
        <w:rPr>
          <w:bCs/>
          <w:lang w:val="en-US"/>
        </w:rPr>
        <w:t>constitute</w:t>
      </w:r>
      <w:r w:rsidR="00D55E5E" w:rsidRPr="00813D19">
        <w:rPr>
          <w:bCs/>
          <w:lang w:val="en-US"/>
        </w:rPr>
        <w:t>d a solution</w:t>
      </w:r>
      <w:r w:rsidR="00F67724" w:rsidRPr="00813D19">
        <w:rPr>
          <w:bCs/>
          <w:lang w:val="en-US"/>
        </w:rPr>
        <w:t xml:space="preserve"> </w:t>
      </w:r>
      <w:r w:rsidR="005C4453" w:rsidRPr="00813D19">
        <w:rPr>
          <w:bCs/>
          <w:lang w:val="en-US"/>
        </w:rPr>
        <w:t>that</w:t>
      </w:r>
      <w:r w:rsidR="00D55E5E" w:rsidRPr="00813D19">
        <w:rPr>
          <w:bCs/>
          <w:lang w:val="en-US"/>
        </w:rPr>
        <w:t xml:space="preserve"> would not </w:t>
      </w:r>
      <w:r w:rsidR="00F67724" w:rsidRPr="00813D19">
        <w:rPr>
          <w:bCs/>
          <w:lang w:val="en-US"/>
        </w:rPr>
        <w:t>create a precedent, nor would it be detriment</w:t>
      </w:r>
      <w:r w:rsidR="005C4453" w:rsidRPr="00813D19">
        <w:rPr>
          <w:bCs/>
          <w:lang w:val="en-US"/>
        </w:rPr>
        <w:t>al</w:t>
      </w:r>
      <w:r w:rsidR="00F67724" w:rsidRPr="00813D19">
        <w:rPr>
          <w:bCs/>
          <w:lang w:val="en-US"/>
        </w:rPr>
        <w:t xml:space="preserve"> </w:t>
      </w:r>
      <w:r w:rsidR="00D55E5E" w:rsidRPr="00813D19">
        <w:rPr>
          <w:bCs/>
          <w:lang w:val="en-US"/>
        </w:rPr>
        <w:t xml:space="preserve">to either </w:t>
      </w:r>
      <w:r w:rsidR="00F67724" w:rsidRPr="00813D19">
        <w:rPr>
          <w:bCs/>
          <w:lang w:val="en-US"/>
        </w:rPr>
        <w:t xml:space="preserve">the spirit of the Convention </w:t>
      </w:r>
      <w:r w:rsidR="00D55E5E" w:rsidRPr="00813D19">
        <w:rPr>
          <w:bCs/>
          <w:lang w:val="en-US"/>
        </w:rPr>
        <w:t xml:space="preserve">or the </w:t>
      </w:r>
      <w:r w:rsidR="00F67724" w:rsidRPr="00813D19">
        <w:rPr>
          <w:bCs/>
          <w:lang w:val="en-US"/>
        </w:rPr>
        <w:t xml:space="preserve">selection criteria for the Representative List. </w:t>
      </w:r>
      <w:r w:rsidR="005C4453" w:rsidRPr="00813D19">
        <w:rPr>
          <w:bCs/>
          <w:lang w:val="en-US"/>
        </w:rPr>
        <w:t xml:space="preserve">It </w:t>
      </w:r>
      <w:r w:rsidR="00D55E5E" w:rsidRPr="00813D19">
        <w:rPr>
          <w:bCs/>
          <w:lang w:val="en-US"/>
        </w:rPr>
        <w:t xml:space="preserve">drew the Committee’s attention to the fact that since 2016, it had become increasingly clear from ensuing </w:t>
      </w:r>
      <w:r w:rsidR="00F67724" w:rsidRPr="00813D19">
        <w:rPr>
          <w:bCs/>
          <w:lang w:val="en-US"/>
        </w:rPr>
        <w:t>debate</w:t>
      </w:r>
      <w:r w:rsidR="00D55E5E" w:rsidRPr="00813D19">
        <w:rPr>
          <w:bCs/>
          <w:lang w:val="en-US"/>
        </w:rPr>
        <w:t>s</w:t>
      </w:r>
      <w:r w:rsidR="00F67724" w:rsidRPr="00813D19">
        <w:rPr>
          <w:bCs/>
          <w:lang w:val="en-US"/>
        </w:rPr>
        <w:t xml:space="preserve"> that there </w:t>
      </w:r>
      <w:r w:rsidR="00D55E5E" w:rsidRPr="00813D19">
        <w:rPr>
          <w:bCs/>
          <w:lang w:val="en-US"/>
        </w:rPr>
        <w:t xml:space="preserve">was </w:t>
      </w:r>
      <w:r w:rsidR="00F67724" w:rsidRPr="00813D19">
        <w:rPr>
          <w:bCs/>
          <w:lang w:val="en-US"/>
        </w:rPr>
        <w:t xml:space="preserve">a need </w:t>
      </w:r>
      <w:r w:rsidR="00D55E5E" w:rsidRPr="00813D19">
        <w:rPr>
          <w:bCs/>
          <w:lang w:val="en-US"/>
        </w:rPr>
        <w:t xml:space="preserve">to </w:t>
      </w:r>
      <w:r w:rsidR="00F67724" w:rsidRPr="00813D19">
        <w:rPr>
          <w:bCs/>
          <w:lang w:val="en-US"/>
        </w:rPr>
        <w:t>thorough</w:t>
      </w:r>
      <w:r w:rsidR="00D55E5E" w:rsidRPr="00813D19">
        <w:rPr>
          <w:bCs/>
          <w:lang w:val="en-US"/>
        </w:rPr>
        <w:t>ly</w:t>
      </w:r>
      <w:r w:rsidR="00F67724" w:rsidRPr="00813D19">
        <w:rPr>
          <w:bCs/>
          <w:lang w:val="en-US"/>
        </w:rPr>
        <w:t xml:space="preserve"> review the criteria and </w:t>
      </w:r>
      <w:r w:rsidR="005C4453" w:rsidRPr="00813D19">
        <w:rPr>
          <w:bCs/>
          <w:lang w:val="en-US"/>
        </w:rPr>
        <w:t>the mechanism</w:t>
      </w:r>
      <w:r w:rsidR="00F67724" w:rsidRPr="00813D19">
        <w:rPr>
          <w:bCs/>
          <w:lang w:val="en-US"/>
        </w:rPr>
        <w:t xml:space="preserve"> for nomination to the Representative List </w:t>
      </w:r>
      <w:r w:rsidR="00D55E5E" w:rsidRPr="00813D19">
        <w:rPr>
          <w:bCs/>
          <w:lang w:val="en-US"/>
        </w:rPr>
        <w:t xml:space="preserve">precisely </w:t>
      </w:r>
      <w:r w:rsidR="00F67724" w:rsidRPr="00813D19">
        <w:rPr>
          <w:bCs/>
          <w:lang w:val="en-US"/>
        </w:rPr>
        <w:t>in order not to create a</w:t>
      </w:r>
      <w:r w:rsidR="00D55E5E" w:rsidRPr="00813D19">
        <w:rPr>
          <w:bCs/>
          <w:lang w:val="en-US"/>
        </w:rPr>
        <w:t>n imbalance or crisis situation</w:t>
      </w:r>
      <w:r w:rsidR="00F67724" w:rsidRPr="00813D19">
        <w:rPr>
          <w:bCs/>
          <w:lang w:val="en-US"/>
        </w:rPr>
        <w:t xml:space="preserve"> </w:t>
      </w:r>
      <w:r w:rsidR="00D55E5E" w:rsidRPr="00813D19">
        <w:rPr>
          <w:bCs/>
          <w:lang w:val="en-US"/>
        </w:rPr>
        <w:t xml:space="preserve">as </w:t>
      </w:r>
      <w:r w:rsidR="004966D6">
        <w:rPr>
          <w:bCs/>
          <w:lang w:val="en-US"/>
        </w:rPr>
        <w:t xml:space="preserve">had </w:t>
      </w:r>
      <w:r w:rsidR="00D55E5E" w:rsidRPr="00813D19">
        <w:rPr>
          <w:bCs/>
          <w:lang w:val="en-US"/>
        </w:rPr>
        <w:t xml:space="preserve">occurred </w:t>
      </w:r>
      <w:r w:rsidR="005C4453" w:rsidRPr="00813D19">
        <w:rPr>
          <w:bCs/>
          <w:lang w:val="en-US"/>
        </w:rPr>
        <w:t xml:space="preserve">in Ethiopia </w:t>
      </w:r>
      <w:r w:rsidR="004966D6">
        <w:rPr>
          <w:bCs/>
          <w:lang w:val="en-US"/>
        </w:rPr>
        <w:t>when</w:t>
      </w:r>
      <w:r w:rsidR="005C4453" w:rsidRPr="00813D19">
        <w:rPr>
          <w:bCs/>
          <w:lang w:val="en-US"/>
        </w:rPr>
        <w:t xml:space="preserve"> </w:t>
      </w:r>
      <w:r w:rsidR="00F67724" w:rsidRPr="00813D19">
        <w:rPr>
          <w:bCs/>
          <w:lang w:val="en-US"/>
        </w:rPr>
        <w:t xml:space="preserve">most of the files were approved </w:t>
      </w:r>
      <w:r w:rsidR="00D55E5E" w:rsidRPr="00813D19">
        <w:rPr>
          <w:bCs/>
          <w:lang w:val="en-US"/>
        </w:rPr>
        <w:t>by</w:t>
      </w:r>
      <w:r w:rsidR="005C4453" w:rsidRPr="00813D19">
        <w:rPr>
          <w:bCs/>
          <w:lang w:val="en-US"/>
        </w:rPr>
        <w:t xml:space="preserve"> the Committee in many of the criteria. I</w:t>
      </w:r>
      <w:r w:rsidR="00D55E5E" w:rsidRPr="00813D19">
        <w:rPr>
          <w:bCs/>
          <w:lang w:val="en-US"/>
        </w:rPr>
        <w:t xml:space="preserve">t was thus </w:t>
      </w:r>
      <w:r w:rsidR="00F67724" w:rsidRPr="00813D19">
        <w:rPr>
          <w:bCs/>
          <w:lang w:val="en-US"/>
        </w:rPr>
        <w:t xml:space="preserve">in the spirit of all the Members of </w:t>
      </w:r>
      <w:r w:rsidR="00D55E5E" w:rsidRPr="00813D19">
        <w:rPr>
          <w:bCs/>
          <w:lang w:val="en-US"/>
        </w:rPr>
        <w:t xml:space="preserve">the </w:t>
      </w:r>
      <w:r w:rsidR="00F67724" w:rsidRPr="00813D19">
        <w:rPr>
          <w:bCs/>
          <w:lang w:val="en-US"/>
        </w:rPr>
        <w:t xml:space="preserve">Committee to strike a balance </w:t>
      </w:r>
      <w:r w:rsidR="005C4453" w:rsidRPr="00813D19">
        <w:rPr>
          <w:bCs/>
          <w:lang w:val="en-US"/>
        </w:rPr>
        <w:t xml:space="preserve">so that the </w:t>
      </w:r>
      <w:r w:rsidR="00F67724" w:rsidRPr="00813D19">
        <w:rPr>
          <w:bCs/>
          <w:lang w:val="en-US"/>
        </w:rPr>
        <w:t>Convention be</w:t>
      </w:r>
      <w:r w:rsidR="00E57F6C" w:rsidRPr="00813D19">
        <w:rPr>
          <w:bCs/>
          <w:lang w:val="en-US"/>
        </w:rPr>
        <w:t xml:space="preserve">came </w:t>
      </w:r>
      <w:r w:rsidR="00F67724" w:rsidRPr="00813D19">
        <w:rPr>
          <w:bCs/>
          <w:lang w:val="en-US"/>
        </w:rPr>
        <w:t xml:space="preserve">stronger. </w:t>
      </w:r>
      <w:r w:rsidR="00D55E5E" w:rsidRPr="00813D19">
        <w:rPr>
          <w:bCs/>
          <w:lang w:val="en-US"/>
        </w:rPr>
        <w:t xml:space="preserve">The Committee sought a </w:t>
      </w:r>
      <w:r w:rsidR="00E57F6C" w:rsidRPr="00813D19">
        <w:rPr>
          <w:bCs/>
          <w:lang w:val="en-US"/>
        </w:rPr>
        <w:t xml:space="preserve">just and balanced List that </w:t>
      </w:r>
      <w:r w:rsidR="004966D6">
        <w:rPr>
          <w:bCs/>
          <w:lang w:val="en-US"/>
        </w:rPr>
        <w:t xml:space="preserve">would </w:t>
      </w:r>
      <w:r w:rsidR="00F67724" w:rsidRPr="00813D19">
        <w:rPr>
          <w:bCs/>
          <w:lang w:val="en-US"/>
        </w:rPr>
        <w:t xml:space="preserve">allow for better protection, safeguarding and visibility of </w:t>
      </w:r>
      <w:r w:rsidR="00D55E5E" w:rsidRPr="00813D19">
        <w:rPr>
          <w:bCs/>
          <w:lang w:val="en-US"/>
        </w:rPr>
        <w:t xml:space="preserve">the </w:t>
      </w:r>
      <w:r w:rsidR="00F67724" w:rsidRPr="00813D19">
        <w:rPr>
          <w:bCs/>
          <w:lang w:val="en-US"/>
        </w:rPr>
        <w:t xml:space="preserve">Convention. </w:t>
      </w:r>
      <w:r w:rsidR="00E57F6C" w:rsidRPr="00813D19">
        <w:rPr>
          <w:bCs/>
          <w:lang w:val="en-US"/>
        </w:rPr>
        <w:t xml:space="preserve">The delegation </w:t>
      </w:r>
      <w:r w:rsidR="00D55E5E" w:rsidRPr="00813D19">
        <w:rPr>
          <w:bCs/>
          <w:lang w:val="en-US"/>
        </w:rPr>
        <w:t>could agree with the Secretariat’s</w:t>
      </w:r>
      <w:r w:rsidR="00F67724" w:rsidRPr="00813D19">
        <w:rPr>
          <w:bCs/>
          <w:lang w:val="en-US"/>
        </w:rPr>
        <w:t xml:space="preserve"> proposal</w:t>
      </w:r>
      <w:r w:rsidR="00D55E5E" w:rsidRPr="00813D19">
        <w:rPr>
          <w:bCs/>
          <w:lang w:val="en-US"/>
        </w:rPr>
        <w:t>,</w:t>
      </w:r>
      <w:r w:rsidR="00F67724" w:rsidRPr="00813D19">
        <w:rPr>
          <w:bCs/>
          <w:lang w:val="en-US"/>
        </w:rPr>
        <w:t xml:space="preserve"> but </w:t>
      </w:r>
      <w:r w:rsidR="00D55E5E" w:rsidRPr="00813D19">
        <w:rPr>
          <w:bCs/>
          <w:lang w:val="en-US"/>
        </w:rPr>
        <w:t xml:space="preserve">did </w:t>
      </w:r>
      <w:r w:rsidR="00E57F6C" w:rsidRPr="00813D19">
        <w:rPr>
          <w:bCs/>
          <w:lang w:val="en-US"/>
        </w:rPr>
        <w:t xml:space="preserve">not </w:t>
      </w:r>
      <w:r w:rsidR="00D55E5E" w:rsidRPr="00813D19">
        <w:rPr>
          <w:bCs/>
          <w:lang w:val="en-US"/>
        </w:rPr>
        <w:t xml:space="preserve">wish to </w:t>
      </w:r>
      <w:r w:rsidR="00161F7A" w:rsidRPr="00813D19">
        <w:rPr>
          <w:bCs/>
          <w:lang w:val="en-US"/>
        </w:rPr>
        <w:t xml:space="preserve">dwell </w:t>
      </w:r>
      <w:r w:rsidR="004966D6">
        <w:rPr>
          <w:bCs/>
          <w:lang w:val="en-US"/>
        </w:rPr>
        <w:t>up</w:t>
      </w:r>
      <w:r w:rsidR="00161F7A" w:rsidRPr="00813D19">
        <w:rPr>
          <w:bCs/>
          <w:lang w:val="en-US"/>
        </w:rPr>
        <w:t xml:space="preserve">on </w:t>
      </w:r>
      <w:r w:rsidR="00D55E5E" w:rsidRPr="00813D19">
        <w:rPr>
          <w:bCs/>
          <w:lang w:val="en-US"/>
        </w:rPr>
        <w:t xml:space="preserve">the issue </w:t>
      </w:r>
      <w:r w:rsidR="00161F7A" w:rsidRPr="00813D19">
        <w:rPr>
          <w:bCs/>
          <w:lang w:val="en-US"/>
        </w:rPr>
        <w:t>much longer.</w:t>
      </w:r>
    </w:p>
    <w:p w14:paraId="24D1F82A" w14:textId="5DCB1D7F" w:rsidR="00502A1C" w:rsidRPr="00813D19" w:rsidRDefault="009F4635" w:rsidP="00AA5E9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F67724" w:rsidRPr="00813D19">
        <w:rPr>
          <w:b/>
          <w:color w:val="000000" w:themeColor="text1"/>
          <w:lang w:val="en-US"/>
        </w:rPr>
        <w:t xml:space="preserve"> </w:t>
      </w:r>
      <w:r w:rsidR="00F67724" w:rsidRPr="00813D19">
        <w:rPr>
          <w:bCs/>
          <w:lang w:val="en-US"/>
        </w:rPr>
        <w:t>thank</w:t>
      </w:r>
      <w:r w:rsidR="00DA512D" w:rsidRPr="00813D19">
        <w:rPr>
          <w:bCs/>
          <w:lang w:val="en-US"/>
        </w:rPr>
        <w:t>ed</w:t>
      </w:r>
      <w:r w:rsidR="00F67724" w:rsidRPr="00813D19">
        <w:rPr>
          <w:bCs/>
          <w:lang w:val="en-US"/>
        </w:rPr>
        <w:t xml:space="preserve"> the Secretariat for </w:t>
      </w:r>
      <w:r w:rsidR="00DA512D" w:rsidRPr="00813D19">
        <w:rPr>
          <w:bCs/>
          <w:lang w:val="en-US"/>
        </w:rPr>
        <w:t>its</w:t>
      </w:r>
      <w:r w:rsidR="00F67724" w:rsidRPr="00813D19">
        <w:rPr>
          <w:bCs/>
          <w:lang w:val="en-US"/>
        </w:rPr>
        <w:t xml:space="preserve"> pragmatic and creative</w:t>
      </w:r>
      <w:r w:rsidR="00DA512D" w:rsidRPr="00813D19">
        <w:rPr>
          <w:bCs/>
          <w:lang w:val="en-US"/>
        </w:rPr>
        <w:t xml:space="preserve"> proposal</w:t>
      </w:r>
      <w:r w:rsidR="00F67724" w:rsidRPr="00813D19">
        <w:rPr>
          <w:bCs/>
          <w:lang w:val="en-US"/>
        </w:rPr>
        <w:t xml:space="preserve">, </w:t>
      </w:r>
      <w:r w:rsidR="00DA512D" w:rsidRPr="00813D19">
        <w:rPr>
          <w:bCs/>
          <w:lang w:val="en-US"/>
        </w:rPr>
        <w:t xml:space="preserve">which was </w:t>
      </w:r>
      <w:r w:rsidR="00F67724" w:rsidRPr="00813D19">
        <w:rPr>
          <w:bCs/>
          <w:lang w:val="en-US"/>
        </w:rPr>
        <w:t xml:space="preserve">a step forward </w:t>
      </w:r>
      <w:r w:rsidR="00DA512D" w:rsidRPr="00813D19">
        <w:rPr>
          <w:bCs/>
          <w:lang w:val="en-US"/>
        </w:rPr>
        <w:t xml:space="preserve">vis-à-vis the </w:t>
      </w:r>
      <w:r w:rsidR="00F67724" w:rsidRPr="00813D19">
        <w:rPr>
          <w:bCs/>
          <w:lang w:val="en-US"/>
        </w:rPr>
        <w:t xml:space="preserve">subject discussed three years </w:t>
      </w:r>
      <w:r w:rsidR="00DA512D" w:rsidRPr="00813D19">
        <w:rPr>
          <w:bCs/>
          <w:lang w:val="en-US"/>
        </w:rPr>
        <w:t>earlier</w:t>
      </w:r>
      <w:r w:rsidR="00F67724" w:rsidRPr="00813D19">
        <w:rPr>
          <w:bCs/>
          <w:lang w:val="en-US"/>
        </w:rPr>
        <w:t xml:space="preserve">. </w:t>
      </w:r>
      <w:r w:rsidR="00DA512D" w:rsidRPr="00813D19">
        <w:rPr>
          <w:bCs/>
          <w:lang w:val="en-US"/>
        </w:rPr>
        <w:t xml:space="preserve">The Secretariat had found a possible solution with </w:t>
      </w:r>
      <w:r w:rsidR="00E57F6C" w:rsidRPr="00813D19">
        <w:rPr>
          <w:bCs/>
          <w:lang w:val="en-US"/>
        </w:rPr>
        <w:t>this</w:t>
      </w:r>
      <w:r w:rsidR="00DA512D" w:rsidRPr="00813D19">
        <w:rPr>
          <w:bCs/>
          <w:lang w:val="en-US"/>
        </w:rPr>
        <w:t xml:space="preserve"> proposal</w:t>
      </w:r>
      <w:r w:rsidR="00007D89" w:rsidRPr="00813D19">
        <w:rPr>
          <w:bCs/>
          <w:lang w:val="en-US"/>
        </w:rPr>
        <w:t>,</w:t>
      </w:r>
      <w:r w:rsidR="00DA512D" w:rsidRPr="00813D19">
        <w:rPr>
          <w:bCs/>
          <w:lang w:val="en-US"/>
        </w:rPr>
        <w:t xml:space="preserve"> </w:t>
      </w:r>
      <w:r w:rsidR="00007D89" w:rsidRPr="00813D19">
        <w:rPr>
          <w:bCs/>
          <w:lang w:val="en-US"/>
        </w:rPr>
        <w:t xml:space="preserve">which </w:t>
      </w:r>
      <w:r w:rsidR="00E57F6C" w:rsidRPr="00813D19">
        <w:rPr>
          <w:bCs/>
          <w:lang w:val="en-US"/>
        </w:rPr>
        <w:t xml:space="preserve">responded to the situation that </w:t>
      </w:r>
      <w:r w:rsidR="004966D6">
        <w:rPr>
          <w:bCs/>
          <w:lang w:val="en-US"/>
        </w:rPr>
        <w:t xml:space="preserve">had arisen </w:t>
      </w:r>
      <w:r w:rsidR="00DA512D" w:rsidRPr="00813D19">
        <w:rPr>
          <w:bCs/>
          <w:lang w:val="en-US"/>
        </w:rPr>
        <w:t xml:space="preserve">in the present </w:t>
      </w:r>
      <w:r w:rsidR="00F67724" w:rsidRPr="00813D19">
        <w:rPr>
          <w:bCs/>
          <w:lang w:val="en-US"/>
        </w:rPr>
        <w:t xml:space="preserve">session. </w:t>
      </w:r>
      <w:r w:rsidR="00AA5E90" w:rsidRPr="00813D19">
        <w:rPr>
          <w:bCs/>
          <w:lang w:val="en-US"/>
        </w:rPr>
        <w:t xml:space="preserve">The delegation </w:t>
      </w:r>
      <w:r w:rsidR="00DA512D" w:rsidRPr="00813D19">
        <w:rPr>
          <w:bCs/>
          <w:lang w:val="en-US"/>
        </w:rPr>
        <w:t>understood</w:t>
      </w:r>
      <w:r w:rsidR="00F67724" w:rsidRPr="00813D19">
        <w:rPr>
          <w:bCs/>
          <w:lang w:val="en-US"/>
        </w:rPr>
        <w:t xml:space="preserve"> that the Secretariat </w:t>
      </w:r>
      <w:r w:rsidR="00DA512D" w:rsidRPr="00813D19">
        <w:rPr>
          <w:bCs/>
          <w:lang w:val="en-US"/>
        </w:rPr>
        <w:t xml:space="preserve">had undertaken </w:t>
      </w:r>
      <w:r w:rsidR="00F67724" w:rsidRPr="00813D19">
        <w:rPr>
          <w:bCs/>
          <w:lang w:val="en-US"/>
        </w:rPr>
        <w:t xml:space="preserve">this </w:t>
      </w:r>
      <w:r w:rsidR="00007D89" w:rsidRPr="00813D19">
        <w:rPr>
          <w:bCs/>
          <w:lang w:val="en-US"/>
        </w:rPr>
        <w:t xml:space="preserve">approach </w:t>
      </w:r>
      <w:r w:rsidR="00DA512D" w:rsidRPr="00813D19">
        <w:rPr>
          <w:bCs/>
          <w:lang w:val="en-US"/>
        </w:rPr>
        <w:t xml:space="preserve">in careful consideration and </w:t>
      </w:r>
      <w:r w:rsidR="00F67724" w:rsidRPr="00813D19">
        <w:rPr>
          <w:bCs/>
          <w:lang w:val="en-US"/>
        </w:rPr>
        <w:t xml:space="preserve">with the assistance of </w:t>
      </w:r>
      <w:r w:rsidR="00DA512D" w:rsidRPr="00813D19">
        <w:rPr>
          <w:bCs/>
          <w:lang w:val="en-US"/>
        </w:rPr>
        <w:t>UNESCO</w:t>
      </w:r>
      <w:r w:rsidR="00007D89" w:rsidRPr="00813D19">
        <w:rPr>
          <w:bCs/>
          <w:lang w:val="en-US"/>
        </w:rPr>
        <w:t>’s</w:t>
      </w:r>
      <w:r w:rsidR="00DA512D" w:rsidRPr="00813D19">
        <w:rPr>
          <w:bCs/>
          <w:lang w:val="en-US"/>
        </w:rPr>
        <w:t xml:space="preserve"> L</w:t>
      </w:r>
      <w:r w:rsidR="00F67724" w:rsidRPr="00813D19">
        <w:rPr>
          <w:bCs/>
          <w:lang w:val="en-US"/>
        </w:rPr>
        <w:t xml:space="preserve">egal </w:t>
      </w:r>
      <w:r w:rsidR="00DA512D" w:rsidRPr="00813D19">
        <w:rPr>
          <w:bCs/>
          <w:lang w:val="en-US"/>
        </w:rPr>
        <w:t>Affairs</w:t>
      </w:r>
      <w:r w:rsidR="00F67724" w:rsidRPr="00813D19">
        <w:rPr>
          <w:bCs/>
          <w:lang w:val="en-US"/>
        </w:rPr>
        <w:t xml:space="preserve">. </w:t>
      </w:r>
      <w:r w:rsidR="00AA5E90" w:rsidRPr="00813D19">
        <w:rPr>
          <w:bCs/>
          <w:lang w:val="en-US"/>
        </w:rPr>
        <w:t xml:space="preserve">It </w:t>
      </w:r>
      <w:r w:rsidR="00DA512D" w:rsidRPr="00813D19">
        <w:rPr>
          <w:bCs/>
          <w:lang w:val="en-US"/>
        </w:rPr>
        <w:t xml:space="preserve">thus saw this </w:t>
      </w:r>
      <w:r w:rsidR="00F67724" w:rsidRPr="00813D19">
        <w:rPr>
          <w:bCs/>
          <w:lang w:val="en-US"/>
        </w:rPr>
        <w:t xml:space="preserve">proposal </w:t>
      </w:r>
      <w:r w:rsidR="00007D89" w:rsidRPr="00813D19">
        <w:rPr>
          <w:bCs/>
          <w:lang w:val="en-US"/>
        </w:rPr>
        <w:t xml:space="preserve">as a pilot project that was </w:t>
      </w:r>
      <w:r w:rsidR="00DA512D" w:rsidRPr="00813D19">
        <w:rPr>
          <w:bCs/>
          <w:lang w:val="en-US"/>
        </w:rPr>
        <w:t xml:space="preserve">moderate and </w:t>
      </w:r>
      <w:r w:rsidR="00F67724" w:rsidRPr="00813D19">
        <w:rPr>
          <w:bCs/>
          <w:lang w:val="en-US"/>
        </w:rPr>
        <w:t>cautious</w:t>
      </w:r>
      <w:r w:rsidR="00DA512D" w:rsidRPr="00813D19">
        <w:rPr>
          <w:bCs/>
          <w:lang w:val="en-US"/>
        </w:rPr>
        <w:t>,</w:t>
      </w:r>
      <w:r w:rsidR="00F67724" w:rsidRPr="00813D19">
        <w:rPr>
          <w:bCs/>
          <w:lang w:val="en-US"/>
        </w:rPr>
        <w:t xml:space="preserve"> </w:t>
      </w:r>
      <w:r w:rsidR="00007D89" w:rsidRPr="00813D19">
        <w:rPr>
          <w:bCs/>
          <w:lang w:val="en-US"/>
        </w:rPr>
        <w:t xml:space="preserve">with a </w:t>
      </w:r>
      <w:r w:rsidR="00DA512D" w:rsidRPr="00813D19">
        <w:rPr>
          <w:bCs/>
          <w:lang w:val="en-US"/>
        </w:rPr>
        <w:t>very carefully delineated</w:t>
      </w:r>
      <w:r w:rsidR="00007D89" w:rsidRPr="00813D19">
        <w:rPr>
          <w:bCs/>
          <w:lang w:val="en-US"/>
        </w:rPr>
        <w:t xml:space="preserve"> field of action</w:t>
      </w:r>
      <w:r w:rsidR="00DA512D" w:rsidRPr="00813D19">
        <w:rPr>
          <w:bCs/>
          <w:lang w:val="en-US"/>
        </w:rPr>
        <w:t xml:space="preserve">. Its </w:t>
      </w:r>
      <w:r w:rsidR="00F67724" w:rsidRPr="00813D19">
        <w:rPr>
          <w:bCs/>
          <w:lang w:val="en-US"/>
        </w:rPr>
        <w:t xml:space="preserve">very restricted </w:t>
      </w:r>
      <w:r w:rsidR="00DA512D" w:rsidRPr="00813D19">
        <w:rPr>
          <w:bCs/>
          <w:lang w:val="en-US"/>
        </w:rPr>
        <w:t xml:space="preserve">nature gave the Committee </w:t>
      </w:r>
      <w:r w:rsidR="00F67724" w:rsidRPr="00813D19">
        <w:rPr>
          <w:bCs/>
          <w:lang w:val="en-US"/>
        </w:rPr>
        <w:t xml:space="preserve">the possibility of advancing one of the goals of the Convention, </w:t>
      </w:r>
      <w:r w:rsidR="00AA5E90" w:rsidRPr="00813D19">
        <w:rPr>
          <w:bCs/>
          <w:lang w:val="en-US"/>
        </w:rPr>
        <w:t xml:space="preserve">i.e. </w:t>
      </w:r>
      <w:r w:rsidR="00007D89" w:rsidRPr="00813D19">
        <w:rPr>
          <w:bCs/>
          <w:lang w:val="en-US"/>
        </w:rPr>
        <w:t xml:space="preserve">dialogue; </w:t>
      </w:r>
      <w:r w:rsidR="00F67724" w:rsidRPr="00813D19">
        <w:rPr>
          <w:bCs/>
          <w:lang w:val="en-US"/>
        </w:rPr>
        <w:t xml:space="preserve">a goal </w:t>
      </w:r>
      <w:r w:rsidR="00007D89" w:rsidRPr="00813D19">
        <w:rPr>
          <w:bCs/>
          <w:lang w:val="en-US"/>
        </w:rPr>
        <w:t xml:space="preserve">that was shared by </w:t>
      </w:r>
      <w:r w:rsidR="00F67724" w:rsidRPr="00813D19">
        <w:rPr>
          <w:bCs/>
          <w:lang w:val="en-US"/>
        </w:rPr>
        <w:t xml:space="preserve">all. </w:t>
      </w:r>
      <w:r w:rsidR="00AA5E90" w:rsidRPr="00813D19">
        <w:rPr>
          <w:bCs/>
          <w:lang w:val="en-US"/>
        </w:rPr>
        <w:t xml:space="preserve">The delegation did not believe that </w:t>
      </w:r>
      <w:r w:rsidR="00F67724" w:rsidRPr="00813D19">
        <w:rPr>
          <w:bCs/>
          <w:lang w:val="en-US"/>
        </w:rPr>
        <w:t xml:space="preserve">this pilot project </w:t>
      </w:r>
      <w:r w:rsidR="00AA5E90" w:rsidRPr="00813D19">
        <w:rPr>
          <w:bCs/>
          <w:lang w:val="en-US"/>
        </w:rPr>
        <w:t xml:space="preserve">was going to change the Convention, </w:t>
      </w:r>
      <w:r w:rsidR="00F67724" w:rsidRPr="00813D19">
        <w:rPr>
          <w:bCs/>
          <w:lang w:val="en-US"/>
        </w:rPr>
        <w:t xml:space="preserve">simply creating some </w:t>
      </w:r>
      <w:r w:rsidR="00AA5E90" w:rsidRPr="00813D19">
        <w:rPr>
          <w:bCs/>
          <w:lang w:val="en-US"/>
        </w:rPr>
        <w:t xml:space="preserve">new, humble </w:t>
      </w:r>
      <w:r w:rsidR="00F67724" w:rsidRPr="00813D19">
        <w:rPr>
          <w:bCs/>
          <w:lang w:val="en-US"/>
        </w:rPr>
        <w:t xml:space="preserve">conditions for </w:t>
      </w:r>
      <w:r w:rsidR="00AA5E90" w:rsidRPr="00813D19">
        <w:rPr>
          <w:bCs/>
          <w:lang w:val="en-US"/>
        </w:rPr>
        <w:t xml:space="preserve">limited </w:t>
      </w:r>
      <w:r w:rsidR="00F67724" w:rsidRPr="00813D19">
        <w:rPr>
          <w:bCs/>
          <w:lang w:val="en-US"/>
        </w:rPr>
        <w:t xml:space="preserve">dialogue, which </w:t>
      </w:r>
      <w:r w:rsidR="00AA5E90" w:rsidRPr="00813D19">
        <w:rPr>
          <w:bCs/>
          <w:lang w:val="en-US"/>
        </w:rPr>
        <w:t>would be useful</w:t>
      </w:r>
      <w:r w:rsidR="00F67724" w:rsidRPr="00813D19">
        <w:rPr>
          <w:bCs/>
          <w:lang w:val="en-US"/>
        </w:rPr>
        <w:t xml:space="preserve"> in managing the change toward</w:t>
      </w:r>
      <w:r w:rsidR="00AA5E90" w:rsidRPr="00813D19">
        <w:rPr>
          <w:bCs/>
          <w:lang w:val="en-US"/>
        </w:rPr>
        <w:t>s</w:t>
      </w:r>
      <w:r w:rsidR="00F67724" w:rsidRPr="00813D19">
        <w:rPr>
          <w:bCs/>
          <w:lang w:val="en-US"/>
        </w:rPr>
        <w:t xml:space="preserve"> more dialogue, </w:t>
      </w:r>
      <w:r w:rsidR="00AA5E90" w:rsidRPr="00813D19">
        <w:rPr>
          <w:bCs/>
          <w:lang w:val="en-US"/>
        </w:rPr>
        <w:t>as desired by the Committee</w:t>
      </w:r>
      <w:r w:rsidR="00F67724" w:rsidRPr="00813D19">
        <w:rPr>
          <w:bCs/>
          <w:lang w:val="en-US"/>
        </w:rPr>
        <w:t xml:space="preserve">. </w:t>
      </w:r>
      <w:r w:rsidR="00AA5E90" w:rsidRPr="00813D19">
        <w:rPr>
          <w:bCs/>
          <w:lang w:val="en-US"/>
        </w:rPr>
        <w:t>Moreover, should this pilot project work</w:t>
      </w:r>
      <w:r w:rsidR="00F67724" w:rsidRPr="00813D19">
        <w:rPr>
          <w:bCs/>
          <w:lang w:val="en-US"/>
        </w:rPr>
        <w:t xml:space="preserve"> then </w:t>
      </w:r>
      <w:r w:rsidR="00AA5E90" w:rsidRPr="00813D19">
        <w:rPr>
          <w:bCs/>
          <w:lang w:val="en-US"/>
        </w:rPr>
        <w:t xml:space="preserve">the Committee could </w:t>
      </w:r>
      <w:r w:rsidR="00F67724" w:rsidRPr="00813D19">
        <w:rPr>
          <w:bCs/>
          <w:lang w:val="en-US"/>
        </w:rPr>
        <w:t xml:space="preserve">present positive results </w:t>
      </w:r>
      <w:r w:rsidR="00AA5E90" w:rsidRPr="00813D19">
        <w:rPr>
          <w:bCs/>
          <w:lang w:val="en-US"/>
        </w:rPr>
        <w:t xml:space="preserve">to </w:t>
      </w:r>
      <w:r w:rsidR="00F67724" w:rsidRPr="00813D19">
        <w:rPr>
          <w:bCs/>
          <w:lang w:val="en-US"/>
        </w:rPr>
        <w:t xml:space="preserve">the next General Assembly. </w:t>
      </w:r>
      <w:r w:rsidR="00AA5E90" w:rsidRPr="00813D19">
        <w:rPr>
          <w:bCs/>
          <w:lang w:val="en-US"/>
        </w:rPr>
        <w:t>The delegation thanked the Chairperson</w:t>
      </w:r>
      <w:r w:rsidR="00F67724" w:rsidRPr="00813D19">
        <w:rPr>
          <w:bCs/>
          <w:lang w:val="en-US"/>
        </w:rPr>
        <w:t xml:space="preserve"> for </w:t>
      </w:r>
      <w:r w:rsidR="00AA5E90" w:rsidRPr="00813D19">
        <w:rPr>
          <w:bCs/>
          <w:lang w:val="en-US"/>
        </w:rPr>
        <w:t xml:space="preserve">asking the </w:t>
      </w:r>
      <w:r w:rsidR="00F67724" w:rsidRPr="00813D19">
        <w:rPr>
          <w:bCs/>
          <w:lang w:val="en-US"/>
        </w:rPr>
        <w:t xml:space="preserve">Secretariat to work </w:t>
      </w:r>
      <w:r w:rsidR="00AA5E90" w:rsidRPr="00813D19">
        <w:rPr>
          <w:bCs/>
          <w:lang w:val="en-US"/>
        </w:rPr>
        <w:t xml:space="preserve">on this proposal, which </w:t>
      </w:r>
      <w:r w:rsidR="00F67724" w:rsidRPr="00813D19">
        <w:rPr>
          <w:bCs/>
          <w:lang w:val="en-US"/>
        </w:rPr>
        <w:t>Colombia support</w:t>
      </w:r>
      <w:r w:rsidR="00AA5E90" w:rsidRPr="00813D19">
        <w:rPr>
          <w:bCs/>
          <w:lang w:val="en-US"/>
        </w:rPr>
        <w:t>ed</w:t>
      </w:r>
      <w:r w:rsidR="00DD4E22">
        <w:rPr>
          <w:bCs/>
          <w:lang w:val="en-US"/>
        </w:rPr>
        <w:t>.</w:t>
      </w:r>
    </w:p>
    <w:p w14:paraId="080EBE35" w14:textId="54378A72" w:rsidR="009F4635" w:rsidRPr="00813D19" w:rsidRDefault="00DD0FF6" w:rsidP="00C068A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Jamaica</w:t>
      </w:r>
      <w:r w:rsidR="00F67724" w:rsidRPr="00813D19">
        <w:rPr>
          <w:b/>
          <w:color w:val="000000" w:themeColor="text1"/>
          <w:lang w:val="en-US"/>
        </w:rPr>
        <w:t xml:space="preserve"> </w:t>
      </w:r>
      <w:r w:rsidR="005341B7" w:rsidRPr="00813D19">
        <w:rPr>
          <w:color w:val="000000" w:themeColor="text1"/>
          <w:lang w:val="en-US"/>
        </w:rPr>
        <w:t>remarked that</w:t>
      </w:r>
      <w:r w:rsidR="005341B7" w:rsidRPr="00813D19">
        <w:rPr>
          <w:b/>
          <w:color w:val="000000" w:themeColor="text1"/>
          <w:lang w:val="en-US"/>
        </w:rPr>
        <w:t xml:space="preserve"> </w:t>
      </w:r>
      <w:r w:rsidR="005341B7" w:rsidRPr="00813D19">
        <w:rPr>
          <w:lang w:val="en-US"/>
        </w:rPr>
        <w:t>the proposal</w:t>
      </w:r>
      <w:r w:rsidR="00F67724" w:rsidRPr="00813D19">
        <w:rPr>
          <w:lang w:val="en-US"/>
        </w:rPr>
        <w:t xml:space="preserve"> could inform the proposed dialogue mechanism. Jamaica </w:t>
      </w:r>
      <w:r w:rsidR="005341B7" w:rsidRPr="00813D19">
        <w:rPr>
          <w:lang w:val="en-US"/>
        </w:rPr>
        <w:t xml:space="preserve">felt </w:t>
      </w:r>
      <w:r w:rsidR="00F67724" w:rsidRPr="00813D19">
        <w:rPr>
          <w:lang w:val="en-US"/>
        </w:rPr>
        <w:t xml:space="preserve">that </w:t>
      </w:r>
      <w:r w:rsidR="005341B7" w:rsidRPr="00813D19">
        <w:rPr>
          <w:lang w:val="en-US"/>
        </w:rPr>
        <w:t xml:space="preserve">it </w:t>
      </w:r>
      <w:r w:rsidR="00F67724" w:rsidRPr="00813D19">
        <w:rPr>
          <w:lang w:val="en-US"/>
        </w:rPr>
        <w:t>should be mindful of the spirit of the Convention</w:t>
      </w:r>
      <w:r w:rsidR="004966D6">
        <w:rPr>
          <w:lang w:val="en-US"/>
        </w:rPr>
        <w:t>,</w:t>
      </w:r>
      <w:r w:rsidR="00F67724" w:rsidRPr="00813D19">
        <w:rPr>
          <w:lang w:val="en-US"/>
        </w:rPr>
        <w:t xml:space="preserve"> </w:t>
      </w:r>
      <w:r w:rsidR="004966D6">
        <w:rPr>
          <w:lang w:val="en-US"/>
        </w:rPr>
        <w:t>which</w:t>
      </w:r>
      <w:r w:rsidR="004966D6" w:rsidRPr="00813D19">
        <w:rPr>
          <w:lang w:val="en-US"/>
        </w:rPr>
        <w:t xml:space="preserve"> </w:t>
      </w:r>
      <w:r w:rsidR="00F67724" w:rsidRPr="00813D19">
        <w:rPr>
          <w:lang w:val="en-US"/>
        </w:rPr>
        <w:t xml:space="preserve">should encourage inscription. This </w:t>
      </w:r>
      <w:r w:rsidR="005341B7" w:rsidRPr="00813D19">
        <w:rPr>
          <w:lang w:val="en-US"/>
        </w:rPr>
        <w:t xml:space="preserve">was </w:t>
      </w:r>
      <w:r w:rsidR="00F67724" w:rsidRPr="00813D19">
        <w:rPr>
          <w:lang w:val="en-US"/>
        </w:rPr>
        <w:t>not to say that there should not be rigo</w:t>
      </w:r>
      <w:r w:rsidR="005341B7" w:rsidRPr="00813D19">
        <w:rPr>
          <w:lang w:val="en-US"/>
        </w:rPr>
        <w:t>u</w:t>
      </w:r>
      <w:r w:rsidR="00F67724" w:rsidRPr="00813D19">
        <w:rPr>
          <w:lang w:val="en-US"/>
        </w:rPr>
        <w:t>r in terms of evaluating nomination files</w:t>
      </w:r>
      <w:r w:rsidR="005341B7" w:rsidRPr="00813D19">
        <w:rPr>
          <w:lang w:val="en-US"/>
        </w:rPr>
        <w:t>,</w:t>
      </w:r>
      <w:r w:rsidR="00F67724" w:rsidRPr="00813D19">
        <w:rPr>
          <w:lang w:val="en-US"/>
        </w:rPr>
        <w:t xml:space="preserve"> but at the same time </w:t>
      </w:r>
      <w:r w:rsidR="005341B7" w:rsidRPr="00813D19">
        <w:rPr>
          <w:lang w:val="en-US"/>
        </w:rPr>
        <w:t xml:space="preserve">the Committee </w:t>
      </w:r>
      <w:r w:rsidR="00F67724" w:rsidRPr="00813D19">
        <w:rPr>
          <w:lang w:val="en-US"/>
        </w:rPr>
        <w:t xml:space="preserve">should be cautious about seeming to be unnecessarily rigid. </w:t>
      </w:r>
      <w:r w:rsidR="005341B7" w:rsidRPr="00813D19">
        <w:rPr>
          <w:lang w:val="en-US"/>
        </w:rPr>
        <w:t xml:space="preserve">The proposal </w:t>
      </w:r>
      <w:r w:rsidR="00F67724" w:rsidRPr="00813D19">
        <w:rPr>
          <w:lang w:val="en-US"/>
        </w:rPr>
        <w:t xml:space="preserve">by the Secretariat </w:t>
      </w:r>
      <w:r w:rsidR="005341B7" w:rsidRPr="00813D19">
        <w:rPr>
          <w:lang w:val="en-US"/>
        </w:rPr>
        <w:t xml:space="preserve">was </w:t>
      </w:r>
      <w:r w:rsidR="00F67724" w:rsidRPr="00813D19">
        <w:rPr>
          <w:lang w:val="en-US"/>
        </w:rPr>
        <w:t>a useful way forward</w:t>
      </w:r>
      <w:r w:rsidR="005341B7" w:rsidRPr="00813D19">
        <w:rPr>
          <w:lang w:val="en-US"/>
        </w:rPr>
        <w:t>,</w:t>
      </w:r>
      <w:r w:rsidR="00F67724" w:rsidRPr="00813D19">
        <w:rPr>
          <w:lang w:val="en-US"/>
        </w:rPr>
        <w:t xml:space="preserve"> at least on an experimental basis</w:t>
      </w:r>
      <w:r w:rsidR="005341B7" w:rsidRPr="00813D19">
        <w:rPr>
          <w:lang w:val="en-US"/>
        </w:rPr>
        <w:t>,</w:t>
      </w:r>
      <w:r w:rsidR="00F67724" w:rsidRPr="00813D19">
        <w:rPr>
          <w:lang w:val="en-US"/>
        </w:rPr>
        <w:t xml:space="preserve"> and therefore </w:t>
      </w:r>
      <w:r w:rsidR="00435829" w:rsidRPr="00813D19">
        <w:rPr>
          <w:lang w:val="en-US"/>
        </w:rPr>
        <w:t xml:space="preserve">Jamaica </w:t>
      </w:r>
      <w:r w:rsidR="00F67724" w:rsidRPr="00813D19">
        <w:rPr>
          <w:lang w:val="en-US"/>
        </w:rPr>
        <w:t>support</w:t>
      </w:r>
      <w:r w:rsidR="005341B7" w:rsidRPr="00813D19">
        <w:rPr>
          <w:lang w:val="en-US"/>
        </w:rPr>
        <w:t>ed</w:t>
      </w:r>
      <w:r w:rsidR="00F67724" w:rsidRPr="00813D19">
        <w:rPr>
          <w:lang w:val="en-US"/>
        </w:rPr>
        <w:t xml:space="preserve"> the proposal and </w:t>
      </w:r>
      <w:r w:rsidR="005341B7" w:rsidRPr="00813D19">
        <w:rPr>
          <w:lang w:val="en-US"/>
        </w:rPr>
        <w:t xml:space="preserve">it </w:t>
      </w:r>
      <w:r w:rsidR="00F67724" w:rsidRPr="00813D19">
        <w:rPr>
          <w:lang w:val="en-US"/>
        </w:rPr>
        <w:t>thank</w:t>
      </w:r>
      <w:r w:rsidR="005341B7" w:rsidRPr="00813D19">
        <w:rPr>
          <w:lang w:val="en-US"/>
        </w:rPr>
        <w:t>ed</w:t>
      </w:r>
      <w:r w:rsidR="00F67724" w:rsidRPr="00813D19">
        <w:rPr>
          <w:lang w:val="en-US"/>
        </w:rPr>
        <w:t xml:space="preserve"> the Secretariat for its considered input in this</w:t>
      </w:r>
      <w:r w:rsidR="005341B7" w:rsidRPr="00813D19">
        <w:rPr>
          <w:lang w:val="en-US"/>
        </w:rPr>
        <w:t xml:space="preserve"> regard</w:t>
      </w:r>
      <w:r w:rsidR="00DD4E22">
        <w:rPr>
          <w:lang w:val="en-US"/>
        </w:rPr>
        <w:t>.</w:t>
      </w:r>
    </w:p>
    <w:p w14:paraId="0CEE26D3" w14:textId="2818983E" w:rsidR="00D02E5B" w:rsidRPr="00813D19" w:rsidRDefault="00D02E5B"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Guatemala</w:t>
      </w:r>
      <w:r w:rsidR="00F67724" w:rsidRPr="00813D19">
        <w:rPr>
          <w:b/>
          <w:color w:val="000000" w:themeColor="text1"/>
          <w:lang w:val="en-US"/>
        </w:rPr>
        <w:t xml:space="preserve"> </w:t>
      </w:r>
      <w:r w:rsidR="00F67724" w:rsidRPr="00813D19">
        <w:rPr>
          <w:bCs/>
          <w:lang w:val="en-US"/>
        </w:rPr>
        <w:t>thank</w:t>
      </w:r>
      <w:r w:rsidR="002B19FB" w:rsidRPr="00813D19">
        <w:rPr>
          <w:bCs/>
          <w:lang w:val="en-US"/>
        </w:rPr>
        <w:t>ed</w:t>
      </w:r>
      <w:r w:rsidR="00F67724" w:rsidRPr="00813D19">
        <w:rPr>
          <w:bCs/>
          <w:lang w:val="en-US"/>
        </w:rPr>
        <w:t xml:space="preserve"> the Secretariat for </w:t>
      </w:r>
      <w:r w:rsidR="002B19FB" w:rsidRPr="00813D19">
        <w:rPr>
          <w:bCs/>
          <w:lang w:val="en-US"/>
        </w:rPr>
        <w:t>the very welcome</w:t>
      </w:r>
      <w:r w:rsidR="00F67724" w:rsidRPr="00813D19">
        <w:rPr>
          <w:bCs/>
          <w:lang w:val="en-US"/>
        </w:rPr>
        <w:t xml:space="preserve"> </w:t>
      </w:r>
      <w:r w:rsidR="002B19FB" w:rsidRPr="00813D19">
        <w:rPr>
          <w:bCs/>
          <w:lang w:val="en-US"/>
        </w:rPr>
        <w:t xml:space="preserve">initiative, adding that </w:t>
      </w:r>
      <w:r w:rsidR="00F67724" w:rsidRPr="00813D19">
        <w:rPr>
          <w:bCs/>
          <w:lang w:val="en-US"/>
        </w:rPr>
        <w:t xml:space="preserve">it </w:t>
      </w:r>
      <w:r w:rsidR="00435829" w:rsidRPr="00813D19">
        <w:rPr>
          <w:bCs/>
          <w:lang w:val="en-US"/>
        </w:rPr>
        <w:t xml:space="preserve">was not prohibited or </w:t>
      </w:r>
      <w:r w:rsidR="00F67724" w:rsidRPr="00813D19">
        <w:rPr>
          <w:bCs/>
          <w:lang w:val="en-US"/>
        </w:rPr>
        <w:t>addressed in the Convention</w:t>
      </w:r>
      <w:r w:rsidR="00435829" w:rsidRPr="00813D19">
        <w:rPr>
          <w:bCs/>
          <w:lang w:val="en-US"/>
        </w:rPr>
        <w:t>,</w:t>
      </w:r>
      <w:r w:rsidR="00F67724" w:rsidRPr="00813D19">
        <w:rPr>
          <w:bCs/>
          <w:lang w:val="en-US"/>
        </w:rPr>
        <w:t xml:space="preserve"> </w:t>
      </w:r>
      <w:r w:rsidR="002B19FB" w:rsidRPr="00813D19">
        <w:rPr>
          <w:bCs/>
          <w:lang w:val="en-US"/>
        </w:rPr>
        <w:t xml:space="preserve">and thus provided the </w:t>
      </w:r>
      <w:r w:rsidR="00F67724" w:rsidRPr="00813D19">
        <w:rPr>
          <w:bCs/>
          <w:lang w:val="en-US"/>
        </w:rPr>
        <w:t xml:space="preserve">possibility of </w:t>
      </w:r>
      <w:r w:rsidR="002B19FB" w:rsidRPr="00813D19">
        <w:rPr>
          <w:bCs/>
          <w:lang w:val="en-US"/>
        </w:rPr>
        <w:t xml:space="preserve">conducting a type of </w:t>
      </w:r>
      <w:r w:rsidR="00F67724" w:rsidRPr="00813D19">
        <w:rPr>
          <w:bCs/>
          <w:lang w:val="en-US"/>
        </w:rPr>
        <w:t xml:space="preserve">pilot or experimental project. </w:t>
      </w:r>
      <w:r w:rsidR="00726204" w:rsidRPr="00813D19">
        <w:rPr>
          <w:bCs/>
          <w:lang w:val="en-US"/>
        </w:rPr>
        <w:t xml:space="preserve">The delegation </w:t>
      </w:r>
      <w:r w:rsidR="00435829" w:rsidRPr="00813D19">
        <w:rPr>
          <w:bCs/>
          <w:lang w:val="en-US"/>
        </w:rPr>
        <w:t xml:space="preserve">remarked </w:t>
      </w:r>
      <w:r w:rsidR="00726204" w:rsidRPr="00813D19">
        <w:rPr>
          <w:bCs/>
          <w:lang w:val="en-US"/>
        </w:rPr>
        <w:t>that o</w:t>
      </w:r>
      <w:r w:rsidR="00F67724" w:rsidRPr="00813D19">
        <w:rPr>
          <w:bCs/>
          <w:lang w:val="en-US"/>
        </w:rPr>
        <w:t xml:space="preserve">ften there </w:t>
      </w:r>
      <w:r w:rsidR="00726204" w:rsidRPr="00813D19">
        <w:rPr>
          <w:bCs/>
          <w:lang w:val="en-US"/>
        </w:rPr>
        <w:t xml:space="preserve">was </w:t>
      </w:r>
      <w:r w:rsidR="00F67724" w:rsidRPr="00813D19">
        <w:rPr>
          <w:bCs/>
          <w:lang w:val="en-US"/>
        </w:rPr>
        <w:t>no</w:t>
      </w:r>
      <w:r w:rsidR="00726204" w:rsidRPr="00813D19">
        <w:rPr>
          <w:bCs/>
          <w:lang w:val="en-US"/>
        </w:rPr>
        <w:t xml:space="preserve"> </w:t>
      </w:r>
      <w:r w:rsidR="00435829" w:rsidRPr="00813D19">
        <w:rPr>
          <w:bCs/>
          <w:lang w:val="en-US"/>
        </w:rPr>
        <w:t xml:space="preserve">possibility of </w:t>
      </w:r>
      <w:r w:rsidR="00726204" w:rsidRPr="00813D19">
        <w:rPr>
          <w:bCs/>
          <w:lang w:val="en-US"/>
        </w:rPr>
        <w:t xml:space="preserve">dialogue prior to the Committee, </w:t>
      </w:r>
      <w:r w:rsidR="00F67724" w:rsidRPr="00813D19">
        <w:rPr>
          <w:bCs/>
          <w:lang w:val="en-US"/>
        </w:rPr>
        <w:t xml:space="preserve">which </w:t>
      </w:r>
      <w:r w:rsidR="00726204" w:rsidRPr="00813D19">
        <w:rPr>
          <w:bCs/>
          <w:lang w:val="en-US"/>
        </w:rPr>
        <w:t xml:space="preserve">made </w:t>
      </w:r>
      <w:r w:rsidR="00F67724" w:rsidRPr="00813D19">
        <w:rPr>
          <w:bCs/>
          <w:lang w:val="en-US"/>
        </w:rPr>
        <w:t>it hard for submitting State</w:t>
      </w:r>
      <w:r w:rsidR="00435829" w:rsidRPr="00813D19">
        <w:rPr>
          <w:bCs/>
          <w:lang w:val="en-US"/>
        </w:rPr>
        <w:t>s</w:t>
      </w:r>
      <w:r w:rsidR="00F67724" w:rsidRPr="00813D19">
        <w:rPr>
          <w:bCs/>
          <w:lang w:val="en-US"/>
        </w:rPr>
        <w:t xml:space="preserve"> to </w:t>
      </w:r>
      <w:r w:rsidR="00726204" w:rsidRPr="00813D19">
        <w:rPr>
          <w:bCs/>
          <w:lang w:val="en-US"/>
        </w:rPr>
        <w:t xml:space="preserve">make </w:t>
      </w:r>
      <w:r w:rsidR="00435829" w:rsidRPr="00813D19">
        <w:rPr>
          <w:bCs/>
          <w:lang w:val="en-US"/>
        </w:rPr>
        <w:t xml:space="preserve">the </w:t>
      </w:r>
      <w:r w:rsidR="00726204" w:rsidRPr="00813D19">
        <w:rPr>
          <w:bCs/>
          <w:lang w:val="en-US"/>
        </w:rPr>
        <w:t xml:space="preserve">appropriate amendments. This proposal </w:t>
      </w:r>
      <w:r w:rsidR="00435829" w:rsidRPr="00813D19">
        <w:rPr>
          <w:bCs/>
          <w:lang w:val="en-US"/>
        </w:rPr>
        <w:t xml:space="preserve">therefore </w:t>
      </w:r>
      <w:r w:rsidR="00726204" w:rsidRPr="00813D19">
        <w:rPr>
          <w:bCs/>
          <w:lang w:val="en-US"/>
        </w:rPr>
        <w:t xml:space="preserve">allowed dialogue to take place after or at least during the Committee, </w:t>
      </w:r>
      <w:r w:rsidR="00435829" w:rsidRPr="00813D19">
        <w:rPr>
          <w:bCs/>
          <w:lang w:val="en-US"/>
        </w:rPr>
        <w:t xml:space="preserve">and </w:t>
      </w:r>
      <w:r w:rsidR="00726204" w:rsidRPr="00813D19">
        <w:rPr>
          <w:bCs/>
          <w:lang w:val="en-US"/>
        </w:rPr>
        <w:t xml:space="preserve">was </w:t>
      </w:r>
      <w:r w:rsidR="00435829" w:rsidRPr="00813D19">
        <w:rPr>
          <w:bCs/>
          <w:lang w:val="en-US"/>
        </w:rPr>
        <w:t xml:space="preserve">thus </w:t>
      </w:r>
      <w:r w:rsidR="00F67724" w:rsidRPr="00813D19">
        <w:rPr>
          <w:bCs/>
          <w:lang w:val="en-US"/>
        </w:rPr>
        <w:t xml:space="preserve">a very </w:t>
      </w:r>
      <w:r w:rsidR="00726204" w:rsidRPr="00813D19">
        <w:rPr>
          <w:bCs/>
          <w:lang w:val="en-US"/>
        </w:rPr>
        <w:t xml:space="preserve">beneficial </w:t>
      </w:r>
      <w:r w:rsidR="00F67724" w:rsidRPr="00813D19">
        <w:rPr>
          <w:bCs/>
          <w:lang w:val="en-US"/>
        </w:rPr>
        <w:t xml:space="preserve">initiative </w:t>
      </w:r>
      <w:r w:rsidR="00726204" w:rsidRPr="00813D19">
        <w:rPr>
          <w:bCs/>
          <w:lang w:val="en-US"/>
        </w:rPr>
        <w:t xml:space="preserve">for </w:t>
      </w:r>
      <w:r w:rsidR="00F67724" w:rsidRPr="00813D19">
        <w:rPr>
          <w:bCs/>
          <w:lang w:val="en-US"/>
        </w:rPr>
        <w:t xml:space="preserve">the communities and bearers. They </w:t>
      </w:r>
      <w:r w:rsidR="00726204" w:rsidRPr="00813D19">
        <w:rPr>
          <w:bCs/>
          <w:lang w:val="en-US"/>
        </w:rPr>
        <w:t xml:space="preserve">were </w:t>
      </w:r>
      <w:r w:rsidR="00F67724" w:rsidRPr="00813D19">
        <w:rPr>
          <w:bCs/>
          <w:lang w:val="en-US"/>
        </w:rPr>
        <w:t>the ones</w:t>
      </w:r>
      <w:r w:rsidR="00795EC9">
        <w:rPr>
          <w:bCs/>
          <w:lang w:val="en-US"/>
        </w:rPr>
        <w:t>,</w:t>
      </w:r>
      <w:r w:rsidR="00F67724" w:rsidRPr="00813D19">
        <w:rPr>
          <w:bCs/>
          <w:lang w:val="en-US"/>
        </w:rPr>
        <w:t xml:space="preserve"> after all</w:t>
      </w:r>
      <w:r w:rsidR="00795EC9">
        <w:rPr>
          <w:bCs/>
          <w:lang w:val="en-US"/>
        </w:rPr>
        <w:t>,</w:t>
      </w:r>
      <w:r w:rsidR="00F67724" w:rsidRPr="00813D19">
        <w:rPr>
          <w:bCs/>
          <w:lang w:val="en-US"/>
        </w:rPr>
        <w:t xml:space="preserve"> that need</w:t>
      </w:r>
      <w:r w:rsidR="00726204" w:rsidRPr="00813D19">
        <w:rPr>
          <w:bCs/>
          <w:lang w:val="en-US"/>
        </w:rPr>
        <w:t>ed</w:t>
      </w:r>
      <w:r w:rsidR="00F67724" w:rsidRPr="00813D19">
        <w:rPr>
          <w:bCs/>
          <w:lang w:val="en-US"/>
        </w:rPr>
        <w:t xml:space="preserve"> </w:t>
      </w:r>
      <w:r w:rsidR="00435829" w:rsidRPr="00813D19">
        <w:rPr>
          <w:bCs/>
          <w:lang w:val="en-US"/>
        </w:rPr>
        <w:t xml:space="preserve">to be recognized </w:t>
      </w:r>
      <w:r w:rsidR="00F67724" w:rsidRPr="00813D19">
        <w:rPr>
          <w:bCs/>
          <w:lang w:val="en-US"/>
        </w:rPr>
        <w:t xml:space="preserve">for </w:t>
      </w:r>
      <w:r w:rsidR="00726204" w:rsidRPr="00813D19">
        <w:rPr>
          <w:bCs/>
          <w:lang w:val="en-US"/>
        </w:rPr>
        <w:t xml:space="preserve">their </w:t>
      </w:r>
      <w:r w:rsidR="00F67724" w:rsidRPr="00813D19">
        <w:rPr>
          <w:bCs/>
          <w:lang w:val="en-US"/>
        </w:rPr>
        <w:t xml:space="preserve">work and for contributing to the intangible cultural heritage of </w:t>
      </w:r>
      <w:r w:rsidR="00435829" w:rsidRPr="00813D19">
        <w:rPr>
          <w:bCs/>
          <w:lang w:val="en-US"/>
        </w:rPr>
        <w:t xml:space="preserve">the submitting </w:t>
      </w:r>
      <w:r w:rsidR="00F67724" w:rsidRPr="00813D19">
        <w:rPr>
          <w:bCs/>
          <w:lang w:val="en-US"/>
        </w:rPr>
        <w:t xml:space="preserve">State Party. Guatemala </w:t>
      </w:r>
      <w:r w:rsidR="00726204" w:rsidRPr="00813D19">
        <w:rPr>
          <w:bCs/>
          <w:lang w:val="en-US"/>
        </w:rPr>
        <w:t xml:space="preserve">was </w:t>
      </w:r>
      <w:r w:rsidR="00F67724" w:rsidRPr="00813D19">
        <w:rPr>
          <w:bCs/>
          <w:lang w:val="en-US"/>
        </w:rPr>
        <w:t xml:space="preserve">satisfied </w:t>
      </w:r>
      <w:r w:rsidR="00726204" w:rsidRPr="00813D19">
        <w:rPr>
          <w:bCs/>
          <w:lang w:val="en-US"/>
        </w:rPr>
        <w:t>wi</w:t>
      </w:r>
      <w:r w:rsidR="00435829" w:rsidRPr="00813D19">
        <w:rPr>
          <w:bCs/>
          <w:lang w:val="en-US"/>
        </w:rPr>
        <w:t>th the different interventions and noted</w:t>
      </w:r>
      <w:r w:rsidR="00726204" w:rsidRPr="00813D19">
        <w:rPr>
          <w:bCs/>
          <w:lang w:val="en-US"/>
        </w:rPr>
        <w:t xml:space="preserve"> that the proposal was </w:t>
      </w:r>
      <w:r w:rsidR="00F67724" w:rsidRPr="00813D19">
        <w:rPr>
          <w:bCs/>
          <w:lang w:val="en-US"/>
        </w:rPr>
        <w:t xml:space="preserve">not violating the </w:t>
      </w:r>
      <w:r w:rsidR="00726204" w:rsidRPr="00813D19">
        <w:rPr>
          <w:bCs/>
          <w:lang w:val="en-US"/>
        </w:rPr>
        <w:t xml:space="preserve">Convention nor </w:t>
      </w:r>
      <w:r w:rsidR="00F67724" w:rsidRPr="00813D19">
        <w:rPr>
          <w:bCs/>
          <w:lang w:val="en-US"/>
        </w:rPr>
        <w:t xml:space="preserve">changing </w:t>
      </w:r>
      <w:r w:rsidR="00435829" w:rsidRPr="00813D19">
        <w:rPr>
          <w:bCs/>
          <w:lang w:val="en-US"/>
        </w:rPr>
        <w:t xml:space="preserve">its </w:t>
      </w:r>
      <w:r w:rsidR="00F67724" w:rsidRPr="00813D19">
        <w:rPr>
          <w:bCs/>
          <w:lang w:val="en-US"/>
        </w:rPr>
        <w:t xml:space="preserve">spirit or nature. </w:t>
      </w:r>
      <w:r w:rsidR="00726204" w:rsidRPr="00813D19">
        <w:rPr>
          <w:bCs/>
          <w:lang w:val="en-US"/>
        </w:rPr>
        <w:t xml:space="preserve">In addition, there was no </w:t>
      </w:r>
      <w:r w:rsidR="00F67724" w:rsidRPr="00813D19">
        <w:rPr>
          <w:bCs/>
          <w:lang w:val="en-US"/>
        </w:rPr>
        <w:t xml:space="preserve">Article ruling out an experimental project. </w:t>
      </w:r>
      <w:r w:rsidR="00726204" w:rsidRPr="00813D19">
        <w:rPr>
          <w:bCs/>
          <w:lang w:val="en-US"/>
        </w:rPr>
        <w:t xml:space="preserve">The delegation thus urged </w:t>
      </w:r>
      <w:r w:rsidR="00F67724" w:rsidRPr="00813D19">
        <w:rPr>
          <w:bCs/>
          <w:lang w:val="en-US"/>
        </w:rPr>
        <w:t xml:space="preserve">the Members of the Committee </w:t>
      </w:r>
      <w:r w:rsidR="00726204" w:rsidRPr="00813D19">
        <w:rPr>
          <w:bCs/>
          <w:lang w:val="en-US"/>
        </w:rPr>
        <w:t xml:space="preserve">to </w:t>
      </w:r>
      <w:r w:rsidR="00F67724" w:rsidRPr="00813D19">
        <w:rPr>
          <w:bCs/>
          <w:lang w:val="en-US"/>
        </w:rPr>
        <w:t xml:space="preserve">support </w:t>
      </w:r>
      <w:r w:rsidR="00726204" w:rsidRPr="00813D19">
        <w:rPr>
          <w:bCs/>
          <w:lang w:val="en-US"/>
        </w:rPr>
        <w:t xml:space="preserve">this </w:t>
      </w:r>
      <w:r w:rsidR="00F67724" w:rsidRPr="00813D19">
        <w:rPr>
          <w:bCs/>
          <w:lang w:val="en-US"/>
        </w:rPr>
        <w:t xml:space="preserve">initiative. </w:t>
      </w:r>
      <w:r w:rsidR="00726204" w:rsidRPr="00813D19">
        <w:rPr>
          <w:bCs/>
          <w:lang w:val="en-US"/>
        </w:rPr>
        <w:t xml:space="preserve">It was </w:t>
      </w:r>
      <w:r w:rsidR="00F67724" w:rsidRPr="00813D19">
        <w:rPr>
          <w:bCs/>
          <w:lang w:val="en-US"/>
        </w:rPr>
        <w:t>hope</w:t>
      </w:r>
      <w:r w:rsidR="00726204" w:rsidRPr="00813D19">
        <w:rPr>
          <w:bCs/>
          <w:lang w:val="en-US"/>
        </w:rPr>
        <w:t>d</w:t>
      </w:r>
      <w:r w:rsidR="00F67724" w:rsidRPr="00813D19">
        <w:rPr>
          <w:bCs/>
          <w:lang w:val="en-US"/>
        </w:rPr>
        <w:t xml:space="preserve"> that by 2020</w:t>
      </w:r>
      <w:r w:rsidR="00726204" w:rsidRPr="00813D19">
        <w:rPr>
          <w:bCs/>
          <w:lang w:val="en-US"/>
        </w:rPr>
        <w:t xml:space="preserve"> </w:t>
      </w:r>
      <w:r w:rsidR="00F67724" w:rsidRPr="00813D19">
        <w:rPr>
          <w:bCs/>
          <w:lang w:val="en-US"/>
        </w:rPr>
        <w:t xml:space="preserve">a new article or a rule in the Convention </w:t>
      </w:r>
      <w:r w:rsidR="001D49A9" w:rsidRPr="00813D19">
        <w:rPr>
          <w:bCs/>
          <w:lang w:val="en-US"/>
        </w:rPr>
        <w:t xml:space="preserve">would be in place to </w:t>
      </w:r>
      <w:r w:rsidR="00726204" w:rsidRPr="00813D19">
        <w:rPr>
          <w:bCs/>
          <w:lang w:val="en-US"/>
        </w:rPr>
        <w:t xml:space="preserve">benefit </w:t>
      </w:r>
      <w:r w:rsidR="00F67724" w:rsidRPr="00813D19">
        <w:rPr>
          <w:bCs/>
          <w:lang w:val="en-US"/>
        </w:rPr>
        <w:t xml:space="preserve">the communities </w:t>
      </w:r>
      <w:r w:rsidR="00726204" w:rsidRPr="00813D19">
        <w:rPr>
          <w:bCs/>
          <w:lang w:val="en-US"/>
        </w:rPr>
        <w:t>taking</w:t>
      </w:r>
      <w:r w:rsidR="00F67724" w:rsidRPr="00813D19">
        <w:rPr>
          <w:bCs/>
          <w:lang w:val="en-US"/>
        </w:rPr>
        <w:t xml:space="preserve"> part in promoting these different manifestations of </w:t>
      </w:r>
      <w:r w:rsidR="00726204" w:rsidRPr="00813D19">
        <w:rPr>
          <w:bCs/>
          <w:lang w:val="en-US"/>
        </w:rPr>
        <w:t xml:space="preserve">intangible cultural heritage, </w:t>
      </w:r>
      <w:r w:rsidR="00F67724" w:rsidRPr="00813D19">
        <w:rPr>
          <w:bCs/>
          <w:lang w:val="en-US"/>
        </w:rPr>
        <w:t xml:space="preserve">because there </w:t>
      </w:r>
      <w:r w:rsidR="00726204" w:rsidRPr="00813D19">
        <w:rPr>
          <w:bCs/>
          <w:lang w:val="en-US"/>
        </w:rPr>
        <w:t>can be no intangible cultural heritage without culture bearers</w:t>
      </w:r>
      <w:r w:rsidR="00F67724" w:rsidRPr="00813D19">
        <w:rPr>
          <w:bCs/>
          <w:lang w:val="en-US"/>
        </w:rPr>
        <w:t xml:space="preserve">. </w:t>
      </w:r>
      <w:r w:rsidR="00435829" w:rsidRPr="00813D19">
        <w:rPr>
          <w:bCs/>
          <w:lang w:val="en-US"/>
        </w:rPr>
        <w:t>In this regard, the</w:t>
      </w:r>
      <w:r w:rsidR="001D49A9" w:rsidRPr="00813D19">
        <w:rPr>
          <w:bCs/>
          <w:lang w:val="en-US"/>
        </w:rPr>
        <w:t xml:space="preserve"> proposal was </w:t>
      </w:r>
      <w:r w:rsidR="00F67724" w:rsidRPr="00813D19">
        <w:rPr>
          <w:bCs/>
          <w:lang w:val="en-US"/>
        </w:rPr>
        <w:t>very appropriate</w:t>
      </w:r>
      <w:r w:rsidR="00435829" w:rsidRPr="00813D19">
        <w:rPr>
          <w:bCs/>
          <w:lang w:val="en-US"/>
        </w:rPr>
        <w:t>,</w:t>
      </w:r>
      <w:r w:rsidR="00F67724" w:rsidRPr="00813D19">
        <w:rPr>
          <w:bCs/>
          <w:lang w:val="en-US"/>
        </w:rPr>
        <w:t xml:space="preserve"> </w:t>
      </w:r>
      <w:r w:rsidR="001D49A9" w:rsidRPr="00813D19">
        <w:rPr>
          <w:bCs/>
          <w:lang w:val="en-US"/>
        </w:rPr>
        <w:t xml:space="preserve">as it </w:t>
      </w:r>
      <w:r w:rsidR="00F67724" w:rsidRPr="00813D19">
        <w:rPr>
          <w:bCs/>
          <w:lang w:val="en-US"/>
        </w:rPr>
        <w:t>consider</w:t>
      </w:r>
      <w:r w:rsidR="001D49A9" w:rsidRPr="00813D19">
        <w:rPr>
          <w:bCs/>
          <w:lang w:val="en-US"/>
        </w:rPr>
        <w:t>ed</w:t>
      </w:r>
      <w:r w:rsidR="00F67724" w:rsidRPr="00813D19">
        <w:rPr>
          <w:bCs/>
          <w:lang w:val="en-US"/>
        </w:rPr>
        <w:t xml:space="preserve"> the valuable pa</w:t>
      </w:r>
      <w:r w:rsidR="00DD4E22">
        <w:rPr>
          <w:bCs/>
          <w:lang w:val="en-US"/>
        </w:rPr>
        <w:t>rticipation of the communities.</w:t>
      </w:r>
    </w:p>
    <w:p w14:paraId="5A8F5FBA" w14:textId="4881E111" w:rsidR="00D02E5B" w:rsidRPr="00813D19" w:rsidRDefault="00846693"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Zambia</w:t>
      </w:r>
      <w:r w:rsidR="00F67724" w:rsidRPr="00813D19">
        <w:rPr>
          <w:b/>
          <w:color w:val="000000" w:themeColor="text1"/>
          <w:lang w:val="en-US"/>
        </w:rPr>
        <w:t xml:space="preserve"> </w:t>
      </w:r>
      <w:r w:rsidR="002B19FB" w:rsidRPr="00813D19">
        <w:rPr>
          <w:lang w:val="en-US"/>
        </w:rPr>
        <w:t>t</w:t>
      </w:r>
      <w:r w:rsidR="00F67724" w:rsidRPr="00813D19">
        <w:rPr>
          <w:lang w:val="en-US"/>
        </w:rPr>
        <w:t>hank</w:t>
      </w:r>
      <w:r w:rsidR="002B19FB" w:rsidRPr="00813D19">
        <w:rPr>
          <w:lang w:val="en-US"/>
        </w:rPr>
        <w:t>ed</w:t>
      </w:r>
      <w:r w:rsidR="00F67724" w:rsidRPr="00813D19">
        <w:rPr>
          <w:lang w:val="en-US"/>
        </w:rPr>
        <w:t xml:space="preserve"> </w:t>
      </w:r>
      <w:r w:rsidR="002B19FB" w:rsidRPr="00813D19">
        <w:rPr>
          <w:lang w:val="en-US"/>
        </w:rPr>
        <w:t xml:space="preserve">the </w:t>
      </w:r>
      <w:r w:rsidR="00F67724" w:rsidRPr="00813D19">
        <w:rPr>
          <w:lang w:val="en-US"/>
        </w:rPr>
        <w:t>Chairperson for the opportunity to respond to the proposed dialog</w:t>
      </w:r>
      <w:r w:rsidR="002B19FB" w:rsidRPr="00813D19">
        <w:rPr>
          <w:lang w:val="en-US"/>
        </w:rPr>
        <w:t xml:space="preserve">ue mechanism by the Secretariat, which it fully </w:t>
      </w:r>
      <w:r w:rsidR="00F67724" w:rsidRPr="00813D19">
        <w:rPr>
          <w:lang w:val="en-US"/>
        </w:rPr>
        <w:t>support</w:t>
      </w:r>
      <w:r w:rsidR="002B19FB" w:rsidRPr="00813D19">
        <w:rPr>
          <w:lang w:val="en-US"/>
        </w:rPr>
        <w:t>ed</w:t>
      </w:r>
      <w:r w:rsidR="00F67724" w:rsidRPr="00813D19">
        <w:rPr>
          <w:lang w:val="en-US"/>
        </w:rPr>
        <w:t xml:space="preserve"> </w:t>
      </w:r>
      <w:r w:rsidR="00435829" w:rsidRPr="00813D19">
        <w:rPr>
          <w:lang w:val="en-US"/>
        </w:rPr>
        <w:t xml:space="preserve">as it was </w:t>
      </w:r>
      <w:r w:rsidR="00F67724" w:rsidRPr="00813D19">
        <w:rPr>
          <w:lang w:val="en-US"/>
        </w:rPr>
        <w:t xml:space="preserve">part and parcel of the process </w:t>
      </w:r>
      <w:r w:rsidR="001D49A9" w:rsidRPr="00813D19">
        <w:rPr>
          <w:lang w:val="en-US"/>
        </w:rPr>
        <w:t>discussed during the prese</w:t>
      </w:r>
      <w:r w:rsidR="00435829" w:rsidRPr="00813D19">
        <w:rPr>
          <w:lang w:val="en-US"/>
        </w:rPr>
        <w:t>n</w:t>
      </w:r>
      <w:r w:rsidR="001D49A9" w:rsidRPr="00813D19">
        <w:rPr>
          <w:lang w:val="en-US"/>
        </w:rPr>
        <w:t xml:space="preserve">t session regarding </w:t>
      </w:r>
      <w:r w:rsidR="00F67724" w:rsidRPr="00813D19">
        <w:rPr>
          <w:lang w:val="en-US"/>
        </w:rPr>
        <w:t xml:space="preserve">dialogue between the Evaluation Body and the submitting States. </w:t>
      </w:r>
      <w:r w:rsidR="001D49A9" w:rsidRPr="00813D19">
        <w:rPr>
          <w:lang w:val="en-US"/>
        </w:rPr>
        <w:t xml:space="preserve">It thus </w:t>
      </w:r>
      <w:r w:rsidR="00F67724" w:rsidRPr="00813D19">
        <w:rPr>
          <w:lang w:val="en-US"/>
        </w:rPr>
        <w:t>support</w:t>
      </w:r>
      <w:r w:rsidR="001D49A9" w:rsidRPr="00813D19">
        <w:rPr>
          <w:lang w:val="en-US"/>
        </w:rPr>
        <w:t>ed</w:t>
      </w:r>
      <w:r w:rsidR="00F67724" w:rsidRPr="00813D19">
        <w:rPr>
          <w:lang w:val="en-US"/>
        </w:rPr>
        <w:t xml:space="preserve"> the </w:t>
      </w:r>
      <w:r w:rsidR="001D49A9" w:rsidRPr="00813D19">
        <w:rPr>
          <w:lang w:val="en-US"/>
        </w:rPr>
        <w:t xml:space="preserve">proposal by </w:t>
      </w:r>
      <w:r w:rsidR="00F67724" w:rsidRPr="00813D19">
        <w:rPr>
          <w:lang w:val="en-US"/>
        </w:rPr>
        <w:t xml:space="preserve">Palestine and </w:t>
      </w:r>
      <w:r w:rsidR="00435829" w:rsidRPr="00813D19">
        <w:rPr>
          <w:lang w:val="en-US"/>
        </w:rPr>
        <w:t xml:space="preserve">the </w:t>
      </w:r>
      <w:r w:rsidR="00F67724" w:rsidRPr="00813D19">
        <w:rPr>
          <w:lang w:val="en-US"/>
        </w:rPr>
        <w:t>Philippine</w:t>
      </w:r>
      <w:r w:rsidR="00435829" w:rsidRPr="00813D19">
        <w:rPr>
          <w:lang w:val="en-US"/>
        </w:rPr>
        <w:t>s</w:t>
      </w:r>
      <w:r w:rsidR="00F67724" w:rsidRPr="00813D19">
        <w:rPr>
          <w:lang w:val="en-US"/>
        </w:rPr>
        <w:t xml:space="preserve"> to have this dialogue mechanism. </w:t>
      </w:r>
      <w:r w:rsidR="001D49A9" w:rsidRPr="00813D19">
        <w:rPr>
          <w:lang w:val="en-US"/>
        </w:rPr>
        <w:t xml:space="preserve">However, it also </w:t>
      </w:r>
      <w:r w:rsidR="00435829" w:rsidRPr="00813D19">
        <w:rPr>
          <w:lang w:val="en-US"/>
        </w:rPr>
        <w:t xml:space="preserve">asked </w:t>
      </w:r>
      <w:r w:rsidR="001D49A9" w:rsidRPr="00813D19">
        <w:rPr>
          <w:lang w:val="en-US"/>
        </w:rPr>
        <w:t xml:space="preserve">that </w:t>
      </w:r>
      <w:r w:rsidR="00F67724" w:rsidRPr="00813D19">
        <w:rPr>
          <w:lang w:val="en-US"/>
        </w:rPr>
        <w:t xml:space="preserve">the dialogue be restricted to the first or second submission because further dialogue after the second submission </w:t>
      </w:r>
      <w:r w:rsidR="00435829" w:rsidRPr="00813D19">
        <w:rPr>
          <w:lang w:val="en-US"/>
        </w:rPr>
        <w:t xml:space="preserve">would render </w:t>
      </w:r>
      <w:r w:rsidR="00F67724" w:rsidRPr="00813D19">
        <w:rPr>
          <w:lang w:val="en-US"/>
        </w:rPr>
        <w:t xml:space="preserve">the Evaluation Body </w:t>
      </w:r>
      <w:r w:rsidR="00435829" w:rsidRPr="00813D19">
        <w:rPr>
          <w:lang w:val="en-US"/>
        </w:rPr>
        <w:t xml:space="preserve">redundant </w:t>
      </w:r>
      <w:r w:rsidR="00F67724" w:rsidRPr="00813D19">
        <w:rPr>
          <w:lang w:val="en-US"/>
        </w:rPr>
        <w:t>in the process. At the same time</w:t>
      </w:r>
      <w:r w:rsidR="001D49A9" w:rsidRPr="00813D19">
        <w:rPr>
          <w:lang w:val="en-US"/>
        </w:rPr>
        <w:t xml:space="preserve">, </w:t>
      </w:r>
      <w:r w:rsidR="00435829" w:rsidRPr="00813D19">
        <w:rPr>
          <w:lang w:val="en-US"/>
        </w:rPr>
        <w:t xml:space="preserve">it </w:t>
      </w:r>
      <w:r w:rsidR="00F67724" w:rsidRPr="00813D19">
        <w:rPr>
          <w:lang w:val="en-US"/>
        </w:rPr>
        <w:t>encourage</w:t>
      </w:r>
      <w:r w:rsidR="001D49A9" w:rsidRPr="00813D19">
        <w:rPr>
          <w:lang w:val="en-US"/>
        </w:rPr>
        <w:t>d</w:t>
      </w:r>
      <w:r w:rsidR="00F67724" w:rsidRPr="00813D19">
        <w:rPr>
          <w:lang w:val="en-US"/>
        </w:rPr>
        <w:t xml:space="preserve"> meaningful dialogue, </w:t>
      </w:r>
      <w:r w:rsidR="00435829" w:rsidRPr="00813D19">
        <w:rPr>
          <w:lang w:val="en-US"/>
        </w:rPr>
        <w:t>i.e.</w:t>
      </w:r>
      <w:r w:rsidR="007768FE">
        <w:rPr>
          <w:lang w:val="en-US"/>
        </w:rPr>
        <w:t>,</w:t>
      </w:r>
      <w:r w:rsidR="00435829" w:rsidRPr="00813D19">
        <w:rPr>
          <w:lang w:val="en-US"/>
        </w:rPr>
        <w:t xml:space="preserve"> that </w:t>
      </w:r>
      <w:r w:rsidR="00F67724" w:rsidRPr="00813D19">
        <w:rPr>
          <w:lang w:val="en-US"/>
        </w:rPr>
        <w:t xml:space="preserve">second chances </w:t>
      </w:r>
      <w:r w:rsidR="009972A3" w:rsidRPr="00813D19">
        <w:rPr>
          <w:lang w:val="en-US"/>
        </w:rPr>
        <w:t xml:space="preserve">when given </w:t>
      </w:r>
      <w:r w:rsidR="001D49A9" w:rsidRPr="00813D19">
        <w:rPr>
          <w:lang w:val="en-US"/>
        </w:rPr>
        <w:t xml:space="preserve">were </w:t>
      </w:r>
      <w:r w:rsidR="00435829" w:rsidRPr="00813D19">
        <w:rPr>
          <w:lang w:val="en-US"/>
        </w:rPr>
        <w:t xml:space="preserve">not </w:t>
      </w:r>
      <w:r w:rsidR="00F67724" w:rsidRPr="00813D19">
        <w:rPr>
          <w:lang w:val="en-US"/>
        </w:rPr>
        <w:t>squandered</w:t>
      </w:r>
      <w:r w:rsidR="001D49A9" w:rsidRPr="00813D19">
        <w:rPr>
          <w:lang w:val="en-US"/>
        </w:rPr>
        <w:t>,</w:t>
      </w:r>
      <w:r w:rsidR="00F67724" w:rsidRPr="00813D19">
        <w:rPr>
          <w:lang w:val="en-US"/>
        </w:rPr>
        <w:t xml:space="preserve"> </w:t>
      </w:r>
      <w:r w:rsidR="00435829" w:rsidRPr="00813D19">
        <w:rPr>
          <w:lang w:val="en-US"/>
        </w:rPr>
        <w:t xml:space="preserve">which would </w:t>
      </w:r>
      <w:r w:rsidR="009972A3" w:rsidRPr="00813D19">
        <w:rPr>
          <w:lang w:val="en-US"/>
        </w:rPr>
        <w:t xml:space="preserve">again </w:t>
      </w:r>
      <w:r w:rsidR="00435829" w:rsidRPr="00813D19">
        <w:rPr>
          <w:lang w:val="en-US"/>
        </w:rPr>
        <w:t xml:space="preserve">render </w:t>
      </w:r>
      <w:r w:rsidR="00F67724" w:rsidRPr="00813D19">
        <w:rPr>
          <w:lang w:val="en-US"/>
        </w:rPr>
        <w:t>the Evaluation Body irrelevant</w:t>
      </w:r>
      <w:r w:rsidR="001D49A9" w:rsidRPr="00813D19">
        <w:rPr>
          <w:lang w:val="en-US"/>
        </w:rPr>
        <w:t>.</w:t>
      </w:r>
      <w:r w:rsidR="00F67724" w:rsidRPr="00813D19">
        <w:rPr>
          <w:lang w:val="en-US"/>
        </w:rPr>
        <w:t xml:space="preserve"> </w:t>
      </w:r>
      <w:r w:rsidR="001D49A9" w:rsidRPr="00813D19">
        <w:rPr>
          <w:lang w:val="en-US"/>
        </w:rPr>
        <w:t>The mechanism</w:t>
      </w:r>
      <w:r w:rsidR="00F67724" w:rsidRPr="00813D19">
        <w:rPr>
          <w:lang w:val="en-US"/>
        </w:rPr>
        <w:t xml:space="preserve"> proposed </w:t>
      </w:r>
      <w:r w:rsidR="001D49A9" w:rsidRPr="00813D19">
        <w:rPr>
          <w:lang w:val="en-US"/>
        </w:rPr>
        <w:t xml:space="preserve">was thus </w:t>
      </w:r>
      <w:r w:rsidR="00F67724" w:rsidRPr="00813D19">
        <w:rPr>
          <w:lang w:val="en-US"/>
        </w:rPr>
        <w:t>a good one</w:t>
      </w:r>
      <w:r w:rsidR="001D49A9" w:rsidRPr="00813D19">
        <w:rPr>
          <w:lang w:val="en-US"/>
        </w:rPr>
        <w:t xml:space="preserve">, providing that it worked </w:t>
      </w:r>
      <w:r w:rsidR="00DD4E22">
        <w:rPr>
          <w:lang w:val="en-US"/>
        </w:rPr>
        <w:t>well.</w:t>
      </w:r>
    </w:p>
    <w:p w14:paraId="1E84CD6A" w14:textId="141737B9" w:rsidR="001D49A9" w:rsidRPr="00813D19" w:rsidRDefault="00582BE3"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Cyprus</w:t>
      </w:r>
      <w:r w:rsidR="00F67724" w:rsidRPr="00813D19">
        <w:rPr>
          <w:b/>
          <w:color w:val="000000" w:themeColor="text1"/>
          <w:lang w:val="en-US"/>
        </w:rPr>
        <w:t xml:space="preserve"> </w:t>
      </w:r>
      <w:r w:rsidR="001D49A9" w:rsidRPr="00813D19">
        <w:rPr>
          <w:color w:val="000000" w:themeColor="text1"/>
          <w:lang w:val="en-US"/>
        </w:rPr>
        <w:t>also support</w:t>
      </w:r>
      <w:r w:rsidR="001F6278" w:rsidRPr="00813D19">
        <w:rPr>
          <w:color w:val="000000" w:themeColor="text1"/>
          <w:lang w:val="en-US"/>
        </w:rPr>
        <w:t>ed</w:t>
      </w:r>
      <w:r w:rsidR="001D49A9" w:rsidRPr="00813D19">
        <w:rPr>
          <w:color w:val="000000" w:themeColor="text1"/>
          <w:lang w:val="en-US"/>
        </w:rPr>
        <w:t xml:space="preserve"> the </w:t>
      </w:r>
      <w:r w:rsidR="00410EB7" w:rsidRPr="00813D19">
        <w:rPr>
          <w:color w:val="000000" w:themeColor="text1"/>
          <w:lang w:val="en-US"/>
        </w:rPr>
        <w:t>proposal</w:t>
      </w:r>
      <w:r w:rsidR="007768FE">
        <w:rPr>
          <w:color w:val="000000" w:themeColor="text1"/>
          <w:lang w:val="en-US"/>
        </w:rPr>
        <w:t>,</w:t>
      </w:r>
      <w:r w:rsidR="00410EB7" w:rsidRPr="00813D19">
        <w:rPr>
          <w:color w:val="000000" w:themeColor="text1"/>
          <w:lang w:val="en-US"/>
        </w:rPr>
        <w:t xml:space="preserve"> on an exceptional basis</w:t>
      </w:r>
      <w:r w:rsidR="007768FE">
        <w:rPr>
          <w:color w:val="000000" w:themeColor="text1"/>
          <w:lang w:val="en-US"/>
        </w:rPr>
        <w:t>,</w:t>
      </w:r>
      <w:r w:rsidR="00410EB7" w:rsidRPr="00813D19">
        <w:rPr>
          <w:color w:val="000000" w:themeColor="text1"/>
          <w:lang w:val="en-US"/>
        </w:rPr>
        <w:t xml:space="preserve"> by the S</w:t>
      </w:r>
      <w:r w:rsidR="001D49A9" w:rsidRPr="00813D19">
        <w:rPr>
          <w:color w:val="000000" w:themeColor="text1"/>
          <w:lang w:val="en-US"/>
        </w:rPr>
        <w:t xml:space="preserve">ecretariat, </w:t>
      </w:r>
      <w:r w:rsidR="00410EB7" w:rsidRPr="00813D19">
        <w:rPr>
          <w:color w:val="000000" w:themeColor="text1"/>
          <w:lang w:val="en-US"/>
        </w:rPr>
        <w:t xml:space="preserve">recalling that a working group had been established during the session in </w:t>
      </w:r>
      <w:r w:rsidR="001D49A9" w:rsidRPr="00813D19">
        <w:rPr>
          <w:color w:val="000000" w:themeColor="text1"/>
          <w:lang w:val="en-US"/>
        </w:rPr>
        <w:t xml:space="preserve">Addis Ababa to specifically </w:t>
      </w:r>
      <w:r w:rsidR="00410EB7" w:rsidRPr="00813D19">
        <w:rPr>
          <w:color w:val="000000" w:themeColor="text1"/>
          <w:lang w:val="en-US"/>
        </w:rPr>
        <w:t xml:space="preserve">work </w:t>
      </w:r>
      <w:r w:rsidR="001D49A9" w:rsidRPr="00813D19">
        <w:rPr>
          <w:color w:val="000000" w:themeColor="text1"/>
          <w:lang w:val="en-US"/>
        </w:rPr>
        <w:t xml:space="preserve">on dialogue. </w:t>
      </w:r>
      <w:r w:rsidR="00410EB7" w:rsidRPr="00813D19">
        <w:rPr>
          <w:color w:val="000000" w:themeColor="text1"/>
          <w:lang w:val="en-US"/>
        </w:rPr>
        <w:t>U</w:t>
      </w:r>
      <w:r w:rsidR="001D49A9" w:rsidRPr="00813D19">
        <w:rPr>
          <w:color w:val="000000" w:themeColor="text1"/>
          <w:lang w:val="en-US"/>
        </w:rPr>
        <w:t xml:space="preserve">nfortunately, </w:t>
      </w:r>
      <w:r w:rsidR="00410EB7" w:rsidRPr="00813D19">
        <w:rPr>
          <w:color w:val="000000" w:themeColor="text1"/>
          <w:lang w:val="en-US"/>
        </w:rPr>
        <w:t xml:space="preserve">for the last two years, other themes had been added to the </w:t>
      </w:r>
      <w:r w:rsidR="001D49A9" w:rsidRPr="00813D19">
        <w:rPr>
          <w:color w:val="000000" w:themeColor="text1"/>
          <w:lang w:val="en-US"/>
        </w:rPr>
        <w:t xml:space="preserve">work on dialogue, and therefore </w:t>
      </w:r>
      <w:r w:rsidR="00410EB7" w:rsidRPr="00813D19">
        <w:rPr>
          <w:color w:val="000000" w:themeColor="text1"/>
          <w:lang w:val="en-US"/>
        </w:rPr>
        <w:t xml:space="preserve">it </w:t>
      </w:r>
      <w:r w:rsidR="007768FE">
        <w:rPr>
          <w:color w:val="000000" w:themeColor="text1"/>
          <w:lang w:val="en-US"/>
        </w:rPr>
        <w:t>had</w:t>
      </w:r>
      <w:r w:rsidR="007768FE" w:rsidRPr="00813D19">
        <w:rPr>
          <w:color w:val="000000" w:themeColor="text1"/>
          <w:lang w:val="en-US"/>
        </w:rPr>
        <w:t xml:space="preserve"> </w:t>
      </w:r>
      <w:r w:rsidR="00410EB7" w:rsidRPr="00813D19">
        <w:rPr>
          <w:color w:val="000000" w:themeColor="text1"/>
          <w:lang w:val="en-US"/>
        </w:rPr>
        <w:t>not reach</w:t>
      </w:r>
      <w:r w:rsidR="007768FE">
        <w:rPr>
          <w:color w:val="000000" w:themeColor="text1"/>
          <w:lang w:val="en-US"/>
        </w:rPr>
        <w:t>ed</w:t>
      </w:r>
      <w:r w:rsidR="00410EB7" w:rsidRPr="00813D19">
        <w:rPr>
          <w:color w:val="000000" w:themeColor="text1"/>
          <w:lang w:val="en-US"/>
        </w:rPr>
        <w:t xml:space="preserve"> its goal</w:t>
      </w:r>
      <w:r w:rsidR="001D49A9" w:rsidRPr="00813D19">
        <w:rPr>
          <w:color w:val="000000" w:themeColor="text1"/>
          <w:lang w:val="en-US"/>
        </w:rPr>
        <w:t xml:space="preserve">. </w:t>
      </w:r>
      <w:r w:rsidR="00410EB7" w:rsidRPr="00813D19">
        <w:rPr>
          <w:color w:val="000000" w:themeColor="text1"/>
          <w:lang w:val="en-US"/>
        </w:rPr>
        <w:t>A</w:t>
      </w:r>
      <w:r w:rsidR="001D49A9" w:rsidRPr="00813D19">
        <w:rPr>
          <w:color w:val="000000" w:themeColor="text1"/>
          <w:lang w:val="en-US"/>
        </w:rPr>
        <w:t xml:space="preserve">t this session, </w:t>
      </w:r>
      <w:r w:rsidR="00410EB7" w:rsidRPr="00813D19">
        <w:rPr>
          <w:color w:val="000000" w:themeColor="text1"/>
          <w:lang w:val="en-US"/>
        </w:rPr>
        <w:t xml:space="preserve">it was clear that </w:t>
      </w:r>
      <w:r w:rsidR="001D49A9" w:rsidRPr="00813D19">
        <w:rPr>
          <w:color w:val="000000" w:themeColor="text1"/>
          <w:lang w:val="en-US"/>
        </w:rPr>
        <w:t>dialogue</w:t>
      </w:r>
      <w:r w:rsidR="00410EB7" w:rsidRPr="00813D19">
        <w:rPr>
          <w:color w:val="000000" w:themeColor="text1"/>
          <w:lang w:val="en-US"/>
        </w:rPr>
        <w:t xml:space="preserve"> </w:t>
      </w:r>
      <w:r w:rsidR="007768FE">
        <w:rPr>
          <w:color w:val="000000" w:themeColor="text1"/>
          <w:lang w:val="en-US"/>
        </w:rPr>
        <w:t>was</w:t>
      </w:r>
      <w:r w:rsidR="007768FE" w:rsidRPr="00813D19">
        <w:rPr>
          <w:color w:val="000000" w:themeColor="text1"/>
          <w:lang w:val="en-US"/>
        </w:rPr>
        <w:t xml:space="preserve"> </w:t>
      </w:r>
      <w:r w:rsidR="00410EB7" w:rsidRPr="00813D19">
        <w:rPr>
          <w:color w:val="000000" w:themeColor="text1"/>
          <w:lang w:val="en-US"/>
        </w:rPr>
        <w:t xml:space="preserve">a necessity and therefore it </w:t>
      </w:r>
      <w:r w:rsidR="001D49A9" w:rsidRPr="00813D19">
        <w:rPr>
          <w:color w:val="000000" w:themeColor="text1"/>
          <w:lang w:val="en-US"/>
        </w:rPr>
        <w:t>accept</w:t>
      </w:r>
      <w:r w:rsidR="00410EB7" w:rsidRPr="00813D19">
        <w:rPr>
          <w:color w:val="000000" w:themeColor="text1"/>
          <w:lang w:val="en-US"/>
        </w:rPr>
        <w:t xml:space="preserve">ed this proposal in the hope that </w:t>
      </w:r>
      <w:r w:rsidR="001D49A9" w:rsidRPr="00813D19">
        <w:rPr>
          <w:color w:val="000000" w:themeColor="text1"/>
          <w:lang w:val="en-US"/>
        </w:rPr>
        <w:t>the</w:t>
      </w:r>
      <w:r w:rsidR="00410EB7" w:rsidRPr="00813D19">
        <w:rPr>
          <w:color w:val="000000" w:themeColor="text1"/>
          <w:lang w:val="en-US"/>
        </w:rPr>
        <w:t>re</w:t>
      </w:r>
      <w:r w:rsidR="001D49A9" w:rsidRPr="00813D19">
        <w:rPr>
          <w:color w:val="000000" w:themeColor="text1"/>
          <w:lang w:val="en-US"/>
        </w:rPr>
        <w:t xml:space="preserve"> </w:t>
      </w:r>
      <w:r w:rsidR="007768FE">
        <w:rPr>
          <w:color w:val="000000" w:themeColor="text1"/>
          <w:lang w:val="en-US"/>
        </w:rPr>
        <w:t>would</w:t>
      </w:r>
      <w:r w:rsidR="007768FE" w:rsidRPr="00813D19">
        <w:rPr>
          <w:color w:val="000000" w:themeColor="text1"/>
          <w:lang w:val="en-US"/>
        </w:rPr>
        <w:t xml:space="preserve"> </w:t>
      </w:r>
      <w:r w:rsidR="001D49A9" w:rsidRPr="00813D19">
        <w:rPr>
          <w:color w:val="000000" w:themeColor="text1"/>
          <w:lang w:val="en-US"/>
        </w:rPr>
        <w:t xml:space="preserve">be </w:t>
      </w:r>
      <w:r w:rsidR="00410EB7" w:rsidRPr="00813D19">
        <w:rPr>
          <w:color w:val="000000" w:themeColor="text1"/>
          <w:lang w:val="en-US"/>
        </w:rPr>
        <w:t xml:space="preserve">a </w:t>
      </w:r>
      <w:r w:rsidR="001D49A9" w:rsidRPr="00813D19">
        <w:rPr>
          <w:color w:val="000000" w:themeColor="text1"/>
          <w:lang w:val="en-US"/>
        </w:rPr>
        <w:t xml:space="preserve">dialogue </w:t>
      </w:r>
      <w:r w:rsidR="00410EB7" w:rsidRPr="00813D19">
        <w:rPr>
          <w:color w:val="000000" w:themeColor="text1"/>
          <w:lang w:val="en-US"/>
        </w:rPr>
        <w:t xml:space="preserve">in the next examination cycle </w:t>
      </w:r>
      <w:r w:rsidR="001D49A9" w:rsidRPr="00813D19">
        <w:rPr>
          <w:color w:val="000000" w:themeColor="text1"/>
          <w:lang w:val="en-US"/>
        </w:rPr>
        <w:t xml:space="preserve">before the decision </w:t>
      </w:r>
      <w:r w:rsidR="00410EB7" w:rsidRPr="00813D19">
        <w:rPr>
          <w:color w:val="000000" w:themeColor="text1"/>
          <w:lang w:val="en-US"/>
        </w:rPr>
        <w:t xml:space="preserve">reached the </w:t>
      </w:r>
      <w:r w:rsidR="001D49A9" w:rsidRPr="00813D19">
        <w:rPr>
          <w:color w:val="000000" w:themeColor="text1"/>
          <w:lang w:val="en-US"/>
        </w:rPr>
        <w:t>Committee.</w:t>
      </w:r>
    </w:p>
    <w:p w14:paraId="11795854" w14:textId="6D34A4EA" w:rsidR="00582BE3" w:rsidRPr="00813D19" w:rsidRDefault="0046063B" w:rsidP="00C068AA">
      <w:pPr>
        <w:pStyle w:val="Orateurengris"/>
        <w:spacing w:before="120"/>
        <w:ind w:left="709" w:hanging="709"/>
        <w:rPr>
          <w:color w:val="000000" w:themeColor="text1"/>
          <w:lang w:val="en-US"/>
        </w:rPr>
      </w:pPr>
      <w:r w:rsidRPr="00813D19">
        <w:rPr>
          <w:color w:val="000000" w:themeColor="text1"/>
          <w:lang w:val="en-US"/>
        </w:rPr>
        <w:t>Having carefully listened to the discussion, t</w:t>
      </w:r>
      <w:r w:rsidR="00C467BC" w:rsidRPr="00813D19">
        <w:rPr>
          <w:color w:val="000000" w:themeColor="text1"/>
          <w:lang w:val="en-US"/>
        </w:rPr>
        <w:t>he</w:t>
      </w:r>
      <w:r w:rsidR="00C467BC" w:rsidRPr="00813D19">
        <w:rPr>
          <w:b/>
          <w:color w:val="000000" w:themeColor="text1"/>
          <w:lang w:val="en-US"/>
        </w:rPr>
        <w:t xml:space="preserve"> delegation of Japan </w:t>
      </w:r>
      <w:r w:rsidRPr="00813D19">
        <w:rPr>
          <w:lang w:val="en-US"/>
        </w:rPr>
        <w:t xml:space="preserve">had </w:t>
      </w:r>
      <w:r w:rsidR="00F67724" w:rsidRPr="00813D19">
        <w:rPr>
          <w:lang w:val="en-US"/>
        </w:rPr>
        <w:t xml:space="preserve">the impression that </w:t>
      </w:r>
      <w:r w:rsidRPr="00813D19">
        <w:rPr>
          <w:lang w:val="en-US"/>
        </w:rPr>
        <w:t>the reflection process had</w:t>
      </w:r>
      <w:r w:rsidR="00F67724" w:rsidRPr="00813D19">
        <w:rPr>
          <w:lang w:val="en-US"/>
        </w:rPr>
        <w:t xml:space="preserve"> already started. </w:t>
      </w:r>
      <w:r w:rsidRPr="00813D19">
        <w:rPr>
          <w:lang w:val="en-US"/>
        </w:rPr>
        <w:t>It understood</w:t>
      </w:r>
      <w:r w:rsidR="00F67724" w:rsidRPr="00813D19">
        <w:rPr>
          <w:lang w:val="en-US"/>
        </w:rPr>
        <w:t xml:space="preserve"> the need for </w:t>
      </w:r>
      <w:r w:rsidRPr="00813D19">
        <w:rPr>
          <w:lang w:val="en-US"/>
        </w:rPr>
        <w:t xml:space="preserve">a </w:t>
      </w:r>
      <w:r w:rsidR="00F67724" w:rsidRPr="00813D19">
        <w:rPr>
          <w:lang w:val="en-US"/>
        </w:rPr>
        <w:t>creative approach</w:t>
      </w:r>
      <w:r w:rsidRPr="00813D19">
        <w:rPr>
          <w:lang w:val="en-US"/>
        </w:rPr>
        <w:t xml:space="preserve"> that would be </w:t>
      </w:r>
      <w:r w:rsidR="00F67724" w:rsidRPr="00813D19">
        <w:rPr>
          <w:lang w:val="en-US"/>
        </w:rPr>
        <w:t>satisfactory to all stakeholders</w:t>
      </w:r>
      <w:r w:rsidRPr="00813D19">
        <w:rPr>
          <w:lang w:val="en-US"/>
        </w:rPr>
        <w:t xml:space="preserve"> given the issues faced in the implementation of the Convention</w:t>
      </w:r>
      <w:r w:rsidR="00354B20" w:rsidRPr="00813D19">
        <w:rPr>
          <w:lang w:val="en-US"/>
        </w:rPr>
        <w:t>.</w:t>
      </w:r>
      <w:r w:rsidRPr="00813D19">
        <w:rPr>
          <w:lang w:val="en-US"/>
        </w:rPr>
        <w:t xml:space="preserve"> </w:t>
      </w:r>
      <w:r w:rsidR="00354B20" w:rsidRPr="00813D19">
        <w:rPr>
          <w:lang w:val="en-US"/>
        </w:rPr>
        <w:t>I</w:t>
      </w:r>
      <w:r w:rsidRPr="00813D19">
        <w:rPr>
          <w:lang w:val="en-US"/>
        </w:rPr>
        <w:t xml:space="preserve">t </w:t>
      </w:r>
      <w:r w:rsidR="00F67724" w:rsidRPr="00813D19">
        <w:rPr>
          <w:lang w:val="en-US"/>
        </w:rPr>
        <w:t>appreciate</w:t>
      </w:r>
      <w:r w:rsidRPr="00813D19">
        <w:rPr>
          <w:lang w:val="en-US"/>
        </w:rPr>
        <w:t>d</w:t>
      </w:r>
      <w:r w:rsidR="00F67724" w:rsidRPr="00813D19">
        <w:rPr>
          <w:lang w:val="en-US"/>
        </w:rPr>
        <w:t xml:space="preserve"> the proposal by the Secretariat</w:t>
      </w:r>
      <w:r w:rsidR="00354B20" w:rsidRPr="00813D19">
        <w:rPr>
          <w:lang w:val="en-US"/>
        </w:rPr>
        <w:t>, but a</w:t>
      </w:r>
      <w:r w:rsidR="00F67724" w:rsidRPr="00813D19">
        <w:rPr>
          <w:lang w:val="en-US"/>
        </w:rPr>
        <w:t xml:space="preserve">t the same time, </w:t>
      </w:r>
      <w:r w:rsidRPr="00813D19">
        <w:rPr>
          <w:lang w:val="en-US"/>
        </w:rPr>
        <w:t xml:space="preserve">the proposal </w:t>
      </w:r>
      <w:r w:rsidR="007768FE">
        <w:rPr>
          <w:lang w:val="en-US"/>
        </w:rPr>
        <w:t>was</w:t>
      </w:r>
      <w:r w:rsidR="007768FE" w:rsidRPr="00813D19">
        <w:rPr>
          <w:lang w:val="en-US"/>
        </w:rPr>
        <w:t xml:space="preserve"> </w:t>
      </w:r>
      <w:r w:rsidR="00F67724" w:rsidRPr="00813D19">
        <w:rPr>
          <w:lang w:val="en-US"/>
        </w:rPr>
        <w:t xml:space="preserve">an exceptional measure </w:t>
      </w:r>
      <w:r w:rsidRPr="00813D19">
        <w:rPr>
          <w:lang w:val="en-US"/>
        </w:rPr>
        <w:t xml:space="preserve">with </w:t>
      </w:r>
      <w:r w:rsidR="00F67724" w:rsidRPr="00813D19">
        <w:rPr>
          <w:lang w:val="en-US"/>
        </w:rPr>
        <w:t xml:space="preserve">certain irregularities and </w:t>
      </w:r>
      <w:r w:rsidRPr="00813D19">
        <w:rPr>
          <w:lang w:val="en-US"/>
        </w:rPr>
        <w:t>ambiguity in its legality. N</w:t>
      </w:r>
      <w:r w:rsidR="00F67724" w:rsidRPr="00813D19">
        <w:rPr>
          <w:lang w:val="en-US"/>
        </w:rPr>
        <w:t>ormally</w:t>
      </w:r>
      <w:r w:rsidRPr="00813D19">
        <w:rPr>
          <w:lang w:val="en-US"/>
        </w:rPr>
        <w:t>,</w:t>
      </w:r>
      <w:r w:rsidR="00F67724" w:rsidRPr="00813D19">
        <w:rPr>
          <w:lang w:val="en-US"/>
        </w:rPr>
        <w:t xml:space="preserve"> exceptional measures are justified only to the </w:t>
      </w:r>
      <w:r w:rsidRPr="00813D19">
        <w:rPr>
          <w:lang w:val="en-US"/>
        </w:rPr>
        <w:t>minimal</w:t>
      </w:r>
      <w:r w:rsidR="00F67724" w:rsidRPr="00813D19">
        <w:rPr>
          <w:lang w:val="en-US"/>
        </w:rPr>
        <w:t xml:space="preserve"> </w:t>
      </w:r>
      <w:r w:rsidRPr="00813D19">
        <w:rPr>
          <w:lang w:val="en-US"/>
        </w:rPr>
        <w:t xml:space="preserve">extent </w:t>
      </w:r>
      <w:r w:rsidR="00F67724" w:rsidRPr="00813D19">
        <w:rPr>
          <w:lang w:val="en-US"/>
        </w:rPr>
        <w:t xml:space="preserve">necessary. </w:t>
      </w:r>
      <w:r w:rsidRPr="00813D19">
        <w:rPr>
          <w:lang w:val="en-US"/>
        </w:rPr>
        <w:t xml:space="preserve">Hence, </w:t>
      </w:r>
      <w:r w:rsidR="00F67724" w:rsidRPr="00813D19">
        <w:rPr>
          <w:lang w:val="en-US"/>
        </w:rPr>
        <w:t xml:space="preserve">this measure should also be limited to the extent necessary. </w:t>
      </w:r>
      <w:r w:rsidRPr="00813D19">
        <w:rPr>
          <w:lang w:val="en-US"/>
        </w:rPr>
        <w:t xml:space="preserve">The delegation noted </w:t>
      </w:r>
      <w:r w:rsidR="00F67724" w:rsidRPr="00813D19">
        <w:rPr>
          <w:lang w:val="en-US"/>
        </w:rPr>
        <w:t>some difference</w:t>
      </w:r>
      <w:r w:rsidRPr="00813D19">
        <w:rPr>
          <w:lang w:val="en-US"/>
        </w:rPr>
        <w:t xml:space="preserve">s </w:t>
      </w:r>
      <w:r w:rsidR="00354B20" w:rsidRPr="00813D19">
        <w:rPr>
          <w:lang w:val="en-US"/>
        </w:rPr>
        <w:t xml:space="preserve">between </w:t>
      </w:r>
      <w:r w:rsidRPr="00813D19">
        <w:rPr>
          <w:lang w:val="en-US"/>
        </w:rPr>
        <w:t xml:space="preserve">the amendment, </w:t>
      </w:r>
      <w:r w:rsidR="00354B20" w:rsidRPr="00813D19">
        <w:rPr>
          <w:lang w:val="en-US"/>
        </w:rPr>
        <w:t xml:space="preserve">which was proposed </w:t>
      </w:r>
      <w:r w:rsidR="00F67724" w:rsidRPr="00813D19">
        <w:rPr>
          <w:lang w:val="en-US"/>
        </w:rPr>
        <w:t>on an experimental basis</w:t>
      </w:r>
      <w:r w:rsidRPr="00813D19">
        <w:rPr>
          <w:lang w:val="en-US"/>
        </w:rPr>
        <w:t>,</w:t>
      </w:r>
      <w:r w:rsidR="00F67724" w:rsidRPr="00813D19">
        <w:rPr>
          <w:lang w:val="en-US"/>
        </w:rPr>
        <w:t xml:space="preserve"> </w:t>
      </w:r>
      <w:r w:rsidR="00354B20" w:rsidRPr="00813D19">
        <w:rPr>
          <w:lang w:val="en-US"/>
        </w:rPr>
        <w:t xml:space="preserve">and </w:t>
      </w:r>
      <w:r w:rsidRPr="00813D19">
        <w:rPr>
          <w:lang w:val="en-US"/>
        </w:rPr>
        <w:t xml:space="preserve">the ongoing </w:t>
      </w:r>
      <w:r w:rsidR="00F67724" w:rsidRPr="00813D19">
        <w:rPr>
          <w:lang w:val="en-US"/>
        </w:rPr>
        <w:t>refle</w:t>
      </w:r>
      <w:r w:rsidRPr="00813D19">
        <w:rPr>
          <w:lang w:val="en-US"/>
        </w:rPr>
        <w:t xml:space="preserve">ction of the listing mechanisms. </w:t>
      </w:r>
      <w:r w:rsidR="00354B20" w:rsidRPr="00813D19">
        <w:rPr>
          <w:lang w:val="en-US"/>
        </w:rPr>
        <w:t xml:space="preserve">It </w:t>
      </w:r>
      <w:r w:rsidRPr="00813D19">
        <w:rPr>
          <w:lang w:val="en-US"/>
        </w:rPr>
        <w:t xml:space="preserve">therefore wished to know whether </w:t>
      </w:r>
      <w:r w:rsidR="00F67724" w:rsidRPr="00813D19">
        <w:rPr>
          <w:lang w:val="en-US"/>
        </w:rPr>
        <w:t xml:space="preserve">these measures </w:t>
      </w:r>
      <w:r w:rsidRPr="00813D19">
        <w:rPr>
          <w:lang w:val="en-US"/>
        </w:rPr>
        <w:t xml:space="preserve">would only </w:t>
      </w:r>
      <w:r w:rsidR="00F67724" w:rsidRPr="00813D19">
        <w:rPr>
          <w:lang w:val="en-US"/>
        </w:rPr>
        <w:t xml:space="preserve">be applied to the files </w:t>
      </w:r>
      <w:r w:rsidRPr="00813D19">
        <w:rPr>
          <w:lang w:val="en-US"/>
        </w:rPr>
        <w:t xml:space="preserve">that had been </w:t>
      </w:r>
      <w:r w:rsidR="00F67724" w:rsidRPr="00813D19">
        <w:rPr>
          <w:lang w:val="en-US"/>
        </w:rPr>
        <w:t>referred</w:t>
      </w:r>
      <w:r w:rsidRPr="00813D19">
        <w:rPr>
          <w:lang w:val="en-US"/>
        </w:rPr>
        <w:t xml:space="preserve"> </w:t>
      </w:r>
      <w:r w:rsidR="00F67724" w:rsidRPr="00813D19">
        <w:rPr>
          <w:lang w:val="en-US"/>
        </w:rPr>
        <w:t xml:space="preserve">at </w:t>
      </w:r>
      <w:r w:rsidR="00354B20" w:rsidRPr="00813D19">
        <w:rPr>
          <w:lang w:val="en-US"/>
        </w:rPr>
        <w:t xml:space="preserve">the </w:t>
      </w:r>
      <w:r w:rsidRPr="00813D19">
        <w:rPr>
          <w:lang w:val="en-US"/>
        </w:rPr>
        <w:t>present session.</w:t>
      </w:r>
      <w:r w:rsidR="00C21A3E" w:rsidRPr="00813D19">
        <w:rPr>
          <w:lang w:val="en-US"/>
        </w:rPr>
        <w:t xml:space="preserve"> In other </w:t>
      </w:r>
      <w:r w:rsidR="00F67724" w:rsidRPr="00813D19">
        <w:rPr>
          <w:lang w:val="en-US"/>
        </w:rPr>
        <w:t>words</w:t>
      </w:r>
      <w:r w:rsidR="00C21A3E" w:rsidRPr="00813D19">
        <w:rPr>
          <w:lang w:val="en-US"/>
        </w:rPr>
        <w:t>,</w:t>
      </w:r>
      <w:r w:rsidR="00F67724" w:rsidRPr="00813D19">
        <w:rPr>
          <w:lang w:val="en-US"/>
        </w:rPr>
        <w:t xml:space="preserve"> this </w:t>
      </w:r>
      <w:r w:rsidR="00C21A3E" w:rsidRPr="00813D19">
        <w:rPr>
          <w:lang w:val="en-US"/>
        </w:rPr>
        <w:t xml:space="preserve">proposal would </w:t>
      </w:r>
      <w:r w:rsidR="00F67724" w:rsidRPr="00813D19">
        <w:rPr>
          <w:lang w:val="en-US"/>
        </w:rPr>
        <w:t xml:space="preserve">not establish </w:t>
      </w:r>
      <w:r w:rsidR="00C21A3E" w:rsidRPr="00813D19">
        <w:rPr>
          <w:lang w:val="en-US"/>
        </w:rPr>
        <w:t>a precedent</w:t>
      </w:r>
      <w:r w:rsidR="00F67724" w:rsidRPr="00813D19">
        <w:rPr>
          <w:lang w:val="en-US"/>
        </w:rPr>
        <w:t xml:space="preserve"> and </w:t>
      </w:r>
      <w:r w:rsidR="00C21A3E" w:rsidRPr="00813D19">
        <w:rPr>
          <w:lang w:val="en-US"/>
        </w:rPr>
        <w:t xml:space="preserve">therefore would not be </w:t>
      </w:r>
      <w:r w:rsidR="00F67724" w:rsidRPr="00813D19">
        <w:rPr>
          <w:lang w:val="en-US"/>
        </w:rPr>
        <w:t xml:space="preserve">applied to files presented </w:t>
      </w:r>
      <w:r w:rsidR="00354B20" w:rsidRPr="00813D19">
        <w:rPr>
          <w:lang w:val="en-US"/>
        </w:rPr>
        <w:t xml:space="preserve">at </w:t>
      </w:r>
      <w:r w:rsidR="00F67724" w:rsidRPr="00813D19">
        <w:rPr>
          <w:lang w:val="en-US"/>
        </w:rPr>
        <w:t xml:space="preserve">the </w:t>
      </w:r>
      <w:r w:rsidR="00354B20" w:rsidRPr="00813D19">
        <w:rPr>
          <w:lang w:val="en-US"/>
        </w:rPr>
        <w:t xml:space="preserve">Committee’s next </w:t>
      </w:r>
      <w:r w:rsidR="00F67724" w:rsidRPr="00813D19">
        <w:rPr>
          <w:lang w:val="en-US"/>
        </w:rPr>
        <w:t>session</w:t>
      </w:r>
      <w:r w:rsidR="00C21A3E" w:rsidRPr="00813D19">
        <w:rPr>
          <w:lang w:val="en-US"/>
        </w:rPr>
        <w:t>. In addition, the wording suggested</w:t>
      </w:r>
      <w:r w:rsidR="00F67724" w:rsidRPr="00813D19">
        <w:rPr>
          <w:lang w:val="en-US"/>
        </w:rPr>
        <w:t xml:space="preserve"> that this </w:t>
      </w:r>
      <w:r w:rsidR="00C21A3E" w:rsidRPr="00813D19">
        <w:rPr>
          <w:lang w:val="en-US"/>
        </w:rPr>
        <w:t xml:space="preserve">procedure might continue until the </w:t>
      </w:r>
      <w:r w:rsidR="00F67724" w:rsidRPr="00813D19">
        <w:rPr>
          <w:lang w:val="en-US"/>
        </w:rPr>
        <w:t>reflection reach</w:t>
      </w:r>
      <w:r w:rsidR="00C21A3E" w:rsidRPr="00813D19">
        <w:rPr>
          <w:lang w:val="en-US"/>
        </w:rPr>
        <w:t>ed</w:t>
      </w:r>
      <w:r w:rsidR="00F67724" w:rsidRPr="00813D19">
        <w:rPr>
          <w:lang w:val="en-US"/>
        </w:rPr>
        <w:t xml:space="preserve"> </w:t>
      </w:r>
      <w:r w:rsidR="00C21A3E" w:rsidRPr="00813D19">
        <w:rPr>
          <w:lang w:val="en-US"/>
        </w:rPr>
        <w:t xml:space="preserve">its </w:t>
      </w:r>
      <w:r w:rsidR="00F67724" w:rsidRPr="00813D19">
        <w:rPr>
          <w:lang w:val="en-US"/>
        </w:rPr>
        <w:t>conclusion</w:t>
      </w:r>
      <w:r w:rsidR="00C21A3E" w:rsidRPr="00813D19">
        <w:rPr>
          <w:lang w:val="en-US"/>
        </w:rPr>
        <w:t>, which</w:t>
      </w:r>
      <w:r w:rsidR="007768FE">
        <w:rPr>
          <w:lang w:val="en-US"/>
        </w:rPr>
        <w:t>,</w:t>
      </w:r>
      <w:r w:rsidR="00F67724" w:rsidRPr="00813D19">
        <w:rPr>
          <w:lang w:val="en-US"/>
        </w:rPr>
        <w:t xml:space="preserve"> according to the calendar</w:t>
      </w:r>
      <w:r w:rsidR="00C21A3E" w:rsidRPr="00813D19">
        <w:rPr>
          <w:lang w:val="en-US"/>
        </w:rPr>
        <w:t>,</w:t>
      </w:r>
      <w:r w:rsidR="00F67724" w:rsidRPr="00813D19">
        <w:rPr>
          <w:lang w:val="en-US"/>
        </w:rPr>
        <w:t xml:space="preserve"> </w:t>
      </w:r>
      <w:r w:rsidR="007768FE">
        <w:rPr>
          <w:lang w:val="en-US"/>
        </w:rPr>
        <w:t xml:space="preserve">would </w:t>
      </w:r>
      <w:r w:rsidR="00F67724" w:rsidRPr="00813D19">
        <w:rPr>
          <w:lang w:val="en-US"/>
        </w:rPr>
        <w:t xml:space="preserve">only conclude in 2022. </w:t>
      </w:r>
      <w:r w:rsidR="00C21A3E" w:rsidRPr="00813D19">
        <w:rPr>
          <w:lang w:val="en-US"/>
        </w:rPr>
        <w:t xml:space="preserve">The delegation’s second concern was related to the </w:t>
      </w:r>
      <w:r w:rsidR="00F67724" w:rsidRPr="00813D19">
        <w:rPr>
          <w:lang w:val="en-US"/>
        </w:rPr>
        <w:t xml:space="preserve">legal ambiguity </w:t>
      </w:r>
      <w:r w:rsidR="00C21A3E" w:rsidRPr="00813D19">
        <w:rPr>
          <w:lang w:val="en-US"/>
        </w:rPr>
        <w:t xml:space="preserve">that might arise from such an exceptional measure, which should </w:t>
      </w:r>
      <w:r w:rsidR="00F67724" w:rsidRPr="00813D19">
        <w:rPr>
          <w:lang w:val="en-US"/>
        </w:rPr>
        <w:t>be corrected as soon as possible</w:t>
      </w:r>
      <w:r w:rsidR="00C21A3E" w:rsidRPr="00813D19">
        <w:rPr>
          <w:lang w:val="en-US"/>
        </w:rPr>
        <w:t xml:space="preserve">. It was of the view that </w:t>
      </w:r>
      <w:r w:rsidR="00354B20" w:rsidRPr="00813D19">
        <w:rPr>
          <w:lang w:val="en-US"/>
        </w:rPr>
        <w:t xml:space="preserve">this </w:t>
      </w:r>
      <w:r w:rsidR="00C21A3E" w:rsidRPr="00813D19">
        <w:rPr>
          <w:lang w:val="en-US"/>
        </w:rPr>
        <w:t xml:space="preserve">proposal should </w:t>
      </w:r>
      <w:r w:rsidR="00F67724" w:rsidRPr="00813D19">
        <w:rPr>
          <w:lang w:val="en-US"/>
        </w:rPr>
        <w:t xml:space="preserve">seek endorsement </w:t>
      </w:r>
      <w:r w:rsidR="00354B20" w:rsidRPr="00813D19">
        <w:rPr>
          <w:lang w:val="en-US"/>
        </w:rPr>
        <w:t xml:space="preserve">by </w:t>
      </w:r>
      <w:r w:rsidR="00F67724" w:rsidRPr="00813D19">
        <w:rPr>
          <w:lang w:val="en-US"/>
        </w:rPr>
        <w:t>the next</w:t>
      </w:r>
      <w:r w:rsidR="00354B20" w:rsidRPr="00813D19">
        <w:rPr>
          <w:lang w:val="en-US"/>
        </w:rPr>
        <w:t xml:space="preserve"> General Assembly in June 2020, as clearly </w:t>
      </w:r>
      <w:r w:rsidR="00C21A3E" w:rsidRPr="00813D19">
        <w:rPr>
          <w:lang w:val="en-US"/>
        </w:rPr>
        <w:t xml:space="preserve">the Committee could not </w:t>
      </w:r>
      <w:r w:rsidR="00F67724" w:rsidRPr="00813D19">
        <w:rPr>
          <w:lang w:val="en-US"/>
        </w:rPr>
        <w:t xml:space="preserve">wait </w:t>
      </w:r>
      <w:r w:rsidR="00C21A3E" w:rsidRPr="00813D19">
        <w:rPr>
          <w:lang w:val="en-US"/>
        </w:rPr>
        <w:t xml:space="preserve">until </w:t>
      </w:r>
      <w:r w:rsidR="00F67724" w:rsidRPr="00813D19">
        <w:rPr>
          <w:lang w:val="en-US"/>
        </w:rPr>
        <w:t>2022</w:t>
      </w:r>
      <w:r w:rsidR="00C21A3E" w:rsidRPr="00813D19">
        <w:rPr>
          <w:lang w:val="en-US"/>
        </w:rPr>
        <w:t>.</w:t>
      </w:r>
      <w:r w:rsidR="00F67724" w:rsidRPr="00813D19">
        <w:rPr>
          <w:lang w:val="en-US"/>
        </w:rPr>
        <w:t xml:space="preserve"> </w:t>
      </w:r>
      <w:r w:rsidR="00C21A3E" w:rsidRPr="00813D19">
        <w:rPr>
          <w:lang w:val="en-US"/>
        </w:rPr>
        <w:t xml:space="preserve">With regard to the proposal, the delegation therefore believed that: i) </w:t>
      </w:r>
      <w:r w:rsidR="00F67724" w:rsidRPr="00813D19">
        <w:rPr>
          <w:lang w:val="en-US"/>
        </w:rPr>
        <w:t xml:space="preserve">the </w:t>
      </w:r>
      <w:r w:rsidR="00C21A3E" w:rsidRPr="00813D19">
        <w:rPr>
          <w:lang w:val="en-US"/>
        </w:rPr>
        <w:t>verification</w:t>
      </w:r>
      <w:r w:rsidR="00F67724" w:rsidRPr="00813D19">
        <w:rPr>
          <w:lang w:val="en-US"/>
        </w:rPr>
        <w:t xml:space="preserve"> </w:t>
      </w:r>
      <w:r w:rsidR="00C21A3E" w:rsidRPr="00813D19">
        <w:rPr>
          <w:lang w:val="en-US"/>
        </w:rPr>
        <w:t xml:space="preserve">should </w:t>
      </w:r>
      <w:r w:rsidR="00F67724" w:rsidRPr="00813D19">
        <w:rPr>
          <w:lang w:val="en-US"/>
        </w:rPr>
        <w:t xml:space="preserve">only </w:t>
      </w:r>
      <w:r w:rsidR="00C21A3E" w:rsidRPr="00813D19">
        <w:rPr>
          <w:lang w:val="en-US"/>
        </w:rPr>
        <w:t xml:space="preserve">apply </w:t>
      </w:r>
      <w:r w:rsidR="00F67724" w:rsidRPr="00813D19">
        <w:rPr>
          <w:lang w:val="en-US"/>
        </w:rPr>
        <w:t xml:space="preserve">to the files </w:t>
      </w:r>
      <w:r w:rsidR="00C21A3E" w:rsidRPr="00813D19">
        <w:rPr>
          <w:lang w:val="en-US"/>
        </w:rPr>
        <w:t xml:space="preserve">submitted in the present session; ii) </w:t>
      </w:r>
      <w:r w:rsidR="00354B20" w:rsidRPr="00813D19">
        <w:rPr>
          <w:lang w:val="en-US"/>
        </w:rPr>
        <w:t xml:space="preserve">its </w:t>
      </w:r>
      <w:r w:rsidR="00F67724" w:rsidRPr="00813D19">
        <w:rPr>
          <w:lang w:val="en-US"/>
        </w:rPr>
        <w:t xml:space="preserve">endorsement </w:t>
      </w:r>
      <w:r w:rsidR="00C21A3E" w:rsidRPr="00813D19">
        <w:rPr>
          <w:lang w:val="en-US"/>
        </w:rPr>
        <w:t xml:space="preserve">should be sought at the next General Assembly in order to </w:t>
      </w:r>
      <w:r w:rsidR="00F67724" w:rsidRPr="00813D19">
        <w:rPr>
          <w:lang w:val="en-US"/>
        </w:rPr>
        <w:t xml:space="preserve">correct the irregular conditions; and </w:t>
      </w:r>
      <w:r w:rsidR="00C21A3E" w:rsidRPr="00813D19">
        <w:rPr>
          <w:lang w:val="en-US"/>
        </w:rPr>
        <w:t xml:space="preserve">iii) </w:t>
      </w:r>
      <w:r w:rsidR="00354B20" w:rsidRPr="00813D19">
        <w:rPr>
          <w:lang w:val="en-US"/>
        </w:rPr>
        <w:t>a two-step</w:t>
      </w:r>
      <w:r w:rsidR="00F67724" w:rsidRPr="00813D19">
        <w:rPr>
          <w:lang w:val="en-US"/>
        </w:rPr>
        <w:t xml:space="preserve"> reflection process </w:t>
      </w:r>
      <w:r w:rsidR="00354B20" w:rsidRPr="00813D19">
        <w:rPr>
          <w:lang w:val="en-US"/>
        </w:rPr>
        <w:t xml:space="preserve">was necessary, comprising a first step that required the </w:t>
      </w:r>
      <w:r w:rsidR="00F67724" w:rsidRPr="00813D19">
        <w:rPr>
          <w:lang w:val="en-US"/>
        </w:rPr>
        <w:t xml:space="preserve">General Assembly </w:t>
      </w:r>
      <w:r w:rsidR="00354B20" w:rsidRPr="00813D19">
        <w:rPr>
          <w:lang w:val="en-US"/>
        </w:rPr>
        <w:t xml:space="preserve">to </w:t>
      </w:r>
      <w:r w:rsidR="00F67724" w:rsidRPr="00813D19">
        <w:rPr>
          <w:lang w:val="en-US"/>
        </w:rPr>
        <w:t xml:space="preserve">agree on </w:t>
      </w:r>
      <w:r w:rsidR="00354B20" w:rsidRPr="00813D19">
        <w:rPr>
          <w:lang w:val="en-US"/>
        </w:rPr>
        <w:t xml:space="preserve">an ‘early harvest’ </w:t>
      </w:r>
      <w:r w:rsidR="00F67724" w:rsidRPr="00813D19">
        <w:rPr>
          <w:lang w:val="en-US"/>
        </w:rPr>
        <w:t>package</w:t>
      </w:r>
      <w:r w:rsidR="00354B20" w:rsidRPr="00813D19">
        <w:rPr>
          <w:lang w:val="en-US"/>
        </w:rPr>
        <w:t xml:space="preserve"> that included</w:t>
      </w:r>
      <w:r w:rsidR="00F67724" w:rsidRPr="00813D19">
        <w:rPr>
          <w:lang w:val="en-US"/>
        </w:rPr>
        <w:t xml:space="preserve"> this matter</w:t>
      </w:r>
      <w:r w:rsidR="00354B20" w:rsidRPr="00813D19">
        <w:rPr>
          <w:lang w:val="en-US"/>
        </w:rPr>
        <w:t>,</w:t>
      </w:r>
      <w:r w:rsidR="00F67724" w:rsidRPr="00813D19">
        <w:rPr>
          <w:lang w:val="en-US"/>
        </w:rPr>
        <w:t xml:space="preserve"> and </w:t>
      </w:r>
      <w:r w:rsidR="00354B20" w:rsidRPr="00813D19">
        <w:rPr>
          <w:lang w:val="en-US"/>
        </w:rPr>
        <w:t xml:space="preserve">a second step that would see the completion of this </w:t>
      </w:r>
      <w:r w:rsidR="00DD4E22">
        <w:rPr>
          <w:lang w:val="en-US"/>
        </w:rPr>
        <w:t>process in 2022.</w:t>
      </w:r>
    </w:p>
    <w:p w14:paraId="2B6B76A4" w14:textId="15220AD4" w:rsidR="001D49A9" w:rsidRPr="00813D19" w:rsidRDefault="00C77D2B"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 </w:t>
      </w:r>
      <w:r w:rsidR="00410EB7" w:rsidRPr="00813D19">
        <w:rPr>
          <w:color w:val="000000" w:themeColor="text1"/>
          <w:lang w:val="en-US"/>
        </w:rPr>
        <w:t>fully supported the S</w:t>
      </w:r>
      <w:r w:rsidR="001D49A9" w:rsidRPr="00813D19">
        <w:rPr>
          <w:color w:val="000000" w:themeColor="text1"/>
          <w:lang w:val="en-US"/>
        </w:rPr>
        <w:t xml:space="preserve">ecretariat's experimental proposal, which </w:t>
      </w:r>
      <w:r w:rsidR="00410EB7" w:rsidRPr="00813D19">
        <w:rPr>
          <w:color w:val="000000" w:themeColor="text1"/>
          <w:lang w:val="en-US"/>
        </w:rPr>
        <w:t xml:space="preserve">was </w:t>
      </w:r>
      <w:r w:rsidR="001D49A9" w:rsidRPr="00813D19">
        <w:rPr>
          <w:color w:val="000000" w:themeColor="text1"/>
          <w:lang w:val="en-US"/>
        </w:rPr>
        <w:t>going in the right direction. Th</w:t>
      </w:r>
      <w:r w:rsidR="00CD0101" w:rsidRPr="00813D19">
        <w:rPr>
          <w:color w:val="000000" w:themeColor="text1"/>
          <w:lang w:val="en-US"/>
        </w:rPr>
        <w:t>is was seen as a first step, even though</w:t>
      </w:r>
      <w:r w:rsidR="001D49A9" w:rsidRPr="00813D19">
        <w:rPr>
          <w:color w:val="000000" w:themeColor="text1"/>
          <w:lang w:val="en-US"/>
        </w:rPr>
        <w:t xml:space="preserve"> </w:t>
      </w:r>
      <w:r w:rsidR="00410EB7" w:rsidRPr="00813D19">
        <w:rPr>
          <w:color w:val="000000" w:themeColor="text1"/>
          <w:lang w:val="en-US"/>
        </w:rPr>
        <w:t xml:space="preserve">it </w:t>
      </w:r>
      <w:r w:rsidR="00CD0101" w:rsidRPr="00813D19">
        <w:rPr>
          <w:color w:val="000000" w:themeColor="text1"/>
          <w:lang w:val="en-US"/>
        </w:rPr>
        <w:t xml:space="preserve">was </w:t>
      </w:r>
      <w:r w:rsidR="00410EB7" w:rsidRPr="00813D19">
        <w:rPr>
          <w:color w:val="000000" w:themeColor="text1"/>
          <w:lang w:val="en-US"/>
        </w:rPr>
        <w:t xml:space="preserve">hoped </w:t>
      </w:r>
      <w:r w:rsidR="00CD0101" w:rsidRPr="00813D19">
        <w:rPr>
          <w:color w:val="000000" w:themeColor="text1"/>
          <w:lang w:val="en-US"/>
        </w:rPr>
        <w:t xml:space="preserve">that </w:t>
      </w:r>
      <w:r w:rsidR="001D49A9" w:rsidRPr="00813D19">
        <w:rPr>
          <w:color w:val="000000" w:themeColor="text1"/>
          <w:lang w:val="en-US"/>
        </w:rPr>
        <w:t xml:space="preserve">a </w:t>
      </w:r>
      <w:r w:rsidR="00410EB7" w:rsidRPr="00813D19">
        <w:rPr>
          <w:color w:val="000000" w:themeColor="text1"/>
          <w:lang w:val="en-US"/>
        </w:rPr>
        <w:t xml:space="preserve">genuine </w:t>
      </w:r>
      <w:r w:rsidR="001D49A9" w:rsidRPr="00813D19">
        <w:rPr>
          <w:color w:val="000000" w:themeColor="text1"/>
          <w:lang w:val="en-US"/>
        </w:rPr>
        <w:t xml:space="preserve">upstream </w:t>
      </w:r>
      <w:r w:rsidR="00410EB7" w:rsidRPr="00813D19">
        <w:rPr>
          <w:color w:val="000000" w:themeColor="text1"/>
          <w:lang w:val="en-US"/>
        </w:rPr>
        <w:t xml:space="preserve">dialogue </w:t>
      </w:r>
      <w:r w:rsidR="001D49A9" w:rsidRPr="00813D19">
        <w:rPr>
          <w:color w:val="000000" w:themeColor="text1"/>
          <w:lang w:val="en-US"/>
        </w:rPr>
        <w:t>between the Evaluation</w:t>
      </w:r>
      <w:r w:rsidR="00410EB7" w:rsidRPr="00813D19">
        <w:rPr>
          <w:color w:val="000000" w:themeColor="text1"/>
          <w:lang w:val="en-US"/>
        </w:rPr>
        <w:t xml:space="preserve"> Body and the submitting State </w:t>
      </w:r>
      <w:r w:rsidR="00CD0101" w:rsidRPr="00813D19">
        <w:rPr>
          <w:color w:val="000000" w:themeColor="text1"/>
          <w:lang w:val="en-US"/>
        </w:rPr>
        <w:t>would result in successful inscriptions for the submitting State</w:t>
      </w:r>
      <w:r w:rsidR="001D49A9" w:rsidRPr="00813D19">
        <w:rPr>
          <w:color w:val="000000" w:themeColor="text1"/>
          <w:lang w:val="en-US"/>
        </w:rPr>
        <w:t xml:space="preserve">. The Evaluation Body </w:t>
      </w:r>
      <w:r w:rsidR="00410EB7" w:rsidRPr="00813D19">
        <w:rPr>
          <w:color w:val="000000" w:themeColor="text1"/>
          <w:lang w:val="en-US"/>
        </w:rPr>
        <w:t>played a role</w:t>
      </w:r>
      <w:r w:rsidR="00CD0101" w:rsidRPr="00813D19">
        <w:rPr>
          <w:color w:val="000000" w:themeColor="text1"/>
          <w:lang w:val="en-US"/>
        </w:rPr>
        <w:t>,</w:t>
      </w:r>
      <w:r w:rsidR="00410EB7" w:rsidRPr="00813D19">
        <w:rPr>
          <w:color w:val="000000" w:themeColor="text1"/>
          <w:lang w:val="en-US"/>
        </w:rPr>
        <w:t xml:space="preserve"> </w:t>
      </w:r>
      <w:r w:rsidR="001D49A9" w:rsidRPr="00813D19">
        <w:rPr>
          <w:color w:val="000000" w:themeColor="text1"/>
          <w:lang w:val="en-US"/>
        </w:rPr>
        <w:t xml:space="preserve">not to </w:t>
      </w:r>
      <w:r w:rsidR="00410EB7" w:rsidRPr="00813D19">
        <w:rPr>
          <w:color w:val="000000" w:themeColor="text1"/>
          <w:lang w:val="en-US"/>
        </w:rPr>
        <w:t>penalize</w:t>
      </w:r>
      <w:r w:rsidR="001D49A9" w:rsidRPr="00813D19">
        <w:rPr>
          <w:color w:val="000000" w:themeColor="text1"/>
          <w:lang w:val="en-US"/>
        </w:rPr>
        <w:t xml:space="preserve"> but </w:t>
      </w:r>
      <w:r w:rsidR="00410EB7" w:rsidRPr="00813D19">
        <w:rPr>
          <w:color w:val="000000" w:themeColor="text1"/>
          <w:lang w:val="en-US"/>
        </w:rPr>
        <w:t xml:space="preserve">to accompany the submitting State in </w:t>
      </w:r>
      <w:r w:rsidR="001D49A9" w:rsidRPr="00813D19">
        <w:rPr>
          <w:color w:val="000000" w:themeColor="text1"/>
          <w:lang w:val="en-US"/>
        </w:rPr>
        <w:t xml:space="preserve">a pedagogical </w:t>
      </w:r>
      <w:r w:rsidR="00CD0101" w:rsidRPr="00813D19">
        <w:rPr>
          <w:color w:val="000000" w:themeColor="text1"/>
          <w:lang w:val="en-US"/>
        </w:rPr>
        <w:t>way</w:t>
      </w:r>
      <w:r w:rsidR="001D49A9" w:rsidRPr="00813D19">
        <w:rPr>
          <w:color w:val="000000" w:themeColor="text1"/>
          <w:lang w:val="en-US"/>
        </w:rPr>
        <w:t xml:space="preserve">, hence the need for upstream </w:t>
      </w:r>
      <w:r w:rsidR="00410EB7" w:rsidRPr="00813D19">
        <w:rPr>
          <w:color w:val="000000" w:themeColor="text1"/>
          <w:lang w:val="en-US"/>
        </w:rPr>
        <w:t>dialogue</w:t>
      </w:r>
      <w:r w:rsidR="001D49A9" w:rsidRPr="00813D19">
        <w:rPr>
          <w:color w:val="000000" w:themeColor="text1"/>
          <w:lang w:val="en-US"/>
        </w:rPr>
        <w:t xml:space="preserve"> before </w:t>
      </w:r>
      <w:r w:rsidR="00CD0101" w:rsidRPr="00813D19">
        <w:rPr>
          <w:color w:val="000000" w:themeColor="text1"/>
          <w:lang w:val="en-US"/>
        </w:rPr>
        <w:t xml:space="preserve">a </w:t>
      </w:r>
      <w:r w:rsidR="001D49A9" w:rsidRPr="00813D19">
        <w:rPr>
          <w:color w:val="000000" w:themeColor="text1"/>
          <w:lang w:val="en-US"/>
        </w:rPr>
        <w:t xml:space="preserve">decision </w:t>
      </w:r>
      <w:r w:rsidR="007768FE">
        <w:rPr>
          <w:color w:val="000000" w:themeColor="text1"/>
          <w:lang w:val="en-US"/>
        </w:rPr>
        <w:t>wa</w:t>
      </w:r>
      <w:r w:rsidR="007768FE" w:rsidRPr="00813D19">
        <w:rPr>
          <w:color w:val="000000" w:themeColor="text1"/>
          <w:lang w:val="en-US"/>
        </w:rPr>
        <w:t xml:space="preserve">s </w:t>
      </w:r>
      <w:r w:rsidR="001D49A9" w:rsidRPr="00813D19">
        <w:rPr>
          <w:color w:val="000000" w:themeColor="text1"/>
          <w:lang w:val="en-US"/>
        </w:rPr>
        <w:t xml:space="preserve">made. </w:t>
      </w:r>
      <w:r w:rsidR="00410EB7" w:rsidRPr="00813D19">
        <w:rPr>
          <w:color w:val="000000" w:themeColor="text1"/>
          <w:lang w:val="en-US"/>
        </w:rPr>
        <w:t xml:space="preserve">Nevertheless, it was </w:t>
      </w:r>
      <w:r w:rsidR="001D49A9" w:rsidRPr="00813D19">
        <w:rPr>
          <w:color w:val="000000" w:themeColor="text1"/>
          <w:lang w:val="en-US"/>
        </w:rPr>
        <w:t>a process</w:t>
      </w:r>
      <w:r w:rsidR="00410EB7" w:rsidRPr="00813D19">
        <w:rPr>
          <w:color w:val="000000" w:themeColor="text1"/>
          <w:lang w:val="en-US"/>
        </w:rPr>
        <w:t>,</w:t>
      </w:r>
      <w:r w:rsidR="001D49A9" w:rsidRPr="00813D19">
        <w:rPr>
          <w:color w:val="000000" w:themeColor="text1"/>
          <w:lang w:val="en-US"/>
        </w:rPr>
        <w:t xml:space="preserve"> </w:t>
      </w:r>
      <w:r w:rsidR="00CD0101" w:rsidRPr="00813D19">
        <w:rPr>
          <w:color w:val="000000" w:themeColor="text1"/>
          <w:lang w:val="en-US"/>
        </w:rPr>
        <w:t xml:space="preserve">hence why this </w:t>
      </w:r>
      <w:r w:rsidR="001D49A9" w:rsidRPr="00813D19">
        <w:rPr>
          <w:color w:val="000000" w:themeColor="text1"/>
          <w:lang w:val="en-US"/>
        </w:rPr>
        <w:t xml:space="preserve">first step </w:t>
      </w:r>
      <w:r w:rsidR="00410EB7" w:rsidRPr="00813D19">
        <w:rPr>
          <w:color w:val="000000" w:themeColor="text1"/>
          <w:lang w:val="en-US"/>
        </w:rPr>
        <w:t>was important</w:t>
      </w:r>
      <w:r w:rsidR="00CD0101" w:rsidRPr="00813D19">
        <w:rPr>
          <w:color w:val="000000" w:themeColor="text1"/>
          <w:lang w:val="en-US"/>
        </w:rPr>
        <w:t xml:space="preserve">. The </w:t>
      </w:r>
      <w:r w:rsidR="00410EB7" w:rsidRPr="00813D19">
        <w:rPr>
          <w:color w:val="000000" w:themeColor="text1"/>
          <w:lang w:val="en-US"/>
        </w:rPr>
        <w:t xml:space="preserve">delegation </w:t>
      </w:r>
      <w:r w:rsidR="001D49A9" w:rsidRPr="00813D19">
        <w:rPr>
          <w:color w:val="000000" w:themeColor="text1"/>
          <w:lang w:val="en-US"/>
        </w:rPr>
        <w:t>support</w:t>
      </w:r>
      <w:r w:rsidR="00410EB7" w:rsidRPr="00813D19">
        <w:rPr>
          <w:color w:val="000000" w:themeColor="text1"/>
          <w:lang w:val="en-US"/>
        </w:rPr>
        <w:t>ed</w:t>
      </w:r>
      <w:r w:rsidR="001D49A9" w:rsidRPr="00813D19">
        <w:rPr>
          <w:color w:val="000000" w:themeColor="text1"/>
          <w:lang w:val="en-US"/>
        </w:rPr>
        <w:t xml:space="preserve"> </w:t>
      </w:r>
      <w:r w:rsidR="00CD0101" w:rsidRPr="00813D19">
        <w:rPr>
          <w:color w:val="000000" w:themeColor="text1"/>
          <w:lang w:val="en-US"/>
        </w:rPr>
        <w:t>the proposal and congratulated</w:t>
      </w:r>
      <w:r w:rsidR="00410EB7" w:rsidRPr="00813D19">
        <w:rPr>
          <w:color w:val="000000" w:themeColor="text1"/>
          <w:lang w:val="en-US"/>
        </w:rPr>
        <w:t xml:space="preserve"> the S</w:t>
      </w:r>
      <w:r w:rsidR="001D49A9" w:rsidRPr="00813D19">
        <w:rPr>
          <w:color w:val="000000" w:themeColor="text1"/>
          <w:lang w:val="en-US"/>
        </w:rPr>
        <w:t>ecretariat.</w:t>
      </w:r>
    </w:p>
    <w:p w14:paraId="30850D3A" w14:textId="56062D4C" w:rsidR="00C77D2B" w:rsidRPr="00813D19" w:rsidRDefault="00D35044" w:rsidP="00C068A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Sri Lanka</w:t>
      </w:r>
      <w:r w:rsidR="00F67724" w:rsidRPr="00813D19">
        <w:rPr>
          <w:b/>
          <w:color w:val="000000" w:themeColor="text1"/>
          <w:lang w:val="en-US"/>
        </w:rPr>
        <w:t xml:space="preserve"> </w:t>
      </w:r>
      <w:r w:rsidR="00DA512D" w:rsidRPr="00813D19">
        <w:rPr>
          <w:color w:val="000000" w:themeColor="text1"/>
          <w:lang w:val="en-US"/>
        </w:rPr>
        <w:t xml:space="preserve">thanked the Chairperson </w:t>
      </w:r>
      <w:r w:rsidR="00F67724" w:rsidRPr="00813D19">
        <w:rPr>
          <w:lang w:val="en-US"/>
        </w:rPr>
        <w:t xml:space="preserve">for </w:t>
      </w:r>
      <w:r w:rsidR="00DA512D" w:rsidRPr="00813D19">
        <w:rPr>
          <w:lang w:val="en-US"/>
        </w:rPr>
        <w:t xml:space="preserve">the </w:t>
      </w:r>
      <w:r w:rsidR="00F67724" w:rsidRPr="00813D19">
        <w:rPr>
          <w:lang w:val="en-US"/>
        </w:rPr>
        <w:t xml:space="preserve">opportunity </w:t>
      </w:r>
      <w:r w:rsidR="00DA512D" w:rsidRPr="00813D19">
        <w:rPr>
          <w:lang w:val="en-US"/>
        </w:rPr>
        <w:t xml:space="preserve">to speak, and also </w:t>
      </w:r>
      <w:r w:rsidR="00F67724" w:rsidRPr="00813D19">
        <w:rPr>
          <w:lang w:val="en-US"/>
        </w:rPr>
        <w:t>the Secretariat for preparing t</w:t>
      </w:r>
      <w:r w:rsidR="00DA512D" w:rsidRPr="00813D19">
        <w:rPr>
          <w:lang w:val="en-US"/>
        </w:rPr>
        <w:t>his proposal. Sri Lanka believed</w:t>
      </w:r>
      <w:r w:rsidR="00F67724" w:rsidRPr="00813D19">
        <w:rPr>
          <w:lang w:val="en-US"/>
        </w:rPr>
        <w:t xml:space="preserve"> that the dialogue mechanism </w:t>
      </w:r>
      <w:r w:rsidR="007768FE">
        <w:rPr>
          <w:lang w:val="en-US"/>
        </w:rPr>
        <w:t>would</w:t>
      </w:r>
      <w:r w:rsidR="007768FE" w:rsidRPr="00813D19">
        <w:rPr>
          <w:lang w:val="en-US"/>
        </w:rPr>
        <w:t xml:space="preserve"> </w:t>
      </w:r>
      <w:r w:rsidR="00F67724" w:rsidRPr="00813D19">
        <w:rPr>
          <w:lang w:val="en-US"/>
        </w:rPr>
        <w:t>benefit a large number of States Parties as an educational</w:t>
      </w:r>
      <w:r w:rsidR="00DA512D" w:rsidRPr="00813D19">
        <w:rPr>
          <w:lang w:val="en-US"/>
        </w:rPr>
        <w:t xml:space="preserve"> process in preparing the files and it therefore supported</w:t>
      </w:r>
      <w:r w:rsidR="00DD4E22">
        <w:rPr>
          <w:lang w:val="en-US"/>
        </w:rPr>
        <w:t xml:space="preserve"> the proposal.</w:t>
      </w:r>
    </w:p>
    <w:p w14:paraId="74470C07" w14:textId="6C78558A" w:rsidR="007443FD" w:rsidRPr="00813D19" w:rsidRDefault="007443FD"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Lebanon</w:t>
      </w:r>
      <w:r w:rsidR="00F67724" w:rsidRPr="00813D19">
        <w:rPr>
          <w:b/>
          <w:color w:val="000000" w:themeColor="text1"/>
          <w:lang w:val="en-US"/>
        </w:rPr>
        <w:t xml:space="preserve"> </w:t>
      </w:r>
      <w:r w:rsidR="00F67724" w:rsidRPr="00813D19">
        <w:rPr>
          <w:lang w:val="en-US"/>
        </w:rPr>
        <w:t>thank</w:t>
      </w:r>
      <w:r w:rsidR="00DA512D" w:rsidRPr="00813D19">
        <w:rPr>
          <w:lang w:val="en-US"/>
        </w:rPr>
        <w:t>ed</w:t>
      </w:r>
      <w:r w:rsidR="00F67724" w:rsidRPr="00813D19">
        <w:rPr>
          <w:lang w:val="en-US"/>
        </w:rPr>
        <w:t xml:space="preserve"> the Secreta</w:t>
      </w:r>
      <w:r w:rsidR="00DA512D" w:rsidRPr="00813D19">
        <w:rPr>
          <w:lang w:val="en-US"/>
        </w:rPr>
        <w:t>riat for the proposal</w:t>
      </w:r>
      <w:r w:rsidR="00CD0101" w:rsidRPr="00813D19">
        <w:rPr>
          <w:lang w:val="en-US"/>
        </w:rPr>
        <w:t>, which it</w:t>
      </w:r>
      <w:r w:rsidR="00DA512D" w:rsidRPr="00813D19">
        <w:rPr>
          <w:lang w:val="en-US"/>
        </w:rPr>
        <w:t xml:space="preserve"> supported,</w:t>
      </w:r>
      <w:r w:rsidR="00F67724" w:rsidRPr="00813D19">
        <w:rPr>
          <w:lang w:val="en-US"/>
        </w:rPr>
        <w:t xml:space="preserve"> </w:t>
      </w:r>
      <w:r w:rsidR="00DA512D" w:rsidRPr="00813D19">
        <w:rPr>
          <w:lang w:val="en-US"/>
        </w:rPr>
        <w:t xml:space="preserve">adding that it was </w:t>
      </w:r>
      <w:r w:rsidR="00F67724" w:rsidRPr="00813D19">
        <w:rPr>
          <w:lang w:val="en-US"/>
        </w:rPr>
        <w:t xml:space="preserve">a good start towards dialogue that </w:t>
      </w:r>
      <w:r w:rsidR="00CD0101" w:rsidRPr="00813D19">
        <w:rPr>
          <w:lang w:val="en-US"/>
        </w:rPr>
        <w:t xml:space="preserve">everyone recognized as </w:t>
      </w:r>
      <w:r w:rsidR="00DD4E22">
        <w:rPr>
          <w:lang w:val="en-US"/>
        </w:rPr>
        <w:t>necessary.</w:t>
      </w:r>
    </w:p>
    <w:p w14:paraId="1A730F31" w14:textId="6D75CC9F" w:rsidR="007443FD" w:rsidRPr="00813D19" w:rsidRDefault="00DA512D" w:rsidP="00C068AA">
      <w:pPr>
        <w:pStyle w:val="Orateurengris"/>
        <w:spacing w:before="120"/>
        <w:ind w:left="709" w:hanging="709"/>
        <w:rPr>
          <w:color w:val="000000" w:themeColor="text1"/>
          <w:lang w:val="en-US"/>
        </w:rPr>
      </w:pPr>
      <w:r w:rsidRPr="00813D19">
        <w:rPr>
          <w:lang w:val="en-US"/>
        </w:rPr>
        <w:t xml:space="preserve">As expressed at the Bureau meeting, </w:t>
      </w:r>
      <w:r w:rsidRPr="00813D19">
        <w:rPr>
          <w:color w:val="000000" w:themeColor="text1"/>
          <w:lang w:val="en-US"/>
        </w:rPr>
        <w:t>t</w:t>
      </w:r>
      <w:r w:rsidR="00B86AE1" w:rsidRPr="00813D19">
        <w:rPr>
          <w:color w:val="000000" w:themeColor="text1"/>
          <w:lang w:val="en-US"/>
        </w:rPr>
        <w:t>he</w:t>
      </w:r>
      <w:r w:rsidR="00B86AE1" w:rsidRPr="00813D19">
        <w:rPr>
          <w:b/>
          <w:color w:val="000000" w:themeColor="text1"/>
          <w:lang w:val="en-US"/>
        </w:rPr>
        <w:t xml:space="preserve"> delegation of Armenia</w:t>
      </w:r>
      <w:r w:rsidR="00F67724" w:rsidRPr="00813D19">
        <w:rPr>
          <w:lang w:val="en-US"/>
        </w:rPr>
        <w:t xml:space="preserve"> support</w:t>
      </w:r>
      <w:r w:rsidRPr="00813D19">
        <w:rPr>
          <w:lang w:val="en-US"/>
        </w:rPr>
        <w:t>ed</w:t>
      </w:r>
      <w:r w:rsidR="00CD0101" w:rsidRPr="00813D19">
        <w:rPr>
          <w:lang w:val="en-US"/>
        </w:rPr>
        <w:t xml:space="preserve"> this initiative, </w:t>
      </w:r>
      <w:r w:rsidR="00F67724" w:rsidRPr="00813D19">
        <w:rPr>
          <w:lang w:val="en-US"/>
        </w:rPr>
        <w:t>commend</w:t>
      </w:r>
      <w:r w:rsidR="00CD0101" w:rsidRPr="00813D19">
        <w:rPr>
          <w:lang w:val="en-US"/>
        </w:rPr>
        <w:t>ing</w:t>
      </w:r>
      <w:r w:rsidR="00F67724" w:rsidRPr="00813D19">
        <w:rPr>
          <w:lang w:val="en-US"/>
        </w:rPr>
        <w:t xml:space="preserve"> the Secretariat for finding </w:t>
      </w:r>
      <w:r w:rsidRPr="00813D19">
        <w:rPr>
          <w:lang w:val="en-US"/>
        </w:rPr>
        <w:t xml:space="preserve">a </w:t>
      </w:r>
      <w:r w:rsidR="00DD4E22">
        <w:rPr>
          <w:lang w:val="en-US"/>
        </w:rPr>
        <w:t>way forward.</w:t>
      </w:r>
    </w:p>
    <w:p w14:paraId="1AF9C061" w14:textId="1BA7F128" w:rsidR="00B86AE1" w:rsidRPr="00813D19" w:rsidRDefault="009C26CB"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Kuwait</w:t>
      </w:r>
      <w:r w:rsidR="00F67724" w:rsidRPr="00813D19">
        <w:rPr>
          <w:b/>
          <w:color w:val="000000" w:themeColor="text1"/>
          <w:lang w:val="en-US"/>
        </w:rPr>
        <w:t xml:space="preserve"> </w:t>
      </w:r>
      <w:r w:rsidR="00F67724" w:rsidRPr="00813D19">
        <w:rPr>
          <w:lang w:val="en-US"/>
        </w:rPr>
        <w:t>thank</w:t>
      </w:r>
      <w:r w:rsidR="00DA512D" w:rsidRPr="00813D19">
        <w:rPr>
          <w:lang w:val="en-US"/>
        </w:rPr>
        <w:t xml:space="preserve">ed the Secretariat </w:t>
      </w:r>
      <w:r w:rsidR="00F67724" w:rsidRPr="00813D19">
        <w:rPr>
          <w:lang w:val="en-US"/>
        </w:rPr>
        <w:t xml:space="preserve">for </w:t>
      </w:r>
      <w:r w:rsidR="00DA512D" w:rsidRPr="00813D19">
        <w:rPr>
          <w:lang w:val="en-US"/>
        </w:rPr>
        <w:t xml:space="preserve">its </w:t>
      </w:r>
      <w:r w:rsidR="00F67724" w:rsidRPr="00813D19">
        <w:rPr>
          <w:lang w:val="en-US"/>
        </w:rPr>
        <w:t xml:space="preserve">work and </w:t>
      </w:r>
      <w:r w:rsidR="00DD4E22">
        <w:rPr>
          <w:lang w:val="en-US"/>
        </w:rPr>
        <w:t>supported the proposal.</w:t>
      </w:r>
    </w:p>
    <w:p w14:paraId="7FA3A329" w14:textId="7977788E" w:rsidR="009C26CB" w:rsidRPr="00813D19" w:rsidRDefault="009C26CB"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Azerbaijan </w:t>
      </w:r>
      <w:r w:rsidR="00F67724" w:rsidRPr="00813D19">
        <w:rPr>
          <w:lang w:val="en-US"/>
        </w:rPr>
        <w:t>join</w:t>
      </w:r>
      <w:r w:rsidR="00DA512D" w:rsidRPr="00813D19">
        <w:rPr>
          <w:lang w:val="en-US"/>
        </w:rPr>
        <w:t>ed</w:t>
      </w:r>
      <w:r w:rsidR="00F67724" w:rsidRPr="00813D19">
        <w:rPr>
          <w:lang w:val="en-US"/>
        </w:rPr>
        <w:t xml:space="preserve"> the other </w:t>
      </w:r>
      <w:r w:rsidR="00DA512D" w:rsidRPr="00813D19">
        <w:rPr>
          <w:lang w:val="en-US"/>
        </w:rPr>
        <w:t xml:space="preserve">Members </w:t>
      </w:r>
      <w:r w:rsidR="00DD4E22">
        <w:rPr>
          <w:lang w:val="en-US"/>
        </w:rPr>
        <w:t>to support the mechanism.</w:t>
      </w:r>
    </w:p>
    <w:p w14:paraId="27B8AE0E" w14:textId="2C72070F" w:rsidR="001D49A9" w:rsidRPr="00813D19" w:rsidRDefault="007963B2"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F67724" w:rsidRPr="00813D19">
        <w:rPr>
          <w:b/>
          <w:color w:val="000000" w:themeColor="text1"/>
          <w:lang w:val="en-US"/>
        </w:rPr>
        <w:t xml:space="preserve"> </w:t>
      </w:r>
      <w:r w:rsidR="00F67724" w:rsidRPr="00813D19">
        <w:rPr>
          <w:lang w:val="en-US"/>
        </w:rPr>
        <w:t>thank</w:t>
      </w:r>
      <w:r w:rsidR="006A5CF3" w:rsidRPr="00813D19">
        <w:rPr>
          <w:lang w:val="en-US"/>
        </w:rPr>
        <w:t>ed</w:t>
      </w:r>
      <w:r w:rsidR="00F67724" w:rsidRPr="00813D19">
        <w:rPr>
          <w:lang w:val="en-US"/>
        </w:rPr>
        <w:t xml:space="preserve"> </w:t>
      </w:r>
      <w:r w:rsidR="006A5CF3" w:rsidRPr="00813D19">
        <w:rPr>
          <w:lang w:val="en-US"/>
        </w:rPr>
        <w:t>the Members who supported</w:t>
      </w:r>
      <w:r w:rsidR="00F67724" w:rsidRPr="00813D19">
        <w:rPr>
          <w:lang w:val="en-US"/>
        </w:rPr>
        <w:t xml:space="preserve"> the </w:t>
      </w:r>
      <w:r w:rsidR="006A5CF3" w:rsidRPr="00813D19">
        <w:rPr>
          <w:lang w:val="en-US"/>
        </w:rPr>
        <w:t xml:space="preserve">Secretariat’s </w:t>
      </w:r>
      <w:r w:rsidR="00F67724" w:rsidRPr="00813D19">
        <w:rPr>
          <w:lang w:val="en-US"/>
        </w:rPr>
        <w:t xml:space="preserve">proposal </w:t>
      </w:r>
      <w:r w:rsidR="006A5CF3" w:rsidRPr="00813D19">
        <w:rPr>
          <w:lang w:val="en-US"/>
        </w:rPr>
        <w:t xml:space="preserve">for </w:t>
      </w:r>
      <w:r w:rsidR="00F67724" w:rsidRPr="00813D19">
        <w:rPr>
          <w:lang w:val="en-US"/>
        </w:rPr>
        <w:t>their openness</w:t>
      </w:r>
      <w:r w:rsidR="006A5CF3" w:rsidRPr="00813D19">
        <w:rPr>
          <w:lang w:val="en-US"/>
        </w:rPr>
        <w:t>,</w:t>
      </w:r>
      <w:r w:rsidR="00F67724" w:rsidRPr="00813D19">
        <w:rPr>
          <w:lang w:val="en-US"/>
        </w:rPr>
        <w:t xml:space="preserve"> </w:t>
      </w:r>
      <w:r w:rsidR="00996333" w:rsidRPr="00813D19">
        <w:rPr>
          <w:lang w:val="en-US"/>
        </w:rPr>
        <w:t xml:space="preserve">adding that it also shared some of the concerns raised by </w:t>
      </w:r>
      <w:r w:rsidR="00F67724" w:rsidRPr="00813D19">
        <w:rPr>
          <w:lang w:val="en-US"/>
        </w:rPr>
        <w:t xml:space="preserve">some </w:t>
      </w:r>
      <w:r w:rsidR="006A5CF3" w:rsidRPr="00813D19">
        <w:rPr>
          <w:lang w:val="en-US"/>
        </w:rPr>
        <w:t xml:space="preserve">Members </w:t>
      </w:r>
      <w:r w:rsidR="00996333" w:rsidRPr="00813D19">
        <w:rPr>
          <w:lang w:val="en-US"/>
        </w:rPr>
        <w:t xml:space="preserve">who </w:t>
      </w:r>
      <w:r w:rsidR="006A5CF3" w:rsidRPr="00813D19">
        <w:rPr>
          <w:lang w:val="en-US"/>
        </w:rPr>
        <w:t xml:space="preserve">did not </w:t>
      </w:r>
      <w:r w:rsidR="00F67724" w:rsidRPr="00813D19">
        <w:rPr>
          <w:lang w:val="en-US"/>
        </w:rPr>
        <w:t>want to see this ex</w:t>
      </w:r>
      <w:r w:rsidR="006A5CF3" w:rsidRPr="00813D19">
        <w:rPr>
          <w:lang w:val="en-US"/>
        </w:rPr>
        <w:t>periment</w:t>
      </w:r>
      <w:r w:rsidR="00F67724" w:rsidRPr="00813D19">
        <w:rPr>
          <w:lang w:val="en-US"/>
        </w:rPr>
        <w:t xml:space="preserve"> </w:t>
      </w:r>
      <w:r w:rsidR="006A5CF3" w:rsidRPr="00813D19">
        <w:rPr>
          <w:lang w:val="en-US"/>
        </w:rPr>
        <w:t xml:space="preserve">return in the next cycle. Thus, </w:t>
      </w:r>
      <w:r w:rsidR="00F67724" w:rsidRPr="00813D19">
        <w:rPr>
          <w:lang w:val="en-US"/>
        </w:rPr>
        <w:t xml:space="preserve">in order to avoid this </w:t>
      </w:r>
      <w:r w:rsidR="00980A5B" w:rsidRPr="00813D19">
        <w:rPr>
          <w:lang w:val="en-US"/>
        </w:rPr>
        <w:t xml:space="preserve">outcome </w:t>
      </w:r>
      <w:r w:rsidR="00F67724" w:rsidRPr="00813D19">
        <w:rPr>
          <w:lang w:val="en-US"/>
        </w:rPr>
        <w:t xml:space="preserve">and </w:t>
      </w:r>
      <w:r w:rsidR="00980A5B" w:rsidRPr="00813D19">
        <w:rPr>
          <w:lang w:val="en-US"/>
        </w:rPr>
        <w:t>given that th</w:t>
      </w:r>
      <w:r w:rsidR="00A021DB">
        <w:rPr>
          <w:lang w:val="en-US"/>
        </w:rPr>
        <w:t>e</w:t>
      </w:r>
      <w:r w:rsidR="00980A5B" w:rsidRPr="00813D19">
        <w:rPr>
          <w:lang w:val="en-US"/>
        </w:rPr>
        <w:t xml:space="preserve"> proposal </w:t>
      </w:r>
      <w:r w:rsidR="00A021DB">
        <w:rPr>
          <w:lang w:val="en-US"/>
        </w:rPr>
        <w:t>was</w:t>
      </w:r>
      <w:r w:rsidR="00A021DB" w:rsidRPr="00813D19">
        <w:rPr>
          <w:lang w:val="en-US"/>
        </w:rPr>
        <w:t xml:space="preserve"> </w:t>
      </w:r>
      <w:r w:rsidR="00F67724" w:rsidRPr="00813D19">
        <w:rPr>
          <w:lang w:val="en-US"/>
        </w:rPr>
        <w:t>experimental</w:t>
      </w:r>
      <w:r w:rsidR="006A5CF3" w:rsidRPr="00813D19">
        <w:rPr>
          <w:lang w:val="en-US"/>
        </w:rPr>
        <w:t xml:space="preserve">, the delegation </w:t>
      </w:r>
      <w:r w:rsidR="00980A5B" w:rsidRPr="00813D19">
        <w:rPr>
          <w:lang w:val="en-US"/>
        </w:rPr>
        <w:t xml:space="preserve">proposed that the </w:t>
      </w:r>
      <w:r w:rsidR="00F67724" w:rsidRPr="00813D19">
        <w:rPr>
          <w:lang w:val="en-US"/>
        </w:rPr>
        <w:t xml:space="preserve">dialogue mechanism </w:t>
      </w:r>
      <w:r w:rsidR="00980A5B" w:rsidRPr="00813D19">
        <w:rPr>
          <w:lang w:val="en-US"/>
        </w:rPr>
        <w:t xml:space="preserve">be applied upstream and not downstream so that it </w:t>
      </w:r>
      <w:r w:rsidR="006A5CF3" w:rsidRPr="00813D19">
        <w:rPr>
          <w:lang w:val="en-US"/>
        </w:rPr>
        <w:t xml:space="preserve">could </w:t>
      </w:r>
      <w:r w:rsidR="00980A5B" w:rsidRPr="00813D19">
        <w:rPr>
          <w:lang w:val="en-US"/>
        </w:rPr>
        <w:t xml:space="preserve">also apply to files in the </w:t>
      </w:r>
      <w:r w:rsidR="00F67724" w:rsidRPr="00813D19">
        <w:rPr>
          <w:lang w:val="en-US"/>
        </w:rPr>
        <w:t xml:space="preserve">next </w:t>
      </w:r>
      <w:r w:rsidR="00980A5B" w:rsidRPr="00813D19">
        <w:rPr>
          <w:lang w:val="en-US"/>
        </w:rPr>
        <w:t xml:space="preserve">session of the </w:t>
      </w:r>
      <w:r w:rsidR="00F67724" w:rsidRPr="00813D19">
        <w:rPr>
          <w:lang w:val="en-US"/>
        </w:rPr>
        <w:t>Committee</w:t>
      </w:r>
      <w:r w:rsidR="00732994" w:rsidRPr="00813D19">
        <w:rPr>
          <w:lang w:val="en-US"/>
        </w:rPr>
        <w:t>.</w:t>
      </w:r>
      <w:r w:rsidR="001D49A9" w:rsidRPr="00813D19">
        <w:rPr>
          <w:lang w:val="en-US"/>
        </w:rPr>
        <w:t xml:space="preserve"> </w:t>
      </w:r>
      <w:r w:rsidR="00732994" w:rsidRPr="00813D19">
        <w:rPr>
          <w:lang w:val="en-US"/>
        </w:rPr>
        <w:t xml:space="preserve">Thus, </w:t>
      </w:r>
      <w:r w:rsidR="001D49A9" w:rsidRPr="00813D19">
        <w:rPr>
          <w:lang w:val="en-US"/>
        </w:rPr>
        <w:t xml:space="preserve">at the second meeting of the Evaluation Body in June, after </w:t>
      </w:r>
      <w:r w:rsidR="00980A5B" w:rsidRPr="00813D19">
        <w:rPr>
          <w:lang w:val="en-US"/>
        </w:rPr>
        <w:t xml:space="preserve">it </w:t>
      </w:r>
      <w:r w:rsidR="00A021DB" w:rsidRPr="00813D19">
        <w:rPr>
          <w:lang w:val="en-US"/>
        </w:rPr>
        <w:t>conclude</w:t>
      </w:r>
      <w:r w:rsidR="00A021DB">
        <w:rPr>
          <w:lang w:val="en-US"/>
        </w:rPr>
        <w:t>d</w:t>
      </w:r>
      <w:r w:rsidR="00A021DB" w:rsidRPr="00813D19">
        <w:rPr>
          <w:lang w:val="en-US"/>
        </w:rPr>
        <w:t xml:space="preserve"> </w:t>
      </w:r>
      <w:r w:rsidR="00980A5B" w:rsidRPr="00813D19">
        <w:rPr>
          <w:lang w:val="en-US"/>
        </w:rPr>
        <w:t xml:space="preserve">its </w:t>
      </w:r>
      <w:r w:rsidR="001D49A9" w:rsidRPr="00813D19">
        <w:rPr>
          <w:lang w:val="en-US"/>
        </w:rPr>
        <w:t xml:space="preserve">recommendations on all the criteria, the Body </w:t>
      </w:r>
      <w:r w:rsidR="00732994" w:rsidRPr="00813D19">
        <w:rPr>
          <w:lang w:val="en-US"/>
        </w:rPr>
        <w:t xml:space="preserve">could </w:t>
      </w:r>
      <w:r w:rsidR="001D49A9" w:rsidRPr="00813D19">
        <w:rPr>
          <w:lang w:val="en-US"/>
        </w:rPr>
        <w:t xml:space="preserve">address </w:t>
      </w:r>
      <w:r w:rsidR="00732994" w:rsidRPr="00813D19">
        <w:rPr>
          <w:lang w:val="en-US"/>
        </w:rPr>
        <w:t xml:space="preserve">its </w:t>
      </w:r>
      <w:r w:rsidR="001D49A9" w:rsidRPr="00813D19">
        <w:rPr>
          <w:lang w:val="en-US"/>
        </w:rPr>
        <w:t>question</w:t>
      </w:r>
      <w:r w:rsidR="00732994" w:rsidRPr="00813D19">
        <w:rPr>
          <w:lang w:val="en-US"/>
        </w:rPr>
        <w:t>s</w:t>
      </w:r>
      <w:r w:rsidR="001D49A9" w:rsidRPr="00813D19">
        <w:rPr>
          <w:lang w:val="en-US"/>
        </w:rPr>
        <w:t xml:space="preserve"> to the State Party concerned </w:t>
      </w:r>
      <w:r w:rsidR="00732994" w:rsidRPr="00813D19">
        <w:rPr>
          <w:lang w:val="en-US"/>
        </w:rPr>
        <w:t xml:space="preserve">on </w:t>
      </w:r>
      <w:r w:rsidR="001D49A9" w:rsidRPr="00813D19">
        <w:rPr>
          <w:lang w:val="en-US"/>
        </w:rPr>
        <w:t xml:space="preserve">the criteria </w:t>
      </w:r>
      <w:r w:rsidR="00732994" w:rsidRPr="00813D19">
        <w:rPr>
          <w:lang w:val="en-US"/>
        </w:rPr>
        <w:t xml:space="preserve">that </w:t>
      </w:r>
      <w:r w:rsidR="00980A5B" w:rsidRPr="00813D19">
        <w:rPr>
          <w:lang w:val="en-US"/>
        </w:rPr>
        <w:t xml:space="preserve">were </w:t>
      </w:r>
      <w:r w:rsidR="00732994" w:rsidRPr="00813D19">
        <w:rPr>
          <w:lang w:val="en-US"/>
        </w:rPr>
        <w:t>unmet. The State P</w:t>
      </w:r>
      <w:r w:rsidR="001D49A9" w:rsidRPr="00813D19">
        <w:rPr>
          <w:lang w:val="en-US"/>
        </w:rPr>
        <w:t xml:space="preserve">arty </w:t>
      </w:r>
      <w:r w:rsidR="00732994" w:rsidRPr="00813D19">
        <w:rPr>
          <w:lang w:val="en-US"/>
        </w:rPr>
        <w:t>could then respond</w:t>
      </w:r>
      <w:r w:rsidR="001D49A9" w:rsidRPr="00813D19">
        <w:rPr>
          <w:lang w:val="en-US"/>
        </w:rPr>
        <w:t xml:space="preserve"> </w:t>
      </w:r>
      <w:r w:rsidR="00732994" w:rsidRPr="00813D19">
        <w:rPr>
          <w:lang w:val="en-US"/>
        </w:rPr>
        <w:t xml:space="preserve">to the Evaluation Body </w:t>
      </w:r>
      <w:r w:rsidR="001D49A9" w:rsidRPr="00813D19">
        <w:rPr>
          <w:lang w:val="en-US"/>
        </w:rPr>
        <w:t xml:space="preserve">in August in </w:t>
      </w:r>
      <w:r w:rsidR="00980A5B" w:rsidRPr="00813D19">
        <w:rPr>
          <w:lang w:val="en-US"/>
        </w:rPr>
        <w:t xml:space="preserve">either of the working </w:t>
      </w:r>
      <w:r w:rsidR="001D49A9" w:rsidRPr="00813D19">
        <w:rPr>
          <w:lang w:val="en-US"/>
        </w:rPr>
        <w:t>languages</w:t>
      </w:r>
      <w:r w:rsidR="00732994" w:rsidRPr="00813D19">
        <w:rPr>
          <w:lang w:val="en-US"/>
        </w:rPr>
        <w:t xml:space="preserve">, which </w:t>
      </w:r>
      <w:r w:rsidR="00A021DB">
        <w:rPr>
          <w:lang w:val="en-US"/>
        </w:rPr>
        <w:t>would</w:t>
      </w:r>
      <w:r w:rsidR="00A021DB" w:rsidRPr="00813D19">
        <w:rPr>
          <w:lang w:val="en-US"/>
        </w:rPr>
        <w:t xml:space="preserve"> </w:t>
      </w:r>
      <w:r w:rsidR="00732994" w:rsidRPr="00813D19">
        <w:rPr>
          <w:lang w:val="en-US"/>
        </w:rPr>
        <w:t xml:space="preserve">then </w:t>
      </w:r>
      <w:r w:rsidR="00A021DB">
        <w:rPr>
          <w:lang w:val="en-US"/>
        </w:rPr>
        <w:t xml:space="preserve">be </w:t>
      </w:r>
      <w:r w:rsidR="00732994" w:rsidRPr="00813D19">
        <w:rPr>
          <w:lang w:val="en-US"/>
        </w:rPr>
        <w:t>examined</w:t>
      </w:r>
      <w:r w:rsidR="001D49A9" w:rsidRPr="00813D19">
        <w:rPr>
          <w:lang w:val="en-US"/>
        </w:rPr>
        <w:t xml:space="preserve"> in September. If the </w:t>
      </w:r>
      <w:r w:rsidR="00732994" w:rsidRPr="00813D19">
        <w:rPr>
          <w:lang w:val="en-US"/>
        </w:rPr>
        <w:t xml:space="preserve">Evaluation Body </w:t>
      </w:r>
      <w:r w:rsidR="00A021DB">
        <w:rPr>
          <w:lang w:val="en-US"/>
        </w:rPr>
        <w:t>were</w:t>
      </w:r>
      <w:r w:rsidR="00A021DB" w:rsidRPr="00813D19">
        <w:rPr>
          <w:lang w:val="en-US"/>
        </w:rPr>
        <w:t xml:space="preserve"> </w:t>
      </w:r>
      <w:r w:rsidR="00732994" w:rsidRPr="00813D19">
        <w:rPr>
          <w:lang w:val="en-US"/>
        </w:rPr>
        <w:t>satisfied, the</w:t>
      </w:r>
      <w:r w:rsidR="001D49A9" w:rsidRPr="00813D19">
        <w:rPr>
          <w:lang w:val="en-US"/>
        </w:rPr>
        <w:t xml:space="preserve"> recommendation</w:t>
      </w:r>
      <w:r w:rsidR="00A021DB">
        <w:rPr>
          <w:lang w:val="en-US"/>
        </w:rPr>
        <w:t xml:space="preserve"> would be</w:t>
      </w:r>
      <w:r w:rsidR="00732994" w:rsidRPr="00813D19">
        <w:rPr>
          <w:lang w:val="en-US"/>
        </w:rPr>
        <w:t xml:space="preserve"> changed accordingly</w:t>
      </w:r>
      <w:r w:rsidR="001D49A9" w:rsidRPr="00813D19">
        <w:rPr>
          <w:lang w:val="en-US"/>
        </w:rPr>
        <w:t xml:space="preserve">; if they </w:t>
      </w:r>
      <w:r w:rsidR="00A021DB">
        <w:rPr>
          <w:lang w:val="en-US"/>
        </w:rPr>
        <w:t>were</w:t>
      </w:r>
      <w:r w:rsidR="00A021DB" w:rsidRPr="00813D19">
        <w:rPr>
          <w:lang w:val="en-US"/>
        </w:rPr>
        <w:t xml:space="preserve"> </w:t>
      </w:r>
      <w:r w:rsidR="00732994" w:rsidRPr="00813D19">
        <w:rPr>
          <w:lang w:val="en-US"/>
        </w:rPr>
        <w:t>un</w:t>
      </w:r>
      <w:r w:rsidR="00980A5B" w:rsidRPr="00813D19">
        <w:rPr>
          <w:lang w:val="en-US"/>
        </w:rPr>
        <w:t>satisfied, the</w:t>
      </w:r>
      <w:r w:rsidR="001D49A9" w:rsidRPr="00813D19">
        <w:rPr>
          <w:lang w:val="en-US"/>
        </w:rPr>
        <w:t xml:space="preserve"> </w:t>
      </w:r>
      <w:r w:rsidR="00732994" w:rsidRPr="00813D19">
        <w:rPr>
          <w:lang w:val="en-US"/>
        </w:rPr>
        <w:t xml:space="preserve">original </w:t>
      </w:r>
      <w:r w:rsidR="001D49A9" w:rsidRPr="00813D19">
        <w:rPr>
          <w:lang w:val="en-US"/>
        </w:rPr>
        <w:t>recommendation</w:t>
      </w:r>
      <w:r w:rsidR="00732994" w:rsidRPr="00813D19">
        <w:rPr>
          <w:lang w:val="en-US"/>
        </w:rPr>
        <w:t xml:space="preserve"> </w:t>
      </w:r>
      <w:r w:rsidR="00A021DB">
        <w:rPr>
          <w:lang w:val="en-US"/>
        </w:rPr>
        <w:t>would be</w:t>
      </w:r>
      <w:r w:rsidR="00A021DB" w:rsidRPr="00813D19">
        <w:rPr>
          <w:lang w:val="en-US"/>
        </w:rPr>
        <w:t xml:space="preserve"> </w:t>
      </w:r>
      <w:r w:rsidR="00732994" w:rsidRPr="00813D19">
        <w:rPr>
          <w:lang w:val="en-US"/>
        </w:rPr>
        <w:t>maintained</w:t>
      </w:r>
      <w:r w:rsidR="001D49A9" w:rsidRPr="00813D19">
        <w:rPr>
          <w:lang w:val="en-US"/>
        </w:rPr>
        <w:t xml:space="preserve">. This </w:t>
      </w:r>
      <w:r w:rsidR="00732994" w:rsidRPr="00813D19">
        <w:rPr>
          <w:lang w:val="en-US"/>
        </w:rPr>
        <w:t xml:space="preserve">would constitute </w:t>
      </w:r>
      <w:r w:rsidR="001D49A9" w:rsidRPr="00813D19">
        <w:rPr>
          <w:lang w:val="en-US"/>
        </w:rPr>
        <w:t>a</w:t>
      </w:r>
      <w:r w:rsidR="00732994" w:rsidRPr="00813D19">
        <w:rPr>
          <w:lang w:val="en-US"/>
        </w:rPr>
        <w:t>n upstream</w:t>
      </w:r>
      <w:r w:rsidR="00980A5B" w:rsidRPr="00813D19">
        <w:rPr>
          <w:lang w:val="en-US"/>
        </w:rPr>
        <w:t xml:space="preserve"> dialogue mechanism</w:t>
      </w:r>
      <w:r w:rsidR="008942B9" w:rsidRPr="00813D19">
        <w:rPr>
          <w:lang w:val="en-US"/>
        </w:rPr>
        <w:t>,</w:t>
      </w:r>
      <w:r w:rsidR="001D49A9" w:rsidRPr="00813D19">
        <w:rPr>
          <w:lang w:val="en-US"/>
        </w:rPr>
        <w:t xml:space="preserve"> </w:t>
      </w:r>
      <w:r w:rsidR="00980A5B" w:rsidRPr="00813D19">
        <w:rPr>
          <w:lang w:val="en-US"/>
        </w:rPr>
        <w:t>correspond</w:t>
      </w:r>
      <w:r w:rsidR="008942B9" w:rsidRPr="00813D19">
        <w:rPr>
          <w:lang w:val="en-US"/>
        </w:rPr>
        <w:t>ing</w:t>
      </w:r>
      <w:r w:rsidR="001D49A9" w:rsidRPr="00813D19">
        <w:rPr>
          <w:lang w:val="en-US"/>
        </w:rPr>
        <w:t xml:space="preserve"> </w:t>
      </w:r>
      <w:r w:rsidR="00732994" w:rsidRPr="00813D19">
        <w:rPr>
          <w:lang w:val="en-US"/>
        </w:rPr>
        <w:t xml:space="preserve">to </w:t>
      </w:r>
      <w:r w:rsidR="001D49A9" w:rsidRPr="00813D19">
        <w:rPr>
          <w:lang w:val="en-US"/>
        </w:rPr>
        <w:t xml:space="preserve">the </w:t>
      </w:r>
      <w:r w:rsidR="00732994" w:rsidRPr="00813D19">
        <w:rPr>
          <w:lang w:val="en-US"/>
        </w:rPr>
        <w:t xml:space="preserve">sentiment expressed by Members </w:t>
      </w:r>
      <w:r w:rsidR="001D49A9" w:rsidRPr="00813D19">
        <w:rPr>
          <w:lang w:val="en-US"/>
        </w:rPr>
        <w:t xml:space="preserve">for </w:t>
      </w:r>
      <w:r w:rsidR="00732994" w:rsidRPr="00813D19">
        <w:rPr>
          <w:lang w:val="en-US"/>
        </w:rPr>
        <w:t xml:space="preserve">an upstream </w:t>
      </w:r>
      <w:r w:rsidR="001D49A9" w:rsidRPr="00813D19">
        <w:rPr>
          <w:lang w:val="en-US"/>
        </w:rPr>
        <w:t xml:space="preserve">dialogue. </w:t>
      </w:r>
      <w:r w:rsidR="008942B9" w:rsidRPr="00813D19">
        <w:rPr>
          <w:lang w:val="en-US"/>
        </w:rPr>
        <w:t>Noting the broad support for the Secretariat’s proposal</w:t>
      </w:r>
      <w:r w:rsidR="00732994" w:rsidRPr="00813D19">
        <w:rPr>
          <w:lang w:val="en-US"/>
        </w:rPr>
        <w:t>, the delegation proposed discuss</w:t>
      </w:r>
      <w:r w:rsidR="00A021DB">
        <w:rPr>
          <w:lang w:val="en-US"/>
        </w:rPr>
        <w:t>ing</w:t>
      </w:r>
      <w:r w:rsidR="00732994" w:rsidRPr="00813D19">
        <w:rPr>
          <w:lang w:val="en-US"/>
        </w:rPr>
        <w:t xml:space="preserve"> </w:t>
      </w:r>
      <w:r w:rsidR="001D49A9" w:rsidRPr="00813D19">
        <w:rPr>
          <w:lang w:val="en-US"/>
        </w:rPr>
        <w:t>this second proposal.</w:t>
      </w:r>
    </w:p>
    <w:p w14:paraId="09F204DF" w14:textId="5D020350" w:rsidR="009C26CB" w:rsidRPr="00813D19" w:rsidRDefault="007963B2"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4F11DD" w:rsidRPr="00813D19">
        <w:rPr>
          <w:color w:val="000000" w:themeColor="text1"/>
          <w:lang w:val="en-US"/>
        </w:rPr>
        <w:t>opened</w:t>
      </w:r>
      <w:r w:rsidR="00DA512D" w:rsidRPr="00813D19">
        <w:rPr>
          <w:color w:val="000000" w:themeColor="text1"/>
          <w:lang w:val="en-US"/>
        </w:rPr>
        <w:t xml:space="preserve"> the floor to Observers.</w:t>
      </w:r>
    </w:p>
    <w:p w14:paraId="062FFF06" w14:textId="2D859C33" w:rsidR="0063135F" w:rsidRPr="00813D19" w:rsidRDefault="0063135F" w:rsidP="00C068AA">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Palestine</w:t>
      </w:r>
      <w:r w:rsidR="00DA512D" w:rsidRPr="00813D19">
        <w:rPr>
          <w:lang w:val="en-US"/>
        </w:rPr>
        <w:t xml:space="preserve"> was </w:t>
      </w:r>
      <w:r w:rsidRPr="00813D19">
        <w:rPr>
          <w:lang w:val="en-US"/>
        </w:rPr>
        <w:t>not against giv</w:t>
      </w:r>
      <w:r w:rsidR="00DA512D" w:rsidRPr="00813D19">
        <w:rPr>
          <w:lang w:val="en-US"/>
        </w:rPr>
        <w:t xml:space="preserve">ing the floor to the Observers, as they </w:t>
      </w:r>
      <w:r w:rsidRPr="00813D19">
        <w:rPr>
          <w:lang w:val="en-US"/>
        </w:rPr>
        <w:t>should give th</w:t>
      </w:r>
      <w:r w:rsidR="00DA512D" w:rsidRPr="00813D19">
        <w:rPr>
          <w:lang w:val="en-US"/>
        </w:rPr>
        <w:t>eir opinion</w:t>
      </w:r>
      <w:r w:rsidR="00A021DB">
        <w:rPr>
          <w:lang w:val="en-US"/>
        </w:rPr>
        <w:t xml:space="preserve">; </w:t>
      </w:r>
      <w:r w:rsidR="008942B9" w:rsidRPr="00813D19">
        <w:rPr>
          <w:lang w:val="en-US"/>
        </w:rPr>
        <w:t>however</w:t>
      </w:r>
      <w:r w:rsidR="00A021DB">
        <w:rPr>
          <w:lang w:val="en-US"/>
        </w:rPr>
        <w:t>,</w:t>
      </w:r>
      <w:r w:rsidR="00DA512D" w:rsidRPr="00813D19">
        <w:rPr>
          <w:lang w:val="en-US"/>
        </w:rPr>
        <w:t xml:space="preserve"> there was </w:t>
      </w:r>
      <w:r w:rsidRPr="00813D19">
        <w:rPr>
          <w:lang w:val="en-US"/>
        </w:rPr>
        <w:t xml:space="preserve">a second proposal. </w:t>
      </w:r>
      <w:r w:rsidR="00DA512D" w:rsidRPr="00813D19">
        <w:rPr>
          <w:lang w:val="en-US"/>
        </w:rPr>
        <w:t xml:space="preserve">The delegation suggested that </w:t>
      </w:r>
      <w:r w:rsidRPr="00813D19">
        <w:rPr>
          <w:lang w:val="en-US"/>
        </w:rPr>
        <w:t xml:space="preserve">the Committee </w:t>
      </w:r>
      <w:r w:rsidR="00DA512D" w:rsidRPr="00813D19">
        <w:rPr>
          <w:lang w:val="en-US"/>
        </w:rPr>
        <w:t xml:space="preserve">first </w:t>
      </w:r>
      <w:r w:rsidR="005341B7" w:rsidRPr="00813D19">
        <w:rPr>
          <w:lang w:val="en-US"/>
        </w:rPr>
        <w:t xml:space="preserve">discuss </w:t>
      </w:r>
      <w:r w:rsidR="00DA512D" w:rsidRPr="00813D19">
        <w:rPr>
          <w:lang w:val="en-US"/>
        </w:rPr>
        <w:t>this second phase,</w:t>
      </w:r>
      <w:r w:rsidRPr="00813D19">
        <w:rPr>
          <w:lang w:val="en-US"/>
        </w:rPr>
        <w:t xml:space="preserve"> </w:t>
      </w:r>
      <w:r w:rsidR="00DA512D" w:rsidRPr="00813D19">
        <w:rPr>
          <w:lang w:val="en-US"/>
        </w:rPr>
        <w:t xml:space="preserve">after which the </w:t>
      </w:r>
      <w:r w:rsidRPr="00813D19">
        <w:rPr>
          <w:lang w:val="en-US"/>
        </w:rPr>
        <w:t xml:space="preserve">Observers </w:t>
      </w:r>
      <w:r w:rsidR="008942B9" w:rsidRPr="00813D19">
        <w:rPr>
          <w:lang w:val="en-US"/>
        </w:rPr>
        <w:t xml:space="preserve">could </w:t>
      </w:r>
      <w:r w:rsidR="005341B7" w:rsidRPr="00813D19">
        <w:rPr>
          <w:lang w:val="en-US"/>
        </w:rPr>
        <w:t xml:space="preserve">give their opinion on </w:t>
      </w:r>
      <w:r w:rsidR="00DD4E22">
        <w:rPr>
          <w:lang w:val="en-US"/>
        </w:rPr>
        <w:t>the two proposals.</w:t>
      </w:r>
    </w:p>
    <w:p w14:paraId="2C9AD8AE" w14:textId="64C238EA" w:rsidR="0063135F" w:rsidRPr="00813D19" w:rsidRDefault="0063135F" w:rsidP="00C068AA">
      <w:pPr>
        <w:pStyle w:val="Orateurengris"/>
        <w:spacing w:before="12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w:t>
      </w:r>
      <w:r w:rsidR="008942B9" w:rsidRPr="00813D19">
        <w:rPr>
          <w:lang w:val="en-US"/>
        </w:rPr>
        <w:t xml:space="preserve">first </w:t>
      </w:r>
      <w:r w:rsidRPr="00813D19">
        <w:rPr>
          <w:lang w:val="en-US"/>
        </w:rPr>
        <w:t>wish</w:t>
      </w:r>
      <w:r w:rsidR="00732994" w:rsidRPr="00813D19">
        <w:rPr>
          <w:lang w:val="en-US"/>
        </w:rPr>
        <w:t>ed</w:t>
      </w:r>
      <w:r w:rsidRPr="00813D19">
        <w:rPr>
          <w:lang w:val="en-US"/>
        </w:rPr>
        <w:t xml:space="preserve"> to summarize </w:t>
      </w:r>
      <w:r w:rsidR="00732994" w:rsidRPr="00813D19">
        <w:rPr>
          <w:lang w:val="en-US"/>
        </w:rPr>
        <w:t>the situation</w:t>
      </w:r>
      <w:r w:rsidR="008942B9" w:rsidRPr="00813D19">
        <w:rPr>
          <w:lang w:val="en-US"/>
        </w:rPr>
        <w:t xml:space="preserve">, which was supported by </w:t>
      </w:r>
      <w:r w:rsidRPr="00813D19">
        <w:rPr>
          <w:lang w:val="en-US"/>
        </w:rPr>
        <w:t>Jamaica</w:t>
      </w:r>
      <w:r w:rsidR="008942B9" w:rsidRPr="00813D19">
        <w:rPr>
          <w:lang w:val="en-US"/>
        </w:rPr>
        <w:t>.</w:t>
      </w:r>
      <w:r w:rsidR="00732994" w:rsidRPr="00813D19">
        <w:rPr>
          <w:lang w:val="en-US"/>
        </w:rPr>
        <w:t xml:space="preserve"> Despite the </w:t>
      </w:r>
      <w:r w:rsidRPr="00813D19">
        <w:rPr>
          <w:lang w:val="en-US"/>
        </w:rPr>
        <w:t>gen</w:t>
      </w:r>
      <w:r w:rsidR="00732994" w:rsidRPr="00813D19">
        <w:rPr>
          <w:lang w:val="en-US"/>
        </w:rPr>
        <w:t>eral</w:t>
      </w:r>
      <w:r w:rsidRPr="00813D19">
        <w:rPr>
          <w:lang w:val="en-US"/>
        </w:rPr>
        <w:t xml:space="preserve"> feeling that there </w:t>
      </w:r>
      <w:r w:rsidR="00732994" w:rsidRPr="00813D19">
        <w:rPr>
          <w:lang w:val="en-US"/>
        </w:rPr>
        <w:t xml:space="preserve">was </w:t>
      </w:r>
      <w:r w:rsidRPr="00813D19">
        <w:rPr>
          <w:lang w:val="en-US"/>
        </w:rPr>
        <w:t>a need to review the evaluation mechanism</w:t>
      </w:r>
      <w:r w:rsidR="00732994" w:rsidRPr="00813D19">
        <w:rPr>
          <w:lang w:val="en-US"/>
        </w:rPr>
        <w:t>,</w:t>
      </w:r>
      <w:r w:rsidRPr="00813D19">
        <w:rPr>
          <w:lang w:val="en-US"/>
        </w:rPr>
        <w:t xml:space="preserve"> </w:t>
      </w:r>
      <w:r w:rsidR="00732994" w:rsidRPr="00813D19">
        <w:rPr>
          <w:lang w:val="en-US"/>
        </w:rPr>
        <w:t xml:space="preserve">three </w:t>
      </w:r>
      <w:r w:rsidRPr="00813D19">
        <w:rPr>
          <w:lang w:val="en-US"/>
        </w:rPr>
        <w:t xml:space="preserve">questions </w:t>
      </w:r>
      <w:r w:rsidR="00732994" w:rsidRPr="00813D19">
        <w:rPr>
          <w:lang w:val="en-US"/>
        </w:rPr>
        <w:t xml:space="preserve">had been raised by China, and Japan had </w:t>
      </w:r>
      <w:r w:rsidRPr="00813D19">
        <w:rPr>
          <w:lang w:val="en-US"/>
        </w:rPr>
        <w:t xml:space="preserve">also </w:t>
      </w:r>
      <w:r w:rsidR="00732994" w:rsidRPr="00813D19">
        <w:rPr>
          <w:lang w:val="en-US"/>
        </w:rPr>
        <w:t xml:space="preserve">raised a point </w:t>
      </w:r>
      <w:r w:rsidRPr="00813D19">
        <w:rPr>
          <w:lang w:val="en-US"/>
        </w:rPr>
        <w:t xml:space="preserve">regarding the legal ambiguity and </w:t>
      </w:r>
      <w:r w:rsidR="00A021DB">
        <w:rPr>
          <w:lang w:val="en-US"/>
        </w:rPr>
        <w:t>t</w:t>
      </w:r>
      <w:r w:rsidR="008942B9" w:rsidRPr="00813D19">
        <w:rPr>
          <w:lang w:val="en-US"/>
        </w:rPr>
        <w:t xml:space="preserve">he </w:t>
      </w:r>
      <w:r w:rsidRPr="00813D19">
        <w:rPr>
          <w:lang w:val="en-US"/>
        </w:rPr>
        <w:t xml:space="preserve">scope </w:t>
      </w:r>
      <w:r w:rsidR="00732994" w:rsidRPr="00813D19">
        <w:rPr>
          <w:lang w:val="en-US"/>
        </w:rPr>
        <w:t xml:space="preserve">of the </w:t>
      </w:r>
      <w:r w:rsidR="008942B9" w:rsidRPr="00813D19">
        <w:rPr>
          <w:lang w:val="en-US"/>
        </w:rPr>
        <w:t>proposal</w:t>
      </w:r>
      <w:r w:rsidR="0020019B" w:rsidRPr="00813D19">
        <w:rPr>
          <w:lang w:val="en-US"/>
        </w:rPr>
        <w:t xml:space="preserve">, which were </w:t>
      </w:r>
      <w:r w:rsidRPr="00813D19">
        <w:rPr>
          <w:lang w:val="en-US"/>
        </w:rPr>
        <w:t xml:space="preserve">very pertinent issues. </w:t>
      </w:r>
      <w:r w:rsidR="0020019B" w:rsidRPr="00813D19">
        <w:rPr>
          <w:lang w:val="en-US"/>
        </w:rPr>
        <w:t xml:space="preserve">The Chairperson observed the </w:t>
      </w:r>
      <w:r w:rsidRPr="00813D19">
        <w:rPr>
          <w:lang w:val="en-US"/>
        </w:rPr>
        <w:t xml:space="preserve">quasi-unanimity among Committee Members </w:t>
      </w:r>
      <w:r w:rsidR="0020019B" w:rsidRPr="00813D19">
        <w:rPr>
          <w:lang w:val="en-US"/>
        </w:rPr>
        <w:t xml:space="preserve">on the </w:t>
      </w:r>
      <w:r w:rsidRPr="00813D19">
        <w:rPr>
          <w:lang w:val="en-US"/>
        </w:rPr>
        <w:t>need for an upstream consultation</w:t>
      </w:r>
      <w:r w:rsidR="0020019B" w:rsidRPr="00813D19">
        <w:rPr>
          <w:lang w:val="en-US"/>
        </w:rPr>
        <w:t>,</w:t>
      </w:r>
      <w:r w:rsidRPr="00813D19">
        <w:rPr>
          <w:lang w:val="en-US"/>
        </w:rPr>
        <w:t xml:space="preserve"> </w:t>
      </w:r>
      <w:r w:rsidR="0020019B" w:rsidRPr="00813D19">
        <w:rPr>
          <w:lang w:val="en-US"/>
        </w:rPr>
        <w:t xml:space="preserve">an issue that </w:t>
      </w:r>
      <w:r w:rsidR="008942B9" w:rsidRPr="00813D19">
        <w:rPr>
          <w:lang w:val="en-US"/>
        </w:rPr>
        <w:t xml:space="preserve">had </w:t>
      </w:r>
      <w:r w:rsidRPr="00813D19">
        <w:rPr>
          <w:lang w:val="en-US"/>
        </w:rPr>
        <w:t xml:space="preserve">been raised for some time. </w:t>
      </w:r>
      <w:r w:rsidR="0020019B" w:rsidRPr="00813D19">
        <w:rPr>
          <w:lang w:val="en-US"/>
        </w:rPr>
        <w:t>W</w:t>
      </w:r>
      <w:r w:rsidRPr="00813D19">
        <w:rPr>
          <w:lang w:val="en-US"/>
        </w:rPr>
        <w:t>hile listening to the Committee Members</w:t>
      </w:r>
      <w:r w:rsidR="0020019B" w:rsidRPr="00813D19">
        <w:rPr>
          <w:lang w:val="en-US"/>
        </w:rPr>
        <w:t xml:space="preserve">, the Chairperson </w:t>
      </w:r>
      <w:r w:rsidRPr="00813D19">
        <w:rPr>
          <w:lang w:val="en-US"/>
        </w:rPr>
        <w:t>recall</w:t>
      </w:r>
      <w:r w:rsidR="0020019B" w:rsidRPr="00813D19">
        <w:rPr>
          <w:lang w:val="en-US"/>
        </w:rPr>
        <w:t>ed</w:t>
      </w:r>
      <w:r w:rsidRPr="00813D19">
        <w:rPr>
          <w:lang w:val="en-US"/>
        </w:rPr>
        <w:t xml:space="preserve"> that the Secretary </w:t>
      </w:r>
      <w:r w:rsidR="0020019B" w:rsidRPr="00813D19">
        <w:rPr>
          <w:lang w:val="en-US"/>
        </w:rPr>
        <w:t xml:space="preserve">had made his </w:t>
      </w:r>
      <w:r w:rsidRPr="00813D19">
        <w:rPr>
          <w:lang w:val="en-US"/>
        </w:rPr>
        <w:t xml:space="preserve">proposal </w:t>
      </w:r>
      <w:r w:rsidR="0020019B" w:rsidRPr="00813D19">
        <w:rPr>
          <w:lang w:val="en-US"/>
        </w:rPr>
        <w:t xml:space="preserve">on </w:t>
      </w:r>
      <w:r w:rsidRPr="00813D19">
        <w:rPr>
          <w:lang w:val="en-US"/>
        </w:rPr>
        <w:t>a</w:t>
      </w:r>
      <w:r w:rsidR="008942B9" w:rsidRPr="00813D19">
        <w:rPr>
          <w:lang w:val="en-US"/>
        </w:rPr>
        <w:t>n</w:t>
      </w:r>
      <w:r w:rsidRPr="00813D19">
        <w:rPr>
          <w:lang w:val="en-US"/>
        </w:rPr>
        <w:t xml:space="preserve"> experimental </w:t>
      </w:r>
      <w:r w:rsidR="0020019B" w:rsidRPr="00813D19">
        <w:rPr>
          <w:lang w:val="en-US"/>
        </w:rPr>
        <w:t xml:space="preserve">basis, </w:t>
      </w:r>
      <w:r w:rsidRPr="00813D19">
        <w:rPr>
          <w:lang w:val="en-US"/>
        </w:rPr>
        <w:t xml:space="preserve">but </w:t>
      </w:r>
      <w:r w:rsidR="0020019B" w:rsidRPr="00813D19">
        <w:rPr>
          <w:lang w:val="en-US"/>
        </w:rPr>
        <w:t xml:space="preserve">there was </w:t>
      </w:r>
      <w:r w:rsidRPr="00813D19">
        <w:rPr>
          <w:lang w:val="en-US"/>
        </w:rPr>
        <w:t xml:space="preserve">also </w:t>
      </w:r>
      <w:r w:rsidR="0020019B" w:rsidRPr="00813D19">
        <w:rPr>
          <w:lang w:val="en-US"/>
        </w:rPr>
        <w:t xml:space="preserve">the </w:t>
      </w:r>
      <w:r w:rsidRPr="00813D19">
        <w:rPr>
          <w:lang w:val="en-US"/>
        </w:rPr>
        <w:t xml:space="preserve">proviso that the Committee would need to acknowledge responsibility for this process until the matter </w:t>
      </w:r>
      <w:r w:rsidR="0020019B" w:rsidRPr="00813D19">
        <w:rPr>
          <w:lang w:val="en-US"/>
        </w:rPr>
        <w:t xml:space="preserve">was </w:t>
      </w:r>
      <w:r w:rsidRPr="00813D19">
        <w:rPr>
          <w:lang w:val="en-US"/>
        </w:rPr>
        <w:t xml:space="preserve">brought for discussion at the next session of the General Assembly in 2020. Japan and China </w:t>
      </w:r>
      <w:r w:rsidR="0020019B" w:rsidRPr="00813D19">
        <w:rPr>
          <w:lang w:val="en-US"/>
        </w:rPr>
        <w:t xml:space="preserve">had </w:t>
      </w:r>
      <w:r w:rsidRPr="00813D19">
        <w:rPr>
          <w:lang w:val="en-US"/>
        </w:rPr>
        <w:t>in fact raised very pertinent issues</w:t>
      </w:r>
      <w:r w:rsidR="00402FBB" w:rsidRPr="00813D19">
        <w:rPr>
          <w:lang w:val="en-US"/>
        </w:rPr>
        <w:t xml:space="preserve"> and </w:t>
      </w:r>
      <w:r w:rsidR="0020019B" w:rsidRPr="00813D19">
        <w:rPr>
          <w:lang w:val="en-US"/>
        </w:rPr>
        <w:t xml:space="preserve">the Chairperson wished to hear the opinions of the </w:t>
      </w:r>
      <w:r w:rsidRPr="00813D19">
        <w:rPr>
          <w:lang w:val="en-US"/>
        </w:rPr>
        <w:t>Committee Members on the</w:t>
      </w:r>
      <w:r w:rsidR="00402FBB" w:rsidRPr="00813D19">
        <w:rPr>
          <w:lang w:val="en-US"/>
        </w:rPr>
        <w:t>se</w:t>
      </w:r>
      <w:r w:rsidRPr="00813D19">
        <w:rPr>
          <w:lang w:val="en-US"/>
        </w:rPr>
        <w:t xml:space="preserve"> issues</w:t>
      </w:r>
      <w:r w:rsidR="00402FBB" w:rsidRPr="00813D19">
        <w:rPr>
          <w:lang w:val="en-US"/>
        </w:rPr>
        <w:t>,</w:t>
      </w:r>
      <w:r w:rsidRPr="00813D19">
        <w:rPr>
          <w:lang w:val="en-US"/>
        </w:rPr>
        <w:t xml:space="preserve"> </w:t>
      </w:r>
      <w:r w:rsidR="0020019B" w:rsidRPr="00813D19">
        <w:rPr>
          <w:lang w:val="en-US"/>
        </w:rPr>
        <w:t xml:space="preserve">as it was important that the Committee, as an </w:t>
      </w:r>
      <w:r w:rsidRPr="00813D19">
        <w:rPr>
          <w:lang w:val="en-US"/>
        </w:rPr>
        <w:t>emanation of the General Assembly</w:t>
      </w:r>
      <w:r w:rsidR="0020019B" w:rsidRPr="00813D19">
        <w:rPr>
          <w:lang w:val="en-US"/>
        </w:rPr>
        <w:t xml:space="preserve">, went </w:t>
      </w:r>
      <w:r w:rsidRPr="00813D19">
        <w:rPr>
          <w:lang w:val="en-US"/>
        </w:rPr>
        <w:t xml:space="preserve">to the root of what </w:t>
      </w:r>
      <w:r w:rsidR="0020019B" w:rsidRPr="00813D19">
        <w:rPr>
          <w:lang w:val="en-US"/>
        </w:rPr>
        <w:t>it what advocating at the present session</w:t>
      </w:r>
      <w:r w:rsidR="00DD4E22">
        <w:rPr>
          <w:lang w:val="en-US"/>
        </w:rPr>
        <w:t>.</w:t>
      </w:r>
    </w:p>
    <w:p w14:paraId="65BC5B83" w14:textId="3D7C64D8" w:rsidR="0029190E" w:rsidRPr="00813D19" w:rsidRDefault="005B3E7D" w:rsidP="0029190E">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Japan</w:t>
      </w:r>
      <w:r w:rsidR="005341B7" w:rsidRPr="00813D19">
        <w:rPr>
          <w:color w:val="000000" w:themeColor="text1"/>
          <w:lang w:val="en-US"/>
        </w:rPr>
        <w:t xml:space="preserve"> </w:t>
      </w:r>
      <w:r w:rsidR="0029190E" w:rsidRPr="00813D19">
        <w:rPr>
          <w:color w:val="000000" w:themeColor="text1"/>
          <w:lang w:val="en-US"/>
        </w:rPr>
        <w:t xml:space="preserve">remarked that the </w:t>
      </w:r>
      <w:r w:rsidR="0063135F" w:rsidRPr="00813D19">
        <w:rPr>
          <w:lang w:val="en-US"/>
        </w:rPr>
        <w:t xml:space="preserve">summary </w:t>
      </w:r>
      <w:r w:rsidR="00402FBB" w:rsidRPr="00813D19">
        <w:rPr>
          <w:lang w:val="en-US"/>
        </w:rPr>
        <w:t xml:space="preserve">was very precise and </w:t>
      </w:r>
      <w:r w:rsidR="0063135F" w:rsidRPr="00813D19">
        <w:rPr>
          <w:lang w:val="en-US"/>
        </w:rPr>
        <w:t>concise. Generally</w:t>
      </w:r>
      <w:r w:rsidR="0029190E" w:rsidRPr="00813D19">
        <w:rPr>
          <w:lang w:val="en-US"/>
        </w:rPr>
        <w:t>,</w:t>
      </w:r>
      <w:r w:rsidR="0063135F" w:rsidRPr="00813D19">
        <w:rPr>
          <w:lang w:val="en-US"/>
        </w:rPr>
        <w:t xml:space="preserve"> </w:t>
      </w:r>
      <w:r w:rsidR="0029190E" w:rsidRPr="00813D19">
        <w:rPr>
          <w:lang w:val="en-US"/>
        </w:rPr>
        <w:t xml:space="preserve">it was </w:t>
      </w:r>
      <w:r w:rsidR="00402FBB" w:rsidRPr="00813D19">
        <w:rPr>
          <w:lang w:val="en-US"/>
        </w:rPr>
        <w:t>ready to support the</w:t>
      </w:r>
      <w:r w:rsidR="0063135F" w:rsidRPr="00813D19">
        <w:rPr>
          <w:lang w:val="en-US"/>
        </w:rPr>
        <w:t xml:space="preserve"> proposal if </w:t>
      </w:r>
      <w:r w:rsidR="0029190E" w:rsidRPr="00813D19">
        <w:rPr>
          <w:lang w:val="en-US"/>
        </w:rPr>
        <w:t>it</w:t>
      </w:r>
      <w:r w:rsidR="00402FBB" w:rsidRPr="00813D19">
        <w:rPr>
          <w:lang w:val="en-US"/>
        </w:rPr>
        <w:t xml:space="preserve">s concerns </w:t>
      </w:r>
      <w:r w:rsidR="0029190E" w:rsidRPr="00813D19">
        <w:rPr>
          <w:lang w:val="en-US"/>
        </w:rPr>
        <w:t xml:space="preserve">could </w:t>
      </w:r>
      <w:r w:rsidR="00402FBB" w:rsidRPr="00813D19">
        <w:rPr>
          <w:lang w:val="en-US"/>
        </w:rPr>
        <w:t xml:space="preserve">be </w:t>
      </w:r>
      <w:r w:rsidR="0029190E" w:rsidRPr="00813D19">
        <w:rPr>
          <w:lang w:val="en-US"/>
        </w:rPr>
        <w:t>allay</w:t>
      </w:r>
      <w:r w:rsidR="00402FBB" w:rsidRPr="00813D19">
        <w:rPr>
          <w:lang w:val="en-US"/>
        </w:rPr>
        <w:t>ed</w:t>
      </w:r>
      <w:r w:rsidR="0029190E" w:rsidRPr="00813D19">
        <w:rPr>
          <w:lang w:val="en-US"/>
        </w:rPr>
        <w:t xml:space="preserve"> on the </w:t>
      </w:r>
      <w:r w:rsidR="0063135F" w:rsidRPr="00813D19">
        <w:rPr>
          <w:lang w:val="en-US"/>
        </w:rPr>
        <w:t>two points raised</w:t>
      </w:r>
      <w:r w:rsidR="0029190E" w:rsidRPr="00813D19">
        <w:rPr>
          <w:lang w:val="en-US"/>
        </w:rPr>
        <w:t xml:space="preserve"> earlier</w:t>
      </w:r>
      <w:r w:rsidR="0063135F" w:rsidRPr="00813D19">
        <w:rPr>
          <w:lang w:val="en-US"/>
        </w:rPr>
        <w:t xml:space="preserve">, </w:t>
      </w:r>
      <w:r w:rsidR="0029190E" w:rsidRPr="00813D19">
        <w:rPr>
          <w:lang w:val="en-US"/>
        </w:rPr>
        <w:t xml:space="preserve">that is, on </w:t>
      </w:r>
      <w:r w:rsidR="0063135F" w:rsidRPr="00813D19">
        <w:rPr>
          <w:lang w:val="en-US"/>
        </w:rPr>
        <w:t xml:space="preserve">the scope of application and the </w:t>
      </w:r>
      <w:r w:rsidR="0029190E" w:rsidRPr="00813D19">
        <w:rPr>
          <w:lang w:val="en-US"/>
        </w:rPr>
        <w:t>need to settle</w:t>
      </w:r>
      <w:r w:rsidR="0063135F" w:rsidRPr="00813D19">
        <w:rPr>
          <w:lang w:val="en-US"/>
        </w:rPr>
        <w:t xml:space="preserve"> the </w:t>
      </w:r>
      <w:r w:rsidR="00402FBB" w:rsidRPr="00813D19">
        <w:rPr>
          <w:lang w:val="en-US"/>
        </w:rPr>
        <w:t xml:space="preserve">legal </w:t>
      </w:r>
      <w:r w:rsidR="0063135F" w:rsidRPr="00813D19">
        <w:rPr>
          <w:lang w:val="en-US"/>
        </w:rPr>
        <w:t xml:space="preserve">ambiguity </w:t>
      </w:r>
      <w:r w:rsidR="0029190E" w:rsidRPr="00813D19">
        <w:rPr>
          <w:lang w:val="en-US"/>
        </w:rPr>
        <w:t>at the earliest possible time</w:t>
      </w:r>
      <w:r w:rsidR="0063135F" w:rsidRPr="00813D19">
        <w:rPr>
          <w:lang w:val="en-US"/>
        </w:rPr>
        <w:t xml:space="preserve">, </w:t>
      </w:r>
      <w:r w:rsidR="0029190E" w:rsidRPr="00813D19">
        <w:rPr>
          <w:lang w:val="en-US"/>
        </w:rPr>
        <w:t xml:space="preserve">i.e. by </w:t>
      </w:r>
      <w:r w:rsidR="0063135F" w:rsidRPr="00813D19">
        <w:rPr>
          <w:lang w:val="en-US"/>
        </w:rPr>
        <w:t xml:space="preserve">the next General Assembly in 2020. </w:t>
      </w:r>
      <w:r w:rsidR="00402FBB" w:rsidRPr="00813D19">
        <w:rPr>
          <w:lang w:val="en-US"/>
        </w:rPr>
        <w:t xml:space="preserve">The delegation </w:t>
      </w:r>
      <w:r w:rsidR="0029190E" w:rsidRPr="00813D19">
        <w:rPr>
          <w:lang w:val="en-US"/>
        </w:rPr>
        <w:t xml:space="preserve">was </w:t>
      </w:r>
      <w:r w:rsidR="00402FBB" w:rsidRPr="00813D19">
        <w:rPr>
          <w:lang w:val="en-US"/>
        </w:rPr>
        <w:t>thus ready to support the proposal if these points were properly addressed.</w:t>
      </w:r>
    </w:p>
    <w:p w14:paraId="20046BF4" w14:textId="79C60A85" w:rsidR="00F918DA" w:rsidRPr="00813D19" w:rsidRDefault="00F918DA" w:rsidP="0029190E">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63135F" w:rsidRPr="00813D19">
        <w:rPr>
          <w:b/>
          <w:color w:val="000000" w:themeColor="text1"/>
          <w:lang w:val="en-US"/>
        </w:rPr>
        <w:t xml:space="preserve"> </w:t>
      </w:r>
      <w:r w:rsidR="0063135F" w:rsidRPr="00813D19">
        <w:rPr>
          <w:lang w:val="en-US"/>
        </w:rPr>
        <w:t>thank</w:t>
      </w:r>
      <w:r w:rsidR="00245B32" w:rsidRPr="00813D19">
        <w:rPr>
          <w:lang w:val="en-US"/>
        </w:rPr>
        <w:t>ed</w:t>
      </w:r>
      <w:r w:rsidR="0063135F" w:rsidRPr="00813D19">
        <w:rPr>
          <w:lang w:val="en-US"/>
        </w:rPr>
        <w:t xml:space="preserve"> Japan for </w:t>
      </w:r>
      <w:r w:rsidR="00245B32" w:rsidRPr="00813D19">
        <w:rPr>
          <w:lang w:val="en-US"/>
        </w:rPr>
        <w:t xml:space="preserve">its clear </w:t>
      </w:r>
      <w:r w:rsidR="00402FBB" w:rsidRPr="00813D19">
        <w:rPr>
          <w:lang w:val="en-US"/>
        </w:rPr>
        <w:t xml:space="preserve">and understandable </w:t>
      </w:r>
      <w:r w:rsidR="00245B32" w:rsidRPr="00813D19">
        <w:rPr>
          <w:lang w:val="en-US"/>
        </w:rPr>
        <w:t>position, adding that</w:t>
      </w:r>
      <w:r w:rsidR="0063135F" w:rsidRPr="00813D19">
        <w:rPr>
          <w:lang w:val="en-US"/>
        </w:rPr>
        <w:t xml:space="preserve"> all </w:t>
      </w:r>
      <w:r w:rsidR="00245B32" w:rsidRPr="00813D19">
        <w:rPr>
          <w:lang w:val="en-US"/>
        </w:rPr>
        <w:t xml:space="preserve">the Members </w:t>
      </w:r>
      <w:r w:rsidR="0063135F" w:rsidRPr="00813D19">
        <w:rPr>
          <w:lang w:val="en-US"/>
        </w:rPr>
        <w:t xml:space="preserve">of </w:t>
      </w:r>
      <w:r w:rsidR="00245B32" w:rsidRPr="00813D19">
        <w:rPr>
          <w:lang w:val="en-US"/>
        </w:rPr>
        <w:t xml:space="preserve">the Committee </w:t>
      </w:r>
      <w:r w:rsidR="0063135F" w:rsidRPr="00813D19">
        <w:rPr>
          <w:lang w:val="en-US"/>
        </w:rPr>
        <w:t>share</w:t>
      </w:r>
      <w:r w:rsidR="00245B32" w:rsidRPr="00813D19">
        <w:rPr>
          <w:lang w:val="en-US"/>
        </w:rPr>
        <w:t>d</w:t>
      </w:r>
      <w:r w:rsidR="0063135F" w:rsidRPr="00813D19">
        <w:rPr>
          <w:lang w:val="en-US"/>
        </w:rPr>
        <w:t xml:space="preserve"> the concerns raised by China</w:t>
      </w:r>
      <w:r w:rsidR="00402FBB" w:rsidRPr="00813D19">
        <w:rPr>
          <w:lang w:val="en-US"/>
        </w:rPr>
        <w:t xml:space="preserve">. However, </w:t>
      </w:r>
      <w:r w:rsidR="00245B32" w:rsidRPr="00813D19">
        <w:rPr>
          <w:lang w:val="en-US"/>
        </w:rPr>
        <w:t xml:space="preserve">it was </w:t>
      </w:r>
      <w:r w:rsidR="0063135F" w:rsidRPr="00813D19">
        <w:rPr>
          <w:lang w:val="en-US"/>
        </w:rPr>
        <w:t>u</w:t>
      </w:r>
      <w:r w:rsidR="00245B32" w:rsidRPr="00813D19">
        <w:rPr>
          <w:lang w:val="en-US"/>
        </w:rPr>
        <w:t>nderstood</w:t>
      </w:r>
      <w:r w:rsidR="0063135F" w:rsidRPr="00813D19">
        <w:rPr>
          <w:lang w:val="en-US"/>
        </w:rPr>
        <w:t xml:space="preserve"> that </w:t>
      </w:r>
      <w:r w:rsidR="00402FBB" w:rsidRPr="00813D19">
        <w:rPr>
          <w:lang w:val="en-US"/>
        </w:rPr>
        <w:t xml:space="preserve">the proposal </w:t>
      </w:r>
      <w:r w:rsidR="00245B32" w:rsidRPr="00813D19">
        <w:rPr>
          <w:lang w:val="en-US"/>
        </w:rPr>
        <w:t xml:space="preserve">was </w:t>
      </w:r>
      <w:r w:rsidR="0063135F" w:rsidRPr="00813D19">
        <w:rPr>
          <w:lang w:val="en-US"/>
        </w:rPr>
        <w:t>exception</w:t>
      </w:r>
      <w:r w:rsidR="00245B32" w:rsidRPr="00813D19">
        <w:rPr>
          <w:lang w:val="en-US"/>
        </w:rPr>
        <w:t>al and experimental, which meant</w:t>
      </w:r>
      <w:r w:rsidR="0063135F" w:rsidRPr="00813D19">
        <w:rPr>
          <w:lang w:val="en-US"/>
        </w:rPr>
        <w:t xml:space="preserve"> </w:t>
      </w:r>
      <w:r w:rsidR="00245B32" w:rsidRPr="00813D19">
        <w:rPr>
          <w:lang w:val="en-US"/>
        </w:rPr>
        <w:t xml:space="preserve">that it did not </w:t>
      </w:r>
      <w:r w:rsidR="0063135F" w:rsidRPr="00813D19">
        <w:rPr>
          <w:lang w:val="en-US"/>
        </w:rPr>
        <w:t xml:space="preserve">comply with the provisions of the Operational Directives. </w:t>
      </w:r>
      <w:r w:rsidR="000E1A67" w:rsidRPr="00813D19">
        <w:rPr>
          <w:lang w:val="en-US"/>
        </w:rPr>
        <w:t xml:space="preserve">It was known that the </w:t>
      </w:r>
      <w:r w:rsidR="00402FBB" w:rsidRPr="00813D19">
        <w:rPr>
          <w:lang w:val="en-US"/>
        </w:rPr>
        <w:t xml:space="preserve">General Assembly adopts the </w:t>
      </w:r>
      <w:r w:rsidR="000E1A67" w:rsidRPr="00813D19">
        <w:rPr>
          <w:lang w:val="en-US"/>
        </w:rPr>
        <w:t>Operational Directives</w:t>
      </w:r>
      <w:r w:rsidR="00402FBB" w:rsidRPr="00813D19">
        <w:rPr>
          <w:lang w:val="en-US"/>
        </w:rPr>
        <w:t>,</w:t>
      </w:r>
      <w:r w:rsidR="0063135F" w:rsidRPr="00813D19">
        <w:rPr>
          <w:lang w:val="en-US"/>
        </w:rPr>
        <w:t xml:space="preserve"> but </w:t>
      </w:r>
      <w:r w:rsidR="000E1A67" w:rsidRPr="00813D19">
        <w:rPr>
          <w:lang w:val="en-US"/>
        </w:rPr>
        <w:t xml:space="preserve">it </w:t>
      </w:r>
      <w:r w:rsidR="00402FBB" w:rsidRPr="00813D19">
        <w:rPr>
          <w:lang w:val="en-US"/>
        </w:rPr>
        <w:t xml:space="preserve">also </w:t>
      </w:r>
      <w:r w:rsidR="000E1A67" w:rsidRPr="00813D19">
        <w:rPr>
          <w:lang w:val="en-US"/>
        </w:rPr>
        <w:t xml:space="preserve">accepted </w:t>
      </w:r>
      <w:r w:rsidR="0063135F" w:rsidRPr="00813D19">
        <w:rPr>
          <w:lang w:val="en-US"/>
        </w:rPr>
        <w:t>exceptions</w:t>
      </w:r>
      <w:r w:rsidR="000E1A67" w:rsidRPr="00813D19">
        <w:rPr>
          <w:lang w:val="en-US"/>
        </w:rPr>
        <w:t xml:space="preserve">. Thus, at </w:t>
      </w:r>
      <w:r w:rsidR="0063135F" w:rsidRPr="00813D19">
        <w:rPr>
          <w:lang w:val="en-US"/>
        </w:rPr>
        <w:t>this stage</w:t>
      </w:r>
      <w:r w:rsidR="000E1A67" w:rsidRPr="00813D19">
        <w:rPr>
          <w:lang w:val="en-US"/>
        </w:rPr>
        <w:t>—</w:t>
      </w:r>
      <w:r w:rsidR="0063135F" w:rsidRPr="00813D19">
        <w:rPr>
          <w:lang w:val="en-US"/>
        </w:rPr>
        <w:t>and after hearing all the Members supporting this mechanism</w:t>
      </w:r>
      <w:r w:rsidR="000E1A67" w:rsidRPr="00813D19">
        <w:rPr>
          <w:lang w:val="en-US"/>
        </w:rPr>
        <w:t xml:space="preserve">—the delegation </w:t>
      </w:r>
      <w:r w:rsidR="00402FBB" w:rsidRPr="00813D19">
        <w:rPr>
          <w:lang w:val="en-US"/>
        </w:rPr>
        <w:t>proposed this</w:t>
      </w:r>
      <w:r w:rsidR="0063135F" w:rsidRPr="00813D19">
        <w:rPr>
          <w:lang w:val="en-US"/>
        </w:rPr>
        <w:t xml:space="preserve"> second phase </w:t>
      </w:r>
      <w:r w:rsidR="00402FBB" w:rsidRPr="00813D19">
        <w:rPr>
          <w:lang w:val="en-US"/>
        </w:rPr>
        <w:t xml:space="preserve">so that it did </w:t>
      </w:r>
      <w:r w:rsidR="0063135F" w:rsidRPr="00813D19">
        <w:rPr>
          <w:lang w:val="en-US"/>
        </w:rPr>
        <w:t xml:space="preserve">not </w:t>
      </w:r>
      <w:r w:rsidR="00402FBB" w:rsidRPr="00813D19">
        <w:rPr>
          <w:lang w:val="en-US"/>
        </w:rPr>
        <w:t xml:space="preserve">have to </w:t>
      </w:r>
      <w:r w:rsidR="000E1A67" w:rsidRPr="00813D19">
        <w:rPr>
          <w:lang w:val="en-US"/>
        </w:rPr>
        <w:t xml:space="preserve">repeat </w:t>
      </w:r>
      <w:r w:rsidR="0063135F" w:rsidRPr="00813D19">
        <w:rPr>
          <w:lang w:val="en-US"/>
        </w:rPr>
        <w:t xml:space="preserve">this downstream procedure. In any </w:t>
      </w:r>
      <w:r w:rsidR="00402FBB" w:rsidRPr="00813D19">
        <w:rPr>
          <w:lang w:val="en-US"/>
        </w:rPr>
        <w:t>event</w:t>
      </w:r>
      <w:r w:rsidR="000E1A67" w:rsidRPr="00813D19">
        <w:rPr>
          <w:lang w:val="en-US"/>
        </w:rPr>
        <w:t>,</w:t>
      </w:r>
      <w:r w:rsidR="0063135F" w:rsidRPr="00813D19">
        <w:rPr>
          <w:lang w:val="en-US"/>
        </w:rPr>
        <w:t xml:space="preserve"> after </w:t>
      </w:r>
      <w:r w:rsidR="00402FBB" w:rsidRPr="00813D19">
        <w:rPr>
          <w:lang w:val="en-US"/>
        </w:rPr>
        <w:t>experimenting</w:t>
      </w:r>
      <w:r w:rsidR="0063135F" w:rsidRPr="00813D19">
        <w:rPr>
          <w:lang w:val="en-US"/>
        </w:rPr>
        <w:t xml:space="preserve"> with these two procedures</w:t>
      </w:r>
      <w:r w:rsidR="000E1A67" w:rsidRPr="00813D19">
        <w:rPr>
          <w:lang w:val="en-US"/>
        </w:rPr>
        <w:t xml:space="preserve">, the Committee would return </w:t>
      </w:r>
      <w:r w:rsidR="0063135F" w:rsidRPr="00813D19">
        <w:rPr>
          <w:lang w:val="en-US"/>
        </w:rPr>
        <w:t xml:space="preserve">to the General Assembly and </w:t>
      </w:r>
      <w:r w:rsidR="00402FBB" w:rsidRPr="00813D19">
        <w:rPr>
          <w:lang w:val="en-US"/>
        </w:rPr>
        <w:t xml:space="preserve">remain </w:t>
      </w:r>
      <w:r w:rsidR="0063135F" w:rsidRPr="00813D19">
        <w:rPr>
          <w:lang w:val="en-US"/>
        </w:rPr>
        <w:t xml:space="preserve">accountable </w:t>
      </w:r>
      <w:r w:rsidR="000E1A67" w:rsidRPr="00813D19">
        <w:rPr>
          <w:lang w:val="en-US"/>
        </w:rPr>
        <w:t xml:space="preserve">for its decision. The delegation did not believe that </w:t>
      </w:r>
      <w:r w:rsidR="0063135F" w:rsidRPr="00813D19">
        <w:rPr>
          <w:lang w:val="en-US"/>
        </w:rPr>
        <w:t xml:space="preserve">the General Assembly would </w:t>
      </w:r>
      <w:r w:rsidR="00252E38" w:rsidRPr="00813D19">
        <w:rPr>
          <w:lang w:val="en-US"/>
        </w:rPr>
        <w:t>solidly oppose</w:t>
      </w:r>
      <w:r w:rsidR="000E1A67" w:rsidRPr="00813D19">
        <w:rPr>
          <w:lang w:val="en-US"/>
        </w:rPr>
        <w:t>,</w:t>
      </w:r>
      <w:r w:rsidR="0063135F" w:rsidRPr="00813D19">
        <w:rPr>
          <w:lang w:val="en-US"/>
        </w:rPr>
        <w:t xml:space="preserve"> </w:t>
      </w:r>
      <w:r w:rsidR="00252E38" w:rsidRPr="00813D19">
        <w:rPr>
          <w:lang w:val="en-US"/>
        </w:rPr>
        <w:t xml:space="preserve">particularly </w:t>
      </w:r>
      <w:r w:rsidR="0063135F" w:rsidRPr="00813D19">
        <w:rPr>
          <w:lang w:val="en-US"/>
        </w:rPr>
        <w:t xml:space="preserve">if </w:t>
      </w:r>
      <w:r w:rsidR="000E1A67" w:rsidRPr="00813D19">
        <w:rPr>
          <w:lang w:val="en-US"/>
        </w:rPr>
        <w:t xml:space="preserve">the </w:t>
      </w:r>
      <w:r w:rsidR="0063135F" w:rsidRPr="00813D19">
        <w:rPr>
          <w:lang w:val="en-US"/>
        </w:rPr>
        <w:t xml:space="preserve">positive outcome of these two procedures </w:t>
      </w:r>
      <w:r w:rsidR="000E1A67" w:rsidRPr="00813D19">
        <w:rPr>
          <w:lang w:val="en-US"/>
        </w:rPr>
        <w:t xml:space="preserve">would provide further </w:t>
      </w:r>
      <w:r w:rsidR="0063135F" w:rsidRPr="00813D19">
        <w:rPr>
          <w:lang w:val="en-US"/>
        </w:rPr>
        <w:t>reflect</w:t>
      </w:r>
      <w:r w:rsidR="000E1A67" w:rsidRPr="00813D19">
        <w:rPr>
          <w:lang w:val="en-US"/>
        </w:rPr>
        <w:t>ion</w:t>
      </w:r>
      <w:r w:rsidR="0063135F" w:rsidRPr="00813D19">
        <w:rPr>
          <w:lang w:val="en-US"/>
        </w:rPr>
        <w:t xml:space="preserve"> on this mechanism</w:t>
      </w:r>
      <w:r w:rsidR="000E1A67" w:rsidRPr="00813D19">
        <w:rPr>
          <w:lang w:val="en-US"/>
        </w:rPr>
        <w:t xml:space="preserve">. In addition, </w:t>
      </w:r>
      <w:r w:rsidR="0063135F" w:rsidRPr="00813D19">
        <w:rPr>
          <w:lang w:val="en-US"/>
        </w:rPr>
        <w:t xml:space="preserve">the amendments to the Operational </w:t>
      </w:r>
      <w:r w:rsidR="000E1A67" w:rsidRPr="00813D19">
        <w:rPr>
          <w:lang w:val="en-US"/>
        </w:rPr>
        <w:t>Directives,</w:t>
      </w:r>
      <w:r w:rsidR="0063135F" w:rsidRPr="00813D19">
        <w:rPr>
          <w:lang w:val="en-US"/>
        </w:rPr>
        <w:t xml:space="preserve"> as mentioned by Japan</w:t>
      </w:r>
      <w:r w:rsidR="000E1A67" w:rsidRPr="00813D19">
        <w:rPr>
          <w:lang w:val="en-US"/>
        </w:rPr>
        <w:t xml:space="preserve">, could be adopted </w:t>
      </w:r>
      <w:r w:rsidR="0063135F" w:rsidRPr="00813D19">
        <w:rPr>
          <w:lang w:val="en-US"/>
        </w:rPr>
        <w:t>at the next General Assembly</w:t>
      </w:r>
      <w:r w:rsidR="00A021DB">
        <w:rPr>
          <w:lang w:val="en-US"/>
        </w:rPr>
        <w:t>,</w:t>
      </w:r>
      <w:r w:rsidR="00252E38" w:rsidRPr="00813D19">
        <w:rPr>
          <w:lang w:val="en-US"/>
        </w:rPr>
        <w:t xml:space="preserve"> such that </w:t>
      </w:r>
      <w:r w:rsidR="000E1A67" w:rsidRPr="00813D19">
        <w:rPr>
          <w:lang w:val="en-US"/>
        </w:rPr>
        <w:t xml:space="preserve">this </w:t>
      </w:r>
      <w:r w:rsidR="0063135F" w:rsidRPr="00813D19">
        <w:rPr>
          <w:lang w:val="en-US"/>
        </w:rPr>
        <w:t xml:space="preserve">experiment </w:t>
      </w:r>
      <w:r w:rsidR="00A021DB">
        <w:rPr>
          <w:lang w:val="en-US"/>
        </w:rPr>
        <w:t>would</w:t>
      </w:r>
      <w:r w:rsidR="00A021DB" w:rsidRPr="00813D19">
        <w:rPr>
          <w:lang w:val="en-US"/>
        </w:rPr>
        <w:t xml:space="preserve"> </w:t>
      </w:r>
      <w:r w:rsidR="000E1A67" w:rsidRPr="00813D19">
        <w:rPr>
          <w:lang w:val="en-US"/>
        </w:rPr>
        <w:t xml:space="preserve">determine the </w:t>
      </w:r>
      <w:r w:rsidR="0063135F" w:rsidRPr="00813D19">
        <w:rPr>
          <w:lang w:val="en-US"/>
        </w:rPr>
        <w:t xml:space="preserve">positive </w:t>
      </w:r>
      <w:r w:rsidR="000E1A67" w:rsidRPr="00813D19">
        <w:rPr>
          <w:lang w:val="en-US"/>
        </w:rPr>
        <w:t xml:space="preserve">and </w:t>
      </w:r>
      <w:r w:rsidR="0063135F" w:rsidRPr="00813D19">
        <w:rPr>
          <w:lang w:val="en-US"/>
        </w:rPr>
        <w:t xml:space="preserve">negative </w:t>
      </w:r>
      <w:r w:rsidR="000E1A67" w:rsidRPr="00813D19">
        <w:rPr>
          <w:lang w:val="en-US"/>
        </w:rPr>
        <w:t xml:space="preserve">points that could </w:t>
      </w:r>
      <w:r w:rsidR="0063135F" w:rsidRPr="00813D19">
        <w:rPr>
          <w:lang w:val="en-US"/>
        </w:rPr>
        <w:t xml:space="preserve">be </w:t>
      </w:r>
      <w:r w:rsidR="00252E38" w:rsidRPr="00813D19">
        <w:rPr>
          <w:lang w:val="en-US"/>
        </w:rPr>
        <w:t xml:space="preserve">adjusted </w:t>
      </w:r>
      <w:r w:rsidR="000E1A67" w:rsidRPr="00813D19">
        <w:rPr>
          <w:lang w:val="en-US"/>
        </w:rPr>
        <w:t>moving forward</w:t>
      </w:r>
      <w:r w:rsidR="00252E38" w:rsidRPr="00813D19">
        <w:rPr>
          <w:lang w:val="en-US"/>
        </w:rPr>
        <w:t xml:space="preserve">. Moreover, </w:t>
      </w:r>
      <w:r w:rsidR="0063135F" w:rsidRPr="00813D19">
        <w:rPr>
          <w:lang w:val="en-US"/>
        </w:rPr>
        <w:t xml:space="preserve">if </w:t>
      </w:r>
      <w:r w:rsidR="00252E38" w:rsidRPr="00813D19">
        <w:rPr>
          <w:lang w:val="en-US"/>
        </w:rPr>
        <w:t xml:space="preserve">the measures proved insufficient, </w:t>
      </w:r>
      <w:r w:rsidR="000E1A67" w:rsidRPr="00813D19">
        <w:rPr>
          <w:lang w:val="en-US"/>
        </w:rPr>
        <w:t xml:space="preserve">the Committee </w:t>
      </w:r>
      <w:r w:rsidR="00252E38" w:rsidRPr="00813D19">
        <w:rPr>
          <w:lang w:val="en-US"/>
        </w:rPr>
        <w:t xml:space="preserve">would </w:t>
      </w:r>
      <w:r w:rsidR="0063135F" w:rsidRPr="00813D19">
        <w:rPr>
          <w:lang w:val="en-US"/>
        </w:rPr>
        <w:t xml:space="preserve">wait until </w:t>
      </w:r>
      <w:r w:rsidR="00DD4E22">
        <w:rPr>
          <w:lang w:val="en-US"/>
        </w:rPr>
        <w:t>the following General Assembly.</w:t>
      </w:r>
    </w:p>
    <w:p w14:paraId="325D5752" w14:textId="59840CFF" w:rsidR="00F918DA" w:rsidRPr="00813D19" w:rsidRDefault="000D7B6A"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Austria</w:t>
      </w:r>
      <w:r w:rsidR="0063135F" w:rsidRPr="00813D19">
        <w:rPr>
          <w:b/>
          <w:color w:val="000000" w:themeColor="text1"/>
          <w:lang w:val="en-US"/>
        </w:rPr>
        <w:t xml:space="preserve"> </w:t>
      </w:r>
      <w:r w:rsidR="00252E38" w:rsidRPr="00813D19">
        <w:rPr>
          <w:lang w:val="en-US"/>
        </w:rPr>
        <w:t xml:space="preserve">remarked </w:t>
      </w:r>
      <w:r w:rsidR="0063135F" w:rsidRPr="00813D19">
        <w:rPr>
          <w:lang w:val="en-US"/>
        </w:rPr>
        <w:t xml:space="preserve">that the discussion </w:t>
      </w:r>
      <w:r w:rsidR="00F35BF1" w:rsidRPr="00813D19">
        <w:rPr>
          <w:lang w:val="en-US"/>
        </w:rPr>
        <w:t xml:space="preserve">over the last few </w:t>
      </w:r>
      <w:r w:rsidR="0063135F" w:rsidRPr="00813D19">
        <w:rPr>
          <w:lang w:val="en-US"/>
        </w:rPr>
        <w:t xml:space="preserve">days </w:t>
      </w:r>
      <w:r w:rsidR="00F35BF1" w:rsidRPr="00813D19">
        <w:rPr>
          <w:lang w:val="en-US"/>
        </w:rPr>
        <w:t xml:space="preserve">had </w:t>
      </w:r>
      <w:r w:rsidR="0063135F" w:rsidRPr="00813D19">
        <w:rPr>
          <w:lang w:val="en-US"/>
        </w:rPr>
        <w:t>shown a need for dialogue and reflection on the listing mechanism</w:t>
      </w:r>
      <w:r w:rsidR="00F35BF1" w:rsidRPr="00813D19">
        <w:rPr>
          <w:lang w:val="en-US"/>
        </w:rPr>
        <w:t>,</w:t>
      </w:r>
      <w:r w:rsidR="0063135F" w:rsidRPr="00813D19">
        <w:rPr>
          <w:lang w:val="en-US"/>
        </w:rPr>
        <w:t xml:space="preserve"> which </w:t>
      </w:r>
      <w:r w:rsidR="00F35BF1" w:rsidRPr="00813D19">
        <w:rPr>
          <w:lang w:val="en-US"/>
        </w:rPr>
        <w:t>it fully supported</w:t>
      </w:r>
      <w:r w:rsidR="0063135F" w:rsidRPr="00813D19">
        <w:rPr>
          <w:lang w:val="en-US"/>
        </w:rPr>
        <w:t xml:space="preserve">. </w:t>
      </w:r>
      <w:r w:rsidR="00F35BF1" w:rsidRPr="00813D19">
        <w:rPr>
          <w:lang w:val="en-US"/>
        </w:rPr>
        <w:t xml:space="preserve">It associated with the </w:t>
      </w:r>
      <w:r w:rsidR="00252E38" w:rsidRPr="00813D19">
        <w:rPr>
          <w:lang w:val="en-US"/>
        </w:rPr>
        <w:t xml:space="preserve">issues </w:t>
      </w:r>
      <w:r w:rsidR="0063135F" w:rsidRPr="00813D19">
        <w:rPr>
          <w:lang w:val="en-US"/>
        </w:rPr>
        <w:t>raised</w:t>
      </w:r>
      <w:r w:rsidR="00F35BF1" w:rsidRPr="00813D19">
        <w:rPr>
          <w:lang w:val="en-US"/>
        </w:rPr>
        <w:t xml:space="preserve">, </w:t>
      </w:r>
      <w:r w:rsidR="000B5524" w:rsidRPr="00813D19">
        <w:rPr>
          <w:lang w:val="en-US"/>
        </w:rPr>
        <w:t xml:space="preserve">most </w:t>
      </w:r>
      <w:r w:rsidR="00252E38" w:rsidRPr="00813D19">
        <w:rPr>
          <w:lang w:val="en-US"/>
        </w:rPr>
        <w:t xml:space="preserve">notably </w:t>
      </w:r>
      <w:r w:rsidR="0063135F" w:rsidRPr="00813D19">
        <w:rPr>
          <w:lang w:val="en-US"/>
        </w:rPr>
        <w:t>concern</w:t>
      </w:r>
      <w:r w:rsidR="000B5524" w:rsidRPr="00813D19">
        <w:rPr>
          <w:lang w:val="en-US"/>
        </w:rPr>
        <w:t>ing</w:t>
      </w:r>
      <w:r w:rsidR="0063135F" w:rsidRPr="00813D19">
        <w:rPr>
          <w:lang w:val="en-US"/>
        </w:rPr>
        <w:t xml:space="preserve"> </w:t>
      </w:r>
      <w:r w:rsidR="00252E38" w:rsidRPr="00813D19">
        <w:rPr>
          <w:lang w:val="en-US"/>
        </w:rPr>
        <w:t xml:space="preserve">the Committee going beyond </w:t>
      </w:r>
      <w:r w:rsidR="002B0036" w:rsidRPr="00813D19">
        <w:rPr>
          <w:lang w:val="en-US"/>
        </w:rPr>
        <w:t>its functions</w:t>
      </w:r>
      <w:r w:rsidR="00563F56" w:rsidRPr="00813D19">
        <w:rPr>
          <w:lang w:val="en-US"/>
        </w:rPr>
        <w:t>,</w:t>
      </w:r>
      <w:r w:rsidR="0063135F" w:rsidRPr="00813D19">
        <w:rPr>
          <w:lang w:val="en-US"/>
        </w:rPr>
        <w:t xml:space="preserve"> as specified in Article 7</w:t>
      </w:r>
      <w:r w:rsidR="00563F56" w:rsidRPr="00813D19">
        <w:rPr>
          <w:lang w:val="en-US"/>
        </w:rPr>
        <w:t>,</w:t>
      </w:r>
      <w:r w:rsidR="0063135F" w:rsidRPr="00813D19">
        <w:rPr>
          <w:lang w:val="en-US"/>
        </w:rPr>
        <w:t xml:space="preserve"> </w:t>
      </w:r>
      <w:r w:rsidR="00563F56" w:rsidRPr="00813D19">
        <w:rPr>
          <w:lang w:val="en-US"/>
        </w:rPr>
        <w:t xml:space="preserve">as well as </w:t>
      </w:r>
      <w:r w:rsidR="0063135F" w:rsidRPr="00813D19">
        <w:rPr>
          <w:lang w:val="en-US"/>
        </w:rPr>
        <w:t>the implications for the Evaluation Body in terms of workload and organization</w:t>
      </w:r>
      <w:r w:rsidR="00563F56" w:rsidRPr="00813D19">
        <w:rPr>
          <w:lang w:val="en-US"/>
        </w:rPr>
        <w:t>. In this regard, it wished to hear the opinion of the Evaluation Body</w:t>
      </w:r>
      <w:r w:rsidR="0063135F" w:rsidRPr="00813D19">
        <w:rPr>
          <w:lang w:val="en-US"/>
        </w:rPr>
        <w:t xml:space="preserve">. </w:t>
      </w:r>
      <w:r w:rsidR="00563F56" w:rsidRPr="00813D19">
        <w:rPr>
          <w:lang w:val="en-US"/>
        </w:rPr>
        <w:t>I</w:t>
      </w:r>
      <w:r w:rsidR="0063135F" w:rsidRPr="00813D19">
        <w:rPr>
          <w:lang w:val="en-US"/>
        </w:rPr>
        <w:t xml:space="preserve">f </w:t>
      </w:r>
      <w:r w:rsidR="00E33794" w:rsidRPr="00813D19">
        <w:rPr>
          <w:lang w:val="en-US"/>
        </w:rPr>
        <w:t xml:space="preserve">the Committee had </w:t>
      </w:r>
      <w:r w:rsidR="0063135F" w:rsidRPr="00813D19">
        <w:rPr>
          <w:lang w:val="en-US"/>
        </w:rPr>
        <w:t xml:space="preserve">the mandate to assign these additional tasks </w:t>
      </w:r>
      <w:r w:rsidR="00E33794" w:rsidRPr="00813D19">
        <w:rPr>
          <w:lang w:val="en-US"/>
        </w:rPr>
        <w:t xml:space="preserve">then it </w:t>
      </w:r>
      <w:r w:rsidR="0063135F" w:rsidRPr="00813D19">
        <w:rPr>
          <w:lang w:val="en-US"/>
        </w:rPr>
        <w:t xml:space="preserve">could also ask for an extraordinary </w:t>
      </w:r>
      <w:r w:rsidR="00E33794" w:rsidRPr="00813D19">
        <w:rPr>
          <w:lang w:val="en-US"/>
        </w:rPr>
        <w:t xml:space="preserve">session of the General Assembly, offered by </w:t>
      </w:r>
      <w:r w:rsidR="0063135F" w:rsidRPr="00813D19">
        <w:rPr>
          <w:lang w:val="en-US"/>
        </w:rPr>
        <w:t xml:space="preserve">Article 4.2. </w:t>
      </w:r>
      <w:r w:rsidR="00E33794" w:rsidRPr="00813D19">
        <w:rPr>
          <w:lang w:val="en-US"/>
        </w:rPr>
        <w:t xml:space="preserve">The delegation </w:t>
      </w:r>
      <w:r w:rsidR="002B0036" w:rsidRPr="00813D19">
        <w:rPr>
          <w:lang w:val="en-US"/>
        </w:rPr>
        <w:t xml:space="preserve">would therefore </w:t>
      </w:r>
      <w:r w:rsidR="00E33794" w:rsidRPr="00813D19">
        <w:rPr>
          <w:lang w:val="en-US"/>
        </w:rPr>
        <w:t xml:space="preserve">only support the proposal if it </w:t>
      </w:r>
      <w:r w:rsidR="002B0036" w:rsidRPr="00813D19">
        <w:rPr>
          <w:lang w:val="en-US"/>
        </w:rPr>
        <w:t>fell within the legal framework that ensured</w:t>
      </w:r>
      <w:r w:rsidR="00E33794" w:rsidRPr="00813D19">
        <w:rPr>
          <w:lang w:val="en-US"/>
        </w:rPr>
        <w:t xml:space="preserve"> </w:t>
      </w:r>
      <w:r w:rsidR="002B0036" w:rsidRPr="00813D19">
        <w:rPr>
          <w:lang w:val="en-US"/>
        </w:rPr>
        <w:t xml:space="preserve">the legitimacy of the </w:t>
      </w:r>
      <w:r w:rsidR="0063135F" w:rsidRPr="00813D19">
        <w:rPr>
          <w:lang w:val="en-US"/>
        </w:rPr>
        <w:t>decision</w:t>
      </w:r>
      <w:r w:rsidR="002B0036" w:rsidRPr="00813D19">
        <w:rPr>
          <w:lang w:val="en-US"/>
        </w:rPr>
        <w:t xml:space="preserve">, adding that </w:t>
      </w:r>
      <w:r w:rsidR="00E33794" w:rsidRPr="00813D19">
        <w:rPr>
          <w:lang w:val="en-US"/>
        </w:rPr>
        <w:t xml:space="preserve">it would </w:t>
      </w:r>
      <w:r w:rsidR="002B0036" w:rsidRPr="00813D19">
        <w:rPr>
          <w:lang w:val="en-US"/>
        </w:rPr>
        <w:t xml:space="preserve">otherwise </w:t>
      </w:r>
      <w:r w:rsidR="00E33794" w:rsidRPr="00813D19">
        <w:rPr>
          <w:lang w:val="en-US"/>
        </w:rPr>
        <w:t xml:space="preserve">be very </w:t>
      </w:r>
      <w:r w:rsidR="002B0036" w:rsidRPr="00813D19">
        <w:rPr>
          <w:lang w:val="en-US"/>
        </w:rPr>
        <w:t>frustrating</w:t>
      </w:r>
      <w:r w:rsidR="00E33794" w:rsidRPr="00813D19">
        <w:rPr>
          <w:lang w:val="en-US"/>
        </w:rPr>
        <w:t xml:space="preserve"> </w:t>
      </w:r>
      <w:r w:rsidR="002B0036" w:rsidRPr="00813D19">
        <w:rPr>
          <w:lang w:val="en-US"/>
        </w:rPr>
        <w:t xml:space="preserve">to </w:t>
      </w:r>
      <w:r w:rsidR="0063135F" w:rsidRPr="00813D19">
        <w:rPr>
          <w:lang w:val="en-US"/>
        </w:rPr>
        <w:t xml:space="preserve">create a false expectation </w:t>
      </w:r>
      <w:r w:rsidR="002B0036" w:rsidRPr="00813D19">
        <w:rPr>
          <w:lang w:val="en-US"/>
        </w:rPr>
        <w:t xml:space="preserve">now for the communities concerned </w:t>
      </w:r>
      <w:r w:rsidR="0063135F" w:rsidRPr="00813D19">
        <w:rPr>
          <w:lang w:val="en-US"/>
        </w:rPr>
        <w:t xml:space="preserve">at a later stage. </w:t>
      </w:r>
      <w:r w:rsidR="009410B6" w:rsidRPr="00813D19">
        <w:rPr>
          <w:lang w:val="en-US"/>
        </w:rPr>
        <w:t xml:space="preserve">It </w:t>
      </w:r>
      <w:r w:rsidR="00E33794" w:rsidRPr="00813D19">
        <w:rPr>
          <w:lang w:val="en-US"/>
        </w:rPr>
        <w:t xml:space="preserve">also wished to know </w:t>
      </w:r>
      <w:r w:rsidR="008C7B0B" w:rsidRPr="00813D19">
        <w:rPr>
          <w:lang w:val="en-US"/>
        </w:rPr>
        <w:t>whether the Committee’s decision</w:t>
      </w:r>
      <w:r w:rsidR="0063135F" w:rsidRPr="00813D19">
        <w:rPr>
          <w:lang w:val="en-US"/>
        </w:rPr>
        <w:t xml:space="preserve"> now </w:t>
      </w:r>
      <w:r w:rsidR="009410B6" w:rsidRPr="00813D19">
        <w:rPr>
          <w:lang w:val="en-US"/>
        </w:rPr>
        <w:t xml:space="preserve">could be changed </w:t>
      </w:r>
      <w:r w:rsidR="002B0036" w:rsidRPr="00813D19">
        <w:rPr>
          <w:lang w:val="en-US"/>
        </w:rPr>
        <w:t xml:space="preserve">later due to </w:t>
      </w:r>
      <w:r w:rsidR="009410B6" w:rsidRPr="00813D19">
        <w:rPr>
          <w:lang w:val="en-US"/>
        </w:rPr>
        <w:t>its illegitimacy</w:t>
      </w:r>
      <w:r w:rsidR="00DD4E22">
        <w:rPr>
          <w:lang w:val="en-US"/>
        </w:rPr>
        <w:t>.</w:t>
      </w:r>
    </w:p>
    <w:p w14:paraId="0101C2D4" w14:textId="1EEF6B39" w:rsidR="00915BB9" w:rsidRPr="00813D19" w:rsidRDefault="000F1090"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Djibouti</w:t>
      </w:r>
      <w:r w:rsidR="0063135F" w:rsidRPr="00813D19">
        <w:rPr>
          <w:b/>
          <w:color w:val="000000" w:themeColor="text1"/>
          <w:lang w:val="en-US"/>
        </w:rPr>
        <w:t xml:space="preserve"> </w:t>
      </w:r>
      <w:r w:rsidR="00915BB9" w:rsidRPr="00813D19">
        <w:rPr>
          <w:color w:val="000000" w:themeColor="text1"/>
          <w:lang w:val="en-US"/>
        </w:rPr>
        <w:t>share</w:t>
      </w:r>
      <w:r w:rsidR="002B0036" w:rsidRPr="00813D19">
        <w:rPr>
          <w:color w:val="000000" w:themeColor="text1"/>
          <w:lang w:val="en-US"/>
        </w:rPr>
        <w:t>d</w:t>
      </w:r>
      <w:r w:rsidR="00915BB9" w:rsidRPr="00813D19">
        <w:rPr>
          <w:color w:val="000000" w:themeColor="text1"/>
          <w:lang w:val="en-US"/>
        </w:rPr>
        <w:t xml:space="preserve"> the same concerns as </w:t>
      </w:r>
      <w:r w:rsidR="002B0036" w:rsidRPr="00813D19">
        <w:rPr>
          <w:color w:val="000000" w:themeColor="text1"/>
          <w:lang w:val="en-US"/>
        </w:rPr>
        <w:t>Austria</w:t>
      </w:r>
      <w:r w:rsidR="00915BB9" w:rsidRPr="00813D19">
        <w:rPr>
          <w:color w:val="000000" w:themeColor="text1"/>
          <w:lang w:val="en-US"/>
        </w:rPr>
        <w:t xml:space="preserve"> on the legitimacy of this </w:t>
      </w:r>
      <w:r w:rsidR="002B0036" w:rsidRPr="00813D19">
        <w:rPr>
          <w:color w:val="000000" w:themeColor="text1"/>
          <w:lang w:val="en-US"/>
        </w:rPr>
        <w:t>procedure</w:t>
      </w:r>
      <w:r w:rsidR="00915BB9" w:rsidRPr="00813D19">
        <w:rPr>
          <w:color w:val="000000" w:themeColor="text1"/>
          <w:lang w:val="en-US"/>
        </w:rPr>
        <w:t xml:space="preserve">. </w:t>
      </w:r>
      <w:r w:rsidR="00A021DB" w:rsidRPr="00813D19">
        <w:rPr>
          <w:color w:val="000000" w:themeColor="text1"/>
          <w:lang w:val="en-US"/>
        </w:rPr>
        <w:t>I</w:t>
      </w:r>
      <w:r w:rsidR="00A021DB">
        <w:rPr>
          <w:color w:val="000000" w:themeColor="text1"/>
          <w:lang w:val="en-US"/>
        </w:rPr>
        <w:t>f</w:t>
      </w:r>
      <w:r w:rsidR="00A021DB" w:rsidRPr="00813D19">
        <w:rPr>
          <w:color w:val="000000" w:themeColor="text1"/>
          <w:lang w:val="en-US"/>
        </w:rPr>
        <w:t xml:space="preserve"> </w:t>
      </w:r>
      <w:r w:rsidR="002B0036" w:rsidRPr="00813D19">
        <w:rPr>
          <w:color w:val="000000" w:themeColor="text1"/>
          <w:lang w:val="en-US"/>
        </w:rPr>
        <w:t xml:space="preserve">the Committee </w:t>
      </w:r>
      <w:r w:rsidR="00A021DB" w:rsidRPr="00813D19">
        <w:rPr>
          <w:color w:val="000000" w:themeColor="text1"/>
          <w:lang w:val="en-US"/>
        </w:rPr>
        <w:t>w</w:t>
      </w:r>
      <w:r w:rsidR="00A021DB">
        <w:rPr>
          <w:color w:val="000000" w:themeColor="text1"/>
          <w:lang w:val="en-US"/>
        </w:rPr>
        <w:t>ere</w:t>
      </w:r>
      <w:r w:rsidR="00A021DB" w:rsidRPr="00813D19">
        <w:rPr>
          <w:color w:val="000000" w:themeColor="text1"/>
          <w:lang w:val="en-US"/>
        </w:rPr>
        <w:t xml:space="preserve"> </w:t>
      </w:r>
      <w:r w:rsidR="002B0036" w:rsidRPr="00813D19">
        <w:rPr>
          <w:color w:val="000000" w:themeColor="text1"/>
          <w:lang w:val="en-US"/>
        </w:rPr>
        <w:t>to carry out this experimental phase</w:t>
      </w:r>
      <w:r w:rsidR="00915BB9" w:rsidRPr="00813D19">
        <w:rPr>
          <w:color w:val="000000" w:themeColor="text1"/>
          <w:lang w:val="en-US"/>
        </w:rPr>
        <w:t xml:space="preserve">, </w:t>
      </w:r>
      <w:r w:rsidR="002B0036" w:rsidRPr="00813D19">
        <w:rPr>
          <w:color w:val="000000" w:themeColor="text1"/>
          <w:lang w:val="en-US"/>
        </w:rPr>
        <w:t xml:space="preserve">it wondered whether </w:t>
      </w:r>
      <w:r w:rsidR="00915BB9" w:rsidRPr="00813D19">
        <w:rPr>
          <w:color w:val="000000" w:themeColor="text1"/>
          <w:lang w:val="en-US"/>
        </w:rPr>
        <w:t xml:space="preserve">a similar situation </w:t>
      </w:r>
      <w:r w:rsidR="002B0036" w:rsidRPr="00813D19">
        <w:rPr>
          <w:color w:val="000000" w:themeColor="text1"/>
          <w:lang w:val="en-US"/>
        </w:rPr>
        <w:t>would arise</w:t>
      </w:r>
      <w:r w:rsidR="00915BB9" w:rsidRPr="00813D19">
        <w:rPr>
          <w:color w:val="000000" w:themeColor="text1"/>
          <w:lang w:val="en-US"/>
        </w:rPr>
        <w:t xml:space="preserve"> at the </w:t>
      </w:r>
      <w:r w:rsidR="00E6680C" w:rsidRPr="00813D19">
        <w:rPr>
          <w:color w:val="000000" w:themeColor="text1"/>
          <w:lang w:val="en-US"/>
        </w:rPr>
        <w:t xml:space="preserve">Committee’s </w:t>
      </w:r>
      <w:r w:rsidR="002B0036" w:rsidRPr="00813D19">
        <w:rPr>
          <w:color w:val="000000" w:themeColor="text1"/>
          <w:lang w:val="en-US"/>
        </w:rPr>
        <w:t xml:space="preserve">fourteenth </w:t>
      </w:r>
      <w:r w:rsidR="00915BB9" w:rsidRPr="00813D19">
        <w:rPr>
          <w:color w:val="000000" w:themeColor="text1"/>
          <w:lang w:val="en-US"/>
        </w:rPr>
        <w:t>session</w:t>
      </w:r>
      <w:r w:rsidR="002B0036" w:rsidRPr="00813D19">
        <w:rPr>
          <w:color w:val="000000" w:themeColor="text1"/>
          <w:lang w:val="en-US"/>
        </w:rPr>
        <w:t xml:space="preserve"> </w:t>
      </w:r>
      <w:r w:rsidR="00E6680C" w:rsidRPr="00813D19">
        <w:rPr>
          <w:color w:val="000000" w:themeColor="text1"/>
          <w:lang w:val="en-US"/>
        </w:rPr>
        <w:t xml:space="preserve">as the </w:t>
      </w:r>
      <w:r w:rsidR="002B0036" w:rsidRPr="00813D19">
        <w:rPr>
          <w:color w:val="000000" w:themeColor="text1"/>
          <w:lang w:val="en-US"/>
        </w:rPr>
        <w:t xml:space="preserve">precedent </w:t>
      </w:r>
      <w:r w:rsidR="00E6680C" w:rsidRPr="00813D19">
        <w:rPr>
          <w:color w:val="000000" w:themeColor="text1"/>
          <w:lang w:val="en-US"/>
        </w:rPr>
        <w:t>would have been created such that this phase would continue into the next General As</w:t>
      </w:r>
      <w:r w:rsidR="00DD4E22">
        <w:rPr>
          <w:color w:val="000000" w:themeColor="text1"/>
          <w:lang w:val="en-US"/>
        </w:rPr>
        <w:t>sembly.</w:t>
      </w:r>
    </w:p>
    <w:p w14:paraId="2F73AFE0" w14:textId="0CA85840" w:rsidR="00C66160" w:rsidRPr="00813D19" w:rsidRDefault="00C66160"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Pr="00813D19">
        <w:rPr>
          <w:color w:val="000000" w:themeColor="text1"/>
          <w:lang w:val="en-US"/>
        </w:rPr>
        <w:t>opened the floor to Observers.</w:t>
      </w:r>
    </w:p>
    <w:p w14:paraId="462C3C9A" w14:textId="1C5972FF" w:rsidR="001D49A9" w:rsidRPr="00813D19" w:rsidRDefault="00C66160"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Algeria</w:t>
      </w:r>
      <w:r w:rsidR="007D6F90" w:rsidRPr="00813D19">
        <w:rPr>
          <w:b/>
          <w:color w:val="000000" w:themeColor="text1"/>
          <w:lang w:val="en-US"/>
        </w:rPr>
        <w:t xml:space="preserve"> </w:t>
      </w:r>
      <w:r w:rsidR="001D49A9" w:rsidRPr="00813D19">
        <w:rPr>
          <w:color w:val="000000" w:themeColor="text1"/>
          <w:lang w:val="en-US"/>
        </w:rPr>
        <w:t>thank</w:t>
      </w:r>
      <w:r w:rsidR="009410B6" w:rsidRPr="00813D19">
        <w:rPr>
          <w:color w:val="000000" w:themeColor="text1"/>
          <w:lang w:val="en-US"/>
        </w:rPr>
        <w:t xml:space="preserve">ed the Chairperson </w:t>
      </w:r>
      <w:r w:rsidR="001D49A9" w:rsidRPr="00813D19">
        <w:rPr>
          <w:color w:val="000000" w:themeColor="text1"/>
          <w:lang w:val="en-US"/>
        </w:rPr>
        <w:t xml:space="preserve">for giving the floor to </w:t>
      </w:r>
      <w:r w:rsidR="009410B6" w:rsidRPr="00813D19">
        <w:rPr>
          <w:color w:val="000000" w:themeColor="text1"/>
          <w:lang w:val="en-US"/>
        </w:rPr>
        <w:t>O</w:t>
      </w:r>
      <w:r w:rsidR="001D49A9" w:rsidRPr="00813D19">
        <w:rPr>
          <w:color w:val="000000" w:themeColor="text1"/>
          <w:lang w:val="en-US"/>
        </w:rPr>
        <w:t>bservers</w:t>
      </w:r>
      <w:r w:rsidR="009410B6" w:rsidRPr="00813D19">
        <w:rPr>
          <w:color w:val="000000" w:themeColor="text1"/>
          <w:lang w:val="en-US"/>
        </w:rPr>
        <w:t>,</w:t>
      </w:r>
      <w:r w:rsidR="001D49A9" w:rsidRPr="00813D19">
        <w:rPr>
          <w:color w:val="000000" w:themeColor="text1"/>
          <w:lang w:val="en-US"/>
        </w:rPr>
        <w:t xml:space="preserve"> and for having indicated, </w:t>
      </w:r>
      <w:r w:rsidR="009410B6" w:rsidRPr="00813D19">
        <w:rPr>
          <w:color w:val="000000" w:themeColor="text1"/>
          <w:lang w:val="en-US"/>
        </w:rPr>
        <w:t xml:space="preserve">quite </w:t>
      </w:r>
      <w:r w:rsidR="001D49A9" w:rsidRPr="00813D19">
        <w:rPr>
          <w:color w:val="000000" w:themeColor="text1"/>
          <w:lang w:val="en-US"/>
        </w:rPr>
        <w:t xml:space="preserve">rightly, that the Committee </w:t>
      </w:r>
      <w:r w:rsidR="009410B6" w:rsidRPr="00813D19">
        <w:rPr>
          <w:color w:val="000000" w:themeColor="text1"/>
          <w:lang w:val="en-US"/>
        </w:rPr>
        <w:t>acts</w:t>
      </w:r>
      <w:r w:rsidR="001D49A9" w:rsidRPr="00813D19">
        <w:rPr>
          <w:color w:val="000000" w:themeColor="text1"/>
          <w:lang w:val="en-US"/>
        </w:rPr>
        <w:t xml:space="preserve"> on the mandate of the General Assembly. </w:t>
      </w:r>
      <w:r w:rsidR="009410B6" w:rsidRPr="00813D19">
        <w:rPr>
          <w:color w:val="000000" w:themeColor="text1"/>
          <w:lang w:val="en-US"/>
        </w:rPr>
        <w:t xml:space="preserve">Thus, in a decision of this </w:t>
      </w:r>
      <w:r w:rsidR="001D49A9" w:rsidRPr="00813D19">
        <w:rPr>
          <w:color w:val="000000" w:themeColor="text1"/>
          <w:lang w:val="en-US"/>
        </w:rPr>
        <w:t xml:space="preserve">type, all Member States </w:t>
      </w:r>
      <w:r w:rsidR="009410B6" w:rsidRPr="00813D19">
        <w:rPr>
          <w:color w:val="000000" w:themeColor="text1"/>
          <w:lang w:val="en-US"/>
        </w:rPr>
        <w:t xml:space="preserve">should offer </w:t>
      </w:r>
      <w:r w:rsidR="001D49A9" w:rsidRPr="00813D19">
        <w:rPr>
          <w:color w:val="000000" w:themeColor="text1"/>
          <w:lang w:val="en-US"/>
        </w:rPr>
        <w:t xml:space="preserve">their opinion and </w:t>
      </w:r>
      <w:r w:rsidR="009410B6" w:rsidRPr="00813D19">
        <w:rPr>
          <w:color w:val="000000" w:themeColor="text1"/>
          <w:lang w:val="en-US"/>
        </w:rPr>
        <w:t>remain well</w:t>
      </w:r>
      <w:r w:rsidR="00014A80">
        <w:rPr>
          <w:color w:val="000000" w:themeColor="text1"/>
          <w:lang w:val="en-US"/>
        </w:rPr>
        <w:t>-</w:t>
      </w:r>
      <w:r w:rsidR="001D49A9" w:rsidRPr="00813D19">
        <w:rPr>
          <w:color w:val="000000" w:themeColor="text1"/>
          <w:lang w:val="en-US"/>
        </w:rPr>
        <w:t xml:space="preserve">informed. </w:t>
      </w:r>
      <w:r w:rsidR="009410B6" w:rsidRPr="00813D19">
        <w:rPr>
          <w:color w:val="000000" w:themeColor="text1"/>
          <w:lang w:val="en-US"/>
        </w:rPr>
        <w:t xml:space="preserve">The delegation recalled that Algeria was </w:t>
      </w:r>
      <w:r w:rsidR="001D49A9" w:rsidRPr="00813D19">
        <w:rPr>
          <w:color w:val="000000" w:themeColor="text1"/>
          <w:lang w:val="en-US"/>
        </w:rPr>
        <w:t xml:space="preserve">one of the first delegations in Addis Ababa to call for </w:t>
      </w:r>
      <w:r w:rsidR="009410B6" w:rsidRPr="00813D19">
        <w:rPr>
          <w:color w:val="000000" w:themeColor="text1"/>
          <w:lang w:val="en-US"/>
        </w:rPr>
        <w:t>dialogue</w:t>
      </w:r>
      <w:r w:rsidR="001D49A9" w:rsidRPr="00813D19">
        <w:rPr>
          <w:color w:val="000000" w:themeColor="text1"/>
          <w:lang w:val="en-US"/>
        </w:rPr>
        <w:t xml:space="preserve">, but </w:t>
      </w:r>
      <w:r w:rsidR="009410B6" w:rsidRPr="00813D19">
        <w:rPr>
          <w:color w:val="000000" w:themeColor="text1"/>
          <w:lang w:val="en-US"/>
        </w:rPr>
        <w:t xml:space="preserve">it was </w:t>
      </w:r>
      <w:r w:rsidR="001D49A9" w:rsidRPr="00813D19">
        <w:rPr>
          <w:color w:val="000000" w:themeColor="text1"/>
          <w:lang w:val="en-US"/>
        </w:rPr>
        <w:t>also committed to the rules</w:t>
      </w:r>
      <w:r w:rsidR="00E6680C" w:rsidRPr="00813D19">
        <w:rPr>
          <w:color w:val="000000" w:themeColor="text1"/>
          <w:lang w:val="en-US"/>
        </w:rPr>
        <w:t>,</w:t>
      </w:r>
      <w:r w:rsidR="001D49A9" w:rsidRPr="00813D19">
        <w:rPr>
          <w:color w:val="000000" w:themeColor="text1"/>
          <w:lang w:val="en-US"/>
        </w:rPr>
        <w:t xml:space="preserve"> and especially to </w:t>
      </w:r>
      <w:r w:rsidR="009410B6" w:rsidRPr="00813D19">
        <w:rPr>
          <w:color w:val="000000" w:themeColor="text1"/>
          <w:lang w:val="en-US"/>
        </w:rPr>
        <w:t xml:space="preserve">the Convention. </w:t>
      </w:r>
      <w:r w:rsidR="00E6680C" w:rsidRPr="00813D19">
        <w:rPr>
          <w:color w:val="000000" w:themeColor="text1"/>
          <w:lang w:val="en-US"/>
        </w:rPr>
        <w:t xml:space="preserve">As </w:t>
      </w:r>
      <w:r w:rsidR="001D49A9" w:rsidRPr="00813D19">
        <w:rPr>
          <w:color w:val="000000" w:themeColor="text1"/>
          <w:lang w:val="en-US"/>
        </w:rPr>
        <w:t>the fi</w:t>
      </w:r>
      <w:r w:rsidR="00E6680C" w:rsidRPr="00813D19">
        <w:rPr>
          <w:color w:val="000000" w:themeColor="text1"/>
          <w:lang w:val="en-US"/>
        </w:rPr>
        <w:t xml:space="preserve">rst signatory of the Convention, Algeria </w:t>
      </w:r>
      <w:r w:rsidR="009410B6" w:rsidRPr="00813D19">
        <w:rPr>
          <w:color w:val="000000" w:themeColor="text1"/>
          <w:lang w:val="en-US"/>
        </w:rPr>
        <w:t>had</w:t>
      </w:r>
      <w:r w:rsidR="001D49A9" w:rsidRPr="00813D19">
        <w:rPr>
          <w:color w:val="000000" w:themeColor="text1"/>
          <w:lang w:val="en-US"/>
        </w:rPr>
        <w:t xml:space="preserve"> </w:t>
      </w:r>
      <w:r w:rsidR="00014A80" w:rsidRPr="00813D19">
        <w:rPr>
          <w:color w:val="000000" w:themeColor="text1"/>
          <w:lang w:val="en-US"/>
        </w:rPr>
        <w:t xml:space="preserve">more than once </w:t>
      </w:r>
      <w:r w:rsidR="009410B6" w:rsidRPr="00813D19">
        <w:rPr>
          <w:color w:val="000000" w:themeColor="text1"/>
          <w:lang w:val="en-US"/>
        </w:rPr>
        <w:t xml:space="preserve">shown </w:t>
      </w:r>
      <w:r w:rsidR="00E6680C" w:rsidRPr="00813D19">
        <w:rPr>
          <w:color w:val="000000" w:themeColor="text1"/>
          <w:lang w:val="en-US"/>
        </w:rPr>
        <w:t>its commitment to the</w:t>
      </w:r>
      <w:r w:rsidR="001D49A9" w:rsidRPr="00813D19">
        <w:rPr>
          <w:color w:val="000000" w:themeColor="text1"/>
          <w:lang w:val="en-US"/>
        </w:rPr>
        <w:t xml:space="preserve"> Committee</w:t>
      </w:r>
      <w:r w:rsidR="00E6680C" w:rsidRPr="00813D19">
        <w:rPr>
          <w:color w:val="000000" w:themeColor="text1"/>
          <w:lang w:val="en-US"/>
        </w:rPr>
        <w:t xml:space="preserve"> and </w:t>
      </w:r>
      <w:r w:rsidR="001D49A9" w:rsidRPr="00813D19">
        <w:rPr>
          <w:color w:val="000000" w:themeColor="text1"/>
          <w:lang w:val="en-US"/>
        </w:rPr>
        <w:t xml:space="preserve">to the Convention. </w:t>
      </w:r>
      <w:r w:rsidR="009410B6" w:rsidRPr="00813D19">
        <w:rPr>
          <w:color w:val="000000" w:themeColor="text1"/>
          <w:lang w:val="en-US"/>
        </w:rPr>
        <w:t xml:space="preserve">It had </w:t>
      </w:r>
      <w:r w:rsidR="001D49A9" w:rsidRPr="00813D19">
        <w:rPr>
          <w:color w:val="000000" w:themeColor="text1"/>
          <w:lang w:val="en-US"/>
        </w:rPr>
        <w:t>chaired the Draft</w:t>
      </w:r>
      <w:r w:rsidR="00E6680C" w:rsidRPr="00813D19">
        <w:rPr>
          <w:color w:val="000000" w:themeColor="text1"/>
          <w:lang w:val="en-US"/>
        </w:rPr>
        <w:t>ing Committee of the Convention</w:t>
      </w:r>
      <w:r w:rsidR="009410B6" w:rsidRPr="00813D19">
        <w:rPr>
          <w:color w:val="000000" w:themeColor="text1"/>
          <w:lang w:val="en-US"/>
        </w:rPr>
        <w:t xml:space="preserve"> and </w:t>
      </w:r>
      <w:r w:rsidR="001D49A9" w:rsidRPr="00813D19">
        <w:rPr>
          <w:color w:val="000000" w:themeColor="text1"/>
          <w:lang w:val="en-US"/>
        </w:rPr>
        <w:t xml:space="preserve">hosted </w:t>
      </w:r>
      <w:r w:rsidR="00E6680C" w:rsidRPr="00813D19">
        <w:rPr>
          <w:color w:val="000000" w:themeColor="text1"/>
          <w:lang w:val="en-US"/>
        </w:rPr>
        <w:t>its first C</w:t>
      </w:r>
      <w:r w:rsidR="009410B6" w:rsidRPr="00813D19">
        <w:rPr>
          <w:color w:val="000000" w:themeColor="text1"/>
          <w:lang w:val="en-US"/>
        </w:rPr>
        <w:t xml:space="preserve">ommittee, and </w:t>
      </w:r>
      <w:r w:rsidR="00E6680C" w:rsidRPr="00813D19">
        <w:rPr>
          <w:color w:val="000000" w:themeColor="text1"/>
          <w:lang w:val="en-US"/>
        </w:rPr>
        <w:t>it</w:t>
      </w:r>
      <w:r w:rsidR="009410B6" w:rsidRPr="00813D19">
        <w:rPr>
          <w:color w:val="000000" w:themeColor="text1"/>
          <w:lang w:val="en-US"/>
        </w:rPr>
        <w:t xml:space="preserve"> </w:t>
      </w:r>
      <w:r w:rsidR="00E6680C" w:rsidRPr="00813D19">
        <w:rPr>
          <w:color w:val="000000" w:themeColor="text1"/>
          <w:lang w:val="en-US"/>
        </w:rPr>
        <w:t xml:space="preserve">therefore </w:t>
      </w:r>
      <w:r w:rsidR="009410B6" w:rsidRPr="00813D19">
        <w:rPr>
          <w:color w:val="000000" w:themeColor="text1"/>
          <w:lang w:val="en-US"/>
        </w:rPr>
        <w:t xml:space="preserve">held the Convention </w:t>
      </w:r>
      <w:r w:rsidR="001D49A9" w:rsidRPr="00813D19">
        <w:rPr>
          <w:color w:val="000000" w:themeColor="text1"/>
          <w:lang w:val="en-US"/>
        </w:rPr>
        <w:t xml:space="preserve">dear to </w:t>
      </w:r>
      <w:r w:rsidR="009410B6" w:rsidRPr="00813D19">
        <w:rPr>
          <w:color w:val="000000" w:themeColor="text1"/>
          <w:lang w:val="en-US"/>
        </w:rPr>
        <w:t xml:space="preserve">its </w:t>
      </w:r>
      <w:r w:rsidR="001D49A9" w:rsidRPr="00813D19">
        <w:rPr>
          <w:color w:val="000000" w:themeColor="text1"/>
          <w:lang w:val="en-US"/>
        </w:rPr>
        <w:t xml:space="preserve">heart. </w:t>
      </w:r>
      <w:r w:rsidR="009410B6" w:rsidRPr="00813D19">
        <w:rPr>
          <w:color w:val="000000" w:themeColor="text1"/>
          <w:lang w:val="en-US"/>
        </w:rPr>
        <w:t xml:space="preserve">The </w:t>
      </w:r>
      <w:r w:rsidR="001D49A9" w:rsidRPr="00813D19">
        <w:rPr>
          <w:color w:val="000000" w:themeColor="text1"/>
          <w:lang w:val="en-US"/>
        </w:rPr>
        <w:t xml:space="preserve">delegation </w:t>
      </w:r>
      <w:r w:rsidR="009410B6" w:rsidRPr="00813D19">
        <w:rPr>
          <w:color w:val="000000" w:themeColor="text1"/>
          <w:lang w:val="en-US"/>
        </w:rPr>
        <w:t xml:space="preserve">was </w:t>
      </w:r>
      <w:r w:rsidR="001D49A9" w:rsidRPr="00813D19">
        <w:rPr>
          <w:color w:val="000000" w:themeColor="text1"/>
          <w:lang w:val="en-US"/>
        </w:rPr>
        <w:t>in favo</w:t>
      </w:r>
      <w:r w:rsidR="009410B6" w:rsidRPr="00813D19">
        <w:rPr>
          <w:color w:val="000000" w:themeColor="text1"/>
          <w:lang w:val="en-US"/>
        </w:rPr>
        <w:t>u</w:t>
      </w:r>
      <w:r w:rsidR="001D49A9" w:rsidRPr="00813D19">
        <w:rPr>
          <w:color w:val="000000" w:themeColor="text1"/>
          <w:lang w:val="en-US"/>
        </w:rPr>
        <w:t xml:space="preserve">r of encouraging </w:t>
      </w:r>
      <w:r w:rsidR="009410B6" w:rsidRPr="00813D19">
        <w:rPr>
          <w:color w:val="000000" w:themeColor="text1"/>
          <w:lang w:val="en-US"/>
        </w:rPr>
        <w:t xml:space="preserve">inscription </w:t>
      </w:r>
      <w:r w:rsidR="001D49A9" w:rsidRPr="00813D19">
        <w:rPr>
          <w:color w:val="000000" w:themeColor="text1"/>
          <w:lang w:val="en-US"/>
        </w:rPr>
        <w:t>and dialogue, but not at any cost. The integrity of the Convention, the Committee and the Evaluati</w:t>
      </w:r>
      <w:r w:rsidR="009410B6" w:rsidRPr="00813D19">
        <w:rPr>
          <w:color w:val="000000" w:themeColor="text1"/>
          <w:lang w:val="en-US"/>
        </w:rPr>
        <w:t>on Body must be preserved. Moreover, the Secretariat</w:t>
      </w:r>
      <w:r w:rsidR="001D49A9" w:rsidRPr="00813D19">
        <w:rPr>
          <w:color w:val="000000" w:themeColor="text1"/>
          <w:lang w:val="en-US"/>
        </w:rPr>
        <w:t xml:space="preserve"> </w:t>
      </w:r>
      <w:r w:rsidR="009410B6" w:rsidRPr="00813D19">
        <w:rPr>
          <w:color w:val="000000" w:themeColor="text1"/>
          <w:lang w:val="en-US"/>
        </w:rPr>
        <w:t>works</w:t>
      </w:r>
      <w:r w:rsidR="001D49A9" w:rsidRPr="00813D19">
        <w:rPr>
          <w:color w:val="000000" w:themeColor="text1"/>
          <w:lang w:val="en-US"/>
        </w:rPr>
        <w:t xml:space="preserve"> </w:t>
      </w:r>
      <w:r w:rsidR="009410B6" w:rsidRPr="00813D19">
        <w:rPr>
          <w:color w:val="000000" w:themeColor="text1"/>
          <w:lang w:val="en-US"/>
        </w:rPr>
        <w:t xml:space="preserve">very </w:t>
      </w:r>
      <w:r w:rsidR="001D49A9" w:rsidRPr="00813D19">
        <w:rPr>
          <w:color w:val="000000" w:themeColor="text1"/>
          <w:lang w:val="en-US"/>
        </w:rPr>
        <w:t xml:space="preserve">hard to enforce </w:t>
      </w:r>
      <w:r w:rsidR="009410B6" w:rsidRPr="00813D19">
        <w:rPr>
          <w:color w:val="000000" w:themeColor="text1"/>
          <w:lang w:val="en-US"/>
        </w:rPr>
        <w:t>the Committee’s decisions and</w:t>
      </w:r>
      <w:r w:rsidR="001D49A9" w:rsidRPr="00813D19">
        <w:rPr>
          <w:color w:val="000000" w:themeColor="text1"/>
          <w:lang w:val="en-US"/>
        </w:rPr>
        <w:t xml:space="preserve"> </w:t>
      </w:r>
      <w:r w:rsidR="00E6680C" w:rsidRPr="00813D19">
        <w:rPr>
          <w:color w:val="000000" w:themeColor="text1"/>
          <w:lang w:val="en-US"/>
        </w:rPr>
        <w:t xml:space="preserve">it </w:t>
      </w:r>
      <w:r w:rsidR="001D49A9" w:rsidRPr="00813D19">
        <w:rPr>
          <w:color w:val="000000" w:themeColor="text1"/>
          <w:lang w:val="en-US"/>
        </w:rPr>
        <w:t xml:space="preserve">should not be put in a difficult or impossible situation. </w:t>
      </w:r>
      <w:r w:rsidR="009410B6" w:rsidRPr="00813D19">
        <w:rPr>
          <w:color w:val="000000" w:themeColor="text1"/>
          <w:lang w:val="en-US"/>
        </w:rPr>
        <w:t>M</w:t>
      </w:r>
      <w:r w:rsidR="001D49A9" w:rsidRPr="00813D19">
        <w:rPr>
          <w:color w:val="000000" w:themeColor="text1"/>
          <w:lang w:val="en-US"/>
        </w:rPr>
        <w:t xml:space="preserve">ost importantly, the procedures that </w:t>
      </w:r>
      <w:r w:rsidR="00E20DDD" w:rsidRPr="00813D19">
        <w:rPr>
          <w:color w:val="000000" w:themeColor="text1"/>
          <w:lang w:val="en-US"/>
        </w:rPr>
        <w:t xml:space="preserve">had been </w:t>
      </w:r>
      <w:r w:rsidR="001D49A9" w:rsidRPr="00813D19">
        <w:rPr>
          <w:color w:val="000000" w:themeColor="text1"/>
          <w:lang w:val="en-US"/>
        </w:rPr>
        <w:t xml:space="preserve">established </w:t>
      </w:r>
      <w:r w:rsidR="00E20DDD" w:rsidRPr="00813D19">
        <w:rPr>
          <w:color w:val="000000" w:themeColor="text1"/>
          <w:lang w:val="en-US"/>
        </w:rPr>
        <w:t xml:space="preserve">by States Parties must </w:t>
      </w:r>
      <w:r w:rsidR="00E6680C" w:rsidRPr="00813D19">
        <w:rPr>
          <w:color w:val="000000" w:themeColor="text1"/>
          <w:lang w:val="en-US"/>
        </w:rPr>
        <w:t xml:space="preserve">prevail and </w:t>
      </w:r>
      <w:r w:rsidR="00E20DDD" w:rsidRPr="00813D19">
        <w:rPr>
          <w:color w:val="000000" w:themeColor="text1"/>
          <w:lang w:val="en-US"/>
        </w:rPr>
        <w:t xml:space="preserve">be respected. </w:t>
      </w:r>
      <w:r w:rsidR="001D49A9" w:rsidRPr="00813D19">
        <w:rPr>
          <w:color w:val="000000" w:themeColor="text1"/>
          <w:lang w:val="en-US"/>
        </w:rPr>
        <w:t xml:space="preserve">The General Assembly elected the </w:t>
      </w:r>
      <w:r w:rsidR="00E20DDD" w:rsidRPr="00813D19">
        <w:rPr>
          <w:color w:val="000000" w:themeColor="text1"/>
          <w:lang w:val="en-US"/>
        </w:rPr>
        <w:t>Me</w:t>
      </w:r>
      <w:r w:rsidR="001D49A9" w:rsidRPr="00813D19">
        <w:rPr>
          <w:color w:val="000000" w:themeColor="text1"/>
          <w:lang w:val="en-US"/>
        </w:rPr>
        <w:t xml:space="preserve">mbers of the Committee with a very clear delegation of power, which must </w:t>
      </w:r>
      <w:r w:rsidR="00F96629" w:rsidRPr="00813D19">
        <w:rPr>
          <w:color w:val="000000" w:themeColor="text1"/>
          <w:lang w:val="en-US"/>
        </w:rPr>
        <w:t xml:space="preserve">also </w:t>
      </w:r>
      <w:r w:rsidR="001D49A9" w:rsidRPr="00813D19">
        <w:rPr>
          <w:color w:val="000000" w:themeColor="text1"/>
          <w:lang w:val="en-US"/>
        </w:rPr>
        <w:t xml:space="preserve">be taken into account. </w:t>
      </w:r>
      <w:r w:rsidR="00E20DDD" w:rsidRPr="00813D19">
        <w:rPr>
          <w:color w:val="000000" w:themeColor="text1"/>
          <w:lang w:val="en-US"/>
        </w:rPr>
        <w:t>As co-C</w:t>
      </w:r>
      <w:r w:rsidR="001D49A9" w:rsidRPr="00813D19">
        <w:rPr>
          <w:color w:val="000000" w:themeColor="text1"/>
          <w:lang w:val="en-US"/>
        </w:rPr>
        <w:t>ha</w:t>
      </w:r>
      <w:r w:rsidR="00E20DDD" w:rsidRPr="00813D19">
        <w:rPr>
          <w:color w:val="000000" w:themeColor="text1"/>
          <w:lang w:val="en-US"/>
        </w:rPr>
        <w:t xml:space="preserve">ir of the ad hoc working group, the delegation remarked that </w:t>
      </w:r>
      <w:r w:rsidR="001D49A9" w:rsidRPr="00813D19">
        <w:rPr>
          <w:color w:val="000000" w:themeColor="text1"/>
          <w:lang w:val="en-US"/>
        </w:rPr>
        <w:t xml:space="preserve">during the almost one-year discussions with Member States </w:t>
      </w:r>
      <w:r w:rsidR="00E20DDD" w:rsidRPr="00813D19">
        <w:rPr>
          <w:color w:val="000000" w:themeColor="text1"/>
          <w:lang w:val="en-US"/>
        </w:rPr>
        <w:t xml:space="preserve">on the topic, </w:t>
      </w:r>
      <w:r w:rsidR="00E6680C" w:rsidRPr="00813D19">
        <w:rPr>
          <w:color w:val="000000" w:themeColor="text1"/>
          <w:lang w:val="en-US"/>
        </w:rPr>
        <w:t xml:space="preserve">not one person was against dialogue </w:t>
      </w:r>
      <w:r w:rsidR="00F96629" w:rsidRPr="00813D19">
        <w:rPr>
          <w:color w:val="000000" w:themeColor="text1"/>
          <w:lang w:val="en-US"/>
        </w:rPr>
        <w:t>but</w:t>
      </w:r>
      <w:r w:rsidR="001D49A9" w:rsidRPr="00813D19">
        <w:rPr>
          <w:color w:val="000000" w:themeColor="text1"/>
          <w:lang w:val="en-US"/>
        </w:rPr>
        <w:t xml:space="preserve"> many were aware of its inevitability. However, dialogue </w:t>
      </w:r>
      <w:r w:rsidR="00E20DDD" w:rsidRPr="00813D19">
        <w:rPr>
          <w:color w:val="000000" w:themeColor="text1"/>
          <w:lang w:val="en-US"/>
        </w:rPr>
        <w:t>must be realized within the rules</w:t>
      </w:r>
      <w:r w:rsidR="00E6680C" w:rsidRPr="00813D19">
        <w:rPr>
          <w:color w:val="000000" w:themeColor="text1"/>
          <w:lang w:val="en-US"/>
        </w:rPr>
        <w:t>,</w:t>
      </w:r>
      <w:r w:rsidR="00E20DDD" w:rsidRPr="00813D19">
        <w:rPr>
          <w:color w:val="000000" w:themeColor="text1"/>
          <w:lang w:val="en-US"/>
        </w:rPr>
        <w:t xml:space="preserve"> and adopted in a formal, clear and, </w:t>
      </w:r>
      <w:r w:rsidR="001D49A9" w:rsidRPr="00813D19">
        <w:rPr>
          <w:color w:val="000000" w:themeColor="text1"/>
          <w:lang w:val="en-US"/>
        </w:rPr>
        <w:t>above all</w:t>
      </w:r>
      <w:r w:rsidR="00E20DDD" w:rsidRPr="00813D19">
        <w:rPr>
          <w:color w:val="000000" w:themeColor="text1"/>
          <w:lang w:val="en-US"/>
        </w:rPr>
        <w:t xml:space="preserve">, </w:t>
      </w:r>
      <w:r w:rsidR="001D49A9" w:rsidRPr="00813D19">
        <w:rPr>
          <w:color w:val="000000" w:themeColor="text1"/>
          <w:lang w:val="en-US"/>
        </w:rPr>
        <w:t>legal</w:t>
      </w:r>
      <w:r w:rsidR="00E20DDD" w:rsidRPr="00813D19">
        <w:rPr>
          <w:color w:val="000000" w:themeColor="text1"/>
          <w:lang w:val="en-US"/>
        </w:rPr>
        <w:t xml:space="preserve"> way</w:t>
      </w:r>
      <w:r w:rsidR="001D49A9" w:rsidRPr="00813D19">
        <w:rPr>
          <w:color w:val="000000" w:themeColor="text1"/>
          <w:lang w:val="en-US"/>
        </w:rPr>
        <w:t xml:space="preserve">. </w:t>
      </w:r>
      <w:r w:rsidR="00E20DDD" w:rsidRPr="00813D19">
        <w:rPr>
          <w:color w:val="000000" w:themeColor="text1"/>
          <w:lang w:val="en-US"/>
        </w:rPr>
        <w:t xml:space="preserve">It should not serve as a </w:t>
      </w:r>
      <w:r w:rsidR="00E6680C" w:rsidRPr="00813D19">
        <w:rPr>
          <w:color w:val="000000" w:themeColor="text1"/>
          <w:lang w:val="en-US"/>
        </w:rPr>
        <w:t>consolation,</w:t>
      </w:r>
      <w:r w:rsidR="001D49A9" w:rsidRPr="00813D19">
        <w:rPr>
          <w:color w:val="000000" w:themeColor="text1"/>
          <w:lang w:val="en-US"/>
        </w:rPr>
        <w:t xml:space="preserve"> but rather </w:t>
      </w:r>
      <w:r w:rsidR="00E6680C" w:rsidRPr="00813D19">
        <w:rPr>
          <w:color w:val="000000" w:themeColor="text1"/>
          <w:lang w:val="en-US"/>
        </w:rPr>
        <w:t xml:space="preserve">as </w:t>
      </w:r>
      <w:r w:rsidR="001D49A9" w:rsidRPr="00813D19">
        <w:rPr>
          <w:color w:val="000000" w:themeColor="text1"/>
          <w:lang w:val="en-US"/>
        </w:rPr>
        <w:t xml:space="preserve">a tool for improving the system and facilitating the work of the Committee. </w:t>
      </w:r>
      <w:r w:rsidR="00E20DDD" w:rsidRPr="00813D19">
        <w:rPr>
          <w:color w:val="000000" w:themeColor="text1"/>
          <w:lang w:val="en-US"/>
        </w:rPr>
        <w:t xml:space="preserve">Thus, the Committee should be </w:t>
      </w:r>
      <w:r w:rsidR="00F96629" w:rsidRPr="00813D19">
        <w:rPr>
          <w:color w:val="000000" w:themeColor="text1"/>
          <w:lang w:val="en-US"/>
        </w:rPr>
        <w:t xml:space="preserve">cautious over </w:t>
      </w:r>
      <w:r w:rsidR="00E6680C" w:rsidRPr="00813D19">
        <w:rPr>
          <w:color w:val="000000" w:themeColor="text1"/>
          <w:lang w:val="en-US"/>
        </w:rPr>
        <w:t xml:space="preserve">what </w:t>
      </w:r>
      <w:r w:rsidR="001D49A9" w:rsidRPr="00813D19">
        <w:rPr>
          <w:color w:val="000000" w:themeColor="text1"/>
          <w:lang w:val="en-US"/>
        </w:rPr>
        <w:t xml:space="preserve">it </w:t>
      </w:r>
      <w:r w:rsidR="00E6680C" w:rsidRPr="00813D19">
        <w:rPr>
          <w:color w:val="000000" w:themeColor="text1"/>
          <w:lang w:val="en-US"/>
        </w:rPr>
        <w:t>adopts</w:t>
      </w:r>
      <w:r w:rsidR="001D49A9" w:rsidRPr="00813D19">
        <w:rPr>
          <w:color w:val="000000" w:themeColor="text1"/>
          <w:lang w:val="en-US"/>
        </w:rPr>
        <w:t xml:space="preserve">. </w:t>
      </w:r>
      <w:r w:rsidR="00F96629" w:rsidRPr="00813D19">
        <w:rPr>
          <w:color w:val="000000" w:themeColor="text1"/>
          <w:lang w:val="en-US"/>
        </w:rPr>
        <w:t xml:space="preserve">Algeria </w:t>
      </w:r>
      <w:r w:rsidR="00E20DDD" w:rsidRPr="00813D19">
        <w:rPr>
          <w:color w:val="000000" w:themeColor="text1"/>
          <w:lang w:val="en-US"/>
        </w:rPr>
        <w:t xml:space="preserve">was </w:t>
      </w:r>
      <w:r w:rsidR="001D49A9" w:rsidRPr="00813D19">
        <w:rPr>
          <w:color w:val="000000" w:themeColor="text1"/>
          <w:lang w:val="en-US"/>
        </w:rPr>
        <w:t xml:space="preserve">not against dialogue, </w:t>
      </w:r>
      <w:r w:rsidR="00F96629" w:rsidRPr="00813D19">
        <w:rPr>
          <w:color w:val="000000" w:themeColor="text1"/>
          <w:lang w:val="en-US"/>
        </w:rPr>
        <w:t xml:space="preserve">but the </w:t>
      </w:r>
      <w:r w:rsidR="001D49A9" w:rsidRPr="00813D19">
        <w:rPr>
          <w:color w:val="000000" w:themeColor="text1"/>
          <w:lang w:val="en-US"/>
        </w:rPr>
        <w:t xml:space="preserve">dialogue </w:t>
      </w:r>
      <w:r w:rsidR="00F96629" w:rsidRPr="00813D19">
        <w:rPr>
          <w:color w:val="000000" w:themeColor="text1"/>
          <w:lang w:val="en-US"/>
        </w:rPr>
        <w:t xml:space="preserve">must remain </w:t>
      </w:r>
      <w:r w:rsidR="00E20DDD" w:rsidRPr="00813D19">
        <w:rPr>
          <w:color w:val="000000" w:themeColor="text1"/>
          <w:lang w:val="en-US"/>
        </w:rPr>
        <w:t>with</w:t>
      </w:r>
      <w:r w:rsidR="001D49A9" w:rsidRPr="00813D19">
        <w:rPr>
          <w:color w:val="000000" w:themeColor="text1"/>
          <w:lang w:val="en-US"/>
        </w:rPr>
        <w:t>in the rules.</w:t>
      </w:r>
    </w:p>
    <w:p w14:paraId="31E16C7E" w14:textId="3980CD67" w:rsidR="001D49A9" w:rsidRPr="00813D19" w:rsidRDefault="00EE564A"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Switzerland</w:t>
      </w:r>
      <w:r w:rsidR="0063135F" w:rsidRPr="00813D19">
        <w:rPr>
          <w:b/>
          <w:color w:val="000000" w:themeColor="text1"/>
          <w:lang w:val="en-US"/>
        </w:rPr>
        <w:t xml:space="preserve"> </w:t>
      </w:r>
      <w:r w:rsidR="00014A80" w:rsidRPr="003221D5">
        <w:rPr>
          <w:color w:val="000000" w:themeColor="text1"/>
          <w:lang w:val="en-US"/>
        </w:rPr>
        <w:t xml:space="preserve">had </w:t>
      </w:r>
      <w:r w:rsidR="000E1A67" w:rsidRPr="004A47D2">
        <w:rPr>
          <w:color w:val="000000" w:themeColor="text1"/>
          <w:lang w:val="en-US"/>
        </w:rPr>
        <w:t>f</w:t>
      </w:r>
      <w:r w:rsidR="000E1A67" w:rsidRPr="00813D19">
        <w:rPr>
          <w:color w:val="000000" w:themeColor="text1"/>
          <w:lang w:val="en-US"/>
        </w:rPr>
        <w:t>ollowed</w:t>
      </w:r>
      <w:r w:rsidR="001D49A9" w:rsidRPr="00813D19">
        <w:rPr>
          <w:color w:val="000000" w:themeColor="text1"/>
          <w:lang w:val="en-US"/>
        </w:rPr>
        <w:t xml:space="preserve"> the discussions with great interest, but also a certain perp</w:t>
      </w:r>
      <w:r w:rsidR="00D72FDC" w:rsidRPr="00813D19">
        <w:rPr>
          <w:color w:val="000000" w:themeColor="text1"/>
          <w:lang w:val="en-US"/>
        </w:rPr>
        <w:t>lexity and concern, which echoed</w:t>
      </w:r>
      <w:r w:rsidR="001D49A9" w:rsidRPr="00813D19">
        <w:rPr>
          <w:color w:val="000000" w:themeColor="text1"/>
          <w:lang w:val="en-US"/>
        </w:rPr>
        <w:t xml:space="preserve"> </w:t>
      </w:r>
      <w:r w:rsidR="00D72FDC" w:rsidRPr="00813D19">
        <w:rPr>
          <w:color w:val="000000" w:themeColor="text1"/>
          <w:lang w:val="en-US"/>
        </w:rPr>
        <w:t xml:space="preserve">the remarks expressed by </w:t>
      </w:r>
      <w:r w:rsidR="001D49A9" w:rsidRPr="00813D19">
        <w:rPr>
          <w:color w:val="000000" w:themeColor="text1"/>
          <w:lang w:val="en-US"/>
        </w:rPr>
        <w:t xml:space="preserve">several </w:t>
      </w:r>
      <w:r w:rsidR="00D72FDC" w:rsidRPr="00813D19">
        <w:rPr>
          <w:color w:val="000000" w:themeColor="text1"/>
          <w:lang w:val="en-US"/>
        </w:rPr>
        <w:t xml:space="preserve">of the preceding </w:t>
      </w:r>
      <w:r w:rsidR="001D49A9" w:rsidRPr="00813D19">
        <w:rPr>
          <w:color w:val="000000" w:themeColor="text1"/>
          <w:lang w:val="en-US"/>
        </w:rPr>
        <w:t xml:space="preserve">delegations. </w:t>
      </w:r>
      <w:r w:rsidR="00D72FDC" w:rsidRPr="00813D19">
        <w:rPr>
          <w:color w:val="000000" w:themeColor="text1"/>
          <w:lang w:val="en-US"/>
        </w:rPr>
        <w:t>It understood</w:t>
      </w:r>
      <w:r w:rsidR="001D49A9" w:rsidRPr="00813D19">
        <w:rPr>
          <w:color w:val="000000" w:themeColor="text1"/>
          <w:lang w:val="en-US"/>
        </w:rPr>
        <w:t xml:space="preserve"> the value of establishing a mechanism for dialogue between the Evaluation Body and the submitting States, and </w:t>
      </w:r>
      <w:r w:rsidR="00D72FDC" w:rsidRPr="00813D19">
        <w:rPr>
          <w:color w:val="000000" w:themeColor="text1"/>
          <w:lang w:val="en-US"/>
        </w:rPr>
        <w:t xml:space="preserve">it </w:t>
      </w:r>
      <w:r w:rsidR="001D49A9" w:rsidRPr="00813D19">
        <w:rPr>
          <w:color w:val="000000" w:themeColor="text1"/>
          <w:lang w:val="en-US"/>
        </w:rPr>
        <w:t>support</w:t>
      </w:r>
      <w:r w:rsidR="00D72FDC" w:rsidRPr="00813D19">
        <w:rPr>
          <w:color w:val="000000" w:themeColor="text1"/>
          <w:lang w:val="en-US"/>
        </w:rPr>
        <w:t>ed</w:t>
      </w:r>
      <w:r w:rsidR="001D49A9" w:rsidRPr="00813D19">
        <w:rPr>
          <w:color w:val="000000" w:themeColor="text1"/>
          <w:lang w:val="en-US"/>
        </w:rPr>
        <w:t xml:space="preserve"> those efforts. However, the establishment of a new system, which </w:t>
      </w:r>
      <w:r w:rsidR="00014A80">
        <w:rPr>
          <w:color w:val="000000" w:themeColor="text1"/>
          <w:lang w:val="en-US"/>
        </w:rPr>
        <w:t>was</w:t>
      </w:r>
      <w:r w:rsidR="00014A80" w:rsidRPr="00813D19">
        <w:rPr>
          <w:color w:val="000000" w:themeColor="text1"/>
          <w:lang w:val="en-US"/>
        </w:rPr>
        <w:t xml:space="preserve"> </w:t>
      </w:r>
      <w:r w:rsidR="001D49A9" w:rsidRPr="00813D19">
        <w:rPr>
          <w:color w:val="000000" w:themeColor="text1"/>
          <w:lang w:val="en-US"/>
        </w:rPr>
        <w:t xml:space="preserve">not provided for in the Operational Directives approved by the General Assembly, even </w:t>
      </w:r>
      <w:r w:rsidR="00D72FDC" w:rsidRPr="00813D19">
        <w:rPr>
          <w:color w:val="000000" w:themeColor="text1"/>
          <w:lang w:val="en-US"/>
        </w:rPr>
        <w:t>on an experimental basis, raised</w:t>
      </w:r>
      <w:r w:rsidR="001D49A9" w:rsidRPr="00813D19">
        <w:rPr>
          <w:color w:val="000000" w:themeColor="text1"/>
          <w:lang w:val="en-US"/>
        </w:rPr>
        <w:t xml:space="preserve"> issues that </w:t>
      </w:r>
      <w:r w:rsidR="00014A80">
        <w:rPr>
          <w:color w:val="000000" w:themeColor="text1"/>
          <w:lang w:val="en-US"/>
        </w:rPr>
        <w:t>needed to</w:t>
      </w:r>
      <w:r w:rsidR="001D49A9" w:rsidRPr="00813D19">
        <w:rPr>
          <w:color w:val="000000" w:themeColor="text1"/>
          <w:lang w:val="en-US"/>
        </w:rPr>
        <w:t xml:space="preserve"> be seriously considered. F</w:t>
      </w:r>
      <w:r w:rsidR="00D72FDC" w:rsidRPr="00813D19">
        <w:rPr>
          <w:color w:val="000000" w:themeColor="text1"/>
          <w:lang w:val="en-US"/>
        </w:rPr>
        <w:t>or this reason, echoing what had</w:t>
      </w:r>
      <w:r w:rsidR="001D49A9" w:rsidRPr="00813D19">
        <w:rPr>
          <w:color w:val="000000" w:themeColor="text1"/>
          <w:lang w:val="en-US"/>
        </w:rPr>
        <w:t xml:space="preserve"> been requested by other delegations, </w:t>
      </w:r>
      <w:r w:rsidR="00D72FDC" w:rsidRPr="00813D19">
        <w:rPr>
          <w:color w:val="000000" w:themeColor="text1"/>
          <w:lang w:val="en-US"/>
        </w:rPr>
        <w:t xml:space="preserve">the delegation </w:t>
      </w:r>
      <w:r w:rsidR="001D49A9" w:rsidRPr="00813D19">
        <w:rPr>
          <w:color w:val="000000" w:themeColor="text1"/>
          <w:lang w:val="en-US"/>
        </w:rPr>
        <w:t>ask</w:t>
      </w:r>
      <w:r w:rsidR="00F96629" w:rsidRPr="00813D19">
        <w:rPr>
          <w:color w:val="000000" w:themeColor="text1"/>
          <w:lang w:val="en-US"/>
        </w:rPr>
        <w:t>ed</w:t>
      </w:r>
      <w:r w:rsidR="001D49A9" w:rsidRPr="00813D19">
        <w:rPr>
          <w:color w:val="000000" w:themeColor="text1"/>
          <w:lang w:val="en-US"/>
        </w:rPr>
        <w:t xml:space="preserve"> the Legal Adviser </w:t>
      </w:r>
      <w:r w:rsidR="00D72FDC" w:rsidRPr="00813D19">
        <w:rPr>
          <w:color w:val="000000" w:themeColor="text1"/>
          <w:lang w:val="en-US"/>
        </w:rPr>
        <w:t xml:space="preserve">whether </w:t>
      </w:r>
      <w:r w:rsidR="001D49A9" w:rsidRPr="00813D19">
        <w:rPr>
          <w:color w:val="000000" w:themeColor="text1"/>
          <w:lang w:val="en-US"/>
        </w:rPr>
        <w:t xml:space="preserve">this proposal </w:t>
      </w:r>
      <w:r w:rsidR="00D72FDC" w:rsidRPr="00813D19">
        <w:rPr>
          <w:color w:val="000000" w:themeColor="text1"/>
          <w:lang w:val="en-US"/>
        </w:rPr>
        <w:t xml:space="preserve">went </w:t>
      </w:r>
      <w:r w:rsidR="001D49A9" w:rsidRPr="00813D19">
        <w:rPr>
          <w:color w:val="000000" w:themeColor="text1"/>
          <w:lang w:val="en-US"/>
        </w:rPr>
        <w:t>beyond the terms of reference of the Committee</w:t>
      </w:r>
      <w:r w:rsidR="00D72FDC" w:rsidRPr="00813D19">
        <w:rPr>
          <w:color w:val="000000" w:themeColor="text1"/>
          <w:lang w:val="en-US"/>
        </w:rPr>
        <w:t>, as specified in Article 7</w:t>
      </w:r>
      <w:r w:rsidR="001D49A9" w:rsidRPr="00813D19">
        <w:rPr>
          <w:color w:val="000000" w:themeColor="text1"/>
          <w:lang w:val="en-US"/>
        </w:rPr>
        <w:t>(e) of the Co</w:t>
      </w:r>
      <w:r w:rsidR="00D72FDC" w:rsidRPr="00813D19">
        <w:rPr>
          <w:color w:val="000000" w:themeColor="text1"/>
          <w:lang w:val="en-US"/>
        </w:rPr>
        <w:t>nvention and</w:t>
      </w:r>
      <w:r w:rsidR="001D49A9" w:rsidRPr="00813D19">
        <w:rPr>
          <w:color w:val="000000" w:themeColor="text1"/>
          <w:lang w:val="en-US"/>
        </w:rPr>
        <w:t xml:space="preserve"> approved by the General Assembly. In other words, </w:t>
      </w:r>
      <w:r w:rsidR="00014A80">
        <w:rPr>
          <w:color w:val="000000" w:themeColor="text1"/>
          <w:lang w:val="en-US"/>
        </w:rPr>
        <w:t xml:space="preserve">was </w:t>
      </w:r>
      <w:r w:rsidR="00D72FDC" w:rsidRPr="00813D19">
        <w:rPr>
          <w:color w:val="000000" w:themeColor="text1"/>
          <w:lang w:val="en-US"/>
        </w:rPr>
        <w:t>the proposal covered by this A</w:t>
      </w:r>
      <w:r w:rsidR="001D49A9" w:rsidRPr="00813D19">
        <w:rPr>
          <w:color w:val="000000" w:themeColor="text1"/>
          <w:lang w:val="en-US"/>
        </w:rPr>
        <w:t>rticle both formally and in a spirit of respect for the prero</w:t>
      </w:r>
      <w:r w:rsidR="00F96629" w:rsidRPr="00813D19">
        <w:rPr>
          <w:color w:val="000000" w:themeColor="text1"/>
          <w:lang w:val="en-US"/>
        </w:rPr>
        <w:t>gatives of the General Assembly?</w:t>
      </w:r>
    </w:p>
    <w:p w14:paraId="67847F51" w14:textId="0813E941" w:rsidR="00EE564A" w:rsidRPr="00813D19" w:rsidRDefault="00E20DDD" w:rsidP="00C068AA">
      <w:pPr>
        <w:pStyle w:val="Orateurengris"/>
        <w:spacing w:before="120"/>
        <w:ind w:left="709" w:hanging="709"/>
        <w:rPr>
          <w:color w:val="000000" w:themeColor="text1"/>
          <w:lang w:val="en-US"/>
        </w:rPr>
      </w:pPr>
      <w:r w:rsidRPr="00813D19">
        <w:rPr>
          <w:lang w:val="en-US"/>
        </w:rPr>
        <w:t xml:space="preserve">As a member of the General Assembly, </w:t>
      </w:r>
      <w:r w:rsidRPr="00813D19">
        <w:rPr>
          <w:color w:val="000000" w:themeColor="text1"/>
          <w:lang w:val="en-US"/>
        </w:rPr>
        <w:t>t</w:t>
      </w:r>
      <w:r w:rsidR="00305ACC" w:rsidRPr="00813D19">
        <w:rPr>
          <w:color w:val="000000" w:themeColor="text1"/>
          <w:lang w:val="en-US"/>
        </w:rPr>
        <w:t>he</w:t>
      </w:r>
      <w:r w:rsidR="00305ACC" w:rsidRPr="00813D19">
        <w:rPr>
          <w:b/>
          <w:color w:val="000000" w:themeColor="text1"/>
          <w:lang w:val="en-US"/>
        </w:rPr>
        <w:t xml:space="preserve"> delegation of Belgium</w:t>
      </w:r>
      <w:r w:rsidR="0063135F" w:rsidRPr="00813D19">
        <w:rPr>
          <w:b/>
          <w:color w:val="000000" w:themeColor="text1"/>
          <w:lang w:val="en-US"/>
        </w:rPr>
        <w:t xml:space="preserve"> </w:t>
      </w:r>
      <w:r w:rsidRPr="00813D19">
        <w:rPr>
          <w:color w:val="000000" w:themeColor="text1"/>
          <w:lang w:val="en-US"/>
        </w:rPr>
        <w:t xml:space="preserve">was </w:t>
      </w:r>
      <w:r w:rsidR="0063135F" w:rsidRPr="00813D19">
        <w:rPr>
          <w:lang w:val="en-US"/>
        </w:rPr>
        <w:t xml:space="preserve">very surprised by the proposal, the so-called preliminary dialogue with immediate effect. </w:t>
      </w:r>
      <w:r w:rsidRPr="00813D19">
        <w:rPr>
          <w:lang w:val="en-US"/>
        </w:rPr>
        <w:t xml:space="preserve">It </w:t>
      </w:r>
      <w:r w:rsidR="0063135F" w:rsidRPr="00813D19">
        <w:rPr>
          <w:lang w:val="en-US"/>
        </w:rPr>
        <w:t>agreed that the introduction of a mechanism of dialogue would be useful</w:t>
      </w:r>
      <w:r w:rsidRPr="00813D19">
        <w:rPr>
          <w:lang w:val="en-US"/>
        </w:rPr>
        <w:t>,</w:t>
      </w:r>
      <w:r w:rsidR="0063135F" w:rsidRPr="00813D19">
        <w:rPr>
          <w:lang w:val="en-US"/>
        </w:rPr>
        <w:t xml:space="preserve"> but </w:t>
      </w:r>
      <w:r w:rsidR="00F96629" w:rsidRPr="00813D19">
        <w:rPr>
          <w:lang w:val="en-US"/>
        </w:rPr>
        <w:t xml:space="preserve">it </w:t>
      </w:r>
      <w:r w:rsidR="0063135F" w:rsidRPr="00813D19">
        <w:rPr>
          <w:lang w:val="en-US"/>
        </w:rPr>
        <w:t xml:space="preserve">would like to see </w:t>
      </w:r>
      <w:r w:rsidRPr="00813D19">
        <w:rPr>
          <w:lang w:val="en-US"/>
        </w:rPr>
        <w:t xml:space="preserve">it </w:t>
      </w:r>
      <w:r w:rsidR="0063135F" w:rsidRPr="00813D19">
        <w:rPr>
          <w:lang w:val="en-US"/>
        </w:rPr>
        <w:t xml:space="preserve">approved first by the General Assembly. The same </w:t>
      </w:r>
      <w:r w:rsidRPr="00813D19">
        <w:rPr>
          <w:lang w:val="en-US"/>
        </w:rPr>
        <w:t xml:space="preserve">was </w:t>
      </w:r>
      <w:r w:rsidR="0063135F" w:rsidRPr="00813D19">
        <w:rPr>
          <w:lang w:val="en-US"/>
        </w:rPr>
        <w:t>true for any other creative solutions that might come up later. In any case</w:t>
      </w:r>
      <w:r w:rsidRPr="00813D19">
        <w:rPr>
          <w:lang w:val="en-US"/>
        </w:rPr>
        <w:t>, experience-sharing and capacity</w:t>
      </w:r>
      <w:r w:rsidR="00014A80">
        <w:rPr>
          <w:lang w:val="en-US"/>
        </w:rPr>
        <w:t xml:space="preserve"> </w:t>
      </w:r>
      <w:r w:rsidR="0063135F" w:rsidRPr="00813D19">
        <w:rPr>
          <w:lang w:val="en-US"/>
        </w:rPr>
        <w:t xml:space="preserve">building </w:t>
      </w:r>
      <w:r w:rsidRPr="00813D19">
        <w:rPr>
          <w:lang w:val="en-US"/>
        </w:rPr>
        <w:t>made</w:t>
      </w:r>
      <w:r w:rsidR="0063135F" w:rsidRPr="00813D19">
        <w:rPr>
          <w:lang w:val="en-US"/>
        </w:rPr>
        <w:t xml:space="preserve"> </w:t>
      </w:r>
      <w:r w:rsidRPr="00813D19">
        <w:rPr>
          <w:lang w:val="en-US"/>
        </w:rPr>
        <w:t xml:space="preserve">for </w:t>
      </w:r>
      <w:r w:rsidR="0063135F" w:rsidRPr="00813D19">
        <w:rPr>
          <w:lang w:val="en-US"/>
        </w:rPr>
        <w:t>excellent nomination files</w:t>
      </w:r>
      <w:r w:rsidRPr="00813D19">
        <w:rPr>
          <w:lang w:val="en-US"/>
        </w:rPr>
        <w:t xml:space="preserve">, which </w:t>
      </w:r>
      <w:r w:rsidR="0063135F" w:rsidRPr="00813D19">
        <w:rPr>
          <w:lang w:val="en-US"/>
        </w:rPr>
        <w:t>would always be the best solution. First</w:t>
      </w:r>
      <w:r w:rsidR="00F96629" w:rsidRPr="00813D19">
        <w:rPr>
          <w:lang w:val="en-US"/>
        </w:rPr>
        <w:t xml:space="preserve"> and foremost</w:t>
      </w:r>
      <w:r w:rsidR="0063135F" w:rsidRPr="00813D19">
        <w:rPr>
          <w:lang w:val="en-US"/>
        </w:rPr>
        <w:t xml:space="preserve">, </w:t>
      </w:r>
      <w:r w:rsidRPr="00813D19">
        <w:rPr>
          <w:lang w:val="en-US"/>
        </w:rPr>
        <w:t xml:space="preserve">the delegation </w:t>
      </w:r>
      <w:r w:rsidR="0063135F" w:rsidRPr="00813D19">
        <w:rPr>
          <w:lang w:val="en-US"/>
        </w:rPr>
        <w:t>question</w:t>
      </w:r>
      <w:r w:rsidRPr="00813D19">
        <w:rPr>
          <w:lang w:val="en-US"/>
        </w:rPr>
        <w:t>ed</w:t>
      </w:r>
      <w:r w:rsidR="0063135F" w:rsidRPr="00813D19">
        <w:rPr>
          <w:lang w:val="en-US"/>
        </w:rPr>
        <w:t xml:space="preserve"> the urgency of this problem. </w:t>
      </w:r>
      <w:r w:rsidRPr="00813D19">
        <w:rPr>
          <w:lang w:val="en-US"/>
        </w:rPr>
        <w:t xml:space="preserve">It </w:t>
      </w:r>
      <w:r w:rsidR="0063135F" w:rsidRPr="00813D19">
        <w:rPr>
          <w:lang w:val="en-US"/>
        </w:rPr>
        <w:t>could understand it in the case of a nomination file fo</w:t>
      </w:r>
      <w:r w:rsidRPr="00813D19">
        <w:rPr>
          <w:lang w:val="en-US"/>
        </w:rPr>
        <w:t xml:space="preserve">r the Urgent Safeguarding List, </w:t>
      </w:r>
      <w:r w:rsidR="0063135F" w:rsidRPr="00813D19">
        <w:rPr>
          <w:lang w:val="en-US"/>
        </w:rPr>
        <w:t>Article 17</w:t>
      </w:r>
      <w:r w:rsidRPr="00813D19">
        <w:rPr>
          <w:lang w:val="en-US"/>
        </w:rPr>
        <w:t>,</w:t>
      </w:r>
      <w:r w:rsidR="0063135F" w:rsidRPr="00813D19">
        <w:rPr>
          <w:lang w:val="en-US"/>
        </w:rPr>
        <w:t xml:space="preserve"> </w:t>
      </w:r>
      <w:r w:rsidR="00F96629" w:rsidRPr="00813D19">
        <w:rPr>
          <w:lang w:val="en-US"/>
        </w:rPr>
        <w:t xml:space="preserve">i.e. </w:t>
      </w:r>
      <w:r w:rsidR="0063135F" w:rsidRPr="00813D19">
        <w:rPr>
          <w:lang w:val="en-US"/>
        </w:rPr>
        <w:t xml:space="preserve">if there </w:t>
      </w:r>
      <w:r w:rsidRPr="00813D19">
        <w:rPr>
          <w:lang w:val="en-US"/>
        </w:rPr>
        <w:t xml:space="preserve">was </w:t>
      </w:r>
      <w:r w:rsidR="0063135F" w:rsidRPr="00813D19">
        <w:rPr>
          <w:lang w:val="en-US"/>
        </w:rPr>
        <w:t xml:space="preserve">a life-threatening urgency, but this experiment </w:t>
      </w:r>
      <w:r w:rsidR="00014A80">
        <w:rPr>
          <w:lang w:val="en-US"/>
        </w:rPr>
        <w:t>was</w:t>
      </w:r>
      <w:r w:rsidR="00014A80" w:rsidRPr="00813D19">
        <w:rPr>
          <w:lang w:val="en-US"/>
        </w:rPr>
        <w:t xml:space="preserve"> </w:t>
      </w:r>
      <w:r w:rsidR="0063135F" w:rsidRPr="00813D19">
        <w:rPr>
          <w:lang w:val="en-US"/>
        </w:rPr>
        <w:t xml:space="preserve">triggered by a nomination file </w:t>
      </w:r>
      <w:r w:rsidRPr="00813D19">
        <w:rPr>
          <w:lang w:val="en-US"/>
        </w:rPr>
        <w:t xml:space="preserve">on </w:t>
      </w:r>
      <w:r w:rsidR="0063135F" w:rsidRPr="00813D19">
        <w:rPr>
          <w:lang w:val="en-US"/>
        </w:rPr>
        <w:t xml:space="preserve">the Representative List. </w:t>
      </w:r>
      <w:r w:rsidRPr="00813D19">
        <w:rPr>
          <w:lang w:val="en-US"/>
        </w:rPr>
        <w:t>W</w:t>
      </w:r>
      <w:r w:rsidR="0063135F" w:rsidRPr="00813D19">
        <w:rPr>
          <w:lang w:val="en-US"/>
        </w:rPr>
        <w:t xml:space="preserve">here </w:t>
      </w:r>
      <w:r w:rsidRPr="00813D19">
        <w:rPr>
          <w:lang w:val="en-US"/>
        </w:rPr>
        <w:t xml:space="preserve">was </w:t>
      </w:r>
      <w:r w:rsidR="0063135F" w:rsidRPr="00813D19">
        <w:rPr>
          <w:lang w:val="en-US"/>
        </w:rPr>
        <w:t xml:space="preserve">the urgency </w:t>
      </w:r>
      <w:r w:rsidRPr="00813D19">
        <w:rPr>
          <w:lang w:val="en-US"/>
        </w:rPr>
        <w:t>that motivated the decision to</w:t>
      </w:r>
      <w:r w:rsidR="0063135F" w:rsidRPr="00813D19">
        <w:rPr>
          <w:lang w:val="en-US"/>
        </w:rPr>
        <w:t xml:space="preserve"> </w:t>
      </w:r>
      <w:r w:rsidR="00F96629" w:rsidRPr="00813D19">
        <w:rPr>
          <w:lang w:val="en-US"/>
        </w:rPr>
        <w:t xml:space="preserve">dispense with </w:t>
      </w:r>
      <w:r w:rsidR="0063135F" w:rsidRPr="00813D19">
        <w:rPr>
          <w:lang w:val="en-US"/>
        </w:rPr>
        <w:t xml:space="preserve">normal procedure </w:t>
      </w:r>
      <w:r w:rsidR="00F96629" w:rsidRPr="00813D19">
        <w:rPr>
          <w:lang w:val="en-US"/>
        </w:rPr>
        <w:t xml:space="preserve">and </w:t>
      </w:r>
      <w:r w:rsidR="0063135F" w:rsidRPr="00813D19">
        <w:rPr>
          <w:lang w:val="en-US"/>
        </w:rPr>
        <w:t xml:space="preserve">submitting it first to the General Assembly? </w:t>
      </w:r>
      <w:r w:rsidR="00F96629" w:rsidRPr="00813D19">
        <w:rPr>
          <w:lang w:val="en-US"/>
        </w:rPr>
        <w:t>T</w:t>
      </w:r>
      <w:r w:rsidRPr="00813D19">
        <w:rPr>
          <w:lang w:val="en-US"/>
        </w:rPr>
        <w:t>he delegation sought the opinion of the Legal A</w:t>
      </w:r>
      <w:r w:rsidR="0063135F" w:rsidRPr="00813D19">
        <w:rPr>
          <w:lang w:val="en-US"/>
        </w:rPr>
        <w:t xml:space="preserve">dviser because in practice this decision </w:t>
      </w:r>
      <w:r w:rsidR="00014A80" w:rsidRPr="00813D19">
        <w:rPr>
          <w:lang w:val="en-US"/>
        </w:rPr>
        <w:t>suspend</w:t>
      </w:r>
      <w:r w:rsidR="00014A80">
        <w:rPr>
          <w:lang w:val="en-US"/>
        </w:rPr>
        <w:t>ed</w:t>
      </w:r>
      <w:r w:rsidR="00014A80" w:rsidRPr="00813D19">
        <w:rPr>
          <w:lang w:val="en-US"/>
        </w:rPr>
        <w:t xml:space="preserve"> </w:t>
      </w:r>
      <w:r w:rsidR="0063135F" w:rsidRPr="00813D19">
        <w:rPr>
          <w:lang w:val="en-US"/>
        </w:rPr>
        <w:t>Operational Directive 36</w:t>
      </w:r>
      <w:r w:rsidR="00402572" w:rsidRPr="00813D19">
        <w:rPr>
          <w:lang w:val="en-US"/>
        </w:rPr>
        <w:t xml:space="preserve">, which </w:t>
      </w:r>
      <w:r w:rsidR="0063135F" w:rsidRPr="00813D19">
        <w:rPr>
          <w:lang w:val="en-US"/>
        </w:rPr>
        <w:t xml:space="preserve">explicitly refers to the following cycle. </w:t>
      </w:r>
      <w:r w:rsidR="00402572" w:rsidRPr="00813D19">
        <w:rPr>
          <w:lang w:val="en-US"/>
        </w:rPr>
        <w:t>Was it possible for the C</w:t>
      </w:r>
      <w:r w:rsidR="0063135F" w:rsidRPr="00813D19">
        <w:rPr>
          <w:lang w:val="en-US"/>
        </w:rPr>
        <w:t>ommittee to suspend one or more formal Operational Directives approved by the General Assembly</w:t>
      </w:r>
      <w:r w:rsidR="00402572" w:rsidRPr="00813D19">
        <w:rPr>
          <w:lang w:val="en-US"/>
        </w:rPr>
        <w:t>,</w:t>
      </w:r>
      <w:r w:rsidR="0063135F" w:rsidRPr="00813D19">
        <w:rPr>
          <w:lang w:val="en-US"/>
        </w:rPr>
        <w:t xml:space="preserve"> </w:t>
      </w:r>
      <w:r w:rsidR="00402572" w:rsidRPr="00813D19">
        <w:rPr>
          <w:lang w:val="en-US"/>
        </w:rPr>
        <w:t xml:space="preserve">particularly </w:t>
      </w:r>
      <w:r w:rsidR="0063135F" w:rsidRPr="00813D19">
        <w:rPr>
          <w:lang w:val="en-US"/>
        </w:rPr>
        <w:t xml:space="preserve">on a so-called experimental basis in the middle of a procedure? </w:t>
      </w:r>
      <w:r w:rsidR="00402572" w:rsidRPr="00813D19">
        <w:rPr>
          <w:lang w:val="en-US"/>
        </w:rPr>
        <w:t xml:space="preserve">The delegation did not </w:t>
      </w:r>
      <w:r w:rsidR="0063135F" w:rsidRPr="00813D19">
        <w:rPr>
          <w:lang w:val="en-US"/>
        </w:rPr>
        <w:t xml:space="preserve">find any such </w:t>
      </w:r>
      <w:r w:rsidR="00014A80">
        <w:rPr>
          <w:lang w:val="en-US"/>
        </w:rPr>
        <w:t xml:space="preserve">a </w:t>
      </w:r>
      <w:r w:rsidR="0063135F" w:rsidRPr="00813D19">
        <w:rPr>
          <w:lang w:val="en-US"/>
        </w:rPr>
        <w:t xml:space="preserve">possibility in the Rules of Procedure for the </w:t>
      </w:r>
      <w:r w:rsidR="00402572" w:rsidRPr="00813D19">
        <w:rPr>
          <w:lang w:val="en-US"/>
        </w:rPr>
        <w:t>C</w:t>
      </w:r>
      <w:r w:rsidR="0063135F" w:rsidRPr="00813D19">
        <w:rPr>
          <w:lang w:val="en-US"/>
        </w:rPr>
        <w:t xml:space="preserve">ommittee. As </w:t>
      </w:r>
      <w:r w:rsidR="00402572" w:rsidRPr="00813D19">
        <w:rPr>
          <w:lang w:val="en-US"/>
        </w:rPr>
        <w:t xml:space="preserve">this </w:t>
      </w:r>
      <w:r w:rsidR="0063135F" w:rsidRPr="00813D19">
        <w:rPr>
          <w:lang w:val="en-US"/>
        </w:rPr>
        <w:t xml:space="preserve">might influence </w:t>
      </w:r>
      <w:r w:rsidR="00F96629" w:rsidRPr="00813D19">
        <w:rPr>
          <w:lang w:val="en-US"/>
        </w:rPr>
        <w:t xml:space="preserve">a </w:t>
      </w:r>
      <w:r w:rsidR="0063135F" w:rsidRPr="00813D19">
        <w:rPr>
          <w:lang w:val="en-US"/>
        </w:rPr>
        <w:t>change in several Operational Directives approved by the General Assembly</w:t>
      </w:r>
      <w:r w:rsidR="00402572" w:rsidRPr="00813D19">
        <w:rPr>
          <w:lang w:val="en-US"/>
        </w:rPr>
        <w:t xml:space="preserve">, the delegation wondered whether </w:t>
      </w:r>
      <w:r w:rsidR="0063135F" w:rsidRPr="00813D19">
        <w:rPr>
          <w:lang w:val="en-US"/>
        </w:rPr>
        <w:t xml:space="preserve">it </w:t>
      </w:r>
      <w:r w:rsidR="00F96629" w:rsidRPr="00813D19">
        <w:rPr>
          <w:lang w:val="en-US"/>
        </w:rPr>
        <w:t xml:space="preserve">might </w:t>
      </w:r>
      <w:r w:rsidR="0063135F" w:rsidRPr="00813D19">
        <w:rPr>
          <w:lang w:val="en-US"/>
        </w:rPr>
        <w:t>be better</w:t>
      </w:r>
      <w:r w:rsidR="00402572" w:rsidRPr="00813D19">
        <w:rPr>
          <w:lang w:val="en-US"/>
        </w:rPr>
        <w:t>—</w:t>
      </w:r>
      <w:r w:rsidR="0063135F" w:rsidRPr="00813D19">
        <w:rPr>
          <w:lang w:val="en-US"/>
        </w:rPr>
        <w:t xml:space="preserve">if </w:t>
      </w:r>
      <w:r w:rsidR="00F96629" w:rsidRPr="00813D19">
        <w:rPr>
          <w:lang w:val="en-US"/>
        </w:rPr>
        <w:t xml:space="preserve">indeed it </w:t>
      </w:r>
      <w:r w:rsidR="00014A80" w:rsidRPr="00813D19">
        <w:rPr>
          <w:lang w:val="en-US"/>
        </w:rPr>
        <w:t>w</w:t>
      </w:r>
      <w:r w:rsidR="00014A80">
        <w:rPr>
          <w:lang w:val="en-US"/>
        </w:rPr>
        <w:t>ere</w:t>
      </w:r>
      <w:r w:rsidR="00014A80" w:rsidRPr="00813D19">
        <w:rPr>
          <w:lang w:val="en-US"/>
        </w:rPr>
        <w:t xml:space="preserve"> </w:t>
      </w:r>
      <w:r w:rsidR="00402572" w:rsidRPr="00813D19">
        <w:rPr>
          <w:lang w:val="en-US"/>
        </w:rPr>
        <w:t>so urgent—</w:t>
      </w:r>
      <w:r w:rsidR="0063135F" w:rsidRPr="00813D19">
        <w:rPr>
          <w:lang w:val="en-US"/>
        </w:rPr>
        <w:t>to mobilize Article 4, paragraph 2 of the Convention to convene an extraordinary Gene</w:t>
      </w:r>
      <w:r w:rsidR="00F96629" w:rsidRPr="00813D19">
        <w:rPr>
          <w:lang w:val="en-US"/>
        </w:rPr>
        <w:t>ral Assembly.</w:t>
      </w:r>
      <w:r w:rsidR="0063135F" w:rsidRPr="00813D19">
        <w:rPr>
          <w:lang w:val="en-US"/>
        </w:rPr>
        <w:t xml:space="preserve"> </w:t>
      </w:r>
      <w:r w:rsidR="00F96629" w:rsidRPr="00813D19">
        <w:rPr>
          <w:lang w:val="en-US"/>
        </w:rPr>
        <w:t xml:space="preserve">Thus, </w:t>
      </w:r>
      <w:r w:rsidR="0063135F" w:rsidRPr="00813D19">
        <w:rPr>
          <w:lang w:val="en-US"/>
        </w:rPr>
        <w:t>fine</w:t>
      </w:r>
      <w:r w:rsidR="00F96629" w:rsidRPr="00813D19">
        <w:rPr>
          <w:lang w:val="en-US"/>
        </w:rPr>
        <w:t xml:space="preserve">-tuning the procedure </w:t>
      </w:r>
      <w:r w:rsidR="00014A80">
        <w:rPr>
          <w:lang w:val="en-US"/>
        </w:rPr>
        <w:t>was</w:t>
      </w:r>
      <w:r w:rsidR="00014A80" w:rsidRPr="00813D19">
        <w:rPr>
          <w:lang w:val="en-US"/>
        </w:rPr>
        <w:t xml:space="preserve"> </w:t>
      </w:r>
      <w:r w:rsidR="00F96629" w:rsidRPr="00813D19">
        <w:rPr>
          <w:lang w:val="en-US"/>
        </w:rPr>
        <w:t>useful</w:t>
      </w:r>
      <w:r w:rsidR="0063135F" w:rsidRPr="00813D19">
        <w:rPr>
          <w:lang w:val="en-US"/>
        </w:rPr>
        <w:t xml:space="preserve"> </w:t>
      </w:r>
      <w:r w:rsidR="00F96629" w:rsidRPr="00813D19">
        <w:rPr>
          <w:lang w:val="en-US"/>
        </w:rPr>
        <w:t xml:space="preserve">and a </w:t>
      </w:r>
      <w:r w:rsidR="0063135F" w:rsidRPr="00813D19">
        <w:rPr>
          <w:lang w:val="en-US"/>
        </w:rPr>
        <w:t xml:space="preserve">dialogue </w:t>
      </w:r>
      <w:r w:rsidR="00F96629" w:rsidRPr="00813D19">
        <w:rPr>
          <w:lang w:val="en-US"/>
        </w:rPr>
        <w:t xml:space="preserve">mechanism </w:t>
      </w:r>
      <w:r w:rsidR="0063135F" w:rsidRPr="00813D19">
        <w:rPr>
          <w:lang w:val="en-US"/>
        </w:rPr>
        <w:t>would be welcome</w:t>
      </w:r>
      <w:r w:rsidR="00402572" w:rsidRPr="00813D19">
        <w:rPr>
          <w:lang w:val="en-US"/>
        </w:rPr>
        <w:t>,</w:t>
      </w:r>
      <w:r w:rsidR="0063135F" w:rsidRPr="00813D19">
        <w:rPr>
          <w:lang w:val="en-US"/>
        </w:rPr>
        <w:t xml:space="preserve"> </w:t>
      </w:r>
      <w:r w:rsidR="00402572" w:rsidRPr="00813D19">
        <w:rPr>
          <w:lang w:val="en-US"/>
        </w:rPr>
        <w:t xml:space="preserve">but </w:t>
      </w:r>
      <w:r w:rsidR="00F96629" w:rsidRPr="00813D19">
        <w:rPr>
          <w:lang w:val="en-US"/>
        </w:rPr>
        <w:t xml:space="preserve">only </w:t>
      </w:r>
      <w:r w:rsidR="0063135F" w:rsidRPr="00813D19">
        <w:rPr>
          <w:lang w:val="en-US"/>
        </w:rPr>
        <w:t>after ap</w:t>
      </w:r>
      <w:r w:rsidR="00DD4E22">
        <w:rPr>
          <w:lang w:val="en-US"/>
        </w:rPr>
        <w:t>proval by the General Assembly.</w:t>
      </w:r>
    </w:p>
    <w:p w14:paraId="20EF718C" w14:textId="7EE81F14" w:rsidR="00305ACC" w:rsidRPr="00813D19" w:rsidRDefault="000E1A67" w:rsidP="00C068AA">
      <w:pPr>
        <w:pStyle w:val="Orateurengris"/>
        <w:spacing w:before="120"/>
        <w:ind w:left="709" w:hanging="709"/>
        <w:rPr>
          <w:color w:val="000000" w:themeColor="text1"/>
          <w:lang w:val="en-US"/>
        </w:rPr>
      </w:pPr>
      <w:r w:rsidRPr="00813D19">
        <w:rPr>
          <w:color w:val="000000" w:themeColor="text1"/>
          <w:lang w:val="en-US"/>
        </w:rPr>
        <w:t>Thanking Belgium, t</w:t>
      </w:r>
      <w:r w:rsidR="004C1559" w:rsidRPr="00813D19">
        <w:rPr>
          <w:color w:val="000000" w:themeColor="text1"/>
          <w:lang w:val="en-US"/>
        </w:rPr>
        <w:t>he</w:t>
      </w:r>
      <w:r w:rsidR="004C1559" w:rsidRPr="00813D19">
        <w:rPr>
          <w:b/>
          <w:color w:val="000000" w:themeColor="text1"/>
          <w:lang w:val="en-US"/>
        </w:rPr>
        <w:t xml:space="preserve"> Chairperson </w:t>
      </w:r>
      <w:r w:rsidRPr="00813D19">
        <w:rPr>
          <w:lang w:val="en-US"/>
        </w:rPr>
        <w:t xml:space="preserve">invited the </w:t>
      </w:r>
      <w:r w:rsidR="0063135F" w:rsidRPr="00813D19">
        <w:rPr>
          <w:lang w:val="en-US"/>
        </w:rPr>
        <w:t xml:space="preserve">Legal Adviser </w:t>
      </w:r>
      <w:r w:rsidRPr="00813D19">
        <w:rPr>
          <w:lang w:val="en-US"/>
        </w:rPr>
        <w:t xml:space="preserve">to join the </w:t>
      </w:r>
      <w:r w:rsidR="00D72FDC" w:rsidRPr="00813D19">
        <w:rPr>
          <w:lang w:val="en-US"/>
        </w:rPr>
        <w:t xml:space="preserve">podium, requesting </w:t>
      </w:r>
      <w:r w:rsidR="00014A80">
        <w:rPr>
          <w:lang w:val="en-US"/>
        </w:rPr>
        <w:t xml:space="preserve">that </w:t>
      </w:r>
      <w:r w:rsidR="00D72FDC" w:rsidRPr="00813D19">
        <w:rPr>
          <w:lang w:val="en-US"/>
        </w:rPr>
        <w:t xml:space="preserve">the </w:t>
      </w:r>
      <w:r w:rsidR="0063135F" w:rsidRPr="00813D19">
        <w:rPr>
          <w:lang w:val="en-US"/>
        </w:rPr>
        <w:t xml:space="preserve">Secretariat refer the Legal Adviser to the two Articles </w:t>
      </w:r>
      <w:r w:rsidR="00D72FDC" w:rsidRPr="00813D19">
        <w:rPr>
          <w:lang w:val="en-US"/>
        </w:rPr>
        <w:t xml:space="preserve">mentioned </w:t>
      </w:r>
      <w:r w:rsidR="0063135F" w:rsidRPr="00813D19">
        <w:rPr>
          <w:lang w:val="en-US"/>
        </w:rPr>
        <w:t xml:space="preserve">by Belgium and </w:t>
      </w:r>
      <w:r w:rsidR="00D72FDC" w:rsidRPr="00813D19">
        <w:rPr>
          <w:lang w:val="en-US"/>
        </w:rPr>
        <w:t xml:space="preserve">the Article mentioned by </w:t>
      </w:r>
      <w:r w:rsidR="0063135F" w:rsidRPr="00813D19">
        <w:rPr>
          <w:lang w:val="en-US"/>
        </w:rPr>
        <w:t xml:space="preserve">Switzerland </w:t>
      </w:r>
      <w:r w:rsidR="00F96629" w:rsidRPr="00813D19">
        <w:rPr>
          <w:lang w:val="en-US"/>
        </w:rPr>
        <w:t xml:space="preserve">for </w:t>
      </w:r>
      <w:r w:rsidR="00DD4E22">
        <w:rPr>
          <w:lang w:val="en-US"/>
        </w:rPr>
        <w:t>his legal opinion.</w:t>
      </w:r>
    </w:p>
    <w:p w14:paraId="2DADD7D2" w14:textId="0B0360B0" w:rsidR="0018643C" w:rsidRPr="00813D19" w:rsidRDefault="0018643C"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Estonia</w:t>
      </w:r>
      <w:r w:rsidR="0063135F" w:rsidRPr="00813D19">
        <w:rPr>
          <w:b/>
          <w:color w:val="000000" w:themeColor="text1"/>
          <w:lang w:val="en-US"/>
        </w:rPr>
        <w:t xml:space="preserve"> </w:t>
      </w:r>
      <w:r w:rsidR="000E1A67" w:rsidRPr="00813D19">
        <w:rPr>
          <w:lang w:val="en-US"/>
        </w:rPr>
        <w:t>understood the good</w:t>
      </w:r>
      <w:r w:rsidR="0063135F" w:rsidRPr="00813D19">
        <w:rPr>
          <w:lang w:val="en-US"/>
        </w:rPr>
        <w:t>wi</w:t>
      </w:r>
      <w:r w:rsidR="00F96629" w:rsidRPr="00813D19">
        <w:rPr>
          <w:lang w:val="en-US"/>
        </w:rPr>
        <w:t>ll that motivated this proposal, but it strongly shared</w:t>
      </w:r>
      <w:r w:rsidR="0063135F" w:rsidRPr="00813D19">
        <w:rPr>
          <w:lang w:val="en-US"/>
        </w:rPr>
        <w:t xml:space="preserve"> the opinion that the Committee simply c</w:t>
      </w:r>
      <w:r w:rsidR="00014A80">
        <w:rPr>
          <w:lang w:val="en-US"/>
        </w:rPr>
        <w:t>ould not</w:t>
      </w:r>
      <w:r w:rsidR="0063135F" w:rsidRPr="00813D19">
        <w:rPr>
          <w:lang w:val="en-US"/>
        </w:rPr>
        <w:t xml:space="preserve"> bend the rules of the Operational Directives, </w:t>
      </w:r>
      <w:r w:rsidR="00420013" w:rsidRPr="00813D19">
        <w:rPr>
          <w:lang w:val="en-US"/>
        </w:rPr>
        <w:t xml:space="preserve">as </w:t>
      </w:r>
      <w:r w:rsidR="0063135F" w:rsidRPr="00813D19">
        <w:rPr>
          <w:lang w:val="en-US"/>
        </w:rPr>
        <w:t xml:space="preserve">established by the General Assembly. </w:t>
      </w:r>
      <w:r w:rsidR="00420013" w:rsidRPr="00813D19">
        <w:rPr>
          <w:lang w:val="en-US"/>
        </w:rPr>
        <w:t>For this reason</w:t>
      </w:r>
      <w:r w:rsidR="00014A80">
        <w:rPr>
          <w:lang w:val="en-US"/>
        </w:rPr>
        <w:t xml:space="preserve">, </w:t>
      </w:r>
      <w:r w:rsidR="00420013" w:rsidRPr="00813D19">
        <w:rPr>
          <w:lang w:val="en-US"/>
        </w:rPr>
        <w:t xml:space="preserve">it </w:t>
      </w:r>
      <w:r w:rsidR="0063135F" w:rsidRPr="00813D19">
        <w:rPr>
          <w:lang w:val="en-US"/>
        </w:rPr>
        <w:t>join</w:t>
      </w:r>
      <w:r w:rsidR="00420013" w:rsidRPr="00813D19">
        <w:rPr>
          <w:lang w:val="en-US"/>
        </w:rPr>
        <w:t>ed</w:t>
      </w:r>
      <w:r w:rsidR="0063135F" w:rsidRPr="00813D19">
        <w:rPr>
          <w:lang w:val="en-US"/>
        </w:rPr>
        <w:t xml:space="preserve"> the request that the Legal Adviser explain how this proposal</w:t>
      </w:r>
      <w:r w:rsidR="00014A80">
        <w:rPr>
          <w:lang w:val="en-US"/>
        </w:rPr>
        <w:t xml:space="preserve"> could</w:t>
      </w:r>
      <w:r w:rsidR="0063135F" w:rsidRPr="00813D19">
        <w:rPr>
          <w:lang w:val="en-US"/>
        </w:rPr>
        <w:t xml:space="preserve"> be in line with paragraphs 36 and 54 of the Operational Directives. </w:t>
      </w:r>
      <w:r w:rsidR="00420013" w:rsidRPr="00813D19">
        <w:rPr>
          <w:lang w:val="en-US"/>
        </w:rPr>
        <w:t xml:space="preserve">It also understood </w:t>
      </w:r>
      <w:r w:rsidR="0063135F" w:rsidRPr="00813D19">
        <w:rPr>
          <w:lang w:val="en-US"/>
        </w:rPr>
        <w:t xml:space="preserve">that </w:t>
      </w:r>
      <w:r w:rsidR="00420013" w:rsidRPr="00813D19">
        <w:rPr>
          <w:lang w:val="en-US"/>
        </w:rPr>
        <w:t>the open-ended working group had</w:t>
      </w:r>
      <w:r w:rsidR="0063135F" w:rsidRPr="00813D19">
        <w:rPr>
          <w:lang w:val="en-US"/>
        </w:rPr>
        <w:t xml:space="preserve"> reflected on the dialogue mechanisms for a long time and </w:t>
      </w:r>
      <w:r w:rsidR="00014A80">
        <w:rPr>
          <w:lang w:val="en-US"/>
        </w:rPr>
        <w:t xml:space="preserve">that </w:t>
      </w:r>
      <w:r w:rsidR="0063135F" w:rsidRPr="00813D19">
        <w:rPr>
          <w:lang w:val="en-US"/>
        </w:rPr>
        <w:t>many good ide</w:t>
      </w:r>
      <w:r w:rsidR="00420013" w:rsidRPr="00813D19">
        <w:rPr>
          <w:lang w:val="en-US"/>
        </w:rPr>
        <w:t>as had</w:t>
      </w:r>
      <w:r w:rsidR="0063135F" w:rsidRPr="00813D19">
        <w:rPr>
          <w:lang w:val="en-US"/>
        </w:rPr>
        <w:t xml:space="preserve"> been put forward</w:t>
      </w:r>
      <w:r w:rsidR="00420013" w:rsidRPr="00813D19">
        <w:rPr>
          <w:lang w:val="en-US"/>
        </w:rPr>
        <w:t>,</w:t>
      </w:r>
      <w:r w:rsidR="0063135F" w:rsidRPr="00813D19">
        <w:rPr>
          <w:lang w:val="en-US"/>
        </w:rPr>
        <w:t xml:space="preserve"> but the b</w:t>
      </w:r>
      <w:r w:rsidR="00420013" w:rsidRPr="00813D19">
        <w:rPr>
          <w:lang w:val="en-US"/>
        </w:rPr>
        <w:t>est and most viable solution had</w:t>
      </w:r>
      <w:r w:rsidR="0063135F" w:rsidRPr="00813D19">
        <w:rPr>
          <w:lang w:val="en-US"/>
        </w:rPr>
        <w:t xml:space="preserve"> </w:t>
      </w:r>
      <w:r w:rsidR="00420013" w:rsidRPr="00813D19">
        <w:rPr>
          <w:lang w:val="en-US"/>
        </w:rPr>
        <w:t xml:space="preserve">yet to be </w:t>
      </w:r>
      <w:r w:rsidR="0063135F" w:rsidRPr="00813D19">
        <w:rPr>
          <w:lang w:val="en-US"/>
        </w:rPr>
        <w:t xml:space="preserve">found. It </w:t>
      </w:r>
      <w:r w:rsidR="00420013" w:rsidRPr="00813D19">
        <w:rPr>
          <w:lang w:val="en-US"/>
        </w:rPr>
        <w:t>would take</w:t>
      </w:r>
      <w:r w:rsidR="0063135F" w:rsidRPr="00813D19">
        <w:rPr>
          <w:lang w:val="en-US"/>
        </w:rPr>
        <w:t xml:space="preserve"> time and therefore rushing into this kind of experiment </w:t>
      </w:r>
      <w:r w:rsidR="00014A80">
        <w:rPr>
          <w:lang w:val="en-US"/>
        </w:rPr>
        <w:t xml:space="preserve">was </w:t>
      </w:r>
      <w:r w:rsidR="0063135F" w:rsidRPr="00813D19">
        <w:rPr>
          <w:lang w:val="en-US"/>
        </w:rPr>
        <w:t>certainly</w:t>
      </w:r>
      <w:r w:rsidR="00DD4E22">
        <w:rPr>
          <w:lang w:val="en-US"/>
        </w:rPr>
        <w:t xml:space="preserve"> not a good way forward.</w:t>
      </w:r>
    </w:p>
    <w:p w14:paraId="77813416" w14:textId="0469828B" w:rsidR="00E4741E" w:rsidRPr="00813D19" w:rsidRDefault="00E4741E"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Greece</w:t>
      </w:r>
      <w:r w:rsidR="0063135F" w:rsidRPr="00813D19">
        <w:rPr>
          <w:b/>
          <w:color w:val="000000" w:themeColor="text1"/>
          <w:lang w:val="en-US"/>
        </w:rPr>
        <w:t xml:space="preserve"> </w:t>
      </w:r>
      <w:r w:rsidR="00402572" w:rsidRPr="00813D19">
        <w:rPr>
          <w:color w:val="000000" w:themeColor="text1"/>
          <w:lang w:val="en-US"/>
        </w:rPr>
        <w:t>found it</w:t>
      </w:r>
      <w:r w:rsidR="00402572" w:rsidRPr="00813D19">
        <w:rPr>
          <w:b/>
          <w:color w:val="000000" w:themeColor="text1"/>
          <w:lang w:val="en-US"/>
        </w:rPr>
        <w:t xml:space="preserve"> </w:t>
      </w:r>
      <w:r w:rsidR="0063135F" w:rsidRPr="00813D19">
        <w:rPr>
          <w:lang w:val="en-US"/>
        </w:rPr>
        <w:t>ve</w:t>
      </w:r>
      <w:r w:rsidR="00402572" w:rsidRPr="00813D19">
        <w:rPr>
          <w:lang w:val="en-US"/>
        </w:rPr>
        <w:t>ry interesting to hear all the different</w:t>
      </w:r>
      <w:r w:rsidR="0063135F" w:rsidRPr="00813D19">
        <w:rPr>
          <w:lang w:val="en-US"/>
        </w:rPr>
        <w:t xml:space="preserve"> views. </w:t>
      </w:r>
      <w:r w:rsidR="00E03C50" w:rsidRPr="00813D19">
        <w:rPr>
          <w:lang w:val="en-US"/>
        </w:rPr>
        <w:t>L</w:t>
      </w:r>
      <w:r w:rsidR="0063135F" w:rsidRPr="00813D19">
        <w:rPr>
          <w:lang w:val="en-US"/>
        </w:rPr>
        <w:t>eaving aside the legal issues raised by Belgium, Switzerland and Estonia</w:t>
      </w:r>
      <w:r w:rsidR="00402572" w:rsidRPr="00813D19">
        <w:rPr>
          <w:lang w:val="en-US"/>
        </w:rPr>
        <w:t xml:space="preserve">, it </w:t>
      </w:r>
      <w:r w:rsidR="00E03C50" w:rsidRPr="00813D19">
        <w:rPr>
          <w:lang w:val="en-US"/>
        </w:rPr>
        <w:t>found</w:t>
      </w:r>
      <w:r w:rsidR="00402572" w:rsidRPr="00813D19">
        <w:rPr>
          <w:lang w:val="en-US"/>
        </w:rPr>
        <w:t xml:space="preserve"> </w:t>
      </w:r>
      <w:r w:rsidR="0063135F" w:rsidRPr="00813D19">
        <w:rPr>
          <w:lang w:val="en-US"/>
        </w:rPr>
        <w:t xml:space="preserve">this experimental </w:t>
      </w:r>
      <w:r w:rsidR="00402572" w:rsidRPr="00813D19">
        <w:rPr>
          <w:lang w:val="en-US"/>
        </w:rPr>
        <w:t xml:space="preserve">pilot procedure </w:t>
      </w:r>
      <w:r w:rsidR="0063135F" w:rsidRPr="00813D19">
        <w:rPr>
          <w:lang w:val="en-US"/>
        </w:rPr>
        <w:t>very useful</w:t>
      </w:r>
      <w:r w:rsidR="00E03C50" w:rsidRPr="00813D19">
        <w:rPr>
          <w:lang w:val="en-US"/>
        </w:rPr>
        <w:t>,</w:t>
      </w:r>
      <w:r w:rsidR="0063135F" w:rsidRPr="00813D19">
        <w:rPr>
          <w:lang w:val="en-US"/>
        </w:rPr>
        <w:t xml:space="preserve"> </w:t>
      </w:r>
      <w:r w:rsidR="00E03C50" w:rsidRPr="00813D19">
        <w:rPr>
          <w:lang w:val="en-US"/>
        </w:rPr>
        <w:t xml:space="preserve">but </w:t>
      </w:r>
      <w:r w:rsidR="00402572" w:rsidRPr="00813D19">
        <w:rPr>
          <w:lang w:val="en-US"/>
        </w:rPr>
        <w:t xml:space="preserve">only if </w:t>
      </w:r>
      <w:r w:rsidR="00E03C50" w:rsidRPr="00813D19">
        <w:rPr>
          <w:lang w:val="en-US"/>
        </w:rPr>
        <w:t>it could be applied</w:t>
      </w:r>
      <w:r w:rsidR="00402572" w:rsidRPr="00813D19">
        <w:rPr>
          <w:lang w:val="en-US"/>
        </w:rPr>
        <w:t xml:space="preserve"> </w:t>
      </w:r>
      <w:r w:rsidR="0063135F" w:rsidRPr="00813D19">
        <w:rPr>
          <w:lang w:val="en-US"/>
        </w:rPr>
        <w:t xml:space="preserve">according to the rules </w:t>
      </w:r>
      <w:r w:rsidR="00402572" w:rsidRPr="00813D19">
        <w:rPr>
          <w:lang w:val="en-US"/>
        </w:rPr>
        <w:t xml:space="preserve">that </w:t>
      </w:r>
      <w:r w:rsidR="00E03C50" w:rsidRPr="00813D19">
        <w:rPr>
          <w:lang w:val="en-US"/>
        </w:rPr>
        <w:t>the Committee</w:t>
      </w:r>
      <w:r w:rsidR="00402572" w:rsidRPr="00813D19">
        <w:rPr>
          <w:lang w:val="en-US"/>
        </w:rPr>
        <w:t xml:space="preserve"> had itself </w:t>
      </w:r>
      <w:r w:rsidR="0063135F" w:rsidRPr="00813D19">
        <w:rPr>
          <w:lang w:val="en-US"/>
        </w:rPr>
        <w:t>established in previous</w:t>
      </w:r>
      <w:r w:rsidR="00402572" w:rsidRPr="00813D19">
        <w:rPr>
          <w:lang w:val="en-US"/>
        </w:rPr>
        <w:t xml:space="preserve"> cycles.</w:t>
      </w:r>
      <w:r w:rsidR="0063135F" w:rsidRPr="00813D19">
        <w:rPr>
          <w:lang w:val="en-US"/>
        </w:rPr>
        <w:t xml:space="preserve"> </w:t>
      </w:r>
      <w:r w:rsidR="00E03C50" w:rsidRPr="00813D19">
        <w:rPr>
          <w:lang w:val="en-US"/>
        </w:rPr>
        <w:t>Nevertheless, i</w:t>
      </w:r>
      <w:r w:rsidR="00402572" w:rsidRPr="00813D19">
        <w:rPr>
          <w:lang w:val="en-US"/>
        </w:rPr>
        <w:t>t</w:t>
      </w:r>
      <w:r w:rsidR="0063135F" w:rsidRPr="00813D19">
        <w:rPr>
          <w:lang w:val="en-US"/>
        </w:rPr>
        <w:t xml:space="preserve"> would be </w:t>
      </w:r>
      <w:r w:rsidR="00402572" w:rsidRPr="00813D19">
        <w:rPr>
          <w:lang w:val="en-US"/>
        </w:rPr>
        <w:t xml:space="preserve">in </w:t>
      </w:r>
      <w:r w:rsidR="0063135F" w:rsidRPr="00813D19">
        <w:rPr>
          <w:lang w:val="en-US"/>
        </w:rPr>
        <w:t>favour of this procedure</w:t>
      </w:r>
      <w:r w:rsidR="00E03C50" w:rsidRPr="00813D19">
        <w:rPr>
          <w:lang w:val="en-US"/>
        </w:rPr>
        <w:t>,</w:t>
      </w:r>
      <w:r w:rsidR="0063135F" w:rsidRPr="00813D19">
        <w:rPr>
          <w:lang w:val="en-US"/>
        </w:rPr>
        <w:t xml:space="preserve"> </w:t>
      </w:r>
      <w:r w:rsidR="00E03C50" w:rsidRPr="00813D19">
        <w:rPr>
          <w:lang w:val="en-US"/>
        </w:rPr>
        <w:t xml:space="preserve">as </w:t>
      </w:r>
      <w:r w:rsidR="00402572" w:rsidRPr="00813D19">
        <w:rPr>
          <w:lang w:val="en-US"/>
        </w:rPr>
        <w:t xml:space="preserve">it </w:t>
      </w:r>
      <w:r w:rsidR="0063135F" w:rsidRPr="00813D19">
        <w:rPr>
          <w:lang w:val="en-US"/>
        </w:rPr>
        <w:t>believe</w:t>
      </w:r>
      <w:r w:rsidR="00402572" w:rsidRPr="00813D19">
        <w:rPr>
          <w:lang w:val="en-US"/>
        </w:rPr>
        <w:t>d</w:t>
      </w:r>
      <w:r w:rsidR="0063135F" w:rsidRPr="00813D19">
        <w:rPr>
          <w:lang w:val="en-US"/>
        </w:rPr>
        <w:t xml:space="preserve"> that </w:t>
      </w:r>
      <w:r w:rsidR="00E03C50" w:rsidRPr="00813D19">
        <w:rPr>
          <w:lang w:val="en-US"/>
        </w:rPr>
        <w:t xml:space="preserve">it </w:t>
      </w:r>
      <w:r w:rsidR="0063135F" w:rsidRPr="00813D19">
        <w:rPr>
          <w:lang w:val="en-US"/>
        </w:rPr>
        <w:t xml:space="preserve">could be a valid way to foster real compliance with the requirements of the criteria for inscription, particularly on the Representative List. </w:t>
      </w:r>
      <w:r w:rsidR="00402572" w:rsidRPr="00813D19">
        <w:rPr>
          <w:lang w:val="en-US"/>
        </w:rPr>
        <w:t>I</w:t>
      </w:r>
      <w:r w:rsidR="0063135F" w:rsidRPr="00813D19">
        <w:rPr>
          <w:lang w:val="en-US"/>
        </w:rPr>
        <w:t>n many cases</w:t>
      </w:r>
      <w:r w:rsidR="00402572" w:rsidRPr="00813D19">
        <w:rPr>
          <w:lang w:val="en-US"/>
        </w:rPr>
        <w:t>,</w:t>
      </w:r>
      <w:r w:rsidR="0063135F" w:rsidRPr="00813D19">
        <w:rPr>
          <w:lang w:val="en-US"/>
        </w:rPr>
        <w:t xml:space="preserve"> </w:t>
      </w:r>
      <w:r w:rsidR="00402572" w:rsidRPr="00813D19">
        <w:rPr>
          <w:lang w:val="en-US"/>
        </w:rPr>
        <w:t xml:space="preserve">there </w:t>
      </w:r>
      <w:r w:rsidR="0063135F" w:rsidRPr="00813D19">
        <w:rPr>
          <w:lang w:val="en-US"/>
        </w:rPr>
        <w:t xml:space="preserve">is a </w:t>
      </w:r>
      <w:r w:rsidR="0063135F" w:rsidRPr="00813D19">
        <w:rPr>
          <w:i/>
          <w:lang w:val="en-US"/>
        </w:rPr>
        <w:t>verbal</w:t>
      </w:r>
      <w:r w:rsidR="0063135F" w:rsidRPr="00813D19">
        <w:rPr>
          <w:lang w:val="en-US"/>
        </w:rPr>
        <w:t xml:space="preserve"> compliance </w:t>
      </w:r>
      <w:r w:rsidR="00402572" w:rsidRPr="00813D19">
        <w:rPr>
          <w:lang w:val="en-US"/>
        </w:rPr>
        <w:t xml:space="preserve">in the decisions, i.e. </w:t>
      </w:r>
      <w:r w:rsidR="0063135F" w:rsidRPr="00813D19">
        <w:rPr>
          <w:lang w:val="en-US"/>
        </w:rPr>
        <w:t>the Committee</w:t>
      </w:r>
      <w:r w:rsidR="00402572" w:rsidRPr="00813D19">
        <w:rPr>
          <w:lang w:val="en-US"/>
        </w:rPr>
        <w:t xml:space="preserve">’s decisions </w:t>
      </w:r>
      <w:r w:rsidR="00E03C50" w:rsidRPr="00813D19">
        <w:rPr>
          <w:lang w:val="en-US"/>
        </w:rPr>
        <w:t>can be</w:t>
      </w:r>
      <w:r w:rsidR="0063135F" w:rsidRPr="00813D19">
        <w:rPr>
          <w:lang w:val="en-US"/>
        </w:rPr>
        <w:t xml:space="preserve"> quite different </w:t>
      </w:r>
      <w:r w:rsidR="00E03C50" w:rsidRPr="00813D19">
        <w:rPr>
          <w:lang w:val="en-US"/>
        </w:rPr>
        <w:t xml:space="preserve">from </w:t>
      </w:r>
      <w:r w:rsidR="00402572" w:rsidRPr="00813D19">
        <w:rPr>
          <w:lang w:val="en-US"/>
        </w:rPr>
        <w:t xml:space="preserve">the recommendations </w:t>
      </w:r>
      <w:r w:rsidR="00E03C50" w:rsidRPr="00813D19">
        <w:rPr>
          <w:lang w:val="en-US"/>
        </w:rPr>
        <w:t xml:space="preserve">made </w:t>
      </w:r>
      <w:r w:rsidR="00402572" w:rsidRPr="00813D19">
        <w:rPr>
          <w:lang w:val="en-US"/>
        </w:rPr>
        <w:t>by the Evaluation Body,</w:t>
      </w:r>
      <w:r w:rsidR="0063135F" w:rsidRPr="00813D19">
        <w:rPr>
          <w:lang w:val="en-US"/>
        </w:rPr>
        <w:t xml:space="preserve"> </w:t>
      </w:r>
      <w:r w:rsidR="00402572" w:rsidRPr="00813D19">
        <w:rPr>
          <w:lang w:val="en-US"/>
        </w:rPr>
        <w:t xml:space="preserve">and </w:t>
      </w:r>
      <w:r w:rsidR="0063135F" w:rsidRPr="00813D19">
        <w:rPr>
          <w:lang w:val="en-US"/>
        </w:rPr>
        <w:t xml:space="preserve">not a </w:t>
      </w:r>
      <w:r w:rsidR="0063135F" w:rsidRPr="00813D19">
        <w:rPr>
          <w:i/>
          <w:lang w:val="en-US"/>
        </w:rPr>
        <w:t>real</w:t>
      </w:r>
      <w:r w:rsidR="0063135F" w:rsidRPr="00813D19">
        <w:rPr>
          <w:lang w:val="en-US"/>
        </w:rPr>
        <w:t xml:space="preserve"> compliance </w:t>
      </w:r>
      <w:r w:rsidR="00E03C50" w:rsidRPr="00813D19">
        <w:rPr>
          <w:lang w:val="en-US"/>
        </w:rPr>
        <w:t xml:space="preserve">with </w:t>
      </w:r>
      <w:r w:rsidR="0063135F" w:rsidRPr="00813D19">
        <w:rPr>
          <w:lang w:val="en-US"/>
        </w:rPr>
        <w:t xml:space="preserve">the spirit and criteria </w:t>
      </w:r>
      <w:r w:rsidR="00402572" w:rsidRPr="00813D19">
        <w:rPr>
          <w:lang w:val="en-US"/>
        </w:rPr>
        <w:t>under examination</w:t>
      </w:r>
      <w:r w:rsidR="0063135F" w:rsidRPr="00813D19">
        <w:rPr>
          <w:lang w:val="en-US"/>
        </w:rPr>
        <w:t>. The dialogue need</w:t>
      </w:r>
      <w:r w:rsidR="00AA2973" w:rsidRPr="00813D19">
        <w:rPr>
          <w:lang w:val="en-US"/>
        </w:rPr>
        <w:t>ed</w:t>
      </w:r>
      <w:r w:rsidR="0063135F" w:rsidRPr="00813D19">
        <w:rPr>
          <w:lang w:val="en-US"/>
        </w:rPr>
        <w:t xml:space="preserve"> must </w:t>
      </w:r>
      <w:r w:rsidR="00AA2973" w:rsidRPr="00813D19">
        <w:rPr>
          <w:lang w:val="en-US"/>
        </w:rPr>
        <w:t xml:space="preserve">therefore </w:t>
      </w:r>
      <w:r w:rsidR="0063135F" w:rsidRPr="00813D19">
        <w:rPr>
          <w:lang w:val="en-US"/>
        </w:rPr>
        <w:t>be structured</w:t>
      </w:r>
      <w:r w:rsidR="00E03C50" w:rsidRPr="00813D19">
        <w:rPr>
          <w:lang w:val="en-US"/>
        </w:rPr>
        <w:t>,</w:t>
      </w:r>
      <w:r w:rsidR="0063135F" w:rsidRPr="00813D19">
        <w:rPr>
          <w:lang w:val="en-US"/>
        </w:rPr>
        <w:t xml:space="preserve"> and this </w:t>
      </w:r>
      <w:r w:rsidR="00E03C50" w:rsidRPr="00813D19">
        <w:rPr>
          <w:lang w:val="en-US"/>
        </w:rPr>
        <w:t xml:space="preserve">proposed </w:t>
      </w:r>
      <w:r w:rsidR="0063135F" w:rsidRPr="00813D19">
        <w:rPr>
          <w:lang w:val="en-US"/>
        </w:rPr>
        <w:t xml:space="preserve">procedure </w:t>
      </w:r>
      <w:r w:rsidR="00E03C50" w:rsidRPr="00813D19">
        <w:rPr>
          <w:lang w:val="en-US"/>
        </w:rPr>
        <w:t xml:space="preserve">could </w:t>
      </w:r>
      <w:r w:rsidR="0063135F" w:rsidRPr="00813D19">
        <w:rPr>
          <w:lang w:val="en-US"/>
        </w:rPr>
        <w:t>be a real way for transparent dialogue</w:t>
      </w:r>
      <w:r w:rsidR="00E03C50" w:rsidRPr="00813D19">
        <w:rPr>
          <w:lang w:val="en-US"/>
        </w:rPr>
        <w:t xml:space="preserve"> such </w:t>
      </w:r>
      <w:r w:rsidR="0063135F" w:rsidRPr="00813D19">
        <w:rPr>
          <w:lang w:val="en-US"/>
        </w:rPr>
        <w:t xml:space="preserve">that </w:t>
      </w:r>
      <w:r w:rsidR="00AA2973" w:rsidRPr="00813D19">
        <w:rPr>
          <w:lang w:val="en-US"/>
        </w:rPr>
        <w:t xml:space="preserve">there </w:t>
      </w:r>
      <w:r w:rsidR="00014A80">
        <w:rPr>
          <w:lang w:val="en-US"/>
        </w:rPr>
        <w:t>was</w:t>
      </w:r>
      <w:r w:rsidR="00014A80" w:rsidRPr="00813D19">
        <w:rPr>
          <w:lang w:val="en-US"/>
        </w:rPr>
        <w:t xml:space="preserve"> </w:t>
      </w:r>
      <w:r w:rsidR="00AA2973" w:rsidRPr="00813D19">
        <w:rPr>
          <w:lang w:val="en-US"/>
        </w:rPr>
        <w:t xml:space="preserve">compliance between the </w:t>
      </w:r>
      <w:r w:rsidR="00E03C50" w:rsidRPr="00813D19">
        <w:rPr>
          <w:lang w:val="en-US"/>
        </w:rPr>
        <w:t xml:space="preserve">recommendations of the </w:t>
      </w:r>
      <w:r w:rsidR="0063135F" w:rsidRPr="00813D19">
        <w:rPr>
          <w:lang w:val="en-US"/>
        </w:rPr>
        <w:t xml:space="preserve">Evaluation Body </w:t>
      </w:r>
      <w:r w:rsidR="00E03C50" w:rsidRPr="00813D19">
        <w:rPr>
          <w:lang w:val="en-US"/>
        </w:rPr>
        <w:t xml:space="preserve">and </w:t>
      </w:r>
      <w:r w:rsidR="0063135F" w:rsidRPr="00813D19">
        <w:rPr>
          <w:lang w:val="en-US"/>
        </w:rPr>
        <w:t xml:space="preserve">what </w:t>
      </w:r>
      <w:r w:rsidR="00014A80">
        <w:rPr>
          <w:lang w:val="en-US"/>
        </w:rPr>
        <w:t>was</w:t>
      </w:r>
      <w:r w:rsidR="00014A80" w:rsidRPr="00813D19">
        <w:rPr>
          <w:lang w:val="en-US"/>
        </w:rPr>
        <w:t xml:space="preserve"> </w:t>
      </w:r>
      <w:r w:rsidR="0063135F" w:rsidRPr="00813D19">
        <w:rPr>
          <w:lang w:val="en-US"/>
        </w:rPr>
        <w:t xml:space="preserve">expected </w:t>
      </w:r>
      <w:r w:rsidR="00E03C50" w:rsidRPr="00813D19">
        <w:rPr>
          <w:lang w:val="en-US"/>
        </w:rPr>
        <w:t xml:space="preserve">from </w:t>
      </w:r>
      <w:r w:rsidR="0063135F" w:rsidRPr="00813D19">
        <w:rPr>
          <w:lang w:val="en-US"/>
        </w:rPr>
        <w:t xml:space="preserve">the submitting State. </w:t>
      </w:r>
      <w:r w:rsidR="00AA2973" w:rsidRPr="00813D19">
        <w:rPr>
          <w:lang w:val="en-US"/>
        </w:rPr>
        <w:t xml:space="preserve">This was the rationale behind </w:t>
      </w:r>
      <w:r w:rsidR="0063135F" w:rsidRPr="00813D19">
        <w:rPr>
          <w:lang w:val="en-US"/>
        </w:rPr>
        <w:t>this procedure</w:t>
      </w:r>
      <w:r w:rsidR="00AA2973" w:rsidRPr="00813D19">
        <w:rPr>
          <w:lang w:val="en-US"/>
        </w:rPr>
        <w:t xml:space="preserve"> and </w:t>
      </w:r>
      <w:r w:rsidR="00E03C50" w:rsidRPr="00813D19">
        <w:rPr>
          <w:lang w:val="en-US"/>
        </w:rPr>
        <w:t xml:space="preserve">thus </w:t>
      </w:r>
      <w:r w:rsidR="00AA2973" w:rsidRPr="00813D19">
        <w:rPr>
          <w:lang w:val="en-US"/>
        </w:rPr>
        <w:t xml:space="preserve">a good way forward, but only if </w:t>
      </w:r>
      <w:r w:rsidR="0063135F" w:rsidRPr="00813D19">
        <w:rPr>
          <w:lang w:val="en-US"/>
        </w:rPr>
        <w:t xml:space="preserve">the legal issues </w:t>
      </w:r>
      <w:r w:rsidR="00AA2973" w:rsidRPr="00813D19">
        <w:rPr>
          <w:lang w:val="en-US"/>
        </w:rPr>
        <w:t>were not grave</w:t>
      </w:r>
      <w:r w:rsidR="0063135F" w:rsidRPr="00813D19">
        <w:rPr>
          <w:lang w:val="en-US"/>
        </w:rPr>
        <w:t xml:space="preserve"> </w:t>
      </w:r>
      <w:r w:rsidR="00AA2973" w:rsidRPr="00813D19">
        <w:rPr>
          <w:lang w:val="en-US"/>
        </w:rPr>
        <w:t>or in contravention.</w:t>
      </w:r>
      <w:r w:rsidR="0063135F" w:rsidRPr="00813D19">
        <w:rPr>
          <w:lang w:val="en-US"/>
        </w:rPr>
        <w:t xml:space="preserve"> </w:t>
      </w:r>
      <w:r w:rsidR="00AA2973" w:rsidRPr="00813D19">
        <w:rPr>
          <w:lang w:val="en-US"/>
        </w:rPr>
        <w:t>Furthermore, the delegation</w:t>
      </w:r>
      <w:r w:rsidR="0063135F" w:rsidRPr="00813D19">
        <w:rPr>
          <w:lang w:val="en-US"/>
        </w:rPr>
        <w:t xml:space="preserve"> echo</w:t>
      </w:r>
      <w:r w:rsidR="00AA2973" w:rsidRPr="00813D19">
        <w:rPr>
          <w:lang w:val="en-US"/>
        </w:rPr>
        <w:t>ed</w:t>
      </w:r>
      <w:r w:rsidR="0063135F" w:rsidRPr="00813D19">
        <w:rPr>
          <w:lang w:val="en-US"/>
        </w:rPr>
        <w:t xml:space="preserve"> the observations and concerns made by China, particularly on criterion </w:t>
      </w:r>
      <w:r w:rsidR="00AA2973" w:rsidRPr="00813D19">
        <w:rPr>
          <w:lang w:val="en-US"/>
        </w:rPr>
        <w:t>R.</w:t>
      </w:r>
      <w:r w:rsidR="0063135F" w:rsidRPr="00813D19">
        <w:rPr>
          <w:lang w:val="en-US"/>
        </w:rPr>
        <w:t xml:space="preserve">2. </w:t>
      </w:r>
      <w:r w:rsidR="00AA2973" w:rsidRPr="00813D19">
        <w:rPr>
          <w:lang w:val="en-US"/>
        </w:rPr>
        <w:t xml:space="preserve">It </w:t>
      </w:r>
      <w:r w:rsidR="0063135F" w:rsidRPr="00813D19">
        <w:rPr>
          <w:lang w:val="en-US"/>
        </w:rPr>
        <w:t>believe</w:t>
      </w:r>
      <w:r w:rsidR="00AA2973" w:rsidRPr="00813D19">
        <w:rPr>
          <w:lang w:val="en-US"/>
        </w:rPr>
        <w:t>d</w:t>
      </w:r>
      <w:r w:rsidR="0063135F" w:rsidRPr="00813D19">
        <w:rPr>
          <w:lang w:val="en-US"/>
        </w:rPr>
        <w:t xml:space="preserve"> that this </w:t>
      </w:r>
      <w:r w:rsidR="00AA2973" w:rsidRPr="00813D19">
        <w:rPr>
          <w:lang w:val="en-US"/>
        </w:rPr>
        <w:t xml:space="preserve">signified a </w:t>
      </w:r>
      <w:r w:rsidR="0063135F" w:rsidRPr="00813D19">
        <w:rPr>
          <w:lang w:val="en-US"/>
        </w:rPr>
        <w:t xml:space="preserve">moment of </w:t>
      </w:r>
      <w:r w:rsidR="00E03C50" w:rsidRPr="00813D19">
        <w:rPr>
          <w:lang w:val="en-US"/>
        </w:rPr>
        <w:t xml:space="preserve">realization </w:t>
      </w:r>
      <w:r w:rsidR="0063135F" w:rsidRPr="00813D19">
        <w:rPr>
          <w:lang w:val="en-US"/>
        </w:rPr>
        <w:t xml:space="preserve">on the part of the submitting States and </w:t>
      </w:r>
      <w:r w:rsidR="00AA2973" w:rsidRPr="00813D19">
        <w:rPr>
          <w:lang w:val="en-US"/>
        </w:rPr>
        <w:t xml:space="preserve">the </w:t>
      </w:r>
      <w:r w:rsidR="0063135F" w:rsidRPr="00813D19">
        <w:rPr>
          <w:lang w:val="en-US"/>
        </w:rPr>
        <w:t xml:space="preserve">communities </w:t>
      </w:r>
      <w:r w:rsidR="00AA2973" w:rsidRPr="00813D19">
        <w:rPr>
          <w:lang w:val="en-US"/>
        </w:rPr>
        <w:t xml:space="preserve">that </w:t>
      </w:r>
      <w:r w:rsidR="0063135F" w:rsidRPr="00813D19">
        <w:rPr>
          <w:lang w:val="en-US"/>
        </w:rPr>
        <w:t xml:space="preserve">true compliance </w:t>
      </w:r>
      <w:r w:rsidR="00014A80">
        <w:rPr>
          <w:lang w:val="en-US"/>
        </w:rPr>
        <w:t>with</w:t>
      </w:r>
      <w:r w:rsidR="00014A80" w:rsidRPr="00813D19">
        <w:rPr>
          <w:lang w:val="en-US"/>
        </w:rPr>
        <w:t xml:space="preserve"> </w:t>
      </w:r>
      <w:r w:rsidR="0063135F" w:rsidRPr="00813D19">
        <w:rPr>
          <w:lang w:val="en-US"/>
        </w:rPr>
        <w:t xml:space="preserve">the spirit of the Convention can </w:t>
      </w:r>
      <w:r w:rsidR="00E03C50" w:rsidRPr="00813D19">
        <w:rPr>
          <w:lang w:val="en-US"/>
        </w:rPr>
        <w:t xml:space="preserve">only </w:t>
      </w:r>
      <w:r w:rsidR="0063135F" w:rsidRPr="00813D19">
        <w:rPr>
          <w:lang w:val="en-US"/>
        </w:rPr>
        <w:t xml:space="preserve">be expressed if </w:t>
      </w:r>
      <w:r w:rsidR="00AA2973" w:rsidRPr="00813D19">
        <w:rPr>
          <w:lang w:val="en-US"/>
        </w:rPr>
        <w:t>R.</w:t>
      </w:r>
      <w:r w:rsidR="0063135F" w:rsidRPr="00813D19">
        <w:rPr>
          <w:lang w:val="en-US"/>
        </w:rPr>
        <w:t xml:space="preserve">2 is met accordingly. </w:t>
      </w:r>
      <w:r w:rsidR="00AA2973" w:rsidRPr="00813D19">
        <w:rPr>
          <w:lang w:val="en-US"/>
        </w:rPr>
        <w:t xml:space="preserve">Another </w:t>
      </w:r>
      <w:r w:rsidR="0063135F" w:rsidRPr="00813D19">
        <w:rPr>
          <w:lang w:val="en-US"/>
        </w:rPr>
        <w:t>issue</w:t>
      </w:r>
      <w:r w:rsidR="00AA2973" w:rsidRPr="00813D19">
        <w:rPr>
          <w:lang w:val="en-US"/>
        </w:rPr>
        <w:t xml:space="preserve"> raised concerned the </w:t>
      </w:r>
      <w:r w:rsidR="0063135F" w:rsidRPr="00813D19">
        <w:rPr>
          <w:lang w:val="en-US"/>
        </w:rPr>
        <w:t xml:space="preserve">compliance </w:t>
      </w:r>
      <w:r w:rsidR="00AA2973" w:rsidRPr="00813D19">
        <w:rPr>
          <w:lang w:val="en-US"/>
        </w:rPr>
        <w:t xml:space="preserve">of </w:t>
      </w:r>
      <w:r w:rsidR="0063135F" w:rsidRPr="00813D19">
        <w:rPr>
          <w:lang w:val="en-US"/>
        </w:rPr>
        <w:t xml:space="preserve">criterion R.5 or U.5 </w:t>
      </w:r>
      <w:r w:rsidR="00E03C50" w:rsidRPr="00813D19">
        <w:rPr>
          <w:lang w:val="en-US"/>
        </w:rPr>
        <w:t xml:space="preserve">in </w:t>
      </w:r>
      <w:r w:rsidR="0063135F" w:rsidRPr="00813D19">
        <w:rPr>
          <w:lang w:val="en-US"/>
        </w:rPr>
        <w:t xml:space="preserve">the two Lists, </w:t>
      </w:r>
      <w:r w:rsidR="00AA2973" w:rsidRPr="00813D19">
        <w:rPr>
          <w:lang w:val="en-US"/>
        </w:rPr>
        <w:t xml:space="preserve">which </w:t>
      </w:r>
      <w:r w:rsidR="0063135F" w:rsidRPr="00813D19">
        <w:rPr>
          <w:lang w:val="en-US"/>
        </w:rPr>
        <w:t>require</w:t>
      </w:r>
      <w:r w:rsidR="00AA2973" w:rsidRPr="00813D19">
        <w:rPr>
          <w:lang w:val="en-US"/>
        </w:rPr>
        <w:t>d</w:t>
      </w:r>
      <w:r w:rsidR="0063135F" w:rsidRPr="00813D19">
        <w:rPr>
          <w:lang w:val="en-US"/>
        </w:rPr>
        <w:t xml:space="preserve"> </w:t>
      </w:r>
      <w:r w:rsidR="00AA2973" w:rsidRPr="00813D19">
        <w:rPr>
          <w:lang w:val="en-US"/>
        </w:rPr>
        <w:t>receiving</w:t>
      </w:r>
      <w:r w:rsidR="0063135F" w:rsidRPr="00813D19">
        <w:rPr>
          <w:lang w:val="en-US"/>
        </w:rPr>
        <w:t xml:space="preserve"> evidence or declarations that the element </w:t>
      </w:r>
      <w:r w:rsidR="00014A80">
        <w:rPr>
          <w:lang w:val="en-US"/>
        </w:rPr>
        <w:t>had</w:t>
      </w:r>
      <w:r w:rsidR="00014A80" w:rsidRPr="00813D19">
        <w:rPr>
          <w:lang w:val="en-US"/>
        </w:rPr>
        <w:t xml:space="preserve"> </w:t>
      </w:r>
      <w:r w:rsidR="0063135F" w:rsidRPr="00813D19">
        <w:rPr>
          <w:lang w:val="en-US"/>
        </w:rPr>
        <w:t xml:space="preserve">not just been inscribed in an inventory but that the inventory </w:t>
      </w:r>
      <w:r w:rsidR="00AA2973" w:rsidRPr="00813D19">
        <w:rPr>
          <w:lang w:val="en-US"/>
        </w:rPr>
        <w:t xml:space="preserve">was </w:t>
      </w:r>
      <w:r w:rsidR="0063135F" w:rsidRPr="00813D19">
        <w:rPr>
          <w:lang w:val="en-US"/>
        </w:rPr>
        <w:t xml:space="preserve">regularly updated. Just as </w:t>
      </w:r>
      <w:r w:rsidR="00AA2973" w:rsidRPr="00813D19">
        <w:rPr>
          <w:lang w:val="en-US"/>
        </w:rPr>
        <w:t xml:space="preserve">intangible cultural heritage </w:t>
      </w:r>
      <w:r w:rsidR="0063135F" w:rsidRPr="00813D19">
        <w:rPr>
          <w:lang w:val="en-US"/>
        </w:rPr>
        <w:t>elements are dynamic and evolving</w:t>
      </w:r>
      <w:r w:rsidR="00AA2973" w:rsidRPr="00813D19">
        <w:rPr>
          <w:lang w:val="en-US"/>
        </w:rPr>
        <w:t>,</w:t>
      </w:r>
      <w:r w:rsidR="0063135F" w:rsidRPr="00813D19">
        <w:rPr>
          <w:lang w:val="en-US"/>
        </w:rPr>
        <w:t xml:space="preserve"> the inventories should follow and reflect this evolution. However, after </w:t>
      </w:r>
      <w:r w:rsidR="00014A80">
        <w:rPr>
          <w:lang w:val="en-US"/>
        </w:rPr>
        <w:t>the</w:t>
      </w:r>
      <w:r w:rsidR="0063135F" w:rsidRPr="00813D19">
        <w:rPr>
          <w:lang w:val="en-US"/>
        </w:rPr>
        <w:t xml:space="preserve"> inscription </w:t>
      </w:r>
      <w:r w:rsidR="00014A80">
        <w:rPr>
          <w:lang w:val="en-US"/>
        </w:rPr>
        <w:t xml:space="preserve">of an element </w:t>
      </w:r>
      <w:r w:rsidR="0063135F" w:rsidRPr="00813D19">
        <w:rPr>
          <w:lang w:val="en-US"/>
        </w:rPr>
        <w:t>on the Representative List</w:t>
      </w:r>
      <w:r w:rsidR="00014A80">
        <w:rPr>
          <w:lang w:val="en-US"/>
        </w:rPr>
        <w:t>,</w:t>
      </w:r>
      <w:r w:rsidR="0063135F" w:rsidRPr="00813D19">
        <w:rPr>
          <w:lang w:val="en-US"/>
        </w:rPr>
        <w:t xml:space="preserve"> there is no such requirement or even a relevant provision. This discrepancy between the two rules may</w:t>
      </w:r>
      <w:r w:rsidR="00AA2973" w:rsidRPr="00813D19">
        <w:rPr>
          <w:lang w:val="en-US"/>
        </w:rPr>
        <w:t xml:space="preserve"> in a sense </w:t>
      </w:r>
      <w:r w:rsidR="0063135F" w:rsidRPr="00813D19">
        <w:rPr>
          <w:lang w:val="en-US"/>
        </w:rPr>
        <w:t xml:space="preserve">be resolved with a new periodic reporting mechanism. </w:t>
      </w:r>
      <w:r w:rsidR="00AA2973" w:rsidRPr="00813D19">
        <w:rPr>
          <w:lang w:val="en-US"/>
        </w:rPr>
        <w:t xml:space="preserve">However, </w:t>
      </w:r>
      <w:r w:rsidR="0063135F" w:rsidRPr="00813D19">
        <w:rPr>
          <w:lang w:val="en-US"/>
        </w:rPr>
        <w:t xml:space="preserve">unless a further discussion on the matter </w:t>
      </w:r>
      <w:r w:rsidR="00014A80" w:rsidRPr="00813D19">
        <w:rPr>
          <w:lang w:val="en-US"/>
        </w:rPr>
        <w:t>t</w:t>
      </w:r>
      <w:r w:rsidR="00014A80">
        <w:rPr>
          <w:lang w:val="en-US"/>
        </w:rPr>
        <w:t>ook</w:t>
      </w:r>
      <w:r w:rsidR="00014A80" w:rsidRPr="00813D19">
        <w:rPr>
          <w:lang w:val="en-US"/>
        </w:rPr>
        <w:t xml:space="preserve"> </w:t>
      </w:r>
      <w:r w:rsidR="0063135F" w:rsidRPr="00813D19">
        <w:rPr>
          <w:lang w:val="en-US"/>
        </w:rPr>
        <w:t>place</w:t>
      </w:r>
      <w:r w:rsidR="00AA2973" w:rsidRPr="00813D19">
        <w:rPr>
          <w:lang w:val="en-US"/>
        </w:rPr>
        <w:t xml:space="preserve">, the delegation </w:t>
      </w:r>
      <w:r w:rsidR="0063135F" w:rsidRPr="00813D19">
        <w:rPr>
          <w:lang w:val="en-US"/>
        </w:rPr>
        <w:t>believe</w:t>
      </w:r>
      <w:r w:rsidR="00AA2973" w:rsidRPr="00813D19">
        <w:rPr>
          <w:lang w:val="en-US"/>
        </w:rPr>
        <w:t>d</w:t>
      </w:r>
      <w:r w:rsidR="0063135F" w:rsidRPr="00813D19">
        <w:rPr>
          <w:lang w:val="en-US"/>
        </w:rPr>
        <w:t xml:space="preserve"> </w:t>
      </w:r>
      <w:r w:rsidR="00AA2973" w:rsidRPr="00813D19">
        <w:rPr>
          <w:lang w:val="en-US"/>
        </w:rPr>
        <w:t xml:space="preserve">that this </w:t>
      </w:r>
      <w:r w:rsidR="0063135F" w:rsidRPr="00813D19">
        <w:rPr>
          <w:lang w:val="en-US"/>
        </w:rPr>
        <w:t xml:space="preserve">contradiction </w:t>
      </w:r>
      <w:r w:rsidR="00AA2973" w:rsidRPr="00813D19">
        <w:rPr>
          <w:lang w:val="en-US"/>
        </w:rPr>
        <w:t xml:space="preserve">would remain </w:t>
      </w:r>
      <w:r w:rsidR="0063135F" w:rsidRPr="00813D19">
        <w:rPr>
          <w:lang w:val="en-US"/>
        </w:rPr>
        <w:t xml:space="preserve">unresolved. </w:t>
      </w:r>
      <w:r w:rsidR="00AA2973" w:rsidRPr="00813D19">
        <w:rPr>
          <w:lang w:val="en-US"/>
        </w:rPr>
        <w:t xml:space="preserve">Perhaps </w:t>
      </w:r>
      <w:r w:rsidR="0063135F" w:rsidRPr="00813D19">
        <w:rPr>
          <w:lang w:val="en-US"/>
        </w:rPr>
        <w:t xml:space="preserve">the Secretariat would deem it worthy to start some </w:t>
      </w:r>
      <w:r w:rsidR="00AA2973" w:rsidRPr="00813D19">
        <w:rPr>
          <w:lang w:val="en-US"/>
        </w:rPr>
        <w:t xml:space="preserve">form </w:t>
      </w:r>
      <w:r w:rsidR="00E03C50" w:rsidRPr="00813D19">
        <w:rPr>
          <w:lang w:val="en-US"/>
        </w:rPr>
        <w:t>of reflection process on this</w:t>
      </w:r>
      <w:r w:rsidR="0063135F" w:rsidRPr="00813D19">
        <w:rPr>
          <w:lang w:val="en-US"/>
        </w:rPr>
        <w:t xml:space="preserve"> issue</w:t>
      </w:r>
      <w:r w:rsidR="00AA2973" w:rsidRPr="00813D19">
        <w:rPr>
          <w:lang w:val="en-US"/>
        </w:rPr>
        <w:t>,</w:t>
      </w:r>
      <w:r w:rsidR="0063135F" w:rsidRPr="00813D19">
        <w:rPr>
          <w:lang w:val="en-US"/>
        </w:rPr>
        <w:t xml:space="preserve"> or it could be included </w:t>
      </w:r>
      <w:r w:rsidR="00AA2973" w:rsidRPr="00813D19">
        <w:rPr>
          <w:lang w:val="en-US"/>
        </w:rPr>
        <w:t xml:space="preserve">in the discussion on </w:t>
      </w:r>
      <w:r w:rsidR="0063135F" w:rsidRPr="00813D19">
        <w:rPr>
          <w:lang w:val="en-US"/>
        </w:rPr>
        <w:t xml:space="preserve">dialogue </w:t>
      </w:r>
      <w:r w:rsidR="00AA2973" w:rsidRPr="00813D19">
        <w:rPr>
          <w:lang w:val="en-US"/>
        </w:rPr>
        <w:t xml:space="preserve">to ensure </w:t>
      </w:r>
      <w:r w:rsidR="00E03C50" w:rsidRPr="00813D19">
        <w:rPr>
          <w:lang w:val="en-US"/>
        </w:rPr>
        <w:t xml:space="preserve">that </w:t>
      </w:r>
      <w:r w:rsidR="0063135F" w:rsidRPr="00813D19">
        <w:rPr>
          <w:lang w:val="en-US"/>
        </w:rPr>
        <w:t>already inscribed elements</w:t>
      </w:r>
      <w:r w:rsidR="00E03C50" w:rsidRPr="00813D19">
        <w:rPr>
          <w:lang w:val="en-US"/>
        </w:rPr>
        <w:t xml:space="preserve"> are updated</w:t>
      </w:r>
      <w:r w:rsidR="00AA2973" w:rsidRPr="00813D19">
        <w:rPr>
          <w:lang w:val="en-US"/>
        </w:rPr>
        <w:t xml:space="preserve">. The delegation explained that there </w:t>
      </w:r>
      <w:r w:rsidR="00E03C50" w:rsidRPr="00813D19">
        <w:rPr>
          <w:lang w:val="en-US"/>
        </w:rPr>
        <w:t xml:space="preserve">had been </w:t>
      </w:r>
      <w:r w:rsidR="00AA2973" w:rsidRPr="00813D19">
        <w:rPr>
          <w:lang w:val="en-US"/>
        </w:rPr>
        <w:t>many instances where files had</w:t>
      </w:r>
      <w:r w:rsidR="0063135F" w:rsidRPr="00813D19">
        <w:rPr>
          <w:lang w:val="en-US"/>
        </w:rPr>
        <w:t xml:space="preserve"> been inscribed </w:t>
      </w:r>
      <w:r w:rsidR="00AA2973" w:rsidRPr="00813D19">
        <w:rPr>
          <w:lang w:val="en-US"/>
        </w:rPr>
        <w:t xml:space="preserve">with </w:t>
      </w:r>
      <w:r w:rsidR="0063135F" w:rsidRPr="00813D19">
        <w:rPr>
          <w:lang w:val="en-US"/>
        </w:rPr>
        <w:t xml:space="preserve">many sections not in true </w:t>
      </w:r>
      <w:r w:rsidR="00DD4E22">
        <w:rPr>
          <w:lang w:val="en-US"/>
        </w:rPr>
        <w:t>compliance with the Convention.</w:t>
      </w:r>
    </w:p>
    <w:p w14:paraId="3F22E38F" w14:textId="5EC1B755" w:rsidR="00E4741E" w:rsidRPr="00813D19" w:rsidRDefault="0091166D"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Germany </w:t>
      </w:r>
      <w:r w:rsidR="00D72FDC" w:rsidRPr="00813D19">
        <w:rPr>
          <w:color w:val="000000" w:themeColor="text1"/>
          <w:lang w:val="en-US"/>
        </w:rPr>
        <w:t>expressed the same position as</w:t>
      </w:r>
      <w:r w:rsidR="00D72FDC" w:rsidRPr="00813D19">
        <w:rPr>
          <w:b/>
          <w:color w:val="000000" w:themeColor="text1"/>
          <w:lang w:val="en-US"/>
        </w:rPr>
        <w:t xml:space="preserve"> </w:t>
      </w:r>
      <w:r w:rsidR="0063135F" w:rsidRPr="00813D19">
        <w:rPr>
          <w:lang w:val="en-US"/>
        </w:rPr>
        <w:t xml:space="preserve">Algeria, Belgium, Switzerland, Estonia and Greece. </w:t>
      </w:r>
      <w:r w:rsidR="00D72FDC" w:rsidRPr="00813D19">
        <w:rPr>
          <w:lang w:val="en-US"/>
        </w:rPr>
        <w:t xml:space="preserve">It very </w:t>
      </w:r>
      <w:r w:rsidR="0063135F" w:rsidRPr="00813D19">
        <w:rPr>
          <w:lang w:val="en-US"/>
        </w:rPr>
        <w:t>much support</w:t>
      </w:r>
      <w:r w:rsidR="00D72FDC" w:rsidRPr="00813D19">
        <w:rPr>
          <w:lang w:val="en-US"/>
        </w:rPr>
        <w:t>ed</w:t>
      </w:r>
      <w:r w:rsidR="0063135F" w:rsidRPr="00813D19">
        <w:rPr>
          <w:lang w:val="en-US"/>
        </w:rPr>
        <w:t xml:space="preserve"> any creative, pragmatic or transparent approach for more dialogue</w:t>
      </w:r>
      <w:r w:rsidR="00D72FDC" w:rsidRPr="00813D19">
        <w:rPr>
          <w:lang w:val="en-US"/>
        </w:rPr>
        <w:t>,</w:t>
      </w:r>
      <w:r w:rsidR="0063135F" w:rsidRPr="00813D19">
        <w:rPr>
          <w:lang w:val="en-US"/>
        </w:rPr>
        <w:t xml:space="preserve"> as discussed in the open-ended working group</w:t>
      </w:r>
      <w:r w:rsidR="00D72FDC" w:rsidRPr="00813D19">
        <w:rPr>
          <w:lang w:val="en-US"/>
        </w:rPr>
        <w:t>,</w:t>
      </w:r>
      <w:r w:rsidR="0063135F" w:rsidRPr="00813D19">
        <w:rPr>
          <w:lang w:val="en-US"/>
        </w:rPr>
        <w:t xml:space="preserve"> but </w:t>
      </w:r>
      <w:r w:rsidR="00D72FDC" w:rsidRPr="00813D19">
        <w:rPr>
          <w:lang w:val="en-US"/>
        </w:rPr>
        <w:t xml:space="preserve">it wished </w:t>
      </w:r>
      <w:r w:rsidR="0063135F" w:rsidRPr="00813D19">
        <w:rPr>
          <w:lang w:val="en-US"/>
        </w:rPr>
        <w:t>to hear the positi</w:t>
      </w:r>
      <w:r w:rsidR="00D72FDC" w:rsidRPr="00813D19">
        <w:rPr>
          <w:lang w:val="en-US"/>
        </w:rPr>
        <w:t>on of the Legal Adviser, particularly with regard</w:t>
      </w:r>
      <w:r w:rsidR="0063135F" w:rsidRPr="00813D19">
        <w:rPr>
          <w:lang w:val="en-US"/>
        </w:rPr>
        <w:t xml:space="preserve"> </w:t>
      </w:r>
      <w:r w:rsidR="00CF25D0" w:rsidRPr="00813D19">
        <w:rPr>
          <w:lang w:val="en-US"/>
        </w:rPr>
        <w:t>to Articles</w:t>
      </w:r>
      <w:r w:rsidR="0063135F" w:rsidRPr="00813D19">
        <w:rPr>
          <w:lang w:val="en-US"/>
        </w:rPr>
        <w:t xml:space="preserve"> 36 and 5</w:t>
      </w:r>
      <w:r w:rsidR="00D72FDC" w:rsidRPr="00813D19">
        <w:rPr>
          <w:lang w:val="en-US"/>
        </w:rPr>
        <w:t>4 of the Operational Directives.</w:t>
      </w:r>
      <w:r w:rsidR="0063135F" w:rsidRPr="00813D19">
        <w:rPr>
          <w:lang w:val="en-US"/>
        </w:rPr>
        <w:t xml:space="preserve"> </w:t>
      </w:r>
      <w:r w:rsidR="00D72FDC" w:rsidRPr="00813D19">
        <w:rPr>
          <w:lang w:val="en-US"/>
        </w:rPr>
        <w:t xml:space="preserve">Was </w:t>
      </w:r>
      <w:r w:rsidR="0063135F" w:rsidRPr="00813D19">
        <w:rPr>
          <w:lang w:val="en-US"/>
        </w:rPr>
        <w:t xml:space="preserve">it possible to </w:t>
      </w:r>
      <w:r w:rsidR="00014A80" w:rsidRPr="00813D19">
        <w:rPr>
          <w:lang w:val="en-US"/>
        </w:rPr>
        <w:t>practi</w:t>
      </w:r>
      <w:r w:rsidR="00014A80">
        <w:rPr>
          <w:lang w:val="en-US"/>
        </w:rPr>
        <w:t>s</w:t>
      </w:r>
      <w:r w:rsidR="00014A80" w:rsidRPr="00813D19">
        <w:rPr>
          <w:lang w:val="en-US"/>
        </w:rPr>
        <w:t xml:space="preserve">e </w:t>
      </w:r>
      <w:r w:rsidR="0063135F" w:rsidRPr="00813D19">
        <w:rPr>
          <w:lang w:val="en-US"/>
        </w:rPr>
        <w:t xml:space="preserve">this new dialogue on an experimental basis without a prior change of </w:t>
      </w:r>
      <w:r w:rsidR="00D72FDC" w:rsidRPr="00813D19">
        <w:rPr>
          <w:lang w:val="en-US"/>
        </w:rPr>
        <w:t xml:space="preserve">the </w:t>
      </w:r>
      <w:r w:rsidR="0063135F" w:rsidRPr="00813D19">
        <w:rPr>
          <w:lang w:val="en-US"/>
        </w:rPr>
        <w:t>two Articles of the Operational Dire</w:t>
      </w:r>
      <w:r w:rsidR="00DD4E22">
        <w:rPr>
          <w:lang w:val="en-US"/>
        </w:rPr>
        <w:t>ctives of the General Assembly?</w:t>
      </w:r>
    </w:p>
    <w:p w14:paraId="2BE5D800" w14:textId="476710AC" w:rsidR="006644B9" w:rsidRPr="00813D19" w:rsidRDefault="006644B9"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Hungary </w:t>
      </w:r>
      <w:r w:rsidR="0063135F" w:rsidRPr="00813D19">
        <w:rPr>
          <w:lang w:val="en-US"/>
        </w:rPr>
        <w:t>join</w:t>
      </w:r>
      <w:r w:rsidR="00725E05" w:rsidRPr="00813D19">
        <w:rPr>
          <w:lang w:val="en-US"/>
        </w:rPr>
        <w:t>ed</w:t>
      </w:r>
      <w:r w:rsidR="0063135F" w:rsidRPr="00813D19">
        <w:rPr>
          <w:lang w:val="en-US"/>
        </w:rPr>
        <w:t xml:space="preserve"> others in thanking Mauritius and </w:t>
      </w:r>
      <w:r w:rsidR="00725E05" w:rsidRPr="00813D19">
        <w:rPr>
          <w:lang w:val="en-US"/>
        </w:rPr>
        <w:t xml:space="preserve">the </w:t>
      </w:r>
      <w:r w:rsidR="0063135F" w:rsidRPr="00813D19">
        <w:rPr>
          <w:lang w:val="en-US"/>
        </w:rPr>
        <w:t xml:space="preserve">Chairperson for the generous hosting of this thirteenth session of the Committee. </w:t>
      </w:r>
      <w:r w:rsidR="00725E05" w:rsidRPr="00813D19">
        <w:rPr>
          <w:lang w:val="en-US"/>
        </w:rPr>
        <w:t xml:space="preserve">It also </w:t>
      </w:r>
      <w:r w:rsidR="0063135F" w:rsidRPr="00813D19">
        <w:rPr>
          <w:lang w:val="en-US"/>
        </w:rPr>
        <w:t>express</w:t>
      </w:r>
      <w:r w:rsidR="00CF25D0" w:rsidRPr="00813D19">
        <w:rPr>
          <w:lang w:val="en-US"/>
        </w:rPr>
        <w:t>ed</w:t>
      </w:r>
      <w:r w:rsidR="0063135F" w:rsidRPr="00813D19">
        <w:rPr>
          <w:lang w:val="en-US"/>
        </w:rPr>
        <w:t xml:space="preserve"> </w:t>
      </w:r>
      <w:r w:rsidR="00014A80">
        <w:rPr>
          <w:lang w:val="en-US"/>
        </w:rPr>
        <w:t xml:space="preserve">its </w:t>
      </w:r>
      <w:r w:rsidR="0063135F" w:rsidRPr="00813D19">
        <w:rPr>
          <w:lang w:val="en-US"/>
        </w:rPr>
        <w:t>appreciation for the work of the Secretariat in preparing this meeting and for the smooth conduct of business</w:t>
      </w:r>
      <w:r w:rsidR="00725E05" w:rsidRPr="00813D19">
        <w:rPr>
          <w:lang w:val="en-US"/>
        </w:rPr>
        <w:t>. Hungary also believed</w:t>
      </w:r>
      <w:r w:rsidR="0063135F" w:rsidRPr="00813D19">
        <w:rPr>
          <w:lang w:val="en-US"/>
        </w:rPr>
        <w:t xml:space="preserve"> that the issue of dialogue between the Evaluation Body and the submitting States Parties </w:t>
      </w:r>
      <w:r w:rsidR="00725E05" w:rsidRPr="00813D19">
        <w:rPr>
          <w:lang w:val="en-US"/>
        </w:rPr>
        <w:t xml:space="preserve">was </w:t>
      </w:r>
      <w:r w:rsidR="0063135F" w:rsidRPr="00813D19">
        <w:rPr>
          <w:lang w:val="en-US"/>
        </w:rPr>
        <w:t>indeed essential and an important question for the future</w:t>
      </w:r>
      <w:r w:rsidR="00CF25D0" w:rsidRPr="00813D19">
        <w:rPr>
          <w:lang w:val="en-US"/>
        </w:rPr>
        <w:t xml:space="preserve"> of the</w:t>
      </w:r>
      <w:r w:rsidR="0063135F" w:rsidRPr="00813D19">
        <w:rPr>
          <w:lang w:val="en-US"/>
        </w:rPr>
        <w:t xml:space="preserve"> Convention. </w:t>
      </w:r>
      <w:r w:rsidR="00725E05" w:rsidRPr="00813D19">
        <w:rPr>
          <w:lang w:val="en-US"/>
        </w:rPr>
        <w:t xml:space="preserve">Like </w:t>
      </w:r>
      <w:r w:rsidR="0063135F" w:rsidRPr="00813D19">
        <w:rPr>
          <w:lang w:val="en-US"/>
        </w:rPr>
        <w:t>the Committee</w:t>
      </w:r>
      <w:r w:rsidR="00725E05" w:rsidRPr="00813D19">
        <w:rPr>
          <w:lang w:val="en-US"/>
        </w:rPr>
        <w:t>,</w:t>
      </w:r>
      <w:r w:rsidR="0063135F" w:rsidRPr="00813D19">
        <w:rPr>
          <w:lang w:val="en-US"/>
        </w:rPr>
        <w:t xml:space="preserve"> Hungary also felt the urgent need for this dialogue. However, </w:t>
      </w:r>
      <w:r w:rsidR="00725E05" w:rsidRPr="00813D19">
        <w:rPr>
          <w:lang w:val="en-US"/>
        </w:rPr>
        <w:t xml:space="preserve">it </w:t>
      </w:r>
      <w:r w:rsidR="0063135F" w:rsidRPr="00813D19">
        <w:rPr>
          <w:lang w:val="en-US"/>
        </w:rPr>
        <w:t>express</w:t>
      </w:r>
      <w:r w:rsidR="00725E05" w:rsidRPr="00813D19">
        <w:rPr>
          <w:lang w:val="en-US"/>
        </w:rPr>
        <w:t>ed</w:t>
      </w:r>
      <w:r w:rsidR="0063135F" w:rsidRPr="00813D19">
        <w:rPr>
          <w:lang w:val="en-US"/>
        </w:rPr>
        <w:t xml:space="preserve"> concern regarding t</w:t>
      </w:r>
      <w:r w:rsidR="00725E05" w:rsidRPr="00813D19">
        <w:rPr>
          <w:lang w:val="en-US"/>
        </w:rPr>
        <w:t xml:space="preserve">he procedure the Committee appeared </w:t>
      </w:r>
      <w:r w:rsidR="005D5F27" w:rsidRPr="00813D19">
        <w:rPr>
          <w:lang w:val="en-US"/>
        </w:rPr>
        <w:t>to follow on this issue, adding</w:t>
      </w:r>
      <w:r w:rsidR="00CF25D0" w:rsidRPr="00813D19">
        <w:rPr>
          <w:lang w:val="en-US"/>
        </w:rPr>
        <w:t xml:space="preserve"> </w:t>
      </w:r>
      <w:r w:rsidR="005D5F27" w:rsidRPr="00813D19">
        <w:rPr>
          <w:lang w:val="en-US"/>
        </w:rPr>
        <w:t xml:space="preserve">that it agreed </w:t>
      </w:r>
      <w:r w:rsidR="0063135F" w:rsidRPr="00813D19">
        <w:rPr>
          <w:lang w:val="en-US"/>
        </w:rPr>
        <w:t>with the points raised by several delegations</w:t>
      </w:r>
      <w:r w:rsidR="005D5F27" w:rsidRPr="00813D19">
        <w:rPr>
          <w:lang w:val="en-US"/>
        </w:rPr>
        <w:t>,</w:t>
      </w:r>
      <w:r w:rsidR="0063135F" w:rsidRPr="00813D19">
        <w:rPr>
          <w:lang w:val="en-US"/>
        </w:rPr>
        <w:t xml:space="preserve"> including China, Japan, Algeria, Belgium, Greece and Germany. Indeed, the implications </w:t>
      </w:r>
      <w:r w:rsidR="005D5F27" w:rsidRPr="00813D19">
        <w:rPr>
          <w:lang w:val="en-US"/>
        </w:rPr>
        <w:t xml:space="preserve">were </w:t>
      </w:r>
      <w:r w:rsidR="0063135F" w:rsidRPr="00813D19">
        <w:rPr>
          <w:lang w:val="en-US"/>
        </w:rPr>
        <w:t>far</w:t>
      </w:r>
      <w:r w:rsidR="00014A80">
        <w:rPr>
          <w:lang w:val="en-US"/>
        </w:rPr>
        <w:t>-</w:t>
      </w:r>
      <w:r w:rsidR="0063135F" w:rsidRPr="00813D19">
        <w:rPr>
          <w:lang w:val="en-US"/>
        </w:rPr>
        <w:t xml:space="preserve">reaching and this </w:t>
      </w:r>
      <w:r w:rsidR="005D5F27" w:rsidRPr="00813D19">
        <w:rPr>
          <w:lang w:val="en-US"/>
        </w:rPr>
        <w:t>draft decision raised</w:t>
      </w:r>
      <w:r w:rsidR="0063135F" w:rsidRPr="00813D19">
        <w:rPr>
          <w:lang w:val="en-US"/>
        </w:rPr>
        <w:t xml:space="preserve"> legal and procedural issues and </w:t>
      </w:r>
      <w:r w:rsidR="005D5F27" w:rsidRPr="00813D19">
        <w:rPr>
          <w:lang w:val="en-US"/>
        </w:rPr>
        <w:t xml:space="preserve">was thus </w:t>
      </w:r>
      <w:r w:rsidR="0063135F" w:rsidRPr="00813D19">
        <w:rPr>
          <w:lang w:val="en-US"/>
        </w:rPr>
        <w:t xml:space="preserve">a question of governance. </w:t>
      </w:r>
      <w:r w:rsidR="005D5F27" w:rsidRPr="00813D19">
        <w:rPr>
          <w:lang w:val="en-US"/>
        </w:rPr>
        <w:t xml:space="preserve">The </w:t>
      </w:r>
      <w:r w:rsidR="00CF25D0" w:rsidRPr="00813D19">
        <w:rPr>
          <w:lang w:val="en-US"/>
        </w:rPr>
        <w:t xml:space="preserve">question was </w:t>
      </w:r>
      <w:r w:rsidR="005D5F27" w:rsidRPr="00813D19">
        <w:rPr>
          <w:lang w:val="en-US"/>
        </w:rPr>
        <w:t>whether the Committee had</w:t>
      </w:r>
      <w:r w:rsidR="0063135F" w:rsidRPr="00813D19">
        <w:rPr>
          <w:lang w:val="en-US"/>
        </w:rPr>
        <w:t xml:space="preserve"> the power to take </w:t>
      </w:r>
      <w:r w:rsidR="00CF25D0" w:rsidRPr="00813D19">
        <w:rPr>
          <w:lang w:val="en-US"/>
        </w:rPr>
        <w:t>such a decision and overrule</w:t>
      </w:r>
      <w:r w:rsidR="0063135F" w:rsidRPr="00813D19">
        <w:rPr>
          <w:lang w:val="en-US"/>
        </w:rPr>
        <w:t xml:space="preserve"> a decision previously taken by the General Assembly. The examination of files and the timetable </w:t>
      </w:r>
      <w:r w:rsidR="00014A80">
        <w:rPr>
          <w:lang w:val="en-US"/>
        </w:rPr>
        <w:t>was</w:t>
      </w:r>
      <w:r w:rsidR="00014A80" w:rsidRPr="00813D19">
        <w:rPr>
          <w:lang w:val="en-US"/>
        </w:rPr>
        <w:t xml:space="preserve"> </w:t>
      </w:r>
      <w:r w:rsidR="0063135F" w:rsidRPr="00813D19">
        <w:rPr>
          <w:lang w:val="en-US"/>
        </w:rPr>
        <w:t xml:space="preserve">governed </w:t>
      </w:r>
      <w:r w:rsidR="00CF25D0" w:rsidRPr="00813D19">
        <w:rPr>
          <w:lang w:val="en-US"/>
        </w:rPr>
        <w:t xml:space="preserve">by </w:t>
      </w:r>
      <w:r w:rsidR="0063135F" w:rsidRPr="00813D19">
        <w:rPr>
          <w:lang w:val="en-US"/>
        </w:rPr>
        <w:t xml:space="preserve">the Operational Directives adopted by the General Assembly. Given these circumstances, </w:t>
      </w:r>
      <w:r w:rsidR="00CF25D0" w:rsidRPr="00813D19">
        <w:rPr>
          <w:lang w:val="en-US"/>
        </w:rPr>
        <w:t>did the Committee have</w:t>
      </w:r>
      <w:r w:rsidR="0063135F" w:rsidRPr="00813D19">
        <w:rPr>
          <w:lang w:val="en-US"/>
        </w:rPr>
        <w:t xml:space="preserve"> the right</w:t>
      </w:r>
      <w:r w:rsidR="005D5F27" w:rsidRPr="00813D19">
        <w:rPr>
          <w:lang w:val="en-US"/>
        </w:rPr>
        <w:t>,</w:t>
      </w:r>
      <w:r w:rsidR="0063135F" w:rsidRPr="00813D19">
        <w:rPr>
          <w:lang w:val="en-US"/>
        </w:rPr>
        <w:t xml:space="preserve"> even on an exceptional basis</w:t>
      </w:r>
      <w:r w:rsidR="005D5F27" w:rsidRPr="00813D19">
        <w:rPr>
          <w:lang w:val="en-US"/>
        </w:rPr>
        <w:t>,</w:t>
      </w:r>
      <w:r w:rsidR="0063135F" w:rsidRPr="00813D19">
        <w:rPr>
          <w:lang w:val="en-US"/>
        </w:rPr>
        <w:t xml:space="preserve"> to override these position</w:t>
      </w:r>
      <w:r w:rsidR="00CF25D0" w:rsidRPr="00813D19">
        <w:rPr>
          <w:lang w:val="en-US"/>
        </w:rPr>
        <w:t>s of the Operational Directives?</w:t>
      </w:r>
    </w:p>
    <w:p w14:paraId="31C2CDC6" w14:textId="4733B3A1" w:rsidR="001D49A9" w:rsidRPr="00813D19" w:rsidRDefault="00931720" w:rsidP="00C068AA">
      <w:pPr>
        <w:pStyle w:val="Orateurengris"/>
        <w:spacing w:before="120"/>
        <w:ind w:left="709" w:hanging="709"/>
        <w:rPr>
          <w:color w:val="000000" w:themeColor="text1"/>
          <w:lang w:val="en-US"/>
        </w:rPr>
      </w:pPr>
      <w:r w:rsidRPr="00813D19">
        <w:rPr>
          <w:color w:val="000000" w:themeColor="text1"/>
          <w:lang w:val="en-US"/>
        </w:rPr>
        <w:t xml:space="preserve">The </w:t>
      </w:r>
      <w:r w:rsidR="00FA00C9" w:rsidRPr="00813D19">
        <w:rPr>
          <w:b/>
          <w:color w:val="000000" w:themeColor="text1"/>
          <w:lang w:val="en-US"/>
        </w:rPr>
        <w:t>delegation of Niger</w:t>
      </w:r>
      <w:r w:rsidR="004D6992" w:rsidRPr="00813D19">
        <w:rPr>
          <w:b/>
          <w:color w:val="000000" w:themeColor="text1"/>
          <w:lang w:val="en-US"/>
        </w:rPr>
        <w:t xml:space="preserve"> </w:t>
      </w:r>
      <w:r w:rsidR="005D5F27" w:rsidRPr="00813D19">
        <w:rPr>
          <w:color w:val="000000" w:themeColor="text1"/>
          <w:lang w:val="en-US"/>
        </w:rPr>
        <w:t>took</w:t>
      </w:r>
      <w:r w:rsidR="001D49A9" w:rsidRPr="00813D19">
        <w:rPr>
          <w:color w:val="000000" w:themeColor="text1"/>
          <w:lang w:val="en-US"/>
        </w:rPr>
        <w:t xml:space="preserve"> into account that the </w:t>
      </w:r>
      <w:r w:rsidR="005D5F27" w:rsidRPr="00813D19">
        <w:rPr>
          <w:color w:val="000000" w:themeColor="text1"/>
          <w:lang w:val="en-US"/>
        </w:rPr>
        <w:t>Convention is a dynamic C</w:t>
      </w:r>
      <w:r w:rsidR="001D49A9" w:rsidRPr="00813D19">
        <w:rPr>
          <w:color w:val="000000" w:themeColor="text1"/>
          <w:lang w:val="en-US"/>
        </w:rPr>
        <w:t>onvention that has a certain rigo</w:t>
      </w:r>
      <w:r w:rsidR="005D5F27" w:rsidRPr="00813D19">
        <w:rPr>
          <w:color w:val="000000" w:themeColor="text1"/>
          <w:lang w:val="en-US"/>
        </w:rPr>
        <w:t>ur in its approach.</w:t>
      </w:r>
      <w:r w:rsidR="001D49A9" w:rsidRPr="00813D19">
        <w:rPr>
          <w:color w:val="000000" w:themeColor="text1"/>
          <w:lang w:val="en-US"/>
        </w:rPr>
        <w:t xml:space="preserve"> </w:t>
      </w:r>
      <w:r w:rsidR="005D5F27" w:rsidRPr="00813D19">
        <w:rPr>
          <w:color w:val="000000" w:themeColor="text1"/>
          <w:lang w:val="en-US"/>
        </w:rPr>
        <w:t xml:space="preserve">The Evaluation Body </w:t>
      </w:r>
      <w:r w:rsidR="00014A80" w:rsidRPr="00813D19">
        <w:rPr>
          <w:color w:val="000000" w:themeColor="text1"/>
          <w:lang w:val="en-US"/>
        </w:rPr>
        <w:t>applie</w:t>
      </w:r>
      <w:r w:rsidR="00014A80">
        <w:rPr>
          <w:color w:val="000000" w:themeColor="text1"/>
          <w:lang w:val="en-US"/>
        </w:rPr>
        <w:t>s</w:t>
      </w:r>
      <w:r w:rsidR="00014A80" w:rsidRPr="00813D19">
        <w:rPr>
          <w:color w:val="000000" w:themeColor="text1"/>
          <w:lang w:val="en-US"/>
        </w:rPr>
        <w:t xml:space="preserve"> </w:t>
      </w:r>
      <w:r w:rsidR="001D49A9" w:rsidRPr="00813D19">
        <w:rPr>
          <w:color w:val="000000" w:themeColor="text1"/>
          <w:lang w:val="en-US"/>
        </w:rPr>
        <w:t>the normative and regul</w:t>
      </w:r>
      <w:r w:rsidR="005D5F27" w:rsidRPr="00813D19">
        <w:rPr>
          <w:color w:val="000000" w:themeColor="text1"/>
          <w:lang w:val="en-US"/>
        </w:rPr>
        <w:t xml:space="preserve">atory texts of the Convention when it </w:t>
      </w:r>
      <w:r w:rsidR="001D49A9" w:rsidRPr="00813D19">
        <w:rPr>
          <w:color w:val="000000" w:themeColor="text1"/>
          <w:lang w:val="en-US"/>
        </w:rPr>
        <w:t>gives its opinion, decides and then transmits all its observations</w:t>
      </w:r>
      <w:r w:rsidR="005D5F27" w:rsidRPr="00813D19">
        <w:rPr>
          <w:color w:val="000000" w:themeColor="text1"/>
          <w:lang w:val="en-US"/>
        </w:rPr>
        <w:t xml:space="preserve"> to the Secretariat</w:t>
      </w:r>
      <w:r w:rsidR="001D49A9" w:rsidRPr="00813D19">
        <w:rPr>
          <w:color w:val="000000" w:themeColor="text1"/>
          <w:lang w:val="en-US"/>
        </w:rPr>
        <w:t xml:space="preserve">. Regarding the dialogue mechanism, Niger </w:t>
      </w:r>
      <w:r w:rsidR="005D5F27" w:rsidRPr="00813D19">
        <w:rPr>
          <w:color w:val="000000" w:themeColor="text1"/>
          <w:lang w:val="en-US"/>
        </w:rPr>
        <w:t xml:space="preserve">was </w:t>
      </w:r>
      <w:r w:rsidR="001D49A9" w:rsidRPr="00813D19">
        <w:rPr>
          <w:color w:val="000000" w:themeColor="text1"/>
          <w:lang w:val="en-US"/>
        </w:rPr>
        <w:t xml:space="preserve">for </w:t>
      </w:r>
      <w:r w:rsidR="005D5F27" w:rsidRPr="00813D19">
        <w:rPr>
          <w:color w:val="000000" w:themeColor="text1"/>
          <w:lang w:val="en-US"/>
        </w:rPr>
        <w:t xml:space="preserve">a </w:t>
      </w:r>
      <w:r w:rsidR="001D49A9" w:rsidRPr="00813D19">
        <w:rPr>
          <w:color w:val="000000" w:themeColor="text1"/>
          <w:lang w:val="en-US"/>
        </w:rPr>
        <w:t xml:space="preserve">dialogue mechanism, but this </w:t>
      </w:r>
      <w:r w:rsidR="005D5F27" w:rsidRPr="00813D19">
        <w:rPr>
          <w:color w:val="000000" w:themeColor="text1"/>
          <w:lang w:val="en-US"/>
        </w:rPr>
        <w:t xml:space="preserve">mechanism </w:t>
      </w:r>
      <w:r w:rsidR="00014A80">
        <w:rPr>
          <w:color w:val="000000" w:themeColor="text1"/>
          <w:lang w:val="en-US"/>
        </w:rPr>
        <w:t>needed to</w:t>
      </w:r>
      <w:r w:rsidR="00014A80" w:rsidRPr="00813D19">
        <w:rPr>
          <w:color w:val="000000" w:themeColor="text1"/>
          <w:lang w:val="en-US"/>
        </w:rPr>
        <w:t xml:space="preserve"> </w:t>
      </w:r>
      <w:r w:rsidR="005D5F27" w:rsidRPr="00813D19">
        <w:rPr>
          <w:color w:val="000000" w:themeColor="text1"/>
          <w:lang w:val="en-US"/>
        </w:rPr>
        <w:t xml:space="preserve">be </w:t>
      </w:r>
      <w:r w:rsidR="00CF25D0" w:rsidRPr="00813D19">
        <w:rPr>
          <w:color w:val="000000" w:themeColor="text1"/>
          <w:lang w:val="en-US"/>
        </w:rPr>
        <w:t>carried out</w:t>
      </w:r>
      <w:r w:rsidR="005D5F27" w:rsidRPr="00813D19">
        <w:rPr>
          <w:color w:val="000000" w:themeColor="text1"/>
          <w:lang w:val="en-US"/>
        </w:rPr>
        <w:t xml:space="preserve"> upstream, as well as</w:t>
      </w:r>
      <w:r w:rsidR="001D49A9" w:rsidRPr="00813D19">
        <w:rPr>
          <w:color w:val="000000" w:themeColor="text1"/>
          <w:lang w:val="en-US"/>
        </w:rPr>
        <w:t xml:space="preserve"> </w:t>
      </w:r>
      <w:r w:rsidR="00014A80">
        <w:rPr>
          <w:color w:val="000000" w:themeColor="text1"/>
          <w:lang w:val="en-US"/>
        </w:rPr>
        <w:t xml:space="preserve">to </w:t>
      </w:r>
      <w:r w:rsidR="001D49A9" w:rsidRPr="00813D19">
        <w:rPr>
          <w:color w:val="000000" w:themeColor="text1"/>
          <w:lang w:val="en-US"/>
        </w:rPr>
        <w:t xml:space="preserve">be endorsed </w:t>
      </w:r>
      <w:r w:rsidR="005D5F27" w:rsidRPr="00813D19">
        <w:rPr>
          <w:color w:val="000000" w:themeColor="text1"/>
          <w:lang w:val="en-US"/>
        </w:rPr>
        <w:t>with</w:t>
      </w:r>
      <w:r w:rsidR="001D49A9" w:rsidRPr="00813D19">
        <w:rPr>
          <w:color w:val="000000" w:themeColor="text1"/>
          <w:lang w:val="en-US"/>
        </w:rPr>
        <w:t xml:space="preserve">in a framework for reflection, taking into account the </w:t>
      </w:r>
      <w:r w:rsidR="005D5F27" w:rsidRPr="00813D19">
        <w:rPr>
          <w:color w:val="000000" w:themeColor="text1"/>
          <w:lang w:val="en-US"/>
        </w:rPr>
        <w:t>Operational Directives</w:t>
      </w:r>
      <w:r w:rsidR="001D49A9" w:rsidRPr="00813D19">
        <w:rPr>
          <w:color w:val="000000" w:themeColor="text1"/>
          <w:lang w:val="en-US"/>
        </w:rPr>
        <w:t xml:space="preserve"> </w:t>
      </w:r>
      <w:r w:rsidR="005D5F27" w:rsidRPr="00813D19">
        <w:rPr>
          <w:color w:val="000000" w:themeColor="text1"/>
          <w:lang w:val="en-US"/>
        </w:rPr>
        <w:t xml:space="preserve">and validated by the General Assembly </w:t>
      </w:r>
      <w:r w:rsidR="001D49A9" w:rsidRPr="00813D19">
        <w:rPr>
          <w:color w:val="000000" w:themeColor="text1"/>
          <w:lang w:val="en-US"/>
        </w:rPr>
        <w:t xml:space="preserve">before </w:t>
      </w:r>
      <w:r w:rsidR="005D5F27" w:rsidRPr="00813D19">
        <w:rPr>
          <w:color w:val="000000" w:themeColor="text1"/>
          <w:lang w:val="en-US"/>
        </w:rPr>
        <w:t>its application</w:t>
      </w:r>
      <w:r w:rsidR="00DD4E22">
        <w:rPr>
          <w:color w:val="000000" w:themeColor="text1"/>
          <w:lang w:val="en-US"/>
        </w:rPr>
        <w:t>.</w:t>
      </w:r>
    </w:p>
    <w:p w14:paraId="5C1B8D97" w14:textId="08FD2C4A" w:rsidR="004D6992" w:rsidRPr="00813D19" w:rsidRDefault="004D6992"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Latvia</w:t>
      </w:r>
      <w:r w:rsidR="00061825" w:rsidRPr="00813D19">
        <w:rPr>
          <w:b/>
          <w:color w:val="000000" w:themeColor="text1"/>
          <w:lang w:val="en-US"/>
        </w:rPr>
        <w:t xml:space="preserve"> </w:t>
      </w:r>
      <w:r w:rsidR="0063135F" w:rsidRPr="00813D19">
        <w:rPr>
          <w:lang w:val="en-US"/>
        </w:rPr>
        <w:t>express</w:t>
      </w:r>
      <w:r w:rsidR="007A7692" w:rsidRPr="00813D19">
        <w:rPr>
          <w:lang w:val="en-US"/>
        </w:rPr>
        <w:t>ed</w:t>
      </w:r>
      <w:r w:rsidR="0063135F" w:rsidRPr="00813D19">
        <w:rPr>
          <w:lang w:val="en-US"/>
        </w:rPr>
        <w:t xml:space="preserve"> its appreciation </w:t>
      </w:r>
      <w:r w:rsidR="00014A80">
        <w:rPr>
          <w:lang w:val="en-US"/>
        </w:rPr>
        <w:t>for</w:t>
      </w:r>
      <w:r w:rsidR="00014A80" w:rsidRPr="00813D19">
        <w:rPr>
          <w:lang w:val="en-US"/>
        </w:rPr>
        <w:t xml:space="preserve"> </w:t>
      </w:r>
      <w:r w:rsidR="0063135F" w:rsidRPr="00813D19">
        <w:rPr>
          <w:lang w:val="en-US"/>
        </w:rPr>
        <w:t xml:space="preserve">the hospitality of Mauritius and </w:t>
      </w:r>
      <w:r w:rsidR="007A7692" w:rsidRPr="00813D19">
        <w:rPr>
          <w:lang w:val="en-US"/>
        </w:rPr>
        <w:t xml:space="preserve">the Chairperson’s </w:t>
      </w:r>
      <w:r w:rsidR="0063135F" w:rsidRPr="00813D19">
        <w:rPr>
          <w:lang w:val="en-US"/>
        </w:rPr>
        <w:t xml:space="preserve">personal commitment to </w:t>
      </w:r>
      <w:r w:rsidR="007A7692" w:rsidRPr="00813D19">
        <w:rPr>
          <w:lang w:val="en-US"/>
        </w:rPr>
        <w:t xml:space="preserve">the Committee’s </w:t>
      </w:r>
      <w:r w:rsidR="0063135F" w:rsidRPr="00813D19">
        <w:rPr>
          <w:lang w:val="en-US"/>
        </w:rPr>
        <w:t xml:space="preserve">work. Referring to the discussions </w:t>
      </w:r>
      <w:r w:rsidR="007A7692" w:rsidRPr="00813D19">
        <w:rPr>
          <w:lang w:val="en-US"/>
        </w:rPr>
        <w:t>under agenda item 10.b</w:t>
      </w:r>
      <w:r w:rsidR="0063135F" w:rsidRPr="00813D19">
        <w:rPr>
          <w:lang w:val="en-US"/>
        </w:rPr>
        <w:t xml:space="preserve"> and the possible way to proceed with nominations that </w:t>
      </w:r>
      <w:r w:rsidR="007A7692" w:rsidRPr="00813D19">
        <w:rPr>
          <w:lang w:val="en-US"/>
        </w:rPr>
        <w:t xml:space="preserve">had </w:t>
      </w:r>
      <w:r w:rsidR="0063135F" w:rsidRPr="00813D19">
        <w:rPr>
          <w:lang w:val="en-US"/>
        </w:rPr>
        <w:t>been referred</w:t>
      </w:r>
      <w:r w:rsidR="007A7692" w:rsidRPr="00813D19">
        <w:rPr>
          <w:lang w:val="en-US"/>
        </w:rPr>
        <w:t>, Latvia shared</w:t>
      </w:r>
      <w:r w:rsidR="0063135F" w:rsidRPr="00813D19">
        <w:rPr>
          <w:lang w:val="en-US"/>
        </w:rPr>
        <w:t xml:space="preserve"> the concerns raised by several States Parties. According to Article 7 of the Convention</w:t>
      </w:r>
      <w:r w:rsidR="007A7692" w:rsidRPr="00813D19">
        <w:rPr>
          <w:lang w:val="en-US"/>
        </w:rPr>
        <w:t>,</w:t>
      </w:r>
      <w:r w:rsidR="0063135F" w:rsidRPr="00813D19">
        <w:rPr>
          <w:lang w:val="en-US"/>
        </w:rPr>
        <w:t xml:space="preserve"> one of the functions of the Committee </w:t>
      </w:r>
      <w:r w:rsidR="00014A80">
        <w:rPr>
          <w:lang w:val="en-US"/>
        </w:rPr>
        <w:t>was</w:t>
      </w:r>
      <w:r w:rsidR="00014A80" w:rsidRPr="00813D19">
        <w:rPr>
          <w:lang w:val="en-US"/>
        </w:rPr>
        <w:t xml:space="preserve"> </w:t>
      </w:r>
      <w:r w:rsidR="0063135F" w:rsidRPr="00813D19">
        <w:rPr>
          <w:lang w:val="en-US"/>
        </w:rPr>
        <w:t>to prepare and submit to the General Assembly for approval Operational Directives for the implementation of the Convention. The Committee</w:t>
      </w:r>
      <w:r w:rsidR="00014A80">
        <w:rPr>
          <w:lang w:val="en-US"/>
        </w:rPr>
        <w:t>,</w:t>
      </w:r>
      <w:r w:rsidR="0063135F" w:rsidRPr="00813D19">
        <w:rPr>
          <w:lang w:val="en-US"/>
        </w:rPr>
        <w:t xml:space="preserve"> however</w:t>
      </w:r>
      <w:r w:rsidR="00014A80">
        <w:rPr>
          <w:lang w:val="en-US"/>
        </w:rPr>
        <w:t>,</w:t>
      </w:r>
      <w:r w:rsidR="0063135F" w:rsidRPr="00813D19">
        <w:rPr>
          <w:lang w:val="en-US"/>
        </w:rPr>
        <w:t xml:space="preserve"> </w:t>
      </w:r>
      <w:r w:rsidR="007A7692" w:rsidRPr="00813D19">
        <w:rPr>
          <w:lang w:val="en-US"/>
        </w:rPr>
        <w:t xml:space="preserve">did </w:t>
      </w:r>
      <w:r w:rsidR="0063135F" w:rsidRPr="00813D19">
        <w:rPr>
          <w:lang w:val="en-US"/>
        </w:rPr>
        <w:t xml:space="preserve">not have the mandate either to amend the Directives or to suspend their application. As </w:t>
      </w:r>
      <w:r w:rsidR="00014A80">
        <w:rPr>
          <w:lang w:val="en-US"/>
        </w:rPr>
        <w:t>had</w:t>
      </w:r>
      <w:r w:rsidR="00014A80" w:rsidRPr="00813D19">
        <w:rPr>
          <w:lang w:val="en-US"/>
        </w:rPr>
        <w:t xml:space="preserve"> </w:t>
      </w:r>
      <w:r w:rsidR="0063135F" w:rsidRPr="00813D19">
        <w:rPr>
          <w:lang w:val="en-US"/>
        </w:rPr>
        <w:t xml:space="preserve">already </w:t>
      </w:r>
      <w:r w:rsidR="00014A80">
        <w:rPr>
          <w:lang w:val="en-US"/>
        </w:rPr>
        <w:t>been</w:t>
      </w:r>
      <w:r w:rsidR="0063135F" w:rsidRPr="00813D19">
        <w:rPr>
          <w:lang w:val="en-US"/>
        </w:rPr>
        <w:t>noted by previous speakers, according to paragraph 36 of the Operational Directives</w:t>
      </w:r>
      <w:r w:rsidR="007A7692" w:rsidRPr="00813D19">
        <w:rPr>
          <w:lang w:val="en-US"/>
        </w:rPr>
        <w:t>,</w:t>
      </w:r>
      <w:r w:rsidR="0063135F" w:rsidRPr="00813D19">
        <w:rPr>
          <w:lang w:val="en-US"/>
        </w:rPr>
        <w:t xml:space="preserve"> as decided by the General Assembly, nomination</w:t>
      </w:r>
      <w:r w:rsidR="007A7692" w:rsidRPr="00813D19">
        <w:rPr>
          <w:lang w:val="en-US"/>
        </w:rPr>
        <w:t xml:space="preserve">s, </w:t>
      </w:r>
      <w:r w:rsidR="0063135F" w:rsidRPr="00813D19">
        <w:rPr>
          <w:lang w:val="en-US"/>
        </w:rPr>
        <w:t>proposals or requests that the Committee decides not to inscribe, select or approve or t</w:t>
      </w:r>
      <w:r w:rsidR="007A7692" w:rsidRPr="00813D19">
        <w:rPr>
          <w:lang w:val="en-US"/>
        </w:rPr>
        <w:t>o refer to the submitting State</w:t>
      </w:r>
      <w:r w:rsidR="0063135F" w:rsidRPr="00813D19">
        <w:rPr>
          <w:lang w:val="en-US"/>
        </w:rPr>
        <w:t xml:space="preserve"> for additional information may be resubmitted to the Committee for examination during a following cycle after havin</w:t>
      </w:r>
      <w:r w:rsidR="007A7692" w:rsidRPr="00813D19">
        <w:rPr>
          <w:lang w:val="en-US"/>
        </w:rPr>
        <w:t xml:space="preserve">g been updated and supplemented, with </w:t>
      </w:r>
      <w:r w:rsidR="0063135F" w:rsidRPr="00813D19">
        <w:rPr>
          <w:lang w:val="en-US"/>
        </w:rPr>
        <w:t>p</w:t>
      </w:r>
      <w:r w:rsidR="007A7692" w:rsidRPr="00813D19">
        <w:rPr>
          <w:lang w:val="en-US"/>
        </w:rPr>
        <w:t>aragraphs 54–56 providing</w:t>
      </w:r>
      <w:r w:rsidR="0063135F" w:rsidRPr="00813D19">
        <w:rPr>
          <w:lang w:val="en-US"/>
        </w:rPr>
        <w:t xml:space="preserve"> the timetable of the respective procedures. Should the Committee wish to amend the Operational Directives</w:t>
      </w:r>
      <w:r w:rsidR="007A7692" w:rsidRPr="00813D19">
        <w:rPr>
          <w:lang w:val="en-US"/>
        </w:rPr>
        <w:t>,</w:t>
      </w:r>
      <w:r w:rsidR="0063135F" w:rsidRPr="00813D19">
        <w:rPr>
          <w:lang w:val="en-US"/>
        </w:rPr>
        <w:t xml:space="preserve"> it may prepare and submit such amendments </w:t>
      </w:r>
      <w:r w:rsidR="007A7692" w:rsidRPr="00813D19">
        <w:rPr>
          <w:lang w:val="en-US"/>
        </w:rPr>
        <w:t xml:space="preserve">to the General Assembly </w:t>
      </w:r>
      <w:r w:rsidR="0063135F" w:rsidRPr="00813D19">
        <w:rPr>
          <w:lang w:val="en-US"/>
        </w:rPr>
        <w:t>for approval. This would be expected even for a procedure on an experimental basis</w:t>
      </w:r>
      <w:r w:rsidR="007A7692" w:rsidRPr="00813D19">
        <w:rPr>
          <w:lang w:val="en-US"/>
        </w:rPr>
        <w:t>,</w:t>
      </w:r>
      <w:r w:rsidR="0063135F" w:rsidRPr="00813D19">
        <w:rPr>
          <w:lang w:val="en-US"/>
        </w:rPr>
        <w:t xml:space="preserve"> as </w:t>
      </w:r>
      <w:r w:rsidR="007A7692" w:rsidRPr="00813D19">
        <w:rPr>
          <w:lang w:val="en-US"/>
        </w:rPr>
        <w:t xml:space="preserve">was </w:t>
      </w:r>
      <w:r w:rsidR="0063135F" w:rsidRPr="00813D19">
        <w:rPr>
          <w:lang w:val="en-US"/>
        </w:rPr>
        <w:t>the case</w:t>
      </w:r>
      <w:r w:rsidR="00014A80">
        <w:rPr>
          <w:lang w:val="en-US"/>
        </w:rPr>
        <w:t>,</w:t>
      </w:r>
      <w:r w:rsidR="0063135F" w:rsidRPr="00813D19">
        <w:rPr>
          <w:lang w:val="en-US"/>
        </w:rPr>
        <w:t xml:space="preserve"> for instance</w:t>
      </w:r>
      <w:r w:rsidR="00014A80">
        <w:rPr>
          <w:lang w:val="en-US"/>
        </w:rPr>
        <w:t>,</w:t>
      </w:r>
      <w:r w:rsidR="0063135F" w:rsidRPr="00813D19">
        <w:rPr>
          <w:lang w:val="en-US"/>
        </w:rPr>
        <w:t xml:space="preserve"> regarding the present paragraph 27 of the Directives</w:t>
      </w:r>
      <w:r w:rsidR="00014A80">
        <w:rPr>
          <w:lang w:val="en-US"/>
        </w:rPr>
        <w:t>,</w:t>
      </w:r>
      <w:r w:rsidR="0063135F" w:rsidRPr="00813D19">
        <w:rPr>
          <w:lang w:val="en-US"/>
        </w:rPr>
        <w:t xml:space="preserve"> where it is st</w:t>
      </w:r>
      <w:r w:rsidR="007A7692" w:rsidRPr="00813D19">
        <w:rPr>
          <w:lang w:val="en-US"/>
        </w:rPr>
        <w:t>ipulated that this paragraph had</w:t>
      </w:r>
      <w:r w:rsidR="0063135F" w:rsidRPr="00813D19">
        <w:rPr>
          <w:lang w:val="en-US"/>
        </w:rPr>
        <w:t xml:space="preserve"> been adopted on an experimental basis. As a State Party to the Convention and thus a member of the General Assembly, Latvia </w:t>
      </w:r>
      <w:r w:rsidR="007A7692" w:rsidRPr="00813D19">
        <w:rPr>
          <w:lang w:val="en-US"/>
        </w:rPr>
        <w:t xml:space="preserve">expected </w:t>
      </w:r>
      <w:r w:rsidR="0063135F" w:rsidRPr="00813D19">
        <w:rPr>
          <w:lang w:val="en-US"/>
        </w:rPr>
        <w:t>that the Operational Directives would be d</w:t>
      </w:r>
      <w:r w:rsidR="00DD4E22">
        <w:rPr>
          <w:lang w:val="en-US"/>
        </w:rPr>
        <w:t>uly respected by the Committee.</w:t>
      </w:r>
    </w:p>
    <w:p w14:paraId="4C8DCC38" w14:textId="7398D6FD" w:rsidR="001D49A9" w:rsidRPr="00813D19" w:rsidRDefault="00197268"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Morocco</w:t>
      </w:r>
      <w:r w:rsidR="0063135F" w:rsidRPr="00813D19">
        <w:rPr>
          <w:b/>
          <w:color w:val="000000" w:themeColor="text1"/>
          <w:lang w:val="en-US"/>
        </w:rPr>
        <w:t xml:space="preserve"> </w:t>
      </w:r>
      <w:r w:rsidR="001D49A9" w:rsidRPr="00813D19">
        <w:rPr>
          <w:color w:val="000000" w:themeColor="text1"/>
          <w:lang w:val="en-US"/>
        </w:rPr>
        <w:t>ful</w:t>
      </w:r>
      <w:r w:rsidR="00DC3E94" w:rsidRPr="00813D19">
        <w:rPr>
          <w:color w:val="000000" w:themeColor="text1"/>
          <w:lang w:val="en-US"/>
        </w:rPr>
        <w:t>ly understood</w:t>
      </w:r>
      <w:r w:rsidR="001D49A9" w:rsidRPr="00813D19">
        <w:rPr>
          <w:color w:val="000000" w:themeColor="text1"/>
          <w:lang w:val="en-US"/>
        </w:rPr>
        <w:t xml:space="preserve"> the purpose of the proposal </w:t>
      </w:r>
      <w:r w:rsidR="00DC3E94" w:rsidRPr="00813D19">
        <w:rPr>
          <w:color w:val="000000" w:themeColor="text1"/>
          <w:lang w:val="en-US"/>
        </w:rPr>
        <w:t xml:space="preserve">submitted to the Committee. </w:t>
      </w:r>
      <w:r w:rsidR="00276A4B" w:rsidRPr="00813D19">
        <w:rPr>
          <w:color w:val="000000" w:themeColor="text1"/>
          <w:lang w:val="en-US"/>
        </w:rPr>
        <w:t>However</w:t>
      </w:r>
      <w:r w:rsidR="00DC3E94" w:rsidRPr="00813D19">
        <w:rPr>
          <w:color w:val="000000" w:themeColor="text1"/>
          <w:lang w:val="en-US"/>
        </w:rPr>
        <w:t>, it seemed</w:t>
      </w:r>
      <w:r w:rsidR="001D49A9" w:rsidRPr="00813D19">
        <w:rPr>
          <w:color w:val="000000" w:themeColor="text1"/>
          <w:lang w:val="en-US"/>
        </w:rPr>
        <w:t xml:space="preserve"> difficult to grasp </w:t>
      </w:r>
      <w:r w:rsidR="00CF25D0" w:rsidRPr="00813D19">
        <w:rPr>
          <w:color w:val="000000" w:themeColor="text1"/>
          <w:lang w:val="en-US"/>
        </w:rPr>
        <w:t>its</w:t>
      </w:r>
      <w:r w:rsidR="001D49A9" w:rsidRPr="00813D19">
        <w:rPr>
          <w:color w:val="000000" w:themeColor="text1"/>
          <w:lang w:val="en-US"/>
        </w:rPr>
        <w:t xml:space="preserve"> scope as the implementation procedure </w:t>
      </w:r>
      <w:r w:rsidR="00276A4B" w:rsidRPr="00813D19">
        <w:rPr>
          <w:color w:val="000000" w:themeColor="text1"/>
          <w:lang w:val="en-US"/>
        </w:rPr>
        <w:t xml:space="preserve">seemed </w:t>
      </w:r>
      <w:r w:rsidR="00CF25D0" w:rsidRPr="00813D19">
        <w:rPr>
          <w:color w:val="000000" w:themeColor="text1"/>
          <w:lang w:val="en-US"/>
        </w:rPr>
        <w:t>complicated</w:t>
      </w:r>
      <w:r w:rsidR="001D49A9" w:rsidRPr="00813D19">
        <w:rPr>
          <w:color w:val="000000" w:themeColor="text1"/>
          <w:lang w:val="en-US"/>
        </w:rPr>
        <w:t xml:space="preserve">. </w:t>
      </w:r>
      <w:r w:rsidR="00276A4B" w:rsidRPr="00813D19">
        <w:rPr>
          <w:color w:val="000000" w:themeColor="text1"/>
          <w:lang w:val="en-US"/>
        </w:rPr>
        <w:t xml:space="preserve">In addition, the </w:t>
      </w:r>
      <w:r w:rsidR="001D49A9" w:rsidRPr="00813D19">
        <w:rPr>
          <w:color w:val="000000" w:themeColor="text1"/>
          <w:lang w:val="en-US"/>
        </w:rPr>
        <w:t xml:space="preserve">questions </w:t>
      </w:r>
      <w:r w:rsidR="00276A4B" w:rsidRPr="00813D19">
        <w:rPr>
          <w:color w:val="000000" w:themeColor="text1"/>
          <w:lang w:val="en-US"/>
        </w:rPr>
        <w:t>posed by certain Members of the Committee</w:t>
      </w:r>
      <w:r w:rsidR="001D49A9" w:rsidRPr="00813D19">
        <w:rPr>
          <w:color w:val="000000" w:themeColor="text1"/>
          <w:lang w:val="en-US"/>
        </w:rPr>
        <w:t xml:space="preserve"> </w:t>
      </w:r>
      <w:r w:rsidR="00276A4B" w:rsidRPr="00813D19">
        <w:rPr>
          <w:color w:val="000000" w:themeColor="text1"/>
          <w:lang w:val="en-US"/>
        </w:rPr>
        <w:t xml:space="preserve">and Observer States </w:t>
      </w:r>
      <w:r w:rsidR="001D49A9" w:rsidRPr="00813D19">
        <w:rPr>
          <w:color w:val="000000" w:themeColor="text1"/>
          <w:lang w:val="en-US"/>
        </w:rPr>
        <w:t>seem</w:t>
      </w:r>
      <w:r w:rsidR="00276A4B" w:rsidRPr="00813D19">
        <w:rPr>
          <w:color w:val="000000" w:themeColor="text1"/>
          <w:lang w:val="en-US"/>
        </w:rPr>
        <w:t>ed</w:t>
      </w:r>
      <w:r w:rsidR="001D49A9" w:rsidRPr="00813D19">
        <w:rPr>
          <w:color w:val="000000" w:themeColor="text1"/>
          <w:lang w:val="en-US"/>
        </w:rPr>
        <w:t xml:space="preserve"> </w:t>
      </w:r>
      <w:r w:rsidR="00276A4B" w:rsidRPr="00813D19">
        <w:rPr>
          <w:color w:val="000000" w:themeColor="text1"/>
          <w:lang w:val="en-US"/>
        </w:rPr>
        <w:t xml:space="preserve">particularly pertinent </w:t>
      </w:r>
      <w:r w:rsidR="00CF25D0" w:rsidRPr="00813D19">
        <w:rPr>
          <w:color w:val="000000" w:themeColor="text1"/>
          <w:lang w:val="en-US"/>
        </w:rPr>
        <w:t xml:space="preserve">in their </w:t>
      </w:r>
      <w:r w:rsidR="001D49A9" w:rsidRPr="00813D19">
        <w:rPr>
          <w:color w:val="000000" w:themeColor="text1"/>
          <w:lang w:val="en-US"/>
        </w:rPr>
        <w:t>reference</w:t>
      </w:r>
      <w:r w:rsidR="00CF25D0" w:rsidRPr="00813D19">
        <w:rPr>
          <w:color w:val="000000" w:themeColor="text1"/>
          <w:lang w:val="en-US"/>
        </w:rPr>
        <w:t>s</w:t>
      </w:r>
      <w:r w:rsidR="001D49A9" w:rsidRPr="00813D19">
        <w:rPr>
          <w:color w:val="000000" w:themeColor="text1"/>
          <w:lang w:val="en-US"/>
        </w:rPr>
        <w:t xml:space="preserve"> to the relevant articles and paragraphs of the Convention and the Operational Directives. </w:t>
      </w:r>
      <w:r w:rsidR="00276A4B" w:rsidRPr="00813D19">
        <w:rPr>
          <w:color w:val="000000" w:themeColor="text1"/>
          <w:lang w:val="en-US"/>
        </w:rPr>
        <w:t>Moreover</w:t>
      </w:r>
      <w:r w:rsidR="001D49A9" w:rsidRPr="00813D19">
        <w:rPr>
          <w:color w:val="000000" w:themeColor="text1"/>
          <w:lang w:val="en-US"/>
        </w:rPr>
        <w:t xml:space="preserve">, the proposed procedure </w:t>
      </w:r>
      <w:r w:rsidR="00276A4B" w:rsidRPr="00813D19">
        <w:rPr>
          <w:color w:val="000000" w:themeColor="text1"/>
          <w:lang w:val="en-US"/>
        </w:rPr>
        <w:t>was likely—if adopted—</w:t>
      </w:r>
      <w:r w:rsidR="001D49A9" w:rsidRPr="00813D19">
        <w:rPr>
          <w:color w:val="000000" w:themeColor="text1"/>
          <w:lang w:val="en-US"/>
        </w:rPr>
        <w:t xml:space="preserve">to have political, legal and practical implications that should be fully appreciated before going further. </w:t>
      </w:r>
      <w:r w:rsidR="00276A4B" w:rsidRPr="00813D19">
        <w:rPr>
          <w:color w:val="000000" w:themeColor="text1"/>
          <w:lang w:val="en-US"/>
        </w:rPr>
        <w:t xml:space="preserve">Another issue concerned the significance </w:t>
      </w:r>
      <w:r w:rsidR="001D49A9" w:rsidRPr="00813D19">
        <w:rPr>
          <w:color w:val="000000" w:themeColor="text1"/>
          <w:lang w:val="en-US"/>
        </w:rPr>
        <w:t xml:space="preserve">of </w:t>
      </w:r>
      <w:r w:rsidR="00276A4B" w:rsidRPr="00813D19">
        <w:rPr>
          <w:color w:val="000000" w:themeColor="text1"/>
          <w:lang w:val="en-US"/>
        </w:rPr>
        <w:t xml:space="preserve">certain </w:t>
      </w:r>
      <w:r w:rsidR="001D49A9" w:rsidRPr="00813D19">
        <w:rPr>
          <w:color w:val="000000" w:themeColor="text1"/>
          <w:lang w:val="en-US"/>
        </w:rPr>
        <w:t xml:space="preserve">words. </w:t>
      </w:r>
      <w:r w:rsidR="00276A4B" w:rsidRPr="00813D19">
        <w:rPr>
          <w:color w:val="000000" w:themeColor="text1"/>
          <w:lang w:val="en-US"/>
        </w:rPr>
        <w:t>For example, the notion of an ‘</w:t>
      </w:r>
      <w:r w:rsidR="001D49A9" w:rsidRPr="00813D19">
        <w:rPr>
          <w:color w:val="000000" w:themeColor="text1"/>
          <w:lang w:val="en-US"/>
        </w:rPr>
        <w:t>experimental</w:t>
      </w:r>
      <w:r w:rsidR="00276A4B" w:rsidRPr="00813D19">
        <w:rPr>
          <w:color w:val="000000" w:themeColor="text1"/>
          <w:lang w:val="en-US"/>
        </w:rPr>
        <w:t>’ procedure</w:t>
      </w:r>
      <w:r w:rsidR="001D49A9" w:rsidRPr="00813D19">
        <w:rPr>
          <w:color w:val="000000" w:themeColor="text1"/>
          <w:lang w:val="en-US"/>
        </w:rPr>
        <w:t xml:space="preserve"> </w:t>
      </w:r>
      <w:r w:rsidR="00276A4B" w:rsidRPr="00813D19">
        <w:rPr>
          <w:color w:val="000000" w:themeColor="text1"/>
          <w:lang w:val="en-US"/>
        </w:rPr>
        <w:t>supposed</w:t>
      </w:r>
      <w:r w:rsidR="001D49A9" w:rsidRPr="00813D19">
        <w:rPr>
          <w:color w:val="000000" w:themeColor="text1"/>
          <w:lang w:val="en-US"/>
        </w:rPr>
        <w:t xml:space="preserve"> that the process </w:t>
      </w:r>
      <w:r w:rsidR="00276A4B" w:rsidRPr="00813D19">
        <w:rPr>
          <w:color w:val="000000" w:themeColor="text1"/>
          <w:lang w:val="en-US"/>
        </w:rPr>
        <w:t xml:space="preserve">would continue </w:t>
      </w:r>
      <w:r w:rsidR="001D49A9" w:rsidRPr="00813D19">
        <w:rPr>
          <w:color w:val="000000" w:themeColor="text1"/>
          <w:lang w:val="en-US"/>
        </w:rPr>
        <w:t xml:space="preserve">until </w:t>
      </w:r>
      <w:r w:rsidR="00276A4B" w:rsidRPr="00813D19">
        <w:rPr>
          <w:color w:val="000000" w:themeColor="text1"/>
          <w:lang w:val="en-US"/>
        </w:rPr>
        <w:t xml:space="preserve">such </w:t>
      </w:r>
      <w:r w:rsidR="00014A80">
        <w:rPr>
          <w:color w:val="000000" w:themeColor="text1"/>
          <w:lang w:val="en-US"/>
        </w:rPr>
        <w:t xml:space="preserve">a </w:t>
      </w:r>
      <w:r w:rsidR="00276A4B" w:rsidRPr="00813D19">
        <w:rPr>
          <w:color w:val="000000" w:themeColor="text1"/>
          <w:lang w:val="en-US"/>
        </w:rPr>
        <w:t xml:space="preserve">time as </w:t>
      </w:r>
      <w:r w:rsidR="001D49A9" w:rsidRPr="00813D19">
        <w:rPr>
          <w:color w:val="000000" w:themeColor="text1"/>
          <w:lang w:val="en-US"/>
        </w:rPr>
        <w:t xml:space="preserve">the experiment </w:t>
      </w:r>
      <w:r w:rsidR="00276A4B" w:rsidRPr="00813D19">
        <w:rPr>
          <w:color w:val="000000" w:themeColor="text1"/>
          <w:lang w:val="en-US"/>
        </w:rPr>
        <w:t>proved conclusive or not, which was distinct from an ‘</w:t>
      </w:r>
      <w:r w:rsidR="001D49A9" w:rsidRPr="00813D19">
        <w:rPr>
          <w:color w:val="000000" w:themeColor="text1"/>
          <w:lang w:val="en-US"/>
        </w:rPr>
        <w:t>exceptional</w:t>
      </w:r>
      <w:r w:rsidR="00276A4B" w:rsidRPr="00813D19">
        <w:rPr>
          <w:color w:val="000000" w:themeColor="text1"/>
          <w:lang w:val="en-US"/>
        </w:rPr>
        <w:t>’</w:t>
      </w:r>
      <w:r w:rsidR="001D49A9" w:rsidRPr="00813D19">
        <w:rPr>
          <w:color w:val="000000" w:themeColor="text1"/>
          <w:lang w:val="en-US"/>
        </w:rPr>
        <w:t xml:space="preserve"> procedure. </w:t>
      </w:r>
      <w:r w:rsidR="00276A4B" w:rsidRPr="00813D19">
        <w:rPr>
          <w:color w:val="000000" w:themeColor="text1"/>
          <w:lang w:val="en-US"/>
        </w:rPr>
        <w:t xml:space="preserve">In this case, it was unclear which </w:t>
      </w:r>
      <w:r w:rsidR="001D49A9" w:rsidRPr="00813D19">
        <w:rPr>
          <w:color w:val="000000" w:themeColor="text1"/>
          <w:lang w:val="en-US"/>
        </w:rPr>
        <w:t xml:space="preserve">approach </w:t>
      </w:r>
      <w:r w:rsidR="00276A4B" w:rsidRPr="00813D19">
        <w:rPr>
          <w:color w:val="000000" w:themeColor="text1"/>
          <w:lang w:val="en-US"/>
        </w:rPr>
        <w:t xml:space="preserve">was being </w:t>
      </w:r>
      <w:r w:rsidR="001D49A9" w:rsidRPr="00813D19">
        <w:rPr>
          <w:color w:val="000000" w:themeColor="text1"/>
          <w:lang w:val="en-US"/>
        </w:rPr>
        <w:t xml:space="preserve">proposed. </w:t>
      </w:r>
      <w:r w:rsidR="003B2235" w:rsidRPr="00813D19">
        <w:rPr>
          <w:color w:val="000000" w:themeColor="text1"/>
          <w:lang w:val="en-US"/>
        </w:rPr>
        <w:t>The question w</w:t>
      </w:r>
      <w:r w:rsidR="00276A4B" w:rsidRPr="00813D19">
        <w:rPr>
          <w:color w:val="000000" w:themeColor="text1"/>
          <w:lang w:val="en-US"/>
        </w:rPr>
        <w:t xml:space="preserve">as </w:t>
      </w:r>
      <w:r w:rsidR="003B2235" w:rsidRPr="00813D19">
        <w:rPr>
          <w:color w:val="000000" w:themeColor="text1"/>
          <w:lang w:val="en-US"/>
        </w:rPr>
        <w:t xml:space="preserve">whether it was </w:t>
      </w:r>
      <w:r w:rsidR="001D49A9" w:rsidRPr="00813D19">
        <w:rPr>
          <w:color w:val="000000" w:themeColor="text1"/>
          <w:lang w:val="en-US"/>
        </w:rPr>
        <w:t>an experimental proce</w:t>
      </w:r>
      <w:r w:rsidR="00276A4B" w:rsidRPr="00813D19">
        <w:rPr>
          <w:color w:val="000000" w:themeColor="text1"/>
          <w:lang w:val="en-US"/>
        </w:rPr>
        <w:t>dure that</w:t>
      </w:r>
      <w:r w:rsidR="00390FD6">
        <w:rPr>
          <w:color w:val="000000" w:themeColor="text1"/>
          <w:lang w:val="en-US"/>
        </w:rPr>
        <w:t xml:space="preserve"> would</w:t>
      </w:r>
      <w:r w:rsidR="00276A4B" w:rsidRPr="00813D19">
        <w:rPr>
          <w:color w:val="000000" w:themeColor="text1"/>
          <w:lang w:val="en-US"/>
        </w:rPr>
        <w:t xml:space="preserve"> be pursued </w:t>
      </w:r>
      <w:r w:rsidR="003B2235" w:rsidRPr="00813D19">
        <w:rPr>
          <w:color w:val="000000" w:themeColor="text1"/>
          <w:lang w:val="en-US"/>
        </w:rPr>
        <w:t>over</w:t>
      </w:r>
      <w:r w:rsidR="001D49A9" w:rsidRPr="00813D19">
        <w:rPr>
          <w:color w:val="000000" w:themeColor="text1"/>
          <w:lang w:val="en-US"/>
        </w:rPr>
        <w:t xml:space="preserve"> time, or </w:t>
      </w:r>
      <w:r w:rsidR="003B2235" w:rsidRPr="00813D19">
        <w:rPr>
          <w:color w:val="000000" w:themeColor="text1"/>
          <w:lang w:val="en-US"/>
        </w:rPr>
        <w:t>an experiment</w:t>
      </w:r>
      <w:r w:rsidR="001D49A9" w:rsidRPr="00813D19">
        <w:rPr>
          <w:color w:val="000000" w:themeColor="text1"/>
          <w:lang w:val="en-US"/>
        </w:rPr>
        <w:t xml:space="preserve"> on an exceptional basis that </w:t>
      </w:r>
      <w:r w:rsidR="003B2235" w:rsidRPr="00813D19">
        <w:rPr>
          <w:color w:val="000000" w:themeColor="text1"/>
          <w:lang w:val="en-US"/>
        </w:rPr>
        <w:t xml:space="preserve">would </w:t>
      </w:r>
      <w:r w:rsidR="001D49A9" w:rsidRPr="00813D19">
        <w:rPr>
          <w:color w:val="000000" w:themeColor="text1"/>
          <w:lang w:val="en-US"/>
        </w:rPr>
        <w:t xml:space="preserve">not </w:t>
      </w:r>
      <w:r w:rsidR="00276A4B" w:rsidRPr="00813D19">
        <w:rPr>
          <w:color w:val="000000" w:themeColor="text1"/>
          <w:lang w:val="en-US"/>
        </w:rPr>
        <w:t>set jurisprudence thereafter,</w:t>
      </w:r>
      <w:r w:rsidR="001D49A9" w:rsidRPr="00813D19">
        <w:rPr>
          <w:color w:val="000000" w:themeColor="text1"/>
          <w:lang w:val="en-US"/>
        </w:rPr>
        <w:t xml:space="preserve"> </w:t>
      </w:r>
      <w:r w:rsidR="00276A4B" w:rsidRPr="00813D19">
        <w:rPr>
          <w:color w:val="000000" w:themeColor="text1"/>
          <w:lang w:val="en-US"/>
        </w:rPr>
        <w:t xml:space="preserve">as </w:t>
      </w:r>
      <w:r w:rsidR="00CF25D0" w:rsidRPr="00813D19">
        <w:rPr>
          <w:color w:val="000000" w:themeColor="text1"/>
          <w:lang w:val="en-US"/>
        </w:rPr>
        <w:t xml:space="preserve">it was for </w:t>
      </w:r>
      <w:r w:rsidR="00276A4B" w:rsidRPr="00813D19">
        <w:rPr>
          <w:color w:val="000000" w:themeColor="text1"/>
          <w:lang w:val="en-US"/>
        </w:rPr>
        <w:t xml:space="preserve">the </w:t>
      </w:r>
      <w:r w:rsidR="001D49A9" w:rsidRPr="00813D19">
        <w:rPr>
          <w:color w:val="000000" w:themeColor="text1"/>
          <w:lang w:val="en-US"/>
        </w:rPr>
        <w:t xml:space="preserve">General Assembly </w:t>
      </w:r>
      <w:r w:rsidR="00CF25D0" w:rsidRPr="00813D19">
        <w:rPr>
          <w:color w:val="000000" w:themeColor="text1"/>
          <w:lang w:val="en-US"/>
        </w:rPr>
        <w:t xml:space="preserve">to </w:t>
      </w:r>
      <w:r w:rsidR="003B2235" w:rsidRPr="00813D19">
        <w:rPr>
          <w:color w:val="000000" w:themeColor="text1"/>
          <w:lang w:val="en-US"/>
        </w:rPr>
        <w:t>decide the way forward.</w:t>
      </w:r>
    </w:p>
    <w:p w14:paraId="29CA26DE" w14:textId="497CAC62" w:rsidR="00197268" w:rsidRPr="00813D19" w:rsidRDefault="001B4D11"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Turkey </w:t>
      </w:r>
      <w:r w:rsidR="003B2235" w:rsidRPr="00813D19">
        <w:rPr>
          <w:color w:val="000000" w:themeColor="text1"/>
          <w:lang w:val="en-US"/>
        </w:rPr>
        <w:t>noted the</w:t>
      </w:r>
      <w:r w:rsidR="003B2235" w:rsidRPr="00813D19">
        <w:rPr>
          <w:b/>
          <w:color w:val="000000" w:themeColor="text1"/>
          <w:lang w:val="en-US"/>
        </w:rPr>
        <w:t xml:space="preserve"> </w:t>
      </w:r>
      <w:r w:rsidR="003B2235" w:rsidRPr="00813D19">
        <w:rPr>
          <w:lang w:val="en-US"/>
        </w:rPr>
        <w:t xml:space="preserve">general agreement </w:t>
      </w:r>
      <w:r w:rsidR="0063135F" w:rsidRPr="00813D19">
        <w:rPr>
          <w:lang w:val="en-US"/>
        </w:rPr>
        <w:t xml:space="preserve">on the need for a dialogue during the evaluation process. </w:t>
      </w:r>
      <w:r w:rsidR="003B2235" w:rsidRPr="00813D19">
        <w:rPr>
          <w:lang w:val="en-US"/>
        </w:rPr>
        <w:t>It also understood</w:t>
      </w:r>
      <w:r w:rsidR="0063135F" w:rsidRPr="00813D19">
        <w:rPr>
          <w:lang w:val="en-US"/>
        </w:rPr>
        <w:t xml:space="preserve"> the need for a creative approach to solve the issue and </w:t>
      </w:r>
      <w:r w:rsidR="003B2235" w:rsidRPr="00813D19">
        <w:rPr>
          <w:lang w:val="en-US"/>
        </w:rPr>
        <w:t xml:space="preserve">it </w:t>
      </w:r>
      <w:r w:rsidR="0063135F" w:rsidRPr="00813D19">
        <w:rPr>
          <w:lang w:val="en-US"/>
        </w:rPr>
        <w:t>appreciate</w:t>
      </w:r>
      <w:r w:rsidR="003B2235" w:rsidRPr="00813D19">
        <w:rPr>
          <w:lang w:val="en-US"/>
        </w:rPr>
        <w:t>d</w:t>
      </w:r>
      <w:r w:rsidR="0063135F" w:rsidRPr="00813D19">
        <w:rPr>
          <w:lang w:val="en-US"/>
        </w:rPr>
        <w:t xml:space="preserve"> the efforts of the Secretariat to that end. However, </w:t>
      </w:r>
      <w:r w:rsidR="003B2235" w:rsidRPr="00813D19">
        <w:rPr>
          <w:lang w:val="en-US"/>
        </w:rPr>
        <w:t xml:space="preserve">there should </w:t>
      </w:r>
      <w:r w:rsidR="0063135F" w:rsidRPr="00813D19">
        <w:rPr>
          <w:lang w:val="en-US"/>
        </w:rPr>
        <w:t xml:space="preserve">not </w:t>
      </w:r>
      <w:r w:rsidR="003B2235" w:rsidRPr="00813D19">
        <w:rPr>
          <w:lang w:val="en-US"/>
        </w:rPr>
        <w:t xml:space="preserve">be </w:t>
      </w:r>
      <w:r w:rsidR="0063135F" w:rsidRPr="00813D19">
        <w:rPr>
          <w:lang w:val="en-US"/>
        </w:rPr>
        <w:t xml:space="preserve">any doubts </w:t>
      </w:r>
      <w:r w:rsidR="003B2235" w:rsidRPr="00813D19">
        <w:rPr>
          <w:lang w:val="en-US"/>
        </w:rPr>
        <w:t xml:space="preserve">when </w:t>
      </w:r>
      <w:r w:rsidR="0063135F" w:rsidRPr="00813D19">
        <w:rPr>
          <w:lang w:val="en-US"/>
        </w:rPr>
        <w:t>adopting any exceptional</w:t>
      </w:r>
      <w:r w:rsidR="003B2235" w:rsidRPr="00813D19">
        <w:rPr>
          <w:lang w:val="en-US"/>
        </w:rPr>
        <w:t xml:space="preserve"> measures so as to </w:t>
      </w:r>
      <w:r w:rsidR="0063135F" w:rsidRPr="00813D19">
        <w:rPr>
          <w:lang w:val="en-US"/>
        </w:rPr>
        <w:t xml:space="preserve">avoid creating </w:t>
      </w:r>
      <w:r w:rsidR="00CF25D0" w:rsidRPr="00813D19">
        <w:rPr>
          <w:lang w:val="en-US"/>
        </w:rPr>
        <w:t>a precedent</w:t>
      </w:r>
      <w:r w:rsidR="0063135F" w:rsidRPr="00813D19">
        <w:rPr>
          <w:lang w:val="en-US"/>
        </w:rPr>
        <w:t xml:space="preserve"> that would go against </w:t>
      </w:r>
      <w:r w:rsidR="003B2235" w:rsidRPr="00813D19">
        <w:rPr>
          <w:lang w:val="en-US"/>
        </w:rPr>
        <w:t xml:space="preserve">the Convention’s </w:t>
      </w:r>
      <w:r w:rsidR="0063135F" w:rsidRPr="00813D19">
        <w:rPr>
          <w:lang w:val="en-US"/>
        </w:rPr>
        <w:t xml:space="preserve">own legal framework. </w:t>
      </w:r>
      <w:r w:rsidR="003B2235" w:rsidRPr="00813D19">
        <w:rPr>
          <w:lang w:val="en-US"/>
        </w:rPr>
        <w:t xml:space="preserve">Moreover, the Committee should seek the endorsement </w:t>
      </w:r>
      <w:r w:rsidR="0063135F" w:rsidRPr="00813D19">
        <w:rPr>
          <w:lang w:val="en-US"/>
        </w:rPr>
        <w:t xml:space="preserve">of the General Assembly before adopting any such measures that </w:t>
      </w:r>
      <w:r w:rsidR="00390FD6">
        <w:rPr>
          <w:lang w:val="en-US"/>
        </w:rPr>
        <w:t>went</w:t>
      </w:r>
      <w:r w:rsidR="00390FD6" w:rsidRPr="00813D19">
        <w:rPr>
          <w:lang w:val="en-US"/>
        </w:rPr>
        <w:t xml:space="preserve"> </w:t>
      </w:r>
      <w:r w:rsidR="0063135F" w:rsidRPr="00813D19">
        <w:rPr>
          <w:lang w:val="en-US"/>
        </w:rPr>
        <w:t xml:space="preserve">beyond </w:t>
      </w:r>
      <w:r w:rsidR="003B2235" w:rsidRPr="00813D19">
        <w:rPr>
          <w:lang w:val="en-US"/>
        </w:rPr>
        <w:t xml:space="preserve">its </w:t>
      </w:r>
      <w:r w:rsidR="0063135F" w:rsidRPr="00813D19">
        <w:rPr>
          <w:lang w:val="en-US"/>
        </w:rPr>
        <w:t xml:space="preserve">mandate. </w:t>
      </w:r>
      <w:r w:rsidR="008057A6" w:rsidRPr="00813D19">
        <w:rPr>
          <w:lang w:val="en-US"/>
        </w:rPr>
        <w:t>T</w:t>
      </w:r>
      <w:r w:rsidR="003B2235" w:rsidRPr="00813D19">
        <w:rPr>
          <w:lang w:val="en-US"/>
        </w:rPr>
        <w:t xml:space="preserve">he delegation wished to </w:t>
      </w:r>
      <w:r w:rsidR="0063135F" w:rsidRPr="00813D19">
        <w:rPr>
          <w:lang w:val="en-US"/>
        </w:rPr>
        <w:t xml:space="preserve">hear </w:t>
      </w:r>
      <w:r w:rsidR="003B2235" w:rsidRPr="00813D19">
        <w:rPr>
          <w:lang w:val="en-US"/>
        </w:rPr>
        <w:t xml:space="preserve">from </w:t>
      </w:r>
      <w:r w:rsidR="0063135F" w:rsidRPr="00813D19">
        <w:rPr>
          <w:lang w:val="en-US"/>
        </w:rPr>
        <w:t>the Legal Adviser on this issue</w:t>
      </w:r>
      <w:r w:rsidR="003B2235" w:rsidRPr="00813D19">
        <w:rPr>
          <w:lang w:val="en-US"/>
        </w:rPr>
        <w:t xml:space="preserve">, and </w:t>
      </w:r>
      <w:r w:rsidR="008057A6" w:rsidRPr="00813D19">
        <w:rPr>
          <w:lang w:val="en-US"/>
        </w:rPr>
        <w:t xml:space="preserve">if </w:t>
      </w:r>
      <w:r w:rsidR="003B2235" w:rsidRPr="00813D19">
        <w:rPr>
          <w:lang w:val="en-US"/>
        </w:rPr>
        <w:t xml:space="preserve">it </w:t>
      </w:r>
      <w:r w:rsidR="008057A6" w:rsidRPr="00813D19">
        <w:rPr>
          <w:lang w:val="en-US"/>
        </w:rPr>
        <w:t xml:space="preserve">was </w:t>
      </w:r>
      <w:r w:rsidR="003B2235" w:rsidRPr="00813D19">
        <w:rPr>
          <w:lang w:val="en-US"/>
        </w:rPr>
        <w:t>considered</w:t>
      </w:r>
      <w:r w:rsidR="0063135F" w:rsidRPr="00813D19">
        <w:rPr>
          <w:lang w:val="en-US"/>
        </w:rPr>
        <w:t xml:space="preserve"> </w:t>
      </w:r>
      <w:r w:rsidR="003B2235" w:rsidRPr="00813D19">
        <w:rPr>
          <w:lang w:val="en-US"/>
        </w:rPr>
        <w:t xml:space="preserve">that </w:t>
      </w:r>
      <w:r w:rsidR="0063135F" w:rsidRPr="00813D19">
        <w:rPr>
          <w:lang w:val="en-US"/>
        </w:rPr>
        <w:t xml:space="preserve">the case before </w:t>
      </w:r>
      <w:r w:rsidR="003B2235" w:rsidRPr="00813D19">
        <w:rPr>
          <w:lang w:val="en-US"/>
        </w:rPr>
        <w:t xml:space="preserve">the Committee required </w:t>
      </w:r>
      <w:r w:rsidR="0063135F" w:rsidRPr="00813D19">
        <w:rPr>
          <w:lang w:val="en-US"/>
        </w:rPr>
        <w:t xml:space="preserve">urgent consideration </w:t>
      </w:r>
      <w:r w:rsidR="003B2235" w:rsidRPr="00813D19">
        <w:rPr>
          <w:lang w:val="en-US"/>
        </w:rPr>
        <w:t xml:space="preserve">then there was </w:t>
      </w:r>
      <w:r w:rsidR="0063135F" w:rsidRPr="00813D19">
        <w:rPr>
          <w:lang w:val="en-US"/>
        </w:rPr>
        <w:t xml:space="preserve">the </w:t>
      </w:r>
      <w:r w:rsidR="008057A6" w:rsidRPr="00813D19">
        <w:rPr>
          <w:lang w:val="en-US"/>
        </w:rPr>
        <w:t>option</w:t>
      </w:r>
      <w:r w:rsidR="0063135F" w:rsidRPr="00813D19">
        <w:rPr>
          <w:lang w:val="en-US"/>
        </w:rPr>
        <w:t xml:space="preserve"> of holding an extraordinary session of the General Ass</w:t>
      </w:r>
      <w:r w:rsidR="00DD4E22">
        <w:rPr>
          <w:lang w:val="en-US"/>
        </w:rPr>
        <w:t>embly, as suggested by Austria.</w:t>
      </w:r>
    </w:p>
    <w:p w14:paraId="5FFC51B6" w14:textId="1D22886A" w:rsidR="001B4D11" w:rsidRPr="00813D19" w:rsidRDefault="00EB30A7"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Norway</w:t>
      </w:r>
      <w:r w:rsidR="0063135F" w:rsidRPr="00813D19">
        <w:rPr>
          <w:b/>
          <w:color w:val="000000" w:themeColor="text1"/>
          <w:lang w:val="en-US"/>
        </w:rPr>
        <w:t xml:space="preserve"> </w:t>
      </w:r>
      <w:r w:rsidR="003B2235" w:rsidRPr="00813D19">
        <w:rPr>
          <w:lang w:val="en-US"/>
        </w:rPr>
        <w:t xml:space="preserve">concurred that </w:t>
      </w:r>
      <w:r w:rsidR="0063135F" w:rsidRPr="00813D19">
        <w:rPr>
          <w:lang w:val="en-US"/>
        </w:rPr>
        <w:t xml:space="preserve">there </w:t>
      </w:r>
      <w:r w:rsidR="003B2235" w:rsidRPr="00813D19">
        <w:rPr>
          <w:lang w:val="en-US"/>
        </w:rPr>
        <w:t xml:space="preserve">were indeed </w:t>
      </w:r>
      <w:r w:rsidR="0063135F" w:rsidRPr="00813D19">
        <w:rPr>
          <w:lang w:val="en-US"/>
        </w:rPr>
        <w:t>several concerns rega</w:t>
      </w:r>
      <w:r w:rsidR="003B2235" w:rsidRPr="00813D19">
        <w:rPr>
          <w:lang w:val="en-US"/>
        </w:rPr>
        <w:t xml:space="preserve">rding this suggested procedure, and it wished to </w:t>
      </w:r>
      <w:r w:rsidR="00390FD6">
        <w:rPr>
          <w:lang w:val="en-US"/>
        </w:rPr>
        <w:t>receive</w:t>
      </w:r>
      <w:r w:rsidR="00390FD6" w:rsidRPr="00813D19">
        <w:rPr>
          <w:lang w:val="en-US"/>
        </w:rPr>
        <w:t xml:space="preserve"> </w:t>
      </w:r>
      <w:r w:rsidR="003B2235" w:rsidRPr="00813D19">
        <w:rPr>
          <w:lang w:val="en-US"/>
        </w:rPr>
        <w:t>more clarification</w:t>
      </w:r>
      <w:r w:rsidR="0063135F" w:rsidRPr="00813D19">
        <w:rPr>
          <w:lang w:val="en-US"/>
        </w:rPr>
        <w:t xml:space="preserve"> on the matter. </w:t>
      </w:r>
      <w:r w:rsidR="003B2235" w:rsidRPr="00813D19">
        <w:rPr>
          <w:lang w:val="en-US"/>
        </w:rPr>
        <w:t xml:space="preserve">In addition, </w:t>
      </w:r>
      <w:r w:rsidR="0063135F" w:rsidRPr="00813D19">
        <w:rPr>
          <w:lang w:val="en-US"/>
        </w:rPr>
        <w:t xml:space="preserve">what </w:t>
      </w:r>
      <w:r w:rsidR="008057A6" w:rsidRPr="00813D19">
        <w:rPr>
          <w:lang w:val="en-US"/>
        </w:rPr>
        <w:t>would be</w:t>
      </w:r>
      <w:r w:rsidR="003B2235" w:rsidRPr="00813D19">
        <w:rPr>
          <w:lang w:val="en-US"/>
        </w:rPr>
        <w:t xml:space="preserve"> </w:t>
      </w:r>
      <w:r w:rsidR="0063135F" w:rsidRPr="00813D19">
        <w:rPr>
          <w:lang w:val="en-US"/>
        </w:rPr>
        <w:t>the implications for the Evaluation Body and for the Secretariat in terms of work</w:t>
      </w:r>
      <w:r w:rsidR="008057A6" w:rsidRPr="00813D19">
        <w:rPr>
          <w:lang w:val="en-US"/>
        </w:rPr>
        <w:t>load, organization and mandate</w:t>
      </w:r>
      <w:r w:rsidR="00390FD6">
        <w:rPr>
          <w:lang w:val="en-US"/>
        </w:rPr>
        <w:t>?</w:t>
      </w:r>
    </w:p>
    <w:p w14:paraId="713CE9C7" w14:textId="4619658A" w:rsidR="00EB30A7" w:rsidRPr="00813D19" w:rsidRDefault="00EB30A7"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Sweden</w:t>
      </w:r>
      <w:r w:rsidR="0063135F" w:rsidRPr="00813D19">
        <w:rPr>
          <w:b/>
          <w:color w:val="000000" w:themeColor="text1"/>
          <w:lang w:val="en-US"/>
        </w:rPr>
        <w:t xml:space="preserve"> </w:t>
      </w:r>
      <w:r w:rsidR="003B2235" w:rsidRPr="00813D19">
        <w:rPr>
          <w:lang w:val="en-US"/>
        </w:rPr>
        <w:t>agreed</w:t>
      </w:r>
      <w:r w:rsidR="0063135F" w:rsidRPr="00813D19">
        <w:rPr>
          <w:lang w:val="en-US"/>
        </w:rPr>
        <w:t xml:space="preserve"> with several of the Observer States </w:t>
      </w:r>
      <w:r w:rsidR="003B2235" w:rsidRPr="00813D19">
        <w:rPr>
          <w:lang w:val="en-US"/>
        </w:rPr>
        <w:t xml:space="preserve">such as </w:t>
      </w:r>
      <w:r w:rsidR="0063135F" w:rsidRPr="00813D19">
        <w:rPr>
          <w:lang w:val="en-US"/>
        </w:rPr>
        <w:t>Algeria, Niger, Belgium, Morocco, Hungary, Estonia and Turkey</w:t>
      </w:r>
      <w:r w:rsidR="003B2235" w:rsidRPr="00813D19">
        <w:rPr>
          <w:lang w:val="en-US"/>
        </w:rPr>
        <w:t xml:space="preserve">, adding that it had not heard </w:t>
      </w:r>
      <w:r w:rsidR="0063135F" w:rsidRPr="00813D19">
        <w:rPr>
          <w:lang w:val="en-US"/>
        </w:rPr>
        <w:t>convincing arguments for the urgency of this proposed suggestion on an experimental basis</w:t>
      </w:r>
      <w:r w:rsidR="003B2235" w:rsidRPr="00813D19">
        <w:rPr>
          <w:lang w:val="en-US"/>
        </w:rPr>
        <w:t>.</w:t>
      </w:r>
      <w:r w:rsidR="0063135F" w:rsidRPr="00813D19">
        <w:rPr>
          <w:lang w:val="en-US"/>
        </w:rPr>
        <w:t xml:space="preserve"> </w:t>
      </w:r>
      <w:r w:rsidR="003B2235" w:rsidRPr="00813D19">
        <w:rPr>
          <w:lang w:val="en-US"/>
        </w:rPr>
        <w:t xml:space="preserve">Although it </w:t>
      </w:r>
      <w:r w:rsidR="0063135F" w:rsidRPr="00813D19">
        <w:rPr>
          <w:lang w:val="en-US"/>
        </w:rPr>
        <w:t>welcome</w:t>
      </w:r>
      <w:r w:rsidR="003B2235" w:rsidRPr="00813D19">
        <w:rPr>
          <w:lang w:val="en-US"/>
        </w:rPr>
        <w:t>d</w:t>
      </w:r>
      <w:r w:rsidR="0063135F" w:rsidRPr="00813D19">
        <w:rPr>
          <w:lang w:val="en-US"/>
        </w:rPr>
        <w:t xml:space="preserve"> </w:t>
      </w:r>
      <w:r w:rsidR="003B2235" w:rsidRPr="00813D19">
        <w:rPr>
          <w:lang w:val="en-US"/>
        </w:rPr>
        <w:t xml:space="preserve">any improvements in terms of </w:t>
      </w:r>
      <w:r w:rsidR="0063135F" w:rsidRPr="00813D19">
        <w:rPr>
          <w:lang w:val="en-US"/>
        </w:rPr>
        <w:t>dialogue</w:t>
      </w:r>
      <w:r w:rsidR="003B2235" w:rsidRPr="00813D19">
        <w:rPr>
          <w:lang w:val="en-US"/>
        </w:rPr>
        <w:t>,</w:t>
      </w:r>
      <w:r w:rsidR="0063135F" w:rsidRPr="00813D19">
        <w:rPr>
          <w:lang w:val="en-US"/>
        </w:rPr>
        <w:t xml:space="preserve"> </w:t>
      </w:r>
      <w:r w:rsidR="003B2235" w:rsidRPr="00813D19">
        <w:rPr>
          <w:lang w:val="en-US"/>
        </w:rPr>
        <w:t xml:space="preserve">it </w:t>
      </w:r>
      <w:r w:rsidR="0063135F" w:rsidRPr="00813D19">
        <w:rPr>
          <w:lang w:val="en-US"/>
        </w:rPr>
        <w:t>believe</w:t>
      </w:r>
      <w:r w:rsidR="003B2235" w:rsidRPr="00813D19">
        <w:rPr>
          <w:lang w:val="en-US"/>
        </w:rPr>
        <w:t>d</w:t>
      </w:r>
      <w:r w:rsidR="0063135F" w:rsidRPr="00813D19">
        <w:rPr>
          <w:lang w:val="en-US"/>
        </w:rPr>
        <w:t xml:space="preserve"> that in order for it to be a truly legitimate process it need</w:t>
      </w:r>
      <w:r w:rsidR="003B2235" w:rsidRPr="00813D19">
        <w:rPr>
          <w:lang w:val="en-US"/>
        </w:rPr>
        <w:t>ed</w:t>
      </w:r>
      <w:r w:rsidR="0063135F" w:rsidRPr="00813D19">
        <w:rPr>
          <w:lang w:val="en-US"/>
        </w:rPr>
        <w:t xml:space="preserve"> to </w:t>
      </w:r>
      <w:r w:rsidR="003B2235" w:rsidRPr="00813D19">
        <w:rPr>
          <w:lang w:val="en-US"/>
        </w:rPr>
        <w:t xml:space="preserve">pass the </w:t>
      </w:r>
      <w:r w:rsidR="0063135F" w:rsidRPr="00813D19">
        <w:rPr>
          <w:lang w:val="en-US"/>
        </w:rPr>
        <w:t>General Assembly</w:t>
      </w:r>
      <w:r w:rsidR="003B2235" w:rsidRPr="00813D19">
        <w:rPr>
          <w:lang w:val="en-US"/>
        </w:rPr>
        <w:t>. In this regard, it wished to hear</w:t>
      </w:r>
      <w:r w:rsidR="0063135F" w:rsidRPr="00813D19">
        <w:rPr>
          <w:lang w:val="en-US"/>
        </w:rPr>
        <w:t xml:space="preserve"> the view of the Legal Adviser on all the questions </w:t>
      </w:r>
      <w:r w:rsidR="00DD4E22">
        <w:rPr>
          <w:lang w:val="en-US"/>
        </w:rPr>
        <w:t>posed.</w:t>
      </w:r>
    </w:p>
    <w:p w14:paraId="70812D36" w14:textId="0AAD2D69" w:rsidR="00447941" w:rsidRPr="00813D19" w:rsidRDefault="006B68A0" w:rsidP="00447941">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Belize</w:t>
      </w:r>
      <w:r w:rsidR="0063135F" w:rsidRPr="00813D19">
        <w:rPr>
          <w:b/>
          <w:color w:val="000000" w:themeColor="text1"/>
          <w:lang w:val="en-US"/>
        </w:rPr>
        <w:t xml:space="preserve"> </w:t>
      </w:r>
      <w:r w:rsidR="003619FE" w:rsidRPr="00813D19">
        <w:rPr>
          <w:lang w:val="en-US"/>
        </w:rPr>
        <w:t>observed</w:t>
      </w:r>
      <w:r w:rsidR="0063135F" w:rsidRPr="00813D19">
        <w:rPr>
          <w:lang w:val="en-US"/>
        </w:rPr>
        <w:t xml:space="preserve"> that the proposal put forward by the Secretariat </w:t>
      </w:r>
      <w:r w:rsidR="003619FE" w:rsidRPr="00813D19">
        <w:rPr>
          <w:lang w:val="en-US"/>
        </w:rPr>
        <w:t xml:space="preserve">was </w:t>
      </w:r>
      <w:r w:rsidR="0063135F" w:rsidRPr="00813D19">
        <w:rPr>
          <w:lang w:val="en-US"/>
        </w:rPr>
        <w:t>in fact an opportunity to uphold the spirit o</w:t>
      </w:r>
      <w:r w:rsidR="006761BA" w:rsidRPr="00813D19">
        <w:rPr>
          <w:lang w:val="en-US"/>
        </w:rPr>
        <w:t xml:space="preserve">f the Convention </w:t>
      </w:r>
      <w:r w:rsidR="003619FE" w:rsidRPr="00813D19">
        <w:rPr>
          <w:lang w:val="en-US"/>
        </w:rPr>
        <w:t xml:space="preserve">centred on communities, and was thus an </w:t>
      </w:r>
      <w:r w:rsidR="0063135F" w:rsidRPr="00813D19">
        <w:rPr>
          <w:lang w:val="en-US"/>
        </w:rPr>
        <w:t xml:space="preserve">opportunity to </w:t>
      </w:r>
      <w:r w:rsidR="003619FE" w:rsidRPr="00813D19">
        <w:rPr>
          <w:lang w:val="en-US"/>
        </w:rPr>
        <w:t xml:space="preserve">test </w:t>
      </w:r>
      <w:r w:rsidR="0063135F" w:rsidRPr="00813D19">
        <w:rPr>
          <w:lang w:val="en-US"/>
        </w:rPr>
        <w:t>a procedure within the tim</w:t>
      </w:r>
      <w:r w:rsidR="003619FE" w:rsidRPr="00813D19">
        <w:rPr>
          <w:lang w:val="en-US"/>
        </w:rPr>
        <w:t>elines of the Convention itself</w:t>
      </w:r>
      <w:r w:rsidR="0063135F" w:rsidRPr="00813D19">
        <w:rPr>
          <w:lang w:val="en-US"/>
        </w:rPr>
        <w:t xml:space="preserve"> </w:t>
      </w:r>
      <w:r w:rsidR="003619FE" w:rsidRPr="00813D19">
        <w:rPr>
          <w:lang w:val="en-US"/>
        </w:rPr>
        <w:t xml:space="preserve">and </w:t>
      </w:r>
      <w:r w:rsidR="0063135F" w:rsidRPr="00813D19">
        <w:rPr>
          <w:lang w:val="en-US"/>
        </w:rPr>
        <w:t xml:space="preserve">the Operational Directives </w:t>
      </w:r>
      <w:r w:rsidR="003619FE" w:rsidRPr="00813D19">
        <w:rPr>
          <w:lang w:val="en-US"/>
        </w:rPr>
        <w:t xml:space="preserve">in </w:t>
      </w:r>
      <w:r w:rsidR="006761BA" w:rsidRPr="00813D19">
        <w:rPr>
          <w:lang w:val="en-US"/>
        </w:rPr>
        <w:t xml:space="preserve">the examination </w:t>
      </w:r>
      <w:r w:rsidR="0063135F" w:rsidRPr="00813D19">
        <w:rPr>
          <w:lang w:val="en-US"/>
        </w:rPr>
        <w:t xml:space="preserve">of files and to offer dialogue in a timely manner. </w:t>
      </w:r>
      <w:r w:rsidR="006761BA" w:rsidRPr="00813D19">
        <w:rPr>
          <w:lang w:val="en-US"/>
        </w:rPr>
        <w:t>Rega</w:t>
      </w:r>
      <w:r w:rsidR="008057A6" w:rsidRPr="00813D19">
        <w:rPr>
          <w:lang w:val="en-US"/>
        </w:rPr>
        <w:t>r</w:t>
      </w:r>
      <w:r w:rsidR="006761BA" w:rsidRPr="00813D19">
        <w:rPr>
          <w:lang w:val="en-US"/>
        </w:rPr>
        <w:t>ding the argument</w:t>
      </w:r>
      <w:r w:rsidR="0063135F" w:rsidRPr="00813D19">
        <w:rPr>
          <w:lang w:val="en-US"/>
        </w:rPr>
        <w:t xml:space="preserve"> for going </w:t>
      </w:r>
      <w:r w:rsidR="006761BA" w:rsidRPr="00813D19">
        <w:rPr>
          <w:lang w:val="en-US"/>
        </w:rPr>
        <w:t xml:space="preserve">first </w:t>
      </w:r>
      <w:r w:rsidR="0063135F" w:rsidRPr="00813D19">
        <w:rPr>
          <w:lang w:val="en-US"/>
        </w:rPr>
        <w:t>to the General Assembly</w:t>
      </w:r>
      <w:r w:rsidR="006761BA" w:rsidRPr="00813D19">
        <w:rPr>
          <w:lang w:val="en-US"/>
        </w:rPr>
        <w:t>, the delegation remarked that the purpose</w:t>
      </w:r>
      <w:r w:rsidR="0063135F" w:rsidRPr="00813D19">
        <w:rPr>
          <w:lang w:val="en-US"/>
        </w:rPr>
        <w:t xml:space="preserve"> of conducting an experiment </w:t>
      </w:r>
      <w:r w:rsidR="006761BA" w:rsidRPr="00813D19">
        <w:rPr>
          <w:lang w:val="en-US"/>
        </w:rPr>
        <w:t xml:space="preserve">was to </w:t>
      </w:r>
      <w:r w:rsidR="0063135F" w:rsidRPr="00813D19">
        <w:rPr>
          <w:lang w:val="en-US"/>
        </w:rPr>
        <w:t xml:space="preserve">have information </w:t>
      </w:r>
      <w:r w:rsidR="006761BA" w:rsidRPr="00813D19">
        <w:rPr>
          <w:lang w:val="en-US"/>
        </w:rPr>
        <w:t xml:space="preserve">to </w:t>
      </w:r>
      <w:r w:rsidR="0063135F" w:rsidRPr="00813D19">
        <w:rPr>
          <w:lang w:val="en-US"/>
        </w:rPr>
        <w:t xml:space="preserve">use going forward </w:t>
      </w:r>
      <w:r w:rsidR="006761BA" w:rsidRPr="00813D19">
        <w:rPr>
          <w:lang w:val="en-US"/>
        </w:rPr>
        <w:t xml:space="preserve">and it was thus </w:t>
      </w:r>
      <w:r w:rsidR="0063135F" w:rsidRPr="00813D19">
        <w:rPr>
          <w:lang w:val="en-US"/>
        </w:rPr>
        <w:t>an opportunity for the Secretariat a</w:t>
      </w:r>
      <w:r w:rsidR="006761BA" w:rsidRPr="00813D19">
        <w:rPr>
          <w:lang w:val="en-US"/>
        </w:rPr>
        <w:t>nd the Evaluation Body to test whether the procedure worked</w:t>
      </w:r>
      <w:r w:rsidR="0063135F" w:rsidRPr="00813D19">
        <w:rPr>
          <w:lang w:val="en-US"/>
        </w:rPr>
        <w:t xml:space="preserve">. </w:t>
      </w:r>
      <w:r w:rsidR="008057A6" w:rsidRPr="00813D19">
        <w:rPr>
          <w:lang w:val="en-US"/>
        </w:rPr>
        <w:t xml:space="preserve">It </w:t>
      </w:r>
      <w:r w:rsidR="006761BA" w:rsidRPr="00813D19">
        <w:rPr>
          <w:lang w:val="en-US"/>
        </w:rPr>
        <w:t>understood</w:t>
      </w:r>
      <w:r w:rsidR="0063135F" w:rsidRPr="00813D19">
        <w:rPr>
          <w:lang w:val="en-US"/>
        </w:rPr>
        <w:t xml:space="preserve"> that the Operational Directives provide</w:t>
      </w:r>
      <w:r w:rsidR="006761BA" w:rsidRPr="00813D19">
        <w:rPr>
          <w:lang w:val="en-US"/>
        </w:rPr>
        <w:t>d</w:t>
      </w:r>
      <w:r w:rsidR="0063135F" w:rsidRPr="00813D19">
        <w:rPr>
          <w:lang w:val="en-US"/>
        </w:rPr>
        <w:t xml:space="preserve"> legal parameters for the Convention</w:t>
      </w:r>
      <w:r w:rsidR="006761BA" w:rsidRPr="00813D19">
        <w:rPr>
          <w:lang w:val="en-US"/>
        </w:rPr>
        <w:t>,</w:t>
      </w:r>
      <w:r w:rsidR="0063135F" w:rsidRPr="00813D19">
        <w:rPr>
          <w:lang w:val="en-US"/>
        </w:rPr>
        <w:t xml:space="preserve"> but law comes out of philosophical approaches. </w:t>
      </w:r>
      <w:r w:rsidR="008057A6" w:rsidRPr="00813D19">
        <w:rPr>
          <w:lang w:val="en-US"/>
        </w:rPr>
        <w:t>In this regard, e</w:t>
      </w:r>
      <w:r w:rsidR="006761BA" w:rsidRPr="00813D19">
        <w:rPr>
          <w:lang w:val="en-US"/>
        </w:rPr>
        <w:t xml:space="preserve">ither one goes to </w:t>
      </w:r>
      <w:r w:rsidR="0063135F" w:rsidRPr="00813D19">
        <w:rPr>
          <w:lang w:val="en-US"/>
        </w:rPr>
        <w:t>the General Assembly</w:t>
      </w:r>
      <w:r w:rsidR="006761BA" w:rsidRPr="00813D19">
        <w:rPr>
          <w:lang w:val="en-US"/>
        </w:rPr>
        <w:t xml:space="preserve"> to receive the </w:t>
      </w:r>
      <w:r w:rsidR="0063135F" w:rsidRPr="00813D19">
        <w:rPr>
          <w:lang w:val="en-US"/>
        </w:rPr>
        <w:t>mandate to act</w:t>
      </w:r>
      <w:r w:rsidR="006761BA" w:rsidRPr="00813D19">
        <w:rPr>
          <w:lang w:val="en-US"/>
        </w:rPr>
        <w:t>,</w:t>
      </w:r>
      <w:r w:rsidR="0063135F" w:rsidRPr="00813D19">
        <w:rPr>
          <w:lang w:val="en-US"/>
        </w:rPr>
        <w:t xml:space="preserve"> </w:t>
      </w:r>
      <w:r w:rsidR="006761BA" w:rsidRPr="00813D19">
        <w:rPr>
          <w:lang w:val="en-US"/>
        </w:rPr>
        <w:t xml:space="preserve">or one </w:t>
      </w:r>
      <w:r w:rsidR="0063135F" w:rsidRPr="00813D19">
        <w:rPr>
          <w:lang w:val="en-US"/>
        </w:rPr>
        <w:t>go</w:t>
      </w:r>
      <w:r w:rsidR="006761BA" w:rsidRPr="00813D19">
        <w:rPr>
          <w:lang w:val="en-US"/>
        </w:rPr>
        <w:t>es</w:t>
      </w:r>
      <w:r w:rsidR="0063135F" w:rsidRPr="00813D19">
        <w:rPr>
          <w:lang w:val="en-US"/>
        </w:rPr>
        <w:t xml:space="preserve"> to work </w:t>
      </w:r>
      <w:r w:rsidR="008057A6" w:rsidRPr="00813D19">
        <w:rPr>
          <w:lang w:val="en-US"/>
        </w:rPr>
        <w:t xml:space="preserve">towards an </w:t>
      </w:r>
      <w:r w:rsidR="006761BA" w:rsidRPr="00813D19">
        <w:rPr>
          <w:lang w:val="en-US"/>
        </w:rPr>
        <w:t xml:space="preserve">outcome </w:t>
      </w:r>
      <w:r w:rsidR="008057A6" w:rsidRPr="00813D19">
        <w:rPr>
          <w:lang w:val="en-US"/>
        </w:rPr>
        <w:t xml:space="preserve">that </w:t>
      </w:r>
      <w:r w:rsidR="0063135F" w:rsidRPr="00813D19">
        <w:rPr>
          <w:lang w:val="en-US"/>
        </w:rPr>
        <w:t>actually inform</w:t>
      </w:r>
      <w:r w:rsidR="006761BA" w:rsidRPr="00813D19">
        <w:rPr>
          <w:lang w:val="en-US"/>
        </w:rPr>
        <w:t>s</w:t>
      </w:r>
      <w:r w:rsidR="0063135F" w:rsidRPr="00813D19">
        <w:rPr>
          <w:lang w:val="en-US"/>
        </w:rPr>
        <w:t xml:space="preserve"> what happens at the General Assembly</w:t>
      </w:r>
      <w:r w:rsidR="008057A6" w:rsidRPr="00813D19">
        <w:rPr>
          <w:lang w:val="en-US"/>
        </w:rPr>
        <w:t xml:space="preserve">, which was </w:t>
      </w:r>
      <w:r w:rsidR="0063135F" w:rsidRPr="00813D19">
        <w:rPr>
          <w:lang w:val="en-US"/>
        </w:rPr>
        <w:t xml:space="preserve">a </w:t>
      </w:r>
      <w:r w:rsidR="008057A6" w:rsidRPr="00813D19">
        <w:rPr>
          <w:lang w:val="en-US"/>
        </w:rPr>
        <w:t>rather philosophical matter</w:t>
      </w:r>
      <w:r w:rsidR="0063135F" w:rsidRPr="00813D19">
        <w:rPr>
          <w:lang w:val="en-US"/>
        </w:rPr>
        <w:t xml:space="preserve">. </w:t>
      </w:r>
      <w:r w:rsidR="006761BA" w:rsidRPr="00813D19">
        <w:rPr>
          <w:lang w:val="en-US"/>
        </w:rPr>
        <w:t>I</w:t>
      </w:r>
      <w:r w:rsidR="0063135F" w:rsidRPr="00813D19">
        <w:rPr>
          <w:lang w:val="en-US"/>
        </w:rPr>
        <w:t xml:space="preserve">t </w:t>
      </w:r>
      <w:r w:rsidR="00390FD6">
        <w:rPr>
          <w:lang w:val="en-US"/>
        </w:rPr>
        <w:t>was</w:t>
      </w:r>
      <w:r w:rsidR="00390FD6" w:rsidRPr="00813D19">
        <w:rPr>
          <w:lang w:val="en-US"/>
        </w:rPr>
        <w:t xml:space="preserve"> </w:t>
      </w:r>
      <w:r w:rsidR="0063135F" w:rsidRPr="00813D19">
        <w:rPr>
          <w:lang w:val="en-US"/>
        </w:rPr>
        <w:t xml:space="preserve">the spirit of the Convention and the communities involved </w:t>
      </w:r>
      <w:r w:rsidR="006761BA" w:rsidRPr="00813D19">
        <w:rPr>
          <w:lang w:val="en-US"/>
        </w:rPr>
        <w:t>that prevail</w:t>
      </w:r>
      <w:r w:rsidR="00390FD6">
        <w:rPr>
          <w:lang w:val="en-US"/>
        </w:rPr>
        <w:t>ed</w:t>
      </w:r>
      <w:r w:rsidR="006761BA" w:rsidRPr="00813D19">
        <w:rPr>
          <w:lang w:val="en-US"/>
        </w:rPr>
        <w:t xml:space="preserve"> and the delegation thus </w:t>
      </w:r>
      <w:r w:rsidR="0063135F" w:rsidRPr="00813D19">
        <w:rPr>
          <w:lang w:val="en-US"/>
        </w:rPr>
        <w:t>support</w:t>
      </w:r>
      <w:r w:rsidR="006761BA" w:rsidRPr="00813D19">
        <w:rPr>
          <w:lang w:val="en-US"/>
        </w:rPr>
        <w:t>ed</w:t>
      </w:r>
      <w:r w:rsidR="0063135F" w:rsidRPr="00813D19">
        <w:rPr>
          <w:lang w:val="en-US"/>
        </w:rPr>
        <w:t xml:space="preserve"> the proposal </w:t>
      </w:r>
      <w:r w:rsidR="006761BA" w:rsidRPr="00813D19">
        <w:rPr>
          <w:lang w:val="en-US"/>
        </w:rPr>
        <w:t xml:space="preserve">by </w:t>
      </w:r>
      <w:r w:rsidR="0063135F" w:rsidRPr="00813D19">
        <w:rPr>
          <w:lang w:val="en-US"/>
        </w:rPr>
        <w:t>the Secretariat</w:t>
      </w:r>
      <w:r w:rsidR="006761BA" w:rsidRPr="00813D19">
        <w:rPr>
          <w:lang w:val="en-US"/>
        </w:rPr>
        <w:t>.</w:t>
      </w:r>
      <w:r w:rsidR="0063135F" w:rsidRPr="00813D19">
        <w:rPr>
          <w:lang w:val="en-US"/>
        </w:rPr>
        <w:t xml:space="preserve"> </w:t>
      </w:r>
      <w:r w:rsidR="006761BA" w:rsidRPr="00813D19">
        <w:rPr>
          <w:lang w:val="en-US"/>
        </w:rPr>
        <w:t xml:space="preserve">With regard to </w:t>
      </w:r>
      <w:r w:rsidR="0063135F" w:rsidRPr="00813D19">
        <w:rPr>
          <w:lang w:val="en-US"/>
        </w:rPr>
        <w:t xml:space="preserve">the </w:t>
      </w:r>
      <w:r w:rsidR="008057A6" w:rsidRPr="00813D19">
        <w:rPr>
          <w:lang w:val="en-US"/>
        </w:rPr>
        <w:t xml:space="preserve">valid </w:t>
      </w:r>
      <w:r w:rsidR="006761BA" w:rsidRPr="00813D19">
        <w:rPr>
          <w:lang w:val="en-US"/>
        </w:rPr>
        <w:t xml:space="preserve">point </w:t>
      </w:r>
      <w:r w:rsidR="008057A6" w:rsidRPr="00813D19">
        <w:rPr>
          <w:lang w:val="en-US"/>
        </w:rPr>
        <w:t xml:space="preserve">made by </w:t>
      </w:r>
      <w:r w:rsidR="006761BA" w:rsidRPr="00813D19">
        <w:rPr>
          <w:lang w:val="en-US"/>
        </w:rPr>
        <w:t xml:space="preserve">Japan, if </w:t>
      </w:r>
      <w:r w:rsidR="008057A6" w:rsidRPr="00813D19">
        <w:rPr>
          <w:lang w:val="en-US"/>
        </w:rPr>
        <w:t xml:space="preserve">the proposal </w:t>
      </w:r>
      <w:r w:rsidR="006761BA" w:rsidRPr="00813D19">
        <w:rPr>
          <w:lang w:val="en-US"/>
        </w:rPr>
        <w:t>referred</w:t>
      </w:r>
      <w:r w:rsidR="0063135F" w:rsidRPr="00813D19">
        <w:rPr>
          <w:lang w:val="en-US"/>
        </w:rPr>
        <w:t xml:space="preserve"> only to the files in this cycle then </w:t>
      </w:r>
      <w:r w:rsidR="008057A6" w:rsidRPr="00813D19">
        <w:rPr>
          <w:lang w:val="en-US"/>
        </w:rPr>
        <w:t xml:space="preserve">it </w:t>
      </w:r>
      <w:r w:rsidR="0063135F" w:rsidRPr="00813D19">
        <w:rPr>
          <w:lang w:val="en-US"/>
        </w:rPr>
        <w:t xml:space="preserve">should be supported. Just like countries, the </w:t>
      </w:r>
      <w:r w:rsidR="006761BA" w:rsidRPr="00813D19">
        <w:rPr>
          <w:lang w:val="en-US"/>
        </w:rPr>
        <w:t xml:space="preserve">laws of the </w:t>
      </w:r>
      <w:r w:rsidR="0063135F" w:rsidRPr="00813D19">
        <w:rPr>
          <w:lang w:val="en-US"/>
        </w:rPr>
        <w:t xml:space="preserve">Convention </w:t>
      </w:r>
      <w:r w:rsidR="006761BA" w:rsidRPr="00813D19">
        <w:rPr>
          <w:lang w:val="en-US"/>
        </w:rPr>
        <w:t>evolve</w:t>
      </w:r>
      <w:r w:rsidR="0063135F" w:rsidRPr="00813D19">
        <w:rPr>
          <w:lang w:val="en-US"/>
        </w:rPr>
        <w:t xml:space="preserve"> </w:t>
      </w:r>
      <w:r w:rsidR="006761BA" w:rsidRPr="00813D19">
        <w:rPr>
          <w:lang w:val="en-US"/>
        </w:rPr>
        <w:t xml:space="preserve">as </w:t>
      </w:r>
      <w:r w:rsidR="0063135F" w:rsidRPr="00813D19">
        <w:rPr>
          <w:lang w:val="en-US"/>
        </w:rPr>
        <w:t>situations evolve</w:t>
      </w:r>
      <w:r w:rsidR="006761BA" w:rsidRPr="00813D19">
        <w:rPr>
          <w:lang w:val="en-US"/>
        </w:rPr>
        <w:t>,</w:t>
      </w:r>
      <w:r w:rsidR="0063135F" w:rsidRPr="00813D19">
        <w:rPr>
          <w:lang w:val="en-US"/>
        </w:rPr>
        <w:t xml:space="preserve"> and </w:t>
      </w:r>
      <w:r w:rsidR="006761BA" w:rsidRPr="00813D19">
        <w:rPr>
          <w:lang w:val="en-US"/>
        </w:rPr>
        <w:t xml:space="preserve">the need for </w:t>
      </w:r>
      <w:r w:rsidR="008057A6" w:rsidRPr="00813D19">
        <w:rPr>
          <w:lang w:val="en-US"/>
        </w:rPr>
        <w:t>dialogue had</w:t>
      </w:r>
      <w:r w:rsidR="0063135F" w:rsidRPr="00813D19">
        <w:rPr>
          <w:lang w:val="en-US"/>
        </w:rPr>
        <w:t xml:space="preserve"> been </w:t>
      </w:r>
      <w:r w:rsidR="008057A6" w:rsidRPr="00813D19">
        <w:rPr>
          <w:lang w:val="en-US"/>
        </w:rPr>
        <w:t>discuss</w:t>
      </w:r>
      <w:r w:rsidR="006761BA" w:rsidRPr="00813D19">
        <w:rPr>
          <w:lang w:val="en-US"/>
        </w:rPr>
        <w:t xml:space="preserve">ed </w:t>
      </w:r>
      <w:r w:rsidR="008057A6" w:rsidRPr="00813D19">
        <w:rPr>
          <w:lang w:val="en-US"/>
        </w:rPr>
        <w:t xml:space="preserve">over </w:t>
      </w:r>
      <w:r w:rsidR="006761BA" w:rsidRPr="00813D19">
        <w:rPr>
          <w:lang w:val="en-US"/>
        </w:rPr>
        <w:t xml:space="preserve">a long </w:t>
      </w:r>
      <w:r w:rsidR="008057A6" w:rsidRPr="00813D19">
        <w:rPr>
          <w:lang w:val="en-US"/>
        </w:rPr>
        <w:t xml:space="preserve">period of </w:t>
      </w:r>
      <w:r w:rsidR="0063135F" w:rsidRPr="00813D19">
        <w:rPr>
          <w:lang w:val="en-US"/>
        </w:rPr>
        <w:t>time</w:t>
      </w:r>
      <w:r w:rsidR="006761BA" w:rsidRPr="00813D19">
        <w:rPr>
          <w:lang w:val="en-US"/>
        </w:rPr>
        <w:t xml:space="preserve">. There </w:t>
      </w:r>
      <w:r w:rsidR="00390FD6">
        <w:rPr>
          <w:lang w:val="en-US"/>
        </w:rPr>
        <w:t>was</w:t>
      </w:r>
      <w:r w:rsidR="00390FD6" w:rsidRPr="00813D19">
        <w:rPr>
          <w:lang w:val="en-US"/>
        </w:rPr>
        <w:t xml:space="preserve"> </w:t>
      </w:r>
      <w:r w:rsidR="0063135F" w:rsidRPr="00813D19">
        <w:rPr>
          <w:lang w:val="en-US"/>
        </w:rPr>
        <w:t>no perfect system and</w:t>
      </w:r>
      <w:r w:rsidR="008057A6" w:rsidRPr="00813D19">
        <w:rPr>
          <w:lang w:val="en-US"/>
        </w:rPr>
        <w:t>,</w:t>
      </w:r>
      <w:r w:rsidR="0063135F" w:rsidRPr="00813D19">
        <w:rPr>
          <w:lang w:val="en-US"/>
        </w:rPr>
        <w:t xml:space="preserve"> </w:t>
      </w:r>
      <w:r w:rsidR="008057A6" w:rsidRPr="00813D19">
        <w:rPr>
          <w:lang w:val="en-US"/>
        </w:rPr>
        <w:t>as such</w:t>
      </w:r>
      <w:r w:rsidR="006761BA" w:rsidRPr="00813D19">
        <w:rPr>
          <w:lang w:val="en-US"/>
        </w:rPr>
        <w:t xml:space="preserve">, this presented </w:t>
      </w:r>
      <w:r w:rsidR="0063135F" w:rsidRPr="00813D19">
        <w:rPr>
          <w:lang w:val="en-US"/>
        </w:rPr>
        <w:t xml:space="preserve">an opportunity to test </w:t>
      </w:r>
      <w:r w:rsidR="006761BA" w:rsidRPr="00813D19">
        <w:rPr>
          <w:lang w:val="en-US"/>
        </w:rPr>
        <w:t xml:space="preserve">a new procedure, which was </w:t>
      </w:r>
      <w:r w:rsidR="0063135F" w:rsidRPr="00813D19">
        <w:rPr>
          <w:lang w:val="en-US"/>
        </w:rPr>
        <w:t xml:space="preserve">not a violation of the spirit and in fact </w:t>
      </w:r>
      <w:r w:rsidR="006761BA" w:rsidRPr="00813D19">
        <w:rPr>
          <w:lang w:val="en-US"/>
        </w:rPr>
        <w:t xml:space="preserve">upheld </w:t>
      </w:r>
      <w:r w:rsidR="0063135F" w:rsidRPr="00813D19">
        <w:rPr>
          <w:lang w:val="en-US"/>
        </w:rPr>
        <w:t xml:space="preserve">the spirit of the Convention with respect to giving communities visibility. </w:t>
      </w:r>
      <w:r w:rsidR="00447941" w:rsidRPr="00813D19">
        <w:rPr>
          <w:lang w:val="en-US"/>
        </w:rPr>
        <w:t xml:space="preserve">The </w:t>
      </w:r>
      <w:r w:rsidR="006761BA" w:rsidRPr="00813D19">
        <w:rPr>
          <w:lang w:val="en-US"/>
        </w:rPr>
        <w:t xml:space="preserve">Committee </w:t>
      </w:r>
      <w:r w:rsidR="00447941" w:rsidRPr="00813D19">
        <w:rPr>
          <w:lang w:val="en-US"/>
        </w:rPr>
        <w:t xml:space="preserve">thought in terms of files, but </w:t>
      </w:r>
      <w:r w:rsidR="0063135F" w:rsidRPr="00813D19">
        <w:rPr>
          <w:lang w:val="en-US"/>
        </w:rPr>
        <w:t xml:space="preserve">communities </w:t>
      </w:r>
      <w:r w:rsidR="00447941" w:rsidRPr="00813D19">
        <w:rPr>
          <w:lang w:val="en-US"/>
        </w:rPr>
        <w:t xml:space="preserve">were waiting </w:t>
      </w:r>
      <w:r w:rsidR="0063135F" w:rsidRPr="00813D19">
        <w:rPr>
          <w:lang w:val="en-US"/>
        </w:rPr>
        <w:t>at home</w:t>
      </w:r>
      <w:r w:rsidR="008057A6" w:rsidRPr="00813D19">
        <w:rPr>
          <w:lang w:val="en-US"/>
        </w:rPr>
        <w:t>, and for this reason</w:t>
      </w:r>
      <w:r w:rsidR="00447941" w:rsidRPr="00813D19">
        <w:rPr>
          <w:lang w:val="en-US"/>
        </w:rPr>
        <w:t xml:space="preserve"> the delegation </w:t>
      </w:r>
      <w:r w:rsidR="0063135F" w:rsidRPr="00813D19">
        <w:rPr>
          <w:lang w:val="en-US"/>
        </w:rPr>
        <w:t>endorse</w:t>
      </w:r>
      <w:r w:rsidR="00447941" w:rsidRPr="00813D19">
        <w:rPr>
          <w:lang w:val="en-US"/>
        </w:rPr>
        <w:t>d</w:t>
      </w:r>
      <w:r w:rsidR="0063135F" w:rsidRPr="00813D19">
        <w:rPr>
          <w:lang w:val="en-US"/>
        </w:rPr>
        <w:t xml:space="preserve"> the Secretariat</w:t>
      </w:r>
      <w:r w:rsidR="00447941" w:rsidRPr="00813D19">
        <w:rPr>
          <w:lang w:val="en-US"/>
        </w:rPr>
        <w:t>’s proposal</w:t>
      </w:r>
      <w:r w:rsidR="0063135F" w:rsidRPr="00813D19">
        <w:rPr>
          <w:lang w:val="en-US"/>
        </w:rPr>
        <w:t>.</w:t>
      </w:r>
    </w:p>
    <w:p w14:paraId="1A92B752" w14:textId="094500FA" w:rsidR="004278C3" w:rsidRPr="00813D19" w:rsidRDefault="004278C3" w:rsidP="00447941">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Mexico </w:t>
      </w:r>
      <w:r w:rsidR="0063135F" w:rsidRPr="00813D19">
        <w:rPr>
          <w:bCs/>
          <w:lang w:val="en-US"/>
        </w:rPr>
        <w:t>reiterate</w:t>
      </w:r>
      <w:r w:rsidR="00447941" w:rsidRPr="00813D19">
        <w:rPr>
          <w:bCs/>
          <w:lang w:val="en-US"/>
        </w:rPr>
        <w:t>d</w:t>
      </w:r>
      <w:r w:rsidR="0063135F" w:rsidRPr="00813D19">
        <w:rPr>
          <w:bCs/>
          <w:lang w:val="en-US"/>
        </w:rPr>
        <w:t xml:space="preserve"> </w:t>
      </w:r>
      <w:r w:rsidR="00447941" w:rsidRPr="00813D19">
        <w:rPr>
          <w:bCs/>
          <w:lang w:val="en-US"/>
        </w:rPr>
        <w:t xml:space="preserve">the </w:t>
      </w:r>
      <w:r w:rsidR="00390FD6" w:rsidRPr="00813D19">
        <w:rPr>
          <w:bCs/>
          <w:lang w:val="en-US"/>
        </w:rPr>
        <w:t>ne</w:t>
      </w:r>
      <w:r w:rsidR="00390FD6">
        <w:rPr>
          <w:bCs/>
          <w:lang w:val="en-US"/>
        </w:rPr>
        <w:t>ed</w:t>
      </w:r>
      <w:r w:rsidR="00390FD6" w:rsidRPr="00813D19">
        <w:rPr>
          <w:bCs/>
          <w:lang w:val="en-US"/>
        </w:rPr>
        <w:t xml:space="preserve"> </w:t>
      </w:r>
      <w:r w:rsidR="0063135F" w:rsidRPr="00813D19">
        <w:rPr>
          <w:bCs/>
          <w:lang w:val="en-US"/>
        </w:rPr>
        <w:t xml:space="preserve">to </w:t>
      </w:r>
      <w:r w:rsidR="00447941" w:rsidRPr="00813D19">
        <w:rPr>
          <w:bCs/>
          <w:lang w:val="en-US"/>
        </w:rPr>
        <w:t xml:space="preserve">carefully examine </w:t>
      </w:r>
      <w:r w:rsidR="008057A6" w:rsidRPr="00813D19">
        <w:rPr>
          <w:bCs/>
          <w:lang w:val="en-US"/>
        </w:rPr>
        <w:t>the</w:t>
      </w:r>
      <w:r w:rsidR="0063135F" w:rsidRPr="00813D19">
        <w:rPr>
          <w:bCs/>
          <w:lang w:val="en-US"/>
        </w:rPr>
        <w:t xml:space="preserve"> </w:t>
      </w:r>
      <w:r w:rsidR="00447941" w:rsidRPr="00813D19">
        <w:rPr>
          <w:bCs/>
          <w:lang w:val="en-US"/>
        </w:rPr>
        <w:t xml:space="preserve">proposal put forward by the </w:t>
      </w:r>
      <w:r w:rsidR="0063135F" w:rsidRPr="00813D19">
        <w:rPr>
          <w:bCs/>
          <w:lang w:val="en-US"/>
        </w:rPr>
        <w:t xml:space="preserve">Secretariat </w:t>
      </w:r>
      <w:r w:rsidR="008057A6" w:rsidRPr="00813D19">
        <w:rPr>
          <w:bCs/>
          <w:lang w:val="en-US"/>
        </w:rPr>
        <w:t xml:space="preserve">on </w:t>
      </w:r>
      <w:r w:rsidR="0063135F" w:rsidRPr="00813D19">
        <w:rPr>
          <w:bCs/>
          <w:lang w:val="en-US"/>
        </w:rPr>
        <w:t xml:space="preserve">the possibility of changing the rules for the Evaluation Body. </w:t>
      </w:r>
      <w:r w:rsidR="00447941" w:rsidRPr="00813D19">
        <w:rPr>
          <w:bCs/>
          <w:lang w:val="en-US"/>
        </w:rPr>
        <w:t xml:space="preserve">Many </w:t>
      </w:r>
      <w:r w:rsidR="0063135F" w:rsidRPr="00813D19">
        <w:rPr>
          <w:bCs/>
          <w:lang w:val="en-US"/>
        </w:rPr>
        <w:t>delegations</w:t>
      </w:r>
      <w:r w:rsidR="00447941" w:rsidRPr="00813D19">
        <w:rPr>
          <w:bCs/>
          <w:lang w:val="en-US"/>
        </w:rPr>
        <w:t>,</w:t>
      </w:r>
      <w:r w:rsidR="0063135F" w:rsidRPr="00813D19">
        <w:rPr>
          <w:bCs/>
          <w:lang w:val="en-US"/>
        </w:rPr>
        <w:t xml:space="preserve"> both Members of the Committee and </w:t>
      </w:r>
      <w:r w:rsidR="00447941" w:rsidRPr="00813D19">
        <w:rPr>
          <w:bCs/>
          <w:lang w:val="en-US"/>
        </w:rPr>
        <w:t>Observer States, expressed</w:t>
      </w:r>
      <w:r w:rsidR="0063135F" w:rsidRPr="00813D19">
        <w:rPr>
          <w:bCs/>
          <w:lang w:val="en-US"/>
        </w:rPr>
        <w:t xml:space="preserve"> a certain frustration over some of the decisions taken</w:t>
      </w:r>
      <w:r w:rsidR="00447941" w:rsidRPr="00813D19">
        <w:rPr>
          <w:bCs/>
          <w:lang w:val="en-US"/>
        </w:rPr>
        <w:t>, which needed</w:t>
      </w:r>
      <w:r w:rsidR="0063135F" w:rsidRPr="00813D19">
        <w:rPr>
          <w:bCs/>
          <w:lang w:val="en-US"/>
        </w:rPr>
        <w:t xml:space="preserve"> to be corrected. </w:t>
      </w:r>
      <w:r w:rsidR="00447941" w:rsidRPr="00813D19">
        <w:rPr>
          <w:bCs/>
          <w:lang w:val="en-US"/>
        </w:rPr>
        <w:t xml:space="preserve">The delegation remarked that the Committee </w:t>
      </w:r>
      <w:r w:rsidR="00886B27" w:rsidRPr="00813D19">
        <w:rPr>
          <w:bCs/>
          <w:lang w:val="en-US"/>
        </w:rPr>
        <w:t>w</w:t>
      </w:r>
      <w:r w:rsidR="00886B27">
        <w:rPr>
          <w:bCs/>
          <w:lang w:val="en-US"/>
        </w:rPr>
        <w:t>as</w:t>
      </w:r>
      <w:r w:rsidR="00886B27" w:rsidRPr="00813D19">
        <w:rPr>
          <w:bCs/>
          <w:lang w:val="en-US"/>
        </w:rPr>
        <w:t xml:space="preserve"> </w:t>
      </w:r>
      <w:r w:rsidR="0063135F" w:rsidRPr="00813D19">
        <w:rPr>
          <w:bCs/>
          <w:lang w:val="en-US"/>
        </w:rPr>
        <w:t>fully entitled to thorough</w:t>
      </w:r>
      <w:r w:rsidR="00447941" w:rsidRPr="00813D19">
        <w:rPr>
          <w:bCs/>
          <w:lang w:val="en-US"/>
        </w:rPr>
        <w:t>ly</w:t>
      </w:r>
      <w:r w:rsidR="0063135F" w:rsidRPr="00813D19">
        <w:rPr>
          <w:bCs/>
          <w:lang w:val="en-US"/>
        </w:rPr>
        <w:t xml:space="preserve"> review the </w:t>
      </w:r>
      <w:r w:rsidR="00447941" w:rsidRPr="00813D19">
        <w:rPr>
          <w:bCs/>
          <w:lang w:val="en-US"/>
        </w:rPr>
        <w:t xml:space="preserve">reasons for </w:t>
      </w:r>
      <w:r w:rsidR="0063135F" w:rsidRPr="00813D19">
        <w:rPr>
          <w:bCs/>
          <w:lang w:val="en-US"/>
        </w:rPr>
        <w:t xml:space="preserve">concern and </w:t>
      </w:r>
      <w:r w:rsidR="00447941" w:rsidRPr="00813D19">
        <w:rPr>
          <w:bCs/>
          <w:lang w:val="en-US"/>
        </w:rPr>
        <w:t xml:space="preserve">that it was </w:t>
      </w:r>
      <w:r w:rsidR="0063135F" w:rsidRPr="00813D19">
        <w:rPr>
          <w:bCs/>
          <w:lang w:val="en-US"/>
        </w:rPr>
        <w:t xml:space="preserve">absolutely necessary for the Legal Adviser to support </w:t>
      </w:r>
      <w:r w:rsidR="00447941" w:rsidRPr="00813D19">
        <w:rPr>
          <w:bCs/>
          <w:lang w:val="en-US"/>
        </w:rPr>
        <w:t xml:space="preserve">the Committee </w:t>
      </w:r>
      <w:r w:rsidR="0063135F" w:rsidRPr="00813D19">
        <w:rPr>
          <w:bCs/>
          <w:lang w:val="en-US"/>
        </w:rPr>
        <w:t xml:space="preserve">by providing more specific guidelines that </w:t>
      </w:r>
      <w:r w:rsidR="00886B27">
        <w:rPr>
          <w:bCs/>
          <w:lang w:val="en-US"/>
        </w:rPr>
        <w:t>would</w:t>
      </w:r>
      <w:r w:rsidR="00886B27" w:rsidRPr="00813D19">
        <w:rPr>
          <w:bCs/>
          <w:lang w:val="en-US"/>
        </w:rPr>
        <w:t xml:space="preserve"> </w:t>
      </w:r>
      <w:r w:rsidR="0063135F" w:rsidRPr="00813D19">
        <w:rPr>
          <w:bCs/>
          <w:lang w:val="en-US"/>
        </w:rPr>
        <w:t>help guide this extremely important instrument</w:t>
      </w:r>
      <w:r w:rsidR="00447941" w:rsidRPr="00813D19">
        <w:rPr>
          <w:bCs/>
          <w:lang w:val="en-US"/>
        </w:rPr>
        <w:t>.</w:t>
      </w:r>
      <w:r w:rsidR="0063135F" w:rsidRPr="00813D19">
        <w:rPr>
          <w:bCs/>
          <w:lang w:val="en-US"/>
        </w:rPr>
        <w:t xml:space="preserve"> </w:t>
      </w:r>
      <w:r w:rsidR="00447941" w:rsidRPr="00813D19">
        <w:rPr>
          <w:bCs/>
          <w:lang w:val="en-US"/>
        </w:rPr>
        <w:t xml:space="preserve">Moreover, the Convention was </w:t>
      </w:r>
      <w:r w:rsidR="0063135F" w:rsidRPr="00813D19">
        <w:rPr>
          <w:bCs/>
          <w:lang w:val="en-US"/>
        </w:rPr>
        <w:t xml:space="preserve">one of the most important instruments UNESCO </w:t>
      </w:r>
      <w:r w:rsidR="00447941" w:rsidRPr="00813D19">
        <w:rPr>
          <w:bCs/>
          <w:lang w:val="en-US"/>
        </w:rPr>
        <w:t xml:space="preserve">had </w:t>
      </w:r>
      <w:r w:rsidR="0063135F" w:rsidRPr="00813D19">
        <w:rPr>
          <w:bCs/>
          <w:lang w:val="en-US"/>
        </w:rPr>
        <w:t xml:space="preserve">developed over the last </w:t>
      </w:r>
      <w:r w:rsidR="00886B27">
        <w:rPr>
          <w:bCs/>
          <w:lang w:val="en-US"/>
        </w:rPr>
        <w:t>fifteen</w:t>
      </w:r>
      <w:r w:rsidR="00886B27" w:rsidRPr="00813D19">
        <w:rPr>
          <w:bCs/>
          <w:lang w:val="en-US"/>
        </w:rPr>
        <w:t xml:space="preserve"> </w:t>
      </w:r>
      <w:r w:rsidR="0063135F" w:rsidRPr="00813D19">
        <w:rPr>
          <w:bCs/>
          <w:lang w:val="en-US"/>
        </w:rPr>
        <w:t xml:space="preserve">years. Therefore, </w:t>
      </w:r>
      <w:r w:rsidR="00447941" w:rsidRPr="00813D19">
        <w:rPr>
          <w:bCs/>
          <w:lang w:val="en-US"/>
        </w:rPr>
        <w:t xml:space="preserve">it was </w:t>
      </w:r>
      <w:r w:rsidR="0063135F" w:rsidRPr="00813D19">
        <w:rPr>
          <w:bCs/>
          <w:lang w:val="en-US"/>
        </w:rPr>
        <w:t>duty</w:t>
      </w:r>
      <w:r w:rsidR="00886B27">
        <w:rPr>
          <w:bCs/>
          <w:lang w:val="en-US"/>
        </w:rPr>
        <w:t>-</w:t>
      </w:r>
      <w:r w:rsidR="0063135F" w:rsidRPr="00813D19">
        <w:rPr>
          <w:bCs/>
          <w:lang w:val="en-US"/>
        </w:rPr>
        <w:t xml:space="preserve">bound to perfect it as much as </w:t>
      </w:r>
      <w:r w:rsidR="00447941" w:rsidRPr="00813D19">
        <w:rPr>
          <w:bCs/>
          <w:lang w:val="en-US"/>
        </w:rPr>
        <w:t>possible</w:t>
      </w:r>
      <w:r w:rsidR="0063135F" w:rsidRPr="00813D19">
        <w:rPr>
          <w:bCs/>
          <w:lang w:val="en-US"/>
        </w:rPr>
        <w:t xml:space="preserve">, as </w:t>
      </w:r>
      <w:r w:rsidR="00447941" w:rsidRPr="00813D19">
        <w:rPr>
          <w:bCs/>
          <w:lang w:val="en-US"/>
        </w:rPr>
        <w:t xml:space="preserve">States Parties were </w:t>
      </w:r>
      <w:r w:rsidR="00D035F8" w:rsidRPr="00813D19">
        <w:rPr>
          <w:bCs/>
          <w:lang w:val="en-US"/>
        </w:rPr>
        <w:t>engaged</w:t>
      </w:r>
      <w:r w:rsidR="00447941" w:rsidRPr="00813D19">
        <w:rPr>
          <w:bCs/>
          <w:lang w:val="en-US"/>
        </w:rPr>
        <w:t xml:space="preserve"> </w:t>
      </w:r>
      <w:r w:rsidR="0063135F" w:rsidRPr="00813D19">
        <w:rPr>
          <w:bCs/>
          <w:lang w:val="en-US"/>
        </w:rPr>
        <w:t>in safeguardin</w:t>
      </w:r>
      <w:r w:rsidR="00DD4E22">
        <w:rPr>
          <w:bCs/>
          <w:lang w:val="en-US"/>
        </w:rPr>
        <w:t>g intangible cultural heritage.</w:t>
      </w:r>
    </w:p>
    <w:p w14:paraId="58DDED5C" w14:textId="2D6A20E7" w:rsidR="00373541" w:rsidRPr="00813D19" w:rsidRDefault="004278C3"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Argentina</w:t>
      </w:r>
      <w:r w:rsidR="0063135F" w:rsidRPr="00813D19">
        <w:rPr>
          <w:b/>
          <w:color w:val="000000" w:themeColor="text1"/>
          <w:lang w:val="en-US"/>
        </w:rPr>
        <w:t xml:space="preserve"> </w:t>
      </w:r>
      <w:r w:rsidR="0063135F" w:rsidRPr="00813D19">
        <w:rPr>
          <w:bCs/>
          <w:lang w:val="en-US"/>
        </w:rPr>
        <w:t>remind</w:t>
      </w:r>
      <w:r w:rsidR="004C2D63" w:rsidRPr="00813D19">
        <w:rPr>
          <w:bCs/>
          <w:lang w:val="en-US"/>
        </w:rPr>
        <w:t xml:space="preserve">ed the Committee </w:t>
      </w:r>
      <w:r w:rsidR="0063135F" w:rsidRPr="00813D19">
        <w:rPr>
          <w:bCs/>
          <w:lang w:val="en-US"/>
        </w:rPr>
        <w:t xml:space="preserve">that </w:t>
      </w:r>
      <w:r w:rsidR="004C2D63" w:rsidRPr="00813D19">
        <w:rPr>
          <w:bCs/>
          <w:lang w:val="en-US"/>
        </w:rPr>
        <w:t xml:space="preserve">it was </w:t>
      </w:r>
      <w:r w:rsidR="0063135F" w:rsidRPr="00813D19">
        <w:rPr>
          <w:bCs/>
          <w:lang w:val="en-US"/>
        </w:rPr>
        <w:t xml:space="preserve">here to safeguard the intangible heritage of all peoples of the world and their cultures. </w:t>
      </w:r>
      <w:r w:rsidR="00AD27C5" w:rsidRPr="00813D19">
        <w:rPr>
          <w:bCs/>
          <w:lang w:val="en-US"/>
        </w:rPr>
        <w:t xml:space="preserve">It noted that </w:t>
      </w:r>
      <w:r w:rsidR="0063135F" w:rsidRPr="00813D19">
        <w:rPr>
          <w:bCs/>
          <w:lang w:val="en-US"/>
        </w:rPr>
        <w:t>a few Observer delegations consist</w:t>
      </w:r>
      <w:r w:rsidR="004C2D63" w:rsidRPr="00813D19">
        <w:rPr>
          <w:bCs/>
          <w:lang w:val="en-US"/>
        </w:rPr>
        <w:t>ed</w:t>
      </w:r>
      <w:r w:rsidR="0063135F" w:rsidRPr="00813D19">
        <w:rPr>
          <w:bCs/>
          <w:lang w:val="en-US"/>
        </w:rPr>
        <w:t xml:space="preserve"> of only a single </w:t>
      </w:r>
      <w:r w:rsidR="004C2D63" w:rsidRPr="00813D19">
        <w:rPr>
          <w:bCs/>
          <w:lang w:val="en-US"/>
        </w:rPr>
        <w:t xml:space="preserve">representative </w:t>
      </w:r>
      <w:r w:rsidR="0063135F" w:rsidRPr="00813D19">
        <w:rPr>
          <w:bCs/>
          <w:lang w:val="en-US"/>
        </w:rPr>
        <w:t xml:space="preserve">because </w:t>
      </w:r>
      <w:r w:rsidR="00AD27C5" w:rsidRPr="00813D19">
        <w:rPr>
          <w:bCs/>
          <w:lang w:val="en-US"/>
        </w:rPr>
        <w:t xml:space="preserve">certain States </w:t>
      </w:r>
      <w:r w:rsidR="004C2D63" w:rsidRPr="00813D19">
        <w:rPr>
          <w:bCs/>
          <w:lang w:val="en-US"/>
        </w:rPr>
        <w:t xml:space="preserve">did not </w:t>
      </w:r>
      <w:r w:rsidR="0063135F" w:rsidRPr="00813D19">
        <w:rPr>
          <w:bCs/>
          <w:lang w:val="en-US"/>
        </w:rPr>
        <w:t xml:space="preserve">have the resources to travel and </w:t>
      </w:r>
      <w:r w:rsidR="00AD27C5" w:rsidRPr="00813D19">
        <w:rPr>
          <w:bCs/>
          <w:lang w:val="en-US"/>
        </w:rPr>
        <w:t xml:space="preserve">thus </w:t>
      </w:r>
      <w:r w:rsidR="0063135F" w:rsidRPr="00813D19">
        <w:rPr>
          <w:bCs/>
          <w:lang w:val="en-US"/>
        </w:rPr>
        <w:t xml:space="preserve">defend </w:t>
      </w:r>
      <w:r w:rsidR="004C2D63" w:rsidRPr="00813D19">
        <w:rPr>
          <w:bCs/>
          <w:lang w:val="en-US"/>
        </w:rPr>
        <w:t xml:space="preserve">their </w:t>
      </w:r>
      <w:r w:rsidR="0063135F" w:rsidRPr="00813D19">
        <w:rPr>
          <w:bCs/>
          <w:lang w:val="en-US"/>
        </w:rPr>
        <w:t xml:space="preserve">points of view. </w:t>
      </w:r>
      <w:r w:rsidR="004C2D63" w:rsidRPr="00813D19">
        <w:rPr>
          <w:bCs/>
          <w:lang w:val="en-US"/>
        </w:rPr>
        <w:t xml:space="preserve">The delegation </w:t>
      </w:r>
      <w:r w:rsidR="00AD27C5" w:rsidRPr="00813D19">
        <w:rPr>
          <w:bCs/>
          <w:lang w:val="en-US"/>
        </w:rPr>
        <w:t xml:space="preserve">listened to the </w:t>
      </w:r>
      <w:r w:rsidR="0063135F" w:rsidRPr="00813D19">
        <w:rPr>
          <w:bCs/>
          <w:lang w:val="en-US"/>
        </w:rPr>
        <w:t xml:space="preserve">many Observers </w:t>
      </w:r>
      <w:r w:rsidR="00AD27C5" w:rsidRPr="00813D19">
        <w:rPr>
          <w:bCs/>
          <w:lang w:val="en-US"/>
        </w:rPr>
        <w:t xml:space="preserve">that had </w:t>
      </w:r>
      <w:r w:rsidR="00DD6DF8" w:rsidRPr="00813D19">
        <w:rPr>
          <w:bCs/>
          <w:lang w:val="en-US"/>
        </w:rPr>
        <w:t>express</w:t>
      </w:r>
      <w:r w:rsidR="009032BB" w:rsidRPr="00813D19">
        <w:rPr>
          <w:bCs/>
          <w:lang w:val="en-US"/>
        </w:rPr>
        <w:t>ed</w:t>
      </w:r>
      <w:r w:rsidR="00DD6DF8" w:rsidRPr="00813D19">
        <w:rPr>
          <w:bCs/>
          <w:lang w:val="en-US"/>
        </w:rPr>
        <w:t xml:space="preserve"> concern, but it had the sentiment </w:t>
      </w:r>
      <w:r w:rsidR="0063135F" w:rsidRPr="00813D19">
        <w:rPr>
          <w:bCs/>
          <w:lang w:val="en-US"/>
        </w:rPr>
        <w:t>that most of the Observers represent</w:t>
      </w:r>
      <w:r w:rsidR="00DD6DF8" w:rsidRPr="00813D19">
        <w:rPr>
          <w:bCs/>
          <w:lang w:val="en-US"/>
        </w:rPr>
        <w:t>ed</w:t>
      </w:r>
      <w:r w:rsidR="0063135F" w:rsidRPr="00813D19">
        <w:rPr>
          <w:bCs/>
          <w:lang w:val="en-US"/>
        </w:rPr>
        <w:t xml:space="preserve"> </w:t>
      </w:r>
      <w:r w:rsidR="00DD6DF8" w:rsidRPr="00813D19">
        <w:rPr>
          <w:bCs/>
          <w:lang w:val="en-US"/>
        </w:rPr>
        <w:t xml:space="preserve">a single </w:t>
      </w:r>
      <w:r w:rsidR="0063135F" w:rsidRPr="00813D19">
        <w:rPr>
          <w:bCs/>
          <w:lang w:val="en-US"/>
        </w:rPr>
        <w:t xml:space="preserve">region of the </w:t>
      </w:r>
      <w:r w:rsidR="00DD6DF8" w:rsidRPr="00813D19">
        <w:rPr>
          <w:bCs/>
          <w:lang w:val="en-US"/>
        </w:rPr>
        <w:t xml:space="preserve">world </w:t>
      </w:r>
      <w:r w:rsidR="0063135F" w:rsidRPr="00813D19">
        <w:rPr>
          <w:bCs/>
          <w:lang w:val="en-US"/>
        </w:rPr>
        <w:t xml:space="preserve">and not the peoples </w:t>
      </w:r>
      <w:r w:rsidR="00DD6DF8" w:rsidRPr="00813D19">
        <w:rPr>
          <w:bCs/>
          <w:lang w:val="en-US"/>
        </w:rPr>
        <w:t xml:space="preserve">they were </w:t>
      </w:r>
      <w:r w:rsidR="0063135F" w:rsidRPr="00813D19">
        <w:rPr>
          <w:bCs/>
          <w:lang w:val="en-US"/>
        </w:rPr>
        <w:t xml:space="preserve">here to defend. </w:t>
      </w:r>
      <w:r w:rsidR="00DD6DF8" w:rsidRPr="00813D19">
        <w:rPr>
          <w:bCs/>
          <w:lang w:val="en-US"/>
        </w:rPr>
        <w:t xml:space="preserve">The delegation returned to its open file on Chamamé whose community from </w:t>
      </w:r>
      <w:r w:rsidR="0063135F" w:rsidRPr="00813D19">
        <w:rPr>
          <w:bCs/>
          <w:lang w:val="en-US"/>
        </w:rPr>
        <w:t xml:space="preserve">Corrientes </w:t>
      </w:r>
      <w:r w:rsidR="00DD6DF8" w:rsidRPr="00813D19">
        <w:rPr>
          <w:bCs/>
          <w:lang w:val="en-US"/>
        </w:rPr>
        <w:t xml:space="preserve">comprised one </w:t>
      </w:r>
      <w:r w:rsidR="0063135F" w:rsidRPr="00813D19">
        <w:rPr>
          <w:bCs/>
          <w:lang w:val="en-US"/>
        </w:rPr>
        <w:t xml:space="preserve">million inhabitants, almost the same population as </w:t>
      </w:r>
      <w:r w:rsidR="00DD6DF8" w:rsidRPr="00813D19">
        <w:rPr>
          <w:bCs/>
          <w:lang w:val="en-US"/>
        </w:rPr>
        <w:t>Mauritius</w:t>
      </w:r>
      <w:r w:rsidR="0063135F" w:rsidRPr="00813D19">
        <w:rPr>
          <w:bCs/>
          <w:lang w:val="en-US"/>
        </w:rPr>
        <w:t xml:space="preserve">. </w:t>
      </w:r>
      <w:r w:rsidR="00024F06" w:rsidRPr="00813D19">
        <w:rPr>
          <w:bCs/>
          <w:lang w:val="en-US"/>
        </w:rPr>
        <w:t xml:space="preserve">The delegation </w:t>
      </w:r>
      <w:r w:rsidR="00ED6DCA" w:rsidRPr="00813D19">
        <w:rPr>
          <w:bCs/>
          <w:lang w:val="en-US"/>
        </w:rPr>
        <w:t xml:space="preserve">explained that it had </w:t>
      </w:r>
      <w:r w:rsidR="00024F06" w:rsidRPr="00813D19">
        <w:rPr>
          <w:bCs/>
          <w:lang w:val="en-US"/>
        </w:rPr>
        <w:t xml:space="preserve">sought to provide </w:t>
      </w:r>
      <w:r w:rsidR="0063135F" w:rsidRPr="00813D19">
        <w:rPr>
          <w:bCs/>
          <w:lang w:val="en-US"/>
        </w:rPr>
        <w:t xml:space="preserve">some of the replies to all </w:t>
      </w:r>
      <w:r w:rsidR="00024F06" w:rsidRPr="00813D19">
        <w:rPr>
          <w:bCs/>
          <w:lang w:val="en-US"/>
        </w:rPr>
        <w:t xml:space="preserve">the </w:t>
      </w:r>
      <w:r w:rsidR="0063135F" w:rsidRPr="00813D19">
        <w:rPr>
          <w:bCs/>
          <w:lang w:val="en-US"/>
        </w:rPr>
        <w:t xml:space="preserve">questions </w:t>
      </w:r>
      <w:r w:rsidR="00024F06" w:rsidRPr="00813D19">
        <w:rPr>
          <w:bCs/>
          <w:lang w:val="en-US"/>
        </w:rPr>
        <w:t>in the file, but was</w:t>
      </w:r>
      <w:r w:rsidR="00D4399E" w:rsidRPr="00813D19">
        <w:rPr>
          <w:bCs/>
          <w:lang w:val="en-US"/>
        </w:rPr>
        <w:t xml:space="preserve"> </w:t>
      </w:r>
      <w:r w:rsidR="00024F06" w:rsidRPr="00813D19">
        <w:rPr>
          <w:bCs/>
          <w:lang w:val="en-US"/>
        </w:rPr>
        <w:t xml:space="preserve">unable to </w:t>
      </w:r>
      <w:r w:rsidR="00D4399E" w:rsidRPr="00813D19">
        <w:rPr>
          <w:bCs/>
          <w:lang w:val="en-US"/>
        </w:rPr>
        <w:t xml:space="preserve">be convincing </w:t>
      </w:r>
      <w:r w:rsidR="00024F06" w:rsidRPr="00813D19">
        <w:rPr>
          <w:bCs/>
          <w:lang w:val="en-US"/>
        </w:rPr>
        <w:t>even though all the information existed</w:t>
      </w:r>
      <w:r w:rsidR="0063135F" w:rsidRPr="00813D19">
        <w:rPr>
          <w:bCs/>
          <w:lang w:val="en-US"/>
        </w:rPr>
        <w:t xml:space="preserve"> </w:t>
      </w:r>
      <w:r w:rsidR="00D4399E" w:rsidRPr="00813D19">
        <w:rPr>
          <w:bCs/>
          <w:lang w:val="en-US"/>
        </w:rPr>
        <w:t>in electronic form</w:t>
      </w:r>
      <w:r w:rsidR="0063135F" w:rsidRPr="00813D19">
        <w:rPr>
          <w:bCs/>
          <w:lang w:val="en-US"/>
        </w:rPr>
        <w:t xml:space="preserve">. </w:t>
      </w:r>
      <w:r w:rsidR="000F12ED" w:rsidRPr="00813D19">
        <w:rPr>
          <w:bCs/>
          <w:lang w:val="en-US"/>
        </w:rPr>
        <w:t xml:space="preserve">Moreover, it had not been given the opportunity to speak after the break, </w:t>
      </w:r>
      <w:r w:rsidR="002A73B3" w:rsidRPr="00813D19">
        <w:rPr>
          <w:bCs/>
          <w:lang w:val="en-US"/>
        </w:rPr>
        <w:t>al</w:t>
      </w:r>
      <w:r w:rsidR="000F12ED" w:rsidRPr="00813D19">
        <w:rPr>
          <w:bCs/>
          <w:lang w:val="en-US"/>
        </w:rPr>
        <w:t xml:space="preserve">though it had all the responses required. </w:t>
      </w:r>
      <w:r w:rsidR="00D4399E" w:rsidRPr="00813D19">
        <w:rPr>
          <w:bCs/>
          <w:lang w:val="en-US"/>
        </w:rPr>
        <w:t>L</w:t>
      </w:r>
      <w:r w:rsidR="0063135F" w:rsidRPr="00813D19">
        <w:rPr>
          <w:bCs/>
          <w:lang w:val="en-US"/>
        </w:rPr>
        <w:t>aws are very important</w:t>
      </w:r>
      <w:r w:rsidR="00024F06" w:rsidRPr="00813D19">
        <w:rPr>
          <w:bCs/>
          <w:lang w:val="en-US"/>
        </w:rPr>
        <w:t xml:space="preserve">, but </w:t>
      </w:r>
      <w:r w:rsidR="002A73B3" w:rsidRPr="00813D19">
        <w:rPr>
          <w:bCs/>
          <w:lang w:val="en-US"/>
        </w:rPr>
        <w:t>[on a personal note] as</w:t>
      </w:r>
      <w:r w:rsidR="00024F06" w:rsidRPr="00813D19">
        <w:rPr>
          <w:bCs/>
          <w:lang w:val="en-US"/>
        </w:rPr>
        <w:t xml:space="preserve"> </w:t>
      </w:r>
      <w:r w:rsidR="002A73B3" w:rsidRPr="00813D19">
        <w:rPr>
          <w:bCs/>
          <w:lang w:val="en-US"/>
        </w:rPr>
        <w:t xml:space="preserve">a former </w:t>
      </w:r>
      <w:r w:rsidR="00024F06" w:rsidRPr="00813D19">
        <w:rPr>
          <w:bCs/>
          <w:lang w:val="en-US"/>
        </w:rPr>
        <w:t xml:space="preserve">Legal Adviser </w:t>
      </w:r>
      <w:r w:rsidR="002A73B3" w:rsidRPr="00813D19">
        <w:rPr>
          <w:bCs/>
          <w:lang w:val="en-US"/>
        </w:rPr>
        <w:t xml:space="preserve">at </w:t>
      </w:r>
      <w:r w:rsidR="00024F06" w:rsidRPr="00813D19">
        <w:rPr>
          <w:bCs/>
          <w:lang w:val="en-US"/>
        </w:rPr>
        <w:t>the M</w:t>
      </w:r>
      <w:r w:rsidR="0063135F" w:rsidRPr="00813D19">
        <w:rPr>
          <w:bCs/>
          <w:lang w:val="en-US"/>
        </w:rPr>
        <w:t>inistry</w:t>
      </w:r>
      <w:r w:rsidR="002A73B3" w:rsidRPr="00813D19">
        <w:rPr>
          <w:bCs/>
          <w:lang w:val="en-US"/>
        </w:rPr>
        <w:t>, he</w:t>
      </w:r>
      <w:r w:rsidR="0063135F" w:rsidRPr="00813D19">
        <w:rPr>
          <w:bCs/>
          <w:lang w:val="en-US"/>
        </w:rPr>
        <w:t xml:space="preserve"> </w:t>
      </w:r>
      <w:r w:rsidR="00D4399E" w:rsidRPr="00813D19">
        <w:rPr>
          <w:bCs/>
          <w:lang w:val="en-US"/>
        </w:rPr>
        <w:t xml:space="preserve">also </w:t>
      </w:r>
      <w:r w:rsidR="00024F06" w:rsidRPr="00813D19">
        <w:rPr>
          <w:bCs/>
          <w:lang w:val="en-US"/>
        </w:rPr>
        <w:t xml:space="preserve">believed </w:t>
      </w:r>
      <w:r w:rsidR="00D4399E" w:rsidRPr="00813D19">
        <w:rPr>
          <w:bCs/>
          <w:lang w:val="en-US"/>
        </w:rPr>
        <w:t xml:space="preserve">that </w:t>
      </w:r>
      <w:r w:rsidR="00024F06" w:rsidRPr="00813D19">
        <w:rPr>
          <w:bCs/>
          <w:lang w:val="en-US"/>
        </w:rPr>
        <w:t xml:space="preserve">the </w:t>
      </w:r>
      <w:r w:rsidR="0063135F" w:rsidRPr="00813D19">
        <w:rPr>
          <w:bCs/>
          <w:lang w:val="en-US"/>
        </w:rPr>
        <w:t xml:space="preserve">way a question </w:t>
      </w:r>
      <w:r w:rsidR="00D4399E" w:rsidRPr="00813D19">
        <w:rPr>
          <w:bCs/>
          <w:lang w:val="en-US"/>
        </w:rPr>
        <w:t xml:space="preserve">is </w:t>
      </w:r>
      <w:r w:rsidR="00024F06" w:rsidRPr="00813D19">
        <w:rPr>
          <w:bCs/>
          <w:lang w:val="en-US"/>
        </w:rPr>
        <w:t xml:space="preserve">asked </w:t>
      </w:r>
      <w:r w:rsidR="00D4399E" w:rsidRPr="00813D19">
        <w:rPr>
          <w:bCs/>
          <w:lang w:val="en-US"/>
        </w:rPr>
        <w:t xml:space="preserve">is </w:t>
      </w:r>
      <w:r w:rsidR="00024F06" w:rsidRPr="00813D19">
        <w:rPr>
          <w:bCs/>
          <w:lang w:val="en-US"/>
        </w:rPr>
        <w:t xml:space="preserve">also </w:t>
      </w:r>
      <w:r w:rsidR="0063135F" w:rsidRPr="00813D19">
        <w:rPr>
          <w:bCs/>
          <w:lang w:val="en-US"/>
        </w:rPr>
        <w:t xml:space="preserve">very important. </w:t>
      </w:r>
      <w:r w:rsidR="00024F06" w:rsidRPr="00813D19">
        <w:rPr>
          <w:bCs/>
          <w:lang w:val="en-US"/>
        </w:rPr>
        <w:t xml:space="preserve">With regard to the </w:t>
      </w:r>
      <w:r w:rsidR="00D4399E" w:rsidRPr="00813D19">
        <w:rPr>
          <w:bCs/>
          <w:lang w:val="en-US"/>
        </w:rPr>
        <w:t xml:space="preserve">Secretariat’s </w:t>
      </w:r>
      <w:r w:rsidR="00024F06" w:rsidRPr="00813D19">
        <w:rPr>
          <w:bCs/>
          <w:lang w:val="en-US"/>
        </w:rPr>
        <w:t xml:space="preserve">proposal, the delegation felt that </w:t>
      </w:r>
      <w:r w:rsidR="0063135F" w:rsidRPr="00813D19">
        <w:rPr>
          <w:bCs/>
          <w:lang w:val="en-US"/>
        </w:rPr>
        <w:t xml:space="preserve">an opinion </w:t>
      </w:r>
      <w:r w:rsidR="00D4399E" w:rsidRPr="00813D19">
        <w:rPr>
          <w:bCs/>
          <w:lang w:val="en-US"/>
        </w:rPr>
        <w:t xml:space="preserve">did not imply an </w:t>
      </w:r>
      <w:r w:rsidR="0063135F" w:rsidRPr="00813D19">
        <w:rPr>
          <w:bCs/>
          <w:lang w:val="en-US"/>
        </w:rPr>
        <w:t>obligation</w:t>
      </w:r>
      <w:r w:rsidR="00D4399E" w:rsidRPr="00813D19">
        <w:rPr>
          <w:bCs/>
          <w:lang w:val="en-US"/>
        </w:rPr>
        <w:t xml:space="preserve"> or was</w:t>
      </w:r>
      <w:r w:rsidR="009032BB" w:rsidRPr="00813D19">
        <w:rPr>
          <w:bCs/>
          <w:lang w:val="en-US"/>
        </w:rPr>
        <w:t xml:space="preserve"> indeed</w:t>
      </w:r>
      <w:r w:rsidR="00D4399E" w:rsidRPr="00813D19">
        <w:rPr>
          <w:bCs/>
          <w:lang w:val="en-US"/>
        </w:rPr>
        <w:t xml:space="preserve"> binding.</w:t>
      </w:r>
      <w:r w:rsidR="0063135F" w:rsidRPr="00813D19">
        <w:rPr>
          <w:bCs/>
          <w:lang w:val="en-US"/>
        </w:rPr>
        <w:t xml:space="preserve"> </w:t>
      </w:r>
      <w:r w:rsidR="00D4399E" w:rsidRPr="00813D19">
        <w:rPr>
          <w:bCs/>
          <w:lang w:val="en-US"/>
        </w:rPr>
        <w:t>T</w:t>
      </w:r>
      <w:r w:rsidR="0063135F" w:rsidRPr="00813D19">
        <w:rPr>
          <w:bCs/>
          <w:lang w:val="en-US"/>
        </w:rPr>
        <w:t xml:space="preserve">he question </w:t>
      </w:r>
      <w:r w:rsidR="00D4399E" w:rsidRPr="00813D19">
        <w:rPr>
          <w:bCs/>
          <w:lang w:val="en-US"/>
        </w:rPr>
        <w:t xml:space="preserve">that should be asked is: </w:t>
      </w:r>
      <w:r w:rsidR="00024F06" w:rsidRPr="00813D19">
        <w:rPr>
          <w:bCs/>
          <w:lang w:val="en-US"/>
        </w:rPr>
        <w:t>I</w:t>
      </w:r>
      <w:r w:rsidR="0063135F" w:rsidRPr="00813D19">
        <w:rPr>
          <w:bCs/>
          <w:lang w:val="en-US"/>
        </w:rPr>
        <w:t>s this m</w:t>
      </w:r>
      <w:r w:rsidR="00D4399E" w:rsidRPr="00813D19">
        <w:rPr>
          <w:bCs/>
          <w:lang w:val="en-US"/>
        </w:rPr>
        <w:t xml:space="preserve">echanism expressly prohibited? </w:t>
      </w:r>
      <w:r w:rsidR="00886B27">
        <w:rPr>
          <w:bCs/>
          <w:lang w:val="en-US"/>
        </w:rPr>
        <w:t>I</w:t>
      </w:r>
      <w:r w:rsidR="009032BB" w:rsidRPr="00813D19">
        <w:rPr>
          <w:bCs/>
          <w:lang w:val="en-US"/>
        </w:rPr>
        <w:t>n</w:t>
      </w:r>
      <w:r w:rsidR="00D4399E" w:rsidRPr="00813D19">
        <w:rPr>
          <w:bCs/>
          <w:lang w:val="en-US"/>
        </w:rPr>
        <w:t xml:space="preserve"> </w:t>
      </w:r>
      <w:r w:rsidR="002A73B3" w:rsidRPr="00813D19">
        <w:rPr>
          <w:bCs/>
          <w:lang w:val="en-US"/>
        </w:rPr>
        <w:t>that case</w:t>
      </w:r>
      <w:r w:rsidR="00886B27">
        <w:rPr>
          <w:bCs/>
          <w:lang w:val="en-US"/>
        </w:rPr>
        <w:t>,</w:t>
      </w:r>
      <w:r w:rsidR="002A73B3" w:rsidRPr="00813D19">
        <w:rPr>
          <w:bCs/>
          <w:lang w:val="en-US"/>
        </w:rPr>
        <w:t xml:space="preserve"> </w:t>
      </w:r>
      <w:r w:rsidR="0063135F" w:rsidRPr="00813D19">
        <w:rPr>
          <w:bCs/>
          <w:lang w:val="en-US"/>
        </w:rPr>
        <w:t xml:space="preserve">virtually </w:t>
      </w:r>
      <w:r w:rsidR="002A73B3" w:rsidRPr="00813D19">
        <w:rPr>
          <w:bCs/>
          <w:lang w:val="en-US"/>
        </w:rPr>
        <w:t xml:space="preserve">every </w:t>
      </w:r>
      <w:r w:rsidR="0063135F" w:rsidRPr="00813D19">
        <w:rPr>
          <w:bCs/>
          <w:lang w:val="en-US"/>
        </w:rPr>
        <w:t xml:space="preserve">legal instrument </w:t>
      </w:r>
      <w:r w:rsidR="006E0C89" w:rsidRPr="00813D19">
        <w:rPr>
          <w:bCs/>
          <w:lang w:val="en-US"/>
        </w:rPr>
        <w:t xml:space="preserve">in </w:t>
      </w:r>
      <w:r w:rsidR="0063135F" w:rsidRPr="00813D19">
        <w:rPr>
          <w:bCs/>
          <w:lang w:val="en-US"/>
        </w:rPr>
        <w:t xml:space="preserve">UNESCO </w:t>
      </w:r>
      <w:r w:rsidR="006E0C89" w:rsidRPr="00813D19">
        <w:rPr>
          <w:bCs/>
          <w:lang w:val="en-US"/>
        </w:rPr>
        <w:t xml:space="preserve">would </w:t>
      </w:r>
      <w:r w:rsidR="002A73B3" w:rsidRPr="00813D19">
        <w:rPr>
          <w:bCs/>
          <w:lang w:val="en-US"/>
        </w:rPr>
        <w:t xml:space="preserve">not </w:t>
      </w:r>
      <w:r w:rsidR="006E0C89" w:rsidRPr="00813D19">
        <w:rPr>
          <w:bCs/>
          <w:lang w:val="en-US"/>
        </w:rPr>
        <w:t xml:space="preserve">be </w:t>
      </w:r>
      <w:r w:rsidR="0063135F" w:rsidRPr="00813D19">
        <w:rPr>
          <w:bCs/>
          <w:lang w:val="en-US"/>
        </w:rPr>
        <w:t xml:space="preserve">permitted. </w:t>
      </w:r>
      <w:r w:rsidR="00D4399E" w:rsidRPr="00813D19">
        <w:rPr>
          <w:bCs/>
          <w:lang w:val="en-US"/>
        </w:rPr>
        <w:t xml:space="preserve">Moreover, </w:t>
      </w:r>
      <w:r w:rsidR="0063135F" w:rsidRPr="00813D19">
        <w:rPr>
          <w:bCs/>
          <w:lang w:val="en-US"/>
        </w:rPr>
        <w:t>exce</w:t>
      </w:r>
      <w:r w:rsidR="00D4399E" w:rsidRPr="00813D19">
        <w:rPr>
          <w:bCs/>
          <w:lang w:val="en-US"/>
        </w:rPr>
        <w:t xml:space="preserve">ptions </w:t>
      </w:r>
      <w:r w:rsidR="00886B27">
        <w:rPr>
          <w:bCs/>
          <w:lang w:val="en-US"/>
        </w:rPr>
        <w:t>were</w:t>
      </w:r>
      <w:r w:rsidR="00886B27" w:rsidRPr="00813D19">
        <w:rPr>
          <w:bCs/>
          <w:lang w:val="en-US"/>
        </w:rPr>
        <w:t xml:space="preserve"> </w:t>
      </w:r>
      <w:r w:rsidR="00D4399E" w:rsidRPr="00813D19">
        <w:rPr>
          <w:bCs/>
          <w:lang w:val="en-US"/>
        </w:rPr>
        <w:t xml:space="preserve">applied all the time, and </w:t>
      </w:r>
      <w:r w:rsidR="006E0C89" w:rsidRPr="00813D19">
        <w:rPr>
          <w:bCs/>
          <w:lang w:val="en-US"/>
        </w:rPr>
        <w:t xml:space="preserve">the Committee </w:t>
      </w:r>
      <w:r w:rsidR="00D4399E" w:rsidRPr="00813D19">
        <w:rPr>
          <w:bCs/>
          <w:lang w:val="en-US"/>
        </w:rPr>
        <w:t xml:space="preserve">had itself </w:t>
      </w:r>
      <w:r w:rsidR="0063135F" w:rsidRPr="00813D19">
        <w:rPr>
          <w:bCs/>
          <w:lang w:val="en-US"/>
        </w:rPr>
        <w:t xml:space="preserve">applied an exception </w:t>
      </w:r>
      <w:r w:rsidR="00D4399E" w:rsidRPr="00813D19">
        <w:rPr>
          <w:bCs/>
          <w:lang w:val="en-US"/>
        </w:rPr>
        <w:t xml:space="preserve">at </w:t>
      </w:r>
      <w:r w:rsidR="0063135F" w:rsidRPr="00813D19">
        <w:rPr>
          <w:bCs/>
          <w:lang w:val="en-US"/>
        </w:rPr>
        <w:t xml:space="preserve">this very session to </w:t>
      </w:r>
      <w:r w:rsidR="00D4399E" w:rsidRPr="00813D19">
        <w:rPr>
          <w:bCs/>
          <w:lang w:val="en-US"/>
        </w:rPr>
        <w:t xml:space="preserve">accept </w:t>
      </w:r>
      <w:r w:rsidR="0063135F" w:rsidRPr="00813D19">
        <w:rPr>
          <w:bCs/>
          <w:lang w:val="en-US"/>
        </w:rPr>
        <w:t>t</w:t>
      </w:r>
      <w:r w:rsidR="006E0C89" w:rsidRPr="00813D19">
        <w:rPr>
          <w:bCs/>
          <w:lang w:val="en-US"/>
        </w:rPr>
        <w:t>he inscription of the two Korea</w:t>
      </w:r>
      <w:r w:rsidR="00D4399E" w:rsidRPr="00813D19">
        <w:rPr>
          <w:bCs/>
          <w:lang w:val="en-US"/>
        </w:rPr>
        <w:t>n</w:t>
      </w:r>
      <w:r w:rsidR="006E0C89" w:rsidRPr="00813D19">
        <w:rPr>
          <w:bCs/>
          <w:lang w:val="en-US"/>
        </w:rPr>
        <w:t xml:space="preserve"> nations</w:t>
      </w:r>
      <w:r w:rsidR="0063135F" w:rsidRPr="00813D19">
        <w:rPr>
          <w:bCs/>
          <w:lang w:val="en-US"/>
        </w:rPr>
        <w:t xml:space="preserve">, which </w:t>
      </w:r>
      <w:r w:rsidR="006E0C89" w:rsidRPr="00813D19">
        <w:rPr>
          <w:bCs/>
          <w:lang w:val="en-US"/>
        </w:rPr>
        <w:t>was a</w:t>
      </w:r>
      <w:r w:rsidR="002A73B3" w:rsidRPr="00813D19">
        <w:rPr>
          <w:bCs/>
          <w:lang w:val="en-US"/>
        </w:rPr>
        <w:t>n</w:t>
      </w:r>
      <w:r w:rsidR="006E0C89" w:rsidRPr="00813D19">
        <w:rPr>
          <w:bCs/>
          <w:lang w:val="en-US"/>
        </w:rPr>
        <w:t xml:space="preserve"> </w:t>
      </w:r>
      <w:r w:rsidR="002A73B3" w:rsidRPr="00813D19">
        <w:rPr>
          <w:bCs/>
          <w:lang w:val="en-US"/>
        </w:rPr>
        <w:t xml:space="preserve">outstanding </w:t>
      </w:r>
      <w:r w:rsidR="00373541" w:rsidRPr="00813D19">
        <w:rPr>
          <w:bCs/>
          <w:lang w:val="en-US"/>
        </w:rPr>
        <w:t>achievement</w:t>
      </w:r>
      <w:r w:rsidR="0063135F" w:rsidRPr="00813D19">
        <w:rPr>
          <w:bCs/>
          <w:lang w:val="en-US"/>
        </w:rPr>
        <w:t xml:space="preserve">. </w:t>
      </w:r>
      <w:r w:rsidR="00D4399E" w:rsidRPr="00813D19">
        <w:rPr>
          <w:bCs/>
          <w:lang w:val="en-US"/>
        </w:rPr>
        <w:t xml:space="preserve">Consequently, </w:t>
      </w:r>
      <w:r w:rsidR="00373541" w:rsidRPr="00813D19">
        <w:rPr>
          <w:bCs/>
          <w:lang w:val="en-US"/>
        </w:rPr>
        <w:t>Argentina had asked</w:t>
      </w:r>
      <w:r w:rsidR="0063135F" w:rsidRPr="00813D19">
        <w:rPr>
          <w:bCs/>
          <w:lang w:val="en-US"/>
        </w:rPr>
        <w:t xml:space="preserve"> for </w:t>
      </w:r>
      <w:r w:rsidR="00373541" w:rsidRPr="00813D19">
        <w:rPr>
          <w:bCs/>
          <w:lang w:val="en-US"/>
        </w:rPr>
        <w:t>an exception</w:t>
      </w:r>
      <w:r w:rsidR="0063135F" w:rsidRPr="00813D19">
        <w:rPr>
          <w:bCs/>
          <w:lang w:val="en-US"/>
        </w:rPr>
        <w:t xml:space="preserve"> </w:t>
      </w:r>
      <w:r w:rsidR="00373541" w:rsidRPr="00813D19">
        <w:rPr>
          <w:bCs/>
          <w:lang w:val="en-US"/>
        </w:rPr>
        <w:t xml:space="preserve">in order to have </w:t>
      </w:r>
      <w:r w:rsidR="0063135F" w:rsidRPr="00813D19">
        <w:rPr>
          <w:bCs/>
          <w:lang w:val="en-US"/>
        </w:rPr>
        <w:t>more dialogue</w:t>
      </w:r>
      <w:r w:rsidR="00373541" w:rsidRPr="00813D19">
        <w:rPr>
          <w:bCs/>
          <w:lang w:val="en-US"/>
        </w:rPr>
        <w:t>,</w:t>
      </w:r>
      <w:r w:rsidR="0063135F" w:rsidRPr="00813D19">
        <w:rPr>
          <w:bCs/>
          <w:lang w:val="en-US"/>
        </w:rPr>
        <w:t xml:space="preserve"> as </w:t>
      </w:r>
      <w:r w:rsidR="00373541" w:rsidRPr="00813D19">
        <w:rPr>
          <w:bCs/>
          <w:lang w:val="en-US"/>
        </w:rPr>
        <w:t>desired by everyone</w:t>
      </w:r>
      <w:r w:rsidR="0063135F" w:rsidRPr="00813D19">
        <w:rPr>
          <w:bCs/>
          <w:lang w:val="en-US"/>
        </w:rPr>
        <w:t xml:space="preserve">, and to give the </w:t>
      </w:r>
      <w:r w:rsidR="002A73B3" w:rsidRPr="00813D19">
        <w:rPr>
          <w:bCs/>
          <w:lang w:val="en-US"/>
        </w:rPr>
        <w:t>communities</w:t>
      </w:r>
      <w:r w:rsidR="006F6EC7" w:rsidRPr="00813D19">
        <w:rPr>
          <w:bCs/>
          <w:lang w:val="en-US"/>
        </w:rPr>
        <w:t xml:space="preserve"> [of </w:t>
      </w:r>
      <w:r w:rsidR="00373541" w:rsidRPr="00813D19">
        <w:rPr>
          <w:bCs/>
          <w:lang w:val="en-US"/>
        </w:rPr>
        <w:t xml:space="preserve">Corrientes] the </w:t>
      </w:r>
      <w:r w:rsidR="0063135F" w:rsidRPr="00813D19">
        <w:rPr>
          <w:bCs/>
          <w:lang w:val="en-US"/>
        </w:rPr>
        <w:t xml:space="preserve">opportunity </w:t>
      </w:r>
      <w:r w:rsidR="00373541" w:rsidRPr="00813D19">
        <w:rPr>
          <w:bCs/>
          <w:lang w:val="en-US"/>
        </w:rPr>
        <w:t xml:space="preserve">to inquire </w:t>
      </w:r>
      <w:r w:rsidR="00D4399E" w:rsidRPr="00813D19">
        <w:rPr>
          <w:bCs/>
          <w:lang w:val="en-US"/>
        </w:rPr>
        <w:t xml:space="preserve">as to </w:t>
      </w:r>
      <w:r w:rsidR="0063135F" w:rsidRPr="00813D19">
        <w:rPr>
          <w:bCs/>
          <w:lang w:val="en-US"/>
        </w:rPr>
        <w:t>why the information was n</w:t>
      </w:r>
      <w:r w:rsidR="00373541" w:rsidRPr="00813D19">
        <w:rPr>
          <w:bCs/>
          <w:lang w:val="en-US"/>
        </w:rPr>
        <w:t xml:space="preserve">ot </w:t>
      </w:r>
      <w:r w:rsidR="00D4399E" w:rsidRPr="00813D19">
        <w:rPr>
          <w:bCs/>
          <w:lang w:val="en-US"/>
        </w:rPr>
        <w:t xml:space="preserve">accepted </w:t>
      </w:r>
      <w:r w:rsidR="00373541" w:rsidRPr="00813D19">
        <w:rPr>
          <w:bCs/>
          <w:lang w:val="en-US"/>
        </w:rPr>
        <w:t xml:space="preserve">in the proper form when the </w:t>
      </w:r>
      <w:r w:rsidR="0063135F" w:rsidRPr="00813D19">
        <w:rPr>
          <w:bCs/>
          <w:lang w:val="en-US"/>
        </w:rPr>
        <w:t xml:space="preserve">information </w:t>
      </w:r>
      <w:r w:rsidR="00373541" w:rsidRPr="00813D19">
        <w:rPr>
          <w:bCs/>
          <w:lang w:val="en-US"/>
        </w:rPr>
        <w:t xml:space="preserve">was </w:t>
      </w:r>
      <w:r w:rsidR="009032BB" w:rsidRPr="00813D19">
        <w:rPr>
          <w:bCs/>
          <w:lang w:val="en-US"/>
        </w:rPr>
        <w:t>contained in the file, especially as the answer</w:t>
      </w:r>
      <w:r w:rsidR="00373541" w:rsidRPr="00813D19">
        <w:rPr>
          <w:bCs/>
          <w:lang w:val="en-US"/>
        </w:rPr>
        <w:t xml:space="preserve"> </w:t>
      </w:r>
      <w:r w:rsidR="009032BB" w:rsidRPr="00813D19">
        <w:rPr>
          <w:bCs/>
          <w:lang w:val="en-US"/>
        </w:rPr>
        <w:t xml:space="preserve">could </w:t>
      </w:r>
      <w:r w:rsidR="00373541" w:rsidRPr="00813D19">
        <w:rPr>
          <w:bCs/>
          <w:lang w:val="en-US"/>
        </w:rPr>
        <w:t xml:space="preserve">be provided </w:t>
      </w:r>
      <w:r w:rsidR="009032BB" w:rsidRPr="00813D19">
        <w:rPr>
          <w:bCs/>
          <w:lang w:val="en-US"/>
        </w:rPr>
        <w:t xml:space="preserve">to the Evaluation Body </w:t>
      </w:r>
      <w:r w:rsidR="00373541" w:rsidRPr="00813D19">
        <w:rPr>
          <w:bCs/>
          <w:lang w:val="en-US"/>
        </w:rPr>
        <w:t xml:space="preserve">in </w:t>
      </w:r>
      <w:r w:rsidR="00886B27">
        <w:rPr>
          <w:bCs/>
          <w:lang w:val="en-US"/>
        </w:rPr>
        <w:t>fifteen</w:t>
      </w:r>
      <w:r w:rsidR="00886B27" w:rsidRPr="00813D19">
        <w:rPr>
          <w:bCs/>
          <w:lang w:val="en-US"/>
        </w:rPr>
        <w:t xml:space="preserve"> </w:t>
      </w:r>
      <w:r w:rsidR="00373541" w:rsidRPr="00813D19">
        <w:rPr>
          <w:bCs/>
          <w:lang w:val="en-US"/>
        </w:rPr>
        <w:t xml:space="preserve">minutes </w:t>
      </w:r>
      <w:r w:rsidR="006F6EC7" w:rsidRPr="00813D19">
        <w:rPr>
          <w:bCs/>
          <w:lang w:val="en-US"/>
        </w:rPr>
        <w:t>during</w:t>
      </w:r>
      <w:r w:rsidR="00373541" w:rsidRPr="00813D19">
        <w:rPr>
          <w:bCs/>
          <w:lang w:val="en-US"/>
        </w:rPr>
        <w:t xml:space="preserve"> the present</w:t>
      </w:r>
      <w:r w:rsidR="00DD4E22">
        <w:rPr>
          <w:bCs/>
          <w:lang w:val="en-US"/>
        </w:rPr>
        <w:t xml:space="preserve"> session.</w:t>
      </w:r>
    </w:p>
    <w:p w14:paraId="001A05A7" w14:textId="4C94C554" w:rsidR="004278C3" w:rsidRPr="00813D19" w:rsidRDefault="00373541" w:rsidP="00C068A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Argentina</w:t>
      </w:r>
      <w:r w:rsidRPr="00813D19">
        <w:rPr>
          <w:color w:val="000000" w:themeColor="text1"/>
          <w:lang w:val="en-US"/>
        </w:rPr>
        <w:t xml:space="preserve"> </w:t>
      </w:r>
      <w:r w:rsidRPr="00813D19">
        <w:rPr>
          <w:bCs/>
          <w:lang w:val="en-US"/>
        </w:rPr>
        <w:t>recalled [on a personal note] that</w:t>
      </w:r>
      <w:r w:rsidR="00886B27">
        <w:rPr>
          <w:bCs/>
          <w:lang w:val="en-US"/>
        </w:rPr>
        <w:t>,</w:t>
      </w:r>
      <w:r w:rsidRPr="00813D19">
        <w:rPr>
          <w:bCs/>
          <w:lang w:val="en-US"/>
        </w:rPr>
        <w:t xml:space="preserve"> as a </w:t>
      </w:r>
      <w:r w:rsidR="0063135F" w:rsidRPr="00813D19">
        <w:rPr>
          <w:bCs/>
          <w:lang w:val="en-US"/>
        </w:rPr>
        <w:t>student</w:t>
      </w:r>
      <w:r w:rsidRPr="00813D19">
        <w:rPr>
          <w:bCs/>
          <w:lang w:val="en-US"/>
        </w:rPr>
        <w:t xml:space="preserve"> learning </w:t>
      </w:r>
      <w:r w:rsidR="0063135F" w:rsidRPr="00813D19">
        <w:rPr>
          <w:bCs/>
          <w:lang w:val="en-US"/>
        </w:rPr>
        <w:t>economic theory</w:t>
      </w:r>
      <w:r w:rsidR="00886B27">
        <w:rPr>
          <w:bCs/>
          <w:lang w:val="en-US"/>
        </w:rPr>
        <w:t>,</w:t>
      </w:r>
      <w:r w:rsidR="0063135F" w:rsidRPr="00813D19">
        <w:rPr>
          <w:bCs/>
          <w:lang w:val="en-US"/>
        </w:rPr>
        <w:t xml:space="preserve"> </w:t>
      </w:r>
      <w:r w:rsidR="006F6EC7" w:rsidRPr="00813D19">
        <w:rPr>
          <w:bCs/>
          <w:lang w:val="en-US"/>
        </w:rPr>
        <w:t xml:space="preserve">he </w:t>
      </w:r>
      <w:r w:rsidR="00886B27">
        <w:rPr>
          <w:bCs/>
          <w:lang w:val="en-US"/>
        </w:rPr>
        <w:t>had been</w:t>
      </w:r>
      <w:r w:rsidR="00886B27" w:rsidRPr="00813D19">
        <w:rPr>
          <w:bCs/>
          <w:lang w:val="en-US"/>
        </w:rPr>
        <w:t xml:space="preserve"> </w:t>
      </w:r>
      <w:r w:rsidR="006F6EC7" w:rsidRPr="00813D19">
        <w:rPr>
          <w:bCs/>
          <w:lang w:val="en-US"/>
        </w:rPr>
        <w:t xml:space="preserve">told </w:t>
      </w:r>
      <w:r w:rsidR="0063135F" w:rsidRPr="00813D19">
        <w:rPr>
          <w:bCs/>
          <w:lang w:val="en-US"/>
        </w:rPr>
        <w:t xml:space="preserve">that reality was wrong </w:t>
      </w:r>
      <w:r w:rsidR="006F6EC7" w:rsidRPr="00813D19">
        <w:rPr>
          <w:bCs/>
          <w:lang w:val="en-US"/>
        </w:rPr>
        <w:t xml:space="preserve">if </w:t>
      </w:r>
      <w:r w:rsidR="0063135F" w:rsidRPr="00813D19">
        <w:rPr>
          <w:bCs/>
          <w:lang w:val="en-US"/>
        </w:rPr>
        <w:t xml:space="preserve">it </w:t>
      </w:r>
      <w:r w:rsidRPr="00813D19">
        <w:rPr>
          <w:bCs/>
          <w:lang w:val="en-US"/>
        </w:rPr>
        <w:t xml:space="preserve">did not </w:t>
      </w:r>
      <w:r w:rsidR="0063135F" w:rsidRPr="00813D19">
        <w:rPr>
          <w:bCs/>
          <w:lang w:val="en-US"/>
        </w:rPr>
        <w:t xml:space="preserve">fit with </w:t>
      </w:r>
      <w:r w:rsidRPr="00813D19">
        <w:rPr>
          <w:bCs/>
          <w:lang w:val="en-US"/>
        </w:rPr>
        <w:t xml:space="preserve">the </w:t>
      </w:r>
      <w:r w:rsidR="0063135F" w:rsidRPr="00813D19">
        <w:rPr>
          <w:bCs/>
          <w:lang w:val="en-US"/>
        </w:rPr>
        <w:t>theory</w:t>
      </w:r>
      <w:r w:rsidR="006F6EC7" w:rsidRPr="00813D19">
        <w:rPr>
          <w:bCs/>
          <w:lang w:val="en-US"/>
        </w:rPr>
        <w:t>.</w:t>
      </w:r>
      <w:r w:rsidR="0063135F" w:rsidRPr="00813D19">
        <w:rPr>
          <w:bCs/>
          <w:lang w:val="en-US"/>
        </w:rPr>
        <w:t xml:space="preserve"> </w:t>
      </w:r>
      <w:r w:rsidR="006F6EC7" w:rsidRPr="00813D19">
        <w:rPr>
          <w:bCs/>
          <w:lang w:val="en-US"/>
        </w:rPr>
        <w:t>T</w:t>
      </w:r>
      <w:r w:rsidR="0063135F" w:rsidRPr="00813D19">
        <w:rPr>
          <w:bCs/>
          <w:lang w:val="en-US"/>
        </w:rPr>
        <w:t xml:space="preserve">his </w:t>
      </w:r>
      <w:r w:rsidR="00886B27">
        <w:rPr>
          <w:bCs/>
          <w:lang w:val="en-US"/>
        </w:rPr>
        <w:t>was</w:t>
      </w:r>
      <w:r w:rsidR="00886B27" w:rsidRPr="00813D19">
        <w:rPr>
          <w:bCs/>
          <w:lang w:val="en-US"/>
        </w:rPr>
        <w:t xml:space="preserve"> </w:t>
      </w:r>
      <w:r w:rsidR="0063135F" w:rsidRPr="00813D19">
        <w:rPr>
          <w:bCs/>
          <w:lang w:val="en-US"/>
        </w:rPr>
        <w:t xml:space="preserve">what </w:t>
      </w:r>
      <w:r w:rsidR="006F6EC7" w:rsidRPr="00813D19">
        <w:rPr>
          <w:bCs/>
          <w:lang w:val="en-US"/>
        </w:rPr>
        <w:t xml:space="preserve">had indeed </w:t>
      </w:r>
      <w:r w:rsidRPr="00813D19">
        <w:rPr>
          <w:bCs/>
          <w:lang w:val="en-US"/>
        </w:rPr>
        <w:t>occurred;</w:t>
      </w:r>
      <w:r w:rsidR="0063135F" w:rsidRPr="00813D19">
        <w:rPr>
          <w:bCs/>
          <w:lang w:val="en-US"/>
        </w:rPr>
        <w:t xml:space="preserve"> reality </w:t>
      </w:r>
      <w:r w:rsidRPr="00813D19">
        <w:rPr>
          <w:bCs/>
          <w:lang w:val="en-US"/>
        </w:rPr>
        <w:t xml:space="preserve">was </w:t>
      </w:r>
      <w:r w:rsidR="006F6EC7" w:rsidRPr="00813D19">
        <w:rPr>
          <w:bCs/>
          <w:lang w:val="en-US"/>
        </w:rPr>
        <w:t xml:space="preserve">deemed </w:t>
      </w:r>
      <w:r w:rsidR="0063135F" w:rsidRPr="00813D19">
        <w:rPr>
          <w:bCs/>
          <w:lang w:val="en-US"/>
        </w:rPr>
        <w:t xml:space="preserve">wrong because it </w:t>
      </w:r>
      <w:r w:rsidRPr="00813D19">
        <w:rPr>
          <w:bCs/>
          <w:lang w:val="en-US"/>
        </w:rPr>
        <w:t xml:space="preserve">did not </w:t>
      </w:r>
      <w:r w:rsidR="0063135F" w:rsidRPr="00813D19">
        <w:rPr>
          <w:bCs/>
          <w:lang w:val="en-US"/>
        </w:rPr>
        <w:t>fit the rules of the game</w:t>
      </w:r>
      <w:r w:rsidRPr="00813D19">
        <w:rPr>
          <w:bCs/>
          <w:lang w:val="en-US"/>
        </w:rPr>
        <w:t>,</w:t>
      </w:r>
      <w:r w:rsidR="0063135F" w:rsidRPr="00813D19">
        <w:rPr>
          <w:bCs/>
          <w:lang w:val="en-US"/>
        </w:rPr>
        <w:t xml:space="preserve"> </w:t>
      </w:r>
      <w:r w:rsidR="006F6EC7" w:rsidRPr="00813D19">
        <w:rPr>
          <w:bCs/>
          <w:lang w:val="en-US"/>
        </w:rPr>
        <w:t xml:space="preserve">even though the Committee was here </w:t>
      </w:r>
      <w:r w:rsidR="0063135F" w:rsidRPr="00813D19">
        <w:rPr>
          <w:bCs/>
          <w:lang w:val="en-US"/>
        </w:rPr>
        <w:t xml:space="preserve">to safeguard intangible cultural heritage. </w:t>
      </w:r>
      <w:r w:rsidRPr="00813D19">
        <w:rPr>
          <w:bCs/>
          <w:lang w:val="en-US"/>
        </w:rPr>
        <w:t xml:space="preserve">For this reason, the delegation </w:t>
      </w:r>
      <w:r w:rsidR="006F6EC7" w:rsidRPr="00813D19">
        <w:rPr>
          <w:bCs/>
          <w:lang w:val="en-US"/>
        </w:rPr>
        <w:t xml:space="preserve">had </w:t>
      </w:r>
      <w:r w:rsidRPr="00813D19">
        <w:rPr>
          <w:bCs/>
          <w:lang w:val="en-US"/>
        </w:rPr>
        <w:t xml:space="preserve">sought this </w:t>
      </w:r>
      <w:r w:rsidR="0063135F" w:rsidRPr="00813D19">
        <w:rPr>
          <w:bCs/>
          <w:lang w:val="en-US"/>
        </w:rPr>
        <w:t xml:space="preserve">experimental exception to promote dialogue </w:t>
      </w:r>
      <w:r w:rsidR="006F6EC7" w:rsidRPr="00813D19">
        <w:rPr>
          <w:bCs/>
          <w:lang w:val="en-US"/>
        </w:rPr>
        <w:t>and to see the results of this dialogue when the communities</w:t>
      </w:r>
      <w:r w:rsidRPr="00813D19">
        <w:rPr>
          <w:bCs/>
          <w:lang w:val="en-US"/>
        </w:rPr>
        <w:t>—</w:t>
      </w:r>
      <w:r w:rsidR="0063135F" w:rsidRPr="00813D19">
        <w:rPr>
          <w:bCs/>
          <w:lang w:val="en-US"/>
        </w:rPr>
        <w:t>through the submitting States</w:t>
      </w:r>
      <w:r w:rsidRPr="00813D19">
        <w:rPr>
          <w:bCs/>
          <w:lang w:val="en-US"/>
        </w:rPr>
        <w:t>—</w:t>
      </w:r>
      <w:r w:rsidR="00886B27">
        <w:rPr>
          <w:bCs/>
          <w:lang w:val="en-US"/>
        </w:rPr>
        <w:t xml:space="preserve">were </w:t>
      </w:r>
      <w:r w:rsidR="006F6EC7" w:rsidRPr="00813D19">
        <w:rPr>
          <w:bCs/>
          <w:lang w:val="en-US"/>
        </w:rPr>
        <w:t xml:space="preserve">given the opportunity </w:t>
      </w:r>
      <w:r w:rsidR="00167408" w:rsidRPr="00813D19">
        <w:rPr>
          <w:bCs/>
          <w:lang w:val="en-US"/>
        </w:rPr>
        <w:t xml:space="preserve">in one month </w:t>
      </w:r>
      <w:r w:rsidRPr="00813D19">
        <w:rPr>
          <w:bCs/>
          <w:lang w:val="en-US"/>
        </w:rPr>
        <w:t xml:space="preserve">to provide the </w:t>
      </w:r>
      <w:r w:rsidR="0063135F" w:rsidRPr="00813D19">
        <w:rPr>
          <w:bCs/>
          <w:lang w:val="en-US"/>
        </w:rPr>
        <w:t>information</w:t>
      </w:r>
      <w:r w:rsidR="006F6EC7" w:rsidRPr="00813D19">
        <w:rPr>
          <w:bCs/>
          <w:lang w:val="en-US"/>
        </w:rPr>
        <w:t xml:space="preserve"> requested</w:t>
      </w:r>
      <w:r w:rsidR="0063135F" w:rsidRPr="00813D19">
        <w:rPr>
          <w:bCs/>
          <w:lang w:val="en-US"/>
        </w:rPr>
        <w:t xml:space="preserve">. The </w:t>
      </w:r>
      <w:r w:rsidR="006F6EC7" w:rsidRPr="00813D19">
        <w:rPr>
          <w:bCs/>
          <w:lang w:val="en-US"/>
        </w:rPr>
        <w:t xml:space="preserve">delegation reiterated that the </w:t>
      </w:r>
      <w:r w:rsidR="0063135F" w:rsidRPr="00813D19">
        <w:rPr>
          <w:bCs/>
          <w:lang w:val="en-US"/>
        </w:rPr>
        <w:t xml:space="preserve">information </w:t>
      </w:r>
      <w:r w:rsidR="006F6EC7" w:rsidRPr="00813D19">
        <w:rPr>
          <w:bCs/>
          <w:lang w:val="en-US"/>
        </w:rPr>
        <w:t xml:space="preserve">required had been included </w:t>
      </w:r>
      <w:r w:rsidRPr="00813D19">
        <w:rPr>
          <w:bCs/>
          <w:lang w:val="en-US"/>
        </w:rPr>
        <w:t xml:space="preserve">in the annex of </w:t>
      </w:r>
      <w:r w:rsidR="0063135F" w:rsidRPr="00813D19">
        <w:rPr>
          <w:bCs/>
          <w:lang w:val="en-US"/>
        </w:rPr>
        <w:t xml:space="preserve">the document, which </w:t>
      </w:r>
      <w:r w:rsidRPr="00813D19">
        <w:rPr>
          <w:bCs/>
          <w:lang w:val="en-US"/>
        </w:rPr>
        <w:t xml:space="preserve">could be consulted at </w:t>
      </w:r>
      <w:r w:rsidR="009032BB" w:rsidRPr="00813D19">
        <w:rPr>
          <w:bCs/>
          <w:lang w:val="en-US"/>
        </w:rPr>
        <w:t xml:space="preserve">http://chamameargentina.org. </w:t>
      </w:r>
      <w:r w:rsidR="0063135F" w:rsidRPr="00813D19">
        <w:rPr>
          <w:bCs/>
          <w:lang w:val="en-US"/>
        </w:rPr>
        <w:t xml:space="preserve">Everything that the Evaluation </w:t>
      </w:r>
      <w:r w:rsidR="003C7016" w:rsidRPr="00813D19">
        <w:rPr>
          <w:bCs/>
          <w:lang w:val="en-US"/>
        </w:rPr>
        <w:t>Body had</w:t>
      </w:r>
      <w:r w:rsidR="0063135F" w:rsidRPr="00813D19">
        <w:rPr>
          <w:bCs/>
          <w:lang w:val="en-US"/>
        </w:rPr>
        <w:t xml:space="preserve"> </w:t>
      </w:r>
      <w:r w:rsidR="006F6EC7" w:rsidRPr="00813D19">
        <w:rPr>
          <w:bCs/>
          <w:lang w:val="en-US"/>
        </w:rPr>
        <w:t xml:space="preserve">requested </w:t>
      </w:r>
      <w:r w:rsidR="00510433" w:rsidRPr="00813D19">
        <w:rPr>
          <w:bCs/>
          <w:lang w:val="en-US"/>
        </w:rPr>
        <w:t>could be consulted online</w:t>
      </w:r>
      <w:r w:rsidR="0063135F" w:rsidRPr="00813D19">
        <w:rPr>
          <w:bCs/>
          <w:lang w:val="en-US"/>
        </w:rPr>
        <w:t xml:space="preserve">. </w:t>
      </w:r>
      <w:r w:rsidR="00EC24AC" w:rsidRPr="00813D19">
        <w:rPr>
          <w:bCs/>
          <w:lang w:val="en-US"/>
        </w:rPr>
        <w:t xml:space="preserve">For this reason, the delegation </w:t>
      </w:r>
      <w:r w:rsidR="006F6EC7" w:rsidRPr="00813D19">
        <w:rPr>
          <w:bCs/>
          <w:lang w:val="en-US"/>
        </w:rPr>
        <w:t>sought</w:t>
      </w:r>
      <w:r w:rsidR="00EC24AC" w:rsidRPr="00813D19">
        <w:rPr>
          <w:bCs/>
          <w:lang w:val="en-US"/>
        </w:rPr>
        <w:t xml:space="preserve"> to implement the </w:t>
      </w:r>
      <w:r w:rsidR="0063135F" w:rsidRPr="00813D19">
        <w:rPr>
          <w:bCs/>
          <w:lang w:val="en-US"/>
        </w:rPr>
        <w:t>experimental dialogue mechanism</w:t>
      </w:r>
      <w:r w:rsidR="00EC24AC" w:rsidRPr="00813D19">
        <w:rPr>
          <w:bCs/>
          <w:lang w:val="en-US"/>
        </w:rPr>
        <w:t>,</w:t>
      </w:r>
      <w:r w:rsidR="0063135F" w:rsidRPr="00813D19">
        <w:rPr>
          <w:bCs/>
          <w:lang w:val="en-US"/>
        </w:rPr>
        <w:t xml:space="preserve"> pursuant to the spirit of UNESCO, which </w:t>
      </w:r>
      <w:r w:rsidR="00EC24AC" w:rsidRPr="00813D19">
        <w:rPr>
          <w:bCs/>
          <w:lang w:val="en-US"/>
        </w:rPr>
        <w:t xml:space="preserve">advocated </w:t>
      </w:r>
      <w:r w:rsidR="00886B27">
        <w:rPr>
          <w:bCs/>
          <w:lang w:val="en-US"/>
        </w:rPr>
        <w:t xml:space="preserve">for </w:t>
      </w:r>
      <w:r w:rsidR="00EC24AC" w:rsidRPr="00813D19">
        <w:rPr>
          <w:bCs/>
          <w:lang w:val="en-US"/>
        </w:rPr>
        <w:t xml:space="preserve">the </w:t>
      </w:r>
      <w:r w:rsidR="0063135F" w:rsidRPr="00813D19">
        <w:rPr>
          <w:bCs/>
          <w:lang w:val="en-US"/>
        </w:rPr>
        <w:t xml:space="preserve">use </w:t>
      </w:r>
      <w:r w:rsidR="00EC24AC" w:rsidRPr="00813D19">
        <w:rPr>
          <w:bCs/>
          <w:lang w:val="en-US"/>
        </w:rPr>
        <w:t xml:space="preserve">of </w:t>
      </w:r>
      <w:r w:rsidR="0063135F" w:rsidRPr="00813D19">
        <w:rPr>
          <w:bCs/>
          <w:lang w:val="en-US"/>
        </w:rPr>
        <w:t>new technologies</w:t>
      </w:r>
      <w:r w:rsidR="004476E4" w:rsidRPr="00813D19">
        <w:rPr>
          <w:bCs/>
          <w:lang w:val="en-US"/>
        </w:rPr>
        <w:t>,</w:t>
      </w:r>
      <w:r w:rsidR="0063135F" w:rsidRPr="00813D19">
        <w:rPr>
          <w:bCs/>
          <w:lang w:val="en-US"/>
        </w:rPr>
        <w:t xml:space="preserve"> to help </w:t>
      </w:r>
      <w:r w:rsidR="004476E4" w:rsidRPr="00813D19">
        <w:rPr>
          <w:bCs/>
          <w:lang w:val="en-US"/>
        </w:rPr>
        <w:t xml:space="preserve">the communities </w:t>
      </w:r>
      <w:r w:rsidR="00EC24AC" w:rsidRPr="00813D19">
        <w:rPr>
          <w:bCs/>
          <w:lang w:val="en-US"/>
        </w:rPr>
        <w:t xml:space="preserve">provide </w:t>
      </w:r>
      <w:r w:rsidR="0063135F" w:rsidRPr="00813D19">
        <w:rPr>
          <w:bCs/>
          <w:lang w:val="en-US"/>
        </w:rPr>
        <w:t xml:space="preserve">the information that bureaucrats </w:t>
      </w:r>
      <w:r w:rsidR="004476E4" w:rsidRPr="00813D19">
        <w:rPr>
          <w:bCs/>
          <w:lang w:val="en-US"/>
        </w:rPr>
        <w:t xml:space="preserve">themselves could not </w:t>
      </w:r>
      <w:r w:rsidR="0063135F" w:rsidRPr="00813D19">
        <w:rPr>
          <w:bCs/>
          <w:lang w:val="en-US"/>
        </w:rPr>
        <w:t>provide</w:t>
      </w:r>
      <w:r w:rsidR="004476E4" w:rsidRPr="00813D19">
        <w:rPr>
          <w:bCs/>
          <w:lang w:val="en-US"/>
        </w:rPr>
        <w:t>.</w:t>
      </w:r>
      <w:r w:rsidR="0063135F" w:rsidRPr="00813D19">
        <w:rPr>
          <w:bCs/>
          <w:lang w:val="en-US"/>
        </w:rPr>
        <w:t xml:space="preserve"> </w:t>
      </w:r>
      <w:r w:rsidR="004476E4" w:rsidRPr="00813D19">
        <w:rPr>
          <w:bCs/>
          <w:lang w:val="en-US"/>
        </w:rPr>
        <w:t xml:space="preserve">These </w:t>
      </w:r>
      <w:r w:rsidR="0063135F" w:rsidRPr="00813D19">
        <w:rPr>
          <w:bCs/>
          <w:lang w:val="en-US"/>
        </w:rPr>
        <w:t xml:space="preserve">communities </w:t>
      </w:r>
      <w:r w:rsidR="00EC24AC" w:rsidRPr="00813D19">
        <w:rPr>
          <w:bCs/>
          <w:lang w:val="en-US"/>
        </w:rPr>
        <w:t xml:space="preserve">do not </w:t>
      </w:r>
      <w:r w:rsidR="0063135F" w:rsidRPr="00813D19">
        <w:rPr>
          <w:bCs/>
          <w:lang w:val="en-US"/>
        </w:rPr>
        <w:t xml:space="preserve">speak English or French, </w:t>
      </w:r>
      <w:r w:rsidR="004476E4" w:rsidRPr="00813D19">
        <w:rPr>
          <w:bCs/>
          <w:lang w:val="en-US"/>
        </w:rPr>
        <w:t xml:space="preserve">and </w:t>
      </w:r>
      <w:r w:rsidR="00EC24AC" w:rsidRPr="00813D19">
        <w:rPr>
          <w:bCs/>
          <w:lang w:val="en-US"/>
        </w:rPr>
        <w:t xml:space="preserve">in this case </w:t>
      </w:r>
      <w:r w:rsidR="004476E4" w:rsidRPr="00813D19">
        <w:rPr>
          <w:bCs/>
          <w:lang w:val="en-US"/>
        </w:rPr>
        <w:t xml:space="preserve">they speak </w:t>
      </w:r>
      <w:r w:rsidR="000D4EE7" w:rsidRPr="00813D19">
        <w:rPr>
          <w:bCs/>
          <w:lang w:val="en-US"/>
        </w:rPr>
        <w:t>Guaraní</w:t>
      </w:r>
      <w:r w:rsidR="00EC24AC" w:rsidRPr="00813D19">
        <w:rPr>
          <w:bCs/>
          <w:lang w:val="en-US"/>
        </w:rPr>
        <w:t xml:space="preserve">, </w:t>
      </w:r>
      <w:r w:rsidR="0063135F" w:rsidRPr="00813D19">
        <w:rPr>
          <w:bCs/>
          <w:lang w:val="en-US"/>
        </w:rPr>
        <w:t xml:space="preserve">the official language of the people </w:t>
      </w:r>
      <w:r w:rsidR="00EC24AC" w:rsidRPr="00813D19">
        <w:rPr>
          <w:bCs/>
          <w:lang w:val="en-US"/>
        </w:rPr>
        <w:t>of C</w:t>
      </w:r>
      <w:r w:rsidR="0063135F" w:rsidRPr="00813D19">
        <w:rPr>
          <w:bCs/>
          <w:lang w:val="en-US"/>
        </w:rPr>
        <w:t xml:space="preserve">hamamé. </w:t>
      </w:r>
      <w:r w:rsidR="00D70CA6" w:rsidRPr="00813D19">
        <w:rPr>
          <w:bCs/>
          <w:lang w:val="en-US"/>
        </w:rPr>
        <w:t>It was</w:t>
      </w:r>
      <w:r w:rsidR="00EC24AC" w:rsidRPr="00813D19">
        <w:rPr>
          <w:bCs/>
          <w:lang w:val="en-US"/>
        </w:rPr>
        <w:t xml:space="preserve"> </w:t>
      </w:r>
      <w:r w:rsidR="0063135F" w:rsidRPr="00813D19">
        <w:rPr>
          <w:bCs/>
          <w:lang w:val="en-US"/>
        </w:rPr>
        <w:t>hope</w:t>
      </w:r>
      <w:r w:rsidR="00EC24AC" w:rsidRPr="00813D19">
        <w:rPr>
          <w:bCs/>
          <w:lang w:val="en-US"/>
        </w:rPr>
        <w:t>d</w:t>
      </w:r>
      <w:r w:rsidR="0063135F" w:rsidRPr="00813D19">
        <w:rPr>
          <w:bCs/>
          <w:lang w:val="en-US"/>
        </w:rPr>
        <w:t xml:space="preserve"> that the Committee </w:t>
      </w:r>
      <w:r w:rsidR="004476E4" w:rsidRPr="00813D19">
        <w:rPr>
          <w:bCs/>
          <w:lang w:val="en-US"/>
        </w:rPr>
        <w:t xml:space="preserve">would feel empowered </w:t>
      </w:r>
      <w:r w:rsidR="0063135F" w:rsidRPr="00813D19">
        <w:rPr>
          <w:bCs/>
          <w:lang w:val="en-US"/>
        </w:rPr>
        <w:t xml:space="preserve">to not necessarily </w:t>
      </w:r>
      <w:r w:rsidR="00EC24AC" w:rsidRPr="00813D19">
        <w:rPr>
          <w:bCs/>
          <w:lang w:val="en-US"/>
        </w:rPr>
        <w:t xml:space="preserve">go </w:t>
      </w:r>
      <w:r w:rsidR="004476E4" w:rsidRPr="00813D19">
        <w:rPr>
          <w:bCs/>
          <w:lang w:val="en-US"/>
        </w:rPr>
        <w:t xml:space="preserve">along </w:t>
      </w:r>
      <w:r w:rsidR="00EC24AC" w:rsidRPr="00813D19">
        <w:rPr>
          <w:bCs/>
          <w:lang w:val="en-US"/>
        </w:rPr>
        <w:t xml:space="preserve">with the majority, which </w:t>
      </w:r>
      <w:r w:rsidR="00886B27">
        <w:rPr>
          <w:bCs/>
          <w:lang w:val="en-US"/>
        </w:rPr>
        <w:t>was</w:t>
      </w:r>
      <w:r w:rsidR="00886B27" w:rsidRPr="00813D19">
        <w:rPr>
          <w:bCs/>
          <w:lang w:val="en-US"/>
        </w:rPr>
        <w:t xml:space="preserve"> </w:t>
      </w:r>
      <w:r w:rsidR="00EC24AC" w:rsidRPr="00813D19">
        <w:rPr>
          <w:bCs/>
          <w:lang w:val="en-US"/>
        </w:rPr>
        <w:t xml:space="preserve">not always </w:t>
      </w:r>
      <w:r w:rsidR="004476E4" w:rsidRPr="00813D19">
        <w:rPr>
          <w:bCs/>
          <w:lang w:val="en-US"/>
        </w:rPr>
        <w:t xml:space="preserve">in the </w:t>
      </w:r>
      <w:r w:rsidR="00DD4E22">
        <w:rPr>
          <w:bCs/>
          <w:lang w:val="en-US"/>
        </w:rPr>
        <w:t>right.</w:t>
      </w:r>
    </w:p>
    <w:p w14:paraId="0FB4CACE" w14:textId="0A0073F8" w:rsidR="00DD3215" w:rsidRPr="00813D19" w:rsidRDefault="00DD3215"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EC24AC" w:rsidRPr="00813D19">
        <w:rPr>
          <w:lang w:val="en-US"/>
        </w:rPr>
        <w:t xml:space="preserve">thanked Argentina, adding that he was </w:t>
      </w:r>
      <w:r w:rsidR="0063135F" w:rsidRPr="00813D19">
        <w:rPr>
          <w:lang w:val="en-US"/>
        </w:rPr>
        <w:t xml:space="preserve">glad </w:t>
      </w:r>
      <w:r w:rsidR="00EC24AC" w:rsidRPr="00813D19">
        <w:rPr>
          <w:lang w:val="en-US"/>
        </w:rPr>
        <w:t xml:space="preserve">to have listened to </w:t>
      </w:r>
      <w:r w:rsidR="0063135F" w:rsidRPr="00813D19">
        <w:rPr>
          <w:lang w:val="en-US"/>
        </w:rPr>
        <w:t xml:space="preserve">all the Committee Members and </w:t>
      </w:r>
      <w:r w:rsidR="00EC24AC" w:rsidRPr="00813D19">
        <w:rPr>
          <w:lang w:val="en-US"/>
        </w:rPr>
        <w:t xml:space="preserve">a few Observers. Summing up, the </w:t>
      </w:r>
      <w:r w:rsidR="003C3F3B" w:rsidRPr="00813D19">
        <w:rPr>
          <w:lang w:val="en-US"/>
        </w:rPr>
        <w:t xml:space="preserve">Chairperson noted </w:t>
      </w:r>
      <w:r w:rsidR="0063135F" w:rsidRPr="00813D19">
        <w:rPr>
          <w:lang w:val="en-US"/>
        </w:rPr>
        <w:t xml:space="preserve">a general consensus </w:t>
      </w:r>
      <w:r w:rsidR="003C3F3B" w:rsidRPr="00813D19">
        <w:rPr>
          <w:lang w:val="en-US"/>
        </w:rPr>
        <w:t xml:space="preserve">for </w:t>
      </w:r>
      <w:r w:rsidR="0063135F" w:rsidRPr="00813D19">
        <w:rPr>
          <w:lang w:val="en-US"/>
        </w:rPr>
        <w:t xml:space="preserve">dialogue during the process, before and at the time the nominations are considered by the Committee. This </w:t>
      </w:r>
      <w:r w:rsidR="003C3F3B" w:rsidRPr="00813D19">
        <w:rPr>
          <w:lang w:val="en-US"/>
        </w:rPr>
        <w:t xml:space="preserve">was </w:t>
      </w:r>
      <w:r w:rsidR="0063135F" w:rsidRPr="00813D19">
        <w:rPr>
          <w:lang w:val="en-US"/>
        </w:rPr>
        <w:t xml:space="preserve">more or less the </w:t>
      </w:r>
      <w:r w:rsidR="00590427" w:rsidRPr="00813D19">
        <w:rPr>
          <w:lang w:val="en-US"/>
        </w:rPr>
        <w:t xml:space="preserve">universal </w:t>
      </w:r>
      <w:r w:rsidR="0063135F" w:rsidRPr="00813D19">
        <w:rPr>
          <w:lang w:val="en-US"/>
        </w:rPr>
        <w:t xml:space="preserve">consensus. The issue </w:t>
      </w:r>
      <w:r w:rsidR="00590427" w:rsidRPr="00813D19">
        <w:rPr>
          <w:lang w:val="en-US"/>
        </w:rPr>
        <w:t>at hand was whether—</w:t>
      </w:r>
      <w:r w:rsidR="0063135F" w:rsidRPr="00813D19">
        <w:rPr>
          <w:lang w:val="en-US"/>
        </w:rPr>
        <w:t>while considering a particular file</w:t>
      </w:r>
      <w:r w:rsidR="00590427" w:rsidRPr="00813D19">
        <w:rPr>
          <w:lang w:val="en-US"/>
        </w:rPr>
        <w:t>—</w:t>
      </w:r>
      <w:r w:rsidR="003C3F3B" w:rsidRPr="00813D19">
        <w:rPr>
          <w:lang w:val="en-US"/>
        </w:rPr>
        <w:t xml:space="preserve">the Committee </w:t>
      </w:r>
      <w:r w:rsidR="0063135F" w:rsidRPr="00813D19">
        <w:rPr>
          <w:lang w:val="en-US"/>
        </w:rPr>
        <w:t xml:space="preserve">could reconsider </w:t>
      </w:r>
      <w:r w:rsidR="00590427" w:rsidRPr="00813D19">
        <w:rPr>
          <w:lang w:val="en-US"/>
        </w:rPr>
        <w:t xml:space="preserve">the </w:t>
      </w:r>
      <w:r w:rsidR="0063135F" w:rsidRPr="00813D19">
        <w:rPr>
          <w:lang w:val="en-US"/>
        </w:rPr>
        <w:t xml:space="preserve">file earlier than </w:t>
      </w:r>
      <w:r w:rsidR="003C3F3B" w:rsidRPr="00813D19">
        <w:rPr>
          <w:lang w:val="en-US"/>
        </w:rPr>
        <w:t xml:space="preserve">set by </w:t>
      </w:r>
      <w:r w:rsidR="0063135F" w:rsidRPr="00813D19">
        <w:rPr>
          <w:lang w:val="en-US"/>
        </w:rPr>
        <w:t xml:space="preserve">the procedure. </w:t>
      </w:r>
      <w:r w:rsidR="003C3F3B" w:rsidRPr="00813D19">
        <w:rPr>
          <w:lang w:val="en-US"/>
        </w:rPr>
        <w:t xml:space="preserve">The Committee </w:t>
      </w:r>
      <w:r w:rsidR="00590427" w:rsidRPr="00813D19">
        <w:rPr>
          <w:lang w:val="en-US"/>
        </w:rPr>
        <w:t xml:space="preserve">had </w:t>
      </w:r>
      <w:r w:rsidR="0063135F" w:rsidRPr="00813D19">
        <w:rPr>
          <w:lang w:val="en-US"/>
        </w:rPr>
        <w:t xml:space="preserve">asked </w:t>
      </w:r>
      <w:r w:rsidR="003C3F3B" w:rsidRPr="00813D19">
        <w:rPr>
          <w:lang w:val="en-US"/>
        </w:rPr>
        <w:t xml:space="preserve">the Secretariat to formulate </w:t>
      </w:r>
      <w:r w:rsidR="0063135F" w:rsidRPr="00813D19">
        <w:rPr>
          <w:lang w:val="en-US"/>
        </w:rPr>
        <w:t>some recommendations</w:t>
      </w:r>
      <w:r w:rsidR="003C3F3B" w:rsidRPr="00813D19">
        <w:rPr>
          <w:lang w:val="en-US"/>
        </w:rPr>
        <w:t xml:space="preserve">, which </w:t>
      </w:r>
      <w:r w:rsidR="00590427" w:rsidRPr="00813D19">
        <w:rPr>
          <w:lang w:val="en-US"/>
        </w:rPr>
        <w:t>had been offered</w:t>
      </w:r>
      <w:r w:rsidR="0063135F" w:rsidRPr="00813D19">
        <w:rPr>
          <w:lang w:val="en-US"/>
        </w:rPr>
        <w:t xml:space="preserve">. </w:t>
      </w:r>
      <w:r w:rsidR="00590427" w:rsidRPr="00813D19">
        <w:rPr>
          <w:lang w:val="en-US"/>
        </w:rPr>
        <w:t xml:space="preserve">At </w:t>
      </w:r>
      <w:r w:rsidR="0063135F" w:rsidRPr="00813D19">
        <w:rPr>
          <w:lang w:val="en-US"/>
        </w:rPr>
        <w:t>the level of the Committee</w:t>
      </w:r>
      <w:r w:rsidR="003C3F3B" w:rsidRPr="00813D19">
        <w:rPr>
          <w:lang w:val="en-US"/>
        </w:rPr>
        <w:t>,</w:t>
      </w:r>
      <w:r w:rsidR="0063135F" w:rsidRPr="00813D19">
        <w:rPr>
          <w:lang w:val="en-US"/>
        </w:rPr>
        <w:t xml:space="preserve"> most Committee Members </w:t>
      </w:r>
      <w:r w:rsidR="00590427" w:rsidRPr="00813D19">
        <w:rPr>
          <w:lang w:val="en-US"/>
        </w:rPr>
        <w:t xml:space="preserve">wished </w:t>
      </w:r>
      <w:r w:rsidR="003C3F3B" w:rsidRPr="00813D19">
        <w:rPr>
          <w:lang w:val="en-US"/>
        </w:rPr>
        <w:t xml:space="preserve">to </w:t>
      </w:r>
      <w:r w:rsidR="0063135F" w:rsidRPr="00813D19">
        <w:rPr>
          <w:lang w:val="en-US"/>
        </w:rPr>
        <w:t xml:space="preserve">go in </w:t>
      </w:r>
      <w:r w:rsidR="003C3F3B" w:rsidRPr="00813D19">
        <w:rPr>
          <w:lang w:val="en-US"/>
        </w:rPr>
        <w:t xml:space="preserve">the direction </w:t>
      </w:r>
      <w:r w:rsidR="0063135F" w:rsidRPr="00813D19">
        <w:rPr>
          <w:lang w:val="en-US"/>
        </w:rPr>
        <w:t>proposed by the Secretariat</w:t>
      </w:r>
      <w:r w:rsidR="003C3F3B" w:rsidRPr="00813D19">
        <w:rPr>
          <w:lang w:val="en-US"/>
        </w:rPr>
        <w:t>,</w:t>
      </w:r>
      <w:r w:rsidR="0063135F" w:rsidRPr="00813D19">
        <w:rPr>
          <w:lang w:val="en-US"/>
        </w:rPr>
        <w:t xml:space="preserve"> </w:t>
      </w:r>
      <w:r w:rsidR="003C3F3B" w:rsidRPr="00813D19">
        <w:rPr>
          <w:lang w:val="en-US"/>
        </w:rPr>
        <w:t>but a few Members</w:t>
      </w:r>
      <w:r w:rsidR="00886B27">
        <w:rPr>
          <w:lang w:val="en-US"/>
        </w:rPr>
        <w:t>—</w:t>
      </w:r>
      <w:r w:rsidR="0063135F" w:rsidRPr="00813D19">
        <w:rPr>
          <w:lang w:val="en-US"/>
        </w:rPr>
        <w:t>China, Japan, Djibouti and Austria</w:t>
      </w:r>
      <w:r w:rsidR="00886B27">
        <w:rPr>
          <w:lang w:val="en-US"/>
        </w:rPr>
        <w:t>—a</w:t>
      </w:r>
      <w:r w:rsidR="0063135F" w:rsidRPr="00813D19">
        <w:rPr>
          <w:lang w:val="en-US"/>
        </w:rPr>
        <w:t xml:space="preserve">questioned the legality of </w:t>
      </w:r>
      <w:r w:rsidR="00590427" w:rsidRPr="00813D19">
        <w:rPr>
          <w:lang w:val="en-US"/>
        </w:rPr>
        <w:t>the proposal</w:t>
      </w:r>
      <w:r w:rsidR="0063135F" w:rsidRPr="00813D19">
        <w:rPr>
          <w:lang w:val="en-US"/>
        </w:rPr>
        <w:t xml:space="preserve"> and </w:t>
      </w:r>
      <w:r w:rsidR="00590427" w:rsidRPr="00813D19">
        <w:rPr>
          <w:lang w:val="en-US"/>
        </w:rPr>
        <w:t xml:space="preserve">sought </w:t>
      </w:r>
      <w:r w:rsidR="003C3F3B" w:rsidRPr="00813D19">
        <w:rPr>
          <w:lang w:val="en-US"/>
        </w:rPr>
        <w:t>reassurance</w:t>
      </w:r>
      <w:r w:rsidR="0063135F" w:rsidRPr="00813D19">
        <w:rPr>
          <w:lang w:val="en-US"/>
        </w:rPr>
        <w:t xml:space="preserve">. Austria </w:t>
      </w:r>
      <w:r w:rsidR="00886B27">
        <w:rPr>
          <w:lang w:val="en-US"/>
        </w:rPr>
        <w:t>had gone</w:t>
      </w:r>
      <w:r w:rsidR="0063135F" w:rsidRPr="00813D19">
        <w:rPr>
          <w:lang w:val="en-US"/>
        </w:rPr>
        <w:t xml:space="preserve"> a bit further and stated that the recourse </w:t>
      </w:r>
      <w:r w:rsidR="003C3F3B" w:rsidRPr="00813D19">
        <w:rPr>
          <w:lang w:val="en-US"/>
        </w:rPr>
        <w:t xml:space="preserve">could be </w:t>
      </w:r>
      <w:r w:rsidR="0063135F" w:rsidRPr="00813D19">
        <w:rPr>
          <w:lang w:val="en-US"/>
        </w:rPr>
        <w:t>an extraordinary meeting of the General Assembly to consider this issue</w:t>
      </w:r>
      <w:r w:rsidR="003C3F3B" w:rsidRPr="00813D19">
        <w:rPr>
          <w:lang w:val="en-US"/>
        </w:rPr>
        <w:t>. V</w:t>
      </w:r>
      <w:r w:rsidR="0063135F" w:rsidRPr="00813D19">
        <w:rPr>
          <w:lang w:val="en-US"/>
        </w:rPr>
        <w:t xml:space="preserve">arious Observers </w:t>
      </w:r>
      <w:r w:rsidR="00886B27">
        <w:rPr>
          <w:lang w:val="en-US"/>
        </w:rPr>
        <w:t xml:space="preserve">had </w:t>
      </w:r>
      <w:r w:rsidR="003C3F3B" w:rsidRPr="00813D19">
        <w:rPr>
          <w:lang w:val="en-US"/>
        </w:rPr>
        <w:t xml:space="preserve">also </w:t>
      </w:r>
      <w:r w:rsidR="0063135F" w:rsidRPr="00813D19">
        <w:rPr>
          <w:lang w:val="en-US"/>
        </w:rPr>
        <w:t xml:space="preserve">expressed their views and what </w:t>
      </w:r>
      <w:r w:rsidR="00886B27">
        <w:rPr>
          <w:lang w:val="en-US"/>
        </w:rPr>
        <w:t xml:space="preserve">had </w:t>
      </w:r>
      <w:r w:rsidR="0063135F" w:rsidRPr="00813D19">
        <w:rPr>
          <w:lang w:val="en-US"/>
        </w:rPr>
        <w:t>eme</w:t>
      </w:r>
      <w:r w:rsidR="003C3F3B" w:rsidRPr="00813D19">
        <w:rPr>
          <w:lang w:val="en-US"/>
        </w:rPr>
        <w:t>rged</w:t>
      </w:r>
      <w:r w:rsidR="0063135F" w:rsidRPr="00813D19">
        <w:rPr>
          <w:lang w:val="en-US"/>
        </w:rPr>
        <w:t xml:space="preserve"> </w:t>
      </w:r>
      <w:r w:rsidR="003C3F3B" w:rsidRPr="00813D19">
        <w:rPr>
          <w:lang w:val="en-US"/>
        </w:rPr>
        <w:t xml:space="preserve">was the wish </w:t>
      </w:r>
      <w:r w:rsidR="0063135F" w:rsidRPr="00813D19">
        <w:rPr>
          <w:lang w:val="en-US"/>
        </w:rPr>
        <w:t>that dialogue should prevail</w:t>
      </w:r>
      <w:r w:rsidR="001C1986" w:rsidRPr="00813D19">
        <w:rPr>
          <w:lang w:val="en-US"/>
        </w:rPr>
        <w:t>,</w:t>
      </w:r>
      <w:r w:rsidR="0063135F" w:rsidRPr="00813D19">
        <w:rPr>
          <w:lang w:val="en-US"/>
        </w:rPr>
        <w:t xml:space="preserve"> </w:t>
      </w:r>
      <w:r w:rsidR="001C1986" w:rsidRPr="00813D19">
        <w:rPr>
          <w:lang w:val="en-US"/>
        </w:rPr>
        <w:t xml:space="preserve">with </w:t>
      </w:r>
      <w:r w:rsidR="0063135F" w:rsidRPr="00813D19">
        <w:rPr>
          <w:lang w:val="en-US"/>
        </w:rPr>
        <w:t xml:space="preserve">various Members </w:t>
      </w:r>
      <w:r w:rsidR="003C3F3B" w:rsidRPr="00813D19">
        <w:rPr>
          <w:lang w:val="en-US"/>
        </w:rPr>
        <w:t xml:space="preserve">now </w:t>
      </w:r>
      <w:r w:rsidR="0063135F" w:rsidRPr="00813D19">
        <w:rPr>
          <w:lang w:val="en-US"/>
        </w:rPr>
        <w:t>wish</w:t>
      </w:r>
      <w:r w:rsidR="001C1986" w:rsidRPr="00813D19">
        <w:rPr>
          <w:lang w:val="en-US"/>
        </w:rPr>
        <w:t>ing</w:t>
      </w:r>
      <w:r w:rsidR="0063135F" w:rsidRPr="00813D19">
        <w:rPr>
          <w:lang w:val="en-US"/>
        </w:rPr>
        <w:t xml:space="preserve"> to be reassured by the Legal Adviser </w:t>
      </w:r>
      <w:r w:rsidR="000E28DB" w:rsidRPr="00813D19">
        <w:rPr>
          <w:lang w:val="en-US"/>
        </w:rPr>
        <w:t xml:space="preserve">as to </w:t>
      </w:r>
      <w:r w:rsidR="0063135F" w:rsidRPr="00813D19">
        <w:rPr>
          <w:lang w:val="en-US"/>
        </w:rPr>
        <w:t xml:space="preserve">whether the Committee </w:t>
      </w:r>
      <w:r w:rsidR="000E28DB" w:rsidRPr="00813D19">
        <w:rPr>
          <w:lang w:val="en-US"/>
        </w:rPr>
        <w:t xml:space="preserve">had </w:t>
      </w:r>
      <w:r w:rsidR="003C3F3B" w:rsidRPr="00813D19">
        <w:rPr>
          <w:lang w:val="en-US"/>
        </w:rPr>
        <w:t xml:space="preserve">the </w:t>
      </w:r>
      <w:r w:rsidR="0063135F" w:rsidRPr="00813D19">
        <w:rPr>
          <w:lang w:val="en-US"/>
        </w:rPr>
        <w:t xml:space="preserve">mandate to act </w:t>
      </w:r>
      <w:r w:rsidR="003C3F3B" w:rsidRPr="00813D19">
        <w:rPr>
          <w:lang w:val="en-US"/>
        </w:rPr>
        <w:t>in the way it wished. T</w:t>
      </w:r>
      <w:r w:rsidR="0063135F" w:rsidRPr="00813D19">
        <w:rPr>
          <w:lang w:val="en-US"/>
        </w:rPr>
        <w:t xml:space="preserve">here were also a few Members who raised the issue </w:t>
      </w:r>
      <w:r w:rsidR="003C3F3B" w:rsidRPr="00813D19">
        <w:rPr>
          <w:lang w:val="en-US"/>
        </w:rPr>
        <w:t xml:space="preserve">as to </w:t>
      </w:r>
      <w:r w:rsidR="0063135F" w:rsidRPr="00813D19">
        <w:rPr>
          <w:lang w:val="en-US"/>
        </w:rPr>
        <w:t xml:space="preserve">whether there </w:t>
      </w:r>
      <w:r w:rsidR="003C3F3B" w:rsidRPr="00813D19">
        <w:rPr>
          <w:lang w:val="en-US"/>
        </w:rPr>
        <w:t xml:space="preserve">was </w:t>
      </w:r>
      <w:r w:rsidR="000E28DB" w:rsidRPr="00813D19">
        <w:rPr>
          <w:lang w:val="en-US"/>
        </w:rPr>
        <w:t>an</w:t>
      </w:r>
      <w:r w:rsidR="0063135F" w:rsidRPr="00813D19">
        <w:rPr>
          <w:lang w:val="en-US"/>
        </w:rPr>
        <w:t xml:space="preserve"> urgency</w:t>
      </w:r>
      <w:r w:rsidR="003C3F3B" w:rsidRPr="00813D19">
        <w:rPr>
          <w:lang w:val="en-US"/>
        </w:rPr>
        <w:t>,</w:t>
      </w:r>
      <w:r w:rsidR="0063135F" w:rsidRPr="00813D19">
        <w:rPr>
          <w:lang w:val="en-US"/>
        </w:rPr>
        <w:t xml:space="preserve"> which could</w:t>
      </w:r>
      <w:r w:rsidR="000E28DB" w:rsidRPr="00813D19">
        <w:rPr>
          <w:lang w:val="en-US"/>
        </w:rPr>
        <w:t xml:space="preserve">, </w:t>
      </w:r>
      <w:r w:rsidR="003C3F3B" w:rsidRPr="00813D19">
        <w:rPr>
          <w:lang w:val="en-US"/>
        </w:rPr>
        <w:t>according</w:t>
      </w:r>
      <w:r w:rsidR="000E28DB" w:rsidRPr="00813D19">
        <w:rPr>
          <w:lang w:val="en-US"/>
        </w:rPr>
        <w:t xml:space="preserve">ly, </w:t>
      </w:r>
      <w:r w:rsidR="003C3F3B" w:rsidRPr="00813D19">
        <w:rPr>
          <w:lang w:val="en-US"/>
        </w:rPr>
        <w:t xml:space="preserve">serve as </w:t>
      </w:r>
      <w:r w:rsidR="000E28DB" w:rsidRPr="00813D19">
        <w:rPr>
          <w:lang w:val="en-US"/>
        </w:rPr>
        <w:t xml:space="preserve">a </w:t>
      </w:r>
      <w:r w:rsidR="0063135F" w:rsidRPr="00813D19">
        <w:rPr>
          <w:lang w:val="en-US"/>
        </w:rPr>
        <w:t xml:space="preserve">justification </w:t>
      </w:r>
      <w:r w:rsidR="003C3F3B" w:rsidRPr="00813D19">
        <w:rPr>
          <w:lang w:val="en-US"/>
        </w:rPr>
        <w:t xml:space="preserve">for </w:t>
      </w:r>
      <w:r w:rsidR="0063135F" w:rsidRPr="00813D19">
        <w:rPr>
          <w:lang w:val="en-US"/>
        </w:rPr>
        <w:t xml:space="preserve">an exceptional </w:t>
      </w:r>
      <w:r w:rsidR="003C3F3B" w:rsidRPr="00813D19">
        <w:rPr>
          <w:lang w:val="en-US"/>
        </w:rPr>
        <w:t>decision</w:t>
      </w:r>
      <w:r w:rsidR="0063135F" w:rsidRPr="00813D19">
        <w:rPr>
          <w:lang w:val="en-US"/>
        </w:rPr>
        <w:t xml:space="preserve"> to provide a dialogue mechanism</w:t>
      </w:r>
      <w:r w:rsidR="000E28DB" w:rsidRPr="00813D19">
        <w:rPr>
          <w:lang w:val="en-US"/>
        </w:rPr>
        <w:t xml:space="preserve"> prior to a General Assembly</w:t>
      </w:r>
      <w:r w:rsidR="0063135F" w:rsidRPr="00813D19">
        <w:rPr>
          <w:lang w:val="en-US"/>
        </w:rPr>
        <w:t xml:space="preserve">. </w:t>
      </w:r>
      <w:r w:rsidR="003C3F3B" w:rsidRPr="00813D19">
        <w:rPr>
          <w:lang w:val="en-US"/>
        </w:rPr>
        <w:t xml:space="preserve">The Chairperson </w:t>
      </w:r>
      <w:r w:rsidR="000E28DB" w:rsidRPr="00813D19">
        <w:rPr>
          <w:lang w:val="en-US"/>
        </w:rPr>
        <w:t xml:space="preserve">first </w:t>
      </w:r>
      <w:r w:rsidR="003C3F3B" w:rsidRPr="00813D19">
        <w:rPr>
          <w:lang w:val="en-US"/>
        </w:rPr>
        <w:t xml:space="preserve">gave the floor to China, after which the Committee would hear </w:t>
      </w:r>
      <w:r w:rsidR="00DD4E22">
        <w:rPr>
          <w:lang w:val="en-US"/>
        </w:rPr>
        <w:t>from the Legal Adviser.</w:t>
      </w:r>
    </w:p>
    <w:p w14:paraId="3D86CCEF" w14:textId="4E6D9A61" w:rsidR="00DD3215" w:rsidRPr="00813D19" w:rsidRDefault="00DD3215"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1C5BD2" w:rsidRPr="00813D19">
        <w:rPr>
          <w:b/>
          <w:color w:val="000000" w:themeColor="text1"/>
          <w:lang w:val="en-US"/>
        </w:rPr>
        <w:t xml:space="preserve">China </w:t>
      </w:r>
      <w:r w:rsidR="00A71A2A" w:rsidRPr="00813D19">
        <w:rPr>
          <w:lang w:val="en-US"/>
        </w:rPr>
        <w:t xml:space="preserve">thanked the </w:t>
      </w:r>
      <w:r w:rsidR="0063135F" w:rsidRPr="00813D19">
        <w:rPr>
          <w:lang w:val="en-US"/>
        </w:rPr>
        <w:t xml:space="preserve">Chairperson for </w:t>
      </w:r>
      <w:r w:rsidR="00A71A2A" w:rsidRPr="00813D19">
        <w:rPr>
          <w:lang w:val="en-US"/>
        </w:rPr>
        <w:t xml:space="preserve">his </w:t>
      </w:r>
      <w:r w:rsidR="0063135F" w:rsidRPr="00813D19">
        <w:rPr>
          <w:lang w:val="en-US"/>
        </w:rPr>
        <w:t xml:space="preserve">summary </w:t>
      </w:r>
      <w:r w:rsidR="00A71A2A" w:rsidRPr="00813D19">
        <w:rPr>
          <w:lang w:val="en-US"/>
        </w:rPr>
        <w:t>of the debates, adding that it wished to clarify its position</w:t>
      </w:r>
      <w:r w:rsidR="0063135F" w:rsidRPr="00813D19">
        <w:rPr>
          <w:lang w:val="en-US"/>
        </w:rPr>
        <w:t xml:space="preserve">. China </w:t>
      </w:r>
      <w:r w:rsidR="008A7CFC" w:rsidRPr="00813D19">
        <w:rPr>
          <w:lang w:val="en-US"/>
        </w:rPr>
        <w:t xml:space="preserve">felt </w:t>
      </w:r>
      <w:r w:rsidR="0063135F" w:rsidRPr="00813D19">
        <w:rPr>
          <w:lang w:val="en-US"/>
        </w:rPr>
        <w:t xml:space="preserve">a strong need for the dialogue mechanism and </w:t>
      </w:r>
      <w:r w:rsidR="008A7CFC" w:rsidRPr="00813D19">
        <w:rPr>
          <w:lang w:val="en-US"/>
        </w:rPr>
        <w:t xml:space="preserve">it </w:t>
      </w:r>
      <w:r w:rsidR="0063135F" w:rsidRPr="00813D19">
        <w:rPr>
          <w:lang w:val="en-US"/>
        </w:rPr>
        <w:t xml:space="preserve">very much </w:t>
      </w:r>
      <w:r w:rsidR="008A7CFC" w:rsidRPr="00813D19">
        <w:rPr>
          <w:lang w:val="en-US"/>
        </w:rPr>
        <w:t xml:space="preserve">appreciated </w:t>
      </w:r>
      <w:r w:rsidR="0063135F" w:rsidRPr="00813D19">
        <w:rPr>
          <w:lang w:val="en-US"/>
        </w:rPr>
        <w:t>the Secretariat</w:t>
      </w:r>
      <w:r w:rsidR="008A7CFC" w:rsidRPr="00813D19">
        <w:rPr>
          <w:lang w:val="en-US"/>
        </w:rPr>
        <w:t>’s</w:t>
      </w:r>
      <w:r w:rsidR="0063135F" w:rsidRPr="00813D19">
        <w:rPr>
          <w:lang w:val="en-US"/>
        </w:rPr>
        <w:t xml:space="preserve"> creative approach</w:t>
      </w:r>
      <w:r w:rsidR="008A7CFC" w:rsidRPr="00813D19">
        <w:rPr>
          <w:lang w:val="en-US"/>
        </w:rPr>
        <w:t xml:space="preserve">. It had </w:t>
      </w:r>
      <w:r w:rsidR="0063135F" w:rsidRPr="00813D19">
        <w:rPr>
          <w:lang w:val="en-US"/>
        </w:rPr>
        <w:t xml:space="preserve">no objection to the idea of setting up a dialogue mechanism and </w:t>
      </w:r>
      <w:r w:rsidR="008A7CFC" w:rsidRPr="00813D19">
        <w:rPr>
          <w:lang w:val="en-US"/>
        </w:rPr>
        <w:t xml:space="preserve">it </w:t>
      </w:r>
      <w:r w:rsidR="0063135F" w:rsidRPr="00813D19">
        <w:rPr>
          <w:lang w:val="en-US"/>
        </w:rPr>
        <w:t>also agree</w:t>
      </w:r>
      <w:r w:rsidR="008A7CFC" w:rsidRPr="00813D19">
        <w:rPr>
          <w:lang w:val="en-US"/>
        </w:rPr>
        <w:t>d to include</w:t>
      </w:r>
      <w:r w:rsidR="0063135F" w:rsidRPr="00813D19">
        <w:rPr>
          <w:lang w:val="en-US"/>
        </w:rPr>
        <w:t xml:space="preserve"> upstream dialogue in the evaluation process. Regarding the legitimacy issue</w:t>
      </w:r>
      <w:r w:rsidR="008A7CFC" w:rsidRPr="00813D19">
        <w:rPr>
          <w:lang w:val="en-US"/>
        </w:rPr>
        <w:t xml:space="preserve">, the delegation sought </w:t>
      </w:r>
      <w:r w:rsidR="0063135F" w:rsidRPr="00813D19">
        <w:rPr>
          <w:lang w:val="en-US"/>
        </w:rPr>
        <w:t xml:space="preserve">the contribution of the Legal Adviser to lead </w:t>
      </w:r>
      <w:r w:rsidR="008A7CFC" w:rsidRPr="00813D19">
        <w:rPr>
          <w:lang w:val="en-US"/>
        </w:rPr>
        <w:t xml:space="preserve">the Committee </w:t>
      </w:r>
      <w:r w:rsidR="0063135F" w:rsidRPr="00813D19">
        <w:rPr>
          <w:lang w:val="en-US"/>
        </w:rPr>
        <w:t xml:space="preserve">out of the ambiguity. </w:t>
      </w:r>
      <w:r w:rsidR="008A7CFC" w:rsidRPr="00813D19">
        <w:rPr>
          <w:lang w:val="en-US"/>
        </w:rPr>
        <w:t xml:space="preserve">If </w:t>
      </w:r>
      <w:r w:rsidR="0063135F" w:rsidRPr="00813D19">
        <w:rPr>
          <w:lang w:val="en-US"/>
        </w:rPr>
        <w:t xml:space="preserve">the Committee </w:t>
      </w:r>
      <w:r w:rsidR="00886B27" w:rsidRPr="00813D19">
        <w:rPr>
          <w:lang w:val="en-US"/>
        </w:rPr>
        <w:t>w</w:t>
      </w:r>
      <w:r w:rsidR="00886B27">
        <w:rPr>
          <w:lang w:val="en-US"/>
        </w:rPr>
        <w:t>ere</w:t>
      </w:r>
      <w:r w:rsidR="00886B27" w:rsidRPr="00813D19">
        <w:rPr>
          <w:lang w:val="en-US"/>
        </w:rPr>
        <w:t xml:space="preserve"> </w:t>
      </w:r>
      <w:r w:rsidR="0063135F" w:rsidRPr="00813D19">
        <w:rPr>
          <w:lang w:val="en-US"/>
        </w:rPr>
        <w:t>completely assured of the right to adopt this proposal</w:t>
      </w:r>
      <w:r w:rsidR="008A7CFC" w:rsidRPr="00813D19">
        <w:rPr>
          <w:lang w:val="en-US"/>
        </w:rPr>
        <w:t xml:space="preserve">, </w:t>
      </w:r>
      <w:r w:rsidR="0063135F" w:rsidRPr="00813D19">
        <w:rPr>
          <w:lang w:val="en-US"/>
        </w:rPr>
        <w:t xml:space="preserve">then </w:t>
      </w:r>
      <w:r w:rsidR="008A7CFC" w:rsidRPr="00813D19">
        <w:rPr>
          <w:lang w:val="en-US"/>
        </w:rPr>
        <w:t xml:space="preserve">the delegation would be </w:t>
      </w:r>
      <w:r w:rsidR="0063135F" w:rsidRPr="00813D19">
        <w:rPr>
          <w:lang w:val="en-US"/>
        </w:rPr>
        <w:t xml:space="preserve">happy to go </w:t>
      </w:r>
      <w:r w:rsidR="008A7CFC" w:rsidRPr="00813D19">
        <w:rPr>
          <w:lang w:val="en-US"/>
        </w:rPr>
        <w:t>along</w:t>
      </w:r>
      <w:r w:rsidR="0063135F" w:rsidRPr="00813D19">
        <w:rPr>
          <w:lang w:val="en-US"/>
        </w:rPr>
        <w:t xml:space="preserve">. </w:t>
      </w:r>
      <w:r w:rsidR="008A7CFC" w:rsidRPr="00813D19">
        <w:rPr>
          <w:lang w:val="en-US"/>
        </w:rPr>
        <w:t>Moreover, it did not see two proposals,</w:t>
      </w:r>
      <w:r w:rsidR="0063135F" w:rsidRPr="00813D19">
        <w:rPr>
          <w:lang w:val="en-US"/>
        </w:rPr>
        <w:t xml:space="preserve"> only t</w:t>
      </w:r>
      <w:r w:rsidR="00DD4E22">
        <w:rPr>
          <w:lang w:val="en-US"/>
        </w:rPr>
        <w:t>he proposal by the Secretariat.</w:t>
      </w:r>
    </w:p>
    <w:p w14:paraId="5E360F73" w14:textId="3550DCF1" w:rsidR="001C5BD2" w:rsidRPr="00813D19" w:rsidRDefault="002A5490" w:rsidP="00C068AA">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2078B3" w:rsidRPr="00813D19">
        <w:rPr>
          <w:b/>
          <w:color w:val="000000" w:themeColor="text1"/>
          <w:lang w:val="en-US"/>
        </w:rPr>
        <w:t xml:space="preserve"> </w:t>
      </w:r>
      <w:r w:rsidR="00EA435D" w:rsidRPr="00813D19">
        <w:rPr>
          <w:color w:val="000000" w:themeColor="text1"/>
          <w:lang w:val="en-US"/>
        </w:rPr>
        <w:t>asked</w:t>
      </w:r>
      <w:r w:rsidR="00EA435D" w:rsidRPr="00813D19">
        <w:rPr>
          <w:b/>
          <w:color w:val="000000" w:themeColor="text1"/>
          <w:lang w:val="en-US"/>
        </w:rPr>
        <w:t xml:space="preserve"> </w:t>
      </w:r>
      <w:r w:rsidR="00EA435D" w:rsidRPr="00813D19">
        <w:rPr>
          <w:lang w:val="en-US"/>
        </w:rPr>
        <w:t>the Legal Adviser</w:t>
      </w:r>
      <w:r w:rsidR="008A7CFC" w:rsidRPr="00813D19">
        <w:rPr>
          <w:lang w:val="en-US"/>
        </w:rPr>
        <w:t xml:space="preserve"> </w:t>
      </w:r>
      <w:r w:rsidR="00EA435D" w:rsidRPr="00813D19">
        <w:rPr>
          <w:lang w:val="en-US"/>
        </w:rPr>
        <w:t>to differentiate</w:t>
      </w:r>
      <w:r w:rsidR="008A7CFC" w:rsidRPr="00813D19">
        <w:rPr>
          <w:lang w:val="en-US"/>
        </w:rPr>
        <w:t xml:space="preserve"> </w:t>
      </w:r>
      <w:r w:rsidR="002078B3" w:rsidRPr="00813D19">
        <w:rPr>
          <w:lang w:val="en-US"/>
        </w:rPr>
        <w:t>between legitimate and legal</w:t>
      </w:r>
      <w:r w:rsidR="008A7CFC" w:rsidRPr="00813D19">
        <w:rPr>
          <w:lang w:val="en-US"/>
        </w:rPr>
        <w:t xml:space="preserve">, adding that </w:t>
      </w:r>
      <w:r w:rsidR="002078B3" w:rsidRPr="00813D19">
        <w:rPr>
          <w:lang w:val="en-US"/>
        </w:rPr>
        <w:t xml:space="preserve">such a decision </w:t>
      </w:r>
      <w:r w:rsidR="0026249F" w:rsidRPr="00813D19">
        <w:rPr>
          <w:lang w:val="en-US"/>
        </w:rPr>
        <w:t xml:space="preserve">could </w:t>
      </w:r>
      <w:r w:rsidR="002078B3" w:rsidRPr="00813D19">
        <w:rPr>
          <w:lang w:val="en-US"/>
        </w:rPr>
        <w:t xml:space="preserve">be legitimate </w:t>
      </w:r>
      <w:r w:rsidR="0026249F" w:rsidRPr="00813D19">
        <w:rPr>
          <w:lang w:val="en-US"/>
        </w:rPr>
        <w:t xml:space="preserve">even though </w:t>
      </w:r>
      <w:r w:rsidR="008A7CFC" w:rsidRPr="00813D19">
        <w:rPr>
          <w:lang w:val="en-US"/>
        </w:rPr>
        <w:t xml:space="preserve">not necessarily </w:t>
      </w:r>
      <w:r w:rsidR="00DD4E22">
        <w:rPr>
          <w:lang w:val="en-US"/>
        </w:rPr>
        <w:t>legal.</w:t>
      </w:r>
    </w:p>
    <w:p w14:paraId="3486CEB4" w14:textId="6963DDEA" w:rsidR="00DA1289" w:rsidRPr="00813D19" w:rsidRDefault="009F5F18" w:rsidP="00C068AA">
      <w:pPr>
        <w:pStyle w:val="Orateurengris"/>
        <w:spacing w:before="120"/>
        <w:ind w:left="709" w:hanging="709"/>
        <w:rPr>
          <w:color w:val="000000" w:themeColor="text1"/>
          <w:lang w:val="en-US"/>
        </w:rPr>
      </w:pPr>
      <w:r w:rsidRPr="00813D19">
        <w:rPr>
          <w:color w:val="000000" w:themeColor="text1"/>
          <w:lang w:val="en-US"/>
        </w:rPr>
        <w:t xml:space="preserve">The </w:t>
      </w:r>
      <w:r w:rsidR="000E7C41" w:rsidRPr="00813D19">
        <w:rPr>
          <w:b/>
          <w:color w:val="000000" w:themeColor="text1"/>
          <w:lang w:val="en-US"/>
        </w:rPr>
        <w:t>Legal Advise</w:t>
      </w:r>
      <w:r w:rsidRPr="00813D19">
        <w:rPr>
          <w:b/>
          <w:color w:val="000000" w:themeColor="text1"/>
          <w:lang w:val="en-US"/>
        </w:rPr>
        <w:t>r</w:t>
      </w:r>
      <w:r w:rsidRPr="00813D19">
        <w:rPr>
          <w:color w:val="000000" w:themeColor="text1"/>
          <w:lang w:val="en-US"/>
        </w:rPr>
        <w:t xml:space="preserve"> </w:t>
      </w:r>
      <w:r w:rsidR="00EC27C5" w:rsidRPr="00813D19">
        <w:rPr>
          <w:color w:val="000000" w:themeColor="text1"/>
          <w:lang w:val="en-US"/>
        </w:rPr>
        <w:t xml:space="preserve">thanked </w:t>
      </w:r>
      <w:r w:rsidR="00EC27C5" w:rsidRPr="00813D19">
        <w:rPr>
          <w:lang w:val="en-US"/>
        </w:rPr>
        <w:t xml:space="preserve">the </w:t>
      </w:r>
      <w:r w:rsidR="002078B3" w:rsidRPr="00813D19">
        <w:rPr>
          <w:lang w:val="en-US"/>
        </w:rPr>
        <w:t xml:space="preserve">Chairperson for summarizing all the points </w:t>
      </w:r>
      <w:r w:rsidR="00EC27C5" w:rsidRPr="00813D19">
        <w:rPr>
          <w:lang w:val="en-US"/>
        </w:rPr>
        <w:t>raised, adding that he would try to respond to the question of l</w:t>
      </w:r>
      <w:r w:rsidR="002078B3" w:rsidRPr="00813D19">
        <w:rPr>
          <w:lang w:val="en-US"/>
        </w:rPr>
        <w:t>ega</w:t>
      </w:r>
      <w:r w:rsidR="00DA1289" w:rsidRPr="00813D19">
        <w:rPr>
          <w:lang w:val="en-US"/>
        </w:rPr>
        <w:t xml:space="preserve">lity versus </w:t>
      </w:r>
      <w:r w:rsidR="002078B3" w:rsidRPr="00813D19">
        <w:rPr>
          <w:lang w:val="en-US"/>
        </w:rPr>
        <w:t xml:space="preserve">legitimacy, </w:t>
      </w:r>
      <w:r w:rsidR="00EC27C5" w:rsidRPr="00813D19">
        <w:rPr>
          <w:lang w:val="en-US"/>
        </w:rPr>
        <w:t xml:space="preserve">and whether </w:t>
      </w:r>
      <w:r w:rsidR="002078B3" w:rsidRPr="00813D19">
        <w:rPr>
          <w:lang w:val="en-US"/>
        </w:rPr>
        <w:t xml:space="preserve">the Committee </w:t>
      </w:r>
      <w:r w:rsidR="00EC27C5" w:rsidRPr="00813D19">
        <w:rPr>
          <w:lang w:val="en-US"/>
        </w:rPr>
        <w:t xml:space="preserve">had </w:t>
      </w:r>
      <w:r w:rsidR="002078B3" w:rsidRPr="00813D19">
        <w:rPr>
          <w:lang w:val="en-US"/>
        </w:rPr>
        <w:t xml:space="preserve">the mandate to take this </w:t>
      </w:r>
      <w:r w:rsidR="00EC27C5" w:rsidRPr="00813D19">
        <w:rPr>
          <w:lang w:val="en-US"/>
        </w:rPr>
        <w:t>course of action and engage in this experimental procedure.</w:t>
      </w:r>
      <w:r w:rsidR="002078B3" w:rsidRPr="00813D19">
        <w:rPr>
          <w:lang w:val="en-US"/>
        </w:rPr>
        <w:t xml:space="preserve"> </w:t>
      </w:r>
      <w:r w:rsidR="00EC27C5" w:rsidRPr="00813D19">
        <w:rPr>
          <w:lang w:val="en-US"/>
        </w:rPr>
        <w:t xml:space="preserve">The Legal Adviser began with </w:t>
      </w:r>
      <w:r w:rsidR="002078B3" w:rsidRPr="00813D19">
        <w:rPr>
          <w:lang w:val="en-US"/>
        </w:rPr>
        <w:t xml:space="preserve">some </w:t>
      </w:r>
      <w:r w:rsidR="00EC27C5" w:rsidRPr="00813D19">
        <w:rPr>
          <w:lang w:val="en-US"/>
        </w:rPr>
        <w:t xml:space="preserve">important </w:t>
      </w:r>
      <w:r w:rsidR="002078B3" w:rsidRPr="00813D19">
        <w:rPr>
          <w:lang w:val="en-US"/>
        </w:rPr>
        <w:t xml:space="preserve">overarching comments. </w:t>
      </w:r>
      <w:r w:rsidR="00DA1289" w:rsidRPr="00813D19">
        <w:rPr>
          <w:lang w:val="en-US"/>
        </w:rPr>
        <w:t xml:space="preserve">The </w:t>
      </w:r>
      <w:r w:rsidR="002078B3" w:rsidRPr="00813D19">
        <w:rPr>
          <w:lang w:val="en-US"/>
        </w:rPr>
        <w:t xml:space="preserve">procedure </w:t>
      </w:r>
      <w:r w:rsidR="00DA1289" w:rsidRPr="00813D19">
        <w:rPr>
          <w:lang w:val="en-US"/>
        </w:rPr>
        <w:t xml:space="preserve">was </w:t>
      </w:r>
      <w:r w:rsidR="002078B3" w:rsidRPr="00813D19">
        <w:rPr>
          <w:lang w:val="en-US"/>
        </w:rPr>
        <w:t>not compliant with the Operational Directives or a least not fully</w:t>
      </w:r>
      <w:r w:rsidR="00DA1289" w:rsidRPr="00813D19">
        <w:rPr>
          <w:lang w:val="en-US"/>
        </w:rPr>
        <w:t>,</w:t>
      </w:r>
      <w:r w:rsidR="002078B3" w:rsidRPr="00813D19">
        <w:rPr>
          <w:lang w:val="en-US"/>
        </w:rPr>
        <w:t xml:space="preserve"> and it would require a deviation from the Operational Directives for which the Committee </w:t>
      </w:r>
      <w:r w:rsidR="00DA1289" w:rsidRPr="00813D19">
        <w:rPr>
          <w:lang w:val="en-US"/>
        </w:rPr>
        <w:t xml:space="preserve">did </w:t>
      </w:r>
      <w:r w:rsidR="002078B3" w:rsidRPr="00813D19">
        <w:rPr>
          <w:lang w:val="en-US"/>
        </w:rPr>
        <w:t xml:space="preserve">not have the authority. </w:t>
      </w:r>
      <w:r w:rsidR="00DA1289" w:rsidRPr="00813D19">
        <w:rPr>
          <w:lang w:val="en-US"/>
        </w:rPr>
        <w:t xml:space="preserve">His </w:t>
      </w:r>
      <w:r w:rsidR="002078B3" w:rsidRPr="00813D19">
        <w:rPr>
          <w:lang w:val="en-US"/>
        </w:rPr>
        <w:t xml:space="preserve">advice in this regard </w:t>
      </w:r>
      <w:r w:rsidR="00DA1289" w:rsidRPr="00813D19">
        <w:rPr>
          <w:lang w:val="en-US"/>
        </w:rPr>
        <w:t xml:space="preserve">was </w:t>
      </w:r>
      <w:r w:rsidR="002078B3" w:rsidRPr="00813D19">
        <w:rPr>
          <w:lang w:val="en-US"/>
        </w:rPr>
        <w:t xml:space="preserve">really no different </w:t>
      </w:r>
      <w:r w:rsidR="00886B27">
        <w:rPr>
          <w:lang w:val="en-US"/>
        </w:rPr>
        <w:t>from</w:t>
      </w:r>
      <w:r w:rsidR="00886B27" w:rsidRPr="00813D19">
        <w:rPr>
          <w:lang w:val="en-US"/>
        </w:rPr>
        <w:t xml:space="preserve"> </w:t>
      </w:r>
      <w:r w:rsidR="002078B3" w:rsidRPr="00813D19">
        <w:rPr>
          <w:lang w:val="en-US"/>
        </w:rPr>
        <w:t xml:space="preserve">the advice provided </w:t>
      </w:r>
      <w:r w:rsidR="00DA1289" w:rsidRPr="00813D19">
        <w:rPr>
          <w:lang w:val="en-US"/>
        </w:rPr>
        <w:t xml:space="preserve">earlier </w:t>
      </w:r>
      <w:r w:rsidR="002078B3" w:rsidRPr="00813D19">
        <w:rPr>
          <w:lang w:val="en-US"/>
        </w:rPr>
        <w:t xml:space="preserve">when </w:t>
      </w:r>
      <w:r w:rsidR="00DA1289" w:rsidRPr="00813D19">
        <w:rPr>
          <w:lang w:val="en-US"/>
        </w:rPr>
        <w:t xml:space="preserve">he </w:t>
      </w:r>
      <w:r w:rsidR="00886B27">
        <w:rPr>
          <w:lang w:val="en-US"/>
        </w:rPr>
        <w:t xml:space="preserve">had </w:t>
      </w:r>
      <w:r w:rsidR="002078B3" w:rsidRPr="00813D19">
        <w:rPr>
          <w:lang w:val="en-US"/>
        </w:rPr>
        <w:t>spoke</w:t>
      </w:r>
      <w:r w:rsidR="00886B27">
        <w:rPr>
          <w:lang w:val="en-US"/>
        </w:rPr>
        <w:t>n</w:t>
      </w:r>
      <w:r w:rsidR="002078B3" w:rsidRPr="00813D19">
        <w:rPr>
          <w:lang w:val="en-US"/>
        </w:rPr>
        <w:t xml:space="preserve"> on this matter. </w:t>
      </w:r>
      <w:r w:rsidR="00DA1289" w:rsidRPr="00813D19">
        <w:rPr>
          <w:lang w:val="en-US"/>
        </w:rPr>
        <w:t xml:space="preserve">The Legal Adviser </w:t>
      </w:r>
      <w:r w:rsidR="002078B3" w:rsidRPr="00813D19">
        <w:rPr>
          <w:lang w:val="en-US"/>
        </w:rPr>
        <w:t>recall</w:t>
      </w:r>
      <w:r w:rsidR="00DA1289" w:rsidRPr="00813D19">
        <w:rPr>
          <w:lang w:val="en-US"/>
        </w:rPr>
        <w:t>ed,</w:t>
      </w:r>
      <w:r w:rsidR="002078B3" w:rsidRPr="00813D19">
        <w:rPr>
          <w:lang w:val="en-US"/>
        </w:rPr>
        <w:t xml:space="preserve"> </w:t>
      </w:r>
      <w:r w:rsidR="002F50EA">
        <w:rPr>
          <w:lang w:val="en-US"/>
        </w:rPr>
        <w:t>as</w:t>
      </w:r>
      <w:r w:rsidR="00DA1289" w:rsidRPr="00813D19">
        <w:rPr>
          <w:lang w:val="en-US"/>
        </w:rPr>
        <w:t xml:space="preserve"> </w:t>
      </w:r>
      <w:r w:rsidR="002078B3" w:rsidRPr="00813D19">
        <w:rPr>
          <w:lang w:val="en-US"/>
        </w:rPr>
        <w:t>already mentioned on the floor</w:t>
      </w:r>
      <w:r w:rsidR="00DA1289" w:rsidRPr="00813D19">
        <w:rPr>
          <w:lang w:val="en-US"/>
        </w:rPr>
        <w:t>, that based on Article 7(e)</w:t>
      </w:r>
      <w:r w:rsidR="002078B3" w:rsidRPr="00813D19">
        <w:rPr>
          <w:lang w:val="en-US"/>
        </w:rPr>
        <w:t xml:space="preserve"> of the Convention, the Committee’s function and authority with regard to </w:t>
      </w:r>
      <w:r w:rsidR="00DA1289" w:rsidRPr="00813D19">
        <w:rPr>
          <w:lang w:val="en-US"/>
        </w:rPr>
        <w:t xml:space="preserve">the </w:t>
      </w:r>
      <w:r w:rsidR="002078B3" w:rsidRPr="00813D19">
        <w:rPr>
          <w:lang w:val="en-US"/>
        </w:rPr>
        <w:t xml:space="preserve">Operational Directives </w:t>
      </w:r>
      <w:r w:rsidR="00DA1289" w:rsidRPr="00813D19">
        <w:rPr>
          <w:lang w:val="en-US"/>
        </w:rPr>
        <w:t xml:space="preserve">was </w:t>
      </w:r>
      <w:r w:rsidR="002078B3" w:rsidRPr="00813D19">
        <w:rPr>
          <w:lang w:val="en-US"/>
        </w:rPr>
        <w:t xml:space="preserve">limited to </w:t>
      </w:r>
      <w:r w:rsidR="0026249F" w:rsidRPr="00813D19">
        <w:rPr>
          <w:lang w:val="en-US"/>
        </w:rPr>
        <w:t>“prepar</w:t>
      </w:r>
      <w:r w:rsidR="00886B27">
        <w:rPr>
          <w:lang w:val="en-US"/>
        </w:rPr>
        <w:t>[ing]</w:t>
      </w:r>
      <w:r w:rsidR="0026249F" w:rsidRPr="00813D19">
        <w:rPr>
          <w:lang w:val="en-US"/>
        </w:rPr>
        <w:t xml:space="preserve"> and submit</w:t>
      </w:r>
      <w:r w:rsidR="00886B27">
        <w:rPr>
          <w:lang w:val="en-US"/>
        </w:rPr>
        <w:t>[ing]</w:t>
      </w:r>
      <w:r w:rsidR="002078B3" w:rsidRPr="00813D19">
        <w:rPr>
          <w:lang w:val="en-US"/>
        </w:rPr>
        <w:t xml:space="preserve"> to the</w:t>
      </w:r>
      <w:r w:rsidR="0026249F" w:rsidRPr="00813D19">
        <w:rPr>
          <w:lang w:val="en-US"/>
        </w:rPr>
        <w:t xml:space="preserve"> General Assembly for approval operational d</w:t>
      </w:r>
      <w:r w:rsidR="002078B3" w:rsidRPr="00813D19">
        <w:rPr>
          <w:lang w:val="en-US"/>
        </w:rPr>
        <w:t xml:space="preserve">irectives for the implementation of </w:t>
      </w:r>
      <w:r w:rsidR="0026249F" w:rsidRPr="00813D19">
        <w:rPr>
          <w:lang w:val="en-US"/>
        </w:rPr>
        <w:t>this</w:t>
      </w:r>
      <w:r w:rsidR="00DA1289" w:rsidRPr="00813D19">
        <w:rPr>
          <w:lang w:val="en-US"/>
        </w:rPr>
        <w:t xml:space="preserve"> </w:t>
      </w:r>
      <w:r w:rsidR="002078B3" w:rsidRPr="00813D19">
        <w:rPr>
          <w:lang w:val="en-US"/>
        </w:rPr>
        <w:t>Convention.</w:t>
      </w:r>
      <w:r w:rsidR="0026249F" w:rsidRPr="00813D19">
        <w:rPr>
          <w:lang w:val="en-US"/>
        </w:rPr>
        <w:t>”</w:t>
      </w:r>
      <w:r w:rsidR="002078B3" w:rsidRPr="00813D19">
        <w:rPr>
          <w:lang w:val="en-US"/>
        </w:rPr>
        <w:t xml:space="preserve"> In other words, the Operational Directives constitute</w:t>
      </w:r>
      <w:r w:rsidR="00DA1289" w:rsidRPr="00813D19">
        <w:rPr>
          <w:lang w:val="en-US"/>
        </w:rPr>
        <w:t>d</w:t>
      </w:r>
      <w:r w:rsidR="002078B3" w:rsidRPr="00813D19">
        <w:rPr>
          <w:lang w:val="en-US"/>
        </w:rPr>
        <w:t xml:space="preserve"> the legal boundaries within which the Committee </w:t>
      </w:r>
      <w:r w:rsidR="00886B27" w:rsidRPr="00813D19">
        <w:rPr>
          <w:lang w:val="en-US"/>
        </w:rPr>
        <w:t>c</w:t>
      </w:r>
      <w:r w:rsidR="00886B27">
        <w:rPr>
          <w:lang w:val="en-US"/>
        </w:rPr>
        <w:t>ould</w:t>
      </w:r>
      <w:r w:rsidR="00886B27" w:rsidRPr="00813D19">
        <w:rPr>
          <w:lang w:val="en-US"/>
        </w:rPr>
        <w:t xml:space="preserve"> </w:t>
      </w:r>
      <w:r w:rsidR="002078B3" w:rsidRPr="00813D19">
        <w:rPr>
          <w:lang w:val="en-US"/>
        </w:rPr>
        <w:t xml:space="preserve">operate as approved by the General Assembly. </w:t>
      </w:r>
      <w:r w:rsidR="00DA1289" w:rsidRPr="00813D19">
        <w:rPr>
          <w:lang w:val="en-US"/>
        </w:rPr>
        <w:t>T</w:t>
      </w:r>
      <w:r w:rsidR="002078B3" w:rsidRPr="00813D19">
        <w:rPr>
          <w:lang w:val="en-US"/>
        </w:rPr>
        <w:t xml:space="preserve">he Operational Directives </w:t>
      </w:r>
      <w:r w:rsidR="00DA1289" w:rsidRPr="00813D19">
        <w:rPr>
          <w:lang w:val="en-US"/>
        </w:rPr>
        <w:t xml:space="preserve">did </w:t>
      </w:r>
      <w:r w:rsidR="002078B3" w:rsidRPr="00813D19">
        <w:rPr>
          <w:lang w:val="en-US"/>
        </w:rPr>
        <w:t>not allow the Committee to either suspend or otherwise deviate from the provisions contained in the Op</w:t>
      </w:r>
      <w:r w:rsidR="00DA1289" w:rsidRPr="00813D19">
        <w:rPr>
          <w:lang w:val="en-US"/>
        </w:rPr>
        <w:t>erational Directives. It thus followed</w:t>
      </w:r>
      <w:r w:rsidR="002078B3" w:rsidRPr="00813D19">
        <w:rPr>
          <w:lang w:val="en-US"/>
        </w:rPr>
        <w:t xml:space="preserve"> that procedures departing from the Operational Directives would remain the prerogative of the General Assembly unless, of course, the General Assembly </w:t>
      </w:r>
      <w:r w:rsidR="00886B27" w:rsidRPr="00813D19">
        <w:rPr>
          <w:lang w:val="en-US"/>
        </w:rPr>
        <w:t>delegate</w:t>
      </w:r>
      <w:r w:rsidR="00886B27">
        <w:rPr>
          <w:lang w:val="en-US"/>
        </w:rPr>
        <w:t>d</w:t>
      </w:r>
      <w:r w:rsidR="00886B27" w:rsidRPr="00813D19">
        <w:rPr>
          <w:lang w:val="en-US"/>
        </w:rPr>
        <w:t xml:space="preserve"> </w:t>
      </w:r>
      <w:r w:rsidR="002078B3" w:rsidRPr="00813D19">
        <w:rPr>
          <w:lang w:val="en-US"/>
        </w:rPr>
        <w:t>the Committee to do so</w:t>
      </w:r>
      <w:r w:rsidR="00DA1289" w:rsidRPr="00813D19">
        <w:rPr>
          <w:lang w:val="en-US"/>
        </w:rPr>
        <w:t>,</w:t>
      </w:r>
      <w:r w:rsidR="002078B3" w:rsidRPr="00813D19">
        <w:rPr>
          <w:lang w:val="en-US"/>
        </w:rPr>
        <w:t xml:space="preserve"> which </w:t>
      </w:r>
      <w:r w:rsidR="00DA1289" w:rsidRPr="00813D19">
        <w:rPr>
          <w:lang w:val="en-US"/>
        </w:rPr>
        <w:t xml:space="preserve">was </w:t>
      </w:r>
      <w:r w:rsidR="002078B3" w:rsidRPr="00813D19">
        <w:rPr>
          <w:lang w:val="en-US"/>
        </w:rPr>
        <w:t>not the case at hand. At least two provisions of the Operational Directives would require derogation. Paragraphs 36 and 54</w:t>
      </w:r>
      <w:r w:rsidR="00886B27">
        <w:rPr>
          <w:lang w:val="en-US"/>
        </w:rPr>
        <w:t>,</w:t>
      </w:r>
      <w:r w:rsidR="002078B3" w:rsidRPr="00813D19">
        <w:rPr>
          <w:lang w:val="en-US"/>
        </w:rPr>
        <w:t xml:space="preserve"> </w:t>
      </w:r>
      <w:r w:rsidR="00886B27">
        <w:rPr>
          <w:lang w:val="en-US"/>
        </w:rPr>
        <w:t>which</w:t>
      </w:r>
      <w:r w:rsidR="00886B27" w:rsidRPr="00813D19">
        <w:rPr>
          <w:lang w:val="en-US"/>
        </w:rPr>
        <w:t xml:space="preserve"> </w:t>
      </w:r>
      <w:r w:rsidR="002078B3" w:rsidRPr="00813D19">
        <w:rPr>
          <w:lang w:val="en-US"/>
        </w:rPr>
        <w:t xml:space="preserve">were </w:t>
      </w:r>
      <w:r w:rsidR="00DA1289" w:rsidRPr="00813D19">
        <w:rPr>
          <w:lang w:val="en-US"/>
        </w:rPr>
        <w:t xml:space="preserve">previously </w:t>
      </w:r>
      <w:r w:rsidR="002078B3" w:rsidRPr="00813D19">
        <w:rPr>
          <w:lang w:val="en-US"/>
        </w:rPr>
        <w:t>mentioned</w:t>
      </w:r>
      <w:r w:rsidR="00DA1289" w:rsidRPr="00813D19">
        <w:rPr>
          <w:lang w:val="en-US"/>
        </w:rPr>
        <w:t xml:space="preserve">; </w:t>
      </w:r>
      <w:r w:rsidR="002078B3" w:rsidRPr="00813D19">
        <w:rPr>
          <w:lang w:val="en-US"/>
        </w:rPr>
        <w:t>paragraph 36 provides that referred nominations may be resubmitted for examination during a following cycle</w:t>
      </w:r>
      <w:r w:rsidR="00DA1289" w:rsidRPr="00813D19">
        <w:rPr>
          <w:lang w:val="en-US"/>
        </w:rPr>
        <w:t>,</w:t>
      </w:r>
      <w:r w:rsidR="002078B3" w:rsidRPr="00813D19">
        <w:rPr>
          <w:lang w:val="en-US"/>
        </w:rPr>
        <w:t xml:space="preserve"> and paragraph 54 provides a timeline of the cycle, which span</w:t>
      </w:r>
      <w:r w:rsidR="00DD4E22">
        <w:rPr>
          <w:lang w:val="en-US"/>
        </w:rPr>
        <w:t>s almost two years and not one.</w:t>
      </w:r>
    </w:p>
    <w:p w14:paraId="5CA266F1" w14:textId="4C810585" w:rsidR="002A5490" w:rsidRPr="00813D19" w:rsidRDefault="00DA1289" w:rsidP="00C068A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Legal Adviser</w:t>
      </w:r>
      <w:r w:rsidRPr="00813D19">
        <w:rPr>
          <w:color w:val="000000" w:themeColor="text1"/>
          <w:lang w:val="en-US"/>
        </w:rPr>
        <w:t xml:space="preserve"> </w:t>
      </w:r>
      <w:r w:rsidR="00FF005E" w:rsidRPr="00813D19">
        <w:rPr>
          <w:color w:val="000000" w:themeColor="text1"/>
          <w:lang w:val="en-US"/>
        </w:rPr>
        <w:t xml:space="preserve">explained that </w:t>
      </w:r>
      <w:r w:rsidR="00FF005E" w:rsidRPr="00813D19">
        <w:rPr>
          <w:lang w:val="en-US"/>
        </w:rPr>
        <w:t>b</w:t>
      </w:r>
      <w:r w:rsidR="002078B3" w:rsidRPr="00813D19">
        <w:rPr>
          <w:lang w:val="en-US"/>
        </w:rPr>
        <w:t xml:space="preserve">ecause the </w:t>
      </w:r>
      <w:r w:rsidR="0026249F" w:rsidRPr="00813D19">
        <w:rPr>
          <w:lang w:val="en-US"/>
        </w:rPr>
        <w:t xml:space="preserve">identified </w:t>
      </w:r>
      <w:r w:rsidR="002078B3" w:rsidRPr="00813D19">
        <w:rPr>
          <w:lang w:val="en-US"/>
        </w:rPr>
        <w:t xml:space="preserve">cycle </w:t>
      </w:r>
      <w:r w:rsidR="00FF005E" w:rsidRPr="00813D19">
        <w:rPr>
          <w:lang w:val="en-US"/>
        </w:rPr>
        <w:t>constituted</w:t>
      </w:r>
      <w:r w:rsidR="002078B3" w:rsidRPr="00813D19">
        <w:rPr>
          <w:lang w:val="en-US"/>
        </w:rPr>
        <w:t xml:space="preserve"> an integral part of the Operational Directives</w:t>
      </w:r>
      <w:r w:rsidR="00FF005E" w:rsidRPr="00813D19">
        <w:rPr>
          <w:lang w:val="en-US"/>
        </w:rPr>
        <w:t>,</w:t>
      </w:r>
      <w:r w:rsidR="002078B3" w:rsidRPr="00813D19">
        <w:rPr>
          <w:lang w:val="en-US"/>
        </w:rPr>
        <w:t xml:space="preserve"> the Committee </w:t>
      </w:r>
      <w:r w:rsidR="00FF005E" w:rsidRPr="00813D19">
        <w:rPr>
          <w:lang w:val="en-US"/>
        </w:rPr>
        <w:t xml:space="preserve">did </w:t>
      </w:r>
      <w:r w:rsidR="002078B3" w:rsidRPr="00813D19">
        <w:rPr>
          <w:lang w:val="en-US"/>
        </w:rPr>
        <w:t xml:space="preserve">not have the authority to set a different cycle for </w:t>
      </w:r>
      <w:r w:rsidR="00F627BE">
        <w:rPr>
          <w:lang w:val="en-US"/>
        </w:rPr>
        <w:t xml:space="preserve">the </w:t>
      </w:r>
      <w:r w:rsidR="002078B3" w:rsidRPr="00813D19">
        <w:rPr>
          <w:lang w:val="en-US"/>
        </w:rPr>
        <w:t xml:space="preserve">resubmission of referred nominations. A question </w:t>
      </w:r>
      <w:r w:rsidR="0026249F" w:rsidRPr="00813D19">
        <w:rPr>
          <w:lang w:val="en-US"/>
        </w:rPr>
        <w:t>was posed</w:t>
      </w:r>
      <w:r w:rsidR="002078B3" w:rsidRPr="00813D19">
        <w:rPr>
          <w:lang w:val="en-US"/>
        </w:rPr>
        <w:t xml:space="preserve"> as to whether this procedure would constitute a change </w:t>
      </w:r>
      <w:r w:rsidR="004A47D2">
        <w:rPr>
          <w:lang w:val="en-US"/>
        </w:rPr>
        <w:t>in</w:t>
      </w:r>
      <w:r w:rsidR="004A47D2" w:rsidRPr="00813D19">
        <w:rPr>
          <w:lang w:val="en-US"/>
        </w:rPr>
        <w:t xml:space="preserve"> </w:t>
      </w:r>
      <w:r w:rsidR="002078B3" w:rsidRPr="00813D19">
        <w:rPr>
          <w:lang w:val="en-US"/>
        </w:rPr>
        <w:t xml:space="preserve">the Operational Directives. </w:t>
      </w:r>
      <w:r w:rsidR="00FF005E" w:rsidRPr="00813D19">
        <w:rPr>
          <w:lang w:val="en-US"/>
        </w:rPr>
        <w:t>The Legal Adviser understood</w:t>
      </w:r>
      <w:r w:rsidR="002078B3" w:rsidRPr="00813D19">
        <w:rPr>
          <w:lang w:val="en-US"/>
        </w:rPr>
        <w:t xml:space="preserve"> that this procedure would apply on an experimental basis and for a limited period of time. However, the crux of the matter </w:t>
      </w:r>
      <w:r w:rsidR="00FF005E" w:rsidRPr="00813D19">
        <w:rPr>
          <w:lang w:val="en-US"/>
        </w:rPr>
        <w:t xml:space="preserve">was </w:t>
      </w:r>
      <w:r w:rsidR="002078B3" w:rsidRPr="00813D19">
        <w:rPr>
          <w:lang w:val="en-US"/>
        </w:rPr>
        <w:t xml:space="preserve">quite different, as the Committee </w:t>
      </w:r>
      <w:r w:rsidR="00FF005E" w:rsidRPr="00813D19">
        <w:rPr>
          <w:lang w:val="en-US"/>
        </w:rPr>
        <w:t xml:space="preserve">did </w:t>
      </w:r>
      <w:r w:rsidR="002078B3" w:rsidRPr="00813D19">
        <w:rPr>
          <w:lang w:val="en-US"/>
        </w:rPr>
        <w:t>not have the required autho</w:t>
      </w:r>
      <w:r w:rsidR="00FF005E" w:rsidRPr="00813D19">
        <w:rPr>
          <w:lang w:val="en-US"/>
        </w:rPr>
        <w:t>rity for a temporary derogation</w:t>
      </w:r>
      <w:r w:rsidR="002078B3" w:rsidRPr="00813D19">
        <w:rPr>
          <w:lang w:val="en-US"/>
        </w:rPr>
        <w:t xml:space="preserve"> either. The main legal consequence of adopting such a procedure</w:t>
      </w:r>
      <w:r w:rsidR="00FF005E" w:rsidRPr="00813D19">
        <w:rPr>
          <w:lang w:val="en-US"/>
        </w:rPr>
        <w:t>,</w:t>
      </w:r>
      <w:r w:rsidR="002078B3" w:rsidRPr="00813D19">
        <w:rPr>
          <w:lang w:val="en-US"/>
        </w:rPr>
        <w:t xml:space="preserve"> albeit on a temporary or experimental basis</w:t>
      </w:r>
      <w:r w:rsidR="00FF005E" w:rsidRPr="00813D19">
        <w:rPr>
          <w:lang w:val="en-US"/>
        </w:rPr>
        <w:t>,</w:t>
      </w:r>
      <w:r w:rsidR="002078B3" w:rsidRPr="00813D19">
        <w:rPr>
          <w:lang w:val="en-US"/>
        </w:rPr>
        <w:t xml:space="preserve"> would be that the Committee would be acting beyond its mandate. </w:t>
      </w:r>
      <w:r w:rsidR="00FF005E" w:rsidRPr="00813D19">
        <w:rPr>
          <w:lang w:val="en-US"/>
        </w:rPr>
        <w:t xml:space="preserve">Should </w:t>
      </w:r>
      <w:r w:rsidR="002078B3" w:rsidRPr="00813D19">
        <w:rPr>
          <w:lang w:val="en-US"/>
        </w:rPr>
        <w:t xml:space="preserve">the Committee </w:t>
      </w:r>
      <w:r w:rsidR="00FF005E" w:rsidRPr="00813D19">
        <w:rPr>
          <w:lang w:val="en-US"/>
        </w:rPr>
        <w:t>consider</w:t>
      </w:r>
      <w:r w:rsidR="002078B3" w:rsidRPr="00813D19">
        <w:rPr>
          <w:lang w:val="en-US"/>
        </w:rPr>
        <w:t xml:space="preserve"> making changes to the referral mechanism</w:t>
      </w:r>
      <w:r w:rsidR="00FF005E" w:rsidRPr="00813D19">
        <w:rPr>
          <w:lang w:val="en-US"/>
        </w:rPr>
        <w:t>,</w:t>
      </w:r>
      <w:r w:rsidR="002078B3" w:rsidRPr="00813D19">
        <w:rPr>
          <w:lang w:val="en-US"/>
        </w:rPr>
        <w:t xml:space="preserve"> including the cycle</w:t>
      </w:r>
      <w:r w:rsidR="00FF005E" w:rsidRPr="00813D19">
        <w:rPr>
          <w:lang w:val="en-US"/>
        </w:rPr>
        <w:t>,</w:t>
      </w:r>
      <w:r w:rsidR="002078B3" w:rsidRPr="00813D19">
        <w:rPr>
          <w:lang w:val="en-US"/>
        </w:rPr>
        <w:t xml:space="preserve"> the proper way would be </w:t>
      </w:r>
      <w:r w:rsidR="00FF005E" w:rsidRPr="00813D19">
        <w:rPr>
          <w:lang w:val="en-US"/>
        </w:rPr>
        <w:t>to propose</w:t>
      </w:r>
      <w:r w:rsidR="002078B3" w:rsidRPr="00813D19">
        <w:rPr>
          <w:lang w:val="en-US"/>
        </w:rPr>
        <w:t xml:space="preserve"> amendments to the Operational Directives to the General Assembly for its </w:t>
      </w:r>
      <w:r w:rsidR="0026249F" w:rsidRPr="00813D19">
        <w:rPr>
          <w:lang w:val="en-US"/>
        </w:rPr>
        <w:t>approval</w:t>
      </w:r>
      <w:r w:rsidR="004A47D2">
        <w:rPr>
          <w:lang w:val="en-US"/>
        </w:rPr>
        <w:t>,</w:t>
      </w:r>
      <w:r w:rsidR="0026249F" w:rsidRPr="00813D19">
        <w:rPr>
          <w:lang w:val="en-US"/>
        </w:rPr>
        <w:t xml:space="preserve"> in line with Article 7(</w:t>
      </w:r>
      <w:r w:rsidR="002078B3" w:rsidRPr="00813D19">
        <w:rPr>
          <w:lang w:val="en-US"/>
        </w:rPr>
        <w:t>e</w:t>
      </w:r>
      <w:r w:rsidR="0026249F" w:rsidRPr="00813D19">
        <w:rPr>
          <w:lang w:val="en-US"/>
        </w:rPr>
        <w:t>)</w:t>
      </w:r>
      <w:r w:rsidR="002078B3" w:rsidRPr="00813D19">
        <w:rPr>
          <w:lang w:val="en-US"/>
        </w:rPr>
        <w:t xml:space="preserve"> of the Convention unless, of course, the General Assembly </w:t>
      </w:r>
      <w:r w:rsidR="004A47D2" w:rsidRPr="00813D19">
        <w:rPr>
          <w:lang w:val="en-US"/>
        </w:rPr>
        <w:t>convene</w:t>
      </w:r>
      <w:r w:rsidR="004A47D2">
        <w:rPr>
          <w:lang w:val="en-US"/>
        </w:rPr>
        <w:t>d</w:t>
      </w:r>
      <w:r w:rsidR="004A47D2" w:rsidRPr="00813D19">
        <w:rPr>
          <w:lang w:val="en-US"/>
        </w:rPr>
        <w:t xml:space="preserve"> </w:t>
      </w:r>
      <w:r w:rsidR="002078B3" w:rsidRPr="00813D19">
        <w:rPr>
          <w:lang w:val="en-US"/>
        </w:rPr>
        <w:t xml:space="preserve">an extraordinary meeting and </w:t>
      </w:r>
      <w:r w:rsidR="004A47D2" w:rsidRPr="00813D19">
        <w:rPr>
          <w:lang w:val="en-US"/>
        </w:rPr>
        <w:t>delegate</w:t>
      </w:r>
      <w:r w:rsidR="004A47D2">
        <w:rPr>
          <w:lang w:val="en-US"/>
        </w:rPr>
        <w:t>d</w:t>
      </w:r>
      <w:r w:rsidR="004A47D2" w:rsidRPr="00813D19">
        <w:rPr>
          <w:lang w:val="en-US"/>
        </w:rPr>
        <w:t xml:space="preserve"> </w:t>
      </w:r>
      <w:r w:rsidR="002078B3" w:rsidRPr="00813D19">
        <w:rPr>
          <w:lang w:val="en-US"/>
        </w:rPr>
        <w:t xml:space="preserve">the Committee to do so for the purpose of the proposed procedure. </w:t>
      </w:r>
      <w:r w:rsidR="00FF005E" w:rsidRPr="00813D19">
        <w:rPr>
          <w:lang w:val="en-US"/>
        </w:rPr>
        <w:t xml:space="preserve">A </w:t>
      </w:r>
      <w:r w:rsidR="002078B3" w:rsidRPr="00813D19">
        <w:rPr>
          <w:lang w:val="en-US"/>
        </w:rPr>
        <w:t>number of other provisions of the Operational Directives may be called into question</w:t>
      </w:r>
      <w:r w:rsidR="00CE748A">
        <w:rPr>
          <w:lang w:val="en-US"/>
        </w:rPr>
        <w:t>,</w:t>
      </w:r>
      <w:r w:rsidR="002078B3" w:rsidRPr="00813D19">
        <w:rPr>
          <w:lang w:val="en-US"/>
        </w:rPr>
        <w:t xml:space="preserve"> in light of what </w:t>
      </w:r>
      <w:r w:rsidR="00FF005E" w:rsidRPr="00813D19">
        <w:rPr>
          <w:lang w:val="en-US"/>
        </w:rPr>
        <w:t xml:space="preserve">was </w:t>
      </w:r>
      <w:r w:rsidR="002078B3" w:rsidRPr="00813D19">
        <w:rPr>
          <w:lang w:val="en-US"/>
        </w:rPr>
        <w:t>said concerning the lack of authority of the Committee</w:t>
      </w:r>
      <w:r w:rsidR="00FF005E" w:rsidRPr="00813D19">
        <w:rPr>
          <w:lang w:val="en-US"/>
        </w:rPr>
        <w:t xml:space="preserve">, and as such </w:t>
      </w:r>
      <w:r w:rsidR="002078B3" w:rsidRPr="00813D19">
        <w:rPr>
          <w:lang w:val="en-US"/>
        </w:rPr>
        <w:t xml:space="preserve">any discussion on any other provision would be moot. </w:t>
      </w:r>
      <w:r w:rsidR="00FF005E" w:rsidRPr="00813D19">
        <w:rPr>
          <w:lang w:val="en-US"/>
        </w:rPr>
        <w:t>R</w:t>
      </w:r>
      <w:r w:rsidR="002078B3" w:rsidRPr="00813D19">
        <w:rPr>
          <w:lang w:val="en-US"/>
        </w:rPr>
        <w:t>egarding the issue on legality and legitimacy</w:t>
      </w:r>
      <w:r w:rsidR="00FF005E" w:rsidRPr="00813D19">
        <w:rPr>
          <w:lang w:val="en-US"/>
        </w:rPr>
        <w:t>, the Legal Adviser did not believe</w:t>
      </w:r>
      <w:r w:rsidR="002078B3" w:rsidRPr="00813D19">
        <w:rPr>
          <w:lang w:val="en-US"/>
        </w:rPr>
        <w:t xml:space="preserve"> </w:t>
      </w:r>
      <w:r w:rsidR="00FF005E" w:rsidRPr="00813D19">
        <w:rPr>
          <w:lang w:val="en-US"/>
        </w:rPr>
        <w:t xml:space="preserve">that such a </w:t>
      </w:r>
      <w:r w:rsidR="002078B3" w:rsidRPr="00813D19">
        <w:rPr>
          <w:lang w:val="en-US"/>
        </w:rPr>
        <w:t xml:space="preserve">discussion would abate the legal concerns </w:t>
      </w:r>
      <w:r w:rsidR="00FF005E" w:rsidRPr="00813D19">
        <w:rPr>
          <w:lang w:val="en-US"/>
        </w:rPr>
        <w:t>flagged, given the lack</w:t>
      </w:r>
      <w:r w:rsidR="00DD4E22">
        <w:rPr>
          <w:lang w:val="en-US"/>
        </w:rPr>
        <w:t xml:space="preserve"> of authority of the Committee.</w:t>
      </w:r>
    </w:p>
    <w:p w14:paraId="54E34711" w14:textId="7438345B" w:rsidR="00850EB1" w:rsidRPr="00813D19" w:rsidRDefault="00850EB1" w:rsidP="00C068AA">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EC27C5" w:rsidRPr="00813D19">
        <w:rPr>
          <w:lang w:val="en-US"/>
        </w:rPr>
        <w:t>t</w:t>
      </w:r>
      <w:r w:rsidR="002078B3" w:rsidRPr="00813D19">
        <w:rPr>
          <w:lang w:val="en-US"/>
        </w:rPr>
        <w:t>hank</w:t>
      </w:r>
      <w:r w:rsidR="00EC27C5" w:rsidRPr="00813D19">
        <w:rPr>
          <w:lang w:val="en-US"/>
        </w:rPr>
        <w:t xml:space="preserve">ed the </w:t>
      </w:r>
      <w:r w:rsidR="00F22D58" w:rsidRPr="00813D19">
        <w:rPr>
          <w:lang w:val="en-US"/>
        </w:rPr>
        <w:t>Legal Adviser and opened</w:t>
      </w:r>
      <w:r w:rsidR="00FF005E" w:rsidRPr="00813D19">
        <w:rPr>
          <w:lang w:val="en-US"/>
        </w:rPr>
        <w:t xml:space="preserve"> the floor to </w:t>
      </w:r>
      <w:r w:rsidR="002078B3" w:rsidRPr="00813D19">
        <w:rPr>
          <w:lang w:val="en-US"/>
        </w:rPr>
        <w:t xml:space="preserve">the Committee </w:t>
      </w:r>
      <w:r w:rsidR="0005530D" w:rsidRPr="00813D19">
        <w:rPr>
          <w:lang w:val="en-US"/>
        </w:rPr>
        <w:t>in light of the observation</w:t>
      </w:r>
      <w:r w:rsidR="002078B3" w:rsidRPr="00813D19">
        <w:rPr>
          <w:lang w:val="en-US"/>
        </w:rPr>
        <w:t xml:space="preserve"> </w:t>
      </w:r>
      <w:r w:rsidR="0005530D" w:rsidRPr="00813D19">
        <w:rPr>
          <w:lang w:val="en-US"/>
        </w:rPr>
        <w:t xml:space="preserve">and </w:t>
      </w:r>
      <w:r w:rsidR="00F22D58" w:rsidRPr="00813D19">
        <w:rPr>
          <w:lang w:val="en-US"/>
        </w:rPr>
        <w:t xml:space="preserve">in order </w:t>
      </w:r>
      <w:r w:rsidR="0005530D" w:rsidRPr="00813D19">
        <w:rPr>
          <w:lang w:val="en-US"/>
        </w:rPr>
        <w:t>to m</w:t>
      </w:r>
      <w:r w:rsidR="00F22D58" w:rsidRPr="00813D19">
        <w:rPr>
          <w:lang w:val="en-US"/>
        </w:rPr>
        <w:t xml:space="preserve">ake an informed decision on </w:t>
      </w:r>
      <w:r w:rsidR="002078B3" w:rsidRPr="00813D19">
        <w:rPr>
          <w:lang w:val="en-US"/>
        </w:rPr>
        <w:t xml:space="preserve">how </w:t>
      </w:r>
      <w:r w:rsidR="00F22D58" w:rsidRPr="00813D19">
        <w:rPr>
          <w:lang w:val="en-US"/>
        </w:rPr>
        <w:t xml:space="preserve">it </w:t>
      </w:r>
      <w:r w:rsidR="002078B3" w:rsidRPr="00813D19">
        <w:rPr>
          <w:lang w:val="en-US"/>
        </w:rPr>
        <w:t>wish</w:t>
      </w:r>
      <w:r w:rsidR="00F22D58" w:rsidRPr="00813D19">
        <w:rPr>
          <w:lang w:val="en-US"/>
        </w:rPr>
        <w:t>ed</w:t>
      </w:r>
      <w:r w:rsidR="002078B3" w:rsidRPr="00813D19">
        <w:rPr>
          <w:lang w:val="en-US"/>
        </w:rPr>
        <w:t xml:space="preserve"> to proceed </w:t>
      </w:r>
      <w:r w:rsidR="00F22D58" w:rsidRPr="00813D19">
        <w:rPr>
          <w:lang w:val="en-US"/>
        </w:rPr>
        <w:t xml:space="preserve">given the possibilities </w:t>
      </w:r>
      <w:r w:rsidR="002078B3" w:rsidRPr="00813D19">
        <w:rPr>
          <w:lang w:val="en-US"/>
        </w:rPr>
        <w:t>t</w:t>
      </w:r>
      <w:r w:rsidR="00DD4E22">
        <w:rPr>
          <w:lang w:val="en-US"/>
        </w:rPr>
        <w:t>o deal with the matter at hand.</w:t>
      </w:r>
    </w:p>
    <w:p w14:paraId="36E4153E" w14:textId="6E92A2EC" w:rsidR="00A316C8" w:rsidRPr="00813D19" w:rsidRDefault="00A316C8" w:rsidP="00744206">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2078B3" w:rsidRPr="00813D19">
        <w:rPr>
          <w:b/>
          <w:color w:val="000000" w:themeColor="text1"/>
          <w:lang w:val="en-US"/>
        </w:rPr>
        <w:t xml:space="preserve"> </w:t>
      </w:r>
      <w:r w:rsidR="00F22D58" w:rsidRPr="00813D19">
        <w:rPr>
          <w:lang w:val="en-US"/>
        </w:rPr>
        <w:t xml:space="preserve">expected </w:t>
      </w:r>
      <w:r w:rsidR="002078B3" w:rsidRPr="00813D19">
        <w:rPr>
          <w:lang w:val="en-US"/>
        </w:rPr>
        <w:t>the opinion of the Legal Adviser</w:t>
      </w:r>
      <w:r w:rsidR="00F22D58" w:rsidRPr="00813D19">
        <w:rPr>
          <w:lang w:val="en-US"/>
        </w:rPr>
        <w:t xml:space="preserve"> and understood his position, which was </w:t>
      </w:r>
      <w:r w:rsidR="002078B3" w:rsidRPr="00813D19">
        <w:rPr>
          <w:lang w:val="en-US"/>
        </w:rPr>
        <w:t xml:space="preserve">very clear. </w:t>
      </w:r>
      <w:r w:rsidR="00F22D58" w:rsidRPr="00813D19">
        <w:rPr>
          <w:lang w:val="en-US"/>
        </w:rPr>
        <w:t>It sought</w:t>
      </w:r>
      <w:r w:rsidR="004A47D2">
        <w:rPr>
          <w:lang w:val="en-US"/>
        </w:rPr>
        <w:t>,</w:t>
      </w:r>
      <w:r w:rsidR="00F22D58" w:rsidRPr="00813D19">
        <w:rPr>
          <w:lang w:val="en-US"/>
        </w:rPr>
        <w:t xml:space="preserve"> however</w:t>
      </w:r>
      <w:r w:rsidR="004A47D2">
        <w:rPr>
          <w:lang w:val="en-US"/>
        </w:rPr>
        <w:t>,</w:t>
      </w:r>
      <w:r w:rsidR="00F22D58" w:rsidRPr="00813D19">
        <w:rPr>
          <w:lang w:val="en-US"/>
        </w:rPr>
        <w:t xml:space="preserve"> to hear from the </w:t>
      </w:r>
      <w:r w:rsidR="002078B3" w:rsidRPr="00813D19">
        <w:rPr>
          <w:lang w:val="en-US"/>
        </w:rPr>
        <w:t>Secretariat and t</w:t>
      </w:r>
      <w:r w:rsidR="0005530D" w:rsidRPr="00813D19">
        <w:rPr>
          <w:lang w:val="en-US"/>
        </w:rPr>
        <w:t xml:space="preserve">he Evaluation Body in order to come to </w:t>
      </w:r>
      <w:r w:rsidR="002078B3" w:rsidRPr="00813D19">
        <w:rPr>
          <w:lang w:val="en-US"/>
        </w:rPr>
        <w:t>an appropriate decision</w:t>
      </w:r>
      <w:r w:rsidR="00F22D58" w:rsidRPr="00813D19">
        <w:rPr>
          <w:lang w:val="en-US"/>
        </w:rPr>
        <w:t>.</w:t>
      </w:r>
    </w:p>
    <w:p w14:paraId="32C0627A" w14:textId="5D3A656E" w:rsidR="00744206" w:rsidRPr="00813D19" w:rsidRDefault="00744206" w:rsidP="00744206">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F22D58" w:rsidRPr="00813D19">
        <w:rPr>
          <w:color w:val="000000" w:themeColor="text1"/>
          <w:lang w:val="en-US"/>
        </w:rPr>
        <w:t xml:space="preserve">replied that it </w:t>
      </w:r>
      <w:r w:rsidR="00F22D58" w:rsidRPr="00813D19">
        <w:rPr>
          <w:bCs/>
          <w:lang w:val="en-US"/>
        </w:rPr>
        <w:t xml:space="preserve">had been </w:t>
      </w:r>
      <w:r w:rsidR="002078B3" w:rsidRPr="00813D19">
        <w:rPr>
          <w:bCs/>
          <w:lang w:val="en-US"/>
        </w:rPr>
        <w:t xml:space="preserve">asked to find creative solutions and this was as far as </w:t>
      </w:r>
      <w:r w:rsidR="00F22D58" w:rsidRPr="00813D19">
        <w:rPr>
          <w:bCs/>
          <w:lang w:val="en-US"/>
        </w:rPr>
        <w:t xml:space="preserve">the Secretariat </w:t>
      </w:r>
      <w:r w:rsidR="002078B3" w:rsidRPr="00813D19">
        <w:rPr>
          <w:bCs/>
          <w:lang w:val="en-US"/>
        </w:rPr>
        <w:t>could go with the creativity</w:t>
      </w:r>
      <w:r w:rsidR="0005530D" w:rsidRPr="00813D19">
        <w:rPr>
          <w:bCs/>
          <w:lang w:val="en-US"/>
        </w:rPr>
        <w:t xml:space="preserve"> as requested</w:t>
      </w:r>
      <w:r w:rsidR="00DD4E22">
        <w:rPr>
          <w:bCs/>
          <w:lang w:val="en-US"/>
        </w:rPr>
        <w:t>.</w:t>
      </w:r>
    </w:p>
    <w:p w14:paraId="7359991D" w14:textId="74422CFD" w:rsidR="00CC5144" w:rsidRPr="00813D19" w:rsidRDefault="00CC5144" w:rsidP="00744206">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 of the Evaluation Body</w:t>
      </w:r>
      <w:r w:rsidRPr="00813D19">
        <w:rPr>
          <w:color w:val="000000" w:themeColor="text1"/>
          <w:lang w:val="en-US"/>
        </w:rPr>
        <w:t xml:space="preserve"> </w:t>
      </w:r>
      <w:r w:rsidR="00F22D58" w:rsidRPr="00813D19">
        <w:rPr>
          <w:color w:val="000000" w:themeColor="text1"/>
          <w:lang w:val="en-US"/>
        </w:rPr>
        <w:t xml:space="preserve">remarked that the </w:t>
      </w:r>
      <w:r w:rsidR="0005530D" w:rsidRPr="00813D19">
        <w:rPr>
          <w:bCs/>
          <w:lang w:val="en-US"/>
        </w:rPr>
        <w:t>Body worked</w:t>
      </w:r>
      <w:r w:rsidR="002078B3" w:rsidRPr="00813D19">
        <w:rPr>
          <w:bCs/>
          <w:lang w:val="en-US"/>
        </w:rPr>
        <w:t xml:space="preserve"> under the terms of reference </w:t>
      </w:r>
      <w:r w:rsidR="004A47D2">
        <w:rPr>
          <w:bCs/>
          <w:lang w:val="en-US"/>
        </w:rPr>
        <w:t>provided</w:t>
      </w:r>
      <w:r w:rsidR="004A47D2" w:rsidRPr="00813D19">
        <w:rPr>
          <w:bCs/>
          <w:lang w:val="en-US"/>
        </w:rPr>
        <w:t xml:space="preserve"> </w:t>
      </w:r>
      <w:r w:rsidR="002078B3" w:rsidRPr="00813D19">
        <w:rPr>
          <w:bCs/>
          <w:lang w:val="en-US"/>
        </w:rPr>
        <w:t xml:space="preserve">by the Committee and </w:t>
      </w:r>
      <w:r w:rsidR="00F22D58" w:rsidRPr="00813D19">
        <w:rPr>
          <w:bCs/>
          <w:lang w:val="en-US"/>
        </w:rPr>
        <w:t xml:space="preserve">it </w:t>
      </w:r>
      <w:r w:rsidR="004A47D2" w:rsidRPr="00813D19">
        <w:rPr>
          <w:bCs/>
          <w:lang w:val="en-US"/>
        </w:rPr>
        <w:t>c</w:t>
      </w:r>
      <w:r w:rsidR="004A47D2">
        <w:rPr>
          <w:bCs/>
          <w:lang w:val="en-US"/>
        </w:rPr>
        <w:t>ould not</w:t>
      </w:r>
      <w:r w:rsidR="004A47D2" w:rsidRPr="00813D19">
        <w:rPr>
          <w:bCs/>
          <w:lang w:val="en-US"/>
        </w:rPr>
        <w:t xml:space="preserve"> </w:t>
      </w:r>
      <w:r w:rsidR="00F22D58" w:rsidRPr="00813D19">
        <w:rPr>
          <w:bCs/>
          <w:lang w:val="en-US"/>
        </w:rPr>
        <w:t xml:space="preserve">go </w:t>
      </w:r>
      <w:r w:rsidR="002078B3" w:rsidRPr="00813D19">
        <w:rPr>
          <w:bCs/>
          <w:lang w:val="en-US"/>
        </w:rPr>
        <w:t xml:space="preserve">beyond what </w:t>
      </w:r>
      <w:r w:rsidR="00F22D58" w:rsidRPr="00813D19">
        <w:rPr>
          <w:bCs/>
          <w:lang w:val="en-US"/>
        </w:rPr>
        <w:t xml:space="preserve">it </w:t>
      </w:r>
      <w:r w:rsidR="004A47D2">
        <w:rPr>
          <w:bCs/>
          <w:lang w:val="en-US"/>
        </w:rPr>
        <w:t>was</w:t>
      </w:r>
      <w:r w:rsidR="004A47D2" w:rsidRPr="00813D19">
        <w:rPr>
          <w:bCs/>
          <w:lang w:val="en-US"/>
        </w:rPr>
        <w:t xml:space="preserve"> </w:t>
      </w:r>
      <w:r w:rsidR="00F22D58" w:rsidRPr="00813D19">
        <w:rPr>
          <w:bCs/>
          <w:lang w:val="en-US"/>
        </w:rPr>
        <w:t xml:space="preserve">mandated </w:t>
      </w:r>
      <w:r w:rsidR="002078B3" w:rsidRPr="00813D19">
        <w:rPr>
          <w:bCs/>
          <w:lang w:val="en-US"/>
        </w:rPr>
        <w:t xml:space="preserve">to do. </w:t>
      </w:r>
      <w:r w:rsidR="00F22D58" w:rsidRPr="00813D19">
        <w:rPr>
          <w:bCs/>
          <w:lang w:val="en-US"/>
        </w:rPr>
        <w:t>On i</w:t>
      </w:r>
      <w:r w:rsidR="002078B3" w:rsidRPr="00813D19">
        <w:rPr>
          <w:bCs/>
          <w:lang w:val="en-US"/>
        </w:rPr>
        <w:t xml:space="preserve">ssues of legality, </w:t>
      </w:r>
      <w:r w:rsidR="00F22D58" w:rsidRPr="00813D19">
        <w:rPr>
          <w:bCs/>
          <w:lang w:val="en-US"/>
        </w:rPr>
        <w:t xml:space="preserve">it had </w:t>
      </w:r>
      <w:r w:rsidR="002078B3" w:rsidRPr="00813D19">
        <w:rPr>
          <w:bCs/>
          <w:lang w:val="en-US"/>
        </w:rPr>
        <w:t>no mandate to comment</w:t>
      </w:r>
      <w:r w:rsidR="00F22D58" w:rsidRPr="00813D19">
        <w:rPr>
          <w:bCs/>
          <w:lang w:val="en-US"/>
        </w:rPr>
        <w:t>,</w:t>
      </w:r>
      <w:r w:rsidR="002078B3" w:rsidRPr="00813D19">
        <w:rPr>
          <w:bCs/>
          <w:lang w:val="en-US"/>
        </w:rPr>
        <w:t xml:space="preserve"> </w:t>
      </w:r>
      <w:r w:rsidR="00F22D58" w:rsidRPr="00813D19">
        <w:rPr>
          <w:bCs/>
          <w:lang w:val="en-US"/>
        </w:rPr>
        <w:t xml:space="preserve">and it </w:t>
      </w:r>
      <w:r w:rsidR="002078B3" w:rsidRPr="00813D19">
        <w:rPr>
          <w:bCs/>
          <w:lang w:val="en-US"/>
        </w:rPr>
        <w:t>operate</w:t>
      </w:r>
      <w:r w:rsidR="00F22D58" w:rsidRPr="00813D19">
        <w:rPr>
          <w:bCs/>
          <w:lang w:val="en-US"/>
        </w:rPr>
        <w:t>d</w:t>
      </w:r>
      <w:r w:rsidR="002078B3" w:rsidRPr="00813D19">
        <w:rPr>
          <w:bCs/>
          <w:lang w:val="en-US"/>
        </w:rPr>
        <w:t xml:space="preserve"> </w:t>
      </w:r>
      <w:r w:rsidR="00F22D58" w:rsidRPr="00813D19">
        <w:rPr>
          <w:bCs/>
          <w:lang w:val="en-US"/>
        </w:rPr>
        <w:t xml:space="preserve">on </w:t>
      </w:r>
      <w:r w:rsidR="00DD4E22">
        <w:rPr>
          <w:bCs/>
          <w:lang w:val="en-US"/>
        </w:rPr>
        <w:t>the mechanisms given.</w:t>
      </w:r>
    </w:p>
    <w:p w14:paraId="4C1C80F7" w14:textId="723F3933" w:rsidR="00063325" w:rsidRPr="00813D19" w:rsidRDefault="00063325" w:rsidP="00744206">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2078B3" w:rsidRPr="00813D19">
        <w:rPr>
          <w:b/>
          <w:color w:val="000000" w:themeColor="text1"/>
          <w:lang w:val="en-US"/>
        </w:rPr>
        <w:t xml:space="preserve"> </w:t>
      </w:r>
      <w:r w:rsidR="00F22D58" w:rsidRPr="00813D19">
        <w:rPr>
          <w:color w:val="000000" w:themeColor="text1"/>
          <w:lang w:val="en-US"/>
        </w:rPr>
        <w:t>remarked that this</w:t>
      </w:r>
      <w:r w:rsidR="00F22D58" w:rsidRPr="00813D19">
        <w:rPr>
          <w:b/>
          <w:color w:val="000000" w:themeColor="text1"/>
          <w:lang w:val="en-US"/>
        </w:rPr>
        <w:t xml:space="preserve"> </w:t>
      </w:r>
      <w:r w:rsidR="00F22D58" w:rsidRPr="00813D19">
        <w:rPr>
          <w:lang w:val="en-US"/>
        </w:rPr>
        <w:t xml:space="preserve">was indeed </w:t>
      </w:r>
      <w:r w:rsidR="002078B3" w:rsidRPr="00813D19">
        <w:rPr>
          <w:lang w:val="en-US"/>
        </w:rPr>
        <w:t xml:space="preserve">an important </w:t>
      </w:r>
      <w:r w:rsidR="00F22D58" w:rsidRPr="00813D19">
        <w:rPr>
          <w:lang w:val="en-US"/>
        </w:rPr>
        <w:t xml:space="preserve">and </w:t>
      </w:r>
      <w:r w:rsidR="002078B3" w:rsidRPr="00813D19">
        <w:rPr>
          <w:lang w:val="en-US"/>
        </w:rPr>
        <w:t>very complicated</w:t>
      </w:r>
      <w:r w:rsidR="00F22D58" w:rsidRPr="00813D19">
        <w:rPr>
          <w:lang w:val="en-US"/>
        </w:rPr>
        <w:t xml:space="preserve"> issue</w:t>
      </w:r>
      <w:r w:rsidR="002078B3" w:rsidRPr="00813D19">
        <w:rPr>
          <w:lang w:val="en-US"/>
        </w:rPr>
        <w:t xml:space="preserve">. </w:t>
      </w:r>
      <w:r w:rsidR="00F22D58" w:rsidRPr="00813D19">
        <w:rPr>
          <w:lang w:val="en-US"/>
        </w:rPr>
        <w:t xml:space="preserve">It </w:t>
      </w:r>
      <w:r w:rsidR="002078B3" w:rsidRPr="00813D19">
        <w:rPr>
          <w:lang w:val="en-US"/>
        </w:rPr>
        <w:t>thank</w:t>
      </w:r>
      <w:r w:rsidR="00F22D58" w:rsidRPr="00813D19">
        <w:rPr>
          <w:lang w:val="en-US"/>
        </w:rPr>
        <w:t>ed</w:t>
      </w:r>
      <w:r w:rsidR="002078B3" w:rsidRPr="00813D19">
        <w:rPr>
          <w:lang w:val="en-US"/>
        </w:rPr>
        <w:t xml:space="preserve"> the Secretariat </w:t>
      </w:r>
      <w:r w:rsidR="00F22D58" w:rsidRPr="00813D19">
        <w:rPr>
          <w:lang w:val="en-US"/>
        </w:rPr>
        <w:t xml:space="preserve">again </w:t>
      </w:r>
      <w:r w:rsidR="002078B3" w:rsidRPr="00813D19">
        <w:rPr>
          <w:lang w:val="en-US"/>
        </w:rPr>
        <w:t xml:space="preserve">for </w:t>
      </w:r>
      <w:r w:rsidR="00F22D58" w:rsidRPr="00813D19">
        <w:rPr>
          <w:lang w:val="en-US"/>
        </w:rPr>
        <w:t xml:space="preserve">its </w:t>
      </w:r>
      <w:r w:rsidR="002078B3" w:rsidRPr="00813D19">
        <w:rPr>
          <w:lang w:val="en-US"/>
        </w:rPr>
        <w:t xml:space="preserve">efforts in this </w:t>
      </w:r>
      <w:r w:rsidR="00F22D58" w:rsidRPr="00813D19">
        <w:rPr>
          <w:lang w:val="en-US"/>
        </w:rPr>
        <w:t xml:space="preserve">regard, explaining that </w:t>
      </w:r>
      <w:r w:rsidR="002078B3" w:rsidRPr="00813D19">
        <w:rPr>
          <w:lang w:val="en-US"/>
        </w:rPr>
        <w:t xml:space="preserve">they </w:t>
      </w:r>
      <w:r w:rsidR="00F22D58" w:rsidRPr="00813D19">
        <w:rPr>
          <w:lang w:val="en-US"/>
        </w:rPr>
        <w:t xml:space="preserve">had </w:t>
      </w:r>
      <w:r w:rsidR="002078B3" w:rsidRPr="00813D19">
        <w:rPr>
          <w:lang w:val="en-US"/>
        </w:rPr>
        <w:t xml:space="preserve">spent all night </w:t>
      </w:r>
      <w:r w:rsidR="00F22D58" w:rsidRPr="00813D19">
        <w:rPr>
          <w:lang w:val="en-US"/>
        </w:rPr>
        <w:t xml:space="preserve">working out </w:t>
      </w:r>
      <w:r w:rsidR="002078B3" w:rsidRPr="00813D19">
        <w:rPr>
          <w:lang w:val="en-US"/>
        </w:rPr>
        <w:t xml:space="preserve">this creative procedure that the majority of Committee Members </w:t>
      </w:r>
      <w:r w:rsidR="00F22D58" w:rsidRPr="00813D19">
        <w:rPr>
          <w:lang w:val="en-US"/>
        </w:rPr>
        <w:t>supported</w:t>
      </w:r>
      <w:r w:rsidR="002078B3" w:rsidRPr="00813D19">
        <w:rPr>
          <w:lang w:val="en-US"/>
        </w:rPr>
        <w:t xml:space="preserve">. </w:t>
      </w:r>
      <w:r w:rsidR="00F22D58" w:rsidRPr="00813D19">
        <w:rPr>
          <w:lang w:val="en-US"/>
        </w:rPr>
        <w:t>U</w:t>
      </w:r>
      <w:r w:rsidR="002078B3" w:rsidRPr="00813D19">
        <w:rPr>
          <w:lang w:val="en-US"/>
        </w:rPr>
        <w:t>nfortunately</w:t>
      </w:r>
      <w:r w:rsidR="004A47D2">
        <w:rPr>
          <w:lang w:val="en-US"/>
        </w:rPr>
        <w:t>,</w:t>
      </w:r>
      <w:r w:rsidR="00F22D58" w:rsidRPr="00813D19">
        <w:rPr>
          <w:lang w:val="en-US"/>
        </w:rPr>
        <w:t xml:space="preserve"> however</w:t>
      </w:r>
      <w:r w:rsidR="002078B3" w:rsidRPr="00813D19">
        <w:rPr>
          <w:lang w:val="en-US"/>
        </w:rPr>
        <w:t xml:space="preserve">, a majority of Observers that </w:t>
      </w:r>
      <w:r w:rsidR="00F22D58" w:rsidRPr="00813D19">
        <w:rPr>
          <w:lang w:val="en-US"/>
        </w:rPr>
        <w:t xml:space="preserve">were </w:t>
      </w:r>
      <w:r w:rsidR="002078B3" w:rsidRPr="00813D19">
        <w:rPr>
          <w:lang w:val="en-US"/>
        </w:rPr>
        <w:t xml:space="preserve">also States Parties to the Convention </w:t>
      </w:r>
      <w:r w:rsidR="00F22D58" w:rsidRPr="00813D19">
        <w:rPr>
          <w:lang w:val="en-US"/>
        </w:rPr>
        <w:t xml:space="preserve">did </w:t>
      </w:r>
      <w:r w:rsidR="002078B3" w:rsidRPr="00813D19">
        <w:rPr>
          <w:lang w:val="en-US"/>
        </w:rPr>
        <w:t xml:space="preserve">not </w:t>
      </w:r>
      <w:r w:rsidR="00F22D58" w:rsidRPr="00813D19">
        <w:rPr>
          <w:lang w:val="en-US"/>
        </w:rPr>
        <w:t xml:space="preserve">support the proposal and upheld </w:t>
      </w:r>
      <w:r w:rsidR="002078B3" w:rsidRPr="00813D19">
        <w:rPr>
          <w:lang w:val="en-US"/>
        </w:rPr>
        <w:t xml:space="preserve">the </w:t>
      </w:r>
      <w:r w:rsidR="00F22D58" w:rsidRPr="00813D19">
        <w:rPr>
          <w:lang w:val="en-US"/>
        </w:rPr>
        <w:t xml:space="preserve">position </w:t>
      </w:r>
      <w:r w:rsidR="002078B3" w:rsidRPr="00813D19">
        <w:rPr>
          <w:lang w:val="en-US"/>
        </w:rPr>
        <w:t xml:space="preserve">of the Legal Adviser. </w:t>
      </w:r>
      <w:r w:rsidR="00F22D58" w:rsidRPr="00813D19">
        <w:rPr>
          <w:lang w:val="en-US"/>
        </w:rPr>
        <w:t xml:space="preserve">Thus, at this stage, </w:t>
      </w:r>
      <w:r w:rsidR="002078B3" w:rsidRPr="00813D19">
        <w:rPr>
          <w:lang w:val="en-US"/>
        </w:rPr>
        <w:t xml:space="preserve">it </w:t>
      </w:r>
      <w:r w:rsidR="00F22D58" w:rsidRPr="00813D19">
        <w:rPr>
          <w:lang w:val="en-US"/>
        </w:rPr>
        <w:t xml:space="preserve">was </w:t>
      </w:r>
      <w:r w:rsidR="002078B3" w:rsidRPr="00813D19">
        <w:rPr>
          <w:lang w:val="en-US"/>
        </w:rPr>
        <w:t xml:space="preserve">more appropriate to withdraw </w:t>
      </w:r>
      <w:r w:rsidR="00F22D58" w:rsidRPr="00813D19">
        <w:rPr>
          <w:lang w:val="en-US"/>
        </w:rPr>
        <w:t xml:space="preserve">the </w:t>
      </w:r>
      <w:r w:rsidR="002078B3" w:rsidRPr="00813D19">
        <w:rPr>
          <w:lang w:val="en-US"/>
        </w:rPr>
        <w:t xml:space="preserve">proposal and maybe listen to other colleagues </w:t>
      </w:r>
      <w:r w:rsidR="0005530D" w:rsidRPr="00813D19">
        <w:rPr>
          <w:lang w:val="en-US"/>
        </w:rPr>
        <w:t xml:space="preserve">to look at </w:t>
      </w:r>
      <w:r w:rsidR="002078B3" w:rsidRPr="00813D19">
        <w:rPr>
          <w:lang w:val="en-US"/>
        </w:rPr>
        <w:t xml:space="preserve">another way </w:t>
      </w:r>
      <w:r w:rsidR="0005530D" w:rsidRPr="00813D19">
        <w:rPr>
          <w:lang w:val="en-US"/>
        </w:rPr>
        <w:t xml:space="preserve">to create </w:t>
      </w:r>
      <w:r w:rsidR="00F22D58" w:rsidRPr="00813D19">
        <w:rPr>
          <w:lang w:val="en-US"/>
        </w:rPr>
        <w:t xml:space="preserve">a </w:t>
      </w:r>
      <w:r w:rsidR="00DD4E22">
        <w:rPr>
          <w:lang w:val="en-US"/>
        </w:rPr>
        <w:t>dialogue mechanism.</w:t>
      </w:r>
    </w:p>
    <w:p w14:paraId="1376E912" w14:textId="77EFA65B" w:rsidR="006C76EC" w:rsidRPr="00813D19" w:rsidRDefault="006C76EC" w:rsidP="00744206">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Poland</w:t>
      </w:r>
      <w:r w:rsidR="002078B3" w:rsidRPr="00813D19">
        <w:rPr>
          <w:b/>
          <w:color w:val="000000" w:themeColor="text1"/>
          <w:lang w:val="en-US"/>
        </w:rPr>
        <w:t xml:space="preserve"> </w:t>
      </w:r>
      <w:r w:rsidR="00F22D58" w:rsidRPr="00813D19">
        <w:rPr>
          <w:lang w:val="en-US"/>
        </w:rPr>
        <w:t xml:space="preserve">felt that </w:t>
      </w:r>
      <w:r w:rsidR="002078B3" w:rsidRPr="00813D19">
        <w:rPr>
          <w:lang w:val="en-US"/>
        </w:rPr>
        <w:t xml:space="preserve">in light of </w:t>
      </w:r>
      <w:r w:rsidR="00F22D58" w:rsidRPr="00813D19">
        <w:rPr>
          <w:lang w:val="en-US"/>
        </w:rPr>
        <w:t xml:space="preserve">the </w:t>
      </w:r>
      <w:r w:rsidR="002078B3" w:rsidRPr="00813D19">
        <w:rPr>
          <w:lang w:val="en-US"/>
        </w:rPr>
        <w:t>explanation by the Legal Adviser</w:t>
      </w:r>
      <w:r w:rsidR="00F22D58" w:rsidRPr="00813D19">
        <w:rPr>
          <w:lang w:val="en-US"/>
        </w:rPr>
        <w:t>,</w:t>
      </w:r>
      <w:r w:rsidR="002078B3" w:rsidRPr="00813D19">
        <w:rPr>
          <w:lang w:val="en-US"/>
        </w:rPr>
        <w:t xml:space="preserve"> </w:t>
      </w:r>
      <w:r w:rsidR="00F22D58" w:rsidRPr="00813D19">
        <w:rPr>
          <w:lang w:val="en-US"/>
        </w:rPr>
        <w:t xml:space="preserve">the Committee had </w:t>
      </w:r>
      <w:r w:rsidR="002078B3" w:rsidRPr="00813D19">
        <w:rPr>
          <w:lang w:val="en-US"/>
        </w:rPr>
        <w:t>no other choice</w:t>
      </w:r>
      <w:r w:rsidR="00BA1BE3" w:rsidRPr="00813D19">
        <w:rPr>
          <w:lang w:val="en-US"/>
        </w:rPr>
        <w:t xml:space="preserve">, </w:t>
      </w:r>
      <w:r w:rsidR="00F22D58" w:rsidRPr="00813D19">
        <w:rPr>
          <w:lang w:val="en-US"/>
        </w:rPr>
        <w:t xml:space="preserve">even though it </w:t>
      </w:r>
      <w:r w:rsidR="002078B3" w:rsidRPr="00813D19">
        <w:rPr>
          <w:lang w:val="en-US"/>
        </w:rPr>
        <w:t>support</w:t>
      </w:r>
      <w:r w:rsidR="00F22D58" w:rsidRPr="00813D19">
        <w:rPr>
          <w:lang w:val="en-US"/>
        </w:rPr>
        <w:t>ed</w:t>
      </w:r>
      <w:r w:rsidR="002078B3" w:rsidRPr="00813D19">
        <w:rPr>
          <w:lang w:val="en-US"/>
        </w:rPr>
        <w:t xml:space="preserve"> the proposal by Palestine. </w:t>
      </w:r>
      <w:r w:rsidR="00BA1BE3" w:rsidRPr="00813D19">
        <w:rPr>
          <w:lang w:val="en-US"/>
        </w:rPr>
        <w:t xml:space="preserve">The Committee had </w:t>
      </w:r>
      <w:r w:rsidR="002078B3" w:rsidRPr="00813D19">
        <w:rPr>
          <w:lang w:val="en-US"/>
        </w:rPr>
        <w:t xml:space="preserve">to think about </w:t>
      </w:r>
      <w:r w:rsidR="00BA1BE3" w:rsidRPr="00813D19">
        <w:rPr>
          <w:lang w:val="en-US"/>
        </w:rPr>
        <w:t xml:space="preserve">a </w:t>
      </w:r>
      <w:r w:rsidR="002078B3" w:rsidRPr="00813D19">
        <w:rPr>
          <w:lang w:val="en-US"/>
        </w:rPr>
        <w:t xml:space="preserve">better </w:t>
      </w:r>
      <w:r w:rsidR="00BA1BE3" w:rsidRPr="00813D19">
        <w:rPr>
          <w:lang w:val="en-US"/>
        </w:rPr>
        <w:t xml:space="preserve">future </w:t>
      </w:r>
      <w:r w:rsidR="002078B3" w:rsidRPr="00813D19">
        <w:rPr>
          <w:lang w:val="en-US"/>
        </w:rPr>
        <w:t>global mechanism for dialogue</w:t>
      </w:r>
      <w:r w:rsidR="00BA1BE3" w:rsidRPr="00813D19">
        <w:rPr>
          <w:lang w:val="en-US"/>
        </w:rPr>
        <w:t>,</w:t>
      </w:r>
      <w:r w:rsidR="002078B3" w:rsidRPr="00813D19">
        <w:rPr>
          <w:lang w:val="en-US"/>
        </w:rPr>
        <w:t xml:space="preserve"> which could be </w:t>
      </w:r>
      <w:r w:rsidR="00BA1BE3" w:rsidRPr="00813D19">
        <w:rPr>
          <w:lang w:val="en-US"/>
        </w:rPr>
        <w:t xml:space="preserve">a </w:t>
      </w:r>
      <w:r w:rsidR="002078B3" w:rsidRPr="00813D19">
        <w:rPr>
          <w:lang w:val="en-US"/>
        </w:rPr>
        <w:t xml:space="preserve">possible area for reflection concerning these very difficult cases where </w:t>
      </w:r>
      <w:r w:rsidR="0005530D" w:rsidRPr="00813D19">
        <w:rPr>
          <w:lang w:val="en-US"/>
        </w:rPr>
        <w:t xml:space="preserve">the outcome greatly affected </w:t>
      </w:r>
      <w:r w:rsidR="002078B3" w:rsidRPr="00813D19">
        <w:rPr>
          <w:lang w:val="en-US"/>
        </w:rPr>
        <w:t xml:space="preserve">the local communities or </w:t>
      </w:r>
      <w:r w:rsidR="00BA1BE3" w:rsidRPr="00813D19">
        <w:rPr>
          <w:lang w:val="en-US"/>
        </w:rPr>
        <w:t>bearers. T</w:t>
      </w:r>
      <w:r w:rsidR="002078B3" w:rsidRPr="00813D19">
        <w:rPr>
          <w:lang w:val="en-US"/>
        </w:rPr>
        <w:t xml:space="preserve">he next session of the Committee would </w:t>
      </w:r>
      <w:r w:rsidR="00BA1BE3" w:rsidRPr="00813D19">
        <w:rPr>
          <w:lang w:val="en-US"/>
        </w:rPr>
        <w:t xml:space="preserve">be the time to </w:t>
      </w:r>
      <w:r w:rsidR="002078B3" w:rsidRPr="00813D19">
        <w:rPr>
          <w:lang w:val="en-US"/>
        </w:rPr>
        <w:t xml:space="preserve">think about such instruments </w:t>
      </w:r>
      <w:r w:rsidR="00BA1BE3" w:rsidRPr="00813D19">
        <w:rPr>
          <w:lang w:val="en-US"/>
        </w:rPr>
        <w:t>for presentation</w:t>
      </w:r>
      <w:r w:rsidR="002078B3" w:rsidRPr="00813D19">
        <w:rPr>
          <w:lang w:val="en-US"/>
        </w:rPr>
        <w:t xml:space="preserve"> </w:t>
      </w:r>
      <w:r w:rsidR="00BA1BE3" w:rsidRPr="00813D19">
        <w:rPr>
          <w:lang w:val="en-US"/>
        </w:rPr>
        <w:t>at the next General Assembly in 2020</w:t>
      </w:r>
      <w:r w:rsidR="00DD4E22">
        <w:rPr>
          <w:lang w:val="en-US"/>
        </w:rPr>
        <w:t>.</w:t>
      </w:r>
    </w:p>
    <w:p w14:paraId="12B56C77" w14:textId="04C8273E" w:rsidR="006C76EC" w:rsidRPr="00813D19" w:rsidRDefault="004C2719" w:rsidP="00744206">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Japan</w:t>
      </w:r>
      <w:r w:rsidR="002078B3" w:rsidRPr="00813D19">
        <w:rPr>
          <w:b/>
          <w:color w:val="000000" w:themeColor="text1"/>
          <w:lang w:val="en-US"/>
        </w:rPr>
        <w:t xml:space="preserve"> </w:t>
      </w:r>
      <w:r w:rsidR="004A47D2" w:rsidRPr="003221D5">
        <w:rPr>
          <w:color w:val="000000" w:themeColor="text1"/>
          <w:lang w:val="en-US"/>
        </w:rPr>
        <w:t>had</w:t>
      </w:r>
      <w:r w:rsidR="004A47D2">
        <w:rPr>
          <w:b/>
          <w:color w:val="000000" w:themeColor="text1"/>
          <w:lang w:val="en-US"/>
        </w:rPr>
        <w:t xml:space="preserve"> </w:t>
      </w:r>
      <w:r w:rsidR="00BA1BE3" w:rsidRPr="00813D19">
        <w:rPr>
          <w:color w:val="000000" w:themeColor="text1"/>
          <w:lang w:val="en-US"/>
        </w:rPr>
        <w:t>listened</w:t>
      </w:r>
      <w:r w:rsidR="00BA1BE3" w:rsidRPr="00813D19">
        <w:rPr>
          <w:b/>
          <w:color w:val="000000" w:themeColor="text1"/>
          <w:lang w:val="en-US"/>
        </w:rPr>
        <w:t xml:space="preserve"> </w:t>
      </w:r>
      <w:r w:rsidR="002078B3" w:rsidRPr="00813D19">
        <w:rPr>
          <w:lang w:val="en-US"/>
        </w:rPr>
        <w:t>carefully to the Legal Adviser and agree</w:t>
      </w:r>
      <w:r w:rsidR="00BA1BE3" w:rsidRPr="00813D19">
        <w:rPr>
          <w:lang w:val="en-US"/>
        </w:rPr>
        <w:t>d</w:t>
      </w:r>
      <w:r w:rsidR="002078B3" w:rsidRPr="00813D19">
        <w:rPr>
          <w:lang w:val="en-US"/>
        </w:rPr>
        <w:t xml:space="preserve"> with </w:t>
      </w:r>
      <w:r w:rsidR="00BA1BE3" w:rsidRPr="00813D19">
        <w:rPr>
          <w:lang w:val="en-US"/>
        </w:rPr>
        <w:t>Palestine and Poland to</w:t>
      </w:r>
      <w:r w:rsidR="002078B3" w:rsidRPr="00813D19">
        <w:rPr>
          <w:lang w:val="en-US"/>
        </w:rPr>
        <w:t xml:space="preserve"> withdraw </w:t>
      </w:r>
      <w:r w:rsidR="0005530D" w:rsidRPr="00813D19">
        <w:rPr>
          <w:lang w:val="en-US"/>
        </w:rPr>
        <w:t xml:space="preserve">the </w:t>
      </w:r>
      <w:r w:rsidR="002078B3" w:rsidRPr="00813D19">
        <w:rPr>
          <w:lang w:val="en-US"/>
        </w:rPr>
        <w:t xml:space="preserve">proposal. </w:t>
      </w:r>
      <w:r w:rsidR="00BA1BE3" w:rsidRPr="00813D19">
        <w:rPr>
          <w:lang w:val="en-US"/>
        </w:rPr>
        <w:t xml:space="preserve">Neverthless, the Committee had engaged in </w:t>
      </w:r>
      <w:r w:rsidR="002078B3" w:rsidRPr="00813D19">
        <w:rPr>
          <w:lang w:val="en-US"/>
        </w:rPr>
        <w:t xml:space="preserve">a very fruitful and important </w:t>
      </w:r>
      <w:r w:rsidR="00DC51F5" w:rsidRPr="00813D19">
        <w:rPr>
          <w:lang w:val="en-US"/>
        </w:rPr>
        <w:t xml:space="preserve">reflection </w:t>
      </w:r>
      <w:r w:rsidR="002078B3" w:rsidRPr="00813D19">
        <w:rPr>
          <w:lang w:val="en-US"/>
        </w:rPr>
        <w:t>on the dialogue procedure</w:t>
      </w:r>
      <w:r w:rsidR="00BA1BE3" w:rsidRPr="00813D19">
        <w:rPr>
          <w:lang w:val="en-US"/>
        </w:rPr>
        <w:t>,</w:t>
      </w:r>
      <w:r w:rsidR="002078B3" w:rsidRPr="00813D19">
        <w:rPr>
          <w:lang w:val="en-US"/>
        </w:rPr>
        <w:t xml:space="preserve"> and the </w:t>
      </w:r>
      <w:r w:rsidR="00BA1BE3" w:rsidRPr="00813D19">
        <w:rPr>
          <w:lang w:val="en-US"/>
        </w:rPr>
        <w:t>heated discussion reflected</w:t>
      </w:r>
      <w:r w:rsidR="002078B3" w:rsidRPr="00813D19">
        <w:rPr>
          <w:lang w:val="en-US"/>
        </w:rPr>
        <w:t xml:space="preserve"> the imminent nature of the reform</w:t>
      </w:r>
      <w:r w:rsidR="00BA1BE3" w:rsidRPr="00813D19">
        <w:rPr>
          <w:lang w:val="en-US"/>
        </w:rPr>
        <w:t>.</w:t>
      </w:r>
      <w:r w:rsidR="002078B3" w:rsidRPr="00813D19">
        <w:rPr>
          <w:lang w:val="en-US"/>
        </w:rPr>
        <w:t xml:space="preserve"> </w:t>
      </w:r>
      <w:r w:rsidR="00BA1BE3" w:rsidRPr="00813D19">
        <w:rPr>
          <w:lang w:val="en-US"/>
        </w:rPr>
        <w:t>W</w:t>
      </w:r>
      <w:r w:rsidR="002078B3" w:rsidRPr="00813D19">
        <w:rPr>
          <w:lang w:val="en-US"/>
        </w:rPr>
        <w:t xml:space="preserve">hile respecting the Secretariat’s proposed calendar, </w:t>
      </w:r>
      <w:r w:rsidR="00BA1BE3" w:rsidRPr="00813D19">
        <w:rPr>
          <w:lang w:val="en-US"/>
        </w:rPr>
        <w:t xml:space="preserve">the delegation proposed that </w:t>
      </w:r>
      <w:r w:rsidR="002078B3" w:rsidRPr="00813D19">
        <w:rPr>
          <w:lang w:val="en-US"/>
        </w:rPr>
        <w:t xml:space="preserve">this issue and other impending issues should be tentatively addressed by the time of the next </w:t>
      </w:r>
      <w:r w:rsidR="00BA1BE3" w:rsidRPr="00813D19">
        <w:rPr>
          <w:lang w:val="en-US"/>
        </w:rPr>
        <w:t xml:space="preserve">General Assembly </w:t>
      </w:r>
      <w:r w:rsidR="00DD4E22">
        <w:rPr>
          <w:lang w:val="en-US"/>
        </w:rPr>
        <w:t>in 2020.</w:t>
      </w:r>
    </w:p>
    <w:p w14:paraId="2334633A" w14:textId="355CFCB4" w:rsidR="004C2719" w:rsidRPr="00813D19" w:rsidRDefault="00751184" w:rsidP="00744206">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 </w:t>
      </w:r>
      <w:r w:rsidR="00BA1BE3" w:rsidRPr="00813D19">
        <w:rPr>
          <w:color w:val="000000" w:themeColor="text1"/>
          <w:lang w:val="en-US"/>
        </w:rPr>
        <w:t>agreed that</w:t>
      </w:r>
      <w:r w:rsidR="004A47D2">
        <w:rPr>
          <w:color w:val="000000" w:themeColor="text1"/>
          <w:lang w:val="en-US"/>
        </w:rPr>
        <w:t>,</w:t>
      </w:r>
      <w:r w:rsidR="00BA1BE3" w:rsidRPr="00813D19">
        <w:rPr>
          <w:b/>
          <w:color w:val="000000" w:themeColor="text1"/>
          <w:lang w:val="en-US"/>
        </w:rPr>
        <w:t xml:space="preserve"> </w:t>
      </w:r>
      <w:r w:rsidR="00BA1BE3" w:rsidRPr="00813D19">
        <w:rPr>
          <w:lang w:val="en-US"/>
        </w:rPr>
        <w:t>in light of the advice by the Legal Adviser</w:t>
      </w:r>
      <w:r w:rsidR="004A47D2">
        <w:rPr>
          <w:lang w:val="en-US"/>
        </w:rPr>
        <w:t>,</w:t>
      </w:r>
      <w:r w:rsidR="002078B3" w:rsidRPr="00813D19">
        <w:rPr>
          <w:lang w:val="en-US"/>
        </w:rPr>
        <w:t xml:space="preserve"> </w:t>
      </w:r>
      <w:r w:rsidR="00BA1BE3" w:rsidRPr="00813D19">
        <w:rPr>
          <w:lang w:val="en-US"/>
        </w:rPr>
        <w:t xml:space="preserve">it was </w:t>
      </w:r>
      <w:r w:rsidR="00813D19" w:rsidRPr="00813D19">
        <w:rPr>
          <w:lang w:val="en-US"/>
        </w:rPr>
        <w:t>advisable</w:t>
      </w:r>
      <w:r w:rsidR="00BA1BE3" w:rsidRPr="00813D19">
        <w:rPr>
          <w:lang w:val="en-US"/>
        </w:rPr>
        <w:t xml:space="preserve"> to withdraw the proposal and find another </w:t>
      </w:r>
      <w:r w:rsidR="002078B3" w:rsidRPr="00813D19">
        <w:rPr>
          <w:lang w:val="en-US"/>
        </w:rPr>
        <w:t xml:space="preserve">solution </w:t>
      </w:r>
      <w:r w:rsidR="004879B5" w:rsidRPr="00813D19">
        <w:rPr>
          <w:lang w:val="en-US"/>
        </w:rPr>
        <w:t>that respected</w:t>
      </w:r>
      <w:r w:rsidR="00DD4E22">
        <w:rPr>
          <w:lang w:val="en-US"/>
        </w:rPr>
        <w:t xml:space="preserve"> the rules.</w:t>
      </w:r>
    </w:p>
    <w:p w14:paraId="1C3A4ECD" w14:textId="0503A782" w:rsidR="00F12F37" w:rsidRPr="00813D19" w:rsidRDefault="00CC0757" w:rsidP="00744206">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w:t>
      </w:r>
      <w:r w:rsidR="002078B3" w:rsidRPr="00813D19">
        <w:rPr>
          <w:b/>
          <w:color w:val="000000" w:themeColor="text1"/>
          <w:lang w:val="en-US"/>
        </w:rPr>
        <w:t xml:space="preserve"> </w:t>
      </w:r>
      <w:r w:rsidR="00BA1BE3" w:rsidRPr="00813D19">
        <w:rPr>
          <w:color w:val="000000" w:themeColor="text1"/>
          <w:lang w:val="en-US"/>
        </w:rPr>
        <w:t>remarked</w:t>
      </w:r>
      <w:r w:rsidR="00BA1BE3" w:rsidRPr="00813D19">
        <w:rPr>
          <w:b/>
          <w:color w:val="000000" w:themeColor="text1"/>
          <w:lang w:val="en-US"/>
        </w:rPr>
        <w:t xml:space="preserve"> </w:t>
      </w:r>
      <w:r w:rsidR="00BA1BE3" w:rsidRPr="00813D19">
        <w:rPr>
          <w:bCs/>
          <w:lang w:val="en-US"/>
        </w:rPr>
        <w:t xml:space="preserve">on the </w:t>
      </w:r>
      <w:r w:rsidR="002078B3" w:rsidRPr="00813D19">
        <w:rPr>
          <w:bCs/>
          <w:lang w:val="en-US"/>
        </w:rPr>
        <w:t xml:space="preserve">very clear and interesting discussion </w:t>
      </w:r>
      <w:r w:rsidR="00BA1BE3" w:rsidRPr="00813D19">
        <w:rPr>
          <w:bCs/>
          <w:lang w:val="en-US"/>
        </w:rPr>
        <w:t xml:space="preserve">on </w:t>
      </w:r>
      <w:r w:rsidR="002078B3" w:rsidRPr="00813D19">
        <w:rPr>
          <w:bCs/>
          <w:lang w:val="en-US"/>
        </w:rPr>
        <w:t>the dialogue mechanism and the need for reform of the evaluation process</w:t>
      </w:r>
      <w:r w:rsidR="00BA1BE3" w:rsidRPr="00813D19">
        <w:rPr>
          <w:bCs/>
          <w:lang w:val="en-US"/>
        </w:rPr>
        <w:t xml:space="preserve">, noting that the </w:t>
      </w:r>
      <w:r w:rsidR="002078B3" w:rsidRPr="00813D19">
        <w:rPr>
          <w:bCs/>
          <w:lang w:val="en-US"/>
        </w:rPr>
        <w:t xml:space="preserve">Committee </w:t>
      </w:r>
      <w:r w:rsidR="00BA1BE3" w:rsidRPr="00813D19">
        <w:rPr>
          <w:bCs/>
          <w:lang w:val="en-US"/>
        </w:rPr>
        <w:t xml:space="preserve">appeared </w:t>
      </w:r>
      <w:r w:rsidR="002078B3" w:rsidRPr="00813D19">
        <w:rPr>
          <w:bCs/>
          <w:lang w:val="en-US"/>
        </w:rPr>
        <w:t>to have come to a culmination of frustrations that started two years ago in 2016 in Addis</w:t>
      </w:r>
      <w:r w:rsidR="00BA1BE3" w:rsidRPr="00813D19">
        <w:rPr>
          <w:bCs/>
          <w:lang w:val="en-US"/>
        </w:rPr>
        <w:t xml:space="preserve"> Ababa. The Secretariat stood</w:t>
      </w:r>
      <w:r w:rsidR="002078B3" w:rsidRPr="00813D19">
        <w:rPr>
          <w:bCs/>
          <w:lang w:val="en-US"/>
        </w:rPr>
        <w:t xml:space="preserve"> ready to </w:t>
      </w:r>
      <w:r w:rsidR="00BA1BE3" w:rsidRPr="00813D19">
        <w:rPr>
          <w:bCs/>
          <w:lang w:val="en-US"/>
        </w:rPr>
        <w:t xml:space="preserve">fully </w:t>
      </w:r>
      <w:r w:rsidR="002078B3" w:rsidRPr="00813D19">
        <w:rPr>
          <w:bCs/>
          <w:lang w:val="en-US"/>
        </w:rPr>
        <w:t xml:space="preserve">support work on an upstream dialogue process to the best extent possible with a view to proposing </w:t>
      </w:r>
      <w:r w:rsidR="00BA1BE3" w:rsidRPr="00813D19">
        <w:rPr>
          <w:bCs/>
          <w:lang w:val="en-US"/>
        </w:rPr>
        <w:t xml:space="preserve">a way forward </w:t>
      </w:r>
      <w:r w:rsidR="002078B3" w:rsidRPr="00813D19">
        <w:rPr>
          <w:bCs/>
          <w:lang w:val="en-US"/>
        </w:rPr>
        <w:t xml:space="preserve">at the next Committee, </w:t>
      </w:r>
      <w:r w:rsidR="00BA1BE3" w:rsidRPr="00813D19">
        <w:rPr>
          <w:bCs/>
          <w:lang w:val="en-US"/>
        </w:rPr>
        <w:t xml:space="preserve">with </w:t>
      </w:r>
      <w:r w:rsidR="002078B3" w:rsidRPr="00813D19">
        <w:rPr>
          <w:bCs/>
          <w:lang w:val="en-US"/>
        </w:rPr>
        <w:t>draft amendments to be proposed t</w:t>
      </w:r>
      <w:r w:rsidR="00DD4E22">
        <w:rPr>
          <w:bCs/>
          <w:lang w:val="en-US"/>
        </w:rPr>
        <w:t>o the General Assembly in 2020.</w:t>
      </w:r>
    </w:p>
    <w:p w14:paraId="3807EB2C" w14:textId="29C4E118" w:rsidR="001E0151" w:rsidRPr="00813D19" w:rsidRDefault="000D7E72" w:rsidP="00D70CA6">
      <w:pPr>
        <w:pStyle w:val="Orateurengris"/>
        <w:spacing w:after="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BA1BE3" w:rsidRPr="00813D19">
        <w:rPr>
          <w:color w:val="000000" w:themeColor="text1"/>
          <w:lang w:val="en-US"/>
        </w:rPr>
        <w:t>proposed</w:t>
      </w:r>
      <w:r w:rsidR="00BA1BE3" w:rsidRPr="00813D19">
        <w:rPr>
          <w:b/>
          <w:color w:val="000000" w:themeColor="text1"/>
          <w:lang w:val="en-US"/>
        </w:rPr>
        <w:t xml:space="preserve"> </w:t>
      </w:r>
      <w:r w:rsidR="00201CA0" w:rsidRPr="00813D19">
        <w:rPr>
          <w:lang w:val="en-US"/>
        </w:rPr>
        <w:t>return</w:t>
      </w:r>
      <w:r w:rsidR="004A47D2">
        <w:rPr>
          <w:lang w:val="en-US"/>
        </w:rPr>
        <w:t>ing</w:t>
      </w:r>
      <w:r w:rsidR="00201CA0" w:rsidRPr="00813D19">
        <w:rPr>
          <w:lang w:val="en-US"/>
        </w:rPr>
        <w:t xml:space="preserve"> to the exam</w:t>
      </w:r>
      <w:r w:rsidR="00AC39A5" w:rsidRPr="00813D19">
        <w:rPr>
          <w:lang w:val="en-US"/>
        </w:rPr>
        <w:t xml:space="preserve">ination of </w:t>
      </w:r>
      <w:r w:rsidR="002078B3" w:rsidRPr="00813D19">
        <w:rPr>
          <w:lang w:val="en-US"/>
        </w:rPr>
        <w:t xml:space="preserve">the file </w:t>
      </w:r>
      <w:r w:rsidR="00AC39A5" w:rsidRPr="00813D19">
        <w:rPr>
          <w:lang w:val="en-US"/>
        </w:rPr>
        <w:t xml:space="preserve">by Albania, after which the Committee would return to the nomination file by </w:t>
      </w:r>
      <w:r w:rsidR="002078B3" w:rsidRPr="00813D19">
        <w:rPr>
          <w:lang w:val="en-US"/>
        </w:rPr>
        <w:t xml:space="preserve">Argentina. </w:t>
      </w:r>
      <w:r w:rsidR="00AC39A5" w:rsidRPr="00813D19">
        <w:rPr>
          <w:lang w:val="en-US"/>
        </w:rPr>
        <w:t xml:space="preserve">The Chairperson thanked everyone </w:t>
      </w:r>
      <w:r w:rsidR="002078B3" w:rsidRPr="00813D19">
        <w:rPr>
          <w:lang w:val="en-US"/>
        </w:rPr>
        <w:t>for having taken the opportunity to d</w:t>
      </w:r>
      <w:r w:rsidR="00AC39A5" w:rsidRPr="00813D19">
        <w:rPr>
          <w:lang w:val="en-US"/>
        </w:rPr>
        <w:t>iscuss such an important issue.</w:t>
      </w:r>
    </w:p>
    <w:p w14:paraId="7EE6958F" w14:textId="6EDCD1CA" w:rsidR="001E0151" w:rsidRPr="00813D19" w:rsidRDefault="001E0151" w:rsidP="00DD4E22">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10.d OF THE AGENDA </w:t>
      </w:r>
      <w:r w:rsidR="00903550" w:rsidRPr="00813D19">
        <w:rPr>
          <w:b/>
          <w:color w:val="000000" w:themeColor="text1"/>
          <w:u w:val="single"/>
          <w:lang w:val="en-US"/>
        </w:rPr>
        <w:t>[CONT.]</w:t>
      </w:r>
    </w:p>
    <w:p w14:paraId="6F048E2D" w14:textId="62201888" w:rsidR="001E0151" w:rsidRPr="00813D19" w:rsidRDefault="001E0151" w:rsidP="00DD4E22">
      <w:pPr>
        <w:pStyle w:val="Orateurengris"/>
        <w:numPr>
          <w:ilvl w:val="0"/>
          <w:numId w:val="0"/>
        </w:numPr>
        <w:spacing w:after="240"/>
        <w:jc w:val="left"/>
        <w:outlineLvl w:val="1"/>
        <w:rPr>
          <w:b/>
          <w:color w:val="000000" w:themeColor="text1"/>
          <w:lang w:val="en-US"/>
        </w:rPr>
      </w:pPr>
      <w:r w:rsidRPr="00813D19">
        <w:rPr>
          <w:b/>
          <w:color w:val="000000" w:themeColor="text1"/>
          <w:lang w:val="en-US"/>
        </w:rPr>
        <w:t>EXAMINATION OF REQUES</w:t>
      </w:r>
      <w:r w:rsidR="00DD4E22">
        <w:rPr>
          <w:b/>
          <w:color w:val="000000" w:themeColor="text1"/>
          <w:lang w:val="en-US"/>
        </w:rPr>
        <w:t>TS FOR INTERNATIONAL ASSISTANCE</w:t>
      </w:r>
    </w:p>
    <w:p w14:paraId="6ABD2295" w14:textId="21035572" w:rsidR="001E0151" w:rsidRPr="00813D19" w:rsidRDefault="001E0151" w:rsidP="00D70CA6">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returned to the draft decision</w:t>
      </w:r>
      <w:r w:rsidR="00561657" w:rsidRPr="00813D19">
        <w:rPr>
          <w:color w:val="000000" w:themeColor="text1"/>
          <w:lang w:val="en-US"/>
        </w:rPr>
        <w:t xml:space="preserve"> on Albania</w:t>
      </w:r>
      <w:r w:rsidRPr="00813D19">
        <w:rPr>
          <w:color w:val="000000" w:themeColor="text1"/>
          <w:lang w:val="en-US"/>
        </w:rPr>
        <w:t xml:space="preserve">, recalling </w:t>
      </w:r>
      <w:r w:rsidR="00561657" w:rsidRPr="00813D19">
        <w:rPr>
          <w:color w:val="000000" w:themeColor="text1"/>
          <w:lang w:val="en-US"/>
        </w:rPr>
        <w:t>that the Secretariat had to undertake an exercise to clarify some wording</w:t>
      </w:r>
      <w:r w:rsidR="009F6C76" w:rsidRPr="00813D19">
        <w:rPr>
          <w:lang w:val="en-US"/>
        </w:rPr>
        <w:t xml:space="preserve">. </w:t>
      </w:r>
      <w:r w:rsidR="00561657" w:rsidRPr="00813D19">
        <w:rPr>
          <w:lang w:val="en-US"/>
        </w:rPr>
        <w:t xml:space="preserve">The draft decision was projected onto the </w:t>
      </w:r>
      <w:r w:rsidR="009F6C76" w:rsidRPr="00813D19">
        <w:rPr>
          <w:lang w:val="en-US"/>
        </w:rPr>
        <w:t>scr</w:t>
      </w:r>
      <w:r w:rsidR="00561657" w:rsidRPr="00813D19">
        <w:rPr>
          <w:lang w:val="en-US"/>
        </w:rPr>
        <w:t>een.</w:t>
      </w:r>
      <w:r w:rsidR="009F6C76" w:rsidRPr="00813D19">
        <w:rPr>
          <w:lang w:val="en-US"/>
        </w:rPr>
        <w:t xml:space="preserve"> </w:t>
      </w:r>
      <w:r w:rsidR="00561657" w:rsidRPr="00813D19">
        <w:rPr>
          <w:lang w:val="en-US"/>
        </w:rPr>
        <w:t xml:space="preserve">It was recalled that paragraphs 1–6 had been </w:t>
      </w:r>
      <w:r w:rsidR="009F6C76" w:rsidRPr="00813D19">
        <w:rPr>
          <w:lang w:val="en-US"/>
        </w:rPr>
        <w:t>adopted</w:t>
      </w:r>
      <w:r w:rsidR="00561657" w:rsidRPr="00813D19">
        <w:rPr>
          <w:lang w:val="en-US"/>
        </w:rPr>
        <w:t xml:space="preserve">. The Chairperson turned to </w:t>
      </w:r>
      <w:r w:rsidR="009F6C76" w:rsidRPr="00813D19">
        <w:rPr>
          <w:lang w:val="en-US"/>
        </w:rPr>
        <w:t xml:space="preserve">paragraph </w:t>
      </w:r>
      <w:r w:rsidR="00561657" w:rsidRPr="00813D19">
        <w:rPr>
          <w:lang w:val="en-US"/>
        </w:rPr>
        <w:t>7, which ‘decides</w:t>
      </w:r>
      <w:r w:rsidR="009F6C76" w:rsidRPr="00813D19">
        <w:rPr>
          <w:lang w:val="en-US"/>
        </w:rPr>
        <w:t xml:space="preserve"> to approve the International Assistance request from Albania for community-based inventory of ICH in Albania with a view to safeguarding and transmitting to future generations</w:t>
      </w:r>
      <w:r w:rsidR="00561657" w:rsidRPr="00813D19">
        <w:rPr>
          <w:lang w:val="en-US"/>
        </w:rPr>
        <w:t>,</w:t>
      </w:r>
      <w:r w:rsidR="009F6C76" w:rsidRPr="00813D19">
        <w:rPr>
          <w:lang w:val="en-US"/>
        </w:rPr>
        <w:t xml:space="preserve"> and requests the submitting State to work with the Secretariat in order to present to the Bureau within </w:t>
      </w:r>
      <w:r w:rsidR="00813D19" w:rsidRPr="00813D19">
        <w:rPr>
          <w:lang w:val="en-US"/>
        </w:rPr>
        <w:t>a</w:t>
      </w:r>
      <w:r w:rsidR="009F6C76" w:rsidRPr="00813D19">
        <w:rPr>
          <w:lang w:val="en-US"/>
        </w:rPr>
        <w:t xml:space="preserve"> maximum timeframe of six months a request revised in line with the recommendations of the Evaluation Body</w:t>
      </w:r>
      <w:r w:rsidR="00561657" w:rsidRPr="00813D19">
        <w:rPr>
          <w:lang w:val="en-US"/>
        </w:rPr>
        <w:t>’</w:t>
      </w:r>
      <w:r w:rsidR="009F6C76" w:rsidRPr="00813D19">
        <w:rPr>
          <w:lang w:val="en-US"/>
        </w:rPr>
        <w:t xml:space="preserve">. </w:t>
      </w:r>
      <w:r w:rsidR="00561657" w:rsidRPr="00813D19">
        <w:rPr>
          <w:lang w:val="en-US"/>
        </w:rPr>
        <w:t>As Lebanon had proposed the amendment, the Chairperson asked the delegation f</w:t>
      </w:r>
      <w:r w:rsidR="00DD4E22">
        <w:rPr>
          <w:lang w:val="en-US"/>
        </w:rPr>
        <w:t>or its views.</w:t>
      </w:r>
    </w:p>
    <w:p w14:paraId="212FF4BD" w14:textId="61C34ADF" w:rsidR="00C901CC" w:rsidRPr="00813D19" w:rsidRDefault="00C901CC" w:rsidP="001E0151">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Lebanon</w:t>
      </w:r>
      <w:r w:rsidRPr="00813D19">
        <w:rPr>
          <w:color w:val="000000" w:themeColor="text1"/>
          <w:lang w:val="en-US"/>
        </w:rPr>
        <w:t xml:space="preserve"> ap</w:t>
      </w:r>
      <w:r w:rsidR="00DD4E22">
        <w:rPr>
          <w:color w:val="000000" w:themeColor="text1"/>
          <w:lang w:val="en-US"/>
        </w:rPr>
        <w:t>proved the revised amendments.</w:t>
      </w:r>
    </w:p>
    <w:p w14:paraId="4D32ECDD" w14:textId="6385EBF8" w:rsidR="00C901CC" w:rsidRPr="00813D19" w:rsidRDefault="00C901CC" w:rsidP="00C901C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noted support for </w:t>
      </w:r>
      <w:r w:rsidR="00561657" w:rsidRPr="00813D19">
        <w:rPr>
          <w:color w:val="000000" w:themeColor="text1"/>
          <w:lang w:val="en-US"/>
        </w:rPr>
        <w:t xml:space="preserve">the </w:t>
      </w:r>
      <w:r w:rsidR="00DA2DD0" w:rsidRPr="00813D19">
        <w:rPr>
          <w:color w:val="000000" w:themeColor="text1"/>
          <w:lang w:val="en-US"/>
        </w:rPr>
        <w:t xml:space="preserve">new </w:t>
      </w:r>
      <w:r w:rsidRPr="00813D19">
        <w:rPr>
          <w:color w:val="000000" w:themeColor="text1"/>
          <w:lang w:val="en-US"/>
        </w:rPr>
        <w:t xml:space="preserve">paragraph 7 from </w:t>
      </w:r>
      <w:r w:rsidRPr="00813D19">
        <w:rPr>
          <w:b/>
          <w:color w:val="000000" w:themeColor="text1"/>
          <w:lang w:val="en-US"/>
        </w:rPr>
        <w:t>Kuwait,</w:t>
      </w:r>
      <w:r w:rsidR="00561657" w:rsidRPr="00813D19">
        <w:rPr>
          <w:b/>
          <w:color w:val="000000" w:themeColor="text1"/>
          <w:lang w:val="en-US"/>
        </w:rPr>
        <w:t xml:space="preserve"> Kazakhstan, Sri Lanka, Poland </w:t>
      </w:r>
      <w:r w:rsidR="00561657" w:rsidRPr="00813D19">
        <w:rPr>
          <w:color w:val="000000" w:themeColor="text1"/>
          <w:lang w:val="en-US"/>
        </w:rPr>
        <w:t>and</w:t>
      </w:r>
      <w:r w:rsidR="00561657" w:rsidRPr="00813D19">
        <w:rPr>
          <w:b/>
          <w:color w:val="000000" w:themeColor="text1"/>
          <w:lang w:val="en-US"/>
        </w:rPr>
        <w:t xml:space="preserve"> </w:t>
      </w:r>
      <w:r w:rsidRPr="00813D19">
        <w:rPr>
          <w:b/>
          <w:color w:val="000000" w:themeColor="text1"/>
          <w:lang w:val="en-US"/>
        </w:rPr>
        <w:t>Armenia</w:t>
      </w:r>
      <w:r w:rsidRPr="00813D19">
        <w:rPr>
          <w:color w:val="000000" w:themeColor="text1"/>
          <w:lang w:val="en-US"/>
        </w:rPr>
        <w:t xml:space="preserve">, which was duly adopted as amended. </w:t>
      </w:r>
      <w:r w:rsidR="00DA2DD0" w:rsidRPr="00813D19">
        <w:rPr>
          <w:color w:val="000000" w:themeColor="text1"/>
          <w:lang w:val="en-US"/>
        </w:rPr>
        <w:t xml:space="preserve">Paragraph 8 </w:t>
      </w:r>
      <w:r w:rsidR="007830D7" w:rsidRPr="00813D19">
        <w:rPr>
          <w:color w:val="000000" w:themeColor="text1"/>
          <w:lang w:val="en-US"/>
        </w:rPr>
        <w:t xml:space="preserve">was </w:t>
      </w:r>
      <w:r w:rsidR="00DA2DD0" w:rsidRPr="00813D19">
        <w:rPr>
          <w:color w:val="000000" w:themeColor="text1"/>
          <w:lang w:val="en-US"/>
        </w:rPr>
        <w:t xml:space="preserve">the standard clause pertaining to </w:t>
      </w:r>
      <w:r w:rsidR="007830D7" w:rsidRPr="00813D19">
        <w:rPr>
          <w:color w:val="000000" w:themeColor="text1"/>
          <w:lang w:val="en-US"/>
        </w:rPr>
        <w:t xml:space="preserve">a precedent case of </w:t>
      </w:r>
      <w:r w:rsidR="004A47D2">
        <w:rPr>
          <w:color w:val="000000" w:themeColor="text1"/>
          <w:lang w:val="en-US"/>
        </w:rPr>
        <w:t>I</w:t>
      </w:r>
      <w:r w:rsidR="00DA2DD0" w:rsidRPr="00813D19">
        <w:rPr>
          <w:color w:val="000000" w:themeColor="text1"/>
          <w:lang w:val="en-US"/>
        </w:rPr>
        <w:t xml:space="preserve">nternational </w:t>
      </w:r>
      <w:r w:rsidR="004A47D2">
        <w:rPr>
          <w:color w:val="000000" w:themeColor="text1"/>
          <w:lang w:val="en-US"/>
        </w:rPr>
        <w:t>A</w:t>
      </w:r>
      <w:r w:rsidR="004A47D2" w:rsidRPr="00813D19">
        <w:rPr>
          <w:color w:val="000000" w:themeColor="text1"/>
          <w:lang w:val="en-US"/>
        </w:rPr>
        <w:t>ssistance</w:t>
      </w:r>
      <w:r w:rsidR="007830D7" w:rsidRPr="00813D19">
        <w:rPr>
          <w:color w:val="000000" w:themeColor="text1"/>
          <w:lang w:val="en-US"/>
        </w:rPr>
        <w:t>, as previously explained</w:t>
      </w:r>
      <w:r w:rsidR="00DA2DD0" w:rsidRPr="00813D19">
        <w:rPr>
          <w:color w:val="000000" w:themeColor="text1"/>
          <w:lang w:val="en-US"/>
        </w:rPr>
        <w:t xml:space="preserve">. </w:t>
      </w:r>
      <w:r w:rsidR="00985357" w:rsidRPr="00813D19">
        <w:rPr>
          <w:color w:val="000000" w:themeColor="text1"/>
          <w:lang w:val="en-US"/>
        </w:rPr>
        <w:t xml:space="preserve">The delegations of </w:t>
      </w:r>
      <w:r w:rsidR="00DA2DD0" w:rsidRPr="00813D19">
        <w:rPr>
          <w:b/>
          <w:color w:val="000000" w:themeColor="text1"/>
          <w:lang w:val="en-US"/>
        </w:rPr>
        <w:t>Zambia, Sri</w:t>
      </w:r>
      <w:r w:rsidR="00561657" w:rsidRPr="00813D19">
        <w:rPr>
          <w:b/>
          <w:color w:val="000000" w:themeColor="text1"/>
          <w:lang w:val="en-US"/>
        </w:rPr>
        <w:t xml:space="preserve"> Lanka, Kazakhstan </w:t>
      </w:r>
      <w:r w:rsidR="00561657" w:rsidRPr="00813D19">
        <w:rPr>
          <w:color w:val="000000" w:themeColor="text1"/>
          <w:lang w:val="en-US"/>
        </w:rPr>
        <w:t>and</w:t>
      </w:r>
      <w:r w:rsidR="0090643F" w:rsidRPr="00813D19">
        <w:rPr>
          <w:b/>
          <w:color w:val="000000" w:themeColor="text1"/>
          <w:lang w:val="en-US"/>
        </w:rPr>
        <w:t xml:space="preserve"> Armenia</w:t>
      </w:r>
      <w:r w:rsidR="004D238B" w:rsidRPr="00813D19">
        <w:rPr>
          <w:color w:val="000000" w:themeColor="text1"/>
          <w:lang w:val="en-US"/>
        </w:rPr>
        <w:t xml:space="preserve"> support</w:t>
      </w:r>
      <w:r w:rsidR="00561657" w:rsidRPr="00813D19">
        <w:rPr>
          <w:color w:val="000000" w:themeColor="text1"/>
          <w:lang w:val="en-US"/>
        </w:rPr>
        <w:t>ed</w:t>
      </w:r>
      <w:r w:rsidR="004D238B" w:rsidRPr="00813D19">
        <w:rPr>
          <w:color w:val="000000" w:themeColor="text1"/>
          <w:lang w:val="en-US"/>
        </w:rPr>
        <w:t xml:space="preserve"> paragraph 8.</w:t>
      </w:r>
    </w:p>
    <w:p w14:paraId="1B05DAB4" w14:textId="0189C126" w:rsidR="00DA2DD0" w:rsidRPr="00813D19" w:rsidRDefault="00DA2DD0" w:rsidP="00C901C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Zambia</w:t>
      </w:r>
      <w:r w:rsidR="004D238B" w:rsidRPr="00813D19">
        <w:rPr>
          <w:b/>
          <w:color w:val="000000" w:themeColor="text1"/>
          <w:lang w:val="en-US"/>
        </w:rPr>
        <w:t xml:space="preserve"> </w:t>
      </w:r>
      <w:r w:rsidR="00985357" w:rsidRPr="00813D19">
        <w:rPr>
          <w:color w:val="000000" w:themeColor="text1"/>
          <w:lang w:val="en-US"/>
        </w:rPr>
        <w:t xml:space="preserve">remarked that if </w:t>
      </w:r>
      <w:r w:rsidR="002A526A" w:rsidRPr="00813D19">
        <w:rPr>
          <w:color w:val="000000" w:themeColor="text1"/>
          <w:lang w:val="en-US"/>
        </w:rPr>
        <w:t xml:space="preserve">Albania </w:t>
      </w:r>
      <w:r w:rsidR="002A526A" w:rsidRPr="00813D19">
        <w:rPr>
          <w:lang w:val="en-US"/>
        </w:rPr>
        <w:t>fail</w:t>
      </w:r>
      <w:r w:rsidR="00985357" w:rsidRPr="00813D19">
        <w:rPr>
          <w:lang w:val="en-US"/>
        </w:rPr>
        <w:t>ed</w:t>
      </w:r>
      <w:r w:rsidR="004D238B" w:rsidRPr="00813D19">
        <w:rPr>
          <w:lang w:val="en-US"/>
        </w:rPr>
        <w:t xml:space="preserve"> to submit a revised document </w:t>
      </w:r>
      <w:r w:rsidR="002A526A" w:rsidRPr="00813D19">
        <w:rPr>
          <w:lang w:val="en-US"/>
        </w:rPr>
        <w:t xml:space="preserve">within six months and did not receive </w:t>
      </w:r>
      <w:r w:rsidR="004D238B" w:rsidRPr="00813D19">
        <w:rPr>
          <w:lang w:val="en-US"/>
        </w:rPr>
        <w:t>the assistance</w:t>
      </w:r>
      <w:r w:rsidR="002A526A" w:rsidRPr="00813D19">
        <w:rPr>
          <w:lang w:val="en-US"/>
        </w:rPr>
        <w:t>,</w:t>
      </w:r>
      <w:r w:rsidR="004D238B" w:rsidRPr="00813D19">
        <w:rPr>
          <w:lang w:val="en-US"/>
        </w:rPr>
        <w:t xml:space="preserve"> </w:t>
      </w:r>
      <w:r w:rsidR="002A526A" w:rsidRPr="00813D19">
        <w:rPr>
          <w:lang w:val="en-US"/>
        </w:rPr>
        <w:t>should there be an amendment to paragraph 8 that said ‘once granted at the end’ to antic</w:t>
      </w:r>
      <w:r w:rsidR="00985357" w:rsidRPr="00813D19">
        <w:rPr>
          <w:lang w:val="en-US"/>
        </w:rPr>
        <w:t>i</w:t>
      </w:r>
      <w:r w:rsidR="00DD4E22">
        <w:rPr>
          <w:lang w:val="en-US"/>
        </w:rPr>
        <w:t>pate such a scenario.</w:t>
      </w:r>
    </w:p>
    <w:p w14:paraId="15591532" w14:textId="15BD1001" w:rsidR="00DA2DD0" w:rsidRPr="00813D19" w:rsidRDefault="007830D7" w:rsidP="00C901CC">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2A526A" w:rsidRPr="00813D19">
        <w:rPr>
          <w:bCs/>
          <w:lang w:val="en-US"/>
        </w:rPr>
        <w:t>clarified</w:t>
      </w:r>
      <w:r w:rsidR="004D238B" w:rsidRPr="00813D19">
        <w:rPr>
          <w:bCs/>
          <w:lang w:val="en-US"/>
        </w:rPr>
        <w:t xml:space="preserve"> </w:t>
      </w:r>
      <w:r w:rsidR="002A526A" w:rsidRPr="00813D19">
        <w:rPr>
          <w:bCs/>
          <w:lang w:val="en-US"/>
        </w:rPr>
        <w:t xml:space="preserve">that this </w:t>
      </w:r>
      <w:r w:rsidR="00985357" w:rsidRPr="00813D19">
        <w:rPr>
          <w:bCs/>
          <w:lang w:val="en-US"/>
        </w:rPr>
        <w:t xml:space="preserve">standard </w:t>
      </w:r>
      <w:r w:rsidR="004D238B" w:rsidRPr="00813D19">
        <w:rPr>
          <w:bCs/>
          <w:lang w:val="en-US"/>
        </w:rPr>
        <w:t xml:space="preserve">language </w:t>
      </w:r>
      <w:r w:rsidR="004A47D2">
        <w:rPr>
          <w:bCs/>
          <w:lang w:val="en-US"/>
        </w:rPr>
        <w:t>had been</w:t>
      </w:r>
      <w:r w:rsidR="004A47D2" w:rsidRPr="00813D19">
        <w:rPr>
          <w:bCs/>
          <w:lang w:val="en-US"/>
        </w:rPr>
        <w:t xml:space="preserve"> </w:t>
      </w:r>
      <w:r w:rsidR="002A526A" w:rsidRPr="00813D19">
        <w:rPr>
          <w:bCs/>
          <w:lang w:val="en-US"/>
        </w:rPr>
        <w:t>used</w:t>
      </w:r>
      <w:r w:rsidR="004D238B" w:rsidRPr="00813D19">
        <w:rPr>
          <w:bCs/>
          <w:lang w:val="en-US"/>
        </w:rPr>
        <w:t xml:space="preserve"> </w:t>
      </w:r>
      <w:r w:rsidR="00985357" w:rsidRPr="00813D19">
        <w:rPr>
          <w:bCs/>
          <w:lang w:val="en-US"/>
        </w:rPr>
        <w:t xml:space="preserve">in </w:t>
      </w:r>
      <w:r w:rsidR="004D238B" w:rsidRPr="00813D19">
        <w:rPr>
          <w:bCs/>
          <w:lang w:val="en-US"/>
        </w:rPr>
        <w:t xml:space="preserve">a </w:t>
      </w:r>
      <w:r w:rsidR="002A526A" w:rsidRPr="00813D19">
        <w:rPr>
          <w:bCs/>
          <w:lang w:val="en-US"/>
        </w:rPr>
        <w:t xml:space="preserve">precedent </w:t>
      </w:r>
      <w:r w:rsidR="004D238B" w:rsidRPr="00813D19">
        <w:rPr>
          <w:bCs/>
          <w:lang w:val="en-US"/>
        </w:rPr>
        <w:t xml:space="preserve">case where </w:t>
      </w:r>
      <w:r w:rsidR="002A526A" w:rsidRPr="00813D19">
        <w:rPr>
          <w:bCs/>
          <w:lang w:val="en-US"/>
        </w:rPr>
        <w:t xml:space="preserve">this situation </w:t>
      </w:r>
      <w:r w:rsidR="004A47D2">
        <w:rPr>
          <w:bCs/>
          <w:lang w:val="en-US"/>
        </w:rPr>
        <w:t>had arisen</w:t>
      </w:r>
      <w:r w:rsidR="004A47D2" w:rsidRPr="00813D19">
        <w:rPr>
          <w:bCs/>
          <w:lang w:val="en-US"/>
        </w:rPr>
        <w:t xml:space="preserve"> </w:t>
      </w:r>
      <w:r w:rsidR="002A526A" w:rsidRPr="00813D19">
        <w:rPr>
          <w:bCs/>
          <w:lang w:val="en-US"/>
        </w:rPr>
        <w:t xml:space="preserve">and a </w:t>
      </w:r>
      <w:r w:rsidR="004A47D2">
        <w:rPr>
          <w:bCs/>
          <w:lang w:val="en-US"/>
        </w:rPr>
        <w:t>six</w:t>
      </w:r>
      <w:r w:rsidR="002A526A" w:rsidRPr="00813D19">
        <w:rPr>
          <w:bCs/>
          <w:lang w:val="en-US"/>
        </w:rPr>
        <w:t xml:space="preserve">-month period </w:t>
      </w:r>
      <w:r w:rsidR="004A47D2">
        <w:rPr>
          <w:bCs/>
          <w:lang w:val="en-US"/>
        </w:rPr>
        <w:t>had been</w:t>
      </w:r>
      <w:r w:rsidR="004A47D2" w:rsidRPr="00813D19">
        <w:rPr>
          <w:bCs/>
          <w:lang w:val="en-US"/>
        </w:rPr>
        <w:t xml:space="preserve"> </w:t>
      </w:r>
      <w:r w:rsidR="002A526A" w:rsidRPr="00813D19">
        <w:rPr>
          <w:bCs/>
          <w:lang w:val="en-US"/>
        </w:rPr>
        <w:t xml:space="preserve">granted, thus changing </w:t>
      </w:r>
      <w:r w:rsidR="00985357" w:rsidRPr="00813D19">
        <w:rPr>
          <w:bCs/>
          <w:lang w:val="en-US"/>
        </w:rPr>
        <w:t xml:space="preserve">the paragraph </w:t>
      </w:r>
      <w:r w:rsidR="004D238B" w:rsidRPr="00813D19">
        <w:rPr>
          <w:bCs/>
          <w:lang w:val="en-US"/>
        </w:rPr>
        <w:t>may not be in line with the precedent</w:t>
      </w:r>
      <w:r w:rsidR="00985357" w:rsidRPr="00813D19">
        <w:rPr>
          <w:bCs/>
          <w:lang w:val="en-US"/>
        </w:rPr>
        <w:t xml:space="preserve"> set</w:t>
      </w:r>
      <w:r w:rsidR="00DD4E22">
        <w:rPr>
          <w:bCs/>
          <w:lang w:val="en-US"/>
        </w:rPr>
        <w:t>.</w:t>
      </w:r>
    </w:p>
    <w:p w14:paraId="0714C111" w14:textId="259EFB45" w:rsidR="00B627D3" w:rsidRPr="00813D19" w:rsidRDefault="00985357" w:rsidP="00C901CC">
      <w:pPr>
        <w:pStyle w:val="Orateurengris"/>
        <w:spacing w:before="120"/>
        <w:ind w:left="709" w:hanging="709"/>
        <w:rPr>
          <w:color w:val="000000" w:themeColor="text1"/>
          <w:lang w:val="en-US"/>
        </w:rPr>
      </w:pPr>
      <w:r w:rsidRPr="00813D19">
        <w:rPr>
          <w:b/>
          <w:color w:val="000000" w:themeColor="text1"/>
          <w:lang w:val="en-US"/>
        </w:rPr>
        <w:t xml:space="preserve">Ms Fumiko Ohinata </w:t>
      </w:r>
      <w:r w:rsidRPr="00813D19">
        <w:rPr>
          <w:color w:val="000000" w:themeColor="text1"/>
          <w:lang w:val="en-US"/>
        </w:rPr>
        <w:t>of the</w:t>
      </w:r>
      <w:r w:rsidRPr="00813D19">
        <w:rPr>
          <w:b/>
          <w:color w:val="000000" w:themeColor="text1"/>
          <w:lang w:val="en-US"/>
        </w:rPr>
        <w:t xml:space="preserve"> </w:t>
      </w:r>
      <w:r w:rsidR="00B627D3" w:rsidRPr="00813D19">
        <w:rPr>
          <w:b/>
          <w:color w:val="000000" w:themeColor="text1"/>
          <w:lang w:val="en-US"/>
        </w:rPr>
        <w:t>Secretariat</w:t>
      </w:r>
      <w:r w:rsidRPr="00813D19">
        <w:rPr>
          <w:color w:val="000000" w:themeColor="text1"/>
          <w:lang w:val="en-US"/>
        </w:rPr>
        <w:t xml:space="preserve"> </w:t>
      </w:r>
      <w:r w:rsidR="002A526A" w:rsidRPr="00813D19">
        <w:rPr>
          <w:bCs/>
          <w:lang w:val="en-US"/>
        </w:rPr>
        <w:t>return</w:t>
      </w:r>
      <w:r w:rsidRPr="00813D19">
        <w:rPr>
          <w:bCs/>
          <w:lang w:val="en-US"/>
        </w:rPr>
        <w:t>ed</w:t>
      </w:r>
      <w:r w:rsidR="002A526A" w:rsidRPr="00813D19">
        <w:rPr>
          <w:bCs/>
          <w:lang w:val="en-US"/>
        </w:rPr>
        <w:t xml:space="preserve"> </w:t>
      </w:r>
      <w:r w:rsidR="004D238B" w:rsidRPr="00813D19">
        <w:rPr>
          <w:bCs/>
          <w:lang w:val="en-US"/>
        </w:rPr>
        <w:t xml:space="preserve">to the point raised by </w:t>
      </w:r>
      <w:r w:rsidR="000A62D9" w:rsidRPr="00813D19">
        <w:rPr>
          <w:bCs/>
          <w:lang w:val="en-US"/>
        </w:rPr>
        <w:t xml:space="preserve">Zambia, </w:t>
      </w:r>
      <w:r w:rsidRPr="00813D19">
        <w:rPr>
          <w:bCs/>
          <w:lang w:val="en-US"/>
        </w:rPr>
        <w:t xml:space="preserve">noting </w:t>
      </w:r>
      <w:r w:rsidR="000A62D9" w:rsidRPr="00813D19">
        <w:rPr>
          <w:bCs/>
          <w:lang w:val="en-US"/>
        </w:rPr>
        <w:t xml:space="preserve">that it raised the </w:t>
      </w:r>
      <w:r w:rsidR="004D238B" w:rsidRPr="00813D19">
        <w:rPr>
          <w:bCs/>
          <w:lang w:val="en-US"/>
        </w:rPr>
        <w:t xml:space="preserve">issue of reporting and the use of </w:t>
      </w:r>
      <w:r w:rsidR="000A62D9" w:rsidRPr="00813D19">
        <w:rPr>
          <w:bCs/>
          <w:lang w:val="en-US"/>
        </w:rPr>
        <w:t xml:space="preserve">the </w:t>
      </w:r>
      <w:r w:rsidR="004D238B" w:rsidRPr="00813D19">
        <w:rPr>
          <w:bCs/>
          <w:lang w:val="en-US"/>
        </w:rPr>
        <w:t>ICH form</w:t>
      </w:r>
      <w:r w:rsidR="000A62D9" w:rsidRPr="00813D19">
        <w:rPr>
          <w:bCs/>
          <w:lang w:val="en-US"/>
        </w:rPr>
        <w:t xml:space="preserve">. Zambia was making the point </w:t>
      </w:r>
      <w:r w:rsidR="004D238B" w:rsidRPr="00813D19">
        <w:rPr>
          <w:bCs/>
          <w:lang w:val="en-US"/>
        </w:rPr>
        <w:t xml:space="preserve">that in case Albania failed to work with </w:t>
      </w:r>
      <w:r w:rsidR="000A62D9" w:rsidRPr="00813D19">
        <w:rPr>
          <w:bCs/>
          <w:lang w:val="en-US"/>
        </w:rPr>
        <w:t xml:space="preserve">the </w:t>
      </w:r>
      <w:r w:rsidR="004D238B" w:rsidRPr="00813D19">
        <w:rPr>
          <w:bCs/>
          <w:lang w:val="en-US"/>
        </w:rPr>
        <w:t>Secretariat to complete this International Assistance request</w:t>
      </w:r>
      <w:r w:rsidR="000A62D9" w:rsidRPr="00813D19">
        <w:rPr>
          <w:bCs/>
          <w:lang w:val="en-US"/>
        </w:rPr>
        <w:t>,</w:t>
      </w:r>
      <w:r w:rsidR="004D238B" w:rsidRPr="00813D19">
        <w:rPr>
          <w:bCs/>
          <w:lang w:val="en-US"/>
        </w:rPr>
        <w:t xml:space="preserve"> this clause </w:t>
      </w:r>
      <w:r w:rsidRPr="00813D19">
        <w:rPr>
          <w:bCs/>
          <w:lang w:val="en-US"/>
        </w:rPr>
        <w:t>on</w:t>
      </w:r>
      <w:r w:rsidR="004D238B" w:rsidRPr="00813D19">
        <w:rPr>
          <w:bCs/>
          <w:lang w:val="en-US"/>
        </w:rPr>
        <w:t xml:space="preserve"> the report </w:t>
      </w:r>
      <w:r w:rsidRPr="00813D19">
        <w:rPr>
          <w:bCs/>
          <w:lang w:val="en-US"/>
        </w:rPr>
        <w:t>would be un</w:t>
      </w:r>
      <w:r w:rsidR="004D238B" w:rsidRPr="00813D19">
        <w:rPr>
          <w:bCs/>
          <w:lang w:val="en-US"/>
        </w:rPr>
        <w:t xml:space="preserve">necessary or </w:t>
      </w:r>
      <w:r w:rsidRPr="00813D19">
        <w:rPr>
          <w:bCs/>
          <w:lang w:val="en-US"/>
        </w:rPr>
        <w:t>ir</w:t>
      </w:r>
      <w:r w:rsidR="004D238B" w:rsidRPr="00813D19">
        <w:rPr>
          <w:bCs/>
          <w:lang w:val="en-US"/>
        </w:rPr>
        <w:t>relevant</w:t>
      </w:r>
      <w:r w:rsidR="000A62D9" w:rsidRPr="00813D19">
        <w:rPr>
          <w:bCs/>
          <w:lang w:val="en-US"/>
        </w:rPr>
        <w:t>. Thus,</w:t>
      </w:r>
      <w:r w:rsidR="004D238B" w:rsidRPr="00813D19">
        <w:rPr>
          <w:bCs/>
          <w:lang w:val="en-US"/>
        </w:rPr>
        <w:t xml:space="preserve"> add</w:t>
      </w:r>
      <w:r w:rsidR="000A62D9" w:rsidRPr="00813D19">
        <w:rPr>
          <w:bCs/>
          <w:lang w:val="en-US"/>
        </w:rPr>
        <w:t>ing ‘once granted’</w:t>
      </w:r>
      <w:r w:rsidR="004D238B" w:rsidRPr="00813D19">
        <w:rPr>
          <w:bCs/>
          <w:lang w:val="en-US"/>
        </w:rPr>
        <w:t xml:space="preserve"> </w:t>
      </w:r>
      <w:r w:rsidR="000A62D9" w:rsidRPr="00813D19">
        <w:rPr>
          <w:bCs/>
          <w:lang w:val="en-US"/>
        </w:rPr>
        <w:t xml:space="preserve">would bring </w:t>
      </w:r>
      <w:r w:rsidR="004D238B" w:rsidRPr="00813D19">
        <w:rPr>
          <w:bCs/>
          <w:lang w:val="en-US"/>
        </w:rPr>
        <w:t xml:space="preserve">coherence between the eventuality that it would be completed and the need for the report. </w:t>
      </w:r>
      <w:r w:rsidR="000A62D9" w:rsidRPr="00813D19">
        <w:rPr>
          <w:bCs/>
          <w:lang w:val="en-US"/>
        </w:rPr>
        <w:t>T</w:t>
      </w:r>
      <w:r w:rsidR="004D238B" w:rsidRPr="00813D19">
        <w:rPr>
          <w:bCs/>
          <w:lang w:val="en-US"/>
        </w:rPr>
        <w:t xml:space="preserve">he Secretariat </w:t>
      </w:r>
      <w:r w:rsidR="00E41C9C" w:rsidRPr="00813D19">
        <w:rPr>
          <w:bCs/>
          <w:lang w:val="en-US"/>
        </w:rPr>
        <w:t xml:space="preserve">was thus fine with </w:t>
      </w:r>
      <w:r w:rsidRPr="00813D19">
        <w:rPr>
          <w:bCs/>
          <w:lang w:val="en-US"/>
        </w:rPr>
        <w:t xml:space="preserve">this </w:t>
      </w:r>
      <w:r w:rsidR="00DD4E22">
        <w:rPr>
          <w:bCs/>
          <w:lang w:val="en-US"/>
        </w:rPr>
        <w:t>proposal.</w:t>
      </w:r>
    </w:p>
    <w:p w14:paraId="2280D398" w14:textId="6DF06788" w:rsidR="00AC39A5" w:rsidRPr="00813D19" w:rsidRDefault="00C901CC" w:rsidP="00AC39A5">
      <w:pPr>
        <w:pStyle w:val="Orateurengris"/>
        <w:spacing w:before="120"/>
        <w:ind w:left="709" w:hanging="709"/>
        <w:rPr>
          <w:color w:val="000000" w:themeColor="text1"/>
          <w:lang w:val="en-US"/>
        </w:rPr>
      </w:pPr>
      <w:r w:rsidRPr="00813D19">
        <w:rPr>
          <w:color w:val="000000" w:themeColor="text1"/>
          <w:lang w:val="en-US"/>
        </w:rPr>
        <w:t xml:space="preserve">The </w:t>
      </w:r>
      <w:r w:rsidR="00D87B2E" w:rsidRPr="00813D19">
        <w:rPr>
          <w:b/>
          <w:color w:val="000000" w:themeColor="text1"/>
          <w:lang w:val="en-US"/>
        </w:rPr>
        <w:t>Chairperson</w:t>
      </w:r>
      <w:r w:rsidR="00D87B2E" w:rsidRPr="00813D19">
        <w:rPr>
          <w:color w:val="000000" w:themeColor="text1"/>
          <w:lang w:val="en-US"/>
        </w:rPr>
        <w:t xml:space="preserve"> </w:t>
      </w:r>
      <w:r w:rsidR="00E41C9C" w:rsidRPr="00813D19">
        <w:rPr>
          <w:color w:val="000000" w:themeColor="text1"/>
          <w:lang w:val="en-US"/>
        </w:rPr>
        <w:t>noted that this res</w:t>
      </w:r>
      <w:r w:rsidR="00985357" w:rsidRPr="00813D19">
        <w:rPr>
          <w:color w:val="000000" w:themeColor="text1"/>
          <w:lang w:val="en-US"/>
        </w:rPr>
        <w:t>ponded to the request by Zambia</w:t>
      </w:r>
      <w:r w:rsidR="00E41C9C" w:rsidRPr="00813D19">
        <w:rPr>
          <w:color w:val="000000" w:themeColor="text1"/>
          <w:lang w:val="en-US"/>
        </w:rPr>
        <w:t xml:space="preserve"> and turned to paragraph 8, which was duly adopted. </w:t>
      </w:r>
      <w:r w:rsidR="00D87B2E" w:rsidRPr="00813D19">
        <w:rPr>
          <w:color w:val="000000" w:themeColor="text1"/>
          <w:lang w:val="en-US"/>
        </w:rPr>
        <w:t>Paragraph</w:t>
      </w:r>
      <w:r w:rsidR="00E41C9C" w:rsidRPr="00813D19">
        <w:rPr>
          <w:color w:val="000000" w:themeColor="text1"/>
          <w:lang w:val="en-US"/>
        </w:rPr>
        <w:t>s</w:t>
      </w:r>
      <w:r w:rsidR="00D87B2E" w:rsidRPr="00813D19">
        <w:rPr>
          <w:color w:val="000000" w:themeColor="text1"/>
          <w:lang w:val="en-US"/>
        </w:rPr>
        <w:t xml:space="preserve"> 9 and 10 </w:t>
      </w:r>
      <w:r w:rsidR="00E41C9C" w:rsidRPr="00813D19">
        <w:rPr>
          <w:color w:val="000000" w:themeColor="text1"/>
          <w:lang w:val="en-US"/>
        </w:rPr>
        <w:t>no longer served any purpose and were duly deleted.</w:t>
      </w:r>
      <w:r w:rsidR="00D87B2E" w:rsidRPr="00813D19">
        <w:rPr>
          <w:color w:val="000000" w:themeColor="text1"/>
          <w:lang w:val="en-US"/>
        </w:rPr>
        <w:t xml:space="preserve"> </w:t>
      </w:r>
      <w:r w:rsidR="00E41C9C" w:rsidRPr="00813D19">
        <w:rPr>
          <w:color w:val="000000" w:themeColor="text1"/>
          <w:lang w:val="en-US"/>
        </w:rPr>
        <w:t xml:space="preserve">Turning to the adoption of the draft decision as a whole, </w:t>
      </w:r>
      <w:r w:rsidR="00D87B2E" w:rsidRPr="00813D19">
        <w:rPr>
          <w:color w:val="000000" w:themeColor="text1"/>
          <w:lang w:val="en-US"/>
        </w:rPr>
        <w:t xml:space="preserve">the </w:t>
      </w:r>
      <w:r w:rsidR="00D87B2E" w:rsidRPr="00813D19">
        <w:rPr>
          <w:b/>
          <w:color w:val="000000" w:themeColor="text1"/>
          <w:lang w:val="en-US"/>
        </w:rPr>
        <w:t>Chairperson declared Decision 13.COM 10</w:t>
      </w:r>
      <w:r w:rsidR="00510433" w:rsidRPr="00813D19">
        <w:rPr>
          <w:b/>
          <w:color w:val="000000" w:themeColor="text1"/>
          <w:lang w:val="en-US"/>
        </w:rPr>
        <w:t>.d</w:t>
      </w:r>
      <w:r w:rsidR="00D87B2E" w:rsidRPr="00813D19">
        <w:rPr>
          <w:b/>
          <w:color w:val="000000" w:themeColor="text1"/>
          <w:lang w:val="en-US"/>
        </w:rPr>
        <w:t xml:space="preserve"> adopted</w:t>
      </w:r>
      <w:r w:rsidR="00DD4E22">
        <w:rPr>
          <w:color w:val="000000" w:themeColor="text1"/>
          <w:lang w:val="en-US"/>
        </w:rPr>
        <w:t>.</w:t>
      </w:r>
    </w:p>
    <w:p w14:paraId="242FF5D0" w14:textId="3AC0CB8F" w:rsidR="00AC39A5" w:rsidRPr="00813D19" w:rsidRDefault="004D238B" w:rsidP="00903550">
      <w:pPr>
        <w:pStyle w:val="Orateurengris"/>
        <w:spacing w:after="0"/>
        <w:ind w:left="709" w:hanging="709"/>
        <w:rPr>
          <w:color w:val="000000" w:themeColor="text1"/>
          <w:lang w:val="en-US"/>
        </w:rPr>
      </w:pPr>
      <w:r w:rsidRPr="00813D19">
        <w:rPr>
          <w:lang w:val="en-US"/>
        </w:rPr>
        <w:t xml:space="preserve">The </w:t>
      </w:r>
      <w:r w:rsidRPr="00813D19">
        <w:rPr>
          <w:b/>
          <w:lang w:val="en-US"/>
        </w:rPr>
        <w:t>delegation of Albania</w:t>
      </w:r>
      <w:r w:rsidRPr="00813D19">
        <w:rPr>
          <w:lang w:val="en-US"/>
        </w:rPr>
        <w:t xml:space="preserve"> wholeheartedly thank</w:t>
      </w:r>
      <w:r w:rsidR="00E41C9C" w:rsidRPr="00813D19">
        <w:rPr>
          <w:lang w:val="en-US"/>
        </w:rPr>
        <w:t>ed</w:t>
      </w:r>
      <w:r w:rsidRPr="00813D19">
        <w:rPr>
          <w:lang w:val="en-US"/>
        </w:rPr>
        <w:t xml:space="preserve"> Lebanon for the amendments proposed, Kazakhstan for its very active support</w:t>
      </w:r>
      <w:r w:rsidR="00E41C9C" w:rsidRPr="00813D19">
        <w:rPr>
          <w:lang w:val="en-US"/>
        </w:rPr>
        <w:t>,</w:t>
      </w:r>
      <w:r w:rsidRPr="00813D19">
        <w:rPr>
          <w:lang w:val="en-US"/>
        </w:rPr>
        <w:t xml:space="preserve"> as well as all the other Members of the Committee for their understanding, trust and support</w:t>
      </w:r>
      <w:r w:rsidR="00E41C9C" w:rsidRPr="00813D19">
        <w:rPr>
          <w:lang w:val="en-US"/>
        </w:rPr>
        <w:t xml:space="preserve">. The delegation </w:t>
      </w:r>
      <w:r w:rsidRPr="00813D19">
        <w:rPr>
          <w:lang w:val="en-US"/>
        </w:rPr>
        <w:t>reiterate</w:t>
      </w:r>
      <w:r w:rsidR="00E41C9C" w:rsidRPr="00813D19">
        <w:rPr>
          <w:lang w:val="en-US"/>
        </w:rPr>
        <w:t>d</w:t>
      </w:r>
      <w:r w:rsidRPr="00813D19">
        <w:rPr>
          <w:lang w:val="en-US"/>
        </w:rPr>
        <w:t xml:space="preserve"> that </w:t>
      </w:r>
      <w:r w:rsidR="00E41C9C" w:rsidRPr="00813D19">
        <w:rPr>
          <w:lang w:val="en-US"/>
        </w:rPr>
        <w:t xml:space="preserve">it was </w:t>
      </w:r>
      <w:r w:rsidRPr="00813D19">
        <w:rPr>
          <w:lang w:val="en-US"/>
        </w:rPr>
        <w:t>commit</w:t>
      </w:r>
      <w:r w:rsidR="00E41C9C" w:rsidRPr="00813D19">
        <w:rPr>
          <w:lang w:val="en-US"/>
        </w:rPr>
        <w:t>ted</w:t>
      </w:r>
      <w:r w:rsidRPr="00813D19">
        <w:rPr>
          <w:lang w:val="en-US"/>
        </w:rPr>
        <w:t xml:space="preserve"> to </w:t>
      </w:r>
      <w:r w:rsidR="004A47D2" w:rsidRPr="00813D19">
        <w:rPr>
          <w:lang w:val="en-US"/>
        </w:rPr>
        <w:t>mak</w:t>
      </w:r>
      <w:r w:rsidR="004A47D2">
        <w:rPr>
          <w:lang w:val="en-US"/>
        </w:rPr>
        <w:t>ing</w:t>
      </w:r>
      <w:r w:rsidR="004A47D2" w:rsidRPr="00813D19">
        <w:rPr>
          <w:lang w:val="en-US"/>
        </w:rPr>
        <w:t xml:space="preserve"> </w:t>
      </w:r>
      <w:r w:rsidRPr="00813D19">
        <w:rPr>
          <w:lang w:val="en-US"/>
        </w:rPr>
        <w:t xml:space="preserve">the best use of the assistance provided, first and foremost with and in favour of the communities involved for the safeguarding of </w:t>
      </w:r>
      <w:r w:rsidR="00E41C9C" w:rsidRPr="00813D19">
        <w:rPr>
          <w:lang w:val="en-US"/>
        </w:rPr>
        <w:t xml:space="preserve">the </w:t>
      </w:r>
      <w:r w:rsidRPr="00813D19">
        <w:rPr>
          <w:lang w:val="en-US"/>
        </w:rPr>
        <w:t xml:space="preserve">intangible heritage of Albania. </w:t>
      </w:r>
      <w:r w:rsidR="00E41C9C" w:rsidRPr="00813D19">
        <w:rPr>
          <w:lang w:val="en-US"/>
        </w:rPr>
        <w:t xml:space="preserve">It would therefore </w:t>
      </w:r>
      <w:r w:rsidRPr="00813D19">
        <w:rPr>
          <w:lang w:val="en-US"/>
        </w:rPr>
        <w:t xml:space="preserve">comply with the request in due time and work closely with </w:t>
      </w:r>
      <w:r w:rsidR="00DD4E22">
        <w:rPr>
          <w:lang w:val="en-US"/>
        </w:rPr>
        <w:t>the Secretariat.</w:t>
      </w:r>
    </w:p>
    <w:p w14:paraId="0D32AF99" w14:textId="5C8B0B73" w:rsidR="002760FE" w:rsidRPr="00813D19" w:rsidRDefault="002760FE" w:rsidP="00DD4E22">
      <w:pPr>
        <w:pStyle w:val="Orateurengris"/>
        <w:numPr>
          <w:ilvl w:val="0"/>
          <w:numId w:val="0"/>
        </w:numPr>
        <w:spacing w:before="360" w:after="60"/>
        <w:outlineLvl w:val="0"/>
        <w:rPr>
          <w:color w:val="000000" w:themeColor="text1"/>
          <w:lang w:val="en-US"/>
        </w:rPr>
      </w:pPr>
      <w:r w:rsidRPr="00813D19">
        <w:rPr>
          <w:b/>
          <w:color w:val="000000" w:themeColor="text1"/>
          <w:u w:val="single"/>
          <w:lang w:val="en-US"/>
        </w:rPr>
        <w:t>ITEM 10.b</w:t>
      </w:r>
      <w:r w:rsidR="00903550" w:rsidRPr="00813D19">
        <w:rPr>
          <w:b/>
          <w:color w:val="000000" w:themeColor="text1"/>
          <w:u w:val="single"/>
          <w:lang w:val="en-US"/>
        </w:rPr>
        <w:t xml:space="preserve"> OF THE AGENDA [</w:t>
      </w:r>
      <w:r w:rsidRPr="00813D19">
        <w:rPr>
          <w:b/>
          <w:color w:val="000000" w:themeColor="text1"/>
          <w:u w:val="single"/>
          <w:lang w:val="en-US"/>
        </w:rPr>
        <w:t>CONT.</w:t>
      </w:r>
      <w:r w:rsidR="00903550" w:rsidRPr="00813D19">
        <w:rPr>
          <w:b/>
          <w:color w:val="000000" w:themeColor="text1"/>
          <w:u w:val="single"/>
          <w:lang w:val="en-US"/>
        </w:rPr>
        <w:t>]</w:t>
      </w:r>
    </w:p>
    <w:p w14:paraId="6C8742BE" w14:textId="77777777" w:rsidR="002760FE" w:rsidRPr="00813D19" w:rsidRDefault="002760FE" w:rsidP="005966F6">
      <w:pPr>
        <w:pStyle w:val="Orateurengris"/>
        <w:numPr>
          <w:ilvl w:val="0"/>
          <w:numId w:val="0"/>
        </w:numPr>
        <w:spacing w:after="240"/>
        <w:outlineLvl w:val="1"/>
        <w:rPr>
          <w:b/>
          <w:color w:val="000000" w:themeColor="text1"/>
          <w:lang w:val="en-US"/>
        </w:rPr>
      </w:pPr>
      <w:r w:rsidRPr="00813D19">
        <w:rPr>
          <w:b/>
          <w:color w:val="000000" w:themeColor="text1"/>
          <w:lang w:val="en-US"/>
        </w:rPr>
        <w:t>EXAMINATION OF NOMINATIONS FOR INSCRIPTION ON THE REPRESENTATIVE LIST OF THE INTANGIBLE CULTURAL HERITAGE OF HUMANITY</w:t>
      </w:r>
    </w:p>
    <w:p w14:paraId="54108723" w14:textId="22CD8268" w:rsidR="00B1366E" w:rsidRPr="00813D19" w:rsidRDefault="002760FE" w:rsidP="00D70CA6">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005B28E2" w:rsidRPr="00813D19">
        <w:rPr>
          <w:color w:val="000000" w:themeColor="text1"/>
          <w:lang w:val="en-US"/>
        </w:rPr>
        <w:t xml:space="preserve"> returned to the draft decision on a paragraph-by-paragraph basis, recalling that paragraphs 1</w:t>
      </w:r>
      <w:r w:rsidR="00DD4E22">
        <w:rPr>
          <w:color w:val="000000" w:themeColor="text1"/>
          <w:lang w:val="en-US"/>
        </w:rPr>
        <w:t>–5 had previously been adopted.</w:t>
      </w:r>
    </w:p>
    <w:p w14:paraId="1C185BC7" w14:textId="7AD174C2" w:rsidR="002760FE" w:rsidRPr="00813D19" w:rsidRDefault="00B1366E" w:rsidP="002760FE">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Guatemala</w:t>
      </w:r>
      <w:r w:rsidR="004D238B" w:rsidRPr="00813D19">
        <w:rPr>
          <w:color w:val="000000" w:themeColor="text1"/>
          <w:lang w:val="en-US"/>
        </w:rPr>
        <w:t xml:space="preserve"> </w:t>
      </w:r>
      <w:r w:rsidR="004D238B" w:rsidRPr="00813D19">
        <w:rPr>
          <w:bCs/>
          <w:lang w:val="en-US"/>
        </w:rPr>
        <w:t>thank</w:t>
      </w:r>
      <w:r w:rsidR="007564E7" w:rsidRPr="00813D19">
        <w:rPr>
          <w:bCs/>
          <w:lang w:val="en-US"/>
        </w:rPr>
        <w:t>ed</w:t>
      </w:r>
      <w:r w:rsidR="004D238B" w:rsidRPr="00813D19">
        <w:rPr>
          <w:bCs/>
          <w:lang w:val="en-US"/>
        </w:rPr>
        <w:t xml:space="preserve"> </w:t>
      </w:r>
      <w:r w:rsidR="007564E7" w:rsidRPr="00813D19">
        <w:rPr>
          <w:bCs/>
          <w:lang w:val="en-US"/>
        </w:rPr>
        <w:t xml:space="preserve">those </w:t>
      </w:r>
      <w:r w:rsidR="004D238B" w:rsidRPr="00813D19">
        <w:rPr>
          <w:bCs/>
          <w:lang w:val="en-US"/>
        </w:rPr>
        <w:t xml:space="preserve">who </w:t>
      </w:r>
      <w:r w:rsidR="004A47D2">
        <w:rPr>
          <w:bCs/>
          <w:lang w:val="en-US"/>
        </w:rPr>
        <w:t xml:space="preserve">had </w:t>
      </w:r>
      <w:r w:rsidR="004D238B" w:rsidRPr="00813D19">
        <w:rPr>
          <w:bCs/>
          <w:lang w:val="en-US"/>
        </w:rPr>
        <w:t>expressed opinions on the experiment</w:t>
      </w:r>
      <w:r w:rsidR="007564E7" w:rsidRPr="00813D19">
        <w:rPr>
          <w:bCs/>
          <w:lang w:val="en-US"/>
        </w:rPr>
        <w:t xml:space="preserve">al proposal, adding that it wished to see the </w:t>
      </w:r>
      <w:r w:rsidR="004D238B" w:rsidRPr="00813D19">
        <w:rPr>
          <w:bCs/>
          <w:lang w:val="en-US"/>
        </w:rPr>
        <w:t xml:space="preserve">presence of the Legal Adviser on the </w:t>
      </w:r>
      <w:r w:rsidR="007564E7" w:rsidRPr="00813D19">
        <w:rPr>
          <w:bCs/>
          <w:lang w:val="en-US"/>
        </w:rPr>
        <w:t xml:space="preserve">podium in future Committee and General Assembly meetings, as his </w:t>
      </w:r>
      <w:r w:rsidR="004D238B" w:rsidRPr="00813D19">
        <w:rPr>
          <w:bCs/>
          <w:lang w:val="en-US"/>
        </w:rPr>
        <w:t>opinion</w:t>
      </w:r>
      <w:r w:rsidR="004A47D2">
        <w:rPr>
          <w:bCs/>
          <w:lang w:val="en-US"/>
        </w:rPr>
        <w:t xml:space="preserve"> was</w:t>
      </w:r>
      <w:r w:rsidR="004D238B" w:rsidRPr="00813D19">
        <w:rPr>
          <w:bCs/>
          <w:lang w:val="en-US"/>
        </w:rPr>
        <w:t xml:space="preserve"> valuable </w:t>
      </w:r>
      <w:r w:rsidR="00AA0F7E" w:rsidRPr="00813D19">
        <w:rPr>
          <w:bCs/>
          <w:lang w:val="en-US"/>
        </w:rPr>
        <w:t>albeit</w:t>
      </w:r>
      <w:r w:rsidR="007564E7" w:rsidRPr="00813D19">
        <w:rPr>
          <w:bCs/>
          <w:lang w:val="en-US"/>
        </w:rPr>
        <w:t xml:space="preserve"> </w:t>
      </w:r>
      <w:r w:rsidR="004D238B" w:rsidRPr="00813D19">
        <w:rPr>
          <w:bCs/>
          <w:lang w:val="en-US"/>
        </w:rPr>
        <w:t xml:space="preserve">not necessarily binding when it </w:t>
      </w:r>
      <w:r w:rsidR="007564E7" w:rsidRPr="00813D19">
        <w:rPr>
          <w:bCs/>
          <w:lang w:val="en-US"/>
        </w:rPr>
        <w:t xml:space="preserve">came </w:t>
      </w:r>
      <w:r w:rsidR="004D238B" w:rsidRPr="00813D19">
        <w:rPr>
          <w:bCs/>
          <w:lang w:val="en-US"/>
        </w:rPr>
        <w:t xml:space="preserve">to decision-making. </w:t>
      </w:r>
      <w:r w:rsidR="007564E7" w:rsidRPr="00813D19">
        <w:rPr>
          <w:bCs/>
          <w:lang w:val="en-US"/>
        </w:rPr>
        <w:t xml:space="preserve">Moreover, it was not the way to envisage neutrality given that he </w:t>
      </w:r>
      <w:r w:rsidR="004D238B" w:rsidRPr="00813D19">
        <w:rPr>
          <w:bCs/>
          <w:lang w:val="en-US"/>
        </w:rPr>
        <w:t>is a member of the Secretariat</w:t>
      </w:r>
      <w:r w:rsidR="00AA0F7E" w:rsidRPr="00813D19">
        <w:rPr>
          <w:bCs/>
          <w:lang w:val="en-US"/>
        </w:rPr>
        <w:t>, which</w:t>
      </w:r>
      <w:r w:rsidR="004D238B" w:rsidRPr="00813D19">
        <w:rPr>
          <w:bCs/>
          <w:lang w:val="en-US"/>
        </w:rPr>
        <w:t xml:space="preserve"> </w:t>
      </w:r>
      <w:r w:rsidR="007564E7" w:rsidRPr="00813D19">
        <w:rPr>
          <w:bCs/>
          <w:lang w:val="en-US"/>
        </w:rPr>
        <w:t xml:space="preserve">could </w:t>
      </w:r>
      <w:r w:rsidR="00EC02DB" w:rsidRPr="00813D19">
        <w:rPr>
          <w:bCs/>
          <w:lang w:val="en-US"/>
        </w:rPr>
        <w:t>suggest</w:t>
      </w:r>
      <w:r w:rsidR="007564E7" w:rsidRPr="00813D19">
        <w:rPr>
          <w:bCs/>
          <w:lang w:val="en-US"/>
        </w:rPr>
        <w:t xml:space="preserve"> a certain manipulation</w:t>
      </w:r>
      <w:r w:rsidR="004D238B" w:rsidRPr="00813D19">
        <w:rPr>
          <w:bCs/>
          <w:lang w:val="en-US"/>
        </w:rPr>
        <w:t xml:space="preserve">. </w:t>
      </w:r>
      <w:r w:rsidR="007564E7" w:rsidRPr="00813D19">
        <w:rPr>
          <w:bCs/>
          <w:lang w:val="en-US"/>
        </w:rPr>
        <w:t xml:space="preserve">Thus, </w:t>
      </w:r>
      <w:r w:rsidR="004D238B" w:rsidRPr="00813D19">
        <w:rPr>
          <w:bCs/>
          <w:lang w:val="en-US"/>
        </w:rPr>
        <w:t>for the sake of transparency and decision-making in the future</w:t>
      </w:r>
      <w:r w:rsidR="004A47D2">
        <w:rPr>
          <w:bCs/>
          <w:lang w:val="en-US"/>
        </w:rPr>
        <w:t>,</w:t>
      </w:r>
      <w:r w:rsidR="004D238B" w:rsidRPr="00813D19">
        <w:rPr>
          <w:bCs/>
          <w:lang w:val="en-US"/>
        </w:rPr>
        <w:t xml:space="preserve"> there should be more participation </w:t>
      </w:r>
      <w:r w:rsidR="007564E7" w:rsidRPr="00813D19">
        <w:rPr>
          <w:bCs/>
          <w:lang w:val="en-US"/>
        </w:rPr>
        <w:t xml:space="preserve">[from the Legal Adviser], </w:t>
      </w:r>
      <w:r w:rsidR="004D238B" w:rsidRPr="00813D19">
        <w:rPr>
          <w:bCs/>
          <w:lang w:val="en-US"/>
        </w:rPr>
        <w:t xml:space="preserve">and the Committee should be given more tools in order to make the right decision. In </w:t>
      </w:r>
      <w:r w:rsidR="007564E7" w:rsidRPr="00813D19">
        <w:rPr>
          <w:bCs/>
          <w:lang w:val="en-US"/>
        </w:rPr>
        <w:t xml:space="preserve">the </w:t>
      </w:r>
      <w:r w:rsidR="004D238B" w:rsidRPr="00813D19">
        <w:rPr>
          <w:bCs/>
          <w:lang w:val="en-US"/>
        </w:rPr>
        <w:t>case of Argentina</w:t>
      </w:r>
      <w:r w:rsidR="007564E7" w:rsidRPr="00813D19">
        <w:rPr>
          <w:bCs/>
          <w:lang w:val="en-US"/>
        </w:rPr>
        <w:t>,</w:t>
      </w:r>
      <w:r w:rsidR="004D238B" w:rsidRPr="00813D19">
        <w:rPr>
          <w:bCs/>
          <w:lang w:val="en-US"/>
        </w:rPr>
        <w:t xml:space="preserve"> </w:t>
      </w:r>
      <w:r w:rsidR="007564E7" w:rsidRPr="00813D19">
        <w:rPr>
          <w:bCs/>
          <w:lang w:val="en-US"/>
        </w:rPr>
        <w:t xml:space="preserve">the Committee was not able to make an informed decision, </w:t>
      </w:r>
      <w:r w:rsidR="004D238B" w:rsidRPr="00813D19">
        <w:rPr>
          <w:bCs/>
          <w:lang w:val="en-US"/>
        </w:rPr>
        <w:t xml:space="preserve">but </w:t>
      </w:r>
      <w:r w:rsidR="007564E7" w:rsidRPr="00813D19">
        <w:rPr>
          <w:bCs/>
          <w:lang w:val="en-US"/>
        </w:rPr>
        <w:t xml:space="preserve">the delegation </w:t>
      </w:r>
      <w:r w:rsidR="004D238B" w:rsidRPr="00813D19">
        <w:rPr>
          <w:bCs/>
          <w:lang w:val="en-US"/>
        </w:rPr>
        <w:t>encourage</w:t>
      </w:r>
      <w:r w:rsidR="007564E7" w:rsidRPr="00813D19">
        <w:rPr>
          <w:bCs/>
          <w:lang w:val="en-US"/>
        </w:rPr>
        <w:t>d</w:t>
      </w:r>
      <w:r w:rsidR="004D238B" w:rsidRPr="00813D19">
        <w:rPr>
          <w:bCs/>
          <w:lang w:val="en-US"/>
        </w:rPr>
        <w:t xml:space="preserve"> the Argentine people to continue cultivating good practices and </w:t>
      </w:r>
      <w:r w:rsidR="007564E7" w:rsidRPr="00813D19">
        <w:rPr>
          <w:bCs/>
          <w:lang w:val="en-US"/>
        </w:rPr>
        <w:t>promoting intangible cultural heritage. The delegation identified with the communities and w</w:t>
      </w:r>
      <w:r w:rsidR="004D238B" w:rsidRPr="00813D19">
        <w:rPr>
          <w:bCs/>
          <w:lang w:val="en-US"/>
        </w:rPr>
        <w:t xml:space="preserve">hen such a request </w:t>
      </w:r>
      <w:r w:rsidR="004A47D2">
        <w:rPr>
          <w:bCs/>
          <w:lang w:val="en-US"/>
        </w:rPr>
        <w:t>was</w:t>
      </w:r>
      <w:r w:rsidR="004A47D2" w:rsidRPr="00813D19">
        <w:rPr>
          <w:bCs/>
          <w:lang w:val="en-US"/>
        </w:rPr>
        <w:t xml:space="preserve"> </w:t>
      </w:r>
      <w:r w:rsidR="004D238B" w:rsidRPr="00813D19">
        <w:rPr>
          <w:bCs/>
          <w:lang w:val="en-US"/>
        </w:rPr>
        <w:t xml:space="preserve">not accepted, </w:t>
      </w:r>
      <w:r w:rsidR="007564E7" w:rsidRPr="00813D19">
        <w:rPr>
          <w:bCs/>
          <w:lang w:val="en-US"/>
        </w:rPr>
        <w:t xml:space="preserve">it was </w:t>
      </w:r>
      <w:r w:rsidR="004D238B" w:rsidRPr="00813D19">
        <w:rPr>
          <w:bCs/>
          <w:lang w:val="en-US"/>
        </w:rPr>
        <w:t xml:space="preserve">sad news for the communities. In </w:t>
      </w:r>
      <w:r w:rsidR="007564E7" w:rsidRPr="00813D19">
        <w:rPr>
          <w:bCs/>
          <w:lang w:val="en-US"/>
        </w:rPr>
        <w:t xml:space="preserve">the future, the delegation hoped that there would be </w:t>
      </w:r>
      <w:r w:rsidR="004D238B" w:rsidRPr="00813D19">
        <w:rPr>
          <w:bCs/>
          <w:lang w:val="en-US"/>
        </w:rPr>
        <w:t xml:space="preserve">an opportunity to make proposals </w:t>
      </w:r>
      <w:r w:rsidR="007564E7" w:rsidRPr="00813D19">
        <w:rPr>
          <w:bCs/>
          <w:lang w:val="en-US"/>
        </w:rPr>
        <w:t xml:space="preserve">and have prior </w:t>
      </w:r>
      <w:r w:rsidR="004D238B" w:rsidRPr="00813D19">
        <w:rPr>
          <w:bCs/>
          <w:lang w:val="en-US"/>
        </w:rPr>
        <w:t xml:space="preserve">dialogue before </w:t>
      </w:r>
      <w:r w:rsidR="007564E7" w:rsidRPr="00813D19">
        <w:rPr>
          <w:bCs/>
          <w:lang w:val="en-US"/>
        </w:rPr>
        <w:t>these a</w:t>
      </w:r>
      <w:r w:rsidR="00DD4E22">
        <w:rPr>
          <w:bCs/>
          <w:lang w:val="en-US"/>
        </w:rPr>
        <w:t>ssemblies.</w:t>
      </w:r>
    </w:p>
    <w:p w14:paraId="0D5BC732" w14:textId="60EAA399" w:rsidR="00D830D1" w:rsidRPr="00DD4E22" w:rsidRDefault="00D830D1" w:rsidP="00903550">
      <w:pPr>
        <w:pStyle w:val="Orateurengris"/>
        <w:spacing w:before="120"/>
        <w:ind w:left="709" w:hanging="709"/>
        <w:rPr>
          <w:rFonts w:eastAsia="Times New Roman"/>
          <w:bCs/>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7564E7" w:rsidRPr="00813D19">
        <w:rPr>
          <w:color w:val="000000" w:themeColor="text1"/>
          <w:lang w:val="en-US"/>
        </w:rPr>
        <w:t xml:space="preserve">thanked </w:t>
      </w:r>
      <w:r w:rsidR="00903550" w:rsidRPr="00813D19">
        <w:rPr>
          <w:lang w:val="en-US"/>
        </w:rPr>
        <w:t>Guatemala for its statement</w:t>
      </w:r>
      <w:r w:rsidR="007564E7" w:rsidRPr="00813D19">
        <w:rPr>
          <w:lang w:val="en-US"/>
        </w:rPr>
        <w:t xml:space="preserve"> and proceeded to paragraph 6 as originally drafted, which was </w:t>
      </w:r>
      <w:r w:rsidR="00903550" w:rsidRPr="00813D19">
        <w:rPr>
          <w:lang w:val="en-US"/>
        </w:rPr>
        <w:t>d</w:t>
      </w:r>
      <w:r w:rsidR="007564E7" w:rsidRPr="00813D19">
        <w:rPr>
          <w:lang w:val="en-US"/>
        </w:rPr>
        <w:t xml:space="preserve">uly adopted. </w:t>
      </w:r>
      <w:r w:rsidR="007564E7" w:rsidRPr="00850817">
        <w:rPr>
          <w:lang w:val="en-US"/>
        </w:rPr>
        <w:t xml:space="preserve">Paragraph 7 was also adopted. </w:t>
      </w:r>
      <w:r w:rsidR="00813D19" w:rsidRPr="00932BA1">
        <w:rPr>
          <w:lang w:val="en-US"/>
        </w:rPr>
        <w:t>Turning</w:t>
      </w:r>
      <w:r w:rsidR="007564E7" w:rsidRPr="00850817">
        <w:rPr>
          <w:lang w:val="en-US"/>
        </w:rPr>
        <w:t xml:space="preserve"> to the adoption of the draft decision as a whole, </w:t>
      </w:r>
      <w:r w:rsidRPr="00850817">
        <w:rPr>
          <w:color w:val="000000" w:themeColor="text1"/>
          <w:lang w:val="en-US"/>
        </w:rPr>
        <w:t xml:space="preserve">the </w:t>
      </w:r>
      <w:r w:rsidRPr="00850817">
        <w:rPr>
          <w:b/>
          <w:color w:val="000000" w:themeColor="text1"/>
          <w:lang w:val="en-US"/>
        </w:rPr>
        <w:t xml:space="preserve">Chairperson declared Decision </w:t>
      </w:r>
      <w:hyperlink r:id="rId156" w:history="1">
        <w:r w:rsidRPr="00850817">
          <w:rPr>
            <w:rStyle w:val="Hyperlink"/>
            <w:b/>
            <w:lang w:val="en-US"/>
          </w:rPr>
          <w:t>13.COM 10.b.1</w:t>
        </w:r>
        <w:r w:rsidRPr="003221D5">
          <w:rPr>
            <w:rStyle w:val="Hyperlink"/>
            <w:b/>
            <w:u w:val="none"/>
            <w:lang w:val="en-US"/>
          </w:rPr>
          <w:t xml:space="preserve"> </w:t>
        </w:r>
        <w:r w:rsidRPr="003221D5">
          <w:rPr>
            <w:color w:val="000000" w:themeColor="text1"/>
          </w:rPr>
          <w:t>adopted</w:t>
        </w:r>
      </w:hyperlink>
      <w:r w:rsidR="00903550" w:rsidRPr="003221D5">
        <w:rPr>
          <w:b/>
          <w:color w:val="000000" w:themeColor="text1"/>
          <w:lang w:val="en-US"/>
        </w:rPr>
        <w:t xml:space="preserve"> </w:t>
      </w:r>
      <w:r w:rsidR="00903550" w:rsidRPr="00850817">
        <w:rPr>
          <w:b/>
          <w:color w:val="000000" w:themeColor="text1"/>
          <w:lang w:val="en-US"/>
        </w:rPr>
        <w:t>to</w:t>
      </w:r>
      <w:r w:rsidR="00903550" w:rsidRPr="00932BA1">
        <w:rPr>
          <w:color w:val="000000" w:themeColor="text1"/>
          <w:lang w:val="en-US"/>
        </w:rPr>
        <w:t xml:space="preserve"> </w:t>
      </w:r>
      <w:r w:rsidR="00903550" w:rsidRPr="00850817">
        <w:rPr>
          <w:b/>
          <w:lang w:val="en-US"/>
        </w:rPr>
        <w:t>refer the nomination of Chamamé to the submitting</w:t>
      </w:r>
      <w:r w:rsidR="00903550" w:rsidRPr="00813D19">
        <w:rPr>
          <w:b/>
          <w:lang w:val="en-US"/>
        </w:rPr>
        <w:t xml:space="preserve"> State Party</w:t>
      </w:r>
      <w:r w:rsidR="00903550" w:rsidRPr="00DD4E22">
        <w:rPr>
          <w:bCs/>
          <w:lang w:val="en-US"/>
        </w:rPr>
        <w:t>.</w:t>
      </w:r>
    </w:p>
    <w:p w14:paraId="702A99F2" w14:textId="5D431883" w:rsidR="00EE16CD" w:rsidRPr="00813D19" w:rsidRDefault="00844A99" w:rsidP="00903550">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Argentina</w:t>
      </w:r>
      <w:r w:rsidR="004D238B" w:rsidRPr="00813D19">
        <w:rPr>
          <w:b/>
          <w:color w:val="000000" w:themeColor="text1"/>
          <w:lang w:val="en-US"/>
        </w:rPr>
        <w:t xml:space="preserve"> </w:t>
      </w:r>
      <w:r w:rsidR="007564E7" w:rsidRPr="00813D19">
        <w:rPr>
          <w:color w:val="000000" w:themeColor="text1"/>
          <w:lang w:val="en-US"/>
        </w:rPr>
        <w:t xml:space="preserve">spoke on </w:t>
      </w:r>
      <w:r w:rsidR="004D238B" w:rsidRPr="00813D19">
        <w:rPr>
          <w:bCs/>
          <w:lang w:val="en-US"/>
        </w:rPr>
        <w:t xml:space="preserve">behalf </w:t>
      </w:r>
      <w:r w:rsidR="001922BA" w:rsidRPr="00813D19">
        <w:rPr>
          <w:bCs/>
          <w:lang w:val="en-US"/>
        </w:rPr>
        <w:t xml:space="preserve">of the </w:t>
      </w:r>
      <w:r w:rsidR="004D238B" w:rsidRPr="00813D19">
        <w:rPr>
          <w:bCs/>
          <w:lang w:val="en-US"/>
        </w:rPr>
        <w:t>one million inhabitants of</w:t>
      </w:r>
      <w:r w:rsidR="001922BA" w:rsidRPr="00813D19">
        <w:rPr>
          <w:bCs/>
          <w:lang w:val="en-US"/>
        </w:rPr>
        <w:t xml:space="preserve"> Corrientes </w:t>
      </w:r>
      <w:r w:rsidR="001922BA" w:rsidRPr="002C5483">
        <w:rPr>
          <w:bCs/>
          <w:lang w:val="en-US"/>
        </w:rPr>
        <w:t xml:space="preserve">who </w:t>
      </w:r>
      <w:r w:rsidR="00B0581C" w:rsidRPr="002C5483">
        <w:rPr>
          <w:bCs/>
          <w:lang w:val="en-US"/>
        </w:rPr>
        <w:t>en</w:t>
      </w:r>
      <w:r w:rsidR="004B6C8F" w:rsidRPr="002C5483">
        <w:rPr>
          <w:bCs/>
          <w:lang w:val="en-US"/>
        </w:rPr>
        <w:t>trusted UNESCO</w:t>
      </w:r>
      <w:r w:rsidR="00294F9D" w:rsidRPr="00813D19">
        <w:rPr>
          <w:bCs/>
          <w:lang w:val="en-US"/>
        </w:rPr>
        <w:t>,</w:t>
      </w:r>
      <w:r w:rsidR="004B6C8F" w:rsidRPr="00813D19">
        <w:rPr>
          <w:bCs/>
          <w:lang w:val="en-US"/>
        </w:rPr>
        <w:t xml:space="preserve"> </w:t>
      </w:r>
      <w:r w:rsidR="00294F9D" w:rsidRPr="00813D19">
        <w:rPr>
          <w:bCs/>
          <w:lang w:val="en-US"/>
        </w:rPr>
        <w:t xml:space="preserve">which </w:t>
      </w:r>
      <w:r w:rsidR="001922BA" w:rsidRPr="00813D19">
        <w:rPr>
          <w:bCs/>
          <w:lang w:val="en-US"/>
        </w:rPr>
        <w:t xml:space="preserve">had </w:t>
      </w:r>
      <w:r w:rsidR="004D238B" w:rsidRPr="00813D19">
        <w:rPr>
          <w:bCs/>
          <w:lang w:val="en-US"/>
        </w:rPr>
        <w:t xml:space="preserve">a duty to </w:t>
      </w:r>
      <w:r w:rsidR="00294F9D" w:rsidRPr="00813D19">
        <w:rPr>
          <w:bCs/>
          <w:lang w:val="en-US"/>
        </w:rPr>
        <w:t>approach</w:t>
      </w:r>
      <w:r w:rsidR="004D238B" w:rsidRPr="00813D19">
        <w:rPr>
          <w:bCs/>
          <w:lang w:val="en-US"/>
        </w:rPr>
        <w:t xml:space="preserve"> the </w:t>
      </w:r>
      <w:r w:rsidR="00294F9D" w:rsidRPr="00813D19">
        <w:rPr>
          <w:bCs/>
          <w:lang w:val="en-US"/>
        </w:rPr>
        <w:t>community, just as the community had approached the Convention</w:t>
      </w:r>
      <w:r w:rsidR="001922BA" w:rsidRPr="00813D19">
        <w:rPr>
          <w:bCs/>
          <w:lang w:val="en-US"/>
        </w:rPr>
        <w:t xml:space="preserve">. </w:t>
      </w:r>
      <w:r w:rsidR="00294F9D" w:rsidRPr="00813D19">
        <w:rPr>
          <w:bCs/>
          <w:lang w:val="en-US"/>
        </w:rPr>
        <w:t xml:space="preserve">It thanked the Secretary for his assistance in this case, which </w:t>
      </w:r>
      <w:r w:rsidR="001922BA" w:rsidRPr="00813D19">
        <w:rPr>
          <w:bCs/>
          <w:lang w:val="en-US"/>
        </w:rPr>
        <w:t>had</w:t>
      </w:r>
      <w:r w:rsidR="004D238B" w:rsidRPr="00813D19">
        <w:rPr>
          <w:bCs/>
          <w:lang w:val="en-US"/>
        </w:rPr>
        <w:t xml:space="preserve"> t</w:t>
      </w:r>
      <w:r w:rsidR="00294F9D" w:rsidRPr="00813D19">
        <w:rPr>
          <w:bCs/>
          <w:lang w:val="en-US"/>
        </w:rPr>
        <w:t>aken up so much time and energy. T</w:t>
      </w:r>
      <w:r w:rsidR="00B0581C" w:rsidRPr="00813D19">
        <w:rPr>
          <w:bCs/>
          <w:lang w:val="en-US"/>
        </w:rPr>
        <w:t xml:space="preserve">he delegation </w:t>
      </w:r>
      <w:r w:rsidR="00294F9D" w:rsidRPr="00813D19">
        <w:rPr>
          <w:bCs/>
          <w:lang w:val="en-US"/>
        </w:rPr>
        <w:t xml:space="preserve">remarked that it </w:t>
      </w:r>
      <w:r w:rsidR="001922BA" w:rsidRPr="00813D19">
        <w:rPr>
          <w:bCs/>
          <w:lang w:val="en-US"/>
        </w:rPr>
        <w:t xml:space="preserve">had </w:t>
      </w:r>
      <w:r w:rsidR="00B0581C" w:rsidRPr="00813D19">
        <w:rPr>
          <w:bCs/>
          <w:lang w:val="en-US"/>
        </w:rPr>
        <w:t>to convince</w:t>
      </w:r>
      <w:r w:rsidR="000D4EE7" w:rsidRPr="00813D19">
        <w:rPr>
          <w:bCs/>
          <w:lang w:val="en-US"/>
        </w:rPr>
        <w:t xml:space="preserve"> the Guaraní</w:t>
      </w:r>
      <w:r w:rsidR="004D238B" w:rsidRPr="00813D19">
        <w:rPr>
          <w:bCs/>
          <w:lang w:val="en-US"/>
        </w:rPr>
        <w:t xml:space="preserve"> people to </w:t>
      </w:r>
      <w:r w:rsidR="00294F9D" w:rsidRPr="00813D19">
        <w:rPr>
          <w:bCs/>
          <w:lang w:val="en-US"/>
        </w:rPr>
        <w:t xml:space="preserve">approach </w:t>
      </w:r>
      <w:r w:rsidR="001922BA" w:rsidRPr="00813D19">
        <w:rPr>
          <w:bCs/>
          <w:lang w:val="en-US"/>
        </w:rPr>
        <w:t>the culture</w:t>
      </w:r>
      <w:r w:rsidR="004D238B" w:rsidRPr="00813D19">
        <w:rPr>
          <w:bCs/>
          <w:lang w:val="en-US"/>
        </w:rPr>
        <w:t xml:space="preserve"> </w:t>
      </w:r>
      <w:r w:rsidR="001922BA" w:rsidRPr="00813D19">
        <w:rPr>
          <w:bCs/>
          <w:lang w:val="en-US"/>
        </w:rPr>
        <w:t xml:space="preserve">of </w:t>
      </w:r>
      <w:r w:rsidR="00B0581C" w:rsidRPr="00813D19">
        <w:rPr>
          <w:bCs/>
          <w:lang w:val="en-US"/>
        </w:rPr>
        <w:t>experts and</w:t>
      </w:r>
      <w:r w:rsidR="004D238B" w:rsidRPr="00813D19">
        <w:rPr>
          <w:bCs/>
          <w:lang w:val="en-US"/>
        </w:rPr>
        <w:t xml:space="preserve"> UNESCO officials accustomed to </w:t>
      </w:r>
      <w:r w:rsidR="001922BA" w:rsidRPr="00813D19">
        <w:rPr>
          <w:bCs/>
          <w:lang w:val="en-US"/>
        </w:rPr>
        <w:t xml:space="preserve">the </w:t>
      </w:r>
      <w:r w:rsidR="004D238B" w:rsidRPr="00813D19">
        <w:rPr>
          <w:bCs/>
          <w:lang w:val="en-US"/>
        </w:rPr>
        <w:t xml:space="preserve">language </w:t>
      </w:r>
      <w:r w:rsidR="001922BA" w:rsidRPr="00813D19">
        <w:rPr>
          <w:bCs/>
          <w:lang w:val="en-US"/>
        </w:rPr>
        <w:t xml:space="preserve">of </w:t>
      </w:r>
      <w:r w:rsidR="004D238B" w:rsidRPr="00813D19">
        <w:rPr>
          <w:bCs/>
          <w:lang w:val="en-US"/>
        </w:rPr>
        <w:t>documents</w:t>
      </w:r>
      <w:r w:rsidR="001922BA" w:rsidRPr="00813D19">
        <w:rPr>
          <w:bCs/>
          <w:lang w:val="en-US"/>
        </w:rPr>
        <w:t>,</w:t>
      </w:r>
      <w:r w:rsidR="004D238B" w:rsidRPr="00813D19">
        <w:rPr>
          <w:bCs/>
          <w:lang w:val="en-US"/>
        </w:rPr>
        <w:t xml:space="preserve"> forms, paperwork</w:t>
      </w:r>
      <w:r w:rsidR="001922BA" w:rsidRPr="00813D19">
        <w:rPr>
          <w:bCs/>
          <w:lang w:val="en-US"/>
        </w:rPr>
        <w:t>,</w:t>
      </w:r>
      <w:r w:rsidR="004D238B" w:rsidRPr="00813D19">
        <w:rPr>
          <w:bCs/>
          <w:lang w:val="en-US"/>
        </w:rPr>
        <w:t xml:space="preserve"> </w:t>
      </w:r>
      <w:r w:rsidR="00B0581C" w:rsidRPr="00813D19">
        <w:rPr>
          <w:bCs/>
          <w:lang w:val="en-US"/>
        </w:rPr>
        <w:t xml:space="preserve">when </w:t>
      </w:r>
      <w:r w:rsidR="004D238B" w:rsidRPr="00813D19">
        <w:rPr>
          <w:bCs/>
          <w:lang w:val="en-US"/>
        </w:rPr>
        <w:t xml:space="preserve">they had to use English and French to complete forms that </w:t>
      </w:r>
      <w:r w:rsidR="001922BA" w:rsidRPr="00813D19">
        <w:rPr>
          <w:bCs/>
          <w:lang w:val="en-US"/>
        </w:rPr>
        <w:t xml:space="preserve">were </w:t>
      </w:r>
      <w:r w:rsidR="00B0581C" w:rsidRPr="00813D19">
        <w:rPr>
          <w:bCs/>
          <w:lang w:val="en-US"/>
        </w:rPr>
        <w:t xml:space="preserve">imposed </w:t>
      </w:r>
      <w:r w:rsidR="004A47D2">
        <w:rPr>
          <w:bCs/>
          <w:lang w:val="en-US"/>
        </w:rPr>
        <w:t>up</w:t>
      </w:r>
      <w:r w:rsidR="004D238B" w:rsidRPr="00813D19">
        <w:rPr>
          <w:bCs/>
          <w:lang w:val="en-US"/>
        </w:rPr>
        <w:t>on them</w:t>
      </w:r>
      <w:r w:rsidR="001922BA" w:rsidRPr="00813D19">
        <w:rPr>
          <w:bCs/>
          <w:lang w:val="en-US"/>
        </w:rPr>
        <w:t xml:space="preserve">, which </w:t>
      </w:r>
      <w:r w:rsidR="004D238B" w:rsidRPr="00813D19">
        <w:rPr>
          <w:bCs/>
          <w:lang w:val="en-US"/>
        </w:rPr>
        <w:t xml:space="preserve">perhaps </w:t>
      </w:r>
      <w:r w:rsidR="001922BA" w:rsidRPr="00813D19">
        <w:rPr>
          <w:bCs/>
          <w:lang w:val="en-US"/>
        </w:rPr>
        <w:t xml:space="preserve">were not as </w:t>
      </w:r>
      <w:r w:rsidR="004D238B" w:rsidRPr="00813D19">
        <w:rPr>
          <w:bCs/>
          <w:lang w:val="en-US"/>
        </w:rPr>
        <w:t xml:space="preserve">clear as they could have been. </w:t>
      </w:r>
      <w:r w:rsidR="001922BA" w:rsidRPr="00813D19">
        <w:rPr>
          <w:bCs/>
          <w:lang w:val="en-US"/>
        </w:rPr>
        <w:t xml:space="preserve">The delegation had </w:t>
      </w:r>
      <w:r w:rsidR="004D238B" w:rsidRPr="00813D19">
        <w:rPr>
          <w:bCs/>
          <w:lang w:val="en-US"/>
        </w:rPr>
        <w:t xml:space="preserve">convinced </w:t>
      </w:r>
      <w:r w:rsidR="00B0581C" w:rsidRPr="00813D19">
        <w:rPr>
          <w:bCs/>
          <w:lang w:val="en-US"/>
        </w:rPr>
        <w:t xml:space="preserve">the communities to </w:t>
      </w:r>
      <w:r w:rsidR="004D238B" w:rsidRPr="00813D19">
        <w:rPr>
          <w:bCs/>
          <w:lang w:val="en-US"/>
        </w:rPr>
        <w:t xml:space="preserve">use </w:t>
      </w:r>
      <w:r w:rsidR="00294F9D" w:rsidRPr="00813D19">
        <w:rPr>
          <w:bCs/>
          <w:lang w:val="en-US"/>
        </w:rPr>
        <w:t xml:space="preserve">ICTs </w:t>
      </w:r>
      <w:r w:rsidR="004D238B" w:rsidRPr="00813D19">
        <w:rPr>
          <w:bCs/>
          <w:lang w:val="en-US"/>
        </w:rPr>
        <w:t xml:space="preserve">and that </w:t>
      </w:r>
      <w:r w:rsidR="004B3AFC">
        <w:rPr>
          <w:bCs/>
          <w:lang w:val="en-US"/>
        </w:rPr>
        <w:t>was</w:t>
      </w:r>
      <w:r w:rsidR="004B3AFC" w:rsidRPr="00813D19">
        <w:rPr>
          <w:bCs/>
          <w:lang w:val="en-US"/>
        </w:rPr>
        <w:t xml:space="preserve"> </w:t>
      </w:r>
      <w:r w:rsidR="004D238B" w:rsidRPr="00813D19">
        <w:rPr>
          <w:bCs/>
          <w:lang w:val="en-US"/>
        </w:rPr>
        <w:t xml:space="preserve">why they included all the information requested </w:t>
      </w:r>
      <w:r w:rsidR="004B6C8F" w:rsidRPr="00813D19">
        <w:rPr>
          <w:bCs/>
          <w:lang w:val="en-US"/>
        </w:rPr>
        <w:t xml:space="preserve">by </w:t>
      </w:r>
      <w:r w:rsidR="004D238B" w:rsidRPr="00813D19">
        <w:rPr>
          <w:bCs/>
          <w:lang w:val="en-US"/>
        </w:rPr>
        <w:t>the Evaluation Body on</w:t>
      </w:r>
      <w:r w:rsidR="00294F9D" w:rsidRPr="00813D19">
        <w:rPr>
          <w:bCs/>
          <w:lang w:val="en-US"/>
        </w:rPr>
        <w:t>line</w:t>
      </w:r>
      <w:r w:rsidR="004D238B" w:rsidRPr="00813D19">
        <w:rPr>
          <w:bCs/>
          <w:lang w:val="en-US"/>
        </w:rPr>
        <w:t xml:space="preserve">, </w:t>
      </w:r>
      <w:r w:rsidR="00294F9D" w:rsidRPr="00813D19">
        <w:rPr>
          <w:bCs/>
          <w:lang w:val="en-US"/>
        </w:rPr>
        <w:t xml:space="preserve">as </w:t>
      </w:r>
      <w:r w:rsidR="004D238B" w:rsidRPr="00813D19">
        <w:rPr>
          <w:bCs/>
          <w:lang w:val="en-US"/>
        </w:rPr>
        <w:t xml:space="preserve">referred to in the file. </w:t>
      </w:r>
      <w:r w:rsidR="001922BA" w:rsidRPr="00813D19">
        <w:rPr>
          <w:bCs/>
          <w:lang w:val="en-US"/>
        </w:rPr>
        <w:t xml:space="preserve">The file contained </w:t>
      </w:r>
      <w:r w:rsidR="004D238B" w:rsidRPr="00813D19">
        <w:rPr>
          <w:bCs/>
          <w:lang w:val="en-US"/>
        </w:rPr>
        <w:t>two annexes</w:t>
      </w:r>
      <w:r w:rsidR="001922BA" w:rsidRPr="00813D19">
        <w:rPr>
          <w:bCs/>
          <w:lang w:val="en-US"/>
        </w:rPr>
        <w:t>,</w:t>
      </w:r>
      <w:r w:rsidR="004D238B" w:rsidRPr="00813D19">
        <w:rPr>
          <w:bCs/>
          <w:lang w:val="en-US"/>
        </w:rPr>
        <w:t xml:space="preserve"> one </w:t>
      </w:r>
      <w:r w:rsidR="004B3AFC" w:rsidRPr="00813D19">
        <w:rPr>
          <w:bCs/>
          <w:lang w:val="en-US"/>
        </w:rPr>
        <w:t xml:space="preserve">of which </w:t>
      </w:r>
      <w:r w:rsidR="001922BA" w:rsidRPr="00813D19">
        <w:rPr>
          <w:bCs/>
          <w:lang w:val="en-US"/>
        </w:rPr>
        <w:t xml:space="preserve">had </w:t>
      </w:r>
      <w:r w:rsidR="004D238B" w:rsidRPr="00813D19">
        <w:rPr>
          <w:bCs/>
          <w:lang w:val="en-US"/>
        </w:rPr>
        <w:t xml:space="preserve">all the information </w:t>
      </w:r>
      <w:r w:rsidR="001922BA" w:rsidRPr="00813D19">
        <w:rPr>
          <w:bCs/>
          <w:lang w:val="en-US"/>
        </w:rPr>
        <w:t>requested</w:t>
      </w:r>
      <w:r w:rsidR="004D238B" w:rsidRPr="00813D19">
        <w:rPr>
          <w:bCs/>
          <w:lang w:val="en-US"/>
        </w:rPr>
        <w:t xml:space="preserve">. </w:t>
      </w:r>
      <w:r w:rsidR="00D63D32" w:rsidRPr="00813D19">
        <w:rPr>
          <w:bCs/>
          <w:lang w:val="en-US"/>
        </w:rPr>
        <w:t>T</w:t>
      </w:r>
      <w:r w:rsidR="001922BA" w:rsidRPr="00813D19">
        <w:rPr>
          <w:bCs/>
          <w:lang w:val="en-US"/>
        </w:rPr>
        <w:t xml:space="preserve">he delegation </w:t>
      </w:r>
      <w:r w:rsidR="00D63D32" w:rsidRPr="00813D19">
        <w:rPr>
          <w:bCs/>
          <w:lang w:val="en-US"/>
        </w:rPr>
        <w:t xml:space="preserve">now </w:t>
      </w:r>
      <w:r w:rsidR="001922BA" w:rsidRPr="00813D19">
        <w:rPr>
          <w:bCs/>
          <w:lang w:val="en-US"/>
        </w:rPr>
        <w:t xml:space="preserve">had to return in </w:t>
      </w:r>
      <w:r w:rsidR="004D238B" w:rsidRPr="00813D19">
        <w:rPr>
          <w:bCs/>
          <w:lang w:val="en-US"/>
        </w:rPr>
        <w:t xml:space="preserve">two years </w:t>
      </w:r>
      <w:r w:rsidR="001922BA" w:rsidRPr="00813D19">
        <w:rPr>
          <w:bCs/>
          <w:lang w:val="en-US"/>
        </w:rPr>
        <w:t xml:space="preserve">with a new proposal and </w:t>
      </w:r>
      <w:r w:rsidR="00D63D32" w:rsidRPr="00813D19">
        <w:rPr>
          <w:bCs/>
          <w:lang w:val="en-US"/>
        </w:rPr>
        <w:t xml:space="preserve">resume the inventory, which was said not to have been given a date even though </w:t>
      </w:r>
      <w:r w:rsidR="00BB4130" w:rsidRPr="00813D19">
        <w:rPr>
          <w:bCs/>
          <w:lang w:val="en-US"/>
        </w:rPr>
        <w:t xml:space="preserve">the nomination file </w:t>
      </w:r>
      <w:r w:rsidR="00D63D32" w:rsidRPr="00813D19">
        <w:rPr>
          <w:bCs/>
          <w:lang w:val="en-US"/>
        </w:rPr>
        <w:t xml:space="preserve">clearly mentioned </w:t>
      </w:r>
      <w:r w:rsidR="00BB4130" w:rsidRPr="00813D19">
        <w:rPr>
          <w:bCs/>
          <w:lang w:val="en-US"/>
        </w:rPr>
        <w:t xml:space="preserve">6 </w:t>
      </w:r>
      <w:r w:rsidR="004D238B" w:rsidRPr="00813D19">
        <w:rPr>
          <w:bCs/>
          <w:lang w:val="en-US"/>
        </w:rPr>
        <w:t>January</w:t>
      </w:r>
      <w:r w:rsidR="004B6C8F" w:rsidRPr="00813D19">
        <w:rPr>
          <w:bCs/>
          <w:lang w:val="en-US"/>
        </w:rPr>
        <w:t xml:space="preserve"> </w:t>
      </w:r>
      <w:r w:rsidR="00C1608C" w:rsidRPr="002827E3">
        <w:rPr>
          <w:bCs/>
          <w:lang w:val="en-US"/>
        </w:rPr>
        <w:t>2017</w:t>
      </w:r>
      <w:r w:rsidR="00D63D32" w:rsidRPr="00813D19">
        <w:rPr>
          <w:bCs/>
          <w:lang w:val="en-US"/>
        </w:rPr>
        <w:t>,</w:t>
      </w:r>
      <w:r w:rsidR="00BB4130" w:rsidRPr="00813D19">
        <w:rPr>
          <w:bCs/>
          <w:lang w:val="en-US"/>
        </w:rPr>
        <w:t xml:space="preserve"> which </w:t>
      </w:r>
      <w:r w:rsidR="004D238B" w:rsidRPr="00813D19">
        <w:rPr>
          <w:bCs/>
          <w:lang w:val="en-US"/>
        </w:rPr>
        <w:t xml:space="preserve">was never mentioned. </w:t>
      </w:r>
      <w:r w:rsidR="004B6C8F" w:rsidRPr="00813D19">
        <w:rPr>
          <w:bCs/>
          <w:lang w:val="en-US"/>
        </w:rPr>
        <w:t>I</w:t>
      </w:r>
      <w:r w:rsidR="004D238B" w:rsidRPr="00813D19">
        <w:rPr>
          <w:bCs/>
          <w:lang w:val="en-US"/>
        </w:rPr>
        <w:t xml:space="preserve">f new technologies taught </w:t>
      </w:r>
      <w:r w:rsidR="00BB4130" w:rsidRPr="00813D19">
        <w:rPr>
          <w:bCs/>
          <w:lang w:val="en-US"/>
        </w:rPr>
        <w:t xml:space="preserve">to </w:t>
      </w:r>
      <w:r w:rsidR="004D238B" w:rsidRPr="00813D19">
        <w:rPr>
          <w:bCs/>
          <w:lang w:val="en-US"/>
        </w:rPr>
        <w:t>indigenous people serve</w:t>
      </w:r>
      <w:r w:rsidR="004B6C8F" w:rsidRPr="00813D19">
        <w:rPr>
          <w:bCs/>
          <w:lang w:val="en-US"/>
        </w:rPr>
        <w:t>d</w:t>
      </w:r>
      <w:r w:rsidR="004D238B" w:rsidRPr="00813D19">
        <w:rPr>
          <w:bCs/>
          <w:lang w:val="en-US"/>
        </w:rPr>
        <w:t xml:space="preserve"> no purpose</w:t>
      </w:r>
      <w:r w:rsidR="004B6C8F" w:rsidRPr="00813D19">
        <w:rPr>
          <w:bCs/>
          <w:lang w:val="en-US"/>
        </w:rPr>
        <w:t xml:space="preserve"> in the future,</w:t>
      </w:r>
      <w:r w:rsidR="004D238B" w:rsidRPr="00813D19">
        <w:rPr>
          <w:bCs/>
          <w:lang w:val="en-US"/>
        </w:rPr>
        <w:t xml:space="preserve"> </w:t>
      </w:r>
      <w:r w:rsidR="00BB4130" w:rsidRPr="00813D19">
        <w:rPr>
          <w:bCs/>
          <w:lang w:val="en-US"/>
        </w:rPr>
        <w:t xml:space="preserve">then they should be informed. </w:t>
      </w:r>
      <w:r w:rsidR="004B6C8F" w:rsidRPr="00813D19">
        <w:rPr>
          <w:bCs/>
          <w:lang w:val="en-US"/>
        </w:rPr>
        <w:t xml:space="preserve">The delegation insisted that </w:t>
      </w:r>
      <w:r w:rsidR="004D238B" w:rsidRPr="00813D19">
        <w:rPr>
          <w:bCs/>
          <w:lang w:val="en-US"/>
        </w:rPr>
        <w:t xml:space="preserve">Chamamé </w:t>
      </w:r>
      <w:r w:rsidR="004B6C8F" w:rsidRPr="00813D19">
        <w:rPr>
          <w:bCs/>
          <w:lang w:val="en-US"/>
        </w:rPr>
        <w:t xml:space="preserve">is intangible world heritage, even though </w:t>
      </w:r>
      <w:r w:rsidR="00BB4130" w:rsidRPr="00813D19">
        <w:rPr>
          <w:bCs/>
          <w:lang w:val="en-US"/>
        </w:rPr>
        <w:t xml:space="preserve">it takes bureaucrats to </w:t>
      </w:r>
      <w:r w:rsidR="004D238B" w:rsidRPr="00813D19">
        <w:rPr>
          <w:bCs/>
          <w:lang w:val="en-US"/>
        </w:rPr>
        <w:t xml:space="preserve">recognize it </w:t>
      </w:r>
      <w:r w:rsidR="004B6C8F" w:rsidRPr="00813D19">
        <w:rPr>
          <w:bCs/>
          <w:lang w:val="en-US"/>
        </w:rPr>
        <w:t>as such</w:t>
      </w:r>
      <w:r w:rsidR="004D238B" w:rsidRPr="00813D19">
        <w:rPr>
          <w:bCs/>
          <w:lang w:val="en-US"/>
        </w:rPr>
        <w:t xml:space="preserve">. </w:t>
      </w:r>
      <w:r w:rsidR="004B6C8F" w:rsidRPr="00813D19">
        <w:rPr>
          <w:bCs/>
          <w:lang w:val="en-US"/>
        </w:rPr>
        <w:t xml:space="preserve">Moreover, </w:t>
      </w:r>
      <w:r w:rsidR="00BB4130" w:rsidRPr="00813D19">
        <w:rPr>
          <w:bCs/>
          <w:lang w:val="en-US"/>
        </w:rPr>
        <w:t xml:space="preserve">the file </w:t>
      </w:r>
      <w:r w:rsidR="004B3AFC">
        <w:rPr>
          <w:bCs/>
          <w:lang w:val="en-US"/>
        </w:rPr>
        <w:t>had been</w:t>
      </w:r>
      <w:r w:rsidR="004B3AFC" w:rsidRPr="00813D19">
        <w:rPr>
          <w:bCs/>
          <w:lang w:val="en-US"/>
        </w:rPr>
        <w:t xml:space="preserve"> </w:t>
      </w:r>
      <w:r w:rsidR="004D238B" w:rsidRPr="00813D19">
        <w:rPr>
          <w:bCs/>
          <w:lang w:val="en-US"/>
        </w:rPr>
        <w:t>prepared a long time</w:t>
      </w:r>
      <w:r w:rsidR="004B6C8F" w:rsidRPr="00813D19">
        <w:rPr>
          <w:bCs/>
          <w:lang w:val="en-US"/>
        </w:rPr>
        <w:t xml:space="preserve"> ago</w:t>
      </w:r>
      <w:r w:rsidR="00BB4130" w:rsidRPr="00813D19">
        <w:rPr>
          <w:bCs/>
          <w:lang w:val="en-US"/>
        </w:rPr>
        <w:t xml:space="preserve"> and </w:t>
      </w:r>
      <w:r w:rsidR="004D238B" w:rsidRPr="00813D19">
        <w:rPr>
          <w:bCs/>
          <w:lang w:val="en-US"/>
        </w:rPr>
        <w:t xml:space="preserve">the </w:t>
      </w:r>
      <w:r w:rsidR="000D4EE7" w:rsidRPr="00813D19">
        <w:rPr>
          <w:bCs/>
          <w:lang w:val="en-US"/>
        </w:rPr>
        <w:t>Guaraní</w:t>
      </w:r>
      <w:r w:rsidR="004B6C8F" w:rsidRPr="00813D19">
        <w:rPr>
          <w:bCs/>
          <w:lang w:val="en-US"/>
        </w:rPr>
        <w:t xml:space="preserve"> </w:t>
      </w:r>
      <w:r w:rsidR="00D63D32" w:rsidRPr="00813D19">
        <w:rPr>
          <w:bCs/>
          <w:lang w:val="en-US"/>
        </w:rPr>
        <w:t>communities</w:t>
      </w:r>
      <w:r w:rsidR="004D238B" w:rsidRPr="00813D19">
        <w:rPr>
          <w:bCs/>
          <w:lang w:val="en-US"/>
        </w:rPr>
        <w:t xml:space="preserve"> need to be respected</w:t>
      </w:r>
      <w:r w:rsidR="00BB4130" w:rsidRPr="00813D19">
        <w:rPr>
          <w:bCs/>
          <w:lang w:val="en-US"/>
        </w:rPr>
        <w:t xml:space="preserve">. </w:t>
      </w:r>
      <w:r w:rsidR="004B6C8F" w:rsidRPr="00813D19">
        <w:rPr>
          <w:bCs/>
          <w:lang w:val="en-US"/>
        </w:rPr>
        <w:t xml:space="preserve">The delegation </w:t>
      </w:r>
      <w:r w:rsidR="00BB4130" w:rsidRPr="00813D19">
        <w:rPr>
          <w:bCs/>
          <w:lang w:val="en-US"/>
        </w:rPr>
        <w:t>asked the Members of the Committee</w:t>
      </w:r>
      <w:r w:rsidR="004D238B" w:rsidRPr="00813D19">
        <w:rPr>
          <w:bCs/>
          <w:lang w:val="en-US"/>
        </w:rPr>
        <w:t xml:space="preserve"> </w:t>
      </w:r>
      <w:r w:rsidR="00BB4130" w:rsidRPr="00813D19">
        <w:rPr>
          <w:bCs/>
          <w:lang w:val="en-US"/>
        </w:rPr>
        <w:t xml:space="preserve">to safeguard </w:t>
      </w:r>
      <w:r w:rsidR="004D238B" w:rsidRPr="00813D19">
        <w:rPr>
          <w:bCs/>
          <w:lang w:val="en-US"/>
        </w:rPr>
        <w:t>intangible cultu</w:t>
      </w:r>
      <w:r w:rsidR="00BB4130" w:rsidRPr="00813D19">
        <w:rPr>
          <w:bCs/>
          <w:lang w:val="en-US"/>
        </w:rPr>
        <w:t xml:space="preserve">ral heritage by not driving </w:t>
      </w:r>
      <w:r w:rsidR="004D238B" w:rsidRPr="00813D19">
        <w:rPr>
          <w:bCs/>
          <w:lang w:val="en-US"/>
        </w:rPr>
        <w:t xml:space="preserve">people away from UNESCO. </w:t>
      </w:r>
      <w:r w:rsidR="00BB4130" w:rsidRPr="00813D19">
        <w:rPr>
          <w:bCs/>
          <w:lang w:val="en-US"/>
        </w:rPr>
        <w:t xml:space="preserve">This file would be presented again </w:t>
      </w:r>
      <w:r w:rsidR="004D238B" w:rsidRPr="00813D19">
        <w:rPr>
          <w:bCs/>
          <w:lang w:val="en-US"/>
        </w:rPr>
        <w:t xml:space="preserve">without the </w:t>
      </w:r>
      <w:r w:rsidR="00BB4130" w:rsidRPr="00813D19">
        <w:rPr>
          <w:bCs/>
          <w:lang w:val="en-US"/>
        </w:rPr>
        <w:t xml:space="preserve">use of </w:t>
      </w:r>
      <w:r w:rsidR="00DD4E22">
        <w:rPr>
          <w:bCs/>
          <w:lang w:val="en-US"/>
        </w:rPr>
        <w:t>new technology.</w:t>
      </w:r>
    </w:p>
    <w:p w14:paraId="19F14631" w14:textId="1CA46B9D" w:rsidR="00EE16CD" w:rsidRPr="00813D19" w:rsidRDefault="00EE16CD" w:rsidP="00DD4E22">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10 OF THE AGENDA </w:t>
      </w:r>
      <w:r w:rsidR="00903550" w:rsidRPr="00813D19">
        <w:rPr>
          <w:b/>
          <w:color w:val="000000" w:themeColor="text1"/>
          <w:u w:val="single"/>
          <w:lang w:val="en-US"/>
        </w:rPr>
        <w:t>[CONT.]</w:t>
      </w:r>
    </w:p>
    <w:p w14:paraId="581E8E8E" w14:textId="77777777" w:rsidR="00EE16CD" w:rsidRPr="00813D19" w:rsidRDefault="00EE16CD" w:rsidP="00DD4E22">
      <w:pPr>
        <w:pStyle w:val="Orateurengris"/>
        <w:numPr>
          <w:ilvl w:val="0"/>
          <w:numId w:val="0"/>
        </w:numPr>
        <w:spacing w:after="240"/>
        <w:jc w:val="left"/>
        <w:outlineLvl w:val="1"/>
        <w:rPr>
          <w:b/>
          <w:color w:val="000000" w:themeColor="text1"/>
          <w:lang w:val="en-US"/>
        </w:rPr>
      </w:pPr>
      <w:r w:rsidRPr="00813D19">
        <w:rPr>
          <w:b/>
          <w:color w:val="000000" w:themeColor="text1"/>
          <w:lang w:val="en-US"/>
        </w:rPr>
        <w:t>REPORT OF THE EVALUATION BODY ON ITS WORK IN 2018</w:t>
      </w:r>
    </w:p>
    <w:p w14:paraId="2D60BE25" w14:textId="10C705A9" w:rsidR="00EE16CD" w:rsidRPr="00813D19" w:rsidRDefault="002C42ED" w:rsidP="00D70CA6">
      <w:pPr>
        <w:pStyle w:val="Orateurengris"/>
        <w:spacing w:after="0"/>
        <w:ind w:left="709" w:hanging="709"/>
        <w:rPr>
          <w:color w:val="000000" w:themeColor="text1"/>
          <w:lang w:val="en-US"/>
        </w:rPr>
      </w:pPr>
      <w:r w:rsidRPr="00813D19">
        <w:rPr>
          <w:color w:val="000000" w:themeColor="text1"/>
          <w:lang w:val="en-US"/>
        </w:rPr>
        <w:t>T</w:t>
      </w:r>
      <w:r w:rsidRPr="00813D19">
        <w:rPr>
          <w:lang w:val="en-US"/>
        </w:rPr>
        <w:t>hanking Argentina for its statement,</w:t>
      </w:r>
      <w:r w:rsidRPr="00813D19">
        <w:rPr>
          <w:color w:val="000000" w:themeColor="text1"/>
          <w:lang w:val="en-US"/>
        </w:rPr>
        <w:t xml:space="preserve"> t</w:t>
      </w:r>
      <w:r w:rsidR="00EE16CD" w:rsidRPr="00813D19">
        <w:rPr>
          <w:color w:val="000000" w:themeColor="text1"/>
          <w:lang w:val="en-US"/>
        </w:rPr>
        <w:t xml:space="preserve">he </w:t>
      </w:r>
      <w:r w:rsidR="00EE16CD" w:rsidRPr="00813D19">
        <w:rPr>
          <w:b/>
          <w:color w:val="000000" w:themeColor="text1"/>
          <w:lang w:val="en-US"/>
        </w:rPr>
        <w:t>Chairperson</w:t>
      </w:r>
      <w:r w:rsidR="00BB4130" w:rsidRPr="00813D19">
        <w:rPr>
          <w:lang w:val="en-US"/>
        </w:rPr>
        <w:t xml:space="preserve"> </w:t>
      </w:r>
      <w:r w:rsidRPr="00813D19">
        <w:rPr>
          <w:lang w:val="en-US"/>
        </w:rPr>
        <w:t xml:space="preserve">noted </w:t>
      </w:r>
      <w:r w:rsidR="00BB4130" w:rsidRPr="00813D19">
        <w:rPr>
          <w:lang w:val="en-US"/>
        </w:rPr>
        <w:t xml:space="preserve">that the Committee had completed the examination of </w:t>
      </w:r>
      <w:r w:rsidR="004B3AFC">
        <w:rPr>
          <w:lang w:val="en-US"/>
        </w:rPr>
        <w:t>forty-nine</w:t>
      </w:r>
      <w:r w:rsidR="00BB4130" w:rsidRPr="00813D19">
        <w:rPr>
          <w:lang w:val="en-US"/>
        </w:rPr>
        <w:t xml:space="preserve"> individual files under </w:t>
      </w:r>
      <w:r w:rsidRPr="00813D19">
        <w:rPr>
          <w:lang w:val="en-US"/>
        </w:rPr>
        <w:t>sub-</w:t>
      </w:r>
      <w:r w:rsidR="00BB4130" w:rsidRPr="00813D19">
        <w:rPr>
          <w:lang w:val="en-US"/>
        </w:rPr>
        <w:t xml:space="preserve">items 10.a., 10.b., 10.c. and 10.d. </w:t>
      </w:r>
      <w:r w:rsidRPr="00813D19">
        <w:rPr>
          <w:color w:val="000000" w:themeColor="text1"/>
          <w:lang w:val="en-US"/>
        </w:rPr>
        <w:t xml:space="preserve">He then </w:t>
      </w:r>
      <w:r w:rsidR="00BB4130" w:rsidRPr="00813D19">
        <w:rPr>
          <w:color w:val="000000" w:themeColor="text1"/>
          <w:lang w:val="en-US"/>
        </w:rPr>
        <w:t>proposed return</w:t>
      </w:r>
      <w:r w:rsidR="004B3AFC">
        <w:rPr>
          <w:color w:val="000000" w:themeColor="text1"/>
          <w:lang w:val="en-US"/>
        </w:rPr>
        <w:t>ing</w:t>
      </w:r>
      <w:r w:rsidR="00BB4130" w:rsidRPr="00813D19">
        <w:rPr>
          <w:color w:val="000000" w:themeColor="text1"/>
          <w:lang w:val="en-US"/>
        </w:rPr>
        <w:t xml:space="preserve"> to </w:t>
      </w:r>
      <w:r w:rsidR="004D238B" w:rsidRPr="00813D19">
        <w:rPr>
          <w:lang w:val="en-US"/>
        </w:rPr>
        <w:t xml:space="preserve">the debate </w:t>
      </w:r>
      <w:r w:rsidRPr="00813D19">
        <w:rPr>
          <w:lang w:val="en-US"/>
        </w:rPr>
        <w:t xml:space="preserve">on </w:t>
      </w:r>
      <w:r w:rsidR="004D238B" w:rsidRPr="00813D19">
        <w:rPr>
          <w:lang w:val="en-US"/>
        </w:rPr>
        <w:t>the report of the</w:t>
      </w:r>
      <w:r w:rsidR="00DD4E22">
        <w:rPr>
          <w:lang w:val="en-US"/>
        </w:rPr>
        <w:t xml:space="preserve"> Evaluation Body under item 10.</w:t>
      </w:r>
    </w:p>
    <w:p w14:paraId="43C0DF64" w14:textId="18F13868" w:rsidR="00EE16CD" w:rsidRPr="00813D19" w:rsidRDefault="00EE16CD" w:rsidP="00CE2D12">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w:t>
      </w:r>
      <w:r w:rsidRPr="00813D19">
        <w:rPr>
          <w:color w:val="000000" w:themeColor="text1"/>
          <w:lang w:val="en-US"/>
        </w:rPr>
        <w:t xml:space="preserve"> </w:t>
      </w:r>
      <w:r w:rsidRPr="00813D19">
        <w:rPr>
          <w:b/>
          <w:color w:val="000000" w:themeColor="text1"/>
          <w:lang w:val="en-US"/>
        </w:rPr>
        <w:t>Japan</w:t>
      </w:r>
      <w:r w:rsidRPr="00813D19">
        <w:rPr>
          <w:color w:val="000000" w:themeColor="text1"/>
          <w:lang w:val="en-US"/>
        </w:rPr>
        <w:t xml:space="preserve"> </w:t>
      </w:r>
      <w:r w:rsidR="004B3AFC">
        <w:rPr>
          <w:color w:val="000000" w:themeColor="text1"/>
          <w:lang w:val="en-US"/>
        </w:rPr>
        <w:t xml:space="preserve">had </w:t>
      </w:r>
      <w:r w:rsidR="004D238B" w:rsidRPr="00813D19">
        <w:rPr>
          <w:lang w:val="en-US"/>
        </w:rPr>
        <w:t>listened to the debate with great interest</w:t>
      </w:r>
      <w:r w:rsidR="00BB4130" w:rsidRPr="00813D19">
        <w:rPr>
          <w:lang w:val="en-US"/>
        </w:rPr>
        <w:t xml:space="preserve"> </w:t>
      </w:r>
      <w:r w:rsidR="00B6292B" w:rsidRPr="00813D19">
        <w:rPr>
          <w:lang w:val="en-US"/>
        </w:rPr>
        <w:t xml:space="preserve">and </w:t>
      </w:r>
      <w:r w:rsidR="004D238B" w:rsidRPr="00813D19">
        <w:rPr>
          <w:lang w:val="en-US"/>
        </w:rPr>
        <w:t>propose</w:t>
      </w:r>
      <w:r w:rsidR="00BB4130" w:rsidRPr="00813D19">
        <w:rPr>
          <w:lang w:val="en-US"/>
        </w:rPr>
        <w:t>d</w:t>
      </w:r>
      <w:r w:rsidR="004D238B" w:rsidRPr="00813D19">
        <w:rPr>
          <w:lang w:val="en-US"/>
        </w:rPr>
        <w:t xml:space="preserve"> a two-step approach to address the immediate need of the </w:t>
      </w:r>
      <w:r w:rsidR="00BB4130" w:rsidRPr="00813D19">
        <w:rPr>
          <w:lang w:val="en-US"/>
        </w:rPr>
        <w:t xml:space="preserve">pending </w:t>
      </w:r>
      <w:r w:rsidR="004D238B" w:rsidRPr="00813D19">
        <w:rPr>
          <w:lang w:val="en-US"/>
        </w:rPr>
        <w:t>issues</w:t>
      </w:r>
      <w:r w:rsidR="00BB4130" w:rsidRPr="00813D19">
        <w:rPr>
          <w:lang w:val="en-US"/>
        </w:rPr>
        <w:t>,</w:t>
      </w:r>
      <w:r w:rsidR="004D238B" w:rsidRPr="00813D19">
        <w:rPr>
          <w:lang w:val="en-US"/>
        </w:rPr>
        <w:t xml:space="preserve"> particularly the evaluation process </w:t>
      </w:r>
      <w:r w:rsidR="00BB4130" w:rsidRPr="00813D19">
        <w:rPr>
          <w:lang w:val="en-US"/>
        </w:rPr>
        <w:t xml:space="preserve">that </w:t>
      </w:r>
      <w:r w:rsidR="004B3AFC">
        <w:rPr>
          <w:lang w:val="en-US"/>
        </w:rPr>
        <w:t>would</w:t>
      </w:r>
      <w:r w:rsidR="004B3AFC" w:rsidRPr="00813D19">
        <w:rPr>
          <w:lang w:val="en-US"/>
        </w:rPr>
        <w:t xml:space="preserve"> </w:t>
      </w:r>
      <w:r w:rsidR="004D238B" w:rsidRPr="00813D19">
        <w:rPr>
          <w:lang w:val="en-US"/>
        </w:rPr>
        <w:t xml:space="preserve">be a central part of the discussions </w:t>
      </w:r>
      <w:r w:rsidR="0042031A" w:rsidRPr="00813D19">
        <w:rPr>
          <w:lang w:val="en-US"/>
        </w:rPr>
        <w:t>i</w:t>
      </w:r>
      <w:r w:rsidR="004D238B" w:rsidRPr="00813D19">
        <w:rPr>
          <w:lang w:val="en-US"/>
        </w:rPr>
        <w:t xml:space="preserve">n the reflection process. </w:t>
      </w:r>
      <w:r w:rsidR="00201CA0" w:rsidRPr="00813D19">
        <w:rPr>
          <w:lang w:val="en-US"/>
        </w:rPr>
        <w:t>Step one</w:t>
      </w:r>
      <w:r w:rsidR="004D238B" w:rsidRPr="00813D19">
        <w:rPr>
          <w:lang w:val="en-US"/>
        </w:rPr>
        <w:t xml:space="preserve"> should be completed by the next General Assembly in 2020, </w:t>
      </w:r>
      <w:r w:rsidR="00201CA0" w:rsidRPr="00813D19">
        <w:rPr>
          <w:lang w:val="en-US"/>
        </w:rPr>
        <w:t xml:space="preserve">which </w:t>
      </w:r>
      <w:r w:rsidR="004D238B" w:rsidRPr="00813D19">
        <w:rPr>
          <w:lang w:val="en-US"/>
        </w:rPr>
        <w:t>should discuss the immediate issues</w:t>
      </w:r>
      <w:r w:rsidR="00BB4130" w:rsidRPr="00813D19">
        <w:rPr>
          <w:lang w:val="en-US"/>
        </w:rPr>
        <w:t>,</w:t>
      </w:r>
      <w:r w:rsidR="004D238B" w:rsidRPr="00813D19">
        <w:rPr>
          <w:lang w:val="en-US"/>
        </w:rPr>
        <w:t xml:space="preserve"> including the evaluation</w:t>
      </w:r>
      <w:r w:rsidR="00B6292B" w:rsidRPr="00813D19">
        <w:rPr>
          <w:lang w:val="en-US"/>
        </w:rPr>
        <w:t>,</w:t>
      </w:r>
      <w:r w:rsidR="004D238B" w:rsidRPr="00813D19">
        <w:rPr>
          <w:lang w:val="en-US"/>
        </w:rPr>
        <w:t xml:space="preserve"> </w:t>
      </w:r>
      <w:r w:rsidR="00C801E4" w:rsidRPr="00813D19">
        <w:rPr>
          <w:lang w:val="en-US"/>
        </w:rPr>
        <w:t>possibly completing</w:t>
      </w:r>
      <w:r w:rsidR="004D238B" w:rsidRPr="00813D19">
        <w:rPr>
          <w:lang w:val="en-US"/>
        </w:rPr>
        <w:t xml:space="preserve"> </w:t>
      </w:r>
      <w:r w:rsidR="00C801E4" w:rsidRPr="00813D19">
        <w:rPr>
          <w:lang w:val="en-US"/>
        </w:rPr>
        <w:t>the comprehensive</w:t>
      </w:r>
      <w:r w:rsidR="004D238B" w:rsidRPr="00813D19">
        <w:rPr>
          <w:lang w:val="en-US"/>
        </w:rPr>
        <w:t xml:space="preserve"> </w:t>
      </w:r>
      <w:r w:rsidR="00C801E4" w:rsidRPr="00813D19">
        <w:rPr>
          <w:lang w:val="en-US"/>
        </w:rPr>
        <w:t xml:space="preserve">review </w:t>
      </w:r>
      <w:r w:rsidR="004D238B" w:rsidRPr="00813D19">
        <w:rPr>
          <w:lang w:val="en-US"/>
        </w:rPr>
        <w:t xml:space="preserve">by 2022. The second </w:t>
      </w:r>
      <w:r w:rsidR="0042031A" w:rsidRPr="00813D19">
        <w:rPr>
          <w:lang w:val="en-US"/>
        </w:rPr>
        <w:t xml:space="preserve">step </w:t>
      </w:r>
      <w:r w:rsidR="00C801E4" w:rsidRPr="00813D19">
        <w:rPr>
          <w:lang w:val="en-US"/>
        </w:rPr>
        <w:t xml:space="preserve">concerned </w:t>
      </w:r>
      <w:r w:rsidR="004D238B" w:rsidRPr="00813D19">
        <w:rPr>
          <w:lang w:val="en-US"/>
        </w:rPr>
        <w:t xml:space="preserve">the </w:t>
      </w:r>
      <w:r w:rsidR="00C801E4" w:rsidRPr="00813D19">
        <w:rPr>
          <w:lang w:val="en-US"/>
        </w:rPr>
        <w:t xml:space="preserve">central issue of the </w:t>
      </w:r>
      <w:r w:rsidR="004D238B" w:rsidRPr="00813D19">
        <w:rPr>
          <w:lang w:val="en-US"/>
        </w:rPr>
        <w:t>evaluation process</w:t>
      </w:r>
      <w:r w:rsidR="00C801E4" w:rsidRPr="00813D19">
        <w:rPr>
          <w:lang w:val="en-US"/>
        </w:rPr>
        <w:t xml:space="preserve">, </w:t>
      </w:r>
      <w:r w:rsidR="004D238B" w:rsidRPr="00813D19">
        <w:rPr>
          <w:lang w:val="en-US"/>
        </w:rPr>
        <w:t xml:space="preserve">and </w:t>
      </w:r>
      <w:r w:rsidR="00C801E4" w:rsidRPr="00813D19">
        <w:rPr>
          <w:lang w:val="en-US"/>
        </w:rPr>
        <w:t xml:space="preserve">the delegation </w:t>
      </w:r>
      <w:r w:rsidR="004D238B" w:rsidRPr="00813D19">
        <w:rPr>
          <w:lang w:val="en-US"/>
        </w:rPr>
        <w:t>suggest</w:t>
      </w:r>
      <w:r w:rsidR="00C801E4" w:rsidRPr="00813D19">
        <w:rPr>
          <w:lang w:val="en-US"/>
        </w:rPr>
        <w:t>ed</w:t>
      </w:r>
      <w:r w:rsidR="004D238B" w:rsidRPr="00813D19">
        <w:rPr>
          <w:lang w:val="en-US"/>
        </w:rPr>
        <w:t xml:space="preserve"> a few points that should be discussed based </w:t>
      </w:r>
      <w:r w:rsidR="00C801E4" w:rsidRPr="00813D19">
        <w:rPr>
          <w:lang w:val="en-US"/>
        </w:rPr>
        <w:t xml:space="preserve">on the </w:t>
      </w:r>
      <w:r w:rsidR="0042031A" w:rsidRPr="00813D19">
        <w:rPr>
          <w:lang w:val="en-US"/>
        </w:rPr>
        <w:t xml:space="preserve">debates of </w:t>
      </w:r>
      <w:r w:rsidR="00C801E4" w:rsidRPr="00813D19">
        <w:rPr>
          <w:lang w:val="en-US"/>
        </w:rPr>
        <w:t>the present session</w:t>
      </w:r>
      <w:r w:rsidR="00322E17" w:rsidRPr="00813D19">
        <w:rPr>
          <w:lang w:val="en-US"/>
        </w:rPr>
        <w:t>:</w:t>
      </w:r>
      <w:r w:rsidR="004D238B" w:rsidRPr="00813D19">
        <w:rPr>
          <w:lang w:val="en-US"/>
        </w:rPr>
        <w:t xml:space="preserve"> </w:t>
      </w:r>
      <w:r w:rsidR="00322E17" w:rsidRPr="00813D19">
        <w:rPr>
          <w:lang w:val="en-US"/>
        </w:rPr>
        <w:t xml:space="preserve">i) </w:t>
      </w:r>
      <w:r w:rsidR="004D238B" w:rsidRPr="00C9685A">
        <w:rPr>
          <w:lang w:val="en-US"/>
        </w:rPr>
        <w:t xml:space="preserve">the </w:t>
      </w:r>
      <w:r w:rsidR="00322E17" w:rsidRPr="002827E3">
        <w:rPr>
          <w:lang w:val="en-US"/>
        </w:rPr>
        <w:t xml:space="preserve">length </w:t>
      </w:r>
      <w:r w:rsidR="00CE2D12" w:rsidRPr="002827E3">
        <w:rPr>
          <w:lang w:val="en-US"/>
        </w:rPr>
        <w:t xml:space="preserve">of </w:t>
      </w:r>
      <w:r w:rsidR="00322E17" w:rsidRPr="002827E3">
        <w:rPr>
          <w:lang w:val="en-US"/>
        </w:rPr>
        <w:t xml:space="preserve">reference </w:t>
      </w:r>
      <w:r w:rsidR="00322E17" w:rsidRPr="00813D19">
        <w:rPr>
          <w:lang w:val="en-US"/>
        </w:rPr>
        <w:t>ii)</w:t>
      </w:r>
      <w:r w:rsidR="004D238B" w:rsidRPr="00813D19">
        <w:rPr>
          <w:lang w:val="en-US"/>
        </w:rPr>
        <w:t xml:space="preserve"> </w:t>
      </w:r>
      <w:r w:rsidR="00322E17" w:rsidRPr="00813D19">
        <w:rPr>
          <w:lang w:val="en-US"/>
        </w:rPr>
        <w:t xml:space="preserve">good </w:t>
      </w:r>
      <w:r w:rsidR="004D238B" w:rsidRPr="00813D19">
        <w:rPr>
          <w:lang w:val="en-US"/>
        </w:rPr>
        <w:t>access to information by the evaluators</w:t>
      </w:r>
      <w:r w:rsidR="00322E17" w:rsidRPr="00813D19">
        <w:rPr>
          <w:lang w:val="en-US"/>
        </w:rPr>
        <w:t>,</w:t>
      </w:r>
      <w:r w:rsidR="004D238B" w:rsidRPr="00813D19">
        <w:rPr>
          <w:lang w:val="en-US"/>
        </w:rPr>
        <w:t xml:space="preserve"> particularly </w:t>
      </w:r>
      <w:r w:rsidR="00AD683E">
        <w:rPr>
          <w:lang w:val="en-US"/>
        </w:rPr>
        <w:t xml:space="preserve">the </w:t>
      </w:r>
      <w:r w:rsidR="004D238B" w:rsidRPr="00813D19">
        <w:rPr>
          <w:lang w:val="en-US"/>
        </w:rPr>
        <w:t>informa</w:t>
      </w:r>
      <w:r w:rsidR="00322E17" w:rsidRPr="00813D19">
        <w:rPr>
          <w:lang w:val="en-US"/>
        </w:rPr>
        <w:t xml:space="preserve">tion available on the </w:t>
      </w:r>
      <w:r w:rsidR="004B3AFC">
        <w:rPr>
          <w:lang w:val="en-US"/>
        </w:rPr>
        <w:t>i</w:t>
      </w:r>
      <w:r w:rsidR="004B3AFC" w:rsidRPr="00813D19">
        <w:rPr>
          <w:lang w:val="en-US"/>
        </w:rPr>
        <w:t>nternet</w:t>
      </w:r>
      <w:r w:rsidR="00322E17" w:rsidRPr="00813D19">
        <w:rPr>
          <w:lang w:val="en-US"/>
        </w:rPr>
        <w:t xml:space="preserve">, ensuring a </w:t>
      </w:r>
      <w:r w:rsidR="004D238B" w:rsidRPr="00813D19">
        <w:rPr>
          <w:lang w:val="en-US"/>
        </w:rPr>
        <w:t xml:space="preserve">very good formula to </w:t>
      </w:r>
      <w:r w:rsidR="00322E17" w:rsidRPr="00813D19">
        <w:rPr>
          <w:lang w:val="en-US"/>
        </w:rPr>
        <w:t>enable this</w:t>
      </w:r>
      <w:r w:rsidR="004D238B" w:rsidRPr="00813D19">
        <w:rPr>
          <w:lang w:val="en-US"/>
        </w:rPr>
        <w:t xml:space="preserve">; </w:t>
      </w:r>
      <w:r w:rsidR="00322E17" w:rsidRPr="00813D19">
        <w:rPr>
          <w:lang w:val="en-US"/>
        </w:rPr>
        <w:t xml:space="preserve">iii) the important issue of dialogue, particularly </w:t>
      </w:r>
      <w:r w:rsidR="004D238B" w:rsidRPr="00813D19">
        <w:rPr>
          <w:lang w:val="en-US"/>
        </w:rPr>
        <w:t xml:space="preserve">upstream </w:t>
      </w:r>
      <w:r w:rsidR="00322E17" w:rsidRPr="00813D19">
        <w:rPr>
          <w:lang w:val="en-US"/>
        </w:rPr>
        <w:t xml:space="preserve">dialogue. </w:t>
      </w:r>
      <w:r w:rsidR="00FB197F" w:rsidRPr="00813D19">
        <w:rPr>
          <w:lang w:val="en-US"/>
        </w:rPr>
        <w:t>T</w:t>
      </w:r>
      <w:r w:rsidR="004D238B" w:rsidRPr="00813D19">
        <w:rPr>
          <w:lang w:val="en-US"/>
        </w:rPr>
        <w:t xml:space="preserve">he nominator </w:t>
      </w:r>
      <w:r w:rsidR="00FB197F" w:rsidRPr="00813D19">
        <w:rPr>
          <w:lang w:val="en-US"/>
        </w:rPr>
        <w:t xml:space="preserve">should be given the chance </w:t>
      </w:r>
      <w:r w:rsidR="004D238B" w:rsidRPr="00813D19">
        <w:rPr>
          <w:lang w:val="en-US"/>
        </w:rPr>
        <w:t xml:space="preserve">to revise the file after the initial discussion with the evaluators. This process </w:t>
      </w:r>
      <w:r w:rsidR="00FB197F" w:rsidRPr="00813D19">
        <w:rPr>
          <w:lang w:val="en-US"/>
        </w:rPr>
        <w:t xml:space="preserve">would </w:t>
      </w:r>
      <w:r w:rsidR="004D238B" w:rsidRPr="00813D19">
        <w:rPr>
          <w:lang w:val="en-US"/>
        </w:rPr>
        <w:t xml:space="preserve">not only encourage </w:t>
      </w:r>
      <w:r w:rsidR="00FB197F" w:rsidRPr="00813D19">
        <w:rPr>
          <w:lang w:val="en-US"/>
        </w:rPr>
        <w:t xml:space="preserve">a </w:t>
      </w:r>
      <w:r w:rsidR="004D238B" w:rsidRPr="00813D19">
        <w:rPr>
          <w:lang w:val="en-US"/>
        </w:rPr>
        <w:t>revision of the file</w:t>
      </w:r>
      <w:r w:rsidR="00FB197F" w:rsidRPr="00813D19">
        <w:rPr>
          <w:lang w:val="en-US"/>
        </w:rPr>
        <w:t>,</w:t>
      </w:r>
      <w:r w:rsidR="004D238B" w:rsidRPr="00813D19">
        <w:rPr>
          <w:lang w:val="en-US"/>
        </w:rPr>
        <w:t xml:space="preserve"> but </w:t>
      </w:r>
      <w:r w:rsidR="00FB197F" w:rsidRPr="00813D19">
        <w:rPr>
          <w:lang w:val="en-US"/>
        </w:rPr>
        <w:t xml:space="preserve">would </w:t>
      </w:r>
      <w:r w:rsidR="004D238B" w:rsidRPr="00813D19">
        <w:rPr>
          <w:lang w:val="en-US"/>
        </w:rPr>
        <w:t>also encourage the revision of their programmes and policies so as to strengthen th</w:t>
      </w:r>
      <w:r w:rsidR="00FB197F" w:rsidRPr="00813D19">
        <w:rPr>
          <w:lang w:val="en-US"/>
        </w:rPr>
        <w:t>e safeguarding of the element, serving</w:t>
      </w:r>
      <w:r w:rsidR="004D238B" w:rsidRPr="00813D19">
        <w:rPr>
          <w:lang w:val="en-US"/>
        </w:rPr>
        <w:t xml:space="preserve"> the b</w:t>
      </w:r>
      <w:r w:rsidR="00FB197F" w:rsidRPr="00813D19">
        <w:rPr>
          <w:lang w:val="en-US"/>
        </w:rPr>
        <w:t xml:space="preserve">asic purpose of the Convention; </w:t>
      </w:r>
      <w:r w:rsidR="004B3AFC">
        <w:rPr>
          <w:lang w:val="en-US"/>
        </w:rPr>
        <w:t xml:space="preserve">and </w:t>
      </w:r>
      <w:r w:rsidR="00FB197F" w:rsidRPr="00813D19">
        <w:rPr>
          <w:lang w:val="en-US"/>
        </w:rPr>
        <w:t xml:space="preserve">iv) the issue of R.2, </w:t>
      </w:r>
      <w:r w:rsidR="004D238B" w:rsidRPr="00813D19">
        <w:rPr>
          <w:lang w:val="en-US"/>
        </w:rPr>
        <w:t xml:space="preserve">should </w:t>
      </w:r>
      <w:r w:rsidR="0042031A" w:rsidRPr="00813D19">
        <w:rPr>
          <w:lang w:val="en-US"/>
        </w:rPr>
        <w:t xml:space="preserve">also </w:t>
      </w:r>
      <w:r w:rsidR="004D238B" w:rsidRPr="00813D19">
        <w:rPr>
          <w:lang w:val="en-US"/>
        </w:rPr>
        <w:t>be addressed</w:t>
      </w:r>
      <w:r w:rsidR="00FB197F" w:rsidRPr="00813D19">
        <w:rPr>
          <w:lang w:val="en-US"/>
        </w:rPr>
        <w:t>.</w:t>
      </w:r>
      <w:r w:rsidR="004D238B" w:rsidRPr="00813D19">
        <w:rPr>
          <w:lang w:val="en-US"/>
        </w:rPr>
        <w:t xml:space="preserve"> </w:t>
      </w:r>
      <w:r w:rsidR="00FB197F" w:rsidRPr="00813D19">
        <w:rPr>
          <w:lang w:val="en-US"/>
        </w:rPr>
        <w:t>O</w:t>
      </w:r>
      <w:r w:rsidR="004D238B" w:rsidRPr="00813D19">
        <w:rPr>
          <w:lang w:val="en-US"/>
        </w:rPr>
        <w:t>n</w:t>
      </w:r>
      <w:r w:rsidR="00FB197F" w:rsidRPr="00813D19">
        <w:rPr>
          <w:lang w:val="en-US"/>
        </w:rPr>
        <w:t>e</w:t>
      </w:r>
      <w:r w:rsidR="004D238B" w:rsidRPr="00813D19">
        <w:rPr>
          <w:lang w:val="en-US"/>
        </w:rPr>
        <w:t xml:space="preserve"> suggestion </w:t>
      </w:r>
      <w:r w:rsidR="00FB197F" w:rsidRPr="00813D19">
        <w:rPr>
          <w:lang w:val="en-US"/>
        </w:rPr>
        <w:t xml:space="preserve">was to </w:t>
      </w:r>
      <w:r w:rsidR="004D238B" w:rsidRPr="00813D19">
        <w:rPr>
          <w:lang w:val="en-US"/>
        </w:rPr>
        <w:t>devise the questionnaire in</w:t>
      </w:r>
      <w:r w:rsidR="004B3AFC">
        <w:rPr>
          <w:lang w:val="en-US"/>
        </w:rPr>
        <w:t xml:space="preserve"> </w:t>
      </w:r>
      <w:r w:rsidR="004D238B" w:rsidRPr="00813D19">
        <w:rPr>
          <w:lang w:val="en-US"/>
        </w:rPr>
        <w:t xml:space="preserve">a way </w:t>
      </w:r>
      <w:r w:rsidR="005928E5" w:rsidRPr="00813D19">
        <w:rPr>
          <w:lang w:val="en-US"/>
        </w:rPr>
        <w:t>that made</w:t>
      </w:r>
      <w:r w:rsidR="0042031A" w:rsidRPr="00813D19">
        <w:rPr>
          <w:lang w:val="en-US"/>
        </w:rPr>
        <w:t xml:space="preserve"> it</w:t>
      </w:r>
      <w:r w:rsidR="00FB197F" w:rsidRPr="00813D19">
        <w:rPr>
          <w:lang w:val="en-US"/>
        </w:rPr>
        <w:t xml:space="preserve"> </w:t>
      </w:r>
      <w:r w:rsidR="004D238B" w:rsidRPr="00813D19">
        <w:rPr>
          <w:lang w:val="en-US"/>
        </w:rPr>
        <w:t xml:space="preserve">easier for </w:t>
      </w:r>
      <w:r w:rsidR="00FB197F" w:rsidRPr="00813D19">
        <w:rPr>
          <w:lang w:val="en-US"/>
        </w:rPr>
        <w:t xml:space="preserve">the </w:t>
      </w:r>
      <w:r w:rsidR="004D238B" w:rsidRPr="00813D19">
        <w:rPr>
          <w:lang w:val="en-US"/>
        </w:rPr>
        <w:t>nominator to respond</w:t>
      </w:r>
      <w:r w:rsidR="00FB197F" w:rsidRPr="00813D19">
        <w:rPr>
          <w:lang w:val="en-US"/>
        </w:rPr>
        <w:t>,</w:t>
      </w:r>
      <w:r w:rsidR="005928E5" w:rsidRPr="00813D19">
        <w:rPr>
          <w:lang w:val="en-US"/>
        </w:rPr>
        <w:t xml:space="preserve"> but at the same time, </w:t>
      </w:r>
      <w:r w:rsidR="004D238B" w:rsidRPr="00813D19">
        <w:rPr>
          <w:lang w:val="en-US"/>
        </w:rPr>
        <w:t xml:space="preserve">there </w:t>
      </w:r>
      <w:r w:rsidR="005928E5" w:rsidRPr="00813D19">
        <w:rPr>
          <w:lang w:val="en-US"/>
        </w:rPr>
        <w:t xml:space="preserve">were </w:t>
      </w:r>
      <w:r w:rsidR="004D238B" w:rsidRPr="00813D19">
        <w:rPr>
          <w:lang w:val="en-US"/>
        </w:rPr>
        <w:t>some fundamental issues reflected by so</w:t>
      </w:r>
      <w:r w:rsidR="005928E5" w:rsidRPr="00813D19">
        <w:rPr>
          <w:lang w:val="en-US"/>
        </w:rPr>
        <w:t xml:space="preserve">-called inappropriate language, and one should return to the </w:t>
      </w:r>
      <w:r w:rsidR="004D238B" w:rsidRPr="00813D19">
        <w:rPr>
          <w:lang w:val="en-US"/>
        </w:rPr>
        <w:t xml:space="preserve">original intention and purpose of those who created the Convention. </w:t>
      </w:r>
      <w:r w:rsidR="005928E5" w:rsidRPr="00813D19">
        <w:rPr>
          <w:lang w:val="en-US"/>
        </w:rPr>
        <w:t xml:space="preserve">The delegation understood that intangible cultural heritage was different from </w:t>
      </w:r>
      <w:r w:rsidR="0042031A" w:rsidRPr="00813D19">
        <w:rPr>
          <w:lang w:val="en-US"/>
        </w:rPr>
        <w:t xml:space="preserve">the </w:t>
      </w:r>
      <w:r w:rsidR="005928E5" w:rsidRPr="00813D19">
        <w:rPr>
          <w:lang w:val="en-US"/>
        </w:rPr>
        <w:t xml:space="preserve">concept of </w:t>
      </w:r>
      <w:r w:rsidR="004D238B" w:rsidRPr="00813D19">
        <w:rPr>
          <w:lang w:val="en-US"/>
        </w:rPr>
        <w:t xml:space="preserve">OUV </w:t>
      </w:r>
      <w:r w:rsidR="005928E5" w:rsidRPr="00813D19">
        <w:rPr>
          <w:lang w:val="en-US"/>
        </w:rPr>
        <w:t xml:space="preserve">and </w:t>
      </w:r>
      <w:r w:rsidR="004D238B" w:rsidRPr="00813D19">
        <w:rPr>
          <w:lang w:val="en-US"/>
        </w:rPr>
        <w:t>World Heritage</w:t>
      </w:r>
      <w:r w:rsidR="005928E5" w:rsidRPr="00813D19">
        <w:rPr>
          <w:lang w:val="en-US"/>
        </w:rPr>
        <w:t>,</w:t>
      </w:r>
      <w:r w:rsidR="004D238B" w:rsidRPr="00813D19">
        <w:rPr>
          <w:lang w:val="en-US"/>
        </w:rPr>
        <w:t xml:space="preserve"> but at the same time</w:t>
      </w:r>
      <w:r w:rsidR="005928E5" w:rsidRPr="00813D19">
        <w:rPr>
          <w:lang w:val="en-US"/>
        </w:rPr>
        <w:t>,</w:t>
      </w:r>
      <w:r w:rsidR="004D238B" w:rsidRPr="00813D19">
        <w:rPr>
          <w:lang w:val="en-US"/>
        </w:rPr>
        <w:t xml:space="preserve"> </w:t>
      </w:r>
      <w:r w:rsidR="004B3AFC" w:rsidRPr="00813D19">
        <w:rPr>
          <w:lang w:val="en-US"/>
        </w:rPr>
        <w:t>d</w:t>
      </w:r>
      <w:r w:rsidR="004B3AFC">
        <w:rPr>
          <w:lang w:val="en-US"/>
        </w:rPr>
        <w:t>id</w:t>
      </w:r>
      <w:r w:rsidR="004B3AFC" w:rsidRPr="00813D19">
        <w:rPr>
          <w:lang w:val="en-US"/>
        </w:rPr>
        <w:t xml:space="preserve"> </w:t>
      </w:r>
      <w:r w:rsidR="005928E5" w:rsidRPr="00813D19">
        <w:rPr>
          <w:lang w:val="en-US"/>
        </w:rPr>
        <w:t>the terms ‘</w:t>
      </w:r>
      <w:r w:rsidR="004D238B" w:rsidRPr="00813D19">
        <w:rPr>
          <w:lang w:val="en-US"/>
        </w:rPr>
        <w:t>uniqueness</w:t>
      </w:r>
      <w:r w:rsidR="005928E5" w:rsidRPr="00813D19">
        <w:rPr>
          <w:lang w:val="en-US"/>
        </w:rPr>
        <w:t>’</w:t>
      </w:r>
      <w:r w:rsidR="004D238B" w:rsidRPr="00813D19">
        <w:rPr>
          <w:lang w:val="en-US"/>
        </w:rPr>
        <w:t xml:space="preserve">, </w:t>
      </w:r>
      <w:r w:rsidR="005928E5" w:rsidRPr="00813D19">
        <w:rPr>
          <w:lang w:val="en-US"/>
        </w:rPr>
        <w:t>‘</w:t>
      </w:r>
      <w:r w:rsidR="004D238B" w:rsidRPr="00813D19">
        <w:rPr>
          <w:lang w:val="en-US"/>
        </w:rPr>
        <w:t>originality</w:t>
      </w:r>
      <w:r w:rsidR="005928E5" w:rsidRPr="00813D19">
        <w:rPr>
          <w:lang w:val="en-US"/>
        </w:rPr>
        <w:t>’</w:t>
      </w:r>
      <w:r w:rsidR="004D238B" w:rsidRPr="00813D19">
        <w:rPr>
          <w:lang w:val="en-US"/>
        </w:rPr>
        <w:t xml:space="preserve">, </w:t>
      </w:r>
      <w:r w:rsidR="005928E5" w:rsidRPr="00813D19">
        <w:rPr>
          <w:lang w:val="en-US"/>
        </w:rPr>
        <w:t>‘</w:t>
      </w:r>
      <w:r w:rsidR="004D238B" w:rsidRPr="00813D19">
        <w:rPr>
          <w:lang w:val="en-US"/>
        </w:rPr>
        <w:t>authenticity</w:t>
      </w:r>
      <w:r w:rsidR="005928E5" w:rsidRPr="00813D19">
        <w:rPr>
          <w:lang w:val="en-US"/>
        </w:rPr>
        <w:t>’</w:t>
      </w:r>
      <w:r w:rsidR="004D238B" w:rsidRPr="00813D19">
        <w:rPr>
          <w:lang w:val="en-US"/>
        </w:rPr>
        <w:t xml:space="preserve"> and </w:t>
      </w:r>
      <w:r w:rsidR="005928E5" w:rsidRPr="00813D19">
        <w:rPr>
          <w:lang w:val="en-US"/>
        </w:rPr>
        <w:t>‘</w:t>
      </w:r>
      <w:r w:rsidR="004D238B" w:rsidRPr="00813D19">
        <w:rPr>
          <w:lang w:val="en-US"/>
        </w:rPr>
        <w:t>universality</w:t>
      </w:r>
      <w:r w:rsidR="005928E5" w:rsidRPr="00813D19">
        <w:rPr>
          <w:lang w:val="en-US"/>
        </w:rPr>
        <w:t>’ have to be categorically rejected</w:t>
      </w:r>
      <w:r w:rsidR="004D238B" w:rsidRPr="00813D19">
        <w:rPr>
          <w:lang w:val="en-US"/>
        </w:rPr>
        <w:t xml:space="preserve">? </w:t>
      </w:r>
      <w:r w:rsidR="005928E5" w:rsidRPr="00813D19">
        <w:rPr>
          <w:lang w:val="en-US"/>
        </w:rPr>
        <w:t xml:space="preserve">The delegation </w:t>
      </w:r>
      <w:r w:rsidR="004D238B" w:rsidRPr="00813D19">
        <w:rPr>
          <w:lang w:val="en-US"/>
        </w:rPr>
        <w:t>strong</w:t>
      </w:r>
      <w:r w:rsidR="005928E5" w:rsidRPr="00813D19">
        <w:rPr>
          <w:lang w:val="en-US"/>
        </w:rPr>
        <w:t>ly</w:t>
      </w:r>
      <w:r w:rsidR="004D238B" w:rsidRPr="00813D19">
        <w:rPr>
          <w:lang w:val="en-US"/>
        </w:rPr>
        <w:t xml:space="preserve"> doubt</w:t>
      </w:r>
      <w:r w:rsidR="005928E5" w:rsidRPr="00813D19">
        <w:rPr>
          <w:lang w:val="en-US"/>
        </w:rPr>
        <w:t>ed</w:t>
      </w:r>
      <w:r w:rsidR="004D238B" w:rsidRPr="00813D19">
        <w:rPr>
          <w:lang w:val="en-US"/>
        </w:rPr>
        <w:t xml:space="preserve"> </w:t>
      </w:r>
      <w:r w:rsidR="005928E5" w:rsidRPr="00813D19">
        <w:rPr>
          <w:lang w:val="en-US"/>
        </w:rPr>
        <w:t>so</w:t>
      </w:r>
      <w:r w:rsidR="004D238B" w:rsidRPr="00813D19">
        <w:rPr>
          <w:lang w:val="en-US"/>
        </w:rPr>
        <w:t xml:space="preserve">. </w:t>
      </w:r>
      <w:r w:rsidR="005928E5" w:rsidRPr="00813D19">
        <w:rPr>
          <w:lang w:val="en-US"/>
        </w:rPr>
        <w:t>Communities</w:t>
      </w:r>
      <w:r w:rsidR="004D238B" w:rsidRPr="00813D19">
        <w:rPr>
          <w:lang w:val="en-US"/>
        </w:rPr>
        <w:t xml:space="preserve"> cherish, ma</w:t>
      </w:r>
      <w:r w:rsidR="005928E5" w:rsidRPr="00813D19">
        <w:rPr>
          <w:lang w:val="en-US"/>
        </w:rPr>
        <w:t>intain and safeguard an element i</w:t>
      </w:r>
      <w:r w:rsidR="004D238B" w:rsidRPr="00813D19">
        <w:rPr>
          <w:lang w:val="en-US"/>
        </w:rPr>
        <w:t xml:space="preserve">n many cases because </w:t>
      </w:r>
      <w:r w:rsidR="005928E5" w:rsidRPr="00813D19">
        <w:rPr>
          <w:lang w:val="en-US"/>
        </w:rPr>
        <w:t xml:space="preserve">the </w:t>
      </w:r>
      <w:r w:rsidR="004D238B" w:rsidRPr="00813D19">
        <w:rPr>
          <w:lang w:val="en-US"/>
        </w:rPr>
        <w:t>element is a reflection of their unique identity</w:t>
      </w:r>
      <w:r w:rsidR="005928E5" w:rsidRPr="00813D19">
        <w:rPr>
          <w:lang w:val="en-US"/>
        </w:rPr>
        <w:t>.</w:t>
      </w:r>
      <w:r w:rsidR="004D238B" w:rsidRPr="00813D19">
        <w:rPr>
          <w:lang w:val="en-US"/>
        </w:rPr>
        <w:t xml:space="preserve"> </w:t>
      </w:r>
      <w:r w:rsidR="005928E5" w:rsidRPr="00813D19">
        <w:rPr>
          <w:lang w:val="en-US"/>
        </w:rPr>
        <w:t xml:space="preserve">Thus, </w:t>
      </w:r>
      <w:r w:rsidR="004D238B" w:rsidRPr="00813D19">
        <w:rPr>
          <w:lang w:val="en-US"/>
        </w:rPr>
        <w:t>uniqueness provide</w:t>
      </w:r>
      <w:r w:rsidR="005928E5" w:rsidRPr="00813D19">
        <w:rPr>
          <w:lang w:val="en-US"/>
        </w:rPr>
        <w:t>d</w:t>
      </w:r>
      <w:r w:rsidR="004D238B" w:rsidRPr="00813D19">
        <w:rPr>
          <w:lang w:val="en-US"/>
        </w:rPr>
        <w:t xml:space="preserve"> the foundation for the community to bear, cherish and </w:t>
      </w:r>
      <w:r w:rsidR="0042031A" w:rsidRPr="00813D19">
        <w:rPr>
          <w:lang w:val="en-US"/>
        </w:rPr>
        <w:t xml:space="preserve">safeguard the element. </w:t>
      </w:r>
      <w:r w:rsidR="004D238B" w:rsidRPr="00813D19">
        <w:rPr>
          <w:lang w:val="en-US"/>
        </w:rPr>
        <w:t>In many cases</w:t>
      </w:r>
      <w:r w:rsidR="0042031A" w:rsidRPr="00813D19">
        <w:rPr>
          <w:lang w:val="en-US"/>
        </w:rPr>
        <w:t xml:space="preserve">, it was </w:t>
      </w:r>
      <w:r w:rsidR="005928E5" w:rsidRPr="00813D19">
        <w:rPr>
          <w:lang w:val="en-US"/>
        </w:rPr>
        <w:t>because of its uniqueness and</w:t>
      </w:r>
      <w:r w:rsidR="004D238B" w:rsidRPr="00813D19">
        <w:rPr>
          <w:lang w:val="en-US"/>
        </w:rPr>
        <w:t xml:space="preserve"> original</w:t>
      </w:r>
      <w:r w:rsidR="005928E5" w:rsidRPr="00813D19">
        <w:rPr>
          <w:lang w:val="en-US"/>
        </w:rPr>
        <w:t>ity t</w:t>
      </w:r>
      <w:r w:rsidR="004D238B" w:rsidRPr="00813D19">
        <w:rPr>
          <w:lang w:val="en-US"/>
        </w:rPr>
        <w:t xml:space="preserve">hat it </w:t>
      </w:r>
      <w:r w:rsidR="004B3AFC" w:rsidRPr="00813D19">
        <w:rPr>
          <w:lang w:val="en-US"/>
        </w:rPr>
        <w:t>c</w:t>
      </w:r>
      <w:r w:rsidR="004B3AFC">
        <w:rPr>
          <w:lang w:val="en-US"/>
        </w:rPr>
        <w:t>ould</w:t>
      </w:r>
      <w:r w:rsidR="004B3AFC" w:rsidRPr="00813D19">
        <w:rPr>
          <w:lang w:val="en-US"/>
        </w:rPr>
        <w:t xml:space="preserve"> </w:t>
      </w:r>
      <w:r w:rsidR="004D238B" w:rsidRPr="00813D19">
        <w:rPr>
          <w:lang w:val="en-US"/>
        </w:rPr>
        <w:t xml:space="preserve">help promote </w:t>
      </w:r>
      <w:r w:rsidR="005928E5" w:rsidRPr="00813D19">
        <w:rPr>
          <w:lang w:val="en-US"/>
        </w:rPr>
        <w:t xml:space="preserve">the </w:t>
      </w:r>
      <w:r w:rsidR="004D238B" w:rsidRPr="00813D19">
        <w:rPr>
          <w:lang w:val="en-US"/>
        </w:rPr>
        <w:t xml:space="preserve">diversity of culture and </w:t>
      </w:r>
      <w:r w:rsidR="005928E5" w:rsidRPr="00813D19">
        <w:rPr>
          <w:lang w:val="en-US"/>
        </w:rPr>
        <w:t xml:space="preserve">the </w:t>
      </w:r>
      <w:r w:rsidR="004D238B" w:rsidRPr="00813D19">
        <w:rPr>
          <w:lang w:val="en-US"/>
        </w:rPr>
        <w:t xml:space="preserve">creativity of humanity. </w:t>
      </w:r>
      <w:r w:rsidR="005928E5" w:rsidRPr="00813D19">
        <w:rPr>
          <w:lang w:val="en-US"/>
        </w:rPr>
        <w:t xml:space="preserve">In addition, </w:t>
      </w:r>
      <w:r w:rsidR="004D238B" w:rsidRPr="00813D19">
        <w:rPr>
          <w:lang w:val="en-US"/>
        </w:rPr>
        <w:t xml:space="preserve">the concept of inappropriate language </w:t>
      </w:r>
      <w:r w:rsidR="005928E5" w:rsidRPr="00813D19">
        <w:rPr>
          <w:lang w:val="en-US"/>
        </w:rPr>
        <w:t xml:space="preserve">made </w:t>
      </w:r>
      <w:r w:rsidR="004B3AFC">
        <w:rPr>
          <w:lang w:val="en-US"/>
        </w:rPr>
        <w:t xml:space="preserve">the </w:t>
      </w:r>
      <w:r w:rsidR="005928E5" w:rsidRPr="00813D19">
        <w:rPr>
          <w:lang w:val="en-US"/>
        </w:rPr>
        <w:t xml:space="preserve">preparation of the file very difficult for </w:t>
      </w:r>
      <w:r w:rsidR="0042031A" w:rsidRPr="00813D19">
        <w:rPr>
          <w:lang w:val="en-US"/>
        </w:rPr>
        <w:t xml:space="preserve">the </w:t>
      </w:r>
      <w:r w:rsidR="005928E5" w:rsidRPr="00813D19">
        <w:rPr>
          <w:lang w:val="en-US"/>
        </w:rPr>
        <w:t xml:space="preserve">nominators, </w:t>
      </w:r>
      <w:r w:rsidR="0042031A" w:rsidRPr="00813D19">
        <w:rPr>
          <w:lang w:val="en-US"/>
        </w:rPr>
        <w:t xml:space="preserve">which </w:t>
      </w:r>
      <w:r w:rsidR="004B3AFC" w:rsidRPr="00813D19">
        <w:rPr>
          <w:lang w:val="en-US"/>
        </w:rPr>
        <w:t>w</w:t>
      </w:r>
      <w:r w:rsidR="004B3AFC">
        <w:rPr>
          <w:lang w:val="en-US"/>
        </w:rPr>
        <w:t>as</w:t>
      </w:r>
      <w:r w:rsidR="004B3AFC" w:rsidRPr="00813D19">
        <w:rPr>
          <w:lang w:val="en-US"/>
        </w:rPr>
        <w:t xml:space="preserve"> </w:t>
      </w:r>
      <w:r w:rsidR="005928E5" w:rsidRPr="00813D19">
        <w:rPr>
          <w:lang w:val="en-US"/>
        </w:rPr>
        <w:t>entirely unnecessary</w:t>
      </w:r>
      <w:r w:rsidR="00DD4E22">
        <w:rPr>
          <w:lang w:val="en-US"/>
        </w:rPr>
        <w:t>.</w:t>
      </w:r>
    </w:p>
    <w:p w14:paraId="184D2485" w14:textId="536EB982" w:rsidR="00385C8F" w:rsidRPr="00813D19" w:rsidRDefault="00385C8F" w:rsidP="00EE16CD">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170621" w:rsidRPr="00813D19">
        <w:rPr>
          <w:lang w:val="en-US"/>
        </w:rPr>
        <w:t xml:space="preserve"> remarked that </w:t>
      </w:r>
      <w:r w:rsidR="004D238B" w:rsidRPr="00813D19">
        <w:rPr>
          <w:lang w:val="en-US"/>
        </w:rPr>
        <w:t xml:space="preserve">Japan </w:t>
      </w:r>
      <w:r w:rsidR="00170621" w:rsidRPr="00813D19">
        <w:rPr>
          <w:lang w:val="en-US"/>
        </w:rPr>
        <w:t>had expressed much of its sentiments.</w:t>
      </w:r>
    </w:p>
    <w:p w14:paraId="061E5A39" w14:textId="1929544A" w:rsidR="00385C8F" w:rsidRPr="00813D19" w:rsidRDefault="000B38C6" w:rsidP="00EE16CD">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Azerbaijan </w:t>
      </w:r>
      <w:r w:rsidR="004D238B" w:rsidRPr="00813D19">
        <w:rPr>
          <w:lang w:val="en-US"/>
        </w:rPr>
        <w:t>congratulate</w:t>
      </w:r>
      <w:r w:rsidR="00170621" w:rsidRPr="00813D19">
        <w:rPr>
          <w:lang w:val="en-US"/>
        </w:rPr>
        <w:t>d</w:t>
      </w:r>
      <w:r w:rsidR="004D238B" w:rsidRPr="00813D19">
        <w:rPr>
          <w:lang w:val="en-US"/>
        </w:rPr>
        <w:t xml:space="preserve"> the Evaluation Body for its hard work and for the quality of its report. </w:t>
      </w:r>
      <w:r w:rsidR="00170621" w:rsidRPr="00813D19">
        <w:rPr>
          <w:lang w:val="en-US"/>
        </w:rPr>
        <w:t xml:space="preserve">It </w:t>
      </w:r>
      <w:r w:rsidR="004D238B" w:rsidRPr="00813D19">
        <w:rPr>
          <w:lang w:val="en-US"/>
        </w:rPr>
        <w:t>note</w:t>
      </w:r>
      <w:r w:rsidR="00170621" w:rsidRPr="00813D19">
        <w:rPr>
          <w:lang w:val="en-US"/>
        </w:rPr>
        <w:t>d that the report had</w:t>
      </w:r>
      <w:r w:rsidR="004D238B" w:rsidRPr="00813D19">
        <w:rPr>
          <w:lang w:val="en-US"/>
        </w:rPr>
        <w:t xml:space="preserve"> raised a number of important issues and challenges, which </w:t>
      </w:r>
      <w:r w:rsidR="004B3AFC" w:rsidRPr="00813D19">
        <w:rPr>
          <w:lang w:val="en-US"/>
        </w:rPr>
        <w:t>w</w:t>
      </w:r>
      <w:r w:rsidR="004B3AFC">
        <w:rPr>
          <w:lang w:val="en-US"/>
        </w:rPr>
        <w:t>ould</w:t>
      </w:r>
      <w:r w:rsidR="004B3AFC" w:rsidRPr="00813D19">
        <w:rPr>
          <w:lang w:val="en-US"/>
        </w:rPr>
        <w:t xml:space="preserve"> </w:t>
      </w:r>
      <w:r w:rsidR="004D238B" w:rsidRPr="00813D19">
        <w:rPr>
          <w:lang w:val="en-US"/>
        </w:rPr>
        <w:t xml:space="preserve">potentially guide the Committee and the States Parties in the years to come. </w:t>
      </w:r>
      <w:r w:rsidR="00170621" w:rsidRPr="00813D19">
        <w:rPr>
          <w:lang w:val="en-US"/>
        </w:rPr>
        <w:t xml:space="preserve">The delegation had </w:t>
      </w:r>
      <w:r w:rsidR="004D238B" w:rsidRPr="00813D19">
        <w:rPr>
          <w:lang w:val="en-US"/>
        </w:rPr>
        <w:t>some concerns regarding the examination of criterion R.3</w:t>
      </w:r>
      <w:r w:rsidR="00481733" w:rsidRPr="00813D19">
        <w:rPr>
          <w:lang w:val="en-US"/>
        </w:rPr>
        <w:t xml:space="preserve">, noting </w:t>
      </w:r>
      <w:r w:rsidR="004D238B" w:rsidRPr="00813D19">
        <w:rPr>
          <w:lang w:val="en-US"/>
        </w:rPr>
        <w:t xml:space="preserve">that very often the draft decision referred to </w:t>
      </w:r>
      <w:r w:rsidR="004B3AFC">
        <w:rPr>
          <w:lang w:val="en-US"/>
        </w:rPr>
        <w:t xml:space="preserve">a </w:t>
      </w:r>
      <w:r w:rsidR="004D238B" w:rsidRPr="00813D19">
        <w:rPr>
          <w:lang w:val="en-US"/>
        </w:rPr>
        <w:t xml:space="preserve">safeguarding </w:t>
      </w:r>
      <w:r w:rsidR="004D238B" w:rsidRPr="00813D19">
        <w:rPr>
          <w:i/>
          <w:lang w:val="en-US"/>
        </w:rPr>
        <w:t>p</w:t>
      </w:r>
      <w:r w:rsidR="00481733" w:rsidRPr="00813D19">
        <w:rPr>
          <w:i/>
          <w:lang w:val="en-US"/>
        </w:rPr>
        <w:t>lan</w:t>
      </w:r>
      <w:r w:rsidR="00481733" w:rsidRPr="00813D19">
        <w:rPr>
          <w:lang w:val="en-US"/>
        </w:rPr>
        <w:t xml:space="preserve"> while criterion R.3 required</w:t>
      </w:r>
      <w:r w:rsidR="004D238B" w:rsidRPr="00813D19">
        <w:rPr>
          <w:lang w:val="en-US"/>
        </w:rPr>
        <w:t xml:space="preserve"> </w:t>
      </w:r>
      <w:r w:rsidR="004D238B" w:rsidRPr="00813D19">
        <w:rPr>
          <w:i/>
          <w:lang w:val="en-US"/>
        </w:rPr>
        <w:t>measures</w:t>
      </w:r>
      <w:r w:rsidR="00481733" w:rsidRPr="00813D19">
        <w:rPr>
          <w:i/>
          <w:lang w:val="en-US"/>
        </w:rPr>
        <w:t>,</w:t>
      </w:r>
      <w:r w:rsidR="004D238B" w:rsidRPr="00813D19">
        <w:rPr>
          <w:lang w:val="en-US"/>
        </w:rPr>
        <w:t xml:space="preserve"> </w:t>
      </w:r>
      <w:r w:rsidR="00481733" w:rsidRPr="00813D19">
        <w:rPr>
          <w:lang w:val="en-US"/>
        </w:rPr>
        <w:t xml:space="preserve">as </w:t>
      </w:r>
      <w:r w:rsidR="004D238B" w:rsidRPr="00813D19">
        <w:rPr>
          <w:lang w:val="en-US"/>
        </w:rPr>
        <w:t xml:space="preserve">described in the nomination form under paragraph 2 of the Operational Directives. </w:t>
      </w:r>
      <w:r w:rsidR="00481733" w:rsidRPr="00813D19">
        <w:rPr>
          <w:lang w:val="en-US"/>
        </w:rPr>
        <w:t xml:space="preserve">It was thus </w:t>
      </w:r>
      <w:r w:rsidR="004D238B" w:rsidRPr="00813D19">
        <w:rPr>
          <w:lang w:val="en-US"/>
        </w:rPr>
        <w:t>important to keep the</w:t>
      </w:r>
      <w:r w:rsidR="00481733" w:rsidRPr="00813D19">
        <w:rPr>
          <w:lang w:val="en-US"/>
        </w:rPr>
        <w:t xml:space="preserve"> distinction between safeguarding </w:t>
      </w:r>
      <w:r w:rsidR="004D238B" w:rsidRPr="00813D19">
        <w:rPr>
          <w:i/>
          <w:lang w:val="en-US"/>
        </w:rPr>
        <w:t>measures</w:t>
      </w:r>
      <w:r w:rsidR="00481733" w:rsidRPr="00813D19">
        <w:rPr>
          <w:lang w:val="en-US"/>
        </w:rPr>
        <w:t xml:space="preserve"> and </w:t>
      </w:r>
      <w:r w:rsidR="004D238B" w:rsidRPr="00813D19">
        <w:rPr>
          <w:i/>
          <w:lang w:val="en-US"/>
        </w:rPr>
        <w:t>plans</w:t>
      </w:r>
      <w:r w:rsidR="004D238B" w:rsidRPr="00813D19">
        <w:rPr>
          <w:lang w:val="en-US"/>
        </w:rPr>
        <w:t xml:space="preserve"> </w:t>
      </w:r>
      <w:r w:rsidR="00481733" w:rsidRPr="00813D19">
        <w:rPr>
          <w:lang w:val="en-US"/>
        </w:rPr>
        <w:t xml:space="preserve">as </w:t>
      </w:r>
      <w:r w:rsidR="004D238B" w:rsidRPr="00813D19">
        <w:rPr>
          <w:lang w:val="en-US"/>
        </w:rPr>
        <w:t xml:space="preserve">the </w:t>
      </w:r>
      <w:r w:rsidR="00E8046B" w:rsidRPr="00813D19">
        <w:rPr>
          <w:lang w:val="en-US"/>
        </w:rPr>
        <w:t>nature of the criteria in both L</w:t>
      </w:r>
      <w:r w:rsidR="004D238B" w:rsidRPr="00813D19">
        <w:rPr>
          <w:lang w:val="en-US"/>
        </w:rPr>
        <w:t xml:space="preserve">ists </w:t>
      </w:r>
      <w:r w:rsidR="004B3AFC">
        <w:rPr>
          <w:lang w:val="en-US"/>
        </w:rPr>
        <w:t>was</w:t>
      </w:r>
      <w:r w:rsidR="004B3AFC" w:rsidRPr="00813D19">
        <w:rPr>
          <w:lang w:val="en-US"/>
        </w:rPr>
        <w:t xml:space="preserve"> </w:t>
      </w:r>
      <w:r w:rsidR="004D238B" w:rsidRPr="00813D19">
        <w:rPr>
          <w:lang w:val="en-US"/>
        </w:rPr>
        <w:t xml:space="preserve">different. </w:t>
      </w:r>
      <w:r w:rsidR="00481733" w:rsidRPr="00813D19">
        <w:rPr>
          <w:lang w:val="en-US"/>
        </w:rPr>
        <w:t xml:space="preserve">The delegation </w:t>
      </w:r>
      <w:r w:rsidR="004D238B" w:rsidRPr="00813D19">
        <w:rPr>
          <w:lang w:val="en-US"/>
        </w:rPr>
        <w:t>propose</w:t>
      </w:r>
      <w:r w:rsidR="00481733" w:rsidRPr="00813D19">
        <w:rPr>
          <w:lang w:val="en-US"/>
        </w:rPr>
        <w:t>d</w:t>
      </w:r>
      <w:r w:rsidR="004D238B" w:rsidRPr="00813D19">
        <w:rPr>
          <w:lang w:val="en-US"/>
        </w:rPr>
        <w:t xml:space="preserve"> a</w:t>
      </w:r>
      <w:r w:rsidR="00E8046B" w:rsidRPr="00813D19">
        <w:rPr>
          <w:lang w:val="en-US"/>
        </w:rPr>
        <w:t>n</w:t>
      </w:r>
      <w:r w:rsidR="004D238B" w:rsidRPr="00813D19">
        <w:rPr>
          <w:lang w:val="en-US"/>
        </w:rPr>
        <w:t xml:space="preserve"> amendment to the </w:t>
      </w:r>
      <w:r w:rsidR="00481733" w:rsidRPr="00813D19">
        <w:rPr>
          <w:lang w:val="en-US"/>
        </w:rPr>
        <w:t xml:space="preserve">draft decision </w:t>
      </w:r>
      <w:r w:rsidR="004D238B" w:rsidRPr="00813D19">
        <w:rPr>
          <w:lang w:val="en-US"/>
        </w:rPr>
        <w:t xml:space="preserve">in that sense. Finally, </w:t>
      </w:r>
      <w:r w:rsidR="00481733" w:rsidRPr="00813D19">
        <w:rPr>
          <w:lang w:val="en-US"/>
        </w:rPr>
        <w:t xml:space="preserve">it noted that, </w:t>
      </w:r>
      <w:r w:rsidR="004D238B" w:rsidRPr="00813D19">
        <w:rPr>
          <w:lang w:val="en-US"/>
        </w:rPr>
        <w:t>compared to previous cycles</w:t>
      </w:r>
      <w:r w:rsidR="00481733" w:rsidRPr="00813D19">
        <w:rPr>
          <w:lang w:val="en-US"/>
        </w:rPr>
        <w:t>,</w:t>
      </w:r>
      <w:r w:rsidR="004D238B" w:rsidRPr="00813D19">
        <w:rPr>
          <w:lang w:val="en-US"/>
        </w:rPr>
        <w:t xml:space="preserve"> the report of the Evaluation Body </w:t>
      </w:r>
      <w:r w:rsidR="00481733" w:rsidRPr="00813D19">
        <w:rPr>
          <w:lang w:val="en-US"/>
        </w:rPr>
        <w:t xml:space="preserve">did not </w:t>
      </w:r>
      <w:r w:rsidR="004D238B" w:rsidRPr="00813D19">
        <w:rPr>
          <w:lang w:val="en-US"/>
        </w:rPr>
        <w:t xml:space="preserve">present options </w:t>
      </w:r>
      <w:r w:rsidR="00481733" w:rsidRPr="00813D19">
        <w:rPr>
          <w:lang w:val="en-US"/>
        </w:rPr>
        <w:t xml:space="preserve">this year </w:t>
      </w:r>
      <w:r w:rsidR="004D238B" w:rsidRPr="00813D19">
        <w:rPr>
          <w:lang w:val="en-US"/>
        </w:rPr>
        <w:t xml:space="preserve">with regard to </w:t>
      </w:r>
      <w:r w:rsidR="004B3AFC" w:rsidRPr="00813D19">
        <w:rPr>
          <w:lang w:val="en-US"/>
        </w:rPr>
        <w:t>criteri</w:t>
      </w:r>
      <w:r w:rsidR="004B3AFC">
        <w:rPr>
          <w:lang w:val="en-US"/>
        </w:rPr>
        <w:t>a</w:t>
      </w:r>
      <w:r w:rsidR="004B3AFC" w:rsidRPr="00813D19">
        <w:rPr>
          <w:lang w:val="en-US"/>
        </w:rPr>
        <w:t xml:space="preserve"> </w:t>
      </w:r>
      <w:r w:rsidR="004D238B" w:rsidRPr="00813D19">
        <w:rPr>
          <w:lang w:val="en-US"/>
        </w:rPr>
        <w:t>R.5 and U.5</w:t>
      </w:r>
      <w:r w:rsidR="00481733" w:rsidRPr="00813D19">
        <w:rPr>
          <w:lang w:val="en-US"/>
        </w:rPr>
        <w:t>,</w:t>
      </w:r>
      <w:r w:rsidR="004D238B" w:rsidRPr="00813D19">
        <w:rPr>
          <w:lang w:val="en-US"/>
        </w:rPr>
        <w:t xml:space="preserve"> </w:t>
      </w:r>
      <w:r w:rsidR="00481733" w:rsidRPr="00813D19">
        <w:rPr>
          <w:lang w:val="en-US"/>
        </w:rPr>
        <w:t xml:space="preserve">and it </w:t>
      </w:r>
      <w:r w:rsidR="004D238B" w:rsidRPr="00813D19">
        <w:rPr>
          <w:lang w:val="en-US"/>
        </w:rPr>
        <w:t>consider</w:t>
      </w:r>
      <w:r w:rsidR="00481733" w:rsidRPr="00813D19">
        <w:rPr>
          <w:lang w:val="en-US"/>
        </w:rPr>
        <w:t>ed</w:t>
      </w:r>
      <w:r w:rsidR="004D238B" w:rsidRPr="00813D19">
        <w:rPr>
          <w:lang w:val="en-US"/>
        </w:rPr>
        <w:t xml:space="preserve"> that </w:t>
      </w:r>
      <w:r w:rsidR="00481733" w:rsidRPr="00813D19">
        <w:rPr>
          <w:lang w:val="en-US"/>
        </w:rPr>
        <w:t xml:space="preserve">a </w:t>
      </w:r>
      <w:r w:rsidR="004D238B" w:rsidRPr="00813D19">
        <w:rPr>
          <w:lang w:val="en-US"/>
        </w:rPr>
        <w:t xml:space="preserve">similar approach could still </w:t>
      </w:r>
      <w:r w:rsidR="00481733" w:rsidRPr="00813D19">
        <w:rPr>
          <w:lang w:val="en-US"/>
        </w:rPr>
        <w:t xml:space="preserve">have </w:t>
      </w:r>
      <w:r w:rsidR="004D238B" w:rsidRPr="00813D19">
        <w:rPr>
          <w:lang w:val="en-US"/>
        </w:rPr>
        <w:t xml:space="preserve">been applied in the case of a number of nominations evaluated </w:t>
      </w:r>
      <w:r w:rsidR="00481733" w:rsidRPr="00813D19">
        <w:rPr>
          <w:lang w:val="en-US"/>
        </w:rPr>
        <w:t xml:space="preserve">in </w:t>
      </w:r>
      <w:r w:rsidR="004D238B" w:rsidRPr="00813D19">
        <w:rPr>
          <w:lang w:val="en-US"/>
        </w:rPr>
        <w:t xml:space="preserve">this </w:t>
      </w:r>
      <w:r w:rsidR="00481733" w:rsidRPr="00813D19">
        <w:rPr>
          <w:lang w:val="en-US"/>
        </w:rPr>
        <w:t>cycle</w:t>
      </w:r>
      <w:r w:rsidR="00DD4E22">
        <w:rPr>
          <w:lang w:val="en-US"/>
        </w:rPr>
        <w:t>.</w:t>
      </w:r>
    </w:p>
    <w:p w14:paraId="1698D43C" w14:textId="4E23F481" w:rsidR="003B6E63" w:rsidRPr="00813D19" w:rsidRDefault="003B6E63" w:rsidP="00EE16CD">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Poland </w:t>
      </w:r>
      <w:r w:rsidR="004D238B" w:rsidRPr="00813D19">
        <w:rPr>
          <w:lang w:val="en-US"/>
        </w:rPr>
        <w:t>join</w:t>
      </w:r>
      <w:r w:rsidR="0072219E" w:rsidRPr="00813D19">
        <w:rPr>
          <w:lang w:val="en-US"/>
        </w:rPr>
        <w:t>ed</w:t>
      </w:r>
      <w:r w:rsidR="004D238B" w:rsidRPr="00813D19">
        <w:rPr>
          <w:lang w:val="en-US"/>
        </w:rPr>
        <w:t xml:space="preserve"> </w:t>
      </w:r>
      <w:r w:rsidR="00B251C3" w:rsidRPr="00813D19">
        <w:rPr>
          <w:lang w:val="en-US"/>
        </w:rPr>
        <w:t xml:space="preserve">the comments made by </w:t>
      </w:r>
      <w:r w:rsidR="004D238B" w:rsidRPr="00813D19">
        <w:rPr>
          <w:lang w:val="en-US"/>
        </w:rPr>
        <w:t xml:space="preserve">Japan and </w:t>
      </w:r>
      <w:r w:rsidR="00B251C3" w:rsidRPr="00813D19">
        <w:rPr>
          <w:lang w:val="en-US"/>
        </w:rPr>
        <w:t xml:space="preserve">the </w:t>
      </w:r>
      <w:r w:rsidR="004D238B" w:rsidRPr="00813D19">
        <w:rPr>
          <w:lang w:val="en-US"/>
        </w:rPr>
        <w:t xml:space="preserve">focus on </w:t>
      </w:r>
      <w:r w:rsidR="00B251C3" w:rsidRPr="00813D19">
        <w:rPr>
          <w:lang w:val="en-US"/>
        </w:rPr>
        <w:t xml:space="preserve">the </w:t>
      </w:r>
      <w:r w:rsidR="004D238B" w:rsidRPr="00813D19">
        <w:rPr>
          <w:lang w:val="en-US"/>
        </w:rPr>
        <w:t xml:space="preserve">need for </w:t>
      </w:r>
      <w:r w:rsidR="00B251C3" w:rsidRPr="00813D19">
        <w:rPr>
          <w:lang w:val="en-US"/>
        </w:rPr>
        <w:t xml:space="preserve">a </w:t>
      </w:r>
      <w:r w:rsidR="004D238B" w:rsidRPr="00813D19">
        <w:rPr>
          <w:lang w:val="en-US"/>
        </w:rPr>
        <w:t>global dialogue</w:t>
      </w:r>
      <w:r w:rsidR="00B251C3" w:rsidRPr="00813D19">
        <w:rPr>
          <w:lang w:val="en-US"/>
        </w:rPr>
        <w:t>,</w:t>
      </w:r>
      <w:r w:rsidR="004D238B" w:rsidRPr="00813D19">
        <w:rPr>
          <w:lang w:val="en-US"/>
        </w:rPr>
        <w:t xml:space="preserve"> </w:t>
      </w:r>
      <w:r w:rsidR="00B251C3" w:rsidRPr="00813D19">
        <w:rPr>
          <w:lang w:val="en-US"/>
        </w:rPr>
        <w:t xml:space="preserve">as </w:t>
      </w:r>
      <w:r w:rsidR="004D238B" w:rsidRPr="00813D19">
        <w:rPr>
          <w:lang w:val="en-US"/>
        </w:rPr>
        <w:t xml:space="preserve">the most important </w:t>
      </w:r>
      <w:r w:rsidR="00B251C3" w:rsidRPr="00813D19">
        <w:rPr>
          <w:lang w:val="en-US"/>
        </w:rPr>
        <w:t xml:space="preserve">aspect for </w:t>
      </w:r>
      <w:r w:rsidR="004D238B" w:rsidRPr="00813D19">
        <w:rPr>
          <w:lang w:val="en-US"/>
        </w:rPr>
        <w:t xml:space="preserve">UNESCO </w:t>
      </w:r>
      <w:r w:rsidR="004B3AFC">
        <w:rPr>
          <w:lang w:val="en-US"/>
        </w:rPr>
        <w:t>was</w:t>
      </w:r>
      <w:r w:rsidR="004B3AFC" w:rsidRPr="00813D19">
        <w:rPr>
          <w:lang w:val="en-US"/>
        </w:rPr>
        <w:t xml:space="preserve"> </w:t>
      </w:r>
      <w:r w:rsidR="00E8046B" w:rsidRPr="00813D19">
        <w:rPr>
          <w:lang w:val="en-US"/>
        </w:rPr>
        <w:t>to</w:t>
      </w:r>
      <w:r w:rsidR="00B251C3" w:rsidRPr="00813D19">
        <w:rPr>
          <w:lang w:val="en-US"/>
        </w:rPr>
        <w:t xml:space="preserve"> </w:t>
      </w:r>
      <w:r w:rsidR="004D238B" w:rsidRPr="00813D19">
        <w:rPr>
          <w:lang w:val="en-US"/>
        </w:rPr>
        <w:t xml:space="preserve">safeguard intangible </w:t>
      </w:r>
      <w:r w:rsidR="00B251C3" w:rsidRPr="00813D19">
        <w:rPr>
          <w:lang w:val="en-US"/>
        </w:rPr>
        <w:t xml:space="preserve">cultural </w:t>
      </w:r>
      <w:r w:rsidR="004D238B" w:rsidRPr="00813D19">
        <w:rPr>
          <w:lang w:val="en-US"/>
        </w:rPr>
        <w:t xml:space="preserve">heritage through </w:t>
      </w:r>
      <w:r w:rsidR="00B251C3" w:rsidRPr="00813D19">
        <w:rPr>
          <w:lang w:val="en-US"/>
        </w:rPr>
        <w:t>its promotion</w:t>
      </w:r>
      <w:r w:rsidR="004D238B" w:rsidRPr="00813D19">
        <w:rPr>
          <w:lang w:val="en-US"/>
        </w:rPr>
        <w:t xml:space="preserve"> among members of the communities, </w:t>
      </w:r>
      <w:r w:rsidR="00B251C3" w:rsidRPr="00813D19">
        <w:rPr>
          <w:lang w:val="en-US"/>
        </w:rPr>
        <w:t xml:space="preserve">the </w:t>
      </w:r>
      <w:r w:rsidR="004D238B" w:rsidRPr="00813D19">
        <w:rPr>
          <w:lang w:val="en-US"/>
        </w:rPr>
        <w:t>bearers of the intangible heritage</w:t>
      </w:r>
      <w:r w:rsidR="00B251C3" w:rsidRPr="00813D19">
        <w:rPr>
          <w:lang w:val="en-US"/>
        </w:rPr>
        <w:t>,</w:t>
      </w:r>
      <w:r w:rsidR="004D238B" w:rsidRPr="00813D19">
        <w:rPr>
          <w:lang w:val="en-US"/>
        </w:rPr>
        <w:t xml:space="preserve"> for whom the most important thing is their own cultural identity.</w:t>
      </w:r>
      <w:r w:rsidR="00B251C3" w:rsidRPr="00813D19">
        <w:rPr>
          <w:lang w:val="en-US"/>
        </w:rPr>
        <w:t xml:space="preserve"> </w:t>
      </w:r>
      <w:r w:rsidR="004B5256" w:rsidRPr="00813D19">
        <w:rPr>
          <w:lang w:val="en-US"/>
        </w:rPr>
        <w:t>The delegation spoke of</w:t>
      </w:r>
      <w:r w:rsidR="004D238B" w:rsidRPr="00813D19">
        <w:rPr>
          <w:lang w:val="en-US"/>
        </w:rPr>
        <w:t xml:space="preserve"> R.2 that </w:t>
      </w:r>
      <w:r w:rsidR="004B3AFC" w:rsidRPr="00813D19">
        <w:rPr>
          <w:lang w:val="en-US"/>
        </w:rPr>
        <w:t>w</w:t>
      </w:r>
      <w:r w:rsidR="004B3AFC">
        <w:rPr>
          <w:lang w:val="en-US"/>
        </w:rPr>
        <w:t>ould</w:t>
      </w:r>
      <w:r w:rsidR="004B3AFC" w:rsidRPr="00813D19">
        <w:rPr>
          <w:lang w:val="en-US"/>
        </w:rPr>
        <w:t xml:space="preserve"> </w:t>
      </w:r>
      <w:r w:rsidR="004D238B" w:rsidRPr="00813D19">
        <w:rPr>
          <w:lang w:val="en-US"/>
        </w:rPr>
        <w:t>be used for the 2019 cycle</w:t>
      </w:r>
      <w:r w:rsidR="004B5256" w:rsidRPr="00813D19">
        <w:rPr>
          <w:lang w:val="en-US"/>
        </w:rPr>
        <w:t>,</w:t>
      </w:r>
      <w:r w:rsidR="004D238B" w:rsidRPr="00813D19">
        <w:rPr>
          <w:lang w:val="en-US"/>
        </w:rPr>
        <w:t xml:space="preserve"> thank</w:t>
      </w:r>
      <w:r w:rsidR="004B5256" w:rsidRPr="00813D19">
        <w:rPr>
          <w:lang w:val="en-US"/>
        </w:rPr>
        <w:t>ing</w:t>
      </w:r>
      <w:r w:rsidR="004D238B" w:rsidRPr="00813D19">
        <w:rPr>
          <w:lang w:val="en-US"/>
        </w:rPr>
        <w:t xml:space="preserve"> Japan once more for providing an opportunity for </w:t>
      </w:r>
      <w:r w:rsidR="004B5256" w:rsidRPr="00813D19">
        <w:rPr>
          <w:lang w:val="en-US"/>
        </w:rPr>
        <w:t xml:space="preserve">the </w:t>
      </w:r>
      <w:r w:rsidR="004D238B" w:rsidRPr="00813D19">
        <w:rPr>
          <w:lang w:val="en-US"/>
        </w:rPr>
        <w:t xml:space="preserve">global reflection on the listing mechanisms. </w:t>
      </w:r>
      <w:r w:rsidR="004B5256" w:rsidRPr="00813D19">
        <w:rPr>
          <w:lang w:val="en-US"/>
        </w:rPr>
        <w:t xml:space="preserve">It also </w:t>
      </w:r>
      <w:r w:rsidR="004D238B" w:rsidRPr="00813D19">
        <w:rPr>
          <w:lang w:val="en-US"/>
        </w:rPr>
        <w:t>flag</w:t>
      </w:r>
      <w:r w:rsidR="004B5256" w:rsidRPr="00813D19">
        <w:rPr>
          <w:lang w:val="en-US"/>
        </w:rPr>
        <w:t>ged</w:t>
      </w:r>
      <w:r w:rsidR="004D238B" w:rsidRPr="00813D19">
        <w:rPr>
          <w:lang w:val="en-US"/>
        </w:rPr>
        <w:t xml:space="preserve"> </w:t>
      </w:r>
      <w:r w:rsidR="004B5256" w:rsidRPr="00813D19">
        <w:rPr>
          <w:lang w:val="en-US"/>
        </w:rPr>
        <w:t xml:space="preserve">its will to discuss </w:t>
      </w:r>
      <w:r w:rsidR="004D238B" w:rsidRPr="00813D19">
        <w:rPr>
          <w:lang w:val="en-US"/>
        </w:rPr>
        <w:t>with all interested stakeholders</w:t>
      </w:r>
      <w:r w:rsidR="004B3AFC">
        <w:rPr>
          <w:lang w:val="en-US"/>
        </w:rPr>
        <w:t>,</w:t>
      </w:r>
      <w:r w:rsidR="004D238B" w:rsidRPr="00813D19">
        <w:rPr>
          <w:lang w:val="en-US"/>
        </w:rPr>
        <w:t xml:space="preserve"> in the framework of this global reflection, the possibility of introducing changes in the nomination form that </w:t>
      </w:r>
      <w:r w:rsidR="004B3AFC">
        <w:rPr>
          <w:lang w:val="en-US"/>
        </w:rPr>
        <w:t>would</w:t>
      </w:r>
      <w:r w:rsidR="004B3AFC" w:rsidRPr="00813D19">
        <w:rPr>
          <w:lang w:val="en-US"/>
        </w:rPr>
        <w:t xml:space="preserve"> </w:t>
      </w:r>
      <w:r w:rsidR="004D238B" w:rsidRPr="00813D19">
        <w:rPr>
          <w:lang w:val="en-US"/>
        </w:rPr>
        <w:t xml:space="preserve">simplify </w:t>
      </w:r>
      <w:r w:rsidR="004B5256" w:rsidRPr="00813D19">
        <w:rPr>
          <w:lang w:val="en-US"/>
        </w:rPr>
        <w:t xml:space="preserve">it </w:t>
      </w:r>
      <w:r w:rsidR="004D238B" w:rsidRPr="00813D19">
        <w:rPr>
          <w:lang w:val="en-US"/>
        </w:rPr>
        <w:t xml:space="preserve">by keeping the original wording of this criterion. </w:t>
      </w:r>
      <w:r w:rsidR="00D3569C" w:rsidRPr="00813D19">
        <w:rPr>
          <w:lang w:val="en-US"/>
        </w:rPr>
        <w:t xml:space="preserve">The delegation was </w:t>
      </w:r>
      <w:r w:rsidR="004D238B" w:rsidRPr="00813D19">
        <w:rPr>
          <w:lang w:val="en-US"/>
        </w:rPr>
        <w:t>avail</w:t>
      </w:r>
      <w:r w:rsidR="00D3569C" w:rsidRPr="00813D19">
        <w:rPr>
          <w:lang w:val="en-US"/>
        </w:rPr>
        <w:t>able</w:t>
      </w:r>
      <w:r w:rsidR="004D238B" w:rsidRPr="00813D19">
        <w:rPr>
          <w:lang w:val="en-US"/>
        </w:rPr>
        <w:t xml:space="preserve"> for further discussions on this issue</w:t>
      </w:r>
      <w:r w:rsidR="00D3569C" w:rsidRPr="00813D19">
        <w:rPr>
          <w:lang w:val="en-US"/>
        </w:rPr>
        <w:t>,</w:t>
      </w:r>
      <w:r w:rsidR="004D238B" w:rsidRPr="00813D19">
        <w:rPr>
          <w:lang w:val="en-US"/>
        </w:rPr>
        <w:t xml:space="preserve"> knowing that the result of the new revised nomination form </w:t>
      </w:r>
      <w:r w:rsidR="004B3AFC">
        <w:rPr>
          <w:lang w:val="en-US"/>
        </w:rPr>
        <w:t>would</w:t>
      </w:r>
      <w:r w:rsidR="004B3AFC" w:rsidRPr="00813D19">
        <w:rPr>
          <w:lang w:val="en-US"/>
        </w:rPr>
        <w:t xml:space="preserve"> </w:t>
      </w:r>
      <w:r w:rsidR="004D238B" w:rsidRPr="00813D19">
        <w:rPr>
          <w:lang w:val="en-US"/>
        </w:rPr>
        <w:t xml:space="preserve">be </w:t>
      </w:r>
      <w:r w:rsidR="00D3569C" w:rsidRPr="00813D19">
        <w:rPr>
          <w:lang w:val="en-US"/>
        </w:rPr>
        <w:t xml:space="preserve">available </w:t>
      </w:r>
      <w:r w:rsidR="00DD4E22">
        <w:rPr>
          <w:lang w:val="en-US"/>
        </w:rPr>
        <w:t>in 2020.</w:t>
      </w:r>
    </w:p>
    <w:p w14:paraId="5C3C9F15" w14:textId="5EFA9C88" w:rsidR="00903550" w:rsidRPr="00DD4E22" w:rsidRDefault="004D238B" w:rsidP="000953A7">
      <w:pPr>
        <w:pStyle w:val="Orateurengris"/>
        <w:numPr>
          <w:ilvl w:val="0"/>
          <w:numId w:val="0"/>
        </w:numPr>
        <w:spacing w:after="0"/>
        <w:ind w:left="709"/>
        <w:rPr>
          <w:color w:val="000000" w:themeColor="text1"/>
          <w:lang w:val="en-US"/>
        </w:rPr>
      </w:pPr>
      <w:r w:rsidRPr="00DD4E22">
        <w:rPr>
          <w:lang w:val="en-US"/>
        </w:rPr>
        <w:t xml:space="preserve">The </w:t>
      </w:r>
      <w:r w:rsidRPr="00DD4E22">
        <w:rPr>
          <w:b/>
          <w:lang w:val="en-US"/>
        </w:rPr>
        <w:t>Chairperson</w:t>
      </w:r>
      <w:r w:rsidRPr="00DD4E22">
        <w:rPr>
          <w:lang w:val="en-US"/>
        </w:rPr>
        <w:t xml:space="preserve"> suspend</w:t>
      </w:r>
      <w:r w:rsidR="00B251C3" w:rsidRPr="00DD4E22">
        <w:rPr>
          <w:lang w:val="en-US"/>
        </w:rPr>
        <w:t xml:space="preserve">ed the day’s session, thanking </w:t>
      </w:r>
      <w:r w:rsidRPr="00DD4E22">
        <w:rPr>
          <w:lang w:val="en-US"/>
        </w:rPr>
        <w:t>everyone for having particip</w:t>
      </w:r>
      <w:r w:rsidR="00B251C3" w:rsidRPr="00DD4E22">
        <w:rPr>
          <w:lang w:val="en-US"/>
        </w:rPr>
        <w:t xml:space="preserve">ated, and </w:t>
      </w:r>
      <w:r w:rsidRPr="00DD4E22">
        <w:rPr>
          <w:lang w:val="en-US"/>
        </w:rPr>
        <w:t xml:space="preserve">the interpreters </w:t>
      </w:r>
      <w:r w:rsidR="00B251C3" w:rsidRPr="00DD4E22">
        <w:rPr>
          <w:lang w:val="en-US"/>
        </w:rPr>
        <w:t xml:space="preserve">for the extra </w:t>
      </w:r>
      <w:r w:rsidRPr="00DD4E22">
        <w:rPr>
          <w:lang w:val="en-US"/>
        </w:rPr>
        <w:t>time</w:t>
      </w:r>
      <w:r w:rsidR="00B251C3" w:rsidRPr="00DD4E22">
        <w:rPr>
          <w:lang w:val="en-US"/>
        </w:rPr>
        <w:t xml:space="preserve"> accorded to the session</w:t>
      </w:r>
      <w:r w:rsidR="00DD4E22" w:rsidRPr="00DD4E22">
        <w:rPr>
          <w:lang w:val="en-US"/>
        </w:rPr>
        <w:t>.</w:t>
      </w:r>
    </w:p>
    <w:p w14:paraId="30876112" w14:textId="0F93B3E8" w:rsidR="0014134B" w:rsidRPr="00813D19" w:rsidRDefault="0014134B" w:rsidP="00DD4E22">
      <w:pPr>
        <w:pStyle w:val="Orateurengris"/>
        <w:keepNext/>
        <w:numPr>
          <w:ilvl w:val="0"/>
          <w:numId w:val="0"/>
        </w:numPr>
        <w:spacing w:before="240" w:after="240"/>
        <w:ind w:left="567" w:hanging="567"/>
        <w:jc w:val="center"/>
        <w:outlineLvl w:val="0"/>
        <w:rPr>
          <w:i/>
          <w:lang w:val="en-US"/>
        </w:rPr>
      </w:pPr>
      <w:r w:rsidRPr="00813D19">
        <w:rPr>
          <w:i/>
          <w:lang w:val="en-US"/>
        </w:rPr>
        <w:t>[Saturday, 1 December 2018, morning session]</w:t>
      </w:r>
    </w:p>
    <w:p w14:paraId="24A23CDA" w14:textId="62E8EBA1" w:rsidR="00BD75F2" w:rsidRPr="00813D19" w:rsidRDefault="00BD75F2" w:rsidP="00DD4E22">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10 OF THE AGENDA </w:t>
      </w:r>
      <w:r w:rsidR="00903550" w:rsidRPr="00813D19">
        <w:rPr>
          <w:b/>
          <w:color w:val="000000" w:themeColor="text1"/>
          <w:u w:val="single"/>
          <w:lang w:val="en-US"/>
        </w:rPr>
        <w:t>[CONT.]</w:t>
      </w:r>
    </w:p>
    <w:p w14:paraId="7F053FA6" w14:textId="77777777" w:rsidR="00BD75F2" w:rsidRPr="00813D19" w:rsidRDefault="00BD75F2" w:rsidP="00DD4E22">
      <w:pPr>
        <w:pStyle w:val="Orateurengris"/>
        <w:numPr>
          <w:ilvl w:val="0"/>
          <w:numId w:val="0"/>
        </w:numPr>
        <w:spacing w:after="240"/>
        <w:jc w:val="left"/>
        <w:outlineLvl w:val="1"/>
        <w:rPr>
          <w:b/>
          <w:color w:val="000000" w:themeColor="text1"/>
          <w:lang w:val="en-US"/>
        </w:rPr>
      </w:pPr>
      <w:r w:rsidRPr="00813D19">
        <w:rPr>
          <w:b/>
          <w:color w:val="000000" w:themeColor="text1"/>
          <w:lang w:val="en-US"/>
        </w:rPr>
        <w:t>REPORT OF THE EVALUATION BODY ON ITS WORK IN 2018</w:t>
      </w:r>
    </w:p>
    <w:p w14:paraId="54A79B41" w14:textId="61F993DC" w:rsidR="00A22F5E" w:rsidRPr="00813D19" w:rsidRDefault="00A22F5E" w:rsidP="00D70CA6">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780224" w:rsidRPr="00813D19">
        <w:rPr>
          <w:color w:val="000000" w:themeColor="text1"/>
          <w:lang w:val="en-US"/>
        </w:rPr>
        <w:t xml:space="preserve">began the session by </w:t>
      </w:r>
      <w:r w:rsidR="00780224" w:rsidRPr="00813D19">
        <w:rPr>
          <w:lang w:val="en-US"/>
        </w:rPr>
        <w:t xml:space="preserve">informing the Committee that it was </w:t>
      </w:r>
      <w:r w:rsidR="004D238B" w:rsidRPr="00813D19">
        <w:rPr>
          <w:lang w:val="en-US"/>
        </w:rPr>
        <w:t>behind schedule at this point</w:t>
      </w:r>
      <w:r w:rsidR="00971B32" w:rsidRPr="00813D19">
        <w:rPr>
          <w:lang w:val="en-US"/>
        </w:rPr>
        <w:t xml:space="preserve">, adding that the </w:t>
      </w:r>
      <w:r w:rsidR="004D238B" w:rsidRPr="00813D19">
        <w:rPr>
          <w:lang w:val="en-US"/>
        </w:rPr>
        <w:t xml:space="preserve">remaining agenda items </w:t>
      </w:r>
      <w:r w:rsidR="00971B32" w:rsidRPr="00813D19">
        <w:rPr>
          <w:lang w:val="en-US"/>
        </w:rPr>
        <w:t xml:space="preserve">were </w:t>
      </w:r>
      <w:r w:rsidR="004D238B" w:rsidRPr="00813D19">
        <w:rPr>
          <w:lang w:val="en-US"/>
        </w:rPr>
        <w:t xml:space="preserve">crucial for the Committee to able </w:t>
      </w:r>
      <w:r w:rsidR="004B3AFC">
        <w:rPr>
          <w:lang w:val="en-US"/>
        </w:rPr>
        <w:t xml:space="preserve">to </w:t>
      </w:r>
      <w:r w:rsidR="004D238B" w:rsidRPr="00813D19">
        <w:rPr>
          <w:lang w:val="en-US"/>
        </w:rPr>
        <w:t xml:space="preserve">function </w:t>
      </w:r>
      <w:r w:rsidR="00971B32" w:rsidRPr="00813D19">
        <w:rPr>
          <w:lang w:val="en-US"/>
        </w:rPr>
        <w:t>in 2019</w:t>
      </w:r>
      <w:r w:rsidR="004D238B" w:rsidRPr="00813D19">
        <w:rPr>
          <w:lang w:val="en-US"/>
        </w:rPr>
        <w:t xml:space="preserve">. These items </w:t>
      </w:r>
      <w:r w:rsidR="00971B32" w:rsidRPr="00813D19">
        <w:rPr>
          <w:lang w:val="en-US"/>
        </w:rPr>
        <w:t xml:space="preserve">included: i) the </w:t>
      </w:r>
      <w:r w:rsidR="004D238B" w:rsidRPr="00813D19">
        <w:rPr>
          <w:lang w:val="en-US"/>
        </w:rPr>
        <w:t>establishment of the Eval</w:t>
      </w:r>
      <w:r w:rsidR="00971B32" w:rsidRPr="00813D19">
        <w:rPr>
          <w:lang w:val="en-US"/>
        </w:rPr>
        <w:t xml:space="preserve">uation Body for the 2019 cycle (item 14); ii) </w:t>
      </w:r>
      <w:r w:rsidR="004D238B" w:rsidRPr="00813D19">
        <w:rPr>
          <w:lang w:val="en-US"/>
        </w:rPr>
        <w:t>the number of files submitted for the year</w:t>
      </w:r>
      <w:r w:rsidR="004B3AFC">
        <w:rPr>
          <w:lang w:val="en-US"/>
        </w:rPr>
        <w:t>s</w:t>
      </w:r>
      <w:r w:rsidR="004D238B" w:rsidRPr="00813D19">
        <w:rPr>
          <w:lang w:val="en-US"/>
        </w:rPr>
        <w:t xml:space="preserve"> 2018 and 2019 and the number of files that </w:t>
      </w:r>
      <w:r w:rsidR="004B3AFC" w:rsidRPr="00813D19">
        <w:rPr>
          <w:lang w:val="en-US"/>
        </w:rPr>
        <w:t>c</w:t>
      </w:r>
      <w:r w:rsidR="004B3AFC">
        <w:rPr>
          <w:lang w:val="en-US"/>
        </w:rPr>
        <w:t>ould</w:t>
      </w:r>
      <w:r w:rsidR="004B3AFC" w:rsidRPr="00813D19">
        <w:rPr>
          <w:lang w:val="en-US"/>
        </w:rPr>
        <w:t xml:space="preserve"> </w:t>
      </w:r>
      <w:r w:rsidR="004D238B" w:rsidRPr="00813D19">
        <w:rPr>
          <w:lang w:val="en-US"/>
        </w:rPr>
        <w:t>be treated in the 2020 and 2021 cycles</w:t>
      </w:r>
      <w:r w:rsidR="00971B32" w:rsidRPr="00813D19">
        <w:rPr>
          <w:lang w:val="en-US"/>
        </w:rPr>
        <w:t xml:space="preserve"> (item 15); iii) </w:t>
      </w:r>
      <w:r w:rsidR="004D238B" w:rsidRPr="00813D19">
        <w:rPr>
          <w:lang w:val="en-US"/>
        </w:rPr>
        <w:t>the date and venue of the fourteenth session</w:t>
      </w:r>
      <w:r w:rsidR="00971B32" w:rsidRPr="00813D19">
        <w:rPr>
          <w:lang w:val="en-US"/>
        </w:rPr>
        <w:t xml:space="preserve"> (item 18);</w:t>
      </w:r>
      <w:r w:rsidR="004D238B" w:rsidRPr="00813D19">
        <w:rPr>
          <w:lang w:val="en-US"/>
        </w:rPr>
        <w:t xml:space="preserve"> </w:t>
      </w:r>
      <w:r w:rsidR="00971B32" w:rsidRPr="00813D19">
        <w:rPr>
          <w:lang w:val="en-US"/>
        </w:rPr>
        <w:t xml:space="preserve">iv) the </w:t>
      </w:r>
      <w:r w:rsidR="004D238B" w:rsidRPr="00813D19">
        <w:rPr>
          <w:lang w:val="en-US"/>
        </w:rPr>
        <w:t>elect</w:t>
      </w:r>
      <w:r w:rsidR="00971B32" w:rsidRPr="00813D19">
        <w:rPr>
          <w:lang w:val="en-US"/>
        </w:rPr>
        <w:t>ion of</w:t>
      </w:r>
      <w:r w:rsidR="004D238B" w:rsidRPr="00813D19">
        <w:rPr>
          <w:lang w:val="en-US"/>
        </w:rPr>
        <w:t xml:space="preserve"> the Bureau of the fourteenth session </w:t>
      </w:r>
      <w:r w:rsidR="00971B32" w:rsidRPr="00813D19">
        <w:rPr>
          <w:lang w:val="en-US"/>
        </w:rPr>
        <w:t xml:space="preserve">(item 19); and v) the </w:t>
      </w:r>
      <w:r w:rsidR="004D238B" w:rsidRPr="00813D19">
        <w:rPr>
          <w:lang w:val="en-US"/>
        </w:rPr>
        <w:t>adopt</w:t>
      </w:r>
      <w:r w:rsidR="00971B32" w:rsidRPr="00813D19">
        <w:rPr>
          <w:lang w:val="en-US"/>
        </w:rPr>
        <w:t>ion of</w:t>
      </w:r>
      <w:r w:rsidR="004D238B" w:rsidRPr="00813D19">
        <w:rPr>
          <w:lang w:val="en-US"/>
        </w:rPr>
        <w:t xml:space="preserve"> </w:t>
      </w:r>
      <w:r w:rsidR="00971B32" w:rsidRPr="00813D19">
        <w:rPr>
          <w:lang w:val="en-US"/>
        </w:rPr>
        <w:t xml:space="preserve">the </w:t>
      </w:r>
      <w:r w:rsidR="004D238B" w:rsidRPr="00813D19">
        <w:rPr>
          <w:lang w:val="en-US"/>
        </w:rPr>
        <w:t>list of decisions</w:t>
      </w:r>
      <w:r w:rsidR="00971B32" w:rsidRPr="00813D19">
        <w:rPr>
          <w:lang w:val="en-US"/>
        </w:rPr>
        <w:t xml:space="preserve"> (item 21)</w:t>
      </w:r>
      <w:r w:rsidR="004D238B" w:rsidRPr="00813D19">
        <w:rPr>
          <w:lang w:val="en-US"/>
        </w:rPr>
        <w:t xml:space="preserve">. </w:t>
      </w:r>
      <w:r w:rsidR="00971B32" w:rsidRPr="00813D19">
        <w:rPr>
          <w:lang w:val="en-US"/>
        </w:rPr>
        <w:t xml:space="preserve">The Chairperson therefore </w:t>
      </w:r>
      <w:r w:rsidR="004D238B" w:rsidRPr="00813D19">
        <w:rPr>
          <w:lang w:val="en-US"/>
        </w:rPr>
        <w:t>suggest</w:t>
      </w:r>
      <w:r w:rsidR="00971B32" w:rsidRPr="00813D19">
        <w:rPr>
          <w:lang w:val="en-US"/>
        </w:rPr>
        <w:t>ed</w:t>
      </w:r>
      <w:r w:rsidR="004D238B" w:rsidRPr="00813D19">
        <w:rPr>
          <w:lang w:val="en-US"/>
        </w:rPr>
        <w:t xml:space="preserve"> </w:t>
      </w:r>
      <w:r w:rsidR="00971B32" w:rsidRPr="00813D19">
        <w:rPr>
          <w:lang w:val="en-US"/>
        </w:rPr>
        <w:t>return</w:t>
      </w:r>
      <w:r w:rsidR="004B3AFC">
        <w:rPr>
          <w:lang w:val="en-US"/>
        </w:rPr>
        <w:t>ing</w:t>
      </w:r>
      <w:r w:rsidR="00971B32" w:rsidRPr="00813D19">
        <w:rPr>
          <w:lang w:val="en-US"/>
        </w:rPr>
        <w:t xml:space="preserve"> to </w:t>
      </w:r>
      <w:r w:rsidR="004D238B" w:rsidRPr="00813D19">
        <w:rPr>
          <w:lang w:val="en-US"/>
        </w:rPr>
        <w:t xml:space="preserve">item 13.COM 10 and </w:t>
      </w:r>
      <w:r w:rsidR="00971B32" w:rsidRPr="00813D19">
        <w:rPr>
          <w:lang w:val="en-US"/>
        </w:rPr>
        <w:t>adopt</w:t>
      </w:r>
      <w:r w:rsidR="004B3AFC">
        <w:rPr>
          <w:lang w:val="en-US"/>
        </w:rPr>
        <w:t>ing</w:t>
      </w:r>
      <w:r w:rsidR="00971B32" w:rsidRPr="00813D19">
        <w:rPr>
          <w:lang w:val="en-US"/>
        </w:rPr>
        <w:t xml:space="preserve"> the draft decision, recalling the long </w:t>
      </w:r>
      <w:r w:rsidR="004D238B" w:rsidRPr="00813D19">
        <w:rPr>
          <w:lang w:val="en-US"/>
        </w:rPr>
        <w:t xml:space="preserve">discussions </w:t>
      </w:r>
      <w:r w:rsidR="00971B32" w:rsidRPr="00813D19">
        <w:rPr>
          <w:lang w:val="en-US"/>
        </w:rPr>
        <w:t xml:space="preserve">on </w:t>
      </w:r>
      <w:r w:rsidR="004D238B" w:rsidRPr="00813D19">
        <w:rPr>
          <w:lang w:val="en-US"/>
        </w:rPr>
        <w:t xml:space="preserve">the main lines and needs concerning the nomination process. </w:t>
      </w:r>
      <w:r w:rsidR="00971B32" w:rsidRPr="00813D19">
        <w:rPr>
          <w:lang w:val="en-US"/>
        </w:rPr>
        <w:t>I</w:t>
      </w:r>
      <w:r w:rsidR="004D238B" w:rsidRPr="00813D19">
        <w:rPr>
          <w:lang w:val="en-US"/>
        </w:rPr>
        <w:t xml:space="preserve">n light of the limited time, </w:t>
      </w:r>
      <w:r w:rsidR="00971B32" w:rsidRPr="00813D19">
        <w:rPr>
          <w:lang w:val="en-US"/>
        </w:rPr>
        <w:t xml:space="preserve">the Committee Members were asked to </w:t>
      </w:r>
      <w:r w:rsidR="004D238B" w:rsidRPr="00813D19">
        <w:rPr>
          <w:lang w:val="en-US"/>
        </w:rPr>
        <w:t xml:space="preserve">keep </w:t>
      </w:r>
      <w:r w:rsidR="00971B32" w:rsidRPr="00813D19">
        <w:rPr>
          <w:lang w:val="en-US"/>
        </w:rPr>
        <w:t xml:space="preserve">their </w:t>
      </w:r>
      <w:r w:rsidR="004D238B" w:rsidRPr="00813D19">
        <w:rPr>
          <w:lang w:val="en-US"/>
        </w:rPr>
        <w:t>inter</w:t>
      </w:r>
      <w:r w:rsidR="00971B32" w:rsidRPr="00813D19">
        <w:rPr>
          <w:lang w:val="en-US"/>
        </w:rPr>
        <w:t>ventions short and to the point. The rest of the morning should see the completion</w:t>
      </w:r>
      <w:r w:rsidR="004D238B" w:rsidRPr="00813D19">
        <w:rPr>
          <w:lang w:val="en-US"/>
        </w:rPr>
        <w:t xml:space="preserve"> </w:t>
      </w:r>
      <w:r w:rsidR="00971B32" w:rsidRPr="00813D19">
        <w:rPr>
          <w:lang w:val="en-US"/>
        </w:rPr>
        <w:t>of agenda items 14–</w:t>
      </w:r>
      <w:r w:rsidR="004D238B" w:rsidRPr="00813D19">
        <w:rPr>
          <w:lang w:val="en-US"/>
        </w:rPr>
        <w:t xml:space="preserve">16. </w:t>
      </w:r>
      <w:r w:rsidR="00971B32" w:rsidRPr="00813D19">
        <w:rPr>
          <w:lang w:val="en-US"/>
        </w:rPr>
        <w:t>T</w:t>
      </w:r>
      <w:r w:rsidR="004D238B" w:rsidRPr="00813D19">
        <w:rPr>
          <w:lang w:val="en-US"/>
        </w:rPr>
        <w:t xml:space="preserve">he </w:t>
      </w:r>
      <w:r w:rsidR="00C02AC7" w:rsidRPr="00813D19">
        <w:rPr>
          <w:lang w:val="en-US"/>
        </w:rPr>
        <w:t xml:space="preserve">Chairperson also shared the news that the </w:t>
      </w:r>
      <w:r w:rsidR="004D238B" w:rsidRPr="00813D19">
        <w:rPr>
          <w:lang w:val="en-US"/>
        </w:rPr>
        <w:t>interpreters</w:t>
      </w:r>
      <w:r w:rsidR="004B3AFC">
        <w:rPr>
          <w:lang w:val="en-US"/>
        </w:rPr>
        <w:t xml:space="preserve"> had</w:t>
      </w:r>
      <w:r w:rsidR="004D238B" w:rsidRPr="00813D19">
        <w:rPr>
          <w:lang w:val="en-US"/>
        </w:rPr>
        <w:t xml:space="preserve"> agreed </w:t>
      </w:r>
      <w:r w:rsidR="00C02AC7" w:rsidRPr="00813D19">
        <w:rPr>
          <w:lang w:val="en-US"/>
        </w:rPr>
        <w:t>to take one</w:t>
      </w:r>
      <w:r w:rsidR="004B3AFC">
        <w:rPr>
          <w:lang w:val="en-US"/>
        </w:rPr>
        <w:t xml:space="preserve"> </w:t>
      </w:r>
      <w:r w:rsidR="004D238B" w:rsidRPr="00813D19">
        <w:rPr>
          <w:lang w:val="en-US"/>
        </w:rPr>
        <w:t>hour</w:t>
      </w:r>
      <w:r w:rsidR="00C02AC7" w:rsidRPr="00813D19">
        <w:rPr>
          <w:lang w:val="en-US"/>
        </w:rPr>
        <w:t xml:space="preserve"> </w:t>
      </w:r>
      <w:r w:rsidR="004B3AFC">
        <w:rPr>
          <w:lang w:val="en-US"/>
        </w:rPr>
        <w:t xml:space="preserve">for </w:t>
      </w:r>
      <w:r w:rsidR="00C02AC7" w:rsidRPr="00813D19">
        <w:rPr>
          <w:lang w:val="en-US"/>
        </w:rPr>
        <w:t xml:space="preserve">lunch </w:t>
      </w:r>
      <w:r w:rsidR="004D238B" w:rsidRPr="00813D19">
        <w:rPr>
          <w:lang w:val="en-US"/>
        </w:rPr>
        <w:t>instead of two</w:t>
      </w:r>
      <w:r w:rsidR="00C02AC7" w:rsidRPr="00813D19">
        <w:rPr>
          <w:lang w:val="en-US"/>
        </w:rPr>
        <w:t>. I</w:t>
      </w:r>
      <w:r w:rsidR="004D238B" w:rsidRPr="00813D19">
        <w:rPr>
          <w:lang w:val="en-US"/>
        </w:rPr>
        <w:t xml:space="preserve">n </w:t>
      </w:r>
      <w:r w:rsidR="00C02AC7" w:rsidRPr="00813D19">
        <w:rPr>
          <w:lang w:val="en-US"/>
        </w:rPr>
        <w:t xml:space="preserve">the </w:t>
      </w:r>
      <w:r w:rsidR="004D238B" w:rsidRPr="00813D19">
        <w:rPr>
          <w:lang w:val="en-US"/>
        </w:rPr>
        <w:t xml:space="preserve">case </w:t>
      </w:r>
      <w:r w:rsidR="00C02AC7" w:rsidRPr="00813D19">
        <w:rPr>
          <w:lang w:val="en-US"/>
        </w:rPr>
        <w:t>of limited time, the Committee would not examine item 17, follow-</w:t>
      </w:r>
      <w:r w:rsidR="004D238B" w:rsidRPr="00813D19">
        <w:rPr>
          <w:lang w:val="en-US"/>
        </w:rPr>
        <w:t>up on the implementation of the relevant recommendations o</w:t>
      </w:r>
      <w:r w:rsidR="00DD4E22">
        <w:rPr>
          <w:lang w:val="en-US"/>
        </w:rPr>
        <w:t>f the open-ended working group.</w:t>
      </w:r>
    </w:p>
    <w:p w14:paraId="2D177FB1" w14:textId="359C8226" w:rsidR="00C52612" w:rsidRPr="00813D19" w:rsidRDefault="00C52612" w:rsidP="00A22F5E">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Philippines</w:t>
      </w:r>
      <w:r w:rsidR="004D238B" w:rsidRPr="00813D19">
        <w:rPr>
          <w:lang w:val="en-US"/>
        </w:rPr>
        <w:t xml:space="preserve"> hope</w:t>
      </w:r>
      <w:r w:rsidR="00C02AC7" w:rsidRPr="00813D19">
        <w:rPr>
          <w:lang w:val="en-US"/>
        </w:rPr>
        <w:t xml:space="preserve">d to </w:t>
      </w:r>
      <w:r w:rsidR="004D238B" w:rsidRPr="00813D19">
        <w:rPr>
          <w:lang w:val="en-US"/>
        </w:rPr>
        <w:t xml:space="preserve">have enough time to discuss </w:t>
      </w:r>
      <w:r w:rsidR="00C02AC7" w:rsidRPr="00813D19">
        <w:rPr>
          <w:lang w:val="en-US"/>
        </w:rPr>
        <w:t>item 17,</w:t>
      </w:r>
      <w:r w:rsidR="00201CA0" w:rsidRPr="00813D19">
        <w:rPr>
          <w:lang w:val="en-US"/>
        </w:rPr>
        <w:t xml:space="preserve"> </w:t>
      </w:r>
      <w:r w:rsidR="00C02AC7" w:rsidRPr="00813D19">
        <w:rPr>
          <w:lang w:val="en-US"/>
        </w:rPr>
        <w:t xml:space="preserve">as it would not </w:t>
      </w:r>
      <w:r w:rsidR="004D238B" w:rsidRPr="00813D19">
        <w:rPr>
          <w:lang w:val="en-US"/>
        </w:rPr>
        <w:t xml:space="preserve">take very long </w:t>
      </w:r>
      <w:r w:rsidR="00C02AC7" w:rsidRPr="00813D19">
        <w:rPr>
          <w:lang w:val="en-US"/>
        </w:rPr>
        <w:t>to adopt</w:t>
      </w:r>
      <w:r w:rsidR="004D238B" w:rsidRPr="00813D19">
        <w:rPr>
          <w:lang w:val="en-US"/>
        </w:rPr>
        <w:t xml:space="preserve"> </w:t>
      </w:r>
      <w:r w:rsidR="00C02AC7" w:rsidRPr="00813D19">
        <w:rPr>
          <w:lang w:val="en-US"/>
        </w:rPr>
        <w:t>the draft decision.</w:t>
      </w:r>
    </w:p>
    <w:p w14:paraId="2BB28C40" w14:textId="72103C58" w:rsidR="00C52612" w:rsidRPr="00813D19" w:rsidRDefault="00E850F7" w:rsidP="00A22F5E">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9C0DFD" w:rsidRPr="00813D19">
        <w:rPr>
          <w:color w:val="000000" w:themeColor="text1"/>
          <w:lang w:val="en-US"/>
        </w:rPr>
        <w:t xml:space="preserve">noted that </w:t>
      </w:r>
      <w:r w:rsidR="009C0DFD" w:rsidRPr="00813D19">
        <w:rPr>
          <w:lang w:val="en-US"/>
        </w:rPr>
        <w:t>u</w:t>
      </w:r>
      <w:r w:rsidR="004D238B" w:rsidRPr="00813D19">
        <w:rPr>
          <w:lang w:val="en-US"/>
        </w:rPr>
        <w:t xml:space="preserve">nder </w:t>
      </w:r>
      <w:r w:rsidR="009C0DFD" w:rsidRPr="00813D19">
        <w:rPr>
          <w:lang w:val="en-US"/>
        </w:rPr>
        <w:t>‘</w:t>
      </w:r>
      <w:r w:rsidR="004D238B" w:rsidRPr="00813D19">
        <w:rPr>
          <w:lang w:val="en-US"/>
        </w:rPr>
        <w:t>other business</w:t>
      </w:r>
      <w:r w:rsidR="009C0DFD" w:rsidRPr="00813D19">
        <w:rPr>
          <w:lang w:val="en-US"/>
        </w:rPr>
        <w:t xml:space="preserve">’, </w:t>
      </w:r>
      <w:r w:rsidR="004D238B" w:rsidRPr="00813D19">
        <w:rPr>
          <w:lang w:val="en-US"/>
        </w:rPr>
        <w:t xml:space="preserve">Palestine </w:t>
      </w:r>
      <w:r w:rsidR="009C0DFD" w:rsidRPr="00813D19">
        <w:rPr>
          <w:lang w:val="en-US"/>
        </w:rPr>
        <w:t>had a brief issue it wished to raise</w:t>
      </w:r>
      <w:r w:rsidR="004D238B" w:rsidRPr="00813D19">
        <w:rPr>
          <w:lang w:val="en-US"/>
        </w:rPr>
        <w:t xml:space="preserve">. Concerning item 21, the Committee </w:t>
      </w:r>
      <w:r w:rsidR="009C0DFD" w:rsidRPr="00813D19">
        <w:rPr>
          <w:lang w:val="en-US"/>
        </w:rPr>
        <w:t xml:space="preserve">had </w:t>
      </w:r>
      <w:r w:rsidR="004D238B" w:rsidRPr="00813D19">
        <w:rPr>
          <w:lang w:val="en-US"/>
        </w:rPr>
        <w:t xml:space="preserve">to adopt the list of all </w:t>
      </w:r>
      <w:r w:rsidR="00201CA0" w:rsidRPr="00813D19">
        <w:rPr>
          <w:lang w:val="en-US"/>
        </w:rPr>
        <w:t xml:space="preserve">the </w:t>
      </w:r>
      <w:r w:rsidR="004D238B" w:rsidRPr="00813D19">
        <w:rPr>
          <w:lang w:val="en-US"/>
        </w:rPr>
        <w:t>decisions adopted up to the lunch break</w:t>
      </w:r>
      <w:r w:rsidR="009C0DFD" w:rsidRPr="00813D19">
        <w:rPr>
          <w:lang w:val="en-US"/>
        </w:rPr>
        <w:t>,</w:t>
      </w:r>
      <w:r w:rsidR="004D238B" w:rsidRPr="00813D19">
        <w:rPr>
          <w:lang w:val="en-US"/>
        </w:rPr>
        <w:t xml:space="preserve"> and </w:t>
      </w:r>
      <w:r w:rsidR="009C0DFD" w:rsidRPr="00813D19">
        <w:rPr>
          <w:lang w:val="en-US"/>
        </w:rPr>
        <w:t xml:space="preserve">the Chairperson </w:t>
      </w:r>
      <w:r w:rsidR="004D238B" w:rsidRPr="00813D19">
        <w:rPr>
          <w:lang w:val="en-US"/>
        </w:rPr>
        <w:t>suggest</w:t>
      </w:r>
      <w:r w:rsidR="009C0DFD" w:rsidRPr="00813D19">
        <w:rPr>
          <w:lang w:val="en-US"/>
        </w:rPr>
        <w:t xml:space="preserve">ed that </w:t>
      </w:r>
      <w:r w:rsidR="00201CA0" w:rsidRPr="00813D19">
        <w:rPr>
          <w:lang w:val="en-US"/>
        </w:rPr>
        <w:t xml:space="preserve">in the interest of time </w:t>
      </w:r>
      <w:r w:rsidR="009C0DFD" w:rsidRPr="00813D19">
        <w:rPr>
          <w:lang w:val="en-US"/>
        </w:rPr>
        <w:t>the Committee delegate to its R</w:t>
      </w:r>
      <w:r w:rsidR="004D238B" w:rsidRPr="00813D19">
        <w:rPr>
          <w:lang w:val="en-US"/>
        </w:rPr>
        <w:t>apporteur the responsibility</w:t>
      </w:r>
      <w:r w:rsidR="004B3AFC">
        <w:rPr>
          <w:lang w:val="en-US"/>
        </w:rPr>
        <w:t xml:space="preserve"> for</w:t>
      </w:r>
      <w:r w:rsidR="004D238B" w:rsidRPr="00813D19">
        <w:rPr>
          <w:lang w:val="en-US"/>
        </w:rPr>
        <w:t xml:space="preserve"> validat</w:t>
      </w:r>
      <w:r w:rsidR="004B3AFC">
        <w:rPr>
          <w:lang w:val="en-US"/>
        </w:rPr>
        <w:t>ing</w:t>
      </w:r>
      <w:r w:rsidR="004D238B" w:rsidRPr="00813D19">
        <w:rPr>
          <w:lang w:val="en-US"/>
        </w:rPr>
        <w:t xml:space="preserve"> the </w:t>
      </w:r>
      <w:r w:rsidR="009C0DFD" w:rsidRPr="00813D19">
        <w:rPr>
          <w:lang w:val="en-US"/>
        </w:rPr>
        <w:t xml:space="preserve">remaining </w:t>
      </w:r>
      <w:r w:rsidR="004D238B" w:rsidRPr="00813D19">
        <w:rPr>
          <w:lang w:val="en-US"/>
        </w:rPr>
        <w:t>decisions</w:t>
      </w:r>
      <w:r w:rsidR="009C0DFD" w:rsidRPr="00813D19">
        <w:rPr>
          <w:lang w:val="en-US"/>
        </w:rPr>
        <w:t>.</w:t>
      </w:r>
      <w:r w:rsidR="004D238B" w:rsidRPr="00813D19">
        <w:rPr>
          <w:lang w:val="en-US"/>
        </w:rPr>
        <w:t xml:space="preserve"> For the sake of transparency</w:t>
      </w:r>
      <w:r w:rsidR="009C0DFD" w:rsidRPr="00813D19">
        <w:rPr>
          <w:lang w:val="en-US"/>
        </w:rPr>
        <w:t>,</w:t>
      </w:r>
      <w:r w:rsidR="004D238B" w:rsidRPr="00813D19">
        <w:rPr>
          <w:lang w:val="en-US"/>
        </w:rPr>
        <w:t xml:space="preserve"> the Secretariat </w:t>
      </w:r>
      <w:r w:rsidR="004B3AFC">
        <w:rPr>
          <w:lang w:val="en-US"/>
        </w:rPr>
        <w:t>would</w:t>
      </w:r>
      <w:r w:rsidR="004B3AFC" w:rsidRPr="00813D19">
        <w:rPr>
          <w:lang w:val="en-US"/>
        </w:rPr>
        <w:t xml:space="preserve"> </w:t>
      </w:r>
      <w:r w:rsidR="00E8046B" w:rsidRPr="00813D19">
        <w:rPr>
          <w:lang w:val="en-US"/>
        </w:rPr>
        <w:t>distribute</w:t>
      </w:r>
      <w:r w:rsidR="004D238B" w:rsidRPr="00813D19">
        <w:rPr>
          <w:lang w:val="en-US"/>
        </w:rPr>
        <w:t xml:space="preserve"> the decisions adopted during the lunch break. </w:t>
      </w:r>
      <w:r w:rsidR="009C0DFD" w:rsidRPr="00813D19">
        <w:rPr>
          <w:lang w:val="en-US"/>
        </w:rPr>
        <w:t>T</w:t>
      </w:r>
      <w:r w:rsidR="004D238B" w:rsidRPr="00813D19">
        <w:rPr>
          <w:lang w:val="en-US"/>
        </w:rPr>
        <w:t xml:space="preserve">he Secretariat </w:t>
      </w:r>
      <w:r w:rsidR="004B3AFC">
        <w:rPr>
          <w:lang w:val="en-US"/>
        </w:rPr>
        <w:t>would</w:t>
      </w:r>
      <w:r w:rsidR="004B3AFC" w:rsidRPr="00813D19">
        <w:rPr>
          <w:lang w:val="en-US"/>
        </w:rPr>
        <w:t xml:space="preserve"> </w:t>
      </w:r>
      <w:r w:rsidR="004D238B" w:rsidRPr="00813D19">
        <w:rPr>
          <w:lang w:val="en-US"/>
        </w:rPr>
        <w:t xml:space="preserve">publish the decisions in the final </w:t>
      </w:r>
      <w:hyperlink r:id="rId157" w:history="1">
        <w:r w:rsidR="009C0DFD" w:rsidRPr="00813D19">
          <w:rPr>
            <w:rStyle w:val="Hyperlink"/>
            <w:lang w:val="en-US"/>
          </w:rPr>
          <w:t>online</w:t>
        </w:r>
      </w:hyperlink>
      <w:r w:rsidR="009C0DFD" w:rsidRPr="00813D19">
        <w:rPr>
          <w:lang w:val="en-US"/>
        </w:rPr>
        <w:t xml:space="preserve"> </w:t>
      </w:r>
      <w:r w:rsidR="004D238B" w:rsidRPr="00813D19">
        <w:rPr>
          <w:lang w:val="en-US"/>
        </w:rPr>
        <w:t xml:space="preserve">version by the end of </w:t>
      </w:r>
      <w:r w:rsidR="0079407F" w:rsidRPr="00813D19">
        <w:rPr>
          <w:lang w:val="en-US"/>
        </w:rPr>
        <w:t>201</w:t>
      </w:r>
      <w:r w:rsidR="0079407F">
        <w:rPr>
          <w:lang w:val="en-US"/>
        </w:rPr>
        <w:t>8</w:t>
      </w:r>
      <w:r w:rsidR="004D238B" w:rsidRPr="00813D19">
        <w:rPr>
          <w:lang w:val="en-US"/>
        </w:rPr>
        <w:t xml:space="preserve">. </w:t>
      </w:r>
      <w:r w:rsidR="009C0DFD" w:rsidRPr="00813D19">
        <w:rPr>
          <w:lang w:val="en-US"/>
        </w:rPr>
        <w:t xml:space="preserve">The Chairperson then turned to draft decision </w:t>
      </w:r>
      <w:r w:rsidR="004D238B" w:rsidRPr="00813D19">
        <w:rPr>
          <w:lang w:val="en-US"/>
        </w:rPr>
        <w:t>13.COM 10</w:t>
      </w:r>
      <w:r w:rsidR="00E8046B" w:rsidRPr="00813D19">
        <w:rPr>
          <w:lang w:val="en-US"/>
        </w:rPr>
        <w:t>.</w:t>
      </w:r>
    </w:p>
    <w:p w14:paraId="6E79ED47" w14:textId="3664C5AF" w:rsidR="004D238B" w:rsidRPr="00813D19" w:rsidRDefault="004D238B" w:rsidP="00A22F5E">
      <w:pPr>
        <w:pStyle w:val="Orateurengris"/>
        <w:spacing w:before="120"/>
        <w:ind w:left="709" w:hanging="709"/>
        <w:rPr>
          <w:color w:val="000000" w:themeColor="text1"/>
          <w:lang w:val="en-US"/>
        </w:rPr>
      </w:pPr>
      <w:r w:rsidRPr="00813D19">
        <w:rPr>
          <w:lang w:val="en-US"/>
        </w:rPr>
        <w:t xml:space="preserve">The </w:t>
      </w:r>
      <w:r w:rsidRPr="00813D19">
        <w:rPr>
          <w:b/>
          <w:lang w:val="en-US"/>
        </w:rPr>
        <w:t>Secretary</w:t>
      </w:r>
      <w:r w:rsidRPr="00813D19">
        <w:rPr>
          <w:lang w:val="en-US"/>
        </w:rPr>
        <w:t xml:space="preserve"> </w:t>
      </w:r>
      <w:r w:rsidR="009C0DFD" w:rsidRPr="00813D19">
        <w:rPr>
          <w:lang w:val="en-US"/>
        </w:rPr>
        <w:t xml:space="preserve">informed the Committee that </w:t>
      </w:r>
      <w:r w:rsidRPr="00813D19">
        <w:rPr>
          <w:lang w:val="en-US"/>
        </w:rPr>
        <w:t>amendments from two States</w:t>
      </w:r>
      <w:r w:rsidR="009C0DFD" w:rsidRPr="00813D19">
        <w:rPr>
          <w:lang w:val="en-US"/>
        </w:rPr>
        <w:t xml:space="preserve"> had been received the previous evening. Three amendments had been presented by </w:t>
      </w:r>
      <w:r w:rsidRPr="00813D19">
        <w:rPr>
          <w:lang w:val="en-US"/>
        </w:rPr>
        <w:t xml:space="preserve">Azerbaijan </w:t>
      </w:r>
      <w:r w:rsidR="009C0DFD" w:rsidRPr="00813D19">
        <w:rPr>
          <w:lang w:val="en-US"/>
        </w:rPr>
        <w:t xml:space="preserve">in paragraphs </w:t>
      </w:r>
      <w:r w:rsidRPr="00813D19">
        <w:rPr>
          <w:lang w:val="en-US"/>
        </w:rPr>
        <w:t xml:space="preserve">11, </w:t>
      </w:r>
      <w:r w:rsidR="009C0DFD" w:rsidRPr="00813D19">
        <w:rPr>
          <w:lang w:val="en-US"/>
        </w:rPr>
        <w:t xml:space="preserve">12 and </w:t>
      </w:r>
      <w:r w:rsidRPr="00813D19">
        <w:rPr>
          <w:lang w:val="en-US"/>
        </w:rPr>
        <w:t>13</w:t>
      </w:r>
      <w:r w:rsidR="004B3AFC">
        <w:rPr>
          <w:lang w:val="en-US"/>
        </w:rPr>
        <w:t>;</w:t>
      </w:r>
      <w:r w:rsidR="009C0DFD" w:rsidRPr="00813D19">
        <w:rPr>
          <w:lang w:val="en-US"/>
        </w:rPr>
        <w:t xml:space="preserve"> four amendments </w:t>
      </w:r>
      <w:r w:rsidR="004B3AFC">
        <w:rPr>
          <w:lang w:val="en-US"/>
        </w:rPr>
        <w:t xml:space="preserve">had been presented by </w:t>
      </w:r>
      <w:r w:rsidR="009C0DFD" w:rsidRPr="00813D19">
        <w:rPr>
          <w:lang w:val="en-US"/>
        </w:rPr>
        <w:t>the Philippines, Palestine and</w:t>
      </w:r>
      <w:r w:rsidRPr="00813D19">
        <w:rPr>
          <w:lang w:val="en-US"/>
        </w:rPr>
        <w:t xml:space="preserve"> Sri Lanka under </w:t>
      </w:r>
      <w:r w:rsidR="009C0DFD" w:rsidRPr="00813D19">
        <w:rPr>
          <w:lang w:val="en-US"/>
        </w:rPr>
        <w:t>paragraph</w:t>
      </w:r>
      <w:r w:rsidR="004B3AFC">
        <w:rPr>
          <w:lang w:val="en-US"/>
        </w:rPr>
        <w:t>s</w:t>
      </w:r>
      <w:r w:rsidR="009C0DFD" w:rsidRPr="00813D19">
        <w:rPr>
          <w:lang w:val="en-US"/>
        </w:rPr>
        <w:t xml:space="preserve"> </w:t>
      </w:r>
      <w:r w:rsidRPr="00813D19">
        <w:rPr>
          <w:lang w:val="en-US"/>
        </w:rPr>
        <w:t xml:space="preserve">15, </w:t>
      </w:r>
      <w:r w:rsidR="009C0DFD" w:rsidRPr="00813D19">
        <w:rPr>
          <w:lang w:val="en-US"/>
        </w:rPr>
        <w:t>16,</w:t>
      </w:r>
      <w:r w:rsidRPr="00813D19">
        <w:rPr>
          <w:lang w:val="en-US"/>
        </w:rPr>
        <w:t xml:space="preserve"> </w:t>
      </w:r>
      <w:r w:rsidR="009C0DFD" w:rsidRPr="00813D19">
        <w:rPr>
          <w:lang w:val="en-US"/>
        </w:rPr>
        <w:t xml:space="preserve">17 and </w:t>
      </w:r>
      <w:r w:rsidRPr="00813D19">
        <w:rPr>
          <w:lang w:val="en-US"/>
        </w:rPr>
        <w:t>18</w:t>
      </w:r>
      <w:r w:rsidR="004B3AFC">
        <w:rPr>
          <w:lang w:val="en-US"/>
        </w:rPr>
        <w:t>;</w:t>
      </w:r>
      <w:r w:rsidRPr="00813D19">
        <w:rPr>
          <w:lang w:val="en-US"/>
        </w:rPr>
        <w:t xml:space="preserve"> and two new paragraphs from Japan </w:t>
      </w:r>
      <w:r w:rsidR="009C0DFD" w:rsidRPr="00813D19">
        <w:rPr>
          <w:lang w:val="en-US"/>
        </w:rPr>
        <w:t xml:space="preserve">in paragraphs </w:t>
      </w:r>
      <w:r w:rsidR="00DD4E22">
        <w:rPr>
          <w:lang w:val="en-US"/>
        </w:rPr>
        <w:t>18 and 19.</w:t>
      </w:r>
    </w:p>
    <w:p w14:paraId="1BCDBB24" w14:textId="5C5BC0E4" w:rsidR="008C5B06" w:rsidRPr="00813D19" w:rsidRDefault="004D238B" w:rsidP="009C0DFD">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 xml:space="preserve">delegation of Palestine </w:t>
      </w:r>
      <w:r w:rsidRPr="00813D19">
        <w:rPr>
          <w:color w:val="000000" w:themeColor="text1"/>
          <w:lang w:val="en-US"/>
        </w:rPr>
        <w:t xml:space="preserve">wished to </w:t>
      </w:r>
      <w:r w:rsidR="00E8046B" w:rsidRPr="00813D19">
        <w:rPr>
          <w:color w:val="000000" w:themeColor="text1"/>
          <w:lang w:val="en-US"/>
        </w:rPr>
        <w:t xml:space="preserve">proceed </w:t>
      </w:r>
      <w:r w:rsidRPr="00813D19">
        <w:rPr>
          <w:color w:val="000000" w:themeColor="text1"/>
          <w:lang w:val="en-US"/>
        </w:rPr>
        <w:t>on a paragraph-by-paragraph basis</w:t>
      </w:r>
      <w:r w:rsidR="00DD4E22">
        <w:rPr>
          <w:color w:val="000000" w:themeColor="text1"/>
          <w:lang w:val="en-US"/>
        </w:rPr>
        <w:t>.</w:t>
      </w:r>
    </w:p>
    <w:p w14:paraId="30892854" w14:textId="37397C42" w:rsidR="009C0DFD" w:rsidRPr="00813D19" w:rsidRDefault="003003F0"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9C0DFD" w:rsidRPr="00813D19">
        <w:rPr>
          <w:color w:val="000000" w:themeColor="text1"/>
          <w:lang w:val="en-US"/>
        </w:rPr>
        <w:t xml:space="preserve">remarked on the </w:t>
      </w:r>
      <w:r w:rsidR="009C0DFD" w:rsidRPr="00813D19">
        <w:rPr>
          <w:lang w:val="en-US"/>
        </w:rPr>
        <w:t xml:space="preserve">many proposals for amendment, and turned to </w:t>
      </w:r>
      <w:r w:rsidR="009C0DFD" w:rsidRPr="00813D19">
        <w:rPr>
          <w:color w:val="000000" w:themeColor="text1"/>
          <w:lang w:val="en-US"/>
        </w:rPr>
        <w:t>the draft decision on a paragraph-by-paragraph basis.</w:t>
      </w:r>
      <w:r w:rsidR="009C0DFD" w:rsidRPr="00813D19">
        <w:rPr>
          <w:lang w:val="en-US"/>
        </w:rPr>
        <w:t xml:space="preserve"> Paragraph 1 was duly adopted. Paragraph 2 had a slight technical correction, which was duly adopted. Paragraphs 3–10 were also duly adopted. Azerbaijan</w:t>
      </w:r>
      <w:r w:rsidR="0023418D" w:rsidRPr="00813D19">
        <w:rPr>
          <w:lang w:val="en-US"/>
        </w:rPr>
        <w:t xml:space="preserve"> </w:t>
      </w:r>
      <w:r w:rsidR="00E8046B" w:rsidRPr="00813D19">
        <w:rPr>
          <w:lang w:val="en-US"/>
        </w:rPr>
        <w:t>proposed a new paragraph 11 [recalling</w:t>
      </w:r>
      <w:r w:rsidR="0023418D" w:rsidRPr="00813D19">
        <w:rPr>
          <w:lang w:val="en-US"/>
        </w:rPr>
        <w:t xml:space="preserve"> the importance of distinguishing between safeguarding plans and measures], which was duly adopted. P</w:t>
      </w:r>
      <w:r w:rsidR="009C0DFD" w:rsidRPr="00813D19">
        <w:rPr>
          <w:lang w:val="en-US"/>
        </w:rPr>
        <w:t xml:space="preserve">aragraph 12 </w:t>
      </w:r>
      <w:r w:rsidR="00E8046B" w:rsidRPr="00813D19">
        <w:rPr>
          <w:lang w:val="en-US"/>
        </w:rPr>
        <w:t>[previously paragraph 11</w:t>
      </w:r>
      <w:r w:rsidR="0023418D" w:rsidRPr="00813D19">
        <w:rPr>
          <w:lang w:val="en-US"/>
        </w:rPr>
        <w:t xml:space="preserve">] had an </w:t>
      </w:r>
      <w:r w:rsidR="009C0DFD" w:rsidRPr="00813D19">
        <w:rPr>
          <w:lang w:val="en-US"/>
        </w:rPr>
        <w:t>amendment at the end</w:t>
      </w:r>
      <w:r w:rsidR="0023418D" w:rsidRPr="00813D19">
        <w:rPr>
          <w:lang w:val="en-US"/>
        </w:rPr>
        <w:t xml:space="preserve"> of the sentence</w:t>
      </w:r>
      <w:r w:rsidR="00DD4E22">
        <w:rPr>
          <w:lang w:val="en-US"/>
        </w:rPr>
        <w:t>.</w:t>
      </w:r>
    </w:p>
    <w:p w14:paraId="27AB27C1" w14:textId="5937B91F" w:rsidR="00E41AF0" w:rsidRPr="00813D19" w:rsidRDefault="001F29B7"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004D238B" w:rsidRPr="00813D19">
        <w:rPr>
          <w:b/>
          <w:color w:val="000000" w:themeColor="text1"/>
          <w:lang w:val="en-US"/>
        </w:rPr>
        <w:t xml:space="preserve"> </w:t>
      </w:r>
      <w:r w:rsidR="0023418D" w:rsidRPr="00813D19">
        <w:rPr>
          <w:color w:val="000000" w:themeColor="text1"/>
          <w:lang w:val="en-US"/>
        </w:rPr>
        <w:t xml:space="preserve">explained that </w:t>
      </w:r>
      <w:r w:rsidR="0023418D" w:rsidRPr="00813D19">
        <w:rPr>
          <w:lang w:val="en-US"/>
        </w:rPr>
        <w:t>this particular amendment posed</w:t>
      </w:r>
      <w:r w:rsidR="004D238B" w:rsidRPr="00813D19">
        <w:rPr>
          <w:lang w:val="en-US"/>
        </w:rPr>
        <w:t xml:space="preserve"> a problem because it </w:t>
      </w:r>
      <w:r w:rsidR="0023418D" w:rsidRPr="00813D19">
        <w:rPr>
          <w:lang w:val="en-US"/>
        </w:rPr>
        <w:t>asked</w:t>
      </w:r>
      <w:r w:rsidR="004D238B" w:rsidRPr="00813D19">
        <w:rPr>
          <w:lang w:val="en-US"/>
        </w:rPr>
        <w:t xml:space="preserve"> for </w:t>
      </w:r>
      <w:r w:rsidR="0023418D" w:rsidRPr="00813D19">
        <w:rPr>
          <w:lang w:val="en-US"/>
        </w:rPr>
        <w:t xml:space="preserve">a </w:t>
      </w:r>
      <w:r w:rsidR="004D238B" w:rsidRPr="00813D19">
        <w:rPr>
          <w:lang w:val="en-US"/>
        </w:rPr>
        <w:t xml:space="preserve">description on how individuals </w:t>
      </w:r>
      <w:r w:rsidR="0023418D" w:rsidRPr="00813D19">
        <w:rPr>
          <w:lang w:val="en-US"/>
        </w:rPr>
        <w:t xml:space="preserve">were </w:t>
      </w:r>
      <w:r w:rsidR="004D238B" w:rsidRPr="00813D19">
        <w:rPr>
          <w:lang w:val="en-US"/>
        </w:rPr>
        <w:t xml:space="preserve">chosen to represent communities to </w:t>
      </w:r>
      <w:r w:rsidR="00E8046B" w:rsidRPr="00813D19">
        <w:rPr>
          <w:lang w:val="en-US"/>
        </w:rPr>
        <w:t xml:space="preserve">be able to </w:t>
      </w:r>
      <w:r w:rsidR="004D238B" w:rsidRPr="00813D19">
        <w:rPr>
          <w:lang w:val="en-US"/>
        </w:rPr>
        <w:t xml:space="preserve">give free, prior and informed consent on their behalf. </w:t>
      </w:r>
      <w:r w:rsidR="00E8046B" w:rsidRPr="00813D19">
        <w:rPr>
          <w:lang w:val="en-US"/>
        </w:rPr>
        <w:t>The Secretary explained that t</w:t>
      </w:r>
      <w:r w:rsidR="004D238B" w:rsidRPr="00813D19">
        <w:rPr>
          <w:lang w:val="en-US"/>
        </w:rPr>
        <w:t xml:space="preserve">here </w:t>
      </w:r>
      <w:r w:rsidR="00E8046B" w:rsidRPr="00813D19">
        <w:rPr>
          <w:lang w:val="en-US"/>
        </w:rPr>
        <w:t xml:space="preserve">were </w:t>
      </w:r>
      <w:r w:rsidR="004D238B" w:rsidRPr="00813D19">
        <w:rPr>
          <w:lang w:val="en-US"/>
        </w:rPr>
        <w:t>no clear directives on which individ</w:t>
      </w:r>
      <w:r w:rsidR="0023418D" w:rsidRPr="00813D19">
        <w:rPr>
          <w:lang w:val="en-US"/>
        </w:rPr>
        <w:t xml:space="preserve">uals </w:t>
      </w:r>
      <w:r w:rsidR="004B3AFC" w:rsidRPr="00813D19">
        <w:rPr>
          <w:lang w:val="en-US"/>
        </w:rPr>
        <w:t>c</w:t>
      </w:r>
      <w:r w:rsidR="004B3AFC">
        <w:rPr>
          <w:lang w:val="en-US"/>
        </w:rPr>
        <w:t>ould</w:t>
      </w:r>
      <w:r w:rsidR="004B3AFC" w:rsidRPr="00813D19">
        <w:rPr>
          <w:lang w:val="en-US"/>
        </w:rPr>
        <w:t xml:space="preserve"> </w:t>
      </w:r>
      <w:r w:rsidR="0023418D" w:rsidRPr="00813D19">
        <w:rPr>
          <w:lang w:val="en-US"/>
        </w:rPr>
        <w:t xml:space="preserve">represent communities, and there </w:t>
      </w:r>
      <w:r w:rsidR="004D238B" w:rsidRPr="00813D19">
        <w:rPr>
          <w:lang w:val="en-US"/>
        </w:rPr>
        <w:t xml:space="preserve">are many different forms of communities in different parts of the world. Some are represented by individuals, </w:t>
      </w:r>
      <w:r w:rsidR="00813D19" w:rsidRPr="00813D19">
        <w:rPr>
          <w:lang w:val="en-US"/>
        </w:rPr>
        <w:t>others</w:t>
      </w:r>
      <w:r w:rsidR="0023418D" w:rsidRPr="00813D19">
        <w:rPr>
          <w:lang w:val="en-US"/>
        </w:rPr>
        <w:t xml:space="preserve"> </w:t>
      </w:r>
      <w:r w:rsidR="004D238B" w:rsidRPr="00813D19">
        <w:rPr>
          <w:lang w:val="en-US"/>
        </w:rPr>
        <w:t xml:space="preserve">by groups of individuals, and some have different </w:t>
      </w:r>
      <w:r w:rsidR="0023418D" w:rsidRPr="00813D19">
        <w:rPr>
          <w:lang w:val="en-US"/>
        </w:rPr>
        <w:t>forms of representation</w:t>
      </w:r>
      <w:r w:rsidR="004D238B" w:rsidRPr="00813D19">
        <w:rPr>
          <w:lang w:val="en-US"/>
        </w:rPr>
        <w:t xml:space="preserve">. </w:t>
      </w:r>
      <w:r w:rsidR="0023418D" w:rsidRPr="00813D19">
        <w:rPr>
          <w:lang w:val="en-US"/>
        </w:rPr>
        <w:t xml:space="preserve">The Secretary </w:t>
      </w:r>
      <w:r w:rsidR="004D238B" w:rsidRPr="00813D19">
        <w:rPr>
          <w:lang w:val="en-US"/>
        </w:rPr>
        <w:t>believe</w:t>
      </w:r>
      <w:r w:rsidR="0023418D" w:rsidRPr="00813D19">
        <w:rPr>
          <w:lang w:val="en-US"/>
        </w:rPr>
        <w:t>d</w:t>
      </w:r>
      <w:r w:rsidR="004D238B" w:rsidRPr="00813D19">
        <w:rPr>
          <w:lang w:val="en-US"/>
        </w:rPr>
        <w:t xml:space="preserve"> this requested amendment </w:t>
      </w:r>
      <w:r w:rsidR="0023418D" w:rsidRPr="00813D19">
        <w:rPr>
          <w:lang w:val="en-US"/>
        </w:rPr>
        <w:t xml:space="preserve">would </w:t>
      </w:r>
      <w:r w:rsidR="004D238B" w:rsidRPr="00813D19">
        <w:rPr>
          <w:lang w:val="en-US"/>
        </w:rPr>
        <w:t xml:space="preserve">put </w:t>
      </w:r>
      <w:r w:rsidR="0023418D" w:rsidRPr="00813D19">
        <w:rPr>
          <w:lang w:val="en-US"/>
        </w:rPr>
        <w:t xml:space="preserve">the Secretariat </w:t>
      </w:r>
      <w:r w:rsidR="004D238B" w:rsidRPr="00813D19">
        <w:rPr>
          <w:lang w:val="en-US"/>
        </w:rPr>
        <w:t xml:space="preserve">in a bind </w:t>
      </w:r>
      <w:r w:rsidR="0023418D" w:rsidRPr="00813D19">
        <w:rPr>
          <w:lang w:val="en-US"/>
        </w:rPr>
        <w:t xml:space="preserve">as it would </w:t>
      </w:r>
      <w:r w:rsidR="004D238B" w:rsidRPr="00813D19">
        <w:rPr>
          <w:lang w:val="en-US"/>
        </w:rPr>
        <w:t xml:space="preserve">not be able to implement </w:t>
      </w:r>
      <w:r w:rsidR="00E8046B" w:rsidRPr="00813D19">
        <w:rPr>
          <w:lang w:val="en-US"/>
        </w:rPr>
        <w:t xml:space="preserve">it given that there </w:t>
      </w:r>
      <w:r w:rsidR="0023418D" w:rsidRPr="00813D19">
        <w:rPr>
          <w:lang w:val="en-US"/>
        </w:rPr>
        <w:t xml:space="preserve">was </w:t>
      </w:r>
      <w:r w:rsidR="004D238B" w:rsidRPr="00813D19">
        <w:rPr>
          <w:lang w:val="en-US"/>
        </w:rPr>
        <w:t xml:space="preserve">no clear definition in any directives </w:t>
      </w:r>
      <w:r w:rsidR="00E8046B" w:rsidRPr="00813D19">
        <w:rPr>
          <w:lang w:val="en-US"/>
        </w:rPr>
        <w:t xml:space="preserve">in this matter. Moreover, </w:t>
      </w:r>
      <w:r w:rsidR="0023418D" w:rsidRPr="00813D19">
        <w:rPr>
          <w:lang w:val="en-US"/>
        </w:rPr>
        <w:t xml:space="preserve">it </w:t>
      </w:r>
      <w:r w:rsidR="004B3AFC">
        <w:rPr>
          <w:lang w:val="en-US"/>
        </w:rPr>
        <w:t>was</w:t>
      </w:r>
      <w:r w:rsidR="004B3AFC" w:rsidRPr="00813D19">
        <w:rPr>
          <w:lang w:val="en-US"/>
        </w:rPr>
        <w:t xml:space="preserve"> </w:t>
      </w:r>
      <w:r w:rsidR="004D238B" w:rsidRPr="00813D19">
        <w:rPr>
          <w:lang w:val="en-US"/>
        </w:rPr>
        <w:t>for the communities to decide how the</w:t>
      </w:r>
      <w:r w:rsidR="0023418D" w:rsidRPr="00813D19">
        <w:rPr>
          <w:lang w:val="en-US"/>
        </w:rPr>
        <w:t>y wish</w:t>
      </w:r>
      <w:r w:rsidR="004B3AFC">
        <w:rPr>
          <w:lang w:val="en-US"/>
        </w:rPr>
        <w:t>ed</w:t>
      </w:r>
      <w:r w:rsidR="0023418D" w:rsidRPr="00813D19">
        <w:rPr>
          <w:lang w:val="en-US"/>
        </w:rPr>
        <w:t xml:space="preserve"> to represent themselves.</w:t>
      </w:r>
    </w:p>
    <w:p w14:paraId="19404265" w14:textId="086818C4" w:rsidR="00E41AF0" w:rsidRPr="00813D19" w:rsidRDefault="00E41AF0" w:rsidP="003003F0">
      <w:pPr>
        <w:pStyle w:val="Orateurengris"/>
        <w:spacing w:before="120"/>
        <w:ind w:left="709" w:hanging="709"/>
        <w:rPr>
          <w:color w:val="000000" w:themeColor="text1"/>
          <w:lang w:val="en-US"/>
        </w:rPr>
      </w:pPr>
      <w:r w:rsidRPr="00813D19">
        <w:rPr>
          <w:color w:val="000000" w:themeColor="text1"/>
          <w:lang w:val="en-US"/>
        </w:rPr>
        <w:t>Following the explanation, the</w:t>
      </w:r>
      <w:r w:rsidRPr="00813D19">
        <w:rPr>
          <w:b/>
          <w:color w:val="000000" w:themeColor="text1"/>
          <w:lang w:val="en-US"/>
        </w:rPr>
        <w:t xml:space="preserve"> delegation of Azerbaijan </w:t>
      </w:r>
      <w:r w:rsidRPr="00813D19">
        <w:rPr>
          <w:color w:val="000000" w:themeColor="text1"/>
          <w:lang w:val="en-US"/>
        </w:rPr>
        <w:t>withdrew its amendment in paragraph 12.</w:t>
      </w:r>
    </w:p>
    <w:p w14:paraId="1163A4DD" w14:textId="092C4C0B" w:rsidR="00E41AF0" w:rsidRPr="00813D19" w:rsidRDefault="00E41AF0"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A7052C" w:rsidRPr="00813D19">
        <w:rPr>
          <w:color w:val="000000" w:themeColor="text1"/>
          <w:lang w:val="en-US"/>
        </w:rPr>
        <w:t>thank</w:t>
      </w:r>
      <w:r w:rsidR="00E8046B" w:rsidRPr="00813D19">
        <w:rPr>
          <w:color w:val="000000" w:themeColor="text1"/>
          <w:lang w:val="en-US"/>
        </w:rPr>
        <w:t>ed Azerbai</w:t>
      </w:r>
      <w:r w:rsidR="00A7052C" w:rsidRPr="00813D19">
        <w:rPr>
          <w:color w:val="000000" w:themeColor="text1"/>
          <w:lang w:val="en-US"/>
        </w:rPr>
        <w:t xml:space="preserve">jan and </w:t>
      </w:r>
      <w:r w:rsidR="0023418D" w:rsidRPr="00813D19">
        <w:rPr>
          <w:color w:val="000000" w:themeColor="text1"/>
          <w:lang w:val="en-US"/>
        </w:rPr>
        <w:t xml:space="preserve">the original </w:t>
      </w:r>
      <w:r w:rsidR="00A7052C" w:rsidRPr="00813D19">
        <w:rPr>
          <w:color w:val="000000" w:themeColor="text1"/>
          <w:lang w:val="en-US"/>
        </w:rPr>
        <w:t>paragraph 12 was duly adopted.</w:t>
      </w:r>
      <w:r w:rsidRPr="00813D19">
        <w:rPr>
          <w:color w:val="000000" w:themeColor="text1"/>
          <w:lang w:val="en-US"/>
        </w:rPr>
        <w:t xml:space="preserve"> A new paragraph 13 was proposed by </w:t>
      </w:r>
      <w:r w:rsidR="00CF4080" w:rsidRPr="00813D19">
        <w:rPr>
          <w:color w:val="000000" w:themeColor="text1"/>
          <w:lang w:val="en-US"/>
        </w:rPr>
        <w:t>Azerbaijan</w:t>
      </w:r>
      <w:r w:rsidR="00134169" w:rsidRPr="00813D19">
        <w:rPr>
          <w:color w:val="000000" w:themeColor="text1"/>
          <w:lang w:val="en-US"/>
        </w:rPr>
        <w:t xml:space="preserve"> [concerning inventory extracts]</w:t>
      </w:r>
      <w:r w:rsidR="00CF4080" w:rsidRPr="00813D19">
        <w:rPr>
          <w:color w:val="000000" w:themeColor="text1"/>
          <w:lang w:val="en-US"/>
        </w:rPr>
        <w:t>.</w:t>
      </w:r>
    </w:p>
    <w:p w14:paraId="613A780C" w14:textId="51474FB8" w:rsidR="006F1DB6" w:rsidRPr="00813D19" w:rsidRDefault="00E41AF0"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Armenia</w:t>
      </w:r>
      <w:r w:rsidR="00CF4080" w:rsidRPr="00813D19">
        <w:rPr>
          <w:b/>
          <w:color w:val="000000" w:themeColor="text1"/>
          <w:lang w:val="en-US"/>
        </w:rPr>
        <w:t xml:space="preserve"> </w:t>
      </w:r>
      <w:r w:rsidR="00751372" w:rsidRPr="00813D19">
        <w:rPr>
          <w:color w:val="000000" w:themeColor="text1"/>
          <w:lang w:val="en-US"/>
        </w:rPr>
        <w:t xml:space="preserve">asked for time as it was </w:t>
      </w:r>
      <w:r w:rsidR="00E8046B" w:rsidRPr="00813D19">
        <w:rPr>
          <w:color w:val="000000" w:themeColor="text1"/>
          <w:lang w:val="en-US"/>
        </w:rPr>
        <w:t xml:space="preserve">first time it had seen the </w:t>
      </w:r>
      <w:r w:rsidR="00751372" w:rsidRPr="00813D19">
        <w:rPr>
          <w:color w:val="000000" w:themeColor="text1"/>
          <w:lang w:val="en-US"/>
        </w:rPr>
        <w:t>amendment.</w:t>
      </w:r>
    </w:p>
    <w:p w14:paraId="7993D0FB" w14:textId="0039C3A6" w:rsidR="00CF4080" w:rsidRPr="00813D19" w:rsidRDefault="00CF4080"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Secretary</w:t>
      </w:r>
      <w:r w:rsidRPr="00813D19">
        <w:rPr>
          <w:lang w:val="en-US"/>
        </w:rPr>
        <w:t xml:space="preserve"> </w:t>
      </w:r>
      <w:r w:rsidR="006772BA" w:rsidRPr="00813D19">
        <w:rPr>
          <w:lang w:val="en-US"/>
        </w:rPr>
        <w:t xml:space="preserve">explained that this was the same wording as in </w:t>
      </w:r>
      <w:r w:rsidR="00D70CA6" w:rsidRPr="00813D19">
        <w:rPr>
          <w:lang w:val="en-US"/>
        </w:rPr>
        <w:t xml:space="preserve">Decision </w:t>
      </w:r>
      <w:hyperlink r:id="rId158" w:history="1">
        <w:r w:rsidR="006772BA" w:rsidRPr="00813D19">
          <w:rPr>
            <w:rStyle w:val="Hyperlink"/>
            <w:lang w:val="en-US"/>
          </w:rPr>
          <w:t>10.COM</w:t>
        </w:r>
        <w:r w:rsidR="005B1006" w:rsidRPr="00813D19">
          <w:rPr>
            <w:rStyle w:val="Hyperlink"/>
            <w:lang w:val="en-US"/>
          </w:rPr>
          <w:t xml:space="preserve"> 10</w:t>
        </w:r>
      </w:hyperlink>
      <w:r w:rsidR="006772BA" w:rsidRPr="00813D19">
        <w:rPr>
          <w:lang w:val="en-US"/>
        </w:rPr>
        <w:t xml:space="preserve">, a </w:t>
      </w:r>
      <w:r w:rsidRPr="00813D19">
        <w:rPr>
          <w:lang w:val="en-US"/>
        </w:rPr>
        <w:t>decision already adopted by the</w:t>
      </w:r>
      <w:r w:rsidR="006772BA" w:rsidRPr="00813D19">
        <w:rPr>
          <w:lang w:val="en-US"/>
        </w:rPr>
        <w:t xml:space="preserve"> Committee at its tenth session, and was </w:t>
      </w:r>
      <w:r w:rsidR="00E8046B" w:rsidRPr="00813D19">
        <w:rPr>
          <w:lang w:val="en-US"/>
        </w:rPr>
        <w:t xml:space="preserve">thus </w:t>
      </w:r>
      <w:r w:rsidR="00813D19" w:rsidRPr="00813D19">
        <w:rPr>
          <w:lang w:val="en-US"/>
        </w:rPr>
        <w:t>a</w:t>
      </w:r>
      <w:r w:rsidR="006772BA" w:rsidRPr="00813D19">
        <w:rPr>
          <w:lang w:val="en-US"/>
        </w:rPr>
        <w:t xml:space="preserve"> reiteration</w:t>
      </w:r>
      <w:r w:rsidRPr="00813D19">
        <w:rPr>
          <w:lang w:val="en-US"/>
        </w:rPr>
        <w:t xml:space="preserve">. The Secretariat </w:t>
      </w:r>
      <w:r w:rsidR="006772BA" w:rsidRPr="00813D19">
        <w:rPr>
          <w:lang w:val="en-US"/>
        </w:rPr>
        <w:t xml:space="preserve">did not see a </w:t>
      </w:r>
      <w:r w:rsidRPr="00813D19">
        <w:rPr>
          <w:lang w:val="en-US"/>
        </w:rPr>
        <w:t xml:space="preserve">need </w:t>
      </w:r>
      <w:r w:rsidR="006772BA" w:rsidRPr="00813D19">
        <w:rPr>
          <w:lang w:val="en-US"/>
        </w:rPr>
        <w:t xml:space="preserve">for </w:t>
      </w:r>
      <w:r w:rsidR="00134169" w:rsidRPr="00813D19">
        <w:rPr>
          <w:lang w:val="en-US"/>
        </w:rPr>
        <w:t xml:space="preserve">this </w:t>
      </w:r>
      <w:r w:rsidR="006772BA" w:rsidRPr="00813D19">
        <w:rPr>
          <w:lang w:val="en-US"/>
        </w:rPr>
        <w:t xml:space="preserve">paragraph, </w:t>
      </w:r>
      <w:r w:rsidRPr="00813D19">
        <w:rPr>
          <w:lang w:val="en-US"/>
        </w:rPr>
        <w:t xml:space="preserve">but </w:t>
      </w:r>
      <w:r w:rsidR="006772BA" w:rsidRPr="00813D19">
        <w:rPr>
          <w:lang w:val="en-US"/>
        </w:rPr>
        <w:t xml:space="preserve">neither did it </w:t>
      </w:r>
      <w:r w:rsidRPr="00813D19">
        <w:rPr>
          <w:lang w:val="en-US"/>
        </w:rPr>
        <w:t>cha</w:t>
      </w:r>
      <w:r w:rsidR="00DD4E22">
        <w:rPr>
          <w:lang w:val="en-US"/>
        </w:rPr>
        <w:t>nge the status relating to R.5.</w:t>
      </w:r>
    </w:p>
    <w:p w14:paraId="7BAC2594" w14:textId="312AD67D" w:rsidR="00CF4080" w:rsidRPr="00813D19" w:rsidRDefault="00CF4080"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Palestine</w:t>
      </w:r>
      <w:r w:rsidRPr="00813D19">
        <w:rPr>
          <w:lang w:val="en-US"/>
        </w:rPr>
        <w:t xml:space="preserve"> </w:t>
      </w:r>
      <w:r w:rsidR="008F18E5" w:rsidRPr="00813D19">
        <w:rPr>
          <w:lang w:val="en-US"/>
        </w:rPr>
        <w:t>noted a linguistic error in ‘r</w:t>
      </w:r>
      <w:r w:rsidRPr="00813D19">
        <w:rPr>
          <w:lang w:val="en-US"/>
        </w:rPr>
        <w:t>efers its decision</w:t>
      </w:r>
      <w:r w:rsidR="008F18E5" w:rsidRPr="00813D19">
        <w:rPr>
          <w:lang w:val="en-US"/>
        </w:rPr>
        <w:t>’, which should ‘refer</w:t>
      </w:r>
      <w:r w:rsidRPr="00813D19">
        <w:rPr>
          <w:lang w:val="en-US"/>
        </w:rPr>
        <w:t xml:space="preserve"> to a decision</w:t>
      </w:r>
      <w:r w:rsidR="008F18E5" w:rsidRPr="00813D19">
        <w:rPr>
          <w:lang w:val="en-US"/>
        </w:rPr>
        <w:t>’, as it could be confused with ‘referring</w:t>
      </w:r>
      <w:r w:rsidRPr="00813D19">
        <w:rPr>
          <w:lang w:val="en-US"/>
        </w:rPr>
        <w:t xml:space="preserve"> the decision</w:t>
      </w:r>
      <w:r w:rsidR="008F18E5" w:rsidRPr="00813D19">
        <w:rPr>
          <w:lang w:val="en-US"/>
        </w:rPr>
        <w:t>’, implying a rejection.</w:t>
      </w:r>
    </w:p>
    <w:p w14:paraId="3DBCBEEF" w14:textId="40F4371C" w:rsidR="00782CED" w:rsidRPr="00813D19" w:rsidRDefault="00782CED"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Armenia</w:t>
      </w:r>
      <w:r w:rsidR="00CF4080" w:rsidRPr="00813D19">
        <w:rPr>
          <w:b/>
          <w:color w:val="000000" w:themeColor="text1"/>
          <w:lang w:val="en-US"/>
        </w:rPr>
        <w:t xml:space="preserve"> </w:t>
      </w:r>
      <w:r w:rsidR="00CF4080" w:rsidRPr="00813D19">
        <w:rPr>
          <w:lang w:val="en-US"/>
        </w:rPr>
        <w:t>ask</w:t>
      </w:r>
      <w:r w:rsidR="008F18E5" w:rsidRPr="00813D19">
        <w:rPr>
          <w:lang w:val="en-US"/>
        </w:rPr>
        <w:t>ed</w:t>
      </w:r>
      <w:r w:rsidR="00CF4080" w:rsidRPr="00813D19">
        <w:rPr>
          <w:lang w:val="en-US"/>
        </w:rPr>
        <w:t xml:space="preserve"> </w:t>
      </w:r>
      <w:r w:rsidR="008F18E5" w:rsidRPr="00813D19">
        <w:rPr>
          <w:lang w:val="en-US"/>
        </w:rPr>
        <w:t xml:space="preserve">Azerbaijan for </w:t>
      </w:r>
      <w:r w:rsidR="00CF4080" w:rsidRPr="00813D19">
        <w:rPr>
          <w:lang w:val="en-US"/>
        </w:rPr>
        <w:t xml:space="preserve">the rationale </w:t>
      </w:r>
      <w:r w:rsidR="008F18E5" w:rsidRPr="00813D19">
        <w:rPr>
          <w:lang w:val="en-US"/>
        </w:rPr>
        <w:t xml:space="preserve">behind this paragraph and what </w:t>
      </w:r>
      <w:r w:rsidR="00134169" w:rsidRPr="00813D19">
        <w:rPr>
          <w:lang w:val="en-US"/>
        </w:rPr>
        <w:t>was</w:t>
      </w:r>
      <w:r w:rsidR="008F18E5" w:rsidRPr="00813D19">
        <w:rPr>
          <w:lang w:val="en-US"/>
        </w:rPr>
        <w:t xml:space="preserve"> implied </w:t>
      </w:r>
      <w:r w:rsidR="004B3AFC">
        <w:rPr>
          <w:lang w:val="en-US"/>
        </w:rPr>
        <w:t>by</w:t>
      </w:r>
      <w:r w:rsidR="004B3AFC" w:rsidRPr="00813D19">
        <w:rPr>
          <w:lang w:val="en-US"/>
        </w:rPr>
        <w:t xml:space="preserve"> </w:t>
      </w:r>
      <w:r w:rsidR="008F18E5" w:rsidRPr="00813D19">
        <w:rPr>
          <w:lang w:val="en-US"/>
        </w:rPr>
        <w:t>‘</w:t>
      </w:r>
      <w:r w:rsidR="00CF4080" w:rsidRPr="00813D19">
        <w:rPr>
          <w:lang w:val="en-US"/>
        </w:rPr>
        <w:t>complementary to the information included in the nomination file</w:t>
      </w:r>
      <w:r w:rsidR="00DD4E22">
        <w:rPr>
          <w:lang w:val="en-US"/>
        </w:rPr>
        <w:t>’.</w:t>
      </w:r>
    </w:p>
    <w:p w14:paraId="03214515" w14:textId="1D731B28" w:rsidR="00CF4080" w:rsidRPr="00813D19" w:rsidRDefault="00CF4080"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Azerbaijan</w:t>
      </w:r>
      <w:r w:rsidRPr="00813D19">
        <w:rPr>
          <w:lang w:val="en-US"/>
        </w:rPr>
        <w:t xml:space="preserve"> </w:t>
      </w:r>
      <w:r w:rsidR="008F18E5" w:rsidRPr="00813D19">
        <w:rPr>
          <w:lang w:val="en-US"/>
        </w:rPr>
        <w:t xml:space="preserve">added that </w:t>
      </w:r>
      <w:r w:rsidRPr="00813D19">
        <w:rPr>
          <w:lang w:val="en-US"/>
        </w:rPr>
        <w:t xml:space="preserve">this amendment </w:t>
      </w:r>
      <w:r w:rsidR="008F18E5" w:rsidRPr="00813D19">
        <w:rPr>
          <w:lang w:val="en-US"/>
        </w:rPr>
        <w:t xml:space="preserve">was </w:t>
      </w:r>
      <w:r w:rsidRPr="00813D19">
        <w:rPr>
          <w:lang w:val="en-US"/>
        </w:rPr>
        <w:t>based on the report of the Evaluation Body</w:t>
      </w:r>
      <w:r w:rsidR="00134169" w:rsidRPr="00813D19">
        <w:rPr>
          <w:lang w:val="en-US"/>
        </w:rPr>
        <w:t xml:space="preserve">, adding that it </w:t>
      </w:r>
      <w:r w:rsidR="008F18E5" w:rsidRPr="00813D19">
        <w:rPr>
          <w:lang w:val="en-US"/>
        </w:rPr>
        <w:t>wished to keep the</w:t>
      </w:r>
      <w:r w:rsidR="00134169" w:rsidRPr="00813D19">
        <w:rPr>
          <w:lang w:val="en-US"/>
        </w:rPr>
        <w:t xml:space="preserve"> amendment</w:t>
      </w:r>
      <w:r w:rsidR="008F18E5" w:rsidRPr="00813D19">
        <w:rPr>
          <w:lang w:val="en-US"/>
        </w:rPr>
        <w:t xml:space="preserve">, though </w:t>
      </w:r>
      <w:r w:rsidR="00134169" w:rsidRPr="00813D19">
        <w:rPr>
          <w:lang w:val="en-US"/>
        </w:rPr>
        <w:t xml:space="preserve">it </w:t>
      </w:r>
      <w:r w:rsidR="008F18E5" w:rsidRPr="00813D19">
        <w:rPr>
          <w:lang w:val="en-US"/>
        </w:rPr>
        <w:t>was very flexible</w:t>
      </w:r>
      <w:r w:rsidR="00134169" w:rsidRPr="00813D19">
        <w:rPr>
          <w:lang w:val="en-US"/>
        </w:rPr>
        <w:t>.</w:t>
      </w:r>
    </w:p>
    <w:p w14:paraId="02E4F565" w14:textId="17B682E0" w:rsidR="00CF4080" w:rsidRPr="00813D19" w:rsidRDefault="00CF4080"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Armenia</w:t>
      </w:r>
      <w:r w:rsidRPr="00813D19">
        <w:rPr>
          <w:lang w:val="en-US"/>
        </w:rPr>
        <w:t xml:space="preserve"> </w:t>
      </w:r>
      <w:r w:rsidR="008F18E5" w:rsidRPr="00813D19">
        <w:rPr>
          <w:lang w:val="en-US"/>
        </w:rPr>
        <w:t xml:space="preserve">remarked that the Secretary did not see the need </w:t>
      </w:r>
      <w:r w:rsidRPr="00813D19">
        <w:rPr>
          <w:lang w:val="en-US"/>
        </w:rPr>
        <w:t>to repeat this paragraph and</w:t>
      </w:r>
      <w:r w:rsidR="00134169" w:rsidRPr="00813D19">
        <w:rPr>
          <w:lang w:val="en-US"/>
        </w:rPr>
        <w:t xml:space="preserve">, noting the flexibility of </w:t>
      </w:r>
      <w:r w:rsidRPr="00813D19">
        <w:rPr>
          <w:lang w:val="en-US"/>
        </w:rPr>
        <w:t>the delegation</w:t>
      </w:r>
      <w:r w:rsidR="008F18E5" w:rsidRPr="00813D19">
        <w:rPr>
          <w:lang w:val="en-US"/>
        </w:rPr>
        <w:t xml:space="preserve">, preferred to </w:t>
      </w:r>
      <w:r w:rsidRPr="00813D19">
        <w:rPr>
          <w:lang w:val="en-US"/>
        </w:rPr>
        <w:t xml:space="preserve">omit </w:t>
      </w:r>
      <w:r w:rsidR="008F18E5" w:rsidRPr="00813D19">
        <w:rPr>
          <w:lang w:val="en-US"/>
        </w:rPr>
        <w:t>the amendment</w:t>
      </w:r>
      <w:r w:rsidR="00DD4E22">
        <w:rPr>
          <w:lang w:val="en-US"/>
        </w:rPr>
        <w:t>.</w:t>
      </w:r>
    </w:p>
    <w:p w14:paraId="5FA0B35C" w14:textId="73B44653" w:rsidR="00CF4080" w:rsidRPr="00813D19" w:rsidRDefault="00CF4080"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Azerbaijan</w:t>
      </w:r>
      <w:r w:rsidRPr="00813D19">
        <w:rPr>
          <w:lang w:val="en-US"/>
        </w:rPr>
        <w:t xml:space="preserve"> </w:t>
      </w:r>
      <w:r w:rsidR="006772BA" w:rsidRPr="00813D19">
        <w:rPr>
          <w:lang w:val="en-US"/>
        </w:rPr>
        <w:t xml:space="preserve">showed </w:t>
      </w:r>
      <w:r w:rsidR="00813D19" w:rsidRPr="00813D19">
        <w:rPr>
          <w:lang w:val="en-US"/>
        </w:rPr>
        <w:t>flexibility</w:t>
      </w:r>
      <w:r w:rsidRPr="00813D19">
        <w:rPr>
          <w:lang w:val="en-US"/>
        </w:rPr>
        <w:t xml:space="preserve"> </w:t>
      </w:r>
      <w:r w:rsidR="006772BA" w:rsidRPr="00813D19">
        <w:rPr>
          <w:lang w:val="en-US"/>
        </w:rPr>
        <w:t>and withdrew its amendment.</w:t>
      </w:r>
    </w:p>
    <w:p w14:paraId="60A6E8BD" w14:textId="6355F1FE" w:rsidR="00782CED" w:rsidRPr="00813D19" w:rsidRDefault="00782CED"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8A2621" w:rsidRPr="00813D19">
        <w:rPr>
          <w:lang w:val="en-US"/>
        </w:rPr>
        <w:t>thanked Azerbaijan</w:t>
      </w:r>
      <w:r w:rsidR="00C5011A" w:rsidRPr="00813D19">
        <w:rPr>
          <w:lang w:val="en-US"/>
        </w:rPr>
        <w:t xml:space="preserve"> for withdrawing the amendment and the paragraph was </w:t>
      </w:r>
      <w:r w:rsidR="00134169" w:rsidRPr="00813D19">
        <w:rPr>
          <w:lang w:val="en-US"/>
        </w:rPr>
        <w:t>deleted</w:t>
      </w:r>
      <w:r w:rsidR="00C5011A" w:rsidRPr="00813D19">
        <w:rPr>
          <w:lang w:val="en-US"/>
        </w:rPr>
        <w:t xml:space="preserve">. The </w:t>
      </w:r>
      <w:r w:rsidR="008A2621" w:rsidRPr="00813D19">
        <w:rPr>
          <w:lang w:val="en-US"/>
        </w:rPr>
        <w:t>paragraph</w:t>
      </w:r>
      <w:r w:rsidR="00C5011A" w:rsidRPr="00813D19">
        <w:rPr>
          <w:lang w:val="en-US"/>
        </w:rPr>
        <w:t xml:space="preserve">s were duly renumbered, and paragraph </w:t>
      </w:r>
      <w:r w:rsidR="008A2621" w:rsidRPr="00813D19">
        <w:rPr>
          <w:lang w:val="en-US"/>
        </w:rPr>
        <w:t>13</w:t>
      </w:r>
      <w:r w:rsidR="00C5011A" w:rsidRPr="00813D19">
        <w:rPr>
          <w:lang w:val="en-US"/>
        </w:rPr>
        <w:t>—with the slight amendment from ‘refer to’ to ‘further recalls’—was duly adopted. Paragraph 14</w:t>
      </w:r>
      <w:r w:rsidR="00694A49" w:rsidRPr="00813D19">
        <w:rPr>
          <w:rStyle w:val="FootnoteReference"/>
          <w:lang w:val="en-US"/>
        </w:rPr>
        <w:footnoteReference w:id="36"/>
      </w:r>
      <w:r w:rsidR="00C5011A" w:rsidRPr="00813D19">
        <w:rPr>
          <w:lang w:val="en-US"/>
        </w:rPr>
        <w:t xml:space="preserve"> had an amendment presented by the Philippines.</w:t>
      </w:r>
    </w:p>
    <w:p w14:paraId="56EE80CD" w14:textId="086B5ED9" w:rsidR="001427BC" w:rsidRPr="00813D19" w:rsidRDefault="001427BC"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Philippines</w:t>
      </w:r>
      <w:r w:rsidR="00CF4080" w:rsidRPr="00813D19">
        <w:rPr>
          <w:b/>
          <w:color w:val="000000" w:themeColor="text1"/>
          <w:lang w:val="en-US"/>
        </w:rPr>
        <w:t xml:space="preserve"> </w:t>
      </w:r>
      <w:r w:rsidR="00C5011A" w:rsidRPr="00813D19">
        <w:rPr>
          <w:color w:val="000000" w:themeColor="text1"/>
          <w:lang w:val="en-US"/>
        </w:rPr>
        <w:t xml:space="preserve">remarked that </w:t>
      </w:r>
      <w:r w:rsidR="00C5011A" w:rsidRPr="00813D19">
        <w:rPr>
          <w:lang w:val="en-US"/>
        </w:rPr>
        <w:t xml:space="preserve">this proposal was </w:t>
      </w:r>
      <w:r w:rsidR="00CF4080" w:rsidRPr="00813D19">
        <w:rPr>
          <w:lang w:val="en-US"/>
        </w:rPr>
        <w:t xml:space="preserve">supported by a number of Committee </w:t>
      </w:r>
      <w:r w:rsidR="00C5011A" w:rsidRPr="00813D19">
        <w:rPr>
          <w:lang w:val="en-US"/>
        </w:rPr>
        <w:t>Members.</w:t>
      </w:r>
      <w:r w:rsidR="00CF4080" w:rsidRPr="00813D19">
        <w:rPr>
          <w:lang w:val="en-US"/>
        </w:rPr>
        <w:t xml:space="preserve"> </w:t>
      </w:r>
      <w:r w:rsidR="00C5011A" w:rsidRPr="00813D19">
        <w:rPr>
          <w:lang w:val="en-US"/>
        </w:rPr>
        <w:t xml:space="preserve">It explained that </w:t>
      </w:r>
      <w:r w:rsidR="00CF4080" w:rsidRPr="00813D19">
        <w:rPr>
          <w:lang w:val="en-US"/>
        </w:rPr>
        <w:t xml:space="preserve">the overall theme of this session </w:t>
      </w:r>
      <w:r w:rsidR="00C5011A" w:rsidRPr="00813D19">
        <w:rPr>
          <w:lang w:val="en-US"/>
        </w:rPr>
        <w:t>had</w:t>
      </w:r>
      <w:r w:rsidR="00CF4080" w:rsidRPr="00813D19">
        <w:rPr>
          <w:lang w:val="en-US"/>
        </w:rPr>
        <w:t xml:space="preserve"> been dialogue and </w:t>
      </w:r>
      <w:r w:rsidR="00C5011A" w:rsidRPr="00813D19">
        <w:rPr>
          <w:lang w:val="en-US"/>
        </w:rPr>
        <w:t xml:space="preserve">it was </w:t>
      </w:r>
      <w:r w:rsidR="00CF4080" w:rsidRPr="00813D19">
        <w:rPr>
          <w:lang w:val="en-US"/>
        </w:rPr>
        <w:t xml:space="preserve">fitting that </w:t>
      </w:r>
      <w:r w:rsidR="00C5011A" w:rsidRPr="00813D19">
        <w:rPr>
          <w:lang w:val="en-US"/>
        </w:rPr>
        <w:t xml:space="preserve">it was </w:t>
      </w:r>
      <w:r w:rsidR="00CF4080" w:rsidRPr="00813D19">
        <w:rPr>
          <w:lang w:val="en-US"/>
        </w:rPr>
        <w:t xml:space="preserve">here in Mauritius, a model of interracial intercultural harmony. </w:t>
      </w:r>
      <w:r w:rsidR="00C5011A" w:rsidRPr="00813D19">
        <w:rPr>
          <w:lang w:val="en-US"/>
        </w:rPr>
        <w:t xml:space="preserve">It was noted from the </w:t>
      </w:r>
      <w:r w:rsidR="00813D19" w:rsidRPr="00813D19">
        <w:rPr>
          <w:lang w:val="en-US"/>
        </w:rPr>
        <w:t>earlier</w:t>
      </w:r>
      <w:r w:rsidR="00C5011A" w:rsidRPr="00813D19">
        <w:rPr>
          <w:lang w:val="en-US"/>
        </w:rPr>
        <w:t xml:space="preserve"> </w:t>
      </w:r>
      <w:r w:rsidR="00CF4080" w:rsidRPr="00813D19">
        <w:rPr>
          <w:lang w:val="en-US"/>
        </w:rPr>
        <w:t xml:space="preserve">discussion and </w:t>
      </w:r>
      <w:r w:rsidR="00134169" w:rsidRPr="00813D19">
        <w:rPr>
          <w:lang w:val="en-US"/>
        </w:rPr>
        <w:t xml:space="preserve">in the summary presented by </w:t>
      </w:r>
      <w:r w:rsidR="00C5011A" w:rsidRPr="00813D19">
        <w:rPr>
          <w:lang w:val="en-US"/>
        </w:rPr>
        <w:t xml:space="preserve">the Chairperson that </w:t>
      </w:r>
      <w:r w:rsidR="00CF4080" w:rsidRPr="00813D19">
        <w:rPr>
          <w:lang w:val="en-US"/>
        </w:rPr>
        <w:t xml:space="preserve">there </w:t>
      </w:r>
      <w:r w:rsidR="004B3AFC">
        <w:rPr>
          <w:lang w:val="en-US"/>
        </w:rPr>
        <w:t>wa</w:t>
      </w:r>
      <w:r w:rsidR="004B3AFC" w:rsidRPr="00813D19">
        <w:rPr>
          <w:lang w:val="en-US"/>
        </w:rPr>
        <w:t xml:space="preserve">s </w:t>
      </w:r>
      <w:r w:rsidR="00CF4080" w:rsidRPr="00813D19">
        <w:rPr>
          <w:lang w:val="en-US"/>
        </w:rPr>
        <w:t xml:space="preserve">a general consensus </w:t>
      </w:r>
      <w:r w:rsidR="00C5011A" w:rsidRPr="00813D19">
        <w:rPr>
          <w:lang w:val="en-US"/>
        </w:rPr>
        <w:t xml:space="preserve">for </w:t>
      </w:r>
      <w:r w:rsidR="00CF4080" w:rsidRPr="00813D19">
        <w:rPr>
          <w:lang w:val="en-US"/>
        </w:rPr>
        <w:t xml:space="preserve">dialogue as an upstream mechanism in the evaluation process. The General Assembly </w:t>
      </w:r>
      <w:r w:rsidR="00C5011A" w:rsidRPr="00813D19">
        <w:rPr>
          <w:lang w:val="en-US"/>
        </w:rPr>
        <w:t xml:space="preserve">had </w:t>
      </w:r>
      <w:r w:rsidR="00CF4080" w:rsidRPr="00813D19">
        <w:rPr>
          <w:lang w:val="en-US"/>
        </w:rPr>
        <w:t xml:space="preserve">in fact delegated to the Committee the need to develop an appropriate dialogue mechanism. This </w:t>
      </w:r>
      <w:r w:rsidR="004B3AFC">
        <w:rPr>
          <w:lang w:val="en-US"/>
        </w:rPr>
        <w:t>had been</w:t>
      </w:r>
      <w:r w:rsidR="004B3AFC" w:rsidRPr="00813D19">
        <w:rPr>
          <w:lang w:val="en-US"/>
        </w:rPr>
        <w:t xml:space="preserve"> </w:t>
      </w:r>
      <w:r w:rsidR="00CF4080" w:rsidRPr="00813D19">
        <w:rPr>
          <w:lang w:val="en-US"/>
        </w:rPr>
        <w:t>done at the last General As</w:t>
      </w:r>
      <w:r w:rsidR="00C5011A" w:rsidRPr="00813D19">
        <w:rPr>
          <w:lang w:val="en-US"/>
        </w:rPr>
        <w:t>sembly through its D</w:t>
      </w:r>
      <w:r w:rsidR="00CF4080" w:rsidRPr="00813D19">
        <w:rPr>
          <w:lang w:val="en-US"/>
        </w:rPr>
        <w:t xml:space="preserve">ecision </w:t>
      </w:r>
      <w:hyperlink r:id="rId159" w:history="1">
        <w:r w:rsidR="00CF4080" w:rsidRPr="00813D19">
          <w:rPr>
            <w:rStyle w:val="Hyperlink"/>
            <w:lang w:val="en-US"/>
          </w:rPr>
          <w:t>7.GA 6</w:t>
        </w:r>
      </w:hyperlink>
      <w:r w:rsidR="00CF4080" w:rsidRPr="00813D19">
        <w:rPr>
          <w:lang w:val="en-US"/>
        </w:rPr>
        <w:t xml:space="preserve">, paragraph 5. </w:t>
      </w:r>
      <w:r w:rsidR="00C5011A" w:rsidRPr="00813D19">
        <w:rPr>
          <w:lang w:val="en-US"/>
        </w:rPr>
        <w:t>The</w:t>
      </w:r>
      <w:r w:rsidR="00CF4080" w:rsidRPr="00813D19">
        <w:rPr>
          <w:lang w:val="en-US"/>
        </w:rPr>
        <w:t xml:space="preserve"> proposal </w:t>
      </w:r>
      <w:r w:rsidR="00C5011A" w:rsidRPr="00813D19">
        <w:rPr>
          <w:lang w:val="en-US"/>
        </w:rPr>
        <w:t xml:space="preserve">took </w:t>
      </w:r>
      <w:r w:rsidR="00CF4080" w:rsidRPr="00813D19">
        <w:rPr>
          <w:lang w:val="en-US"/>
        </w:rPr>
        <w:t>al</w:t>
      </w:r>
      <w:r w:rsidR="00C5011A" w:rsidRPr="00813D19">
        <w:rPr>
          <w:lang w:val="en-US"/>
        </w:rPr>
        <w:t xml:space="preserve">l this into account and sought </w:t>
      </w:r>
      <w:r w:rsidR="00CF4080" w:rsidRPr="00813D19">
        <w:rPr>
          <w:lang w:val="en-US"/>
        </w:rPr>
        <w:t xml:space="preserve">a pragmatic approach </w:t>
      </w:r>
      <w:r w:rsidR="00C5011A" w:rsidRPr="00813D19">
        <w:rPr>
          <w:lang w:val="en-US"/>
        </w:rPr>
        <w:t xml:space="preserve">to </w:t>
      </w:r>
      <w:r w:rsidR="00CF4080" w:rsidRPr="00813D19">
        <w:rPr>
          <w:lang w:val="en-US"/>
        </w:rPr>
        <w:t xml:space="preserve">remain compatible with the suggested two-step process discussed </w:t>
      </w:r>
      <w:r w:rsidR="00C5011A" w:rsidRPr="00813D19">
        <w:rPr>
          <w:lang w:val="en-US"/>
        </w:rPr>
        <w:t>the previous day;</w:t>
      </w:r>
      <w:r w:rsidR="00CF4080" w:rsidRPr="00813D19">
        <w:rPr>
          <w:lang w:val="en-US"/>
        </w:rPr>
        <w:t xml:space="preserve"> that the reflection procedure would look </w:t>
      </w:r>
      <w:r w:rsidR="004B3AFC" w:rsidRPr="00813D19">
        <w:rPr>
          <w:lang w:val="en-US"/>
        </w:rPr>
        <w:t xml:space="preserve">first </w:t>
      </w:r>
      <w:r w:rsidR="00CF4080" w:rsidRPr="00813D19">
        <w:rPr>
          <w:lang w:val="en-US"/>
        </w:rPr>
        <w:t>at the evaluation</w:t>
      </w:r>
      <w:r w:rsidR="00C5011A" w:rsidRPr="00813D19">
        <w:rPr>
          <w:lang w:val="en-US"/>
        </w:rPr>
        <w:t xml:space="preserve"> </w:t>
      </w:r>
      <w:r w:rsidR="004B3AFC">
        <w:rPr>
          <w:lang w:val="en-US"/>
        </w:rPr>
        <w:t xml:space="preserve">and </w:t>
      </w:r>
      <w:r w:rsidR="00C5011A" w:rsidRPr="00813D19">
        <w:rPr>
          <w:lang w:val="en-US"/>
        </w:rPr>
        <w:t>then</w:t>
      </w:r>
      <w:r w:rsidR="00CF4080" w:rsidRPr="00813D19">
        <w:rPr>
          <w:lang w:val="en-US"/>
        </w:rPr>
        <w:t xml:space="preserve"> towards possible amendments for the 2020 General Assembly. </w:t>
      </w:r>
      <w:r w:rsidR="00C5011A" w:rsidRPr="00813D19">
        <w:rPr>
          <w:lang w:val="en-US"/>
        </w:rPr>
        <w:t xml:space="preserve">The delegation thus suggested a </w:t>
      </w:r>
      <w:r w:rsidR="00CF4080" w:rsidRPr="00813D19">
        <w:rPr>
          <w:lang w:val="en-US"/>
        </w:rPr>
        <w:t xml:space="preserve">pilot dialogue mechanism for </w:t>
      </w:r>
      <w:r w:rsidR="00C5011A" w:rsidRPr="00813D19">
        <w:rPr>
          <w:lang w:val="en-US"/>
        </w:rPr>
        <w:t xml:space="preserve">2019 </w:t>
      </w:r>
      <w:r w:rsidR="00CF4080" w:rsidRPr="00813D19">
        <w:rPr>
          <w:lang w:val="en-US"/>
        </w:rPr>
        <w:t xml:space="preserve">with a view to coming up with the right amendments to present </w:t>
      </w:r>
      <w:r w:rsidR="00C5011A" w:rsidRPr="00813D19">
        <w:rPr>
          <w:lang w:val="en-US"/>
        </w:rPr>
        <w:t xml:space="preserve">to </w:t>
      </w:r>
      <w:r w:rsidR="00CF4080" w:rsidRPr="00813D19">
        <w:rPr>
          <w:lang w:val="en-US"/>
        </w:rPr>
        <w:t xml:space="preserve">the General Assembly in 2020. </w:t>
      </w:r>
      <w:r w:rsidR="00C5011A" w:rsidRPr="00813D19">
        <w:rPr>
          <w:lang w:val="en-US"/>
        </w:rPr>
        <w:t xml:space="preserve">It did </w:t>
      </w:r>
      <w:r w:rsidR="00CF4080" w:rsidRPr="00813D19">
        <w:rPr>
          <w:lang w:val="en-US"/>
        </w:rPr>
        <w:t xml:space="preserve">not think that this proposal </w:t>
      </w:r>
      <w:r w:rsidR="00B0569A" w:rsidRPr="00813D19">
        <w:rPr>
          <w:lang w:val="en-US"/>
        </w:rPr>
        <w:t xml:space="preserve">in any way </w:t>
      </w:r>
      <w:r w:rsidR="00C5011A" w:rsidRPr="00813D19">
        <w:rPr>
          <w:lang w:val="en-US"/>
        </w:rPr>
        <w:t>contravened</w:t>
      </w:r>
      <w:r w:rsidR="00CF4080" w:rsidRPr="00813D19">
        <w:rPr>
          <w:lang w:val="en-US"/>
        </w:rPr>
        <w:t xml:space="preserve"> the Operational Directives nor </w:t>
      </w:r>
      <w:r w:rsidR="00B0569A" w:rsidRPr="00813D19">
        <w:rPr>
          <w:lang w:val="en-US"/>
        </w:rPr>
        <w:t xml:space="preserve">the </w:t>
      </w:r>
      <w:r w:rsidR="00CF4080" w:rsidRPr="00813D19">
        <w:rPr>
          <w:lang w:val="en-US"/>
        </w:rPr>
        <w:t>will and desire of the General Assembly</w:t>
      </w:r>
      <w:r w:rsidR="00B0569A" w:rsidRPr="00813D19">
        <w:rPr>
          <w:lang w:val="en-US"/>
        </w:rPr>
        <w:t>,</w:t>
      </w:r>
      <w:r w:rsidR="00CF4080" w:rsidRPr="00813D19">
        <w:rPr>
          <w:lang w:val="en-US"/>
        </w:rPr>
        <w:t xml:space="preserve"> which already mandated </w:t>
      </w:r>
      <w:r w:rsidR="00B0569A" w:rsidRPr="00813D19">
        <w:rPr>
          <w:lang w:val="en-US"/>
        </w:rPr>
        <w:t xml:space="preserve">the Committee </w:t>
      </w:r>
      <w:r w:rsidR="00CF4080" w:rsidRPr="00813D19">
        <w:rPr>
          <w:lang w:val="en-US"/>
        </w:rPr>
        <w:t xml:space="preserve">to </w:t>
      </w:r>
      <w:r w:rsidR="00B0569A" w:rsidRPr="00813D19">
        <w:rPr>
          <w:lang w:val="en-US"/>
        </w:rPr>
        <w:t xml:space="preserve">work </w:t>
      </w:r>
      <w:r w:rsidR="00CF4080" w:rsidRPr="00813D19">
        <w:rPr>
          <w:lang w:val="en-US"/>
        </w:rPr>
        <w:t>on dialogue</w:t>
      </w:r>
      <w:r w:rsidR="00B0569A" w:rsidRPr="00813D19">
        <w:rPr>
          <w:lang w:val="en-US"/>
        </w:rPr>
        <w:t xml:space="preserve">. </w:t>
      </w:r>
      <w:r w:rsidR="00C3745F" w:rsidRPr="00813D19">
        <w:rPr>
          <w:lang w:val="en-US"/>
        </w:rPr>
        <w:t>N</w:t>
      </w:r>
      <w:r w:rsidR="00C3745F">
        <w:rPr>
          <w:lang w:val="en-US"/>
        </w:rPr>
        <w:t>or</w:t>
      </w:r>
      <w:r w:rsidR="00C3745F" w:rsidRPr="00813D19">
        <w:rPr>
          <w:lang w:val="en-US"/>
        </w:rPr>
        <w:t xml:space="preserve"> </w:t>
      </w:r>
      <w:r w:rsidR="00B0569A" w:rsidRPr="00813D19">
        <w:rPr>
          <w:lang w:val="en-US"/>
        </w:rPr>
        <w:t xml:space="preserve">did it infringe </w:t>
      </w:r>
      <w:r w:rsidR="00CF4080" w:rsidRPr="00813D19">
        <w:rPr>
          <w:lang w:val="en-US"/>
        </w:rPr>
        <w:t>the Committee</w:t>
      </w:r>
      <w:r w:rsidR="00B0569A" w:rsidRPr="00813D19">
        <w:rPr>
          <w:lang w:val="en-US"/>
        </w:rPr>
        <w:t>, which had clearly witnessed over the last four</w:t>
      </w:r>
      <w:r w:rsidR="00C3745F">
        <w:rPr>
          <w:lang w:val="en-US"/>
        </w:rPr>
        <w:t xml:space="preserve"> or</w:t>
      </w:r>
      <w:r w:rsidR="00B0569A" w:rsidRPr="00813D19">
        <w:rPr>
          <w:lang w:val="en-US"/>
        </w:rPr>
        <w:t xml:space="preserve"> five days the need for dialogue</w:t>
      </w:r>
      <w:r w:rsidR="00134169" w:rsidRPr="00813D19">
        <w:rPr>
          <w:lang w:val="en-US"/>
        </w:rPr>
        <w:t>,</w:t>
      </w:r>
      <w:r w:rsidR="00B0569A" w:rsidRPr="00813D19">
        <w:rPr>
          <w:lang w:val="en-US"/>
        </w:rPr>
        <w:t xml:space="preserve"> </w:t>
      </w:r>
      <w:r w:rsidR="00CF4080" w:rsidRPr="00813D19">
        <w:rPr>
          <w:lang w:val="en-US"/>
        </w:rPr>
        <w:t xml:space="preserve">nor </w:t>
      </w:r>
      <w:r w:rsidR="00B0569A" w:rsidRPr="00813D19">
        <w:rPr>
          <w:lang w:val="en-US"/>
        </w:rPr>
        <w:t xml:space="preserve">the expectations of the many </w:t>
      </w:r>
      <w:r w:rsidR="00CF4080" w:rsidRPr="00813D19">
        <w:rPr>
          <w:lang w:val="en-US"/>
        </w:rPr>
        <w:t xml:space="preserve">communities in the field where </w:t>
      </w:r>
      <w:r w:rsidR="00B0569A" w:rsidRPr="00813D19">
        <w:rPr>
          <w:lang w:val="en-US"/>
        </w:rPr>
        <w:t xml:space="preserve">this </w:t>
      </w:r>
      <w:r w:rsidR="00CF4080" w:rsidRPr="00813D19">
        <w:rPr>
          <w:lang w:val="en-US"/>
        </w:rPr>
        <w:t xml:space="preserve">work </w:t>
      </w:r>
      <w:r w:rsidR="00C3745F">
        <w:rPr>
          <w:lang w:val="en-US"/>
        </w:rPr>
        <w:t xml:space="preserve">was </w:t>
      </w:r>
      <w:r w:rsidR="00DD4E22">
        <w:rPr>
          <w:lang w:val="en-US"/>
        </w:rPr>
        <w:t>necessary.</w:t>
      </w:r>
    </w:p>
    <w:p w14:paraId="48F67E41" w14:textId="3769EE0D" w:rsidR="00CC719C" w:rsidRPr="00813D19" w:rsidRDefault="00CC719C"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CF4080" w:rsidRPr="00813D19">
        <w:rPr>
          <w:b/>
          <w:color w:val="000000" w:themeColor="text1"/>
          <w:lang w:val="en-US"/>
        </w:rPr>
        <w:t xml:space="preserve"> </w:t>
      </w:r>
      <w:r w:rsidR="00B0569A" w:rsidRPr="00813D19">
        <w:rPr>
          <w:color w:val="000000" w:themeColor="text1"/>
          <w:lang w:val="en-US"/>
        </w:rPr>
        <w:t>remarked that the</w:t>
      </w:r>
      <w:r w:rsidR="00B0569A" w:rsidRPr="00813D19">
        <w:rPr>
          <w:b/>
          <w:color w:val="000000" w:themeColor="text1"/>
          <w:lang w:val="en-US"/>
        </w:rPr>
        <w:t xml:space="preserve"> </w:t>
      </w:r>
      <w:r w:rsidR="00B0569A" w:rsidRPr="00813D19">
        <w:rPr>
          <w:color w:val="000000" w:themeColor="text1"/>
          <w:lang w:val="en-US"/>
        </w:rPr>
        <w:t xml:space="preserve">proposal </w:t>
      </w:r>
      <w:r w:rsidR="00CF4080" w:rsidRPr="00813D19">
        <w:rPr>
          <w:lang w:val="en-US"/>
        </w:rPr>
        <w:t>from</w:t>
      </w:r>
      <w:r w:rsidR="00B0569A" w:rsidRPr="00813D19">
        <w:rPr>
          <w:lang w:val="en-US"/>
        </w:rPr>
        <w:t xml:space="preserve"> the Philippines was very clear, adding that it did not </w:t>
      </w:r>
      <w:r w:rsidR="00CF4080" w:rsidRPr="00813D19">
        <w:rPr>
          <w:lang w:val="en-US"/>
        </w:rPr>
        <w:t>aff</w:t>
      </w:r>
      <w:r w:rsidR="00DD4E22">
        <w:rPr>
          <w:lang w:val="en-US"/>
        </w:rPr>
        <w:t>ect the Operational Directives.</w:t>
      </w:r>
    </w:p>
    <w:p w14:paraId="2D954D0A" w14:textId="0ABA1026" w:rsidR="00CC719C" w:rsidRPr="00813D19" w:rsidRDefault="00CC719C"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Cuba</w:t>
      </w:r>
      <w:r w:rsidRPr="00813D19">
        <w:rPr>
          <w:color w:val="000000" w:themeColor="text1"/>
          <w:lang w:val="en-US"/>
        </w:rPr>
        <w:t xml:space="preserve"> </w:t>
      </w:r>
      <w:r w:rsidR="00CF4080" w:rsidRPr="00813D19">
        <w:rPr>
          <w:bCs/>
          <w:lang w:val="en-US"/>
        </w:rPr>
        <w:t>support</w:t>
      </w:r>
      <w:r w:rsidR="00B0569A" w:rsidRPr="00813D19">
        <w:rPr>
          <w:bCs/>
          <w:lang w:val="en-US"/>
        </w:rPr>
        <w:t xml:space="preserve">ed this proposed amendment, adding that it was </w:t>
      </w:r>
      <w:r w:rsidR="00CF4080" w:rsidRPr="00813D19">
        <w:rPr>
          <w:bCs/>
          <w:lang w:val="en-US"/>
        </w:rPr>
        <w:t xml:space="preserve">consistent with the </w:t>
      </w:r>
      <w:r w:rsidR="00B0569A" w:rsidRPr="00813D19">
        <w:rPr>
          <w:bCs/>
          <w:lang w:val="en-US"/>
        </w:rPr>
        <w:t xml:space="preserve">earlier </w:t>
      </w:r>
      <w:r w:rsidR="00CF4080" w:rsidRPr="00813D19">
        <w:rPr>
          <w:bCs/>
          <w:lang w:val="en-US"/>
        </w:rPr>
        <w:t xml:space="preserve">discussions among </w:t>
      </w:r>
      <w:r w:rsidR="00B0569A" w:rsidRPr="00813D19">
        <w:rPr>
          <w:bCs/>
          <w:lang w:val="en-US"/>
        </w:rPr>
        <w:t xml:space="preserve">Member States. The Philippines was </w:t>
      </w:r>
      <w:r w:rsidR="00CF4080" w:rsidRPr="00813D19">
        <w:rPr>
          <w:bCs/>
          <w:lang w:val="en-US"/>
        </w:rPr>
        <w:t xml:space="preserve">very clear so there </w:t>
      </w:r>
      <w:r w:rsidR="00B0569A" w:rsidRPr="00813D19">
        <w:rPr>
          <w:bCs/>
          <w:lang w:val="en-US"/>
        </w:rPr>
        <w:t xml:space="preserve">was </w:t>
      </w:r>
      <w:r w:rsidR="00CF4080" w:rsidRPr="00813D19">
        <w:rPr>
          <w:bCs/>
          <w:lang w:val="en-US"/>
        </w:rPr>
        <w:t xml:space="preserve">no need to reiterate </w:t>
      </w:r>
      <w:r w:rsidR="00B0569A" w:rsidRPr="00813D19">
        <w:rPr>
          <w:bCs/>
          <w:lang w:val="en-US"/>
        </w:rPr>
        <w:t xml:space="preserve">the valid </w:t>
      </w:r>
      <w:r w:rsidR="00DD4E22">
        <w:rPr>
          <w:bCs/>
          <w:lang w:val="en-US"/>
        </w:rPr>
        <w:t>arguments.</w:t>
      </w:r>
    </w:p>
    <w:p w14:paraId="35B90FB8" w14:textId="59361B8B" w:rsidR="00782CED" w:rsidRPr="00813D19" w:rsidRDefault="00CC719C"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w:t>
      </w:r>
      <w:r w:rsidR="00134169" w:rsidRPr="00813D19">
        <w:rPr>
          <w:b/>
          <w:color w:val="000000" w:themeColor="text1"/>
          <w:lang w:val="en-US"/>
        </w:rPr>
        <w:t>s</w:t>
      </w:r>
      <w:r w:rsidRPr="00813D19">
        <w:rPr>
          <w:b/>
          <w:color w:val="000000" w:themeColor="text1"/>
          <w:lang w:val="en-US"/>
        </w:rPr>
        <w:t xml:space="preserve"> of Cyprus</w:t>
      </w:r>
      <w:r w:rsidR="00CF4080" w:rsidRPr="00813D19">
        <w:rPr>
          <w:b/>
          <w:color w:val="000000" w:themeColor="text1"/>
          <w:lang w:val="en-US"/>
        </w:rPr>
        <w:t xml:space="preserve"> </w:t>
      </w:r>
      <w:r w:rsidR="00B0569A" w:rsidRPr="00813D19">
        <w:rPr>
          <w:color w:val="000000" w:themeColor="text1"/>
          <w:lang w:val="en-US"/>
        </w:rPr>
        <w:t>and</w:t>
      </w:r>
      <w:r w:rsidR="00B0569A" w:rsidRPr="00813D19">
        <w:rPr>
          <w:b/>
          <w:color w:val="000000" w:themeColor="text1"/>
          <w:lang w:val="en-US"/>
        </w:rPr>
        <w:t xml:space="preserve"> Colombia </w:t>
      </w:r>
      <w:r w:rsidR="00B0569A" w:rsidRPr="00813D19">
        <w:rPr>
          <w:color w:val="000000" w:themeColor="text1"/>
          <w:lang w:val="en-US"/>
        </w:rPr>
        <w:t>also supported the amendments.</w:t>
      </w:r>
    </w:p>
    <w:p w14:paraId="7483CA7A" w14:textId="7552D9CA" w:rsidR="00CC719C" w:rsidRPr="00813D19" w:rsidRDefault="00787ADF"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694A49" w:rsidRPr="00813D19">
        <w:rPr>
          <w:lang w:val="en-US"/>
        </w:rPr>
        <w:t>recalled</w:t>
      </w:r>
      <w:r w:rsidR="00CF4080" w:rsidRPr="00813D19">
        <w:rPr>
          <w:lang w:val="en-US"/>
        </w:rPr>
        <w:t xml:space="preserve"> </w:t>
      </w:r>
      <w:r w:rsidR="000544B0" w:rsidRPr="00813D19">
        <w:rPr>
          <w:lang w:val="en-US"/>
        </w:rPr>
        <w:t>the events of the prev</w:t>
      </w:r>
      <w:r w:rsidR="00134169" w:rsidRPr="00813D19">
        <w:rPr>
          <w:lang w:val="en-US"/>
        </w:rPr>
        <w:t>i</w:t>
      </w:r>
      <w:r w:rsidR="000544B0" w:rsidRPr="00813D19">
        <w:rPr>
          <w:lang w:val="en-US"/>
        </w:rPr>
        <w:t xml:space="preserve">ous days and the </w:t>
      </w:r>
      <w:r w:rsidR="00694A49" w:rsidRPr="00813D19">
        <w:rPr>
          <w:lang w:val="en-US"/>
        </w:rPr>
        <w:t xml:space="preserve">issues </w:t>
      </w:r>
      <w:r w:rsidR="000544B0" w:rsidRPr="00813D19">
        <w:rPr>
          <w:lang w:val="en-US"/>
        </w:rPr>
        <w:t xml:space="preserve">raised by a </w:t>
      </w:r>
      <w:r w:rsidR="00CF4080" w:rsidRPr="00813D19">
        <w:rPr>
          <w:lang w:val="en-US"/>
        </w:rPr>
        <w:t xml:space="preserve">few </w:t>
      </w:r>
      <w:r w:rsidR="000544B0" w:rsidRPr="00813D19">
        <w:rPr>
          <w:lang w:val="en-US"/>
        </w:rPr>
        <w:t xml:space="preserve">Committee </w:t>
      </w:r>
      <w:r w:rsidR="00CF4080" w:rsidRPr="00813D19">
        <w:rPr>
          <w:lang w:val="en-US"/>
        </w:rPr>
        <w:t xml:space="preserve">Members regarding the </w:t>
      </w:r>
      <w:r w:rsidR="00694A49" w:rsidRPr="00813D19">
        <w:rPr>
          <w:lang w:val="en-US"/>
        </w:rPr>
        <w:t>additional</w:t>
      </w:r>
      <w:r w:rsidR="0024361F" w:rsidRPr="00813D19">
        <w:rPr>
          <w:lang w:val="en-US"/>
        </w:rPr>
        <w:t xml:space="preserve"> workload</w:t>
      </w:r>
      <w:r w:rsidR="000544B0" w:rsidRPr="00813D19">
        <w:rPr>
          <w:lang w:val="en-US"/>
        </w:rPr>
        <w:t>,</w:t>
      </w:r>
      <w:r w:rsidR="00CF4080" w:rsidRPr="00813D19">
        <w:rPr>
          <w:lang w:val="en-US"/>
        </w:rPr>
        <w:t xml:space="preserve"> </w:t>
      </w:r>
      <w:r w:rsidR="00694A49" w:rsidRPr="00813D19">
        <w:rPr>
          <w:lang w:val="en-US"/>
        </w:rPr>
        <w:t xml:space="preserve">inviting the Secretariat </w:t>
      </w:r>
      <w:r w:rsidR="00CF4080" w:rsidRPr="00813D19">
        <w:rPr>
          <w:lang w:val="en-US"/>
        </w:rPr>
        <w:t xml:space="preserve">to </w:t>
      </w:r>
      <w:r w:rsidR="00694A49" w:rsidRPr="00813D19">
        <w:rPr>
          <w:lang w:val="en-US"/>
        </w:rPr>
        <w:t>respond to the potential concerns in paragraph 14.</w:t>
      </w:r>
    </w:p>
    <w:p w14:paraId="50A3D8BF" w14:textId="360411CA" w:rsidR="00787ADF" w:rsidRPr="00813D19" w:rsidRDefault="00787ADF"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Secretary</w:t>
      </w:r>
      <w:r w:rsidRPr="00813D19">
        <w:rPr>
          <w:color w:val="000000" w:themeColor="text1"/>
          <w:lang w:val="en-US"/>
        </w:rPr>
        <w:t xml:space="preserve"> </w:t>
      </w:r>
      <w:r w:rsidR="00CF4080" w:rsidRPr="00813D19">
        <w:rPr>
          <w:lang w:val="en-US"/>
        </w:rPr>
        <w:t>thank</w:t>
      </w:r>
      <w:r w:rsidR="00694A49" w:rsidRPr="00813D19">
        <w:rPr>
          <w:lang w:val="en-US"/>
        </w:rPr>
        <w:t>ed</w:t>
      </w:r>
      <w:r w:rsidR="00CF4080" w:rsidRPr="00813D19">
        <w:rPr>
          <w:lang w:val="en-US"/>
        </w:rPr>
        <w:t xml:space="preserve"> the Philippines who </w:t>
      </w:r>
      <w:r w:rsidR="00262811">
        <w:rPr>
          <w:lang w:val="en-US"/>
        </w:rPr>
        <w:t xml:space="preserve">had </w:t>
      </w:r>
      <w:r w:rsidR="00CF4080" w:rsidRPr="00813D19">
        <w:rPr>
          <w:lang w:val="en-US"/>
        </w:rPr>
        <w:t>indeed highlighted the importance of dialogue</w:t>
      </w:r>
      <w:r w:rsidR="00694A49" w:rsidRPr="00813D19">
        <w:rPr>
          <w:lang w:val="en-US"/>
        </w:rPr>
        <w:t xml:space="preserve">, which </w:t>
      </w:r>
      <w:r w:rsidR="0024361F" w:rsidRPr="00813D19">
        <w:rPr>
          <w:lang w:val="en-US"/>
        </w:rPr>
        <w:t xml:space="preserve">had </w:t>
      </w:r>
      <w:r w:rsidR="00694A49" w:rsidRPr="00813D19">
        <w:rPr>
          <w:lang w:val="en-US"/>
        </w:rPr>
        <w:t xml:space="preserve">emerged </w:t>
      </w:r>
      <w:r w:rsidR="00CF4080" w:rsidRPr="00813D19">
        <w:rPr>
          <w:lang w:val="en-US"/>
        </w:rPr>
        <w:t>from this Committee session</w:t>
      </w:r>
      <w:r w:rsidR="00694A49" w:rsidRPr="00813D19">
        <w:rPr>
          <w:lang w:val="en-US"/>
        </w:rPr>
        <w:t xml:space="preserve">, as well as </w:t>
      </w:r>
      <w:r w:rsidR="00CF4080" w:rsidRPr="00813D19">
        <w:rPr>
          <w:lang w:val="en-US"/>
        </w:rPr>
        <w:t xml:space="preserve">many </w:t>
      </w:r>
      <w:r w:rsidR="00694A49" w:rsidRPr="00813D19">
        <w:rPr>
          <w:lang w:val="en-US"/>
        </w:rPr>
        <w:t xml:space="preserve">others </w:t>
      </w:r>
      <w:r w:rsidR="00CF4080" w:rsidRPr="00813D19">
        <w:rPr>
          <w:lang w:val="en-US"/>
        </w:rPr>
        <w:t xml:space="preserve">themes </w:t>
      </w:r>
      <w:r w:rsidR="00694A49" w:rsidRPr="00813D19">
        <w:rPr>
          <w:lang w:val="en-US"/>
        </w:rPr>
        <w:t xml:space="preserve">including </w:t>
      </w:r>
      <w:r w:rsidR="00CF4080" w:rsidRPr="00813D19">
        <w:rPr>
          <w:lang w:val="en-US"/>
        </w:rPr>
        <w:t xml:space="preserve">overall reform and rules. </w:t>
      </w:r>
      <w:r w:rsidR="00694A49" w:rsidRPr="00813D19">
        <w:rPr>
          <w:lang w:val="en-US"/>
        </w:rPr>
        <w:t xml:space="preserve">However, although </w:t>
      </w:r>
      <w:r w:rsidR="00CF4080" w:rsidRPr="00813D19">
        <w:rPr>
          <w:lang w:val="en-US"/>
        </w:rPr>
        <w:t>workload is a constant problem</w:t>
      </w:r>
      <w:r w:rsidR="00694A49" w:rsidRPr="00813D19">
        <w:rPr>
          <w:lang w:val="en-US"/>
        </w:rPr>
        <w:t xml:space="preserve">, and the proposal did represent </w:t>
      </w:r>
      <w:r w:rsidR="00262811">
        <w:rPr>
          <w:lang w:val="en-US"/>
        </w:rPr>
        <w:t xml:space="preserve">an </w:t>
      </w:r>
      <w:r w:rsidR="00694A49" w:rsidRPr="00813D19">
        <w:rPr>
          <w:lang w:val="en-US"/>
        </w:rPr>
        <w:t xml:space="preserve">additional work, the issue lay in </w:t>
      </w:r>
      <w:r w:rsidR="00C06640" w:rsidRPr="00813D19">
        <w:rPr>
          <w:lang w:val="en-US"/>
        </w:rPr>
        <w:t>Rule 55. Rule 55</w:t>
      </w:r>
      <w:r w:rsidR="00CF4080" w:rsidRPr="00813D19">
        <w:rPr>
          <w:lang w:val="en-US"/>
        </w:rPr>
        <w:t xml:space="preserve"> </w:t>
      </w:r>
      <w:r w:rsidR="00694A49" w:rsidRPr="00813D19">
        <w:rPr>
          <w:lang w:val="en-US"/>
        </w:rPr>
        <w:t>states</w:t>
      </w:r>
      <w:r w:rsidR="00C06640" w:rsidRPr="00813D19">
        <w:rPr>
          <w:lang w:val="en-US"/>
        </w:rPr>
        <w:t>,</w:t>
      </w:r>
      <w:r w:rsidR="00694A49" w:rsidRPr="00813D19">
        <w:rPr>
          <w:lang w:val="en-US"/>
        </w:rPr>
        <w:t xml:space="preserve"> “</w:t>
      </w:r>
      <w:r w:rsidR="00C06640" w:rsidRPr="00813D19">
        <w:rPr>
          <w:lang w:val="en-US"/>
        </w:rPr>
        <w:t>P</w:t>
      </w:r>
      <w:r w:rsidR="00CF4080" w:rsidRPr="00813D19">
        <w:rPr>
          <w:lang w:val="en-US"/>
        </w:rPr>
        <w:t>hase 2</w:t>
      </w:r>
      <w:r w:rsidR="00C06640" w:rsidRPr="00813D19">
        <w:rPr>
          <w:lang w:val="en-US"/>
        </w:rPr>
        <w:t>: Evaluation, Meeting April–</w:t>
      </w:r>
      <w:r w:rsidR="00CF4080" w:rsidRPr="00813D19">
        <w:rPr>
          <w:lang w:val="en-US"/>
        </w:rPr>
        <w:t>June for final evaluation by the Evaluation Body</w:t>
      </w:r>
      <w:r w:rsidR="00C06640" w:rsidRPr="00813D19">
        <w:rPr>
          <w:lang w:val="en-US"/>
        </w:rPr>
        <w:t>”</w:t>
      </w:r>
      <w:r w:rsidR="00CF4080" w:rsidRPr="00813D19">
        <w:rPr>
          <w:lang w:val="en-US"/>
        </w:rPr>
        <w:t xml:space="preserve">. </w:t>
      </w:r>
      <w:r w:rsidR="00C06640" w:rsidRPr="00813D19">
        <w:rPr>
          <w:lang w:val="en-US"/>
        </w:rPr>
        <w:t>This meant</w:t>
      </w:r>
      <w:r w:rsidR="00CF4080" w:rsidRPr="00813D19">
        <w:rPr>
          <w:lang w:val="en-US"/>
        </w:rPr>
        <w:t xml:space="preserve"> </w:t>
      </w:r>
      <w:r w:rsidR="00C06640" w:rsidRPr="00813D19">
        <w:rPr>
          <w:lang w:val="en-US"/>
        </w:rPr>
        <w:t xml:space="preserve">that </w:t>
      </w:r>
      <w:r w:rsidR="00CF4080" w:rsidRPr="00813D19">
        <w:rPr>
          <w:lang w:val="en-US"/>
        </w:rPr>
        <w:t>by June</w:t>
      </w:r>
      <w:r w:rsidR="00C06640" w:rsidRPr="00813D19">
        <w:rPr>
          <w:lang w:val="en-US"/>
        </w:rPr>
        <w:t>,</w:t>
      </w:r>
      <w:r w:rsidR="00CF4080" w:rsidRPr="00813D19">
        <w:rPr>
          <w:lang w:val="en-US"/>
        </w:rPr>
        <w:t xml:space="preserve"> the Evaluation Body </w:t>
      </w:r>
      <w:r w:rsidR="00262811" w:rsidRPr="00813D19">
        <w:rPr>
          <w:lang w:val="en-US"/>
        </w:rPr>
        <w:t>ha</w:t>
      </w:r>
      <w:r w:rsidR="00262811">
        <w:rPr>
          <w:lang w:val="en-US"/>
        </w:rPr>
        <w:t>d</w:t>
      </w:r>
      <w:r w:rsidR="00262811" w:rsidRPr="00813D19">
        <w:rPr>
          <w:lang w:val="en-US"/>
        </w:rPr>
        <w:t xml:space="preserve"> </w:t>
      </w:r>
      <w:r w:rsidR="00C06640" w:rsidRPr="00813D19">
        <w:rPr>
          <w:lang w:val="en-US"/>
        </w:rPr>
        <w:t xml:space="preserve">to make </w:t>
      </w:r>
      <w:r w:rsidR="00CF4080" w:rsidRPr="00813D19">
        <w:rPr>
          <w:lang w:val="en-US"/>
        </w:rPr>
        <w:t>it</w:t>
      </w:r>
      <w:r w:rsidR="00C06640" w:rsidRPr="00813D19">
        <w:rPr>
          <w:lang w:val="en-US"/>
        </w:rPr>
        <w:t>s</w:t>
      </w:r>
      <w:r w:rsidR="00CF4080" w:rsidRPr="00813D19">
        <w:rPr>
          <w:lang w:val="en-US"/>
        </w:rPr>
        <w:t xml:space="preserve"> final evaluation. </w:t>
      </w:r>
      <w:r w:rsidR="00C06640" w:rsidRPr="00813D19">
        <w:rPr>
          <w:lang w:val="en-US"/>
        </w:rPr>
        <w:t xml:space="preserve">Thus, </w:t>
      </w:r>
      <w:r w:rsidR="00CF4080" w:rsidRPr="00813D19">
        <w:rPr>
          <w:lang w:val="en-US"/>
        </w:rPr>
        <w:t>according to Rule 55</w:t>
      </w:r>
      <w:r w:rsidR="00C06640" w:rsidRPr="00813D19">
        <w:rPr>
          <w:lang w:val="en-US"/>
        </w:rPr>
        <w:t>,</w:t>
      </w:r>
      <w:r w:rsidR="00CF4080" w:rsidRPr="00813D19">
        <w:rPr>
          <w:lang w:val="en-US"/>
        </w:rPr>
        <w:t xml:space="preserve"> the Evaluation Body </w:t>
      </w:r>
      <w:r w:rsidR="00262811">
        <w:rPr>
          <w:lang w:val="en-US"/>
        </w:rPr>
        <w:t>could not</w:t>
      </w:r>
      <w:r w:rsidR="00262811" w:rsidRPr="00813D19">
        <w:rPr>
          <w:lang w:val="en-US"/>
        </w:rPr>
        <w:t xml:space="preserve"> </w:t>
      </w:r>
      <w:r w:rsidR="00CF4080" w:rsidRPr="00813D19">
        <w:rPr>
          <w:lang w:val="en-US"/>
        </w:rPr>
        <w:t xml:space="preserve">change its evaluation </w:t>
      </w:r>
      <w:r w:rsidR="00CF4080" w:rsidRPr="00813D19">
        <w:rPr>
          <w:i/>
          <w:lang w:val="en-US"/>
        </w:rPr>
        <w:t>after</w:t>
      </w:r>
      <w:r w:rsidR="00CF4080" w:rsidRPr="00813D19">
        <w:rPr>
          <w:lang w:val="en-US"/>
        </w:rPr>
        <w:t xml:space="preserve"> the June meeting. </w:t>
      </w:r>
      <w:r w:rsidR="00C06640" w:rsidRPr="00813D19">
        <w:rPr>
          <w:lang w:val="en-US"/>
        </w:rPr>
        <w:t xml:space="preserve">With regard to paragraph 14, this </w:t>
      </w:r>
      <w:r w:rsidR="0024361F" w:rsidRPr="00813D19">
        <w:rPr>
          <w:lang w:val="en-US"/>
        </w:rPr>
        <w:t>meant</w:t>
      </w:r>
      <w:r w:rsidR="00C06640" w:rsidRPr="00813D19">
        <w:rPr>
          <w:lang w:val="en-US"/>
        </w:rPr>
        <w:t xml:space="preserve"> that the </w:t>
      </w:r>
      <w:r w:rsidR="00CF4080" w:rsidRPr="00813D19">
        <w:rPr>
          <w:lang w:val="en-US"/>
        </w:rPr>
        <w:t xml:space="preserve">procedure </w:t>
      </w:r>
      <w:r w:rsidR="00C06640" w:rsidRPr="00813D19">
        <w:rPr>
          <w:lang w:val="en-US"/>
        </w:rPr>
        <w:t>could apply</w:t>
      </w:r>
      <w:r w:rsidR="0024361F" w:rsidRPr="00813D19">
        <w:rPr>
          <w:lang w:val="en-US"/>
        </w:rPr>
        <w:t>,</w:t>
      </w:r>
      <w:r w:rsidR="00C06640" w:rsidRPr="00813D19">
        <w:rPr>
          <w:lang w:val="en-US"/>
        </w:rPr>
        <w:t xml:space="preserve"> </w:t>
      </w:r>
      <w:r w:rsidR="00CF4080" w:rsidRPr="00813D19">
        <w:rPr>
          <w:lang w:val="en-US"/>
        </w:rPr>
        <w:t xml:space="preserve">but </w:t>
      </w:r>
      <w:r w:rsidR="00C06640" w:rsidRPr="00813D19">
        <w:rPr>
          <w:lang w:val="en-US"/>
        </w:rPr>
        <w:t xml:space="preserve">that </w:t>
      </w:r>
      <w:r w:rsidR="00CF4080" w:rsidRPr="00813D19">
        <w:rPr>
          <w:lang w:val="en-US"/>
        </w:rPr>
        <w:t xml:space="preserve">the Evaluation Body would not be able to take </w:t>
      </w:r>
      <w:r w:rsidR="0024361F" w:rsidRPr="00813D19">
        <w:rPr>
          <w:lang w:val="en-US"/>
        </w:rPr>
        <w:t xml:space="preserve">the </w:t>
      </w:r>
      <w:r w:rsidR="00C06640" w:rsidRPr="00813D19">
        <w:rPr>
          <w:lang w:val="en-US"/>
        </w:rPr>
        <w:t xml:space="preserve">information </w:t>
      </w:r>
      <w:r w:rsidR="00CF4080" w:rsidRPr="00813D19">
        <w:rPr>
          <w:lang w:val="en-US"/>
        </w:rPr>
        <w:t xml:space="preserve">into account and change its evaluation based on the upstream dialogue. </w:t>
      </w:r>
      <w:r w:rsidR="00C06640" w:rsidRPr="00813D19">
        <w:rPr>
          <w:lang w:val="en-US"/>
        </w:rPr>
        <w:t xml:space="preserve">It </w:t>
      </w:r>
      <w:r w:rsidR="0024361F" w:rsidRPr="00813D19">
        <w:rPr>
          <w:lang w:val="en-US"/>
        </w:rPr>
        <w:t xml:space="preserve">could </w:t>
      </w:r>
      <w:r w:rsidR="00C06640" w:rsidRPr="00813D19">
        <w:rPr>
          <w:lang w:val="en-US"/>
        </w:rPr>
        <w:t xml:space="preserve">nevertheless be </w:t>
      </w:r>
      <w:r w:rsidR="00CF4080" w:rsidRPr="00813D19">
        <w:rPr>
          <w:lang w:val="en-US"/>
        </w:rPr>
        <w:t>test</w:t>
      </w:r>
      <w:r w:rsidR="00C06640" w:rsidRPr="00813D19">
        <w:rPr>
          <w:lang w:val="en-US"/>
        </w:rPr>
        <w:t>ed</w:t>
      </w:r>
      <w:r w:rsidR="00CF4080" w:rsidRPr="00813D19">
        <w:rPr>
          <w:lang w:val="en-US"/>
        </w:rPr>
        <w:t xml:space="preserve"> on an experimental basis</w:t>
      </w:r>
      <w:r w:rsidR="00C06640" w:rsidRPr="00813D19">
        <w:rPr>
          <w:lang w:val="en-US"/>
        </w:rPr>
        <w:t>,</w:t>
      </w:r>
      <w:r w:rsidR="00CF4080" w:rsidRPr="00813D19">
        <w:rPr>
          <w:lang w:val="en-US"/>
        </w:rPr>
        <w:t xml:space="preserve"> but it </w:t>
      </w:r>
      <w:r w:rsidR="00C06640" w:rsidRPr="00813D19">
        <w:rPr>
          <w:lang w:val="en-US"/>
        </w:rPr>
        <w:t xml:space="preserve">would </w:t>
      </w:r>
      <w:r w:rsidR="00CF4080" w:rsidRPr="00813D19">
        <w:rPr>
          <w:lang w:val="en-US"/>
        </w:rPr>
        <w:t xml:space="preserve">not affect the evaluations made </w:t>
      </w:r>
      <w:r w:rsidR="00C06640" w:rsidRPr="00813D19">
        <w:rPr>
          <w:lang w:val="en-US"/>
        </w:rPr>
        <w:t xml:space="preserve">in 2019, in the application of the </w:t>
      </w:r>
      <w:r w:rsidR="00DD4E22">
        <w:rPr>
          <w:lang w:val="en-US"/>
        </w:rPr>
        <w:t>Rules.</w:t>
      </w:r>
    </w:p>
    <w:p w14:paraId="599F9335" w14:textId="73E7E53D" w:rsidR="00B455C3" w:rsidRPr="00813D19" w:rsidRDefault="00B455C3"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Philippines</w:t>
      </w:r>
      <w:r w:rsidR="00CF4080" w:rsidRPr="00813D19">
        <w:rPr>
          <w:b/>
          <w:color w:val="000000" w:themeColor="text1"/>
          <w:lang w:val="en-US"/>
        </w:rPr>
        <w:t xml:space="preserve"> </w:t>
      </w:r>
      <w:r w:rsidR="00CF4080" w:rsidRPr="00813D19">
        <w:rPr>
          <w:lang w:val="en-US"/>
        </w:rPr>
        <w:t>thank</w:t>
      </w:r>
      <w:r w:rsidR="00C06640" w:rsidRPr="00813D19">
        <w:rPr>
          <w:lang w:val="en-US"/>
        </w:rPr>
        <w:t xml:space="preserve">ed the Secretary and took note of his response. </w:t>
      </w:r>
      <w:r w:rsidR="00B02320" w:rsidRPr="00813D19">
        <w:rPr>
          <w:lang w:val="en-US"/>
        </w:rPr>
        <w:t>It agreed that the paragraph</w:t>
      </w:r>
      <w:r w:rsidR="00CF4080" w:rsidRPr="00813D19">
        <w:rPr>
          <w:lang w:val="en-US"/>
        </w:rPr>
        <w:t xml:space="preserve"> </w:t>
      </w:r>
      <w:r w:rsidR="00B02320" w:rsidRPr="00813D19">
        <w:rPr>
          <w:lang w:val="en-US"/>
        </w:rPr>
        <w:t xml:space="preserve">in Operational Directive 55 did </w:t>
      </w:r>
      <w:r w:rsidR="00B02320" w:rsidRPr="003E7512">
        <w:rPr>
          <w:lang w:val="en-US"/>
        </w:rPr>
        <w:t>mention the April</w:t>
      </w:r>
      <w:r w:rsidR="00A84307" w:rsidRPr="003221D5">
        <w:rPr>
          <w:lang w:val="en-US"/>
        </w:rPr>
        <w:t>–</w:t>
      </w:r>
      <w:r w:rsidR="00CF4080" w:rsidRPr="003E7512">
        <w:rPr>
          <w:lang w:val="en-US"/>
        </w:rPr>
        <w:t xml:space="preserve">June meeting for </w:t>
      </w:r>
      <w:r w:rsidR="00B02320" w:rsidRPr="002F50EA">
        <w:rPr>
          <w:lang w:val="en-US"/>
        </w:rPr>
        <w:t xml:space="preserve">the </w:t>
      </w:r>
      <w:r w:rsidR="00CF4080" w:rsidRPr="00850817">
        <w:rPr>
          <w:lang w:val="en-US"/>
        </w:rPr>
        <w:t>final evaluation by the Evaluation Body. Howe</w:t>
      </w:r>
      <w:r w:rsidR="00CF4080" w:rsidRPr="00932BA1">
        <w:rPr>
          <w:lang w:val="en-US"/>
        </w:rPr>
        <w:t xml:space="preserve">ver, </w:t>
      </w:r>
      <w:r w:rsidR="00B02320" w:rsidRPr="00A84307">
        <w:rPr>
          <w:lang w:val="en-US"/>
        </w:rPr>
        <w:t xml:space="preserve">there was no mention </w:t>
      </w:r>
      <w:r w:rsidR="00CF4080" w:rsidRPr="00A84307">
        <w:rPr>
          <w:lang w:val="en-US"/>
        </w:rPr>
        <w:t xml:space="preserve">in </w:t>
      </w:r>
      <w:r w:rsidR="00B02320" w:rsidRPr="00A84307">
        <w:rPr>
          <w:lang w:val="en-US"/>
        </w:rPr>
        <w:t xml:space="preserve">the </w:t>
      </w:r>
      <w:r w:rsidR="00CF4080" w:rsidRPr="00A84307">
        <w:rPr>
          <w:lang w:val="en-US"/>
        </w:rPr>
        <w:t>paragraph</w:t>
      </w:r>
      <w:r w:rsidR="00CF4080" w:rsidRPr="00813D19">
        <w:rPr>
          <w:lang w:val="en-US"/>
        </w:rPr>
        <w:t xml:space="preserve"> </w:t>
      </w:r>
      <w:r w:rsidR="00B02320" w:rsidRPr="00813D19">
        <w:rPr>
          <w:lang w:val="en-US"/>
        </w:rPr>
        <w:t xml:space="preserve">of </w:t>
      </w:r>
      <w:r w:rsidR="00CF4080" w:rsidRPr="00813D19">
        <w:rPr>
          <w:lang w:val="en-US"/>
        </w:rPr>
        <w:t xml:space="preserve">the </w:t>
      </w:r>
      <w:r w:rsidR="00B02320" w:rsidRPr="00813D19">
        <w:rPr>
          <w:lang w:val="en-US"/>
        </w:rPr>
        <w:t>Evaluation Body</w:t>
      </w:r>
      <w:r w:rsidR="003C500C" w:rsidRPr="00813D19">
        <w:rPr>
          <w:lang w:val="en-US"/>
        </w:rPr>
        <w:t>’s September meeting</w:t>
      </w:r>
      <w:r w:rsidR="00B02320" w:rsidRPr="00813D19">
        <w:rPr>
          <w:lang w:val="en-US"/>
        </w:rPr>
        <w:t>.</w:t>
      </w:r>
      <w:r w:rsidR="00CF4080" w:rsidRPr="00813D19">
        <w:rPr>
          <w:lang w:val="en-US"/>
        </w:rPr>
        <w:t xml:space="preserve"> </w:t>
      </w:r>
      <w:r w:rsidR="003C500C" w:rsidRPr="00813D19">
        <w:rPr>
          <w:lang w:val="en-US"/>
        </w:rPr>
        <w:t xml:space="preserve">The delegation wondered why it </w:t>
      </w:r>
      <w:r w:rsidR="00EB6DFA">
        <w:rPr>
          <w:lang w:val="en-US"/>
        </w:rPr>
        <w:t>is not</w:t>
      </w:r>
      <w:r w:rsidR="00EB6DFA" w:rsidRPr="00813D19">
        <w:rPr>
          <w:lang w:val="en-US"/>
        </w:rPr>
        <w:t xml:space="preserve"> </w:t>
      </w:r>
      <w:r w:rsidR="003C500C" w:rsidRPr="00813D19">
        <w:rPr>
          <w:lang w:val="en-US"/>
        </w:rPr>
        <w:t xml:space="preserve">contained in </w:t>
      </w:r>
      <w:r w:rsidR="00CF4080" w:rsidRPr="00813D19">
        <w:rPr>
          <w:lang w:val="en-US"/>
        </w:rPr>
        <w:t>the Rule</w:t>
      </w:r>
      <w:r w:rsidR="003C500C" w:rsidRPr="00813D19">
        <w:rPr>
          <w:lang w:val="en-US"/>
        </w:rPr>
        <w:t>,</w:t>
      </w:r>
      <w:r w:rsidR="00CF4080" w:rsidRPr="00813D19">
        <w:rPr>
          <w:lang w:val="en-US"/>
        </w:rPr>
        <w:t xml:space="preserve"> and </w:t>
      </w:r>
      <w:r w:rsidR="003C500C" w:rsidRPr="00813D19">
        <w:rPr>
          <w:lang w:val="en-US"/>
        </w:rPr>
        <w:t xml:space="preserve">therefore </w:t>
      </w:r>
      <w:r w:rsidR="00CF4080" w:rsidRPr="00813D19">
        <w:rPr>
          <w:lang w:val="en-US"/>
        </w:rPr>
        <w:t xml:space="preserve">why </w:t>
      </w:r>
      <w:r w:rsidR="003C500C" w:rsidRPr="00813D19">
        <w:rPr>
          <w:lang w:val="en-US"/>
        </w:rPr>
        <w:t xml:space="preserve">indeed </w:t>
      </w:r>
      <w:r w:rsidR="00262811">
        <w:rPr>
          <w:lang w:val="en-US"/>
        </w:rPr>
        <w:t xml:space="preserve">it </w:t>
      </w:r>
      <w:r w:rsidR="00262811" w:rsidRPr="00813D19">
        <w:rPr>
          <w:lang w:val="en-US"/>
        </w:rPr>
        <w:t>t</w:t>
      </w:r>
      <w:r w:rsidR="00262811">
        <w:rPr>
          <w:lang w:val="en-US"/>
        </w:rPr>
        <w:t>ook</w:t>
      </w:r>
      <w:r w:rsidR="00262811" w:rsidRPr="00813D19">
        <w:rPr>
          <w:lang w:val="en-US"/>
        </w:rPr>
        <w:t xml:space="preserve"> </w:t>
      </w:r>
      <w:r w:rsidR="003C500C" w:rsidRPr="00813D19">
        <w:rPr>
          <w:lang w:val="en-US"/>
        </w:rPr>
        <w:t>place.</w:t>
      </w:r>
      <w:r w:rsidR="00CF4080" w:rsidRPr="00813D19">
        <w:rPr>
          <w:lang w:val="en-US"/>
        </w:rPr>
        <w:t xml:space="preserve"> </w:t>
      </w:r>
      <w:r w:rsidR="003C500C" w:rsidRPr="00813D19">
        <w:rPr>
          <w:lang w:val="en-US"/>
        </w:rPr>
        <w:t xml:space="preserve">It therefore appeared that the </w:t>
      </w:r>
      <w:r w:rsidR="00CF4080" w:rsidRPr="00813D19">
        <w:rPr>
          <w:lang w:val="en-US"/>
        </w:rPr>
        <w:t xml:space="preserve">practice </w:t>
      </w:r>
      <w:r w:rsidR="003C500C" w:rsidRPr="00813D19">
        <w:rPr>
          <w:lang w:val="en-US"/>
        </w:rPr>
        <w:t xml:space="preserve">was </w:t>
      </w:r>
      <w:r w:rsidR="00CF4080" w:rsidRPr="00813D19">
        <w:rPr>
          <w:lang w:val="en-US"/>
        </w:rPr>
        <w:t xml:space="preserve">already in contravention </w:t>
      </w:r>
      <w:r w:rsidR="003C500C" w:rsidRPr="00813D19">
        <w:rPr>
          <w:lang w:val="en-US"/>
        </w:rPr>
        <w:t>of Rule 55.</w:t>
      </w:r>
      <w:r w:rsidR="00CF4080" w:rsidRPr="00813D19">
        <w:rPr>
          <w:lang w:val="en-US"/>
        </w:rPr>
        <w:t xml:space="preserve"> </w:t>
      </w:r>
      <w:r w:rsidR="003C500C" w:rsidRPr="00813D19">
        <w:rPr>
          <w:lang w:val="en-US"/>
        </w:rPr>
        <w:t>The argument had</w:t>
      </w:r>
      <w:r w:rsidR="00CF4080" w:rsidRPr="00813D19">
        <w:rPr>
          <w:lang w:val="en-US"/>
        </w:rPr>
        <w:t xml:space="preserve"> always been that </w:t>
      </w:r>
      <w:r w:rsidR="003C500C" w:rsidRPr="00813D19">
        <w:rPr>
          <w:lang w:val="en-US"/>
        </w:rPr>
        <w:t xml:space="preserve">the Committee must </w:t>
      </w:r>
      <w:r w:rsidR="00CF4080" w:rsidRPr="00813D19">
        <w:rPr>
          <w:lang w:val="en-US"/>
        </w:rPr>
        <w:t>follow the Rule</w:t>
      </w:r>
      <w:r w:rsidR="003C500C" w:rsidRPr="00813D19">
        <w:rPr>
          <w:lang w:val="en-US"/>
        </w:rPr>
        <w:t xml:space="preserve">s, but the </w:t>
      </w:r>
      <w:r w:rsidR="00CF4080" w:rsidRPr="00813D19">
        <w:rPr>
          <w:lang w:val="en-US"/>
        </w:rPr>
        <w:t>September meeting</w:t>
      </w:r>
      <w:r w:rsidR="003C500C" w:rsidRPr="00813D19">
        <w:rPr>
          <w:lang w:val="en-US"/>
        </w:rPr>
        <w:t xml:space="preserve"> was absent from Rule 55.</w:t>
      </w:r>
      <w:r w:rsidR="00CF4080" w:rsidRPr="00813D19">
        <w:rPr>
          <w:lang w:val="en-US"/>
        </w:rPr>
        <w:t xml:space="preserve"> </w:t>
      </w:r>
      <w:r w:rsidR="003C500C" w:rsidRPr="00813D19">
        <w:rPr>
          <w:lang w:val="en-US"/>
        </w:rPr>
        <w:t xml:space="preserve">Indeed, there was mention of the </w:t>
      </w:r>
      <w:r w:rsidR="00CF4080" w:rsidRPr="00813D19">
        <w:rPr>
          <w:lang w:val="en-US"/>
        </w:rPr>
        <w:t xml:space="preserve">September meeting in the previous </w:t>
      </w:r>
      <w:r w:rsidR="003C500C" w:rsidRPr="00813D19">
        <w:rPr>
          <w:lang w:val="en-US"/>
        </w:rPr>
        <w:t xml:space="preserve">Rule </w:t>
      </w:r>
      <w:r w:rsidR="00CF4080" w:rsidRPr="00813D19">
        <w:rPr>
          <w:lang w:val="en-US"/>
        </w:rPr>
        <w:t>54</w:t>
      </w:r>
      <w:r w:rsidR="00262811">
        <w:rPr>
          <w:lang w:val="en-US"/>
        </w:rPr>
        <w:t>;</w:t>
      </w:r>
      <w:r w:rsidR="00CF4080" w:rsidRPr="00813D19">
        <w:rPr>
          <w:lang w:val="en-US"/>
        </w:rPr>
        <w:t xml:space="preserve"> however</w:t>
      </w:r>
      <w:r w:rsidR="00262811">
        <w:rPr>
          <w:lang w:val="en-US"/>
        </w:rPr>
        <w:t>,</w:t>
      </w:r>
      <w:r w:rsidR="00CF4080" w:rsidRPr="00813D19">
        <w:rPr>
          <w:lang w:val="en-US"/>
        </w:rPr>
        <w:t xml:space="preserve"> that </w:t>
      </w:r>
      <w:r w:rsidR="003C500C" w:rsidRPr="00813D19">
        <w:rPr>
          <w:lang w:val="en-US"/>
        </w:rPr>
        <w:t xml:space="preserve">pertained </w:t>
      </w:r>
      <w:r w:rsidR="00CF4080" w:rsidRPr="00813D19">
        <w:rPr>
          <w:lang w:val="en-US"/>
        </w:rPr>
        <w:t xml:space="preserve">only </w:t>
      </w:r>
      <w:r w:rsidR="003C500C" w:rsidRPr="00813D19">
        <w:rPr>
          <w:lang w:val="en-US"/>
        </w:rPr>
        <w:t xml:space="preserve">to </w:t>
      </w:r>
      <w:r w:rsidR="00CF4080" w:rsidRPr="00813D19">
        <w:rPr>
          <w:lang w:val="en-US"/>
        </w:rPr>
        <w:t xml:space="preserve">the deadline. </w:t>
      </w:r>
      <w:r w:rsidR="003C500C" w:rsidRPr="00813D19">
        <w:rPr>
          <w:lang w:val="en-US"/>
        </w:rPr>
        <w:t xml:space="preserve">The delegation wished to be </w:t>
      </w:r>
      <w:r w:rsidR="003D2FFF" w:rsidRPr="00813D19">
        <w:rPr>
          <w:lang w:val="en-US"/>
        </w:rPr>
        <w:t>constructive</w:t>
      </w:r>
      <w:r w:rsidR="00262811">
        <w:rPr>
          <w:lang w:val="en-US"/>
        </w:rPr>
        <w:t>,</w:t>
      </w:r>
      <w:r w:rsidR="00CF4080" w:rsidRPr="00813D19">
        <w:rPr>
          <w:lang w:val="en-US"/>
        </w:rPr>
        <w:t xml:space="preserve"> </w:t>
      </w:r>
      <w:r w:rsidR="003C500C" w:rsidRPr="00813D19">
        <w:rPr>
          <w:lang w:val="en-US"/>
        </w:rPr>
        <w:t xml:space="preserve">having heard </w:t>
      </w:r>
      <w:r w:rsidR="00CF4080" w:rsidRPr="00813D19">
        <w:rPr>
          <w:lang w:val="en-US"/>
        </w:rPr>
        <w:t xml:space="preserve">the political will of the Member States from the General Assembly to the Committee </w:t>
      </w:r>
      <w:r w:rsidR="003C500C" w:rsidRPr="00813D19">
        <w:rPr>
          <w:lang w:val="en-US"/>
        </w:rPr>
        <w:t xml:space="preserve">over </w:t>
      </w:r>
      <w:r w:rsidR="00CF4080" w:rsidRPr="00813D19">
        <w:rPr>
          <w:lang w:val="en-US"/>
        </w:rPr>
        <w:t>the last two years si</w:t>
      </w:r>
      <w:r w:rsidR="003C500C" w:rsidRPr="00813D19">
        <w:rPr>
          <w:lang w:val="en-US"/>
        </w:rPr>
        <w:t xml:space="preserve">nce the debacle in Addis Ababa in which </w:t>
      </w:r>
      <w:r w:rsidR="00CF4080" w:rsidRPr="00813D19">
        <w:rPr>
          <w:lang w:val="en-US"/>
        </w:rPr>
        <w:t xml:space="preserve">certain decisions of </w:t>
      </w:r>
      <w:r w:rsidR="003C500C" w:rsidRPr="00813D19">
        <w:rPr>
          <w:lang w:val="en-US"/>
        </w:rPr>
        <w:t xml:space="preserve">the </w:t>
      </w:r>
      <w:r w:rsidR="00CF4080" w:rsidRPr="00813D19">
        <w:rPr>
          <w:lang w:val="en-US"/>
        </w:rPr>
        <w:t xml:space="preserve">Committee might have </w:t>
      </w:r>
      <w:r w:rsidR="003C500C" w:rsidRPr="00813D19">
        <w:rPr>
          <w:lang w:val="en-US"/>
        </w:rPr>
        <w:t xml:space="preserve">been different under the current </w:t>
      </w:r>
      <w:r w:rsidR="00CF4080" w:rsidRPr="00813D19">
        <w:rPr>
          <w:lang w:val="en-US"/>
        </w:rPr>
        <w:t xml:space="preserve">situation. </w:t>
      </w:r>
      <w:r w:rsidR="003C500C" w:rsidRPr="00813D19">
        <w:rPr>
          <w:lang w:val="en-US"/>
        </w:rPr>
        <w:t xml:space="preserve">The delegation was therefore asking </w:t>
      </w:r>
      <w:r w:rsidR="00CF4080" w:rsidRPr="00813D19">
        <w:rPr>
          <w:lang w:val="en-US"/>
        </w:rPr>
        <w:t xml:space="preserve">for </w:t>
      </w:r>
      <w:r w:rsidR="003C500C" w:rsidRPr="00813D19">
        <w:rPr>
          <w:lang w:val="en-US"/>
        </w:rPr>
        <w:t xml:space="preserve">some flexibility, as it was </w:t>
      </w:r>
      <w:r w:rsidR="00CF4080" w:rsidRPr="00813D19">
        <w:rPr>
          <w:lang w:val="en-US"/>
        </w:rPr>
        <w:t>not going agai</w:t>
      </w:r>
      <w:r w:rsidR="003C500C" w:rsidRPr="00813D19">
        <w:rPr>
          <w:lang w:val="en-US"/>
        </w:rPr>
        <w:t xml:space="preserve">nst the Operational Directives, and that the Committee </w:t>
      </w:r>
      <w:r w:rsidR="00CF4080" w:rsidRPr="00813D19">
        <w:rPr>
          <w:lang w:val="en-US"/>
        </w:rPr>
        <w:t>should go ahead with this provisional measure</w:t>
      </w:r>
      <w:r w:rsidR="003C500C" w:rsidRPr="00813D19">
        <w:rPr>
          <w:lang w:val="en-US"/>
        </w:rPr>
        <w:t xml:space="preserve"> to see how it would progress</w:t>
      </w:r>
      <w:r w:rsidR="00DD4E22">
        <w:rPr>
          <w:lang w:val="en-US"/>
        </w:rPr>
        <w:t>.</w:t>
      </w:r>
    </w:p>
    <w:p w14:paraId="16D76321" w14:textId="22525D4F" w:rsidR="00575378" w:rsidRPr="00813D19" w:rsidRDefault="003C500C" w:rsidP="003003F0">
      <w:pPr>
        <w:pStyle w:val="Orateurengris"/>
        <w:spacing w:before="120"/>
        <w:ind w:left="709" w:hanging="709"/>
        <w:rPr>
          <w:color w:val="000000" w:themeColor="text1"/>
          <w:lang w:val="en-US"/>
        </w:rPr>
      </w:pPr>
      <w:r w:rsidRPr="00813D19">
        <w:rPr>
          <w:color w:val="000000" w:themeColor="text1"/>
          <w:lang w:val="en-US"/>
        </w:rPr>
        <w:t>Regarding the meeting in September, t</w:t>
      </w:r>
      <w:r w:rsidR="00575378" w:rsidRPr="00813D19">
        <w:rPr>
          <w:color w:val="000000" w:themeColor="text1"/>
          <w:lang w:val="en-US"/>
        </w:rPr>
        <w:t>he</w:t>
      </w:r>
      <w:r w:rsidR="00575378" w:rsidRPr="00813D19">
        <w:rPr>
          <w:b/>
          <w:color w:val="000000" w:themeColor="text1"/>
          <w:lang w:val="en-US"/>
        </w:rPr>
        <w:t xml:space="preserve"> Secretary </w:t>
      </w:r>
      <w:r w:rsidRPr="00813D19">
        <w:rPr>
          <w:lang w:val="en-US"/>
        </w:rPr>
        <w:t xml:space="preserve">explained that this </w:t>
      </w:r>
      <w:r w:rsidR="00CF4080" w:rsidRPr="00813D19">
        <w:rPr>
          <w:lang w:val="en-US"/>
        </w:rPr>
        <w:t xml:space="preserve">meeting </w:t>
      </w:r>
      <w:r w:rsidR="00262811">
        <w:rPr>
          <w:lang w:val="en-US"/>
        </w:rPr>
        <w:t>was</w:t>
      </w:r>
      <w:r w:rsidR="00262811" w:rsidRPr="00813D19">
        <w:rPr>
          <w:lang w:val="en-US"/>
        </w:rPr>
        <w:t xml:space="preserve"> </w:t>
      </w:r>
      <w:r w:rsidRPr="00813D19">
        <w:rPr>
          <w:lang w:val="en-US"/>
        </w:rPr>
        <w:t xml:space="preserve">held so that </w:t>
      </w:r>
      <w:r w:rsidR="00CF4080" w:rsidRPr="00813D19">
        <w:rPr>
          <w:lang w:val="en-US"/>
        </w:rPr>
        <w:t xml:space="preserve">the Evaluation Body </w:t>
      </w:r>
      <w:r w:rsidR="00262811" w:rsidRPr="00813D19">
        <w:rPr>
          <w:lang w:val="en-US"/>
        </w:rPr>
        <w:t>c</w:t>
      </w:r>
      <w:r w:rsidR="00262811">
        <w:rPr>
          <w:lang w:val="en-US"/>
        </w:rPr>
        <w:t xml:space="preserve">ould </w:t>
      </w:r>
      <w:r w:rsidRPr="00813D19">
        <w:rPr>
          <w:lang w:val="en-US"/>
        </w:rPr>
        <w:t xml:space="preserve">get </w:t>
      </w:r>
      <w:r w:rsidR="00CF4080" w:rsidRPr="00813D19">
        <w:rPr>
          <w:lang w:val="en-US"/>
        </w:rPr>
        <w:t>together to agree</w:t>
      </w:r>
      <w:r w:rsidRPr="00813D19">
        <w:rPr>
          <w:lang w:val="en-US"/>
        </w:rPr>
        <w:t xml:space="preserve"> on the content of the reports;</w:t>
      </w:r>
      <w:r w:rsidR="00CF4080" w:rsidRPr="00813D19">
        <w:rPr>
          <w:lang w:val="en-US"/>
        </w:rPr>
        <w:t xml:space="preserve"> </w:t>
      </w:r>
      <w:r w:rsidRPr="00813D19">
        <w:rPr>
          <w:lang w:val="en-US"/>
        </w:rPr>
        <w:t xml:space="preserve">this had </w:t>
      </w:r>
      <w:r w:rsidR="00CF4080" w:rsidRPr="00813D19">
        <w:rPr>
          <w:lang w:val="en-US"/>
        </w:rPr>
        <w:t>always been</w:t>
      </w:r>
      <w:r w:rsidRPr="00813D19">
        <w:rPr>
          <w:lang w:val="en-US"/>
        </w:rPr>
        <w:t xml:space="preserve"> the practice. The Secretary invited </w:t>
      </w:r>
      <w:r w:rsidR="00CF4080" w:rsidRPr="00813D19">
        <w:rPr>
          <w:lang w:val="en-US"/>
        </w:rPr>
        <w:t>the Evaluation Body to speak</w:t>
      </w:r>
      <w:r w:rsidRPr="00813D19">
        <w:rPr>
          <w:lang w:val="en-US"/>
        </w:rPr>
        <w:t xml:space="preserve"> </w:t>
      </w:r>
      <w:r w:rsidR="00CF4080" w:rsidRPr="00813D19">
        <w:rPr>
          <w:lang w:val="en-US"/>
        </w:rPr>
        <w:t xml:space="preserve">about the </w:t>
      </w:r>
      <w:r w:rsidRPr="00813D19">
        <w:rPr>
          <w:lang w:val="en-US"/>
        </w:rPr>
        <w:t xml:space="preserve">evaluation </w:t>
      </w:r>
      <w:r w:rsidR="00CF4080" w:rsidRPr="00813D19">
        <w:rPr>
          <w:lang w:val="en-US"/>
        </w:rPr>
        <w:t xml:space="preserve">process </w:t>
      </w:r>
      <w:r w:rsidRPr="00813D19">
        <w:rPr>
          <w:lang w:val="en-US"/>
        </w:rPr>
        <w:t xml:space="preserve">and also </w:t>
      </w:r>
      <w:r w:rsidR="003D2FFF" w:rsidRPr="00813D19">
        <w:rPr>
          <w:lang w:val="en-US"/>
        </w:rPr>
        <w:t xml:space="preserve">for the Body to make clear </w:t>
      </w:r>
      <w:r w:rsidR="006A6EFD" w:rsidRPr="00813D19">
        <w:rPr>
          <w:lang w:val="en-US"/>
        </w:rPr>
        <w:t xml:space="preserve">whether </w:t>
      </w:r>
      <w:r w:rsidR="003D2FFF" w:rsidRPr="00813D19">
        <w:rPr>
          <w:lang w:val="en-US"/>
        </w:rPr>
        <w:t xml:space="preserve">it </w:t>
      </w:r>
      <w:r w:rsidRPr="00813D19">
        <w:rPr>
          <w:lang w:val="en-US"/>
        </w:rPr>
        <w:t>had ever changed one</w:t>
      </w:r>
      <w:r w:rsidR="00DD4E22">
        <w:rPr>
          <w:lang w:val="en-US"/>
        </w:rPr>
        <w:t xml:space="preserve"> of the decisions in September.</w:t>
      </w:r>
    </w:p>
    <w:p w14:paraId="118089B4" w14:textId="09D6A21A" w:rsidR="002C1CA1" w:rsidRPr="00813D19" w:rsidRDefault="002C1CA1"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Cuba</w:t>
      </w:r>
      <w:r w:rsidR="00CF4080" w:rsidRPr="00813D19">
        <w:rPr>
          <w:b/>
          <w:color w:val="000000" w:themeColor="text1"/>
          <w:lang w:val="en-US"/>
        </w:rPr>
        <w:t xml:space="preserve"> </w:t>
      </w:r>
      <w:r w:rsidR="006A6EFD" w:rsidRPr="00813D19">
        <w:rPr>
          <w:color w:val="000000" w:themeColor="text1"/>
          <w:lang w:val="en-US"/>
        </w:rPr>
        <w:t>recalled the</w:t>
      </w:r>
      <w:r w:rsidR="006A6EFD" w:rsidRPr="00813D19">
        <w:rPr>
          <w:b/>
          <w:color w:val="000000" w:themeColor="text1"/>
          <w:lang w:val="en-US"/>
        </w:rPr>
        <w:t xml:space="preserve"> </w:t>
      </w:r>
      <w:r w:rsidR="00CF4080" w:rsidRPr="00813D19">
        <w:rPr>
          <w:bCs/>
          <w:lang w:val="en-US"/>
        </w:rPr>
        <w:t xml:space="preserve">lengthy discussion </w:t>
      </w:r>
      <w:r w:rsidR="006A6EFD" w:rsidRPr="00813D19">
        <w:rPr>
          <w:bCs/>
          <w:lang w:val="en-US"/>
        </w:rPr>
        <w:t xml:space="preserve">the previous day </w:t>
      </w:r>
      <w:r w:rsidR="00CF4080" w:rsidRPr="00813D19">
        <w:rPr>
          <w:bCs/>
          <w:lang w:val="en-US"/>
        </w:rPr>
        <w:t xml:space="preserve">on the mandate of </w:t>
      </w:r>
      <w:r w:rsidR="006A6EFD" w:rsidRPr="00813D19">
        <w:rPr>
          <w:bCs/>
          <w:lang w:val="en-US"/>
        </w:rPr>
        <w:t xml:space="preserve">the </w:t>
      </w:r>
      <w:r w:rsidR="00CF4080" w:rsidRPr="00813D19">
        <w:rPr>
          <w:bCs/>
          <w:lang w:val="en-US"/>
        </w:rPr>
        <w:t>Comm</w:t>
      </w:r>
      <w:r w:rsidR="006A6EFD" w:rsidRPr="00813D19">
        <w:rPr>
          <w:bCs/>
          <w:lang w:val="en-US"/>
        </w:rPr>
        <w:t xml:space="preserve">ittee, as </w:t>
      </w:r>
      <w:r w:rsidR="005026D7" w:rsidRPr="00813D19">
        <w:rPr>
          <w:bCs/>
          <w:lang w:val="en-US"/>
        </w:rPr>
        <w:t>delegated</w:t>
      </w:r>
      <w:r w:rsidR="00CF4080" w:rsidRPr="00813D19">
        <w:rPr>
          <w:bCs/>
          <w:lang w:val="en-US"/>
        </w:rPr>
        <w:t xml:space="preserve"> by the General Assembly. </w:t>
      </w:r>
      <w:r w:rsidR="003D2FFF" w:rsidRPr="00813D19">
        <w:rPr>
          <w:bCs/>
          <w:lang w:val="en-US"/>
        </w:rPr>
        <w:t>T</w:t>
      </w:r>
      <w:r w:rsidR="005026D7" w:rsidRPr="00813D19">
        <w:rPr>
          <w:bCs/>
          <w:lang w:val="en-US"/>
        </w:rPr>
        <w:t>hus</w:t>
      </w:r>
      <w:r w:rsidR="003D2FFF" w:rsidRPr="00813D19">
        <w:rPr>
          <w:bCs/>
          <w:lang w:val="en-US"/>
        </w:rPr>
        <w:t>,</w:t>
      </w:r>
      <w:r w:rsidR="005026D7" w:rsidRPr="00813D19">
        <w:rPr>
          <w:bCs/>
          <w:lang w:val="en-US"/>
        </w:rPr>
        <w:t xml:space="preserve"> it </w:t>
      </w:r>
      <w:r w:rsidR="00CF4080" w:rsidRPr="00813D19">
        <w:rPr>
          <w:bCs/>
          <w:lang w:val="en-US"/>
        </w:rPr>
        <w:t xml:space="preserve">would save time to </w:t>
      </w:r>
      <w:r w:rsidR="005026D7" w:rsidRPr="00813D19">
        <w:rPr>
          <w:bCs/>
          <w:lang w:val="en-US"/>
        </w:rPr>
        <w:t xml:space="preserve">go to </w:t>
      </w:r>
      <w:r w:rsidR="00CF4080" w:rsidRPr="00813D19">
        <w:rPr>
          <w:bCs/>
          <w:lang w:val="en-US"/>
        </w:rPr>
        <w:t>the General Assembly with a concrete proposal</w:t>
      </w:r>
      <w:r w:rsidR="005026D7" w:rsidRPr="00813D19">
        <w:rPr>
          <w:bCs/>
          <w:lang w:val="en-US"/>
        </w:rPr>
        <w:t xml:space="preserve">. The delegation recalled that the Committee </w:t>
      </w:r>
      <w:r w:rsidR="00262811">
        <w:rPr>
          <w:bCs/>
          <w:lang w:val="en-US"/>
        </w:rPr>
        <w:t>wa</w:t>
      </w:r>
      <w:r w:rsidR="005026D7" w:rsidRPr="00813D19">
        <w:rPr>
          <w:bCs/>
          <w:lang w:val="en-US"/>
        </w:rPr>
        <w:t xml:space="preserve">s </w:t>
      </w:r>
      <w:r w:rsidR="00CF4080" w:rsidRPr="00813D19">
        <w:rPr>
          <w:bCs/>
          <w:lang w:val="en-US"/>
        </w:rPr>
        <w:t xml:space="preserve">an intergovernmental </w:t>
      </w:r>
      <w:r w:rsidR="005026D7" w:rsidRPr="00813D19">
        <w:rPr>
          <w:bCs/>
          <w:lang w:val="en-US"/>
        </w:rPr>
        <w:t xml:space="preserve">entity and that there was </w:t>
      </w:r>
      <w:r w:rsidR="00CF4080" w:rsidRPr="00813D19">
        <w:rPr>
          <w:bCs/>
          <w:lang w:val="en-US"/>
        </w:rPr>
        <w:t xml:space="preserve">never </w:t>
      </w:r>
      <w:r w:rsidR="005026D7" w:rsidRPr="00813D19">
        <w:rPr>
          <w:bCs/>
          <w:lang w:val="en-US"/>
        </w:rPr>
        <w:t xml:space="preserve">enough </w:t>
      </w:r>
      <w:r w:rsidR="00CF4080" w:rsidRPr="00813D19">
        <w:rPr>
          <w:bCs/>
          <w:lang w:val="en-US"/>
        </w:rPr>
        <w:t>time in the General Assembly</w:t>
      </w:r>
      <w:r w:rsidR="005026D7" w:rsidRPr="00813D19">
        <w:rPr>
          <w:bCs/>
          <w:lang w:val="en-US"/>
        </w:rPr>
        <w:t xml:space="preserve">. </w:t>
      </w:r>
      <w:r w:rsidR="003D2FFF" w:rsidRPr="00813D19">
        <w:rPr>
          <w:bCs/>
          <w:lang w:val="en-US"/>
        </w:rPr>
        <w:t xml:space="preserve">It </w:t>
      </w:r>
      <w:r w:rsidR="005026D7" w:rsidRPr="00813D19">
        <w:rPr>
          <w:bCs/>
          <w:lang w:val="en-US"/>
        </w:rPr>
        <w:t xml:space="preserve">therefore </w:t>
      </w:r>
      <w:r w:rsidR="00CF4080" w:rsidRPr="00813D19">
        <w:rPr>
          <w:bCs/>
          <w:lang w:val="en-US"/>
        </w:rPr>
        <w:t>request</w:t>
      </w:r>
      <w:r w:rsidR="005026D7" w:rsidRPr="00813D19">
        <w:rPr>
          <w:bCs/>
          <w:lang w:val="en-US"/>
        </w:rPr>
        <w:t>ed</w:t>
      </w:r>
      <w:r w:rsidR="00CF4080" w:rsidRPr="00813D19">
        <w:rPr>
          <w:bCs/>
          <w:lang w:val="en-US"/>
        </w:rPr>
        <w:t xml:space="preserve"> a </w:t>
      </w:r>
      <w:r w:rsidR="005026D7" w:rsidRPr="00813D19">
        <w:rPr>
          <w:bCs/>
          <w:lang w:val="en-US"/>
        </w:rPr>
        <w:t xml:space="preserve">bit of </w:t>
      </w:r>
      <w:r w:rsidR="00CF4080" w:rsidRPr="00813D19">
        <w:rPr>
          <w:bCs/>
          <w:lang w:val="en-US"/>
        </w:rPr>
        <w:t>flexibility</w:t>
      </w:r>
      <w:r w:rsidR="005026D7" w:rsidRPr="00813D19">
        <w:rPr>
          <w:bCs/>
          <w:lang w:val="en-US"/>
        </w:rPr>
        <w:t>, as this intergovernmental proposal was a way forward in bringing a concrete proposal to the General Assembly, not least because this had been discussed over</w:t>
      </w:r>
      <w:r w:rsidR="00262811">
        <w:rPr>
          <w:bCs/>
          <w:lang w:val="en-US"/>
        </w:rPr>
        <w:t xml:space="preserve"> the</w:t>
      </w:r>
      <w:r w:rsidR="005026D7" w:rsidRPr="00813D19">
        <w:rPr>
          <w:bCs/>
          <w:lang w:val="en-US"/>
        </w:rPr>
        <w:t xml:space="preserve"> last few sessions and it was within the guidelines.</w:t>
      </w:r>
    </w:p>
    <w:p w14:paraId="5ADA9689" w14:textId="1A9C81B0" w:rsidR="002C1CA1" w:rsidRPr="00813D19" w:rsidRDefault="00C1140C"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Austria</w:t>
      </w:r>
      <w:r w:rsidR="00CF4080" w:rsidRPr="00813D19">
        <w:rPr>
          <w:b/>
          <w:color w:val="000000" w:themeColor="text1"/>
          <w:lang w:val="en-US"/>
        </w:rPr>
        <w:t xml:space="preserve"> </w:t>
      </w:r>
      <w:r w:rsidR="00476B8F" w:rsidRPr="00813D19">
        <w:rPr>
          <w:color w:val="000000" w:themeColor="text1"/>
          <w:lang w:val="en-US"/>
        </w:rPr>
        <w:t xml:space="preserve">remarked on the palpable tension in the room, adding that it had already </w:t>
      </w:r>
      <w:r w:rsidR="00CF4080" w:rsidRPr="00813D19">
        <w:rPr>
          <w:lang w:val="en-US"/>
        </w:rPr>
        <w:t xml:space="preserve">expressed support for dialogue and reflection. In Austria </w:t>
      </w:r>
      <w:r w:rsidR="00476B8F" w:rsidRPr="00813D19">
        <w:rPr>
          <w:lang w:val="en-US"/>
        </w:rPr>
        <w:t xml:space="preserve">there was a saying </w:t>
      </w:r>
      <w:r w:rsidR="00476B8F" w:rsidRPr="00813D19">
        <w:rPr>
          <w:i/>
          <w:lang w:val="en-US"/>
        </w:rPr>
        <w:t>Vom Hudeln kommen die K</w:t>
      </w:r>
      <w:r w:rsidR="00CF4080" w:rsidRPr="00813D19">
        <w:rPr>
          <w:i/>
          <w:lang w:val="en-US"/>
        </w:rPr>
        <w:t>inder</w:t>
      </w:r>
      <w:r w:rsidR="00476B8F" w:rsidRPr="00813D19">
        <w:rPr>
          <w:i/>
          <w:lang w:val="en-US"/>
        </w:rPr>
        <w:t>,</w:t>
      </w:r>
      <w:r w:rsidR="00CF4080" w:rsidRPr="00813D19">
        <w:rPr>
          <w:lang w:val="en-US"/>
        </w:rPr>
        <w:t xml:space="preserve"> which </w:t>
      </w:r>
      <w:r w:rsidR="00476B8F" w:rsidRPr="00813D19">
        <w:rPr>
          <w:lang w:val="en-US"/>
        </w:rPr>
        <w:t xml:space="preserve">roughly </w:t>
      </w:r>
      <w:r w:rsidR="00CF4080" w:rsidRPr="00813D19">
        <w:rPr>
          <w:lang w:val="en-US"/>
        </w:rPr>
        <w:t xml:space="preserve">translated </w:t>
      </w:r>
      <w:r w:rsidR="003D2FFF" w:rsidRPr="00813D19">
        <w:rPr>
          <w:lang w:val="en-US"/>
        </w:rPr>
        <w:t>as</w:t>
      </w:r>
      <w:r w:rsidR="00476B8F" w:rsidRPr="00813D19">
        <w:rPr>
          <w:lang w:val="en-US"/>
        </w:rPr>
        <w:t>, ‘</w:t>
      </w:r>
      <w:r w:rsidR="00CF4080" w:rsidRPr="00813D19">
        <w:rPr>
          <w:lang w:val="en-US"/>
        </w:rPr>
        <w:t>if you are too hasty</w:t>
      </w:r>
      <w:r w:rsidR="00476B8F" w:rsidRPr="00813D19">
        <w:rPr>
          <w:lang w:val="en-US"/>
        </w:rPr>
        <w:t>,</w:t>
      </w:r>
      <w:r w:rsidR="00CF4080" w:rsidRPr="00813D19">
        <w:rPr>
          <w:lang w:val="en-US"/>
        </w:rPr>
        <w:t xml:space="preserve"> there will </w:t>
      </w:r>
      <w:r w:rsidR="00476B8F" w:rsidRPr="00813D19">
        <w:rPr>
          <w:lang w:val="en-US"/>
        </w:rPr>
        <w:t xml:space="preserve">be children’, implying that one has </w:t>
      </w:r>
      <w:r w:rsidR="00CF4080" w:rsidRPr="00813D19">
        <w:rPr>
          <w:lang w:val="en-US"/>
        </w:rPr>
        <w:t xml:space="preserve">to live with the consequences for a long time. </w:t>
      </w:r>
      <w:r w:rsidR="00476B8F" w:rsidRPr="00813D19">
        <w:rPr>
          <w:lang w:val="en-US"/>
        </w:rPr>
        <w:t>The delegation recalled that D</w:t>
      </w:r>
      <w:r w:rsidR="00CF4080" w:rsidRPr="00813D19">
        <w:rPr>
          <w:lang w:val="en-US"/>
        </w:rPr>
        <w:t xml:space="preserve">ecision </w:t>
      </w:r>
      <w:hyperlink r:id="rId160" w:history="1">
        <w:r w:rsidR="00CF4080" w:rsidRPr="00813D19">
          <w:rPr>
            <w:rStyle w:val="Hyperlink"/>
            <w:lang w:val="en-US"/>
          </w:rPr>
          <w:t>7.GA 6</w:t>
        </w:r>
      </w:hyperlink>
      <w:r w:rsidR="00CF4080" w:rsidRPr="00813D19">
        <w:rPr>
          <w:lang w:val="en-US"/>
        </w:rPr>
        <w:t xml:space="preserve"> </w:t>
      </w:r>
      <w:r w:rsidR="00476B8F" w:rsidRPr="00813D19">
        <w:rPr>
          <w:lang w:val="en-US"/>
        </w:rPr>
        <w:t>referred</w:t>
      </w:r>
      <w:r w:rsidR="00CF4080" w:rsidRPr="00813D19">
        <w:rPr>
          <w:lang w:val="en-US"/>
        </w:rPr>
        <w:t xml:space="preserve"> not </w:t>
      </w:r>
      <w:r w:rsidR="003D2FFF" w:rsidRPr="00813D19">
        <w:rPr>
          <w:lang w:val="en-US"/>
        </w:rPr>
        <w:t xml:space="preserve">only </w:t>
      </w:r>
      <w:r w:rsidR="00CF4080" w:rsidRPr="00813D19">
        <w:rPr>
          <w:lang w:val="en-US"/>
        </w:rPr>
        <w:t xml:space="preserve">to the Committee but </w:t>
      </w:r>
      <w:r w:rsidR="003D2FFF" w:rsidRPr="00813D19">
        <w:rPr>
          <w:lang w:val="en-US"/>
        </w:rPr>
        <w:t xml:space="preserve">also </w:t>
      </w:r>
      <w:r w:rsidR="00CF4080" w:rsidRPr="00813D19">
        <w:rPr>
          <w:lang w:val="en-US"/>
        </w:rPr>
        <w:t xml:space="preserve">to the </w:t>
      </w:r>
      <w:r w:rsidR="003D2FFF" w:rsidRPr="00813D19">
        <w:rPr>
          <w:lang w:val="en-US"/>
        </w:rPr>
        <w:t xml:space="preserve">[informal ad hoc] </w:t>
      </w:r>
      <w:r w:rsidR="00CF4080" w:rsidRPr="00813D19">
        <w:rPr>
          <w:lang w:val="en-US"/>
        </w:rPr>
        <w:t>working group</w:t>
      </w:r>
      <w:r w:rsidR="00476B8F" w:rsidRPr="00813D19">
        <w:rPr>
          <w:lang w:val="en-US"/>
        </w:rPr>
        <w:t>,</w:t>
      </w:r>
      <w:r w:rsidR="00CF4080" w:rsidRPr="00813D19">
        <w:rPr>
          <w:lang w:val="en-US"/>
        </w:rPr>
        <w:t xml:space="preserve"> </w:t>
      </w:r>
      <w:r w:rsidR="00476B8F" w:rsidRPr="00813D19">
        <w:rPr>
          <w:lang w:val="en-US"/>
        </w:rPr>
        <w:t xml:space="preserve">so the proposal </w:t>
      </w:r>
      <w:r w:rsidR="00CF4080" w:rsidRPr="00813D19">
        <w:rPr>
          <w:lang w:val="en-US"/>
        </w:rPr>
        <w:t xml:space="preserve">should </w:t>
      </w:r>
      <w:r w:rsidR="00476B8F" w:rsidRPr="00813D19">
        <w:rPr>
          <w:lang w:val="en-US"/>
        </w:rPr>
        <w:t xml:space="preserve">also </w:t>
      </w:r>
      <w:r w:rsidR="00CF4080" w:rsidRPr="00813D19">
        <w:rPr>
          <w:lang w:val="en-US"/>
        </w:rPr>
        <w:t>go throu</w:t>
      </w:r>
      <w:r w:rsidR="00476B8F" w:rsidRPr="00813D19">
        <w:rPr>
          <w:lang w:val="en-US"/>
        </w:rPr>
        <w:t>gh th</w:t>
      </w:r>
      <w:r w:rsidR="00DD4E22">
        <w:rPr>
          <w:lang w:val="en-US"/>
        </w:rPr>
        <w:t>e open-ended working group.</w:t>
      </w:r>
    </w:p>
    <w:p w14:paraId="509145ED" w14:textId="0E2A713C" w:rsidR="00000012" w:rsidRPr="00813D19" w:rsidRDefault="00000012"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CF4080" w:rsidRPr="00813D19">
        <w:rPr>
          <w:b/>
          <w:color w:val="000000" w:themeColor="text1"/>
          <w:lang w:val="en-US"/>
        </w:rPr>
        <w:t xml:space="preserve"> </w:t>
      </w:r>
      <w:r w:rsidR="001F2A4A" w:rsidRPr="00813D19">
        <w:rPr>
          <w:lang w:val="en-US"/>
        </w:rPr>
        <w:t>noted that the Secretariat had</w:t>
      </w:r>
      <w:r w:rsidR="00CF4080" w:rsidRPr="00813D19">
        <w:rPr>
          <w:lang w:val="en-US"/>
        </w:rPr>
        <w:t xml:space="preserve"> two approaches </w:t>
      </w:r>
      <w:r w:rsidR="001F2A4A" w:rsidRPr="00813D19">
        <w:rPr>
          <w:lang w:val="en-US"/>
        </w:rPr>
        <w:t xml:space="preserve">in </w:t>
      </w:r>
      <w:r w:rsidR="00CF4080" w:rsidRPr="00813D19">
        <w:rPr>
          <w:lang w:val="en-US"/>
        </w:rPr>
        <w:t>respect</w:t>
      </w:r>
      <w:r w:rsidR="001F2A4A" w:rsidRPr="00813D19">
        <w:rPr>
          <w:lang w:val="en-US"/>
        </w:rPr>
        <w:t>ing</w:t>
      </w:r>
      <w:r w:rsidR="00CF4080" w:rsidRPr="00813D19">
        <w:rPr>
          <w:lang w:val="en-US"/>
        </w:rPr>
        <w:t xml:space="preserve"> </w:t>
      </w:r>
      <w:r w:rsidR="006B5388" w:rsidRPr="00813D19">
        <w:rPr>
          <w:lang w:val="en-US"/>
        </w:rPr>
        <w:t xml:space="preserve">the Operational Directives, adding that the Philippines was clear </w:t>
      </w:r>
      <w:r w:rsidR="003D2FFF" w:rsidRPr="00813D19">
        <w:rPr>
          <w:lang w:val="en-US"/>
        </w:rPr>
        <w:t>that Rule 55 has</w:t>
      </w:r>
      <w:r w:rsidR="006B5388" w:rsidRPr="00813D19">
        <w:rPr>
          <w:lang w:val="en-US"/>
        </w:rPr>
        <w:t xml:space="preserve"> no mention of the September </w:t>
      </w:r>
      <w:r w:rsidR="00CF4080" w:rsidRPr="00813D19">
        <w:rPr>
          <w:lang w:val="en-US"/>
        </w:rPr>
        <w:t xml:space="preserve">meeting. </w:t>
      </w:r>
      <w:r w:rsidR="006B5388" w:rsidRPr="00813D19">
        <w:rPr>
          <w:lang w:val="en-US"/>
        </w:rPr>
        <w:t xml:space="preserve">Thus, from a legal perspective, the meeting was </w:t>
      </w:r>
      <w:r w:rsidR="00CF4080" w:rsidRPr="00813D19">
        <w:rPr>
          <w:lang w:val="en-US"/>
        </w:rPr>
        <w:t xml:space="preserve">illegal. </w:t>
      </w:r>
      <w:r w:rsidR="006B5388" w:rsidRPr="00813D19">
        <w:rPr>
          <w:lang w:val="en-US"/>
        </w:rPr>
        <w:t xml:space="preserve">The delegation also </w:t>
      </w:r>
      <w:r w:rsidR="00CF4080" w:rsidRPr="00813D19">
        <w:rPr>
          <w:lang w:val="en-US"/>
        </w:rPr>
        <w:t>agree</w:t>
      </w:r>
      <w:r w:rsidR="006B5388" w:rsidRPr="00813D19">
        <w:rPr>
          <w:lang w:val="en-US"/>
        </w:rPr>
        <w:t>d</w:t>
      </w:r>
      <w:r w:rsidR="00CF4080" w:rsidRPr="00813D19">
        <w:rPr>
          <w:lang w:val="en-US"/>
        </w:rPr>
        <w:t xml:space="preserve"> with </w:t>
      </w:r>
      <w:r w:rsidR="006B5388" w:rsidRPr="00813D19">
        <w:rPr>
          <w:lang w:val="en-US"/>
        </w:rPr>
        <w:t xml:space="preserve">Austria that </w:t>
      </w:r>
      <w:r w:rsidR="00CF4080" w:rsidRPr="00813D19">
        <w:rPr>
          <w:lang w:val="en-US"/>
        </w:rPr>
        <w:t xml:space="preserve">paragraph 5 </w:t>
      </w:r>
      <w:r w:rsidR="006B5388" w:rsidRPr="00813D19">
        <w:rPr>
          <w:lang w:val="en-US"/>
        </w:rPr>
        <w:t xml:space="preserve">of Decision 7.GA 6 also mentioned </w:t>
      </w:r>
      <w:r w:rsidR="00CF4080" w:rsidRPr="00813D19">
        <w:rPr>
          <w:lang w:val="en-US"/>
        </w:rPr>
        <w:t xml:space="preserve">the </w:t>
      </w:r>
      <w:r w:rsidR="006B5388" w:rsidRPr="00813D19">
        <w:rPr>
          <w:lang w:val="en-US"/>
        </w:rPr>
        <w:t>[informal ad hoc] w</w:t>
      </w:r>
      <w:r w:rsidR="00DD4E22">
        <w:rPr>
          <w:lang w:val="en-US"/>
        </w:rPr>
        <w:t>orking group and the Committee.</w:t>
      </w:r>
    </w:p>
    <w:p w14:paraId="22908931" w14:textId="55DE0533" w:rsidR="00000012" w:rsidRPr="00813D19" w:rsidRDefault="000559E9"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Poland</w:t>
      </w:r>
      <w:r w:rsidR="00CF4080" w:rsidRPr="00813D19">
        <w:rPr>
          <w:b/>
          <w:color w:val="000000" w:themeColor="text1"/>
          <w:lang w:val="en-US"/>
        </w:rPr>
        <w:t xml:space="preserve"> </w:t>
      </w:r>
      <w:r w:rsidR="006B5388" w:rsidRPr="00813D19">
        <w:rPr>
          <w:color w:val="000000" w:themeColor="text1"/>
          <w:lang w:val="en-US"/>
        </w:rPr>
        <w:t>took</w:t>
      </w:r>
      <w:r w:rsidR="006B5388" w:rsidRPr="00813D19">
        <w:rPr>
          <w:b/>
          <w:color w:val="000000" w:themeColor="text1"/>
          <w:lang w:val="en-US"/>
        </w:rPr>
        <w:t xml:space="preserve"> </w:t>
      </w:r>
      <w:r w:rsidR="00CF4080" w:rsidRPr="00813D19">
        <w:rPr>
          <w:lang w:val="en-US"/>
        </w:rPr>
        <w:t xml:space="preserve">account </w:t>
      </w:r>
      <w:r w:rsidR="006B5388" w:rsidRPr="00813D19">
        <w:rPr>
          <w:lang w:val="en-US"/>
        </w:rPr>
        <w:t xml:space="preserve">of the previous day’s </w:t>
      </w:r>
      <w:r w:rsidR="00CF4080" w:rsidRPr="00813D19">
        <w:rPr>
          <w:lang w:val="en-US"/>
        </w:rPr>
        <w:t xml:space="preserve">discussions and concerns </w:t>
      </w:r>
      <w:r w:rsidR="006B5388" w:rsidRPr="00813D19">
        <w:rPr>
          <w:lang w:val="en-US"/>
        </w:rPr>
        <w:t xml:space="preserve">and suggested that </w:t>
      </w:r>
      <w:r w:rsidR="00CF4080" w:rsidRPr="00813D19">
        <w:rPr>
          <w:lang w:val="en-US"/>
        </w:rPr>
        <w:t xml:space="preserve">the Legal Adviser </w:t>
      </w:r>
      <w:r w:rsidR="006B5388" w:rsidRPr="00813D19">
        <w:rPr>
          <w:lang w:val="en-US"/>
        </w:rPr>
        <w:t xml:space="preserve">be allowed </w:t>
      </w:r>
      <w:r w:rsidR="00CF4080" w:rsidRPr="00813D19">
        <w:rPr>
          <w:lang w:val="en-US"/>
        </w:rPr>
        <w:t xml:space="preserve">to share </w:t>
      </w:r>
      <w:r w:rsidR="006B5388" w:rsidRPr="00813D19">
        <w:rPr>
          <w:lang w:val="en-US"/>
        </w:rPr>
        <w:t>his opinion as to whether the Committee had</w:t>
      </w:r>
      <w:r w:rsidR="00CF4080" w:rsidRPr="00813D19">
        <w:rPr>
          <w:lang w:val="en-US"/>
        </w:rPr>
        <w:t xml:space="preserve"> the r</w:t>
      </w:r>
      <w:r w:rsidR="00DD4E22">
        <w:rPr>
          <w:lang w:val="en-US"/>
        </w:rPr>
        <w:t>ight to suggest such solutions.</w:t>
      </w:r>
    </w:p>
    <w:p w14:paraId="7D23F414" w14:textId="73E30F89" w:rsidR="00763649" w:rsidRPr="00813D19" w:rsidRDefault="003F0D44"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Cyprus</w:t>
      </w:r>
      <w:r w:rsidR="00CF4080" w:rsidRPr="00813D19">
        <w:rPr>
          <w:b/>
          <w:color w:val="000000" w:themeColor="text1"/>
          <w:lang w:val="en-US"/>
        </w:rPr>
        <w:t xml:space="preserve"> </w:t>
      </w:r>
      <w:r w:rsidR="00763649" w:rsidRPr="00813D19">
        <w:rPr>
          <w:color w:val="000000" w:themeColor="text1"/>
          <w:lang w:val="en-US"/>
        </w:rPr>
        <w:t>noted that the</w:t>
      </w:r>
      <w:r w:rsidR="00763649" w:rsidRPr="00813D19">
        <w:rPr>
          <w:b/>
          <w:color w:val="000000" w:themeColor="text1"/>
          <w:lang w:val="en-US"/>
        </w:rPr>
        <w:t xml:space="preserve"> </w:t>
      </w:r>
      <w:r w:rsidR="00763649" w:rsidRPr="00813D19">
        <w:rPr>
          <w:color w:val="000000" w:themeColor="text1"/>
          <w:lang w:val="en-US"/>
        </w:rPr>
        <w:t xml:space="preserve">Secretary explained that the meeting of the Evaluation Body was held in September </w:t>
      </w:r>
      <w:r w:rsidR="003D2FFF" w:rsidRPr="00813D19">
        <w:rPr>
          <w:color w:val="000000" w:themeColor="text1"/>
          <w:lang w:val="en-US"/>
        </w:rPr>
        <w:t>when</w:t>
      </w:r>
      <w:r w:rsidR="00763649" w:rsidRPr="00813D19">
        <w:rPr>
          <w:color w:val="000000" w:themeColor="text1"/>
          <w:lang w:val="en-US"/>
        </w:rPr>
        <w:t xml:space="preserve"> the Body gave its final decision on the examination of the files. In this case, the Body could indeed report its final decisions after the dialogue.</w:t>
      </w:r>
    </w:p>
    <w:p w14:paraId="455EEECF" w14:textId="7303839F" w:rsidR="00763649" w:rsidRPr="00813D19" w:rsidRDefault="008E7A78"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w:t>
      </w:r>
      <w:r w:rsidR="00CF4080" w:rsidRPr="00813D19">
        <w:rPr>
          <w:b/>
          <w:color w:val="000000" w:themeColor="text1"/>
          <w:lang w:val="en-US"/>
        </w:rPr>
        <w:t xml:space="preserve"> </w:t>
      </w:r>
      <w:r w:rsidR="00763649" w:rsidRPr="00813D19">
        <w:rPr>
          <w:color w:val="000000" w:themeColor="text1"/>
          <w:lang w:val="en-US"/>
        </w:rPr>
        <w:t>remarked that it had</w:t>
      </w:r>
      <w:r w:rsidR="00763649" w:rsidRPr="00813D19">
        <w:rPr>
          <w:b/>
          <w:color w:val="000000" w:themeColor="text1"/>
          <w:lang w:val="en-US"/>
        </w:rPr>
        <w:t xml:space="preserve"> </w:t>
      </w:r>
      <w:r w:rsidR="00763649" w:rsidRPr="00813D19">
        <w:rPr>
          <w:color w:val="000000" w:themeColor="text1"/>
          <w:lang w:val="en-US"/>
        </w:rPr>
        <w:t xml:space="preserve">always been consistent in wishing for upstream dialogue, and therefore if this experimental phase was possible and in line with the </w:t>
      </w:r>
      <w:r w:rsidR="002F50EA">
        <w:rPr>
          <w:color w:val="000000" w:themeColor="text1"/>
          <w:lang w:val="en-US"/>
        </w:rPr>
        <w:t>O</w:t>
      </w:r>
      <w:r w:rsidR="002F50EA" w:rsidRPr="00813D19">
        <w:rPr>
          <w:color w:val="000000" w:themeColor="text1"/>
          <w:lang w:val="en-US"/>
        </w:rPr>
        <w:t xml:space="preserve">perational </w:t>
      </w:r>
      <w:r w:rsidR="002F50EA">
        <w:rPr>
          <w:color w:val="000000" w:themeColor="text1"/>
          <w:lang w:val="en-US"/>
        </w:rPr>
        <w:t>G</w:t>
      </w:r>
      <w:r w:rsidR="002F50EA" w:rsidRPr="00813D19">
        <w:rPr>
          <w:color w:val="000000" w:themeColor="text1"/>
          <w:lang w:val="en-US"/>
        </w:rPr>
        <w:t>uidelines</w:t>
      </w:r>
      <w:r w:rsidR="00763649" w:rsidRPr="00813D19">
        <w:rPr>
          <w:color w:val="000000" w:themeColor="text1"/>
          <w:lang w:val="en-US"/>
        </w:rPr>
        <w:t>, it would support it.</w:t>
      </w:r>
    </w:p>
    <w:p w14:paraId="21172DFE" w14:textId="6A4E8247" w:rsidR="00125EFC" w:rsidRPr="00813D19" w:rsidRDefault="00125EFC"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763649" w:rsidRPr="00813D19">
        <w:rPr>
          <w:color w:val="000000" w:themeColor="text1"/>
          <w:lang w:val="en-US"/>
        </w:rPr>
        <w:t>invited the Secretary to respond.</w:t>
      </w:r>
    </w:p>
    <w:p w14:paraId="2FACB0A4" w14:textId="68DD56CE" w:rsidR="00125EFC" w:rsidRPr="00813D19" w:rsidRDefault="00125EFC"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2A6BC0" w:rsidRPr="00813D19">
        <w:rPr>
          <w:color w:val="000000" w:themeColor="text1"/>
          <w:lang w:val="en-US"/>
        </w:rPr>
        <w:t xml:space="preserve">wished to </w:t>
      </w:r>
      <w:r w:rsidR="00CF4080" w:rsidRPr="00813D19">
        <w:rPr>
          <w:lang w:val="en-US"/>
        </w:rPr>
        <w:t xml:space="preserve">assure </w:t>
      </w:r>
      <w:r w:rsidR="002A6BC0" w:rsidRPr="00813D19">
        <w:rPr>
          <w:lang w:val="en-US"/>
        </w:rPr>
        <w:t xml:space="preserve">the Committee </w:t>
      </w:r>
      <w:r w:rsidR="00CF4080" w:rsidRPr="00813D19">
        <w:rPr>
          <w:lang w:val="en-US"/>
        </w:rPr>
        <w:t xml:space="preserve">that the idea </w:t>
      </w:r>
      <w:r w:rsidR="002A6BC0" w:rsidRPr="00813D19">
        <w:rPr>
          <w:lang w:val="en-US"/>
        </w:rPr>
        <w:t xml:space="preserve">was </w:t>
      </w:r>
      <w:r w:rsidR="00CF4080" w:rsidRPr="00813D19">
        <w:rPr>
          <w:lang w:val="en-US"/>
        </w:rPr>
        <w:t>to move towards upstream dialogue</w:t>
      </w:r>
      <w:r w:rsidR="002A6BC0" w:rsidRPr="00813D19">
        <w:rPr>
          <w:lang w:val="en-US"/>
        </w:rPr>
        <w:t>,</w:t>
      </w:r>
      <w:r w:rsidR="00CF4080" w:rsidRPr="00813D19">
        <w:rPr>
          <w:lang w:val="en-US"/>
        </w:rPr>
        <w:t xml:space="preserve"> but </w:t>
      </w:r>
      <w:r w:rsidR="002A6BC0" w:rsidRPr="00813D19">
        <w:rPr>
          <w:lang w:val="en-US"/>
        </w:rPr>
        <w:t xml:space="preserve">he also </w:t>
      </w:r>
      <w:r w:rsidR="00CF4080" w:rsidRPr="00813D19">
        <w:rPr>
          <w:lang w:val="en-US"/>
        </w:rPr>
        <w:t>want</w:t>
      </w:r>
      <w:r w:rsidR="002A6BC0" w:rsidRPr="00813D19">
        <w:rPr>
          <w:lang w:val="en-US"/>
        </w:rPr>
        <w:t>ed</w:t>
      </w:r>
      <w:r w:rsidR="00CF4080" w:rsidRPr="00813D19">
        <w:rPr>
          <w:lang w:val="en-US"/>
        </w:rPr>
        <w:t xml:space="preserve"> to </w:t>
      </w:r>
      <w:r w:rsidR="002A6BC0" w:rsidRPr="00813D19">
        <w:rPr>
          <w:lang w:val="en-US"/>
        </w:rPr>
        <w:t xml:space="preserve">be sure that this was conducted </w:t>
      </w:r>
      <w:r w:rsidR="001E6CC4" w:rsidRPr="00813D19">
        <w:rPr>
          <w:lang w:val="en-US"/>
        </w:rPr>
        <w:t>in compliance with the R</w:t>
      </w:r>
      <w:r w:rsidR="00CF4080" w:rsidRPr="00813D19">
        <w:rPr>
          <w:lang w:val="en-US"/>
        </w:rPr>
        <w:t>ules.</w:t>
      </w:r>
      <w:r w:rsidR="002A6BC0" w:rsidRPr="00813D19">
        <w:rPr>
          <w:lang w:val="en-US"/>
        </w:rPr>
        <w:t xml:space="preserve"> He also clarified that </w:t>
      </w:r>
      <w:r w:rsidR="003D2FFF" w:rsidRPr="00813D19">
        <w:rPr>
          <w:lang w:val="en-US"/>
        </w:rPr>
        <w:t xml:space="preserve">the </w:t>
      </w:r>
      <w:r w:rsidR="002A6BC0" w:rsidRPr="00813D19">
        <w:rPr>
          <w:lang w:val="en-US"/>
        </w:rPr>
        <w:t>f</w:t>
      </w:r>
      <w:r w:rsidR="00CF4080" w:rsidRPr="00813D19">
        <w:rPr>
          <w:lang w:val="en-US"/>
        </w:rPr>
        <w:t xml:space="preserve">inal evaluation </w:t>
      </w:r>
      <w:r w:rsidR="002A6BC0" w:rsidRPr="00813D19">
        <w:rPr>
          <w:lang w:val="en-US"/>
        </w:rPr>
        <w:t>did not mean final decision in that the f</w:t>
      </w:r>
      <w:r w:rsidR="00CF4080" w:rsidRPr="00813D19">
        <w:rPr>
          <w:lang w:val="en-US"/>
        </w:rPr>
        <w:t xml:space="preserve">inal evaluation </w:t>
      </w:r>
      <w:r w:rsidR="002A6BC0" w:rsidRPr="00813D19">
        <w:rPr>
          <w:lang w:val="en-US"/>
        </w:rPr>
        <w:t xml:space="preserve">takes place </w:t>
      </w:r>
      <w:r w:rsidR="00CF4080" w:rsidRPr="00813D19">
        <w:rPr>
          <w:lang w:val="en-US"/>
        </w:rPr>
        <w:t>in June</w:t>
      </w:r>
      <w:r w:rsidR="002A6BC0" w:rsidRPr="00813D19">
        <w:rPr>
          <w:lang w:val="en-US"/>
        </w:rPr>
        <w:t xml:space="preserve">. The Secretary asked the </w:t>
      </w:r>
      <w:r w:rsidR="00CF4080" w:rsidRPr="00813D19">
        <w:rPr>
          <w:lang w:val="en-US"/>
        </w:rPr>
        <w:t xml:space="preserve">Evaluation Body </w:t>
      </w:r>
      <w:r w:rsidR="003D2FFF" w:rsidRPr="00813D19">
        <w:rPr>
          <w:lang w:val="en-US"/>
        </w:rPr>
        <w:t xml:space="preserve">to </w:t>
      </w:r>
      <w:r w:rsidR="002A6BC0" w:rsidRPr="00813D19">
        <w:rPr>
          <w:lang w:val="en-US"/>
        </w:rPr>
        <w:t xml:space="preserve">provide an explanation </w:t>
      </w:r>
      <w:r w:rsidR="003D2FFF" w:rsidRPr="00813D19">
        <w:rPr>
          <w:lang w:val="en-US"/>
        </w:rPr>
        <w:t xml:space="preserve">on how </w:t>
      </w:r>
      <w:r w:rsidR="002A6BC0" w:rsidRPr="00813D19">
        <w:rPr>
          <w:lang w:val="en-US"/>
        </w:rPr>
        <w:t xml:space="preserve">it </w:t>
      </w:r>
      <w:r w:rsidR="003D2FFF" w:rsidRPr="00813D19">
        <w:rPr>
          <w:lang w:val="en-US"/>
        </w:rPr>
        <w:t>conducts its business</w:t>
      </w:r>
      <w:r w:rsidR="00CF4080" w:rsidRPr="00813D19">
        <w:rPr>
          <w:lang w:val="en-US"/>
        </w:rPr>
        <w:t xml:space="preserve">. </w:t>
      </w:r>
      <w:r w:rsidR="002A6BC0" w:rsidRPr="00813D19">
        <w:rPr>
          <w:lang w:val="en-US"/>
        </w:rPr>
        <w:t xml:space="preserve">However, it was clear that the Committee was bound </w:t>
      </w:r>
      <w:r w:rsidR="00CF4080" w:rsidRPr="00813D19">
        <w:rPr>
          <w:lang w:val="en-US"/>
        </w:rPr>
        <w:t xml:space="preserve">by the Rules of the Operational Directives. </w:t>
      </w:r>
      <w:r w:rsidR="002A6BC0" w:rsidRPr="00813D19">
        <w:rPr>
          <w:lang w:val="en-US"/>
        </w:rPr>
        <w:t xml:space="preserve">The Secretary was </w:t>
      </w:r>
      <w:r w:rsidR="00CF4080" w:rsidRPr="00813D19">
        <w:rPr>
          <w:lang w:val="en-US"/>
        </w:rPr>
        <w:t xml:space="preserve">happy to take on this </w:t>
      </w:r>
      <w:r w:rsidR="002A6BC0" w:rsidRPr="00813D19">
        <w:rPr>
          <w:lang w:val="en-US"/>
        </w:rPr>
        <w:t>work</w:t>
      </w:r>
      <w:r w:rsidR="00CF4080" w:rsidRPr="00813D19">
        <w:rPr>
          <w:lang w:val="en-US"/>
        </w:rPr>
        <w:t xml:space="preserve">load </w:t>
      </w:r>
      <w:r w:rsidR="002A6BC0" w:rsidRPr="00813D19">
        <w:rPr>
          <w:lang w:val="en-US"/>
        </w:rPr>
        <w:t xml:space="preserve">in the current cycle, but he was </w:t>
      </w:r>
      <w:r w:rsidR="00CF4080" w:rsidRPr="00813D19">
        <w:rPr>
          <w:lang w:val="en-US"/>
        </w:rPr>
        <w:t xml:space="preserve">not convinced that the Evaluation Body </w:t>
      </w:r>
      <w:r w:rsidR="00262811">
        <w:rPr>
          <w:lang w:val="en-US"/>
        </w:rPr>
        <w:t>was</w:t>
      </w:r>
      <w:r w:rsidR="00262811" w:rsidRPr="00813D19">
        <w:rPr>
          <w:lang w:val="en-US"/>
        </w:rPr>
        <w:t xml:space="preserve"> </w:t>
      </w:r>
      <w:r w:rsidR="00CF4080" w:rsidRPr="00813D19">
        <w:rPr>
          <w:lang w:val="en-US"/>
        </w:rPr>
        <w:t>allowed to change its evaluation after June</w:t>
      </w:r>
      <w:r w:rsidR="002A6BC0" w:rsidRPr="00813D19">
        <w:rPr>
          <w:lang w:val="en-US"/>
        </w:rPr>
        <w:t>. T</w:t>
      </w:r>
      <w:r w:rsidR="00CF4080" w:rsidRPr="00813D19">
        <w:rPr>
          <w:lang w:val="en-US"/>
        </w:rPr>
        <w:t xml:space="preserve">he Rule </w:t>
      </w:r>
      <w:r w:rsidR="002A6BC0" w:rsidRPr="00813D19">
        <w:rPr>
          <w:lang w:val="en-US"/>
        </w:rPr>
        <w:t xml:space="preserve">had always been that </w:t>
      </w:r>
      <w:r w:rsidR="00CF4080" w:rsidRPr="00813D19">
        <w:rPr>
          <w:lang w:val="en-US"/>
        </w:rPr>
        <w:t xml:space="preserve">the Evaluation Body </w:t>
      </w:r>
      <w:r w:rsidR="002A6BC0" w:rsidRPr="00813D19">
        <w:rPr>
          <w:lang w:val="en-US"/>
        </w:rPr>
        <w:t xml:space="preserve">conducted its </w:t>
      </w:r>
      <w:r w:rsidR="003D2FFF" w:rsidRPr="00813D19">
        <w:rPr>
          <w:lang w:val="en-US"/>
        </w:rPr>
        <w:t>evaluation on</w:t>
      </w:r>
      <w:r w:rsidR="002A6BC0" w:rsidRPr="00813D19">
        <w:rPr>
          <w:lang w:val="en-US"/>
        </w:rPr>
        <w:t xml:space="preserve"> each criterion in the files in June, which did not </w:t>
      </w:r>
      <w:r w:rsidR="00CF4080" w:rsidRPr="00813D19">
        <w:rPr>
          <w:lang w:val="en-US"/>
        </w:rPr>
        <w:t xml:space="preserve">get changed in September. </w:t>
      </w:r>
      <w:r w:rsidR="002A6BC0" w:rsidRPr="00813D19">
        <w:rPr>
          <w:lang w:val="en-US"/>
        </w:rPr>
        <w:t xml:space="preserve">The Secretary was nonetheless open should there be </w:t>
      </w:r>
      <w:r w:rsidR="00DD4E22">
        <w:rPr>
          <w:lang w:val="en-US"/>
        </w:rPr>
        <w:t>legal flexibility.</w:t>
      </w:r>
    </w:p>
    <w:p w14:paraId="2B7BB615" w14:textId="3D73D38E" w:rsidR="00125EFC" w:rsidRPr="00813D19" w:rsidRDefault="008B28ED"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of the Evaluation Body </w:t>
      </w:r>
      <w:r w:rsidR="00EC4DF5" w:rsidRPr="00813D19">
        <w:rPr>
          <w:color w:val="000000" w:themeColor="text1"/>
          <w:lang w:val="en-US"/>
        </w:rPr>
        <w:t>explained</w:t>
      </w:r>
      <w:r w:rsidR="00EC4DF5" w:rsidRPr="00813D19">
        <w:rPr>
          <w:b/>
          <w:color w:val="000000" w:themeColor="text1"/>
          <w:lang w:val="en-US"/>
        </w:rPr>
        <w:t xml:space="preserve"> </w:t>
      </w:r>
      <w:r w:rsidR="00EC4DF5" w:rsidRPr="00813D19">
        <w:rPr>
          <w:lang w:val="en-US"/>
        </w:rPr>
        <w:t>that i</w:t>
      </w:r>
      <w:r w:rsidR="00CF4080" w:rsidRPr="00813D19">
        <w:rPr>
          <w:lang w:val="en-US"/>
        </w:rPr>
        <w:t>n early March</w:t>
      </w:r>
      <w:r w:rsidR="00EC4DF5" w:rsidRPr="00813D19">
        <w:rPr>
          <w:lang w:val="en-US"/>
        </w:rPr>
        <w:t xml:space="preserve">, the Body has its </w:t>
      </w:r>
      <w:r w:rsidR="00CF4080" w:rsidRPr="00813D19">
        <w:rPr>
          <w:lang w:val="en-US"/>
        </w:rPr>
        <w:t xml:space="preserve">first meeting with the new members </w:t>
      </w:r>
      <w:r w:rsidR="00EC4DF5" w:rsidRPr="00813D19">
        <w:rPr>
          <w:lang w:val="en-US"/>
        </w:rPr>
        <w:t xml:space="preserve">to </w:t>
      </w:r>
      <w:r w:rsidR="00CF4080" w:rsidRPr="00813D19">
        <w:rPr>
          <w:lang w:val="en-US"/>
        </w:rPr>
        <w:t xml:space="preserve">share </w:t>
      </w:r>
      <w:r w:rsidR="006E4660" w:rsidRPr="00813D19">
        <w:rPr>
          <w:lang w:val="en-US"/>
        </w:rPr>
        <w:t xml:space="preserve">the procedures </w:t>
      </w:r>
      <w:r w:rsidR="00CF4080" w:rsidRPr="00813D19">
        <w:rPr>
          <w:lang w:val="en-US"/>
        </w:rPr>
        <w:t>with the</w:t>
      </w:r>
      <w:r w:rsidR="00EC4DF5" w:rsidRPr="00813D19">
        <w:rPr>
          <w:lang w:val="en-US"/>
        </w:rPr>
        <w:t xml:space="preserve">m, to conduct </w:t>
      </w:r>
      <w:r w:rsidR="00CF4080" w:rsidRPr="00813D19">
        <w:rPr>
          <w:lang w:val="en-US"/>
        </w:rPr>
        <w:t xml:space="preserve">a mock evaluation and </w:t>
      </w:r>
      <w:r w:rsidR="00EC4DF5" w:rsidRPr="00813D19">
        <w:rPr>
          <w:lang w:val="en-US"/>
        </w:rPr>
        <w:t xml:space="preserve">to </w:t>
      </w:r>
      <w:r w:rsidR="00CF4080" w:rsidRPr="00813D19">
        <w:rPr>
          <w:lang w:val="en-US"/>
        </w:rPr>
        <w:t xml:space="preserve">agree on the timetable and work to be accomplished within the year. </w:t>
      </w:r>
      <w:r w:rsidR="00262811">
        <w:rPr>
          <w:lang w:val="en-US"/>
        </w:rPr>
        <w:t>T</w:t>
      </w:r>
      <w:r w:rsidR="00EB6DFA">
        <w:rPr>
          <w:lang w:val="en-US"/>
        </w:rPr>
        <w:t>he</w:t>
      </w:r>
      <w:r w:rsidR="006E4660" w:rsidRPr="00813D19">
        <w:rPr>
          <w:lang w:val="en-US"/>
        </w:rPr>
        <w:t xml:space="preserve"> Members </w:t>
      </w:r>
      <w:r w:rsidR="00262811">
        <w:rPr>
          <w:lang w:val="en-US"/>
        </w:rPr>
        <w:t xml:space="preserve">then immediately </w:t>
      </w:r>
      <w:r w:rsidR="00CF4080" w:rsidRPr="00813D19">
        <w:rPr>
          <w:lang w:val="en-US"/>
        </w:rPr>
        <w:t xml:space="preserve">start </w:t>
      </w:r>
      <w:r w:rsidR="006E4660" w:rsidRPr="00813D19">
        <w:rPr>
          <w:lang w:val="en-US"/>
        </w:rPr>
        <w:t xml:space="preserve">their </w:t>
      </w:r>
      <w:r w:rsidR="00CF4080" w:rsidRPr="00813D19">
        <w:rPr>
          <w:lang w:val="en-US"/>
        </w:rPr>
        <w:t>individual online eval</w:t>
      </w:r>
      <w:r w:rsidR="006E4660" w:rsidRPr="00813D19">
        <w:rPr>
          <w:lang w:val="en-US"/>
        </w:rPr>
        <w:t xml:space="preserve">uation of </w:t>
      </w:r>
      <w:r w:rsidR="00262811" w:rsidRPr="00813D19">
        <w:rPr>
          <w:lang w:val="en-US"/>
        </w:rPr>
        <w:t>e</w:t>
      </w:r>
      <w:r w:rsidR="00262811">
        <w:rPr>
          <w:lang w:val="en-US"/>
        </w:rPr>
        <w:t>ach</w:t>
      </w:r>
      <w:r w:rsidR="00262811" w:rsidRPr="00813D19">
        <w:rPr>
          <w:lang w:val="en-US"/>
        </w:rPr>
        <w:t xml:space="preserve"> </w:t>
      </w:r>
      <w:r w:rsidR="006E4660" w:rsidRPr="00813D19">
        <w:rPr>
          <w:lang w:val="en-US"/>
        </w:rPr>
        <w:t>file from March</w:t>
      </w:r>
      <w:r w:rsidR="003D2FFF" w:rsidRPr="00813D19">
        <w:rPr>
          <w:lang w:val="en-US"/>
        </w:rPr>
        <w:t xml:space="preserve"> to </w:t>
      </w:r>
      <w:r w:rsidR="00CF4080" w:rsidRPr="00813D19">
        <w:rPr>
          <w:lang w:val="en-US"/>
        </w:rPr>
        <w:t xml:space="preserve">May. </w:t>
      </w:r>
      <w:r w:rsidR="006E4660" w:rsidRPr="00813D19">
        <w:rPr>
          <w:lang w:val="en-US"/>
        </w:rPr>
        <w:t>B</w:t>
      </w:r>
      <w:r w:rsidR="00CF4080" w:rsidRPr="00813D19">
        <w:rPr>
          <w:lang w:val="en-US"/>
        </w:rPr>
        <w:t xml:space="preserve">efore </w:t>
      </w:r>
      <w:r w:rsidR="006E4660" w:rsidRPr="00813D19">
        <w:rPr>
          <w:lang w:val="en-US"/>
        </w:rPr>
        <w:t xml:space="preserve">the Body </w:t>
      </w:r>
      <w:r w:rsidR="00CF4080" w:rsidRPr="00813D19">
        <w:rPr>
          <w:lang w:val="en-US"/>
        </w:rPr>
        <w:t>meet</w:t>
      </w:r>
      <w:r w:rsidR="006E4660" w:rsidRPr="00813D19">
        <w:rPr>
          <w:lang w:val="en-US"/>
        </w:rPr>
        <w:t>s</w:t>
      </w:r>
      <w:r w:rsidR="00CF4080" w:rsidRPr="00813D19">
        <w:rPr>
          <w:lang w:val="en-US"/>
        </w:rPr>
        <w:t xml:space="preserve"> in mid-June</w:t>
      </w:r>
      <w:r w:rsidR="006E4660" w:rsidRPr="00813D19">
        <w:rPr>
          <w:lang w:val="en-US"/>
        </w:rPr>
        <w:t>,</w:t>
      </w:r>
      <w:r w:rsidR="00CF4080" w:rsidRPr="00813D19">
        <w:rPr>
          <w:lang w:val="en-US"/>
        </w:rPr>
        <w:t xml:space="preserve"> </w:t>
      </w:r>
      <w:r w:rsidR="006E4660" w:rsidRPr="00813D19">
        <w:rPr>
          <w:lang w:val="en-US"/>
        </w:rPr>
        <w:t xml:space="preserve">a general sense </w:t>
      </w:r>
      <w:r w:rsidR="00CF4080" w:rsidRPr="00813D19">
        <w:rPr>
          <w:lang w:val="en-US"/>
        </w:rPr>
        <w:t xml:space="preserve">of what everybody has done </w:t>
      </w:r>
      <w:r w:rsidR="006E4660" w:rsidRPr="00813D19">
        <w:rPr>
          <w:lang w:val="en-US"/>
        </w:rPr>
        <w:t xml:space="preserve">is </w:t>
      </w:r>
      <w:r w:rsidR="009F20D7" w:rsidRPr="00813D19">
        <w:rPr>
          <w:lang w:val="en-US"/>
        </w:rPr>
        <w:t xml:space="preserve">appraised. The Body then </w:t>
      </w:r>
      <w:r w:rsidR="00CF4080" w:rsidRPr="00813D19">
        <w:rPr>
          <w:lang w:val="en-US"/>
        </w:rPr>
        <w:t>meet</w:t>
      </w:r>
      <w:r w:rsidR="009F20D7" w:rsidRPr="00813D19">
        <w:rPr>
          <w:lang w:val="en-US"/>
        </w:rPr>
        <w:t>s</w:t>
      </w:r>
      <w:r w:rsidR="00CF4080" w:rsidRPr="00813D19">
        <w:rPr>
          <w:lang w:val="en-US"/>
        </w:rPr>
        <w:t xml:space="preserve"> for the entire week where every item, </w:t>
      </w:r>
      <w:r w:rsidR="009F20D7" w:rsidRPr="00813D19">
        <w:rPr>
          <w:lang w:val="en-US"/>
        </w:rPr>
        <w:t>criterion</w:t>
      </w:r>
      <w:r w:rsidR="00262811">
        <w:rPr>
          <w:lang w:val="en-US"/>
        </w:rPr>
        <w:t xml:space="preserve"> </w:t>
      </w:r>
      <w:r w:rsidR="009F20D7" w:rsidRPr="00813D19">
        <w:rPr>
          <w:lang w:val="en-US"/>
        </w:rPr>
        <w:t>by</w:t>
      </w:r>
      <w:r w:rsidR="00262811">
        <w:rPr>
          <w:lang w:val="en-US"/>
        </w:rPr>
        <w:t xml:space="preserve"> </w:t>
      </w:r>
      <w:r w:rsidR="00CF4080" w:rsidRPr="00813D19">
        <w:rPr>
          <w:lang w:val="en-US"/>
        </w:rPr>
        <w:t>criterion</w:t>
      </w:r>
      <w:r w:rsidR="00262811">
        <w:rPr>
          <w:lang w:val="en-US"/>
        </w:rPr>
        <w:t>,</w:t>
      </w:r>
      <w:r w:rsidR="00CF4080" w:rsidRPr="00813D19">
        <w:rPr>
          <w:lang w:val="en-US"/>
        </w:rPr>
        <w:t xml:space="preserve"> </w:t>
      </w:r>
      <w:r w:rsidR="009F20D7" w:rsidRPr="00813D19">
        <w:rPr>
          <w:lang w:val="en-US"/>
        </w:rPr>
        <w:t xml:space="preserve">is considered in every file, taking into account </w:t>
      </w:r>
      <w:r w:rsidR="00CF4080" w:rsidRPr="00813D19">
        <w:rPr>
          <w:lang w:val="en-US"/>
        </w:rPr>
        <w:t xml:space="preserve">the opinions of all </w:t>
      </w:r>
      <w:r w:rsidR="00262811">
        <w:rPr>
          <w:lang w:val="en-US"/>
        </w:rPr>
        <w:t>twelve</w:t>
      </w:r>
      <w:r w:rsidR="009F20D7" w:rsidRPr="00813D19">
        <w:rPr>
          <w:lang w:val="en-US"/>
        </w:rPr>
        <w:t xml:space="preserve"> members (</w:t>
      </w:r>
      <w:r w:rsidR="00CF4080" w:rsidRPr="00813D19">
        <w:rPr>
          <w:lang w:val="en-US"/>
        </w:rPr>
        <w:t>six experts and six NGO</w:t>
      </w:r>
      <w:r w:rsidR="009F20D7" w:rsidRPr="00813D19">
        <w:rPr>
          <w:lang w:val="en-US"/>
        </w:rPr>
        <w:t xml:space="preserve"> representatives) to </w:t>
      </w:r>
      <w:r w:rsidR="00CF4080" w:rsidRPr="00813D19">
        <w:rPr>
          <w:lang w:val="en-US"/>
        </w:rPr>
        <w:t xml:space="preserve">reach a consensus. </w:t>
      </w:r>
      <w:r w:rsidR="009F20D7" w:rsidRPr="00813D19">
        <w:rPr>
          <w:lang w:val="en-US"/>
        </w:rPr>
        <w:t xml:space="preserve">Each file is reviewed to </w:t>
      </w:r>
      <w:r w:rsidR="00CF4080" w:rsidRPr="00813D19">
        <w:rPr>
          <w:lang w:val="en-US"/>
        </w:rPr>
        <w:t>consider the content in the file</w:t>
      </w:r>
      <w:r w:rsidR="003D2FFF" w:rsidRPr="00813D19">
        <w:rPr>
          <w:lang w:val="en-US"/>
        </w:rPr>
        <w:t>,</w:t>
      </w:r>
      <w:r w:rsidR="009F20D7" w:rsidRPr="00813D19">
        <w:rPr>
          <w:lang w:val="en-US"/>
        </w:rPr>
        <w:t xml:space="preserve"> and around </w:t>
      </w:r>
      <w:r w:rsidR="00CF4080" w:rsidRPr="00813D19">
        <w:rPr>
          <w:lang w:val="en-US"/>
        </w:rPr>
        <w:t>July</w:t>
      </w:r>
      <w:r w:rsidR="009F20D7" w:rsidRPr="00813D19">
        <w:rPr>
          <w:lang w:val="en-US"/>
        </w:rPr>
        <w:t xml:space="preserve">, the </w:t>
      </w:r>
      <w:r w:rsidR="00262811">
        <w:rPr>
          <w:lang w:val="en-US"/>
        </w:rPr>
        <w:t>R</w:t>
      </w:r>
      <w:r w:rsidR="009F20D7" w:rsidRPr="00813D19">
        <w:rPr>
          <w:lang w:val="en-US"/>
        </w:rPr>
        <w:t>apporteur begin</w:t>
      </w:r>
      <w:r w:rsidR="00262811">
        <w:rPr>
          <w:lang w:val="en-US"/>
        </w:rPr>
        <w:t>s</w:t>
      </w:r>
      <w:r w:rsidR="009F20D7" w:rsidRPr="00813D19">
        <w:rPr>
          <w:lang w:val="en-US"/>
        </w:rPr>
        <w:t xml:space="preserve"> to draft</w:t>
      </w:r>
      <w:r w:rsidR="00CF4080" w:rsidRPr="00813D19">
        <w:rPr>
          <w:lang w:val="en-US"/>
        </w:rPr>
        <w:t xml:space="preserve"> the recommendations. </w:t>
      </w:r>
      <w:r w:rsidR="009F20D7" w:rsidRPr="00813D19">
        <w:rPr>
          <w:lang w:val="en-US"/>
        </w:rPr>
        <w:t xml:space="preserve">The </w:t>
      </w:r>
      <w:r w:rsidR="00CF4080" w:rsidRPr="00813D19">
        <w:rPr>
          <w:lang w:val="en-US"/>
        </w:rPr>
        <w:t xml:space="preserve">purpose of </w:t>
      </w:r>
      <w:r w:rsidR="009F20D7" w:rsidRPr="00813D19">
        <w:rPr>
          <w:lang w:val="en-US"/>
        </w:rPr>
        <w:t xml:space="preserve">the September </w:t>
      </w:r>
      <w:r w:rsidR="00CF4080" w:rsidRPr="00813D19">
        <w:rPr>
          <w:lang w:val="en-US"/>
        </w:rPr>
        <w:t xml:space="preserve">meeting is to </w:t>
      </w:r>
      <w:r w:rsidR="00EB6DFA">
        <w:rPr>
          <w:lang w:val="en-US"/>
        </w:rPr>
        <w:t>validate</w:t>
      </w:r>
      <w:r w:rsidR="00CF4080" w:rsidRPr="00813D19">
        <w:rPr>
          <w:lang w:val="en-US"/>
        </w:rPr>
        <w:t xml:space="preserve">, </w:t>
      </w:r>
      <w:r w:rsidR="009F20D7" w:rsidRPr="00813D19">
        <w:rPr>
          <w:lang w:val="en-US"/>
        </w:rPr>
        <w:t xml:space="preserve">and ensure that </w:t>
      </w:r>
      <w:r w:rsidR="00CF4080" w:rsidRPr="00813D19">
        <w:rPr>
          <w:lang w:val="en-US"/>
        </w:rPr>
        <w:t xml:space="preserve">the information </w:t>
      </w:r>
      <w:r w:rsidR="009F20D7" w:rsidRPr="00813D19">
        <w:rPr>
          <w:lang w:val="en-US"/>
        </w:rPr>
        <w:t xml:space="preserve">in </w:t>
      </w:r>
      <w:r w:rsidR="00CF4080" w:rsidRPr="00813D19">
        <w:rPr>
          <w:lang w:val="en-US"/>
        </w:rPr>
        <w:t>the report is exactly as agreed in June</w:t>
      </w:r>
      <w:r w:rsidR="009F20D7" w:rsidRPr="00813D19">
        <w:rPr>
          <w:lang w:val="en-US"/>
        </w:rPr>
        <w:t>, and normall</w:t>
      </w:r>
      <w:r w:rsidR="003D2FFF" w:rsidRPr="00813D19">
        <w:rPr>
          <w:lang w:val="en-US"/>
        </w:rPr>
        <w:t>y</w:t>
      </w:r>
      <w:r w:rsidR="009F20D7" w:rsidRPr="00813D19">
        <w:rPr>
          <w:lang w:val="en-US"/>
        </w:rPr>
        <w:t xml:space="preserve"> no </w:t>
      </w:r>
      <w:r w:rsidR="00CF4080" w:rsidRPr="00813D19">
        <w:rPr>
          <w:lang w:val="en-US"/>
        </w:rPr>
        <w:t>change</w:t>
      </w:r>
      <w:r w:rsidR="009F20D7" w:rsidRPr="00813D19">
        <w:rPr>
          <w:lang w:val="en-US"/>
        </w:rPr>
        <w:t>s</w:t>
      </w:r>
      <w:r w:rsidR="00CF4080" w:rsidRPr="00813D19">
        <w:rPr>
          <w:lang w:val="en-US"/>
        </w:rPr>
        <w:t xml:space="preserve"> </w:t>
      </w:r>
      <w:r w:rsidR="009F20D7" w:rsidRPr="00813D19">
        <w:rPr>
          <w:lang w:val="en-US"/>
        </w:rPr>
        <w:t xml:space="preserve">are made </w:t>
      </w:r>
      <w:r w:rsidR="00CF4080" w:rsidRPr="00813D19">
        <w:rPr>
          <w:lang w:val="en-US"/>
        </w:rPr>
        <w:t xml:space="preserve">at all. </w:t>
      </w:r>
      <w:r w:rsidR="009F20D7" w:rsidRPr="00813D19">
        <w:rPr>
          <w:lang w:val="en-US"/>
        </w:rPr>
        <w:t xml:space="preserve">The Chairperson was concerned that </w:t>
      </w:r>
      <w:r w:rsidR="00CF4080" w:rsidRPr="00813D19">
        <w:rPr>
          <w:lang w:val="en-US"/>
        </w:rPr>
        <w:t xml:space="preserve">if the drafting of the recommendations </w:t>
      </w:r>
      <w:r w:rsidR="009F20D7" w:rsidRPr="00813D19">
        <w:rPr>
          <w:lang w:val="en-US"/>
        </w:rPr>
        <w:t>start</w:t>
      </w:r>
      <w:r w:rsidR="00262811">
        <w:rPr>
          <w:lang w:val="en-US"/>
        </w:rPr>
        <w:t>ed</w:t>
      </w:r>
      <w:r w:rsidR="009F20D7" w:rsidRPr="00813D19">
        <w:rPr>
          <w:lang w:val="en-US"/>
        </w:rPr>
        <w:t xml:space="preserve"> in July and </w:t>
      </w:r>
      <w:r w:rsidR="00262811" w:rsidRPr="00813D19">
        <w:rPr>
          <w:lang w:val="en-US"/>
        </w:rPr>
        <w:t>cover</w:t>
      </w:r>
      <w:r w:rsidR="00262811">
        <w:rPr>
          <w:lang w:val="en-US"/>
        </w:rPr>
        <w:t>ed</w:t>
      </w:r>
      <w:r w:rsidR="00262811" w:rsidRPr="00813D19">
        <w:rPr>
          <w:lang w:val="en-US"/>
        </w:rPr>
        <w:t xml:space="preserve"> </w:t>
      </w:r>
      <w:r w:rsidR="00CF4080" w:rsidRPr="00813D19">
        <w:rPr>
          <w:lang w:val="en-US"/>
        </w:rPr>
        <w:t>the early part of August, at what point</w:t>
      </w:r>
      <w:r w:rsidR="00262811">
        <w:rPr>
          <w:lang w:val="en-US"/>
        </w:rPr>
        <w:t xml:space="preserve"> would</w:t>
      </w:r>
      <w:r w:rsidR="009F20D7" w:rsidRPr="00813D19">
        <w:rPr>
          <w:lang w:val="en-US"/>
        </w:rPr>
        <w:t xml:space="preserve"> the Body </w:t>
      </w:r>
      <w:r w:rsidR="00CF4080" w:rsidRPr="00813D19">
        <w:rPr>
          <w:lang w:val="en-US"/>
        </w:rPr>
        <w:t>communicate to the State Partie</w:t>
      </w:r>
      <w:r w:rsidR="003D2FFF" w:rsidRPr="00813D19">
        <w:rPr>
          <w:lang w:val="en-US"/>
        </w:rPr>
        <w:t>s to submit the new information.</w:t>
      </w:r>
      <w:r w:rsidR="00CF4080" w:rsidRPr="00813D19">
        <w:rPr>
          <w:lang w:val="en-US"/>
        </w:rPr>
        <w:t xml:space="preserve"> </w:t>
      </w:r>
      <w:r w:rsidR="009F20D7" w:rsidRPr="00813D19">
        <w:rPr>
          <w:lang w:val="en-US"/>
        </w:rPr>
        <w:t>E</w:t>
      </w:r>
      <w:r w:rsidR="00CF4080" w:rsidRPr="00813D19">
        <w:rPr>
          <w:lang w:val="en-US"/>
        </w:rPr>
        <w:t>ssentially</w:t>
      </w:r>
      <w:r w:rsidR="009F20D7" w:rsidRPr="00813D19">
        <w:rPr>
          <w:lang w:val="en-US"/>
        </w:rPr>
        <w:t>,</w:t>
      </w:r>
      <w:r w:rsidR="00CF4080" w:rsidRPr="00813D19">
        <w:rPr>
          <w:lang w:val="en-US"/>
        </w:rPr>
        <w:t xml:space="preserve"> when the </w:t>
      </w:r>
      <w:r w:rsidR="009F20D7" w:rsidRPr="00813D19">
        <w:rPr>
          <w:lang w:val="en-US"/>
        </w:rPr>
        <w:t xml:space="preserve">evaluations have been made, </w:t>
      </w:r>
      <w:r w:rsidR="00CF4080" w:rsidRPr="00813D19">
        <w:rPr>
          <w:lang w:val="en-US"/>
        </w:rPr>
        <w:t>in case the file has some technical incompleteness</w:t>
      </w:r>
      <w:r w:rsidR="009F20D7" w:rsidRPr="00813D19">
        <w:rPr>
          <w:lang w:val="en-US"/>
        </w:rPr>
        <w:t xml:space="preserve">, there is a </w:t>
      </w:r>
      <w:r w:rsidR="00CF4080" w:rsidRPr="00813D19">
        <w:rPr>
          <w:lang w:val="en-US"/>
        </w:rPr>
        <w:t>chance</w:t>
      </w:r>
      <w:r w:rsidR="009F20D7" w:rsidRPr="00813D19">
        <w:rPr>
          <w:lang w:val="en-US"/>
        </w:rPr>
        <w:t>—up to around June—</w:t>
      </w:r>
      <w:r w:rsidR="00CF4080" w:rsidRPr="00813D19">
        <w:rPr>
          <w:lang w:val="en-US"/>
        </w:rPr>
        <w:t xml:space="preserve">to submit any </w:t>
      </w:r>
      <w:r w:rsidR="003D2FFF" w:rsidRPr="00813D19">
        <w:rPr>
          <w:lang w:val="en-US"/>
        </w:rPr>
        <w:t>additional</w:t>
      </w:r>
      <w:r w:rsidR="00CF4080" w:rsidRPr="00813D19">
        <w:rPr>
          <w:lang w:val="en-US"/>
        </w:rPr>
        <w:t xml:space="preserve"> information. </w:t>
      </w:r>
      <w:r w:rsidR="00F534F8" w:rsidRPr="00813D19">
        <w:rPr>
          <w:lang w:val="en-US"/>
        </w:rPr>
        <w:t xml:space="preserve">The </w:t>
      </w:r>
      <w:r w:rsidR="003D2FFF" w:rsidRPr="00813D19">
        <w:rPr>
          <w:lang w:val="en-US"/>
        </w:rPr>
        <w:t xml:space="preserve">lingering </w:t>
      </w:r>
      <w:r w:rsidR="00F534F8" w:rsidRPr="00813D19">
        <w:rPr>
          <w:lang w:val="en-US"/>
        </w:rPr>
        <w:t xml:space="preserve">questions are: Will the </w:t>
      </w:r>
      <w:r w:rsidR="00CF4080" w:rsidRPr="00813D19">
        <w:rPr>
          <w:lang w:val="en-US"/>
        </w:rPr>
        <w:t xml:space="preserve">nomination </w:t>
      </w:r>
      <w:r w:rsidR="00F534F8" w:rsidRPr="00813D19">
        <w:rPr>
          <w:lang w:val="en-US"/>
        </w:rPr>
        <w:t>file be revaluated? A</w:t>
      </w:r>
      <w:r w:rsidR="00CF4080" w:rsidRPr="00813D19">
        <w:rPr>
          <w:lang w:val="en-US"/>
        </w:rPr>
        <w:t xml:space="preserve">t what point </w:t>
      </w:r>
      <w:r w:rsidR="00F534F8" w:rsidRPr="00813D19">
        <w:rPr>
          <w:lang w:val="en-US"/>
        </w:rPr>
        <w:t xml:space="preserve">is the Body </w:t>
      </w:r>
      <w:r w:rsidR="00CF4080" w:rsidRPr="00813D19">
        <w:rPr>
          <w:lang w:val="en-US"/>
        </w:rPr>
        <w:t xml:space="preserve">going to </w:t>
      </w:r>
      <w:r w:rsidR="00F534F8" w:rsidRPr="00813D19">
        <w:rPr>
          <w:lang w:val="en-US"/>
        </w:rPr>
        <w:t xml:space="preserve">receive </w:t>
      </w:r>
      <w:r w:rsidR="00CF4080" w:rsidRPr="00813D19">
        <w:rPr>
          <w:lang w:val="en-US"/>
        </w:rPr>
        <w:t xml:space="preserve">the information? </w:t>
      </w:r>
      <w:r w:rsidR="00F534F8" w:rsidRPr="00813D19">
        <w:rPr>
          <w:lang w:val="en-US"/>
        </w:rPr>
        <w:t xml:space="preserve">Is the Body </w:t>
      </w:r>
      <w:r w:rsidR="00CF4080" w:rsidRPr="00813D19">
        <w:rPr>
          <w:lang w:val="en-US"/>
        </w:rPr>
        <w:t xml:space="preserve">going to </w:t>
      </w:r>
      <w:r w:rsidR="00F534F8" w:rsidRPr="00813D19">
        <w:rPr>
          <w:lang w:val="en-US"/>
        </w:rPr>
        <w:t>conduct</w:t>
      </w:r>
      <w:r w:rsidR="00262811">
        <w:rPr>
          <w:lang w:val="en-US"/>
        </w:rPr>
        <w:t xml:space="preserve"> an</w:t>
      </w:r>
      <w:r w:rsidR="00F534F8" w:rsidRPr="00813D19">
        <w:rPr>
          <w:lang w:val="en-US"/>
        </w:rPr>
        <w:t xml:space="preserve"> </w:t>
      </w:r>
      <w:r w:rsidR="00CF4080" w:rsidRPr="00813D19">
        <w:rPr>
          <w:lang w:val="en-US"/>
        </w:rPr>
        <w:t>individual online examination of the new information before reach</w:t>
      </w:r>
      <w:r w:rsidR="00F534F8" w:rsidRPr="00813D19">
        <w:rPr>
          <w:lang w:val="en-US"/>
        </w:rPr>
        <w:t>ing</w:t>
      </w:r>
      <w:r w:rsidR="00CF4080" w:rsidRPr="00813D19">
        <w:rPr>
          <w:lang w:val="en-US"/>
        </w:rPr>
        <w:t xml:space="preserve"> a consensus? </w:t>
      </w:r>
      <w:r w:rsidR="00F534F8" w:rsidRPr="00813D19">
        <w:rPr>
          <w:lang w:val="en-US"/>
        </w:rPr>
        <w:t xml:space="preserve">For these reasons, the Body </w:t>
      </w:r>
      <w:r w:rsidR="0013686F" w:rsidRPr="00813D19">
        <w:rPr>
          <w:lang w:val="en-US"/>
        </w:rPr>
        <w:t>required</w:t>
      </w:r>
      <w:r w:rsidR="00F534F8" w:rsidRPr="00813D19">
        <w:rPr>
          <w:lang w:val="en-US"/>
        </w:rPr>
        <w:t xml:space="preserve"> the </w:t>
      </w:r>
      <w:r w:rsidR="00CF4080" w:rsidRPr="00813D19">
        <w:rPr>
          <w:lang w:val="en-US"/>
        </w:rPr>
        <w:t xml:space="preserve">Committee to come up with a mechanism that </w:t>
      </w:r>
      <w:r w:rsidR="00A33E53">
        <w:rPr>
          <w:lang w:val="en-US"/>
        </w:rPr>
        <w:t>would</w:t>
      </w:r>
      <w:r w:rsidR="00A33E53" w:rsidRPr="00813D19">
        <w:rPr>
          <w:lang w:val="en-US"/>
        </w:rPr>
        <w:t xml:space="preserve"> </w:t>
      </w:r>
      <w:r w:rsidR="00CF4080" w:rsidRPr="00813D19">
        <w:rPr>
          <w:lang w:val="en-US"/>
        </w:rPr>
        <w:t xml:space="preserve">enable </w:t>
      </w:r>
      <w:r w:rsidR="00F534F8" w:rsidRPr="00813D19">
        <w:rPr>
          <w:lang w:val="en-US"/>
        </w:rPr>
        <w:t xml:space="preserve">the Body </w:t>
      </w:r>
      <w:r w:rsidR="00CF4080" w:rsidRPr="00813D19">
        <w:rPr>
          <w:lang w:val="en-US"/>
        </w:rPr>
        <w:t xml:space="preserve">to accomplish </w:t>
      </w:r>
      <w:r w:rsidR="00F534F8" w:rsidRPr="00813D19">
        <w:rPr>
          <w:lang w:val="en-US"/>
        </w:rPr>
        <w:t xml:space="preserve">its </w:t>
      </w:r>
      <w:r w:rsidR="00CF4080" w:rsidRPr="00813D19">
        <w:rPr>
          <w:lang w:val="en-US"/>
        </w:rPr>
        <w:t>work before September</w:t>
      </w:r>
      <w:r w:rsidR="00F534F8" w:rsidRPr="00813D19">
        <w:rPr>
          <w:lang w:val="en-US"/>
        </w:rPr>
        <w:t>,</w:t>
      </w:r>
      <w:r w:rsidR="00CF4080" w:rsidRPr="00813D19">
        <w:rPr>
          <w:lang w:val="en-US"/>
        </w:rPr>
        <w:t xml:space="preserve"> because in September </w:t>
      </w:r>
      <w:r w:rsidR="0013686F" w:rsidRPr="00813D19">
        <w:rPr>
          <w:lang w:val="en-US"/>
        </w:rPr>
        <w:t xml:space="preserve">the Body </w:t>
      </w:r>
      <w:r w:rsidR="00EB6DFA">
        <w:rPr>
          <w:lang w:val="en-US"/>
        </w:rPr>
        <w:t>validates</w:t>
      </w:r>
      <w:r w:rsidR="00CF4080" w:rsidRPr="00813D19">
        <w:rPr>
          <w:lang w:val="en-US"/>
        </w:rPr>
        <w:t xml:space="preserve"> and then </w:t>
      </w:r>
      <w:r w:rsidR="0013686F" w:rsidRPr="00813D19">
        <w:rPr>
          <w:lang w:val="en-US"/>
        </w:rPr>
        <w:t xml:space="preserve">works towards a </w:t>
      </w:r>
      <w:r w:rsidR="00CF4080" w:rsidRPr="00813D19">
        <w:rPr>
          <w:lang w:val="en-US"/>
        </w:rPr>
        <w:t xml:space="preserve">final draft to ascertain whether this is exactly what </w:t>
      </w:r>
      <w:r w:rsidR="0013686F" w:rsidRPr="00813D19">
        <w:rPr>
          <w:lang w:val="en-US"/>
        </w:rPr>
        <w:t xml:space="preserve">was previously </w:t>
      </w:r>
      <w:r w:rsidR="00CF4080" w:rsidRPr="00813D19">
        <w:rPr>
          <w:lang w:val="en-US"/>
        </w:rPr>
        <w:t>discussed</w:t>
      </w:r>
      <w:r w:rsidR="0013686F" w:rsidRPr="00813D19">
        <w:rPr>
          <w:lang w:val="en-US"/>
        </w:rPr>
        <w:t xml:space="preserve">, after which the </w:t>
      </w:r>
      <w:r w:rsidR="00CF4080" w:rsidRPr="00813D19">
        <w:rPr>
          <w:lang w:val="en-US"/>
        </w:rPr>
        <w:t xml:space="preserve">documents are translated and </w:t>
      </w:r>
      <w:r w:rsidR="0013686F" w:rsidRPr="00813D19">
        <w:rPr>
          <w:lang w:val="en-US"/>
        </w:rPr>
        <w:t xml:space="preserve">made available </w:t>
      </w:r>
      <w:r w:rsidR="00CF4080" w:rsidRPr="00813D19">
        <w:rPr>
          <w:lang w:val="en-US"/>
        </w:rPr>
        <w:t xml:space="preserve">online by </w:t>
      </w:r>
      <w:r w:rsidR="00DC522F" w:rsidRPr="00813D19">
        <w:rPr>
          <w:lang w:val="en-US"/>
        </w:rPr>
        <w:t xml:space="preserve">the </w:t>
      </w:r>
      <w:r w:rsidR="00CF4080" w:rsidRPr="00813D19">
        <w:rPr>
          <w:lang w:val="en-US"/>
        </w:rPr>
        <w:t xml:space="preserve">end of October. </w:t>
      </w:r>
      <w:r w:rsidR="0013686F" w:rsidRPr="00813D19">
        <w:rPr>
          <w:lang w:val="en-US"/>
        </w:rPr>
        <w:t>The Chairperson remarked that it was the time limit</w:t>
      </w:r>
      <w:r w:rsidR="00CF4080" w:rsidRPr="00813D19">
        <w:rPr>
          <w:lang w:val="en-US"/>
        </w:rPr>
        <w:t xml:space="preserve"> </w:t>
      </w:r>
      <w:r w:rsidR="0013686F" w:rsidRPr="00813D19">
        <w:rPr>
          <w:lang w:val="en-US"/>
        </w:rPr>
        <w:t xml:space="preserve">that </w:t>
      </w:r>
      <w:r w:rsidR="00CF4080" w:rsidRPr="00813D19">
        <w:rPr>
          <w:lang w:val="en-US"/>
        </w:rPr>
        <w:t xml:space="preserve">might really affect </w:t>
      </w:r>
      <w:r w:rsidR="00DC522F" w:rsidRPr="00813D19">
        <w:rPr>
          <w:lang w:val="en-US"/>
        </w:rPr>
        <w:t>the Body, depending</w:t>
      </w:r>
      <w:r w:rsidR="00CF4080" w:rsidRPr="00813D19">
        <w:rPr>
          <w:lang w:val="en-US"/>
        </w:rPr>
        <w:t xml:space="preserve"> on </w:t>
      </w:r>
      <w:r w:rsidR="0013686F" w:rsidRPr="00813D19">
        <w:rPr>
          <w:lang w:val="en-US"/>
        </w:rPr>
        <w:t xml:space="preserve">the </w:t>
      </w:r>
      <w:r w:rsidR="00CF4080" w:rsidRPr="00813D19">
        <w:rPr>
          <w:lang w:val="en-US"/>
        </w:rPr>
        <w:t xml:space="preserve">mechanisms </w:t>
      </w:r>
      <w:r w:rsidR="0013686F" w:rsidRPr="00813D19">
        <w:rPr>
          <w:lang w:val="en-US"/>
        </w:rPr>
        <w:t xml:space="preserve">followed, but the Body also supported dialogue as long as it did not </w:t>
      </w:r>
      <w:r w:rsidR="00CF4080" w:rsidRPr="00813D19">
        <w:rPr>
          <w:lang w:val="en-US"/>
        </w:rPr>
        <w:t>contravene any Operational Directive</w:t>
      </w:r>
      <w:r w:rsidR="00DC522F" w:rsidRPr="00813D19">
        <w:rPr>
          <w:lang w:val="en-US"/>
        </w:rPr>
        <w:t>s</w:t>
      </w:r>
      <w:r w:rsidR="00CF4080" w:rsidRPr="00813D19">
        <w:rPr>
          <w:lang w:val="en-US"/>
        </w:rPr>
        <w:t xml:space="preserve"> </w:t>
      </w:r>
      <w:r w:rsidR="00DC522F" w:rsidRPr="00813D19">
        <w:rPr>
          <w:lang w:val="en-US"/>
        </w:rPr>
        <w:t>in</w:t>
      </w:r>
      <w:r w:rsidR="00CF4080" w:rsidRPr="00813D19">
        <w:rPr>
          <w:lang w:val="en-US"/>
        </w:rPr>
        <w:t xml:space="preserve"> </w:t>
      </w:r>
      <w:r w:rsidR="0013686F" w:rsidRPr="00813D19">
        <w:rPr>
          <w:lang w:val="en-US"/>
        </w:rPr>
        <w:t xml:space="preserve">its </w:t>
      </w:r>
      <w:r w:rsidR="00DD4E22">
        <w:rPr>
          <w:lang w:val="en-US"/>
        </w:rPr>
        <w:t>procedure.</w:t>
      </w:r>
    </w:p>
    <w:p w14:paraId="33AF8B7D" w14:textId="4E894790" w:rsidR="00354065" w:rsidRPr="00813D19" w:rsidRDefault="00354065"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w:t>
      </w:r>
      <w:r w:rsidR="00CF4080" w:rsidRPr="00813D19">
        <w:rPr>
          <w:b/>
          <w:color w:val="000000" w:themeColor="text1"/>
          <w:lang w:val="en-US"/>
        </w:rPr>
        <w:t xml:space="preserve"> </w:t>
      </w:r>
      <w:r w:rsidR="00CF4080" w:rsidRPr="00813D19">
        <w:rPr>
          <w:lang w:val="en-US"/>
        </w:rPr>
        <w:t>thank</w:t>
      </w:r>
      <w:r w:rsidR="002A6BC0" w:rsidRPr="00813D19">
        <w:rPr>
          <w:lang w:val="en-US"/>
        </w:rPr>
        <w:t>ed</w:t>
      </w:r>
      <w:r w:rsidR="00CF4080" w:rsidRPr="00813D19">
        <w:rPr>
          <w:lang w:val="en-US"/>
        </w:rPr>
        <w:t xml:space="preserve"> the Secretariat and the Chair</w:t>
      </w:r>
      <w:r w:rsidR="00DC522F" w:rsidRPr="00813D19">
        <w:rPr>
          <w:lang w:val="en-US"/>
        </w:rPr>
        <w:t>person</w:t>
      </w:r>
      <w:r w:rsidR="00CF4080" w:rsidRPr="00813D19">
        <w:rPr>
          <w:lang w:val="en-US"/>
        </w:rPr>
        <w:t xml:space="preserve"> of the Evaluation Body for their comments and </w:t>
      </w:r>
      <w:r w:rsidR="002A6BC0" w:rsidRPr="00813D19">
        <w:rPr>
          <w:lang w:val="en-US"/>
        </w:rPr>
        <w:t xml:space="preserve">for </w:t>
      </w:r>
      <w:r w:rsidR="00CF4080" w:rsidRPr="00813D19">
        <w:rPr>
          <w:lang w:val="en-US"/>
        </w:rPr>
        <w:t xml:space="preserve">sharing their procedures. </w:t>
      </w:r>
      <w:r w:rsidR="00B662AE" w:rsidRPr="00813D19">
        <w:rPr>
          <w:lang w:val="en-US"/>
        </w:rPr>
        <w:t xml:space="preserve">It </w:t>
      </w:r>
      <w:r w:rsidR="00CF4080" w:rsidRPr="00813D19">
        <w:rPr>
          <w:lang w:val="en-US"/>
        </w:rPr>
        <w:t>appreciate</w:t>
      </w:r>
      <w:r w:rsidR="00B662AE" w:rsidRPr="00813D19">
        <w:rPr>
          <w:lang w:val="en-US"/>
        </w:rPr>
        <w:t>d</w:t>
      </w:r>
      <w:r w:rsidR="00CF4080" w:rsidRPr="00813D19">
        <w:rPr>
          <w:lang w:val="en-US"/>
        </w:rPr>
        <w:t xml:space="preserve"> the willingness to</w:t>
      </w:r>
      <w:r w:rsidR="0061362C" w:rsidRPr="00813D19">
        <w:rPr>
          <w:lang w:val="en-US"/>
        </w:rPr>
        <w:t xml:space="preserve"> try, </w:t>
      </w:r>
      <w:r w:rsidR="00DC522F" w:rsidRPr="00813D19">
        <w:rPr>
          <w:lang w:val="en-US"/>
        </w:rPr>
        <w:t>as</w:t>
      </w:r>
      <w:r w:rsidR="0061362C" w:rsidRPr="00813D19">
        <w:rPr>
          <w:lang w:val="en-US"/>
        </w:rPr>
        <w:t xml:space="preserve"> </w:t>
      </w:r>
      <w:r w:rsidR="00DC522F" w:rsidRPr="00813D19">
        <w:rPr>
          <w:lang w:val="en-US"/>
        </w:rPr>
        <w:t>no</w:t>
      </w:r>
      <w:r w:rsidR="00A84307">
        <w:rPr>
          <w:lang w:val="en-US"/>
        </w:rPr>
        <w:t xml:space="preserve"> </w:t>
      </w:r>
      <w:r w:rsidR="00CF4080" w:rsidRPr="00813D19">
        <w:rPr>
          <w:lang w:val="en-US"/>
        </w:rPr>
        <w:t xml:space="preserve">one </w:t>
      </w:r>
      <w:r w:rsidR="00DC522F" w:rsidRPr="00813D19">
        <w:rPr>
          <w:lang w:val="en-US"/>
        </w:rPr>
        <w:t>was against dialogue. R</w:t>
      </w:r>
      <w:r w:rsidR="00CF4080" w:rsidRPr="00813D19">
        <w:rPr>
          <w:lang w:val="en-US"/>
        </w:rPr>
        <w:t>espond</w:t>
      </w:r>
      <w:r w:rsidR="00DC522F" w:rsidRPr="00813D19">
        <w:rPr>
          <w:lang w:val="en-US"/>
        </w:rPr>
        <w:t>ing</w:t>
      </w:r>
      <w:r w:rsidR="00CF4080" w:rsidRPr="00813D19">
        <w:rPr>
          <w:lang w:val="en-US"/>
        </w:rPr>
        <w:t xml:space="preserve"> to Austria</w:t>
      </w:r>
      <w:r w:rsidR="0061362C" w:rsidRPr="00813D19">
        <w:rPr>
          <w:lang w:val="en-US"/>
        </w:rPr>
        <w:t xml:space="preserve">, </w:t>
      </w:r>
      <w:r w:rsidR="00DC522F" w:rsidRPr="00813D19">
        <w:rPr>
          <w:lang w:val="en-US"/>
        </w:rPr>
        <w:t xml:space="preserve">the delegation explained that </w:t>
      </w:r>
      <w:r w:rsidR="00CF4080" w:rsidRPr="00813D19">
        <w:rPr>
          <w:lang w:val="en-US"/>
        </w:rPr>
        <w:t xml:space="preserve">the decision of the General Assembly </w:t>
      </w:r>
      <w:r w:rsidR="0061362C" w:rsidRPr="00813D19">
        <w:rPr>
          <w:lang w:val="en-US"/>
        </w:rPr>
        <w:t xml:space="preserve">referred to </w:t>
      </w:r>
      <w:r w:rsidR="00CF4080" w:rsidRPr="00813D19">
        <w:rPr>
          <w:lang w:val="en-US"/>
        </w:rPr>
        <w:t xml:space="preserve">the </w:t>
      </w:r>
      <w:r w:rsidR="00DC522F" w:rsidRPr="00813D19">
        <w:rPr>
          <w:lang w:val="en-US"/>
        </w:rPr>
        <w:t xml:space="preserve">informal </w:t>
      </w:r>
      <w:r w:rsidR="00CF4080" w:rsidRPr="00813D19">
        <w:rPr>
          <w:lang w:val="en-US"/>
        </w:rPr>
        <w:t xml:space="preserve">ad hoc working group and the </w:t>
      </w:r>
      <w:r w:rsidR="0061362C" w:rsidRPr="00813D19">
        <w:rPr>
          <w:lang w:val="en-US"/>
        </w:rPr>
        <w:t>C</w:t>
      </w:r>
      <w:r w:rsidR="00CF4080" w:rsidRPr="00813D19">
        <w:rPr>
          <w:lang w:val="en-US"/>
        </w:rPr>
        <w:t>ommitt</w:t>
      </w:r>
      <w:r w:rsidR="0061362C" w:rsidRPr="00813D19">
        <w:rPr>
          <w:lang w:val="en-US"/>
        </w:rPr>
        <w:t xml:space="preserve">ee. The </w:t>
      </w:r>
      <w:r w:rsidR="00DC522F" w:rsidRPr="00813D19">
        <w:rPr>
          <w:lang w:val="en-US"/>
        </w:rPr>
        <w:t xml:space="preserve">informal </w:t>
      </w:r>
      <w:r w:rsidR="0061362C" w:rsidRPr="00813D19">
        <w:rPr>
          <w:lang w:val="en-US"/>
        </w:rPr>
        <w:t>ad hoc working group had</w:t>
      </w:r>
      <w:r w:rsidR="00CF4080" w:rsidRPr="00813D19">
        <w:rPr>
          <w:lang w:val="en-US"/>
        </w:rPr>
        <w:t xml:space="preserve"> in fact worked on dialogue </w:t>
      </w:r>
      <w:r w:rsidR="0061362C" w:rsidRPr="00813D19">
        <w:rPr>
          <w:lang w:val="en-US"/>
        </w:rPr>
        <w:t xml:space="preserve">for </w:t>
      </w:r>
      <w:r w:rsidR="00CF4080" w:rsidRPr="00813D19">
        <w:rPr>
          <w:lang w:val="en-US"/>
        </w:rPr>
        <w:t xml:space="preserve">the last two years. </w:t>
      </w:r>
      <w:r w:rsidR="0061362C" w:rsidRPr="00813D19">
        <w:rPr>
          <w:lang w:val="en-US"/>
        </w:rPr>
        <w:t xml:space="preserve">The delegation </w:t>
      </w:r>
      <w:r w:rsidR="00CF4080" w:rsidRPr="00813D19">
        <w:rPr>
          <w:lang w:val="en-US"/>
        </w:rPr>
        <w:t>believe</w:t>
      </w:r>
      <w:r w:rsidR="0061362C" w:rsidRPr="00813D19">
        <w:rPr>
          <w:lang w:val="en-US"/>
        </w:rPr>
        <w:t>d</w:t>
      </w:r>
      <w:r w:rsidR="00CF4080" w:rsidRPr="00813D19">
        <w:rPr>
          <w:lang w:val="en-US"/>
        </w:rPr>
        <w:t xml:space="preserve"> that </w:t>
      </w:r>
      <w:r w:rsidR="00DC522F" w:rsidRPr="00813D19">
        <w:rPr>
          <w:lang w:val="en-US"/>
        </w:rPr>
        <w:t>the time was now ripe</w:t>
      </w:r>
      <w:r w:rsidR="0061362C" w:rsidRPr="00813D19">
        <w:rPr>
          <w:lang w:val="en-US"/>
        </w:rPr>
        <w:t>, following the discussi</w:t>
      </w:r>
      <w:r w:rsidR="00DC522F" w:rsidRPr="00813D19">
        <w:rPr>
          <w:lang w:val="en-US"/>
        </w:rPr>
        <w:t xml:space="preserve">ons during the present session and noting </w:t>
      </w:r>
      <w:r w:rsidR="00CF4080" w:rsidRPr="00813D19">
        <w:rPr>
          <w:lang w:val="en-US"/>
        </w:rPr>
        <w:t xml:space="preserve">that </w:t>
      </w:r>
      <w:r w:rsidR="00DC522F" w:rsidRPr="00813D19">
        <w:rPr>
          <w:lang w:val="en-US"/>
        </w:rPr>
        <w:t xml:space="preserve">it </w:t>
      </w:r>
      <w:r w:rsidR="0061362C" w:rsidRPr="00813D19">
        <w:rPr>
          <w:lang w:val="en-US"/>
        </w:rPr>
        <w:t xml:space="preserve">did </w:t>
      </w:r>
      <w:r w:rsidR="00CF4080" w:rsidRPr="00813D19">
        <w:rPr>
          <w:lang w:val="en-US"/>
        </w:rPr>
        <w:t xml:space="preserve">not </w:t>
      </w:r>
      <w:r w:rsidR="0061362C" w:rsidRPr="00813D19">
        <w:rPr>
          <w:lang w:val="en-US"/>
        </w:rPr>
        <w:t xml:space="preserve">go </w:t>
      </w:r>
      <w:r w:rsidR="00CF4080" w:rsidRPr="00813D19">
        <w:rPr>
          <w:lang w:val="en-US"/>
        </w:rPr>
        <w:t xml:space="preserve">against the Operational Directives, </w:t>
      </w:r>
      <w:r w:rsidR="00DC522F" w:rsidRPr="00813D19">
        <w:rPr>
          <w:lang w:val="en-US"/>
        </w:rPr>
        <w:t xml:space="preserve">as well as </w:t>
      </w:r>
      <w:r w:rsidR="0061362C" w:rsidRPr="00813D19">
        <w:rPr>
          <w:lang w:val="en-US"/>
        </w:rPr>
        <w:t xml:space="preserve">the </w:t>
      </w:r>
      <w:r w:rsidR="00CF4080" w:rsidRPr="00813D19">
        <w:rPr>
          <w:lang w:val="en-US"/>
        </w:rPr>
        <w:t xml:space="preserve">flexibility </w:t>
      </w:r>
      <w:r w:rsidR="0061362C" w:rsidRPr="00813D19">
        <w:rPr>
          <w:lang w:val="en-US"/>
        </w:rPr>
        <w:t xml:space="preserve">and </w:t>
      </w:r>
      <w:r w:rsidR="00CF4080" w:rsidRPr="00813D19">
        <w:rPr>
          <w:lang w:val="en-US"/>
        </w:rPr>
        <w:t xml:space="preserve">openness to try. </w:t>
      </w:r>
      <w:r w:rsidR="00DC522F" w:rsidRPr="00813D19">
        <w:rPr>
          <w:lang w:val="en-US"/>
        </w:rPr>
        <w:t>Moreover</w:t>
      </w:r>
      <w:r w:rsidR="00CF4080" w:rsidRPr="00813D19">
        <w:rPr>
          <w:lang w:val="en-US"/>
        </w:rPr>
        <w:t xml:space="preserve">, if </w:t>
      </w:r>
      <w:r w:rsidR="0061362C" w:rsidRPr="00813D19">
        <w:rPr>
          <w:lang w:val="en-US"/>
        </w:rPr>
        <w:t>the Committee</w:t>
      </w:r>
      <w:r w:rsidR="00A33E53">
        <w:rPr>
          <w:lang w:val="en-US"/>
        </w:rPr>
        <w:t xml:space="preserve"> were</w:t>
      </w:r>
      <w:r w:rsidR="0061362C" w:rsidRPr="00813D19">
        <w:rPr>
          <w:lang w:val="en-US"/>
        </w:rPr>
        <w:t xml:space="preserve"> </w:t>
      </w:r>
      <w:r w:rsidR="00CF4080" w:rsidRPr="00813D19">
        <w:rPr>
          <w:lang w:val="en-US"/>
        </w:rPr>
        <w:t>to propose amendments</w:t>
      </w:r>
      <w:r w:rsidR="00DC522F" w:rsidRPr="00813D19">
        <w:rPr>
          <w:lang w:val="en-US"/>
        </w:rPr>
        <w:t>,</w:t>
      </w:r>
      <w:r w:rsidR="0061362C" w:rsidRPr="00813D19">
        <w:rPr>
          <w:lang w:val="en-US"/>
        </w:rPr>
        <w:t xml:space="preserve"> should it not</w:t>
      </w:r>
      <w:r w:rsidR="00CF4080" w:rsidRPr="00813D19">
        <w:rPr>
          <w:lang w:val="en-US"/>
        </w:rPr>
        <w:t xml:space="preserve"> try some kind of mechanism before</w:t>
      </w:r>
      <w:r w:rsidR="0061362C" w:rsidRPr="00813D19">
        <w:rPr>
          <w:lang w:val="en-US"/>
        </w:rPr>
        <w:t>hand</w:t>
      </w:r>
      <w:r w:rsidR="00CF4080" w:rsidRPr="00813D19">
        <w:rPr>
          <w:lang w:val="en-US"/>
        </w:rPr>
        <w:t xml:space="preserve"> to ensure that </w:t>
      </w:r>
      <w:r w:rsidR="0061362C" w:rsidRPr="00813D19">
        <w:rPr>
          <w:lang w:val="en-US"/>
        </w:rPr>
        <w:t xml:space="preserve">the proposal </w:t>
      </w:r>
      <w:r w:rsidR="00A33E53">
        <w:rPr>
          <w:lang w:val="en-US"/>
        </w:rPr>
        <w:t>was</w:t>
      </w:r>
      <w:r w:rsidR="00A33E53" w:rsidRPr="00813D19">
        <w:rPr>
          <w:lang w:val="en-US"/>
        </w:rPr>
        <w:t xml:space="preserve"> </w:t>
      </w:r>
      <w:r w:rsidR="0061362C" w:rsidRPr="00813D19">
        <w:rPr>
          <w:lang w:val="en-US"/>
        </w:rPr>
        <w:t>good and workable</w:t>
      </w:r>
      <w:r w:rsidR="00A33E53">
        <w:rPr>
          <w:lang w:val="en-US"/>
        </w:rPr>
        <w:t>?</w:t>
      </w:r>
      <w:r w:rsidR="00A33E53" w:rsidRPr="00813D19">
        <w:rPr>
          <w:lang w:val="en-US"/>
        </w:rPr>
        <w:t xml:space="preserve"> </w:t>
      </w:r>
      <w:r w:rsidR="0061362C" w:rsidRPr="00813D19">
        <w:rPr>
          <w:lang w:val="en-US"/>
        </w:rPr>
        <w:t xml:space="preserve">Even if it were not to </w:t>
      </w:r>
      <w:r w:rsidR="00CF4080" w:rsidRPr="00813D19">
        <w:rPr>
          <w:lang w:val="en-US"/>
        </w:rPr>
        <w:t xml:space="preserve">work </w:t>
      </w:r>
      <w:r w:rsidR="0061362C" w:rsidRPr="00813D19">
        <w:rPr>
          <w:lang w:val="en-US"/>
        </w:rPr>
        <w:t xml:space="preserve">the following </w:t>
      </w:r>
      <w:r w:rsidR="00CF4080" w:rsidRPr="00813D19">
        <w:rPr>
          <w:lang w:val="en-US"/>
        </w:rPr>
        <w:t>year</w:t>
      </w:r>
      <w:r w:rsidR="0061362C" w:rsidRPr="00813D19">
        <w:rPr>
          <w:lang w:val="en-US"/>
        </w:rPr>
        <w:t xml:space="preserve">, it should </w:t>
      </w:r>
      <w:r w:rsidR="00CF4080" w:rsidRPr="00813D19">
        <w:rPr>
          <w:lang w:val="en-US"/>
        </w:rPr>
        <w:t xml:space="preserve">still </w:t>
      </w:r>
      <w:r w:rsidR="0061362C" w:rsidRPr="00813D19">
        <w:rPr>
          <w:lang w:val="en-US"/>
        </w:rPr>
        <w:t xml:space="preserve">be attempted. For </w:t>
      </w:r>
      <w:r w:rsidR="00DC522F" w:rsidRPr="00813D19">
        <w:rPr>
          <w:lang w:val="en-US"/>
        </w:rPr>
        <w:t xml:space="preserve">these </w:t>
      </w:r>
      <w:r w:rsidR="0061362C" w:rsidRPr="00813D19">
        <w:rPr>
          <w:lang w:val="en-US"/>
        </w:rPr>
        <w:t>reason</w:t>
      </w:r>
      <w:r w:rsidR="00DC522F" w:rsidRPr="00813D19">
        <w:rPr>
          <w:lang w:val="en-US"/>
        </w:rPr>
        <w:t>s</w:t>
      </w:r>
      <w:r w:rsidR="0061362C" w:rsidRPr="00813D19">
        <w:rPr>
          <w:lang w:val="en-US"/>
        </w:rPr>
        <w:t xml:space="preserve">, the delegation </w:t>
      </w:r>
      <w:r w:rsidR="00DC522F" w:rsidRPr="00813D19">
        <w:rPr>
          <w:lang w:val="en-US"/>
        </w:rPr>
        <w:t xml:space="preserve">had </w:t>
      </w:r>
      <w:r w:rsidR="00CF4080" w:rsidRPr="00813D19">
        <w:rPr>
          <w:lang w:val="en-US"/>
        </w:rPr>
        <w:t>submit</w:t>
      </w:r>
      <w:r w:rsidR="0061362C" w:rsidRPr="00813D19">
        <w:rPr>
          <w:lang w:val="en-US"/>
        </w:rPr>
        <w:t>ted</w:t>
      </w:r>
      <w:r w:rsidR="00CF4080" w:rsidRPr="00813D19">
        <w:rPr>
          <w:lang w:val="en-US"/>
        </w:rPr>
        <w:t xml:space="preserve"> these amendments</w:t>
      </w:r>
      <w:r w:rsidR="0061362C" w:rsidRPr="00813D19">
        <w:rPr>
          <w:lang w:val="en-US"/>
        </w:rPr>
        <w:t>,</w:t>
      </w:r>
      <w:r w:rsidR="00DC522F" w:rsidRPr="00813D19">
        <w:rPr>
          <w:lang w:val="en-US"/>
        </w:rPr>
        <w:t xml:space="preserve"> and in consideration of</w:t>
      </w:r>
      <w:r w:rsidR="0061362C" w:rsidRPr="00813D19">
        <w:rPr>
          <w:lang w:val="en-US"/>
        </w:rPr>
        <w:t xml:space="preserve"> </w:t>
      </w:r>
      <w:r w:rsidR="00DC522F" w:rsidRPr="00813D19">
        <w:rPr>
          <w:lang w:val="en-US"/>
        </w:rPr>
        <w:t xml:space="preserve">the </w:t>
      </w:r>
      <w:r w:rsidR="00CF4080" w:rsidRPr="00813D19">
        <w:rPr>
          <w:lang w:val="en-US"/>
        </w:rPr>
        <w:t xml:space="preserve">hesitation </w:t>
      </w:r>
      <w:r w:rsidR="00DC522F" w:rsidRPr="00813D19">
        <w:rPr>
          <w:lang w:val="en-US"/>
        </w:rPr>
        <w:t>and/</w:t>
      </w:r>
      <w:r w:rsidR="00CF4080" w:rsidRPr="00813D19">
        <w:rPr>
          <w:lang w:val="en-US"/>
        </w:rPr>
        <w:t xml:space="preserve">or opposition </w:t>
      </w:r>
      <w:r w:rsidR="0061362C" w:rsidRPr="00813D19">
        <w:rPr>
          <w:lang w:val="en-US"/>
        </w:rPr>
        <w:t>over two C</w:t>
      </w:r>
      <w:r w:rsidR="00CF4080" w:rsidRPr="00813D19">
        <w:rPr>
          <w:lang w:val="en-US"/>
        </w:rPr>
        <w:t xml:space="preserve">ommittees already. This </w:t>
      </w:r>
      <w:r w:rsidR="0061362C" w:rsidRPr="00813D19">
        <w:rPr>
          <w:lang w:val="en-US"/>
        </w:rPr>
        <w:t xml:space="preserve">was </w:t>
      </w:r>
      <w:r w:rsidR="00DC522F" w:rsidRPr="00813D19">
        <w:rPr>
          <w:lang w:val="en-US"/>
        </w:rPr>
        <w:t xml:space="preserve">now </w:t>
      </w:r>
      <w:r w:rsidR="0061362C" w:rsidRPr="00813D19">
        <w:rPr>
          <w:lang w:val="en-US"/>
        </w:rPr>
        <w:t xml:space="preserve">the third Committee and it was </w:t>
      </w:r>
      <w:r w:rsidR="00DC522F" w:rsidRPr="00813D19">
        <w:rPr>
          <w:lang w:val="en-US"/>
        </w:rPr>
        <w:t xml:space="preserve">thus </w:t>
      </w:r>
      <w:r w:rsidR="00CF4080" w:rsidRPr="00813D19">
        <w:rPr>
          <w:lang w:val="en-US"/>
        </w:rPr>
        <w:t>time to make a decision</w:t>
      </w:r>
      <w:r w:rsidR="00DC522F" w:rsidRPr="00813D19">
        <w:rPr>
          <w:lang w:val="en-US"/>
        </w:rPr>
        <w:t xml:space="preserve"> in this sense</w:t>
      </w:r>
      <w:r w:rsidR="0061362C" w:rsidRPr="00813D19">
        <w:rPr>
          <w:lang w:val="en-US"/>
        </w:rPr>
        <w:t>.</w:t>
      </w:r>
    </w:p>
    <w:p w14:paraId="06DF0B00" w14:textId="10A90CFF" w:rsidR="00094277" w:rsidRPr="00813D19" w:rsidRDefault="00094277"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61362C" w:rsidRPr="00813D19">
        <w:rPr>
          <w:color w:val="000000" w:themeColor="text1"/>
          <w:lang w:val="en-US"/>
        </w:rPr>
        <w:t xml:space="preserve">had </w:t>
      </w:r>
      <w:r w:rsidR="0061362C" w:rsidRPr="00813D19">
        <w:rPr>
          <w:bCs/>
          <w:lang w:val="en-US"/>
        </w:rPr>
        <w:t>no objection to try</w:t>
      </w:r>
      <w:r w:rsidR="00CF4080" w:rsidRPr="00813D19">
        <w:rPr>
          <w:bCs/>
          <w:lang w:val="en-US"/>
        </w:rPr>
        <w:t xml:space="preserve"> </w:t>
      </w:r>
      <w:r w:rsidR="0061362C" w:rsidRPr="00813D19">
        <w:rPr>
          <w:bCs/>
          <w:lang w:val="en-US"/>
        </w:rPr>
        <w:t xml:space="preserve">this procedure in </w:t>
      </w:r>
      <w:r w:rsidR="00CF4080" w:rsidRPr="00813D19">
        <w:rPr>
          <w:bCs/>
          <w:lang w:val="en-US"/>
        </w:rPr>
        <w:t xml:space="preserve">this </w:t>
      </w:r>
      <w:r w:rsidR="0061362C" w:rsidRPr="00813D19">
        <w:rPr>
          <w:bCs/>
          <w:lang w:val="en-US"/>
        </w:rPr>
        <w:t xml:space="preserve">cycle, but </w:t>
      </w:r>
      <w:r w:rsidR="00DC522F" w:rsidRPr="00813D19">
        <w:rPr>
          <w:bCs/>
          <w:lang w:val="en-US"/>
        </w:rPr>
        <w:t xml:space="preserve">he </w:t>
      </w:r>
      <w:r w:rsidR="0061362C" w:rsidRPr="00813D19">
        <w:rPr>
          <w:bCs/>
          <w:lang w:val="en-US"/>
        </w:rPr>
        <w:t xml:space="preserve">wanted to be assured that </w:t>
      </w:r>
      <w:r w:rsidR="00CF4080" w:rsidRPr="00813D19">
        <w:rPr>
          <w:bCs/>
          <w:lang w:val="en-US"/>
        </w:rPr>
        <w:t xml:space="preserve">the Evaluation Body </w:t>
      </w:r>
      <w:r w:rsidR="00A33E53">
        <w:rPr>
          <w:bCs/>
          <w:lang w:val="en-US"/>
        </w:rPr>
        <w:t>could</w:t>
      </w:r>
      <w:r w:rsidR="00A33E53" w:rsidRPr="00813D19">
        <w:rPr>
          <w:bCs/>
          <w:lang w:val="en-US"/>
        </w:rPr>
        <w:t xml:space="preserve"> </w:t>
      </w:r>
      <w:r w:rsidR="00CF4080" w:rsidRPr="00813D19">
        <w:rPr>
          <w:bCs/>
          <w:lang w:val="en-US"/>
        </w:rPr>
        <w:t>change its decision after June</w:t>
      </w:r>
      <w:r w:rsidR="0061362C" w:rsidRPr="00813D19">
        <w:rPr>
          <w:bCs/>
          <w:lang w:val="en-US"/>
        </w:rPr>
        <w:t>,</w:t>
      </w:r>
      <w:r w:rsidR="00CF4080" w:rsidRPr="00813D19">
        <w:rPr>
          <w:bCs/>
          <w:lang w:val="en-US"/>
        </w:rPr>
        <w:t xml:space="preserve"> even if </w:t>
      </w:r>
      <w:r w:rsidR="0061362C" w:rsidRPr="00813D19">
        <w:rPr>
          <w:bCs/>
          <w:lang w:val="en-US"/>
        </w:rPr>
        <w:t xml:space="preserve">it </w:t>
      </w:r>
      <w:r w:rsidR="00A33E53">
        <w:rPr>
          <w:bCs/>
          <w:lang w:val="en-US"/>
        </w:rPr>
        <w:t>were</w:t>
      </w:r>
      <w:r w:rsidR="00A33E53" w:rsidRPr="00813D19">
        <w:rPr>
          <w:bCs/>
          <w:lang w:val="en-US"/>
        </w:rPr>
        <w:t xml:space="preserve"> </w:t>
      </w:r>
      <w:r w:rsidR="0061362C" w:rsidRPr="00813D19">
        <w:rPr>
          <w:bCs/>
          <w:lang w:val="en-US"/>
        </w:rPr>
        <w:t xml:space="preserve">on an </w:t>
      </w:r>
      <w:r w:rsidR="00CF4080" w:rsidRPr="00813D19">
        <w:rPr>
          <w:bCs/>
          <w:lang w:val="en-US"/>
        </w:rPr>
        <w:t>experimental</w:t>
      </w:r>
      <w:r w:rsidR="0061362C" w:rsidRPr="00813D19">
        <w:rPr>
          <w:bCs/>
          <w:lang w:val="en-US"/>
        </w:rPr>
        <w:t xml:space="preserve"> basis </w:t>
      </w:r>
      <w:r w:rsidR="0066629D" w:rsidRPr="00813D19">
        <w:rPr>
          <w:bCs/>
          <w:lang w:val="en-US"/>
        </w:rPr>
        <w:t xml:space="preserve">to </w:t>
      </w:r>
      <w:r w:rsidR="00CF4080" w:rsidRPr="00813D19">
        <w:rPr>
          <w:bCs/>
          <w:lang w:val="en-US"/>
        </w:rPr>
        <w:t xml:space="preserve">prepare Operational Directives to see what works. </w:t>
      </w:r>
      <w:r w:rsidR="0066629D" w:rsidRPr="00813D19">
        <w:rPr>
          <w:bCs/>
          <w:lang w:val="en-US"/>
        </w:rPr>
        <w:t xml:space="preserve">Still, it remained </w:t>
      </w:r>
      <w:r w:rsidR="0061362C" w:rsidRPr="00813D19">
        <w:rPr>
          <w:bCs/>
          <w:lang w:val="en-US"/>
        </w:rPr>
        <w:t xml:space="preserve">unclear whether the Evaluation Body could change its recommendation </w:t>
      </w:r>
      <w:r w:rsidR="00CF4080" w:rsidRPr="00813D19">
        <w:rPr>
          <w:bCs/>
          <w:lang w:val="en-US"/>
        </w:rPr>
        <w:t xml:space="preserve">after </w:t>
      </w:r>
      <w:r w:rsidR="0061362C" w:rsidRPr="00813D19">
        <w:rPr>
          <w:bCs/>
          <w:lang w:val="en-US"/>
        </w:rPr>
        <w:t xml:space="preserve">its </w:t>
      </w:r>
      <w:r w:rsidR="00CF4080" w:rsidRPr="00813D19">
        <w:rPr>
          <w:bCs/>
          <w:lang w:val="en-US"/>
        </w:rPr>
        <w:t xml:space="preserve">June </w:t>
      </w:r>
      <w:r w:rsidR="0061362C" w:rsidRPr="00813D19">
        <w:rPr>
          <w:bCs/>
          <w:lang w:val="en-US"/>
        </w:rPr>
        <w:t xml:space="preserve">meeting, </w:t>
      </w:r>
      <w:r w:rsidR="0066629D" w:rsidRPr="00813D19">
        <w:rPr>
          <w:bCs/>
          <w:lang w:val="en-US"/>
        </w:rPr>
        <w:t xml:space="preserve">but </w:t>
      </w:r>
      <w:r w:rsidR="0061362C" w:rsidRPr="00813D19">
        <w:rPr>
          <w:bCs/>
          <w:lang w:val="en-US"/>
        </w:rPr>
        <w:t xml:space="preserve">the Secretary was willing to </w:t>
      </w:r>
      <w:r w:rsidR="00CF4080" w:rsidRPr="00813D19">
        <w:rPr>
          <w:bCs/>
          <w:lang w:val="en-US"/>
        </w:rPr>
        <w:t xml:space="preserve">ask Legal Affairs </w:t>
      </w:r>
      <w:r w:rsidR="0066629D" w:rsidRPr="00813D19">
        <w:rPr>
          <w:bCs/>
          <w:lang w:val="en-US"/>
        </w:rPr>
        <w:t>on his return</w:t>
      </w:r>
      <w:r w:rsidR="0061362C" w:rsidRPr="00813D19">
        <w:rPr>
          <w:bCs/>
          <w:lang w:val="en-US"/>
        </w:rPr>
        <w:t xml:space="preserve"> to Paris.</w:t>
      </w:r>
    </w:p>
    <w:p w14:paraId="35DECB1D" w14:textId="7519D2D4" w:rsidR="00094277" w:rsidRPr="00813D19" w:rsidRDefault="00785E01"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35653E" w:rsidRPr="00813D19">
        <w:rPr>
          <w:b/>
          <w:color w:val="000000" w:themeColor="text1"/>
          <w:lang w:val="en-US"/>
        </w:rPr>
        <w:t xml:space="preserve">Kuwait </w:t>
      </w:r>
      <w:r w:rsidR="0035653E" w:rsidRPr="00813D19">
        <w:rPr>
          <w:lang w:val="en-US"/>
        </w:rPr>
        <w:t>support</w:t>
      </w:r>
      <w:r w:rsidR="0061362C" w:rsidRPr="00813D19">
        <w:rPr>
          <w:lang w:val="en-US"/>
        </w:rPr>
        <w:t>ed</w:t>
      </w:r>
      <w:r w:rsidR="0035653E" w:rsidRPr="00813D19">
        <w:rPr>
          <w:lang w:val="en-US"/>
        </w:rPr>
        <w:t xml:space="preserve"> </w:t>
      </w:r>
      <w:r w:rsidR="0061362C" w:rsidRPr="00813D19">
        <w:rPr>
          <w:lang w:val="en-US"/>
        </w:rPr>
        <w:t xml:space="preserve">the position </w:t>
      </w:r>
      <w:r w:rsidR="0066629D" w:rsidRPr="00813D19">
        <w:rPr>
          <w:lang w:val="en-US"/>
        </w:rPr>
        <w:t xml:space="preserve">voiced </w:t>
      </w:r>
      <w:r w:rsidR="0061362C" w:rsidRPr="00813D19">
        <w:rPr>
          <w:lang w:val="en-US"/>
        </w:rPr>
        <w:t xml:space="preserve">by the </w:t>
      </w:r>
      <w:r w:rsidR="00DD4E22">
        <w:rPr>
          <w:lang w:val="en-US"/>
        </w:rPr>
        <w:t>Philippines.</w:t>
      </w:r>
    </w:p>
    <w:p w14:paraId="188243C5" w14:textId="7C10C175" w:rsidR="001578AF" w:rsidRPr="00813D19" w:rsidRDefault="001578AF"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35653E" w:rsidRPr="00813D19">
        <w:rPr>
          <w:b/>
          <w:color w:val="000000" w:themeColor="text1"/>
          <w:lang w:val="en-US"/>
        </w:rPr>
        <w:t xml:space="preserve"> </w:t>
      </w:r>
      <w:r w:rsidR="0066629D" w:rsidRPr="00813D19">
        <w:rPr>
          <w:color w:val="000000" w:themeColor="text1"/>
          <w:lang w:val="en-US"/>
        </w:rPr>
        <w:t xml:space="preserve">wanted </w:t>
      </w:r>
      <w:r w:rsidR="004D0EE0" w:rsidRPr="00813D19">
        <w:rPr>
          <w:color w:val="000000" w:themeColor="text1"/>
          <w:lang w:val="en-US"/>
        </w:rPr>
        <w:t>to</w:t>
      </w:r>
      <w:r w:rsidR="004D0EE0" w:rsidRPr="00813D19">
        <w:rPr>
          <w:b/>
          <w:color w:val="000000" w:themeColor="text1"/>
          <w:lang w:val="en-US"/>
        </w:rPr>
        <w:t xml:space="preserve"> </w:t>
      </w:r>
      <w:r w:rsidR="004D04EE" w:rsidRPr="00813D19">
        <w:rPr>
          <w:lang w:val="en-US"/>
        </w:rPr>
        <w:t xml:space="preserve">see </w:t>
      </w:r>
      <w:r w:rsidR="004D0EE0" w:rsidRPr="00813D19">
        <w:rPr>
          <w:lang w:val="en-US"/>
        </w:rPr>
        <w:t xml:space="preserve">the support by Members of the Committee </w:t>
      </w:r>
      <w:r w:rsidR="004D04EE" w:rsidRPr="00813D19">
        <w:rPr>
          <w:lang w:val="en-US"/>
        </w:rPr>
        <w:t xml:space="preserve">noted </w:t>
      </w:r>
      <w:r w:rsidR="004D0EE0" w:rsidRPr="00813D19">
        <w:rPr>
          <w:lang w:val="en-US"/>
        </w:rPr>
        <w:t xml:space="preserve">on the screen. It thanked the Secretary </w:t>
      </w:r>
      <w:r w:rsidR="004D04EE" w:rsidRPr="00813D19">
        <w:rPr>
          <w:lang w:val="en-US"/>
        </w:rPr>
        <w:t xml:space="preserve">for accepting that </w:t>
      </w:r>
      <w:r w:rsidR="0066629D" w:rsidRPr="00813D19">
        <w:rPr>
          <w:lang w:val="en-US"/>
        </w:rPr>
        <w:t xml:space="preserve">the proposal </w:t>
      </w:r>
      <w:r w:rsidR="004D04EE" w:rsidRPr="00813D19">
        <w:rPr>
          <w:lang w:val="en-US"/>
        </w:rPr>
        <w:t xml:space="preserve">was </w:t>
      </w:r>
      <w:r w:rsidR="0066629D" w:rsidRPr="00813D19">
        <w:rPr>
          <w:lang w:val="en-US"/>
        </w:rPr>
        <w:t xml:space="preserve">indeed </w:t>
      </w:r>
      <w:r w:rsidR="0035653E" w:rsidRPr="00813D19">
        <w:rPr>
          <w:lang w:val="en-US"/>
        </w:rPr>
        <w:t>possib</w:t>
      </w:r>
      <w:r w:rsidR="004D04EE" w:rsidRPr="00813D19">
        <w:rPr>
          <w:lang w:val="en-US"/>
        </w:rPr>
        <w:t>le</w:t>
      </w:r>
      <w:r w:rsidR="0035653E" w:rsidRPr="00813D19">
        <w:rPr>
          <w:lang w:val="en-US"/>
        </w:rPr>
        <w:t xml:space="preserve"> </w:t>
      </w:r>
      <w:r w:rsidR="004D04EE" w:rsidRPr="00813D19">
        <w:rPr>
          <w:lang w:val="en-US"/>
        </w:rPr>
        <w:t xml:space="preserve">and </w:t>
      </w:r>
      <w:r w:rsidR="0035653E" w:rsidRPr="00813D19">
        <w:rPr>
          <w:lang w:val="en-US"/>
        </w:rPr>
        <w:t xml:space="preserve">feasible, </w:t>
      </w:r>
      <w:r w:rsidR="00A33E53">
        <w:rPr>
          <w:lang w:val="en-US"/>
        </w:rPr>
        <w:t>even though</w:t>
      </w:r>
      <w:r w:rsidR="00A33E53" w:rsidRPr="00813D19">
        <w:rPr>
          <w:lang w:val="en-US"/>
        </w:rPr>
        <w:t xml:space="preserve"> </w:t>
      </w:r>
      <w:r w:rsidR="004D04EE" w:rsidRPr="00813D19">
        <w:rPr>
          <w:lang w:val="en-US"/>
        </w:rPr>
        <w:t xml:space="preserve">it would involve some </w:t>
      </w:r>
      <w:r w:rsidR="0066629D" w:rsidRPr="00813D19">
        <w:rPr>
          <w:lang w:val="en-US"/>
        </w:rPr>
        <w:t>additional work</w:t>
      </w:r>
      <w:r w:rsidR="004D04EE" w:rsidRPr="00813D19">
        <w:rPr>
          <w:lang w:val="en-US"/>
        </w:rPr>
        <w:t xml:space="preserve"> </w:t>
      </w:r>
      <w:r w:rsidR="0066629D" w:rsidRPr="00813D19">
        <w:rPr>
          <w:lang w:val="en-US"/>
        </w:rPr>
        <w:t xml:space="preserve">and </w:t>
      </w:r>
      <w:r w:rsidR="004D04EE" w:rsidRPr="00813D19">
        <w:rPr>
          <w:lang w:val="en-US"/>
        </w:rPr>
        <w:t xml:space="preserve">the concern centred on whether </w:t>
      </w:r>
      <w:r w:rsidR="0035653E" w:rsidRPr="00813D19">
        <w:rPr>
          <w:lang w:val="en-US"/>
        </w:rPr>
        <w:t xml:space="preserve">the Evaluation Body </w:t>
      </w:r>
      <w:r w:rsidR="00A33E53" w:rsidRPr="00813D19">
        <w:rPr>
          <w:lang w:val="en-US"/>
        </w:rPr>
        <w:t>c</w:t>
      </w:r>
      <w:r w:rsidR="00A33E53">
        <w:rPr>
          <w:lang w:val="en-US"/>
        </w:rPr>
        <w:t>ould</w:t>
      </w:r>
      <w:r w:rsidR="00A33E53" w:rsidRPr="00813D19">
        <w:rPr>
          <w:lang w:val="en-US"/>
        </w:rPr>
        <w:t xml:space="preserve"> </w:t>
      </w:r>
      <w:r w:rsidR="004D04EE" w:rsidRPr="00813D19">
        <w:rPr>
          <w:lang w:val="en-US"/>
        </w:rPr>
        <w:t xml:space="preserve">legally </w:t>
      </w:r>
      <w:r w:rsidR="0035653E" w:rsidRPr="00813D19">
        <w:rPr>
          <w:lang w:val="en-US"/>
        </w:rPr>
        <w:t xml:space="preserve">change the recommendations in September. </w:t>
      </w:r>
      <w:r w:rsidR="004D04EE" w:rsidRPr="00813D19">
        <w:rPr>
          <w:lang w:val="en-US"/>
        </w:rPr>
        <w:t>However, legal</w:t>
      </w:r>
      <w:r w:rsidR="0066629D" w:rsidRPr="00813D19">
        <w:rPr>
          <w:lang w:val="en-US"/>
        </w:rPr>
        <w:t>ly</w:t>
      </w:r>
      <w:r w:rsidR="004D04EE" w:rsidRPr="00813D19">
        <w:rPr>
          <w:lang w:val="en-US"/>
        </w:rPr>
        <w:t xml:space="preserve"> speaking</w:t>
      </w:r>
      <w:r w:rsidR="0066629D" w:rsidRPr="00813D19">
        <w:rPr>
          <w:lang w:val="en-US"/>
        </w:rPr>
        <w:t>,</w:t>
      </w:r>
      <w:r w:rsidR="004D04EE" w:rsidRPr="00813D19">
        <w:rPr>
          <w:lang w:val="en-US"/>
        </w:rPr>
        <w:t xml:space="preserve"> the Body could not meet in September</w:t>
      </w:r>
      <w:r w:rsidR="0066629D" w:rsidRPr="00813D19">
        <w:rPr>
          <w:lang w:val="en-US"/>
        </w:rPr>
        <w:t>,</w:t>
      </w:r>
      <w:r w:rsidR="004D04EE" w:rsidRPr="00813D19">
        <w:rPr>
          <w:lang w:val="en-US"/>
        </w:rPr>
        <w:t xml:space="preserve"> as it was not written in</w:t>
      </w:r>
      <w:r w:rsidR="0066629D" w:rsidRPr="00813D19">
        <w:rPr>
          <w:lang w:val="en-US"/>
        </w:rPr>
        <w:t>to</w:t>
      </w:r>
      <w:r w:rsidR="004D04EE" w:rsidRPr="00813D19">
        <w:rPr>
          <w:lang w:val="en-US"/>
        </w:rPr>
        <w:t xml:space="preserve"> the Rules</w:t>
      </w:r>
      <w:r w:rsidR="0066629D" w:rsidRPr="00813D19">
        <w:rPr>
          <w:lang w:val="en-US"/>
        </w:rPr>
        <w:t>,</w:t>
      </w:r>
      <w:r w:rsidR="004D04EE" w:rsidRPr="00813D19">
        <w:rPr>
          <w:lang w:val="en-US"/>
        </w:rPr>
        <w:t xml:space="preserve"> </w:t>
      </w:r>
      <w:r w:rsidR="0066629D" w:rsidRPr="00813D19">
        <w:rPr>
          <w:lang w:val="en-US"/>
        </w:rPr>
        <w:t xml:space="preserve">suggesting that </w:t>
      </w:r>
      <w:r w:rsidR="004D04EE" w:rsidRPr="00813D19">
        <w:rPr>
          <w:lang w:val="en-US"/>
        </w:rPr>
        <w:t xml:space="preserve">there </w:t>
      </w:r>
      <w:r w:rsidR="0066629D" w:rsidRPr="00813D19">
        <w:rPr>
          <w:lang w:val="en-US"/>
        </w:rPr>
        <w:t xml:space="preserve">was </w:t>
      </w:r>
      <w:r w:rsidR="00DD4E22">
        <w:rPr>
          <w:lang w:val="en-US"/>
        </w:rPr>
        <w:t>a double standard.</w:t>
      </w:r>
    </w:p>
    <w:p w14:paraId="44B32870" w14:textId="69F27420" w:rsidR="004D04EE" w:rsidRPr="00813D19" w:rsidRDefault="004D04EE"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asked the Secretariat to add all the nam</w:t>
      </w:r>
      <w:r w:rsidR="00DD4E22">
        <w:rPr>
          <w:lang w:val="en-US"/>
        </w:rPr>
        <w:t>es of support to the amendment.</w:t>
      </w:r>
    </w:p>
    <w:p w14:paraId="5235B123" w14:textId="4DF91039" w:rsidR="00DD5E13" w:rsidRPr="00813D19" w:rsidRDefault="00DD5E13"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w:t>
      </w:r>
      <w:r w:rsidR="0001387F">
        <w:rPr>
          <w:b/>
          <w:color w:val="000000" w:themeColor="text1"/>
          <w:lang w:val="en-US"/>
        </w:rPr>
        <w:t xml:space="preserve">the </w:t>
      </w:r>
      <w:r w:rsidRPr="00813D19">
        <w:rPr>
          <w:b/>
          <w:color w:val="000000" w:themeColor="text1"/>
          <w:lang w:val="en-US"/>
        </w:rPr>
        <w:t>Netherlands</w:t>
      </w:r>
      <w:r w:rsidR="0035653E" w:rsidRPr="00813D19">
        <w:rPr>
          <w:b/>
          <w:color w:val="000000" w:themeColor="text1"/>
          <w:lang w:val="en-US"/>
        </w:rPr>
        <w:t xml:space="preserve"> </w:t>
      </w:r>
      <w:r w:rsidR="0066629D" w:rsidRPr="00813D19">
        <w:rPr>
          <w:lang w:val="en-US"/>
        </w:rPr>
        <w:t xml:space="preserve">regretted </w:t>
      </w:r>
      <w:r w:rsidR="00913876" w:rsidRPr="00813D19">
        <w:rPr>
          <w:lang w:val="en-US"/>
        </w:rPr>
        <w:t xml:space="preserve">that </w:t>
      </w:r>
      <w:r w:rsidR="0035653E" w:rsidRPr="00813D19">
        <w:rPr>
          <w:lang w:val="en-US"/>
        </w:rPr>
        <w:t>the Legal Adviser</w:t>
      </w:r>
      <w:r w:rsidR="004D04EE" w:rsidRPr="00813D19">
        <w:rPr>
          <w:lang w:val="en-US"/>
        </w:rPr>
        <w:t xml:space="preserve"> </w:t>
      </w:r>
      <w:r w:rsidR="00913876" w:rsidRPr="00813D19">
        <w:rPr>
          <w:lang w:val="en-US"/>
        </w:rPr>
        <w:t xml:space="preserve">was </w:t>
      </w:r>
      <w:r w:rsidR="0066629D" w:rsidRPr="00813D19">
        <w:rPr>
          <w:lang w:val="en-US"/>
        </w:rPr>
        <w:t xml:space="preserve">absent, as it sought to hear </w:t>
      </w:r>
      <w:r w:rsidR="00913876" w:rsidRPr="00813D19">
        <w:rPr>
          <w:lang w:val="en-US"/>
        </w:rPr>
        <w:t xml:space="preserve">his advice </w:t>
      </w:r>
      <w:r w:rsidR="0035653E" w:rsidRPr="00813D19">
        <w:rPr>
          <w:lang w:val="en-US"/>
        </w:rPr>
        <w:t>on this</w:t>
      </w:r>
      <w:r w:rsidR="00913876" w:rsidRPr="00813D19">
        <w:rPr>
          <w:lang w:val="en-US"/>
        </w:rPr>
        <w:t xml:space="preserve"> issue, recalling some of his words </w:t>
      </w:r>
      <w:r w:rsidR="000F6761" w:rsidRPr="00813D19">
        <w:rPr>
          <w:lang w:val="en-US"/>
        </w:rPr>
        <w:t>the previous day, such as</w:t>
      </w:r>
      <w:r w:rsidR="0066629D" w:rsidRPr="00813D19">
        <w:rPr>
          <w:lang w:val="en-US"/>
        </w:rPr>
        <w:t>,</w:t>
      </w:r>
      <w:r w:rsidR="000F6761" w:rsidRPr="00813D19">
        <w:rPr>
          <w:lang w:val="en-US"/>
        </w:rPr>
        <w:t xml:space="preserve"> ‘</w:t>
      </w:r>
      <w:r w:rsidR="0035653E" w:rsidRPr="00813D19">
        <w:rPr>
          <w:lang w:val="en-US"/>
        </w:rPr>
        <w:t xml:space="preserve">this </w:t>
      </w:r>
      <w:r w:rsidR="000F6761" w:rsidRPr="00813D19">
        <w:rPr>
          <w:lang w:val="en-US"/>
        </w:rPr>
        <w:t xml:space="preserve">is </w:t>
      </w:r>
      <w:r w:rsidR="0035653E" w:rsidRPr="00813D19">
        <w:rPr>
          <w:lang w:val="en-US"/>
        </w:rPr>
        <w:t>not compliance, this is a deviation</w:t>
      </w:r>
      <w:r w:rsidR="0066629D" w:rsidRPr="00813D19">
        <w:rPr>
          <w:lang w:val="en-US"/>
        </w:rPr>
        <w:t>’</w:t>
      </w:r>
      <w:r w:rsidR="000F6761" w:rsidRPr="00813D19">
        <w:rPr>
          <w:lang w:val="en-US"/>
        </w:rPr>
        <w:t>, ‘you do not have the authority</w:t>
      </w:r>
      <w:r w:rsidR="0035653E" w:rsidRPr="00813D19">
        <w:rPr>
          <w:lang w:val="en-US"/>
        </w:rPr>
        <w:t xml:space="preserve"> to adjust</w:t>
      </w:r>
      <w:r w:rsidR="0066629D" w:rsidRPr="00813D19">
        <w:rPr>
          <w:lang w:val="en-US"/>
        </w:rPr>
        <w:t xml:space="preserve">’, and </w:t>
      </w:r>
      <w:r w:rsidR="000F6761" w:rsidRPr="00813D19">
        <w:rPr>
          <w:lang w:val="en-US"/>
        </w:rPr>
        <w:t>‘w</w:t>
      </w:r>
      <w:r w:rsidR="0035653E" w:rsidRPr="00813D19">
        <w:rPr>
          <w:lang w:val="en-US"/>
        </w:rPr>
        <w:t>e cannot allow to susp</w:t>
      </w:r>
      <w:r w:rsidR="000F6761" w:rsidRPr="00813D19">
        <w:rPr>
          <w:lang w:val="en-US"/>
        </w:rPr>
        <w:t>end or deviate from procedures’. In addition, the co-C</w:t>
      </w:r>
      <w:r w:rsidR="0035653E" w:rsidRPr="00813D19">
        <w:rPr>
          <w:lang w:val="en-US"/>
        </w:rPr>
        <w:t xml:space="preserve">hair of the ad hoc working group from Algeria </w:t>
      </w:r>
      <w:r w:rsidR="0066629D" w:rsidRPr="00813D19">
        <w:rPr>
          <w:lang w:val="en-US"/>
        </w:rPr>
        <w:t xml:space="preserve">also </w:t>
      </w:r>
      <w:r w:rsidR="0035653E" w:rsidRPr="00813D19">
        <w:rPr>
          <w:lang w:val="en-US"/>
        </w:rPr>
        <w:t>had some serious objections to this</w:t>
      </w:r>
      <w:r w:rsidR="0066629D" w:rsidRPr="00813D19">
        <w:rPr>
          <w:lang w:val="en-US"/>
        </w:rPr>
        <w:t xml:space="preserve"> proposal</w:t>
      </w:r>
      <w:r w:rsidR="00DD4E22">
        <w:rPr>
          <w:lang w:val="en-US"/>
        </w:rPr>
        <w:t>.</w:t>
      </w:r>
    </w:p>
    <w:p w14:paraId="3DBFBC59" w14:textId="63F21DFE" w:rsidR="00DD5E13" w:rsidRPr="00813D19" w:rsidRDefault="00E77B22"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the Philippines</w:t>
      </w:r>
      <w:r w:rsidR="00CA401D" w:rsidRPr="00813D19">
        <w:rPr>
          <w:b/>
          <w:color w:val="000000" w:themeColor="text1"/>
          <w:lang w:val="en-US"/>
        </w:rPr>
        <w:t xml:space="preserve"> </w:t>
      </w:r>
      <w:r w:rsidR="00CA401D" w:rsidRPr="00813D19">
        <w:rPr>
          <w:color w:val="000000" w:themeColor="text1"/>
          <w:lang w:val="en-US"/>
        </w:rPr>
        <w:t>called a point of order</w:t>
      </w:r>
      <w:r w:rsidR="001C4F1E" w:rsidRPr="00813D19">
        <w:rPr>
          <w:color w:val="000000" w:themeColor="text1"/>
          <w:lang w:val="en-US"/>
        </w:rPr>
        <w:t xml:space="preserve">, adding that despite the </w:t>
      </w:r>
      <w:r w:rsidR="0035653E" w:rsidRPr="00813D19">
        <w:rPr>
          <w:lang w:val="en-US"/>
        </w:rPr>
        <w:t xml:space="preserve">valid point </w:t>
      </w:r>
      <w:r w:rsidR="001E6CC4" w:rsidRPr="00813D19">
        <w:rPr>
          <w:lang w:val="en-US"/>
        </w:rPr>
        <w:t xml:space="preserve">made by the Netherlands, it </w:t>
      </w:r>
      <w:r w:rsidR="001C4F1E" w:rsidRPr="00813D19">
        <w:rPr>
          <w:lang w:val="en-US"/>
        </w:rPr>
        <w:t xml:space="preserve">was referring </w:t>
      </w:r>
      <w:r w:rsidR="0035653E" w:rsidRPr="00813D19">
        <w:rPr>
          <w:lang w:val="en-US"/>
        </w:rPr>
        <w:t xml:space="preserve">to the </w:t>
      </w:r>
      <w:r w:rsidR="001C4F1E" w:rsidRPr="00813D19">
        <w:rPr>
          <w:lang w:val="en-US"/>
        </w:rPr>
        <w:t xml:space="preserve">Secretariat’s </w:t>
      </w:r>
      <w:r w:rsidR="0035653E" w:rsidRPr="00813D19">
        <w:rPr>
          <w:lang w:val="en-US"/>
        </w:rPr>
        <w:t>proposal</w:t>
      </w:r>
      <w:r w:rsidR="001E6CC4" w:rsidRPr="00813D19">
        <w:rPr>
          <w:lang w:val="en-US"/>
        </w:rPr>
        <w:t xml:space="preserve"> and</w:t>
      </w:r>
      <w:r w:rsidR="001C4F1E" w:rsidRPr="00813D19">
        <w:rPr>
          <w:lang w:val="en-US"/>
        </w:rPr>
        <w:t xml:space="preserve"> not this proposal, which was </w:t>
      </w:r>
      <w:r w:rsidR="0035653E" w:rsidRPr="00813D19">
        <w:rPr>
          <w:lang w:val="en-US"/>
        </w:rPr>
        <w:t xml:space="preserve">different. </w:t>
      </w:r>
      <w:r w:rsidR="001C4F1E" w:rsidRPr="00813D19">
        <w:rPr>
          <w:lang w:val="en-US"/>
        </w:rPr>
        <w:t xml:space="preserve">The Secretariat’s proposal </w:t>
      </w:r>
      <w:r w:rsidR="001E6CC4" w:rsidRPr="00813D19">
        <w:rPr>
          <w:lang w:val="en-US"/>
        </w:rPr>
        <w:t>sought to change</w:t>
      </w:r>
      <w:r w:rsidR="0035653E" w:rsidRPr="00813D19">
        <w:rPr>
          <w:lang w:val="en-US"/>
        </w:rPr>
        <w:t xml:space="preserve"> the referral cycle</w:t>
      </w:r>
      <w:r w:rsidR="001C4F1E" w:rsidRPr="00813D19">
        <w:rPr>
          <w:lang w:val="en-US"/>
        </w:rPr>
        <w:t>,</w:t>
      </w:r>
      <w:r w:rsidR="0035653E" w:rsidRPr="00813D19">
        <w:rPr>
          <w:lang w:val="en-US"/>
        </w:rPr>
        <w:t xml:space="preserve"> </w:t>
      </w:r>
      <w:r w:rsidR="001C4F1E" w:rsidRPr="00813D19">
        <w:rPr>
          <w:lang w:val="en-US"/>
        </w:rPr>
        <w:t xml:space="preserve">which </w:t>
      </w:r>
      <w:r w:rsidR="0035653E" w:rsidRPr="00813D19">
        <w:rPr>
          <w:lang w:val="en-US"/>
        </w:rPr>
        <w:t xml:space="preserve">clearly </w:t>
      </w:r>
      <w:r w:rsidR="001E6CC4" w:rsidRPr="00813D19">
        <w:rPr>
          <w:lang w:val="en-US"/>
        </w:rPr>
        <w:t xml:space="preserve">contravened </w:t>
      </w:r>
      <w:r w:rsidR="0035653E" w:rsidRPr="00813D19">
        <w:rPr>
          <w:lang w:val="en-US"/>
        </w:rPr>
        <w:t xml:space="preserve">the Rules. </w:t>
      </w:r>
      <w:r w:rsidR="001C4F1E" w:rsidRPr="00813D19">
        <w:rPr>
          <w:lang w:val="en-US"/>
        </w:rPr>
        <w:t xml:space="preserve">However, this proposal </w:t>
      </w:r>
      <w:r w:rsidR="00A33E53">
        <w:rPr>
          <w:lang w:val="en-US"/>
        </w:rPr>
        <w:t>did</w:t>
      </w:r>
      <w:r w:rsidR="00A33E53" w:rsidRPr="00813D19">
        <w:rPr>
          <w:lang w:val="en-US"/>
        </w:rPr>
        <w:t xml:space="preserve"> </w:t>
      </w:r>
      <w:r w:rsidR="0035653E" w:rsidRPr="00813D19">
        <w:rPr>
          <w:lang w:val="en-US"/>
        </w:rPr>
        <w:t xml:space="preserve">not </w:t>
      </w:r>
      <w:r w:rsidR="00A33E53" w:rsidRPr="00813D19">
        <w:rPr>
          <w:lang w:val="en-US"/>
        </w:rPr>
        <w:t>chang</w:t>
      </w:r>
      <w:r w:rsidR="00A33E53">
        <w:rPr>
          <w:lang w:val="en-US"/>
        </w:rPr>
        <w:t>e</w:t>
      </w:r>
      <w:r w:rsidR="00A33E53" w:rsidRPr="00813D19">
        <w:rPr>
          <w:lang w:val="en-US"/>
        </w:rPr>
        <w:t xml:space="preserve"> </w:t>
      </w:r>
      <w:r w:rsidR="0035653E" w:rsidRPr="00813D19">
        <w:rPr>
          <w:lang w:val="en-US"/>
        </w:rPr>
        <w:t>anything</w:t>
      </w:r>
      <w:r w:rsidR="00CA401D" w:rsidRPr="00813D19">
        <w:rPr>
          <w:lang w:val="en-US"/>
        </w:rPr>
        <w:t>.</w:t>
      </w:r>
    </w:p>
    <w:p w14:paraId="15BA8B70" w14:textId="7A3F8263" w:rsidR="0035653E" w:rsidRPr="00813D19" w:rsidRDefault="0035653E"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 xml:space="preserve">delegation of </w:t>
      </w:r>
      <w:r w:rsidR="00A33E53">
        <w:rPr>
          <w:b/>
          <w:lang w:val="en-US"/>
        </w:rPr>
        <w:t xml:space="preserve">the </w:t>
      </w:r>
      <w:r w:rsidRPr="00813D19">
        <w:rPr>
          <w:b/>
          <w:lang w:val="en-US"/>
        </w:rPr>
        <w:t>Netherlands</w:t>
      </w:r>
      <w:r w:rsidRPr="00813D19">
        <w:rPr>
          <w:lang w:val="en-US"/>
        </w:rPr>
        <w:t xml:space="preserve"> </w:t>
      </w:r>
      <w:r w:rsidR="00A26657" w:rsidRPr="00813D19">
        <w:rPr>
          <w:lang w:val="en-US"/>
        </w:rPr>
        <w:t>took note of the point</w:t>
      </w:r>
      <w:r w:rsidR="001E6CC4" w:rsidRPr="00813D19">
        <w:rPr>
          <w:lang w:val="en-US"/>
        </w:rPr>
        <w:t xml:space="preserve"> made</w:t>
      </w:r>
      <w:r w:rsidR="00A26657" w:rsidRPr="00813D19">
        <w:rPr>
          <w:lang w:val="en-US"/>
        </w:rPr>
        <w:t xml:space="preserve">, nevertheless </w:t>
      </w:r>
      <w:r w:rsidR="001E6CC4" w:rsidRPr="00813D19">
        <w:rPr>
          <w:lang w:val="en-US"/>
        </w:rPr>
        <w:t>if the proposal attempted</w:t>
      </w:r>
      <w:r w:rsidR="00EB2670" w:rsidRPr="00813D19">
        <w:rPr>
          <w:lang w:val="en-US"/>
        </w:rPr>
        <w:t xml:space="preserve"> to </w:t>
      </w:r>
      <w:r w:rsidRPr="00813D19">
        <w:rPr>
          <w:lang w:val="en-US"/>
        </w:rPr>
        <w:t>chang</w:t>
      </w:r>
      <w:r w:rsidR="001E6CC4" w:rsidRPr="00813D19">
        <w:rPr>
          <w:lang w:val="en-US"/>
        </w:rPr>
        <w:t>e the R</w:t>
      </w:r>
      <w:r w:rsidRPr="00813D19">
        <w:rPr>
          <w:lang w:val="en-US"/>
        </w:rPr>
        <w:t xml:space="preserve">ules </w:t>
      </w:r>
      <w:r w:rsidR="00EB2670" w:rsidRPr="00813D19">
        <w:rPr>
          <w:lang w:val="en-US"/>
        </w:rPr>
        <w:t xml:space="preserve">then the Committee should have </w:t>
      </w:r>
      <w:r w:rsidRPr="00813D19">
        <w:rPr>
          <w:lang w:val="en-US"/>
        </w:rPr>
        <w:t xml:space="preserve">legal advice. </w:t>
      </w:r>
      <w:r w:rsidR="00EB2670" w:rsidRPr="00813D19">
        <w:rPr>
          <w:lang w:val="en-US"/>
        </w:rPr>
        <w:t xml:space="preserve">Moreover, Decision </w:t>
      </w:r>
      <w:r w:rsidRPr="00813D19">
        <w:rPr>
          <w:lang w:val="en-US"/>
        </w:rPr>
        <w:t>7.GA 6 request</w:t>
      </w:r>
      <w:r w:rsidR="00EB2670" w:rsidRPr="00813D19">
        <w:rPr>
          <w:lang w:val="en-US"/>
        </w:rPr>
        <w:t xml:space="preserve">ed </w:t>
      </w:r>
      <w:r w:rsidR="001E6CC4" w:rsidRPr="00813D19">
        <w:rPr>
          <w:lang w:val="en-US"/>
        </w:rPr>
        <w:t xml:space="preserve">that </w:t>
      </w:r>
      <w:r w:rsidRPr="00813D19">
        <w:rPr>
          <w:lang w:val="en-US"/>
        </w:rPr>
        <w:t>the informal working group present its recommendations to the General Assembly</w:t>
      </w:r>
      <w:r w:rsidR="00EB2670" w:rsidRPr="00813D19">
        <w:rPr>
          <w:lang w:val="en-US"/>
        </w:rPr>
        <w:t>,</w:t>
      </w:r>
      <w:r w:rsidRPr="00813D19">
        <w:rPr>
          <w:lang w:val="en-US"/>
        </w:rPr>
        <w:t xml:space="preserve"> which </w:t>
      </w:r>
      <w:r w:rsidR="00EB2670" w:rsidRPr="00813D19">
        <w:rPr>
          <w:lang w:val="en-US"/>
        </w:rPr>
        <w:t>did not imply the presentation of an experimental proposal.</w:t>
      </w:r>
    </w:p>
    <w:p w14:paraId="2BA6B0C1" w14:textId="2D62C840" w:rsidR="00E77B22" w:rsidRPr="00813D19" w:rsidRDefault="000245DD"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C44FD2" w:rsidRPr="00813D19">
        <w:rPr>
          <w:color w:val="000000" w:themeColor="text1"/>
          <w:lang w:val="en-US"/>
        </w:rPr>
        <w:t>reiterated</w:t>
      </w:r>
      <w:r w:rsidR="00C44FD2" w:rsidRPr="00813D19">
        <w:rPr>
          <w:b/>
          <w:color w:val="000000" w:themeColor="text1"/>
          <w:lang w:val="en-US"/>
        </w:rPr>
        <w:t xml:space="preserve"> </w:t>
      </w:r>
      <w:r w:rsidR="007F3F66" w:rsidRPr="00813D19">
        <w:rPr>
          <w:bCs/>
          <w:lang w:val="en-US"/>
        </w:rPr>
        <w:t xml:space="preserve">that the Secretariat was </w:t>
      </w:r>
      <w:r w:rsidR="001E6CC4" w:rsidRPr="00813D19">
        <w:rPr>
          <w:bCs/>
          <w:lang w:val="en-US"/>
        </w:rPr>
        <w:t xml:space="preserve">not </w:t>
      </w:r>
      <w:r w:rsidR="007F3F66" w:rsidRPr="00813D19">
        <w:rPr>
          <w:bCs/>
          <w:lang w:val="en-US"/>
        </w:rPr>
        <w:t>un</w:t>
      </w:r>
      <w:r w:rsidR="0035653E" w:rsidRPr="00813D19">
        <w:rPr>
          <w:bCs/>
          <w:lang w:val="en-US"/>
        </w:rPr>
        <w:t xml:space="preserve">willing to test </w:t>
      </w:r>
      <w:r w:rsidR="007F3F66" w:rsidRPr="00813D19">
        <w:rPr>
          <w:bCs/>
          <w:lang w:val="en-US"/>
        </w:rPr>
        <w:t xml:space="preserve">the procedure, </w:t>
      </w:r>
      <w:r w:rsidR="001E6CC4" w:rsidRPr="00813D19">
        <w:rPr>
          <w:bCs/>
          <w:lang w:val="en-US"/>
        </w:rPr>
        <w:t xml:space="preserve">only that there was a </w:t>
      </w:r>
      <w:r w:rsidR="007F3F66" w:rsidRPr="00813D19">
        <w:rPr>
          <w:bCs/>
          <w:lang w:val="en-US"/>
        </w:rPr>
        <w:t xml:space="preserve">question </w:t>
      </w:r>
      <w:r w:rsidR="001E6CC4" w:rsidRPr="00813D19">
        <w:rPr>
          <w:bCs/>
          <w:lang w:val="en-US"/>
        </w:rPr>
        <w:t xml:space="preserve">of </w:t>
      </w:r>
      <w:r w:rsidR="007F3F66" w:rsidRPr="00813D19">
        <w:rPr>
          <w:bCs/>
          <w:lang w:val="en-US"/>
        </w:rPr>
        <w:t xml:space="preserve">process. He also </w:t>
      </w:r>
      <w:r w:rsidR="0035653E" w:rsidRPr="00813D19">
        <w:rPr>
          <w:bCs/>
          <w:lang w:val="en-US"/>
        </w:rPr>
        <w:t>maintain</w:t>
      </w:r>
      <w:r w:rsidR="007F3F66" w:rsidRPr="00813D19">
        <w:rPr>
          <w:bCs/>
          <w:lang w:val="en-US"/>
        </w:rPr>
        <w:t>ed</w:t>
      </w:r>
      <w:r w:rsidR="0035653E" w:rsidRPr="00813D19">
        <w:rPr>
          <w:bCs/>
          <w:lang w:val="en-US"/>
        </w:rPr>
        <w:t xml:space="preserve"> that the September meeting </w:t>
      </w:r>
      <w:r w:rsidR="00714714" w:rsidRPr="00813D19">
        <w:rPr>
          <w:bCs/>
          <w:lang w:val="en-US"/>
        </w:rPr>
        <w:t>was</w:t>
      </w:r>
      <w:r w:rsidR="0035653E" w:rsidRPr="00813D19">
        <w:rPr>
          <w:bCs/>
          <w:lang w:val="en-US"/>
        </w:rPr>
        <w:t xml:space="preserve"> not illegal because it </w:t>
      </w:r>
      <w:r w:rsidR="00A33E53">
        <w:rPr>
          <w:bCs/>
          <w:lang w:val="en-US"/>
        </w:rPr>
        <w:t>was</w:t>
      </w:r>
      <w:r w:rsidR="00A33E53" w:rsidRPr="00813D19">
        <w:rPr>
          <w:bCs/>
          <w:lang w:val="en-US"/>
        </w:rPr>
        <w:t xml:space="preserve"> </w:t>
      </w:r>
      <w:r w:rsidR="0035653E" w:rsidRPr="00813D19">
        <w:rPr>
          <w:bCs/>
          <w:lang w:val="en-US"/>
        </w:rPr>
        <w:t>not a</w:t>
      </w:r>
      <w:r w:rsidR="007F3F66" w:rsidRPr="00813D19">
        <w:rPr>
          <w:bCs/>
          <w:lang w:val="en-US"/>
        </w:rPr>
        <w:t xml:space="preserve">n evaluation </w:t>
      </w:r>
      <w:r w:rsidR="0035653E" w:rsidRPr="00813D19">
        <w:rPr>
          <w:bCs/>
          <w:lang w:val="en-US"/>
        </w:rPr>
        <w:t xml:space="preserve">meeting but </w:t>
      </w:r>
      <w:r w:rsidR="00A33E53">
        <w:rPr>
          <w:bCs/>
          <w:lang w:val="en-US"/>
        </w:rPr>
        <w:t xml:space="preserve">a </w:t>
      </w:r>
      <w:r w:rsidR="0035653E" w:rsidRPr="00813D19">
        <w:rPr>
          <w:bCs/>
          <w:lang w:val="en-US"/>
        </w:rPr>
        <w:t>report writing</w:t>
      </w:r>
      <w:r w:rsidR="001E6CC4" w:rsidRPr="00813D19">
        <w:rPr>
          <w:bCs/>
          <w:lang w:val="en-US"/>
        </w:rPr>
        <w:t xml:space="preserve"> exercise</w:t>
      </w:r>
      <w:r w:rsidR="0035653E" w:rsidRPr="00813D19">
        <w:rPr>
          <w:bCs/>
          <w:lang w:val="en-US"/>
        </w:rPr>
        <w:t xml:space="preserve">. </w:t>
      </w:r>
      <w:r w:rsidR="007F3F66" w:rsidRPr="00813D19">
        <w:rPr>
          <w:bCs/>
          <w:lang w:val="en-US"/>
        </w:rPr>
        <w:t>The Secretary noted the Committee</w:t>
      </w:r>
      <w:r w:rsidR="00A33E53">
        <w:rPr>
          <w:bCs/>
          <w:lang w:val="en-US"/>
        </w:rPr>
        <w:t xml:space="preserve">’s desire </w:t>
      </w:r>
      <w:r w:rsidR="0035653E" w:rsidRPr="00813D19">
        <w:rPr>
          <w:bCs/>
          <w:lang w:val="en-US"/>
        </w:rPr>
        <w:t xml:space="preserve">to start </w:t>
      </w:r>
      <w:r w:rsidR="007F3F66" w:rsidRPr="00813D19">
        <w:rPr>
          <w:bCs/>
          <w:lang w:val="en-US"/>
        </w:rPr>
        <w:t xml:space="preserve">a </w:t>
      </w:r>
      <w:r w:rsidR="0035653E" w:rsidRPr="00813D19">
        <w:rPr>
          <w:bCs/>
          <w:lang w:val="en-US"/>
        </w:rPr>
        <w:t xml:space="preserve">process </w:t>
      </w:r>
      <w:r w:rsidR="007F3F66" w:rsidRPr="00813D19">
        <w:rPr>
          <w:bCs/>
          <w:lang w:val="en-US"/>
        </w:rPr>
        <w:t xml:space="preserve">now </w:t>
      </w:r>
      <w:r w:rsidR="0035653E" w:rsidRPr="00813D19">
        <w:rPr>
          <w:bCs/>
          <w:lang w:val="en-US"/>
        </w:rPr>
        <w:t xml:space="preserve">and test it towards </w:t>
      </w:r>
      <w:r w:rsidR="007F3F66" w:rsidRPr="00813D19">
        <w:rPr>
          <w:bCs/>
          <w:lang w:val="en-US"/>
        </w:rPr>
        <w:t>2019</w:t>
      </w:r>
      <w:r w:rsidR="0035653E" w:rsidRPr="00813D19">
        <w:rPr>
          <w:bCs/>
          <w:lang w:val="en-US"/>
        </w:rPr>
        <w:t xml:space="preserve">. </w:t>
      </w:r>
      <w:r w:rsidR="001E6CC4" w:rsidRPr="00813D19">
        <w:rPr>
          <w:bCs/>
          <w:lang w:val="en-US"/>
        </w:rPr>
        <w:t xml:space="preserve">He agreed that it </w:t>
      </w:r>
      <w:r w:rsidR="00A33E53" w:rsidRPr="00813D19">
        <w:rPr>
          <w:bCs/>
          <w:lang w:val="en-US"/>
        </w:rPr>
        <w:t>c</w:t>
      </w:r>
      <w:r w:rsidR="00A33E53">
        <w:rPr>
          <w:bCs/>
          <w:lang w:val="en-US"/>
        </w:rPr>
        <w:t>ould</w:t>
      </w:r>
      <w:r w:rsidR="00A33E53" w:rsidRPr="00813D19">
        <w:rPr>
          <w:bCs/>
          <w:lang w:val="en-US"/>
        </w:rPr>
        <w:t xml:space="preserve"> </w:t>
      </w:r>
      <w:r w:rsidR="007F3F66" w:rsidRPr="00813D19">
        <w:rPr>
          <w:bCs/>
          <w:lang w:val="en-US"/>
        </w:rPr>
        <w:t xml:space="preserve">be done, and </w:t>
      </w:r>
      <w:r w:rsidR="001E6CC4" w:rsidRPr="00813D19">
        <w:rPr>
          <w:bCs/>
          <w:lang w:val="en-US"/>
        </w:rPr>
        <w:t>this was probably the creative</w:t>
      </w:r>
      <w:r w:rsidR="007F3F66" w:rsidRPr="00813D19">
        <w:rPr>
          <w:bCs/>
          <w:lang w:val="en-US"/>
        </w:rPr>
        <w:t xml:space="preserve"> solution that was sought. </w:t>
      </w:r>
      <w:r w:rsidR="001E6CC4" w:rsidRPr="00813D19">
        <w:rPr>
          <w:bCs/>
          <w:lang w:val="en-US"/>
        </w:rPr>
        <w:t xml:space="preserve">Having gone through this process in 2018, he </w:t>
      </w:r>
      <w:r w:rsidR="007F3F66" w:rsidRPr="00813D19">
        <w:rPr>
          <w:bCs/>
          <w:lang w:val="en-US"/>
        </w:rPr>
        <w:t xml:space="preserve">could not be assured that </w:t>
      </w:r>
      <w:r w:rsidR="0035653E" w:rsidRPr="00813D19">
        <w:rPr>
          <w:bCs/>
          <w:lang w:val="en-US"/>
        </w:rPr>
        <w:t xml:space="preserve">the Evaluation Body </w:t>
      </w:r>
      <w:r w:rsidR="007F3F66" w:rsidRPr="00813D19">
        <w:rPr>
          <w:bCs/>
          <w:lang w:val="en-US"/>
        </w:rPr>
        <w:t xml:space="preserve">could </w:t>
      </w:r>
      <w:r w:rsidR="0035653E" w:rsidRPr="00813D19">
        <w:rPr>
          <w:bCs/>
          <w:lang w:val="en-US"/>
        </w:rPr>
        <w:t>actually c</w:t>
      </w:r>
      <w:r w:rsidR="001E6CC4" w:rsidRPr="00813D19">
        <w:rPr>
          <w:bCs/>
          <w:lang w:val="en-US"/>
        </w:rPr>
        <w:t>hange its evaluation after June</w:t>
      </w:r>
      <w:r w:rsidR="007F3F66" w:rsidRPr="00813D19">
        <w:rPr>
          <w:bCs/>
          <w:lang w:val="en-US"/>
        </w:rPr>
        <w:t xml:space="preserve">. </w:t>
      </w:r>
      <w:r w:rsidR="001E6CC4" w:rsidRPr="00813D19">
        <w:rPr>
          <w:bCs/>
          <w:lang w:val="en-US"/>
        </w:rPr>
        <w:t>However, i</w:t>
      </w:r>
      <w:r w:rsidR="0035653E" w:rsidRPr="00813D19">
        <w:rPr>
          <w:bCs/>
          <w:lang w:val="en-US"/>
        </w:rPr>
        <w:t xml:space="preserve">t may </w:t>
      </w:r>
      <w:r w:rsidR="007F3F66" w:rsidRPr="00813D19">
        <w:rPr>
          <w:bCs/>
          <w:lang w:val="en-US"/>
        </w:rPr>
        <w:t xml:space="preserve">be </w:t>
      </w:r>
      <w:r w:rsidR="0035653E" w:rsidRPr="00813D19">
        <w:rPr>
          <w:bCs/>
          <w:lang w:val="en-US"/>
        </w:rPr>
        <w:t xml:space="preserve">that the Committee </w:t>
      </w:r>
      <w:r w:rsidR="007F3F66" w:rsidRPr="00813D19">
        <w:rPr>
          <w:bCs/>
          <w:lang w:val="en-US"/>
        </w:rPr>
        <w:t xml:space="preserve">in 2019 </w:t>
      </w:r>
      <w:r w:rsidR="0035653E" w:rsidRPr="00813D19">
        <w:rPr>
          <w:bCs/>
          <w:lang w:val="en-US"/>
        </w:rPr>
        <w:t xml:space="preserve">finds itself having to confront a report where the Evaluation Body includes references to clarifications that were made </w:t>
      </w:r>
      <w:r w:rsidR="0035653E" w:rsidRPr="00813D19">
        <w:rPr>
          <w:bCs/>
          <w:i/>
          <w:lang w:val="en-US"/>
        </w:rPr>
        <w:t>after</w:t>
      </w:r>
      <w:r w:rsidR="0035653E" w:rsidRPr="00813D19">
        <w:rPr>
          <w:bCs/>
          <w:lang w:val="en-US"/>
        </w:rPr>
        <w:t xml:space="preserve"> the </w:t>
      </w:r>
      <w:r w:rsidR="00714714" w:rsidRPr="00813D19">
        <w:rPr>
          <w:bCs/>
          <w:lang w:val="en-US"/>
        </w:rPr>
        <w:t xml:space="preserve">June </w:t>
      </w:r>
      <w:r w:rsidR="0035653E" w:rsidRPr="00813D19">
        <w:rPr>
          <w:bCs/>
          <w:lang w:val="en-US"/>
        </w:rPr>
        <w:t>meeting</w:t>
      </w:r>
      <w:r w:rsidR="007F3F66" w:rsidRPr="00813D19">
        <w:rPr>
          <w:bCs/>
          <w:lang w:val="en-US"/>
        </w:rPr>
        <w:t xml:space="preserve">, but </w:t>
      </w:r>
      <w:r w:rsidR="001E6CC4" w:rsidRPr="00813D19">
        <w:rPr>
          <w:bCs/>
          <w:lang w:val="en-US"/>
        </w:rPr>
        <w:t xml:space="preserve">that </w:t>
      </w:r>
      <w:r w:rsidR="00714714" w:rsidRPr="00813D19">
        <w:rPr>
          <w:bCs/>
          <w:lang w:val="en-US"/>
        </w:rPr>
        <w:t xml:space="preserve">do </w:t>
      </w:r>
      <w:r w:rsidR="007F3F66" w:rsidRPr="00813D19">
        <w:rPr>
          <w:bCs/>
          <w:lang w:val="en-US"/>
        </w:rPr>
        <w:t>not a</w:t>
      </w:r>
      <w:r w:rsidR="001E6CC4" w:rsidRPr="00813D19">
        <w:rPr>
          <w:bCs/>
          <w:lang w:val="en-US"/>
        </w:rPr>
        <w:t>ffect its initial evaluation,</w:t>
      </w:r>
      <w:r w:rsidR="00714714" w:rsidRPr="00813D19">
        <w:rPr>
          <w:bCs/>
          <w:lang w:val="en-US"/>
        </w:rPr>
        <w:t xml:space="preserve"> </w:t>
      </w:r>
      <w:r w:rsidR="0035653E" w:rsidRPr="00813D19">
        <w:rPr>
          <w:bCs/>
          <w:lang w:val="en-US"/>
        </w:rPr>
        <w:t>somewhat similar to the dual option</w:t>
      </w:r>
      <w:r w:rsidR="001E6CC4" w:rsidRPr="00813D19">
        <w:rPr>
          <w:bCs/>
          <w:lang w:val="en-US"/>
        </w:rPr>
        <w:t>, while</w:t>
      </w:r>
      <w:r w:rsidR="0035653E" w:rsidRPr="00813D19">
        <w:rPr>
          <w:bCs/>
          <w:lang w:val="en-US"/>
        </w:rPr>
        <w:t xml:space="preserve"> pending the revision of the Operational Directives in 2020. </w:t>
      </w:r>
      <w:r w:rsidR="00714714" w:rsidRPr="00813D19">
        <w:rPr>
          <w:bCs/>
          <w:lang w:val="en-US"/>
        </w:rPr>
        <w:t xml:space="preserve">He believed that this could be a way </w:t>
      </w:r>
      <w:r w:rsidR="00DD4E22">
        <w:rPr>
          <w:bCs/>
          <w:lang w:val="en-US"/>
        </w:rPr>
        <w:t>forward on this issue.</w:t>
      </w:r>
    </w:p>
    <w:p w14:paraId="70F8E2AB" w14:textId="6B79C15C" w:rsidR="009A7017" w:rsidRPr="00813D19" w:rsidRDefault="009A7017"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Azerbaijan </w:t>
      </w:r>
      <w:r w:rsidR="000B6BD0" w:rsidRPr="00813D19">
        <w:rPr>
          <w:color w:val="000000" w:themeColor="text1"/>
          <w:lang w:val="en-US"/>
        </w:rPr>
        <w:t xml:space="preserve">supported the </w:t>
      </w:r>
      <w:r w:rsidR="00DD4E22">
        <w:rPr>
          <w:lang w:val="en-US"/>
        </w:rPr>
        <w:t>proposal of the Philippines.</w:t>
      </w:r>
    </w:p>
    <w:p w14:paraId="447EB464" w14:textId="4C2D0E0E" w:rsidR="009A7017" w:rsidRPr="00813D19" w:rsidRDefault="009A7017"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Lebanon</w:t>
      </w:r>
      <w:r w:rsidR="0035653E" w:rsidRPr="00813D19">
        <w:rPr>
          <w:b/>
          <w:color w:val="000000" w:themeColor="text1"/>
          <w:lang w:val="en-US"/>
        </w:rPr>
        <w:t xml:space="preserve"> </w:t>
      </w:r>
      <w:r w:rsidR="00714714" w:rsidRPr="00813D19">
        <w:rPr>
          <w:color w:val="000000" w:themeColor="text1"/>
          <w:lang w:val="en-US"/>
        </w:rPr>
        <w:t>noted that</w:t>
      </w:r>
      <w:r w:rsidR="00714714" w:rsidRPr="00813D19">
        <w:rPr>
          <w:b/>
          <w:color w:val="000000" w:themeColor="text1"/>
          <w:lang w:val="en-US"/>
        </w:rPr>
        <w:t xml:space="preserve"> </w:t>
      </w:r>
      <w:r w:rsidR="001E6CC4" w:rsidRPr="00813D19">
        <w:rPr>
          <w:color w:val="000000" w:themeColor="text1"/>
          <w:lang w:val="en-US"/>
        </w:rPr>
        <w:t>the</w:t>
      </w:r>
      <w:r w:rsidR="001E6CC4" w:rsidRPr="00813D19">
        <w:rPr>
          <w:b/>
          <w:color w:val="000000" w:themeColor="text1"/>
          <w:lang w:val="en-US"/>
        </w:rPr>
        <w:t xml:space="preserve"> </w:t>
      </w:r>
      <w:r w:rsidR="0035653E" w:rsidRPr="00813D19">
        <w:rPr>
          <w:lang w:val="en-US"/>
        </w:rPr>
        <w:t xml:space="preserve">mood </w:t>
      </w:r>
      <w:r w:rsidR="00714714" w:rsidRPr="00813D19">
        <w:rPr>
          <w:lang w:val="en-US"/>
        </w:rPr>
        <w:t>was to support</w:t>
      </w:r>
      <w:r w:rsidR="0035653E" w:rsidRPr="00813D19">
        <w:rPr>
          <w:lang w:val="en-US"/>
        </w:rPr>
        <w:t xml:space="preserve"> dialogue and </w:t>
      </w:r>
      <w:r w:rsidR="00714714" w:rsidRPr="00813D19">
        <w:rPr>
          <w:lang w:val="en-US"/>
        </w:rPr>
        <w:t xml:space="preserve">therefore </w:t>
      </w:r>
      <w:r w:rsidR="001E6CC4" w:rsidRPr="00813D19">
        <w:rPr>
          <w:lang w:val="en-US"/>
        </w:rPr>
        <w:t>some flexibility should be shown.</w:t>
      </w:r>
      <w:r w:rsidR="0035653E" w:rsidRPr="00813D19">
        <w:rPr>
          <w:lang w:val="en-US"/>
        </w:rPr>
        <w:t xml:space="preserve"> </w:t>
      </w:r>
      <w:r w:rsidR="001E6CC4" w:rsidRPr="00813D19">
        <w:rPr>
          <w:lang w:val="en-US"/>
        </w:rPr>
        <w:t xml:space="preserve">However, </w:t>
      </w:r>
      <w:r w:rsidR="00714714" w:rsidRPr="00813D19">
        <w:rPr>
          <w:lang w:val="en-US"/>
        </w:rPr>
        <w:t xml:space="preserve">this </w:t>
      </w:r>
      <w:r w:rsidR="001E6CC4" w:rsidRPr="00813D19">
        <w:rPr>
          <w:lang w:val="en-US"/>
        </w:rPr>
        <w:t xml:space="preserve">situation appeared </w:t>
      </w:r>
      <w:r w:rsidR="0035653E" w:rsidRPr="00813D19">
        <w:rPr>
          <w:lang w:val="en-US"/>
        </w:rPr>
        <w:t>confusing</w:t>
      </w:r>
      <w:r w:rsidR="001E6CC4" w:rsidRPr="00813D19">
        <w:rPr>
          <w:lang w:val="en-US"/>
        </w:rPr>
        <w:t xml:space="preserve"> because if </w:t>
      </w:r>
      <w:r w:rsidR="00714714" w:rsidRPr="00813D19">
        <w:rPr>
          <w:lang w:val="en-US"/>
        </w:rPr>
        <w:t xml:space="preserve">the Committee </w:t>
      </w:r>
      <w:r w:rsidR="001E6CC4" w:rsidRPr="00813D19">
        <w:rPr>
          <w:lang w:val="en-US"/>
        </w:rPr>
        <w:t xml:space="preserve">applied </w:t>
      </w:r>
      <w:r w:rsidR="0035653E" w:rsidRPr="00813D19">
        <w:rPr>
          <w:lang w:val="en-US"/>
        </w:rPr>
        <w:t xml:space="preserve">this dialogue </w:t>
      </w:r>
      <w:r w:rsidR="00714714" w:rsidRPr="00813D19">
        <w:rPr>
          <w:lang w:val="en-US"/>
        </w:rPr>
        <w:t xml:space="preserve">but </w:t>
      </w:r>
      <w:r w:rsidR="0035653E" w:rsidRPr="00813D19">
        <w:rPr>
          <w:lang w:val="en-US"/>
        </w:rPr>
        <w:t xml:space="preserve">the Evaluation Body </w:t>
      </w:r>
      <w:r w:rsidR="001E6CC4" w:rsidRPr="00813D19">
        <w:rPr>
          <w:lang w:val="en-US"/>
        </w:rPr>
        <w:t xml:space="preserve">could not </w:t>
      </w:r>
      <w:r w:rsidR="0035653E" w:rsidRPr="00813D19">
        <w:rPr>
          <w:lang w:val="en-US"/>
        </w:rPr>
        <w:t>change the decision</w:t>
      </w:r>
      <w:r w:rsidR="00714714" w:rsidRPr="00813D19">
        <w:rPr>
          <w:lang w:val="en-US"/>
        </w:rPr>
        <w:t>,</w:t>
      </w:r>
      <w:r w:rsidR="0035653E" w:rsidRPr="00813D19">
        <w:rPr>
          <w:lang w:val="en-US"/>
        </w:rPr>
        <w:t xml:space="preserve"> then </w:t>
      </w:r>
      <w:r w:rsidR="00714714" w:rsidRPr="00813D19">
        <w:rPr>
          <w:lang w:val="en-US"/>
        </w:rPr>
        <w:t>there seemed little point to the exercise</w:t>
      </w:r>
      <w:r w:rsidR="0035653E" w:rsidRPr="00813D19">
        <w:rPr>
          <w:lang w:val="en-US"/>
        </w:rPr>
        <w:t xml:space="preserve">. </w:t>
      </w:r>
      <w:r w:rsidR="00714714" w:rsidRPr="00813D19">
        <w:rPr>
          <w:lang w:val="en-US"/>
        </w:rPr>
        <w:t xml:space="preserve">Nevertheless, the delegation </w:t>
      </w:r>
      <w:r w:rsidR="0035653E" w:rsidRPr="00813D19">
        <w:rPr>
          <w:lang w:val="en-US"/>
        </w:rPr>
        <w:t>call</w:t>
      </w:r>
      <w:r w:rsidR="00714714" w:rsidRPr="00813D19">
        <w:rPr>
          <w:lang w:val="en-US"/>
        </w:rPr>
        <w:t>ed</w:t>
      </w:r>
      <w:r w:rsidR="0035653E" w:rsidRPr="00813D19">
        <w:rPr>
          <w:lang w:val="en-US"/>
        </w:rPr>
        <w:t xml:space="preserve"> on </w:t>
      </w:r>
      <w:r w:rsidR="00714714" w:rsidRPr="00813D19">
        <w:rPr>
          <w:lang w:val="en-US"/>
        </w:rPr>
        <w:t xml:space="preserve">everyone </w:t>
      </w:r>
      <w:r w:rsidR="001E6CC4" w:rsidRPr="00813D19">
        <w:rPr>
          <w:lang w:val="en-US"/>
        </w:rPr>
        <w:t xml:space="preserve">to </w:t>
      </w:r>
      <w:r w:rsidR="0035653E" w:rsidRPr="00813D19">
        <w:rPr>
          <w:lang w:val="en-US"/>
        </w:rPr>
        <w:t xml:space="preserve">be more flexible and </w:t>
      </w:r>
      <w:r w:rsidR="001E6CC4" w:rsidRPr="00813D19">
        <w:rPr>
          <w:lang w:val="en-US"/>
        </w:rPr>
        <w:t xml:space="preserve">to </w:t>
      </w:r>
      <w:r w:rsidR="000D14A2" w:rsidRPr="00813D19">
        <w:rPr>
          <w:lang w:val="en-US"/>
        </w:rPr>
        <w:t>support changing</w:t>
      </w:r>
      <w:r w:rsidR="001E6CC4" w:rsidRPr="00813D19">
        <w:rPr>
          <w:lang w:val="en-US"/>
        </w:rPr>
        <w:t xml:space="preserve"> [the procedure</w:t>
      </w:r>
      <w:r w:rsidR="00714714" w:rsidRPr="00813D19">
        <w:rPr>
          <w:lang w:val="en-US"/>
        </w:rPr>
        <w:t>]</w:t>
      </w:r>
      <w:r w:rsidR="0035653E" w:rsidRPr="00813D19">
        <w:rPr>
          <w:lang w:val="en-US"/>
        </w:rPr>
        <w:t xml:space="preserve"> </w:t>
      </w:r>
      <w:r w:rsidR="001E6CC4" w:rsidRPr="00813D19">
        <w:rPr>
          <w:lang w:val="en-US"/>
        </w:rPr>
        <w:t xml:space="preserve">on </w:t>
      </w:r>
      <w:r w:rsidR="0035653E" w:rsidRPr="00813D19">
        <w:rPr>
          <w:lang w:val="en-US"/>
        </w:rPr>
        <w:t>an experiment</w:t>
      </w:r>
      <w:r w:rsidR="001E6CC4" w:rsidRPr="00813D19">
        <w:rPr>
          <w:lang w:val="en-US"/>
        </w:rPr>
        <w:t>al basis</w:t>
      </w:r>
      <w:r w:rsidR="0035653E" w:rsidRPr="00813D19">
        <w:rPr>
          <w:lang w:val="en-US"/>
        </w:rPr>
        <w:t xml:space="preserve"> </w:t>
      </w:r>
      <w:r w:rsidR="00714714" w:rsidRPr="00813D19">
        <w:rPr>
          <w:lang w:val="en-US"/>
        </w:rPr>
        <w:t xml:space="preserve">or </w:t>
      </w:r>
      <w:r w:rsidR="0035653E" w:rsidRPr="00813D19">
        <w:rPr>
          <w:lang w:val="en-US"/>
        </w:rPr>
        <w:t xml:space="preserve">pilot project so </w:t>
      </w:r>
      <w:r w:rsidR="00714714" w:rsidRPr="00813D19">
        <w:rPr>
          <w:lang w:val="en-US"/>
        </w:rPr>
        <w:t xml:space="preserve">that the Committee </w:t>
      </w:r>
      <w:r w:rsidR="001E6CC4" w:rsidRPr="00813D19">
        <w:rPr>
          <w:lang w:val="en-US"/>
        </w:rPr>
        <w:t xml:space="preserve">could </w:t>
      </w:r>
      <w:r w:rsidR="0035653E" w:rsidRPr="00813D19">
        <w:rPr>
          <w:lang w:val="en-US"/>
        </w:rPr>
        <w:t xml:space="preserve">come </w:t>
      </w:r>
      <w:r w:rsidR="00A33E53">
        <w:rPr>
          <w:lang w:val="en-US"/>
        </w:rPr>
        <w:t xml:space="preserve">up </w:t>
      </w:r>
      <w:r w:rsidR="0035653E" w:rsidRPr="00813D19">
        <w:rPr>
          <w:lang w:val="en-US"/>
        </w:rPr>
        <w:t xml:space="preserve">with </w:t>
      </w:r>
      <w:r w:rsidR="00714714" w:rsidRPr="00813D19">
        <w:rPr>
          <w:lang w:val="en-US"/>
        </w:rPr>
        <w:t xml:space="preserve">a </w:t>
      </w:r>
      <w:r w:rsidR="0035653E" w:rsidRPr="00813D19">
        <w:rPr>
          <w:lang w:val="en-US"/>
        </w:rPr>
        <w:t xml:space="preserve">serious </w:t>
      </w:r>
      <w:r w:rsidR="00714714" w:rsidRPr="00813D19">
        <w:rPr>
          <w:lang w:val="en-US"/>
        </w:rPr>
        <w:t xml:space="preserve">proposal to </w:t>
      </w:r>
      <w:r w:rsidR="00DD4E22">
        <w:rPr>
          <w:lang w:val="en-US"/>
        </w:rPr>
        <w:t>the General Assembly.</w:t>
      </w:r>
    </w:p>
    <w:p w14:paraId="3B1CC16C" w14:textId="4E7467EA" w:rsidR="009A7017" w:rsidRPr="00813D19" w:rsidRDefault="007013B8"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Sri Lanka</w:t>
      </w:r>
      <w:r w:rsidR="0035653E" w:rsidRPr="00813D19">
        <w:rPr>
          <w:b/>
          <w:color w:val="000000" w:themeColor="text1"/>
          <w:lang w:val="en-US"/>
        </w:rPr>
        <w:t xml:space="preserve"> </w:t>
      </w:r>
      <w:r w:rsidR="0035653E" w:rsidRPr="00813D19">
        <w:rPr>
          <w:lang w:val="en-US"/>
        </w:rPr>
        <w:t>reiterate</w:t>
      </w:r>
      <w:r w:rsidR="000B6BD0" w:rsidRPr="00813D19">
        <w:rPr>
          <w:lang w:val="en-US"/>
        </w:rPr>
        <w:t>d</w:t>
      </w:r>
      <w:r w:rsidR="0035653E" w:rsidRPr="00813D19">
        <w:rPr>
          <w:lang w:val="en-US"/>
        </w:rPr>
        <w:t xml:space="preserve"> </w:t>
      </w:r>
      <w:r w:rsidR="000B6BD0" w:rsidRPr="00813D19">
        <w:rPr>
          <w:lang w:val="en-US"/>
        </w:rPr>
        <w:t xml:space="preserve">its </w:t>
      </w:r>
      <w:r w:rsidR="0035653E" w:rsidRPr="00813D19">
        <w:rPr>
          <w:lang w:val="en-US"/>
        </w:rPr>
        <w:t xml:space="preserve">decision </w:t>
      </w:r>
      <w:r w:rsidR="000B6BD0" w:rsidRPr="00813D19">
        <w:rPr>
          <w:lang w:val="en-US"/>
        </w:rPr>
        <w:t xml:space="preserve">to </w:t>
      </w:r>
      <w:r w:rsidR="0035653E" w:rsidRPr="00813D19">
        <w:rPr>
          <w:lang w:val="en-US"/>
        </w:rPr>
        <w:t>sup</w:t>
      </w:r>
      <w:r w:rsidR="000B6BD0" w:rsidRPr="00813D19">
        <w:rPr>
          <w:lang w:val="en-US"/>
        </w:rPr>
        <w:t>port the Philippine’s proposal.</w:t>
      </w:r>
    </w:p>
    <w:p w14:paraId="7AF2B8F0" w14:textId="376ACF11" w:rsidR="007013B8" w:rsidRPr="00813D19" w:rsidRDefault="003A2C77"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Cuba</w:t>
      </w:r>
      <w:r w:rsidR="0035653E" w:rsidRPr="00813D19">
        <w:rPr>
          <w:b/>
          <w:color w:val="000000" w:themeColor="text1"/>
          <w:lang w:val="en-US"/>
        </w:rPr>
        <w:t xml:space="preserve"> </w:t>
      </w:r>
      <w:r w:rsidR="0035653E" w:rsidRPr="00813D19">
        <w:rPr>
          <w:bCs/>
          <w:lang w:val="en-US"/>
        </w:rPr>
        <w:t>wonder</w:t>
      </w:r>
      <w:r w:rsidR="00714714" w:rsidRPr="00813D19">
        <w:rPr>
          <w:bCs/>
          <w:lang w:val="en-US"/>
        </w:rPr>
        <w:t xml:space="preserve">ed whether </w:t>
      </w:r>
      <w:r w:rsidR="0035653E" w:rsidRPr="00813D19">
        <w:rPr>
          <w:bCs/>
          <w:lang w:val="en-US"/>
        </w:rPr>
        <w:t xml:space="preserve">all the decisions taken so far in </w:t>
      </w:r>
      <w:r w:rsidR="00714714" w:rsidRPr="00813D19">
        <w:rPr>
          <w:bCs/>
          <w:lang w:val="en-US"/>
        </w:rPr>
        <w:t xml:space="preserve">the present </w:t>
      </w:r>
      <w:r w:rsidR="0035653E" w:rsidRPr="00813D19">
        <w:rPr>
          <w:bCs/>
          <w:lang w:val="en-US"/>
        </w:rPr>
        <w:t xml:space="preserve">session </w:t>
      </w:r>
      <w:r w:rsidR="00714714" w:rsidRPr="00813D19">
        <w:rPr>
          <w:bCs/>
          <w:lang w:val="en-US"/>
        </w:rPr>
        <w:t xml:space="preserve">were </w:t>
      </w:r>
      <w:r w:rsidR="0035653E" w:rsidRPr="00813D19">
        <w:rPr>
          <w:bCs/>
          <w:lang w:val="en-US"/>
        </w:rPr>
        <w:t xml:space="preserve">actually </w:t>
      </w:r>
      <w:r w:rsidR="00714714" w:rsidRPr="00813D19">
        <w:rPr>
          <w:bCs/>
          <w:lang w:val="en-US"/>
        </w:rPr>
        <w:t>in perfect</w:t>
      </w:r>
      <w:r w:rsidR="0035653E" w:rsidRPr="00813D19">
        <w:rPr>
          <w:bCs/>
          <w:lang w:val="en-US"/>
        </w:rPr>
        <w:t xml:space="preserve"> compliance with the rule</w:t>
      </w:r>
      <w:r w:rsidR="00714714" w:rsidRPr="00813D19">
        <w:rPr>
          <w:bCs/>
          <w:lang w:val="en-US"/>
        </w:rPr>
        <w:t>s and regulations.</w:t>
      </w:r>
      <w:r w:rsidR="0035653E" w:rsidRPr="00813D19">
        <w:rPr>
          <w:bCs/>
          <w:lang w:val="en-US"/>
        </w:rPr>
        <w:t xml:space="preserve"> </w:t>
      </w:r>
      <w:r w:rsidR="00714714" w:rsidRPr="00813D19">
        <w:rPr>
          <w:bCs/>
          <w:lang w:val="en-US"/>
        </w:rPr>
        <w:t xml:space="preserve">Moreover, </w:t>
      </w:r>
      <w:r w:rsidR="0035653E" w:rsidRPr="00813D19">
        <w:rPr>
          <w:bCs/>
          <w:lang w:val="en-US"/>
        </w:rPr>
        <w:t xml:space="preserve">the presence of a Legal Adviser might actually </w:t>
      </w:r>
      <w:r w:rsidR="00714714" w:rsidRPr="00813D19">
        <w:rPr>
          <w:bCs/>
          <w:lang w:val="en-US"/>
        </w:rPr>
        <w:t xml:space="preserve">have </w:t>
      </w:r>
      <w:r w:rsidR="0035653E" w:rsidRPr="00813D19">
        <w:rPr>
          <w:bCs/>
          <w:lang w:val="en-US"/>
        </w:rPr>
        <w:t>resolve</w:t>
      </w:r>
      <w:r w:rsidR="00714714" w:rsidRPr="00813D19">
        <w:rPr>
          <w:bCs/>
          <w:lang w:val="en-US"/>
        </w:rPr>
        <w:t>d</w:t>
      </w:r>
      <w:r w:rsidR="0035653E" w:rsidRPr="00813D19">
        <w:rPr>
          <w:bCs/>
          <w:lang w:val="en-US"/>
        </w:rPr>
        <w:t xml:space="preserve"> this </w:t>
      </w:r>
      <w:r w:rsidR="000D14A2" w:rsidRPr="00813D19">
        <w:rPr>
          <w:bCs/>
          <w:lang w:val="en-US"/>
        </w:rPr>
        <w:t>situation, as there had</w:t>
      </w:r>
      <w:r w:rsidR="00714714" w:rsidRPr="00813D19">
        <w:rPr>
          <w:bCs/>
          <w:lang w:val="en-US"/>
        </w:rPr>
        <w:t xml:space="preserve"> been </w:t>
      </w:r>
      <w:r w:rsidR="0035653E" w:rsidRPr="00813D19">
        <w:rPr>
          <w:bCs/>
          <w:lang w:val="en-US"/>
        </w:rPr>
        <w:t xml:space="preserve">different answers to </w:t>
      </w:r>
      <w:r w:rsidR="00714714" w:rsidRPr="00813D19">
        <w:rPr>
          <w:bCs/>
          <w:lang w:val="en-US"/>
        </w:rPr>
        <w:t xml:space="preserve">the </w:t>
      </w:r>
      <w:r w:rsidR="0035653E" w:rsidRPr="00813D19">
        <w:rPr>
          <w:bCs/>
          <w:lang w:val="en-US"/>
        </w:rPr>
        <w:t xml:space="preserve">various questions throughout </w:t>
      </w:r>
      <w:r w:rsidR="000D14A2" w:rsidRPr="00813D19">
        <w:rPr>
          <w:bCs/>
          <w:lang w:val="en-US"/>
        </w:rPr>
        <w:t>the debate</w:t>
      </w:r>
      <w:r w:rsidR="00714714" w:rsidRPr="00813D19">
        <w:rPr>
          <w:bCs/>
          <w:lang w:val="en-US"/>
        </w:rPr>
        <w:t xml:space="preserve"> </w:t>
      </w:r>
      <w:r w:rsidR="0035653E" w:rsidRPr="00813D19">
        <w:rPr>
          <w:bCs/>
          <w:lang w:val="en-US"/>
        </w:rPr>
        <w:t xml:space="preserve">and </w:t>
      </w:r>
      <w:r w:rsidR="00714714" w:rsidRPr="00813D19">
        <w:rPr>
          <w:bCs/>
          <w:lang w:val="en-US"/>
        </w:rPr>
        <w:t xml:space="preserve">he would have been a </w:t>
      </w:r>
      <w:r w:rsidR="0035653E" w:rsidRPr="00813D19">
        <w:rPr>
          <w:bCs/>
          <w:lang w:val="en-US"/>
        </w:rPr>
        <w:t xml:space="preserve">deciding voice. </w:t>
      </w:r>
      <w:r w:rsidR="00714714" w:rsidRPr="00813D19">
        <w:rPr>
          <w:bCs/>
          <w:lang w:val="en-US"/>
        </w:rPr>
        <w:t>The delegation noted</w:t>
      </w:r>
      <w:r w:rsidR="00A33E53">
        <w:rPr>
          <w:bCs/>
          <w:lang w:val="en-US"/>
        </w:rPr>
        <w:t>,</w:t>
      </w:r>
      <w:r w:rsidR="00714714" w:rsidRPr="00813D19">
        <w:rPr>
          <w:bCs/>
          <w:lang w:val="en-US"/>
        </w:rPr>
        <w:t xml:space="preserve"> however</w:t>
      </w:r>
      <w:r w:rsidR="00A33E53">
        <w:rPr>
          <w:bCs/>
          <w:lang w:val="en-US"/>
        </w:rPr>
        <w:t>,</w:t>
      </w:r>
      <w:r w:rsidR="00714714" w:rsidRPr="00813D19">
        <w:rPr>
          <w:bCs/>
          <w:lang w:val="en-US"/>
        </w:rPr>
        <w:t xml:space="preserve"> that there was broad </w:t>
      </w:r>
      <w:r w:rsidR="0035653E" w:rsidRPr="00813D19">
        <w:rPr>
          <w:bCs/>
          <w:lang w:val="en-US"/>
        </w:rPr>
        <w:t xml:space="preserve">support for this </w:t>
      </w:r>
      <w:r w:rsidR="00714714" w:rsidRPr="00813D19">
        <w:rPr>
          <w:bCs/>
          <w:lang w:val="en-US"/>
        </w:rPr>
        <w:t xml:space="preserve">proposal, </w:t>
      </w:r>
      <w:r w:rsidR="0035653E" w:rsidRPr="00813D19">
        <w:rPr>
          <w:bCs/>
          <w:lang w:val="en-US"/>
        </w:rPr>
        <w:t xml:space="preserve">and </w:t>
      </w:r>
      <w:r w:rsidR="00714714" w:rsidRPr="00813D19">
        <w:rPr>
          <w:bCs/>
          <w:lang w:val="en-US"/>
        </w:rPr>
        <w:t>as an</w:t>
      </w:r>
      <w:r w:rsidR="0035653E" w:rsidRPr="00813D19">
        <w:rPr>
          <w:bCs/>
          <w:lang w:val="en-US"/>
        </w:rPr>
        <w:t xml:space="preserve"> intergovernmental body, </w:t>
      </w:r>
      <w:r w:rsidR="00714714" w:rsidRPr="00813D19">
        <w:rPr>
          <w:bCs/>
          <w:lang w:val="en-US"/>
        </w:rPr>
        <w:t>the Committee had the mandate</w:t>
      </w:r>
      <w:r w:rsidR="000D14A2" w:rsidRPr="00813D19">
        <w:rPr>
          <w:bCs/>
          <w:lang w:val="en-US"/>
        </w:rPr>
        <w:t xml:space="preserve"> to decide</w:t>
      </w:r>
      <w:r w:rsidR="00714714" w:rsidRPr="00813D19">
        <w:rPr>
          <w:bCs/>
          <w:lang w:val="en-US"/>
        </w:rPr>
        <w:t>.</w:t>
      </w:r>
    </w:p>
    <w:p w14:paraId="56D1133D" w14:textId="7252C1B5" w:rsidR="006C1B5C" w:rsidRPr="00813D19" w:rsidRDefault="006C1B5C"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714714" w:rsidRPr="00813D19">
        <w:rPr>
          <w:color w:val="000000" w:themeColor="text1"/>
          <w:lang w:val="en-US"/>
        </w:rPr>
        <w:t>moved to</w:t>
      </w:r>
      <w:r w:rsidR="00714714" w:rsidRPr="00813D19">
        <w:rPr>
          <w:b/>
          <w:color w:val="000000" w:themeColor="text1"/>
          <w:lang w:val="en-US"/>
        </w:rPr>
        <w:t xml:space="preserve"> </w:t>
      </w:r>
      <w:r w:rsidR="0035653E" w:rsidRPr="00813D19">
        <w:rPr>
          <w:lang w:val="en-US"/>
        </w:rPr>
        <w:t>close the debate</w:t>
      </w:r>
      <w:r w:rsidR="00714714" w:rsidRPr="00813D19">
        <w:rPr>
          <w:lang w:val="en-US"/>
        </w:rPr>
        <w:t xml:space="preserve">, as it was clear that all </w:t>
      </w:r>
      <w:r w:rsidR="0035653E" w:rsidRPr="00813D19">
        <w:rPr>
          <w:lang w:val="en-US"/>
        </w:rPr>
        <w:t xml:space="preserve">Committee Members </w:t>
      </w:r>
      <w:r w:rsidR="00714714" w:rsidRPr="00813D19">
        <w:rPr>
          <w:lang w:val="en-US"/>
        </w:rPr>
        <w:t xml:space="preserve">were </w:t>
      </w:r>
      <w:r w:rsidR="0035653E" w:rsidRPr="00813D19">
        <w:rPr>
          <w:lang w:val="en-US"/>
        </w:rPr>
        <w:t xml:space="preserve">agreeable </w:t>
      </w:r>
      <w:r w:rsidR="00714714" w:rsidRPr="00813D19">
        <w:rPr>
          <w:lang w:val="en-US"/>
        </w:rPr>
        <w:t xml:space="preserve">to </w:t>
      </w:r>
      <w:r w:rsidR="0035653E" w:rsidRPr="00813D19">
        <w:rPr>
          <w:lang w:val="en-US"/>
        </w:rPr>
        <w:t>adopt</w:t>
      </w:r>
      <w:r w:rsidR="00DD4E22">
        <w:rPr>
          <w:lang w:val="en-US"/>
        </w:rPr>
        <w:t>ing the proposal.</w:t>
      </w:r>
    </w:p>
    <w:p w14:paraId="43FB9E01" w14:textId="1129C339" w:rsidR="00C45DB2" w:rsidRPr="00813D19" w:rsidRDefault="00C45DB2"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w:t>
      </w:r>
      <w:r w:rsidR="0035653E" w:rsidRPr="00813D19">
        <w:rPr>
          <w:b/>
          <w:color w:val="000000" w:themeColor="text1"/>
          <w:lang w:val="en-US"/>
        </w:rPr>
        <w:t xml:space="preserve"> </w:t>
      </w:r>
      <w:r w:rsidR="00AE30F5" w:rsidRPr="00813D19">
        <w:rPr>
          <w:color w:val="000000" w:themeColor="text1"/>
          <w:lang w:val="en-US"/>
        </w:rPr>
        <w:t>also</w:t>
      </w:r>
      <w:r w:rsidR="00AE30F5" w:rsidRPr="00813D19">
        <w:rPr>
          <w:b/>
          <w:color w:val="000000" w:themeColor="text1"/>
          <w:lang w:val="en-US"/>
        </w:rPr>
        <w:t xml:space="preserve"> </w:t>
      </w:r>
      <w:r w:rsidR="00AE30F5" w:rsidRPr="00813D19">
        <w:rPr>
          <w:color w:val="000000" w:themeColor="text1"/>
          <w:lang w:val="en-US"/>
        </w:rPr>
        <w:t xml:space="preserve">voiced its </w:t>
      </w:r>
      <w:r w:rsidR="00714714" w:rsidRPr="00813D19">
        <w:rPr>
          <w:color w:val="000000" w:themeColor="text1"/>
          <w:lang w:val="en-US"/>
        </w:rPr>
        <w:t>support</w:t>
      </w:r>
      <w:r w:rsidR="00DD4E22">
        <w:rPr>
          <w:color w:val="000000" w:themeColor="text1"/>
          <w:lang w:val="en-US"/>
        </w:rPr>
        <w:t>.</w:t>
      </w:r>
    </w:p>
    <w:p w14:paraId="20A14D5B" w14:textId="4A187CF1" w:rsidR="00FE5EBC" w:rsidRPr="00813D19" w:rsidRDefault="00FE5EBC"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EF592E" w:rsidRPr="00813D19">
        <w:rPr>
          <w:color w:val="000000" w:themeColor="text1"/>
          <w:lang w:val="en-US"/>
        </w:rPr>
        <w:t xml:space="preserve">turned to the adoption of paragraph 14 and remarked on the discussion and </w:t>
      </w:r>
      <w:r w:rsidR="00EF592E" w:rsidRPr="00813D19">
        <w:rPr>
          <w:lang w:val="en-US"/>
        </w:rPr>
        <w:t xml:space="preserve">the endeavour to find flexibility, which had been </w:t>
      </w:r>
      <w:r w:rsidR="0035653E" w:rsidRPr="00813D19">
        <w:rPr>
          <w:lang w:val="en-US"/>
        </w:rPr>
        <w:t>suffic</w:t>
      </w:r>
      <w:r w:rsidR="00DD4E22">
        <w:rPr>
          <w:lang w:val="en-US"/>
        </w:rPr>
        <w:t>iently canvassed.</w:t>
      </w:r>
    </w:p>
    <w:p w14:paraId="00B633BF" w14:textId="14A76939" w:rsidR="00EB1F1E" w:rsidRPr="00813D19" w:rsidRDefault="00EB1F1E"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delegations of </w:t>
      </w:r>
      <w:r w:rsidR="00575548" w:rsidRPr="00813D19">
        <w:rPr>
          <w:b/>
          <w:color w:val="000000" w:themeColor="text1"/>
          <w:lang w:val="en-US"/>
        </w:rPr>
        <w:t>Azerbaijan</w:t>
      </w:r>
      <w:r w:rsidRPr="00813D19">
        <w:rPr>
          <w:b/>
          <w:color w:val="000000" w:themeColor="text1"/>
          <w:lang w:val="en-US"/>
        </w:rPr>
        <w:t xml:space="preserve">, </w:t>
      </w:r>
      <w:r w:rsidR="00575548" w:rsidRPr="00813D19">
        <w:rPr>
          <w:b/>
          <w:color w:val="000000" w:themeColor="text1"/>
          <w:lang w:val="en-US"/>
        </w:rPr>
        <w:t xml:space="preserve">Armenia, Sri Lanka, Senegal, </w:t>
      </w:r>
      <w:r w:rsidR="007060DE" w:rsidRPr="00813D19">
        <w:rPr>
          <w:b/>
          <w:color w:val="000000" w:themeColor="text1"/>
          <w:lang w:val="en-US"/>
        </w:rPr>
        <w:t xml:space="preserve">Lebanon, </w:t>
      </w:r>
      <w:r w:rsidRPr="00813D19">
        <w:rPr>
          <w:b/>
          <w:color w:val="000000" w:themeColor="text1"/>
          <w:lang w:val="en-US"/>
        </w:rPr>
        <w:t>Za</w:t>
      </w:r>
      <w:r w:rsidR="007060DE" w:rsidRPr="00813D19">
        <w:rPr>
          <w:b/>
          <w:color w:val="000000" w:themeColor="text1"/>
          <w:lang w:val="en-US"/>
        </w:rPr>
        <w:t xml:space="preserve">mbia, Togo, Guatemala, Jamaica </w:t>
      </w:r>
      <w:r w:rsidR="007060DE" w:rsidRPr="00813D19">
        <w:rPr>
          <w:color w:val="000000" w:themeColor="text1"/>
          <w:lang w:val="en-US"/>
        </w:rPr>
        <w:t>and</w:t>
      </w:r>
      <w:r w:rsidR="007060DE" w:rsidRPr="00813D19">
        <w:rPr>
          <w:b/>
          <w:color w:val="000000" w:themeColor="text1"/>
          <w:lang w:val="en-US"/>
        </w:rPr>
        <w:t xml:space="preserve"> </w:t>
      </w:r>
      <w:r w:rsidRPr="00813D19">
        <w:rPr>
          <w:b/>
          <w:color w:val="000000" w:themeColor="text1"/>
          <w:lang w:val="en-US"/>
        </w:rPr>
        <w:t>Djibouti</w:t>
      </w:r>
      <w:r w:rsidR="00575548" w:rsidRPr="00813D19">
        <w:rPr>
          <w:b/>
          <w:color w:val="000000" w:themeColor="text1"/>
          <w:lang w:val="en-US"/>
        </w:rPr>
        <w:t xml:space="preserve"> </w:t>
      </w:r>
      <w:r w:rsidR="007060DE" w:rsidRPr="00813D19">
        <w:rPr>
          <w:color w:val="000000" w:themeColor="text1"/>
          <w:lang w:val="en-US"/>
        </w:rPr>
        <w:t>were added to</w:t>
      </w:r>
      <w:r w:rsidR="007060DE" w:rsidRPr="00813D19">
        <w:rPr>
          <w:b/>
          <w:color w:val="000000" w:themeColor="text1"/>
          <w:lang w:val="en-US"/>
        </w:rPr>
        <w:t xml:space="preserve"> </w:t>
      </w:r>
      <w:r w:rsidR="007060DE" w:rsidRPr="00813D19">
        <w:rPr>
          <w:color w:val="000000" w:themeColor="text1"/>
          <w:lang w:val="en-US"/>
        </w:rPr>
        <w:t xml:space="preserve">the list </w:t>
      </w:r>
      <w:r w:rsidR="00575548" w:rsidRPr="00813D19">
        <w:rPr>
          <w:color w:val="000000" w:themeColor="text1"/>
          <w:lang w:val="en-US"/>
        </w:rPr>
        <w:t>support</w:t>
      </w:r>
      <w:r w:rsidR="007060DE" w:rsidRPr="00813D19">
        <w:rPr>
          <w:color w:val="000000" w:themeColor="text1"/>
          <w:lang w:val="en-US"/>
        </w:rPr>
        <w:t>ing</w:t>
      </w:r>
      <w:r w:rsidR="00575548" w:rsidRPr="00813D19">
        <w:rPr>
          <w:color w:val="000000" w:themeColor="text1"/>
          <w:lang w:val="en-US"/>
        </w:rPr>
        <w:t xml:space="preserve"> the proposal </w:t>
      </w:r>
      <w:r w:rsidR="00AE30F5" w:rsidRPr="00813D19">
        <w:rPr>
          <w:color w:val="000000" w:themeColor="text1"/>
          <w:lang w:val="en-US"/>
        </w:rPr>
        <w:t xml:space="preserve">by the </w:t>
      </w:r>
      <w:r w:rsidR="00575548" w:rsidRPr="00813D19">
        <w:rPr>
          <w:color w:val="000000" w:themeColor="text1"/>
          <w:lang w:val="en-US"/>
        </w:rPr>
        <w:t>Philippine</w:t>
      </w:r>
      <w:r w:rsidR="00AE30F5" w:rsidRPr="00813D19">
        <w:rPr>
          <w:color w:val="000000" w:themeColor="text1"/>
          <w:lang w:val="en-US"/>
        </w:rPr>
        <w:t>s</w:t>
      </w:r>
      <w:r w:rsidR="007060DE" w:rsidRPr="00813D19">
        <w:rPr>
          <w:color w:val="000000" w:themeColor="text1"/>
          <w:lang w:val="en-US"/>
        </w:rPr>
        <w:t xml:space="preserve"> that included the Philippines, Palestine, Cuba, Cyprus, Colombia and Kuwait.</w:t>
      </w:r>
    </w:p>
    <w:p w14:paraId="51FAE039" w14:textId="4473EF99" w:rsidR="00EB1F1E" w:rsidRPr="00813D19" w:rsidRDefault="00EB1F1E"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Pr="00813D19">
        <w:rPr>
          <w:color w:val="000000" w:themeColor="text1"/>
          <w:lang w:val="en-US"/>
        </w:rPr>
        <w:t>pronounced paragraph 14 adopted.</w:t>
      </w:r>
    </w:p>
    <w:p w14:paraId="401529F0" w14:textId="0ABC4C81" w:rsidR="00EB1F1E" w:rsidRPr="00813D19" w:rsidRDefault="00EB1F1E"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575548" w:rsidRPr="00813D19">
        <w:rPr>
          <w:b/>
          <w:color w:val="000000" w:themeColor="text1"/>
          <w:lang w:val="en-US"/>
        </w:rPr>
        <w:t xml:space="preserve"> </w:t>
      </w:r>
      <w:r w:rsidR="007060DE" w:rsidRPr="00813D19">
        <w:rPr>
          <w:color w:val="000000" w:themeColor="text1"/>
          <w:lang w:val="en-US"/>
        </w:rPr>
        <w:t>suggested that</w:t>
      </w:r>
      <w:r w:rsidR="00A33E53">
        <w:rPr>
          <w:color w:val="000000" w:themeColor="text1"/>
          <w:lang w:val="en-US"/>
        </w:rPr>
        <w:t xml:space="preserve">, </w:t>
      </w:r>
      <w:r w:rsidR="007060DE" w:rsidRPr="00813D19">
        <w:rPr>
          <w:color w:val="000000" w:themeColor="text1"/>
          <w:lang w:val="en-US"/>
        </w:rPr>
        <w:t>for the sake of time</w:t>
      </w:r>
      <w:r w:rsidR="00A33E53">
        <w:rPr>
          <w:color w:val="000000" w:themeColor="text1"/>
          <w:lang w:val="en-US"/>
        </w:rPr>
        <w:t xml:space="preserve">, </w:t>
      </w:r>
      <w:r w:rsidR="007060DE" w:rsidRPr="00813D19">
        <w:rPr>
          <w:color w:val="000000" w:themeColor="text1"/>
          <w:lang w:val="en-US"/>
        </w:rPr>
        <w:t xml:space="preserve">the same Committee Members also </w:t>
      </w:r>
      <w:r w:rsidR="00575548" w:rsidRPr="00813D19">
        <w:rPr>
          <w:lang w:val="en-US"/>
        </w:rPr>
        <w:t>support</w:t>
      </w:r>
      <w:r w:rsidR="007060DE" w:rsidRPr="00813D19">
        <w:rPr>
          <w:lang w:val="en-US"/>
        </w:rPr>
        <w:t>ed</w:t>
      </w:r>
      <w:r w:rsidR="00575548" w:rsidRPr="00813D19">
        <w:rPr>
          <w:lang w:val="en-US"/>
        </w:rPr>
        <w:t xml:space="preserve"> paragraph</w:t>
      </w:r>
      <w:r w:rsidR="007060DE" w:rsidRPr="00813D19">
        <w:rPr>
          <w:lang w:val="en-US"/>
        </w:rPr>
        <w:t>s</w:t>
      </w:r>
      <w:r w:rsidR="00575548" w:rsidRPr="00813D19">
        <w:rPr>
          <w:lang w:val="en-US"/>
        </w:rPr>
        <w:t xml:space="preserve"> 15 and 16</w:t>
      </w:r>
      <w:r w:rsidR="007060DE" w:rsidRPr="00813D19">
        <w:rPr>
          <w:lang w:val="en-US"/>
        </w:rPr>
        <w:t>.</w:t>
      </w:r>
    </w:p>
    <w:p w14:paraId="301D14C4" w14:textId="74CF9A72" w:rsidR="007060DE" w:rsidRPr="00813D19" w:rsidRDefault="00733583" w:rsidP="003003F0">
      <w:pPr>
        <w:pStyle w:val="Orateurengris"/>
        <w:spacing w:before="12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had the same intention and added the </w:t>
      </w:r>
      <w:r w:rsidR="007060DE" w:rsidRPr="00813D19">
        <w:rPr>
          <w:lang w:val="en-US"/>
        </w:rPr>
        <w:t xml:space="preserve">same support </w:t>
      </w:r>
      <w:r w:rsidRPr="00813D19">
        <w:rPr>
          <w:lang w:val="en-US"/>
        </w:rPr>
        <w:t xml:space="preserve">for </w:t>
      </w:r>
      <w:r w:rsidR="007060DE" w:rsidRPr="00813D19">
        <w:rPr>
          <w:lang w:val="en-US"/>
        </w:rPr>
        <w:t>paragraphs 15 and 16</w:t>
      </w:r>
      <w:r w:rsidRPr="00813D19">
        <w:rPr>
          <w:lang w:val="en-US"/>
        </w:rPr>
        <w:t xml:space="preserve">, unless otherwise stated, which </w:t>
      </w:r>
      <w:r w:rsidR="00A33E53" w:rsidRPr="00813D19">
        <w:rPr>
          <w:lang w:val="en-US"/>
        </w:rPr>
        <w:t>w</w:t>
      </w:r>
      <w:r w:rsidR="00A33E53">
        <w:rPr>
          <w:lang w:val="en-US"/>
        </w:rPr>
        <w:t>ere</w:t>
      </w:r>
      <w:r w:rsidR="00A33E53" w:rsidRPr="00813D19">
        <w:rPr>
          <w:lang w:val="en-US"/>
        </w:rPr>
        <w:t xml:space="preserve"> </w:t>
      </w:r>
      <w:r w:rsidRPr="00813D19">
        <w:rPr>
          <w:lang w:val="en-US"/>
        </w:rPr>
        <w:t>duly adopted. It was noted that paragraphs 17 and 18 had an amendment proposed by Japan.</w:t>
      </w:r>
    </w:p>
    <w:p w14:paraId="16EA82E3" w14:textId="018BADA9" w:rsidR="00EB1F1E" w:rsidRPr="00813D19" w:rsidRDefault="00EB1F1E"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Japan</w:t>
      </w:r>
      <w:r w:rsidRPr="00813D19">
        <w:rPr>
          <w:color w:val="000000" w:themeColor="text1"/>
          <w:lang w:val="en-US"/>
        </w:rPr>
        <w:t xml:space="preserve"> </w:t>
      </w:r>
      <w:r w:rsidR="00603AA7" w:rsidRPr="00813D19">
        <w:rPr>
          <w:lang w:val="en-US"/>
        </w:rPr>
        <w:t xml:space="preserve">presented </w:t>
      </w:r>
      <w:r w:rsidR="005C28AA" w:rsidRPr="00813D19">
        <w:rPr>
          <w:lang w:val="en-US"/>
        </w:rPr>
        <w:t xml:space="preserve">its amendments to paragraphs 17 and 18, which reflected its previous discussion on the </w:t>
      </w:r>
      <w:r w:rsidR="00603AA7" w:rsidRPr="00813D19">
        <w:rPr>
          <w:lang w:val="en-US"/>
        </w:rPr>
        <w:t>idea of the two-step appr</w:t>
      </w:r>
      <w:r w:rsidR="005C28AA" w:rsidRPr="00813D19">
        <w:rPr>
          <w:lang w:val="en-US"/>
        </w:rPr>
        <w:t>oach for the reflection process</w:t>
      </w:r>
      <w:r w:rsidR="00603AA7" w:rsidRPr="00813D19">
        <w:rPr>
          <w:lang w:val="en-US"/>
        </w:rPr>
        <w:t xml:space="preserve">. Paragraph 17 </w:t>
      </w:r>
      <w:r w:rsidR="005C28AA" w:rsidRPr="00813D19">
        <w:rPr>
          <w:lang w:val="en-US"/>
        </w:rPr>
        <w:t xml:space="preserve">concerned </w:t>
      </w:r>
      <w:r w:rsidR="00603AA7" w:rsidRPr="00813D19">
        <w:rPr>
          <w:lang w:val="en-US"/>
        </w:rPr>
        <w:t xml:space="preserve">the first step and the </w:t>
      </w:r>
      <w:r w:rsidR="005C28AA" w:rsidRPr="00813D19">
        <w:rPr>
          <w:lang w:val="en-US"/>
        </w:rPr>
        <w:t>‘</w:t>
      </w:r>
      <w:r w:rsidR="00603AA7" w:rsidRPr="00813D19">
        <w:rPr>
          <w:lang w:val="en-US"/>
        </w:rPr>
        <w:t>early harvest package</w:t>
      </w:r>
      <w:r w:rsidR="005C28AA" w:rsidRPr="00813D19">
        <w:rPr>
          <w:lang w:val="en-US"/>
        </w:rPr>
        <w:t>’</w:t>
      </w:r>
      <w:r w:rsidR="00603AA7" w:rsidRPr="00813D19">
        <w:rPr>
          <w:lang w:val="en-US"/>
        </w:rPr>
        <w:t xml:space="preserve"> of the reform</w:t>
      </w:r>
      <w:r w:rsidR="005C28AA" w:rsidRPr="00813D19">
        <w:rPr>
          <w:lang w:val="en-US"/>
        </w:rPr>
        <w:t>,</w:t>
      </w:r>
      <w:r w:rsidR="00603AA7" w:rsidRPr="00813D19">
        <w:rPr>
          <w:lang w:val="en-US"/>
        </w:rPr>
        <w:t xml:space="preserve"> including the evaluation process</w:t>
      </w:r>
      <w:r w:rsidR="005C28AA" w:rsidRPr="00813D19">
        <w:rPr>
          <w:lang w:val="en-US"/>
        </w:rPr>
        <w:t>,</w:t>
      </w:r>
      <w:r w:rsidR="00603AA7" w:rsidRPr="00813D19">
        <w:rPr>
          <w:lang w:val="en-US"/>
        </w:rPr>
        <w:t xml:space="preserve"> </w:t>
      </w:r>
      <w:r w:rsidR="005C28AA" w:rsidRPr="00813D19">
        <w:rPr>
          <w:lang w:val="en-US"/>
        </w:rPr>
        <w:t xml:space="preserve">in </w:t>
      </w:r>
      <w:r w:rsidR="00603AA7" w:rsidRPr="00813D19">
        <w:rPr>
          <w:lang w:val="en-US"/>
        </w:rPr>
        <w:t xml:space="preserve">time </w:t>
      </w:r>
      <w:r w:rsidR="005C28AA" w:rsidRPr="00813D19">
        <w:rPr>
          <w:lang w:val="en-US"/>
        </w:rPr>
        <w:t xml:space="preserve">for </w:t>
      </w:r>
      <w:r w:rsidR="00603AA7" w:rsidRPr="00813D19">
        <w:rPr>
          <w:lang w:val="en-US"/>
        </w:rPr>
        <w:t xml:space="preserve">the General Assembly </w:t>
      </w:r>
      <w:r w:rsidR="005C28AA" w:rsidRPr="00813D19">
        <w:rPr>
          <w:lang w:val="en-US"/>
        </w:rPr>
        <w:t>in 2020.</w:t>
      </w:r>
    </w:p>
    <w:p w14:paraId="666387B6" w14:textId="2DED037F" w:rsidR="00EB1F1E" w:rsidRPr="00813D19" w:rsidRDefault="00EB1F1E" w:rsidP="003003F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603AA7" w:rsidRPr="00813D19">
        <w:rPr>
          <w:b/>
          <w:color w:val="000000" w:themeColor="text1"/>
          <w:lang w:val="en-US"/>
        </w:rPr>
        <w:t xml:space="preserve"> </w:t>
      </w:r>
      <w:r w:rsidR="005C28AA" w:rsidRPr="00813D19">
        <w:rPr>
          <w:color w:val="000000" w:themeColor="text1"/>
          <w:lang w:val="en-US"/>
        </w:rPr>
        <w:t>remarked that</w:t>
      </w:r>
      <w:r w:rsidR="005C28AA" w:rsidRPr="00813D19">
        <w:rPr>
          <w:b/>
          <w:color w:val="000000" w:themeColor="text1"/>
          <w:lang w:val="en-US"/>
        </w:rPr>
        <w:t xml:space="preserve"> </w:t>
      </w:r>
      <w:r w:rsidR="005C28AA" w:rsidRPr="00813D19">
        <w:rPr>
          <w:lang w:val="en-US"/>
        </w:rPr>
        <w:t xml:space="preserve">it was </w:t>
      </w:r>
      <w:r w:rsidR="00603AA7" w:rsidRPr="00813D19">
        <w:rPr>
          <w:lang w:val="en-US"/>
        </w:rPr>
        <w:t xml:space="preserve">clear </w:t>
      </w:r>
      <w:r w:rsidR="005C28AA" w:rsidRPr="00813D19">
        <w:rPr>
          <w:lang w:val="en-US"/>
        </w:rPr>
        <w:t xml:space="preserve">that there was </w:t>
      </w:r>
      <w:r w:rsidR="00603AA7" w:rsidRPr="00813D19">
        <w:rPr>
          <w:lang w:val="en-US"/>
        </w:rPr>
        <w:t xml:space="preserve">coherence with the proposal </w:t>
      </w:r>
      <w:r w:rsidR="005C28AA" w:rsidRPr="00813D19">
        <w:rPr>
          <w:lang w:val="en-US"/>
        </w:rPr>
        <w:t xml:space="preserve">in paragraphs </w:t>
      </w:r>
      <w:r w:rsidR="00603AA7" w:rsidRPr="00813D19">
        <w:rPr>
          <w:lang w:val="en-US"/>
        </w:rPr>
        <w:t>14,</w:t>
      </w:r>
      <w:r w:rsidR="005C28AA" w:rsidRPr="00813D19">
        <w:rPr>
          <w:lang w:val="en-US"/>
        </w:rPr>
        <w:t xml:space="preserve"> </w:t>
      </w:r>
      <w:r w:rsidR="00603AA7" w:rsidRPr="00813D19">
        <w:rPr>
          <w:lang w:val="en-US"/>
        </w:rPr>
        <w:t xml:space="preserve">15 and 16 and </w:t>
      </w:r>
      <w:r w:rsidR="005C28AA" w:rsidRPr="00813D19">
        <w:rPr>
          <w:lang w:val="en-US"/>
        </w:rPr>
        <w:t xml:space="preserve">that it reflected the appeal by all </w:t>
      </w:r>
      <w:r w:rsidR="00603AA7" w:rsidRPr="00813D19">
        <w:rPr>
          <w:lang w:val="en-US"/>
        </w:rPr>
        <w:t xml:space="preserve">Members </w:t>
      </w:r>
      <w:r w:rsidR="005C28AA" w:rsidRPr="00813D19">
        <w:rPr>
          <w:lang w:val="en-US"/>
        </w:rPr>
        <w:t>of the Committee. The delegation thus supported</w:t>
      </w:r>
      <w:r w:rsidR="00603AA7" w:rsidRPr="00813D19">
        <w:rPr>
          <w:lang w:val="en-US"/>
        </w:rPr>
        <w:t xml:space="preserve"> p</w:t>
      </w:r>
      <w:r w:rsidR="00DD4E22">
        <w:rPr>
          <w:lang w:val="en-US"/>
        </w:rPr>
        <w:t>aragraphs 17 and 18.</w:t>
      </w:r>
    </w:p>
    <w:p w14:paraId="492CC40D" w14:textId="421B1540" w:rsidR="00EB1F1E" w:rsidRPr="00813D19" w:rsidRDefault="00EB1F1E"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w:t>
      </w:r>
      <w:r w:rsidR="005C28AA" w:rsidRPr="00813D19">
        <w:rPr>
          <w:b/>
          <w:color w:val="000000" w:themeColor="text1"/>
          <w:lang w:val="en-US"/>
        </w:rPr>
        <w:t xml:space="preserve">Chairperson </w:t>
      </w:r>
      <w:r w:rsidR="005C28AA" w:rsidRPr="00813D19">
        <w:rPr>
          <w:color w:val="000000" w:themeColor="text1"/>
          <w:lang w:val="en-US"/>
        </w:rPr>
        <w:t xml:space="preserve">noted support from the same </w:t>
      </w:r>
      <w:r w:rsidRPr="00813D19">
        <w:rPr>
          <w:color w:val="000000" w:themeColor="text1"/>
          <w:lang w:val="en-US"/>
        </w:rPr>
        <w:t xml:space="preserve">delegations </w:t>
      </w:r>
      <w:r w:rsidR="005C28AA" w:rsidRPr="00813D19">
        <w:rPr>
          <w:color w:val="000000" w:themeColor="text1"/>
          <w:lang w:val="en-US"/>
        </w:rPr>
        <w:t>that had supported the previous paragraphs, including</w:t>
      </w:r>
      <w:r w:rsidR="005C28AA" w:rsidRPr="00813D19">
        <w:rPr>
          <w:b/>
          <w:color w:val="000000" w:themeColor="text1"/>
          <w:lang w:val="en-US"/>
        </w:rPr>
        <w:t xml:space="preserve"> </w:t>
      </w:r>
      <w:r w:rsidR="00685DAA" w:rsidRPr="00813D19">
        <w:rPr>
          <w:b/>
          <w:color w:val="000000" w:themeColor="text1"/>
          <w:lang w:val="en-US"/>
        </w:rPr>
        <w:t xml:space="preserve">Palestine, Lebanon, Senegal, Sri Lanka, Poland, Cyprus, </w:t>
      </w:r>
      <w:r w:rsidR="00A33E53">
        <w:rPr>
          <w:b/>
          <w:color w:val="000000" w:themeColor="text1"/>
          <w:lang w:val="en-US"/>
        </w:rPr>
        <w:t xml:space="preserve">the </w:t>
      </w:r>
      <w:r w:rsidR="00685DAA" w:rsidRPr="00813D19">
        <w:rPr>
          <w:b/>
          <w:color w:val="000000" w:themeColor="text1"/>
          <w:lang w:val="en-US"/>
        </w:rPr>
        <w:t>Philippines, Colombia,</w:t>
      </w:r>
      <w:r w:rsidRPr="00813D19">
        <w:rPr>
          <w:b/>
          <w:color w:val="000000" w:themeColor="text1"/>
          <w:lang w:val="en-US"/>
        </w:rPr>
        <w:t xml:space="preserve"> Guatemala, Togo, Jamaica, Zambia, Armenia, Cuba, Kazakhstan, Kuwait, Azerbaij</w:t>
      </w:r>
      <w:r w:rsidR="003C500C" w:rsidRPr="00813D19">
        <w:rPr>
          <w:b/>
          <w:color w:val="000000" w:themeColor="text1"/>
          <w:lang w:val="en-US"/>
        </w:rPr>
        <w:t xml:space="preserve">an </w:t>
      </w:r>
      <w:r w:rsidR="003C500C" w:rsidRPr="00813D19">
        <w:rPr>
          <w:color w:val="000000" w:themeColor="text1"/>
          <w:lang w:val="en-US"/>
        </w:rPr>
        <w:t>and</w:t>
      </w:r>
      <w:r w:rsidR="003C500C" w:rsidRPr="00813D19">
        <w:rPr>
          <w:b/>
          <w:color w:val="000000" w:themeColor="text1"/>
          <w:lang w:val="en-US"/>
        </w:rPr>
        <w:t xml:space="preserve"> </w:t>
      </w:r>
      <w:r w:rsidRPr="00813D19">
        <w:rPr>
          <w:b/>
          <w:color w:val="000000" w:themeColor="text1"/>
          <w:lang w:val="en-US"/>
        </w:rPr>
        <w:t>Djibouti</w:t>
      </w:r>
      <w:r w:rsidRPr="00DD4E22">
        <w:rPr>
          <w:bCs/>
          <w:color w:val="000000" w:themeColor="text1"/>
          <w:lang w:val="en-US"/>
        </w:rPr>
        <w:t>.</w:t>
      </w:r>
    </w:p>
    <w:p w14:paraId="74C0D803" w14:textId="3AFC8BF7" w:rsidR="00EB1F1E" w:rsidRPr="00813D19" w:rsidRDefault="00EB1F1E" w:rsidP="003003F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685DAA" w:rsidRPr="00813D19">
        <w:rPr>
          <w:b/>
          <w:color w:val="000000" w:themeColor="text1"/>
          <w:lang w:val="en-US"/>
        </w:rPr>
        <w:t xml:space="preserve"> </w:t>
      </w:r>
      <w:r w:rsidR="005C28AA" w:rsidRPr="00813D19">
        <w:rPr>
          <w:color w:val="000000" w:themeColor="text1"/>
          <w:lang w:val="en-US"/>
        </w:rPr>
        <w:t xml:space="preserve">remarked that the title </w:t>
      </w:r>
      <w:r w:rsidR="005C28AA" w:rsidRPr="00813D19">
        <w:rPr>
          <w:lang w:val="en-US"/>
        </w:rPr>
        <w:t>‘</w:t>
      </w:r>
      <w:r w:rsidR="00F83669" w:rsidRPr="00813D19">
        <w:rPr>
          <w:lang w:val="en-US"/>
        </w:rPr>
        <w:t>Towards a dialogue m</w:t>
      </w:r>
      <w:r w:rsidR="00685DAA" w:rsidRPr="00813D19">
        <w:rPr>
          <w:lang w:val="en-US"/>
        </w:rPr>
        <w:t>echanism</w:t>
      </w:r>
      <w:r w:rsidR="005C28AA" w:rsidRPr="00813D19">
        <w:rPr>
          <w:lang w:val="en-US"/>
        </w:rPr>
        <w:t>’</w:t>
      </w:r>
      <w:r w:rsidR="00685DAA" w:rsidRPr="00813D19">
        <w:rPr>
          <w:lang w:val="en-US"/>
        </w:rPr>
        <w:t xml:space="preserve"> should </w:t>
      </w:r>
      <w:r w:rsidR="006B2014" w:rsidRPr="00813D19">
        <w:rPr>
          <w:lang w:val="en-US"/>
        </w:rPr>
        <w:t xml:space="preserve">be moved from </w:t>
      </w:r>
      <w:r w:rsidR="005C28AA" w:rsidRPr="00813D19">
        <w:rPr>
          <w:lang w:val="en-US"/>
        </w:rPr>
        <w:t xml:space="preserve">paragraph </w:t>
      </w:r>
      <w:r w:rsidR="00DA2F1B" w:rsidRPr="00813D19">
        <w:rPr>
          <w:lang w:val="en-US"/>
        </w:rPr>
        <w:t>15</w:t>
      </w:r>
      <w:r w:rsidR="006B2014" w:rsidRPr="00813D19">
        <w:rPr>
          <w:lang w:val="en-US"/>
        </w:rPr>
        <w:t xml:space="preserve"> </w:t>
      </w:r>
      <w:r w:rsidR="005C28AA" w:rsidRPr="00813D19">
        <w:rPr>
          <w:lang w:val="en-US"/>
        </w:rPr>
        <w:t xml:space="preserve">to precede paragraph </w:t>
      </w:r>
      <w:r w:rsidR="00685DAA" w:rsidRPr="00813D19">
        <w:rPr>
          <w:lang w:val="en-US"/>
        </w:rPr>
        <w:t>14</w:t>
      </w:r>
      <w:r w:rsidR="005C28AA" w:rsidRPr="00813D19">
        <w:rPr>
          <w:lang w:val="en-US"/>
        </w:rPr>
        <w:t xml:space="preserve">, as it referred specifically to </w:t>
      </w:r>
      <w:r w:rsidR="00DD4E22">
        <w:rPr>
          <w:lang w:val="en-US"/>
        </w:rPr>
        <w:t>dialogue.</w:t>
      </w:r>
    </w:p>
    <w:p w14:paraId="27AA166B" w14:textId="37E6AFDA" w:rsidR="00EB1F1E" w:rsidRPr="00813D19" w:rsidRDefault="00EB1F1E" w:rsidP="00D70CA6">
      <w:pPr>
        <w:pStyle w:val="Orateurengris"/>
        <w:spacing w:after="0"/>
        <w:ind w:left="709" w:hanging="709"/>
        <w:rPr>
          <w:color w:val="000000" w:themeColor="text1"/>
          <w:lang w:val="en-US"/>
        </w:rPr>
      </w:pPr>
      <w:r w:rsidRPr="00813D19">
        <w:rPr>
          <w:color w:val="000000" w:themeColor="text1"/>
          <w:lang w:val="en-US"/>
        </w:rPr>
        <w:t>With no further comments,</w:t>
      </w:r>
      <w:r w:rsidRPr="00813D19">
        <w:rPr>
          <w:b/>
          <w:color w:val="000000" w:themeColor="text1"/>
          <w:lang w:val="en-US"/>
        </w:rPr>
        <w:t xml:space="preserve"> the Chairperson declared </w:t>
      </w:r>
      <w:r w:rsidR="00EB6DFA">
        <w:rPr>
          <w:b/>
          <w:color w:val="000000" w:themeColor="text1"/>
          <w:lang w:val="en-US"/>
        </w:rPr>
        <w:t xml:space="preserve">decision </w:t>
      </w:r>
      <w:r w:rsidRPr="00813D19">
        <w:rPr>
          <w:b/>
          <w:color w:val="000000" w:themeColor="text1"/>
          <w:lang w:val="en-US"/>
        </w:rPr>
        <w:t>13.COM 10 adopted</w:t>
      </w:r>
      <w:r w:rsidR="00DD4E22">
        <w:rPr>
          <w:bCs/>
          <w:color w:val="000000" w:themeColor="text1"/>
          <w:lang w:val="en-US"/>
        </w:rPr>
        <w:t>.</w:t>
      </w:r>
    </w:p>
    <w:p w14:paraId="43030E74" w14:textId="099A650D" w:rsidR="00FE7E54" w:rsidRPr="00813D19" w:rsidRDefault="00DD4E22" w:rsidP="00DD4E22">
      <w:pPr>
        <w:pStyle w:val="Orateurengris"/>
        <w:keepNext/>
        <w:numPr>
          <w:ilvl w:val="0"/>
          <w:numId w:val="0"/>
        </w:numPr>
        <w:spacing w:before="360" w:after="60"/>
        <w:outlineLvl w:val="0"/>
        <w:rPr>
          <w:b/>
          <w:color w:val="000000" w:themeColor="text1"/>
          <w:u w:val="single"/>
          <w:lang w:val="en-US"/>
        </w:rPr>
      </w:pPr>
      <w:r>
        <w:rPr>
          <w:b/>
          <w:color w:val="000000" w:themeColor="text1"/>
          <w:u w:val="single"/>
          <w:lang w:val="en-US"/>
        </w:rPr>
        <w:t>ITEM 14 OF THE AGENDA</w:t>
      </w:r>
    </w:p>
    <w:p w14:paraId="0A67DA31" w14:textId="7A0B9D63" w:rsidR="00FE7E54" w:rsidRPr="00813D19" w:rsidRDefault="00FE7E54" w:rsidP="00DD4E22">
      <w:pPr>
        <w:pStyle w:val="Orateurengris"/>
        <w:numPr>
          <w:ilvl w:val="0"/>
          <w:numId w:val="0"/>
        </w:numPr>
        <w:jc w:val="left"/>
        <w:outlineLvl w:val="1"/>
        <w:rPr>
          <w:b/>
          <w:color w:val="000000" w:themeColor="text1"/>
          <w:lang w:val="en-US"/>
        </w:rPr>
      </w:pPr>
      <w:r w:rsidRPr="00813D19">
        <w:rPr>
          <w:b/>
          <w:color w:val="000000" w:themeColor="text1"/>
          <w:lang w:val="en-US"/>
        </w:rPr>
        <w:t>ESTABLISHMENT OF THE EVALUATION BODY FOR THE 2019 CYCLE</w:t>
      </w:r>
    </w:p>
    <w:p w14:paraId="405316E3" w14:textId="519ED6A2" w:rsidR="00FE7E54" w:rsidRPr="00813D19" w:rsidRDefault="00FE7E54" w:rsidP="00DD4E22">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61" w:history="1">
        <w:r w:rsidRPr="00813D19">
          <w:rPr>
            <w:rStyle w:val="Hyperlink"/>
            <w:bCs/>
            <w:i/>
            <w:lang w:val="en-US"/>
          </w:rPr>
          <w:t>ITH/18/13.COM/14</w:t>
        </w:r>
      </w:hyperlink>
    </w:p>
    <w:p w14:paraId="01350B9F" w14:textId="7B5C95A1" w:rsidR="00853121" w:rsidRPr="00813D19" w:rsidRDefault="00FE7E54" w:rsidP="00DD4E22">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DD4E22">
        <w:rPr>
          <w:b/>
          <w:bCs/>
          <w:color w:val="000000" w:themeColor="text1"/>
          <w:lang w:val="en-US"/>
        </w:rPr>
        <w:t>:</w:t>
      </w:r>
      <w:r w:rsidRPr="00813D19">
        <w:rPr>
          <w:color w:val="000000" w:themeColor="text1"/>
          <w:lang w:val="en-US"/>
        </w:rPr>
        <w:tab/>
      </w:r>
      <w:hyperlink r:id="rId162" w:history="1">
        <w:r w:rsidRPr="00813D19">
          <w:rPr>
            <w:rStyle w:val="Hyperlink"/>
            <w:i/>
            <w:lang w:val="en-US"/>
          </w:rPr>
          <w:t>13.COM 14</w:t>
        </w:r>
      </w:hyperlink>
    </w:p>
    <w:p w14:paraId="00D9E01B" w14:textId="7020F871" w:rsidR="00E71E46" w:rsidRPr="00813D19" w:rsidRDefault="00E71E46" w:rsidP="00D70CA6">
      <w:pPr>
        <w:pStyle w:val="Orateurengris"/>
        <w:spacing w:after="0"/>
        <w:ind w:left="709" w:hanging="709"/>
        <w:rPr>
          <w:lang w:val="en-US"/>
        </w:rPr>
      </w:pPr>
      <w:r w:rsidRPr="00813D19">
        <w:rPr>
          <w:rFonts w:eastAsia="Malgun Gothic"/>
          <w:lang w:val="en-US" w:eastAsia="ko-KR"/>
        </w:rPr>
        <w:t xml:space="preserve">The </w:t>
      </w:r>
      <w:r w:rsidRPr="00813D19">
        <w:rPr>
          <w:rFonts w:eastAsia="Malgun Gothic"/>
          <w:b/>
          <w:lang w:val="en-US" w:eastAsia="ko-KR"/>
        </w:rPr>
        <w:t>Chairperson</w:t>
      </w:r>
      <w:r w:rsidRPr="00813D19">
        <w:rPr>
          <w:rFonts w:eastAsia="Malgun Gothic"/>
          <w:lang w:val="en-US" w:eastAsia="ko-KR"/>
        </w:rPr>
        <w:t xml:space="preserve"> </w:t>
      </w:r>
      <w:r w:rsidR="002246EA" w:rsidRPr="00813D19">
        <w:rPr>
          <w:rFonts w:eastAsia="Malgun Gothic"/>
          <w:lang w:val="en-US" w:eastAsia="ko-KR"/>
        </w:rPr>
        <w:t>turned to the next agenda item</w:t>
      </w:r>
      <w:r w:rsidR="00A33E53">
        <w:rPr>
          <w:rFonts w:eastAsia="Malgun Gothic"/>
          <w:lang w:val="en-US" w:eastAsia="ko-KR"/>
        </w:rPr>
        <w:t>, item</w:t>
      </w:r>
      <w:r w:rsidR="002246EA" w:rsidRPr="00813D19">
        <w:rPr>
          <w:rFonts w:eastAsia="Malgun Gothic"/>
          <w:lang w:val="en-US" w:eastAsia="ko-KR"/>
        </w:rPr>
        <w:t xml:space="preserve"> 14, inviting the Secretariat, Ms Fumik</w:t>
      </w:r>
      <w:r w:rsidR="00DD4E22">
        <w:rPr>
          <w:rFonts w:eastAsia="Malgun Gothic"/>
          <w:lang w:val="en-US" w:eastAsia="ko-KR"/>
        </w:rPr>
        <w:t>o Ohinata, to present the item.</w:t>
      </w:r>
    </w:p>
    <w:p w14:paraId="45A8EFF9" w14:textId="3C2D5AF8" w:rsidR="002246EA" w:rsidRPr="00813D19" w:rsidRDefault="00975B35" w:rsidP="004D3397">
      <w:pPr>
        <w:pStyle w:val="Orateurengris"/>
        <w:spacing w:before="120"/>
        <w:ind w:left="709" w:hanging="709"/>
        <w:rPr>
          <w:lang w:val="en-US"/>
        </w:rPr>
      </w:pPr>
      <w:r w:rsidRPr="00813D19">
        <w:rPr>
          <w:rFonts w:eastAsia="Malgun Gothic"/>
          <w:b/>
          <w:lang w:val="en-US" w:eastAsia="ko-KR"/>
        </w:rPr>
        <w:t>Ms Fumiko Ohinata</w:t>
      </w:r>
      <w:r w:rsidR="006A57DB" w:rsidRPr="00813D19">
        <w:rPr>
          <w:rFonts w:eastAsia="Malgun Gothic"/>
          <w:b/>
          <w:lang w:val="en-US" w:eastAsia="ko-KR"/>
        </w:rPr>
        <w:t xml:space="preserve"> </w:t>
      </w:r>
      <w:r w:rsidR="000C094A" w:rsidRPr="00813D19">
        <w:rPr>
          <w:rFonts w:eastAsia="Malgun Gothic"/>
          <w:lang w:val="en-US" w:eastAsia="ko-KR"/>
        </w:rPr>
        <w:t>of the</w:t>
      </w:r>
      <w:r w:rsidR="000C094A" w:rsidRPr="00813D19">
        <w:rPr>
          <w:rFonts w:eastAsia="Malgun Gothic"/>
          <w:b/>
          <w:lang w:val="en-US" w:eastAsia="ko-KR"/>
        </w:rPr>
        <w:t xml:space="preserve"> Secretariat </w:t>
      </w:r>
      <w:r w:rsidR="00E71E46" w:rsidRPr="00813D19">
        <w:rPr>
          <w:rFonts w:eastAsia="Malgun Gothic"/>
          <w:lang w:val="en-US" w:eastAsia="ko-KR"/>
        </w:rPr>
        <w:t xml:space="preserve">explained that </w:t>
      </w:r>
      <w:r w:rsidRPr="00813D19">
        <w:rPr>
          <w:rFonts w:eastAsia="Malgun Gothic"/>
          <w:lang w:val="en-US" w:eastAsia="ko-KR"/>
        </w:rPr>
        <w:t>t</w:t>
      </w:r>
      <w:r w:rsidR="002246EA" w:rsidRPr="00813D19">
        <w:rPr>
          <w:rFonts w:eastAsia="Malgun Gothic"/>
          <w:lang w:val="en-US" w:eastAsia="ko-KR"/>
        </w:rPr>
        <w:t xml:space="preserve">he Committee </w:t>
      </w:r>
      <w:r w:rsidRPr="00813D19">
        <w:rPr>
          <w:rFonts w:eastAsia="Malgun Gothic"/>
          <w:lang w:val="en-US" w:eastAsia="ko-KR"/>
        </w:rPr>
        <w:t>was invited to adopt the terms of r</w:t>
      </w:r>
      <w:r w:rsidR="002246EA" w:rsidRPr="00813D19">
        <w:rPr>
          <w:rFonts w:eastAsia="Malgun Gothic"/>
          <w:lang w:val="en-US" w:eastAsia="ko-KR"/>
        </w:rPr>
        <w:t>eference of t</w:t>
      </w:r>
      <w:r w:rsidRPr="00813D19">
        <w:rPr>
          <w:rFonts w:eastAsia="Malgun Gothic"/>
          <w:lang w:val="en-US" w:eastAsia="ko-KR"/>
        </w:rPr>
        <w:t>he Evaluation Body (Annex 1 to working d</w:t>
      </w:r>
      <w:r w:rsidR="002246EA" w:rsidRPr="00813D19">
        <w:rPr>
          <w:rFonts w:eastAsia="Malgun Gothic"/>
          <w:lang w:val="en-US" w:eastAsia="ko-KR"/>
        </w:rPr>
        <w:t>o</w:t>
      </w:r>
      <w:r w:rsidRPr="00813D19">
        <w:rPr>
          <w:rFonts w:eastAsia="Malgun Gothic"/>
          <w:lang w:val="en-US" w:eastAsia="ko-KR"/>
        </w:rPr>
        <w:t xml:space="preserve">cument 14) and to nominate </w:t>
      </w:r>
      <w:r w:rsidR="002246EA" w:rsidRPr="00813D19">
        <w:rPr>
          <w:rFonts w:eastAsia="Malgun Gothic"/>
          <w:lang w:val="en-US" w:eastAsia="ko-KR"/>
        </w:rPr>
        <w:t xml:space="preserve">two experts and one NGO (in </w:t>
      </w:r>
      <w:r w:rsidRPr="00813D19">
        <w:rPr>
          <w:rFonts w:eastAsia="Malgun Gothic"/>
          <w:lang w:val="en-US" w:eastAsia="ko-KR"/>
        </w:rPr>
        <w:t xml:space="preserve">conformity with Decision </w:t>
      </w:r>
      <w:hyperlink r:id="rId163" w:history="1">
        <w:r w:rsidRPr="00813D19">
          <w:rPr>
            <w:rStyle w:val="Hyperlink"/>
            <w:rFonts w:eastAsia="Malgun Gothic"/>
            <w:lang w:val="en-US" w:eastAsia="ko-KR"/>
          </w:rPr>
          <w:t>9.COM 11</w:t>
        </w:r>
      </w:hyperlink>
      <w:r w:rsidRPr="00813D19">
        <w:rPr>
          <w:rFonts w:eastAsia="Malgun Gothic"/>
          <w:lang w:val="en-US" w:eastAsia="ko-KR"/>
        </w:rPr>
        <w:t xml:space="preserve">) with one expert from </w:t>
      </w:r>
      <w:r w:rsidR="002246EA" w:rsidRPr="00813D19">
        <w:rPr>
          <w:rFonts w:eastAsia="Malgun Gothic"/>
          <w:lang w:val="en-US" w:eastAsia="ko-KR"/>
        </w:rPr>
        <w:t>Electoral Group I</w:t>
      </w:r>
      <w:r w:rsidRPr="00813D19">
        <w:rPr>
          <w:rFonts w:eastAsia="Malgun Gothic"/>
          <w:lang w:val="en-US" w:eastAsia="ko-KR"/>
        </w:rPr>
        <w:t>, one expert from</w:t>
      </w:r>
      <w:r w:rsidR="002B7AC5" w:rsidRPr="00813D19">
        <w:rPr>
          <w:rFonts w:eastAsia="Malgun Gothic"/>
          <w:lang w:val="en-US" w:eastAsia="ko-KR"/>
        </w:rPr>
        <w:t xml:space="preserve"> Electoral Group II</w:t>
      </w:r>
      <w:r w:rsidRPr="00813D19">
        <w:rPr>
          <w:rFonts w:eastAsia="Malgun Gothic"/>
          <w:lang w:val="en-US" w:eastAsia="ko-KR"/>
        </w:rPr>
        <w:t xml:space="preserve">, and one </w:t>
      </w:r>
      <w:r w:rsidR="009E7FDC" w:rsidRPr="00813D19">
        <w:rPr>
          <w:rFonts w:eastAsia="Malgun Gothic"/>
          <w:lang w:val="en-US" w:eastAsia="ko-KR"/>
        </w:rPr>
        <w:t>NGO from Electo</w:t>
      </w:r>
      <w:r w:rsidR="002B7AC5" w:rsidRPr="00813D19">
        <w:rPr>
          <w:rFonts w:eastAsia="Malgun Gothic"/>
          <w:lang w:val="en-US" w:eastAsia="ko-KR"/>
        </w:rPr>
        <w:t>ral Group V</w:t>
      </w:r>
      <w:r w:rsidR="00EB6DFA">
        <w:rPr>
          <w:rFonts w:eastAsia="Malgun Gothic"/>
          <w:lang w:val="en-US" w:eastAsia="ko-KR"/>
        </w:rPr>
        <w:t>(a)</w:t>
      </w:r>
      <w:r w:rsidR="002B7AC5" w:rsidRPr="00813D19">
        <w:rPr>
          <w:rFonts w:eastAsia="Malgun Gothic"/>
          <w:lang w:val="en-US" w:eastAsia="ko-KR"/>
        </w:rPr>
        <w:t xml:space="preserve"> (</w:t>
      </w:r>
      <w:r w:rsidR="009E7FDC" w:rsidRPr="00813D19">
        <w:rPr>
          <w:rFonts w:eastAsia="Malgun Gothic"/>
          <w:lang w:val="en-US" w:eastAsia="ko-KR"/>
        </w:rPr>
        <w:t xml:space="preserve">as well as to re-elect </w:t>
      </w:r>
      <w:r w:rsidR="002246EA" w:rsidRPr="00813D19">
        <w:rPr>
          <w:rFonts w:eastAsia="Malgun Gothic"/>
          <w:lang w:val="en-US" w:eastAsia="ko-KR"/>
        </w:rPr>
        <w:t xml:space="preserve">the nine </w:t>
      </w:r>
      <w:r w:rsidR="009E7FDC" w:rsidRPr="00813D19">
        <w:rPr>
          <w:rFonts w:eastAsia="Malgun Gothic"/>
          <w:lang w:val="en-US" w:eastAsia="ko-KR"/>
        </w:rPr>
        <w:t xml:space="preserve">elected </w:t>
      </w:r>
      <w:r w:rsidR="002246EA" w:rsidRPr="00813D19">
        <w:rPr>
          <w:rFonts w:eastAsia="Malgun Gothic"/>
          <w:lang w:val="en-US" w:eastAsia="ko-KR"/>
        </w:rPr>
        <w:t xml:space="preserve">members </w:t>
      </w:r>
      <w:r w:rsidR="009E7FDC" w:rsidRPr="00813D19">
        <w:rPr>
          <w:rFonts w:eastAsia="Malgun Gothic"/>
          <w:lang w:val="en-US" w:eastAsia="ko-KR"/>
        </w:rPr>
        <w:t xml:space="preserve">of the preceding </w:t>
      </w:r>
      <w:r w:rsidR="002246EA" w:rsidRPr="00813D19">
        <w:rPr>
          <w:rFonts w:eastAsia="Malgun Gothic"/>
          <w:lang w:val="en-US" w:eastAsia="ko-KR"/>
        </w:rPr>
        <w:t>years</w:t>
      </w:r>
      <w:r w:rsidR="00052039" w:rsidRPr="00813D19">
        <w:rPr>
          <w:rFonts w:eastAsia="Malgun Gothic"/>
          <w:lang w:val="en-US" w:eastAsia="ko-KR"/>
        </w:rPr>
        <w:t>)</w:t>
      </w:r>
      <w:r w:rsidR="002246EA" w:rsidRPr="00813D19">
        <w:rPr>
          <w:rFonts w:eastAsia="Malgun Gothic"/>
          <w:lang w:val="en-US" w:eastAsia="ko-KR"/>
        </w:rPr>
        <w:t xml:space="preserve">. </w:t>
      </w:r>
      <w:r w:rsidR="009E7FDC" w:rsidRPr="00813D19">
        <w:rPr>
          <w:rFonts w:eastAsia="Malgun Gothic"/>
          <w:color w:val="000000" w:themeColor="text1"/>
          <w:lang w:val="en-US" w:eastAsia="ko-KR"/>
        </w:rPr>
        <w:t xml:space="preserve">Ms Ohinata informed the Committee that: i) </w:t>
      </w:r>
      <w:r w:rsidR="009E7FDC" w:rsidRPr="00813D19">
        <w:rPr>
          <w:rFonts w:eastAsia="Malgun Gothic"/>
          <w:lang w:val="en-US" w:eastAsia="ko-KR"/>
        </w:rPr>
        <w:t>candidates had</w:t>
      </w:r>
      <w:r w:rsidR="002246EA" w:rsidRPr="00813D19">
        <w:rPr>
          <w:rFonts w:eastAsia="Malgun Gothic"/>
          <w:lang w:val="en-US" w:eastAsia="ko-KR"/>
        </w:rPr>
        <w:t xml:space="preserve"> been </w:t>
      </w:r>
      <w:r w:rsidR="009E7FDC" w:rsidRPr="00813D19">
        <w:rPr>
          <w:rFonts w:eastAsia="Malgun Gothic"/>
          <w:lang w:val="en-US" w:eastAsia="ko-KR"/>
        </w:rPr>
        <w:t>proposed by States Parties</w:t>
      </w:r>
      <w:r w:rsidR="002246EA" w:rsidRPr="00813D19">
        <w:rPr>
          <w:rFonts w:eastAsia="Malgun Gothic"/>
          <w:lang w:val="en-US" w:eastAsia="ko-KR"/>
        </w:rPr>
        <w:t xml:space="preserve"> through the </w:t>
      </w:r>
      <w:r w:rsidR="009E7FDC" w:rsidRPr="00813D19">
        <w:rPr>
          <w:rFonts w:eastAsia="Malgun Gothic"/>
          <w:lang w:val="en-US" w:eastAsia="ko-KR"/>
        </w:rPr>
        <w:t>Chairperson of each Electoral Group; ii) a</w:t>
      </w:r>
      <w:r w:rsidR="002246EA" w:rsidRPr="00813D19">
        <w:rPr>
          <w:rFonts w:eastAsia="Malgun Gothic"/>
          <w:lang w:val="en-US" w:eastAsia="ko-KR"/>
        </w:rPr>
        <w:t xml:space="preserve">ccording to </w:t>
      </w:r>
      <w:r w:rsidR="00A33E53">
        <w:rPr>
          <w:rFonts w:eastAsia="Malgun Gothic"/>
          <w:lang w:val="en-US" w:eastAsia="ko-KR"/>
        </w:rPr>
        <w:t>D</w:t>
      </w:r>
      <w:r w:rsidR="00A33E53" w:rsidRPr="00813D19">
        <w:rPr>
          <w:rFonts w:eastAsia="Malgun Gothic"/>
          <w:lang w:val="en-US" w:eastAsia="ko-KR"/>
        </w:rPr>
        <w:t xml:space="preserve">ecision </w:t>
      </w:r>
      <w:r w:rsidR="002246EA" w:rsidRPr="00813D19">
        <w:rPr>
          <w:rFonts w:eastAsia="Malgun Gothic"/>
          <w:lang w:val="en-US" w:eastAsia="ko-KR"/>
        </w:rPr>
        <w:t xml:space="preserve">9.COM 11, States </w:t>
      </w:r>
      <w:r w:rsidR="009E7FDC" w:rsidRPr="00813D19">
        <w:rPr>
          <w:rFonts w:eastAsia="Malgun Gothic"/>
          <w:lang w:val="en-US" w:eastAsia="ko-KR"/>
        </w:rPr>
        <w:t>were</w:t>
      </w:r>
      <w:r w:rsidR="002246EA" w:rsidRPr="00813D19">
        <w:rPr>
          <w:rFonts w:eastAsia="Malgun Gothic"/>
          <w:lang w:val="en-US" w:eastAsia="ko-KR"/>
        </w:rPr>
        <w:t xml:space="preserve"> encouraged to ensure that at least two nominations </w:t>
      </w:r>
      <w:r w:rsidR="009E7FDC" w:rsidRPr="00813D19">
        <w:rPr>
          <w:rFonts w:eastAsia="Malgun Gothic"/>
          <w:lang w:val="en-US" w:eastAsia="ko-KR"/>
        </w:rPr>
        <w:t>were sent by the Chairperson of the Electoral G</w:t>
      </w:r>
      <w:r w:rsidR="002246EA" w:rsidRPr="00813D19">
        <w:rPr>
          <w:rFonts w:eastAsia="Malgun Gothic"/>
          <w:lang w:val="en-US" w:eastAsia="ko-KR"/>
        </w:rPr>
        <w:t>roup</w:t>
      </w:r>
      <w:r w:rsidR="009E7FDC" w:rsidRPr="00813D19">
        <w:rPr>
          <w:rFonts w:eastAsia="Malgun Gothic"/>
          <w:lang w:val="en-US" w:eastAsia="ko-KR"/>
        </w:rPr>
        <w:t>; and iii)</w:t>
      </w:r>
      <w:r w:rsidR="002246EA" w:rsidRPr="00813D19">
        <w:rPr>
          <w:rFonts w:eastAsia="Malgun Gothic"/>
          <w:lang w:val="en-US" w:eastAsia="ko-KR"/>
        </w:rPr>
        <w:t xml:space="preserve"> in accordance with paragraph 28 of the Operational Directives, </w:t>
      </w:r>
      <w:r w:rsidR="009E7FDC" w:rsidRPr="00813D19">
        <w:rPr>
          <w:rFonts w:eastAsia="Malgun Gothic"/>
          <w:lang w:val="en-US" w:eastAsia="ko-KR"/>
        </w:rPr>
        <w:t xml:space="preserve">a maximum of </w:t>
      </w:r>
      <w:r w:rsidR="002246EA" w:rsidRPr="00813D19">
        <w:rPr>
          <w:rFonts w:eastAsia="Malgun Gothic"/>
          <w:lang w:val="en-US" w:eastAsia="ko-KR"/>
        </w:rPr>
        <w:t xml:space="preserve">three candidates </w:t>
      </w:r>
      <w:r w:rsidR="009E7FDC" w:rsidRPr="00813D19">
        <w:rPr>
          <w:rFonts w:eastAsia="Malgun Gothic"/>
          <w:lang w:val="en-US" w:eastAsia="ko-KR"/>
        </w:rPr>
        <w:t>could</w:t>
      </w:r>
      <w:r w:rsidR="002246EA" w:rsidRPr="00813D19">
        <w:rPr>
          <w:rFonts w:eastAsia="Malgun Gothic"/>
          <w:lang w:val="en-US" w:eastAsia="ko-KR"/>
        </w:rPr>
        <w:t xml:space="preserve"> be nominated. </w:t>
      </w:r>
      <w:r w:rsidR="009E7FDC" w:rsidRPr="00813D19">
        <w:rPr>
          <w:rFonts w:eastAsia="Malgun Gothic"/>
          <w:lang w:val="en-US" w:eastAsia="ko-KR"/>
        </w:rPr>
        <w:t>The candidatures received by Electoral Group included:</w:t>
      </w:r>
      <w:r w:rsidR="002246EA" w:rsidRPr="00813D19">
        <w:rPr>
          <w:rFonts w:eastAsia="Malgun Gothic"/>
          <w:lang w:val="en-US" w:eastAsia="ko-KR"/>
        </w:rPr>
        <w:t xml:space="preserve"> </w:t>
      </w:r>
      <w:r w:rsidR="009E7FDC" w:rsidRPr="00813D19">
        <w:rPr>
          <w:rFonts w:eastAsia="Malgun Gothic"/>
          <w:lang w:val="en-US" w:eastAsia="ko-KR"/>
        </w:rPr>
        <w:t>i) two experts from Electoral Group I; ii)</w:t>
      </w:r>
      <w:r w:rsidR="002246EA" w:rsidRPr="00813D19">
        <w:rPr>
          <w:rFonts w:eastAsia="Malgun Gothic"/>
          <w:lang w:val="en-US" w:eastAsia="ko-KR"/>
        </w:rPr>
        <w:t xml:space="preserve"> </w:t>
      </w:r>
      <w:r w:rsidR="009E7FDC" w:rsidRPr="00813D19">
        <w:rPr>
          <w:rFonts w:eastAsia="Malgun Gothic"/>
          <w:lang w:val="en-US" w:eastAsia="ko-KR"/>
        </w:rPr>
        <w:t xml:space="preserve">three </w:t>
      </w:r>
      <w:r w:rsidR="002246EA" w:rsidRPr="00813D19">
        <w:rPr>
          <w:rFonts w:eastAsia="Malgun Gothic"/>
          <w:lang w:val="en-US" w:eastAsia="ko-KR"/>
        </w:rPr>
        <w:t xml:space="preserve">experts from </w:t>
      </w:r>
      <w:r w:rsidR="009E7FDC" w:rsidRPr="00813D19">
        <w:rPr>
          <w:rFonts w:eastAsia="Malgun Gothic"/>
          <w:lang w:val="en-US" w:eastAsia="ko-KR"/>
        </w:rPr>
        <w:t xml:space="preserve">Electoral Group II; and iii) three </w:t>
      </w:r>
      <w:r w:rsidR="002246EA" w:rsidRPr="00813D19">
        <w:rPr>
          <w:rFonts w:eastAsia="Malgun Gothic"/>
          <w:lang w:val="en-US" w:eastAsia="ko-KR"/>
        </w:rPr>
        <w:t xml:space="preserve">NGOs from </w:t>
      </w:r>
      <w:r w:rsidR="009E7FDC" w:rsidRPr="00813D19">
        <w:rPr>
          <w:rFonts w:eastAsia="Malgun Gothic"/>
          <w:lang w:val="en-US" w:eastAsia="ko-KR"/>
        </w:rPr>
        <w:t>Electoral Group V(a). Annex 2 of d</w:t>
      </w:r>
      <w:r w:rsidR="00052039" w:rsidRPr="00813D19">
        <w:rPr>
          <w:rFonts w:eastAsia="Malgun Gothic"/>
          <w:lang w:val="en-US" w:eastAsia="ko-KR"/>
        </w:rPr>
        <w:t>ocument 14 listed</w:t>
      </w:r>
      <w:r w:rsidR="002246EA" w:rsidRPr="00813D19">
        <w:rPr>
          <w:rFonts w:eastAsia="Malgun Gothic"/>
          <w:lang w:val="en-US" w:eastAsia="ko-KR"/>
        </w:rPr>
        <w:t xml:space="preserve"> </w:t>
      </w:r>
      <w:r w:rsidR="009E7FDC" w:rsidRPr="00813D19">
        <w:rPr>
          <w:rFonts w:eastAsia="Malgun Gothic"/>
          <w:lang w:val="en-US" w:eastAsia="ko-KR"/>
        </w:rPr>
        <w:t xml:space="preserve">the </w:t>
      </w:r>
      <w:r w:rsidR="002246EA" w:rsidRPr="00813D19">
        <w:rPr>
          <w:rFonts w:eastAsia="Malgun Gothic"/>
          <w:lang w:val="en-US" w:eastAsia="ko-KR"/>
        </w:rPr>
        <w:t xml:space="preserve">candidates, </w:t>
      </w:r>
      <w:r w:rsidR="009E7FDC" w:rsidRPr="00813D19">
        <w:rPr>
          <w:rFonts w:eastAsia="Malgun Gothic"/>
          <w:lang w:val="en-US" w:eastAsia="ko-KR"/>
        </w:rPr>
        <w:t xml:space="preserve">the </w:t>
      </w:r>
      <w:r w:rsidR="002246EA" w:rsidRPr="00813D19">
        <w:rPr>
          <w:rFonts w:eastAsia="Malgun Gothic"/>
          <w:lang w:val="en-US" w:eastAsia="ko-KR"/>
        </w:rPr>
        <w:t>expert</w:t>
      </w:r>
      <w:r w:rsidR="009E7FDC" w:rsidRPr="00813D19">
        <w:rPr>
          <w:rFonts w:eastAsia="Malgun Gothic"/>
          <w:lang w:val="en-US" w:eastAsia="ko-KR"/>
        </w:rPr>
        <w:t>s’</w:t>
      </w:r>
      <w:r w:rsidR="002246EA" w:rsidRPr="00813D19">
        <w:rPr>
          <w:rFonts w:eastAsia="Malgun Gothic"/>
          <w:lang w:val="en-US" w:eastAsia="ko-KR"/>
        </w:rPr>
        <w:t xml:space="preserve"> CVs and </w:t>
      </w:r>
      <w:r w:rsidR="009E7FDC" w:rsidRPr="00813D19">
        <w:rPr>
          <w:rFonts w:eastAsia="Malgun Gothic"/>
          <w:lang w:val="en-US" w:eastAsia="ko-KR"/>
        </w:rPr>
        <w:t xml:space="preserve">associated </w:t>
      </w:r>
      <w:r w:rsidR="002246EA" w:rsidRPr="00813D19">
        <w:rPr>
          <w:rFonts w:eastAsia="Malgun Gothic"/>
          <w:lang w:val="en-US" w:eastAsia="ko-KR"/>
        </w:rPr>
        <w:t>websites</w:t>
      </w:r>
      <w:r w:rsidR="009E7FDC" w:rsidRPr="00813D19">
        <w:rPr>
          <w:rFonts w:eastAsia="Malgun Gothic"/>
          <w:lang w:val="en-US" w:eastAsia="ko-KR"/>
        </w:rPr>
        <w:t>,</w:t>
      </w:r>
      <w:r w:rsidR="002246EA" w:rsidRPr="00813D19">
        <w:rPr>
          <w:rFonts w:eastAsia="Malgun Gothic"/>
          <w:lang w:val="en-US" w:eastAsia="ko-KR"/>
        </w:rPr>
        <w:t xml:space="preserve"> and NGO accreditation </w:t>
      </w:r>
      <w:r w:rsidR="009E7FDC" w:rsidRPr="00813D19">
        <w:rPr>
          <w:rFonts w:eastAsia="Malgun Gothic"/>
          <w:lang w:val="en-US" w:eastAsia="ko-KR"/>
        </w:rPr>
        <w:t>requests</w:t>
      </w:r>
      <w:r w:rsidR="002246EA" w:rsidRPr="00813D19">
        <w:rPr>
          <w:rFonts w:eastAsia="Malgun Gothic"/>
          <w:lang w:val="en-US" w:eastAsia="ko-KR"/>
        </w:rPr>
        <w:t>.</w:t>
      </w:r>
    </w:p>
    <w:p w14:paraId="3D64CDC3" w14:textId="58F641CC" w:rsidR="008B3EE5" w:rsidRPr="00813D19" w:rsidRDefault="007A09B9" w:rsidP="007A09B9">
      <w:pPr>
        <w:pStyle w:val="Orateurengris"/>
        <w:spacing w:before="120"/>
        <w:ind w:left="709" w:hanging="709"/>
        <w:rPr>
          <w:rFonts w:eastAsia="Malgun Gothic"/>
          <w:lang w:val="en-US" w:eastAsia="ko-KR"/>
        </w:rPr>
      </w:pPr>
      <w:r w:rsidRPr="00813D19">
        <w:rPr>
          <w:rFonts w:eastAsia="Malgun Gothic"/>
          <w:lang w:val="en-US" w:eastAsia="ko-KR"/>
        </w:rPr>
        <w:t xml:space="preserve">The </w:t>
      </w:r>
      <w:r w:rsidRPr="00813D19">
        <w:rPr>
          <w:rFonts w:eastAsia="Malgun Gothic"/>
          <w:b/>
          <w:lang w:val="en-US" w:eastAsia="ko-KR"/>
        </w:rPr>
        <w:t>Chairperson</w:t>
      </w:r>
      <w:r w:rsidRPr="00813D19">
        <w:rPr>
          <w:rFonts w:eastAsia="Malgun Gothic"/>
          <w:lang w:val="en-US" w:eastAsia="ko-KR"/>
        </w:rPr>
        <w:t xml:space="preserve"> </w:t>
      </w:r>
      <w:r w:rsidRPr="00813D19">
        <w:rPr>
          <w:rFonts w:eastAsia="Malgun Gothic" w:hint="eastAsia"/>
          <w:lang w:val="en-US" w:eastAsia="ko-KR"/>
        </w:rPr>
        <w:t>propose</w:t>
      </w:r>
      <w:r w:rsidR="00C84F2C" w:rsidRPr="00813D19">
        <w:rPr>
          <w:rFonts w:eastAsia="Malgun Gothic"/>
          <w:lang w:val="en-US" w:eastAsia="ko-KR"/>
        </w:rPr>
        <w:t>d</w:t>
      </w:r>
      <w:r w:rsidRPr="00813D19">
        <w:rPr>
          <w:rFonts w:eastAsia="Malgun Gothic" w:hint="eastAsia"/>
          <w:lang w:val="en-US" w:eastAsia="ko-KR"/>
        </w:rPr>
        <w:t xml:space="preserve"> proceed</w:t>
      </w:r>
      <w:r w:rsidR="00A33E53">
        <w:rPr>
          <w:rFonts w:eastAsia="Malgun Gothic"/>
          <w:lang w:val="en-US" w:eastAsia="ko-KR"/>
        </w:rPr>
        <w:t>ing</w:t>
      </w:r>
      <w:r w:rsidRPr="00813D19">
        <w:rPr>
          <w:rFonts w:eastAsia="Malgun Gothic" w:hint="eastAsia"/>
          <w:lang w:val="en-US" w:eastAsia="ko-KR"/>
        </w:rPr>
        <w:t xml:space="preserve"> in the order in which the Secretary introduced </w:t>
      </w:r>
      <w:r w:rsidR="002B7AC5" w:rsidRPr="00813D19">
        <w:rPr>
          <w:rFonts w:eastAsia="Malgun Gothic"/>
          <w:lang w:val="en-US" w:eastAsia="ko-KR"/>
        </w:rPr>
        <w:t>the</w:t>
      </w:r>
      <w:r w:rsidR="006F368F" w:rsidRPr="00813D19">
        <w:rPr>
          <w:rFonts w:eastAsia="Malgun Gothic" w:hint="eastAsia"/>
          <w:lang w:val="en-US" w:eastAsia="ko-KR"/>
        </w:rPr>
        <w:t xml:space="preserve"> work </w:t>
      </w:r>
      <w:r w:rsidR="006F368F" w:rsidRPr="00813D19">
        <w:rPr>
          <w:rFonts w:eastAsia="Malgun Gothic"/>
          <w:lang w:val="en-US" w:eastAsia="ko-KR"/>
        </w:rPr>
        <w:t>b</w:t>
      </w:r>
      <w:r w:rsidRPr="00813D19">
        <w:rPr>
          <w:rFonts w:eastAsia="Malgun Gothic"/>
          <w:lang w:val="en-US" w:eastAsia="ko-KR"/>
        </w:rPr>
        <w:t xml:space="preserve">y </w:t>
      </w:r>
      <w:r w:rsidR="006F368F" w:rsidRPr="00813D19">
        <w:rPr>
          <w:rFonts w:eastAsia="Malgun Gothic"/>
          <w:lang w:val="en-US" w:eastAsia="ko-KR"/>
        </w:rPr>
        <w:t xml:space="preserve">first </w:t>
      </w:r>
      <w:r w:rsidRPr="00813D19">
        <w:rPr>
          <w:rFonts w:eastAsia="Malgun Gothic"/>
          <w:lang w:val="en-US" w:eastAsia="ko-KR"/>
        </w:rPr>
        <w:t xml:space="preserve">looking </w:t>
      </w:r>
      <w:r w:rsidRPr="00813D19">
        <w:rPr>
          <w:rFonts w:eastAsia="Malgun Gothic" w:hint="eastAsia"/>
          <w:lang w:val="en-US" w:eastAsia="ko-KR"/>
        </w:rPr>
        <w:t xml:space="preserve">at the terms of reference, </w:t>
      </w:r>
      <w:r w:rsidR="006F368F" w:rsidRPr="00813D19">
        <w:rPr>
          <w:rFonts w:eastAsia="Malgun Gothic"/>
          <w:lang w:val="en-US" w:eastAsia="ko-KR"/>
        </w:rPr>
        <w:t>before p</w:t>
      </w:r>
      <w:r w:rsidRPr="00813D19">
        <w:rPr>
          <w:rFonts w:eastAsia="Malgun Gothic" w:hint="eastAsia"/>
          <w:lang w:val="en-US" w:eastAsia="ko-KR"/>
        </w:rPr>
        <w:t>roceed</w:t>
      </w:r>
      <w:r w:rsidRPr="00813D19">
        <w:rPr>
          <w:rFonts w:eastAsia="Malgun Gothic"/>
          <w:lang w:val="en-US" w:eastAsia="ko-KR"/>
        </w:rPr>
        <w:t>ing</w:t>
      </w:r>
      <w:r w:rsidRPr="00813D19">
        <w:rPr>
          <w:rFonts w:eastAsia="Malgun Gothic" w:hint="eastAsia"/>
          <w:lang w:val="en-US" w:eastAsia="ko-KR"/>
        </w:rPr>
        <w:t xml:space="preserve"> </w:t>
      </w:r>
      <w:r w:rsidR="006F368F" w:rsidRPr="00813D19">
        <w:rPr>
          <w:rFonts w:eastAsia="Malgun Gothic"/>
          <w:lang w:val="en-US" w:eastAsia="ko-KR"/>
        </w:rPr>
        <w:t xml:space="preserve">with the </w:t>
      </w:r>
      <w:r w:rsidRPr="00813D19">
        <w:rPr>
          <w:rFonts w:eastAsia="Malgun Gothic" w:hint="eastAsia"/>
          <w:lang w:val="en-US" w:eastAsia="ko-KR"/>
        </w:rPr>
        <w:t>appointment of the three new members of the Evaluation Body.</w:t>
      </w:r>
      <w:r w:rsidRPr="00813D19">
        <w:rPr>
          <w:rFonts w:eastAsia="Malgun Gothic"/>
          <w:lang w:val="en-US" w:eastAsia="ko-KR"/>
        </w:rPr>
        <w:t xml:space="preserve"> In accordance </w:t>
      </w:r>
      <w:r w:rsidR="00A33E53">
        <w:rPr>
          <w:rFonts w:eastAsia="Malgun Gothic"/>
          <w:lang w:val="en-US" w:eastAsia="ko-KR"/>
        </w:rPr>
        <w:t>with</w:t>
      </w:r>
      <w:r w:rsidR="00A33E53" w:rsidRPr="00813D19">
        <w:rPr>
          <w:rFonts w:eastAsia="Malgun Gothic"/>
          <w:lang w:val="en-US" w:eastAsia="ko-KR"/>
        </w:rPr>
        <w:t xml:space="preserve"> </w:t>
      </w:r>
      <w:r w:rsidR="006F368F" w:rsidRPr="00813D19">
        <w:rPr>
          <w:rFonts w:eastAsia="Malgun Gothic"/>
          <w:lang w:val="en-US" w:eastAsia="ko-KR"/>
        </w:rPr>
        <w:t xml:space="preserve">the Committee’s </w:t>
      </w:r>
      <w:r w:rsidRPr="00813D19">
        <w:rPr>
          <w:rFonts w:eastAsia="Malgun Gothic"/>
          <w:lang w:val="en-US" w:eastAsia="ko-KR"/>
        </w:rPr>
        <w:t>Rules of Procedure and in particular Section</w:t>
      </w:r>
      <w:r w:rsidRPr="00813D19">
        <w:rPr>
          <w:rFonts w:eastAsia="Malgun Gothic" w:hint="eastAsia"/>
          <w:lang w:val="en-US" w:eastAsia="ko-KR"/>
        </w:rPr>
        <w:t xml:space="preserve"> B of Rule 39, </w:t>
      </w:r>
      <w:r w:rsidR="006F368F" w:rsidRPr="00813D19">
        <w:rPr>
          <w:rFonts w:eastAsia="Malgun Gothic"/>
          <w:lang w:val="en-US" w:eastAsia="ko-KR"/>
        </w:rPr>
        <w:t xml:space="preserve">the Committee would </w:t>
      </w:r>
      <w:r w:rsidRPr="00813D19">
        <w:rPr>
          <w:rFonts w:eastAsia="Malgun Gothic" w:hint="eastAsia"/>
          <w:lang w:val="en-US" w:eastAsia="ko-KR"/>
        </w:rPr>
        <w:t xml:space="preserve">proceed with a vote by secret ballot to </w:t>
      </w:r>
      <w:r w:rsidR="006F368F" w:rsidRPr="00813D19">
        <w:rPr>
          <w:rFonts w:eastAsia="Malgun Gothic"/>
          <w:lang w:val="en-US" w:eastAsia="ko-KR"/>
        </w:rPr>
        <w:t xml:space="preserve">elect </w:t>
      </w:r>
      <w:r w:rsidRPr="00813D19">
        <w:rPr>
          <w:rFonts w:eastAsia="Malgun Gothic" w:hint="eastAsia"/>
          <w:lang w:val="en-US" w:eastAsia="ko-KR"/>
        </w:rPr>
        <w:t xml:space="preserve">the </w:t>
      </w:r>
      <w:r w:rsidRPr="00813D19">
        <w:rPr>
          <w:rFonts w:eastAsia="Malgun Gothic"/>
          <w:lang w:val="en-US" w:eastAsia="ko-KR"/>
        </w:rPr>
        <w:t>three</w:t>
      </w:r>
      <w:r w:rsidRPr="00813D19">
        <w:rPr>
          <w:rFonts w:eastAsia="Malgun Gothic" w:hint="eastAsia"/>
          <w:lang w:val="en-US" w:eastAsia="ko-KR"/>
        </w:rPr>
        <w:t xml:space="preserve"> new members of the Evaluation Body. </w:t>
      </w:r>
      <w:r w:rsidR="006F368F" w:rsidRPr="00813D19">
        <w:rPr>
          <w:rFonts w:eastAsia="Malgun Gothic" w:hint="eastAsia"/>
          <w:color w:val="000000" w:themeColor="text1"/>
          <w:lang w:val="en-US" w:eastAsia="ko-KR"/>
        </w:rPr>
        <w:t xml:space="preserve">The terms of reference </w:t>
      </w:r>
      <w:r w:rsidR="006F368F" w:rsidRPr="00813D19">
        <w:rPr>
          <w:rFonts w:eastAsia="Malgun Gothic"/>
          <w:color w:val="000000" w:themeColor="text1"/>
          <w:lang w:val="en-US" w:eastAsia="ko-KR"/>
        </w:rPr>
        <w:t xml:space="preserve">of the Evaluation Body in Annex 1 </w:t>
      </w:r>
      <w:r w:rsidR="00A33E53" w:rsidRPr="00813D19">
        <w:rPr>
          <w:rFonts w:eastAsia="Malgun Gothic"/>
          <w:color w:val="000000" w:themeColor="text1"/>
          <w:lang w:val="en-US" w:eastAsia="ko-KR"/>
        </w:rPr>
        <w:t>w</w:t>
      </w:r>
      <w:r w:rsidR="00A33E53">
        <w:rPr>
          <w:rFonts w:eastAsia="Malgun Gothic"/>
          <w:color w:val="000000" w:themeColor="text1"/>
          <w:lang w:val="en-US" w:eastAsia="ko-KR"/>
        </w:rPr>
        <w:t>ere</w:t>
      </w:r>
      <w:r w:rsidR="00A33E53" w:rsidRPr="00813D19">
        <w:rPr>
          <w:rFonts w:eastAsia="Malgun Gothic"/>
          <w:color w:val="000000" w:themeColor="text1"/>
          <w:lang w:val="en-US" w:eastAsia="ko-KR"/>
        </w:rPr>
        <w:t xml:space="preserve"> </w:t>
      </w:r>
      <w:r w:rsidR="006F368F" w:rsidRPr="00813D19">
        <w:rPr>
          <w:rFonts w:eastAsia="Malgun Gothic"/>
          <w:color w:val="000000" w:themeColor="text1"/>
          <w:lang w:val="en-US" w:eastAsia="ko-KR"/>
        </w:rPr>
        <w:t>shown on the screen</w:t>
      </w:r>
      <w:r w:rsidR="008B3EE5" w:rsidRPr="00813D19">
        <w:rPr>
          <w:rFonts w:eastAsia="Malgun Gothic"/>
          <w:lang w:val="en-US" w:eastAsia="ko-KR"/>
        </w:rPr>
        <w:t>.</w:t>
      </w:r>
    </w:p>
    <w:p w14:paraId="3570E370" w14:textId="7A471E4D" w:rsidR="00A5402D" w:rsidRPr="00813D19" w:rsidRDefault="008B3EE5" w:rsidP="007A09B9">
      <w:pPr>
        <w:pStyle w:val="Orateurengris"/>
        <w:spacing w:before="120"/>
        <w:ind w:left="709" w:hanging="709"/>
        <w:rPr>
          <w:rFonts w:eastAsia="Malgun Gothic"/>
          <w:lang w:val="en-US" w:eastAsia="ko-KR"/>
        </w:rPr>
      </w:pPr>
      <w:r w:rsidRPr="00813D19">
        <w:rPr>
          <w:rFonts w:eastAsia="Malgun Gothic"/>
          <w:lang w:val="en-US" w:eastAsia="ko-KR"/>
        </w:rPr>
        <w:t xml:space="preserve">The </w:t>
      </w:r>
      <w:r w:rsidRPr="00813D19">
        <w:rPr>
          <w:rFonts w:eastAsia="Malgun Gothic"/>
          <w:b/>
          <w:lang w:val="en-US" w:eastAsia="ko-KR"/>
        </w:rPr>
        <w:t>delegation of Palestine</w:t>
      </w:r>
      <w:r w:rsidR="00977094" w:rsidRPr="00813D19">
        <w:rPr>
          <w:rFonts w:eastAsia="Malgun Gothic"/>
          <w:lang w:val="en-US" w:eastAsia="ko-KR"/>
        </w:rPr>
        <w:t xml:space="preserve"> </w:t>
      </w:r>
      <w:r w:rsidR="000C094A" w:rsidRPr="00813D19">
        <w:rPr>
          <w:rFonts w:eastAsia="Malgun Gothic"/>
          <w:lang w:val="en-US" w:eastAsia="ko-KR"/>
        </w:rPr>
        <w:t xml:space="preserve">sought some time </w:t>
      </w:r>
      <w:r w:rsidR="00977094" w:rsidRPr="00813D19">
        <w:rPr>
          <w:lang w:val="en-US"/>
        </w:rPr>
        <w:t xml:space="preserve">to include some amendments </w:t>
      </w:r>
      <w:r w:rsidR="000C094A" w:rsidRPr="00813D19">
        <w:rPr>
          <w:lang w:val="en-US"/>
        </w:rPr>
        <w:t xml:space="preserve">so as to </w:t>
      </w:r>
      <w:r w:rsidR="00977094" w:rsidRPr="00813D19">
        <w:rPr>
          <w:lang w:val="en-US"/>
        </w:rPr>
        <w:t xml:space="preserve">be coherent with the decision </w:t>
      </w:r>
      <w:r w:rsidR="000C094A" w:rsidRPr="00813D19">
        <w:rPr>
          <w:lang w:val="en-US"/>
        </w:rPr>
        <w:t xml:space="preserve">just adopted, and suggested </w:t>
      </w:r>
      <w:r w:rsidR="00977094" w:rsidRPr="00813D19">
        <w:rPr>
          <w:lang w:val="en-US"/>
        </w:rPr>
        <w:t>suspend</w:t>
      </w:r>
      <w:r w:rsidR="000C094A" w:rsidRPr="00813D19">
        <w:rPr>
          <w:lang w:val="en-US"/>
        </w:rPr>
        <w:t>ing</w:t>
      </w:r>
      <w:r w:rsidR="00977094" w:rsidRPr="00813D19">
        <w:rPr>
          <w:lang w:val="en-US"/>
        </w:rPr>
        <w:t xml:space="preserve"> the discussion on the terms of reference and go</w:t>
      </w:r>
      <w:r w:rsidR="00A33E53">
        <w:rPr>
          <w:lang w:val="en-US"/>
        </w:rPr>
        <w:t>ing</w:t>
      </w:r>
      <w:r w:rsidR="00977094" w:rsidRPr="00813D19">
        <w:rPr>
          <w:lang w:val="en-US"/>
        </w:rPr>
        <w:t xml:space="preserve"> </w:t>
      </w:r>
      <w:r w:rsidR="000C094A" w:rsidRPr="00813D19">
        <w:rPr>
          <w:lang w:val="en-US"/>
        </w:rPr>
        <w:t xml:space="preserve">to </w:t>
      </w:r>
      <w:r w:rsidR="00977094" w:rsidRPr="00813D19">
        <w:rPr>
          <w:lang w:val="en-US"/>
        </w:rPr>
        <w:t>the election</w:t>
      </w:r>
      <w:r w:rsidR="000C094A" w:rsidRPr="00813D19">
        <w:rPr>
          <w:lang w:val="en-US"/>
        </w:rPr>
        <w:t>.</w:t>
      </w:r>
    </w:p>
    <w:p w14:paraId="502EE908" w14:textId="5C712EF2" w:rsidR="00A5402D" w:rsidRPr="00813D19" w:rsidRDefault="00A5402D" w:rsidP="007A09B9">
      <w:pPr>
        <w:pStyle w:val="Orateurengris"/>
        <w:spacing w:before="120"/>
        <w:ind w:left="709" w:hanging="709"/>
        <w:rPr>
          <w:rFonts w:eastAsia="Malgun Gothic"/>
          <w:lang w:val="en-US" w:eastAsia="ko-KR"/>
        </w:rPr>
      </w:pPr>
      <w:r w:rsidRPr="00813D19">
        <w:rPr>
          <w:rFonts w:eastAsia="Malgun Gothic"/>
          <w:lang w:val="en-US" w:eastAsia="ko-KR"/>
        </w:rPr>
        <w:t xml:space="preserve">The </w:t>
      </w:r>
      <w:r w:rsidRPr="00813D19">
        <w:rPr>
          <w:rFonts w:eastAsia="Malgun Gothic"/>
          <w:b/>
          <w:lang w:val="en-US" w:eastAsia="ko-KR"/>
        </w:rPr>
        <w:t>delegation of the Philippines</w:t>
      </w:r>
      <w:r w:rsidRPr="00813D19">
        <w:rPr>
          <w:rFonts w:eastAsia="Malgun Gothic"/>
          <w:lang w:val="en-US" w:eastAsia="ko-KR"/>
        </w:rPr>
        <w:t xml:space="preserve"> </w:t>
      </w:r>
      <w:r w:rsidR="007A6018" w:rsidRPr="00813D19">
        <w:rPr>
          <w:lang w:val="en-US"/>
        </w:rPr>
        <w:t>support</w:t>
      </w:r>
      <w:r w:rsidR="005C28AA" w:rsidRPr="00813D19">
        <w:rPr>
          <w:lang w:val="en-US"/>
        </w:rPr>
        <w:t>ed</w:t>
      </w:r>
      <w:r w:rsidR="007A6018" w:rsidRPr="00813D19">
        <w:rPr>
          <w:lang w:val="en-US"/>
        </w:rPr>
        <w:t xml:space="preserve"> the suggestion </w:t>
      </w:r>
      <w:r w:rsidR="005C28AA" w:rsidRPr="00813D19">
        <w:rPr>
          <w:lang w:val="en-US"/>
        </w:rPr>
        <w:t>by Palestine.</w:t>
      </w:r>
    </w:p>
    <w:p w14:paraId="7646F721" w14:textId="758D5989" w:rsidR="00A5402D" w:rsidRPr="00813D19" w:rsidRDefault="00A5402D" w:rsidP="007A09B9">
      <w:pPr>
        <w:pStyle w:val="Orateurengris"/>
        <w:spacing w:before="120"/>
        <w:ind w:left="709" w:hanging="709"/>
        <w:rPr>
          <w:rFonts w:eastAsia="Malgun Gothic"/>
          <w:lang w:val="en-US" w:eastAsia="ko-KR"/>
        </w:rPr>
      </w:pPr>
      <w:r w:rsidRPr="00813D19">
        <w:rPr>
          <w:rFonts w:eastAsia="Malgun Gothic"/>
          <w:lang w:val="en-US" w:eastAsia="ko-KR"/>
        </w:rPr>
        <w:t xml:space="preserve">The </w:t>
      </w:r>
      <w:r w:rsidRPr="00813D19">
        <w:rPr>
          <w:rFonts w:eastAsia="Malgun Gothic"/>
          <w:b/>
          <w:lang w:val="en-US" w:eastAsia="ko-KR"/>
        </w:rPr>
        <w:t>Chairperson</w:t>
      </w:r>
      <w:r w:rsidRPr="00813D19">
        <w:rPr>
          <w:rFonts w:eastAsia="Malgun Gothic"/>
          <w:lang w:val="en-US" w:eastAsia="ko-KR"/>
        </w:rPr>
        <w:t xml:space="preserve"> suspended </w:t>
      </w:r>
      <w:r w:rsidR="00BA0C36" w:rsidRPr="00813D19">
        <w:rPr>
          <w:rFonts w:eastAsia="Malgun Gothic"/>
          <w:lang w:val="en-US" w:eastAsia="ko-KR"/>
        </w:rPr>
        <w:t>the terms of r</w:t>
      </w:r>
      <w:r w:rsidRPr="00813D19">
        <w:rPr>
          <w:rFonts w:eastAsia="Malgun Gothic"/>
          <w:lang w:val="en-US" w:eastAsia="ko-KR"/>
        </w:rPr>
        <w:t>e</w:t>
      </w:r>
      <w:r w:rsidR="00DD4E22">
        <w:rPr>
          <w:rFonts w:eastAsia="Malgun Gothic"/>
          <w:lang w:val="en-US" w:eastAsia="ko-KR"/>
        </w:rPr>
        <w:t>ference of the Evaluation Body.</w:t>
      </w:r>
    </w:p>
    <w:p w14:paraId="07C5AE44" w14:textId="6AFE3B8C" w:rsidR="005C0C04" w:rsidRPr="00813D19" w:rsidRDefault="005C0C04" w:rsidP="007A09B9">
      <w:pPr>
        <w:pStyle w:val="Orateurengris"/>
        <w:spacing w:before="120"/>
        <w:ind w:left="709" w:hanging="709"/>
        <w:rPr>
          <w:lang w:val="en-US"/>
        </w:rPr>
      </w:pPr>
      <w:r w:rsidRPr="00813D19">
        <w:rPr>
          <w:rFonts w:eastAsia="Malgun Gothic"/>
          <w:b/>
          <w:lang w:val="en-US" w:eastAsia="ko-KR"/>
        </w:rPr>
        <w:t xml:space="preserve">Ms Fumiko Ohinata </w:t>
      </w:r>
      <w:r w:rsidR="00AD2CE6" w:rsidRPr="00813D19">
        <w:rPr>
          <w:rFonts w:eastAsia="Malgun Gothic"/>
          <w:color w:val="000000" w:themeColor="text1"/>
          <w:lang w:val="en-US" w:eastAsia="ko-KR"/>
        </w:rPr>
        <w:t>explained that all Members of the Committee would receive three ba</w:t>
      </w:r>
      <w:r w:rsidR="00052039" w:rsidRPr="00813D19">
        <w:rPr>
          <w:rFonts w:eastAsia="Malgun Gothic"/>
          <w:color w:val="000000" w:themeColor="text1"/>
          <w:lang w:val="en-US" w:eastAsia="ko-KR"/>
        </w:rPr>
        <w:t>llots, one for each vacant seat</w:t>
      </w:r>
      <w:r w:rsidR="00AD2CE6" w:rsidRPr="00813D19">
        <w:rPr>
          <w:rFonts w:eastAsia="Malgun Gothic"/>
          <w:color w:val="000000" w:themeColor="text1"/>
          <w:lang w:val="en-US" w:eastAsia="ko-KR"/>
        </w:rPr>
        <w:t xml:space="preserve"> and one envelope. Each Member was invited to select a choice for each of the three vacant seats, and not just for the vacant seat of his or her Electoral Group. The candidate with the highest number of votes would be elected. Each ballot contained the names of all the candidates for each seat. Members were invited to </w:t>
      </w:r>
      <w:r w:rsidR="00052039" w:rsidRPr="00813D19">
        <w:rPr>
          <w:rFonts w:eastAsia="Malgun Gothic"/>
          <w:color w:val="000000" w:themeColor="text1"/>
          <w:lang w:val="en-US" w:eastAsia="ko-KR"/>
        </w:rPr>
        <w:t>en</w:t>
      </w:r>
      <w:r w:rsidR="00AD2CE6" w:rsidRPr="00813D19">
        <w:rPr>
          <w:rFonts w:eastAsia="Malgun Gothic"/>
          <w:color w:val="000000" w:themeColor="text1"/>
          <w:lang w:val="en-US" w:eastAsia="ko-KR"/>
        </w:rPr>
        <w:t xml:space="preserve">circle the names of the candidates for whom they wished to vote, sealing the envelope and placing it in the ballot box. The absence of a ballot in the envelope was considered </w:t>
      </w:r>
      <w:r w:rsidR="00A33E53">
        <w:rPr>
          <w:rFonts w:eastAsia="Malgun Gothic"/>
          <w:color w:val="000000" w:themeColor="text1"/>
          <w:lang w:val="en-US" w:eastAsia="ko-KR"/>
        </w:rPr>
        <w:t xml:space="preserve">as </w:t>
      </w:r>
      <w:r w:rsidR="00AD2CE6" w:rsidRPr="00813D19">
        <w:rPr>
          <w:rFonts w:eastAsia="Malgun Gothic"/>
          <w:color w:val="000000" w:themeColor="text1"/>
          <w:lang w:val="en-US" w:eastAsia="ko-KR"/>
        </w:rPr>
        <w:t xml:space="preserve">an abstention. Ballots on which more names than vacant seats had been </w:t>
      </w:r>
      <w:r w:rsidR="00052039" w:rsidRPr="00813D19">
        <w:rPr>
          <w:rFonts w:eastAsia="Malgun Gothic"/>
          <w:color w:val="000000" w:themeColor="text1"/>
          <w:lang w:val="en-US" w:eastAsia="ko-KR"/>
        </w:rPr>
        <w:t>en</w:t>
      </w:r>
      <w:r w:rsidR="00AD2CE6" w:rsidRPr="00813D19">
        <w:rPr>
          <w:rFonts w:eastAsia="Malgun Gothic"/>
          <w:color w:val="000000" w:themeColor="text1"/>
          <w:lang w:val="en-US" w:eastAsia="ko-KR"/>
        </w:rPr>
        <w:t xml:space="preserve">circled, and those with no indication of voter intent, would be considered </w:t>
      </w:r>
      <w:r w:rsidR="00A33E53">
        <w:rPr>
          <w:rFonts w:eastAsia="Malgun Gothic"/>
          <w:color w:val="000000" w:themeColor="text1"/>
          <w:lang w:val="en-US" w:eastAsia="ko-KR"/>
        </w:rPr>
        <w:t xml:space="preserve">as </w:t>
      </w:r>
      <w:r w:rsidR="00AD2CE6" w:rsidRPr="00813D19">
        <w:rPr>
          <w:rFonts w:eastAsia="Malgun Gothic"/>
          <w:color w:val="000000" w:themeColor="text1"/>
          <w:lang w:val="en-US" w:eastAsia="ko-KR"/>
        </w:rPr>
        <w:t>invalid. A roll-call would be made after a five-minute break.</w:t>
      </w:r>
    </w:p>
    <w:p w14:paraId="344583D7" w14:textId="69792F12" w:rsidR="00267B0F" w:rsidRPr="00813D19" w:rsidRDefault="00891224" w:rsidP="00891224">
      <w:pPr>
        <w:pStyle w:val="Orateurengris"/>
        <w:spacing w:before="120"/>
        <w:ind w:left="709" w:hanging="709"/>
        <w:rPr>
          <w:rStyle w:val="hps"/>
          <w:color w:val="222222"/>
          <w:lang w:val="en-US"/>
        </w:rPr>
      </w:pPr>
      <w:r w:rsidRPr="00813D19">
        <w:rPr>
          <w:lang w:val="en-US"/>
        </w:rPr>
        <w:t xml:space="preserve">The </w:t>
      </w:r>
      <w:r w:rsidRPr="00813D19">
        <w:rPr>
          <w:b/>
          <w:lang w:val="en-US"/>
        </w:rPr>
        <w:t>Chairperson</w:t>
      </w:r>
      <w:r w:rsidRPr="00813D19">
        <w:rPr>
          <w:lang w:val="en-US"/>
        </w:rPr>
        <w:t xml:space="preserve"> </w:t>
      </w:r>
      <w:r w:rsidR="00AD2CE6" w:rsidRPr="00813D19">
        <w:rPr>
          <w:lang w:val="en-US"/>
        </w:rPr>
        <w:t xml:space="preserve">opened the floor for any </w:t>
      </w:r>
      <w:r w:rsidRPr="00813D19">
        <w:rPr>
          <w:rStyle w:val="hps"/>
          <w:color w:val="222222"/>
          <w:lang w:val="en-US"/>
        </w:rPr>
        <w:t xml:space="preserve">questions </w:t>
      </w:r>
      <w:r w:rsidR="00AD2CE6" w:rsidRPr="00813D19">
        <w:rPr>
          <w:rStyle w:val="hps"/>
          <w:color w:val="222222"/>
          <w:lang w:val="en-US"/>
        </w:rPr>
        <w:t xml:space="preserve">on </w:t>
      </w:r>
      <w:r w:rsidRPr="00813D19">
        <w:rPr>
          <w:rStyle w:val="hps"/>
          <w:color w:val="222222"/>
          <w:lang w:val="en-US"/>
        </w:rPr>
        <w:t>the process</w:t>
      </w:r>
      <w:r w:rsidR="00AD2CE6" w:rsidRPr="00813D19">
        <w:rPr>
          <w:rStyle w:val="hps"/>
          <w:color w:val="222222"/>
          <w:lang w:val="en-US"/>
        </w:rPr>
        <w:t>.</w:t>
      </w:r>
    </w:p>
    <w:p w14:paraId="2DA13B58" w14:textId="79E6DD94" w:rsidR="000C094A" w:rsidRPr="00813D19" w:rsidRDefault="00267B0F" w:rsidP="00891224">
      <w:pPr>
        <w:pStyle w:val="Orateurengris"/>
        <w:spacing w:before="120"/>
        <w:ind w:left="709" w:hanging="709"/>
        <w:rPr>
          <w:color w:val="222222"/>
          <w:lang w:val="en-US"/>
        </w:rPr>
      </w:pPr>
      <w:r w:rsidRPr="00813D19">
        <w:rPr>
          <w:lang w:val="en-US"/>
        </w:rPr>
        <w:t xml:space="preserve">The </w:t>
      </w:r>
      <w:r w:rsidRPr="00813D19">
        <w:rPr>
          <w:b/>
          <w:lang w:val="en-US"/>
        </w:rPr>
        <w:t>delegation of Palestine</w:t>
      </w:r>
      <w:r w:rsidR="007A6018" w:rsidRPr="00813D19">
        <w:rPr>
          <w:b/>
          <w:lang w:val="en-US"/>
        </w:rPr>
        <w:t xml:space="preserve"> </w:t>
      </w:r>
      <w:r w:rsidR="000C094A" w:rsidRPr="00813D19">
        <w:rPr>
          <w:lang w:val="en-US"/>
        </w:rPr>
        <w:t xml:space="preserve">wished to remind the candidates, especially the NGOs, </w:t>
      </w:r>
      <w:r w:rsidR="00052039" w:rsidRPr="00813D19">
        <w:rPr>
          <w:lang w:val="en-US"/>
        </w:rPr>
        <w:t xml:space="preserve">to </w:t>
      </w:r>
      <w:r w:rsidR="000C094A" w:rsidRPr="00813D19">
        <w:rPr>
          <w:lang w:val="en-US"/>
        </w:rPr>
        <w:t xml:space="preserve">present their CV and activities so that the Committee knew </w:t>
      </w:r>
      <w:r w:rsidR="00052039" w:rsidRPr="00813D19">
        <w:rPr>
          <w:lang w:val="en-US"/>
        </w:rPr>
        <w:t xml:space="preserve">for </w:t>
      </w:r>
      <w:r w:rsidR="000C094A" w:rsidRPr="00813D19">
        <w:rPr>
          <w:lang w:val="en-US"/>
        </w:rPr>
        <w:t xml:space="preserve">whom they </w:t>
      </w:r>
      <w:r w:rsidR="00A33E53">
        <w:rPr>
          <w:lang w:val="en-US"/>
        </w:rPr>
        <w:t xml:space="preserve">had </w:t>
      </w:r>
      <w:r w:rsidR="000C094A" w:rsidRPr="00813D19">
        <w:rPr>
          <w:lang w:val="en-US"/>
        </w:rPr>
        <w:t xml:space="preserve">voted, as not all the CVs </w:t>
      </w:r>
      <w:r w:rsidR="00052039" w:rsidRPr="00813D19">
        <w:rPr>
          <w:lang w:val="en-US"/>
        </w:rPr>
        <w:t xml:space="preserve">of </w:t>
      </w:r>
      <w:r w:rsidR="000C094A" w:rsidRPr="00813D19">
        <w:rPr>
          <w:lang w:val="en-US"/>
        </w:rPr>
        <w:t xml:space="preserve">the experts or the credentials </w:t>
      </w:r>
      <w:r w:rsidR="00052039" w:rsidRPr="00813D19">
        <w:rPr>
          <w:lang w:val="en-US"/>
        </w:rPr>
        <w:t xml:space="preserve">for </w:t>
      </w:r>
      <w:r w:rsidR="000C094A" w:rsidRPr="00813D19">
        <w:rPr>
          <w:lang w:val="en-US"/>
        </w:rPr>
        <w:t>the NGOs</w:t>
      </w:r>
      <w:r w:rsidR="00052039" w:rsidRPr="00813D19">
        <w:rPr>
          <w:lang w:val="en-US"/>
        </w:rPr>
        <w:t xml:space="preserve"> had been received</w:t>
      </w:r>
      <w:r w:rsidR="000C094A" w:rsidRPr="00813D19">
        <w:rPr>
          <w:lang w:val="en-US"/>
        </w:rPr>
        <w:t xml:space="preserve">. The delegation surmised that the working </w:t>
      </w:r>
      <w:r w:rsidR="000C094A" w:rsidRPr="00A430D3">
        <w:rPr>
          <w:lang w:val="en-US"/>
        </w:rPr>
        <w:t xml:space="preserve">group could think </w:t>
      </w:r>
      <w:r w:rsidR="00A430D3" w:rsidRPr="003221D5">
        <w:rPr>
          <w:lang w:val="en-US"/>
        </w:rPr>
        <w:t>of</w:t>
      </w:r>
      <w:r w:rsidR="00A430D3" w:rsidRPr="00A430D3">
        <w:rPr>
          <w:lang w:val="en-US"/>
        </w:rPr>
        <w:t xml:space="preserve"> </w:t>
      </w:r>
      <w:r w:rsidR="00052039" w:rsidRPr="00A430D3">
        <w:rPr>
          <w:lang w:val="en-US"/>
        </w:rPr>
        <w:t xml:space="preserve">something </w:t>
      </w:r>
      <w:r w:rsidR="000C094A" w:rsidRPr="00A430D3">
        <w:rPr>
          <w:lang w:val="en-US"/>
        </w:rPr>
        <w:t xml:space="preserve">similar </w:t>
      </w:r>
      <w:r w:rsidR="00561773" w:rsidRPr="00A430D3">
        <w:rPr>
          <w:lang w:val="en-US"/>
        </w:rPr>
        <w:t>as</w:t>
      </w:r>
      <w:r w:rsidR="00561773" w:rsidRPr="00813D19">
        <w:rPr>
          <w:lang w:val="en-US"/>
        </w:rPr>
        <w:t xml:space="preserve"> </w:t>
      </w:r>
      <w:r w:rsidR="00052039" w:rsidRPr="00813D19">
        <w:rPr>
          <w:lang w:val="en-US"/>
        </w:rPr>
        <w:t xml:space="preserve">for </w:t>
      </w:r>
      <w:r w:rsidR="00561773" w:rsidRPr="00813D19">
        <w:rPr>
          <w:lang w:val="en-US"/>
        </w:rPr>
        <w:t>the 1972 C</w:t>
      </w:r>
      <w:r w:rsidR="000C094A" w:rsidRPr="00813D19">
        <w:rPr>
          <w:lang w:val="en-US"/>
        </w:rPr>
        <w:t>onvention.</w:t>
      </w:r>
    </w:p>
    <w:p w14:paraId="5B592575" w14:textId="28CF6A02" w:rsidR="00BD2AF3" w:rsidRPr="00813D19" w:rsidRDefault="00561773" w:rsidP="00891224">
      <w:pPr>
        <w:pStyle w:val="Orateurengris"/>
        <w:spacing w:before="120"/>
        <w:ind w:left="709" w:hanging="709"/>
        <w:rPr>
          <w:rStyle w:val="hps"/>
          <w:color w:val="222222"/>
          <w:lang w:val="en-US"/>
        </w:rPr>
      </w:pPr>
      <w:r w:rsidRPr="00813D19">
        <w:rPr>
          <w:rFonts w:eastAsia="Malgun Gothic"/>
          <w:b/>
          <w:lang w:val="en-US" w:eastAsia="ko-KR"/>
        </w:rPr>
        <w:t>Ms Fumiko</w:t>
      </w:r>
      <w:r w:rsidR="00BD2AF3" w:rsidRPr="00813D19">
        <w:rPr>
          <w:rStyle w:val="hps"/>
          <w:b/>
          <w:color w:val="222222"/>
          <w:lang w:val="en-US"/>
        </w:rPr>
        <w:t xml:space="preserve"> </w:t>
      </w:r>
      <w:r w:rsidRPr="00813D19">
        <w:rPr>
          <w:rFonts w:eastAsia="Malgun Gothic"/>
          <w:b/>
          <w:lang w:val="en-US" w:eastAsia="ko-KR"/>
        </w:rPr>
        <w:t xml:space="preserve">Ohinata </w:t>
      </w:r>
      <w:r w:rsidRPr="00813D19">
        <w:rPr>
          <w:lang w:val="en-US"/>
        </w:rPr>
        <w:t>asked</w:t>
      </w:r>
      <w:r w:rsidR="007A6018" w:rsidRPr="00813D19">
        <w:rPr>
          <w:lang w:val="en-US"/>
        </w:rPr>
        <w:t xml:space="preserve"> </w:t>
      </w:r>
      <w:r w:rsidRPr="00813D19">
        <w:rPr>
          <w:lang w:val="en-US"/>
        </w:rPr>
        <w:t xml:space="preserve">a </w:t>
      </w:r>
      <w:r w:rsidR="007A6018" w:rsidRPr="00813D19">
        <w:rPr>
          <w:lang w:val="en-US"/>
        </w:rPr>
        <w:t xml:space="preserve">colleague </w:t>
      </w:r>
      <w:r w:rsidR="000C0171" w:rsidRPr="00813D19">
        <w:rPr>
          <w:lang w:val="en-US"/>
        </w:rPr>
        <w:t xml:space="preserve">to </w:t>
      </w:r>
      <w:r w:rsidR="007A6018" w:rsidRPr="00813D19">
        <w:rPr>
          <w:lang w:val="en-US"/>
        </w:rPr>
        <w:t>di</w:t>
      </w:r>
      <w:r w:rsidR="00052039" w:rsidRPr="00813D19">
        <w:rPr>
          <w:lang w:val="en-US"/>
        </w:rPr>
        <w:t>splay the annex to document 14 that presented</w:t>
      </w:r>
      <w:r w:rsidRPr="00813D19">
        <w:rPr>
          <w:lang w:val="en-US"/>
        </w:rPr>
        <w:t xml:space="preserve"> </w:t>
      </w:r>
      <w:r w:rsidR="007A6018" w:rsidRPr="00813D19">
        <w:rPr>
          <w:lang w:val="en-US"/>
        </w:rPr>
        <w:t>the CVs</w:t>
      </w:r>
      <w:r w:rsidRPr="00813D19">
        <w:rPr>
          <w:lang w:val="en-US"/>
        </w:rPr>
        <w:t xml:space="preserve"> for Electoral Groups I, II and </w:t>
      </w:r>
      <w:r w:rsidR="007A6018" w:rsidRPr="00813D19">
        <w:rPr>
          <w:lang w:val="en-US"/>
        </w:rPr>
        <w:t>V</w:t>
      </w:r>
      <w:r w:rsidRPr="00813D19">
        <w:rPr>
          <w:lang w:val="en-US"/>
        </w:rPr>
        <w:t>(</w:t>
      </w:r>
      <w:r w:rsidR="007A6018" w:rsidRPr="00813D19">
        <w:rPr>
          <w:lang w:val="en-US"/>
        </w:rPr>
        <w:t>a</w:t>
      </w:r>
      <w:r w:rsidRPr="00813D19">
        <w:rPr>
          <w:lang w:val="en-US"/>
        </w:rPr>
        <w:t>)</w:t>
      </w:r>
      <w:r w:rsidR="00A33E53">
        <w:rPr>
          <w:lang w:val="en-US"/>
        </w:rPr>
        <w:t>,</w:t>
      </w:r>
      <w:r w:rsidRPr="00813D19">
        <w:rPr>
          <w:lang w:val="en-US"/>
        </w:rPr>
        <w:t xml:space="preserve"> </w:t>
      </w:r>
      <w:r w:rsidR="00A33E53">
        <w:rPr>
          <w:lang w:val="en-US"/>
        </w:rPr>
        <w:t>which</w:t>
      </w:r>
      <w:r w:rsidR="00A33E53" w:rsidRPr="00813D19">
        <w:rPr>
          <w:lang w:val="en-US"/>
        </w:rPr>
        <w:t xml:space="preserve"> </w:t>
      </w:r>
      <w:r w:rsidR="00052039" w:rsidRPr="00813D19">
        <w:rPr>
          <w:lang w:val="en-US"/>
        </w:rPr>
        <w:t>was accessible</w:t>
      </w:r>
      <w:r w:rsidRPr="00813D19">
        <w:rPr>
          <w:lang w:val="en-US"/>
        </w:rPr>
        <w:t xml:space="preserve"> by clicking </w:t>
      </w:r>
      <w:r w:rsidR="00A33E53">
        <w:rPr>
          <w:lang w:val="en-US"/>
        </w:rPr>
        <w:t xml:space="preserve">on </w:t>
      </w:r>
      <w:r w:rsidRPr="00813D19">
        <w:rPr>
          <w:lang w:val="en-US"/>
        </w:rPr>
        <w:t>the hyperlinks</w:t>
      </w:r>
      <w:r w:rsidR="00052039" w:rsidRPr="00813D19">
        <w:rPr>
          <w:lang w:val="en-US"/>
        </w:rPr>
        <w:t>,</w:t>
      </w:r>
      <w:r w:rsidR="007A6018" w:rsidRPr="00813D19">
        <w:rPr>
          <w:lang w:val="en-US"/>
        </w:rPr>
        <w:t xml:space="preserve"> </w:t>
      </w:r>
      <w:r w:rsidRPr="00813D19">
        <w:rPr>
          <w:lang w:val="en-US"/>
        </w:rPr>
        <w:t xml:space="preserve">or by going to </w:t>
      </w:r>
      <w:r w:rsidR="007A6018" w:rsidRPr="00813D19">
        <w:rPr>
          <w:lang w:val="en-US"/>
        </w:rPr>
        <w:t>the accreditation form</w:t>
      </w:r>
      <w:r w:rsidR="00052039" w:rsidRPr="00813D19">
        <w:rPr>
          <w:lang w:val="en-US"/>
        </w:rPr>
        <w:t>s</w:t>
      </w:r>
      <w:r w:rsidR="007A6018" w:rsidRPr="00813D19">
        <w:rPr>
          <w:lang w:val="en-US"/>
        </w:rPr>
        <w:t xml:space="preserve"> </w:t>
      </w:r>
      <w:r w:rsidR="000C0171" w:rsidRPr="00813D19">
        <w:rPr>
          <w:lang w:val="en-US"/>
        </w:rPr>
        <w:t xml:space="preserve">for the NGOs whose information was </w:t>
      </w:r>
      <w:r w:rsidRPr="00813D19">
        <w:rPr>
          <w:lang w:val="en-US"/>
        </w:rPr>
        <w:t>also available.</w:t>
      </w:r>
    </w:p>
    <w:p w14:paraId="73D108D1" w14:textId="5F119EAF" w:rsidR="001F6DFE" w:rsidRPr="002827E3" w:rsidRDefault="000C0171" w:rsidP="00DC04CA">
      <w:pPr>
        <w:pStyle w:val="Orateurengris"/>
        <w:spacing w:before="120"/>
        <w:ind w:left="709" w:hanging="709"/>
        <w:rPr>
          <w:rStyle w:val="hps"/>
          <w:lang w:val="en-US"/>
        </w:rPr>
      </w:pPr>
      <w:r w:rsidRPr="002827E3">
        <w:rPr>
          <w:rStyle w:val="hps"/>
          <w:lang w:val="en-US"/>
        </w:rPr>
        <w:t>Thanking the Secretariat for the explanation, t</w:t>
      </w:r>
      <w:r w:rsidR="00DC04CA" w:rsidRPr="002827E3">
        <w:rPr>
          <w:rStyle w:val="hps"/>
          <w:lang w:val="en-US"/>
        </w:rPr>
        <w:t xml:space="preserve">he </w:t>
      </w:r>
      <w:r w:rsidR="00DC04CA" w:rsidRPr="002827E3">
        <w:rPr>
          <w:rStyle w:val="hps"/>
          <w:b/>
          <w:lang w:val="en-US"/>
        </w:rPr>
        <w:t>Chairperson</w:t>
      </w:r>
      <w:r w:rsidR="00DC04CA" w:rsidRPr="002827E3">
        <w:rPr>
          <w:rStyle w:val="hps"/>
          <w:lang w:val="en-US"/>
        </w:rPr>
        <w:t xml:space="preserve"> </w:t>
      </w:r>
      <w:r w:rsidR="00AD2CE6" w:rsidRPr="002827E3">
        <w:rPr>
          <w:rStyle w:val="hps"/>
          <w:lang w:val="en-US"/>
        </w:rPr>
        <w:t xml:space="preserve">sought </w:t>
      </w:r>
      <w:r w:rsidR="00891224" w:rsidRPr="002827E3">
        <w:rPr>
          <w:rStyle w:val="hps"/>
          <w:lang w:val="en-US"/>
        </w:rPr>
        <w:t xml:space="preserve">two </w:t>
      </w:r>
      <w:r w:rsidR="00AD2CE6" w:rsidRPr="002827E3">
        <w:rPr>
          <w:rStyle w:val="hps"/>
          <w:lang w:val="en-US"/>
        </w:rPr>
        <w:t>tellers among the Committee Members</w:t>
      </w:r>
      <w:r w:rsidR="00891224" w:rsidRPr="002827E3">
        <w:rPr>
          <w:rStyle w:val="hps"/>
          <w:lang w:val="en-US"/>
        </w:rPr>
        <w:t xml:space="preserve">. </w:t>
      </w:r>
      <w:r w:rsidRPr="002827E3">
        <w:rPr>
          <w:rStyle w:val="hps"/>
          <w:lang w:val="en-US"/>
        </w:rPr>
        <w:t xml:space="preserve">The </w:t>
      </w:r>
      <w:r w:rsidRPr="00A17758">
        <w:rPr>
          <w:rStyle w:val="hps"/>
          <w:lang w:val="en-US"/>
        </w:rPr>
        <w:t xml:space="preserve">delegates of </w:t>
      </w:r>
      <w:r w:rsidR="009C7D5A" w:rsidRPr="00A17758">
        <w:rPr>
          <w:rStyle w:val="hps"/>
          <w:b/>
          <w:lang w:val="en-US"/>
        </w:rPr>
        <w:t>Kazakhstan</w:t>
      </w:r>
      <w:r w:rsidR="009C7D5A" w:rsidRPr="00A17758">
        <w:rPr>
          <w:rStyle w:val="hps"/>
          <w:lang w:val="en-US"/>
        </w:rPr>
        <w:t xml:space="preserve"> (</w:t>
      </w:r>
      <w:r w:rsidR="00DC04CA" w:rsidRPr="00A17758">
        <w:rPr>
          <w:rStyle w:val="hps"/>
          <w:lang w:val="en-US"/>
        </w:rPr>
        <w:t xml:space="preserve">Ms </w:t>
      </w:r>
      <w:r w:rsidR="009C7D5A" w:rsidRPr="00A17758">
        <w:rPr>
          <w:rStyle w:val="hps"/>
          <w:lang w:val="en-US"/>
        </w:rPr>
        <w:t>Zhazira Kul-Mukhammed)</w:t>
      </w:r>
      <w:r w:rsidR="001C14A1" w:rsidRPr="00A17758">
        <w:rPr>
          <w:rStyle w:val="hps"/>
          <w:lang w:val="en-US"/>
        </w:rPr>
        <w:t xml:space="preserve"> </w:t>
      </w:r>
      <w:r w:rsidR="00DC04CA" w:rsidRPr="00A17758">
        <w:rPr>
          <w:rStyle w:val="hps"/>
          <w:lang w:val="en-US"/>
        </w:rPr>
        <w:t xml:space="preserve">and </w:t>
      </w:r>
      <w:r w:rsidR="00DC04CA" w:rsidRPr="00A17758">
        <w:rPr>
          <w:rStyle w:val="hps"/>
          <w:b/>
          <w:lang w:val="en-US"/>
        </w:rPr>
        <w:t>Sri Lanka</w:t>
      </w:r>
      <w:r w:rsidR="00DC04CA" w:rsidRPr="00A17758">
        <w:rPr>
          <w:rStyle w:val="hps"/>
          <w:lang w:val="en-US"/>
        </w:rPr>
        <w:t xml:space="preserve"> </w:t>
      </w:r>
      <w:r w:rsidR="009C7D5A" w:rsidRPr="00A17758">
        <w:rPr>
          <w:rStyle w:val="hps"/>
          <w:lang w:val="en-US"/>
        </w:rPr>
        <w:t>(</w:t>
      </w:r>
      <w:r w:rsidR="00DC04CA" w:rsidRPr="00A17758">
        <w:rPr>
          <w:rStyle w:val="hps"/>
          <w:lang w:val="en-US"/>
        </w:rPr>
        <w:t xml:space="preserve">Mr </w:t>
      </w:r>
      <w:r w:rsidR="009C7D5A" w:rsidRPr="001220A4">
        <w:rPr>
          <w:rStyle w:val="hps"/>
          <w:lang w:val="en-US"/>
        </w:rPr>
        <w:t>Asoka</w:t>
      </w:r>
      <w:r w:rsidR="00DC04CA" w:rsidRPr="001220A4">
        <w:rPr>
          <w:rStyle w:val="hps"/>
          <w:lang w:val="en-US"/>
        </w:rPr>
        <w:t xml:space="preserve"> </w:t>
      </w:r>
      <w:r w:rsidR="001C14A1" w:rsidRPr="00C1608C">
        <w:rPr>
          <w:rStyle w:val="hps"/>
          <w:lang w:val="en-US"/>
        </w:rPr>
        <w:t>S</w:t>
      </w:r>
      <w:r w:rsidR="009C7D5A" w:rsidRPr="00A17758">
        <w:rPr>
          <w:rStyle w:val="hps"/>
          <w:lang w:val="en-US"/>
        </w:rPr>
        <w:t>iriwardana)</w:t>
      </w:r>
      <w:r w:rsidR="00DC04CA" w:rsidRPr="00A17758">
        <w:rPr>
          <w:rStyle w:val="hps"/>
          <w:lang w:val="en-US"/>
        </w:rPr>
        <w:t xml:space="preserve"> </w:t>
      </w:r>
      <w:r w:rsidR="00891224" w:rsidRPr="002827E3">
        <w:rPr>
          <w:rStyle w:val="hps"/>
          <w:lang w:val="en-US"/>
        </w:rPr>
        <w:t>join</w:t>
      </w:r>
      <w:r w:rsidR="009C7D5A" w:rsidRPr="002827E3">
        <w:rPr>
          <w:rStyle w:val="hps"/>
          <w:lang w:val="en-US"/>
        </w:rPr>
        <w:t>ed</w:t>
      </w:r>
      <w:r w:rsidR="00891224" w:rsidRPr="002827E3">
        <w:rPr>
          <w:rStyle w:val="hps"/>
          <w:lang w:val="en-US"/>
        </w:rPr>
        <w:t xml:space="preserve"> the podium</w:t>
      </w:r>
      <w:r w:rsidR="00DC04CA" w:rsidRPr="002827E3">
        <w:rPr>
          <w:rStyle w:val="hps"/>
          <w:lang w:val="en-US"/>
        </w:rPr>
        <w:t>.</w:t>
      </w:r>
    </w:p>
    <w:p w14:paraId="270D6204" w14:textId="4DB4BF68" w:rsidR="000C0171" w:rsidRPr="002827E3" w:rsidRDefault="009C7D5A" w:rsidP="000C0171">
      <w:pPr>
        <w:pStyle w:val="Orateurengris"/>
        <w:spacing w:before="120"/>
        <w:ind w:left="709" w:hanging="709"/>
        <w:rPr>
          <w:rStyle w:val="hps"/>
          <w:lang w:val="en-US"/>
        </w:rPr>
      </w:pPr>
      <w:r w:rsidRPr="002827E3">
        <w:rPr>
          <w:rStyle w:val="hps"/>
          <w:b/>
          <w:lang w:val="en-US"/>
        </w:rPr>
        <w:t>Ms Fumiko Ohinata</w:t>
      </w:r>
      <w:r w:rsidRPr="002827E3">
        <w:rPr>
          <w:rStyle w:val="hps"/>
          <w:lang w:val="en-US"/>
        </w:rPr>
        <w:t xml:space="preserve"> </w:t>
      </w:r>
      <w:r w:rsidR="001F6DFE" w:rsidRPr="002827E3">
        <w:rPr>
          <w:rStyle w:val="hps"/>
          <w:lang w:val="en-US"/>
        </w:rPr>
        <w:t xml:space="preserve"> conducted the roll</w:t>
      </w:r>
      <w:r w:rsidR="00A84307" w:rsidRPr="002827E3">
        <w:rPr>
          <w:rStyle w:val="hps"/>
          <w:lang w:val="en-US"/>
        </w:rPr>
        <w:t>-</w:t>
      </w:r>
      <w:r w:rsidR="001F6DFE" w:rsidRPr="002827E3">
        <w:rPr>
          <w:rStyle w:val="hps"/>
          <w:lang w:val="en-US"/>
        </w:rPr>
        <w:t xml:space="preserve">call </w:t>
      </w:r>
      <w:r w:rsidR="00891224" w:rsidRPr="002827E3">
        <w:rPr>
          <w:rStyle w:val="hps"/>
          <w:lang w:val="en-US"/>
        </w:rPr>
        <w:t>in French alphabetical order of</w:t>
      </w:r>
      <w:r w:rsidR="001F6DFE" w:rsidRPr="002827E3">
        <w:rPr>
          <w:rStyle w:val="hps"/>
          <w:lang w:val="en-US"/>
        </w:rPr>
        <w:t xml:space="preserve"> Me</w:t>
      </w:r>
      <w:r w:rsidR="00040696" w:rsidRPr="002827E3">
        <w:rPr>
          <w:rStyle w:val="hps"/>
          <w:lang w:val="en-US"/>
        </w:rPr>
        <w:t xml:space="preserve">mber States: </w:t>
      </w:r>
      <w:r w:rsidR="00A17758" w:rsidRPr="00AC39B1">
        <w:rPr>
          <w:rStyle w:val="hps"/>
          <w:lang w:val="en-US"/>
        </w:rPr>
        <w:t>Armenia</w:t>
      </w:r>
      <w:r w:rsidR="00A17758">
        <w:rPr>
          <w:rStyle w:val="hps"/>
          <w:lang w:val="en-US"/>
        </w:rPr>
        <w:t>,</w:t>
      </w:r>
      <w:r w:rsidR="00A17758" w:rsidRPr="00A17758">
        <w:rPr>
          <w:rStyle w:val="hps"/>
          <w:lang w:val="en-US"/>
        </w:rPr>
        <w:t xml:space="preserve"> </w:t>
      </w:r>
      <w:r w:rsidR="00040696" w:rsidRPr="002827E3">
        <w:rPr>
          <w:rStyle w:val="hps"/>
          <w:lang w:val="en-US"/>
        </w:rPr>
        <w:t xml:space="preserve">Austria, Azerbaijan, </w:t>
      </w:r>
      <w:r w:rsidR="000B57EB" w:rsidRPr="002827E3">
        <w:rPr>
          <w:rStyle w:val="hps"/>
          <w:lang w:val="en-US"/>
        </w:rPr>
        <w:t xml:space="preserve">Cameroon, </w:t>
      </w:r>
      <w:r w:rsidR="00040696" w:rsidRPr="002827E3">
        <w:rPr>
          <w:rStyle w:val="hps"/>
          <w:lang w:val="en-US"/>
        </w:rPr>
        <w:t>Chi</w:t>
      </w:r>
      <w:r w:rsidR="001F6DFE" w:rsidRPr="002827E3">
        <w:rPr>
          <w:rStyle w:val="hps"/>
          <w:lang w:val="en-US"/>
        </w:rPr>
        <w:t>na, Cyprus, Colombia, Cuba,</w:t>
      </w:r>
      <w:r w:rsidR="00A17758">
        <w:rPr>
          <w:rStyle w:val="hps"/>
          <w:lang w:val="en-US"/>
        </w:rPr>
        <w:t xml:space="preserve"> </w:t>
      </w:r>
      <w:r w:rsidR="00813D19" w:rsidRPr="002827E3">
        <w:rPr>
          <w:rStyle w:val="hps"/>
          <w:lang w:val="en-US"/>
        </w:rPr>
        <w:t>Djibouti</w:t>
      </w:r>
      <w:r w:rsidR="00040696" w:rsidRPr="002827E3">
        <w:rPr>
          <w:rStyle w:val="hps"/>
          <w:lang w:val="en-US"/>
        </w:rPr>
        <w:t xml:space="preserve">, Guatemala, </w:t>
      </w:r>
      <w:r w:rsidR="000B57EB" w:rsidRPr="002827E3">
        <w:rPr>
          <w:rStyle w:val="hps"/>
          <w:lang w:val="en-US"/>
        </w:rPr>
        <w:t xml:space="preserve">Jamaica, Japan, Kazakhstan, Kuwait, Lebanon, Mauritius, </w:t>
      </w:r>
      <w:r w:rsidR="0001387F" w:rsidRPr="002827E3">
        <w:rPr>
          <w:rStyle w:val="hps"/>
          <w:lang w:val="en-US"/>
        </w:rPr>
        <w:t xml:space="preserve">the </w:t>
      </w:r>
      <w:r w:rsidR="000B57EB" w:rsidRPr="002827E3">
        <w:rPr>
          <w:rStyle w:val="hps"/>
          <w:lang w:val="en-US"/>
        </w:rPr>
        <w:t xml:space="preserve">Netherlands, Palestine, </w:t>
      </w:r>
      <w:r w:rsidR="00A33E53" w:rsidRPr="002827E3">
        <w:rPr>
          <w:rStyle w:val="hps"/>
          <w:lang w:val="en-US"/>
        </w:rPr>
        <w:t xml:space="preserve">the </w:t>
      </w:r>
      <w:r w:rsidR="000B57EB" w:rsidRPr="002827E3">
        <w:rPr>
          <w:rStyle w:val="hps"/>
          <w:lang w:val="en-US"/>
        </w:rPr>
        <w:t xml:space="preserve">Philippines, Poland, Senegal, Sri Lanka, Togo </w:t>
      </w:r>
      <w:r w:rsidR="00DD4E22" w:rsidRPr="002827E3">
        <w:rPr>
          <w:rStyle w:val="hps"/>
          <w:lang w:val="en-US"/>
        </w:rPr>
        <w:t>and Zambia.</w:t>
      </w:r>
    </w:p>
    <w:p w14:paraId="6DC1BFCA" w14:textId="21063E40" w:rsidR="000C1BFA" w:rsidRPr="002827E3" w:rsidRDefault="00B7311E" w:rsidP="00D70CA6">
      <w:pPr>
        <w:pStyle w:val="Orateurengris"/>
        <w:spacing w:after="0"/>
        <w:ind w:left="709" w:hanging="709"/>
        <w:rPr>
          <w:rStyle w:val="hps"/>
          <w:lang w:val="en-US"/>
        </w:rPr>
      </w:pPr>
      <w:r w:rsidRPr="002827E3">
        <w:rPr>
          <w:rStyle w:val="hps"/>
          <w:lang w:val="en-US"/>
        </w:rPr>
        <w:t xml:space="preserve">The </w:t>
      </w:r>
      <w:r w:rsidRPr="002827E3">
        <w:rPr>
          <w:rStyle w:val="hps"/>
          <w:b/>
          <w:lang w:val="en-US"/>
        </w:rPr>
        <w:t>Chairperson</w:t>
      </w:r>
      <w:r w:rsidRPr="002827E3">
        <w:rPr>
          <w:rStyle w:val="hps"/>
          <w:lang w:val="en-US"/>
        </w:rPr>
        <w:t xml:space="preserve"> </w:t>
      </w:r>
      <w:r w:rsidR="000C0171" w:rsidRPr="002827E3">
        <w:rPr>
          <w:rStyle w:val="hps"/>
          <w:lang w:val="en-US"/>
        </w:rPr>
        <w:t>noted that all the envelopes had been collected, and while waiting for the count, proceeded with agenda item 15</w:t>
      </w:r>
      <w:r w:rsidR="00052039" w:rsidRPr="002827E3">
        <w:rPr>
          <w:rStyle w:val="hps"/>
          <w:lang w:val="en-US"/>
        </w:rPr>
        <w:t>.</w:t>
      </w:r>
    </w:p>
    <w:p w14:paraId="5E66EB67" w14:textId="2C51BE2E" w:rsidR="00FE7E54" w:rsidRPr="00813D19" w:rsidRDefault="00FE7E54" w:rsidP="00DD4E22">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15 OF THE AGENDA </w:t>
      </w:r>
    </w:p>
    <w:p w14:paraId="34EE00FD" w14:textId="2A4AC1AC" w:rsidR="00D70CA6" w:rsidRPr="00813D19" w:rsidRDefault="00FE7E54" w:rsidP="005966F6">
      <w:pPr>
        <w:pStyle w:val="Orateurengris"/>
        <w:numPr>
          <w:ilvl w:val="0"/>
          <w:numId w:val="0"/>
        </w:numPr>
        <w:outlineLvl w:val="1"/>
        <w:rPr>
          <w:b/>
          <w:color w:val="000000" w:themeColor="text1"/>
          <w:lang w:val="en-US"/>
        </w:rPr>
      </w:pPr>
      <w:r w:rsidRPr="00813D19">
        <w:rPr>
          <w:b/>
          <w:color w:val="000000" w:themeColor="text1"/>
          <w:lang w:val="en-US"/>
        </w:rPr>
        <w:t>NUMBER OF FILES SUBMITTED FOR THE 2018 AND 2019 CYCLES AND NUMBER OF FILES THAT CAN BE TREATED IN THE 2020 AND 2021 CYCLES</w:t>
      </w:r>
    </w:p>
    <w:p w14:paraId="1AFE89EC" w14:textId="3DE4974B" w:rsidR="00FE7E54" w:rsidRPr="00813D19" w:rsidRDefault="00FE7E54" w:rsidP="00DD4E22">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64" w:history="1">
        <w:r w:rsidRPr="00813D19">
          <w:rPr>
            <w:rStyle w:val="Hyperlink"/>
            <w:bCs/>
            <w:i/>
            <w:lang w:val="en-US"/>
          </w:rPr>
          <w:t>ITH/18/13.COM/15</w:t>
        </w:r>
      </w:hyperlink>
    </w:p>
    <w:p w14:paraId="31FDD6F6" w14:textId="5E6D4B82" w:rsidR="00FE7E54" w:rsidRPr="00813D19" w:rsidRDefault="00FE7E54" w:rsidP="00DD4E22">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DD4E22">
        <w:rPr>
          <w:b/>
          <w:bCs/>
          <w:color w:val="000000" w:themeColor="text1"/>
          <w:lang w:val="en-US"/>
        </w:rPr>
        <w:t>:</w:t>
      </w:r>
      <w:r w:rsidRPr="00813D19">
        <w:rPr>
          <w:color w:val="000000" w:themeColor="text1"/>
          <w:lang w:val="en-US"/>
        </w:rPr>
        <w:tab/>
      </w:r>
      <w:hyperlink r:id="rId165" w:history="1">
        <w:r w:rsidRPr="00813D19">
          <w:rPr>
            <w:rStyle w:val="Hyperlink"/>
            <w:i/>
            <w:lang w:val="en-US"/>
          </w:rPr>
          <w:t>13.COM 15</w:t>
        </w:r>
      </w:hyperlink>
    </w:p>
    <w:p w14:paraId="6716EA7A" w14:textId="4A7CFB20" w:rsidR="008044C2" w:rsidRPr="00813D19" w:rsidRDefault="00687748" w:rsidP="00D70CA6">
      <w:pPr>
        <w:pStyle w:val="Orateurengris"/>
        <w:spacing w:after="0"/>
        <w:ind w:left="709" w:hanging="709"/>
        <w:rPr>
          <w:lang w:val="en-US"/>
        </w:rPr>
      </w:pPr>
      <w:r w:rsidRPr="00813D19">
        <w:rPr>
          <w:b/>
          <w:color w:val="000000" w:themeColor="text1"/>
          <w:lang w:val="en-US"/>
        </w:rPr>
        <w:t>Ms Fumiko Ohinata</w:t>
      </w:r>
      <w:r w:rsidRPr="00813D19">
        <w:rPr>
          <w:color w:val="000000" w:themeColor="text1"/>
          <w:lang w:val="en-US"/>
        </w:rPr>
        <w:t xml:space="preserve"> of</w:t>
      </w:r>
      <w:r w:rsidR="00164126" w:rsidRPr="00DD4E22">
        <w:rPr>
          <w:bCs/>
          <w:color w:val="000000" w:themeColor="text1"/>
          <w:lang w:val="en-US"/>
        </w:rPr>
        <w:t xml:space="preserve"> </w:t>
      </w:r>
      <w:r w:rsidR="000C094A" w:rsidRPr="00813D19">
        <w:rPr>
          <w:color w:val="000000" w:themeColor="text1"/>
          <w:lang w:val="en-US"/>
        </w:rPr>
        <w:t>the</w:t>
      </w:r>
      <w:r w:rsidR="000C094A" w:rsidRPr="00DD4E22">
        <w:rPr>
          <w:bCs/>
          <w:color w:val="000000" w:themeColor="text1"/>
          <w:lang w:val="en-US"/>
        </w:rPr>
        <w:t xml:space="preserve"> </w:t>
      </w:r>
      <w:r w:rsidR="001C3880" w:rsidRPr="00813D19">
        <w:rPr>
          <w:b/>
          <w:color w:val="000000" w:themeColor="text1"/>
          <w:lang w:val="en-US"/>
        </w:rPr>
        <w:t>Secretariat</w:t>
      </w:r>
      <w:r w:rsidR="00F93551" w:rsidRPr="00813D19">
        <w:rPr>
          <w:b/>
          <w:color w:val="000000" w:themeColor="text1"/>
          <w:lang w:val="en-US"/>
        </w:rPr>
        <w:t xml:space="preserve"> </w:t>
      </w:r>
      <w:r w:rsidR="008E1DCF" w:rsidRPr="00813D19">
        <w:rPr>
          <w:color w:val="000000" w:themeColor="text1"/>
          <w:lang w:val="en-US"/>
        </w:rPr>
        <w:t>explained</w:t>
      </w:r>
      <w:r w:rsidR="008E1DCF" w:rsidRPr="00DD4E22">
        <w:rPr>
          <w:bCs/>
          <w:color w:val="000000" w:themeColor="text1"/>
          <w:lang w:val="en-US"/>
        </w:rPr>
        <w:t xml:space="preserve"> </w:t>
      </w:r>
      <w:r w:rsidR="008E1DCF" w:rsidRPr="00813D19">
        <w:rPr>
          <w:lang w:val="en-US"/>
        </w:rPr>
        <w:t xml:space="preserve">it was customary to include </w:t>
      </w:r>
      <w:r w:rsidR="00F93551" w:rsidRPr="00813D19">
        <w:rPr>
          <w:lang w:val="en-US"/>
        </w:rPr>
        <w:t xml:space="preserve">this item on the </w:t>
      </w:r>
      <w:r w:rsidR="008E1DCF" w:rsidRPr="00813D19">
        <w:rPr>
          <w:lang w:val="en-US"/>
        </w:rPr>
        <w:t xml:space="preserve">Committee’s </w:t>
      </w:r>
      <w:r w:rsidR="00F93551" w:rsidRPr="00813D19">
        <w:rPr>
          <w:lang w:val="en-US"/>
        </w:rPr>
        <w:t>agenda ever</w:t>
      </w:r>
      <w:r w:rsidR="008E1DCF" w:rsidRPr="00813D19">
        <w:rPr>
          <w:lang w:val="en-US"/>
        </w:rPr>
        <w:t>y year.</w:t>
      </w:r>
      <w:r w:rsidR="00F93551" w:rsidRPr="00813D19">
        <w:rPr>
          <w:lang w:val="en-US"/>
        </w:rPr>
        <w:t xml:space="preserve"> </w:t>
      </w:r>
      <w:r w:rsidR="008E1DCF" w:rsidRPr="00813D19">
        <w:rPr>
          <w:lang w:val="en-US"/>
        </w:rPr>
        <w:t>H</w:t>
      </w:r>
      <w:r w:rsidR="003C5A68" w:rsidRPr="00813D19">
        <w:rPr>
          <w:lang w:val="en-US"/>
        </w:rPr>
        <w:t>owever</w:t>
      </w:r>
      <w:r w:rsidR="008E1DCF" w:rsidRPr="00813D19">
        <w:rPr>
          <w:lang w:val="en-US"/>
        </w:rPr>
        <w:t xml:space="preserve">, </w:t>
      </w:r>
      <w:r w:rsidR="00F93551" w:rsidRPr="00813D19">
        <w:rPr>
          <w:lang w:val="en-US"/>
        </w:rPr>
        <w:t xml:space="preserve">the </w:t>
      </w:r>
      <w:r w:rsidR="00F93551" w:rsidRPr="00813D19">
        <w:rPr>
          <w:rFonts w:eastAsia="Malgun Gothic"/>
          <w:lang w:val="en-US" w:eastAsia="ko-KR"/>
        </w:rPr>
        <w:t>Committee</w:t>
      </w:r>
      <w:r w:rsidR="00F93551" w:rsidRPr="00813D19">
        <w:rPr>
          <w:lang w:val="en-US"/>
        </w:rPr>
        <w:t xml:space="preserve"> had already established the ceiling of files for the 2019 cycle</w:t>
      </w:r>
      <w:r w:rsidR="003C5A68" w:rsidRPr="00813D19">
        <w:rPr>
          <w:lang w:val="en-US"/>
        </w:rPr>
        <w:t xml:space="preserve"> </w:t>
      </w:r>
      <w:r w:rsidR="008E1DCF" w:rsidRPr="00813D19">
        <w:rPr>
          <w:lang w:val="en-US"/>
        </w:rPr>
        <w:t>at its eleventh session</w:t>
      </w:r>
      <w:r w:rsidR="007F0619" w:rsidRPr="00813D19">
        <w:rPr>
          <w:lang w:val="en-US"/>
        </w:rPr>
        <w:t xml:space="preserve"> and thus </w:t>
      </w:r>
      <w:r w:rsidR="00F93551" w:rsidRPr="00813D19">
        <w:rPr>
          <w:lang w:val="en-US"/>
        </w:rPr>
        <w:t xml:space="preserve">this item </w:t>
      </w:r>
      <w:r w:rsidR="007F0619" w:rsidRPr="00813D19">
        <w:rPr>
          <w:lang w:val="en-US"/>
        </w:rPr>
        <w:t xml:space="preserve">was not on </w:t>
      </w:r>
      <w:r w:rsidR="00F93551" w:rsidRPr="00813D19">
        <w:rPr>
          <w:lang w:val="en-US"/>
        </w:rPr>
        <w:t>th</w:t>
      </w:r>
      <w:r w:rsidR="003C5A68" w:rsidRPr="00813D19">
        <w:rPr>
          <w:lang w:val="en-US"/>
        </w:rPr>
        <w:t xml:space="preserve">e agenda </w:t>
      </w:r>
      <w:r w:rsidR="007F0619" w:rsidRPr="00813D19">
        <w:rPr>
          <w:lang w:val="en-US"/>
        </w:rPr>
        <w:t xml:space="preserve">at its </w:t>
      </w:r>
      <w:r w:rsidR="003C5A68" w:rsidRPr="00813D19">
        <w:rPr>
          <w:lang w:val="en-US"/>
        </w:rPr>
        <w:t>twelfth session</w:t>
      </w:r>
      <w:r w:rsidR="00F93551" w:rsidRPr="00813D19">
        <w:rPr>
          <w:lang w:val="en-US"/>
        </w:rPr>
        <w:t xml:space="preserve"> </w:t>
      </w:r>
      <w:r w:rsidR="007F0619" w:rsidRPr="00813D19">
        <w:rPr>
          <w:lang w:val="en-US"/>
        </w:rPr>
        <w:t>in 2017</w:t>
      </w:r>
      <w:r w:rsidR="00F93551" w:rsidRPr="00813D19">
        <w:rPr>
          <w:lang w:val="en-US"/>
        </w:rPr>
        <w:t xml:space="preserve">. Following the same reasoning, </w:t>
      </w:r>
      <w:r w:rsidR="007F0619" w:rsidRPr="00813D19">
        <w:rPr>
          <w:lang w:val="en-US"/>
        </w:rPr>
        <w:t xml:space="preserve">the Secretariat </w:t>
      </w:r>
      <w:r w:rsidR="00F93551" w:rsidRPr="00813D19">
        <w:rPr>
          <w:lang w:val="en-US"/>
        </w:rPr>
        <w:t>proposed that</w:t>
      </w:r>
      <w:r w:rsidR="003A3C97">
        <w:rPr>
          <w:lang w:val="en-US"/>
        </w:rPr>
        <w:t>,</w:t>
      </w:r>
      <w:r w:rsidR="00F93551" w:rsidRPr="00813D19">
        <w:rPr>
          <w:lang w:val="en-US"/>
        </w:rPr>
        <w:t xml:space="preserve"> </w:t>
      </w:r>
      <w:r w:rsidR="007F0619" w:rsidRPr="00813D19">
        <w:rPr>
          <w:lang w:val="en-US"/>
        </w:rPr>
        <w:t xml:space="preserve">from now on, </w:t>
      </w:r>
      <w:r w:rsidR="00F93551" w:rsidRPr="00813D19">
        <w:rPr>
          <w:lang w:val="en-US"/>
        </w:rPr>
        <w:t xml:space="preserve">the Committee examine this issue every two years at sessions </w:t>
      </w:r>
      <w:r w:rsidR="007F0619" w:rsidRPr="00813D19">
        <w:rPr>
          <w:lang w:val="en-US"/>
        </w:rPr>
        <w:t xml:space="preserve">falling in even-numbered years, which would better distribute the </w:t>
      </w:r>
      <w:r w:rsidR="00F93551" w:rsidRPr="00813D19">
        <w:rPr>
          <w:lang w:val="en-US"/>
        </w:rPr>
        <w:t>Committee’s workload</w:t>
      </w:r>
      <w:r w:rsidR="00052039" w:rsidRPr="00813D19">
        <w:rPr>
          <w:lang w:val="en-US"/>
        </w:rPr>
        <w:t>, not least</w:t>
      </w:r>
      <w:r w:rsidR="007F0619" w:rsidRPr="00813D19">
        <w:rPr>
          <w:lang w:val="en-US"/>
        </w:rPr>
        <w:t xml:space="preserve"> </w:t>
      </w:r>
      <w:r w:rsidR="00F93551" w:rsidRPr="00813D19">
        <w:rPr>
          <w:lang w:val="en-US"/>
        </w:rPr>
        <w:t xml:space="preserve">because several items </w:t>
      </w:r>
      <w:r w:rsidR="00052039" w:rsidRPr="00813D19">
        <w:rPr>
          <w:lang w:val="en-US"/>
        </w:rPr>
        <w:t xml:space="preserve">were </w:t>
      </w:r>
      <w:r w:rsidR="007F0619" w:rsidRPr="00813D19">
        <w:rPr>
          <w:lang w:val="en-US"/>
        </w:rPr>
        <w:t xml:space="preserve">examined </w:t>
      </w:r>
      <w:r w:rsidR="00F93551" w:rsidRPr="00813D19">
        <w:rPr>
          <w:lang w:val="en-US"/>
        </w:rPr>
        <w:t>only in odd-numbered years. Examples include</w:t>
      </w:r>
      <w:r w:rsidR="00052039" w:rsidRPr="00813D19">
        <w:rPr>
          <w:lang w:val="en-US"/>
        </w:rPr>
        <w:t>d</w:t>
      </w:r>
      <w:r w:rsidR="00F93551" w:rsidRPr="00813D19">
        <w:rPr>
          <w:lang w:val="en-US"/>
        </w:rPr>
        <w:t xml:space="preserve"> the Report of the Committee to the General Assembly, </w:t>
      </w:r>
      <w:r w:rsidR="003C5A68" w:rsidRPr="00813D19">
        <w:rPr>
          <w:lang w:val="en-US"/>
        </w:rPr>
        <w:t xml:space="preserve">the </w:t>
      </w:r>
      <w:r w:rsidR="00F93551" w:rsidRPr="00813D19">
        <w:rPr>
          <w:lang w:val="en-US"/>
        </w:rPr>
        <w:t xml:space="preserve">draft plan for the use of </w:t>
      </w:r>
      <w:r w:rsidR="003C5A68" w:rsidRPr="00813D19">
        <w:rPr>
          <w:lang w:val="en-US"/>
        </w:rPr>
        <w:t xml:space="preserve">the resources of the ICH Fund, </w:t>
      </w:r>
      <w:r w:rsidR="007F0619" w:rsidRPr="00813D19">
        <w:rPr>
          <w:lang w:val="en-US"/>
        </w:rPr>
        <w:t xml:space="preserve">the </w:t>
      </w:r>
      <w:r w:rsidR="003C5A68" w:rsidRPr="00813D19">
        <w:rPr>
          <w:lang w:val="en-US"/>
        </w:rPr>
        <w:t>a</w:t>
      </w:r>
      <w:r w:rsidR="00F93551" w:rsidRPr="00813D19">
        <w:rPr>
          <w:lang w:val="en-US"/>
        </w:rPr>
        <w:t xml:space="preserve">ccreditation and review of accredited NGOs, </w:t>
      </w:r>
      <w:r w:rsidR="007F0619" w:rsidRPr="00813D19">
        <w:rPr>
          <w:lang w:val="en-US"/>
        </w:rPr>
        <w:t>and so on</w:t>
      </w:r>
      <w:r w:rsidR="00F93551" w:rsidRPr="00813D19">
        <w:rPr>
          <w:lang w:val="en-US"/>
        </w:rPr>
        <w:t>.</w:t>
      </w:r>
      <w:r w:rsidR="00F93551" w:rsidRPr="00813D19">
        <w:rPr>
          <w:rFonts w:eastAsia="Malgun Gothic" w:hint="eastAsia"/>
          <w:lang w:val="en-US" w:eastAsia="ko-KR"/>
        </w:rPr>
        <w:t xml:space="preserve"> </w:t>
      </w:r>
      <w:r w:rsidR="007F0619" w:rsidRPr="00813D19">
        <w:rPr>
          <w:rFonts w:eastAsia="Malgun Gothic"/>
          <w:lang w:val="en-US" w:eastAsia="ko-KR"/>
        </w:rPr>
        <w:t xml:space="preserve">It was noted that </w:t>
      </w:r>
      <w:r w:rsidR="00F93551" w:rsidRPr="00813D19">
        <w:rPr>
          <w:rFonts w:hint="eastAsia"/>
          <w:lang w:val="en-US"/>
        </w:rPr>
        <w:t>document</w:t>
      </w:r>
      <w:r w:rsidR="007F0619" w:rsidRPr="00813D19">
        <w:rPr>
          <w:rFonts w:eastAsia="Malgun Gothic" w:hint="eastAsia"/>
          <w:lang w:val="en-US" w:eastAsia="ko-KR"/>
        </w:rPr>
        <w:t xml:space="preserve"> 15 </w:t>
      </w:r>
      <w:r w:rsidR="00052039" w:rsidRPr="00813D19">
        <w:rPr>
          <w:rFonts w:eastAsia="Malgun Gothic" w:hint="eastAsia"/>
          <w:lang w:val="en-US" w:eastAsia="ko-KR"/>
        </w:rPr>
        <w:t>addressed</w:t>
      </w:r>
      <w:r w:rsidR="00F93551" w:rsidRPr="00813D19">
        <w:rPr>
          <w:rFonts w:eastAsia="Malgun Gothic"/>
          <w:lang w:val="en-US" w:eastAsia="ko-KR"/>
        </w:rPr>
        <w:t xml:space="preserve"> </w:t>
      </w:r>
      <w:r w:rsidR="00A612ED" w:rsidRPr="00813D19">
        <w:rPr>
          <w:rFonts w:eastAsia="Malgun Gothic" w:hint="eastAsia"/>
          <w:lang w:val="en-US" w:eastAsia="ko-KR"/>
        </w:rPr>
        <w:t xml:space="preserve">two issues: i) </w:t>
      </w:r>
      <w:r w:rsidR="007F0619" w:rsidRPr="00813D19">
        <w:rPr>
          <w:rFonts w:eastAsia="Malgun Gothic" w:hint="eastAsia"/>
          <w:lang w:val="en-US" w:eastAsia="ko-KR"/>
        </w:rPr>
        <w:t>t</w:t>
      </w:r>
      <w:r w:rsidR="00F93551" w:rsidRPr="00813D19">
        <w:rPr>
          <w:rFonts w:eastAsia="Malgun Gothic" w:hint="eastAsia"/>
          <w:lang w:val="en-US" w:eastAsia="ko-KR"/>
        </w:rPr>
        <w:t xml:space="preserve">he experience </w:t>
      </w:r>
      <w:r w:rsidR="00F93551" w:rsidRPr="00813D19">
        <w:rPr>
          <w:rFonts w:eastAsia="Malgun Gothic"/>
          <w:lang w:val="en-US" w:eastAsia="ko-KR"/>
        </w:rPr>
        <w:t>regarding</w:t>
      </w:r>
      <w:r w:rsidR="00F93551" w:rsidRPr="00813D19">
        <w:rPr>
          <w:rFonts w:eastAsia="Malgun Gothic" w:hint="eastAsia"/>
          <w:lang w:val="en-US" w:eastAsia="ko-KR"/>
        </w:rPr>
        <w:t xml:space="preserve"> the files </w:t>
      </w:r>
      <w:r w:rsidR="00F93551" w:rsidRPr="00813D19">
        <w:rPr>
          <w:rFonts w:eastAsia="Malgun Gothic"/>
          <w:lang w:val="en-US" w:eastAsia="ko-KR"/>
        </w:rPr>
        <w:t xml:space="preserve">submitted for </w:t>
      </w:r>
      <w:r w:rsidR="00F93551" w:rsidRPr="00813D19">
        <w:rPr>
          <w:rFonts w:eastAsia="Malgun Gothic" w:hint="eastAsia"/>
          <w:lang w:val="en-US" w:eastAsia="ko-KR"/>
        </w:rPr>
        <w:t>the 201</w:t>
      </w:r>
      <w:r w:rsidR="00F93551" w:rsidRPr="00813D19">
        <w:rPr>
          <w:rFonts w:eastAsia="Malgun Gothic"/>
          <w:lang w:val="en-US" w:eastAsia="ko-KR"/>
        </w:rPr>
        <w:t>8</w:t>
      </w:r>
      <w:r w:rsidR="00F93551" w:rsidRPr="00813D19">
        <w:rPr>
          <w:rFonts w:eastAsia="Malgun Gothic" w:hint="eastAsia"/>
          <w:lang w:val="en-US" w:eastAsia="ko-KR"/>
        </w:rPr>
        <w:t xml:space="preserve"> </w:t>
      </w:r>
      <w:r w:rsidR="00F93551" w:rsidRPr="00813D19">
        <w:rPr>
          <w:rFonts w:eastAsia="Malgun Gothic"/>
          <w:lang w:val="en-US" w:eastAsia="ko-KR"/>
        </w:rPr>
        <w:t xml:space="preserve">and 2019 </w:t>
      </w:r>
      <w:r w:rsidR="00F93551" w:rsidRPr="00813D19">
        <w:rPr>
          <w:rFonts w:eastAsia="Malgun Gothic" w:hint="eastAsia"/>
          <w:lang w:val="en-US" w:eastAsia="ko-KR"/>
        </w:rPr>
        <w:t>cycle</w:t>
      </w:r>
      <w:r w:rsidR="00F93551" w:rsidRPr="00813D19">
        <w:rPr>
          <w:rFonts w:eastAsia="Malgun Gothic"/>
          <w:lang w:val="en-US" w:eastAsia="ko-KR"/>
        </w:rPr>
        <w:t>s</w:t>
      </w:r>
      <w:r w:rsidR="00A612ED" w:rsidRPr="00813D19">
        <w:rPr>
          <w:rFonts w:eastAsia="Malgun Gothic"/>
          <w:lang w:val="en-US" w:eastAsia="ko-KR"/>
        </w:rPr>
        <w:t>;</w:t>
      </w:r>
      <w:r w:rsidR="00AF2E34" w:rsidRPr="00813D19">
        <w:rPr>
          <w:rFonts w:eastAsia="Malgun Gothic"/>
          <w:lang w:val="en-US" w:eastAsia="ko-KR"/>
        </w:rPr>
        <w:t xml:space="preserve"> and </w:t>
      </w:r>
      <w:r w:rsidR="00A612ED" w:rsidRPr="00813D19">
        <w:rPr>
          <w:rFonts w:eastAsia="Malgun Gothic"/>
          <w:lang w:val="en-US" w:eastAsia="ko-KR"/>
        </w:rPr>
        <w:t xml:space="preserve">ii) </w:t>
      </w:r>
      <w:r w:rsidR="00AF2E34" w:rsidRPr="00813D19">
        <w:rPr>
          <w:rFonts w:eastAsia="Malgun Gothic" w:hint="eastAsia"/>
          <w:lang w:val="en-US" w:eastAsia="ko-KR"/>
        </w:rPr>
        <w:t>t</w:t>
      </w:r>
      <w:r w:rsidR="00F93551" w:rsidRPr="00813D19">
        <w:rPr>
          <w:rFonts w:eastAsia="Malgun Gothic" w:hint="eastAsia"/>
          <w:lang w:val="en-US" w:eastAsia="ko-KR"/>
        </w:rPr>
        <w:t>he number of files that can be treated in the next two cycles (20</w:t>
      </w:r>
      <w:r w:rsidR="00F93551" w:rsidRPr="00813D19">
        <w:rPr>
          <w:rFonts w:eastAsia="Malgun Gothic"/>
          <w:lang w:val="en-US" w:eastAsia="ko-KR"/>
        </w:rPr>
        <w:t>20</w:t>
      </w:r>
      <w:r w:rsidR="00F93551" w:rsidRPr="00813D19">
        <w:rPr>
          <w:rFonts w:eastAsia="Malgun Gothic" w:hint="eastAsia"/>
          <w:lang w:val="en-US" w:eastAsia="ko-KR"/>
        </w:rPr>
        <w:t xml:space="preserve"> and 20</w:t>
      </w:r>
      <w:r w:rsidR="00F93551" w:rsidRPr="00813D19">
        <w:rPr>
          <w:rFonts w:eastAsia="Malgun Gothic"/>
          <w:lang w:val="en-US" w:eastAsia="ko-KR"/>
        </w:rPr>
        <w:t>21</w:t>
      </w:r>
      <w:r w:rsidR="00F93551" w:rsidRPr="00813D19">
        <w:rPr>
          <w:rFonts w:eastAsia="Malgun Gothic" w:hint="eastAsia"/>
          <w:lang w:val="en-US" w:eastAsia="ko-KR"/>
        </w:rPr>
        <w:t xml:space="preserve">). </w:t>
      </w:r>
      <w:r w:rsidR="00A612ED" w:rsidRPr="00813D19">
        <w:rPr>
          <w:rFonts w:eastAsia="Malgun Gothic"/>
          <w:lang w:val="en-US" w:eastAsia="ko-KR"/>
        </w:rPr>
        <w:t xml:space="preserve">Ms Ohinata further noted </w:t>
      </w:r>
      <w:r w:rsidR="00A612ED" w:rsidRPr="00813D19">
        <w:rPr>
          <w:rFonts w:eastAsia="Malgun Gothic"/>
          <w:bCs/>
          <w:lang w:val="en-US" w:eastAsia="ko-KR"/>
        </w:rPr>
        <w:t xml:space="preserve">that </w:t>
      </w:r>
      <w:r w:rsidR="00052039" w:rsidRPr="00813D19">
        <w:rPr>
          <w:rFonts w:eastAsia="Malgun Gothic"/>
          <w:lang w:val="en-US" w:eastAsia="ko-KR"/>
        </w:rPr>
        <w:t>the Committee—</w:t>
      </w:r>
      <w:r w:rsidR="00F93551" w:rsidRPr="00813D19">
        <w:rPr>
          <w:rFonts w:eastAsia="Malgun Gothic"/>
          <w:lang w:val="en-US" w:eastAsia="ko-KR"/>
        </w:rPr>
        <w:t>by its</w:t>
      </w:r>
      <w:r w:rsidR="00052039" w:rsidRPr="00813D19">
        <w:rPr>
          <w:lang w:val="en-US"/>
        </w:rPr>
        <w:t xml:space="preserve"> Decisions</w:t>
      </w:r>
      <w:r w:rsidR="00F93551" w:rsidRPr="00813D19">
        <w:rPr>
          <w:lang w:val="en-US"/>
        </w:rPr>
        <w:t> </w:t>
      </w:r>
      <w:hyperlink r:id="rId166" w:history="1">
        <w:r w:rsidR="00F93551" w:rsidRPr="00813D19">
          <w:rPr>
            <w:rStyle w:val="Hyperlink"/>
            <w:lang w:val="en-US"/>
          </w:rPr>
          <w:t>10.COM 13</w:t>
        </w:r>
      </w:hyperlink>
      <w:r w:rsidR="00F93551" w:rsidRPr="00813D19">
        <w:rPr>
          <w:lang w:val="en-US"/>
        </w:rPr>
        <w:t xml:space="preserve"> and </w:t>
      </w:r>
      <w:hyperlink r:id="rId167" w:history="1">
        <w:r w:rsidR="00F93551" w:rsidRPr="00813D19">
          <w:rPr>
            <w:rStyle w:val="Hyperlink"/>
            <w:lang w:val="en-US"/>
          </w:rPr>
          <w:t>11.COM 12</w:t>
        </w:r>
      </w:hyperlink>
      <w:r w:rsidR="00052039" w:rsidRPr="00813D19">
        <w:rPr>
          <w:lang w:val="en-US"/>
        </w:rPr>
        <w:softHyphen/>
        <w:t>—</w:t>
      </w:r>
      <w:r w:rsidR="00A612ED" w:rsidRPr="00813D19">
        <w:rPr>
          <w:lang w:val="en-US"/>
        </w:rPr>
        <w:t xml:space="preserve">had </w:t>
      </w:r>
      <w:r w:rsidR="00F93551" w:rsidRPr="00813D19">
        <w:rPr>
          <w:lang w:val="en-US"/>
        </w:rPr>
        <w:t xml:space="preserve">set a ceiling of </w:t>
      </w:r>
      <w:r w:rsidR="003A3C97">
        <w:rPr>
          <w:lang w:val="en-US"/>
        </w:rPr>
        <w:t>fifty</w:t>
      </w:r>
      <w:r w:rsidR="003A3C97" w:rsidRPr="00813D19">
        <w:rPr>
          <w:lang w:val="en-US"/>
        </w:rPr>
        <w:t xml:space="preserve"> </w:t>
      </w:r>
      <w:r w:rsidR="00F93551" w:rsidRPr="00813D19">
        <w:rPr>
          <w:rFonts w:eastAsia="Malgun Gothic" w:hint="eastAsia"/>
          <w:lang w:val="en-US" w:eastAsia="ko-KR"/>
        </w:rPr>
        <w:t>files</w:t>
      </w:r>
      <w:r w:rsidR="00F93551" w:rsidRPr="00813D19">
        <w:rPr>
          <w:lang w:val="en-US"/>
        </w:rPr>
        <w:t xml:space="preserve"> </w:t>
      </w:r>
      <w:r w:rsidR="00F93551" w:rsidRPr="00813D19">
        <w:rPr>
          <w:rFonts w:eastAsia="Malgun Gothic" w:hint="eastAsia"/>
          <w:lang w:val="en-US" w:eastAsia="ko-KR"/>
        </w:rPr>
        <w:t>per year</w:t>
      </w:r>
      <w:r w:rsidR="00F93551" w:rsidRPr="00813D19">
        <w:rPr>
          <w:rFonts w:eastAsia="Malgun Gothic"/>
          <w:lang w:val="en-US" w:eastAsia="ko-KR"/>
        </w:rPr>
        <w:t>,</w:t>
      </w:r>
      <w:r w:rsidR="00F93551" w:rsidRPr="00813D19">
        <w:rPr>
          <w:rFonts w:eastAsia="Malgun Gothic" w:hint="eastAsia"/>
          <w:lang w:val="en-US" w:eastAsia="ko-KR"/>
        </w:rPr>
        <w:t xml:space="preserve"> </w:t>
      </w:r>
      <w:r w:rsidR="00A612ED" w:rsidRPr="00813D19">
        <w:rPr>
          <w:rFonts w:eastAsia="Malgun Gothic"/>
          <w:lang w:val="en-US" w:eastAsia="ko-KR"/>
        </w:rPr>
        <w:t xml:space="preserve">with </w:t>
      </w:r>
      <w:r w:rsidR="00F93551" w:rsidRPr="00813D19">
        <w:rPr>
          <w:lang w:val="en-US"/>
        </w:rPr>
        <w:t xml:space="preserve">at least one file per submitting State to be processed over the two cycles. In accordance </w:t>
      </w:r>
      <w:r w:rsidR="003A3C97">
        <w:rPr>
          <w:lang w:val="en-US"/>
        </w:rPr>
        <w:t>with</w:t>
      </w:r>
      <w:r w:rsidR="003A3C97" w:rsidRPr="00813D19">
        <w:rPr>
          <w:lang w:val="en-US"/>
        </w:rPr>
        <w:t xml:space="preserve"> </w:t>
      </w:r>
      <w:r w:rsidR="00F93551" w:rsidRPr="00813D19">
        <w:rPr>
          <w:lang w:val="en-US"/>
        </w:rPr>
        <w:t xml:space="preserve">those decisions and the priorities established by paragraph 34 of the Operational Directives, </w:t>
      </w:r>
      <w:r w:rsidR="003A3C97">
        <w:rPr>
          <w:lang w:val="en-US"/>
        </w:rPr>
        <w:t>fifty-one</w:t>
      </w:r>
      <w:r w:rsidR="003A3C97" w:rsidRPr="00813D19">
        <w:rPr>
          <w:lang w:val="en-US"/>
        </w:rPr>
        <w:t xml:space="preserve"> </w:t>
      </w:r>
      <w:r w:rsidR="00F93551" w:rsidRPr="00813D19">
        <w:rPr>
          <w:lang w:val="en-US"/>
        </w:rPr>
        <w:t xml:space="preserve">files </w:t>
      </w:r>
      <w:r w:rsidR="00A612ED" w:rsidRPr="00813D19">
        <w:rPr>
          <w:lang w:val="en-US"/>
        </w:rPr>
        <w:t xml:space="preserve">would be </w:t>
      </w:r>
      <w:r w:rsidR="00F93551" w:rsidRPr="00813D19">
        <w:rPr>
          <w:lang w:val="en-US"/>
        </w:rPr>
        <w:t xml:space="preserve">treated for the 2019 cycle and </w:t>
      </w:r>
      <w:r w:rsidR="003A3C97">
        <w:rPr>
          <w:lang w:val="en-US"/>
        </w:rPr>
        <w:t>fifty</w:t>
      </w:r>
      <w:r w:rsidR="003A3C97" w:rsidRPr="00813D19">
        <w:rPr>
          <w:lang w:val="en-US"/>
        </w:rPr>
        <w:t xml:space="preserve"> </w:t>
      </w:r>
      <w:r w:rsidR="00AF2E34" w:rsidRPr="00813D19">
        <w:rPr>
          <w:lang w:val="en-US"/>
        </w:rPr>
        <w:t xml:space="preserve">files </w:t>
      </w:r>
      <w:r w:rsidR="00F93551" w:rsidRPr="00813D19">
        <w:rPr>
          <w:lang w:val="en-US"/>
        </w:rPr>
        <w:t>were treated for the current 2018</w:t>
      </w:r>
      <w:r w:rsidR="00AF2E34" w:rsidRPr="00813D19">
        <w:rPr>
          <w:lang w:val="en-US"/>
        </w:rPr>
        <w:t xml:space="preserve"> cycle</w:t>
      </w:r>
      <w:r w:rsidR="00F93551" w:rsidRPr="00813D19">
        <w:rPr>
          <w:lang w:val="en-US"/>
        </w:rPr>
        <w:t xml:space="preserve">. For the 2019 cycle, </w:t>
      </w:r>
      <w:r w:rsidR="003A3C97">
        <w:rPr>
          <w:lang w:val="en-US"/>
        </w:rPr>
        <w:t>fifty-one</w:t>
      </w:r>
      <w:r w:rsidR="00F93551" w:rsidRPr="00813D19">
        <w:rPr>
          <w:rFonts w:eastAsia="Malgun Gothic" w:hint="eastAsia"/>
          <w:lang w:val="en-US" w:eastAsia="ko-KR"/>
        </w:rPr>
        <w:t xml:space="preserve"> </w:t>
      </w:r>
      <w:r w:rsidR="00A612ED" w:rsidRPr="00813D19">
        <w:rPr>
          <w:rFonts w:eastAsia="Malgun Gothic"/>
          <w:lang w:val="en-US" w:eastAsia="ko-KR"/>
        </w:rPr>
        <w:t xml:space="preserve">files </w:t>
      </w:r>
      <w:r w:rsidR="00F93551" w:rsidRPr="00813D19">
        <w:rPr>
          <w:rFonts w:eastAsia="Malgun Gothic"/>
          <w:lang w:val="en-US" w:eastAsia="ko-KR"/>
        </w:rPr>
        <w:t>instead</w:t>
      </w:r>
      <w:r w:rsidR="00F93551" w:rsidRPr="00813D19">
        <w:rPr>
          <w:lang w:val="en-US"/>
        </w:rPr>
        <w:t xml:space="preserve"> of </w:t>
      </w:r>
      <w:r w:rsidR="003A3C97">
        <w:rPr>
          <w:lang w:val="en-US"/>
        </w:rPr>
        <w:t>fifty</w:t>
      </w:r>
      <w:r w:rsidR="003A3C97" w:rsidRPr="00813D19">
        <w:rPr>
          <w:lang w:val="en-US"/>
        </w:rPr>
        <w:t xml:space="preserve"> </w:t>
      </w:r>
      <w:r w:rsidR="00F93551" w:rsidRPr="00813D19">
        <w:rPr>
          <w:rFonts w:eastAsia="Malgun Gothic" w:hint="eastAsia"/>
          <w:lang w:val="en-US" w:eastAsia="ko-KR"/>
        </w:rPr>
        <w:t xml:space="preserve">files </w:t>
      </w:r>
      <w:r w:rsidR="00A612ED" w:rsidRPr="00813D19">
        <w:rPr>
          <w:rFonts w:eastAsia="Malgun Gothic"/>
          <w:lang w:val="en-US" w:eastAsia="ko-KR"/>
        </w:rPr>
        <w:t xml:space="preserve">would be treated </w:t>
      </w:r>
      <w:r w:rsidR="00F93551" w:rsidRPr="00813D19">
        <w:rPr>
          <w:lang w:val="en-US"/>
        </w:rPr>
        <w:t xml:space="preserve">because </w:t>
      </w:r>
      <w:r w:rsidR="00F93551" w:rsidRPr="00813D19">
        <w:rPr>
          <w:rFonts w:eastAsia="Malgun Gothic"/>
          <w:lang w:val="en-US" w:eastAsia="ko-KR"/>
        </w:rPr>
        <w:t>five</w:t>
      </w:r>
      <w:r w:rsidR="00F93551" w:rsidRPr="00813D19">
        <w:rPr>
          <w:lang w:val="en-US"/>
        </w:rPr>
        <w:t xml:space="preserve"> </w:t>
      </w:r>
      <w:r w:rsidR="00F93551" w:rsidRPr="00813D19">
        <w:rPr>
          <w:rFonts w:hint="eastAsia"/>
          <w:lang w:val="en-US"/>
        </w:rPr>
        <w:t>files</w:t>
      </w:r>
      <w:r w:rsidR="008A3267" w:rsidRPr="00813D19">
        <w:rPr>
          <w:lang w:val="en-US"/>
        </w:rPr>
        <w:t xml:space="preserve"> had the same level of priority</w:t>
      </w:r>
      <w:r w:rsidR="00A612ED" w:rsidRPr="00813D19">
        <w:rPr>
          <w:rFonts w:eastAsia="Malgun Gothic"/>
          <w:lang w:val="en-US" w:eastAsia="ko-KR"/>
        </w:rPr>
        <w:t>; t</w:t>
      </w:r>
      <w:r w:rsidR="00F93551" w:rsidRPr="00813D19">
        <w:rPr>
          <w:lang w:val="en-US"/>
        </w:rPr>
        <w:t>he Secretariat exe</w:t>
      </w:r>
      <w:r w:rsidR="00F93551" w:rsidRPr="00813D19">
        <w:rPr>
          <w:rFonts w:eastAsia="Malgun Gothic"/>
          <w:lang w:val="en-US" w:eastAsia="ko-KR"/>
        </w:rPr>
        <w:t xml:space="preserve">rcised </w:t>
      </w:r>
      <w:r w:rsidR="00F93551" w:rsidRPr="00813D19">
        <w:rPr>
          <w:lang w:val="en-US"/>
        </w:rPr>
        <w:t xml:space="preserve">flexibility to include </w:t>
      </w:r>
      <w:r w:rsidR="00F93551" w:rsidRPr="00813D19">
        <w:rPr>
          <w:rFonts w:eastAsia="Malgun Gothic"/>
          <w:lang w:val="en-US" w:eastAsia="ko-KR"/>
        </w:rPr>
        <w:t>all the files in the same category,</w:t>
      </w:r>
      <w:r w:rsidR="00F93551" w:rsidRPr="00813D19">
        <w:rPr>
          <w:lang w:val="en-US"/>
        </w:rPr>
        <w:t xml:space="preserve"> </w:t>
      </w:r>
      <w:r w:rsidR="00F93551" w:rsidRPr="00813D19">
        <w:rPr>
          <w:rFonts w:eastAsia="Malgun Gothic"/>
          <w:lang w:val="en-US" w:eastAsia="ko-KR"/>
        </w:rPr>
        <w:t>a</w:t>
      </w:r>
      <w:r w:rsidR="00F93551" w:rsidRPr="00813D19">
        <w:rPr>
          <w:lang w:val="en-US"/>
        </w:rPr>
        <w:t xml:space="preserve">ccording to </w:t>
      </w:r>
      <w:r w:rsidR="00F93551" w:rsidRPr="00813D19">
        <w:rPr>
          <w:rFonts w:eastAsia="Malgun Gothic"/>
          <w:lang w:val="en-US" w:eastAsia="ko-KR"/>
        </w:rPr>
        <w:t>D</w:t>
      </w:r>
      <w:r w:rsidR="00F93551" w:rsidRPr="00813D19">
        <w:rPr>
          <w:lang w:val="en-US"/>
        </w:rPr>
        <w:t>ecision</w:t>
      </w:r>
      <w:r w:rsidR="00F93551" w:rsidRPr="00813D19">
        <w:rPr>
          <w:rFonts w:eastAsia="Malgun Gothic"/>
          <w:lang w:val="en-US" w:eastAsia="ko-KR"/>
        </w:rPr>
        <w:t xml:space="preserve"> 11.COM 12</w:t>
      </w:r>
      <w:r w:rsidR="00F93551" w:rsidRPr="00813D19">
        <w:rPr>
          <w:lang w:val="en-US"/>
        </w:rPr>
        <w:t>.</w:t>
      </w:r>
      <w:r w:rsidR="00F93551" w:rsidRPr="00813D19">
        <w:rPr>
          <w:rFonts w:eastAsia="Malgun Gothic"/>
          <w:lang w:val="en-US" w:eastAsia="ko-KR"/>
        </w:rPr>
        <w:t xml:space="preserve"> The files</w:t>
      </w:r>
      <w:r w:rsidR="00F93551" w:rsidRPr="00813D19">
        <w:rPr>
          <w:rFonts w:eastAsia="Malgun Gothic" w:hint="eastAsia"/>
          <w:lang w:val="en-US" w:eastAsia="ko-KR"/>
        </w:rPr>
        <w:t xml:space="preserve"> </w:t>
      </w:r>
      <w:r w:rsidR="00A612ED" w:rsidRPr="00813D19">
        <w:rPr>
          <w:rFonts w:eastAsia="Malgun Gothic"/>
          <w:lang w:val="en-US" w:eastAsia="ko-KR"/>
        </w:rPr>
        <w:t xml:space="preserve">fell </w:t>
      </w:r>
      <w:r w:rsidR="00F93551" w:rsidRPr="00813D19">
        <w:rPr>
          <w:rFonts w:eastAsia="Malgun Gothic" w:hint="eastAsia"/>
          <w:lang w:val="en-US" w:eastAsia="ko-KR"/>
        </w:rPr>
        <w:t xml:space="preserve">into </w:t>
      </w:r>
      <w:r w:rsidR="003A3C97">
        <w:rPr>
          <w:rFonts w:eastAsia="Malgun Gothic"/>
          <w:lang w:val="en-US" w:eastAsia="ko-KR"/>
        </w:rPr>
        <w:t>four</w:t>
      </w:r>
      <w:r w:rsidR="003A3C97" w:rsidRPr="00813D19">
        <w:rPr>
          <w:rFonts w:eastAsia="Malgun Gothic"/>
          <w:lang w:val="en-US" w:eastAsia="ko-KR"/>
        </w:rPr>
        <w:t> </w:t>
      </w:r>
      <w:r w:rsidR="00F93551" w:rsidRPr="00813D19">
        <w:rPr>
          <w:rFonts w:eastAsia="Malgun Gothic" w:hint="eastAsia"/>
          <w:lang w:val="en-US" w:eastAsia="ko-KR"/>
        </w:rPr>
        <w:t>categories</w:t>
      </w:r>
      <w:r w:rsidR="00F93551" w:rsidRPr="00813D19">
        <w:rPr>
          <w:rFonts w:eastAsia="Malgun Gothic"/>
          <w:lang w:val="en-US" w:eastAsia="ko-KR"/>
        </w:rPr>
        <w:t>:</w:t>
      </w:r>
      <w:r w:rsidR="00F93551" w:rsidRPr="00813D19">
        <w:rPr>
          <w:rFonts w:eastAsia="Malgun Gothic" w:hint="eastAsia"/>
          <w:lang w:val="en-US" w:eastAsia="ko-KR"/>
        </w:rPr>
        <w:t xml:space="preserve"> </w:t>
      </w:r>
      <w:r w:rsidR="008A3267" w:rsidRPr="00813D19">
        <w:rPr>
          <w:rFonts w:eastAsia="Malgun Gothic"/>
          <w:lang w:val="en-US" w:eastAsia="ko-KR"/>
        </w:rPr>
        <w:t xml:space="preserve">i) </w:t>
      </w:r>
      <w:r w:rsidR="00752FD8" w:rsidRPr="00813D19">
        <w:rPr>
          <w:rFonts w:eastAsia="Malgun Gothic"/>
          <w:lang w:val="en-US" w:eastAsia="ko-KR"/>
        </w:rPr>
        <w:t xml:space="preserve">category zero (0) </w:t>
      </w:r>
      <w:r w:rsidR="008A3267" w:rsidRPr="00813D19">
        <w:rPr>
          <w:rFonts w:eastAsia="Malgun Gothic" w:hint="eastAsia"/>
          <w:lang w:val="en-US" w:eastAsia="ko-KR"/>
        </w:rPr>
        <w:t>f</w:t>
      </w:r>
      <w:r w:rsidR="00F93551" w:rsidRPr="00813D19">
        <w:rPr>
          <w:rFonts w:eastAsia="Malgun Gothic" w:hint="eastAsia"/>
          <w:lang w:val="en-US" w:eastAsia="ko-KR"/>
        </w:rPr>
        <w:t>iles from States whose national files could not be treated in 201</w:t>
      </w:r>
      <w:r w:rsidR="00F93551" w:rsidRPr="00813D19">
        <w:rPr>
          <w:rFonts w:eastAsia="Malgun Gothic"/>
          <w:lang w:val="en-US" w:eastAsia="ko-KR"/>
        </w:rPr>
        <w:t>8</w:t>
      </w:r>
      <w:r w:rsidR="00A612ED" w:rsidRPr="00813D19">
        <w:rPr>
          <w:rFonts w:eastAsia="Malgun Gothic"/>
          <w:lang w:val="en-US" w:eastAsia="ko-KR"/>
        </w:rPr>
        <w:t xml:space="preserve">, </w:t>
      </w:r>
      <w:r w:rsidR="00085A5B" w:rsidRPr="00813D19">
        <w:rPr>
          <w:rFonts w:eastAsia="Malgun Gothic"/>
          <w:lang w:val="en-US" w:eastAsia="ko-KR"/>
        </w:rPr>
        <w:t xml:space="preserve">corresponding </w:t>
      </w:r>
      <w:r w:rsidR="00A612ED" w:rsidRPr="00813D19">
        <w:rPr>
          <w:rFonts w:eastAsia="Malgun Gothic"/>
          <w:lang w:val="en-US" w:eastAsia="ko-KR"/>
        </w:rPr>
        <w:t xml:space="preserve">to </w:t>
      </w:r>
      <w:r w:rsidR="003A3C97">
        <w:rPr>
          <w:lang w:val="en-US"/>
        </w:rPr>
        <w:t>thirty-two</w:t>
      </w:r>
      <w:r w:rsidR="003A3C97" w:rsidRPr="00813D19">
        <w:rPr>
          <w:lang w:val="en-US"/>
        </w:rPr>
        <w:t xml:space="preserve"> </w:t>
      </w:r>
      <w:r w:rsidR="00A612ED" w:rsidRPr="00813D19">
        <w:rPr>
          <w:lang w:val="en-US"/>
        </w:rPr>
        <w:t xml:space="preserve">files </w:t>
      </w:r>
      <w:r w:rsidR="00F93551" w:rsidRPr="00813D19">
        <w:rPr>
          <w:lang w:val="en-US"/>
        </w:rPr>
        <w:t>for the 2019 cycle;</w:t>
      </w:r>
      <w:r w:rsidR="00F93551" w:rsidRPr="00813D19">
        <w:rPr>
          <w:rFonts w:eastAsia="Malgun Gothic" w:hint="eastAsia"/>
          <w:lang w:val="en-US" w:eastAsia="ko-KR"/>
        </w:rPr>
        <w:t xml:space="preserve"> </w:t>
      </w:r>
      <w:r w:rsidR="008A3267" w:rsidRPr="00813D19">
        <w:rPr>
          <w:rFonts w:eastAsia="Malgun Gothic"/>
          <w:lang w:val="en-US" w:eastAsia="ko-KR"/>
        </w:rPr>
        <w:t xml:space="preserve">ii) </w:t>
      </w:r>
      <w:r w:rsidR="008A3267" w:rsidRPr="00813D19">
        <w:rPr>
          <w:rFonts w:eastAsia="Malgun Gothic" w:hint="eastAsia"/>
          <w:lang w:val="en-US" w:eastAsia="ko-KR"/>
        </w:rPr>
        <w:t>f</w:t>
      </w:r>
      <w:r w:rsidR="00F93551" w:rsidRPr="00813D19">
        <w:rPr>
          <w:rFonts w:eastAsia="Malgun Gothic" w:hint="eastAsia"/>
          <w:lang w:val="en-US" w:eastAsia="ko-KR"/>
        </w:rPr>
        <w:t>iles from Stat</w:t>
      </w:r>
      <w:r w:rsidR="00085A5B" w:rsidRPr="00813D19">
        <w:rPr>
          <w:rFonts w:eastAsia="Malgun Gothic" w:hint="eastAsia"/>
          <w:lang w:val="en-US" w:eastAsia="ko-KR"/>
        </w:rPr>
        <w:t>es with no elements/programmes/</w:t>
      </w:r>
      <w:r w:rsidR="003A3C97">
        <w:rPr>
          <w:rFonts w:eastAsia="Malgun Gothic"/>
          <w:lang w:val="en-US" w:eastAsia="ko-KR"/>
        </w:rPr>
        <w:t>I</w:t>
      </w:r>
      <w:r w:rsidR="00085A5B" w:rsidRPr="00813D19">
        <w:rPr>
          <w:rFonts w:eastAsia="Malgun Gothic" w:hint="eastAsia"/>
          <w:lang w:val="en-US" w:eastAsia="ko-KR"/>
        </w:rPr>
        <w:t xml:space="preserve">nternational </w:t>
      </w:r>
      <w:r w:rsidR="003A3C97">
        <w:rPr>
          <w:rFonts w:eastAsia="Malgun Gothic"/>
          <w:lang w:val="en-US" w:eastAsia="ko-KR"/>
        </w:rPr>
        <w:t>A</w:t>
      </w:r>
      <w:r w:rsidR="003A3C97" w:rsidRPr="00813D19">
        <w:rPr>
          <w:rFonts w:eastAsia="Malgun Gothic" w:hint="eastAsia"/>
          <w:lang w:val="en-US" w:eastAsia="ko-KR"/>
        </w:rPr>
        <w:t xml:space="preserve">ssistance </w:t>
      </w:r>
      <w:r w:rsidR="00085A5B" w:rsidRPr="00813D19">
        <w:rPr>
          <w:rFonts w:eastAsia="Malgun Gothic" w:hint="eastAsia"/>
          <w:lang w:val="en-US" w:eastAsia="ko-KR"/>
        </w:rPr>
        <w:t>requests</w:t>
      </w:r>
      <w:r w:rsidR="00085A5B" w:rsidRPr="00813D19">
        <w:rPr>
          <w:rFonts w:eastAsia="Malgun Gothic"/>
          <w:lang w:val="en-US" w:eastAsia="ko-KR"/>
        </w:rPr>
        <w:t xml:space="preserve"> </w:t>
      </w:r>
      <w:r w:rsidR="00085A5B" w:rsidRPr="00813D19">
        <w:rPr>
          <w:rFonts w:eastAsia="Malgun Gothic" w:hint="eastAsia"/>
          <w:lang w:val="en-US" w:eastAsia="ko-KR"/>
        </w:rPr>
        <w:t xml:space="preserve">or </w:t>
      </w:r>
      <w:r w:rsidR="00052039" w:rsidRPr="00813D19">
        <w:rPr>
          <w:rFonts w:eastAsia="Malgun Gothic"/>
          <w:lang w:val="en-US" w:eastAsia="ko-KR"/>
        </w:rPr>
        <w:t xml:space="preserve">Urgent Safeguarding List </w:t>
      </w:r>
      <w:r w:rsidR="003A3C97">
        <w:rPr>
          <w:rFonts w:eastAsia="Malgun Gothic"/>
          <w:lang w:val="en-US" w:eastAsia="ko-KR"/>
        </w:rPr>
        <w:t>nominations</w:t>
      </w:r>
      <w:r w:rsidR="00085A5B" w:rsidRPr="00813D19">
        <w:rPr>
          <w:rFonts w:eastAsia="Malgun Gothic"/>
          <w:lang w:val="en-US" w:eastAsia="ko-KR"/>
        </w:rPr>
        <w:t xml:space="preserve">, </w:t>
      </w:r>
      <w:r w:rsidR="00F93551" w:rsidRPr="00813D19">
        <w:rPr>
          <w:rFonts w:eastAsia="Malgun Gothic"/>
          <w:lang w:val="en-US" w:eastAsia="ko-KR"/>
        </w:rPr>
        <w:t xml:space="preserve">corresponding to </w:t>
      </w:r>
      <w:r w:rsidR="003A3C97">
        <w:rPr>
          <w:rFonts w:eastAsia="Malgun Gothic"/>
          <w:lang w:val="en-US" w:eastAsia="ko-KR"/>
        </w:rPr>
        <w:t>three</w:t>
      </w:r>
      <w:r w:rsidR="003A3C97" w:rsidRPr="00813D19">
        <w:rPr>
          <w:rFonts w:eastAsia="Malgun Gothic"/>
          <w:lang w:val="en-US" w:eastAsia="ko-KR"/>
        </w:rPr>
        <w:t xml:space="preserve"> </w:t>
      </w:r>
      <w:r w:rsidR="00F93551" w:rsidRPr="00813D19">
        <w:rPr>
          <w:rFonts w:eastAsia="Malgun Gothic"/>
          <w:lang w:val="en-US" w:eastAsia="ko-KR"/>
        </w:rPr>
        <w:t xml:space="preserve">files </w:t>
      </w:r>
      <w:r w:rsidR="00F93551" w:rsidRPr="00813D19">
        <w:rPr>
          <w:lang w:val="en-US"/>
        </w:rPr>
        <w:t>for the 2019 cycle;</w:t>
      </w:r>
      <w:r w:rsidR="00F93551" w:rsidRPr="00813D19">
        <w:rPr>
          <w:rFonts w:eastAsia="Malgun Gothic" w:hint="eastAsia"/>
          <w:lang w:val="en-US" w:eastAsia="ko-KR"/>
        </w:rPr>
        <w:t xml:space="preserve"> </w:t>
      </w:r>
      <w:r w:rsidR="008A3267" w:rsidRPr="00813D19">
        <w:rPr>
          <w:rFonts w:eastAsia="Malgun Gothic"/>
          <w:lang w:val="en-US" w:eastAsia="ko-KR"/>
        </w:rPr>
        <w:t xml:space="preserve">iii) </w:t>
      </w:r>
      <w:r w:rsidR="008A3267" w:rsidRPr="00813D19">
        <w:rPr>
          <w:rFonts w:eastAsia="Malgun Gothic" w:hint="eastAsia"/>
          <w:lang w:val="en-US" w:eastAsia="ko-KR"/>
        </w:rPr>
        <w:t>m</w:t>
      </w:r>
      <w:r w:rsidR="00F93551" w:rsidRPr="00813D19">
        <w:rPr>
          <w:rFonts w:eastAsia="Malgun Gothic" w:hint="eastAsia"/>
          <w:lang w:val="en-US" w:eastAsia="ko-KR"/>
        </w:rPr>
        <w:t>ultinational files</w:t>
      </w:r>
      <w:r w:rsidR="00085A5B" w:rsidRPr="00813D19">
        <w:rPr>
          <w:rFonts w:eastAsia="Malgun Gothic"/>
          <w:lang w:val="en-US" w:eastAsia="ko-KR"/>
        </w:rPr>
        <w:t xml:space="preserve">, corresponding to </w:t>
      </w:r>
      <w:r w:rsidR="003A3C97">
        <w:rPr>
          <w:rFonts w:eastAsia="Malgun Gothic"/>
          <w:lang w:val="en-US" w:eastAsia="ko-KR"/>
        </w:rPr>
        <w:t>five</w:t>
      </w:r>
      <w:r w:rsidR="003A3C97" w:rsidRPr="00813D19">
        <w:rPr>
          <w:rFonts w:eastAsia="Malgun Gothic"/>
          <w:lang w:val="en-US" w:eastAsia="ko-KR"/>
        </w:rPr>
        <w:t xml:space="preserve"> </w:t>
      </w:r>
      <w:r w:rsidR="00085A5B" w:rsidRPr="00813D19">
        <w:rPr>
          <w:rFonts w:eastAsia="Malgun Gothic"/>
          <w:lang w:val="en-US" w:eastAsia="ko-KR"/>
        </w:rPr>
        <w:t xml:space="preserve">files </w:t>
      </w:r>
      <w:r w:rsidR="00F93551" w:rsidRPr="00813D19">
        <w:rPr>
          <w:rFonts w:eastAsia="Malgun Gothic"/>
          <w:lang w:val="en-US" w:eastAsia="ko-KR"/>
        </w:rPr>
        <w:t xml:space="preserve">for the 2019 cycle; </w:t>
      </w:r>
      <w:r w:rsidR="00F93551" w:rsidRPr="00813D19">
        <w:rPr>
          <w:rFonts w:eastAsia="Malgun Gothic" w:hint="eastAsia"/>
          <w:lang w:val="en-US" w:eastAsia="ko-KR"/>
        </w:rPr>
        <w:t>and</w:t>
      </w:r>
      <w:r w:rsidR="00F93551" w:rsidRPr="00813D19">
        <w:rPr>
          <w:lang w:val="en-US"/>
        </w:rPr>
        <w:t xml:space="preserve"> </w:t>
      </w:r>
      <w:r w:rsidR="008A3267" w:rsidRPr="00813D19">
        <w:rPr>
          <w:lang w:val="en-US"/>
        </w:rPr>
        <w:t xml:space="preserve">iv) </w:t>
      </w:r>
      <w:r w:rsidR="008A3267" w:rsidRPr="00813D19">
        <w:rPr>
          <w:rFonts w:eastAsia="Malgun Gothic" w:hint="eastAsia"/>
          <w:lang w:val="en-US" w:eastAsia="ko-KR"/>
        </w:rPr>
        <w:t>f</w:t>
      </w:r>
      <w:r w:rsidR="00F93551" w:rsidRPr="00813D19">
        <w:rPr>
          <w:rFonts w:eastAsia="Malgun Gothic" w:hint="eastAsia"/>
          <w:lang w:val="en-US" w:eastAsia="ko-KR"/>
        </w:rPr>
        <w:t xml:space="preserve">iles from </w:t>
      </w:r>
      <w:r w:rsidR="00F93551" w:rsidRPr="00813D19">
        <w:rPr>
          <w:lang w:val="en-US"/>
        </w:rPr>
        <w:t xml:space="preserve">States with the </w:t>
      </w:r>
      <w:r w:rsidR="00F93551" w:rsidRPr="00813D19">
        <w:rPr>
          <w:rFonts w:eastAsia="Malgun Gothic" w:hint="eastAsia"/>
          <w:lang w:val="en-US" w:eastAsia="ko-KR"/>
        </w:rPr>
        <w:t>fewest</w:t>
      </w:r>
      <w:r w:rsidR="00F93551" w:rsidRPr="00813D19">
        <w:rPr>
          <w:lang w:val="en-US"/>
        </w:rPr>
        <w:t xml:space="preserve"> elements </w:t>
      </w:r>
      <w:r w:rsidR="00F93551" w:rsidRPr="00813D19">
        <w:rPr>
          <w:rFonts w:eastAsia="Malgun Gothic" w:hint="eastAsia"/>
          <w:lang w:val="en-US" w:eastAsia="ko-KR"/>
        </w:rPr>
        <w:t>inscribed,</w:t>
      </w:r>
      <w:r w:rsidR="00F93551" w:rsidRPr="00813D19">
        <w:rPr>
          <w:lang w:val="en-US"/>
        </w:rPr>
        <w:t xml:space="preserve"> in ascending order. For the 2019 cycle, the ceiling of </w:t>
      </w:r>
      <w:r w:rsidR="003A3C97">
        <w:rPr>
          <w:lang w:val="en-US"/>
        </w:rPr>
        <w:t>fifty-one</w:t>
      </w:r>
      <w:r w:rsidR="003A3C97" w:rsidRPr="00813D19">
        <w:rPr>
          <w:lang w:val="en-US"/>
        </w:rPr>
        <w:t xml:space="preserve"> </w:t>
      </w:r>
      <w:r w:rsidR="00F93551" w:rsidRPr="00813D19">
        <w:rPr>
          <w:lang w:val="en-US"/>
        </w:rPr>
        <w:t>files</w:t>
      </w:r>
      <w:r w:rsidR="008A3267" w:rsidRPr="00813D19">
        <w:rPr>
          <w:lang w:val="en-US"/>
        </w:rPr>
        <w:t>,</w:t>
      </w:r>
      <w:r w:rsidR="00F93551" w:rsidRPr="00813D19">
        <w:rPr>
          <w:rFonts w:hint="eastAsia"/>
          <w:lang w:val="en-US"/>
        </w:rPr>
        <w:t xml:space="preserve"> </w:t>
      </w:r>
      <w:r w:rsidR="00F93551" w:rsidRPr="00813D19">
        <w:rPr>
          <w:lang w:val="en-US"/>
        </w:rPr>
        <w:t xml:space="preserve">representing </w:t>
      </w:r>
      <w:r w:rsidR="003A3C97">
        <w:rPr>
          <w:lang w:val="en-US"/>
        </w:rPr>
        <w:t>fifty-one</w:t>
      </w:r>
      <w:r w:rsidR="003A3C97" w:rsidRPr="00813D19">
        <w:rPr>
          <w:lang w:val="en-US"/>
        </w:rPr>
        <w:t xml:space="preserve"> </w:t>
      </w:r>
      <w:r w:rsidR="00F93551" w:rsidRPr="00813D19">
        <w:rPr>
          <w:lang w:val="en-US"/>
        </w:rPr>
        <w:t>submitting States</w:t>
      </w:r>
      <w:r w:rsidR="008A3267" w:rsidRPr="00813D19">
        <w:rPr>
          <w:lang w:val="en-US"/>
        </w:rPr>
        <w:t>,</w:t>
      </w:r>
      <w:r w:rsidR="00F93551" w:rsidRPr="00813D19">
        <w:rPr>
          <w:lang w:val="en-US"/>
        </w:rPr>
        <w:t xml:space="preserve"> </w:t>
      </w:r>
      <w:r w:rsidR="003A3C97">
        <w:rPr>
          <w:lang w:val="en-US"/>
        </w:rPr>
        <w:t>had been</w:t>
      </w:r>
      <w:r w:rsidR="003A3C97" w:rsidRPr="00813D19">
        <w:rPr>
          <w:lang w:val="en-US"/>
        </w:rPr>
        <w:t xml:space="preserve"> </w:t>
      </w:r>
      <w:r w:rsidR="00F93551" w:rsidRPr="00813D19">
        <w:rPr>
          <w:lang w:val="en-US"/>
        </w:rPr>
        <w:t>reached with the nomination</w:t>
      </w:r>
      <w:r w:rsidR="008A3267" w:rsidRPr="00813D19">
        <w:rPr>
          <w:lang w:val="en-US"/>
        </w:rPr>
        <w:t xml:space="preserve"> of Tajikistan</w:t>
      </w:r>
      <w:r w:rsidR="00085A5B" w:rsidRPr="00813D19">
        <w:rPr>
          <w:lang w:val="en-US"/>
        </w:rPr>
        <w:t>, which had</w:t>
      </w:r>
      <w:r w:rsidR="008A3267" w:rsidRPr="00813D19">
        <w:rPr>
          <w:lang w:val="en-US"/>
        </w:rPr>
        <w:t xml:space="preserve"> one </w:t>
      </w:r>
      <w:r w:rsidR="00F93551" w:rsidRPr="00813D19">
        <w:rPr>
          <w:lang w:val="en-US"/>
        </w:rPr>
        <w:t>element</w:t>
      </w:r>
      <w:r w:rsidR="00F93551" w:rsidRPr="00813D19">
        <w:rPr>
          <w:rFonts w:hint="eastAsia"/>
          <w:lang w:val="en-US"/>
        </w:rPr>
        <w:t xml:space="preserve"> </w:t>
      </w:r>
      <w:r w:rsidR="008A3267" w:rsidRPr="00813D19">
        <w:rPr>
          <w:lang w:val="en-US"/>
        </w:rPr>
        <w:t xml:space="preserve">already </w:t>
      </w:r>
      <w:r w:rsidR="00F93551" w:rsidRPr="00813D19">
        <w:rPr>
          <w:rFonts w:hint="eastAsia"/>
          <w:lang w:val="en-US"/>
        </w:rPr>
        <w:t>inscribed</w:t>
      </w:r>
      <w:r w:rsidR="00085A5B" w:rsidRPr="00813D19">
        <w:rPr>
          <w:lang w:val="en-US"/>
        </w:rPr>
        <w:t>;</w:t>
      </w:r>
      <w:r w:rsidR="00F93551" w:rsidRPr="00813D19">
        <w:rPr>
          <w:lang w:val="en-US"/>
        </w:rPr>
        <w:t xml:space="preserve"> </w:t>
      </w:r>
      <w:r w:rsidR="003A3C97">
        <w:rPr>
          <w:lang w:val="en-US"/>
        </w:rPr>
        <w:t>twenty-two</w:t>
      </w:r>
      <w:r w:rsidR="003A3C97" w:rsidRPr="00813D19">
        <w:rPr>
          <w:lang w:val="en-US"/>
        </w:rPr>
        <w:t xml:space="preserve"> </w:t>
      </w:r>
      <w:r w:rsidR="00F93551" w:rsidRPr="00813D19">
        <w:rPr>
          <w:lang w:val="en-US"/>
        </w:rPr>
        <w:t xml:space="preserve">States with two or more elements inscribed could not have their files treated </w:t>
      </w:r>
      <w:r w:rsidR="00085A5B" w:rsidRPr="00813D19">
        <w:rPr>
          <w:lang w:val="en-US"/>
        </w:rPr>
        <w:t xml:space="preserve">but would </w:t>
      </w:r>
      <w:r w:rsidR="00F93551" w:rsidRPr="00813D19">
        <w:rPr>
          <w:lang w:val="en-US"/>
        </w:rPr>
        <w:t xml:space="preserve">have </w:t>
      </w:r>
      <w:r w:rsidR="003A3C97">
        <w:rPr>
          <w:lang w:val="en-US"/>
        </w:rPr>
        <w:t>them</w:t>
      </w:r>
      <w:r w:rsidR="00F93551" w:rsidRPr="00813D19">
        <w:rPr>
          <w:lang w:val="en-US"/>
        </w:rPr>
        <w:t xml:space="preserve"> treated in priority for the 2020 cycle. </w:t>
      </w:r>
      <w:r w:rsidR="00085A5B" w:rsidRPr="00813D19">
        <w:rPr>
          <w:lang w:val="en-US"/>
        </w:rPr>
        <w:t xml:space="preserve">Fourteen </w:t>
      </w:r>
      <w:r w:rsidR="00F93551" w:rsidRPr="00813D19">
        <w:rPr>
          <w:lang w:val="en-US"/>
        </w:rPr>
        <w:t xml:space="preserve">States with four or more elements inscribed could not be treated </w:t>
      </w:r>
      <w:r w:rsidR="00085A5B" w:rsidRPr="00813D19">
        <w:rPr>
          <w:lang w:val="en-US"/>
        </w:rPr>
        <w:t xml:space="preserve">in </w:t>
      </w:r>
      <w:r w:rsidR="00F93551" w:rsidRPr="00813D19">
        <w:rPr>
          <w:lang w:val="en-US"/>
        </w:rPr>
        <w:t xml:space="preserve">the 2018 cycle </w:t>
      </w:r>
      <w:r w:rsidR="00085A5B" w:rsidRPr="00813D19">
        <w:rPr>
          <w:lang w:val="en-US"/>
        </w:rPr>
        <w:t>but would be prioritized</w:t>
      </w:r>
      <w:r w:rsidR="00F93551" w:rsidRPr="00813D19">
        <w:rPr>
          <w:lang w:val="en-US"/>
        </w:rPr>
        <w:t xml:space="preserve"> for the 2019 cycle. </w:t>
      </w:r>
      <w:r w:rsidR="00085A5B" w:rsidRPr="00813D19">
        <w:rPr>
          <w:lang w:val="en-US"/>
        </w:rPr>
        <w:t xml:space="preserve">It was </w:t>
      </w:r>
      <w:r w:rsidR="00F93551" w:rsidRPr="00813D19">
        <w:rPr>
          <w:lang w:val="en-US"/>
        </w:rPr>
        <w:t xml:space="preserve">noted that </w:t>
      </w:r>
      <w:r w:rsidR="00085A5B" w:rsidRPr="00813D19">
        <w:rPr>
          <w:lang w:val="en-US"/>
        </w:rPr>
        <w:t xml:space="preserve">in recent years </w:t>
      </w:r>
      <w:r w:rsidR="00F93551" w:rsidRPr="00813D19">
        <w:rPr>
          <w:lang w:val="en-US"/>
        </w:rPr>
        <w:t>there</w:t>
      </w:r>
      <w:r w:rsidR="003A3C97">
        <w:rPr>
          <w:lang w:val="en-US"/>
        </w:rPr>
        <w:t xml:space="preserve"> had been</w:t>
      </w:r>
      <w:r w:rsidR="00085A5B" w:rsidRPr="00813D19">
        <w:rPr>
          <w:lang w:val="en-US"/>
        </w:rPr>
        <w:t xml:space="preserve"> </w:t>
      </w:r>
      <w:r w:rsidR="00F93551" w:rsidRPr="00813D19">
        <w:rPr>
          <w:lang w:val="en-US"/>
        </w:rPr>
        <w:t xml:space="preserve">a significant increase in the number of files from submitting States that </w:t>
      </w:r>
      <w:r w:rsidR="003A3C97">
        <w:rPr>
          <w:lang w:val="en-US"/>
        </w:rPr>
        <w:t>had</w:t>
      </w:r>
      <w:r w:rsidR="003A3C97" w:rsidRPr="00813D19">
        <w:rPr>
          <w:lang w:val="en-US"/>
        </w:rPr>
        <w:t xml:space="preserve"> </w:t>
      </w:r>
      <w:r w:rsidR="00F93551" w:rsidRPr="00813D19">
        <w:rPr>
          <w:lang w:val="en-US"/>
        </w:rPr>
        <w:t xml:space="preserve">not </w:t>
      </w:r>
      <w:r w:rsidR="003A3C97" w:rsidRPr="00813D19">
        <w:rPr>
          <w:lang w:val="en-US"/>
        </w:rPr>
        <w:t>ha</w:t>
      </w:r>
      <w:r w:rsidR="003A3C97">
        <w:rPr>
          <w:lang w:val="en-US"/>
        </w:rPr>
        <w:t>d</w:t>
      </w:r>
      <w:r w:rsidR="003A3C97" w:rsidRPr="00813D19">
        <w:rPr>
          <w:lang w:val="en-US"/>
        </w:rPr>
        <w:t xml:space="preserve"> </w:t>
      </w:r>
      <w:r w:rsidR="00F93551" w:rsidRPr="00813D19">
        <w:rPr>
          <w:lang w:val="en-US"/>
        </w:rPr>
        <w:t xml:space="preserve">their files </w:t>
      </w:r>
      <w:r w:rsidR="00085A5B" w:rsidRPr="00813D19">
        <w:rPr>
          <w:lang w:val="en-US"/>
        </w:rPr>
        <w:t xml:space="preserve">treated in the previous cycle, i.e. </w:t>
      </w:r>
      <w:r w:rsidR="00F93551" w:rsidRPr="00813D19">
        <w:rPr>
          <w:lang w:val="en-US"/>
        </w:rPr>
        <w:t xml:space="preserve">category zero. In the 2019 cycle, there </w:t>
      </w:r>
      <w:r w:rsidR="00085A5B" w:rsidRPr="00813D19">
        <w:rPr>
          <w:lang w:val="en-US"/>
        </w:rPr>
        <w:t xml:space="preserve">were </w:t>
      </w:r>
      <w:r w:rsidR="003A3C97">
        <w:rPr>
          <w:lang w:val="en-US"/>
        </w:rPr>
        <w:t xml:space="preserve">thirty-two </w:t>
      </w:r>
      <w:r w:rsidR="00F93551" w:rsidRPr="00813D19">
        <w:rPr>
          <w:lang w:val="en-US"/>
        </w:rPr>
        <w:t xml:space="preserve">such files, </w:t>
      </w:r>
      <w:r w:rsidR="00085A5B" w:rsidRPr="00813D19">
        <w:rPr>
          <w:lang w:val="en-US"/>
        </w:rPr>
        <w:t>i.e.</w:t>
      </w:r>
      <w:r w:rsidR="00F93551" w:rsidRPr="00813D19">
        <w:rPr>
          <w:lang w:val="en-US"/>
        </w:rPr>
        <w:t xml:space="preserve"> t</w:t>
      </w:r>
      <w:r w:rsidR="00DD4E22">
        <w:rPr>
          <w:lang w:val="en-US"/>
        </w:rPr>
        <w:t>wo thirds of all files treated.</w:t>
      </w:r>
    </w:p>
    <w:p w14:paraId="17E21179" w14:textId="2DA5A30E" w:rsidR="00F93551" w:rsidRPr="00813D19" w:rsidRDefault="008A3267" w:rsidP="004D3397">
      <w:pPr>
        <w:pStyle w:val="Orateurengris"/>
        <w:spacing w:before="120"/>
        <w:ind w:left="709" w:hanging="709"/>
        <w:rPr>
          <w:lang w:val="en-US"/>
        </w:rPr>
      </w:pPr>
      <w:r w:rsidRPr="00813D19">
        <w:rPr>
          <w:b/>
          <w:color w:val="000000" w:themeColor="text1"/>
          <w:lang w:val="en-US"/>
        </w:rPr>
        <w:t>Ms Fumiko Ohinata</w:t>
      </w:r>
      <w:r w:rsidRPr="00813D19">
        <w:rPr>
          <w:color w:val="000000" w:themeColor="text1"/>
          <w:lang w:val="en-US"/>
        </w:rPr>
        <w:t xml:space="preserve"> </w:t>
      </w:r>
      <w:r w:rsidR="00085A5B" w:rsidRPr="00813D19">
        <w:rPr>
          <w:color w:val="000000" w:themeColor="text1"/>
          <w:lang w:val="en-US"/>
        </w:rPr>
        <w:t xml:space="preserve">referred to the </w:t>
      </w:r>
      <w:r w:rsidR="00F93551" w:rsidRPr="00813D19">
        <w:rPr>
          <w:color w:val="000000" w:themeColor="text1"/>
          <w:lang w:val="en-US"/>
        </w:rPr>
        <w:t>table on the screen</w:t>
      </w:r>
      <w:r w:rsidR="003A3C97">
        <w:rPr>
          <w:color w:val="000000" w:themeColor="text1"/>
          <w:lang w:val="en-US"/>
        </w:rPr>
        <w:t>,</w:t>
      </w:r>
      <w:r w:rsidR="00F93551" w:rsidRPr="00813D19">
        <w:rPr>
          <w:color w:val="000000" w:themeColor="text1"/>
          <w:lang w:val="en-US"/>
        </w:rPr>
        <w:t xml:space="preserve"> </w:t>
      </w:r>
      <w:r w:rsidR="003A3C97">
        <w:rPr>
          <w:color w:val="000000" w:themeColor="text1"/>
          <w:lang w:val="en-US"/>
        </w:rPr>
        <w:t>which</w:t>
      </w:r>
      <w:r w:rsidR="003A3C97" w:rsidRPr="00813D19">
        <w:rPr>
          <w:color w:val="000000" w:themeColor="text1"/>
          <w:lang w:val="en-US"/>
        </w:rPr>
        <w:t xml:space="preserve"> </w:t>
      </w:r>
      <w:r w:rsidR="00085A5B" w:rsidRPr="00813D19">
        <w:rPr>
          <w:color w:val="000000" w:themeColor="text1"/>
          <w:lang w:val="en-US"/>
        </w:rPr>
        <w:t>showed</w:t>
      </w:r>
      <w:r w:rsidR="00F93551" w:rsidRPr="00813D19">
        <w:rPr>
          <w:color w:val="000000" w:themeColor="text1"/>
          <w:lang w:val="en-US"/>
        </w:rPr>
        <w:t xml:space="preserve"> </w:t>
      </w:r>
      <w:r w:rsidR="00085A5B" w:rsidRPr="00813D19">
        <w:rPr>
          <w:color w:val="000000" w:themeColor="text1"/>
          <w:lang w:val="en-US"/>
        </w:rPr>
        <w:t xml:space="preserve">the </w:t>
      </w:r>
      <w:r w:rsidR="00F93551" w:rsidRPr="00813D19">
        <w:rPr>
          <w:color w:val="000000" w:themeColor="text1"/>
          <w:lang w:val="en-US"/>
        </w:rPr>
        <w:t xml:space="preserve">clear trend </w:t>
      </w:r>
      <w:r w:rsidR="00085A5B" w:rsidRPr="00813D19">
        <w:rPr>
          <w:color w:val="000000" w:themeColor="text1"/>
          <w:lang w:val="en-US"/>
        </w:rPr>
        <w:t xml:space="preserve">in </w:t>
      </w:r>
      <w:r w:rsidR="00F93551" w:rsidRPr="00813D19">
        <w:rPr>
          <w:color w:val="000000" w:themeColor="text1"/>
          <w:lang w:val="en-US"/>
        </w:rPr>
        <w:t>the increasing number of files</w:t>
      </w:r>
      <w:r w:rsidR="00F93551" w:rsidRPr="00813D19">
        <w:rPr>
          <w:lang w:val="en-US"/>
        </w:rPr>
        <w:t xml:space="preserve"> in category zero (0) and </w:t>
      </w:r>
      <w:r w:rsidR="000C08FE" w:rsidRPr="00813D19">
        <w:rPr>
          <w:lang w:val="en-US"/>
        </w:rPr>
        <w:t xml:space="preserve">the </w:t>
      </w:r>
      <w:r w:rsidR="00F93551" w:rsidRPr="00813D19">
        <w:rPr>
          <w:lang w:val="en-US"/>
        </w:rPr>
        <w:t xml:space="preserve">decreasing number of files in category (iii). </w:t>
      </w:r>
      <w:r w:rsidR="008B2113" w:rsidRPr="00813D19">
        <w:rPr>
          <w:lang w:val="en-US"/>
        </w:rPr>
        <w:t xml:space="preserve">Should </w:t>
      </w:r>
      <w:r w:rsidR="00F93551" w:rsidRPr="00813D19">
        <w:rPr>
          <w:lang w:val="en-US"/>
        </w:rPr>
        <w:t>this</w:t>
      </w:r>
      <w:r w:rsidR="008B2113" w:rsidRPr="00813D19">
        <w:rPr>
          <w:lang w:val="en-US"/>
        </w:rPr>
        <w:t xml:space="preserve"> trend continue</w:t>
      </w:r>
      <w:r w:rsidR="00F93551" w:rsidRPr="00813D19">
        <w:rPr>
          <w:lang w:val="en-US"/>
        </w:rPr>
        <w:t xml:space="preserve">, States Parties may face a situation where even multinational files </w:t>
      </w:r>
      <w:r w:rsidR="008B2113" w:rsidRPr="00813D19">
        <w:rPr>
          <w:lang w:val="en-US"/>
        </w:rPr>
        <w:t xml:space="preserve">might not be treated, and thus </w:t>
      </w:r>
      <w:r w:rsidR="00F93551" w:rsidRPr="00813D19">
        <w:rPr>
          <w:lang w:val="en-US"/>
        </w:rPr>
        <w:t xml:space="preserve">the current system of priorities might </w:t>
      </w:r>
      <w:r w:rsidR="008B2113" w:rsidRPr="00813D19">
        <w:rPr>
          <w:lang w:val="en-US"/>
        </w:rPr>
        <w:t xml:space="preserve">require </w:t>
      </w:r>
      <w:r w:rsidR="003A3C97">
        <w:rPr>
          <w:lang w:val="en-US"/>
        </w:rPr>
        <w:t xml:space="preserve">a </w:t>
      </w:r>
      <w:r w:rsidR="008B2113" w:rsidRPr="00813D19">
        <w:rPr>
          <w:lang w:val="en-US"/>
        </w:rPr>
        <w:t>revision</w:t>
      </w:r>
      <w:r w:rsidR="00F93551" w:rsidRPr="00813D19">
        <w:rPr>
          <w:lang w:val="en-US"/>
        </w:rPr>
        <w:t xml:space="preserve"> in </w:t>
      </w:r>
      <w:r w:rsidR="008B2113" w:rsidRPr="00813D19">
        <w:rPr>
          <w:lang w:val="en-US"/>
        </w:rPr>
        <w:t xml:space="preserve">the </w:t>
      </w:r>
      <w:r w:rsidR="00F93551" w:rsidRPr="00813D19">
        <w:rPr>
          <w:lang w:val="en-US"/>
        </w:rPr>
        <w:t>near future.</w:t>
      </w:r>
      <w:r w:rsidR="00F93551" w:rsidRPr="00813D19">
        <w:rPr>
          <w:rFonts w:eastAsia="Malgun Gothic" w:hint="eastAsia"/>
          <w:b/>
          <w:bCs/>
          <w:lang w:val="en-US" w:eastAsia="ko-KR"/>
        </w:rPr>
        <w:t xml:space="preserve"> </w:t>
      </w:r>
      <w:r w:rsidR="00F93551" w:rsidRPr="00813D19">
        <w:rPr>
          <w:lang w:val="en-US"/>
        </w:rPr>
        <w:t xml:space="preserve">The Committee </w:t>
      </w:r>
      <w:r w:rsidR="008B2113" w:rsidRPr="00813D19">
        <w:rPr>
          <w:lang w:val="en-US"/>
        </w:rPr>
        <w:t xml:space="preserve">was </w:t>
      </w:r>
      <w:r w:rsidR="00F93551" w:rsidRPr="00813D19">
        <w:rPr>
          <w:lang w:val="en-US"/>
        </w:rPr>
        <w:t xml:space="preserve">called upon to decide </w:t>
      </w:r>
      <w:r w:rsidR="008B2113" w:rsidRPr="00813D19">
        <w:rPr>
          <w:lang w:val="en-US"/>
        </w:rPr>
        <w:t xml:space="preserve">on </w:t>
      </w:r>
      <w:r w:rsidR="00F93551" w:rsidRPr="00813D19">
        <w:rPr>
          <w:lang w:val="en-US"/>
        </w:rPr>
        <w:t xml:space="preserve">the overall number of </w:t>
      </w:r>
      <w:r w:rsidR="00F93551" w:rsidRPr="00813D19">
        <w:rPr>
          <w:rFonts w:hint="eastAsia"/>
          <w:lang w:val="en-US"/>
        </w:rPr>
        <w:t>files</w:t>
      </w:r>
      <w:r w:rsidR="00F93551" w:rsidRPr="00813D19">
        <w:rPr>
          <w:lang w:val="en-US"/>
        </w:rPr>
        <w:t xml:space="preserve"> </w:t>
      </w:r>
      <w:r w:rsidR="008B2113" w:rsidRPr="00813D19">
        <w:rPr>
          <w:lang w:val="en-US"/>
        </w:rPr>
        <w:t xml:space="preserve">to be treated in 2020 and 2021 </w:t>
      </w:r>
      <w:r w:rsidR="00F93551" w:rsidRPr="00813D19">
        <w:rPr>
          <w:lang w:val="en-US"/>
        </w:rPr>
        <w:t>by keeping in mind the available resources of the Committee, the Secretariat and the Evaluation Body</w:t>
      </w:r>
      <w:r w:rsidR="008044C2" w:rsidRPr="00813D19">
        <w:rPr>
          <w:lang w:val="en-US"/>
        </w:rPr>
        <w:t>,</w:t>
      </w:r>
      <w:r w:rsidR="00F93551" w:rsidRPr="00813D19">
        <w:rPr>
          <w:lang w:val="en-US"/>
        </w:rPr>
        <w:t xml:space="preserve"> including the time available and the collegial nature of the Evaluatio</w:t>
      </w:r>
      <w:r w:rsidR="008B2113" w:rsidRPr="00813D19">
        <w:rPr>
          <w:lang w:val="en-US"/>
        </w:rPr>
        <w:t xml:space="preserve">n Body. The Secretariat proposed </w:t>
      </w:r>
      <w:r w:rsidR="00F93551" w:rsidRPr="00813D19">
        <w:rPr>
          <w:rFonts w:hint="eastAsia"/>
          <w:lang w:val="en-US"/>
        </w:rPr>
        <w:t>keep</w:t>
      </w:r>
      <w:r w:rsidR="003A3C97">
        <w:rPr>
          <w:lang w:val="en-US"/>
        </w:rPr>
        <w:t>ing</w:t>
      </w:r>
      <w:r w:rsidR="00F93551" w:rsidRPr="00813D19">
        <w:rPr>
          <w:lang w:val="en-US"/>
        </w:rPr>
        <w:t xml:space="preserve"> the ceiling of </w:t>
      </w:r>
      <w:r w:rsidR="003A3C97">
        <w:rPr>
          <w:lang w:val="en-US"/>
        </w:rPr>
        <w:t>fifty</w:t>
      </w:r>
      <w:r w:rsidR="003A3C97" w:rsidRPr="00813D19">
        <w:rPr>
          <w:lang w:val="en-US"/>
        </w:rPr>
        <w:t xml:space="preserve"> </w:t>
      </w:r>
      <w:r w:rsidR="00F93551" w:rsidRPr="00813D19">
        <w:rPr>
          <w:rFonts w:hint="eastAsia"/>
          <w:lang w:val="en-US"/>
        </w:rPr>
        <w:t>files</w:t>
      </w:r>
      <w:r w:rsidR="00F93551" w:rsidRPr="00813D19">
        <w:rPr>
          <w:lang w:val="en-US"/>
        </w:rPr>
        <w:t xml:space="preserve"> per </w:t>
      </w:r>
      <w:r w:rsidR="00F93551" w:rsidRPr="00813D19">
        <w:rPr>
          <w:rFonts w:hint="eastAsia"/>
          <w:lang w:val="en-US"/>
        </w:rPr>
        <w:t>cycle</w:t>
      </w:r>
      <w:r w:rsidR="00F93551" w:rsidRPr="00813D19">
        <w:rPr>
          <w:lang w:val="en-US"/>
        </w:rPr>
        <w:t xml:space="preserve">. </w:t>
      </w:r>
      <w:r w:rsidR="008B2113" w:rsidRPr="00813D19">
        <w:rPr>
          <w:lang w:val="en-US"/>
        </w:rPr>
        <w:t>Ms Ohinata explained that t</w:t>
      </w:r>
      <w:r w:rsidR="00F93551" w:rsidRPr="00813D19">
        <w:rPr>
          <w:lang w:val="en-US"/>
        </w:rPr>
        <w:t xml:space="preserve">he </w:t>
      </w:r>
      <w:r w:rsidR="00F93551" w:rsidRPr="00813D19">
        <w:rPr>
          <w:bCs/>
          <w:lang w:val="en-US"/>
        </w:rPr>
        <w:t>Committee</w:t>
      </w:r>
      <w:r w:rsidR="00F93551" w:rsidRPr="00813D19">
        <w:rPr>
          <w:lang w:val="en-US"/>
        </w:rPr>
        <w:t xml:space="preserve"> </w:t>
      </w:r>
      <w:r w:rsidR="008B2113" w:rsidRPr="00813D19">
        <w:rPr>
          <w:lang w:val="en-US"/>
        </w:rPr>
        <w:t xml:space="preserve">was </w:t>
      </w:r>
      <w:r w:rsidR="00F93551" w:rsidRPr="00813D19">
        <w:rPr>
          <w:lang w:val="en-US"/>
        </w:rPr>
        <w:t>asked to pay attention to a broader scope</w:t>
      </w:r>
      <w:r w:rsidR="008B2113" w:rsidRPr="00813D19">
        <w:rPr>
          <w:lang w:val="en-US"/>
        </w:rPr>
        <w:t xml:space="preserve"> of implementation of the Convention,</w:t>
      </w:r>
      <w:r w:rsidR="00F93551" w:rsidRPr="00813D19">
        <w:rPr>
          <w:lang w:val="en-US"/>
        </w:rPr>
        <w:t xml:space="preserve"> </w:t>
      </w:r>
      <w:r w:rsidR="008B2113" w:rsidRPr="00813D19">
        <w:rPr>
          <w:lang w:val="en-US"/>
        </w:rPr>
        <w:t xml:space="preserve">as well as more </w:t>
      </w:r>
      <w:r w:rsidR="00F93551" w:rsidRPr="00813D19">
        <w:rPr>
          <w:lang w:val="en-US"/>
        </w:rPr>
        <w:t xml:space="preserve">complex and </w:t>
      </w:r>
      <w:r w:rsidR="008B2113" w:rsidRPr="00813D19">
        <w:rPr>
          <w:lang w:val="en-US"/>
        </w:rPr>
        <w:t xml:space="preserve">a greater </w:t>
      </w:r>
      <w:r w:rsidR="00F93551" w:rsidRPr="00813D19">
        <w:rPr>
          <w:lang w:val="en-US"/>
        </w:rPr>
        <w:t>number of issues. These include</w:t>
      </w:r>
      <w:r w:rsidR="008B2113" w:rsidRPr="00813D19">
        <w:rPr>
          <w:lang w:val="en-US"/>
        </w:rPr>
        <w:t>d</w:t>
      </w:r>
      <w:r w:rsidR="00F93551" w:rsidRPr="00813D19">
        <w:rPr>
          <w:lang w:val="en-US"/>
        </w:rPr>
        <w:t xml:space="preserve"> the </w:t>
      </w:r>
      <w:r w:rsidR="008B2113" w:rsidRPr="00813D19">
        <w:rPr>
          <w:lang w:val="en-US"/>
        </w:rPr>
        <w:t xml:space="preserve">issues </w:t>
      </w:r>
      <w:r w:rsidR="00F93551" w:rsidRPr="00813D19">
        <w:rPr>
          <w:lang w:val="en-US"/>
        </w:rPr>
        <w:t xml:space="preserve">related to sustainable development, </w:t>
      </w:r>
      <w:r w:rsidR="00052039" w:rsidRPr="00813D19">
        <w:rPr>
          <w:lang w:val="en-US"/>
        </w:rPr>
        <w:t xml:space="preserve">intangible cultural heritage </w:t>
      </w:r>
      <w:r w:rsidR="00F93551" w:rsidRPr="00813D19">
        <w:rPr>
          <w:lang w:val="en-US"/>
        </w:rPr>
        <w:t xml:space="preserve">in emergencies and in urban contexts, and </w:t>
      </w:r>
      <w:r w:rsidR="00052039" w:rsidRPr="00813D19">
        <w:rPr>
          <w:lang w:val="en-US"/>
        </w:rPr>
        <w:t xml:space="preserve">intangible cultural heritage </w:t>
      </w:r>
      <w:r w:rsidR="00F93551" w:rsidRPr="00813D19">
        <w:rPr>
          <w:lang w:val="en-US"/>
        </w:rPr>
        <w:t xml:space="preserve">in formal and non-formal education. Additionally, the Committee </w:t>
      </w:r>
      <w:r w:rsidR="008B2113" w:rsidRPr="00813D19">
        <w:rPr>
          <w:lang w:val="en-US"/>
        </w:rPr>
        <w:t xml:space="preserve">was </w:t>
      </w:r>
      <w:r w:rsidR="00F93551" w:rsidRPr="00813D19">
        <w:rPr>
          <w:lang w:val="en-US"/>
        </w:rPr>
        <w:t xml:space="preserve">asked to review a number of the </w:t>
      </w:r>
      <w:r w:rsidR="003A3C97">
        <w:rPr>
          <w:lang w:val="en-US"/>
        </w:rPr>
        <w:t xml:space="preserve">mechanisms of the </w:t>
      </w:r>
      <w:r w:rsidR="00F93551" w:rsidRPr="00813D19">
        <w:rPr>
          <w:lang w:val="en-US"/>
        </w:rPr>
        <w:t>Convention</w:t>
      </w:r>
      <w:r w:rsidR="008B2113" w:rsidRPr="00813D19">
        <w:rPr>
          <w:lang w:val="en-US"/>
        </w:rPr>
        <w:t>,</w:t>
      </w:r>
      <w:r w:rsidR="00F93551" w:rsidRPr="00813D19">
        <w:rPr>
          <w:lang w:val="en-US"/>
        </w:rPr>
        <w:t xml:space="preserve"> </w:t>
      </w:r>
      <w:r w:rsidR="003A3C97">
        <w:rPr>
          <w:lang w:val="en-US"/>
        </w:rPr>
        <w:t>fifteen</w:t>
      </w:r>
      <w:r w:rsidR="003A3C97" w:rsidRPr="00813D19">
        <w:rPr>
          <w:lang w:val="en-US"/>
        </w:rPr>
        <w:t xml:space="preserve"> </w:t>
      </w:r>
      <w:r w:rsidR="00F93551" w:rsidRPr="00813D19">
        <w:rPr>
          <w:lang w:val="en-US"/>
        </w:rPr>
        <w:t xml:space="preserve">years since its adoption. In the current session alone, </w:t>
      </w:r>
      <w:r w:rsidR="007B06B1" w:rsidRPr="00813D19">
        <w:rPr>
          <w:lang w:val="en-US"/>
        </w:rPr>
        <w:t xml:space="preserve">the Committee </w:t>
      </w:r>
      <w:r w:rsidR="008B2113" w:rsidRPr="00813D19">
        <w:rPr>
          <w:lang w:val="en-US"/>
        </w:rPr>
        <w:t xml:space="preserve">had been </w:t>
      </w:r>
      <w:r w:rsidR="007B06B1" w:rsidRPr="00813D19">
        <w:rPr>
          <w:lang w:val="en-US"/>
        </w:rPr>
        <w:t xml:space="preserve">called upon to discuss a </w:t>
      </w:r>
      <w:r w:rsidR="00143F1F" w:rsidRPr="00813D19">
        <w:rPr>
          <w:lang w:val="en-US"/>
        </w:rPr>
        <w:t xml:space="preserve">number of complex issues. </w:t>
      </w:r>
      <w:r w:rsidR="00F93551" w:rsidRPr="00813D19">
        <w:rPr>
          <w:lang w:val="en-US"/>
        </w:rPr>
        <w:t xml:space="preserve">Furthermore, the </w:t>
      </w:r>
      <w:r w:rsidR="00F93551" w:rsidRPr="00813D19">
        <w:rPr>
          <w:bCs/>
          <w:lang w:val="en-US"/>
        </w:rPr>
        <w:t>Secretariat</w:t>
      </w:r>
      <w:r w:rsidR="00F93551" w:rsidRPr="00813D19">
        <w:rPr>
          <w:lang w:val="en-US"/>
        </w:rPr>
        <w:t xml:space="preserve"> </w:t>
      </w:r>
      <w:r w:rsidR="008B2113" w:rsidRPr="00813D19">
        <w:rPr>
          <w:lang w:val="en-US"/>
        </w:rPr>
        <w:t xml:space="preserve">was </w:t>
      </w:r>
      <w:r w:rsidR="00F93551" w:rsidRPr="00813D19">
        <w:rPr>
          <w:lang w:val="en-US"/>
        </w:rPr>
        <w:t xml:space="preserve">facing an increasing workload, in line with the growing number of States Parties. The Secretariat </w:t>
      </w:r>
      <w:r w:rsidR="008B2113" w:rsidRPr="00813D19">
        <w:rPr>
          <w:lang w:val="en-US"/>
        </w:rPr>
        <w:t xml:space="preserve">was also </w:t>
      </w:r>
      <w:r w:rsidR="00F93551" w:rsidRPr="00813D19">
        <w:rPr>
          <w:lang w:val="en-US"/>
        </w:rPr>
        <w:t xml:space="preserve">supporting States Parties both through the global capacity-building programme and through statutory mechanisms. </w:t>
      </w:r>
      <w:r w:rsidR="008B2113" w:rsidRPr="00813D19">
        <w:rPr>
          <w:lang w:val="en-US"/>
        </w:rPr>
        <w:t>T</w:t>
      </w:r>
      <w:r w:rsidR="00F93551" w:rsidRPr="00813D19">
        <w:rPr>
          <w:lang w:val="en-US"/>
        </w:rPr>
        <w:t xml:space="preserve">he capacity and workload of the </w:t>
      </w:r>
      <w:r w:rsidR="00F93551" w:rsidRPr="00813D19">
        <w:rPr>
          <w:bCs/>
          <w:lang w:val="en-US"/>
        </w:rPr>
        <w:t>Evaluation Body</w:t>
      </w:r>
      <w:r w:rsidR="008B2113" w:rsidRPr="00813D19">
        <w:rPr>
          <w:bCs/>
          <w:lang w:val="en-US"/>
        </w:rPr>
        <w:t xml:space="preserve"> was also another consideration</w:t>
      </w:r>
      <w:r w:rsidR="00F93551" w:rsidRPr="00813D19">
        <w:rPr>
          <w:lang w:val="en-US"/>
        </w:rPr>
        <w:t>. Each of the twelve members assess</w:t>
      </w:r>
      <w:r w:rsidR="008B2113" w:rsidRPr="00813D19">
        <w:rPr>
          <w:lang w:val="en-US"/>
        </w:rPr>
        <w:t>es</w:t>
      </w:r>
      <w:r w:rsidR="00F93551" w:rsidRPr="00813D19">
        <w:rPr>
          <w:lang w:val="en-US"/>
        </w:rPr>
        <w:t xml:space="preserve"> </w:t>
      </w:r>
      <w:r w:rsidR="008B2113" w:rsidRPr="00813D19">
        <w:rPr>
          <w:lang w:val="en-US"/>
        </w:rPr>
        <w:t xml:space="preserve">every </w:t>
      </w:r>
      <w:r w:rsidR="00F93551" w:rsidRPr="00813D19">
        <w:rPr>
          <w:lang w:val="en-US"/>
        </w:rPr>
        <w:t xml:space="preserve">file individually before the joint evaluation to reach </w:t>
      </w:r>
      <w:r w:rsidR="003A3C97">
        <w:rPr>
          <w:lang w:val="en-US"/>
        </w:rPr>
        <w:t xml:space="preserve">a </w:t>
      </w:r>
      <w:r w:rsidR="00F93551" w:rsidRPr="00813D19">
        <w:rPr>
          <w:lang w:val="en-US"/>
        </w:rPr>
        <w:t>consensus on each sp</w:t>
      </w:r>
      <w:r w:rsidR="007B06B1" w:rsidRPr="00813D19">
        <w:rPr>
          <w:lang w:val="en-US"/>
        </w:rPr>
        <w:t xml:space="preserve">ecific criterion for each file, as </w:t>
      </w:r>
      <w:r w:rsidR="008B2113" w:rsidRPr="00813D19">
        <w:rPr>
          <w:lang w:val="en-US"/>
        </w:rPr>
        <w:t xml:space="preserve">previously </w:t>
      </w:r>
      <w:r w:rsidR="007B06B1" w:rsidRPr="00813D19">
        <w:rPr>
          <w:lang w:val="en-US"/>
        </w:rPr>
        <w:t xml:space="preserve">explained by the Chairperson of the Evaluation Body. </w:t>
      </w:r>
      <w:r w:rsidR="00F93551" w:rsidRPr="00813D19">
        <w:rPr>
          <w:lang w:val="en-US"/>
        </w:rPr>
        <w:t xml:space="preserve">Experience </w:t>
      </w:r>
      <w:r w:rsidR="008B2113" w:rsidRPr="00813D19">
        <w:rPr>
          <w:lang w:val="en-US"/>
        </w:rPr>
        <w:t xml:space="preserve">showed </w:t>
      </w:r>
      <w:r w:rsidR="00F93551" w:rsidRPr="00813D19">
        <w:rPr>
          <w:lang w:val="en-US"/>
        </w:rPr>
        <w:t xml:space="preserve">that even if the Evaluation Body was reinforced with more members, the time available during a cycle </w:t>
      </w:r>
      <w:r w:rsidR="003A3C97">
        <w:rPr>
          <w:lang w:val="en-US"/>
        </w:rPr>
        <w:t>was</w:t>
      </w:r>
      <w:r w:rsidR="003A3C97" w:rsidRPr="00813D19">
        <w:rPr>
          <w:lang w:val="en-US"/>
        </w:rPr>
        <w:t xml:space="preserve"> </w:t>
      </w:r>
      <w:r w:rsidR="007B06B1" w:rsidRPr="00813D19">
        <w:rPr>
          <w:lang w:val="en-US"/>
        </w:rPr>
        <w:t>very tight</w:t>
      </w:r>
      <w:r w:rsidR="00F93551" w:rsidRPr="00813D19">
        <w:rPr>
          <w:lang w:val="en-US"/>
        </w:rPr>
        <w:t>.</w:t>
      </w:r>
      <w:r w:rsidR="00F93551" w:rsidRPr="00813D19">
        <w:rPr>
          <w:b/>
          <w:bCs/>
          <w:lang w:val="en-US"/>
        </w:rPr>
        <w:t xml:space="preserve"> </w:t>
      </w:r>
      <w:r w:rsidR="003A3C97">
        <w:rPr>
          <w:bCs/>
          <w:lang w:val="en-US"/>
        </w:rPr>
        <w:t>Regarding</w:t>
      </w:r>
      <w:r w:rsidR="008B2113" w:rsidRPr="00813D19">
        <w:rPr>
          <w:bCs/>
          <w:lang w:val="en-US"/>
        </w:rPr>
        <w:t xml:space="preserve"> the f</w:t>
      </w:r>
      <w:r w:rsidR="00F93551" w:rsidRPr="00813D19">
        <w:rPr>
          <w:bCs/>
          <w:lang w:val="en-US"/>
        </w:rPr>
        <w:t>uture</w:t>
      </w:r>
      <w:r w:rsidR="008B2113" w:rsidRPr="00813D19">
        <w:rPr>
          <w:bCs/>
          <w:lang w:val="en-US"/>
        </w:rPr>
        <w:t xml:space="preserve">, </w:t>
      </w:r>
      <w:r w:rsidR="008B2113" w:rsidRPr="00813D19">
        <w:rPr>
          <w:lang w:val="en-US"/>
        </w:rPr>
        <w:t>e</w:t>
      </w:r>
      <w:r w:rsidR="00F93551" w:rsidRPr="00813D19">
        <w:rPr>
          <w:lang w:val="en-US"/>
        </w:rPr>
        <w:t xml:space="preserve">ven though the trend </w:t>
      </w:r>
      <w:r w:rsidR="003950FF" w:rsidRPr="00813D19">
        <w:rPr>
          <w:lang w:val="en-US"/>
        </w:rPr>
        <w:t xml:space="preserve">towards a greater </w:t>
      </w:r>
      <w:r w:rsidR="00F93551" w:rsidRPr="00813D19">
        <w:rPr>
          <w:lang w:val="en-US"/>
        </w:rPr>
        <w:t>number of files to be t</w:t>
      </w:r>
      <w:r w:rsidR="005F5D72" w:rsidRPr="00813D19">
        <w:rPr>
          <w:lang w:val="en-US"/>
        </w:rPr>
        <w:t xml:space="preserve">reated </w:t>
      </w:r>
      <w:r w:rsidR="003950FF" w:rsidRPr="00813D19">
        <w:rPr>
          <w:lang w:val="en-US"/>
        </w:rPr>
        <w:t xml:space="preserve">was </w:t>
      </w:r>
      <w:r w:rsidR="005F5D72" w:rsidRPr="00813D19">
        <w:rPr>
          <w:lang w:val="en-US"/>
        </w:rPr>
        <w:t xml:space="preserve">worrisome, </w:t>
      </w:r>
      <w:r w:rsidR="00F93551" w:rsidRPr="00813D19">
        <w:rPr>
          <w:lang w:val="en-US"/>
        </w:rPr>
        <w:t xml:space="preserve">the Committee should </w:t>
      </w:r>
      <w:r w:rsidR="003950FF" w:rsidRPr="00813D19">
        <w:rPr>
          <w:lang w:val="en-US"/>
        </w:rPr>
        <w:t xml:space="preserve">perhaps consider </w:t>
      </w:r>
      <w:r w:rsidR="00F93551" w:rsidRPr="00813D19">
        <w:rPr>
          <w:lang w:val="en-US"/>
        </w:rPr>
        <w:t xml:space="preserve">other reflections that </w:t>
      </w:r>
      <w:r w:rsidR="003950FF" w:rsidRPr="00813D19">
        <w:rPr>
          <w:lang w:val="en-US"/>
        </w:rPr>
        <w:t xml:space="preserve">had begun </w:t>
      </w:r>
      <w:r w:rsidR="00F93551" w:rsidRPr="00813D19">
        <w:rPr>
          <w:lang w:val="en-US"/>
        </w:rPr>
        <w:t xml:space="preserve">in parallel before taking steps to change the existing practice. </w:t>
      </w:r>
      <w:r w:rsidR="003950FF" w:rsidRPr="00813D19">
        <w:rPr>
          <w:lang w:val="en-US"/>
        </w:rPr>
        <w:t>Ms Ohinata recalled that u</w:t>
      </w:r>
      <w:r w:rsidR="00F93551" w:rsidRPr="00813D19">
        <w:rPr>
          <w:lang w:val="en-US"/>
        </w:rPr>
        <w:t xml:space="preserve">nder item 6, </w:t>
      </w:r>
      <w:r w:rsidR="003950FF" w:rsidRPr="00813D19">
        <w:rPr>
          <w:lang w:val="en-US"/>
        </w:rPr>
        <w:t>the Committee had</w:t>
      </w:r>
      <w:r w:rsidR="00F93551" w:rsidRPr="00813D19">
        <w:rPr>
          <w:lang w:val="en-US"/>
        </w:rPr>
        <w:t xml:space="preserve"> accepted </w:t>
      </w:r>
      <w:r w:rsidR="003950FF" w:rsidRPr="00813D19">
        <w:rPr>
          <w:lang w:val="en-US"/>
        </w:rPr>
        <w:t xml:space="preserve">Japan’s </w:t>
      </w:r>
      <w:r w:rsidR="00F93551" w:rsidRPr="00813D19">
        <w:rPr>
          <w:lang w:val="en-US"/>
        </w:rPr>
        <w:t>offer to support the global reflection on the listin</w:t>
      </w:r>
      <w:r w:rsidR="003950FF" w:rsidRPr="00813D19">
        <w:rPr>
          <w:lang w:val="en-US"/>
        </w:rPr>
        <w:t xml:space="preserve">g mechanisms of the Convention, and it was </w:t>
      </w:r>
      <w:r w:rsidR="00F93551" w:rsidRPr="00813D19">
        <w:rPr>
          <w:lang w:val="en-US"/>
        </w:rPr>
        <w:t xml:space="preserve">clear that the future of the inscription process </w:t>
      </w:r>
      <w:r w:rsidR="003950FF" w:rsidRPr="00813D19">
        <w:rPr>
          <w:lang w:val="en-US"/>
        </w:rPr>
        <w:t xml:space="preserve">would </w:t>
      </w:r>
      <w:r w:rsidR="00F93551" w:rsidRPr="00813D19">
        <w:rPr>
          <w:lang w:val="en-US"/>
        </w:rPr>
        <w:t>be affected by the outcome of that reflection.</w:t>
      </w:r>
    </w:p>
    <w:p w14:paraId="18704AAD" w14:textId="57CEBB9A" w:rsidR="007B06B1" w:rsidRPr="00813D19" w:rsidRDefault="007B06B1" w:rsidP="00143F1F">
      <w:pPr>
        <w:pStyle w:val="Orateurengris"/>
        <w:spacing w:before="120"/>
        <w:ind w:left="709" w:hanging="709"/>
        <w:rPr>
          <w:lang w:val="en-US"/>
        </w:rPr>
      </w:pPr>
      <w:r w:rsidRPr="00813D19">
        <w:rPr>
          <w:lang w:val="en-US"/>
        </w:rPr>
        <w:t xml:space="preserve">The </w:t>
      </w:r>
      <w:r w:rsidRPr="00813D19">
        <w:rPr>
          <w:b/>
          <w:lang w:val="en-US"/>
        </w:rPr>
        <w:t>Chairperson</w:t>
      </w:r>
      <w:r w:rsidR="00DD4E22">
        <w:rPr>
          <w:lang w:val="en-US"/>
        </w:rPr>
        <w:t xml:space="preserve"> opened the floor for comments.</w:t>
      </w:r>
    </w:p>
    <w:p w14:paraId="0778C5B6" w14:textId="466D19F7" w:rsidR="002E2256" w:rsidRPr="00813D19" w:rsidRDefault="00BE6ED6" w:rsidP="00143F1F">
      <w:pPr>
        <w:pStyle w:val="Orateurengris"/>
        <w:spacing w:before="120"/>
        <w:ind w:left="709" w:hanging="709"/>
        <w:rPr>
          <w:lang w:val="en-US"/>
        </w:rPr>
      </w:pPr>
      <w:r w:rsidRPr="00813D19">
        <w:rPr>
          <w:lang w:val="en-US"/>
        </w:rPr>
        <w:t xml:space="preserve">The </w:t>
      </w:r>
      <w:r w:rsidRPr="00813D19">
        <w:rPr>
          <w:b/>
          <w:lang w:val="en-US"/>
        </w:rPr>
        <w:t>delegation of Cyprus</w:t>
      </w:r>
      <w:r w:rsidR="007A6018" w:rsidRPr="00813D19">
        <w:rPr>
          <w:b/>
          <w:lang w:val="en-US"/>
        </w:rPr>
        <w:t xml:space="preserve"> </w:t>
      </w:r>
      <w:r w:rsidR="002E2256" w:rsidRPr="00813D19">
        <w:rPr>
          <w:lang w:val="en-US"/>
        </w:rPr>
        <w:t>asked</w:t>
      </w:r>
      <w:r w:rsidR="002E2256" w:rsidRPr="00813D19">
        <w:rPr>
          <w:b/>
          <w:lang w:val="en-US"/>
        </w:rPr>
        <w:t xml:space="preserve"> </w:t>
      </w:r>
      <w:r w:rsidR="002E2256" w:rsidRPr="00813D19">
        <w:rPr>
          <w:lang w:val="en-US"/>
        </w:rPr>
        <w:t xml:space="preserve">whether it was possible to transfer a nomination file to 2019 that </w:t>
      </w:r>
      <w:r w:rsidR="00A62B0B" w:rsidRPr="00813D19">
        <w:rPr>
          <w:lang w:val="en-US"/>
        </w:rPr>
        <w:t xml:space="preserve">would </w:t>
      </w:r>
      <w:r w:rsidR="002E2256" w:rsidRPr="00813D19">
        <w:rPr>
          <w:lang w:val="en-US"/>
        </w:rPr>
        <w:t xml:space="preserve">normally be examined in 2020 because two files on the same subject </w:t>
      </w:r>
      <w:r w:rsidR="003A3C97">
        <w:rPr>
          <w:lang w:val="en-US"/>
        </w:rPr>
        <w:t>would</w:t>
      </w:r>
      <w:r w:rsidR="003A3C97" w:rsidRPr="00813D19">
        <w:rPr>
          <w:lang w:val="en-US"/>
        </w:rPr>
        <w:t xml:space="preserve"> </w:t>
      </w:r>
      <w:r w:rsidR="00DD4E22">
        <w:rPr>
          <w:lang w:val="en-US"/>
        </w:rPr>
        <w:t>be examined in the same year.</w:t>
      </w:r>
    </w:p>
    <w:p w14:paraId="3F538149" w14:textId="0185654D" w:rsidR="0018507E" w:rsidRPr="00813D19" w:rsidRDefault="0018507E" w:rsidP="00143F1F">
      <w:pPr>
        <w:pStyle w:val="Orateurengris"/>
        <w:spacing w:before="120"/>
        <w:ind w:left="709" w:hanging="709"/>
        <w:rPr>
          <w:lang w:val="en-US"/>
        </w:rPr>
      </w:pPr>
      <w:r w:rsidRPr="00813D19">
        <w:rPr>
          <w:lang w:val="en-US"/>
        </w:rPr>
        <w:t xml:space="preserve">The </w:t>
      </w:r>
      <w:r w:rsidRPr="00813D19">
        <w:rPr>
          <w:b/>
          <w:lang w:val="en-US"/>
        </w:rPr>
        <w:t>Secretary</w:t>
      </w:r>
      <w:r w:rsidR="007A6018" w:rsidRPr="00813D19">
        <w:rPr>
          <w:b/>
          <w:lang w:val="en-US"/>
        </w:rPr>
        <w:t xml:space="preserve"> </w:t>
      </w:r>
      <w:r w:rsidR="003A5112" w:rsidRPr="00813D19">
        <w:rPr>
          <w:lang w:val="en-US"/>
        </w:rPr>
        <w:t xml:space="preserve">remarked that there </w:t>
      </w:r>
      <w:r w:rsidR="007A6018" w:rsidRPr="00813D19">
        <w:rPr>
          <w:bCs/>
          <w:lang w:val="en-US"/>
        </w:rPr>
        <w:t xml:space="preserve">had </w:t>
      </w:r>
      <w:r w:rsidR="003A5112" w:rsidRPr="00813D19">
        <w:rPr>
          <w:bCs/>
          <w:lang w:val="en-US"/>
        </w:rPr>
        <w:t xml:space="preserve">been </w:t>
      </w:r>
      <w:r w:rsidR="007A6018" w:rsidRPr="00813D19">
        <w:rPr>
          <w:bCs/>
          <w:lang w:val="en-US"/>
        </w:rPr>
        <w:t>very long discussion</w:t>
      </w:r>
      <w:r w:rsidR="003A5112" w:rsidRPr="00813D19">
        <w:rPr>
          <w:bCs/>
          <w:lang w:val="en-US"/>
        </w:rPr>
        <w:t>s</w:t>
      </w:r>
      <w:r w:rsidR="007A6018" w:rsidRPr="00813D19">
        <w:rPr>
          <w:bCs/>
          <w:lang w:val="en-US"/>
        </w:rPr>
        <w:t xml:space="preserve"> </w:t>
      </w:r>
      <w:r w:rsidR="003A5112" w:rsidRPr="00813D19">
        <w:rPr>
          <w:bCs/>
          <w:lang w:val="en-US"/>
        </w:rPr>
        <w:t xml:space="preserve">on </w:t>
      </w:r>
      <w:r w:rsidR="007A6018" w:rsidRPr="00813D19">
        <w:rPr>
          <w:bCs/>
          <w:lang w:val="en-US"/>
        </w:rPr>
        <w:t>whether files could change cycles</w:t>
      </w:r>
      <w:r w:rsidR="003A5112" w:rsidRPr="00813D19">
        <w:rPr>
          <w:bCs/>
          <w:lang w:val="en-US"/>
        </w:rPr>
        <w:t xml:space="preserve"> to enable the </w:t>
      </w:r>
      <w:r w:rsidR="007A6018" w:rsidRPr="00813D19">
        <w:rPr>
          <w:bCs/>
          <w:lang w:val="en-US"/>
        </w:rPr>
        <w:t xml:space="preserve">evaluation of files </w:t>
      </w:r>
      <w:r w:rsidR="003A5112" w:rsidRPr="00813D19">
        <w:rPr>
          <w:bCs/>
          <w:lang w:val="en-US"/>
        </w:rPr>
        <w:t xml:space="preserve">from one cycle to another, which had been a </w:t>
      </w:r>
      <w:r w:rsidR="007A6018" w:rsidRPr="00813D19">
        <w:rPr>
          <w:bCs/>
          <w:lang w:val="en-US"/>
        </w:rPr>
        <w:t xml:space="preserve">big </w:t>
      </w:r>
      <w:r w:rsidR="003A5112" w:rsidRPr="00813D19">
        <w:rPr>
          <w:bCs/>
          <w:lang w:val="en-US"/>
        </w:rPr>
        <w:t xml:space="preserve">issue </w:t>
      </w:r>
      <w:r w:rsidR="007A6018" w:rsidRPr="00813D19">
        <w:rPr>
          <w:bCs/>
          <w:lang w:val="en-US"/>
        </w:rPr>
        <w:t xml:space="preserve">at this particular Committee </w:t>
      </w:r>
      <w:r w:rsidR="003A5112" w:rsidRPr="00813D19">
        <w:rPr>
          <w:bCs/>
          <w:lang w:val="en-US"/>
        </w:rPr>
        <w:t>session</w:t>
      </w:r>
      <w:r w:rsidR="007A6018" w:rsidRPr="00813D19">
        <w:rPr>
          <w:bCs/>
          <w:lang w:val="en-US"/>
        </w:rPr>
        <w:t xml:space="preserve">. </w:t>
      </w:r>
      <w:r w:rsidR="003A5112" w:rsidRPr="00813D19">
        <w:rPr>
          <w:bCs/>
          <w:lang w:val="en-US"/>
        </w:rPr>
        <w:t xml:space="preserve">However, the </w:t>
      </w:r>
      <w:r w:rsidR="007A6018" w:rsidRPr="00813D19">
        <w:rPr>
          <w:bCs/>
          <w:lang w:val="en-US"/>
        </w:rPr>
        <w:t xml:space="preserve">Chairperson </w:t>
      </w:r>
      <w:r w:rsidR="003A5112" w:rsidRPr="00813D19">
        <w:rPr>
          <w:bCs/>
          <w:lang w:val="en-US"/>
        </w:rPr>
        <w:t xml:space="preserve">had been very </w:t>
      </w:r>
      <w:r w:rsidR="007A6018" w:rsidRPr="00813D19">
        <w:rPr>
          <w:bCs/>
          <w:lang w:val="en-US"/>
        </w:rPr>
        <w:t xml:space="preserve">clear that the evaluation of a file </w:t>
      </w:r>
      <w:r w:rsidR="003A5112" w:rsidRPr="00813D19">
        <w:rPr>
          <w:bCs/>
          <w:lang w:val="en-US"/>
        </w:rPr>
        <w:t xml:space="preserve">could not be moved </w:t>
      </w:r>
      <w:r w:rsidR="007A6018" w:rsidRPr="00813D19">
        <w:rPr>
          <w:bCs/>
          <w:lang w:val="en-US"/>
        </w:rPr>
        <w:t>from one cycle to another</w:t>
      </w:r>
      <w:r w:rsidR="003A5112" w:rsidRPr="00813D19">
        <w:rPr>
          <w:bCs/>
          <w:lang w:val="en-US"/>
        </w:rPr>
        <w:t>,</w:t>
      </w:r>
      <w:r w:rsidR="007A6018" w:rsidRPr="00813D19">
        <w:rPr>
          <w:bCs/>
          <w:lang w:val="en-US"/>
        </w:rPr>
        <w:t xml:space="preserve"> </w:t>
      </w:r>
      <w:r w:rsidR="003A5112" w:rsidRPr="00813D19">
        <w:rPr>
          <w:bCs/>
          <w:lang w:val="en-US"/>
        </w:rPr>
        <w:t xml:space="preserve">unless there was a </w:t>
      </w:r>
      <w:r w:rsidR="007A6018" w:rsidRPr="00813D19">
        <w:rPr>
          <w:bCs/>
          <w:lang w:val="en-US"/>
        </w:rPr>
        <w:t xml:space="preserve">revision </w:t>
      </w:r>
      <w:r w:rsidR="003A5112" w:rsidRPr="00813D19">
        <w:rPr>
          <w:bCs/>
          <w:lang w:val="en-US"/>
        </w:rPr>
        <w:t>to the Operational Directives.</w:t>
      </w:r>
    </w:p>
    <w:p w14:paraId="39516317" w14:textId="42B8E609" w:rsidR="007B06B1" w:rsidRPr="00813D19" w:rsidRDefault="007B06B1" w:rsidP="00143F1F">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proceeded to the </w:t>
      </w:r>
      <w:r w:rsidR="00DD4E22">
        <w:rPr>
          <w:lang w:val="en-US"/>
        </w:rPr>
        <w:t>adoption of the draft decision.</w:t>
      </w:r>
    </w:p>
    <w:p w14:paraId="0D72EC7C" w14:textId="6289F650" w:rsidR="00E07D0F" w:rsidRPr="00813D19" w:rsidRDefault="00E07D0F" w:rsidP="00143F1F">
      <w:pPr>
        <w:pStyle w:val="Orateurengris"/>
        <w:spacing w:before="120"/>
        <w:ind w:left="709" w:hanging="709"/>
        <w:rPr>
          <w:lang w:val="en-US"/>
        </w:rPr>
      </w:pPr>
      <w:r w:rsidRPr="00813D19">
        <w:rPr>
          <w:lang w:val="en-US"/>
        </w:rPr>
        <w:t xml:space="preserve">The </w:t>
      </w:r>
      <w:r w:rsidRPr="00813D19">
        <w:rPr>
          <w:b/>
          <w:lang w:val="en-US"/>
        </w:rPr>
        <w:t>delegation of Cuba</w:t>
      </w:r>
      <w:r w:rsidR="007A6018" w:rsidRPr="00813D19">
        <w:rPr>
          <w:b/>
          <w:lang w:val="en-US"/>
        </w:rPr>
        <w:t xml:space="preserve"> </w:t>
      </w:r>
      <w:r w:rsidR="007A6018" w:rsidRPr="00813D19">
        <w:rPr>
          <w:bCs/>
          <w:lang w:val="en-US"/>
        </w:rPr>
        <w:t xml:space="preserve">wanted to add </w:t>
      </w:r>
      <w:r w:rsidR="003A5112" w:rsidRPr="00813D19">
        <w:rPr>
          <w:bCs/>
          <w:lang w:val="en-US"/>
        </w:rPr>
        <w:t xml:space="preserve">that </w:t>
      </w:r>
      <w:r w:rsidR="007A6018" w:rsidRPr="00813D19">
        <w:rPr>
          <w:bCs/>
          <w:lang w:val="en-US"/>
        </w:rPr>
        <w:t xml:space="preserve">the </w:t>
      </w:r>
      <w:r w:rsidR="003A5112" w:rsidRPr="00813D19">
        <w:rPr>
          <w:bCs/>
          <w:lang w:val="en-US"/>
        </w:rPr>
        <w:t>order in which files are examined</w:t>
      </w:r>
      <w:r w:rsidR="007A6018" w:rsidRPr="00813D19">
        <w:rPr>
          <w:bCs/>
          <w:lang w:val="en-US"/>
        </w:rPr>
        <w:t xml:space="preserve"> </w:t>
      </w:r>
      <w:r w:rsidR="003A5112" w:rsidRPr="00813D19">
        <w:rPr>
          <w:bCs/>
          <w:lang w:val="en-US"/>
        </w:rPr>
        <w:t xml:space="preserve">was a very sensitive issue, and it wished </w:t>
      </w:r>
      <w:r w:rsidR="007A6018" w:rsidRPr="00813D19">
        <w:rPr>
          <w:bCs/>
          <w:lang w:val="en-US"/>
        </w:rPr>
        <w:t xml:space="preserve">to draw the Secretariat’s attention to that </w:t>
      </w:r>
      <w:r w:rsidR="003A5112" w:rsidRPr="00813D19">
        <w:rPr>
          <w:bCs/>
          <w:lang w:val="en-US"/>
        </w:rPr>
        <w:t xml:space="preserve">fact so as to invite further </w:t>
      </w:r>
      <w:r w:rsidR="007A6018" w:rsidRPr="00813D19">
        <w:rPr>
          <w:bCs/>
          <w:lang w:val="en-US"/>
        </w:rPr>
        <w:t xml:space="preserve">reflection </w:t>
      </w:r>
      <w:r w:rsidR="00521C4F" w:rsidRPr="00813D19">
        <w:rPr>
          <w:bCs/>
          <w:lang w:val="en-US"/>
        </w:rPr>
        <w:t xml:space="preserve">in order </w:t>
      </w:r>
      <w:r w:rsidR="007A6018" w:rsidRPr="00813D19">
        <w:rPr>
          <w:bCs/>
          <w:lang w:val="en-US"/>
        </w:rPr>
        <w:t xml:space="preserve">to strike a balance </w:t>
      </w:r>
      <w:r w:rsidR="00521C4F" w:rsidRPr="00813D19">
        <w:rPr>
          <w:bCs/>
          <w:lang w:val="en-US"/>
        </w:rPr>
        <w:t xml:space="preserve">vis-à-vis the </w:t>
      </w:r>
      <w:r w:rsidR="007A6018" w:rsidRPr="00813D19">
        <w:rPr>
          <w:bCs/>
          <w:lang w:val="en-US"/>
        </w:rPr>
        <w:t xml:space="preserve">criteria </w:t>
      </w:r>
      <w:r w:rsidR="00521C4F" w:rsidRPr="00813D19">
        <w:rPr>
          <w:bCs/>
          <w:lang w:val="en-US"/>
        </w:rPr>
        <w:t>used</w:t>
      </w:r>
      <w:r w:rsidR="007A6018" w:rsidRPr="00813D19">
        <w:rPr>
          <w:bCs/>
          <w:lang w:val="en-US"/>
        </w:rPr>
        <w:t xml:space="preserve"> to </w:t>
      </w:r>
      <w:r w:rsidR="00521C4F" w:rsidRPr="00813D19">
        <w:rPr>
          <w:bCs/>
          <w:lang w:val="en-US"/>
        </w:rPr>
        <w:t xml:space="preserve">determine the </w:t>
      </w:r>
      <w:r w:rsidR="007A6018" w:rsidRPr="00813D19">
        <w:rPr>
          <w:bCs/>
          <w:lang w:val="en-US"/>
        </w:rPr>
        <w:t xml:space="preserve">cycle </w:t>
      </w:r>
      <w:r w:rsidR="00521C4F" w:rsidRPr="00813D19">
        <w:rPr>
          <w:bCs/>
          <w:lang w:val="en-US"/>
        </w:rPr>
        <w:t xml:space="preserve">of examination. </w:t>
      </w:r>
      <w:r w:rsidR="00F47634" w:rsidRPr="00813D19">
        <w:rPr>
          <w:bCs/>
          <w:lang w:val="en-US"/>
        </w:rPr>
        <w:t xml:space="preserve">The delegation reminded the Committee </w:t>
      </w:r>
      <w:r w:rsidR="007A6018" w:rsidRPr="00813D19">
        <w:rPr>
          <w:bCs/>
          <w:lang w:val="en-US"/>
        </w:rPr>
        <w:t xml:space="preserve">that </w:t>
      </w:r>
      <w:r w:rsidR="00F47634" w:rsidRPr="00813D19">
        <w:rPr>
          <w:bCs/>
          <w:lang w:val="en-US"/>
        </w:rPr>
        <w:t>submitting a file raised</w:t>
      </w:r>
      <w:r w:rsidR="007A6018" w:rsidRPr="00813D19">
        <w:rPr>
          <w:bCs/>
          <w:lang w:val="en-US"/>
        </w:rPr>
        <w:t xml:space="preserve"> a lot of </w:t>
      </w:r>
      <w:r w:rsidR="00F47634" w:rsidRPr="00813D19">
        <w:rPr>
          <w:bCs/>
          <w:lang w:val="en-US"/>
        </w:rPr>
        <w:t xml:space="preserve">expectations such that it was a delicate </w:t>
      </w:r>
      <w:r w:rsidR="00CB30B7" w:rsidRPr="00813D19">
        <w:rPr>
          <w:bCs/>
          <w:lang w:val="en-US"/>
        </w:rPr>
        <w:t xml:space="preserve">matter when a </w:t>
      </w:r>
      <w:r w:rsidR="00F47634" w:rsidRPr="00813D19">
        <w:rPr>
          <w:bCs/>
          <w:lang w:val="en-US"/>
        </w:rPr>
        <w:t xml:space="preserve">file </w:t>
      </w:r>
      <w:r w:rsidR="00A430D3">
        <w:rPr>
          <w:bCs/>
          <w:lang w:val="en-US"/>
        </w:rPr>
        <w:t>wa</w:t>
      </w:r>
      <w:r w:rsidR="00A430D3" w:rsidRPr="00813D19">
        <w:rPr>
          <w:bCs/>
          <w:lang w:val="en-US"/>
        </w:rPr>
        <w:t xml:space="preserve">s </w:t>
      </w:r>
      <w:r w:rsidR="00F47634" w:rsidRPr="00813D19">
        <w:rPr>
          <w:bCs/>
          <w:lang w:val="en-US"/>
        </w:rPr>
        <w:t xml:space="preserve">only </w:t>
      </w:r>
      <w:r w:rsidR="007A6018" w:rsidRPr="00813D19">
        <w:rPr>
          <w:bCs/>
          <w:lang w:val="en-US"/>
        </w:rPr>
        <w:t xml:space="preserve">examined </w:t>
      </w:r>
      <w:r w:rsidR="00F47634" w:rsidRPr="00813D19">
        <w:rPr>
          <w:bCs/>
          <w:lang w:val="en-US"/>
        </w:rPr>
        <w:t xml:space="preserve">in </w:t>
      </w:r>
      <w:r w:rsidR="007A6018" w:rsidRPr="00813D19">
        <w:rPr>
          <w:bCs/>
          <w:lang w:val="en-US"/>
        </w:rPr>
        <w:t xml:space="preserve">a much later cycle. </w:t>
      </w:r>
      <w:r w:rsidR="00CB30B7" w:rsidRPr="00813D19">
        <w:rPr>
          <w:bCs/>
          <w:lang w:val="en-US"/>
        </w:rPr>
        <w:t xml:space="preserve">Hence the need to fine-tune the mechanism, which should </w:t>
      </w:r>
      <w:r w:rsidR="00DD4E22">
        <w:rPr>
          <w:bCs/>
          <w:lang w:val="en-US"/>
        </w:rPr>
        <w:t>be borne in mind.</w:t>
      </w:r>
    </w:p>
    <w:p w14:paraId="7805BDA5" w14:textId="6AF0FAE2" w:rsidR="00E07D0F" w:rsidRPr="00813D19" w:rsidRDefault="00E07D0F" w:rsidP="00D70CA6">
      <w:pPr>
        <w:pStyle w:val="Orateurengris"/>
        <w:spacing w:after="0"/>
        <w:ind w:left="709" w:hanging="709"/>
        <w:rPr>
          <w:lang w:val="en-US"/>
        </w:rPr>
      </w:pPr>
      <w:r w:rsidRPr="00813D19">
        <w:rPr>
          <w:lang w:val="en-US"/>
        </w:rPr>
        <w:t xml:space="preserve">The </w:t>
      </w:r>
      <w:r w:rsidRPr="00813D19">
        <w:rPr>
          <w:b/>
          <w:lang w:val="en-US"/>
        </w:rPr>
        <w:t>Chairperson</w:t>
      </w:r>
      <w:r w:rsidR="00834995" w:rsidRPr="00813D19">
        <w:rPr>
          <w:lang w:val="en-US"/>
        </w:rPr>
        <w:t xml:space="preserve"> took not</w:t>
      </w:r>
      <w:r w:rsidR="007B06B1" w:rsidRPr="00813D19">
        <w:rPr>
          <w:lang w:val="en-US"/>
        </w:rPr>
        <w:t>e</w:t>
      </w:r>
      <w:r w:rsidR="00834995" w:rsidRPr="00813D19">
        <w:rPr>
          <w:lang w:val="en-US"/>
        </w:rPr>
        <w:t xml:space="preserve"> of the observation. </w:t>
      </w:r>
      <w:r w:rsidR="003A5112" w:rsidRPr="00813D19">
        <w:rPr>
          <w:lang w:val="en-US"/>
        </w:rPr>
        <w:t>Turning</w:t>
      </w:r>
      <w:r w:rsidRPr="00813D19">
        <w:rPr>
          <w:lang w:val="en-US"/>
        </w:rPr>
        <w:t xml:space="preserve"> to the adoption of the draft decision as a w</w:t>
      </w:r>
      <w:r w:rsidR="00834995" w:rsidRPr="00813D19">
        <w:rPr>
          <w:lang w:val="en-US"/>
        </w:rPr>
        <w:t>hole</w:t>
      </w:r>
      <w:r w:rsidR="003A5112" w:rsidRPr="00813D19">
        <w:rPr>
          <w:lang w:val="en-US"/>
        </w:rPr>
        <w:t>,</w:t>
      </w:r>
      <w:r w:rsidR="00834995" w:rsidRPr="00813D19">
        <w:rPr>
          <w:lang w:val="en-US"/>
        </w:rPr>
        <w:t xml:space="preserve"> </w:t>
      </w:r>
      <w:r w:rsidR="003A5112" w:rsidRPr="00813D19">
        <w:rPr>
          <w:b/>
          <w:lang w:val="en-US"/>
        </w:rPr>
        <w:t>t</w:t>
      </w:r>
      <w:r w:rsidR="00834995" w:rsidRPr="00813D19">
        <w:rPr>
          <w:b/>
          <w:lang w:val="en-US"/>
        </w:rPr>
        <w:t>he Chairperson declared Decision 13.COM 15 adopted</w:t>
      </w:r>
      <w:r w:rsidR="00834995" w:rsidRPr="00DD4E22">
        <w:rPr>
          <w:bCs/>
          <w:lang w:val="en-US"/>
        </w:rPr>
        <w:t>.</w:t>
      </w:r>
    </w:p>
    <w:p w14:paraId="72E7045F" w14:textId="60A9B43A" w:rsidR="00FE7E54" w:rsidRPr="00813D19" w:rsidRDefault="00DD4E22" w:rsidP="00DD4E22">
      <w:pPr>
        <w:pStyle w:val="Orateurengris"/>
        <w:keepNext/>
        <w:numPr>
          <w:ilvl w:val="0"/>
          <w:numId w:val="0"/>
        </w:numPr>
        <w:spacing w:before="360" w:after="60"/>
        <w:outlineLvl w:val="0"/>
        <w:rPr>
          <w:b/>
          <w:color w:val="000000" w:themeColor="text1"/>
          <w:u w:val="single"/>
          <w:lang w:val="en-US"/>
        </w:rPr>
      </w:pPr>
      <w:r>
        <w:rPr>
          <w:b/>
          <w:color w:val="000000" w:themeColor="text1"/>
          <w:u w:val="single"/>
          <w:lang w:val="en-US"/>
        </w:rPr>
        <w:t>ITEM 16 OF THE AGENDA</w:t>
      </w:r>
    </w:p>
    <w:p w14:paraId="39E583B0" w14:textId="58CD9088" w:rsidR="00FE7E54" w:rsidRPr="00813D19" w:rsidRDefault="00FE7E54" w:rsidP="00DD4E22">
      <w:pPr>
        <w:pStyle w:val="Orateurengris"/>
        <w:numPr>
          <w:ilvl w:val="0"/>
          <w:numId w:val="0"/>
        </w:numPr>
        <w:jc w:val="left"/>
        <w:outlineLvl w:val="1"/>
        <w:rPr>
          <w:b/>
          <w:color w:val="000000" w:themeColor="text1"/>
          <w:lang w:val="en-US"/>
        </w:rPr>
      </w:pPr>
      <w:r w:rsidRPr="00813D19">
        <w:rPr>
          <w:b/>
          <w:color w:val="000000" w:themeColor="text1"/>
          <w:lang w:val="en-US"/>
        </w:rPr>
        <w:t>REPORT OF THE INFORMAL AD HOC OPEN-ENDED WORKING GROUP</w:t>
      </w:r>
    </w:p>
    <w:p w14:paraId="40B5895E" w14:textId="3A98DA74" w:rsidR="00FE7E54" w:rsidRPr="00813D19" w:rsidRDefault="00FE7E54" w:rsidP="00DD4E22">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68" w:history="1">
        <w:r w:rsidRPr="00813D19">
          <w:rPr>
            <w:rStyle w:val="Hyperlink"/>
            <w:bCs/>
            <w:i/>
            <w:lang w:val="en-US"/>
          </w:rPr>
          <w:t>ITH/18/13.COM/16</w:t>
        </w:r>
      </w:hyperlink>
    </w:p>
    <w:p w14:paraId="0F63B584" w14:textId="10536134" w:rsidR="00FE7E54" w:rsidRPr="00813D19" w:rsidRDefault="00FE7E54" w:rsidP="00DD4E22">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DD4E22">
        <w:rPr>
          <w:b/>
          <w:bCs/>
          <w:color w:val="000000" w:themeColor="text1"/>
          <w:lang w:val="en-US"/>
        </w:rPr>
        <w:t>:</w:t>
      </w:r>
      <w:r w:rsidRPr="00813D19">
        <w:rPr>
          <w:color w:val="000000" w:themeColor="text1"/>
          <w:lang w:val="en-US"/>
        </w:rPr>
        <w:tab/>
      </w:r>
      <w:hyperlink r:id="rId169" w:history="1">
        <w:r w:rsidRPr="00813D19">
          <w:rPr>
            <w:rStyle w:val="Hyperlink"/>
            <w:i/>
            <w:lang w:val="en-US"/>
          </w:rPr>
          <w:t>13.COM 16</w:t>
        </w:r>
      </w:hyperlink>
    </w:p>
    <w:p w14:paraId="15EFE352" w14:textId="6AE87A0A" w:rsidR="008F0234" w:rsidRPr="00813D19" w:rsidRDefault="00834995" w:rsidP="00D70CA6">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8B2113" w:rsidRPr="00813D19">
        <w:rPr>
          <w:lang w:val="en-US"/>
        </w:rPr>
        <w:t xml:space="preserve">then turned to agenda </w:t>
      </w:r>
      <w:r w:rsidR="008F0234" w:rsidRPr="00813D19">
        <w:rPr>
          <w:lang w:val="en-US"/>
        </w:rPr>
        <w:t>item 16</w:t>
      </w:r>
      <w:r w:rsidR="008B2113" w:rsidRPr="00813D19">
        <w:rPr>
          <w:lang w:val="en-US"/>
        </w:rPr>
        <w:t xml:space="preserve"> and the </w:t>
      </w:r>
      <w:r w:rsidR="009F4FEA" w:rsidRPr="00813D19">
        <w:rPr>
          <w:lang w:val="en-US"/>
        </w:rPr>
        <w:t>r</w:t>
      </w:r>
      <w:r w:rsidR="008F0234" w:rsidRPr="00813D19">
        <w:rPr>
          <w:lang w:val="en-US"/>
        </w:rPr>
        <w:t>eport of the informal ad hoc open-ended working group</w:t>
      </w:r>
      <w:r w:rsidR="0094058F" w:rsidRPr="00813D19">
        <w:rPr>
          <w:lang w:val="en-US"/>
        </w:rPr>
        <w:t xml:space="preserve">, recalling that it </w:t>
      </w:r>
      <w:r w:rsidR="00A430D3">
        <w:rPr>
          <w:lang w:val="en-US"/>
        </w:rPr>
        <w:t>had</w:t>
      </w:r>
      <w:r w:rsidR="00A430D3" w:rsidRPr="00813D19">
        <w:rPr>
          <w:lang w:val="en-US"/>
        </w:rPr>
        <w:t xml:space="preserve"> </w:t>
      </w:r>
      <w:r w:rsidR="008F0234" w:rsidRPr="00813D19">
        <w:rPr>
          <w:lang w:val="en-US"/>
        </w:rPr>
        <w:t>first</w:t>
      </w:r>
      <w:r w:rsidR="00A430D3">
        <w:rPr>
          <w:lang w:val="en-US"/>
        </w:rPr>
        <w:t xml:space="preserve"> been</w:t>
      </w:r>
      <w:r w:rsidR="008F0234" w:rsidRPr="00813D19">
        <w:rPr>
          <w:lang w:val="en-US"/>
        </w:rPr>
        <w:t xml:space="preserve"> established at the eleventh session of the Committee in 2016 and led by the Chai</w:t>
      </w:r>
      <w:r w:rsidR="00416309" w:rsidRPr="00813D19">
        <w:rPr>
          <w:lang w:val="en-US"/>
        </w:rPr>
        <w:t xml:space="preserve">rperson of the twelfth session, </w:t>
      </w:r>
      <w:r w:rsidR="00A339AA" w:rsidRPr="00813D19">
        <w:rPr>
          <w:lang w:val="en-US"/>
        </w:rPr>
        <w:t xml:space="preserve"> H.E. Ambassador Lee</w:t>
      </w:r>
      <w:r w:rsidR="008F0234" w:rsidRPr="00813D19">
        <w:rPr>
          <w:lang w:val="en-US"/>
        </w:rPr>
        <w:t xml:space="preserve"> Byong-Hyun. At </w:t>
      </w:r>
      <w:r w:rsidR="0094058F" w:rsidRPr="00813D19">
        <w:rPr>
          <w:lang w:val="en-US"/>
        </w:rPr>
        <w:t xml:space="preserve">its </w:t>
      </w:r>
      <w:r w:rsidR="008F0234" w:rsidRPr="00813D19">
        <w:rPr>
          <w:lang w:val="en-US"/>
        </w:rPr>
        <w:t>twelfth session</w:t>
      </w:r>
      <w:r w:rsidR="0094058F" w:rsidRPr="00813D19">
        <w:rPr>
          <w:lang w:val="en-US"/>
        </w:rPr>
        <w:t xml:space="preserve"> in 2017,</w:t>
      </w:r>
      <w:r w:rsidR="008F0234" w:rsidRPr="00813D19">
        <w:rPr>
          <w:lang w:val="en-US"/>
        </w:rPr>
        <w:t xml:space="preserve"> the Committee decided to continue this working group</w:t>
      </w:r>
      <w:r w:rsidR="0094058F" w:rsidRPr="00813D19">
        <w:rPr>
          <w:lang w:val="en-US"/>
        </w:rPr>
        <w:t>,</w:t>
      </w:r>
      <w:r w:rsidR="008F0234" w:rsidRPr="00813D19">
        <w:rPr>
          <w:lang w:val="en-US"/>
        </w:rPr>
        <w:t xml:space="preserve"> open</w:t>
      </w:r>
      <w:r w:rsidR="0094058F" w:rsidRPr="00813D19">
        <w:rPr>
          <w:lang w:val="en-US"/>
        </w:rPr>
        <w:t>ing it</w:t>
      </w:r>
      <w:r w:rsidR="008F0234" w:rsidRPr="00813D19">
        <w:rPr>
          <w:lang w:val="en-US"/>
        </w:rPr>
        <w:t xml:space="preserve"> to all interested States Parties. The Committee also redefined the working group’s mandate to cover five main areas, as </w:t>
      </w:r>
      <w:r w:rsidR="0094058F" w:rsidRPr="00813D19">
        <w:rPr>
          <w:lang w:val="en-US"/>
        </w:rPr>
        <w:t xml:space="preserve">outlined </w:t>
      </w:r>
      <w:r w:rsidR="008F0234" w:rsidRPr="00813D19">
        <w:rPr>
          <w:lang w:val="en-US"/>
        </w:rPr>
        <w:t>in Decision </w:t>
      </w:r>
      <w:hyperlink r:id="rId170" w:history="1">
        <w:r w:rsidR="008F0234" w:rsidRPr="00813D19">
          <w:rPr>
            <w:rStyle w:val="Hyperlink"/>
            <w:lang w:val="en-US"/>
          </w:rPr>
          <w:t>12.COM 13</w:t>
        </w:r>
      </w:hyperlink>
      <w:r w:rsidR="008F0234" w:rsidRPr="00813D19">
        <w:rPr>
          <w:lang w:val="en-US"/>
        </w:rPr>
        <w:t xml:space="preserve">. The Committee at that time did not appoint </w:t>
      </w:r>
      <w:r w:rsidR="0094058F" w:rsidRPr="00813D19">
        <w:rPr>
          <w:lang w:val="en-US"/>
        </w:rPr>
        <w:t xml:space="preserve">a </w:t>
      </w:r>
      <w:r w:rsidR="008F0234" w:rsidRPr="00813D19">
        <w:rPr>
          <w:lang w:val="en-US"/>
        </w:rPr>
        <w:t>Chairperson</w:t>
      </w:r>
      <w:r w:rsidR="0094058F" w:rsidRPr="00813D19">
        <w:rPr>
          <w:lang w:val="en-US"/>
        </w:rPr>
        <w:t xml:space="preserve">, which was </w:t>
      </w:r>
      <w:r w:rsidR="008F0234" w:rsidRPr="00813D19">
        <w:rPr>
          <w:lang w:val="en-US"/>
        </w:rPr>
        <w:t xml:space="preserve">discussed at the first Bureau meeting in March 2018. </w:t>
      </w:r>
      <w:r w:rsidR="0094058F" w:rsidRPr="00813D19">
        <w:rPr>
          <w:lang w:val="en-US"/>
        </w:rPr>
        <w:t xml:space="preserve">As the Chairperson was not </w:t>
      </w:r>
      <w:r w:rsidR="008F0234" w:rsidRPr="00813D19">
        <w:rPr>
          <w:lang w:val="en-US"/>
        </w:rPr>
        <w:t xml:space="preserve">based </w:t>
      </w:r>
      <w:r w:rsidR="0094058F" w:rsidRPr="00813D19">
        <w:rPr>
          <w:lang w:val="en-US"/>
        </w:rPr>
        <w:t xml:space="preserve">in </w:t>
      </w:r>
      <w:r w:rsidR="008F0234" w:rsidRPr="00813D19">
        <w:rPr>
          <w:lang w:val="en-US"/>
        </w:rPr>
        <w:t xml:space="preserve">Paris, </w:t>
      </w:r>
      <w:r w:rsidR="0094058F" w:rsidRPr="00813D19">
        <w:rPr>
          <w:lang w:val="en-US"/>
        </w:rPr>
        <w:t xml:space="preserve">the delegations of </w:t>
      </w:r>
      <w:r w:rsidRPr="00813D19">
        <w:rPr>
          <w:lang w:val="en-US"/>
        </w:rPr>
        <w:t xml:space="preserve">Algeria and the Philippines </w:t>
      </w:r>
      <w:r w:rsidR="00A430D3">
        <w:rPr>
          <w:lang w:val="en-US"/>
        </w:rPr>
        <w:t xml:space="preserve">had </w:t>
      </w:r>
      <w:r w:rsidR="008F0234" w:rsidRPr="00813D19">
        <w:rPr>
          <w:lang w:val="en-US"/>
        </w:rPr>
        <w:t>kindly agre</w:t>
      </w:r>
      <w:r w:rsidR="0094058F" w:rsidRPr="00813D19">
        <w:rPr>
          <w:lang w:val="en-US"/>
        </w:rPr>
        <w:t>ed</w:t>
      </w:r>
      <w:r w:rsidR="008F0234" w:rsidRPr="00813D19">
        <w:rPr>
          <w:lang w:val="en-US"/>
        </w:rPr>
        <w:t xml:space="preserve"> to </w:t>
      </w:r>
      <w:r w:rsidR="0094058F" w:rsidRPr="00813D19">
        <w:rPr>
          <w:lang w:val="en-US"/>
        </w:rPr>
        <w:t>serve as co-C</w:t>
      </w:r>
      <w:r w:rsidR="008F0234" w:rsidRPr="00813D19">
        <w:rPr>
          <w:lang w:val="en-US"/>
        </w:rPr>
        <w:t>hair</w:t>
      </w:r>
      <w:r w:rsidR="0094058F" w:rsidRPr="00813D19">
        <w:rPr>
          <w:lang w:val="en-US"/>
        </w:rPr>
        <w:t>s</w:t>
      </w:r>
      <w:r w:rsidR="008F0234" w:rsidRPr="00813D19">
        <w:rPr>
          <w:lang w:val="en-US"/>
        </w:rPr>
        <w:t xml:space="preserve"> </w:t>
      </w:r>
      <w:r w:rsidR="0094058F" w:rsidRPr="00813D19">
        <w:rPr>
          <w:lang w:val="en-US"/>
        </w:rPr>
        <w:t xml:space="preserve">for </w:t>
      </w:r>
      <w:r w:rsidR="008F0234" w:rsidRPr="00813D19">
        <w:rPr>
          <w:lang w:val="en-US"/>
        </w:rPr>
        <w:t>the group</w:t>
      </w:r>
      <w:r w:rsidR="0094058F" w:rsidRPr="00813D19">
        <w:rPr>
          <w:lang w:val="en-US"/>
        </w:rPr>
        <w:t>, taking</w:t>
      </w:r>
      <w:r w:rsidR="008F0234" w:rsidRPr="00813D19">
        <w:rPr>
          <w:lang w:val="en-US"/>
        </w:rPr>
        <w:t xml:space="preserve"> on </w:t>
      </w:r>
      <w:r w:rsidR="00CE7E5B" w:rsidRPr="00813D19">
        <w:rPr>
          <w:lang w:val="en-US"/>
        </w:rPr>
        <w:t>the</w:t>
      </w:r>
      <w:r w:rsidR="008F0234" w:rsidRPr="00813D19">
        <w:rPr>
          <w:lang w:val="en-US"/>
        </w:rPr>
        <w:t xml:space="preserve"> role with enthusiasm and </w:t>
      </w:r>
      <w:r w:rsidR="0094058F" w:rsidRPr="00813D19">
        <w:rPr>
          <w:lang w:val="en-US"/>
        </w:rPr>
        <w:t>advancing</w:t>
      </w:r>
      <w:r w:rsidR="008F0234" w:rsidRPr="00813D19">
        <w:rPr>
          <w:lang w:val="en-US"/>
        </w:rPr>
        <w:t xml:space="preserve"> the work </w:t>
      </w:r>
      <w:r w:rsidR="0094058F" w:rsidRPr="00813D19">
        <w:rPr>
          <w:lang w:val="en-US"/>
        </w:rPr>
        <w:t>well</w:t>
      </w:r>
      <w:r w:rsidR="00CE7E5B" w:rsidRPr="00813D19">
        <w:rPr>
          <w:lang w:val="en-US"/>
        </w:rPr>
        <w:t>, for which the Chairperson was grateful.</w:t>
      </w:r>
      <w:r w:rsidR="008F0234" w:rsidRPr="00813D19">
        <w:rPr>
          <w:lang w:val="en-US"/>
        </w:rPr>
        <w:t xml:space="preserve"> </w:t>
      </w:r>
      <w:r w:rsidR="00CE7E5B" w:rsidRPr="00813D19">
        <w:rPr>
          <w:lang w:val="en-US"/>
        </w:rPr>
        <w:t xml:space="preserve">The Chairperson </w:t>
      </w:r>
      <w:r w:rsidR="008F0234" w:rsidRPr="00813D19">
        <w:rPr>
          <w:lang w:val="en-US"/>
        </w:rPr>
        <w:t>also thank</w:t>
      </w:r>
      <w:r w:rsidR="00CE7E5B" w:rsidRPr="00813D19">
        <w:rPr>
          <w:lang w:val="en-US"/>
        </w:rPr>
        <w:t>ed</w:t>
      </w:r>
      <w:r w:rsidR="008F0234" w:rsidRPr="00813D19">
        <w:rPr>
          <w:lang w:val="en-US"/>
        </w:rPr>
        <w:t xml:space="preserve"> the States Parties </w:t>
      </w:r>
      <w:r w:rsidR="00CE7E5B" w:rsidRPr="00813D19">
        <w:rPr>
          <w:lang w:val="en-US"/>
        </w:rPr>
        <w:t xml:space="preserve">that had </w:t>
      </w:r>
      <w:r w:rsidR="008F0234" w:rsidRPr="00813D19">
        <w:rPr>
          <w:lang w:val="en-US"/>
        </w:rPr>
        <w:t xml:space="preserve">participated in and followed the work of the informal ad hoc open-ended working group </w:t>
      </w:r>
      <w:r w:rsidR="00CE7E5B" w:rsidRPr="00813D19">
        <w:rPr>
          <w:lang w:val="en-US"/>
        </w:rPr>
        <w:t xml:space="preserve">throughout the year, adding that the </w:t>
      </w:r>
      <w:r w:rsidR="008F0234" w:rsidRPr="00813D19">
        <w:rPr>
          <w:lang w:val="en-US"/>
        </w:rPr>
        <w:t xml:space="preserve">fruitful discussions </w:t>
      </w:r>
      <w:r w:rsidR="00A430D3">
        <w:rPr>
          <w:lang w:val="en-US"/>
        </w:rPr>
        <w:t>would</w:t>
      </w:r>
      <w:r w:rsidR="00A430D3" w:rsidRPr="00813D19">
        <w:rPr>
          <w:lang w:val="en-US"/>
        </w:rPr>
        <w:t xml:space="preserve"> </w:t>
      </w:r>
      <w:r w:rsidR="008F0234" w:rsidRPr="00813D19">
        <w:rPr>
          <w:lang w:val="en-US"/>
        </w:rPr>
        <w:t xml:space="preserve">contribute to the better implementation and sound governance of the Convention. </w:t>
      </w:r>
      <w:r w:rsidR="00CE7E5B" w:rsidRPr="00813D19">
        <w:rPr>
          <w:lang w:val="en-US"/>
        </w:rPr>
        <w:t xml:space="preserve">As noted in </w:t>
      </w:r>
      <w:r w:rsidR="008F0234" w:rsidRPr="00813D19">
        <w:rPr>
          <w:lang w:val="en-US"/>
        </w:rPr>
        <w:t xml:space="preserve">document 16, the report and the draft decision </w:t>
      </w:r>
      <w:r w:rsidR="00CE7E5B" w:rsidRPr="00813D19">
        <w:rPr>
          <w:lang w:val="en-US"/>
        </w:rPr>
        <w:t xml:space="preserve">had been </w:t>
      </w:r>
      <w:r w:rsidR="008F0234" w:rsidRPr="00813D19">
        <w:rPr>
          <w:lang w:val="en-US"/>
        </w:rPr>
        <w:t>prepared by the working group.</w:t>
      </w:r>
      <w:r w:rsidRPr="00813D19">
        <w:rPr>
          <w:lang w:val="en-US"/>
        </w:rPr>
        <w:t xml:space="preserve"> </w:t>
      </w:r>
      <w:r w:rsidR="00CE7E5B" w:rsidRPr="00813D19">
        <w:rPr>
          <w:lang w:val="en-US"/>
        </w:rPr>
        <w:t xml:space="preserve">The Chairperson invited the co-Chairs </w:t>
      </w:r>
      <w:r w:rsidR="008F0234" w:rsidRPr="00813D19">
        <w:rPr>
          <w:lang w:val="en-US"/>
        </w:rPr>
        <w:t>to present their report</w:t>
      </w:r>
      <w:r w:rsidR="00CE7E5B" w:rsidRPr="00813D19">
        <w:rPr>
          <w:lang w:val="en-US"/>
        </w:rPr>
        <w:t>s</w:t>
      </w:r>
      <w:r w:rsidR="008F0234" w:rsidRPr="00813D19">
        <w:rPr>
          <w:lang w:val="en-US"/>
        </w:rPr>
        <w:t>.</w:t>
      </w:r>
    </w:p>
    <w:p w14:paraId="4696FDB0" w14:textId="739EB296" w:rsidR="00E97F4B" w:rsidRPr="00813D19" w:rsidRDefault="000C0731" w:rsidP="00DD4E22">
      <w:pPr>
        <w:pStyle w:val="Orateurengris"/>
        <w:numPr>
          <w:ilvl w:val="0"/>
          <w:numId w:val="0"/>
        </w:numPr>
        <w:spacing w:before="240" w:after="240"/>
        <w:jc w:val="center"/>
        <w:rPr>
          <w:i/>
          <w:lang w:val="en-US"/>
        </w:rPr>
      </w:pPr>
      <w:r w:rsidRPr="00813D19">
        <w:rPr>
          <w:i/>
          <w:lang w:val="en-US"/>
        </w:rPr>
        <w:t xml:space="preserve">[The </w:t>
      </w:r>
      <w:r w:rsidR="00DD4E22">
        <w:rPr>
          <w:i/>
          <w:lang w:val="en-US"/>
        </w:rPr>
        <w:t>Co</w:t>
      </w:r>
      <w:r w:rsidRPr="00813D19">
        <w:rPr>
          <w:i/>
          <w:lang w:val="en-US"/>
        </w:rPr>
        <w:t>-Chairs of the informal ad hoc open-ended working group joined the podium]</w:t>
      </w:r>
    </w:p>
    <w:p w14:paraId="303B001A" w14:textId="7A6F8F4E" w:rsidR="00D073B8" w:rsidRPr="00813D19" w:rsidRDefault="00E97F4B" w:rsidP="000B62DA">
      <w:pPr>
        <w:pStyle w:val="Orateurengris"/>
        <w:spacing w:before="120"/>
        <w:ind w:left="709" w:hanging="709"/>
        <w:rPr>
          <w:lang w:val="en-US"/>
        </w:rPr>
      </w:pPr>
      <w:r w:rsidRPr="00813D19">
        <w:rPr>
          <w:lang w:val="en-US"/>
        </w:rPr>
        <w:t xml:space="preserve">The </w:t>
      </w:r>
      <w:r w:rsidRPr="00813D19">
        <w:rPr>
          <w:b/>
          <w:lang w:val="en-US"/>
        </w:rPr>
        <w:t>delegation of Algeria</w:t>
      </w:r>
      <w:r w:rsidR="009E019C" w:rsidRPr="00813D19">
        <w:rPr>
          <w:b/>
          <w:lang w:val="en-US"/>
        </w:rPr>
        <w:t xml:space="preserve">, </w:t>
      </w:r>
      <w:r w:rsidR="00B72D59" w:rsidRPr="00813D19">
        <w:rPr>
          <w:b/>
          <w:lang w:val="en-US"/>
        </w:rPr>
        <w:t>co-Chair</w:t>
      </w:r>
      <w:r w:rsidR="007A6018" w:rsidRPr="00813D19">
        <w:rPr>
          <w:b/>
          <w:lang w:val="en-US"/>
        </w:rPr>
        <w:t xml:space="preserve"> of the informal ad hoc open-ended working group</w:t>
      </w:r>
      <w:r w:rsidR="009E019C" w:rsidRPr="00813D19">
        <w:rPr>
          <w:b/>
          <w:lang w:val="en-US"/>
        </w:rPr>
        <w:t>,</w:t>
      </w:r>
      <w:r w:rsidR="007A6018" w:rsidRPr="00813D19">
        <w:rPr>
          <w:b/>
          <w:lang w:val="en-US"/>
        </w:rPr>
        <w:t xml:space="preserve"> </w:t>
      </w:r>
      <w:r w:rsidR="00D073B8" w:rsidRPr="00813D19">
        <w:rPr>
          <w:lang w:val="en-US"/>
        </w:rPr>
        <w:t xml:space="preserve">thanked the Chairperson and the Members of the Committee for the chance to work on this issue. </w:t>
      </w:r>
      <w:r w:rsidR="00B72D59" w:rsidRPr="00813D19">
        <w:rPr>
          <w:lang w:val="en-US"/>
        </w:rPr>
        <w:t xml:space="preserve">Speaking on behalf of the co-Chairs, the delegation was very </w:t>
      </w:r>
      <w:r w:rsidR="00D073B8" w:rsidRPr="00813D19">
        <w:rPr>
          <w:lang w:val="en-US"/>
        </w:rPr>
        <w:t>hono</w:t>
      </w:r>
      <w:r w:rsidR="00FB131E">
        <w:rPr>
          <w:lang w:val="en-US"/>
        </w:rPr>
        <w:t>u</w:t>
      </w:r>
      <w:r w:rsidR="00D073B8" w:rsidRPr="00813D19">
        <w:rPr>
          <w:lang w:val="en-US"/>
        </w:rPr>
        <w:t xml:space="preserve">red and happy </w:t>
      </w:r>
      <w:r w:rsidR="00B72D59" w:rsidRPr="00813D19">
        <w:rPr>
          <w:lang w:val="en-US"/>
        </w:rPr>
        <w:t xml:space="preserve">to </w:t>
      </w:r>
      <w:r w:rsidR="00D073B8" w:rsidRPr="00813D19">
        <w:rPr>
          <w:lang w:val="en-US"/>
        </w:rPr>
        <w:t xml:space="preserve">present </w:t>
      </w:r>
      <w:r w:rsidR="00CA1631" w:rsidRPr="00813D19">
        <w:rPr>
          <w:lang w:val="en-US"/>
        </w:rPr>
        <w:t>his</w:t>
      </w:r>
      <w:r w:rsidR="00B17B22" w:rsidRPr="00813D19">
        <w:rPr>
          <w:lang w:val="en-US"/>
        </w:rPr>
        <w:t xml:space="preserve"> </w:t>
      </w:r>
      <w:r w:rsidR="00D073B8" w:rsidRPr="00813D19">
        <w:rPr>
          <w:lang w:val="en-US"/>
        </w:rPr>
        <w:t xml:space="preserve">report. </w:t>
      </w:r>
      <w:r w:rsidR="00B72D59" w:rsidRPr="00813D19">
        <w:rPr>
          <w:lang w:val="en-US"/>
        </w:rPr>
        <w:t xml:space="preserve">It was noted that many States Parties had </w:t>
      </w:r>
      <w:r w:rsidR="00D073B8" w:rsidRPr="00813D19">
        <w:rPr>
          <w:lang w:val="en-US"/>
        </w:rPr>
        <w:t xml:space="preserve">attended the meetings held in Paris throughout </w:t>
      </w:r>
      <w:r w:rsidR="00B72D59" w:rsidRPr="00813D19">
        <w:rPr>
          <w:lang w:val="en-US"/>
        </w:rPr>
        <w:t xml:space="preserve">the </w:t>
      </w:r>
      <w:r w:rsidR="00D073B8" w:rsidRPr="00813D19">
        <w:rPr>
          <w:lang w:val="en-US"/>
        </w:rPr>
        <w:t xml:space="preserve">year, </w:t>
      </w:r>
      <w:r w:rsidR="00B72D59" w:rsidRPr="00813D19">
        <w:rPr>
          <w:lang w:val="en-US"/>
        </w:rPr>
        <w:t xml:space="preserve">which </w:t>
      </w:r>
      <w:r w:rsidR="00D073B8" w:rsidRPr="00813D19">
        <w:rPr>
          <w:lang w:val="en-US"/>
        </w:rPr>
        <w:t>took place between the</w:t>
      </w:r>
      <w:r w:rsidR="00B72D59" w:rsidRPr="00813D19">
        <w:rPr>
          <w:lang w:val="en-US"/>
        </w:rPr>
        <w:t xml:space="preserve"> twelfth session in Jeju Island [in 2017] </w:t>
      </w:r>
      <w:r w:rsidR="00D073B8" w:rsidRPr="00813D19">
        <w:rPr>
          <w:lang w:val="en-US"/>
        </w:rPr>
        <w:t xml:space="preserve">and </w:t>
      </w:r>
      <w:r w:rsidR="00B72D59" w:rsidRPr="00813D19">
        <w:rPr>
          <w:lang w:val="en-US"/>
        </w:rPr>
        <w:t xml:space="preserve">the present </w:t>
      </w:r>
      <w:r w:rsidR="00D073B8" w:rsidRPr="00813D19">
        <w:rPr>
          <w:lang w:val="en-US"/>
        </w:rPr>
        <w:t xml:space="preserve">session. </w:t>
      </w:r>
      <w:r w:rsidR="00B72D59" w:rsidRPr="00813D19">
        <w:rPr>
          <w:lang w:val="en-US"/>
        </w:rPr>
        <w:t xml:space="preserve">The </w:t>
      </w:r>
      <w:r w:rsidR="00D073B8" w:rsidRPr="00813D19">
        <w:rPr>
          <w:lang w:val="en-US"/>
        </w:rPr>
        <w:t xml:space="preserve">report </w:t>
      </w:r>
      <w:r w:rsidR="00B72D59" w:rsidRPr="00813D19">
        <w:rPr>
          <w:lang w:val="en-US"/>
        </w:rPr>
        <w:t xml:space="preserve">outlined </w:t>
      </w:r>
      <w:r w:rsidR="004C0A74">
        <w:rPr>
          <w:lang w:val="en-US"/>
        </w:rPr>
        <w:t>fourteen</w:t>
      </w:r>
      <w:r w:rsidR="004C0A74" w:rsidRPr="00813D19">
        <w:rPr>
          <w:lang w:val="en-US"/>
        </w:rPr>
        <w:t xml:space="preserve"> </w:t>
      </w:r>
      <w:r w:rsidR="00B72D59" w:rsidRPr="00813D19">
        <w:rPr>
          <w:lang w:val="en-US"/>
        </w:rPr>
        <w:t>recommendations</w:t>
      </w:r>
      <w:r w:rsidR="00D073B8" w:rsidRPr="00813D19">
        <w:rPr>
          <w:lang w:val="en-US"/>
        </w:rPr>
        <w:t xml:space="preserve"> </w:t>
      </w:r>
      <w:r w:rsidR="00B72D59" w:rsidRPr="00813D19">
        <w:rPr>
          <w:lang w:val="en-US"/>
        </w:rPr>
        <w:t xml:space="preserve">made </w:t>
      </w:r>
      <w:r w:rsidR="00D073B8" w:rsidRPr="00813D19">
        <w:rPr>
          <w:lang w:val="en-US"/>
        </w:rPr>
        <w:t xml:space="preserve">to </w:t>
      </w:r>
      <w:r w:rsidR="00B72D59" w:rsidRPr="00813D19">
        <w:rPr>
          <w:lang w:val="en-US"/>
        </w:rPr>
        <w:t>the C</w:t>
      </w:r>
      <w:r w:rsidR="00D073B8" w:rsidRPr="00813D19">
        <w:rPr>
          <w:lang w:val="en-US"/>
        </w:rPr>
        <w:t>ommittee.</w:t>
      </w:r>
      <w:r w:rsidR="00B17B22" w:rsidRPr="00813D19">
        <w:rPr>
          <w:lang w:val="en-US"/>
        </w:rPr>
        <w:t xml:space="preserve"> During the several meetings, many delegations </w:t>
      </w:r>
      <w:r w:rsidR="004C0A74">
        <w:rPr>
          <w:lang w:val="en-US"/>
        </w:rPr>
        <w:t xml:space="preserve">had </w:t>
      </w:r>
      <w:r w:rsidR="00B17B22" w:rsidRPr="00813D19">
        <w:rPr>
          <w:lang w:val="en-US"/>
        </w:rPr>
        <w:t>spoke</w:t>
      </w:r>
      <w:r w:rsidR="004C0A74">
        <w:rPr>
          <w:lang w:val="en-US"/>
        </w:rPr>
        <w:t>n</w:t>
      </w:r>
      <w:r w:rsidR="00B17B22" w:rsidRPr="00813D19">
        <w:rPr>
          <w:lang w:val="en-US"/>
        </w:rPr>
        <w:t xml:space="preserve">, but there were also discussions with representatives from NGOs and the Evaluation Body. The </w:t>
      </w:r>
      <w:r w:rsidR="005C221D" w:rsidRPr="00813D19">
        <w:rPr>
          <w:lang w:val="en-US"/>
        </w:rPr>
        <w:t xml:space="preserve">co-Chair </w:t>
      </w:r>
      <w:r w:rsidR="00B17B22" w:rsidRPr="00813D19">
        <w:rPr>
          <w:lang w:val="en-US"/>
        </w:rPr>
        <w:t xml:space="preserve">was very happy with the way the discussions </w:t>
      </w:r>
      <w:r w:rsidR="004C0A74">
        <w:rPr>
          <w:lang w:val="en-US"/>
        </w:rPr>
        <w:t>had taken</w:t>
      </w:r>
      <w:r w:rsidR="004C0A74" w:rsidRPr="00813D19">
        <w:rPr>
          <w:lang w:val="en-US"/>
        </w:rPr>
        <w:t xml:space="preserve"> </w:t>
      </w:r>
      <w:r w:rsidR="00B17B22" w:rsidRPr="00813D19">
        <w:rPr>
          <w:lang w:val="en-US"/>
        </w:rPr>
        <w:t xml:space="preserve">place, which would have been enhanced had colleagues been able to express more about their concerns so as to help solve some of the problems that arose during the meetings. Nevertheless, </w:t>
      </w:r>
      <w:r w:rsidR="007105D7" w:rsidRPr="00813D19">
        <w:rPr>
          <w:lang w:val="en-US"/>
        </w:rPr>
        <w:t xml:space="preserve">he </w:t>
      </w:r>
      <w:r w:rsidR="00B17B22" w:rsidRPr="00813D19">
        <w:rPr>
          <w:lang w:val="en-US"/>
        </w:rPr>
        <w:t xml:space="preserve">hoped that the report captured the spirit of the discussions and the spirit of what the Committee wished to happen at this session. Regarding the discussion around dialogue, the </w:t>
      </w:r>
      <w:r w:rsidR="007105D7" w:rsidRPr="00813D19">
        <w:rPr>
          <w:lang w:val="en-US"/>
        </w:rPr>
        <w:t xml:space="preserve">co-Chair </w:t>
      </w:r>
      <w:r w:rsidR="00B17B22" w:rsidRPr="00813D19">
        <w:rPr>
          <w:lang w:val="en-US"/>
        </w:rPr>
        <w:t xml:space="preserve">remarked that it was one of the most discussed points in the meetings, and there was a sense of inevitability of dialogue as Member States want this dialogue to </w:t>
      </w:r>
      <w:r w:rsidR="00000F8F" w:rsidRPr="00813D19">
        <w:rPr>
          <w:lang w:val="en-US"/>
        </w:rPr>
        <w:t>happen</w:t>
      </w:r>
      <w:r w:rsidR="00B17B22" w:rsidRPr="00813D19">
        <w:rPr>
          <w:lang w:val="en-US"/>
        </w:rPr>
        <w:t xml:space="preserve">. In that sense, </w:t>
      </w:r>
      <w:r w:rsidR="00000F8F" w:rsidRPr="00813D19">
        <w:rPr>
          <w:lang w:val="en-US"/>
        </w:rPr>
        <w:t xml:space="preserve">he </w:t>
      </w:r>
      <w:r w:rsidR="00B17B22" w:rsidRPr="00813D19">
        <w:rPr>
          <w:lang w:val="en-US"/>
        </w:rPr>
        <w:t xml:space="preserve">was happy to note the decision </w:t>
      </w:r>
      <w:r w:rsidR="00000F8F" w:rsidRPr="00813D19">
        <w:rPr>
          <w:lang w:val="en-US"/>
        </w:rPr>
        <w:t xml:space="preserve">that had </w:t>
      </w:r>
      <w:r w:rsidR="00B17B22" w:rsidRPr="00813D19">
        <w:rPr>
          <w:lang w:val="en-US"/>
        </w:rPr>
        <w:t xml:space="preserve">just </w:t>
      </w:r>
      <w:r w:rsidR="00000F8F" w:rsidRPr="00813D19">
        <w:rPr>
          <w:lang w:val="en-US"/>
        </w:rPr>
        <w:t xml:space="preserve">been </w:t>
      </w:r>
      <w:r w:rsidR="00B17B22" w:rsidRPr="00813D19">
        <w:rPr>
          <w:lang w:val="en-US"/>
        </w:rPr>
        <w:t>adopted.</w:t>
      </w:r>
    </w:p>
    <w:p w14:paraId="4FFD62B2" w14:textId="042E96B4" w:rsidR="000B62DA" w:rsidRPr="00813D19" w:rsidRDefault="000C0731" w:rsidP="000B62DA">
      <w:pPr>
        <w:pStyle w:val="Orateurengris"/>
        <w:spacing w:before="120"/>
        <w:ind w:left="709" w:hanging="709"/>
        <w:rPr>
          <w:lang w:val="en-US"/>
        </w:rPr>
      </w:pPr>
      <w:r w:rsidRPr="00813D19">
        <w:rPr>
          <w:lang w:val="en-US"/>
        </w:rPr>
        <w:t xml:space="preserve">The </w:t>
      </w:r>
      <w:r w:rsidRPr="00813D19">
        <w:rPr>
          <w:b/>
          <w:lang w:val="en-US"/>
        </w:rPr>
        <w:t>delegation of the Philippines</w:t>
      </w:r>
      <w:r w:rsidR="009E019C" w:rsidRPr="00813D19">
        <w:rPr>
          <w:lang w:val="en-US"/>
        </w:rPr>
        <w:t xml:space="preserve">, </w:t>
      </w:r>
      <w:r w:rsidR="00292167" w:rsidRPr="00813D19">
        <w:rPr>
          <w:b/>
          <w:lang w:val="en-US"/>
        </w:rPr>
        <w:t>co-Chair</w:t>
      </w:r>
      <w:r w:rsidR="007A6018" w:rsidRPr="00813D19">
        <w:rPr>
          <w:b/>
          <w:lang w:val="en-US"/>
        </w:rPr>
        <w:t xml:space="preserve"> of the informal ad hoc open-ended working group</w:t>
      </w:r>
      <w:r w:rsidR="009E019C" w:rsidRPr="00F745F1">
        <w:rPr>
          <w:bCs/>
          <w:lang w:val="en-US"/>
        </w:rPr>
        <w:t>,</w:t>
      </w:r>
      <w:r w:rsidR="007A6018" w:rsidRPr="00F745F1">
        <w:rPr>
          <w:bCs/>
          <w:lang w:val="en-US"/>
        </w:rPr>
        <w:t xml:space="preserve"> </w:t>
      </w:r>
      <w:r w:rsidR="00292167" w:rsidRPr="00813D19">
        <w:rPr>
          <w:lang w:val="en-US"/>
        </w:rPr>
        <w:t xml:space="preserve">expressed </w:t>
      </w:r>
      <w:r w:rsidR="007A6018" w:rsidRPr="00813D19">
        <w:rPr>
          <w:lang w:val="en-US"/>
        </w:rPr>
        <w:t>thank</w:t>
      </w:r>
      <w:r w:rsidR="00292167" w:rsidRPr="00813D19">
        <w:rPr>
          <w:lang w:val="en-US"/>
        </w:rPr>
        <w:t>s</w:t>
      </w:r>
      <w:r w:rsidR="007A6018" w:rsidRPr="00813D19">
        <w:rPr>
          <w:lang w:val="en-US"/>
        </w:rPr>
        <w:t xml:space="preserve"> for the confidence </w:t>
      </w:r>
      <w:r w:rsidR="00292167" w:rsidRPr="00813D19">
        <w:rPr>
          <w:lang w:val="en-US"/>
        </w:rPr>
        <w:t xml:space="preserve">and </w:t>
      </w:r>
      <w:r w:rsidR="007A6018" w:rsidRPr="00813D19">
        <w:rPr>
          <w:lang w:val="en-US"/>
        </w:rPr>
        <w:t xml:space="preserve">trusted </w:t>
      </w:r>
      <w:r w:rsidR="00292167" w:rsidRPr="00813D19">
        <w:rPr>
          <w:lang w:val="en-US"/>
        </w:rPr>
        <w:t xml:space="preserve">bestowed </w:t>
      </w:r>
      <w:r w:rsidR="004C0A74">
        <w:rPr>
          <w:lang w:val="en-US"/>
        </w:rPr>
        <w:t>up</w:t>
      </w:r>
      <w:r w:rsidR="00292167" w:rsidRPr="00813D19">
        <w:rPr>
          <w:lang w:val="en-US"/>
        </w:rPr>
        <w:t xml:space="preserve">on the </w:t>
      </w:r>
      <w:r w:rsidR="007A6018" w:rsidRPr="00813D19">
        <w:rPr>
          <w:lang w:val="en-US"/>
        </w:rPr>
        <w:t>delegations</w:t>
      </w:r>
      <w:r w:rsidR="00292167" w:rsidRPr="00813D19">
        <w:rPr>
          <w:lang w:val="en-US"/>
        </w:rPr>
        <w:t xml:space="preserve"> of Algeria and the Philippines </w:t>
      </w:r>
      <w:r w:rsidR="007A6018" w:rsidRPr="00813D19">
        <w:rPr>
          <w:lang w:val="en-US"/>
        </w:rPr>
        <w:t xml:space="preserve">to co-chair the working group </w:t>
      </w:r>
      <w:r w:rsidR="00292167" w:rsidRPr="00813D19">
        <w:rPr>
          <w:lang w:val="en-US"/>
        </w:rPr>
        <w:t>in 2018</w:t>
      </w:r>
      <w:r w:rsidR="007A6018" w:rsidRPr="00813D19">
        <w:rPr>
          <w:lang w:val="en-US"/>
        </w:rPr>
        <w:t xml:space="preserve">. </w:t>
      </w:r>
      <w:r w:rsidR="00292167" w:rsidRPr="00813D19">
        <w:rPr>
          <w:lang w:val="en-US"/>
        </w:rPr>
        <w:t xml:space="preserve">The </w:t>
      </w:r>
      <w:r w:rsidR="00000F8F" w:rsidRPr="00813D19">
        <w:rPr>
          <w:lang w:val="en-US"/>
        </w:rPr>
        <w:t xml:space="preserve">co-Chair </w:t>
      </w:r>
      <w:r w:rsidR="007A6018" w:rsidRPr="00813D19">
        <w:rPr>
          <w:lang w:val="en-US"/>
        </w:rPr>
        <w:t>also warmly thank</w:t>
      </w:r>
      <w:r w:rsidR="00292167" w:rsidRPr="00813D19">
        <w:rPr>
          <w:lang w:val="en-US"/>
        </w:rPr>
        <w:t>ed</w:t>
      </w:r>
      <w:r w:rsidR="007A6018" w:rsidRPr="00813D19">
        <w:rPr>
          <w:lang w:val="en-US"/>
        </w:rPr>
        <w:t xml:space="preserve"> the Secretariat for </w:t>
      </w:r>
      <w:r w:rsidR="00292167" w:rsidRPr="00813D19">
        <w:rPr>
          <w:lang w:val="en-US"/>
        </w:rPr>
        <w:t xml:space="preserve">its </w:t>
      </w:r>
      <w:r w:rsidR="007A6018" w:rsidRPr="00813D19">
        <w:rPr>
          <w:lang w:val="en-US"/>
        </w:rPr>
        <w:t xml:space="preserve">support and presence during </w:t>
      </w:r>
      <w:r w:rsidR="00292167" w:rsidRPr="00813D19">
        <w:rPr>
          <w:lang w:val="en-US"/>
        </w:rPr>
        <w:t xml:space="preserve">the </w:t>
      </w:r>
      <w:r w:rsidR="007A6018" w:rsidRPr="00813D19">
        <w:rPr>
          <w:lang w:val="en-US"/>
        </w:rPr>
        <w:t>meetings</w:t>
      </w:r>
      <w:r w:rsidR="00292167" w:rsidRPr="00813D19">
        <w:rPr>
          <w:lang w:val="en-US"/>
        </w:rPr>
        <w:t>,</w:t>
      </w:r>
      <w:r w:rsidR="007A6018" w:rsidRPr="00813D19">
        <w:rPr>
          <w:lang w:val="en-US"/>
        </w:rPr>
        <w:t xml:space="preserve"> and the Evaluation Body and NGO Forum representatives with whom </w:t>
      </w:r>
      <w:r w:rsidR="00292167" w:rsidRPr="00813D19">
        <w:rPr>
          <w:lang w:val="en-US"/>
        </w:rPr>
        <w:t xml:space="preserve">there </w:t>
      </w:r>
      <w:r w:rsidR="00000F8F" w:rsidRPr="00813D19">
        <w:rPr>
          <w:lang w:val="en-US"/>
        </w:rPr>
        <w:t>had been</w:t>
      </w:r>
      <w:r w:rsidR="00292167" w:rsidRPr="00813D19">
        <w:rPr>
          <w:lang w:val="en-US"/>
        </w:rPr>
        <w:t xml:space="preserve"> </w:t>
      </w:r>
      <w:r w:rsidR="007A6018" w:rsidRPr="00813D19">
        <w:rPr>
          <w:lang w:val="en-US"/>
        </w:rPr>
        <w:t xml:space="preserve">very constructive dialogues and discussions. </w:t>
      </w:r>
      <w:r w:rsidR="00000F8F" w:rsidRPr="00813D19">
        <w:rPr>
          <w:lang w:val="en-US"/>
        </w:rPr>
        <w:t xml:space="preserve">He </w:t>
      </w:r>
      <w:r w:rsidR="007A6018" w:rsidRPr="00813D19">
        <w:rPr>
          <w:lang w:val="en-US"/>
        </w:rPr>
        <w:t>thank</w:t>
      </w:r>
      <w:r w:rsidR="00292167" w:rsidRPr="00813D19">
        <w:rPr>
          <w:lang w:val="en-US"/>
        </w:rPr>
        <w:t>ed</w:t>
      </w:r>
      <w:r w:rsidR="007A6018" w:rsidRPr="00813D19">
        <w:rPr>
          <w:lang w:val="en-US"/>
        </w:rPr>
        <w:t xml:space="preserve"> </w:t>
      </w:r>
      <w:r w:rsidR="00292167" w:rsidRPr="00813D19">
        <w:rPr>
          <w:lang w:val="en-US"/>
        </w:rPr>
        <w:t>the co-C</w:t>
      </w:r>
      <w:r w:rsidR="007A6018" w:rsidRPr="00813D19">
        <w:rPr>
          <w:lang w:val="en-US"/>
        </w:rPr>
        <w:t xml:space="preserve">hair </w:t>
      </w:r>
      <w:r w:rsidR="00292167" w:rsidRPr="00813D19">
        <w:rPr>
          <w:lang w:val="en-US"/>
        </w:rPr>
        <w:t xml:space="preserve">from </w:t>
      </w:r>
      <w:r w:rsidR="007A6018" w:rsidRPr="00813D19">
        <w:rPr>
          <w:lang w:val="en-US"/>
        </w:rPr>
        <w:t xml:space="preserve">Algeria for his dedication, </w:t>
      </w:r>
      <w:r w:rsidR="00292167" w:rsidRPr="00813D19">
        <w:rPr>
          <w:lang w:val="en-US"/>
        </w:rPr>
        <w:t>wise counsel and efficient team</w:t>
      </w:r>
      <w:r w:rsidR="007A6018" w:rsidRPr="00813D19">
        <w:rPr>
          <w:lang w:val="en-US"/>
        </w:rPr>
        <w:t>work throughout the year</w:t>
      </w:r>
      <w:r w:rsidR="00292167" w:rsidRPr="00813D19">
        <w:rPr>
          <w:lang w:val="en-US"/>
        </w:rPr>
        <w:t>,</w:t>
      </w:r>
      <w:r w:rsidR="007A6018" w:rsidRPr="00813D19">
        <w:rPr>
          <w:lang w:val="en-US"/>
        </w:rPr>
        <w:t xml:space="preserve"> </w:t>
      </w:r>
      <w:r w:rsidR="00292167" w:rsidRPr="00813D19">
        <w:rPr>
          <w:lang w:val="en-US"/>
        </w:rPr>
        <w:t xml:space="preserve">as well as </w:t>
      </w:r>
      <w:r w:rsidR="007A6018" w:rsidRPr="00813D19">
        <w:rPr>
          <w:lang w:val="en-US"/>
        </w:rPr>
        <w:t xml:space="preserve">all the States Parties that </w:t>
      </w:r>
      <w:r w:rsidR="00000F8F" w:rsidRPr="00813D19">
        <w:rPr>
          <w:lang w:val="en-US"/>
        </w:rPr>
        <w:t xml:space="preserve">had </w:t>
      </w:r>
      <w:r w:rsidR="007A6018" w:rsidRPr="00813D19">
        <w:rPr>
          <w:lang w:val="en-US"/>
        </w:rPr>
        <w:t xml:space="preserve">attended </w:t>
      </w:r>
      <w:r w:rsidR="00292167" w:rsidRPr="00813D19">
        <w:rPr>
          <w:lang w:val="en-US"/>
        </w:rPr>
        <w:t xml:space="preserve">the </w:t>
      </w:r>
      <w:r w:rsidR="007A6018" w:rsidRPr="00813D19">
        <w:rPr>
          <w:lang w:val="en-US"/>
        </w:rPr>
        <w:t xml:space="preserve">three meetings in Paris. </w:t>
      </w:r>
      <w:r w:rsidR="00292167" w:rsidRPr="00813D19">
        <w:rPr>
          <w:lang w:val="en-US"/>
        </w:rPr>
        <w:t xml:space="preserve">The co-Chairs had tried their </w:t>
      </w:r>
      <w:r w:rsidR="007A6018" w:rsidRPr="00813D19">
        <w:rPr>
          <w:lang w:val="en-US"/>
        </w:rPr>
        <w:t xml:space="preserve">best to reflect the consensus on the key issues that were under </w:t>
      </w:r>
      <w:r w:rsidR="00292167" w:rsidRPr="00813D19">
        <w:rPr>
          <w:lang w:val="en-US"/>
        </w:rPr>
        <w:t xml:space="preserve">its </w:t>
      </w:r>
      <w:r w:rsidR="007A6018" w:rsidRPr="00813D19">
        <w:rPr>
          <w:lang w:val="en-US"/>
        </w:rPr>
        <w:t>mandate</w:t>
      </w:r>
      <w:r w:rsidR="00292167" w:rsidRPr="00813D19">
        <w:rPr>
          <w:lang w:val="en-US"/>
        </w:rPr>
        <w:t>,</w:t>
      </w:r>
      <w:r w:rsidR="007A6018" w:rsidRPr="00813D19">
        <w:rPr>
          <w:lang w:val="en-US"/>
        </w:rPr>
        <w:t xml:space="preserve"> as </w:t>
      </w:r>
      <w:r w:rsidR="00292167" w:rsidRPr="00813D19">
        <w:rPr>
          <w:lang w:val="en-US"/>
        </w:rPr>
        <w:t xml:space="preserve">provided </w:t>
      </w:r>
      <w:r w:rsidR="007A6018" w:rsidRPr="00813D19">
        <w:rPr>
          <w:lang w:val="en-US"/>
        </w:rPr>
        <w:t xml:space="preserve">by Decision </w:t>
      </w:r>
      <w:hyperlink r:id="rId171" w:history="1">
        <w:r w:rsidR="00F745F1">
          <w:rPr>
            <w:rStyle w:val="Hyperlink"/>
            <w:lang w:val="en-US"/>
          </w:rPr>
          <w:t>12.COM </w:t>
        </w:r>
        <w:r w:rsidR="007A6018" w:rsidRPr="00813D19">
          <w:rPr>
            <w:rStyle w:val="Hyperlink"/>
            <w:lang w:val="en-US"/>
          </w:rPr>
          <w:t>13</w:t>
        </w:r>
      </w:hyperlink>
      <w:r w:rsidR="007A6018" w:rsidRPr="00813D19">
        <w:rPr>
          <w:lang w:val="en-US"/>
        </w:rPr>
        <w:t xml:space="preserve">. </w:t>
      </w:r>
      <w:r w:rsidR="00292167" w:rsidRPr="00813D19">
        <w:rPr>
          <w:lang w:val="en-US"/>
        </w:rPr>
        <w:t>I</w:t>
      </w:r>
      <w:r w:rsidR="007A6018" w:rsidRPr="00813D19">
        <w:rPr>
          <w:lang w:val="en-US"/>
        </w:rPr>
        <w:t>n a nutshell</w:t>
      </w:r>
      <w:r w:rsidR="00292167" w:rsidRPr="00813D19">
        <w:rPr>
          <w:lang w:val="en-US"/>
        </w:rPr>
        <w:t>,</w:t>
      </w:r>
      <w:r w:rsidR="007A6018" w:rsidRPr="00813D19">
        <w:rPr>
          <w:lang w:val="en-US"/>
        </w:rPr>
        <w:t xml:space="preserve"> the issues tackled </w:t>
      </w:r>
      <w:r w:rsidR="002754C8" w:rsidRPr="00813D19">
        <w:rPr>
          <w:lang w:val="en-US"/>
        </w:rPr>
        <w:t xml:space="preserve">concerned </w:t>
      </w:r>
      <w:r w:rsidR="007A6018" w:rsidRPr="00813D19">
        <w:rPr>
          <w:lang w:val="en-US"/>
        </w:rPr>
        <w:t xml:space="preserve">resource mobilization, </w:t>
      </w:r>
      <w:r w:rsidR="00292167" w:rsidRPr="00813D19">
        <w:rPr>
          <w:lang w:val="en-US"/>
        </w:rPr>
        <w:t xml:space="preserve">the </w:t>
      </w:r>
      <w:r w:rsidR="007A6018" w:rsidRPr="00813D19">
        <w:rPr>
          <w:lang w:val="en-US"/>
        </w:rPr>
        <w:t>implementation of the governance recommendations</w:t>
      </w:r>
      <w:r w:rsidR="00292167" w:rsidRPr="00813D19">
        <w:rPr>
          <w:lang w:val="en-US"/>
        </w:rPr>
        <w:t>,</w:t>
      </w:r>
      <w:r w:rsidR="007A6018" w:rsidRPr="00813D19">
        <w:rPr>
          <w:lang w:val="en-US"/>
        </w:rPr>
        <w:t xml:space="preserve"> reflection of the dialogue mechanism</w:t>
      </w:r>
      <w:r w:rsidR="00292167" w:rsidRPr="00813D19">
        <w:rPr>
          <w:lang w:val="en-US"/>
        </w:rPr>
        <w:t>,</w:t>
      </w:r>
      <w:r w:rsidR="007A6018" w:rsidRPr="00813D19">
        <w:rPr>
          <w:lang w:val="en-US"/>
        </w:rPr>
        <w:t xml:space="preserve"> and </w:t>
      </w:r>
      <w:r w:rsidR="00292167" w:rsidRPr="00813D19">
        <w:rPr>
          <w:lang w:val="en-US"/>
        </w:rPr>
        <w:t xml:space="preserve">the </w:t>
      </w:r>
      <w:r w:rsidR="007A6018" w:rsidRPr="00813D19">
        <w:rPr>
          <w:lang w:val="en-US"/>
        </w:rPr>
        <w:t>accreditation of NGOs</w:t>
      </w:r>
      <w:r w:rsidR="00292167" w:rsidRPr="00813D19">
        <w:rPr>
          <w:lang w:val="en-US"/>
        </w:rPr>
        <w:t>,</w:t>
      </w:r>
      <w:r w:rsidR="007A6018" w:rsidRPr="00813D19">
        <w:rPr>
          <w:lang w:val="en-US"/>
        </w:rPr>
        <w:t xml:space="preserve"> </w:t>
      </w:r>
      <w:r w:rsidR="002754C8" w:rsidRPr="00813D19">
        <w:rPr>
          <w:lang w:val="en-US"/>
        </w:rPr>
        <w:t xml:space="preserve">as well as </w:t>
      </w:r>
      <w:r w:rsidR="007A6018" w:rsidRPr="00813D19">
        <w:rPr>
          <w:lang w:val="en-US"/>
        </w:rPr>
        <w:t xml:space="preserve">other matters to facilitate the work of the Committee. </w:t>
      </w:r>
      <w:r w:rsidR="00292167" w:rsidRPr="00813D19">
        <w:rPr>
          <w:lang w:val="en-US"/>
        </w:rPr>
        <w:t>G</w:t>
      </w:r>
      <w:r w:rsidR="007A6018" w:rsidRPr="00813D19">
        <w:rPr>
          <w:lang w:val="en-US"/>
        </w:rPr>
        <w:t xml:space="preserve">ood discussions </w:t>
      </w:r>
      <w:r w:rsidR="004C0A74">
        <w:rPr>
          <w:lang w:val="en-US"/>
        </w:rPr>
        <w:t>had been</w:t>
      </w:r>
      <w:r w:rsidR="004C0A74" w:rsidRPr="00813D19">
        <w:rPr>
          <w:lang w:val="en-US"/>
        </w:rPr>
        <w:t xml:space="preserve"> </w:t>
      </w:r>
      <w:r w:rsidR="00292167" w:rsidRPr="00813D19">
        <w:rPr>
          <w:lang w:val="en-US"/>
        </w:rPr>
        <w:t xml:space="preserve">had </w:t>
      </w:r>
      <w:r w:rsidR="007A6018" w:rsidRPr="00813D19">
        <w:rPr>
          <w:lang w:val="en-US"/>
        </w:rPr>
        <w:t xml:space="preserve">and </w:t>
      </w:r>
      <w:r w:rsidR="004C0A74">
        <w:rPr>
          <w:lang w:val="en-US"/>
        </w:rPr>
        <w:t>fourteen</w:t>
      </w:r>
      <w:r w:rsidR="004C0A74" w:rsidRPr="00813D19">
        <w:rPr>
          <w:lang w:val="en-US"/>
        </w:rPr>
        <w:t xml:space="preserve"> </w:t>
      </w:r>
      <w:r w:rsidR="007A6018" w:rsidRPr="00813D19">
        <w:rPr>
          <w:lang w:val="en-US"/>
        </w:rPr>
        <w:t>recommendations</w:t>
      </w:r>
      <w:r w:rsidR="00292167" w:rsidRPr="00813D19">
        <w:rPr>
          <w:lang w:val="en-US"/>
        </w:rPr>
        <w:t xml:space="preserve"> proposed</w:t>
      </w:r>
      <w:r w:rsidR="007A6018" w:rsidRPr="00813D19">
        <w:rPr>
          <w:lang w:val="en-US"/>
        </w:rPr>
        <w:t xml:space="preserve">, which </w:t>
      </w:r>
      <w:r w:rsidR="00396077" w:rsidRPr="00813D19">
        <w:rPr>
          <w:lang w:val="en-US"/>
        </w:rPr>
        <w:t xml:space="preserve">he </w:t>
      </w:r>
      <w:r w:rsidR="00292167" w:rsidRPr="00813D19">
        <w:rPr>
          <w:lang w:val="en-US"/>
        </w:rPr>
        <w:t>hoped</w:t>
      </w:r>
      <w:r w:rsidR="007A6018" w:rsidRPr="00813D19">
        <w:rPr>
          <w:lang w:val="en-US"/>
        </w:rPr>
        <w:t xml:space="preserve"> </w:t>
      </w:r>
      <w:r w:rsidR="00396077" w:rsidRPr="00813D19">
        <w:rPr>
          <w:lang w:val="en-US"/>
        </w:rPr>
        <w:t xml:space="preserve">would </w:t>
      </w:r>
      <w:r w:rsidR="007A6018" w:rsidRPr="00813D19">
        <w:rPr>
          <w:lang w:val="en-US"/>
        </w:rPr>
        <w:t xml:space="preserve">strengthen all the mechanisms of the Convention. </w:t>
      </w:r>
      <w:r w:rsidR="00292167" w:rsidRPr="00813D19">
        <w:rPr>
          <w:lang w:val="en-US"/>
        </w:rPr>
        <w:t xml:space="preserve">The co-Chairs were </w:t>
      </w:r>
      <w:r w:rsidR="007A6018" w:rsidRPr="00813D19">
        <w:rPr>
          <w:lang w:val="en-US"/>
        </w:rPr>
        <w:t>available to answer any questions</w:t>
      </w:r>
      <w:r w:rsidR="00292167" w:rsidRPr="00813D19">
        <w:rPr>
          <w:lang w:val="en-US"/>
        </w:rPr>
        <w:t>,</w:t>
      </w:r>
      <w:r w:rsidR="007A6018" w:rsidRPr="00813D19">
        <w:rPr>
          <w:lang w:val="en-US"/>
        </w:rPr>
        <w:t xml:space="preserve"> </w:t>
      </w:r>
      <w:r w:rsidR="00292167" w:rsidRPr="00813D19">
        <w:rPr>
          <w:lang w:val="en-US"/>
        </w:rPr>
        <w:t xml:space="preserve">and it was hoped that the report </w:t>
      </w:r>
      <w:r w:rsidR="007A6018" w:rsidRPr="00813D19">
        <w:rPr>
          <w:lang w:val="en-US"/>
        </w:rPr>
        <w:t xml:space="preserve">reflected the true </w:t>
      </w:r>
      <w:r w:rsidR="00813D19" w:rsidRPr="00813D19">
        <w:rPr>
          <w:lang w:val="en-US"/>
        </w:rPr>
        <w:t>spirit</w:t>
      </w:r>
      <w:r w:rsidR="007A6018" w:rsidRPr="00813D19">
        <w:rPr>
          <w:lang w:val="en-US"/>
        </w:rPr>
        <w:t xml:space="preserve"> of engagement of all States Parties in </w:t>
      </w:r>
      <w:r w:rsidR="00292167" w:rsidRPr="00813D19">
        <w:rPr>
          <w:lang w:val="en-US"/>
        </w:rPr>
        <w:t xml:space="preserve">the </w:t>
      </w:r>
      <w:r w:rsidR="00F745F1">
        <w:rPr>
          <w:lang w:val="en-US"/>
        </w:rPr>
        <w:t>discussions.</w:t>
      </w:r>
    </w:p>
    <w:p w14:paraId="3059D8C4" w14:textId="0C808BDA" w:rsidR="000C0731" w:rsidRPr="00813D19" w:rsidRDefault="00760493" w:rsidP="000B62D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thanked </w:t>
      </w:r>
      <w:r w:rsidR="00292167" w:rsidRPr="00813D19">
        <w:rPr>
          <w:lang w:val="en-US"/>
        </w:rPr>
        <w:t>the two co-Chairs</w:t>
      </w:r>
      <w:r w:rsidR="007A6018" w:rsidRPr="00813D19">
        <w:rPr>
          <w:lang w:val="en-US"/>
        </w:rPr>
        <w:t xml:space="preserve"> for promptly agreeing to share </w:t>
      </w:r>
      <w:r w:rsidR="00370707" w:rsidRPr="00813D19">
        <w:rPr>
          <w:lang w:val="en-US"/>
        </w:rPr>
        <w:t>their</w:t>
      </w:r>
      <w:r w:rsidR="00292167" w:rsidRPr="00813D19">
        <w:rPr>
          <w:lang w:val="en-US"/>
        </w:rPr>
        <w:t xml:space="preserve"> report of the </w:t>
      </w:r>
      <w:r w:rsidR="007A6018" w:rsidRPr="00813D19">
        <w:rPr>
          <w:lang w:val="en-US"/>
        </w:rPr>
        <w:t>open-ended ad hoc group</w:t>
      </w:r>
      <w:r w:rsidR="00292167" w:rsidRPr="00813D19">
        <w:rPr>
          <w:lang w:val="en-US"/>
        </w:rPr>
        <w:t xml:space="preserve">, and all </w:t>
      </w:r>
      <w:r w:rsidR="007A6018" w:rsidRPr="00813D19">
        <w:rPr>
          <w:lang w:val="en-US"/>
        </w:rPr>
        <w:t xml:space="preserve">the Members who </w:t>
      </w:r>
      <w:r w:rsidR="004C0A74">
        <w:rPr>
          <w:lang w:val="en-US"/>
        </w:rPr>
        <w:t xml:space="preserve">had </w:t>
      </w:r>
      <w:r w:rsidR="007A6018" w:rsidRPr="00813D19">
        <w:rPr>
          <w:lang w:val="en-US"/>
        </w:rPr>
        <w:t>part</w:t>
      </w:r>
      <w:r w:rsidR="00292167" w:rsidRPr="00813D19">
        <w:rPr>
          <w:lang w:val="en-US"/>
        </w:rPr>
        <w:t>icipated during the discussions.</w:t>
      </w:r>
    </w:p>
    <w:p w14:paraId="0F513273" w14:textId="39C710E6" w:rsidR="00265D00" w:rsidRPr="00813D19" w:rsidRDefault="00265D00" w:rsidP="000B62DA">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292167" w:rsidRPr="00813D19">
        <w:rPr>
          <w:lang w:val="en-US"/>
        </w:rPr>
        <w:t xml:space="preserve">remarked that </w:t>
      </w:r>
      <w:r w:rsidR="007A6018" w:rsidRPr="00813D19">
        <w:rPr>
          <w:lang w:val="en-US"/>
        </w:rPr>
        <w:t xml:space="preserve">in </w:t>
      </w:r>
      <w:r w:rsidR="00292167" w:rsidRPr="00813D19">
        <w:rPr>
          <w:lang w:val="en-US"/>
        </w:rPr>
        <w:t xml:space="preserve">paragraph 7 of </w:t>
      </w:r>
      <w:r w:rsidR="007A6018" w:rsidRPr="00813D19">
        <w:rPr>
          <w:lang w:val="en-US"/>
        </w:rPr>
        <w:t>the draft decision</w:t>
      </w:r>
      <w:r w:rsidR="00292167" w:rsidRPr="00813D19">
        <w:rPr>
          <w:lang w:val="en-US"/>
        </w:rPr>
        <w:t>,</w:t>
      </w:r>
      <w:r w:rsidR="007A6018" w:rsidRPr="00813D19">
        <w:rPr>
          <w:lang w:val="en-US"/>
        </w:rPr>
        <w:t xml:space="preserve"> it was not indicated whether the group </w:t>
      </w:r>
      <w:r w:rsidR="00292167" w:rsidRPr="00813D19">
        <w:rPr>
          <w:lang w:val="en-US"/>
        </w:rPr>
        <w:t xml:space="preserve">would </w:t>
      </w:r>
      <w:r w:rsidR="007A6018" w:rsidRPr="00813D19">
        <w:rPr>
          <w:lang w:val="en-US"/>
        </w:rPr>
        <w:t xml:space="preserve">indeed once again be open-ended or not. Committee Members </w:t>
      </w:r>
      <w:r w:rsidR="00292167" w:rsidRPr="00813D19">
        <w:rPr>
          <w:lang w:val="en-US"/>
        </w:rPr>
        <w:t xml:space="preserve">were thus </w:t>
      </w:r>
      <w:r w:rsidR="007A6018" w:rsidRPr="00813D19">
        <w:rPr>
          <w:lang w:val="en-US"/>
        </w:rPr>
        <w:t xml:space="preserve">invited to decide its nature before adopting this decision. </w:t>
      </w:r>
      <w:r w:rsidR="00292167" w:rsidRPr="00813D19">
        <w:rPr>
          <w:lang w:val="en-US"/>
        </w:rPr>
        <w:t>The Secretary  appealed once more for resources, adding that the Secretariat was un</w:t>
      </w:r>
      <w:r w:rsidR="006E7BD1" w:rsidRPr="00813D19">
        <w:rPr>
          <w:lang w:val="en-US"/>
        </w:rPr>
        <w:t>able to provide s</w:t>
      </w:r>
      <w:r w:rsidR="007A6018" w:rsidRPr="00813D19">
        <w:rPr>
          <w:lang w:val="en-US"/>
        </w:rPr>
        <w:t xml:space="preserve">ecretariat services to the </w:t>
      </w:r>
      <w:r w:rsidR="00292167" w:rsidRPr="00813D19">
        <w:rPr>
          <w:lang w:val="en-US"/>
        </w:rPr>
        <w:t xml:space="preserve">working </w:t>
      </w:r>
      <w:r w:rsidR="007A6018" w:rsidRPr="00813D19">
        <w:rPr>
          <w:lang w:val="en-US"/>
        </w:rPr>
        <w:t xml:space="preserve">group </w:t>
      </w:r>
      <w:r w:rsidR="00292167" w:rsidRPr="00813D19">
        <w:rPr>
          <w:lang w:val="en-US"/>
        </w:rPr>
        <w:t xml:space="preserve">owing </w:t>
      </w:r>
      <w:r w:rsidR="007A6018" w:rsidRPr="00813D19">
        <w:rPr>
          <w:lang w:val="en-US"/>
        </w:rPr>
        <w:t>to limite</w:t>
      </w:r>
      <w:r w:rsidR="00292167" w:rsidRPr="00813D19">
        <w:rPr>
          <w:lang w:val="en-US"/>
        </w:rPr>
        <w:t>d human and financial resources, as</w:t>
      </w:r>
      <w:r w:rsidR="00F745F1">
        <w:rPr>
          <w:lang w:val="en-US"/>
        </w:rPr>
        <w:t xml:space="preserve"> was the case in 2017 and 2018.</w:t>
      </w:r>
    </w:p>
    <w:p w14:paraId="1AC8D679" w14:textId="6580E0DC" w:rsidR="0070189D" w:rsidRPr="00813D19" w:rsidRDefault="0070189D" w:rsidP="000B62DA">
      <w:pPr>
        <w:pStyle w:val="Orateurengris"/>
        <w:spacing w:before="120"/>
        <w:ind w:left="709" w:hanging="709"/>
        <w:rPr>
          <w:lang w:val="en-US"/>
        </w:rPr>
      </w:pPr>
      <w:r w:rsidRPr="00813D19">
        <w:rPr>
          <w:lang w:val="en-US"/>
        </w:rPr>
        <w:t xml:space="preserve">The </w:t>
      </w:r>
      <w:r w:rsidRPr="00813D19">
        <w:rPr>
          <w:b/>
          <w:lang w:val="en-US"/>
        </w:rPr>
        <w:t>delegation of Palestine</w:t>
      </w:r>
      <w:r w:rsidR="007A6018" w:rsidRPr="00813D19">
        <w:rPr>
          <w:b/>
          <w:lang w:val="en-US"/>
        </w:rPr>
        <w:t xml:space="preserve"> </w:t>
      </w:r>
      <w:r w:rsidR="001726AC" w:rsidRPr="00813D19">
        <w:rPr>
          <w:lang w:val="en-US"/>
        </w:rPr>
        <w:t>wished to</w:t>
      </w:r>
      <w:r w:rsidR="001726AC" w:rsidRPr="00813D19">
        <w:rPr>
          <w:b/>
          <w:lang w:val="en-US"/>
        </w:rPr>
        <w:t xml:space="preserve"> </w:t>
      </w:r>
      <w:r w:rsidR="007A6018" w:rsidRPr="00813D19">
        <w:rPr>
          <w:lang w:val="en-US"/>
        </w:rPr>
        <w:t>thank</w:t>
      </w:r>
      <w:r w:rsidR="001726AC" w:rsidRPr="00813D19">
        <w:rPr>
          <w:lang w:val="en-US"/>
        </w:rPr>
        <w:t xml:space="preserve"> the two co-Chairs</w:t>
      </w:r>
      <w:r w:rsidR="007A6018" w:rsidRPr="00813D19">
        <w:rPr>
          <w:lang w:val="en-US"/>
        </w:rPr>
        <w:t xml:space="preserve"> </w:t>
      </w:r>
      <w:r w:rsidR="001726AC" w:rsidRPr="00813D19">
        <w:rPr>
          <w:lang w:val="en-US"/>
        </w:rPr>
        <w:t>for their hard work, add</w:t>
      </w:r>
      <w:r w:rsidR="00AF5C41" w:rsidRPr="00813D19">
        <w:rPr>
          <w:lang w:val="en-US"/>
        </w:rPr>
        <w:t>i</w:t>
      </w:r>
      <w:r w:rsidR="001726AC" w:rsidRPr="00813D19">
        <w:rPr>
          <w:lang w:val="en-US"/>
        </w:rPr>
        <w:t xml:space="preserve">ng that it had </w:t>
      </w:r>
      <w:r w:rsidR="007A6018" w:rsidRPr="00813D19">
        <w:rPr>
          <w:lang w:val="en-US"/>
        </w:rPr>
        <w:t>some slight amendments</w:t>
      </w:r>
      <w:r w:rsidR="001726AC" w:rsidRPr="00813D19">
        <w:rPr>
          <w:lang w:val="en-US"/>
        </w:rPr>
        <w:t xml:space="preserve"> to present</w:t>
      </w:r>
      <w:r w:rsidR="00F745F1">
        <w:rPr>
          <w:lang w:val="en-US"/>
        </w:rPr>
        <w:t>.</w:t>
      </w:r>
    </w:p>
    <w:p w14:paraId="03325928" w14:textId="3A59A035" w:rsidR="00CE4C7C" w:rsidRPr="00813D19" w:rsidRDefault="001726AC" w:rsidP="000B62D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thanked Palestine, knowing that it had participated in the open-ended committee. He then turned to the adoption of the </w:t>
      </w:r>
      <w:r w:rsidR="00CE4C7C" w:rsidRPr="00813D19">
        <w:rPr>
          <w:lang w:val="en-US"/>
        </w:rPr>
        <w:t>draft decision on</w:t>
      </w:r>
      <w:r w:rsidR="00C802A3" w:rsidRPr="00813D19">
        <w:rPr>
          <w:lang w:val="en-US"/>
        </w:rPr>
        <w:t xml:space="preserve"> a paragraph-by-paragraph basis, and p</w:t>
      </w:r>
      <w:r w:rsidR="00CE4C7C" w:rsidRPr="00813D19">
        <w:rPr>
          <w:lang w:val="en-US"/>
        </w:rPr>
        <w:t>aragraph</w:t>
      </w:r>
      <w:r w:rsidR="00C802A3" w:rsidRPr="00813D19">
        <w:rPr>
          <w:lang w:val="en-US"/>
        </w:rPr>
        <w:t>s</w:t>
      </w:r>
      <w:r w:rsidR="00CE4C7C" w:rsidRPr="00813D19">
        <w:rPr>
          <w:lang w:val="en-US"/>
        </w:rPr>
        <w:t xml:space="preserve"> 1–6 were duly adopted.</w:t>
      </w:r>
      <w:r w:rsidRPr="00813D19">
        <w:rPr>
          <w:lang w:val="en-US"/>
        </w:rPr>
        <w:t xml:space="preserve"> Palestine had an amendment in paragraph 7.</w:t>
      </w:r>
    </w:p>
    <w:p w14:paraId="0A80FD64" w14:textId="35708694" w:rsidR="00CE4C7C" w:rsidRPr="00813D19" w:rsidRDefault="00CE4C7C" w:rsidP="000B62DA">
      <w:pPr>
        <w:pStyle w:val="Orateurengris"/>
        <w:spacing w:before="120"/>
        <w:ind w:left="709" w:hanging="709"/>
        <w:rPr>
          <w:lang w:val="en-US"/>
        </w:rPr>
      </w:pPr>
      <w:r w:rsidRPr="00813D19">
        <w:rPr>
          <w:lang w:val="en-US"/>
        </w:rPr>
        <w:t xml:space="preserve">The </w:t>
      </w:r>
      <w:r w:rsidRPr="00813D19">
        <w:rPr>
          <w:b/>
          <w:lang w:val="en-US"/>
        </w:rPr>
        <w:t>delegation of Palestine</w:t>
      </w:r>
      <w:r w:rsidR="007A6018" w:rsidRPr="00813D19">
        <w:rPr>
          <w:b/>
          <w:lang w:val="en-US"/>
        </w:rPr>
        <w:t xml:space="preserve"> </w:t>
      </w:r>
      <w:r w:rsidR="00A82D77" w:rsidRPr="00813D19">
        <w:rPr>
          <w:lang w:val="en-US"/>
        </w:rPr>
        <w:t>remarked that</w:t>
      </w:r>
      <w:r w:rsidR="00A82D77" w:rsidRPr="00813D19">
        <w:rPr>
          <w:b/>
          <w:lang w:val="en-US"/>
        </w:rPr>
        <w:t xml:space="preserve"> </w:t>
      </w:r>
      <w:r w:rsidR="00A82D77" w:rsidRPr="00813D19">
        <w:rPr>
          <w:lang w:val="en-US"/>
        </w:rPr>
        <w:t>as D</w:t>
      </w:r>
      <w:r w:rsidR="007A6018" w:rsidRPr="00813D19">
        <w:rPr>
          <w:lang w:val="en-US"/>
        </w:rPr>
        <w:t xml:space="preserve">ecision 13.COM 10 </w:t>
      </w:r>
      <w:r w:rsidR="00A82D77" w:rsidRPr="00813D19">
        <w:rPr>
          <w:lang w:val="en-US"/>
        </w:rPr>
        <w:t xml:space="preserve">just </w:t>
      </w:r>
      <w:r w:rsidR="007A6018" w:rsidRPr="00813D19">
        <w:rPr>
          <w:lang w:val="en-US"/>
        </w:rPr>
        <w:t xml:space="preserve">adopted </w:t>
      </w:r>
      <w:r w:rsidR="00185F09" w:rsidRPr="00813D19">
        <w:rPr>
          <w:lang w:val="en-US"/>
        </w:rPr>
        <w:t xml:space="preserve">had </w:t>
      </w:r>
      <w:r w:rsidR="00A82D77" w:rsidRPr="00813D19">
        <w:rPr>
          <w:lang w:val="en-US"/>
        </w:rPr>
        <w:t xml:space="preserve">proposed a </w:t>
      </w:r>
      <w:r w:rsidR="007A6018" w:rsidRPr="00813D19">
        <w:rPr>
          <w:lang w:val="en-US"/>
        </w:rPr>
        <w:t>provisional</w:t>
      </w:r>
      <w:r w:rsidR="00A82D77" w:rsidRPr="00813D19">
        <w:rPr>
          <w:lang w:val="en-US"/>
        </w:rPr>
        <w:t xml:space="preserve"> pilot mechanism for dialogue, </w:t>
      </w:r>
      <w:r w:rsidR="00185F09" w:rsidRPr="00813D19">
        <w:rPr>
          <w:lang w:val="en-US"/>
        </w:rPr>
        <w:t>paragraph 7.a</w:t>
      </w:r>
      <w:r w:rsidR="007A6018" w:rsidRPr="00813D19">
        <w:rPr>
          <w:lang w:val="en-US"/>
        </w:rPr>
        <w:t xml:space="preserve"> could </w:t>
      </w:r>
      <w:r w:rsidR="00185F09" w:rsidRPr="00813D19">
        <w:rPr>
          <w:lang w:val="en-US"/>
        </w:rPr>
        <w:t xml:space="preserve">now </w:t>
      </w:r>
      <w:r w:rsidR="007A6018" w:rsidRPr="00813D19">
        <w:rPr>
          <w:lang w:val="en-US"/>
        </w:rPr>
        <w:t>be deleted</w:t>
      </w:r>
      <w:r w:rsidR="00185F09" w:rsidRPr="00813D19">
        <w:rPr>
          <w:lang w:val="en-US"/>
        </w:rPr>
        <w:t xml:space="preserve">. In which case, </w:t>
      </w:r>
      <w:r w:rsidR="007A6018" w:rsidRPr="00813D19">
        <w:rPr>
          <w:lang w:val="en-US"/>
        </w:rPr>
        <w:t xml:space="preserve">paragraph </w:t>
      </w:r>
      <w:r w:rsidR="00185F09" w:rsidRPr="00813D19">
        <w:rPr>
          <w:lang w:val="en-US"/>
        </w:rPr>
        <w:t>7.b would become 7.</w:t>
      </w:r>
      <w:r w:rsidR="007A6018" w:rsidRPr="00813D19">
        <w:rPr>
          <w:lang w:val="en-US"/>
        </w:rPr>
        <w:t xml:space="preserve">a. </w:t>
      </w:r>
      <w:r w:rsidR="00DD4A8D">
        <w:rPr>
          <w:lang w:val="en-US"/>
        </w:rPr>
        <w:t xml:space="preserve">and </w:t>
      </w:r>
      <w:r w:rsidR="00185F09" w:rsidRPr="00813D19">
        <w:rPr>
          <w:lang w:val="en-US"/>
        </w:rPr>
        <w:t>the delegation proposed a minor amendment in the now paragraph 7.a.</w:t>
      </w:r>
    </w:p>
    <w:p w14:paraId="24207A86" w14:textId="07F22960" w:rsidR="0054033F" w:rsidRPr="00813D19" w:rsidRDefault="0054033F" w:rsidP="000B62D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185F09" w:rsidRPr="00813D19">
        <w:rPr>
          <w:lang w:val="en-US"/>
        </w:rPr>
        <w:t xml:space="preserve">asked the Committee whether the meeting was going </w:t>
      </w:r>
      <w:r w:rsidR="00F745F1">
        <w:rPr>
          <w:lang w:val="en-US"/>
        </w:rPr>
        <w:t>to be open-ended.</w:t>
      </w:r>
    </w:p>
    <w:p w14:paraId="05A161E0" w14:textId="38E7B5C1" w:rsidR="0054033F" w:rsidRPr="00813D19" w:rsidRDefault="0054033F" w:rsidP="000B62DA">
      <w:pPr>
        <w:pStyle w:val="Orateurengris"/>
        <w:spacing w:before="120"/>
        <w:ind w:left="709" w:hanging="709"/>
        <w:rPr>
          <w:lang w:val="en-US"/>
        </w:rPr>
      </w:pPr>
      <w:r w:rsidRPr="00813D19">
        <w:rPr>
          <w:lang w:val="en-US"/>
        </w:rPr>
        <w:t xml:space="preserve">The </w:t>
      </w:r>
      <w:r w:rsidRPr="00813D19">
        <w:rPr>
          <w:b/>
          <w:lang w:val="en-US"/>
        </w:rPr>
        <w:t>delegation of Austria</w:t>
      </w:r>
      <w:r w:rsidR="007A6018" w:rsidRPr="00813D19">
        <w:rPr>
          <w:b/>
          <w:lang w:val="en-US"/>
        </w:rPr>
        <w:t xml:space="preserve"> </w:t>
      </w:r>
      <w:r w:rsidR="00185F09" w:rsidRPr="00813D19">
        <w:rPr>
          <w:lang w:val="en-US"/>
        </w:rPr>
        <w:t>believed that the</w:t>
      </w:r>
      <w:r w:rsidR="00185F09" w:rsidRPr="00813D19">
        <w:rPr>
          <w:b/>
          <w:lang w:val="en-US"/>
        </w:rPr>
        <w:t xml:space="preserve"> </w:t>
      </w:r>
      <w:r w:rsidR="007A6018" w:rsidRPr="00813D19">
        <w:rPr>
          <w:lang w:val="en-US"/>
        </w:rPr>
        <w:t xml:space="preserve">working group </w:t>
      </w:r>
      <w:r w:rsidR="00185F09" w:rsidRPr="00813D19">
        <w:rPr>
          <w:lang w:val="en-US"/>
        </w:rPr>
        <w:t xml:space="preserve">should remain </w:t>
      </w:r>
      <w:r w:rsidR="007A6018" w:rsidRPr="00813D19">
        <w:rPr>
          <w:lang w:val="en-US"/>
        </w:rPr>
        <w:t>as inclusive as possible</w:t>
      </w:r>
      <w:r w:rsidR="00185F09" w:rsidRPr="00813D19">
        <w:rPr>
          <w:lang w:val="en-US"/>
        </w:rPr>
        <w:t>,</w:t>
      </w:r>
      <w:r w:rsidR="007A6018" w:rsidRPr="00813D19">
        <w:rPr>
          <w:lang w:val="en-US"/>
        </w:rPr>
        <w:t xml:space="preserve"> </w:t>
      </w:r>
      <w:r w:rsidR="00185F09" w:rsidRPr="00813D19">
        <w:rPr>
          <w:lang w:val="en-US"/>
        </w:rPr>
        <w:t xml:space="preserve">and thus </w:t>
      </w:r>
      <w:r w:rsidR="00E8300A" w:rsidRPr="00813D19">
        <w:rPr>
          <w:lang w:val="en-US"/>
        </w:rPr>
        <w:t xml:space="preserve">wished to add </w:t>
      </w:r>
      <w:r w:rsidR="00185F09" w:rsidRPr="00813D19">
        <w:rPr>
          <w:lang w:val="en-US"/>
        </w:rPr>
        <w:t>‘</w:t>
      </w:r>
      <w:r w:rsidR="007A6018" w:rsidRPr="00813D19">
        <w:rPr>
          <w:lang w:val="en-US"/>
        </w:rPr>
        <w:t>open-ended</w:t>
      </w:r>
      <w:r w:rsidR="00185F09" w:rsidRPr="00813D19">
        <w:rPr>
          <w:lang w:val="en-US"/>
        </w:rPr>
        <w:t xml:space="preserve">’. However, </w:t>
      </w:r>
      <w:r w:rsidR="0072799F" w:rsidRPr="00813D19">
        <w:rPr>
          <w:lang w:val="en-US"/>
        </w:rPr>
        <w:t xml:space="preserve">it did not seek the deletion of </w:t>
      </w:r>
      <w:r w:rsidR="007A6018" w:rsidRPr="00813D19">
        <w:rPr>
          <w:lang w:val="en-US"/>
        </w:rPr>
        <w:t xml:space="preserve">paragraph </w:t>
      </w:r>
      <w:r w:rsidR="00185F09" w:rsidRPr="00813D19">
        <w:rPr>
          <w:lang w:val="en-US"/>
        </w:rPr>
        <w:t xml:space="preserve">7.a, adding that </w:t>
      </w:r>
      <w:r w:rsidR="007A6018" w:rsidRPr="00813D19">
        <w:rPr>
          <w:lang w:val="en-US"/>
        </w:rPr>
        <w:t xml:space="preserve">just because </w:t>
      </w:r>
      <w:r w:rsidR="00185F09" w:rsidRPr="00813D19">
        <w:rPr>
          <w:lang w:val="en-US"/>
        </w:rPr>
        <w:t xml:space="preserve">the Committee had </w:t>
      </w:r>
      <w:r w:rsidR="007A6018" w:rsidRPr="00813D19">
        <w:rPr>
          <w:lang w:val="en-US"/>
        </w:rPr>
        <w:t>adopted a decision to</w:t>
      </w:r>
      <w:r w:rsidR="00AD1313" w:rsidRPr="00813D19">
        <w:rPr>
          <w:lang w:val="en-US"/>
        </w:rPr>
        <w:t xml:space="preserve"> start this creative experiment</w:t>
      </w:r>
      <w:r w:rsidR="00DD4A8D">
        <w:rPr>
          <w:lang w:val="en-US"/>
        </w:rPr>
        <w:t>,</w:t>
      </w:r>
      <w:r w:rsidR="00185F09" w:rsidRPr="00813D19">
        <w:rPr>
          <w:lang w:val="en-US"/>
        </w:rPr>
        <w:t xml:space="preserve"> </w:t>
      </w:r>
      <w:r w:rsidR="007A6018" w:rsidRPr="00813D19">
        <w:rPr>
          <w:lang w:val="en-US"/>
        </w:rPr>
        <w:t xml:space="preserve">the working group </w:t>
      </w:r>
      <w:r w:rsidR="00AD1313" w:rsidRPr="00813D19">
        <w:rPr>
          <w:lang w:val="en-US"/>
        </w:rPr>
        <w:t xml:space="preserve">could </w:t>
      </w:r>
      <w:r w:rsidR="007A6018" w:rsidRPr="00813D19">
        <w:rPr>
          <w:lang w:val="en-US"/>
        </w:rPr>
        <w:t xml:space="preserve">still further reflect on </w:t>
      </w:r>
      <w:r w:rsidR="00185F09" w:rsidRPr="00813D19">
        <w:rPr>
          <w:lang w:val="en-US"/>
        </w:rPr>
        <w:t xml:space="preserve">a </w:t>
      </w:r>
      <w:r w:rsidR="007A6018" w:rsidRPr="00813D19">
        <w:rPr>
          <w:lang w:val="en-US"/>
        </w:rPr>
        <w:t>dialogue mechanism</w:t>
      </w:r>
      <w:r w:rsidR="00185F09" w:rsidRPr="00813D19">
        <w:rPr>
          <w:lang w:val="en-US"/>
        </w:rPr>
        <w:t>,</w:t>
      </w:r>
      <w:r w:rsidR="007A6018" w:rsidRPr="00813D19">
        <w:rPr>
          <w:lang w:val="en-US"/>
        </w:rPr>
        <w:t xml:space="preserve"> also in consultation with the Evaluation Body</w:t>
      </w:r>
      <w:r w:rsidR="00185F09" w:rsidRPr="00813D19">
        <w:rPr>
          <w:lang w:val="en-US"/>
        </w:rPr>
        <w:t>.</w:t>
      </w:r>
    </w:p>
    <w:p w14:paraId="1CCEFFA2" w14:textId="408F3A55" w:rsidR="00D0372E" w:rsidRPr="00813D19" w:rsidRDefault="00D0372E" w:rsidP="000B62DA">
      <w:pPr>
        <w:pStyle w:val="Orateurengris"/>
        <w:spacing w:before="120"/>
        <w:ind w:left="709" w:hanging="709"/>
        <w:rPr>
          <w:lang w:val="en-US"/>
        </w:rPr>
      </w:pPr>
      <w:r w:rsidRPr="00813D19">
        <w:rPr>
          <w:lang w:val="en-US"/>
        </w:rPr>
        <w:t xml:space="preserve">The </w:t>
      </w:r>
      <w:r w:rsidRPr="00813D19">
        <w:rPr>
          <w:b/>
          <w:lang w:val="en-US"/>
        </w:rPr>
        <w:t>delegation of Zambia</w:t>
      </w:r>
      <w:r w:rsidR="007A6018" w:rsidRPr="00813D19">
        <w:rPr>
          <w:b/>
          <w:lang w:val="en-US"/>
        </w:rPr>
        <w:t xml:space="preserve"> </w:t>
      </w:r>
      <w:r w:rsidR="00987CE2" w:rsidRPr="00813D19">
        <w:rPr>
          <w:lang w:val="en-US"/>
        </w:rPr>
        <w:t xml:space="preserve">aligned with the </w:t>
      </w:r>
      <w:r w:rsidR="00635AF5" w:rsidRPr="00813D19">
        <w:rPr>
          <w:lang w:val="en-US"/>
        </w:rPr>
        <w:t>comment</w:t>
      </w:r>
      <w:r w:rsidR="00987CE2" w:rsidRPr="00813D19">
        <w:rPr>
          <w:lang w:val="en-US"/>
        </w:rPr>
        <w:t xml:space="preserve"> by </w:t>
      </w:r>
      <w:r w:rsidR="007A6018" w:rsidRPr="00813D19">
        <w:rPr>
          <w:lang w:val="en-US"/>
        </w:rPr>
        <w:t>Austria</w:t>
      </w:r>
      <w:r w:rsidR="00987CE2" w:rsidRPr="00813D19">
        <w:rPr>
          <w:lang w:val="en-US"/>
        </w:rPr>
        <w:t xml:space="preserve">, adding that it had </w:t>
      </w:r>
      <w:r w:rsidR="007A6018" w:rsidRPr="00813D19">
        <w:rPr>
          <w:lang w:val="en-US"/>
        </w:rPr>
        <w:t xml:space="preserve">no </w:t>
      </w:r>
      <w:r w:rsidR="00635AF5" w:rsidRPr="00813D19">
        <w:rPr>
          <w:lang w:val="en-US"/>
        </w:rPr>
        <w:t xml:space="preserve">issue </w:t>
      </w:r>
      <w:r w:rsidR="00DD4A8D">
        <w:rPr>
          <w:lang w:val="en-US"/>
        </w:rPr>
        <w:t xml:space="preserve">with </w:t>
      </w:r>
      <w:r w:rsidR="00635AF5" w:rsidRPr="00813D19">
        <w:rPr>
          <w:lang w:val="en-US"/>
        </w:rPr>
        <w:t xml:space="preserve">retaining </w:t>
      </w:r>
      <w:r w:rsidR="00987CE2" w:rsidRPr="00813D19">
        <w:rPr>
          <w:lang w:val="en-US"/>
        </w:rPr>
        <w:t>paragraph 7.a</w:t>
      </w:r>
      <w:r w:rsidR="00DD4A8D">
        <w:rPr>
          <w:lang w:val="en-US"/>
        </w:rPr>
        <w:t>,</w:t>
      </w:r>
      <w:r w:rsidR="00987CE2" w:rsidRPr="00813D19">
        <w:rPr>
          <w:lang w:val="en-US"/>
        </w:rPr>
        <w:t xml:space="preserve"> so that </w:t>
      </w:r>
      <w:r w:rsidR="00635AF5" w:rsidRPr="00813D19">
        <w:rPr>
          <w:lang w:val="en-US"/>
        </w:rPr>
        <w:t>the</w:t>
      </w:r>
      <w:r w:rsidR="007A6018" w:rsidRPr="00813D19">
        <w:rPr>
          <w:lang w:val="en-US"/>
        </w:rPr>
        <w:t xml:space="preserve"> decision </w:t>
      </w:r>
      <w:r w:rsidR="00635AF5" w:rsidRPr="00813D19">
        <w:rPr>
          <w:lang w:val="en-US"/>
        </w:rPr>
        <w:t xml:space="preserve">remained </w:t>
      </w:r>
      <w:r w:rsidR="007A6018" w:rsidRPr="00813D19">
        <w:rPr>
          <w:lang w:val="en-US"/>
        </w:rPr>
        <w:t>as self-contained as possibl</w:t>
      </w:r>
      <w:r w:rsidR="00F745F1">
        <w:rPr>
          <w:lang w:val="en-US"/>
        </w:rPr>
        <w:t>e.</w:t>
      </w:r>
    </w:p>
    <w:p w14:paraId="0AD0663D" w14:textId="530D5DA3" w:rsidR="00987CE2" w:rsidRPr="00813D19" w:rsidRDefault="00D0372E" w:rsidP="000B62DA">
      <w:pPr>
        <w:pStyle w:val="Orateurengris"/>
        <w:spacing w:before="120"/>
        <w:ind w:left="709" w:hanging="709"/>
        <w:rPr>
          <w:lang w:val="en-US"/>
        </w:rPr>
      </w:pPr>
      <w:r w:rsidRPr="00813D19">
        <w:rPr>
          <w:lang w:val="en-US"/>
        </w:rPr>
        <w:t xml:space="preserve">The </w:t>
      </w:r>
      <w:r w:rsidRPr="00813D19">
        <w:rPr>
          <w:b/>
          <w:lang w:val="en-US"/>
        </w:rPr>
        <w:t>delegation of Djibouti</w:t>
      </w:r>
      <w:r w:rsidR="007A6018" w:rsidRPr="00813D19">
        <w:rPr>
          <w:b/>
          <w:lang w:val="en-US"/>
        </w:rPr>
        <w:t xml:space="preserve"> </w:t>
      </w:r>
      <w:r w:rsidR="00987CE2" w:rsidRPr="00813D19">
        <w:rPr>
          <w:lang w:val="en-US"/>
        </w:rPr>
        <w:t xml:space="preserve">congratulated the working group that </w:t>
      </w:r>
      <w:r w:rsidR="00DD4A8D">
        <w:rPr>
          <w:lang w:val="en-US"/>
        </w:rPr>
        <w:t xml:space="preserve">had </w:t>
      </w:r>
      <w:r w:rsidR="00987CE2" w:rsidRPr="00813D19">
        <w:rPr>
          <w:lang w:val="en-US"/>
        </w:rPr>
        <w:t>produced this report on the recommendations, which it fully endorsed. It also supported expanding the group of reflection to allow all States Parties to express their views and to participate actively.</w:t>
      </w:r>
    </w:p>
    <w:p w14:paraId="4D27C36F" w14:textId="7282C30D" w:rsidR="00D0372E" w:rsidRPr="00813D19" w:rsidRDefault="00D0372E" w:rsidP="000B62DA">
      <w:pPr>
        <w:pStyle w:val="Orateurengris"/>
        <w:spacing w:before="120"/>
        <w:ind w:left="709" w:hanging="709"/>
        <w:rPr>
          <w:lang w:val="en-US"/>
        </w:rPr>
      </w:pPr>
      <w:r w:rsidRPr="00813D19">
        <w:rPr>
          <w:lang w:val="en-US"/>
        </w:rPr>
        <w:t xml:space="preserve">The </w:t>
      </w:r>
      <w:r w:rsidRPr="00813D19">
        <w:rPr>
          <w:b/>
          <w:lang w:val="en-US"/>
        </w:rPr>
        <w:t>delegation of Cuba</w:t>
      </w:r>
      <w:r w:rsidR="007A6018" w:rsidRPr="00813D19">
        <w:rPr>
          <w:b/>
          <w:lang w:val="en-US"/>
        </w:rPr>
        <w:t xml:space="preserve"> </w:t>
      </w:r>
      <w:r w:rsidR="007A6018" w:rsidRPr="00813D19">
        <w:rPr>
          <w:bCs/>
          <w:lang w:val="en-US"/>
        </w:rPr>
        <w:t>support</w:t>
      </w:r>
      <w:r w:rsidR="00987CE2" w:rsidRPr="00813D19">
        <w:rPr>
          <w:bCs/>
          <w:lang w:val="en-US"/>
        </w:rPr>
        <w:t>ed</w:t>
      </w:r>
      <w:r w:rsidR="007A6018" w:rsidRPr="00813D19">
        <w:rPr>
          <w:bCs/>
          <w:lang w:val="en-US"/>
        </w:rPr>
        <w:t xml:space="preserve"> the proposed amendment by Palestine</w:t>
      </w:r>
      <w:r w:rsidR="00987CE2" w:rsidRPr="00813D19">
        <w:rPr>
          <w:bCs/>
          <w:lang w:val="en-US"/>
        </w:rPr>
        <w:t>,</w:t>
      </w:r>
      <w:r w:rsidR="007A6018" w:rsidRPr="00813D19">
        <w:rPr>
          <w:bCs/>
          <w:lang w:val="en-US"/>
        </w:rPr>
        <w:t xml:space="preserve"> but </w:t>
      </w:r>
      <w:r w:rsidR="00987CE2" w:rsidRPr="00813D19">
        <w:rPr>
          <w:bCs/>
          <w:lang w:val="en-US"/>
        </w:rPr>
        <w:t xml:space="preserve">it </w:t>
      </w:r>
      <w:r w:rsidR="007A6018" w:rsidRPr="00813D19">
        <w:rPr>
          <w:bCs/>
          <w:lang w:val="en-US"/>
        </w:rPr>
        <w:t xml:space="preserve">also </w:t>
      </w:r>
      <w:r w:rsidR="00987CE2" w:rsidRPr="00813D19">
        <w:rPr>
          <w:bCs/>
          <w:lang w:val="en-US"/>
        </w:rPr>
        <w:t>understood</w:t>
      </w:r>
      <w:r w:rsidR="007A6018" w:rsidRPr="00813D19">
        <w:rPr>
          <w:bCs/>
          <w:lang w:val="en-US"/>
        </w:rPr>
        <w:t xml:space="preserve"> the concerns of the Secretariat</w:t>
      </w:r>
      <w:r w:rsidR="00F5113D" w:rsidRPr="00813D19">
        <w:rPr>
          <w:bCs/>
          <w:lang w:val="en-US"/>
        </w:rPr>
        <w:t xml:space="preserve"> given the lack of resources and its growing workload</w:t>
      </w:r>
      <w:r w:rsidR="007A6018" w:rsidRPr="00813D19">
        <w:rPr>
          <w:bCs/>
          <w:lang w:val="en-US"/>
        </w:rPr>
        <w:t xml:space="preserve">. </w:t>
      </w:r>
      <w:r w:rsidR="00987CE2" w:rsidRPr="00813D19">
        <w:rPr>
          <w:bCs/>
          <w:lang w:val="en-US"/>
        </w:rPr>
        <w:t xml:space="preserve">Nevertheless, </w:t>
      </w:r>
      <w:r w:rsidR="007A6018" w:rsidRPr="00813D19">
        <w:rPr>
          <w:bCs/>
          <w:lang w:val="en-US"/>
        </w:rPr>
        <w:t xml:space="preserve">it </w:t>
      </w:r>
      <w:r w:rsidR="00987CE2" w:rsidRPr="00813D19">
        <w:rPr>
          <w:bCs/>
          <w:lang w:val="en-US"/>
        </w:rPr>
        <w:t xml:space="preserve">was </w:t>
      </w:r>
      <w:r w:rsidR="007A6018" w:rsidRPr="00813D19">
        <w:rPr>
          <w:bCs/>
          <w:lang w:val="en-US"/>
        </w:rPr>
        <w:t>vital that the process continue</w:t>
      </w:r>
      <w:r w:rsidR="00F5113D" w:rsidRPr="00813D19">
        <w:rPr>
          <w:bCs/>
          <w:lang w:val="en-US"/>
        </w:rPr>
        <w:t xml:space="preserve"> and that </w:t>
      </w:r>
      <w:r w:rsidR="007A6018" w:rsidRPr="00813D19">
        <w:rPr>
          <w:bCs/>
          <w:lang w:val="en-US"/>
        </w:rPr>
        <w:t xml:space="preserve">the Secretariat </w:t>
      </w:r>
      <w:r w:rsidR="00F5113D" w:rsidRPr="00813D19">
        <w:rPr>
          <w:bCs/>
          <w:lang w:val="en-US"/>
        </w:rPr>
        <w:t xml:space="preserve">remain </w:t>
      </w:r>
      <w:r w:rsidR="007A6018" w:rsidRPr="00813D19">
        <w:rPr>
          <w:bCs/>
          <w:lang w:val="en-US"/>
        </w:rPr>
        <w:t xml:space="preserve">part of </w:t>
      </w:r>
      <w:r w:rsidR="00F5113D" w:rsidRPr="00813D19">
        <w:rPr>
          <w:bCs/>
          <w:lang w:val="en-US"/>
        </w:rPr>
        <w:t>it,</w:t>
      </w:r>
      <w:r w:rsidR="007A6018" w:rsidRPr="00813D19">
        <w:rPr>
          <w:bCs/>
          <w:lang w:val="en-US"/>
        </w:rPr>
        <w:t xml:space="preserve"> </w:t>
      </w:r>
      <w:r w:rsidR="00F5113D" w:rsidRPr="00813D19">
        <w:rPr>
          <w:bCs/>
          <w:lang w:val="en-US"/>
        </w:rPr>
        <w:t xml:space="preserve">even if it could not </w:t>
      </w:r>
      <w:r w:rsidR="007B2A6D" w:rsidRPr="00813D19">
        <w:rPr>
          <w:bCs/>
          <w:lang w:val="en-US"/>
        </w:rPr>
        <w:t>provide secretariat</w:t>
      </w:r>
      <w:r w:rsidR="007A6018" w:rsidRPr="00813D19">
        <w:rPr>
          <w:bCs/>
          <w:lang w:val="en-US"/>
        </w:rPr>
        <w:t xml:space="preserve"> services</w:t>
      </w:r>
      <w:r w:rsidR="00F745F1">
        <w:rPr>
          <w:bCs/>
          <w:lang w:val="en-US"/>
        </w:rPr>
        <w:t>, as long as it was present.</w:t>
      </w:r>
    </w:p>
    <w:p w14:paraId="7118B88B" w14:textId="1D81C642" w:rsidR="00D0372E" w:rsidRPr="00813D19" w:rsidRDefault="00221711" w:rsidP="000B62DA">
      <w:pPr>
        <w:pStyle w:val="Orateurengris"/>
        <w:spacing w:before="120"/>
        <w:ind w:left="709" w:hanging="709"/>
        <w:rPr>
          <w:lang w:val="en-US"/>
        </w:rPr>
      </w:pPr>
      <w:r w:rsidRPr="00813D19">
        <w:rPr>
          <w:lang w:val="en-US"/>
        </w:rPr>
        <w:t xml:space="preserve">The </w:t>
      </w:r>
      <w:r w:rsidRPr="00813D19">
        <w:rPr>
          <w:b/>
          <w:lang w:val="en-US"/>
        </w:rPr>
        <w:t>delegation of Jamaica</w:t>
      </w:r>
      <w:r w:rsidR="007A6018" w:rsidRPr="00813D19">
        <w:rPr>
          <w:b/>
          <w:lang w:val="en-US"/>
        </w:rPr>
        <w:t xml:space="preserve"> </w:t>
      </w:r>
      <w:r w:rsidR="001726AC" w:rsidRPr="00813D19">
        <w:rPr>
          <w:lang w:val="en-US"/>
        </w:rPr>
        <w:t>supported</w:t>
      </w:r>
      <w:r w:rsidR="007A6018" w:rsidRPr="00813D19">
        <w:rPr>
          <w:lang w:val="en-US"/>
        </w:rPr>
        <w:t xml:space="preserve"> Austria </w:t>
      </w:r>
      <w:r w:rsidR="00DD4A8D">
        <w:rPr>
          <w:lang w:val="en-US"/>
        </w:rPr>
        <w:t>on</w:t>
      </w:r>
      <w:r w:rsidR="007A6018" w:rsidRPr="00813D19">
        <w:rPr>
          <w:lang w:val="en-US"/>
        </w:rPr>
        <w:t xml:space="preserve"> the working</w:t>
      </w:r>
      <w:r w:rsidR="001726AC" w:rsidRPr="00813D19">
        <w:rPr>
          <w:lang w:val="en-US"/>
        </w:rPr>
        <w:t xml:space="preserve"> group remain</w:t>
      </w:r>
      <w:r w:rsidR="00DD4A8D">
        <w:rPr>
          <w:lang w:val="en-US"/>
        </w:rPr>
        <w:t>ing</w:t>
      </w:r>
      <w:r w:rsidR="001726AC" w:rsidRPr="00813D19">
        <w:rPr>
          <w:lang w:val="en-US"/>
        </w:rPr>
        <w:t xml:space="preserve"> open-ended.</w:t>
      </w:r>
    </w:p>
    <w:p w14:paraId="62443F00" w14:textId="002E8C0F" w:rsidR="00221711" w:rsidRPr="00813D19" w:rsidRDefault="00813D19" w:rsidP="000B62DA">
      <w:pPr>
        <w:pStyle w:val="Orateurengris"/>
        <w:spacing w:before="120"/>
        <w:ind w:left="709" w:hanging="709"/>
        <w:rPr>
          <w:lang w:val="en-US"/>
        </w:rPr>
      </w:pPr>
      <w:r w:rsidRPr="00813D19">
        <w:rPr>
          <w:lang w:val="en-US"/>
        </w:rPr>
        <w:t xml:space="preserve">The </w:t>
      </w:r>
      <w:r w:rsidRPr="00813D19">
        <w:rPr>
          <w:b/>
          <w:lang w:val="en-US"/>
        </w:rPr>
        <w:t xml:space="preserve">delegation of Palestine </w:t>
      </w:r>
      <w:r w:rsidRPr="00813D19">
        <w:rPr>
          <w:lang w:val="en-US"/>
        </w:rPr>
        <w:t>remarked that</w:t>
      </w:r>
      <w:r w:rsidRPr="00813D19">
        <w:rPr>
          <w:b/>
          <w:lang w:val="en-US"/>
        </w:rPr>
        <w:t xml:space="preserve"> </w:t>
      </w:r>
      <w:r w:rsidRPr="00813D19">
        <w:rPr>
          <w:lang w:val="en-US"/>
        </w:rPr>
        <w:t>the new proposed paragraph, ‘other issues to facilitate the work of the Committee’</w:t>
      </w:r>
      <w:r w:rsidR="00DD4A8D">
        <w:rPr>
          <w:lang w:val="en-US"/>
        </w:rPr>
        <w:t>,</w:t>
      </w:r>
      <w:r w:rsidRPr="00813D19">
        <w:rPr>
          <w:lang w:val="en-US"/>
        </w:rPr>
        <w:t xml:space="preserve"> could also include the dialogue mechanism and thus opened the door for any issue that Members wished to raise,</w:t>
      </w:r>
      <w:r>
        <w:rPr>
          <w:lang w:val="en-US"/>
        </w:rPr>
        <w:t xml:space="preserve"> knowing that the </w:t>
      </w:r>
      <w:r w:rsidRPr="00813D19">
        <w:rPr>
          <w:lang w:val="en-US"/>
        </w:rPr>
        <w:t xml:space="preserve">result of the mechanism </w:t>
      </w:r>
      <w:r w:rsidR="00DD4A8D">
        <w:rPr>
          <w:lang w:val="en-US"/>
        </w:rPr>
        <w:t>would</w:t>
      </w:r>
      <w:r w:rsidR="00DD4A8D" w:rsidRPr="00813D19">
        <w:rPr>
          <w:lang w:val="en-US"/>
        </w:rPr>
        <w:t xml:space="preserve"> </w:t>
      </w:r>
      <w:r w:rsidRPr="00813D19">
        <w:rPr>
          <w:lang w:val="en-US"/>
        </w:rPr>
        <w:t xml:space="preserve">be tried in 2019. </w:t>
      </w:r>
      <w:r w:rsidR="000C37B9" w:rsidRPr="00813D19">
        <w:rPr>
          <w:lang w:val="en-US"/>
        </w:rPr>
        <w:t xml:space="preserve">The paragraph was therefore not in contradiction, and the </w:t>
      </w:r>
      <w:r w:rsidR="007A6018" w:rsidRPr="00813D19">
        <w:rPr>
          <w:lang w:val="en-US"/>
        </w:rPr>
        <w:t>reflect</w:t>
      </w:r>
      <w:r w:rsidR="000C37B9" w:rsidRPr="00813D19">
        <w:rPr>
          <w:lang w:val="en-US"/>
        </w:rPr>
        <w:t>ion</w:t>
      </w:r>
      <w:r w:rsidR="007A6018" w:rsidRPr="00813D19">
        <w:rPr>
          <w:lang w:val="en-US"/>
        </w:rPr>
        <w:t xml:space="preserve"> </w:t>
      </w:r>
      <w:r w:rsidR="000C37B9" w:rsidRPr="00813D19">
        <w:rPr>
          <w:lang w:val="en-US"/>
        </w:rPr>
        <w:t xml:space="preserve">on the dialogue mechanism would still </w:t>
      </w:r>
      <w:r w:rsidR="007A6018" w:rsidRPr="00813D19">
        <w:rPr>
          <w:lang w:val="en-US"/>
        </w:rPr>
        <w:t xml:space="preserve">be </w:t>
      </w:r>
      <w:r w:rsidR="00F6449B" w:rsidRPr="00813D19">
        <w:rPr>
          <w:lang w:val="en-US"/>
        </w:rPr>
        <w:t>contained</w:t>
      </w:r>
      <w:r w:rsidR="007A6018" w:rsidRPr="00813D19">
        <w:rPr>
          <w:lang w:val="en-US"/>
        </w:rPr>
        <w:t xml:space="preserve"> in </w:t>
      </w:r>
      <w:r w:rsidR="000C37B9" w:rsidRPr="00813D19">
        <w:rPr>
          <w:lang w:val="en-US"/>
        </w:rPr>
        <w:t>7.</w:t>
      </w:r>
      <w:r w:rsidR="00F745F1">
        <w:rPr>
          <w:lang w:val="en-US"/>
        </w:rPr>
        <w:t>b.</w:t>
      </w:r>
    </w:p>
    <w:p w14:paraId="79A4FE1B" w14:textId="14BFCF14" w:rsidR="00F12F47" w:rsidRPr="00813D19" w:rsidRDefault="00F12F47" w:rsidP="000B62DA">
      <w:pPr>
        <w:pStyle w:val="Orateurengris"/>
        <w:spacing w:before="120"/>
        <w:ind w:left="709" w:hanging="709"/>
        <w:rPr>
          <w:lang w:val="en-US"/>
        </w:rPr>
      </w:pPr>
      <w:r w:rsidRPr="00813D19">
        <w:rPr>
          <w:lang w:val="en-US"/>
        </w:rPr>
        <w:t xml:space="preserve">The </w:t>
      </w:r>
      <w:r w:rsidRPr="00813D19">
        <w:rPr>
          <w:b/>
          <w:lang w:val="en-US"/>
        </w:rPr>
        <w:t>delegation of the Netherlands</w:t>
      </w:r>
      <w:r w:rsidR="007A6018" w:rsidRPr="00813D19">
        <w:rPr>
          <w:b/>
          <w:lang w:val="en-US"/>
        </w:rPr>
        <w:t xml:space="preserve"> </w:t>
      </w:r>
      <w:r w:rsidR="007A6018" w:rsidRPr="00813D19">
        <w:rPr>
          <w:lang w:val="en-US"/>
        </w:rPr>
        <w:t>support</w:t>
      </w:r>
      <w:r w:rsidR="000C37B9" w:rsidRPr="00813D19">
        <w:rPr>
          <w:lang w:val="en-US"/>
        </w:rPr>
        <w:t>ed</w:t>
      </w:r>
      <w:r w:rsidR="007A6018" w:rsidRPr="00813D19">
        <w:rPr>
          <w:lang w:val="en-US"/>
        </w:rPr>
        <w:t xml:space="preserve"> the suggestion by Austria to keep the working group open-ended</w:t>
      </w:r>
      <w:r w:rsidR="00695F10" w:rsidRPr="00813D19">
        <w:rPr>
          <w:lang w:val="en-US"/>
        </w:rPr>
        <w:t xml:space="preserve">. </w:t>
      </w:r>
      <w:r w:rsidR="00781F91" w:rsidRPr="00813D19">
        <w:rPr>
          <w:lang w:val="en-US"/>
        </w:rPr>
        <w:t>However, i</w:t>
      </w:r>
      <w:r w:rsidR="00695F10" w:rsidRPr="00813D19">
        <w:rPr>
          <w:lang w:val="en-US"/>
        </w:rPr>
        <w:t xml:space="preserve">t </w:t>
      </w:r>
      <w:r w:rsidR="000C37B9" w:rsidRPr="00813D19">
        <w:rPr>
          <w:lang w:val="en-US"/>
        </w:rPr>
        <w:t xml:space="preserve">did </w:t>
      </w:r>
      <w:r w:rsidR="007A6018" w:rsidRPr="00813D19">
        <w:rPr>
          <w:lang w:val="en-US"/>
        </w:rPr>
        <w:t>not suppor</w:t>
      </w:r>
      <w:r w:rsidR="000C37B9" w:rsidRPr="00813D19">
        <w:rPr>
          <w:lang w:val="en-US"/>
        </w:rPr>
        <w:t xml:space="preserve">t the suggestion to delete 7.a, adding that there </w:t>
      </w:r>
      <w:r w:rsidR="00DD4A8D">
        <w:rPr>
          <w:lang w:val="en-US"/>
        </w:rPr>
        <w:t>was</w:t>
      </w:r>
      <w:r w:rsidR="00DD4A8D" w:rsidRPr="00813D19">
        <w:rPr>
          <w:lang w:val="en-US"/>
        </w:rPr>
        <w:t xml:space="preserve"> </w:t>
      </w:r>
      <w:r w:rsidR="00781F91" w:rsidRPr="00813D19">
        <w:rPr>
          <w:lang w:val="en-US"/>
        </w:rPr>
        <w:t xml:space="preserve">a </w:t>
      </w:r>
      <w:r w:rsidR="00695F10" w:rsidRPr="00813D19">
        <w:rPr>
          <w:lang w:val="en-US"/>
        </w:rPr>
        <w:t xml:space="preserve">saying in the Netherlands, ‘you </w:t>
      </w:r>
      <w:r w:rsidR="007A6018" w:rsidRPr="00813D19">
        <w:rPr>
          <w:lang w:val="en-US"/>
        </w:rPr>
        <w:t>shouldn’t throw the baby out with the bath water</w:t>
      </w:r>
      <w:r w:rsidR="00695F10" w:rsidRPr="00813D19">
        <w:rPr>
          <w:lang w:val="en-US"/>
        </w:rPr>
        <w:t>’, implying that one should be cautious</w:t>
      </w:r>
      <w:r w:rsidR="00DE23B2" w:rsidRPr="00813D19">
        <w:rPr>
          <w:lang w:val="en-US"/>
        </w:rPr>
        <w:t>,</w:t>
      </w:r>
      <w:r w:rsidR="00695F10" w:rsidRPr="00813D19">
        <w:rPr>
          <w:lang w:val="en-US"/>
        </w:rPr>
        <w:t xml:space="preserve"> and </w:t>
      </w:r>
      <w:r w:rsidR="00DE23B2" w:rsidRPr="00813D19">
        <w:rPr>
          <w:lang w:val="en-US"/>
        </w:rPr>
        <w:t xml:space="preserve">thus it was best to </w:t>
      </w:r>
      <w:r w:rsidR="007A6018" w:rsidRPr="00813D19">
        <w:rPr>
          <w:lang w:val="en-US"/>
        </w:rPr>
        <w:t>keep reflecting on the appropriate mechanism</w:t>
      </w:r>
      <w:r w:rsidR="00695F10" w:rsidRPr="00813D19">
        <w:rPr>
          <w:lang w:val="en-US"/>
        </w:rPr>
        <w:t>.</w:t>
      </w:r>
      <w:r w:rsidR="007A6018" w:rsidRPr="00813D19">
        <w:rPr>
          <w:lang w:val="en-US"/>
        </w:rPr>
        <w:t xml:space="preserve"> </w:t>
      </w:r>
      <w:r w:rsidR="00DE23B2" w:rsidRPr="00813D19">
        <w:rPr>
          <w:lang w:val="en-US"/>
        </w:rPr>
        <w:t xml:space="preserve">The delegation suggested that </w:t>
      </w:r>
      <w:r w:rsidR="007A6018" w:rsidRPr="00813D19">
        <w:rPr>
          <w:lang w:val="en-US"/>
        </w:rPr>
        <w:t xml:space="preserve">Palestine and Cuba agree </w:t>
      </w:r>
      <w:r w:rsidR="00DE23B2" w:rsidRPr="00813D19">
        <w:rPr>
          <w:lang w:val="en-US"/>
        </w:rPr>
        <w:t xml:space="preserve">to </w:t>
      </w:r>
      <w:r w:rsidR="00781F91" w:rsidRPr="00813D19">
        <w:rPr>
          <w:lang w:val="en-US"/>
        </w:rPr>
        <w:t xml:space="preserve">combining </w:t>
      </w:r>
      <w:r w:rsidR="00813D19" w:rsidRPr="00813D19">
        <w:rPr>
          <w:lang w:val="en-US"/>
        </w:rPr>
        <w:t>p</w:t>
      </w:r>
      <w:r w:rsidR="00813D19">
        <w:rPr>
          <w:lang w:val="en-US"/>
        </w:rPr>
        <w:t>aragraph</w:t>
      </w:r>
      <w:r w:rsidR="00781F91" w:rsidRPr="00813D19">
        <w:rPr>
          <w:lang w:val="en-US"/>
        </w:rPr>
        <w:t xml:space="preserve"> </w:t>
      </w:r>
      <w:r w:rsidR="00DE23B2" w:rsidRPr="00813D19">
        <w:rPr>
          <w:lang w:val="en-US"/>
        </w:rPr>
        <w:t>7.a</w:t>
      </w:r>
      <w:r w:rsidR="007A6018" w:rsidRPr="00813D19">
        <w:rPr>
          <w:lang w:val="en-US"/>
        </w:rPr>
        <w:t xml:space="preserve"> and </w:t>
      </w:r>
      <w:r w:rsidR="00DE23B2" w:rsidRPr="00813D19">
        <w:rPr>
          <w:lang w:val="en-US"/>
        </w:rPr>
        <w:t>7.b</w:t>
      </w:r>
      <w:r w:rsidR="00781F91" w:rsidRPr="00813D19">
        <w:rPr>
          <w:lang w:val="en-US"/>
        </w:rPr>
        <w:t>, which would read,</w:t>
      </w:r>
      <w:r w:rsidR="00DE23B2" w:rsidRPr="00813D19">
        <w:rPr>
          <w:lang w:val="en-US"/>
        </w:rPr>
        <w:t xml:space="preserve"> ‘</w:t>
      </w:r>
      <w:r w:rsidR="007A6018" w:rsidRPr="00813D19">
        <w:rPr>
          <w:lang w:val="en-US"/>
        </w:rPr>
        <w:t>further reflect on appropriate dialogue mechani</w:t>
      </w:r>
      <w:r w:rsidR="00DE23B2" w:rsidRPr="00813D19">
        <w:rPr>
          <w:lang w:val="en-US"/>
        </w:rPr>
        <w:t xml:space="preserve">sms to strengthen transparency […] </w:t>
      </w:r>
      <w:r w:rsidR="007A6018" w:rsidRPr="00813D19">
        <w:rPr>
          <w:lang w:val="en-US"/>
        </w:rPr>
        <w:t>and other issues to facilitate the work of the Committee</w:t>
      </w:r>
      <w:r w:rsidR="00DE23B2" w:rsidRPr="00813D19">
        <w:rPr>
          <w:lang w:val="en-US"/>
        </w:rPr>
        <w:t>’</w:t>
      </w:r>
      <w:r w:rsidR="00F745F1">
        <w:rPr>
          <w:lang w:val="en-US"/>
        </w:rPr>
        <w:t>.</w:t>
      </w:r>
    </w:p>
    <w:p w14:paraId="522B763E" w14:textId="49AC3DDB" w:rsidR="00DE23B2" w:rsidRPr="00813D19" w:rsidRDefault="00935433" w:rsidP="000B62DA">
      <w:pPr>
        <w:pStyle w:val="Orateurengris"/>
        <w:spacing w:before="120"/>
        <w:ind w:left="709" w:hanging="709"/>
        <w:rPr>
          <w:lang w:val="en-US"/>
        </w:rPr>
      </w:pPr>
      <w:r w:rsidRPr="00813D19">
        <w:rPr>
          <w:lang w:val="en-US"/>
        </w:rPr>
        <w:t xml:space="preserve">The </w:t>
      </w:r>
      <w:r w:rsidRPr="00813D19">
        <w:rPr>
          <w:b/>
          <w:lang w:val="en-US"/>
        </w:rPr>
        <w:t>delegation of Algeria</w:t>
      </w:r>
      <w:r w:rsidR="009072B1" w:rsidRPr="00813D19">
        <w:rPr>
          <w:b/>
          <w:lang w:val="en-US"/>
        </w:rPr>
        <w:t xml:space="preserve"> </w:t>
      </w:r>
      <w:r w:rsidR="009072B1" w:rsidRPr="00813D19">
        <w:rPr>
          <w:lang w:val="en-US"/>
        </w:rPr>
        <w:t>thanked the Chairperson</w:t>
      </w:r>
      <w:r w:rsidR="009072B1" w:rsidRPr="00813D19">
        <w:rPr>
          <w:b/>
          <w:lang w:val="en-US"/>
        </w:rPr>
        <w:t xml:space="preserve"> </w:t>
      </w:r>
      <w:r w:rsidR="009072B1" w:rsidRPr="00813D19">
        <w:rPr>
          <w:lang w:val="en-US"/>
        </w:rPr>
        <w:t>for the</w:t>
      </w:r>
      <w:r w:rsidR="009072B1" w:rsidRPr="00813D19">
        <w:rPr>
          <w:b/>
          <w:lang w:val="en-US"/>
        </w:rPr>
        <w:t xml:space="preserve"> </w:t>
      </w:r>
      <w:r w:rsidR="009072B1" w:rsidRPr="00813D19">
        <w:rPr>
          <w:lang w:val="en-US"/>
        </w:rPr>
        <w:t xml:space="preserve">floor, adding that it did not </w:t>
      </w:r>
      <w:r w:rsidR="00DE23B2" w:rsidRPr="00813D19">
        <w:rPr>
          <w:lang w:val="en-US"/>
        </w:rPr>
        <w:t>wish to interfere</w:t>
      </w:r>
      <w:r w:rsidR="009072B1" w:rsidRPr="00813D19">
        <w:rPr>
          <w:lang w:val="en-US"/>
        </w:rPr>
        <w:t xml:space="preserve"> in the decision-making of </w:t>
      </w:r>
      <w:r w:rsidR="00DE23B2" w:rsidRPr="00813D19">
        <w:rPr>
          <w:lang w:val="en-US"/>
        </w:rPr>
        <w:t xml:space="preserve">the </w:t>
      </w:r>
      <w:r w:rsidR="009072B1" w:rsidRPr="00813D19">
        <w:rPr>
          <w:lang w:val="en-US"/>
        </w:rPr>
        <w:t>Members of the Committee</w:t>
      </w:r>
      <w:r w:rsidR="00DD4A8D">
        <w:rPr>
          <w:lang w:val="en-US"/>
        </w:rPr>
        <w:t>,</w:t>
      </w:r>
      <w:r w:rsidR="00DE23B2" w:rsidRPr="00813D19">
        <w:rPr>
          <w:lang w:val="en-US"/>
        </w:rPr>
        <w:t xml:space="preserve"> who are </w:t>
      </w:r>
      <w:r w:rsidR="009072B1" w:rsidRPr="00813D19">
        <w:rPr>
          <w:lang w:val="en-US"/>
        </w:rPr>
        <w:t>sovereign. However, offering some advice</w:t>
      </w:r>
      <w:r w:rsidR="00781F91" w:rsidRPr="00813D19">
        <w:rPr>
          <w:lang w:val="en-US"/>
        </w:rPr>
        <w:t>,</w:t>
      </w:r>
      <w:r w:rsidR="009072B1" w:rsidRPr="00813D19">
        <w:rPr>
          <w:lang w:val="en-US"/>
        </w:rPr>
        <w:t xml:space="preserve"> </w:t>
      </w:r>
      <w:r w:rsidR="009E019C" w:rsidRPr="00813D19">
        <w:rPr>
          <w:lang w:val="en-US"/>
        </w:rPr>
        <w:t xml:space="preserve">it </w:t>
      </w:r>
      <w:r w:rsidR="009072B1" w:rsidRPr="00813D19">
        <w:rPr>
          <w:lang w:val="en-US"/>
        </w:rPr>
        <w:t>suggested that the S</w:t>
      </w:r>
      <w:r w:rsidR="00DE23B2" w:rsidRPr="00813D19">
        <w:rPr>
          <w:lang w:val="en-US"/>
        </w:rPr>
        <w:t xml:space="preserve">ecretariat, when it </w:t>
      </w:r>
      <w:r w:rsidR="009072B1" w:rsidRPr="00813D19">
        <w:rPr>
          <w:lang w:val="en-US"/>
        </w:rPr>
        <w:t>came to finalizing</w:t>
      </w:r>
      <w:r w:rsidR="00DE23B2" w:rsidRPr="00813D19">
        <w:rPr>
          <w:lang w:val="en-US"/>
        </w:rPr>
        <w:t xml:space="preserve"> the </w:t>
      </w:r>
      <w:r w:rsidR="009072B1" w:rsidRPr="00813D19">
        <w:rPr>
          <w:lang w:val="en-US"/>
        </w:rPr>
        <w:t xml:space="preserve">wording </w:t>
      </w:r>
      <w:r w:rsidR="00DE23B2" w:rsidRPr="00813D19">
        <w:rPr>
          <w:lang w:val="en-US"/>
        </w:rPr>
        <w:t xml:space="preserve">of the dialogue, </w:t>
      </w:r>
      <w:r w:rsidR="009072B1" w:rsidRPr="00813D19">
        <w:rPr>
          <w:lang w:val="en-US"/>
        </w:rPr>
        <w:t xml:space="preserve">could </w:t>
      </w:r>
      <w:r w:rsidR="00DE23B2" w:rsidRPr="00813D19">
        <w:rPr>
          <w:lang w:val="en-US"/>
        </w:rPr>
        <w:t>m</w:t>
      </w:r>
      <w:r w:rsidR="009072B1" w:rsidRPr="00813D19">
        <w:rPr>
          <w:lang w:val="en-US"/>
        </w:rPr>
        <w:t>eet</w:t>
      </w:r>
      <w:r w:rsidR="00DE23B2" w:rsidRPr="00813D19">
        <w:rPr>
          <w:lang w:val="en-US"/>
        </w:rPr>
        <w:t xml:space="preserve"> with the Member States to explain the steps </w:t>
      </w:r>
      <w:r w:rsidR="009072B1" w:rsidRPr="00813D19">
        <w:rPr>
          <w:lang w:val="en-US"/>
        </w:rPr>
        <w:t xml:space="preserve">that it </w:t>
      </w:r>
      <w:r w:rsidR="00DD4A8D">
        <w:rPr>
          <w:lang w:val="en-US"/>
        </w:rPr>
        <w:t xml:space="preserve">would </w:t>
      </w:r>
      <w:r w:rsidR="00781F91" w:rsidRPr="00813D19">
        <w:rPr>
          <w:lang w:val="en-US"/>
        </w:rPr>
        <w:t>put in place</w:t>
      </w:r>
      <w:r w:rsidR="00DE23B2" w:rsidRPr="00813D19">
        <w:rPr>
          <w:lang w:val="en-US"/>
        </w:rPr>
        <w:t xml:space="preserve"> </w:t>
      </w:r>
      <w:r w:rsidR="00781F91" w:rsidRPr="00813D19">
        <w:rPr>
          <w:lang w:val="en-US"/>
        </w:rPr>
        <w:t>and</w:t>
      </w:r>
      <w:r w:rsidR="009072B1" w:rsidRPr="00813D19">
        <w:rPr>
          <w:lang w:val="en-US"/>
        </w:rPr>
        <w:t xml:space="preserve"> that </w:t>
      </w:r>
      <w:r w:rsidR="00DE23B2" w:rsidRPr="00813D19">
        <w:rPr>
          <w:lang w:val="en-US"/>
        </w:rPr>
        <w:t xml:space="preserve">the open-ended working group </w:t>
      </w:r>
      <w:r w:rsidR="009072B1" w:rsidRPr="00813D19">
        <w:rPr>
          <w:lang w:val="en-US"/>
        </w:rPr>
        <w:t xml:space="preserve">was </w:t>
      </w:r>
      <w:r w:rsidR="00DE23B2" w:rsidRPr="00813D19">
        <w:rPr>
          <w:lang w:val="en-US"/>
        </w:rPr>
        <w:t xml:space="preserve">the appropriate place to discuss </w:t>
      </w:r>
      <w:r w:rsidR="009072B1" w:rsidRPr="00813D19">
        <w:rPr>
          <w:lang w:val="en-US"/>
        </w:rPr>
        <w:t>this point</w:t>
      </w:r>
      <w:r w:rsidR="00DE23B2" w:rsidRPr="00813D19">
        <w:rPr>
          <w:lang w:val="en-US"/>
        </w:rPr>
        <w:t xml:space="preserve">. </w:t>
      </w:r>
      <w:r w:rsidR="009072B1" w:rsidRPr="00813D19">
        <w:rPr>
          <w:lang w:val="en-US"/>
        </w:rPr>
        <w:t xml:space="preserve">Thus, instead </w:t>
      </w:r>
      <w:r w:rsidR="00DE23B2" w:rsidRPr="00813D19">
        <w:rPr>
          <w:lang w:val="en-US"/>
        </w:rPr>
        <w:t xml:space="preserve">of </w:t>
      </w:r>
      <w:r w:rsidR="009072B1" w:rsidRPr="00813D19">
        <w:rPr>
          <w:lang w:val="en-US"/>
        </w:rPr>
        <w:t>‘reflection’</w:t>
      </w:r>
      <w:r w:rsidR="00DD4A8D">
        <w:rPr>
          <w:lang w:val="en-US"/>
        </w:rPr>
        <w:t>,</w:t>
      </w:r>
      <w:r w:rsidR="009072B1" w:rsidRPr="00813D19">
        <w:rPr>
          <w:lang w:val="en-US"/>
        </w:rPr>
        <w:t xml:space="preserve"> </w:t>
      </w:r>
      <w:r w:rsidR="00781F91" w:rsidRPr="00813D19">
        <w:rPr>
          <w:lang w:val="en-US"/>
        </w:rPr>
        <w:t xml:space="preserve">the delegation proposed </w:t>
      </w:r>
      <w:r w:rsidR="009072B1" w:rsidRPr="00813D19">
        <w:rPr>
          <w:lang w:val="en-US"/>
        </w:rPr>
        <w:t>‘exchange’ with the S</w:t>
      </w:r>
      <w:r w:rsidR="00DE23B2" w:rsidRPr="00813D19">
        <w:rPr>
          <w:lang w:val="en-US"/>
        </w:rPr>
        <w:t xml:space="preserve">ecretariat on the future </w:t>
      </w:r>
      <w:r w:rsidR="009072B1" w:rsidRPr="00813D19">
        <w:rPr>
          <w:lang w:val="en-US"/>
        </w:rPr>
        <w:t xml:space="preserve">steps </w:t>
      </w:r>
      <w:r w:rsidR="00DE23B2" w:rsidRPr="00813D19">
        <w:rPr>
          <w:lang w:val="en-US"/>
        </w:rPr>
        <w:t>of the dialogue</w:t>
      </w:r>
      <w:r w:rsidR="00781F91" w:rsidRPr="00813D19">
        <w:rPr>
          <w:lang w:val="en-US"/>
        </w:rPr>
        <w:t xml:space="preserve">, which was </w:t>
      </w:r>
      <w:r w:rsidR="009072B1" w:rsidRPr="00813D19">
        <w:rPr>
          <w:lang w:val="en-US"/>
        </w:rPr>
        <w:t xml:space="preserve">more pertinent. In this way, there would at least </w:t>
      </w:r>
      <w:r w:rsidR="00781F91" w:rsidRPr="00813D19">
        <w:rPr>
          <w:lang w:val="en-US"/>
        </w:rPr>
        <w:t xml:space="preserve">be </w:t>
      </w:r>
      <w:r w:rsidR="009072B1" w:rsidRPr="00813D19">
        <w:rPr>
          <w:lang w:val="en-US"/>
        </w:rPr>
        <w:t>one meeting with the S</w:t>
      </w:r>
      <w:r w:rsidR="00DE23B2" w:rsidRPr="00813D19">
        <w:rPr>
          <w:lang w:val="en-US"/>
        </w:rPr>
        <w:t xml:space="preserve">ecretariat, the </w:t>
      </w:r>
      <w:r w:rsidR="00781F91" w:rsidRPr="00813D19">
        <w:rPr>
          <w:lang w:val="en-US"/>
        </w:rPr>
        <w:t xml:space="preserve">Committee </w:t>
      </w:r>
      <w:r w:rsidR="00DE23B2" w:rsidRPr="00813D19">
        <w:rPr>
          <w:lang w:val="en-US"/>
        </w:rPr>
        <w:t>Member</w:t>
      </w:r>
      <w:r w:rsidR="009072B1" w:rsidRPr="00813D19">
        <w:rPr>
          <w:lang w:val="en-US"/>
        </w:rPr>
        <w:t>s</w:t>
      </w:r>
      <w:r w:rsidR="00DE23B2" w:rsidRPr="00813D19">
        <w:rPr>
          <w:lang w:val="en-US"/>
        </w:rPr>
        <w:t xml:space="preserve"> and </w:t>
      </w:r>
      <w:r w:rsidR="009072B1" w:rsidRPr="00813D19">
        <w:rPr>
          <w:lang w:val="en-US"/>
        </w:rPr>
        <w:t>Observer States</w:t>
      </w:r>
      <w:r w:rsidR="00DE23B2" w:rsidRPr="00813D19">
        <w:rPr>
          <w:lang w:val="en-US"/>
        </w:rPr>
        <w:t xml:space="preserve"> to </w:t>
      </w:r>
      <w:r w:rsidR="009072B1" w:rsidRPr="00813D19">
        <w:rPr>
          <w:lang w:val="en-US"/>
        </w:rPr>
        <w:t xml:space="preserve">better </w:t>
      </w:r>
      <w:r w:rsidR="00DE23B2" w:rsidRPr="00813D19">
        <w:rPr>
          <w:lang w:val="en-US"/>
        </w:rPr>
        <w:t xml:space="preserve">understand the </w:t>
      </w:r>
      <w:r w:rsidR="009072B1" w:rsidRPr="00813D19">
        <w:rPr>
          <w:lang w:val="en-US"/>
        </w:rPr>
        <w:t xml:space="preserve">range of steps </w:t>
      </w:r>
      <w:r w:rsidR="00781F91" w:rsidRPr="00813D19">
        <w:rPr>
          <w:lang w:val="en-US"/>
        </w:rPr>
        <w:t xml:space="preserve">on dialogue </w:t>
      </w:r>
      <w:r w:rsidR="009072B1" w:rsidRPr="00813D19">
        <w:rPr>
          <w:lang w:val="en-US"/>
        </w:rPr>
        <w:t>envisaged</w:t>
      </w:r>
      <w:r w:rsidR="00DE23B2" w:rsidRPr="00813D19">
        <w:rPr>
          <w:lang w:val="en-US"/>
        </w:rPr>
        <w:t xml:space="preserve"> </w:t>
      </w:r>
      <w:r w:rsidR="009072B1" w:rsidRPr="00813D19">
        <w:rPr>
          <w:lang w:val="en-US"/>
        </w:rPr>
        <w:t>by the S</w:t>
      </w:r>
      <w:r w:rsidR="00DE23B2" w:rsidRPr="00813D19">
        <w:rPr>
          <w:lang w:val="en-US"/>
        </w:rPr>
        <w:t xml:space="preserve">ecretariat. </w:t>
      </w:r>
      <w:r w:rsidR="009072B1" w:rsidRPr="00813D19">
        <w:rPr>
          <w:lang w:val="en-US"/>
        </w:rPr>
        <w:t xml:space="preserve">The recommendation </w:t>
      </w:r>
      <w:r w:rsidR="00DD4A8D" w:rsidRPr="00813D19">
        <w:rPr>
          <w:lang w:val="en-US"/>
        </w:rPr>
        <w:t xml:space="preserve">was </w:t>
      </w:r>
      <w:r w:rsidR="009072B1" w:rsidRPr="00813D19">
        <w:rPr>
          <w:lang w:val="en-US"/>
        </w:rPr>
        <w:t xml:space="preserve">therefore </w:t>
      </w:r>
      <w:r w:rsidR="00DE23B2" w:rsidRPr="00813D19">
        <w:rPr>
          <w:lang w:val="en-US"/>
        </w:rPr>
        <w:t>t</w:t>
      </w:r>
      <w:r w:rsidR="009072B1" w:rsidRPr="00813D19">
        <w:rPr>
          <w:lang w:val="en-US"/>
        </w:rPr>
        <w:t xml:space="preserve">o meet on the issue of dialogue, </w:t>
      </w:r>
      <w:r w:rsidR="00DE23B2" w:rsidRPr="00813D19">
        <w:rPr>
          <w:lang w:val="en-US"/>
        </w:rPr>
        <w:t xml:space="preserve">perhaps not </w:t>
      </w:r>
      <w:r w:rsidR="00781F91" w:rsidRPr="00813D19">
        <w:rPr>
          <w:lang w:val="en-US"/>
        </w:rPr>
        <w:t>‘</w:t>
      </w:r>
      <w:r w:rsidR="009072B1" w:rsidRPr="00813D19">
        <w:rPr>
          <w:lang w:val="en-US"/>
        </w:rPr>
        <w:t xml:space="preserve">to </w:t>
      </w:r>
      <w:r w:rsidR="00781F91" w:rsidRPr="00813D19">
        <w:rPr>
          <w:lang w:val="en-US"/>
        </w:rPr>
        <w:t>reflect’</w:t>
      </w:r>
      <w:r w:rsidR="00DE23B2" w:rsidRPr="00813D19">
        <w:rPr>
          <w:lang w:val="en-US"/>
        </w:rPr>
        <w:t xml:space="preserve">, </w:t>
      </w:r>
      <w:r w:rsidR="009072B1" w:rsidRPr="00813D19">
        <w:rPr>
          <w:lang w:val="en-US"/>
        </w:rPr>
        <w:t xml:space="preserve">as </w:t>
      </w:r>
      <w:r w:rsidR="00DE23B2" w:rsidRPr="00813D19">
        <w:rPr>
          <w:lang w:val="en-US"/>
        </w:rPr>
        <w:t xml:space="preserve">the decision </w:t>
      </w:r>
      <w:r w:rsidR="00781F91" w:rsidRPr="00813D19">
        <w:rPr>
          <w:lang w:val="en-US"/>
        </w:rPr>
        <w:t xml:space="preserve">just adopted was </w:t>
      </w:r>
      <w:r w:rsidR="009072B1" w:rsidRPr="00813D19">
        <w:rPr>
          <w:lang w:val="en-US"/>
        </w:rPr>
        <w:t>in this sense</w:t>
      </w:r>
      <w:r w:rsidR="00DE23B2" w:rsidRPr="00813D19">
        <w:rPr>
          <w:lang w:val="en-US"/>
        </w:rPr>
        <w:t xml:space="preserve">, but on </w:t>
      </w:r>
      <w:r w:rsidR="009072B1" w:rsidRPr="00813D19">
        <w:rPr>
          <w:lang w:val="en-US"/>
        </w:rPr>
        <w:t xml:space="preserve">how the </w:t>
      </w:r>
      <w:r w:rsidR="00DE23B2" w:rsidRPr="00813D19">
        <w:rPr>
          <w:lang w:val="en-US"/>
        </w:rPr>
        <w:t>dialogue</w:t>
      </w:r>
      <w:r w:rsidR="009072B1" w:rsidRPr="00813D19">
        <w:rPr>
          <w:lang w:val="en-US"/>
        </w:rPr>
        <w:t xml:space="preserve"> </w:t>
      </w:r>
      <w:r w:rsidR="00DD4A8D">
        <w:rPr>
          <w:lang w:val="en-US"/>
        </w:rPr>
        <w:t>would</w:t>
      </w:r>
      <w:r w:rsidR="00DD4A8D" w:rsidRPr="00813D19">
        <w:rPr>
          <w:lang w:val="en-US"/>
        </w:rPr>
        <w:t xml:space="preserve"> </w:t>
      </w:r>
      <w:r w:rsidR="009072B1" w:rsidRPr="00813D19">
        <w:rPr>
          <w:lang w:val="en-US"/>
        </w:rPr>
        <w:t>be established</w:t>
      </w:r>
      <w:r w:rsidR="00DE23B2" w:rsidRPr="00813D19">
        <w:rPr>
          <w:lang w:val="en-US"/>
        </w:rPr>
        <w:t>.</w:t>
      </w:r>
    </w:p>
    <w:p w14:paraId="256DB81D" w14:textId="528C965B" w:rsidR="00483C79" w:rsidRPr="00813D19" w:rsidRDefault="00483C79" w:rsidP="00016346">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016346" w:rsidRPr="00813D19">
        <w:rPr>
          <w:lang w:val="en-US"/>
        </w:rPr>
        <w:t>thanked Algeria for its pertinent suggestion, which aligned with t</w:t>
      </w:r>
      <w:r w:rsidR="00F745F1">
        <w:rPr>
          <w:lang w:val="en-US"/>
        </w:rPr>
        <w:t>he sentiment expressed by Cuba.</w:t>
      </w:r>
    </w:p>
    <w:p w14:paraId="7B7BA9CC" w14:textId="6FCDD06C" w:rsidR="00AA30C4" w:rsidRPr="00813D19" w:rsidRDefault="00AA30C4" w:rsidP="000B62DA">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7A6018" w:rsidRPr="00813D19">
        <w:rPr>
          <w:bCs/>
          <w:lang w:val="en-US"/>
        </w:rPr>
        <w:t>thank</w:t>
      </w:r>
      <w:r w:rsidR="00016346" w:rsidRPr="00813D19">
        <w:rPr>
          <w:bCs/>
          <w:lang w:val="en-US"/>
        </w:rPr>
        <w:t>ed</w:t>
      </w:r>
      <w:r w:rsidR="007A6018" w:rsidRPr="00813D19">
        <w:rPr>
          <w:bCs/>
          <w:lang w:val="en-US"/>
        </w:rPr>
        <w:t xml:space="preserve"> Algeria</w:t>
      </w:r>
      <w:r w:rsidR="00016346" w:rsidRPr="00813D19">
        <w:rPr>
          <w:bCs/>
          <w:lang w:val="en-US"/>
        </w:rPr>
        <w:t xml:space="preserve">, whose </w:t>
      </w:r>
      <w:r w:rsidR="007A6018" w:rsidRPr="00813D19">
        <w:rPr>
          <w:bCs/>
          <w:lang w:val="en-US"/>
        </w:rPr>
        <w:t xml:space="preserve">last comment </w:t>
      </w:r>
      <w:r w:rsidR="00016346" w:rsidRPr="00813D19">
        <w:rPr>
          <w:bCs/>
          <w:lang w:val="en-US"/>
        </w:rPr>
        <w:t xml:space="preserve">made </w:t>
      </w:r>
      <w:r w:rsidR="007A6018" w:rsidRPr="00813D19">
        <w:rPr>
          <w:bCs/>
          <w:lang w:val="en-US"/>
        </w:rPr>
        <w:t xml:space="preserve">a lot of sense. Indeed, </w:t>
      </w:r>
      <w:r w:rsidR="00016346" w:rsidRPr="00813D19">
        <w:rPr>
          <w:bCs/>
          <w:lang w:val="en-US"/>
        </w:rPr>
        <w:t xml:space="preserve">the proposal </w:t>
      </w:r>
      <w:r w:rsidR="00DD4A8D">
        <w:rPr>
          <w:bCs/>
          <w:lang w:val="en-US"/>
        </w:rPr>
        <w:t>was</w:t>
      </w:r>
      <w:r w:rsidR="00DD4A8D" w:rsidRPr="00813D19">
        <w:rPr>
          <w:bCs/>
          <w:lang w:val="en-US"/>
        </w:rPr>
        <w:t xml:space="preserve"> </w:t>
      </w:r>
      <w:r w:rsidR="007A6018" w:rsidRPr="00813D19">
        <w:rPr>
          <w:bCs/>
          <w:lang w:val="en-US"/>
        </w:rPr>
        <w:t>experimental</w:t>
      </w:r>
      <w:r w:rsidR="00781F91" w:rsidRPr="00813D19">
        <w:rPr>
          <w:bCs/>
          <w:lang w:val="en-US"/>
        </w:rPr>
        <w:t>,</w:t>
      </w:r>
      <w:r w:rsidR="007A6018" w:rsidRPr="00813D19">
        <w:rPr>
          <w:bCs/>
          <w:lang w:val="en-US"/>
        </w:rPr>
        <w:t xml:space="preserve"> </w:t>
      </w:r>
      <w:r w:rsidR="00781F91" w:rsidRPr="00813D19">
        <w:rPr>
          <w:bCs/>
          <w:lang w:val="en-US"/>
        </w:rPr>
        <w:t>but</w:t>
      </w:r>
      <w:r w:rsidR="007A6018" w:rsidRPr="00813D19">
        <w:rPr>
          <w:bCs/>
          <w:lang w:val="en-US"/>
        </w:rPr>
        <w:t xml:space="preserve"> </w:t>
      </w:r>
      <w:r w:rsidR="00781F91" w:rsidRPr="00813D19">
        <w:rPr>
          <w:bCs/>
          <w:lang w:val="en-US"/>
        </w:rPr>
        <w:t xml:space="preserve">the Secretary </w:t>
      </w:r>
      <w:r w:rsidR="00016346" w:rsidRPr="00813D19">
        <w:rPr>
          <w:bCs/>
          <w:lang w:val="en-US"/>
        </w:rPr>
        <w:t>was still un</w:t>
      </w:r>
      <w:r w:rsidR="007A6018" w:rsidRPr="00813D19">
        <w:rPr>
          <w:bCs/>
          <w:lang w:val="en-US"/>
        </w:rPr>
        <w:t>convinced tha</w:t>
      </w:r>
      <w:r w:rsidR="00016346" w:rsidRPr="00813D19">
        <w:rPr>
          <w:bCs/>
          <w:lang w:val="en-US"/>
        </w:rPr>
        <w:t>t evaluations</w:t>
      </w:r>
      <w:r w:rsidR="007A6018" w:rsidRPr="00813D19">
        <w:rPr>
          <w:bCs/>
          <w:lang w:val="en-US"/>
        </w:rPr>
        <w:t xml:space="preserve"> </w:t>
      </w:r>
      <w:r w:rsidR="00781F91" w:rsidRPr="00813D19">
        <w:rPr>
          <w:bCs/>
          <w:lang w:val="en-US"/>
        </w:rPr>
        <w:t xml:space="preserve">could </w:t>
      </w:r>
      <w:r w:rsidR="00016346" w:rsidRPr="00813D19">
        <w:rPr>
          <w:bCs/>
          <w:lang w:val="en-US"/>
        </w:rPr>
        <w:t xml:space="preserve">be </w:t>
      </w:r>
      <w:r w:rsidR="007A6018" w:rsidRPr="00813D19">
        <w:rPr>
          <w:bCs/>
          <w:lang w:val="en-US"/>
        </w:rPr>
        <w:t xml:space="preserve">changed, </w:t>
      </w:r>
      <w:r w:rsidR="00781F91" w:rsidRPr="00813D19">
        <w:rPr>
          <w:bCs/>
          <w:lang w:val="en-US"/>
        </w:rPr>
        <w:t xml:space="preserve">though there could be a way for it to </w:t>
      </w:r>
      <w:r w:rsidR="007A6018" w:rsidRPr="00813D19">
        <w:rPr>
          <w:bCs/>
          <w:lang w:val="en-US"/>
        </w:rPr>
        <w:t xml:space="preserve">work. </w:t>
      </w:r>
      <w:r w:rsidR="00781F91" w:rsidRPr="00813D19">
        <w:rPr>
          <w:bCs/>
          <w:lang w:val="en-US"/>
        </w:rPr>
        <w:t xml:space="preserve">He </w:t>
      </w:r>
      <w:r w:rsidR="00016346" w:rsidRPr="00813D19">
        <w:rPr>
          <w:bCs/>
          <w:lang w:val="en-US"/>
        </w:rPr>
        <w:t>agre</w:t>
      </w:r>
      <w:r w:rsidR="00781F91" w:rsidRPr="00813D19">
        <w:rPr>
          <w:bCs/>
          <w:lang w:val="en-US"/>
        </w:rPr>
        <w:t>e</w:t>
      </w:r>
      <w:r w:rsidR="00016346" w:rsidRPr="00813D19">
        <w:rPr>
          <w:bCs/>
          <w:lang w:val="en-US"/>
        </w:rPr>
        <w:t>d that i</w:t>
      </w:r>
      <w:r w:rsidR="007A6018" w:rsidRPr="00813D19">
        <w:rPr>
          <w:bCs/>
          <w:lang w:val="en-US"/>
        </w:rPr>
        <w:t xml:space="preserve">t would be important to have some kind of informal gathering with the working group </w:t>
      </w:r>
      <w:r w:rsidR="00016346" w:rsidRPr="00813D19">
        <w:rPr>
          <w:bCs/>
          <w:lang w:val="en-US"/>
        </w:rPr>
        <w:t xml:space="preserve">so as </w:t>
      </w:r>
      <w:r w:rsidR="007A6018" w:rsidRPr="00813D19">
        <w:rPr>
          <w:bCs/>
          <w:lang w:val="en-US"/>
        </w:rPr>
        <w:t xml:space="preserve">to present the proposal once </w:t>
      </w:r>
      <w:r w:rsidR="00016346" w:rsidRPr="00813D19">
        <w:rPr>
          <w:bCs/>
          <w:lang w:val="en-US"/>
        </w:rPr>
        <w:t xml:space="preserve">the Secretariat had been able to examine </w:t>
      </w:r>
      <w:r w:rsidR="007A6018" w:rsidRPr="00813D19">
        <w:rPr>
          <w:bCs/>
          <w:lang w:val="en-US"/>
        </w:rPr>
        <w:t xml:space="preserve">the </w:t>
      </w:r>
      <w:r w:rsidR="00016346" w:rsidRPr="00813D19">
        <w:rPr>
          <w:bCs/>
          <w:lang w:val="en-US"/>
        </w:rPr>
        <w:t>procedure.</w:t>
      </w:r>
    </w:p>
    <w:p w14:paraId="04530F05" w14:textId="7C6A56B7" w:rsidR="00EB37DE" w:rsidRPr="00813D19" w:rsidRDefault="00EB37DE" w:rsidP="000B62DA">
      <w:pPr>
        <w:pStyle w:val="Orateurengris"/>
        <w:spacing w:before="120"/>
        <w:ind w:left="709" w:hanging="709"/>
        <w:rPr>
          <w:lang w:val="en-US"/>
        </w:rPr>
      </w:pPr>
      <w:r w:rsidRPr="00813D19">
        <w:rPr>
          <w:lang w:val="en-US"/>
        </w:rPr>
        <w:t xml:space="preserve">The </w:t>
      </w:r>
      <w:r w:rsidRPr="00813D19">
        <w:rPr>
          <w:b/>
          <w:lang w:val="en-US"/>
        </w:rPr>
        <w:t>delegation of Austria</w:t>
      </w:r>
      <w:r w:rsidR="007A6018" w:rsidRPr="00813D19">
        <w:rPr>
          <w:b/>
          <w:lang w:val="en-US"/>
        </w:rPr>
        <w:t xml:space="preserve"> </w:t>
      </w:r>
      <w:r w:rsidR="00EF4979" w:rsidRPr="00813D19">
        <w:rPr>
          <w:lang w:val="en-US"/>
        </w:rPr>
        <w:t>found that the mention ‘</w:t>
      </w:r>
      <w:r w:rsidR="007A6018" w:rsidRPr="00813D19">
        <w:rPr>
          <w:lang w:val="en-US"/>
        </w:rPr>
        <w:t>other issues</w:t>
      </w:r>
      <w:r w:rsidR="00EF4979" w:rsidRPr="00813D19">
        <w:rPr>
          <w:lang w:val="en-US"/>
        </w:rPr>
        <w:t>’ seemed</w:t>
      </w:r>
      <w:r w:rsidR="007A6018" w:rsidRPr="00813D19">
        <w:rPr>
          <w:lang w:val="en-US"/>
        </w:rPr>
        <w:t xml:space="preserve"> to</w:t>
      </w:r>
      <w:r w:rsidR="00EF4979" w:rsidRPr="00813D19">
        <w:rPr>
          <w:lang w:val="en-US"/>
        </w:rPr>
        <w:t>o</w:t>
      </w:r>
      <w:r w:rsidR="007A6018" w:rsidRPr="00813D19">
        <w:rPr>
          <w:lang w:val="en-US"/>
        </w:rPr>
        <w:t xml:space="preserve"> vague and </w:t>
      </w:r>
      <w:r w:rsidR="00EF4979" w:rsidRPr="00813D19">
        <w:rPr>
          <w:lang w:val="en-US"/>
        </w:rPr>
        <w:t xml:space="preserve">that there was no </w:t>
      </w:r>
      <w:r w:rsidR="007A6018" w:rsidRPr="00813D19">
        <w:rPr>
          <w:lang w:val="en-US"/>
        </w:rPr>
        <w:t xml:space="preserve">alternative </w:t>
      </w:r>
      <w:r w:rsidR="00EF4979" w:rsidRPr="00813D19">
        <w:rPr>
          <w:lang w:val="en-US"/>
        </w:rPr>
        <w:t xml:space="preserve">proposal should the </w:t>
      </w:r>
      <w:r w:rsidR="007A6018" w:rsidRPr="00813D19">
        <w:rPr>
          <w:lang w:val="en-US"/>
        </w:rPr>
        <w:t xml:space="preserve">experiment prove </w:t>
      </w:r>
      <w:r w:rsidR="00EF4979" w:rsidRPr="00813D19">
        <w:rPr>
          <w:lang w:val="en-US"/>
        </w:rPr>
        <w:t>un</w:t>
      </w:r>
      <w:r w:rsidR="007A6018" w:rsidRPr="00813D19">
        <w:rPr>
          <w:lang w:val="en-US"/>
        </w:rPr>
        <w:t>successful</w:t>
      </w:r>
      <w:r w:rsidR="00EF4979" w:rsidRPr="00813D19">
        <w:rPr>
          <w:lang w:val="en-US"/>
        </w:rPr>
        <w:t>.</w:t>
      </w:r>
      <w:r w:rsidR="007A6018" w:rsidRPr="00813D19">
        <w:rPr>
          <w:lang w:val="en-US"/>
        </w:rPr>
        <w:t xml:space="preserve"> </w:t>
      </w:r>
      <w:r w:rsidR="00EF4979" w:rsidRPr="00813D19">
        <w:rPr>
          <w:lang w:val="en-US"/>
        </w:rPr>
        <w:t xml:space="preserve">It also </w:t>
      </w:r>
      <w:r w:rsidR="007A6018" w:rsidRPr="00813D19">
        <w:rPr>
          <w:lang w:val="en-US"/>
        </w:rPr>
        <w:t>want</w:t>
      </w:r>
      <w:r w:rsidR="00EF4979" w:rsidRPr="00813D19">
        <w:rPr>
          <w:lang w:val="en-US"/>
        </w:rPr>
        <w:t>ed</w:t>
      </w:r>
      <w:r w:rsidR="007A6018" w:rsidRPr="00813D19">
        <w:rPr>
          <w:lang w:val="en-US"/>
        </w:rPr>
        <w:t xml:space="preserve"> to </w:t>
      </w:r>
      <w:r w:rsidR="00EF4979" w:rsidRPr="00813D19">
        <w:rPr>
          <w:lang w:val="en-US"/>
        </w:rPr>
        <w:t xml:space="preserve">see </w:t>
      </w:r>
      <w:r w:rsidR="007A6018" w:rsidRPr="00813D19">
        <w:rPr>
          <w:lang w:val="en-US"/>
        </w:rPr>
        <w:t>le</w:t>
      </w:r>
      <w:r w:rsidR="00EF4979" w:rsidRPr="00813D19">
        <w:rPr>
          <w:lang w:val="en-US"/>
        </w:rPr>
        <w:t>gal grounds</w:t>
      </w:r>
      <w:r w:rsidR="007A6018" w:rsidRPr="00813D19">
        <w:rPr>
          <w:lang w:val="en-US"/>
        </w:rPr>
        <w:t xml:space="preserve"> </w:t>
      </w:r>
      <w:r w:rsidR="00DD4A8D">
        <w:rPr>
          <w:lang w:val="en-US"/>
        </w:rPr>
        <w:t xml:space="preserve">developed, </w:t>
      </w:r>
      <w:r w:rsidR="00EF4979" w:rsidRPr="00813D19">
        <w:rPr>
          <w:lang w:val="en-US"/>
        </w:rPr>
        <w:t>hence why [paragraph 7.a] should remain.</w:t>
      </w:r>
    </w:p>
    <w:p w14:paraId="47301C51" w14:textId="1B4A9244" w:rsidR="003D33E0" w:rsidRPr="00813D19" w:rsidRDefault="00CA0BC8" w:rsidP="000B62DA">
      <w:pPr>
        <w:pStyle w:val="Orateurengris"/>
        <w:spacing w:before="120"/>
        <w:ind w:left="709" w:hanging="709"/>
        <w:rPr>
          <w:lang w:val="en-US"/>
        </w:rPr>
      </w:pPr>
      <w:r w:rsidRPr="00813D19">
        <w:rPr>
          <w:lang w:val="en-US"/>
        </w:rPr>
        <w:t xml:space="preserve">The </w:t>
      </w:r>
      <w:r w:rsidRPr="00813D19">
        <w:rPr>
          <w:b/>
          <w:lang w:val="en-US"/>
        </w:rPr>
        <w:t>delegation of Cyprus</w:t>
      </w:r>
      <w:r w:rsidR="007A6018" w:rsidRPr="00813D19">
        <w:rPr>
          <w:b/>
          <w:lang w:val="en-US"/>
        </w:rPr>
        <w:t xml:space="preserve"> </w:t>
      </w:r>
      <w:r w:rsidR="003D33E0" w:rsidRPr="00813D19">
        <w:rPr>
          <w:lang w:val="en-US"/>
        </w:rPr>
        <w:t>supported the proposal by Algeria, noting that the Secretariat was very much in favo</w:t>
      </w:r>
      <w:r w:rsidR="00781F91" w:rsidRPr="00813D19">
        <w:rPr>
          <w:lang w:val="en-US"/>
        </w:rPr>
        <w:t>u</w:t>
      </w:r>
      <w:r w:rsidR="003D33E0" w:rsidRPr="00813D19">
        <w:rPr>
          <w:lang w:val="en-US"/>
        </w:rPr>
        <w:t>r of an exchange between the Sec</w:t>
      </w:r>
      <w:r w:rsidR="00F745F1">
        <w:rPr>
          <w:lang w:val="en-US"/>
        </w:rPr>
        <w:t>retariat and the working group.</w:t>
      </w:r>
    </w:p>
    <w:p w14:paraId="0269A54A" w14:textId="47A4549C" w:rsidR="003D33E0" w:rsidRPr="00813D19" w:rsidRDefault="00B057C5" w:rsidP="000B62DA">
      <w:pPr>
        <w:pStyle w:val="Orateurengris"/>
        <w:spacing w:before="120"/>
        <w:ind w:left="709" w:hanging="709"/>
        <w:rPr>
          <w:lang w:val="en-US"/>
        </w:rPr>
      </w:pPr>
      <w:r w:rsidRPr="00813D19">
        <w:rPr>
          <w:lang w:val="en-US"/>
        </w:rPr>
        <w:t xml:space="preserve">The </w:t>
      </w:r>
      <w:r w:rsidRPr="00813D19">
        <w:rPr>
          <w:b/>
          <w:lang w:val="en-US"/>
        </w:rPr>
        <w:t>delegation of Djibouti</w:t>
      </w:r>
      <w:r w:rsidR="007A6018" w:rsidRPr="00813D19">
        <w:rPr>
          <w:b/>
          <w:lang w:val="en-US"/>
        </w:rPr>
        <w:t xml:space="preserve"> </w:t>
      </w:r>
      <w:r w:rsidR="003D33E0" w:rsidRPr="00813D19">
        <w:rPr>
          <w:lang w:val="en-US"/>
        </w:rPr>
        <w:t>recalled that it supported the extension of the mandate of the informal working grou</w:t>
      </w:r>
      <w:r w:rsidR="00781F91" w:rsidRPr="00813D19">
        <w:rPr>
          <w:lang w:val="en-US"/>
        </w:rPr>
        <w:t>p</w:t>
      </w:r>
      <w:r w:rsidR="003D33E0" w:rsidRPr="00813D19">
        <w:rPr>
          <w:lang w:val="en-US"/>
        </w:rPr>
        <w:t xml:space="preserve"> and </w:t>
      </w:r>
      <w:r w:rsidR="00781F91" w:rsidRPr="00813D19">
        <w:rPr>
          <w:lang w:val="en-US"/>
        </w:rPr>
        <w:t xml:space="preserve">it </w:t>
      </w:r>
      <w:r w:rsidR="003D33E0" w:rsidRPr="00813D19">
        <w:rPr>
          <w:lang w:val="en-US"/>
        </w:rPr>
        <w:t>also supported the proposal by Algeria</w:t>
      </w:r>
      <w:r w:rsidR="00781F91" w:rsidRPr="00813D19">
        <w:rPr>
          <w:lang w:val="en-US"/>
        </w:rPr>
        <w:t>,</w:t>
      </w:r>
      <w:r w:rsidR="00F745F1">
        <w:rPr>
          <w:lang w:val="en-US"/>
        </w:rPr>
        <w:t xml:space="preserve"> as co-Chair.</w:t>
      </w:r>
    </w:p>
    <w:p w14:paraId="19D33C4F" w14:textId="1DD74876" w:rsidR="003D33E0" w:rsidRPr="00813D19" w:rsidRDefault="003D33E0" w:rsidP="000B62DA">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asked whether Palestine could take the comments into consideration and propose </w:t>
      </w:r>
      <w:r w:rsidR="00DD4A8D">
        <w:rPr>
          <w:lang w:val="en-US"/>
        </w:rPr>
        <w:t xml:space="preserve">the </w:t>
      </w:r>
      <w:r w:rsidRPr="00813D19">
        <w:rPr>
          <w:lang w:val="en-US"/>
        </w:rPr>
        <w:t xml:space="preserve">wording </w:t>
      </w:r>
      <w:r w:rsidR="00781F91" w:rsidRPr="00813D19">
        <w:rPr>
          <w:lang w:val="en-US"/>
        </w:rPr>
        <w:t xml:space="preserve">so as to reach a </w:t>
      </w:r>
      <w:r w:rsidR="00F745F1">
        <w:rPr>
          <w:lang w:val="en-US"/>
        </w:rPr>
        <w:t>consensus.</w:t>
      </w:r>
    </w:p>
    <w:p w14:paraId="70D116ED" w14:textId="168D934F" w:rsidR="000D675F" w:rsidRPr="00813D19" w:rsidRDefault="00EF67F7" w:rsidP="00515C48">
      <w:pPr>
        <w:pStyle w:val="Orateurengris"/>
        <w:spacing w:before="120"/>
        <w:ind w:left="709" w:hanging="709"/>
        <w:rPr>
          <w:lang w:val="en-US"/>
        </w:rPr>
      </w:pPr>
      <w:r w:rsidRPr="00813D19">
        <w:rPr>
          <w:lang w:val="en-US"/>
        </w:rPr>
        <w:t xml:space="preserve">The </w:t>
      </w:r>
      <w:r w:rsidRPr="00813D19">
        <w:rPr>
          <w:b/>
          <w:lang w:val="en-US"/>
        </w:rPr>
        <w:t>delegation of Palestine</w:t>
      </w:r>
      <w:r w:rsidR="00431370" w:rsidRPr="00813D19">
        <w:rPr>
          <w:b/>
          <w:lang w:val="en-US"/>
        </w:rPr>
        <w:t xml:space="preserve"> </w:t>
      </w:r>
      <w:r w:rsidR="00A42201" w:rsidRPr="00813D19">
        <w:rPr>
          <w:lang w:val="en-US"/>
        </w:rPr>
        <w:t>thanked</w:t>
      </w:r>
      <w:r w:rsidR="00A42201" w:rsidRPr="00813D19">
        <w:rPr>
          <w:b/>
          <w:lang w:val="en-US"/>
        </w:rPr>
        <w:t xml:space="preserve"> </w:t>
      </w:r>
      <w:r w:rsidR="00A42201" w:rsidRPr="00813D19">
        <w:rPr>
          <w:lang w:val="en-US"/>
        </w:rPr>
        <w:t xml:space="preserve">all the </w:t>
      </w:r>
      <w:r w:rsidR="007F767D" w:rsidRPr="00813D19">
        <w:rPr>
          <w:lang w:val="en-US"/>
        </w:rPr>
        <w:t>speakers and Algeria</w:t>
      </w:r>
      <w:r w:rsidR="00A42201" w:rsidRPr="00813D19">
        <w:rPr>
          <w:lang w:val="en-US"/>
        </w:rPr>
        <w:t xml:space="preserve"> for their inputs</w:t>
      </w:r>
      <w:r w:rsidR="007F767D" w:rsidRPr="00813D19">
        <w:rPr>
          <w:lang w:val="en-US"/>
        </w:rPr>
        <w:t>. Indeed, it would be usefu</w:t>
      </w:r>
      <w:r w:rsidR="00A42201" w:rsidRPr="00813D19">
        <w:rPr>
          <w:lang w:val="en-US"/>
        </w:rPr>
        <w:t>l to have an exchange with the S</w:t>
      </w:r>
      <w:r w:rsidR="007F767D" w:rsidRPr="00813D19">
        <w:rPr>
          <w:lang w:val="en-US"/>
        </w:rPr>
        <w:t xml:space="preserve">ecretariat and the Evaluation Body to discuss the implementation of the experimental phase of the dialogue mechanism, as well as any other issues that might facilitate the work of the Committee. </w:t>
      </w:r>
      <w:r w:rsidR="00A42201" w:rsidRPr="00813D19">
        <w:rPr>
          <w:lang w:val="en-US"/>
        </w:rPr>
        <w:t>It also supported the working group remain</w:t>
      </w:r>
      <w:r w:rsidR="00DD4A8D">
        <w:rPr>
          <w:lang w:val="en-US"/>
        </w:rPr>
        <w:t>ing</w:t>
      </w:r>
      <w:r w:rsidR="00A42201" w:rsidRPr="00813D19">
        <w:rPr>
          <w:lang w:val="en-US"/>
        </w:rPr>
        <w:t xml:space="preserve"> </w:t>
      </w:r>
      <w:r w:rsidR="007F767D" w:rsidRPr="00813D19">
        <w:rPr>
          <w:lang w:val="en-US"/>
        </w:rPr>
        <w:t>open</w:t>
      </w:r>
      <w:r w:rsidR="00A42201" w:rsidRPr="00813D19">
        <w:rPr>
          <w:lang w:val="en-US"/>
        </w:rPr>
        <w:t>-ended</w:t>
      </w:r>
      <w:r w:rsidR="007F767D" w:rsidRPr="00813D19">
        <w:rPr>
          <w:lang w:val="en-US"/>
        </w:rPr>
        <w:t xml:space="preserve">. </w:t>
      </w:r>
      <w:r w:rsidR="00A42201" w:rsidRPr="00813D19">
        <w:rPr>
          <w:lang w:val="en-US"/>
        </w:rPr>
        <w:t>The delegation thus proposed</w:t>
      </w:r>
      <w:r w:rsidR="00DD4A8D">
        <w:rPr>
          <w:lang w:val="en-US"/>
        </w:rPr>
        <w:t>,</w:t>
      </w:r>
      <w:r w:rsidR="00A42201" w:rsidRPr="00813D19">
        <w:rPr>
          <w:lang w:val="en-US"/>
        </w:rPr>
        <w:t xml:space="preserve"> in paragraph 7.a, ‘</w:t>
      </w:r>
      <w:r w:rsidR="00515C48" w:rsidRPr="00813D19">
        <w:rPr>
          <w:lang w:val="en-US"/>
        </w:rPr>
        <w:t>exchange with the S</w:t>
      </w:r>
      <w:r w:rsidR="007F767D" w:rsidRPr="00813D19">
        <w:rPr>
          <w:lang w:val="en-US"/>
        </w:rPr>
        <w:t xml:space="preserve">ecretariat and the Evaluation Body on the implementation of the experimental dialogue </w:t>
      </w:r>
      <w:r w:rsidR="00515C48" w:rsidRPr="00813D19">
        <w:rPr>
          <w:lang w:val="en-US"/>
        </w:rPr>
        <w:t xml:space="preserve">mechanism </w:t>
      </w:r>
      <w:r w:rsidR="007F767D" w:rsidRPr="00813D19">
        <w:rPr>
          <w:lang w:val="en-US"/>
        </w:rPr>
        <w:t>as well as any other issue</w:t>
      </w:r>
      <w:r w:rsidR="00781F91" w:rsidRPr="00813D19">
        <w:rPr>
          <w:lang w:val="en-US"/>
        </w:rPr>
        <w:t>s</w:t>
      </w:r>
      <w:r w:rsidR="007F767D" w:rsidRPr="00813D19">
        <w:rPr>
          <w:lang w:val="en-US"/>
        </w:rPr>
        <w:t xml:space="preserve"> to facil</w:t>
      </w:r>
      <w:r w:rsidR="00515C48" w:rsidRPr="00813D19">
        <w:rPr>
          <w:lang w:val="en-US"/>
        </w:rPr>
        <w:t>itate the work of the Committee’</w:t>
      </w:r>
      <w:r w:rsidR="00F745F1">
        <w:rPr>
          <w:lang w:val="en-US"/>
        </w:rPr>
        <w:t>.</w:t>
      </w:r>
    </w:p>
    <w:p w14:paraId="6ED77DF6" w14:textId="5058F5AC" w:rsidR="00E97644" w:rsidRPr="00813D19" w:rsidRDefault="00E97644" w:rsidP="000B62DA">
      <w:pPr>
        <w:pStyle w:val="Orateurengris"/>
        <w:spacing w:before="120"/>
        <w:ind w:left="709" w:hanging="709"/>
        <w:rPr>
          <w:lang w:val="en-US"/>
        </w:rPr>
      </w:pPr>
      <w:r w:rsidRPr="00813D19">
        <w:rPr>
          <w:lang w:val="en-US"/>
        </w:rPr>
        <w:t xml:space="preserve">The </w:t>
      </w:r>
      <w:r w:rsidRPr="00813D19">
        <w:rPr>
          <w:b/>
          <w:lang w:val="en-US"/>
        </w:rPr>
        <w:t>delegation of Lebanon</w:t>
      </w:r>
      <w:r w:rsidRPr="00813D19">
        <w:rPr>
          <w:lang w:val="en-US"/>
        </w:rPr>
        <w:t xml:space="preserve"> supported the</w:t>
      </w:r>
      <w:r w:rsidR="000D675F" w:rsidRPr="00813D19">
        <w:rPr>
          <w:lang w:val="en-US"/>
        </w:rPr>
        <w:t xml:space="preserve"> open-ended natu</w:t>
      </w:r>
      <w:r w:rsidR="00F745F1">
        <w:rPr>
          <w:lang w:val="en-US"/>
        </w:rPr>
        <w:t>re of the ad hoc working group.</w:t>
      </w:r>
    </w:p>
    <w:p w14:paraId="421CDEB2" w14:textId="68DCAD44" w:rsidR="00FE0FCC" w:rsidRPr="00813D19" w:rsidRDefault="00FE0FCC" w:rsidP="00515C48">
      <w:pPr>
        <w:pStyle w:val="Orateurengris"/>
        <w:spacing w:before="120"/>
        <w:ind w:left="709" w:hanging="709"/>
        <w:rPr>
          <w:lang w:val="en-US"/>
        </w:rPr>
      </w:pPr>
      <w:r w:rsidRPr="00813D19">
        <w:rPr>
          <w:lang w:val="en-US"/>
        </w:rPr>
        <w:t xml:space="preserve">The </w:t>
      </w:r>
      <w:r w:rsidRPr="00813D19">
        <w:rPr>
          <w:b/>
          <w:lang w:val="en-US"/>
        </w:rPr>
        <w:t>delegation of Djibouti</w:t>
      </w:r>
      <w:r w:rsidR="000D675F" w:rsidRPr="00813D19">
        <w:rPr>
          <w:b/>
          <w:lang w:val="en-US"/>
        </w:rPr>
        <w:t xml:space="preserve"> </w:t>
      </w:r>
      <w:r w:rsidR="00515C48" w:rsidRPr="00813D19">
        <w:rPr>
          <w:lang w:val="en-US"/>
        </w:rPr>
        <w:t>reiterated</w:t>
      </w:r>
      <w:r w:rsidR="00515C48" w:rsidRPr="00813D19">
        <w:rPr>
          <w:b/>
          <w:lang w:val="en-US"/>
        </w:rPr>
        <w:t xml:space="preserve"> </w:t>
      </w:r>
      <w:r w:rsidR="00515C48" w:rsidRPr="00813D19">
        <w:rPr>
          <w:lang w:val="en-US"/>
        </w:rPr>
        <w:t>that it wished to see its name among the supporters of paragraph 7.</w:t>
      </w:r>
    </w:p>
    <w:p w14:paraId="12AD23D2" w14:textId="7FD59542" w:rsidR="00FE0FCC" w:rsidRPr="00813D19" w:rsidRDefault="00FE0FCC" w:rsidP="000B62DA">
      <w:pPr>
        <w:pStyle w:val="Orateurengris"/>
        <w:spacing w:before="120"/>
        <w:ind w:left="709" w:hanging="709"/>
        <w:rPr>
          <w:lang w:val="en-US"/>
        </w:rPr>
      </w:pPr>
      <w:r w:rsidRPr="00813D19">
        <w:rPr>
          <w:lang w:val="en-US"/>
        </w:rPr>
        <w:t xml:space="preserve">The </w:t>
      </w:r>
      <w:r w:rsidRPr="00813D19">
        <w:rPr>
          <w:b/>
          <w:lang w:val="en-US"/>
        </w:rPr>
        <w:t>delegation of China</w:t>
      </w:r>
      <w:r w:rsidRPr="00813D19">
        <w:rPr>
          <w:lang w:val="en-US"/>
        </w:rPr>
        <w:t xml:space="preserve"> </w:t>
      </w:r>
      <w:r w:rsidR="00AC0C31" w:rsidRPr="00813D19">
        <w:rPr>
          <w:lang w:val="en-US"/>
        </w:rPr>
        <w:t xml:space="preserve">believed that </w:t>
      </w:r>
      <w:r w:rsidR="000D675F" w:rsidRPr="00813D19">
        <w:rPr>
          <w:lang w:val="en-US"/>
        </w:rPr>
        <w:t xml:space="preserve">that there </w:t>
      </w:r>
      <w:r w:rsidR="00AC0C31" w:rsidRPr="00813D19">
        <w:rPr>
          <w:lang w:val="en-US"/>
        </w:rPr>
        <w:t xml:space="preserve">was a </w:t>
      </w:r>
      <w:r w:rsidR="000D675F" w:rsidRPr="00813D19">
        <w:rPr>
          <w:lang w:val="en-US"/>
        </w:rPr>
        <w:t xml:space="preserve">different understanding between the proposal by Palestine and </w:t>
      </w:r>
      <w:r w:rsidR="00AC0C31" w:rsidRPr="00813D19">
        <w:rPr>
          <w:lang w:val="en-US"/>
        </w:rPr>
        <w:t xml:space="preserve">that of </w:t>
      </w:r>
      <w:r w:rsidR="000D675F" w:rsidRPr="00813D19">
        <w:rPr>
          <w:lang w:val="en-US"/>
        </w:rPr>
        <w:t>Austria</w:t>
      </w:r>
      <w:r w:rsidR="00176B09" w:rsidRPr="00813D19">
        <w:rPr>
          <w:lang w:val="en-US"/>
        </w:rPr>
        <w:t>,</w:t>
      </w:r>
      <w:r w:rsidR="000D675F" w:rsidRPr="00813D19">
        <w:rPr>
          <w:lang w:val="en-US"/>
        </w:rPr>
        <w:t xml:space="preserve"> </w:t>
      </w:r>
      <w:r w:rsidR="00AC0C31" w:rsidRPr="00813D19">
        <w:rPr>
          <w:lang w:val="en-US"/>
        </w:rPr>
        <w:t xml:space="preserve">as </w:t>
      </w:r>
      <w:r w:rsidR="000D675F" w:rsidRPr="00813D19">
        <w:rPr>
          <w:lang w:val="en-US"/>
        </w:rPr>
        <w:t xml:space="preserve">the exchange with the Secretariat and the Evaluation Body </w:t>
      </w:r>
      <w:r w:rsidR="00AC0C31" w:rsidRPr="00813D19">
        <w:rPr>
          <w:lang w:val="en-US"/>
        </w:rPr>
        <w:t xml:space="preserve">did not </w:t>
      </w:r>
      <w:r w:rsidR="000D675F" w:rsidRPr="00813D19">
        <w:rPr>
          <w:lang w:val="en-US"/>
        </w:rPr>
        <w:t xml:space="preserve">necessarily mean that all </w:t>
      </w:r>
      <w:r w:rsidR="00AC0C31" w:rsidRPr="00813D19">
        <w:rPr>
          <w:lang w:val="en-US"/>
        </w:rPr>
        <w:t xml:space="preserve">the </w:t>
      </w:r>
      <w:r w:rsidR="000D675F" w:rsidRPr="00813D19">
        <w:rPr>
          <w:lang w:val="en-US"/>
        </w:rPr>
        <w:t xml:space="preserve">interested parties </w:t>
      </w:r>
      <w:r w:rsidR="00AC0C31" w:rsidRPr="00813D19">
        <w:rPr>
          <w:lang w:val="en-US"/>
        </w:rPr>
        <w:t xml:space="preserve">that would </w:t>
      </w:r>
      <w:r w:rsidR="000D675F" w:rsidRPr="00813D19">
        <w:rPr>
          <w:lang w:val="en-US"/>
        </w:rPr>
        <w:t xml:space="preserve">like to participate in the working group </w:t>
      </w:r>
      <w:r w:rsidR="00AC0C31" w:rsidRPr="00813D19">
        <w:rPr>
          <w:lang w:val="en-US"/>
        </w:rPr>
        <w:t xml:space="preserve">can be </w:t>
      </w:r>
      <w:r w:rsidR="000D675F" w:rsidRPr="00813D19">
        <w:rPr>
          <w:lang w:val="en-US"/>
        </w:rPr>
        <w:t>inv</w:t>
      </w:r>
      <w:r w:rsidR="00AC0C31" w:rsidRPr="00813D19">
        <w:rPr>
          <w:lang w:val="en-US"/>
        </w:rPr>
        <w:t xml:space="preserve">olved in this exchange process, which </w:t>
      </w:r>
      <w:r w:rsidR="00DD4A8D">
        <w:rPr>
          <w:lang w:val="en-US"/>
        </w:rPr>
        <w:t>was</w:t>
      </w:r>
      <w:r w:rsidR="00DD4A8D" w:rsidRPr="00813D19">
        <w:rPr>
          <w:lang w:val="en-US"/>
        </w:rPr>
        <w:t xml:space="preserve"> </w:t>
      </w:r>
      <w:r w:rsidR="00AC0C31" w:rsidRPr="00813D19">
        <w:rPr>
          <w:lang w:val="en-US"/>
        </w:rPr>
        <w:t xml:space="preserve">a different </w:t>
      </w:r>
      <w:r w:rsidR="000D675F" w:rsidRPr="00813D19">
        <w:rPr>
          <w:lang w:val="en-US"/>
        </w:rPr>
        <w:t xml:space="preserve">process. </w:t>
      </w:r>
      <w:r w:rsidR="00176B09" w:rsidRPr="00813D19">
        <w:rPr>
          <w:lang w:val="en-US"/>
        </w:rPr>
        <w:t xml:space="preserve">The delegation was thus unsure which </w:t>
      </w:r>
      <w:r w:rsidR="000D675F" w:rsidRPr="00813D19">
        <w:rPr>
          <w:lang w:val="en-US"/>
        </w:rPr>
        <w:t xml:space="preserve">approach </w:t>
      </w:r>
      <w:r w:rsidR="00176B09" w:rsidRPr="00813D19">
        <w:rPr>
          <w:lang w:val="en-US"/>
        </w:rPr>
        <w:t xml:space="preserve">the Committee </w:t>
      </w:r>
      <w:r w:rsidR="000D675F" w:rsidRPr="00813D19">
        <w:rPr>
          <w:lang w:val="en-US"/>
        </w:rPr>
        <w:t xml:space="preserve">should take. </w:t>
      </w:r>
      <w:r w:rsidR="00176B09" w:rsidRPr="00813D19">
        <w:rPr>
          <w:lang w:val="en-US"/>
        </w:rPr>
        <w:t xml:space="preserve">In any event, it </w:t>
      </w:r>
      <w:r w:rsidR="000D675F" w:rsidRPr="00813D19">
        <w:rPr>
          <w:lang w:val="en-US"/>
        </w:rPr>
        <w:t>agree</w:t>
      </w:r>
      <w:r w:rsidR="00176B09" w:rsidRPr="00813D19">
        <w:rPr>
          <w:lang w:val="en-US"/>
        </w:rPr>
        <w:t>d</w:t>
      </w:r>
      <w:r w:rsidR="000D675F" w:rsidRPr="00813D19">
        <w:rPr>
          <w:lang w:val="en-US"/>
        </w:rPr>
        <w:t xml:space="preserve"> that the working </w:t>
      </w:r>
      <w:r w:rsidR="00176B09" w:rsidRPr="00813D19">
        <w:rPr>
          <w:lang w:val="en-US"/>
        </w:rPr>
        <w:t xml:space="preserve">group should remain </w:t>
      </w:r>
      <w:r w:rsidR="000D675F" w:rsidRPr="00813D19">
        <w:rPr>
          <w:lang w:val="en-US"/>
        </w:rPr>
        <w:t>open-ended</w:t>
      </w:r>
      <w:r w:rsidR="00176B09" w:rsidRPr="00813D19">
        <w:rPr>
          <w:lang w:val="en-US"/>
        </w:rPr>
        <w:t>.</w:t>
      </w:r>
    </w:p>
    <w:p w14:paraId="27F243A6" w14:textId="10263FD0" w:rsidR="0011634F" w:rsidRPr="00813D19" w:rsidRDefault="0011634F" w:rsidP="000B62DA">
      <w:pPr>
        <w:pStyle w:val="Orateurengris"/>
        <w:spacing w:before="120"/>
        <w:ind w:left="709" w:hanging="709"/>
        <w:rPr>
          <w:lang w:val="en-US"/>
        </w:rPr>
      </w:pPr>
      <w:r w:rsidRPr="00813D19">
        <w:rPr>
          <w:lang w:val="en-US"/>
        </w:rPr>
        <w:t xml:space="preserve">The </w:t>
      </w:r>
      <w:r w:rsidRPr="00813D19">
        <w:rPr>
          <w:b/>
          <w:lang w:val="en-US"/>
        </w:rPr>
        <w:t>delegation of the Netherlands</w:t>
      </w:r>
      <w:r w:rsidR="000D675F" w:rsidRPr="00813D19">
        <w:rPr>
          <w:b/>
          <w:lang w:val="en-US"/>
        </w:rPr>
        <w:t xml:space="preserve"> </w:t>
      </w:r>
      <w:r w:rsidR="00176B09" w:rsidRPr="00813D19">
        <w:rPr>
          <w:lang w:val="en-US"/>
        </w:rPr>
        <w:t>wondered</w:t>
      </w:r>
      <w:r w:rsidR="000D675F" w:rsidRPr="00813D19">
        <w:rPr>
          <w:lang w:val="en-US"/>
        </w:rPr>
        <w:t xml:space="preserve"> </w:t>
      </w:r>
      <w:r w:rsidR="00176B09" w:rsidRPr="00813D19">
        <w:rPr>
          <w:lang w:val="en-US"/>
        </w:rPr>
        <w:t xml:space="preserve">whether it was </w:t>
      </w:r>
      <w:r w:rsidR="000D675F" w:rsidRPr="00813D19">
        <w:rPr>
          <w:lang w:val="en-US"/>
        </w:rPr>
        <w:t>possible in paragraph</w:t>
      </w:r>
      <w:r w:rsidR="00176B09" w:rsidRPr="00813D19">
        <w:rPr>
          <w:lang w:val="en-US"/>
        </w:rPr>
        <w:t xml:space="preserve"> 7.a to </w:t>
      </w:r>
      <w:r w:rsidR="000D675F" w:rsidRPr="00813D19">
        <w:rPr>
          <w:lang w:val="en-US"/>
        </w:rPr>
        <w:t xml:space="preserve">add a reference </w:t>
      </w:r>
      <w:r w:rsidR="00176B09" w:rsidRPr="00813D19">
        <w:rPr>
          <w:lang w:val="en-US"/>
        </w:rPr>
        <w:t xml:space="preserve">to </w:t>
      </w:r>
      <w:r w:rsidR="00781F91" w:rsidRPr="00813D19">
        <w:rPr>
          <w:lang w:val="en-US"/>
        </w:rPr>
        <w:t>reflect</w:t>
      </w:r>
      <w:r w:rsidR="000D675F" w:rsidRPr="00813D19">
        <w:rPr>
          <w:lang w:val="en-US"/>
        </w:rPr>
        <w:t xml:space="preserve"> on alternatives to the </w:t>
      </w:r>
      <w:r w:rsidR="00176B09" w:rsidRPr="00813D19">
        <w:rPr>
          <w:lang w:val="en-US"/>
        </w:rPr>
        <w:t>experimental dialogue mechanism.</w:t>
      </w:r>
    </w:p>
    <w:p w14:paraId="494B4C5E" w14:textId="3DC14164" w:rsidR="0011634F" w:rsidRPr="00813D19" w:rsidRDefault="0011634F" w:rsidP="000B62DA">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176B09" w:rsidRPr="00813D19">
        <w:rPr>
          <w:lang w:val="en-US"/>
        </w:rPr>
        <w:t xml:space="preserve">understood the </w:t>
      </w:r>
      <w:r w:rsidR="000D675F" w:rsidRPr="00813D19">
        <w:rPr>
          <w:lang w:val="en-US"/>
        </w:rPr>
        <w:t xml:space="preserve">concern </w:t>
      </w:r>
      <w:r w:rsidR="00176B09" w:rsidRPr="00813D19">
        <w:rPr>
          <w:lang w:val="en-US"/>
        </w:rPr>
        <w:t xml:space="preserve">given the </w:t>
      </w:r>
      <w:r w:rsidR="000D675F" w:rsidRPr="00813D19">
        <w:rPr>
          <w:lang w:val="en-US"/>
        </w:rPr>
        <w:t>highly sensitive</w:t>
      </w:r>
      <w:r w:rsidR="00176B09" w:rsidRPr="00813D19">
        <w:rPr>
          <w:lang w:val="en-US"/>
        </w:rPr>
        <w:t xml:space="preserve"> nature of the issue of dialogue and reminded the Committee that </w:t>
      </w:r>
      <w:r w:rsidR="000D675F" w:rsidRPr="00813D19">
        <w:rPr>
          <w:lang w:val="en-US"/>
        </w:rPr>
        <w:t xml:space="preserve">the working group </w:t>
      </w:r>
      <w:r w:rsidR="00176B09" w:rsidRPr="00813D19">
        <w:rPr>
          <w:lang w:val="en-US"/>
        </w:rPr>
        <w:t xml:space="preserve">is informal and </w:t>
      </w:r>
      <w:r w:rsidR="000D675F" w:rsidRPr="00813D19">
        <w:rPr>
          <w:lang w:val="en-US"/>
        </w:rPr>
        <w:t xml:space="preserve">nothing </w:t>
      </w:r>
      <w:r w:rsidR="00176B09" w:rsidRPr="00813D19">
        <w:rPr>
          <w:lang w:val="en-US"/>
        </w:rPr>
        <w:t xml:space="preserve">is </w:t>
      </w:r>
      <w:r w:rsidR="000D675F" w:rsidRPr="00813D19">
        <w:rPr>
          <w:lang w:val="en-US"/>
        </w:rPr>
        <w:t>decided in the working group that cannot come through a formal working</w:t>
      </w:r>
      <w:r w:rsidR="00176B09" w:rsidRPr="00813D19">
        <w:rPr>
          <w:lang w:val="en-US"/>
        </w:rPr>
        <w:t xml:space="preserve"> group, a C</w:t>
      </w:r>
      <w:r w:rsidR="000D675F" w:rsidRPr="00813D19">
        <w:rPr>
          <w:lang w:val="en-US"/>
        </w:rPr>
        <w:t xml:space="preserve">ommittee session or a General Assembly. </w:t>
      </w:r>
      <w:r w:rsidR="00176B09" w:rsidRPr="00813D19">
        <w:rPr>
          <w:lang w:val="en-US"/>
        </w:rPr>
        <w:t xml:space="preserve">As informal discussions, these meetings </w:t>
      </w:r>
      <w:r w:rsidR="000D675F" w:rsidRPr="00813D19">
        <w:rPr>
          <w:lang w:val="en-US"/>
        </w:rPr>
        <w:t>are not mandated to make decisions</w:t>
      </w:r>
      <w:r w:rsidR="00176B09" w:rsidRPr="00813D19">
        <w:rPr>
          <w:lang w:val="en-US"/>
        </w:rPr>
        <w:t>,</w:t>
      </w:r>
      <w:r w:rsidR="000D675F" w:rsidRPr="00813D19">
        <w:rPr>
          <w:lang w:val="en-US"/>
        </w:rPr>
        <w:t xml:space="preserve"> but only to present them to the Committee or </w:t>
      </w:r>
      <w:r w:rsidR="00781F91" w:rsidRPr="00813D19">
        <w:rPr>
          <w:lang w:val="en-US"/>
        </w:rPr>
        <w:t xml:space="preserve">to </w:t>
      </w:r>
      <w:r w:rsidR="000D675F" w:rsidRPr="00813D19">
        <w:rPr>
          <w:lang w:val="en-US"/>
        </w:rPr>
        <w:t>the General Assembly. In that sense</w:t>
      </w:r>
      <w:r w:rsidR="00176B09" w:rsidRPr="00813D19">
        <w:rPr>
          <w:lang w:val="en-US"/>
        </w:rPr>
        <w:t xml:space="preserve">, the Secretary took </w:t>
      </w:r>
      <w:r w:rsidR="000D675F" w:rsidRPr="00813D19">
        <w:rPr>
          <w:lang w:val="en-US"/>
        </w:rPr>
        <w:t xml:space="preserve">note </w:t>
      </w:r>
      <w:r w:rsidR="00176B09" w:rsidRPr="00813D19">
        <w:rPr>
          <w:lang w:val="en-US"/>
        </w:rPr>
        <w:t xml:space="preserve">of the </w:t>
      </w:r>
      <w:r w:rsidR="000D675F" w:rsidRPr="00813D19">
        <w:rPr>
          <w:lang w:val="en-US"/>
        </w:rPr>
        <w:t>co</w:t>
      </w:r>
      <w:r w:rsidR="00176B09" w:rsidRPr="00813D19">
        <w:rPr>
          <w:lang w:val="en-US"/>
        </w:rPr>
        <w:t xml:space="preserve">mment from China, adding that </w:t>
      </w:r>
      <w:r w:rsidR="000D675F" w:rsidRPr="00813D19">
        <w:rPr>
          <w:lang w:val="en-US"/>
        </w:rPr>
        <w:t xml:space="preserve">once </w:t>
      </w:r>
      <w:r w:rsidR="00176B09" w:rsidRPr="00813D19">
        <w:rPr>
          <w:lang w:val="en-US"/>
        </w:rPr>
        <w:t xml:space="preserve">the meeting is open-ended, all </w:t>
      </w:r>
      <w:r w:rsidR="000D675F" w:rsidRPr="00813D19">
        <w:rPr>
          <w:lang w:val="en-US"/>
        </w:rPr>
        <w:t>State</w:t>
      </w:r>
      <w:r w:rsidR="00176B09" w:rsidRPr="00813D19">
        <w:rPr>
          <w:lang w:val="en-US"/>
        </w:rPr>
        <w:t>s Parties</w:t>
      </w:r>
      <w:r w:rsidR="000D675F" w:rsidRPr="00813D19">
        <w:rPr>
          <w:lang w:val="en-US"/>
        </w:rPr>
        <w:t xml:space="preserve"> may attend </w:t>
      </w:r>
      <w:r w:rsidR="00176B09" w:rsidRPr="00813D19">
        <w:rPr>
          <w:lang w:val="en-US"/>
        </w:rPr>
        <w:t xml:space="preserve">any </w:t>
      </w:r>
      <w:r w:rsidR="000D675F" w:rsidRPr="00813D19">
        <w:rPr>
          <w:lang w:val="en-US"/>
        </w:rPr>
        <w:t>meetings that this group organize</w:t>
      </w:r>
      <w:r w:rsidR="00176B09" w:rsidRPr="00813D19">
        <w:rPr>
          <w:lang w:val="en-US"/>
        </w:rPr>
        <w:t>d</w:t>
      </w:r>
      <w:r w:rsidR="00F745F1">
        <w:rPr>
          <w:lang w:val="en-US"/>
        </w:rPr>
        <w:t>.</w:t>
      </w:r>
    </w:p>
    <w:p w14:paraId="25C4E6E9" w14:textId="0E4EE5B9" w:rsidR="003E53E8" w:rsidRPr="00813D19" w:rsidRDefault="00176B09" w:rsidP="000B62DA">
      <w:pPr>
        <w:pStyle w:val="Orateurengris"/>
        <w:spacing w:before="120"/>
        <w:ind w:left="709" w:hanging="709"/>
        <w:rPr>
          <w:lang w:val="en-US"/>
        </w:rPr>
      </w:pPr>
      <w:r w:rsidRPr="00813D19">
        <w:rPr>
          <w:lang w:val="en-US"/>
        </w:rPr>
        <w:t>Addressing the concerns of the Netherlands, t</w:t>
      </w:r>
      <w:r w:rsidR="003E53E8" w:rsidRPr="00813D19">
        <w:rPr>
          <w:lang w:val="en-US"/>
        </w:rPr>
        <w:t xml:space="preserve">he </w:t>
      </w:r>
      <w:r w:rsidR="003E53E8" w:rsidRPr="00813D19">
        <w:rPr>
          <w:b/>
          <w:lang w:val="en-US"/>
        </w:rPr>
        <w:t>delegation of Palestine</w:t>
      </w:r>
      <w:r w:rsidR="000D675F" w:rsidRPr="00813D19">
        <w:rPr>
          <w:b/>
          <w:lang w:val="en-US"/>
        </w:rPr>
        <w:t xml:space="preserve"> </w:t>
      </w:r>
      <w:r w:rsidRPr="00813D19">
        <w:rPr>
          <w:lang w:val="en-US"/>
        </w:rPr>
        <w:t>explained</w:t>
      </w:r>
      <w:r w:rsidRPr="00813D19">
        <w:rPr>
          <w:b/>
          <w:lang w:val="en-US"/>
        </w:rPr>
        <w:t xml:space="preserve"> </w:t>
      </w:r>
      <w:r w:rsidR="00322053" w:rsidRPr="00813D19">
        <w:rPr>
          <w:lang w:val="en-US"/>
        </w:rPr>
        <w:t>that the Committee</w:t>
      </w:r>
      <w:r w:rsidR="00322053" w:rsidRPr="00813D19">
        <w:rPr>
          <w:b/>
          <w:lang w:val="en-US"/>
        </w:rPr>
        <w:t xml:space="preserve"> </w:t>
      </w:r>
      <w:r w:rsidR="003A7D6C">
        <w:rPr>
          <w:lang w:val="en-US"/>
        </w:rPr>
        <w:t xml:space="preserve">would </w:t>
      </w:r>
      <w:r w:rsidR="00322053" w:rsidRPr="00813D19">
        <w:rPr>
          <w:lang w:val="en-US"/>
        </w:rPr>
        <w:t xml:space="preserve">indeed </w:t>
      </w:r>
      <w:r w:rsidR="000D675F" w:rsidRPr="00813D19">
        <w:rPr>
          <w:lang w:val="en-US"/>
        </w:rPr>
        <w:t xml:space="preserve">continue </w:t>
      </w:r>
      <w:r w:rsidR="00322053" w:rsidRPr="00813D19">
        <w:rPr>
          <w:lang w:val="en-US"/>
        </w:rPr>
        <w:t xml:space="preserve">its </w:t>
      </w:r>
      <w:r w:rsidR="000D675F" w:rsidRPr="00813D19">
        <w:rPr>
          <w:lang w:val="en-US"/>
        </w:rPr>
        <w:t>reflection</w:t>
      </w:r>
      <w:r w:rsidR="00322053" w:rsidRPr="00813D19">
        <w:rPr>
          <w:lang w:val="en-US"/>
        </w:rPr>
        <w:t>,</w:t>
      </w:r>
      <w:r w:rsidR="000D675F" w:rsidRPr="00813D19">
        <w:rPr>
          <w:lang w:val="en-US"/>
        </w:rPr>
        <w:t xml:space="preserve"> but at this stage </w:t>
      </w:r>
      <w:r w:rsidR="00322053" w:rsidRPr="00813D19">
        <w:rPr>
          <w:lang w:val="en-US"/>
        </w:rPr>
        <w:t>it had adopted an experimental mechanism</w:t>
      </w:r>
      <w:r w:rsidR="00D91578" w:rsidRPr="00813D19">
        <w:rPr>
          <w:lang w:val="en-US"/>
        </w:rPr>
        <w:t xml:space="preserve"> </w:t>
      </w:r>
      <w:r w:rsidR="000D675F" w:rsidRPr="00813D19">
        <w:rPr>
          <w:lang w:val="en-US"/>
        </w:rPr>
        <w:t xml:space="preserve">so the reflection </w:t>
      </w:r>
      <w:r w:rsidR="005A28B0" w:rsidRPr="00813D19">
        <w:rPr>
          <w:lang w:val="en-US"/>
        </w:rPr>
        <w:t>would</w:t>
      </w:r>
      <w:r w:rsidR="000D675F" w:rsidRPr="00813D19">
        <w:rPr>
          <w:lang w:val="en-US"/>
        </w:rPr>
        <w:t xml:space="preserve"> continue after</w:t>
      </w:r>
      <w:r w:rsidR="005A28B0" w:rsidRPr="00813D19">
        <w:rPr>
          <w:lang w:val="en-US"/>
        </w:rPr>
        <w:t xml:space="preserve"> having experimented with this phase, </w:t>
      </w:r>
      <w:r w:rsidR="000D675F" w:rsidRPr="00813D19">
        <w:rPr>
          <w:lang w:val="en-US"/>
        </w:rPr>
        <w:t>following the results</w:t>
      </w:r>
      <w:r w:rsidR="005A28B0" w:rsidRPr="00813D19">
        <w:rPr>
          <w:lang w:val="en-US"/>
        </w:rPr>
        <w:t>,</w:t>
      </w:r>
      <w:r w:rsidR="000D675F" w:rsidRPr="00813D19">
        <w:rPr>
          <w:lang w:val="en-US"/>
        </w:rPr>
        <w:t xml:space="preserve"> whether </w:t>
      </w:r>
      <w:r w:rsidR="00D91578" w:rsidRPr="00813D19">
        <w:rPr>
          <w:lang w:val="en-US"/>
        </w:rPr>
        <w:t xml:space="preserve">successful </w:t>
      </w:r>
      <w:r w:rsidR="005A28B0" w:rsidRPr="00813D19">
        <w:rPr>
          <w:lang w:val="en-US"/>
        </w:rPr>
        <w:t xml:space="preserve">and </w:t>
      </w:r>
      <w:r w:rsidR="00D91578" w:rsidRPr="00813D19">
        <w:rPr>
          <w:lang w:val="en-US"/>
        </w:rPr>
        <w:t xml:space="preserve">useful or </w:t>
      </w:r>
      <w:r w:rsidR="000D675F" w:rsidRPr="00813D19">
        <w:rPr>
          <w:lang w:val="en-US"/>
        </w:rPr>
        <w:t xml:space="preserve">not. </w:t>
      </w:r>
      <w:r w:rsidR="00D91578" w:rsidRPr="00813D19">
        <w:rPr>
          <w:lang w:val="en-US"/>
        </w:rPr>
        <w:t xml:space="preserve">The delegation agreed with the Secretariat that this was an informal working group, but that this exchange was actually </w:t>
      </w:r>
      <w:r w:rsidR="000D675F" w:rsidRPr="00813D19">
        <w:rPr>
          <w:lang w:val="en-US"/>
        </w:rPr>
        <w:t xml:space="preserve">a form of reflection on the implementation </w:t>
      </w:r>
      <w:r w:rsidR="00D91578" w:rsidRPr="00813D19">
        <w:rPr>
          <w:lang w:val="en-US"/>
        </w:rPr>
        <w:t xml:space="preserve">of </w:t>
      </w:r>
      <w:r w:rsidR="000D675F" w:rsidRPr="00813D19">
        <w:rPr>
          <w:lang w:val="en-US"/>
        </w:rPr>
        <w:t>the mechanism itself</w:t>
      </w:r>
      <w:r w:rsidR="003A7D6C">
        <w:rPr>
          <w:lang w:val="en-US"/>
        </w:rPr>
        <w:t>,</w:t>
      </w:r>
      <w:r w:rsidR="00D91578" w:rsidRPr="00813D19">
        <w:rPr>
          <w:lang w:val="en-US"/>
        </w:rPr>
        <w:t xml:space="preserve"> hence t</w:t>
      </w:r>
      <w:r w:rsidR="005A28B0" w:rsidRPr="00813D19">
        <w:rPr>
          <w:lang w:val="en-US"/>
        </w:rPr>
        <w:t>he latter part of the paragraph,</w:t>
      </w:r>
      <w:r w:rsidR="00D91578" w:rsidRPr="00813D19">
        <w:rPr>
          <w:lang w:val="en-US"/>
        </w:rPr>
        <w:t xml:space="preserve"> which read ‘</w:t>
      </w:r>
      <w:r w:rsidR="000D675F" w:rsidRPr="00813D19">
        <w:rPr>
          <w:lang w:val="en-US"/>
        </w:rPr>
        <w:t>any other issues to facilitate the work for the Committee</w:t>
      </w:r>
      <w:r w:rsidR="00D91578" w:rsidRPr="00813D19">
        <w:rPr>
          <w:lang w:val="en-US"/>
        </w:rPr>
        <w:t>’</w:t>
      </w:r>
      <w:r w:rsidR="00F745F1">
        <w:rPr>
          <w:lang w:val="en-US"/>
        </w:rPr>
        <w:t>.</w:t>
      </w:r>
    </w:p>
    <w:p w14:paraId="753ADDBD" w14:textId="2A1FCB47" w:rsidR="00421219" w:rsidRPr="00813D19" w:rsidRDefault="00D91578" w:rsidP="009E019C">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F77021" w:rsidRPr="00813D19">
        <w:rPr>
          <w:lang w:val="en-US"/>
        </w:rPr>
        <w:t xml:space="preserve">noted that </w:t>
      </w:r>
      <w:r w:rsidRPr="00813D19">
        <w:rPr>
          <w:lang w:val="en-US"/>
        </w:rPr>
        <w:t xml:space="preserve">China and the Netherlands </w:t>
      </w:r>
      <w:r w:rsidR="00F77021" w:rsidRPr="00813D19">
        <w:rPr>
          <w:lang w:val="en-US"/>
        </w:rPr>
        <w:t xml:space="preserve">were </w:t>
      </w:r>
      <w:r w:rsidRPr="00813D19">
        <w:rPr>
          <w:lang w:val="en-US"/>
        </w:rPr>
        <w:t>reassured with the explanation</w:t>
      </w:r>
      <w:r w:rsidR="00F77021" w:rsidRPr="00813D19">
        <w:rPr>
          <w:lang w:val="en-US"/>
        </w:rPr>
        <w:t xml:space="preserve">, turning </w:t>
      </w:r>
      <w:r w:rsidRPr="00813D19">
        <w:rPr>
          <w:lang w:val="en-US"/>
        </w:rPr>
        <w:t xml:space="preserve">to paragraph 7 as </w:t>
      </w:r>
      <w:r w:rsidR="00F77021" w:rsidRPr="00813D19">
        <w:rPr>
          <w:lang w:val="en-US"/>
        </w:rPr>
        <w:t xml:space="preserve">amended, which was duly adopted. Paragraph </w:t>
      </w:r>
      <w:r w:rsidR="005A28B0" w:rsidRPr="00813D19">
        <w:rPr>
          <w:lang w:val="en-US"/>
        </w:rPr>
        <w:t xml:space="preserve">8 </w:t>
      </w:r>
      <w:r w:rsidR="00F77021" w:rsidRPr="00813D19">
        <w:rPr>
          <w:lang w:val="en-US"/>
        </w:rPr>
        <w:t xml:space="preserve">was also </w:t>
      </w:r>
      <w:r w:rsidR="009E019C" w:rsidRPr="00813D19">
        <w:rPr>
          <w:lang w:val="en-US"/>
        </w:rPr>
        <w:t xml:space="preserve">pronounced </w:t>
      </w:r>
      <w:r w:rsidR="00F77021" w:rsidRPr="00813D19">
        <w:rPr>
          <w:lang w:val="en-US"/>
        </w:rPr>
        <w:t xml:space="preserve">adopted. Turning to the adoption of the </w:t>
      </w:r>
      <w:r w:rsidR="00B532D1">
        <w:rPr>
          <w:lang w:val="en-US"/>
        </w:rPr>
        <w:t>decision</w:t>
      </w:r>
      <w:r w:rsidR="00B532D1" w:rsidRPr="00813D19">
        <w:rPr>
          <w:lang w:val="en-US"/>
        </w:rPr>
        <w:t xml:space="preserve"> </w:t>
      </w:r>
      <w:r w:rsidR="00F77021" w:rsidRPr="00813D19">
        <w:rPr>
          <w:lang w:val="en-US"/>
        </w:rPr>
        <w:t xml:space="preserve">as a whole, the </w:t>
      </w:r>
      <w:r w:rsidR="00CF3CA9" w:rsidRPr="00813D19">
        <w:rPr>
          <w:b/>
          <w:lang w:val="en-US"/>
        </w:rPr>
        <w:t>Chairperson declared Decision 13.COM 16 adopted</w:t>
      </w:r>
      <w:r w:rsidR="00CF3CA9" w:rsidRPr="00F745F1">
        <w:rPr>
          <w:bCs/>
          <w:lang w:val="en-US"/>
        </w:rPr>
        <w:t>.</w:t>
      </w:r>
    </w:p>
    <w:p w14:paraId="394D9341" w14:textId="3B751A52" w:rsidR="00421219" w:rsidRPr="00813D19" w:rsidRDefault="00421219" w:rsidP="00F745F1">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14 OF THE AGENDA </w:t>
      </w:r>
      <w:r w:rsidR="00153115" w:rsidRPr="00813D19">
        <w:rPr>
          <w:b/>
          <w:color w:val="000000" w:themeColor="text1"/>
          <w:u w:val="single"/>
          <w:lang w:val="en-US"/>
        </w:rPr>
        <w:t>[CONT.]</w:t>
      </w:r>
    </w:p>
    <w:p w14:paraId="7016E965" w14:textId="77777777" w:rsidR="00421219" w:rsidRPr="00813D19" w:rsidRDefault="00421219" w:rsidP="00F745F1">
      <w:pPr>
        <w:pStyle w:val="Orateurengris"/>
        <w:numPr>
          <w:ilvl w:val="0"/>
          <w:numId w:val="0"/>
        </w:numPr>
        <w:spacing w:after="240"/>
        <w:jc w:val="left"/>
        <w:outlineLvl w:val="1"/>
        <w:rPr>
          <w:b/>
          <w:color w:val="000000" w:themeColor="text1"/>
          <w:lang w:val="en-US"/>
        </w:rPr>
      </w:pPr>
      <w:r w:rsidRPr="00813D19">
        <w:rPr>
          <w:b/>
          <w:color w:val="000000" w:themeColor="text1"/>
          <w:lang w:val="en-US"/>
        </w:rPr>
        <w:t>ESTABLISHMENT OF THE EVALUATION BODY FOR THE 2019 CYCLE</w:t>
      </w:r>
    </w:p>
    <w:p w14:paraId="7A5A0EA7" w14:textId="6FFCC56D" w:rsidR="00C232E7" w:rsidRPr="00813D19" w:rsidRDefault="00153115" w:rsidP="009E019C">
      <w:pPr>
        <w:pStyle w:val="Orateurengris"/>
        <w:spacing w:after="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returned to agenda item 14 and the </w:t>
      </w:r>
      <w:r w:rsidR="00177D87" w:rsidRPr="00813D19">
        <w:rPr>
          <w:lang w:val="en-US"/>
        </w:rPr>
        <w:t>terms of r</w:t>
      </w:r>
      <w:r w:rsidRPr="00813D19">
        <w:rPr>
          <w:lang w:val="en-US"/>
        </w:rPr>
        <w:t xml:space="preserve">eference of the Evaluation Body, </w:t>
      </w:r>
      <w:r w:rsidR="003A7D6C">
        <w:rPr>
          <w:lang w:val="en-US"/>
        </w:rPr>
        <w:t xml:space="preserve">on a </w:t>
      </w:r>
      <w:r w:rsidRPr="00813D19">
        <w:rPr>
          <w:lang w:val="en-US"/>
        </w:rPr>
        <w:t>paragraph-by-paragraph</w:t>
      </w:r>
      <w:r w:rsidR="003A7D6C">
        <w:rPr>
          <w:lang w:val="en-US"/>
        </w:rPr>
        <w:t xml:space="preserve"> basis</w:t>
      </w:r>
      <w:r w:rsidRPr="00813D19">
        <w:rPr>
          <w:lang w:val="en-US"/>
        </w:rPr>
        <w:t xml:space="preserve">. Paragraphs 1–5 were duly adopted. It was noted that the Philippines </w:t>
      </w:r>
      <w:r w:rsidR="00177D87" w:rsidRPr="00813D19">
        <w:rPr>
          <w:lang w:val="en-US"/>
        </w:rPr>
        <w:t xml:space="preserve">had </w:t>
      </w:r>
      <w:r w:rsidR="00F745F1">
        <w:rPr>
          <w:lang w:val="en-US"/>
        </w:rPr>
        <w:t>proposed a</w:t>
      </w:r>
      <w:r w:rsidR="00B532D1">
        <w:rPr>
          <w:lang w:val="en-US"/>
        </w:rPr>
        <w:t>n amendment to</w:t>
      </w:r>
      <w:r w:rsidR="00F745F1">
        <w:rPr>
          <w:lang w:val="en-US"/>
        </w:rPr>
        <w:t xml:space="preserve"> paragraph 6</w:t>
      </w:r>
      <w:r w:rsidR="00B532D1">
        <w:rPr>
          <w:lang w:val="en-US"/>
        </w:rPr>
        <w:t xml:space="preserve"> of the Terms of reference</w:t>
      </w:r>
      <w:r w:rsidR="00F745F1">
        <w:rPr>
          <w:lang w:val="en-US"/>
        </w:rPr>
        <w:t>.</w:t>
      </w:r>
    </w:p>
    <w:p w14:paraId="3FCC2EB5" w14:textId="22C5BAEA" w:rsidR="00C232E7" w:rsidRPr="00813D19" w:rsidRDefault="00C232E7" w:rsidP="00C232E7">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the Philippines</w:t>
      </w:r>
      <w:r w:rsidRPr="00813D19">
        <w:rPr>
          <w:color w:val="000000" w:themeColor="text1"/>
          <w:lang w:val="en-US"/>
        </w:rPr>
        <w:t xml:space="preserve"> proposed a new paragraph 6, </w:t>
      </w:r>
      <w:r w:rsidR="00153115" w:rsidRPr="00813D19">
        <w:rPr>
          <w:color w:val="000000" w:themeColor="text1"/>
          <w:lang w:val="en-US"/>
        </w:rPr>
        <w:t xml:space="preserve">which would read, </w:t>
      </w:r>
      <w:r w:rsidRPr="00813D19">
        <w:rPr>
          <w:color w:val="000000" w:themeColor="text1"/>
          <w:lang w:val="en-US"/>
        </w:rPr>
        <w:t>‘Shall conduct a provisional dialogue with submitting States Parties during the evaluation process in accordance with Decision 13.COM 10 and 7.GA 6’.</w:t>
      </w:r>
    </w:p>
    <w:p w14:paraId="64BC68E6" w14:textId="553A92B3" w:rsidR="00C232E7" w:rsidRPr="00813D19" w:rsidRDefault="00153115" w:rsidP="00C232E7">
      <w:pPr>
        <w:pStyle w:val="Orateurengris"/>
        <w:spacing w:before="120"/>
        <w:ind w:left="709" w:hanging="709"/>
        <w:rPr>
          <w:color w:val="000000" w:themeColor="text1"/>
          <w:lang w:val="en-US"/>
        </w:rPr>
      </w:pPr>
      <w:r w:rsidRPr="00813D19">
        <w:rPr>
          <w:b/>
          <w:color w:val="000000" w:themeColor="text1"/>
          <w:lang w:val="en-US"/>
        </w:rPr>
        <w:t>Ms Fumiko Ohinata</w:t>
      </w:r>
      <w:r w:rsidRPr="00813D19">
        <w:rPr>
          <w:color w:val="000000" w:themeColor="text1"/>
          <w:lang w:val="en-US"/>
        </w:rPr>
        <w:t xml:space="preserve"> of the </w:t>
      </w:r>
      <w:r w:rsidR="00C232E7" w:rsidRPr="00813D19">
        <w:rPr>
          <w:b/>
          <w:color w:val="000000" w:themeColor="text1"/>
          <w:lang w:val="en-US"/>
        </w:rPr>
        <w:t>Secretariat</w:t>
      </w:r>
      <w:r w:rsidR="00C232E7" w:rsidRPr="00813D19">
        <w:rPr>
          <w:color w:val="000000" w:themeColor="text1"/>
          <w:lang w:val="en-US"/>
        </w:rPr>
        <w:t xml:space="preserve"> </w:t>
      </w:r>
      <w:r w:rsidRPr="00813D19">
        <w:rPr>
          <w:lang w:val="en-US"/>
        </w:rPr>
        <w:t>understood</w:t>
      </w:r>
      <w:r w:rsidR="000D675F" w:rsidRPr="00813D19">
        <w:rPr>
          <w:lang w:val="en-US"/>
        </w:rPr>
        <w:t xml:space="preserve"> that </w:t>
      </w:r>
      <w:r w:rsidRPr="00813D19">
        <w:rPr>
          <w:lang w:val="en-US"/>
        </w:rPr>
        <w:t xml:space="preserve">the </w:t>
      </w:r>
      <w:r w:rsidR="006454F5" w:rsidRPr="00813D19">
        <w:rPr>
          <w:lang w:val="en-US"/>
        </w:rPr>
        <w:t xml:space="preserve">proposal </w:t>
      </w:r>
      <w:r w:rsidRPr="00813D19">
        <w:rPr>
          <w:lang w:val="en-US"/>
        </w:rPr>
        <w:t xml:space="preserve">was </w:t>
      </w:r>
      <w:r w:rsidR="006454F5" w:rsidRPr="00813D19">
        <w:rPr>
          <w:lang w:val="en-US"/>
        </w:rPr>
        <w:t>‘</w:t>
      </w:r>
      <w:r w:rsidR="000D675F" w:rsidRPr="00813D19">
        <w:rPr>
          <w:lang w:val="en-US"/>
        </w:rPr>
        <w:t>on an experimental basis</w:t>
      </w:r>
      <w:r w:rsidR="006454F5" w:rsidRPr="00813D19">
        <w:rPr>
          <w:lang w:val="en-US"/>
        </w:rPr>
        <w:t>’</w:t>
      </w:r>
      <w:r w:rsidR="000D675F" w:rsidRPr="00813D19">
        <w:rPr>
          <w:lang w:val="en-US"/>
        </w:rPr>
        <w:t xml:space="preserve"> and </w:t>
      </w:r>
      <w:r w:rsidR="00177D87" w:rsidRPr="00813D19">
        <w:rPr>
          <w:lang w:val="en-US"/>
        </w:rPr>
        <w:t xml:space="preserve">wondered </w:t>
      </w:r>
      <w:r w:rsidR="006454F5" w:rsidRPr="00813D19">
        <w:rPr>
          <w:lang w:val="en-US"/>
        </w:rPr>
        <w:t xml:space="preserve">whether this aspect could be reflected </w:t>
      </w:r>
      <w:r w:rsidR="00F745F1">
        <w:rPr>
          <w:lang w:val="en-US"/>
        </w:rPr>
        <w:t>in the decision.</w:t>
      </w:r>
    </w:p>
    <w:p w14:paraId="3CABBFC5" w14:textId="24328958" w:rsidR="00C232E7" w:rsidRPr="00813D19" w:rsidRDefault="00C232E7" w:rsidP="00C232E7">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0D675F" w:rsidRPr="00813D19">
        <w:rPr>
          <w:b/>
          <w:color w:val="000000" w:themeColor="text1"/>
          <w:lang w:val="en-US"/>
        </w:rPr>
        <w:t xml:space="preserve"> </w:t>
      </w:r>
      <w:r w:rsidR="006454F5" w:rsidRPr="00813D19">
        <w:rPr>
          <w:color w:val="000000" w:themeColor="text1"/>
          <w:lang w:val="en-US"/>
        </w:rPr>
        <w:t>agreed to th</w:t>
      </w:r>
      <w:r w:rsidR="00F745F1">
        <w:rPr>
          <w:color w:val="000000" w:themeColor="text1"/>
          <w:lang w:val="en-US"/>
        </w:rPr>
        <w:t>e amendment by the Secretariat.</w:t>
      </w:r>
    </w:p>
    <w:p w14:paraId="1A0C5AAE" w14:textId="50A45FF1" w:rsidR="00C232E7" w:rsidRPr="00813D19" w:rsidRDefault="00F71550" w:rsidP="00C232E7">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Austria</w:t>
      </w:r>
      <w:r w:rsidR="000D675F" w:rsidRPr="00813D19">
        <w:rPr>
          <w:b/>
          <w:color w:val="000000" w:themeColor="text1"/>
          <w:lang w:val="en-US"/>
        </w:rPr>
        <w:t xml:space="preserve"> </w:t>
      </w:r>
      <w:r w:rsidR="006454F5" w:rsidRPr="00813D19">
        <w:rPr>
          <w:color w:val="000000" w:themeColor="text1"/>
          <w:lang w:val="en-US"/>
        </w:rPr>
        <w:t>did not oppose the</w:t>
      </w:r>
      <w:r w:rsidR="006454F5" w:rsidRPr="00813D19">
        <w:rPr>
          <w:b/>
          <w:color w:val="000000" w:themeColor="text1"/>
          <w:lang w:val="en-US"/>
        </w:rPr>
        <w:t xml:space="preserve"> </w:t>
      </w:r>
      <w:r w:rsidR="006454F5" w:rsidRPr="00813D19">
        <w:rPr>
          <w:color w:val="000000" w:themeColor="text1"/>
          <w:lang w:val="en-US"/>
        </w:rPr>
        <w:t xml:space="preserve">amendment, but regretted that </w:t>
      </w:r>
      <w:r w:rsidR="000D675F" w:rsidRPr="00813D19">
        <w:rPr>
          <w:lang w:val="en-US"/>
        </w:rPr>
        <w:t xml:space="preserve">the Legal Adviser </w:t>
      </w:r>
      <w:r w:rsidR="003A7D6C">
        <w:rPr>
          <w:lang w:val="en-US"/>
        </w:rPr>
        <w:t>had</w:t>
      </w:r>
      <w:r w:rsidR="003A7D6C" w:rsidRPr="00813D19">
        <w:rPr>
          <w:lang w:val="en-US"/>
        </w:rPr>
        <w:t xml:space="preserve"> </w:t>
      </w:r>
      <w:r w:rsidR="000D675F" w:rsidRPr="00813D19">
        <w:rPr>
          <w:lang w:val="en-US"/>
        </w:rPr>
        <w:t xml:space="preserve">not </w:t>
      </w:r>
      <w:r w:rsidR="003A7D6C">
        <w:rPr>
          <w:lang w:val="en-US"/>
        </w:rPr>
        <w:t xml:space="preserve">been </w:t>
      </w:r>
      <w:r w:rsidR="000D675F" w:rsidRPr="00813D19">
        <w:rPr>
          <w:lang w:val="en-US"/>
        </w:rPr>
        <w:t xml:space="preserve">consulted on </w:t>
      </w:r>
      <w:r w:rsidR="006454F5" w:rsidRPr="00813D19">
        <w:rPr>
          <w:lang w:val="en-US"/>
        </w:rPr>
        <w:t xml:space="preserve">these </w:t>
      </w:r>
      <w:r w:rsidR="000D675F" w:rsidRPr="00813D19">
        <w:rPr>
          <w:lang w:val="en-US"/>
        </w:rPr>
        <w:t>overall decision</w:t>
      </w:r>
      <w:r w:rsidR="006454F5" w:rsidRPr="00813D19">
        <w:rPr>
          <w:lang w:val="en-US"/>
        </w:rPr>
        <w:t>s, as mentioned by the Netherlands.</w:t>
      </w:r>
    </w:p>
    <w:p w14:paraId="412F09ED" w14:textId="4D7637DA" w:rsidR="00A51B13" w:rsidRPr="00813D19" w:rsidRDefault="006454F5" w:rsidP="00C232E7">
      <w:pPr>
        <w:pStyle w:val="Orateurengris"/>
        <w:spacing w:before="120"/>
        <w:ind w:left="709" w:hanging="709"/>
        <w:rPr>
          <w:color w:val="000000" w:themeColor="text1"/>
          <w:lang w:val="en-US"/>
        </w:rPr>
      </w:pPr>
      <w:r w:rsidRPr="00813D19">
        <w:rPr>
          <w:color w:val="000000" w:themeColor="text1"/>
          <w:lang w:val="en-US"/>
        </w:rPr>
        <w:t>With no further comments, t</w:t>
      </w:r>
      <w:r w:rsidR="00AE22E9" w:rsidRPr="00813D19">
        <w:rPr>
          <w:color w:val="000000" w:themeColor="text1"/>
          <w:lang w:val="en-US"/>
        </w:rPr>
        <w:t xml:space="preserve">he </w:t>
      </w:r>
      <w:r w:rsidR="00AE22E9" w:rsidRPr="00813D19">
        <w:rPr>
          <w:b/>
          <w:color w:val="000000" w:themeColor="text1"/>
          <w:lang w:val="en-US"/>
        </w:rPr>
        <w:t>Chairperson</w:t>
      </w:r>
      <w:r w:rsidR="00AE22E9" w:rsidRPr="00813D19">
        <w:rPr>
          <w:color w:val="000000" w:themeColor="text1"/>
          <w:lang w:val="en-US"/>
        </w:rPr>
        <w:t xml:space="preserve"> pronounced the new paragraph 6 adopted. Paragrap</w:t>
      </w:r>
      <w:r w:rsidRPr="00813D19">
        <w:rPr>
          <w:color w:val="000000" w:themeColor="text1"/>
          <w:lang w:val="en-US"/>
        </w:rPr>
        <w:t>h 7 [previously paragraph 6], and the last paragraph [not numbered]</w:t>
      </w:r>
      <w:r w:rsidR="00A51B13" w:rsidRPr="00813D19">
        <w:rPr>
          <w:color w:val="000000" w:themeColor="text1"/>
          <w:lang w:val="en-US"/>
        </w:rPr>
        <w:t xml:space="preserve"> </w:t>
      </w:r>
      <w:r w:rsidR="003A7D6C" w:rsidRPr="00813D19">
        <w:rPr>
          <w:color w:val="000000" w:themeColor="text1"/>
          <w:lang w:val="en-US"/>
        </w:rPr>
        <w:t>w</w:t>
      </w:r>
      <w:r w:rsidR="003A7D6C">
        <w:rPr>
          <w:color w:val="000000" w:themeColor="text1"/>
          <w:lang w:val="en-US"/>
        </w:rPr>
        <w:t>ere</w:t>
      </w:r>
      <w:r w:rsidR="003A7D6C" w:rsidRPr="00813D19">
        <w:rPr>
          <w:color w:val="000000" w:themeColor="text1"/>
          <w:lang w:val="en-US"/>
        </w:rPr>
        <w:t xml:space="preserve"> </w:t>
      </w:r>
      <w:r w:rsidRPr="00813D19">
        <w:rPr>
          <w:color w:val="000000" w:themeColor="text1"/>
          <w:lang w:val="en-US"/>
        </w:rPr>
        <w:t xml:space="preserve">also duly </w:t>
      </w:r>
      <w:r w:rsidR="00AE22E9" w:rsidRPr="00813D19">
        <w:rPr>
          <w:color w:val="000000" w:themeColor="text1"/>
          <w:lang w:val="en-US"/>
        </w:rPr>
        <w:t xml:space="preserve">adopted. The </w:t>
      </w:r>
      <w:r w:rsidR="00512081" w:rsidRPr="00813D19">
        <w:rPr>
          <w:color w:val="000000" w:themeColor="text1"/>
          <w:lang w:val="en-US"/>
        </w:rPr>
        <w:t>terms of r</w:t>
      </w:r>
      <w:r w:rsidR="00A51B13" w:rsidRPr="00813D19">
        <w:rPr>
          <w:color w:val="000000" w:themeColor="text1"/>
          <w:lang w:val="en-US"/>
        </w:rPr>
        <w:t xml:space="preserve">eference </w:t>
      </w:r>
      <w:r w:rsidR="00512081" w:rsidRPr="00813D19">
        <w:rPr>
          <w:color w:val="000000" w:themeColor="text1"/>
          <w:lang w:val="en-US"/>
        </w:rPr>
        <w:t xml:space="preserve">were </w:t>
      </w:r>
      <w:r w:rsidRPr="00813D19">
        <w:rPr>
          <w:color w:val="000000" w:themeColor="text1"/>
          <w:lang w:val="en-US"/>
        </w:rPr>
        <w:t xml:space="preserve">thus </w:t>
      </w:r>
      <w:r w:rsidR="00A51B13" w:rsidRPr="00813D19">
        <w:rPr>
          <w:color w:val="000000" w:themeColor="text1"/>
          <w:lang w:val="en-US"/>
        </w:rPr>
        <w:t>adopted.</w:t>
      </w:r>
    </w:p>
    <w:p w14:paraId="2FC6F52E" w14:textId="747885BD" w:rsidR="00B46634" w:rsidRPr="00813D19" w:rsidRDefault="00A51B13" w:rsidP="00B46634">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Palestine </w:t>
      </w:r>
      <w:r w:rsidR="006454F5" w:rsidRPr="00813D19">
        <w:rPr>
          <w:lang w:val="en-US"/>
        </w:rPr>
        <w:t xml:space="preserve">had a </w:t>
      </w:r>
      <w:r w:rsidR="000D675F" w:rsidRPr="00813D19">
        <w:rPr>
          <w:lang w:val="en-US"/>
        </w:rPr>
        <w:t xml:space="preserve">small remark </w:t>
      </w:r>
      <w:r w:rsidR="006454F5" w:rsidRPr="00813D19">
        <w:rPr>
          <w:lang w:val="en-US"/>
        </w:rPr>
        <w:t xml:space="preserve">concerning </w:t>
      </w:r>
      <w:r w:rsidR="000D675F" w:rsidRPr="00813D19">
        <w:rPr>
          <w:lang w:val="en-US"/>
        </w:rPr>
        <w:t xml:space="preserve">the Evaluation Body and </w:t>
      </w:r>
      <w:r w:rsidR="006454F5" w:rsidRPr="00813D19">
        <w:rPr>
          <w:lang w:val="en-US"/>
        </w:rPr>
        <w:t>its t</w:t>
      </w:r>
      <w:r w:rsidR="000D675F" w:rsidRPr="00813D19">
        <w:rPr>
          <w:lang w:val="en-US"/>
        </w:rPr>
        <w:t>e</w:t>
      </w:r>
      <w:r w:rsidR="006454F5" w:rsidRPr="00813D19">
        <w:rPr>
          <w:lang w:val="en-US"/>
        </w:rPr>
        <w:t>rms of r</w:t>
      </w:r>
      <w:r w:rsidR="000D675F" w:rsidRPr="00813D19">
        <w:rPr>
          <w:lang w:val="en-US"/>
        </w:rPr>
        <w:t>eference</w:t>
      </w:r>
      <w:r w:rsidR="006454F5" w:rsidRPr="00813D19">
        <w:rPr>
          <w:lang w:val="en-US"/>
        </w:rPr>
        <w:t xml:space="preserve">, explaining that it had been </w:t>
      </w:r>
      <w:r w:rsidR="000D675F" w:rsidRPr="00813D19">
        <w:rPr>
          <w:lang w:val="en-US"/>
        </w:rPr>
        <w:t>composed</w:t>
      </w:r>
      <w:r w:rsidR="003A7D6C">
        <w:rPr>
          <w:lang w:val="en-US"/>
        </w:rPr>
        <w:t>,</w:t>
      </w:r>
      <w:r w:rsidR="000D675F" w:rsidRPr="00813D19">
        <w:rPr>
          <w:lang w:val="en-US"/>
        </w:rPr>
        <w:t xml:space="preserve"> on an experimental basis</w:t>
      </w:r>
      <w:r w:rsidR="003A7D6C">
        <w:rPr>
          <w:lang w:val="en-US"/>
        </w:rPr>
        <w:t>,</w:t>
      </w:r>
      <w:r w:rsidR="000D675F" w:rsidRPr="00813D19">
        <w:rPr>
          <w:lang w:val="en-US"/>
        </w:rPr>
        <w:t xml:space="preserve"> </w:t>
      </w:r>
      <w:r w:rsidR="003A7D6C">
        <w:rPr>
          <w:lang w:val="en-US"/>
        </w:rPr>
        <w:t>of</w:t>
      </w:r>
      <w:r w:rsidR="003A7D6C" w:rsidRPr="00813D19">
        <w:rPr>
          <w:lang w:val="en-US"/>
        </w:rPr>
        <w:t xml:space="preserve"> </w:t>
      </w:r>
      <w:r w:rsidR="003A7D6C">
        <w:rPr>
          <w:lang w:val="en-US"/>
        </w:rPr>
        <w:t>twelve</w:t>
      </w:r>
      <w:r w:rsidR="003A7D6C" w:rsidRPr="00813D19">
        <w:rPr>
          <w:lang w:val="en-US"/>
        </w:rPr>
        <w:t xml:space="preserve"> </w:t>
      </w:r>
      <w:r w:rsidR="006454F5" w:rsidRPr="00813D19">
        <w:rPr>
          <w:lang w:val="en-US"/>
        </w:rPr>
        <w:t xml:space="preserve">members. It was understood from the </w:t>
      </w:r>
      <w:r w:rsidR="000D675F" w:rsidRPr="00813D19">
        <w:rPr>
          <w:lang w:val="en-US"/>
        </w:rPr>
        <w:t xml:space="preserve">procedure that the </w:t>
      </w:r>
      <w:r w:rsidR="003A7D6C">
        <w:rPr>
          <w:lang w:val="en-US"/>
        </w:rPr>
        <w:t>12</w:t>
      </w:r>
      <w:r w:rsidR="003A7D6C" w:rsidRPr="00813D19">
        <w:rPr>
          <w:lang w:val="en-US"/>
        </w:rPr>
        <w:t xml:space="preserve"> </w:t>
      </w:r>
      <w:r w:rsidR="000D675F" w:rsidRPr="00813D19">
        <w:rPr>
          <w:lang w:val="en-US"/>
        </w:rPr>
        <w:t xml:space="preserve">members </w:t>
      </w:r>
      <w:r w:rsidR="006454F5" w:rsidRPr="00813D19">
        <w:rPr>
          <w:lang w:val="en-US"/>
        </w:rPr>
        <w:t xml:space="preserve">had </w:t>
      </w:r>
      <w:r w:rsidR="000D675F" w:rsidRPr="00813D19">
        <w:rPr>
          <w:lang w:val="en-US"/>
        </w:rPr>
        <w:t xml:space="preserve">to </w:t>
      </w:r>
      <w:r w:rsidR="006454F5" w:rsidRPr="00813D19">
        <w:rPr>
          <w:lang w:val="en-US"/>
        </w:rPr>
        <w:t xml:space="preserve">present </w:t>
      </w:r>
      <w:r w:rsidR="000D675F" w:rsidRPr="00813D19">
        <w:rPr>
          <w:lang w:val="en-US"/>
        </w:rPr>
        <w:t>their recommendation</w:t>
      </w:r>
      <w:r w:rsidR="006454F5" w:rsidRPr="00813D19">
        <w:rPr>
          <w:lang w:val="en-US"/>
        </w:rPr>
        <w:t>s</w:t>
      </w:r>
      <w:r w:rsidR="000D675F" w:rsidRPr="00813D19">
        <w:rPr>
          <w:lang w:val="en-US"/>
        </w:rPr>
        <w:t xml:space="preserve"> on </w:t>
      </w:r>
      <w:r w:rsidR="006454F5" w:rsidRPr="00813D19">
        <w:rPr>
          <w:lang w:val="en-US"/>
        </w:rPr>
        <w:t xml:space="preserve">each </w:t>
      </w:r>
      <w:r w:rsidR="000D675F" w:rsidRPr="00813D19">
        <w:rPr>
          <w:lang w:val="en-US"/>
        </w:rPr>
        <w:t>criterion</w:t>
      </w:r>
      <w:r w:rsidR="006454F5" w:rsidRPr="00813D19">
        <w:rPr>
          <w:lang w:val="en-US"/>
        </w:rPr>
        <w:t xml:space="preserve">, i.e. </w:t>
      </w:r>
      <w:r w:rsidR="003A7D6C">
        <w:rPr>
          <w:lang w:val="en-US"/>
        </w:rPr>
        <w:t>5</w:t>
      </w:r>
      <w:r w:rsidR="003A7D6C" w:rsidRPr="00813D19">
        <w:rPr>
          <w:lang w:val="en-US"/>
        </w:rPr>
        <w:t xml:space="preserve"> </w:t>
      </w:r>
      <w:r w:rsidR="000D675F" w:rsidRPr="00813D19">
        <w:rPr>
          <w:lang w:val="en-US"/>
        </w:rPr>
        <w:t xml:space="preserve">criteria </w:t>
      </w:r>
      <w:r w:rsidR="006454F5" w:rsidRPr="00813D19">
        <w:rPr>
          <w:lang w:val="en-US"/>
        </w:rPr>
        <w:t xml:space="preserve">in every file </w:t>
      </w:r>
      <w:r w:rsidR="00813D19" w:rsidRPr="00813D19">
        <w:rPr>
          <w:lang w:val="en-US"/>
        </w:rPr>
        <w:t>multiplied</w:t>
      </w:r>
      <w:r w:rsidR="006454F5" w:rsidRPr="00813D19">
        <w:rPr>
          <w:lang w:val="en-US"/>
        </w:rPr>
        <w:t xml:space="preserve"> by 50 files, equalling </w:t>
      </w:r>
      <w:r w:rsidR="000D675F" w:rsidRPr="00813D19">
        <w:rPr>
          <w:lang w:val="en-US"/>
        </w:rPr>
        <w:t>250</w:t>
      </w:r>
      <w:r w:rsidR="006454F5" w:rsidRPr="00813D19">
        <w:rPr>
          <w:lang w:val="en-US"/>
        </w:rPr>
        <w:t xml:space="preserve"> criteria that had to be </w:t>
      </w:r>
      <w:r w:rsidR="000D675F" w:rsidRPr="00813D19">
        <w:rPr>
          <w:lang w:val="en-US"/>
        </w:rPr>
        <w:t>exa</w:t>
      </w:r>
      <w:r w:rsidR="006454F5" w:rsidRPr="00813D19">
        <w:rPr>
          <w:lang w:val="en-US"/>
        </w:rPr>
        <w:t xml:space="preserve">mined and </w:t>
      </w:r>
      <w:r w:rsidR="000D675F" w:rsidRPr="00813D19">
        <w:rPr>
          <w:lang w:val="en-US"/>
        </w:rPr>
        <w:t xml:space="preserve">a consensus </w:t>
      </w:r>
      <w:r w:rsidR="006454F5" w:rsidRPr="00813D19">
        <w:rPr>
          <w:lang w:val="en-US"/>
        </w:rPr>
        <w:t xml:space="preserve">reached </w:t>
      </w:r>
      <w:r w:rsidR="000D675F" w:rsidRPr="00813D19">
        <w:rPr>
          <w:lang w:val="en-US"/>
        </w:rPr>
        <w:t>on</w:t>
      </w:r>
      <w:r w:rsidR="006454F5" w:rsidRPr="00813D19">
        <w:rPr>
          <w:lang w:val="en-US"/>
        </w:rPr>
        <w:t xml:space="preserve"> each</w:t>
      </w:r>
      <w:r w:rsidR="000D675F" w:rsidRPr="00813D19">
        <w:rPr>
          <w:lang w:val="en-US"/>
        </w:rPr>
        <w:t xml:space="preserve">. </w:t>
      </w:r>
      <w:r w:rsidR="006454F5" w:rsidRPr="00813D19">
        <w:rPr>
          <w:lang w:val="en-US"/>
        </w:rPr>
        <w:t>The delegation added that the inclusion of ‘other issues</w:t>
      </w:r>
      <w:r w:rsidR="000D675F" w:rsidRPr="00813D19">
        <w:rPr>
          <w:lang w:val="en-US"/>
        </w:rPr>
        <w:t xml:space="preserve"> </w:t>
      </w:r>
      <w:r w:rsidR="006454F5" w:rsidRPr="00813D19">
        <w:rPr>
          <w:lang w:val="en-US"/>
        </w:rPr>
        <w:t xml:space="preserve">that </w:t>
      </w:r>
      <w:r w:rsidR="000D675F" w:rsidRPr="00813D19">
        <w:rPr>
          <w:lang w:val="en-US"/>
        </w:rPr>
        <w:t>may facilitate the work of the Committee</w:t>
      </w:r>
      <w:r w:rsidR="006454F5" w:rsidRPr="00813D19">
        <w:rPr>
          <w:lang w:val="en-US"/>
        </w:rPr>
        <w:t>’</w:t>
      </w:r>
      <w:r w:rsidR="000D675F" w:rsidRPr="00813D19">
        <w:rPr>
          <w:lang w:val="en-US"/>
        </w:rPr>
        <w:t xml:space="preserve"> </w:t>
      </w:r>
      <w:r w:rsidR="005B5B9D" w:rsidRPr="00813D19">
        <w:rPr>
          <w:lang w:val="en-US"/>
        </w:rPr>
        <w:t xml:space="preserve">could </w:t>
      </w:r>
      <w:r w:rsidR="00177D87" w:rsidRPr="00813D19">
        <w:rPr>
          <w:lang w:val="en-US"/>
        </w:rPr>
        <w:t>include</w:t>
      </w:r>
      <w:r w:rsidR="005B5B9D" w:rsidRPr="00813D19">
        <w:rPr>
          <w:lang w:val="en-US"/>
        </w:rPr>
        <w:t xml:space="preserve"> </w:t>
      </w:r>
      <w:r w:rsidR="00177D87" w:rsidRPr="00813D19">
        <w:rPr>
          <w:lang w:val="en-US"/>
        </w:rPr>
        <w:t xml:space="preserve">a </w:t>
      </w:r>
      <w:r w:rsidR="000D675F" w:rsidRPr="00813D19">
        <w:rPr>
          <w:lang w:val="en-US"/>
        </w:rPr>
        <w:t>reconsider</w:t>
      </w:r>
      <w:r w:rsidR="00177D87" w:rsidRPr="00813D19">
        <w:rPr>
          <w:lang w:val="en-US"/>
        </w:rPr>
        <w:t xml:space="preserve">ation of </w:t>
      </w:r>
      <w:r w:rsidR="000D675F" w:rsidRPr="00813D19">
        <w:rPr>
          <w:lang w:val="en-US"/>
        </w:rPr>
        <w:t>the comp</w:t>
      </w:r>
      <w:r w:rsidR="00177D87" w:rsidRPr="00813D19">
        <w:rPr>
          <w:lang w:val="en-US"/>
        </w:rPr>
        <w:t xml:space="preserve">osition of the Evaluation Body, </w:t>
      </w:r>
      <w:r w:rsidR="005B5B9D" w:rsidRPr="00813D19">
        <w:rPr>
          <w:lang w:val="en-US"/>
        </w:rPr>
        <w:t xml:space="preserve">perhaps diminishing it in size, which </w:t>
      </w:r>
      <w:r w:rsidR="000D675F" w:rsidRPr="00813D19">
        <w:rPr>
          <w:lang w:val="en-US"/>
        </w:rPr>
        <w:t xml:space="preserve">the working group </w:t>
      </w:r>
      <w:r w:rsidR="005B5B9D" w:rsidRPr="00813D19">
        <w:rPr>
          <w:lang w:val="en-US"/>
        </w:rPr>
        <w:t>could examine</w:t>
      </w:r>
      <w:r w:rsidR="00F745F1">
        <w:rPr>
          <w:lang w:val="en-US"/>
        </w:rPr>
        <w:t>.</w:t>
      </w:r>
    </w:p>
    <w:p w14:paraId="330F8398" w14:textId="0D105E55" w:rsidR="003C0676" w:rsidRPr="00813D19" w:rsidRDefault="00B46634" w:rsidP="00695C04">
      <w:pPr>
        <w:pStyle w:val="Orateurengris"/>
        <w:spacing w:before="120"/>
        <w:ind w:left="709" w:hanging="709"/>
        <w:rPr>
          <w:lang w:val="en-US"/>
        </w:rPr>
      </w:pPr>
      <w:r w:rsidRPr="00813D19">
        <w:rPr>
          <w:color w:val="000000" w:themeColor="text1"/>
          <w:lang w:val="en-US"/>
        </w:rPr>
        <w:t>The</w:t>
      </w:r>
      <w:r w:rsidRPr="00813D19">
        <w:rPr>
          <w:b/>
          <w:color w:val="000000" w:themeColor="text1"/>
          <w:lang w:val="en-US"/>
        </w:rPr>
        <w:t xml:space="preserve"> Chairperson </w:t>
      </w:r>
      <w:r w:rsidR="00CF4EDA" w:rsidRPr="00813D19">
        <w:rPr>
          <w:lang w:val="en-US"/>
        </w:rPr>
        <w:t xml:space="preserve">was </w:t>
      </w:r>
      <w:r w:rsidR="00695C04" w:rsidRPr="00813D19">
        <w:rPr>
          <w:lang w:val="en-US"/>
        </w:rPr>
        <w:t xml:space="preserve">pleased to announce that </w:t>
      </w:r>
      <w:r w:rsidR="00177D87" w:rsidRPr="00813D19">
        <w:rPr>
          <w:lang w:val="en-US"/>
        </w:rPr>
        <w:t xml:space="preserve">the </w:t>
      </w:r>
      <w:r w:rsidR="00CF4EDA" w:rsidRPr="00813D19">
        <w:rPr>
          <w:lang w:val="en-US"/>
        </w:rPr>
        <w:t>ballots had been counted</w:t>
      </w:r>
      <w:r w:rsidR="00695C04" w:rsidRPr="00813D19">
        <w:rPr>
          <w:lang w:val="en-US"/>
        </w:rPr>
        <w:t xml:space="preserve">. Twenty-four Committee Members were present and voted. The following candidates </w:t>
      </w:r>
      <w:r w:rsidR="003C0676" w:rsidRPr="00813D19">
        <w:rPr>
          <w:lang w:val="en-US"/>
        </w:rPr>
        <w:t xml:space="preserve">had </w:t>
      </w:r>
      <w:r w:rsidR="00695C04" w:rsidRPr="00813D19">
        <w:rPr>
          <w:lang w:val="en-US"/>
        </w:rPr>
        <w:t xml:space="preserve">received </w:t>
      </w:r>
      <w:r w:rsidR="003C0676" w:rsidRPr="00813D19">
        <w:rPr>
          <w:lang w:val="en-US"/>
        </w:rPr>
        <w:t>the following votes</w:t>
      </w:r>
      <w:r w:rsidR="00695C04" w:rsidRPr="00813D19">
        <w:rPr>
          <w:lang w:val="en-US"/>
        </w:rPr>
        <w:t>:</w:t>
      </w:r>
    </w:p>
    <w:p w14:paraId="42CBDBC5" w14:textId="697B3681" w:rsidR="003C0676" w:rsidRPr="00813D19" w:rsidRDefault="003C0676" w:rsidP="00F745F1">
      <w:pPr>
        <w:pStyle w:val="Orateurengris"/>
        <w:keepNext/>
        <w:numPr>
          <w:ilvl w:val="0"/>
          <w:numId w:val="0"/>
        </w:numPr>
        <w:tabs>
          <w:tab w:val="clear" w:pos="709"/>
          <w:tab w:val="clear" w:pos="1418"/>
          <w:tab w:val="clear" w:pos="2126"/>
          <w:tab w:val="clear" w:pos="2835"/>
        </w:tabs>
        <w:spacing w:after="0"/>
        <w:ind w:left="709"/>
        <w:rPr>
          <w:lang w:val="en-US"/>
        </w:rPr>
      </w:pPr>
      <w:r w:rsidRPr="00813D19">
        <w:rPr>
          <w:lang w:val="en-US"/>
        </w:rPr>
        <w:t xml:space="preserve">I. </w:t>
      </w:r>
      <w:r w:rsidRPr="00813D19">
        <w:rPr>
          <w:lang w:val="en-US"/>
        </w:rPr>
        <w:tab/>
      </w:r>
      <w:r w:rsidR="00695C04" w:rsidRPr="00813D19">
        <w:rPr>
          <w:b/>
          <w:lang w:val="en-US"/>
        </w:rPr>
        <w:t>Electoral Group I</w:t>
      </w:r>
      <w:r w:rsidRPr="00813D19">
        <w:rPr>
          <w:lang w:val="en-US"/>
        </w:rPr>
        <w:t xml:space="preserve"> – s</w:t>
      </w:r>
      <w:r w:rsidR="00695C04" w:rsidRPr="00813D19">
        <w:rPr>
          <w:lang w:val="en-US"/>
        </w:rPr>
        <w:t>eat for one expert</w:t>
      </w:r>
      <w:r w:rsidR="00512081" w:rsidRPr="00813D19">
        <w:rPr>
          <w:lang w:val="en-US"/>
        </w:rPr>
        <w:t>.</w:t>
      </w:r>
    </w:p>
    <w:p w14:paraId="0C49254B" w14:textId="4AE43CB6" w:rsidR="003C0676" w:rsidRPr="00813D19" w:rsidRDefault="003C0676" w:rsidP="00F745F1">
      <w:pPr>
        <w:pStyle w:val="Orateurengris"/>
        <w:numPr>
          <w:ilvl w:val="0"/>
          <w:numId w:val="0"/>
        </w:numPr>
        <w:tabs>
          <w:tab w:val="clear" w:pos="709"/>
          <w:tab w:val="clear" w:pos="1418"/>
          <w:tab w:val="clear" w:pos="2126"/>
          <w:tab w:val="clear" w:pos="2835"/>
        </w:tabs>
        <w:spacing w:after="0"/>
        <w:ind w:left="2127" w:hanging="709"/>
        <w:rPr>
          <w:lang w:val="en-US"/>
        </w:rPr>
      </w:pPr>
      <w:r w:rsidRPr="00813D19">
        <w:rPr>
          <w:lang w:val="en-US"/>
        </w:rPr>
        <w:t>i.</w:t>
      </w:r>
      <w:r w:rsidRPr="00813D19">
        <w:rPr>
          <w:lang w:val="en-US"/>
        </w:rPr>
        <w:tab/>
        <w:t xml:space="preserve">The expert Ms </w:t>
      </w:r>
      <w:r w:rsidR="00695C04" w:rsidRPr="00813D19">
        <w:rPr>
          <w:lang w:val="en-US"/>
        </w:rPr>
        <w:t xml:space="preserve">Stavroula </w:t>
      </w:r>
      <w:r w:rsidR="00512081" w:rsidRPr="00813D19">
        <w:rPr>
          <w:lang w:val="en-US"/>
        </w:rPr>
        <w:t xml:space="preserve">Fotopoulou </w:t>
      </w:r>
      <w:r w:rsidR="00695C04" w:rsidRPr="00813D19">
        <w:rPr>
          <w:lang w:val="en-US"/>
        </w:rPr>
        <w:t xml:space="preserve">(Greece) received </w:t>
      </w:r>
      <w:r w:rsidR="00512081" w:rsidRPr="00813D19">
        <w:rPr>
          <w:b/>
          <w:lang w:val="en-US"/>
        </w:rPr>
        <w:t>6</w:t>
      </w:r>
      <w:r w:rsidR="00F745F1">
        <w:rPr>
          <w:lang w:val="en-US"/>
        </w:rPr>
        <w:t xml:space="preserve"> votes.</w:t>
      </w:r>
    </w:p>
    <w:p w14:paraId="64456A0A" w14:textId="524EF7DE" w:rsidR="003C0676" w:rsidRPr="00813D19" w:rsidRDefault="003C0676" w:rsidP="00F745F1">
      <w:pPr>
        <w:pStyle w:val="Orateurengris"/>
        <w:numPr>
          <w:ilvl w:val="0"/>
          <w:numId w:val="0"/>
        </w:numPr>
        <w:tabs>
          <w:tab w:val="clear" w:pos="709"/>
          <w:tab w:val="clear" w:pos="1418"/>
          <w:tab w:val="clear" w:pos="2126"/>
          <w:tab w:val="clear" w:pos="2835"/>
        </w:tabs>
        <w:spacing w:after="0"/>
        <w:ind w:left="2127" w:hanging="709"/>
        <w:rPr>
          <w:lang w:val="en-US"/>
        </w:rPr>
      </w:pPr>
      <w:r w:rsidRPr="00813D19">
        <w:rPr>
          <w:lang w:val="en-US"/>
        </w:rPr>
        <w:t xml:space="preserve">ii. </w:t>
      </w:r>
      <w:r w:rsidRPr="00813D19">
        <w:rPr>
          <w:lang w:val="en-US"/>
        </w:rPr>
        <w:tab/>
        <w:t xml:space="preserve">The expert </w:t>
      </w:r>
      <w:r w:rsidRPr="00813D19">
        <w:rPr>
          <w:b/>
          <w:lang w:val="en-US"/>
        </w:rPr>
        <w:t xml:space="preserve">Mr </w:t>
      </w:r>
      <w:r w:rsidR="00695C04" w:rsidRPr="00813D19">
        <w:rPr>
          <w:b/>
          <w:lang w:val="en-US"/>
        </w:rPr>
        <w:t>Pier Luigi P</w:t>
      </w:r>
      <w:r w:rsidR="00512081" w:rsidRPr="00813D19">
        <w:rPr>
          <w:b/>
          <w:lang w:val="en-US"/>
        </w:rPr>
        <w:t xml:space="preserve">etrillo </w:t>
      </w:r>
      <w:r w:rsidR="00695C04" w:rsidRPr="00813D19">
        <w:rPr>
          <w:b/>
          <w:lang w:val="en-US"/>
        </w:rPr>
        <w:t>(Italy)</w:t>
      </w:r>
      <w:r w:rsidR="00695C04" w:rsidRPr="00813D19">
        <w:rPr>
          <w:lang w:val="en-US"/>
        </w:rPr>
        <w:t xml:space="preserve"> received </w:t>
      </w:r>
      <w:r w:rsidR="00512081" w:rsidRPr="00813D19">
        <w:rPr>
          <w:b/>
          <w:lang w:val="en-US"/>
        </w:rPr>
        <w:t>18</w:t>
      </w:r>
      <w:r w:rsidR="00512081" w:rsidRPr="00813D19">
        <w:rPr>
          <w:lang w:val="en-US"/>
        </w:rPr>
        <w:t xml:space="preserve"> </w:t>
      </w:r>
      <w:r w:rsidR="00695C04" w:rsidRPr="00813D19">
        <w:rPr>
          <w:lang w:val="en-US"/>
        </w:rPr>
        <w:t>votes</w:t>
      </w:r>
      <w:r w:rsidR="00695C04" w:rsidRPr="00F745F1">
        <w:rPr>
          <w:bCs/>
          <w:lang w:val="en-US"/>
        </w:rPr>
        <w:t xml:space="preserve"> </w:t>
      </w:r>
      <w:r w:rsidR="00695C04" w:rsidRPr="00813D19">
        <w:rPr>
          <w:lang w:val="en-US"/>
        </w:rPr>
        <w:t xml:space="preserve">and </w:t>
      </w:r>
      <w:r w:rsidR="00512081" w:rsidRPr="00813D19">
        <w:rPr>
          <w:lang w:val="en-US"/>
        </w:rPr>
        <w:t xml:space="preserve">was </w:t>
      </w:r>
      <w:r w:rsidRPr="00813D19">
        <w:rPr>
          <w:lang w:val="en-US"/>
        </w:rPr>
        <w:t xml:space="preserve">duly </w:t>
      </w:r>
      <w:r w:rsidR="00512081" w:rsidRPr="00813D19">
        <w:rPr>
          <w:lang w:val="en-US"/>
        </w:rPr>
        <w:t>elected</w:t>
      </w:r>
      <w:r w:rsidR="00F745F1">
        <w:rPr>
          <w:lang w:val="en-US"/>
        </w:rPr>
        <w:t>.</w:t>
      </w:r>
    </w:p>
    <w:p w14:paraId="7C46BB0C" w14:textId="6563FD06" w:rsidR="003C0676" w:rsidRPr="00813D19" w:rsidRDefault="003C0676" w:rsidP="00F745F1">
      <w:pPr>
        <w:pStyle w:val="Orateurengris"/>
        <w:numPr>
          <w:ilvl w:val="0"/>
          <w:numId w:val="0"/>
        </w:numPr>
        <w:tabs>
          <w:tab w:val="clear" w:pos="709"/>
          <w:tab w:val="clear" w:pos="1418"/>
          <w:tab w:val="clear" w:pos="2126"/>
          <w:tab w:val="clear" w:pos="2835"/>
        </w:tabs>
        <w:spacing w:after="0"/>
        <w:ind w:left="709"/>
        <w:rPr>
          <w:lang w:val="en-US"/>
        </w:rPr>
      </w:pPr>
      <w:r w:rsidRPr="00813D19">
        <w:rPr>
          <w:lang w:val="en-US"/>
        </w:rPr>
        <w:t xml:space="preserve">II. </w:t>
      </w:r>
      <w:r w:rsidRPr="00813D19">
        <w:rPr>
          <w:lang w:val="en-US"/>
        </w:rPr>
        <w:tab/>
      </w:r>
      <w:r w:rsidR="00695C04" w:rsidRPr="00813D19">
        <w:rPr>
          <w:b/>
          <w:lang w:val="en-US"/>
        </w:rPr>
        <w:t>Electoral Group II</w:t>
      </w:r>
      <w:r w:rsidRPr="00813D19">
        <w:rPr>
          <w:lang w:val="en-US"/>
        </w:rPr>
        <w:t xml:space="preserve"> – s</w:t>
      </w:r>
      <w:r w:rsidR="00F745F1">
        <w:rPr>
          <w:lang w:val="en-US"/>
        </w:rPr>
        <w:t>eat for one expert.</w:t>
      </w:r>
    </w:p>
    <w:p w14:paraId="1749770D" w14:textId="175A36CF" w:rsidR="003C0676" w:rsidRPr="00813D19" w:rsidRDefault="003C0676" w:rsidP="00F745F1">
      <w:pPr>
        <w:pStyle w:val="Orateurengris"/>
        <w:numPr>
          <w:ilvl w:val="0"/>
          <w:numId w:val="6"/>
        </w:numPr>
        <w:tabs>
          <w:tab w:val="clear" w:pos="709"/>
          <w:tab w:val="clear" w:pos="1418"/>
          <w:tab w:val="clear" w:pos="2126"/>
          <w:tab w:val="clear" w:pos="2835"/>
        </w:tabs>
        <w:spacing w:after="0"/>
        <w:ind w:left="2127" w:hanging="709"/>
        <w:rPr>
          <w:lang w:val="en-US"/>
        </w:rPr>
      </w:pPr>
      <w:r w:rsidRPr="00813D19">
        <w:rPr>
          <w:lang w:val="en-US"/>
        </w:rPr>
        <w:t xml:space="preserve">The expert Mr </w:t>
      </w:r>
      <w:r w:rsidR="00695C04" w:rsidRPr="00813D19">
        <w:rPr>
          <w:lang w:val="en-US"/>
        </w:rPr>
        <w:t xml:space="preserve">Donatas </w:t>
      </w:r>
      <w:r w:rsidR="00512081" w:rsidRPr="00813D19">
        <w:rPr>
          <w:lang w:val="en-US"/>
        </w:rPr>
        <w:t>Brandišauskas</w:t>
      </w:r>
      <w:r w:rsidR="00695C04" w:rsidRPr="00813D19">
        <w:rPr>
          <w:lang w:val="en-US"/>
        </w:rPr>
        <w:t xml:space="preserve"> (Lithuania) received </w:t>
      </w:r>
      <w:r w:rsidR="00512081" w:rsidRPr="00813D19">
        <w:rPr>
          <w:b/>
          <w:lang w:val="en-US"/>
        </w:rPr>
        <w:t>9</w:t>
      </w:r>
      <w:r w:rsidR="00512081" w:rsidRPr="00813D19">
        <w:rPr>
          <w:lang w:val="en-US"/>
        </w:rPr>
        <w:t xml:space="preserve"> </w:t>
      </w:r>
      <w:r w:rsidR="00F745F1">
        <w:rPr>
          <w:lang w:val="en-US"/>
        </w:rPr>
        <w:t>votes.</w:t>
      </w:r>
    </w:p>
    <w:p w14:paraId="185C6ADD" w14:textId="143F6B51" w:rsidR="003C0676" w:rsidRPr="00813D19" w:rsidRDefault="003C0676" w:rsidP="00F745F1">
      <w:pPr>
        <w:pStyle w:val="Orateurengris"/>
        <w:numPr>
          <w:ilvl w:val="0"/>
          <w:numId w:val="6"/>
        </w:numPr>
        <w:tabs>
          <w:tab w:val="clear" w:pos="709"/>
          <w:tab w:val="clear" w:pos="1418"/>
          <w:tab w:val="clear" w:pos="2126"/>
          <w:tab w:val="clear" w:pos="2835"/>
        </w:tabs>
        <w:spacing w:after="0"/>
        <w:ind w:left="2127" w:hanging="709"/>
        <w:rPr>
          <w:lang w:val="en-US"/>
        </w:rPr>
      </w:pPr>
      <w:r w:rsidRPr="00813D19">
        <w:rPr>
          <w:lang w:val="en-US"/>
        </w:rPr>
        <w:t xml:space="preserve">The expert Ms </w:t>
      </w:r>
      <w:r w:rsidR="00695C04" w:rsidRPr="00813D19">
        <w:rPr>
          <w:lang w:val="en-US"/>
        </w:rPr>
        <w:t xml:space="preserve">Milica </w:t>
      </w:r>
      <w:r w:rsidR="00512081" w:rsidRPr="00813D19">
        <w:rPr>
          <w:lang w:val="en-US"/>
        </w:rPr>
        <w:t xml:space="preserve">Nikolić </w:t>
      </w:r>
      <w:r w:rsidR="00695C04" w:rsidRPr="00813D19">
        <w:rPr>
          <w:lang w:val="en-US"/>
        </w:rPr>
        <w:t xml:space="preserve">(Montenegro) received </w:t>
      </w:r>
      <w:r w:rsidR="00512081" w:rsidRPr="00813D19">
        <w:rPr>
          <w:b/>
          <w:lang w:val="en-US"/>
        </w:rPr>
        <w:t>5</w:t>
      </w:r>
      <w:r w:rsidR="00512081" w:rsidRPr="00813D19">
        <w:rPr>
          <w:lang w:val="en-US"/>
        </w:rPr>
        <w:t xml:space="preserve"> </w:t>
      </w:r>
      <w:r w:rsidR="00F745F1">
        <w:rPr>
          <w:lang w:val="en-US"/>
        </w:rPr>
        <w:t>votes.</w:t>
      </w:r>
    </w:p>
    <w:p w14:paraId="4AB47EA1" w14:textId="26618854" w:rsidR="003C0676" w:rsidRPr="00813D19" w:rsidRDefault="003C0676" w:rsidP="00F745F1">
      <w:pPr>
        <w:pStyle w:val="Orateurengris"/>
        <w:numPr>
          <w:ilvl w:val="0"/>
          <w:numId w:val="6"/>
        </w:numPr>
        <w:tabs>
          <w:tab w:val="clear" w:pos="709"/>
          <w:tab w:val="clear" w:pos="1418"/>
          <w:tab w:val="clear" w:pos="2126"/>
          <w:tab w:val="clear" w:pos="2835"/>
        </w:tabs>
        <w:spacing w:after="0"/>
        <w:ind w:left="2127" w:hanging="709"/>
        <w:rPr>
          <w:lang w:val="en-US"/>
        </w:rPr>
      </w:pPr>
      <w:r w:rsidRPr="00813D19">
        <w:rPr>
          <w:lang w:val="en-US"/>
        </w:rPr>
        <w:t xml:space="preserve">The expert </w:t>
      </w:r>
      <w:r w:rsidRPr="00813D19">
        <w:rPr>
          <w:b/>
          <w:lang w:val="en-US"/>
        </w:rPr>
        <w:t xml:space="preserve">Ms </w:t>
      </w:r>
      <w:r w:rsidR="00695C04" w:rsidRPr="00813D19">
        <w:rPr>
          <w:b/>
          <w:lang w:val="en-US"/>
        </w:rPr>
        <w:t xml:space="preserve">Ľubica </w:t>
      </w:r>
      <w:r w:rsidR="00512081" w:rsidRPr="00813D19">
        <w:rPr>
          <w:b/>
          <w:lang w:val="en-US"/>
        </w:rPr>
        <w:t xml:space="preserve">Voľanská </w:t>
      </w:r>
      <w:r w:rsidR="00695C04" w:rsidRPr="00813D19">
        <w:rPr>
          <w:b/>
          <w:lang w:val="en-US"/>
        </w:rPr>
        <w:t xml:space="preserve">(Slovakia) </w:t>
      </w:r>
      <w:r w:rsidR="00695C04" w:rsidRPr="00813D19">
        <w:rPr>
          <w:lang w:val="en-US"/>
        </w:rPr>
        <w:t xml:space="preserve">received </w:t>
      </w:r>
      <w:r w:rsidR="00512081" w:rsidRPr="00813D19">
        <w:rPr>
          <w:b/>
          <w:lang w:val="en-US"/>
        </w:rPr>
        <w:t>10</w:t>
      </w:r>
      <w:r w:rsidR="00512081" w:rsidRPr="00813D19">
        <w:rPr>
          <w:lang w:val="en-US"/>
        </w:rPr>
        <w:t xml:space="preserve"> </w:t>
      </w:r>
      <w:r w:rsidR="00695C04" w:rsidRPr="00813D19">
        <w:rPr>
          <w:lang w:val="en-US"/>
        </w:rPr>
        <w:t xml:space="preserve">votes and </w:t>
      </w:r>
      <w:r w:rsidR="00512081" w:rsidRPr="00813D19">
        <w:rPr>
          <w:lang w:val="en-US"/>
        </w:rPr>
        <w:t>was duly elected</w:t>
      </w:r>
      <w:r w:rsidR="00695C04" w:rsidRPr="00813D19">
        <w:rPr>
          <w:lang w:val="en-US"/>
        </w:rPr>
        <w:t>.</w:t>
      </w:r>
    </w:p>
    <w:p w14:paraId="00526EA2" w14:textId="4EAFA1C4" w:rsidR="003C0676" w:rsidRPr="00813D19" w:rsidRDefault="003C0676" w:rsidP="00F745F1">
      <w:pPr>
        <w:pStyle w:val="Orateurengris"/>
        <w:numPr>
          <w:ilvl w:val="0"/>
          <w:numId w:val="0"/>
        </w:numPr>
        <w:tabs>
          <w:tab w:val="clear" w:pos="709"/>
          <w:tab w:val="clear" w:pos="1418"/>
          <w:tab w:val="clear" w:pos="2126"/>
          <w:tab w:val="clear" w:pos="2835"/>
        </w:tabs>
        <w:spacing w:after="0"/>
        <w:ind w:left="709"/>
        <w:rPr>
          <w:lang w:val="en-US"/>
        </w:rPr>
      </w:pPr>
      <w:r w:rsidRPr="00813D19">
        <w:rPr>
          <w:lang w:val="en-US"/>
        </w:rPr>
        <w:t xml:space="preserve">III. </w:t>
      </w:r>
      <w:r w:rsidRPr="00813D19">
        <w:rPr>
          <w:lang w:val="en-US"/>
        </w:rPr>
        <w:tab/>
      </w:r>
      <w:r w:rsidR="00695C04" w:rsidRPr="00813D19">
        <w:rPr>
          <w:b/>
          <w:lang w:val="en-US"/>
        </w:rPr>
        <w:t>Electoral Group V(a)</w:t>
      </w:r>
      <w:r w:rsidR="00695C04" w:rsidRPr="00813D19">
        <w:rPr>
          <w:lang w:val="en-US"/>
        </w:rPr>
        <w:t xml:space="preserve"> – </w:t>
      </w:r>
      <w:r w:rsidR="003A7D6C">
        <w:rPr>
          <w:lang w:val="en-US"/>
        </w:rPr>
        <w:t>s</w:t>
      </w:r>
      <w:r w:rsidR="003A7D6C" w:rsidRPr="00813D19">
        <w:rPr>
          <w:lang w:val="en-US"/>
        </w:rPr>
        <w:t xml:space="preserve">eat </w:t>
      </w:r>
      <w:r w:rsidR="00695C04" w:rsidRPr="00813D19">
        <w:rPr>
          <w:lang w:val="en-US"/>
        </w:rPr>
        <w:t>for one accredited NGO</w:t>
      </w:r>
      <w:r w:rsidR="00F745F1">
        <w:rPr>
          <w:lang w:val="en-US"/>
        </w:rPr>
        <w:t>.</w:t>
      </w:r>
    </w:p>
    <w:p w14:paraId="1A95A065" w14:textId="1CB280E1" w:rsidR="003C0676" w:rsidRPr="00813D19" w:rsidRDefault="003C0676" w:rsidP="00F745F1">
      <w:pPr>
        <w:pStyle w:val="Orateurengris"/>
        <w:numPr>
          <w:ilvl w:val="0"/>
          <w:numId w:val="7"/>
        </w:numPr>
        <w:tabs>
          <w:tab w:val="clear" w:pos="709"/>
          <w:tab w:val="clear" w:pos="1418"/>
          <w:tab w:val="clear" w:pos="2126"/>
          <w:tab w:val="clear" w:pos="2835"/>
        </w:tabs>
        <w:spacing w:after="0"/>
        <w:ind w:left="2137"/>
        <w:rPr>
          <w:rFonts w:eastAsia="Times"/>
          <w:bCs/>
          <w:lang w:val="en-US"/>
        </w:rPr>
      </w:pPr>
      <w:r w:rsidRPr="00813D19">
        <w:rPr>
          <w:rFonts w:eastAsia="Times"/>
          <w:bCs/>
          <w:lang w:val="en-US"/>
        </w:rPr>
        <w:t xml:space="preserve">The NGO </w:t>
      </w:r>
      <w:r w:rsidR="00695C04" w:rsidRPr="00813D19">
        <w:rPr>
          <w:rFonts w:eastAsia="Times"/>
          <w:bCs/>
          <w:lang w:val="en-US"/>
        </w:rPr>
        <w:t xml:space="preserve">Amis du Patrimoine de Madagascar (APM) received </w:t>
      </w:r>
      <w:r w:rsidR="00363C3B" w:rsidRPr="003221D5">
        <w:rPr>
          <w:rFonts w:eastAsia="Times"/>
          <w:b/>
          <w:lang w:val="en-US"/>
        </w:rPr>
        <w:t>6</w:t>
      </w:r>
      <w:r w:rsidR="00363C3B" w:rsidRPr="00813D19">
        <w:rPr>
          <w:rFonts w:eastAsia="Times"/>
          <w:bCs/>
          <w:lang w:val="en-US"/>
        </w:rPr>
        <w:t xml:space="preserve"> </w:t>
      </w:r>
      <w:r w:rsidR="00F745F1">
        <w:rPr>
          <w:rFonts w:eastAsia="Times"/>
          <w:bCs/>
          <w:lang w:val="en-US"/>
        </w:rPr>
        <w:t>votes.</w:t>
      </w:r>
    </w:p>
    <w:p w14:paraId="691C186B" w14:textId="7CE5B499" w:rsidR="003C0676" w:rsidRPr="00813D19" w:rsidRDefault="003C0676" w:rsidP="00F745F1">
      <w:pPr>
        <w:pStyle w:val="Orateurengris"/>
        <w:numPr>
          <w:ilvl w:val="0"/>
          <w:numId w:val="7"/>
        </w:numPr>
        <w:tabs>
          <w:tab w:val="clear" w:pos="709"/>
          <w:tab w:val="clear" w:pos="1418"/>
          <w:tab w:val="clear" w:pos="2126"/>
          <w:tab w:val="clear" w:pos="2835"/>
        </w:tabs>
        <w:spacing w:after="0"/>
        <w:ind w:left="2137"/>
        <w:rPr>
          <w:lang w:val="en-US"/>
        </w:rPr>
      </w:pPr>
      <w:r w:rsidRPr="00813D19">
        <w:rPr>
          <w:rFonts w:eastAsia="Times"/>
          <w:bCs/>
          <w:lang w:val="en-US"/>
        </w:rPr>
        <w:t xml:space="preserve">The </w:t>
      </w:r>
      <w:r w:rsidRPr="00813D19">
        <w:rPr>
          <w:rFonts w:eastAsia="Times"/>
          <w:b/>
          <w:bCs/>
          <w:lang w:val="en-US"/>
        </w:rPr>
        <w:t xml:space="preserve">NGO Association pour la sauvegarde des masques (ASAMA) (Burkina Faso) </w:t>
      </w:r>
      <w:r w:rsidRPr="00813D19">
        <w:rPr>
          <w:rFonts w:eastAsia="Times"/>
          <w:bCs/>
          <w:lang w:val="en-US"/>
        </w:rPr>
        <w:t>received</w:t>
      </w:r>
      <w:r w:rsidRPr="00813D19">
        <w:rPr>
          <w:rFonts w:eastAsia="Times"/>
          <w:b/>
          <w:bCs/>
          <w:lang w:val="en-US"/>
        </w:rPr>
        <w:t xml:space="preserve"> 14 </w:t>
      </w:r>
      <w:r w:rsidR="00F745F1">
        <w:rPr>
          <w:rFonts w:eastAsia="Times"/>
          <w:bCs/>
          <w:lang w:val="en-US"/>
        </w:rPr>
        <w:t>votes and was duly elected.</w:t>
      </w:r>
    </w:p>
    <w:p w14:paraId="4F0A6A73" w14:textId="14126576" w:rsidR="003C0676" w:rsidRPr="00813D19" w:rsidRDefault="003C0676" w:rsidP="00F745F1">
      <w:pPr>
        <w:pStyle w:val="Orateurengris"/>
        <w:numPr>
          <w:ilvl w:val="0"/>
          <w:numId w:val="7"/>
        </w:numPr>
        <w:tabs>
          <w:tab w:val="clear" w:pos="709"/>
          <w:tab w:val="clear" w:pos="1418"/>
          <w:tab w:val="clear" w:pos="2126"/>
          <w:tab w:val="clear" w:pos="2835"/>
        </w:tabs>
        <w:spacing w:after="0"/>
        <w:ind w:left="2137"/>
        <w:rPr>
          <w:lang w:val="en-US"/>
        </w:rPr>
      </w:pPr>
      <w:r w:rsidRPr="00813D19">
        <w:rPr>
          <w:rFonts w:eastAsia="Times"/>
          <w:bCs/>
          <w:lang w:val="en-US"/>
        </w:rPr>
        <w:t>The NGO</w:t>
      </w:r>
      <w:r w:rsidRPr="00813D19">
        <w:rPr>
          <w:rFonts w:eastAsia="Times"/>
          <w:b/>
          <w:bCs/>
          <w:lang w:val="en-US"/>
        </w:rPr>
        <w:t xml:space="preserve"> </w:t>
      </w:r>
      <w:r w:rsidR="00363C3B" w:rsidRPr="00813D19">
        <w:rPr>
          <w:rFonts w:eastAsia="Times"/>
          <w:bCs/>
          <w:lang w:val="en-US"/>
        </w:rPr>
        <w:t xml:space="preserve">Mali Cultural Heritage Agency </w:t>
      </w:r>
      <w:r w:rsidRPr="00813D19">
        <w:rPr>
          <w:rFonts w:eastAsia="Times"/>
          <w:bCs/>
          <w:lang w:val="en-US"/>
        </w:rPr>
        <w:t xml:space="preserve">(Mali) </w:t>
      </w:r>
      <w:r w:rsidR="00363C3B" w:rsidRPr="00813D19">
        <w:rPr>
          <w:rFonts w:eastAsia="Times"/>
          <w:bCs/>
          <w:lang w:val="en-US"/>
        </w:rPr>
        <w:t xml:space="preserve">received </w:t>
      </w:r>
      <w:r w:rsidR="00363C3B" w:rsidRPr="00813D19">
        <w:rPr>
          <w:rFonts w:eastAsia="Times"/>
          <w:b/>
          <w:bCs/>
          <w:lang w:val="en-US"/>
        </w:rPr>
        <w:t>4</w:t>
      </w:r>
      <w:r w:rsidR="00F745F1">
        <w:rPr>
          <w:rFonts w:eastAsia="Times"/>
          <w:bCs/>
          <w:lang w:val="en-US"/>
        </w:rPr>
        <w:t xml:space="preserve"> votes.</w:t>
      </w:r>
    </w:p>
    <w:p w14:paraId="293DD0FD" w14:textId="49A32E47" w:rsidR="00695C04" w:rsidRPr="00813D19" w:rsidRDefault="00363C3B" w:rsidP="003C0676">
      <w:pPr>
        <w:pStyle w:val="Orateurengris"/>
        <w:spacing w:before="120"/>
        <w:ind w:left="709" w:hanging="709"/>
        <w:rPr>
          <w:lang w:val="en-US"/>
        </w:rPr>
      </w:pPr>
      <w:r w:rsidRPr="00813D19">
        <w:rPr>
          <w:color w:val="000000" w:themeColor="text1"/>
          <w:lang w:val="en-US"/>
        </w:rPr>
        <w:t>The</w:t>
      </w:r>
      <w:r w:rsidRPr="00813D19">
        <w:rPr>
          <w:rFonts w:eastAsia="Times"/>
          <w:bCs/>
          <w:lang w:val="en-US"/>
        </w:rPr>
        <w:t xml:space="preserve"> </w:t>
      </w:r>
      <w:r w:rsidRPr="00813D19">
        <w:rPr>
          <w:rFonts w:eastAsia="Times"/>
          <w:b/>
          <w:bCs/>
          <w:lang w:val="en-US"/>
        </w:rPr>
        <w:t>Chairperson</w:t>
      </w:r>
      <w:r w:rsidRPr="00813D19">
        <w:rPr>
          <w:rFonts w:eastAsia="Times"/>
          <w:bCs/>
          <w:lang w:val="en-US"/>
        </w:rPr>
        <w:t xml:space="preserve"> congratulated </w:t>
      </w:r>
      <w:r w:rsidR="00695C04" w:rsidRPr="00813D19">
        <w:rPr>
          <w:lang w:val="en-US"/>
        </w:rPr>
        <w:t>the three new</w:t>
      </w:r>
      <w:r w:rsidR="003C0676" w:rsidRPr="00813D19">
        <w:rPr>
          <w:lang w:val="en-US"/>
        </w:rPr>
        <w:t xml:space="preserve"> members of the Evaluation Body</w:t>
      </w:r>
      <w:r w:rsidR="00695C04" w:rsidRPr="00813D19">
        <w:rPr>
          <w:lang w:val="en-US"/>
        </w:rPr>
        <w:t xml:space="preserve"> </w:t>
      </w:r>
      <w:r w:rsidRPr="00813D19">
        <w:rPr>
          <w:lang w:val="en-US"/>
        </w:rPr>
        <w:t xml:space="preserve">and thanked the </w:t>
      </w:r>
      <w:r w:rsidR="003C0676" w:rsidRPr="00813D19">
        <w:rPr>
          <w:lang w:val="en-US"/>
        </w:rPr>
        <w:t>other candidates,</w:t>
      </w:r>
      <w:r w:rsidR="00695C04" w:rsidRPr="00813D19">
        <w:rPr>
          <w:lang w:val="en-US"/>
        </w:rPr>
        <w:t xml:space="preserve"> </w:t>
      </w:r>
      <w:r w:rsidR="003C0676" w:rsidRPr="00813D19">
        <w:rPr>
          <w:lang w:val="en-US"/>
        </w:rPr>
        <w:t>inviting the Secretariat</w:t>
      </w:r>
      <w:r w:rsidRPr="00813D19">
        <w:rPr>
          <w:lang w:val="en-US"/>
        </w:rPr>
        <w:t xml:space="preserve"> to provide </w:t>
      </w:r>
      <w:r w:rsidR="00695C04" w:rsidRPr="00813D19">
        <w:rPr>
          <w:lang w:val="en-US"/>
        </w:rPr>
        <w:t xml:space="preserve">information on the </w:t>
      </w:r>
      <w:r w:rsidR="003C0676" w:rsidRPr="00813D19">
        <w:rPr>
          <w:lang w:val="en-US"/>
        </w:rPr>
        <w:t xml:space="preserve">draft </w:t>
      </w:r>
      <w:r w:rsidR="00F745F1">
        <w:rPr>
          <w:lang w:val="en-US"/>
        </w:rPr>
        <w:t>decision.</w:t>
      </w:r>
    </w:p>
    <w:p w14:paraId="2A5D6A6C" w14:textId="747BC2FE" w:rsidR="00672041" w:rsidRPr="00813D19" w:rsidRDefault="00672041" w:rsidP="00695C04">
      <w:pPr>
        <w:pStyle w:val="Orateurengris"/>
        <w:spacing w:before="120"/>
        <w:ind w:left="709" w:hanging="709"/>
        <w:rPr>
          <w:lang w:val="en-US"/>
        </w:rPr>
      </w:pPr>
      <w:r w:rsidRPr="00813D19">
        <w:rPr>
          <w:b/>
          <w:color w:val="000000" w:themeColor="text1"/>
          <w:lang w:val="en-US"/>
        </w:rPr>
        <w:t>Ms Fumiko Ohinata</w:t>
      </w:r>
      <w:r w:rsidRPr="00813D19">
        <w:rPr>
          <w:color w:val="000000" w:themeColor="text1"/>
          <w:lang w:val="en-US"/>
        </w:rPr>
        <w:t xml:space="preserve"> </w:t>
      </w:r>
      <w:r w:rsidRPr="00813D19">
        <w:rPr>
          <w:lang w:val="en-US"/>
        </w:rPr>
        <w:t>clarified that</w:t>
      </w:r>
      <w:r w:rsidR="003A7D6C">
        <w:rPr>
          <w:lang w:val="en-US"/>
        </w:rPr>
        <w:t>,</w:t>
      </w:r>
      <w:r w:rsidRPr="00813D19">
        <w:rPr>
          <w:lang w:val="en-US"/>
        </w:rPr>
        <w:t xml:space="preserve"> in accordance with paragraph 28 of the Operational Directives, the Committee </w:t>
      </w:r>
      <w:r w:rsidR="003A7D6C">
        <w:rPr>
          <w:lang w:val="en-US"/>
        </w:rPr>
        <w:t>was</w:t>
      </w:r>
      <w:r w:rsidR="003A7D6C" w:rsidRPr="00813D19">
        <w:rPr>
          <w:lang w:val="en-US"/>
        </w:rPr>
        <w:t xml:space="preserve"> </w:t>
      </w:r>
      <w:r w:rsidRPr="00813D19">
        <w:rPr>
          <w:lang w:val="en-US"/>
        </w:rPr>
        <w:t xml:space="preserve">invited every year to renew three members of the Evaluation Body. The term of office of members must not exceed four years. When the Committee </w:t>
      </w:r>
      <w:r w:rsidR="003A7D6C">
        <w:rPr>
          <w:lang w:val="en-US"/>
        </w:rPr>
        <w:t xml:space="preserve">had </w:t>
      </w:r>
      <w:r w:rsidRPr="00813D19">
        <w:rPr>
          <w:lang w:val="en-US"/>
        </w:rPr>
        <w:t xml:space="preserve">established the first Evaluation Body at its ninth session in 2014, a specific rotation system </w:t>
      </w:r>
      <w:r w:rsidR="003A7D6C">
        <w:rPr>
          <w:lang w:val="en-US"/>
        </w:rPr>
        <w:t>had been</w:t>
      </w:r>
      <w:r w:rsidR="003A7D6C" w:rsidRPr="00813D19">
        <w:rPr>
          <w:lang w:val="en-US"/>
        </w:rPr>
        <w:t xml:space="preserve"> </w:t>
      </w:r>
      <w:r w:rsidRPr="00813D19">
        <w:rPr>
          <w:lang w:val="en-US"/>
        </w:rPr>
        <w:t xml:space="preserve">set up for a four-year period. According to this system, the term of office of each member varies from one to four years in order to ensure equitable geographic representation and to make three seats </w:t>
      </w:r>
      <w:r w:rsidR="003A7D6C" w:rsidRPr="00813D19">
        <w:rPr>
          <w:lang w:val="en-US"/>
        </w:rPr>
        <w:t xml:space="preserve">vacant </w:t>
      </w:r>
      <w:r w:rsidRPr="00813D19">
        <w:rPr>
          <w:lang w:val="en-US"/>
        </w:rPr>
        <w:t xml:space="preserve">each year. This rotation system was completed with the Evaluation Body that served in the 2018 cycle. For the next cycles, each member </w:t>
      </w:r>
      <w:r w:rsidR="003A7D6C">
        <w:rPr>
          <w:lang w:val="en-US"/>
        </w:rPr>
        <w:t>would</w:t>
      </w:r>
      <w:r w:rsidR="003A7D6C" w:rsidRPr="00813D19">
        <w:rPr>
          <w:lang w:val="en-US"/>
        </w:rPr>
        <w:t xml:space="preserve"> </w:t>
      </w:r>
      <w:r w:rsidRPr="00813D19">
        <w:rPr>
          <w:lang w:val="en-US"/>
        </w:rPr>
        <w:t>be similarly elected for a four-year term. Paragraph 5 of the draft decision was formulated to keep the Committee  informed, and to record in writing the date on which certain seats become vacant.</w:t>
      </w:r>
    </w:p>
    <w:p w14:paraId="33C55CF9" w14:textId="04467A1B" w:rsidR="002546F4" w:rsidRPr="00F745F1" w:rsidRDefault="00B9680D" w:rsidP="00B9680D">
      <w:pPr>
        <w:pStyle w:val="Orateurengris"/>
        <w:spacing w:before="120"/>
        <w:ind w:left="709" w:hanging="709"/>
        <w:rPr>
          <w:bCs/>
          <w:color w:val="000000" w:themeColor="text1"/>
          <w:lang w:val="en-US"/>
        </w:rPr>
      </w:pPr>
      <w:r w:rsidRPr="00813D19">
        <w:rPr>
          <w:lang w:val="en-US"/>
        </w:rPr>
        <w:t xml:space="preserve">The </w:t>
      </w:r>
      <w:r w:rsidRPr="00813D19">
        <w:rPr>
          <w:b/>
          <w:lang w:val="en-US"/>
        </w:rPr>
        <w:t>Chairperson</w:t>
      </w:r>
      <w:r w:rsidRPr="00813D19">
        <w:rPr>
          <w:lang w:val="en-US"/>
        </w:rPr>
        <w:t xml:space="preserve"> thanked the Secretariat  for the clarification, and with no forthcoming comments, </w:t>
      </w:r>
      <w:r w:rsidRPr="00813D19">
        <w:rPr>
          <w:color w:val="000000" w:themeColor="text1"/>
          <w:lang w:val="en-US"/>
        </w:rPr>
        <w:t>turned to the adoption of the draft decision</w:t>
      </w:r>
      <w:r w:rsidRPr="00813D19">
        <w:rPr>
          <w:b/>
          <w:color w:val="000000" w:themeColor="text1"/>
          <w:lang w:val="en-US"/>
        </w:rPr>
        <w:t xml:space="preserve"> </w:t>
      </w:r>
      <w:r w:rsidRPr="00813D19">
        <w:rPr>
          <w:color w:val="000000" w:themeColor="text1"/>
          <w:lang w:val="en-US"/>
        </w:rPr>
        <w:t>on a paragraph-by-paragraph basis</w:t>
      </w:r>
      <w:r w:rsidR="003D0D72" w:rsidRPr="00813D19">
        <w:rPr>
          <w:color w:val="000000" w:themeColor="text1"/>
          <w:lang w:val="en-US"/>
        </w:rPr>
        <w:t>, and</w:t>
      </w:r>
      <w:r w:rsidR="003D0D72" w:rsidRPr="00813D19">
        <w:rPr>
          <w:lang w:val="en-US"/>
        </w:rPr>
        <w:t xml:space="preserve"> p</w:t>
      </w:r>
      <w:r w:rsidRPr="00813D19">
        <w:rPr>
          <w:lang w:val="en-US"/>
        </w:rPr>
        <w:t>aragraph</w:t>
      </w:r>
      <w:r w:rsidR="003D0D72" w:rsidRPr="00813D19">
        <w:rPr>
          <w:lang w:val="en-US"/>
        </w:rPr>
        <w:t>s</w:t>
      </w:r>
      <w:r w:rsidRPr="00813D19">
        <w:rPr>
          <w:lang w:val="en-US"/>
        </w:rPr>
        <w:t xml:space="preserve"> 1–5 were duly adopted. The names of the three newly elected members were added in paragraph</w:t>
      </w:r>
      <w:r w:rsidR="002546F4" w:rsidRPr="00813D19">
        <w:rPr>
          <w:lang w:val="en-US"/>
        </w:rPr>
        <w:t xml:space="preserve"> 6, </w:t>
      </w:r>
      <w:r w:rsidRPr="00813D19">
        <w:rPr>
          <w:lang w:val="en-US"/>
        </w:rPr>
        <w:t xml:space="preserve">which was duly adopted. Turning to the adoption of the draft decision as a whole, </w:t>
      </w:r>
      <w:r w:rsidRPr="00813D19">
        <w:rPr>
          <w:color w:val="000000" w:themeColor="text1"/>
          <w:lang w:val="en-US"/>
        </w:rPr>
        <w:t xml:space="preserve">the </w:t>
      </w:r>
      <w:r w:rsidR="00695C04" w:rsidRPr="00813D19">
        <w:rPr>
          <w:b/>
          <w:color w:val="000000" w:themeColor="text1"/>
          <w:lang w:val="en-US"/>
        </w:rPr>
        <w:t>Chairperson declared Decision 13.COM 14 adopted</w:t>
      </w:r>
      <w:r w:rsidR="00695C04" w:rsidRPr="00F745F1">
        <w:rPr>
          <w:bCs/>
          <w:color w:val="000000" w:themeColor="text1"/>
          <w:lang w:val="en-US"/>
        </w:rPr>
        <w:t>.</w:t>
      </w:r>
    </w:p>
    <w:p w14:paraId="24995505" w14:textId="380A6847" w:rsidR="00FA58D6" w:rsidRPr="00F745F1" w:rsidRDefault="00FA58D6" w:rsidP="00B46634">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Secretary </w:t>
      </w:r>
      <w:r w:rsidR="00DB6C93" w:rsidRPr="00813D19">
        <w:rPr>
          <w:color w:val="000000" w:themeColor="text1"/>
          <w:lang w:val="en-US"/>
        </w:rPr>
        <w:t xml:space="preserve">noted a certain </w:t>
      </w:r>
      <w:r w:rsidR="000D675F" w:rsidRPr="00813D19">
        <w:rPr>
          <w:lang w:val="en-US"/>
        </w:rPr>
        <w:t xml:space="preserve">apprehension </w:t>
      </w:r>
      <w:r w:rsidR="00DB6C93" w:rsidRPr="00813D19">
        <w:rPr>
          <w:lang w:val="en-US"/>
        </w:rPr>
        <w:t xml:space="preserve">or unease on the part of some States on </w:t>
      </w:r>
      <w:r w:rsidR="000D675F" w:rsidRPr="00813D19">
        <w:rPr>
          <w:lang w:val="en-US"/>
        </w:rPr>
        <w:t xml:space="preserve">the experimental approach to the upstream dialogue as proposed. </w:t>
      </w:r>
      <w:r w:rsidR="009E1C4F" w:rsidRPr="00813D19">
        <w:rPr>
          <w:lang w:val="en-US"/>
        </w:rPr>
        <w:t xml:space="preserve">He wished </w:t>
      </w:r>
      <w:r w:rsidR="000D675F" w:rsidRPr="00813D19">
        <w:rPr>
          <w:lang w:val="en-US"/>
        </w:rPr>
        <w:t xml:space="preserve">to reassure </w:t>
      </w:r>
      <w:r w:rsidR="009E1C4F" w:rsidRPr="00813D19">
        <w:rPr>
          <w:lang w:val="en-US"/>
        </w:rPr>
        <w:t xml:space="preserve">everyone that </w:t>
      </w:r>
      <w:r w:rsidR="000D675F" w:rsidRPr="00813D19">
        <w:rPr>
          <w:lang w:val="en-US"/>
        </w:rPr>
        <w:t xml:space="preserve">the decision in its current form </w:t>
      </w:r>
      <w:r w:rsidR="003A7D6C" w:rsidRPr="00813D19">
        <w:rPr>
          <w:lang w:val="en-US"/>
        </w:rPr>
        <w:t>c</w:t>
      </w:r>
      <w:r w:rsidR="003A7D6C">
        <w:rPr>
          <w:lang w:val="en-US"/>
        </w:rPr>
        <w:t>ould</w:t>
      </w:r>
      <w:r w:rsidR="003A7D6C" w:rsidRPr="00813D19">
        <w:rPr>
          <w:lang w:val="en-US"/>
        </w:rPr>
        <w:t xml:space="preserve"> </w:t>
      </w:r>
      <w:r w:rsidR="000D675F" w:rsidRPr="00813D19">
        <w:rPr>
          <w:lang w:val="en-US"/>
        </w:rPr>
        <w:t>be implemented without breaking the rules</w:t>
      </w:r>
      <w:r w:rsidR="00130811" w:rsidRPr="00813D19">
        <w:rPr>
          <w:lang w:val="en-US"/>
        </w:rPr>
        <w:t>. H</w:t>
      </w:r>
      <w:r w:rsidR="000D675F" w:rsidRPr="00813D19">
        <w:rPr>
          <w:lang w:val="en-US"/>
        </w:rPr>
        <w:t xml:space="preserve">owever, </w:t>
      </w:r>
      <w:r w:rsidR="00130811" w:rsidRPr="00813D19">
        <w:rPr>
          <w:lang w:val="en-US"/>
        </w:rPr>
        <w:t xml:space="preserve">the </w:t>
      </w:r>
      <w:r w:rsidR="000D675F" w:rsidRPr="00813D19">
        <w:rPr>
          <w:lang w:val="en-US"/>
        </w:rPr>
        <w:t xml:space="preserve">final decision </w:t>
      </w:r>
      <w:r w:rsidR="003D0D72" w:rsidRPr="00813D19">
        <w:rPr>
          <w:lang w:val="en-US"/>
        </w:rPr>
        <w:t xml:space="preserve">would most likely </w:t>
      </w:r>
      <w:r w:rsidR="00130811" w:rsidRPr="00813D19">
        <w:rPr>
          <w:lang w:val="en-US"/>
        </w:rPr>
        <w:t xml:space="preserve">come through </w:t>
      </w:r>
      <w:r w:rsidR="000D675F" w:rsidRPr="00813D19">
        <w:rPr>
          <w:lang w:val="en-US"/>
        </w:rPr>
        <w:t xml:space="preserve">the Committee rather than </w:t>
      </w:r>
      <w:r w:rsidR="00130811" w:rsidRPr="00813D19">
        <w:rPr>
          <w:lang w:val="en-US"/>
        </w:rPr>
        <w:t xml:space="preserve">through </w:t>
      </w:r>
      <w:r w:rsidR="000D675F" w:rsidRPr="00813D19">
        <w:rPr>
          <w:lang w:val="en-US"/>
        </w:rPr>
        <w:t xml:space="preserve">the Evaluation Body, meaning </w:t>
      </w:r>
      <w:r w:rsidR="00130811" w:rsidRPr="00813D19">
        <w:rPr>
          <w:lang w:val="en-US"/>
        </w:rPr>
        <w:t xml:space="preserve">that the Committee </w:t>
      </w:r>
      <w:r w:rsidR="003A7D6C">
        <w:rPr>
          <w:lang w:val="en-US"/>
        </w:rPr>
        <w:t>could</w:t>
      </w:r>
      <w:r w:rsidR="003A7D6C" w:rsidRPr="00813D19">
        <w:rPr>
          <w:lang w:val="en-US"/>
        </w:rPr>
        <w:t xml:space="preserve"> </w:t>
      </w:r>
      <w:r w:rsidR="00130811" w:rsidRPr="00813D19">
        <w:rPr>
          <w:lang w:val="en-US"/>
        </w:rPr>
        <w:t>be faced</w:t>
      </w:r>
      <w:r w:rsidR="000D675F" w:rsidRPr="00813D19">
        <w:rPr>
          <w:lang w:val="en-US"/>
        </w:rPr>
        <w:t xml:space="preserve"> with </w:t>
      </w:r>
      <w:r w:rsidR="00130811" w:rsidRPr="00813D19">
        <w:rPr>
          <w:lang w:val="en-US"/>
        </w:rPr>
        <w:t xml:space="preserve">a </w:t>
      </w:r>
      <w:r w:rsidR="000D675F" w:rsidRPr="00813D19">
        <w:rPr>
          <w:lang w:val="en-US"/>
        </w:rPr>
        <w:t xml:space="preserve">dual option scenario, </w:t>
      </w:r>
      <w:r w:rsidR="00130811" w:rsidRPr="00813D19">
        <w:rPr>
          <w:lang w:val="en-US"/>
        </w:rPr>
        <w:t xml:space="preserve">as </w:t>
      </w:r>
      <w:r w:rsidR="003A7D6C">
        <w:rPr>
          <w:lang w:val="en-US"/>
        </w:rPr>
        <w:t xml:space="preserve">had </w:t>
      </w:r>
      <w:r w:rsidR="00130811" w:rsidRPr="00813D19">
        <w:rPr>
          <w:lang w:val="en-US"/>
        </w:rPr>
        <w:t xml:space="preserve">occurred in 2017, </w:t>
      </w:r>
      <w:r w:rsidR="000D675F" w:rsidRPr="00813D19">
        <w:rPr>
          <w:lang w:val="en-US"/>
        </w:rPr>
        <w:t xml:space="preserve">in order to apply this procedure and make it fully compliant. </w:t>
      </w:r>
      <w:r w:rsidR="003F2BBF" w:rsidRPr="00813D19">
        <w:rPr>
          <w:lang w:val="en-US"/>
        </w:rPr>
        <w:t xml:space="preserve">The Secretary also </w:t>
      </w:r>
      <w:r w:rsidR="000D675F" w:rsidRPr="00813D19">
        <w:rPr>
          <w:lang w:val="en-US"/>
        </w:rPr>
        <w:t>insist</w:t>
      </w:r>
      <w:r w:rsidR="003F2BBF" w:rsidRPr="00813D19">
        <w:rPr>
          <w:lang w:val="en-US"/>
        </w:rPr>
        <w:t>ed</w:t>
      </w:r>
      <w:r w:rsidR="000D675F" w:rsidRPr="00813D19">
        <w:rPr>
          <w:lang w:val="en-US"/>
        </w:rPr>
        <w:t xml:space="preserve"> that the September meeting </w:t>
      </w:r>
      <w:r w:rsidR="003F2BBF" w:rsidRPr="00813D19">
        <w:rPr>
          <w:lang w:val="en-US"/>
        </w:rPr>
        <w:t xml:space="preserve">[of the Evaluation Body] </w:t>
      </w:r>
      <w:r w:rsidR="003A7D6C" w:rsidRPr="00813D19">
        <w:rPr>
          <w:lang w:val="en-US"/>
        </w:rPr>
        <w:t>ha</w:t>
      </w:r>
      <w:r w:rsidR="003A7D6C">
        <w:rPr>
          <w:lang w:val="en-US"/>
        </w:rPr>
        <w:t>d</w:t>
      </w:r>
      <w:r w:rsidR="003A7D6C" w:rsidRPr="00813D19">
        <w:rPr>
          <w:lang w:val="en-US"/>
        </w:rPr>
        <w:t xml:space="preserve"> </w:t>
      </w:r>
      <w:r w:rsidR="000D675F" w:rsidRPr="00813D19">
        <w:rPr>
          <w:lang w:val="en-US"/>
        </w:rPr>
        <w:t>never been illegal</w:t>
      </w:r>
      <w:r w:rsidR="003F2BBF" w:rsidRPr="00813D19">
        <w:rPr>
          <w:lang w:val="en-US"/>
        </w:rPr>
        <w:t>,</w:t>
      </w:r>
      <w:r w:rsidR="000D675F" w:rsidRPr="00813D19">
        <w:rPr>
          <w:lang w:val="en-US"/>
        </w:rPr>
        <w:t xml:space="preserve"> </w:t>
      </w:r>
      <w:r w:rsidR="003F2BBF" w:rsidRPr="00813D19">
        <w:rPr>
          <w:lang w:val="en-US"/>
        </w:rPr>
        <w:t>reassuring</w:t>
      </w:r>
      <w:r w:rsidR="000D675F" w:rsidRPr="00813D19">
        <w:rPr>
          <w:lang w:val="en-US"/>
        </w:rPr>
        <w:t xml:space="preserve"> </w:t>
      </w:r>
      <w:r w:rsidR="003F2BBF" w:rsidRPr="00813D19">
        <w:rPr>
          <w:lang w:val="en-US"/>
        </w:rPr>
        <w:t xml:space="preserve">the Committee that </w:t>
      </w:r>
      <w:r w:rsidR="000D675F" w:rsidRPr="00813D19">
        <w:rPr>
          <w:lang w:val="en-US"/>
        </w:rPr>
        <w:t xml:space="preserve">the Secretariat </w:t>
      </w:r>
      <w:r w:rsidR="003A7D6C">
        <w:rPr>
          <w:lang w:val="en-US"/>
        </w:rPr>
        <w:t>would</w:t>
      </w:r>
      <w:r w:rsidR="003A7D6C" w:rsidRPr="00813D19">
        <w:rPr>
          <w:lang w:val="en-US"/>
        </w:rPr>
        <w:t xml:space="preserve"> </w:t>
      </w:r>
      <w:r w:rsidR="000D675F" w:rsidRPr="00813D19">
        <w:rPr>
          <w:lang w:val="en-US"/>
        </w:rPr>
        <w:t xml:space="preserve">work hard to move ahead with </w:t>
      </w:r>
      <w:r w:rsidR="003F2BBF" w:rsidRPr="00813D19">
        <w:rPr>
          <w:lang w:val="en-US"/>
        </w:rPr>
        <w:t xml:space="preserve">this upstream dialogue process and </w:t>
      </w:r>
      <w:r w:rsidR="000D675F" w:rsidRPr="00813D19">
        <w:rPr>
          <w:lang w:val="en-US"/>
        </w:rPr>
        <w:t>ensure that all the Rules of the Operational Directives</w:t>
      </w:r>
      <w:r w:rsidR="003F2BBF" w:rsidRPr="00813D19">
        <w:rPr>
          <w:lang w:val="en-US"/>
        </w:rPr>
        <w:t>,</w:t>
      </w:r>
      <w:r w:rsidR="000D675F" w:rsidRPr="00813D19">
        <w:rPr>
          <w:lang w:val="en-US"/>
        </w:rPr>
        <w:t xml:space="preserve"> under the mandate of the General Assembly</w:t>
      </w:r>
      <w:r w:rsidR="003F2BBF" w:rsidRPr="00813D19">
        <w:rPr>
          <w:lang w:val="en-US"/>
        </w:rPr>
        <w:t>,</w:t>
      </w:r>
      <w:r w:rsidR="000D675F" w:rsidRPr="00813D19">
        <w:rPr>
          <w:lang w:val="en-US"/>
        </w:rPr>
        <w:t xml:space="preserve"> </w:t>
      </w:r>
      <w:r w:rsidR="003A7D6C">
        <w:rPr>
          <w:lang w:val="en-US"/>
        </w:rPr>
        <w:t>were</w:t>
      </w:r>
      <w:r w:rsidR="003A7D6C" w:rsidRPr="00813D19">
        <w:rPr>
          <w:lang w:val="en-US"/>
        </w:rPr>
        <w:t xml:space="preserve"> </w:t>
      </w:r>
      <w:r w:rsidR="00F745F1">
        <w:rPr>
          <w:lang w:val="en-US"/>
        </w:rPr>
        <w:t>respected.</w:t>
      </w:r>
    </w:p>
    <w:p w14:paraId="1E0C0B02" w14:textId="32D0D053" w:rsidR="003D0D72" w:rsidRPr="00F745F1" w:rsidRDefault="0056292E" w:rsidP="003D0D72">
      <w:pPr>
        <w:pStyle w:val="Orateurengris"/>
        <w:spacing w:after="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9E1C4F" w:rsidRPr="00813D19">
        <w:rPr>
          <w:lang w:val="en-US"/>
        </w:rPr>
        <w:t xml:space="preserve">thanked the </w:t>
      </w:r>
      <w:r w:rsidR="000D675F" w:rsidRPr="00813D19">
        <w:rPr>
          <w:lang w:val="en-US"/>
        </w:rPr>
        <w:t xml:space="preserve">Secretary for </w:t>
      </w:r>
      <w:r w:rsidR="009E1C4F" w:rsidRPr="00813D19">
        <w:rPr>
          <w:lang w:val="en-US"/>
        </w:rPr>
        <w:t xml:space="preserve">the comforting remarks, and turned to agenda </w:t>
      </w:r>
      <w:r w:rsidR="003D0D72" w:rsidRPr="00813D19">
        <w:rPr>
          <w:lang w:val="en-US"/>
        </w:rPr>
        <w:t>item 17 and the</w:t>
      </w:r>
      <w:r w:rsidR="000D675F" w:rsidRPr="00813D19">
        <w:rPr>
          <w:lang w:val="en-US"/>
        </w:rPr>
        <w:t xml:space="preserve"> Follow-up on the implementation of the relevant recommendations of the Open-Ended Working Group on the Governance, Procedures and Working Methods of </w:t>
      </w:r>
      <w:r w:rsidR="009E1C4F" w:rsidRPr="00813D19">
        <w:rPr>
          <w:lang w:val="en-US"/>
        </w:rPr>
        <w:t xml:space="preserve">the Governing Bodies of UNESCO, which </w:t>
      </w:r>
      <w:r w:rsidR="003A7D6C">
        <w:rPr>
          <w:lang w:val="en-US"/>
        </w:rPr>
        <w:t>had been</w:t>
      </w:r>
      <w:r w:rsidR="003A7D6C" w:rsidRPr="00813D19">
        <w:rPr>
          <w:lang w:val="en-US"/>
        </w:rPr>
        <w:t xml:space="preserve"> </w:t>
      </w:r>
      <w:r w:rsidR="000D675F" w:rsidRPr="00813D19">
        <w:rPr>
          <w:lang w:val="en-US"/>
        </w:rPr>
        <w:t xml:space="preserve">included at the request of the Committee </w:t>
      </w:r>
      <w:r w:rsidR="009E1C4F" w:rsidRPr="00813D19">
        <w:rPr>
          <w:lang w:val="en-US"/>
        </w:rPr>
        <w:t>in 2017.</w:t>
      </w:r>
    </w:p>
    <w:p w14:paraId="20816CA9" w14:textId="2651D6A9" w:rsidR="00FE7E54" w:rsidRPr="00813D19" w:rsidRDefault="00B46634" w:rsidP="00F745F1">
      <w:pPr>
        <w:pStyle w:val="Orateurengris"/>
        <w:keepNext/>
        <w:numPr>
          <w:ilvl w:val="0"/>
          <w:numId w:val="0"/>
        </w:numPr>
        <w:spacing w:before="360" w:after="60"/>
        <w:outlineLvl w:val="0"/>
        <w:rPr>
          <w:b/>
          <w:color w:val="000000" w:themeColor="text1"/>
          <w:lang w:val="en-US"/>
        </w:rPr>
      </w:pPr>
      <w:r w:rsidRPr="00813D19">
        <w:rPr>
          <w:b/>
          <w:color w:val="000000" w:themeColor="text1"/>
          <w:u w:val="single"/>
          <w:lang w:val="en-US"/>
        </w:rPr>
        <w:t>I</w:t>
      </w:r>
      <w:r w:rsidR="00F745F1">
        <w:rPr>
          <w:b/>
          <w:color w:val="000000" w:themeColor="text1"/>
          <w:u w:val="single"/>
          <w:lang w:val="en-US"/>
        </w:rPr>
        <w:t>TEM 17 OF THE AGENDA</w:t>
      </w:r>
    </w:p>
    <w:p w14:paraId="00D6274A" w14:textId="66B18F21" w:rsidR="00FE7E54" w:rsidRPr="00813D19" w:rsidRDefault="00FE7E54" w:rsidP="005966F6">
      <w:pPr>
        <w:pStyle w:val="Orateurengris"/>
        <w:keepNext/>
        <w:numPr>
          <w:ilvl w:val="0"/>
          <w:numId w:val="0"/>
        </w:numPr>
        <w:outlineLvl w:val="1"/>
        <w:rPr>
          <w:b/>
          <w:color w:val="000000" w:themeColor="text1"/>
          <w:lang w:val="en-US"/>
        </w:rPr>
      </w:pPr>
      <w:r w:rsidRPr="00813D19">
        <w:rPr>
          <w:b/>
          <w:color w:val="000000" w:themeColor="text1"/>
          <w:lang w:val="en-US"/>
        </w:rPr>
        <w:t>FOLLOW-UP ON THE IMPLEMENTATION OF THE RELEVANT RECOMMENDATIONS OF THE OPEN-ENDED WORKING GROUP ON THE GOVERNANCE, PROCEDURES AND WORKING METHODS OF THE GOVERNING BODIES OF UNESCO</w:t>
      </w:r>
    </w:p>
    <w:p w14:paraId="42E03AD2" w14:textId="642536D4" w:rsidR="00FE7E54" w:rsidRPr="00813D19" w:rsidRDefault="00FE7E54" w:rsidP="00F745F1">
      <w:pPr>
        <w:pStyle w:val="Orateurengris"/>
        <w:keepNext/>
        <w:numPr>
          <w:ilvl w:val="0"/>
          <w:numId w:val="0"/>
        </w:numPr>
        <w:spacing w:before="24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72" w:history="1">
        <w:r w:rsidRPr="00813D19">
          <w:rPr>
            <w:rStyle w:val="Hyperlink"/>
            <w:bCs/>
            <w:i/>
            <w:lang w:val="en-US"/>
          </w:rPr>
          <w:t>ITH/18/13.COM/17</w:t>
        </w:r>
      </w:hyperlink>
    </w:p>
    <w:p w14:paraId="2F3D7477" w14:textId="0003DFD8" w:rsidR="00FE7E54" w:rsidRPr="00813D19" w:rsidRDefault="00FE7E54" w:rsidP="00F745F1">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F745F1">
        <w:rPr>
          <w:b/>
          <w:bCs/>
          <w:color w:val="000000" w:themeColor="text1"/>
          <w:lang w:val="en-US"/>
        </w:rPr>
        <w:t>:</w:t>
      </w:r>
      <w:r w:rsidRPr="00813D19">
        <w:rPr>
          <w:color w:val="000000" w:themeColor="text1"/>
          <w:lang w:val="en-US"/>
        </w:rPr>
        <w:t xml:space="preserve"> </w:t>
      </w:r>
      <w:r w:rsidRPr="00813D19">
        <w:rPr>
          <w:color w:val="000000" w:themeColor="text1"/>
          <w:lang w:val="en-US"/>
        </w:rPr>
        <w:tab/>
      </w:r>
      <w:hyperlink r:id="rId173" w:history="1">
        <w:r w:rsidRPr="00813D19">
          <w:rPr>
            <w:rStyle w:val="Hyperlink"/>
            <w:i/>
            <w:lang w:val="en-US"/>
          </w:rPr>
          <w:t>13.COM 17</w:t>
        </w:r>
      </w:hyperlink>
    </w:p>
    <w:p w14:paraId="591D84C3" w14:textId="0F3227D3" w:rsidR="00550EF7" w:rsidRPr="00813D19" w:rsidRDefault="001E100E" w:rsidP="007C3FE7">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550EF7" w:rsidRPr="00813D19">
        <w:rPr>
          <w:lang w:val="en-US"/>
        </w:rPr>
        <w:t>introduced the next agenda item</w:t>
      </w:r>
      <w:r w:rsidR="002F3E0C">
        <w:rPr>
          <w:lang w:val="en-US"/>
        </w:rPr>
        <w:t>, item</w:t>
      </w:r>
      <w:r w:rsidR="00550EF7" w:rsidRPr="00813D19">
        <w:rPr>
          <w:lang w:val="en-US"/>
        </w:rPr>
        <w:t xml:space="preserve"> 17, recalling that it was </w:t>
      </w:r>
      <w:r w:rsidR="00FA58D6" w:rsidRPr="00813D19">
        <w:rPr>
          <w:lang w:val="en-US"/>
        </w:rPr>
        <w:t xml:space="preserve">included on </w:t>
      </w:r>
      <w:r w:rsidR="00550EF7" w:rsidRPr="00813D19">
        <w:rPr>
          <w:lang w:val="en-US"/>
        </w:rPr>
        <w:t xml:space="preserve">the </w:t>
      </w:r>
      <w:r w:rsidR="00BE672C" w:rsidRPr="00813D19">
        <w:rPr>
          <w:lang w:val="en-US"/>
        </w:rPr>
        <w:t xml:space="preserve">current </w:t>
      </w:r>
      <w:r w:rsidR="00FA58D6" w:rsidRPr="00813D19">
        <w:rPr>
          <w:lang w:val="en-US"/>
        </w:rPr>
        <w:t xml:space="preserve">agenda at the request of the Committee </w:t>
      </w:r>
      <w:r w:rsidR="00550EF7" w:rsidRPr="00813D19">
        <w:rPr>
          <w:lang w:val="en-US"/>
        </w:rPr>
        <w:t>a</w:t>
      </w:r>
      <w:r w:rsidR="00F745F1">
        <w:rPr>
          <w:lang w:val="en-US"/>
        </w:rPr>
        <w:t>t its twelfth session in 2017.</w:t>
      </w:r>
    </w:p>
    <w:p w14:paraId="38B9A592" w14:textId="4B8734B8" w:rsidR="007C2147" w:rsidRPr="00813D19" w:rsidRDefault="00550EF7" w:rsidP="00F939C8">
      <w:pPr>
        <w:pStyle w:val="Orateurengris"/>
        <w:spacing w:before="120"/>
        <w:ind w:left="709" w:hanging="709"/>
        <w:rPr>
          <w:lang w:val="en-US"/>
        </w:rPr>
      </w:pPr>
      <w:r w:rsidRPr="00813D19">
        <w:rPr>
          <w:lang w:val="en-US"/>
        </w:rPr>
        <w:t xml:space="preserve">Referring to Decision 12.COM 16, the </w:t>
      </w:r>
      <w:r w:rsidRPr="00813D19">
        <w:rPr>
          <w:b/>
          <w:lang w:val="en-US"/>
        </w:rPr>
        <w:t>Secretary</w:t>
      </w:r>
      <w:r w:rsidRPr="00813D19">
        <w:rPr>
          <w:lang w:val="en-US"/>
        </w:rPr>
        <w:t xml:space="preserve"> </w:t>
      </w:r>
      <w:r w:rsidR="00376486" w:rsidRPr="00813D19">
        <w:rPr>
          <w:lang w:val="en-US"/>
        </w:rPr>
        <w:t xml:space="preserve">confirmed </w:t>
      </w:r>
      <w:r w:rsidRPr="00813D19">
        <w:rPr>
          <w:lang w:val="en-US"/>
        </w:rPr>
        <w:t xml:space="preserve">that </w:t>
      </w:r>
      <w:r w:rsidR="00376486" w:rsidRPr="00813D19">
        <w:rPr>
          <w:lang w:val="en-US"/>
        </w:rPr>
        <w:t xml:space="preserve">the decision </w:t>
      </w:r>
      <w:r w:rsidR="002F3E0C">
        <w:rPr>
          <w:lang w:val="en-US"/>
        </w:rPr>
        <w:t>had</w:t>
      </w:r>
      <w:r w:rsidR="002F3E0C" w:rsidRPr="00813D19">
        <w:rPr>
          <w:lang w:val="en-US"/>
        </w:rPr>
        <w:t xml:space="preserve"> </w:t>
      </w:r>
      <w:r w:rsidR="00376486" w:rsidRPr="00813D19">
        <w:rPr>
          <w:lang w:val="en-US"/>
        </w:rPr>
        <w:t>indeed</w:t>
      </w:r>
      <w:r w:rsidR="002F3E0C">
        <w:rPr>
          <w:lang w:val="en-US"/>
        </w:rPr>
        <w:t xml:space="preserve"> been</w:t>
      </w:r>
      <w:r w:rsidR="00376486" w:rsidRPr="00813D19">
        <w:rPr>
          <w:lang w:val="en-US"/>
        </w:rPr>
        <w:t xml:space="preserve"> taken </w:t>
      </w:r>
      <w:r w:rsidR="0056292E" w:rsidRPr="00813D19">
        <w:rPr>
          <w:lang w:val="en-US"/>
        </w:rPr>
        <w:t xml:space="preserve">by the Committee </w:t>
      </w:r>
      <w:r w:rsidR="00376486" w:rsidRPr="00813D19">
        <w:rPr>
          <w:lang w:val="en-US"/>
        </w:rPr>
        <w:t>in 2017 to include this item on the agenda</w:t>
      </w:r>
      <w:r w:rsidR="0056292E" w:rsidRPr="00813D19">
        <w:rPr>
          <w:lang w:val="en-US"/>
        </w:rPr>
        <w:t>.</w:t>
      </w:r>
      <w:r w:rsidR="008F7FB1" w:rsidRPr="00813D19">
        <w:rPr>
          <w:rFonts w:eastAsia="Malgun Gothic"/>
          <w:lang w:val="en-US" w:eastAsia="ko-KR"/>
        </w:rPr>
        <w:t xml:space="preserve"> </w:t>
      </w:r>
      <w:r w:rsidR="00463883" w:rsidRPr="00813D19">
        <w:rPr>
          <w:rFonts w:eastAsia="Malgun Gothic"/>
          <w:lang w:val="en-US" w:eastAsia="ko-KR"/>
        </w:rPr>
        <w:t>Moreover, t</w:t>
      </w:r>
      <w:r w:rsidR="0056292E" w:rsidRPr="00813D19">
        <w:rPr>
          <w:rFonts w:eastAsia="Malgun Gothic"/>
          <w:lang w:val="en-US" w:eastAsia="ko-KR"/>
        </w:rPr>
        <w:t xml:space="preserve">he work of </w:t>
      </w:r>
      <w:r w:rsidR="0056292E" w:rsidRPr="00813D19">
        <w:rPr>
          <w:lang w:val="en-US"/>
        </w:rPr>
        <w:t>UNESCO’s house-wide Open-Ended Working Group on Governance Procedures and Working Methods of</w:t>
      </w:r>
      <w:r w:rsidR="00696DF6" w:rsidRPr="00813D19">
        <w:rPr>
          <w:lang w:val="en-US"/>
        </w:rPr>
        <w:t xml:space="preserve"> the Governing Bodies </w:t>
      </w:r>
      <w:r w:rsidR="00376486" w:rsidRPr="00813D19">
        <w:rPr>
          <w:rFonts w:eastAsia="Malgun Gothic"/>
          <w:lang w:val="en-US" w:eastAsia="ko-KR"/>
        </w:rPr>
        <w:t xml:space="preserve">had </w:t>
      </w:r>
      <w:r w:rsidR="0056292E" w:rsidRPr="00813D19">
        <w:rPr>
          <w:lang w:val="en-US"/>
        </w:rPr>
        <w:t xml:space="preserve">already </w:t>
      </w:r>
      <w:r w:rsidR="00376486" w:rsidRPr="00813D19">
        <w:rPr>
          <w:lang w:val="en-US"/>
        </w:rPr>
        <w:t xml:space="preserve">been </w:t>
      </w:r>
      <w:r w:rsidR="0056292E" w:rsidRPr="00813D19">
        <w:rPr>
          <w:lang w:val="en-US"/>
        </w:rPr>
        <w:t xml:space="preserve">discussed at the </w:t>
      </w:r>
      <w:r w:rsidR="00463883" w:rsidRPr="00813D19">
        <w:rPr>
          <w:lang w:val="en-US"/>
        </w:rPr>
        <w:t xml:space="preserve">Committee’s </w:t>
      </w:r>
      <w:r w:rsidR="0056292E" w:rsidRPr="00813D19">
        <w:rPr>
          <w:lang w:val="en-US"/>
        </w:rPr>
        <w:t>twelfth session</w:t>
      </w:r>
      <w:r w:rsidR="00463883" w:rsidRPr="00813D19">
        <w:rPr>
          <w:lang w:val="en-US"/>
        </w:rPr>
        <w:t xml:space="preserve">, as well as at </w:t>
      </w:r>
      <w:r w:rsidR="0056292E" w:rsidRPr="00813D19">
        <w:rPr>
          <w:lang w:val="en-US"/>
        </w:rPr>
        <w:t xml:space="preserve">the seventh session of the General Assembly in June </w:t>
      </w:r>
      <w:r w:rsidRPr="00813D19">
        <w:rPr>
          <w:lang w:val="en-US"/>
        </w:rPr>
        <w:t>2018</w:t>
      </w:r>
      <w:r w:rsidR="008F7FB1" w:rsidRPr="00813D19">
        <w:rPr>
          <w:lang w:val="en-US"/>
        </w:rPr>
        <w:t xml:space="preserve">. </w:t>
      </w:r>
      <w:r w:rsidR="00463883" w:rsidRPr="00813D19">
        <w:rPr>
          <w:lang w:val="en-US"/>
        </w:rPr>
        <w:t>It was recalled that</w:t>
      </w:r>
      <w:r w:rsidR="002F3E0C">
        <w:rPr>
          <w:lang w:val="en-US"/>
        </w:rPr>
        <w:t>, at its twelfth session,</w:t>
      </w:r>
      <w:r w:rsidR="00463883" w:rsidRPr="00813D19">
        <w:rPr>
          <w:lang w:val="en-US"/>
        </w:rPr>
        <w:t xml:space="preserve"> the Committee </w:t>
      </w:r>
      <w:r w:rsidR="002F3E0C">
        <w:rPr>
          <w:lang w:val="en-US"/>
        </w:rPr>
        <w:t>had</w:t>
      </w:r>
      <w:r w:rsidRPr="00813D19">
        <w:rPr>
          <w:lang w:val="en-US"/>
        </w:rPr>
        <w:t xml:space="preserve"> </w:t>
      </w:r>
      <w:r w:rsidR="00463883" w:rsidRPr="00813D19">
        <w:rPr>
          <w:lang w:val="en-US"/>
        </w:rPr>
        <w:t>focused on R</w:t>
      </w:r>
      <w:r w:rsidR="0056292E" w:rsidRPr="00813D19">
        <w:rPr>
          <w:lang w:val="en-US"/>
        </w:rPr>
        <w:t>ecommendation 107 that specificall</w:t>
      </w:r>
      <w:r w:rsidRPr="00813D19">
        <w:rPr>
          <w:lang w:val="en-US"/>
        </w:rPr>
        <w:t xml:space="preserve">y addressed the 2003 Convention, which </w:t>
      </w:r>
      <w:r w:rsidR="00463883" w:rsidRPr="00813D19">
        <w:rPr>
          <w:lang w:val="en-US"/>
        </w:rPr>
        <w:t>states, ‘</w:t>
      </w:r>
      <w:r w:rsidRPr="00813D19">
        <w:rPr>
          <w:lang w:val="en-US"/>
        </w:rPr>
        <w:t xml:space="preserve">the need </w:t>
      </w:r>
      <w:r w:rsidR="00BB4324" w:rsidRPr="00813D19">
        <w:rPr>
          <w:lang w:val="en-US"/>
        </w:rPr>
        <w:t>to strengthen decision-making procedures and credibility of Committee, taking due note of Ad Hoc Working Group established to address these issues</w:t>
      </w:r>
      <w:r w:rsidR="00463883" w:rsidRPr="00813D19">
        <w:rPr>
          <w:lang w:val="en-US"/>
        </w:rPr>
        <w:t>’</w:t>
      </w:r>
      <w:r w:rsidR="00BB4324" w:rsidRPr="00813D19">
        <w:rPr>
          <w:lang w:val="en-US"/>
        </w:rPr>
        <w:t>.</w:t>
      </w:r>
      <w:r w:rsidRPr="00813D19">
        <w:rPr>
          <w:lang w:val="en-US"/>
        </w:rPr>
        <w:t xml:space="preserve"> </w:t>
      </w:r>
      <w:r w:rsidR="00463883" w:rsidRPr="00813D19">
        <w:rPr>
          <w:lang w:val="en-US"/>
        </w:rPr>
        <w:t>B</w:t>
      </w:r>
      <w:r w:rsidR="0056292E" w:rsidRPr="00813D19">
        <w:rPr>
          <w:lang w:val="en-US"/>
        </w:rPr>
        <w:t xml:space="preserve">ased on the deliberations of the twelfth session of the Committee, </w:t>
      </w:r>
      <w:r w:rsidR="00463883" w:rsidRPr="00813D19">
        <w:rPr>
          <w:lang w:val="en-US"/>
        </w:rPr>
        <w:t xml:space="preserve">at the seventh General Assembly </w:t>
      </w:r>
      <w:r w:rsidR="0056292E" w:rsidRPr="00813D19">
        <w:rPr>
          <w:lang w:val="en-US"/>
        </w:rPr>
        <w:t xml:space="preserve">the Secretariat </w:t>
      </w:r>
      <w:r w:rsidR="002F3E0C">
        <w:rPr>
          <w:lang w:val="en-US"/>
        </w:rPr>
        <w:t xml:space="preserve">had </w:t>
      </w:r>
      <w:r w:rsidR="0056292E" w:rsidRPr="00813D19">
        <w:rPr>
          <w:lang w:val="en-US"/>
        </w:rPr>
        <w:t xml:space="preserve">prepared a table </w:t>
      </w:r>
      <w:r w:rsidR="00463883" w:rsidRPr="00813D19">
        <w:rPr>
          <w:lang w:val="en-US"/>
        </w:rPr>
        <w:t>containing</w:t>
      </w:r>
      <w:r w:rsidR="0056292E" w:rsidRPr="00813D19">
        <w:rPr>
          <w:lang w:val="en-US"/>
        </w:rPr>
        <w:t xml:space="preserve"> </w:t>
      </w:r>
      <w:r w:rsidR="002F3E0C">
        <w:rPr>
          <w:lang w:val="en-US"/>
        </w:rPr>
        <w:t xml:space="preserve">twenty-six </w:t>
      </w:r>
      <w:r w:rsidR="0056292E" w:rsidRPr="00813D19">
        <w:rPr>
          <w:lang w:val="en-US"/>
        </w:rPr>
        <w:t>recommendations of direct re</w:t>
      </w:r>
      <w:r w:rsidR="00463883" w:rsidRPr="00813D19">
        <w:rPr>
          <w:lang w:val="en-US"/>
        </w:rPr>
        <w:t>levance to the 2003 Convention</w:t>
      </w:r>
      <w:r w:rsidR="002F3E0C">
        <w:rPr>
          <w:lang w:val="en-US"/>
        </w:rPr>
        <w:t>,</w:t>
      </w:r>
      <w:r w:rsidR="00463883" w:rsidRPr="00813D19">
        <w:rPr>
          <w:lang w:val="en-US"/>
        </w:rPr>
        <w:t xml:space="preserve"> with a </w:t>
      </w:r>
      <w:r w:rsidR="0056292E" w:rsidRPr="00813D19">
        <w:rPr>
          <w:lang w:val="en-US"/>
        </w:rPr>
        <w:t xml:space="preserve">description of </w:t>
      </w:r>
      <w:r w:rsidR="00463883" w:rsidRPr="00813D19">
        <w:rPr>
          <w:lang w:val="en-US"/>
        </w:rPr>
        <w:t xml:space="preserve">each of </w:t>
      </w:r>
      <w:r w:rsidR="0056292E" w:rsidRPr="00813D19">
        <w:rPr>
          <w:lang w:val="en-US"/>
        </w:rPr>
        <w:t>their situations at that time. T</w:t>
      </w:r>
      <w:r w:rsidRPr="00813D19">
        <w:rPr>
          <w:lang w:val="en-US"/>
        </w:rPr>
        <w:t>hese recommendations were analy</w:t>
      </w:r>
      <w:r w:rsidR="00A84307">
        <w:rPr>
          <w:lang w:val="en-US"/>
        </w:rPr>
        <w:t>z</w:t>
      </w:r>
      <w:r w:rsidR="0056292E" w:rsidRPr="00813D19">
        <w:rPr>
          <w:lang w:val="en-US"/>
        </w:rPr>
        <w:t>ed in terms of four categories</w:t>
      </w:r>
      <w:r w:rsidR="002F3E0C">
        <w:rPr>
          <w:lang w:val="en-US"/>
        </w:rPr>
        <w:t>:</w:t>
      </w:r>
      <w:r w:rsidR="0056292E" w:rsidRPr="00813D19">
        <w:rPr>
          <w:lang w:val="en-US"/>
        </w:rPr>
        <w:t xml:space="preserve"> ‘closed’, ‘ongoing’, ‘action proposed’ and ‘ac</w:t>
      </w:r>
      <w:r w:rsidR="00463883" w:rsidRPr="00813D19">
        <w:rPr>
          <w:lang w:val="en-US"/>
        </w:rPr>
        <w:t>tion required by States Parties’</w:t>
      </w:r>
      <w:r w:rsidR="0056292E" w:rsidRPr="00813D19">
        <w:rPr>
          <w:lang w:val="en-US"/>
        </w:rPr>
        <w:t>.</w:t>
      </w:r>
      <w:r w:rsidR="008F7FB1" w:rsidRPr="00813D19">
        <w:rPr>
          <w:lang w:val="en-US"/>
        </w:rPr>
        <w:t xml:space="preserve"> </w:t>
      </w:r>
      <w:r w:rsidR="0056292E" w:rsidRPr="00813D19">
        <w:rPr>
          <w:lang w:val="en-US"/>
        </w:rPr>
        <w:t xml:space="preserve">The Assembly noted </w:t>
      </w:r>
      <w:r w:rsidR="00463883" w:rsidRPr="00813D19">
        <w:rPr>
          <w:lang w:val="en-US"/>
        </w:rPr>
        <w:t>two parallel processes</w:t>
      </w:r>
      <w:r w:rsidR="0056292E" w:rsidRPr="00813D19">
        <w:rPr>
          <w:lang w:val="en-US"/>
        </w:rPr>
        <w:t xml:space="preserve"> linked to the issue of governance: </w:t>
      </w:r>
      <w:r w:rsidR="00463883" w:rsidRPr="00813D19">
        <w:rPr>
          <w:lang w:val="en-US"/>
        </w:rPr>
        <w:t xml:space="preserve">i) </w:t>
      </w:r>
      <w:r w:rsidR="0056292E" w:rsidRPr="00813D19">
        <w:rPr>
          <w:lang w:val="en-US"/>
        </w:rPr>
        <w:t xml:space="preserve">one was prompted by Resolution </w:t>
      </w:r>
      <w:hyperlink r:id="rId174" w:history="1">
        <w:r w:rsidR="0056292E" w:rsidRPr="00813D19">
          <w:rPr>
            <w:rStyle w:val="Hyperlink"/>
            <w:lang w:val="en-US"/>
          </w:rPr>
          <w:t>6.GA 11</w:t>
        </w:r>
      </w:hyperlink>
      <w:r w:rsidR="0056292E" w:rsidRPr="00813D19">
        <w:rPr>
          <w:lang w:val="en-US"/>
        </w:rPr>
        <w:t xml:space="preserve"> on harmonizing the Rules of Procedure of the different culture conventions of UNESCO; and </w:t>
      </w:r>
      <w:r w:rsidR="00463883" w:rsidRPr="00813D19">
        <w:rPr>
          <w:lang w:val="en-US"/>
        </w:rPr>
        <w:t xml:space="preserve">ii) one </w:t>
      </w:r>
      <w:r w:rsidR="00412728" w:rsidRPr="00813D19">
        <w:rPr>
          <w:lang w:val="en-US"/>
        </w:rPr>
        <w:t>concerned</w:t>
      </w:r>
      <w:r w:rsidR="0056292E" w:rsidRPr="00813D19">
        <w:rPr>
          <w:lang w:val="en-US"/>
        </w:rPr>
        <w:t xml:space="preserve"> the recommendations of the Open-Ended Working Group on Governance.</w:t>
      </w:r>
      <w:r w:rsidR="008F7FB1" w:rsidRPr="00813D19">
        <w:rPr>
          <w:lang w:val="en-US"/>
        </w:rPr>
        <w:t xml:space="preserve"> </w:t>
      </w:r>
      <w:r w:rsidR="0056292E" w:rsidRPr="00813D19">
        <w:rPr>
          <w:lang w:val="en-US"/>
        </w:rPr>
        <w:t xml:space="preserve">This </w:t>
      </w:r>
      <w:r w:rsidR="00412728" w:rsidRPr="00813D19">
        <w:rPr>
          <w:lang w:val="en-US"/>
        </w:rPr>
        <w:t>was</w:t>
      </w:r>
      <w:r w:rsidR="0056292E" w:rsidRPr="00813D19">
        <w:rPr>
          <w:lang w:val="en-US"/>
        </w:rPr>
        <w:t xml:space="preserve"> particularly </w:t>
      </w:r>
      <w:r w:rsidR="00412728" w:rsidRPr="00813D19">
        <w:rPr>
          <w:lang w:val="en-US"/>
        </w:rPr>
        <w:t>valid</w:t>
      </w:r>
      <w:r w:rsidR="0056292E" w:rsidRPr="00813D19">
        <w:rPr>
          <w:lang w:val="en-US"/>
        </w:rPr>
        <w:t xml:space="preserve"> because some of the recommendations of the Open-Ended Working Group call</w:t>
      </w:r>
      <w:r w:rsidR="00412728" w:rsidRPr="00813D19">
        <w:rPr>
          <w:lang w:val="en-US"/>
        </w:rPr>
        <w:t>ed</w:t>
      </w:r>
      <w:r w:rsidR="0056292E" w:rsidRPr="00813D19">
        <w:rPr>
          <w:lang w:val="en-US"/>
        </w:rPr>
        <w:t xml:space="preserve"> for harmonization of the rules and procedure of the international and intergovernmental bodies of UNESCO.</w:t>
      </w:r>
    </w:p>
    <w:p w14:paraId="632D68A2" w14:textId="4B32044F" w:rsidR="0056292E" w:rsidRPr="00813D19" w:rsidRDefault="007C2147" w:rsidP="00F939C8">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explained that faced with a </w:t>
      </w:r>
      <w:r w:rsidR="0056292E" w:rsidRPr="00813D19">
        <w:rPr>
          <w:lang w:val="en-US"/>
        </w:rPr>
        <w:t xml:space="preserve">situation of two parallel processes, the General Assembly considered that these two issues </w:t>
      </w:r>
      <w:r w:rsidR="00173990" w:rsidRPr="00813D19">
        <w:rPr>
          <w:lang w:val="en-US"/>
        </w:rPr>
        <w:t xml:space="preserve">should </w:t>
      </w:r>
      <w:r w:rsidR="0056292E" w:rsidRPr="00813D19">
        <w:rPr>
          <w:lang w:val="en-US"/>
        </w:rPr>
        <w:t xml:space="preserve">not be discussed in isolation. </w:t>
      </w:r>
      <w:r w:rsidRPr="00813D19">
        <w:rPr>
          <w:lang w:val="en-US"/>
        </w:rPr>
        <w:t>T</w:t>
      </w:r>
      <w:r w:rsidR="0056292E" w:rsidRPr="00813D19">
        <w:rPr>
          <w:lang w:val="en-US"/>
        </w:rPr>
        <w:t xml:space="preserve">he Assembly </w:t>
      </w:r>
      <w:r w:rsidR="00D7122E" w:rsidRPr="00813D19">
        <w:rPr>
          <w:lang w:val="en-US"/>
        </w:rPr>
        <w:t xml:space="preserve">had </w:t>
      </w:r>
      <w:r w:rsidR="002F3E0C">
        <w:rPr>
          <w:lang w:val="en-US"/>
        </w:rPr>
        <w:t xml:space="preserve">therefore </w:t>
      </w:r>
      <w:r w:rsidR="0056292E" w:rsidRPr="00813D19">
        <w:rPr>
          <w:lang w:val="en-US"/>
        </w:rPr>
        <w:t xml:space="preserve">adopted Resolution </w:t>
      </w:r>
      <w:hyperlink r:id="rId175" w:history="1">
        <w:r w:rsidR="0056292E" w:rsidRPr="00813D19">
          <w:rPr>
            <w:rStyle w:val="Hyperlink"/>
            <w:lang w:val="en-US"/>
          </w:rPr>
          <w:t>7.GA 13</w:t>
        </w:r>
      </w:hyperlink>
      <w:r w:rsidR="0056292E" w:rsidRPr="00813D19">
        <w:rPr>
          <w:lang w:val="en-US"/>
        </w:rPr>
        <w:t xml:space="preserve"> to consider the amendments to the Rules of Procedure of the General Assembly within the framework of the recommendations </w:t>
      </w:r>
      <w:r w:rsidR="00412728" w:rsidRPr="00813D19">
        <w:rPr>
          <w:lang w:val="en-US"/>
        </w:rPr>
        <w:t>of the Open-Ended Working Group</w:t>
      </w:r>
      <w:r w:rsidR="0056292E" w:rsidRPr="00813D19">
        <w:rPr>
          <w:lang w:val="en-US"/>
        </w:rPr>
        <w:t xml:space="preserve"> in order to produce a single set of consolidated amendments.</w:t>
      </w:r>
      <w:r w:rsidR="008F7FB1" w:rsidRPr="00813D19">
        <w:rPr>
          <w:lang w:val="en-US"/>
        </w:rPr>
        <w:t xml:space="preserve"> </w:t>
      </w:r>
      <w:r w:rsidR="0056292E" w:rsidRPr="00813D19">
        <w:rPr>
          <w:lang w:val="en-US"/>
        </w:rPr>
        <w:t xml:space="preserve">The Assembly </w:t>
      </w:r>
      <w:r w:rsidR="006212DB" w:rsidRPr="00813D19">
        <w:rPr>
          <w:lang w:val="en-US"/>
        </w:rPr>
        <w:t xml:space="preserve">had </w:t>
      </w:r>
      <w:r w:rsidR="0056292E" w:rsidRPr="00813D19">
        <w:rPr>
          <w:lang w:val="en-US"/>
        </w:rPr>
        <w:t xml:space="preserve">also called upon the Culture Sector </w:t>
      </w:r>
      <w:r w:rsidR="00412728" w:rsidRPr="00813D19">
        <w:rPr>
          <w:lang w:val="en-US"/>
        </w:rPr>
        <w:t>to facilitate</w:t>
      </w:r>
      <w:r w:rsidR="0056292E" w:rsidRPr="00813D19">
        <w:rPr>
          <w:lang w:val="en-US"/>
        </w:rPr>
        <w:t xml:space="preserve"> the process ‘by providing a matrix containing the consolidated amendments to the rules of procedure of the above-mentioned bodies’.</w:t>
      </w:r>
      <w:r w:rsidRPr="00813D19">
        <w:rPr>
          <w:bCs/>
          <w:lang w:val="en-US"/>
        </w:rPr>
        <w:t xml:space="preserve"> </w:t>
      </w:r>
      <w:r w:rsidR="0056292E" w:rsidRPr="00813D19">
        <w:rPr>
          <w:lang w:val="en-US"/>
        </w:rPr>
        <w:t xml:space="preserve">Following the seventh session of the General Assembly, the Cultural Conventions Liaison Group (CCLG) </w:t>
      </w:r>
      <w:r w:rsidR="002F3E0C">
        <w:rPr>
          <w:lang w:val="en-US"/>
        </w:rPr>
        <w:t xml:space="preserve">had </w:t>
      </w:r>
      <w:r w:rsidR="0056292E" w:rsidRPr="00813D19">
        <w:rPr>
          <w:lang w:val="en-US"/>
        </w:rPr>
        <w:t>discussed Resolution 7.GA 13 and decided on the necessary steps for the preparation of the matrix.</w:t>
      </w:r>
      <w:r w:rsidR="00173990" w:rsidRPr="00813D19">
        <w:rPr>
          <w:lang w:val="en-US"/>
        </w:rPr>
        <w:t xml:space="preserve"> </w:t>
      </w:r>
      <w:r w:rsidR="000572A1" w:rsidRPr="00813D19">
        <w:rPr>
          <w:lang w:val="en-US"/>
        </w:rPr>
        <w:t xml:space="preserve">It was noteworthy </w:t>
      </w:r>
      <w:r w:rsidR="0056292E" w:rsidRPr="00813D19">
        <w:rPr>
          <w:lang w:val="en-US"/>
        </w:rPr>
        <w:t xml:space="preserve">that for the </w:t>
      </w:r>
      <w:r w:rsidR="000572A1" w:rsidRPr="00813D19">
        <w:rPr>
          <w:lang w:val="en-US"/>
        </w:rPr>
        <w:t xml:space="preserve">2018 </w:t>
      </w:r>
      <w:r w:rsidR="0056292E" w:rsidRPr="00813D19">
        <w:rPr>
          <w:lang w:val="en-US"/>
        </w:rPr>
        <w:t>publication of the Basic Texts, the Secretariat ensured that gender-neutral language was used</w:t>
      </w:r>
      <w:r w:rsidR="000572A1" w:rsidRPr="00813D19">
        <w:rPr>
          <w:lang w:val="en-US"/>
        </w:rPr>
        <w:t xml:space="preserve">, </w:t>
      </w:r>
      <w:r w:rsidR="0056292E" w:rsidRPr="00813D19">
        <w:rPr>
          <w:lang w:val="en-US"/>
        </w:rPr>
        <w:t xml:space="preserve">according to </w:t>
      </w:r>
      <w:r w:rsidR="002F3E0C">
        <w:rPr>
          <w:lang w:val="en-US"/>
        </w:rPr>
        <w:t>R</w:t>
      </w:r>
      <w:r w:rsidR="0056292E" w:rsidRPr="00813D19">
        <w:rPr>
          <w:lang w:val="en-US"/>
        </w:rPr>
        <w:t xml:space="preserve">ecommendation 73 and Resolution </w:t>
      </w:r>
      <w:hyperlink r:id="rId176" w:history="1">
        <w:r w:rsidR="0056292E" w:rsidRPr="00813D19">
          <w:rPr>
            <w:rStyle w:val="Hyperlink"/>
            <w:lang w:val="en-US"/>
          </w:rPr>
          <w:t>7.GA 12</w:t>
        </w:r>
      </w:hyperlink>
      <w:r w:rsidR="0056292E" w:rsidRPr="00813D19">
        <w:rPr>
          <w:lang w:val="en-US"/>
        </w:rPr>
        <w:t>.</w:t>
      </w:r>
      <w:r w:rsidR="00173990" w:rsidRPr="00813D19">
        <w:rPr>
          <w:b/>
          <w:bCs/>
          <w:lang w:val="en-US"/>
        </w:rPr>
        <w:t xml:space="preserve"> </w:t>
      </w:r>
      <w:r w:rsidR="000572A1" w:rsidRPr="00813D19">
        <w:rPr>
          <w:bCs/>
          <w:lang w:val="en-US"/>
        </w:rPr>
        <w:t>D</w:t>
      </w:r>
      <w:r w:rsidR="0056292E" w:rsidRPr="00813D19">
        <w:rPr>
          <w:bCs/>
          <w:lang w:val="en-US"/>
        </w:rPr>
        <w:t>ocument</w:t>
      </w:r>
      <w:r w:rsidR="0056292E" w:rsidRPr="00813D19">
        <w:rPr>
          <w:b/>
          <w:bCs/>
          <w:lang w:val="en-US"/>
        </w:rPr>
        <w:t xml:space="preserve"> </w:t>
      </w:r>
      <w:r w:rsidR="000572A1" w:rsidRPr="00813D19">
        <w:rPr>
          <w:bCs/>
          <w:lang w:val="en-US"/>
        </w:rPr>
        <w:t>17</w:t>
      </w:r>
      <w:r w:rsidR="000572A1" w:rsidRPr="00813D19">
        <w:rPr>
          <w:b/>
          <w:bCs/>
          <w:lang w:val="en-US"/>
        </w:rPr>
        <w:t xml:space="preserve"> </w:t>
      </w:r>
      <w:r w:rsidR="000572A1" w:rsidRPr="00813D19">
        <w:rPr>
          <w:lang w:val="en-US"/>
        </w:rPr>
        <w:t>presented</w:t>
      </w:r>
      <w:r w:rsidR="002800F7" w:rsidRPr="00813D19">
        <w:rPr>
          <w:lang w:val="en-US"/>
        </w:rPr>
        <w:t xml:space="preserve"> </w:t>
      </w:r>
      <w:r w:rsidR="002F3E0C">
        <w:rPr>
          <w:lang w:val="en-US"/>
        </w:rPr>
        <w:t xml:space="preserve">not only </w:t>
      </w:r>
      <w:r w:rsidR="0056292E" w:rsidRPr="00813D19">
        <w:rPr>
          <w:lang w:val="en-US"/>
        </w:rPr>
        <w:t>the status of recommendations</w:t>
      </w:r>
      <w:r w:rsidR="006212DB" w:rsidRPr="00813D19">
        <w:rPr>
          <w:lang w:val="en-US"/>
        </w:rPr>
        <w:t>,</w:t>
      </w:r>
      <w:r w:rsidR="0056292E" w:rsidRPr="00813D19">
        <w:rPr>
          <w:lang w:val="en-US"/>
        </w:rPr>
        <w:t xml:space="preserve"> as presented to the General Assembly</w:t>
      </w:r>
      <w:r w:rsidR="002800F7" w:rsidRPr="00813D19">
        <w:rPr>
          <w:lang w:val="en-US"/>
        </w:rPr>
        <w:t>,</w:t>
      </w:r>
      <w:r w:rsidR="0056292E" w:rsidRPr="00813D19">
        <w:rPr>
          <w:lang w:val="en-US"/>
        </w:rPr>
        <w:t xml:space="preserve"> but also the progress made </w:t>
      </w:r>
      <w:r w:rsidR="006212DB" w:rsidRPr="00813D19">
        <w:rPr>
          <w:lang w:val="en-US"/>
        </w:rPr>
        <w:t xml:space="preserve">in implementing them </w:t>
      </w:r>
      <w:r w:rsidR="0056292E" w:rsidRPr="00813D19">
        <w:rPr>
          <w:lang w:val="en-US"/>
        </w:rPr>
        <w:t>since the seventh session of the General Assembly.</w:t>
      </w:r>
      <w:r w:rsidR="00173990" w:rsidRPr="00813D19">
        <w:rPr>
          <w:lang w:val="en-US"/>
        </w:rPr>
        <w:t xml:space="preserve"> </w:t>
      </w:r>
      <w:r w:rsidR="006212DB" w:rsidRPr="00813D19">
        <w:rPr>
          <w:lang w:val="en-US"/>
        </w:rPr>
        <w:t>The draft decision suggested</w:t>
      </w:r>
      <w:r w:rsidR="0056292E" w:rsidRPr="00813D19">
        <w:rPr>
          <w:lang w:val="en-US"/>
        </w:rPr>
        <w:t xml:space="preserve"> that the Committee </w:t>
      </w:r>
      <w:r w:rsidR="006212DB" w:rsidRPr="00813D19">
        <w:rPr>
          <w:lang w:val="en-US"/>
        </w:rPr>
        <w:t xml:space="preserve">take </w:t>
      </w:r>
      <w:r w:rsidR="0056292E" w:rsidRPr="00813D19">
        <w:rPr>
          <w:lang w:val="en-US"/>
        </w:rPr>
        <w:t xml:space="preserve">note </w:t>
      </w:r>
      <w:r w:rsidR="006212DB" w:rsidRPr="00813D19">
        <w:rPr>
          <w:lang w:val="en-US"/>
        </w:rPr>
        <w:t xml:space="preserve">of </w:t>
      </w:r>
      <w:r w:rsidR="0056292E" w:rsidRPr="00813D19">
        <w:rPr>
          <w:lang w:val="en-US"/>
        </w:rPr>
        <w:t>the status of recommendations regarding the Convention</w:t>
      </w:r>
      <w:r w:rsidR="002800F7" w:rsidRPr="00813D19">
        <w:rPr>
          <w:lang w:val="en-US"/>
        </w:rPr>
        <w:t>,</w:t>
      </w:r>
      <w:r w:rsidR="0056292E" w:rsidRPr="00813D19">
        <w:rPr>
          <w:lang w:val="en-US"/>
        </w:rPr>
        <w:t xml:space="preserve"> as well as the ongoing efforts of the Culture Sector in harmonizing the rules of procedure of the gover</w:t>
      </w:r>
      <w:r w:rsidR="009E019C" w:rsidRPr="00813D19">
        <w:rPr>
          <w:lang w:val="en-US"/>
        </w:rPr>
        <w:t>ning bodies of the six culture C</w:t>
      </w:r>
      <w:r w:rsidR="0056292E" w:rsidRPr="00813D19">
        <w:rPr>
          <w:lang w:val="en-US"/>
        </w:rPr>
        <w:t>onventions</w:t>
      </w:r>
      <w:r w:rsidR="00F939C8" w:rsidRPr="00813D19">
        <w:rPr>
          <w:lang w:val="en-US"/>
        </w:rPr>
        <w:t>.</w:t>
      </w:r>
    </w:p>
    <w:p w14:paraId="7F23F5AA" w14:textId="31BAE85F" w:rsidR="00F939C8" w:rsidRPr="00813D19" w:rsidRDefault="00F939C8" w:rsidP="00F939C8">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2800F7" w:rsidRPr="00813D19">
        <w:rPr>
          <w:lang w:val="en-US"/>
        </w:rPr>
        <w:t>opened the floor for comments.</w:t>
      </w:r>
    </w:p>
    <w:p w14:paraId="4DB614C3" w14:textId="58DC37A5" w:rsidR="00FA58D6" w:rsidRPr="00813D19" w:rsidRDefault="00F939C8" w:rsidP="00F939C8">
      <w:pPr>
        <w:pStyle w:val="Orateurengris"/>
        <w:spacing w:before="120"/>
        <w:ind w:left="709" w:hanging="709"/>
        <w:rPr>
          <w:lang w:val="en-US"/>
        </w:rPr>
      </w:pPr>
      <w:r w:rsidRPr="00813D19">
        <w:rPr>
          <w:lang w:val="en-US"/>
        </w:rPr>
        <w:t xml:space="preserve">The </w:t>
      </w:r>
      <w:r w:rsidRPr="00813D19">
        <w:rPr>
          <w:b/>
          <w:lang w:val="en-US"/>
        </w:rPr>
        <w:t>delegation of the Philippines</w:t>
      </w:r>
      <w:r w:rsidR="000D675F" w:rsidRPr="00813D19">
        <w:rPr>
          <w:b/>
          <w:lang w:val="en-US"/>
        </w:rPr>
        <w:t xml:space="preserve"> </w:t>
      </w:r>
      <w:r w:rsidR="000D675F" w:rsidRPr="00813D19">
        <w:rPr>
          <w:lang w:val="en-US"/>
        </w:rPr>
        <w:t>congratulate</w:t>
      </w:r>
      <w:r w:rsidR="00903AA3" w:rsidRPr="00813D19">
        <w:rPr>
          <w:lang w:val="en-US"/>
        </w:rPr>
        <w:t>d</w:t>
      </w:r>
      <w:r w:rsidR="000D675F" w:rsidRPr="00813D19">
        <w:rPr>
          <w:lang w:val="en-US"/>
        </w:rPr>
        <w:t xml:space="preserve"> the Secretariat for </w:t>
      </w:r>
      <w:r w:rsidR="00903AA3" w:rsidRPr="00813D19">
        <w:rPr>
          <w:lang w:val="en-US"/>
        </w:rPr>
        <w:t xml:space="preserve">its excellent work on this item, which it had </w:t>
      </w:r>
      <w:r w:rsidR="000D675F" w:rsidRPr="00813D19">
        <w:rPr>
          <w:lang w:val="en-US"/>
        </w:rPr>
        <w:t>closely followed and supported over the years. In particular</w:t>
      </w:r>
      <w:r w:rsidR="00903AA3" w:rsidRPr="00813D19">
        <w:rPr>
          <w:lang w:val="en-US"/>
        </w:rPr>
        <w:t xml:space="preserve">, it </w:t>
      </w:r>
      <w:r w:rsidR="000D675F" w:rsidRPr="00813D19">
        <w:rPr>
          <w:lang w:val="en-US"/>
        </w:rPr>
        <w:t>welcome</w:t>
      </w:r>
      <w:r w:rsidR="00903AA3" w:rsidRPr="00813D19">
        <w:rPr>
          <w:lang w:val="en-US"/>
        </w:rPr>
        <w:t>d the publication of the Basic T</w:t>
      </w:r>
      <w:r w:rsidR="000D675F" w:rsidRPr="00813D19">
        <w:rPr>
          <w:lang w:val="en-US"/>
        </w:rPr>
        <w:t>exts with gender-neutral language</w:t>
      </w:r>
      <w:r w:rsidR="00903AA3" w:rsidRPr="00813D19">
        <w:rPr>
          <w:lang w:val="en-US"/>
        </w:rPr>
        <w:t>,</w:t>
      </w:r>
      <w:r w:rsidR="000D675F" w:rsidRPr="00813D19">
        <w:rPr>
          <w:lang w:val="en-US"/>
        </w:rPr>
        <w:t xml:space="preserve"> and </w:t>
      </w:r>
      <w:r w:rsidR="002F3E0C">
        <w:rPr>
          <w:lang w:val="en-US"/>
        </w:rPr>
        <w:t>R</w:t>
      </w:r>
      <w:r w:rsidR="000D675F" w:rsidRPr="00813D19">
        <w:rPr>
          <w:lang w:val="en-US"/>
        </w:rPr>
        <w:t>ecommendation 67 on harmonization of the composition of the Bureau</w:t>
      </w:r>
      <w:r w:rsidR="002F3E0C">
        <w:rPr>
          <w:lang w:val="en-US"/>
        </w:rPr>
        <w:t>,</w:t>
      </w:r>
      <w:r w:rsidR="000D675F" w:rsidRPr="00813D19">
        <w:rPr>
          <w:lang w:val="en-US"/>
        </w:rPr>
        <w:t xml:space="preserve"> as </w:t>
      </w:r>
      <w:r w:rsidR="00D7122E" w:rsidRPr="00813D19">
        <w:rPr>
          <w:lang w:val="en-US"/>
        </w:rPr>
        <w:t>mentioned</w:t>
      </w:r>
      <w:r w:rsidR="00903AA3" w:rsidRPr="00813D19">
        <w:rPr>
          <w:lang w:val="en-US"/>
        </w:rPr>
        <w:t xml:space="preserve"> by the Secretary</w:t>
      </w:r>
      <w:r w:rsidR="000D675F" w:rsidRPr="00813D19">
        <w:rPr>
          <w:lang w:val="en-US"/>
        </w:rPr>
        <w:t xml:space="preserve">. </w:t>
      </w:r>
      <w:r w:rsidR="00903AA3" w:rsidRPr="00813D19">
        <w:rPr>
          <w:lang w:val="en-US"/>
        </w:rPr>
        <w:t xml:space="preserve">The delegation was also </w:t>
      </w:r>
      <w:r w:rsidR="000D675F" w:rsidRPr="00813D19">
        <w:rPr>
          <w:lang w:val="en-US"/>
        </w:rPr>
        <w:t xml:space="preserve">in favour of amending the Rules of Procedure of the Committee at a future date at the General Assembly. </w:t>
      </w:r>
      <w:r w:rsidR="00903AA3" w:rsidRPr="00813D19">
        <w:rPr>
          <w:lang w:val="en-US"/>
        </w:rPr>
        <w:t>It also had a</w:t>
      </w:r>
      <w:r w:rsidR="000D675F" w:rsidRPr="00813D19">
        <w:rPr>
          <w:lang w:val="en-US"/>
        </w:rPr>
        <w:t xml:space="preserve"> slight technical amendment to the draft decision</w:t>
      </w:r>
      <w:r w:rsidR="00903AA3" w:rsidRPr="00813D19">
        <w:rPr>
          <w:lang w:val="en-US"/>
        </w:rPr>
        <w:t xml:space="preserve"> to present</w:t>
      </w:r>
      <w:r w:rsidR="00F745F1">
        <w:rPr>
          <w:lang w:val="en-US"/>
        </w:rPr>
        <w:t>.</w:t>
      </w:r>
    </w:p>
    <w:p w14:paraId="7C977580" w14:textId="556E4985" w:rsidR="00BC14F3" w:rsidRPr="00813D19" w:rsidRDefault="00BC14F3" w:rsidP="00F939C8">
      <w:pPr>
        <w:pStyle w:val="Orateurengris"/>
        <w:spacing w:before="120"/>
        <w:ind w:left="709" w:hanging="709"/>
        <w:rPr>
          <w:lang w:val="en-US"/>
        </w:rPr>
      </w:pPr>
      <w:r w:rsidRPr="00813D19">
        <w:rPr>
          <w:lang w:val="en-US"/>
        </w:rPr>
        <w:t>With no further comments, t</w:t>
      </w:r>
      <w:r w:rsidR="00937C91" w:rsidRPr="00813D19">
        <w:rPr>
          <w:lang w:val="en-US"/>
        </w:rPr>
        <w:t xml:space="preserve">he </w:t>
      </w:r>
      <w:r w:rsidR="00937C91" w:rsidRPr="00813D19">
        <w:rPr>
          <w:b/>
          <w:lang w:val="en-US"/>
        </w:rPr>
        <w:t>Chairperson</w:t>
      </w:r>
      <w:r w:rsidR="00937C91" w:rsidRPr="00813D19">
        <w:rPr>
          <w:lang w:val="en-US"/>
        </w:rPr>
        <w:t xml:space="preserve"> </w:t>
      </w:r>
      <w:r w:rsidRPr="00813D19">
        <w:rPr>
          <w:lang w:val="en-US"/>
        </w:rPr>
        <w:t xml:space="preserve">turned to the adoption of the draft decision on </w:t>
      </w:r>
      <w:r w:rsidR="00D7122E" w:rsidRPr="00813D19">
        <w:rPr>
          <w:lang w:val="en-US"/>
        </w:rPr>
        <w:t>a paragraph-by-paragraph basis, and p</w:t>
      </w:r>
      <w:r w:rsidRPr="00813D19">
        <w:rPr>
          <w:lang w:val="en-US"/>
        </w:rPr>
        <w:t xml:space="preserve">aragraphs 1–6 were duly adopted. </w:t>
      </w:r>
      <w:r w:rsidR="009D48D2" w:rsidRPr="00813D19">
        <w:rPr>
          <w:lang w:val="en-US"/>
        </w:rPr>
        <w:t xml:space="preserve">An amendment was proposed by the Philippines </w:t>
      </w:r>
      <w:r w:rsidR="00D7122E" w:rsidRPr="00813D19">
        <w:rPr>
          <w:lang w:val="en-US"/>
        </w:rPr>
        <w:t>in</w:t>
      </w:r>
      <w:r w:rsidR="009D48D2" w:rsidRPr="00813D19">
        <w:rPr>
          <w:lang w:val="en-US"/>
        </w:rPr>
        <w:t xml:space="preserve"> paragraph 7.</w:t>
      </w:r>
    </w:p>
    <w:p w14:paraId="08410626" w14:textId="5AE8DF29" w:rsidR="00BC14F3" w:rsidRPr="00813D19" w:rsidRDefault="00BC14F3" w:rsidP="00F939C8">
      <w:pPr>
        <w:pStyle w:val="Orateurengris"/>
        <w:spacing w:before="120"/>
        <w:ind w:left="709" w:hanging="709"/>
        <w:rPr>
          <w:lang w:val="en-US"/>
        </w:rPr>
      </w:pPr>
      <w:r w:rsidRPr="00813D19">
        <w:rPr>
          <w:lang w:val="en-US"/>
        </w:rPr>
        <w:t xml:space="preserve">The </w:t>
      </w:r>
      <w:r w:rsidRPr="00813D19">
        <w:rPr>
          <w:b/>
          <w:lang w:val="en-US"/>
        </w:rPr>
        <w:t>delegation of the Philippines</w:t>
      </w:r>
      <w:r w:rsidRPr="00813D19">
        <w:rPr>
          <w:lang w:val="en-US"/>
        </w:rPr>
        <w:t xml:space="preserve"> suggested replacing ‘Open-Ended Working Group’ with General Conference 39C/Resolution 87, explaining that the Open-Ended Working Group had fulfilled its mandate and that its recommendations had already been adopted by the 39</w:t>
      </w:r>
      <w:r w:rsidRPr="003221D5">
        <w:rPr>
          <w:lang w:val="en-US"/>
        </w:rPr>
        <w:t>th</w:t>
      </w:r>
      <w:r w:rsidRPr="002F3E0C">
        <w:rPr>
          <w:lang w:val="en-US"/>
        </w:rPr>
        <w:t xml:space="preserve"> </w:t>
      </w:r>
      <w:r w:rsidR="00F745F1">
        <w:rPr>
          <w:lang w:val="en-US"/>
        </w:rPr>
        <w:t>General Conference.</w:t>
      </w:r>
    </w:p>
    <w:p w14:paraId="75E25C1A" w14:textId="6DC7A600" w:rsidR="00813CFD" w:rsidRPr="00813D19" w:rsidRDefault="00BC14F3" w:rsidP="007D0DD0">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noted that the Secretariat had no issue </w:t>
      </w:r>
      <w:r w:rsidR="002F3E0C">
        <w:rPr>
          <w:lang w:val="en-US"/>
        </w:rPr>
        <w:t>with</w:t>
      </w:r>
      <w:r w:rsidR="002F3E0C" w:rsidRPr="00813D19">
        <w:rPr>
          <w:lang w:val="en-US"/>
        </w:rPr>
        <w:t xml:space="preserve"> </w:t>
      </w:r>
      <w:r w:rsidRPr="00813D19">
        <w:rPr>
          <w:lang w:val="en-US"/>
        </w:rPr>
        <w:t>the proposed change. With no further comments o</w:t>
      </w:r>
      <w:r w:rsidR="002F3E0C">
        <w:rPr>
          <w:lang w:val="en-US"/>
        </w:rPr>
        <w:t xml:space="preserve">r </w:t>
      </w:r>
      <w:r w:rsidRPr="00813D19">
        <w:rPr>
          <w:lang w:val="en-US"/>
        </w:rPr>
        <w:t xml:space="preserve">objections, </w:t>
      </w:r>
      <w:r w:rsidR="00937C91" w:rsidRPr="00813D19">
        <w:rPr>
          <w:lang w:val="en-US"/>
        </w:rPr>
        <w:t xml:space="preserve">paragraph 7 </w:t>
      </w:r>
      <w:r w:rsidRPr="00813D19">
        <w:rPr>
          <w:lang w:val="en-US"/>
        </w:rPr>
        <w:t xml:space="preserve">was duly </w:t>
      </w:r>
      <w:r w:rsidR="00937C91" w:rsidRPr="00813D19">
        <w:rPr>
          <w:lang w:val="en-US"/>
        </w:rPr>
        <w:t xml:space="preserve">adopted as amended. </w:t>
      </w:r>
      <w:r w:rsidRPr="00813D19">
        <w:rPr>
          <w:lang w:val="en-US"/>
        </w:rPr>
        <w:t xml:space="preserve">Turning to the draft decision as a whole, </w:t>
      </w:r>
      <w:r w:rsidRPr="00813D19">
        <w:rPr>
          <w:b/>
          <w:lang w:val="en-US"/>
        </w:rPr>
        <w:t>t</w:t>
      </w:r>
      <w:r w:rsidR="00937C91" w:rsidRPr="00813D19">
        <w:rPr>
          <w:b/>
          <w:lang w:val="en-US"/>
        </w:rPr>
        <w:t>he Chairperson declared Decision 13.COM 17 adopted</w:t>
      </w:r>
      <w:r w:rsidR="00937C91" w:rsidRPr="00F745F1">
        <w:rPr>
          <w:bCs/>
          <w:lang w:val="en-US"/>
        </w:rPr>
        <w:t>.</w:t>
      </w:r>
    </w:p>
    <w:p w14:paraId="1428ABF1" w14:textId="32804E5A" w:rsidR="00FE7E54" w:rsidRPr="00813D19" w:rsidRDefault="00FE7E54" w:rsidP="00F745F1">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18 OF THE AGENDA </w:t>
      </w:r>
    </w:p>
    <w:p w14:paraId="4AD5499E" w14:textId="73760604" w:rsidR="00FB5221" w:rsidRPr="00813D19" w:rsidRDefault="00FE7E54" w:rsidP="00F745F1">
      <w:pPr>
        <w:pStyle w:val="Orateurengris"/>
        <w:numPr>
          <w:ilvl w:val="0"/>
          <w:numId w:val="0"/>
        </w:numPr>
        <w:jc w:val="left"/>
        <w:outlineLvl w:val="1"/>
        <w:rPr>
          <w:b/>
          <w:color w:val="000000" w:themeColor="text1"/>
          <w:lang w:val="en-US"/>
        </w:rPr>
      </w:pPr>
      <w:r w:rsidRPr="00813D19">
        <w:rPr>
          <w:b/>
          <w:color w:val="000000" w:themeColor="text1"/>
          <w:lang w:val="en-US"/>
        </w:rPr>
        <w:t>DATE AND VENUE OF THE FOURTEENTH SESSION OF THE COMMITTEE</w:t>
      </w:r>
    </w:p>
    <w:p w14:paraId="2902F978" w14:textId="7F147527" w:rsidR="00FE7E54" w:rsidRPr="00813D19" w:rsidRDefault="00FE7E54" w:rsidP="00F745F1">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77" w:history="1">
        <w:r w:rsidRPr="00813D19">
          <w:rPr>
            <w:rStyle w:val="Hyperlink"/>
            <w:bCs/>
            <w:i/>
            <w:lang w:val="en-US"/>
          </w:rPr>
          <w:t>ITH/18/13.COM/18</w:t>
        </w:r>
      </w:hyperlink>
    </w:p>
    <w:p w14:paraId="722930F4" w14:textId="01270F99" w:rsidR="00FE7E54" w:rsidRPr="00813D19" w:rsidRDefault="00FE7E54" w:rsidP="00F745F1">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F745F1">
        <w:rPr>
          <w:b/>
          <w:bCs/>
          <w:color w:val="000000" w:themeColor="text1"/>
          <w:lang w:val="en-US"/>
        </w:rPr>
        <w:t>:</w:t>
      </w:r>
      <w:r w:rsidRPr="00813D19">
        <w:rPr>
          <w:color w:val="000000" w:themeColor="text1"/>
          <w:lang w:val="en-US"/>
        </w:rPr>
        <w:t xml:space="preserve"> </w:t>
      </w:r>
      <w:r w:rsidRPr="00813D19">
        <w:rPr>
          <w:color w:val="000000" w:themeColor="text1"/>
          <w:lang w:val="en-US"/>
        </w:rPr>
        <w:tab/>
      </w:r>
      <w:hyperlink r:id="rId178" w:history="1">
        <w:r w:rsidRPr="00813D19">
          <w:rPr>
            <w:rStyle w:val="Hyperlink"/>
            <w:i/>
            <w:lang w:val="en-US"/>
          </w:rPr>
          <w:t>13.COM 18</w:t>
        </w:r>
      </w:hyperlink>
    </w:p>
    <w:p w14:paraId="46A51644" w14:textId="66166EFD" w:rsidR="004103B6" w:rsidRPr="00813D19" w:rsidRDefault="00257781" w:rsidP="00F745F1">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251DA6" w:rsidRPr="00813D19">
        <w:rPr>
          <w:lang w:val="en-US"/>
        </w:rPr>
        <w:t>the turned to n</w:t>
      </w:r>
      <w:r w:rsidR="00966FD6" w:rsidRPr="00813D19">
        <w:rPr>
          <w:lang w:val="en-US"/>
        </w:rPr>
        <w:t xml:space="preserve">ext item </w:t>
      </w:r>
      <w:r w:rsidR="004103B6" w:rsidRPr="00813D19">
        <w:rPr>
          <w:lang w:val="en-US"/>
        </w:rPr>
        <w:t>on the date and venue of the fourteenth session of the Committee</w:t>
      </w:r>
      <w:r w:rsidR="00966FD6" w:rsidRPr="00813D19">
        <w:rPr>
          <w:lang w:val="en-US"/>
        </w:rPr>
        <w:t xml:space="preserve"> in 2019, </w:t>
      </w:r>
      <w:r w:rsidR="004103B6" w:rsidRPr="00813D19">
        <w:rPr>
          <w:lang w:val="en-US"/>
        </w:rPr>
        <w:t>refer</w:t>
      </w:r>
      <w:r w:rsidR="00966FD6" w:rsidRPr="00813D19">
        <w:rPr>
          <w:lang w:val="en-US"/>
        </w:rPr>
        <w:t>ring</w:t>
      </w:r>
      <w:r w:rsidR="004103B6" w:rsidRPr="00813D19">
        <w:rPr>
          <w:lang w:val="en-US"/>
        </w:rPr>
        <w:t xml:space="preserve"> to document 18 and its corresponding draft decision.</w:t>
      </w:r>
      <w:r w:rsidR="004103B6" w:rsidRPr="00813D19">
        <w:rPr>
          <w:iCs/>
          <w:lang w:val="en-US"/>
        </w:rPr>
        <w:t xml:space="preserve"> </w:t>
      </w:r>
      <w:r w:rsidR="00966FD6" w:rsidRPr="00813D19">
        <w:rPr>
          <w:iCs/>
          <w:lang w:val="en-US"/>
        </w:rPr>
        <w:t xml:space="preserve">The Chairperson was happy to inform the Committee </w:t>
      </w:r>
      <w:r w:rsidR="004103B6" w:rsidRPr="00813D19">
        <w:rPr>
          <w:iCs/>
          <w:lang w:val="en-US"/>
        </w:rPr>
        <w:t>that Colombia</w:t>
      </w:r>
      <w:r w:rsidR="00966FD6" w:rsidRPr="00813D19">
        <w:rPr>
          <w:iCs/>
          <w:lang w:val="en-US"/>
        </w:rPr>
        <w:t xml:space="preserve"> had</w:t>
      </w:r>
      <w:r w:rsidR="004103B6" w:rsidRPr="00813D19">
        <w:rPr>
          <w:iCs/>
          <w:lang w:val="en-US"/>
        </w:rPr>
        <w:t xml:space="preserve"> graciously </w:t>
      </w:r>
      <w:r w:rsidR="00966FD6" w:rsidRPr="00813D19">
        <w:rPr>
          <w:iCs/>
          <w:lang w:val="en-US"/>
        </w:rPr>
        <w:t xml:space="preserve">proposed </w:t>
      </w:r>
      <w:r w:rsidR="004103B6" w:rsidRPr="00813D19">
        <w:rPr>
          <w:iCs/>
          <w:lang w:val="en-US"/>
        </w:rPr>
        <w:t>to host the next session</w:t>
      </w:r>
      <w:r w:rsidR="007230F4" w:rsidRPr="00813D19">
        <w:rPr>
          <w:lang w:val="en-US"/>
        </w:rPr>
        <w:t>, inviting Colombia to directly extend th</w:t>
      </w:r>
      <w:r w:rsidR="00F745F1">
        <w:rPr>
          <w:lang w:val="en-US"/>
        </w:rPr>
        <w:t>e invitation to the Committee.</w:t>
      </w:r>
    </w:p>
    <w:p w14:paraId="512818E4" w14:textId="29E01F1D" w:rsidR="004103B6" w:rsidRPr="00813D19" w:rsidRDefault="004103B6" w:rsidP="00686423">
      <w:pPr>
        <w:pStyle w:val="Orateurengris"/>
        <w:spacing w:before="120"/>
        <w:ind w:left="709" w:hanging="709"/>
        <w:rPr>
          <w:lang w:val="en-US"/>
        </w:rPr>
      </w:pPr>
      <w:r w:rsidRPr="00813D19">
        <w:rPr>
          <w:lang w:val="en-US"/>
        </w:rPr>
        <w:t xml:space="preserve">The </w:t>
      </w:r>
      <w:r w:rsidRPr="00813D19">
        <w:rPr>
          <w:b/>
          <w:lang w:val="en-US"/>
        </w:rPr>
        <w:t>delegation of Colombia</w:t>
      </w:r>
      <w:r w:rsidR="009D48D2" w:rsidRPr="00813D19">
        <w:rPr>
          <w:b/>
          <w:lang w:val="en-US"/>
        </w:rPr>
        <w:t xml:space="preserve"> </w:t>
      </w:r>
      <w:r w:rsidR="009D48D2" w:rsidRPr="00813D19">
        <w:rPr>
          <w:bCs/>
          <w:lang w:val="en-US"/>
        </w:rPr>
        <w:t>invite</w:t>
      </w:r>
      <w:r w:rsidR="00641457" w:rsidRPr="00813D19">
        <w:rPr>
          <w:bCs/>
          <w:lang w:val="en-US"/>
        </w:rPr>
        <w:t>d the GRULAC Member countries</w:t>
      </w:r>
      <w:r w:rsidR="002F3E0C">
        <w:rPr>
          <w:bCs/>
          <w:lang w:val="en-US"/>
        </w:rPr>
        <w:t xml:space="preserve"> –</w:t>
      </w:r>
      <w:r w:rsidR="009D48D2" w:rsidRPr="00813D19">
        <w:rPr>
          <w:bCs/>
          <w:lang w:val="en-US"/>
        </w:rPr>
        <w:t xml:space="preserve"> Saint Lucia, Panama, Mexico, Belize, Cuba, Arg</w:t>
      </w:r>
      <w:r w:rsidR="00641457" w:rsidRPr="00813D19">
        <w:rPr>
          <w:bCs/>
          <w:lang w:val="en-US"/>
        </w:rPr>
        <w:t xml:space="preserve">entina, Guatemala, El Salvador and </w:t>
      </w:r>
      <w:r w:rsidR="009D48D2" w:rsidRPr="00813D19">
        <w:rPr>
          <w:bCs/>
          <w:lang w:val="en-US"/>
        </w:rPr>
        <w:t>Jamaica</w:t>
      </w:r>
      <w:r w:rsidR="002F3E0C">
        <w:rPr>
          <w:bCs/>
          <w:lang w:val="en-US"/>
        </w:rPr>
        <w:t xml:space="preserve"> – </w:t>
      </w:r>
      <w:r w:rsidR="009D48D2" w:rsidRPr="00813D19">
        <w:rPr>
          <w:bCs/>
          <w:lang w:val="en-US"/>
        </w:rPr>
        <w:t xml:space="preserve"> to join </w:t>
      </w:r>
      <w:r w:rsidR="00641457" w:rsidRPr="00813D19">
        <w:rPr>
          <w:bCs/>
          <w:lang w:val="en-US"/>
        </w:rPr>
        <w:t xml:space="preserve">its delegation </w:t>
      </w:r>
      <w:r w:rsidR="00D7122E" w:rsidRPr="00813D19">
        <w:rPr>
          <w:bCs/>
          <w:lang w:val="en-US"/>
        </w:rPr>
        <w:t>for the</w:t>
      </w:r>
      <w:r w:rsidR="009D48D2" w:rsidRPr="00813D19">
        <w:rPr>
          <w:bCs/>
          <w:lang w:val="en-US"/>
        </w:rPr>
        <w:t xml:space="preserve"> first time </w:t>
      </w:r>
      <w:r w:rsidR="00D7122E" w:rsidRPr="00813D19">
        <w:rPr>
          <w:bCs/>
          <w:lang w:val="en-US"/>
        </w:rPr>
        <w:t xml:space="preserve">that </w:t>
      </w:r>
      <w:r w:rsidR="009D48D2" w:rsidRPr="00813D19">
        <w:rPr>
          <w:bCs/>
          <w:lang w:val="en-US"/>
        </w:rPr>
        <w:t xml:space="preserve">Latin American </w:t>
      </w:r>
      <w:r w:rsidR="002F3E0C">
        <w:rPr>
          <w:bCs/>
          <w:lang w:val="en-US"/>
        </w:rPr>
        <w:t>would</w:t>
      </w:r>
      <w:r w:rsidR="002F3E0C" w:rsidRPr="00813D19">
        <w:rPr>
          <w:bCs/>
          <w:lang w:val="en-US"/>
        </w:rPr>
        <w:t xml:space="preserve"> </w:t>
      </w:r>
      <w:r w:rsidR="009D48D2" w:rsidRPr="00813D19">
        <w:rPr>
          <w:bCs/>
          <w:lang w:val="en-US"/>
        </w:rPr>
        <w:t>host the Committee</w:t>
      </w:r>
      <w:r w:rsidR="00641457" w:rsidRPr="00813D19">
        <w:rPr>
          <w:bCs/>
          <w:lang w:val="en-US"/>
        </w:rPr>
        <w:t xml:space="preserve">. It </w:t>
      </w:r>
      <w:r w:rsidR="009D48D2" w:rsidRPr="00813D19">
        <w:rPr>
          <w:bCs/>
          <w:lang w:val="en-US"/>
        </w:rPr>
        <w:t>thank</w:t>
      </w:r>
      <w:r w:rsidR="00641457" w:rsidRPr="00813D19">
        <w:rPr>
          <w:bCs/>
          <w:lang w:val="en-US"/>
        </w:rPr>
        <w:t>ed</w:t>
      </w:r>
      <w:r w:rsidR="009D48D2" w:rsidRPr="00813D19">
        <w:rPr>
          <w:bCs/>
          <w:lang w:val="en-US"/>
        </w:rPr>
        <w:t xml:space="preserve"> Mauritius for its warm invitation to this beautiful island</w:t>
      </w:r>
      <w:r w:rsidR="00641457" w:rsidRPr="00813D19">
        <w:rPr>
          <w:bCs/>
          <w:lang w:val="en-US"/>
        </w:rPr>
        <w:t>,</w:t>
      </w:r>
      <w:r w:rsidR="009D48D2" w:rsidRPr="00813D19">
        <w:rPr>
          <w:bCs/>
          <w:lang w:val="en-US"/>
        </w:rPr>
        <w:t xml:space="preserve"> even though </w:t>
      </w:r>
      <w:r w:rsidR="00641457" w:rsidRPr="00813D19">
        <w:rPr>
          <w:bCs/>
          <w:lang w:val="en-US"/>
        </w:rPr>
        <w:t>it would have like</w:t>
      </w:r>
      <w:r w:rsidR="00D7122E" w:rsidRPr="00813D19">
        <w:rPr>
          <w:bCs/>
          <w:lang w:val="en-US"/>
        </w:rPr>
        <w:t>d more</w:t>
      </w:r>
      <w:r w:rsidR="00641457" w:rsidRPr="00813D19">
        <w:rPr>
          <w:bCs/>
          <w:lang w:val="en-US"/>
        </w:rPr>
        <w:t xml:space="preserve"> time to </w:t>
      </w:r>
      <w:r w:rsidR="009D48D2" w:rsidRPr="00813D19">
        <w:rPr>
          <w:bCs/>
          <w:lang w:val="en-US"/>
        </w:rPr>
        <w:t>explore it</w:t>
      </w:r>
      <w:r w:rsidR="00641457" w:rsidRPr="00813D19">
        <w:rPr>
          <w:bCs/>
          <w:lang w:val="en-US"/>
        </w:rPr>
        <w:t>s</w:t>
      </w:r>
      <w:r w:rsidR="009D48D2" w:rsidRPr="00813D19">
        <w:rPr>
          <w:bCs/>
          <w:lang w:val="en-US"/>
        </w:rPr>
        <w:t xml:space="preserve"> beautiful landscapes. </w:t>
      </w:r>
      <w:r w:rsidR="00641457" w:rsidRPr="00813D19">
        <w:rPr>
          <w:bCs/>
          <w:lang w:val="en-US"/>
        </w:rPr>
        <w:t xml:space="preserve">The delegation </w:t>
      </w:r>
      <w:r w:rsidR="009D48D2" w:rsidRPr="00813D19">
        <w:rPr>
          <w:bCs/>
          <w:lang w:val="en-US"/>
        </w:rPr>
        <w:t>extend</w:t>
      </w:r>
      <w:r w:rsidR="00641457" w:rsidRPr="00813D19">
        <w:rPr>
          <w:bCs/>
          <w:lang w:val="en-US"/>
        </w:rPr>
        <w:t>ed</w:t>
      </w:r>
      <w:r w:rsidR="009D48D2" w:rsidRPr="00813D19">
        <w:rPr>
          <w:bCs/>
          <w:lang w:val="en-US"/>
        </w:rPr>
        <w:t xml:space="preserve"> </w:t>
      </w:r>
      <w:r w:rsidR="002F3E0C">
        <w:rPr>
          <w:bCs/>
          <w:lang w:val="en-US"/>
        </w:rPr>
        <w:t xml:space="preserve">its </w:t>
      </w:r>
      <w:r w:rsidR="009D48D2" w:rsidRPr="00813D19">
        <w:rPr>
          <w:bCs/>
          <w:lang w:val="en-US"/>
        </w:rPr>
        <w:t xml:space="preserve">thanks to the Committee and all the countries </w:t>
      </w:r>
      <w:r w:rsidR="00641457" w:rsidRPr="00813D19">
        <w:rPr>
          <w:bCs/>
          <w:lang w:val="en-US"/>
        </w:rPr>
        <w:t>supporting</w:t>
      </w:r>
      <w:r w:rsidR="009D48D2" w:rsidRPr="00813D19">
        <w:rPr>
          <w:bCs/>
          <w:lang w:val="en-US"/>
        </w:rPr>
        <w:t xml:space="preserve"> </w:t>
      </w:r>
      <w:r w:rsidR="00641457" w:rsidRPr="00813D19">
        <w:rPr>
          <w:bCs/>
          <w:lang w:val="en-US"/>
        </w:rPr>
        <w:t xml:space="preserve">its </w:t>
      </w:r>
      <w:r w:rsidR="009D48D2" w:rsidRPr="00813D19">
        <w:rPr>
          <w:bCs/>
          <w:lang w:val="en-US"/>
        </w:rPr>
        <w:t xml:space="preserve">candidature </w:t>
      </w:r>
      <w:r w:rsidR="00641457" w:rsidRPr="00813D19">
        <w:rPr>
          <w:bCs/>
          <w:lang w:val="en-US"/>
        </w:rPr>
        <w:t xml:space="preserve">as the </w:t>
      </w:r>
      <w:r w:rsidR="009D48D2" w:rsidRPr="00813D19">
        <w:rPr>
          <w:bCs/>
          <w:lang w:val="en-US"/>
        </w:rPr>
        <w:t>next host</w:t>
      </w:r>
      <w:r w:rsidR="00641457" w:rsidRPr="00813D19">
        <w:rPr>
          <w:bCs/>
          <w:lang w:val="en-US"/>
        </w:rPr>
        <w:t>, as well as UNESCO</w:t>
      </w:r>
      <w:r w:rsidR="00905E82" w:rsidRPr="00813D19">
        <w:rPr>
          <w:bCs/>
          <w:lang w:val="en-US"/>
        </w:rPr>
        <w:t>, CRESPIAL</w:t>
      </w:r>
      <w:r w:rsidR="00580B26" w:rsidRPr="00813D19">
        <w:rPr>
          <w:rStyle w:val="FootnoteReference"/>
          <w:bCs/>
          <w:lang w:val="en-US"/>
        </w:rPr>
        <w:footnoteReference w:id="37"/>
      </w:r>
      <w:r w:rsidR="00641457" w:rsidRPr="00813D19">
        <w:rPr>
          <w:bCs/>
          <w:lang w:val="en-US"/>
        </w:rPr>
        <w:t xml:space="preserve"> and </w:t>
      </w:r>
      <w:r w:rsidR="009D48D2" w:rsidRPr="00813D19">
        <w:rPr>
          <w:bCs/>
          <w:lang w:val="en-US"/>
        </w:rPr>
        <w:t>the city of Bogot</w:t>
      </w:r>
      <w:r w:rsidR="00FB131E">
        <w:rPr>
          <w:bCs/>
          <w:lang w:val="en-US"/>
        </w:rPr>
        <w:t>á</w:t>
      </w:r>
      <w:r w:rsidR="009D48D2" w:rsidRPr="00813D19">
        <w:rPr>
          <w:bCs/>
          <w:lang w:val="en-US"/>
        </w:rPr>
        <w:t>. Colombia ha</w:t>
      </w:r>
      <w:r w:rsidR="006D68AC">
        <w:rPr>
          <w:bCs/>
          <w:lang w:val="en-US"/>
        </w:rPr>
        <w:t>d</w:t>
      </w:r>
      <w:r w:rsidR="009D48D2" w:rsidRPr="00813D19">
        <w:rPr>
          <w:bCs/>
          <w:lang w:val="en-US"/>
        </w:rPr>
        <w:t xml:space="preserve"> had difficult moments in its past and in those difficult times the</w:t>
      </w:r>
      <w:r w:rsidR="009655F9" w:rsidRPr="00813D19">
        <w:rPr>
          <w:bCs/>
          <w:lang w:val="en-US"/>
        </w:rPr>
        <w:t>re were many people</w:t>
      </w:r>
      <w:r w:rsidR="006D68AC">
        <w:rPr>
          <w:bCs/>
          <w:lang w:val="en-US"/>
        </w:rPr>
        <w:t xml:space="preserve"> that had</w:t>
      </w:r>
      <w:r w:rsidR="009655F9" w:rsidRPr="00813D19">
        <w:rPr>
          <w:bCs/>
          <w:lang w:val="en-US"/>
        </w:rPr>
        <w:t xml:space="preserve"> fought </w:t>
      </w:r>
      <w:r w:rsidR="009D48D2" w:rsidRPr="00813D19">
        <w:rPr>
          <w:bCs/>
          <w:lang w:val="en-US"/>
        </w:rPr>
        <w:t>to keep their intangible cultural heritage</w:t>
      </w:r>
      <w:r w:rsidR="009655F9" w:rsidRPr="00813D19">
        <w:rPr>
          <w:bCs/>
          <w:lang w:val="en-US"/>
        </w:rPr>
        <w:t xml:space="preserve">. </w:t>
      </w:r>
      <w:r w:rsidR="00057FF6" w:rsidRPr="00813D19">
        <w:rPr>
          <w:bCs/>
          <w:lang w:val="en-US"/>
        </w:rPr>
        <w:t xml:space="preserve">Colombians had </w:t>
      </w:r>
      <w:r w:rsidR="009D48D2" w:rsidRPr="00813D19">
        <w:rPr>
          <w:bCs/>
          <w:lang w:val="en-US"/>
        </w:rPr>
        <w:t xml:space="preserve">been able to use the </w:t>
      </w:r>
      <w:r w:rsidR="00142344" w:rsidRPr="00813D19">
        <w:rPr>
          <w:bCs/>
          <w:lang w:val="en-US"/>
        </w:rPr>
        <w:t>Guahib</w:t>
      </w:r>
      <w:r w:rsidR="009D48D2" w:rsidRPr="00813D19">
        <w:rPr>
          <w:bCs/>
          <w:lang w:val="en-US"/>
        </w:rPr>
        <w:t>o</w:t>
      </w:r>
      <w:r w:rsidR="00142344" w:rsidRPr="00813D19">
        <w:rPr>
          <w:bCs/>
          <w:lang w:val="en-US"/>
        </w:rPr>
        <w:t xml:space="preserve"> </w:t>
      </w:r>
      <w:r w:rsidR="009D48D2" w:rsidRPr="00813D19">
        <w:rPr>
          <w:bCs/>
          <w:lang w:val="en-US"/>
        </w:rPr>
        <w:t>or ancestral knowledge and sayings for comfort. At the same time</w:t>
      </w:r>
      <w:r w:rsidR="00057FF6" w:rsidRPr="00813D19">
        <w:rPr>
          <w:bCs/>
          <w:lang w:val="en-US"/>
        </w:rPr>
        <w:t>,</w:t>
      </w:r>
      <w:r w:rsidR="009D48D2" w:rsidRPr="00813D19">
        <w:rPr>
          <w:bCs/>
          <w:lang w:val="en-US"/>
        </w:rPr>
        <w:t xml:space="preserve"> </w:t>
      </w:r>
      <w:r w:rsidR="00057FF6" w:rsidRPr="00813D19">
        <w:rPr>
          <w:bCs/>
          <w:lang w:val="en-US"/>
        </w:rPr>
        <w:t>Colombians ha</w:t>
      </w:r>
      <w:r w:rsidR="006D68AC">
        <w:rPr>
          <w:bCs/>
          <w:lang w:val="en-US"/>
        </w:rPr>
        <w:t>d</w:t>
      </w:r>
      <w:r w:rsidR="00057FF6" w:rsidRPr="00813D19">
        <w:rPr>
          <w:bCs/>
          <w:lang w:val="en-US"/>
        </w:rPr>
        <w:t xml:space="preserve"> </w:t>
      </w:r>
      <w:r w:rsidR="009D48D2" w:rsidRPr="00813D19">
        <w:rPr>
          <w:bCs/>
          <w:lang w:val="en-US"/>
        </w:rPr>
        <w:t xml:space="preserve">been </w:t>
      </w:r>
      <w:r w:rsidR="00057FF6" w:rsidRPr="00813D19">
        <w:rPr>
          <w:bCs/>
          <w:lang w:val="en-US"/>
        </w:rPr>
        <w:t>continuing</w:t>
      </w:r>
      <w:r w:rsidR="009D48D2" w:rsidRPr="00813D19">
        <w:rPr>
          <w:bCs/>
          <w:lang w:val="en-US"/>
        </w:rPr>
        <w:t xml:space="preserve"> </w:t>
      </w:r>
      <w:r w:rsidR="00057FF6" w:rsidRPr="00813D19">
        <w:rPr>
          <w:bCs/>
          <w:lang w:val="en-US"/>
        </w:rPr>
        <w:t>to celebrate</w:t>
      </w:r>
      <w:r w:rsidR="009D48D2" w:rsidRPr="00813D19">
        <w:rPr>
          <w:bCs/>
          <w:lang w:val="en-US"/>
        </w:rPr>
        <w:t xml:space="preserve"> the Carnival de B</w:t>
      </w:r>
      <w:r w:rsidR="00057FF6" w:rsidRPr="00813D19">
        <w:rPr>
          <w:bCs/>
          <w:lang w:val="en-US"/>
        </w:rPr>
        <w:t>arranquilla or the Carnaval de Negros y B</w:t>
      </w:r>
      <w:r w:rsidR="009D48D2" w:rsidRPr="00813D19">
        <w:rPr>
          <w:bCs/>
          <w:lang w:val="en-US"/>
        </w:rPr>
        <w:t>lancos in San Juan de Pasto despite t</w:t>
      </w:r>
      <w:r w:rsidR="009655F9" w:rsidRPr="00813D19">
        <w:rPr>
          <w:bCs/>
          <w:lang w:val="en-US"/>
        </w:rPr>
        <w:t>hose turbulent times, and they</w:t>
      </w:r>
      <w:r w:rsidR="009D48D2" w:rsidRPr="00813D19">
        <w:rPr>
          <w:bCs/>
          <w:lang w:val="en-US"/>
        </w:rPr>
        <w:t xml:space="preserve"> ha</w:t>
      </w:r>
      <w:r w:rsidR="006D68AC">
        <w:rPr>
          <w:bCs/>
          <w:lang w:val="en-US"/>
        </w:rPr>
        <w:t>d</w:t>
      </w:r>
      <w:r w:rsidR="009D48D2" w:rsidRPr="00813D19">
        <w:rPr>
          <w:bCs/>
          <w:lang w:val="en-US"/>
        </w:rPr>
        <w:t xml:space="preserve"> always had time to listen to </w:t>
      </w:r>
      <w:r w:rsidR="00611431" w:rsidRPr="00813D19">
        <w:rPr>
          <w:bCs/>
          <w:lang w:val="en-US"/>
        </w:rPr>
        <w:t xml:space="preserve">the music of Vallenato </w:t>
      </w:r>
      <w:r w:rsidR="009D48D2" w:rsidRPr="00813D19">
        <w:rPr>
          <w:bCs/>
          <w:lang w:val="en-US"/>
        </w:rPr>
        <w:t>or to recall some of the songs of the cattle ranchers</w:t>
      </w:r>
      <w:r w:rsidR="009655F9" w:rsidRPr="00813D19">
        <w:rPr>
          <w:bCs/>
          <w:lang w:val="en-US"/>
        </w:rPr>
        <w:t xml:space="preserve"> in the eastern highlands</w:t>
      </w:r>
      <w:r w:rsidR="009D48D2" w:rsidRPr="00813D19">
        <w:rPr>
          <w:bCs/>
          <w:lang w:val="en-US"/>
        </w:rPr>
        <w:t xml:space="preserve">. </w:t>
      </w:r>
      <w:r w:rsidR="00612B69" w:rsidRPr="00813D19">
        <w:rPr>
          <w:bCs/>
          <w:lang w:val="en-US"/>
        </w:rPr>
        <w:t xml:space="preserve">It was also a reminder that </w:t>
      </w:r>
      <w:r w:rsidR="009D48D2" w:rsidRPr="00813D19">
        <w:rPr>
          <w:bCs/>
          <w:lang w:val="en-US"/>
        </w:rPr>
        <w:t xml:space="preserve">this heritage </w:t>
      </w:r>
      <w:r w:rsidR="00612B69" w:rsidRPr="00813D19">
        <w:rPr>
          <w:bCs/>
          <w:lang w:val="en-US"/>
        </w:rPr>
        <w:t>di</w:t>
      </w:r>
      <w:r w:rsidR="009655F9" w:rsidRPr="00813D19">
        <w:rPr>
          <w:bCs/>
          <w:lang w:val="en-US"/>
        </w:rPr>
        <w:t>d not only belong to Colombians</w:t>
      </w:r>
      <w:r w:rsidR="00612B69" w:rsidRPr="00813D19">
        <w:rPr>
          <w:bCs/>
          <w:lang w:val="en-US"/>
        </w:rPr>
        <w:t xml:space="preserve"> but </w:t>
      </w:r>
      <w:r w:rsidR="009D48D2" w:rsidRPr="00813D19">
        <w:rPr>
          <w:bCs/>
          <w:lang w:val="en-US"/>
        </w:rPr>
        <w:t xml:space="preserve">to </w:t>
      </w:r>
      <w:r w:rsidR="00612B69" w:rsidRPr="00813D19">
        <w:rPr>
          <w:bCs/>
          <w:lang w:val="en-US"/>
        </w:rPr>
        <w:t>every</w:t>
      </w:r>
      <w:r w:rsidR="009D48D2" w:rsidRPr="00813D19">
        <w:rPr>
          <w:bCs/>
          <w:lang w:val="en-US"/>
        </w:rPr>
        <w:t xml:space="preserve">one from all the 163 countries that </w:t>
      </w:r>
      <w:r w:rsidR="00612B69" w:rsidRPr="00813D19">
        <w:rPr>
          <w:bCs/>
          <w:lang w:val="en-US"/>
        </w:rPr>
        <w:t>comprise</w:t>
      </w:r>
      <w:r w:rsidR="006D68AC">
        <w:rPr>
          <w:bCs/>
          <w:lang w:val="en-US"/>
        </w:rPr>
        <w:t>d</w:t>
      </w:r>
      <w:r w:rsidR="00612B69" w:rsidRPr="00813D19">
        <w:rPr>
          <w:bCs/>
          <w:lang w:val="en-US"/>
        </w:rPr>
        <w:t xml:space="preserve"> the Convention. </w:t>
      </w:r>
      <w:r w:rsidR="009D48D2" w:rsidRPr="00813D19">
        <w:rPr>
          <w:bCs/>
          <w:lang w:val="en-US"/>
        </w:rPr>
        <w:t>Colombia extend</w:t>
      </w:r>
      <w:r w:rsidR="00612B69" w:rsidRPr="00813D19">
        <w:rPr>
          <w:bCs/>
          <w:lang w:val="en-US"/>
        </w:rPr>
        <w:t>ed</w:t>
      </w:r>
      <w:r w:rsidR="009D48D2" w:rsidRPr="00813D19">
        <w:rPr>
          <w:bCs/>
          <w:lang w:val="en-US"/>
        </w:rPr>
        <w:t xml:space="preserve"> </w:t>
      </w:r>
      <w:r w:rsidR="00612B69" w:rsidRPr="00813D19">
        <w:rPr>
          <w:bCs/>
          <w:lang w:val="en-US"/>
        </w:rPr>
        <w:t xml:space="preserve">its </w:t>
      </w:r>
      <w:r w:rsidR="009D48D2" w:rsidRPr="00813D19">
        <w:rPr>
          <w:bCs/>
          <w:lang w:val="en-US"/>
        </w:rPr>
        <w:t xml:space="preserve">invitation to </w:t>
      </w:r>
      <w:r w:rsidR="00612B69" w:rsidRPr="00813D19">
        <w:rPr>
          <w:bCs/>
          <w:lang w:val="en-US"/>
        </w:rPr>
        <w:t>the big family of this Committee, inviting everyone</w:t>
      </w:r>
      <w:r w:rsidR="009D48D2" w:rsidRPr="00813D19">
        <w:rPr>
          <w:bCs/>
          <w:lang w:val="en-US"/>
        </w:rPr>
        <w:t xml:space="preserve"> to taste the heritage. </w:t>
      </w:r>
      <w:r w:rsidR="00612B69" w:rsidRPr="00813D19">
        <w:rPr>
          <w:bCs/>
          <w:lang w:val="en-US"/>
        </w:rPr>
        <w:t xml:space="preserve">It </w:t>
      </w:r>
      <w:r w:rsidR="009D48D2" w:rsidRPr="00813D19">
        <w:rPr>
          <w:bCs/>
          <w:lang w:val="en-US"/>
        </w:rPr>
        <w:t>sincere</w:t>
      </w:r>
      <w:r w:rsidR="00612B69" w:rsidRPr="00813D19">
        <w:rPr>
          <w:bCs/>
          <w:lang w:val="en-US"/>
        </w:rPr>
        <w:t>ly</w:t>
      </w:r>
      <w:r w:rsidR="009D48D2" w:rsidRPr="00813D19">
        <w:rPr>
          <w:bCs/>
          <w:lang w:val="en-US"/>
        </w:rPr>
        <w:t xml:space="preserve"> hope</w:t>
      </w:r>
      <w:r w:rsidR="00612B69" w:rsidRPr="00813D19">
        <w:rPr>
          <w:bCs/>
          <w:lang w:val="en-US"/>
        </w:rPr>
        <w:t>d</w:t>
      </w:r>
      <w:r w:rsidR="009655F9" w:rsidRPr="00813D19">
        <w:rPr>
          <w:bCs/>
          <w:lang w:val="en-US"/>
        </w:rPr>
        <w:t xml:space="preserve"> that despite all t</w:t>
      </w:r>
      <w:r w:rsidR="009D48D2" w:rsidRPr="00813D19">
        <w:rPr>
          <w:bCs/>
          <w:lang w:val="en-US"/>
        </w:rPr>
        <w:t xml:space="preserve">he </w:t>
      </w:r>
      <w:r w:rsidR="00612B69" w:rsidRPr="00813D19">
        <w:rPr>
          <w:bCs/>
          <w:lang w:val="en-US"/>
        </w:rPr>
        <w:t xml:space="preserve">discussions </w:t>
      </w:r>
      <w:r w:rsidR="009D48D2" w:rsidRPr="00813D19">
        <w:rPr>
          <w:bCs/>
          <w:lang w:val="en-US"/>
        </w:rPr>
        <w:t xml:space="preserve">and proposed amendments </w:t>
      </w:r>
      <w:r w:rsidR="00612B69" w:rsidRPr="00813D19">
        <w:rPr>
          <w:bCs/>
          <w:lang w:val="en-US"/>
        </w:rPr>
        <w:t xml:space="preserve">there would be </w:t>
      </w:r>
      <w:r w:rsidR="009D48D2" w:rsidRPr="00813D19">
        <w:rPr>
          <w:bCs/>
          <w:lang w:val="en-US"/>
        </w:rPr>
        <w:t xml:space="preserve">time to step out from </w:t>
      </w:r>
      <w:r w:rsidR="009655F9" w:rsidRPr="00813D19">
        <w:rPr>
          <w:bCs/>
          <w:lang w:val="en-US"/>
        </w:rPr>
        <w:t>one’s</w:t>
      </w:r>
      <w:r w:rsidR="009D48D2" w:rsidRPr="00813D19">
        <w:rPr>
          <w:bCs/>
          <w:lang w:val="en-US"/>
        </w:rPr>
        <w:t xml:space="preserve"> working roles </w:t>
      </w:r>
      <w:r w:rsidR="00612B69" w:rsidRPr="00813D19">
        <w:rPr>
          <w:bCs/>
          <w:lang w:val="en-US"/>
        </w:rPr>
        <w:t xml:space="preserve">to </w:t>
      </w:r>
      <w:r w:rsidR="009D48D2" w:rsidRPr="00813D19">
        <w:rPr>
          <w:bCs/>
          <w:lang w:val="en-US"/>
        </w:rPr>
        <w:t xml:space="preserve">join together and </w:t>
      </w:r>
      <w:r w:rsidR="00612B69" w:rsidRPr="00813D19">
        <w:rPr>
          <w:bCs/>
          <w:lang w:val="en-US"/>
        </w:rPr>
        <w:t xml:space="preserve">be reminded of </w:t>
      </w:r>
      <w:r w:rsidR="009D48D2" w:rsidRPr="00813D19">
        <w:rPr>
          <w:bCs/>
          <w:lang w:val="en-US"/>
        </w:rPr>
        <w:t xml:space="preserve">just how marvelous this Convention </w:t>
      </w:r>
      <w:r w:rsidR="006D68AC">
        <w:rPr>
          <w:bCs/>
          <w:lang w:val="en-US"/>
        </w:rPr>
        <w:t>was</w:t>
      </w:r>
      <w:r w:rsidR="009D48D2" w:rsidRPr="00813D19">
        <w:rPr>
          <w:bCs/>
          <w:lang w:val="en-US"/>
        </w:rPr>
        <w:t xml:space="preserve">. </w:t>
      </w:r>
      <w:r w:rsidR="00612B69" w:rsidRPr="00813D19">
        <w:rPr>
          <w:bCs/>
          <w:lang w:val="en-US"/>
        </w:rPr>
        <w:t xml:space="preserve">The delegation invited the Committee to watch a video message presented by the </w:t>
      </w:r>
      <w:r w:rsidR="009D48D2" w:rsidRPr="00813D19">
        <w:rPr>
          <w:bCs/>
          <w:lang w:val="en-US"/>
        </w:rPr>
        <w:t xml:space="preserve">Minister of Culture, </w:t>
      </w:r>
      <w:r w:rsidR="00612B69" w:rsidRPr="00813D19">
        <w:rPr>
          <w:bCs/>
          <w:lang w:val="en-US"/>
        </w:rPr>
        <w:t xml:space="preserve">Ms Carmen Inés Vásquez Camacho, </w:t>
      </w:r>
      <w:r w:rsidR="009D48D2" w:rsidRPr="00813D19">
        <w:rPr>
          <w:bCs/>
          <w:lang w:val="en-US"/>
        </w:rPr>
        <w:t>from the city of Bogot</w:t>
      </w:r>
      <w:r w:rsidR="00FB131E">
        <w:rPr>
          <w:bCs/>
          <w:lang w:val="en-US"/>
        </w:rPr>
        <w:t>á</w:t>
      </w:r>
      <w:r w:rsidR="00612B69" w:rsidRPr="00813D19">
        <w:rPr>
          <w:bCs/>
          <w:lang w:val="en-US"/>
        </w:rPr>
        <w:t>.</w:t>
      </w:r>
    </w:p>
    <w:p w14:paraId="31623872" w14:textId="76B5D4A3" w:rsidR="004103B6" w:rsidRPr="00813D19" w:rsidRDefault="001527A4" w:rsidP="004103B6">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E933A6" w:rsidRPr="00813D19">
        <w:rPr>
          <w:lang w:val="en-US"/>
        </w:rPr>
        <w:t xml:space="preserve">congratulated Colombia, turning to the Committee with the </w:t>
      </w:r>
      <w:r w:rsidR="009D48D2" w:rsidRPr="00813D19">
        <w:rPr>
          <w:lang w:val="en-US"/>
        </w:rPr>
        <w:t>proposal from Colombia to host the fourteenth session</w:t>
      </w:r>
      <w:r w:rsidR="00E933A6" w:rsidRPr="00813D19">
        <w:rPr>
          <w:lang w:val="en-US"/>
        </w:rPr>
        <w:t>,</w:t>
      </w:r>
      <w:r w:rsidR="009D48D2" w:rsidRPr="00813D19">
        <w:rPr>
          <w:lang w:val="en-US"/>
        </w:rPr>
        <w:t xml:space="preserve"> suggest</w:t>
      </w:r>
      <w:r w:rsidR="00E933A6" w:rsidRPr="00813D19">
        <w:rPr>
          <w:lang w:val="en-US"/>
        </w:rPr>
        <w:t>ing</w:t>
      </w:r>
      <w:r w:rsidR="009D48D2" w:rsidRPr="00813D19">
        <w:rPr>
          <w:lang w:val="en-US"/>
        </w:rPr>
        <w:t xml:space="preserve"> </w:t>
      </w:r>
      <w:r w:rsidR="006D68AC">
        <w:rPr>
          <w:lang w:val="en-US"/>
        </w:rPr>
        <w:t>that</w:t>
      </w:r>
      <w:r w:rsidR="009D48D2" w:rsidRPr="00813D19">
        <w:rPr>
          <w:lang w:val="en-US"/>
        </w:rPr>
        <w:t xml:space="preserve"> </w:t>
      </w:r>
      <w:r w:rsidR="00E933A6" w:rsidRPr="00813D19">
        <w:rPr>
          <w:lang w:val="en-US"/>
        </w:rPr>
        <w:t xml:space="preserve">the </w:t>
      </w:r>
      <w:r w:rsidR="009D48D2" w:rsidRPr="00813D19">
        <w:rPr>
          <w:lang w:val="en-US"/>
        </w:rPr>
        <w:t xml:space="preserve">kind offer </w:t>
      </w:r>
      <w:r w:rsidR="006D68AC">
        <w:rPr>
          <w:lang w:val="en-US"/>
        </w:rPr>
        <w:t xml:space="preserve">be accepted </w:t>
      </w:r>
      <w:r w:rsidR="009D48D2" w:rsidRPr="00813D19">
        <w:rPr>
          <w:lang w:val="en-US"/>
        </w:rPr>
        <w:t xml:space="preserve">by acclamation. </w:t>
      </w:r>
      <w:r w:rsidR="00E933A6" w:rsidRPr="00813D19">
        <w:rPr>
          <w:lang w:val="en-US"/>
        </w:rPr>
        <w:t xml:space="preserve">He thanked Colombia for this </w:t>
      </w:r>
      <w:r w:rsidR="009D48D2" w:rsidRPr="00813D19">
        <w:rPr>
          <w:lang w:val="en-US"/>
        </w:rPr>
        <w:t>excellent opportunity</w:t>
      </w:r>
      <w:r w:rsidR="00E933A6" w:rsidRPr="00813D19">
        <w:rPr>
          <w:lang w:val="en-US"/>
        </w:rPr>
        <w:t>, giving thanks from the Committee</w:t>
      </w:r>
      <w:r w:rsidR="009655F9" w:rsidRPr="00813D19">
        <w:rPr>
          <w:lang w:val="en-US"/>
        </w:rPr>
        <w:t>.</w:t>
      </w:r>
    </w:p>
    <w:p w14:paraId="306036C0" w14:textId="77777777" w:rsidR="001527A4" w:rsidRPr="00813D19" w:rsidRDefault="001527A4" w:rsidP="00F745F1">
      <w:pPr>
        <w:pStyle w:val="Orateurengris"/>
        <w:numPr>
          <w:ilvl w:val="0"/>
          <w:numId w:val="0"/>
        </w:numPr>
        <w:spacing w:before="240" w:after="240"/>
        <w:ind w:left="567" w:hanging="567"/>
        <w:jc w:val="center"/>
        <w:rPr>
          <w:i/>
          <w:lang w:val="en-US"/>
        </w:rPr>
      </w:pPr>
      <w:r w:rsidRPr="00813D19">
        <w:rPr>
          <w:i/>
          <w:lang w:val="en-US"/>
        </w:rPr>
        <w:t>[Adopted by acclamation]</w:t>
      </w:r>
    </w:p>
    <w:p w14:paraId="7D20865B" w14:textId="62D9B33F" w:rsidR="00603C65" w:rsidRPr="00813D19" w:rsidRDefault="001527A4" w:rsidP="00686423">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7230F4" w:rsidRPr="00813D19">
        <w:rPr>
          <w:lang w:val="en-US"/>
        </w:rPr>
        <w:t xml:space="preserve">recalled that </w:t>
      </w:r>
      <w:r w:rsidR="00603C65" w:rsidRPr="00813D19">
        <w:rPr>
          <w:lang w:val="en-US"/>
        </w:rPr>
        <w:t xml:space="preserve">Rule 4.1 of the Rules of Procedure stipulates that the Committee shall determine at each session, in consultation with the Director-General, the date and place of the next session. </w:t>
      </w:r>
      <w:r w:rsidR="007230F4" w:rsidRPr="00813D19">
        <w:rPr>
          <w:lang w:val="en-US"/>
        </w:rPr>
        <w:t xml:space="preserve">The Secretary had </w:t>
      </w:r>
      <w:r w:rsidR="00603C65" w:rsidRPr="00813D19">
        <w:rPr>
          <w:lang w:val="en-US"/>
        </w:rPr>
        <w:t>confirm</w:t>
      </w:r>
      <w:r w:rsidR="007230F4" w:rsidRPr="00813D19">
        <w:rPr>
          <w:lang w:val="en-US"/>
        </w:rPr>
        <w:t>ed</w:t>
      </w:r>
      <w:r w:rsidR="00603C65" w:rsidRPr="00813D19">
        <w:rPr>
          <w:lang w:val="en-US"/>
        </w:rPr>
        <w:t xml:space="preserve"> with the Director-General and the authorities of </w:t>
      </w:r>
      <w:r w:rsidR="00603C65" w:rsidRPr="00813D19">
        <w:rPr>
          <w:iCs/>
          <w:lang w:val="en-US"/>
        </w:rPr>
        <w:t>Colombia</w:t>
      </w:r>
      <w:r w:rsidR="00603C65" w:rsidRPr="00813D19">
        <w:rPr>
          <w:lang w:val="en-US"/>
        </w:rPr>
        <w:t xml:space="preserve"> that the fourteenth session </w:t>
      </w:r>
      <w:r w:rsidR="007230F4" w:rsidRPr="00813D19">
        <w:rPr>
          <w:lang w:val="en-US"/>
        </w:rPr>
        <w:t xml:space="preserve">could </w:t>
      </w:r>
      <w:r w:rsidR="00603C65" w:rsidRPr="00813D19">
        <w:rPr>
          <w:lang w:val="en-US"/>
        </w:rPr>
        <w:t>be held from 9 to 14 December 2019</w:t>
      </w:r>
      <w:r w:rsidR="007230F4" w:rsidRPr="00813D19">
        <w:rPr>
          <w:lang w:val="en-US"/>
        </w:rPr>
        <w:t xml:space="preserve">, and </w:t>
      </w:r>
      <w:r w:rsidR="00603C65" w:rsidRPr="00813D19">
        <w:rPr>
          <w:lang w:val="en-US"/>
        </w:rPr>
        <w:t xml:space="preserve">the draft decision </w:t>
      </w:r>
      <w:r w:rsidR="007230F4" w:rsidRPr="00813D19">
        <w:rPr>
          <w:lang w:val="en-US"/>
        </w:rPr>
        <w:t xml:space="preserve">was amended </w:t>
      </w:r>
      <w:r w:rsidR="00603C65" w:rsidRPr="00813D19">
        <w:rPr>
          <w:lang w:val="en-US"/>
        </w:rPr>
        <w:t>accordingly</w:t>
      </w:r>
      <w:r w:rsidR="007230F4" w:rsidRPr="00813D19">
        <w:rPr>
          <w:lang w:val="en-US"/>
        </w:rPr>
        <w:t>.</w:t>
      </w:r>
    </w:p>
    <w:p w14:paraId="27FD6A72" w14:textId="09326901" w:rsidR="00603C65" w:rsidRPr="00813D19" w:rsidRDefault="00603C65" w:rsidP="00E933A6">
      <w:pPr>
        <w:pStyle w:val="Orateurengris"/>
        <w:spacing w:before="120"/>
        <w:ind w:left="709" w:hanging="709"/>
        <w:rPr>
          <w:lang w:val="en-US"/>
        </w:rPr>
      </w:pPr>
      <w:r w:rsidRPr="00813D19">
        <w:rPr>
          <w:lang w:val="en-US"/>
        </w:rPr>
        <w:t xml:space="preserve">The </w:t>
      </w:r>
      <w:r w:rsidRPr="00813D19">
        <w:rPr>
          <w:b/>
          <w:lang w:val="en-US"/>
        </w:rPr>
        <w:t>delegation of Cyprus</w:t>
      </w:r>
      <w:r w:rsidRPr="00813D19">
        <w:rPr>
          <w:lang w:val="en-US"/>
        </w:rPr>
        <w:t xml:space="preserve"> </w:t>
      </w:r>
      <w:r w:rsidR="00E933A6" w:rsidRPr="00813D19">
        <w:rPr>
          <w:lang w:val="en-US"/>
        </w:rPr>
        <w:t>asked the Secretariat to check that the proposed dates did not coincide with other meetings, especially the 1954 Convention and the Second Protocol.</w:t>
      </w:r>
    </w:p>
    <w:p w14:paraId="4341B757" w14:textId="3C49A5A8" w:rsidR="00603C65" w:rsidRPr="00813D19" w:rsidRDefault="00603C65" w:rsidP="001527A4">
      <w:pPr>
        <w:pStyle w:val="Orateurengris"/>
        <w:spacing w:before="120"/>
        <w:ind w:left="709" w:hanging="709"/>
        <w:rPr>
          <w:lang w:val="en-US"/>
        </w:rPr>
      </w:pPr>
      <w:r w:rsidRPr="00813D19">
        <w:rPr>
          <w:lang w:val="en-US"/>
        </w:rPr>
        <w:t xml:space="preserve">The </w:t>
      </w:r>
      <w:r w:rsidRPr="00813D19">
        <w:rPr>
          <w:b/>
          <w:lang w:val="en-US"/>
        </w:rPr>
        <w:t>Secretary</w:t>
      </w:r>
      <w:r w:rsidRPr="00813D19">
        <w:rPr>
          <w:lang w:val="en-US"/>
        </w:rPr>
        <w:t xml:space="preserve"> </w:t>
      </w:r>
      <w:r w:rsidR="009D48D2" w:rsidRPr="00813D19">
        <w:rPr>
          <w:bCs/>
          <w:lang w:val="en-US"/>
        </w:rPr>
        <w:t>thank</w:t>
      </w:r>
      <w:r w:rsidR="00E933A6" w:rsidRPr="00813D19">
        <w:rPr>
          <w:bCs/>
          <w:lang w:val="en-US"/>
        </w:rPr>
        <w:t>ed</w:t>
      </w:r>
      <w:r w:rsidR="009D48D2" w:rsidRPr="00813D19">
        <w:rPr>
          <w:bCs/>
          <w:lang w:val="en-US"/>
        </w:rPr>
        <w:t xml:space="preserve"> the future host country of Colombia for </w:t>
      </w:r>
      <w:r w:rsidR="009655F9" w:rsidRPr="00813D19">
        <w:rPr>
          <w:bCs/>
          <w:lang w:val="en-US"/>
        </w:rPr>
        <w:t>its</w:t>
      </w:r>
      <w:r w:rsidR="009D48D2" w:rsidRPr="00813D19">
        <w:rPr>
          <w:bCs/>
          <w:lang w:val="en-US"/>
        </w:rPr>
        <w:t xml:space="preserve"> flexibility in working with </w:t>
      </w:r>
      <w:r w:rsidR="00E933A6" w:rsidRPr="00813D19">
        <w:rPr>
          <w:bCs/>
          <w:lang w:val="en-US"/>
        </w:rPr>
        <w:t xml:space="preserve">the Committee </w:t>
      </w:r>
      <w:r w:rsidR="009D48D2" w:rsidRPr="00813D19">
        <w:rPr>
          <w:bCs/>
          <w:lang w:val="en-US"/>
        </w:rPr>
        <w:t xml:space="preserve">to ensure that </w:t>
      </w:r>
      <w:r w:rsidR="00E933A6" w:rsidRPr="00813D19">
        <w:rPr>
          <w:bCs/>
          <w:lang w:val="en-US"/>
        </w:rPr>
        <w:t xml:space="preserve">it </w:t>
      </w:r>
      <w:r w:rsidR="009D48D2" w:rsidRPr="00813D19">
        <w:rPr>
          <w:bCs/>
          <w:lang w:val="en-US"/>
        </w:rPr>
        <w:t>could find a date that did not conflict with any of the previous meetings</w:t>
      </w:r>
      <w:r w:rsidR="00E933A6" w:rsidRPr="00813D19">
        <w:rPr>
          <w:bCs/>
          <w:lang w:val="en-US"/>
        </w:rPr>
        <w:t>,</w:t>
      </w:r>
      <w:r w:rsidR="009D48D2" w:rsidRPr="00813D19">
        <w:rPr>
          <w:bCs/>
          <w:lang w:val="en-US"/>
        </w:rPr>
        <w:t xml:space="preserve"> particularly the 13</w:t>
      </w:r>
      <w:r w:rsidR="009D48D2" w:rsidRPr="003221D5">
        <w:rPr>
          <w:bCs/>
          <w:lang w:val="en-US"/>
        </w:rPr>
        <w:t>th</w:t>
      </w:r>
      <w:r w:rsidR="00E933A6" w:rsidRPr="00813D19">
        <w:rPr>
          <w:bCs/>
          <w:lang w:val="en-US"/>
        </w:rPr>
        <w:t xml:space="preserve"> </w:t>
      </w:r>
      <w:r w:rsidR="009D48D2" w:rsidRPr="00813D19">
        <w:rPr>
          <w:bCs/>
          <w:lang w:val="en-US"/>
        </w:rPr>
        <w:t>meeting of the High Contracting Parties to the 1954 Convention</w:t>
      </w:r>
      <w:r w:rsidR="00E933A6" w:rsidRPr="00813D19">
        <w:rPr>
          <w:bCs/>
          <w:lang w:val="en-US"/>
        </w:rPr>
        <w:t xml:space="preserve"> on </w:t>
      </w:r>
      <w:r w:rsidR="009D48D2" w:rsidRPr="00813D19">
        <w:rPr>
          <w:bCs/>
          <w:lang w:val="en-US"/>
        </w:rPr>
        <w:t xml:space="preserve">2 December, the </w:t>
      </w:r>
      <w:r w:rsidR="009D48D2" w:rsidRPr="00365B06">
        <w:rPr>
          <w:bCs/>
          <w:lang w:val="en-US"/>
        </w:rPr>
        <w:t>8</w:t>
      </w:r>
      <w:r w:rsidR="009D48D2" w:rsidRPr="003221D5">
        <w:rPr>
          <w:bCs/>
          <w:lang w:val="en-US"/>
        </w:rPr>
        <w:t>th</w:t>
      </w:r>
      <w:r w:rsidR="00E933A6" w:rsidRPr="00365B06">
        <w:rPr>
          <w:bCs/>
          <w:lang w:val="en-US"/>
        </w:rPr>
        <w:t xml:space="preserve"> </w:t>
      </w:r>
      <w:r w:rsidR="009D48D2" w:rsidRPr="00813D19">
        <w:rPr>
          <w:bCs/>
          <w:lang w:val="en-US"/>
        </w:rPr>
        <w:t>Meeting to the Parties to the Second Protoc</w:t>
      </w:r>
      <w:r w:rsidR="00E933A6" w:rsidRPr="00813D19">
        <w:rPr>
          <w:bCs/>
          <w:lang w:val="en-US"/>
        </w:rPr>
        <w:t xml:space="preserve">ol to the Hague Convention </w:t>
      </w:r>
      <w:r w:rsidR="00365B06">
        <w:rPr>
          <w:bCs/>
          <w:lang w:val="en-US"/>
        </w:rPr>
        <w:t>from</w:t>
      </w:r>
      <w:r w:rsidR="00E933A6" w:rsidRPr="00813D19">
        <w:rPr>
          <w:bCs/>
          <w:lang w:val="en-US"/>
        </w:rPr>
        <w:t xml:space="preserve"> 3–</w:t>
      </w:r>
      <w:r w:rsidR="009D48D2" w:rsidRPr="00813D19">
        <w:rPr>
          <w:bCs/>
          <w:lang w:val="en-US"/>
        </w:rPr>
        <w:t>4 December, the 14</w:t>
      </w:r>
      <w:r w:rsidR="009D48D2" w:rsidRPr="003221D5">
        <w:rPr>
          <w:bCs/>
          <w:lang w:val="en-US"/>
        </w:rPr>
        <w:t>th</w:t>
      </w:r>
      <w:r w:rsidR="00E933A6" w:rsidRPr="00813D19">
        <w:rPr>
          <w:bCs/>
          <w:lang w:val="en-US"/>
        </w:rPr>
        <w:t xml:space="preserve"> </w:t>
      </w:r>
      <w:r w:rsidR="009D48D2" w:rsidRPr="00813D19">
        <w:rPr>
          <w:bCs/>
          <w:lang w:val="en-US"/>
        </w:rPr>
        <w:t>Meeting for the Committee for the Protection of Cultural Property in the</w:t>
      </w:r>
      <w:r w:rsidR="00E933A6" w:rsidRPr="00813D19">
        <w:rPr>
          <w:bCs/>
          <w:lang w:val="en-US"/>
        </w:rPr>
        <w:t xml:space="preserve"> Event of Armed Conflict from 4–</w:t>
      </w:r>
      <w:r w:rsidR="009D48D2" w:rsidRPr="00813D19">
        <w:rPr>
          <w:bCs/>
          <w:lang w:val="en-US"/>
        </w:rPr>
        <w:t>6 December</w:t>
      </w:r>
      <w:r w:rsidR="00E933A6" w:rsidRPr="00813D19">
        <w:rPr>
          <w:bCs/>
          <w:lang w:val="en-US"/>
        </w:rPr>
        <w:t>,</w:t>
      </w:r>
      <w:r w:rsidR="009655F9" w:rsidRPr="00813D19">
        <w:rPr>
          <w:bCs/>
          <w:lang w:val="en-US"/>
        </w:rPr>
        <w:t xml:space="preserve"> and </w:t>
      </w:r>
      <w:r w:rsidR="00E933A6" w:rsidRPr="00813D19">
        <w:rPr>
          <w:bCs/>
          <w:lang w:val="en-US"/>
        </w:rPr>
        <w:t>the 13</w:t>
      </w:r>
      <w:r w:rsidR="00E933A6" w:rsidRPr="003221D5">
        <w:rPr>
          <w:bCs/>
          <w:lang w:val="en-US"/>
        </w:rPr>
        <w:t>th</w:t>
      </w:r>
      <w:r w:rsidR="009D48D2" w:rsidRPr="00813D19">
        <w:rPr>
          <w:bCs/>
          <w:lang w:val="en-US"/>
        </w:rPr>
        <w:t xml:space="preserve"> session of the Committee of the 2005 Convention</w:t>
      </w:r>
      <w:r w:rsidR="009655F9" w:rsidRPr="00813D19">
        <w:rPr>
          <w:bCs/>
          <w:lang w:val="en-US"/>
        </w:rPr>
        <w:t>,</w:t>
      </w:r>
      <w:r w:rsidR="009D48D2" w:rsidRPr="00813D19">
        <w:rPr>
          <w:bCs/>
          <w:lang w:val="en-US"/>
        </w:rPr>
        <w:t xml:space="preserve"> which </w:t>
      </w:r>
      <w:r w:rsidR="00E933A6" w:rsidRPr="00813D19">
        <w:rPr>
          <w:bCs/>
          <w:lang w:val="en-US"/>
        </w:rPr>
        <w:t xml:space="preserve">was yet </w:t>
      </w:r>
      <w:r w:rsidR="00365B06">
        <w:rPr>
          <w:bCs/>
          <w:lang w:val="en-US"/>
        </w:rPr>
        <w:t xml:space="preserve">to be </w:t>
      </w:r>
      <w:r w:rsidR="00365B06" w:rsidRPr="00813D19">
        <w:rPr>
          <w:bCs/>
          <w:lang w:val="en-US"/>
        </w:rPr>
        <w:t xml:space="preserve">decided </w:t>
      </w:r>
      <w:r w:rsidR="009655F9" w:rsidRPr="00813D19">
        <w:rPr>
          <w:bCs/>
          <w:lang w:val="en-US"/>
        </w:rPr>
        <w:t xml:space="preserve">and it was still unknown </w:t>
      </w:r>
      <w:r w:rsidR="00813D19" w:rsidRPr="00813D19">
        <w:rPr>
          <w:bCs/>
          <w:lang w:val="en-US"/>
        </w:rPr>
        <w:t>whether</w:t>
      </w:r>
      <w:r w:rsidR="009655F9" w:rsidRPr="00813D19">
        <w:rPr>
          <w:bCs/>
          <w:lang w:val="en-US"/>
        </w:rPr>
        <w:t xml:space="preserve"> it</w:t>
      </w:r>
      <w:r w:rsidR="009D48D2" w:rsidRPr="00813D19">
        <w:rPr>
          <w:bCs/>
          <w:lang w:val="en-US"/>
        </w:rPr>
        <w:t xml:space="preserve"> </w:t>
      </w:r>
      <w:r w:rsidR="00E933A6" w:rsidRPr="00813D19">
        <w:rPr>
          <w:bCs/>
          <w:lang w:val="en-US"/>
        </w:rPr>
        <w:t xml:space="preserve">would </w:t>
      </w:r>
      <w:r w:rsidR="009D48D2" w:rsidRPr="00813D19">
        <w:rPr>
          <w:bCs/>
          <w:lang w:val="en-US"/>
        </w:rPr>
        <w:t xml:space="preserve">be hosted in December </w:t>
      </w:r>
      <w:r w:rsidR="00E933A6" w:rsidRPr="00813D19">
        <w:rPr>
          <w:bCs/>
          <w:lang w:val="en-US"/>
        </w:rPr>
        <w:t xml:space="preserve">or </w:t>
      </w:r>
      <w:r w:rsidR="009D48D2" w:rsidRPr="00813D19">
        <w:rPr>
          <w:bCs/>
          <w:lang w:val="en-US"/>
        </w:rPr>
        <w:t>postpone</w:t>
      </w:r>
      <w:r w:rsidR="00E933A6" w:rsidRPr="00813D19">
        <w:rPr>
          <w:bCs/>
          <w:lang w:val="en-US"/>
        </w:rPr>
        <w:t>d</w:t>
      </w:r>
      <w:r w:rsidR="009655F9" w:rsidRPr="00813D19">
        <w:rPr>
          <w:bCs/>
          <w:lang w:val="en-US"/>
        </w:rPr>
        <w:t xml:space="preserve"> until</w:t>
      </w:r>
      <w:r w:rsidR="009D48D2" w:rsidRPr="00813D19">
        <w:rPr>
          <w:bCs/>
          <w:lang w:val="en-US"/>
        </w:rPr>
        <w:t xml:space="preserve"> February to allow enough time between the various culture conventions</w:t>
      </w:r>
      <w:r w:rsidR="00E933A6" w:rsidRPr="00813D19">
        <w:rPr>
          <w:bCs/>
          <w:lang w:val="en-US"/>
        </w:rPr>
        <w:t>.</w:t>
      </w:r>
    </w:p>
    <w:p w14:paraId="65377A59" w14:textId="7064F339" w:rsidR="00CA62F4" w:rsidRPr="00813D19" w:rsidRDefault="00CA62F4" w:rsidP="001527A4">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E933A6" w:rsidRPr="00813D19">
        <w:rPr>
          <w:lang w:val="en-US"/>
        </w:rPr>
        <w:t xml:space="preserve">also wished to thank </w:t>
      </w:r>
      <w:r w:rsidR="009D48D2" w:rsidRPr="00813D19">
        <w:rPr>
          <w:lang w:val="en-US"/>
        </w:rPr>
        <w:t xml:space="preserve">Armenia who </w:t>
      </w:r>
      <w:r w:rsidR="00E933A6" w:rsidRPr="00813D19">
        <w:rPr>
          <w:lang w:val="en-US"/>
        </w:rPr>
        <w:t>voluntarily</w:t>
      </w:r>
      <w:r w:rsidR="009D48D2" w:rsidRPr="00813D19">
        <w:rPr>
          <w:lang w:val="en-US"/>
        </w:rPr>
        <w:t xml:space="preserve"> agreed that </w:t>
      </w:r>
      <w:r w:rsidR="00E933A6" w:rsidRPr="00813D19">
        <w:rPr>
          <w:lang w:val="en-US"/>
        </w:rPr>
        <w:t xml:space="preserve">the </w:t>
      </w:r>
      <w:r w:rsidR="009D48D2" w:rsidRPr="00813D19">
        <w:rPr>
          <w:lang w:val="en-US"/>
        </w:rPr>
        <w:t xml:space="preserve">next session </w:t>
      </w:r>
      <w:r w:rsidR="00E933A6" w:rsidRPr="00813D19">
        <w:rPr>
          <w:lang w:val="en-US"/>
        </w:rPr>
        <w:t>in 2019 w</w:t>
      </w:r>
      <w:r w:rsidR="00365B06">
        <w:rPr>
          <w:lang w:val="en-US"/>
        </w:rPr>
        <w:t>ould</w:t>
      </w:r>
      <w:r w:rsidR="00E933A6" w:rsidRPr="00813D19">
        <w:rPr>
          <w:lang w:val="en-US"/>
        </w:rPr>
        <w:t xml:space="preserve"> be in Colombia.</w:t>
      </w:r>
    </w:p>
    <w:p w14:paraId="2E921B38" w14:textId="2F0981E6" w:rsidR="00CA62F4" w:rsidRPr="00813D19" w:rsidRDefault="00CA62F4" w:rsidP="001527A4">
      <w:pPr>
        <w:pStyle w:val="Orateurengris"/>
        <w:spacing w:before="120"/>
        <w:ind w:left="709" w:hanging="709"/>
        <w:rPr>
          <w:lang w:val="en-US"/>
        </w:rPr>
      </w:pPr>
      <w:r w:rsidRPr="00813D19">
        <w:rPr>
          <w:lang w:val="en-US"/>
        </w:rPr>
        <w:t xml:space="preserve">The </w:t>
      </w:r>
      <w:r w:rsidRPr="00813D19">
        <w:rPr>
          <w:b/>
          <w:lang w:val="en-US"/>
        </w:rPr>
        <w:t>delegation of Armenia</w:t>
      </w:r>
      <w:r w:rsidR="009D48D2" w:rsidRPr="00813D19">
        <w:rPr>
          <w:b/>
          <w:lang w:val="en-US"/>
        </w:rPr>
        <w:t xml:space="preserve"> </w:t>
      </w:r>
      <w:r w:rsidR="00E933A6" w:rsidRPr="00813D19">
        <w:rPr>
          <w:lang w:val="en-US"/>
        </w:rPr>
        <w:t xml:space="preserve">offered </w:t>
      </w:r>
      <w:r w:rsidR="009D48D2" w:rsidRPr="00813D19">
        <w:rPr>
          <w:lang w:val="en-US"/>
        </w:rPr>
        <w:t>sincere congratulations to Colombia</w:t>
      </w:r>
      <w:r w:rsidR="00E933A6" w:rsidRPr="00813D19">
        <w:rPr>
          <w:lang w:val="en-US"/>
        </w:rPr>
        <w:t>,</w:t>
      </w:r>
      <w:r w:rsidR="009D48D2" w:rsidRPr="00813D19">
        <w:rPr>
          <w:lang w:val="en-US"/>
        </w:rPr>
        <w:t xml:space="preserve"> but </w:t>
      </w:r>
      <w:r w:rsidR="00E933A6" w:rsidRPr="00813D19">
        <w:rPr>
          <w:lang w:val="en-US"/>
        </w:rPr>
        <w:t xml:space="preserve">its </w:t>
      </w:r>
      <w:r w:rsidR="009D48D2" w:rsidRPr="00813D19">
        <w:rPr>
          <w:lang w:val="en-US"/>
        </w:rPr>
        <w:t xml:space="preserve">invitation to visit </w:t>
      </w:r>
      <w:r w:rsidR="00E933A6" w:rsidRPr="00813D19">
        <w:rPr>
          <w:lang w:val="en-US"/>
        </w:rPr>
        <w:t>its beautiful country still remained.</w:t>
      </w:r>
    </w:p>
    <w:p w14:paraId="68DF901E" w14:textId="6BD3BFB3" w:rsidR="00505B7F" w:rsidRPr="00813D19" w:rsidRDefault="0064309F" w:rsidP="001527A4">
      <w:pPr>
        <w:pStyle w:val="Orateurengris"/>
        <w:spacing w:before="120"/>
        <w:ind w:left="709" w:hanging="709"/>
        <w:rPr>
          <w:lang w:val="en-US"/>
        </w:rPr>
      </w:pPr>
      <w:r w:rsidRPr="00813D19">
        <w:rPr>
          <w:lang w:val="en-US"/>
        </w:rPr>
        <w:t>Turning</w:t>
      </w:r>
      <w:r w:rsidR="00505B7F" w:rsidRPr="00813D19">
        <w:rPr>
          <w:lang w:val="en-US"/>
        </w:rPr>
        <w:t xml:space="preserve"> to the adoption of the draft decision as a w</w:t>
      </w:r>
      <w:r w:rsidRPr="00813D19">
        <w:rPr>
          <w:lang w:val="en-US"/>
        </w:rPr>
        <w:t>hole, t</w:t>
      </w:r>
      <w:r w:rsidR="00505B7F" w:rsidRPr="00813D19">
        <w:rPr>
          <w:lang w:val="en-US"/>
        </w:rPr>
        <w:t xml:space="preserve">he </w:t>
      </w:r>
      <w:r w:rsidR="00505B7F" w:rsidRPr="00813D19">
        <w:rPr>
          <w:b/>
          <w:lang w:val="en-US"/>
        </w:rPr>
        <w:t>Chairperson declared 13.COM</w:t>
      </w:r>
      <w:r w:rsidR="007B2D60">
        <w:rPr>
          <w:b/>
          <w:lang w:val="en-US"/>
        </w:rPr>
        <w:t> </w:t>
      </w:r>
      <w:r w:rsidR="00505B7F" w:rsidRPr="00813D19">
        <w:rPr>
          <w:b/>
          <w:lang w:val="en-US"/>
        </w:rPr>
        <w:t>18</w:t>
      </w:r>
      <w:r w:rsidRPr="00813D19">
        <w:rPr>
          <w:b/>
          <w:lang w:val="en-US"/>
        </w:rPr>
        <w:t xml:space="preserve"> adopted</w:t>
      </w:r>
      <w:r w:rsidR="00505B7F" w:rsidRPr="00F745F1">
        <w:rPr>
          <w:bCs/>
          <w:lang w:val="en-US"/>
        </w:rPr>
        <w:t>.</w:t>
      </w:r>
    </w:p>
    <w:p w14:paraId="6E4F8321" w14:textId="36E2D60A" w:rsidR="001527A4" w:rsidRPr="00813D19" w:rsidRDefault="001527A4" w:rsidP="00F745F1">
      <w:pPr>
        <w:pStyle w:val="Orateurengris"/>
        <w:numPr>
          <w:ilvl w:val="0"/>
          <w:numId w:val="0"/>
        </w:numPr>
        <w:spacing w:before="240" w:after="240"/>
        <w:ind w:left="567" w:hanging="567"/>
        <w:jc w:val="center"/>
        <w:rPr>
          <w:i/>
          <w:lang w:val="en-US"/>
        </w:rPr>
      </w:pPr>
      <w:r w:rsidRPr="00813D19">
        <w:rPr>
          <w:i/>
          <w:lang w:val="en-US"/>
        </w:rPr>
        <w:t>[</w:t>
      </w:r>
      <w:r w:rsidR="009E019C" w:rsidRPr="00813D19">
        <w:rPr>
          <w:i/>
          <w:lang w:val="en-US"/>
        </w:rPr>
        <w:t>A short film on</w:t>
      </w:r>
      <w:r w:rsidR="00722D1C" w:rsidRPr="00813D19">
        <w:rPr>
          <w:i/>
          <w:lang w:val="en-US"/>
        </w:rPr>
        <w:t xml:space="preserve"> Colombia</w:t>
      </w:r>
      <w:r w:rsidR="00F36C4A">
        <w:rPr>
          <w:i/>
          <w:lang w:val="en-US"/>
        </w:rPr>
        <w:t xml:space="preserve"> with a message from the Minister of Culture</w:t>
      </w:r>
      <w:r w:rsidR="00722D1C" w:rsidRPr="00813D19">
        <w:rPr>
          <w:i/>
          <w:lang w:val="en-US"/>
        </w:rPr>
        <w:t xml:space="preserve"> </w:t>
      </w:r>
      <w:r w:rsidR="009E019C" w:rsidRPr="00813D19">
        <w:rPr>
          <w:i/>
          <w:lang w:val="en-US"/>
        </w:rPr>
        <w:t xml:space="preserve">was </w:t>
      </w:r>
      <w:r w:rsidR="00722D1C" w:rsidRPr="00813D19">
        <w:rPr>
          <w:i/>
          <w:lang w:val="en-US"/>
        </w:rPr>
        <w:t>projected]</w:t>
      </w:r>
    </w:p>
    <w:p w14:paraId="0128C554" w14:textId="08EC03EF" w:rsidR="00BC662E" w:rsidRPr="00813D19" w:rsidRDefault="00BC662E" w:rsidP="00BC662E">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E933A6" w:rsidRPr="00813D19">
        <w:rPr>
          <w:lang w:val="en-US"/>
        </w:rPr>
        <w:t xml:space="preserve">informed the Committee that the </w:t>
      </w:r>
      <w:r w:rsidR="009D48D2" w:rsidRPr="00813D19">
        <w:rPr>
          <w:lang w:val="en-US"/>
        </w:rPr>
        <w:t xml:space="preserve">Secretariat </w:t>
      </w:r>
      <w:r w:rsidR="00E933A6" w:rsidRPr="00813D19">
        <w:rPr>
          <w:lang w:val="en-US"/>
        </w:rPr>
        <w:t xml:space="preserve">would </w:t>
      </w:r>
      <w:r w:rsidR="009D48D2" w:rsidRPr="00813D19">
        <w:rPr>
          <w:lang w:val="en-US"/>
        </w:rPr>
        <w:t>distribute the list of decisions adopted up to the morning session</w:t>
      </w:r>
      <w:r w:rsidR="00E933A6" w:rsidRPr="00813D19">
        <w:rPr>
          <w:lang w:val="en-US"/>
        </w:rPr>
        <w:t xml:space="preserve"> during lunch</w:t>
      </w:r>
      <w:r w:rsidR="009D48D2" w:rsidRPr="00813D19">
        <w:rPr>
          <w:lang w:val="en-US"/>
        </w:rPr>
        <w:t xml:space="preserve">. </w:t>
      </w:r>
      <w:r w:rsidR="00E933A6" w:rsidRPr="00813D19">
        <w:rPr>
          <w:lang w:val="en-US"/>
        </w:rPr>
        <w:t>It was the responsibility of the R</w:t>
      </w:r>
      <w:r w:rsidR="009D48D2" w:rsidRPr="00813D19">
        <w:rPr>
          <w:lang w:val="en-US"/>
        </w:rPr>
        <w:t>apporteur to validate all the deci</w:t>
      </w:r>
      <w:r w:rsidR="00E933A6" w:rsidRPr="00813D19">
        <w:rPr>
          <w:lang w:val="en-US"/>
        </w:rPr>
        <w:t xml:space="preserve">sions of the thirteenth session, </w:t>
      </w:r>
      <w:r w:rsidR="009D48D2" w:rsidRPr="00813D19">
        <w:rPr>
          <w:lang w:val="en-US"/>
        </w:rPr>
        <w:t xml:space="preserve">including those that </w:t>
      </w:r>
      <w:r w:rsidR="00E933A6" w:rsidRPr="00813D19">
        <w:rPr>
          <w:lang w:val="en-US"/>
        </w:rPr>
        <w:t xml:space="preserve">would </w:t>
      </w:r>
      <w:r w:rsidR="009D48D2" w:rsidRPr="00813D19">
        <w:rPr>
          <w:lang w:val="en-US"/>
        </w:rPr>
        <w:t xml:space="preserve">be adopted in the afternoon. </w:t>
      </w:r>
      <w:r w:rsidR="00E933A6" w:rsidRPr="00813D19">
        <w:rPr>
          <w:lang w:val="en-US"/>
        </w:rPr>
        <w:t>T</w:t>
      </w:r>
      <w:r w:rsidR="009D48D2" w:rsidRPr="00813D19">
        <w:rPr>
          <w:lang w:val="en-US"/>
        </w:rPr>
        <w:t xml:space="preserve">he Secretariat </w:t>
      </w:r>
      <w:r w:rsidR="00E933A6" w:rsidRPr="00813D19">
        <w:rPr>
          <w:lang w:val="en-US"/>
        </w:rPr>
        <w:t xml:space="preserve">would then publish the </w:t>
      </w:r>
      <w:r w:rsidR="009D48D2" w:rsidRPr="00813D19">
        <w:rPr>
          <w:lang w:val="en-US"/>
        </w:rPr>
        <w:t xml:space="preserve">final versions </w:t>
      </w:r>
      <w:r w:rsidR="00E933A6" w:rsidRPr="00813D19">
        <w:rPr>
          <w:lang w:val="en-US"/>
        </w:rPr>
        <w:t xml:space="preserve">of the decisions </w:t>
      </w:r>
      <w:r w:rsidR="009D48D2" w:rsidRPr="00813D19">
        <w:rPr>
          <w:lang w:val="en-US"/>
        </w:rPr>
        <w:t xml:space="preserve">by the end of </w:t>
      </w:r>
      <w:r w:rsidR="00E933A6" w:rsidRPr="00813D19">
        <w:rPr>
          <w:lang w:val="en-US"/>
        </w:rPr>
        <w:t>2018</w:t>
      </w:r>
      <w:r w:rsidR="00F745F1">
        <w:rPr>
          <w:lang w:val="en-US"/>
        </w:rPr>
        <w:t>.</w:t>
      </w:r>
    </w:p>
    <w:p w14:paraId="07427489" w14:textId="356E28BE" w:rsidR="00BC662E" w:rsidRPr="00813D19" w:rsidRDefault="00BC662E" w:rsidP="009E019C">
      <w:pPr>
        <w:pStyle w:val="Orateurengris"/>
        <w:spacing w:after="0"/>
        <w:ind w:left="709" w:hanging="709"/>
        <w:rPr>
          <w:lang w:val="en-US"/>
        </w:rPr>
      </w:pPr>
      <w:r w:rsidRPr="00813D19">
        <w:rPr>
          <w:lang w:val="en-US"/>
        </w:rPr>
        <w:t xml:space="preserve">The </w:t>
      </w:r>
      <w:r w:rsidRPr="00813D19">
        <w:rPr>
          <w:b/>
          <w:lang w:val="en-US"/>
        </w:rPr>
        <w:t>Secretary</w:t>
      </w:r>
      <w:r w:rsidRPr="00813D19">
        <w:rPr>
          <w:lang w:val="en-US"/>
        </w:rPr>
        <w:t xml:space="preserve"> </w:t>
      </w:r>
      <w:r w:rsidR="00E933A6" w:rsidRPr="00813D19">
        <w:rPr>
          <w:lang w:val="en-US"/>
        </w:rPr>
        <w:t xml:space="preserve">announced that the </w:t>
      </w:r>
      <w:r w:rsidR="009D48D2" w:rsidRPr="00813D19">
        <w:rPr>
          <w:bCs/>
          <w:lang w:val="en-US"/>
        </w:rPr>
        <w:t xml:space="preserve">Secretariat </w:t>
      </w:r>
      <w:r w:rsidR="00E933A6" w:rsidRPr="00813D19">
        <w:rPr>
          <w:bCs/>
          <w:lang w:val="en-US"/>
        </w:rPr>
        <w:t xml:space="preserve">would </w:t>
      </w:r>
      <w:r w:rsidR="009D48D2" w:rsidRPr="00813D19">
        <w:rPr>
          <w:bCs/>
          <w:lang w:val="en-US"/>
        </w:rPr>
        <w:t xml:space="preserve">send a satisfaction survey to </w:t>
      </w:r>
      <w:r w:rsidR="00E933A6" w:rsidRPr="00813D19">
        <w:rPr>
          <w:bCs/>
          <w:lang w:val="en-US"/>
        </w:rPr>
        <w:t>the delegates’ email</w:t>
      </w:r>
      <w:r w:rsidR="00365B06">
        <w:rPr>
          <w:bCs/>
          <w:lang w:val="en-US"/>
        </w:rPr>
        <w:t xml:space="preserve"> addresses</w:t>
      </w:r>
      <w:r w:rsidR="00E933A6" w:rsidRPr="00813D19">
        <w:rPr>
          <w:bCs/>
          <w:lang w:val="en-US"/>
        </w:rPr>
        <w:t xml:space="preserve"> and </w:t>
      </w:r>
      <w:r w:rsidR="00426FA5" w:rsidRPr="00813D19">
        <w:rPr>
          <w:bCs/>
          <w:lang w:val="en-US"/>
        </w:rPr>
        <w:t xml:space="preserve">would </w:t>
      </w:r>
      <w:r w:rsidR="009D48D2" w:rsidRPr="00813D19">
        <w:rPr>
          <w:bCs/>
          <w:lang w:val="en-US"/>
        </w:rPr>
        <w:t xml:space="preserve">appreciate </w:t>
      </w:r>
      <w:r w:rsidR="00426FA5" w:rsidRPr="00813D19">
        <w:rPr>
          <w:bCs/>
          <w:lang w:val="en-US"/>
        </w:rPr>
        <w:t xml:space="preserve">their timely submissions in order to </w:t>
      </w:r>
      <w:r w:rsidR="009D48D2" w:rsidRPr="00813D19">
        <w:rPr>
          <w:bCs/>
          <w:lang w:val="en-US"/>
        </w:rPr>
        <w:t>improve the organization of the statut</w:t>
      </w:r>
      <w:r w:rsidR="00F745F1">
        <w:rPr>
          <w:bCs/>
          <w:lang w:val="en-US"/>
        </w:rPr>
        <w:t>ory meetings of the Convention.</w:t>
      </w:r>
    </w:p>
    <w:p w14:paraId="631F5CA5" w14:textId="4E01E340" w:rsidR="00FE7E54" w:rsidRPr="00813D19" w:rsidRDefault="00FE7E54" w:rsidP="00F745F1">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 xml:space="preserve">ITEM 19 OF THE AGENDA </w:t>
      </w:r>
    </w:p>
    <w:p w14:paraId="18079EA2" w14:textId="6D0C79C0" w:rsidR="00FE7E54" w:rsidRPr="00813D19" w:rsidRDefault="00FE7E54" w:rsidP="005966F6">
      <w:pPr>
        <w:pStyle w:val="Orateurengris"/>
        <w:numPr>
          <w:ilvl w:val="0"/>
          <w:numId w:val="0"/>
        </w:numPr>
        <w:outlineLvl w:val="1"/>
        <w:rPr>
          <w:b/>
          <w:color w:val="000000" w:themeColor="text1"/>
          <w:lang w:val="en-US"/>
        </w:rPr>
      </w:pPr>
      <w:r w:rsidRPr="00813D19">
        <w:rPr>
          <w:b/>
          <w:color w:val="000000" w:themeColor="text1"/>
          <w:lang w:val="en-US"/>
        </w:rPr>
        <w:t>ELECTION OF THE MEMBERS OF THE BUREAU OF THE FOURTEENTH SESSION OF THE COMMITTEE</w:t>
      </w:r>
    </w:p>
    <w:p w14:paraId="2D6A4815" w14:textId="320D2E3F" w:rsidR="00FE7E54" w:rsidRPr="00813D19" w:rsidRDefault="00FE7E54" w:rsidP="00F745F1">
      <w:pPr>
        <w:pStyle w:val="Orateurengris"/>
        <w:keepNext/>
        <w:numPr>
          <w:ilvl w:val="0"/>
          <w:numId w:val="0"/>
        </w:numPr>
        <w:spacing w:before="120" w:after="0"/>
        <w:ind w:left="709"/>
        <w:rPr>
          <w:bCs/>
          <w:i/>
          <w:color w:val="000000" w:themeColor="text1"/>
          <w:lang w:val="en-US"/>
        </w:rPr>
      </w:pPr>
      <w:r w:rsidRPr="00813D19">
        <w:rPr>
          <w:b/>
          <w:color w:val="000000" w:themeColor="text1"/>
          <w:lang w:val="en-US"/>
        </w:rPr>
        <w:t>Document:</w:t>
      </w:r>
      <w:r w:rsidRPr="00813D19">
        <w:rPr>
          <w:b/>
          <w:color w:val="000000" w:themeColor="text1"/>
          <w:lang w:val="en-US"/>
        </w:rPr>
        <w:tab/>
      </w:r>
      <w:hyperlink r:id="rId179" w:history="1">
        <w:r w:rsidRPr="00813D19">
          <w:rPr>
            <w:rStyle w:val="Hyperlink"/>
            <w:bCs/>
            <w:i/>
            <w:lang w:val="en-US"/>
          </w:rPr>
          <w:t>ITH/18/13.COM/19</w:t>
        </w:r>
      </w:hyperlink>
    </w:p>
    <w:p w14:paraId="615C296A" w14:textId="56CEAAC0" w:rsidR="00FE7E54" w:rsidRPr="00813D19" w:rsidRDefault="00FE7E54" w:rsidP="00F745F1">
      <w:pPr>
        <w:pStyle w:val="Orateurengris"/>
        <w:keepNext/>
        <w:numPr>
          <w:ilvl w:val="0"/>
          <w:numId w:val="0"/>
        </w:numPr>
        <w:spacing w:before="60" w:after="240"/>
        <w:ind w:left="709"/>
        <w:rPr>
          <w:i/>
          <w:color w:val="000000" w:themeColor="text1"/>
          <w:lang w:val="en-US"/>
        </w:rPr>
      </w:pPr>
      <w:r w:rsidRPr="00813D19">
        <w:rPr>
          <w:b/>
          <w:color w:val="000000" w:themeColor="text1"/>
          <w:lang w:val="en-US"/>
        </w:rPr>
        <w:t>Decision</w:t>
      </w:r>
      <w:r w:rsidRPr="00F745F1">
        <w:rPr>
          <w:b/>
          <w:bCs/>
          <w:color w:val="000000" w:themeColor="text1"/>
          <w:lang w:val="en-US"/>
        </w:rPr>
        <w:t>:</w:t>
      </w:r>
      <w:r w:rsidRPr="00813D19">
        <w:rPr>
          <w:color w:val="000000" w:themeColor="text1"/>
          <w:lang w:val="en-US"/>
        </w:rPr>
        <w:tab/>
      </w:r>
      <w:hyperlink r:id="rId180" w:history="1">
        <w:r w:rsidRPr="00813D19">
          <w:rPr>
            <w:rStyle w:val="Hyperlink"/>
            <w:i/>
            <w:lang w:val="en-US"/>
          </w:rPr>
          <w:t>13.COM 19</w:t>
        </w:r>
      </w:hyperlink>
    </w:p>
    <w:p w14:paraId="49C8961A" w14:textId="4F2EDCD5" w:rsidR="00CD4EC6" w:rsidRPr="00813D19" w:rsidRDefault="0051337F" w:rsidP="009E019C">
      <w:pPr>
        <w:pStyle w:val="Orateurengris"/>
        <w:spacing w:after="0"/>
        <w:ind w:left="709" w:hanging="709"/>
        <w:rPr>
          <w:lang w:val="en-US"/>
        </w:rPr>
      </w:pPr>
      <w:r w:rsidRPr="00813D19">
        <w:rPr>
          <w:lang w:val="en-US"/>
        </w:rPr>
        <w:t xml:space="preserve">The </w:t>
      </w:r>
      <w:r w:rsidRPr="00813D19">
        <w:rPr>
          <w:b/>
          <w:lang w:val="en-US"/>
        </w:rPr>
        <w:t>Chairperson</w:t>
      </w:r>
      <w:r w:rsidRPr="00813D19">
        <w:rPr>
          <w:lang w:val="en-US"/>
        </w:rPr>
        <w:t xml:space="preserve"> then turned to agenda item </w:t>
      </w:r>
      <w:r w:rsidR="00F36C4A">
        <w:rPr>
          <w:lang w:val="en-US"/>
        </w:rPr>
        <w:t>19</w:t>
      </w:r>
      <w:r w:rsidR="00F36C4A" w:rsidRPr="00813D19">
        <w:rPr>
          <w:lang w:val="en-US"/>
        </w:rPr>
        <w:t xml:space="preserve"> </w:t>
      </w:r>
      <w:r w:rsidRPr="00813D19">
        <w:rPr>
          <w:lang w:val="en-US"/>
        </w:rPr>
        <w:t xml:space="preserve">and the election of </w:t>
      </w:r>
      <w:r w:rsidR="00686423" w:rsidRPr="00813D19">
        <w:rPr>
          <w:lang w:val="en-US"/>
        </w:rPr>
        <w:t>the next Bureau</w:t>
      </w:r>
      <w:r w:rsidRPr="00813D19">
        <w:rPr>
          <w:lang w:val="en-US"/>
        </w:rPr>
        <w:t>,</w:t>
      </w:r>
      <w:r w:rsidR="00686423" w:rsidRPr="00813D19">
        <w:rPr>
          <w:lang w:val="en-US"/>
        </w:rPr>
        <w:t xml:space="preserve"> recall</w:t>
      </w:r>
      <w:r w:rsidRPr="00813D19">
        <w:rPr>
          <w:lang w:val="en-US"/>
        </w:rPr>
        <w:t>ing</w:t>
      </w:r>
      <w:r w:rsidR="00686423" w:rsidRPr="00813D19">
        <w:rPr>
          <w:lang w:val="en-US"/>
        </w:rPr>
        <w:t xml:space="preserve"> that, in accordance with Rules 12 and 13 of the Rules of Procedure, the Committee shall elect its Bureau, consisting of a Chairperson, one or more Vice-chairpersons and a Rapporteur</w:t>
      </w:r>
      <w:r w:rsidR="00365B06">
        <w:rPr>
          <w:lang w:val="en-US"/>
        </w:rPr>
        <w:t>,</w:t>
      </w:r>
      <w:r w:rsidR="00686423" w:rsidRPr="00813D19">
        <w:rPr>
          <w:lang w:val="en-US"/>
        </w:rPr>
        <w:t xml:space="preserve"> who shall remain in office until the end of the next ordinary session. In accordance with Rule 13.4, the Committee, in electing the Bureau, shall have due regard to ensure equitable geographical representation and, inasmuch as possible, a balance among the various fields of intangible cultural heritage. </w:t>
      </w:r>
      <w:r w:rsidRPr="00813D19">
        <w:rPr>
          <w:lang w:val="en-US"/>
        </w:rPr>
        <w:t>T</w:t>
      </w:r>
      <w:r w:rsidR="00686423" w:rsidRPr="00813D19">
        <w:rPr>
          <w:lang w:val="en-US"/>
        </w:rPr>
        <w:t xml:space="preserve">he </w:t>
      </w:r>
      <w:r w:rsidR="002F50EA">
        <w:rPr>
          <w:lang w:val="en-US"/>
        </w:rPr>
        <w:t>M</w:t>
      </w:r>
      <w:r w:rsidR="002F50EA" w:rsidRPr="00813D19">
        <w:rPr>
          <w:lang w:val="en-US"/>
        </w:rPr>
        <w:t xml:space="preserve">embers </w:t>
      </w:r>
      <w:r w:rsidR="00686423" w:rsidRPr="00813D19">
        <w:rPr>
          <w:lang w:val="en-US"/>
        </w:rPr>
        <w:t xml:space="preserve">of the Bureau </w:t>
      </w:r>
      <w:r w:rsidRPr="00813D19">
        <w:rPr>
          <w:lang w:val="en-US"/>
        </w:rPr>
        <w:t>would also need to be M</w:t>
      </w:r>
      <w:r w:rsidR="00686423" w:rsidRPr="00813D19">
        <w:rPr>
          <w:lang w:val="en-US"/>
        </w:rPr>
        <w:t xml:space="preserve">embers of the Committee. It </w:t>
      </w:r>
      <w:r w:rsidRPr="00813D19">
        <w:rPr>
          <w:lang w:val="en-US"/>
        </w:rPr>
        <w:t xml:space="preserve">was also customary </w:t>
      </w:r>
      <w:r w:rsidR="00365B06">
        <w:rPr>
          <w:lang w:val="en-US"/>
        </w:rPr>
        <w:t>for</w:t>
      </w:r>
      <w:r w:rsidR="00686423" w:rsidRPr="00813D19">
        <w:rPr>
          <w:lang w:val="en-US"/>
        </w:rPr>
        <w:t xml:space="preserve"> all </w:t>
      </w:r>
      <w:r w:rsidR="002F50EA">
        <w:rPr>
          <w:lang w:val="en-US"/>
        </w:rPr>
        <w:t>E</w:t>
      </w:r>
      <w:r w:rsidR="002F50EA" w:rsidRPr="00813D19">
        <w:rPr>
          <w:lang w:val="en-US"/>
        </w:rPr>
        <w:t xml:space="preserve">lectoral </w:t>
      </w:r>
      <w:r w:rsidR="002F50EA">
        <w:rPr>
          <w:lang w:val="en-US"/>
        </w:rPr>
        <w:t>G</w:t>
      </w:r>
      <w:r w:rsidR="002F50EA" w:rsidRPr="00813D19">
        <w:rPr>
          <w:lang w:val="en-US"/>
        </w:rPr>
        <w:t xml:space="preserve">roups </w:t>
      </w:r>
      <w:r w:rsidR="00365B06">
        <w:rPr>
          <w:lang w:val="en-US"/>
        </w:rPr>
        <w:t xml:space="preserve">to </w:t>
      </w:r>
      <w:r w:rsidR="00686423" w:rsidRPr="00813D19">
        <w:rPr>
          <w:lang w:val="en-US"/>
        </w:rPr>
        <w:t>be represented in its Bureau through the Chairperson and Vice-Chairpersons. In such cases, according to the Office of International Standards and Legal Affairs, the Rapporteur should not express his/her opinion or vote in the capacity as Rapporteur</w:t>
      </w:r>
      <w:r w:rsidRPr="00813D19">
        <w:rPr>
          <w:lang w:val="en-US"/>
        </w:rPr>
        <w:t xml:space="preserve"> so as to </w:t>
      </w:r>
      <w:r w:rsidR="00686423" w:rsidRPr="00813D19">
        <w:rPr>
          <w:lang w:val="en-US"/>
        </w:rPr>
        <w:t xml:space="preserve">respect the principle of equitable geographical representation within the Bureau pursuant to Rule 12.1 of the Rules of Procedure. </w:t>
      </w:r>
      <w:r w:rsidRPr="00813D19">
        <w:rPr>
          <w:lang w:val="en-US"/>
        </w:rPr>
        <w:t xml:space="preserve">The role of the Rapporteur </w:t>
      </w:r>
      <w:r w:rsidR="00365B06">
        <w:rPr>
          <w:lang w:val="en-US"/>
        </w:rPr>
        <w:t>was</w:t>
      </w:r>
      <w:r w:rsidR="00686423" w:rsidRPr="00813D19">
        <w:rPr>
          <w:lang w:val="en-US"/>
        </w:rPr>
        <w:t xml:space="preserve"> to validate the decisions </w:t>
      </w:r>
      <w:r w:rsidRPr="00813D19">
        <w:rPr>
          <w:lang w:val="en-US"/>
        </w:rPr>
        <w:t xml:space="preserve">taken by </w:t>
      </w:r>
      <w:r w:rsidR="00686423" w:rsidRPr="00813D19">
        <w:rPr>
          <w:lang w:val="en-US"/>
        </w:rPr>
        <w:t xml:space="preserve">the Committee and its Bureau after </w:t>
      </w:r>
      <w:r w:rsidRPr="00813D19">
        <w:rPr>
          <w:lang w:val="en-US"/>
        </w:rPr>
        <w:t>having</w:t>
      </w:r>
      <w:r w:rsidR="00686423" w:rsidRPr="00813D19">
        <w:rPr>
          <w:lang w:val="en-US"/>
        </w:rPr>
        <w:t xml:space="preserve"> been prepared by the Secretariat. It </w:t>
      </w:r>
      <w:r w:rsidRPr="00813D19">
        <w:rPr>
          <w:lang w:val="en-US"/>
        </w:rPr>
        <w:t xml:space="preserve">was also </w:t>
      </w:r>
      <w:r w:rsidR="00686423" w:rsidRPr="00813D19">
        <w:rPr>
          <w:lang w:val="en-US"/>
        </w:rPr>
        <w:t xml:space="preserve">customary </w:t>
      </w:r>
      <w:r w:rsidR="00365B06">
        <w:rPr>
          <w:lang w:val="en-US"/>
        </w:rPr>
        <w:t>for</w:t>
      </w:r>
      <w:r w:rsidR="00365B06" w:rsidRPr="00813D19">
        <w:rPr>
          <w:lang w:val="en-US"/>
        </w:rPr>
        <w:t xml:space="preserve"> </w:t>
      </w:r>
      <w:r w:rsidR="00686423" w:rsidRPr="00813D19">
        <w:rPr>
          <w:lang w:val="en-US"/>
        </w:rPr>
        <w:t xml:space="preserve">the Chairperson of the Bureau </w:t>
      </w:r>
      <w:r w:rsidR="00365B06">
        <w:rPr>
          <w:lang w:val="en-US"/>
        </w:rPr>
        <w:t xml:space="preserve">to </w:t>
      </w:r>
      <w:r w:rsidRPr="00813D19">
        <w:rPr>
          <w:lang w:val="en-US"/>
        </w:rPr>
        <w:t xml:space="preserve">come </w:t>
      </w:r>
      <w:r w:rsidR="00686423" w:rsidRPr="00813D19">
        <w:rPr>
          <w:lang w:val="en-US"/>
        </w:rPr>
        <w:t xml:space="preserve">from the host country and therefore Colombia </w:t>
      </w:r>
      <w:r w:rsidR="00813D19" w:rsidRPr="00813D19">
        <w:rPr>
          <w:lang w:val="en-US"/>
        </w:rPr>
        <w:t>would</w:t>
      </w:r>
      <w:r w:rsidRPr="00813D19">
        <w:rPr>
          <w:lang w:val="en-US"/>
        </w:rPr>
        <w:t xml:space="preserve"> serve as </w:t>
      </w:r>
      <w:r w:rsidR="00686423" w:rsidRPr="00813D19">
        <w:rPr>
          <w:lang w:val="en-US"/>
        </w:rPr>
        <w:t xml:space="preserve">Bureau Member for Group III. </w:t>
      </w:r>
      <w:r w:rsidR="00CD4EC6" w:rsidRPr="00813D19">
        <w:rPr>
          <w:lang w:val="en-US"/>
        </w:rPr>
        <w:t xml:space="preserve">The Chairperson announced that </w:t>
      </w:r>
      <w:r w:rsidR="00686423" w:rsidRPr="00813D19">
        <w:rPr>
          <w:lang w:val="en-US"/>
        </w:rPr>
        <w:t>Ms María Claudia L</w:t>
      </w:r>
      <w:r w:rsidR="003C720E" w:rsidRPr="00813D19">
        <w:rPr>
          <w:lang w:val="en-US"/>
        </w:rPr>
        <w:t xml:space="preserve">opez </w:t>
      </w:r>
      <w:r w:rsidR="00686423" w:rsidRPr="00813D19">
        <w:rPr>
          <w:lang w:val="en-US"/>
        </w:rPr>
        <w:t>S</w:t>
      </w:r>
      <w:r w:rsidR="00CD4EC6" w:rsidRPr="00813D19">
        <w:rPr>
          <w:lang w:val="en-US"/>
        </w:rPr>
        <w:t xml:space="preserve">orzano, </w:t>
      </w:r>
      <w:r w:rsidR="00686423" w:rsidRPr="00813D19">
        <w:rPr>
          <w:lang w:val="en-US"/>
        </w:rPr>
        <w:t>Sec</w:t>
      </w:r>
      <w:r w:rsidR="00CD4EC6" w:rsidRPr="00813D19">
        <w:rPr>
          <w:lang w:val="en-US"/>
        </w:rPr>
        <w:t>retary of Culture of Bogotá,</w:t>
      </w:r>
      <w:r w:rsidR="00686423" w:rsidRPr="00813D19">
        <w:rPr>
          <w:lang w:val="en-US"/>
        </w:rPr>
        <w:t xml:space="preserve"> Colombia</w:t>
      </w:r>
      <w:r w:rsidR="00365B06">
        <w:rPr>
          <w:lang w:val="en-US"/>
        </w:rPr>
        <w:t>,</w:t>
      </w:r>
      <w:r w:rsidR="00686423" w:rsidRPr="00813D19">
        <w:rPr>
          <w:lang w:val="en-US"/>
        </w:rPr>
        <w:t xml:space="preserve"> </w:t>
      </w:r>
      <w:r w:rsidRPr="00813D19">
        <w:rPr>
          <w:lang w:val="en-US"/>
        </w:rPr>
        <w:t xml:space="preserve">had been </w:t>
      </w:r>
      <w:r w:rsidR="00F745F1">
        <w:rPr>
          <w:lang w:val="en-US"/>
        </w:rPr>
        <w:t>proposed.</w:t>
      </w:r>
    </w:p>
    <w:p w14:paraId="2E575359" w14:textId="28D0C573" w:rsidR="00CD4EC6" w:rsidRPr="00813D19" w:rsidRDefault="00CD4EC6" w:rsidP="00F745F1">
      <w:pPr>
        <w:pStyle w:val="Orateurengris"/>
        <w:numPr>
          <w:ilvl w:val="0"/>
          <w:numId w:val="0"/>
        </w:numPr>
        <w:spacing w:before="240" w:after="240"/>
        <w:jc w:val="center"/>
        <w:rPr>
          <w:i/>
          <w:lang w:val="en-US"/>
        </w:rPr>
      </w:pPr>
      <w:r w:rsidRPr="00813D19">
        <w:rPr>
          <w:i/>
          <w:lang w:val="en-US"/>
        </w:rPr>
        <w:t>[</w:t>
      </w:r>
      <w:r w:rsidR="00686423" w:rsidRPr="00813D19">
        <w:rPr>
          <w:i/>
          <w:lang w:val="en-US"/>
        </w:rPr>
        <w:t xml:space="preserve">Ms </w:t>
      </w:r>
      <w:r w:rsidRPr="00813D19">
        <w:rPr>
          <w:i/>
          <w:lang w:val="en-US"/>
        </w:rPr>
        <w:t xml:space="preserve">María </w:t>
      </w:r>
      <w:r w:rsidR="0021582E" w:rsidRPr="00813D19">
        <w:rPr>
          <w:i/>
          <w:lang w:val="en-US"/>
        </w:rPr>
        <w:t xml:space="preserve">Claudia </w:t>
      </w:r>
      <w:r w:rsidR="00686423" w:rsidRPr="00813D19">
        <w:rPr>
          <w:i/>
          <w:lang w:val="en-US"/>
        </w:rPr>
        <w:t>L</w:t>
      </w:r>
      <w:r w:rsidR="00A96F32" w:rsidRPr="00813D19">
        <w:rPr>
          <w:i/>
          <w:lang w:val="en-US"/>
        </w:rPr>
        <w:t xml:space="preserve">opez Sorzano </w:t>
      </w:r>
      <w:r w:rsidRPr="00813D19">
        <w:rPr>
          <w:i/>
          <w:lang w:val="en-US"/>
        </w:rPr>
        <w:t>was elected Chairperson by acclamation]</w:t>
      </w:r>
    </w:p>
    <w:p w14:paraId="5B970DC3" w14:textId="7844D4A4" w:rsidR="00686423" w:rsidRPr="00813D19" w:rsidRDefault="00CD4EC6" w:rsidP="00CD4EC6">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686423" w:rsidRPr="00813D19">
        <w:rPr>
          <w:lang w:val="en-US"/>
        </w:rPr>
        <w:t>invite</w:t>
      </w:r>
      <w:r w:rsidR="0051337F" w:rsidRPr="00813D19">
        <w:rPr>
          <w:lang w:val="en-US"/>
        </w:rPr>
        <w:t xml:space="preserve">d the </w:t>
      </w:r>
      <w:r w:rsidR="00686423" w:rsidRPr="00813D19">
        <w:rPr>
          <w:lang w:val="en-US"/>
        </w:rPr>
        <w:t xml:space="preserve">Committee to </w:t>
      </w:r>
      <w:r w:rsidR="0051337F" w:rsidRPr="00813D19">
        <w:rPr>
          <w:lang w:val="en-US"/>
        </w:rPr>
        <w:t>propose</w:t>
      </w:r>
      <w:r w:rsidR="00686423" w:rsidRPr="00813D19">
        <w:rPr>
          <w:lang w:val="en-US"/>
        </w:rPr>
        <w:t xml:space="preserve"> </w:t>
      </w:r>
      <w:r w:rsidR="0051337F" w:rsidRPr="00813D19">
        <w:rPr>
          <w:lang w:val="en-US"/>
        </w:rPr>
        <w:t>a Rapporteur.</w:t>
      </w:r>
    </w:p>
    <w:p w14:paraId="22A9998C" w14:textId="2B7719E6" w:rsidR="00CD4EC6" w:rsidRPr="00813D19" w:rsidRDefault="00CD4EC6" w:rsidP="00CD4EC6">
      <w:pPr>
        <w:pStyle w:val="Orateurengris"/>
        <w:spacing w:before="120"/>
        <w:ind w:left="709" w:hanging="709"/>
        <w:rPr>
          <w:lang w:val="en-US"/>
        </w:rPr>
      </w:pPr>
      <w:r w:rsidRPr="00813D19">
        <w:rPr>
          <w:lang w:val="en-US"/>
        </w:rPr>
        <w:t xml:space="preserve">The </w:t>
      </w:r>
      <w:r w:rsidRPr="00813D19">
        <w:rPr>
          <w:b/>
          <w:lang w:val="en-US"/>
        </w:rPr>
        <w:t>delegation of Cuba</w:t>
      </w:r>
      <w:r w:rsidRPr="00813D19">
        <w:rPr>
          <w:lang w:val="en-US"/>
        </w:rPr>
        <w:t xml:space="preserve"> proposed Mr Bernard Jankee of Jamaica as Rapporteur, who was </w:t>
      </w:r>
      <w:r w:rsidR="00602BF4" w:rsidRPr="00813D19">
        <w:rPr>
          <w:lang w:val="en-US"/>
        </w:rPr>
        <w:t xml:space="preserve">duly </w:t>
      </w:r>
      <w:r w:rsidR="00F745F1">
        <w:rPr>
          <w:lang w:val="en-US"/>
        </w:rPr>
        <w:t>elected.</w:t>
      </w:r>
    </w:p>
    <w:p w14:paraId="5540EC99" w14:textId="14695B97" w:rsidR="002904DA" w:rsidRPr="00813D19" w:rsidRDefault="00CD4EC6" w:rsidP="00CD4EC6">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2904DA" w:rsidRPr="00813D19">
        <w:rPr>
          <w:lang w:val="en-US"/>
        </w:rPr>
        <w:t>noted</w:t>
      </w:r>
      <w:r w:rsidR="009655F9" w:rsidRPr="00813D19">
        <w:rPr>
          <w:lang w:val="en-US"/>
        </w:rPr>
        <w:t xml:space="preserve"> from the Bureau the</w:t>
      </w:r>
      <w:r w:rsidR="002904DA" w:rsidRPr="00813D19">
        <w:rPr>
          <w:lang w:val="en-US"/>
        </w:rPr>
        <w:t xml:space="preserve"> proposals for the Vice-Chair</w:t>
      </w:r>
      <w:r w:rsidR="00F745F1">
        <w:rPr>
          <w:lang w:val="en-US"/>
        </w:rPr>
        <w:t>persons, which were as follows:</w:t>
      </w:r>
    </w:p>
    <w:p w14:paraId="6B9DF2D6" w14:textId="77777777" w:rsidR="002904DA" w:rsidRPr="00813D19" w:rsidRDefault="00CD4EC6" w:rsidP="00F745F1">
      <w:pPr>
        <w:pStyle w:val="Orateurengris"/>
        <w:numPr>
          <w:ilvl w:val="1"/>
          <w:numId w:val="1"/>
        </w:numPr>
        <w:tabs>
          <w:tab w:val="clear" w:pos="709"/>
          <w:tab w:val="clear" w:pos="1418"/>
          <w:tab w:val="clear" w:pos="2126"/>
          <w:tab w:val="clear" w:pos="2835"/>
        </w:tabs>
        <w:spacing w:after="0"/>
        <w:ind w:left="1418" w:hanging="709"/>
        <w:rPr>
          <w:lang w:val="en-US"/>
        </w:rPr>
      </w:pPr>
      <w:r w:rsidRPr="00813D19">
        <w:rPr>
          <w:lang w:val="en-US"/>
        </w:rPr>
        <w:t xml:space="preserve">Electoral </w:t>
      </w:r>
      <w:r w:rsidR="002904DA" w:rsidRPr="00813D19">
        <w:rPr>
          <w:lang w:val="en-US"/>
        </w:rPr>
        <w:t>Group I: Austria</w:t>
      </w:r>
    </w:p>
    <w:p w14:paraId="437EB546" w14:textId="77777777" w:rsidR="002904DA" w:rsidRPr="00813D19" w:rsidRDefault="002904DA" w:rsidP="00F745F1">
      <w:pPr>
        <w:pStyle w:val="Orateurengris"/>
        <w:numPr>
          <w:ilvl w:val="1"/>
          <w:numId w:val="1"/>
        </w:numPr>
        <w:tabs>
          <w:tab w:val="clear" w:pos="709"/>
          <w:tab w:val="clear" w:pos="1418"/>
          <w:tab w:val="clear" w:pos="2126"/>
          <w:tab w:val="clear" w:pos="2835"/>
        </w:tabs>
        <w:spacing w:after="0"/>
        <w:ind w:left="1418" w:hanging="709"/>
        <w:rPr>
          <w:lang w:val="en-US"/>
        </w:rPr>
      </w:pPr>
      <w:r w:rsidRPr="00813D19">
        <w:rPr>
          <w:lang w:val="en-US"/>
        </w:rPr>
        <w:t>Electoral Group II: Poland</w:t>
      </w:r>
    </w:p>
    <w:p w14:paraId="0E0A3A0F" w14:textId="77777777" w:rsidR="002904DA" w:rsidRPr="00813D19" w:rsidRDefault="002904DA" w:rsidP="00F745F1">
      <w:pPr>
        <w:pStyle w:val="Orateurengris"/>
        <w:numPr>
          <w:ilvl w:val="1"/>
          <w:numId w:val="1"/>
        </w:numPr>
        <w:tabs>
          <w:tab w:val="clear" w:pos="709"/>
          <w:tab w:val="clear" w:pos="1418"/>
          <w:tab w:val="clear" w:pos="2126"/>
          <w:tab w:val="clear" w:pos="2835"/>
        </w:tabs>
        <w:spacing w:after="0"/>
        <w:ind w:left="1418" w:hanging="709"/>
        <w:rPr>
          <w:lang w:val="en-US"/>
        </w:rPr>
      </w:pPr>
      <w:r w:rsidRPr="00813D19">
        <w:rPr>
          <w:lang w:val="en-US"/>
        </w:rPr>
        <w:t>Electoral Group III: Colombia</w:t>
      </w:r>
    </w:p>
    <w:p w14:paraId="60A7C345" w14:textId="77777777" w:rsidR="002904DA" w:rsidRPr="00813D19" w:rsidRDefault="002904DA" w:rsidP="00F745F1">
      <w:pPr>
        <w:pStyle w:val="Orateurengris"/>
        <w:numPr>
          <w:ilvl w:val="1"/>
          <w:numId w:val="1"/>
        </w:numPr>
        <w:tabs>
          <w:tab w:val="clear" w:pos="709"/>
          <w:tab w:val="clear" w:pos="1418"/>
          <w:tab w:val="clear" w:pos="2126"/>
          <w:tab w:val="clear" w:pos="2835"/>
        </w:tabs>
        <w:spacing w:after="0"/>
        <w:ind w:left="1418" w:hanging="709"/>
        <w:rPr>
          <w:lang w:val="en-US"/>
        </w:rPr>
      </w:pPr>
      <w:r w:rsidRPr="00813D19">
        <w:rPr>
          <w:lang w:val="en-US"/>
        </w:rPr>
        <w:t>Electoral Group IV: Philippines</w:t>
      </w:r>
    </w:p>
    <w:p w14:paraId="7A54FFF4" w14:textId="77777777" w:rsidR="002904DA" w:rsidRPr="00813D19" w:rsidRDefault="002904DA" w:rsidP="00F745F1">
      <w:pPr>
        <w:pStyle w:val="Orateurengris"/>
        <w:numPr>
          <w:ilvl w:val="1"/>
          <w:numId w:val="1"/>
        </w:numPr>
        <w:tabs>
          <w:tab w:val="clear" w:pos="709"/>
          <w:tab w:val="clear" w:pos="1418"/>
          <w:tab w:val="clear" w:pos="2126"/>
          <w:tab w:val="clear" w:pos="2835"/>
        </w:tabs>
        <w:spacing w:after="0"/>
        <w:ind w:left="1418" w:hanging="709"/>
        <w:rPr>
          <w:lang w:val="en-US"/>
        </w:rPr>
      </w:pPr>
      <w:r w:rsidRPr="00813D19">
        <w:rPr>
          <w:lang w:val="en-US"/>
        </w:rPr>
        <w:t>Electoral Group V(a): Zambia</w:t>
      </w:r>
    </w:p>
    <w:p w14:paraId="573CFCB8" w14:textId="195C58E9" w:rsidR="002958BD" w:rsidRPr="00813D19" w:rsidRDefault="002904DA" w:rsidP="00F745F1">
      <w:pPr>
        <w:pStyle w:val="Orateurengris"/>
        <w:numPr>
          <w:ilvl w:val="1"/>
          <w:numId w:val="1"/>
        </w:numPr>
        <w:tabs>
          <w:tab w:val="clear" w:pos="709"/>
          <w:tab w:val="clear" w:pos="1418"/>
          <w:tab w:val="clear" w:pos="2126"/>
          <w:tab w:val="clear" w:pos="2835"/>
        </w:tabs>
        <w:ind w:left="1418" w:hanging="709"/>
        <w:rPr>
          <w:lang w:val="en-US"/>
        </w:rPr>
      </w:pPr>
      <w:r w:rsidRPr="00813D19">
        <w:rPr>
          <w:lang w:val="en-US"/>
        </w:rPr>
        <w:t>Electoral Group V(b)</w:t>
      </w:r>
      <w:r w:rsidR="00F745F1">
        <w:rPr>
          <w:lang w:val="en-US"/>
        </w:rPr>
        <w:t>:</w:t>
      </w:r>
      <w:r w:rsidRPr="00813D19">
        <w:rPr>
          <w:lang w:val="en-US"/>
        </w:rPr>
        <w:t xml:space="preserve"> Palestine</w:t>
      </w:r>
    </w:p>
    <w:p w14:paraId="6BA38060" w14:textId="4E34693F" w:rsidR="00CD4EC6" w:rsidRPr="00813D19" w:rsidRDefault="00CD4EC6" w:rsidP="00F745F1">
      <w:pPr>
        <w:pStyle w:val="Orateurengris"/>
        <w:spacing w:before="120"/>
        <w:ind w:left="709" w:hanging="709"/>
        <w:rPr>
          <w:lang w:val="en-US"/>
        </w:rPr>
      </w:pPr>
      <w:r w:rsidRPr="00813D19">
        <w:rPr>
          <w:lang w:val="en-US"/>
        </w:rPr>
        <w:t xml:space="preserve">The </w:t>
      </w:r>
      <w:r w:rsidRPr="00813D19">
        <w:rPr>
          <w:b/>
          <w:lang w:val="en-US"/>
        </w:rPr>
        <w:t>Chairperson</w:t>
      </w:r>
      <w:r w:rsidRPr="00813D19">
        <w:rPr>
          <w:lang w:val="en-US"/>
        </w:rPr>
        <w:t xml:space="preserve"> </w:t>
      </w:r>
      <w:r w:rsidR="002904DA" w:rsidRPr="00813D19">
        <w:rPr>
          <w:lang w:val="en-US"/>
        </w:rPr>
        <w:t xml:space="preserve">noted that the draft decision had been amended accordingly. With no comments or objections, the </w:t>
      </w:r>
      <w:r w:rsidR="002904DA" w:rsidRPr="00813D19">
        <w:rPr>
          <w:b/>
          <w:lang w:val="en-US"/>
        </w:rPr>
        <w:t xml:space="preserve">Chairperson </w:t>
      </w:r>
      <w:r w:rsidRPr="00813D19">
        <w:rPr>
          <w:b/>
          <w:lang w:val="en-US"/>
        </w:rPr>
        <w:t>declared</w:t>
      </w:r>
      <w:r w:rsidR="00F36C4A">
        <w:rPr>
          <w:b/>
          <w:lang w:val="en-US"/>
        </w:rPr>
        <w:t xml:space="preserve"> decision</w:t>
      </w:r>
      <w:r w:rsidRPr="00813D19">
        <w:rPr>
          <w:b/>
          <w:lang w:val="en-US"/>
        </w:rPr>
        <w:t xml:space="preserve"> 13.COM 19 adopted</w:t>
      </w:r>
      <w:r w:rsidRPr="00F745F1">
        <w:rPr>
          <w:bCs/>
          <w:lang w:val="en-US"/>
        </w:rPr>
        <w:t>.</w:t>
      </w:r>
    </w:p>
    <w:p w14:paraId="3ADC5AB6" w14:textId="53AB918B" w:rsidR="005459BD" w:rsidRPr="00813D19" w:rsidRDefault="00E8469A" w:rsidP="00F745F1">
      <w:pPr>
        <w:pStyle w:val="Orateurengris"/>
        <w:keepNext/>
        <w:numPr>
          <w:ilvl w:val="0"/>
          <w:numId w:val="0"/>
        </w:numPr>
        <w:spacing w:before="360" w:after="60"/>
        <w:outlineLvl w:val="0"/>
        <w:rPr>
          <w:b/>
          <w:color w:val="000000" w:themeColor="text1"/>
          <w:u w:val="single"/>
          <w:lang w:val="en-US"/>
        </w:rPr>
      </w:pPr>
      <w:r w:rsidRPr="00813D19">
        <w:rPr>
          <w:b/>
          <w:color w:val="000000" w:themeColor="text1"/>
          <w:u w:val="single"/>
          <w:lang w:val="en-US"/>
        </w:rPr>
        <w:t>ITEM 20</w:t>
      </w:r>
      <w:r w:rsidR="00F745F1">
        <w:rPr>
          <w:b/>
          <w:color w:val="000000" w:themeColor="text1"/>
          <w:u w:val="single"/>
          <w:lang w:val="en-US"/>
        </w:rPr>
        <w:t xml:space="preserve"> OF THE AGENDA</w:t>
      </w:r>
    </w:p>
    <w:p w14:paraId="3290CC56" w14:textId="6F8CD04C" w:rsidR="005459BD" w:rsidRPr="00813D19" w:rsidRDefault="00E8469A" w:rsidP="00F745F1">
      <w:pPr>
        <w:pStyle w:val="Orateurengris"/>
        <w:numPr>
          <w:ilvl w:val="0"/>
          <w:numId w:val="0"/>
        </w:numPr>
        <w:jc w:val="left"/>
        <w:outlineLvl w:val="1"/>
        <w:rPr>
          <w:b/>
          <w:color w:val="000000" w:themeColor="text1"/>
          <w:lang w:val="en-US"/>
        </w:rPr>
      </w:pPr>
      <w:r w:rsidRPr="00813D19">
        <w:rPr>
          <w:b/>
          <w:color w:val="000000" w:themeColor="text1"/>
          <w:lang w:val="en-US"/>
        </w:rPr>
        <w:t>OTHER BUSINESS</w:t>
      </w:r>
    </w:p>
    <w:p w14:paraId="14D37745" w14:textId="08E5FDD4" w:rsidR="009E019C" w:rsidRPr="00813D19" w:rsidRDefault="009E019C" w:rsidP="00F745F1">
      <w:pPr>
        <w:pStyle w:val="Orateurengris"/>
        <w:numPr>
          <w:ilvl w:val="0"/>
          <w:numId w:val="0"/>
        </w:numPr>
        <w:spacing w:before="60" w:after="240"/>
        <w:ind w:left="709"/>
        <w:jc w:val="left"/>
        <w:rPr>
          <w:b/>
          <w:color w:val="000000" w:themeColor="text1"/>
          <w:lang w:val="en-US"/>
        </w:rPr>
      </w:pPr>
      <w:r w:rsidRPr="00813D19">
        <w:rPr>
          <w:b/>
          <w:color w:val="000000" w:themeColor="text1"/>
          <w:lang w:val="en-US"/>
        </w:rPr>
        <w:t xml:space="preserve">Decision: </w:t>
      </w:r>
      <w:r w:rsidRPr="00813D19">
        <w:rPr>
          <w:b/>
          <w:color w:val="000000" w:themeColor="text1"/>
          <w:lang w:val="en-US"/>
        </w:rPr>
        <w:tab/>
      </w:r>
      <w:hyperlink r:id="rId181" w:history="1">
        <w:r w:rsidRPr="00813D19">
          <w:rPr>
            <w:rStyle w:val="Hyperlink"/>
            <w:i/>
            <w:lang w:val="en-US"/>
          </w:rPr>
          <w:t>13.COM 20</w:t>
        </w:r>
      </w:hyperlink>
    </w:p>
    <w:p w14:paraId="03B41787" w14:textId="2368541A" w:rsidR="00CD4EC6" w:rsidRPr="00813D19" w:rsidRDefault="00CD4EC6" w:rsidP="009E019C">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903AA3" w:rsidRPr="00813D19">
        <w:rPr>
          <w:color w:val="000000" w:themeColor="text1"/>
          <w:lang w:val="en-US"/>
        </w:rPr>
        <w:t xml:space="preserve">turned </w:t>
      </w:r>
      <w:r w:rsidR="008402E9" w:rsidRPr="00813D19">
        <w:rPr>
          <w:lang w:val="en-US"/>
        </w:rPr>
        <w:t>to the examinat</w:t>
      </w:r>
      <w:r w:rsidR="00903AA3" w:rsidRPr="00813D19">
        <w:rPr>
          <w:lang w:val="en-US"/>
        </w:rPr>
        <w:t xml:space="preserve">ion of item 20, other business, inviting Palestine to take the floor to raise </w:t>
      </w:r>
      <w:r w:rsidR="009655F9" w:rsidRPr="00813D19">
        <w:rPr>
          <w:lang w:val="en-US"/>
        </w:rPr>
        <w:t>its</w:t>
      </w:r>
      <w:r w:rsidR="00F745F1">
        <w:rPr>
          <w:lang w:val="en-US"/>
        </w:rPr>
        <w:t xml:space="preserve"> issue.</w:t>
      </w:r>
    </w:p>
    <w:p w14:paraId="6B3B2FDF" w14:textId="2F5DC0D8" w:rsidR="00FE7540" w:rsidRPr="00813D19" w:rsidRDefault="00CD4EC6" w:rsidP="00FE754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delegation of Palestine</w:t>
      </w:r>
      <w:r w:rsidR="008402E9" w:rsidRPr="00813D19">
        <w:rPr>
          <w:b/>
          <w:color w:val="000000" w:themeColor="text1"/>
          <w:lang w:val="en-US"/>
        </w:rPr>
        <w:t xml:space="preserve"> </w:t>
      </w:r>
      <w:r w:rsidR="00C85CBE" w:rsidRPr="00813D19">
        <w:rPr>
          <w:lang w:val="en-US"/>
        </w:rPr>
        <w:t xml:space="preserve">wished to propose a draft decision </w:t>
      </w:r>
      <w:r w:rsidR="008402E9" w:rsidRPr="00813D19">
        <w:rPr>
          <w:lang w:val="en-US"/>
        </w:rPr>
        <w:t xml:space="preserve">related to indigenous languages. </w:t>
      </w:r>
      <w:r w:rsidR="00C34E27" w:rsidRPr="00813D19">
        <w:rPr>
          <w:lang w:val="en-US"/>
        </w:rPr>
        <w:t xml:space="preserve">The </w:t>
      </w:r>
      <w:r w:rsidR="008402E9" w:rsidRPr="00813D19">
        <w:rPr>
          <w:lang w:val="en-US"/>
        </w:rPr>
        <w:t xml:space="preserve">United Nations </w:t>
      </w:r>
      <w:r w:rsidR="00C34E27" w:rsidRPr="00813D19">
        <w:rPr>
          <w:lang w:val="en-US"/>
        </w:rPr>
        <w:t>had declared 2019 as the International Year of Indigenous L</w:t>
      </w:r>
      <w:r w:rsidR="008402E9" w:rsidRPr="00813D19">
        <w:rPr>
          <w:lang w:val="en-US"/>
        </w:rPr>
        <w:t xml:space="preserve">anguages and </w:t>
      </w:r>
      <w:r w:rsidR="00C34E27" w:rsidRPr="00813D19">
        <w:rPr>
          <w:lang w:val="en-US"/>
        </w:rPr>
        <w:t xml:space="preserve">there were UNESCO </w:t>
      </w:r>
      <w:r w:rsidR="008402E9" w:rsidRPr="00813D19">
        <w:rPr>
          <w:lang w:val="en-US"/>
        </w:rPr>
        <w:t>reports of hundreds if not thousands of languages disappear</w:t>
      </w:r>
      <w:r w:rsidR="00C34E27" w:rsidRPr="00813D19">
        <w:rPr>
          <w:lang w:val="en-US"/>
        </w:rPr>
        <w:t>ing</w:t>
      </w:r>
      <w:r w:rsidR="008402E9" w:rsidRPr="00813D19">
        <w:rPr>
          <w:lang w:val="en-US"/>
        </w:rPr>
        <w:t xml:space="preserve"> </w:t>
      </w:r>
      <w:r w:rsidR="00C34E27" w:rsidRPr="00813D19">
        <w:rPr>
          <w:lang w:val="en-US"/>
        </w:rPr>
        <w:t xml:space="preserve">every </w:t>
      </w:r>
      <w:r w:rsidR="008402E9" w:rsidRPr="00813D19">
        <w:rPr>
          <w:lang w:val="en-US"/>
        </w:rPr>
        <w:t>year</w:t>
      </w:r>
      <w:r w:rsidR="00C34E27" w:rsidRPr="00813D19">
        <w:rPr>
          <w:lang w:val="en-US"/>
        </w:rPr>
        <w:t>.</w:t>
      </w:r>
      <w:r w:rsidR="008402E9" w:rsidRPr="00813D19">
        <w:rPr>
          <w:lang w:val="en-US"/>
        </w:rPr>
        <w:t xml:space="preserve"> </w:t>
      </w:r>
      <w:r w:rsidR="00C34E27" w:rsidRPr="00813D19">
        <w:rPr>
          <w:lang w:val="en-US"/>
        </w:rPr>
        <w:t>T</w:t>
      </w:r>
      <w:r w:rsidR="008402E9" w:rsidRPr="00813D19">
        <w:rPr>
          <w:lang w:val="en-US"/>
        </w:rPr>
        <w:t xml:space="preserve">he purpose of </w:t>
      </w:r>
      <w:r w:rsidR="00C34E27" w:rsidRPr="00813D19">
        <w:rPr>
          <w:lang w:val="en-US"/>
        </w:rPr>
        <w:t xml:space="preserve">the draft decision was therefore </w:t>
      </w:r>
      <w:r w:rsidR="008402E9" w:rsidRPr="00813D19">
        <w:rPr>
          <w:lang w:val="en-US"/>
        </w:rPr>
        <w:t xml:space="preserve">to highlight the importance of safeguarding indigenous languages and </w:t>
      </w:r>
      <w:r w:rsidR="00C34E27" w:rsidRPr="00813D19">
        <w:rPr>
          <w:lang w:val="en-US"/>
        </w:rPr>
        <w:t xml:space="preserve">also </w:t>
      </w:r>
      <w:r w:rsidR="006C5377" w:rsidRPr="00813D19">
        <w:rPr>
          <w:lang w:val="en-US"/>
        </w:rPr>
        <w:t xml:space="preserve">to </w:t>
      </w:r>
      <w:r w:rsidR="008402E9" w:rsidRPr="00813D19">
        <w:rPr>
          <w:lang w:val="en-US"/>
        </w:rPr>
        <w:t>highlight the action of UNESCO in this regard</w:t>
      </w:r>
      <w:r w:rsidR="00C34E27" w:rsidRPr="00813D19">
        <w:rPr>
          <w:lang w:val="en-US"/>
        </w:rPr>
        <w:t>, while encouraging</w:t>
      </w:r>
      <w:r w:rsidR="008402E9" w:rsidRPr="00813D19">
        <w:rPr>
          <w:lang w:val="en-US"/>
        </w:rPr>
        <w:t xml:space="preserve"> States Parties in their</w:t>
      </w:r>
      <w:r w:rsidR="009655F9" w:rsidRPr="00813D19">
        <w:rPr>
          <w:lang w:val="en-US"/>
        </w:rPr>
        <w:t xml:space="preserve"> future nominations to </w:t>
      </w:r>
      <w:r w:rsidR="008402E9" w:rsidRPr="00813D19">
        <w:rPr>
          <w:lang w:val="en-US"/>
        </w:rPr>
        <w:t>consider nominating elem</w:t>
      </w:r>
      <w:r w:rsidR="00C34E27" w:rsidRPr="00813D19">
        <w:rPr>
          <w:lang w:val="en-US"/>
        </w:rPr>
        <w:t>ents related to these languages,</w:t>
      </w:r>
      <w:r w:rsidR="008402E9" w:rsidRPr="00813D19">
        <w:rPr>
          <w:lang w:val="en-US"/>
        </w:rPr>
        <w:t xml:space="preserve"> </w:t>
      </w:r>
      <w:r w:rsidR="00C34E27" w:rsidRPr="00813D19">
        <w:rPr>
          <w:lang w:val="en-US"/>
        </w:rPr>
        <w:t xml:space="preserve">as </w:t>
      </w:r>
      <w:r w:rsidR="008402E9" w:rsidRPr="00813D19">
        <w:rPr>
          <w:lang w:val="en-US"/>
        </w:rPr>
        <w:t xml:space="preserve">language is mentioned in the Convention </w:t>
      </w:r>
      <w:r w:rsidR="00C34E27" w:rsidRPr="00813D19">
        <w:rPr>
          <w:lang w:val="en-US"/>
        </w:rPr>
        <w:t xml:space="preserve">as a </w:t>
      </w:r>
      <w:r w:rsidR="008402E9" w:rsidRPr="00813D19">
        <w:rPr>
          <w:lang w:val="en-US"/>
        </w:rPr>
        <w:t xml:space="preserve">vehicle </w:t>
      </w:r>
      <w:r w:rsidR="00C34E27" w:rsidRPr="00813D19">
        <w:rPr>
          <w:lang w:val="en-US"/>
        </w:rPr>
        <w:t xml:space="preserve">for intangible cultural heritage </w:t>
      </w:r>
      <w:r w:rsidR="008402E9" w:rsidRPr="00813D19">
        <w:rPr>
          <w:lang w:val="en-US"/>
        </w:rPr>
        <w:t xml:space="preserve">elements. </w:t>
      </w:r>
      <w:r w:rsidR="00C34E27" w:rsidRPr="00813D19">
        <w:rPr>
          <w:lang w:val="en-US"/>
        </w:rPr>
        <w:t>In this re</w:t>
      </w:r>
      <w:r w:rsidR="009655F9" w:rsidRPr="00813D19">
        <w:rPr>
          <w:lang w:val="en-US"/>
        </w:rPr>
        <w:t xml:space="preserve">gard, </w:t>
      </w:r>
      <w:r w:rsidR="00C34E27" w:rsidRPr="00813D19">
        <w:rPr>
          <w:lang w:val="en-US"/>
        </w:rPr>
        <w:t xml:space="preserve">the delegation wished to </w:t>
      </w:r>
      <w:r w:rsidR="008402E9" w:rsidRPr="00813D19">
        <w:rPr>
          <w:lang w:val="en-US"/>
        </w:rPr>
        <w:t xml:space="preserve">hear </w:t>
      </w:r>
      <w:r w:rsidR="00C34E27" w:rsidRPr="00813D19">
        <w:rPr>
          <w:lang w:val="en-US"/>
        </w:rPr>
        <w:t xml:space="preserve">from </w:t>
      </w:r>
      <w:r w:rsidR="008402E9" w:rsidRPr="00813D19">
        <w:rPr>
          <w:lang w:val="en-US"/>
        </w:rPr>
        <w:t>NGOs involved in the safegua</w:t>
      </w:r>
      <w:r w:rsidR="00F745F1">
        <w:rPr>
          <w:lang w:val="en-US"/>
        </w:rPr>
        <w:t>rding of indigenous languages.</w:t>
      </w:r>
    </w:p>
    <w:p w14:paraId="24D44CAC" w14:textId="22DDE57A" w:rsidR="00FE7540" w:rsidRPr="00813D19" w:rsidRDefault="00FE7540" w:rsidP="00FE754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C34E27" w:rsidRPr="00813D19">
        <w:rPr>
          <w:color w:val="000000" w:themeColor="text1"/>
          <w:lang w:val="en-US"/>
        </w:rPr>
        <w:t>open</w:t>
      </w:r>
      <w:r w:rsidR="00F745F1">
        <w:rPr>
          <w:color w:val="000000" w:themeColor="text1"/>
          <w:lang w:val="en-US"/>
        </w:rPr>
        <w:t>ed the floor for Observer NGOs.</w:t>
      </w:r>
    </w:p>
    <w:p w14:paraId="416006D4" w14:textId="12DA0AFA" w:rsidR="00C34E27" w:rsidRPr="00813D19" w:rsidRDefault="00C34E27" w:rsidP="00FE7540">
      <w:pPr>
        <w:pStyle w:val="Orateurengris"/>
        <w:spacing w:before="120"/>
        <w:ind w:left="709" w:hanging="709"/>
        <w:rPr>
          <w:color w:val="000000" w:themeColor="text1"/>
          <w:lang w:val="en-US"/>
        </w:rPr>
      </w:pPr>
      <w:r w:rsidRPr="00813D19">
        <w:rPr>
          <w:color w:val="000000" w:themeColor="text1"/>
          <w:lang w:val="en-US"/>
        </w:rPr>
        <w:t xml:space="preserve">A </w:t>
      </w:r>
      <w:r w:rsidR="005C67B1" w:rsidRPr="00813D19">
        <w:rPr>
          <w:color w:val="000000" w:themeColor="text1"/>
          <w:lang w:val="en-US"/>
        </w:rPr>
        <w:t xml:space="preserve">Representative of </w:t>
      </w:r>
      <w:r w:rsidR="006C5377">
        <w:rPr>
          <w:color w:val="000000" w:themeColor="text1"/>
          <w:lang w:val="en-US"/>
        </w:rPr>
        <w:t xml:space="preserve">the </w:t>
      </w:r>
      <w:r w:rsidR="005C67B1" w:rsidRPr="00813D19">
        <w:rPr>
          <w:b/>
          <w:color w:val="000000" w:themeColor="text1"/>
          <w:lang w:val="en-US"/>
        </w:rPr>
        <w:t xml:space="preserve">NGO </w:t>
      </w:r>
      <w:r w:rsidR="00FE7540" w:rsidRPr="00813D19">
        <w:rPr>
          <w:b/>
          <w:color w:val="000000" w:themeColor="text1"/>
          <w:lang w:val="en-US"/>
        </w:rPr>
        <w:t>Traditions pour Demain,</w:t>
      </w:r>
      <w:r w:rsidR="00FE7540" w:rsidRPr="00813D19">
        <w:rPr>
          <w:color w:val="000000" w:themeColor="text1"/>
          <w:lang w:val="en-US"/>
        </w:rPr>
        <w:t xml:space="preserve"> </w:t>
      </w:r>
      <w:r w:rsidR="005C67B1" w:rsidRPr="00813D19">
        <w:rPr>
          <w:color w:val="000000" w:themeColor="text1"/>
          <w:lang w:val="en-US"/>
        </w:rPr>
        <w:t>Mr Diego Gradis,</w:t>
      </w:r>
      <w:r w:rsidR="004D1E91" w:rsidRPr="00813D19">
        <w:rPr>
          <w:color w:val="000000" w:themeColor="text1"/>
          <w:lang w:val="en-US"/>
        </w:rPr>
        <w:t xml:space="preserve"> </w:t>
      </w:r>
      <w:r w:rsidRPr="00813D19">
        <w:rPr>
          <w:color w:val="000000" w:themeColor="text1"/>
          <w:lang w:val="en-US"/>
        </w:rPr>
        <w:t xml:space="preserve">remarked that all accredited NGOs were invited to join the </w:t>
      </w:r>
      <w:r w:rsidR="009655F9" w:rsidRPr="00813D19">
        <w:rPr>
          <w:color w:val="000000" w:themeColor="text1"/>
          <w:lang w:val="en-US"/>
        </w:rPr>
        <w:t>ICH</w:t>
      </w:r>
      <w:r w:rsidRPr="00813D19">
        <w:rPr>
          <w:color w:val="000000" w:themeColor="text1"/>
          <w:lang w:val="en-US"/>
        </w:rPr>
        <w:t xml:space="preserve">NGO Forum online </w:t>
      </w:r>
      <w:r w:rsidR="006C5377">
        <w:rPr>
          <w:color w:val="000000" w:themeColor="text1"/>
          <w:lang w:val="en-US"/>
        </w:rPr>
        <w:t>on</w:t>
      </w:r>
      <w:r w:rsidR="006C5377" w:rsidRPr="00813D19">
        <w:rPr>
          <w:color w:val="000000" w:themeColor="text1"/>
          <w:lang w:val="en-US"/>
        </w:rPr>
        <w:t xml:space="preserve"> </w:t>
      </w:r>
      <w:r w:rsidRPr="00813D19">
        <w:rPr>
          <w:color w:val="000000" w:themeColor="text1"/>
          <w:lang w:val="en-US"/>
        </w:rPr>
        <w:t>its website. So far, the five</w:t>
      </w:r>
      <w:r w:rsidR="009655F9" w:rsidRPr="00813D19">
        <w:rPr>
          <w:color w:val="000000" w:themeColor="text1"/>
          <w:lang w:val="en-US"/>
        </w:rPr>
        <w:t xml:space="preserve"> NGOs working in the field had</w:t>
      </w:r>
      <w:r w:rsidRPr="00813D19">
        <w:rPr>
          <w:color w:val="000000" w:themeColor="text1"/>
          <w:lang w:val="en-US"/>
        </w:rPr>
        <w:t xml:space="preserve"> offered their support: Teje Teje (Colombia); </w:t>
      </w:r>
      <w:r w:rsidRPr="00813D19">
        <w:rPr>
          <w:lang w:val="en-US"/>
        </w:rPr>
        <w:t>Conseil québécois du patrimoine vivant (Canada)</w:t>
      </w:r>
      <w:r w:rsidRPr="00813D19">
        <w:rPr>
          <w:color w:val="000000" w:themeColor="text1"/>
          <w:lang w:val="en-US"/>
        </w:rPr>
        <w:t xml:space="preserve">; Contact Base (India); Gulu Theatre Artists (Uganda); and the Mauritanian Association for the Safeguarding of the Intangible Cultural Heritage. Many accredited NGOs work directly with indigenous peoples and communities in five continents to safeguard their </w:t>
      </w:r>
      <w:r w:rsidR="00AC6835" w:rsidRPr="00813D19">
        <w:rPr>
          <w:color w:val="000000" w:themeColor="text1"/>
          <w:lang w:val="en-US"/>
        </w:rPr>
        <w:t xml:space="preserve">intangible cultural heritage. For this reason, Mr Gradis </w:t>
      </w:r>
      <w:r w:rsidRPr="00813D19">
        <w:rPr>
          <w:color w:val="000000" w:themeColor="text1"/>
          <w:lang w:val="en-US"/>
        </w:rPr>
        <w:t>appeal</w:t>
      </w:r>
      <w:r w:rsidR="00AC6835" w:rsidRPr="00813D19">
        <w:rPr>
          <w:color w:val="000000" w:themeColor="text1"/>
          <w:lang w:val="en-US"/>
        </w:rPr>
        <w:t>ed</w:t>
      </w:r>
      <w:r w:rsidRPr="00813D19">
        <w:rPr>
          <w:color w:val="000000" w:themeColor="text1"/>
          <w:lang w:val="en-US"/>
        </w:rPr>
        <w:t xml:space="preserve"> to </w:t>
      </w:r>
      <w:r w:rsidR="00AC6835" w:rsidRPr="00813D19">
        <w:rPr>
          <w:color w:val="000000" w:themeColor="text1"/>
          <w:lang w:val="en-US"/>
        </w:rPr>
        <w:t xml:space="preserve">the </w:t>
      </w:r>
      <w:r w:rsidRPr="00813D19">
        <w:rPr>
          <w:color w:val="000000" w:themeColor="text1"/>
          <w:lang w:val="en-US"/>
        </w:rPr>
        <w:t xml:space="preserve">States Parties concerned </w:t>
      </w:r>
      <w:r w:rsidR="00AC6835" w:rsidRPr="00813D19">
        <w:rPr>
          <w:color w:val="000000" w:themeColor="text1"/>
          <w:lang w:val="en-US"/>
        </w:rPr>
        <w:t xml:space="preserve">with </w:t>
      </w:r>
      <w:r w:rsidRPr="00813D19">
        <w:rPr>
          <w:color w:val="000000" w:themeColor="text1"/>
          <w:lang w:val="en-US"/>
        </w:rPr>
        <w:t>this issue to make a substantial contribution to the International</w:t>
      </w:r>
      <w:r w:rsidR="00AC6835" w:rsidRPr="00813D19">
        <w:rPr>
          <w:color w:val="000000" w:themeColor="text1"/>
          <w:lang w:val="en-US"/>
        </w:rPr>
        <w:t xml:space="preserve"> Year of Indigenous Languages ​so as to engage </w:t>
      </w:r>
      <w:r w:rsidRPr="00813D19">
        <w:rPr>
          <w:color w:val="000000" w:themeColor="text1"/>
          <w:lang w:val="en-US"/>
        </w:rPr>
        <w:t>a maximum number of possible inscription</w:t>
      </w:r>
      <w:r w:rsidR="00AC6835" w:rsidRPr="00813D19">
        <w:rPr>
          <w:color w:val="000000" w:themeColor="text1"/>
          <w:lang w:val="en-US"/>
        </w:rPr>
        <w:t>s</w:t>
      </w:r>
      <w:r w:rsidRPr="00813D19">
        <w:rPr>
          <w:color w:val="000000" w:themeColor="text1"/>
          <w:lang w:val="en-US"/>
        </w:rPr>
        <w:t xml:space="preserve"> </w:t>
      </w:r>
      <w:r w:rsidR="006C5377">
        <w:rPr>
          <w:color w:val="000000" w:themeColor="text1"/>
          <w:lang w:val="en-US"/>
        </w:rPr>
        <w:t>on</w:t>
      </w:r>
      <w:r w:rsidRPr="00813D19">
        <w:rPr>
          <w:color w:val="000000" w:themeColor="text1"/>
          <w:lang w:val="en-US"/>
        </w:rPr>
        <w:t xml:space="preserve"> the Urgent Safeguarding List </w:t>
      </w:r>
      <w:r w:rsidR="006C5377">
        <w:rPr>
          <w:color w:val="000000" w:themeColor="text1"/>
          <w:lang w:val="en-US"/>
        </w:rPr>
        <w:t>for</w:t>
      </w:r>
      <w:r w:rsidR="00AC6835" w:rsidRPr="00813D19">
        <w:rPr>
          <w:color w:val="000000" w:themeColor="text1"/>
          <w:lang w:val="en-US"/>
        </w:rPr>
        <w:t xml:space="preserve"> </w:t>
      </w:r>
      <w:r w:rsidRPr="00813D19">
        <w:rPr>
          <w:color w:val="000000" w:themeColor="text1"/>
          <w:lang w:val="en-US"/>
        </w:rPr>
        <w:t xml:space="preserve">elements related to indigenous languages, and </w:t>
      </w:r>
      <w:r w:rsidR="00AC6835" w:rsidRPr="00813D19">
        <w:rPr>
          <w:color w:val="000000" w:themeColor="text1"/>
          <w:lang w:val="en-US"/>
        </w:rPr>
        <w:t xml:space="preserve">so </w:t>
      </w:r>
      <w:r w:rsidRPr="00813D19">
        <w:rPr>
          <w:color w:val="000000" w:themeColor="text1"/>
          <w:lang w:val="en-US"/>
        </w:rPr>
        <w:t>that concrete program</w:t>
      </w:r>
      <w:r w:rsidR="00AC6835" w:rsidRPr="00813D19">
        <w:rPr>
          <w:color w:val="000000" w:themeColor="text1"/>
          <w:lang w:val="en-US"/>
        </w:rPr>
        <w:t>me</w:t>
      </w:r>
      <w:r w:rsidRPr="00813D19">
        <w:rPr>
          <w:color w:val="000000" w:themeColor="text1"/>
          <w:lang w:val="en-US"/>
        </w:rPr>
        <w:t xml:space="preserve">s in this area </w:t>
      </w:r>
      <w:r w:rsidR="006C5377">
        <w:rPr>
          <w:color w:val="000000" w:themeColor="text1"/>
          <w:lang w:val="en-US"/>
        </w:rPr>
        <w:t>were</w:t>
      </w:r>
      <w:r w:rsidR="006C5377" w:rsidRPr="00813D19">
        <w:rPr>
          <w:color w:val="000000" w:themeColor="text1"/>
          <w:lang w:val="en-US"/>
        </w:rPr>
        <w:t xml:space="preserve"> </w:t>
      </w:r>
      <w:r w:rsidRPr="00813D19">
        <w:rPr>
          <w:color w:val="000000" w:themeColor="text1"/>
          <w:lang w:val="en-US"/>
        </w:rPr>
        <w:t xml:space="preserve">also designed and implemented. </w:t>
      </w:r>
      <w:r w:rsidR="00AC6835" w:rsidRPr="00813D19">
        <w:rPr>
          <w:color w:val="000000" w:themeColor="text1"/>
          <w:lang w:val="en-US"/>
        </w:rPr>
        <w:t>It was noted that t</w:t>
      </w:r>
      <w:r w:rsidRPr="00813D19">
        <w:rPr>
          <w:color w:val="000000" w:themeColor="text1"/>
          <w:lang w:val="en-US"/>
        </w:rPr>
        <w:t xml:space="preserve">he </w:t>
      </w:r>
      <w:r w:rsidR="00AC6835" w:rsidRPr="00813D19">
        <w:rPr>
          <w:color w:val="000000" w:themeColor="text1"/>
          <w:lang w:val="en-US"/>
        </w:rPr>
        <w:t>Convention specified</w:t>
      </w:r>
      <w:r w:rsidRPr="00813D19">
        <w:rPr>
          <w:color w:val="000000" w:themeColor="text1"/>
          <w:lang w:val="en-US"/>
        </w:rPr>
        <w:t xml:space="preserve"> that </w:t>
      </w:r>
      <w:r w:rsidR="00AC6835" w:rsidRPr="00813D19">
        <w:rPr>
          <w:color w:val="000000" w:themeColor="text1"/>
          <w:lang w:val="en-US"/>
        </w:rPr>
        <w:t xml:space="preserve">intangible cultural heritage </w:t>
      </w:r>
      <w:r w:rsidRPr="00813D19">
        <w:rPr>
          <w:color w:val="000000" w:themeColor="text1"/>
          <w:lang w:val="en-US"/>
        </w:rPr>
        <w:t xml:space="preserve">is also manifested in oral traditions and expressions, including language as a vector of </w:t>
      </w:r>
      <w:r w:rsidR="00AC6835" w:rsidRPr="00813D19">
        <w:rPr>
          <w:color w:val="000000" w:themeColor="text1"/>
          <w:lang w:val="en-US"/>
        </w:rPr>
        <w:t>intangible cultural heritage</w:t>
      </w:r>
      <w:r w:rsidRPr="00813D19">
        <w:rPr>
          <w:color w:val="000000" w:themeColor="text1"/>
          <w:lang w:val="en-US"/>
        </w:rPr>
        <w:t xml:space="preserve">. </w:t>
      </w:r>
      <w:r w:rsidR="004962D5" w:rsidRPr="00813D19">
        <w:rPr>
          <w:color w:val="000000" w:themeColor="text1"/>
          <w:lang w:val="en-US"/>
        </w:rPr>
        <w:t xml:space="preserve">Oral traditions, values, knowledge of nature and its management, intergenerational transmission, in fact almost all </w:t>
      </w:r>
      <w:r w:rsidR="00813D19">
        <w:rPr>
          <w:color w:val="000000" w:themeColor="text1"/>
          <w:lang w:val="en-US"/>
        </w:rPr>
        <w:t>traditio</w:t>
      </w:r>
      <w:r w:rsidR="00813D19" w:rsidRPr="00813D19">
        <w:rPr>
          <w:color w:val="000000" w:themeColor="text1"/>
          <w:lang w:val="en-US"/>
        </w:rPr>
        <w:t>nal</w:t>
      </w:r>
      <w:r w:rsidR="004962D5" w:rsidRPr="00813D19">
        <w:rPr>
          <w:color w:val="000000" w:themeColor="text1"/>
          <w:lang w:val="en-US"/>
        </w:rPr>
        <w:t xml:space="preserve"> knowledge and cultural expressions depend on language. To cite one example, the Inuktitut language of the Inuit in the Arctic has no </w:t>
      </w:r>
      <w:r w:rsidR="006C5377">
        <w:rPr>
          <w:color w:val="000000" w:themeColor="text1"/>
          <w:lang w:val="en-US"/>
        </w:rPr>
        <w:t>fewer</w:t>
      </w:r>
      <w:r w:rsidR="006C5377" w:rsidRPr="00813D19">
        <w:rPr>
          <w:color w:val="000000" w:themeColor="text1"/>
          <w:lang w:val="en-US"/>
        </w:rPr>
        <w:t xml:space="preserve"> </w:t>
      </w:r>
      <w:r w:rsidR="004962D5" w:rsidRPr="00813D19">
        <w:rPr>
          <w:color w:val="000000" w:themeColor="text1"/>
          <w:lang w:val="en-US"/>
        </w:rPr>
        <w:t xml:space="preserve">than a dozen basic words, i.e. not derived from another basic word, to refer </w:t>
      </w:r>
      <w:r w:rsidR="009655F9" w:rsidRPr="00813D19">
        <w:rPr>
          <w:color w:val="000000" w:themeColor="text1"/>
          <w:lang w:val="en-US"/>
        </w:rPr>
        <w:t>to snow</w:t>
      </w:r>
      <w:r w:rsidR="004962D5" w:rsidRPr="00813D19">
        <w:rPr>
          <w:color w:val="000000" w:themeColor="text1"/>
          <w:lang w:val="en-US"/>
        </w:rPr>
        <w:t xml:space="preserve"> and a dozen words to describe ice, all of which are very important, especially for hunting and the displacement of people. According to the latest edition of the </w:t>
      </w:r>
      <w:r w:rsidR="004962D5" w:rsidRPr="00813D19">
        <w:rPr>
          <w:i/>
          <w:color w:val="000000" w:themeColor="text1"/>
          <w:lang w:val="en-US"/>
        </w:rPr>
        <w:t>2011 Atlas of the World’s Languages in Danger</w:t>
      </w:r>
      <w:r w:rsidR="004962D5" w:rsidRPr="00813D19">
        <w:rPr>
          <w:rStyle w:val="FootnoteReference"/>
          <w:i/>
          <w:color w:val="000000" w:themeColor="text1"/>
          <w:lang w:val="en-US"/>
        </w:rPr>
        <w:footnoteReference w:id="38"/>
      </w:r>
      <w:r w:rsidR="004962D5" w:rsidRPr="00813D19">
        <w:rPr>
          <w:color w:val="000000" w:themeColor="text1"/>
          <w:lang w:val="en-US"/>
        </w:rPr>
        <w:t xml:space="preserve">, to date 3,000 of the 6,000 living languages are threatened with extinction in the short or medium term. A large majority of them are aboriginal languages. To deprive a person of his or her language is to directly affect not only the person but also future generations. A language that disappears is an immense loss for the community and the world, seriously degrading the social cohesion of the community and its identity. Accredited NGOs working to safeguard intangible cultural heritage will implement many language projects in 2019 as part of the international year and disseminated by UNESCO. Globalization and the digital world, as well as migration, whether for economic, security or environmental reasons, have compounded the threat to languages and the cultural survival of thousands of communities. </w:t>
      </w:r>
      <w:r w:rsidR="009655F9" w:rsidRPr="00813D19">
        <w:rPr>
          <w:color w:val="000000" w:themeColor="text1"/>
          <w:lang w:val="en-US"/>
        </w:rPr>
        <w:t>For th</w:t>
      </w:r>
      <w:r w:rsidR="00CE1759" w:rsidRPr="00813D19">
        <w:rPr>
          <w:color w:val="000000" w:themeColor="text1"/>
          <w:lang w:val="en-US"/>
        </w:rPr>
        <w:t>es</w:t>
      </w:r>
      <w:r w:rsidR="009655F9" w:rsidRPr="00813D19">
        <w:rPr>
          <w:color w:val="000000" w:themeColor="text1"/>
          <w:lang w:val="en-US"/>
        </w:rPr>
        <w:t>e</w:t>
      </w:r>
      <w:r w:rsidR="00CE1759" w:rsidRPr="00813D19">
        <w:rPr>
          <w:color w:val="000000" w:themeColor="text1"/>
          <w:lang w:val="en-US"/>
        </w:rPr>
        <w:t xml:space="preserve"> reasons, the </w:t>
      </w:r>
      <w:r w:rsidR="004962D5" w:rsidRPr="00813D19">
        <w:rPr>
          <w:color w:val="000000" w:themeColor="text1"/>
          <w:lang w:val="en-US"/>
        </w:rPr>
        <w:t>NGOs strongly encourage</w:t>
      </w:r>
      <w:r w:rsidR="00CE1759" w:rsidRPr="00813D19">
        <w:rPr>
          <w:color w:val="000000" w:themeColor="text1"/>
          <w:lang w:val="en-US"/>
        </w:rPr>
        <w:t>d</w:t>
      </w:r>
      <w:r w:rsidR="009655F9" w:rsidRPr="00813D19">
        <w:rPr>
          <w:color w:val="000000" w:themeColor="text1"/>
          <w:lang w:val="en-US"/>
        </w:rPr>
        <w:t xml:space="preserve"> States Parties to commit </w:t>
      </w:r>
      <w:r w:rsidR="00CE1759" w:rsidRPr="00813D19">
        <w:rPr>
          <w:color w:val="000000" w:themeColor="text1"/>
          <w:lang w:val="en-US"/>
        </w:rPr>
        <w:t>inscription</w:t>
      </w:r>
      <w:r w:rsidR="009655F9" w:rsidRPr="00813D19">
        <w:rPr>
          <w:color w:val="000000" w:themeColor="text1"/>
          <w:lang w:val="en-US"/>
        </w:rPr>
        <w:t xml:space="preserve">s of </w:t>
      </w:r>
      <w:r w:rsidR="00CE1759" w:rsidRPr="00813D19">
        <w:rPr>
          <w:color w:val="000000" w:themeColor="text1"/>
          <w:lang w:val="en-US"/>
        </w:rPr>
        <w:t>element</w:t>
      </w:r>
      <w:r w:rsidR="009655F9" w:rsidRPr="00813D19">
        <w:rPr>
          <w:color w:val="000000" w:themeColor="text1"/>
          <w:lang w:val="en-US"/>
        </w:rPr>
        <w:t>s</w:t>
      </w:r>
      <w:r w:rsidR="00CE1759" w:rsidRPr="00813D19">
        <w:rPr>
          <w:color w:val="000000" w:themeColor="text1"/>
          <w:lang w:val="en-US"/>
        </w:rPr>
        <w:t xml:space="preserve"> </w:t>
      </w:r>
      <w:r w:rsidR="006C5377">
        <w:rPr>
          <w:color w:val="000000" w:themeColor="text1"/>
          <w:lang w:val="en-US"/>
        </w:rPr>
        <w:t>on</w:t>
      </w:r>
      <w:r w:rsidR="00CE1759" w:rsidRPr="00813D19">
        <w:rPr>
          <w:color w:val="000000" w:themeColor="text1"/>
          <w:lang w:val="en-US"/>
        </w:rPr>
        <w:t xml:space="preserve"> the Urgent Safeguarding List </w:t>
      </w:r>
      <w:r w:rsidR="006C5377">
        <w:rPr>
          <w:color w:val="000000" w:themeColor="text1"/>
          <w:lang w:val="en-US"/>
        </w:rPr>
        <w:t>for</w:t>
      </w:r>
      <w:r w:rsidR="006C5377" w:rsidRPr="00813D19">
        <w:rPr>
          <w:color w:val="000000" w:themeColor="text1"/>
          <w:lang w:val="en-US"/>
        </w:rPr>
        <w:t xml:space="preserve"> </w:t>
      </w:r>
      <w:r w:rsidR="004962D5" w:rsidRPr="00813D19">
        <w:rPr>
          <w:color w:val="000000" w:themeColor="text1"/>
          <w:lang w:val="en-US"/>
        </w:rPr>
        <w:t xml:space="preserve">indigenous languages </w:t>
      </w:r>
      <w:r w:rsidR="00CE1759" w:rsidRPr="00813D19">
        <w:rPr>
          <w:color w:val="000000" w:themeColor="text1"/>
          <w:lang w:val="en-US"/>
        </w:rPr>
        <w:t>during the international year</w:t>
      </w:r>
      <w:r w:rsidR="004962D5" w:rsidRPr="00813D19">
        <w:rPr>
          <w:color w:val="000000" w:themeColor="text1"/>
          <w:lang w:val="en-US"/>
        </w:rPr>
        <w:t xml:space="preserve">. </w:t>
      </w:r>
      <w:r w:rsidR="00CE1759" w:rsidRPr="00813D19">
        <w:rPr>
          <w:color w:val="000000" w:themeColor="text1"/>
          <w:lang w:val="en-US"/>
        </w:rPr>
        <w:t xml:space="preserve">It was considered </w:t>
      </w:r>
      <w:r w:rsidR="004962D5" w:rsidRPr="00813D19">
        <w:rPr>
          <w:color w:val="000000" w:themeColor="text1"/>
          <w:lang w:val="en-US"/>
        </w:rPr>
        <w:t>important tha</w:t>
      </w:r>
      <w:r w:rsidR="00CE1759" w:rsidRPr="00813D19">
        <w:rPr>
          <w:color w:val="000000" w:themeColor="text1"/>
          <w:lang w:val="en-US"/>
        </w:rPr>
        <w:t xml:space="preserve">t these processes be initiated </w:t>
      </w:r>
      <w:r w:rsidR="004962D5" w:rsidRPr="00813D19">
        <w:rPr>
          <w:color w:val="000000" w:themeColor="text1"/>
          <w:lang w:val="en-US"/>
        </w:rPr>
        <w:t xml:space="preserve">with </w:t>
      </w:r>
      <w:r w:rsidR="00CE1759" w:rsidRPr="00813D19">
        <w:rPr>
          <w:color w:val="000000" w:themeColor="text1"/>
          <w:lang w:val="en-US"/>
        </w:rPr>
        <w:t xml:space="preserve">the full </w:t>
      </w:r>
      <w:r w:rsidR="004962D5" w:rsidRPr="00813D19">
        <w:rPr>
          <w:color w:val="000000" w:themeColor="text1"/>
          <w:lang w:val="en-US"/>
        </w:rPr>
        <w:t>participation of the communities concerned.</w:t>
      </w:r>
    </w:p>
    <w:p w14:paraId="4503A6D2" w14:textId="72ADDD99" w:rsidR="0042014E" w:rsidRPr="00813D19" w:rsidRDefault="0042014E" w:rsidP="00FE7540">
      <w:pPr>
        <w:pStyle w:val="Orateurengris"/>
        <w:spacing w:before="12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w:t>
      </w:r>
      <w:r w:rsidR="00CE1759" w:rsidRPr="00813D19">
        <w:rPr>
          <w:color w:val="000000" w:themeColor="text1"/>
          <w:lang w:val="en-US"/>
        </w:rPr>
        <w:t xml:space="preserve">thanked </w:t>
      </w:r>
      <w:r w:rsidR="008402E9" w:rsidRPr="00813D19">
        <w:rPr>
          <w:lang w:val="en-US"/>
        </w:rPr>
        <w:t xml:space="preserve">the representative of the NGO and Palestine for raising this very important issue. </w:t>
      </w:r>
      <w:r w:rsidR="00CE1759" w:rsidRPr="00813D19">
        <w:rPr>
          <w:lang w:val="en-US"/>
        </w:rPr>
        <w:t xml:space="preserve">The draft decision proposed by </w:t>
      </w:r>
      <w:r w:rsidR="008402E9" w:rsidRPr="00813D19">
        <w:rPr>
          <w:lang w:val="en-US"/>
        </w:rPr>
        <w:t xml:space="preserve">Palestine </w:t>
      </w:r>
      <w:r w:rsidR="00CE1759" w:rsidRPr="00813D19">
        <w:rPr>
          <w:lang w:val="en-US"/>
        </w:rPr>
        <w:t>was projected on</w:t>
      </w:r>
      <w:r w:rsidR="006C5377">
        <w:rPr>
          <w:lang w:val="en-US"/>
        </w:rPr>
        <w:t>to</w:t>
      </w:r>
      <w:r w:rsidR="00F745F1">
        <w:rPr>
          <w:lang w:val="en-US"/>
        </w:rPr>
        <w:t xml:space="preserve"> the screen.</w:t>
      </w:r>
    </w:p>
    <w:p w14:paraId="54DD27A9" w14:textId="51E3D6C9" w:rsidR="00E30249" w:rsidRPr="00813D19" w:rsidRDefault="00E30249" w:rsidP="00FE7540">
      <w:pPr>
        <w:pStyle w:val="Orateurengris"/>
        <w:spacing w:before="120"/>
        <w:ind w:left="709" w:hanging="709"/>
        <w:rPr>
          <w:color w:val="000000" w:themeColor="text1"/>
          <w:lang w:val="en-US"/>
        </w:rPr>
      </w:pPr>
      <w:r w:rsidRPr="00813D19">
        <w:rPr>
          <w:color w:val="000000" w:themeColor="text1"/>
          <w:lang w:val="en-US"/>
        </w:rPr>
        <w:t xml:space="preserve">The </w:t>
      </w:r>
      <w:r w:rsidR="00CE1759" w:rsidRPr="00813D19">
        <w:rPr>
          <w:b/>
          <w:color w:val="000000" w:themeColor="text1"/>
          <w:lang w:val="en-US"/>
        </w:rPr>
        <w:t>Chairperson</w:t>
      </w:r>
      <w:r w:rsidR="00CE1759" w:rsidRPr="00813D19">
        <w:rPr>
          <w:color w:val="000000" w:themeColor="text1"/>
          <w:lang w:val="en-US"/>
        </w:rPr>
        <w:t xml:space="preserve"> noted </w:t>
      </w:r>
      <w:r w:rsidR="00D41DBC" w:rsidRPr="00813D19">
        <w:rPr>
          <w:color w:val="000000" w:themeColor="text1"/>
          <w:lang w:val="en-US"/>
        </w:rPr>
        <w:t xml:space="preserve">support for the draft decision from </w:t>
      </w:r>
      <w:r w:rsidRPr="00813D19">
        <w:rPr>
          <w:b/>
          <w:color w:val="000000" w:themeColor="text1"/>
          <w:lang w:val="en-US"/>
        </w:rPr>
        <w:t>Cuba</w:t>
      </w:r>
      <w:r w:rsidR="00406078" w:rsidRPr="00813D19">
        <w:rPr>
          <w:b/>
          <w:color w:val="000000" w:themeColor="text1"/>
          <w:lang w:val="en-US"/>
        </w:rPr>
        <w:t xml:space="preserve">, Senegal, Guatemala, Togo, Djibouti, Cyprus, Jamaica, </w:t>
      </w:r>
      <w:r w:rsidR="006C5377">
        <w:rPr>
          <w:b/>
          <w:color w:val="000000" w:themeColor="text1"/>
          <w:lang w:val="en-US"/>
        </w:rPr>
        <w:t xml:space="preserve">the </w:t>
      </w:r>
      <w:r w:rsidR="00406078" w:rsidRPr="00813D19">
        <w:rPr>
          <w:b/>
          <w:color w:val="000000" w:themeColor="text1"/>
          <w:lang w:val="en-US"/>
        </w:rPr>
        <w:t>Philippines, Zambia, Japa</w:t>
      </w:r>
      <w:r w:rsidR="00CE1759" w:rsidRPr="00813D19">
        <w:rPr>
          <w:b/>
          <w:color w:val="000000" w:themeColor="text1"/>
          <w:lang w:val="en-US"/>
        </w:rPr>
        <w:t xml:space="preserve">n </w:t>
      </w:r>
      <w:r w:rsidR="00CE1759" w:rsidRPr="00813D19">
        <w:rPr>
          <w:color w:val="000000" w:themeColor="text1"/>
          <w:lang w:val="en-US"/>
        </w:rPr>
        <w:t>and</w:t>
      </w:r>
      <w:r w:rsidR="00406078" w:rsidRPr="00813D19">
        <w:rPr>
          <w:b/>
          <w:color w:val="000000" w:themeColor="text1"/>
          <w:lang w:val="en-US"/>
        </w:rPr>
        <w:t xml:space="preserve"> </w:t>
      </w:r>
      <w:r w:rsidR="00ED79F4" w:rsidRPr="00813D19">
        <w:rPr>
          <w:b/>
          <w:color w:val="000000" w:themeColor="text1"/>
          <w:lang w:val="en-US"/>
        </w:rPr>
        <w:t>Armenia</w:t>
      </w:r>
      <w:r w:rsidR="00CE1759" w:rsidRPr="00813D19">
        <w:rPr>
          <w:color w:val="000000" w:themeColor="text1"/>
          <w:lang w:val="en-US"/>
        </w:rPr>
        <w:t>.</w:t>
      </w:r>
    </w:p>
    <w:p w14:paraId="4633D194" w14:textId="3B5A52C4" w:rsidR="00E30249" w:rsidRPr="00813D19" w:rsidRDefault="00E30249" w:rsidP="00FE754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F40EDF" w:rsidRPr="00813D19">
        <w:rPr>
          <w:b/>
          <w:color w:val="000000" w:themeColor="text1"/>
          <w:lang w:val="en-US"/>
        </w:rPr>
        <w:t xml:space="preserve"> </w:t>
      </w:r>
      <w:r w:rsidR="00CE1759" w:rsidRPr="00813D19">
        <w:rPr>
          <w:color w:val="000000" w:themeColor="text1"/>
          <w:lang w:val="en-US"/>
        </w:rPr>
        <w:t>also</w:t>
      </w:r>
      <w:r w:rsidR="00CE1759" w:rsidRPr="00813D19">
        <w:rPr>
          <w:b/>
          <w:color w:val="000000" w:themeColor="text1"/>
          <w:lang w:val="en-US"/>
        </w:rPr>
        <w:t xml:space="preserve"> </w:t>
      </w:r>
      <w:r w:rsidR="00F40EDF" w:rsidRPr="00813D19">
        <w:rPr>
          <w:bCs/>
          <w:lang w:val="en-US"/>
        </w:rPr>
        <w:t>support</w:t>
      </w:r>
      <w:r w:rsidR="00CE1759" w:rsidRPr="00813D19">
        <w:rPr>
          <w:bCs/>
          <w:lang w:val="en-US"/>
        </w:rPr>
        <w:t>ed</w:t>
      </w:r>
      <w:r w:rsidR="00F40EDF" w:rsidRPr="00813D19">
        <w:rPr>
          <w:bCs/>
          <w:lang w:val="en-US"/>
        </w:rPr>
        <w:t xml:space="preserve"> the </w:t>
      </w:r>
      <w:r w:rsidR="00CE1759" w:rsidRPr="00813D19">
        <w:rPr>
          <w:bCs/>
          <w:lang w:val="en-US"/>
        </w:rPr>
        <w:t>proposal presented by Palestine, but wished to add the inclusion</w:t>
      </w:r>
      <w:r w:rsidR="00F40EDF" w:rsidRPr="00813D19">
        <w:rPr>
          <w:bCs/>
          <w:lang w:val="en-US"/>
        </w:rPr>
        <w:t xml:space="preserve"> </w:t>
      </w:r>
      <w:r w:rsidR="00CE1759" w:rsidRPr="00813D19">
        <w:rPr>
          <w:bCs/>
          <w:lang w:val="en-US"/>
        </w:rPr>
        <w:t xml:space="preserve">of </w:t>
      </w:r>
      <w:r w:rsidR="00F40EDF" w:rsidRPr="00813D19">
        <w:rPr>
          <w:bCs/>
          <w:lang w:val="en-US"/>
        </w:rPr>
        <w:t xml:space="preserve">the Representative List </w:t>
      </w:r>
      <w:r w:rsidR="00CE1759" w:rsidRPr="00813D19">
        <w:rPr>
          <w:bCs/>
          <w:lang w:val="en-US"/>
        </w:rPr>
        <w:t xml:space="preserve">and </w:t>
      </w:r>
      <w:r w:rsidR="00F40EDF" w:rsidRPr="00813D19">
        <w:rPr>
          <w:bCs/>
          <w:lang w:val="en-US"/>
        </w:rPr>
        <w:t>the Register of Good Practices</w:t>
      </w:r>
      <w:r w:rsidR="003F6D4F" w:rsidRPr="00813D19">
        <w:rPr>
          <w:bCs/>
          <w:lang w:val="en-US"/>
        </w:rPr>
        <w:t xml:space="preserve"> in paragraph 5</w:t>
      </w:r>
      <w:r w:rsidR="00F745F1">
        <w:rPr>
          <w:bCs/>
          <w:lang w:val="en-US"/>
        </w:rPr>
        <w:t>.</w:t>
      </w:r>
    </w:p>
    <w:p w14:paraId="5D27B7A7" w14:textId="29EDD977" w:rsidR="00FB358E" w:rsidRPr="00813D19" w:rsidRDefault="00FB358E" w:rsidP="00FE754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Kazakhstan </w:t>
      </w:r>
      <w:r w:rsidR="00CE1759" w:rsidRPr="00813D19">
        <w:rPr>
          <w:color w:val="000000" w:themeColor="text1"/>
          <w:lang w:val="en-US"/>
        </w:rPr>
        <w:t xml:space="preserve">suggested </w:t>
      </w:r>
      <w:r w:rsidR="00F40EDF" w:rsidRPr="00813D19">
        <w:rPr>
          <w:lang w:val="en-US"/>
        </w:rPr>
        <w:t xml:space="preserve">acknowledging </w:t>
      </w:r>
      <w:r w:rsidR="003F6D4F" w:rsidRPr="00813D19">
        <w:rPr>
          <w:lang w:val="en-US"/>
        </w:rPr>
        <w:t>with</w:t>
      </w:r>
      <w:r w:rsidR="00F40EDF" w:rsidRPr="00813D19">
        <w:rPr>
          <w:lang w:val="en-US"/>
        </w:rPr>
        <w:t xml:space="preserve"> satisfaction the efforts made by UNESCO </w:t>
      </w:r>
      <w:r w:rsidR="00CE1759" w:rsidRPr="00813D19">
        <w:rPr>
          <w:lang w:val="en-US"/>
        </w:rPr>
        <w:t>in paragraph 3.</w:t>
      </w:r>
    </w:p>
    <w:p w14:paraId="7BDF9BF7" w14:textId="2CB3BF2D" w:rsidR="00E30249" w:rsidRPr="00813D19" w:rsidRDefault="00FB358E" w:rsidP="00FE754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2D74D4" w:rsidRPr="00813D19">
        <w:rPr>
          <w:color w:val="000000" w:themeColor="text1"/>
          <w:lang w:val="en-US"/>
        </w:rPr>
        <w:t>suggested</w:t>
      </w:r>
      <w:r w:rsidR="006C5377">
        <w:rPr>
          <w:color w:val="000000" w:themeColor="text1"/>
          <w:lang w:val="en-US"/>
        </w:rPr>
        <w:t>,</w:t>
      </w:r>
      <w:r w:rsidR="002D74D4" w:rsidRPr="00813D19">
        <w:rPr>
          <w:b/>
          <w:color w:val="000000" w:themeColor="text1"/>
          <w:lang w:val="en-US"/>
        </w:rPr>
        <w:t xml:space="preserve"> </w:t>
      </w:r>
      <w:r w:rsidR="00F40EDF" w:rsidRPr="00813D19">
        <w:rPr>
          <w:lang w:val="en-US"/>
        </w:rPr>
        <w:t xml:space="preserve">since </w:t>
      </w:r>
      <w:r w:rsidR="002D74D4" w:rsidRPr="00813D19">
        <w:rPr>
          <w:lang w:val="en-US"/>
        </w:rPr>
        <w:t xml:space="preserve">the Committee was </w:t>
      </w:r>
      <w:r w:rsidR="00F40EDF" w:rsidRPr="00813D19">
        <w:rPr>
          <w:lang w:val="en-US"/>
        </w:rPr>
        <w:t xml:space="preserve">agreeable in principle and since it </w:t>
      </w:r>
      <w:r w:rsidR="002D74D4" w:rsidRPr="00813D19">
        <w:rPr>
          <w:lang w:val="en-US"/>
        </w:rPr>
        <w:t xml:space="preserve">was </w:t>
      </w:r>
      <w:r w:rsidR="00F40EDF" w:rsidRPr="00813D19">
        <w:rPr>
          <w:lang w:val="en-US"/>
        </w:rPr>
        <w:t>a question of wording</w:t>
      </w:r>
      <w:r w:rsidR="002D74D4" w:rsidRPr="00813D19">
        <w:rPr>
          <w:lang w:val="en-US"/>
        </w:rPr>
        <w:t>, but also taking in</w:t>
      </w:r>
      <w:r w:rsidR="00CC38BB" w:rsidRPr="00813D19">
        <w:rPr>
          <w:lang w:val="en-US"/>
        </w:rPr>
        <w:t>to</w:t>
      </w:r>
      <w:r w:rsidR="002D74D4" w:rsidRPr="00813D19">
        <w:rPr>
          <w:lang w:val="en-US"/>
        </w:rPr>
        <w:t xml:space="preserve"> account the comments by </w:t>
      </w:r>
      <w:r w:rsidR="00F40EDF" w:rsidRPr="00813D19">
        <w:rPr>
          <w:lang w:val="en-US"/>
        </w:rPr>
        <w:t>Lebanon</w:t>
      </w:r>
      <w:r w:rsidR="002D74D4" w:rsidRPr="00813D19">
        <w:rPr>
          <w:lang w:val="en-US"/>
        </w:rPr>
        <w:t>,</w:t>
      </w:r>
      <w:r w:rsidR="00F40EDF" w:rsidRPr="00813D19">
        <w:rPr>
          <w:lang w:val="en-US"/>
        </w:rPr>
        <w:t xml:space="preserve"> Kazakhstan and other </w:t>
      </w:r>
      <w:r w:rsidR="002D74D4" w:rsidRPr="00813D19">
        <w:rPr>
          <w:lang w:val="en-US"/>
        </w:rPr>
        <w:t>Members</w:t>
      </w:r>
      <w:r w:rsidR="00CC38BB" w:rsidRPr="00813D19">
        <w:rPr>
          <w:lang w:val="en-US"/>
        </w:rPr>
        <w:t>,</w:t>
      </w:r>
      <w:r w:rsidR="002D74D4" w:rsidRPr="00813D19">
        <w:rPr>
          <w:lang w:val="en-US"/>
        </w:rPr>
        <w:t xml:space="preserve"> that the Committee agree </w:t>
      </w:r>
      <w:r w:rsidR="00F40EDF" w:rsidRPr="00813D19">
        <w:rPr>
          <w:lang w:val="en-US"/>
        </w:rPr>
        <w:t xml:space="preserve">to the draft decision as a whole with the few </w:t>
      </w:r>
      <w:r w:rsidR="002D74D4" w:rsidRPr="00813D19">
        <w:rPr>
          <w:lang w:val="en-US"/>
        </w:rPr>
        <w:t xml:space="preserve">suggested </w:t>
      </w:r>
      <w:r w:rsidR="00CC38BB" w:rsidRPr="00813D19">
        <w:rPr>
          <w:lang w:val="en-US"/>
        </w:rPr>
        <w:t xml:space="preserve">amendments, allowing the </w:t>
      </w:r>
      <w:r w:rsidR="00F40EDF" w:rsidRPr="00813D19">
        <w:rPr>
          <w:lang w:val="en-US"/>
        </w:rPr>
        <w:t xml:space="preserve">Secretary to correct the wording </w:t>
      </w:r>
      <w:r w:rsidR="00CC38BB" w:rsidRPr="00813D19">
        <w:rPr>
          <w:lang w:val="en-US"/>
        </w:rPr>
        <w:t xml:space="preserve">to </w:t>
      </w:r>
      <w:r w:rsidR="00F40EDF" w:rsidRPr="00813D19">
        <w:rPr>
          <w:lang w:val="en-US"/>
        </w:rPr>
        <w:t xml:space="preserve">have </w:t>
      </w:r>
      <w:r w:rsidR="00CC38BB" w:rsidRPr="00813D19">
        <w:rPr>
          <w:lang w:val="en-US"/>
        </w:rPr>
        <w:t>a sense of what Palestine wished</w:t>
      </w:r>
      <w:r w:rsidR="00F40EDF" w:rsidRPr="00813D19">
        <w:rPr>
          <w:lang w:val="en-US"/>
        </w:rPr>
        <w:t xml:space="preserve"> to convey as a decision </w:t>
      </w:r>
      <w:r w:rsidR="00D41DBC" w:rsidRPr="00813D19">
        <w:rPr>
          <w:lang w:val="en-US"/>
        </w:rPr>
        <w:t>by</w:t>
      </w:r>
      <w:r w:rsidR="00F745F1">
        <w:rPr>
          <w:lang w:val="en-US"/>
        </w:rPr>
        <w:t xml:space="preserve"> this Committee.</w:t>
      </w:r>
    </w:p>
    <w:p w14:paraId="34CE8F19" w14:textId="06B9F93E" w:rsidR="00F40EDF" w:rsidRPr="00813D19" w:rsidRDefault="00F40EDF" w:rsidP="00FE7540">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Zambia</w:t>
      </w:r>
      <w:r w:rsidRPr="00813D19">
        <w:rPr>
          <w:lang w:val="en-US"/>
        </w:rPr>
        <w:t xml:space="preserve"> </w:t>
      </w:r>
      <w:r w:rsidR="00D81288" w:rsidRPr="00813D19">
        <w:rPr>
          <w:lang w:val="en-US"/>
        </w:rPr>
        <w:t xml:space="preserve">wondered whether ‘by </w:t>
      </w:r>
      <w:r w:rsidR="00EE03E2" w:rsidRPr="00813D19">
        <w:rPr>
          <w:lang w:val="en-US"/>
        </w:rPr>
        <w:t xml:space="preserve">the </w:t>
      </w:r>
      <w:r w:rsidR="00D81288" w:rsidRPr="00813D19">
        <w:rPr>
          <w:lang w:val="en-US"/>
        </w:rPr>
        <w:t xml:space="preserve">UNESCO’ was </w:t>
      </w:r>
      <w:r w:rsidR="00EE03E2" w:rsidRPr="00813D19">
        <w:rPr>
          <w:lang w:val="en-US"/>
        </w:rPr>
        <w:t xml:space="preserve">needed </w:t>
      </w:r>
      <w:r w:rsidR="00D81288" w:rsidRPr="00813D19">
        <w:rPr>
          <w:lang w:val="en-US"/>
        </w:rPr>
        <w:t>in paragraph</w:t>
      </w:r>
      <w:r w:rsidR="007B2D60">
        <w:rPr>
          <w:lang w:val="en-US"/>
        </w:rPr>
        <w:t> </w:t>
      </w:r>
      <w:r w:rsidR="00F745F1">
        <w:rPr>
          <w:lang w:val="en-US"/>
        </w:rPr>
        <w:t>3, and ‘the’ was deleted.</w:t>
      </w:r>
    </w:p>
    <w:p w14:paraId="55E3364F" w14:textId="0AF86853" w:rsidR="00ED79F4" w:rsidRPr="00813D19" w:rsidRDefault="00ED79F4" w:rsidP="00FE754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w:t>
      </w:r>
      <w:r w:rsidR="00F40EDF" w:rsidRPr="00813D19">
        <w:rPr>
          <w:b/>
          <w:color w:val="000000" w:themeColor="text1"/>
          <w:lang w:val="en-US"/>
        </w:rPr>
        <w:t xml:space="preserve"> </w:t>
      </w:r>
      <w:r w:rsidR="00EE03E2" w:rsidRPr="00813D19">
        <w:rPr>
          <w:color w:val="000000" w:themeColor="text1"/>
          <w:lang w:val="en-US"/>
        </w:rPr>
        <w:t>wished to present a point of information.</w:t>
      </w:r>
    </w:p>
    <w:p w14:paraId="464F5630" w14:textId="11F67468" w:rsidR="00ED79F4" w:rsidRPr="00813D19" w:rsidRDefault="00ED79F4" w:rsidP="00FE7540">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F40EDF" w:rsidRPr="00813D19">
        <w:rPr>
          <w:b/>
          <w:color w:val="000000" w:themeColor="text1"/>
          <w:lang w:val="en-US"/>
        </w:rPr>
        <w:t xml:space="preserve"> </w:t>
      </w:r>
      <w:r w:rsidR="00EE03E2" w:rsidRPr="00813D19">
        <w:rPr>
          <w:color w:val="000000" w:themeColor="text1"/>
          <w:lang w:val="en-US"/>
        </w:rPr>
        <w:t xml:space="preserve">proposed </w:t>
      </w:r>
      <w:r w:rsidR="00F40EDF" w:rsidRPr="00813D19">
        <w:rPr>
          <w:bCs/>
          <w:lang w:val="en-US"/>
        </w:rPr>
        <w:t>includ</w:t>
      </w:r>
      <w:r w:rsidR="006C5377">
        <w:rPr>
          <w:bCs/>
          <w:lang w:val="en-US"/>
        </w:rPr>
        <w:t>ing</w:t>
      </w:r>
      <w:r w:rsidR="00F40EDF" w:rsidRPr="00813D19">
        <w:rPr>
          <w:bCs/>
          <w:lang w:val="en-US"/>
        </w:rPr>
        <w:t xml:space="preserve"> </w:t>
      </w:r>
      <w:r w:rsidR="00EE03E2" w:rsidRPr="00813D19">
        <w:rPr>
          <w:bCs/>
          <w:lang w:val="en-US"/>
        </w:rPr>
        <w:t xml:space="preserve">mention </w:t>
      </w:r>
      <w:r w:rsidR="00D41DBC" w:rsidRPr="00813D19">
        <w:rPr>
          <w:bCs/>
          <w:lang w:val="en-US"/>
        </w:rPr>
        <w:t xml:space="preserve">of </w:t>
      </w:r>
      <w:r w:rsidR="00F40EDF" w:rsidRPr="00813D19">
        <w:rPr>
          <w:bCs/>
          <w:lang w:val="en-US"/>
        </w:rPr>
        <w:t>the action by the Secr</w:t>
      </w:r>
      <w:r w:rsidR="00EE03E2" w:rsidRPr="00813D19">
        <w:rPr>
          <w:bCs/>
          <w:lang w:val="en-US"/>
        </w:rPr>
        <w:t>etariat to send this invitation, inviting</w:t>
      </w:r>
      <w:r w:rsidR="00F40EDF" w:rsidRPr="00813D19">
        <w:rPr>
          <w:bCs/>
          <w:lang w:val="en-US"/>
        </w:rPr>
        <w:t xml:space="preserve"> States</w:t>
      </w:r>
      <w:r w:rsidR="00EE03E2" w:rsidRPr="00813D19">
        <w:rPr>
          <w:bCs/>
          <w:lang w:val="en-US"/>
        </w:rPr>
        <w:t xml:space="preserve"> via their National C</w:t>
      </w:r>
      <w:r w:rsidR="00F40EDF" w:rsidRPr="00813D19">
        <w:rPr>
          <w:bCs/>
          <w:lang w:val="en-US"/>
        </w:rPr>
        <w:t xml:space="preserve">ommissions </w:t>
      </w:r>
      <w:r w:rsidR="00EE03E2" w:rsidRPr="00813D19">
        <w:rPr>
          <w:bCs/>
          <w:lang w:val="en-US"/>
        </w:rPr>
        <w:t xml:space="preserve">and </w:t>
      </w:r>
      <w:r w:rsidR="00F40EDF" w:rsidRPr="00813D19">
        <w:rPr>
          <w:bCs/>
          <w:lang w:val="en-US"/>
        </w:rPr>
        <w:t xml:space="preserve">the Permanent Delegations to respond </w:t>
      </w:r>
      <w:r w:rsidR="00EE03E2" w:rsidRPr="00813D19">
        <w:rPr>
          <w:bCs/>
          <w:lang w:val="en-US"/>
        </w:rPr>
        <w:t xml:space="preserve">to </w:t>
      </w:r>
      <w:r w:rsidR="00F40EDF" w:rsidRPr="00813D19">
        <w:rPr>
          <w:bCs/>
          <w:lang w:val="en-US"/>
        </w:rPr>
        <w:t>this draft decision</w:t>
      </w:r>
      <w:r w:rsidR="00316D6A" w:rsidRPr="00813D19">
        <w:rPr>
          <w:bCs/>
          <w:lang w:val="en-US"/>
        </w:rPr>
        <w:t>,</w:t>
      </w:r>
      <w:r w:rsidR="00F40EDF" w:rsidRPr="00813D19">
        <w:rPr>
          <w:bCs/>
          <w:lang w:val="en-US"/>
        </w:rPr>
        <w:t xml:space="preserve"> that might bring to the forefront the Year of Indigenous Languages in 2019</w:t>
      </w:r>
      <w:r w:rsidR="00D41DBC" w:rsidRPr="00813D19">
        <w:rPr>
          <w:bCs/>
          <w:lang w:val="en-US"/>
        </w:rPr>
        <w:t xml:space="preserve"> among all Member States of UNESCO</w:t>
      </w:r>
      <w:r w:rsidR="00F745F1">
        <w:rPr>
          <w:bCs/>
          <w:lang w:val="en-US"/>
        </w:rPr>
        <w:t>.</w:t>
      </w:r>
    </w:p>
    <w:p w14:paraId="4E7905E6" w14:textId="36DC7E44" w:rsidR="00F40EDF" w:rsidRPr="00813D19" w:rsidRDefault="00F40EDF" w:rsidP="00FE7540">
      <w:pPr>
        <w:pStyle w:val="Orateurengris"/>
        <w:spacing w:before="120"/>
        <w:ind w:left="709" w:hanging="709"/>
        <w:rPr>
          <w:color w:val="000000" w:themeColor="text1"/>
          <w:lang w:val="en-US"/>
        </w:rPr>
      </w:pPr>
      <w:r w:rsidRPr="00813D19">
        <w:rPr>
          <w:bCs/>
          <w:lang w:val="en-US"/>
        </w:rPr>
        <w:t xml:space="preserve">The </w:t>
      </w:r>
      <w:r w:rsidRPr="00813D19">
        <w:rPr>
          <w:b/>
          <w:bCs/>
          <w:lang w:val="en-US"/>
        </w:rPr>
        <w:t>Secretary</w:t>
      </w:r>
      <w:r w:rsidRPr="00813D19">
        <w:rPr>
          <w:bCs/>
          <w:lang w:val="en-US"/>
        </w:rPr>
        <w:t xml:space="preserve"> </w:t>
      </w:r>
      <w:r w:rsidR="00EE03E2" w:rsidRPr="00813D19">
        <w:rPr>
          <w:bCs/>
          <w:lang w:val="en-US"/>
        </w:rPr>
        <w:t xml:space="preserve">remarked that </w:t>
      </w:r>
      <w:r w:rsidRPr="00813D19">
        <w:rPr>
          <w:bCs/>
          <w:lang w:val="en-US"/>
        </w:rPr>
        <w:t xml:space="preserve">there </w:t>
      </w:r>
      <w:r w:rsidR="00EE03E2" w:rsidRPr="00813D19">
        <w:rPr>
          <w:bCs/>
          <w:lang w:val="en-US"/>
        </w:rPr>
        <w:t xml:space="preserve">were </w:t>
      </w:r>
      <w:r w:rsidRPr="00813D19">
        <w:rPr>
          <w:bCs/>
          <w:lang w:val="en-US"/>
        </w:rPr>
        <w:t xml:space="preserve">house-wide actions </w:t>
      </w:r>
      <w:r w:rsidR="00316D6A" w:rsidRPr="00813D19">
        <w:rPr>
          <w:bCs/>
          <w:lang w:val="en-US"/>
        </w:rPr>
        <w:t>that w</w:t>
      </w:r>
      <w:r w:rsidR="006C5377">
        <w:rPr>
          <w:bCs/>
          <w:lang w:val="en-US"/>
        </w:rPr>
        <w:t>ould</w:t>
      </w:r>
      <w:r w:rsidR="00316D6A" w:rsidRPr="00813D19">
        <w:rPr>
          <w:bCs/>
          <w:lang w:val="en-US"/>
        </w:rPr>
        <w:t xml:space="preserve"> be undertaken in UNESCO </w:t>
      </w:r>
      <w:r w:rsidRPr="00813D19">
        <w:rPr>
          <w:bCs/>
          <w:lang w:val="en-US"/>
        </w:rPr>
        <w:t>on the Year of Indigenous Languages</w:t>
      </w:r>
      <w:r w:rsidR="00EE03E2" w:rsidRPr="00813D19">
        <w:rPr>
          <w:bCs/>
          <w:lang w:val="en-US"/>
        </w:rPr>
        <w:t>,</w:t>
      </w:r>
      <w:r w:rsidRPr="00813D19">
        <w:rPr>
          <w:bCs/>
          <w:lang w:val="en-US"/>
        </w:rPr>
        <w:t xml:space="preserve"> but </w:t>
      </w:r>
      <w:r w:rsidR="00EE03E2" w:rsidRPr="00813D19">
        <w:rPr>
          <w:bCs/>
          <w:lang w:val="en-US"/>
        </w:rPr>
        <w:t xml:space="preserve">he was happy to </w:t>
      </w:r>
      <w:r w:rsidRPr="00813D19">
        <w:rPr>
          <w:bCs/>
          <w:lang w:val="en-US"/>
        </w:rPr>
        <w:t xml:space="preserve">draw specific attention to this decision </w:t>
      </w:r>
      <w:r w:rsidR="00EE03E2" w:rsidRPr="00813D19">
        <w:rPr>
          <w:bCs/>
          <w:lang w:val="en-US"/>
        </w:rPr>
        <w:t xml:space="preserve">and </w:t>
      </w:r>
      <w:r w:rsidRPr="00813D19">
        <w:rPr>
          <w:bCs/>
          <w:lang w:val="en-US"/>
        </w:rPr>
        <w:t xml:space="preserve">circulate </w:t>
      </w:r>
      <w:r w:rsidR="00EE03E2" w:rsidRPr="00813D19">
        <w:rPr>
          <w:bCs/>
          <w:lang w:val="en-US"/>
        </w:rPr>
        <w:t xml:space="preserve">it </w:t>
      </w:r>
      <w:r w:rsidR="00F745F1">
        <w:rPr>
          <w:bCs/>
          <w:lang w:val="en-US"/>
        </w:rPr>
        <w:t>among the delegations.</w:t>
      </w:r>
    </w:p>
    <w:p w14:paraId="23E60922" w14:textId="2135902F" w:rsidR="00F40EDF" w:rsidRPr="00813D19" w:rsidRDefault="00F40EDF" w:rsidP="00FE7540">
      <w:pPr>
        <w:pStyle w:val="Orateurengris"/>
        <w:spacing w:before="120"/>
        <w:ind w:left="709" w:hanging="709"/>
        <w:rPr>
          <w:color w:val="000000" w:themeColor="text1"/>
          <w:lang w:val="en-US"/>
        </w:rPr>
      </w:pPr>
      <w:r w:rsidRPr="00813D19">
        <w:rPr>
          <w:bCs/>
          <w:lang w:val="en-US"/>
        </w:rPr>
        <w:t xml:space="preserve">The </w:t>
      </w:r>
      <w:r w:rsidRPr="00813D19">
        <w:rPr>
          <w:b/>
          <w:bCs/>
          <w:lang w:val="en-US"/>
        </w:rPr>
        <w:t>Chairperson</w:t>
      </w:r>
      <w:r w:rsidRPr="00813D19">
        <w:rPr>
          <w:bCs/>
          <w:lang w:val="en-US"/>
        </w:rPr>
        <w:t xml:space="preserve"> </w:t>
      </w:r>
      <w:r w:rsidR="0064614E" w:rsidRPr="00813D19">
        <w:rPr>
          <w:bCs/>
          <w:lang w:val="en-US"/>
        </w:rPr>
        <w:t xml:space="preserve">noted that the draft decision </w:t>
      </w:r>
      <w:r w:rsidRPr="00813D19">
        <w:rPr>
          <w:lang w:val="en-US"/>
        </w:rPr>
        <w:t>reaffirm</w:t>
      </w:r>
      <w:r w:rsidR="0064614E" w:rsidRPr="00813D19">
        <w:rPr>
          <w:lang w:val="en-US"/>
        </w:rPr>
        <w:t>ed</w:t>
      </w:r>
      <w:r w:rsidRPr="00813D19">
        <w:rPr>
          <w:lang w:val="en-US"/>
        </w:rPr>
        <w:t xml:space="preserve"> </w:t>
      </w:r>
      <w:r w:rsidR="0064614E" w:rsidRPr="00813D19">
        <w:rPr>
          <w:lang w:val="en-US"/>
        </w:rPr>
        <w:t xml:space="preserve">the Secretariat’s </w:t>
      </w:r>
      <w:r w:rsidRPr="00813D19">
        <w:rPr>
          <w:lang w:val="en-US"/>
        </w:rPr>
        <w:t xml:space="preserve">support </w:t>
      </w:r>
      <w:r w:rsidR="0064614E" w:rsidRPr="00813D19">
        <w:rPr>
          <w:lang w:val="en-US"/>
        </w:rPr>
        <w:t xml:space="preserve">of the </w:t>
      </w:r>
      <w:r w:rsidRPr="00813D19">
        <w:rPr>
          <w:bCs/>
          <w:lang w:val="en-US"/>
        </w:rPr>
        <w:t xml:space="preserve">Year of Indigenous Languages </w:t>
      </w:r>
      <w:r w:rsidR="0064614E" w:rsidRPr="00813D19">
        <w:rPr>
          <w:bCs/>
          <w:lang w:val="en-US"/>
        </w:rPr>
        <w:t xml:space="preserve">as a </w:t>
      </w:r>
      <w:r w:rsidR="00F745F1">
        <w:rPr>
          <w:bCs/>
          <w:lang w:val="en-US"/>
        </w:rPr>
        <w:t>sign of encouragement.</w:t>
      </w:r>
    </w:p>
    <w:p w14:paraId="179EE546" w14:textId="43E4D14B" w:rsidR="00F40EDF" w:rsidRPr="00813D19" w:rsidRDefault="00F40EDF" w:rsidP="00FE7540">
      <w:pPr>
        <w:pStyle w:val="Orateurengris"/>
        <w:spacing w:before="120"/>
        <w:ind w:left="709" w:hanging="709"/>
        <w:rPr>
          <w:color w:val="000000" w:themeColor="text1"/>
          <w:lang w:val="en-US"/>
        </w:rPr>
      </w:pPr>
      <w:r w:rsidRPr="00813D19">
        <w:rPr>
          <w:bCs/>
          <w:lang w:val="en-US"/>
        </w:rPr>
        <w:t xml:space="preserve">The </w:t>
      </w:r>
      <w:r w:rsidRPr="00813D19">
        <w:rPr>
          <w:b/>
          <w:bCs/>
          <w:lang w:val="en-US"/>
        </w:rPr>
        <w:t>delegation of Cyprus</w:t>
      </w:r>
      <w:r w:rsidR="00EE03E2" w:rsidRPr="00813D19">
        <w:rPr>
          <w:b/>
          <w:bCs/>
          <w:lang w:val="en-US"/>
        </w:rPr>
        <w:t xml:space="preserve"> </w:t>
      </w:r>
      <w:r w:rsidR="00EE03E2" w:rsidRPr="00813D19">
        <w:rPr>
          <w:bCs/>
          <w:lang w:val="en-US"/>
        </w:rPr>
        <w:t xml:space="preserve">wished to add a reference to </w:t>
      </w:r>
      <w:r w:rsidR="006C5377">
        <w:rPr>
          <w:bCs/>
          <w:lang w:val="en-US"/>
        </w:rPr>
        <w:t>NGOs</w:t>
      </w:r>
      <w:r w:rsidR="00EE03E2" w:rsidRPr="00813D19">
        <w:rPr>
          <w:bCs/>
          <w:lang w:val="en-US"/>
        </w:rPr>
        <w:t xml:space="preserve"> in paragraph 3.</w:t>
      </w:r>
    </w:p>
    <w:p w14:paraId="0A9A2075" w14:textId="4B455CB8" w:rsidR="00F40EDF" w:rsidRPr="00813D19" w:rsidRDefault="00F40EDF" w:rsidP="00FE7540">
      <w:pPr>
        <w:pStyle w:val="Orateurengris"/>
        <w:spacing w:before="120"/>
        <w:ind w:left="709" w:hanging="709"/>
        <w:rPr>
          <w:color w:val="000000" w:themeColor="text1"/>
          <w:lang w:val="en-US"/>
        </w:rPr>
      </w:pPr>
      <w:r w:rsidRPr="00813D19">
        <w:rPr>
          <w:lang w:val="en-US"/>
        </w:rPr>
        <w:t xml:space="preserve">The </w:t>
      </w:r>
      <w:r w:rsidRPr="00813D19">
        <w:rPr>
          <w:b/>
          <w:lang w:val="en-US"/>
        </w:rPr>
        <w:t xml:space="preserve">delegation of </w:t>
      </w:r>
      <w:r w:rsidR="000953A7">
        <w:rPr>
          <w:b/>
          <w:lang w:val="en-US"/>
        </w:rPr>
        <w:t xml:space="preserve">the </w:t>
      </w:r>
      <w:r w:rsidRPr="00813D19">
        <w:rPr>
          <w:b/>
          <w:lang w:val="en-US"/>
        </w:rPr>
        <w:t>Philippines</w:t>
      </w:r>
      <w:r w:rsidRPr="00813D19">
        <w:rPr>
          <w:lang w:val="en-US"/>
        </w:rPr>
        <w:t xml:space="preserve"> </w:t>
      </w:r>
      <w:r w:rsidR="00EE03E2" w:rsidRPr="00813D19">
        <w:rPr>
          <w:lang w:val="en-US"/>
        </w:rPr>
        <w:t xml:space="preserve">remarked that </w:t>
      </w:r>
      <w:r w:rsidRPr="00813D19">
        <w:rPr>
          <w:lang w:val="en-US"/>
        </w:rPr>
        <w:t xml:space="preserve">indigenous </w:t>
      </w:r>
      <w:r w:rsidR="00EE03E2" w:rsidRPr="00813D19">
        <w:rPr>
          <w:lang w:val="en-US"/>
        </w:rPr>
        <w:t>‘</w:t>
      </w:r>
      <w:r w:rsidRPr="00813D19">
        <w:rPr>
          <w:lang w:val="en-US"/>
        </w:rPr>
        <w:t>languages</w:t>
      </w:r>
      <w:r w:rsidR="00EE03E2" w:rsidRPr="00813D19">
        <w:rPr>
          <w:lang w:val="en-US"/>
        </w:rPr>
        <w:t>’ should be mentioned in place of ‘</w:t>
      </w:r>
      <w:r w:rsidRPr="00813D19">
        <w:rPr>
          <w:lang w:val="en-US"/>
        </w:rPr>
        <w:t>peoples</w:t>
      </w:r>
      <w:r w:rsidR="00F745F1">
        <w:rPr>
          <w:lang w:val="en-US"/>
        </w:rPr>
        <w:t>’ in paragraph 1.</w:t>
      </w:r>
    </w:p>
    <w:p w14:paraId="23697EBC" w14:textId="3C3DF4E0" w:rsidR="00F40EDF" w:rsidRPr="00813D19" w:rsidRDefault="00F40EDF" w:rsidP="00FE7540">
      <w:pPr>
        <w:pStyle w:val="Orateurengris"/>
        <w:spacing w:before="120"/>
        <w:ind w:left="709" w:hanging="709"/>
        <w:rPr>
          <w:color w:val="000000" w:themeColor="text1"/>
          <w:lang w:val="en-US"/>
        </w:rPr>
      </w:pPr>
      <w:r w:rsidRPr="00813D19">
        <w:rPr>
          <w:lang w:val="en-US"/>
        </w:rPr>
        <w:t xml:space="preserve">The </w:t>
      </w:r>
      <w:r w:rsidRPr="00813D19">
        <w:rPr>
          <w:b/>
          <w:lang w:val="en-US"/>
        </w:rPr>
        <w:t>delegation of Colombia</w:t>
      </w:r>
      <w:r w:rsidRPr="00813D19">
        <w:rPr>
          <w:lang w:val="en-US"/>
        </w:rPr>
        <w:t xml:space="preserve"> </w:t>
      </w:r>
      <w:r w:rsidR="00EE03E2" w:rsidRPr="00813D19">
        <w:rPr>
          <w:lang w:val="en-US"/>
        </w:rPr>
        <w:t>wished to add in paragraph 3</w:t>
      </w:r>
      <w:r w:rsidR="006C5377">
        <w:rPr>
          <w:lang w:val="en-US"/>
        </w:rPr>
        <w:t>,</w:t>
      </w:r>
      <w:r w:rsidR="00EE03E2" w:rsidRPr="00813D19">
        <w:rPr>
          <w:lang w:val="en-US"/>
        </w:rPr>
        <w:t xml:space="preserve"> </w:t>
      </w:r>
      <w:r w:rsidR="006C5377">
        <w:rPr>
          <w:bCs/>
          <w:lang w:val="en-US"/>
        </w:rPr>
        <w:t>which</w:t>
      </w:r>
      <w:r w:rsidR="006C5377" w:rsidRPr="00813D19">
        <w:rPr>
          <w:bCs/>
          <w:lang w:val="en-US"/>
        </w:rPr>
        <w:t xml:space="preserve"> </w:t>
      </w:r>
      <w:r w:rsidR="00316D6A" w:rsidRPr="00813D19">
        <w:rPr>
          <w:bCs/>
          <w:lang w:val="en-US"/>
        </w:rPr>
        <w:t>acknowledged</w:t>
      </w:r>
      <w:r w:rsidR="00EE03E2" w:rsidRPr="00813D19">
        <w:rPr>
          <w:bCs/>
          <w:lang w:val="en-US"/>
        </w:rPr>
        <w:t xml:space="preserve"> the efforts undertaken by UNESCO and </w:t>
      </w:r>
      <w:r w:rsidRPr="00813D19">
        <w:rPr>
          <w:bCs/>
          <w:lang w:val="en-US"/>
        </w:rPr>
        <w:t>the Secretariat</w:t>
      </w:r>
      <w:r w:rsidR="00EE03E2" w:rsidRPr="00813D19">
        <w:rPr>
          <w:bCs/>
          <w:lang w:val="en-US"/>
        </w:rPr>
        <w:t xml:space="preserve">, to also include the </w:t>
      </w:r>
      <w:r w:rsidRPr="00813D19">
        <w:rPr>
          <w:bCs/>
          <w:lang w:val="en-US"/>
        </w:rPr>
        <w:t>Member States</w:t>
      </w:r>
      <w:r w:rsidR="00EE03E2" w:rsidRPr="00813D19">
        <w:rPr>
          <w:bCs/>
          <w:lang w:val="en-US"/>
        </w:rPr>
        <w:t>.</w:t>
      </w:r>
    </w:p>
    <w:p w14:paraId="22070C05" w14:textId="5CDD8926" w:rsidR="00F40EDF" w:rsidRPr="00813D19" w:rsidRDefault="00F40EDF" w:rsidP="00FE7540">
      <w:pPr>
        <w:pStyle w:val="Orateurengris"/>
        <w:spacing w:before="120"/>
        <w:ind w:left="709" w:hanging="709"/>
        <w:rPr>
          <w:color w:val="000000" w:themeColor="text1"/>
          <w:lang w:val="en-US"/>
        </w:rPr>
      </w:pPr>
      <w:r w:rsidRPr="00813D19">
        <w:rPr>
          <w:bCs/>
          <w:lang w:val="en-US"/>
        </w:rPr>
        <w:t xml:space="preserve">The </w:t>
      </w:r>
      <w:r w:rsidRPr="00813D19">
        <w:rPr>
          <w:b/>
          <w:bCs/>
          <w:lang w:val="en-US"/>
        </w:rPr>
        <w:t>Secretary</w:t>
      </w:r>
      <w:r w:rsidRPr="00813D19">
        <w:rPr>
          <w:bCs/>
          <w:lang w:val="en-US"/>
        </w:rPr>
        <w:t xml:space="preserve"> </w:t>
      </w:r>
      <w:r w:rsidR="00EE03E2" w:rsidRPr="00813D19">
        <w:rPr>
          <w:bCs/>
          <w:lang w:val="en-US"/>
        </w:rPr>
        <w:t>understood</w:t>
      </w:r>
      <w:r w:rsidRPr="00813D19">
        <w:rPr>
          <w:bCs/>
          <w:lang w:val="en-US"/>
        </w:rPr>
        <w:t xml:space="preserve"> </w:t>
      </w:r>
      <w:r w:rsidR="00EE03E2" w:rsidRPr="00813D19">
        <w:rPr>
          <w:bCs/>
          <w:lang w:val="en-US"/>
        </w:rPr>
        <w:t xml:space="preserve">that </w:t>
      </w:r>
      <w:r w:rsidRPr="00813D19">
        <w:rPr>
          <w:bCs/>
          <w:lang w:val="en-US"/>
        </w:rPr>
        <w:t xml:space="preserve">the idea </w:t>
      </w:r>
      <w:r w:rsidR="00EE03E2" w:rsidRPr="00813D19">
        <w:rPr>
          <w:bCs/>
          <w:lang w:val="en-US"/>
        </w:rPr>
        <w:t xml:space="preserve">was </w:t>
      </w:r>
      <w:r w:rsidRPr="00813D19">
        <w:rPr>
          <w:bCs/>
          <w:lang w:val="en-US"/>
        </w:rPr>
        <w:t>to also recognize the</w:t>
      </w:r>
      <w:r w:rsidR="00EE03E2" w:rsidRPr="00813D19">
        <w:rPr>
          <w:bCs/>
          <w:lang w:val="en-US"/>
        </w:rPr>
        <w:t xml:space="preserve"> contribution of Member States, and suggested ‘</w:t>
      </w:r>
      <w:r w:rsidRPr="00813D19">
        <w:rPr>
          <w:bCs/>
          <w:lang w:val="en-US"/>
        </w:rPr>
        <w:t xml:space="preserve">acknowledging with satisfaction the efforts made by Member States of UNESCO, the Secretariat, and </w:t>
      </w:r>
      <w:r w:rsidR="00EE03E2" w:rsidRPr="00813D19">
        <w:rPr>
          <w:bCs/>
          <w:lang w:val="en-US"/>
        </w:rPr>
        <w:t>non-governmental organizations</w:t>
      </w:r>
      <w:r w:rsidR="00316D6A" w:rsidRPr="00813D19">
        <w:rPr>
          <w:bCs/>
          <w:lang w:val="en-US"/>
        </w:rPr>
        <w:t>’</w:t>
      </w:r>
      <w:r w:rsidR="00EE03E2" w:rsidRPr="00813D19">
        <w:rPr>
          <w:bCs/>
          <w:lang w:val="en-US"/>
        </w:rPr>
        <w:t>.</w:t>
      </w:r>
    </w:p>
    <w:p w14:paraId="4DE38E81" w14:textId="741E0857" w:rsidR="00F40EDF" w:rsidRPr="00813D19" w:rsidRDefault="00F40EDF" w:rsidP="00FE7540">
      <w:pPr>
        <w:pStyle w:val="Orateurengris"/>
        <w:spacing w:before="120"/>
        <w:ind w:left="709" w:hanging="709"/>
        <w:rPr>
          <w:color w:val="000000" w:themeColor="text1"/>
          <w:lang w:val="en-US"/>
        </w:rPr>
      </w:pPr>
      <w:r w:rsidRPr="00813D19">
        <w:rPr>
          <w:bCs/>
          <w:lang w:val="en-US"/>
        </w:rPr>
        <w:t xml:space="preserve">The </w:t>
      </w:r>
      <w:r w:rsidRPr="00813D19">
        <w:rPr>
          <w:b/>
          <w:bCs/>
          <w:lang w:val="en-US"/>
        </w:rPr>
        <w:t>delegation of Colombia</w:t>
      </w:r>
      <w:r w:rsidRPr="00813D19">
        <w:rPr>
          <w:bCs/>
          <w:lang w:val="en-US"/>
        </w:rPr>
        <w:t xml:space="preserve"> </w:t>
      </w:r>
      <w:r w:rsidR="0064614E" w:rsidRPr="00813D19">
        <w:rPr>
          <w:bCs/>
          <w:lang w:val="en-US"/>
        </w:rPr>
        <w:t xml:space="preserve">supported </w:t>
      </w:r>
      <w:r w:rsidR="0064614E" w:rsidRPr="00813D19">
        <w:rPr>
          <w:lang w:val="en-US"/>
        </w:rPr>
        <w:t>includ</w:t>
      </w:r>
      <w:r w:rsidR="006C5377">
        <w:rPr>
          <w:lang w:val="en-US"/>
        </w:rPr>
        <w:t>ing</w:t>
      </w:r>
      <w:r w:rsidRPr="00813D19">
        <w:rPr>
          <w:lang w:val="en-US"/>
        </w:rPr>
        <w:t xml:space="preserve"> NGOs</w:t>
      </w:r>
      <w:r w:rsidR="0064614E" w:rsidRPr="00813D19">
        <w:rPr>
          <w:lang w:val="en-US"/>
        </w:rPr>
        <w:t xml:space="preserve">, as well as </w:t>
      </w:r>
      <w:r w:rsidRPr="00813D19">
        <w:rPr>
          <w:lang w:val="en-US"/>
        </w:rPr>
        <w:t>other interested parties or stakeholders</w:t>
      </w:r>
      <w:r w:rsidR="0064614E" w:rsidRPr="00813D19">
        <w:rPr>
          <w:lang w:val="en-US"/>
        </w:rPr>
        <w:t>,</w:t>
      </w:r>
      <w:r w:rsidRPr="00813D19">
        <w:rPr>
          <w:lang w:val="en-US"/>
        </w:rPr>
        <w:t xml:space="preserve"> which </w:t>
      </w:r>
      <w:r w:rsidR="0064614E" w:rsidRPr="00813D19">
        <w:rPr>
          <w:lang w:val="en-US"/>
        </w:rPr>
        <w:t xml:space="preserve">implied </w:t>
      </w:r>
      <w:r w:rsidRPr="00813D19">
        <w:rPr>
          <w:lang w:val="en-US"/>
        </w:rPr>
        <w:t>other civil society organizati</w:t>
      </w:r>
      <w:r w:rsidR="0064614E" w:rsidRPr="00813D19">
        <w:rPr>
          <w:lang w:val="en-US"/>
        </w:rPr>
        <w:t>ons and interested associa</w:t>
      </w:r>
      <w:r w:rsidR="0047370D">
        <w:rPr>
          <w:lang w:val="en-US"/>
        </w:rPr>
        <w:t>tions, which was duly included.</w:t>
      </w:r>
    </w:p>
    <w:p w14:paraId="219BC006" w14:textId="54D2F8B3" w:rsidR="00ED79F4" w:rsidRPr="00813D19" w:rsidRDefault="0064614E" w:rsidP="00680F7C">
      <w:pPr>
        <w:pStyle w:val="Orateurengris"/>
        <w:spacing w:before="120"/>
        <w:ind w:left="709" w:hanging="709"/>
        <w:rPr>
          <w:color w:val="000000" w:themeColor="text1"/>
          <w:lang w:val="en-US"/>
        </w:rPr>
      </w:pPr>
      <w:r w:rsidRPr="00813D19">
        <w:rPr>
          <w:color w:val="000000" w:themeColor="text1"/>
          <w:lang w:val="en-US"/>
        </w:rPr>
        <w:t>With no further comments, t</w:t>
      </w:r>
      <w:r w:rsidR="00ED79F4" w:rsidRPr="00813D19">
        <w:rPr>
          <w:color w:val="000000" w:themeColor="text1"/>
          <w:lang w:val="en-US"/>
        </w:rPr>
        <w:t>he</w:t>
      </w:r>
      <w:r w:rsidR="00ED79F4" w:rsidRPr="00813D19">
        <w:rPr>
          <w:b/>
          <w:color w:val="000000" w:themeColor="text1"/>
          <w:lang w:val="en-US"/>
        </w:rPr>
        <w:t xml:space="preserve"> Chairperson declared Decision 13.COM 20 adopted</w:t>
      </w:r>
      <w:r w:rsidR="00ED79F4" w:rsidRPr="0047370D">
        <w:rPr>
          <w:bCs/>
          <w:color w:val="000000" w:themeColor="text1"/>
          <w:lang w:val="en-US"/>
        </w:rPr>
        <w:t>.</w:t>
      </w:r>
    </w:p>
    <w:p w14:paraId="3C9BCB9C" w14:textId="53DAC97E" w:rsidR="0064614E" w:rsidRPr="00813D19" w:rsidRDefault="007B46D8" w:rsidP="00680F7C">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Senegal </w:t>
      </w:r>
      <w:r w:rsidR="00531523" w:rsidRPr="00813D19">
        <w:rPr>
          <w:color w:val="000000" w:themeColor="text1"/>
          <w:lang w:val="en-US"/>
        </w:rPr>
        <w:t xml:space="preserve">took the </w:t>
      </w:r>
      <w:r w:rsidR="0064614E" w:rsidRPr="00813D19">
        <w:rPr>
          <w:color w:val="000000" w:themeColor="text1"/>
          <w:lang w:val="en-US"/>
        </w:rPr>
        <w:t xml:space="preserve">opportunity </w:t>
      </w:r>
      <w:r w:rsidR="00531523" w:rsidRPr="00813D19">
        <w:rPr>
          <w:color w:val="000000" w:themeColor="text1"/>
          <w:lang w:val="en-US"/>
        </w:rPr>
        <w:t>to inform the Committee of the forthcoming opening</w:t>
      </w:r>
      <w:r w:rsidR="0064614E" w:rsidRPr="00813D19">
        <w:rPr>
          <w:color w:val="000000" w:themeColor="text1"/>
          <w:lang w:val="en-US"/>
        </w:rPr>
        <w:t xml:space="preserve"> of the Museum of Black Civilizations </w:t>
      </w:r>
      <w:r w:rsidR="00531523" w:rsidRPr="00813D19">
        <w:rPr>
          <w:color w:val="000000" w:themeColor="text1"/>
          <w:lang w:val="en-US"/>
        </w:rPr>
        <w:t>on 6 December 201</w:t>
      </w:r>
      <w:r w:rsidR="00F36C4A">
        <w:rPr>
          <w:color w:val="000000" w:themeColor="text1"/>
          <w:lang w:val="en-US"/>
        </w:rPr>
        <w:t>9</w:t>
      </w:r>
      <w:r w:rsidR="00531523" w:rsidRPr="00813D19">
        <w:rPr>
          <w:color w:val="000000" w:themeColor="text1"/>
          <w:lang w:val="en-US"/>
        </w:rPr>
        <w:t xml:space="preserve"> </w:t>
      </w:r>
      <w:r w:rsidR="0064614E" w:rsidRPr="00813D19">
        <w:rPr>
          <w:color w:val="000000" w:themeColor="text1"/>
          <w:lang w:val="en-US"/>
        </w:rPr>
        <w:t xml:space="preserve">in Dakar. The </w:t>
      </w:r>
      <w:r w:rsidR="00531523" w:rsidRPr="00813D19">
        <w:rPr>
          <w:color w:val="000000" w:themeColor="text1"/>
          <w:lang w:val="en-US"/>
        </w:rPr>
        <w:t xml:space="preserve">museum  emanated from the </w:t>
      </w:r>
      <w:r w:rsidR="0064614E" w:rsidRPr="00813D19">
        <w:rPr>
          <w:color w:val="000000" w:themeColor="text1"/>
          <w:lang w:val="en-US"/>
        </w:rPr>
        <w:t>World Festival of Negro Arts</w:t>
      </w:r>
      <w:r w:rsidR="00531523" w:rsidRPr="00813D19">
        <w:rPr>
          <w:color w:val="000000" w:themeColor="text1"/>
          <w:lang w:val="en-US"/>
        </w:rPr>
        <w:t xml:space="preserve"> in 1966</w:t>
      </w:r>
      <w:r w:rsidR="0064614E" w:rsidRPr="00813D19">
        <w:rPr>
          <w:color w:val="000000" w:themeColor="text1"/>
          <w:lang w:val="en-US"/>
        </w:rPr>
        <w:t xml:space="preserve">, which </w:t>
      </w:r>
      <w:r w:rsidR="00531523" w:rsidRPr="00813D19">
        <w:rPr>
          <w:color w:val="000000" w:themeColor="text1"/>
          <w:lang w:val="en-US"/>
        </w:rPr>
        <w:t xml:space="preserve">had </w:t>
      </w:r>
      <w:r w:rsidR="0064614E" w:rsidRPr="00813D19">
        <w:rPr>
          <w:color w:val="000000" w:themeColor="text1"/>
          <w:lang w:val="en-US"/>
        </w:rPr>
        <w:t xml:space="preserve">decided to </w:t>
      </w:r>
      <w:r w:rsidR="00531523" w:rsidRPr="00813D19">
        <w:rPr>
          <w:color w:val="000000" w:themeColor="text1"/>
          <w:lang w:val="en-US"/>
        </w:rPr>
        <w:t xml:space="preserve">establish </w:t>
      </w:r>
      <w:r w:rsidR="0064614E" w:rsidRPr="00813D19">
        <w:rPr>
          <w:color w:val="000000" w:themeColor="text1"/>
          <w:lang w:val="en-US"/>
        </w:rPr>
        <w:t>a Museum of Black Civilizations</w:t>
      </w:r>
      <w:r w:rsidR="00316D6A" w:rsidRPr="00813D19">
        <w:rPr>
          <w:color w:val="000000" w:themeColor="text1"/>
          <w:lang w:val="en-US"/>
        </w:rPr>
        <w:t xml:space="preserve"> in the future</w:t>
      </w:r>
      <w:r w:rsidR="0064614E" w:rsidRPr="00813D19">
        <w:rPr>
          <w:color w:val="000000" w:themeColor="text1"/>
          <w:lang w:val="en-US"/>
        </w:rPr>
        <w:t xml:space="preserve">. From 1966 to </w:t>
      </w:r>
      <w:r w:rsidR="004B4BEA" w:rsidRPr="00813D19">
        <w:rPr>
          <w:color w:val="000000" w:themeColor="text1"/>
          <w:lang w:val="en-US"/>
        </w:rPr>
        <w:t>the present</w:t>
      </w:r>
      <w:r w:rsidR="0064614E" w:rsidRPr="00813D19">
        <w:rPr>
          <w:color w:val="000000" w:themeColor="text1"/>
          <w:lang w:val="en-US"/>
        </w:rPr>
        <w:t xml:space="preserve">, this project was in the making and materialized </w:t>
      </w:r>
      <w:r w:rsidR="00531523" w:rsidRPr="00813D19">
        <w:rPr>
          <w:color w:val="000000" w:themeColor="text1"/>
          <w:lang w:val="en-US"/>
        </w:rPr>
        <w:t xml:space="preserve">in the </w:t>
      </w:r>
      <w:r w:rsidR="0064614E" w:rsidRPr="00813D19">
        <w:rPr>
          <w:color w:val="000000" w:themeColor="text1"/>
          <w:lang w:val="en-US"/>
        </w:rPr>
        <w:t xml:space="preserve">inauguration of this great museum, the largest heritage of </w:t>
      </w:r>
      <w:r w:rsidR="00531523" w:rsidRPr="00813D19">
        <w:rPr>
          <w:color w:val="000000" w:themeColor="text1"/>
          <w:lang w:val="en-US"/>
        </w:rPr>
        <w:t xml:space="preserve">its kind in </w:t>
      </w:r>
      <w:r w:rsidR="0064614E" w:rsidRPr="00813D19">
        <w:rPr>
          <w:color w:val="000000" w:themeColor="text1"/>
          <w:lang w:val="en-US"/>
        </w:rPr>
        <w:t xml:space="preserve">sub-Saharan Africa. </w:t>
      </w:r>
      <w:r w:rsidR="00531523" w:rsidRPr="00813D19">
        <w:rPr>
          <w:color w:val="000000" w:themeColor="text1"/>
          <w:lang w:val="en-US"/>
        </w:rPr>
        <w:t>Senegal therefore wished to invite all UNESCO Member States</w:t>
      </w:r>
      <w:r w:rsidR="0064614E" w:rsidRPr="00813D19">
        <w:rPr>
          <w:color w:val="000000" w:themeColor="text1"/>
          <w:lang w:val="en-US"/>
        </w:rPr>
        <w:t xml:space="preserve">, </w:t>
      </w:r>
      <w:r w:rsidR="00531523" w:rsidRPr="00813D19">
        <w:rPr>
          <w:color w:val="000000" w:themeColor="text1"/>
          <w:lang w:val="en-US"/>
        </w:rPr>
        <w:t xml:space="preserve">Observers and </w:t>
      </w:r>
      <w:r w:rsidR="0064614E" w:rsidRPr="00813D19">
        <w:rPr>
          <w:color w:val="000000" w:themeColor="text1"/>
          <w:lang w:val="en-US"/>
        </w:rPr>
        <w:t xml:space="preserve">NGOs to join </w:t>
      </w:r>
      <w:r w:rsidR="00531523" w:rsidRPr="00813D19">
        <w:rPr>
          <w:color w:val="000000" w:themeColor="text1"/>
          <w:lang w:val="en-US"/>
        </w:rPr>
        <w:t xml:space="preserve">in </w:t>
      </w:r>
      <w:r w:rsidR="0064614E" w:rsidRPr="00813D19">
        <w:rPr>
          <w:color w:val="000000" w:themeColor="text1"/>
          <w:lang w:val="en-US"/>
        </w:rPr>
        <w:t>this great celebration.</w:t>
      </w:r>
      <w:r w:rsidR="004B4BEA" w:rsidRPr="00813D19">
        <w:rPr>
          <w:color w:val="000000" w:themeColor="text1"/>
          <w:lang w:val="en-US"/>
        </w:rPr>
        <w:t xml:space="preserve"> It also wished to thank all those who had contributed to its realization. UNESCO had played an extremely important, historical role in the construction of this museum, and had also accompanied Senegal towards the end of the process</w:t>
      </w:r>
      <w:r w:rsidR="00316D6A" w:rsidRPr="00813D19">
        <w:rPr>
          <w:color w:val="000000" w:themeColor="text1"/>
          <w:lang w:val="en-US"/>
        </w:rPr>
        <w:t>,</w:t>
      </w:r>
      <w:r w:rsidR="004B4BEA" w:rsidRPr="00813D19">
        <w:rPr>
          <w:color w:val="000000" w:themeColor="text1"/>
          <w:lang w:val="en-US"/>
        </w:rPr>
        <w:t xml:space="preserve"> and had just returned archives in this regard. The delegation also thanked the Assistant Director-General of Culture</w:t>
      </w:r>
      <w:r w:rsidR="0077575B">
        <w:rPr>
          <w:color w:val="000000" w:themeColor="text1"/>
          <w:lang w:val="en-US"/>
        </w:rPr>
        <w:t>,</w:t>
      </w:r>
      <w:r w:rsidR="004B4BEA" w:rsidRPr="00813D19">
        <w:rPr>
          <w:color w:val="000000" w:themeColor="text1"/>
          <w:lang w:val="en-US"/>
        </w:rPr>
        <w:t xml:space="preserve"> who was present. It thanked China for its partnership that fully financed the construction of the museum for a sum of 20 million euros, plus 2 million euros for museum equipment. Other countries </w:t>
      </w:r>
      <w:r w:rsidR="0077575B">
        <w:rPr>
          <w:color w:val="000000" w:themeColor="text1"/>
          <w:lang w:val="en-US"/>
        </w:rPr>
        <w:t xml:space="preserve">had </w:t>
      </w:r>
      <w:r w:rsidR="004B4BEA" w:rsidRPr="00813D19">
        <w:rPr>
          <w:color w:val="000000" w:themeColor="text1"/>
          <w:lang w:val="en-US"/>
        </w:rPr>
        <w:t xml:space="preserve">also contributed, for example Egypt </w:t>
      </w:r>
      <w:r w:rsidR="0077575B">
        <w:rPr>
          <w:color w:val="000000" w:themeColor="text1"/>
          <w:lang w:val="en-US"/>
        </w:rPr>
        <w:t xml:space="preserve">had </w:t>
      </w:r>
      <w:r w:rsidR="004B4BEA" w:rsidRPr="00813D19">
        <w:rPr>
          <w:color w:val="000000" w:themeColor="text1"/>
          <w:lang w:val="en-US"/>
        </w:rPr>
        <w:t xml:space="preserve">made </w:t>
      </w:r>
      <w:r w:rsidR="0077575B">
        <w:rPr>
          <w:color w:val="000000" w:themeColor="text1"/>
          <w:lang w:val="en-US"/>
        </w:rPr>
        <w:t>twenty-three</w:t>
      </w:r>
      <w:r w:rsidR="0077575B" w:rsidRPr="00813D19">
        <w:rPr>
          <w:color w:val="000000" w:themeColor="text1"/>
          <w:lang w:val="en-US"/>
        </w:rPr>
        <w:t xml:space="preserve"> </w:t>
      </w:r>
      <w:r w:rsidR="004B4BEA" w:rsidRPr="00813D19">
        <w:rPr>
          <w:color w:val="000000" w:themeColor="text1"/>
          <w:lang w:val="en-US"/>
        </w:rPr>
        <w:t xml:space="preserve">museum pieces available, Chad </w:t>
      </w:r>
      <w:r w:rsidR="0077575B">
        <w:rPr>
          <w:color w:val="000000" w:themeColor="text1"/>
          <w:lang w:val="en-US"/>
        </w:rPr>
        <w:t xml:space="preserve">had </w:t>
      </w:r>
      <w:r w:rsidR="004B4BEA" w:rsidRPr="00813D19">
        <w:rPr>
          <w:color w:val="000000" w:themeColor="text1"/>
          <w:lang w:val="en-US"/>
        </w:rPr>
        <w:t xml:space="preserve">agreed to donate the original </w:t>
      </w:r>
      <w:r w:rsidR="00386045" w:rsidRPr="00813D19">
        <w:rPr>
          <w:color w:val="000000" w:themeColor="text1"/>
          <w:lang w:val="en-US"/>
        </w:rPr>
        <w:t>Toumai skull, as well as other countries, such as South Africa,</w:t>
      </w:r>
      <w:r w:rsidR="004B4BEA" w:rsidRPr="00813D19">
        <w:rPr>
          <w:color w:val="000000" w:themeColor="text1"/>
          <w:lang w:val="en-US"/>
        </w:rPr>
        <w:t xml:space="preserve"> </w:t>
      </w:r>
      <w:r w:rsidR="00386045" w:rsidRPr="00813D19">
        <w:rPr>
          <w:color w:val="000000" w:themeColor="text1"/>
          <w:lang w:val="en-US"/>
        </w:rPr>
        <w:t>Cuba,</w:t>
      </w:r>
      <w:r w:rsidR="004B4BEA" w:rsidRPr="00813D19">
        <w:rPr>
          <w:color w:val="000000" w:themeColor="text1"/>
          <w:lang w:val="en-US"/>
        </w:rPr>
        <w:t xml:space="preserve"> Kenya, Benin, Zimbabwe, Mali, the United States of Africa, the African Union, </w:t>
      </w:r>
      <w:r w:rsidR="00386045" w:rsidRPr="00813D19">
        <w:rPr>
          <w:color w:val="000000" w:themeColor="text1"/>
          <w:lang w:val="en-US"/>
        </w:rPr>
        <w:t xml:space="preserve">ECOWAS, </w:t>
      </w:r>
      <w:r w:rsidR="004B4BEA" w:rsidRPr="00813D19">
        <w:rPr>
          <w:color w:val="000000" w:themeColor="text1"/>
          <w:lang w:val="en-US"/>
        </w:rPr>
        <w:t xml:space="preserve">Comoros, and </w:t>
      </w:r>
      <w:r w:rsidR="00316D6A" w:rsidRPr="00813D19">
        <w:rPr>
          <w:color w:val="000000" w:themeColor="text1"/>
          <w:lang w:val="en-US"/>
        </w:rPr>
        <w:t>Mauritius</w:t>
      </w:r>
      <w:r w:rsidR="0077575B">
        <w:rPr>
          <w:color w:val="000000" w:themeColor="text1"/>
          <w:lang w:val="en-US"/>
        </w:rPr>
        <w:t>,</w:t>
      </w:r>
      <w:r w:rsidR="00316D6A" w:rsidRPr="00813D19">
        <w:rPr>
          <w:color w:val="000000" w:themeColor="text1"/>
          <w:lang w:val="en-US"/>
        </w:rPr>
        <w:t xml:space="preserve"> </w:t>
      </w:r>
      <w:r w:rsidR="0077575B">
        <w:rPr>
          <w:color w:val="000000" w:themeColor="text1"/>
          <w:lang w:val="en-US"/>
        </w:rPr>
        <w:t>which</w:t>
      </w:r>
      <w:r w:rsidR="0077575B" w:rsidRPr="00813D19">
        <w:rPr>
          <w:color w:val="000000" w:themeColor="text1"/>
          <w:lang w:val="en-US"/>
        </w:rPr>
        <w:t xml:space="preserve"> </w:t>
      </w:r>
      <w:r w:rsidR="00316D6A" w:rsidRPr="00813D19">
        <w:rPr>
          <w:color w:val="000000" w:themeColor="text1"/>
          <w:lang w:val="en-US"/>
        </w:rPr>
        <w:t>was unfortu</w:t>
      </w:r>
      <w:r w:rsidR="00386045" w:rsidRPr="00813D19">
        <w:rPr>
          <w:color w:val="000000" w:themeColor="text1"/>
          <w:lang w:val="en-US"/>
        </w:rPr>
        <w:t>n</w:t>
      </w:r>
      <w:r w:rsidR="00316D6A" w:rsidRPr="00813D19">
        <w:rPr>
          <w:color w:val="000000" w:themeColor="text1"/>
          <w:lang w:val="en-US"/>
        </w:rPr>
        <w:t>atel</w:t>
      </w:r>
      <w:r w:rsidR="00386045" w:rsidRPr="00813D19">
        <w:rPr>
          <w:color w:val="000000" w:themeColor="text1"/>
          <w:lang w:val="en-US"/>
        </w:rPr>
        <w:t>y unable to attend</w:t>
      </w:r>
      <w:r w:rsidR="004B4BEA" w:rsidRPr="00813D19">
        <w:rPr>
          <w:color w:val="000000" w:themeColor="text1"/>
          <w:lang w:val="en-US"/>
        </w:rPr>
        <w:t xml:space="preserve">. </w:t>
      </w:r>
      <w:r w:rsidR="00386045" w:rsidRPr="00813D19">
        <w:rPr>
          <w:color w:val="000000" w:themeColor="text1"/>
          <w:lang w:val="en-US"/>
        </w:rPr>
        <w:t>The delegation thus invited everyone to Daka</w:t>
      </w:r>
      <w:r w:rsidR="00316D6A" w:rsidRPr="00813D19">
        <w:rPr>
          <w:color w:val="000000" w:themeColor="text1"/>
          <w:lang w:val="en-US"/>
        </w:rPr>
        <w:t>r</w:t>
      </w:r>
      <w:r w:rsidR="00386045" w:rsidRPr="00813D19">
        <w:rPr>
          <w:color w:val="000000" w:themeColor="text1"/>
          <w:lang w:val="en-US"/>
        </w:rPr>
        <w:t xml:space="preserve"> on 6 </w:t>
      </w:r>
      <w:r w:rsidR="004B4BEA" w:rsidRPr="00813D19">
        <w:rPr>
          <w:color w:val="000000" w:themeColor="text1"/>
          <w:lang w:val="en-US"/>
        </w:rPr>
        <w:t xml:space="preserve">December </w:t>
      </w:r>
      <w:r w:rsidR="00386045" w:rsidRPr="00813D19">
        <w:rPr>
          <w:color w:val="000000" w:themeColor="text1"/>
          <w:lang w:val="en-US"/>
        </w:rPr>
        <w:t xml:space="preserve"> 2019, adding that this </w:t>
      </w:r>
      <w:r w:rsidR="004B4BEA" w:rsidRPr="00813D19">
        <w:rPr>
          <w:color w:val="000000" w:themeColor="text1"/>
          <w:lang w:val="en-US"/>
        </w:rPr>
        <w:t xml:space="preserve">museum </w:t>
      </w:r>
      <w:r w:rsidR="00386045" w:rsidRPr="00813D19">
        <w:rPr>
          <w:color w:val="000000" w:themeColor="text1"/>
          <w:lang w:val="en-US"/>
        </w:rPr>
        <w:t>did not bel</w:t>
      </w:r>
      <w:r w:rsidR="00316D6A" w:rsidRPr="00813D19">
        <w:rPr>
          <w:color w:val="000000" w:themeColor="text1"/>
          <w:lang w:val="en-US"/>
        </w:rPr>
        <w:t>o</w:t>
      </w:r>
      <w:r w:rsidR="00386045" w:rsidRPr="00813D19">
        <w:rPr>
          <w:color w:val="000000" w:themeColor="text1"/>
          <w:lang w:val="en-US"/>
        </w:rPr>
        <w:t xml:space="preserve">ng to </w:t>
      </w:r>
      <w:r w:rsidR="00316D6A" w:rsidRPr="00813D19">
        <w:rPr>
          <w:color w:val="000000" w:themeColor="text1"/>
          <w:lang w:val="en-US"/>
        </w:rPr>
        <w:t>Senegal</w:t>
      </w:r>
      <w:r w:rsidR="004B4BEA" w:rsidRPr="00813D19">
        <w:rPr>
          <w:color w:val="000000" w:themeColor="text1"/>
          <w:lang w:val="en-US"/>
        </w:rPr>
        <w:t xml:space="preserve"> </w:t>
      </w:r>
      <w:r w:rsidR="00386045" w:rsidRPr="00813D19">
        <w:rPr>
          <w:color w:val="000000" w:themeColor="text1"/>
          <w:lang w:val="en-US"/>
        </w:rPr>
        <w:t xml:space="preserve">or </w:t>
      </w:r>
      <w:r w:rsidR="004B4BEA" w:rsidRPr="00813D19">
        <w:rPr>
          <w:color w:val="000000" w:themeColor="text1"/>
          <w:lang w:val="en-US"/>
        </w:rPr>
        <w:t xml:space="preserve">Africa and its diaspora, but </w:t>
      </w:r>
      <w:r w:rsidR="00386045" w:rsidRPr="00813D19">
        <w:rPr>
          <w:color w:val="000000" w:themeColor="text1"/>
          <w:lang w:val="en-US"/>
        </w:rPr>
        <w:t xml:space="preserve">that it was </w:t>
      </w:r>
      <w:r w:rsidR="004B4BEA" w:rsidRPr="00813D19">
        <w:rPr>
          <w:color w:val="000000" w:themeColor="text1"/>
          <w:lang w:val="en-US"/>
        </w:rPr>
        <w:t xml:space="preserve">a museum with global </w:t>
      </w:r>
      <w:r w:rsidR="00386045" w:rsidRPr="00813D19">
        <w:rPr>
          <w:color w:val="000000" w:themeColor="text1"/>
          <w:lang w:val="en-US"/>
        </w:rPr>
        <w:t>character and reach</w:t>
      </w:r>
      <w:r w:rsidR="004B4BEA" w:rsidRPr="00813D19">
        <w:rPr>
          <w:color w:val="000000" w:themeColor="text1"/>
          <w:lang w:val="en-US"/>
        </w:rPr>
        <w:t xml:space="preserve">, open to all civilizations in </w:t>
      </w:r>
      <w:r w:rsidR="00386045" w:rsidRPr="00813D19">
        <w:rPr>
          <w:color w:val="000000" w:themeColor="text1"/>
          <w:lang w:val="en-US"/>
        </w:rPr>
        <w:t xml:space="preserve">the </w:t>
      </w:r>
      <w:r w:rsidR="004B4BEA" w:rsidRPr="00813D19">
        <w:rPr>
          <w:color w:val="000000" w:themeColor="text1"/>
          <w:lang w:val="en-US"/>
        </w:rPr>
        <w:t xml:space="preserve">context </w:t>
      </w:r>
      <w:r w:rsidR="00386045" w:rsidRPr="00813D19">
        <w:rPr>
          <w:color w:val="000000" w:themeColor="text1"/>
          <w:lang w:val="en-US"/>
        </w:rPr>
        <w:t xml:space="preserve">of the </w:t>
      </w:r>
      <w:r w:rsidR="004B4BEA" w:rsidRPr="00813D19">
        <w:rPr>
          <w:color w:val="000000" w:themeColor="text1"/>
          <w:lang w:val="en-US"/>
        </w:rPr>
        <w:t xml:space="preserve">restitution </w:t>
      </w:r>
      <w:r w:rsidR="00386045" w:rsidRPr="00813D19">
        <w:rPr>
          <w:color w:val="000000" w:themeColor="text1"/>
          <w:lang w:val="en-US"/>
        </w:rPr>
        <w:t xml:space="preserve">and return </w:t>
      </w:r>
      <w:r w:rsidR="004B4BEA" w:rsidRPr="00813D19">
        <w:rPr>
          <w:color w:val="000000" w:themeColor="text1"/>
          <w:lang w:val="en-US"/>
        </w:rPr>
        <w:t xml:space="preserve">of cultural property </w:t>
      </w:r>
      <w:r w:rsidR="00386045" w:rsidRPr="00813D19">
        <w:rPr>
          <w:color w:val="000000" w:themeColor="text1"/>
          <w:lang w:val="en-US"/>
        </w:rPr>
        <w:t xml:space="preserve">to </w:t>
      </w:r>
      <w:r w:rsidR="004B4BEA" w:rsidRPr="00813D19">
        <w:rPr>
          <w:color w:val="000000" w:themeColor="text1"/>
          <w:lang w:val="en-US"/>
        </w:rPr>
        <w:t>Africa.</w:t>
      </w:r>
    </w:p>
    <w:p w14:paraId="7893D283" w14:textId="7D277E05" w:rsidR="00386045" w:rsidRPr="00813D19" w:rsidRDefault="00386045" w:rsidP="009E019C">
      <w:pPr>
        <w:pStyle w:val="Orateurengris"/>
        <w:spacing w:after="0"/>
        <w:ind w:left="709" w:hanging="709"/>
        <w:rPr>
          <w:color w:val="000000" w:themeColor="text1"/>
          <w:lang w:val="en-US"/>
        </w:rPr>
      </w:pPr>
      <w:r w:rsidRPr="00813D19">
        <w:rPr>
          <w:color w:val="000000" w:themeColor="text1"/>
          <w:lang w:val="en-US"/>
        </w:rPr>
        <w:t xml:space="preserve">The </w:t>
      </w:r>
      <w:r w:rsidRPr="00813D19">
        <w:rPr>
          <w:b/>
          <w:color w:val="000000" w:themeColor="text1"/>
          <w:lang w:val="en-US"/>
        </w:rPr>
        <w:t>Chairperson</w:t>
      </w:r>
      <w:r w:rsidRPr="00813D19">
        <w:rPr>
          <w:color w:val="000000" w:themeColor="text1"/>
          <w:lang w:val="en-US"/>
        </w:rPr>
        <w:t xml:space="preserve"> congratulate</w:t>
      </w:r>
      <w:r w:rsidR="00316D6A" w:rsidRPr="00813D19">
        <w:rPr>
          <w:color w:val="000000" w:themeColor="text1"/>
          <w:lang w:val="en-US"/>
        </w:rPr>
        <w:t>d</w:t>
      </w:r>
      <w:r w:rsidRPr="00813D19">
        <w:rPr>
          <w:color w:val="000000" w:themeColor="text1"/>
          <w:lang w:val="en-US"/>
        </w:rPr>
        <w:t xml:space="preserve"> Senegal </w:t>
      </w:r>
      <w:r w:rsidRPr="00813D19">
        <w:rPr>
          <w:lang w:val="en-US"/>
        </w:rPr>
        <w:t xml:space="preserve">on its new museum, adding how delightful it was to hear that this project had been finalized with the help of several countries. With regard to Mauritius, it was only a postponement and the Chairperson </w:t>
      </w:r>
      <w:r w:rsidR="0077575B" w:rsidRPr="00813D19">
        <w:rPr>
          <w:lang w:val="en-US"/>
        </w:rPr>
        <w:t>w</w:t>
      </w:r>
      <w:r w:rsidR="0077575B">
        <w:rPr>
          <w:lang w:val="en-US"/>
        </w:rPr>
        <w:t>ould be</w:t>
      </w:r>
      <w:r w:rsidR="0077575B" w:rsidRPr="00813D19">
        <w:rPr>
          <w:lang w:val="en-US"/>
        </w:rPr>
        <w:t xml:space="preserve"> </w:t>
      </w:r>
      <w:r w:rsidRPr="00813D19">
        <w:rPr>
          <w:lang w:val="en-US"/>
        </w:rPr>
        <w:t xml:space="preserve">sure to visit </w:t>
      </w:r>
      <w:r w:rsidR="00316D6A" w:rsidRPr="00813D19">
        <w:rPr>
          <w:lang w:val="en-US"/>
        </w:rPr>
        <w:t>and</w:t>
      </w:r>
      <w:r w:rsidRPr="00813D19">
        <w:rPr>
          <w:lang w:val="en-US"/>
        </w:rPr>
        <w:t xml:space="preserve"> honour the invitation in the very near future.</w:t>
      </w:r>
    </w:p>
    <w:p w14:paraId="17A8AC0C" w14:textId="6B1D5059" w:rsidR="00C04FA4" w:rsidRPr="00813D19" w:rsidRDefault="0047370D" w:rsidP="0047370D">
      <w:pPr>
        <w:pStyle w:val="Orateurengris"/>
        <w:keepNext/>
        <w:numPr>
          <w:ilvl w:val="0"/>
          <w:numId w:val="0"/>
        </w:numPr>
        <w:spacing w:before="360" w:after="60"/>
        <w:outlineLvl w:val="0"/>
        <w:rPr>
          <w:b/>
          <w:color w:val="000000" w:themeColor="text1"/>
          <w:u w:val="single"/>
          <w:lang w:val="en-US"/>
        </w:rPr>
      </w:pPr>
      <w:r>
        <w:rPr>
          <w:b/>
          <w:color w:val="000000" w:themeColor="text1"/>
          <w:u w:val="single"/>
          <w:lang w:val="en-US"/>
        </w:rPr>
        <w:t>ITEM 21 OF THE AGENDA</w:t>
      </w:r>
    </w:p>
    <w:p w14:paraId="3CDCFCE2" w14:textId="0C9CC994" w:rsidR="00C04FA4" w:rsidRPr="00813D19" w:rsidRDefault="00C04FA4" w:rsidP="0047370D">
      <w:pPr>
        <w:pStyle w:val="Orateurengris"/>
        <w:numPr>
          <w:ilvl w:val="0"/>
          <w:numId w:val="0"/>
        </w:numPr>
        <w:spacing w:after="240"/>
        <w:jc w:val="left"/>
        <w:outlineLvl w:val="1"/>
        <w:rPr>
          <w:b/>
          <w:color w:val="000000" w:themeColor="text1"/>
          <w:lang w:val="en-US"/>
        </w:rPr>
      </w:pPr>
      <w:r w:rsidRPr="00813D19">
        <w:rPr>
          <w:b/>
          <w:color w:val="000000" w:themeColor="text1"/>
          <w:lang w:val="en-US"/>
        </w:rPr>
        <w:t>ADOPTION OF THE LIST OF DECISIONS</w:t>
      </w:r>
    </w:p>
    <w:p w14:paraId="04B49F62" w14:textId="0878EB1C" w:rsidR="0077575B" w:rsidRPr="0047370D" w:rsidRDefault="009C70FA" w:rsidP="007B2D60">
      <w:pPr>
        <w:pStyle w:val="Orateurengris"/>
        <w:spacing w:after="0"/>
        <w:ind w:left="709" w:hanging="709"/>
        <w:rPr>
          <w:bCs/>
          <w:color w:val="000000" w:themeColor="text1"/>
          <w:lang w:val="en-US"/>
        </w:rPr>
      </w:pPr>
      <w:r w:rsidRPr="0047370D">
        <w:rPr>
          <w:lang w:val="en-US"/>
        </w:rPr>
        <w:t xml:space="preserve">The </w:t>
      </w:r>
      <w:r w:rsidR="00386045" w:rsidRPr="0047370D">
        <w:rPr>
          <w:b/>
          <w:lang w:val="en-US"/>
        </w:rPr>
        <w:t>Chairperson</w:t>
      </w:r>
      <w:r w:rsidR="00386045" w:rsidRPr="0047370D">
        <w:rPr>
          <w:lang w:val="en-US"/>
        </w:rPr>
        <w:t xml:space="preserve"> remarked that </w:t>
      </w:r>
      <w:r w:rsidR="00316D6A" w:rsidRPr="0047370D">
        <w:rPr>
          <w:lang w:val="en-US"/>
        </w:rPr>
        <w:t xml:space="preserve">the </w:t>
      </w:r>
      <w:r w:rsidRPr="0047370D">
        <w:rPr>
          <w:lang w:val="en-US"/>
        </w:rPr>
        <w:t xml:space="preserve">Committee had now concluded its </w:t>
      </w:r>
      <w:r w:rsidR="00CC3449" w:rsidRPr="0047370D">
        <w:rPr>
          <w:lang w:val="en-US"/>
        </w:rPr>
        <w:t xml:space="preserve">intensive and highly productive week of work. </w:t>
      </w:r>
      <w:r w:rsidR="00386045" w:rsidRPr="0047370D">
        <w:rPr>
          <w:lang w:val="en-US"/>
        </w:rPr>
        <w:t xml:space="preserve">He </w:t>
      </w:r>
      <w:r w:rsidR="00CC3449" w:rsidRPr="0047370D">
        <w:rPr>
          <w:lang w:val="en-US"/>
        </w:rPr>
        <w:t>thank</w:t>
      </w:r>
      <w:r w:rsidRPr="0047370D">
        <w:rPr>
          <w:lang w:val="en-US"/>
        </w:rPr>
        <w:t>ed</w:t>
      </w:r>
      <w:r w:rsidR="00CC3449" w:rsidRPr="0047370D">
        <w:rPr>
          <w:lang w:val="en-US"/>
        </w:rPr>
        <w:t xml:space="preserve"> </w:t>
      </w:r>
      <w:r w:rsidRPr="0047370D">
        <w:rPr>
          <w:lang w:val="en-US"/>
        </w:rPr>
        <w:t xml:space="preserve">everyone </w:t>
      </w:r>
      <w:r w:rsidR="00CC3449" w:rsidRPr="0047370D">
        <w:rPr>
          <w:lang w:val="en-US"/>
        </w:rPr>
        <w:t xml:space="preserve">for </w:t>
      </w:r>
      <w:r w:rsidRPr="0047370D">
        <w:rPr>
          <w:lang w:val="en-US"/>
        </w:rPr>
        <w:t xml:space="preserve">their </w:t>
      </w:r>
      <w:r w:rsidR="00CC3449" w:rsidRPr="0047370D">
        <w:rPr>
          <w:lang w:val="en-US"/>
        </w:rPr>
        <w:t xml:space="preserve">positive and productive contributions during </w:t>
      </w:r>
      <w:r w:rsidRPr="0047370D">
        <w:rPr>
          <w:lang w:val="en-US"/>
        </w:rPr>
        <w:t>the session</w:t>
      </w:r>
      <w:r w:rsidR="0077575B" w:rsidRPr="0047370D">
        <w:rPr>
          <w:lang w:val="en-US"/>
        </w:rPr>
        <w:t>,</w:t>
      </w:r>
      <w:r w:rsidRPr="0047370D">
        <w:rPr>
          <w:lang w:val="en-US"/>
        </w:rPr>
        <w:t xml:space="preserve"> for their </w:t>
      </w:r>
      <w:r w:rsidR="00CC3449" w:rsidRPr="0047370D">
        <w:rPr>
          <w:lang w:val="en-US"/>
        </w:rPr>
        <w:t xml:space="preserve">tremendous </w:t>
      </w:r>
      <w:r w:rsidR="00316D6A" w:rsidRPr="0047370D">
        <w:rPr>
          <w:lang w:val="en-US"/>
        </w:rPr>
        <w:t xml:space="preserve">achievements, </w:t>
      </w:r>
      <w:r w:rsidR="00CC3449" w:rsidRPr="0047370D">
        <w:rPr>
          <w:lang w:val="en-US"/>
        </w:rPr>
        <w:t xml:space="preserve">enthusiasm and willingness to work together in the spirit of consensus and cooperation. </w:t>
      </w:r>
      <w:r w:rsidRPr="0047370D">
        <w:rPr>
          <w:lang w:val="en-US"/>
        </w:rPr>
        <w:t xml:space="preserve">The </w:t>
      </w:r>
      <w:r w:rsidR="00CC3449" w:rsidRPr="0047370D">
        <w:rPr>
          <w:lang w:val="en-US"/>
        </w:rPr>
        <w:t xml:space="preserve">Chairperson </w:t>
      </w:r>
      <w:r w:rsidRPr="0047370D">
        <w:rPr>
          <w:lang w:val="en-US"/>
        </w:rPr>
        <w:t xml:space="preserve">spoke of his work as </w:t>
      </w:r>
      <w:r w:rsidR="00CC3449" w:rsidRPr="0047370D">
        <w:rPr>
          <w:lang w:val="en-US"/>
        </w:rPr>
        <w:t>fulfilling and rewarding thanks to the commitment shown by Committee Members</w:t>
      </w:r>
      <w:r w:rsidRPr="0047370D">
        <w:rPr>
          <w:lang w:val="en-US"/>
        </w:rPr>
        <w:t>,</w:t>
      </w:r>
      <w:r w:rsidR="00CC3449" w:rsidRPr="0047370D">
        <w:rPr>
          <w:lang w:val="en-US"/>
        </w:rPr>
        <w:t xml:space="preserve"> as well as by all the delegates and representatives present. </w:t>
      </w:r>
      <w:r w:rsidRPr="0047370D">
        <w:rPr>
          <w:lang w:val="en-US"/>
        </w:rPr>
        <w:t>Summarizing</w:t>
      </w:r>
      <w:r w:rsidR="00CC3449" w:rsidRPr="0047370D">
        <w:rPr>
          <w:lang w:val="en-US"/>
        </w:rPr>
        <w:t xml:space="preserve"> the achievements of </w:t>
      </w:r>
      <w:r w:rsidRPr="0047370D">
        <w:rPr>
          <w:lang w:val="en-US"/>
        </w:rPr>
        <w:t xml:space="preserve">the Committee’s work over the last six days, the Chairperson recalled </w:t>
      </w:r>
      <w:r w:rsidR="00FC2ABD" w:rsidRPr="0047370D">
        <w:rPr>
          <w:lang w:val="en-US"/>
        </w:rPr>
        <w:t xml:space="preserve">the </w:t>
      </w:r>
      <w:r w:rsidR="00CC3449" w:rsidRPr="0047370D">
        <w:rPr>
          <w:lang w:val="en-US"/>
        </w:rPr>
        <w:t xml:space="preserve">821 registered participants </w:t>
      </w:r>
      <w:r w:rsidR="00FC2ABD" w:rsidRPr="0047370D">
        <w:rPr>
          <w:lang w:val="en-US"/>
        </w:rPr>
        <w:t xml:space="preserve">who </w:t>
      </w:r>
      <w:r w:rsidR="0077575B" w:rsidRPr="0047370D">
        <w:rPr>
          <w:lang w:val="en-US"/>
        </w:rPr>
        <w:t xml:space="preserve">had </w:t>
      </w:r>
      <w:r w:rsidRPr="0047370D">
        <w:rPr>
          <w:lang w:val="en-US"/>
        </w:rPr>
        <w:t>attended</w:t>
      </w:r>
      <w:r w:rsidR="0077575B" w:rsidRPr="0047370D">
        <w:rPr>
          <w:lang w:val="en-US"/>
        </w:rPr>
        <w:t xml:space="preserve">, </w:t>
      </w:r>
      <w:r w:rsidR="00CC3449" w:rsidRPr="0047370D">
        <w:rPr>
          <w:lang w:val="en-US"/>
        </w:rPr>
        <w:t xml:space="preserve">from 128 different countries. </w:t>
      </w:r>
      <w:r w:rsidR="00FC2ABD" w:rsidRPr="0047370D">
        <w:rPr>
          <w:lang w:val="en-US"/>
        </w:rPr>
        <w:t xml:space="preserve">The Committee </w:t>
      </w:r>
      <w:r w:rsidR="0077575B" w:rsidRPr="0047370D">
        <w:rPr>
          <w:lang w:val="en-US"/>
        </w:rPr>
        <w:t xml:space="preserve">had </w:t>
      </w:r>
      <w:r w:rsidR="00CC3449" w:rsidRPr="0047370D">
        <w:rPr>
          <w:lang w:val="en-US"/>
        </w:rPr>
        <w:t xml:space="preserve">examined </w:t>
      </w:r>
      <w:r w:rsidR="0077575B" w:rsidRPr="0047370D">
        <w:rPr>
          <w:lang w:val="en-US"/>
        </w:rPr>
        <w:t xml:space="preserve">forty-six </w:t>
      </w:r>
      <w:r w:rsidR="00CC3449" w:rsidRPr="0047370D">
        <w:rPr>
          <w:lang w:val="en-US"/>
        </w:rPr>
        <w:t>files nominated for inscription</w:t>
      </w:r>
      <w:r w:rsidR="00FC2ABD" w:rsidRPr="0047370D">
        <w:rPr>
          <w:lang w:val="en-US"/>
        </w:rPr>
        <w:t>,</w:t>
      </w:r>
      <w:r w:rsidR="00CC3449" w:rsidRPr="0047370D">
        <w:rPr>
          <w:lang w:val="en-US"/>
        </w:rPr>
        <w:t xml:space="preserve"> inscribed </w:t>
      </w:r>
      <w:r w:rsidR="00FC2ABD" w:rsidRPr="0047370D">
        <w:rPr>
          <w:lang w:val="en-US"/>
        </w:rPr>
        <w:t xml:space="preserve">seven </w:t>
      </w:r>
      <w:r w:rsidR="00CC3449" w:rsidRPr="0047370D">
        <w:rPr>
          <w:lang w:val="en-US"/>
        </w:rPr>
        <w:t>on the Urgent Safeguarding List</w:t>
      </w:r>
      <w:r w:rsidR="00FC2ABD" w:rsidRPr="0047370D">
        <w:rPr>
          <w:lang w:val="en-US"/>
        </w:rPr>
        <w:t>,</w:t>
      </w:r>
      <w:r w:rsidR="00CC3449" w:rsidRPr="0047370D">
        <w:rPr>
          <w:lang w:val="en-US"/>
        </w:rPr>
        <w:t xml:space="preserve"> and </w:t>
      </w:r>
      <w:r w:rsidR="0077575B" w:rsidRPr="0047370D">
        <w:rPr>
          <w:lang w:val="en-US"/>
        </w:rPr>
        <w:t xml:space="preserve">thirty-one </w:t>
      </w:r>
      <w:r w:rsidR="00CC3449" w:rsidRPr="0047370D">
        <w:rPr>
          <w:lang w:val="en-US"/>
        </w:rPr>
        <w:t xml:space="preserve">on the Representative List. Of course, the traditional Korean wrestling was among the elements added to the Representative List following an unprecedented joint inscription by the Democratic People’s Republic of Korea and the Republic of Korea. </w:t>
      </w:r>
      <w:r w:rsidR="00FC2ABD" w:rsidRPr="0047370D">
        <w:rPr>
          <w:lang w:val="en-US"/>
        </w:rPr>
        <w:t>I</w:t>
      </w:r>
      <w:r w:rsidR="00CC3449" w:rsidRPr="0047370D">
        <w:rPr>
          <w:lang w:val="en-US"/>
        </w:rPr>
        <w:t xml:space="preserve">t was an exceptional moment to witness </w:t>
      </w:r>
      <w:r w:rsidR="00911EF0" w:rsidRPr="0047370D">
        <w:rPr>
          <w:lang w:val="en-US"/>
        </w:rPr>
        <w:t xml:space="preserve">in the presence of </w:t>
      </w:r>
      <w:r w:rsidR="00CC3449" w:rsidRPr="0047370D">
        <w:rPr>
          <w:lang w:val="en-US"/>
        </w:rPr>
        <w:t xml:space="preserve">the Director-General of UNESCO. In addition, </w:t>
      </w:r>
      <w:r w:rsidR="00911EF0" w:rsidRPr="0047370D">
        <w:rPr>
          <w:lang w:val="en-US"/>
        </w:rPr>
        <w:t xml:space="preserve">the Committee </w:t>
      </w:r>
      <w:r w:rsidR="0077575B" w:rsidRPr="0047370D">
        <w:rPr>
          <w:lang w:val="en-US"/>
        </w:rPr>
        <w:t xml:space="preserve">had </w:t>
      </w:r>
      <w:r w:rsidR="00911EF0" w:rsidRPr="0047370D">
        <w:rPr>
          <w:lang w:val="en-US"/>
        </w:rPr>
        <w:t xml:space="preserve">also </w:t>
      </w:r>
      <w:r w:rsidR="00CC3449" w:rsidRPr="0047370D">
        <w:rPr>
          <w:lang w:val="en-US"/>
        </w:rPr>
        <w:t xml:space="preserve">approved one International Assistance request and included one programme on the Register of Good Safeguarding Practices. </w:t>
      </w:r>
      <w:r w:rsidR="00911EF0" w:rsidRPr="0047370D">
        <w:rPr>
          <w:lang w:val="en-US"/>
        </w:rPr>
        <w:t>It</w:t>
      </w:r>
      <w:r w:rsidR="0077575B" w:rsidRPr="0047370D">
        <w:rPr>
          <w:lang w:val="en-US"/>
        </w:rPr>
        <w:t xml:space="preserve"> had</w:t>
      </w:r>
      <w:r w:rsidR="00911EF0" w:rsidRPr="0047370D">
        <w:rPr>
          <w:lang w:val="en-US"/>
        </w:rPr>
        <w:t xml:space="preserve"> </w:t>
      </w:r>
      <w:r w:rsidR="00CC3449" w:rsidRPr="0047370D">
        <w:rPr>
          <w:lang w:val="en-US"/>
        </w:rPr>
        <w:t xml:space="preserve">examined </w:t>
      </w:r>
      <w:r w:rsidR="0077575B" w:rsidRPr="0047370D">
        <w:rPr>
          <w:lang w:val="en-US"/>
        </w:rPr>
        <w:t xml:space="preserve">thirty-two </w:t>
      </w:r>
      <w:r w:rsidR="00CC3449" w:rsidRPr="0047370D">
        <w:rPr>
          <w:lang w:val="en-US"/>
        </w:rPr>
        <w:t xml:space="preserve">periodic reports in addition to </w:t>
      </w:r>
      <w:r w:rsidR="0077575B" w:rsidRPr="0047370D">
        <w:rPr>
          <w:lang w:val="en-US"/>
        </w:rPr>
        <w:t>sixteen</w:t>
      </w:r>
      <w:r w:rsidR="00CC3449" w:rsidRPr="0047370D">
        <w:rPr>
          <w:lang w:val="en-US"/>
        </w:rPr>
        <w:t xml:space="preserve"> reports on the current status of elements inscribed on the Urgent Safeguarding List. This high number</w:t>
      </w:r>
      <w:r w:rsidR="00911EF0" w:rsidRPr="0047370D">
        <w:rPr>
          <w:lang w:val="en-US"/>
        </w:rPr>
        <w:t xml:space="preserve"> of reports clearly demonstrated</w:t>
      </w:r>
      <w:r w:rsidR="00CC3449" w:rsidRPr="0047370D">
        <w:rPr>
          <w:lang w:val="en-US"/>
        </w:rPr>
        <w:t xml:space="preserve"> the continuous and solid engagement of the States Parties for safeguarding intangible cultural heritage. Further to the development of the overall results framework for the Conv</w:t>
      </w:r>
      <w:r w:rsidR="00911EF0" w:rsidRPr="0047370D">
        <w:rPr>
          <w:lang w:val="en-US"/>
        </w:rPr>
        <w:t>ention, substantial progress had</w:t>
      </w:r>
      <w:r w:rsidR="00CC3449" w:rsidRPr="0047370D">
        <w:rPr>
          <w:lang w:val="en-US"/>
        </w:rPr>
        <w:t xml:space="preserve"> also been made through this session concerning the reform of th</w:t>
      </w:r>
      <w:r w:rsidR="00231B5A" w:rsidRPr="0047370D">
        <w:rPr>
          <w:lang w:val="en-US"/>
        </w:rPr>
        <w:t xml:space="preserve">e periodic reporting </w:t>
      </w:r>
      <w:r w:rsidR="00813D19" w:rsidRPr="0047370D">
        <w:rPr>
          <w:lang w:val="en-US"/>
        </w:rPr>
        <w:t>mechanism</w:t>
      </w:r>
      <w:r w:rsidR="00231B5A" w:rsidRPr="0047370D">
        <w:rPr>
          <w:lang w:val="en-US"/>
        </w:rPr>
        <w:t xml:space="preserve">, which </w:t>
      </w:r>
      <w:r w:rsidR="0077575B" w:rsidRPr="0047370D">
        <w:rPr>
          <w:lang w:val="en-US"/>
        </w:rPr>
        <w:t xml:space="preserve">would </w:t>
      </w:r>
      <w:r w:rsidR="00CC3449" w:rsidRPr="0047370D">
        <w:rPr>
          <w:lang w:val="en-US"/>
        </w:rPr>
        <w:t>be moving towards a regional cyc</w:t>
      </w:r>
      <w:r w:rsidR="00231B5A" w:rsidRPr="0047370D">
        <w:rPr>
          <w:lang w:val="en-US"/>
        </w:rPr>
        <w:t>le of reporting from 2020 with the</w:t>
      </w:r>
      <w:r w:rsidR="00CC3449" w:rsidRPr="0047370D">
        <w:rPr>
          <w:lang w:val="en-US"/>
        </w:rPr>
        <w:t xml:space="preserve"> submission of periodic reports from States Parties from the Latin American and Caribbean region. Timely considerat</w:t>
      </w:r>
      <w:r w:rsidR="00911EF0" w:rsidRPr="0047370D">
        <w:rPr>
          <w:lang w:val="en-US"/>
        </w:rPr>
        <w:t>ions on the issue of the follow-</w:t>
      </w:r>
      <w:r w:rsidR="00CC3449" w:rsidRPr="0047370D">
        <w:rPr>
          <w:lang w:val="en-US"/>
        </w:rPr>
        <w:t xml:space="preserve">up of elements </w:t>
      </w:r>
      <w:r w:rsidR="0077575B" w:rsidRPr="0047370D">
        <w:rPr>
          <w:lang w:val="en-US"/>
        </w:rPr>
        <w:t xml:space="preserve">inscribed </w:t>
      </w:r>
      <w:r w:rsidR="00CC3449" w:rsidRPr="0047370D">
        <w:rPr>
          <w:lang w:val="en-US"/>
        </w:rPr>
        <w:t>on the Lists of the Convention were made</w:t>
      </w:r>
      <w:r w:rsidR="00911EF0" w:rsidRPr="0047370D">
        <w:rPr>
          <w:lang w:val="en-US"/>
        </w:rPr>
        <w:t>,</w:t>
      </w:r>
      <w:r w:rsidR="00CC3449" w:rsidRPr="0047370D">
        <w:rPr>
          <w:lang w:val="en-US"/>
        </w:rPr>
        <w:t xml:space="preserve"> which </w:t>
      </w:r>
      <w:r w:rsidR="0077575B" w:rsidRPr="0047370D">
        <w:rPr>
          <w:lang w:val="en-US"/>
        </w:rPr>
        <w:t xml:space="preserve">should </w:t>
      </w:r>
      <w:r w:rsidR="00CC3449" w:rsidRPr="0047370D">
        <w:rPr>
          <w:lang w:val="en-US"/>
        </w:rPr>
        <w:t>lead to overall reflections on the establishment of a follow-up mechanism</w:t>
      </w:r>
      <w:r w:rsidR="00911EF0" w:rsidRPr="0047370D">
        <w:rPr>
          <w:lang w:val="en-US"/>
        </w:rPr>
        <w:t>,</w:t>
      </w:r>
      <w:r w:rsidR="00CC3449" w:rsidRPr="0047370D">
        <w:rPr>
          <w:lang w:val="en-US"/>
        </w:rPr>
        <w:t xml:space="preserve"> as well as on the nature, purposes and inscription process on the </w:t>
      </w:r>
      <w:r w:rsidR="0047370D" w:rsidRPr="0047370D">
        <w:rPr>
          <w:lang w:val="en-US"/>
        </w:rPr>
        <w:t>Lists.</w:t>
      </w:r>
    </w:p>
    <w:p w14:paraId="38BB23FD" w14:textId="4719872A" w:rsidR="00844D03" w:rsidRPr="0047370D" w:rsidRDefault="00CC3449" w:rsidP="0047370D">
      <w:pPr>
        <w:pStyle w:val="Orateurengris"/>
        <w:spacing w:before="120"/>
        <w:ind w:left="709" w:hanging="709"/>
        <w:rPr>
          <w:bCs/>
          <w:color w:val="000000" w:themeColor="text1"/>
          <w:lang w:val="en-US"/>
        </w:rPr>
      </w:pPr>
      <w:r w:rsidRPr="00813D19">
        <w:rPr>
          <w:lang w:val="en-US"/>
        </w:rPr>
        <w:t>In line with these reflections</w:t>
      </w:r>
      <w:r w:rsidR="00911EF0" w:rsidRPr="00813D19">
        <w:rPr>
          <w:lang w:val="en-US"/>
        </w:rPr>
        <w:t xml:space="preserve">, the </w:t>
      </w:r>
      <w:r w:rsidR="00911EF0" w:rsidRPr="00813D19">
        <w:rPr>
          <w:b/>
          <w:lang w:val="en-US"/>
        </w:rPr>
        <w:t>Chairperson</w:t>
      </w:r>
      <w:r w:rsidR="00911EF0" w:rsidRPr="00813D19">
        <w:rPr>
          <w:lang w:val="en-US"/>
        </w:rPr>
        <w:t xml:space="preserve"> </w:t>
      </w:r>
      <w:r w:rsidRPr="00813D19">
        <w:rPr>
          <w:lang w:val="en-US"/>
        </w:rPr>
        <w:t>recall</w:t>
      </w:r>
      <w:r w:rsidR="00911EF0" w:rsidRPr="00813D19">
        <w:rPr>
          <w:lang w:val="en-US"/>
        </w:rPr>
        <w:t>ed</w:t>
      </w:r>
      <w:r w:rsidRPr="00813D19">
        <w:rPr>
          <w:lang w:val="en-US"/>
        </w:rPr>
        <w:t xml:space="preserve"> </w:t>
      </w:r>
      <w:r w:rsidR="00911EF0" w:rsidRPr="00813D19">
        <w:rPr>
          <w:lang w:val="en-US"/>
        </w:rPr>
        <w:t xml:space="preserve">the </w:t>
      </w:r>
      <w:r w:rsidRPr="00813D19">
        <w:rPr>
          <w:lang w:val="en-US"/>
        </w:rPr>
        <w:t xml:space="preserve">stimulating and fruitful discussion reiterating the need for dialogue between the Evaluation Body and submitting States in which requests were thoroughly expressed by Committee Members and non-Committee Members alike. In response, the Committee </w:t>
      </w:r>
      <w:r w:rsidR="0077575B">
        <w:rPr>
          <w:lang w:val="en-US"/>
        </w:rPr>
        <w:t xml:space="preserve">had </w:t>
      </w:r>
      <w:r w:rsidRPr="00813D19">
        <w:rPr>
          <w:lang w:val="en-US"/>
        </w:rPr>
        <w:t xml:space="preserve">adopted a provisional dialogue mechanism, which </w:t>
      </w:r>
      <w:r w:rsidR="0077575B">
        <w:rPr>
          <w:lang w:val="en-US"/>
        </w:rPr>
        <w:t>would</w:t>
      </w:r>
      <w:r w:rsidR="0077575B" w:rsidRPr="00813D19">
        <w:rPr>
          <w:lang w:val="en-US"/>
        </w:rPr>
        <w:t xml:space="preserve"> </w:t>
      </w:r>
      <w:r w:rsidRPr="00813D19">
        <w:rPr>
          <w:lang w:val="en-US"/>
        </w:rPr>
        <w:t>facilitate the nomination process for the files submitted for the 2019 cycle to be examined at the fourteenth</w:t>
      </w:r>
      <w:r w:rsidR="00911EF0" w:rsidRPr="00813D19">
        <w:rPr>
          <w:lang w:val="en-US"/>
        </w:rPr>
        <w:t xml:space="preserve"> session of the Committee. The C</w:t>
      </w:r>
      <w:r w:rsidRPr="00813D19">
        <w:rPr>
          <w:lang w:val="en-US"/>
        </w:rPr>
        <w:t xml:space="preserve">ommittee </w:t>
      </w:r>
      <w:r w:rsidR="0077575B">
        <w:rPr>
          <w:lang w:val="en-US"/>
        </w:rPr>
        <w:t xml:space="preserve">had </w:t>
      </w:r>
      <w:r w:rsidRPr="00813D19">
        <w:rPr>
          <w:lang w:val="en-US"/>
        </w:rPr>
        <w:t xml:space="preserve">equally highlighted the role of intangible cultural heritage in situations of emergency in both conflict and natural disasters. It </w:t>
      </w:r>
      <w:r w:rsidR="0077575B">
        <w:rPr>
          <w:lang w:val="en-US"/>
        </w:rPr>
        <w:t xml:space="preserve">had </w:t>
      </w:r>
      <w:r w:rsidRPr="00813D19">
        <w:rPr>
          <w:lang w:val="en-US"/>
        </w:rPr>
        <w:t>also continued its reflection on the advisory functions to be fulfilled by accredited NGOs of the Convention</w:t>
      </w:r>
      <w:r w:rsidR="00911EF0" w:rsidRPr="00813D19">
        <w:rPr>
          <w:lang w:val="en-US"/>
        </w:rPr>
        <w:t>,</w:t>
      </w:r>
      <w:r w:rsidRPr="00813D19">
        <w:rPr>
          <w:lang w:val="en-US"/>
        </w:rPr>
        <w:t xml:space="preserve"> and established a new Eva</w:t>
      </w:r>
      <w:r w:rsidR="00911EF0" w:rsidRPr="00813D19">
        <w:rPr>
          <w:lang w:val="en-US"/>
        </w:rPr>
        <w:t xml:space="preserve">luation Body for the 2019 cycle, </w:t>
      </w:r>
      <w:r w:rsidRPr="00813D19">
        <w:rPr>
          <w:lang w:val="en-US"/>
        </w:rPr>
        <w:t xml:space="preserve">welcoming three new members in the coming cycle. These </w:t>
      </w:r>
      <w:r w:rsidR="00911EF0" w:rsidRPr="00813D19">
        <w:rPr>
          <w:lang w:val="en-US"/>
        </w:rPr>
        <w:t xml:space="preserve">were </w:t>
      </w:r>
      <w:r w:rsidRPr="00813D19">
        <w:rPr>
          <w:lang w:val="en-US"/>
        </w:rPr>
        <w:t xml:space="preserve">just some of the key achievements. </w:t>
      </w:r>
      <w:r w:rsidR="00911EF0" w:rsidRPr="00813D19">
        <w:rPr>
          <w:lang w:val="en-US"/>
        </w:rPr>
        <w:t xml:space="preserve">The Chairperson </w:t>
      </w:r>
      <w:r w:rsidRPr="00813D19">
        <w:rPr>
          <w:lang w:val="en-US"/>
        </w:rPr>
        <w:t>strongly believe</w:t>
      </w:r>
      <w:r w:rsidR="00911EF0" w:rsidRPr="00813D19">
        <w:rPr>
          <w:lang w:val="en-US"/>
        </w:rPr>
        <w:t>d</w:t>
      </w:r>
      <w:r w:rsidRPr="00813D19">
        <w:rPr>
          <w:lang w:val="en-US"/>
        </w:rPr>
        <w:t xml:space="preserve"> that </w:t>
      </w:r>
      <w:r w:rsidR="00911EF0" w:rsidRPr="00813D19">
        <w:rPr>
          <w:lang w:val="en-US"/>
        </w:rPr>
        <w:t xml:space="preserve">the Committee </w:t>
      </w:r>
      <w:r w:rsidR="0077575B">
        <w:rPr>
          <w:lang w:val="en-US"/>
        </w:rPr>
        <w:t xml:space="preserve">would </w:t>
      </w:r>
      <w:r w:rsidRPr="00813D19">
        <w:rPr>
          <w:lang w:val="en-US"/>
        </w:rPr>
        <w:t xml:space="preserve">continue to reflect on many more important issues, which </w:t>
      </w:r>
      <w:r w:rsidR="00911EF0" w:rsidRPr="00813D19">
        <w:rPr>
          <w:lang w:val="en-US"/>
        </w:rPr>
        <w:t xml:space="preserve">were </w:t>
      </w:r>
      <w:r w:rsidRPr="00813D19">
        <w:rPr>
          <w:lang w:val="en-US"/>
        </w:rPr>
        <w:t xml:space="preserve">essential for guiding the operational work of the Convention. </w:t>
      </w:r>
      <w:r w:rsidR="00911EF0" w:rsidRPr="00813D19">
        <w:rPr>
          <w:lang w:val="en-US"/>
        </w:rPr>
        <w:t>The Chairperson paid special tribute to M</w:t>
      </w:r>
      <w:r w:rsidRPr="00813D19">
        <w:rPr>
          <w:lang w:val="en-US"/>
        </w:rPr>
        <w:t>emb</w:t>
      </w:r>
      <w:r w:rsidR="00911EF0" w:rsidRPr="00813D19">
        <w:rPr>
          <w:lang w:val="en-US"/>
        </w:rPr>
        <w:t xml:space="preserve">ers of the Bureau. He was </w:t>
      </w:r>
      <w:r w:rsidRPr="00813D19">
        <w:rPr>
          <w:lang w:val="en-US"/>
        </w:rPr>
        <w:t xml:space="preserve">privileged to have worked with them and </w:t>
      </w:r>
      <w:r w:rsidR="00911EF0" w:rsidRPr="00813D19">
        <w:rPr>
          <w:lang w:val="en-US"/>
        </w:rPr>
        <w:t xml:space="preserve">felt </w:t>
      </w:r>
      <w:r w:rsidRPr="00813D19">
        <w:rPr>
          <w:lang w:val="en-US"/>
        </w:rPr>
        <w:t xml:space="preserve">humbled with the confidence bestowed upon </w:t>
      </w:r>
      <w:r w:rsidR="00911EF0" w:rsidRPr="00813D19">
        <w:rPr>
          <w:lang w:val="en-US"/>
        </w:rPr>
        <w:t xml:space="preserve">him </w:t>
      </w:r>
      <w:r w:rsidRPr="00813D19">
        <w:rPr>
          <w:lang w:val="en-US"/>
        </w:rPr>
        <w:t xml:space="preserve">throughout the year. </w:t>
      </w:r>
      <w:r w:rsidR="00911EF0" w:rsidRPr="00813D19">
        <w:rPr>
          <w:lang w:val="en-US"/>
        </w:rPr>
        <w:t>S</w:t>
      </w:r>
      <w:r w:rsidRPr="00813D19">
        <w:rPr>
          <w:lang w:val="en-US"/>
        </w:rPr>
        <w:t xml:space="preserve">incere thanks </w:t>
      </w:r>
      <w:r w:rsidR="00911EF0" w:rsidRPr="00813D19">
        <w:rPr>
          <w:lang w:val="en-US"/>
        </w:rPr>
        <w:t xml:space="preserve">went to </w:t>
      </w:r>
      <w:r w:rsidRPr="00813D19">
        <w:rPr>
          <w:lang w:val="en-US"/>
        </w:rPr>
        <w:t xml:space="preserve">all of them for </w:t>
      </w:r>
      <w:r w:rsidR="00911EF0" w:rsidRPr="00813D19">
        <w:rPr>
          <w:lang w:val="en-US"/>
        </w:rPr>
        <w:t xml:space="preserve">their </w:t>
      </w:r>
      <w:r w:rsidRPr="00813D19">
        <w:rPr>
          <w:lang w:val="en-US"/>
        </w:rPr>
        <w:t>extraordinary support</w:t>
      </w:r>
      <w:r w:rsidR="00911EF0" w:rsidRPr="00813D19">
        <w:rPr>
          <w:lang w:val="en-US"/>
        </w:rPr>
        <w:t>,</w:t>
      </w:r>
      <w:r w:rsidRPr="00813D19">
        <w:rPr>
          <w:lang w:val="en-US"/>
        </w:rPr>
        <w:t xml:space="preserve"> </w:t>
      </w:r>
      <w:r w:rsidR="00911EF0" w:rsidRPr="00813D19">
        <w:rPr>
          <w:lang w:val="en-US"/>
        </w:rPr>
        <w:t>especially to the Vice-Chair</w:t>
      </w:r>
      <w:r w:rsidRPr="00813D19">
        <w:rPr>
          <w:lang w:val="en-US"/>
        </w:rPr>
        <w:t xml:space="preserve">s from </w:t>
      </w:r>
      <w:r w:rsidR="00C02101" w:rsidRPr="00813D19">
        <w:rPr>
          <w:lang w:val="en-US"/>
        </w:rPr>
        <w:t xml:space="preserve">Lebanon and the Philippines who </w:t>
      </w:r>
      <w:r w:rsidR="0077575B">
        <w:rPr>
          <w:lang w:val="en-US"/>
        </w:rPr>
        <w:t xml:space="preserve">had </w:t>
      </w:r>
      <w:r w:rsidR="00C02101" w:rsidRPr="00813D19">
        <w:rPr>
          <w:lang w:val="en-US"/>
        </w:rPr>
        <w:t>chaired the sessions in</w:t>
      </w:r>
      <w:r w:rsidRPr="00813D19">
        <w:rPr>
          <w:lang w:val="en-US"/>
        </w:rPr>
        <w:t xml:space="preserve"> </w:t>
      </w:r>
      <w:r w:rsidR="00911EF0" w:rsidRPr="00813D19">
        <w:rPr>
          <w:lang w:val="en-US"/>
        </w:rPr>
        <w:t xml:space="preserve">his </w:t>
      </w:r>
      <w:r w:rsidR="00C02101" w:rsidRPr="00813D19">
        <w:rPr>
          <w:lang w:val="en-US"/>
        </w:rPr>
        <w:t>absence</w:t>
      </w:r>
      <w:r w:rsidRPr="00813D19">
        <w:rPr>
          <w:lang w:val="en-US"/>
        </w:rPr>
        <w:t xml:space="preserve">. </w:t>
      </w:r>
      <w:r w:rsidR="00911EF0" w:rsidRPr="00813D19">
        <w:rPr>
          <w:lang w:val="en-US"/>
        </w:rPr>
        <w:t xml:space="preserve">The Chairperson expressed </w:t>
      </w:r>
      <w:r w:rsidRPr="00813D19">
        <w:rPr>
          <w:lang w:val="en-US"/>
        </w:rPr>
        <w:t xml:space="preserve">heartfelt gratitude to the interpreters, translators, technicians and many volunteers who </w:t>
      </w:r>
      <w:r w:rsidR="00C02101" w:rsidRPr="00813D19">
        <w:rPr>
          <w:lang w:val="en-US"/>
        </w:rPr>
        <w:t xml:space="preserve">had </w:t>
      </w:r>
      <w:r w:rsidRPr="00813D19">
        <w:rPr>
          <w:lang w:val="en-US"/>
        </w:rPr>
        <w:t xml:space="preserve">worked so hard for the smooth running of this Committee. </w:t>
      </w:r>
      <w:r w:rsidR="00911EF0" w:rsidRPr="00813D19">
        <w:rPr>
          <w:lang w:val="en-US"/>
        </w:rPr>
        <w:t>A</w:t>
      </w:r>
      <w:r w:rsidR="00C02101" w:rsidRPr="00813D19">
        <w:rPr>
          <w:lang w:val="en-US"/>
        </w:rPr>
        <w:t xml:space="preserve"> </w:t>
      </w:r>
      <w:r w:rsidRPr="00813D19">
        <w:rPr>
          <w:lang w:val="en-US"/>
        </w:rPr>
        <w:t>big round of applause</w:t>
      </w:r>
      <w:r w:rsidR="00911EF0" w:rsidRPr="00813D19">
        <w:rPr>
          <w:lang w:val="en-US"/>
        </w:rPr>
        <w:t xml:space="preserve"> was given</w:t>
      </w:r>
      <w:r w:rsidRPr="00813D19">
        <w:rPr>
          <w:lang w:val="en-US"/>
        </w:rPr>
        <w:t xml:space="preserve">. </w:t>
      </w:r>
      <w:r w:rsidR="00C02101" w:rsidRPr="00813D19">
        <w:rPr>
          <w:lang w:val="en-US"/>
        </w:rPr>
        <w:t xml:space="preserve">He </w:t>
      </w:r>
      <w:r w:rsidRPr="00813D19">
        <w:rPr>
          <w:lang w:val="en-US"/>
        </w:rPr>
        <w:t>extend</w:t>
      </w:r>
      <w:r w:rsidR="00911EF0" w:rsidRPr="00813D19">
        <w:rPr>
          <w:lang w:val="en-US"/>
        </w:rPr>
        <w:t>ed</w:t>
      </w:r>
      <w:r w:rsidR="0077575B">
        <w:rPr>
          <w:lang w:val="en-US"/>
        </w:rPr>
        <w:t xml:space="preserve"> his</w:t>
      </w:r>
      <w:r w:rsidRPr="00813D19">
        <w:rPr>
          <w:lang w:val="en-US"/>
        </w:rPr>
        <w:t xml:space="preserve"> warmest appreciation to the Secretary and his most able team for the</w:t>
      </w:r>
      <w:r w:rsidR="00911EF0" w:rsidRPr="00813D19">
        <w:rPr>
          <w:lang w:val="en-US"/>
        </w:rPr>
        <w:t>ir</w:t>
      </w:r>
      <w:r w:rsidRPr="00813D19">
        <w:rPr>
          <w:lang w:val="en-US"/>
        </w:rPr>
        <w:t xml:space="preserve"> precious assistance</w:t>
      </w:r>
      <w:r w:rsidR="00911EF0" w:rsidRPr="00813D19">
        <w:rPr>
          <w:lang w:val="en-US"/>
        </w:rPr>
        <w:t xml:space="preserve">, adding that the Committee could not </w:t>
      </w:r>
      <w:r w:rsidRPr="00813D19">
        <w:rPr>
          <w:lang w:val="en-US"/>
        </w:rPr>
        <w:t xml:space="preserve">thank them enough for all their hard work and relentless support. </w:t>
      </w:r>
      <w:r w:rsidR="00911EF0" w:rsidRPr="00813D19">
        <w:rPr>
          <w:lang w:val="en-US"/>
        </w:rPr>
        <w:t xml:space="preserve">The Chairperson invited </w:t>
      </w:r>
      <w:r w:rsidRPr="00813D19">
        <w:rPr>
          <w:lang w:val="en-US"/>
        </w:rPr>
        <w:t>the Assistant Director-General for Culture</w:t>
      </w:r>
      <w:r w:rsidR="00C02101" w:rsidRPr="00813D19">
        <w:rPr>
          <w:lang w:val="en-US"/>
        </w:rPr>
        <w:t xml:space="preserve">, Mr Ernesto Ottone </w:t>
      </w:r>
      <w:r w:rsidRPr="00813D19">
        <w:rPr>
          <w:lang w:val="en-US"/>
        </w:rPr>
        <w:t xml:space="preserve"> </w:t>
      </w:r>
      <w:r w:rsidR="00911EF0" w:rsidRPr="00813D19">
        <w:rPr>
          <w:lang w:val="en-US"/>
        </w:rPr>
        <w:t xml:space="preserve">and </w:t>
      </w:r>
      <w:r w:rsidRPr="00813D19">
        <w:rPr>
          <w:lang w:val="en-US"/>
        </w:rPr>
        <w:t xml:space="preserve">the </w:t>
      </w:r>
      <w:r w:rsidR="00911EF0" w:rsidRPr="00813D19">
        <w:rPr>
          <w:lang w:val="en-US"/>
        </w:rPr>
        <w:t xml:space="preserve">UN </w:t>
      </w:r>
      <w:r w:rsidRPr="00813D19">
        <w:rPr>
          <w:lang w:val="en-US"/>
        </w:rPr>
        <w:t>Resident Coordinator for Mauritius and the S</w:t>
      </w:r>
      <w:r w:rsidR="00911EF0" w:rsidRPr="00813D19">
        <w:rPr>
          <w:lang w:val="en-US"/>
        </w:rPr>
        <w:t>eychelles, Ms Christine Umutoni, to make their closing statements.</w:t>
      </w:r>
    </w:p>
    <w:p w14:paraId="3BA522E0" w14:textId="1295E27F" w:rsidR="00E8469A" w:rsidRPr="00813D19" w:rsidRDefault="0047370D" w:rsidP="0047370D">
      <w:pPr>
        <w:pStyle w:val="Orateurengris"/>
        <w:keepNext/>
        <w:numPr>
          <w:ilvl w:val="0"/>
          <w:numId w:val="0"/>
        </w:numPr>
        <w:spacing w:before="360" w:after="60"/>
        <w:outlineLvl w:val="0"/>
        <w:rPr>
          <w:b/>
          <w:color w:val="000000" w:themeColor="text1"/>
          <w:u w:val="single"/>
          <w:lang w:val="en-US"/>
        </w:rPr>
      </w:pPr>
      <w:r>
        <w:rPr>
          <w:b/>
          <w:color w:val="000000" w:themeColor="text1"/>
          <w:u w:val="single"/>
          <w:lang w:val="en-US"/>
        </w:rPr>
        <w:t>ITEM 22 OF THE AGENDA</w:t>
      </w:r>
    </w:p>
    <w:p w14:paraId="4B4ED782" w14:textId="718219F2" w:rsidR="00C04FA4" w:rsidRPr="00813D19" w:rsidRDefault="00E8469A" w:rsidP="0047370D">
      <w:pPr>
        <w:pStyle w:val="Orateurengris"/>
        <w:numPr>
          <w:ilvl w:val="0"/>
          <w:numId w:val="0"/>
        </w:numPr>
        <w:spacing w:after="240"/>
        <w:jc w:val="left"/>
        <w:outlineLvl w:val="1"/>
        <w:rPr>
          <w:b/>
          <w:color w:val="000000" w:themeColor="text1"/>
          <w:lang w:val="en-US"/>
        </w:rPr>
      </w:pPr>
      <w:r w:rsidRPr="00813D19">
        <w:rPr>
          <w:b/>
          <w:color w:val="000000" w:themeColor="text1"/>
          <w:lang w:val="en-US"/>
        </w:rPr>
        <w:t>CLOSURE</w:t>
      </w:r>
    </w:p>
    <w:p w14:paraId="39CA9D0D" w14:textId="03460E6C" w:rsidR="009868E3" w:rsidRPr="0047370D" w:rsidRDefault="008C601C" w:rsidP="00303400">
      <w:pPr>
        <w:pStyle w:val="Orateurengris"/>
        <w:spacing w:after="0"/>
        <w:ind w:left="709" w:hanging="709"/>
        <w:rPr>
          <w:bCs/>
          <w:color w:val="000000" w:themeColor="text1"/>
          <w:lang w:val="en-US"/>
        </w:rPr>
      </w:pPr>
      <w:r w:rsidRPr="00813D19">
        <w:rPr>
          <w:lang w:val="en-US"/>
        </w:rPr>
        <w:t xml:space="preserve">The </w:t>
      </w:r>
      <w:r w:rsidRPr="00813D19">
        <w:rPr>
          <w:b/>
          <w:lang w:val="en-US"/>
        </w:rPr>
        <w:t>UN Resident Coordinator for Mauritius,</w:t>
      </w:r>
      <w:r w:rsidRPr="00813D19">
        <w:rPr>
          <w:lang w:val="en-US"/>
        </w:rPr>
        <w:t xml:space="preserve"> </w:t>
      </w:r>
      <w:r w:rsidRPr="00813D19">
        <w:rPr>
          <w:b/>
          <w:lang w:val="en-US"/>
        </w:rPr>
        <w:t>Ms Christine Umutoni</w:t>
      </w:r>
      <w:r w:rsidRPr="00813D19">
        <w:rPr>
          <w:lang w:val="en-US"/>
        </w:rPr>
        <w:t xml:space="preserve">, spoke of her pleasure </w:t>
      </w:r>
      <w:r w:rsidR="00CC3449" w:rsidRPr="00813D19">
        <w:rPr>
          <w:lang w:val="en-US"/>
        </w:rPr>
        <w:t xml:space="preserve">to be invited to say a few words at the closing of the </w:t>
      </w:r>
      <w:r w:rsidRPr="00813D19">
        <w:rPr>
          <w:lang w:val="en-US"/>
        </w:rPr>
        <w:t xml:space="preserve">Committee </w:t>
      </w:r>
      <w:r w:rsidR="00CC3449" w:rsidRPr="00813D19">
        <w:rPr>
          <w:lang w:val="en-US"/>
        </w:rPr>
        <w:t>session</w:t>
      </w:r>
      <w:r w:rsidRPr="00813D19">
        <w:rPr>
          <w:lang w:val="en-US"/>
        </w:rPr>
        <w:t xml:space="preserve">, adding that as </w:t>
      </w:r>
      <w:r w:rsidR="00CC3449" w:rsidRPr="00813D19">
        <w:rPr>
          <w:lang w:val="en-US"/>
        </w:rPr>
        <w:t>represent</w:t>
      </w:r>
      <w:r w:rsidRPr="00813D19">
        <w:rPr>
          <w:lang w:val="en-US"/>
        </w:rPr>
        <w:t>ative</w:t>
      </w:r>
      <w:r w:rsidR="00CC3449" w:rsidRPr="00813D19">
        <w:rPr>
          <w:lang w:val="en-US"/>
        </w:rPr>
        <w:t xml:space="preserve"> </w:t>
      </w:r>
      <w:r w:rsidRPr="00813D19">
        <w:rPr>
          <w:lang w:val="en-US"/>
        </w:rPr>
        <w:t xml:space="preserve">of </w:t>
      </w:r>
      <w:r w:rsidR="00CC3449" w:rsidRPr="00813D19">
        <w:rPr>
          <w:lang w:val="en-US"/>
        </w:rPr>
        <w:t xml:space="preserve">the </w:t>
      </w:r>
      <w:r w:rsidR="009868E3" w:rsidRPr="00813D19">
        <w:rPr>
          <w:lang w:val="en-US"/>
        </w:rPr>
        <w:t>UN Secretary-</w:t>
      </w:r>
      <w:r w:rsidR="00CC3449" w:rsidRPr="00813D19">
        <w:rPr>
          <w:lang w:val="en-US"/>
        </w:rPr>
        <w:t xml:space="preserve">General </w:t>
      </w:r>
      <w:r w:rsidRPr="00813D19">
        <w:rPr>
          <w:lang w:val="en-US"/>
        </w:rPr>
        <w:t xml:space="preserve">she was </w:t>
      </w:r>
      <w:r w:rsidR="00CC3449" w:rsidRPr="00813D19">
        <w:rPr>
          <w:lang w:val="en-US"/>
        </w:rPr>
        <w:t xml:space="preserve">part of the land </w:t>
      </w:r>
      <w:r w:rsidRPr="00813D19">
        <w:rPr>
          <w:lang w:val="en-US"/>
        </w:rPr>
        <w:t xml:space="preserve">in her </w:t>
      </w:r>
      <w:r w:rsidR="00CC3449" w:rsidRPr="00813D19">
        <w:rPr>
          <w:lang w:val="en-US"/>
        </w:rPr>
        <w:t>new home</w:t>
      </w:r>
      <w:r w:rsidR="00C02101" w:rsidRPr="00813D19">
        <w:rPr>
          <w:lang w:val="en-US"/>
        </w:rPr>
        <w:t xml:space="preserve">, which although </w:t>
      </w:r>
      <w:r w:rsidR="0058022B">
        <w:rPr>
          <w:lang w:val="en-US"/>
        </w:rPr>
        <w:t xml:space="preserve">it </w:t>
      </w:r>
      <w:r w:rsidR="00813D19" w:rsidRPr="00813D19">
        <w:rPr>
          <w:lang w:val="en-US"/>
        </w:rPr>
        <w:t>appeared</w:t>
      </w:r>
      <w:r w:rsidR="00C02101" w:rsidRPr="00813D19">
        <w:rPr>
          <w:lang w:val="en-US"/>
        </w:rPr>
        <w:t xml:space="preserve"> sm</w:t>
      </w:r>
      <w:r w:rsidRPr="00813D19">
        <w:rPr>
          <w:lang w:val="en-US"/>
        </w:rPr>
        <w:t xml:space="preserve">all was a thriving </w:t>
      </w:r>
      <w:r w:rsidR="00CC3449" w:rsidRPr="00813D19">
        <w:rPr>
          <w:lang w:val="en-US"/>
        </w:rPr>
        <w:t xml:space="preserve">ocean economy with </w:t>
      </w:r>
      <w:r w:rsidRPr="00813D19">
        <w:rPr>
          <w:lang w:val="en-US"/>
        </w:rPr>
        <w:t xml:space="preserve">a </w:t>
      </w:r>
      <w:r w:rsidR="00CC3449" w:rsidRPr="00813D19">
        <w:rPr>
          <w:lang w:val="en-US"/>
        </w:rPr>
        <w:t xml:space="preserve">rich and diverse culture. For </w:t>
      </w:r>
      <w:r w:rsidRPr="00813D19">
        <w:rPr>
          <w:lang w:val="en-US"/>
        </w:rPr>
        <w:t xml:space="preserve">the </w:t>
      </w:r>
      <w:r w:rsidR="0058022B">
        <w:rPr>
          <w:lang w:val="en-US"/>
        </w:rPr>
        <w:t>UN</w:t>
      </w:r>
      <w:r w:rsidRPr="00813D19">
        <w:rPr>
          <w:lang w:val="en-US"/>
        </w:rPr>
        <w:t>, it had</w:t>
      </w:r>
      <w:r w:rsidR="00CC3449" w:rsidRPr="00813D19">
        <w:rPr>
          <w:lang w:val="en-US"/>
        </w:rPr>
        <w:t xml:space="preserve"> been a very busy week</w:t>
      </w:r>
      <w:r w:rsidRPr="00813D19">
        <w:rPr>
          <w:lang w:val="en-US"/>
        </w:rPr>
        <w:t xml:space="preserve"> </w:t>
      </w:r>
      <w:r w:rsidR="00C02101" w:rsidRPr="00813D19">
        <w:rPr>
          <w:lang w:val="en-US"/>
        </w:rPr>
        <w:t xml:space="preserve">of </w:t>
      </w:r>
      <w:r w:rsidR="00CC3449" w:rsidRPr="00813D19">
        <w:rPr>
          <w:lang w:val="en-US"/>
        </w:rPr>
        <w:t xml:space="preserve">activities </w:t>
      </w:r>
      <w:r w:rsidRPr="00813D19">
        <w:rPr>
          <w:lang w:val="en-US"/>
        </w:rPr>
        <w:t xml:space="preserve">during </w:t>
      </w:r>
      <w:r w:rsidR="00CC3449" w:rsidRPr="00813D19">
        <w:rPr>
          <w:lang w:val="en-US"/>
        </w:rPr>
        <w:t xml:space="preserve">the </w:t>
      </w:r>
      <w:r w:rsidR="0058022B">
        <w:rPr>
          <w:lang w:val="en-US"/>
        </w:rPr>
        <w:t>UN</w:t>
      </w:r>
      <w:r w:rsidR="00CC3449" w:rsidRPr="00813D19">
        <w:rPr>
          <w:lang w:val="en-US"/>
        </w:rPr>
        <w:t xml:space="preserve"> Week in Mauritius</w:t>
      </w:r>
      <w:r w:rsidRPr="00813D19">
        <w:rPr>
          <w:lang w:val="en-US"/>
        </w:rPr>
        <w:t xml:space="preserve">, which </w:t>
      </w:r>
      <w:r w:rsidR="00CC3449" w:rsidRPr="00813D19">
        <w:rPr>
          <w:lang w:val="en-US"/>
        </w:rPr>
        <w:t>mark</w:t>
      </w:r>
      <w:r w:rsidRPr="00813D19">
        <w:rPr>
          <w:lang w:val="en-US"/>
        </w:rPr>
        <w:t>ed</w:t>
      </w:r>
      <w:r w:rsidR="00CC3449" w:rsidRPr="00813D19">
        <w:rPr>
          <w:lang w:val="en-US"/>
        </w:rPr>
        <w:t xml:space="preserve"> the anniversary of the 1948 </w:t>
      </w:r>
      <w:r w:rsidR="0058022B">
        <w:rPr>
          <w:lang w:val="en-US"/>
        </w:rPr>
        <w:t>UN</w:t>
      </w:r>
      <w:r w:rsidR="00CC3449" w:rsidRPr="00813D19">
        <w:rPr>
          <w:lang w:val="en-US"/>
        </w:rPr>
        <w:t xml:space="preserve"> Charter. </w:t>
      </w:r>
      <w:r w:rsidRPr="00813D19">
        <w:rPr>
          <w:lang w:val="en-US"/>
        </w:rPr>
        <w:t xml:space="preserve">It was </w:t>
      </w:r>
      <w:r w:rsidR="00CC3449" w:rsidRPr="00813D19">
        <w:rPr>
          <w:lang w:val="en-US"/>
        </w:rPr>
        <w:t xml:space="preserve">an opportunity to celebrate the </w:t>
      </w:r>
      <w:r w:rsidRPr="00813D19">
        <w:rPr>
          <w:lang w:val="en-US"/>
        </w:rPr>
        <w:t xml:space="preserve">partnership between </w:t>
      </w:r>
      <w:r w:rsidR="00CC3449" w:rsidRPr="00813D19">
        <w:rPr>
          <w:lang w:val="en-US"/>
        </w:rPr>
        <w:t xml:space="preserve">Mauritius and </w:t>
      </w:r>
      <w:r w:rsidRPr="00813D19">
        <w:rPr>
          <w:lang w:val="en-US"/>
        </w:rPr>
        <w:t xml:space="preserve">the </w:t>
      </w:r>
      <w:r w:rsidR="00CC3449" w:rsidRPr="00813D19">
        <w:rPr>
          <w:lang w:val="en-US"/>
        </w:rPr>
        <w:t>United Nations and to reaffirm the purpose, principles and fundamental freedoms enshrined within the charter</w:t>
      </w:r>
      <w:r w:rsidRPr="00813D19">
        <w:rPr>
          <w:lang w:val="en-US"/>
        </w:rPr>
        <w:t>.</w:t>
      </w:r>
      <w:r w:rsidR="00CC3449" w:rsidRPr="00813D19">
        <w:rPr>
          <w:lang w:val="en-US"/>
        </w:rPr>
        <w:t xml:space="preserve"> </w:t>
      </w:r>
      <w:r w:rsidRPr="00813D19">
        <w:rPr>
          <w:lang w:val="en-US"/>
        </w:rPr>
        <w:t>A</w:t>
      </w:r>
      <w:r w:rsidR="00CC3449" w:rsidRPr="00813D19">
        <w:rPr>
          <w:lang w:val="en-US"/>
        </w:rPr>
        <w:t xml:space="preserve"> range of activities </w:t>
      </w:r>
      <w:r w:rsidR="009868E3" w:rsidRPr="00813D19">
        <w:rPr>
          <w:lang w:val="en-US"/>
        </w:rPr>
        <w:t>had taken</w:t>
      </w:r>
      <w:r w:rsidR="00CC3449" w:rsidRPr="00813D19">
        <w:rPr>
          <w:lang w:val="en-US"/>
        </w:rPr>
        <w:t xml:space="preserve"> place</w:t>
      </w:r>
      <w:r w:rsidRPr="00813D19">
        <w:rPr>
          <w:lang w:val="en-US"/>
        </w:rPr>
        <w:t>,</w:t>
      </w:r>
      <w:r w:rsidR="00CC3449" w:rsidRPr="00813D19">
        <w:rPr>
          <w:lang w:val="en-US"/>
        </w:rPr>
        <w:t xml:space="preserve"> including</w:t>
      </w:r>
      <w:r w:rsidR="009868E3" w:rsidRPr="00813D19">
        <w:rPr>
          <w:lang w:val="en-US"/>
        </w:rPr>
        <w:t xml:space="preserve"> World Aids Day, which</w:t>
      </w:r>
      <w:r w:rsidR="0058022B">
        <w:rPr>
          <w:lang w:val="en-US"/>
        </w:rPr>
        <w:t xml:space="preserve"> had seen</w:t>
      </w:r>
      <w:r w:rsidR="009868E3" w:rsidRPr="00813D19">
        <w:rPr>
          <w:lang w:val="en-US"/>
        </w:rPr>
        <w:t xml:space="preserve"> the launch of some projects with IOM on </w:t>
      </w:r>
      <w:r w:rsidR="00CC3449" w:rsidRPr="00813D19">
        <w:rPr>
          <w:lang w:val="en-US"/>
        </w:rPr>
        <w:t xml:space="preserve">gender-based violence </w:t>
      </w:r>
      <w:r w:rsidR="009868E3" w:rsidRPr="00813D19">
        <w:rPr>
          <w:lang w:val="en-US"/>
        </w:rPr>
        <w:t xml:space="preserve">and capped </w:t>
      </w:r>
      <w:r w:rsidR="0058022B">
        <w:rPr>
          <w:lang w:val="en-US"/>
        </w:rPr>
        <w:t>sixteen</w:t>
      </w:r>
      <w:r w:rsidR="0058022B" w:rsidRPr="00813D19">
        <w:rPr>
          <w:lang w:val="en-US"/>
        </w:rPr>
        <w:t xml:space="preserve"> </w:t>
      </w:r>
      <w:r w:rsidR="00CC3449" w:rsidRPr="00813D19">
        <w:rPr>
          <w:lang w:val="en-US"/>
        </w:rPr>
        <w:t xml:space="preserve">days of activism against gender-based violence, tree planting and </w:t>
      </w:r>
      <w:r w:rsidR="009868E3" w:rsidRPr="00813D19">
        <w:rPr>
          <w:lang w:val="en-US"/>
        </w:rPr>
        <w:t>a visit to the</w:t>
      </w:r>
      <w:r w:rsidR="00CC3449" w:rsidRPr="00813D19">
        <w:rPr>
          <w:lang w:val="en-US"/>
        </w:rPr>
        <w:t xml:space="preserve"> Blue Bay Marine Park</w:t>
      </w:r>
      <w:r w:rsidR="009868E3" w:rsidRPr="00813D19">
        <w:rPr>
          <w:lang w:val="en-US"/>
        </w:rPr>
        <w:t>.</w:t>
      </w:r>
      <w:r w:rsidR="00CC3449" w:rsidRPr="00813D19">
        <w:rPr>
          <w:lang w:val="en-US"/>
        </w:rPr>
        <w:t xml:space="preserve"> </w:t>
      </w:r>
      <w:r w:rsidR="009868E3" w:rsidRPr="00813D19">
        <w:rPr>
          <w:lang w:val="en-US"/>
        </w:rPr>
        <w:t>As UN Resident C</w:t>
      </w:r>
      <w:r w:rsidR="00CC3449" w:rsidRPr="00813D19">
        <w:rPr>
          <w:lang w:val="en-US"/>
        </w:rPr>
        <w:t>oordinator and the representative of the Secretary</w:t>
      </w:r>
      <w:r w:rsidR="00A84307">
        <w:rPr>
          <w:lang w:val="en-US"/>
        </w:rPr>
        <w:t>-</w:t>
      </w:r>
      <w:r w:rsidR="00CC3449" w:rsidRPr="00813D19">
        <w:rPr>
          <w:lang w:val="en-US"/>
        </w:rPr>
        <w:t xml:space="preserve">General in </w:t>
      </w:r>
      <w:r w:rsidR="00C02101" w:rsidRPr="00813D19">
        <w:rPr>
          <w:lang w:val="en-US"/>
        </w:rPr>
        <w:t>Maur</w:t>
      </w:r>
      <w:r w:rsidR="009868E3" w:rsidRPr="00813D19">
        <w:rPr>
          <w:lang w:val="en-US"/>
        </w:rPr>
        <w:t xml:space="preserve">itius, Ms Umutoni wished to </w:t>
      </w:r>
      <w:r w:rsidR="00CC3449" w:rsidRPr="00813D19">
        <w:rPr>
          <w:lang w:val="en-US"/>
        </w:rPr>
        <w:t xml:space="preserve">highlight the ongoing reform intended to make the </w:t>
      </w:r>
      <w:r w:rsidR="009868E3" w:rsidRPr="00813D19">
        <w:rPr>
          <w:lang w:val="en-US"/>
        </w:rPr>
        <w:t xml:space="preserve">UN </w:t>
      </w:r>
      <w:r w:rsidR="00CC3449" w:rsidRPr="00813D19">
        <w:rPr>
          <w:lang w:val="en-US"/>
        </w:rPr>
        <w:t xml:space="preserve">coherent and stronger. </w:t>
      </w:r>
      <w:r w:rsidR="009868E3" w:rsidRPr="00813D19">
        <w:rPr>
          <w:lang w:val="en-US"/>
        </w:rPr>
        <w:t>The global 2030 Agenda required</w:t>
      </w:r>
      <w:r w:rsidR="00CC3449" w:rsidRPr="00813D19">
        <w:rPr>
          <w:lang w:val="en-US"/>
        </w:rPr>
        <w:t xml:space="preserve"> bold changes to the </w:t>
      </w:r>
      <w:r w:rsidR="009868E3" w:rsidRPr="00813D19">
        <w:rPr>
          <w:lang w:val="en-US"/>
        </w:rPr>
        <w:t xml:space="preserve">UN </w:t>
      </w:r>
      <w:r w:rsidR="00CC3449" w:rsidRPr="00813D19">
        <w:rPr>
          <w:lang w:val="en-US"/>
        </w:rPr>
        <w:t>development system for the emergence of a new gen</w:t>
      </w:r>
      <w:r w:rsidR="009868E3" w:rsidRPr="00813D19">
        <w:rPr>
          <w:lang w:val="en-US"/>
        </w:rPr>
        <w:t xml:space="preserve">eration of </w:t>
      </w:r>
      <w:r w:rsidR="001220A4">
        <w:rPr>
          <w:lang w:val="en-US"/>
        </w:rPr>
        <w:t>C</w:t>
      </w:r>
      <w:r w:rsidR="009868E3" w:rsidRPr="00813D19">
        <w:rPr>
          <w:lang w:val="en-US"/>
        </w:rPr>
        <w:t xml:space="preserve">ountry </w:t>
      </w:r>
      <w:r w:rsidR="001220A4">
        <w:rPr>
          <w:lang w:val="en-US"/>
        </w:rPr>
        <w:t>T</w:t>
      </w:r>
      <w:r w:rsidR="009868E3" w:rsidRPr="00813D19">
        <w:rPr>
          <w:lang w:val="en-US"/>
        </w:rPr>
        <w:t>eams centre</w:t>
      </w:r>
      <w:r w:rsidR="00CC3449" w:rsidRPr="00813D19">
        <w:rPr>
          <w:lang w:val="en-US"/>
        </w:rPr>
        <w:t xml:space="preserve">d on </w:t>
      </w:r>
      <w:r w:rsidR="009868E3" w:rsidRPr="00813D19">
        <w:rPr>
          <w:lang w:val="en-US"/>
        </w:rPr>
        <w:t xml:space="preserve">the </w:t>
      </w:r>
      <w:r w:rsidR="00CC3449" w:rsidRPr="00813D19">
        <w:rPr>
          <w:lang w:val="en-US"/>
        </w:rPr>
        <w:t xml:space="preserve">strategic </w:t>
      </w:r>
      <w:r w:rsidR="009868E3" w:rsidRPr="00813D19">
        <w:rPr>
          <w:lang w:val="en-US"/>
        </w:rPr>
        <w:t>UN Development Assistance F</w:t>
      </w:r>
      <w:r w:rsidR="00CC3449" w:rsidRPr="00813D19">
        <w:rPr>
          <w:lang w:val="en-US"/>
        </w:rPr>
        <w:t xml:space="preserve">ramework </w:t>
      </w:r>
      <w:r w:rsidR="009868E3" w:rsidRPr="00813D19">
        <w:rPr>
          <w:lang w:val="en-US"/>
        </w:rPr>
        <w:t>(UNDAF)</w:t>
      </w:r>
      <w:r w:rsidR="00CC3449" w:rsidRPr="00813D19">
        <w:rPr>
          <w:lang w:val="en-US"/>
        </w:rPr>
        <w:t xml:space="preserve">. </w:t>
      </w:r>
      <w:r w:rsidR="009868E3" w:rsidRPr="00813D19">
        <w:rPr>
          <w:lang w:val="en-US"/>
        </w:rPr>
        <w:t>I</w:t>
      </w:r>
      <w:r w:rsidR="00CC3449" w:rsidRPr="00813D19">
        <w:rPr>
          <w:lang w:val="en-US"/>
        </w:rPr>
        <w:t xml:space="preserve">t </w:t>
      </w:r>
      <w:r w:rsidR="009868E3" w:rsidRPr="00813D19">
        <w:rPr>
          <w:lang w:val="en-US"/>
        </w:rPr>
        <w:t xml:space="preserve">was thus her </w:t>
      </w:r>
      <w:r w:rsidR="00CC3449" w:rsidRPr="00813D19">
        <w:rPr>
          <w:lang w:val="en-US"/>
        </w:rPr>
        <w:t xml:space="preserve">duty to coordinate the work of the entire </w:t>
      </w:r>
      <w:r w:rsidR="009868E3" w:rsidRPr="00813D19">
        <w:rPr>
          <w:lang w:val="en-US"/>
        </w:rPr>
        <w:t xml:space="preserve">UN </w:t>
      </w:r>
      <w:r w:rsidR="00CC3449" w:rsidRPr="00813D19">
        <w:rPr>
          <w:lang w:val="en-US"/>
        </w:rPr>
        <w:t xml:space="preserve">and to understand </w:t>
      </w:r>
      <w:r w:rsidR="009868E3" w:rsidRPr="00813D19">
        <w:rPr>
          <w:lang w:val="en-US"/>
        </w:rPr>
        <w:t xml:space="preserve">the </w:t>
      </w:r>
      <w:r w:rsidR="00CC3449" w:rsidRPr="00813D19">
        <w:rPr>
          <w:lang w:val="en-US"/>
        </w:rPr>
        <w:t xml:space="preserve">work of each agency and be able to advocate </w:t>
      </w:r>
      <w:r w:rsidR="009868E3" w:rsidRPr="00813D19">
        <w:rPr>
          <w:lang w:val="en-US"/>
        </w:rPr>
        <w:t xml:space="preserve">the reforms adopted </w:t>
      </w:r>
      <w:r w:rsidR="00CC3449" w:rsidRPr="00813D19">
        <w:rPr>
          <w:lang w:val="en-US"/>
        </w:rPr>
        <w:t xml:space="preserve">on 31 May 2018. </w:t>
      </w:r>
      <w:r w:rsidR="009868E3" w:rsidRPr="00813D19">
        <w:rPr>
          <w:lang w:val="en-US"/>
        </w:rPr>
        <w:t>T</w:t>
      </w:r>
      <w:r w:rsidR="00CC3449" w:rsidRPr="00813D19">
        <w:rPr>
          <w:lang w:val="en-US"/>
        </w:rPr>
        <w:t xml:space="preserve">he 2030 Agenda is a </w:t>
      </w:r>
      <w:r w:rsidR="009868E3" w:rsidRPr="00813D19">
        <w:rPr>
          <w:lang w:val="en-US"/>
        </w:rPr>
        <w:t>bold programme</w:t>
      </w:r>
      <w:r w:rsidR="00CC3449" w:rsidRPr="00813D19">
        <w:rPr>
          <w:lang w:val="en-US"/>
        </w:rPr>
        <w:t xml:space="preserve"> that responds to people’s needs </w:t>
      </w:r>
      <w:r w:rsidR="009868E3" w:rsidRPr="00813D19">
        <w:rPr>
          <w:lang w:val="en-US"/>
        </w:rPr>
        <w:t>and required</w:t>
      </w:r>
      <w:r w:rsidR="00CC3449" w:rsidRPr="00813D19">
        <w:rPr>
          <w:lang w:val="en-US"/>
        </w:rPr>
        <w:t xml:space="preserve"> a lot of coordination. </w:t>
      </w:r>
      <w:r w:rsidR="009868E3" w:rsidRPr="00813D19">
        <w:rPr>
          <w:lang w:val="en-US"/>
        </w:rPr>
        <w:t xml:space="preserve">Seventeen </w:t>
      </w:r>
      <w:r w:rsidR="00CC3449" w:rsidRPr="00813D19">
        <w:rPr>
          <w:lang w:val="en-US"/>
        </w:rPr>
        <w:t xml:space="preserve">agencies </w:t>
      </w:r>
      <w:r w:rsidR="009868E3" w:rsidRPr="00813D19">
        <w:rPr>
          <w:lang w:val="en-US"/>
        </w:rPr>
        <w:t xml:space="preserve">were </w:t>
      </w:r>
      <w:r w:rsidR="00CC3449" w:rsidRPr="00813D19">
        <w:rPr>
          <w:lang w:val="en-US"/>
        </w:rPr>
        <w:t>work</w:t>
      </w:r>
      <w:r w:rsidR="009868E3" w:rsidRPr="00813D19">
        <w:rPr>
          <w:lang w:val="en-US"/>
        </w:rPr>
        <w:t>ing</w:t>
      </w:r>
      <w:r w:rsidR="00CC3449" w:rsidRPr="00813D19">
        <w:rPr>
          <w:lang w:val="en-US"/>
        </w:rPr>
        <w:t xml:space="preserve"> in </w:t>
      </w:r>
      <w:r w:rsidR="00C02101" w:rsidRPr="00813D19">
        <w:rPr>
          <w:lang w:val="en-US"/>
        </w:rPr>
        <w:t>Mauritius</w:t>
      </w:r>
      <w:r w:rsidR="0058022B">
        <w:rPr>
          <w:lang w:val="en-US"/>
        </w:rPr>
        <w:t>,</w:t>
      </w:r>
      <w:r w:rsidR="009868E3" w:rsidRPr="00813D19">
        <w:rPr>
          <w:lang w:val="en-US"/>
        </w:rPr>
        <w:t xml:space="preserve"> of which </w:t>
      </w:r>
      <w:r w:rsidR="00CC3449" w:rsidRPr="00813D19">
        <w:rPr>
          <w:lang w:val="en-US"/>
        </w:rPr>
        <w:t xml:space="preserve">UNESCO </w:t>
      </w:r>
      <w:r w:rsidR="009868E3" w:rsidRPr="00813D19">
        <w:rPr>
          <w:lang w:val="en-US"/>
        </w:rPr>
        <w:t xml:space="preserve">was </w:t>
      </w:r>
      <w:r w:rsidR="00CC3449" w:rsidRPr="00813D19">
        <w:rPr>
          <w:lang w:val="en-US"/>
        </w:rPr>
        <w:t xml:space="preserve">one. Some </w:t>
      </w:r>
      <w:r w:rsidR="009868E3" w:rsidRPr="00813D19">
        <w:rPr>
          <w:lang w:val="en-US"/>
        </w:rPr>
        <w:t xml:space="preserve">were </w:t>
      </w:r>
      <w:r w:rsidR="00CC3449" w:rsidRPr="00813D19">
        <w:rPr>
          <w:lang w:val="en-US"/>
        </w:rPr>
        <w:t>resident, others non-resident</w:t>
      </w:r>
      <w:r w:rsidR="009868E3" w:rsidRPr="00813D19">
        <w:rPr>
          <w:lang w:val="en-US"/>
        </w:rPr>
        <w:t>,</w:t>
      </w:r>
      <w:r w:rsidR="00CC3449" w:rsidRPr="00813D19">
        <w:rPr>
          <w:lang w:val="en-US"/>
        </w:rPr>
        <w:t xml:space="preserve"> </w:t>
      </w:r>
      <w:r w:rsidR="009868E3" w:rsidRPr="00813D19">
        <w:rPr>
          <w:lang w:val="en-US"/>
        </w:rPr>
        <w:t xml:space="preserve">but the work was </w:t>
      </w:r>
      <w:r w:rsidR="00CC3449" w:rsidRPr="00813D19">
        <w:rPr>
          <w:lang w:val="en-US"/>
        </w:rPr>
        <w:t xml:space="preserve">important </w:t>
      </w:r>
      <w:r w:rsidR="009868E3" w:rsidRPr="00813D19">
        <w:rPr>
          <w:lang w:val="en-US"/>
        </w:rPr>
        <w:t xml:space="preserve">and </w:t>
      </w:r>
      <w:r w:rsidR="00CC3449" w:rsidRPr="00813D19">
        <w:rPr>
          <w:lang w:val="en-US"/>
        </w:rPr>
        <w:t>complementary</w:t>
      </w:r>
      <w:r w:rsidR="0058022B">
        <w:rPr>
          <w:lang w:val="en-US"/>
        </w:rPr>
        <w:t>,</w:t>
      </w:r>
      <w:r w:rsidR="00CC3449" w:rsidRPr="00813D19">
        <w:rPr>
          <w:lang w:val="en-US"/>
        </w:rPr>
        <w:t xml:space="preserve"> </w:t>
      </w:r>
      <w:r w:rsidR="009868E3" w:rsidRPr="00813D19">
        <w:rPr>
          <w:lang w:val="en-US"/>
        </w:rPr>
        <w:t>in partnership with the G</w:t>
      </w:r>
      <w:r w:rsidR="00CC3449" w:rsidRPr="00813D19">
        <w:rPr>
          <w:lang w:val="en-US"/>
        </w:rPr>
        <w:t>overnment and other stakeholders to</w:t>
      </w:r>
      <w:r w:rsidR="0047370D">
        <w:rPr>
          <w:lang w:val="en-US"/>
        </w:rPr>
        <w:t xml:space="preserve"> achieve the development goals.</w:t>
      </w:r>
    </w:p>
    <w:p w14:paraId="4DCAEA17" w14:textId="3FC53990" w:rsidR="00844D03" w:rsidRPr="0047370D" w:rsidRDefault="009868E3" w:rsidP="00844D03">
      <w:pPr>
        <w:pStyle w:val="Orateurengris"/>
        <w:spacing w:before="120"/>
        <w:ind w:left="709" w:hanging="709"/>
        <w:rPr>
          <w:bCs/>
          <w:color w:val="000000" w:themeColor="text1"/>
          <w:lang w:val="en-US"/>
        </w:rPr>
      </w:pPr>
      <w:r w:rsidRPr="00813D19">
        <w:rPr>
          <w:lang w:val="en-US"/>
        </w:rPr>
        <w:t xml:space="preserve">The </w:t>
      </w:r>
      <w:r w:rsidRPr="00813D19">
        <w:rPr>
          <w:b/>
          <w:lang w:val="en-US"/>
        </w:rPr>
        <w:t>UN Resident Coordinator for Mauritius</w:t>
      </w:r>
      <w:r w:rsidRPr="00813D19">
        <w:rPr>
          <w:lang w:val="en-US"/>
        </w:rPr>
        <w:t xml:space="preserve"> explained that </w:t>
      </w:r>
      <w:r w:rsidR="00CC3449" w:rsidRPr="00813D19">
        <w:rPr>
          <w:lang w:val="en-US"/>
        </w:rPr>
        <w:t xml:space="preserve">the </w:t>
      </w:r>
      <w:r w:rsidR="00C02101" w:rsidRPr="00813D19">
        <w:rPr>
          <w:lang w:val="en-US"/>
        </w:rPr>
        <w:t>UN</w:t>
      </w:r>
      <w:r w:rsidRPr="00813D19">
        <w:rPr>
          <w:lang w:val="en-US"/>
        </w:rPr>
        <w:t xml:space="preserve"> </w:t>
      </w:r>
      <w:r w:rsidR="00CC3449" w:rsidRPr="00813D19">
        <w:rPr>
          <w:lang w:val="en-US"/>
        </w:rPr>
        <w:t>development goals include</w:t>
      </w:r>
      <w:r w:rsidR="00C02101" w:rsidRPr="00813D19">
        <w:rPr>
          <w:lang w:val="en-US"/>
        </w:rPr>
        <w:t>d</w:t>
      </w:r>
      <w:r w:rsidR="00CC3449" w:rsidRPr="00813D19">
        <w:rPr>
          <w:lang w:val="en-US"/>
        </w:rPr>
        <w:t xml:space="preserve"> culture and recognize</w:t>
      </w:r>
      <w:r w:rsidRPr="00813D19">
        <w:rPr>
          <w:lang w:val="en-US"/>
        </w:rPr>
        <w:t>d</w:t>
      </w:r>
      <w:r w:rsidR="00CC3449" w:rsidRPr="00813D19">
        <w:rPr>
          <w:lang w:val="en-US"/>
        </w:rPr>
        <w:t xml:space="preserve"> the role of culture as an intrinsic part of the human experience and as a driver of sustainable development. Living in Mauritius</w:t>
      </w:r>
      <w:r w:rsidRPr="00813D19">
        <w:rPr>
          <w:lang w:val="en-US"/>
        </w:rPr>
        <w:t>, she was</w:t>
      </w:r>
      <w:r w:rsidR="00CC3449" w:rsidRPr="00813D19">
        <w:rPr>
          <w:lang w:val="en-US"/>
        </w:rPr>
        <w:t xml:space="preserve"> </w:t>
      </w:r>
      <w:r w:rsidRPr="00813D19">
        <w:rPr>
          <w:lang w:val="en-US"/>
        </w:rPr>
        <w:t>reminded</w:t>
      </w:r>
      <w:r w:rsidR="00CC3449" w:rsidRPr="00813D19">
        <w:rPr>
          <w:lang w:val="en-US"/>
        </w:rPr>
        <w:t xml:space="preserve"> of how important and true </w:t>
      </w:r>
      <w:r w:rsidR="001B4E7C" w:rsidRPr="00813D19">
        <w:rPr>
          <w:lang w:val="en-US"/>
        </w:rPr>
        <w:t xml:space="preserve">the </w:t>
      </w:r>
      <w:r w:rsidR="00CC3449" w:rsidRPr="00813D19">
        <w:rPr>
          <w:lang w:val="en-US"/>
        </w:rPr>
        <w:t>principle</w:t>
      </w:r>
      <w:r w:rsidR="0058022B">
        <w:rPr>
          <w:lang w:val="en-US"/>
        </w:rPr>
        <w:t xml:space="preserve"> was</w:t>
      </w:r>
      <w:r w:rsidR="00CC3449" w:rsidRPr="00813D19">
        <w:rPr>
          <w:lang w:val="en-US"/>
        </w:rPr>
        <w:t>. These development goals acknowledge the power of culture for creating work and economic growth, reducing inequalities, protecting the environment, promoting gender equality and building peaceful and inclusive societies. In</w:t>
      </w:r>
      <w:r w:rsidR="001B4E7C" w:rsidRPr="00813D19">
        <w:rPr>
          <w:lang w:val="en-US"/>
        </w:rPr>
        <w:t xml:space="preserve"> doing so, the 2030 Agenda opened</w:t>
      </w:r>
      <w:r w:rsidR="00CC3449" w:rsidRPr="00813D19">
        <w:rPr>
          <w:lang w:val="en-US"/>
        </w:rPr>
        <w:t xml:space="preserve"> up new possibilities and fully </w:t>
      </w:r>
      <w:r w:rsidR="001B4E7C" w:rsidRPr="00813D19">
        <w:rPr>
          <w:lang w:val="en-US"/>
        </w:rPr>
        <w:t xml:space="preserve">brought </w:t>
      </w:r>
      <w:r w:rsidR="00CC3449" w:rsidRPr="00813D19">
        <w:rPr>
          <w:lang w:val="en-US"/>
        </w:rPr>
        <w:t>in UNESCO’s international Convention and recommendations aimed at preserving heritage and promoting culture. Working together towards achieving the SDGs also contribute</w:t>
      </w:r>
      <w:r w:rsidR="00205A4F" w:rsidRPr="00813D19">
        <w:rPr>
          <w:lang w:val="en-US"/>
        </w:rPr>
        <w:t>d</w:t>
      </w:r>
      <w:r w:rsidR="00CC3449" w:rsidRPr="00813D19">
        <w:rPr>
          <w:lang w:val="en-US"/>
        </w:rPr>
        <w:t xml:space="preserve"> to the vision of the Africa Union’s 2063 Agenda, which provides a strategic framework for the socio</w:t>
      </w:r>
      <w:r w:rsidR="001B4E7C" w:rsidRPr="00813D19">
        <w:rPr>
          <w:lang w:val="en-US"/>
        </w:rPr>
        <w:t>-</w:t>
      </w:r>
      <w:r w:rsidR="00CC3449" w:rsidRPr="00813D19">
        <w:rPr>
          <w:lang w:val="en-US"/>
        </w:rPr>
        <w:t xml:space="preserve">economic transformation of the continent over the next </w:t>
      </w:r>
      <w:r w:rsidR="0058022B">
        <w:rPr>
          <w:lang w:val="en-US"/>
        </w:rPr>
        <w:t>fifty</w:t>
      </w:r>
      <w:r w:rsidR="0058022B" w:rsidRPr="00813D19">
        <w:rPr>
          <w:lang w:val="en-US"/>
        </w:rPr>
        <w:t xml:space="preserve"> </w:t>
      </w:r>
      <w:r w:rsidR="00CC3449" w:rsidRPr="00813D19">
        <w:rPr>
          <w:lang w:val="en-US"/>
        </w:rPr>
        <w:t xml:space="preserve">years. Countries across Africa and around the globe </w:t>
      </w:r>
      <w:r w:rsidR="001B4E7C" w:rsidRPr="00813D19">
        <w:rPr>
          <w:lang w:val="en-US"/>
        </w:rPr>
        <w:t xml:space="preserve">were </w:t>
      </w:r>
      <w:r w:rsidR="00CC3449" w:rsidRPr="00813D19">
        <w:rPr>
          <w:lang w:val="en-US"/>
        </w:rPr>
        <w:t xml:space="preserve">recognizing the </w:t>
      </w:r>
      <w:r w:rsidR="001B4E7C" w:rsidRPr="00813D19">
        <w:rPr>
          <w:lang w:val="en-US"/>
        </w:rPr>
        <w:t xml:space="preserve">vast </w:t>
      </w:r>
      <w:r w:rsidR="00CC3449" w:rsidRPr="00813D19">
        <w:rPr>
          <w:lang w:val="en-US"/>
        </w:rPr>
        <w:t xml:space="preserve">scope of culture’s contribution to development. </w:t>
      </w:r>
      <w:r w:rsidR="001B4E7C" w:rsidRPr="00813D19">
        <w:rPr>
          <w:lang w:val="en-US"/>
        </w:rPr>
        <w:t xml:space="preserve">The Committee session was an opportunity to see </w:t>
      </w:r>
      <w:r w:rsidR="00CC3449" w:rsidRPr="00813D19">
        <w:rPr>
          <w:lang w:val="en-US"/>
        </w:rPr>
        <w:t>first-hand how culture can directly contribute to peace building, solidarity and reconciliation</w:t>
      </w:r>
      <w:r w:rsidR="0058022B">
        <w:rPr>
          <w:lang w:val="en-US"/>
        </w:rPr>
        <w:t xml:space="preserve">, </w:t>
      </w:r>
      <w:r w:rsidR="00205A4F" w:rsidRPr="00813D19">
        <w:rPr>
          <w:lang w:val="en-US"/>
        </w:rPr>
        <w:t>for example</w:t>
      </w:r>
      <w:r w:rsidR="0058022B">
        <w:rPr>
          <w:lang w:val="en-US"/>
        </w:rPr>
        <w:t xml:space="preserve"> through</w:t>
      </w:r>
      <w:r w:rsidR="00205A4F" w:rsidRPr="00813D19">
        <w:rPr>
          <w:lang w:val="en-US"/>
        </w:rPr>
        <w:t xml:space="preserve"> </w:t>
      </w:r>
      <w:r w:rsidR="00CC3449" w:rsidRPr="00813D19">
        <w:rPr>
          <w:lang w:val="en-US"/>
        </w:rPr>
        <w:t>the historical nomination of traditional Korean wrestling on the Representative List. Throughout the deliberation</w:t>
      </w:r>
      <w:r w:rsidR="001B4E7C" w:rsidRPr="00813D19">
        <w:rPr>
          <w:lang w:val="en-US"/>
        </w:rPr>
        <w:t xml:space="preserve">s, the </w:t>
      </w:r>
      <w:r w:rsidR="00CC3449" w:rsidRPr="00813D19">
        <w:rPr>
          <w:lang w:val="en-US"/>
        </w:rPr>
        <w:t>Committee</w:t>
      </w:r>
      <w:r w:rsidR="00BA4B78">
        <w:rPr>
          <w:lang w:val="en-US"/>
        </w:rPr>
        <w:t xml:space="preserve"> had</w:t>
      </w:r>
      <w:r w:rsidR="00CC3449" w:rsidRPr="00813D19">
        <w:rPr>
          <w:lang w:val="en-US"/>
        </w:rPr>
        <w:t xml:space="preserve"> highlighted h</w:t>
      </w:r>
      <w:r w:rsidR="001B4E7C" w:rsidRPr="00813D19">
        <w:rPr>
          <w:lang w:val="en-US"/>
        </w:rPr>
        <w:t>ow cultural heritage contributes</w:t>
      </w:r>
      <w:r w:rsidR="00CC3449" w:rsidRPr="00813D19">
        <w:rPr>
          <w:lang w:val="en-US"/>
        </w:rPr>
        <w:t xml:space="preserve"> to the social and culture being of communities throughout the world. </w:t>
      </w:r>
      <w:r w:rsidR="001B4E7C" w:rsidRPr="00813D19">
        <w:rPr>
          <w:lang w:val="en-US"/>
        </w:rPr>
        <w:t xml:space="preserve">It had </w:t>
      </w:r>
      <w:r w:rsidR="00CC3449" w:rsidRPr="00813D19">
        <w:rPr>
          <w:lang w:val="en-US"/>
        </w:rPr>
        <w:t xml:space="preserve">witnessed how </w:t>
      </w:r>
      <w:r w:rsidR="001B4E7C" w:rsidRPr="00813D19">
        <w:rPr>
          <w:lang w:val="en-US"/>
        </w:rPr>
        <w:t xml:space="preserve">the </w:t>
      </w:r>
      <w:r w:rsidR="00CC3449" w:rsidRPr="00813D19">
        <w:rPr>
          <w:lang w:val="en-US"/>
        </w:rPr>
        <w:t xml:space="preserve">safeguarding of intangible cultural heritage </w:t>
      </w:r>
      <w:r w:rsidR="001B4E7C" w:rsidRPr="00813D19">
        <w:rPr>
          <w:lang w:val="en-US"/>
        </w:rPr>
        <w:t xml:space="preserve">was </w:t>
      </w:r>
      <w:r w:rsidR="00CC3449" w:rsidRPr="00813D19">
        <w:rPr>
          <w:lang w:val="en-US"/>
        </w:rPr>
        <w:t>not an end in itself</w:t>
      </w:r>
      <w:r w:rsidR="001B4E7C" w:rsidRPr="00813D19">
        <w:rPr>
          <w:lang w:val="en-US"/>
        </w:rPr>
        <w:t>,</w:t>
      </w:r>
      <w:r w:rsidR="00CC3449" w:rsidRPr="00813D19">
        <w:rPr>
          <w:lang w:val="en-US"/>
        </w:rPr>
        <w:t xml:space="preserve"> but a vector for innovative and culturally appropriate responses to various development challenges in the world today. Knowledge and practices transmitted from generation to generation promote well-being, dignity and creativity</w:t>
      </w:r>
      <w:r w:rsidR="001B4E7C" w:rsidRPr="00813D19">
        <w:rPr>
          <w:lang w:val="en-US"/>
        </w:rPr>
        <w:t>,</w:t>
      </w:r>
      <w:r w:rsidR="00CC3449" w:rsidRPr="00813D19">
        <w:rPr>
          <w:lang w:val="en-US"/>
        </w:rPr>
        <w:t xml:space="preserve"> and contribute to attaining these development goals in many different areas, whether related to food and nutr</w:t>
      </w:r>
      <w:r w:rsidR="00205A4F" w:rsidRPr="00813D19">
        <w:rPr>
          <w:lang w:val="en-US"/>
        </w:rPr>
        <w:t>ition security, to biodiversity</w:t>
      </w:r>
      <w:r w:rsidR="00CC3449" w:rsidRPr="00813D19">
        <w:rPr>
          <w:lang w:val="en-US"/>
        </w:rPr>
        <w:t xml:space="preserve"> conservation</w:t>
      </w:r>
      <w:r w:rsidR="00205A4F" w:rsidRPr="00813D19">
        <w:rPr>
          <w:lang w:val="en-US"/>
        </w:rPr>
        <w:t>,</w:t>
      </w:r>
      <w:r w:rsidR="00CC3449" w:rsidRPr="00813D19">
        <w:rPr>
          <w:lang w:val="en-US"/>
        </w:rPr>
        <w:t xml:space="preserve"> sustainable natural resource management</w:t>
      </w:r>
      <w:r w:rsidR="001B4E7C" w:rsidRPr="00813D19">
        <w:rPr>
          <w:lang w:val="en-US"/>
        </w:rPr>
        <w:t>,</w:t>
      </w:r>
      <w:r w:rsidR="00CC3449" w:rsidRPr="00813D19">
        <w:rPr>
          <w:lang w:val="en-US"/>
        </w:rPr>
        <w:t xml:space="preserve"> or natural disaster preparedness and response</w:t>
      </w:r>
      <w:r w:rsidR="001B4E7C" w:rsidRPr="00813D19">
        <w:rPr>
          <w:lang w:val="en-US"/>
        </w:rPr>
        <w:t>. I</w:t>
      </w:r>
      <w:r w:rsidR="00CC3449" w:rsidRPr="00813D19">
        <w:rPr>
          <w:lang w:val="en-US"/>
        </w:rPr>
        <w:t xml:space="preserve">ntangible cultural heritage </w:t>
      </w:r>
      <w:r w:rsidR="001B4E7C" w:rsidRPr="00813D19">
        <w:rPr>
          <w:lang w:val="en-US"/>
        </w:rPr>
        <w:t xml:space="preserve">therefore had </w:t>
      </w:r>
      <w:r w:rsidR="00CC3449" w:rsidRPr="00813D19">
        <w:rPr>
          <w:lang w:val="en-US"/>
        </w:rPr>
        <w:t>an impo</w:t>
      </w:r>
      <w:r w:rsidR="001B4E7C" w:rsidRPr="00813D19">
        <w:rPr>
          <w:lang w:val="en-US"/>
        </w:rPr>
        <w:t>rtant role to play with regards</w:t>
      </w:r>
      <w:r w:rsidR="00CC3449" w:rsidRPr="00813D19">
        <w:rPr>
          <w:lang w:val="en-US"/>
        </w:rPr>
        <w:t xml:space="preserve"> </w:t>
      </w:r>
      <w:r w:rsidR="00BA4B78">
        <w:rPr>
          <w:lang w:val="en-US"/>
        </w:rPr>
        <w:t xml:space="preserve">to </w:t>
      </w:r>
      <w:r w:rsidR="00CC3449" w:rsidRPr="00813D19">
        <w:rPr>
          <w:lang w:val="en-US"/>
        </w:rPr>
        <w:t>environmental sustainability. Celebrations, rituals</w:t>
      </w:r>
      <w:r w:rsidR="00BA4B78">
        <w:rPr>
          <w:lang w:val="en-US"/>
        </w:rPr>
        <w:t xml:space="preserve"> and</w:t>
      </w:r>
      <w:r w:rsidR="00CC3449" w:rsidRPr="00813D19">
        <w:rPr>
          <w:lang w:val="en-US"/>
        </w:rPr>
        <w:t xml:space="preserve"> knowledge transmission systems are also important for communities to achieve inclusive social development, regain peace and resolve conflicts</w:t>
      </w:r>
      <w:r w:rsidR="001B4E7C" w:rsidRPr="00813D19">
        <w:rPr>
          <w:lang w:val="en-US"/>
        </w:rPr>
        <w:t>,</w:t>
      </w:r>
      <w:r w:rsidR="00CC3449" w:rsidRPr="00813D19">
        <w:rPr>
          <w:lang w:val="en-US"/>
        </w:rPr>
        <w:t xml:space="preserve"> as well </w:t>
      </w:r>
      <w:r w:rsidR="001B4E7C" w:rsidRPr="00813D19">
        <w:rPr>
          <w:lang w:val="en-US"/>
        </w:rPr>
        <w:t>as educate new generations. The Committee had thus</w:t>
      </w:r>
      <w:r w:rsidR="00CC3449" w:rsidRPr="00813D19">
        <w:rPr>
          <w:lang w:val="en-US"/>
        </w:rPr>
        <w:t xml:space="preserve"> moved one step forward </w:t>
      </w:r>
      <w:r w:rsidR="00BA4B78">
        <w:rPr>
          <w:lang w:val="en-US"/>
        </w:rPr>
        <w:t>i</w:t>
      </w:r>
      <w:r w:rsidR="00CC3449" w:rsidRPr="00813D19">
        <w:rPr>
          <w:lang w:val="en-US"/>
        </w:rPr>
        <w:t>n the programme of work that the 178 Stat</w:t>
      </w:r>
      <w:r w:rsidR="006F1306" w:rsidRPr="00813D19">
        <w:rPr>
          <w:lang w:val="en-US"/>
        </w:rPr>
        <w:t>es Parties to the Convention had</w:t>
      </w:r>
      <w:r w:rsidR="00CC3449" w:rsidRPr="00813D19">
        <w:rPr>
          <w:lang w:val="en-US"/>
        </w:rPr>
        <w:t xml:space="preserve"> set out to </w:t>
      </w:r>
      <w:r w:rsidR="001B4E7C" w:rsidRPr="00813D19">
        <w:rPr>
          <w:lang w:val="en-US"/>
        </w:rPr>
        <w:t>accomplish</w:t>
      </w:r>
      <w:r w:rsidR="00CC3449" w:rsidRPr="00813D19">
        <w:rPr>
          <w:lang w:val="en-US"/>
        </w:rPr>
        <w:t>. Each step, eac</w:t>
      </w:r>
      <w:r w:rsidR="001B4E7C" w:rsidRPr="00813D19">
        <w:rPr>
          <w:lang w:val="en-US"/>
        </w:rPr>
        <w:t>h decision contributed</w:t>
      </w:r>
      <w:r w:rsidR="00CC3449" w:rsidRPr="00813D19">
        <w:rPr>
          <w:lang w:val="en-US"/>
        </w:rPr>
        <w:t xml:space="preserve"> to improving the lives of people, communities and societies. Whether it </w:t>
      </w:r>
      <w:r w:rsidR="001B4E7C" w:rsidRPr="00813D19">
        <w:rPr>
          <w:lang w:val="en-US"/>
        </w:rPr>
        <w:t xml:space="preserve">concerned </w:t>
      </w:r>
      <w:r w:rsidR="00CC3449" w:rsidRPr="00813D19">
        <w:rPr>
          <w:lang w:val="en-US"/>
        </w:rPr>
        <w:t>decisions on inscription</w:t>
      </w:r>
      <w:r w:rsidR="001B4E7C" w:rsidRPr="00813D19">
        <w:rPr>
          <w:lang w:val="en-US"/>
        </w:rPr>
        <w:t>,</w:t>
      </w:r>
      <w:r w:rsidR="00CC3449" w:rsidRPr="00813D19">
        <w:rPr>
          <w:lang w:val="en-US"/>
        </w:rPr>
        <w:t xml:space="preserve"> the inclusion on the Register of Good Safeguarding Practices or the funding of community-based projects</w:t>
      </w:r>
      <w:r w:rsidR="001B4E7C" w:rsidRPr="00813D19">
        <w:rPr>
          <w:lang w:val="en-US"/>
        </w:rPr>
        <w:t>,</w:t>
      </w:r>
      <w:r w:rsidR="00CC3449" w:rsidRPr="00813D19">
        <w:rPr>
          <w:lang w:val="en-US"/>
        </w:rPr>
        <w:t xml:space="preserve"> it </w:t>
      </w:r>
      <w:r w:rsidR="001B4E7C" w:rsidRPr="00813D19">
        <w:rPr>
          <w:lang w:val="en-US"/>
        </w:rPr>
        <w:t xml:space="preserve">was a </w:t>
      </w:r>
      <w:r w:rsidR="00CC3449" w:rsidRPr="00813D19">
        <w:rPr>
          <w:lang w:val="en-US"/>
        </w:rPr>
        <w:t xml:space="preserve">common task for countries and the </w:t>
      </w:r>
      <w:r w:rsidR="00BA4B78">
        <w:rPr>
          <w:lang w:val="en-US"/>
        </w:rPr>
        <w:t>UN</w:t>
      </w:r>
      <w:r w:rsidR="00CC3449" w:rsidRPr="00813D19">
        <w:rPr>
          <w:lang w:val="en-US"/>
        </w:rPr>
        <w:t xml:space="preserve"> development system as a whole to ensure the implementation of the 2030 Agenda and to increase the recognition of the importance of safeguarding </w:t>
      </w:r>
      <w:r w:rsidR="001B4E7C" w:rsidRPr="00813D19">
        <w:rPr>
          <w:lang w:val="en-US"/>
        </w:rPr>
        <w:t xml:space="preserve">living heritage, </w:t>
      </w:r>
      <w:r w:rsidR="00CC3449" w:rsidRPr="00813D19">
        <w:rPr>
          <w:lang w:val="en-US"/>
        </w:rPr>
        <w:t>steer</w:t>
      </w:r>
      <w:r w:rsidR="001B4E7C" w:rsidRPr="00813D19">
        <w:rPr>
          <w:lang w:val="en-US"/>
        </w:rPr>
        <w:t>ing</w:t>
      </w:r>
      <w:r w:rsidR="00CC3449" w:rsidRPr="00813D19">
        <w:rPr>
          <w:lang w:val="en-US"/>
        </w:rPr>
        <w:t xml:space="preserve"> </w:t>
      </w:r>
      <w:r w:rsidR="006F1306" w:rsidRPr="00813D19">
        <w:rPr>
          <w:lang w:val="en-US"/>
        </w:rPr>
        <w:t xml:space="preserve">the </w:t>
      </w:r>
      <w:r w:rsidR="00CC3449" w:rsidRPr="00813D19">
        <w:rPr>
          <w:lang w:val="en-US"/>
        </w:rPr>
        <w:t xml:space="preserve">future towards a path of sustainability. </w:t>
      </w:r>
      <w:r w:rsidR="001B4E7C" w:rsidRPr="00813D19">
        <w:rPr>
          <w:lang w:val="en-US"/>
        </w:rPr>
        <w:t>Ms Umutoni</w:t>
      </w:r>
      <w:r w:rsidR="001B4E7C" w:rsidRPr="00813D19">
        <w:rPr>
          <w:b/>
          <w:lang w:val="en-US"/>
        </w:rPr>
        <w:t xml:space="preserve"> </w:t>
      </w:r>
      <w:r w:rsidR="001B4E7C" w:rsidRPr="00813D19">
        <w:rPr>
          <w:lang w:val="en-US"/>
        </w:rPr>
        <w:t xml:space="preserve">thanked everyone, wishing all </w:t>
      </w:r>
      <w:r w:rsidR="006F1306" w:rsidRPr="00813D19">
        <w:rPr>
          <w:lang w:val="en-US"/>
        </w:rPr>
        <w:t xml:space="preserve">the </w:t>
      </w:r>
      <w:r w:rsidR="001B4E7C" w:rsidRPr="00813D19">
        <w:rPr>
          <w:lang w:val="en-US"/>
        </w:rPr>
        <w:t xml:space="preserve">delegates </w:t>
      </w:r>
      <w:r w:rsidR="006F1306" w:rsidRPr="00813D19">
        <w:rPr>
          <w:lang w:val="en-US"/>
        </w:rPr>
        <w:t xml:space="preserve">a </w:t>
      </w:r>
      <w:r w:rsidR="00CC3449" w:rsidRPr="00813D19">
        <w:rPr>
          <w:lang w:val="en-US"/>
        </w:rPr>
        <w:t xml:space="preserve">safe </w:t>
      </w:r>
      <w:r w:rsidR="006F1306" w:rsidRPr="00813D19">
        <w:rPr>
          <w:lang w:val="en-US"/>
        </w:rPr>
        <w:t>journey</w:t>
      </w:r>
      <w:r w:rsidR="001B4E7C" w:rsidRPr="00813D19">
        <w:rPr>
          <w:lang w:val="en-US"/>
        </w:rPr>
        <w:t xml:space="preserve"> </w:t>
      </w:r>
      <w:r w:rsidR="0047370D">
        <w:rPr>
          <w:lang w:val="en-US"/>
        </w:rPr>
        <w:t>home.</w:t>
      </w:r>
    </w:p>
    <w:p w14:paraId="176B53E6" w14:textId="5DE1C1AE" w:rsidR="00C01005" w:rsidRPr="00813D19" w:rsidRDefault="00844D03" w:rsidP="00C01005">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Assistant Director-General of UNESCO</w:t>
      </w:r>
      <w:r w:rsidRPr="00813D19">
        <w:rPr>
          <w:color w:val="000000" w:themeColor="text1"/>
          <w:lang w:val="en-US"/>
        </w:rPr>
        <w:t xml:space="preserve">, </w:t>
      </w:r>
      <w:r w:rsidRPr="00813D19">
        <w:rPr>
          <w:b/>
          <w:color w:val="000000" w:themeColor="text1"/>
          <w:lang w:val="en-US"/>
        </w:rPr>
        <w:t>Mr Ernest</w:t>
      </w:r>
      <w:r w:rsidR="00232F13" w:rsidRPr="00813D19">
        <w:rPr>
          <w:b/>
          <w:color w:val="000000" w:themeColor="text1"/>
          <w:lang w:val="en-US"/>
        </w:rPr>
        <w:t>o</w:t>
      </w:r>
      <w:r w:rsidRPr="00813D19">
        <w:rPr>
          <w:b/>
          <w:color w:val="000000" w:themeColor="text1"/>
          <w:lang w:val="en-US"/>
        </w:rPr>
        <w:t xml:space="preserve"> Ottone</w:t>
      </w:r>
      <w:r w:rsidRPr="00813D19">
        <w:rPr>
          <w:color w:val="000000" w:themeColor="text1"/>
          <w:lang w:val="en-US"/>
        </w:rPr>
        <w:t>,</w:t>
      </w:r>
      <w:r w:rsidRPr="00813D19">
        <w:rPr>
          <w:b/>
          <w:color w:val="000000" w:themeColor="text1"/>
          <w:lang w:val="en-US"/>
        </w:rPr>
        <w:t xml:space="preserve"> </w:t>
      </w:r>
      <w:r w:rsidR="00C01005" w:rsidRPr="00813D19">
        <w:rPr>
          <w:color w:val="000000" w:themeColor="text1"/>
          <w:lang w:val="en-US"/>
        </w:rPr>
        <w:t xml:space="preserve">expressed sincere gratitude to the Chairperson for his </w:t>
      </w:r>
      <w:r w:rsidR="006F1306" w:rsidRPr="00813D19">
        <w:rPr>
          <w:color w:val="000000" w:themeColor="text1"/>
          <w:lang w:val="en-US"/>
        </w:rPr>
        <w:t>excellent leadership</w:t>
      </w:r>
      <w:r w:rsidR="00C01005" w:rsidRPr="00813D19">
        <w:rPr>
          <w:color w:val="000000" w:themeColor="text1"/>
          <w:lang w:val="en-US"/>
        </w:rPr>
        <w:t xml:space="preserve"> </w:t>
      </w:r>
      <w:r w:rsidR="006F1306" w:rsidRPr="00813D19">
        <w:rPr>
          <w:color w:val="000000" w:themeColor="text1"/>
          <w:lang w:val="en-US"/>
        </w:rPr>
        <w:t>and</w:t>
      </w:r>
      <w:r w:rsidR="00C01005" w:rsidRPr="00813D19">
        <w:rPr>
          <w:color w:val="000000" w:themeColor="text1"/>
          <w:lang w:val="en-US"/>
        </w:rPr>
        <w:t xml:space="preserve"> for the effective and constructive deliberations, allowing the Committee to consider a number of crucial issues related to the implementation of the Convention. Warmest thanks went to the authorities of Mauritius for the extraordinary organization</w:t>
      </w:r>
      <w:r w:rsidR="00BA4B78">
        <w:rPr>
          <w:color w:val="000000" w:themeColor="text1"/>
          <w:lang w:val="en-US"/>
        </w:rPr>
        <w:t>;</w:t>
      </w:r>
      <w:r w:rsidR="00C01005" w:rsidRPr="00813D19">
        <w:rPr>
          <w:color w:val="000000" w:themeColor="text1"/>
          <w:lang w:val="en-US"/>
        </w:rPr>
        <w:t xml:space="preserve"> </w:t>
      </w:r>
      <w:r w:rsidR="00BA4B78">
        <w:rPr>
          <w:color w:val="000000" w:themeColor="text1"/>
          <w:lang w:val="en-US"/>
        </w:rPr>
        <w:t>their</w:t>
      </w:r>
      <w:r w:rsidR="00BA4B78" w:rsidRPr="00813D19">
        <w:rPr>
          <w:color w:val="000000" w:themeColor="text1"/>
          <w:lang w:val="en-US"/>
        </w:rPr>
        <w:t xml:space="preserve"> </w:t>
      </w:r>
      <w:r w:rsidR="00C01005" w:rsidRPr="00813D19">
        <w:rPr>
          <w:color w:val="000000" w:themeColor="text1"/>
          <w:lang w:val="en-US"/>
        </w:rPr>
        <w:t xml:space="preserve">hospitality </w:t>
      </w:r>
      <w:r w:rsidR="00BA4B78">
        <w:rPr>
          <w:color w:val="000000" w:themeColor="text1"/>
          <w:lang w:val="en-US"/>
        </w:rPr>
        <w:t>would</w:t>
      </w:r>
      <w:r w:rsidR="00BA4B78" w:rsidRPr="00813D19">
        <w:rPr>
          <w:color w:val="000000" w:themeColor="text1"/>
          <w:lang w:val="en-US"/>
        </w:rPr>
        <w:t xml:space="preserve"> </w:t>
      </w:r>
      <w:r w:rsidR="00C01005" w:rsidRPr="00813D19">
        <w:rPr>
          <w:color w:val="000000" w:themeColor="text1"/>
          <w:lang w:val="en-US"/>
        </w:rPr>
        <w:t>stay in the delegates’ hearts. Mr Ottone was particularly impressed by the level of debate during these six days, as well as by the commitment of all States Parties to the safeguarding of intangible cultural heritage. Together, the work of the Convention was said to be immensely relevant to UNESCO’s broader commitment to peace; the unprecedented joint inscription of the two Korea</w:t>
      </w:r>
      <w:r w:rsidR="006F1306" w:rsidRPr="00813D19">
        <w:rPr>
          <w:color w:val="000000" w:themeColor="text1"/>
          <w:lang w:val="en-US"/>
        </w:rPr>
        <w:t>n</w:t>
      </w:r>
      <w:r w:rsidR="00C01005" w:rsidRPr="00813D19">
        <w:rPr>
          <w:color w:val="000000" w:themeColor="text1"/>
          <w:lang w:val="en-US"/>
        </w:rPr>
        <w:t xml:space="preserve"> nations was a historic moment that marked a symbolic step towards inter-Korean reconciliation. To this end, UNESCO strives to inspire peace in the minds of men and women and, in Mauritius, events necessarily reminded </w:t>
      </w:r>
      <w:r w:rsidR="006F1306" w:rsidRPr="00813D19">
        <w:rPr>
          <w:color w:val="000000" w:themeColor="text1"/>
          <w:lang w:val="en-US"/>
        </w:rPr>
        <w:t>everyone</w:t>
      </w:r>
      <w:r w:rsidR="00C01005" w:rsidRPr="00813D19">
        <w:rPr>
          <w:color w:val="000000" w:themeColor="text1"/>
          <w:lang w:val="en-US"/>
        </w:rPr>
        <w:t xml:space="preserve"> that culture can be at the forefront of this consolidation of peace. Intangible cultural heritage is first and foremost about communities, giving them a voice that includes the bearers, practitioners, elders, women and young people from all parts of the world. This living heritage clearly held the power to carry out actions for diversity and dialogue, to promote unity and harmony between peoples, as well as for inclusive and peaceful societies. No society can flourish without culture, without identity, without people. Living intangible cultural heritage, which has the best interests of its communities at heart and a rich source of knowledge and creative practices, provides the means to meet the challenges of a complex and rapidly changing world. It undoubtedly plays a decisive role in shaping a better and sustainable future for all, in addition to promoting a significant transformation for future generations. Mr Ottone firmly believed that the Committee’s work </w:t>
      </w:r>
      <w:r w:rsidR="00BA4B78">
        <w:rPr>
          <w:color w:val="000000" w:themeColor="text1"/>
          <w:lang w:val="en-US"/>
        </w:rPr>
        <w:t xml:space="preserve">would </w:t>
      </w:r>
      <w:r w:rsidR="00C01005" w:rsidRPr="00813D19">
        <w:rPr>
          <w:color w:val="000000" w:themeColor="text1"/>
          <w:lang w:val="en-US"/>
        </w:rPr>
        <w:t xml:space="preserve">have a significant and lasting impact, well beyond this session. As it moved forward together in a spirit of collaboration and solidarity to achieve common goals, the Convention </w:t>
      </w:r>
      <w:r w:rsidR="00BA4B78">
        <w:rPr>
          <w:color w:val="000000" w:themeColor="text1"/>
          <w:lang w:val="en-US"/>
        </w:rPr>
        <w:t>would</w:t>
      </w:r>
      <w:r w:rsidR="00BA4B78" w:rsidRPr="00813D19">
        <w:rPr>
          <w:color w:val="000000" w:themeColor="text1"/>
          <w:lang w:val="en-US"/>
        </w:rPr>
        <w:t xml:space="preserve"> </w:t>
      </w:r>
      <w:r w:rsidR="00C01005" w:rsidRPr="00813D19">
        <w:rPr>
          <w:color w:val="000000" w:themeColor="text1"/>
          <w:lang w:val="en-US"/>
        </w:rPr>
        <w:t>continue to serve as a valuable platform for international cooperation, as well as for reflection and engagement on key issues of concern. Mr Ottone remarked that the commitment and dedication to living heritage and the Convention shown by all would remain a source of inspiration, shedding significant light on the future of the Convention, but a</w:t>
      </w:r>
      <w:r w:rsidR="00196CBC" w:rsidRPr="00813D19">
        <w:rPr>
          <w:color w:val="000000" w:themeColor="text1"/>
          <w:lang w:val="en-US"/>
        </w:rPr>
        <w:t xml:space="preserve">lso of UNESCO's Culture Sector, citing </w:t>
      </w:r>
      <w:r w:rsidR="00C01005" w:rsidRPr="00813D19">
        <w:rPr>
          <w:color w:val="000000" w:themeColor="text1"/>
          <w:lang w:val="en-US"/>
        </w:rPr>
        <w:t xml:space="preserve">three key words </w:t>
      </w:r>
      <w:r w:rsidR="00196CBC" w:rsidRPr="00813D19">
        <w:rPr>
          <w:color w:val="000000" w:themeColor="text1"/>
          <w:lang w:val="en-US"/>
        </w:rPr>
        <w:t xml:space="preserve">spoken </w:t>
      </w:r>
      <w:r w:rsidR="00C01005" w:rsidRPr="00813D19">
        <w:rPr>
          <w:color w:val="000000" w:themeColor="text1"/>
          <w:lang w:val="en-US"/>
        </w:rPr>
        <w:t>at this session</w:t>
      </w:r>
      <w:r w:rsidR="00BA4B78">
        <w:rPr>
          <w:color w:val="000000" w:themeColor="text1"/>
          <w:lang w:val="en-US"/>
        </w:rPr>
        <w:t>:</w:t>
      </w:r>
      <w:r w:rsidR="00C01005" w:rsidRPr="00813D19">
        <w:rPr>
          <w:color w:val="000000" w:themeColor="text1"/>
          <w:lang w:val="en-US"/>
        </w:rPr>
        <w:t xml:space="preserve"> ‘dialogue’, ‘follow-up’ and ‘</w:t>
      </w:r>
      <w:r w:rsidR="00196CBC" w:rsidRPr="00813D19">
        <w:rPr>
          <w:color w:val="000000" w:themeColor="text1"/>
          <w:lang w:val="en-US"/>
        </w:rPr>
        <w:t>safeguarding</w:t>
      </w:r>
      <w:r w:rsidR="00BA4B78">
        <w:rPr>
          <w:color w:val="000000" w:themeColor="text1"/>
          <w:lang w:val="en-US"/>
        </w:rPr>
        <w:t>’</w:t>
      </w:r>
      <w:r w:rsidR="00C01005" w:rsidRPr="00813D19">
        <w:rPr>
          <w:color w:val="000000" w:themeColor="text1"/>
          <w:lang w:val="en-US"/>
        </w:rPr>
        <w:t xml:space="preserve">. </w:t>
      </w:r>
      <w:r w:rsidR="00196CBC" w:rsidRPr="00813D19">
        <w:rPr>
          <w:color w:val="000000" w:themeColor="text1"/>
          <w:lang w:val="en-US"/>
        </w:rPr>
        <w:t xml:space="preserve">Mr Ottone </w:t>
      </w:r>
      <w:r w:rsidR="00C01005" w:rsidRPr="00813D19">
        <w:rPr>
          <w:color w:val="000000" w:themeColor="text1"/>
          <w:lang w:val="en-US"/>
        </w:rPr>
        <w:t>recognize</w:t>
      </w:r>
      <w:r w:rsidR="00196CBC" w:rsidRPr="00813D19">
        <w:rPr>
          <w:color w:val="000000" w:themeColor="text1"/>
          <w:lang w:val="en-US"/>
        </w:rPr>
        <w:t>d</w:t>
      </w:r>
      <w:r w:rsidR="00C01005" w:rsidRPr="00813D19">
        <w:rPr>
          <w:color w:val="000000" w:themeColor="text1"/>
          <w:lang w:val="en-US"/>
        </w:rPr>
        <w:t xml:space="preserve"> all the exceptional work </w:t>
      </w:r>
      <w:r w:rsidR="00196CBC" w:rsidRPr="00813D19">
        <w:rPr>
          <w:color w:val="000000" w:themeColor="text1"/>
          <w:lang w:val="en-US"/>
        </w:rPr>
        <w:t xml:space="preserve">being done, </w:t>
      </w:r>
      <w:r w:rsidR="00C01005" w:rsidRPr="00813D19">
        <w:rPr>
          <w:color w:val="000000" w:themeColor="text1"/>
          <w:lang w:val="en-US"/>
        </w:rPr>
        <w:t xml:space="preserve">not </w:t>
      </w:r>
      <w:r w:rsidR="00196CBC" w:rsidRPr="00813D19">
        <w:rPr>
          <w:color w:val="000000" w:themeColor="text1"/>
          <w:lang w:val="en-US"/>
        </w:rPr>
        <w:t xml:space="preserve">only </w:t>
      </w:r>
      <w:r w:rsidR="00BA4B78">
        <w:rPr>
          <w:color w:val="000000" w:themeColor="text1"/>
          <w:lang w:val="en-US"/>
        </w:rPr>
        <w:t xml:space="preserve">within </w:t>
      </w:r>
      <w:r w:rsidR="00196CBC" w:rsidRPr="00813D19">
        <w:rPr>
          <w:color w:val="000000" w:themeColor="text1"/>
          <w:lang w:val="en-US"/>
        </w:rPr>
        <w:t>the S</w:t>
      </w:r>
      <w:r w:rsidR="006F1306" w:rsidRPr="00813D19">
        <w:rPr>
          <w:color w:val="000000" w:themeColor="text1"/>
          <w:lang w:val="en-US"/>
        </w:rPr>
        <w:t xml:space="preserve">ecretariat </w:t>
      </w:r>
      <w:r w:rsidR="00C01005" w:rsidRPr="00813D19">
        <w:rPr>
          <w:color w:val="000000" w:themeColor="text1"/>
          <w:lang w:val="en-US"/>
        </w:rPr>
        <w:t xml:space="preserve">but </w:t>
      </w:r>
      <w:r w:rsidR="006F1306" w:rsidRPr="00813D19">
        <w:rPr>
          <w:color w:val="000000" w:themeColor="text1"/>
          <w:lang w:val="en-US"/>
        </w:rPr>
        <w:t>by</w:t>
      </w:r>
      <w:r w:rsidR="00C01005" w:rsidRPr="00813D19">
        <w:rPr>
          <w:color w:val="000000" w:themeColor="text1"/>
          <w:lang w:val="en-US"/>
        </w:rPr>
        <w:t xml:space="preserve"> </w:t>
      </w:r>
      <w:r w:rsidR="006308BA" w:rsidRPr="00813D19">
        <w:rPr>
          <w:color w:val="000000" w:themeColor="text1"/>
          <w:lang w:val="en-US"/>
        </w:rPr>
        <w:t xml:space="preserve">everyone </w:t>
      </w:r>
      <w:r w:rsidR="00C01005" w:rsidRPr="00813D19">
        <w:rPr>
          <w:color w:val="000000" w:themeColor="text1"/>
          <w:lang w:val="en-US"/>
        </w:rPr>
        <w:t xml:space="preserve">that </w:t>
      </w:r>
      <w:r w:rsidR="006F1306" w:rsidRPr="00813D19">
        <w:rPr>
          <w:color w:val="000000" w:themeColor="text1"/>
          <w:lang w:val="en-US"/>
        </w:rPr>
        <w:t>contributed</w:t>
      </w:r>
      <w:r w:rsidR="006308BA" w:rsidRPr="00813D19">
        <w:rPr>
          <w:color w:val="000000" w:themeColor="text1"/>
          <w:lang w:val="en-US"/>
        </w:rPr>
        <w:t xml:space="preserve"> to</w:t>
      </w:r>
      <w:r w:rsidR="006F1306" w:rsidRPr="00813D19">
        <w:rPr>
          <w:color w:val="000000" w:themeColor="text1"/>
          <w:lang w:val="en-US"/>
        </w:rPr>
        <w:t>wards safeguard</w:t>
      </w:r>
      <w:r w:rsidR="006308BA" w:rsidRPr="00813D19">
        <w:rPr>
          <w:color w:val="000000" w:themeColor="text1"/>
          <w:lang w:val="en-US"/>
        </w:rPr>
        <w:t xml:space="preserve">ing </w:t>
      </w:r>
      <w:r w:rsidR="006F1306" w:rsidRPr="00813D19">
        <w:rPr>
          <w:color w:val="000000" w:themeColor="text1"/>
          <w:lang w:val="en-US"/>
        </w:rPr>
        <w:t>living heritage.</w:t>
      </w:r>
      <w:r w:rsidR="00C01005" w:rsidRPr="00813D19">
        <w:rPr>
          <w:color w:val="000000" w:themeColor="text1"/>
          <w:lang w:val="en-US"/>
        </w:rPr>
        <w:t xml:space="preserve"> </w:t>
      </w:r>
      <w:r w:rsidR="006F1306" w:rsidRPr="00813D19">
        <w:rPr>
          <w:color w:val="000000" w:themeColor="text1"/>
          <w:lang w:val="en-US"/>
        </w:rPr>
        <w:t>A</w:t>
      </w:r>
      <w:r w:rsidR="006308BA" w:rsidRPr="00813D19">
        <w:rPr>
          <w:color w:val="000000" w:themeColor="text1"/>
          <w:lang w:val="en-US"/>
        </w:rPr>
        <w:t xml:space="preserve"> round of applause </w:t>
      </w:r>
      <w:r w:rsidR="006F1306" w:rsidRPr="00813D19">
        <w:rPr>
          <w:color w:val="000000" w:themeColor="text1"/>
          <w:lang w:val="en-US"/>
        </w:rPr>
        <w:t xml:space="preserve">was given </w:t>
      </w:r>
      <w:r w:rsidR="006308BA" w:rsidRPr="00813D19">
        <w:rPr>
          <w:color w:val="000000" w:themeColor="text1"/>
          <w:lang w:val="en-US"/>
        </w:rPr>
        <w:t xml:space="preserve">to the </w:t>
      </w:r>
      <w:r w:rsidR="00C01005" w:rsidRPr="00813D19">
        <w:rPr>
          <w:color w:val="000000" w:themeColor="text1"/>
          <w:lang w:val="en-US"/>
        </w:rPr>
        <w:t xml:space="preserve">interpreters, technicians and translators. </w:t>
      </w:r>
      <w:r w:rsidR="006308BA" w:rsidRPr="00813D19">
        <w:rPr>
          <w:color w:val="000000" w:themeColor="text1"/>
          <w:lang w:val="en-US"/>
        </w:rPr>
        <w:t xml:space="preserve">Mr Ottone concluded with some words in Spanish to congratulate the Chairperson on the </w:t>
      </w:r>
      <w:r w:rsidR="00813D19" w:rsidRPr="00813D19">
        <w:rPr>
          <w:color w:val="000000" w:themeColor="text1"/>
          <w:lang w:val="en-US"/>
        </w:rPr>
        <w:t>extraordinary</w:t>
      </w:r>
      <w:r w:rsidR="006308BA" w:rsidRPr="00813D19">
        <w:rPr>
          <w:color w:val="000000" w:themeColor="text1"/>
          <w:lang w:val="en-US"/>
        </w:rPr>
        <w:t xml:space="preserve"> week, as well as the members of GRULAC for the </w:t>
      </w:r>
      <w:r w:rsidR="006F1306" w:rsidRPr="00813D19">
        <w:rPr>
          <w:color w:val="000000" w:themeColor="text1"/>
          <w:lang w:val="en-US"/>
        </w:rPr>
        <w:t>upcoming Committee session in Bogotá</w:t>
      </w:r>
      <w:r w:rsidR="0047370D">
        <w:rPr>
          <w:color w:val="000000" w:themeColor="text1"/>
          <w:lang w:val="en-US"/>
        </w:rPr>
        <w:t>.</w:t>
      </w:r>
    </w:p>
    <w:p w14:paraId="2BDB962A" w14:textId="04204838" w:rsidR="006308BA" w:rsidRPr="00813D19" w:rsidRDefault="006308BA" w:rsidP="00C01005">
      <w:pPr>
        <w:pStyle w:val="Orateurengris"/>
        <w:spacing w:before="120"/>
        <w:ind w:left="709" w:hanging="709"/>
        <w:rPr>
          <w:color w:val="000000" w:themeColor="text1"/>
          <w:lang w:val="en-US"/>
        </w:rPr>
      </w:pPr>
      <w:r w:rsidRPr="00813D19">
        <w:rPr>
          <w:lang w:val="en-US"/>
        </w:rPr>
        <w:t xml:space="preserve">The </w:t>
      </w:r>
      <w:r w:rsidRPr="00813D19">
        <w:rPr>
          <w:b/>
          <w:lang w:val="en-US"/>
        </w:rPr>
        <w:t>Chairperson</w:t>
      </w:r>
      <w:r w:rsidRPr="00813D19">
        <w:rPr>
          <w:lang w:val="en-US"/>
        </w:rPr>
        <w:t xml:space="preserve"> thanked the Assistant Director-General for his words of appreciation, opening the floo</w:t>
      </w:r>
      <w:r w:rsidR="0047370D">
        <w:rPr>
          <w:lang w:val="en-US"/>
        </w:rPr>
        <w:t>r for final closing statements.</w:t>
      </w:r>
    </w:p>
    <w:p w14:paraId="58B50E98" w14:textId="38D012F8" w:rsidR="00D343FC" w:rsidRPr="0047370D" w:rsidRDefault="00D343FC"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CC3449" w:rsidRPr="00813D19">
        <w:rPr>
          <w:b/>
          <w:color w:val="000000" w:themeColor="text1"/>
          <w:lang w:val="en-US"/>
        </w:rPr>
        <w:t xml:space="preserve"> </w:t>
      </w:r>
      <w:r w:rsidR="00CC3449" w:rsidRPr="00813D19">
        <w:rPr>
          <w:lang w:val="en-US"/>
        </w:rPr>
        <w:t>warmly thank</w:t>
      </w:r>
      <w:r w:rsidR="00381687" w:rsidRPr="00813D19">
        <w:rPr>
          <w:lang w:val="en-US"/>
        </w:rPr>
        <w:t>ed</w:t>
      </w:r>
      <w:r w:rsidR="00CC3449" w:rsidRPr="00813D19">
        <w:rPr>
          <w:lang w:val="en-US"/>
        </w:rPr>
        <w:t xml:space="preserve"> all those who </w:t>
      </w:r>
      <w:r w:rsidR="00BA4B78">
        <w:rPr>
          <w:lang w:val="en-US"/>
        </w:rPr>
        <w:t xml:space="preserve">had </w:t>
      </w:r>
      <w:r w:rsidR="00CC3449" w:rsidRPr="00813D19">
        <w:rPr>
          <w:lang w:val="en-US"/>
        </w:rPr>
        <w:t xml:space="preserve">contributed to the success of </w:t>
      </w:r>
      <w:r w:rsidR="00381687" w:rsidRPr="00813D19">
        <w:rPr>
          <w:lang w:val="en-US"/>
        </w:rPr>
        <w:t xml:space="preserve">the </w:t>
      </w:r>
      <w:r w:rsidR="00CC3449" w:rsidRPr="00813D19">
        <w:rPr>
          <w:lang w:val="en-US"/>
        </w:rPr>
        <w:t>Committee session</w:t>
      </w:r>
      <w:r w:rsidR="00381687" w:rsidRPr="00813D19">
        <w:rPr>
          <w:lang w:val="en-US"/>
        </w:rPr>
        <w:t>,</w:t>
      </w:r>
      <w:r w:rsidR="00CC3449" w:rsidRPr="00813D19">
        <w:rPr>
          <w:lang w:val="en-US"/>
        </w:rPr>
        <w:t xml:space="preserve"> </w:t>
      </w:r>
      <w:r w:rsidR="0057437D" w:rsidRPr="00813D19">
        <w:rPr>
          <w:lang w:val="en-US"/>
        </w:rPr>
        <w:t xml:space="preserve">the </w:t>
      </w:r>
      <w:r w:rsidR="00CC3449" w:rsidRPr="00813D19">
        <w:rPr>
          <w:lang w:val="en-US"/>
        </w:rPr>
        <w:t>A</w:t>
      </w:r>
      <w:r w:rsidR="00381687" w:rsidRPr="00813D19">
        <w:rPr>
          <w:lang w:val="en-US"/>
        </w:rPr>
        <w:t xml:space="preserve">ssistant </w:t>
      </w:r>
      <w:r w:rsidR="00CC3449" w:rsidRPr="00813D19">
        <w:rPr>
          <w:lang w:val="en-US"/>
        </w:rPr>
        <w:t>D</w:t>
      </w:r>
      <w:r w:rsidR="00381687" w:rsidRPr="00813D19">
        <w:rPr>
          <w:lang w:val="en-US"/>
        </w:rPr>
        <w:t>irector-</w:t>
      </w:r>
      <w:r w:rsidR="00CC3449" w:rsidRPr="00813D19">
        <w:rPr>
          <w:lang w:val="en-US"/>
        </w:rPr>
        <w:t>G</w:t>
      </w:r>
      <w:r w:rsidR="00381687" w:rsidRPr="00813D19">
        <w:rPr>
          <w:lang w:val="en-US"/>
        </w:rPr>
        <w:t>eneral</w:t>
      </w:r>
      <w:r w:rsidR="0057437D" w:rsidRPr="00813D19">
        <w:rPr>
          <w:lang w:val="en-US"/>
        </w:rPr>
        <w:t xml:space="preserve">, and </w:t>
      </w:r>
      <w:r w:rsidR="00BD718C" w:rsidRPr="00813D19">
        <w:rPr>
          <w:lang w:val="en-US"/>
        </w:rPr>
        <w:t xml:space="preserve">all the staff at </w:t>
      </w:r>
      <w:r w:rsidR="00BA4B78">
        <w:rPr>
          <w:lang w:val="en-US"/>
        </w:rPr>
        <w:t xml:space="preserve">the </w:t>
      </w:r>
      <w:r w:rsidR="0057437D" w:rsidRPr="00813D19">
        <w:rPr>
          <w:lang w:val="en-US"/>
        </w:rPr>
        <w:t>Secretariat</w:t>
      </w:r>
      <w:r w:rsidR="006F1306" w:rsidRPr="00813D19">
        <w:rPr>
          <w:lang w:val="en-US"/>
        </w:rPr>
        <w:t xml:space="preserve"> who were asked to stand and received</w:t>
      </w:r>
      <w:r w:rsidR="0047370D">
        <w:rPr>
          <w:lang w:val="en-US"/>
        </w:rPr>
        <w:t xml:space="preserve"> a warm round of applause.</w:t>
      </w:r>
    </w:p>
    <w:p w14:paraId="763CDEDD" w14:textId="0C064313" w:rsidR="00D343FC" w:rsidRPr="0047370D" w:rsidRDefault="00D343FC"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China</w:t>
      </w:r>
      <w:r w:rsidR="00CC3449" w:rsidRPr="00813D19">
        <w:rPr>
          <w:b/>
          <w:color w:val="000000" w:themeColor="text1"/>
          <w:lang w:val="en-US"/>
        </w:rPr>
        <w:t xml:space="preserve"> </w:t>
      </w:r>
      <w:r w:rsidR="00CC3449" w:rsidRPr="00813D19">
        <w:rPr>
          <w:lang w:val="en-US"/>
        </w:rPr>
        <w:t>congratulate</w:t>
      </w:r>
      <w:r w:rsidR="00BD718C" w:rsidRPr="00813D19">
        <w:rPr>
          <w:lang w:val="en-US"/>
        </w:rPr>
        <w:t xml:space="preserve">d the </w:t>
      </w:r>
      <w:r w:rsidR="00CC3449" w:rsidRPr="00813D19">
        <w:rPr>
          <w:lang w:val="en-US"/>
        </w:rPr>
        <w:t xml:space="preserve">Committee </w:t>
      </w:r>
      <w:r w:rsidR="005C1C60" w:rsidRPr="00813D19">
        <w:rPr>
          <w:lang w:val="en-US"/>
        </w:rPr>
        <w:t xml:space="preserve">for having completed </w:t>
      </w:r>
      <w:r w:rsidR="00CC3449" w:rsidRPr="00813D19">
        <w:rPr>
          <w:lang w:val="en-US"/>
        </w:rPr>
        <w:t xml:space="preserve">all </w:t>
      </w:r>
      <w:r w:rsidR="005C1C60" w:rsidRPr="00813D19">
        <w:rPr>
          <w:lang w:val="en-US"/>
        </w:rPr>
        <w:t xml:space="preserve">the agenda </w:t>
      </w:r>
      <w:r w:rsidR="00CC3449" w:rsidRPr="00813D19">
        <w:rPr>
          <w:lang w:val="en-US"/>
        </w:rPr>
        <w:t xml:space="preserve">items under </w:t>
      </w:r>
      <w:r w:rsidR="00BA4B78">
        <w:rPr>
          <w:lang w:val="en-US"/>
        </w:rPr>
        <w:t>the</w:t>
      </w:r>
      <w:r w:rsidR="00BA4B78" w:rsidRPr="00813D19">
        <w:rPr>
          <w:lang w:val="en-US"/>
        </w:rPr>
        <w:t xml:space="preserve"> </w:t>
      </w:r>
      <w:r w:rsidR="005C1C60" w:rsidRPr="00813D19">
        <w:rPr>
          <w:lang w:val="en-US"/>
        </w:rPr>
        <w:t xml:space="preserve">Chairperson’s </w:t>
      </w:r>
      <w:r w:rsidR="0043256F" w:rsidRPr="00813D19">
        <w:rPr>
          <w:lang w:val="en-US"/>
        </w:rPr>
        <w:t>leadership</w:t>
      </w:r>
      <w:r w:rsidR="00CC3449" w:rsidRPr="00813D19">
        <w:rPr>
          <w:lang w:val="en-US"/>
        </w:rPr>
        <w:t xml:space="preserve">. </w:t>
      </w:r>
      <w:r w:rsidR="0043256F" w:rsidRPr="00813D19">
        <w:rPr>
          <w:lang w:val="en-US"/>
        </w:rPr>
        <w:t xml:space="preserve">It also </w:t>
      </w:r>
      <w:r w:rsidR="00CC3449" w:rsidRPr="00813D19">
        <w:rPr>
          <w:lang w:val="en-US"/>
        </w:rPr>
        <w:t>congratulate</w:t>
      </w:r>
      <w:r w:rsidR="0043256F" w:rsidRPr="00813D19">
        <w:rPr>
          <w:lang w:val="en-US"/>
        </w:rPr>
        <w:t>d</w:t>
      </w:r>
      <w:r w:rsidR="00CC3449" w:rsidRPr="00813D19">
        <w:rPr>
          <w:lang w:val="en-US"/>
        </w:rPr>
        <w:t xml:space="preserve"> the </w:t>
      </w:r>
      <w:r w:rsidR="00F114FD" w:rsidRPr="00813D19">
        <w:rPr>
          <w:lang w:val="en-US"/>
        </w:rPr>
        <w:t xml:space="preserve">States Parties with their </w:t>
      </w:r>
      <w:r w:rsidR="000B7D2C" w:rsidRPr="00813D19">
        <w:rPr>
          <w:lang w:val="en-US"/>
        </w:rPr>
        <w:t>elements inscribed, selected and approved at the</w:t>
      </w:r>
      <w:r w:rsidR="004E6FB2" w:rsidRPr="00813D19">
        <w:rPr>
          <w:lang w:val="en-US"/>
        </w:rPr>
        <w:t xml:space="preserve"> session, </w:t>
      </w:r>
      <w:r w:rsidR="00714601" w:rsidRPr="00813D19">
        <w:rPr>
          <w:lang w:val="en-US"/>
        </w:rPr>
        <w:t>extending</w:t>
      </w:r>
      <w:r w:rsidR="004E6FB2" w:rsidRPr="00813D19">
        <w:rPr>
          <w:lang w:val="en-US"/>
        </w:rPr>
        <w:t xml:space="preserve"> </w:t>
      </w:r>
      <w:r w:rsidR="00CC3449" w:rsidRPr="00813D19">
        <w:rPr>
          <w:lang w:val="en-US"/>
        </w:rPr>
        <w:t>sincere gratitude to the Evaluation Body for its professional work</w:t>
      </w:r>
      <w:r w:rsidR="004E6FB2" w:rsidRPr="00813D19">
        <w:rPr>
          <w:lang w:val="en-US"/>
        </w:rPr>
        <w:t>,</w:t>
      </w:r>
      <w:r w:rsidR="00CC3449" w:rsidRPr="00813D19">
        <w:rPr>
          <w:lang w:val="en-US"/>
        </w:rPr>
        <w:t xml:space="preserve"> </w:t>
      </w:r>
      <w:r w:rsidR="004E6FB2" w:rsidRPr="00813D19">
        <w:rPr>
          <w:lang w:val="en-US"/>
        </w:rPr>
        <w:t>welcoming</w:t>
      </w:r>
      <w:r w:rsidR="00CC3449" w:rsidRPr="00813D19">
        <w:rPr>
          <w:lang w:val="en-US"/>
        </w:rPr>
        <w:t xml:space="preserve"> the new members</w:t>
      </w:r>
      <w:r w:rsidR="004E6FB2" w:rsidRPr="00813D19">
        <w:rPr>
          <w:lang w:val="en-US"/>
        </w:rPr>
        <w:t xml:space="preserve"> and thanking the Secretariat for its tremendous efforts</w:t>
      </w:r>
      <w:r w:rsidR="00CC3449" w:rsidRPr="00813D19">
        <w:rPr>
          <w:lang w:val="en-US"/>
        </w:rPr>
        <w:t xml:space="preserve">. </w:t>
      </w:r>
      <w:r w:rsidR="002B0CCF" w:rsidRPr="00813D19">
        <w:rPr>
          <w:lang w:val="en-US"/>
        </w:rPr>
        <w:t>Th</w:t>
      </w:r>
      <w:r w:rsidR="008545AC" w:rsidRPr="00813D19">
        <w:rPr>
          <w:lang w:val="en-US"/>
        </w:rPr>
        <w:t>e</w:t>
      </w:r>
      <w:r w:rsidR="002B0CCF" w:rsidRPr="00813D19">
        <w:rPr>
          <w:lang w:val="en-US"/>
        </w:rPr>
        <w:t xml:space="preserve"> </w:t>
      </w:r>
      <w:r w:rsidR="00CC3449" w:rsidRPr="00813D19">
        <w:rPr>
          <w:lang w:val="en-US"/>
        </w:rPr>
        <w:t xml:space="preserve">delegation </w:t>
      </w:r>
      <w:r w:rsidR="00BA4B78">
        <w:rPr>
          <w:lang w:val="en-US"/>
        </w:rPr>
        <w:t xml:space="preserve">had </w:t>
      </w:r>
      <w:r w:rsidR="00CC3449" w:rsidRPr="00813D19">
        <w:rPr>
          <w:lang w:val="en-US"/>
        </w:rPr>
        <w:t xml:space="preserve">engaged </w:t>
      </w:r>
      <w:r w:rsidR="002B0CCF" w:rsidRPr="00813D19">
        <w:rPr>
          <w:lang w:val="en-US"/>
        </w:rPr>
        <w:t xml:space="preserve">in </w:t>
      </w:r>
      <w:r w:rsidR="00CC3449" w:rsidRPr="00813D19">
        <w:rPr>
          <w:lang w:val="en-US"/>
        </w:rPr>
        <w:t xml:space="preserve">and followed closely the </w:t>
      </w:r>
      <w:r w:rsidR="00383C19" w:rsidRPr="00813D19">
        <w:rPr>
          <w:lang w:val="en-US"/>
        </w:rPr>
        <w:t xml:space="preserve">lively </w:t>
      </w:r>
      <w:r w:rsidR="00CC3449" w:rsidRPr="00813D19">
        <w:rPr>
          <w:lang w:val="en-US"/>
        </w:rPr>
        <w:t>discussion</w:t>
      </w:r>
      <w:r w:rsidR="00383C19" w:rsidRPr="00813D19">
        <w:rPr>
          <w:lang w:val="en-US"/>
        </w:rPr>
        <w:t>s, which</w:t>
      </w:r>
      <w:r w:rsidR="00CC3449" w:rsidRPr="00813D19">
        <w:rPr>
          <w:lang w:val="en-US"/>
        </w:rPr>
        <w:t xml:space="preserve"> </w:t>
      </w:r>
      <w:r w:rsidR="00BA4B78">
        <w:rPr>
          <w:lang w:val="en-US"/>
        </w:rPr>
        <w:t xml:space="preserve">had </w:t>
      </w:r>
      <w:r w:rsidR="00CC3449" w:rsidRPr="00813D19">
        <w:rPr>
          <w:lang w:val="en-US"/>
        </w:rPr>
        <w:t xml:space="preserve">covered various interesting issues and resulted in creative proposals </w:t>
      </w:r>
      <w:r w:rsidR="00383C19" w:rsidRPr="00813D19">
        <w:rPr>
          <w:lang w:val="en-US"/>
        </w:rPr>
        <w:t xml:space="preserve">throughout </w:t>
      </w:r>
      <w:r w:rsidR="00CC3449" w:rsidRPr="00813D19">
        <w:rPr>
          <w:lang w:val="en-US"/>
        </w:rPr>
        <w:t>the whole week of brainstorming</w:t>
      </w:r>
      <w:r w:rsidR="00A53497" w:rsidRPr="00813D19">
        <w:rPr>
          <w:lang w:val="en-US"/>
        </w:rPr>
        <w:t>.</w:t>
      </w:r>
      <w:r w:rsidR="00CC3449" w:rsidRPr="00813D19">
        <w:rPr>
          <w:lang w:val="en-US"/>
        </w:rPr>
        <w:t xml:space="preserve"> </w:t>
      </w:r>
      <w:r w:rsidR="00A53497" w:rsidRPr="00813D19">
        <w:rPr>
          <w:lang w:val="en-US"/>
        </w:rPr>
        <w:t>S</w:t>
      </w:r>
      <w:r w:rsidR="00CC3449" w:rsidRPr="00813D19">
        <w:rPr>
          <w:lang w:val="en-US"/>
        </w:rPr>
        <w:t xml:space="preserve">uch issues </w:t>
      </w:r>
      <w:r w:rsidR="00A53497" w:rsidRPr="00813D19">
        <w:rPr>
          <w:lang w:val="en-US"/>
        </w:rPr>
        <w:t>concerned</w:t>
      </w:r>
      <w:r w:rsidR="00CC3449" w:rsidRPr="00813D19">
        <w:rPr>
          <w:lang w:val="en-US"/>
        </w:rPr>
        <w:t xml:space="preserve"> the follow-up of inscribed elements reflected in </w:t>
      </w:r>
      <w:r w:rsidR="00585ADA" w:rsidRPr="00813D19">
        <w:rPr>
          <w:lang w:val="en-US"/>
        </w:rPr>
        <w:t xml:space="preserve">intangible cultural heritage in </w:t>
      </w:r>
      <w:r w:rsidR="00CC3449" w:rsidRPr="00813D19">
        <w:rPr>
          <w:lang w:val="en-US"/>
        </w:rPr>
        <w:t>emergencies</w:t>
      </w:r>
      <w:r w:rsidR="00585ADA" w:rsidRPr="00813D19">
        <w:rPr>
          <w:lang w:val="en-US"/>
        </w:rPr>
        <w:t xml:space="preserve">, as well as </w:t>
      </w:r>
      <w:r w:rsidR="00CC3449" w:rsidRPr="00813D19">
        <w:rPr>
          <w:lang w:val="en-US"/>
        </w:rPr>
        <w:t xml:space="preserve">multiple submissions of International Assistance requests. </w:t>
      </w:r>
      <w:r w:rsidR="009E5F66" w:rsidRPr="00813D19">
        <w:rPr>
          <w:lang w:val="en-US"/>
        </w:rPr>
        <w:t xml:space="preserve">It </w:t>
      </w:r>
      <w:r w:rsidR="00585ADA" w:rsidRPr="00813D19">
        <w:rPr>
          <w:lang w:val="en-US"/>
        </w:rPr>
        <w:t xml:space="preserve">also wished to </w:t>
      </w:r>
      <w:r w:rsidR="00CC3449" w:rsidRPr="00813D19">
        <w:rPr>
          <w:lang w:val="en-US"/>
        </w:rPr>
        <w:t>recall</w:t>
      </w:r>
      <w:r w:rsidR="00BA4B78">
        <w:rPr>
          <w:lang w:val="en-US"/>
        </w:rPr>
        <w:t>,</w:t>
      </w:r>
      <w:r w:rsidR="00CC3449" w:rsidRPr="00813D19">
        <w:rPr>
          <w:lang w:val="en-US"/>
        </w:rPr>
        <w:t xml:space="preserve"> in particular</w:t>
      </w:r>
      <w:r w:rsidR="00BA4B78">
        <w:rPr>
          <w:lang w:val="en-US"/>
        </w:rPr>
        <w:t>,</w:t>
      </w:r>
      <w:r w:rsidR="00CC3449" w:rsidRPr="00813D19">
        <w:rPr>
          <w:lang w:val="en-US"/>
        </w:rPr>
        <w:t xml:space="preserve"> that the seventh session of the General Assembly in </w:t>
      </w:r>
      <w:r w:rsidR="00D0515F" w:rsidRPr="00813D19">
        <w:rPr>
          <w:lang w:val="en-US"/>
        </w:rPr>
        <w:t xml:space="preserve">2018 </w:t>
      </w:r>
      <w:r w:rsidR="00BA4B78">
        <w:rPr>
          <w:lang w:val="en-US"/>
        </w:rPr>
        <w:t xml:space="preserve">had </w:t>
      </w:r>
      <w:r w:rsidR="00CC3449" w:rsidRPr="00813D19">
        <w:rPr>
          <w:lang w:val="en-US"/>
        </w:rPr>
        <w:t xml:space="preserve">adopted the proposal for the creation of three new extrabudgetary fixed-term posts to enhance the International Assistance mechanisms for the ICH Fund. </w:t>
      </w:r>
      <w:r w:rsidR="00D0515F" w:rsidRPr="00813D19">
        <w:rPr>
          <w:lang w:val="en-US"/>
        </w:rPr>
        <w:t xml:space="preserve">It wished to remain </w:t>
      </w:r>
      <w:r w:rsidR="001A0875" w:rsidRPr="00813D19">
        <w:rPr>
          <w:lang w:val="en-US"/>
        </w:rPr>
        <w:t xml:space="preserve">informed </w:t>
      </w:r>
      <w:r w:rsidR="00CC3449" w:rsidRPr="00813D19">
        <w:rPr>
          <w:lang w:val="en-US"/>
        </w:rPr>
        <w:t xml:space="preserve">of the recruitment of this team </w:t>
      </w:r>
      <w:r w:rsidR="00B24894" w:rsidRPr="00813D19">
        <w:rPr>
          <w:lang w:val="en-US"/>
        </w:rPr>
        <w:t xml:space="preserve">by the Secretariat </w:t>
      </w:r>
      <w:r w:rsidR="00CC3449" w:rsidRPr="00813D19">
        <w:rPr>
          <w:lang w:val="en-US"/>
        </w:rPr>
        <w:t>and hope</w:t>
      </w:r>
      <w:r w:rsidR="001A0875" w:rsidRPr="00813D19">
        <w:rPr>
          <w:lang w:val="en-US"/>
        </w:rPr>
        <w:t>d</w:t>
      </w:r>
      <w:r w:rsidR="00CC3449" w:rsidRPr="00813D19">
        <w:rPr>
          <w:lang w:val="en-US"/>
        </w:rPr>
        <w:t xml:space="preserve"> that it </w:t>
      </w:r>
      <w:r w:rsidR="007A203C" w:rsidRPr="00813D19">
        <w:rPr>
          <w:lang w:val="en-US"/>
        </w:rPr>
        <w:t>would b</w:t>
      </w:r>
      <w:r w:rsidR="001A0875" w:rsidRPr="00813D19">
        <w:rPr>
          <w:lang w:val="en-US"/>
        </w:rPr>
        <w:t xml:space="preserve">ecome </w:t>
      </w:r>
      <w:r w:rsidR="00CC3449" w:rsidRPr="00813D19">
        <w:rPr>
          <w:lang w:val="en-US"/>
        </w:rPr>
        <w:t>operation</w:t>
      </w:r>
      <w:r w:rsidR="001A0875" w:rsidRPr="00813D19">
        <w:rPr>
          <w:lang w:val="en-US"/>
        </w:rPr>
        <w:t>al</w:t>
      </w:r>
      <w:r w:rsidR="00CC3449" w:rsidRPr="00813D19">
        <w:rPr>
          <w:lang w:val="en-US"/>
        </w:rPr>
        <w:t xml:space="preserve"> at an early date. </w:t>
      </w:r>
      <w:r w:rsidR="001A0875" w:rsidRPr="00813D19">
        <w:rPr>
          <w:lang w:val="en-US"/>
        </w:rPr>
        <w:t xml:space="preserve">The delegation </w:t>
      </w:r>
      <w:r w:rsidR="00CC3449" w:rsidRPr="00813D19">
        <w:rPr>
          <w:lang w:val="en-US"/>
        </w:rPr>
        <w:t>deeply appreciate</w:t>
      </w:r>
      <w:r w:rsidR="001A0875" w:rsidRPr="00813D19">
        <w:rPr>
          <w:lang w:val="en-US"/>
        </w:rPr>
        <w:t>d</w:t>
      </w:r>
      <w:r w:rsidR="00CC3449" w:rsidRPr="00813D19">
        <w:rPr>
          <w:lang w:val="en-US"/>
        </w:rPr>
        <w:t xml:space="preserve"> </w:t>
      </w:r>
      <w:r w:rsidR="001A0875" w:rsidRPr="00813D19">
        <w:rPr>
          <w:lang w:val="en-US"/>
        </w:rPr>
        <w:t xml:space="preserve">the </w:t>
      </w:r>
      <w:r w:rsidR="00CC3449" w:rsidRPr="00813D19">
        <w:rPr>
          <w:lang w:val="en-US"/>
        </w:rPr>
        <w:t>very enlightened c</w:t>
      </w:r>
      <w:r w:rsidR="001A0875" w:rsidRPr="00813D19">
        <w:rPr>
          <w:lang w:val="en-US"/>
        </w:rPr>
        <w:t>ontributions and inputs of the C</w:t>
      </w:r>
      <w:r w:rsidR="00CC3449" w:rsidRPr="00813D19">
        <w:rPr>
          <w:lang w:val="en-US"/>
        </w:rPr>
        <w:t>ommittee Members and reiterate</w:t>
      </w:r>
      <w:r w:rsidR="001A0875" w:rsidRPr="00813D19">
        <w:rPr>
          <w:lang w:val="en-US"/>
        </w:rPr>
        <w:t>d</w:t>
      </w:r>
      <w:r w:rsidR="00CC3449" w:rsidRPr="00813D19">
        <w:rPr>
          <w:lang w:val="en-US"/>
        </w:rPr>
        <w:t xml:space="preserve"> </w:t>
      </w:r>
      <w:r w:rsidR="001A0875" w:rsidRPr="00813D19">
        <w:rPr>
          <w:lang w:val="en-US"/>
        </w:rPr>
        <w:t xml:space="preserve">its </w:t>
      </w:r>
      <w:r w:rsidR="00CC3449" w:rsidRPr="00813D19">
        <w:rPr>
          <w:lang w:val="en-US"/>
        </w:rPr>
        <w:t xml:space="preserve">commitment to </w:t>
      </w:r>
      <w:r w:rsidR="0051091A" w:rsidRPr="00813D19">
        <w:rPr>
          <w:lang w:val="en-US"/>
        </w:rPr>
        <w:t>participating</w:t>
      </w:r>
      <w:r w:rsidR="00CC3449" w:rsidRPr="00813D19">
        <w:rPr>
          <w:lang w:val="en-US"/>
        </w:rPr>
        <w:t xml:space="preserve"> </w:t>
      </w:r>
      <w:r w:rsidR="00F00F77" w:rsidRPr="00813D19">
        <w:rPr>
          <w:lang w:val="en-US"/>
        </w:rPr>
        <w:t xml:space="preserve">in </w:t>
      </w:r>
      <w:r w:rsidR="00CC3449" w:rsidRPr="00813D19">
        <w:rPr>
          <w:lang w:val="en-US"/>
        </w:rPr>
        <w:t xml:space="preserve">joint efforts in order to better enhance the implementation and development of the Convention. </w:t>
      </w:r>
      <w:r w:rsidR="0059147D" w:rsidRPr="00813D19">
        <w:rPr>
          <w:lang w:val="en-US"/>
        </w:rPr>
        <w:t xml:space="preserve">It </w:t>
      </w:r>
      <w:r w:rsidR="00CC3449" w:rsidRPr="00813D19">
        <w:rPr>
          <w:lang w:val="en-US"/>
        </w:rPr>
        <w:t>thank</w:t>
      </w:r>
      <w:r w:rsidR="0059147D" w:rsidRPr="00813D19">
        <w:rPr>
          <w:lang w:val="en-US"/>
        </w:rPr>
        <w:t>ed</w:t>
      </w:r>
      <w:r w:rsidR="00CC3449" w:rsidRPr="00813D19">
        <w:rPr>
          <w:lang w:val="en-US"/>
        </w:rPr>
        <w:t xml:space="preserve"> Colombia for its generous offer to host the next session and congratulate</w:t>
      </w:r>
      <w:r w:rsidR="0059147D" w:rsidRPr="00813D19">
        <w:rPr>
          <w:lang w:val="en-US"/>
        </w:rPr>
        <w:t>d</w:t>
      </w:r>
      <w:r w:rsidR="00CC3449" w:rsidRPr="00813D19">
        <w:rPr>
          <w:lang w:val="en-US"/>
        </w:rPr>
        <w:t xml:space="preserve"> Latin America for </w:t>
      </w:r>
      <w:r w:rsidR="0059147D" w:rsidRPr="00813D19">
        <w:rPr>
          <w:lang w:val="en-US"/>
        </w:rPr>
        <w:t xml:space="preserve">holding </w:t>
      </w:r>
      <w:r w:rsidR="00CC3449" w:rsidRPr="00813D19">
        <w:rPr>
          <w:lang w:val="en-US"/>
        </w:rPr>
        <w:t xml:space="preserve">its first </w:t>
      </w:r>
      <w:r w:rsidR="0059147D" w:rsidRPr="00813D19">
        <w:rPr>
          <w:lang w:val="en-US"/>
        </w:rPr>
        <w:t xml:space="preserve">Committee </w:t>
      </w:r>
      <w:r w:rsidR="00CC3449" w:rsidRPr="00813D19">
        <w:rPr>
          <w:lang w:val="en-US"/>
        </w:rPr>
        <w:t xml:space="preserve">meeting. </w:t>
      </w:r>
      <w:r w:rsidR="0059147D" w:rsidRPr="00813D19">
        <w:rPr>
          <w:lang w:val="en-US"/>
        </w:rPr>
        <w:t xml:space="preserve">Finally, the delegation </w:t>
      </w:r>
      <w:r w:rsidR="00CC3449" w:rsidRPr="00813D19">
        <w:rPr>
          <w:lang w:val="en-US"/>
        </w:rPr>
        <w:t>thank</w:t>
      </w:r>
      <w:r w:rsidR="0059147D" w:rsidRPr="00813D19">
        <w:rPr>
          <w:lang w:val="en-US"/>
        </w:rPr>
        <w:t>ed</w:t>
      </w:r>
      <w:r w:rsidR="00CC3449" w:rsidRPr="00813D19">
        <w:rPr>
          <w:lang w:val="en-US"/>
        </w:rPr>
        <w:t xml:space="preserve"> </w:t>
      </w:r>
      <w:r w:rsidR="0059147D" w:rsidRPr="00813D19">
        <w:rPr>
          <w:lang w:val="en-US"/>
        </w:rPr>
        <w:t xml:space="preserve">the </w:t>
      </w:r>
      <w:r w:rsidR="00CC3449" w:rsidRPr="00813D19">
        <w:rPr>
          <w:lang w:val="en-US"/>
        </w:rPr>
        <w:t>Chairperson and the Ministry of Culture and Fine Art</w:t>
      </w:r>
      <w:r w:rsidR="0059147D" w:rsidRPr="00813D19">
        <w:rPr>
          <w:lang w:val="en-US"/>
        </w:rPr>
        <w:t>s</w:t>
      </w:r>
      <w:r w:rsidR="00CC3449" w:rsidRPr="00813D19">
        <w:rPr>
          <w:lang w:val="en-US"/>
        </w:rPr>
        <w:t xml:space="preserve"> of Mauritius </w:t>
      </w:r>
      <w:r w:rsidR="0059147D" w:rsidRPr="00813D19">
        <w:rPr>
          <w:lang w:val="en-US"/>
        </w:rPr>
        <w:t xml:space="preserve">for the </w:t>
      </w:r>
      <w:r w:rsidR="00CC3449" w:rsidRPr="00813D19">
        <w:rPr>
          <w:lang w:val="en-US"/>
        </w:rPr>
        <w:t>hard</w:t>
      </w:r>
      <w:r w:rsidR="00BA4B78">
        <w:rPr>
          <w:lang w:val="en-US"/>
        </w:rPr>
        <w:t>-</w:t>
      </w:r>
      <w:r w:rsidR="00CC3449" w:rsidRPr="00813D19">
        <w:rPr>
          <w:lang w:val="en-US"/>
        </w:rPr>
        <w:t xml:space="preserve">working teams </w:t>
      </w:r>
      <w:r w:rsidR="008A2C90" w:rsidRPr="00813D19">
        <w:rPr>
          <w:lang w:val="en-US"/>
        </w:rPr>
        <w:t xml:space="preserve">involved </w:t>
      </w:r>
      <w:r w:rsidR="00677E13" w:rsidRPr="00813D19">
        <w:rPr>
          <w:lang w:val="en-US"/>
        </w:rPr>
        <w:t>in the preparation</w:t>
      </w:r>
      <w:r w:rsidR="00CC3449" w:rsidRPr="00813D19">
        <w:rPr>
          <w:lang w:val="en-US"/>
        </w:rPr>
        <w:t xml:space="preserve"> </w:t>
      </w:r>
      <w:r w:rsidR="00677E13" w:rsidRPr="00813D19">
        <w:rPr>
          <w:lang w:val="en-US"/>
        </w:rPr>
        <w:t xml:space="preserve">of the </w:t>
      </w:r>
      <w:r w:rsidR="00CC3449" w:rsidRPr="00813D19">
        <w:rPr>
          <w:lang w:val="en-US"/>
        </w:rPr>
        <w:t xml:space="preserve">session. </w:t>
      </w:r>
      <w:r w:rsidR="00677E13" w:rsidRPr="00813D19">
        <w:rPr>
          <w:lang w:val="en-US"/>
        </w:rPr>
        <w:t xml:space="preserve">It looked </w:t>
      </w:r>
      <w:r w:rsidR="00CC3449" w:rsidRPr="00813D19">
        <w:rPr>
          <w:lang w:val="en-US"/>
        </w:rPr>
        <w:t xml:space="preserve">forward to </w:t>
      </w:r>
      <w:r w:rsidR="00677E13" w:rsidRPr="00813D19">
        <w:rPr>
          <w:lang w:val="en-US"/>
        </w:rPr>
        <w:t xml:space="preserve">the next session </w:t>
      </w:r>
      <w:r w:rsidR="00CC3449" w:rsidRPr="00813D19">
        <w:rPr>
          <w:lang w:val="en-US"/>
        </w:rPr>
        <w:t xml:space="preserve">in Colombia </w:t>
      </w:r>
      <w:r w:rsidR="00677E13" w:rsidRPr="00813D19">
        <w:rPr>
          <w:lang w:val="en-US"/>
        </w:rPr>
        <w:t>in 2019</w:t>
      </w:r>
      <w:r w:rsidR="0047370D">
        <w:rPr>
          <w:lang w:val="en-US"/>
        </w:rPr>
        <w:t>.</w:t>
      </w:r>
    </w:p>
    <w:p w14:paraId="112C0381" w14:textId="6747DDFB" w:rsidR="00D343FC" w:rsidRPr="0047370D" w:rsidRDefault="003B6AEA" w:rsidP="00844D03">
      <w:pPr>
        <w:pStyle w:val="Orateurengris"/>
        <w:spacing w:before="120"/>
        <w:ind w:left="709" w:hanging="709"/>
        <w:rPr>
          <w:bCs/>
          <w:color w:val="000000" w:themeColor="text1"/>
          <w:lang w:val="en-US"/>
        </w:rPr>
      </w:pPr>
      <w:r w:rsidRPr="00813D19">
        <w:rPr>
          <w:lang w:val="en-US"/>
        </w:rPr>
        <w:t xml:space="preserve">As a member of </w:t>
      </w:r>
      <w:r w:rsidR="00BA4B78">
        <w:rPr>
          <w:lang w:val="en-US"/>
        </w:rPr>
        <w:t>the</w:t>
      </w:r>
      <w:r w:rsidR="00BA4B78" w:rsidRPr="00813D19">
        <w:rPr>
          <w:lang w:val="en-US"/>
        </w:rPr>
        <w:t xml:space="preserve"> </w:t>
      </w:r>
      <w:r w:rsidRPr="00813D19">
        <w:rPr>
          <w:lang w:val="en-US"/>
        </w:rPr>
        <w:t>Bureau,</w:t>
      </w:r>
      <w:r w:rsidRPr="00813D19">
        <w:rPr>
          <w:color w:val="000000" w:themeColor="text1"/>
          <w:lang w:val="en-US"/>
        </w:rPr>
        <w:t xml:space="preserve"> t</w:t>
      </w:r>
      <w:r w:rsidR="00D343FC" w:rsidRPr="00813D19">
        <w:rPr>
          <w:color w:val="000000" w:themeColor="text1"/>
          <w:lang w:val="en-US"/>
        </w:rPr>
        <w:t>he</w:t>
      </w:r>
      <w:r w:rsidR="00D343FC" w:rsidRPr="00813D19">
        <w:rPr>
          <w:b/>
          <w:color w:val="000000" w:themeColor="text1"/>
          <w:lang w:val="en-US"/>
        </w:rPr>
        <w:t xml:space="preserve"> delegation of </w:t>
      </w:r>
      <w:r w:rsidR="000953A7">
        <w:rPr>
          <w:b/>
          <w:color w:val="000000" w:themeColor="text1"/>
          <w:lang w:val="en-US"/>
        </w:rPr>
        <w:t xml:space="preserve">the </w:t>
      </w:r>
      <w:r w:rsidR="00D343FC" w:rsidRPr="00813D19">
        <w:rPr>
          <w:b/>
          <w:color w:val="000000" w:themeColor="text1"/>
          <w:lang w:val="en-US"/>
        </w:rPr>
        <w:t>Phil</w:t>
      </w:r>
      <w:r w:rsidR="00B456D1" w:rsidRPr="00813D19">
        <w:rPr>
          <w:b/>
          <w:color w:val="000000" w:themeColor="text1"/>
          <w:lang w:val="en-US"/>
        </w:rPr>
        <w:t>i</w:t>
      </w:r>
      <w:r w:rsidR="00D343FC" w:rsidRPr="00813D19">
        <w:rPr>
          <w:b/>
          <w:color w:val="000000" w:themeColor="text1"/>
          <w:lang w:val="en-US"/>
        </w:rPr>
        <w:t xml:space="preserve">ppines </w:t>
      </w:r>
      <w:r w:rsidRPr="00813D19">
        <w:rPr>
          <w:color w:val="000000" w:themeColor="text1"/>
          <w:lang w:val="en-US"/>
        </w:rPr>
        <w:t>expressed</w:t>
      </w:r>
      <w:r w:rsidRPr="00813D19">
        <w:rPr>
          <w:b/>
          <w:color w:val="000000" w:themeColor="text1"/>
          <w:lang w:val="en-US"/>
        </w:rPr>
        <w:t xml:space="preserve"> </w:t>
      </w:r>
      <w:r w:rsidRPr="00813D19">
        <w:rPr>
          <w:lang w:val="en-US"/>
        </w:rPr>
        <w:t xml:space="preserve">thanks to the Chairperson for his leadership, and the Government and people of Mauritius for the excellent hosting of this </w:t>
      </w:r>
      <w:r w:rsidR="00CC3449" w:rsidRPr="00813D19">
        <w:rPr>
          <w:lang w:val="en-US"/>
        </w:rPr>
        <w:t>successful session.</w:t>
      </w:r>
      <w:r w:rsidRPr="00813D19">
        <w:rPr>
          <w:lang w:val="en-US"/>
        </w:rPr>
        <w:t xml:space="preserve"> It thanked the </w:t>
      </w:r>
      <w:r w:rsidR="00CC3449" w:rsidRPr="00813D19">
        <w:rPr>
          <w:lang w:val="en-US"/>
        </w:rPr>
        <w:t xml:space="preserve">Secretariat, the interpreters, </w:t>
      </w:r>
      <w:r w:rsidRPr="00813D19">
        <w:rPr>
          <w:lang w:val="en-US"/>
        </w:rPr>
        <w:t xml:space="preserve">and </w:t>
      </w:r>
      <w:r w:rsidR="00CC3449" w:rsidRPr="00813D19">
        <w:rPr>
          <w:lang w:val="en-US"/>
        </w:rPr>
        <w:t>everyone who h</w:t>
      </w:r>
      <w:r w:rsidRPr="00813D19">
        <w:rPr>
          <w:lang w:val="en-US"/>
        </w:rPr>
        <w:t>ad</w:t>
      </w:r>
      <w:r w:rsidR="00CC3449" w:rsidRPr="00813D19">
        <w:rPr>
          <w:lang w:val="en-US"/>
        </w:rPr>
        <w:t xml:space="preserve"> helped make this </w:t>
      </w:r>
      <w:r w:rsidRPr="00813D19">
        <w:rPr>
          <w:lang w:val="en-US"/>
        </w:rPr>
        <w:t xml:space="preserve">session a success, adding </w:t>
      </w:r>
      <w:r w:rsidR="00BA4B78">
        <w:rPr>
          <w:lang w:val="en-US"/>
        </w:rPr>
        <w:t xml:space="preserve">that </w:t>
      </w:r>
      <w:r w:rsidRPr="00813D19">
        <w:rPr>
          <w:lang w:val="en-US"/>
        </w:rPr>
        <w:t xml:space="preserve">it </w:t>
      </w:r>
      <w:r w:rsidR="00CC3449" w:rsidRPr="00813D19">
        <w:rPr>
          <w:lang w:val="en-US"/>
        </w:rPr>
        <w:t>look</w:t>
      </w:r>
      <w:r w:rsidRPr="00813D19">
        <w:rPr>
          <w:lang w:val="en-US"/>
        </w:rPr>
        <w:t>ed</w:t>
      </w:r>
      <w:r w:rsidR="00CC3449" w:rsidRPr="00813D19">
        <w:rPr>
          <w:lang w:val="en-US"/>
        </w:rPr>
        <w:t xml:space="preserve"> forward to Colombia and </w:t>
      </w:r>
      <w:r w:rsidR="00747CC7" w:rsidRPr="00813D19">
        <w:rPr>
          <w:lang w:val="en-US"/>
        </w:rPr>
        <w:t>congratulating</w:t>
      </w:r>
      <w:r w:rsidR="00CC3449" w:rsidRPr="00813D19">
        <w:rPr>
          <w:lang w:val="en-US"/>
        </w:rPr>
        <w:t xml:space="preserve"> the GRULAC countries for </w:t>
      </w:r>
      <w:r w:rsidRPr="00813D19">
        <w:rPr>
          <w:lang w:val="en-US"/>
        </w:rPr>
        <w:t xml:space="preserve">the </w:t>
      </w:r>
      <w:r w:rsidR="00CC3449" w:rsidRPr="00813D19">
        <w:rPr>
          <w:lang w:val="en-US"/>
        </w:rPr>
        <w:t xml:space="preserve">forthcoming 2019 session. </w:t>
      </w:r>
      <w:r w:rsidRPr="00813D19">
        <w:rPr>
          <w:lang w:val="en-US"/>
        </w:rPr>
        <w:t xml:space="preserve">The delegation gave thanks to </w:t>
      </w:r>
      <w:r w:rsidR="00CC3449" w:rsidRPr="00813D19">
        <w:rPr>
          <w:lang w:val="en-US"/>
        </w:rPr>
        <w:t xml:space="preserve">the spirit of dialogue that </w:t>
      </w:r>
      <w:r w:rsidR="00BA4B78">
        <w:rPr>
          <w:lang w:val="en-US"/>
        </w:rPr>
        <w:t xml:space="preserve">had </w:t>
      </w:r>
      <w:r w:rsidR="0047370D">
        <w:rPr>
          <w:lang w:val="en-US"/>
        </w:rPr>
        <w:t>permeated the whole session.</w:t>
      </w:r>
    </w:p>
    <w:p w14:paraId="3A18A2E9" w14:textId="4B1BDB39" w:rsidR="005979FD" w:rsidRPr="0047370D" w:rsidRDefault="005979FD"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Armenia</w:t>
      </w:r>
      <w:r w:rsidR="00CC3449" w:rsidRPr="00813D19">
        <w:rPr>
          <w:b/>
          <w:color w:val="000000" w:themeColor="text1"/>
          <w:lang w:val="en-US"/>
        </w:rPr>
        <w:t xml:space="preserve"> </w:t>
      </w:r>
      <w:r w:rsidR="00CC3449" w:rsidRPr="00813D19">
        <w:rPr>
          <w:lang w:val="en-US"/>
        </w:rPr>
        <w:t>extend</w:t>
      </w:r>
      <w:r w:rsidR="003B6AEA" w:rsidRPr="00813D19">
        <w:rPr>
          <w:lang w:val="en-US"/>
        </w:rPr>
        <w:t>ed</w:t>
      </w:r>
      <w:r w:rsidR="00CC3449" w:rsidRPr="00813D19">
        <w:rPr>
          <w:lang w:val="en-US"/>
        </w:rPr>
        <w:t xml:space="preserve"> </w:t>
      </w:r>
      <w:r w:rsidR="00BA4B78">
        <w:rPr>
          <w:lang w:val="en-US"/>
        </w:rPr>
        <w:t xml:space="preserve">its </w:t>
      </w:r>
      <w:r w:rsidR="00CC3449" w:rsidRPr="00813D19">
        <w:rPr>
          <w:lang w:val="en-US"/>
        </w:rPr>
        <w:t xml:space="preserve">warmest congratulations to </w:t>
      </w:r>
      <w:r w:rsidR="003B6AEA" w:rsidRPr="00813D19">
        <w:rPr>
          <w:lang w:val="en-US"/>
        </w:rPr>
        <w:t xml:space="preserve">the Chairperson </w:t>
      </w:r>
      <w:r w:rsidR="00CC3449" w:rsidRPr="00813D19">
        <w:rPr>
          <w:lang w:val="en-US"/>
        </w:rPr>
        <w:t xml:space="preserve">for </w:t>
      </w:r>
      <w:r w:rsidR="003B6AEA" w:rsidRPr="00813D19">
        <w:rPr>
          <w:lang w:val="en-US"/>
        </w:rPr>
        <w:t xml:space="preserve">the successful session, the Assistant Director-General and </w:t>
      </w:r>
      <w:r w:rsidR="00CC3449" w:rsidRPr="00813D19">
        <w:rPr>
          <w:lang w:val="en-US"/>
        </w:rPr>
        <w:t xml:space="preserve">the </w:t>
      </w:r>
      <w:r w:rsidR="003B6AEA" w:rsidRPr="00813D19">
        <w:rPr>
          <w:lang w:val="en-US"/>
        </w:rPr>
        <w:t xml:space="preserve">entire </w:t>
      </w:r>
      <w:r w:rsidR="00CC3449" w:rsidRPr="00813D19">
        <w:rPr>
          <w:lang w:val="en-US"/>
        </w:rPr>
        <w:t xml:space="preserve">Secretariat. </w:t>
      </w:r>
      <w:r w:rsidR="003B6AEA" w:rsidRPr="00813D19">
        <w:rPr>
          <w:lang w:val="en-US"/>
        </w:rPr>
        <w:t xml:space="preserve">It </w:t>
      </w:r>
      <w:r w:rsidR="00CC3449" w:rsidRPr="00813D19">
        <w:rPr>
          <w:lang w:val="en-US"/>
        </w:rPr>
        <w:t>note</w:t>
      </w:r>
      <w:r w:rsidR="003B6AEA" w:rsidRPr="00813D19">
        <w:rPr>
          <w:lang w:val="en-US"/>
        </w:rPr>
        <w:t>d</w:t>
      </w:r>
      <w:r w:rsidR="00CC3449" w:rsidRPr="00813D19">
        <w:rPr>
          <w:lang w:val="en-US"/>
        </w:rPr>
        <w:t xml:space="preserve"> </w:t>
      </w:r>
      <w:r w:rsidR="003B6AEA" w:rsidRPr="00813D19">
        <w:rPr>
          <w:lang w:val="en-US"/>
        </w:rPr>
        <w:t>that the Ministry of Culture had</w:t>
      </w:r>
      <w:r w:rsidR="00CC3449" w:rsidRPr="00813D19">
        <w:rPr>
          <w:lang w:val="en-US"/>
        </w:rPr>
        <w:t xml:space="preserve"> done a tremendous amount of work and </w:t>
      </w:r>
      <w:r w:rsidR="003B6AEA" w:rsidRPr="00813D19">
        <w:rPr>
          <w:lang w:val="en-US"/>
        </w:rPr>
        <w:t xml:space="preserve">it </w:t>
      </w:r>
      <w:r w:rsidR="00CC3449" w:rsidRPr="00813D19">
        <w:rPr>
          <w:lang w:val="en-US"/>
        </w:rPr>
        <w:t>extend</w:t>
      </w:r>
      <w:r w:rsidR="003B6AEA" w:rsidRPr="00813D19">
        <w:rPr>
          <w:lang w:val="en-US"/>
        </w:rPr>
        <w:t>ed</w:t>
      </w:r>
      <w:r w:rsidR="00CC3449" w:rsidRPr="00813D19">
        <w:rPr>
          <w:lang w:val="en-US"/>
        </w:rPr>
        <w:t xml:space="preserve"> sincere gratitude to the team who </w:t>
      </w:r>
      <w:r w:rsidR="00F86186" w:rsidRPr="00813D19">
        <w:rPr>
          <w:lang w:val="en-US"/>
        </w:rPr>
        <w:t xml:space="preserve">had </w:t>
      </w:r>
      <w:r w:rsidR="00CC3449" w:rsidRPr="00813D19">
        <w:rPr>
          <w:lang w:val="en-US"/>
        </w:rPr>
        <w:t xml:space="preserve">worked with </w:t>
      </w:r>
      <w:r w:rsidR="00992A68" w:rsidRPr="00813D19">
        <w:rPr>
          <w:lang w:val="en-US"/>
        </w:rPr>
        <w:t>it</w:t>
      </w:r>
      <w:r w:rsidR="00DE3B0F" w:rsidRPr="00813D19">
        <w:rPr>
          <w:lang w:val="en-US"/>
        </w:rPr>
        <w:t>s own delegation</w:t>
      </w:r>
      <w:r w:rsidR="003B6AEA" w:rsidRPr="00813D19">
        <w:rPr>
          <w:lang w:val="en-US"/>
        </w:rPr>
        <w:t xml:space="preserve">, adding that </w:t>
      </w:r>
      <w:r w:rsidR="00CC3449" w:rsidRPr="00813D19">
        <w:rPr>
          <w:lang w:val="en-US"/>
        </w:rPr>
        <w:t xml:space="preserve">Mauritius </w:t>
      </w:r>
      <w:r w:rsidR="00BA4B78">
        <w:rPr>
          <w:lang w:val="en-US"/>
        </w:rPr>
        <w:t>was</w:t>
      </w:r>
      <w:r w:rsidR="00BA4B78" w:rsidRPr="00813D19">
        <w:rPr>
          <w:lang w:val="en-US"/>
        </w:rPr>
        <w:t xml:space="preserve"> </w:t>
      </w:r>
      <w:r w:rsidR="003B6AEA" w:rsidRPr="00813D19">
        <w:rPr>
          <w:lang w:val="en-US"/>
        </w:rPr>
        <w:t xml:space="preserve">a </w:t>
      </w:r>
      <w:r w:rsidR="00CC3449" w:rsidRPr="00813D19">
        <w:rPr>
          <w:lang w:val="en-US"/>
        </w:rPr>
        <w:t>small is</w:t>
      </w:r>
      <w:r w:rsidR="0047370D">
        <w:rPr>
          <w:lang w:val="en-US"/>
        </w:rPr>
        <w:t>land but with big, kind hearts.</w:t>
      </w:r>
    </w:p>
    <w:p w14:paraId="5191C1B6" w14:textId="06B5E8E9" w:rsidR="00243AC2" w:rsidRPr="0047370D" w:rsidRDefault="00243AC2"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Lebanon</w:t>
      </w:r>
      <w:r w:rsidR="00CC3449" w:rsidRPr="00813D19">
        <w:rPr>
          <w:b/>
          <w:color w:val="000000" w:themeColor="text1"/>
          <w:lang w:val="en-US"/>
        </w:rPr>
        <w:t xml:space="preserve"> </w:t>
      </w:r>
      <w:r w:rsidR="00A53BDF" w:rsidRPr="00813D19">
        <w:rPr>
          <w:color w:val="000000" w:themeColor="text1"/>
          <w:lang w:val="en-US"/>
        </w:rPr>
        <w:t>expressed</w:t>
      </w:r>
      <w:r w:rsidR="00A53BDF" w:rsidRPr="00813D19">
        <w:rPr>
          <w:b/>
          <w:color w:val="000000" w:themeColor="text1"/>
          <w:lang w:val="en-US"/>
        </w:rPr>
        <w:t xml:space="preserve"> </w:t>
      </w:r>
      <w:r w:rsidR="00CC3449" w:rsidRPr="00813D19">
        <w:rPr>
          <w:lang w:val="en-US"/>
        </w:rPr>
        <w:t xml:space="preserve">appreciation and thanks to </w:t>
      </w:r>
      <w:r w:rsidR="00A53BDF" w:rsidRPr="00813D19">
        <w:rPr>
          <w:lang w:val="en-US"/>
        </w:rPr>
        <w:t xml:space="preserve">the Chairperson </w:t>
      </w:r>
      <w:r w:rsidR="00CC3449" w:rsidRPr="00813D19">
        <w:rPr>
          <w:lang w:val="en-US"/>
        </w:rPr>
        <w:t xml:space="preserve">and </w:t>
      </w:r>
      <w:r w:rsidR="00A53BDF" w:rsidRPr="00813D19">
        <w:rPr>
          <w:lang w:val="en-US"/>
        </w:rPr>
        <w:t>Mauritius</w:t>
      </w:r>
      <w:r w:rsidR="00CC3449" w:rsidRPr="00813D19">
        <w:rPr>
          <w:lang w:val="en-US"/>
        </w:rPr>
        <w:t xml:space="preserve">, to the </w:t>
      </w:r>
      <w:r w:rsidR="00A53BDF" w:rsidRPr="00813D19">
        <w:rPr>
          <w:lang w:val="en-US"/>
        </w:rPr>
        <w:t>Assistant Director</w:t>
      </w:r>
      <w:r w:rsidR="001B0B17" w:rsidRPr="00813D19">
        <w:rPr>
          <w:lang w:val="en-US"/>
        </w:rPr>
        <w:t>, and to t</w:t>
      </w:r>
      <w:r w:rsidR="004D4C29" w:rsidRPr="00813D19">
        <w:rPr>
          <w:lang w:val="en-US"/>
        </w:rPr>
        <w:t>h</w:t>
      </w:r>
      <w:r w:rsidR="001B0B17" w:rsidRPr="00813D19">
        <w:rPr>
          <w:lang w:val="en-US"/>
        </w:rPr>
        <w:t xml:space="preserve">e Secretary and </w:t>
      </w:r>
      <w:r w:rsidR="00CC3449" w:rsidRPr="00813D19">
        <w:rPr>
          <w:lang w:val="en-US"/>
        </w:rPr>
        <w:t>the Secretariat</w:t>
      </w:r>
      <w:r w:rsidR="001B0B17" w:rsidRPr="00813D19">
        <w:rPr>
          <w:lang w:val="en-US"/>
        </w:rPr>
        <w:t>.</w:t>
      </w:r>
      <w:r w:rsidR="00CC3449" w:rsidRPr="00813D19">
        <w:rPr>
          <w:lang w:val="en-US"/>
        </w:rPr>
        <w:t xml:space="preserve"> </w:t>
      </w:r>
      <w:r w:rsidR="001B0B17" w:rsidRPr="00813D19">
        <w:rPr>
          <w:lang w:val="en-US"/>
        </w:rPr>
        <w:t>A</w:t>
      </w:r>
      <w:r w:rsidR="00CC3449" w:rsidRPr="00813D19">
        <w:rPr>
          <w:lang w:val="en-US"/>
        </w:rPr>
        <w:t>s a member of the Bureau</w:t>
      </w:r>
      <w:r w:rsidR="001B0B17" w:rsidRPr="00813D19">
        <w:rPr>
          <w:lang w:val="en-US"/>
        </w:rPr>
        <w:t xml:space="preserve">, it thanked </w:t>
      </w:r>
      <w:r w:rsidR="00CC3449" w:rsidRPr="00813D19">
        <w:rPr>
          <w:lang w:val="en-US"/>
        </w:rPr>
        <w:t xml:space="preserve">all </w:t>
      </w:r>
      <w:r w:rsidR="001B0B17" w:rsidRPr="00813D19">
        <w:rPr>
          <w:lang w:val="en-US"/>
        </w:rPr>
        <w:t xml:space="preserve">the </w:t>
      </w:r>
      <w:r w:rsidR="00CC3449" w:rsidRPr="00813D19">
        <w:rPr>
          <w:lang w:val="en-US"/>
        </w:rPr>
        <w:t xml:space="preserve">colleagues for their cooperation and </w:t>
      </w:r>
      <w:r w:rsidR="001B0B17" w:rsidRPr="00813D19">
        <w:rPr>
          <w:lang w:val="en-US"/>
        </w:rPr>
        <w:t xml:space="preserve">for the </w:t>
      </w:r>
      <w:r w:rsidR="00CC3449" w:rsidRPr="00813D19">
        <w:rPr>
          <w:lang w:val="en-US"/>
        </w:rPr>
        <w:t>unforgettable experience</w:t>
      </w:r>
      <w:r w:rsidR="001B0B17" w:rsidRPr="00813D19">
        <w:rPr>
          <w:lang w:val="en-US"/>
        </w:rPr>
        <w:t xml:space="preserve">. The delegation </w:t>
      </w:r>
      <w:r w:rsidR="00CC3449" w:rsidRPr="00813D19">
        <w:rPr>
          <w:lang w:val="en-US"/>
        </w:rPr>
        <w:t>wish</w:t>
      </w:r>
      <w:r w:rsidR="001B0B17" w:rsidRPr="00813D19">
        <w:rPr>
          <w:lang w:val="en-US"/>
        </w:rPr>
        <w:t xml:space="preserve">ed the new Members </w:t>
      </w:r>
      <w:r w:rsidR="00CC3449" w:rsidRPr="00813D19">
        <w:rPr>
          <w:lang w:val="en-US"/>
        </w:rPr>
        <w:t>the best of luck</w:t>
      </w:r>
      <w:r w:rsidR="001B0B17" w:rsidRPr="00813D19">
        <w:rPr>
          <w:lang w:val="en-US"/>
        </w:rPr>
        <w:t xml:space="preserve">, until they met </w:t>
      </w:r>
      <w:r w:rsidR="00CC3449" w:rsidRPr="00813D19">
        <w:rPr>
          <w:lang w:val="en-US"/>
        </w:rPr>
        <w:t xml:space="preserve">again in Colombia </w:t>
      </w:r>
      <w:r w:rsidR="001B0B17" w:rsidRPr="00813D19">
        <w:rPr>
          <w:lang w:val="en-US"/>
        </w:rPr>
        <w:t>in 2019</w:t>
      </w:r>
      <w:r w:rsidR="003B6AEA" w:rsidRPr="00813D19">
        <w:rPr>
          <w:lang w:val="en-US"/>
        </w:rPr>
        <w:t>.</w:t>
      </w:r>
    </w:p>
    <w:p w14:paraId="1A790BA3" w14:textId="0BB4E5E6" w:rsidR="00D343FC" w:rsidRPr="0047370D" w:rsidRDefault="00D343FC"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Japan</w:t>
      </w:r>
      <w:r w:rsidR="00CC3449" w:rsidRPr="00813D19">
        <w:rPr>
          <w:b/>
          <w:color w:val="000000" w:themeColor="text1"/>
          <w:lang w:val="en-US"/>
        </w:rPr>
        <w:t xml:space="preserve"> </w:t>
      </w:r>
      <w:r w:rsidR="00CC3449" w:rsidRPr="00813D19">
        <w:rPr>
          <w:lang w:val="en-US"/>
        </w:rPr>
        <w:t>express</w:t>
      </w:r>
      <w:r w:rsidR="001B0B17" w:rsidRPr="00813D19">
        <w:rPr>
          <w:lang w:val="en-US"/>
        </w:rPr>
        <w:t>ed</w:t>
      </w:r>
      <w:r w:rsidR="00CC3449" w:rsidRPr="00813D19">
        <w:rPr>
          <w:lang w:val="en-US"/>
        </w:rPr>
        <w:t xml:space="preserve"> thanks to </w:t>
      </w:r>
      <w:r w:rsidR="001B0B17" w:rsidRPr="00813D19">
        <w:rPr>
          <w:lang w:val="en-US"/>
        </w:rPr>
        <w:t xml:space="preserve">the Chairperson </w:t>
      </w:r>
      <w:r w:rsidR="00CC3449" w:rsidRPr="00813D19">
        <w:rPr>
          <w:lang w:val="en-US"/>
        </w:rPr>
        <w:t xml:space="preserve">and Mauritius for the excellent management and arrangements, which </w:t>
      </w:r>
      <w:r w:rsidR="00BA4B78">
        <w:rPr>
          <w:lang w:val="en-US"/>
        </w:rPr>
        <w:t xml:space="preserve">had </w:t>
      </w:r>
      <w:r w:rsidR="001B0B17" w:rsidRPr="00813D19">
        <w:rPr>
          <w:lang w:val="en-US"/>
        </w:rPr>
        <w:t xml:space="preserve">contributed to </w:t>
      </w:r>
      <w:r w:rsidR="00CC3449" w:rsidRPr="00813D19">
        <w:rPr>
          <w:lang w:val="en-US"/>
        </w:rPr>
        <w:t xml:space="preserve">the success of </w:t>
      </w:r>
      <w:r w:rsidR="001B0B17" w:rsidRPr="00813D19">
        <w:rPr>
          <w:lang w:val="en-US"/>
        </w:rPr>
        <w:t xml:space="preserve">the </w:t>
      </w:r>
      <w:r w:rsidR="00CC3449" w:rsidRPr="00813D19">
        <w:rPr>
          <w:lang w:val="en-US"/>
        </w:rPr>
        <w:t xml:space="preserve">meetings. </w:t>
      </w:r>
      <w:r w:rsidR="009B608B" w:rsidRPr="00813D19">
        <w:rPr>
          <w:lang w:val="en-US"/>
        </w:rPr>
        <w:t>A</w:t>
      </w:r>
      <w:r w:rsidR="004736D7" w:rsidRPr="00813D19">
        <w:rPr>
          <w:lang w:val="en-US"/>
        </w:rPr>
        <w:t xml:space="preserve">s it was </w:t>
      </w:r>
      <w:r w:rsidR="009B608B" w:rsidRPr="00813D19">
        <w:rPr>
          <w:lang w:val="en-US"/>
        </w:rPr>
        <w:t xml:space="preserve">his </w:t>
      </w:r>
      <w:r w:rsidR="00CC3449" w:rsidRPr="00813D19">
        <w:rPr>
          <w:lang w:val="en-US"/>
        </w:rPr>
        <w:t xml:space="preserve">first experience participating in this </w:t>
      </w:r>
      <w:r w:rsidR="001B0B17" w:rsidRPr="00813D19">
        <w:rPr>
          <w:lang w:val="en-US"/>
        </w:rPr>
        <w:t>session</w:t>
      </w:r>
      <w:r w:rsidR="00AE431A" w:rsidRPr="00813D19">
        <w:rPr>
          <w:lang w:val="en-US"/>
        </w:rPr>
        <w:t xml:space="preserve"> [speaking on a personal note]</w:t>
      </w:r>
      <w:r w:rsidR="001B0B17" w:rsidRPr="00813D19">
        <w:rPr>
          <w:lang w:val="en-US"/>
        </w:rPr>
        <w:t xml:space="preserve">, the delegation </w:t>
      </w:r>
      <w:r w:rsidR="00CC3449" w:rsidRPr="00813D19">
        <w:rPr>
          <w:lang w:val="en-US"/>
        </w:rPr>
        <w:t>recognize</w:t>
      </w:r>
      <w:r w:rsidR="001B0B17" w:rsidRPr="00813D19">
        <w:rPr>
          <w:lang w:val="en-US"/>
        </w:rPr>
        <w:t>d</w:t>
      </w:r>
      <w:r w:rsidR="00CC3449" w:rsidRPr="00813D19">
        <w:rPr>
          <w:lang w:val="en-US"/>
        </w:rPr>
        <w:t xml:space="preserve"> and acknowledge</w:t>
      </w:r>
      <w:r w:rsidR="00AE431A" w:rsidRPr="00813D19">
        <w:rPr>
          <w:lang w:val="en-US"/>
        </w:rPr>
        <w:t>d</w:t>
      </w:r>
      <w:r w:rsidR="00CC3449" w:rsidRPr="00813D19">
        <w:rPr>
          <w:lang w:val="en-US"/>
        </w:rPr>
        <w:t xml:space="preserve"> the great value and significance of </w:t>
      </w:r>
      <w:r w:rsidR="001B0B17" w:rsidRPr="00813D19">
        <w:rPr>
          <w:lang w:val="en-US"/>
        </w:rPr>
        <w:t xml:space="preserve">intangible cultural heritage </w:t>
      </w:r>
      <w:r w:rsidR="00CC3449" w:rsidRPr="00813D19">
        <w:rPr>
          <w:lang w:val="en-US"/>
        </w:rPr>
        <w:t xml:space="preserve">and the </w:t>
      </w:r>
      <w:r w:rsidR="001B0B17" w:rsidRPr="00813D19">
        <w:rPr>
          <w:lang w:val="en-US"/>
        </w:rPr>
        <w:t>commitment and zeal of everyone</w:t>
      </w:r>
      <w:r w:rsidR="00CC3449" w:rsidRPr="00813D19">
        <w:rPr>
          <w:lang w:val="en-US"/>
        </w:rPr>
        <w:t xml:space="preserve"> who </w:t>
      </w:r>
      <w:r w:rsidR="001B0B17" w:rsidRPr="00813D19">
        <w:rPr>
          <w:lang w:val="en-US"/>
        </w:rPr>
        <w:t xml:space="preserve">were impressively trying </w:t>
      </w:r>
      <w:r w:rsidR="00CC3449" w:rsidRPr="00813D19">
        <w:rPr>
          <w:lang w:val="en-US"/>
        </w:rPr>
        <w:t xml:space="preserve">to safeguard </w:t>
      </w:r>
      <w:r w:rsidR="001B0B17" w:rsidRPr="00813D19">
        <w:rPr>
          <w:lang w:val="en-US"/>
        </w:rPr>
        <w:t>intangible heritage</w:t>
      </w:r>
      <w:r w:rsidR="00CC3449" w:rsidRPr="00813D19">
        <w:rPr>
          <w:lang w:val="en-US"/>
        </w:rPr>
        <w:t xml:space="preserve">. </w:t>
      </w:r>
      <w:r w:rsidR="006B518D" w:rsidRPr="00813D19">
        <w:rPr>
          <w:lang w:val="en-US"/>
        </w:rPr>
        <w:t xml:space="preserve">It </w:t>
      </w:r>
      <w:r w:rsidR="00CC3449" w:rsidRPr="00813D19">
        <w:rPr>
          <w:lang w:val="en-US"/>
        </w:rPr>
        <w:t>express</w:t>
      </w:r>
      <w:r w:rsidR="001B0B17" w:rsidRPr="00813D19">
        <w:rPr>
          <w:lang w:val="en-US"/>
        </w:rPr>
        <w:t>ed</w:t>
      </w:r>
      <w:r w:rsidR="00CC3449" w:rsidRPr="00813D19">
        <w:rPr>
          <w:lang w:val="en-US"/>
        </w:rPr>
        <w:t xml:space="preserve"> Japan’s will</w:t>
      </w:r>
      <w:r w:rsidR="001B0B17" w:rsidRPr="00813D19">
        <w:rPr>
          <w:lang w:val="en-US"/>
        </w:rPr>
        <w:t xml:space="preserve">ingness to remain firm together, </w:t>
      </w:r>
      <w:r w:rsidR="00CC3449" w:rsidRPr="00813D19">
        <w:rPr>
          <w:lang w:val="en-US"/>
        </w:rPr>
        <w:t xml:space="preserve">not only </w:t>
      </w:r>
      <w:r w:rsidR="005B4F4D" w:rsidRPr="00813D19">
        <w:rPr>
          <w:lang w:val="en-US"/>
        </w:rPr>
        <w:t xml:space="preserve">among those </w:t>
      </w:r>
      <w:r w:rsidR="001B0B17" w:rsidRPr="00813D19">
        <w:rPr>
          <w:lang w:val="en-US"/>
        </w:rPr>
        <w:t xml:space="preserve">present </w:t>
      </w:r>
      <w:r w:rsidR="00CC3449" w:rsidRPr="00813D19">
        <w:rPr>
          <w:lang w:val="en-US"/>
        </w:rPr>
        <w:t xml:space="preserve">but </w:t>
      </w:r>
      <w:r w:rsidR="005B4F4D" w:rsidRPr="00813D19">
        <w:rPr>
          <w:lang w:val="en-US"/>
        </w:rPr>
        <w:t xml:space="preserve">with </w:t>
      </w:r>
      <w:r w:rsidR="001B0B17" w:rsidRPr="00813D19">
        <w:rPr>
          <w:lang w:val="en-US"/>
        </w:rPr>
        <w:t>everyone</w:t>
      </w:r>
      <w:r w:rsidR="00CC3449" w:rsidRPr="00813D19">
        <w:rPr>
          <w:lang w:val="en-US"/>
        </w:rPr>
        <w:t xml:space="preserve"> in the world who loves </w:t>
      </w:r>
      <w:r w:rsidR="001B0B17" w:rsidRPr="00813D19">
        <w:rPr>
          <w:lang w:val="en-US"/>
        </w:rPr>
        <w:t xml:space="preserve">intangible cultural heritage </w:t>
      </w:r>
      <w:r w:rsidR="00CC3449" w:rsidRPr="00813D19">
        <w:rPr>
          <w:lang w:val="en-US"/>
        </w:rPr>
        <w:t xml:space="preserve">and </w:t>
      </w:r>
      <w:r w:rsidR="00BA4B78">
        <w:rPr>
          <w:lang w:val="en-US"/>
        </w:rPr>
        <w:t>was</w:t>
      </w:r>
      <w:r w:rsidR="00BA4B78" w:rsidRPr="00813D19">
        <w:rPr>
          <w:lang w:val="en-US"/>
        </w:rPr>
        <w:t xml:space="preserve"> </w:t>
      </w:r>
      <w:r w:rsidR="00CC3449" w:rsidRPr="00813D19">
        <w:rPr>
          <w:lang w:val="en-US"/>
        </w:rPr>
        <w:t xml:space="preserve">working </w:t>
      </w:r>
      <w:r w:rsidR="001B0B17" w:rsidRPr="00813D19">
        <w:rPr>
          <w:lang w:val="en-US"/>
        </w:rPr>
        <w:t>towards preserving</w:t>
      </w:r>
      <w:r w:rsidR="00CC3449" w:rsidRPr="00813D19">
        <w:rPr>
          <w:lang w:val="en-US"/>
        </w:rPr>
        <w:t xml:space="preserve"> and safeguard</w:t>
      </w:r>
      <w:r w:rsidR="001B0B17" w:rsidRPr="00813D19">
        <w:rPr>
          <w:lang w:val="en-US"/>
        </w:rPr>
        <w:t>ing</w:t>
      </w:r>
      <w:r w:rsidR="00CC3449" w:rsidRPr="00813D19">
        <w:rPr>
          <w:lang w:val="en-US"/>
        </w:rPr>
        <w:t xml:space="preserve"> it. Japan remain</w:t>
      </w:r>
      <w:r w:rsidR="00A2583B" w:rsidRPr="00813D19">
        <w:rPr>
          <w:lang w:val="en-US"/>
        </w:rPr>
        <w:t>ed</w:t>
      </w:r>
      <w:r w:rsidR="00CC3449" w:rsidRPr="00813D19">
        <w:rPr>
          <w:lang w:val="en-US"/>
        </w:rPr>
        <w:t xml:space="preserve"> firm in promoting and furthering the credibility and sustainability of </w:t>
      </w:r>
      <w:r w:rsidR="001B0B17" w:rsidRPr="00813D19">
        <w:rPr>
          <w:lang w:val="en-US"/>
        </w:rPr>
        <w:t xml:space="preserve">intangible </w:t>
      </w:r>
      <w:r w:rsidR="00303400" w:rsidRPr="00813D19">
        <w:rPr>
          <w:lang w:val="en-US"/>
        </w:rPr>
        <w:t xml:space="preserve">cultural </w:t>
      </w:r>
      <w:r w:rsidR="001B0B17" w:rsidRPr="00813D19">
        <w:rPr>
          <w:lang w:val="en-US"/>
        </w:rPr>
        <w:t>heritage</w:t>
      </w:r>
      <w:r w:rsidR="0047370D">
        <w:rPr>
          <w:lang w:val="en-US"/>
        </w:rPr>
        <w:t>.</w:t>
      </w:r>
    </w:p>
    <w:p w14:paraId="01EB0D3F" w14:textId="026F49A4" w:rsidR="00A12661" w:rsidRPr="0047370D" w:rsidRDefault="00A12661"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Kuwait</w:t>
      </w:r>
      <w:r w:rsidR="00CC3449" w:rsidRPr="00813D19">
        <w:rPr>
          <w:b/>
          <w:color w:val="000000" w:themeColor="text1"/>
          <w:lang w:val="en-US"/>
        </w:rPr>
        <w:t xml:space="preserve"> </w:t>
      </w:r>
      <w:r w:rsidR="00CC3449" w:rsidRPr="00813D19">
        <w:rPr>
          <w:lang w:val="en-US"/>
        </w:rPr>
        <w:t>thank</w:t>
      </w:r>
      <w:r w:rsidR="001B0B17" w:rsidRPr="00813D19">
        <w:rPr>
          <w:lang w:val="en-US"/>
        </w:rPr>
        <w:t>ed</w:t>
      </w:r>
      <w:r w:rsidR="00CC3449" w:rsidRPr="00813D19">
        <w:rPr>
          <w:lang w:val="en-US"/>
        </w:rPr>
        <w:t xml:space="preserve"> the Government of Mauritius, </w:t>
      </w:r>
      <w:r w:rsidR="001B0B17" w:rsidRPr="00813D19">
        <w:rPr>
          <w:lang w:val="en-US"/>
        </w:rPr>
        <w:t>the Chairperson</w:t>
      </w:r>
      <w:r w:rsidR="00CC3449" w:rsidRPr="00813D19">
        <w:rPr>
          <w:lang w:val="en-US"/>
        </w:rPr>
        <w:t xml:space="preserve">, the Secretariat, the Committee Members and everyone </w:t>
      </w:r>
      <w:r w:rsidR="001D0B75" w:rsidRPr="00813D19">
        <w:rPr>
          <w:lang w:val="en-US"/>
        </w:rPr>
        <w:t>who had</w:t>
      </w:r>
      <w:r w:rsidR="00CC3449" w:rsidRPr="00813D19">
        <w:rPr>
          <w:lang w:val="en-US"/>
        </w:rPr>
        <w:t xml:space="preserve"> worked to </w:t>
      </w:r>
      <w:r w:rsidR="001B0B17" w:rsidRPr="00813D19">
        <w:rPr>
          <w:lang w:val="en-US"/>
        </w:rPr>
        <w:t xml:space="preserve">make this a successful meeting, </w:t>
      </w:r>
      <w:r w:rsidR="001D0B75" w:rsidRPr="00813D19">
        <w:rPr>
          <w:lang w:val="en-US"/>
        </w:rPr>
        <w:t xml:space="preserve">adding that it </w:t>
      </w:r>
      <w:r w:rsidR="001B0B17" w:rsidRPr="00813D19">
        <w:rPr>
          <w:lang w:val="en-US"/>
        </w:rPr>
        <w:t xml:space="preserve">was looking forward to </w:t>
      </w:r>
      <w:r w:rsidR="00CC3449" w:rsidRPr="00813D19">
        <w:rPr>
          <w:lang w:val="en-US"/>
        </w:rPr>
        <w:t>Col</w:t>
      </w:r>
      <w:r w:rsidR="0047370D">
        <w:rPr>
          <w:lang w:val="en-US"/>
        </w:rPr>
        <w:t>ombia.</w:t>
      </w:r>
    </w:p>
    <w:p w14:paraId="1A1AC8F5" w14:textId="35E46553" w:rsidR="001B0B17" w:rsidRPr="0047370D" w:rsidRDefault="003C746E"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Senegal </w:t>
      </w:r>
      <w:r w:rsidR="001B0B17" w:rsidRPr="00813D19">
        <w:rPr>
          <w:color w:val="000000" w:themeColor="text1"/>
          <w:lang w:val="en-US"/>
        </w:rPr>
        <w:t xml:space="preserve">congratulated the Chairperson, thanking him for the quality, brilliance and efficiency with which he </w:t>
      </w:r>
      <w:r w:rsidR="00BA4B78">
        <w:rPr>
          <w:color w:val="000000" w:themeColor="text1"/>
          <w:lang w:val="en-US"/>
        </w:rPr>
        <w:t xml:space="preserve">had </w:t>
      </w:r>
      <w:r w:rsidR="001B0B17" w:rsidRPr="00813D19">
        <w:rPr>
          <w:color w:val="000000" w:themeColor="text1"/>
          <w:lang w:val="en-US"/>
        </w:rPr>
        <w:t xml:space="preserve">conducted the Committee’s work. It warmly congratulated and thanked the Government and people of Mauritius for their generous hospitality. The delegation thanked the entire Secretariat for its outstanding work, and of course the Evaluation Body, which it warmly congratulated. It also congratulated all the States, Members of the Committee, Observers and NGOs for the calm and friendly atmosphere </w:t>
      </w:r>
      <w:r w:rsidR="00A952F6" w:rsidRPr="00813D19">
        <w:rPr>
          <w:color w:val="000000" w:themeColor="text1"/>
          <w:lang w:val="en-US"/>
        </w:rPr>
        <w:t>in</w:t>
      </w:r>
      <w:r w:rsidR="001B0B17" w:rsidRPr="00813D19">
        <w:rPr>
          <w:color w:val="000000" w:themeColor="text1"/>
          <w:lang w:val="en-US"/>
        </w:rPr>
        <w:t xml:space="preserve"> which the deliberations </w:t>
      </w:r>
      <w:r w:rsidR="00DC164D">
        <w:rPr>
          <w:color w:val="000000" w:themeColor="text1"/>
          <w:lang w:val="en-US"/>
        </w:rPr>
        <w:t>had been</w:t>
      </w:r>
      <w:r w:rsidR="00DC164D" w:rsidRPr="00813D19">
        <w:rPr>
          <w:color w:val="000000" w:themeColor="text1"/>
          <w:lang w:val="en-US"/>
        </w:rPr>
        <w:t xml:space="preserve"> </w:t>
      </w:r>
      <w:r w:rsidR="001B0B17" w:rsidRPr="00813D19">
        <w:rPr>
          <w:color w:val="000000" w:themeColor="text1"/>
          <w:lang w:val="en-US"/>
        </w:rPr>
        <w:t>conducted. Finally, the delegation congratulated and thanked Colombia for welcoming the Committee in 2019.</w:t>
      </w:r>
    </w:p>
    <w:p w14:paraId="37F7DC9C" w14:textId="160FE08B" w:rsidR="0090320C" w:rsidRPr="0047370D" w:rsidRDefault="0090320C"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Poland</w:t>
      </w:r>
      <w:r w:rsidR="00CC3449" w:rsidRPr="00813D19">
        <w:rPr>
          <w:b/>
          <w:color w:val="000000" w:themeColor="text1"/>
          <w:lang w:val="en-US"/>
        </w:rPr>
        <w:t xml:space="preserve"> </w:t>
      </w:r>
      <w:r w:rsidR="00CC3449" w:rsidRPr="00813D19">
        <w:rPr>
          <w:lang w:val="en-US"/>
        </w:rPr>
        <w:t>thank</w:t>
      </w:r>
      <w:r w:rsidR="0069288A" w:rsidRPr="00813D19">
        <w:rPr>
          <w:lang w:val="en-US"/>
        </w:rPr>
        <w:t>ed</w:t>
      </w:r>
      <w:r w:rsidR="00CC3449" w:rsidRPr="00813D19">
        <w:rPr>
          <w:lang w:val="en-US"/>
        </w:rPr>
        <w:t xml:space="preserve"> </w:t>
      </w:r>
      <w:r w:rsidR="0069288A" w:rsidRPr="00813D19">
        <w:rPr>
          <w:lang w:val="en-US"/>
        </w:rPr>
        <w:t xml:space="preserve">the Chairperson </w:t>
      </w:r>
      <w:r w:rsidR="00CC3449" w:rsidRPr="00813D19">
        <w:rPr>
          <w:lang w:val="en-US"/>
        </w:rPr>
        <w:t xml:space="preserve">for </w:t>
      </w:r>
      <w:r w:rsidR="0069288A" w:rsidRPr="00813D19">
        <w:rPr>
          <w:lang w:val="en-US"/>
        </w:rPr>
        <w:t xml:space="preserve">his </w:t>
      </w:r>
      <w:r w:rsidR="00CC3449" w:rsidRPr="00813D19">
        <w:rPr>
          <w:lang w:val="en-US"/>
        </w:rPr>
        <w:t xml:space="preserve">wise leadership, the host country for </w:t>
      </w:r>
      <w:r w:rsidR="00223A8E" w:rsidRPr="00813D19">
        <w:rPr>
          <w:lang w:val="en-US"/>
        </w:rPr>
        <w:t>its</w:t>
      </w:r>
      <w:r w:rsidR="00303400" w:rsidRPr="00813D19">
        <w:rPr>
          <w:lang w:val="en-US"/>
        </w:rPr>
        <w:t xml:space="preserve"> hospitality, and </w:t>
      </w:r>
      <w:r w:rsidR="00CC3449" w:rsidRPr="00813D19">
        <w:rPr>
          <w:lang w:val="en-US"/>
        </w:rPr>
        <w:t xml:space="preserve">the </w:t>
      </w:r>
      <w:r w:rsidR="0069288A" w:rsidRPr="00813D19">
        <w:rPr>
          <w:lang w:val="en-US"/>
        </w:rPr>
        <w:t xml:space="preserve">entire </w:t>
      </w:r>
      <w:r w:rsidR="00CC3449" w:rsidRPr="00813D19">
        <w:rPr>
          <w:lang w:val="en-US"/>
        </w:rPr>
        <w:t xml:space="preserve">Secretariat for </w:t>
      </w:r>
      <w:r w:rsidR="0069288A" w:rsidRPr="00813D19">
        <w:rPr>
          <w:lang w:val="en-US"/>
        </w:rPr>
        <w:t xml:space="preserve">the </w:t>
      </w:r>
      <w:r w:rsidR="00CC3449" w:rsidRPr="00813D19">
        <w:rPr>
          <w:lang w:val="en-US"/>
        </w:rPr>
        <w:t>work well done</w:t>
      </w:r>
      <w:r w:rsidR="00303400" w:rsidRPr="00813D19">
        <w:rPr>
          <w:lang w:val="en-US"/>
        </w:rPr>
        <w:t>.</w:t>
      </w:r>
      <w:r w:rsidR="00CC3449" w:rsidRPr="00813D19">
        <w:rPr>
          <w:lang w:val="en-US"/>
        </w:rPr>
        <w:t xml:space="preserve"> </w:t>
      </w:r>
      <w:r w:rsidR="00303400" w:rsidRPr="00813D19">
        <w:rPr>
          <w:lang w:val="en-US"/>
        </w:rPr>
        <w:t>I</w:t>
      </w:r>
      <w:r w:rsidR="0069288A" w:rsidRPr="00813D19">
        <w:rPr>
          <w:lang w:val="en-US"/>
        </w:rPr>
        <w:t xml:space="preserve">t </w:t>
      </w:r>
      <w:r w:rsidR="00CC3449" w:rsidRPr="00813D19">
        <w:rPr>
          <w:lang w:val="en-US"/>
        </w:rPr>
        <w:t>congratulate</w:t>
      </w:r>
      <w:r w:rsidR="0069288A" w:rsidRPr="00813D19">
        <w:rPr>
          <w:lang w:val="en-US"/>
        </w:rPr>
        <w:t xml:space="preserve">d the new </w:t>
      </w:r>
      <w:r w:rsidR="003E7512">
        <w:rPr>
          <w:lang w:val="en-US"/>
        </w:rPr>
        <w:t>m</w:t>
      </w:r>
      <w:r w:rsidR="003E7512" w:rsidRPr="00813D19">
        <w:rPr>
          <w:lang w:val="en-US"/>
        </w:rPr>
        <w:t xml:space="preserve">embers </w:t>
      </w:r>
      <w:r w:rsidR="0069288A" w:rsidRPr="00813D19">
        <w:rPr>
          <w:lang w:val="en-US"/>
        </w:rPr>
        <w:t xml:space="preserve">of the Evaluation Body, </w:t>
      </w:r>
      <w:r w:rsidR="00CC3449" w:rsidRPr="00813D19">
        <w:rPr>
          <w:lang w:val="en-US"/>
        </w:rPr>
        <w:t>the NGO steering committee</w:t>
      </w:r>
      <w:r w:rsidR="0069288A" w:rsidRPr="00813D19">
        <w:rPr>
          <w:lang w:val="en-US"/>
        </w:rPr>
        <w:t>,</w:t>
      </w:r>
      <w:r w:rsidR="0047370D">
        <w:rPr>
          <w:lang w:val="en-US"/>
        </w:rPr>
        <w:t xml:space="preserve"> and Colombia.</w:t>
      </w:r>
    </w:p>
    <w:p w14:paraId="3AD87BFD" w14:textId="59C24C93" w:rsidR="004B35DA" w:rsidRPr="0047370D" w:rsidRDefault="004B35DA"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Cuba</w:t>
      </w:r>
      <w:r w:rsidR="00CC3449" w:rsidRPr="00813D19">
        <w:rPr>
          <w:b/>
          <w:color w:val="000000" w:themeColor="text1"/>
          <w:lang w:val="en-US"/>
        </w:rPr>
        <w:t xml:space="preserve"> </w:t>
      </w:r>
      <w:r w:rsidR="00CC3449" w:rsidRPr="00813D19">
        <w:rPr>
          <w:bCs/>
          <w:lang w:val="en-US"/>
        </w:rPr>
        <w:t>echo</w:t>
      </w:r>
      <w:r w:rsidR="0069288A" w:rsidRPr="00813D19">
        <w:rPr>
          <w:bCs/>
          <w:lang w:val="en-US"/>
        </w:rPr>
        <w:t>ed</w:t>
      </w:r>
      <w:r w:rsidR="00CC3449" w:rsidRPr="00813D19">
        <w:rPr>
          <w:bCs/>
          <w:lang w:val="en-US"/>
        </w:rPr>
        <w:t xml:space="preserve"> the words expressed by others and </w:t>
      </w:r>
      <w:r w:rsidR="0069288A" w:rsidRPr="00813D19">
        <w:rPr>
          <w:bCs/>
          <w:lang w:val="en-US"/>
        </w:rPr>
        <w:t>congratulated</w:t>
      </w:r>
      <w:r w:rsidR="00CC3449" w:rsidRPr="00813D19">
        <w:rPr>
          <w:bCs/>
          <w:lang w:val="en-US"/>
        </w:rPr>
        <w:t xml:space="preserve"> </w:t>
      </w:r>
      <w:r w:rsidR="0069288A" w:rsidRPr="00813D19">
        <w:rPr>
          <w:bCs/>
          <w:lang w:val="en-US"/>
        </w:rPr>
        <w:t xml:space="preserve">the Chairperson for the </w:t>
      </w:r>
      <w:r w:rsidR="00CC3449" w:rsidRPr="00813D19">
        <w:rPr>
          <w:bCs/>
          <w:lang w:val="en-US"/>
        </w:rPr>
        <w:t xml:space="preserve">excellent way in which </w:t>
      </w:r>
      <w:r w:rsidR="0069288A" w:rsidRPr="00813D19">
        <w:rPr>
          <w:bCs/>
          <w:lang w:val="en-US"/>
        </w:rPr>
        <w:t>he</w:t>
      </w:r>
      <w:r w:rsidR="00B50B87">
        <w:rPr>
          <w:bCs/>
          <w:lang w:val="en-US"/>
        </w:rPr>
        <w:t xml:space="preserve"> had</w:t>
      </w:r>
      <w:r w:rsidR="0069288A" w:rsidRPr="00813D19">
        <w:rPr>
          <w:bCs/>
          <w:lang w:val="en-US"/>
        </w:rPr>
        <w:t xml:space="preserve"> </w:t>
      </w:r>
      <w:r w:rsidR="00CC3449" w:rsidRPr="00813D19">
        <w:rPr>
          <w:bCs/>
          <w:lang w:val="en-US"/>
        </w:rPr>
        <w:t xml:space="preserve">led </w:t>
      </w:r>
      <w:r w:rsidR="0069288A" w:rsidRPr="00813D19">
        <w:rPr>
          <w:bCs/>
          <w:lang w:val="en-US"/>
        </w:rPr>
        <w:t xml:space="preserve">the Committee’s </w:t>
      </w:r>
      <w:r w:rsidR="00CC3449" w:rsidRPr="00813D19">
        <w:rPr>
          <w:bCs/>
          <w:lang w:val="en-US"/>
        </w:rPr>
        <w:t>work</w:t>
      </w:r>
      <w:r w:rsidR="0069288A" w:rsidRPr="00813D19">
        <w:rPr>
          <w:bCs/>
          <w:lang w:val="en-US"/>
        </w:rPr>
        <w:t>,</w:t>
      </w:r>
      <w:r w:rsidR="00CC3449" w:rsidRPr="00813D19">
        <w:rPr>
          <w:bCs/>
          <w:lang w:val="en-US"/>
        </w:rPr>
        <w:t xml:space="preserve"> </w:t>
      </w:r>
      <w:r w:rsidR="0069288A" w:rsidRPr="00813D19">
        <w:rPr>
          <w:bCs/>
          <w:lang w:val="en-US"/>
        </w:rPr>
        <w:t xml:space="preserve">thanking </w:t>
      </w:r>
      <w:r w:rsidR="00CC3449" w:rsidRPr="00813D19">
        <w:rPr>
          <w:bCs/>
          <w:lang w:val="en-US"/>
        </w:rPr>
        <w:t>the Government of Mauritius and the authorities for the welcome</w:t>
      </w:r>
      <w:r w:rsidR="0069288A" w:rsidRPr="00813D19">
        <w:rPr>
          <w:bCs/>
          <w:lang w:val="en-US"/>
        </w:rPr>
        <w:t xml:space="preserve">. It thanked </w:t>
      </w:r>
      <w:r w:rsidR="00CC3449" w:rsidRPr="00813D19">
        <w:rPr>
          <w:bCs/>
          <w:lang w:val="en-US"/>
        </w:rPr>
        <w:t xml:space="preserve">the Secretariat, the interpreters, the Legal Adviser and everyone </w:t>
      </w:r>
      <w:r w:rsidR="0069288A" w:rsidRPr="00813D19">
        <w:rPr>
          <w:bCs/>
          <w:lang w:val="en-US"/>
        </w:rPr>
        <w:t>in the c</w:t>
      </w:r>
      <w:r w:rsidR="00CC3449" w:rsidRPr="00813D19">
        <w:rPr>
          <w:bCs/>
          <w:lang w:val="en-US"/>
        </w:rPr>
        <w:t>o</w:t>
      </w:r>
      <w:r w:rsidR="0069288A" w:rsidRPr="00813D19">
        <w:rPr>
          <w:bCs/>
          <w:lang w:val="en-US"/>
        </w:rPr>
        <w:t>nvention cent</w:t>
      </w:r>
      <w:r w:rsidR="00CC3449" w:rsidRPr="00813D19">
        <w:rPr>
          <w:bCs/>
          <w:lang w:val="en-US"/>
        </w:rPr>
        <w:t>r</w:t>
      </w:r>
      <w:r w:rsidR="0069288A" w:rsidRPr="00813D19">
        <w:rPr>
          <w:bCs/>
          <w:lang w:val="en-US"/>
        </w:rPr>
        <w:t>e</w:t>
      </w:r>
      <w:r w:rsidR="00CC3449" w:rsidRPr="00813D19">
        <w:rPr>
          <w:bCs/>
          <w:lang w:val="en-US"/>
        </w:rPr>
        <w:t xml:space="preserve"> who </w:t>
      </w:r>
      <w:r w:rsidR="0069288A" w:rsidRPr="00813D19">
        <w:rPr>
          <w:bCs/>
          <w:lang w:val="en-US"/>
        </w:rPr>
        <w:t>had worked</w:t>
      </w:r>
      <w:r w:rsidR="00CC3449" w:rsidRPr="00813D19">
        <w:rPr>
          <w:bCs/>
          <w:lang w:val="en-US"/>
        </w:rPr>
        <w:t xml:space="preserve"> so hard to make sure </w:t>
      </w:r>
      <w:r w:rsidR="0069288A" w:rsidRPr="00813D19">
        <w:rPr>
          <w:bCs/>
          <w:lang w:val="en-US"/>
        </w:rPr>
        <w:t xml:space="preserve">the </w:t>
      </w:r>
      <w:r w:rsidR="00CC3449" w:rsidRPr="00813D19">
        <w:rPr>
          <w:bCs/>
          <w:lang w:val="en-US"/>
        </w:rPr>
        <w:t xml:space="preserve">conference </w:t>
      </w:r>
      <w:r w:rsidR="0069288A" w:rsidRPr="00813D19">
        <w:rPr>
          <w:bCs/>
          <w:lang w:val="en-US"/>
        </w:rPr>
        <w:t xml:space="preserve">ran </w:t>
      </w:r>
      <w:r w:rsidR="00CC3449" w:rsidRPr="00813D19">
        <w:rPr>
          <w:bCs/>
          <w:lang w:val="en-US"/>
        </w:rPr>
        <w:t xml:space="preserve">smoothly. </w:t>
      </w:r>
      <w:r w:rsidR="0069288A" w:rsidRPr="00813D19">
        <w:rPr>
          <w:bCs/>
          <w:lang w:val="en-US"/>
        </w:rPr>
        <w:t xml:space="preserve">The delegation </w:t>
      </w:r>
      <w:r w:rsidR="00CC3449" w:rsidRPr="00813D19">
        <w:rPr>
          <w:bCs/>
          <w:lang w:val="en-US"/>
        </w:rPr>
        <w:t xml:space="preserve">also </w:t>
      </w:r>
      <w:r w:rsidR="0069288A" w:rsidRPr="00813D19">
        <w:rPr>
          <w:bCs/>
          <w:lang w:val="en-US"/>
        </w:rPr>
        <w:t>spoke of the importance of</w:t>
      </w:r>
      <w:r w:rsidR="00CC3449" w:rsidRPr="00813D19">
        <w:rPr>
          <w:bCs/>
          <w:lang w:val="en-US"/>
        </w:rPr>
        <w:t xml:space="preserve"> culture </w:t>
      </w:r>
      <w:r w:rsidR="0069288A" w:rsidRPr="00813D19">
        <w:rPr>
          <w:bCs/>
          <w:lang w:val="en-US"/>
        </w:rPr>
        <w:t xml:space="preserve">for dialogue and peace, of which the </w:t>
      </w:r>
      <w:r w:rsidR="00CC3449" w:rsidRPr="00813D19">
        <w:rPr>
          <w:bCs/>
          <w:lang w:val="en-US"/>
        </w:rPr>
        <w:t xml:space="preserve">meeting </w:t>
      </w:r>
      <w:r w:rsidR="0069288A" w:rsidRPr="00813D19">
        <w:rPr>
          <w:bCs/>
          <w:lang w:val="en-US"/>
        </w:rPr>
        <w:t xml:space="preserve">was </w:t>
      </w:r>
      <w:r w:rsidR="00CC3449" w:rsidRPr="00813D19">
        <w:rPr>
          <w:bCs/>
          <w:lang w:val="en-US"/>
        </w:rPr>
        <w:t>an excellent example</w:t>
      </w:r>
      <w:r w:rsidR="0069288A" w:rsidRPr="00813D19">
        <w:rPr>
          <w:bCs/>
          <w:lang w:val="en-US"/>
        </w:rPr>
        <w:t xml:space="preserve">, with </w:t>
      </w:r>
      <w:r w:rsidR="00CC3449" w:rsidRPr="00813D19">
        <w:rPr>
          <w:bCs/>
          <w:lang w:val="en-US"/>
        </w:rPr>
        <w:t xml:space="preserve">UNESCO </w:t>
      </w:r>
      <w:r w:rsidR="0069288A" w:rsidRPr="00813D19">
        <w:rPr>
          <w:bCs/>
          <w:lang w:val="en-US"/>
        </w:rPr>
        <w:t>play</w:t>
      </w:r>
      <w:r w:rsidR="001D0AAB" w:rsidRPr="00813D19">
        <w:rPr>
          <w:bCs/>
          <w:lang w:val="en-US"/>
        </w:rPr>
        <w:t>i</w:t>
      </w:r>
      <w:r w:rsidR="0069288A" w:rsidRPr="00813D19">
        <w:rPr>
          <w:bCs/>
          <w:lang w:val="en-US"/>
        </w:rPr>
        <w:t xml:space="preserve">ng </w:t>
      </w:r>
      <w:r w:rsidR="00CC3449" w:rsidRPr="00813D19">
        <w:rPr>
          <w:bCs/>
          <w:lang w:val="en-US"/>
        </w:rPr>
        <w:t xml:space="preserve">an essential role in defending </w:t>
      </w:r>
      <w:r w:rsidR="0069288A" w:rsidRPr="00813D19">
        <w:rPr>
          <w:bCs/>
          <w:lang w:val="en-US"/>
        </w:rPr>
        <w:t xml:space="preserve">those values </w:t>
      </w:r>
      <w:r w:rsidR="00CC3449" w:rsidRPr="00813D19">
        <w:rPr>
          <w:bCs/>
          <w:lang w:val="en-US"/>
        </w:rPr>
        <w:t xml:space="preserve">within the </w:t>
      </w:r>
      <w:r w:rsidR="0069288A" w:rsidRPr="00813D19">
        <w:rPr>
          <w:bCs/>
          <w:lang w:val="en-US"/>
        </w:rPr>
        <w:t xml:space="preserve">UN </w:t>
      </w:r>
      <w:r w:rsidR="00CC3449" w:rsidRPr="00813D19">
        <w:rPr>
          <w:bCs/>
          <w:lang w:val="en-US"/>
        </w:rPr>
        <w:t xml:space="preserve">system where culture is an important tool for sustainable development. </w:t>
      </w:r>
      <w:r w:rsidR="0069288A" w:rsidRPr="00813D19">
        <w:rPr>
          <w:bCs/>
          <w:lang w:val="en-US"/>
        </w:rPr>
        <w:t xml:space="preserve">It was </w:t>
      </w:r>
      <w:r w:rsidR="00CC3449" w:rsidRPr="00813D19">
        <w:rPr>
          <w:bCs/>
          <w:lang w:val="en-US"/>
        </w:rPr>
        <w:t xml:space="preserve">happy to welcome </w:t>
      </w:r>
      <w:r w:rsidR="0069288A" w:rsidRPr="00813D19">
        <w:rPr>
          <w:bCs/>
          <w:lang w:val="en-US"/>
        </w:rPr>
        <w:t xml:space="preserve">the </w:t>
      </w:r>
      <w:r w:rsidR="00CC3449" w:rsidRPr="00813D19">
        <w:rPr>
          <w:bCs/>
          <w:lang w:val="en-US"/>
        </w:rPr>
        <w:t xml:space="preserve">next </w:t>
      </w:r>
      <w:r w:rsidR="0069288A" w:rsidRPr="00813D19">
        <w:rPr>
          <w:bCs/>
          <w:lang w:val="en-US"/>
        </w:rPr>
        <w:t xml:space="preserve">session of the Committee </w:t>
      </w:r>
      <w:r w:rsidR="00A201F4" w:rsidRPr="00813D19">
        <w:rPr>
          <w:bCs/>
          <w:lang w:val="en-US"/>
        </w:rPr>
        <w:t xml:space="preserve">to Latin America </w:t>
      </w:r>
      <w:r w:rsidR="00CC3449" w:rsidRPr="00813D19">
        <w:rPr>
          <w:bCs/>
          <w:lang w:val="en-US"/>
        </w:rPr>
        <w:t xml:space="preserve">in Colombia </w:t>
      </w:r>
      <w:r w:rsidR="0069288A" w:rsidRPr="00813D19">
        <w:rPr>
          <w:bCs/>
          <w:lang w:val="en-US"/>
        </w:rPr>
        <w:t>in 2019</w:t>
      </w:r>
      <w:r w:rsidR="0047370D">
        <w:rPr>
          <w:bCs/>
          <w:lang w:val="en-US"/>
        </w:rPr>
        <w:t>.</w:t>
      </w:r>
    </w:p>
    <w:p w14:paraId="36C494DA" w14:textId="7A260198" w:rsidR="00832F3F" w:rsidRPr="0047370D" w:rsidRDefault="00832F3F"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Guatemala</w:t>
      </w:r>
      <w:r w:rsidR="00CC3449" w:rsidRPr="00813D19">
        <w:rPr>
          <w:b/>
          <w:color w:val="000000" w:themeColor="text1"/>
          <w:lang w:val="en-US"/>
        </w:rPr>
        <w:t xml:space="preserve"> </w:t>
      </w:r>
      <w:r w:rsidR="0069288A" w:rsidRPr="00813D19">
        <w:rPr>
          <w:color w:val="000000" w:themeColor="text1"/>
          <w:lang w:val="en-US"/>
        </w:rPr>
        <w:t xml:space="preserve">thanked the </w:t>
      </w:r>
      <w:r w:rsidR="0069288A" w:rsidRPr="00813D19">
        <w:rPr>
          <w:bCs/>
          <w:lang w:val="en-US"/>
        </w:rPr>
        <w:t xml:space="preserve">Chairperson and </w:t>
      </w:r>
      <w:r w:rsidR="00CC3449" w:rsidRPr="00813D19">
        <w:rPr>
          <w:bCs/>
          <w:lang w:val="en-US"/>
        </w:rPr>
        <w:t>the entire Secretariat</w:t>
      </w:r>
      <w:r w:rsidR="00304FAE" w:rsidRPr="00813D19">
        <w:rPr>
          <w:bCs/>
          <w:lang w:val="en-US"/>
        </w:rPr>
        <w:t xml:space="preserve">, </w:t>
      </w:r>
      <w:r w:rsidR="00CC3449" w:rsidRPr="00813D19">
        <w:rPr>
          <w:bCs/>
          <w:lang w:val="en-US"/>
        </w:rPr>
        <w:t>extend</w:t>
      </w:r>
      <w:r w:rsidR="00304FAE" w:rsidRPr="00813D19">
        <w:rPr>
          <w:bCs/>
          <w:lang w:val="en-US"/>
        </w:rPr>
        <w:t>ing</w:t>
      </w:r>
      <w:r w:rsidR="00CC3449" w:rsidRPr="00813D19">
        <w:rPr>
          <w:bCs/>
          <w:lang w:val="en-US"/>
        </w:rPr>
        <w:t xml:space="preserve"> thanks to Mauritius for the wonderful hospitality</w:t>
      </w:r>
      <w:r w:rsidR="00BA6627" w:rsidRPr="00813D19">
        <w:rPr>
          <w:bCs/>
          <w:lang w:val="en-US"/>
        </w:rPr>
        <w:t xml:space="preserve"> and for the organized visits</w:t>
      </w:r>
      <w:r w:rsidR="00CC3449" w:rsidRPr="00813D19">
        <w:rPr>
          <w:bCs/>
          <w:lang w:val="en-US"/>
        </w:rPr>
        <w:t xml:space="preserve">. On behalf of the </w:t>
      </w:r>
      <w:r w:rsidR="00A57AC1" w:rsidRPr="00813D19">
        <w:rPr>
          <w:bCs/>
          <w:lang w:val="en-US"/>
        </w:rPr>
        <w:t xml:space="preserve">main cultures of Guatemala, the </w:t>
      </w:r>
      <w:r w:rsidR="00CC3449" w:rsidRPr="00813D19">
        <w:rPr>
          <w:bCs/>
          <w:lang w:val="en-US"/>
        </w:rPr>
        <w:t>Maya, Q’eqchi’</w:t>
      </w:r>
      <w:r w:rsidR="00A57AC1" w:rsidRPr="00813D19">
        <w:rPr>
          <w:bCs/>
          <w:lang w:val="en-US"/>
        </w:rPr>
        <w:t xml:space="preserve"> and </w:t>
      </w:r>
      <w:r w:rsidR="00CC3449" w:rsidRPr="00813D19">
        <w:rPr>
          <w:bCs/>
          <w:lang w:val="en-US"/>
        </w:rPr>
        <w:t>the Mestizo culture</w:t>
      </w:r>
      <w:r w:rsidR="00A57AC1" w:rsidRPr="00813D19">
        <w:rPr>
          <w:bCs/>
          <w:lang w:val="en-US"/>
        </w:rPr>
        <w:t xml:space="preserve">s, the delegation </w:t>
      </w:r>
      <w:r w:rsidR="00CC3449" w:rsidRPr="00813D19">
        <w:rPr>
          <w:bCs/>
          <w:lang w:val="en-US"/>
        </w:rPr>
        <w:t>extend</w:t>
      </w:r>
      <w:r w:rsidR="00A57AC1" w:rsidRPr="00813D19">
        <w:rPr>
          <w:bCs/>
          <w:lang w:val="en-US"/>
        </w:rPr>
        <w:t>ed</w:t>
      </w:r>
      <w:r w:rsidR="00B50B87">
        <w:rPr>
          <w:bCs/>
          <w:lang w:val="en-US"/>
        </w:rPr>
        <w:t xml:space="preserve"> its</w:t>
      </w:r>
      <w:r w:rsidR="00CC3449" w:rsidRPr="00813D19">
        <w:rPr>
          <w:bCs/>
          <w:lang w:val="en-US"/>
        </w:rPr>
        <w:t xml:space="preserve"> </w:t>
      </w:r>
      <w:r w:rsidR="00A57AC1" w:rsidRPr="00813D19">
        <w:rPr>
          <w:bCs/>
          <w:lang w:val="en-US"/>
        </w:rPr>
        <w:t xml:space="preserve">thanks to UNESCO, </w:t>
      </w:r>
      <w:r w:rsidR="00CC3449" w:rsidRPr="00813D19">
        <w:rPr>
          <w:bCs/>
          <w:lang w:val="en-US"/>
        </w:rPr>
        <w:t>the Committee and its Members</w:t>
      </w:r>
      <w:r w:rsidR="00A57AC1" w:rsidRPr="00813D19">
        <w:rPr>
          <w:bCs/>
          <w:lang w:val="en-US"/>
        </w:rPr>
        <w:t>,</w:t>
      </w:r>
      <w:r w:rsidR="00CC3449" w:rsidRPr="00813D19">
        <w:rPr>
          <w:bCs/>
          <w:lang w:val="en-US"/>
        </w:rPr>
        <w:t xml:space="preserve"> and the Observers. </w:t>
      </w:r>
      <w:r w:rsidR="00A57AC1" w:rsidRPr="00813D19">
        <w:rPr>
          <w:bCs/>
          <w:lang w:val="en-US"/>
        </w:rPr>
        <w:t>Everyone had been happy to join this assembly. Having learn</w:t>
      </w:r>
      <w:r w:rsidR="00FB131E">
        <w:rPr>
          <w:bCs/>
          <w:lang w:val="en-US"/>
        </w:rPr>
        <w:t>ed</w:t>
      </w:r>
      <w:r w:rsidR="00A57AC1" w:rsidRPr="00813D19">
        <w:rPr>
          <w:bCs/>
          <w:lang w:val="en-US"/>
        </w:rPr>
        <w:t xml:space="preserve"> a lot, Guatemala would return to the enormous amount of work that still remained in the country </w:t>
      </w:r>
      <w:r w:rsidR="00CC3449" w:rsidRPr="00813D19">
        <w:rPr>
          <w:bCs/>
          <w:lang w:val="en-US"/>
        </w:rPr>
        <w:t xml:space="preserve">to benefit </w:t>
      </w:r>
      <w:r w:rsidR="00A57AC1" w:rsidRPr="00813D19">
        <w:rPr>
          <w:bCs/>
          <w:lang w:val="en-US"/>
        </w:rPr>
        <w:t xml:space="preserve">its </w:t>
      </w:r>
      <w:r w:rsidR="00CC3449" w:rsidRPr="00813D19">
        <w:rPr>
          <w:bCs/>
          <w:lang w:val="en-US"/>
        </w:rPr>
        <w:t xml:space="preserve">people to </w:t>
      </w:r>
      <w:r w:rsidR="00A57AC1" w:rsidRPr="00813D19">
        <w:rPr>
          <w:bCs/>
          <w:lang w:val="en-US"/>
        </w:rPr>
        <w:t xml:space="preserve">safeguard its diverse intangible cultural heritage. Speaking </w:t>
      </w:r>
      <w:r w:rsidR="00CC3449" w:rsidRPr="00813D19">
        <w:rPr>
          <w:bCs/>
          <w:lang w:val="en-US"/>
        </w:rPr>
        <w:t xml:space="preserve">in </w:t>
      </w:r>
      <w:r w:rsidR="00A57AC1" w:rsidRPr="00813D19">
        <w:rPr>
          <w:bCs/>
          <w:lang w:val="en-US"/>
        </w:rPr>
        <w:t xml:space="preserve">his </w:t>
      </w:r>
      <w:r w:rsidR="00CC3449" w:rsidRPr="00813D19">
        <w:rPr>
          <w:bCs/>
          <w:lang w:val="en-US"/>
        </w:rPr>
        <w:t>native language</w:t>
      </w:r>
      <w:r w:rsidR="00A57AC1" w:rsidRPr="00813D19">
        <w:rPr>
          <w:bCs/>
          <w:lang w:val="en-US"/>
        </w:rPr>
        <w:t xml:space="preserve"> (Kaqchikel), he thanked the Chairperson and </w:t>
      </w:r>
      <w:r w:rsidR="00CC3449" w:rsidRPr="00813D19">
        <w:rPr>
          <w:bCs/>
          <w:lang w:val="en-US"/>
        </w:rPr>
        <w:t>everyone for having</w:t>
      </w:r>
      <w:r w:rsidR="00A57AC1" w:rsidRPr="00813D19">
        <w:rPr>
          <w:bCs/>
          <w:lang w:val="en-US"/>
        </w:rPr>
        <w:t xml:space="preserve"> shared their time.</w:t>
      </w:r>
    </w:p>
    <w:p w14:paraId="136B86F7" w14:textId="1F1820E7" w:rsidR="00C0437B" w:rsidRPr="0047370D" w:rsidRDefault="00C0437B" w:rsidP="0047370D">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Sri Lanka</w:t>
      </w:r>
      <w:r w:rsidR="00CC3449" w:rsidRPr="00813D19">
        <w:rPr>
          <w:b/>
          <w:color w:val="000000" w:themeColor="text1"/>
          <w:lang w:val="en-US"/>
        </w:rPr>
        <w:t xml:space="preserve"> </w:t>
      </w:r>
      <w:r w:rsidR="00B50B87">
        <w:rPr>
          <w:color w:val="000000" w:themeColor="text1"/>
          <w:lang w:val="en-US"/>
        </w:rPr>
        <w:t xml:space="preserve">had </w:t>
      </w:r>
      <w:r w:rsidR="00CC3449" w:rsidRPr="00813D19">
        <w:rPr>
          <w:lang w:val="en-US"/>
        </w:rPr>
        <w:t xml:space="preserve">participated in this session as a Member of the Committee for the first time and therefore this session </w:t>
      </w:r>
      <w:r w:rsidR="00B50B87">
        <w:rPr>
          <w:lang w:val="en-US"/>
        </w:rPr>
        <w:t>had been</w:t>
      </w:r>
      <w:r w:rsidR="00B50B87" w:rsidRPr="00813D19">
        <w:rPr>
          <w:lang w:val="en-US"/>
        </w:rPr>
        <w:t xml:space="preserve"> </w:t>
      </w:r>
      <w:r w:rsidR="00CC3449" w:rsidRPr="00813D19">
        <w:rPr>
          <w:lang w:val="en-US"/>
        </w:rPr>
        <w:t xml:space="preserve">more like a learning </w:t>
      </w:r>
      <w:r w:rsidR="00A57AC1" w:rsidRPr="00813D19">
        <w:rPr>
          <w:lang w:val="en-US"/>
        </w:rPr>
        <w:t>than a contributing</w:t>
      </w:r>
      <w:r w:rsidR="00CC3449" w:rsidRPr="00813D19">
        <w:rPr>
          <w:lang w:val="en-US"/>
        </w:rPr>
        <w:t xml:space="preserve"> experience. </w:t>
      </w:r>
      <w:r w:rsidR="00A57AC1" w:rsidRPr="00813D19">
        <w:rPr>
          <w:lang w:val="en-US"/>
        </w:rPr>
        <w:t xml:space="preserve">It </w:t>
      </w:r>
      <w:r w:rsidR="00CC3449" w:rsidRPr="00813D19">
        <w:rPr>
          <w:lang w:val="en-US"/>
        </w:rPr>
        <w:t>congratulate</w:t>
      </w:r>
      <w:r w:rsidR="00A57AC1" w:rsidRPr="00813D19">
        <w:rPr>
          <w:lang w:val="en-US"/>
        </w:rPr>
        <w:t>d</w:t>
      </w:r>
      <w:r w:rsidR="00CC3449" w:rsidRPr="00813D19">
        <w:rPr>
          <w:lang w:val="en-US"/>
        </w:rPr>
        <w:t xml:space="preserve"> the Secretariat for the amazing work done</w:t>
      </w:r>
      <w:r w:rsidR="00A57AC1" w:rsidRPr="00813D19">
        <w:rPr>
          <w:lang w:val="en-US"/>
        </w:rPr>
        <w:t>,</w:t>
      </w:r>
      <w:r w:rsidR="00CC3449" w:rsidRPr="00813D19">
        <w:rPr>
          <w:lang w:val="en-US"/>
        </w:rPr>
        <w:t xml:space="preserve"> and </w:t>
      </w:r>
      <w:r w:rsidR="00A57AC1" w:rsidRPr="00813D19">
        <w:rPr>
          <w:lang w:val="en-US"/>
        </w:rPr>
        <w:t xml:space="preserve">Mauritius for its </w:t>
      </w:r>
      <w:r w:rsidR="00CC3449" w:rsidRPr="00813D19">
        <w:rPr>
          <w:lang w:val="en-US"/>
        </w:rPr>
        <w:t xml:space="preserve">contribution as host country. </w:t>
      </w:r>
      <w:r w:rsidR="00A57AC1" w:rsidRPr="00813D19">
        <w:rPr>
          <w:lang w:val="en-US"/>
        </w:rPr>
        <w:t xml:space="preserve">The delegation was </w:t>
      </w:r>
      <w:r w:rsidR="00CC3449" w:rsidRPr="00813D19">
        <w:rPr>
          <w:lang w:val="en-US"/>
        </w:rPr>
        <w:t>g</w:t>
      </w:r>
      <w:r w:rsidR="00A57AC1" w:rsidRPr="00813D19">
        <w:rPr>
          <w:lang w:val="en-US"/>
        </w:rPr>
        <w:t xml:space="preserve">rateful to the Evaluation Body and all </w:t>
      </w:r>
      <w:r w:rsidR="00155746" w:rsidRPr="00813D19">
        <w:rPr>
          <w:lang w:val="en-US"/>
        </w:rPr>
        <w:t>those involved in this</w:t>
      </w:r>
      <w:r w:rsidR="00CC3449" w:rsidRPr="00813D19">
        <w:rPr>
          <w:lang w:val="en-US"/>
        </w:rPr>
        <w:t xml:space="preserve"> exercise</w:t>
      </w:r>
      <w:r w:rsidR="00155746" w:rsidRPr="00813D19">
        <w:rPr>
          <w:lang w:val="en-US"/>
        </w:rPr>
        <w:t>, and it looked forward to seeing everyone</w:t>
      </w:r>
      <w:r w:rsidR="00CC3449" w:rsidRPr="00813D19">
        <w:rPr>
          <w:lang w:val="en-US"/>
        </w:rPr>
        <w:t xml:space="preserve"> </w:t>
      </w:r>
      <w:r w:rsidR="00155746" w:rsidRPr="00813D19">
        <w:rPr>
          <w:lang w:val="en-US"/>
        </w:rPr>
        <w:t xml:space="preserve">again </w:t>
      </w:r>
      <w:r w:rsidR="00CC3449" w:rsidRPr="00813D19">
        <w:rPr>
          <w:lang w:val="en-US"/>
        </w:rPr>
        <w:t xml:space="preserve">in Colombia </w:t>
      </w:r>
      <w:r w:rsidR="00155746" w:rsidRPr="00813D19">
        <w:rPr>
          <w:lang w:val="en-US"/>
        </w:rPr>
        <w:t>in 2019</w:t>
      </w:r>
      <w:r w:rsidR="00CC3449" w:rsidRPr="00813D19">
        <w:rPr>
          <w:lang w:val="en-US"/>
        </w:rPr>
        <w:t>.</w:t>
      </w:r>
    </w:p>
    <w:p w14:paraId="25478B39" w14:textId="1C5370D0" w:rsidR="0096470B" w:rsidRPr="0047370D" w:rsidRDefault="0096470B"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the Netherlands</w:t>
      </w:r>
      <w:r w:rsidR="00CC3449" w:rsidRPr="00813D19">
        <w:rPr>
          <w:b/>
          <w:color w:val="000000" w:themeColor="text1"/>
          <w:lang w:val="en-US"/>
        </w:rPr>
        <w:t xml:space="preserve"> </w:t>
      </w:r>
      <w:r w:rsidR="00CC3449" w:rsidRPr="00813D19">
        <w:rPr>
          <w:lang w:val="en-US"/>
        </w:rPr>
        <w:t>thank</w:t>
      </w:r>
      <w:r w:rsidR="0069288A" w:rsidRPr="00813D19">
        <w:rPr>
          <w:lang w:val="en-US"/>
        </w:rPr>
        <w:t>ed the G</w:t>
      </w:r>
      <w:r w:rsidR="00CC3449" w:rsidRPr="00813D19">
        <w:rPr>
          <w:lang w:val="en-US"/>
        </w:rPr>
        <w:t>overnment and the people of Mauritius for their warm hospitality</w:t>
      </w:r>
      <w:r w:rsidR="0069288A" w:rsidRPr="00813D19">
        <w:rPr>
          <w:lang w:val="en-US"/>
        </w:rPr>
        <w:t>,</w:t>
      </w:r>
      <w:r w:rsidR="00CC3449" w:rsidRPr="00813D19">
        <w:rPr>
          <w:lang w:val="en-US"/>
        </w:rPr>
        <w:t xml:space="preserve"> </w:t>
      </w:r>
      <w:r w:rsidR="0069288A" w:rsidRPr="00813D19">
        <w:rPr>
          <w:lang w:val="en-US"/>
        </w:rPr>
        <w:t xml:space="preserve">the </w:t>
      </w:r>
      <w:r w:rsidR="00CC3449" w:rsidRPr="00813D19">
        <w:rPr>
          <w:lang w:val="en-US"/>
        </w:rPr>
        <w:t xml:space="preserve">Chairperson for </w:t>
      </w:r>
      <w:r w:rsidR="0069288A" w:rsidRPr="00813D19">
        <w:rPr>
          <w:lang w:val="en-US"/>
        </w:rPr>
        <w:t xml:space="preserve">his </w:t>
      </w:r>
      <w:r w:rsidR="00CC3449" w:rsidRPr="00813D19">
        <w:rPr>
          <w:lang w:val="en-US"/>
        </w:rPr>
        <w:t>wise guidance</w:t>
      </w:r>
      <w:r w:rsidR="000257AC" w:rsidRPr="00813D19">
        <w:rPr>
          <w:lang w:val="en-US"/>
        </w:rPr>
        <w:t>, and the Secretariat</w:t>
      </w:r>
      <w:r w:rsidR="00CC3449" w:rsidRPr="00813D19">
        <w:rPr>
          <w:lang w:val="en-US"/>
        </w:rPr>
        <w:t xml:space="preserve"> for all the work done. </w:t>
      </w:r>
      <w:r w:rsidR="000257AC" w:rsidRPr="00813D19">
        <w:rPr>
          <w:lang w:val="en-US"/>
        </w:rPr>
        <w:t>I</w:t>
      </w:r>
      <w:r w:rsidR="00CC3449" w:rsidRPr="00813D19">
        <w:rPr>
          <w:lang w:val="en-US"/>
        </w:rPr>
        <w:t xml:space="preserve">t </w:t>
      </w:r>
      <w:r w:rsidR="00B50B87">
        <w:rPr>
          <w:lang w:val="en-US"/>
        </w:rPr>
        <w:t>had been</w:t>
      </w:r>
      <w:r w:rsidR="00B50B87" w:rsidRPr="00813D19">
        <w:rPr>
          <w:lang w:val="en-US"/>
        </w:rPr>
        <w:t xml:space="preserve"> </w:t>
      </w:r>
      <w:r w:rsidR="00CC3449" w:rsidRPr="00813D19">
        <w:rPr>
          <w:lang w:val="en-US"/>
        </w:rPr>
        <w:t>a learning experience to be in t</w:t>
      </w:r>
      <w:r w:rsidR="000257AC" w:rsidRPr="00813D19">
        <w:rPr>
          <w:lang w:val="en-US"/>
        </w:rPr>
        <w:t xml:space="preserve">he Committee for the first time and there </w:t>
      </w:r>
      <w:r w:rsidR="00B50B87">
        <w:rPr>
          <w:lang w:val="en-US"/>
        </w:rPr>
        <w:t>had been</w:t>
      </w:r>
      <w:r w:rsidR="00B50B87" w:rsidRPr="00813D19">
        <w:rPr>
          <w:lang w:val="en-US"/>
        </w:rPr>
        <w:t xml:space="preserve"> </w:t>
      </w:r>
      <w:r w:rsidR="00CC3449" w:rsidRPr="00813D19">
        <w:rPr>
          <w:lang w:val="en-US"/>
        </w:rPr>
        <w:t>some challenging discussions</w:t>
      </w:r>
      <w:r w:rsidR="000257AC" w:rsidRPr="00813D19">
        <w:rPr>
          <w:lang w:val="en-US"/>
        </w:rPr>
        <w:t xml:space="preserve">, which </w:t>
      </w:r>
      <w:r w:rsidR="00155746" w:rsidRPr="00813D19">
        <w:rPr>
          <w:lang w:val="en-US"/>
        </w:rPr>
        <w:t>would</w:t>
      </w:r>
      <w:r w:rsidR="00CC3449" w:rsidRPr="00813D19">
        <w:rPr>
          <w:lang w:val="en-US"/>
        </w:rPr>
        <w:t xml:space="preserve"> </w:t>
      </w:r>
      <w:r w:rsidR="000257AC" w:rsidRPr="00813D19">
        <w:rPr>
          <w:lang w:val="en-US"/>
        </w:rPr>
        <w:t xml:space="preserve">no doubt </w:t>
      </w:r>
      <w:r w:rsidR="00CC3449" w:rsidRPr="00813D19">
        <w:rPr>
          <w:lang w:val="en-US"/>
        </w:rPr>
        <w:t xml:space="preserve">continue in the coming year. </w:t>
      </w:r>
      <w:r w:rsidR="000257AC" w:rsidRPr="00813D19">
        <w:rPr>
          <w:lang w:val="en-US"/>
        </w:rPr>
        <w:t xml:space="preserve">The delegation </w:t>
      </w:r>
      <w:r w:rsidR="00CC3449" w:rsidRPr="00813D19">
        <w:rPr>
          <w:lang w:val="en-US"/>
        </w:rPr>
        <w:t>also thank</w:t>
      </w:r>
      <w:r w:rsidR="000257AC" w:rsidRPr="00813D19">
        <w:rPr>
          <w:lang w:val="en-US"/>
        </w:rPr>
        <w:t>ed</w:t>
      </w:r>
      <w:r w:rsidR="00CC3449" w:rsidRPr="00813D19">
        <w:rPr>
          <w:lang w:val="en-US"/>
        </w:rPr>
        <w:t xml:space="preserve"> the Evaluation Body for </w:t>
      </w:r>
      <w:r w:rsidR="000257AC" w:rsidRPr="00813D19">
        <w:rPr>
          <w:lang w:val="en-US"/>
        </w:rPr>
        <w:t xml:space="preserve">its </w:t>
      </w:r>
      <w:r w:rsidR="00CC3449" w:rsidRPr="00813D19">
        <w:rPr>
          <w:lang w:val="en-US"/>
        </w:rPr>
        <w:t>intelligent remarks and congratulate</w:t>
      </w:r>
      <w:r w:rsidR="000257AC" w:rsidRPr="00813D19">
        <w:rPr>
          <w:lang w:val="en-US"/>
        </w:rPr>
        <w:t>d</w:t>
      </w:r>
      <w:r w:rsidR="00CC3449" w:rsidRPr="00813D19">
        <w:rPr>
          <w:lang w:val="en-US"/>
        </w:rPr>
        <w:t xml:space="preserve"> all the communities </w:t>
      </w:r>
      <w:r w:rsidR="000257AC" w:rsidRPr="00813D19">
        <w:rPr>
          <w:lang w:val="en-US"/>
        </w:rPr>
        <w:t>for the</w:t>
      </w:r>
      <w:r w:rsidR="00155746" w:rsidRPr="00813D19">
        <w:rPr>
          <w:lang w:val="en-US"/>
        </w:rPr>
        <w:t>ir</w:t>
      </w:r>
      <w:r w:rsidR="000257AC" w:rsidRPr="00813D19">
        <w:rPr>
          <w:lang w:val="en-US"/>
        </w:rPr>
        <w:t xml:space="preserve"> </w:t>
      </w:r>
      <w:r w:rsidR="00CC3449" w:rsidRPr="00813D19">
        <w:rPr>
          <w:lang w:val="en-US"/>
        </w:rPr>
        <w:t>inscription</w:t>
      </w:r>
      <w:r w:rsidR="00155746" w:rsidRPr="00813D19">
        <w:rPr>
          <w:lang w:val="en-US"/>
        </w:rPr>
        <w:t>s</w:t>
      </w:r>
      <w:r w:rsidR="000257AC" w:rsidRPr="00813D19">
        <w:rPr>
          <w:lang w:val="en-US"/>
        </w:rPr>
        <w:t xml:space="preserve">. It </w:t>
      </w:r>
      <w:r w:rsidR="00CC3449" w:rsidRPr="00813D19">
        <w:rPr>
          <w:lang w:val="en-US"/>
        </w:rPr>
        <w:t>look</w:t>
      </w:r>
      <w:r w:rsidR="000257AC" w:rsidRPr="00813D19">
        <w:rPr>
          <w:lang w:val="en-US"/>
        </w:rPr>
        <w:t>ed</w:t>
      </w:r>
      <w:r w:rsidR="00CC3449" w:rsidRPr="00813D19">
        <w:rPr>
          <w:lang w:val="en-US"/>
        </w:rPr>
        <w:t xml:space="preserve"> forward to </w:t>
      </w:r>
      <w:r w:rsidR="00155746" w:rsidRPr="00813D19">
        <w:rPr>
          <w:lang w:val="en-US"/>
        </w:rPr>
        <w:t xml:space="preserve">seeing </w:t>
      </w:r>
      <w:r w:rsidR="000257AC" w:rsidRPr="00813D19">
        <w:rPr>
          <w:lang w:val="en-US"/>
        </w:rPr>
        <w:t xml:space="preserve">everyone </w:t>
      </w:r>
      <w:r w:rsidR="0047370D">
        <w:rPr>
          <w:lang w:val="en-US"/>
        </w:rPr>
        <w:t>in Colombia.</w:t>
      </w:r>
    </w:p>
    <w:p w14:paraId="04BF088B" w14:textId="65AFB444" w:rsidR="00431804" w:rsidRPr="0047370D" w:rsidRDefault="00431804"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Zambia</w:t>
      </w:r>
      <w:r w:rsidR="00CC3449" w:rsidRPr="00813D19">
        <w:rPr>
          <w:b/>
          <w:color w:val="000000" w:themeColor="text1"/>
          <w:lang w:val="en-US"/>
        </w:rPr>
        <w:t xml:space="preserve"> </w:t>
      </w:r>
      <w:r w:rsidR="0069288A" w:rsidRPr="00813D19">
        <w:rPr>
          <w:color w:val="000000" w:themeColor="text1"/>
          <w:lang w:val="en-US"/>
        </w:rPr>
        <w:t>thanked</w:t>
      </w:r>
      <w:r w:rsidR="0069288A" w:rsidRPr="00813D19">
        <w:rPr>
          <w:b/>
          <w:color w:val="000000" w:themeColor="text1"/>
          <w:lang w:val="en-US"/>
        </w:rPr>
        <w:t xml:space="preserve"> </w:t>
      </w:r>
      <w:r w:rsidR="0069288A" w:rsidRPr="00813D19">
        <w:rPr>
          <w:color w:val="000000" w:themeColor="text1"/>
          <w:lang w:val="en-US"/>
        </w:rPr>
        <w:t xml:space="preserve">the </w:t>
      </w:r>
      <w:r w:rsidR="00CC3449" w:rsidRPr="00813D19">
        <w:rPr>
          <w:lang w:val="en-US"/>
        </w:rPr>
        <w:t xml:space="preserve">Chairperson for the efficient way </w:t>
      </w:r>
      <w:r w:rsidR="000257AC" w:rsidRPr="00813D19">
        <w:rPr>
          <w:lang w:val="en-US"/>
        </w:rPr>
        <w:t>he</w:t>
      </w:r>
      <w:r w:rsidR="00B50B87">
        <w:rPr>
          <w:lang w:val="en-US"/>
        </w:rPr>
        <w:t xml:space="preserve"> had</w:t>
      </w:r>
      <w:r w:rsidR="00CC3449" w:rsidRPr="00813D19">
        <w:rPr>
          <w:lang w:val="en-US"/>
        </w:rPr>
        <w:t xml:space="preserve"> chaired </w:t>
      </w:r>
      <w:r w:rsidR="00155746" w:rsidRPr="00813D19">
        <w:rPr>
          <w:lang w:val="en-US"/>
        </w:rPr>
        <w:t>the ses</w:t>
      </w:r>
      <w:r w:rsidR="000257AC" w:rsidRPr="00813D19">
        <w:rPr>
          <w:lang w:val="en-US"/>
        </w:rPr>
        <w:t xml:space="preserve">sion, </w:t>
      </w:r>
      <w:r w:rsidR="00CC3449" w:rsidRPr="00813D19">
        <w:rPr>
          <w:lang w:val="en-US"/>
        </w:rPr>
        <w:t>recognizing that</w:t>
      </w:r>
      <w:r w:rsidR="000257AC" w:rsidRPr="00813D19">
        <w:rPr>
          <w:lang w:val="en-US"/>
        </w:rPr>
        <w:t xml:space="preserve"> it was a very tight programme </w:t>
      </w:r>
      <w:r w:rsidR="00155746" w:rsidRPr="00813D19">
        <w:rPr>
          <w:lang w:val="en-US"/>
        </w:rPr>
        <w:t xml:space="preserve">but he </w:t>
      </w:r>
      <w:r w:rsidR="00B50B87">
        <w:rPr>
          <w:lang w:val="en-US"/>
        </w:rPr>
        <w:t xml:space="preserve">had </w:t>
      </w:r>
      <w:r w:rsidR="00155746" w:rsidRPr="00813D19">
        <w:rPr>
          <w:lang w:val="en-US"/>
        </w:rPr>
        <w:t>still managed</w:t>
      </w:r>
      <w:r w:rsidR="00CC3449" w:rsidRPr="00813D19">
        <w:rPr>
          <w:lang w:val="en-US"/>
        </w:rPr>
        <w:t xml:space="preserve"> to k</w:t>
      </w:r>
      <w:r w:rsidR="00155746" w:rsidRPr="00813D19">
        <w:rPr>
          <w:lang w:val="en-US"/>
        </w:rPr>
        <w:t xml:space="preserve">eep everyone engaged, </w:t>
      </w:r>
      <w:r w:rsidR="000257AC" w:rsidRPr="00813D19">
        <w:rPr>
          <w:lang w:val="en-US"/>
        </w:rPr>
        <w:t>allowing</w:t>
      </w:r>
      <w:r w:rsidR="00CC3449" w:rsidRPr="00813D19">
        <w:rPr>
          <w:lang w:val="en-US"/>
        </w:rPr>
        <w:t xml:space="preserve"> everyone to speak. </w:t>
      </w:r>
      <w:r w:rsidR="000257AC" w:rsidRPr="00813D19">
        <w:rPr>
          <w:lang w:val="en-US"/>
        </w:rPr>
        <w:t>O</w:t>
      </w:r>
      <w:r w:rsidR="00CC3449" w:rsidRPr="00813D19">
        <w:rPr>
          <w:lang w:val="en-US"/>
        </w:rPr>
        <w:t xml:space="preserve">n behalf of </w:t>
      </w:r>
      <w:r w:rsidR="000257AC" w:rsidRPr="00813D19">
        <w:rPr>
          <w:lang w:val="en-US"/>
        </w:rPr>
        <w:t>the Southern African Development Community (</w:t>
      </w:r>
      <w:r w:rsidR="00CC3449" w:rsidRPr="00813D19">
        <w:rPr>
          <w:lang w:val="en-US"/>
        </w:rPr>
        <w:t>SADC</w:t>
      </w:r>
      <w:r w:rsidR="000257AC" w:rsidRPr="00813D19">
        <w:rPr>
          <w:lang w:val="en-US"/>
        </w:rPr>
        <w:t>), the delegation thanked the G</w:t>
      </w:r>
      <w:r w:rsidR="00CC3449" w:rsidRPr="00813D19">
        <w:rPr>
          <w:lang w:val="en-US"/>
        </w:rPr>
        <w:t xml:space="preserve">overnment and the people </w:t>
      </w:r>
      <w:r w:rsidR="000257AC" w:rsidRPr="00813D19">
        <w:rPr>
          <w:lang w:val="en-US"/>
        </w:rPr>
        <w:t xml:space="preserve">of Mauritius </w:t>
      </w:r>
      <w:r w:rsidR="00CC3449" w:rsidRPr="00813D19">
        <w:rPr>
          <w:lang w:val="en-US"/>
        </w:rPr>
        <w:t xml:space="preserve">for ably representing the true spirit of hospitality. </w:t>
      </w:r>
      <w:r w:rsidR="000257AC" w:rsidRPr="00813D19">
        <w:rPr>
          <w:lang w:val="en-US"/>
        </w:rPr>
        <w:t xml:space="preserve">It </w:t>
      </w:r>
      <w:r w:rsidR="00CC3449" w:rsidRPr="00813D19">
        <w:rPr>
          <w:lang w:val="en-US"/>
        </w:rPr>
        <w:t>thank</w:t>
      </w:r>
      <w:r w:rsidR="000257AC" w:rsidRPr="00813D19">
        <w:rPr>
          <w:lang w:val="en-US"/>
        </w:rPr>
        <w:t>ed</w:t>
      </w:r>
      <w:r w:rsidR="00CC3449" w:rsidRPr="00813D19">
        <w:rPr>
          <w:lang w:val="en-US"/>
        </w:rPr>
        <w:t xml:space="preserve"> Group V</w:t>
      </w:r>
      <w:r w:rsidR="000257AC" w:rsidRPr="00813D19">
        <w:rPr>
          <w:lang w:val="en-US"/>
        </w:rPr>
        <w:t>(</w:t>
      </w:r>
      <w:r w:rsidR="00CC3449" w:rsidRPr="00813D19">
        <w:rPr>
          <w:lang w:val="en-US"/>
        </w:rPr>
        <w:t>a</w:t>
      </w:r>
      <w:r w:rsidR="000257AC" w:rsidRPr="00813D19">
        <w:rPr>
          <w:lang w:val="en-US"/>
        </w:rPr>
        <w:t>)</w:t>
      </w:r>
      <w:r w:rsidR="00CC3449" w:rsidRPr="00813D19">
        <w:rPr>
          <w:lang w:val="en-US"/>
        </w:rPr>
        <w:t xml:space="preserve"> for </w:t>
      </w:r>
      <w:r w:rsidR="000257AC" w:rsidRPr="00813D19">
        <w:rPr>
          <w:lang w:val="en-US"/>
        </w:rPr>
        <w:t xml:space="preserve">its </w:t>
      </w:r>
      <w:r w:rsidR="00CC3449" w:rsidRPr="00813D19">
        <w:rPr>
          <w:lang w:val="en-US"/>
        </w:rPr>
        <w:t xml:space="preserve">confidence </w:t>
      </w:r>
      <w:r w:rsidR="00155746" w:rsidRPr="00813D19">
        <w:rPr>
          <w:lang w:val="en-US"/>
        </w:rPr>
        <w:t xml:space="preserve">in Zambia as </w:t>
      </w:r>
      <w:r w:rsidR="00CC3449" w:rsidRPr="00813D19">
        <w:rPr>
          <w:lang w:val="en-US"/>
        </w:rPr>
        <w:t>represent</w:t>
      </w:r>
      <w:r w:rsidR="00155746" w:rsidRPr="00813D19">
        <w:rPr>
          <w:lang w:val="en-US"/>
        </w:rPr>
        <w:t>ative of</w:t>
      </w:r>
      <w:r w:rsidR="00CC3449" w:rsidRPr="00813D19">
        <w:rPr>
          <w:lang w:val="en-US"/>
        </w:rPr>
        <w:t xml:space="preserve"> </w:t>
      </w:r>
      <w:r w:rsidR="00155746" w:rsidRPr="00813D19">
        <w:rPr>
          <w:lang w:val="en-US"/>
        </w:rPr>
        <w:t xml:space="preserve">the </w:t>
      </w:r>
      <w:r w:rsidR="00CC3449" w:rsidRPr="00813D19">
        <w:rPr>
          <w:lang w:val="en-US"/>
        </w:rPr>
        <w:t>group</w:t>
      </w:r>
      <w:r w:rsidR="000257AC" w:rsidRPr="00813D19">
        <w:rPr>
          <w:lang w:val="en-US"/>
        </w:rPr>
        <w:t>,</w:t>
      </w:r>
      <w:r w:rsidR="00CC3449" w:rsidRPr="00813D19">
        <w:rPr>
          <w:lang w:val="en-US"/>
        </w:rPr>
        <w:t xml:space="preserve"> and</w:t>
      </w:r>
      <w:r w:rsidR="000257AC" w:rsidRPr="00813D19">
        <w:rPr>
          <w:lang w:val="en-US"/>
        </w:rPr>
        <w:t xml:space="preserve"> </w:t>
      </w:r>
      <w:r w:rsidR="00CC3449" w:rsidRPr="00813D19">
        <w:rPr>
          <w:lang w:val="en-US"/>
        </w:rPr>
        <w:t>congratulate</w:t>
      </w:r>
      <w:r w:rsidR="000257AC" w:rsidRPr="00813D19">
        <w:rPr>
          <w:lang w:val="en-US"/>
        </w:rPr>
        <w:t>d</w:t>
      </w:r>
      <w:r w:rsidR="00CC3449" w:rsidRPr="00813D19">
        <w:rPr>
          <w:lang w:val="en-US"/>
        </w:rPr>
        <w:t xml:space="preserve"> Colombia for </w:t>
      </w:r>
      <w:r w:rsidR="000257AC" w:rsidRPr="00813D19">
        <w:rPr>
          <w:lang w:val="en-US"/>
        </w:rPr>
        <w:t xml:space="preserve">its </w:t>
      </w:r>
      <w:r w:rsidR="00CC3449" w:rsidRPr="00813D19">
        <w:rPr>
          <w:lang w:val="en-US"/>
        </w:rPr>
        <w:t xml:space="preserve">generosity in </w:t>
      </w:r>
      <w:r w:rsidR="00155746" w:rsidRPr="00813D19">
        <w:rPr>
          <w:lang w:val="en-US"/>
        </w:rPr>
        <w:t>hosting</w:t>
      </w:r>
      <w:r w:rsidR="00CC3449" w:rsidRPr="00813D19">
        <w:rPr>
          <w:lang w:val="en-US"/>
        </w:rPr>
        <w:t xml:space="preserve"> the </w:t>
      </w:r>
      <w:r w:rsidR="000257AC" w:rsidRPr="00813D19">
        <w:rPr>
          <w:lang w:val="en-US"/>
        </w:rPr>
        <w:t>next session</w:t>
      </w:r>
      <w:r w:rsidR="00155746" w:rsidRPr="00813D19">
        <w:rPr>
          <w:lang w:val="en-US"/>
        </w:rPr>
        <w:t>, adding that i</w:t>
      </w:r>
      <w:r w:rsidR="000257AC" w:rsidRPr="00813D19">
        <w:rPr>
          <w:lang w:val="en-US"/>
        </w:rPr>
        <w:t xml:space="preserve">t </w:t>
      </w:r>
      <w:r w:rsidR="00CC3449" w:rsidRPr="00813D19">
        <w:rPr>
          <w:lang w:val="en-US"/>
        </w:rPr>
        <w:t>look</w:t>
      </w:r>
      <w:r w:rsidR="000257AC" w:rsidRPr="00813D19">
        <w:rPr>
          <w:lang w:val="en-US"/>
        </w:rPr>
        <w:t>ed</w:t>
      </w:r>
      <w:r w:rsidR="00CC3449" w:rsidRPr="00813D19">
        <w:rPr>
          <w:lang w:val="en-US"/>
        </w:rPr>
        <w:t xml:space="preserve"> forward to interact</w:t>
      </w:r>
      <w:r w:rsidR="00155746" w:rsidRPr="00813D19">
        <w:rPr>
          <w:lang w:val="en-US"/>
        </w:rPr>
        <w:t>ing</w:t>
      </w:r>
      <w:r w:rsidR="00CC3449" w:rsidRPr="00813D19">
        <w:rPr>
          <w:lang w:val="en-US"/>
        </w:rPr>
        <w:t xml:space="preserve"> with </w:t>
      </w:r>
      <w:r w:rsidR="0047370D">
        <w:rPr>
          <w:lang w:val="en-US"/>
        </w:rPr>
        <w:t>everyone again.</w:t>
      </w:r>
    </w:p>
    <w:p w14:paraId="45030503" w14:textId="3CABAFF0" w:rsidR="00C01005" w:rsidRPr="0047370D" w:rsidRDefault="00A77960"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Djibouti</w:t>
      </w:r>
      <w:r w:rsidR="00CC3449" w:rsidRPr="00813D19">
        <w:rPr>
          <w:b/>
          <w:color w:val="000000" w:themeColor="text1"/>
          <w:lang w:val="en-US"/>
        </w:rPr>
        <w:t xml:space="preserve"> </w:t>
      </w:r>
      <w:r w:rsidR="00C01005" w:rsidRPr="00813D19">
        <w:rPr>
          <w:color w:val="000000" w:themeColor="text1"/>
          <w:lang w:val="en-US"/>
        </w:rPr>
        <w:t>congratulate</w:t>
      </w:r>
      <w:r w:rsidR="0069288A" w:rsidRPr="00813D19">
        <w:rPr>
          <w:color w:val="000000" w:themeColor="text1"/>
          <w:lang w:val="en-US"/>
        </w:rPr>
        <w:t>d</w:t>
      </w:r>
      <w:r w:rsidR="00C01005" w:rsidRPr="00813D19">
        <w:rPr>
          <w:color w:val="000000" w:themeColor="text1"/>
          <w:lang w:val="en-US"/>
        </w:rPr>
        <w:t xml:space="preserve"> </w:t>
      </w:r>
      <w:r w:rsidR="0069288A" w:rsidRPr="00813D19">
        <w:rPr>
          <w:color w:val="000000" w:themeColor="text1"/>
          <w:lang w:val="en-US"/>
        </w:rPr>
        <w:t xml:space="preserve">the Chairperson </w:t>
      </w:r>
      <w:r w:rsidR="00C01005" w:rsidRPr="00813D19">
        <w:rPr>
          <w:color w:val="000000" w:themeColor="text1"/>
          <w:lang w:val="en-US"/>
        </w:rPr>
        <w:t xml:space="preserve">on the way </w:t>
      </w:r>
      <w:r w:rsidR="0069288A" w:rsidRPr="00813D19">
        <w:rPr>
          <w:color w:val="000000" w:themeColor="text1"/>
          <w:lang w:val="en-US"/>
        </w:rPr>
        <w:t xml:space="preserve">he </w:t>
      </w:r>
      <w:r w:rsidR="00B50B87">
        <w:rPr>
          <w:color w:val="000000" w:themeColor="text1"/>
          <w:lang w:val="en-US"/>
        </w:rPr>
        <w:t xml:space="preserve">had </w:t>
      </w:r>
      <w:r w:rsidR="00C01005" w:rsidRPr="00813D19">
        <w:rPr>
          <w:color w:val="000000" w:themeColor="text1"/>
          <w:lang w:val="en-US"/>
        </w:rPr>
        <w:t xml:space="preserve">conducted </w:t>
      </w:r>
      <w:r w:rsidR="0069288A" w:rsidRPr="00813D19">
        <w:rPr>
          <w:color w:val="000000" w:themeColor="text1"/>
          <w:lang w:val="en-US"/>
        </w:rPr>
        <w:t xml:space="preserve">the debate, and </w:t>
      </w:r>
      <w:r w:rsidR="00C01005" w:rsidRPr="00813D19">
        <w:rPr>
          <w:color w:val="000000" w:themeColor="text1"/>
          <w:lang w:val="en-US"/>
        </w:rPr>
        <w:t xml:space="preserve">Mauritius for its warm welcome. </w:t>
      </w:r>
      <w:r w:rsidR="0069288A" w:rsidRPr="00813D19">
        <w:rPr>
          <w:color w:val="000000" w:themeColor="text1"/>
          <w:lang w:val="en-US"/>
        </w:rPr>
        <w:t xml:space="preserve">It </w:t>
      </w:r>
      <w:r w:rsidR="00C01005" w:rsidRPr="00813D19">
        <w:rPr>
          <w:color w:val="000000" w:themeColor="text1"/>
          <w:lang w:val="en-US"/>
        </w:rPr>
        <w:t>also congratulate</w:t>
      </w:r>
      <w:r w:rsidR="0069288A" w:rsidRPr="00813D19">
        <w:rPr>
          <w:color w:val="000000" w:themeColor="text1"/>
          <w:lang w:val="en-US"/>
        </w:rPr>
        <w:t>d the S</w:t>
      </w:r>
      <w:r w:rsidR="00155746" w:rsidRPr="00813D19">
        <w:rPr>
          <w:color w:val="000000" w:themeColor="text1"/>
          <w:lang w:val="en-US"/>
        </w:rPr>
        <w:t>ecretariat for the work done</w:t>
      </w:r>
      <w:r w:rsidR="00C01005" w:rsidRPr="00813D19">
        <w:rPr>
          <w:color w:val="000000" w:themeColor="text1"/>
          <w:lang w:val="en-US"/>
        </w:rPr>
        <w:t xml:space="preserve"> and</w:t>
      </w:r>
      <w:r w:rsidR="0069288A" w:rsidRPr="00813D19">
        <w:rPr>
          <w:color w:val="000000" w:themeColor="text1"/>
          <w:lang w:val="en-US"/>
        </w:rPr>
        <w:t xml:space="preserve"> </w:t>
      </w:r>
      <w:r w:rsidR="00C01005" w:rsidRPr="00813D19">
        <w:rPr>
          <w:color w:val="000000" w:themeColor="text1"/>
          <w:lang w:val="en-US"/>
        </w:rPr>
        <w:t>Colombia for hosting the next Committee</w:t>
      </w:r>
      <w:r w:rsidR="0069288A" w:rsidRPr="00813D19">
        <w:rPr>
          <w:color w:val="000000" w:themeColor="text1"/>
          <w:lang w:val="en-US"/>
        </w:rPr>
        <w:t xml:space="preserve"> session</w:t>
      </w:r>
      <w:r w:rsidR="0047370D">
        <w:rPr>
          <w:color w:val="000000" w:themeColor="text1"/>
          <w:lang w:val="en-US"/>
        </w:rPr>
        <w:t>.</w:t>
      </w:r>
    </w:p>
    <w:p w14:paraId="4C1DC9E4" w14:textId="00FB3361" w:rsidR="00276426" w:rsidRPr="0047370D" w:rsidRDefault="00276426"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Austria</w:t>
      </w:r>
      <w:r w:rsidR="00CC3449" w:rsidRPr="00813D19">
        <w:rPr>
          <w:b/>
          <w:color w:val="000000" w:themeColor="text1"/>
          <w:lang w:val="en-US"/>
        </w:rPr>
        <w:t xml:space="preserve"> </w:t>
      </w:r>
      <w:r w:rsidR="00CC3449" w:rsidRPr="00813D19">
        <w:rPr>
          <w:lang w:val="en-US"/>
        </w:rPr>
        <w:t>thank</w:t>
      </w:r>
      <w:r w:rsidR="000257AC" w:rsidRPr="00813D19">
        <w:rPr>
          <w:lang w:val="en-US"/>
        </w:rPr>
        <w:t>ed</w:t>
      </w:r>
      <w:r w:rsidR="00CC3449" w:rsidRPr="00813D19">
        <w:rPr>
          <w:lang w:val="en-US"/>
        </w:rPr>
        <w:t xml:space="preserve"> </w:t>
      </w:r>
      <w:r w:rsidR="000257AC" w:rsidRPr="00813D19">
        <w:rPr>
          <w:lang w:val="en-US"/>
        </w:rPr>
        <w:t>t</w:t>
      </w:r>
      <w:r w:rsidR="00155746" w:rsidRPr="00813D19">
        <w:rPr>
          <w:lang w:val="en-US"/>
        </w:rPr>
        <w:t>h</w:t>
      </w:r>
      <w:r w:rsidR="000257AC" w:rsidRPr="00813D19">
        <w:rPr>
          <w:lang w:val="en-US"/>
        </w:rPr>
        <w:t xml:space="preserve">e Chairperson </w:t>
      </w:r>
      <w:r w:rsidR="00CC3449" w:rsidRPr="00813D19">
        <w:rPr>
          <w:lang w:val="en-US"/>
        </w:rPr>
        <w:t xml:space="preserve">and the Government of Mauritius for </w:t>
      </w:r>
      <w:r w:rsidR="00155746" w:rsidRPr="00813D19">
        <w:rPr>
          <w:lang w:val="en-US"/>
        </w:rPr>
        <w:t>its</w:t>
      </w:r>
      <w:r w:rsidR="00CC3449" w:rsidRPr="00813D19">
        <w:rPr>
          <w:lang w:val="en-US"/>
        </w:rPr>
        <w:t xml:space="preserve"> organization of </w:t>
      </w:r>
      <w:r w:rsidR="000257AC" w:rsidRPr="00813D19">
        <w:rPr>
          <w:lang w:val="en-US"/>
        </w:rPr>
        <w:t xml:space="preserve">the </w:t>
      </w:r>
      <w:r w:rsidR="00CC3449" w:rsidRPr="00813D19">
        <w:rPr>
          <w:lang w:val="en-US"/>
        </w:rPr>
        <w:t xml:space="preserve">meeting and warm hospitality. </w:t>
      </w:r>
      <w:r w:rsidR="000257AC" w:rsidRPr="00813D19">
        <w:rPr>
          <w:lang w:val="en-US"/>
        </w:rPr>
        <w:t xml:space="preserve">It thanked </w:t>
      </w:r>
      <w:r w:rsidR="00CC3449" w:rsidRPr="00813D19">
        <w:rPr>
          <w:lang w:val="en-US"/>
        </w:rPr>
        <w:t>the interpreters, the Evaluation Body and the Secretari</w:t>
      </w:r>
      <w:r w:rsidR="000257AC" w:rsidRPr="00813D19">
        <w:rPr>
          <w:lang w:val="en-US"/>
        </w:rPr>
        <w:t>at for their hard work. As the R</w:t>
      </w:r>
      <w:r w:rsidR="00CC3449" w:rsidRPr="00813D19">
        <w:rPr>
          <w:lang w:val="en-US"/>
        </w:rPr>
        <w:t xml:space="preserve">apporteur of this </w:t>
      </w:r>
      <w:r w:rsidR="000257AC" w:rsidRPr="00813D19">
        <w:rPr>
          <w:lang w:val="en-US"/>
        </w:rPr>
        <w:t xml:space="preserve">session, the delegation </w:t>
      </w:r>
      <w:r w:rsidR="00B50B87">
        <w:rPr>
          <w:lang w:val="en-US"/>
        </w:rPr>
        <w:t>had been</w:t>
      </w:r>
      <w:r w:rsidR="00B50B87" w:rsidRPr="00813D19">
        <w:rPr>
          <w:lang w:val="en-US"/>
        </w:rPr>
        <w:t xml:space="preserve"> </w:t>
      </w:r>
      <w:r w:rsidR="000257AC" w:rsidRPr="00813D19">
        <w:rPr>
          <w:lang w:val="en-US"/>
        </w:rPr>
        <w:t xml:space="preserve">able </w:t>
      </w:r>
      <w:r w:rsidR="00CC3449" w:rsidRPr="00813D19">
        <w:rPr>
          <w:lang w:val="en-US"/>
        </w:rPr>
        <w:t xml:space="preserve">to look behind the curtain and </w:t>
      </w:r>
      <w:r w:rsidR="000257AC" w:rsidRPr="00813D19">
        <w:rPr>
          <w:lang w:val="en-US"/>
        </w:rPr>
        <w:t xml:space="preserve">see the </w:t>
      </w:r>
      <w:r w:rsidR="00CC3449" w:rsidRPr="00813D19">
        <w:rPr>
          <w:lang w:val="en-US"/>
        </w:rPr>
        <w:t xml:space="preserve">truly amazing </w:t>
      </w:r>
      <w:r w:rsidR="000257AC" w:rsidRPr="00813D19">
        <w:rPr>
          <w:lang w:val="en-US"/>
        </w:rPr>
        <w:t xml:space="preserve">work carried out. It </w:t>
      </w:r>
      <w:r w:rsidR="00CC3449" w:rsidRPr="00813D19">
        <w:rPr>
          <w:lang w:val="en-US"/>
        </w:rPr>
        <w:t>thank</w:t>
      </w:r>
      <w:r w:rsidR="000257AC" w:rsidRPr="00813D19">
        <w:rPr>
          <w:lang w:val="en-US"/>
        </w:rPr>
        <w:t>ed</w:t>
      </w:r>
      <w:r w:rsidR="00CC3449" w:rsidRPr="00813D19">
        <w:rPr>
          <w:lang w:val="en-US"/>
        </w:rPr>
        <w:t xml:space="preserve"> the team in charge of transportation for </w:t>
      </w:r>
      <w:r w:rsidR="000257AC" w:rsidRPr="00813D19">
        <w:rPr>
          <w:lang w:val="en-US"/>
        </w:rPr>
        <w:t xml:space="preserve">their </w:t>
      </w:r>
      <w:r w:rsidR="00CC3449" w:rsidRPr="00813D19">
        <w:rPr>
          <w:lang w:val="en-US"/>
        </w:rPr>
        <w:t>joyfu</w:t>
      </w:r>
      <w:r w:rsidR="000257AC" w:rsidRPr="00813D19">
        <w:rPr>
          <w:lang w:val="en-US"/>
        </w:rPr>
        <w:t xml:space="preserve">l spirit, adding that it would </w:t>
      </w:r>
      <w:r w:rsidR="00CC3449" w:rsidRPr="00813D19">
        <w:rPr>
          <w:lang w:val="en-US"/>
        </w:rPr>
        <w:t xml:space="preserve">forever remember Mauritius as </w:t>
      </w:r>
      <w:r w:rsidR="000257AC" w:rsidRPr="00813D19">
        <w:rPr>
          <w:lang w:val="en-US"/>
        </w:rPr>
        <w:t xml:space="preserve">a </w:t>
      </w:r>
      <w:r w:rsidR="0047370D">
        <w:rPr>
          <w:lang w:val="en-US"/>
        </w:rPr>
        <w:t>country of big and warm smiles.</w:t>
      </w:r>
    </w:p>
    <w:p w14:paraId="2018E4DF" w14:textId="458978A5" w:rsidR="00275E33" w:rsidRPr="0047370D" w:rsidRDefault="00275E33"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Cameroon</w:t>
      </w:r>
      <w:r w:rsidR="00CC3449" w:rsidRPr="00813D19">
        <w:rPr>
          <w:b/>
          <w:color w:val="000000" w:themeColor="text1"/>
          <w:lang w:val="en-US"/>
        </w:rPr>
        <w:t xml:space="preserve"> </w:t>
      </w:r>
      <w:r w:rsidR="0069288A" w:rsidRPr="00813D19">
        <w:rPr>
          <w:color w:val="000000" w:themeColor="text1"/>
          <w:lang w:val="en-US"/>
        </w:rPr>
        <w:t>thanked</w:t>
      </w:r>
      <w:r w:rsidR="001B0B17" w:rsidRPr="00813D19">
        <w:rPr>
          <w:color w:val="000000" w:themeColor="text1"/>
          <w:lang w:val="en-US"/>
        </w:rPr>
        <w:t xml:space="preserve"> the </w:t>
      </w:r>
      <w:r w:rsidR="0069288A" w:rsidRPr="00813D19">
        <w:rPr>
          <w:color w:val="000000" w:themeColor="text1"/>
          <w:lang w:val="en-US"/>
        </w:rPr>
        <w:t xml:space="preserve">Chairperson </w:t>
      </w:r>
      <w:r w:rsidR="001B0B17" w:rsidRPr="00813D19">
        <w:rPr>
          <w:color w:val="000000" w:themeColor="text1"/>
          <w:lang w:val="en-US"/>
        </w:rPr>
        <w:t xml:space="preserve">and the authorities of Mauritius for the welcome received, </w:t>
      </w:r>
      <w:r w:rsidR="00996BA2" w:rsidRPr="00813D19">
        <w:rPr>
          <w:color w:val="000000" w:themeColor="text1"/>
          <w:lang w:val="en-US"/>
        </w:rPr>
        <w:t xml:space="preserve">and </w:t>
      </w:r>
      <w:r w:rsidR="001B0B17" w:rsidRPr="00813D19">
        <w:rPr>
          <w:color w:val="000000" w:themeColor="text1"/>
          <w:lang w:val="en-US"/>
        </w:rPr>
        <w:t xml:space="preserve">all the other delegations. </w:t>
      </w:r>
      <w:r w:rsidR="0069288A" w:rsidRPr="00813D19">
        <w:rPr>
          <w:color w:val="000000" w:themeColor="text1"/>
          <w:lang w:val="en-US"/>
        </w:rPr>
        <w:t xml:space="preserve">It thanked </w:t>
      </w:r>
      <w:r w:rsidR="001B0B17" w:rsidRPr="00813D19">
        <w:rPr>
          <w:color w:val="000000" w:themeColor="text1"/>
          <w:lang w:val="en-US"/>
        </w:rPr>
        <w:t xml:space="preserve">the hostesses </w:t>
      </w:r>
      <w:r w:rsidR="00155746" w:rsidRPr="00813D19">
        <w:rPr>
          <w:color w:val="000000" w:themeColor="text1"/>
          <w:lang w:val="en-US"/>
        </w:rPr>
        <w:t>for their kindness</w:t>
      </w:r>
      <w:r w:rsidR="0069288A" w:rsidRPr="00813D19">
        <w:rPr>
          <w:color w:val="000000" w:themeColor="text1"/>
          <w:lang w:val="en-US"/>
        </w:rPr>
        <w:t xml:space="preserve"> and the S</w:t>
      </w:r>
      <w:r w:rsidR="001B0B17" w:rsidRPr="00813D19">
        <w:rPr>
          <w:color w:val="000000" w:themeColor="text1"/>
          <w:lang w:val="en-US"/>
        </w:rPr>
        <w:t xml:space="preserve">ecretariat </w:t>
      </w:r>
      <w:r w:rsidR="00155746" w:rsidRPr="00813D19">
        <w:rPr>
          <w:color w:val="000000" w:themeColor="text1"/>
          <w:lang w:val="en-US"/>
        </w:rPr>
        <w:t>for its support. A</w:t>
      </w:r>
      <w:r w:rsidR="000257AC" w:rsidRPr="00813D19">
        <w:rPr>
          <w:color w:val="000000" w:themeColor="text1"/>
          <w:lang w:val="en-US"/>
        </w:rPr>
        <w:t xml:space="preserve">s </w:t>
      </w:r>
      <w:r w:rsidR="00155746" w:rsidRPr="00813D19">
        <w:rPr>
          <w:color w:val="000000" w:themeColor="text1"/>
          <w:lang w:val="en-US"/>
        </w:rPr>
        <w:t>a first</w:t>
      </w:r>
      <w:r w:rsidR="00BA2F81">
        <w:rPr>
          <w:color w:val="000000" w:themeColor="text1"/>
          <w:lang w:val="en-US"/>
        </w:rPr>
        <w:t>-</w:t>
      </w:r>
      <w:r w:rsidR="00155746" w:rsidRPr="00813D19">
        <w:rPr>
          <w:color w:val="000000" w:themeColor="text1"/>
          <w:lang w:val="en-US"/>
        </w:rPr>
        <w:t>ti</w:t>
      </w:r>
      <w:r w:rsidR="000257AC" w:rsidRPr="00813D19">
        <w:rPr>
          <w:color w:val="000000" w:themeColor="text1"/>
          <w:lang w:val="en-US"/>
        </w:rPr>
        <w:t xml:space="preserve">me </w:t>
      </w:r>
      <w:r w:rsidR="003E7512">
        <w:rPr>
          <w:color w:val="000000" w:themeColor="text1"/>
          <w:lang w:val="en-US"/>
        </w:rPr>
        <w:t>M</w:t>
      </w:r>
      <w:r w:rsidR="001B0B17" w:rsidRPr="00813D19">
        <w:rPr>
          <w:color w:val="000000" w:themeColor="text1"/>
          <w:lang w:val="en-US"/>
        </w:rPr>
        <w:t>ember of the Committee</w:t>
      </w:r>
      <w:r w:rsidR="000257AC" w:rsidRPr="00813D19">
        <w:rPr>
          <w:color w:val="000000" w:themeColor="text1"/>
          <w:lang w:val="en-US"/>
        </w:rPr>
        <w:t xml:space="preserve">, </w:t>
      </w:r>
      <w:r w:rsidR="00155746" w:rsidRPr="00813D19">
        <w:rPr>
          <w:color w:val="000000" w:themeColor="text1"/>
          <w:lang w:val="en-US"/>
        </w:rPr>
        <w:t xml:space="preserve">the delegation would </w:t>
      </w:r>
      <w:r w:rsidR="000257AC" w:rsidRPr="00813D19">
        <w:rPr>
          <w:color w:val="000000" w:themeColor="text1"/>
          <w:lang w:val="en-US"/>
        </w:rPr>
        <w:t>return home</w:t>
      </w:r>
      <w:r w:rsidR="001B0B17" w:rsidRPr="00813D19">
        <w:rPr>
          <w:color w:val="000000" w:themeColor="text1"/>
          <w:lang w:val="en-US"/>
        </w:rPr>
        <w:t xml:space="preserve"> with truly memorable </w:t>
      </w:r>
      <w:r w:rsidR="000257AC" w:rsidRPr="00813D19">
        <w:rPr>
          <w:color w:val="000000" w:themeColor="text1"/>
          <w:lang w:val="en-US"/>
        </w:rPr>
        <w:t>impressions of the Committee</w:t>
      </w:r>
      <w:r w:rsidR="0047370D">
        <w:rPr>
          <w:color w:val="000000" w:themeColor="text1"/>
          <w:lang w:val="en-US"/>
        </w:rPr>
        <w:t>.</w:t>
      </w:r>
    </w:p>
    <w:p w14:paraId="5BF34EC9" w14:textId="2B3E5CEA" w:rsidR="00C01005" w:rsidRPr="00813D19" w:rsidRDefault="00C11B18" w:rsidP="00844D03">
      <w:pPr>
        <w:pStyle w:val="Orateurengris"/>
        <w:spacing w:before="120"/>
        <w:ind w:left="709" w:hanging="709"/>
        <w:rPr>
          <w:color w:val="000000" w:themeColor="text1"/>
          <w:lang w:val="en-US"/>
        </w:rPr>
      </w:pPr>
      <w:r w:rsidRPr="00813D19">
        <w:rPr>
          <w:color w:val="000000" w:themeColor="text1"/>
          <w:lang w:val="en-US"/>
        </w:rPr>
        <w:t>The</w:t>
      </w:r>
      <w:r w:rsidRPr="00813D19">
        <w:rPr>
          <w:b/>
          <w:color w:val="000000" w:themeColor="text1"/>
          <w:lang w:val="en-US"/>
        </w:rPr>
        <w:t xml:space="preserve"> delegation of Togo</w:t>
      </w:r>
      <w:r w:rsidR="00CC3449" w:rsidRPr="00813D19">
        <w:rPr>
          <w:b/>
          <w:color w:val="000000" w:themeColor="text1"/>
          <w:lang w:val="en-US"/>
        </w:rPr>
        <w:t xml:space="preserve"> </w:t>
      </w:r>
      <w:r w:rsidR="004853B6" w:rsidRPr="00813D19">
        <w:rPr>
          <w:color w:val="000000" w:themeColor="text1"/>
          <w:lang w:val="en-US"/>
        </w:rPr>
        <w:t>thanked the Chairperson</w:t>
      </w:r>
      <w:r w:rsidR="004853B6" w:rsidRPr="00813D19">
        <w:rPr>
          <w:b/>
          <w:color w:val="000000" w:themeColor="text1"/>
          <w:lang w:val="en-US"/>
        </w:rPr>
        <w:t xml:space="preserve">, </w:t>
      </w:r>
      <w:r w:rsidR="004853B6" w:rsidRPr="00813D19">
        <w:rPr>
          <w:color w:val="000000" w:themeColor="text1"/>
          <w:lang w:val="en-US"/>
        </w:rPr>
        <w:t>wishing to</w:t>
      </w:r>
      <w:r w:rsidR="004853B6" w:rsidRPr="00813D19">
        <w:rPr>
          <w:b/>
          <w:color w:val="000000" w:themeColor="text1"/>
          <w:lang w:val="en-US"/>
        </w:rPr>
        <w:t xml:space="preserve"> </w:t>
      </w:r>
      <w:r w:rsidR="00C01005" w:rsidRPr="00813D19">
        <w:rPr>
          <w:color w:val="000000" w:themeColor="text1"/>
          <w:lang w:val="en-US"/>
        </w:rPr>
        <w:t xml:space="preserve">add to those who </w:t>
      </w:r>
      <w:r w:rsidR="00BA2F81">
        <w:rPr>
          <w:color w:val="000000" w:themeColor="text1"/>
          <w:lang w:val="en-US"/>
        </w:rPr>
        <w:t xml:space="preserve">had </w:t>
      </w:r>
      <w:r w:rsidR="00C01005" w:rsidRPr="00813D19">
        <w:rPr>
          <w:color w:val="000000" w:themeColor="text1"/>
          <w:lang w:val="en-US"/>
        </w:rPr>
        <w:t>already thank</w:t>
      </w:r>
      <w:r w:rsidR="00155746" w:rsidRPr="00813D19">
        <w:rPr>
          <w:color w:val="000000" w:themeColor="text1"/>
          <w:lang w:val="en-US"/>
        </w:rPr>
        <w:t>ed</w:t>
      </w:r>
      <w:r w:rsidR="00C01005" w:rsidRPr="00813D19">
        <w:rPr>
          <w:color w:val="000000" w:themeColor="text1"/>
          <w:lang w:val="en-US"/>
        </w:rPr>
        <w:t xml:space="preserve"> everyone. As </w:t>
      </w:r>
      <w:r w:rsidR="00155746" w:rsidRPr="00813D19">
        <w:rPr>
          <w:color w:val="000000" w:themeColor="text1"/>
          <w:lang w:val="en-US"/>
        </w:rPr>
        <w:t xml:space="preserve">it </w:t>
      </w:r>
      <w:r w:rsidR="004853B6" w:rsidRPr="00813D19">
        <w:rPr>
          <w:color w:val="000000" w:themeColor="text1"/>
          <w:lang w:val="en-US"/>
        </w:rPr>
        <w:t>was the first time that Togo</w:t>
      </w:r>
      <w:r w:rsidR="00155746" w:rsidRPr="00813D19">
        <w:rPr>
          <w:color w:val="000000" w:themeColor="text1"/>
          <w:lang w:val="en-US"/>
        </w:rPr>
        <w:t xml:space="preserve"> had</w:t>
      </w:r>
      <w:r w:rsidR="004853B6" w:rsidRPr="00813D19">
        <w:rPr>
          <w:color w:val="000000" w:themeColor="text1"/>
          <w:lang w:val="en-US"/>
        </w:rPr>
        <w:t xml:space="preserve"> participated</w:t>
      </w:r>
      <w:r w:rsidR="00C01005" w:rsidRPr="00813D19">
        <w:rPr>
          <w:color w:val="000000" w:themeColor="text1"/>
          <w:lang w:val="en-US"/>
        </w:rPr>
        <w:t xml:space="preserve"> in a Committee, </w:t>
      </w:r>
      <w:r w:rsidR="004853B6" w:rsidRPr="00813D19">
        <w:rPr>
          <w:color w:val="000000" w:themeColor="text1"/>
          <w:lang w:val="en-US"/>
        </w:rPr>
        <w:t xml:space="preserve">it had learned and </w:t>
      </w:r>
      <w:r w:rsidR="00C01005" w:rsidRPr="00813D19">
        <w:rPr>
          <w:color w:val="000000" w:themeColor="text1"/>
          <w:lang w:val="en-US"/>
        </w:rPr>
        <w:t xml:space="preserve">exchanged </w:t>
      </w:r>
      <w:r w:rsidR="004853B6" w:rsidRPr="00813D19">
        <w:rPr>
          <w:color w:val="000000" w:themeColor="text1"/>
          <w:lang w:val="en-US"/>
        </w:rPr>
        <w:t xml:space="preserve">a lot, and with </w:t>
      </w:r>
      <w:r w:rsidR="00C01005" w:rsidRPr="00813D19">
        <w:rPr>
          <w:color w:val="000000" w:themeColor="text1"/>
          <w:lang w:val="en-US"/>
        </w:rPr>
        <w:t xml:space="preserve">the experience </w:t>
      </w:r>
      <w:r w:rsidR="00155746" w:rsidRPr="00813D19">
        <w:rPr>
          <w:color w:val="000000" w:themeColor="text1"/>
          <w:lang w:val="en-US"/>
        </w:rPr>
        <w:t>gleaned</w:t>
      </w:r>
      <w:r w:rsidR="004853B6" w:rsidRPr="00813D19">
        <w:rPr>
          <w:color w:val="000000" w:themeColor="text1"/>
          <w:lang w:val="en-US"/>
        </w:rPr>
        <w:t xml:space="preserve"> it </w:t>
      </w:r>
      <w:r w:rsidR="00BA2F81">
        <w:rPr>
          <w:color w:val="000000" w:themeColor="text1"/>
          <w:lang w:val="en-US"/>
        </w:rPr>
        <w:t xml:space="preserve">would </w:t>
      </w:r>
      <w:r w:rsidR="00C01005" w:rsidRPr="00813D19">
        <w:rPr>
          <w:color w:val="000000" w:themeColor="text1"/>
          <w:lang w:val="en-US"/>
        </w:rPr>
        <w:t xml:space="preserve">be able to </w:t>
      </w:r>
      <w:r w:rsidR="00155746" w:rsidRPr="00813D19">
        <w:rPr>
          <w:color w:val="000000" w:themeColor="text1"/>
          <w:lang w:val="en-US"/>
        </w:rPr>
        <w:t xml:space="preserve">continue this work. </w:t>
      </w:r>
      <w:r w:rsidR="004853B6" w:rsidRPr="00813D19">
        <w:rPr>
          <w:color w:val="000000" w:themeColor="text1"/>
          <w:lang w:val="en-US"/>
        </w:rPr>
        <w:t xml:space="preserve">The delegation </w:t>
      </w:r>
      <w:r w:rsidR="00C01005" w:rsidRPr="00813D19">
        <w:rPr>
          <w:color w:val="000000" w:themeColor="text1"/>
          <w:lang w:val="en-US"/>
        </w:rPr>
        <w:t>thank</w:t>
      </w:r>
      <w:r w:rsidR="004853B6" w:rsidRPr="00813D19">
        <w:rPr>
          <w:color w:val="000000" w:themeColor="text1"/>
          <w:lang w:val="en-US"/>
        </w:rPr>
        <w:t>ed</w:t>
      </w:r>
      <w:r w:rsidR="00155746" w:rsidRPr="00813D19">
        <w:rPr>
          <w:color w:val="000000" w:themeColor="text1"/>
          <w:lang w:val="en-US"/>
        </w:rPr>
        <w:t xml:space="preserve"> the host country</w:t>
      </w:r>
      <w:r w:rsidR="00C01005" w:rsidRPr="00813D19">
        <w:rPr>
          <w:color w:val="000000" w:themeColor="text1"/>
          <w:lang w:val="en-US"/>
        </w:rPr>
        <w:t xml:space="preserve"> </w:t>
      </w:r>
      <w:r w:rsidR="004853B6" w:rsidRPr="00813D19">
        <w:rPr>
          <w:color w:val="000000" w:themeColor="text1"/>
          <w:lang w:val="en-US"/>
        </w:rPr>
        <w:t xml:space="preserve">and colleagues </w:t>
      </w:r>
      <w:r w:rsidR="00C01005" w:rsidRPr="00813D19">
        <w:rPr>
          <w:color w:val="000000" w:themeColor="text1"/>
          <w:lang w:val="en-US"/>
        </w:rPr>
        <w:t xml:space="preserve">for </w:t>
      </w:r>
      <w:r w:rsidR="004853B6" w:rsidRPr="00813D19">
        <w:rPr>
          <w:color w:val="000000" w:themeColor="text1"/>
          <w:lang w:val="en-US"/>
        </w:rPr>
        <w:t xml:space="preserve">all their </w:t>
      </w:r>
      <w:r w:rsidR="00C01005" w:rsidRPr="00813D19">
        <w:rPr>
          <w:color w:val="000000" w:themeColor="text1"/>
          <w:lang w:val="en-US"/>
        </w:rPr>
        <w:t>efforts</w:t>
      </w:r>
      <w:r w:rsidR="004853B6" w:rsidRPr="00813D19">
        <w:rPr>
          <w:color w:val="000000" w:themeColor="text1"/>
          <w:lang w:val="en-US"/>
        </w:rPr>
        <w:t xml:space="preserve">. It would return with happy memories of </w:t>
      </w:r>
      <w:r w:rsidR="00433BD2" w:rsidRPr="00813D19">
        <w:rPr>
          <w:color w:val="000000" w:themeColor="text1"/>
          <w:lang w:val="en-US"/>
        </w:rPr>
        <w:t>Mauritius</w:t>
      </w:r>
      <w:r w:rsidR="00C01005" w:rsidRPr="00813D19">
        <w:rPr>
          <w:color w:val="000000" w:themeColor="text1"/>
          <w:lang w:val="en-US"/>
        </w:rPr>
        <w:t xml:space="preserve"> and </w:t>
      </w:r>
      <w:r w:rsidR="00155746" w:rsidRPr="00813D19">
        <w:rPr>
          <w:color w:val="000000" w:themeColor="text1"/>
          <w:lang w:val="en-US"/>
        </w:rPr>
        <w:t xml:space="preserve">it </w:t>
      </w:r>
      <w:r w:rsidR="00C01005" w:rsidRPr="00813D19">
        <w:rPr>
          <w:color w:val="000000" w:themeColor="text1"/>
          <w:lang w:val="en-US"/>
        </w:rPr>
        <w:t>hope</w:t>
      </w:r>
      <w:r w:rsidR="004853B6" w:rsidRPr="00813D19">
        <w:rPr>
          <w:color w:val="000000" w:themeColor="text1"/>
          <w:lang w:val="en-US"/>
        </w:rPr>
        <w:t>d</w:t>
      </w:r>
      <w:r w:rsidR="00C01005" w:rsidRPr="00813D19">
        <w:rPr>
          <w:color w:val="000000" w:themeColor="text1"/>
          <w:lang w:val="en-US"/>
        </w:rPr>
        <w:t xml:space="preserve"> it </w:t>
      </w:r>
      <w:r w:rsidR="00BA2F81">
        <w:rPr>
          <w:color w:val="000000" w:themeColor="text1"/>
          <w:lang w:val="en-US"/>
        </w:rPr>
        <w:t xml:space="preserve">would </w:t>
      </w:r>
      <w:r w:rsidR="0047370D">
        <w:rPr>
          <w:color w:val="000000" w:themeColor="text1"/>
          <w:lang w:val="en-US"/>
        </w:rPr>
        <w:t>be the same in Colombia.</w:t>
      </w:r>
    </w:p>
    <w:p w14:paraId="07ED0ED0" w14:textId="385669F9" w:rsidR="00223063" w:rsidRPr="0047370D" w:rsidRDefault="00223063"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Jamaica</w:t>
      </w:r>
      <w:r w:rsidR="00CC3449" w:rsidRPr="00813D19">
        <w:rPr>
          <w:b/>
          <w:color w:val="000000" w:themeColor="text1"/>
          <w:lang w:val="en-US"/>
        </w:rPr>
        <w:t xml:space="preserve"> </w:t>
      </w:r>
      <w:r w:rsidR="00CC3449" w:rsidRPr="00813D19">
        <w:rPr>
          <w:lang w:val="en-US"/>
        </w:rPr>
        <w:t>thank</w:t>
      </w:r>
      <w:r w:rsidR="005B28FD" w:rsidRPr="00813D19">
        <w:rPr>
          <w:lang w:val="en-US"/>
        </w:rPr>
        <w:t>ed</w:t>
      </w:r>
      <w:r w:rsidR="00CC3449" w:rsidRPr="00813D19">
        <w:rPr>
          <w:lang w:val="en-US"/>
        </w:rPr>
        <w:t xml:space="preserve"> </w:t>
      </w:r>
      <w:r w:rsidR="005B28FD" w:rsidRPr="00813D19">
        <w:rPr>
          <w:lang w:val="en-US"/>
        </w:rPr>
        <w:t>the G</w:t>
      </w:r>
      <w:r w:rsidR="00CC3449" w:rsidRPr="00813D19">
        <w:rPr>
          <w:lang w:val="en-US"/>
        </w:rPr>
        <w:t>overnment and people of Mauritius for the warmth, hospitality and love shown to all the delegates</w:t>
      </w:r>
      <w:r w:rsidR="005B28FD" w:rsidRPr="00813D19">
        <w:rPr>
          <w:lang w:val="en-US"/>
        </w:rPr>
        <w:t xml:space="preserve">, </w:t>
      </w:r>
      <w:r w:rsidR="00CC3449" w:rsidRPr="00813D19">
        <w:rPr>
          <w:lang w:val="en-US"/>
        </w:rPr>
        <w:t>extend</w:t>
      </w:r>
      <w:r w:rsidR="00433BD2" w:rsidRPr="00813D19">
        <w:rPr>
          <w:lang w:val="en-US"/>
        </w:rPr>
        <w:t>ing</w:t>
      </w:r>
      <w:r w:rsidR="00CC3449" w:rsidRPr="00813D19">
        <w:rPr>
          <w:lang w:val="en-US"/>
        </w:rPr>
        <w:t xml:space="preserve"> gratitude to the Secretariat for the support that </w:t>
      </w:r>
      <w:r w:rsidR="00067C2A">
        <w:rPr>
          <w:lang w:val="en-US"/>
        </w:rPr>
        <w:t xml:space="preserve">had </w:t>
      </w:r>
      <w:r w:rsidR="00CC3449" w:rsidRPr="00813D19">
        <w:rPr>
          <w:lang w:val="en-US"/>
        </w:rPr>
        <w:t>allowed Jamaica to participate in the meeting</w:t>
      </w:r>
      <w:r w:rsidR="005B28FD" w:rsidRPr="00813D19">
        <w:rPr>
          <w:lang w:val="en-US"/>
        </w:rPr>
        <w:t>.</w:t>
      </w:r>
      <w:r w:rsidR="00CC3449" w:rsidRPr="00813D19">
        <w:rPr>
          <w:lang w:val="en-US"/>
        </w:rPr>
        <w:t xml:space="preserve"> Jamaica</w:t>
      </w:r>
      <w:r w:rsidR="00067C2A">
        <w:rPr>
          <w:lang w:val="en-US"/>
        </w:rPr>
        <w:t xml:space="preserve"> had been</w:t>
      </w:r>
      <w:r w:rsidR="005B28FD" w:rsidRPr="00813D19">
        <w:rPr>
          <w:lang w:val="en-US"/>
        </w:rPr>
        <w:t xml:space="preserve"> </w:t>
      </w:r>
      <w:r w:rsidR="00CC3449" w:rsidRPr="00813D19">
        <w:rPr>
          <w:lang w:val="en-US"/>
        </w:rPr>
        <w:t xml:space="preserve">on the Committee for the first time and </w:t>
      </w:r>
      <w:r w:rsidR="005B28FD" w:rsidRPr="00813D19">
        <w:rPr>
          <w:lang w:val="en-US"/>
        </w:rPr>
        <w:t xml:space="preserve">it </w:t>
      </w:r>
      <w:r w:rsidR="00CC3449" w:rsidRPr="00813D19">
        <w:rPr>
          <w:lang w:val="en-US"/>
        </w:rPr>
        <w:t>look</w:t>
      </w:r>
      <w:r w:rsidR="005B28FD" w:rsidRPr="00813D19">
        <w:rPr>
          <w:lang w:val="en-US"/>
        </w:rPr>
        <w:t>ed</w:t>
      </w:r>
      <w:r w:rsidR="00CC3449" w:rsidRPr="00813D19">
        <w:rPr>
          <w:lang w:val="en-US"/>
        </w:rPr>
        <w:t xml:space="preserve"> forward to not only learning but be</w:t>
      </w:r>
      <w:r w:rsidR="00302EDB" w:rsidRPr="00813D19">
        <w:rPr>
          <w:lang w:val="en-US"/>
        </w:rPr>
        <w:t>ing able to make a significant</w:t>
      </w:r>
      <w:r w:rsidR="00CC3449" w:rsidRPr="00813D19">
        <w:rPr>
          <w:lang w:val="en-US"/>
        </w:rPr>
        <w:t xml:space="preserve"> contribution to the </w:t>
      </w:r>
      <w:r w:rsidR="005B28FD" w:rsidRPr="00813D19">
        <w:rPr>
          <w:lang w:val="en-US"/>
        </w:rPr>
        <w:t xml:space="preserve">Committee’s </w:t>
      </w:r>
      <w:r w:rsidR="00CC3449" w:rsidRPr="00813D19">
        <w:rPr>
          <w:lang w:val="en-US"/>
        </w:rPr>
        <w:t xml:space="preserve">work. </w:t>
      </w:r>
      <w:r w:rsidR="005B28FD" w:rsidRPr="00813D19">
        <w:rPr>
          <w:lang w:val="en-US"/>
        </w:rPr>
        <w:t>It was also grateful</w:t>
      </w:r>
      <w:r w:rsidR="00CC3449" w:rsidRPr="00813D19">
        <w:rPr>
          <w:lang w:val="en-US"/>
        </w:rPr>
        <w:t xml:space="preserve"> for the work behind the scenes—all the technical personnel who </w:t>
      </w:r>
      <w:r w:rsidR="00067C2A">
        <w:rPr>
          <w:lang w:val="en-US"/>
        </w:rPr>
        <w:t xml:space="preserve">had </w:t>
      </w:r>
      <w:r w:rsidR="00302EDB" w:rsidRPr="00813D19">
        <w:rPr>
          <w:lang w:val="en-US"/>
        </w:rPr>
        <w:t xml:space="preserve">made </w:t>
      </w:r>
      <w:r w:rsidR="005B28FD" w:rsidRPr="00813D19">
        <w:rPr>
          <w:lang w:val="en-US"/>
        </w:rPr>
        <w:t xml:space="preserve">the meeting </w:t>
      </w:r>
      <w:r w:rsidR="00CC3449" w:rsidRPr="00813D19">
        <w:rPr>
          <w:lang w:val="en-US"/>
        </w:rPr>
        <w:t xml:space="preserve">comfortable throughout the </w:t>
      </w:r>
      <w:r w:rsidR="005B28FD" w:rsidRPr="00813D19">
        <w:rPr>
          <w:lang w:val="en-US"/>
        </w:rPr>
        <w:t>session</w:t>
      </w:r>
      <w:r w:rsidR="00CC3449" w:rsidRPr="00813D19">
        <w:rPr>
          <w:lang w:val="en-US"/>
        </w:rPr>
        <w:t xml:space="preserve">. </w:t>
      </w:r>
      <w:r w:rsidR="005B28FD" w:rsidRPr="00813D19">
        <w:rPr>
          <w:lang w:val="en-US"/>
        </w:rPr>
        <w:t xml:space="preserve">It </w:t>
      </w:r>
      <w:r w:rsidR="00CC3449" w:rsidRPr="00813D19">
        <w:rPr>
          <w:lang w:val="en-US"/>
        </w:rPr>
        <w:t>look</w:t>
      </w:r>
      <w:r w:rsidR="005B28FD" w:rsidRPr="00813D19">
        <w:rPr>
          <w:lang w:val="en-US"/>
        </w:rPr>
        <w:t>ed</w:t>
      </w:r>
      <w:r w:rsidR="00CC3449" w:rsidRPr="00813D19">
        <w:rPr>
          <w:lang w:val="en-US"/>
        </w:rPr>
        <w:t xml:space="preserve"> forward to the fourteenth </w:t>
      </w:r>
      <w:r w:rsidR="005B28FD" w:rsidRPr="00813D19">
        <w:rPr>
          <w:lang w:val="en-US"/>
        </w:rPr>
        <w:t xml:space="preserve">session </w:t>
      </w:r>
      <w:r w:rsidR="00CC3449" w:rsidRPr="00813D19">
        <w:rPr>
          <w:lang w:val="en-US"/>
        </w:rPr>
        <w:t>of the Committee</w:t>
      </w:r>
      <w:r w:rsidR="00302EDB" w:rsidRPr="00813D19">
        <w:rPr>
          <w:lang w:val="en-US"/>
        </w:rPr>
        <w:t xml:space="preserve"> in Colombia</w:t>
      </w:r>
      <w:r w:rsidR="0047370D">
        <w:rPr>
          <w:lang w:val="en-US"/>
        </w:rPr>
        <w:t>.</w:t>
      </w:r>
    </w:p>
    <w:p w14:paraId="0C44E1B6" w14:textId="7DDFF603" w:rsidR="00EC30DF" w:rsidRPr="0047370D" w:rsidRDefault="00EC30DF"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Cyprus </w:t>
      </w:r>
      <w:r w:rsidR="005B28FD" w:rsidRPr="00813D19">
        <w:rPr>
          <w:color w:val="000000" w:themeColor="text1"/>
          <w:lang w:val="en-US"/>
        </w:rPr>
        <w:t>thanked the</w:t>
      </w:r>
      <w:r w:rsidR="005B28FD" w:rsidRPr="00813D19">
        <w:rPr>
          <w:b/>
          <w:color w:val="000000" w:themeColor="text1"/>
          <w:lang w:val="en-US"/>
        </w:rPr>
        <w:t xml:space="preserve"> </w:t>
      </w:r>
      <w:r w:rsidR="005B28FD" w:rsidRPr="00813D19">
        <w:rPr>
          <w:lang w:val="en-US"/>
        </w:rPr>
        <w:t>host country</w:t>
      </w:r>
      <w:r w:rsidR="00CC3449" w:rsidRPr="00813D19">
        <w:rPr>
          <w:lang w:val="en-US"/>
        </w:rPr>
        <w:t xml:space="preserve">, </w:t>
      </w:r>
      <w:r w:rsidR="005B28FD" w:rsidRPr="00813D19">
        <w:rPr>
          <w:lang w:val="en-US"/>
        </w:rPr>
        <w:t>especially the Chairperson for his leadership</w:t>
      </w:r>
      <w:r w:rsidR="00CC3449" w:rsidRPr="00813D19">
        <w:rPr>
          <w:lang w:val="en-US"/>
        </w:rPr>
        <w:t xml:space="preserve">, </w:t>
      </w:r>
      <w:r w:rsidR="00302EDB" w:rsidRPr="00813D19">
        <w:rPr>
          <w:lang w:val="en-US"/>
        </w:rPr>
        <w:t xml:space="preserve">and </w:t>
      </w:r>
      <w:r w:rsidR="005B28FD" w:rsidRPr="00813D19">
        <w:rPr>
          <w:lang w:val="en-US"/>
        </w:rPr>
        <w:t xml:space="preserve">the Secretariat for its hard work, always starting early and ending late, </w:t>
      </w:r>
      <w:r w:rsidR="00302EDB" w:rsidRPr="00813D19">
        <w:rPr>
          <w:lang w:val="en-US"/>
        </w:rPr>
        <w:t xml:space="preserve">as well as </w:t>
      </w:r>
      <w:r w:rsidR="005B28FD" w:rsidRPr="00813D19">
        <w:rPr>
          <w:lang w:val="en-US"/>
        </w:rPr>
        <w:t>the Members of the Committee.</w:t>
      </w:r>
    </w:p>
    <w:p w14:paraId="3E5ED5D5" w14:textId="2401CD53" w:rsidR="007F25E3" w:rsidRPr="0047370D" w:rsidRDefault="007F25E3"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Kazakhstan</w:t>
      </w:r>
      <w:r w:rsidR="00CC3449" w:rsidRPr="00813D19">
        <w:rPr>
          <w:b/>
          <w:color w:val="000000" w:themeColor="text1"/>
          <w:lang w:val="en-US"/>
        </w:rPr>
        <w:t xml:space="preserve"> </w:t>
      </w:r>
      <w:r w:rsidR="00CC3449" w:rsidRPr="00813D19">
        <w:rPr>
          <w:lang w:val="en-US"/>
        </w:rPr>
        <w:t>thank</w:t>
      </w:r>
      <w:r w:rsidR="005B28FD" w:rsidRPr="00813D19">
        <w:rPr>
          <w:lang w:val="en-US"/>
        </w:rPr>
        <w:t>ed the G</w:t>
      </w:r>
      <w:r w:rsidR="00CC3449" w:rsidRPr="00813D19">
        <w:rPr>
          <w:lang w:val="en-US"/>
        </w:rPr>
        <w:t>overnment and people of Mauritius for the</w:t>
      </w:r>
      <w:r w:rsidR="005B28FD" w:rsidRPr="00813D19">
        <w:rPr>
          <w:lang w:val="en-US"/>
        </w:rPr>
        <w:t>ir</w:t>
      </w:r>
      <w:r w:rsidR="00CC3449" w:rsidRPr="00813D19">
        <w:rPr>
          <w:lang w:val="en-US"/>
        </w:rPr>
        <w:t xml:space="preserve"> warm hospitality</w:t>
      </w:r>
      <w:r w:rsidR="005B28FD" w:rsidRPr="00813D19">
        <w:rPr>
          <w:lang w:val="en-US"/>
        </w:rPr>
        <w:t xml:space="preserve">, and the </w:t>
      </w:r>
      <w:r w:rsidR="00CC3449" w:rsidRPr="00813D19">
        <w:rPr>
          <w:lang w:val="en-US"/>
        </w:rPr>
        <w:t>Secretariat and Evaluation Body for the tremendous amount of work accomplish</w:t>
      </w:r>
      <w:r w:rsidR="005B28FD" w:rsidRPr="00813D19">
        <w:rPr>
          <w:lang w:val="en-US"/>
        </w:rPr>
        <w:t>ed</w:t>
      </w:r>
      <w:r w:rsidR="00CC3449" w:rsidRPr="00813D19">
        <w:rPr>
          <w:lang w:val="en-US"/>
        </w:rPr>
        <w:t xml:space="preserve"> prior to </w:t>
      </w:r>
      <w:r w:rsidR="00302EDB" w:rsidRPr="00813D19">
        <w:rPr>
          <w:lang w:val="en-US"/>
        </w:rPr>
        <w:t xml:space="preserve">the </w:t>
      </w:r>
      <w:r w:rsidR="00CC3449" w:rsidRPr="00813D19">
        <w:rPr>
          <w:lang w:val="en-US"/>
        </w:rPr>
        <w:t>meeting</w:t>
      </w:r>
      <w:r w:rsidR="005B28FD" w:rsidRPr="00813D19">
        <w:rPr>
          <w:lang w:val="en-US"/>
        </w:rPr>
        <w:t xml:space="preserve">. It thanked </w:t>
      </w:r>
      <w:r w:rsidR="00CC3449" w:rsidRPr="00813D19">
        <w:rPr>
          <w:lang w:val="en-US"/>
        </w:rPr>
        <w:t>the organizers</w:t>
      </w:r>
      <w:r w:rsidR="005B28FD" w:rsidRPr="00813D19">
        <w:rPr>
          <w:lang w:val="en-US"/>
        </w:rPr>
        <w:t xml:space="preserve">, </w:t>
      </w:r>
      <w:r w:rsidR="00CC3449" w:rsidRPr="00813D19">
        <w:rPr>
          <w:lang w:val="en-US"/>
        </w:rPr>
        <w:t>congratulate</w:t>
      </w:r>
      <w:r w:rsidR="005B28FD" w:rsidRPr="00813D19">
        <w:rPr>
          <w:lang w:val="en-US"/>
        </w:rPr>
        <w:t>d</w:t>
      </w:r>
      <w:r w:rsidR="00CC3449" w:rsidRPr="00813D19">
        <w:rPr>
          <w:lang w:val="en-US"/>
        </w:rPr>
        <w:t xml:space="preserve"> the countries that </w:t>
      </w:r>
      <w:r w:rsidR="005B28FD" w:rsidRPr="00813D19">
        <w:rPr>
          <w:lang w:val="en-US"/>
        </w:rPr>
        <w:t xml:space="preserve">had inscribed their elements, and looked </w:t>
      </w:r>
      <w:r w:rsidR="00CC3449" w:rsidRPr="00813D19">
        <w:rPr>
          <w:lang w:val="en-US"/>
        </w:rPr>
        <w:t xml:space="preserve">forward to </w:t>
      </w:r>
      <w:r w:rsidR="005B28FD" w:rsidRPr="00813D19">
        <w:rPr>
          <w:lang w:val="en-US"/>
        </w:rPr>
        <w:t>Colombia.</w:t>
      </w:r>
    </w:p>
    <w:p w14:paraId="6A9E5548" w14:textId="4D8C360C" w:rsidR="00D76413" w:rsidRPr="0047370D" w:rsidRDefault="00D76413" w:rsidP="0047370D">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Azerbaijan </w:t>
      </w:r>
      <w:r w:rsidR="00CC3449" w:rsidRPr="00813D19">
        <w:rPr>
          <w:lang w:val="en-US"/>
        </w:rPr>
        <w:t>thank</w:t>
      </w:r>
      <w:r w:rsidR="000257AC" w:rsidRPr="00813D19">
        <w:rPr>
          <w:lang w:val="en-US"/>
        </w:rPr>
        <w:t>ed the people and G</w:t>
      </w:r>
      <w:r w:rsidR="00CC3449" w:rsidRPr="00813D19">
        <w:rPr>
          <w:lang w:val="en-US"/>
        </w:rPr>
        <w:t>overnment of Mauritius</w:t>
      </w:r>
      <w:r w:rsidR="000257AC" w:rsidRPr="00813D19">
        <w:rPr>
          <w:lang w:val="en-US"/>
        </w:rPr>
        <w:t>,</w:t>
      </w:r>
      <w:r w:rsidR="00CC3449" w:rsidRPr="00813D19">
        <w:rPr>
          <w:lang w:val="en-US"/>
        </w:rPr>
        <w:t xml:space="preserve"> especially </w:t>
      </w:r>
      <w:r w:rsidR="000257AC" w:rsidRPr="00813D19">
        <w:rPr>
          <w:lang w:val="en-US"/>
        </w:rPr>
        <w:t xml:space="preserve">the Chairperson </w:t>
      </w:r>
      <w:r w:rsidR="00CC3449" w:rsidRPr="00813D19">
        <w:rPr>
          <w:lang w:val="en-US"/>
        </w:rPr>
        <w:t xml:space="preserve">for </w:t>
      </w:r>
      <w:r w:rsidR="000257AC" w:rsidRPr="00813D19">
        <w:rPr>
          <w:lang w:val="en-US"/>
        </w:rPr>
        <w:t xml:space="preserve">his </w:t>
      </w:r>
      <w:r w:rsidR="00CC3449" w:rsidRPr="00813D19">
        <w:rPr>
          <w:lang w:val="en-US"/>
        </w:rPr>
        <w:t xml:space="preserve">excellent leadership, </w:t>
      </w:r>
      <w:r w:rsidR="000257AC" w:rsidRPr="00813D19">
        <w:rPr>
          <w:lang w:val="en-US"/>
        </w:rPr>
        <w:t xml:space="preserve">and </w:t>
      </w:r>
      <w:r w:rsidR="00CC3449" w:rsidRPr="00813D19">
        <w:rPr>
          <w:lang w:val="en-US"/>
        </w:rPr>
        <w:t>the Secretariat for their hard work.</w:t>
      </w:r>
    </w:p>
    <w:p w14:paraId="38B8847D" w14:textId="4B1CB10C" w:rsidR="00D76413" w:rsidRPr="0047370D" w:rsidRDefault="00D76413" w:rsidP="00844D03">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Colombia</w:t>
      </w:r>
      <w:r w:rsidR="00CC3449" w:rsidRPr="00813D19">
        <w:rPr>
          <w:b/>
          <w:color w:val="000000" w:themeColor="text1"/>
          <w:lang w:val="en-US"/>
        </w:rPr>
        <w:t xml:space="preserve"> </w:t>
      </w:r>
      <w:r w:rsidR="00CC3449" w:rsidRPr="00813D19">
        <w:rPr>
          <w:bCs/>
          <w:lang w:val="en-US"/>
        </w:rPr>
        <w:t>thank</w:t>
      </w:r>
      <w:r w:rsidR="005B28FD" w:rsidRPr="00813D19">
        <w:rPr>
          <w:bCs/>
          <w:lang w:val="en-US"/>
        </w:rPr>
        <w:t>ed the Chairperson</w:t>
      </w:r>
      <w:r w:rsidR="00B42134" w:rsidRPr="00813D19">
        <w:rPr>
          <w:bCs/>
          <w:lang w:val="en-US"/>
        </w:rPr>
        <w:t xml:space="preserve"> for </w:t>
      </w:r>
      <w:r w:rsidR="005B28FD" w:rsidRPr="00813D19">
        <w:rPr>
          <w:bCs/>
          <w:lang w:val="en-US"/>
        </w:rPr>
        <w:t xml:space="preserve">his </w:t>
      </w:r>
      <w:r w:rsidR="00CC3449" w:rsidRPr="00813D19">
        <w:rPr>
          <w:bCs/>
          <w:lang w:val="en-US"/>
        </w:rPr>
        <w:t>chair</w:t>
      </w:r>
      <w:r w:rsidR="00B42134" w:rsidRPr="00813D19">
        <w:rPr>
          <w:bCs/>
          <w:lang w:val="en-US"/>
        </w:rPr>
        <w:t xml:space="preserve">manship and the </w:t>
      </w:r>
      <w:r w:rsidR="00CC3449" w:rsidRPr="00813D19">
        <w:rPr>
          <w:bCs/>
          <w:lang w:val="en-US"/>
        </w:rPr>
        <w:t xml:space="preserve">excellent team that </w:t>
      </w:r>
      <w:r w:rsidR="00067C2A">
        <w:rPr>
          <w:bCs/>
          <w:lang w:val="en-US"/>
        </w:rPr>
        <w:t xml:space="preserve">had </w:t>
      </w:r>
      <w:r w:rsidR="00CC3449" w:rsidRPr="00813D19">
        <w:rPr>
          <w:bCs/>
          <w:lang w:val="en-US"/>
        </w:rPr>
        <w:t xml:space="preserve">worked with </w:t>
      </w:r>
      <w:r w:rsidR="00B42134" w:rsidRPr="00813D19">
        <w:rPr>
          <w:bCs/>
          <w:lang w:val="en-US"/>
        </w:rPr>
        <w:t xml:space="preserve">him </w:t>
      </w:r>
      <w:r w:rsidR="00CC3449" w:rsidRPr="00813D19">
        <w:rPr>
          <w:bCs/>
          <w:lang w:val="en-US"/>
        </w:rPr>
        <w:t xml:space="preserve">and </w:t>
      </w:r>
      <w:r w:rsidR="00B42134" w:rsidRPr="00813D19">
        <w:rPr>
          <w:bCs/>
          <w:lang w:val="en-US"/>
        </w:rPr>
        <w:t xml:space="preserve">had provided </w:t>
      </w:r>
      <w:r w:rsidR="00CC3449" w:rsidRPr="00813D19">
        <w:rPr>
          <w:bCs/>
          <w:lang w:val="en-US"/>
        </w:rPr>
        <w:t>support with smiles and generosity from 6</w:t>
      </w:r>
      <w:r w:rsidR="00B42134" w:rsidRPr="00813D19">
        <w:rPr>
          <w:bCs/>
          <w:lang w:val="en-US"/>
        </w:rPr>
        <w:t xml:space="preserve"> a.m. until </w:t>
      </w:r>
      <w:r w:rsidR="00CC3449" w:rsidRPr="00813D19">
        <w:rPr>
          <w:bCs/>
          <w:lang w:val="en-US"/>
        </w:rPr>
        <w:t>the last hour of the day. Mauritius is close to the sea</w:t>
      </w:r>
      <w:r w:rsidR="00B42134" w:rsidRPr="00813D19">
        <w:rPr>
          <w:bCs/>
          <w:lang w:val="en-US"/>
        </w:rPr>
        <w:t>,</w:t>
      </w:r>
      <w:r w:rsidR="00302EDB" w:rsidRPr="00813D19">
        <w:rPr>
          <w:bCs/>
          <w:lang w:val="en-US"/>
        </w:rPr>
        <w:t xml:space="preserve"> but Bogotá</w:t>
      </w:r>
      <w:r w:rsidR="00CC3449" w:rsidRPr="00813D19">
        <w:rPr>
          <w:bCs/>
          <w:lang w:val="en-US"/>
        </w:rPr>
        <w:t xml:space="preserve"> is close to the stars</w:t>
      </w:r>
      <w:r w:rsidR="00B42134" w:rsidRPr="00813D19">
        <w:rPr>
          <w:bCs/>
          <w:lang w:val="en-US"/>
        </w:rPr>
        <w:t xml:space="preserve"> and </w:t>
      </w:r>
      <w:r w:rsidR="00302EDB" w:rsidRPr="00813D19">
        <w:rPr>
          <w:bCs/>
          <w:lang w:val="en-US"/>
        </w:rPr>
        <w:t xml:space="preserve">although </w:t>
      </w:r>
      <w:r w:rsidR="00B42134" w:rsidRPr="00813D19">
        <w:rPr>
          <w:bCs/>
          <w:lang w:val="en-US"/>
        </w:rPr>
        <w:t xml:space="preserve">it is </w:t>
      </w:r>
      <w:r w:rsidR="00302EDB" w:rsidRPr="00813D19">
        <w:rPr>
          <w:bCs/>
          <w:lang w:val="en-US"/>
        </w:rPr>
        <w:t>cold in Bogotá</w:t>
      </w:r>
      <w:r w:rsidR="00CC3449" w:rsidRPr="00813D19">
        <w:rPr>
          <w:bCs/>
          <w:lang w:val="en-US"/>
        </w:rPr>
        <w:t xml:space="preserve"> in December</w:t>
      </w:r>
      <w:r w:rsidR="00B42134" w:rsidRPr="00813D19">
        <w:rPr>
          <w:bCs/>
          <w:lang w:val="en-US"/>
        </w:rPr>
        <w:t xml:space="preserve">, </w:t>
      </w:r>
      <w:r w:rsidR="00302EDB" w:rsidRPr="00813D19">
        <w:rPr>
          <w:bCs/>
          <w:lang w:val="en-US"/>
        </w:rPr>
        <w:t xml:space="preserve">it is </w:t>
      </w:r>
      <w:r w:rsidR="00B42134" w:rsidRPr="00813D19">
        <w:rPr>
          <w:bCs/>
          <w:lang w:val="en-US"/>
        </w:rPr>
        <w:t xml:space="preserve">still an excellent time </w:t>
      </w:r>
      <w:r w:rsidR="00302EDB" w:rsidRPr="00813D19">
        <w:rPr>
          <w:bCs/>
          <w:lang w:val="en-US"/>
        </w:rPr>
        <w:t xml:space="preserve">to </w:t>
      </w:r>
      <w:r w:rsidR="00B42134" w:rsidRPr="00813D19">
        <w:rPr>
          <w:bCs/>
          <w:lang w:val="en-US"/>
        </w:rPr>
        <w:t xml:space="preserve">be there around </w:t>
      </w:r>
      <w:r w:rsidR="00CC3449" w:rsidRPr="00813D19">
        <w:rPr>
          <w:bCs/>
          <w:lang w:val="en-US"/>
        </w:rPr>
        <w:t xml:space="preserve">Christmas </w:t>
      </w:r>
      <w:r w:rsidR="00B42134" w:rsidRPr="00813D19">
        <w:rPr>
          <w:bCs/>
          <w:lang w:val="en-US"/>
        </w:rPr>
        <w:t xml:space="preserve">when </w:t>
      </w:r>
      <w:r w:rsidR="00CC3449" w:rsidRPr="00813D19">
        <w:rPr>
          <w:bCs/>
          <w:lang w:val="en-US"/>
        </w:rPr>
        <w:t>the streets are filled with people</w:t>
      </w:r>
      <w:r w:rsidR="00302EDB" w:rsidRPr="00813D19">
        <w:rPr>
          <w:bCs/>
          <w:lang w:val="en-US"/>
        </w:rPr>
        <w:t>,</w:t>
      </w:r>
      <w:r w:rsidR="00CC3449" w:rsidRPr="00813D19">
        <w:rPr>
          <w:bCs/>
          <w:lang w:val="en-US"/>
        </w:rPr>
        <w:t xml:space="preserve"> </w:t>
      </w:r>
      <w:r w:rsidR="00302EDB" w:rsidRPr="00813D19">
        <w:rPr>
          <w:bCs/>
          <w:lang w:val="en-US"/>
        </w:rPr>
        <w:t xml:space="preserve">with </w:t>
      </w:r>
      <w:r w:rsidR="00CC3449" w:rsidRPr="00813D19">
        <w:rPr>
          <w:bCs/>
          <w:lang w:val="en-US"/>
        </w:rPr>
        <w:t xml:space="preserve">a lot of salsa </w:t>
      </w:r>
      <w:r w:rsidR="00B42134" w:rsidRPr="00813D19">
        <w:rPr>
          <w:bCs/>
          <w:lang w:val="en-US"/>
        </w:rPr>
        <w:t xml:space="preserve">to dance to, as well as </w:t>
      </w:r>
      <w:r w:rsidR="00CC3449" w:rsidRPr="00813D19">
        <w:rPr>
          <w:bCs/>
          <w:lang w:val="en-US"/>
        </w:rPr>
        <w:t xml:space="preserve">reggae. </w:t>
      </w:r>
      <w:r w:rsidR="00B42134" w:rsidRPr="00813D19">
        <w:rPr>
          <w:bCs/>
          <w:lang w:val="en-US"/>
        </w:rPr>
        <w:t xml:space="preserve">The delegation </w:t>
      </w:r>
      <w:r w:rsidR="00CC3449" w:rsidRPr="00813D19">
        <w:rPr>
          <w:bCs/>
          <w:lang w:val="en-US"/>
        </w:rPr>
        <w:t>thank</w:t>
      </w:r>
      <w:r w:rsidR="00B42134" w:rsidRPr="00813D19">
        <w:rPr>
          <w:bCs/>
          <w:lang w:val="en-US"/>
        </w:rPr>
        <w:t>ed</w:t>
      </w:r>
      <w:r w:rsidR="00CC3449" w:rsidRPr="00813D19">
        <w:rPr>
          <w:bCs/>
          <w:lang w:val="en-US"/>
        </w:rPr>
        <w:t xml:space="preserve"> the Secretariat for </w:t>
      </w:r>
      <w:r w:rsidR="00B42134" w:rsidRPr="00813D19">
        <w:rPr>
          <w:bCs/>
          <w:lang w:val="en-US"/>
        </w:rPr>
        <w:t xml:space="preserve">its </w:t>
      </w:r>
      <w:r w:rsidR="00CC3449" w:rsidRPr="00813D19">
        <w:rPr>
          <w:bCs/>
          <w:lang w:val="en-US"/>
        </w:rPr>
        <w:t xml:space="preserve">excellent </w:t>
      </w:r>
      <w:r w:rsidR="00B42134" w:rsidRPr="00813D19">
        <w:rPr>
          <w:bCs/>
          <w:lang w:val="en-US"/>
        </w:rPr>
        <w:t xml:space="preserve">and tireless </w:t>
      </w:r>
      <w:r w:rsidR="00CC3449" w:rsidRPr="00813D19">
        <w:rPr>
          <w:bCs/>
          <w:lang w:val="en-US"/>
        </w:rPr>
        <w:t xml:space="preserve">work with </w:t>
      </w:r>
      <w:r w:rsidR="00B42134" w:rsidRPr="00813D19">
        <w:rPr>
          <w:bCs/>
          <w:lang w:val="en-US"/>
        </w:rPr>
        <w:t xml:space="preserve">colleagues from the Ministry, which was </w:t>
      </w:r>
      <w:r w:rsidR="00CC3449" w:rsidRPr="00813D19">
        <w:rPr>
          <w:bCs/>
          <w:lang w:val="en-US"/>
        </w:rPr>
        <w:t xml:space="preserve">obviously going to </w:t>
      </w:r>
      <w:r w:rsidR="00B42134" w:rsidRPr="00813D19">
        <w:rPr>
          <w:bCs/>
          <w:lang w:val="en-US"/>
        </w:rPr>
        <w:t xml:space="preserve">increase in the future, particularly </w:t>
      </w:r>
      <w:r w:rsidR="00B42134" w:rsidRPr="003221D5">
        <w:rPr>
          <w:bCs/>
          <w:lang w:val="en-US"/>
        </w:rPr>
        <w:t>Ms Caroline Munier</w:t>
      </w:r>
      <w:r w:rsidR="00CC3449" w:rsidRPr="00AD683E">
        <w:rPr>
          <w:bCs/>
          <w:lang w:val="en-US"/>
        </w:rPr>
        <w:t xml:space="preserve"> and </w:t>
      </w:r>
      <w:r w:rsidR="00B42134" w:rsidRPr="003221D5">
        <w:rPr>
          <w:bCs/>
          <w:lang w:val="en-US"/>
        </w:rPr>
        <w:t xml:space="preserve">Ms </w:t>
      </w:r>
      <w:r w:rsidR="00067C2A" w:rsidRPr="003221D5">
        <w:rPr>
          <w:bCs/>
          <w:lang w:val="en-US"/>
        </w:rPr>
        <w:t>Li</w:t>
      </w:r>
      <w:r w:rsidR="00B42134" w:rsidRPr="003221D5">
        <w:rPr>
          <w:bCs/>
          <w:lang w:val="en-US"/>
        </w:rPr>
        <w:t>sa Gisbert</w:t>
      </w:r>
      <w:r w:rsidR="00B42134" w:rsidRPr="00AD683E">
        <w:rPr>
          <w:bCs/>
          <w:lang w:val="en-US"/>
        </w:rPr>
        <w:t xml:space="preserve"> </w:t>
      </w:r>
      <w:r w:rsidR="00CC3449" w:rsidRPr="00AD683E">
        <w:rPr>
          <w:bCs/>
          <w:lang w:val="en-US"/>
        </w:rPr>
        <w:t>who</w:t>
      </w:r>
      <w:r w:rsidR="00CC3449" w:rsidRPr="00813D19">
        <w:rPr>
          <w:bCs/>
          <w:lang w:val="en-US"/>
        </w:rPr>
        <w:t xml:space="preserve"> </w:t>
      </w:r>
      <w:r w:rsidR="00262665" w:rsidRPr="00813D19">
        <w:rPr>
          <w:bCs/>
          <w:lang w:val="en-US"/>
        </w:rPr>
        <w:t xml:space="preserve">oversee </w:t>
      </w:r>
      <w:r w:rsidR="00302EDB" w:rsidRPr="00813D19">
        <w:rPr>
          <w:bCs/>
          <w:lang w:val="en-US"/>
        </w:rPr>
        <w:t>Latin America</w:t>
      </w:r>
      <w:r w:rsidR="00CC3449" w:rsidRPr="00813D19">
        <w:rPr>
          <w:bCs/>
          <w:lang w:val="en-US"/>
        </w:rPr>
        <w:t xml:space="preserve"> and the Caribbean</w:t>
      </w:r>
      <w:r w:rsidR="00302EDB" w:rsidRPr="00813D19">
        <w:rPr>
          <w:bCs/>
          <w:lang w:val="en-US"/>
        </w:rPr>
        <w:t xml:space="preserve"> region</w:t>
      </w:r>
      <w:r w:rsidR="00CC3449" w:rsidRPr="00813D19">
        <w:rPr>
          <w:bCs/>
          <w:lang w:val="en-US"/>
        </w:rPr>
        <w:t xml:space="preserve"> and </w:t>
      </w:r>
      <w:r w:rsidR="00B42134" w:rsidRPr="00813D19">
        <w:rPr>
          <w:bCs/>
          <w:lang w:val="en-US"/>
        </w:rPr>
        <w:t>who offer</w:t>
      </w:r>
      <w:r w:rsidR="00CC3449" w:rsidRPr="00813D19">
        <w:rPr>
          <w:bCs/>
          <w:lang w:val="en-US"/>
        </w:rPr>
        <w:t xml:space="preserve"> such excellent support. </w:t>
      </w:r>
      <w:r w:rsidR="00262665" w:rsidRPr="00813D19">
        <w:rPr>
          <w:bCs/>
          <w:lang w:val="en-US"/>
        </w:rPr>
        <w:t xml:space="preserve">The delegation </w:t>
      </w:r>
      <w:r w:rsidR="00302EDB" w:rsidRPr="00813D19">
        <w:rPr>
          <w:bCs/>
          <w:lang w:val="en-US"/>
        </w:rPr>
        <w:t xml:space="preserve">would </w:t>
      </w:r>
      <w:r w:rsidR="00262665" w:rsidRPr="00813D19">
        <w:rPr>
          <w:bCs/>
          <w:lang w:val="en-US"/>
        </w:rPr>
        <w:t xml:space="preserve">ensure that </w:t>
      </w:r>
      <w:r w:rsidR="00302EDB" w:rsidRPr="00813D19">
        <w:rPr>
          <w:bCs/>
          <w:lang w:val="en-US"/>
        </w:rPr>
        <w:t>Bogotá</w:t>
      </w:r>
      <w:r w:rsidR="00CC3449" w:rsidRPr="00813D19">
        <w:rPr>
          <w:bCs/>
          <w:lang w:val="en-US"/>
        </w:rPr>
        <w:t xml:space="preserve"> </w:t>
      </w:r>
      <w:r w:rsidR="00067C2A">
        <w:rPr>
          <w:bCs/>
          <w:lang w:val="en-US"/>
        </w:rPr>
        <w:t>would</w:t>
      </w:r>
      <w:r w:rsidR="00067C2A" w:rsidRPr="00813D19">
        <w:rPr>
          <w:bCs/>
          <w:lang w:val="en-US"/>
        </w:rPr>
        <w:t xml:space="preserve"> </w:t>
      </w:r>
      <w:r w:rsidR="00CC3449" w:rsidRPr="00813D19">
        <w:rPr>
          <w:bCs/>
          <w:lang w:val="en-US"/>
        </w:rPr>
        <w:t xml:space="preserve">be a landmark in improving </w:t>
      </w:r>
      <w:r w:rsidR="00262665" w:rsidRPr="00813D19">
        <w:rPr>
          <w:bCs/>
          <w:lang w:val="en-US"/>
        </w:rPr>
        <w:t xml:space="preserve">and </w:t>
      </w:r>
      <w:r w:rsidR="00CC3449" w:rsidRPr="00813D19">
        <w:rPr>
          <w:bCs/>
          <w:lang w:val="en-US"/>
        </w:rPr>
        <w:t xml:space="preserve">perfecting dialogue. </w:t>
      </w:r>
      <w:r w:rsidR="00302EDB" w:rsidRPr="00813D19">
        <w:rPr>
          <w:bCs/>
          <w:lang w:val="en-US"/>
        </w:rPr>
        <w:t xml:space="preserve">It </w:t>
      </w:r>
      <w:r w:rsidR="00262665" w:rsidRPr="00813D19">
        <w:rPr>
          <w:bCs/>
          <w:lang w:val="en-US"/>
        </w:rPr>
        <w:t xml:space="preserve">spoke of the </w:t>
      </w:r>
      <w:r w:rsidR="00CC3449" w:rsidRPr="00813D19">
        <w:rPr>
          <w:bCs/>
          <w:lang w:val="en-US"/>
        </w:rPr>
        <w:t xml:space="preserve">Committee </w:t>
      </w:r>
      <w:r w:rsidR="00262665" w:rsidRPr="00813D19">
        <w:rPr>
          <w:bCs/>
          <w:lang w:val="en-US"/>
        </w:rPr>
        <w:t xml:space="preserve">as an </w:t>
      </w:r>
      <w:r w:rsidR="00CC3449" w:rsidRPr="00813D19">
        <w:rPr>
          <w:bCs/>
          <w:lang w:val="en-US"/>
        </w:rPr>
        <w:t xml:space="preserve">excellent place </w:t>
      </w:r>
      <w:r w:rsidR="00302EDB" w:rsidRPr="00813D19">
        <w:rPr>
          <w:bCs/>
          <w:lang w:val="en-US"/>
        </w:rPr>
        <w:t xml:space="preserve">with </w:t>
      </w:r>
      <w:r w:rsidR="00CC3449" w:rsidRPr="00813D19">
        <w:rPr>
          <w:bCs/>
          <w:lang w:val="en-US"/>
        </w:rPr>
        <w:t xml:space="preserve">different ways of thinking that can sometimes be contradictory </w:t>
      </w:r>
      <w:r w:rsidR="00262665" w:rsidRPr="00813D19">
        <w:rPr>
          <w:bCs/>
          <w:lang w:val="en-US"/>
        </w:rPr>
        <w:t xml:space="preserve">but </w:t>
      </w:r>
      <w:r w:rsidR="00302EDB" w:rsidRPr="00813D19">
        <w:rPr>
          <w:bCs/>
          <w:lang w:val="en-US"/>
        </w:rPr>
        <w:t xml:space="preserve">can </w:t>
      </w:r>
      <w:r w:rsidR="00CC3449" w:rsidRPr="00813D19">
        <w:rPr>
          <w:bCs/>
          <w:lang w:val="en-US"/>
        </w:rPr>
        <w:t xml:space="preserve">come together </w:t>
      </w:r>
      <w:r w:rsidR="00262665" w:rsidRPr="00813D19">
        <w:rPr>
          <w:bCs/>
          <w:lang w:val="en-US"/>
        </w:rPr>
        <w:t xml:space="preserve">to offer </w:t>
      </w:r>
      <w:r w:rsidR="00302EDB" w:rsidRPr="00813D19">
        <w:rPr>
          <w:bCs/>
          <w:lang w:val="en-US"/>
        </w:rPr>
        <w:t xml:space="preserve">much in terms of </w:t>
      </w:r>
      <w:r w:rsidR="00262665" w:rsidRPr="00813D19">
        <w:rPr>
          <w:bCs/>
          <w:lang w:val="en-US"/>
        </w:rPr>
        <w:t xml:space="preserve">a </w:t>
      </w:r>
      <w:r w:rsidR="00813D19" w:rsidRPr="00813D19">
        <w:rPr>
          <w:bCs/>
          <w:lang w:val="en-US"/>
        </w:rPr>
        <w:t>strong</w:t>
      </w:r>
      <w:r w:rsidR="00262665" w:rsidRPr="00813D19">
        <w:rPr>
          <w:bCs/>
          <w:lang w:val="en-US"/>
        </w:rPr>
        <w:t xml:space="preserve"> and </w:t>
      </w:r>
      <w:r w:rsidR="00CC3449" w:rsidRPr="00813D19">
        <w:rPr>
          <w:bCs/>
          <w:lang w:val="en-US"/>
        </w:rPr>
        <w:t xml:space="preserve">stable </w:t>
      </w:r>
      <w:r w:rsidR="00302EDB" w:rsidRPr="00813D19">
        <w:rPr>
          <w:bCs/>
          <w:lang w:val="en-US"/>
        </w:rPr>
        <w:t>route</w:t>
      </w:r>
      <w:r w:rsidR="00CC3449" w:rsidRPr="00813D19">
        <w:rPr>
          <w:bCs/>
          <w:lang w:val="en-US"/>
        </w:rPr>
        <w:t xml:space="preserve">. </w:t>
      </w:r>
      <w:r w:rsidR="00262665" w:rsidRPr="00813D19">
        <w:rPr>
          <w:bCs/>
          <w:lang w:val="en-US"/>
        </w:rPr>
        <w:t xml:space="preserve">It was </w:t>
      </w:r>
      <w:r w:rsidR="00CC3449" w:rsidRPr="00813D19">
        <w:rPr>
          <w:bCs/>
          <w:lang w:val="en-US"/>
        </w:rPr>
        <w:t xml:space="preserve">very satisfied with the work </w:t>
      </w:r>
      <w:r w:rsidR="00302EDB" w:rsidRPr="00813D19">
        <w:rPr>
          <w:bCs/>
          <w:lang w:val="en-US"/>
        </w:rPr>
        <w:t xml:space="preserve">of </w:t>
      </w:r>
      <w:r w:rsidR="00CC3449" w:rsidRPr="00813D19">
        <w:rPr>
          <w:bCs/>
          <w:lang w:val="en-US"/>
        </w:rPr>
        <w:t>the Evaluation Body</w:t>
      </w:r>
      <w:r w:rsidR="00262665" w:rsidRPr="00813D19">
        <w:rPr>
          <w:bCs/>
          <w:lang w:val="en-US"/>
        </w:rPr>
        <w:t>. In addition to the work of the Committee, Colombia had</w:t>
      </w:r>
      <w:r w:rsidR="00CC3449" w:rsidRPr="00813D19">
        <w:rPr>
          <w:bCs/>
          <w:lang w:val="en-US"/>
        </w:rPr>
        <w:t xml:space="preserve"> also held a meeting </w:t>
      </w:r>
      <w:r w:rsidR="00302EDB" w:rsidRPr="00813D19">
        <w:rPr>
          <w:bCs/>
          <w:lang w:val="en-US"/>
        </w:rPr>
        <w:t xml:space="preserve">[during the Committee session] </w:t>
      </w:r>
      <w:r w:rsidR="00CC3449" w:rsidRPr="00813D19">
        <w:rPr>
          <w:bCs/>
          <w:lang w:val="en-US"/>
        </w:rPr>
        <w:t xml:space="preserve">on intangible cultural heritage in urban contexts </w:t>
      </w:r>
      <w:r w:rsidR="00302EDB" w:rsidRPr="00813D19">
        <w:rPr>
          <w:bCs/>
          <w:lang w:val="en-US"/>
        </w:rPr>
        <w:t xml:space="preserve">in which </w:t>
      </w:r>
      <w:r w:rsidR="00262665" w:rsidRPr="00813D19">
        <w:rPr>
          <w:bCs/>
          <w:lang w:val="en-US"/>
        </w:rPr>
        <w:t xml:space="preserve">102 people </w:t>
      </w:r>
      <w:r w:rsidR="00067C2A">
        <w:rPr>
          <w:bCs/>
          <w:lang w:val="en-US"/>
        </w:rPr>
        <w:t xml:space="preserve">had </w:t>
      </w:r>
      <w:r w:rsidR="00262665" w:rsidRPr="00813D19">
        <w:rPr>
          <w:bCs/>
          <w:lang w:val="en-US"/>
        </w:rPr>
        <w:t xml:space="preserve">participated, </w:t>
      </w:r>
      <w:r w:rsidR="00302EDB" w:rsidRPr="00813D19">
        <w:rPr>
          <w:bCs/>
          <w:lang w:val="en-US"/>
        </w:rPr>
        <w:t>showing</w:t>
      </w:r>
      <w:r w:rsidR="00CC3449" w:rsidRPr="00813D19">
        <w:rPr>
          <w:bCs/>
          <w:lang w:val="en-US"/>
        </w:rPr>
        <w:t xml:space="preserve"> </w:t>
      </w:r>
      <w:r w:rsidR="00262665" w:rsidRPr="00813D19">
        <w:rPr>
          <w:bCs/>
          <w:lang w:val="en-US"/>
        </w:rPr>
        <w:t>the importance of</w:t>
      </w:r>
      <w:r w:rsidR="00CC3449" w:rsidRPr="00813D19">
        <w:rPr>
          <w:bCs/>
          <w:lang w:val="en-US"/>
        </w:rPr>
        <w:t xml:space="preserve"> </w:t>
      </w:r>
      <w:r w:rsidR="00262665" w:rsidRPr="00813D19">
        <w:rPr>
          <w:bCs/>
          <w:lang w:val="en-US"/>
        </w:rPr>
        <w:t xml:space="preserve">the </w:t>
      </w:r>
      <w:r w:rsidR="00CC3449" w:rsidRPr="00813D19">
        <w:rPr>
          <w:bCs/>
          <w:lang w:val="en-US"/>
        </w:rPr>
        <w:t xml:space="preserve">subject </w:t>
      </w:r>
      <w:r w:rsidR="00262665" w:rsidRPr="00813D19">
        <w:rPr>
          <w:bCs/>
          <w:lang w:val="en-US"/>
        </w:rPr>
        <w:t xml:space="preserve">to the </w:t>
      </w:r>
      <w:r w:rsidR="00CC3449" w:rsidRPr="00813D19">
        <w:rPr>
          <w:bCs/>
          <w:lang w:val="en-US"/>
        </w:rPr>
        <w:t>Convention</w:t>
      </w:r>
      <w:r w:rsidR="00302EDB" w:rsidRPr="00813D19">
        <w:rPr>
          <w:bCs/>
          <w:lang w:val="en-US"/>
        </w:rPr>
        <w:t>;</w:t>
      </w:r>
      <w:r w:rsidR="00262665" w:rsidRPr="00813D19">
        <w:rPr>
          <w:bCs/>
          <w:lang w:val="en-US"/>
        </w:rPr>
        <w:t xml:space="preserve"> </w:t>
      </w:r>
      <w:r w:rsidR="00302EDB" w:rsidRPr="00813D19">
        <w:rPr>
          <w:bCs/>
          <w:lang w:val="en-US"/>
        </w:rPr>
        <w:t xml:space="preserve">an aspect that </w:t>
      </w:r>
      <w:r w:rsidR="00067C2A">
        <w:rPr>
          <w:bCs/>
          <w:lang w:val="en-US"/>
        </w:rPr>
        <w:t>would</w:t>
      </w:r>
      <w:r w:rsidR="00067C2A" w:rsidRPr="00813D19">
        <w:rPr>
          <w:bCs/>
          <w:lang w:val="en-US"/>
        </w:rPr>
        <w:t xml:space="preserve"> </w:t>
      </w:r>
      <w:r w:rsidR="00262665" w:rsidRPr="00813D19">
        <w:rPr>
          <w:bCs/>
          <w:lang w:val="en-US"/>
        </w:rPr>
        <w:t xml:space="preserve">be </w:t>
      </w:r>
      <w:r w:rsidR="00302EDB" w:rsidRPr="00813D19">
        <w:rPr>
          <w:bCs/>
          <w:lang w:val="en-US"/>
        </w:rPr>
        <w:t xml:space="preserve">visible </w:t>
      </w:r>
      <w:r w:rsidR="00262665" w:rsidRPr="00813D19">
        <w:rPr>
          <w:bCs/>
          <w:lang w:val="en-US"/>
        </w:rPr>
        <w:t xml:space="preserve">in </w:t>
      </w:r>
      <w:r w:rsidR="00302EDB" w:rsidRPr="00813D19">
        <w:rPr>
          <w:bCs/>
          <w:lang w:val="en-US"/>
        </w:rPr>
        <w:t>Bogotá</w:t>
      </w:r>
      <w:r w:rsidR="00CC3449" w:rsidRPr="00813D19">
        <w:rPr>
          <w:bCs/>
          <w:lang w:val="en-US"/>
        </w:rPr>
        <w:t xml:space="preserve"> </w:t>
      </w:r>
      <w:r w:rsidR="00262665" w:rsidRPr="00813D19">
        <w:rPr>
          <w:bCs/>
          <w:lang w:val="en-US"/>
        </w:rPr>
        <w:t xml:space="preserve">where </w:t>
      </w:r>
      <w:r w:rsidR="00CC3449" w:rsidRPr="00813D19">
        <w:rPr>
          <w:bCs/>
          <w:lang w:val="en-US"/>
        </w:rPr>
        <w:t xml:space="preserve">intangible heritage </w:t>
      </w:r>
      <w:r w:rsidR="00067C2A">
        <w:rPr>
          <w:bCs/>
          <w:lang w:val="en-US"/>
        </w:rPr>
        <w:t>was</w:t>
      </w:r>
      <w:r w:rsidR="00067C2A" w:rsidRPr="00813D19">
        <w:rPr>
          <w:bCs/>
          <w:lang w:val="en-US"/>
        </w:rPr>
        <w:t xml:space="preserve"> </w:t>
      </w:r>
      <w:r w:rsidR="00302EDB" w:rsidRPr="00813D19">
        <w:rPr>
          <w:bCs/>
          <w:lang w:val="en-US"/>
        </w:rPr>
        <w:t xml:space="preserve">seen </w:t>
      </w:r>
      <w:r w:rsidR="00CC3449" w:rsidRPr="00813D19">
        <w:rPr>
          <w:bCs/>
          <w:lang w:val="en-US"/>
        </w:rPr>
        <w:t xml:space="preserve">in </w:t>
      </w:r>
      <w:r w:rsidR="00262665" w:rsidRPr="00813D19">
        <w:rPr>
          <w:bCs/>
          <w:lang w:val="en-US"/>
        </w:rPr>
        <w:t xml:space="preserve">an </w:t>
      </w:r>
      <w:r w:rsidR="00CC3449" w:rsidRPr="00813D19">
        <w:rPr>
          <w:bCs/>
          <w:lang w:val="en-US"/>
        </w:rPr>
        <w:t xml:space="preserve">urban environment. </w:t>
      </w:r>
      <w:r w:rsidR="00262665" w:rsidRPr="00813D19">
        <w:rPr>
          <w:bCs/>
          <w:lang w:val="en-US"/>
        </w:rPr>
        <w:t>A</w:t>
      </w:r>
      <w:r w:rsidR="00CC3449" w:rsidRPr="00813D19">
        <w:rPr>
          <w:bCs/>
          <w:lang w:val="en-US"/>
        </w:rPr>
        <w:t xml:space="preserve"> meeting </w:t>
      </w:r>
      <w:r w:rsidR="00067C2A">
        <w:rPr>
          <w:bCs/>
          <w:lang w:val="en-US"/>
        </w:rPr>
        <w:t>had</w:t>
      </w:r>
      <w:r w:rsidR="00067C2A" w:rsidRPr="00813D19">
        <w:rPr>
          <w:bCs/>
          <w:lang w:val="en-US"/>
        </w:rPr>
        <w:t xml:space="preserve"> </w:t>
      </w:r>
      <w:r w:rsidR="00CC3449" w:rsidRPr="00813D19">
        <w:rPr>
          <w:bCs/>
          <w:lang w:val="en-US"/>
        </w:rPr>
        <w:t xml:space="preserve">also </w:t>
      </w:r>
      <w:r w:rsidR="00067C2A">
        <w:rPr>
          <w:bCs/>
          <w:lang w:val="en-US"/>
        </w:rPr>
        <w:t xml:space="preserve">been </w:t>
      </w:r>
      <w:r w:rsidR="00262665" w:rsidRPr="00813D19">
        <w:rPr>
          <w:bCs/>
          <w:lang w:val="en-US"/>
        </w:rPr>
        <w:t xml:space="preserve">held </w:t>
      </w:r>
      <w:r w:rsidR="00302EDB" w:rsidRPr="00813D19">
        <w:rPr>
          <w:bCs/>
          <w:lang w:val="en-US"/>
        </w:rPr>
        <w:t xml:space="preserve">to talk about </w:t>
      </w:r>
      <w:r w:rsidR="00067C2A">
        <w:rPr>
          <w:bCs/>
          <w:lang w:val="en-US"/>
        </w:rPr>
        <w:t>the</w:t>
      </w:r>
      <w:r w:rsidR="00067C2A" w:rsidRPr="00813D19">
        <w:rPr>
          <w:bCs/>
          <w:lang w:val="en-US"/>
        </w:rPr>
        <w:t xml:space="preserve"> </w:t>
      </w:r>
      <w:r w:rsidR="00262665" w:rsidRPr="00813D19">
        <w:rPr>
          <w:bCs/>
          <w:lang w:val="en-US"/>
        </w:rPr>
        <w:t xml:space="preserve">project </w:t>
      </w:r>
      <w:r w:rsidR="00302EDB" w:rsidRPr="00813D19">
        <w:rPr>
          <w:bCs/>
          <w:lang w:val="en-US"/>
        </w:rPr>
        <w:t>‘</w:t>
      </w:r>
      <w:r w:rsidR="00262665" w:rsidRPr="00813D19">
        <w:rPr>
          <w:bCs/>
          <w:lang w:val="en-US"/>
        </w:rPr>
        <w:t>African Diaspora</w:t>
      </w:r>
      <w:r w:rsidR="00302EDB" w:rsidRPr="00813D19">
        <w:rPr>
          <w:bCs/>
          <w:lang w:val="en-US"/>
        </w:rPr>
        <w:t>’</w:t>
      </w:r>
      <w:r w:rsidR="00067C2A">
        <w:rPr>
          <w:bCs/>
          <w:lang w:val="en-US"/>
        </w:rPr>
        <w:t>,</w:t>
      </w:r>
      <w:r w:rsidR="00262665" w:rsidRPr="00813D19">
        <w:rPr>
          <w:bCs/>
          <w:lang w:val="en-US"/>
        </w:rPr>
        <w:t xml:space="preserve"> </w:t>
      </w:r>
      <w:r w:rsidR="00302EDB" w:rsidRPr="00813D19">
        <w:rPr>
          <w:bCs/>
          <w:lang w:val="en-US"/>
        </w:rPr>
        <w:t>involving</w:t>
      </w:r>
      <w:r w:rsidR="00262665" w:rsidRPr="00813D19">
        <w:rPr>
          <w:bCs/>
          <w:lang w:val="en-US"/>
        </w:rPr>
        <w:t xml:space="preserve"> </w:t>
      </w:r>
      <w:r w:rsidR="00CC3449" w:rsidRPr="00813D19">
        <w:rPr>
          <w:bCs/>
          <w:lang w:val="en-US"/>
        </w:rPr>
        <w:t>Latin American, Caribbean and African projects</w:t>
      </w:r>
      <w:r w:rsidR="00262665" w:rsidRPr="00813D19">
        <w:rPr>
          <w:bCs/>
          <w:lang w:val="en-US"/>
        </w:rPr>
        <w:t>,</w:t>
      </w:r>
      <w:r w:rsidR="00CC3449" w:rsidRPr="00813D19">
        <w:rPr>
          <w:bCs/>
          <w:lang w:val="en-US"/>
        </w:rPr>
        <w:t xml:space="preserve"> </w:t>
      </w:r>
      <w:r w:rsidR="00262665" w:rsidRPr="00813D19">
        <w:rPr>
          <w:bCs/>
          <w:lang w:val="en-US"/>
        </w:rPr>
        <w:t xml:space="preserve">and </w:t>
      </w:r>
      <w:r w:rsidR="00CC3449" w:rsidRPr="00813D19">
        <w:rPr>
          <w:bCs/>
          <w:lang w:val="en-US"/>
        </w:rPr>
        <w:t>driven by the Ministry of Culture</w:t>
      </w:r>
      <w:r w:rsidR="00E50D4C" w:rsidRPr="00813D19">
        <w:rPr>
          <w:bCs/>
          <w:lang w:val="en-US"/>
        </w:rPr>
        <w:t xml:space="preserve">. In this way, </w:t>
      </w:r>
      <w:r w:rsidR="00CC3449" w:rsidRPr="00813D19">
        <w:rPr>
          <w:bCs/>
          <w:lang w:val="en-US"/>
        </w:rPr>
        <w:t xml:space="preserve">Africa </w:t>
      </w:r>
      <w:r w:rsidR="00067C2A">
        <w:rPr>
          <w:bCs/>
          <w:lang w:val="en-US"/>
        </w:rPr>
        <w:t>was</w:t>
      </w:r>
      <w:r w:rsidR="00067C2A" w:rsidRPr="00813D19">
        <w:rPr>
          <w:bCs/>
          <w:lang w:val="en-US"/>
        </w:rPr>
        <w:t xml:space="preserve"> </w:t>
      </w:r>
      <w:r w:rsidR="00E50D4C" w:rsidRPr="00813D19">
        <w:rPr>
          <w:bCs/>
          <w:lang w:val="en-US"/>
        </w:rPr>
        <w:t>in Colombia, as well as in</w:t>
      </w:r>
      <w:r w:rsidR="00CC3449" w:rsidRPr="00813D19">
        <w:rPr>
          <w:bCs/>
          <w:lang w:val="en-US"/>
        </w:rPr>
        <w:t xml:space="preserve"> the rest of Latin America and the Caribbean</w:t>
      </w:r>
      <w:r w:rsidR="00E50D4C" w:rsidRPr="00813D19">
        <w:rPr>
          <w:bCs/>
          <w:lang w:val="en-US"/>
        </w:rPr>
        <w:t>,</w:t>
      </w:r>
      <w:r w:rsidR="00CC3449" w:rsidRPr="00813D19">
        <w:rPr>
          <w:bCs/>
          <w:lang w:val="en-US"/>
        </w:rPr>
        <w:t xml:space="preserve"> and this Convention </w:t>
      </w:r>
      <w:r w:rsidR="00E50D4C" w:rsidRPr="00813D19">
        <w:rPr>
          <w:bCs/>
          <w:lang w:val="en-US"/>
        </w:rPr>
        <w:t xml:space="preserve">brought everyone </w:t>
      </w:r>
      <w:r w:rsidR="00CC3449" w:rsidRPr="00813D19">
        <w:rPr>
          <w:bCs/>
          <w:lang w:val="en-US"/>
        </w:rPr>
        <w:t xml:space="preserve">together in a </w:t>
      </w:r>
      <w:r w:rsidR="00E50D4C" w:rsidRPr="00813D19">
        <w:rPr>
          <w:bCs/>
          <w:lang w:val="en-US"/>
        </w:rPr>
        <w:t xml:space="preserve">wonderful </w:t>
      </w:r>
      <w:r w:rsidR="00CC3449" w:rsidRPr="00813D19">
        <w:rPr>
          <w:bCs/>
          <w:lang w:val="en-US"/>
        </w:rPr>
        <w:t xml:space="preserve">way. </w:t>
      </w:r>
      <w:r w:rsidR="00E50D4C" w:rsidRPr="00813D19">
        <w:rPr>
          <w:bCs/>
          <w:lang w:val="en-US"/>
        </w:rPr>
        <w:t xml:space="preserve">The delegation spoke of </w:t>
      </w:r>
      <w:r w:rsidR="00302EDB" w:rsidRPr="00813D19">
        <w:rPr>
          <w:bCs/>
          <w:lang w:val="en-US"/>
        </w:rPr>
        <w:t>Bogotá</w:t>
      </w:r>
      <w:r w:rsidR="00CC3449" w:rsidRPr="00813D19">
        <w:rPr>
          <w:bCs/>
          <w:lang w:val="en-US"/>
        </w:rPr>
        <w:t xml:space="preserve"> </w:t>
      </w:r>
      <w:r w:rsidR="00E50D4C" w:rsidRPr="00813D19">
        <w:rPr>
          <w:bCs/>
          <w:lang w:val="en-US"/>
        </w:rPr>
        <w:t xml:space="preserve">as </w:t>
      </w:r>
      <w:r w:rsidR="00CC3449" w:rsidRPr="00813D19">
        <w:rPr>
          <w:bCs/>
          <w:lang w:val="en-US"/>
        </w:rPr>
        <w:t>a creative city, a city of music</w:t>
      </w:r>
      <w:r w:rsidR="00E50D4C" w:rsidRPr="00813D19">
        <w:rPr>
          <w:bCs/>
          <w:lang w:val="en-US"/>
        </w:rPr>
        <w:t>,</w:t>
      </w:r>
      <w:r w:rsidR="00CC3449" w:rsidRPr="00813D19">
        <w:rPr>
          <w:bCs/>
          <w:lang w:val="en-US"/>
        </w:rPr>
        <w:t xml:space="preserve"> </w:t>
      </w:r>
      <w:r w:rsidR="00302EDB" w:rsidRPr="00813D19">
        <w:rPr>
          <w:bCs/>
          <w:lang w:val="en-US"/>
        </w:rPr>
        <w:t xml:space="preserve">and </w:t>
      </w:r>
      <w:r w:rsidR="00067C2A">
        <w:rPr>
          <w:bCs/>
          <w:lang w:val="en-US"/>
        </w:rPr>
        <w:t xml:space="preserve">noted </w:t>
      </w:r>
      <w:r w:rsidR="00E50D4C" w:rsidRPr="00813D19">
        <w:rPr>
          <w:bCs/>
          <w:lang w:val="en-US"/>
        </w:rPr>
        <w:t xml:space="preserve">that its participation in </w:t>
      </w:r>
      <w:r w:rsidR="00CC3449" w:rsidRPr="00813D19">
        <w:rPr>
          <w:bCs/>
          <w:lang w:val="en-US"/>
        </w:rPr>
        <w:t>UNESCO</w:t>
      </w:r>
      <w:r w:rsidR="00E50D4C" w:rsidRPr="00813D19">
        <w:rPr>
          <w:bCs/>
          <w:lang w:val="en-US"/>
        </w:rPr>
        <w:t>’s</w:t>
      </w:r>
      <w:r w:rsidR="00CC3449" w:rsidRPr="00813D19">
        <w:rPr>
          <w:bCs/>
          <w:lang w:val="en-US"/>
        </w:rPr>
        <w:t xml:space="preserve"> </w:t>
      </w:r>
      <w:r w:rsidR="00E50D4C" w:rsidRPr="00813D19">
        <w:rPr>
          <w:bCs/>
          <w:lang w:val="en-US"/>
        </w:rPr>
        <w:t xml:space="preserve">Creative Cities </w:t>
      </w:r>
      <w:r w:rsidR="00CC3449" w:rsidRPr="00813D19">
        <w:rPr>
          <w:bCs/>
          <w:lang w:val="en-US"/>
        </w:rPr>
        <w:t>Network</w:t>
      </w:r>
      <w:r w:rsidR="00E50D4C" w:rsidRPr="00813D19">
        <w:rPr>
          <w:rStyle w:val="FootnoteReference"/>
          <w:bCs/>
          <w:lang w:val="en-US"/>
        </w:rPr>
        <w:footnoteReference w:id="39"/>
      </w:r>
      <w:r w:rsidR="00CC3449" w:rsidRPr="00813D19">
        <w:rPr>
          <w:bCs/>
          <w:lang w:val="en-US"/>
        </w:rPr>
        <w:t xml:space="preserve"> </w:t>
      </w:r>
      <w:r w:rsidR="00E50D4C" w:rsidRPr="00813D19">
        <w:rPr>
          <w:bCs/>
          <w:lang w:val="en-US"/>
        </w:rPr>
        <w:t xml:space="preserve">and its </w:t>
      </w:r>
      <w:r w:rsidR="00CC3449" w:rsidRPr="00813D19">
        <w:rPr>
          <w:bCs/>
          <w:lang w:val="en-US"/>
        </w:rPr>
        <w:t xml:space="preserve">very </w:t>
      </w:r>
      <w:r w:rsidR="00E50D4C" w:rsidRPr="00813D19">
        <w:rPr>
          <w:bCs/>
          <w:lang w:val="en-US"/>
        </w:rPr>
        <w:t xml:space="preserve">close </w:t>
      </w:r>
      <w:r w:rsidR="00CC3449" w:rsidRPr="00813D19">
        <w:rPr>
          <w:bCs/>
          <w:lang w:val="en-US"/>
        </w:rPr>
        <w:t xml:space="preserve">connection to intangible cultural heritage </w:t>
      </w:r>
      <w:r w:rsidR="00E50D4C" w:rsidRPr="00813D19">
        <w:rPr>
          <w:bCs/>
          <w:lang w:val="en-US"/>
        </w:rPr>
        <w:t xml:space="preserve">meant it would focus on this connection </w:t>
      </w:r>
      <w:r w:rsidR="00CC3449" w:rsidRPr="00813D19">
        <w:rPr>
          <w:bCs/>
          <w:lang w:val="en-US"/>
        </w:rPr>
        <w:t xml:space="preserve">when </w:t>
      </w:r>
      <w:r w:rsidR="00E50D4C" w:rsidRPr="00813D19">
        <w:rPr>
          <w:bCs/>
          <w:lang w:val="en-US"/>
        </w:rPr>
        <w:t xml:space="preserve">the Committee </w:t>
      </w:r>
      <w:r w:rsidR="00067C2A">
        <w:rPr>
          <w:bCs/>
          <w:lang w:val="en-US"/>
        </w:rPr>
        <w:t>went</w:t>
      </w:r>
      <w:r w:rsidR="00E50D4C" w:rsidRPr="00813D19">
        <w:rPr>
          <w:bCs/>
          <w:lang w:val="en-US"/>
        </w:rPr>
        <w:t xml:space="preserve"> to </w:t>
      </w:r>
      <w:r w:rsidR="00302EDB" w:rsidRPr="00813D19">
        <w:rPr>
          <w:bCs/>
          <w:lang w:val="en-US"/>
        </w:rPr>
        <w:t>Bogotá</w:t>
      </w:r>
      <w:r w:rsidR="00CC3449" w:rsidRPr="00813D19">
        <w:rPr>
          <w:bCs/>
          <w:lang w:val="en-US"/>
        </w:rPr>
        <w:t xml:space="preserve">. </w:t>
      </w:r>
      <w:r w:rsidR="00E50D4C" w:rsidRPr="00813D19">
        <w:rPr>
          <w:bCs/>
          <w:lang w:val="en-US"/>
        </w:rPr>
        <w:t xml:space="preserve">The delegation thanked everyone for their </w:t>
      </w:r>
      <w:r w:rsidR="00CC3449" w:rsidRPr="00813D19">
        <w:rPr>
          <w:bCs/>
          <w:lang w:val="en-US"/>
        </w:rPr>
        <w:t>support</w:t>
      </w:r>
      <w:r w:rsidR="00E50D4C" w:rsidRPr="00813D19">
        <w:rPr>
          <w:bCs/>
          <w:lang w:val="en-US"/>
        </w:rPr>
        <w:t xml:space="preserve">, adding that there were a lot of tutorials </w:t>
      </w:r>
      <w:r w:rsidR="00681CFA" w:rsidRPr="00813D19">
        <w:rPr>
          <w:bCs/>
          <w:lang w:val="en-US"/>
        </w:rPr>
        <w:t xml:space="preserve">on YouTube </w:t>
      </w:r>
      <w:r w:rsidR="00E50D4C" w:rsidRPr="00813D19">
        <w:rPr>
          <w:bCs/>
          <w:lang w:val="en-US"/>
        </w:rPr>
        <w:t xml:space="preserve">on salsa and other </w:t>
      </w:r>
      <w:r w:rsidR="00813D19" w:rsidRPr="00813D19">
        <w:rPr>
          <w:bCs/>
          <w:lang w:val="en-US"/>
        </w:rPr>
        <w:t>dances</w:t>
      </w:r>
      <w:r w:rsidR="00E50D4C" w:rsidRPr="00813D19">
        <w:rPr>
          <w:bCs/>
          <w:lang w:val="en-US"/>
        </w:rPr>
        <w:t xml:space="preserve"> from the Pacific region to start practis</w:t>
      </w:r>
      <w:r w:rsidR="0047370D">
        <w:rPr>
          <w:bCs/>
          <w:lang w:val="en-US"/>
        </w:rPr>
        <w:t>ing.</w:t>
      </w:r>
    </w:p>
    <w:p w14:paraId="7BCEAF7A" w14:textId="1C1F1AA7" w:rsidR="00565D68" w:rsidRPr="0047370D" w:rsidRDefault="00565D68" w:rsidP="00565D68">
      <w:pPr>
        <w:pStyle w:val="Orateurengris"/>
        <w:spacing w:before="12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delegation of Palestine</w:t>
      </w:r>
      <w:r w:rsidR="00657B83" w:rsidRPr="00813D19">
        <w:rPr>
          <w:b/>
          <w:color w:val="000000" w:themeColor="text1"/>
          <w:lang w:val="en-US"/>
        </w:rPr>
        <w:t xml:space="preserve"> </w:t>
      </w:r>
      <w:r w:rsidR="005B28FD" w:rsidRPr="00813D19">
        <w:rPr>
          <w:color w:val="000000" w:themeColor="text1"/>
          <w:lang w:val="en-US"/>
        </w:rPr>
        <w:t>thanked everyone once again for their contributions</w:t>
      </w:r>
      <w:r w:rsidR="00657B83" w:rsidRPr="00813D19">
        <w:rPr>
          <w:lang w:val="en-US"/>
        </w:rPr>
        <w:t xml:space="preserve">, </w:t>
      </w:r>
      <w:r w:rsidR="005B28FD" w:rsidRPr="00813D19">
        <w:rPr>
          <w:lang w:val="en-US"/>
        </w:rPr>
        <w:t>with a special  thanks to the Rapporteur, Ms Gabriele Detschmann</w:t>
      </w:r>
      <w:r w:rsidR="00681CFA" w:rsidRPr="00813D19">
        <w:rPr>
          <w:lang w:val="en-US"/>
        </w:rPr>
        <w:t>,</w:t>
      </w:r>
      <w:r w:rsidR="005B28FD" w:rsidRPr="00813D19">
        <w:rPr>
          <w:lang w:val="en-US"/>
        </w:rPr>
        <w:t xml:space="preserve"> </w:t>
      </w:r>
      <w:r w:rsidR="0047370D">
        <w:rPr>
          <w:lang w:val="en-US"/>
        </w:rPr>
        <w:t>for her work behind the scenes.</w:t>
      </w:r>
    </w:p>
    <w:p w14:paraId="669C1EA1" w14:textId="6392AE8F" w:rsidR="00565D68" w:rsidRPr="0047370D" w:rsidRDefault="00AA02DD" w:rsidP="00CE5F74">
      <w:pPr>
        <w:pStyle w:val="Orateurengris"/>
        <w:spacing w:after="0"/>
        <w:ind w:left="709" w:hanging="709"/>
        <w:rPr>
          <w:bCs/>
          <w:color w:val="000000" w:themeColor="text1"/>
          <w:lang w:val="en-US"/>
        </w:rPr>
      </w:pPr>
      <w:r w:rsidRPr="00813D19">
        <w:rPr>
          <w:color w:val="000000" w:themeColor="text1"/>
          <w:lang w:val="en-US"/>
        </w:rPr>
        <w:t>The</w:t>
      </w:r>
      <w:r w:rsidRPr="00813D19">
        <w:rPr>
          <w:b/>
          <w:color w:val="000000" w:themeColor="text1"/>
          <w:lang w:val="en-US"/>
        </w:rPr>
        <w:t xml:space="preserve"> Chairperson </w:t>
      </w:r>
      <w:r w:rsidR="005B28FD" w:rsidRPr="00813D19">
        <w:rPr>
          <w:lang w:val="en-US"/>
        </w:rPr>
        <w:t xml:space="preserve">concluded by </w:t>
      </w:r>
      <w:r w:rsidR="00657B83" w:rsidRPr="00813D19">
        <w:rPr>
          <w:lang w:val="en-US"/>
        </w:rPr>
        <w:t>wish</w:t>
      </w:r>
      <w:r w:rsidR="005B28FD" w:rsidRPr="00813D19">
        <w:rPr>
          <w:lang w:val="en-US"/>
        </w:rPr>
        <w:t>ing</w:t>
      </w:r>
      <w:r w:rsidR="00657B83" w:rsidRPr="00813D19">
        <w:rPr>
          <w:lang w:val="en-US"/>
        </w:rPr>
        <w:t xml:space="preserve"> </w:t>
      </w:r>
      <w:r w:rsidR="005B28FD" w:rsidRPr="00813D19">
        <w:rPr>
          <w:lang w:val="en-US"/>
        </w:rPr>
        <w:t>every</w:t>
      </w:r>
      <w:r w:rsidR="00657B83" w:rsidRPr="00813D19">
        <w:rPr>
          <w:lang w:val="en-US"/>
        </w:rPr>
        <w:t xml:space="preserve">one a happy stay </w:t>
      </w:r>
      <w:r w:rsidR="00681CFA" w:rsidRPr="00813D19">
        <w:rPr>
          <w:lang w:val="en-US"/>
        </w:rPr>
        <w:t>and</w:t>
      </w:r>
      <w:r w:rsidR="009123B0" w:rsidRPr="00813D19">
        <w:rPr>
          <w:lang w:val="en-US"/>
        </w:rPr>
        <w:t xml:space="preserve"> </w:t>
      </w:r>
      <w:r w:rsidR="00657B83" w:rsidRPr="00813D19">
        <w:rPr>
          <w:lang w:val="en-US"/>
        </w:rPr>
        <w:t xml:space="preserve">a safe journey home. </w:t>
      </w:r>
      <w:r w:rsidR="005B28FD" w:rsidRPr="00813D19">
        <w:rPr>
          <w:lang w:val="en-US"/>
        </w:rPr>
        <w:t xml:space="preserve">A </w:t>
      </w:r>
      <w:r w:rsidR="00657B83" w:rsidRPr="00813D19">
        <w:rPr>
          <w:lang w:val="en-US"/>
        </w:rPr>
        <w:t xml:space="preserve">short clip </w:t>
      </w:r>
      <w:r w:rsidR="009123B0" w:rsidRPr="00813D19">
        <w:rPr>
          <w:lang w:val="en-US"/>
        </w:rPr>
        <w:t>prepared by</w:t>
      </w:r>
      <w:r w:rsidR="005B28FD" w:rsidRPr="00813D19">
        <w:rPr>
          <w:lang w:val="en-US"/>
        </w:rPr>
        <w:t xml:space="preserve"> the Secretariat of the </w:t>
      </w:r>
      <w:r w:rsidR="00657B83" w:rsidRPr="00813D19">
        <w:rPr>
          <w:lang w:val="en-US"/>
        </w:rPr>
        <w:t xml:space="preserve">memorable moments shared during </w:t>
      </w:r>
      <w:r w:rsidR="005B28FD" w:rsidRPr="00813D19">
        <w:rPr>
          <w:lang w:val="en-US"/>
        </w:rPr>
        <w:t>the session was projected onto the screen</w:t>
      </w:r>
      <w:r w:rsidR="00657B83" w:rsidRPr="00813D19">
        <w:rPr>
          <w:lang w:val="en-US"/>
        </w:rPr>
        <w:t xml:space="preserve">. </w:t>
      </w:r>
      <w:r w:rsidR="005B28FD" w:rsidRPr="00813D19">
        <w:rPr>
          <w:lang w:val="en-US"/>
        </w:rPr>
        <w:t xml:space="preserve">The Chairperson </w:t>
      </w:r>
      <w:r w:rsidR="00681CFA" w:rsidRPr="00813D19">
        <w:rPr>
          <w:lang w:val="en-US"/>
        </w:rPr>
        <w:t xml:space="preserve">declared </w:t>
      </w:r>
      <w:r w:rsidR="00657B83" w:rsidRPr="00813D19">
        <w:rPr>
          <w:lang w:val="en-US"/>
        </w:rPr>
        <w:t xml:space="preserve">the thirteenth session of the </w:t>
      </w:r>
      <w:r w:rsidR="00681CFA" w:rsidRPr="00813D19">
        <w:rPr>
          <w:lang w:val="en-US"/>
        </w:rPr>
        <w:t>Committee closed</w:t>
      </w:r>
      <w:r w:rsidR="005B28FD" w:rsidRPr="00813D19">
        <w:rPr>
          <w:lang w:val="en-US"/>
        </w:rPr>
        <w:t>.</w:t>
      </w:r>
    </w:p>
    <w:p w14:paraId="67B3349D" w14:textId="25D6B556" w:rsidR="00AB3C7A" w:rsidRPr="00813D19" w:rsidRDefault="00782A9B" w:rsidP="0047370D">
      <w:pPr>
        <w:pStyle w:val="Orateurengris"/>
        <w:numPr>
          <w:ilvl w:val="0"/>
          <w:numId w:val="0"/>
        </w:numPr>
        <w:spacing w:before="240" w:after="240"/>
        <w:jc w:val="center"/>
        <w:rPr>
          <w:i/>
          <w:lang w:val="en-US"/>
        </w:rPr>
      </w:pPr>
      <w:r>
        <w:rPr>
          <w:i/>
          <w:lang w:val="en-US"/>
        </w:rPr>
        <w:t>[Closing</w:t>
      </w:r>
      <w:r w:rsidR="000707C3" w:rsidRPr="00813D19">
        <w:rPr>
          <w:i/>
          <w:lang w:val="en-US"/>
        </w:rPr>
        <w:t xml:space="preserve"> of the </w:t>
      </w:r>
      <w:r w:rsidR="00CE5F74" w:rsidRPr="00813D19">
        <w:rPr>
          <w:i/>
          <w:lang w:val="en-US"/>
        </w:rPr>
        <w:t>thirteenth</w:t>
      </w:r>
      <w:r w:rsidR="000707C3" w:rsidRPr="00813D19">
        <w:rPr>
          <w:i/>
          <w:lang w:val="en-US"/>
        </w:rPr>
        <w:t xml:space="preserve"> session of the </w:t>
      </w:r>
      <w:r w:rsidR="00681CFA" w:rsidRPr="00813D19">
        <w:rPr>
          <w:i/>
          <w:lang w:val="en-US"/>
        </w:rPr>
        <w:t xml:space="preserve">Intergovernmental Committee </w:t>
      </w:r>
      <w:r w:rsidR="0047370D">
        <w:rPr>
          <w:i/>
          <w:lang w:val="en-US"/>
        </w:rPr>
        <w:br/>
      </w:r>
      <w:r w:rsidR="00681CFA" w:rsidRPr="00813D19">
        <w:rPr>
          <w:i/>
          <w:lang w:val="en-US"/>
        </w:rPr>
        <w:t>for the Safeguarding of the Intangible Cultural Heritage</w:t>
      </w:r>
      <w:r w:rsidR="00477CE6" w:rsidRPr="00813D19">
        <w:rPr>
          <w:i/>
          <w:lang w:val="en-US"/>
        </w:rPr>
        <w:t>]</w:t>
      </w:r>
    </w:p>
    <w:sectPr w:rsidR="00AB3C7A" w:rsidRPr="00813D19" w:rsidSect="00C86DE0">
      <w:headerReference w:type="even" r:id="rId182"/>
      <w:headerReference w:type="default" r:id="rId183"/>
      <w:headerReference w:type="first" r:id="rId184"/>
      <w:pgSz w:w="11900" w:h="16840"/>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3FF32D" w16cid:durableId="2056F47F"/>
  <w16cid:commentId w16cid:paraId="63D8D7EB" w16cid:durableId="2056F5A5"/>
  <w16cid:commentId w16cid:paraId="6400A784" w16cid:durableId="205722C6"/>
  <w16cid:commentId w16cid:paraId="00D23F4A" w16cid:durableId="20742D17"/>
  <w16cid:commentId w16cid:paraId="64E390CC" w16cid:durableId="20742E7D"/>
  <w16cid:commentId w16cid:paraId="5167AF67" w16cid:durableId="20742EF4"/>
  <w16cid:commentId w16cid:paraId="63C0D83C" w16cid:durableId="207431CC"/>
  <w16cid:commentId w16cid:paraId="3B9803E4" w16cid:durableId="207432DC"/>
  <w16cid:commentId w16cid:paraId="06C84916" w16cid:durableId="20743751"/>
  <w16cid:commentId w16cid:paraId="66868D77" w16cid:durableId="207437DD"/>
  <w16cid:commentId w16cid:paraId="0A0BFCA1" w16cid:durableId="20743A3D"/>
  <w16cid:commentId w16cid:paraId="439ED49E" w16cid:durableId="20743E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4DB75" w14:textId="77777777" w:rsidR="00987BC1" w:rsidRDefault="00987BC1" w:rsidP="00DF4B40">
      <w:r>
        <w:separator/>
      </w:r>
    </w:p>
  </w:endnote>
  <w:endnote w:type="continuationSeparator" w:id="0">
    <w:p w14:paraId="354BD608" w14:textId="77777777" w:rsidR="00987BC1" w:rsidRDefault="00987BC1" w:rsidP="00DF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Helvetica Neue">
    <w:charset w:val="00"/>
    <w:family w:val="swiss"/>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726F" w14:textId="77777777" w:rsidR="00987BC1" w:rsidRDefault="00987BC1" w:rsidP="00DF4B40">
      <w:r>
        <w:separator/>
      </w:r>
    </w:p>
  </w:footnote>
  <w:footnote w:type="continuationSeparator" w:id="0">
    <w:p w14:paraId="09562012" w14:textId="77777777" w:rsidR="00987BC1" w:rsidRDefault="00987BC1" w:rsidP="00DF4B40">
      <w:r>
        <w:continuationSeparator/>
      </w:r>
    </w:p>
  </w:footnote>
  <w:footnote w:id="1">
    <w:p w14:paraId="12738880" w14:textId="673ED0DB" w:rsidR="00987BC1" w:rsidRPr="00A418BC" w:rsidRDefault="00987BC1" w:rsidP="003221D5">
      <w:pPr>
        <w:pStyle w:val="FootnoteText"/>
        <w:jc w:val="both"/>
        <w:rPr>
          <w:rFonts w:ascii="Arial" w:hAnsi="Arial" w:cs="Arial"/>
          <w:sz w:val="18"/>
          <w:szCs w:val="18"/>
          <w:lang w:val="da-DK"/>
        </w:rPr>
      </w:pPr>
      <w:r w:rsidRPr="001928D5">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lang w:val="da-DK"/>
        </w:rPr>
        <w:t xml:space="preserve">The 2018 copy of the Basic Texts is available </w:t>
      </w:r>
      <w:hyperlink r:id="rId1" w:history="1">
        <w:r w:rsidRPr="00A418BC">
          <w:rPr>
            <w:rStyle w:val="Hyperlink"/>
            <w:rFonts w:ascii="Arial" w:hAnsi="Arial" w:cs="Arial"/>
            <w:sz w:val="18"/>
            <w:szCs w:val="18"/>
            <w:lang w:val="da-DK"/>
          </w:rPr>
          <w:t>here</w:t>
        </w:r>
      </w:hyperlink>
      <w:r>
        <w:rPr>
          <w:rFonts w:ascii="Arial" w:hAnsi="Arial" w:cs="Arial"/>
          <w:sz w:val="18"/>
          <w:szCs w:val="18"/>
          <w:lang w:val="da-DK"/>
        </w:rPr>
        <w:t>.</w:t>
      </w:r>
    </w:p>
  </w:footnote>
  <w:footnote w:id="2">
    <w:p w14:paraId="16416DEC" w14:textId="2C07C649" w:rsidR="00987BC1" w:rsidRPr="006236A5" w:rsidRDefault="00987BC1" w:rsidP="003221D5">
      <w:pPr>
        <w:pStyle w:val="FootnoteText"/>
        <w:jc w:val="both"/>
        <w:rPr>
          <w:rFonts w:ascii="Arial" w:hAnsi="Arial" w:cs="Arial"/>
          <w:sz w:val="18"/>
          <w:szCs w:val="18"/>
          <w:lang w:val="da-DK"/>
        </w:rPr>
      </w:pPr>
      <w:r w:rsidRPr="001928D5">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rPr>
        <w:t xml:space="preserve">See list of participants </w:t>
      </w:r>
      <w:hyperlink r:id="rId2" w:history="1">
        <w:r w:rsidRPr="00A418BC">
          <w:rPr>
            <w:rStyle w:val="Hyperlink"/>
            <w:rFonts w:ascii="Arial" w:hAnsi="Arial" w:cs="Arial"/>
            <w:sz w:val="18"/>
            <w:szCs w:val="18"/>
          </w:rPr>
          <w:t>here</w:t>
        </w:r>
      </w:hyperlink>
      <w:r w:rsidRPr="00A418BC">
        <w:rPr>
          <w:rFonts w:ascii="Arial" w:hAnsi="Arial" w:cs="Arial"/>
          <w:sz w:val="18"/>
          <w:szCs w:val="18"/>
        </w:rPr>
        <w:t>.</w:t>
      </w:r>
    </w:p>
  </w:footnote>
  <w:footnote w:id="3">
    <w:p w14:paraId="36CD1712" w14:textId="77BE536F" w:rsidR="00987BC1" w:rsidRPr="00A418BC" w:rsidRDefault="00987BC1" w:rsidP="003221D5">
      <w:pPr>
        <w:pStyle w:val="FootnoteText"/>
        <w:jc w:val="both"/>
        <w:rPr>
          <w:rFonts w:ascii="Arial" w:hAnsi="Arial" w:cs="Arial"/>
          <w:sz w:val="18"/>
          <w:szCs w:val="18"/>
          <w:lang w:val="da-DK"/>
        </w:rPr>
      </w:pPr>
      <w:r w:rsidRPr="001928D5">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rPr>
        <w:t xml:space="preserve">The calendar of </w:t>
      </w:r>
      <w:r w:rsidRPr="00A418BC">
        <w:rPr>
          <w:rFonts w:ascii="Arial" w:hAnsi="Arial" w:cs="Arial"/>
          <w:sz w:val="18"/>
          <w:szCs w:val="18"/>
          <w:lang w:val="da-DK"/>
        </w:rPr>
        <w:t xml:space="preserve">side events can be consulted </w:t>
      </w:r>
      <w:hyperlink r:id="rId3" w:history="1">
        <w:r w:rsidRPr="00A418BC">
          <w:rPr>
            <w:rStyle w:val="Hyperlink"/>
            <w:rFonts w:ascii="Arial" w:hAnsi="Arial" w:cs="Arial"/>
            <w:sz w:val="18"/>
            <w:szCs w:val="18"/>
            <w:lang w:val="da-DK"/>
          </w:rPr>
          <w:t>here</w:t>
        </w:r>
      </w:hyperlink>
      <w:r w:rsidRPr="00A418BC">
        <w:rPr>
          <w:rFonts w:ascii="Arial" w:hAnsi="Arial" w:cs="Arial"/>
          <w:sz w:val="18"/>
          <w:szCs w:val="18"/>
          <w:lang w:val="da-DK"/>
        </w:rPr>
        <w:t>.</w:t>
      </w:r>
    </w:p>
  </w:footnote>
  <w:footnote w:id="4">
    <w:p w14:paraId="15D780D1" w14:textId="5CCF87E7" w:rsidR="00987BC1" w:rsidRPr="00A418BC" w:rsidRDefault="00987BC1" w:rsidP="00B67A60">
      <w:pPr>
        <w:pStyle w:val="FootnoteText"/>
        <w:rPr>
          <w:rFonts w:ascii="Arial" w:hAnsi="Arial" w:cs="Arial"/>
          <w:sz w:val="18"/>
          <w:szCs w:val="18"/>
          <w:lang w:val="da-DK"/>
        </w:rPr>
      </w:pPr>
      <w:r w:rsidRPr="00B67A60">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rPr>
        <w:t xml:space="preserve">Read </w:t>
      </w:r>
      <w:r w:rsidRPr="00A418BC">
        <w:rPr>
          <w:rFonts w:ascii="Arial" w:hAnsi="Arial" w:cs="Arial"/>
          <w:sz w:val="18"/>
          <w:szCs w:val="18"/>
          <w:lang w:val="da-DK"/>
        </w:rPr>
        <w:t xml:space="preserve">more on the Habitat III conference </w:t>
      </w:r>
      <w:hyperlink r:id="rId4" w:history="1">
        <w:r w:rsidRPr="00A418BC">
          <w:rPr>
            <w:rStyle w:val="Hyperlink"/>
            <w:rFonts w:ascii="Arial" w:hAnsi="Arial" w:cs="Arial"/>
            <w:sz w:val="18"/>
            <w:szCs w:val="18"/>
            <w:lang w:val="da-DK"/>
          </w:rPr>
          <w:t>here</w:t>
        </w:r>
      </w:hyperlink>
      <w:r w:rsidRPr="00A418BC">
        <w:rPr>
          <w:rFonts w:ascii="Arial" w:hAnsi="Arial" w:cs="Arial"/>
          <w:sz w:val="18"/>
          <w:szCs w:val="18"/>
          <w:lang w:val="da-DK"/>
        </w:rPr>
        <w:t>.</w:t>
      </w:r>
    </w:p>
  </w:footnote>
  <w:footnote w:id="5">
    <w:p w14:paraId="058BCC28" w14:textId="4FF59C0D" w:rsidR="00987BC1" w:rsidRPr="00A418BC" w:rsidRDefault="00987BC1" w:rsidP="00B67A60">
      <w:pPr>
        <w:pStyle w:val="FootnoteText"/>
        <w:rPr>
          <w:rFonts w:ascii="Arial" w:hAnsi="Arial" w:cs="Arial"/>
          <w:sz w:val="18"/>
          <w:szCs w:val="18"/>
          <w:lang w:val="da-DK"/>
        </w:rPr>
      </w:pPr>
      <w:r w:rsidRPr="00B67A60">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lang w:val="da-DK"/>
        </w:rPr>
        <w:t xml:space="preserve">Read more about the project </w:t>
      </w:r>
      <w:hyperlink r:id="rId5" w:history="1">
        <w:r w:rsidRPr="00A418BC">
          <w:rPr>
            <w:rStyle w:val="Hyperlink"/>
            <w:rFonts w:ascii="Arial" w:hAnsi="Arial" w:cs="Arial"/>
            <w:sz w:val="18"/>
            <w:szCs w:val="18"/>
            <w:lang w:val="da-DK"/>
          </w:rPr>
          <w:t>here</w:t>
        </w:r>
      </w:hyperlink>
      <w:r>
        <w:rPr>
          <w:rFonts w:ascii="Arial" w:hAnsi="Arial" w:cs="Arial"/>
          <w:sz w:val="18"/>
          <w:szCs w:val="18"/>
          <w:lang w:val="da-DK"/>
        </w:rPr>
        <w:t xml:space="preserve">, and access the Dive into Intangible Cultural Heritage Constellation </w:t>
      </w:r>
      <w:hyperlink r:id="rId6" w:history="1">
        <w:r w:rsidRPr="00D57DD5">
          <w:rPr>
            <w:rStyle w:val="Hyperlink"/>
            <w:rFonts w:ascii="Arial" w:hAnsi="Arial" w:cs="Arial"/>
            <w:sz w:val="18"/>
            <w:szCs w:val="18"/>
            <w:lang w:val="da-DK"/>
          </w:rPr>
          <w:t>here</w:t>
        </w:r>
      </w:hyperlink>
      <w:r>
        <w:rPr>
          <w:rFonts w:ascii="Arial" w:hAnsi="Arial" w:cs="Arial"/>
          <w:sz w:val="18"/>
          <w:szCs w:val="18"/>
          <w:lang w:val="da-DK"/>
        </w:rPr>
        <w:t>.</w:t>
      </w:r>
    </w:p>
  </w:footnote>
  <w:footnote w:id="6">
    <w:p w14:paraId="3D9A0A14" w14:textId="203F5F63" w:rsidR="00987BC1" w:rsidRPr="00A418BC" w:rsidRDefault="00987BC1" w:rsidP="003221D5">
      <w:pPr>
        <w:pStyle w:val="FootnoteText"/>
        <w:ind w:left="709" w:hanging="709"/>
        <w:jc w:val="both"/>
        <w:rPr>
          <w:rFonts w:ascii="Arial" w:hAnsi="Arial" w:cs="Arial"/>
          <w:sz w:val="18"/>
          <w:szCs w:val="18"/>
          <w:lang w:val="da-DK"/>
        </w:rPr>
      </w:pPr>
      <w:r w:rsidRPr="00B67A60">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lang w:val="da-DK"/>
        </w:rPr>
        <w:t>The Panmunjom Declaration for Peace, Prosperity and Unification of the Korean Penin</w:t>
      </w:r>
      <w:r>
        <w:rPr>
          <w:rFonts w:ascii="Arial" w:hAnsi="Arial" w:cs="Arial"/>
          <w:sz w:val="18"/>
          <w:szCs w:val="18"/>
          <w:lang w:val="da-DK"/>
        </w:rPr>
        <w:t>sula was signed 27</w:t>
      </w:r>
      <w:r>
        <w:rPr>
          <w:rFonts w:ascii="Arial" w:hAnsi="Arial" w:cs="Arial"/>
          <w:sz w:val="18"/>
          <w:szCs w:val="18"/>
          <w:lang w:val="en-US"/>
        </w:rPr>
        <w:t> </w:t>
      </w:r>
      <w:r>
        <w:rPr>
          <w:rFonts w:ascii="Arial" w:hAnsi="Arial" w:cs="Arial"/>
          <w:sz w:val="18"/>
          <w:szCs w:val="18"/>
          <w:lang w:val="da-DK"/>
        </w:rPr>
        <w:t>April</w:t>
      </w:r>
      <w:r>
        <w:rPr>
          <w:rFonts w:ascii="Arial" w:hAnsi="Arial" w:cs="Arial"/>
          <w:sz w:val="18"/>
          <w:szCs w:val="18"/>
          <w:lang w:val="en-US"/>
        </w:rPr>
        <w:t> </w:t>
      </w:r>
      <w:r>
        <w:rPr>
          <w:rFonts w:ascii="Arial" w:hAnsi="Arial" w:cs="Arial"/>
          <w:sz w:val="18"/>
          <w:szCs w:val="18"/>
          <w:lang w:val="da-DK"/>
        </w:rPr>
        <w:t>2018.</w:t>
      </w:r>
    </w:p>
  </w:footnote>
  <w:footnote w:id="7">
    <w:p w14:paraId="119ED1C6" w14:textId="0534B79F" w:rsidR="00987BC1" w:rsidRPr="00B67A60" w:rsidRDefault="00987BC1" w:rsidP="003221D5">
      <w:pPr>
        <w:pStyle w:val="FootnoteText"/>
        <w:jc w:val="both"/>
        <w:rPr>
          <w:rFonts w:ascii="Arial" w:hAnsi="Arial" w:cs="Arial"/>
          <w:sz w:val="18"/>
          <w:szCs w:val="18"/>
          <w:lang w:val="da-DK"/>
        </w:rPr>
      </w:pPr>
      <w:r w:rsidRPr="00B67A60">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lang w:val="da-DK"/>
        </w:rPr>
        <w:t xml:space="preserve">The </w:t>
      </w:r>
      <w:r w:rsidRPr="00A418BC">
        <w:rPr>
          <w:rFonts w:ascii="Arial" w:hAnsi="Arial" w:cs="Arial"/>
          <w:bCs/>
          <w:sz w:val="18"/>
          <w:szCs w:val="18"/>
        </w:rPr>
        <w:t>Pyongyang Joint Declaration was signed 19 September 2018.</w:t>
      </w:r>
    </w:p>
  </w:footnote>
  <w:footnote w:id="8">
    <w:p w14:paraId="7C6DC569" w14:textId="5407F425" w:rsidR="00987BC1" w:rsidRPr="00A418BC" w:rsidRDefault="00987BC1" w:rsidP="003221D5">
      <w:pPr>
        <w:pStyle w:val="FootnoteText"/>
        <w:ind w:left="709" w:hanging="709"/>
        <w:jc w:val="both"/>
        <w:rPr>
          <w:rFonts w:ascii="Arial" w:hAnsi="Arial" w:cs="Arial"/>
          <w:sz w:val="18"/>
          <w:szCs w:val="18"/>
          <w:lang w:val="da-DK"/>
        </w:rPr>
      </w:pPr>
      <w:r w:rsidRPr="0016273D">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t xml:space="preserve">ICHCAP: </w:t>
      </w:r>
      <w:r w:rsidRPr="00A418BC">
        <w:rPr>
          <w:rFonts w:ascii="Arial" w:hAnsi="Arial" w:cs="Arial"/>
          <w:sz w:val="18"/>
          <w:szCs w:val="18"/>
        </w:rPr>
        <w:t xml:space="preserve">International Information and Networking Centre for Intangible Cultural Heritage in the Asia-Pacific Region </w:t>
      </w:r>
      <w:r>
        <w:rPr>
          <w:rFonts w:ascii="Arial" w:hAnsi="Arial" w:cs="Arial"/>
          <w:sz w:val="18"/>
          <w:szCs w:val="18"/>
        </w:rPr>
        <w:t xml:space="preserve">works </w:t>
      </w:r>
      <w:r w:rsidRPr="00A418BC">
        <w:rPr>
          <w:rFonts w:ascii="Arial" w:hAnsi="Arial" w:cs="Arial"/>
          <w:sz w:val="18"/>
          <w:szCs w:val="18"/>
        </w:rPr>
        <w:t xml:space="preserve">under the auspices of UNESCO. For more information: </w:t>
      </w:r>
      <w:hyperlink r:id="rId7" w:history="1">
        <w:r w:rsidRPr="000B734B">
          <w:rPr>
            <w:rStyle w:val="Hyperlink"/>
            <w:rFonts w:ascii="Arial" w:hAnsi="Arial" w:cs="Arial"/>
            <w:sz w:val="18"/>
            <w:szCs w:val="18"/>
          </w:rPr>
          <w:t>http://www.ichcap.org/</w:t>
        </w:r>
      </w:hyperlink>
    </w:p>
  </w:footnote>
  <w:footnote w:id="9">
    <w:p w14:paraId="6DC34332" w14:textId="4B339CB9" w:rsidR="00987BC1" w:rsidRPr="0036419F" w:rsidRDefault="00987BC1" w:rsidP="0016273D">
      <w:pPr>
        <w:pStyle w:val="FootnoteText"/>
        <w:rPr>
          <w:rFonts w:ascii="Arial" w:hAnsi="Arial" w:cs="Arial"/>
          <w:sz w:val="18"/>
          <w:szCs w:val="18"/>
          <w:lang w:val="da-DK"/>
        </w:rPr>
      </w:pPr>
      <w:r w:rsidRPr="0016273D">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t xml:space="preserve">On </w:t>
      </w:r>
      <w:r>
        <w:rPr>
          <w:rFonts w:ascii="Arial" w:hAnsi="Arial" w:cs="Arial"/>
          <w:bCs/>
          <w:sz w:val="18"/>
          <w:szCs w:val="18"/>
        </w:rPr>
        <w:t>i</w:t>
      </w:r>
      <w:r w:rsidRPr="00A418BC">
        <w:rPr>
          <w:rFonts w:ascii="Arial" w:hAnsi="Arial" w:cs="Arial"/>
          <w:bCs/>
          <w:sz w:val="18"/>
          <w:szCs w:val="18"/>
        </w:rPr>
        <w:t>ssues concerning the follow-up of inscribed elements on the Lists of the Convention</w:t>
      </w:r>
      <w:r w:rsidRPr="00A418BC">
        <w:rPr>
          <w:rFonts w:ascii="Arial" w:eastAsia="Times New Roman" w:hAnsi="Arial" w:cs="Arial"/>
          <w:sz w:val="18"/>
          <w:szCs w:val="18"/>
        </w:rPr>
        <w:t>.</w:t>
      </w:r>
    </w:p>
  </w:footnote>
  <w:footnote w:id="10">
    <w:p w14:paraId="7229FED7" w14:textId="70EA7749" w:rsidR="00987BC1" w:rsidRPr="0036419F" w:rsidRDefault="00987BC1" w:rsidP="0016273D">
      <w:pPr>
        <w:pStyle w:val="FootnoteText"/>
        <w:rPr>
          <w:lang w:val="da-DK"/>
        </w:rPr>
      </w:pPr>
      <w:r w:rsidRPr="0016273D">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36419F">
        <w:rPr>
          <w:rFonts w:ascii="Arial" w:hAnsi="Arial" w:cs="Arial"/>
          <w:sz w:val="18"/>
          <w:szCs w:val="18"/>
          <w:lang w:val="da-DK"/>
        </w:rPr>
        <w:t xml:space="preserve">Read more on the </w:t>
      </w:r>
      <w:r>
        <w:rPr>
          <w:rFonts w:ascii="Arial" w:hAnsi="Arial" w:cs="Arial"/>
          <w:sz w:val="18"/>
          <w:szCs w:val="18"/>
          <w:lang w:val="da-DK"/>
        </w:rPr>
        <w:t xml:space="preserve">Man and the Biosphere (MAB) </w:t>
      </w:r>
      <w:r w:rsidRPr="0036419F">
        <w:rPr>
          <w:rFonts w:ascii="Arial" w:hAnsi="Arial" w:cs="Arial"/>
          <w:sz w:val="18"/>
          <w:szCs w:val="18"/>
          <w:lang w:val="da-DK"/>
        </w:rPr>
        <w:t xml:space="preserve">Exit Strategy </w:t>
      </w:r>
      <w:hyperlink r:id="rId8" w:history="1">
        <w:r w:rsidRPr="0036419F">
          <w:rPr>
            <w:rStyle w:val="Hyperlink"/>
            <w:rFonts w:ascii="Arial" w:hAnsi="Arial" w:cs="Arial"/>
            <w:sz w:val="18"/>
            <w:szCs w:val="18"/>
            <w:lang w:val="da-DK"/>
          </w:rPr>
          <w:t>here</w:t>
        </w:r>
      </w:hyperlink>
      <w:r w:rsidRPr="0036419F">
        <w:rPr>
          <w:rFonts w:ascii="Arial" w:hAnsi="Arial" w:cs="Arial"/>
          <w:sz w:val="18"/>
          <w:szCs w:val="18"/>
          <w:lang w:val="da-DK"/>
        </w:rPr>
        <w:t>.</w:t>
      </w:r>
    </w:p>
  </w:footnote>
  <w:footnote w:id="11">
    <w:p w14:paraId="049A0244" w14:textId="5A42B1C0" w:rsidR="00987BC1" w:rsidRPr="0008716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sidRPr="00087166">
        <w:rPr>
          <w:rFonts w:ascii="Arial" w:hAnsi="Arial" w:cs="Arial"/>
          <w:sz w:val="18"/>
          <w:szCs w:val="18"/>
        </w:rPr>
        <w:t>.</w:t>
      </w:r>
      <w:r w:rsidRPr="00087166">
        <w:rPr>
          <w:rFonts w:ascii="Arial" w:hAnsi="Arial" w:cs="Arial"/>
          <w:sz w:val="18"/>
          <w:szCs w:val="18"/>
        </w:rPr>
        <w:tab/>
      </w:r>
      <w:r w:rsidRPr="00087166">
        <w:rPr>
          <w:rFonts w:ascii="Arial" w:hAnsi="Arial" w:cs="Arial"/>
          <w:sz w:val="18"/>
          <w:szCs w:val="18"/>
          <w:lang w:val="da-DK"/>
        </w:rPr>
        <w:t xml:space="preserve">Read more about Colombia’s project </w:t>
      </w:r>
      <w:hyperlink r:id="rId9" w:history="1">
        <w:r w:rsidRPr="00087166">
          <w:rPr>
            <w:rStyle w:val="Hyperlink"/>
            <w:rFonts w:ascii="Arial" w:hAnsi="Arial" w:cs="Arial"/>
            <w:sz w:val="18"/>
            <w:szCs w:val="18"/>
            <w:lang w:val="da-DK"/>
          </w:rPr>
          <w:t>here</w:t>
        </w:r>
      </w:hyperlink>
      <w:r w:rsidRPr="00087166">
        <w:rPr>
          <w:rFonts w:ascii="Arial" w:hAnsi="Arial" w:cs="Arial"/>
          <w:sz w:val="18"/>
          <w:szCs w:val="18"/>
          <w:lang w:val="da-DK"/>
        </w:rPr>
        <w:t>.</w:t>
      </w:r>
    </w:p>
  </w:footnote>
  <w:footnote w:id="12">
    <w:p w14:paraId="7D5C0DCF" w14:textId="61D86B6E" w:rsidR="00987BC1" w:rsidRPr="0008716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sidRPr="00087166">
        <w:rPr>
          <w:rFonts w:ascii="Arial" w:hAnsi="Arial" w:cs="Arial"/>
          <w:sz w:val="18"/>
          <w:szCs w:val="18"/>
        </w:rPr>
        <w:t>.</w:t>
      </w:r>
      <w:r w:rsidRPr="00087166">
        <w:rPr>
          <w:rFonts w:ascii="Arial" w:hAnsi="Arial" w:cs="Arial"/>
          <w:sz w:val="18"/>
          <w:szCs w:val="18"/>
        </w:rPr>
        <w:tab/>
      </w:r>
      <w:r w:rsidRPr="00087166">
        <w:rPr>
          <w:rFonts w:ascii="Arial" w:hAnsi="Arial" w:cs="Arial"/>
          <w:sz w:val="18"/>
          <w:szCs w:val="18"/>
          <w:lang w:val="da-DK"/>
        </w:rPr>
        <w:t xml:space="preserve">Read more about Botswana’s project </w:t>
      </w:r>
      <w:hyperlink r:id="rId10" w:history="1">
        <w:r w:rsidRPr="00087166">
          <w:rPr>
            <w:rStyle w:val="Hyperlink"/>
            <w:rFonts w:ascii="Arial" w:hAnsi="Arial" w:cs="Arial"/>
            <w:sz w:val="18"/>
            <w:szCs w:val="18"/>
            <w:lang w:val="da-DK"/>
          </w:rPr>
          <w:t>here</w:t>
        </w:r>
      </w:hyperlink>
      <w:r w:rsidRPr="00087166">
        <w:rPr>
          <w:rFonts w:ascii="Arial" w:hAnsi="Arial" w:cs="Arial"/>
          <w:sz w:val="18"/>
          <w:szCs w:val="18"/>
          <w:lang w:val="da-DK"/>
        </w:rPr>
        <w:t>.</w:t>
      </w:r>
    </w:p>
  </w:footnote>
  <w:footnote w:id="13">
    <w:p w14:paraId="0F2A8C8B" w14:textId="1D028C67" w:rsidR="00987BC1" w:rsidRPr="0008716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sidRPr="00087166">
        <w:rPr>
          <w:rFonts w:ascii="Arial" w:hAnsi="Arial" w:cs="Arial"/>
          <w:sz w:val="18"/>
          <w:szCs w:val="18"/>
        </w:rPr>
        <w:t>.</w:t>
      </w:r>
      <w:r w:rsidRPr="00087166">
        <w:rPr>
          <w:rFonts w:ascii="Arial" w:hAnsi="Arial" w:cs="Arial"/>
          <w:sz w:val="18"/>
          <w:szCs w:val="18"/>
        </w:rPr>
        <w:tab/>
      </w:r>
      <w:r w:rsidRPr="00087166">
        <w:rPr>
          <w:rFonts w:ascii="Arial" w:hAnsi="Arial" w:cs="Arial"/>
          <w:sz w:val="18"/>
          <w:szCs w:val="18"/>
          <w:lang w:val="da-DK"/>
        </w:rPr>
        <w:t xml:space="preserve">Read more about El Salvador’s project </w:t>
      </w:r>
      <w:hyperlink r:id="rId11" w:history="1">
        <w:r w:rsidRPr="00087166">
          <w:rPr>
            <w:rStyle w:val="Hyperlink"/>
            <w:rFonts w:ascii="Arial" w:hAnsi="Arial" w:cs="Arial"/>
            <w:sz w:val="18"/>
            <w:szCs w:val="18"/>
            <w:lang w:val="da-DK"/>
          </w:rPr>
          <w:t>here</w:t>
        </w:r>
      </w:hyperlink>
      <w:r w:rsidRPr="00087166">
        <w:rPr>
          <w:rFonts w:ascii="Arial" w:hAnsi="Arial" w:cs="Arial"/>
          <w:sz w:val="18"/>
          <w:szCs w:val="18"/>
          <w:lang w:val="da-DK"/>
        </w:rPr>
        <w:t>.</w:t>
      </w:r>
    </w:p>
  </w:footnote>
  <w:footnote w:id="14">
    <w:p w14:paraId="301E8B82" w14:textId="59BD329E" w:rsidR="00987BC1" w:rsidRPr="0008716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sidRPr="00087166">
        <w:rPr>
          <w:rFonts w:ascii="Arial" w:hAnsi="Arial" w:cs="Arial"/>
          <w:sz w:val="18"/>
          <w:szCs w:val="18"/>
        </w:rPr>
        <w:t>.</w:t>
      </w:r>
      <w:r w:rsidRPr="00087166">
        <w:rPr>
          <w:rFonts w:ascii="Arial" w:hAnsi="Arial" w:cs="Arial"/>
          <w:sz w:val="18"/>
          <w:szCs w:val="18"/>
        </w:rPr>
        <w:tab/>
      </w:r>
      <w:r w:rsidRPr="00087166">
        <w:rPr>
          <w:rFonts w:ascii="Arial" w:hAnsi="Arial" w:cs="Arial"/>
          <w:sz w:val="18"/>
          <w:szCs w:val="18"/>
          <w:lang w:val="da-DK"/>
        </w:rPr>
        <w:t xml:space="preserve">Read more about Kenya’s project </w:t>
      </w:r>
      <w:hyperlink r:id="rId12" w:history="1">
        <w:r w:rsidRPr="00087166">
          <w:rPr>
            <w:rStyle w:val="Hyperlink"/>
            <w:rFonts w:ascii="Arial" w:hAnsi="Arial" w:cs="Arial"/>
            <w:sz w:val="18"/>
            <w:szCs w:val="18"/>
            <w:lang w:val="da-DK"/>
          </w:rPr>
          <w:t>here</w:t>
        </w:r>
      </w:hyperlink>
      <w:r w:rsidRPr="00087166">
        <w:rPr>
          <w:rFonts w:ascii="Arial" w:hAnsi="Arial" w:cs="Arial"/>
          <w:sz w:val="18"/>
          <w:szCs w:val="18"/>
          <w:lang w:val="da-DK"/>
        </w:rPr>
        <w:t>.</w:t>
      </w:r>
    </w:p>
  </w:footnote>
  <w:footnote w:id="15">
    <w:p w14:paraId="08A3EC2E" w14:textId="26B76168" w:rsidR="00987BC1" w:rsidRPr="0008716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sidRPr="00087166">
        <w:rPr>
          <w:rFonts w:ascii="Arial" w:hAnsi="Arial" w:cs="Arial"/>
          <w:sz w:val="18"/>
          <w:szCs w:val="18"/>
        </w:rPr>
        <w:t>.</w:t>
      </w:r>
      <w:r w:rsidRPr="00087166">
        <w:rPr>
          <w:rFonts w:ascii="Arial" w:hAnsi="Arial" w:cs="Arial"/>
          <w:sz w:val="18"/>
          <w:szCs w:val="18"/>
        </w:rPr>
        <w:tab/>
      </w:r>
      <w:r w:rsidRPr="00087166">
        <w:rPr>
          <w:rFonts w:ascii="Arial" w:hAnsi="Arial" w:cs="Arial"/>
          <w:sz w:val="18"/>
          <w:szCs w:val="18"/>
          <w:lang w:val="da-DK"/>
        </w:rPr>
        <w:t xml:space="preserve">Read more about Lesotho’s project </w:t>
      </w:r>
      <w:hyperlink r:id="rId13" w:history="1">
        <w:r w:rsidRPr="00087166">
          <w:rPr>
            <w:rStyle w:val="Hyperlink"/>
            <w:rFonts w:ascii="Arial" w:hAnsi="Arial" w:cs="Arial"/>
            <w:sz w:val="18"/>
            <w:szCs w:val="18"/>
            <w:lang w:val="da-DK"/>
          </w:rPr>
          <w:t>here</w:t>
        </w:r>
      </w:hyperlink>
      <w:r w:rsidRPr="00087166">
        <w:rPr>
          <w:rFonts w:ascii="Arial" w:hAnsi="Arial" w:cs="Arial"/>
          <w:sz w:val="18"/>
          <w:szCs w:val="18"/>
          <w:lang w:val="da-DK"/>
        </w:rPr>
        <w:t>.</w:t>
      </w:r>
    </w:p>
  </w:footnote>
  <w:footnote w:id="16">
    <w:p w14:paraId="5F7F063C" w14:textId="1A343B15" w:rsidR="00987BC1" w:rsidRPr="0008716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sidRPr="00087166">
        <w:rPr>
          <w:rFonts w:ascii="Arial" w:hAnsi="Arial" w:cs="Arial"/>
          <w:sz w:val="18"/>
          <w:szCs w:val="18"/>
        </w:rPr>
        <w:t>.</w:t>
      </w:r>
      <w:r w:rsidRPr="00087166">
        <w:rPr>
          <w:rFonts w:ascii="Arial" w:hAnsi="Arial" w:cs="Arial"/>
          <w:sz w:val="18"/>
          <w:szCs w:val="18"/>
        </w:rPr>
        <w:tab/>
      </w:r>
      <w:r w:rsidRPr="00087166">
        <w:rPr>
          <w:rFonts w:ascii="Arial" w:hAnsi="Arial" w:cs="Arial"/>
          <w:sz w:val="18"/>
          <w:szCs w:val="18"/>
          <w:lang w:val="da-DK"/>
        </w:rPr>
        <w:t xml:space="preserve">Read more about Malawi’s project </w:t>
      </w:r>
      <w:hyperlink r:id="rId14" w:history="1">
        <w:r w:rsidRPr="00087166">
          <w:rPr>
            <w:rStyle w:val="Hyperlink"/>
            <w:rFonts w:ascii="Arial" w:hAnsi="Arial" w:cs="Arial"/>
            <w:sz w:val="18"/>
            <w:szCs w:val="18"/>
            <w:lang w:val="da-DK"/>
          </w:rPr>
          <w:t>here</w:t>
        </w:r>
      </w:hyperlink>
      <w:r w:rsidRPr="00087166">
        <w:rPr>
          <w:rFonts w:ascii="Arial" w:hAnsi="Arial" w:cs="Arial"/>
          <w:sz w:val="18"/>
          <w:szCs w:val="18"/>
          <w:lang w:val="da-DK"/>
        </w:rPr>
        <w:t>.</w:t>
      </w:r>
    </w:p>
  </w:footnote>
  <w:footnote w:id="17">
    <w:p w14:paraId="477A3701" w14:textId="210D4186" w:rsidR="00987BC1" w:rsidRPr="009A209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lang w:val="da-DK"/>
        </w:rPr>
        <w:t xml:space="preserve">Read more about Zambia’s project </w:t>
      </w:r>
      <w:hyperlink r:id="rId15" w:history="1">
        <w:r w:rsidRPr="00A418BC">
          <w:rPr>
            <w:rStyle w:val="Hyperlink"/>
            <w:rFonts w:ascii="Arial" w:hAnsi="Arial" w:cs="Arial"/>
            <w:sz w:val="18"/>
            <w:szCs w:val="18"/>
            <w:lang w:val="da-DK"/>
          </w:rPr>
          <w:t>here</w:t>
        </w:r>
      </w:hyperlink>
      <w:r w:rsidRPr="00A418BC">
        <w:rPr>
          <w:rFonts w:ascii="Arial" w:hAnsi="Arial" w:cs="Arial"/>
          <w:sz w:val="18"/>
          <w:szCs w:val="18"/>
          <w:lang w:val="da-DK"/>
        </w:rPr>
        <w:t>.</w:t>
      </w:r>
    </w:p>
  </w:footnote>
  <w:footnote w:id="18">
    <w:p w14:paraId="098536D2" w14:textId="0D70342D" w:rsidR="00987BC1" w:rsidRPr="00A418BC"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A418BC">
        <w:rPr>
          <w:rFonts w:ascii="Arial" w:hAnsi="Arial" w:cs="Arial"/>
          <w:sz w:val="18"/>
          <w:szCs w:val="18"/>
          <w:lang w:val="da-DK"/>
        </w:rPr>
        <w:t xml:space="preserve">Read more about Côte d’Ivoire’s project </w:t>
      </w:r>
      <w:hyperlink r:id="rId16" w:history="1">
        <w:r w:rsidRPr="00A418BC">
          <w:rPr>
            <w:rStyle w:val="Hyperlink"/>
            <w:rFonts w:ascii="Arial" w:hAnsi="Arial" w:cs="Arial"/>
            <w:sz w:val="18"/>
            <w:szCs w:val="18"/>
            <w:lang w:val="da-DK"/>
          </w:rPr>
          <w:t>here</w:t>
        </w:r>
      </w:hyperlink>
      <w:r w:rsidRPr="00A418BC">
        <w:rPr>
          <w:rFonts w:ascii="Arial" w:hAnsi="Arial" w:cs="Arial"/>
          <w:sz w:val="18"/>
          <w:szCs w:val="18"/>
          <w:lang w:val="da-DK"/>
        </w:rPr>
        <w:t>.</w:t>
      </w:r>
    </w:p>
  </w:footnote>
  <w:footnote w:id="19">
    <w:p w14:paraId="3A01AE40" w14:textId="014E767C" w:rsidR="00987BC1" w:rsidRPr="00E60E5D"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E60E5D">
        <w:rPr>
          <w:rFonts w:ascii="Arial" w:eastAsia="Malgun Gothic" w:hAnsi="Arial" w:cs="Arial"/>
          <w:sz w:val="18"/>
          <w:szCs w:val="18"/>
          <w:lang w:val="en-US" w:eastAsia="ko-KR"/>
        </w:rPr>
        <w:t>Appendix 2 of the Rules of Procedure of the General Conference.</w:t>
      </w:r>
    </w:p>
  </w:footnote>
  <w:footnote w:id="20">
    <w:p w14:paraId="595A480C" w14:textId="4BC4E78B" w:rsidR="00987BC1" w:rsidRPr="00E60E5D"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E60E5D">
        <w:rPr>
          <w:rFonts w:ascii="Arial" w:eastAsia="Malgun Gothic" w:hAnsi="Arial" w:cs="Arial"/>
          <w:sz w:val="18"/>
          <w:szCs w:val="18"/>
          <w:lang w:val="en-US" w:eastAsia="ko-KR"/>
        </w:rPr>
        <w:t>For the classification of States as per Electoral Groups, refer to Annex I of document 13.COM 8.</w:t>
      </w:r>
    </w:p>
  </w:footnote>
  <w:footnote w:id="21">
    <w:p w14:paraId="4927DCBD" w14:textId="4FAEB2EB" w:rsidR="00987BC1" w:rsidRPr="00E60E5D" w:rsidRDefault="00987BC1" w:rsidP="003221D5">
      <w:pPr>
        <w:pStyle w:val="FootnoteText"/>
        <w:ind w:left="709" w:hanging="709"/>
        <w:jc w:val="both"/>
        <w:rPr>
          <w:rFonts w:ascii="Arial" w:hAnsi="Arial" w:cs="Arial"/>
          <w:sz w:val="18"/>
          <w:szCs w:val="18"/>
          <w:lang w:val="da-DK"/>
        </w:rPr>
      </w:pPr>
      <w:r w:rsidRPr="0008716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E60E5D">
        <w:rPr>
          <w:rFonts w:ascii="Arial" w:eastAsia="Malgun Gothic" w:hAnsi="Arial" w:cs="Arial"/>
          <w:sz w:val="18"/>
          <w:szCs w:val="18"/>
          <w:lang w:val="en-US" w:eastAsia="ko-KR"/>
        </w:rPr>
        <w:t xml:space="preserve">Refer to paragraph 331 of the 12.COM summary records for </w:t>
      </w:r>
      <w:r w:rsidRPr="00E60E5D">
        <w:rPr>
          <w:rFonts w:ascii="Arial" w:hAnsi="Arial" w:cs="Arial"/>
          <w:sz w:val="18"/>
          <w:szCs w:val="18"/>
        </w:rPr>
        <w:t xml:space="preserve">the </w:t>
      </w:r>
      <w:r w:rsidRPr="00E60E5D">
        <w:rPr>
          <w:rFonts w:ascii="Arial" w:eastAsia="Malgun Gothic" w:hAnsi="Arial" w:cs="Arial"/>
          <w:sz w:val="18"/>
          <w:szCs w:val="18"/>
          <w:lang w:val="en-US" w:eastAsia="ko-KR"/>
        </w:rPr>
        <w:t>in</w:t>
      </w:r>
      <w:r>
        <w:rPr>
          <w:rFonts w:ascii="Arial" w:eastAsia="Malgun Gothic" w:hAnsi="Arial" w:cs="Arial"/>
          <w:sz w:val="18"/>
          <w:szCs w:val="18"/>
          <w:lang w:val="en-US" w:eastAsia="ko-KR"/>
        </w:rPr>
        <w:t>tervention by Committee Member from Hungary.</w:t>
      </w:r>
    </w:p>
  </w:footnote>
  <w:footnote w:id="22">
    <w:p w14:paraId="491FAC68" w14:textId="79C0635E" w:rsidR="00987BC1" w:rsidRPr="00E60E5D" w:rsidRDefault="00987BC1" w:rsidP="00087166">
      <w:pPr>
        <w:pStyle w:val="FootnoteText"/>
        <w:rPr>
          <w:rFonts w:ascii="Arial" w:eastAsia="Malgun Gothic" w:hAnsi="Arial" w:cs="Arial"/>
          <w:sz w:val="18"/>
          <w:szCs w:val="18"/>
          <w:lang w:val="en-US" w:eastAsia="ko-KR"/>
        </w:rPr>
      </w:pPr>
      <w:r w:rsidRPr="0008716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E60E5D">
        <w:rPr>
          <w:rFonts w:ascii="Arial" w:eastAsia="Malgun Gothic" w:hAnsi="Arial" w:cs="Arial"/>
          <w:sz w:val="18"/>
          <w:szCs w:val="18"/>
          <w:lang w:val="en-US" w:eastAsia="ko-KR"/>
        </w:rPr>
        <w:t>For the classification of the States along the five regions, refer to Annex II of document 13.COM 8.</w:t>
      </w:r>
    </w:p>
  </w:footnote>
  <w:footnote w:id="23">
    <w:p w14:paraId="5CD806E6" w14:textId="64DEE7D5" w:rsidR="00987BC1" w:rsidRPr="00622EC6" w:rsidRDefault="00987BC1" w:rsidP="00087166">
      <w:pPr>
        <w:pStyle w:val="FootnoteText"/>
        <w:rPr>
          <w:rFonts w:ascii="Arial" w:hAnsi="Arial" w:cs="Arial"/>
          <w:sz w:val="18"/>
          <w:szCs w:val="18"/>
          <w:lang w:val="da-DK"/>
        </w:rPr>
      </w:pPr>
      <w:r w:rsidRPr="0008716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E60E5D">
        <w:rPr>
          <w:rFonts w:ascii="Arial" w:eastAsia="Malgun Gothic" w:hAnsi="Arial" w:cs="Arial"/>
          <w:sz w:val="18"/>
          <w:szCs w:val="18"/>
          <w:lang w:val="en-US" w:eastAsia="ko-KR"/>
        </w:rPr>
        <w:t>The gap between their reports will be o</w:t>
      </w:r>
      <w:r>
        <w:rPr>
          <w:rFonts w:ascii="Arial" w:eastAsia="Malgun Gothic" w:hAnsi="Arial" w:cs="Arial"/>
          <w:sz w:val="18"/>
          <w:szCs w:val="18"/>
          <w:lang w:val="en-US" w:eastAsia="ko-KR"/>
        </w:rPr>
        <w:t>f three years [15 December 2017–</w:t>
      </w:r>
      <w:r w:rsidRPr="00E60E5D">
        <w:rPr>
          <w:rFonts w:ascii="Arial" w:eastAsia="Malgun Gothic" w:hAnsi="Arial" w:cs="Arial"/>
          <w:sz w:val="18"/>
          <w:szCs w:val="18"/>
          <w:lang w:val="en-US" w:eastAsia="ko-KR"/>
        </w:rPr>
        <w:t>15 December 2020].</w:t>
      </w:r>
    </w:p>
  </w:footnote>
  <w:footnote w:id="24">
    <w:p w14:paraId="666429CA" w14:textId="5D4E8BCF" w:rsidR="00987BC1" w:rsidRPr="00087166" w:rsidRDefault="00987BC1" w:rsidP="003221D5">
      <w:pPr>
        <w:pStyle w:val="FootnoteText"/>
        <w:ind w:left="709" w:hanging="709"/>
        <w:jc w:val="both"/>
        <w:rPr>
          <w:rFonts w:ascii="Arial" w:hAnsi="Arial" w:cs="Arial"/>
          <w:sz w:val="18"/>
          <w:szCs w:val="18"/>
          <w:lang w:val="da-DK"/>
        </w:rPr>
      </w:pPr>
      <w:r w:rsidRPr="00087166">
        <w:rPr>
          <w:rStyle w:val="FootnoteReference"/>
          <w:rFonts w:ascii="Arial" w:hAnsi="Arial" w:cs="Arial"/>
          <w:color w:val="000000" w:themeColor="text1"/>
          <w:sz w:val="18"/>
          <w:szCs w:val="18"/>
          <w:vertAlign w:val="baseline"/>
        </w:rPr>
        <w:footnoteRef/>
      </w:r>
      <w:r w:rsidRPr="00087166">
        <w:rPr>
          <w:rFonts w:ascii="Arial" w:hAnsi="Arial" w:cs="Arial"/>
          <w:color w:val="000000" w:themeColor="text1"/>
          <w:sz w:val="18"/>
          <w:szCs w:val="18"/>
        </w:rPr>
        <w:t xml:space="preserve">. </w:t>
      </w:r>
      <w:r w:rsidRPr="00087166">
        <w:rPr>
          <w:rFonts w:ascii="Arial" w:hAnsi="Arial" w:cs="Arial"/>
          <w:color w:val="000000" w:themeColor="text1"/>
          <w:sz w:val="18"/>
          <w:szCs w:val="18"/>
        </w:rPr>
        <w:tab/>
      </w:r>
      <w:r w:rsidRPr="00087166">
        <w:rPr>
          <w:rFonts w:ascii="Arial" w:hAnsi="Arial" w:cs="Arial"/>
          <w:color w:val="000000" w:themeColor="text1"/>
          <w:sz w:val="18"/>
          <w:szCs w:val="18"/>
          <w:lang w:val="da-DK"/>
        </w:rPr>
        <w:t xml:space="preserve">Paragraph 13 in full: </w:t>
      </w:r>
      <w:r w:rsidRPr="00087166">
        <w:rPr>
          <w:rFonts w:ascii="Arial" w:eastAsia="Times New Roman" w:hAnsi="Arial" w:cs="Arial"/>
          <w:color w:val="000000" w:themeColor="text1"/>
          <w:sz w:val="18"/>
          <w:szCs w:val="18"/>
          <w:u w:val="single"/>
        </w:rPr>
        <w:t>Invites</w:t>
      </w:r>
      <w:r w:rsidRPr="00087166">
        <w:rPr>
          <w:rStyle w:val="apple-converted-space"/>
          <w:rFonts w:ascii="Arial" w:eastAsia="Times New Roman" w:hAnsi="Arial" w:cs="Arial"/>
          <w:color w:val="000000" w:themeColor="text1"/>
          <w:sz w:val="18"/>
          <w:szCs w:val="18"/>
        </w:rPr>
        <w:t> </w:t>
      </w:r>
      <w:r w:rsidRPr="00087166">
        <w:rPr>
          <w:rFonts w:ascii="Arial" w:eastAsia="Times New Roman" w:hAnsi="Arial" w:cs="Arial"/>
          <w:color w:val="000000" w:themeColor="text1"/>
          <w:sz w:val="18"/>
          <w:szCs w:val="18"/>
        </w:rPr>
        <w:t>States Parties to ensure that, in the elaboration of periodic reports containing references to war or conflict or specific historical events, the report should be elaborated with utmost care, in order to avoid provoking misunderstanding among communities in any way, with a view to encouraging dialogue and mutual respect among communities, groups and individuals, and to avoid any language inconsistent with the UN Charter as well as the 2003 Convention, and</w:t>
      </w:r>
      <w:r w:rsidRPr="00087166">
        <w:rPr>
          <w:rStyle w:val="apple-converted-space"/>
          <w:rFonts w:ascii="Arial" w:eastAsia="Times New Roman" w:hAnsi="Arial" w:cs="Arial"/>
          <w:color w:val="000000" w:themeColor="text1"/>
          <w:sz w:val="18"/>
          <w:szCs w:val="18"/>
        </w:rPr>
        <w:t> </w:t>
      </w:r>
      <w:r w:rsidRPr="00087166">
        <w:rPr>
          <w:rFonts w:ascii="Arial" w:eastAsia="Times New Roman" w:hAnsi="Arial" w:cs="Arial"/>
          <w:color w:val="000000" w:themeColor="text1"/>
          <w:sz w:val="18"/>
          <w:szCs w:val="18"/>
          <w:u w:val="single"/>
        </w:rPr>
        <w:t>encourages</w:t>
      </w:r>
      <w:r w:rsidRPr="00087166">
        <w:rPr>
          <w:rStyle w:val="apple-converted-space"/>
          <w:rFonts w:ascii="Arial" w:eastAsia="Times New Roman" w:hAnsi="Arial" w:cs="Arial"/>
          <w:color w:val="000000" w:themeColor="text1"/>
          <w:sz w:val="18"/>
          <w:szCs w:val="18"/>
        </w:rPr>
        <w:t> </w:t>
      </w:r>
      <w:r w:rsidRPr="00087166">
        <w:rPr>
          <w:rFonts w:ascii="Arial" w:eastAsia="Times New Roman" w:hAnsi="Arial" w:cs="Arial"/>
          <w:color w:val="000000" w:themeColor="text1"/>
          <w:sz w:val="18"/>
          <w:szCs w:val="18"/>
        </w:rPr>
        <w:t>them to meticulously pursue this principle in their future work.</w:t>
      </w:r>
    </w:p>
  </w:footnote>
  <w:footnote w:id="25">
    <w:p w14:paraId="67C260A7" w14:textId="0A3826B7" w:rsidR="00987BC1" w:rsidRPr="00E41386" w:rsidRDefault="00987BC1" w:rsidP="003221D5">
      <w:pPr>
        <w:ind w:left="709" w:hanging="709"/>
        <w:jc w:val="both"/>
        <w:rPr>
          <w:rFonts w:ascii="Arial" w:hAnsi="Arial" w:cs="Arial"/>
          <w:sz w:val="18"/>
          <w:szCs w:val="18"/>
          <w:lang w:val="da-DK"/>
        </w:rPr>
      </w:pPr>
      <w:r w:rsidRPr="00E41386">
        <w:rPr>
          <w:rStyle w:val="FootnoteReference"/>
          <w:rFonts w:ascii="Arial" w:hAnsi="Arial" w:cs="Arial"/>
          <w:color w:val="000000" w:themeColor="text1"/>
          <w:sz w:val="18"/>
          <w:szCs w:val="18"/>
          <w:vertAlign w:val="baseline"/>
        </w:rPr>
        <w:footnoteRef/>
      </w:r>
      <w:r w:rsidRPr="00E41386">
        <w:rPr>
          <w:rFonts w:ascii="Arial" w:hAnsi="Arial" w:cs="Arial"/>
          <w:color w:val="000000" w:themeColor="text1"/>
          <w:sz w:val="18"/>
          <w:szCs w:val="18"/>
        </w:rPr>
        <w:t xml:space="preserve">. </w:t>
      </w:r>
      <w:r w:rsidRPr="00E41386">
        <w:rPr>
          <w:rFonts w:ascii="Arial" w:hAnsi="Arial" w:cs="Arial"/>
          <w:color w:val="000000" w:themeColor="text1"/>
          <w:sz w:val="18"/>
          <w:szCs w:val="18"/>
        </w:rPr>
        <w:tab/>
        <w:t xml:space="preserve">Ethical Principle 4: </w:t>
      </w:r>
      <w:r w:rsidRPr="00E41386">
        <w:rPr>
          <w:rFonts w:ascii="Arial" w:eastAsia="Times New Roman" w:hAnsi="Arial" w:cs="Arial"/>
          <w:color w:val="000000" w:themeColor="text1"/>
          <w:sz w:val="18"/>
          <w:szCs w:val="18"/>
        </w:rPr>
        <w:t>All interactions with the communities, groups and, where applicable, individuals who create, safeguard, maintain and transmit intangible cultural heritage should be characterized by</w:t>
      </w:r>
      <w:r>
        <w:rPr>
          <w:rFonts w:ascii="Arial" w:eastAsia="Times New Roman" w:hAnsi="Arial" w:cs="Arial"/>
          <w:color w:val="000000" w:themeColor="text1"/>
          <w:sz w:val="18"/>
          <w:szCs w:val="18"/>
        </w:rPr>
        <w:t xml:space="preserve"> </w:t>
      </w:r>
      <w:r w:rsidRPr="00E41386">
        <w:rPr>
          <w:rStyle w:val="Strong"/>
          <w:rFonts w:ascii="Arial" w:eastAsia="Times New Roman" w:hAnsi="Arial" w:cs="Arial"/>
          <w:color w:val="000000" w:themeColor="text1"/>
          <w:sz w:val="18"/>
          <w:szCs w:val="18"/>
        </w:rPr>
        <w:t>transparent collaboration</w:t>
      </w:r>
      <w:r w:rsidRPr="00E41386">
        <w:rPr>
          <w:rFonts w:ascii="Arial" w:eastAsia="Times New Roman" w:hAnsi="Arial" w:cs="Arial"/>
          <w:color w:val="000000" w:themeColor="text1"/>
          <w:sz w:val="18"/>
          <w:szCs w:val="18"/>
        </w:rPr>
        <w:t>, dialogue, negotiation and consultation, and contingent upon their</w:t>
      </w:r>
      <w:r>
        <w:rPr>
          <w:rFonts w:ascii="Arial" w:eastAsia="Times New Roman" w:hAnsi="Arial" w:cs="Arial"/>
          <w:color w:val="000000" w:themeColor="text1"/>
          <w:sz w:val="18"/>
          <w:szCs w:val="18"/>
        </w:rPr>
        <w:t xml:space="preserve"> </w:t>
      </w:r>
      <w:r w:rsidRPr="00E41386">
        <w:rPr>
          <w:rStyle w:val="Strong"/>
          <w:rFonts w:ascii="Arial" w:eastAsia="Times New Roman" w:hAnsi="Arial" w:cs="Arial"/>
          <w:color w:val="000000" w:themeColor="text1"/>
          <w:sz w:val="18"/>
          <w:szCs w:val="18"/>
        </w:rPr>
        <w:t>free, prior, sustained and informed consent</w:t>
      </w:r>
      <w:r w:rsidRPr="00E41386">
        <w:rPr>
          <w:rFonts w:ascii="Arial" w:eastAsia="Times New Roman" w:hAnsi="Arial" w:cs="Arial"/>
          <w:color w:val="000000" w:themeColor="text1"/>
          <w:sz w:val="18"/>
          <w:szCs w:val="18"/>
        </w:rPr>
        <w:t>.</w:t>
      </w:r>
    </w:p>
  </w:footnote>
  <w:footnote w:id="26">
    <w:p w14:paraId="7649526B" w14:textId="5CD2AC08" w:rsidR="00987BC1" w:rsidRPr="002549D7" w:rsidRDefault="00987BC1" w:rsidP="003221D5">
      <w:pPr>
        <w:pStyle w:val="FootnoteText"/>
        <w:ind w:left="709" w:hanging="709"/>
        <w:jc w:val="both"/>
        <w:rPr>
          <w:rFonts w:ascii="Arial" w:hAnsi="Arial" w:cs="Arial"/>
          <w:sz w:val="18"/>
          <w:szCs w:val="18"/>
          <w:lang w:val="da-DK"/>
        </w:rPr>
      </w:pPr>
      <w:r w:rsidRPr="00E4138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2549D7">
        <w:rPr>
          <w:rStyle w:val="hps"/>
          <w:rFonts w:ascii="Arial" w:hAnsi="Arial" w:cs="Arial"/>
          <w:sz w:val="18"/>
          <w:szCs w:val="18"/>
          <w:lang w:val="en"/>
        </w:rPr>
        <w:t xml:space="preserve">Presented in the </w:t>
      </w:r>
      <w:r w:rsidRPr="002549D7">
        <w:rPr>
          <w:rFonts w:ascii="Arial" w:hAnsi="Arial" w:cs="Arial"/>
          <w:sz w:val="18"/>
          <w:szCs w:val="18"/>
          <w:lang w:val="en-US"/>
        </w:rPr>
        <w:t>Report of the Co-Chairs of the Open-ended Informal Ad Hoc Working Group of the Committee (Annex of Document ITH/18/13.COM/16)</w:t>
      </w:r>
      <w:r w:rsidRPr="002549D7">
        <w:rPr>
          <w:rStyle w:val="hps"/>
          <w:rFonts w:ascii="Arial" w:hAnsi="Arial" w:cs="Arial"/>
          <w:sz w:val="18"/>
          <w:szCs w:val="18"/>
          <w:lang w:val="en"/>
        </w:rPr>
        <w:t>.</w:t>
      </w:r>
    </w:p>
  </w:footnote>
  <w:footnote w:id="27">
    <w:p w14:paraId="296F8188" w14:textId="4614B9E4" w:rsidR="00987BC1" w:rsidRPr="00077A34" w:rsidRDefault="00987BC1" w:rsidP="00E41386">
      <w:pPr>
        <w:pStyle w:val="FootnoteText"/>
        <w:rPr>
          <w:rFonts w:ascii="Arial" w:hAnsi="Arial" w:cs="Arial"/>
          <w:sz w:val="18"/>
          <w:szCs w:val="18"/>
          <w:lang w:val="da-DK"/>
        </w:rPr>
      </w:pPr>
      <w:r w:rsidRPr="00E41386">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077A34">
        <w:rPr>
          <w:rFonts w:ascii="Arial" w:hAnsi="Arial" w:cs="Arial"/>
          <w:sz w:val="18"/>
          <w:szCs w:val="18"/>
          <w:lang w:val="da-DK"/>
        </w:rPr>
        <w:t xml:space="preserve">The Guidance Note is available both in </w:t>
      </w:r>
      <w:hyperlink r:id="rId17" w:history="1">
        <w:r w:rsidRPr="00077A34">
          <w:rPr>
            <w:rStyle w:val="Hyperlink"/>
            <w:rFonts w:ascii="Arial" w:hAnsi="Arial" w:cs="Arial"/>
            <w:sz w:val="18"/>
            <w:szCs w:val="18"/>
            <w:lang w:val="da-DK"/>
          </w:rPr>
          <w:t>English</w:t>
        </w:r>
      </w:hyperlink>
      <w:r w:rsidRPr="00077A34">
        <w:rPr>
          <w:rFonts w:ascii="Arial" w:hAnsi="Arial" w:cs="Arial"/>
          <w:sz w:val="18"/>
          <w:szCs w:val="18"/>
          <w:lang w:val="da-DK"/>
        </w:rPr>
        <w:t xml:space="preserve"> and </w:t>
      </w:r>
      <w:hyperlink r:id="rId18" w:history="1">
        <w:r w:rsidRPr="00077A34">
          <w:rPr>
            <w:rStyle w:val="Hyperlink"/>
            <w:rFonts w:ascii="Arial" w:hAnsi="Arial" w:cs="Arial"/>
            <w:sz w:val="18"/>
            <w:szCs w:val="18"/>
            <w:lang w:val="da-DK"/>
          </w:rPr>
          <w:t>French</w:t>
        </w:r>
      </w:hyperlink>
      <w:r>
        <w:rPr>
          <w:rFonts w:ascii="Arial" w:hAnsi="Arial" w:cs="Arial"/>
          <w:sz w:val="18"/>
          <w:szCs w:val="18"/>
          <w:lang w:val="da-DK"/>
        </w:rPr>
        <w:t xml:space="preserve"> language versions.</w:t>
      </w:r>
    </w:p>
  </w:footnote>
  <w:footnote w:id="28">
    <w:p w14:paraId="00D2FC48" w14:textId="46D1CD79" w:rsidR="00987BC1" w:rsidRPr="008E6B91" w:rsidRDefault="00987BC1" w:rsidP="00E72560">
      <w:pPr>
        <w:pStyle w:val="FootnoteText"/>
        <w:rPr>
          <w:rFonts w:ascii="Arial" w:hAnsi="Arial" w:cs="Arial"/>
          <w:sz w:val="18"/>
          <w:szCs w:val="18"/>
          <w:lang w:val="da-DK"/>
        </w:rPr>
      </w:pPr>
      <w:r w:rsidRPr="00E72560">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8E6B91">
        <w:rPr>
          <w:rFonts w:ascii="Arial" w:hAnsi="Arial" w:cs="Arial"/>
          <w:sz w:val="18"/>
          <w:szCs w:val="18"/>
        </w:rPr>
        <w:t xml:space="preserve">Read more information on the key references for forms for nominations, proposals and requests </w:t>
      </w:r>
      <w:hyperlink r:id="rId19" w:history="1">
        <w:r w:rsidRPr="008E6B91">
          <w:rPr>
            <w:rStyle w:val="Hyperlink"/>
            <w:rFonts w:ascii="Arial" w:hAnsi="Arial" w:cs="Arial"/>
            <w:sz w:val="18"/>
            <w:szCs w:val="18"/>
          </w:rPr>
          <w:t>here</w:t>
        </w:r>
      </w:hyperlink>
      <w:r>
        <w:rPr>
          <w:rFonts w:ascii="Arial" w:hAnsi="Arial" w:cs="Arial"/>
          <w:sz w:val="18"/>
          <w:szCs w:val="18"/>
        </w:rPr>
        <w:t>.</w:t>
      </w:r>
    </w:p>
  </w:footnote>
  <w:footnote w:id="29">
    <w:p w14:paraId="5165EC45" w14:textId="6CC30337" w:rsidR="00987BC1" w:rsidRPr="00634D0B" w:rsidRDefault="00987BC1" w:rsidP="00634D0B">
      <w:pPr>
        <w:pStyle w:val="FootnoteText"/>
        <w:rPr>
          <w:rFonts w:ascii="Arial" w:hAnsi="Arial" w:cs="Arial"/>
          <w:sz w:val="18"/>
          <w:szCs w:val="18"/>
          <w:lang w:val="da-DK"/>
        </w:rPr>
      </w:pPr>
      <w:r w:rsidRPr="00634D0B">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634D0B">
        <w:rPr>
          <w:rFonts w:ascii="Arial" w:hAnsi="Arial" w:cs="Arial"/>
          <w:sz w:val="18"/>
          <w:szCs w:val="18"/>
          <w:lang w:val="da-DK"/>
        </w:rPr>
        <w:t xml:space="preserve">Read more about the conference </w:t>
      </w:r>
      <w:hyperlink r:id="rId20" w:history="1">
        <w:r w:rsidRPr="00634D0B">
          <w:rPr>
            <w:rStyle w:val="Hyperlink"/>
            <w:rFonts w:ascii="Arial" w:hAnsi="Arial" w:cs="Arial"/>
            <w:sz w:val="18"/>
            <w:szCs w:val="18"/>
            <w:lang w:val="da-DK"/>
          </w:rPr>
          <w:t>here</w:t>
        </w:r>
      </w:hyperlink>
      <w:r>
        <w:rPr>
          <w:rFonts w:ascii="Arial" w:hAnsi="Arial" w:cs="Arial"/>
          <w:sz w:val="18"/>
          <w:szCs w:val="18"/>
          <w:lang w:val="da-DK"/>
        </w:rPr>
        <w:t>.</w:t>
      </w:r>
    </w:p>
  </w:footnote>
  <w:footnote w:id="30">
    <w:p w14:paraId="54F197A1" w14:textId="04AFE11D" w:rsidR="00987BC1" w:rsidRPr="00634D0B" w:rsidRDefault="00987BC1" w:rsidP="00634D0B">
      <w:pPr>
        <w:pStyle w:val="FootnoteText"/>
        <w:rPr>
          <w:rFonts w:ascii="Arial" w:hAnsi="Arial" w:cs="Arial"/>
          <w:sz w:val="18"/>
          <w:szCs w:val="18"/>
          <w:lang w:val="da-DK"/>
        </w:rPr>
      </w:pPr>
      <w:r w:rsidRPr="00634D0B">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634D0B">
        <w:rPr>
          <w:rFonts w:ascii="Arial" w:hAnsi="Arial" w:cs="Arial"/>
          <w:sz w:val="18"/>
          <w:szCs w:val="18"/>
          <w:lang w:val="da-DK"/>
        </w:rPr>
        <w:t xml:space="preserve">Read the UNESCO-World Bank Position Paper </w:t>
      </w:r>
      <w:hyperlink r:id="rId21" w:history="1">
        <w:r w:rsidRPr="00634D0B">
          <w:rPr>
            <w:rStyle w:val="Hyperlink"/>
            <w:rFonts w:ascii="Arial" w:hAnsi="Arial" w:cs="Arial"/>
            <w:sz w:val="18"/>
            <w:szCs w:val="18"/>
            <w:lang w:val="da-DK"/>
          </w:rPr>
          <w:t>here</w:t>
        </w:r>
      </w:hyperlink>
      <w:r>
        <w:rPr>
          <w:rFonts w:ascii="Arial" w:hAnsi="Arial" w:cs="Arial"/>
          <w:sz w:val="18"/>
          <w:szCs w:val="18"/>
          <w:lang w:val="da-DK"/>
        </w:rPr>
        <w:t>.</w:t>
      </w:r>
    </w:p>
  </w:footnote>
  <w:footnote w:id="31">
    <w:p w14:paraId="6F8AD32A" w14:textId="3A8380B8" w:rsidR="00987BC1" w:rsidRPr="00634D0B" w:rsidRDefault="00987BC1" w:rsidP="00634D0B">
      <w:pPr>
        <w:pStyle w:val="FootnoteText"/>
        <w:rPr>
          <w:rFonts w:ascii="Arial" w:hAnsi="Arial" w:cs="Arial"/>
          <w:sz w:val="18"/>
          <w:szCs w:val="18"/>
          <w:lang w:val="da-DK"/>
        </w:rPr>
      </w:pPr>
      <w:r w:rsidRPr="00634D0B">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634D0B">
        <w:rPr>
          <w:rFonts w:ascii="Arial" w:hAnsi="Arial" w:cs="Arial"/>
          <w:sz w:val="18"/>
          <w:szCs w:val="18"/>
          <w:lang w:val="da-DK"/>
        </w:rPr>
        <w:t xml:space="preserve">Read more about the Paris Peace Forum </w:t>
      </w:r>
      <w:hyperlink r:id="rId22" w:history="1">
        <w:r w:rsidRPr="00634D0B">
          <w:rPr>
            <w:rStyle w:val="Hyperlink"/>
            <w:rFonts w:ascii="Arial" w:hAnsi="Arial" w:cs="Arial"/>
            <w:sz w:val="18"/>
            <w:szCs w:val="18"/>
            <w:lang w:val="da-DK"/>
          </w:rPr>
          <w:t>here</w:t>
        </w:r>
      </w:hyperlink>
      <w:r w:rsidRPr="00634D0B">
        <w:rPr>
          <w:rFonts w:ascii="Arial" w:hAnsi="Arial" w:cs="Arial"/>
          <w:sz w:val="18"/>
          <w:szCs w:val="18"/>
          <w:lang w:val="da-DK"/>
        </w:rPr>
        <w:t>.</w:t>
      </w:r>
    </w:p>
  </w:footnote>
  <w:footnote w:id="32">
    <w:p w14:paraId="1393774C" w14:textId="50031463" w:rsidR="00987BC1" w:rsidRPr="00634D0B" w:rsidRDefault="00987BC1" w:rsidP="00634D0B">
      <w:pPr>
        <w:pStyle w:val="FootnoteText"/>
        <w:rPr>
          <w:rFonts w:ascii="Arial" w:hAnsi="Arial" w:cs="Arial"/>
          <w:sz w:val="18"/>
          <w:szCs w:val="18"/>
          <w:lang w:val="da-DK"/>
        </w:rPr>
      </w:pPr>
      <w:r w:rsidRPr="00634D0B">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634D0B">
        <w:rPr>
          <w:rFonts w:ascii="Arial" w:hAnsi="Arial" w:cs="Arial"/>
          <w:sz w:val="18"/>
          <w:szCs w:val="18"/>
          <w:lang w:val="da-DK"/>
        </w:rPr>
        <w:t xml:space="preserve">Read more about the Ethical Principles and Intangible Cultural Heritage </w:t>
      </w:r>
      <w:hyperlink r:id="rId23" w:history="1">
        <w:r w:rsidRPr="00634D0B">
          <w:rPr>
            <w:rStyle w:val="Hyperlink"/>
            <w:rFonts w:ascii="Arial" w:hAnsi="Arial" w:cs="Arial"/>
            <w:sz w:val="18"/>
            <w:szCs w:val="18"/>
            <w:lang w:val="da-DK"/>
          </w:rPr>
          <w:t>here</w:t>
        </w:r>
      </w:hyperlink>
      <w:r w:rsidRPr="00634D0B">
        <w:rPr>
          <w:rFonts w:ascii="Arial" w:hAnsi="Arial" w:cs="Arial"/>
          <w:sz w:val="18"/>
          <w:szCs w:val="18"/>
          <w:lang w:val="da-DK"/>
        </w:rPr>
        <w:t>.</w:t>
      </w:r>
    </w:p>
  </w:footnote>
  <w:footnote w:id="33">
    <w:p w14:paraId="183DD78D" w14:textId="374DC568" w:rsidR="00987BC1" w:rsidRPr="00634D0B" w:rsidRDefault="00987BC1" w:rsidP="00634D0B">
      <w:pPr>
        <w:pStyle w:val="FootnoteText"/>
        <w:rPr>
          <w:rFonts w:ascii="Arial" w:hAnsi="Arial" w:cs="Arial"/>
          <w:sz w:val="18"/>
          <w:szCs w:val="18"/>
          <w:lang w:val="da-DK"/>
        </w:rPr>
      </w:pPr>
      <w:r w:rsidRPr="00634D0B">
        <w:rPr>
          <w:rStyle w:val="FootnoteReference"/>
          <w:rFonts w:ascii="Arial" w:hAnsi="Arial" w:cs="Arial"/>
          <w:sz w:val="18"/>
          <w:szCs w:val="18"/>
          <w:vertAlign w:val="baseline"/>
        </w:rPr>
        <w:footnoteRef/>
      </w:r>
      <w:r w:rsidRPr="00634D0B">
        <w:rPr>
          <w:rFonts w:ascii="Arial" w:hAnsi="Arial" w:cs="Arial"/>
          <w:sz w:val="18"/>
          <w:szCs w:val="18"/>
        </w:rPr>
        <w:t>.</w:t>
      </w:r>
      <w:r w:rsidRPr="00634D0B">
        <w:rPr>
          <w:rFonts w:ascii="Arial" w:hAnsi="Arial" w:cs="Arial"/>
          <w:sz w:val="18"/>
          <w:szCs w:val="18"/>
        </w:rPr>
        <w:tab/>
      </w:r>
      <w:r w:rsidRPr="00634D0B">
        <w:rPr>
          <w:rFonts w:ascii="Arial" w:hAnsi="Arial" w:cs="Arial"/>
          <w:sz w:val="18"/>
          <w:szCs w:val="18"/>
          <w:lang w:val="da-DK"/>
        </w:rPr>
        <w:t xml:space="preserve">Read more about the </w:t>
      </w:r>
      <w:r w:rsidRPr="00634D0B">
        <w:rPr>
          <w:rFonts w:ascii="Arial" w:hAnsi="Arial" w:cs="Arial"/>
          <w:bCs/>
          <w:sz w:val="18"/>
          <w:szCs w:val="18"/>
        </w:rPr>
        <w:t>‘</w:t>
      </w:r>
      <w:r w:rsidRPr="00634D0B">
        <w:rPr>
          <w:rFonts w:ascii="Arial" w:hAnsi="Arial" w:cs="Arial"/>
          <w:sz w:val="18"/>
          <w:szCs w:val="18"/>
          <w:lang w:val="da-DK"/>
        </w:rPr>
        <w:t xml:space="preserve">Revive the spirit of Mosul’ Initative </w:t>
      </w:r>
      <w:hyperlink r:id="rId24" w:history="1">
        <w:r w:rsidRPr="00634D0B">
          <w:rPr>
            <w:rStyle w:val="Hyperlink"/>
            <w:rFonts w:ascii="Arial" w:hAnsi="Arial" w:cs="Arial"/>
            <w:sz w:val="18"/>
            <w:szCs w:val="18"/>
            <w:lang w:val="da-DK"/>
          </w:rPr>
          <w:t>here</w:t>
        </w:r>
      </w:hyperlink>
      <w:r w:rsidRPr="00634D0B">
        <w:rPr>
          <w:rFonts w:ascii="Arial" w:hAnsi="Arial" w:cs="Arial"/>
          <w:sz w:val="18"/>
          <w:szCs w:val="18"/>
          <w:lang w:val="da-DK"/>
        </w:rPr>
        <w:t>.</w:t>
      </w:r>
    </w:p>
  </w:footnote>
  <w:footnote w:id="34">
    <w:p w14:paraId="50089C10" w14:textId="5244F28A" w:rsidR="00987BC1" w:rsidRPr="00DE7F8C" w:rsidRDefault="00987BC1" w:rsidP="00C938B5">
      <w:pPr>
        <w:pStyle w:val="FootnoteText"/>
        <w:ind w:left="709" w:hanging="709"/>
        <w:jc w:val="both"/>
        <w:rPr>
          <w:rFonts w:ascii="Arial" w:hAnsi="Arial" w:cs="Arial"/>
          <w:sz w:val="18"/>
          <w:szCs w:val="18"/>
          <w:lang w:val="da-DK"/>
        </w:rPr>
      </w:pPr>
      <w:r w:rsidRPr="00634D0B">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DE7F8C">
        <w:rPr>
          <w:rFonts w:ascii="Arial" w:hAnsi="Arial" w:cs="Arial"/>
          <w:sz w:val="18"/>
          <w:szCs w:val="18"/>
        </w:rPr>
        <w:t>Under paragraph 12: A.7 The beneficiary State Party has implemented previously financed activities, if any, in li</w:t>
      </w:r>
      <w:r>
        <w:rPr>
          <w:rFonts w:ascii="Arial" w:hAnsi="Arial" w:cs="Arial"/>
          <w:sz w:val="18"/>
          <w:szCs w:val="18"/>
        </w:rPr>
        <w:t>n</w:t>
      </w:r>
      <w:r w:rsidRPr="00DE7F8C">
        <w:rPr>
          <w:rFonts w:ascii="Arial" w:hAnsi="Arial" w:cs="Arial"/>
          <w:sz w:val="18"/>
          <w:szCs w:val="18"/>
        </w:rPr>
        <w:t xml:space="preserve">e with all the regulations and </w:t>
      </w:r>
      <w:r>
        <w:rPr>
          <w:rFonts w:ascii="Arial" w:hAnsi="Arial" w:cs="Arial"/>
          <w:sz w:val="18"/>
          <w:szCs w:val="18"/>
        </w:rPr>
        <w:t>any conditions applied thereto.</w:t>
      </w:r>
    </w:p>
  </w:footnote>
  <w:footnote w:id="35">
    <w:p w14:paraId="33523CC1" w14:textId="0783FF04" w:rsidR="00987BC1" w:rsidRPr="00634D0B" w:rsidRDefault="00987BC1" w:rsidP="00C938B5">
      <w:pPr>
        <w:pStyle w:val="FootnoteText"/>
        <w:ind w:left="709" w:hanging="709"/>
        <w:jc w:val="both"/>
        <w:rPr>
          <w:rFonts w:ascii="Arial" w:hAnsi="Arial" w:cs="Arial"/>
          <w:sz w:val="18"/>
          <w:szCs w:val="18"/>
          <w:lang w:val="da-DK"/>
        </w:rPr>
      </w:pPr>
      <w:r w:rsidRPr="00634D0B">
        <w:rPr>
          <w:rStyle w:val="FootnoteReference"/>
          <w:rFonts w:ascii="Arial" w:hAnsi="Arial" w:cs="Arial"/>
          <w:sz w:val="18"/>
          <w:szCs w:val="18"/>
          <w:vertAlign w:val="baseline"/>
        </w:rPr>
        <w:footnoteRef/>
      </w:r>
      <w:r w:rsidRPr="00634D0B">
        <w:rPr>
          <w:rFonts w:ascii="Arial" w:hAnsi="Arial" w:cs="Arial"/>
          <w:sz w:val="18"/>
          <w:szCs w:val="18"/>
        </w:rPr>
        <w:t>.</w:t>
      </w:r>
      <w:r w:rsidRPr="00634D0B">
        <w:rPr>
          <w:rFonts w:ascii="Arial" w:hAnsi="Arial" w:cs="Arial"/>
          <w:sz w:val="18"/>
          <w:szCs w:val="18"/>
        </w:rPr>
        <w:tab/>
      </w:r>
      <w:r>
        <w:rPr>
          <w:rFonts w:ascii="Arial" w:hAnsi="Arial" w:cs="Arial"/>
          <w:sz w:val="18"/>
          <w:szCs w:val="18"/>
          <w:lang w:val="da-DK"/>
        </w:rPr>
        <w:t>Paragraph </w:t>
      </w:r>
      <w:r w:rsidRPr="00634D0B">
        <w:rPr>
          <w:rFonts w:ascii="Arial" w:hAnsi="Arial" w:cs="Arial"/>
          <w:sz w:val="18"/>
          <w:szCs w:val="18"/>
          <w:lang w:val="da-DK"/>
        </w:rPr>
        <w:t>10(a) the request implies cooperation at the bilateral, regional or interna</w:t>
      </w:r>
      <w:r>
        <w:rPr>
          <w:rFonts w:ascii="Arial" w:hAnsi="Arial" w:cs="Arial"/>
          <w:sz w:val="18"/>
          <w:szCs w:val="18"/>
          <w:lang w:val="da-DK"/>
        </w:rPr>
        <w:t>tional levels; and/or Paragraph </w:t>
      </w:r>
      <w:r w:rsidRPr="00634D0B">
        <w:rPr>
          <w:rFonts w:ascii="Arial" w:hAnsi="Arial" w:cs="Arial"/>
          <w:sz w:val="18"/>
          <w:szCs w:val="18"/>
          <w:lang w:val="da-DK"/>
        </w:rPr>
        <w:t>10(b) the assistance may have a multiplier effect and may stimulate financial and technical contributions from other sources.</w:t>
      </w:r>
    </w:p>
  </w:footnote>
  <w:footnote w:id="36">
    <w:p w14:paraId="389F15BC" w14:textId="02EB2BEE" w:rsidR="00987BC1" w:rsidRPr="00303400" w:rsidRDefault="00987BC1" w:rsidP="003221D5">
      <w:pPr>
        <w:pStyle w:val="FootnoteText"/>
        <w:ind w:left="709" w:hanging="709"/>
        <w:jc w:val="both"/>
        <w:rPr>
          <w:rFonts w:ascii="Arial" w:hAnsi="Arial" w:cs="Arial"/>
          <w:sz w:val="18"/>
          <w:szCs w:val="18"/>
          <w:lang w:val="da-DK"/>
        </w:rPr>
      </w:pPr>
      <w:r w:rsidRPr="00DD4E22">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303400">
        <w:rPr>
          <w:rFonts w:ascii="Arial" w:hAnsi="Arial" w:cs="Arial"/>
          <w:sz w:val="18"/>
          <w:szCs w:val="18"/>
          <w:lang w:val="da-DK"/>
        </w:rPr>
        <w:t xml:space="preserve">The proposal in full: </w:t>
      </w:r>
      <w:r w:rsidRPr="00303400">
        <w:rPr>
          <w:rFonts w:ascii="Arial" w:hAnsi="Arial" w:cs="Arial"/>
          <w:sz w:val="18"/>
          <w:szCs w:val="18"/>
        </w:rPr>
        <w:t>‘</w:t>
      </w:r>
      <w:r w:rsidRPr="00303400">
        <w:rPr>
          <w:rFonts w:ascii="Arial" w:hAnsi="Arial" w:cs="Arial"/>
          <w:sz w:val="18"/>
          <w:szCs w:val="18"/>
          <w:lang w:val="da-DK"/>
        </w:rPr>
        <w:t>Reaffirms Decision 7.GA 6 and decides to request the Secretariat to transmit any questions of the Evaluation Body on files submitted for the 2019 cycle to States Parties concerned after the second meeting of the Evaluation Body in 2019</w:t>
      </w:r>
      <w:r w:rsidRPr="00303400">
        <w:rPr>
          <w:rFonts w:ascii="Arial" w:hAnsi="Arial" w:cs="Arial"/>
          <w:sz w:val="18"/>
          <w:szCs w:val="18"/>
        </w:rPr>
        <w:t>’</w:t>
      </w:r>
      <w:r w:rsidRPr="00303400">
        <w:rPr>
          <w:rFonts w:ascii="Arial" w:hAnsi="Arial" w:cs="Arial"/>
          <w:sz w:val="18"/>
          <w:szCs w:val="18"/>
          <w:lang w:val="da-DK"/>
        </w:rPr>
        <w:t>.</w:t>
      </w:r>
    </w:p>
  </w:footnote>
  <w:footnote w:id="37">
    <w:p w14:paraId="7D6DB0E3" w14:textId="71D16A00" w:rsidR="00987BC1" w:rsidRPr="009E019C" w:rsidRDefault="00987BC1" w:rsidP="00F745F1">
      <w:pPr>
        <w:pStyle w:val="FootnoteText"/>
        <w:rPr>
          <w:rFonts w:ascii="Arial" w:hAnsi="Arial" w:cs="Arial"/>
          <w:sz w:val="18"/>
          <w:szCs w:val="18"/>
          <w:lang w:val="da-DK"/>
        </w:rPr>
      </w:pPr>
      <w:r w:rsidRPr="00F745F1">
        <w:rPr>
          <w:rStyle w:val="FootnoteReference"/>
          <w:rFonts w:ascii="Arial" w:hAnsi="Arial" w:cs="Arial"/>
          <w:sz w:val="18"/>
          <w:szCs w:val="18"/>
          <w:vertAlign w:val="baseline"/>
        </w:rPr>
        <w:footnoteRef/>
      </w:r>
      <w:r w:rsidRPr="00F745F1">
        <w:rPr>
          <w:rFonts w:ascii="Arial" w:hAnsi="Arial" w:cs="Arial"/>
          <w:sz w:val="18"/>
          <w:szCs w:val="18"/>
          <w:lang w:val="da-DK"/>
        </w:rPr>
        <w:t>.</w:t>
      </w:r>
      <w:r>
        <w:rPr>
          <w:rFonts w:ascii="Arial" w:hAnsi="Arial" w:cs="Arial"/>
          <w:sz w:val="18"/>
          <w:szCs w:val="18"/>
          <w:lang w:val="da-DK"/>
        </w:rPr>
        <w:tab/>
      </w:r>
      <w:r w:rsidRPr="003221D5">
        <w:rPr>
          <w:rFonts w:ascii="Arial" w:hAnsi="Arial" w:cs="Arial"/>
          <w:sz w:val="18"/>
          <w:szCs w:val="18"/>
          <w:lang w:val="da-DK"/>
        </w:rPr>
        <w:t xml:space="preserve">CRESPIAL, </w:t>
      </w:r>
      <w:r w:rsidRPr="009E019C">
        <w:rPr>
          <w:rFonts w:ascii="Arial" w:hAnsi="Arial" w:cs="Arial"/>
          <w:sz w:val="18"/>
          <w:szCs w:val="18"/>
          <w:lang w:val="da-DK"/>
        </w:rPr>
        <w:t>Centro Regional para la Sauvegarde del Patrimonio Cultura</w:t>
      </w:r>
      <w:r>
        <w:rPr>
          <w:rFonts w:ascii="Arial" w:hAnsi="Arial" w:cs="Arial"/>
          <w:sz w:val="18"/>
          <w:szCs w:val="18"/>
          <w:lang w:val="da-DK"/>
        </w:rPr>
        <w:t>l Immaterial de América Latina.</w:t>
      </w:r>
    </w:p>
  </w:footnote>
  <w:footnote w:id="38">
    <w:p w14:paraId="53128F00" w14:textId="7182BA37" w:rsidR="00987BC1" w:rsidRPr="009655F9" w:rsidRDefault="00987BC1" w:rsidP="00F745F1">
      <w:pPr>
        <w:pStyle w:val="FootnoteText"/>
        <w:rPr>
          <w:rFonts w:ascii="Arial" w:hAnsi="Arial" w:cs="Arial"/>
          <w:sz w:val="18"/>
          <w:szCs w:val="18"/>
          <w:lang w:val="da-DK"/>
        </w:rPr>
      </w:pPr>
      <w:r w:rsidRPr="00F745F1">
        <w:rPr>
          <w:rStyle w:val="FootnoteReference"/>
          <w:rFonts w:ascii="Arial" w:hAnsi="Arial" w:cs="Arial"/>
          <w:sz w:val="18"/>
          <w:szCs w:val="18"/>
          <w:vertAlign w:val="baseline"/>
        </w:rPr>
        <w:footnoteRef/>
      </w:r>
      <w:r>
        <w:rPr>
          <w:rFonts w:ascii="Arial" w:hAnsi="Arial" w:cs="Arial"/>
          <w:sz w:val="18"/>
          <w:szCs w:val="18"/>
          <w:lang w:val="da-DK"/>
        </w:rPr>
        <w:t>.</w:t>
      </w:r>
      <w:r>
        <w:rPr>
          <w:rFonts w:ascii="Arial" w:hAnsi="Arial" w:cs="Arial"/>
          <w:sz w:val="18"/>
          <w:szCs w:val="18"/>
          <w:lang w:val="da-DK"/>
        </w:rPr>
        <w:tab/>
        <w:t>Consult</w:t>
      </w:r>
      <w:r w:rsidRPr="009655F9">
        <w:rPr>
          <w:rFonts w:ascii="Arial" w:hAnsi="Arial" w:cs="Arial"/>
          <w:sz w:val="18"/>
          <w:szCs w:val="18"/>
          <w:lang w:val="da-DK"/>
        </w:rPr>
        <w:t xml:space="preserve"> the interactive Atlas of the World’s Languages in Danger </w:t>
      </w:r>
      <w:hyperlink r:id="rId25" w:history="1">
        <w:r w:rsidRPr="009655F9">
          <w:rPr>
            <w:rStyle w:val="Hyperlink"/>
            <w:rFonts w:ascii="Arial" w:hAnsi="Arial" w:cs="Arial"/>
            <w:sz w:val="18"/>
            <w:szCs w:val="18"/>
            <w:lang w:val="da-DK"/>
          </w:rPr>
          <w:t>here</w:t>
        </w:r>
      </w:hyperlink>
      <w:r w:rsidRPr="009655F9">
        <w:rPr>
          <w:rFonts w:ascii="Arial" w:hAnsi="Arial" w:cs="Arial"/>
          <w:sz w:val="18"/>
          <w:szCs w:val="18"/>
          <w:lang w:val="da-DK"/>
        </w:rPr>
        <w:t>.</w:t>
      </w:r>
    </w:p>
  </w:footnote>
  <w:footnote w:id="39">
    <w:p w14:paraId="4894249A" w14:textId="42B5311B" w:rsidR="00987BC1" w:rsidRPr="0066629D" w:rsidRDefault="00987BC1" w:rsidP="0047370D">
      <w:pPr>
        <w:pStyle w:val="FootnoteText"/>
        <w:rPr>
          <w:rFonts w:ascii="Arial" w:hAnsi="Arial" w:cs="Arial"/>
          <w:sz w:val="18"/>
          <w:szCs w:val="18"/>
          <w:lang w:val="da-DK"/>
        </w:rPr>
      </w:pPr>
      <w:r w:rsidRPr="0047370D">
        <w:rPr>
          <w:rStyle w:val="FootnoteReference"/>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r w:rsidRPr="0066629D">
        <w:rPr>
          <w:rFonts w:ascii="Arial" w:hAnsi="Arial" w:cs="Arial"/>
          <w:sz w:val="18"/>
          <w:szCs w:val="18"/>
          <w:lang w:val="da-DK"/>
        </w:rPr>
        <w:t xml:space="preserve">Read more about the Network </w:t>
      </w:r>
      <w:hyperlink r:id="rId26" w:history="1">
        <w:r w:rsidRPr="0066629D">
          <w:rPr>
            <w:rStyle w:val="Hyperlink"/>
            <w:rFonts w:ascii="Arial" w:hAnsi="Arial" w:cs="Arial"/>
            <w:sz w:val="18"/>
            <w:szCs w:val="18"/>
            <w:lang w:val="da-DK"/>
          </w:rPr>
          <w:t>here</w:t>
        </w:r>
      </w:hyperlink>
      <w:r>
        <w:rPr>
          <w:rFonts w:ascii="Arial" w:hAnsi="Arial" w:cs="Arial"/>
          <w:sz w:val="18"/>
          <w:szCs w:val="18"/>
          <w:lang w:val="da-D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7EE2" w14:textId="2ECDBD63" w:rsidR="00987BC1" w:rsidRPr="00C86DE0" w:rsidRDefault="00987BC1" w:rsidP="00C86DE0">
    <w:pPr>
      <w:tabs>
        <w:tab w:val="center" w:pos="4536"/>
        <w:tab w:val="right" w:pos="9072"/>
      </w:tabs>
      <w:rPr>
        <w:rFonts w:ascii="Arial" w:eastAsia="SimSun" w:hAnsi="Arial" w:cs="Arial"/>
        <w:sz w:val="20"/>
        <w:szCs w:val="20"/>
        <w:lang w:val="en-US" w:eastAsia="fr-FR"/>
      </w:rPr>
    </w:pPr>
    <w:r>
      <w:rPr>
        <w:rFonts w:ascii="Arial" w:eastAsia="SimSun" w:hAnsi="Arial" w:cs="Arial"/>
        <w:sz w:val="20"/>
        <w:szCs w:val="20"/>
        <w:lang w:val="en-US" w:eastAsia="fr-FR"/>
      </w:rPr>
      <w:t xml:space="preserve">LHE/19/14.COM/4 – page </w:t>
    </w:r>
    <w:r w:rsidRPr="006F161B">
      <w:rPr>
        <w:rFonts w:ascii="Arial" w:eastAsia="SimSun" w:hAnsi="Arial" w:cs="Arial"/>
        <w:sz w:val="20"/>
        <w:szCs w:val="20"/>
        <w:lang w:val="en-US" w:eastAsia="fr-FR"/>
      </w:rPr>
      <w:fldChar w:fldCharType="begin"/>
    </w:r>
    <w:r w:rsidRPr="006F161B">
      <w:rPr>
        <w:rFonts w:ascii="Arial" w:eastAsia="SimSun" w:hAnsi="Arial" w:cs="Arial"/>
        <w:sz w:val="20"/>
        <w:szCs w:val="20"/>
        <w:lang w:val="en-US" w:eastAsia="fr-FR"/>
      </w:rPr>
      <w:instrText xml:space="preserve"> PAGE   \* MERGEFORMAT </w:instrText>
    </w:r>
    <w:r w:rsidRPr="006F161B">
      <w:rPr>
        <w:rFonts w:ascii="Arial" w:eastAsia="SimSun" w:hAnsi="Arial" w:cs="Arial"/>
        <w:sz w:val="20"/>
        <w:szCs w:val="20"/>
        <w:lang w:val="en-US" w:eastAsia="fr-FR"/>
      </w:rPr>
      <w:fldChar w:fldCharType="separate"/>
    </w:r>
    <w:r w:rsidR="00872C6A">
      <w:rPr>
        <w:rFonts w:ascii="Arial" w:eastAsia="SimSun" w:hAnsi="Arial" w:cs="Arial"/>
        <w:noProof/>
        <w:sz w:val="20"/>
        <w:szCs w:val="20"/>
        <w:lang w:val="en-US" w:eastAsia="fr-FR"/>
      </w:rPr>
      <w:t>6</w:t>
    </w:r>
    <w:r w:rsidRPr="006F161B">
      <w:rPr>
        <w:rFonts w:ascii="Arial" w:eastAsia="SimSun" w:hAnsi="Arial" w:cs="Arial"/>
        <w:noProof/>
        <w:sz w:val="20"/>
        <w:szCs w:val="20"/>
        <w:lang w:val="en-US" w:eastAsia="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C80D" w14:textId="2DC6C400" w:rsidR="00987BC1" w:rsidRPr="00C86DE0" w:rsidRDefault="00987BC1" w:rsidP="00C86DE0">
    <w:pPr>
      <w:tabs>
        <w:tab w:val="center" w:pos="4536"/>
        <w:tab w:val="right" w:pos="9072"/>
      </w:tabs>
      <w:jc w:val="right"/>
      <w:rPr>
        <w:rFonts w:ascii="Arial" w:eastAsia="SimSun" w:hAnsi="Arial" w:cs="Arial"/>
        <w:sz w:val="20"/>
        <w:szCs w:val="20"/>
        <w:lang w:val="en-US" w:eastAsia="fr-FR"/>
      </w:rPr>
    </w:pPr>
    <w:r>
      <w:rPr>
        <w:rFonts w:ascii="Arial" w:eastAsia="SimSun" w:hAnsi="Arial" w:cs="Arial"/>
        <w:sz w:val="20"/>
        <w:szCs w:val="20"/>
        <w:lang w:val="en-US" w:eastAsia="fr-FR"/>
      </w:rPr>
      <w:t xml:space="preserve">LHE/19/14.COM/4 – page </w:t>
    </w:r>
    <w:r w:rsidRPr="006F161B">
      <w:rPr>
        <w:rFonts w:ascii="Arial" w:eastAsia="SimSun" w:hAnsi="Arial" w:cs="Arial"/>
        <w:sz w:val="20"/>
        <w:szCs w:val="20"/>
        <w:lang w:val="en-US" w:eastAsia="fr-FR"/>
      </w:rPr>
      <w:fldChar w:fldCharType="begin"/>
    </w:r>
    <w:r w:rsidRPr="006F161B">
      <w:rPr>
        <w:rFonts w:ascii="Arial" w:eastAsia="SimSun" w:hAnsi="Arial" w:cs="Arial"/>
        <w:sz w:val="20"/>
        <w:szCs w:val="20"/>
        <w:lang w:val="en-US" w:eastAsia="fr-FR"/>
      </w:rPr>
      <w:instrText xml:space="preserve"> PAGE   \* MERGEFORMAT </w:instrText>
    </w:r>
    <w:r w:rsidRPr="006F161B">
      <w:rPr>
        <w:rFonts w:ascii="Arial" w:eastAsia="SimSun" w:hAnsi="Arial" w:cs="Arial"/>
        <w:sz w:val="20"/>
        <w:szCs w:val="20"/>
        <w:lang w:val="en-US" w:eastAsia="fr-FR"/>
      </w:rPr>
      <w:fldChar w:fldCharType="separate"/>
    </w:r>
    <w:r w:rsidR="00872C6A">
      <w:rPr>
        <w:rFonts w:ascii="Arial" w:eastAsia="SimSun" w:hAnsi="Arial" w:cs="Arial"/>
        <w:noProof/>
        <w:sz w:val="20"/>
        <w:szCs w:val="20"/>
        <w:lang w:val="en-US" w:eastAsia="fr-FR"/>
      </w:rPr>
      <w:t>7</w:t>
    </w:r>
    <w:r w:rsidRPr="006F161B">
      <w:rPr>
        <w:rFonts w:ascii="Arial" w:eastAsia="SimSun" w:hAnsi="Arial" w:cs="Arial"/>
        <w:noProof/>
        <w:sz w:val="20"/>
        <w:szCs w:val="20"/>
        <w:lang w:val="en-US" w:eastAsia="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882C" w14:textId="77777777" w:rsidR="00987BC1" w:rsidRPr="003371C6" w:rsidRDefault="00987BC1" w:rsidP="00C86DE0">
    <w:pPr>
      <w:pStyle w:val="Header"/>
    </w:pPr>
    <w:r w:rsidRPr="003371C6">
      <w:rPr>
        <w:noProof/>
        <w:lang w:val="fr-FR" w:eastAsia="ja-JP"/>
      </w:rPr>
      <w:drawing>
        <wp:anchor distT="0" distB="0" distL="114300" distR="114300" simplePos="0" relativeHeight="251659264" behindDoc="0" locked="0" layoutInCell="1" allowOverlap="1" wp14:anchorId="74CF4382" wp14:editId="4E5DD44D">
          <wp:simplePos x="0" y="0"/>
          <wp:positionH relativeFrom="column">
            <wp:posOffset>-567690</wp:posOffset>
          </wp:positionH>
          <wp:positionV relativeFrom="paragraph">
            <wp:posOffset>3810</wp:posOffset>
          </wp:positionV>
          <wp:extent cx="2228215" cy="1367790"/>
          <wp:effectExtent l="0" t="0" r="635" b="3810"/>
          <wp:wrapNone/>
          <wp:docPr id="3"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1C5AC" w14:textId="2B9A329C" w:rsidR="00987BC1" w:rsidRPr="00F30DC6" w:rsidRDefault="00987BC1" w:rsidP="006F161B">
    <w:pPr>
      <w:pStyle w:val="Header"/>
      <w:spacing w:after="520"/>
      <w:jc w:val="right"/>
      <w:rPr>
        <w:rFonts w:ascii="Arial" w:hAnsi="Arial" w:cs="Arial"/>
        <w:b/>
        <w:sz w:val="44"/>
        <w:szCs w:val="44"/>
      </w:rPr>
    </w:pPr>
    <w:r>
      <w:rPr>
        <w:rFonts w:ascii="Arial" w:hAnsi="Arial" w:cs="Arial"/>
        <w:b/>
        <w:sz w:val="44"/>
        <w:szCs w:val="44"/>
      </w:rPr>
      <w:t>14</w:t>
    </w:r>
    <w:r w:rsidRPr="00F30DC6">
      <w:rPr>
        <w:rFonts w:ascii="Arial" w:hAnsi="Arial" w:cs="Arial"/>
        <w:b/>
        <w:sz w:val="44"/>
        <w:szCs w:val="44"/>
      </w:rPr>
      <w:t xml:space="preserve"> COM</w:t>
    </w:r>
  </w:p>
  <w:p w14:paraId="42D9081D" w14:textId="44476695" w:rsidR="00987BC1" w:rsidRPr="003371C6" w:rsidRDefault="00987BC1" w:rsidP="00C86DE0">
    <w:pPr>
      <w:jc w:val="right"/>
      <w:rPr>
        <w:rFonts w:ascii="Arial" w:eastAsia="Malgun Gothic" w:hAnsi="Arial" w:cs="Arial"/>
        <w:b/>
        <w:sz w:val="22"/>
        <w:szCs w:val="22"/>
        <w:lang w:eastAsia="ko-KR"/>
      </w:rPr>
    </w:pPr>
    <w:r>
      <w:rPr>
        <w:rFonts w:ascii="Arial" w:eastAsia="Malgun Gothic" w:hAnsi="Arial" w:cs="Arial"/>
        <w:b/>
        <w:sz w:val="22"/>
        <w:szCs w:val="22"/>
        <w:lang w:eastAsia="ko-KR"/>
      </w:rPr>
      <w:t>LHE/19/14.COM/4</w:t>
    </w:r>
  </w:p>
  <w:p w14:paraId="1B1915F5" w14:textId="008B9E0A" w:rsidR="00987BC1" w:rsidRPr="00337CEB" w:rsidRDefault="00987BC1" w:rsidP="00C86DE0">
    <w:pPr>
      <w:jc w:val="right"/>
      <w:rPr>
        <w:rFonts w:ascii="Arial" w:eastAsiaTheme="minorEastAsia" w:hAnsi="Arial" w:cs="Arial"/>
        <w:b/>
        <w:sz w:val="22"/>
        <w:szCs w:val="22"/>
        <w:lang w:eastAsia="ko-KR"/>
      </w:rPr>
    </w:pPr>
    <w:r w:rsidRPr="009D5428">
      <w:rPr>
        <w:rFonts w:ascii="Arial" w:hAnsi="Arial" w:cs="Arial"/>
        <w:b/>
        <w:sz w:val="22"/>
        <w:szCs w:val="22"/>
      </w:rPr>
      <w:t>Paris,</w:t>
    </w:r>
    <w:r>
      <w:rPr>
        <w:rFonts w:ascii="Arial" w:hAnsi="Arial" w:cs="Arial"/>
        <w:b/>
        <w:sz w:val="22"/>
        <w:szCs w:val="22"/>
      </w:rPr>
      <w:t xml:space="preserve"> </w:t>
    </w:r>
    <w:r w:rsidR="005E76C1" w:rsidRPr="002827E3">
      <w:rPr>
        <w:rFonts w:ascii="Arial" w:hAnsi="Arial" w:cs="Arial"/>
        <w:b/>
        <w:sz w:val="22"/>
        <w:szCs w:val="22"/>
      </w:rPr>
      <w:t>2</w:t>
    </w:r>
    <w:r w:rsidR="006A651B">
      <w:rPr>
        <w:rFonts w:ascii="Arial" w:hAnsi="Arial" w:cs="Arial"/>
        <w:b/>
        <w:sz w:val="22"/>
        <w:szCs w:val="22"/>
      </w:rPr>
      <w:t>2</w:t>
    </w:r>
    <w:r w:rsidRPr="002827E3">
      <w:rPr>
        <w:rFonts w:ascii="Arial" w:hAnsi="Arial" w:cs="Arial"/>
        <w:b/>
        <w:sz w:val="22"/>
        <w:szCs w:val="22"/>
      </w:rPr>
      <w:t xml:space="preserve"> </w:t>
    </w:r>
    <w:r w:rsidR="006A651B">
      <w:rPr>
        <w:rFonts w:ascii="Arial" w:hAnsi="Arial" w:cs="Arial"/>
        <w:b/>
        <w:sz w:val="22"/>
        <w:szCs w:val="22"/>
      </w:rPr>
      <w:t xml:space="preserve">October </w:t>
    </w:r>
    <w:r>
      <w:rPr>
        <w:rFonts w:ascii="Arial" w:hAnsi="Arial" w:cs="Arial"/>
        <w:b/>
        <w:sz w:val="22"/>
        <w:szCs w:val="22"/>
      </w:rPr>
      <w:t>201</w:t>
    </w:r>
    <w:r>
      <w:rPr>
        <w:rFonts w:ascii="Arial" w:eastAsiaTheme="minorEastAsia" w:hAnsi="Arial" w:cs="Arial"/>
        <w:b/>
        <w:sz w:val="22"/>
        <w:szCs w:val="22"/>
        <w:lang w:eastAsia="ko-KR"/>
      </w:rPr>
      <w:t>9</w:t>
    </w:r>
  </w:p>
  <w:p w14:paraId="2C6C0E2E" w14:textId="77777777" w:rsidR="00987BC1" w:rsidRPr="003371C6" w:rsidRDefault="00987BC1" w:rsidP="00C86DE0">
    <w:pPr>
      <w:jc w:val="right"/>
      <w:rPr>
        <w:rFonts w:ascii="Arial" w:eastAsia="Malgun Gothic" w:hAnsi="Arial" w:cs="Arial"/>
        <w:b/>
        <w:sz w:val="22"/>
        <w:szCs w:val="22"/>
        <w:lang w:eastAsia="ko-KR"/>
      </w:rPr>
    </w:pPr>
    <w:r w:rsidRPr="00F32C23">
      <w:rPr>
        <w:rFonts w:ascii="Arial" w:hAnsi="Arial" w:cs="Arial"/>
        <w:b/>
        <w:sz w:val="22"/>
        <w:szCs w:val="22"/>
      </w:rPr>
      <w:t xml:space="preserve">Original: </w:t>
    </w:r>
    <w:r>
      <w:rPr>
        <w:rFonts w:ascii="Arial" w:eastAsia="Malgun Gothic" w:hAnsi="Arial" w:cs="Arial" w:hint="eastAsia"/>
        <w:b/>
        <w:sz w:val="22"/>
        <w:szCs w:val="22"/>
        <w:lang w:eastAsia="ko-KR"/>
      </w:rPr>
      <w:t>English</w:t>
    </w:r>
  </w:p>
  <w:p w14:paraId="4868BAB3" w14:textId="77777777" w:rsidR="00987BC1" w:rsidRPr="00C375A2" w:rsidRDefault="00987BC1" w:rsidP="00C86DE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BE3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C7AC6"/>
    <w:multiLevelType w:val="hybridMultilevel"/>
    <w:tmpl w:val="B1581DE2"/>
    <w:lvl w:ilvl="0" w:tplc="BF1E8E48">
      <w:start w:val="1"/>
      <w:numFmt w:val="decimal"/>
      <w:pStyle w:val="Orateurengris"/>
      <w:lvlText w:val="%1."/>
      <w:lvlJc w:val="left"/>
      <w:pPr>
        <w:tabs>
          <w:tab w:val="num" w:pos="567"/>
        </w:tabs>
        <w:ind w:left="567" w:hanging="567"/>
      </w:pPr>
      <w:rPr>
        <w:rFonts w:ascii="Arial" w:hAnsi="Arial" w:cs="Arial" w:hint="default"/>
        <w:b w:val="0"/>
        <w:i w:val="0"/>
        <w:color w:val="000000" w:themeColor="text1"/>
        <w:sz w:val="22"/>
        <w:szCs w:val="22"/>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2B3C6D"/>
    <w:multiLevelType w:val="multilevel"/>
    <w:tmpl w:val="E168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A6DCD"/>
    <w:multiLevelType w:val="multilevel"/>
    <w:tmpl w:val="46048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0647B"/>
    <w:multiLevelType w:val="multilevel"/>
    <w:tmpl w:val="39E0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14D83"/>
    <w:multiLevelType w:val="singleLevel"/>
    <w:tmpl w:val="46384BC4"/>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48010292"/>
    <w:multiLevelType w:val="hybridMultilevel"/>
    <w:tmpl w:val="EC4482CA"/>
    <w:lvl w:ilvl="0" w:tplc="A14C507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8" w15:restartNumberingAfterBreak="0">
    <w:nsid w:val="4B7E5DA1"/>
    <w:multiLevelType w:val="hybridMultilevel"/>
    <w:tmpl w:val="873223DC"/>
    <w:lvl w:ilvl="0" w:tplc="D1FEBA16">
      <w:start w:val="1"/>
      <w:numFmt w:val="lowerRoman"/>
      <w:lvlText w:val="%1."/>
      <w:lvlJc w:val="left"/>
      <w:pPr>
        <w:ind w:left="2149" w:hanging="720"/>
      </w:pPr>
      <w:rPr>
        <w:rFonts w:eastAsiaTheme="minorHAnsi"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9" w15:restartNumberingAfterBreak="0">
    <w:nsid w:val="5994573A"/>
    <w:multiLevelType w:val="hybridMultilevel"/>
    <w:tmpl w:val="19C4FAE2"/>
    <w:lvl w:ilvl="0" w:tplc="6FEA019E">
      <w:start w:val="1"/>
      <w:numFmt w:val="bullet"/>
      <w:pStyle w:val="Bullet1"/>
      <w:lvlText w:val=""/>
      <w:lvlJc w:val="left"/>
      <w:pPr>
        <w:ind w:left="720" w:hanging="360"/>
      </w:pPr>
      <w:rPr>
        <w:rFonts w:ascii="Symbol" w:hAnsi="Symbol" w:hint="default"/>
        <w:lang w:val="en-GB"/>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E3B0D"/>
    <w:multiLevelType w:val="multilevel"/>
    <w:tmpl w:val="3E62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11"/>
  </w:num>
  <w:num w:numId="3">
    <w:abstractNumId w:val="9"/>
  </w:num>
  <w:num w:numId="4">
    <w:abstractNumId w:val="5"/>
  </w:num>
  <w:num w:numId="5">
    <w:abstractNumId w:val="0"/>
  </w:num>
  <w:num w:numId="6">
    <w:abstractNumId w:val="7"/>
  </w:num>
  <w:num w:numId="7">
    <w:abstractNumId w:val="8"/>
  </w:num>
  <w:num w:numId="8">
    <w:abstractNumId w:val="1"/>
  </w:num>
  <w:num w:numId="9">
    <w:abstractNumId w:val="1"/>
  </w:num>
  <w:num w:numId="10">
    <w:abstractNumId w:val="1"/>
  </w:num>
  <w:num w:numId="11">
    <w:abstractNumId w:val="10"/>
  </w:num>
  <w:num w:numId="12">
    <w:abstractNumId w:val="1"/>
  </w:num>
  <w:num w:numId="13">
    <w:abstractNumId w:val="4"/>
  </w:num>
  <w:num w:numId="14">
    <w:abstractNumId w:val="3"/>
    <w:lvlOverride w:ilvl="0">
      <w:lvl w:ilvl="0">
        <w:numFmt w:val="decimal"/>
        <w:lvlText w:val="%1."/>
        <w:lvlJc w:val="left"/>
      </w:lvl>
    </w:lvlOverride>
  </w:num>
  <w:num w:numId="15">
    <w:abstractNumId w:val="1"/>
  </w:num>
  <w:num w:numId="16">
    <w:abstractNumId w:val="1"/>
  </w:num>
  <w:num w:numId="17">
    <w:abstractNumId w:val="1"/>
  </w:num>
  <w:num w:numId="18">
    <w:abstractNumId w:val="6"/>
  </w:num>
  <w:num w:numId="19">
    <w:abstractNumId w:val="1"/>
  </w:num>
  <w:num w:numId="20">
    <w:abstractNumId w:val="2"/>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09"/>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76"/>
    <w:rsid w:val="00000012"/>
    <w:rsid w:val="000004B5"/>
    <w:rsid w:val="00000F8F"/>
    <w:rsid w:val="00001FF8"/>
    <w:rsid w:val="00003370"/>
    <w:rsid w:val="0000398F"/>
    <w:rsid w:val="00003A58"/>
    <w:rsid w:val="00003EE3"/>
    <w:rsid w:val="00004B95"/>
    <w:rsid w:val="00005911"/>
    <w:rsid w:val="00006F9A"/>
    <w:rsid w:val="0000721B"/>
    <w:rsid w:val="00007C50"/>
    <w:rsid w:val="00007D89"/>
    <w:rsid w:val="00010015"/>
    <w:rsid w:val="00010103"/>
    <w:rsid w:val="00010D5B"/>
    <w:rsid w:val="00011558"/>
    <w:rsid w:val="0001158D"/>
    <w:rsid w:val="00011AF2"/>
    <w:rsid w:val="00011FCA"/>
    <w:rsid w:val="0001289D"/>
    <w:rsid w:val="00012979"/>
    <w:rsid w:val="00012D0A"/>
    <w:rsid w:val="0001318B"/>
    <w:rsid w:val="000133FD"/>
    <w:rsid w:val="0001387F"/>
    <w:rsid w:val="0001389A"/>
    <w:rsid w:val="00014449"/>
    <w:rsid w:val="000145F6"/>
    <w:rsid w:val="00014A80"/>
    <w:rsid w:val="00014BB1"/>
    <w:rsid w:val="00014BCE"/>
    <w:rsid w:val="000151E5"/>
    <w:rsid w:val="000157CA"/>
    <w:rsid w:val="00015DCD"/>
    <w:rsid w:val="00016346"/>
    <w:rsid w:val="00016A02"/>
    <w:rsid w:val="000173B9"/>
    <w:rsid w:val="000178B0"/>
    <w:rsid w:val="00020144"/>
    <w:rsid w:val="0002071C"/>
    <w:rsid w:val="00020E80"/>
    <w:rsid w:val="000211C2"/>
    <w:rsid w:val="00021BCD"/>
    <w:rsid w:val="00022A92"/>
    <w:rsid w:val="00023B17"/>
    <w:rsid w:val="000241AE"/>
    <w:rsid w:val="000244D1"/>
    <w:rsid w:val="000244E5"/>
    <w:rsid w:val="000245DD"/>
    <w:rsid w:val="00024A4F"/>
    <w:rsid w:val="00024F06"/>
    <w:rsid w:val="00025388"/>
    <w:rsid w:val="00025664"/>
    <w:rsid w:val="000257AC"/>
    <w:rsid w:val="00025D6F"/>
    <w:rsid w:val="00026374"/>
    <w:rsid w:val="00026827"/>
    <w:rsid w:val="0002768E"/>
    <w:rsid w:val="00027EB8"/>
    <w:rsid w:val="00027F33"/>
    <w:rsid w:val="000301A7"/>
    <w:rsid w:val="00030A95"/>
    <w:rsid w:val="0003138D"/>
    <w:rsid w:val="00031582"/>
    <w:rsid w:val="000324C8"/>
    <w:rsid w:val="000325AD"/>
    <w:rsid w:val="000325F9"/>
    <w:rsid w:val="0003265F"/>
    <w:rsid w:val="000339BE"/>
    <w:rsid w:val="00033CD2"/>
    <w:rsid w:val="0003471A"/>
    <w:rsid w:val="000350CA"/>
    <w:rsid w:val="00035C5E"/>
    <w:rsid w:val="000365B4"/>
    <w:rsid w:val="00036C45"/>
    <w:rsid w:val="00037967"/>
    <w:rsid w:val="00037FE8"/>
    <w:rsid w:val="00040696"/>
    <w:rsid w:val="00042644"/>
    <w:rsid w:val="0004271C"/>
    <w:rsid w:val="0004280E"/>
    <w:rsid w:val="00042859"/>
    <w:rsid w:val="00042F4D"/>
    <w:rsid w:val="00043279"/>
    <w:rsid w:val="00043310"/>
    <w:rsid w:val="0004356A"/>
    <w:rsid w:val="00044D81"/>
    <w:rsid w:val="00045DA6"/>
    <w:rsid w:val="00046519"/>
    <w:rsid w:val="00046586"/>
    <w:rsid w:val="00047A82"/>
    <w:rsid w:val="0005049B"/>
    <w:rsid w:val="00050B28"/>
    <w:rsid w:val="00050E41"/>
    <w:rsid w:val="00051D36"/>
    <w:rsid w:val="00051F58"/>
    <w:rsid w:val="00052039"/>
    <w:rsid w:val="000520D6"/>
    <w:rsid w:val="00052C81"/>
    <w:rsid w:val="00052DF6"/>
    <w:rsid w:val="00052EB4"/>
    <w:rsid w:val="0005315E"/>
    <w:rsid w:val="000544B0"/>
    <w:rsid w:val="000546B0"/>
    <w:rsid w:val="00054B3B"/>
    <w:rsid w:val="0005520C"/>
    <w:rsid w:val="0005530D"/>
    <w:rsid w:val="00055476"/>
    <w:rsid w:val="000558A6"/>
    <w:rsid w:val="000559E9"/>
    <w:rsid w:val="00055BF8"/>
    <w:rsid w:val="00055D98"/>
    <w:rsid w:val="000564FD"/>
    <w:rsid w:val="000572A1"/>
    <w:rsid w:val="000574E9"/>
    <w:rsid w:val="00057E00"/>
    <w:rsid w:val="00057FF6"/>
    <w:rsid w:val="00060076"/>
    <w:rsid w:val="00060317"/>
    <w:rsid w:val="00060333"/>
    <w:rsid w:val="000612ED"/>
    <w:rsid w:val="000613EB"/>
    <w:rsid w:val="000616D1"/>
    <w:rsid w:val="0006175B"/>
    <w:rsid w:val="00061825"/>
    <w:rsid w:val="000628AB"/>
    <w:rsid w:val="0006296B"/>
    <w:rsid w:val="00062B5F"/>
    <w:rsid w:val="00062D2F"/>
    <w:rsid w:val="000631CD"/>
    <w:rsid w:val="00063325"/>
    <w:rsid w:val="00063961"/>
    <w:rsid w:val="00063AF7"/>
    <w:rsid w:val="00063DB4"/>
    <w:rsid w:val="0006442D"/>
    <w:rsid w:val="00064613"/>
    <w:rsid w:val="000653E7"/>
    <w:rsid w:val="00065A74"/>
    <w:rsid w:val="00065BDE"/>
    <w:rsid w:val="00065FDE"/>
    <w:rsid w:val="00066084"/>
    <w:rsid w:val="00066608"/>
    <w:rsid w:val="000673E0"/>
    <w:rsid w:val="00067599"/>
    <w:rsid w:val="0006791C"/>
    <w:rsid w:val="00067C2A"/>
    <w:rsid w:val="00070425"/>
    <w:rsid w:val="000707C3"/>
    <w:rsid w:val="00070901"/>
    <w:rsid w:val="0007139F"/>
    <w:rsid w:val="0007193B"/>
    <w:rsid w:val="0007196D"/>
    <w:rsid w:val="00071B2E"/>
    <w:rsid w:val="00071FC3"/>
    <w:rsid w:val="00072FB3"/>
    <w:rsid w:val="000736AD"/>
    <w:rsid w:val="00073703"/>
    <w:rsid w:val="00073727"/>
    <w:rsid w:val="000743F6"/>
    <w:rsid w:val="000746B9"/>
    <w:rsid w:val="00074A4A"/>
    <w:rsid w:val="00074C7E"/>
    <w:rsid w:val="00074E8C"/>
    <w:rsid w:val="00075039"/>
    <w:rsid w:val="000755B2"/>
    <w:rsid w:val="00077A34"/>
    <w:rsid w:val="00080674"/>
    <w:rsid w:val="000809FF"/>
    <w:rsid w:val="00080AEC"/>
    <w:rsid w:val="00080C1C"/>
    <w:rsid w:val="00082333"/>
    <w:rsid w:val="00082AFA"/>
    <w:rsid w:val="00082E6B"/>
    <w:rsid w:val="000832A2"/>
    <w:rsid w:val="0008363D"/>
    <w:rsid w:val="0008369D"/>
    <w:rsid w:val="00083A76"/>
    <w:rsid w:val="00083CE9"/>
    <w:rsid w:val="00083F99"/>
    <w:rsid w:val="0008407D"/>
    <w:rsid w:val="0008439E"/>
    <w:rsid w:val="00085293"/>
    <w:rsid w:val="000859EF"/>
    <w:rsid w:val="00085A5B"/>
    <w:rsid w:val="00085BD9"/>
    <w:rsid w:val="00086553"/>
    <w:rsid w:val="000868F5"/>
    <w:rsid w:val="00087166"/>
    <w:rsid w:val="00090D1B"/>
    <w:rsid w:val="00091926"/>
    <w:rsid w:val="00091DD3"/>
    <w:rsid w:val="00092054"/>
    <w:rsid w:val="0009262C"/>
    <w:rsid w:val="000927FD"/>
    <w:rsid w:val="00093374"/>
    <w:rsid w:val="00093A74"/>
    <w:rsid w:val="00094277"/>
    <w:rsid w:val="00094549"/>
    <w:rsid w:val="000953A7"/>
    <w:rsid w:val="00095F8C"/>
    <w:rsid w:val="000965CF"/>
    <w:rsid w:val="00096F3D"/>
    <w:rsid w:val="0009706B"/>
    <w:rsid w:val="00097ED3"/>
    <w:rsid w:val="000A0370"/>
    <w:rsid w:val="000A0555"/>
    <w:rsid w:val="000A1549"/>
    <w:rsid w:val="000A154A"/>
    <w:rsid w:val="000A15AA"/>
    <w:rsid w:val="000A1933"/>
    <w:rsid w:val="000A1DC0"/>
    <w:rsid w:val="000A2279"/>
    <w:rsid w:val="000A2605"/>
    <w:rsid w:val="000A3090"/>
    <w:rsid w:val="000A31B7"/>
    <w:rsid w:val="000A31D4"/>
    <w:rsid w:val="000A39B8"/>
    <w:rsid w:val="000A3AA6"/>
    <w:rsid w:val="000A3E23"/>
    <w:rsid w:val="000A4318"/>
    <w:rsid w:val="000A4BB9"/>
    <w:rsid w:val="000A504F"/>
    <w:rsid w:val="000A5EAB"/>
    <w:rsid w:val="000A60F8"/>
    <w:rsid w:val="000A62D9"/>
    <w:rsid w:val="000A64B2"/>
    <w:rsid w:val="000A650F"/>
    <w:rsid w:val="000A655A"/>
    <w:rsid w:val="000A6604"/>
    <w:rsid w:val="000A69EB"/>
    <w:rsid w:val="000A7323"/>
    <w:rsid w:val="000A74CB"/>
    <w:rsid w:val="000A7AD4"/>
    <w:rsid w:val="000A7C18"/>
    <w:rsid w:val="000B0DB4"/>
    <w:rsid w:val="000B1E4D"/>
    <w:rsid w:val="000B2336"/>
    <w:rsid w:val="000B260E"/>
    <w:rsid w:val="000B294B"/>
    <w:rsid w:val="000B2E99"/>
    <w:rsid w:val="000B361A"/>
    <w:rsid w:val="000B38C6"/>
    <w:rsid w:val="000B4401"/>
    <w:rsid w:val="000B516C"/>
    <w:rsid w:val="000B54A1"/>
    <w:rsid w:val="000B5524"/>
    <w:rsid w:val="000B55EB"/>
    <w:rsid w:val="000B57EB"/>
    <w:rsid w:val="000B5D20"/>
    <w:rsid w:val="000B62DA"/>
    <w:rsid w:val="000B6BD0"/>
    <w:rsid w:val="000B6D61"/>
    <w:rsid w:val="000B6D83"/>
    <w:rsid w:val="000B734B"/>
    <w:rsid w:val="000B7785"/>
    <w:rsid w:val="000B79D8"/>
    <w:rsid w:val="000B7D2C"/>
    <w:rsid w:val="000C00F9"/>
    <w:rsid w:val="000C010B"/>
    <w:rsid w:val="000C0171"/>
    <w:rsid w:val="000C072C"/>
    <w:rsid w:val="000C0731"/>
    <w:rsid w:val="000C07AD"/>
    <w:rsid w:val="000C08FE"/>
    <w:rsid w:val="000C094A"/>
    <w:rsid w:val="000C0B25"/>
    <w:rsid w:val="000C1BFA"/>
    <w:rsid w:val="000C213F"/>
    <w:rsid w:val="000C2141"/>
    <w:rsid w:val="000C2840"/>
    <w:rsid w:val="000C288B"/>
    <w:rsid w:val="000C32CA"/>
    <w:rsid w:val="000C36AC"/>
    <w:rsid w:val="000C37B9"/>
    <w:rsid w:val="000C3AAF"/>
    <w:rsid w:val="000C3D10"/>
    <w:rsid w:val="000C44D7"/>
    <w:rsid w:val="000C5A26"/>
    <w:rsid w:val="000C5C9D"/>
    <w:rsid w:val="000C5CA1"/>
    <w:rsid w:val="000C6273"/>
    <w:rsid w:val="000C73FC"/>
    <w:rsid w:val="000D084E"/>
    <w:rsid w:val="000D14A2"/>
    <w:rsid w:val="000D157C"/>
    <w:rsid w:val="000D1DE0"/>
    <w:rsid w:val="000D1F0F"/>
    <w:rsid w:val="000D207E"/>
    <w:rsid w:val="000D2217"/>
    <w:rsid w:val="000D22EC"/>
    <w:rsid w:val="000D2502"/>
    <w:rsid w:val="000D2843"/>
    <w:rsid w:val="000D30F1"/>
    <w:rsid w:val="000D36C9"/>
    <w:rsid w:val="000D3DCF"/>
    <w:rsid w:val="000D3FFE"/>
    <w:rsid w:val="000D4288"/>
    <w:rsid w:val="000D43ED"/>
    <w:rsid w:val="000D458F"/>
    <w:rsid w:val="000D4EE7"/>
    <w:rsid w:val="000D5743"/>
    <w:rsid w:val="000D60F3"/>
    <w:rsid w:val="000D6466"/>
    <w:rsid w:val="000D675F"/>
    <w:rsid w:val="000D6AAC"/>
    <w:rsid w:val="000D6BF5"/>
    <w:rsid w:val="000D7B6A"/>
    <w:rsid w:val="000D7C4F"/>
    <w:rsid w:val="000D7E72"/>
    <w:rsid w:val="000E10A1"/>
    <w:rsid w:val="000E1154"/>
    <w:rsid w:val="000E1855"/>
    <w:rsid w:val="000E1882"/>
    <w:rsid w:val="000E1A67"/>
    <w:rsid w:val="000E20A4"/>
    <w:rsid w:val="000E2234"/>
    <w:rsid w:val="000E23CC"/>
    <w:rsid w:val="000E28DB"/>
    <w:rsid w:val="000E292B"/>
    <w:rsid w:val="000E2A0F"/>
    <w:rsid w:val="000E2AD8"/>
    <w:rsid w:val="000E2BC4"/>
    <w:rsid w:val="000E30CB"/>
    <w:rsid w:val="000E3178"/>
    <w:rsid w:val="000E3C53"/>
    <w:rsid w:val="000E41CE"/>
    <w:rsid w:val="000E43B1"/>
    <w:rsid w:val="000E47F9"/>
    <w:rsid w:val="000E589F"/>
    <w:rsid w:val="000E5AD9"/>
    <w:rsid w:val="000E6122"/>
    <w:rsid w:val="000E648E"/>
    <w:rsid w:val="000E6D94"/>
    <w:rsid w:val="000E70DE"/>
    <w:rsid w:val="000E7BD3"/>
    <w:rsid w:val="000E7C41"/>
    <w:rsid w:val="000F07C3"/>
    <w:rsid w:val="000F0E20"/>
    <w:rsid w:val="000F0F5F"/>
    <w:rsid w:val="000F1090"/>
    <w:rsid w:val="000F12ED"/>
    <w:rsid w:val="000F170A"/>
    <w:rsid w:val="000F1C31"/>
    <w:rsid w:val="000F1DC5"/>
    <w:rsid w:val="000F2408"/>
    <w:rsid w:val="000F2DD5"/>
    <w:rsid w:val="000F33BB"/>
    <w:rsid w:val="000F35C8"/>
    <w:rsid w:val="000F36C1"/>
    <w:rsid w:val="000F36F2"/>
    <w:rsid w:val="000F3E3E"/>
    <w:rsid w:val="000F5E71"/>
    <w:rsid w:val="000F5F51"/>
    <w:rsid w:val="000F6761"/>
    <w:rsid w:val="000F6BA8"/>
    <w:rsid w:val="000F72B5"/>
    <w:rsid w:val="000F76BC"/>
    <w:rsid w:val="0010033C"/>
    <w:rsid w:val="00100538"/>
    <w:rsid w:val="00100A7A"/>
    <w:rsid w:val="00100CEB"/>
    <w:rsid w:val="00101154"/>
    <w:rsid w:val="00101AAC"/>
    <w:rsid w:val="00102B4C"/>
    <w:rsid w:val="001032C8"/>
    <w:rsid w:val="0010447F"/>
    <w:rsid w:val="0010460E"/>
    <w:rsid w:val="00104F52"/>
    <w:rsid w:val="00105144"/>
    <w:rsid w:val="00105310"/>
    <w:rsid w:val="00105678"/>
    <w:rsid w:val="001067B4"/>
    <w:rsid w:val="001068B2"/>
    <w:rsid w:val="001069D8"/>
    <w:rsid w:val="00106E31"/>
    <w:rsid w:val="00106FC7"/>
    <w:rsid w:val="00106FCC"/>
    <w:rsid w:val="00107008"/>
    <w:rsid w:val="001074D1"/>
    <w:rsid w:val="00107BCD"/>
    <w:rsid w:val="00110193"/>
    <w:rsid w:val="001104CC"/>
    <w:rsid w:val="00110A8D"/>
    <w:rsid w:val="00110F72"/>
    <w:rsid w:val="001113FF"/>
    <w:rsid w:val="00111A75"/>
    <w:rsid w:val="00112229"/>
    <w:rsid w:val="0011281B"/>
    <w:rsid w:val="0011284F"/>
    <w:rsid w:val="001129F1"/>
    <w:rsid w:val="0011329A"/>
    <w:rsid w:val="00113322"/>
    <w:rsid w:val="001139EC"/>
    <w:rsid w:val="0011412D"/>
    <w:rsid w:val="00114565"/>
    <w:rsid w:val="00115242"/>
    <w:rsid w:val="00115ACA"/>
    <w:rsid w:val="00115BD7"/>
    <w:rsid w:val="0011634F"/>
    <w:rsid w:val="00116641"/>
    <w:rsid w:val="00116963"/>
    <w:rsid w:val="00116C65"/>
    <w:rsid w:val="0011739A"/>
    <w:rsid w:val="00120592"/>
    <w:rsid w:val="0012085D"/>
    <w:rsid w:val="001220A4"/>
    <w:rsid w:val="00122FF5"/>
    <w:rsid w:val="001235C7"/>
    <w:rsid w:val="00123BE6"/>
    <w:rsid w:val="00124F17"/>
    <w:rsid w:val="00125581"/>
    <w:rsid w:val="00125B7B"/>
    <w:rsid w:val="00125EBC"/>
    <w:rsid w:val="00125EFC"/>
    <w:rsid w:val="001262E3"/>
    <w:rsid w:val="001264E3"/>
    <w:rsid w:val="00126861"/>
    <w:rsid w:val="001303EE"/>
    <w:rsid w:val="00130811"/>
    <w:rsid w:val="00131039"/>
    <w:rsid w:val="0013125F"/>
    <w:rsid w:val="00132725"/>
    <w:rsid w:val="001327FE"/>
    <w:rsid w:val="00132FE1"/>
    <w:rsid w:val="001330B8"/>
    <w:rsid w:val="00134169"/>
    <w:rsid w:val="00134CDC"/>
    <w:rsid w:val="00135CBF"/>
    <w:rsid w:val="00135DE3"/>
    <w:rsid w:val="00136006"/>
    <w:rsid w:val="0013686F"/>
    <w:rsid w:val="00136D06"/>
    <w:rsid w:val="00136E08"/>
    <w:rsid w:val="0013790C"/>
    <w:rsid w:val="00140117"/>
    <w:rsid w:val="001407A3"/>
    <w:rsid w:val="001408C7"/>
    <w:rsid w:val="00140D63"/>
    <w:rsid w:val="0014118B"/>
    <w:rsid w:val="0014134B"/>
    <w:rsid w:val="00142198"/>
    <w:rsid w:val="00142344"/>
    <w:rsid w:val="001427BC"/>
    <w:rsid w:val="00142A62"/>
    <w:rsid w:val="001430EF"/>
    <w:rsid w:val="001438B4"/>
    <w:rsid w:val="00143B4F"/>
    <w:rsid w:val="00143F1F"/>
    <w:rsid w:val="00144173"/>
    <w:rsid w:val="00144972"/>
    <w:rsid w:val="00144E56"/>
    <w:rsid w:val="0014565C"/>
    <w:rsid w:val="0014651E"/>
    <w:rsid w:val="00146575"/>
    <w:rsid w:val="00147865"/>
    <w:rsid w:val="00147C65"/>
    <w:rsid w:val="00150869"/>
    <w:rsid w:val="001508D1"/>
    <w:rsid w:val="00150C88"/>
    <w:rsid w:val="00150F5C"/>
    <w:rsid w:val="001527A4"/>
    <w:rsid w:val="0015306C"/>
    <w:rsid w:val="00153115"/>
    <w:rsid w:val="00153726"/>
    <w:rsid w:val="00153B42"/>
    <w:rsid w:val="00154BC2"/>
    <w:rsid w:val="00155746"/>
    <w:rsid w:val="0015579E"/>
    <w:rsid w:val="001559D1"/>
    <w:rsid w:val="00155C17"/>
    <w:rsid w:val="00156CCA"/>
    <w:rsid w:val="00156DAE"/>
    <w:rsid w:val="0015710D"/>
    <w:rsid w:val="001578AF"/>
    <w:rsid w:val="00161372"/>
    <w:rsid w:val="001613C4"/>
    <w:rsid w:val="00161964"/>
    <w:rsid w:val="001619DE"/>
    <w:rsid w:val="00161A45"/>
    <w:rsid w:val="00161F7A"/>
    <w:rsid w:val="001622F2"/>
    <w:rsid w:val="00162460"/>
    <w:rsid w:val="001624E9"/>
    <w:rsid w:val="0016273D"/>
    <w:rsid w:val="0016313C"/>
    <w:rsid w:val="00163C3D"/>
    <w:rsid w:val="0016401F"/>
    <w:rsid w:val="0016402F"/>
    <w:rsid w:val="00164126"/>
    <w:rsid w:val="0016471C"/>
    <w:rsid w:val="00165A60"/>
    <w:rsid w:val="00165EDA"/>
    <w:rsid w:val="001673C6"/>
    <w:rsid w:val="00167408"/>
    <w:rsid w:val="00167419"/>
    <w:rsid w:val="001674EF"/>
    <w:rsid w:val="001676B0"/>
    <w:rsid w:val="00167E4A"/>
    <w:rsid w:val="00170621"/>
    <w:rsid w:val="00171A63"/>
    <w:rsid w:val="00172165"/>
    <w:rsid w:val="001726AC"/>
    <w:rsid w:val="00173990"/>
    <w:rsid w:val="0017442E"/>
    <w:rsid w:val="001744B0"/>
    <w:rsid w:val="001745FD"/>
    <w:rsid w:val="00174D57"/>
    <w:rsid w:val="001751C9"/>
    <w:rsid w:val="0017569E"/>
    <w:rsid w:val="0017582B"/>
    <w:rsid w:val="00175E13"/>
    <w:rsid w:val="00176B09"/>
    <w:rsid w:val="00176CDE"/>
    <w:rsid w:val="00177000"/>
    <w:rsid w:val="001772EC"/>
    <w:rsid w:val="00177507"/>
    <w:rsid w:val="00177D87"/>
    <w:rsid w:val="00180510"/>
    <w:rsid w:val="00180A1A"/>
    <w:rsid w:val="00181796"/>
    <w:rsid w:val="00181AF0"/>
    <w:rsid w:val="00181B23"/>
    <w:rsid w:val="00181B4E"/>
    <w:rsid w:val="0018259A"/>
    <w:rsid w:val="00182E26"/>
    <w:rsid w:val="00183502"/>
    <w:rsid w:val="001839A3"/>
    <w:rsid w:val="00183DDA"/>
    <w:rsid w:val="00184190"/>
    <w:rsid w:val="00184327"/>
    <w:rsid w:val="00184734"/>
    <w:rsid w:val="00184C0F"/>
    <w:rsid w:val="00184E2A"/>
    <w:rsid w:val="00184FD5"/>
    <w:rsid w:val="0018507E"/>
    <w:rsid w:val="001859CB"/>
    <w:rsid w:val="00185B59"/>
    <w:rsid w:val="00185F09"/>
    <w:rsid w:val="0018643C"/>
    <w:rsid w:val="00187FE6"/>
    <w:rsid w:val="00190391"/>
    <w:rsid w:val="001907BD"/>
    <w:rsid w:val="00190954"/>
    <w:rsid w:val="00190997"/>
    <w:rsid w:val="00190BB3"/>
    <w:rsid w:val="001914EC"/>
    <w:rsid w:val="00191A3D"/>
    <w:rsid w:val="00191AF1"/>
    <w:rsid w:val="00191F39"/>
    <w:rsid w:val="001922BA"/>
    <w:rsid w:val="001924C4"/>
    <w:rsid w:val="001928D5"/>
    <w:rsid w:val="00192D08"/>
    <w:rsid w:val="001932A9"/>
    <w:rsid w:val="00193558"/>
    <w:rsid w:val="00193CE1"/>
    <w:rsid w:val="0019439A"/>
    <w:rsid w:val="001947A0"/>
    <w:rsid w:val="00194B84"/>
    <w:rsid w:val="00195598"/>
    <w:rsid w:val="00196CBC"/>
    <w:rsid w:val="00197174"/>
    <w:rsid w:val="00197268"/>
    <w:rsid w:val="001A012C"/>
    <w:rsid w:val="001A014C"/>
    <w:rsid w:val="001A0875"/>
    <w:rsid w:val="001A0946"/>
    <w:rsid w:val="001A0B83"/>
    <w:rsid w:val="001A15D4"/>
    <w:rsid w:val="001A1A7D"/>
    <w:rsid w:val="001A1E01"/>
    <w:rsid w:val="001A1FDE"/>
    <w:rsid w:val="001A2720"/>
    <w:rsid w:val="001A3764"/>
    <w:rsid w:val="001A3B86"/>
    <w:rsid w:val="001A4023"/>
    <w:rsid w:val="001A45DF"/>
    <w:rsid w:val="001A56B6"/>
    <w:rsid w:val="001A6DA9"/>
    <w:rsid w:val="001A708E"/>
    <w:rsid w:val="001A7177"/>
    <w:rsid w:val="001A7CD1"/>
    <w:rsid w:val="001A7ECD"/>
    <w:rsid w:val="001B0131"/>
    <w:rsid w:val="001B07FC"/>
    <w:rsid w:val="001B0933"/>
    <w:rsid w:val="001B0B17"/>
    <w:rsid w:val="001B13C2"/>
    <w:rsid w:val="001B19A6"/>
    <w:rsid w:val="001B2395"/>
    <w:rsid w:val="001B2731"/>
    <w:rsid w:val="001B447F"/>
    <w:rsid w:val="001B45F9"/>
    <w:rsid w:val="001B4D11"/>
    <w:rsid w:val="001B4E7C"/>
    <w:rsid w:val="001B4F1C"/>
    <w:rsid w:val="001B56E5"/>
    <w:rsid w:val="001B6606"/>
    <w:rsid w:val="001B72CE"/>
    <w:rsid w:val="001B7473"/>
    <w:rsid w:val="001C0265"/>
    <w:rsid w:val="001C0BBE"/>
    <w:rsid w:val="001C0FAA"/>
    <w:rsid w:val="001C14A1"/>
    <w:rsid w:val="001C1671"/>
    <w:rsid w:val="001C1986"/>
    <w:rsid w:val="001C19AE"/>
    <w:rsid w:val="001C1B5D"/>
    <w:rsid w:val="001C1E92"/>
    <w:rsid w:val="001C2308"/>
    <w:rsid w:val="001C2A2C"/>
    <w:rsid w:val="001C2F7E"/>
    <w:rsid w:val="001C3122"/>
    <w:rsid w:val="001C3228"/>
    <w:rsid w:val="001C3880"/>
    <w:rsid w:val="001C3E1D"/>
    <w:rsid w:val="001C41C7"/>
    <w:rsid w:val="001C4ED8"/>
    <w:rsid w:val="001C4F1E"/>
    <w:rsid w:val="001C542E"/>
    <w:rsid w:val="001C5BD2"/>
    <w:rsid w:val="001C6030"/>
    <w:rsid w:val="001C6903"/>
    <w:rsid w:val="001C6E25"/>
    <w:rsid w:val="001C7766"/>
    <w:rsid w:val="001C7813"/>
    <w:rsid w:val="001D0676"/>
    <w:rsid w:val="001D0AAB"/>
    <w:rsid w:val="001D0B75"/>
    <w:rsid w:val="001D0E6B"/>
    <w:rsid w:val="001D0F7E"/>
    <w:rsid w:val="001D14EF"/>
    <w:rsid w:val="001D1A33"/>
    <w:rsid w:val="001D2819"/>
    <w:rsid w:val="001D2B69"/>
    <w:rsid w:val="001D3577"/>
    <w:rsid w:val="001D3964"/>
    <w:rsid w:val="001D475D"/>
    <w:rsid w:val="001D4820"/>
    <w:rsid w:val="001D49A9"/>
    <w:rsid w:val="001D4B54"/>
    <w:rsid w:val="001D4C3A"/>
    <w:rsid w:val="001D684E"/>
    <w:rsid w:val="001D6F10"/>
    <w:rsid w:val="001D70D3"/>
    <w:rsid w:val="001D7F34"/>
    <w:rsid w:val="001E00E8"/>
    <w:rsid w:val="001E0151"/>
    <w:rsid w:val="001E0B6A"/>
    <w:rsid w:val="001E100E"/>
    <w:rsid w:val="001E12B4"/>
    <w:rsid w:val="001E13D3"/>
    <w:rsid w:val="001E154E"/>
    <w:rsid w:val="001E1673"/>
    <w:rsid w:val="001E2D5E"/>
    <w:rsid w:val="001E2E17"/>
    <w:rsid w:val="001E2F30"/>
    <w:rsid w:val="001E37B6"/>
    <w:rsid w:val="001E40ED"/>
    <w:rsid w:val="001E464A"/>
    <w:rsid w:val="001E471B"/>
    <w:rsid w:val="001E4AA7"/>
    <w:rsid w:val="001E4FD6"/>
    <w:rsid w:val="001E5E85"/>
    <w:rsid w:val="001E635E"/>
    <w:rsid w:val="001E658A"/>
    <w:rsid w:val="001E6873"/>
    <w:rsid w:val="001E68CD"/>
    <w:rsid w:val="001E6975"/>
    <w:rsid w:val="001E69DA"/>
    <w:rsid w:val="001E6CC4"/>
    <w:rsid w:val="001E7C55"/>
    <w:rsid w:val="001E7E76"/>
    <w:rsid w:val="001F1047"/>
    <w:rsid w:val="001F1196"/>
    <w:rsid w:val="001F1792"/>
    <w:rsid w:val="001F2193"/>
    <w:rsid w:val="001F2565"/>
    <w:rsid w:val="001F2922"/>
    <w:rsid w:val="001F29B7"/>
    <w:rsid w:val="001F2A4A"/>
    <w:rsid w:val="001F2F0B"/>
    <w:rsid w:val="001F3E7F"/>
    <w:rsid w:val="001F4136"/>
    <w:rsid w:val="001F5277"/>
    <w:rsid w:val="001F5360"/>
    <w:rsid w:val="001F53D5"/>
    <w:rsid w:val="001F5D96"/>
    <w:rsid w:val="001F6278"/>
    <w:rsid w:val="001F62D6"/>
    <w:rsid w:val="001F62D9"/>
    <w:rsid w:val="001F66ED"/>
    <w:rsid w:val="001F68AF"/>
    <w:rsid w:val="001F6DFE"/>
    <w:rsid w:val="001F728D"/>
    <w:rsid w:val="001F77DE"/>
    <w:rsid w:val="0020019B"/>
    <w:rsid w:val="002007A2"/>
    <w:rsid w:val="00200BD3"/>
    <w:rsid w:val="00200E87"/>
    <w:rsid w:val="002018FA"/>
    <w:rsid w:val="00201CA0"/>
    <w:rsid w:val="00201D3C"/>
    <w:rsid w:val="0020226F"/>
    <w:rsid w:val="00203530"/>
    <w:rsid w:val="00203591"/>
    <w:rsid w:val="00203BEF"/>
    <w:rsid w:val="002044F4"/>
    <w:rsid w:val="002046DF"/>
    <w:rsid w:val="002056CD"/>
    <w:rsid w:val="00205821"/>
    <w:rsid w:val="00205A4F"/>
    <w:rsid w:val="002078B3"/>
    <w:rsid w:val="002113CA"/>
    <w:rsid w:val="00211EC3"/>
    <w:rsid w:val="00211FAD"/>
    <w:rsid w:val="002120ED"/>
    <w:rsid w:val="0021569C"/>
    <w:rsid w:val="0021582E"/>
    <w:rsid w:val="00215888"/>
    <w:rsid w:val="00215975"/>
    <w:rsid w:val="00216CB3"/>
    <w:rsid w:val="00217670"/>
    <w:rsid w:val="00217945"/>
    <w:rsid w:val="00217D68"/>
    <w:rsid w:val="0022020E"/>
    <w:rsid w:val="002211C1"/>
    <w:rsid w:val="00221711"/>
    <w:rsid w:val="00221C03"/>
    <w:rsid w:val="00221D97"/>
    <w:rsid w:val="00221F9B"/>
    <w:rsid w:val="002221AC"/>
    <w:rsid w:val="00222BCC"/>
    <w:rsid w:val="00223063"/>
    <w:rsid w:val="00223454"/>
    <w:rsid w:val="002235F7"/>
    <w:rsid w:val="002237A5"/>
    <w:rsid w:val="002237BB"/>
    <w:rsid w:val="00223A8E"/>
    <w:rsid w:val="002246EA"/>
    <w:rsid w:val="00225B11"/>
    <w:rsid w:val="002263C2"/>
    <w:rsid w:val="002267AE"/>
    <w:rsid w:val="002273DE"/>
    <w:rsid w:val="002274AF"/>
    <w:rsid w:val="002275DE"/>
    <w:rsid w:val="00227732"/>
    <w:rsid w:val="00227EAC"/>
    <w:rsid w:val="0023051A"/>
    <w:rsid w:val="00230DD5"/>
    <w:rsid w:val="002311CC"/>
    <w:rsid w:val="002314E5"/>
    <w:rsid w:val="00231666"/>
    <w:rsid w:val="00231695"/>
    <w:rsid w:val="002318B3"/>
    <w:rsid w:val="00231B5A"/>
    <w:rsid w:val="00231ED6"/>
    <w:rsid w:val="002322A8"/>
    <w:rsid w:val="00232914"/>
    <w:rsid w:val="00232A14"/>
    <w:rsid w:val="00232F13"/>
    <w:rsid w:val="00233007"/>
    <w:rsid w:val="0023332D"/>
    <w:rsid w:val="00233D04"/>
    <w:rsid w:val="0023418D"/>
    <w:rsid w:val="00234330"/>
    <w:rsid w:val="00234C56"/>
    <w:rsid w:val="002351DA"/>
    <w:rsid w:val="00235C9C"/>
    <w:rsid w:val="00236271"/>
    <w:rsid w:val="00236793"/>
    <w:rsid w:val="002367D6"/>
    <w:rsid w:val="00240A19"/>
    <w:rsid w:val="00240EF5"/>
    <w:rsid w:val="00241721"/>
    <w:rsid w:val="00241888"/>
    <w:rsid w:val="002418E1"/>
    <w:rsid w:val="00241BF9"/>
    <w:rsid w:val="00241EAB"/>
    <w:rsid w:val="00242160"/>
    <w:rsid w:val="00242919"/>
    <w:rsid w:val="0024361F"/>
    <w:rsid w:val="00243A82"/>
    <w:rsid w:val="00243AC2"/>
    <w:rsid w:val="00244A0F"/>
    <w:rsid w:val="00245B32"/>
    <w:rsid w:val="00246378"/>
    <w:rsid w:val="00246D2B"/>
    <w:rsid w:val="00250141"/>
    <w:rsid w:val="002503EC"/>
    <w:rsid w:val="00250B4F"/>
    <w:rsid w:val="00250B67"/>
    <w:rsid w:val="00250F11"/>
    <w:rsid w:val="002513BE"/>
    <w:rsid w:val="00251818"/>
    <w:rsid w:val="00251DA6"/>
    <w:rsid w:val="002528D1"/>
    <w:rsid w:val="00252E38"/>
    <w:rsid w:val="00252F13"/>
    <w:rsid w:val="0025324F"/>
    <w:rsid w:val="0025355C"/>
    <w:rsid w:val="00253648"/>
    <w:rsid w:val="00253BD6"/>
    <w:rsid w:val="002546F4"/>
    <w:rsid w:val="002549A7"/>
    <w:rsid w:val="002549D7"/>
    <w:rsid w:val="00254DD0"/>
    <w:rsid w:val="002559A3"/>
    <w:rsid w:val="00256C1F"/>
    <w:rsid w:val="00256C76"/>
    <w:rsid w:val="0025725C"/>
    <w:rsid w:val="002572A3"/>
    <w:rsid w:val="00257781"/>
    <w:rsid w:val="0025779C"/>
    <w:rsid w:val="002579B5"/>
    <w:rsid w:val="00260804"/>
    <w:rsid w:val="0026096C"/>
    <w:rsid w:val="002609AE"/>
    <w:rsid w:val="002612DC"/>
    <w:rsid w:val="00261843"/>
    <w:rsid w:val="00261E15"/>
    <w:rsid w:val="0026249F"/>
    <w:rsid w:val="002624AE"/>
    <w:rsid w:val="00262665"/>
    <w:rsid w:val="0026268D"/>
    <w:rsid w:val="00262811"/>
    <w:rsid w:val="00263668"/>
    <w:rsid w:val="00264987"/>
    <w:rsid w:val="002656C4"/>
    <w:rsid w:val="00265D00"/>
    <w:rsid w:val="00266BF8"/>
    <w:rsid w:val="00266C4D"/>
    <w:rsid w:val="00266E87"/>
    <w:rsid w:val="00267110"/>
    <w:rsid w:val="0026761E"/>
    <w:rsid w:val="0026785F"/>
    <w:rsid w:val="00267B0F"/>
    <w:rsid w:val="00267B36"/>
    <w:rsid w:val="00267BB7"/>
    <w:rsid w:val="00267F4D"/>
    <w:rsid w:val="00270B01"/>
    <w:rsid w:val="002722EC"/>
    <w:rsid w:val="0027263A"/>
    <w:rsid w:val="00272A6A"/>
    <w:rsid w:val="00272AA1"/>
    <w:rsid w:val="002730AB"/>
    <w:rsid w:val="00273F32"/>
    <w:rsid w:val="002741B3"/>
    <w:rsid w:val="00274B0A"/>
    <w:rsid w:val="00274BFD"/>
    <w:rsid w:val="002754C8"/>
    <w:rsid w:val="00275E33"/>
    <w:rsid w:val="002760FE"/>
    <w:rsid w:val="00276426"/>
    <w:rsid w:val="00276A4B"/>
    <w:rsid w:val="0027746D"/>
    <w:rsid w:val="002779D3"/>
    <w:rsid w:val="002800F7"/>
    <w:rsid w:val="0028045C"/>
    <w:rsid w:val="00280B63"/>
    <w:rsid w:val="002811B7"/>
    <w:rsid w:val="002811DE"/>
    <w:rsid w:val="00281278"/>
    <w:rsid w:val="00281318"/>
    <w:rsid w:val="002817C4"/>
    <w:rsid w:val="00281886"/>
    <w:rsid w:val="002819B0"/>
    <w:rsid w:val="00282323"/>
    <w:rsid w:val="0028239B"/>
    <w:rsid w:val="0028243D"/>
    <w:rsid w:val="002827E3"/>
    <w:rsid w:val="002833F8"/>
    <w:rsid w:val="002837B2"/>
    <w:rsid w:val="0028402A"/>
    <w:rsid w:val="00284668"/>
    <w:rsid w:val="0028474E"/>
    <w:rsid w:val="00285A96"/>
    <w:rsid w:val="00285C2D"/>
    <w:rsid w:val="00285D21"/>
    <w:rsid w:val="00286204"/>
    <w:rsid w:val="002870B6"/>
    <w:rsid w:val="002873A1"/>
    <w:rsid w:val="002878DC"/>
    <w:rsid w:val="002904DA"/>
    <w:rsid w:val="00290B7D"/>
    <w:rsid w:val="00290CEC"/>
    <w:rsid w:val="00290CFB"/>
    <w:rsid w:val="002913D9"/>
    <w:rsid w:val="0029190E"/>
    <w:rsid w:val="00291BB8"/>
    <w:rsid w:val="00291C1D"/>
    <w:rsid w:val="00292167"/>
    <w:rsid w:val="00293E6F"/>
    <w:rsid w:val="00293F3C"/>
    <w:rsid w:val="00294204"/>
    <w:rsid w:val="00294206"/>
    <w:rsid w:val="0029464F"/>
    <w:rsid w:val="00294B8F"/>
    <w:rsid w:val="00294F9D"/>
    <w:rsid w:val="002958BD"/>
    <w:rsid w:val="00295CC6"/>
    <w:rsid w:val="00296432"/>
    <w:rsid w:val="0029695A"/>
    <w:rsid w:val="00296EB4"/>
    <w:rsid w:val="00297237"/>
    <w:rsid w:val="0029735D"/>
    <w:rsid w:val="00297BBF"/>
    <w:rsid w:val="002A09A4"/>
    <w:rsid w:val="002A0BC6"/>
    <w:rsid w:val="002A1379"/>
    <w:rsid w:val="002A1852"/>
    <w:rsid w:val="002A1B6F"/>
    <w:rsid w:val="002A230D"/>
    <w:rsid w:val="002A26F0"/>
    <w:rsid w:val="002A2DE3"/>
    <w:rsid w:val="002A3F93"/>
    <w:rsid w:val="002A4B37"/>
    <w:rsid w:val="002A4D8A"/>
    <w:rsid w:val="002A526A"/>
    <w:rsid w:val="002A547A"/>
    <w:rsid w:val="002A5490"/>
    <w:rsid w:val="002A562B"/>
    <w:rsid w:val="002A5BAB"/>
    <w:rsid w:val="002A6BC0"/>
    <w:rsid w:val="002A6D8D"/>
    <w:rsid w:val="002A73B3"/>
    <w:rsid w:val="002A74FC"/>
    <w:rsid w:val="002A7C2E"/>
    <w:rsid w:val="002B0036"/>
    <w:rsid w:val="002B06EE"/>
    <w:rsid w:val="002B0CCF"/>
    <w:rsid w:val="002B0D87"/>
    <w:rsid w:val="002B0EB8"/>
    <w:rsid w:val="002B14A4"/>
    <w:rsid w:val="002B1966"/>
    <w:rsid w:val="002B19FB"/>
    <w:rsid w:val="002B285C"/>
    <w:rsid w:val="002B39B1"/>
    <w:rsid w:val="002B4DDA"/>
    <w:rsid w:val="002B5835"/>
    <w:rsid w:val="002B5FD9"/>
    <w:rsid w:val="002B635D"/>
    <w:rsid w:val="002B66A5"/>
    <w:rsid w:val="002B7AC5"/>
    <w:rsid w:val="002B7B11"/>
    <w:rsid w:val="002B7CA1"/>
    <w:rsid w:val="002B7D32"/>
    <w:rsid w:val="002C083F"/>
    <w:rsid w:val="002C0E57"/>
    <w:rsid w:val="002C1CA1"/>
    <w:rsid w:val="002C27F9"/>
    <w:rsid w:val="002C304D"/>
    <w:rsid w:val="002C3636"/>
    <w:rsid w:val="002C3A3D"/>
    <w:rsid w:val="002C3BF0"/>
    <w:rsid w:val="002C3F8B"/>
    <w:rsid w:val="002C3FEA"/>
    <w:rsid w:val="002C42ED"/>
    <w:rsid w:val="002C5483"/>
    <w:rsid w:val="002C5F39"/>
    <w:rsid w:val="002C6764"/>
    <w:rsid w:val="002C6922"/>
    <w:rsid w:val="002C7AA4"/>
    <w:rsid w:val="002D05F3"/>
    <w:rsid w:val="002D09A5"/>
    <w:rsid w:val="002D0CB6"/>
    <w:rsid w:val="002D0E08"/>
    <w:rsid w:val="002D0F84"/>
    <w:rsid w:val="002D14F3"/>
    <w:rsid w:val="002D1C93"/>
    <w:rsid w:val="002D1FB8"/>
    <w:rsid w:val="002D25DB"/>
    <w:rsid w:val="002D2ADC"/>
    <w:rsid w:val="002D2F08"/>
    <w:rsid w:val="002D3A5B"/>
    <w:rsid w:val="002D3DC8"/>
    <w:rsid w:val="002D5460"/>
    <w:rsid w:val="002D726D"/>
    <w:rsid w:val="002D74D4"/>
    <w:rsid w:val="002D76E8"/>
    <w:rsid w:val="002D78BA"/>
    <w:rsid w:val="002E0D57"/>
    <w:rsid w:val="002E12E7"/>
    <w:rsid w:val="002E1E96"/>
    <w:rsid w:val="002E1FB8"/>
    <w:rsid w:val="002E2256"/>
    <w:rsid w:val="002E27C8"/>
    <w:rsid w:val="002E28AC"/>
    <w:rsid w:val="002E2DBD"/>
    <w:rsid w:val="002E3000"/>
    <w:rsid w:val="002E4897"/>
    <w:rsid w:val="002E49D9"/>
    <w:rsid w:val="002E4BB1"/>
    <w:rsid w:val="002E64C5"/>
    <w:rsid w:val="002E6BC0"/>
    <w:rsid w:val="002E7B0E"/>
    <w:rsid w:val="002E7C57"/>
    <w:rsid w:val="002F0619"/>
    <w:rsid w:val="002F06EF"/>
    <w:rsid w:val="002F0B9A"/>
    <w:rsid w:val="002F0BB1"/>
    <w:rsid w:val="002F100C"/>
    <w:rsid w:val="002F12C3"/>
    <w:rsid w:val="002F3223"/>
    <w:rsid w:val="002F32EA"/>
    <w:rsid w:val="002F3C75"/>
    <w:rsid w:val="002F3E0C"/>
    <w:rsid w:val="002F3E10"/>
    <w:rsid w:val="002F41E5"/>
    <w:rsid w:val="002F433F"/>
    <w:rsid w:val="002F50EA"/>
    <w:rsid w:val="002F599B"/>
    <w:rsid w:val="002F5C11"/>
    <w:rsid w:val="002F671E"/>
    <w:rsid w:val="002F6A84"/>
    <w:rsid w:val="002F6EF5"/>
    <w:rsid w:val="002F6F8A"/>
    <w:rsid w:val="002F75A4"/>
    <w:rsid w:val="002F7754"/>
    <w:rsid w:val="002F77DF"/>
    <w:rsid w:val="002F7877"/>
    <w:rsid w:val="002F7BEE"/>
    <w:rsid w:val="003003BF"/>
    <w:rsid w:val="003003F0"/>
    <w:rsid w:val="00300CC5"/>
    <w:rsid w:val="00300D70"/>
    <w:rsid w:val="0030244F"/>
    <w:rsid w:val="00302473"/>
    <w:rsid w:val="003029BD"/>
    <w:rsid w:val="003029BE"/>
    <w:rsid w:val="003029D3"/>
    <w:rsid w:val="00302E8B"/>
    <w:rsid w:val="00302EDB"/>
    <w:rsid w:val="003030E2"/>
    <w:rsid w:val="00303400"/>
    <w:rsid w:val="00303BF4"/>
    <w:rsid w:val="00304767"/>
    <w:rsid w:val="003049F1"/>
    <w:rsid w:val="00304DDD"/>
    <w:rsid w:val="00304FAE"/>
    <w:rsid w:val="00305ACC"/>
    <w:rsid w:val="00305D9D"/>
    <w:rsid w:val="00305EAB"/>
    <w:rsid w:val="00305F94"/>
    <w:rsid w:val="003070BF"/>
    <w:rsid w:val="00307A73"/>
    <w:rsid w:val="00307AAA"/>
    <w:rsid w:val="0031048F"/>
    <w:rsid w:val="00310C0D"/>
    <w:rsid w:val="00311B23"/>
    <w:rsid w:val="00312A01"/>
    <w:rsid w:val="003135C7"/>
    <w:rsid w:val="0031457C"/>
    <w:rsid w:val="00314F3E"/>
    <w:rsid w:val="00315159"/>
    <w:rsid w:val="003154E9"/>
    <w:rsid w:val="003158CC"/>
    <w:rsid w:val="00315A5B"/>
    <w:rsid w:val="00315D59"/>
    <w:rsid w:val="0031690C"/>
    <w:rsid w:val="00316AE5"/>
    <w:rsid w:val="00316D51"/>
    <w:rsid w:val="00316D6A"/>
    <w:rsid w:val="00317D63"/>
    <w:rsid w:val="00320813"/>
    <w:rsid w:val="00320C79"/>
    <w:rsid w:val="00320ED9"/>
    <w:rsid w:val="00322053"/>
    <w:rsid w:val="003221D5"/>
    <w:rsid w:val="003221E9"/>
    <w:rsid w:val="00322681"/>
    <w:rsid w:val="00322955"/>
    <w:rsid w:val="00322E17"/>
    <w:rsid w:val="00322E46"/>
    <w:rsid w:val="00323C4D"/>
    <w:rsid w:val="00323E8E"/>
    <w:rsid w:val="003242F6"/>
    <w:rsid w:val="003244D6"/>
    <w:rsid w:val="00325DA7"/>
    <w:rsid w:val="003265EB"/>
    <w:rsid w:val="00326AED"/>
    <w:rsid w:val="00327AD5"/>
    <w:rsid w:val="00327B53"/>
    <w:rsid w:val="00327CF1"/>
    <w:rsid w:val="00327E99"/>
    <w:rsid w:val="003304DE"/>
    <w:rsid w:val="00330610"/>
    <w:rsid w:val="00330ABE"/>
    <w:rsid w:val="003310FA"/>
    <w:rsid w:val="0033127C"/>
    <w:rsid w:val="0033127F"/>
    <w:rsid w:val="00331B47"/>
    <w:rsid w:val="00331D8B"/>
    <w:rsid w:val="00331FB4"/>
    <w:rsid w:val="00332337"/>
    <w:rsid w:val="00332497"/>
    <w:rsid w:val="003332D9"/>
    <w:rsid w:val="0033342A"/>
    <w:rsid w:val="0033342B"/>
    <w:rsid w:val="0033403C"/>
    <w:rsid w:val="00335519"/>
    <w:rsid w:val="003357DA"/>
    <w:rsid w:val="00335EF1"/>
    <w:rsid w:val="00336CB1"/>
    <w:rsid w:val="003378DB"/>
    <w:rsid w:val="00337DD1"/>
    <w:rsid w:val="00340F14"/>
    <w:rsid w:val="00341628"/>
    <w:rsid w:val="00341636"/>
    <w:rsid w:val="0034172A"/>
    <w:rsid w:val="00341DDB"/>
    <w:rsid w:val="00342067"/>
    <w:rsid w:val="0034245D"/>
    <w:rsid w:val="003425CA"/>
    <w:rsid w:val="003438AD"/>
    <w:rsid w:val="003443D9"/>
    <w:rsid w:val="00344602"/>
    <w:rsid w:val="003450CA"/>
    <w:rsid w:val="003466C6"/>
    <w:rsid w:val="00346906"/>
    <w:rsid w:val="00346B6F"/>
    <w:rsid w:val="00346CE2"/>
    <w:rsid w:val="003473B3"/>
    <w:rsid w:val="003476BE"/>
    <w:rsid w:val="00347A7E"/>
    <w:rsid w:val="00347F4E"/>
    <w:rsid w:val="00350CE1"/>
    <w:rsid w:val="00350F86"/>
    <w:rsid w:val="00352175"/>
    <w:rsid w:val="00352DEB"/>
    <w:rsid w:val="00354065"/>
    <w:rsid w:val="00354259"/>
    <w:rsid w:val="003546B3"/>
    <w:rsid w:val="003546EB"/>
    <w:rsid w:val="003547CD"/>
    <w:rsid w:val="00354944"/>
    <w:rsid w:val="00354B20"/>
    <w:rsid w:val="003552ED"/>
    <w:rsid w:val="00355AFF"/>
    <w:rsid w:val="00356438"/>
    <w:rsid w:val="0035653E"/>
    <w:rsid w:val="003569F5"/>
    <w:rsid w:val="00356DC6"/>
    <w:rsid w:val="00357978"/>
    <w:rsid w:val="00357E87"/>
    <w:rsid w:val="00360403"/>
    <w:rsid w:val="00360510"/>
    <w:rsid w:val="003607E4"/>
    <w:rsid w:val="00360EBA"/>
    <w:rsid w:val="00361067"/>
    <w:rsid w:val="0036123E"/>
    <w:rsid w:val="003619FE"/>
    <w:rsid w:val="00361D1C"/>
    <w:rsid w:val="00361D5B"/>
    <w:rsid w:val="00362C31"/>
    <w:rsid w:val="003633DA"/>
    <w:rsid w:val="003634D1"/>
    <w:rsid w:val="00363BB7"/>
    <w:rsid w:val="00363C3B"/>
    <w:rsid w:val="0036419F"/>
    <w:rsid w:val="00364344"/>
    <w:rsid w:val="00364CAE"/>
    <w:rsid w:val="003650E9"/>
    <w:rsid w:val="003651E6"/>
    <w:rsid w:val="00365B06"/>
    <w:rsid w:val="00365C89"/>
    <w:rsid w:val="003665EC"/>
    <w:rsid w:val="00366F1A"/>
    <w:rsid w:val="00367003"/>
    <w:rsid w:val="00367F71"/>
    <w:rsid w:val="00367FEA"/>
    <w:rsid w:val="003701DF"/>
    <w:rsid w:val="003701F3"/>
    <w:rsid w:val="0037043C"/>
    <w:rsid w:val="00370707"/>
    <w:rsid w:val="00370827"/>
    <w:rsid w:val="00372500"/>
    <w:rsid w:val="00373541"/>
    <w:rsid w:val="003741BB"/>
    <w:rsid w:val="00374578"/>
    <w:rsid w:val="003745E8"/>
    <w:rsid w:val="00374917"/>
    <w:rsid w:val="00374CDD"/>
    <w:rsid w:val="0037516A"/>
    <w:rsid w:val="00375BE0"/>
    <w:rsid w:val="00375C03"/>
    <w:rsid w:val="00375EA2"/>
    <w:rsid w:val="00376486"/>
    <w:rsid w:val="0037693D"/>
    <w:rsid w:val="00376D93"/>
    <w:rsid w:val="003804C5"/>
    <w:rsid w:val="00380A2A"/>
    <w:rsid w:val="00380A8D"/>
    <w:rsid w:val="00381687"/>
    <w:rsid w:val="003817AF"/>
    <w:rsid w:val="00381C14"/>
    <w:rsid w:val="0038247B"/>
    <w:rsid w:val="0038257D"/>
    <w:rsid w:val="00382815"/>
    <w:rsid w:val="00382955"/>
    <w:rsid w:val="00382FC7"/>
    <w:rsid w:val="00383C19"/>
    <w:rsid w:val="00384149"/>
    <w:rsid w:val="00384D44"/>
    <w:rsid w:val="003857B7"/>
    <w:rsid w:val="0038586A"/>
    <w:rsid w:val="003858F0"/>
    <w:rsid w:val="00385C8F"/>
    <w:rsid w:val="00386045"/>
    <w:rsid w:val="003861EA"/>
    <w:rsid w:val="003865CF"/>
    <w:rsid w:val="00386971"/>
    <w:rsid w:val="00386C76"/>
    <w:rsid w:val="00387C80"/>
    <w:rsid w:val="00387DD6"/>
    <w:rsid w:val="00390763"/>
    <w:rsid w:val="00390FD6"/>
    <w:rsid w:val="00391129"/>
    <w:rsid w:val="0039172D"/>
    <w:rsid w:val="00391D96"/>
    <w:rsid w:val="00391E9A"/>
    <w:rsid w:val="00391F2D"/>
    <w:rsid w:val="00392887"/>
    <w:rsid w:val="00392F34"/>
    <w:rsid w:val="0039339E"/>
    <w:rsid w:val="0039361F"/>
    <w:rsid w:val="003939B1"/>
    <w:rsid w:val="00393B92"/>
    <w:rsid w:val="00393C60"/>
    <w:rsid w:val="00394A7A"/>
    <w:rsid w:val="00394DCF"/>
    <w:rsid w:val="00394FFF"/>
    <w:rsid w:val="003950FF"/>
    <w:rsid w:val="00395235"/>
    <w:rsid w:val="00396077"/>
    <w:rsid w:val="00396143"/>
    <w:rsid w:val="0039672C"/>
    <w:rsid w:val="00396821"/>
    <w:rsid w:val="00396C70"/>
    <w:rsid w:val="00397420"/>
    <w:rsid w:val="00397830"/>
    <w:rsid w:val="003A009B"/>
    <w:rsid w:val="003A0163"/>
    <w:rsid w:val="003A17DD"/>
    <w:rsid w:val="003A1E02"/>
    <w:rsid w:val="003A296D"/>
    <w:rsid w:val="003A2C77"/>
    <w:rsid w:val="003A2E33"/>
    <w:rsid w:val="003A344C"/>
    <w:rsid w:val="003A3639"/>
    <w:rsid w:val="003A370D"/>
    <w:rsid w:val="003A39C7"/>
    <w:rsid w:val="003A3A57"/>
    <w:rsid w:val="003A3C97"/>
    <w:rsid w:val="003A5112"/>
    <w:rsid w:val="003A59C4"/>
    <w:rsid w:val="003A5CCD"/>
    <w:rsid w:val="003A648E"/>
    <w:rsid w:val="003A7D6C"/>
    <w:rsid w:val="003A7E0A"/>
    <w:rsid w:val="003B0117"/>
    <w:rsid w:val="003B1835"/>
    <w:rsid w:val="003B1A4F"/>
    <w:rsid w:val="003B1C1A"/>
    <w:rsid w:val="003B1F77"/>
    <w:rsid w:val="003B2235"/>
    <w:rsid w:val="003B23F0"/>
    <w:rsid w:val="003B25FD"/>
    <w:rsid w:val="003B2715"/>
    <w:rsid w:val="003B29E8"/>
    <w:rsid w:val="003B2B47"/>
    <w:rsid w:val="003B2E97"/>
    <w:rsid w:val="003B326A"/>
    <w:rsid w:val="003B3A6F"/>
    <w:rsid w:val="003B4543"/>
    <w:rsid w:val="003B473A"/>
    <w:rsid w:val="003B51E4"/>
    <w:rsid w:val="003B5E1D"/>
    <w:rsid w:val="003B65E0"/>
    <w:rsid w:val="003B69FE"/>
    <w:rsid w:val="003B6AEA"/>
    <w:rsid w:val="003B6E63"/>
    <w:rsid w:val="003B7072"/>
    <w:rsid w:val="003B7949"/>
    <w:rsid w:val="003C0053"/>
    <w:rsid w:val="003C0093"/>
    <w:rsid w:val="003C00CD"/>
    <w:rsid w:val="003C0676"/>
    <w:rsid w:val="003C135D"/>
    <w:rsid w:val="003C168D"/>
    <w:rsid w:val="003C1996"/>
    <w:rsid w:val="003C1C50"/>
    <w:rsid w:val="003C1D0C"/>
    <w:rsid w:val="003C2268"/>
    <w:rsid w:val="003C27DB"/>
    <w:rsid w:val="003C3C26"/>
    <w:rsid w:val="003C3D14"/>
    <w:rsid w:val="003C3F3B"/>
    <w:rsid w:val="003C42AF"/>
    <w:rsid w:val="003C4562"/>
    <w:rsid w:val="003C4809"/>
    <w:rsid w:val="003C485C"/>
    <w:rsid w:val="003C4A73"/>
    <w:rsid w:val="003C4FC4"/>
    <w:rsid w:val="003C500C"/>
    <w:rsid w:val="003C52D4"/>
    <w:rsid w:val="003C568D"/>
    <w:rsid w:val="003C58C4"/>
    <w:rsid w:val="003C5A68"/>
    <w:rsid w:val="003C5E65"/>
    <w:rsid w:val="003C646A"/>
    <w:rsid w:val="003C648C"/>
    <w:rsid w:val="003C66AF"/>
    <w:rsid w:val="003C6DA1"/>
    <w:rsid w:val="003C7016"/>
    <w:rsid w:val="003C720E"/>
    <w:rsid w:val="003C746E"/>
    <w:rsid w:val="003C7E7D"/>
    <w:rsid w:val="003D0AB3"/>
    <w:rsid w:val="003D0D72"/>
    <w:rsid w:val="003D1093"/>
    <w:rsid w:val="003D1109"/>
    <w:rsid w:val="003D14B6"/>
    <w:rsid w:val="003D14CF"/>
    <w:rsid w:val="003D1989"/>
    <w:rsid w:val="003D1BD7"/>
    <w:rsid w:val="003D2242"/>
    <w:rsid w:val="003D26A1"/>
    <w:rsid w:val="003D2961"/>
    <w:rsid w:val="003D2F34"/>
    <w:rsid w:val="003D2FFF"/>
    <w:rsid w:val="003D33E0"/>
    <w:rsid w:val="003D35CE"/>
    <w:rsid w:val="003D3D70"/>
    <w:rsid w:val="003D4E62"/>
    <w:rsid w:val="003D521F"/>
    <w:rsid w:val="003D53B3"/>
    <w:rsid w:val="003D61F5"/>
    <w:rsid w:val="003D636F"/>
    <w:rsid w:val="003D7335"/>
    <w:rsid w:val="003D76F2"/>
    <w:rsid w:val="003D7D62"/>
    <w:rsid w:val="003D7EBE"/>
    <w:rsid w:val="003D7F14"/>
    <w:rsid w:val="003D7FA8"/>
    <w:rsid w:val="003E0DD1"/>
    <w:rsid w:val="003E11FD"/>
    <w:rsid w:val="003E151C"/>
    <w:rsid w:val="003E172D"/>
    <w:rsid w:val="003E2357"/>
    <w:rsid w:val="003E270E"/>
    <w:rsid w:val="003E2CE1"/>
    <w:rsid w:val="003E360F"/>
    <w:rsid w:val="003E4323"/>
    <w:rsid w:val="003E45DD"/>
    <w:rsid w:val="003E4A1A"/>
    <w:rsid w:val="003E53E8"/>
    <w:rsid w:val="003E5E64"/>
    <w:rsid w:val="003E6279"/>
    <w:rsid w:val="003E7265"/>
    <w:rsid w:val="003E738D"/>
    <w:rsid w:val="003E7512"/>
    <w:rsid w:val="003E7541"/>
    <w:rsid w:val="003E7C78"/>
    <w:rsid w:val="003F0771"/>
    <w:rsid w:val="003F0933"/>
    <w:rsid w:val="003F0D44"/>
    <w:rsid w:val="003F18FB"/>
    <w:rsid w:val="003F1973"/>
    <w:rsid w:val="003F266D"/>
    <w:rsid w:val="003F2BBF"/>
    <w:rsid w:val="003F2F8F"/>
    <w:rsid w:val="003F35A2"/>
    <w:rsid w:val="003F372C"/>
    <w:rsid w:val="003F461D"/>
    <w:rsid w:val="003F5DEA"/>
    <w:rsid w:val="003F5E2A"/>
    <w:rsid w:val="003F6058"/>
    <w:rsid w:val="003F6C06"/>
    <w:rsid w:val="003F6D4F"/>
    <w:rsid w:val="003F76B1"/>
    <w:rsid w:val="003F7F3D"/>
    <w:rsid w:val="004013BD"/>
    <w:rsid w:val="004018A0"/>
    <w:rsid w:val="004019FF"/>
    <w:rsid w:val="00402572"/>
    <w:rsid w:val="00402BA3"/>
    <w:rsid w:val="00402F3F"/>
    <w:rsid w:val="00402FBB"/>
    <w:rsid w:val="00403707"/>
    <w:rsid w:val="00403760"/>
    <w:rsid w:val="00403AD6"/>
    <w:rsid w:val="00403C6F"/>
    <w:rsid w:val="0040433C"/>
    <w:rsid w:val="00404985"/>
    <w:rsid w:val="004049E2"/>
    <w:rsid w:val="004052FB"/>
    <w:rsid w:val="00405884"/>
    <w:rsid w:val="00406078"/>
    <w:rsid w:val="00406090"/>
    <w:rsid w:val="0040740E"/>
    <w:rsid w:val="00407414"/>
    <w:rsid w:val="00407855"/>
    <w:rsid w:val="00407ADA"/>
    <w:rsid w:val="0041038A"/>
    <w:rsid w:val="004103B6"/>
    <w:rsid w:val="004108BA"/>
    <w:rsid w:val="00410A0B"/>
    <w:rsid w:val="00410EB7"/>
    <w:rsid w:val="004116C9"/>
    <w:rsid w:val="00412069"/>
    <w:rsid w:val="00412095"/>
    <w:rsid w:val="00412728"/>
    <w:rsid w:val="00412A5E"/>
    <w:rsid w:val="00413240"/>
    <w:rsid w:val="00413CE3"/>
    <w:rsid w:val="004142BA"/>
    <w:rsid w:val="00414391"/>
    <w:rsid w:val="00414700"/>
    <w:rsid w:val="00414DF8"/>
    <w:rsid w:val="004156F3"/>
    <w:rsid w:val="00416309"/>
    <w:rsid w:val="00420013"/>
    <w:rsid w:val="0042014E"/>
    <w:rsid w:val="0042031A"/>
    <w:rsid w:val="00421219"/>
    <w:rsid w:val="004212CA"/>
    <w:rsid w:val="00421910"/>
    <w:rsid w:val="004219D3"/>
    <w:rsid w:val="00422267"/>
    <w:rsid w:val="00423568"/>
    <w:rsid w:val="004239C4"/>
    <w:rsid w:val="00423BF2"/>
    <w:rsid w:val="00424756"/>
    <w:rsid w:val="00424C4A"/>
    <w:rsid w:val="00425093"/>
    <w:rsid w:val="004253AA"/>
    <w:rsid w:val="004255FF"/>
    <w:rsid w:val="00425954"/>
    <w:rsid w:val="004267EF"/>
    <w:rsid w:val="00426C96"/>
    <w:rsid w:val="00426FA5"/>
    <w:rsid w:val="0042746C"/>
    <w:rsid w:val="004278C3"/>
    <w:rsid w:val="00430C44"/>
    <w:rsid w:val="00430F0C"/>
    <w:rsid w:val="004310C6"/>
    <w:rsid w:val="00431370"/>
    <w:rsid w:val="0043175D"/>
    <w:rsid w:val="00431804"/>
    <w:rsid w:val="00431C20"/>
    <w:rsid w:val="00431CF8"/>
    <w:rsid w:val="00431F63"/>
    <w:rsid w:val="0043256F"/>
    <w:rsid w:val="0043261E"/>
    <w:rsid w:val="00432E63"/>
    <w:rsid w:val="00432FFC"/>
    <w:rsid w:val="00433105"/>
    <w:rsid w:val="00433107"/>
    <w:rsid w:val="00433BD2"/>
    <w:rsid w:val="00434C79"/>
    <w:rsid w:val="0043541D"/>
    <w:rsid w:val="00435477"/>
    <w:rsid w:val="004355EF"/>
    <w:rsid w:val="00435829"/>
    <w:rsid w:val="0043603E"/>
    <w:rsid w:val="00436053"/>
    <w:rsid w:val="00436723"/>
    <w:rsid w:val="004367F9"/>
    <w:rsid w:val="00436BB0"/>
    <w:rsid w:val="00437091"/>
    <w:rsid w:val="00437F88"/>
    <w:rsid w:val="00440684"/>
    <w:rsid w:val="004417D8"/>
    <w:rsid w:val="0044180C"/>
    <w:rsid w:val="004424DA"/>
    <w:rsid w:val="004427BE"/>
    <w:rsid w:val="00442972"/>
    <w:rsid w:val="00442C3B"/>
    <w:rsid w:val="00444041"/>
    <w:rsid w:val="004443B4"/>
    <w:rsid w:val="00444441"/>
    <w:rsid w:val="004446B3"/>
    <w:rsid w:val="004447C0"/>
    <w:rsid w:val="00445AEA"/>
    <w:rsid w:val="00445D45"/>
    <w:rsid w:val="00446320"/>
    <w:rsid w:val="00446733"/>
    <w:rsid w:val="00446E1A"/>
    <w:rsid w:val="00447201"/>
    <w:rsid w:val="004476E4"/>
    <w:rsid w:val="00447941"/>
    <w:rsid w:val="00447AB4"/>
    <w:rsid w:val="00450392"/>
    <w:rsid w:val="00450E29"/>
    <w:rsid w:val="004515FF"/>
    <w:rsid w:val="0045241C"/>
    <w:rsid w:val="00453AC4"/>
    <w:rsid w:val="00454B55"/>
    <w:rsid w:val="00455318"/>
    <w:rsid w:val="00455801"/>
    <w:rsid w:val="00455E99"/>
    <w:rsid w:val="004569C4"/>
    <w:rsid w:val="00456E06"/>
    <w:rsid w:val="00456E9A"/>
    <w:rsid w:val="00456ED1"/>
    <w:rsid w:val="0045745E"/>
    <w:rsid w:val="004574F9"/>
    <w:rsid w:val="00460447"/>
    <w:rsid w:val="0046063B"/>
    <w:rsid w:val="00460E78"/>
    <w:rsid w:val="00461812"/>
    <w:rsid w:val="00461A26"/>
    <w:rsid w:val="00461CF7"/>
    <w:rsid w:val="00462425"/>
    <w:rsid w:val="00462932"/>
    <w:rsid w:val="0046372B"/>
    <w:rsid w:val="00463883"/>
    <w:rsid w:val="004642F4"/>
    <w:rsid w:val="004643CF"/>
    <w:rsid w:val="00464721"/>
    <w:rsid w:val="00466C86"/>
    <w:rsid w:val="00466CAD"/>
    <w:rsid w:val="00466EB1"/>
    <w:rsid w:val="00467DAD"/>
    <w:rsid w:val="0047021E"/>
    <w:rsid w:val="00471689"/>
    <w:rsid w:val="00471E46"/>
    <w:rsid w:val="004722F8"/>
    <w:rsid w:val="004722FA"/>
    <w:rsid w:val="00472342"/>
    <w:rsid w:val="00473073"/>
    <w:rsid w:val="004736D7"/>
    <w:rsid w:val="0047370D"/>
    <w:rsid w:val="00474E23"/>
    <w:rsid w:val="004751C3"/>
    <w:rsid w:val="00475580"/>
    <w:rsid w:val="00476B8F"/>
    <w:rsid w:val="0047710D"/>
    <w:rsid w:val="0047776A"/>
    <w:rsid w:val="00477CE6"/>
    <w:rsid w:val="00480128"/>
    <w:rsid w:val="00480A72"/>
    <w:rsid w:val="00480EB1"/>
    <w:rsid w:val="004816B8"/>
    <w:rsid w:val="00481733"/>
    <w:rsid w:val="00481B19"/>
    <w:rsid w:val="00481B38"/>
    <w:rsid w:val="004825E7"/>
    <w:rsid w:val="00483058"/>
    <w:rsid w:val="004835BA"/>
    <w:rsid w:val="00483C0B"/>
    <w:rsid w:val="00483C1C"/>
    <w:rsid w:val="00483C79"/>
    <w:rsid w:val="00483F1E"/>
    <w:rsid w:val="00484534"/>
    <w:rsid w:val="00484FF7"/>
    <w:rsid w:val="0048514C"/>
    <w:rsid w:val="004853B6"/>
    <w:rsid w:val="0048692F"/>
    <w:rsid w:val="0048693A"/>
    <w:rsid w:val="00486F68"/>
    <w:rsid w:val="004879B5"/>
    <w:rsid w:val="00487A96"/>
    <w:rsid w:val="0049105C"/>
    <w:rsid w:val="004914E1"/>
    <w:rsid w:val="00491B83"/>
    <w:rsid w:val="00493242"/>
    <w:rsid w:val="00495144"/>
    <w:rsid w:val="00495341"/>
    <w:rsid w:val="004953AA"/>
    <w:rsid w:val="0049586D"/>
    <w:rsid w:val="00495940"/>
    <w:rsid w:val="00495AA8"/>
    <w:rsid w:val="004962D5"/>
    <w:rsid w:val="00496304"/>
    <w:rsid w:val="004966D6"/>
    <w:rsid w:val="004967EC"/>
    <w:rsid w:val="00496BBF"/>
    <w:rsid w:val="00497148"/>
    <w:rsid w:val="004976DD"/>
    <w:rsid w:val="0049784A"/>
    <w:rsid w:val="00497EDC"/>
    <w:rsid w:val="004A0731"/>
    <w:rsid w:val="004A1F0C"/>
    <w:rsid w:val="004A2A56"/>
    <w:rsid w:val="004A360B"/>
    <w:rsid w:val="004A36C9"/>
    <w:rsid w:val="004A3E06"/>
    <w:rsid w:val="004A42D8"/>
    <w:rsid w:val="004A47D2"/>
    <w:rsid w:val="004A71A4"/>
    <w:rsid w:val="004A7574"/>
    <w:rsid w:val="004A78E7"/>
    <w:rsid w:val="004A79A6"/>
    <w:rsid w:val="004B04C1"/>
    <w:rsid w:val="004B0627"/>
    <w:rsid w:val="004B095E"/>
    <w:rsid w:val="004B0FEF"/>
    <w:rsid w:val="004B1B38"/>
    <w:rsid w:val="004B1E1B"/>
    <w:rsid w:val="004B1FA4"/>
    <w:rsid w:val="004B35DA"/>
    <w:rsid w:val="004B3AFC"/>
    <w:rsid w:val="004B3CA9"/>
    <w:rsid w:val="004B401C"/>
    <w:rsid w:val="004B471F"/>
    <w:rsid w:val="004B4767"/>
    <w:rsid w:val="004B4BEA"/>
    <w:rsid w:val="004B4CA1"/>
    <w:rsid w:val="004B4CAC"/>
    <w:rsid w:val="004B5249"/>
    <w:rsid w:val="004B5256"/>
    <w:rsid w:val="004B5EB7"/>
    <w:rsid w:val="004B68BB"/>
    <w:rsid w:val="004B6B50"/>
    <w:rsid w:val="004B6C8F"/>
    <w:rsid w:val="004B6D0D"/>
    <w:rsid w:val="004B76D9"/>
    <w:rsid w:val="004B7CCC"/>
    <w:rsid w:val="004C04F3"/>
    <w:rsid w:val="004C0A74"/>
    <w:rsid w:val="004C0C0E"/>
    <w:rsid w:val="004C105B"/>
    <w:rsid w:val="004C1559"/>
    <w:rsid w:val="004C1B6A"/>
    <w:rsid w:val="004C1C06"/>
    <w:rsid w:val="004C2719"/>
    <w:rsid w:val="004C2C84"/>
    <w:rsid w:val="004C2D63"/>
    <w:rsid w:val="004C4C1E"/>
    <w:rsid w:val="004C51C7"/>
    <w:rsid w:val="004C5C19"/>
    <w:rsid w:val="004C698F"/>
    <w:rsid w:val="004C7791"/>
    <w:rsid w:val="004D02BF"/>
    <w:rsid w:val="004D04EE"/>
    <w:rsid w:val="004D09B4"/>
    <w:rsid w:val="004D0A68"/>
    <w:rsid w:val="004D0EE0"/>
    <w:rsid w:val="004D1919"/>
    <w:rsid w:val="004D1CAD"/>
    <w:rsid w:val="004D1E91"/>
    <w:rsid w:val="004D2248"/>
    <w:rsid w:val="004D238B"/>
    <w:rsid w:val="004D2FB7"/>
    <w:rsid w:val="004D3397"/>
    <w:rsid w:val="004D33F3"/>
    <w:rsid w:val="004D3982"/>
    <w:rsid w:val="004D3A1B"/>
    <w:rsid w:val="004D3B22"/>
    <w:rsid w:val="004D436A"/>
    <w:rsid w:val="004D4426"/>
    <w:rsid w:val="004D4C29"/>
    <w:rsid w:val="004D504B"/>
    <w:rsid w:val="004D5B6E"/>
    <w:rsid w:val="004D684A"/>
    <w:rsid w:val="004D6992"/>
    <w:rsid w:val="004D781E"/>
    <w:rsid w:val="004D7AF9"/>
    <w:rsid w:val="004E014F"/>
    <w:rsid w:val="004E027E"/>
    <w:rsid w:val="004E04E5"/>
    <w:rsid w:val="004E0805"/>
    <w:rsid w:val="004E17FA"/>
    <w:rsid w:val="004E1DD5"/>
    <w:rsid w:val="004E2154"/>
    <w:rsid w:val="004E2E29"/>
    <w:rsid w:val="004E323B"/>
    <w:rsid w:val="004E3A28"/>
    <w:rsid w:val="004E3A33"/>
    <w:rsid w:val="004E3C2F"/>
    <w:rsid w:val="004E45B2"/>
    <w:rsid w:val="004E4CB3"/>
    <w:rsid w:val="004E4D51"/>
    <w:rsid w:val="004E58F6"/>
    <w:rsid w:val="004E6B83"/>
    <w:rsid w:val="004E6FB2"/>
    <w:rsid w:val="004E797F"/>
    <w:rsid w:val="004F11DD"/>
    <w:rsid w:val="004F20B6"/>
    <w:rsid w:val="004F2719"/>
    <w:rsid w:val="004F2E61"/>
    <w:rsid w:val="004F3083"/>
    <w:rsid w:val="004F35A9"/>
    <w:rsid w:val="004F3C9D"/>
    <w:rsid w:val="004F48A4"/>
    <w:rsid w:val="004F554E"/>
    <w:rsid w:val="004F5590"/>
    <w:rsid w:val="004F5670"/>
    <w:rsid w:val="004F6435"/>
    <w:rsid w:val="004F6EEE"/>
    <w:rsid w:val="004F7F3B"/>
    <w:rsid w:val="00500282"/>
    <w:rsid w:val="005011B5"/>
    <w:rsid w:val="005016CC"/>
    <w:rsid w:val="0050187D"/>
    <w:rsid w:val="00501D23"/>
    <w:rsid w:val="005020CA"/>
    <w:rsid w:val="0050246F"/>
    <w:rsid w:val="005026D7"/>
    <w:rsid w:val="00502A1C"/>
    <w:rsid w:val="00502DBF"/>
    <w:rsid w:val="00503348"/>
    <w:rsid w:val="00503B02"/>
    <w:rsid w:val="00503C79"/>
    <w:rsid w:val="00503FEF"/>
    <w:rsid w:val="00504100"/>
    <w:rsid w:val="00504893"/>
    <w:rsid w:val="00504AAE"/>
    <w:rsid w:val="00504ACC"/>
    <w:rsid w:val="00505442"/>
    <w:rsid w:val="00505512"/>
    <w:rsid w:val="00505B7F"/>
    <w:rsid w:val="00506BAF"/>
    <w:rsid w:val="005072FC"/>
    <w:rsid w:val="00510433"/>
    <w:rsid w:val="00510820"/>
    <w:rsid w:val="0051091A"/>
    <w:rsid w:val="00510EFC"/>
    <w:rsid w:val="0051135A"/>
    <w:rsid w:val="00511366"/>
    <w:rsid w:val="00511621"/>
    <w:rsid w:val="00512081"/>
    <w:rsid w:val="005129DE"/>
    <w:rsid w:val="00513196"/>
    <w:rsid w:val="0051337F"/>
    <w:rsid w:val="005139DD"/>
    <w:rsid w:val="00513F14"/>
    <w:rsid w:val="005140F1"/>
    <w:rsid w:val="0051436E"/>
    <w:rsid w:val="005146E5"/>
    <w:rsid w:val="00514A39"/>
    <w:rsid w:val="00514F28"/>
    <w:rsid w:val="005150ED"/>
    <w:rsid w:val="005152E1"/>
    <w:rsid w:val="00515B14"/>
    <w:rsid w:val="00515C48"/>
    <w:rsid w:val="00516E89"/>
    <w:rsid w:val="005174C9"/>
    <w:rsid w:val="005175B4"/>
    <w:rsid w:val="00517B52"/>
    <w:rsid w:val="0052047B"/>
    <w:rsid w:val="005207EA"/>
    <w:rsid w:val="00520C61"/>
    <w:rsid w:val="00521590"/>
    <w:rsid w:val="005215CF"/>
    <w:rsid w:val="00521990"/>
    <w:rsid w:val="00521C4F"/>
    <w:rsid w:val="00522244"/>
    <w:rsid w:val="005222B3"/>
    <w:rsid w:val="00522336"/>
    <w:rsid w:val="00522819"/>
    <w:rsid w:val="00522F59"/>
    <w:rsid w:val="00523755"/>
    <w:rsid w:val="005239B4"/>
    <w:rsid w:val="005245CC"/>
    <w:rsid w:val="00524B93"/>
    <w:rsid w:val="00524CF0"/>
    <w:rsid w:val="00524D5A"/>
    <w:rsid w:val="00526B93"/>
    <w:rsid w:val="00526DA0"/>
    <w:rsid w:val="0052728F"/>
    <w:rsid w:val="00527651"/>
    <w:rsid w:val="005276BD"/>
    <w:rsid w:val="00527DBA"/>
    <w:rsid w:val="00530AE9"/>
    <w:rsid w:val="00531050"/>
    <w:rsid w:val="00531523"/>
    <w:rsid w:val="00531745"/>
    <w:rsid w:val="00531E07"/>
    <w:rsid w:val="005324F6"/>
    <w:rsid w:val="00532FDC"/>
    <w:rsid w:val="0053322E"/>
    <w:rsid w:val="005336A6"/>
    <w:rsid w:val="00533E3F"/>
    <w:rsid w:val="005341B7"/>
    <w:rsid w:val="00534B49"/>
    <w:rsid w:val="00534B74"/>
    <w:rsid w:val="00534C39"/>
    <w:rsid w:val="00534D00"/>
    <w:rsid w:val="005353F3"/>
    <w:rsid w:val="005356BF"/>
    <w:rsid w:val="005356E6"/>
    <w:rsid w:val="005367E6"/>
    <w:rsid w:val="005400AF"/>
    <w:rsid w:val="0054033F"/>
    <w:rsid w:val="0054041D"/>
    <w:rsid w:val="00540834"/>
    <w:rsid w:val="00541181"/>
    <w:rsid w:val="00541310"/>
    <w:rsid w:val="005414AD"/>
    <w:rsid w:val="00541DE1"/>
    <w:rsid w:val="00541F47"/>
    <w:rsid w:val="00542332"/>
    <w:rsid w:val="005426BC"/>
    <w:rsid w:val="0054272F"/>
    <w:rsid w:val="0054297B"/>
    <w:rsid w:val="00544021"/>
    <w:rsid w:val="005440A6"/>
    <w:rsid w:val="00544312"/>
    <w:rsid w:val="00544C31"/>
    <w:rsid w:val="00544DDE"/>
    <w:rsid w:val="005459BD"/>
    <w:rsid w:val="005459FA"/>
    <w:rsid w:val="005465C2"/>
    <w:rsid w:val="00546969"/>
    <w:rsid w:val="00547952"/>
    <w:rsid w:val="00547E42"/>
    <w:rsid w:val="00550460"/>
    <w:rsid w:val="005504A7"/>
    <w:rsid w:val="0055078C"/>
    <w:rsid w:val="00550EF7"/>
    <w:rsid w:val="0055108D"/>
    <w:rsid w:val="005517C7"/>
    <w:rsid w:val="00551C5E"/>
    <w:rsid w:val="00552457"/>
    <w:rsid w:val="005527D2"/>
    <w:rsid w:val="00552D77"/>
    <w:rsid w:val="00552E0E"/>
    <w:rsid w:val="00552E5F"/>
    <w:rsid w:val="0055387C"/>
    <w:rsid w:val="00553EFB"/>
    <w:rsid w:val="00554293"/>
    <w:rsid w:val="005551AC"/>
    <w:rsid w:val="005559D7"/>
    <w:rsid w:val="00555A74"/>
    <w:rsid w:val="00555C48"/>
    <w:rsid w:val="0055670E"/>
    <w:rsid w:val="0055732B"/>
    <w:rsid w:val="00557868"/>
    <w:rsid w:val="00560CE4"/>
    <w:rsid w:val="00561657"/>
    <w:rsid w:val="0056169E"/>
    <w:rsid w:val="00561773"/>
    <w:rsid w:val="00562140"/>
    <w:rsid w:val="0056226A"/>
    <w:rsid w:val="00562448"/>
    <w:rsid w:val="0056292E"/>
    <w:rsid w:val="00562E1E"/>
    <w:rsid w:val="00563F56"/>
    <w:rsid w:val="0056419A"/>
    <w:rsid w:val="00564913"/>
    <w:rsid w:val="005652A1"/>
    <w:rsid w:val="0056572E"/>
    <w:rsid w:val="00565C86"/>
    <w:rsid w:val="00565D68"/>
    <w:rsid w:val="00565F3A"/>
    <w:rsid w:val="00566213"/>
    <w:rsid w:val="00566DF4"/>
    <w:rsid w:val="005676E1"/>
    <w:rsid w:val="00567E70"/>
    <w:rsid w:val="00567EE6"/>
    <w:rsid w:val="00570CA9"/>
    <w:rsid w:val="00570CD1"/>
    <w:rsid w:val="005711AE"/>
    <w:rsid w:val="005717B7"/>
    <w:rsid w:val="00571BE4"/>
    <w:rsid w:val="00572189"/>
    <w:rsid w:val="005727EB"/>
    <w:rsid w:val="00572CF6"/>
    <w:rsid w:val="00573467"/>
    <w:rsid w:val="00573534"/>
    <w:rsid w:val="00573649"/>
    <w:rsid w:val="005736C9"/>
    <w:rsid w:val="005737E6"/>
    <w:rsid w:val="00573D85"/>
    <w:rsid w:val="00573E3D"/>
    <w:rsid w:val="0057415C"/>
    <w:rsid w:val="0057430F"/>
    <w:rsid w:val="0057437D"/>
    <w:rsid w:val="0057457A"/>
    <w:rsid w:val="00574B9F"/>
    <w:rsid w:val="00574D74"/>
    <w:rsid w:val="005751B1"/>
    <w:rsid w:val="00575378"/>
    <w:rsid w:val="00575548"/>
    <w:rsid w:val="0057574F"/>
    <w:rsid w:val="005757BD"/>
    <w:rsid w:val="00576625"/>
    <w:rsid w:val="00576A8F"/>
    <w:rsid w:val="0058001F"/>
    <w:rsid w:val="0058018E"/>
    <w:rsid w:val="0058022B"/>
    <w:rsid w:val="00580A08"/>
    <w:rsid w:val="00580B26"/>
    <w:rsid w:val="005813D1"/>
    <w:rsid w:val="00581618"/>
    <w:rsid w:val="005817C9"/>
    <w:rsid w:val="00581CD5"/>
    <w:rsid w:val="00581D8A"/>
    <w:rsid w:val="00581E37"/>
    <w:rsid w:val="00582BE3"/>
    <w:rsid w:val="00582C01"/>
    <w:rsid w:val="00582C4D"/>
    <w:rsid w:val="00582D2F"/>
    <w:rsid w:val="00582FCB"/>
    <w:rsid w:val="0058359C"/>
    <w:rsid w:val="0058363E"/>
    <w:rsid w:val="005836C3"/>
    <w:rsid w:val="00583CF4"/>
    <w:rsid w:val="00583F1A"/>
    <w:rsid w:val="0058554A"/>
    <w:rsid w:val="00585ADA"/>
    <w:rsid w:val="0058676E"/>
    <w:rsid w:val="005869EE"/>
    <w:rsid w:val="00586CC7"/>
    <w:rsid w:val="0058746E"/>
    <w:rsid w:val="005875D0"/>
    <w:rsid w:val="00587CF3"/>
    <w:rsid w:val="00590427"/>
    <w:rsid w:val="0059061C"/>
    <w:rsid w:val="00590C23"/>
    <w:rsid w:val="0059147D"/>
    <w:rsid w:val="0059175D"/>
    <w:rsid w:val="00592741"/>
    <w:rsid w:val="005928E5"/>
    <w:rsid w:val="00592AEB"/>
    <w:rsid w:val="005940DE"/>
    <w:rsid w:val="00594327"/>
    <w:rsid w:val="00594505"/>
    <w:rsid w:val="005946E8"/>
    <w:rsid w:val="0059476E"/>
    <w:rsid w:val="00594BC8"/>
    <w:rsid w:val="005951A0"/>
    <w:rsid w:val="0059535A"/>
    <w:rsid w:val="00595BD0"/>
    <w:rsid w:val="00595E57"/>
    <w:rsid w:val="00595FFA"/>
    <w:rsid w:val="005963C8"/>
    <w:rsid w:val="005966F6"/>
    <w:rsid w:val="00596BE7"/>
    <w:rsid w:val="005979FD"/>
    <w:rsid w:val="00597B4A"/>
    <w:rsid w:val="00597C6B"/>
    <w:rsid w:val="005A0F18"/>
    <w:rsid w:val="005A1AD4"/>
    <w:rsid w:val="005A1AF7"/>
    <w:rsid w:val="005A1F33"/>
    <w:rsid w:val="005A1FC1"/>
    <w:rsid w:val="005A22D0"/>
    <w:rsid w:val="005A2717"/>
    <w:rsid w:val="005A28B0"/>
    <w:rsid w:val="005A3123"/>
    <w:rsid w:val="005A3301"/>
    <w:rsid w:val="005A3ABB"/>
    <w:rsid w:val="005A3C3C"/>
    <w:rsid w:val="005A3CE0"/>
    <w:rsid w:val="005A55EE"/>
    <w:rsid w:val="005A55F8"/>
    <w:rsid w:val="005A5615"/>
    <w:rsid w:val="005A56C3"/>
    <w:rsid w:val="005A56F3"/>
    <w:rsid w:val="005A5B5B"/>
    <w:rsid w:val="005A5EA5"/>
    <w:rsid w:val="005A68A1"/>
    <w:rsid w:val="005B1006"/>
    <w:rsid w:val="005B1023"/>
    <w:rsid w:val="005B1B05"/>
    <w:rsid w:val="005B22D4"/>
    <w:rsid w:val="005B28E2"/>
    <w:rsid w:val="005B28FD"/>
    <w:rsid w:val="005B2985"/>
    <w:rsid w:val="005B2DFC"/>
    <w:rsid w:val="005B3E7D"/>
    <w:rsid w:val="005B3EBE"/>
    <w:rsid w:val="005B4047"/>
    <w:rsid w:val="005B49E1"/>
    <w:rsid w:val="005B4F4D"/>
    <w:rsid w:val="005B50AE"/>
    <w:rsid w:val="005B5112"/>
    <w:rsid w:val="005B5249"/>
    <w:rsid w:val="005B5780"/>
    <w:rsid w:val="005B5953"/>
    <w:rsid w:val="005B5B9D"/>
    <w:rsid w:val="005B61D9"/>
    <w:rsid w:val="005B6BB0"/>
    <w:rsid w:val="005B78DD"/>
    <w:rsid w:val="005C01BE"/>
    <w:rsid w:val="005C0604"/>
    <w:rsid w:val="005C0C04"/>
    <w:rsid w:val="005C1258"/>
    <w:rsid w:val="005C1C60"/>
    <w:rsid w:val="005C1FB9"/>
    <w:rsid w:val="005C221D"/>
    <w:rsid w:val="005C28AA"/>
    <w:rsid w:val="005C4453"/>
    <w:rsid w:val="005C4E2A"/>
    <w:rsid w:val="005C4E99"/>
    <w:rsid w:val="005C5ADA"/>
    <w:rsid w:val="005C613B"/>
    <w:rsid w:val="005C6384"/>
    <w:rsid w:val="005C67B1"/>
    <w:rsid w:val="005C6EF7"/>
    <w:rsid w:val="005C7011"/>
    <w:rsid w:val="005C70AC"/>
    <w:rsid w:val="005D0AE2"/>
    <w:rsid w:val="005D0CBD"/>
    <w:rsid w:val="005D0F25"/>
    <w:rsid w:val="005D144B"/>
    <w:rsid w:val="005D157A"/>
    <w:rsid w:val="005D18B1"/>
    <w:rsid w:val="005D1D91"/>
    <w:rsid w:val="005D230C"/>
    <w:rsid w:val="005D5A29"/>
    <w:rsid w:val="005D5F27"/>
    <w:rsid w:val="005D5FA1"/>
    <w:rsid w:val="005D6FE6"/>
    <w:rsid w:val="005D728C"/>
    <w:rsid w:val="005D7D11"/>
    <w:rsid w:val="005D7FE1"/>
    <w:rsid w:val="005E0E2F"/>
    <w:rsid w:val="005E100D"/>
    <w:rsid w:val="005E1189"/>
    <w:rsid w:val="005E217E"/>
    <w:rsid w:val="005E27E9"/>
    <w:rsid w:val="005E3241"/>
    <w:rsid w:val="005E324A"/>
    <w:rsid w:val="005E403C"/>
    <w:rsid w:val="005E48F5"/>
    <w:rsid w:val="005E4B20"/>
    <w:rsid w:val="005E50D1"/>
    <w:rsid w:val="005E5A92"/>
    <w:rsid w:val="005E5DF4"/>
    <w:rsid w:val="005E6E83"/>
    <w:rsid w:val="005E7158"/>
    <w:rsid w:val="005E7524"/>
    <w:rsid w:val="005E76C1"/>
    <w:rsid w:val="005E7787"/>
    <w:rsid w:val="005E7CBE"/>
    <w:rsid w:val="005E7D7B"/>
    <w:rsid w:val="005F03E6"/>
    <w:rsid w:val="005F098C"/>
    <w:rsid w:val="005F0B52"/>
    <w:rsid w:val="005F138E"/>
    <w:rsid w:val="005F1E02"/>
    <w:rsid w:val="005F25C0"/>
    <w:rsid w:val="005F277B"/>
    <w:rsid w:val="005F4336"/>
    <w:rsid w:val="005F44C8"/>
    <w:rsid w:val="005F476A"/>
    <w:rsid w:val="005F51FB"/>
    <w:rsid w:val="005F5225"/>
    <w:rsid w:val="005F572E"/>
    <w:rsid w:val="005F57EF"/>
    <w:rsid w:val="005F585A"/>
    <w:rsid w:val="005F5BAB"/>
    <w:rsid w:val="005F5D72"/>
    <w:rsid w:val="005F5E18"/>
    <w:rsid w:val="005F6742"/>
    <w:rsid w:val="005F68FD"/>
    <w:rsid w:val="005F72AF"/>
    <w:rsid w:val="005F786C"/>
    <w:rsid w:val="005F7AC4"/>
    <w:rsid w:val="005F7FED"/>
    <w:rsid w:val="006001B2"/>
    <w:rsid w:val="006011B7"/>
    <w:rsid w:val="00601C5A"/>
    <w:rsid w:val="00601FFA"/>
    <w:rsid w:val="00602BF4"/>
    <w:rsid w:val="00602D55"/>
    <w:rsid w:val="00603506"/>
    <w:rsid w:val="00603AA7"/>
    <w:rsid w:val="00603C65"/>
    <w:rsid w:val="00603D24"/>
    <w:rsid w:val="00604069"/>
    <w:rsid w:val="006040A0"/>
    <w:rsid w:val="0060430C"/>
    <w:rsid w:val="00605528"/>
    <w:rsid w:val="00605DAB"/>
    <w:rsid w:val="00606143"/>
    <w:rsid w:val="006069DC"/>
    <w:rsid w:val="00606B07"/>
    <w:rsid w:val="006070AA"/>
    <w:rsid w:val="006076F1"/>
    <w:rsid w:val="006079F1"/>
    <w:rsid w:val="00607BE2"/>
    <w:rsid w:val="00610D49"/>
    <w:rsid w:val="00611390"/>
    <w:rsid w:val="00611431"/>
    <w:rsid w:val="006122F1"/>
    <w:rsid w:val="00612477"/>
    <w:rsid w:val="00612959"/>
    <w:rsid w:val="00612B69"/>
    <w:rsid w:val="00612C10"/>
    <w:rsid w:val="0061362C"/>
    <w:rsid w:val="00613C29"/>
    <w:rsid w:val="00613C68"/>
    <w:rsid w:val="006140CF"/>
    <w:rsid w:val="00614137"/>
    <w:rsid w:val="00615896"/>
    <w:rsid w:val="00616003"/>
    <w:rsid w:val="00616D90"/>
    <w:rsid w:val="006177C5"/>
    <w:rsid w:val="00617850"/>
    <w:rsid w:val="006202E5"/>
    <w:rsid w:val="006203CA"/>
    <w:rsid w:val="0062042E"/>
    <w:rsid w:val="00620DFE"/>
    <w:rsid w:val="00620EF6"/>
    <w:rsid w:val="006212DB"/>
    <w:rsid w:val="00621848"/>
    <w:rsid w:val="00621B3D"/>
    <w:rsid w:val="00622EC6"/>
    <w:rsid w:val="00623426"/>
    <w:rsid w:val="006236A5"/>
    <w:rsid w:val="006239A8"/>
    <w:rsid w:val="00623DDE"/>
    <w:rsid w:val="006247F7"/>
    <w:rsid w:val="00625369"/>
    <w:rsid w:val="0062574F"/>
    <w:rsid w:val="00625B0D"/>
    <w:rsid w:val="006267F3"/>
    <w:rsid w:val="00626E4F"/>
    <w:rsid w:val="00627075"/>
    <w:rsid w:val="00630394"/>
    <w:rsid w:val="00630654"/>
    <w:rsid w:val="006308BA"/>
    <w:rsid w:val="0063127B"/>
    <w:rsid w:val="0063135F"/>
    <w:rsid w:val="00632981"/>
    <w:rsid w:val="00632BE6"/>
    <w:rsid w:val="00632D18"/>
    <w:rsid w:val="00632D8D"/>
    <w:rsid w:val="0063355F"/>
    <w:rsid w:val="00633742"/>
    <w:rsid w:val="00633A84"/>
    <w:rsid w:val="00633E8F"/>
    <w:rsid w:val="00634125"/>
    <w:rsid w:val="006349DF"/>
    <w:rsid w:val="00634D0B"/>
    <w:rsid w:val="00634F08"/>
    <w:rsid w:val="0063508B"/>
    <w:rsid w:val="006357B7"/>
    <w:rsid w:val="00635AF5"/>
    <w:rsid w:val="00635D2F"/>
    <w:rsid w:val="0063691C"/>
    <w:rsid w:val="00636B37"/>
    <w:rsid w:val="00636EC4"/>
    <w:rsid w:val="00637454"/>
    <w:rsid w:val="006374A7"/>
    <w:rsid w:val="0063750A"/>
    <w:rsid w:val="00637804"/>
    <w:rsid w:val="006402E8"/>
    <w:rsid w:val="006404BC"/>
    <w:rsid w:val="00640EB8"/>
    <w:rsid w:val="00640FDB"/>
    <w:rsid w:val="00640FDF"/>
    <w:rsid w:val="00641457"/>
    <w:rsid w:val="0064145A"/>
    <w:rsid w:val="00642F8B"/>
    <w:rsid w:val="0064309F"/>
    <w:rsid w:val="00643371"/>
    <w:rsid w:val="00643414"/>
    <w:rsid w:val="006441C6"/>
    <w:rsid w:val="0064469C"/>
    <w:rsid w:val="006447E7"/>
    <w:rsid w:val="0064493F"/>
    <w:rsid w:val="00644ABC"/>
    <w:rsid w:val="00644F34"/>
    <w:rsid w:val="00645105"/>
    <w:rsid w:val="006454F5"/>
    <w:rsid w:val="00645818"/>
    <w:rsid w:val="00645AD6"/>
    <w:rsid w:val="0064614E"/>
    <w:rsid w:val="0064618A"/>
    <w:rsid w:val="00646396"/>
    <w:rsid w:val="0064695B"/>
    <w:rsid w:val="00646DEA"/>
    <w:rsid w:val="0064704B"/>
    <w:rsid w:val="006472A5"/>
    <w:rsid w:val="006472D3"/>
    <w:rsid w:val="00647798"/>
    <w:rsid w:val="00647AC7"/>
    <w:rsid w:val="00650601"/>
    <w:rsid w:val="00650BB2"/>
    <w:rsid w:val="00650C38"/>
    <w:rsid w:val="00651299"/>
    <w:rsid w:val="00651537"/>
    <w:rsid w:val="00651A9B"/>
    <w:rsid w:val="00651A9E"/>
    <w:rsid w:val="00651BFE"/>
    <w:rsid w:val="0065229F"/>
    <w:rsid w:val="00652872"/>
    <w:rsid w:val="006531A2"/>
    <w:rsid w:val="0065338F"/>
    <w:rsid w:val="006539D3"/>
    <w:rsid w:val="00653DDC"/>
    <w:rsid w:val="00654395"/>
    <w:rsid w:val="0065453B"/>
    <w:rsid w:val="00655114"/>
    <w:rsid w:val="006560CF"/>
    <w:rsid w:val="00656AD1"/>
    <w:rsid w:val="006572F9"/>
    <w:rsid w:val="00657584"/>
    <w:rsid w:val="00657B83"/>
    <w:rsid w:val="00657EDE"/>
    <w:rsid w:val="006612A2"/>
    <w:rsid w:val="00661A07"/>
    <w:rsid w:val="00662021"/>
    <w:rsid w:val="00662792"/>
    <w:rsid w:val="0066382A"/>
    <w:rsid w:val="00663A87"/>
    <w:rsid w:val="00663EEE"/>
    <w:rsid w:val="006644B9"/>
    <w:rsid w:val="0066486B"/>
    <w:rsid w:val="0066570D"/>
    <w:rsid w:val="006657C6"/>
    <w:rsid w:val="006658DF"/>
    <w:rsid w:val="0066629D"/>
    <w:rsid w:val="0066659F"/>
    <w:rsid w:val="0066663E"/>
    <w:rsid w:val="00666879"/>
    <w:rsid w:val="00666AA4"/>
    <w:rsid w:val="00666F9C"/>
    <w:rsid w:val="006673F6"/>
    <w:rsid w:val="00670E50"/>
    <w:rsid w:val="00671254"/>
    <w:rsid w:val="006716A5"/>
    <w:rsid w:val="00671CF6"/>
    <w:rsid w:val="00672041"/>
    <w:rsid w:val="0067235B"/>
    <w:rsid w:val="00672806"/>
    <w:rsid w:val="006729BA"/>
    <w:rsid w:val="00672C76"/>
    <w:rsid w:val="00672E80"/>
    <w:rsid w:val="00673465"/>
    <w:rsid w:val="00673736"/>
    <w:rsid w:val="0067382B"/>
    <w:rsid w:val="00673CDB"/>
    <w:rsid w:val="006741E1"/>
    <w:rsid w:val="006746A3"/>
    <w:rsid w:val="006747B7"/>
    <w:rsid w:val="00674D14"/>
    <w:rsid w:val="00674DC9"/>
    <w:rsid w:val="006751A7"/>
    <w:rsid w:val="006754D0"/>
    <w:rsid w:val="00675914"/>
    <w:rsid w:val="006761BA"/>
    <w:rsid w:val="00676A09"/>
    <w:rsid w:val="00676C4C"/>
    <w:rsid w:val="00676E00"/>
    <w:rsid w:val="00676FA2"/>
    <w:rsid w:val="0067708C"/>
    <w:rsid w:val="006772BA"/>
    <w:rsid w:val="00677E13"/>
    <w:rsid w:val="00677F9F"/>
    <w:rsid w:val="00680F7C"/>
    <w:rsid w:val="0068198B"/>
    <w:rsid w:val="00681CFA"/>
    <w:rsid w:val="00682579"/>
    <w:rsid w:val="00682F87"/>
    <w:rsid w:val="006830AA"/>
    <w:rsid w:val="00683365"/>
    <w:rsid w:val="0068518A"/>
    <w:rsid w:val="00685DAA"/>
    <w:rsid w:val="00685E9E"/>
    <w:rsid w:val="006860C5"/>
    <w:rsid w:val="006863D2"/>
    <w:rsid w:val="00686423"/>
    <w:rsid w:val="00686950"/>
    <w:rsid w:val="00687748"/>
    <w:rsid w:val="00687BF5"/>
    <w:rsid w:val="00687D4B"/>
    <w:rsid w:val="006903B9"/>
    <w:rsid w:val="00690434"/>
    <w:rsid w:val="00690D65"/>
    <w:rsid w:val="00691007"/>
    <w:rsid w:val="006918C2"/>
    <w:rsid w:val="00692814"/>
    <w:rsid w:val="0069288A"/>
    <w:rsid w:val="006928BE"/>
    <w:rsid w:val="006929BF"/>
    <w:rsid w:val="00692A3C"/>
    <w:rsid w:val="00692D39"/>
    <w:rsid w:val="00692E4A"/>
    <w:rsid w:val="00693D61"/>
    <w:rsid w:val="00693EBF"/>
    <w:rsid w:val="00694A49"/>
    <w:rsid w:val="006950D0"/>
    <w:rsid w:val="0069549F"/>
    <w:rsid w:val="00695827"/>
    <w:rsid w:val="00695B17"/>
    <w:rsid w:val="00695B1D"/>
    <w:rsid w:val="00695C04"/>
    <w:rsid w:val="00695D59"/>
    <w:rsid w:val="00695F10"/>
    <w:rsid w:val="00696DF6"/>
    <w:rsid w:val="00696E9F"/>
    <w:rsid w:val="00696FDC"/>
    <w:rsid w:val="00697018"/>
    <w:rsid w:val="006971C7"/>
    <w:rsid w:val="006976DE"/>
    <w:rsid w:val="0069783B"/>
    <w:rsid w:val="006A0E0E"/>
    <w:rsid w:val="006A1332"/>
    <w:rsid w:val="006A2AF4"/>
    <w:rsid w:val="006A3A94"/>
    <w:rsid w:val="006A3B11"/>
    <w:rsid w:val="006A431C"/>
    <w:rsid w:val="006A5464"/>
    <w:rsid w:val="006A5594"/>
    <w:rsid w:val="006A5743"/>
    <w:rsid w:val="006A57DB"/>
    <w:rsid w:val="006A59CA"/>
    <w:rsid w:val="006A5CF3"/>
    <w:rsid w:val="006A5FA7"/>
    <w:rsid w:val="006A603E"/>
    <w:rsid w:val="006A6285"/>
    <w:rsid w:val="006A651B"/>
    <w:rsid w:val="006A6BC0"/>
    <w:rsid w:val="006A6D9F"/>
    <w:rsid w:val="006A6ED7"/>
    <w:rsid w:val="006A6EFD"/>
    <w:rsid w:val="006A6F7D"/>
    <w:rsid w:val="006A7001"/>
    <w:rsid w:val="006A719B"/>
    <w:rsid w:val="006A78CC"/>
    <w:rsid w:val="006A7CB8"/>
    <w:rsid w:val="006B06A4"/>
    <w:rsid w:val="006B08BC"/>
    <w:rsid w:val="006B099A"/>
    <w:rsid w:val="006B2014"/>
    <w:rsid w:val="006B2E83"/>
    <w:rsid w:val="006B34F8"/>
    <w:rsid w:val="006B395B"/>
    <w:rsid w:val="006B3F1C"/>
    <w:rsid w:val="006B421D"/>
    <w:rsid w:val="006B4630"/>
    <w:rsid w:val="006B518D"/>
    <w:rsid w:val="006B5196"/>
    <w:rsid w:val="006B5388"/>
    <w:rsid w:val="006B55C0"/>
    <w:rsid w:val="006B5622"/>
    <w:rsid w:val="006B562C"/>
    <w:rsid w:val="006B5F83"/>
    <w:rsid w:val="006B5F91"/>
    <w:rsid w:val="006B633E"/>
    <w:rsid w:val="006B68A0"/>
    <w:rsid w:val="006B6E66"/>
    <w:rsid w:val="006B75BD"/>
    <w:rsid w:val="006B7D61"/>
    <w:rsid w:val="006C09F8"/>
    <w:rsid w:val="006C0E7C"/>
    <w:rsid w:val="006C190B"/>
    <w:rsid w:val="006C1A0F"/>
    <w:rsid w:val="006C1B5C"/>
    <w:rsid w:val="006C238D"/>
    <w:rsid w:val="006C23DC"/>
    <w:rsid w:val="006C24CA"/>
    <w:rsid w:val="006C2B0D"/>
    <w:rsid w:val="006C38A7"/>
    <w:rsid w:val="006C3D28"/>
    <w:rsid w:val="006C4F9B"/>
    <w:rsid w:val="006C5377"/>
    <w:rsid w:val="006C5530"/>
    <w:rsid w:val="006C553D"/>
    <w:rsid w:val="006C76EC"/>
    <w:rsid w:val="006C7876"/>
    <w:rsid w:val="006C7B42"/>
    <w:rsid w:val="006D010D"/>
    <w:rsid w:val="006D01F7"/>
    <w:rsid w:val="006D023F"/>
    <w:rsid w:val="006D02B7"/>
    <w:rsid w:val="006D07D3"/>
    <w:rsid w:val="006D0BC0"/>
    <w:rsid w:val="006D1F6E"/>
    <w:rsid w:val="006D219A"/>
    <w:rsid w:val="006D2FB2"/>
    <w:rsid w:val="006D3755"/>
    <w:rsid w:val="006D3B16"/>
    <w:rsid w:val="006D4A65"/>
    <w:rsid w:val="006D4DFD"/>
    <w:rsid w:val="006D511D"/>
    <w:rsid w:val="006D5489"/>
    <w:rsid w:val="006D54C7"/>
    <w:rsid w:val="006D5D65"/>
    <w:rsid w:val="006D6115"/>
    <w:rsid w:val="006D6454"/>
    <w:rsid w:val="006D68A8"/>
    <w:rsid w:val="006D68AC"/>
    <w:rsid w:val="006D68E2"/>
    <w:rsid w:val="006D69D4"/>
    <w:rsid w:val="006D6DAC"/>
    <w:rsid w:val="006D73F6"/>
    <w:rsid w:val="006D76CA"/>
    <w:rsid w:val="006D77BF"/>
    <w:rsid w:val="006E0C89"/>
    <w:rsid w:val="006E11BA"/>
    <w:rsid w:val="006E3B4E"/>
    <w:rsid w:val="006E3EEC"/>
    <w:rsid w:val="006E4138"/>
    <w:rsid w:val="006E41EA"/>
    <w:rsid w:val="006E4306"/>
    <w:rsid w:val="006E4660"/>
    <w:rsid w:val="006E4FF9"/>
    <w:rsid w:val="006E5D4D"/>
    <w:rsid w:val="006E5D69"/>
    <w:rsid w:val="006E5D72"/>
    <w:rsid w:val="006E796F"/>
    <w:rsid w:val="006E7B95"/>
    <w:rsid w:val="006E7BD1"/>
    <w:rsid w:val="006E7C75"/>
    <w:rsid w:val="006F0860"/>
    <w:rsid w:val="006F1139"/>
    <w:rsid w:val="006F1306"/>
    <w:rsid w:val="006F161B"/>
    <w:rsid w:val="006F19B0"/>
    <w:rsid w:val="006F1C73"/>
    <w:rsid w:val="006F1DB6"/>
    <w:rsid w:val="006F239C"/>
    <w:rsid w:val="006F368F"/>
    <w:rsid w:val="006F3B39"/>
    <w:rsid w:val="006F4139"/>
    <w:rsid w:val="006F4C43"/>
    <w:rsid w:val="006F57A2"/>
    <w:rsid w:val="006F6223"/>
    <w:rsid w:val="006F6435"/>
    <w:rsid w:val="006F6EC7"/>
    <w:rsid w:val="006F7534"/>
    <w:rsid w:val="0070024C"/>
    <w:rsid w:val="00700368"/>
    <w:rsid w:val="007013B8"/>
    <w:rsid w:val="0070189D"/>
    <w:rsid w:val="00701B95"/>
    <w:rsid w:val="00702103"/>
    <w:rsid w:val="00702608"/>
    <w:rsid w:val="0070273F"/>
    <w:rsid w:val="0070280A"/>
    <w:rsid w:val="007028DB"/>
    <w:rsid w:val="00703F5E"/>
    <w:rsid w:val="00703F7E"/>
    <w:rsid w:val="00704074"/>
    <w:rsid w:val="007042E9"/>
    <w:rsid w:val="0070482C"/>
    <w:rsid w:val="00705354"/>
    <w:rsid w:val="00705517"/>
    <w:rsid w:val="007060DE"/>
    <w:rsid w:val="00706D62"/>
    <w:rsid w:val="00707009"/>
    <w:rsid w:val="007070E5"/>
    <w:rsid w:val="00707193"/>
    <w:rsid w:val="0070726E"/>
    <w:rsid w:val="007079A5"/>
    <w:rsid w:val="00707C34"/>
    <w:rsid w:val="0071009F"/>
    <w:rsid w:val="00710376"/>
    <w:rsid w:val="007105D7"/>
    <w:rsid w:val="0071093B"/>
    <w:rsid w:val="00711172"/>
    <w:rsid w:val="00711194"/>
    <w:rsid w:val="00711C1E"/>
    <w:rsid w:val="00711EE7"/>
    <w:rsid w:val="00712149"/>
    <w:rsid w:val="00712749"/>
    <w:rsid w:val="00712889"/>
    <w:rsid w:val="00713C3A"/>
    <w:rsid w:val="00713E78"/>
    <w:rsid w:val="00714601"/>
    <w:rsid w:val="00714714"/>
    <w:rsid w:val="00714951"/>
    <w:rsid w:val="00715164"/>
    <w:rsid w:val="007153FA"/>
    <w:rsid w:val="00716548"/>
    <w:rsid w:val="00716551"/>
    <w:rsid w:val="0071767E"/>
    <w:rsid w:val="007178FE"/>
    <w:rsid w:val="00717E87"/>
    <w:rsid w:val="00720279"/>
    <w:rsid w:val="007210D8"/>
    <w:rsid w:val="0072114F"/>
    <w:rsid w:val="00721356"/>
    <w:rsid w:val="00721644"/>
    <w:rsid w:val="00721C0C"/>
    <w:rsid w:val="0072219E"/>
    <w:rsid w:val="00722D1C"/>
    <w:rsid w:val="00722D75"/>
    <w:rsid w:val="007230F4"/>
    <w:rsid w:val="00723232"/>
    <w:rsid w:val="0072458D"/>
    <w:rsid w:val="007256C9"/>
    <w:rsid w:val="00725C0A"/>
    <w:rsid w:val="00725E05"/>
    <w:rsid w:val="00725F4F"/>
    <w:rsid w:val="00726204"/>
    <w:rsid w:val="007267F5"/>
    <w:rsid w:val="00726DF1"/>
    <w:rsid w:val="00726F24"/>
    <w:rsid w:val="0072765E"/>
    <w:rsid w:val="00727672"/>
    <w:rsid w:val="0072799F"/>
    <w:rsid w:val="00727AD3"/>
    <w:rsid w:val="00730465"/>
    <w:rsid w:val="00730536"/>
    <w:rsid w:val="007312D4"/>
    <w:rsid w:val="00731BAD"/>
    <w:rsid w:val="007321A1"/>
    <w:rsid w:val="00732994"/>
    <w:rsid w:val="00732FFF"/>
    <w:rsid w:val="0073314F"/>
    <w:rsid w:val="00733583"/>
    <w:rsid w:val="007338C5"/>
    <w:rsid w:val="00733BF0"/>
    <w:rsid w:val="00735329"/>
    <w:rsid w:val="0073622F"/>
    <w:rsid w:val="00736DB5"/>
    <w:rsid w:val="007379A9"/>
    <w:rsid w:val="00737A5C"/>
    <w:rsid w:val="00737A98"/>
    <w:rsid w:val="00737EAE"/>
    <w:rsid w:val="00740D90"/>
    <w:rsid w:val="00740F0D"/>
    <w:rsid w:val="00741408"/>
    <w:rsid w:val="007415CF"/>
    <w:rsid w:val="00741876"/>
    <w:rsid w:val="00741D21"/>
    <w:rsid w:val="007424C6"/>
    <w:rsid w:val="007427DD"/>
    <w:rsid w:val="007428EC"/>
    <w:rsid w:val="00742ABC"/>
    <w:rsid w:val="00743185"/>
    <w:rsid w:val="00743B28"/>
    <w:rsid w:val="00743C47"/>
    <w:rsid w:val="007441D2"/>
    <w:rsid w:val="00744206"/>
    <w:rsid w:val="007443FD"/>
    <w:rsid w:val="007447D5"/>
    <w:rsid w:val="00744A31"/>
    <w:rsid w:val="00744CA3"/>
    <w:rsid w:val="0074516E"/>
    <w:rsid w:val="007458CD"/>
    <w:rsid w:val="007461BA"/>
    <w:rsid w:val="00746E16"/>
    <w:rsid w:val="00746E97"/>
    <w:rsid w:val="00747B8E"/>
    <w:rsid w:val="00747CC7"/>
    <w:rsid w:val="00750088"/>
    <w:rsid w:val="00750552"/>
    <w:rsid w:val="00750932"/>
    <w:rsid w:val="00750B53"/>
    <w:rsid w:val="00750BB7"/>
    <w:rsid w:val="00750F36"/>
    <w:rsid w:val="00750F47"/>
    <w:rsid w:val="00751184"/>
    <w:rsid w:val="007511DB"/>
    <w:rsid w:val="007511F6"/>
    <w:rsid w:val="0075134E"/>
    <w:rsid w:val="00751372"/>
    <w:rsid w:val="0075148C"/>
    <w:rsid w:val="00751568"/>
    <w:rsid w:val="0075163A"/>
    <w:rsid w:val="00751E19"/>
    <w:rsid w:val="00752FD8"/>
    <w:rsid w:val="00752FE0"/>
    <w:rsid w:val="007530D8"/>
    <w:rsid w:val="00755531"/>
    <w:rsid w:val="007558CC"/>
    <w:rsid w:val="007560AE"/>
    <w:rsid w:val="00756289"/>
    <w:rsid w:val="0075633C"/>
    <w:rsid w:val="007564E7"/>
    <w:rsid w:val="00756567"/>
    <w:rsid w:val="00756E8F"/>
    <w:rsid w:val="00757BE7"/>
    <w:rsid w:val="00757C16"/>
    <w:rsid w:val="00760493"/>
    <w:rsid w:val="0076089C"/>
    <w:rsid w:val="00760EFE"/>
    <w:rsid w:val="0076145D"/>
    <w:rsid w:val="007624AA"/>
    <w:rsid w:val="007625E1"/>
    <w:rsid w:val="0076278B"/>
    <w:rsid w:val="007629B5"/>
    <w:rsid w:val="00762B7E"/>
    <w:rsid w:val="007632F3"/>
    <w:rsid w:val="00763649"/>
    <w:rsid w:val="00763C37"/>
    <w:rsid w:val="00763DF5"/>
    <w:rsid w:val="00764563"/>
    <w:rsid w:val="00764EDB"/>
    <w:rsid w:val="007653FA"/>
    <w:rsid w:val="00766463"/>
    <w:rsid w:val="0076685F"/>
    <w:rsid w:val="00767C86"/>
    <w:rsid w:val="00767F42"/>
    <w:rsid w:val="00770810"/>
    <w:rsid w:val="007708D4"/>
    <w:rsid w:val="00770B73"/>
    <w:rsid w:val="0077102D"/>
    <w:rsid w:val="00771820"/>
    <w:rsid w:val="00772227"/>
    <w:rsid w:val="00772260"/>
    <w:rsid w:val="00772268"/>
    <w:rsid w:val="007725A1"/>
    <w:rsid w:val="007728AC"/>
    <w:rsid w:val="00772DE5"/>
    <w:rsid w:val="00772EB0"/>
    <w:rsid w:val="007740BF"/>
    <w:rsid w:val="00774165"/>
    <w:rsid w:val="007749A8"/>
    <w:rsid w:val="0077567E"/>
    <w:rsid w:val="00775685"/>
    <w:rsid w:val="0077575B"/>
    <w:rsid w:val="00775902"/>
    <w:rsid w:val="00775BA1"/>
    <w:rsid w:val="00775D2E"/>
    <w:rsid w:val="007768FE"/>
    <w:rsid w:val="007769A2"/>
    <w:rsid w:val="00777569"/>
    <w:rsid w:val="00780224"/>
    <w:rsid w:val="007808AC"/>
    <w:rsid w:val="007808B5"/>
    <w:rsid w:val="00780F43"/>
    <w:rsid w:val="007818C9"/>
    <w:rsid w:val="00781B8A"/>
    <w:rsid w:val="00781C5E"/>
    <w:rsid w:val="00781E25"/>
    <w:rsid w:val="00781F91"/>
    <w:rsid w:val="00782A9B"/>
    <w:rsid w:val="00782CD2"/>
    <w:rsid w:val="00782CDD"/>
    <w:rsid w:val="00782CED"/>
    <w:rsid w:val="00782D2A"/>
    <w:rsid w:val="007830D7"/>
    <w:rsid w:val="00783333"/>
    <w:rsid w:val="00784375"/>
    <w:rsid w:val="0078468F"/>
    <w:rsid w:val="00784941"/>
    <w:rsid w:val="007849E8"/>
    <w:rsid w:val="00784C96"/>
    <w:rsid w:val="0078516C"/>
    <w:rsid w:val="0078549E"/>
    <w:rsid w:val="007858B8"/>
    <w:rsid w:val="00785E01"/>
    <w:rsid w:val="0078761D"/>
    <w:rsid w:val="00787ADF"/>
    <w:rsid w:val="00787E8C"/>
    <w:rsid w:val="00787EB8"/>
    <w:rsid w:val="00790427"/>
    <w:rsid w:val="007904CC"/>
    <w:rsid w:val="00790741"/>
    <w:rsid w:val="00790BA7"/>
    <w:rsid w:val="00790FC1"/>
    <w:rsid w:val="0079193F"/>
    <w:rsid w:val="0079270D"/>
    <w:rsid w:val="00792B66"/>
    <w:rsid w:val="00792EBE"/>
    <w:rsid w:val="0079336C"/>
    <w:rsid w:val="0079347F"/>
    <w:rsid w:val="0079399D"/>
    <w:rsid w:val="00793F81"/>
    <w:rsid w:val="0079407F"/>
    <w:rsid w:val="007942BD"/>
    <w:rsid w:val="00795E45"/>
    <w:rsid w:val="00795EC9"/>
    <w:rsid w:val="007960E2"/>
    <w:rsid w:val="00796100"/>
    <w:rsid w:val="007961FF"/>
    <w:rsid w:val="007963B2"/>
    <w:rsid w:val="00796510"/>
    <w:rsid w:val="007968CF"/>
    <w:rsid w:val="00796906"/>
    <w:rsid w:val="00796A12"/>
    <w:rsid w:val="00796B78"/>
    <w:rsid w:val="00796BA7"/>
    <w:rsid w:val="00796D16"/>
    <w:rsid w:val="00796EE2"/>
    <w:rsid w:val="00797833"/>
    <w:rsid w:val="007A037D"/>
    <w:rsid w:val="007A05E8"/>
    <w:rsid w:val="007A0852"/>
    <w:rsid w:val="007A08AD"/>
    <w:rsid w:val="007A09B9"/>
    <w:rsid w:val="007A175E"/>
    <w:rsid w:val="007A1AA6"/>
    <w:rsid w:val="007A203C"/>
    <w:rsid w:val="007A2F07"/>
    <w:rsid w:val="007A30DE"/>
    <w:rsid w:val="007A3773"/>
    <w:rsid w:val="007A3D72"/>
    <w:rsid w:val="007A3EB6"/>
    <w:rsid w:val="007A3ED6"/>
    <w:rsid w:val="007A49DE"/>
    <w:rsid w:val="007A4D65"/>
    <w:rsid w:val="007A509C"/>
    <w:rsid w:val="007A530A"/>
    <w:rsid w:val="007A57A7"/>
    <w:rsid w:val="007A5B72"/>
    <w:rsid w:val="007A5F51"/>
    <w:rsid w:val="007A6018"/>
    <w:rsid w:val="007A7109"/>
    <w:rsid w:val="007A7126"/>
    <w:rsid w:val="007A7692"/>
    <w:rsid w:val="007A7DBC"/>
    <w:rsid w:val="007A7F1A"/>
    <w:rsid w:val="007B06B1"/>
    <w:rsid w:val="007B1445"/>
    <w:rsid w:val="007B1DB4"/>
    <w:rsid w:val="007B1FF1"/>
    <w:rsid w:val="007B2422"/>
    <w:rsid w:val="007B2A6D"/>
    <w:rsid w:val="007B2C01"/>
    <w:rsid w:val="007B2D60"/>
    <w:rsid w:val="007B30AF"/>
    <w:rsid w:val="007B33A9"/>
    <w:rsid w:val="007B3A92"/>
    <w:rsid w:val="007B3ECF"/>
    <w:rsid w:val="007B46D8"/>
    <w:rsid w:val="007B4ED2"/>
    <w:rsid w:val="007B5A0B"/>
    <w:rsid w:val="007B6E7F"/>
    <w:rsid w:val="007B7161"/>
    <w:rsid w:val="007B73B9"/>
    <w:rsid w:val="007C0312"/>
    <w:rsid w:val="007C0A16"/>
    <w:rsid w:val="007C0BDF"/>
    <w:rsid w:val="007C1706"/>
    <w:rsid w:val="007C196B"/>
    <w:rsid w:val="007C1F39"/>
    <w:rsid w:val="007C20DB"/>
    <w:rsid w:val="007C2147"/>
    <w:rsid w:val="007C2281"/>
    <w:rsid w:val="007C244B"/>
    <w:rsid w:val="007C262A"/>
    <w:rsid w:val="007C2F4C"/>
    <w:rsid w:val="007C3FE7"/>
    <w:rsid w:val="007C4571"/>
    <w:rsid w:val="007C49A1"/>
    <w:rsid w:val="007C4A61"/>
    <w:rsid w:val="007C518A"/>
    <w:rsid w:val="007C53B4"/>
    <w:rsid w:val="007C5574"/>
    <w:rsid w:val="007C56A7"/>
    <w:rsid w:val="007C5AAF"/>
    <w:rsid w:val="007C701F"/>
    <w:rsid w:val="007C70E0"/>
    <w:rsid w:val="007C75FD"/>
    <w:rsid w:val="007D057A"/>
    <w:rsid w:val="007D0A26"/>
    <w:rsid w:val="007D0DD0"/>
    <w:rsid w:val="007D0F36"/>
    <w:rsid w:val="007D1B30"/>
    <w:rsid w:val="007D2E45"/>
    <w:rsid w:val="007D2F04"/>
    <w:rsid w:val="007D3112"/>
    <w:rsid w:val="007D36DB"/>
    <w:rsid w:val="007D477F"/>
    <w:rsid w:val="007D4EA8"/>
    <w:rsid w:val="007D51DD"/>
    <w:rsid w:val="007D5A55"/>
    <w:rsid w:val="007D64AD"/>
    <w:rsid w:val="007D6BD6"/>
    <w:rsid w:val="007D6F90"/>
    <w:rsid w:val="007D7F2E"/>
    <w:rsid w:val="007D7F7D"/>
    <w:rsid w:val="007E03B5"/>
    <w:rsid w:val="007E0B85"/>
    <w:rsid w:val="007E14B1"/>
    <w:rsid w:val="007E2431"/>
    <w:rsid w:val="007E2F51"/>
    <w:rsid w:val="007E32ED"/>
    <w:rsid w:val="007E3687"/>
    <w:rsid w:val="007E3971"/>
    <w:rsid w:val="007E4430"/>
    <w:rsid w:val="007E44F5"/>
    <w:rsid w:val="007E4E19"/>
    <w:rsid w:val="007E5256"/>
    <w:rsid w:val="007E5FB6"/>
    <w:rsid w:val="007E684E"/>
    <w:rsid w:val="007E688F"/>
    <w:rsid w:val="007F0619"/>
    <w:rsid w:val="007F1AEB"/>
    <w:rsid w:val="007F2097"/>
    <w:rsid w:val="007F23CC"/>
    <w:rsid w:val="007F25E3"/>
    <w:rsid w:val="007F2AB5"/>
    <w:rsid w:val="007F2E6A"/>
    <w:rsid w:val="007F345B"/>
    <w:rsid w:val="007F3485"/>
    <w:rsid w:val="007F3BD7"/>
    <w:rsid w:val="007F3F66"/>
    <w:rsid w:val="007F4091"/>
    <w:rsid w:val="007F41FF"/>
    <w:rsid w:val="007F47D9"/>
    <w:rsid w:val="007F5136"/>
    <w:rsid w:val="007F53D7"/>
    <w:rsid w:val="007F6957"/>
    <w:rsid w:val="007F767D"/>
    <w:rsid w:val="007F7945"/>
    <w:rsid w:val="0080033C"/>
    <w:rsid w:val="008005AA"/>
    <w:rsid w:val="008005FA"/>
    <w:rsid w:val="00800659"/>
    <w:rsid w:val="00800877"/>
    <w:rsid w:val="00800DF3"/>
    <w:rsid w:val="008011EC"/>
    <w:rsid w:val="00801C50"/>
    <w:rsid w:val="00801F52"/>
    <w:rsid w:val="008025B7"/>
    <w:rsid w:val="0080291B"/>
    <w:rsid w:val="00802B61"/>
    <w:rsid w:val="00802BB0"/>
    <w:rsid w:val="00803373"/>
    <w:rsid w:val="008038AA"/>
    <w:rsid w:val="00803EA7"/>
    <w:rsid w:val="008044C2"/>
    <w:rsid w:val="008045B5"/>
    <w:rsid w:val="00805068"/>
    <w:rsid w:val="00805090"/>
    <w:rsid w:val="008057A6"/>
    <w:rsid w:val="00805B55"/>
    <w:rsid w:val="008060E0"/>
    <w:rsid w:val="00806B07"/>
    <w:rsid w:val="00807932"/>
    <w:rsid w:val="00807C9A"/>
    <w:rsid w:val="0081019D"/>
    <w:rsid w:val="00810CE1"/>
    <w:rsid w:val="00810F82"/>
    <w:rsid w:val="00811D0D"/>
    <w:rsid w:val="008120AE"/>
    <w:rsid w:val="00812A2F"/>
    <w:rsid w:val="00813343"/>
    <w:rsid w:val="0081379A"/>
    <w:rsid w:val="008137EF"/>
    <w:rsid w:val="00813CFD"/>
    <w:rsid w:val="00813D19"/>
    <w:rsid w:val="00814AF7"/>
    <w:rsid w:val="0081503F"/>
    <w:rsid w:val="00815670"/>
    <w:rsid w:val="00815742"/>
    <w:rsid w:val="0081597B"/>
    <w:rsid w:val="00815B5F"/>
    <w:rsid w:val="00816097"/>
    <w:rsid w:val="008162B0"/>
    <w:rsid w:val="0082035E"/>
    <w:rsid w:val="00821332"/>
    <w:rsid w:val="008213AC"/>
    <w:rsid w:val="00821587"/>
    <w:rsid w:val="00821699"/>
    <w:rsid w:val="00822988"/>
    <w:rsid w:val="00822A50"/>
    <w:rsid w:val="00823A11"/>
    <w:rsid w:val="00823D54"/>
    <w:rsid w:val="0082415F"/>
    <w:rsid w:val="008246D1"/>
    <w:rsid w:val="008252F0"/>
    <w:rsid w:val="008253BE"/>
    <w:rsid w:val="0082565F"/>
    <w:rsid w:val="0082632E"/>
    <w:rsid w:val="00826A71"/>
    <w:rsid w:val="00826D20"/>
    <w:rsid w:val="008270A6"/>
    <w:rsid w:val="00827329"/>
    <w:rsid w:val="008276C2"/>
    <w:rsid w:val="00827D6E"/>
    <w:rsid w:val="0083003D"/>
    <w:rsid w:val="00830205"/>
    <w:rsid w:val="00830410"/>
    <w:rsid w:val="00830730"/>
    <w:rsid w:val="00832BB5"/>
    <w:rsid w:val="00832CE5"/>
    <w:rsid w:val="00832E60"/>
    <w:rsid w:val="00832F3F"/>
    <w:rsid w:val="0083321C"/>
    <w:rsid w:val="00833238"/>
    <w:rsid w:val="00833F32"/>
    <w:rsid w:val="00834936"/>
    <w:rsid w:val="00834995"/>
    <w:rsid w:val="008357BF"/>
    <w:rsid w:val="00835BFD"/>
    <w:rsid w:val="00836381"/>
    <w:rsid w:val="008366AE"/>
    <w:rsid w:val="00836E52"/>
    <w:rsid w:val="00837A49"/>
    <w:rsid w:val="008402E9"/>
    <w:rsid w:val="008403F8"/>
    <w:rsid w:val="00840F46"/>
    <w:rsid w:val="00841271"/>
    <w:rsid w:val="0084129B"/>
    <w:rsid w:val="0084146F"/>
    <w:rsid w:val="00842203"/>
    <w:rsid w:val="0084431B"/>
    <w:rsid w:val="00844967"/>
    <w:rsid w:val="00844A99"/>
    <w:rsid w:val="00844B6E"/>
    <w:rsid w:val="00844D03"/>
    <w:rsid w:val="00845322"/>
    <w:rsid w:val="008459F2"/>
    <w:rsid w:val="00846057"/>
    <w:rsid w:val="00846693"/>
    <w:rsid w:val="00846A5E"/>
    <w:rsid w:val="00847538"/>
    <w:rsid w:val="00847C46"/>
    <w:rsid w:val="00847DD4"/>
    <w:rsid w:val="00847E49"/>
    <w:rsid w:val="00850158"/>
    <w:rsid w:val="00850161"/>
    <w:rsid w:val="008507E1"/>
    <w:rsid w:val="00850817"/>
    <w:rsid w:val="00850EB1"/>
    <w:rsid w:val="00851942"/>
    <w:rsid w:val="00851F7B"/>
    <w:rsid w:val="00852012"/>
    <w:rsid w:val="00852D02"/>
    <w:rsid w:val="00852F43"/>
    <w:rsid w:val="00853121"/>
    <w:rsid w:val="00853235"/>
    <w:rsid w:val="00853529"/>
    <w:rsid w:val="00853685"/>
    <w:rsid w:val="008544BE"/>
    <w:rsid w:val="008545AB"/>
    <w:rsid w:val="008545AC"/>
    <w:rsid w:val="0085487E"/>
    <w:rsid w:val="0085562E"/>
    <w:rsid w:val="008558B2"/>
    <w:rsid w:val="00855D37"/>
    <w:rsid w:val="00855F84"/>
    <w:rsid w:val="0085630C"/>
    <w:rsid w:val="00856779"/>
    <w:rsid w:val="00856DC8"/>
    <w:rsid w:val="00857A95"/>
    <w:rsid w:val="00860743"/>
    <w:rsid w:val="00861520"/>
    <w:rsid w:val="00861877"/>
    <w:rsid w:val="00862D9B"/>
    <w:rsid w:val="00864322"/>
    <w:rsid w:val="0086473F"/>
    <w:rsid w:val="00865717"/>
    <w:rsid w:val="0086571A"/>
    <w:rsid w:val="0086611E"/>
    <w:rsid w:val="00866968"/>
    <w:rsid w:val="0086756A"/>
    <w:rsid w:val="008718C2"/>
    <w:rsid w:val="00871B2D"/>
    <w:rsid w:val="00872140"/>
    <w:rsid w:val="00872516"/>
    <w:rsid w:val="0087278C"/>
    <w:rsid w:val="00872A1E"/>
    <w:rsid w:val="00872C6A"/>
    <w:rsid w:val="00872D83"/>
    <w:rsid w:val="00872E2B"/>
    <w:rsid w:val="008732FB"/>
    <w:rsid w:val="00873372"/>
    <w:rsid w:val="00873C8C"/>
    <w:rsid w:val="00873DE2"/>
    <w:rsid w:val="00873E51"/>
    <w:rsid w:val="0087562F"/>
    <w:rsid w:val="0087667B"/>
    <w:rsid w:val="00876830"/>
    <w:rsid w:val="008769F9"/>
    <w:rsid w:val="008773CD"/>
    <w:rsid w:val="00877908"/>
    <w:rsid w:val="00877914"/>
    <w:rsid w:val="00877D68"/>
    <w:rsid w:val="008809DD"/>
    <w:rsid w:val="00880E8F"/>
    <w:rsid w:val="00883666"/>
    <w:rsid w:val="008851C8"/>
    <w:rsid w:val="008858DA"/>
    <w:rsid w:val="008859FA"/>
    <w:rsid w:val="00885A52"/>
    <w:rsid w:val="00885C1C"/>
    <w:rsid w:val="00886B27"/>
    <w:rsid w:val="008904E9"/>
    <w:rsid w:val="00891224"/>
    <w:rsid w:val="00891987"/>
    <w:rsid w:val="00891B50"/>
    <w:rsid w:val="00891C29"/>
    <w:rsid w:val="00891D26"/>
    <w:rsid w:val="00891DD9"/>
    <w:rsid w:val="00893166"/>
    <w:rsid w:val="00893602"/>
    <w:rsid w:val="0089363A"/>
    <w:rsid w:val="00893666"/>
    <w:rsid w:val="00893CB3"/>
    <w:rsid w:val="008942B5"/>
    <w:rsid w:val="008942B9"/>
    <w:rsid w:val="008946DD"/>
    <w:rsid w:val="00895FD2"/>
    <w:rsid w:val="00896520"/>
    <w:rsid w:val="008967EE"/>
    <w:rsid w:val="008968CE"/>
    <w:rsid w:val="0089734C"/>
    <w:rsid w:val="008977E8"/>
    <w:rsid w:val="008A0371"/>
    <w:rsid w:val="008A0753"/>
    <w:rsid w:val="008A0D67"/>
    <w:rsid w:val="008A0FBA"/>
    <w:rsid w:val="008A1661"/>
    <w:rsid w:val="008A1C31"/>
    <w:rsid w:val="008A1ECA"/>
    <w:rsid w:val="008A2117"/>
    <w:rsid w:val="008A2621"/>
    <w:rsid w:val="008A2774"/>
    <w:rsid w:val="008A2A18"/>
    <w:rsid w:val="008A2C90"/>
    <w:rsid w:val="008A2E27"/>
    <w:rsid w:val="008A3267"/>
    <w:rsid w:val="008A3663"/>
    <w:rsid w:val="008A40B0"/>
    <w:rsid w:val="008A4CB4"/>
    <w:rsid w:val="008A4D1F"/>
    <w:rsid w:val="008A5143"/>
    <w:rsid w:val="008A571E"/>
    <w:rsid w:val="008A616E"/>
    <w:rsid w:val="008A6D0A"/>
    <w:rsid w:val="008A71D2"/>
    <w:rsid w:val="008A75C5"/>
    <w:rsid w:val="008A7CFC"/>
    <w:rsid w:val="008A7E87"/>
    <w:rsid w:val="008B0734"/>
    <w:rsid w:val="008B091C"/>
    <w:rsid w:val="008B100B"/>
    <w:rsid w:val="008B1349"/>
    <w:rsid w:val="008B172B"/>
    <w:rsid w:val="008B2113"/>
    <w:rsid w:val="008B28ED"/>
    <w:rsid w:val="008B316E"/>
    <w:rsid w:val="008B3509"/>
    <w:rsid w:val="008B3CC9"/>
    <w:rsid w:val="008B3EE5"/>
    <w:rsid w:val="008B445C"/>
    <w:rsid w:val="008B4565"/>
    <w:rsid w:val="008B4DCF"/>
    <w:rsid w:val="008B5485"/>
    <w:rsid w:val="008B56D1"/>
    <w:rsid w:val="008B6DAA"/>
    <w:rsid w:val="008B773E"/>
    <w:rsid w:val="008B7D43"/>
    <w:rsid w:val="008B7DE1"/>
    <w:rsid w:val="008C005B"/>
    <w:rsid w:val="008C034A"/>
    <w:rsid w:val="008C0709"/>
    <w:rsid w:val="008C0919"/>
    <w:rsid w:val="008C0A19"/>
    <w:rsid w:val="008C12D4"/>
    <w:rsid w:val="008C1813"/>
    <w:rsid w:val="008C1E4F"/>
    <w:rsid w:val="008C2826"/>
    <w:rsid w:val="008C30CF"/>
    <w:rsid w:val="008C397B"/>
    <w:rsid w:val="008C39DE"/>
    <w:rsid w:val="008C3A7B"/>
    <w:rsid w:val="008C3BBB"/>
    <w:rsid w:val="008C492F"/>
    <w:rsid w:val="008C4E3E"/>
    <w:rsid w:val="008C5064"/>
    <w:rsid w:val="008C5B06"/>
    <w:rsid w:val="008C601C"/>
    <w:rsid w:val="008C6799"/>
    <w:rsid w:val="008C7B0B"/>
    <w:rsid w:val="008C7C62"/>
    <w:rsid w:val="008D0C7F"/>
    <w:rsid w:val="008D19BA"/>
    <w:rsid w:val="008D1D39"/>
    <w:rsid w:val="008D1ED4"/>
    <w:rsid w:val="008D22CD"/>
    <w:rsid w:val="008D2DD1"/>
    <w:rsid w:val="008D47D3"/>
    <w:rsid w:val="008D4E9E"/>
    <w:rsid w:val="008D4FE2"/>
    <w:rsid w:val="008D5471"/>
    <w:rsid w:val="008D63B2"/>
    <w:rsid w:val="008D65A1"/>
    <w:rsid w:val="008D67AF"/>
    <w:rsid w:val="008D6EE5"/>
    <w:rsid w:val="008D6F2D"/>
    <w:rsid w:val="008D7D59"/>
    <w:rsid w:val="008D7EE6"/>
    <w:rsid w:val="008E0258"/>
    <w:rsid w:val="008E028F"/>
    <w:rsid w:val="008E03FA"/>
    <w:rsid w:val="008E1ADA"/>
    <w:rsid w:val="008E1D5B"/>
    <w:rsid w:val="008E1DCF"/>
    <w:rsid w:val="008E1EAB"/>
    <w:rsid w:val="008E217E"/>
    <w:rsid w:val="008E22FA"/>
    <w:rsid w:val="008E291F"/>
    <w:rsid w:val="008E2B35"/>
    <w:rsid w:val="008E2E29"/>
    <w:rsid w:val="008E3362"/>
    <w:rsid w:val="008E3CB2"/>
    <w:rsid w:val="008E3CB9"/>
    <w:rsid w:val="008E4052"/>
    <w:rsid w:val="008E4101"/>
    <w:rsid w:val="008E4562"/>
    <w:rsid w:val="008E4E14"/>
    <w:rsid w:val="008E5325"/>
    <w:rsid w:val="008E577F"/>
    <w:rsid w:val="008E5964"/>
    <w:rsid w:val="008E6164"/>
    <w:rsid w:val="008E6B91"/>
    <w:rsid w:val="008E6BF7"/>
    <w:rsid w:val="008E7819"/>
    <w:rsid w:val="008E7A78"/>
    <w:rsid w:val="008E7B88"/>
    <w:rsid w:val="008F015F"/>
    <w:rsid w:val="008F0234"/>
    <w:rsid w:val="008F074D"/>
    <w:rsid w:val="008F0D7C"/>
    <w:rsid w:val="008F1782"/>
    <w:rsid w:val="008F18E5"/>
    <w:rsid w:val="008F1958"/>
    <w:rsid w:val="008F1CD3"/>
    <w:rsid w:val="008F1EA6"/>
    <w:rsid w:val="008F2075"/>
    <w:rsid w:val="008F2841"/>
    <w:rsid w:val="008F2A28"/>
    <w:rsid w:val="008F32C7"/>
    <w:rsid w:val="008F3765"/>
    <w:rsid w:val="008F3DE2"/>
    <w:rsid w:val="008F491F"/>
    <w:rsid w:val="008F4AA5"/>
    <w:rsid w:val="008F4CBA"/>
    <w:rsid w:val="008F5F0E"/>
    <w:rsid w:val="008F71C9"/>
    <w:rsid w:val="008F79F3"/>
    <w:rsid w:val="008F7CD5"/>
    <w:rsid w:val="008F7FB1"/>
    <w:rsid w:val="00900127"/>
    <w:rsid w:val="00900176"/>
    <w:rsid w:val="00901DEE"/>
    <w:rsid w:val="00901E82"/>
    <w:rsid w:val="00902646"/>
    <w:rsid w:val="00902752"/>
    <w:rsid w:val="00902A57"/>
    <w:rsid w:val="0090320C"/>
    <w:rsid w:val="009032BB"/>
    <w:rsid w:val="00903550"/>
    <w:rsid w:val="009037E8"/>
    <w:rsid w:val="00903AA3"/>
    <w:rsid w:val="0090400C"/>
    <w:rsid w:val="00904883"/>
    <w:rsid w:val="00904A53"/>
    <w:rsid w:val="009050EA"/>
    <w:rsid w:val="0090535E"/>
    <w:rsid w:val="009053C2"/>
    <w:rsid w:val="00905442"/>
    <w:rsid w:val="00905B46"/>
    <w:rsid w:val="00905E82"/>
    <w:rsid w:val="0090643F"/>
    <w:rsid w:val="009065EE"/>
    <w:rsid w:val="009072B1"/>
    <w:rsid w:val="009072F6"/>
    <w:rsid w:val="00907998"/>
    <w:rsid w:val="00907D69"/>
    <w:rsid w:val="0091017A"/>
    <w:rsid w:val="009103BC"/>
    <w:rsid w:val="0091046F"/>
    <w:rsid w:val="00910D00"/>
    <w:rsid w:val="00910EF8"/>
    <w:rsid w:val="0091166D"/>
    <w:rsid w:val="00911A3F"/>
    <w:rsid w:val="00911EF0"/>
    <w:rsid w:val="009123B0"/>
    <w:rsid w:val="00912727"/>
    <w:rsid w:val="009132DD"/>
    <w:rsid w:val="00913876"/>
    <w:rsid w:val="00913B5B"/>
    <w:rsid w:val="00914003"/>
    <w:rsid w:val="0091461D"/>
    <w:rsid w:val="00914894"/>
    <w:rsid w:val="0091495F"/>
    <w:rsid w:val="00914BFE"/>
    <w:rsid w:val="00915366"/>
    <w:rsid w:val="00915699"/>
    <w:rsid w:val="00915BB9"/>
    <w:rsid w:val="00915D45"/>
    <w:rsid w:val="00915EDA"/>
    <w:rsid w:val="009166CD"/>
    <w:rsid w:val="009169EE"/>
    <w:rsid w:val="00916D61"/>
    <w:rsid w:val="00916F35"/>
    <w:rsid w:val="00916FA5"/>
    <w:rsid w:val="009177DE"/>
    <w:rsid w:val="009179F6"/>
    <w:rsid w:val="009201A7"/>
    <w:rsid w:val="00920623"/>
    <w:rsid w:val="00920745"/>
    <w:rsid w:val="00921185"/>
    <w:rsid w:val="0092305A"/>
    <w:rsid w:val="0092396A"/>
    <w:rsid w:val="0092417C"/>
    <w:rsid w:val="00924305"/>
    <w:rsid w:val="00924336"/>
    <w:rsid w:val="00924784"/>
    <w:rsid w:val="0092486B"/>
    <w:rsid w:val="009258D3"/>
    <w:rsid w:val="00925DF9"/>
    <w:rsid w:val="00925FF2"/>
    <w:rsid w:val="00926529"/>
    <w:rsid w:val="00926F75"/>
    <w:rsid w:val="0092705B"/>
    <w:rsid w:val="009273D8"/>
    <w:rsid w:val="00927AE0"/>
    <w:rsid w:val="00930341"/>
    <w:rsid w:val="00930AC5"/>
    <w:rsid w:val="00930B20"/>
    <w:rsid w:val="00930CDF"/>
    <w:rsid w:val="00930FFB"/>
    <w:rsid w:val="0093136D"/>
    <w:rsid w:val="00931720"/>
    <w:rsid w:val="0093237A"/>
    <w:rsid w:val="00932396"/>
    <w:rsid w:val="00932491"/>
    <w:rsid w:val="009326C5"/>
    <w:rsid w:val="00932BA1"/>
    <w:rsid w:val="00933555"/>
    <w:rsid w:val="00933FEC"/>
    <w:rsid w:val="0093487D"/>
    <w:rsid w:val="0093498E"/>
    <w:rsid w:val="00934F7B"/>
    <w:rsid w:val="009350BA"/>
    <w:rsid w:val="0093525E"/>
    <w:rsid w:val="00935433"/>
    <w:rsid w:val="00935434"/>
    <w:rsid w:val="00935DBC"/>
    <w:rsid w:val="00936180"/>
    <w:rsid w:val="00936625"/>
    <w:rsid w:val="00936A02"/>
    <w:rsid w:val="00936E1A"/>
    <w:rsid w:val="00936E1E"/>
    <w:rsid w:val="00936F1B"/>
    <w:rsid w:val="00937570"/>
    <w:rsid w:val="009378C3"/>
    <w:rsid w:val="00937C91"/>
    <w:rsid w:val="009404BC"/>
    <w:rsid w:val="0094058F"/>
    <w:rsid w:val="00940BD4"/>
    <w:rsid w:val="00940BFE"/>
    <w:rsid w:val="00940EAF"/>
    <w:rsid w:val="009410B6"/>
    <w:rsid w:val="0094170A"/>
    <w:rsid w:val="00941742"/>
    <w:rsid w:val="00942348"/>
    <w:rsid w:val="009425D1"/>
    <w:rsid w:val="0094321E"/>
    <w:rsid w:val="0094366C"/>
    <w:rsid w:val="009446CD"/>
    <w:rsid w:val="00944C13"/>
    <w:rsid w:val="00945544"/>
    <w:rsid w:val="00945C72"/>
    <w:rsid w:val="00945D85"/>
    <w:rsid w:val="00945E8A"/>
    <w:rsid w:val="00946587"/>
    <w:rsid w:val="009469D5"/>
    <w:rsid w:val="009475BF"/>
    <w:rsid w:val="009476D8"/>
    <w:rsid w:val="00951EB2"/>
    <w:rsid w:val="00952251"/>
    <w:rsid w:val="009526E9"/>
    <w:rsid w:val="00952A0D"/>
    <w:rsid w:val="00953219"/>
    <w:rsid w:val="0095321D"/>
    <w:rsid w:val="0095337A"/>
    <w:rsid w:val="00953AB3"/>
    <w:rsid w:val="00953B4D"/>
    <w:rsid w:val="00954656"/>
    <w:rsid w:val="00954F97"/>
    <w:rsid w:val="0095543C"/>
    <w:rsid w:val="00955EBD"/>
    <w:rsid w:val="00956575"/>
    <w:rsid w:val="00957AFC"/>
    <w:rsid w:val="00957D5B"/>
    <w:rsid w:val="009600D9"/>
    <w:rsid w:val="00960CAD"/>
    <w:rsid w:val="0096163C"/>
    <w:rsid w:val="009619CB"/>
    <w:rsid w:val="00961B72"/>
    <w:rsid w:val="00962C37"/>
    <w:rsid w:val="009634B6"/>
    <w:rsid w:val="00963F9E"/>
    <w:rsid w:val="009646A2"/>
    <w:rsid w:val="0096470B"/>
    <w:rsid w:val="00964A87"/>
    <w:rsid w:val="0096516E"/>
    <w:rsid w:val="009655F9"/>
    <w:rsid w:val="0096561B"/>
    <w:rsid w:val="009658E7"/>
    <w:rsid w:val="00965B50"/>
    <w:rsid w:val="00965E99"/>
    <w:rsid w:val="00966AB3"/>
    <w:rsid w:val="00966E41"/>
    <w:rsid w:val="00966FD6"/>
    <w:rsid w:val="00967208"/>
    <w:rsid w:val="009674E0"/>
    <w:rsid w:val="0096772C"/>
    <w:rsid w:val="009678BE"/>
    <w:rsid w:val="00967B20"/>
    <w:rsid w:val="00967F20"/>
    <w:rsid w:val="00970969"/>
    <w:rsid w:val="009710A9"/>
    <w:rsid w:val="0097124A"/>
    <w:rsid w:val="00971511"/>
    <w:rsid w:val="00971830"/>
    <w:rsid w:val="0097199B"/>
    <w:rsid w:val="00971B32"/>
    <w:rsid w:val="0097217E"/>
    <w:rsid w:val="00972423"/>
    <w:rsid w:val="00973424"/>
    <w:rsid w:val="00973754"/>
    <w:rsid w:val="0097421E"/>
    <w:rsid w:val="00974D56"/>
    <w:rsid w:val="0097502F"/>
    <w:rsid w:val="00975B35"/>
    <w:rsid w:val="00976816"/>
    <w:rsid w:val="00976948"/>
    <w:rsid w:val="00976D0C"/>
    <w:rsid w:val="00976EA8"/>
    <w:rsid w:val="00977094"/>
    <w:rsid w:val="00977442"/>
    <w:rsid w:val="00977829"/>
    <w:rsid w:val="009778DB"/>
    <w:rsid w:val="00977B43"/>
    <w:rsid w:val="00977EE1"/>
    <w:rsid w:val="00980258"/>
    <w:rsid w:val="00980581"/>
    <w:rsid w:val="00980A5B"/>
    <w:rsid w:val="00981941"/>
    <w:rsid w:val="009821B7"/>
    <w:rsid w:val="009823EE"/>
    <w:rsid w:val="0098277F"/>
    <w:rsid w:val="00982AAE"/>
    <w:rsid w:val="009832E6"/>
    <w:rsid w:val="00984227"/>
    <w:rsid w:val="00984417"/>
    <w:rsid w:val="009852B5"/>
    <w:rsid w:val="00985357"/>
    <w:rsid w:val="0098541A"/>
    <w:rsid w:val="00985FA5"/>
    <w:rsid w:val="00986264"/>
    <w:rsid w:val="009863BA"/>
    <w:rsid w:val="00986420"/>
    <w:rsid w:val="009867D1"/>
    <w:rsid w:val="009868E3"/>
    <w:rsid w:val="00986E21"/>
    <w:rsid w:val="009875A1"/>
    <w:rsid w:val="00987BC1"/>
    <w:rsid w:val="00987CE2"/>
    <w:rsid w:val="00987E99"/>
    <w:rsid w:val="00990E50"/>
    <w:rsid w:val="00991066"/>
    <w:rsid w:val="009912AC"/>
    <w:rsid w:val="00991408"/>
    <w:rsid w:val="009914C6"/>
    <w:rsid w:val="009927E4"/>
    <w:rsid w:val="00992896"/>
    <w:rsid w:val="00992A2A"/>
    <w:rsid w:val="00992A68"/>
    <w:rsid w:val="00992E0D"/>
    <w:rsid w:val="00993154"/>
    <w:rsid w:val="009938DA"/>
    <w:rsid w:val="009939C8"/>
    <w:rsid w:val="009946EE"/>
    <w:rsid w:val="0099490C"/>
    <w:rsid w:val="00994A35"/>
    <w:rsid w:val="0099518D"/>
    <w:rsid w:val="00996333"/>
    <w:rsid w:val="00996BA2"/>
    <w:rsid w:val="00996D9E"/>
    <w:rsid w:val="00997221"/>
    <w:rsid w:val="009972A3"/>
    <w:rsid w:val="0099733D"/>
    <w:rsid w:val="00997653"/>
    <w:rsid w:val="009A070B"/>
    <w:rsid w:val="009A09F5"/>
    <w:rsid w:val="009A0A71"/>
    <w:rsid w:val="009A0EE5"/>
    <w:rsid w:val="009A0FE7"/>
    <w:rsid w:val="009A125F"/>
    <w:rsid w:val="009A1557"/>
    <w:rsid w:val="009A1BBB"/>
    <w:rsid w:val="009A1F29"/>
    <w:rsid w:val="009A2039"/>
    <w:rsid w:val="009A2096"/>
    <w:rsid w:val="009A23B1"/>
    <w:rsid w:val="009A27C6"/>
    <w:rsid w:val="009A2CDD"/>
    <w:rsid w:val="009A2CE4"/>
    <w:rsid w:val="009A2DE3"/>
    <w:rsid w:val="009A2F93"/>
    <w:rsid w:val="009A33F3"/>
    <w:rsid w:val="009A33F8"/>
    <w:rsid w:val="009A3586"/>
    <w:rsid w:val="009A39FB"/>
    <w:rsid w:val="009A3C40"/>
    <w:rsid w:val="009A448A"/>
    <w:rsid w:val="009A5066"/>
    <w:rsid w:val="009A60B2"/>
    <w:rsid w:val="009A6245"/>
    <w:rsid w:val="009A63DC"/>
    <w:rsid w:val="009A7017"/>
    <w:rsid w:val="009A7A48"/>
    <w:rsid w:val="009A7E69"/>
    <w:rsid w:val="009B0713"/>
    <w:rsid w:val="009B0931"/>
    <w:rsid w:val="009B09E7"/>
    <w:rsid w:val="009B0A47"/>
    <w:rsid w:val="009B0A66"/>
    <w:rsid w:val="009B0EC3"/>
    <w:rsid w:val="009B1604"/>
    <w:rsid w:val="009B16E4"/>
    <w:rsid w:val="009B1A54"/>
    <w:rsid w:val="009B22AA"/>
    <w:rsid w:val="009B2F2E"/>
    <w:rsid w:val="009B3383"/>
    <w:rsid w:val="009B3731"/>
    <w:rsid w:val="009B4199"/>
    <w:rsid w:val="009B4579"/>
    <w:rsid w:val="009B4C8C"/>
    <w:rsid w:val="009B599E"/>
    <w:rsid w:val="009B608B"/>
    <w:rsid w:val="009B6251"/>
    <w:rsid w:val="009B6916"/>
    <w:rsid w:val="009B7317"/>
    <w:rsid w:val="009B7EFB"/>
    <w:rsid w:val="009C0183"/>
    <w:rsid w:val="009C0278"/>
    <w:rsid w:val="009C02EF"/>
    <w:rsid w:val="009C0968"/>
    <w:rsid w:val="009C0C83"/>
    <w:rsid w:val="009C0DFD"/>
    <w:rsid w:val="009C0F1E"/>
    <w:rsid w:val="009C26CB"/>
    <w:rsid w:val="009C28C4"/>
    <w:rsid w:val="009C2A30"/>
    <w:rsid w:val="009C2A60"/>
    <w:rsid w:val="009C4296"/>
    <w:rsid w:val="009C47FE"/>
    <w:rsid w:val="009C5951"/>
    <w:rsid w:val="009C5D6D"/>
    <w:rsid w:val="009C6032"/>
    <w:rsid w:val="009C660D"/>
    <w:rsid w:val="009C70FA"/>
    <w:rsid w:val="009C7B21"/>
    <w:rsid w:val="009C7D5A"/>
    <w:rsid w:val="009C7FAF"/>
    <w:rsid w:val="009D0A4F"/>
    <w:rsid w:val="009D1210"/>
    <w:rsid w:val="009D12B7"/>
    <w:rsid w:val="009D1624"/>
    <w:rsid w:val="009D1E18"/>
    <w:rsid w:val="009D3138"/>
    <w:rsid w:val="009D349A"/>
    <w:rsid w:val="009D34CE"/>
    <w:rsid w:val="009D3633"/>
    <w:rsid w:val="009D3EA9"/>
    <w:rsid w:val="009D48D2"/>
    <w:rsid w:val="009D4CF1"/>
    <w:rsid w:val="009D5676"/>
    <w:rsid w:val="009D593E"/>
    <w:rsid w:val="009D5AF5"/>
    <w:rsid w:val="009D68F1"/>
    <w:rsid w:val="009D71AE"/>
    <w:rsid w:val="009D71EA"/>
    <w:rsid w:val="009D77D8"/>
    <w:rsid w:val="009D788A"/>
    <w:rsid w:val="009E019C"/>
    <w:rsid w:val="009E05DE"/>
    <w:rsid w:val="009E0A7F"/>
    <w:rsid w:val="009E0CF8"/>
    <w:rsid w:val="009E0FA3"/>
    <w:rsid w:val="009E14BA"/>
    <w:rsid w:val="009E187A"/>
    <w:rsid w:val="009E18A6"/>
    <w:rsid w:val="009E1C4F"/>
    <w:rsid w:val="009E281F"/>
    <w:rsid w:val="009E3D7C"/>
    <w:rsid w:val="009E429F"/>
    <w:rsid w:val="009E5F66"/>
    <w:rsid w:val="009E6412"/>
    <w:rsid w:val="009E6B3D"/>
    <w:rsid w:val="009E70F1"/>
    <w:rsid w:val="009E7459"/>
    <w:rsid w:val="009E75B2"/>
    <w:rsid w:val="009E7EA7"/>
    <w:rsid w:val="009E7FDC"/>
    <w:rsid w:val="009F10BE"/>
    <w:rsid w:val="009F1D50"/>
    <w:rsid w:val="009F202A"/>
    <w:rsid w:val="009F20D7"/>
    <w:rsid w:val="009F2748"/>
    <w:rsid w:val="009F3065"/>
    <w:rsid w:val="009F324B"/>
    <w:rsid w:val="009F3B9E"/>
    <w:rsid w:val="009F3E2C"/>
    <w:rsid w:val="009F436E"/>
    <w:rsid w:val="009F4635"/>
    <w:rsid w:val="009F4A03"/>
    <w:rsid w:val="009F4E53"/>
    <w:rsid w:val="009F4FEA"/>
    <w:rsid w:val="009F53A1"/>
    <w:rsid w:val="009F5B82"/>
    <w:rsid w:val="009F5F18"/>
    <w:rsid w:val="009F5FF4"/>
    <w:rsid w:val="009F6C03"/>
    <w:rsid w:val="009F6C4E"/>
    <w:rsid w:val="009F6C76"/>
    <w:rsid w:val="009F77CB"/>
    <w:rsid w:val="009F7ED0"/>
    <w:rsid w:val="00A00434"/>
    <w:rsid w:val="00A00A1D"/>
    <w:rsid w:val="00A00FC4"/>
    <w:rsid w:val="00A014A0"/>
    <w:rsid w:val="00A01625"/>
    <w:rsid w:val="00A01B55"/>
    <w:rsid w:val="00A01BFD"/>
    <w:rsid w:val="00A021DB"/>
    <w:rsid w:val="00A028E2"/>
    <w:rsid w:val="00A029FE"/>
    <w:rsid w:val="00A03DC9"/>
    <w:rsid w:val="00A0400E"/>
    <w:rsid w:val="00A04803"/>
    <w:rsid w:val="00A04D03"/>
    <w:rsid w:val="00A04D1F"/>
    <w:rsid w:val="00A04F60"/>
    <w:rsid w:val="00A05944"/>
    <w:rsid w:val="00A05B4D"/>
    <w:rsid w:val="00A0632B"/>
    <w:rsid w:val="00A07B7F"/>
    <w:rsid w:val="00A10012"/>
    <w:rsid w:val="00A1034D"/>
    <w:rsid w:val="00A106EB"/>
    <w:rsid w:val="00A10BAC"/>
    <w:rsid w:val="00A120B3"/>
    <w:rsid w:val="00A12661"/>
    <w:rsid w:val="00A126CA"/>
    <w:rsid w:val="00A12721"/>
    <w:rsid w:val="00A127A0"/>
    <w:rsid w:val="00A12DB8"/>
    <w:rsid w:val="00A130A6"/>
    <w:rsid w:val="00A133D3"/>
    <w:rsid w:val="00A13481"/>
    <w:rsid w:val="00A13500"/>
    <w:rsid w:val="00A135F6"/>
    <w:rsid w:val="00A13B97"/>
    <w:rsid w:val="00A14385"/>
    <w:rsid w:val="00A14D91"/>
    <w:rsid w:val="00A1503B"/>
    <w:rsid w:val="00A15658"/>
    <w:rsid w:val="00A156D4"/>
    <w:rsid w:val="00A15B1C"/>
    <w:rsid w:val="00A16758"/>
    <w:rsid w:val="00A17202"/>
    <w:rsid w:val="00A17758"/>
    <w:rsid w:val="00A17968"/>
    <w:rsid w:val="00A17BFB"/>
    <w:rsid w:val="00A201F4"/>
    <w:rsid w:val="00A2053B"/>
    <w:rsid w:val="00A229AF"/>
    <w:rsid w:val="00A22F5E"/>
    <w:rsid w:val="00A22F8B"/>
    <w:rsid w:val="00A23194"/>
    <w:rsid w:val="00A2323C"/>
    <w:rsid w:val="00A2367B"/>
    <w:rsid w:val="00A23696"/>
    <w:rsid w:val="00A23A7A"/>
    <w:rsid w:val="00A23F4D"/>
    <w:rsid w:val="00A2401B"/>
    <w:rsid w:val="00A24053"/>
    <w:rsid w:val="00A24184"/>
    <w:rsid w:val="00A24209"/>
    <w:rsid w:val="00A24778"/>
    <w:rsid w:val="00A24C62"/>
    <w:rsid w:val="00A25761"/>
    <w:rsid w:val="00A2583B"/>
    <w:rsid w:val="00A2586C"/>
    <w:rsid w:val="00A264DD"/>
    <w:rsid w:val="00A26657"/>
    <w:rsid w:val="00A26A53"/>
    <w:rsid w:val="00A26D04"/>
    <w:rsid w:val="00A26ED2"/>
    <w:rsid w:val="00A272A4"/>
    <w:rsid w:val="00A2788B"/>
    <w:rsid w:val="00A27AF5"/>
    <w:rsid w:val="00A30389"/>
    <w:rsid w:val="00A308E0"/>
    <w:rsid w:val="00A30F96"/>
    <w:rsid w:val="00A30FB3"/>
    <w:rsid w:val="00A316C8"/>
    <w:rsid w:val="00A31708"/>
    <w:rsid w:val="00A31B55"/>
    <w:rsid w:val="00A31E6D"/>
    <w:rsid w:val="00A32BEB"/>
    <w:rsid w:val="00A32E60"/>
    <w:rsid w:val="00A330CC"/>
    <w:rsid w:val="00A33502"/>
    <w:rsid w:val="00A3377E"/>
    <w:rsid w:val="00A339AA"/>
    <w:rsid w:val="00A33E53"/>
    <w:rsid w:val="00A34C8F"/>
    <w:rsid w:val="00A3556E"/>
    <w:rsid w:val="00A3603D"/>
    <w:rsid w:val="00A36140"/>
    <w:rsid w:val="00A36363"/>
    <w:rsid w:val="00A36C9C"/>
    <w:rsid w:val="00A370D6"/>
    <w:rsid w:val="00A37A4E"/>
    <w:rsid w:val="00A37B84"/>
    <w:rsid w:val="00A37E14"/>
    <w:rsid w:val="00A40BA5"/>
    <w:rsid w:val="00A41110"/>
    <w:rsid w:val="00A41777"/>
    <w:rsid w:val="00A418BC"/>
    <w:rsid w:val="00A41B46"/>
    <w:rsid w:val="00A41E9D"/>
    <w:rsid w:val="00A42201"/>
    <w:rsid w:val="00A42540"/>
    <w:rsid w:val="00A430D3"/>
    <w:rsid w:val="00A43503"/>
    <w:rsid w:val="00A44573"/>
    <w:rsid w:val="00A4483E"/>
    <w:rsid w:val="00A44FEC"/>
    <w:rsid w:val="00A451A8"/>
    <w:rsid w:val="00A4524F"/>
    <w:rsid w:val="00A452F0"/>
    <w:rsid w:val="00A45338"/>
    <w:rsid w:val="00A45E37"/>
    <w:rsid w:val="00A460AA"/>
    <w:rsid w:val="00A46C9B"/>
    <w:rsid w:val="00A46EA0"/>
    <w:rsid w:val="00A47766"/>
    <w:rsid w:val="00A502EB"/>
    <w:rsid w:val="00A505F6"/>
    <w:rsid w:val="00A50B4E"/>
    <w:rsid w:val="00A50B68"/>
    <w:rsid w:val="00A50CC8"/>
    <w:rsid w:val="00A5110B"/>
    <w:rsid w:val="00A51521"/>
    <w:rsid w:val="00A51B13"/>
    <w:rsid w:val="00A5259C"/>
    <w:rsid w:val="00A52D3A"/>
    <w:rsid w:val="00A531CF"/>
    <w:rsid w:val="00A53497"/>
    <w:rsid w:val="00A53721"/>
    <w:rsid w:val="00A53BDF"/>
    <w:rsid w:val="00A53C3B"/>
    <w:rsid w:val="00A53F15"/>
    <w:rsid w:val="00A5402D"/>
    <w:rsid w:val="00A54273"/>
    <w:rsid w:val="00A5458B"/>
    <w:rsid w:val="00A54A6B"/>
    <w:rsid w:val="00A5512A"/>
    <w:rsid w:val="00A5597E"/>
    <w:rsid w:val="00A56040"/>
    <w:rsid w:val="00A5695D"/>
    <w:rsid w:val="00A572AD"/>
    <w:rsid w:val="00A5774C"/>
    <w:rsid w:val="00A57AC1"/>
    <w:rsid w:val="00A57CE7"/>
    <w:rsid w:val="00A60958"/>
    <w:rsid w:val="00A612ED"/>
    <w:rsid w:val="00A6153C"/>
    <w:rsid w:val="00A61957"/>
    <w:rsid w:val="00A61C3B"/>
    <w:rsid w:val="00A6214B"/>
    <w:rsid w:val="00A62876"/>
    <w:rsid w:val="00A62A91"/>
    <w:rsid w:val="00A62AA2"/>
    <w:rsid w:val="00A62B0B"/>
    <w:rsid w:val="00A62D26"/>
    <w:rsid w:val="00A62E45"/>
    <w:rsid w:val="00A62F04"/>
    <w:rsid w:val="00A6342C"/>
    <w:rsid w:val="00A636C7"/>
    <w:rsid w:val="00A638E3"/>
    <w:rsid w:val="00A63A90"/>
    <w:rsid w:val="00A63E07"/>
    <w:rsid w:val="00A64021"/>
    <w:rsid w:val="00A64147"/>
    <w:rsid w:val="00A645EB"/>
    <w:rsid w:val="00A64A55"/>
    <w:rsid w:val="00A66123"/>
    <w:rsid w:val="00A67586"/>
    <w:rsid w:val="00A67809"/>
    <w:rsid w:val="00A67F3D"/>
    <w:rsid w:val="00A67FBB"/>
    <w:rsid w:val="00A7052C"/>
    <w:rsid w:val="00A707D1"/>
    <w:rsid w:val="00A7096E"/>
    <w:rsid w:val="00A70C9D"/>
    <w:rsid w:val="00A71407"/>
    <w:rsid w:val="00A717EF"/>
    <w:rsid w:val="00A71A2A"/>
    <w:rsid w:val="00A71A8E"/>
    <w:rsid w:val="00A720CD"/>
    <w:rsid w:val="00A7251C"/>
    <w:rsid w:val="00A7263B"/>
    <w:rsid w:val="00A732A1"/>
    <w:rsid w:val="00A7352F"/>
    <w:rsid w:val="00A7381F"/>
    <w:rsid w:val="00A73AED"/>
    <w:rsid w:val="00A73E8A"/>
    <w:rsid w:val="00A74714"/>
    <w:rsid w:val="00A74930"/>
    <w:rsid w:val="00A753E2"/>
    <w:rsid w:val="00A76FCE"/>
    <w:rsid w:val="00A7750C"/>
    <w:rsid w:val="00A77960"/>
    <w:rsid w:val="00A77BF6"/>
    <w:rsid w:val="00A80225"/>
    <w:rsid w:val="00A808AD"/>
    <w:rsid w:val="00A80B0B"/>
    <w:rsid w:val="00A80E0E"/>
    <w:rsid w:val="00A80EF2"/>
    <w:rsid w:val="00A810F6"/>
    <w:rsid w:val="00A81459"/>
    <w:rsid w:val="00A81577"/>
    <w:rsid w:val="00A826DC"/>
    <w:rsid w:val="00A82BE1"/>
    <w:rsid w:val="00A82D77"/>
    <w:rsid w:val="00A84307"/>
    <w:rsid w:val="00A84B0C"/>
    <w:rsid w:val="00A84D37"/>
    <w:rsid w:val="00A85D5F"/>
    <w:rsid w:val="00A85FE8"/>
    <w:rsid w:val="00A8669C"/>
    <w:rsid w:val="00A8688C"/>
    <w:rsid w:val="00A87520"/>
    <w:rsid w:val="00A90D1E"/>
    <w:rsid w:val="00A90FC5"/>
    <w:rsid w:val="00A921CD"/>
    <w:rsid w:val="00A93B03"/>
    <w:rsid w:val="00A93CFA"/>
    <w:rsid w:val="00A93D3E"/>
    <w:rsid w:val="00A93D8E"/>
    <w:rsid w:val="00A944C1"/>
    <w:rsid w:val="00A94E11"/>
    <w:rsid w:val="00A952F6"/>
    <w:rsid w:val="00A9557C"/>
    <w:rsid w:val="00A95663"/>
    <w:rsid w:val="00A95E9A"/>
    <w:rsid w:val="00A95F73"/>
    <w:rsid w:val="00A9636D"/>
    <w:rsid w:val="00A965FC"/>
    <w:rsid w:val="00A96A86"/>
    <w:rsid w:val="00A96C8E"/>
    <w:rsid w:val="00A96F32"/>
    <w:rsid w:val="00A974BB"/>
    <w:rsid w:val="00A97B9F"/>
    <w:rsid w:val="00A97E52"/>
    <w:rsid w:val="00A97F6D"/>
    <w:rsid w:val="00AA02DD"/>
    <w:rsid w:val="00AA063D"/>
    <w:rsid w:val="00AA0C24"/>
    <w:rsid w:val="00AA0E50"/>
    <w:rsid w:val="00AA0F7E"/>
    <w:rsid w:val="00AA13A0"/>
    <w:rsid w:val="00AA1A41"/>
    <w:rsid w:val="00AA1BE1"/>
    <w:rsid w:val="00AA23B1"/>
    <w:rsid w:val="00AA24C1"/>
    <w:rsid w:val="00AA2973"/>
    <w:rsid w:val="00AA30B3"/>
    <w:rsid w:val="00AA30C4"/>
    <w:rsid w:val="00AA33BC"/>
    <w:rsid w:val="00AA35C8"/>
    <w:rsid w:val="00AA456C"/>
    <w:rsid w:val="00AA4C20"/>
    <w:rsid w:val="00AA4F5E"/>
    <w:rsid w:val="00AA54CF"/>
    <w:rsid w:val="00AA5E90"/>
    <w:rsid w:val="00AA622B"/>
    <w:rsid w:val="00AA6249"/>
    <w:rsid w:val="00AA6443"/>
    <w:rsid w:val="00AA6A7A"/>
    <w:rsid w:val="00AA7018"/>
    <w:rsid w:val="00AA74C3"/>
    <w:rsid w:val="00AB050A"/>
    <w:rsid w:val="00AB07A6"/>
    <w:rsid w:val="00AB103A"/>
    <w:rsid w:val="00AB1E17"/>
    <w:rsid w:val="00AB24AA"/>
    <w:rsid w:val="00AB3539"/>
    <w:rsid w:val="00AB3C7A"/>
    <w:rsid w:val="00AB3D8E"/>
    <w:rsid w:val="00AB46BB"/>
    <w:rsid w:val="00AB4F90"/>
    <w:rsid w:val="00AB5FE7"/>
    <w:rsid w:val="00AB60CC"/>
    <w:rsid w:val="00AB6541"/>
    <w:rsid w:val="00AB684A"/>
    <w:rsid w:val="00AB693B"/>
    <w:rsid w:val="00AB6ECA"/>
    <w:rsid w:val="00AB72D3"/>
    <w:rsid w:val="00AB762A"/>
    <w:rsid w:val="00AB7BA5"/>
    <w:rsid w:val="00AB7C76"/>
    <w:rsid w:val="00AC0C31"/>
    <w:rsid w:val="00AC0EFF"/>
    <w:rsid w:val="00AC13E7"/>
    <w:rsid w:val="00AC1FC4"/>
    <w:rsid w:val="00AC2278"/>
    <w:rsid w:val="00AC2829"/>
    <w:rsid w:val="00AC2AEF"/>
    <w:rsid w:val="00AC2F85"/>
    <w:rsid w:val="00AC3317"/>
    <w:rsid w:val="00AC39A5"/>
    <w:rsid w:val="00AC4864"/>
    <w:rsid w:val="00AC4D25"/>
    <w:rsid w:val="00AC513E"/>
    <w:rsid w:val="00AC586F"/>
    <w:rsid w:val="00AC5FB7"/>
    <w:rsid w:val="00AC5FD5"/>
    <w:rsid w:val="00AC61B4"/>
    <w:rsid w:val="00AC6835"/>
    <w:rsid w:val="00AC6919"/>
    <w:rsid w:val="00AC696F"/>
    <w:rsid w:val="00AC6C65"/>
    <w:rsid w:val="00AC6FA2"/>
    <w:rsid w:val="00AC7C52"/>
    <w:rsid w:val="00AD050F"/>
    <w:rsid w:val="00AD0D11"/>
    <w:rsid w:val="00AD0DA1"/>
    <w:rsid w:val="00AD1313"/>
    <w:rsid w:val="00AD1458"/>
    <w:rsid w:val="00AD15AD"/>
    <w:rsid w:val="00AD1C65"/>
    <w:rsid w:val="00AD1F40"/>
    <w:rsid w:val="00AD207A"/>
    <w:rsid w:val="00AD20EF"/>
    <w:rsid w:val="00AD27C5"/>
    <w:rsid w:val="00AD2CE6"/>
    <w:rsid w:val="00AD3BD9"/>
    <w:rsid w:val="00AD3E1C"/>
    <w:rsid w:val="00AD4332"/>
    <w:rsid w:val="00AD4E8E"/>
    <w:rsid w:val="00AD5CC3"/>
    <w:rsid w:val="00AD683E"/>
    <w:rsid w:val="00AD701F"/>
    <w:rsid w:val="00AD7144"/>
    <w:rsid w:val="00AE0CBE"/>
    <w:rsid w:val="00AE12B4"/>
    <w:rsid w:val="00AE151F"/>
    <w:rsid w:val="00AE1622"/>
    <w:rsid w:val="00AE22E9"/>
    <w:rsid w:val="00AE2450"/>
    <w:rsid w:val="00AE2993"/>
    <w:rsid w:val="00AE30F5"/>
    <w:rsid w:val="00AE31F0"/>
    <w:rsid w:val="00AE431A"/>
    <w:rsid w:val="00AE4392"/>
    <w:rsid w:val="00AE48E7"/>
    <w:rsid w:val="00AE4DC9"/>
    <w:rsid w:val="00AE53BF"/>
    <w:rsid w:val="00AE5A25"/>
    <w:rsid w:val="00AE62FE"/>
    <w:rsid w:val="00AE6D49"/>
    <w:rsid w:val="00AE703B"/>
    <w:rsid w:val="00AE75C4"/>
    <w:rsid w:val="00AE771E"/>
    <w:rsid w:val="00AE7C55"/>
    <w:rsid w:val="00AF0011"/>
    <w:rsid w:val="00AF08C8"/>
    <w:rsid w:val="00AF0AD8"/>
    <w:rsid w:val="00AF0C5F"/>
    <w:rsid w:val="00AF17C7"/>
    <w:rsid w:val="00AF1846"/>
    <w:rsid w:val="00AF257C"/>
    <w:rsid w:val="00AF27DA"/>
    <w:rsid w:val="00AF28FC"/>
    <w:rsid w:val="00AF2E34"/>
    <w:rsid w:val="00AF32F5"/>
    <w:rsid w:val="00AF3A74"/>
    <w:rsid w:val="00AF3C3E"/>
    <w:rsid w:val="00AF4210"/>
    <w:rsid w:val="00AF49E8"/>
    <w:rsid w:val="00AF4CD2"/>
    <w:rsid w:val="00AF4D6C"/>
    <w:rsid w:val="00AF5128"/>
    <w:rsid w:val="00AF51D1"/>
    <w:rsid w:val="00AF5C41"/>
    <w:rsid w:val="00AF6179"/>
    <w:rsid w:val="00AF64DD"/>
    <w:rsid w:val="00AF64FE"/>
    <w:rsid w:val="00AF6E35"/>
    <w:rsid w:val="00AF7E6B"/>
    <w:rsid w:val="00B004C7"/>
    <w:rsid w:val="00B01C64"/>
    <w:rsid w:val="00B02320"/>
    <w:rsid w:val="00B0322D"/>
    <w:rsid w:val="00B038F5"/>
    <w:rsid w:val="00B03B85"/>
    <w:rsid w:val="00B04417"/>
    <w:rsid w:val="00B047A4"/>
    <w:rsid w:val="00B04977"/>
    <w:rsid w:val="00B04CAD"/>
    <w:rsid w:val="00B050BB"/>
    <w:rsid w:val="00B0569A"/>
    <w:rsid w:val="00B057C5"/>
    <w:rsid w:val="00B0581C"/>
    <w:rsid w:val="00B0621A"/>
    <w:rsid w:val="00B0638C"/>
    <w:rsid w:val="00B06583"/>
    <w:rsid w:val="00B065B7"/>
    <w:rsid w:val="00B07977"/>
    <w:rsid w:val="00B07AFC"/>
    <w:rsid w:val="00B07B4D"/>
    <w:rsid w:val="00B07C46"/>
    <w:rsid w:val="00B07F73"/>
    <w:rsid w:val="00B1152B"/>
    <w:rsid w:val="00B1169F"/>
    <w:rsid w:val="00B11BEB"/>
    <w:rsid w:val="00B11C2F"/>
    <w:rsid w:val="00B12689"/>
    <w:rsid w:val="00B1288C"/>
    <w:rsid w:val="00B12E0B"/>
    <w:rsid w:val="00B133C0"/>
    <w:rsid w:val="00B1366E"/>
    <w:rsid w:val="00B13C3E"/>
    <w:rsid w:val="00B1516A"/>
    <w:rsid w:val="00B156F2"/>
    <w:rsid w:val="00B15AE6"/>
    <w:rsid w:val="00B15D2F"/>
    <w:rsid w:val="00B15EE7"/>
    <w:rsid w:val="00B1676A"/>
    <w:rsid w:val="00B16E81"/>
    <w:rsid w:val="00B16FCF"/>
    <w:rsid w:val="00B17B22"/>
    <w:rsid w:val="00B17EE7"/>
    <w:rsid w:val="00B20CED"/>
    <w:rsid w:val="00B21C1D"/>
    <w:rsid w:val="00B21D61"/>
    <w:rsid w:val="00B21E2E"/>
    <w:rsid w:val="00B22993"/>
    <w:rsid w:val="00B235E6"/>
    <w:rsid w:val="00B235FB"/>
    <w:rsid w:val="00B23914"/>
    <w:rsid w:val="00B23CD4"/>
    <w:rsid w:val="00B24894"/>
    <w:rsid w:val="00B24AA1"/>
    <w:rsid w:val="00B24D4A"/>
    <w:rsid w:val="00B24E86"/>
    <w:rsid w:val="00B25187"/>
    <w:rsid w:val="00B251C3"/>
    <w:rsid w:val="00B26214"/>
    <w:rsid w:val="00B2766D"/>
    <w:rsid w:val="00B277B1"/>
    <w:rsid w:val="00B27D9E"/>
    <w:rsid w:val="00B31DEE"/>
    <w:rsid w:val="00B323C0"/>
    <w:rsid w:val="00B32893"/>
    <w:rsid w:val="00B3317F"/>
    <w:rsid w:val="00B333ED"/>
    <w:rsid w:val="00B34882"/>
    <w:rsid w:val="00B35A07"/>
    <w:rsid w:val="00B369C5"/>
    <w:rsid w:val="00B372E8"/>
    <w:rsid w:val="00B37F11"/>
    <w:rsid w:val="00B40562"/>
    <w:rsid w:val="00B40AE7"/>
    <w:rsid w:val="00B40C9E"/>
    <w:rsid w:val="00B40D93"/>
    <w:rsid w:val="00B4149B"/>
    <w:rsid w:val="00B42134"/>
    <w:rsid w:val="00B421D2"/>
    <w:rsid w:val="00B42351"/>
    <w:rsid w:val="00B42B06"/>
    <w:rsid w:val="00B42B93"/>
    <w:rsid w:val="00B42C6E"/>
    <w:rsid w:val="00B42D24"/>
    <w:rsid w:val="00B43EA8"/>
    <w:rsid w:val="00B44262"/>
    <w:rsid w:val="00B455C3"/>
    <w:rsid w:val="00B456D1"/>
    <w:rsid w:val="00B459FF"/>
    <w:rsid w:val="00B46463"/>
    <w:rsid w:val="00B46579"/>
    <w:rsid w:val="00B46634"/>
    <w:rsid w:val="00B46ACE"/>
    <w:rsid w:val="00B46BC5"/>
    <w:rsid w:val="00B47A20"/>
    <w:rsid w:val="00B47CF7"/>
    <w:rsid w:val="00B5003D"/>
    <w:rsid w:val="00B50B87"/>
    <w:rsid w:val="00B51FB1"/>
    <w:rsid w:val="00B52316"/>
    <w:rsid w:val="00B52947"/>
    <w:rsid w:val="00B532D1"/>
    <w:rsid w:val="00B5346C"/>
    <w:rsid w:val="00B54254"/>
    <w:rsid w:val="00B54543"/>
    <w:rsid w:val="00B547D2"/>
    <w:rsid w:val="00B549ED"/>
    <w:rsid w:val="00B54F1F"/>
    <w:rsid w:val="00B55B1C"/>
    <w:rsid w:val="00B55C8C"/>
    <w:rsid w:val="00B563A4"/>
    <w:rsid w:val="00B56CD5"/>
    <w:rsid w:val="00B571F9"/>
    <w:rsid w:val="00B57485"/>
    <w:rsid w:val="00B57664"/>
    <w:rsid w:val="00B57E8D"/>
    <w:rsid w:val="00B60B21"/>
    <w:rsid w:val="00B60C8A"/>
    <w:rsid w:val="00B627D3"/>
    <w:rsid w:val="00B62819"/>
    <w:rsid w:val="00B6292B"/>
    <w:rsid w:val="00B62B15"/>
    <w:rsid w:val="00B637E0"/>
    <w:rsid w:val="00B63A35"/>
    <w:rsid w:val="00B63A8E"/>
    <w:rsid w:val="00B63B88"/>
    <w:rsid w:val="00B63D9E"/>
    <w:rsid w:val="00B63EC5"/>
    <w:rsid w:val="00B63EE7"/>
    <w:rsid w:val="00B659FB"/>
    <w:rsid w:val="00B65D03"/>
    <w:rsid w:val="00B662AE"/>
    <w:rsid w:val="00B664AD"/>
    <w:rsid w:val="00B66A16"/>
    <w:rsid w:val="00B66A6D"/>
    <w:rsid w:val="00B66C60"/>
    <w:rsid w:val="00B66E8A"/>
    <w:rsid w:val="00B66EBF"/>
    <w:rsid w:val="00B67A60"/>
    <w:rsid w:val="00B705E6"/>
    <w:rsid w:val="00B708B2"/>
    <w:rsid w:val="00B70E76"/>
    <w:rsid w:val="00B71011"/>
    <w:rsid w:val="00B71216"/>
    <w:rsid w:val="00B7134D"/>
    <w:rsid w:val="00B71420"/>
    <w:rsid w:val="00B71B0F"/>
    <w:rsid w:val="00B72002"/>
    <w:rsid w:val="00B7232E"/>
    <w:rsid w:val="00B72D59"/>
    <w:rsid w:val="00B72FB8"/>
    <w:rsid w:val="00B7311E"/>
    <w:rsid w:val="00B73522"/>
    <w:rsid w:val="00B74E35"/>
    <w:rsid w:val="00B74F97"/>
    <w:rsid w:val="00B7592A"/>
    <w:rsid w:val="00B7688C"/>
    <w:rsid w:val="00B768D1"/>
    <w:rsid w:val="00B76B4D"/>
    <w:rsid w:val="00B771D9"/>
    <w:rsid w:val="00B77328"/>
    <w:rsid w:val="00B77912"/>
    <w:rsid w:val="00B7793B"/>
    <w:rsid w:val="00B77B3D"/>
    <w:rsid w:val="00B77CD1"/>
    <w:rsid w:val="00B800E7"/>
    <w:rsid w:val="00B8036E"/>
    <w:rsid w:val="00B80957"/>
    <w:rsid w:val="00B809E4"/>
    <w:rsid w:val="00B80D1A"/>
    <w:rsid w:val="00B80EC0"/>
    <w:rsid w:val="00B81134"/>
    <w:rsid w:val="00B8141F"/>
    <w:rsid w:val="00B81504"/>
    <w:rsid w:val="00B81C88"/>
    <w:rsid w:val="00B81CAA"/>
    <w:rsid w:val="00B82DEE"/>
    <w:rsid w:val="00B82F87"/>
    <w:rsid w:val="00B833CB"/>
    <w:rsid w:val="00B837A7"/>
    <w:rsid w:val="00B850DD"/>
    <w:rsid w:val="00B853FD"/>
    <w:rsid w:val="00B85847"/>
    <w:rsid w:val="00B85B8E"/>
    <w:rsid w:val="00B85E25"/>
    <w:rsid w:val="00B85E7D"/>
    <w:rsid w:val="00B85FCF"/>
    <w:rsid w:val="00B860FE"/>
    <w:rsid w:val="00B8643D"/>
    <w:rsid w:val="00B86826"/>
    <w:rsid w:val="00B86AE1"/>
    <w:rsid w:val="00B86C09"/>
    <w:rsid w:val="00B86ED0"/>
    <w:rsid w:val="00B870DF"/>
    <w:rsid w:val="00B87233"/>
    <w:rsid w:val="00B875EA"/>
    <w:rsid w:val="00B878AD"/>
    <w:rsid w:val="00B87AD8"/>
    <w:rsid w:val="00B87FFC"/>
    <w:rsid w:val="00B908E1"/>
    <w:rsid w:val="00B90BB6"/>
    <w:rsid w:val="00B90BF1"/>
    <w:rsid w:val="00B9137B"/>
    <w:rsid w:val="00B91D1B"/>
    <w:rsid w:val="00B91F92"/>
    <w:rsid w:val="00B92101"/>
    <w:rsid w:val="00B923F0"/>
    <w:rsid w:val="00B92B58"/>
    <w:rsid w:val="00B92DA4"/>
    <w:rsid w:val="00B94225"/>
    <w:rsid w:val="00B9433E"/>
    <w:rsid w:val="00B94DA5"/>
    <w:rsid w:val="00B94F5C"/>
    <w:rsid w:val="00B94FD9"/>
    <w:rsid w:val="00B95404"/>
    <w:rsid w:val="00B95451"/>
    <w:rsid w:val="00B9553C"/>
    <w:rsid w:val="00B955F0"/>
    <w:rsid w:val="00B9561D"/>
    <w:rsid w:val="00B957BC"/>
    <w:rsid w:val="00B95F96"/>
    <w:rsid w:val="00B95FC2"/>
    <w:rsid w:val="00B964C5"/>
    <w:rsid w:val="00B9680D"/>
    <w:rsid w:val="00B96ED5"/>
    <w:rsid w:val="00B970B6"/>
    <w:rsid w:val="00B97134"/>
    <w:rsid w:val="00B975C6"/>
    <w:rsid w:val="00BA0150"/>
    <w:rsid w:val="00BA08C7"/>
    <w:rsid w:val="00BA0A7F"/>
    <w:rsid w:val="00BA0C36"/>
    <w:rsid w:val="00BA0D25"/>
    <w:rsid w:val="00BA13DC"/>
    <w:rsid w:val="00BA14F9"/>
    <w:rsid w:val="00BA188C"/>
    <w:rsid w:val="00BA1BE3"/>
    <w:rsid w:val="00BA20BB"/>
    <w:rsid w:val="00BA2F81"/>
    <w:rsid w:val="00BA395F"/>
    <w:rsid w:val="00BA3A87"/>
    <w:rsid w:val="00BA4051"/>
    <w:rsid w:val="00BA407B"/>
    <w:rsid w:val="00BA4401"/>
    <w:rsid w:val="00BA44C4"/>
    <w:rsid w:val="00BA44D4"/>
    <w:rsid w:val="00BA4935"/>
    <w:rsid w:val="00BA4B78"/>
    <w:rsid w:val="00BA4E9A"/>
    <w:rsid w:val="00BA6627"/>
    <w:rsid w:val="00BA671C"/>
    <w:rsid w:val="00BA6F96"/>
    <w:rsid w:val="00BA76B9"/>
    <w:rsid w:val="00BA7D1A"/>
    <w:rsid w:val="00BB01E7"/>
    <w:rsid w:val="00BB0DAE"/>
    <w:rsid w:val="00BB0ECD"/>
    <w:rsid w:val="00BB0F4E"/>
    <w:rsid w:val="00BB0FB8"/>
    <w:rsid w:val="00BB1080"/>
    <w:rsid w:val="00BB2024"/>
    <w:rsid w:val="00BB21E3"/>
    <w:rsid w:val="00BB23AD"/>
    <w:rsid w:val="00BB2588"/>
    <w:rsid w:val="00BB2E9F"/>
    <w:rsid w:val="00BB309B"/>
    <w:rsid w:val="00BB32D9"/>
    <w:rsid w:val="00BB3DA5"/>
    <w:rsid w:val="00BB3E3B"/>
    <w:rsid w:val="00BB3EB5"/>
    <w:rsid w:val="00BB4130"/>
    <w:rsid w:val="00BB4324"/>
    <w:rsid w:val="00BB47FC"/>
    <w:rsid w:val="00BB4A1E"/>
    <w:rsid w:val="00BB4CA8"/>
    <w:rsid w:val="00BB5E86"/>
    <w:rsid w:val="00BB65F0"/>
    <w:rsid w:val="00BB6B57"/>
    <w:rsid w:val="00BB6BB4"/>
    <w:rsid w:val="00BB75DB"/>
    <w:rsid w:val="00BB7A3F"/>
    <w:rsid w:val="00BC023A"/>
    <w:rsid w:val="00BC0A19"/>
    <w:rsid w:val="00BC0F59"/>
    <w:rsid w:val="00BC14F3"/>
    <w:rsid w:val="00BC171D"/>
    <w:rsid w:val="00BC17F0"/>
    <w:rsid w:val="00BC197D"/>
    <w:rsid w:val="00BC2B15"/>
    <w:rsid w:val="00BC35EA"/>
    <w:rsid w:val="00BC35F1"/>
    <w:rsid w:val="00BC46FC"/>
    <w:rsid w:val="00BC5700"/>
    <w:rsid w:val="00BC5A0F"/>
    <w:rsid w:val="00BC60FA"/>
    <w:rsid w:val="00BC63D4"/>
    <w:rsid w:val="00BC662E"/>
    <w:rsid w:val="00BC6DF1"/>
    <w:rsid w:val="00BC7A31"/>
    <w:rsid w:val="00BC7AFB"/>
    <w:rsid w:val="00BD0733"/>
    <w:rsid w:val="00BD13B2"/>
    <w:rsid w:val="00BD1F11"/>
    <w:rsid w:val="00BD2AF3"/>
    <w:rsid w:val="00BD2B34"/>
    <w:rsid w:val="00BD2C95"/>
    <w:rsid w:val="00BD35DA"/>
    <w:rsid w:val="00BD3ACA"/>
    <w:rsid w:val="00BD43D6"/>
    <w:rsid w:val="00BD44FB"/>
    <w:rsid w:val="00BD4B3F"/>
    <w:rsid w:val="00BD54BA"/>
    <w:rsid w:val="00BD5701"/>
    <w:rsid w:val="00BD5E40"/>
    <w:rsid w:val="00BD60CE"/>
    <w:rsid w:val="00BD718C"/>
    <w:rsid w:val="00BD73EF"/>
    <w:rsid w:val="00BD75F2"/>
    <w:rsid w:val="00BD7C9F"/>
    <w:rsid w:val="00BD7D83"/>
    <w:rsid w:val="00BE08D8"/>
    <w:rsid w:val="00BE09F6"/>
    <w:rsid w:val="00BE13BC"/>
    <w:rsid w:val="00BE1E76"/>
    <w:rsid w:val="00BE2362"/>
    <w:rsid w:val="00BE24CF"/>
    <w:rsid w:val="00BE2EAF"/>
    <w:rsid w:val="00BE31D8"/>
    <w:rsid w:val="00BE4833"/>
    <w:rsid w:val="00BE491E"/>
    <w:rsid w:val="00BE62FC"/>
    <w:rsid w:val="00BE6431"/>
    <w:rsid w:val="00BE672C"/>
    <w:rsid w:val="00BE6ED6"/>
    <w:rsid w:val="00BE6F91"/>
    <w:rsid w:val="00BE717F"/>
    <w:rsid w:val="00BF07AC"/>
    <w:rsid w:val="00BF096D"/>
    <w:rsid w:val="00BF0AAC"/>
    <w:rsid w:val="00BF0BA0"/>
    <w:rsid w:val="00BF12A6"/>
    <w:rsid w:val="00BF27FE"/>
    <w:rsid w:val="00BF2902"/>
    <w:rsid w:val="00BF2BA6"/>
    <w:rsid w:val="00BF332C"/>
    <w:rsid w:val="00BF35EE"/>
    <w:rsid w:val="00BF4359"/>
    <w:rsid w:val="00BF4384"/>
    <w:rsid w:val="00BF4E4B"/>
    <w:rsid w:val="00BF54D7"/>
    <w:rsid w:val="00BF5A3D"/>
    <w:rsid w:val="00BF5AD1"/>
    <w:rsid w:val="00BF61B9"/>
    <w:rsid w:val="00BF67D6"/>
    <w:rsid w:val="00BF6BA6"/>
    <w:rsid w:val="00BF6EE7"/>
    <w:rsid w:val="00BF71D8"/>
    <w:rsid w:val="00BF71D9"/>
    <w:rsid w:val="00C000A2"/>
    <w:rsid w:val="00C006EE"/>
    <w:rsid w:val="00C007E5"/>
    <w:rsid w:val="00C01005"/>
    <w:rsid w:val="00C011C0"/>
    <w:rsid w:val="00C01238"/>
    <w:rsid w:val="00C01418"/>
    <w:rsid w:val="00C01535"/>
    <w:rsid w:val="00C01E34"/>
    <w:rsid w:val="00C02101"/>
    <w:rsid w:val="00C023AA"/>
    <w:rsid w:val="00C0245A"/>
    <w:rsid w:val="00C02AC7"/>
    <w:rsid w:val="00C02DF7"/>
    <w:rsid w:val="00C03C11"/>
    <w:rsid w:val="00C0437B"/>
    <w:rsid w:val="00C04FA4"/>
    <w:rsid w:val="00C060DC"/>
    <w:rsid w:val="00C06640"/>
    <w:rsid w:val="00C068AA"/>
    <w:rsid w:val="00C06AEE"/>
    <w:rsid w:val="00C06BEF"/>
    <w:rsid w:val="00C06F49"/>
    <w:rsid w:val="00C073C4"/>
    <w:rsid w:val="00C07F7C"/>
    <w:rsid w:val="00C1077F"/>
    <w:rsid w:val="00C10BE2"/>
    <w:rsid w:val="00C10DBE"/>
    <w:rsid w:val="00C1140C"/>
    <w:rsid w:val="00C11A5D"/>
    <w:rsid w:val="00C11AAB"/>
    <w:rsid w:val="00C11B18"/>
    <w:rsid w:val="00C11C98"/>
    <w:rsid w:val="00C11D75"/>
    <w:rsid w:val="00C1217C"/>
    <w:rsid w:val="00C12814"/>
    <w:rsid w:val="00C128BF"/>
    <w:rsid w:val="00C12B38"/>
    <w:rsid w:val="00C13623"/>
    <w:rsid w:val="00C138FE"/>
    <w:rsid w:val="00C13F71"/>
    <w:rsid w:val="00C14B72"/>
    <w:rsid w:val="00C153FC"/>
    <w:rsid w:val="00C15426"/>
    <w:rsid w:val="00C15593"/>
    <w:rsid w:val="00C15B08"/>
    <w:rsid w:val="00C15D93"/>
    <w:rsid w:val="00C1608C"/>
    <w:rsid w:val="00C169CE"/>
    <w:rsid w:val="00C16E1B"/>
    <w:rsid w:val="00C17117"/>
    <w:rsid w:val="00C1763E"/>
    <w:rsid w:val="00C17CCC"/>
    <w:rsid w:val="00C17D21"/>
    <w:rsid w:val="00C17FBE"/>
    <w:rsid w:val="00C201E8"/>
    <w:rsid w:val="00C203BF"/>
    <w:rsid w:val="00C20700"/>
    <w:rsid w:val="00C20D77"/>
    <w:rsid w:val="00C21A3E"/>
    <w:rsid w:val="00C21C1E"/>
    <w:rsid w:val="00C21F9D"/>
    <w:rsid w:val="00C22201"/>
    <w:rsid w:val="00C232E7"/>
    <w:rsid w:val="00C23562"/>
    <w:rsid w:val="00C23E5C"/>
    <w:rsid w:val="00C246BB"/>
    <w:rsid w:val="00C24FCF"/>
    <w:rsid w:val="00C25055"/>
    <w:rsid w:val="00C25A80"/>
    <w:rsid w:val="00C2619D"/>
    <w:rsid w:val="00C2640F"/>
    <w:rsid w:val="00C2646C"/>
    <w:rsid w:val="00C266E5"/>
    <w:rsid w:val="00C27280"/>
    <w:rsid w:val="00C272D0"/>
    <w:rsid w:val="00C27BEA"/>
    <w:rsid w:val="00C3093A"/>
    <w:rsid w:val="00C31829"/>
    <w:rsid w:val="00C3195B"/>
    <w:rsid w:val="00C319B3"/>
    <w:rsid w:val="00C31A69"/>
    <w:rsid w:val="00C31CC2"/>
    <w:rsid w:val="00C32C37"/>
    <w:rsid w:val="00C32E66"/>
    <w:rsid w:val="00C33666"/>
    <w:rsid w:val="00C339B4"/>
    <w:rsid w:val="00C33A9A"/>
    <w:rsid w:val="00C33CB7"/>
    <w:rsid w:val="00C34DEC"/>
    <w:rsid w:val="00C34E27"/>
    <w:rsid w:val="00C35230"/>
    <w:rsid w:val="00C35B1C"/>
    <w:rsid w:val="00C35BDA"/>
    <w:rsid w:val="00C35E7F"/>
    <w:rsid w:val="00C36385"/>
    <w:rsid w:val="00C36C96"/>
    <w:rsid w:val="00C3709D"/>
    <w:rsid w:val="00C3745F"/>
    <w:rsid w:val="00C406F3"/>
    <w:rsid w:val="00C41064"/>
    <w:rsid w:val="00C414A2"/>
    <w:rsid w:val="00C4180F"/>
    <w:rsid w:val="00C41E71"/>
    <w:rsid w:val="00C425C3"/>
    <w:rsid w:val="00C42671"/>
    <w:rsid w:val="00C426E3"/>
    <w:rsid w:val="00C4277D"/>
    <w:rsid w:val="00C42893"/>
    <w:rsid w:val="00C42D63"/>
    <w:rsid w:val="00C42D79"/>
    <w:rsid w:val="00C43246"/>
    <w:rsid w:val="00C43656"/>
    <w:rsid w:val="00C43661"/>
    <w:rsid w:val="00C4384F"/>
    <w:rsid w:val="00C443BF"/>
    <w:rsid w:val="00C443F0"/>
    <w:rsid w:val="00C44EC3"/>
    <w:rsid w:val="00C44FD2"/>
    <w:rsid w:val="00C45A3D"/>
    <w:rsid w:val="00C45DB2"/>
    <w:rsid w:val="00C45FBA"/>
    <w:rsid w:val="00C46125"/>
    <w:rsid w:val="00C467BC"/>
    <w:rsid w:val="00C46B9F"/>
    <w:rsid w:val="00C46CA4"/>
    <w:rsid w:val="00C46D8B"/>
    <w:rsid w:val="00C47352"/>
    <w:rsid w:val="00C4737A"/>
    <w:rsid w:val="00C4776A"/>
    <w:rsid w:val="00C47AB2"/>
    <w:rsid w:val="00C5011A"/>
    <w:rsid w:val="00C501F0"/>
    <w:rsid w:val="00C504EB"/>
    <w:rsid w:val="00C50CAF"/>
    <w:rsid w:val="00C51C3D"/>
    <w:rsid w:val="00C51E80"/>
    <w:rsid w:val="00C52612"/>
    <w:rsid w:val="00C52661"/>
    <w:rsid w:val="00C52C53"/>
    <w:rsid w:val="00C52E00"/>
    <w:rsid w:val="00C52F42"/>
    <w:rsid w:val="00C538E7"/>
    <w:rsid w:val="00C53A48"/>
    <w:rsid w:val="00C55035"/>
    <w:rsid w:val="00C551AF"/>
    <w:rsid w:val="00C55921"/>
    <w:rsid w:val="00C55D71"/>
    <w:rsid w:val="00C55E73"/>
    <w:rsid w:val="00C5716F"/>
    <w:rsid w:val="00C571FD"/>
    <w:rsid w:val="00C57941"/>
    <w:rsid w:val="00C612E8"/>
    <w:rsid w:val="00C61C5C"/>
    <w:rsid w:val="00C61CA3"/>
    <w:rsid w:val="00C61FD9"/>
    <w:rsid w:val="00C62353"/>
    <w:rsid w:val="00C624F8"/>
    <w:rsid w:val="00C63630"/>
    <w:rsid w:val="00C63B72"/>
    <w:rsid w:val="00C64627"/>
    <w:rsid w:val="00C64722"/>
    <w:rsid w:val="00C64B11"/>
    <w:rsid w:val="00C655E0"/>
    <w:rsid w:val="00C66017"/>
    <w:rsid w:val="00C66160"/>
    <w:rsid w:val="00C6665C"/>
    <w:rsid w:val="00C666D3"/>
    <w:rsid w:val="00C7010F"/>
    <w:rsid w:val="00C70CEE"/>
    <w:rsid w:val="00C711C0"/>
    <w:rsid w:val="00C71524"/>
    <w:rsid w:val="00C72003"/>
    <w:rsid w:val="00C7214A"/>
    <w:rsid w:val="00C72620"/>
    <w:rsid w:val="00C72C7C"/>
    <w:rsid w:val="00C7354D"/>
    <w:rsid w:val="00C73673"/>
    <w:rsid w:val="00C73980"/>
    <w:rsid w:val="00C73AAE"/>
    <w:rsid w:val="00C73BD8"/>
    <w:rsid w:val="00C75421"/>
    <w:rsid w:val="00C7612E"/>
    <w:rsid w:val="00C767CB"/>
    <w:rsid w:val="00C7730D"/>
    <w:rsid w:val="00C77360"/>
    <w:rsid w:val="00C77529"/>
    <w:rsid w:val="00C779CA"/>
    <w:rsid w:val="00C77D2B"/>
    <w:rsid w:val="00C77E39"/>
    <w:rsid w:val="00C801E4"/>
    <w:rsid w:val="00C802A3"/>
    <w:rsid w:val="00C8104A"/>
    <w:rsid w:val="00C81F7E"/>
    <w:rsid w:val="00C81FC0"/>
    <w:rsid w:val="00C821C5"/>
    <w:rsid w:val="00C82873"/>
    <w:rsid w:val="00C833E4"/>
    <w:rsid w:val="00C838A1"/>
    <w:rsid w:val="00C847D4"/>
    <w:rsid w:val="00C84B99"/>
    <w:rsid w:val="00C84F2C"/>
    <w:rsid w:val="00C85CBE"/>
    <w:rsid w:val="00C85FFE"/>
    <w:rsid w:val="00C8668A"/>
    <w:rsid w:val="00C866EB"/>
    <w:rsid w:val="00C86DE0"/>
    <w:rsid w:val="00C8775F"/>
    <w:rsid w:val="00C87C30"/>
    <w:rsid w:val="00C87C7C"/>
    <w:rsid w:val="00C901CC"/>
    <w:rsid w:val="00C9204C"/>
    <w:rsid w:val="00C92387"/>
    <w:rsid w:val="00C92E84"/>
    <w:rsid w:val="00C93472"/>
    <w:rsid w:val="00C9364E"/>
    <w:rsid w:val="00C938B5"/>
    <w:rsid w:val="00C949DD"/>
    <w:rsid w:val="00C94A69"/>
    <w:rsid w:val="00C95054"/>
    <w:rsid w:val="00C95403"/>
    <w:rsid w:val="00C95766"/>
    <w:rsid w:val="00C958C6"/>
    <w:rsid w:val="00C95DD4"/>
    <w:rsid w:val="00C963AC"/>
    <w:rsid w:val="00C9685A"/>
    <w:rsid w:val="00C97847"/>
    <w:rsid w:val="00C97F35"/>
    <w:rsid w:val="00CA05E6"/>
    <w:rsid w:val="00CA0BC8"/>
    <w:rsid w:val="00CA12BC"/>
    <w:rsid w:val="00CA146B"/>
    <w:rsid w:val="00CA1631"/>
    <w:rsid w:val="00CA17B1"/>
    <w:rsid w:val="00CA19E2"/>
    <w:rsid w:val="00CA3136"/>
    <w:rsid w:val="00CA3507"/>
    <w:rsid w:val="00CA3F3A"/>
    <w:rsid w:val="00CA401D"/>
    <w:rsid w:val="00CA48A4"/>
    <w:rsid w:val="00CA4D8F"/>
    <w:rsid w:val="00CA6011"/>
    <w:rsid w:val="00CA62F4"/>
    <w:rsid w:val="00CA69BE"/>
    <w:rsid w:val="00CA6D21"/>
    <w:rsid w:val="00CA6E5C"/>
    <w:rsid w:val="00CA73CA"/>
    <w:rsid w:val="00CA76D8"/>
    <w:rsid w:val="00CA77D0"/>
    <w:rsid w:val="00CA7AC0"/>
    <w:rsid w:val="00CA7D86"/>
    <w:rsid w:val="00CB0527"/>
    <w:rsid w:val="00CB05BA"/>
    <w:rsid w:val="00CB09F0"/>
    <w:rsid w:val="00CB1562"/>
    <w:rsid w:val="00CB1D18"/>
    <w:rsid w:val="00CB1EE3"/>
    <w:rsid w:val="00CB28F1"/>
    <w:rsid w:val="00CB290F"/>
    <w:rsid w:val="00CB30B7"/>
    <w:rsid w:val="00CB36DB"/>
    <w:rsid w:val="00CB3E28"/>
    <w:rsid w:val="00CB3F5F"/>
    <w:rsid w:val="00CB414B"/>
    <w:rsid w:val="00CB44CB"/>
    <w:rsid w:val="00CB55C6"/>
    <w:rsid w:val="00CB5ACD"/>
    <w:rsid w:val="00CB5C7D"/>
    <w:rsid w:val="00CB6641"/>
    <w:rsid w:val="00CB6CB0"/>
    <w:rsid w:val="00CB6DDF"/>
    <w:rsid w:val="00CB7BB5"/>
    <w:rsid w:val="00CC03DE"/>
    <w:rsid w:val="00CC0757"/>
    <w:rsid w:val="00CC0BFD"/>
    <w:rsid w:val="00CC0C6A"/>
    <w:rsid w:val="00CC1014"/>
    <w:rsid w:val="00CC11DC"/>
    <w:rsid w:val="00CC124A"/>
    <w:rsid w:val="00CC1799"/>
    <w:rsid w:val="00CC1A00"/>
    <w:rsid w:val="00CC1E1D"/>
    <w:rsid w:val="00CC2048"/>
    <w:rsid w:val="00CC29E0"/>
    <w:rsid w:val="00CC2ADA"/>
    <w:rsid w:val="00CC3449"/>
    <w:rsid w:val="00CC38BB"/>
    <w:rsid w:val="00CC4F86"/>
    <w:rsid w:val="00CC5144"/>
    <w:rsid w:val="00CC5544"/>
    <w:rsid w:val="00CC5A7B"/>
    <w:rsid w:val="00CC5ADE"/>
    <w:rsid w:val="00CC5D05"/>
    <w:rsid w:val="00CC5D94"/>
    <w:rsid w:val="00CC5F17"/>
    <w:rsid w:val="00CC5F7A"/>
    <w:rsid w:val="00CC60F2"/>
    <w:rsid w:val="00CC6705"/>
    <w:rsid w:val="00CC69BA"/>
    <w:rsid w:val="00CC719C"/>
    <w:rsid w:val="00CC7818"/>
    <w:rsid w:val="00CC7C33"/>
    <w:rsid w:val="00CD0101"/>
    <w:rsid w:val="00CD1A15"/>
    <w:rsid w:val="00CD1BB5"/>
    <w:rsid w:val="00CD2122"/>
    <w:rsid w:val="00CD23AC"/>
    <w:rsid w:val="00CD27FC"/>
    <w:rsid w:val="00CD2F6E"/>
    <w:rsid w:val="00CD3127"/>
    <w:rsid w:val="00CD32C8"/>
    <w:rsid w:val="00CD3342"/>
    <w:rsid w:val="00CD3E86"/>
    <w:rsid w:val="00CD463B"/>
    <w:rsid w:val="00CD48A6"/>
    <w:rsid w:val="00CD4EC6"/>
    <w:rsid w:val="00CD4FCE"/>
    <w:rsid w:val="00CD538A"/>
    <w:rsid w:val="00CD5A73"/>
    <w:rsid w:val="00CD5F8B"/>
    <w:rsid w:val="00CD5FF7"/>
    <w:rsid w:val="00CD6220"/>
    <w:rsid w:val="00CD6327"/>
    <w:rsid w:val="00CD6528"/>
    <w:rsid w:val="00CD7D91"/>
    <w:rsid w:val="00CE01B4"/>
    <w:rsid w:val="00CE097D"/>
    <w:rsid w:val="00CE0C66"/>
    <w:rsid w:val="00CE1711"/>
    <w:rsid w:val="00CE1759"/>
    <w:rsid w:val="00CE18FC"/>
    <w:rsid w:val="00CE196F"/>
    <w:rsid w:val="00CE1CF1"/>
    <w:rsid w:val="00CE20A4"/>
    <w:rsid w:val="00CE22CF"/>
    <w:rsid w:val="00CE28C9"/>
    <w:rsid w:val="00CE2D12"/>
    <w:rsid w:val="00CE30EB"/>
    <w:rsid w:val="00CE316F"/>
    <w:rsid w:val="00CE3645"/>
    <w:rsid w:val="00CE4C7C"/>
    <w:rsid w:val="00CE521C"/>
    <w:rsid w:val="00CE52CB"/>
    <w:rsid w:val="00CE5F74"/>
    <w:rsid w:val="00CE600B"/>
    <w:rsid w:val="00CE6378"/>
    <w:rsid w:val="00CE63BC"/>
    <w:rsid w:val="00CE71E7"/>
    <w:rsid w:val="00CE748A"/>
    <w:rsid w:val="00CE78DA"/>
    <w:rsid w:val="00CE7DAF"/>
    <w:rsid w:val="00CE7E5B"/>
    <w:rsid w:val="00CF0A98"/>
    <w:rsid w:val="00CF0C0A"/>
    <w:rsid w:val="00CF0EF6"/>
    <w:rsid w:val="00CF0FA0"/>
    <w:rsid w:val="00CF1D64"/>
    <w:rsid w:val="00CF2025"/>
    <w:rsid w:val="00CF202A"/>
    <w:rsid w:val="00CF23C9"/>
    <w:rsid w:val="00CF25D0"/>
    <w:rsid w:val="00CF2629"/>
    <w:rsid w:val="00CF2AFB"/>
    <w:rsid w:val="00CF2C39"/>
    <w:rsid w:val="00CF2FA5"/>
    <w:rsid w:val="00CF34C0"/>
    <w:rsid w:val="00CF37B4"/>
    <w:rsid w:val="00CF3AB4"/>
    <w:rsid w:val="00CF3BB4"/>
    <w:rsid w:val="00CF3CA9"/>
    <w:rsid w:val="00CF4080"/>
    <w:rsid w:val="00CF409C"/>
    <w:rsid w:val="00CF419E"/>
    <w:rsid w:val="00CF4CCF"/>
    <w:rsid w:val="00CF4EDA"/>
    <w:rsid w:val="00CF568A"/>
    <w:rsid w:val="00CF628D"/>
    <w:rsid w:val="00CF6A06"/>
    <w:rsid w:val="00CF6C8C"/>
    <w:rsid w:val="00CF7D62"/>
    <w:rsid w:val="00CF7F39"/>
    <w:rsid w:val="00D0018D"/>
    <w:rsid w:val="00D002AB"/>
    <w:rsid w:val="00D0045C"/>
    <w:rsid w:val="00D00739"/>
    <w:rsid w:val="00D02337"/>
    <w:rsid w:val="00D0239E"/>
    <w:rsid w:val="00D02CCD"/>
    <w:rsid w:val="00D02E5B"/>
    <w:rsid w:val="00D035F8"/>
    <w:rsid w:val="00D03662"/>
    <w:rsid w:val="00D0372E"/>
    <w:rsid w:val="00D03CD9"/>
    <w:rsid w:val="00D040EE"/>
    <w:rsid w:val="00D048B5"/>
    <w:rsid w:val="00D04A67"/>
    <w:rsid w:val="00D04B7F"/>
    <w:rsid w:val="00D0515F"/>
    <w:rsid w:val="00D057E3"/>
    <w:rsid w:val="00D0672B"/>
    <w:rsid w:val="00D06AAF"/>
    <w:rsid w:val="00D06EE2"/>
    <w:rsid w:val="00D073B8"/>
    <w:rsid w:val="00D07419"/>
    <w:rsid w:val="00D077EA"/>
    <w:rsid w:val="00D1017B"/>
    <w:rsid w:val="00D10354"/>
    <w:rsid w:val="00D111EE"/>
    <w:rsid w:val="00D11DE9"/>
    <w:rsid w:val="00D128DC"/>
    <w:rsid w:val="00D12EBB"/>
    <w:rsid w:val="00D12F4F"/>
    <w:rsid w:val="00D12F60"/>
    <w:rsid w:val="00D13A3A"/>
    <w:rsid w:val="00D14713"/>
    <w:rsid w:val="00D15406"/>
    <w:rsid w:val="00D1571D"/>
    <w:rsid w:val="00D1583F"/>
    <w:rsid w:val="00D17023"/>
    <w:rsid w:val="00D179A2"/>
    <w:rsid w:val="00D200A9"/>
    <w:rsid w:val="00D20A2A"/>
    <w:rsid w:val="00D211FB"/>
    <w:rsid w:val="00D2167E"/>
    <w:rsid w:val="00D223C6"/>
    <w:rsid w:val="00D2247F"/>
    <w:rsid w:val="00D2314D"/>
    <w:rsid w:val="00D232A0"/>
    <w:rsid w:val="00D240FB"/>
    <w:rsid w:val="00D2426A"/>
    <w:rsid w:val="00D24DA4"/>
    <w:rsid w:val="00D24ECF"/>
    <w:rsid w:val="00D24ED2"/>
    <w:rsid w:val="00D24EF3"/>
    <w:rsid w:val="00D255E5"/>
    <w:rsid w:val="00D25DB2"/>
    <w:rsid w:val="00D26255"/>
    <w:rsid w:val="00D2633B"/>
    <w:rsid w:val="00D268FB"/>
    <w:rsid w:val="00D26EFF"/>
    <w:rsid w:val="00D27698"/>
    <w:rsid w:val="00D30F77"/>
    <w:rsid w:val="00D313DD"/>
    <w:rsid w:val="00D317D3"/>
    <w:rsid w:val="00D31AD8"/>
    <w:rsid w:val="00D32B4D"/>
    <w:rsid w:val="00D33771"/>
    <w:rsid w:val="00D33CE7"/>
    <w:rsid w:val="00D33E71"/>
    <w:rsid w:val="00D34023"/>
    <w:rsid w:val="00D34167"/>
    <w:rsid w:val="00D343FC"/>
    <w:rsid w:val="00D34657"/>
    <w:rsid w:val="00D35044"/>
    <w:rsid w:val="00D3548C"/>
    <w:rsid w:val="00D3569C"/>
    <w:rsid w:val="00D36026"/>
    <w:rsid w:val="00D3694D"/>
    <w:rsid w:val="00D3787C"/>
    <w:rsid w:val="00D37F12"/>
    <w:rsid w:val="00D4002B"/>
    <w:rsid w:val="00D40334"/>
    <w:rsid w:val="00D40DFB"/>
    <w:rsid w:val="00D41B2C"/>
    <w:rsid w:val="00D41B97"/>
    <w:rsid w:val="00D41DBC"/>
    <w:rsid w:val="00D41EB9"/>
    <w:rsid w:val="00D420F5"/>
    <w:rsid w:val="00D42475"/>
    <w:rsid w:val="00D4296B"/>
    <w:rsid w:val="00D4399E"/>
    <w:rsid w:val="00D43A11"/>
    <w:rsid w:val="00D4600B"/>
    <w:rsid w:val="00D46335"/>
    <w:rsid w:val="00D46662"/>
    <w:rsid w:val="00D47781"/>
    <w:rsid w:val="00D47FA2"/>
    <w:rsid w:val="00D503B9"/>
    <w:rsid w:val="00D50AC9"/>
    <w:rsid w:val="00D51296"/>
    <w:rsid w:val="00D51B9A"/>
    <w:rsid w:val="00D52068"/>
    <w:rsid w:val="00D53B6A"/>
    <w:rsid w:val="00D54EAA"/>
    <w:rsid w:val="00D553D8"/>
    <w:rsid w:val="00D555FB"/>
    <w:rsid w:val="00D55808"/>
    <w:rsid w:val="00D55830"/>
    <w:rsid w:val="00D558BF"/>
    <w:rsid w:val="00D55E5E"/>
    <w:rsid w:val="00D55ED6"/>
    <w:rsid w:val="00D5602E"/>
    <w:rsid w:val="00D563CD"/>
    <w:rsid w:val="00D56B12"/>
    <w:rsid w:val="00D56D89"/>
    <w:rsid w:val="00D57952"/>
    <w:rsid w:val="00D57DD5"/>
    <w:rsid w:val="00D6002E"/>
    <w:rsid w:val="00D607B9"/>
    <w:rsid w:val="00D60985"/>
    <w:rsid w:val="00D612E1"/>
    <w:rsid w:val="00D61949"/>
    <w:rsid w:val="00D61A1C"/>
    <w:rsid w:val="00D62173"/>
    <w:rsid w:val="00D62658"/>
    <w:rsid w:val="00D626E1"/>
    <w:rsid w:val="00D6279F"/>
    <w:rsid w:val="00D62E36"/>
    <w:rsid w:val="00D6383F"/>
    <w:rsid w:val="00D63D32"/>
    <w:rsid w:val="00D63FA0"/>
    <w:rsid w:val="00D644CB"/>
    <w:rsid w:val="00D64B9F"/>
    <w:rsid w:val="00D64CF3"/>
    <w:rsid w:val="00D64D5F"/>
    <w:rsid w:val="00D65708"/>
    <w:rsid w:val="00D65818"/>
    <w:rsid w:val="00D6606D"/>
    <w:rsid w:val="00D67CF2"/>
    <w:rsid w:val="00D7050E"/>
    <w:rsid w:val="00D70754"/>
    <w:rsid w:val="00D70CA6"/>
    <w:rsid w:val="00D710B3"/>
    <w:rsid w:val="00D7122E"/>
    <w:rsid w:val="00D7194C"/>
    <w:rsid w:val="00D719F0"/>
    <w:rsid w:val="00D71CE6"/>
    <w:rsid w:val="00D721A8"/>
    <w:rsid w:val="00D72889"/>
    <w:rsid w:val="00D72FDC"/>
    <w:rsid w:val="00D73BBF"/>
    <w:rsid w:val="00D74179"/>
    <w:rsid w:val="00D74326"/>
    <w:rsid w:val="00D746EB"/>
    <w:rsid w:val="00D74926"/>
    <w:rsid w:val="00D74982"/>
    <w:rsid w:val="00D74FFF"/>
    <w:rsid w:val="00D75278"/>
    <w:rsid w:val="00D75DDC"/>
    <w:rsid w:val="00D76033"/>
    <w:rsid w:val="00D76413"/>
    <w:rsid w:val="00D76437"/>
    <w:rsid w:val="00D765BB"/>
    <w:rsid w:val="00D76620"/>
    <w:rsid w:val="00D76726"/>
    <w:rsid w:val="00D77187"/>
    <w:rsid w:val="00D77607"/>
    <w:rsid w:val="00D80196"/>
    <w:rsid w:val="00D80229"/>
    <w:rsid w:val="00D80337"/>
    <w:rsid w:val="00D80888"/>
    <w:rsid w:val="00D80FFD"/>
    <w:rsid w:val="00D81034"/>
    <w:rsid w:val="00D81288"/>
    <w:rsid w:val="00D820A7"/>
    <w:rsid w:val="00D830D1"/>
    <w:rsid w:val="00D831FE"/>
    <w:rsid w:val="00D832DF"/>
    <w:rsid w:val="00D832F6"/>
    <w:rsid w:val="00D83EA2"/>
    <w:rsid w:val="00D84B29"/>
    <w:rsid w:val="00D84BE0"/>
    <w:rsid w:val="00D84C3B"/>
    <w:rsid w:val="00D84FCC"/>
    <w:rsid w:val="00D851E7"/>
    <w:rsid w:val="00D852FD"/>
    <w:rsid w:val="00D86192"/>
    <w:rsid w:val="00D86DC9"/>
    <w:rsid w:val="00D879F2"/>
    <w:rsid w:val="00D87B2E"/>
    <w:rsid w:val="00D90118"/>
    <w:rsid w:val="00D90293"/>
    <w:rsid w:val="00D90CC5"/>
    <w:rsid w:val="00D90D91"/>
    <w:rsid w:val="00D9133D"/>
    <w:rsid w:val="00D91578"/>
    <w:rsid w:val="00D91CCF"/>
    <w:rsid w:val="00D921FE"/>
    <w:rsid w:val="00D9231E"/>
    <w:rsid w:val="00D9253A"/>
    <w:rsid w:val="00D9253B"/>
    <w:rsid w:val="00D9262D"/>
    <w:rsid w:val="00D928F6"/>
    <w:rsid w:val="00D92E86"/>
    <w:rsid w:val="00D92F24"/>
    <w:rsid w:val="00D9307C"/>
    <w:rsid w:val="00D93347"/>
    <w:rsid w:val="00D93A0A"/>
    <w:rsid w:val="00D93B39"/>
    <w:rsid w:val="00D93B42"/>
    <w:rsid w:val="00D93BF4"/>
    <w:rsid w:val="00D9482D"/>
    <w:rsid w:val="00D95B9D"/>
    <w:rsid w:val="00D960A3"/>
    <w:rsid w:val="00D96601"/>
    <w:rsid w:val="00D96648"/>
    <w:rsid w:val="00D96978"/>
    <w:rsid w:val="00D96B3F"/>
    <w:rsid w:val="00D97038"/>
    <w:rsid w:val="00D97755"/>
    <w:rsid w:val="00DA0514"/>
    <w:rsid w:val="00DA05A6"/>
    <w:rsid w:val="00DA1289"/>
    <w:rsid w:val="00DA2403"/>
    <w:rsid w:val="00DA2871"/>
    <w:rsid w:val="00DA2DD0"/>
    <w:rsid w:val="00DA2F1B"/>
    <w:rsid w:val="00DA2F60"/>
    <w:rsid w:val="00DA3768"/>
    <w:rsid w:val="00DA38A7"/>
    <w:rsid w:val="00DA3A83"/>
    <w:rsid w:val="00DA3FCC"/>
    <w:rsid w:val="00DA4149"/>
    <w:rsid w:val="00DA512D"/>
    <w:rsid w:val="00DA5228"/>
    <w:rsid w:val="00DA5497"/>
    <w:rsid w:val="00DA5601"/>
    <w:rsid w:val="00DA599C"/>
    <w:rsid w:val="00DA5DD4"/>
    <w:rsid w:val="00DA63C3"/>
    <w:rsid w:val="00DA68CF"/>
    <w:rsid w:val="00DA7642"/>
    <w:rsid w:val="00DB0084"/>
    <w:rsid w:val="00DB0C5D"/>
    <w:rsid w:val="00DB2194"/>
    <w:rsid w:val="00DB3582"/>
    <w:rsid w:val="00DB4ACF"/>
    <w:rsid w:val="00DB5646"/>
    <w:rsid w:val="00DB5C27"/>
    <w:rsid w:val="00DB5D33"/>
    <w:rsid w:val="00DB60C0"/>
    <w:rsid w:val="00DB6C93"/>
    <w:rsid w:val="00DB6E47"/>
    <w:rsid w:val="00DC04CA"/>
    <w:rsid w:val="00DC122F"/>
    <w:rsid w:val="00DC164D"/>
    <w:rsid w:val="00DC2144"/>
    <w:rsid w:val="00DC215F"/>
    <w:rsid w:val="00DC23D5"/>
    <w:rsid w:val="00DC2751"/>
    <w:rsid w:val="00DC2A0C"/>
    <w:rsid w:val="00DC2AED"/>
    <w:rsid w:val="00DC2C2D"/>
    <w:rsid w:val="00DC2C4B"/>
    <w:rsid w:val="00DC2DD7"/>
    <w:rsid w:val="00DC31E1"/>
    <w:rsid w:val="00DC3685"/>
    <w:rsid w:val="00DC38ED"/>
    <w:rsid w:val="00DC3AF2"/>
    <w:rsid w:val="00DC3E94"/>
    <w:rsid w:val="00DC51F5"/>
    <w:rsid w:val="00DC522F"/>
    <w:rsid w:val="00DC55C6"/>
    <w:rsid w:val="00DC5740"/>
    <w:rsid w:val="00DC63A0"/>
    <w:rsid w:val="00DC6B27"/>
    <w:rsid w:val="00DC6C70"/>
    <w:rsid w:val="00DC6C80"/>
    <w:rsid w:val="00DC70B6"/>
    <w:rsid w:val="00DC71F7"/>
    <w:rsid w:val="00DC76C5"/>
    <w:rsid w:val="00DC7E02"/>
    <w:rsid w:val="00DD02C1"/>
    <w:rsid w:val="00DD0C3F"/>
    <w:rsid w:val="00DD0E9A"/>
    <w:rsid w:val="00DD0FF6"/>
    <w:rsid w:val="00DD11D4"/>
    <w:rsid w:val="00DD1337"/>
    <w:rsid w:val="00DD1434"/>
    <w:rsid w:val="00DD1E69"/>
    <w:rsid w:val="00DD2442"/>
    <w:rsid w:val="00DD2D29"/>
    <w:rsid w:val="00DD3215"/>
    <w:rsid w:val="00DD3A7E"/>
    <w:rsid w:val="00DD3F0E"/>
    <w:rsid w:val="00DD40F3"/>
    <w:rsid w:val="00DD4A8D"/>
    <w:rsid w:val="00DD4E22"/>
    <w:rsid w:val="00DD5446"/>
    <w:rsid w:val="00DD5D34"/>
    <w:rsid w:val="00DD5E13"/>
    <w:rsid w:val="00DD607B"/>
    <w:rsid w:val="00DD640E"/>
    <w:rsid w:val="00DD6415"/>
    <w:rsid w:val="00DD6B88"/>
    <w:rsid w:val="00DD6DF8"/>
    <w:rsid w:val="00DD6E72"/>
    <w:rsid w:val="00DD6FA0"/>
    <w:rsid w:val="00DD7E86"/>
    <w:rsid w:val="00DD7F32"/>
    <w:rsid w:val="00DD7F58"/>
    <w:rsid w:val="00DE01F0"/>
    <w:rsid w:val="00DE09E6"/>
    <w:rsid w:val="00DE1290"/>
    <w:rsid w:val="00DE12CE"/>
    <w:rsid w:val="00DE13F4"/>
    <w:rsid w:val="00DE23B2"/>
    <w:rsid w:val="00DE2713"/>
    <w:rsid w:val="00DE3750"/>
    <w:rsid w:val="00DE3B0F"/>
    <w:rsid w:val="00DE3D82"/>
    <w:rsid w:val="00DE3D9F"/>
    <w:rsid w:val="00DE3F27"/>
    <w:rsid w:val="00DE44CD"/>
    <w:rsid w:val="00DE4963"/>
    <w:rsid w:val="00DE52A5"/>
    <w:rsid w:val="00DE534C"/>
    <w:rsid w:val="00DE5784"/>
    <w:rsid w:val="00DE57F2"/>
    <w:rsid w:val="00DE638F"/>
    <w:rsid w:val="00DE67CE"/>
    <w:rsid w:val="00DE6AA2"/>
    <w:rsid w:val="00DE7A6F"/>
    <w:rsid w:val="00DE7B8E"/>
    <w:rsid w:val="00DE7F8C"/>
    <w:rsid w:val="00DE7FF1"/>
    <w:rsid w:val="00DF0EE2"/>
    <w:rsid w:val="00DF11F2"/>
    <w:rsid w:val="00DF171F"/>
    <w:rsid w:val="00DF1E6D"/>
    <w:rsid w:val="00DF1EFC"/>
    <w:rsid w:val="00DF2043"/>
    <w:rsid w:val="00DF296B"/>
    <w:rsid w:val="00DF3E05"/>
    <w:rsid w:val="00DF475A"/>
    <w:rsid w:val="00DF488E"/>
    <w:rsid w:val="00DF4B40"/>
    <w:rsid w:val="00DF4B5B"/>
    <w:rsid w:val="00DF4E1B"/>
    <w:rsid w:val="00DF4E27"/>
    <w:rsid w:val="00DF5035"/>
    <w:rsid w:val="00DF5A04"/>
    <w:rsid w:val="00DF655A"/>
    <w:rsid w:val="00DF6BBE"/>
    <w:rsid w:val="00DF6C6A"/>
    <w:rsid w:val="00DF6FDE"/>
    <w:rsid w:val="00DF75B4"/>
    <w:rsid w:val="00DF7D7B"/>
    <w:rsid w:val="00DF7DF0"/>
    <w:rsid w:val="00E006A7"/>
    <w:rsid w:val="00E00793"/>
    <w:rsid w:val="00E00839"/>
    <w:rsid w:val="00E0083E"/>
    <w:rsid w:val="00E016F8"/>
    <w:rsid w:val="00E018B4"/>
    <w:rsid w:val="00E02766"/>
    <w:rsid w:val="00E03C50"/>
    <w:rsid w:val="00E041C7"/>
    <w:rsid w:val="00E04594"/>
    <w:rsid w:val="00E05003"/>
    <w:rsid w:val="00E05BDC"/>
    <w:rsid w:val="00E060A8"/>
    <w:rsid w:val="00E071C8"/>
    <w:rsid w:val="00E07884"/>
    <w:rsid w:val="00E078F5"/>
    <w:rsid w:val="00E07D0F"/>
    <w:rsid w:val="00E12016"/>
    <w:rsid w:val="00E1263F"/>
    <w:rsid w:val="00E13368"/>
    <w:rsid w:val="00E13AB7"/>
    <w:rsid w:val="00E13EA4"/>
    <w:rsid w:val="00E141D0"/>
    <w:rsid w:val="00E14E51"/>
    <w:rsid w:val="00E15183"/>
    <w:rsid w:val="00E1565D"/>
    <w:rsid w:val="00E16156"/>
    <w:rsid w:val="00E1668B"/>
    <w:rsid w:val="00E16CFE"/>
    <w:rsid w:val="00E17384"/>
    <w:rsid w:val="00E17DCC"/>
    <w:rsid w:val="00E206BF"/>
    <w:rsid w:val="00E20DDD"/>
    <w:rsid w:val="00E2194D"/>
    <w:rsid w:val="00E21BFB"/>
    <w:rsid w:val="00E21E71"/>
    <w:rsid w:val="00E228BB"/>
    <w:rsid w:val="00E232B4"/>
    <w:rsid w:val="00E23A53"/>
    <w:rsid w:val="00E25206"/>
    <w:rsid w:val="00E261D2"/>
    <w:rsid w:val="00E2631F"/>
    <w:rsid w:val="00E273AD"/>
    <w:rsid w:val="00E279F7"/>
    <w:rsid w:val="00E30249"/>
    <w:rsid w:val="00E3098F"/>
    <w:rsid w:val="00E30EC2"/>
    <w:rsid w:val="00E31C42"/>
    <w:rsid w:val="00E321F4"/>
    <w:rsid w:val="00E322C5"/>
    <w:rsid w:val="00E325E5"/>
    <w:rsid w:val="00E33794"/>
    <w:rsid w:val="00E33D42"/>
    <w:rsid w:val="00E3505B"/>
    <w:rsid w:val="00E358A7"/>
    <w:rsid w:val="00E35CA7"/>
    <w:rsid w:val="00E369F9"/>
    <w:rsid w:val="00E4061F"/>
    <w:rsid w:val="00E41386"/>
    <w:rsid w:val="00E41678"/>
    <w:rsid w:val="00E41AF0"/>
    <w:rsid w:val="00E41C9C"/>
    <w:rsid w:val="00E43000"/>
    <w:rsid w:val="00E430AB"/>
    <w:rsid w:val="00E4572E"/>
    <w:rsid w:val="00E4599E"/>
    <w:rsid w:val="00E45A53"/>
    <w:rsid w:val="00E46051"/>
    <w:rsid w:val="00E463F2"/>
    <w:rsid w:val="00E46B2A"/>
    <w:rsid w:val="00E4741E"/>
    <w:rsid w:val="00E47556"/>
    <w:rsid w:val="00E47834"/>
    <w:rsid w:val="00E47AC2"/>
    <w:rsid w:val="00E47EEB"/>
    <w:rsid w:val="00E47F0F"/>
    <w:rsid w:val="00E509E6"/>
    <w:rsid w:val="00E50A6E"/>
    <w:rsid w:val="00E50D4C"/>
    <w:rsid w:val="00E520FA"/>
    <w:rsid w:val="00E52379"/>
    <w:rsid w:val="00E52F4F"/>
    <w:rsid w:val="00E534D7"/>
    <w:rsid w:val="00E53F13"/>
    <w:rsid w:val="00E54C57"/>
    <w:rsid w:val="00E54EFE"/>
    <w:rsid w:val="00E5524F"/>
    <w:rsid w:val="00E552DD"/>
    <w:rsid w:val="00E5535F"/>
    <w:rsid w:val="00E55753"/>
    <w:rsid w:val="00E5585F"/>
    <w:rsid w:val="00E565AA"/>
    <w:rsid w:val="00E56A98"/>
    <w:rsid w:val="00E56C1B"/>
    <w:rsid w:val="00E57F6C"/>
    <w:rsid w:val="00E57F97"/>
    <w:rsid w:val="00E60262"/>
    <w:rsid w:val="00E60E5D"/>
    <w:rsid w:val="00E61386"/>
    <w:rsid w:val="00E613E0"/>
    <w:rsid w:val="00E6176C"/>
    <w:rsid w:val="00E62197"/>
    <w:rsid w:val="00E6253F"/>
    <w:rsid w:val="00E62B11"/>
    <w:rsid w:val="00E62C48"/>
    <w:rsid w:val="00E62E4B"/>
    <w:rsid w:val="00E63256"/>
    <w:rsid w:val="00E63539"/>
    <w:rsid w:val="00E63598"/>
    <w:rsid w:val="00E63881"/>
    <w:rsid w:val="00E639C1"/>
    <w:rsid w:val="00E6403B"/>
    <w:rsid w:val="00E6409B"/>
    <w:rsid w:val="00E64D6F"/>
    <w:rsid w:val="00E650C1"/>
    <w:rsid w:val="00E65D5D"/>
    <w:rsid w:val="00E6680C"/>
    <w:rsid w:val="00E66DFF"/>
    <w:rsid w:val="00E6775E"/>
    <w:rsid w:val="00E67906"/>
    <w:rsid w:val="00E67B19"/>
    <w:rsid w:val="00E67BD1"/>
    <w:rsid w:val="00E67DAB"/>
    <w:rsid w:val="00E70359"/>
    <w:rsid w:val="00E70561"/>
    <w:rsid w:val="00E7056D"/>
    <w:rsid w:val="00E70673"/>
    <w:rsid w:val="00E707EF"/>
    <w:rsid w:val="00E712DD"/>
    <w:rsid w:val="00E71561"/>
    <w:rsid w:val="00E719B3"/>
    <w:rsid w:val="00E71A83"/>
    <w:rsid w:val="00E71E46"/>
    <w:rsid w:val="00E71E8D"/>
    <w:rsid w:val="00E721C1"/>
    <w:rsid w:val="00E72560"/>
    <w:rsid w:val="00E72A89"/>
    <w:rsid w:val="00E72F5E"/>
    <w:rsid w:val="00E73634"/>
    <w:rsid w:val="00E74168"/>
    <w:rsid w:val="00E741E4"/>
    <w:rsid w:val="00E75970"/>
    <w:rsid w:val="00E761E1"/>
    <w:rsid w:val="00E766D8"/>
    <w:rsid w:val="00E77319"/>
    <w:rsid w:val="00E7768A"/>
    <w:rsid w:val="00E77B22"/>
    <w:rsid w:val="00E8046B"/>
    <w:rsid w:val="00E8057C"/>
    <w:rsid w:val="00E80BFF"/>
    <w:rsid w:val="00E819AD"/>
    <w:rsid w:val="00E819B3"/>
    <w:rsid w:val="00E819BD"/>
    <w:rsid w:val="00E82914"/>
    <w:rsid w:val="00E82E07"/>
    <w:rsid w:val="00E82E3B"/>
    <w:rsid w:val="00E8300A"/>
    <w:rsid w:val="00E83483"/>
    <w:rsid w:val="00E83F73"/>
    <w:rsid w:val="00E84556"/>
    <w:rsid w:val="00E8469A"/>
    <w:rsid w:val="00E8473B"/>
    <w:rsid w:val="00E850F7"/>
    <w:rsid w:val="00E853C0"/>
    <w:rsid w:val="00E855E5"/>
    <w:rsid w:val="00E85CEF"/>
    <w:rsid w:val="00E8644D"/>
    <w:rsid w:val="00E868F0"/>
    <w:rsid w:val="00E87560"/>
    <w:rsid w:val="00E91F70"/>
    <w:rsid w:val="00E92506"/>
    <w:rsid w:val="00E930DC"/>
    <w:rsid w:val="00E933A6"/>
    <w:rsid w:val="00E936FA"/>
    <w:rsid w:val="00E9418E"/>
    <w:rsid w:val="00E951BF"/>
    <w:rsid w:val="00E95FA5"/>
    <w:rsid w:val="00E960B7"/>
    <w:rsid w:val="00E9618A"/>
    <w:rsid w:val="00E96421"/>
    <w:rsid w:val="00E966C5"/>
    <w:rsid w:val="00E97644"/>
    <w:rsid w:val="00E97F4B"/>
    <w:rsid w:val="00E97F88"/>
    <w:rsid w:val="00E97FE6"/>
    <w:rsid w:val="00EA0E0F"/>
    <w:rsid w:val="00EA1198"/>
    <w:rsid w:val="00EA21A7"/>
    <w:rsid w:val="00EA2320"/>
    <w:rsid w:val="00EA2A14"/>
    <w:rsid w:val="00EA2A37"/>
    <w:rsid w:val="00EA2F75"/>
    <w:rsid w:val="00EA3580"/>
    <w:rsid w:val="00EA3B5D"/>
    <w:rsid w:val="00EA3C20"/>
    <w:rsid w:val="00EA3E5E"/>
    <w:rsid w:val="00EA435D"/>
    <w:rsid w:val="00EA44A9"/>
    <w:rsid w:val="00EA4504"/>
    <w:rsid w:val="00EA4FAE"/>
    <w:rsid w:val="00EA5358"/>
    <w:rsid w:val="00EA566A"/>
    <w:rsid w:val="00EA5E3D"/>
    <w:rsid w:val="00EA6351"/>
    <w:rsid w:val="00EA67EB"/>
    <w:rsid w:val="00EA6C2C"/>
    <w:rsid w:val="00EA6F3E"/>
    <w:rsid w:val="00EB03A3"/>
    <w:rsid w:val="00EB13A0"/>
    <w:rsid w:val="00EB156E"/>
    <w:rsid w:val="00EB1F1E"/>
    <w:rsid w:val="00EB2670"/>
    <w:rsid w:val="00EB2C5E"/>
    <w:rsid w:val="00EB3093"/>
    <w:rsid w:val="00EB30A7"/>
    <w:rsid w:val="00EB349F"/>
    <w:rsid w:val="00EB37DE"/>
    <w:rsid w:val="00EB45E2"/>
    <w:rsid w:val="00EB49EB"/>
    <w:rsid w:val="00EB4ED6"/>
    <w:rsid w:val="00EB5102"/>
    <w:rsid w:val="00EB51D6"/>
    <w:rsid w:val="00EB5882"/>
    <w:rsid w:val="00EB60A8"/>
    <w:rsid w:val="00EB60B9"/>
    <w:rsid w:val="00EB64E9"/>
    <w:rsid w:val="00EB6CE8"/>
    <w:rsid w:val="00EB6DFA"/>
    <w:rsid w:val="00EB7BDE"/>
    <w:rsid w:val="00EC02DB"/>
    <w:rsid w:val="00EC038B"/>
    <w:rsid w:val="00EC0674"/>
    <w:rsid w:val="00EC215B"/>
    <w:rsid w:val="00EC24AC"/>
    <w:rsid w:val="00EC26D9"/>
    <w:rsid w:val="00EC27C5"/>
    <w:rsid w:val="00EC2F59"/>
    <w:rsid w:val="00EC30DF"/>
    <w:rsid w:val="00EC33C9"/>
    <w:rsid w:val="00EC374E"/>
    <w:rsid w:val="00EC3BCF"/>
    <w:rsid w:val="00EC41AF"/>
    <w:rsid w:val="00EC429C"/>
    <w:rsid w:val="00EC4434"/>
    <w:rsid w:val="00EC4915"/>
    <w:rsid w:val="00EC4A94"/>
    <w:rsid w:val="00EC4DF5"/>
    <w:rsid w:val="00EC57E5"/>
    <w:rsid w:val="00EC61BC"/>
    <w:rsid w:val="00EC6A8E"/>
    <w:rsid w:val="00EC6DFB"/>
    <w:rsid w:val="00EC743B"/>
    <w:rsid w:val="00ED01DE"/>
    <w:rsid w:val="00ED194C"/>
    <w:rsid w:val="00ED260F"/>
    <w:rsid w:val="00ED2722"/>
    <w:rsid w:val="00ED2D24"/>
    <w:rsid w:val="00ED2DFE"/>
    <w:rsid w:val="00ED2F36"/>
    <w:rsid w:val="00ED2F63"/>
    <w:rsid w:val="00ED3257"/>
    <w:rsid w:val="00ED4413"/>
    <w:rsid w:val="00ED44F3"/>
    <w:rsid w:val="00ED5580"/>
    <w:rsid w:val="00ED567D"/>
    <w:rsid w:val="00ED5E49"/>
    <w:rsid w:val="00ED5EA3"/>
    <w:rsid w:val="00ED6287"/>
    <w:rsid w:val="00ED6803"/>
    <w:rsid w:val="00ED6812"/>
    <w:rsid w:val="00ED6A68"/>
    <w:rsid w:val="00ED6DC9"/>
    <w:rsid w:val="00ED6DCA"/>
    <w:rsid w:val="00ED79F4"/>
    <w:rsid w:val="00ED7ABE"/>
    <w:rsid w:val="00ED7C14"/>
    <w:rsid w:val="00ED7F5B"/>
    <w:rsid w:val="00ED7FDF"/>
    <w:rsid w:val="00EE03E2"/>
    <w:rsid w:val="00EE0589"/>
    <w:rsid w:val="00EE0772"/>
    <w:rsid w:val="00EE16CD"/>
    <w:rsid w:val="00EE1BDB"/>
    <w:rsid w:val="00EE200E"/>
    <w:rsid w:val="00EE25CD"/>
    <w:rsid w:val="00EE2958"/>
    <w:rsid w:val="00EE4A0E"/>
    <w:rsid w:val="00EE5107"/>
    <w:rsid w:val="00EE5564"/>
    <w:rsid w:val="00EE564A"/>
    <w:rsid w:val="00EE6195"/>
    <w:rsid w:val="00EE6C7B"/>
    <w:rsid w:val="00EE7940"/>
    <w:rsid w:val="00EF0214"/>
    <w:rsid w:val="00EF097F"/>
    <w:rsid w:val="00EF0EE5"/>
    <w:rsid w:val="00EF19AD"/>
    <w:rsid w:val="00EF19B5"/>
    <w:rsid w:val="00EF22D5"/>
    <w:rsid w:val="00EF23AF"/>
    <w:rsid w:val="00EF30A1"/>
    <w:rsid w:val="00EF30C0"/>
    <w:rsid w:val="00EF3490"/>
    <w:rsid w:val="00EF3994"/>
    <w:rsid w:val="00EF3C1B"/>
    <w:rsid w:val="00EF3FAB"/>
    <w:rsid w:val="00EF4100"/>
    <w:rsid w:val="00EF4979"/>
    <w:rsid w:val="00EF556C"/>
    <w:rsid w:val="00EF57E1"/>
    <w:rsid w:val="00EF592E"/>
    <w:rsid w:val="00EF5986"/>
    <w:rsid w:val="00EF59DD"/>
    <w:rsid w:val="00EF5D55"/>
    <w:rsid w:val="00EF5DC8"/>
    <w:rsid w:val="00EF5E3E"/>
    <w:rsid w:val="00EF67F7"/>
    <w:rsid w:val="00EF6D69"/>
    <w:rsid w:val="00EF7861"/>
    <w:rsid w:val="00EF7AB3"/>
    <w:rsid w:val="00EF7B41"/>
    <w:rsid w:val="00EF7D2E"/>
    <w:rsid w:val="00F00B76"/>
    <w:rsid w:val="00F00B7E"/>
    <w:rsid w:val="00F00F77"/>
    <w:rsid w:val="00F012C0"/>
    <w:rsid w:val="00F01457"/>
    <w:rsid w:val="00F01573"/>
    <w:rsid w:val="00F028D5"/>
    <w:rsid w:val="00F033B7"/>
    <w:rsid w:val="00F0386A"/>
    <w:rsid w:val="00F04927"/>
    <w:rsid w:val="00F04D39"/>
    <w:rsid w:val="00F0500B"/>
    <w:rsid w:val="00F059E0"/>
    <w:rsid w:val="00F0661C"/>
    <w:rsid w:val="00F06DDE"/>
    <w:rsid w:val="00F06E04"/>
    <w:rsid w:val="00F06ED2"/>
    <w:rsid w:val="00F07CAF"/>
    <w:rsid w:val="00F07F31"/>
    <w:rsid w:val="00F10BBC"/>
    <w:rsid w:val="00F10CCC"/>
    <w:rsid w:val="00F11291"/>
    <w:rsid w:val="00F11309"/>
    <w:rsid w:val="00F11326"/>
    <w:rsid w:val="00F114FD"/>
    <w:rsid w:val="00F118B7"/>
    <w:rsid w:val="00F11E55"/>
    <w:rsid w:val="00F11E69"/>
    <w:rsid w:val="00F120C6"/>
    <w:rsid w:val="00F12926"/>
    <w:rsid w:val="00F12CD4"/>
    <w:rsid w:val="00F12F37"/>
    <w:rsid w:val="00F12F47"/>
    <w:rsid w:val="00F132D0"/>
    <w:rsid w:val="00F1359F"/>
    <w:rsid w:val="00F13A41"/>
    <w:rsid w:val="00F13B2A"/>
    <w:rsid w:val="00F13E44"/>
    <w:rsid w:val="00F1432A"/>
    <w:rsid w:val="00F1434E"/>
    <w:rsid w:val="00F1460F"/>
    <w:rsid w:val="00F14764"/>
    <w:rsid w:val="00F14B59"/>
    <w:rsid w:val="00F14C5A"/>
    <w:rsid w:val="00F1531E"/>
    <w:rsid w:val="00F1554B"/>
    <w:rsid w:val="00F15705"/>
    <w:rsid w:val="00F163C6"/>
    <w:rsid w:val="00F163FF"/>
    <w:rsid w:val="00F16658"/>
    <w:rsid w:val="00F16B6A"/>
    <w:rsid w:val="00F16F1E"/>
    <w:rsid w:val="00F1710F"/>
    <w:rsid w:val="00F17A27"/>
    <w:rsid w:val="00F20354"/>
    <w:rsid w:val="00F21013"/>
    <w:rsid w:val="00F21545"/>
    <w:rsid w:val="00F215EC"/>
    <w:rsid w:val="00F21A48"/>
    <w:rsid w:val="00F21F62"/>
    <w:rsid w:val="00F21F97"/>
    <w:rsid w:val="00F22D58"/>
    <w:rsid w:val="00F23747"/>
    <w:rsid w:val="00F23F23"/>
    <w:rsid w:val="00F23FC5"/>
    <w:rsid w:val="00F23FFB"/>
    <w:rsid w:val="00F2510B"/>
    <w:rsid w:val="00F25733"/>
    <w:rsid w:val="00F26C45"/>
    <w:rsid w:val="00F26D21"/>
    <w:rsid w:val="00F26ED1"/>
    <w:rsid w:val="00F27966"/>
    <w:rsid w:val="00F27C3C"/>
    <w:rsid w:val="00F30257"/>
    <w:rsid w:val="00F30F23"/>
    <w:rsid w:val="00F3169A"/>
    <w:rsid w:val="00F322E8"/>
    <w:rsid w:val="00F326DE"/>
    <w:rsid w:val="00F32781"/>
    <w:rsid w:val="00F32BC1"/>
    <w:rsid w:val="00F331CE"/>
    <w:rsid w:val="00F33EF1"/>
    <w:rsid w:val="00F3403C"/>
    <w:rsid w:val="00F3464F"/>
    <w:rsid w:val="00F34D30"/>
    <w:rsid w:val="00F34F64"/>
    <w:rsid w:val="00F3562A"/>
    <w:rsid w:val="00F3599D"/>
    <w:rsid w:val="00F35BF1"/>
    <w:rsid w:val="00F35C39"/>
    <w:rsid w:val="00F35D03"/>
    <w:rsid w:val="00F35DD2"/>
    <w:rsid w:val="00F35E67"/>
    <w:rsid w:val="00F3629F"/>
    <w:rsid w:val="00F3632B"/>
    <w:rsid w:val="00F36C4A"/>
    <w:rsid w:val="00F37196"/>
    <w:rsid w:val="00F37A6A"/>
    <w:rsid w:val="00F40238"/>
    <w:rsid w:val="00F40455"/>
    <w:rsid w:val="00F407CF"/>
    <w:rsid w:val="00F40881"/>
    <w:rsid w:val="00F40EDF"/>
    <w:rsid w:val="00F41591"/>
    <w:rsid w:val="00F42B12"/>
    <w:rsid w:val="00F42D23"/>
    <w:rsid w:val="00F430A1"/>
    <w:rsid w:val="00F44413"/>
    <w:rsid w:val="00F4520B"/>
    <w:rsid w:val="00F4579D"/>
    <w:rsid w:val="00F46024"/>
    <w:rsid w:val="00F4642B"/>
    <w:rsid w:val="00F4677C"/>
    <w:rsid w:val="00F46C6C"/>
    <w:rsid w:val="00F47634"/>
    <w:rsid w:val="00F477E8"/>
    <w:rsid w:val="00F47F62"/>
    <w:rsid w:val="00F508B9"/>
    <w:rsid w:val="00F50D74"/>
    <w:rsid w:val="00F5113D"/>
    <w:rsid w:val="00F51437"/>
    <w:rsid w:val="00F516F7"/>
    <w:rsid w:val="00F51787"/>
    <w:rsid w:val="00F51929"/>
    <w:rsid w:val="00F51C54"/>
    <w:rsid w:val="00F5281F"/>
    <w:rsid w:val="00F53169"/>
    <w:rsid w:val="00F53385"/>
    <w:rsid w:val="00F534F8"/>
    <w:rsid w:val="00F538BD"/>
    <w:rsid w:val="00F53DE9"/>
    <w:rsid w:val="00F54F68"/>
    <w:rsid w:val="00F55044"/>
    <w:rsid w:val="00F55485"/>
    <w:rsid w:val="00F55581"/>
    <w:rsid w:val="00F56130"/>
    <w:rsid w:val="00F563A4"/>
    <w:rsid w:val="00F56B66"/>
    <w:rsid w:val="00F57143"/>
    <w:rsid w:val="00F5742F"/>
    <w:rsid w:val="00F575ED"/>
    <w:rsid w:val="00F577AA"/>
    <w:rsid w:val="00F5781D"/>
    <w:rsid w:val="00F60150"/>
    <w:rsid w:val="00F6039E"/>
    <w:rsid w:val="00F611A5"/>
    <w:rsid w:val="00F614E4"/>
    <w:rsid w:val="00F627BE"/>
    <w:rsid w:val="00F631D7"/>
    <w:rsid w:val="00F63322"/>
    <w:rsid w:val="00F63597"/>
    <w:rsid w:val="00F63A8E"/>
    <w:rsid w:val="00F63B40"/>
    <w:rsid w:val="00F63CA0"/>
    <w:rsid w:val="00F6449B"/>
    <w:rsid w:val="00F64DA3"/>
    <w:rsid w:val="00F65772"/>
    <w:rsid w:val="00F65B7A"/>
    <w:rsid w:val="00F66037"/>
    <w:rsid w:val="00F66D79"/>
    <w:rsid w:val="00F67724"/>
    <w:rsid w:val="00F71550"/>
    <w:rsid w:val="00F71889"/>
    <w:rsid w:val="00F71FA4"/>
    <w:rsid w:val="00F721B2"/>
    <w:rsid w:val="00F7293B"/>
    <w:rsid w:val="00F73863"/>
    <w:rsid w:val="00F73E35"/>
    <w:rsid w:val="00F7412F"/>
    <w:rsid w:val="00F745F1"/>
    <w:rsid w:val="00F76AE9"/>
    <w:rsid w:val="00F76C63"/>
    <w:rsid w:val="00F76F60"/>
    <w:rsid w:val="00F77021"/>
    <w:rsid w:val="00F77686"/>
    <w:rsid w:val="00F77710"/>
    <w:rsid w:val="00F80129"/>
    <w:rsid w:val="00F8039B"/>
    <w:rsid w:val="00F8068B"/>
    <w:rsid w:val="00F80ACA"/>
    <w:rsid w:val="00F80D2F"/>
    <w:rsid w:val="00F81402"/>
    <w:rsid w:val="00F81921"/>
    <w:rsid w:val="00F823E2"/>
    <w:rsid w:val="00F82411"/>
    <w:rsid w:val="00F82EE3"/>
    <w:rsid w:val="00F82EEA"/>
    <w:rsid w:val="00F82F74"/>
    <w:rsid w:val="00F82F8A"/>
    <w:rsid w:val="00F82FCA"/>
    <w:rsid w:val="00F8340D"/>
    <w:rsid w:val="00F83669"/>
    <w:rsid w:val="00F8392D"/>
    <w:rsid w:val="00F83F3C"/>
    <w:rsid w:val="00F845DF"/>
    <w:rsid w:val="00F85557"/>
    <w:rsid w:val="00F86181"/>
    <w:rsid w:val="00F86186"/>
    <w:rsid w:val="00F86352"/>
    <w:rsid w:val="00F8665A"/>
    <w:rsid w:val="00F868D8"/>
    <w:rsid w:val="00F874B3"/>
    <w:rsid w:val="00F87C40"/>
    <w:rsid w:val="00F87D8A"/>
    <w:rsid w:val="00F905E7"/>
    <w:rsid w:val="00F90991"/>
    <w:rsid w:val="00F91267"/>
    <w:rsid w:val="00F91694"/>
    <w:rsid w:val="00F918DA"/>
    <w:rsid w:val="00F91DFF"/>
    <w:rsid w:val="00F91F9E"/>
    <w:rsid w:val="00F921C3"/>
    <w:rsid w:val="00F922C0"/>
    <w:rsid w:val="00F93551"/>
    <w:rsid w:val="00F939C8"/>
    <w:rsid w:val="00F93C26"/>
    <w:rsid w:val="00F9410A"/>
    <w:rsid w:val="00F9513E"/>
    <w:rsid w:val="00F9524A"/>
    <w:rsid w:val="00F9598E"/>
    <w:rsid w:val="00F95E01"/>
    <w:rsid w:val="00F96224"/>
    <w:rsid w:val="00F96629"/>
    <w:rsid w:val="00F97A2E"/>
    <w:rsid w:val="00F97E9C"/>
    <w:rsid w:val="00FA00C9"/>
    <w:rsid w:val="00FA0125"/>
    <w:rsid w:val="00FA0F4F"/>
    <w:rsid w:val="00FA0FEA"/>
    <w:rsid w:val="00FA1EF6"/>
    <w:rsid w:val="00FA2CE6"/>
    <w:rsid w:val="00FA3690"/>
    <w:rsid w:val="00FA3CBD"/>
    <w:rsid w:val="00FA44DB"/>
    <w:rsid w:val="00FA47E1"/>
    <w:rsid w:val="00FA580A"/>
    <w:rsid w:val="00FA58D6"/>
    <w:rsid w:val="00FA5D29"/>
    <w:rsid w:val="00FA5FFE"/>
    <w:rsid w:val="00FA62A3"/>
    <w:rsid w:val="00FA68F5"/>
    <w:rsid w:val="00FA6AF4"/>
    <w:rsid w:val="00FA73CF"/>
    <w:rsid w:val="00FA7644"/>
    <w:rsid w:val="00FA76F3"/>
    <w:rsid w:val="00FA7898"/>
    <w:rsid w:val="00FA7DEF"/>
    <w:rsid w:val="00FB0088"/>
    <w:rsid w:val="00FB03CD"/>
    <w:rsid w:val="00FB0445"/>
    <w:rsid w:val="00FB061C"/>
    <w:rsid w:val="00FB0F27"/>
    <w:rsid w:val="00FB131E"/>
    <w:rsid w:val="00FB189F"/>
    <w:rsid w:val="00FB197F"/>
    <w:rsid w:val="00FB25EE"/>
    <w:rsid w:val="00FB296B"/>
    <w:rsid w:val="00FB3221"/>
    <w:rsid w:val="00FB358E"/>
    <w:rsid w:val="00FB36BC"/>
    <w:rsid w:val="00FB395B"/>
    <w:rsid w:val="00FB415B"/>
    <w:rsid w:val="00FB4215"/>
    <w:rsid w:val="00FB4405"/>
    <w:rsid w:val="00FB4416"/>
    <w:rsid w:val="00FB44C1"/>
    <w:rsid w:val="00FB4698"/>
    <w:rsid w:val="00FB484E"/>
    <w:rsid w:val="00FB4FC9"/>
    <w:rsid w:val="00FB5132"/>
    <w:rsid w:val="00FB5221"/>
    <w:rsid w:val="00FB6816"/>
    <w:rsid w:val="00FB741B"/>
    <w:rsid w:val="00FB76E6"/>
    <w:rsid w:val="00FB7955"/>
    <w:rsid w:val="00FB7F36"/>
    <w:rsid w:val="00FC0050"/>
    <w:rsid w:val="00FC01C8"/>
    <w:rsid w:val="00FC0563"/>
    <w:rsid w:val="00FC05C1"/>
    <w:rsid w:val="00FC05D7"/>
    <w:rsid w:val="00FC1012"/>
    <w:rsid w:val="00FC1F0C"/>
    <w:rsid w:val="00FC22FC"/>
    <w:rsid w:val="00FC2564"/>
    <w:rsid w:val="00FC2ABD"/>
    <w:rsid w:val="00FC373F"/>
    <w:rsid w:val="00FC4787"/>
    <w:rsid w:val="00FC4BF2"/>
    <w:rsid w:val="00FC4C11"/>
    <w:rsid w:val="00FC5EAE"/>
    <w:rsid w:val="00FC6986"/>
    <w:rsid w:val="00FC6D62"/>
    <w:rsid w:val="00FC6E07"/>
    <w:rsid w:val="00FC72E1"/>
    <w:rsid w:val="00FC7A6A"/>
    <w:rsid w:val="00FD07C6"/>
    <w:rsid w:val="00FD0AA1"/>
    <w:rsid w:val="00FD0D3A"/>
    <w:rsid w:val="00FD1788"/>
    <w:rsid w:val="00FD1A1D"/>
    <w:rsid w:val="00FD1F4F"/>
    <w:rsid w:val="00FD20B2"/>
    <w:rsid w:val="00FD2783"/>
    <w:rsid w:val="00FD2EFD"/>
    <w:rsid w:val="00FD36E3"/>
    <w:rsid w:val="00FD3DFD"/>
    <w:rsid w:val="00FD4140"/>
    <w:rsid w:val="00FD5B63"/>
    <w:rsid w:val="00FD6A94"/>
    <w:rsid w:val="00FD6E01"/>
    <w:rsid w:val="00FD6FD9"/>
    <w:rsid w:val="00FE00F4"/>
    <w:rsid w:val="00FE01C6"/>
    <w:rsid w:val="00FE08EF"/>
    <w:rsid w:val="00FE0F64"/>
    <w:rsid w:val="00FE0FCC"/>
    <w:rsid w:val="00FE13F2"/>
    <w:rsid w:val="00FE14BA"/>
    <w:rsid w:val="00FE1A8D"/>
    <w:rsid w:val="00FE1E95"/>
    <w:rsid w:val="00FE2736"/>
    <w:rsid w:val="00FE3245"/>
    <w:rsid w:val="00FE36BE"/>
    <w:rsid w:val="00FE37D4"/>
    <w:rsid w:val="00FE3AC5"/>
    <w:rsid w:val="00FE42D2"/>
    <w:rsid w:val="00FE461E"/>
    <w:rsid w:val="00FE47D2"/>
    <w:rsid w:val="00FE47FD"/>
    <w:rsid w:val="00FE5CAF"/>
    <w:rsid w:val="00FE5EBC"/>
    <w:rsid w:val="00FE6F41"/>
    <w:rsid w:val="00FE7275"/>
    <w:rsid w:val="00FE7540"/>
    <w:rsid w:val="00FE7E54"/>
    <w:rsid w:val="00FF005E"/>
    <w:rsid w:val="00FF0344"/>
    <w:rsid w:val="00FF09A9"/>
    <w:rsid w:val="00FF0ACC"/>
    <w:rsid w:val="00FF1C2A"/>
    <w:rsid w:val="00FF1DC0"/>
    <w:rsid w:val="00FF334F"/>
    <w:rsid w:val="00FF4949"/>
    <w:rsid w:val="00FF4A82"/>
    <w:rsid w:val="00FF5937"/>
    <w:rsid w:val="00FF62CA"/>
    <w:rsid w:val="00FF65E3"/>
    <w:rsid w:val="00FF7E18"/>
    <w:rsid w:val="00FF7E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093586"/>
  <w14:defaultImageDpi w14:val="32767"/>
  <w15:chartTrackingRefBased/>
  <w15:docId w15:val="{8F4EAB41-B47D-4E2D-8F5A-9CC7095D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itle"/>
    <w:qFormat/>
    <w:rsid w:val="004D684A"/>
    <w:rPr>
      <w:rFonts w:ascii="Times New Roman" w:hAnsi="Times New Roman" w:cs="Times New Roman"/>
      <w:lang w:val="en-GB" w:eastAsia="en-GB"/>
    </w:rPr>
  </w:style>
  <w:style w:type="paragraph" w:styleId="Heading1">
    <w:name w:val="heading 1"/>
    <w:basedOn w:val="Normal"/>
    <w:next w:val="Marge"/>
    <w:link w:val="Heading1Char"/>
    <w:qFormat/>
    <w:rsid w:val="000707C3"/>
    <w:pPr>
      <w:keepNext/>
      <w:keepLines/>
      <w:tabs>
        <w:tab w:val="left" w:pos="567"/>
      </w:tabs>
      <w:snapToGrid w:val="0"/>
      <w:spacing w:before="240" w:after="240"/>
      <w:jc w:val="center"/>
      <w:outlineLvl w:val="0"/>
    </w:pPr>
    <w:rPr>
      <w:rFonts w:eastAsia="Times New Roman"/>
      <w:b/>
      <w:bCs/>
      <w:caps/>
      <w:snapToGrid w:val="0"/>
      <w:kern w:val="28"/>
      <w:lang w:eastAsia="en-US"/>
    </w:rPr>
  </w:style>
  <w:style w:type="paragraph" w:styleId="Heading2">
    <w:name w:val="heading 2"/>
    <w:basedOn w:val="Normal"/>
    <w:next w:val="Marge"/>
    <w:link w:val="Heading2Char"/>
    <w:qFormat/>
    <w:rsid w:val="000707C3"/>
    <w:pPr>
      <w:keepNext/>
      <w:keepLines/>
      <w:tabs>
        <w:tab w:val="left" w:pos="567"/>
      </w:tabs>
      <w:snapToGrid w:val="0"/>
      <w:spacing w:before="480" w:after="240"/>
      <w:ind w:left="567" w:hanging="567"/>
      <w:outlineLvl w:val="1"/>
    </w:pPr>
    <w:rPr>
      <w:rFonts w:eastAsia="Times New Roman"/>
      <w:b/>
      <w:bCs/>
      <w:caps/>
      <w:snapToGrid w:val="0"/>
      <w:lang w:eastAsia="en-US"/>
    </w:rPr>
  </w:style>
  <w:style w:type="paragraph" w:styleId="Heading3">
    <w:name w:val="heading 3"/>
    <w:basedOn w:val="Normal"/>
    <w:next w:val="Marge"/>
    <w:link w:val="Heading3Char"/>
    <w:qFormat/>
    <w:rsid w:val="000707C3"/>
    <w:pPr>
      <w:keepNext/>
      <w:keepLines/>
      <w:tabs>
        <w:tab w:val="left" w:pos="567"/>
      </w:tabs>
      <w:snapToGrid w:val="0"/>
      <w:spacing w:after="240"/>
      <w:ind w:left="567" w:hanging="567"/>
      <w:outlineLvl w:val="2"/>
    </w:pPr>
    <w:rPr>
      <w:rFonts w:eastAsia="Times New Roman"/>
      <w:b/>
      <w:bCs/>
      <w:snapToGrid w:val="0"/>
      <w:lang w:eastAsia="en-US"/>
    </w:rPr>
  </w:style>
  <w:style w:type="paragraph" w:styleId="Heading4">
    <w:name w:val="heading 4"/>
    <w:basedOn w:val="Normal"/>
    <w:next w:val="Marge"/>
    <w:link w:val="Heading4Char"/>
    <w:qFormat/>
    <w:rsid w:val="000707C3"/>
    <w:pPr>
      <w:keepNext/>
      <w:keepLines/>
      <w:tabs>
        <w:tab w:val="left" w:pos="567"/>
      </w:tabs>
      <w:snapToGrid w:val="0"/>
      <w:spacing w:after="240"/>
      <w:outlineLvl w:val="3"/>
    </w:pPr>
    <w:rPr>
      <w:rFonts w:eastAsia="Times New Roman"/>
      <w:b/>
      <w:bCs/>
      <w:snapToGrid w:val="0"/>
      <w:lang w:eastAsia="en-US"/>
    </w:rPr>
  </w:style>
  <w:style w:type="paragraph" w:styleId="Heading5">
    <w:name w:val="heading 5"/>
    <w:basedOn w:val="Normal"/>
    <w:next w:val="Normal"/>
    <w:link w:val="Heading5Char"/>
    <w:qFormat/>
    <w:rsid w:val="000707C3"/>
    <w:pPr>
      <w:keepNext/>
      <w:tabs>
        <w:tab w:val="left" w:pos="567"/>
        <w:tab w:val="left" w:pos="3544"/>
        <w:tab w:val="left" w:pos="6237"/>
      </w:tabs>
      <w:suppressAutoHyphens/>
      <w:spacing w:after="240"/>
      <w:ind w:left="851"/>
      <w:jc w:val="both"/>
      <w:outlineLvl w:val="4"/>
    </w:pPr>
    <w:rPr>
      <w:rFonts w:eastAsia="Times New Roman"/>
      <w:b/>
      <w:spacing w:val="-3"/>
      <w:sz w:val="28"/>
      <w:szCs w:val="20"/>
      <w:lang w:val="en-US" w:eastAsia="en-US"/>
    </w:rPr>
  </w:style>
  <w:style w:type="paragraph" w:styleId="Heading6">
    <w:name w:val="heading 6"/>
    <w:basedOn w:val="Normal"/>
    <w:next w:val="Marge"/>
    <w:link w:val="Heading6Char"/>
    <w:qFormat/>
    <w:rsid w:val="000707C3"/>
    <w:pPr>
      <w:keepNext/>
      <w:keepLines/>
      <w:tabs>
        <w:tab w:val="left" w:pos="1134"/>
      </w:tabs>
      <w:snapToGrid w:val="0"/>
      <w:spacing w:after="240"/>
      <w:ind w:left="567"/>
      <w:outlineLvl w:val="5"/>
    </w:pPr>
    <w:rPr>
      <w:rFonts w:eastAsia="Times New Roman"/>
      <w:b/>
      <w:iCs/>
      <w:snapToGrid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autoRedefine/>
    <w:qFormat/>
    <w:rsid w:val="00197174"/>
    <w:pPr>
      <w:keepNext/>
      <w:spacing w:before="200" w:after="120"/>
    </w:pPr>
    <w:rPr>
      <w:rFonts w:ascii="Cambria" w:eastAsiaTheme="minorEastAsia" w:hAnsi="Cambria" w:cs="Calibri"/>
      <w:b/>
      <w:color w:val="4F81BD"/>
      <w:szCs w:val="26"/>
    </w:rPr>
  </w:style>
  <w:style w:type="paragraph" w:customStyle="1" w:styleId="Sansinterligne2">
    <w:name w:val="Sans interligne2"/>
    <w:uiPriority w:val="1"/>
    <w:qFormat/>
    <w:rsid w:val="00B70E76"/>
    <w:rPr>
      <w:rFonts w:ascii="Times New Roman" w:eastAsia="Times New Roman" w:hAnsi="Times New Roman" w:cs="Times New Roman"/>
      <w:lang w:val="fr-FR" w:eastAsia="fr-FR"/>
    </w:rPr>
  </w:style>
  <w:style w:type="table" w:styleId="TableGrid">
    <w:name w:val="Table Grid"/>
    <w:basedOn w:val="TableNormal"/>
    <w:uiPriority w:val="59"/>
    <w:rsid w:val="00B70E76"/>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
    <w:name w:val="(b)"/>
    <w:basedOn w:val="Normal"/>
    <w:rsid w:val="00B70E76"/>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Marge">
    <w:name w:val="Marge"/>
    <w:basedOn w:val="Normal"/>
    <w:link w:val="MargeChar"/>
    <w:rsid w:val="00B70E76"/>
    <w:pPr>
      <w:tabs>
        <w:tab w:val="left" w:pos="567"/>
      </w:tabs>
      <w:snapToGrid w:val="0"/>
      <w:spacing w:after="240"/>
      <w:jc w:val="both"/>
    </w:pPr>
    <w:rPr>
      <w:rFonts w:ascii="Arial" w:hAnsi="Arial"/>
      <w:snapToGrid w:val="0"/>
      <w:sz w:val="22"/>
      <w:lang w:eastAsia="en-US"/>
    </w:rPr>
  </w:style>
  <w:style w:type="character" w:styleId="Hyperlink">
    <w:name w:val="Hyperlink"/>
    <w:uiPriority w:val="99"/>
    <w:rsid w:val="00B70E76"/>
    <w:rPr>
      <w:color w:val="0000FF"/>
      <w:u w:val="single"/>
    </w:rPr>
  </w:style>
  <w:style w:type="paragraph" w:customStyle="1" w:styleId="alina">
    <w:name w:val="alinéa"/>
    <w:basedOn w:val="Normal"/>
    <w:rsid w:val="00B70E76"/>
    <w:pPr>
      <w:tabs>
        <w:tab w:val="left" w:pos="567"/>
      </w:tabs>
      <w:spacing w:after="240"/>
      <w:ind w:left="567"/>
      <w:jc w:val="both"/>
    </w:pPr>
    <w:rPr>
      <w:rFonts w:ascii="Arial" w:hAnsi="Arial" w:cs="Arial"/>
      <w:sz w:val="22"/>
      <w:szCs w:val="22"/>
      <w:lang w:eastAsia="en-US"/>
    </w:rPr>
  </w:style>
  <w:style w:type="paragraph" w:customStyle="1" w:styleId="Orateurengris">
    <w:name w:val="Orateur en grisé"/>
    <w:basedOn w:val="Marge"/>
    <w:qFormat/>
    <w:rsid w:val="00B70E76"/>
    <w:pPr>
      <w:numPr>
        <w:numId w:val="1"/>
      </w:numPr>
      <w:tabs>
        <w:tab w:val="clear" w:pos="567"/>
        <w:tab w:val="left" w:pos="709"/>
        <w:tab w:val="left" w:pos="1418"/>
        <w:tab w:val="left" w:pos="2126"/>
        <w:tab w:val="left" w:pos="2835"/>
      </w:tabs>
      <w:spacing w:after="120"/>
    </w:pPr>
    <w:rPr>
      <w:rFonts w:cs="Arial"/>
      <w:szCs w:val="22"/>
    </w:rPr>
  </w:style>
  <w:style w:type="character" w:customStyle="1" w:styleId="MargeChar">
    <w:name w:val="Marge Char"/>
    <w:link w:val="Marge"/>
    <w:rsid w:val="00B70E76"/>
    <w:rPr>
      <w:rFonts w:ascii="Arial" w:eastAsia="Times New Roman" w:hAnsi="Arial" w:cs="Times New Roman"/>
      <w:snapToGrid w:val="0"/>
      <w:sz w:val="22"/>
      <w:lang w:val="fr-FR"/>
    </w:rPr>
  </w:style>
  <w:style w:type="paragraph" w:customStyle="1" w:styleId="BODYTEXT">
    <w:name w:val="¬BODY TEXT"/>
    <w:basedOn w:val="Orateurengris"/>
    <w:link w:val="BODYTEXTChar"/>
    <w:qFormat/>
    <w:rsid w:val="00B70E76"/>
    <w:pPr>
      <w:numPr>
        <w:numId w:val="2"/>
      </w:numPr>
      <w:spacing w:before="240"/>
    </w:pPr>
    <w:rPr>
      <w:rFonts w:eastAsia="Calibri"/>
      <w:snapToGrid/>
      <w:color w:val="000000"/>
      <w:lang w:eastAsia="fr-FR"/>
    </w:rPr>
  </w:style>
  <w:style w:type="character" w:customStyle="1" w:styleId="BODYTEXTChar">
    <w:name w:val="¬BODY TEXT Char"/>
    <w:link w:val="BODYTEXT"/>
    <w:rsid w:val="00B70E76"/>
    <w:rPr>
      <w:rFonts w:ascii="Arial" w:eastAsia="Calibri" w:hAnsi="Arial" w:cs="Arial"/>
      <w:color w:val="000000"/>
      <w:sz w:val="22"/>
      <w:szCs w:val="22"/>
      <w:lang w:val="en-GB" w:eastAsia="fr-FR"/>
    </w:rPr>
  </w:style>
  <w:style w:type="paragraph" w:customStyle="1" w:styleId="Remarks">
    <w:name w:val="Remarks"/>
    <w:basedOn w:val="Header"/>
    <w:link w:val="RemarksChar"/>
    <w:qFormat/>
    <w:rsid w:val="00D34023"/>
    <w:pPr>
      <w:tabs>
        <w:tab w:val="clear" w:pos="4513"/>
        <w:tab w:val="clear" w:pos="9026"/>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D34023"/>
    <w:rPr>
      <w:rFonts w:ascii="Arial" w:eastAsia="Times" w:hAnsi="Arial" w:cs="Arial"/>
      <w:bCs/>
      <w:sz w:val="28"/>
      <w:szCs w:val="28"/>
      <w:lang w:val="en-GB"/>
    </w:rPr>
  </w:style>
  <w:style w:type="paragraph" w:styleId="Header">
    <w:name w:val="header"/>
    <w:basedOn w:val="Normal"/>
    <w:link w:val="HeaderChar"/>
    <w:uiPriority w:val="99"/>
    <w:unhideWhenUsed/>
    <w:rsid w:val="00D34023"/>
    <w:pPr>
      <w:tabs>
        <w:tab w:val="center" w:pos="4513"/>
        <w:tab w:val="right" w:pos="9026"/>
      </w:tabs>
    </w:pPr>
  </w:style>
  <w:style w:type="character" w:customStyle="1" w:styleId="HeaderChar">
    <w:name w:val="Header Char"/>
    <w:basedOn w:val="DefaultParagraphFont"/>
    <w:link w:val="Header"/>
    <w:uiPriority w:val="99"/>
    <w:rsid w:val="00D34023"/>
    <w:rPr>
      <w:rFonts w:ascii="Times New Roman" w:eastAsia="Times New Roman" w:hAnsi="Times New Roman" w:cs="Times New Roman"/>
      <w:lang w:val="fr-FR" w:eastAsia="fr-FR"/>
    </w:rPr>
  </w:style>
  <w:style w:type="paragraph" w:styleId="ListParagraph">
    <w:name w:val="List Paragraph"/>
    <w:basedOn w:val="Normal"/>
    <w:uiPriority w:val="34"/>
    <w:qFormat/>
    <w:rsid w:val="00986E21"/>
    <w:pPr>
      <w:ind w:left="720"/>
      <w:contextualSpacing/>
    </w:pPr>
  </w:style>
  <w:style w:type="paragraph" w:customStyle="1" w:styleId="Bullet1">
    <w:name w:val="Bullet_1"/>
    <w:basedOn w:val="Marge"/>
    <w:link w:val="Bullet1Char"/>
    <w:qFormat/>
    <w:rsid w:val="002C0E57"/>
    <w:pPr>
      <w:numPr>
        <w:numId w:val="3"/>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2C0E57"/>
    <w:pPr>
      <w:numPr>
        <w:ilvl w:val="1"/>
        <w:numId w:val="3"/>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2C0E57"/>
    <w:rPr>
      <w:rFonts w:ascii="Arial" w:eastAsia="SimSun" w:hAnsi="Arial" w:cs="Arial"/>
      <w:snapToGrid w:val="0"/>
      <w:sz w:val="28"/>
      <w:szCs w:val="28"/>
      <w:lang w:val="en-GB" w:eastAsia="zh-CN"/>
    </w:rPr>
  </w:style>
  <w:style w:type="character" w:customStyle="1" w:styleId="Bullet2Char">
    <w:name w:val="Bullet_2 Char"/>
    <w:link w:val="Bullet2"/>
    <w:rsid w:val="004C5C19"/>
    <w:rPr>
      <w:rFonts w:ascii="Arial" w:eastAsia="SimSun" w:hAnsi="Arial" w:cs="Arial"/>
      <w:snapToGrid w:val="0"/>
      <w:sz w:val="28"/>
      <w:szCs w:val="28"/>
      <w:lang w:val="en-GB" w:eastAsia="zh-CN"/>
    </w:rPr>
  </w:style>
  <w:style w:type="paragraph" w:styleId="FootnoteText">
    <w:name w:val="footnote text"/>
    <w:basedOn w:val="Normal"/>
    <w:link w:val="FootnoteTextChar"/>
    <w:uiPriority w:val="99"/>
    <w:unhideWhenUsed/>
    <w:rsid w:val="00DF4B40"/>
  </w:style>
  <w:style w:type="character" w:customStyle="1" w:styleId="FootnoteTextChar">
    <w:name w:val="Footnote Text Char"/>
    <w:basedOn w:val="DefaultParagraphFont"/>
    <w:link w:val="FootnoteText"/>
    <w:uiPriority w:val="99"/>
    <w:rsid w:val="00DF4B40"/>
    <w:rPr>
      <w:rFonts w:ascii="Times New Roman" w:eastAsia="Times New Roman" w:hAnsi="Times New Roman" w:cs="Times New Roman"/>
      <w:lang w:val="fr-FR" w:eastAsia="fr-FR"/>
    </w:rPr>
  </w:style>
  <w:style w:type="character" w:styleId="FootnoteReference">
    <w:name w:val="footnote reference"/>
    <w:basedOn w:val="DefaultParagraphFont"/>
    <w:uiPriority w:val="99"/>
    <w:unhideWhenUsed/>
    <w:rsid w:val="00DF4B40"/>
    <w:rPr>
      <w:vertAlign w:val="superscript"/>
    </w:rPr>
  </w:style>
  <w:style w:type="character" w:customStyle="1" w:styleId="hps">
    <w:name w:val="hps"/>
    <w:rsid w:val="009A3586"/>
  </w:style>
  <w:style w:type="paragraph" w:styleId="NoSpacing">
    <w:name w:val="No Spacing"/>
    <w:uiPriority w:val="1"/>
    <w:rsid w:val="00AF4CD2"/>
    <w:rPr>
      <w:rFonts w:ascii="Times New Roman" w:eastAsia="SimSun" w:hAnsi="Times New Roman" w:cs="Times New Roman"/>
      <w:lang w:val="en-GB" w:eastAsia="fr-FR"/>
    </w:rPr>
  </w:style>
  <w:style w:type="paragraph" w:customStyle="1" w:styleId="COMPreambulaDecisions">
    <w:name w:val="COM Preambula Decisions"/>
    <w:basedOn w:val="Normal"/>
    <w:qFormat/>
    <w:rsid w:val="00E71A83"/>
    <w:pPr>
      <w:keepNext/>
      <w:spacing w:after="120"/>
      <w:ind w:left="567"/>
      <w:jc w:val="both"/>
    </w:pPr>
    <w:rPr>
      <w:rFonts w:ascii="Arial" w:hAnsi="Arial" w:cs="Arial"/>
      <w:sz w:val="22"/>
      <w:szCs w:val="22"/>
    </w:rPr>
  </w:style>
  <w:style w:type="paragraph" w:customStyle="1" w:styleId="TIRETbul1cm">
    <w:name w:val="TIRET bul 1cm"/>
    <w:basedOn w:val="Normal"/>
    <w:rsid w:val="00F8039B"/>
    <w:pPr>
      <w:numPr>
        <w:numId w:val="4"/>
      </w:numPr>
      <w:adjustRightInd w:val="0"/>
      <w:snapToGrid w:val="0"/>
      <w:spacing w:after="240"/>
      <w:jc w:val="both"/>
    </w:pPr>
    <w:rPr>
      <w:snapToGrid w:val="0"/>
      <w:lang w:eastAsia="en-US"/>
    </w:rPr>
  </w:style>
  <w:style w:type="paragraph" w:customStyle="1" w:styleId="Marge2">
    <w:name w:val="Marge 2"/>
    <w:basedOn w:val="Marge"/>
    <w:link w:val="Marge2Car"/>
    <w:qFormat/>
    <w:rsid w:val="00F8039B"/>
    <w:pPr>
      <w:widowControl w:val="0"/>
      <w:spacing w:after="0"/>
    </w:pPr>
    <w:rPr>
      <w:iCs/>
    </w:rPr>
  </w:style>
  <w:style w:type="character" w:customStyle="1" w:styleId="Marge2Car">
    <w:name w:val="Marge 2 Car"/>
    <w:basedOn w:val="DefaultParagraphFont"/>
    <w:link w:val="Marge2"/>
    <w:rsid w:val="00F8039B"/>
    <w:rPr>
      <w:rFonts w:ascii="Arial" w:eastAsia="Times New Roman" w:hAnsi="Arial" w:cs="Times New Roman"/>
      <w:iCs/>
      <w:snapToGrid w:val="0"/>
      <w:sz w:val="22"/>
      <w:lang w:val="fr-FR"/>
    </w:rPr>
  </w:style>
  <w:style w:type="character" w:styleId="FollowedHyperlink">
    <w:name w:val="FollowedHyperlink"/>
    <w:basedOn w:val="DefaultParagraphFont"/>
    <w:semiHidden/>
    <w:unhideWhenUsed/>
    <w:rsid w:val="00386C76"/>
    <w:rPr>
      <w:color w:val="954F72" w:themeColor="followedHyperlink"/>
      <w:u w:val="single"/>
    </w:rPr>
  </w:style>
  <w:style w:type="paragraph" w:styleId="Footer">
    <w:name w:val="footer"/>
    <w:basedOn w:val="Normal"/>
    <w:link w:val="FooterChar"/>
    <w:unhideWhenUsed/>
    <w:rsid w:val="000A39B8"/>
    <w:pPr>
      <w:tabs>
        <w:tab w:val="center" w:pos="4819"/>
        <w:tab w:val="right" w:pos="9638"/>
      </w:tabs>
    </w:pPr>
  </w:style>
  <w:style w:type="character" w:customStyle="1" w:styleId="FooterChar">
    <w:name w:val="Footer Char"/>
    <w:basedOn w:val="DefaultParagraphFont"/>
    <w:link w:val="Footer"/>
    <w:rsid w:val="000A39B8"/>
    <w:rPr>
      <w:rFonts w:ascii="Times New Roman" w:eastAsia="Times New Roman" w:hAnsi="Times New Roman" w:cs="Times New Roman"/>
      <w:lang w:val="fr-FR" w:eastAsia="fr-FR"/>
    </w:rPr>
  </w:style>
  <w:style w:type="paragraph" w:customStyle="1" w:styleId="p1">
    <w:name w:val="p1"/>
    <w:basedOn w:val="Normal"/>
    <w:rsid w:val="00662792"/>
    <w:rPr>
      <w:rFonts w:ascii="Helvetica Neue" w:hAnsi="Helvetica Neue"/>
      <w:color w:val="454545"/>
      <w:sz w:val="18"/>
      <w:szCs w:val="18"/>
    </w:rPr>
  </w:style>
  <w:style w:type="character" w:customStyle="1" w:styleId="apple-converted-space">
    <w:name w:val="apple-converted-space"/>
    <w:basedOn w:val="DefaultParagraphFont"/>
    <w:rsid w:val="00925FF2"/>
  </w:style>
  <w:style w:type="character" w:styleId="Emphasis">
    <w:name w:val="Emphasis"/>
    <w:basedOn w:val="DefaultParagraphFont"/>
    <w:uiPriority w:val="20"/>
    <w:qFormat/>
    <w:rsid w:val="00925FF2"/>
    <w:rPr>
      <w:i/>
      <w:iCs/>
    </w:rPr>
  </w:style>
  <w:style w:type="paragraph" w:styleId="BalloonText">
    <w:name w:val="Balloon Text"/>
    <w:basedOn w:val="Normal"/>
    <w:link w:val="BalloonTextChar"/>
    <w:unhideWhenUsed/>
    <w:rsid w:val="00C31CC2"/>
    <w:rPr>
      <w:rFonts w:ascii="Segoe UI" w:hAnsi="Segoe UI" w:cs="Segoe UI"/>
      <w:sz w:val="18"/>
      <w:szCs w:val="18"/>
    </w:rPr>
  </w:style>
  <w:style w:type="character" w:customStyle="1" w:styleId="BalloonTextChar">
    <w:name w:val="Balloon Text Char"/>
    <w:basedOn w:val="DefaultParagraphFont"/>
    <w:link w:val="BalloonText"/>
    <w:rsid w:val="00C31CC2"/>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097ED3"/>
    <w:rPr>
      <w:sz w:val="16"/>
      <w:szCs w:val="16"/>
    </w:rPr>
  </w:style>
  <w:style w:type="paragraph" w:styleId="CommentText">
    <w:name w:val="annotation text"/>
    <w:basedOn w:val="Normal"/>
    <w:link w:val="CommentTextChar"/>
    <w:uiPriority w:val="99"/>
    <w:semiHidden/>
    <w:unhideWhenUsed/>
    <w:rsid w:val="00097ED3"/>
    <w:rPr>
      <w:sz w:val="20"/>
      <w:szCs w:val="20"/>
    </w:rPr>
  </w:style>
  <w:style w:type="character" w:customStyle="1" w:styleId="CommentTextChar">
    <w:name w:val="Comment Text Char"/>
    <w:basedOn w:val="DefaultParagraphFont"/>
    <w:link w:val="CommentText"/>
    <w:uiPriority w:val="99"/>
    <w:semiHidden/>
    <w:rsid w:val="00097ED3"/>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97ED3"/>
    <w:rPr>
      <w:b/>
      <w:bCs/>
    </w:rPr>
  </w:style>
  <w:style w:type="character" w:customStyle="1" w:styleId="CommentSubjectChar">
    <w:name w:val="Comment Subject Char"/>
    <w:basedOn w:val="CommentTextChar"/>
    <w:link w:val="CommentSubject"/>
    <w:uiPriority w:val="99"/>
    <w:semiHidden/>
    <w:rsid w:val="00097ED3"/>
    <w:rPr>
      <w:rFonts w:ascii="Times New Roman" w:hAnsi="Times New Roman" w:cs="Times New Roman"/>
      <w:b/>
      <w:bCs/>
      <w:sz w:val="20"/>
      <w:szCs w:val="20"/>
      <w:lang w:val="en-GB" w:eastAsia="en-GB"/>
    </w:rPr>
  </w:style>
  <w:style w:type="paragraph" w:styleId="Revision">
    <w:name w:val="Revision"/>
    <w:hidden/>
    <w:uiPriority w:val="99"/>
    <w:semiHidden/>
    <w:rsid w:val="009A39FB"/>
    <w:rPr>
      <w:rFonts w:ascii="Times New Roman" w:hAnsi="Times New Roman" w:cs="Times New Roman"/>
      <w:lang w:val="en-GB" w:eastAsia="en-GB"/>
    </w:rPr>
  </w:style>
  <w:style w:type="character" w:customStyle="1" w:styleId="Heading1Char">
    <w:name w:val="Heading 1 Char"/>
    <w:basedOn w:val="DefaultParagraphFont"/>
    <w:link w:val="Heading1"/>
    <w:rsid w:val="000707C3"/>
    <w:rPr>
      <w:rFonts w:ascii="Times New Roman" w:eastAsia="Times New Roman" w:hAnsi="Times New Roman" w:cs="Times New Roman"/>
      <w:b/>
      <w:bCs/>
      <w:caps/>
      <w:snapToGrid w:val="0"/>
      <w:kern w:val="28"/>
      <w:lang w:val="en-GB"/>
    </w:rPr>
  </w:style>
  <w:style w:type="character" w:customStyle="1" w:styleId="Heading2Char">
    <w:name w:val="Heading 2 Char"/>
    <w:basedOn w:val="DefaultParagraphFont"/>
    <w:link w:val="Heading2"/>
    <w:rsid w:val="000707C3"/>
    <w:rPr>
      <w:rFonts w:ascii="Times New Roman" w:eastAsia="Times New Roman" w:hAnsi="Times New Roman" w:cs="Times New Roman"/>
      <w:b/>
      <w:bCs/>
      <w:caps/>
      <w:snapToGrid w:val="0"/>
      <w:lang w:val="en-GB"/>
    </w:rPr>
  </w:style>
  <w:style w:type="character" w:customStyle="1" w:styleId="Heading3Char">
    <w:name w:val="Heading 3 Char"/>
    <w:basedOn w:val="DefaultParagraphFont"/>
    <w:link w:val="Heading3"/>
    <w:rsid w:val="000707C3"/>
    <w:rPr>
      <w:rFonts w:ascii="Times New Roman" w:eastAsia="Times New Roman" w:hAnsi="Times New Roman" w:cs="Times New Roman"/>
      <w:b/>
      <w:bCs/>
      <w:snapToGrid w:val="0"/>
      <w:lang w:val="en-GB"/>
    </w:rPr>
  </w:style>
  <w:style w:type="character" w:customStyle="1" w:styleId="Heading4Char">
    <w:name w:val="Heading 4 Char"/>
    <w:basedOn w:val="DefaultParagraphFont"/>
    <w:link w:val="Heading4"/>
    <w:rsid w:val="000707C3"/>
    <w:rPr>
      <w:rFonts w:ascii="Times New Roman" w:eastAsia="Times New Roman" w:hAnsi="Times New Roman" w:cs="Times New Roman"/>
      <w:b/>
      <w:bCs/>
      <w:snapToGrid w:val="0"/>
      <w:lang w:val="en-GB"/>
    </w:rPr>
  </w:style>
  <w:style w:type="character" w:customStyle="1" w:styleId="Heading5Char">
    <w:name w:val="Heading 5 Char"/>
    <w:basedOn w:val="DefaultParagraphFont"/>
    <w:link w:val="Heading5"/>
    <w:rsid w:val="000707C3"/>
    <w:rPr>
      <w:rFonts w:ascii="Times New Roman" w:eastAsia="Times New Roman" w:hAnsi="Times New Roman" w:cs="Times New Roman"/>
      <w:b/>
      <w:spacing w:val="-3"/>
      <w:sz w:val="28"/>
      <w:szCs w:val="20"/>
    </w:rPr>
  </w:style>
  <w:style w:type="character" w:customStyle="1" w:styleId="Heading6Char">
    <w:name w:val="Heading 6 Char"/>
    <w:basedOn w:val="DefaultParagraphFont"/>
    <w:link w:val="Heading6"/>
    <w:rsid w:val="000707C3"/>
    <w:rPr>
      <w:rFonts w:ascii="Times New Roman" w:eastAsia="Times New Roman" w:hAnsi="Times New Roman" w:cs="Times New Roman"/>
      <w:b/>
      <w:iCs/>
      <w:snapToGrid w:val="0"/>
      <w:szCs w:val="22"/>
      <w:lang w:val="en-GB"/>
    </w:rPr>
  </w:style>
  <w:style w:type="paragraph" w:customStyle="1" w:styleId="a">
    <w:name w:val="(a)"/>
    <w:basedOn w:val="Normal"/>
    <w:rsid w:val="000707C3"/>
    <w:pPr>
      <w:tabs>
        <w:tab w:val="left" w:pos="-737"/>
        <w:tab w:val="left" w:pos="567"/>
      </w:tabs>
      <w:snapToGrid w:val="0"/>
      <w:spacing w:after="240"/>
      <w:ind w:left="567" w:hanging="567"/>
      <w:jc w:val="both"/>
    </w:pPr>
    <w:rPr>
      <w:rFonts w:eastAsia="Times New Roman"/>
      <w:snapToGrid w:val="0"/>
      <w:lang w:val="fr-FR" w:eastAsia="en-US"/>
    </w:rPr>
  </w:style>
  <w:style w:type="character" w:styleId="PageNumber">
    <w:name w:val="page number"/>
    <w:basedOn w:val="DefaultParagraphFont"/>
    <w:rsid w:val="000707C3"/>
  </w:style>
  <w:style w:type="paragraph" w:customStyle="1" w:styleId="Par">
    <w:name w:val="Par"/>
    <w:basedOn w:val="Normal"/>
    <w:rsid w:val="000707C3"/>
    <w:pPr>
      <w:tabs>
        <w:tab w:val="left" w:pos="567"/>
      </w:tabs>
      <w:snapToGrid w:val="0"/>
      <w:spacing w:after="240"/>
      <w:ind w:firstLine="567"/>
      <w:jc w:val="both"/>
    </w:pPr>
    <w:rPr>
      <w:rFonts w:eastAsia="Times New Roman"/>
      <w:snapToGrid w:val="0"/>
      <w:lang w:eastAsia="en-US"/>
    </w:rPr>
  </w:style>
  <w:style w:type="paragraph" w:customStyle="1" w:styleId="c">
    <w:name w:val="(c)"/>
    <w:basedOn w:val="Normal"/>
    <w:rsid w:val="000707C3"/>
    <w:pPr>
      <w:tabs>
        <w:tab w:val="left" w:pos="1701"/>
      </w:tabs>
      <w:snapToGrid w:val="0"/>
      <w:spacing w:after="240"/>
      <w:ind w:left="1701" w:hanging="567"/>
      <w:jc w:val="both"/>
    </w:pPr>
    <w:rPr>
      <w:rFonts w:eastAsia="Times New Roman"/>
      <w:snapToGrid w:val="0"/>
      <w:lang w:eastAsia="en-US"/>
    </w:rPr>
  </w:style>
  <w:style w:type="paragraph" w:styleId="NormalWeb">
    <w:name w:val="Normal (Web)"/>
    <w:basedOn w:val="Normal"/>
    <w:uiPriority w:val="99"/>
    <w:unhideWhenUsed/>
    <w:rsid w:val="000707C3"/>
    <w:pPr>
      <w:spacing w:before="100" w:beforeAutospacing="1" w:after="100" w:afterAutospacing="1"/>
    </w:pPr>
    <w:rPr>
      <w:rFonts w:eastAsia="Times New Roman"/>
      <w:lang w:val="fr-FR" w:eastAsia="fr-FR"/>
    </w:rPr>
  </w:style>
  <w:style w:type="paragraph" w:customStyle="1" w:styleId="Sansinterligne1">
    <w:name w:val="Sans interligne1"/>
    <w:uiPriority w:val="1"/>
    <w:qFormat/>
    <w:rsid w:val="000707C3"/>
    <w:rPr>
      <w:rFonts w:ascii="Times New Roman" w:eastAsia="Times New Roman" w:hAnsi="Times New Roman" w:cs="Times New Roman"/>
      <w:lang w:val="fr-FR" w:eastAsia="fr-FR"/>
    </w:rPr>
  </w:style>
  <w:style w:type="character" w:customStyle="1" w:styleId="UnresolvedMention1">
    <w:name w:val="Unresolved Mention1"/>
    <w:basedOn w:val="DefaultParagraphFont"/>
    <w:uiPriority w:val="99"/>
    <w:semiHidden/>
    <w:unhideWhenUsed/>
    <w:rsid w:val="000707C3"/>
    <w:rPr>
      <w:color w:val="808080"/>
      <w:shd w:val="clear" w:color="auto" w:fill="E6E6E6"/>
    </w:rPr>
  </w:style>
  <w:style w:type="character" w:styleId="LineNumber">
    <w:name w:val="line number"/>
    <w:basedOn w:val="DefaultParagraphFont"/>
    <w:uiPriority w:val="99"/>
    <w:rsid w:val="000707C3"/>
  </w:style>
  <w:style w:type="character" w:customStyle="1" w:styleId="st">
    <w:name w:val="st"/>
    <w:basedOn w:val="DefaultParagraphFont"/>
    <w:rsid w:val="000707C3"/>
  </w:style>
  <w:style w:type="character" w:customStyle="1" w:styleId="algo-summary">
    <w:name w:val="algo-summary"/>
    <w:basedOn w:val="DefaultParagraphFont"/>
    <w:rsid w:val="000707C3"/>
  </w:style>
  <w:style w:type="paragraph" w:customStyle="1" w:styleId="Titre0">
    <w:name w:val="Titre 0"/>
    <w:basedOn w:val="Marge"/>
    <w:next w:val="Marge2"/>
    <w:link w:val="Titre0Car"/>
    <w:qFormat/>
    <w:rsid w:val="000707C3"/>
    <w:pPr>
      <w:keepNext/>
      <w:keepLines/>
      <w:widowControl w:val="0"/>
      <w:spacing w:after="0"/>
    </w:pPr>
    <w:rPr>
      <w:rFonts w:eastAsia="Times New Roman"/>
      <w:b/>
      <w:lang w:val="fr-FR"/>
    </w:rPr>
  </w:style>
  <w:style w:type="character" w:customStyle="1" w:styleId="Titre0Car">
    <w:name w:val="Titre 0 Car"/>
    <w:basedOn w:val="DefaultParagraphFont"/>
    <w:link w:val="Titre0"/>
    <w:rsid w:val="000707C3"/>
    <w:rPr>
      <w:rFonts w:ascii="Arial" w:eastAsia="Times New Roman" w:hAnsi="Arial" w:cs="Times New Roman"/>
      <w:b/>
      <w:snapToGrid w:val="0"/>
      <w:sz w:val="22"/>
      <w:lang w:val="fr-FR"/>
    </w:rPr>
  </w:style>
  <w:style w:type="numbering" w:customStyle="1" w:styleId="NoList1">
    <w:name w:val="No List1"/>
    <w:next w:val="NoList"/>
    <w:uiPriority w:val="99"/>
    <w:semiHidden/>
    <w:unhideWhenUsed/>
    <w:rsid w:val="000707C3"/>
  </w:style>
  <w:style w:type="paragraph" w:styleId="ListBullet">
    <w:name w:val="List Bullet"/>
    <w:basedOn w:val="Normal"/>
    <w:uiPriority w:val="99"/>
    <w:unhideWhenUsed/>
    <w:rsid w:val="000707C3"/>
    <w:pPr>
      <w:numPr>
        <w:numId w:val="5"/>
      </w:numPr>
      <w:tabs>
        <w:tab w:val="clear" w:pos="360"/>
        <w:tab w:val="num" w:pos="644"/>
      </w:tabs>
      <w:spacing w:after="160" w:line="259" w:lineRule="auto"/>
      <w:ind w:left="284" w:firstLine="0"/>
      <w:contextualSpacing/>
    </w:pPr>
    <w:rPr>
      <w:rFonts w:ascii="Calibri" w:eastAsia="Calibri" w:hAnsi="Calibri" w:cs="Arial"/>
      <w:sz w:val="22"/>
      <w:szCs w:val="22"/>
      <w:lang w:val="en-US" w:eastAsia="en-US"/>
    </w:rPr>
  </w:style>
  <w:style w:type="paragraph" w:styleId="BodyText0">
    <w:name w:val="Body Text"/>
    <w:basedOn w:val="Normal"/>
    <w:link w:val="BodyTextChar0"/>
    <w:uiPriority w:val="99"/>
    <w:unhideWhenUsed/>
    <w:rsid w:val="000707C3"/>
    <w:pPr>
      <w:spacing w:after="160" w:line="259" w:lineRule="auto"/>
      <w:jc w:val="both"/>
    </w:pPr>
    <w:rPr>
      <w:rFonts w:ascii="Arial" w:eastAsia="Calibri" w:hAnsi="Arial" w:cs="Arial"/>
      <w:sz w:val="22"/>
      <w:szCs w:val="22"/>
      <w:lang w:eastAsia="en-US"/>
    </w:rPr>
  </w:style>
  <w:style w:type="character" w:customStyle="1" w:styleId="BodyTextChar0">
    <w:name w:val="Body Text Char"/>
    <w:basedOn w:val="DefaultParagraphFont"/>
    <w:link w:val="BodyText0"/>
    <w:uiPriority w:val="99"/>
    <w:rsid w:val="000707C3"/>
    <w:rPr>
      <w:rFonts w:ascii="Arial" w:eastAsia="Calibri" w:hAnsi="Arial" w:cs="Arial"/>
      <w:sz w:val="22"/>
      <w:szCs w:val="22"/>
      <w:lang w:val="en-GB"/>
    </w:rPr>
  </w:style>
  <w:style w:type="paragraph" w:customStyle="1" w:styleId="formtext">
    <w:name w:val="formtext"/>
    <w:basedOn w:val="Normal"/>
    <w:rsid w:val="000707C3"/>
    <w:pPr>
      <w:spacing w:before="80" w:after="80" w:line="240" w:lineRule="exact"/>
    </w:pPr>
    <w:rPr>
      <w:rFonts w:ascii="Arial" w:eastAsia="SimSun" w:hAnsi="Arial"/>
      <w:sz w:val="22"/>
      <w:szCs w:val="22"/>
      <w:lang w:val="en-US" w:eastAsia="fr-FR"/>
    </w:rPr>
  </w:style>
  <w:style w:type="numbering" w:customStyle="1" w:styleId="NoList2">
    <w:name w:val="No List2"/>
    <w:next w:val="NoList"/>
    <w:uiPriority w:val="99"/>
    <w:semiHidden/>
    <w:unhideWhenUsed/>
    <w:rsid w:val="000707C3"/>
  </w:style>
  <w:style w:type="paragraph" w:styleId="DocumentMap">
    <w:name w:val="Document Map"/>
    <w:basedOn w:val="Normal"/>
    <w:link w:val="DocumentMapChar"/>
    <w:uiPriority w:val="99"/>
    <w:semiHidden/>
    <w:unhideWhenUsed/>
    <w:rsid w:val="000707C3"/>
  </w:style>
  <w:style w:type="character" w:customStyle="1" w:styleId="DocumentMapChar">
    <w:name w:val="Document Map Char"/>
    <w:basedOn w:val="DefaultParagraphFont"/>
    <w:link w:val="DocumentMap"/>
    <w:uiPriority w:val="99"/>
    <w:semiHidden/>
    <w:rsid w:val="000707C3"/>
    <w:rPr>
      <w:rFonts w:ascii="Times New Roman" w:hAnsi="Times New Roman" w:cs="Times New Roman"/>
      <w:lang w:val="en-GB" w:eastAsia="en-GB"/>
    </w:rPr>
  </w:style>
  <w:style w:type="paragraph" w:customStyle="1" w:styleId="Rougecentr">
    <w:name w:val="Rouge centré"/>
    <w:basedOn w:val="Normal"/>
    <w:link w:val="RougecentrChar"/>
    <w:rsid w:val="00940BFE"/>
    <w:pPr>
      <w:spacing w:before="240" w:after="240" w:line="360" w:lineRule="auto"/>
      <w:jc w:val="center"/>
    </w:pPr>
    <w:rPr>
      <w:rFonts w:ascii="Arial" w:eastAsia="SimSun" w:hAnsi="Arial" w:cs="Arial"/>
      <w:i/>
      <w:color w:val="FF0000"/>
      <w:lang w:eastAsia="fr-FR"/>
    </w:rPr>
  </w:style>
  <w:style w:type="character" w:customStyle="1" w:styleId="RougecentrChar">
    <w:name w:val="Rouge centré Char"/>
    <w:link w:val="Rougecentr"/>
    <w:rsid w:val="00940BFE"/>
    <w:rPr>
      <w:rFonts w:ascii="Arial" w:eastAsia="SimSun" w:hAnsi="Arial" w:cs="Arial"/>
      <w:i/>
      <w:color w:val="FF0000"/>
      <w:lang w:val="en-GB" w:eastAsia="fr-FR"/>
    </w:rPr>
  </w:style>
  <w:style w:type="paragraph" w:customStyle="1" w:styleId="Agendaitem">
    <w:name w:val="Agenda_item"/>
    <w:basedOn w:val="BodyText3"/>
    <w:link w:val="AgendaitemChar"/>
    <w:qFormat/>
    <w:rsid w:val="00A43503"/>
    <w:pPr>
      <w:keepNext/>
      <w:adjustRightInd w:val="0"/>
      <w:spacing w:before="240" w:after="240" w:line="360" w:lineRule="auto"/>
      <w:jc w:val="both"/>
    </w:pPr>
    <w:rPr>
      <w:rFonts w:ascii="Arial" w:eastAsia="SimSun" w:hAnsi="Arial" w:cs="Arial"/>
      <w:b/>
      <w:iCs/>
      <w:color w:val="000000"/>
      <w:sz w:val="32"/>
      <w:szCs w:val="32"/>
      <w:u w:val="single"/>
      <w:lang w:eastAsia="en-US"/>
    </w:rPr>
  </w:style>
  <w:style w:type="character" w:customStyle="1" w:styleId="AgendaitemChar">
    <w:name w:val="Agenda_item Char"/>
    <w:link w:val="Agendaitem"/>
    <w:rsid w:val="00A43503"/>
    <w:rPr>
      <w:rFonts w:ascii="Arial" w:eastAsia="SimSun" w:hAnsi="Arial" w:cs="Arial"/>
      <w:b/>
      <w:iCs/>
      <w:color w:val="000000"/>
      <w:sz w:val="32"/>
      <w:szCs w:val="32"/>
      <w:u w:val="single"/>
      <w:lang w:val="en-GB"/>
    </w:rPr>
  </w:style>
  <w:style w:type="paragraph" w:styleId="BodyText3">
    <w:name w:val="Body Text 3"/>
    <w:basedOn w:val="Normal"/>
    <w:link w:val="BodyText3Char"/>
    <w:uiPriority w:val="99"/>
    <w:semiHidden/>
    <w:unhideWhenUsed/>
    <w:rsid w:val="00A43503"/>
    <w:pPr>
      <w:spacing w:after="120"/>
    </w:pPr>
    <w:rPr>
      <w:sz w:val="16"/>
      <w:szCs w:val="16"/>
    </w:rPr>
  </w:style>
  <w:style w:type="character" w:customStyle="1" w:styleId="BodyText3Char">
    <w:name w:val="Body Text 3 Char"/>
    <w:basedOn w:val="DefaultParagraphFont"/>
    <w:link w:val="BodyText3"/>
    <w:uiPriority w:val="99"/>
    <w:semiHidden/>
    <w:rsid w:val="00A43503"/>
    <w:rPr>
      <w:rFonts w:ascii="Times New Roman" w:hAnsi="Times New Roman" w:cs="Times New Roman"/>
      <w:sz w:val="16"/>
      <w:szCs w:val="16"/>
      <w:lang w:val="en-GB" w:eastAsia="en-GB"/>
    </w:rPr>
  </w:style>
  <w:style w:type="paragraph" w:customStyle="1" w:styleId="Default">
    <w:name w:val="Default"/>
    <w:rsid w:val="00B975C6"/>
    <w:pPr>
      <w:autoSpaceDE w:val="0"/>
      <w:autoSpaceDN w:val="0"/>
      <w:adjustRightInd w:val="0"/>
    </w:pPr>
    <w:rPr>
      <w:rFonts w:ascii="Arial" w:hAnsi="Arial" w:cs="Arial"/>
      <w:color w:val="000000"/>
    </w:rPr>
  </w:style>
  <w:style w:type="paragraph" w:customStyle="1" w:styleId="Texteduscnario">
    <w:name w:val="Texte du scénario"/>
    <w:basedOn w:val="Normal"/>
    <w:qFormat/>
    <w:rsid w:val="0056292E"/>
    <w:pPr>
      <w:spacing w:after="240" w:line="360" w:lineRule="auto"/>
      <w:jc w:val="both"/>
    </w:pPr>
    <w:rPr>
      <w:rFonts w:ascii="Arial" w:eastAsia="SimSun" w:hAnsi="Arial" w:cs="Arial"/>
      <w:lang w:eastAsia="fr-FR"/>
    </w:rPr>
  </w:style>
  <w:style w:type="character" w:styleId="Strong">
    <w:name w:val="Strong"/>
    <w:basedOn w:val="DefaultParagraphFont"/>
    <w:uiPriority w:val="22"/>
    <w:qFormat/>
    <w:rsid w:val="00840F46"/>
    <w:rPr>
      <w:b/>
      <w:bCs/>
    </w:rPr>
  </w:style>
  <w:style w:type="paragraph" w:styleId="HTMLPreformatted">
    <w:name w:val="HTML Preformatted"/>
    <w:basedOn w:val="Normal"/>
    <w:link w:val="HTMLPreformattedChar"/>
    <w:uiPriority w:val="99"/>
    <w:semiHidden/>
    <w:unhideWhenUsed/>
    <w:rsid w:val="004A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A42D8"/>
    <w:rPr>
      <w:rFonts w:ascii="Courier New" w:hAnsi="Courier New" w:cs="Courier New"/>
      <w:sz w:val="20"/>
      <w:szCs w:val="20"/>
      <w:lang w:val="en-GB" w:eastAsia="en-GB"/>
    </w:rPr>
  </w:style>
  <w:style w:type="character" w:customStyle="1" w:styleId="MargeCar">
    <w:name w:val="Marge Car"/>
    <w:basedOn w:val="DefaultParagraphFont"/>
    <w:rsid w:val="00483C1C"/>
    <w:rPr>
      <w:rFonts w:ascii="Arial" w:eastAsia="Times New Roman" w:hAnsi="Arial" w:cs="Times New Roman"/>
      <w:snapToGrid w:val="0"/>
      <w:szCs w:val="24"/>
      <w:lang w:val="en-GB" w:eastAsia="en-US"/>
    </w:rPr>
  </w:style>
  <w:style w:type="paragraph" w:customStyle="1" w:styleId="Grille02N">
    <w:name w:val="Grille02N"/>
    <w:rsid w:val="00756E8F"/>
    <w:pPr>
      <w:keepNext/>
      <w:spacing w:before="120" w:after="120"/>
      <w:ind w:left="113"/>
      <w:jc w:val="right"/>
    </w:pPr>
    <w:rPr>
      <w:rFonts w:ascii="Arial" w:eastAsia="SimSun" w:hAnsi="Arial"/>
      <w:b/>
      <w:bCs/>
      <w:sz w:val="22"/>
      <w:szCs w:val="22"/>
    </w:rPr>
  </w:style>
  <w:style w:type="paragraph" w:customStyle="1" w:styleId="COMParaDecision">
    <w:name w:val="COM Para Decision"/>
    <w:basedOn w:val="Normal"/>
    <w:qFormat/>
    <w:rsid w:val="00035C5E"/>
    <w:pPr>
      <w:numPr>
        <w:numId w:val="18"/>
      </w:numPr>
      <w:autoSpaceDE w:val="0"/>
      <w:autoSpaceDN w:val="0"/>
      <w:adjustRightInd w:val="0"/>
      <w:spacing w:after="120"/>
      <w:ind w:left="1134" w:hanging="567"/>
      <w:jc w:val="both"/>
    </w:pPr>
    <w:rPr>
      <w:rFonts w:ascii="Arial" w:eastAsia="SimSun" w:hAnsi="Arial" w:cs="Arial"/>
      <w:sz w:val="22"/>
      <w:szCs w:val="22"/>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8420">
      <w:bodyDiv w:val="1"/>
      <w:marLeft w:val="0"/>
      <w:marRight w:val="0"/>
      <w:marTop w:val="0"/>
      <w:marBottom w:val="0"/>
      <w:divBdr>
        <w:top w:val="none" w:sz="0" w:space="0" w:color="auto"/>
        <w:left w:val="none" w:sz="0" w:space="0" w:color="auto"/>
        <w:bottom w:val="none" w:sz="0" w:space="0" w:color="auto"/>
        <w:right w:val="none" w:sz="0" w:space="0" w:color="auto"/>
      </w:divBdr>
    </w:div>
    <w:div w:id="87163914">
      <w:bodyDiv w:val="1"/>
      <w:marLeft w:val="0"/>
      <w:marRight w:val="0"/>
      <w:marTop w:val="0"/>
      <w:marBottom w:val="0"/>
      <w:divBdr>
        <w:top w:val="none" w:sz="0" w:space="0" w:color="auto"/>
        <w:left w:val="none" w:sz="0" w:space="0" w:color="auto"/>
        <w:bottom w:val="none" w:sz="0" w:space="0" w:color="auto"/>
        <w:right w:val="none" w:sz="0" w:space="0" w:color="auto"/>
      </w:divBdr>
    </w:div>
    <w:div w:id="91820982">
      <w:bodyDiv w:val="1"/>
      <w:marLeft w:val="0"/>
      <w:marRight w:val="0"/>
      <w:marTop w:val="0"/>
      <w:marBottom w:val="0"/>
      <w:divBdr>
        <w:top w:val="none" w:sz="0" w:space="0" w:color="auto"/>
        <w:left w:val="none" w:sz="0" w:space="0" w:color="auto"/>
        <w:bottom w:val="none" w:sz="0" w:space="0" w:color="auto"/>
        <w:right w:val="none" w:sz="0" w:space="0" w:color="auto"/>
      </w:divBdr>
    </w:div>
    <w:div w:id="101851937">
      <w:bodyDiv w:val="1"/>
      <w:marLeft w:val="0"/>
      <w:marRight w:val="0"/>
      <w:marTop w:val="0"/>
      <w:marBottom w:val="0"/>
      <w:divBdr>
        <w:top w:val="none" w:sz="0" w:space="0" w:color="auto"/>
        <w:left w:val="none" w:sz="0" w:space="0" w:color="auto"/>
        <w:bottom w:val="none" w:sz="0" w:space="0" w:color="auto"/>
        <w:right w:val="none" w:sz="0" w:space="0" w:color="auto"/>
      </w:divBdr>
    </w:div>
    <w:div w:id="132873212">
      <w:bodyDiv w:val="1"/>
      <w:marLeft w:val="0"/>
      <w:marRight w:val="0"/>
      <w:marTop w:val="0"/>
      <w:marBottom w:val="0"/>
      <w:divBdr>
        <w:top w:val="none" w:sz="0" w:space="0" w:color="auto"/>
        <w:left w:val="none" w:sz="0" w:space="0" w:color="auto"/>
        <w:bottom w:val="none" w:sz="0" w:space="0" w:color="auto"/>
        <w:right w:val="none" w:sz="0" w:space="0" w:color="auto"/>
      </w:divBdr>
    </w:div>
    <w:div w:id="142434071">
      <w:bodyDiv w:val="1"/>
      <w:marLeft w:val="0"/>
      <w:marRight w:val="0"/>
      <w:marTop w:val="0"/>
      <w:marBottom w:val="0"/>
      <w:divBdr>
        <w:top w:val="none" w:sz="0" w:space="0" w:color="auto"/>
        <w:left w:val="none" w:sz="0" w:space="0" w:color="auto"/>
        <w:bottom w:val="none" w:sz="0" w:space="0" w:color="auto"/>
        <w:right w:val="none" w:sz="0" w:space="0" w:color="auto"/>
      </w:divBdr>
    </w:div>
    <w:div w:id="152335492">
      <w:bodyDiv w:val="1"/>
      <w:marLeft w:val="0"/>
      <w:marRight w:val="0"/>
      <w:marTop w:val="0"/>
      <w:marBottom w:val="0"/>
      <w:divBdr>
        <w:top w:val="none" w:sz="0" w:space="0" w:color="auto"/>
        <w:left w:val="none" w:sz="0" w:space="0" w:color="auto"/>
        <w:bottom w:val="none" w:sz="0" w:space="0" w:color="auto"/>
        <w:right w:val="none" w:sz="0" w:space="0" w:color="auto"/>
      </w:divBdr>
      <w:divsChild>
        <w:div w:id="1541435383">
          <w:marLeft w:val="0"/>
          <w:marRight w:val="0"/>
          <w:marTop w:val="0"/>
          <w:marBottom w:val="0"/>
          <w:divBdr>
            <w:top w:val="none" w:sz="0" w:space="0" w:color="auto"/>
            <w:left w:val="none" w:sz="0" w:space="0" w:color="auto"/>
            <w:bottom w:val="none" w:sz="0" w:space="0" w:color="auto"/>
            <w:right w:val="none" w:sz="0" w:space="0" w:color="auto"/>
          </w:divBdr>
          <w:divsChild>
            <w:div w:id="1557275890">
              <w:marLeft w:val="0"/>
              <w:marRight w:val="0"/>
              <w:marTop w:val="0"/>
              <w:marBottom w:val="0"/>
              <w:divBdr>
                <w:top w:val="none" w:sz="0" w:space="0" w:color="auto"/>
                <w:left w:val="none" w:sz="0" w:space="0" w:color="auto"/>
                <w:bottom w:val="none" w:sz="0" w:space="0" w:color="auto"/>
                <w:right w:val="none" w:sz="0" w:space="0" w:color="auto"/>
              </w:divBdr>
              <w:divsChild>
                <w:div w:id="4141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6421">
      <w:bodyDiv w:val="1"/>
      <w:marLeft w:val="0"/>
      <w:marRight w:val="0"/>
      <w:marTop w:val="0"/>
      <w:marBottom w:val="0"/>
      <w:divBdr>
        <w:top w:val="none" w:sz="0" w:space="0" w:color="auto"/>
        <w:left w:val="none" w:sz="0" w:space="0" w:color="auto"/>
        <w:bottom w:val="none" w:sz="0" w:space="0" w:color="auto"/>
        <w:right w:val="none" w:sz="0" w:space="0" w:color="auto"/>
      </w:divBdr>
    </w:div>
    <w:div w:id="229273936">
      <w:bodyDiv w:val="1"/>
      <w:marLeft w:val="0"/>
      <w:marRight w:val="0"/>
      <w:marTop w:val="0"/>
      <w:marBottom w:val="0"/>
      <w:divBdr>
        <w:top w:val="none" w:sz="0" w:space="0" w:color="auto"/>
        <w:left w:val="none" w:sz="0" w:space="0" w:color="auto"/>
        <w:bottom w:val="none" w:sz="0" w:space="0" w:color="auto"/>
        <w:right w:val="none" w:sz="0" w:space="0" w:color="auto"/>
      </w:divBdr>
    </w:div>
    <w:div w:id="236675274">
      <w:bodyDiv w:val="1"/>
      <w:marLeft w:val="0"/>
      <w:marRight w:val="0"/>
      <w:marTop w:val="0"/>
      <w:marBottom w:val="0"/>
      <w:divBdr>
        <w:top w:val="none" w:sz="0" w:space="0" w:color="auto"/>
        <w:left w:val="none" w:sz="0" w:space="0" w:color="auto"/>
        <w:bottom w:val="none" w:sz="0" w:space="0" w:color="auto"/>
        <w:right w:val="none" w:sz="0" w:space="0" w:color="auto"/>
      </w:divBdr>
    </w:div>
    <w:div w:id="240674821">
      <w:bodyDiv w:val="1"/>
      <w:marLeft w:val="0"/>
      <w:marRight w:val="0"/>
      <w:marTop w:val="0"/>
      <w:marBottom w:val="0"/>
      <w:divBdr>
        <w:top w:val="none" w:sz="0" w:space="0" w:color="auto"/>
        <w:left w:val="none" w:sz="0" w:space="0" w:color="auto"/>
        <w:bottom w:val="none" w:sz="0" w:space="0" w:color="auto"/>
        <w:right w:val="none" w:sz="0" w:space="0" w:color="auto"/>
      </w:divBdr>
    </w:div>
    <w:div w:id="267082990">
      <w:bodyDiv w:val="1"/>
      <w:marLeft w:val="0"/>
      <w:marRight w:val="0"/>
      <w:marTop w:val="0"/>
      <w:marBottom w:val="0"/>
      <w:divBdr>
        <w:top w:val="none" w:sz="0" w:space="0" w:color="auto"/>
        <w:left w:val="none" w:sz="0" w:space="0" w:color="auto"/>
        <w:bottom w:val="none" w:sz="0" w:space="0" w:color="auto"/>
        <w:right w:val="none" w:sz="0" w:space="0" w:color="auto"/>
      </w:divBdr>
    </w:div>
    <w:div w:id="356276326">
      <w:bodyDiv w:val="1"/>
      <w:marLeft w:val="0"/>
      <w:marRight w:val="0"/>
      <w:marTop w:val="0"/>
      <w:marBottom w:val="0"/>
      <w:divBdr>
        <w:top w:val="none" w:sz="0" w:space="0" w:color="auto"/>
        <w:left w:val="none" w:sz="0" w:space="0" w:color="auto"/>
        <w:bottom w:val="none" w:sz="0" w:space="0" w:color="auto"/>
        <w:right w:val="none" w:sz="0" w:space="0" w:color="auto"/>
      </w:divBdr>
    </w:div>
    <w:div w:id="379286791">
      <w:bodyDiv w:val="1"/>
      <w:marLeft w:val="0"/>
      <w:marRight w:val="0"/>
      <w:marTop w:val="0"/>
      <w:marBottom w:val="0"/>
      <w:divBdr>
        <w:top w:val="none" w:sz="0" w:space="0" w:color="auto"/>
        <w:left w:val="none" w:sz="0" w:space="0" w:color="auto"/>
        <w:bottom w:val="none" w:sz="0" w:space="0" w:color="auto"/>
        <w:right w:val="none" w:sz="0" w:space="0" w:color="auto"/>
      </w:divBdr>
    </w:div>
    <w:div w:id="427118041">
      <w:bodyDiv w:val="1"/>
      <w:marLeft w:val="0"/>
      <w:marRight w:val="0"/>
      <w:marTop w:val="0"/>
      <w:marBottom w:val="0"/>
      <w:divBdr>
        <w:top w:val="none" w:sz="0" w:space="0" w:color="auto"/>
        <w:left w:val="none" w:sz="0" w:space="0" w:color="auto"/>
        <w:bottom w:val="none" w:sz="0" w:space="0" w:color="auto"/>
        <w:right w:val="none" w:sz="0" w:space="0" w:color="auto"/>
      </w:divBdr>
    </w:div>
    <w:div w:id="431514663">
      <w:bodyDiv w:val="1"/>
      <w:marLeft w:val="0"/>
      <w:marRight w:val="0"/>
      <w:marTop w:val="0"/>
      <w:marBottom w:val="0"/>
      <w:divBdr>
        <w:top w:val="none" w:sz="0" w:space="0" w:color="auto"/>
        <w:left w:val="none" w:sz="0" w:space="0" w:color="auto"/>
        <w:bottom w:val="none" w:sz="0" w:space="0" w:color="auto"/>
        <w:right w:val="none" w:sz="0" w:space="0" w:color="auto"/>
      </w:divBdr>
    </w:div>
    <w:div w:id="447743438">
      <w:bodyDiv w:val="1"/>
      <w:marLeft w:val="0"/>
      <w:marRight w:val="0"/>
      <w:marTop w:val="0"/>
      <w:marBottom w:val="0"/>
      <w:divBdr>
        <w:top w:val="none" w:sz="0" w:space="0" w:color="auto"/>
        <w:left w:val="none" w:sz="0" w:space="0" w:color="auto"/>
        <w:bottom w:val="none" w:sz="0" w:space="0" w:color="auto"/>
        <w:right w:val="none" w:sz="0" w:space="0" w:color="auto"/>
      </w:divBdr>
      <w:divsChild>
        <w:div w:id="17138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3384">
              <w:marLeft w:val="0"/>
              <w:marRight w:val="0"/>
              <w:marTop w:val="0"/>
              <w:marBottom w:val="0"/>
              <w:divBdr>
                <w:top w:val="none" w:sz="0" w:space="0" w:color="auto"/>
                <w:left w:val="none" w:sz="0" w:space="0" w:color="auto"/>
                <w:bottom w:val="none" w:sz="0" w:space="0" w:color="auto"/>
                <w:right w:val="none" w:sz="0" w:space="0" w:color="auto"/>
              </w:divBdr>
              <w:divsChild>
                <w:div w:id="259684138">
                  <w:marLeft w:val="0"/>
                  <w:marRight w:val="0"/>
                  <w:marTop w:val="0"/>
                  <w:marBottom w:val="0"/>
                  <w:divBdr>
                    <w:top w:val="none" w:sz="0" w:space="0" w:color="auto"/>
                    <w:left w:val="none" w:sz="0" w:space="0" w:color="auto"/>
                    <w:bottom w:val="none" w:sz="0" w:space="0" w:color="auto"/>
                    <w:right w:val="none" w:sz="0" w:space="0" w:color="auto"/>
                  </w:divBdr>
                  <w:divsChild>
                    <w:div w:id="554632646">
                      <w:marLeft w:val="0"/>
                      <w:marRight w:val="0"/>
                      <w:marTop w:val="0"/>
                      <w:marBottom w:val="0"/>
                      <w:divBdr>
                        <w:top w:val="none" w:sz="0" w:space="0" w:color="auto"/>
                        <w:left w:val="none" w:sz="0" w:space="0" w:color="auto"/>
                        <w:bottom w:val="none" w:sz="0" w:space="0" w:color="auto"/>
                        <w:right w:val="none" w:sz="0" w:space="0" w:color="auto"/>
                      </w:divBdr>
                      <w:divsChild>
                        <w:div w:id="250508567">
                          <w:blockQuote w:val="1"/>
                          <w:marLeft w:val="200"/>
                          <w:marRight w:val="0"/>
                          <w:marTop w:val="100"/>
                          <w:marBottom w:val="100"/>
                          <w:divBdr>
                            <w:top w:val="none" w:sz="0" w:space="0" w:color="auto"/>
                            <w:left w:val="single" w:sz="12" w:space="5" w:color="0000FF"/>
                            <w:bottom w:val="none" w:sz="0" w:space="0" w:color="auto"/>
                            <w:right w:val="none" w:sz="0" w:space="0" w:color="auto"/>
                          </w:divBdr>
                          <w:divsChild>
                            <w:div w:id="944846452">
                              <w:marLeft w:val="0"/>
                              <w:marRight w:val="0"/>
                              <w:marTop w:val="0"/>
                              <w:marBottom w:val="0"/>
                              <w:divBdr>
                                <w:top w:val="none" w:sz="0" w:space="0" w:color="auto"/>
                                <w:left w:val="none" w:sz="0" w:space="0" w:color="auto"/>
                                <w:bottom w:val="none" w:sz="0" w:space="0" w:color="auto"/>
                                <w:right w:val="none" w:sz="0" w:space="0" w:color="auto"/>
                              </w:divBdr>
                              <w:divsChild>
                                <w:div w:id="585187194">
                                  <w:marLeft w:val="0"/>
                                  <w:marRight w:val="0"/>
                                  <w:marTop w:val="0"/>
                                  <w:marBottom w:val="0"/>
                                  <w:divBdr>
                                    <w:top w:val="none" w:sz="0" w:space="0" w:color="auto"/>
                                    <w:left w:val="none" w:sz="0" w:space="0" w:color="auto"/>
                                    <w:bottom w:val="none" w:sz="0" w:space="0" w:color="auto"/>
                                    <w:right w:val="none" w:sz="0" w:space="0" w:color="auto"/>
                                  </w:divBdr>
                                  <w:divsChild>
                                    <w:div w:id="930546646">
                                      <w:marLeft w:val="0"/>
                                      <w:marRight w:val="0"/>
                                      <w:marTop w:val="0"/>
                                      <w:marBottom w:val="0"/>
                                      <w:divBdr>
                                        <w:top w:val="none" w:sz="0" w:space="0" w:color="auto"/>
                                        <w:left w:val="none" w:sz="0" w:space="0" w:color="auto"/>
                                        <w:bottom w:val="none" w:sz="0" w:space="0" w:color="auto"/>
                                        <w:right w:val="none" w:sz="0" w:space="0" w:color="auto"/>
                                      </w:divBdr>
                                      <w:divsChild>
                                        <w:div w:id="467164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849107">
                                              <w:marLeft w:val="0"/>
                                              <w:marRight w:val="0"/>
                                              <w:marTop w:val="0"/>
                                              <w:marBottom w:val="0"/>
                                              <w:divBdr>
                                                <w:top w:val="none" w:sz="0" w:space="0" w:color="auto"/>
                                                <w:left w:val="none" w:sz="0" w:space="0" w:color="auto"/>
                                                <w:bottom w:val="none" w:sz="0" w:space="0" w:color="auto"/>
                                                <w:right w:val="none" w:sz="0" w:space="0" w:color="auto"/>
                                              </w:divBdr>
                                              <w:divsChild>
                                                <w:div w:id="1107194506">
                                                  <w:marLeft w:val="0"/>
                                                  <w:marRight w:val="0"/>
                                                  <w:marTop w:val="0"/>
                                                  <w:marBottom w:val="0"/>
                                                  <w:divBdr>
                                                    <w:top w:val="none" w:sz="0" w:space="0" w:color="auto"/>
                                                    <w:left w:val="none" w:sz="0" w:space="0" w:color="auto"/>
                                                    <w:bottom w:val="none" w:sz="0" w:space="0" w:color="auto"/>
                                                    <w:right w:val="none" w:sz="0" w:space="0" w:color="auto"/>
                                                  </w:divBdr>
                                                  <w:divsChild>
                                                    <w:div w:id="434061218">
                                                      <w:marLeft w:val="0"/>
                                                      <w:marRight w:val="0"/>
                                                      <w:marTop w:val="0"/>
                                                      <w:marBottom w:val="0"/>
                                                      <w:divBdr>
                                                        <w:top w:val="none" w:sz="0" w:space="0" w:color="auto"/>
                                                        <w:left w:val="none" w:sz="0" w:space="0" w:color="auto"/>
                                                        <w:bottom w:val="none" w:sz="0" w:space="0" w:color="auto"/>
                                                        <w:right w:val="none" w:sz="0" w:space="0" w:color="auto"/>
                                                      </w:divBdr>
                                                      <w:divsChild>
                                                        <w:div w:id="2120105592">
                                                          <w:marLeft w:val="0"/>
                                                          <w:marRight w:val="0"/>
                                                          <w:marTop w:val="0"/>
                                                          <w:marBottom w:val="0"/>
                                                          <w:divBdr>
                                                            <w:top w:val="none" w:sz="0" w:space="0" w:color="auto"/>
                                                            <w:left w:val="none" w:sz="0" w:space="0" w:color="auto"/>
                                                            <w:bottom w:val="none" w:sz="0" w:space="0" w:color="auto"/>
                                                            <w:right w:val="none" w:sz="0" w:space="0" w:color="auto"/>
                                                          </w:divBdr>
                                                          <w:divsChild>
                                                            <w:div w:id="1208833013">
                                                              <w:blockQuote w:val="1"/>
                                                              <w:marLeft w:val="200"/>
                                                              <w:marRight w:val="0"/>
                                                              <w:marTop w:val="100"/>
                                                              <w:marBottom w:val="100"/>
                                                              <w:divBdr>
                                                                <w:top w:val="none" w:sz="0" w:space="0" w:color="auto"/>
                                                                <w:left w:val="single" w:sz="12" w:space="5" w:color="0000FF"/>
                                                                <w:bottom w:val="none" w:sz="0" w:space="0" w:color="auto"/>
                                                                <w:right w:val="none" w:sz="0" w:space="0" w:color="auto"/>
                                                              </w:divBdr>
                                                              <w:divsChild>
                                                                <w:div w:id="1049887589">
                                                                  <w:marLeft w:val="0"/>
                                                                  <w:marRight w:val="0"/>
                                                                  <w:marTop w:val="0"/>
                                                                  <w:marBottom w:val="0"/>
                                                                  <w:divBdr>
                                                                    <w:top w:val="none" w:sz="0" w:space="0" w:color="auto"/>
                                                                    <w:left w:val="none" w:sz="0" w:space="0" w:color="auto"/>
                                                                    <w:bottom w:val="none" w:sz="0" w:space="0" w:color="auto"/>
                                                                    <w:right w:val="none" w:sz="0" w:space="0" w:color="auto"/>
                                                                  </w:divBdr>
                                                                  <w:divsChild>
                                                                    <w:div w:id="334381729">
                                                                      <w:marLeft w:val="0"/>
                                                                      <w:marRight w:val="0"/>
                                                                      <w:marTop w:val="0"/>
                                                                      <w:marBottom w:val="0"/>
                                                                      <w:divBdr>
                                                                        <w:top w:val="none" w:sz="0" w:space="0" w:color="auto"/>
                                                                        <w:left w:val="none" w:sz="0" w:space="0" w:color="auto"/>
                                                                        <w:bottom w:val="none" w:sz="0" w:space="0" w:color="auto"/>
                                                                        <w:right w:val="none" w:sz="0" w:space="0" w:color="auto"/>
                                                                      </w:divBdr>
                                                                      <w:divsChild>
                                                                        <w:div w:id="1390689338">
                                                                          <w:marLeft w:val="0"/>
                                                                          <w:marRight w:val="0"/>
                                                                          <w:marTop w:val="0"/>
                                                                          <w:marBottom w:val="0"/>
                                                                          <w:divBdr>
                                                                            <w:top w:val="none" w:sz="0" w:space="0" w:color="auto"/>
                                                                            <w:left w:val="none" w:sz="0" w:space="0" w:color="auto"/>
                                                                            <w:bottom w:val="none" w:sz="0" w:space="0" w:color="auto"/>
                                                                            <w:right w:val="none" w:sz="0" w:space="0" w:color="auto"/>
                                                                          </w:divBdr>
                                                                          <w:divsChild>
                                                                            <w:div w:id="343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01984">
                                                                                  <w:marLeft w:val="0"/>
                                                                                  <w:marRight w:val="0"/>
                                                                                  <w:marTop w:val="0"/>
                                                                                  <w:marBottom w:val="0"/>
                                                                                  <w:divBdr>
                                                                                    <w:top w:val="none" w:sz="0" w:space="0" w:color="auto"/>
                                                                                    <w:left w:val="none" w:sz="0" w:space="0" w:color="auto"/>
                                                                                    <w:bottom w:val="none" w:sz="0" w:space="0" w:color="auto"/>
                                                                                    <w:right w:val="none" w:sz="0" w:space="0" w:color="auto"/>
                                                                                  </w:divBdr>
                                                                                  <w:divsChild>
                                                                                    <w:div w:id="2100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3284">
      <w:bodyDiv w:val="1"/>
      <w:marLeft w:val="0"/>
      <w:marRight w:val="0"/>
      <w:marTop w:val="0"/>
      <w:marBottom w:val="0"/>
      <w:divBdr>
        <w:top w:val="none" w:sz="0" w:space="0" w:color="auto"/>
        <w:left w:val="none" w:sz="0" w:space="0" w:color="auto"/>
        <w:bottom w:val="none" w:sz="0" w:space="0" w:color="auto"/>
        <w:right w:val="none" w:sz="0" w:space="0" w:color="auto"/>
      </w:divBdr>
      <w:divsChild>
        <w:div w:id="662777500">
          <w:marLeft w:val="0"/>
          <w:marRight w:val="0"/>
          <w:marTop w:val="0"/>
          <w:marBottom w:val="0"/>
          <w:divBdr>
            <w:top w:val="none" w:sz="0" w:space="0" w:color="auto"/>
            <w:left w:val="none" w:sz="0" w:space="0" w:color="auto"/>
            <w:bottom w:val="none" w:sz="0" w:space="0" w:color="auto"/>
            <w:right w:val="none" w:sz="0" w:space="0" w:color="auto"/>
          </w:divBdr>
          <w:divsChild>
            <w:div w:id="1749184741">
              <w:marLeft w:val="0"/>
              <w:marRight w:val="0"/>
              <w:marTop w:val="0"/>
              <w:marBottom w:val="0"/>
              <w:divBdr>
                <w:top w:val="none" w:sz="0" w:space="0" w:color="auto"/>
                <w:left w:val="none" w:sz="0" w:space="0" w:color="auto"/>
                <w:bottom w:val="none" w:sz="0" w:space="0" w:color="auto"/>
                <w:right w:val="none" w:sz="0" w:space="0" w:color="auto"/>
              </w:divBdr>
              <w:divsChild>
                <w:div w:id="5127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4951">
      <w:bodyDiv w:val="1"/>
      <w:marLeft w:val="0"/>
      <w:marRight w:val="0"/>
      <w:marTop w:val="0"/>
      <w:marBottom w:val="0"/>
      <w:divBdr>
        <w:top w:val="none" w:sz="0" w:space="0" w:color="auto"/>
        <w:left w:val="none" w:sz="0" w:space="0" w:color="auto"/>
        <w:bottom w:val="none" w:sz="0" w:space="0" w:color="auto"/>
        <w:right w:val="none" w:sz="0" w:space="0" w:color="auto"/>
      </w:divBdr>
    </w:div>
    <w:div w:id="524100387">
      <w:bodyDiv w:val="1"/>
      <w:marLeft w:val="0"/>
      <w:marRight w:val="0"/>
      <w:marTop w:val="0"/>
      <w:marBottom w:val="0"/>
      <w:divBdr>
        <w:top w:val="none" w:sz="0" w:space="0" w:color="auto"/>
        <w:left w:val="none" w:sz="0" w:space="0" w:color="auto"/>
        <w:bottom w:val="none" w:sz="0" w:space="0" w:color="auto"/>
        <w:right w:val="none" w:sz="0" w:space="0" w:color="auto"/>
      </w:divBdr>
    </w:div>
    <w:div w:id="530804690">
      <w:bodyDiv w:val="1"/>
      <w:marLeft w:val="0"/>
      <w:marRight w:val="0"/>
      <w:marTop w:val="0"/>
      <w:marBottom w:val="0"/>
      <w:divBdr>
        <w:top w:val="none" w:sz="0" w:space="0" w:color="auto"/>
        <w:left w:val="none" w:sz="0" w:space="0" w:color="auto"/>
        <w:bottom w:val="none" w:sz="0" w:space="0" w:color="auto"/>
        <w:right w:val="none" w:sz="0" w:space="0" w:color="auto"/>
      </w:divBdr>
    </w:div>
    <w:div w:id="566571930">
      <w:bodyDiv w:val="1"/>
      <w:marLeft w:val="0"/>
      <w:marRight w:val="0"/>
      <w:marTop w:val="0"/>
      <w:marBottom w:val="0"/>
      <w:divBdr>
        <w:top w:val="none" w:sz="0" w:space="0" w:color="auto"/>
        <w:left w:val="none" w:sz="0" w:space="0" w:color="auto"/>
        <w:bottom w:val="none" w:sz="0" w:space="0" w:color="auto"/>
        <w:right w:val="none" w:sz="0" w:space="0" w:color="auto"/>
      </w:divBdr>
    </w:div>
    <w:div w:id="578368085">
      <w:bodyDiv w:val="1"/>
      <w:marLeft w:val="0"/>
      <w:marRight w:val="0"/>
      <w:marTop w:val="0"/>
      <w:marBottom w:val="0"/>
      <w:divBdr>
        <w:top w:val="none" w:sz="0" w:space="0" w:color="auto"/>
        <w:left w:val="none" w:sz="0" w:space="0" w:color="auto"/>
        <w:bottom w:val="none" w:sz="0" w:space="0" w:color="auto"/>
        <w:right w:val="none" w:sz="0" w:space="0" w:color="auto"/>
      </w:divBdr>
    </w:div>
    <w:div w:id="579683118">
      <w:bodyDiv w:val="1"/>
      <w:marLeft w:val="0"/>
      <w:marRight w:val="0"/>
      <w:marTop w:val="0"/>
      <w:marBottom w:val="0"/>
      <w:divBdr>
        <w:top w:val="none" w:sz="0" w:space="0" w:color="auto"/>
        <w:left w:val="none" w:sz="0" w:space="0" w:color="auto"/>
        <w:bottom w:val="none" w:sz="0" w:space="0" w:color="auto"/>
        <w:right w:val="none" w:sz="0" w:space="0" w:color="auto"/>
      </w:divBdr>
    </w:div>
    <w:div w:id="586501719">
      <w:bodyDiv w:val="1"/>
      <w:marLeft w:val="0"/>
      <w:marRight w:val="0"/>
      <w:marTop w:val="0"/>
      <w:marBottom w:val="0"/>
      <w:divBdr>
        <w:top w:val="none" w:sz="0" w:space="0" w:color="auto"/>
        <w:left w:val="none" w:sz="0" w:space="0" w:color="auto"/>
        <w:bottom w:val="none" w:sz="0" w:space="0" w:color="auto"/>
        <w:right w:val="none" w:sz="0" w:space="0" w:color="auto"/>
      </w:divBdr>
    </w:div>
    <w:div w:id="644311328">
      <w:bodyDiv w:val="1"/>
      <w:marLeft w:val="0"/>
      <w:marRight w:val="0"/>
      <w:marTop w:val="0"/>
      <w:marBottom w:val="0"/>
      <w:divBdr>
        <w:top w:val="none" w:sz="0" w:space="0" w:color="auto"/>
        <w:left w:val="none" w:sz="0" w:space="0" w:color="auto"/>
        <w:bottom w:val="none" w:sz="0" w:space="0" w:color="auto"/>
        <w:right w:val="none" w:sz="0" w:space="0" w:color="auto"/>
      </w:divBdr>
    </w:div>
    <w:div w:id="693068654">
      <w:bodyDiv w:val="1"/>
      <w:marLeft w:val="0"/>
      <w:marRight w:val="0"/>
      <w:marTop w:val="0"/>
      <w:marBottom w:val="0"/>
      <w:divBdr>
        <w:top w:val="none" w:sz="0" w:space="0" w:color="auto"/>
        <w:left w:val="none" w:sz="0" w:space="0" w:color="auto"/>
        <w:bottom w:val="none" w:sz="0" w:space="0" w:color="auto"/>
        <w:right w:val="none" w:sz="0" w:space="0" w:color="auto"/>
      </w:divBdr>
    </w:div>
    <w:div w:id="711228279">
      <w:bodyDiv w:val="1"/>
      <w:marLeft w:val="0"/>
      <w:marRight w:val="0"/>
      <w:marTop w:val="0"/>
      <w:marBottom w:val="0"/>
      <w:divBdr>
        <w:top w:val="none" w:sz="0" w:space="0" w:color="auto"/>
        <w:left w:val="none" w:sz="0" w:space="0" w:color="auto"/>
        <w:bottom w:val="none" w:sz="0" w:space="0" w:color="auto"/>
        <w:right w:val="none" w:sz="0" w:space="0" w:color="auto"/>
      </w:divBdr>
    </w:div>
    <w:div w:id="712464311">
      <w:bodyDiv w:val="1"/>
      <w:marLeft w:val="0"/>
      <w:marRight w:val="0"/>
      <w:marTop w:val="0"/>
      <w:marBottom w:val="0"/>
      <w:divBdr>
        <w:top w:val="none" w:sz="0" w:space="0" w:color="auto"/>
        <w:left w:val="none" w:sz="0" w:space="0" w:color="auto"/>
        <w:bottom w:val="none" w:sz="0" w:space="0" w:color="auto"/>
        <w:right w:val="none" w:sz="0" w:space="0" w:color="auto"/>
      </w:divBdr>
    </w:div>
    <w:div w:id="729302915">
      <w:bodyDiv w:val="1"/>
      <w:marLeft w:val="0"/>
      <w:marRight w:val="0"/>
      <w:marTop w:val="0"/>
      <w:marBottom w:val="0"/>
      <w:divBdr>
        <w:top w:val="none" w:sz="0" w:space="0" w:color="auto"/>
        <w:left w:val="none" w:sz="0" w:space="0" w:color="auto"/>
        <w:bottom w:val="none" w:sz="0" w:space="0" w:color="auto"/>
        <w:right w:val="none" w:sz="0" w:space="0" w:color="auto"/>
      </w:divBdr>
    </w:div>
    <w:div w:id="741026904">
      <w:bodyDiv w:val="1"/>
      <w:marLeft w:val="0"/>
      <w:marRight w:val="0"/>
      <w:marTop w:val="0"/>
      <w:marBottom w:val="0"/>
      <w:divBdr>
        <w:top w:val="none" w:sz="0" w:space="0" w:color="auto"/>
        <w:left w:val="none" w:sz="0" w:space="0" w:color="auto"/>
        <w:bottom w:val="none" w:sz="0" w:space="0" w:color="auto"/>
        <w:right w:val="none" w:sz="0" w:space="0" w:color="auto"/>
      </w:divBdr>
    </w:div>
    <w:div w:id="775825965">
      <w:bodyDiv w:val="1"/>
      <w:marLeft w:val="0"/>
      <w:marRight w:val="0"/>
      <w:marTop w:val="0"/>
      <w:marBottom w:val="0"/>
      <w:divBdr>
        <w:top w:val="none" w:sz="0" w:space="0" w:color="auto"/>
        <w:left w:val="none" w:sz="0" w:space="0" w:color="auto"/>
        <w:bottom w:val="none" w:sz="0" w:space="0" w:color="auto"/>
        <w:right w:val="none" w:sz="0" w:space="0" w:color="auto"/>
      </w:divBdr>
    </w:div>
    <w:div w:id="785585159">
      <w:bodyDiv w:val="1"/>
      <w:marLeft w:val="0"/>
      <w:marRight w:val="0"/>
      <w:marTop w:val="0"/>
      <w:marBottom w:val="0"/>
      <w:divBdr>
        <w:top w:val="none" w:sz="0" w:space="0" w:color="auto"/>
        <w:left w:val="none" w:sz="0" w:space="0" w:color="auto"/>
        <w:bottom w:val="none" w:sz="0" w:space="0" w:color="auto"/>
        <w:right w:val="none" w:sz="0" w:space="0" w:color="auto"/>
      </w:divBdr>
    </w:div>
    <w:div w:id="800000024">
      <w:bodyDiv w:val="1"/>
      <w:marLeft w:val="0"/>
      <w:marRight w:val="0"/>
      <w:marTop w:val="0"/>
      <w:marBottom w:val="0"/>
      <w:divBdr>
        <w:top w:val="none" w:sz="0" w:space="0" w:color="auto"/>
        <w:left w:val="none" w:sz="0" w:space="0" w:color="auto"/>
        <w:bottom w:val="none" w:sz="0" w:space="0" w:color="auto"/>
        <w:right w:val="none" w:sz="0" w:space="0" w:color="auto"/>
      </w:divBdr>
    </w:div>
    <w:div w:id="815756005">
      <w:bodyDiv w:val="1"/>
      <w:marLeft w:val="0"/>
      <w:marRight w:val="0"/>
      <w:marTop w:val="0"/>
      <w:marBottom w:val="0"/>
      <w:divBdr>
        <w:top w:val="none" w:sz="0" w:space="0" w:color="auto"/>
        <w:left w:val="none" w:sz="0" w:space="0" w:color="auto"/>
        <w:bottom w:val="none" w:sz="0" w:space="0" w:color="auto"/>
        <w:right w:val="none" w:sz="0" w:space="0" w:color="auto"/>
      </w:divBdr>
    </w:div>
    <w:div w:id="849217768">
      <w:bodyDiv w:val="1"/>
      <w:marLeft w:val="0"/>
      <w:marRight w:val="0"/>
      <w:marTop w:val="0"/>
      <w:marBottom w:val="0"/>
      <w:divBdr>
        <w:top w:val="none" w:sz="0" w:space="0" w:color="auto"/>
        <w:left w:val="none" w:sz="0" w:space="0" w:color="auto"/>
        <w:bottom w:val="none" w:sz="0" w:space="0" w:color="auto"/>
        <w:right w:val="none" w:sz="0" w:space="0" w:color="auto"/>
      </w:divBdr>
    </w:div>
    <w:div w:id="884028624">
      <w:bodyDiv w:val="1"/>
      <w:marLeft w:val="0"/>
      <w:marRight w:val="0"/>
      <w:marTop w:val="0"/>
      <w:marBottom w:val="0"/>
      <w:divBdr>
        <w:top w:val="none" w:sz="0" w:space="0" w:color="auto"/>
        <w:left w:val="none" w:sz="0" w:space="0" w:color="auto"/>
        <w:bottom w:val="none" w:sz="0" w:space="0" w:color="auto"/>
        <w:right w:val="none" w:sz="0" w:space="0" w:color="auto"/>
      </w:divBdr>
    </w:div>
    <w:div w:id="920331588">
      <w:bodyDiv w:val="1"/>
      <w:marLeft w:val="0"/>
      <w:marRight w:val="0"/>
      <w:marTop w:val="0"/>
      <w:marBottom w:val="0"/>
      <w:divBdr>
        <w:top w:val="none" w:sz="0" w:space="0" w:color="auto"/>
        <w:left w:val="none" w:sz="0" w:space="0" w:color="auto"/>
        <w:bottom w:val="none" w:sz="0" w:space="0" w:color="auto"/>
        <w:right w:val="none" w:sz="0" w:space="0" w:color="auto"/>
      </w:divBdr>
    </w:div>
    <w:div w:id="922758152">
      <w:bodyDiv w:val="1"/>
      <w:marLeft w:val="0"/>
      <w:marRight w:val="0"/>
      <w:marTop w:val="0"/>
      <w:marBottom w:val="0"/>
      <w:divBdr>
        <w:top w:val="none" w:sz="0" w:space="0" w:color="auto"/>
        <w:left w:val="none" w:sz="0" w:space="0" w:color="auto"/>
        <w:bottom w:val="none" w:sz="0" w:space="0" w:color="auto"/>
        <w:right w:val="none" w:sz="0" w:space="0" w:color="auto"/>
      </w:divBdr>
    </w:div>
    <w:div w:id="965306815">
      <w:bodyDiv w:val="1"/>
      <w:marLeft w:val="0"/>
      <w:marRight w:val="0"/>
      <w:marTop w:val="0"/>
      <w:marBottom w:val="0"/>
      <w:divBdr>
        <w:top w:val="none" w:sz="0" w:space="0" w:color="auto"/>
        <w:left w:val="none" w:sz="0" w:space="0" w:color="auto"/>
        <w:bottom w:val="none" w:sz="0" w:space="0" w:color="auto"/>
        <w:right w:val="none" w:sz="0" w:space="0" w:color="auto"/>
      </w:divBdr>
    </w:div>
    <w:div w:id="966929214">
      <w:bodyDiv w:val="1"/>
      <w:marLeft w:val="0"/>
      <w:marRight w:val="0"/>
      <w:marTop w:val="0"/>
      <w:marBottom w:val="0"/>
      <w:divBdr>
        <w:top w:val="none" w:sz="0" w:space="0" w:color="auto"/>
        <w:left w:val="none" w:sz="0" w:space="0" w:color="auto"/>
        <w:bottom w:val="none" w:sz="0" w:space="0" w:color="auto"/>
        <w:right w:val="none" w:sz="0" w:space="0" w:color="auto"/>
      </w:divBdr>
    </w:div>
    <w:div w:id="992027505">
      <w:bodyDiv w:val="1"/>
      <w:marLeft w:val="0"/>
      <w:marRight w:val="0"/>
      <w:marTop w:val="0"/>
      <w:marBottom w:val="0"/>
      <w:divBdr>
        <w:top w:val="none" w:sz="0" w:space="0" w:color="auto"/>
        <w:left w:val="none" w:sz="0" w:space="0" w:color="auto"/>
        <w:bottom w:val="none" w:sz="0" w:space="0" w:color="auto"/>
        <w:right w:val="none" w:sz="0" w:space="0" w:color="auto"/>
      </w:divBdr>
    </w:div>
    <w:div w:id="1001664357">
      <w:bodyDiv w:val="1"/>
      <w:marLeft w:val="0"/>
      <w:marRight w:val="0"/>
      <w:marTop w:val="0"/>
      <w:marBottom w:val="0"/>
      <w:divBdr>
        <w:top w:val="none" w:sz="0" w:space="0" w:color="auto"/>
        <w:left w:val="none" w:sz="0" w:space="0" w:color="auto"/>
        <w:bottom w:val="none" w:sz="0" w:space="0" w:color="auto"/>
        <w:right w:val="none" w:sz="0" w:space="0" w:color="auto"/>
      </w:divBdr>
    </w:div>
    <w:div w:id="1037051664">
      <w:bodyDiv w:val="1"/>
      <w:marLeft w:val="0"/>
      <w:marRight w:val="0"/>
      <w:marTop w:val="0"/>
      <w:marBottom w:val="0"/>
      <w:divBdr>
        <w:top w:val="none" w:sz="0" w:space="0" w:color="auto"/>
        <w:left w:val="none" w:sz="0" w:space="0" w:color="auto"/>
        <w:bottom w:val="none" w:sz="0" w:space="0" w:color="auto"/>
        <w:right w:val="none" w:sz="0" w:space="0" w:color="auto"/>
      </w:divBdr>
    </w:div>
    <w:div w:id="1041393266">
      <w:bodyDiv w:val="1"/>
      <w:marLeft w:val="0"/>
      <w:marRight w:val="0"/>
      <w:marTop w:val="0"/>
      <w:marBottom w:val="0"/>
      <w:divBdr>
        <w:top w:val="none" w:sz="0" w:space="0" w:color="auto"/>
        <w:left w:val="none" w:sz="0" w:space="0" w:color="auto"/>
        <w:bottom w:val="none" w:sz="0" w:space="0" w:color="auto"/>
        <w:right w:val="none" w:sz="0" w:space="0" w:color="auto"/>
      </w:divBdr>
    </w:div>
    <w:div w:id="1047297797">
      <w:bodyDiv w:val="1"/>
      <w:marLeft w:val="0"/>
      <w:marRight w:val="0"/>
      <w:marTop w:val="0"/>
      <w:marBottom w:val="0"/>
      <w:divBdr>
        <w:top w:val="none" w:sz="0" w:space="0" w:color="auto"/>
        <w:left w:val="none" w:sz="0" w:space="0" w:color="auto"/>
        <w:bottom w:val="none" w:sz="0" w:space="0" w:color="auto"/>
        <w:right w:val="none" w:sz="0" w:space="0" w:color="auto"/>
      </w:divBdr>
    </w:div>
    <w:div w:id="1095514959">
      <w:bodyDiv w:val="1"/>
      <w:marLeft w:val="0"/>
      <w:marRight w:val="0"/>
      <w:marTop w:val="0"/>
      <w:marBottom w:val="0"/>
      <w:divBdr>
        <w:top w:val="none" w:sz="0" w:space="0" w:color="auto"/>
        <w:left w:val="none" w:sz="0" w:space="0" w:color="auto"/>
        <w:bottom w:val="none" w:sz="0" w:space="0" w:color="auto"/>
        <w:right w:val="none" w:sz="0" w:space="0" w:color="auto"/>
      </w:divBdr>
    </w:div>
    <w:div w:id="1123113593">
      <w:bodyDiv w:val="1"/>
      <w:marLeft w:val="0"/>
      <w:marRight w:val="0"/>
      <w:marTop w:val="0"/>
      <w:marBottom w:val="0"/>
      <w:divBdr>
        <w:top w:val="none" w:sz="0" w:space="0" w:color="auto"/>
        <w:left w:val="none" w:sz="0" w:space="0" w:color="auto"/>
        <w:bottom w:val="none" w:sz="0" w:space="0" w:color="auto"/>
        <w:right w:val="none" w:sz="0" w:space="0" w:color="auto"/>
      </w:divBdr>
    </w:div>
    <w:div w:id="1137721817">
      <w:bodyDiv w:val="1"/>
      <w:marLeft w:val="0"/>
      <w:marRight w:val="0"/>
      <w:marTop w:val="0"/>
      <w:marBottom w:val="0"/>
      <w:divBdr>
        <w:top w:val="none" w:sz="0" w:space="0" w:color="auto"/>
        <w:left w:val="none" w:sz="0" w:space="0" w:color="auto"/>
        <w:bottom w:val="none" w:sz="0" w:space="0" w:color="auto"/>
        <w:right w:val="none" w:sz="0" w:space="0" w:color="auto"/>
      </w:divBdr>
    </w:div>
    <w:div w:id="1148084792">
      <w:bodyDiv w:val="1"/>
      <w:marLeft w:val="0"/>
      <w:marRight w:val="0"/>
      <w:marTop w:val="0"/>
      <w:marBottom w:val="0"/>
      <w:divBdr>
        <w:top w:val="none" w:sz="0" w:space="0" w:color="auto"/>
        <w:left w:val="none" w:sz="0" w:space="0" w:color="auto"/>
        <w:bottom w:val="none" w:sz="0" w:space="0" w:color="auto"/>
        <w:right w:val="none" w:sz="0" w:space="0" w:color="auto"/>
      </w:divBdr>
      <w:divsChild>
        <w:div w:id="818614885">
          <w:marLeft w:val="0"/>
          <w:marRight w:val="0"/>
          <w:marTop w:val="0"/>
          <w:marBottom w:val="0"/>
          <w:divBdr>
            <w:top w:val="none" w:sz="0" w:space="0" w:color="auto"/>
            <w:left w:val="none" w:sz="0" w:space="0" w:color="auto"/>
            <w:bottom w:val="none" w:sz="0" w:space="0" w:color="auto"/>
            <w:right w:val="none" w:sz="0" w:space="0" w:color="auto"/>
          </w:divBdr>
          <w:divsChild>
            <w:div w:id="653800566">
              <w:marLeft w:val="0"/>
              <w:marRight w:val="0"/>
              <w:marTop w:val="0"/>
              <w:marBottom w:val="0"/>
              <w:divBdr>
                <w:top w:val="none" w:sz="0" w:space="0" w:color="auto"/>
                <w:left w:val="none" w:sz="0" w:space="0" w:color="auto"/>
                <w:bottom w:val="none" w:sz="0" w:space="0" w:color="auto"/>
                <w:right w:val="none" w:sz="0" w:space="0" w:color="auto"/>
              </w:divBdr>
              <w:divsChild>
                <w:div w:id="1841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9488">
      <w:bodyDiv w:val="1"/>
      <w:marLeft w:val="0"/>
      <w:marRight w:val="0"/>
      <w:marTop w:val="0"/>
      <w:marBottom w:val="0"/>
      <w:divBdr>
        <w:top w:val="none" w:sz="0" w:space="0" w:color="auto"/>
        <w:left w:val="none" w:sz="0" w:space="0" w:color="auto"/>
        <w:bottom w:val="none" w:sz="0" w:space="0" w:color="auto"/>
        <w:right w:val="none" w:sz="0" w:space="0" w:color="auto"/>
      </w:divBdr>
    </w:div>
    <w:div w:id="1157959241">
      <w:bodyDiv w:val="1"/>
      <w:marLeft w:val="0"/>
      <w:marRight w:val="0"/>
      <w:marTop w:val="0"/>
      <w:marBottom w:val="0"/>
      <w:divBdr>
        <w:top w:val="none" w:sz="0" w:space="0" w:color="auto"/>
        <w:left w:val="none" w:sz="0" w:space="0" w:color="auto"/>
        <w:bottom w:val="none" w:sz="0" w:space="0" w:color="auto"/>
        <w:right w:val="none" w:sz="0" w:space="0" w:color="auto"/>
      </w:divBdr>
    </w:div>
    <w:div w:id="1161579702">
      <w:bodyDiv w:val="1"/>
      <w:marLeft w:val="0"/>
      <w:marRight w:val="0"/>
      <w:marTop w:val="0"/>
      <w:marBottom w:val="0"/>
      <w:divBdr>
        <w:top w:val="none" w:sz="0" w:space="0" w:color="auto"/>
        <w:left w:val="none" w:sz="0" w:space="0" w:color="auto"/>
        <w:bottom w:val="none" w:sz="0" w:space="0" w:color="auto"/>
        <w:right w:val="none" w:sz="0" w:space="0" w:color="auto"/>
      </w:divBdr>
    </w:div>
    <w:div w:id="1216890976">
      <w:bodyDiv w:val="1"/>
      <w:marLeft w:val="0"/>
      <w:marRight w:val="0"/>
      <w:marTop w:val="0"/>
      <w:marBottom w:val="0"/>
      <w:divBdr>
        <w:top w:val="none" w:sz="0" w:space="0" w:color="auto"/>
        <w:left w:val="none" w:sz="0" w:space="0" w:color="auto"/>
        <w:bottom w:val="none" w:sz="0" w:space="0" w:color="auto"/>
        <w:right w:val="none" w:sz="0" w:space="0" w:color="auto"/>
      </w:divBdr>
    </w:div>
    <w:div w:id="1217736661">
      <w:bodyDiv w:val="1"/>
      <w:marLeft w:val="0"/>
      <w:marRight w:val="0"/>
      <w:marTop w:val="0"/>
      <w:marBottom w:val="0"/>
      <w:divBdr>
        <w:top w:val="none" w:sz="0" w:space="0" w:color="auto"/>
        <w:left w:val="none" w:sz="0" w:space="0" w:color="auto"/>
        <w:bottom w:val="none" w:sz="0" w:space="0" w:color="auto"/>
        <w:right w:val="none" w:sz="0" w:space="0" w:color="auto"/>
      </w:divBdr>
    </w:div>
    <w:div w:id="1248727899">
      <w:bodyDiv w:val="1"/>
      <w:marLeft w:val="0"/>
      <w:marRight w:val="0"/>
      <w:marTop w:val="0"/>
      <w:marBottom w:val="0"/>
      <w:divBdr>
        <w:top w:val="none" w:sz="0" w:space="0" w:color="auto"/>
        <w:left w:val="none" w:sz="0" w:space="0" w:color="auto"/>
        <w:bottom w:val="none" w:sz="0" w:space="0" w:color="auto"/>
        <w:right w:val="none" w:sz="0" w:space="0" w:color="auto"/>
      </w:divBdr>
    </w:div>
    <w:div w:id="1250389267">
      <w:bodyDiv w:val="1"/>
      <w:marLeft w:val="0"/>
      <w:marRight w:val="0"/>
      <w:marTop w:val="0"/>
      <w:marBottom w:val="0"/>
      <w:divBdr>
        <w:top w:val="none" w:sz="0" w:space="0" w:color="auto"/>
        <w:left w:val="none" w:sz="0" w:space="0" w:color="auto"/>
        <w:bottom w:val="none" w:sz="0" w:space="0" w:color="auto"/>
        <w:right w:val="none" w:sz="0" w:space="0" w:color="auto"/>
      </w:divBdr>
    </w:div>
    <w:div w:id="1264338559">
      <w:bodyDiv w:val="1"/>
      <w:marLeft w:val="0"/>
      <w:marRight w:val="0"/>
      <w:marTop w:val="0"/>
      <w:marBottom w:val="0"/>
      <w:divBdr>
        <w:top w:val="none" w:sz="0" w:space="0" w:color="auto"/>
        <w:left w:val="none" w:sz="0" w:space="0" w:color="auto"/>
        <w:bottom w:val="none" w:sz="0" w:space="0" w:color="auto"/>
        <w:right w:val="none" w:sz="0" w:space="0" w:color="auto"/>
      </w:divBdr>
    </w:div>
    <w:div w:id="1294168719">
      <w:bodyDiv w:val="1"/>
      <w:marLeft w:val="0"/>
      <w:marRight w:val="0"/>
      <w:marTop w:val="0"/>
      <w:marBottom w:val="0"/>
      <w:divBdr>
        <w:top w:val="none" w:sz="0" w:space="0" w:color="auto"/>
        <w:left w:val="none" w:sz="0" w:space="0" w:color="auto"/>
        <w:bottom w:val="none" w:sz="0" w:space="0" w:color="auto"/>
        <w:right w:val="none" w:sz="0" w:space="0" w:color="auto"/>
      </w:divBdr>
    </w:div>
    <w:div w:id="1307786248">
      <w:bodyDiv w:val="1"/>
      <w:marLeft w:val="0"/>
      <w:marRight w:val="0"/>
      <w:marTop w:val="0"/>
      <w:marBottom w:val="0"/>
      <w:divBdr>
        <w:top w:val="none" w:sz="0" w:space="0" w:color="auto"/>
        <w:left w:val="none" w:sz="0" w:space="0" w:color="auto"/>
        <w:bottom w:val="none" w:sz="0" w:space="0" w:color="auto"/>
        <w:right w:val="none" w:sz="0" w:space="0" w:color="auto"/>
      </w:divBdr>
    </w:div>
    <w:div w:id="1316685971">
      <w:bodyDiv w:val="1"/>
      <w:marLeft w:val="0"/>
      <w:marRight w:val="0"/>
      <w:marTop w:val="0"/>
      <w:marBottom w:val="0"/>
      <w:divBdr>
        <w:top w:val="none" w:sz="0" w:space="0" w:color="auto"/>
        <w:left w:val="none" w:sz="0" w:space="0" w:color="auto"/>
        <w:bottom w:val="none" w:sz="0" w:space="0" w:color="auto"/>
        <w:right w:val="none" w:sz="0" w:space="0" w:color="auto"/>
      </w:divBdr>
    </w:div>
    <w:div w:id="1321494739">
      <w:bodyDiv w:val="1"/>
      <w:marLeft w:val="0"/>
      <w:marRight w:val="0"/>
      <w:marTop w:val="0"/>
      <w:marBottom w:val="0"/>
      <w:divBdr>
        <w:top w:val="none" w:sz="0" w:space="0" w:color="auto"/>
        <w:left w:val="none" w:sz="0" w:space="0" w:color="auto"/>
        <w:bottom w:val="none" w:sz="0" w:space="0" w:color="auto"/>
        <w:right w:val="none" w:sz="0" w:space="0" w:color="auto"/>
      </w:divBdr>
    </w:div>
    <w:div w:id="1323659298">
      <w:bodyDiv w:val="1"/>
      <w:marLeft w:val="0"/>
      <w:marRight w:val="0"/>
      <w:marTop w:val="0"/>
      <w:marBottom w:val="0"/>
      <w:divBdr>
        <w:top w:val="none" w:sz="0" w:space="0" w:color="auto"/>
        <w:left w:val="none" w:sz="0" w:space="0" w:color="auto"/>
        <w:bottom w:val="none" w:sz="0" w:space="0" w:color="auto"/>
        <w:right w:val="none" w:sz="0" w:space="0" w:color="auto"/>
      </w:divBdr>
    </w:div>
    <w:div w:id="1360005054">
      <w:bodyDiv w:val="1"/>
      <w:marLeft w:val="0"/>
      <w:marRight w:val="0"/>
      <w:marTop w:val="0"/>
      <w:marBottom w:val="0"/>
      <w:divBdr>
        <w:top w:val="none" w:sz="0" w:space="0" w:color="auto"/>
        <w:left w:val="none" w:sz="0" w:space="0" w:color="auto"/>
        <w:bottom w:val="none" w:sz="0" w:space="0" w:color="auto"/>
        <w:right w:val="none" w:sz="0" w:space="0" w:color="auto"/>
      </w:divBdr>
    </w:div>
    <w:div w:id="1370839053">
      <w:bodyDiv w:val="1"/>
      <w:marLeft w:val="0"/>
      <w:marRight w:val="0"/>
      <w:marTop w:val="0"/>
      <w:marBottom w:val="0"/>
      <w:divBdr>
        <w:top w:val="none" w:sz="0" w:space="0" w:color="auto"/>
        <w:left w:val="none" w:sz="0" w:space="0" w:color="auto"/>
        <w:bottom w:val="none" w:sz="0" w:space="0" w:color="auto"/>
        <w:right w:val="none" w:sz="0" w:space="0" w:color="auto"/>
      </w:divBdr>
    </w:div>
    <w:div w:id="1381900863">
      <w:bodyDiv w:val="1"/>
      <w:marLeft w:val="0"/>
      <w:marRight w:val="0"/>
      <w:marTop w:val="0"/>
      <w:marBottom w:val="0"/>
      <w:divBdr>
        <w:top w:val="none" w:sz="0" w:space="0" w:color="auto"/>
        <w:left w:val="none" w:sz="0" w:space="0" w:color="auto"/>
        <w:bottom w:val="none" w:sz="0" w:space="0" w:color="auto"/>
        <w:right w:val="none" w:sz="0" w:space="0" w:color="auto"/>
      </w:divBdr>
    </w:div>
    <w:div w:id="1385836376">
      <w:bodyDiv w:val="1"/>
      <w:marLeft w:val="0"/>
      <w:marRight w:val="0"/>
      <w:marTop w:val="0"/>
      <w:marBottom w:val="0"/>
      <w:divBdr>
        <w:top w:val="none" w:sz="0" w:space="0" w:color="auto"/>
        <w:left w:val="none" w:sz="0" w:space="0" w:color="auto"/>
        <w:bottom w:val="none" w:sz="0" w:space="0" w:color="auto"/>
        <w:right w:val="none" w:sz="0" w:space="0" w:color="auto"/>
      </w:divBdr>
    </w:div>
    <w:div w:id="1397509931">
      <w:bodyDiv w:val="1"/>
      <w:marLeft w:val="0"/>
      <w:marRight w:val="0"/>
      <w:marTop w:val="0"/>
      <w:marBottom w:val="0"/>
      <w:divBdr>
        <w:top w:val="none" w:sz="0" w:space="0" w:color="auto"/>
        <w:left w:val="none" w:sz="0" w:space="0" w:color="auto"/>
        <w:bottom w:val="none" w:sz="0" w:space="0" w:color="auto"/>
        <w:right w:val="none" w:sz="0" w:space="0" w:color="auto"/>
      </w:divBdr>
    </w:div>
    <w:div w:id="1420638222">
      <w:bodyDiv w:val="1"/>
      <w:marLeft w:val="0"/>
      <w:marRight w:val="0"/>
      <w:marTop w:val="0"/>
      <w:marBottom w:val="0"/>
      <w:divBdr>
        <w:top w:val="none" w:sz="0" w:space="0" w:color="auto"/>
        <w:left w:val="none" w:sz="0" w:space="0" w:color="auto"/>
        <w:bottom w:val="none" w:sz="0" w:space="0" w:color="auto"/>
        <w:right w:val="none" w:sz="0" w:space="0" w:color="auto"/>
      </w:divBdr>
    </w:div>
    <w:div w:id="1426537863">
      <w:bodyDiv w:val="1"/>
      <w:marLeft w:val="0"/>
      <w:marRight w:val="0"/>
      <w:marTop w:val="0"/>
      <w:marBottom w:val="0"/>
      <w:divBdr>
        <w:top w:val="none" w:sz="0" w:space="0" w:color="auto"/>
        <w:left w:val="none" w:sz="0" w:space="0" w:color="auto"/>
        <w:bottom w:val="none" w:sz="0" w:space="0" w:color="auto"/>
        <w:right w:val="none" w:sz="0" w:space="0" w:color="auto"/>
      </w:divBdr>
    </w:div>
    <w:div w:id="1433012197">
      <w:bodyDiv w:val="1"/>
      <w:marLeft w:val="0"/>
      <w:marRight w:val="0"/>
      <w:marTop w:val="0"/>
      <w:marBottom w:val="0"/>
      <w:divBdr>
        <w:top w:val="none" w:sz="0" w:space="0" w:color="auto"/>
        <w:left w:val="none" w:sz="0" w:space="0" w:color="auto"/>
        <w:bottom w:val="none" w:sz="0" w:space="0" w:color="auto"/>
        <w:right w:val="none" w:sz="0" w:space="0" w:color="auto"/>
      </w:divBdr>
    </w:div>
    <w:div w:id="1483739662">
      <w:bodyDiv w:val="1"/>
      <w:marLeft w:val="0"/>
      <w:marRight w:val="0"/>
      <w:marTop w:val="0"/>
      <w:marBottom w:val="0"/>
      <w:divBdr>
        <w:top w:val="none" w:sz="0" w:space="0" w:color="auto"/>
        <w:left w:val="none" w:sz="0" w:space="0" w:color="auto"/>
        <w:bottom w:val="none" w:sz="0" w:space="0" w:color="auto"/>
        <w:right w:val="none" w:sz="0" w:space="0" w:color="auto"/>
      </w:divBdr>
    </w:div>
    <w:div w:id="1506820956">
      <w:bodyDiv w:val="1"/>
      <w:marLeft w:val="0"/>
      <w:marRight w:val="0"/>
      <w:marTop w:val="0"/>
      <w:marBottom w:val="0"/>
      <w:divBdr>
        <w:top w:val="none" w:sz="0" w:space="0" w:color="auto"/>
        <w:left w:val="none" w:sz="0" w:space="0" w:color="auto"/>
        <w:bottom w:val="none" w:sz="0" w:space="0" w:color="auto"/>
        <w:right w:val="none" w:sz="0" w:space="0" w:color="auto"/>
      </w:divBdr>
    </w:div>
    <w:div w:id="1529639674">
      <w:bodyDiv w:val="1"/>
      <w:marLeft w:val="0"/>
      <w:marRight w:val="0"/>
      <w:marTop w:val="0"/>
      <w:marBottom w:val="0"/>
      <w:divBdr>
        <w:top w:val="none" w:sz="0" w:space="0" w:color="auto"/>
        <w:left w:val="none" w:sz="0" w:space="0" w:color="auto"/>
        <w:bottom w:val="none" w:sz="0" w:space="0" w:color="auto"/>
        <w:right w:val="none" w:sz="0" w:space="0" w:color="auto"/>
      </w:divBdr>
    </w:div>
    <w:div w:id="1537232738">
      <w:bodyDiv w:val="1"/>
      <w:marLeft w:val="0"/>
      <w:marRight w:val="0"/>
      <w:marTop w:val="0"/>
      <w:marBottom w:val="0"/>
      <w:divBdr>
        <w:top w:val="none" w:sz="0" w:space="0" w:color="auto"/>
        <w:left w:val="none" w:sz="0" w:space="0" w:color="auto"/>
        <w:bottom w:val="none" w:sz="0" w:space="0" w:color="auto"/>
        <w:right w:val="none" w:sz="0" w:space="0" w:color="auto"/>
      </w:divBdr>
    </w:div>
    <w:div w:id="1540629360">
      <w:bodyDiv w:val="1"/>
      <w:marLeft w:val="0"/>
      <w:marRight w:val="0"/>
      <w:marTop w:val="0"/>
      <w:marBottom w:val="0"/>
      <w:divBdr>
        <w:top w:val="none" w:sz="0" w:space="0" w:color="auto"/>
        <w:left w:val="none" w:sz="0" w:space="0" w:color="auto"/>
        <w:bottom w:val="none" w:sz="0" w:space="0" w:color="auto"/>
        <w:right w:val="none" w:sz="0" w:space="0" w:color="auto"/>
      </w:divBdr>
    </w:div>
    <w:div w:id="1572424472">
      <w:bodyDiv w:val="1"/>
      <w:marLeft w:val="0"/>
      <w:marRight w:val="0"/>
      <w:marTop w:val="0"/>
      <w:marBottom w:val="0"/>
      <w:divBdr>
        <w:top w:val="none" w:sz="0" w:space="0" w:color="auto"/>
        <w:left w:val="none" w:sz="0" w:space="0" w:color="auto"/>
        <w:bottom w:val="none" w:sz="0" w:space="0" w:color="auto"/>
        <w:right w:val="none" w:sz="0" w:space="0" w:color="auto"/>
      </w:divBdr>
    </w:div>
    <w:div w:id="1603339832">
      <w:bodyDiv w:val="1"/>
      <w:marLeft w:val="0"/>
      <w:marRight w:val="0"/>
      <w:marTop w:val="0"/>
      <w:marBottom w:val="0"/>
      <w:divBdr>
        <w:top w:val="none" w:sz="0" w:space="0" w:color="auto"/>
        <w:left w:val="none" w:sz="0" w:space="0" w:color="auto"/>
        <w:bottom w:val="none" w:sz="0" w:space="0" w:color="auto"/>
        <w:right w:val="none" w:sz="0" w:space="0" w:color="auto"/>
      </w:divBdr>
    </w:div>
    <w:div w:id="1636989189">
      <w:bodyDiv w:val="1"/>
      <w:marLeft w:val="0"/>
      <w:marRight w:val="0"/>
      <w:marTop w:val="0"/>
      <w:marBottom w:val="0"/>
      <w:divBdr>
        <w:top w:val="none" w:sz="0" w:space="0" w:color="auto"/>
        <w:left w:val="none" w:sz="0" w:space="0" w:color="auto"/>
        <w:bottom w:val="none" w:sz="0" w:space="0" w:color="auto"/>
        <w:right w:val="none" w:sz="0" w:space="0" w:color="auto"/>
      </w:divBdr>
    </w:div>
    <w:div w:id="1650356131">
      <w:bodyDiv w:val="1"/>
      <w:marLeft w:val="0"/>
      <w:marRight w:val="0"/>
      <w:marTop w:val="0"/>
      <w:marBottom w:val="0"/>
      <w:divBdr>
        <w:top w:val="none" w:sz="0" w:space="0" w:color="auto"/>
        <w:left w:val="none" w:sz="0" w:space="0" w:color="auto"/>
        <w:bottom w:val="none" w:sz="0" w:space="0" w:color="auto"/>
        <w:right w:val="none" w:sz="0" w:space="0" w:color="auto"/>
      </w:divBdr>
    </w:div>
    <w:div w:id="1657681665">
      <w:bodyDiv w:val="1"/>
      <w:marLeft w:val="0"/>
      <w:marRight w:val="0"/>
      <w:marTop w:val="0"/>
      <w:marBottom w:val="0"/>
      <w:divBdr>
        <w:top w:val="none" w:sz="0" w:space="0" w:color="auto"/>
        <w:left w:val="none" w:sz="0" w:space="0" w:color="auto"/>
        <w:bottom w:val="none" w:sz="0" w:space="0" w:color="auto"/>
        <w:right w:val="none" w:sz="0" w:space="0" w:color="auto"/>
      </w:divBdr>
    </w:div>
    <w:div w:id="1658997597">
      <w:bodyDiv w:val="1"/>
      <w:marLeft w:val="0"/>
      <w:marRight w:val="0"/>
      <w:marTop w:val="0"/>
      <w:marBottom w:val="0"/>
      <w:divBdr>
        <w:top w:val="none" w:sz="0" w:space="0" w:color="auto"/>
        <w:left w:val="none" w:sz="0" w:space="0" w:color="auto"/>
        <w:bottom w:val="none" w:sz="0" w:space="0" w:color="auto"/>
        <w:right w:val="none" w:sz="0" w:space="0" w:color="auto"/>
      </w:divBdr>
      <w:divsChild>
        <w:div w:id="48111220">
          <w:marLeft w:val="0"/>
          <w:marRight w:val="0"/>
          <w:marTop w:val="0"/>
          <w:marBottom w:val="0"/>
          <w:divBdr>
            <w:top w:val="none" w:sz="0" w:space="0" w:color="auto"/>
            <w:left w:val="none" w:sz="0" w:space="0" w:color="auto"/>
            <w:bottom w:val="none" w:sz="0" w:space="0" w:color="auto"/>
            <w:right w:val="none" w:sz="0" w:space="0" w:color="auto"/>
          </w:divBdr>
          <w:divsChild>
            <w:div w:id="35207712">
              <w:marLeft w:val="0"/>
              <w:marRight w:val="0"/>
              <w:marTop w:val="0"/>
              <w:marBottom w:val="0"/>
              <w:divBdr>
                <w:top w:val="none" w:sz="0" w:space="0" w:color="auto"/>
                <w:left w:val="none" w:sz="0" w:space="0" w:color="auto"/>
                <w:bottom w:val="none" w:sz="0" w:space="0" w:color="auto"/>
                <w:right w:val="none" w:sz="0" w:space="0" w:color="auto"/>
              </w:divBdr>
              <w:divsChild>
                <w:div w:id="5854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99035">
      <w:bodyDiv w:val="1"/>
      <w:marLeft w:val="0"/>
      <w:marRight w:val="0"/>
      <w:marTop w:val="0"/>
      <w:marBottom w:val="0"/>
      <w:divBdr>
        <w:top w:val="none" w:sz="0" w:space="0" w:color="auto"/>
        <w:left w:val="none" w:sz="0" w:space="0" w:color="auto"/>
        <w:bottom w:val="none" w:sz="0" w:space="0" w:color="auto"/>
        <w:right w:val="none" w:sz="0" w:space="0" w:color="auto"/>
      </w:divBdr>
    </w:div>
    <w:div w:id="1690835773">
      <w:bodyDiv w:val="1"/>
      <w:marLeft w:val="0"/>
      <w:marRight w:val="0"/>
      <w:marTop w:val="0"/>
      <w:marBottom w:val="0"/>
      <w:divBdr>
        <w:top w:val="none" w:sz="0" w:space="0" w:color="auto"/>
        <w:left w:val="none" w:sz="0" w:space="0" w:color="auto"/>
        <w:bottom w:val="none" w:sz="0" w:space="0" w:color="auto"/>
        <w:right w:val="none" w:sz="0" w:space="0" w:color="auto"/>
      </w:divBdr>
    </w:div>
    <w:div w:id="1699089192">
      <w:bodyDiv w:val="1"/>
      <w:marLeft w:val="0"/>
      <w:marRight w:val="0"/>
      <w:marTop w:val="0"/>
      <w:marBottom w:val="0"/>
      <w:divBdr>
        <w:top w:val="none" w:sz="0" w:space="0" w:color="auto"/>
        <w:left w:val="none" w:sz="0" w:space="0" w:color="auto"/>
        <w:bottom w:val="none" w:sz="0" w:space="0" w:color="auto"/>
        <w:right w:val="none" w:sz="0" w:space="0" w:color="auto"/>
      </w:divBdr>
    </w:div>
    <w:div w:id="1715736813">
      <w:bodyDiv w:val="1"/>
      <w:marLeft w:val="0"/>
      <w:marRight w:val="0"/>
      <w:marTop w:val="0"/>
      <w:marBottom w:val="0"/>
      <w:divBdr>
        <w:top w:val="none" w:sz="0" w:space="0" w:color="auto"/>
        <w:left w:val="none" w:sz="0" w:space="0" w:color="auto"/>
        <w:bottom w:val="none" w:sz="0" w:space="0" w:color="auto"/>
        <w:right w:val="none" w:sz="0" w:space="0" w:color="auto"/>
      </w:divBdr>
    </w:div>
    <w:div w:id="1717270639">
      <w:bodyDiv w:val="1"/>
      <w:marLeft w:val="0"/>
      <w:marRight w:val="0"/>
      <w:marTop w:val="0"/>
      <w:marBottom w:val="0"/>
      <w:divBdr>
        <w:top w:val="none" w:sz="0" w:space="0" w:color="auto"/>
        <w:left w:val="none" w:sz="0" w:space="0" w:color="auto"/>
        <w:bottom w:val="none" w:sz="0" w:space="0" w:color="auto"/>
        <w:right w:val="none" w:sz="0" w:space="0" w:color="auto"/>
      </w:divBdr>
    </w:div>
    <w:div w:id="1734114531">
      <w:bodyDiv w:val="1"/>
      <w:marLeft w:val="0"/>
      <w:marRight w:val="0"/>
      <w:marTop w:val="0"/>
      <w:marBottom w:val="0"/>
      <w:divBdr>
        <w:top w:val="none" w:sz="0" w:space="0" w:color="auto"/>
        <w:left w:val="none" w:sz="0" w:space="0" w:color="auto"/>
        <w:bottom w:val="none" w:sz="0" w:space="0" w:color="auto"/>
        <w:right w:val="none" w:sz="0" w:space="0" w:color="auto"/>
      </w:divBdr>
    </w:div>
    <w:div w:id="1747023736">
      <w:bodyDiv w:val="1"/>
      <w:marLeft w:val="0"/>
      <w:marRight w:val="0"/>
      <w:marTop w:val="0"/>
      <w:marBottom w:val="0"/>
      <w:divBdr>
        <w:top w:val="none" w:sz="0" w:space="0" w:color="auto"/>
        <w:left w:val="none" w:sz="0" w:space="0" w:color="auto"/>
        <w:bottom w:val="none" w:sz="0" w:space="0" w:color="auto"/>
        <w:right w:val="none" w:sz="0" w:space="0" w:color="auto"/>
      </w:divBdr>
    </w:div>
    <w:div w:id="1748500993">
      <w:bodyDiv w:val="1"/>
      <w:marLeft w:val="0"/>
      <w:marRight w:val="0"/>
      <w:marTop w:val="0"/>
      <w:marBottom w:val="0"/>
      <w:divBdr>
        <w:top w:val="none" w:sz="0" w:space="0" w:color="auto"/>
        <w:left w:val="none" w:sz="0" w:space="0" w:color="auto"/>
        <w:bottom w:val="none" w:sz="0" w:space="0" w:color="auto"/>
        <w:right w:val="none" w:sz="0" w:space="0" w:color="auto"/>
      </w:divBdr>
    </w:div>
    <w:div w:id="1753702572">
      <w:bodyDiv w:val="1"/>
      <w:marLeft w:val="0"/>
      <w:marRight w:val="0"/>
      <w:marTop w:val="0"/>
      <w:marBottom w:val="0"/>
      <w:divBdr>
        <w:top w:val="none" w:sz="0" w:space="0" w:color="auto"/>
        <w:left w:val="none" w:sz="0" w:space="0" w:color="auto"/>
        <w:bottom w:val="none" w:sz="0" w:space="0" w:color="auto"/>
        <w:right w:val="none" w:sz="0" w:space="0" w:color="auto"/>
      </w:divBdr>
    </w:div>
    <w:div w:id="1762143867">
      <w:bodyDiv w:val="1"/>
      <w:marLeft w:val="0"/>
      <w:marRight w:val="0"/>
      <w:marTop w:val="0"/>
      <w:marBottom w:val="0"/>
      <w:divBdr>
        <w:top w:val="none" w:sz="0" w:space="0" w:color="auto"/>
        <w:left w:val="none" w:sz="0" w:space="0" w:color="auto"/>
        <w:bottom w:val="none" w:sz="0" w:space="0" w:color="auto"/>
        <w:right w:val="none" w:sz="0" w:space="0" w:color="auto"/>
      </w:divBdr>
    </w:div>
    <w:div w:id="1825008035">
      <w:bodyDiv w:val="1"/>
      <w:marLeft w:val="0"/>
      <w:marRight w:val="0"/>
      <w:marTop w:val="0"/>
      <w:marBottom w:val="0"/>
      <w:divBdr>
        <w:top w:val="none" w:sz="0" w:space="0" w:color="auto"/>
        <w:left w:val="none" w:sz="0" w:space="0" w:color="auto"/>
        <w:bottom w:val="none" w:sz="0" w:space="0" w:color="auto"/>
        <w:right w:val="none" w:sz="0" w:space="0" w:color="auto"/>
      </w:divBdr>
    </w:div>
    <w:div w:id="1864202199">
      <w:bodyDiv w:val="1"/>
      <w:marLeft w:val="0"/>
      <w:marRight w:val="0"/>
      <w:marTop w:val="0"/>
      <w:marBottom w:val="0"/>
      <w:divBdr>
        <w:top w:val="none" w:sz="0" w:space="0" w:color="auto"/>
        <w:left w:val="none" w:sz="0" w:space="0" w:color="auto"/>
        <w:bottom w:val="none" w:sz="0" w:space="0" w:color="auto"/>
        <w:right w:val="none" w:sz="0" w:space="0" w:color="auto"/>
      </w:divBdr>
    </w:div>
    <w:div w:id="1873416296">
      <w:bodyDiv w:val="1"/>
      <w:marLeft w:val="0"/>
      <w:marRight w:val="0"/>
      <w:marTop w:val="0"/>
      <w:marBottom w:val="0"/>
      <w:divBdr>
        <w:top w:val="none" w:sz="0" w:space="0" w:color="auto"/>
        <w:left w:val="none" w:sz="0" w:space="0" w:color="auto"/>
        <w:bottom w:val="none" w:sz="0" w:space="0" w:color="auto"/>
        <w:right w:val="none" w:sz="0" w:space="0" w:color="auto"/>
      </w:divBdr>
    </w:div>
    <w:div w:id="1903518365">
      <w:bodyDiv w:val="1"/>
      <w:marLeft w:val="0"/>
      <w:marRight w:val="0"/>
      <w:marTop w:val="0"/>
      <w:marBottom w:val="0"/>
      <w:divBdr>
        <w:top w:val="none" w:sz="0" w:space="0" w:color="auto"/>
        <w:left w:val="none" w:sz="0" w:space="0" w:color="auto"/>
        <w:bottom w:val="none" w:sz="0" w:space="0" w:color="auto"/>
        <w:right w:val="none" w:sz="0" w:space="0" w:color="auto"/>
      </w:divBdr>
    </w:div>
    <w:div w:id="1909074447">
      <w:bodyDiv w:val="1"/>
      <w:marLeft w:val="0"/>
      <w:marRight w:val="0"/>
      <w:marTop w:val="0"/>
      <w:marBottom w:val="0"/>
      <w:divBdr>
        <w:top w:val="none" w:sz="0" w:space="0" w:color="auto"/>
        <w:left w:val="none" w:sz="0" w:space="0" w:color="auto"/>
        <w:bottom w:val="none" w:sz="0" w:space="0" w:color="auto"/>
        <w:right w:val="none" w:sz="0" w:space="0" w:color="auto"/>
      </w:divBdr>
    </w:div>
    <w:div w:id="1910728255">
      <w:bodyDiv w:val="1"/>
      <w:marLeft w:val="0"/>
      <w:marRight w:val="0"/>
      <w:marTop w:val="0"/>
      <w:marBottom w:val="0"/>
      <w:divBdr>
        <w:top w:val="none" w:sz="0" w:space="0" w:color="auto"/>
        <w:left w:val="none" w:sz="0" w:space="0" w:color="auto"/>
        <w:bottom w:val="none" w:sz="0" w:space="0" w:color="auto"/>
        <w:right w:val="none" w:sz="0" w:space="0" w:color="auto"/>
      </w:divBdr>
    </w:div>
    <w:div w:id="1947425053">
      <w:bodyDiv w:val="1"/>
      <w:marLeft w:val="0"/>
      <w:marRight w:val="0"/>
      <w:marTop w:val="0"/>
      <w:marBottom w:val="0"/>
      <w:divBdr>
        <w:top w:val="none" w:sz="0" w:space="0" w:color="auto"/>
        <w:left w:val="none" w:sz="0" w:space="0" w:color="auto"/>
        <w:bottom w:val="none" w:sz="0" w:space="0" w:color="auto"/>
        <w:right w:val="none" w:sz="0" w:space="0" w:color="auto"/>
      </w:divBdr>
    </w:div>
    <w:div w:id="1947761413">
      <w:bodyDiv w:val="1"/>
      <w:marLeft w:val="0"/>
      <w:marRight w:val="0"/>
      <w:marTop w:val="0"/>
      <w:marBottom w:val="0"/>
      <w:divBdr>
        <w:top w:val="none" w:sz="0" w:space="0" w:color="auto"/>
        <w:left w:val="none" w:sz="0" w:space="0" w:color="auto"/>
        <w:bottom w:val="none" w:sz="0" w:space="0" w:color="auto"/>
        <w:right w:val="none" w:sz="0" w:space="0" w:color="auto"/>
      </w:divBdr>
    </w:div>
    <w:div w:id="1981808896">
      <w:bodyDiv w:val="1"/>
      <w:marLeft w:val="0"/>
      <w:marRight w:val="0"/>
      <w:marTop w:val="0"/>
      <w:marBottom w:val="0"/>
      <w:divBdr>
        <w:top w:val="none" w:sz="0" w:space="0" w:color="auto"/>
        <w:left w:val="none" w:sz="0" w:space="0" w:color="auto"/>
        <w:bottom w:val="none" w:sz="0" w:space="0" w:color="auto"/>
        <w:right w:val="none" w:sz="0" w:space="0" w:color="auto"/>
      </w:divBdr>
    </w:div>
    <w:div w:id="1990593911">
      <w:bodyDiv w:val="1"/>
      <w:marLeft w:val="0"/>
      <w:marRight w:val="0"/>
      <w:marTop w:val="0"/>
      <w:marBottom w:val="0"/>
      <w:divBdr>
        <w:top w:val="none" w:sz="0" w:space="0" w:color="auto"/>
        <w:left w:val="none" w:sz="0" w:space="0" w:color="auto"/>
        <w:bottom w:val="none" w:sz="0" w:space="0" w:color="auto"/>
        <w:right w:val="none" w:sz="0" w:space="0" w:color="auto"/>
      </w:divBdr>
    </w:div>
    <w:div w:id="2026664856">
      <w:bodyDiv w:val="1"/>
      <w:marLeft w:val="0"/>
      <w:marRight w:val="0"/>
      <w:marTop w:val="0"/>
      <w:marBottom w:val="0"/>
      <w:divBdr>
        <w:top w:val="none" w:sz="0" w:space="0" w:color="auto"/>
        <w:left w:val="none" w:sz="0" w:space="0" w:color="auto"/>
        <w:bottom w:val="none" w:sz="0" w:space="0" w:color="auto"/>
        <w:right w:val="none" w:sz="0" w:space="0" w:color="auto"/>
      </w:divBdr>
    </w:div>
    <w:div w:id="2052849784">
      <w:bodyDiv w:val="1"/>
      <w:marLeft w:val="0"/>
      <w:marRight w:val="0"/>
      <w:marTop w:val="0"/>
      <w:marBottom w:val="0"/>
      <w:divBdr>
        <w:top w:val="none" w:sz="0" w:space="0" w:color="auto"/>
        <w:left w:val="none" w:sz="0" w:space="0" w:color="auto"/>
        <w:bottom w:val="none" w:sz="0" w:space="0" w:color="auto"/>
        <w:right w:val="none" w:sz="0" w:space="0" w:color="auto"/>
      </w:divBdr>
    </w:div>
    <w:div w:id="2070880351">
      <w:bodyDiv w:val="1"/>
      <w:marLeft w:val="0"/>
      <w:marRight w:val="0"/>
      <w:marTop w:val="0"/>
      <w:marBottom w:val="0"/>
      <w:divBdr>
        <w:top w:val="none" w:sz="0" w:space="0" w:color="auto"/>
        <w:left w:val="none" w:sz="0" w:space="0" w:color="auto"/>
        <w:bottom w:val="none" w:sz="0" w:space="0" w:color="auto"/>
        <w:right w:val="none" w:sz="0" w:space="0" w:color="auto"/>
      </w:divBdr>
    </w:div>
    <w:div w:id="2115395149">
      <w:bodyDiv w:val="1"/>
      <w:marLeft w:val="0"/>
      <w:marRight w:val="0"/>
      <w:marTop w:val="0"/>
      <w:marBottom w:val="0"/>
      <w:divBdr>
        <w:top w:val="none" w:sz="0" w:space="0" w:color="auto"/>
        <w:left w:val="none" w:sz="0" w:space="0" w:color="auto"/>
        <w:bottom w:val="none" w:sz="0" w:space="0" w:color="auto"/>
        <w:right w:val="none" w:sz="0" w:space="0" w:color="auto"/>
      </w:divBdr>
    </w:div>
    <w:div w:id="212206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src/ITH-18-13.COM-5_Rev.-EN.docx" TargetMode="External"/><Relationship Id="rId117" Type="http://schemas.openxmlformats.org/officeDocument/2006/relationships/hyperlink" Target="https://ich.unesco.org/en/Decisions/13.COM/10.b.17" TargetMode="External"/><Relationship Id="rId21" Type="http://schemas.openxmlformats.org/officeDocument/2006/relationships/hyperlink" Target="https://ich.unesco.org/en/Decisions/13.COM/4" TargetMode="External"/><Relationship Id="rId42" Type="http://schemas.openxmlformats.org/officeDocument/2006/relationships/hyperlink" Target="https://ich.unesco.org/en/decisions/12.COM/6" TargetMode="External"/><Relationship Id="rId47" Type="http://schemas.openxmlformats.org/officeDocument/2006/relationships/hyperlink" Target="https://ich.unesco.org/en/Decisions/13.COM/7.a" TargetMode="External"/><Relationship Id="rId63" Type="http://schemas.openxmlformats.org/officeDocument/2006/relationships/hyperlink" Target="https://ich.unesco.org/en/Decisions/13.COM/7.b.10" TargetMode="External"/><Relationship Id="rId68" Type="http://schemas.openxmlformats.org/officeDocument/2006/relationships/hyperlink" Target="https://ich.unesco.org/en/Decisions/13.COM/7.b.15" TargetMode="External"/><Relationship Id="rId84" Type="http://schemas.openxmlformats.org/officeDocument/2006/relationships/hyperlink" Target="https://ich.unesco.org/doc/src/ITH-18-13.COM-10.a-EN.docx" TargetMode="External"/><Relationship Id="rId89" Type="http://schemas.openxmlformats.org/officeDocument/2006/relationships/hyperlink" Target="https://ich.unesco.org/en/guidance-note-on-inventorying-00966" TargetMode="External"/><Relationship Id="rId112" Type="http://schemas.openxmlformats.org/officeDocument/2006/relationships/hyperlink" Target="https://ich.unesco.org/en/Decisions/13.COM/10.b.11" TargetMode="External"/><Relationship Id="rId133" Type="http://schemas.openxmlformats.org/officeDocument/2006/relationships/hyperlink" Target="https://ich.unesco.org/en/Decisions/13.COM/10.b.35" TargetMode="External"/><Relationship Id="rId138" Type="http://schemas.openxmlformats.org/officeDocument/2006/relationships/hyperlink" Target="https://ich.unesco.org/en/Decisions/13.COM/10.b.40" TargetMode="External"/><Relationship Id="rId154" Type="http://schemas.openxmlformats.org/officeDocument/2006/relationships/hyperlink" Target="https://ich.unesco.org/en/Decisions/9.COM/10" TargetMode="External"/><Relationship Id="rId159" Type="http://schemas.openxmlformats.org/officeDocument/2006/relationships/hyperlink" Target="https://ich.unesco.org/en/decisions/7.GA/6" TargetMode="External"/><Relationship Id="rId175" Type="http://schemas.openxmlformats.org/officeDocument/2006/relationships/hyperlink" Target="https://ich.unesco.org/en/Resolutions/7.GA/13" TargetMode="External"/><Relationship Id="rId170" Type="http://schemas.openxmlformats.org/officeDocument/2006/relationships/hyperlink" Target="https://ich.unesco.org/en/decisions/12.COM/13" TargetMode="External"/><Relationship Id="rId16" Type="http://schemas.openxmlformats.org/officeDocument/2006/relationships/hyperlink" Target="https://ich.unesco.org/en/Decisions/13.COM/3" TargetMode="External"/><Relationship Id="rId107" Type="http://schemas.openxmlformats.org/officeDocument/2006/relationships/hyperlink" Target="https://ich.unesco.org/en/Decisions/13.COM/10.b.6" TargetMode="External"/><Relationship Id="rId11" Type="http://schemas.openxmlformats.org/officeDocument/2006/relationships/hyperlink" Target="https://ich.unesco.org/doc/src/ITH-18-13.COM-2_Rev.-EN.docx" TargetMode="External"/><Relationship Id="rId32" Type="http://schemas.openxmlformats.org/officeDocument/2006/relationships/hyperlink" Target="https://ich.unesco.org/doc/src/ITH-18-13.COM-INF.5.1-EN.docx" TargetMode="External"/><Relationship Id="rId37" Type="http://schemas.openxmlformats.org/officeDocument/2006/relationships/hyperlink" Target="https://ich.unesco.org/doc/src/ITH-18-13.COM-INF.5.1-EN.docx" TargetMode="External"/><Relationship Id="rId53" Type="http://schemas.openxmlformats.org/officeDocument/2006/relationships/hyperlink" Target="https://ich.unesco.org/en/decisions/9.COM/5.A" TargetMode="External"/><Relationship Id="rId58" Type="http://schemas.openxmlformats.org/officeDocument/2006/relationships/hyperlink" Target="https://ich.unesco.org/en/Decisions/13.COM/7.b.5" TargetMode="External"/><Relationship Id="rId74" Type="http://schemas.openxmlformats.org/officeDocument/2006/relationships/hyperlink" Target="https://ich.unesco.org/doc/src/ITH-17-12.COM-10-EN.docx" TargetMode="External"/><Relationship Id="rId79" Type="http://schemas.openxmlformats.org/officeDocument/2006/relationships/hyperlink" Target="https://ich.unesco.org/doc/src/ITH-18-13.COM-10-EN.docx" TargetMode="External"/><Relationship Id="rId102" Type="http://schemas.openxmlformats.org/officeDocument/2006/relationships/hyperlink" Target="https://ich.unesco.org/en/decisions/10.COM/10" TargetMode="External"/><Relationship Id="rId123" Type="http://schemas.openxmlformats.org/officeDocument/2006/relationships/hyperlink" Target="https://ich.unesco.org/en/Decisions/13.COM/10.b.24" TargetMode="External"/><Relationship Id="rId128" Type="http://schemas.openxmlformats.org/officeDocument/2006/relationships/hyperlink" Target="https://ich.unesco.org/en/Decisions/13.COM/10.b.29" TargetMode="External"/><Relationship Id="rId144" Type="http://schemas.openxmlformats.org/officeDocument/2006/relationships/hyperlink" Target="https://ich.unesco.org/doc/src/ITH-18-13.COM-12-EN.docx" TargetMode="External"/><Relationship Id="rId149" Type="http://schemas.openxmlformats.org/officeDocument/2006/relationships/hyperlink" Target="http://www.nordicsafeguardingpractices.org" TargetMode="External"/><Relationship Id="rId5" Type="http://schemas.openxmlformats.org/officeDocument/2006/relationships/webSettings" Target="webSettings.xml"/><Relationship Id="rId90" Type="http://schemas.openxmlformats.org/officeDocument/2006/relationships/hyperlink" Target="https://ich.unesco.org/en/4-june-1345-international-assistance-in-action-00997" TargetMode="External"/><Relationship Id="rId95" Type="http://schemas.openxmlformats.org/officeDocument/2006/relationships/hyperlink" Target="https://ich.unesco.org/en/Decisions/13.COM/10.a.3" TargetMode="External"/><Relationship Id="rId160" Type="http://schemas.openxmlformats.org/officeDocument/2006/relationships/hyperlink" Target="https://ich.unesco.org/en/decisions/7.GA/6" TargetMode="External"/><Relationship Id="rId165" Type="http://schemas.openxmlformats.org/officeDocument/2006/relationships/hyperlink" Target="https://ich.unesco.org/en/Decisions/13.COM/15" TargetMode="External"/><Relationship Id="rId181" Type="http://schemas.openxmlformats.org/officeDocument/2006/relationships/hyperlink" Target="https://ich.unesco.org/en/Decisions/13.COM/20" TargetMode="External"/><Relationship Id="rId186" Type="http://schemas.openxmlformats.org/officeDocument/2006/relationships/theme" Target="theme/theme1.xml"/><Relationship Id="rId22" Type="http://schemas.openxmlformats.org/officeDocument/2006/relationships/hyperlink" Target="https://ich.unesco.org/en/12com" TargetMode="External"/><Relationship Id="rId27" Type="http://schemas.openxmlformats.org/officeDocument/2006/relationships/hyperlink" Target="https://ich.unesco.org/doc/src/ITH-18-13.COM-INF.5.1-EN.docx" TargetMode="External"/><Relationship Id="rId43" Type="http://schemas.openxmlformats.org/officeDocument/2006/relationships/hyperlink" Target="https://ich.unesco.org/en/decisions/12.COM/17" TargetMode="External"/><Relationship Id="rId48" Type="http://schemas.openxmlformats.org/officeDocument/2006/relationships/hyperlink" Target="https://ich.unesco.org/en/decisions/12.COM/11.C" TargetMode="External"/><Relationship Id="rId64" Type="http://schemas.openxmlformats.org/officeDocument/2006/relationships/hyperlink" Target="https://ich.unesco.org/en/Decisions/13.COM/7.b.11" TargetMode="External"/><Relationship Id="rId69" Type="http://schemas.openxmlformats.org/officeDocument/2006/relationships/hyperlink" Target="https://ich.unesco.org/en/Decisions/13.COM/7.b.16" TargetMode="External"/><Relationship Id="rId113" Type="http://schemas.openxmlformats.org/officeDocument/2006/relationships/hyperlink" Target="https://ich.unesco.org/en/Decisions/13.COM/10.b.12" TargetMode="External"/><Relationship Id="rId118" Type="http://schemas.openxmlformats.org/officeDocument/2006/relationships/hyperlink" Target="https://ich.unesco.org/en/Decisions/13.COM/10.b.18" TargetMode="External"/><Relationship Id="rId134" Type="http://schemas.openxmlformats.org/officeDocument/2006/relationships/hyperlink" Target="https://ich.unesco.org/en/Decisions/13.COM/10.b.36" TargetMode="External"/><Relationship Id="rId139" Type="http://schemas.openxmlformats.org/officeDocument/2006/relationships/hyperlink" Target="https://ich.unesco.org/doc/src/ITH-18-13.COM-10.c+Add.-EN.docx" TargetMode="External"/><Relationship Id="rId80" Type="http://schemas.openxmlformats.org/officeDocument/2006/relationships/hyperlink" Target="https://ich.unesco.org/en/Decisions/13.COM/10" TargetMode="External"/><Relationship Id="rId85" Type="http://schemas.openxmlformats.org/officeDocument/2006/relationships/hyperlink" Target="https://ich.unesco.org/doc/src/ITH-18-13.COM-10.b+Add.2-EN.docx" TargetMode="External"/><Relationship Id="rId150" Type="http://schemas.openxmlformats.org/officeDocument/2006/relationships/hyperlink" Target="http://www.ichngoforum.org/wg/heritagealive/" TargetMode="External"/><Relationship Id="rId155" Type="http://schemas.openxmlformats.org/officeDocument/2006/relationships/hyperlink" Target="https://ich.unesco.org/en/Decisions/8.COM/8" TargetMode="External"/><Relationship Id="rId171" Type="http://schemas.openxmlformats.org/officeDocument/2006/relationships/hyperlink" Target="https://ich.unesco.org/en/decisions/12.COM/13" TargetMode="External"/><Relationship Id="rId176" Type="http://schemas.openxmlformats.org/officeDocument/2006/relationships/hyperlink" Target="https://ich.unesco.org/en/Resolutions/7.GA/12" TargetMode="External"/><Relationship Id="rId12" Type="http://schemas.openxmlformats.org/officeDocument/2006/relationships/hyperlink" Target="https://ich.unesco.org/doc/src/ITH-18-13.COM-INF.2.2_Rev.5-EN.docx" TargetMode="External"/><Relationship Id="rId17" Type="http://schemas.openxmlformats.org/officeDocument/2006/relationships/hyperlink" Target="https://ich.unesco.org/en/Decisions/10.COM/3" TargetMode="External"/><Relationship Id="rId33" Type="http://schemas.openxmlformats.org/officeDocument/2006/relationships/hyperlink" Target="https://ich.unesco.org/en/Decisions/12.COM/5.b" TargetMode="External"/><Relationship Id="rId38" Type="http://schemas.openxmlformats.org/officeDocument/2006/relationships/hyperlink" Target="https://ich.unesco.org/en" TargetMode="External"/><Relationship Id="rId59" Type="http://schemas.openxmlformats.org/officeDocument/2006/relationships/hyperlink" Target="https://ich.unesco.org/en/Decisions/13.COM/7.b.6" TargetMode="External"/><Relationship Id="rId103" Type="http://schemas.openxmlformats.org/officeDocument/2006/relationships/hyperlink" Target="https://ich.unesco.org/en/Decisions/13.COM/10.b.2" TargetMode="External"/><Relationship Id="rId108" Type="http://schemas.openxmlformats.org/officeDocument/2006/relationships/hyperlink" Target="https://ich.unesco.org/en/Decisions/13.COM/10.b.7" TargetMode="External"/><Relationship Id="rId124" Type="http://schemas.openxmlformats.org/officeDocument/2006/relationships/hyperlink" Target="https://ich.unesco.org/en/Decisions/13.COM/10.b.25" TargetMode="External"/><Relationship Id="rId129" Type="http://schemas.openxmlformats.org/officeDocument/2006/relationships/hyperlink" Target="https://ich.unesco.org/en/Decisions/13.COM/10.b.31" TargetMode="External"/><Relationship Id="rId54" Type="http://schemas.openxmlformats.org/officeDocument/2006/relationships/hyperlink" Target="https://ich.unesco.org/en/decisions/5.COM/6" TargetMode="External"/><Relationship Id="rId70" Type="http://schemas.openxmlformats.org/officeDocument/2006/relationships/hyperlink" Target="https://ich.unesco.org/doc/src/ITH-18-13.COM-7.c-EN.docx" TargetMode="External"/><Relationship Id="rId75" Type="http://schemas.openxmlformats.org/officeDocument/2006/relationships/hyperlink" Target="https://ich.unesco.org/en/Decisions/13.COM/7.b.1" TargetMode="External"/><Relationship Id="rId91" Type="http://schemas.openxmlformats.org/officeDocument/2006/relationships/hyperlink" Target="https://ich.unesco.org/doc/src/ITH-18-13.COM-10.a-EN.docx" TargetMode="External"/><Relationship Id="rId96" Type="http://schemas.openxmlformats.org/officeDocument/2006/relationships/hyperlink" Target="https://ich.unesco.org/en/Decisions/13.COM/10.a.4" TargetMode="External"/><Relationship Id="rId140" Type="http://schemas.openxmlformats.org/officeDocument/2006/relationships/hyperlink" Target="https://ich.unesco.org/en/10c-register-01014" TargetMode="External"/><Relationship Id="rId145" Type="http://schemas.openxmlformats.org/officeDocument/2006/relationships/hyperlink" Target="https://ich.unesco.org/en/Decisions/13.COM/12" TargetMode="External"/><Relationship Id="rId161" Type="http://schemas.openxmlformats.org/officeDocument/2006/relationships/hyperlink" Target="https://ich.unesco.org/doc/src/ITH-18-13.COM-14-EN.docx" TargetMode="External"/><Relationship Id="rId166" Type="http://schemas.openxmlformats.org/officeDocument/2006/relationships/hyperlink" Target="https://ich.unesco.org/en/decisions/10.COM/13" TargetMode="External"/><Relationship Id="rId18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chngoforum.org/category/heritage-alive/" TargetMode="External"/><Relationship Id="rId28" Type="http://schemas.openxmlformats.org/officeDocument/2006/relationships/hyperlink" Target="https://ich.unesco.org/doc/src/ITH-18-13.COM-INF.5.2-EN.docx" TargetMode="External"/><Relationship Id="rId49" Type="http://schemas.openxmlformats.org/officeDocument/2006/relationships/hyperlink" Target="https://ich.unesco.org/doc/src/ITH-18-13.COM-7.b-EN.docx" TargetMode="External"/><Relationship Id="rId114" Type="http://schemas.openxmlformats.org/officeDocument/2006/relationships/hyperlink" Target="https://ich.unesco.org/en/Decisions/13.COM/10.b.14" TargetMode="External"/><Relationship Id="rId119" Type="http://schemas.openxmlformats.org/officeDocument/2006/relationships/hyperlink" Target="https://ich.unesco.org/en/Decisions/13.COM/10.b.19" TargetMode="External"/><Relationship Id="rId44" Type="http://schemas.openxmlformats.org/officeDocument/2006/relationships/hyperlink" Target="https://ich.unesco.org/en/decisions-bureau/13.COM%202.BUR/3" TargetMode="External"/><Relationship Id="rId60" Type="http://schemas.openxmlformats.org/officeDocument/2006/relationships/hyperlink" Target="https://ich.unesco.org/en/Decisions/13.COM/7.b.7" TargetMode="External"/><Relationship Id="rId65" Type="http://schemas.openxmlformats.org/officeDocument/2006/relationships/hyperlink" Target="https://ich.unesco.org/en/Decisions/13.COM/7.b.12" TargetMode="External"/><Relationship Id="rId81" Type="http://schemas.openxmlformats.org/officeDocument/2006/relationships/hyperlink" Target="https://ich.unesco.org/en/Decisions/9.COM/13.c" TargetMode="External"/><Relationship Id="rId86" Type="http://schemas.openxmlformats.org/officeDocument/2006/relationships/hyperlink" Target="https://ich.unesco.org/doc/src/ITH-18-13.COM-10.c+Add.-EN.docx" TargetMode="External"/><Relationship Id="rId130" Type="http://schemas.openxmlformats.org/officeDocument/2006/relationships/hyperlink" Target="https://ich.unesco.org/en/Decisions/13.COM/10.b.32" TargetMode="External"/><Relationship Id="rId135" Type="http://schemas.openxmlformats.org/officeDocument/2006/relationships/hyperlink" Target="https://ich.unesco.org/en/Decisions/13.COM/10.b.37" TargetMode="External"/><Relationship Id="rId151" Type="http://schemas.openxmlformats.org/officeDocument/2006/relationships/hyperlink" Target="https://ich.unesco.org/doc/src/ITH-18-13.COM-10.d-EN.docx" TargetMode="External"/><Relationship Id="rId156" Type="http://schemas.openxmlformats.org/officeDocument/2006/relationships/hyperlink" Target="https://ich.unesco.org/en/Decisions/13.COM/10.b.1" TargetMode="External"/><Relationship Id="rId177" Type="http://schemas.openxmlformats.org/officeDocument/2006/relationships/hyperlink" Target="https://ich.unesco.org/doc/src/ITH-18-13.COM-18-EN.docx" TargetMode="External"/><Relationship Id="rId172" Type="http://schemas.openxmlformats.org/officeDocument/2006/relationships/hyperlink" Target="https://ich.unesco.org/doc/src/ITH-18-13.COM-17-EN.docx" TargetMode="External"/><Relationship Id="rId13" Type="http://schemas.openxmlformats.org/officeDocument/2006/relationships/hyperlink" Target="https://ich.unesco.org/doc/src/ITH-18-13.COM-INF.2.1_Rev.5-EN.docx" TargetMode="External"/><Relationship Id="rId18" Type="http://schemas.openxmlformats.org/officeDocument/2006/relationships/hyperlink" Target="https://ich.unesco.org/en/Decisions/11.COM/3" TargetMode="External"/><Relationship Id="rId39" Type="http://schemas.openxmlformats.org/officeDocument/2006/relationships/hyperlink" Target="https://ich.unesco.org/en/Decisions/13.COM/10.b.41" TargetMode="External"/><Relationship Id="rId109" Type="http://schemas.openxmlformats.org/officeDocument/2006/relationships/hyperlink" Target="https://ich.unesco.org/en/Decisions/13.COM/10.b.8" TargetMode="External"/><Relationship Id="rId34" Type="http://schemas.openxmlformats.org/officeDocument/2006/relationships/hyperlink" Target="https://ich.unesco.org/doc/src/ITH-18-13.COM-INF.5.2-EN.docx" TargetMode="External"/><Relationship Id="rId50" Type="http://schemas.openxmlformats.org/officeDocument/2006/relationships/hyperlink" Target="https://ich.unesco.org/en/7b-periodic-reporting-usl-00995" TargetMode="External"/><Relationship Id="rId55" Type="http://schemas.openxmlformats.org/officeDocument/2006/relationships/hyperlink" Target="https://ich.unesco.org/en/Decisions/13.COM/7.b.2" TargetMode="External"/><Relationship Id="rId76" Type="http://schemas.openxmlformats.org/officeDocument/2006/relationships/hyperlink" Target="https://ich.unesco.org/doc/src/ITH-18-13.COM-9-EN.docx" TargetMode="External"/><Relationship Id="rId97" Type="http://schemas.openxmlformats.org/officeDocument/2006/relationships/hyperlink" Target="https://ich.unesco.org/en/Decisions/13.COM/10.a.5" TargetMode="External"/><Relationship Id="rId104" Type="http://schemas.openxmlformats.org/officeDocument/2006/relationships/hyperlink" Target="https://ich.unesco.org/en/Decisions/13.COM/10.b.3" TargetMode="External"/><Relationship Id="rId120" Type="http://schemas.openxmlformats.org/officeDocument/2006/relationships/hyperlink" Target="https://ich.unesco.org/en/Decisions/13.COM/10.b.20" TargetMode="External"/><Relationship Id="rId125" Type="http://schemas.openxmlformats.org/officeDocument/2006/relationships/hyperlink" Target="https://ich.unesco.org/en/Decisions/13.COM/10.b.26" TargetMode="External"/><Relationship Id="rId141" Type="http://schemas.openxmlformats.org/officeDocument/2006/relationships/hyperlink" Target="https://ich.unesco.org/en/Decisions/13.COM/10.c.2" TargetMode="External"/><Relationship Id="rId146" Type="http://schemas.openxmlformats.org/officeDocument/2006/relationships/hyperlink" Target="https://ich.unesco.org/doc/src/ITH-18-13.COM-13-EN.docx" TargetMode="External"/><Relationship Id="rId167" Type="http://schemas.openxmlformats.org/officeDocument/2006/relationships/hyperlink" Target="https://ich.unesco.org/en/decisions/11.COM/12" TargetMode="External"/><Relationship Id="rId188"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ich.unesco.org/en/Decisions/13.COM/7.c" TargetMode="External"/><Relationship Id="rId92" Type="http://schemas.openxmlformats.org/officeDocument/2006/relationships/hyperlink" Target="https://ich.unesco.org/en/10a-urgent-safeguarding-list-01012" TargetMode="External"/><Relationship Id="rId162" Type="http://schemas.openxmlformats.org/officeDocument/2006/relationships/hyperlink" Target="https://ich.unesco.org/en/Decisions/13.COM/14" TargetMode="External"/><Relationship Id="rId18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ich.unesco.org/doc/src/ITH-18-13.COM-INF.5.3-EN.docx" TargetMode="External"/><Relationship Id="rId24" Type="http://schemas.openxmlformats.org/officeDocument/2006/relationships/hyperlink" Target="http://ichngo.net/" TargetMode="External"/><Relationship Id="rId40" Type="http://schemas.openxmlformats.org/officeDocument/2006/relationships/hyperlink" Target="https://ich.unesco.org/doc/src/ITH-18-13.COM-6-EN.docx" TargetMode="External"/><Relationship Id="rId45" Type="http://schemas.openxmlformats.org/officeDocument/2006/relationships/hyperlink" Target="https://ich.unesco.org/doc/src/ITH-18-13.COM-7.a_Rev.-EN.docx" TargetMode="External"/><Relationship Id="rId66" Type="http://schemas.openxmlformats.org/officeDocument/2006/relationships/hyperlink" Target="https://ich.unesco.org/en/Decisions/13.COM/7.b.13" TargetMode="External"/><Relationship Id="rId87" Type="http://schemas.openxmlformats.org/officeDocument/2006/relationships/hyperlink" Target="https://ich.unesco.org/doc/src/ITH-18-13.COM-10.d-EN.docx" TargetMode="External"/><Relationship Id="rId110" Type="http://schemas.openxmlformats.org/officeDocument/2006/relationships/hyperlink" Target="https://ich.unesco.org/en/Decisions/13.COM/10.b.9" TargetMode="External"/><Relationship Id="rId115" Type="http://schemas.openxmlformats.org/officeDocument/2006/relationships/hyperlink" Target="https://ich.unesco.org/en/Decisions/13.COM/10.b.15" TargetMode="External"/><Relationship Id="rId131" Type="http://schemas.openxmlformats.org/officeDocument/2006/relationships/hyperlink" Target="https://ich.unesco.org/en/Decisions/13.COM/10.b.33" TargetMode="External"/><Relationship Id="rId136" Type="http://schemas.openxmlformats.org/officeDocument/2006/relationships/hyperlink" Target="https://ich.unesco.org/en/Decisions/13.COM/10.b.38" TargetMode="External"/><Relationship Id="rId157" Type="http://schemas.openxmlformats.org/officeDocument/2006/relationships/hyperlink" Target="https://ich.unesco.org/en/decisions/13.COM" TargetMode="External"/><Relationship Id="rId178" Type="http://schemas.openxmlformats.org/officeDocument/2006/relationships/hyperlink" Target="https://ich.unesco.org/en/Decisions/13.COM/18" TargetMode="External"/><Relationship Id="rId61" Type="http://schemas.openxmlformats.org/officeDocument/2006/relationships/hyperlink" Target="https://ich.unesco.org/en/Decisions/13.COM/7.b.8" TargetMode="External"/><Relationship Id="rId82" Type="http://schemas.openxmlformats.org/officeDocument/2006/relationships/hyperlink" Target="https://ich.unesco.org/en/Decisions/11.COM/8" TargetMode="External"/><Relationship Id="rId152" Type="http://schemas.openxmlformats.org/officeDocument/2006/relationships/hyperlink" Target="https://ich.unesco.org/en/10d-international-assistance-requests-01015" TargetMode="External"/><Relationship Id="rId173" Type="http://schemas.openxmlformats.org/officeDocument/2006/relationships/hyperlink" Target="https://ich.unesco.org/en/Decisions/13.COM/17" TargetMode="External"/><Relationship Id="rId19" Type="http://schemas.openxmlformats.org/officeDocument/2006/relationships/hyperlink" Target="https://ich.unesco.org/en/Decisions/12.COM/3" TargetMode="External"/><Relationship Id="rId14" Type="http://schemas.openxmlformats.org/officeDocument/2006/relationships/hyperlink" Target="https://ich.unesco.org/en/Decisions/13.COM/2" TargetMode="External"/><Relationship Id="rId30" Type="http://schemas.openxmlformats.org/officeDocument/2006/relationships/hyperlink" Target="https://ich.unesco.org/en/Decisions/13.COM/5" TargetMode="External"/><Relationship Id="rId35" Type="http://schemas.openxmlformats.org/officeDocument/2006/relationships/hyperlink" Target="https://ich.unesco.org/doc/src/ITH-18-13.COM-INF.5.3-EN.docx" TargetMode="External"/><Relationship Id="rId56" Type="http://schemas.openxmlformats.org/officeDocument/2006/relationships/hyperlink" Target="https://ich.unesco.org/en/Decisions/13.COM/7.b.3" TargetMode="External"/><Relationship Id="rId77" Type="http://schemas.openxmlformats.org/officeDocument/2006/relationships/hyperlink" Target="https://ich.unesco.org/en/Decisions/13.COM/9" TargetMode="External"/><Relationship Id="rId100" Type="http://schemas.openxmlformats.org/officeDocument/2006/relationships/hyperlink" Target="https://ich.unesco.org/doc/src/ITH-18-13.COM-10.b+Add.2-EN.docx" TargetMode="External"/><Relationship Id="rId105" Type="http://schemas.openxmlformats.org/officeDocument/2006/relationships/hyperlink" Target="https://ich.unesco.org/en/Decisions/13.COM/10.b.4" TargetMode="External"/><Relationship Id="rId126" Type="http://schemas.openxmlformats.org/officeDocument/2006/relationships/hyperlink" Target="https://ich.unesco.org/en/Decisions/13.COM/10.b.27" TargetMode="External"/><Relationship Id="rId147" Type="http://schemas.openxmlformats.org/officeDocument/2006/relationships/hyperlink" Target="https://ich.unesco.org/en/Decisions/13.COM/13" TargetMode="External"/><Relationship Id="rId168" Type="http://schemas.openxmlformats.org/officeDocument/2006/relationships/hyperlink" Target="https://ich.unesco.org/doc/src/ITH-18-13.COM-16-EN.docx" TargetMode="External"/><Relationship Id="rId8" Type="http://schemas.openxmlformats.org/officeDocument/2006/relationships/hyperlink" Target="https://ich.unesco.org/en/preliminary-list-of-participants-01011" TargetMode="External"/><Relationship Id="rId51" Type="http://schemas.openxmlformats.org/officeDocument/2006/relationships/hyperlink" Target="https://ich.unesco.org/en/Decisions/13.COM/7.b" TargetMode="External"/><Relationship Id="rId72" Type="http://schemas.openxmlformats.org/officeDocument/2006/relationships/hyperlink" Target="https://ich.unesco.org/doc/src/ITH-18-13.COM-8-EN.docx" TargetMode="External"/><Relationship Id="rId93" Type="http://schemas.openxmlformats.org/officeDocument/2006/relationships/hyperlink" Target="https://ich.unesco.org/en/Decisions/13.COM/10.a.1" TargetMode="External"/><Relationship Id="rId98" Type="http://schemas.openxmlformats.org/officeDocument/2006/relationships/hyperlink" Target="https://ich.unesco.org/en/Decisions/13.COM/10.a.6" TargetMode="External"/><Relationship Id="rId121" Type="http://schemas.openxmlformats.org/officeDocument/2006/relationships/hyperlink" Target="https://ich.unesco.org/en/Decisions/13.COM/10.b.21" TargetMode="External"/><Relationship Id="rId142" Type="http://schemas.openxmlformats.org/officeDocument/2006/relationships/hyperlink" Target="https://ich.unesco.org/doc/src/ITH-18-13.COM-11-EN.docx" TargetMode="External"/><Relationship Id="rId163" Type="http://schemas.openxmlformats.org/officeDocument/2006/relationships/hyperlink" Target="https://ich.unesco.org/en/Decisions/9.COM/11" TargetMode="External"/><Relationship Id="rId184"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www.ichngoforum.org/" TargetMode="External"/><Relationship Id="rId46" Type="http://schemas.openxmlformats.org/officeDocument/2006/relationships/hyperlink" Target="https://ich.unesco.org/en/7a-periodic-reporting-00994" TargetMode="External"/><Relationship Id="rId67" Type="http://schemas.openxmlformats.org/officeDocument/2006/relationships/hyperlink" Target="https://ich.unesco.org/en/Decisions/13.COM/7.b.14" TargetMode="External"/><Relationship Id="rId116" Type="http://schemas.openxmlformats.org/officeDocument/2006/relationships/hyperlink" Target="https://ich.unesco.org/en/Decisions/13.COM/10.b.16" TargetMode="External"/><Relationship Id="rId137" Type="http://schemas.openxmlformats.org/officeDocument/2006/relationships/hyperlink" Target="https://ich.unesco.org/en/Decisions/13.COM/10.b.39" TargetMode="External"/><Relationship Id="rId158" Type="http://schemas.openxmlformats.org/officeDocument/2006/relationships/hyperlink" Target="https://ich.unesco.org/en/decisions/10.COM/10" TargetMode="External"/><Relationship Id="rId20" Type="http://schemas.openxmlformats.org/officeDocument/2006/relationships/hyperlink" Target="https://ich.unesco.org/doc/src/ITH-18-13.COM-4-EN.docx" TargetMode="External"/><Relationship Id="rId41" Type="http://schemas.openxmlformats.org/officeDocument/2006/relationships/hyperlink" Target="https://ich.unesco.org/en/Decisions/13.COM/6" TargetMode="External"/><Relationship Id="rId62" Type="http://schemas.openxmlformats.org/officeDocument/2006/relationships/hyperlink" Target="https://ich.unesco.org/en/Decisions/13.COM/7.b.9" TargetMode="External"/><Relationship Id="rId83" Type="http://schemas.openxmlformats.org/officeDocument/2006/relationships/hyperlink" Target="https://ich.unesco.org/doc/src/ITH-18-13.COM-10-EN.docx" TargetMode="External"/><Relationship Id="rId88" Type="http://schemas.openxmlformats.org/officeDocument/2006/relationships/hyperlink" Target="https://ich.unesco.org/en/Decisions/8.COM/8" TargetMode="External"/><Relationship Id="rId111" Type="http://schemas.openxmlformats.org/officeDocument/2006/relationships/hyperlink" Target="https://ich.unesco.org/en/Decisions/13.COM/10.b.10" TargetMode="External"/><Relationship Id="rId132" Type="http://schemas.openxmlformats.org/officeDocument/2006/relationships/hyperlink" Target="https://ich.unesco.org/en/Decisions/13.COM/10.b.34" TargetMode="External"/><Relationship Id="rId153" Type="http://schemas.openxmlformats.org/officeDocument/2006/relationships/hyperlink" Target="https://ich.unesco.org/en/Decisions/13.COM/10.d" TargetMode="External"/><Relationship Id="rId174" Type="http://schemas.openxmlformats.org/officeDocument/2006/relationships/hyperlink" Target="https://ich.unesco.org/en/Resolutions/6.GA/11" TargetMode="External"/><Relationship Id="rId179" Type="http://schemas.openxmlformats.org/officeDocument/2006/relationships/hyperlink" Target="https://ich.unesco.org/doc/src/ITH-18-13.COM-19-EN.docx" TargetMode="External"/><Relationship Id="rId15" Type="http://schemas.openxmlformats.org/officeDocument/2006/relationships/hyperlink" Target="https://ich.unesco.org/doc/src/ITH-18-13.COM-3-EN.docx" TargetMode="External"/><Relationship Id="rId36" Type="http://schemas.openxmlformats.org/officeDocument/2006/relationships/hyperlink" Target="https://ich.unesco.org/en/facilitator" TargetMode="External"/><Relationship Id="rId57" Type="http://schemas.openxmlformats.org/officeDocument/2006/relationships/hyperlink" Target="https://ich.unesco.org/en/Decisions/13.COM/7.b.4" TargetMode="External"/><Relationship Id="rId106" Type="http://schemas.openxmlformats.org/officeDocument/2006/relationships/hyperlink" Target="https://ich.unesco.org/en/Decisions/13.COM/10.b.5" TargetMode="External"/><Relationship Id="rId127" Type="http://schemas.openxmlformats.org/officeDocument/2006/relationships/hyperlink" Target="https://ich.unesco.org/en/Decisions/13.COM/10.b.28" TargetMode="External"/><Relationship Id="rId10" Type="http://schemas.openxmlformats.org/officeDocument/2006/relationships/hyperlink" Target="https://ich.unesco.org/en/13com" TargetMode="External"/><Relationship Id="rId31" Type="http://schemas.openxmlformats.org/officeDocument/2006/relationships/hyperlink" Target="https://ich.unesco.org/doc/src/ITH-18-13.COM-5_Rev.-EN.docx" TargetMode="External"/><Relationship Id="rId52" Type="http://schemas.openxmlformats.org/officeDocument/2006/relationships/hyperlink" Target="https://ich.unesco.org/en/decisions/8.COM/6.B" TargetMode="External"/><Relationship Id="rId73" Type="http://schemas.openxmlformats.org/officeDocument/2006/relationships/hyperlink" Target="https://ich.unesco.org/en/Decisions/13.COM/8" TargetMode="External"/><Relationship Id="rId78" Type="http://schemas.openxmlformats.org/officeDocument/2006/relationships/hyperlink" Target="https://ich.unesco.org/en/Decisions/10.COM/15.a" TargetMode="External"/><Relationship Id="rId94" Type="http://schemas.openxmlformats.org/officeDocument/2006/relationships/hyperlink" Target="https://ich.unesco.org/en/Decisions/13.COM/10.a.2" TargetMode="External"/><Relationship Id="rId99" Type="http://schemas.openxmlformats.org/officeDocument/2006/relationships/hyperlink" Target="https://ich.unesco.org/en/Decisions/13.COM/10.a.7" TargetMode="External"/><Relationship Id="rId101" Type="http://schemas.openxmlformats.org/officeDocument/2006/relationships/hyperlink" Target="https://ich.unesco.org/en/10b-representative-list-01013" TargetMode="External"/><Relationship Id="rId122" Type="http://schemas.openxmlformats.org/officeDocument/2006/relationships/hyperlink" Target="https://ich.unesco.org/en/Decisions/13.COM/10.b.23" TargetMode="External"/><Relationship Id="rId143" Type="http://schemas.openxmlformats.org/officeDocument/2006/relationships/hyperlink" Target="https://ich.unesco.org/en/Decisions/13.COM/11" TargetMode="External"/><Relationship Id="rId148" Type="http://schemas.openxmlformats.org/officeDocument/2006/relationships/hyperlink" Target="https://ich.unesco.org/en/Decisions/10.COM/15.a" TargetMode="External"/><Relationship Id="rId164" Type="http://schemas.openxmlformats.org/officeDocument/2006/relationships/hyperlink" Target="https://ich.unesco.org/doc/src/ITH-18-13.COM-15-EN.docx" TargetMode="External"/><Relationship Id="rId169" Type="http://schemas.openxmlformats.org/officeDocument/2006/relationships/hyperlink" Target="https://ich.unesco.org/en/Decisions/13.COM/16" TargetMode="External"/><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ITH-18-13.COM-INF.1_Rev.-EN.docx" TargetMode="External"/><Relationship Id="rId180" Type="http://schemas.openxmlformats.org/officeDocument/2006/relationships/hyperlink" Target="https://ich.unesco.org/en/Decisions/13.COM/1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esco.org/new/fileadmin/MULTIMEDIA/HQ/SC/pdf/SC-17_CONF_229_6_Annex-2_en.pdf" TargetMode="External"/><Relationship Id="rId13" Type="http://schemas.openxmlformats.org/officeDocument/2006/relationships/hyperlink" Target="https://ich.unesco.org/en/assistances/inventorying-of-intangible-cultural-heritage-elements-in-thaba-bosiu-in-lesotho-01118" TargetMode="External"/><Relationship Id="rId18" Type="http://schemas.openxmlformats.org/officeDocument/2006/relationships/hyperlink" Target="https://ich.unesco.org/doc/src/Guidance_note_on_inventorying_FR.pdf" TargetMode="External"/><Relationship Id="rId26" Type="http://schemas.openxmlformats.org/officeDocument/2006/relationships/hyperlink" Target="https://en.unesco.org/creative-cities/home" TargetMode="External"/><Relationship Id="rId3" Type="http://schemas.openxmlformats.org/officeDocument/2006/relationships/hyperlink" Target="https://ich.unesco.org/en/calendar-of-events-01026" TargetMode="External"/><Relationship Id="rId21" Type="http://schemas.openxmlformats.org/officeDocument/2006/relationships/hyperlink" Target="http://documents.worldbank.org/curated/en/708271541534427317/pdf/131856-WP-REVISED-II-PUBLIC.pdf" TargetMode="External"/><Relationship Id="rId7" Type="http://schemas.openxmlformats.org/officeDocument/2006/relationships/hyperlink" Target="http://www.ichcap.org/" TargetMode="External"/><Relationship Id="rId12" Type="http://schemas.openxmlformats.org/officeDocument/2006/relationships/hyperlink" Target="https://ich.unesco.org/en/assistances/promotion-of-traditional-pottery-making-practices-in-eastern-kenya-01021" TargetMode="External"/><Relationship Id="rId17" Type="http://schemas.openxmlformats.org/officeDocument/2006/relationships/hyperlink" Target="https://ich.unesco.org/doc/src/Guidance_note_on_inventorying_EN.pdf" TargetMode="External"/><Relationship Id="rId25" Type="http://schemas.openxmlformats.org/officeDocument/2006/relationships/hyperlink" Target="http://www.unesco.org/languages-atlas/" TargetMode="External"/><Relationship Id="rId2" Type="http://schemas.openxmlformats.org/officeDocument/2006/relationships/hyperlink" Target="https://ich.unesco.org/en/preliminary-list-of-participants-01011" TargetMode="External"/><Relationship Id="rId16" Type="http://schemas.openxmlformats.org/officeDocument/2006/relationships/hyperlink" Target="https://ich.unesco.org/en/assistances/inventory-of-the-intangible-cultural-heritage-present-in-cote-d-ivoire-in-view-of-its-urgent-safeguarding-01051" TargetMode="External"/><Relationship Id="rId20" Type="http://schemas.openxmlformats.org/officeDocument/2006/relationships/hyperlink" Target="https://www.ica.org/en/resolutions-from-the-working-conference-on-regional-approaches-on-disaster-recovery-and-heritage" TargetMode="External"/><Relationship Id="rId1" Type="http://schemas.openxmlformats.org/officeDocument/2006/relationships/hyperlink" Target="https://ich.unesco.org/doc/src/2003_Convention_Basic_Texts-_2018_version-EN.pdf" TargetMode="External"/><Relationship Id="rId6" Type="http://schemas.openxmlformats.org/officeDocument/2006/relationships/hyperlink" Target="https://ich.unesco.org/dive/constellation/" TargetMode="External"/><Relationship Id="rId11" Type="http://schemas.openxmlformats.org/officeDocument/2006/relationships/hyperlink" Target="https://ich.unesco.org/en/assistances/titajtakezakan-speaking-across-time-oral-tradition-and-use-of-information-and-communication-technologies-01249" TargetMode="External"/><Relationship Id="rId24" Type="http://schemas.openxmlformats.org/officeDocument/2006/relationships/hyperlink" Target="https://en.unesco.org/projects/the-spirit-of-mosul" TargetMode="External"/><Relationship Id="rId5" Type="http://schemas.openxmlformats.org/officeDocument/2006/relationships/hyperlink" Target="https://ich.unesco.org/en/dive&amp;display=threat" TargetMode="External"/><Relationship Id="rId15" Type="http://schemas.openxmlformats.org/officeDocument/2006/relationships/hyperlink" Target="https://ich.unesco.org/en/assistances/inventorying-of-proverbs-of-lala-community-of-luano-district-of-zambia-01216" TargetMode="External"/><Relationship Id="rId23" Type="http://schemas.openxmlformats.org/officeDocument/2006/relationships/hyperlink" Target="https://ich.unesco.org/en/ethics-and-ich-00866" TargetMode="External"/><Relationship Id="rId10" Type="http://schemas.openxmlformats.org/officeDocument/2006/relationships/hyperlink" Target="https://ich.unesco.org/en/assistances/promotion-of-earthen-ware-pottery-making-skills-in-kgatleng-district-01153" TargetMode="External"/><Relationship Id="rId19" Type="http://schemas.openxmlformats.org/officeDocument/2006/relationships/hyperlink" Target="https://ich.unesco.org/en/forms" TargetMode="External"/><Relationship Id="rId4" Type="http://schemas.openxmlformats.org/officeDocument/2006/relationships/hyperlink" Target="http://habitat3.org/the-conference/about-habitat-3" TargetMode="External"/><Relationship Id="rId9" Type="http://schemas.openxmlformats.org/officeDocument/2006/relationships/hyperlink" Target="https://ich.unesco.org/en/assistances/safeguarding-of-the-traditional-knowledge-for-the-protection-of-sacred-natural-sites-in-the-territory-of-the-jaguars-of-yurupari-vaupes-province-colombia-01224" TargetMode="External"/><Relationship Id="rId14" Type="http://schemas.openxmlformats.org/officeDocument/2006/relationships/hyperlink" Target="https://ich.unesco.org/en/assistances/safeguarding-of-nkhonde-tumbuka-and-chewa-proverbs-and-folktales-01060" TargetMode="External"/><Relationship Id="rId22" Type="http://schemas.openxmlformats.org/officeDocument/2006/relationships/hyperlink" Target="https://parispeaceforum.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339D-2BDC-4043-9ED8-5190BC3A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143586</Words>
  <Characters>789723</Characters>
  <Application>Microsoft Office Word</Application>
  <DocSecurity>0</DocSecurity>
  <Lines>6581</Lines>
  <Paragraphs>1862</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931447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Thibault, Alice</cp:lastModifiedBy>
  <cp:revision>7</cp:revision>
  <cp:lastPrinted>2019-02-25T09:35:00Z</cp:lastPrinted>
  <dcterms:created xsi:type="dcterms:W3CDTF">2019-09-27T15:13:00Z</dcterms:created>
  <dcterms:modified xsi:type="dcterms:W3CDTF">2019-11-21T09:13:00Z</dcterms:modified>
</cp:coreProperties>
</file>